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1D" w:rsidRPr="005E631D" w:rsidRDefault="005E631D" w:rsidP="005E631D">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5E631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E631D" w:rsidRPr="005E631D" w:rsidRDefault="005E631D" w:rsidP="005E631D">
      <w:pPr>
        <w:spacing w:line="240" w:lineRule="auto"/>
        <w:rPr>
          <w:rFonts w:ascii="Arial" w:hAnsi="Arial" w:cs="Arial"/>
          <w:sz w:val="20"/>
          <w:lang w:val="es-419" w:eastAsia="es-ES"/>
        </w:rPr>
      </w:pPr>
    </w:p>
    <w:p w:rsidR="005E631D" w:rsidRPr="005E631D" w:rsidRDefault="005E631D" w:rsidP="005E631D">
      <w:pPr>
        <w:spacing w:line="240" w:lineRule="auto"/>
        <w:rPr>
          <w:rFonts w:ascii="Arial" w:hAnsi="Arial" w:cs="Arial"/>
          <w:b/>
          <w:bCs/>
          <w:iCs/>
          <w:sz w:val="20"/>
          <w:lang w:val="es-419" w:eastAsia="fr-FR"/>
        </w:rPr>
      </w:pPr>
      <w:r w:rsidRPr="005E631D">
        <w:rPr>
          <w:rFonts w:ascii="Arial" w:hAnsi="Arial" w:cs="Arial"/>
          <w:b/>
          <w:bCs/>
          <w:iCs/>
          <w:sz w:val="20"/>
          <w:lang w:val="es-419" w:eastAsia="fr-FR"/>
        </w:rPr>
        <w:t>TEMAS:</w:t>
      </w:r>
      <w:r w:rsidRPr="005E631D">
        <w:rPr>
          <w:rFonts w:ascii="Arial" w:hAnsi="Arial" w:cs="Arial"/>
          <w:b/>
          <w:bCs/>
          <w:iCs/>
          <w:sz w:val="20"/>
          <w:lang w:val="es-419" w:eastAsia="fr-FR"/>
        </w:rPr>
        <w:tab/>
      </w:r>
      <w:r w:rsidR="005702DC">
        <w:rPr>
          <w:rFonts w:ascii="Arial" w:hAnsi="Arial" w:cs="Arial"/>
          <w:b/>
          <w:bCs/>
          <w:iCs/>
          <w:sz w:val="20"/>
          <w:lang w:val="es-CO" w:eastAsia="fr-FR"/>
        </w:rPr>
        <w:t xml:space="preserve">TRÁFICO DE ESTUPEFACIENTES / </w:t>
      </w:r>
      <w:r w:rsidR="007768DA">
        <w:rPr>
          <w:rFonts w:ascii="Arial" w:hAnsi="Arial" w:cs="Arial"/>
          <w:b/>
          <w:bCs/>
          <w:iCs/>
          <w:sz w:val="20"/>
          <w:lang w:val="es-CO" w:eastAsia="fr-FR"/>
        </w:rPr>
        <w:t xml:space="preserve">DESTINO DEL VEHÍCULO INCAUTADO / COMO NO SE </w:t>
      </w:r>
      <w:r w:rsidR="00470272">
        <w:rPr>
          <w:rFonts w:ascii="Arial" w:hAnsi="Arial" w:cs="Arial"/>
          <w:b/>
          <w:bCs/>
          <w:iCs/>
          <w:sz w:val="20"/>
          <w:lang w:val="es-CO" w:eastAsia="fr-FR"/>
        </w:rPr>
        <w:t xml:space="preserve">SOLICITÓ NI PRACTICÓ MEDICA CAUTELAR SOBRE EL MISMO, COMPETE A LA FISCALÍA DECIDIR SI LO ENTREGA O </w:t>
      </w:r>
      <w:r w:rsidR="0092283B">
        <w:rPr>
          <w:rFonts w:ascii="Arial" w:hAnsi="Arial" w:cs="Arial"/>
          <w:b/>
          <w:bCs/>
          <w:iCs/>
          <w:sz w:val="20"/>
          <w:lang w:val="es-CO" w:eastAsia="fr-FR"/>
        </w:rPr>
        <w:t>PROMUEVE EL PROCESO DE</w:t>
      </w:r>
      <w:r w:rsidR="00470272">
        <w:rPr>
          <w:rFonts w:ascii="Arial" w:hAnsi="Arial" w:cs="Arial"/>
          <w:b/>
          <w:bCs/>
          <w:iCs/>
          <w:sz w:val="20"/>
          <w:lang w:val="es-CO" w:eastAsia="fr-FR"/>
        </w:rPr>
        <w:t xml:space="preserve"> EXTINCIÓN DE DOMINIO.</w:t>
      </w:r>
    </w:p>
    <w:p w:rsidR="005E631D" w:rsidRPr="005E631D" w:rsidRDefault="005E631D" w:rsidP="005E631D">
      <w:pPr>
        <w:spacing w:line="240" w:lineRule="auto"/>
        <w:rPr>
          <w:rFonts w:ascii="Arial" w:hAnsi="Arial" w:cs="Arial"/>
          <w:sz w:val="20"/>
          <w:lang w:val="es-419" w:eastAsia="es-ES"/>
        </w:rPr>
      </w:pPr>
    </w:p>
    <w:p w:rsidR="004B2535" w:rsidRPr="004B2535" w:rsidRDefault="004B2535" w:rsidP="004B2535">
      <w:pPr>
        <w:spacing w:line="240" w:lineRule="auto"/>
        <w:rPr>
          <w:rFonts w:ascii="Arial" w:hAnsi="Arial" w:cs="Arial"/>
          <w:sz w:val="20"/>
          <w:lang w:val="es-419" w:eastAsia="es-ES"/>
        </w:rPr>
      </w:pPr>
      <w:r>
        <w:rPr>
          <w:rFonts w:ascii="Arial" w:hAnsi="Arial" w:cs="Arial"/>
          <w:sz w:val="20"/>
          <w:lang w:val="es-CO" w:eastAsia="es-ES"/>
        </w:rPr>
        <w:t>…</w:t>
      </w:r>
      <w:r w:rsidR="007768DA">
        <w:rPr>
          <w:rFonts w:ascii="Arial" w:hAnsi="Arial" w:cs="Arial"/>
          <w:sz w:val="20"/>
          <w:lang w:val="es-CO" w:eastAsia="es-ES"/>
        </w:rPr>
        <w:t xml:space="preserve"> entre </w:t>
      </w:r>
      <w:r w:rsidRPr="004B2535">
        <w:rPr>
          <w:rFonts w:ascii="Arial" w:hAnsi="Arial" w:cs="Arial"/>
          <w:sz w:val="20"/>
          <w:lang w:val="es-419" w:eastAsia="es-ES"/>
        </w:rPr>
        <w:t>las medidas cautelares existe la incautación –la cual recae sobre bienes muebles- y la ocupación -que recae sobre bienes inmuebles-, las cuales tienen como finalidad sacar del comercio los bienes y recursos considerados como susceptibles de comiso, mientras se toma una decisión definitiva al respecto. Y que existen las medidas jurídicas de protección, entre las cuales está la suspensión del poder dispositivo de los bienes sujetos a registro.</w:t>
      </w:r>
    </w:p>
    <w:p w:rsidR="004B2535" w:rsidRPr="004B2535" w:rsidRDefault="004B2535" w:rsidP="004B2535">
      <w:pPr>
        <w:spacing w:line="240" w:lineRule="auto"/>
        <w:rPr>
          <w:rFonts w:ascii="Arial" w:hAnsi="Arial" w:cs="Arial"/>
          <w:sz w:val="20"/>
          <w:lang w:val="es-419" w:eastAsia="es-ES"/>
        </w:rPr>
      </w:pPr>
    </w:p>
    <w:p w:rsidR="005E631D" w:rsidRPr="004B2535" w:rsidRDefault="004B2535" w:rsidP="004B2535">
      <w:pPr>
        <w:spacing w:line="240" w:lineRule="auto"/>
        <w:rPr>
          <w:rFonts w:ascii="Arial" w:hAnsi="Arial" w:cs="Arial"/>
          <w:sz w:val="20"/>
          <w:lang w:val="es-CO" w:eastAsia="es-ES"/>
        </w:rPr>
      </w:pPr>
      <w:r w:rsidRPr="004B2535">
        <w:rPr>
          <w:rFonts w:ascii="Arial" w:hAnsi="Arial" w:cs="Arial"/>
          <w:sz w:val="20"/>
          <w:lang w:val="es-419" w:eastAsia="es-ES"/>
        </w:rPr>
        <w:t>Es abiertamente comprensible e indiscutible, que para garantizar el comiso de un bien que fue utilizado para la realización de un injusto, se requiere que PREVIAMENTE la Fiscalía haya solicitado ante el juez de control de garantías alguna de las dos medidas cautelares dispuestas por el código de procedimiento penal, ya sean ellas materiales o jurídicas. Sin embargo, analizado con detenimiento este asunto, se observa que la Fiscalía no hizo ninguna solicitud de medida cautelar del vehículo marca Hyundai de placa GGK-923, toda vez que revisado el audio de la audiencia de formulación de imputación no se aprecia petición alguna en tal sentido</w:t>
      </w:r>
      <w:r>
        <w:rPr>
          <w:rFonts w:ascii="Arial" w:hAnsi="Arial" w:cs="Arial"/>
          <w:sz w:val="20"/>
          <w:lang w:val="es-CO" w:eastAsia="es-ES"/>
        </w:rPr>
        <w:t>…</w:t>
      </w:r>
    </w:p>
    <w:p w:rsidR="005E631D" w:rsidRPr="005E631D" w:rsidRDefault="005E631D" w:rsidP="005E631D">
      <w:pPr>
        <w:spacing w:line="240" w:lineRule="auto"/>
        <w:rPr>
          <w:rFonts w:ascii="Arial" w:hAnsi="Arial" w:cs="Arial"/>
          <w:sz w:val="20"/>
          <w:lang w:val="es-419" w:eastAsia="es-ES"/>
        </w:rPr>
      </w:pPr>
    </w:p>
    <w:p w:rsidR="005E631D" w:rsidRPr="005E631D" w:rsidRDefault="005702DC" w:rsidP="005E631D">
      <w:pPr>
        <w:spacing w:line="240" w:lineRule="auto"/>
        <w:rPr>
          <w:rFonts w:ascii="Arial" w:hAnsi="Arial" w:cs="Arial"/>
          <w:sz w:val="20"/>
          <w:lang w:val="es-419" w:eastAsia="es-ES"/>
        </w:rPr>
      </w:pPr>
      <w:r>
        <w:rPr>
          <w:rFonts w:ascii="Arial" w:hAnsi="Arial" w:cs="Arial"/>
          <w:sz w:val="20"/>
          <w:lang w:val="es-CO" w:eastAsia="es-ES"/>
        </w:rPr>
        <w:t xml:space="preserve">… </w:t>
      </w:r>
      <w:r w:rsidRPr="005702DC">
        <w:rPr>
          <w:rFonts w:ascii="Arial" w:hAnsi="Arial" w:cs="Arial"/>
          <w:sz w:val="20"/>
          <w:lang w:val="es-419" w:eastAsia="es-ES"/>
        </w:rPr>
        <w:t>ante la ausencia de una medida cautelar contra el referido bien, no le corresponde a la judicatura resolver sobre la entrega del mismo; en consecuencia, fue acertada la decisión de la falladora de primer nivel en el sentido de disponer que sea la Fiscalía General de la Nación quien frente al vehículo marcha Hyundai GGK-923 tome uno de los siguientes dos caminos: (i) entrega el automotor; o (ii) lo deja a disposición de la Fiscalía de Extinción de Dominio.</w:t>
      </w:r>
    </w:p>
    <w:p w:rsidR="005E631D" w:rsidRPr="005E631D" w:rsidRDefault="005E631D" w:rsidP="005E631D">
      <w:pPr>
        <w:spacing w:line="240" w:lineRule="auto"/>
        <w:rPr>
          <w:rFonts w:ascii="Arial" w:hAnsi="Arial" w:cs="Arial"/>
          <w:sz w:val="20"/>
          <w:lang w:eastAsia="es-ES"/>
        </w:rPr>
      </w:pPr>
    </w:p>
    <w:p w:rsidR="005E631D" w:rsidRPr="005E631D" w:rsidRDefault="005E631D" w:rsidP="005E631D">
      <w:pPr>
        <w:spacing w:line="240" w:lineRule="auto"/>
        <w:rPr>
          <w:rFonts w:ascii="Arial" w:hAnsi="Arial" w:cs="Arial"/>
          <w:sz w:val="20"/>
          <w:lang w:eastAsia="es-ES"/>
        </w:rPr>
      </w:pPr>
    </w:p>
    <w:p w:rsidR="005E631D" w:rsidRPr="005E631D" w:rsidRDefault="005E631D" w:rsidP="005E631D">
      <w:pPr>
        <w:spacing w:line="240" w:lineRule="auto"/>
        <w:rPr>
          <w:rFonts w:ascii="Arial" w:hAnsi="Arial" w:cs="Arial"/>
          <w:sz w:val="20"/>
          <w:lang w:eastAsia="es-ES"/>
        </w:rPr>
      </w:pPr>
    </w:p>
    <w:p w:rsidR="001D08F6" w:rsidRPr="0092283B" w:rsidRDefault="001D08F6" w:rsidP="001D08F6">
      <w:pPr>
        <w:spacing w:line="240" w:lineRule="auto"/>
        <w:jc w:val="center"/>
        <w:rPr>
          <w:b/>
          <w:sz w:val="14"/>
          <w:szCs w:val="12"/>
        </w:rPr>
      </w:pPr>
      <w:r w:rsidRPr="0092283B">
        <w:rPr>
          <w:b/>
          <w:sz w:val="14"/>
          <w:szCs w:val="12"/>
        </w:rPr>
        <w:t>REPÚBLICA DE COLOMBIA</w:t>
      </w:r>
    </w:p>
    <w:p w:rsidR="001D08F6" w:rsidRPr="0092283B" w:rsidRDefault="001D08F6" w:rsidP="001D08F6">
      <w:pPr>
        <w:spacing w:line="240" w:lineRule="auto"/>
        <w:jc w:val="center"/>
        <w:rPr>
          <w:b/>
          <w:sz w:val="14"/>
          <w:szCs w:val="12"/>
        </w:rPr>
      </w:pPr>
      <w:r w:rsidRPr="0092283B">
        <w:rPr>
          <w:b/>
          <w:sz w:val="14"/>
          <w:szCs w:val="12"/>
        </w:rPr>
        <w:t>PEREIRA-RISARALDA</w:t>
      </w:r>
    </w:p>
    <w:p w:rsidR="001D08F6" w:rsidRPr="0092283B" w:rsidRDefault="001D08F6" w:rsidP="001D08F6">
      <w:pPr>
        <w:spacing w:line="240" w:lineRule="auto"/>
        <w:jc w:val="center"/>
        <w:rPr>
          <w:sz w:val="12"/>
          <w:szCs w:val="12"/>
        </w:rPr>
      </w:pPr>
      <w:r w:rsidRPr="0092283B">
        <w:rPr>
          <w:b/>
          <w:iCs/>
          <w:noProof/>
          <w:sz w:val="14"/>
          <w:szCs w:val="12"/>
          <w:lang w:eastAsia="es-ES"/>
        </w:rPr>
        <w:drawing>
          <wp:anchor distT="0" distB="0" distL="114300" distR="114300" simplePos="0" relativeHeight="251659264" behindDoc="1" locked="0" layoutInCell="1" allowOverlap="1">
            <wp:simplePos x="0" y="0"/>
            <wp:positionH relativeFrom="column">
              <wp:posOffset>2496185</wp:posOffset>
            </wp:positionH>
            <wp:positionV relativeFrom="paragraph">
              <wp:posOffset>162560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83B">
        <w:rPr>
          <w:b/>
          <w:sz w:val="14"/>
          <w:szCs w:val="12"/>
        </w:rPr>
        <w:t>RAMA JUDICIAL</w:t>
      </w:r>
    </w:p>
    <w:p w:rsidR="001D08F6" w:rsidRPr="0092283B" w:rsidRDefault="001D08F6" w:rsidP="001D08F6">
      <w:pPr>
        <w:spacing w:line="276" w:lineRule="auto"/>
        <w:jc w:val="center"/>
        <w:rPr>
          <w:rFonts w:cs="Tahoma"/>
          <w:b/>
          <w:sz w:val="24"/>
          <w:szCs w:val="24"/>
        </w:rPr>
      </w:pPr>
      <w:r w:rsidRPr="0092283B">
        <w:rPr>
          <w:rFonts w:cs="Tahoma"/>
          <w:b/>
          <w:smallCaps/>
          <w:color w:val="000000"/>
          <w:sz w:val="24"/>
          <w:szCs w:val="24"/>
        </w:rPr>
        <w:t>TRIBUNAL SUPERIOR DE PEREIRA</w:t>
      </w:r>
    </w:p>
    <w:p w:rsidR="001D08F6" w:rsidRPr="0092283B" w:rsidRDefault="001D08F6" w:rsidP="001D08F6">
      <w:pPr>
        <w:tabs>
          <w:tab w:val="left" w:pos="1202"/>
        </w:tabs>
        <w:spacing w:after="120" w:line="276" w:lineRule="auto"/>
        <w:jc w:val="center"/>
        <w:rPr>
          <w:rFonts w:cs="Tahoma"/>
          <w:b/>
          <w:sz w:val="24"/>
          <w:szCs w:val="24"/>
        </w:rPr>
      </w:pPr>
      <w:r w:rsidRPr="0092283B">
        <w:rPr>
          <w:rFonts w:cs="Tahoma"/>
          <w:b/>
          <w:sz w:val="24"/>
          <w:szCs w:val="24"/>
        </w:rPr>
        <w:t>SALA DE DECISIÓN PENAL</w:t>
      </w:r>
    </w:p>
    <w:p w:rsidR="001D08F6" w:rsidRPr="0092283B" w:rsidRDefault="001D08F6" w:rsidP="001D08F6">
      <w:pPr>
        <w:spacing w:line="276" w:lineRule="auto"/>
        <w:jc w:val="center"/>
        <w:rPr>
          <w:rFonts w:cs="Tahoma"/>
          <w:sz w:val="24"/>
          <w:szCs w:val="24"/>
        </w:rPr>
      </w:pPr>
      <w:r w:rsidRPr="0092283B">
        <w:rPr>
          <w:rFonts w:cs="Tahoma"/>
          <w:sz w:val="24"/>
          <w:szCs w:val="24"/>
        </w:rPr>
        <w:t>Magistrado Ponente</w:t>
      </w:r>
    </w:p>
    <w:p w:rsidR="001D08F6" w:rsidRPr="0092283B" w:rsidRDefault="001D08F6" w:rsidP="001D08F6">
      <w:pPr>
        <w:spacing w:line="276" w:lineRule="auto"/>
        <w:jc w:val="center"/>
        <w:rPr>
          <w:rFonts w:cs="Tahoma"/>
          <w:b/>
          <w:sz w:val="24"/>
          <w:szCs w:val="24"/>
        </w:rPr>
      </w:pPr>
      <w:r w:rsidRPr="0092283B">
        <w:rPr>
          <w:rFonts w:cs="Tahoma"/>
          <w:b/>
          <w:sz w:val="24"/>
          <w:szCs w:val="24"/>
        </w:rPr>
        <w:t xml:space="preserve"> JORGE ARTURO CASTAÑO DUQUE</w:t>
      </w:r>
    </w:p>
    <w:p w:rsidR="0086443E" w:rsidRPr="00337216" w:rsidRDefault="0086443E" w:rsidP="001D08F6">
      <w:pPr>
        <w:spacing w:line="276" w:lineRule="auto"/>
        <w:rPr>
          <w:rFonts w:cs="Tahoma"/>
          <w:sz w:val="24"/>
          <w:szCs w:val="26"/>
        </w:rPr>
      </w:pPr>
    </w:p>
    <w:p w:rsidR="001D08F6" w:rsidRPr="00337216" w:rsidRDefault="001D08F6" w:rsidP="001D08F6">
      <w:pPr>
        <w:spacing w:line="276" w:lineRule="auto"/>
        <w:rPr>
          <w:rFonts w:cs="Tahoma"/>
          <w:sz w:val="24"/>
          <w:szCs w:val="26"/>
        </w:rPr>
      </w:pPr>
    </w:p>
    <w:p w:rsidR="0086443E" w:rsidRPr="0092283B" w:rsidRDefault="0086443E" w:rsidP="001D08F6">
      <w:pPr>
        <w:spacing w:line="276" w:lineRule="auto"/>
        <w:jc w:val="center"/>
        <w:rPr>
          <w:sz w:val="24"/>
        </w:rPr>
      </w:pPr>
      <w:r w:rsidRPr="0092283B">
        <w:rPr>
          <w:sz w:val="24"/>
        </w:rPr>
        <w:t xml:space="preserve">    Pereira, </w:t>
      </w:r>
      <w:r w:rsidR="007E4F8A" w:rsidRPr="0092283B">
        <w:rPr>
          <w:sz w:val="24"/>
        </w:rPr>
        <w:t xml:space="preserve">nueve </w:t>
      </w:r>
      <w:r w:rsidR="00AE7BC9" w:rsidRPr="0092283B">
        <w:rPr>
          <w:sz w:val="24"/>
        </w:rPr>
        <w:t>(</w:t>
      </w:r>
      <w:r w:rsidR="007E4F8A" w:rsidRPr="0092283B">
        <w:rPr>
          <w:sz w:val="24"/>
        </w:rPr>
        <w:t>9</w:t>
      </w:r>
      <w:r w:rsidR="00AE7BC9" w:rsidRPr="0092283B">
        <w:rPr>
          <w:sz w:val="24"/>
        </w:rPr>
        <w:t>) de septiembre</w:t>
      </w:r>
      <w:r w:rsidRPr="0092283B">
        <w:rPr>
          <w:sz w:val="24"/>
        </w:rPr>
        <w:t xml:space="preserve"> de dos mil diecinueve (2019)</w:t>
      </w:r>
    </w:p>
    <w:p w:rsidR="0086443E" w:rsidRPr="00337216" w:rsidRDefault="0086443E" w:rsidP="00337216">
      <w:pPr>
        <w:spacing w:line="276" w:lineRule="auto"/>
        <w:rPr>
          <w:rFonts w:cs="Tahoma"/>
          <w:sz w:val="24"/>
          <w:szCs w:val="26"/>
        </w:rPr>
      </w:pPr>
    </w:p>
    <w:p w:rsidR="0086443E" w:rsidRPr="00337216" w:rsidRDefault="0086443E" w:rsidP="00337216">
      <w:pPr>
        <w:spacing w:line="276" w:lineRule="auto"/>
        <w:rPr>
          <w:rFonts w:cs="Tahoma"/>
          <w:sz w:val="24"/>
          <w:szCs w:val="26"/>
        </w:rPr>
      </w:pPr>
    </w:p>
    <w:p w:rsidR="0086443E" w:rsidRPr="00337216" w:rsidRDefault="0086443E" w:rsidP="001D08F6">
      <w:pPr>
        <w:spacing w:line="276" w:lineRule="auto"/>
        <w:jc w:val="center"/>
        <w:rPr>
          <w:sz w:val="24"/>
          <w:szCs w:val="24"/>
        </w:rPr>
      </w:pPr>
      <w:r w:rsidRPr="0092283B">
        <w:rPr>
          <w:sz w:val="22"/>
          <w:szCs w:val="24"/>
        </w:rPr>
        <w:t xml:space="preserve">  </w:t>
      </w:r>
      <w:r w:rsidRPr="00337216">
        <w:rPr>
          <w:sz w:val="24"/>
          <w:szCs w:val="24"/>
        </w:rPr>
        <w:t xml:space="preserve">ACTA DE APROBACIÓN No </w:t>
      </w:r>
      <w:r w:rsidR="007E4F8A" w:rsidRPr="00337216">
        <w:rPr>
          <w:sz w:val="24"/>
          <w:szCs w:val="24"/>
        </w:rPr>
        <w:t>799</w:t>
      </w:r>
    </w:p>
    <w:p w:rsidR="0086443E" w:rsidRPr="00337216" w:rsidRDefault="0086443E" w:rsidP="001D08F6">
      <w:pPr>
        <w:spacing w:line="276" w:lineRule="auto"/>
        <w:jc w:val="center"/>
        <w:rPr>
          <w:sz w:val="24"/>
          <w:szCs w:val="24"/>
        </w:rPr>
      </w:pPr>
      <w:r w:rsidRPr="00337216">
        <w:rPr>
          <w:sz w:val="24"/>
          <w:szCs w:val="24"/>
        </w:rPr>
        <w:t xml:space="preserve">  SEGUNDA INSTANCIA</w:t>
      </w:r>
    </w:p>
    <w:p w:rsidR="0086443E" w:rsidRPr="00337216" w:rsidRDefault="0086443E" w:rsidP="001D08F6">
      <w:pPr>
        <w:spacing w:line="276" w:lineRule="auto"/>
        <w:rPr>
          <w:rFonts w:cs="Tahoma"/>
          <w:sz w:val="24"/>
          <w:szCs w:val="26"/>
        </w:rPr>
      </w:pPr>
    </w:p>
    <w:p w:rsidR="0086443E" w:rsidRPr="00337216" w:rsidRDefault="0086443E" w:rsidP="001D08F6">
      <w:pPr>
        <w:spacing w:line="276" w:lineRule="auto"/>
        <w:rPr>
          <w:rFonts w:cs="Tahoma"/>
          <w:sz w:val="24"/>
          <w:szCs w:val="2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6237"/>
      </w:tblGrid>
      <w:tr w:rsidR="0086443E" w:rsidRPr="0092283B" w:rsidTr="001D08F6">
        <w:trPr>
          <w:trHeight w:val="259"/>
        </w:trPr>
        <w:tc>
          <w:tcPr>
            <w:tcW w:w="2477" w:type="dxa"/>
            <w:tcBorders>
              <w:top w:val="single" w:sz="4" w:space="0" w:color="auto"/>
              <w:left w:val="single" w:sz="4" w:space="0" w:color="auto"/>
              <w:bottom w:val="single" w:sz="4" w:space="0" w:color="auto"/>
              <w:right w:val="single" w:sz="4" w:space="0" w:color="auto"/>
            </w:tcBorders>
          </w:tcPr>
          <w:p w:rsidR="0086443E" w:rsidRPr="0092283B" w:rsidRDefault="0086443E" w:rsidP="001D08F6">
            <w:pPr>
              <w:pStyle w:val="Tablaidentificadora"/>
              <w:rPr>
                <w:sz w:val="20"/>
                <w:szCs w:val="24"/>
              </w:rPr>
            </w:pPr>
            <w:r w:rsidRPr="0092283B">
              <w:rPr>
                <w:sz w:val="20"/>
                <w:szCs w:val="24"/>
              </w:rPr>
              <w:t xml:space="preserve">Fecha y hora de lectura: </w:t>
            </w:r>
          </w:p>
        </w:tc>
        <w:tc>
          <w:tcPr>
            <w:tcW w:w="6237" w:type="dxa"/>
            <w:tcBorders>
              <w:top w:val="single" w:sz="4" w:space="0" w:color="auto"/>
              <w:left w:val="single" w:sz="4" w:space="0" w:color="auto"/>
              <w:bottom w:val="single" w:sz="4" w:space="0" w:color="auto"/>
              <w:right w:val="single" w:sz="4" w:space="0" w:color="auto"/>
            </w:tcBorders>
          </w:tcPr>
          <w:p w:rsidR="0086443E" w:rsidRPr="0092283B" w:rsidRDefault="007E4F8A" w:rsidP="001D08F6">
            <w:pPr>
              <w:pStyle w:val="Tablaidentificadora"/>
              <w:rPr>
                <w:rFonts w:cs="Tahoma"/>
                <w:sz w:val="20"/>
                <w:szCs w:val="24"/>
              </w:rPr>
            </w:pPr>
            <w:r w:rsidRPr="0092283B">
              <w:rPr>
                <w:rFonts w:cs="Tahoma"/>
                <w:sz w:val="20"/>
                <w:szCs w:val="24"/>
              </w:rPr>
              <w:t>Septiembre 10 de 2019.  9:35 a.m.</w:t>
            </w:r>
          </w:p>
        </w:tc>
      </w:tr>
      <w:tr w:rsidR="0086443E" w:rsidRPr="0092283B" w:rsidTr="001D08F6">
        <w:trPr>
          <w:trHeight w:val="259"/>
        </w:trPr>
        <w:tc>
          <w:tcPr>
            <w:tcW w:w="2477" w:type="dxa"/>
            <w:tcBorders>
              <w:top w:val="single" w:sz="4" w:space="0" w:color="auto"/>
              <w:left w:val="single" w:sz="4" w:space="0" w:color="auto"/>
              <w:bottom w:val="single" w:sz="4" w:space="0" w:color="auto"/>
              <w:right w:val="single" w:sz="4" w:space="0" w:color="auto"/>
            </w:tcBorders>
          </w:tcPr>
          <w:p w:rsidR="0086443E" w:rsidRPr="0092283B" w:rsidRDefault="00F93D0C" w:rsidP="001D08F6">
            <w:pPr>
              <w:pStyle w:val="Tablaidentificadora"/>
              <w:rPr>
                <w:sz w:val="20"/>
                <w:szCs w:val="24"/>
              </w:rPr>
            </w:pPr>
            <w:r w:rsidRPr="0092283B">
              <w:rPr>
                <w:sz w:val="20"/>
                <w:szCs w:val="24"/>
              </w:rPr>
              <w:t>Imputados</w:t>
            </w:r>
            <w:r w:rsidR="0086443E" w:rsidRPr="0092283B">
              <w:rPr>
                <w:sz w:val="20"/>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86443E" w:rsidRPr="0092283B" w:rsidRDefault="00120299" w:rsidP="001D08F6">
            <w:pPr>
              <w:pStyle w:val="Tablaidentificadora"/>
              <w:rPr>
                <w:rFonts w:cs="Tahoma"/>
                <w:sz w:val="20"/>
                <w:szCs w:val="24"/>
              </w:rPr>
            </w:pPr>
            <w:proofErr w:type="spellStart"/>
            <w:r w:rsidRPr="0092283B">
              <w:rPr>
                <w:rFonts w:cs="Tahoma"/>
                <w:sz w:val="20"/>
                <w:szCs w:val="24"/>
              </w:rPr>
              <w:t>EC</w:t>
            </w:r>
            <w:proofErr w:type="spellEnd"/>
            <w:r w:rsidRPr="0092283B">
              <w:rPr>
                <w:rFonts w:cs="Tahoma"/>
                <w:sz w:val="20"/>
                <w:szCs w:val="24"/>
              </w:rPr>
              <w:t xml:space="preserve"> Y OTROS</w:t>
            </w:r>
          </w:p>
        </w:tc>
      </w:tr>
      <w:tr w:rsidR="0086443E" w:rsidRPr="0092283B" w:rsidTr="001D08F6">
        <w:trPr>
          <w:trHeight w:val="275"/>
        </w:trPr>
        <w:tc>
          <w:tcPr>
            <w:tcW w:w="2477" w:type="dxa"/>
            <w:tcBorders>
              <w:top w:val="single" w:sz="4" w:space="0" w:color="auto"/>
              <w:left w:val="single" w:sz="4" w:space="0" w:color="auto"/>
              <w:bottom w:val="single" w:sz="4" w:space="0" w:color="auto"/>
              <w:right w:val="single" w:sz="4" w:space="0" w:color="auto"/>
            </w:tcBorders>
          </w:tcPr>
          <w:p w:rsidR="0086443E" w:rsidRPr="0092283B" w:rsidRDefault="0086443E" w:rsidP="001D08F6">
            <w:pPr>
              <w:pStyle w:val="Tablaidentificadora"/>
              <w:rPr>
                <w:sz w:val="20"/>
                <w:szCs w:val="24"/>
              </w:rPr>
            </w:pPr>
            <w:r w:rsidRPr="0092283B">
              <w:rPr>
                <w:sz w:val="20"/>
                <w:szCs w:val="24"/>
              </w:rPr>
              <w:t>Cédula de ciudadanía:</w:t>
            </w:r>
          </w:p>
        </w:tc>
        <w:tc>
          <w:tcPr>
            <w:tcW w:w="6237" w:type="dxa"/>
            <w:tcBorders>
              <w:top w:val="single" w:sz="4" w:space="0" w:color="auto"/>
              <w:left w:val="single" w:sz="4" w:space="0" w:color="auto"/>
              <w:bottom w:val="single" w:sz="4" w:space="0" w:color="auto"/>
              <w:right w:val="single" w:sz="4" w:space="0" w:color="auto"/>
            </w:tcBorders>
          </w:tcPr>
          <w:p w:rsidR="0086443E" w:rsidRPr="0092283B" w:rsidRDefault="00F93D0C" w:rsidP="001D08F6">
            <w:pPr>
              <w:pStyle w:val="Tablaidentificadora"/>
              <w:rPr>
                <w:rFonts w:cs="Tahoma"/>
                <w:sz w:val="20"/>
                <w:szCs w:val="24"/>
              </w:rPr>
            </w:pPr>
            <w:r w:rsidRPr="0092283B">
              <w:rPr>
                <w:rFonts w:cs="Tahoma"/>
                <w:sz w:val="20"/>
                <w:szCs w:val="24"/>
              </w:rPr>
              <w:t>94.497.919 Expedida en Cali (V.), 25.530.626 expedida en miranda (C.), y 1.112.228.996 expedida en Cali (V.), respectivamente.</w:t>
            </w:r>
          </w:p>
        </w:tc>
      </w:tr>
      <w:tr w:rsidR="0086443E" w:rsidRPr="0092283B" w:rsidTr="001D08F6">
        <w:trPr>
          <w:trHeight w:val="259"/>
        </w:trPr>
        <w:tc>
          <w:tcPr>
            <w:tcW w:w="2477" w:type="dxa"/>
            <w:tcBorders>
              <w:top w:val="single" w:sz="4" w:space="0" w:color="auto"/>
              <w:left w:val="single" w:sz="4" w:space="0" w:color="auto"/>
              <w:bottom w:val="single" w:sz="4" w:space="0" w:color="auto"/>
              <w:right w:val="single" w:sz="4" w:space="0" w:color="auto"/>
            </w:tcBorders>
          </w:tcPr>
          <w:p w:rsidR="0086443E" w:rsidRPr="0092283B" w:rsidRDefault="0086443E" w:rsidP="001D08F6">
            <w:pPr>
              <w:pStyle w:val="Tablaidentificadora"/>
              <w:rPr>
                <w:sz w:val="20"/>
                <w:szCs w:val="24"/>
              </w:rPr>
            </w:pPr>
            <w:r w:rsidRPr="0092283B">
              <w:rPr>
                <w:sz w:val="20"/>
                <w:szCs w:val="24"/>
              </w:rPr>
              <w:t>Delito:</w:t>
            </w:r>
          </w:p>
        </w:tc>
        <w:tc>
          <w:tcPr>
            <w:tcW w:w="6237" w:type="dxa"/>
            <w:tcBorders>
              <w:top w:val="single" w:sz="4" w:space="0" w:color="auto"/>
              <w:left w:val="single" w:sz="4" w:space="0" w:color="auto"/>
              <w:bottom w:val="single" w:sz="4" w:space="0" w:color="auto"/>
              <w:right w:val="single" w:sz="4" w:space="0" w:color="auto"/>
            </w:tcBorders>
          </w:tcPr>
          <w:p w:rsidR="0086443E" w:rsidRPr="0092283B" w:rsidRDefault="002F796D" w:rsidP="001D08F6">
            <w:pPr>
              <w:pStyle w:val="Tablaidentificadora"/>
              <w:rPr>
                <w:rFonts w:cs="Tahoma"/>
                <w:sz w:val="20"/>
                <w:szCs w:val="24"/>
              </w:rPr>
            </w:pPr>
            <w:r w:rsidRPr="0092283B">
              <w:rPr>
                <w:rFonts w:cs="Tahoma"/>
                <w:sz w:val="20"/>
                <w:szCs w:val="24"/>
              </w:rPr>
              <w:t xml:space="preserve">Tráfico, fabricación o porte de estupefacientes </w:t>
            </w:r>
            <w:r w:rsidR="0086443E" w:rsidRPr="0092283B">
              <w:rPr>
                <w:rFonts w:cs="Tahoma"/>
                <w:sz w:val="20"/>
                <w:szCs w:val="24"/>
              </w:rPr>
              <w:t xml:space="preserve"> </w:t>
            </w:r>
          </w:p>
        </w:tc>
      </w:tr>
      <w:tr w:rsidR="0086443E" w:rsidRPr="0092283B" w:rsidTr="001D08F6">
        <w:trPr>
          <w:trHeight w:val="259"/>
        </w:trPr>
        <w:tc>
          <w:tcPr>
            <w:tcW w:w="2477" w:type="dxa"/>
            <w:tcBorders>
              <w:top w:val="single" w:sz="4" w:space="0" w:color="auto"/>
              <w:left w:val="single" w:sz="4" w:space="0" w:color="auto"/>
              <w:bottom w:val="single" w:sz="4" w:space="0" w:color="auto"/>
              <w:right w:val="single" w:sz="4" w:space="0" w:color="auto"/>
            </w:tcBorders>
          </w:tcPr>
          <w:p w:rsidR="0086443E" w:rsidRPr="0092283B" w:rsidRDefault="0086443E" w:rsidP="001D08F6">
            <w:pPr>
              <w:pStyle w:val="Tablaidentificadora"/>
              <w:rPr>
                <w:sz w:val="20"/>
                <w:szCs w:val="24"/>
              </w:rPr>
            </w:pPr>
            <w:r w:rsidRPr="0092283B">
              <w:rPr>
                <w:sz w:val="20"/>
                <w:szCs w:val="24"/>
              </w:rPr>
              <w:t>Víctima:</w:t>
            </w:r>
          </w:p>
        </w:tc>
        <w:tc>
          <w:tcPr>
            <w:tcW w:w="6237" w:type="dxa"/>
            <w:tcBorders>
              <w:top w:val="single" w:sz="4" w:space="0" w:color="auto"/>
              <w:left w:val="single" w:sz="4" w:space="0" w:color="auto"/>
              <w:bottom w:val="single" w:sz="4" w:space="0" w:color="auto"/>
              <w:right w:val="single" w:sz="4" w:space="0" w:color="auto"/>
            </w:tcBorders>
          </w:tcPr>
          <w:p w:rsidR="0086443E" w:rsidRPr="0092283B" w:rsidRDefault="0086443E" w:rsidP="001D08F6">
            <w:pPr>
              <w:pStyle w:val="Tablaidentificadora"/>
              <w:rPr>
                <w:rFonts w:cs="Tahoma"/>
                <w:sz w:val="20"/>
                <w:szCs w:val="24"/>
              </w:rPr>
            </w:pPr>
            <w:r w:rsidRPr="0092283B">
              <w:rPr>
                <w:rFonts w:cs="Tahoma"/>
                <w:sz w:val="20"/>
                <w:szCs w:val="24"/>
              </w:rPr>
              <w:t xml:space="preserve">La </w:t>
            </w:r>
            <w:r w:rsidR="002F796D" w:rsidRPr="0092283B">
              <w:rPr>
                <w:rFonts w:cs="Tahoma"/>
                <w:sz w:val="20"/>
                <w:szCs w:val="24"/>
              </w:rPr>
              <w:t>salud</w:t>
            </w:r>
            <w:r w:rsidRPr="0092283B">
              <w:rPr>
                <w:rFonts w:cs="Tahoma"/>
                <w:sz w:val="20"/>
                <w:szCs w:val="24"/>
              </w:rPr>
              <w:t xml:space="preserve"> pública </w:t>
            </w:r>
          </w:p>
        </w:tc>
      </w:tr>
      <w:tr w:rsidR="0086443E" w:rsidRPr="0092283B" w:rsidTr="001D08F6">
        <w:trPr>
          <w:trHeight w:val="275"/>
        </w:trPr>
        <w:tc>
          <w:tcPr>
            <w:tcW w:w="2477" w:type="dxa"/>
            <w:tcBorders>
              <w:top w:val="single" w:sz="4" w:space="0" w:color="auto"/>
              <w:left w:val="single" w:sz="4" w:space="0" w:color="auto"/>
              <w:bottom w:val="single" w:sz="4" w:space="0" w:color="auto"/>
              <w:right w:val="single" w:sz="4" w:space="0" w:color="auto"/>
            </w:tcBorders>
          </w:tcPr>
          <w:p w:rsidR="0086443E" w:rsidRPr="0092283B" w:rsidRDefault="0086443E" w:rsidP="001D08F6">
            <w:pPr>
              <w:pStyle w:val="Tablaidentificadora"/>
              <w:rPr>
                <w:sz w:val="20"/>
                <w:szCs w:val="24"/>
              </w:rPr>
            </w:pPr>
            <w:r w:rsidRPr="0092283B">
              <w:rPr>
                <w:sz w:val="20"/>
                <w:szCs w:val="24"/>
              </w:rPr>
              <w:t>Procedencia:</w:t>
            </w:r>
          </w:p>
        </w:tc>
        <w:tc>
          <w:tcPr>
            <w:tcW w:w="6237" w:type="dxa"/>
            <w:tcBorders>
              <w:top w:val="single" w:sz="4" w:space="0" w:color="auto"/>
              <w:left w:val="single" w:sz="4" w:space="0" w:color="auto"/>
              <w:bottom w:val="single" w:sz="4" w:space="0" w:color="auto"/>
              <w:right w:val="single" w:sz="4" w:space="0" w:color="auto"/>
            </w:tcBorders>
          </w:tcPr>
          <w:p w:rsidR="0086443E" w:rsidRPr="0092283B" w:rsidRDefault="0086443E" w:rsidP="001D08F6">
            <w:pPr>
              <w:pStyle w:val="Tablaidentificadora"/>
              <w:rPr>
                <w:rFonts w:cs="Tahoma"/>
                <w:sz w:val="20"/>
                <w:szCs w:val="24"/>
              </w:rPr>
            </w:pPr>
            <w:r w:rsidRPr="0092283B">
              <w:rPr>
                <w:rFonts w:cs="Tahoma"/>
                <w:sz w:val="20"/>
                <w:szCs w:val="24"/>
              </w:rPr>
              <w:t xml:space="preserve">Juzgado </w:t>
            </w:r>
            <w:r w:rsidR="002F796D" w:rsidRPr="0092283B">
              <w:rPr>
                <w:rFonts w:cs="Tahoma"/>
                <w:sz w:val="20"/>
                <w:szCs w:val="24"/>
              </w:rPr>
              <w:t>Segundo</w:t>
            </w:r>
            <w:r w:rsidRPr="0092283B">
              <w:rPr>
                <w:rFonts w:cs="Tahoma"/>
                <w:sz w:val="20"/>
                <w:szCs w:val="24"/>
              </w:rPr>
              <w:t xml:space="preserve"> Penal del Circuito de Pereira (Rda.)</w:t>
            </w:r>
          </w:p>
        </w:tc>
      </w:tr>
      <w:tr w:rsidR="0086443E" w:rsidRPr="0092283B" w:rsidTr="001D08F6">
        <w:trPr>
          <w:trHeight w:val="275"/>
        </w:trPr>
        <w:tc>
          <w:tcPr>
            <w:tcW w:w="2477" w:type="dxa"/>
            <w:tcBorders>
              <w:top w:val="single" w:sz="4" w:space="0" w:color="auto"/>
              <w:left w:val="single" w:sz="4" w:space="0" w:color="auto"/>
              <w:bottom w:val="single" w:sz="4" w:space="0" w:color="auto"/>
              <w:right w:val="single" w:sz="4" w:space="0" w:color="auto"/>
            </w:tcBorders>
          </w:tcPr>
          <w:p w:rsidR="0086443E" w:rsidRPr="0092283B" w:rsidRDefault="0086443E" w:rsidP="001D08F6">
            <w:pPr>
              <w:pStyle w:val="Tablaidentificadora"/>
              <w:rPr>
                <w:sz w:val="20"/>
                <w:szCs w:val="24"/>
              </w:rPr>
            </w:pPr>
            <w:r w:rsidRPr="0092283B">
              <w:rPr>
                <w:sz w:val="20"/>
                <w:szCs w:val="24"/>
              </w:rPr>
              <w:t>Asunto:</w:t>
            </w:r>
          </w:p>
        </w:tc>
        <w:tc>
          <w:tcPr>
            <w:tcW w:w="6237" w:type="dxa"/>
            <w:tcBorders>
              <w:top w:val="single" w:sz="4" w:space="0" w:color="auto"/>
              <w:left w:val="single" w:sz="4" w:space="0" w:color="auto"/>
              <w:bottom w:val="single" w:sz="4" w:space="0" w:color="auto"/>
              <w:right w:val="single" w:sz="4" w:space="0" w:color="auto"/>
            </w:tcBorders>
          </w:tcPr>
          <w:p w:rsidR="0086443E" w:rsidRPr="0092283B" w:rsidRDefault="0086443E" w:rsidP="001D08F6">
            <w:pPr>
              <w:pStyle w:val="Tablaidentificadora"/>
              <w:rPr>
                <w:rFonts w:cs="Tahoma"/>
                <w:sz w:val="20"/>
                <w:szCs w:val="24"/>
              </w:rPr>
            </w:pPr>
            <w:r w:rsidRPr="0092283B">
              <w:rPr>
                <w:rFonts w:cs="Tahoma"/>
                <w:sz w:val="20"/>
                <w:szCs w:val="24"/>
              </w:rPr>
              <w:t xml:space="preserve">Decide apelación interpuesta por la </w:t>
            </w:r>
            <w:r w:rsidR="002F796D" w:rsidRPr="0092283B">
              <w:rPr>
                <w:rFonts w:cs="Tahoma"/>
                <w:sz w:val="20"/>
                <w:szCs w:val="24"/>
              </w:rPr>
              <w:t>Fiscalía</w:t>
            </w:r>
            <w:r w:rsidRPr="0092283B">
              <w:rPr>
                <w:rFonts w:cs="Tahoma"/>
                <w:sz w:val="20"/>
                <w:szCs w:val="24"/>
              </w:rPr>
              <w:t xml:space="preserve"> contra la </w:t>
            </w:r>
            <w:r w:rsidR="002F796D" w:rsidRPr="0092283B">
              <w:rPr>
                <w:rFonts w:cs="Tahoma"/>
                <w:sz w:val="20"/>
                <w:szCs w:val="24"/>
              </w:rPr>
              <w:t xml:space="preserve">sentencia </w:t>
            </w:r>
            <w:r w:rsidRPr="0092283B">
              <w:rPr>
                <w:rFonts w:cs="Tahoma"/>
                <w:sz w:val="20"/>
                <w:szCs w:val="24"/>
              </w:rPr>
              <w:t xml:space="preserve">de </w:t>
            </w:r>
            <w:r w:rsidR="002F796D" w:rsidRPr="0092283B">
              <w:rPr>
                <w:rFonts w:cs="Tahoma"/>
                <w:sz w:val="20"/>
                <w:szCs w:val="24"/>
              </w:rPr>
              <w:t>agosto 16 de 2019, en lo que respecta a la decisión de no ordenarse la entrega definitiva de un vehículo.</w:t>
            </w:r>
          </w:p>
        </w:tc>
      </w:tr>
    </w:tbl>
    <w:p w:rsidR="0086443E" w:rsidRPr="00337216" w:rsidRDefault="0086443E" w:rsidP="001D08F6">
      <w:pPr>
        <w:spacing w:line="276" w:lineRule="auto"/>
        <w:rPr>
          <w:rFonts w:cs="Tahoma"/>
          <w:sz w:val="24"/>
          <w:szCs w:val="26"/>
        </w:rPr>
      </w:pPr>
    </w:p>
    <w:p w:rsidR="0086443E" w:rsidRPr="0092283B" w:rsidRDefault="0086443E" w:rsidP="001D08F6">
      <w:pPr>
        <w:spacing w:line="276" w:lineRule="auto"/>
        <w:rPr>
          <w:sz w:val="24"/>
        </w:rPr>
      </w:pPr>
      <w:r w:rsidRPr="00337216">
        <w:rPr>
          <w:rFonts w:cs="Tahoma"/>
          <w:sz w:val="24"/>
          <w:szCs w:val="26"/>
        </w:rPr>
        <w:lastRenderedPageBreak/>
        <w:t>El Tribunal Superior del Distrito Judicial de Pereira pronuncia la decisión en los</w:t>
      </w:r>
      <w:r w:rsidRPr="0092283B">
        <w:rPr>
          <w:sz w:val="24"/>
        </w:rPr>
        <w:t xml:space="preserve"> siguientes términos:</w:t>
      </w:r>
    </w:p>
    <w:p w:rsidR="0086443E" w:rsidRPr="00337216" w:rsidRDefault="0086443E" w:rsidP="001D08F6">
      <w:pPr>
        <w:spacing w:line="276" w:lineRule="auto"/>
        <w:rPr>
          <w:rFonts w:cs="Tahoma"/>
          <w:sz w:val="24"/>
          <w:szCs w:val="26"/>
        </w:rPr>
      </w:pPr>
    </w:p>
    <w:p w:rsidR="0086443E" w:rsidRPr="0092283B" w:rsidRDefault="0086443E" w:rsidP="001D08F6">
      <w:pPr>
        <w:spacing w:line="276" w:lineRule="auto"/>
        <w:rPr>
          <w:rStyle w:val="Algerian"/>
          <w:sz w:val="28"/>
        </w:rPr>
      </w:pPr>
      <w:r w:rsidRPr="0092283B">
        <w:rPr>
          <w:rStyle w:val="Algerian"/>
          <w:sz w:val="28"/>
        </w:rPr>
        <w:t>1.- hechos Y precedentes</w:t>
      </w:r>
    </w:p>
    <w:p w:rsidR="0086443E" w:rsidRPr="00337216" w:rsidRDefault="0086443E" w:rsidP="001D08F6">
      <w:pPr>
        <w:spacing w:line="276" w:lineRule="auto"/>
        <w:rPr>
          <w:rFonts w:cs="Tahoma"/>
          <w:sz w:val="24"/>
          <w:szCs w:val="26"/>
        </w:rPr>
      </w:pPr>
    </w:p>
    <w:p w:rsidR="0086443E" w:rsidRPr="0092283B" w:rsidRDefault="0086443E" w:rsidP="001D08F6">
      <w:pPr>
        <w:spacing w:line="276" w:lineRule="auto"/>
        <w:rPr>
          <w:sz w:val="24"/>
        </w:rPr>
      </w:pPr>
      <w:r w:rsidRPr="0092283B">
        <w:rPr>
          <w:sz w:val="24"/>
        </w:rPr>
        <w:t>La situación fáctica jurídicamente relevante y la actuación procesal esencial para la decisión a tomar, se pueden sintetizar así:</w:t>
      </w:r>
    </w:p>
    <w:p w:rsidR="0086443E" w:rsidRPr="00337216" w:rsidRDefault="0086443E" w:rsidP="001D08F6">
      <w:pPr>
        <w:spacing w:line="276" w:lineRule="auto"/>
        <w:rPr>
          <w:rFonts w:cs="Tahoma"/>
          <w:sz w:val="24"/>
          <w:szCs w:val="26"/>
        </w:rPr>
      </w:pPr>
    </w:p>
    <w:p w:rsidR="001D3186" w:rsidRPr="0092283B" w:rsidRDefault="0086443E" w:rsidP="001D08F6">
      <w:pPr>
        <w:spacing w:line="276" w:lineRule="auto"/>
        <w:rPr>
          <w:rStyle w:val="Numeracinttulo"/>
          <w:b w:val="0"/>
          <w:szCs w:val="26"/>
        </w:rPr>
      </w:pPr>
      <w:r w:rsidRPr="0092283B">
        <w:rPr>
          <w:rStyle w:val="Numeracinttulo"/>
          <w:sz w:val="22"/>
        </w:rPr>
        <w:t>1.1</w:t>
      </w:r>
      <w:r w:rsidR="00FC38DA" w:rsidRPr="0092283B">
        <w:rPr>
          <w:rStyle w:val="Numeracinttulo"/>
          <w:sz w:val="22"/>
        </w:rPr>
        <w:t>.</w:t>
      </w:r>
      <w:r w:rsidR="002F796D" w:rsidRPr="0092283B">
        <w:rPr>
          <w:b/>
          <w:sz w:val="24"/>
        </w:rPr>
        <w:t xml:space="preserve"> </w:t>
      </w:r>
      <w:r w:rsidR="002F796D" w:rsidRPr="0092283B">
        <w:rPr>
          <w:rStyle w:val="Numeracinttulo"/>
          <w:b w:val="0"/>
          <w:szCs w:val="26"/>
        </w:rPr>
        <w:t>Los hechos objeto de investigación tuvieron ocurrencia en febrero 17 de 2019 en el kilómetro 86 de la vía Andalucía – Cerritos, jurisdicción de esta ciudad, cuando servidores adscritos a la Policía Nacional en un puesto de control le hicieron señal de pare al conductor del vehículo de servicio particular, marca Hyundai, de placa GGK-923, para realizar un registro a los pasajeros</w:t>
      </w:r>
      <w:r w:rsidR="001D3186" w:rsidRPr="0092283B">
        <w:rPr>
          <w:rStyle w:val="Numeracinttulo"/>
          <w:b w:val="0"/>
          <w:szCs w:val="26"/>
        </w:rPr>
        <w:t>, procedimiento en el que se hallaron en los guardabarros traseros</w:t>
      </w:r>
      <w:r w:rsidR="00DB3CA9" w:rsidRPr="0092283B">
        <w:rPr>
          <w:rStyle w:val="Numeracinttulo"/>
          <w:b w:val="0"/>
          <w:szCs w:val="26"/>
        </w:rPr>
        <w:t xml:space="preserve"> del automotor</w:t>
      </w:r>
      <w:r w:rsidR="000E1C06" w:rsidRPr="0092283B">
        <w:rPr>
          <w:rStyle w:val="Numeracinttulo"/>
          <w:b w:val="0"/>
          <w:szCs w:val="26"/>
        </w:rPr>
        <w:t xml:space="preserve"> </w:t>
      </w:r>
      <w:r w:rsidR="001D3186" w:rsidRPr="0092283B">
        <w:rPr>
          <w:rStyle w:val="Numeracinttulo"/>
          <w:b w:val="0"/>
          <w:szCs w:val="26"/>
        </w:rPr>
        <w:t>33 paquetes con sustancia vegetal verde con característica</w:t>
      </w:r>
      <w:r w:rsidR="000E1C06" w:rsidRPr="0092283B">
        <w:rPr>
          <w:rStyle w:val="Numeracinttulo"/>
          <w:b w:val="0"/>
          <w:szCs w:val="26"/>
        </w:rPr>
        <w:t>s</w:t>
      </w:r>
      <w:r w:rsidR="001D3186" w:rsidRPr="0092283B">
        <w:rPr>
          <w:rStyle w:val="Numeracinttulo"/>
          <w:b w:val="0"/>
          <w:szCs w:val="26"/>
        </w:rPr>
        <w:t xml:space="preserve"> a marihuana y un paquete con sustancia rocosa color beige similar a cocaína, motivo por el cual fueron capturados</w:t>
      </w:r>
      <w:r w:rsidRPr="0092283B">
        <w:rPr>
          <w:rStyle w:val="Numeracinttulo"/>
          <w:b w:val="0"/>
          <w:szCs w:val="26"/>
        </w:rPr>
        <w:t>.</w:t>
      </w:r>
      <w:r w:rsidR="000E1C06" w:rsidRPr="0092283B">
        <w:rPr>
          <w:rStyle w:val="Numeracinttulo"/>
          <w:b w:val="0"/>
          <w:szCs w:val="26"/>
        </w:rPr>
        <w:t xml:space="preserve"> </w:t>
      </w:r>
      <w:r w:rsidR="001D3186" w:rsidRPr="0092283B">
        <w:rPr>
          <w:rStyle w:val="Numeracinttulo"/>
          <w:b w:val="0"/>
          <w:szCs w:val="26"/>
        </w:rPr>
        <w:t xml:space="preserve">La sustancia incautada arrojó un peso de 16.600 gramos para cannabis </w:t>
      </w:r>
      <w:proofErr w:type="gramStart"/>
      <w:r w:rsidR="001D3186" w:rsidRPr="0092283B">
        <w:rPr>
          <w:rStyle w:val="Numeracinttulo"/>
          <w:b w:val="0"/>
          <w:szCs w:val="26"/>
        </w:rPr>
        <w:t>sativa</w:t>
      </w:r>
      <w:proofErr w:type="gramEnd"/>
      <w:r w:rsidR="001D3186" w:rsidRPr="0092283B">
        <w:rPr>
          <w:rStyle w:val="Numeracinttulo"/>
          <w:b w:val="0"/>
          <w:szCs w:val="26"/>
        </w:rPr>
        <w:t xml:space="preserve"> y 1.594,6 gramos de cocaína y sus derivados.</w:t>
      </w:r>
    </w:p>
    <w:p w:rsidR="0086443E" w:rsidRPr="00337216" w:rsidRDefault="0086443E" w:rsidP="001D08F6">
      <w:pPr>
        <w:spacing w:line="276" w:lineRule="auto"/>
        <w:rPr>
          <w:rFonts w:cs="Tahoma"/>
          <w:sz w:val="24"/>
        </w:rPr>
      </w:pPr>
    </w:p>
    <w:p w:rsidR="0086443E" w:rsidRPr="0092283B" w:rsidRDefault="0086443E" w:rsidP="001D08F6">
      <w:pPr>
        <w:pStyle w:val="Ttulo2"/>
        <w:spacing w:line="276" w:lineRule="auto"/>
        <w:rPr>
          <w:b w:val="0"/>
          <w:szCs w:val="26"/>
        </w:rPr>
      </w:pPr>
      <w:r w:rsidRPr="0092283B">
        <w:rPr>
          <w:sz w:val="22"/>
        </w:rPr>
        <w:t xml:space="preserve">1.2.- </w:t>
      </w:r>
      <w:r w:rsidRPr="0092283B">
        <w:rPr>
          <w:b w:val="0"/>
          <w:szCs w:val="26"/>
        </w:rPr>
        <w:t>Por esos hechos, la Fiscalía formuló imputación (</w:t>
      </w:r>
      <w:r w:rsidR="001D3186" w:rsidRPr="0092283B">
        <w:rPr>
          <w:b w:val="0"/>
          <w:szCs w:val="26"/>
        </w:rPr>
        <w:t>febrero 18 de 2019</w:t>
      </w:r>
      <w:r w:rsidRPr="0092283B">
        <w:rPr>
          <w:b w:val="0"/>
          <w:szCs w:val="26"/>
        </w:rPr>
        <w:t>) a</w:t>
      </w:r>
      <w:r w:rsidR="001D3186" w:rsidRPr="0092283B">
        <w:rPr>
          <w:b w:val="0"/>
          <w:szCs w:val="26"/>
        </w:rPr>
        <w:t xml:space="preserve"> </w:t>
      </w:r>
      <w:proofErr w:type="spellStart"/>
      <w:r w:rsidR="00120299" w:rsidRPr="0092283B">
        <w:rPr>
          <w:sz w:val="20"/>
          <w:szCs w:val="22"/>
        </w:rPr>
        <w:t>EC</w:t>
      </w:r>
      <w:proofErr w:type="spellEnd"/>
      <w:r w:rsidR="00120299" w:rsidRPr="0092283B">
        <w:rPr>
          <w:sz w:val="20"/>
          <w:szCs w:val="22"/>
        </w:rPr>
        <w:t xml:space="preserve"> Y OTROS</w:t>
      </w:r>
      <w:r w:rsidRPr="0092283B">
        <w:rPr>
          <w:b w:val="0"/>
          <w:szCs w:val="26"/>
        </w:rPr>
        <w:t xml:space="preserve"> ante el Juzgado </w:t>
      </w:r>
      <w:r w:rsidR="001D3186" w:rsidRPr="0092283B">
        <w:rPr>
          <w:b w:val="0"/>
          <w:szCs w:val="26"/>
        </w:rPr>
        <w:t>Quinto</w:t>
      </w:r>
      <w:r w:rsidRPr="0092283B">
        <w:rPr>
          <w:b w:val="0"/>
          <w:szCs w:val="26"/>
        </w:rPr>
        <w:t xml:space="preserve"> Penal Municipal </w:t>
      </w:r>
      <w:r w:rsidR="001D3186" w:rsidRPr="0092283B">
        <w:rPr>
          <w:b w:val="0"/>
          <w:szCs w:val="26"/>
        </w:rPr>
        <w:t>con Función de Control de Garantías de Pereira</w:t>
      </w:r>
      <w:r w:rsidRPr="0092283B">
        <w:rPr>
          <w:b w:val="0"/>
          <w:szCs w:val="26"/>
        </w:rPr>
        <w:t xml:space="preserve"> (Rda</w:t>
      </w:r>
      <w:r w:rsidR="00A53F10" w:rsidRPr="0092283B">
        <w:rPr>
          <w:b w:val="0"/>
          <w:szCs w:val="26"/>
        </w:rPr>
        <w:t>.</w:t>
      </w:r>
      <w:r w:rsidRPr="0092283B">
        <w:rPr>
          <w:b w:val="0"/>
          <w:szCs w:val="26"/>
        </w:rPr>
        <w:t xml:space="preserve">), en calidad de </w:t>
      </w:r>
      <w:r w:rsidR="001D3186" w:rsidRPr="0092283B">
        <w:rPr>
          <w:b w:val="0"/>
          <w:szCs w:val="26"/>
        </w:rPr>
        <w:t xml:space="preserve">coautores </w:t>
      </w:r>
      <w:r w:rsidRPr="0092283B">
        <w:rPr>
          <w:b w:val="0"/>
          <w:szCs w:val="26"/>
        </w:rPr>
        <w:t xml:space="preserve">a título de dolo por la conducta punible de </w:t>
      </w:r>
      <w:r w:rsidR="001D3186" w:rsidRPr="0092283B">
        <w:rPr>
          <w:b w:val="0"/>
          <w:szCs w:val="26"/>
        </w:rPr>
        <w:t>tráfico, fabricación o porte de estupefacientes</w:t>
      </w:r>
      <w:r w:rsidRPr="0092283B">
        <w:rPr>
          <w:b w:val="0"/>
          <w:szCs w:val="26"/>
        </w:rPr>
        <w:t xml:space="preserve"> </w:t>
      </w:r>
      <w:r w:rsidRPr="0092283B">
        <w:rPr>
          <w:rFonts w:ascii="Verdana" w:hAnsi="Verdana"/>
          <w:b w:val="0"/>
          <w:sz w:val="20"/>
        </w:rPr>
        <w:t xml:space="preserve">–art. </w:t>
      </w:r>
      <w:r w:rsidR="001D3186" w:rsidRPr="0092283B">
        <w:rPr>
          <w:rFonts w:ascii="Verdana" w:hAnsi="Verdana"/>
          <w:b w:val="0"/>
          <w:sz w:val="20"/>
        </w:rPr>
        <w:t xml:space="preserve">3765 </w:t>
      </w:r>
      <w:r w:rsidRPr="0092283B">
        <w:rPr>
          <w:rFonts w:ascii="Verdana" w:hAnsi="Verdana"/>
          <w:b w:val="0"/>
          <w:sz w:val="20"/>
        </w:rPr>
        <w:t xml:space="preserve">inciso </w:t>
      </w:r>
      <w:r w:rsidR="001D3186" w:rsidRPr="0092283B">
        <w:rPr>
          <w:rFonts w:ascii="Verdana" w:hAnsi="Verdana"/>
          <w:b w:val="0"/>
          <w:sz w:val="20"/>
        </w:rPr>
        <w:t>1</w:t>
      </w:r>
      <w:r w:rsidRPr="0092283B">
        <w:rPr>
          <w:rFonts w:ascii="Verdana" w:hAnsi="Verdana"/>
          <w:b w:val="0"/>
          <w:sz w:val="20"/>
        </w:rPr>
        <w:t>° C.P.-</w:t>
      </w:r>
      <w:r w:rsidRPr="0092283B">
        <w:rPr>
          <w:b w:val="0"/>
          <w:szCs w:val="26"/>
        </w:rPr>
        <w:t xml:space="preserve">, en </w:t>
      </w:r>
      <w:r w:rsidR="001D3186" w:rsidRPr="0092283B">
        <w:rPr>
          <w:b w:val="0"/>
          <w:szCs w:val="26"/>
        </w:rPr>
        <w:t>la modalidad de transportar, cargo que los indiciados</w:t>
      </w:r>
      <w:r w:rsidRPr="0092283B">
        <w:rPr>
          <w:b w:val="0"/>
          <w:szCs w:val="26"/>
        </w:rPr>
        <w:t xml:space="preserve"> NO </w:t>
      </w:r>
      <w:r w:rsidR="001D3186" w:rsidRPr="0092283B">
        <w:rPr>
          <w:b w:val="0"/>
          <w:szCs w:val="26"/>
        </w:rPr>
        <w:t>ACEPTARON</w:t>
      </w:r>
      <w:r w:rsidR="000E1C06" w:rsidRPr="0092283B">
        <w:rPr>
          <w:b w:val="0"/>
          <w:szCs w:val="26"/>
        </w:rPr>
        <w:t xml:space="preserve">. </w:t>
      </w:r>
      <w:r w:rsidRPr="0092283B">
        <w:rPr>
          <w:b w:val="0"/>
          <w:szCs w:val="26"/>
        </w:rPr>
        <w:t>Se</w:t>
      </w:r>
      <w:r w:rsidR="000E1C06" w:rsidRPr="0092283B">
        <w:rPr>
          <w:b w:val="0"/>
          <w:szCs w:val="26"/>
        </w:rPr>
        <w:t xml:space="preserve"> les</w:t>
      </w:r>
      <w:r w:rsidRPr="0092283B">
        <w:rPr>
          <w:b w:val="0"/>
          <w:szCs w:val="26"/>
        </w:rPr>
        <w:t xml:space="preserve"> impuso medida de aseguramiento en centro carcelario</w:t>
      </w:r>
    </w:p>
    <w:p w:rsidR="0086443E" w:rsidRPr="00337216" w:rsidRDefault="0086443E" w:rsidP="001D08F6">
      <w:pPr>
        <w:spacing w:line="276" w:lineRule="auto"/>
        <w:rPr>
          <w:rFonts w:cs="Tahoma"/>
          <w:sz w:val="24"/>
          <w:szCs w:val="26"/>
        </w:rPr>
      </w:pPr>
    </w:p>
    <w:p w:rsidR="0086443E" w:rsidRPr="0092283B" w:rsidRDefault="0086443E" w:rsidP="001D08F6">
      <w:pPr>
        <w:spacing w:line="276" w:lineRule="auto"/>
        <w:rPr>
          <w:rStyle w:val="Numeracinttulo"/>
          <w:b w:val="0"/>
          <w:szCs w:val="26"/>
        </w:rPr>
      </w:pPr>
      <w:r w:rsidRPr="0092283B">
        <w:rPr>
          <w:b/>
          <w:sz w:val="22"/>
          <w:szCs w:val="24"/>
        </w:rPr>
        <w:t>1.3.-</w:t>
      </w:r>
      <w:r w:rsidRPr="0092283B">
        <w:rPr>
          <w:b/>
          <w:sz w:val="24"/>
          <w:szCs w:val="26"/>
        </w:rPr>
        <w:t xml:space="preserve"> </w:t>
      </w:r>
      <w:r w:rsidRPr="0092283B">
        <w:rPr>
          <w:rStyle w:val="Numeracinttulo"/>
          <w:b w:val="0"/>
          <w:szCs w:val="26"/>
        </w:rPr>
        <w:t>Ante la no aceptación de cargos la Fiscalía presentó form</w:t>
      </w:r>
      <w:r w:rsidR="001D3186" w:rsidRPr="0092283B">
        <w:rPr>
          <w:rStyle w:val="Numeracinttulo"/>
          <w:b w:val="0"/>
          <w:szCs w:val="26"/>
        </w:rPr>
        <w:t>al escrito de acusación (abril 08</w:t>
      </w:r>
      <w:r w:rsidRPr="0092283B">
        <w:rPr>
          <w:rStyle w:val="Numeracinttulo"/>
          <w:b w:val="0"/>
          <w:szCs w:val="26"/>
        </w:rPr>
        <w:t xml:space="preserve"> de 201</w:t>
      </w:r>
      <w:r w:rsidR="001D3186" w:rsidRPr="0092283B">
        <w:rPr>
          <w:rStyle w:val="Numeracinttulo"/>
          <w:b w:val="0"/>
          <w:szCs w:val="26"/>
        </w:rPr>
        <w:t>9</w:t>
      </w:r>
      <w:r w:rsidRPr="0092283B">
        <w:rPr>
          <w:rStyle w:val="Numeracinttulo"/>
          <w:b w:val="0"/>
          <w:szCs w:val="26"/>
        </w:rPr>
        <w:t xml:space="preserve">), cuyo conocimiento correspondió al Juzgado </w:t>
      </w:r>
      <w:r w:rsidR="00E877F0" w:rsidRPr="0092283B">
        <w:rPr>
          <w:rStyle w:val="Numeracinttulo"/>
          <w:b w:val="0"/>
          <w:szCs w:val="26"/>
        </w:rPr>
        <w:t xml:space="preserve">Segundo </w:t>
      </w:r>
      <w:r w:rsidRPr="0092283B">
        <w:rPr>
          <w:rStyle w:val="Numeracinttulo"/>
          <w:b w:val="0"/>
          <w:szCs w:val="26"/>
        </w:rPr>
        <w:t>Penal del Circuito de Pereira (Rda.) en el que se l</w:t>
      </w:r>
      <w:r w:rsidR="00E877F0" w:rsidRPr="0092283B">
        <w:rPr>
          <w:rStyle w:val="Numeracinttulo"/>
          <w:b w:val="0"/>
          <w:szCs w:val="26"/>
        </w:rPr>
        <w:t>es atribuyó a</w:t>
      </w:r>
      <w:r w:rsidRPr="0092283B">
        <w:rPr>
          <w:rStyle w:val="Numeracinttulo"/>
          <w:b w:val="0"/>
          <w:szCs w:val="26"/>
        </w:rPr>
        <w:t xml:space="preserve"> </w:t>
      </w:r>
      <w:proofErr w:type="spellStart"/>
      <w:r w:rsidR="00120299" w:rsidRPr="0092283B">
        <w:rPr>
          <w:b/>
          <w:sz w:val="20"/>
          <w:szCs w:val="22"/>
        </w:rPr>
        <w:t>EC</w:t>
      </w:r>
      <w:proofErr w:type="spellEnd"/>
      <w:r w:rsidR="00120299" w:rsidRPr="0092283B">
        <w:rPr>
          <w:b/>
          <w:sz w:val="20"/>
          <w:szCs w:val="22"/>
        </w:rPr>
        <w:t xml:space="preserve"> Y OTROS</w:t>
      </w:r>
      <w:r w:rsidR="00E877F0" w:rsidRPr="0092283B">
        <w:rPr>
          <w:sz w:val="24"/>
          <w:szCs w:val="26"/>
        </w:rPr>
        <w:t xml:space="preserve"> </w:t>
      </w:r>
      <w:r w:rsidR="00E877F0" w:rsidRPr="0092283B">
        <w:rPr>
          <w:rStyle w:val="Numeracinttulo"/>
          <w:b w:val="0"/>
          <w:szCs w:val="26"/>
        </w:rPr>
        <w:t>idéntico cargo</w:t>
      </w:r>
      <w:r w:rsidRPr="0092283B">
        <w:rPr>
          <w:rStyle w:val="Numeracinttulo"/>
          <w:b w:val="0"/>
          <w:szCs w:val="26"/>
        </w:rPr>
        <w:t>. Antes de dar comienzo a la audiencia de formulación de acusación</w:t>
      </w:r>
      <w:r w:rsidR="00E877F0" w:rsidRPr="0092283B">
        <w:rPr>
          <w:rStyle w:val="Numeracinttulo"/>
          <w:b w:val="0"/>
          <w:szCs w:val="26"/>
        </w:rPr>
        <w:t xml:space="preserve"> </w:t>
      </w:r>
      <w:r w:rsidR="00F30D20" w:rsidRPr="0092283B">
        <w:rPr>
          <w:rFonts w:ascii="Verdana" w:hAnsi="Verdana"/>
          <w:sz w:val="20"/>
          <w:lang w:val="es-ES_tradnl"/>
        </w:rPr>
        <w:t>-</w:t>
      </w:r>
      <w:r w:rsidR="00E877F0" w:rsidRPr="0092283B">
        <w:rPr>
          <w:sz w:val="20"/>
          <w:lang w:val="es-ES_tradnl"/>
        </w:rPr>
        <w:t>y luego de varios aplazamientos</w:t>
      </w:r>
      <w:r w:rsidR="00F30D20" w:rsidRPr="0092283B">
        <w:rPr>
          <w:sz w:val="20"/>
          <w:lang w:val="es-ES_tradnl"/>
        </w:rPr>
        <w:t>-</w:t>
      </w:r>
      <w:r w:rsidRPr="0092283B">
        <w:rPr>
          <w:rStyle w:val="Numeracinttulo"/>
          <w:b w:val="0"/>
          <w:szCs w:val="26"/>
        </w:rPr>
        <w:t xml:space="preserve"> (</w:t>
      </w:r>
      <w:r w:rsidR="00E877F0" w:rsidRPr="0092283B">
        <w:rPr>
          <w:rStyle w:val="Numeracinttulo"/>
          <w:b w:val="0"/>
          <w:szCs w:val="26"/>
        </w:rPr>
        <w:t>julio 17 de 2019</w:t>
      </w:r>
      <w:r w:rsidRPr="0092283B">
        <w:rPr>
          <w:rStyle w:val="Numeracinttulo"/>
          <w:b w:val="0"/>
          <w:szCs w:val="26"/>
        </w:rPr>
        <w:t xml:space="preserve">) la Fiscalía informó que había llegado a un preacuerdo </w:t>
      </w:r>
      <w:r w:rsidR="00E877F0" w:rsidRPr="0092283B">
        <w:rPr>
          <w:rStyle w:val="Numeracinttulo"/>
          <w:b w:val="0"/>
          <w:szCs w:val="26"/>
        </w:rPr>
        <w:t>en el que los acusados aceptaban el cargo de tráfico, fabricación o porte de estupefacientes</w:t>
      </w:r>
      <w:r w:rsidRPr="0092283B">
        <w:rPr>
          <w:rStyle w:val="Numeracinttulo"/>
          <w:b w:val="0"/>
          <w:szCs w:val="26"/>
        </w:rPr>
        <w:t xml:space="preserve"> si a cambio se </w:t>
      </w:r>
      <w:r w:rsidR="0048678C" w:rsidRPr="0092283B">
        <w:rPr>
          <w:rStyle w:val="Numeracinttulo"/>
          <w:b w:val="0"/>
          <w:szCs w:val="26"/>
        </w:rPr>
        <w:t>degradaba la partici</w:t>
      </w:r>
      <w:r w:rsidR="00F30D20" w:rsidRPr="0092283B">
        <w:rPr>
          <w:rStyle w:val="Numeracinttulo"/>
          <w:b w:val="0"/>
          <w:szCs w:val="26"/>
        </w:rPr>
        <w:t>pación de coautores a cómplices y se fijaba</w:t>
      </w:r>
      <w:r w:rsidR="0048678C" w:rsidRPr="0092283B">
        <w:rPr>
          <w:rStyle w:val="Numeracinttulo"/>
          <w:b w:val="0"/>
          <w:szCs w:val="26"/>
        </w:rPr>
        <w:t xml:space="preserve"> la pena de prisión y multa en 70 meses y 729.53 </w:t>
      </w:r>
      <w:proofErr w:type="spellStart"/>
      <w:r w:rsidR="0048678C" w:rsidRPr="0092283B">
        <w:rPr>
          <w:rStyle w:val="Numeracinttulo"/>
          <w:b w:val="0"/>
          <w:szCs w:val="26"/>
        </w:rPr>
        <w:t>s.m.l.</w:t>
      </w:r>
      <w:r w:rsidR="00400353" w:rsidRPr="0092283B">
        <w:rPr>
          <w:rStyle w:val="Numeracinttulo"/>
          <w:b w:val="0"/>
          <w:szCs w:val="26"/>
        </w:rPr>
        <w:t>m.</w:t>
      </w:r>
      <w:r w:rsidR="0048678C" w:rsidRPr="0092283B">
        <w:rPr>
          <w:rStyle w:val="Numeracinttulo"/>
          <w:b w:val="0"/>
          <w:szCs w:val="26"/>
        </w:rPr>
        <w:t>v</w:t>
      </w:r>
      <w:proofErr w:type="spellEnd"/>
      <w:r w:rsidR="0048678C" w:rsidRPr="0092283B">
        <w:rPr>
          <w:rStyle w:val="Numeracinttulo"/>
          <w:b w:val="0"/>
          <w:szCs w:val="26"/>
        </w:rPr>
        <w:t>., respectivamente</w:t>
      </w:r>
      <w:r w:rsidRPr="0092283B">
        <w:rPr>
          <w:rStyle w:val="Numeracinttulo"/>
          <w:b w:val="0"/>
          <w:szCs w:val="26"/>
        </w:rPr>
        <w:t>. Por parte de la titular del juzgado de conocimiento se impartió legalidad al preacuerdo.</w:t>
      </w:r>
    </w:p>
    <w:p w:rsidR="0086443E" w:rsidRPr="00337216" w:rsidRDefault="0086443E" w:rsidP="001D08F6">
      <w:pPr>
        <w:spacing w:line="276" w:lineRule="auto"/>
        <w:rPr>
          <w:rFonts w:cs="Tahoma"/>
          <w:sz w:val="24"/>
        </w:rPr>
      </w:pPr>
    </w:p>
    <w:p w:rsidR="0086443E" w:rsidRPr="0092283B" w:rsidRDefault="00A53F10" w:rsidP="001D08F6">
      <w:pPr>
        <w:autoSpaceDE w:val="0"/>
        <w:autoSpaceDN w:val="0"/>
        <w:adjustRightInd w:val="0"/>
        <w:spacing w:line="276" w:lineRule="auto"/>
        <w:rPr>
          <w:rStyle w:val="Numeracinttulo"/>
          <w:rFonts w:cs="Tahoma"/>
          <w:b w:val="0"/>
          <w:lang w:val="es-ES_tradnl"/>
        </w:rPr>
      </w:pPr>
      <w:r w:rsidRPr="0092283B">
        <w:rPr>
          <w:rStyle w:val="Numeracinttulo"/>
          <w:sz w:val="22"/>
          <w:szCs w:val="24"/>
        </w:rPr>
        <w:t>1.4</w:t>
      </w:r>
      <w:r w:rsidR="0086443E" w:rsidRPr="0092283B">
        <w:rPr>
          <w:rStyle w:val="Numeracinttulo"/>
          <w:sz w:val="22"/>
          <w:szCs w:val="24"/>
        </w:rPr>
        <w:t>.-</w:t>
      </w:r>
      <w:r w:rsidR="0086443E" w:rsidRPr="0092283B">
        <w:rPr>
          <w:rStyle w:val="Numeracinttulo"/>
          <w:b w:val="0"/>
          <w:sz w:val="22"/>
          <w:szCs w:val="26"/>
        </w:rPr>
        <w:t xml:space="preserve"> </w:t>
      </w:r>
      <w:r w:rsidR="0086443E" w:rsidRPr="0092283B">
        <w:rPr>
          <w:rStyle w:val="Numeracinttulo"/>
          <w:b w:val="0"/>
          <w:szCs w:val="26"/>
        </w:rPr>
        <w:t xml:space="preserve">En </w:t>
      </w:r>
      <w:r w:rsidRPr="0092283B">
        <w:rPr>
          <w:rStyle w:val="Numeracinttulo"/>
          <w:b w:val="0"/>
          <w:szCs w:val="26"/>
        </w:rPr>
        <w:t>agosto 16 de 2019 la juzgadora</w:t>
      </w:r>
      <w:r w:rsidR="0086443E" w:rsidRPr="0092283B">
        <w:rPr>
          <w:rStyle w:val="Numeracinttulo"/>
          <w:b w:val="0"/>
          <w:szCs w:val="26"/>
        </w:rPr>
        <w:t xml:space="preserve"> </w:t>
      </w:r>
      <w:r w:rsidR="0048678C" w:rsidRPr="0092283B">
        <w:rPr>
          <w:rFonts w:cs="Tahoma"/>
          <w:sz w:val="24"/>
          <w:lang w:val="es-ES_tradnl"/>
        </w:rPr>
        <w:t xml:space="preserve">emitió  sentencia por medio de la cual: (i) condenó a </w:t>
      </w:r>
      <w:proofErr w:type="spellStart"/>
      <w:r w:rsidR="00120299" w:rsidRPr="0092283B">
        <w:rPr>
          <w:b/>
          <w:sz w:val="20"/>
          <w:szCs w:val="22"/>
        </w:rPr>
        <w:t>EC</w:t>
      </w:r>
      <w:proofErr w:type="spellEnd"/>
      <w:r w:rsidR="00120299" w:rsidRPr="0092283B">
        <w:rPr>
          <w:b/>
          <w:sz w:val="20"/>
          <w:szCs w:val="22"/>
        </w:rPr>
        <w:t xml:space="preserve"> Y OTROS</w:t>
      </w:r>
      <w:r w:rsidR="0048678C" w:rsidRPr="0092283B">
        <w:rPr>
          <w:rFonts w:cs="Tahoma"/>
          <w:sz w:val="24"/>
          <w:lang w:val="es-ES_tradnl"/>
        </w:rPr>
        <w:t xml:space="preserve"> a la pena de 70 meses de prisión, y multa de $604.135.4645</w:t>
      </w:r>
      <w:r w:rsidR="00047BFC" w:rsidRPr="0092283B">
        <w:rPr>
          <w:rFonts w:cs="Tahoma"/>
          <w:sz w:val="24"/>
          <w:lang w:val="es-ES_tradnl"/>
        </w:rPr>
        <w:t xml:space="preserve"> </w:t>
      </w:r>
      <w:r w:rsidR="0048678C" w:rsidRPr="0092283B">
        <w:rPr>
          <w:rFonts w:cs="Tahoma"/>
          <w:sz w:val="24"/>
          <w:lang w:val="es-ES_tradnl"/>
        </w:rPr>
        <w:t xml:space="preserve">por la conducta punible de </w:t>
      </w:r>
      <w:r w:rsidR="00047BFC" w:rsidRPr="0092283B">
        <w:rPr>
          <w:rFonts w:cs="Tahoma"/>
          <w:sz w:val="24"/>
          <w:lang w:val="es-ES_tradnl"/>
        </w:rPr>
        <w:t xml:space="preserve">tráfico de estupefacientes, </w:t>
      </w:r>
      <w:r w:rsidR="00F30D20" w:rsidRPr="0092283B">
        <w:rPr>
          <w:rFonts w:cs="Tahoma"/>
          <w:sz w:val="24"/>
          <w:lang w:val="es-ES_tradnl"/>
        </w:rPr>
        <w:t>en</w:t>
      </w:r>
      <w:r w:rsidR="00047BFC" w:rsidRPr="0092283B">
        <w:rPr>
          <w:rFonts w:cs="Tahoma"/>
          <w:sz w:val="24"/>
          <w:lang w:val="es-ES_tradnl"/>
        </w:rPr>
        <w:t xml:space="preserve"> </w:t>
      </w:r>
      <w:r w:rsidR="0048678C" w:rsidRPr="0092283B">
        <w:rPr>
          <w:rFonts w:cs="Tahoma"/>
          <w:sz w:val="24"/>
          <w:lang w:val="es-ES_tradnl"/>
        </w:rPr>
        <w:t>los términos del preacuerdo; (ii) les impuso inhabilitación en el ejercicio de derechos y funciones públicas por el mismo lapso de la san</w:t>
      </w:r>
      <w:r w:rsidR="00047BFC" w:rsidRPr="0092283B">
        <w:rPr>
          <w:rFonts w:cs="Tahoma"/>
          <w:sz w:val="24"/>
          <w:lang w:val="es-ES_tradnl"/>
        </w:rPr>
        <w:t>ción privativa de la libertad;</w:t>
      </w:r>
      <w:r w:rsidR="0048678C" w:rsidRPr="0092283B">
        <w:rPr>
          <w:rFonts w:cs="Tahoma"/>
          <w:sz w:val="24"/>
          <w:lang w:val="es-ES_tradnl"/>
        </w:rPr>
        <w:t xml:space="preserve"> (iii) les negó la suspensión condicional de la ejecución de la pena y la prisión domiciliaria por expresa prohibición legal</w:t>
      </w:r>
      <w:r w:rsidR="00047BFC" w:rsidRPr="0092283B">
        <w:rPr>
          <w:rFonts w:cs="Tahoma"/>
          <w:sz w:val="24"/>
          <w:lang w:val="es-ES_tradnl"/>
        </w:rPr>
        <w:t>; y (iv) dejó a disposición de la Fiscalía el vehículo marcha Hyundai, color rojo, modelo 1998, se placa GGK-923 para que se decida si lo entrega o lo dejan a disposición de la Fiscalía General de Nación para que adelante el respectivo proceso de extinción de dominio, por encontrarse el automotor en la circunstancia descrita por el numeral 5 del artículo 16 de la Ley 1708/14</w:t>
      </w:r>
      <w:r w:rsidR="0048678C" w:rsidRPr="0092283B">
        <w:rPr>
          <w:rFonts w:cs="Tahoma"/>
          <w:sz w:val="24"/>
          <w:lang w:val="es-ES_tradnl"/>
        </w:rPr>
        <w:t>.</w:t>
      </w:r>
    </w:p>
    <w:p w:rsidR="0086443E" w:rsidRPr="00337216" w:rsidRDefault="0086443E" w:rsidP="001D08F6">
      <w:pPr>
        <w:spacing w:line="276" w:lineRule="auto"/>
        <w:rPr>
          <w:rFonts w:cs="Tahoma"/>
          <w:b/>
          <w:sz w:val="24"/>
          <w:szCs w:val="26"/>
        </w:rPr>
      </w:pPr>
    </w:p>
    <w:p w:rsidR="0086443E" w:rsidRPr="0092283B" w:rsidRDefault="0086443E" w:rsidP="001D08F6">
      <w:pPr>
        <w:spacing w:line="276" w:lineRule="auto"/>
        <w:rPr>
          <w:rStyle w:val="Numeracinttulo"/>
          <w:rFonts w:cs="Tahoma"/>
          <w:b w:val="0"/>
          <w:szCs w:val="26"/>
        </w:rPr>
      </w:pPr>
      <w:r w:rsidRPr="0092283B">
        <w:rPr>
          <w:rStyle w:val="Numeracinttulo"/>
          <w:sz w:val="22"/>
          <w:szCs w:val="24"/>
        </w:rPr>
        <w:t>1.</w:t>
      </w:r>
      <w:r w:rsidR="00D00FEF" w:rsidRPr="0092283B">
        <w:rPr>
          <w:rStyle w:val="Numeracinttulo"/>
          <w:sz w:val="22"/>
          <w:szCs w:val="24"/>
        </w:rPr>
        <w:t>5</w:t>
      </w:r>
      <w:r w:rsidRPr="0092283B">
        <w:rPr>
          <w:rStyle w:val="Numeracinttulo"/>
          <w:szCs w:val="26"/>
        </w:rPr>
        <w:t>.-</w:t>
      </w:r>
      <w:r w:rsidRPr="0092283B">
        <w:rPr>
          <w:rStyle w:val="Numeracinttulo"/>
          <w:b w:val="0"/>
          <w:szCs w:val="26"/>
        </w:rPr>
        <w:t xml:space="preserve"> Inconforme con la determinación adoptada </w:t>
      </w:r>
      <w:r w:rsidRPr="0092283B">
        <w:rPr>
          <w:sz w:val="20"/>
          <w:lang w:val="es-ES_tradnl"/>
        </w:rPr>
        <w:t xml:space="preserve">-en relación </w:t>
      </w:r>
      <w:r w:rsidR="00047BFC" w:rsidRPr="0092283B">
        <w:rPr>
          <w:sz w:val="20"/>
          <w:lang w:val="es-ES_tradnl"/>
        </w:rPr>
        <w:t>con la no entrega definitiva del automotor</w:t>
      </w:r>
      <w:r w:rsidRPr="0092283B">
        <w:rPr>
          <w:sz w:val="20"/>
          <w:lang w:val="es-ES_tradnl"/>
        </w:rPr>
        <w:t>-</w:t>
      </w:r>
      <w:r w:rsidRPr="0092283B">
        <w:rPr>
          <w:rStyle w:val="Numeracinttulo"/>
          <w:rFonts w:ascii="Verdana" w:hAnsi="Verdana"/>
          <w:b w:val="0"/>
          <w:szCs w:val="26"/>
        </w:rPr>
        <w:t xml:space="preserve"> </w:t>
      </w:r>
      <w:r w:rsidRPr="0092283B">
        <w:rPr>
          <w:rStyle w:val="Numeracinttulo"/>
          <w:b w:val="0"/>
          <w:szCs w:val="26"/>
        </w:rPr>
        <w:t xml:space="preserve">la </w:t>
      </w:r>
      <w:r w:rsidR="00047BFC" w:rsidRPr="0092283B">
        <w:rPr>
          <w:rStyle w:val="Numeracinttulo"/>
          <w:b w:val="0"/>
          <w:szCs w:val="26"/>
        </w:rPr>
        <w:t>Fiscalía</w:t>
      </w:r>
      <w:r w:rsidRPr="0092283B">
        <w:rPr>
          <w:rStyle w:val="Numeracinttulo"/>
          <w:b w:val="0"/>
          <w:szCs w:val="26"/>
        </w:rPr>
        <w:t xml:space="preserve"> interpuso recurso de apelación.</w:t>
      </w:r>
    </w:p>
    <w:p w:rsidR="0086443E" w:rsidRPr="00337216" w:rsidRDefault="0086443E" w:rsidP="001D08F6">
      <w:pPr>
        <w:spacing w:line="276" w:lineRule="auto"/>
      </w:pPr>
    </w:p>
    <w:p w:rsidR="0086443E" w:rsidRPr="0092283B" w:rsidRDefault="0086443E" w:rsidP="001D08F6">
      <w:pPr>
        <w:spacing w:line="276" w:lineRule="auto"/>
        <w:rPr>
          <w:rStyle w:val="Algerian"/>
          <w:sz w:val="28"/>
        </w:rPr>
      </w:pPr>
      <w:r w:rsidRPr="0092283B">
        <w:rPr>
          <w:rStyle w:val="Algerian"/>
          <w:sz w:val="28"/>
        </w:rPr>
        <w:t>2.- Debate</w:t>
      </w:r>
    </w:p>
    <w:p w:rsidR="0086443E" w:rsidRPr="00337216" w:rsidRDefault="0086443E" w:rsidP="001D08F6">
      <w:pPr>
        <w:spacing w:line="276" w:lineRule="auto"/>
        <w:rPr>
          <w:rFonts w:cs="Tahoma"/>
          <w:sz w:val="24"/>
          <w:szCs w:val="26"/>
        </w:rPr>
      </w:pPr>
    </w:p>
    <w:p w:rsidR="0086443E" w:rsidRPr="0092283B" w:rsidRDefault="0086443E" w:rsidP="001D08F6">
      <w:pPr>
        <w:spacing w:line="276" w:lineRule="auto"/>
        <w:rPr>
          <w:sz w:val="20"/>
          <w:lang w:val="es-ES_tradnl"/>
        </w:rPr>
      </w:pPr>
      <w:r w:rsidRPr="0092283B">
        <w:rPr>
          <w:b/>
          <w:sz w:val="22"/>
          <w:szCs w:val="24"/>
        </w:rPr>
        <w:t>2.1.</w:t>
      </w:r>
      <w:r w:rsidRPr="0092283B">
        <w:rPr>
          <w:sz w:val="24"/>
        </w:rPr>
        <w:t xml:space="preserve">- </w:t>
      </w:r>
      <w:r w:rsidR="00047BFC" w:rsidRPr="0092283B">
        <w:rPr>
          <w:sz w:val="24"/>
          <w:szCs w:val="26"/>
        </w:rPr>
        <w:t>Fiscal</w:t>
      </w:r>
      <w:r w:rsidRPr="0092283B">
        <w:rPr>
          <w:sz w:val="20"/>
          <w:lang w:val="es-ES_tradnl"/>
        </w:rPr>
        <w:t xml:space="preserve"> -recurrente-</w:t>
      </w:r>
    </w:p>
    <w:p w:rsidR="00886BD4" w:rsidRPr="0092283B" w:rsidRDefault="00886BD4" w:rsidP="001D08F6">
      <w:pPr>
        <w:spacing w:line="276" w:lineRule="auto"/>
        <w:rPr>
          <w:rFonts w:cs="Tahoma"/>
          <w:sz w:val="24"/>
          <w:szCs w:val="26"/>
        </w:rPr>
      </w:pPr>
    </w:p>
    <w:p w:rsidR="00047BFC" w:rsidRPr="0092283B" w:rsidRDefault="0086443E" w:rsidP="001D08F6">
      <w:pPr>
        <w:spacing w:line="276" w:lineRule="auto"/>
        <w:rPr>
          <w:rFonts w:cs="Tahoma"/>
          <w:sz w:val="24"/>
          <w:szCs w:val="26"/>
        </w:rPr>
      </w:pPr>
      <w:r w:rsidRPr="0092283B">
        <w:rPr>
          <w:rFonts w:cs="Tahoma"/>
          <w:sz w:val="24"/>
          <w:szCs w:val="26"/>
        </w:rPr>
        <w:t>Solicita se revoque</w:t>
      </w:r>
      <w:r w:rsidR="00047BFC" w:rsidRPr="0092283B">
        <w:rPr>
          <w:rFonts w:cs="Tahoma"/>
          <w:sz w:val="24"/>
          <w:szCs w:val="26"/>
        </w:rPr>
        <w:t xml:space="preserve"> la decisión respecto a no ordenarse la entrega del vehículo de placa GGK-923 incautado en la investigación, y argumentó:</w:t>
      </w:r>
    </w:p>
    <w:p w:rsidR="00047BFC" w:rsidRPr="0092283B" w:rsidRDefault="00047BFC" w:rsidP="001D08F6">
      <w:pPr>
        <w:spacing w:line="276" w:lineRule="auto"/>
        <w:rPr>
          <w:rFonts w:cs="Tahoma"/>
          <w:sz w:val="24"/>
          <w:szCs w:val="26"/>
        </w:rPr>
      </w:pPr>
    </w:p>
    <w:p w:rsidR="00A94498" w:rsidRPr="0092283B" w:rsidRDefault="00047BFC" w:rsidP="001D08F6">
      <w:pPr>
        <w:spacing w:line="276" w:lineRule="auto"/>
        <w:rPr>
          <w:rFonts w:cs="Tahoma"/>
          <w:sz w:val="24"/>
          <w:szCs w:val="26"/>
        </w:rPr>
      </w:pPr>
      <w:r w:rsidRPr="0092283B">
        <w:rPr>
          <w:rFonts w:cs="Tahoma"/>
          <w:sz w:val="24"/>
          <w:szCs w:val="26"/>
        </w:rPr>
        <w:t xml:space="preserve">El artículo 85 C.P.P. dice que en la formulación de imputación </w:t>
      </w:r>
      <w:r w:rsidR="00F30D20" w:rsidRPr="0092283B">
        <w:rPr>
          <w:rFonts w:cs="Tahoma"/>
          <w:sz w:val="24"/>
          <w:szCs w:val="26"/>
        </w:rPr>
        <w:t>o</w:t>
      </w:r>
      <w:r w:rsidR="00A94498" w:rsidRPr="0092283B">
        <w:rPr>
          <w:rFonts w:cs="Tahoma"/>
          <w:sz w:val="24"/>
          <w:szCs w:val="26"/>
        </w:rPr>
        <w:t xml:space="preserve"> en audiencia preliminar ante el Juez de Control de Garantías la Fiscalía podrá solicitar la suspensión del poder dispositivo con fines de comiso, por lo que se tendrá en cuenta el interés de la justicia, el valor del bien y la viabilidad de la económica.</w:t>
      </w:r>
    </w:p>
    <w:p w:rsidR="00A94498" w:rsidRPr="0092283B" w:rsidRDefault="00A94498" w:rsidP="001D08F6">
      <w:pPr>
        <w:spacing w:line="276" w:lineRule="auto"/>
        <w:rPr>
          <w:rFonts w:cs="Tahoma"/>
          <w:sz w:val="24"/>
          <w:szCs w:val="26"/>
        </w:rPr>
      </w:pPr>
    </w:p>
    <w:p w:rsidR="0086443E" w:rsidRPr="0092283B" w:rsidRDefault="00A94498" w:rsidP="001D08F6">
      <w:pPr>
        <w:spacing w:line="276" w:lineRule="auto"/>
        <w:rPr>
          <w:rFonts w:cs="Tahoma"/>
          <w:sz w:val="24"/>
          <w:szCs w:val="26"/>
        </w:rPr>
      </w:pPr>
      <w:r w:rsidRPr="0092283B">
        <w:rPr>
          <w:rFonts w:cs="Tahoma"/>
          <w:sz w:val="24"/>
          <w:szCs w:val="26"/>
        </w:rPr>
        <w:t xml:space="preserve">Por su parte el artículo 88 C.P.P. señala que antes de formularse la acusación y en un término que no exceda de seis meses serán devueltos los bienes y recursos incautados, </w:t>
      </w:r>
      <w:r w:rsidR="0041784F" w:rsidRPr="0092283B">
        <w:rPr>
          <w:rFonts w:cs="Tahoma"/>
          <w:sz w:val="24"/>
          <w:szCs w:val="26"/>
        </w:rPr>
        <w:t xml:space="preserve">pero </w:t>
      </w:r>
      <w:r w:rsidRPr="0092283B">
        <w:rPr>
          <w:rFonts w:cs="Tahoma"/>
          <w:sz w:val="24"/>
          <w:szCs w:val="26"/>
        </w:rPr>
        <w:t>la Corte Constitucional en sentencia C-591/14 declaró inexequible el aparte de la norma que autorizaba a la fiscalía ordenar dichas entregas, por tanto, corresponde a los jueces de garantía o de conocimiento disponer la entrega de los vehículos</w:t>
      </w:r>
      <w:r w:rsidR="0086443E" w:rsidRPr="0092283B">
        <w:rPr>
          <w:rFonts w:cs="Tahoma"/>
          <w:sz w:val="24"/>
          <w:szCs w:val="26"/>
        </w:rPr>
        <w:t xml:space="preserve">. </w:t>
      </w:r>
    </w:p>
    <w:p w:rsidR="00120299" w:rsidRPr="0092283B" w:rsidRDefault="00120299" w:rsidP="001D08F6">
      <w:pPr>
        <w:spacing w:line="276" w:lineRule="auto"/>
        <w:rPr>
          <w:rFonts w:cs="Tahoma"/>
          <w:sz w:val="24"/>
          <w:szCs w:val="26"/>
        </w:rPr>
      </w:pPr>
    </w:p>
    <w:p w:rsidR="00A94498" w:rsidRPr="0092283B" w:rsidRDefault="0041784F" w:rsidP="001D08F6">
      <w:pPr>
        <w:spacing w:line="276" w:lineRule="auto"/>
        <w:rPr>
          <w:rFonts w:cs="Tahoma"/>
          <w:sz w:val="24"/>
          <w:szCs w:val="26"/>
        </w:rPr>
      </w:pPr>
      <w:r w:rsidRPr="0092283B">
        <w:rPr>
          <w:rFonts w:cs="Tahoma"/>
          <w:sz w:val="24"/>
          <w:szCs w:val="26"/>
        </w:rPr>
        <w:t>En su momento le s</w:t>
      </w:r>
      <w:r w:rsidR="00A53F10" w:rsidRPr="0092283B">
        <w:rPr>
          <w:rFonts w:cs="Tahoma"/>
          <w:sz w:val="24"/>
          <w:szCs w:val="26"/>
        </w:rPr>
        <w:t>olicitó a la falladora</w:t>
      </w:r>
      <w:r w:rsidR="00A94498" w:rsidRPr="0092283B">
        <w:rPr>
          <w:rFonts w:cs="Tahoma"/>
          <w:sz w:val="24"/>
          <w:szCs w:val="26"/>
        </w:rPr>
        <w:t xml:space="preserve"> la entrega del vehículo para que el mismo no quedara a la deriva, máxime cuando la Fiscalía no tiene ningún interés en ese bien, por cuanto e</w:t>
      </w:r>
      <w:r w:rsidR="00A53F10" w:rsidRPr="0092283B">
        <w:rPr>
          <w:rFonts w:cs="Tahoma"/>
          <w:sz w:val="24"/>
          <w:szCs w:val="26"/>
        </w:rPr>
        <w:t>l automotor se encuentra dañado; en consecuencia, asegura,</w:t>
      </w:r>
      <w:r w:rsidR="00A94498" w:rsidRPr="0092283B">
        <w:rPr>
          <w:rFonts w:cs="Tahoma"/>
          <w:sz w:val="24"/>
          <w:szCs w:val="26"/>
        </w:rPr>
        <w:t xml:space="preserve"> la Fiscalía no puede ordenar la entrega del vehículo</w:t>
      </w:r>
      <w:r w:rsidRPr="0092283B">
        <w:rPr>
          <w:rFonts w:cs="Tahoma"/>
          <w:sz w:val="24"/>
          <w:szCs w:val="26"/>
        </w:rPr>
        <w:t xml:space="preserve">, </w:t>
      </w:r>
      <w:r w:rsidR="00A94498" w:rsidRPr="0092283B">
        <w:rPr>
          <w:rFonts w:cs="Tahoma"/>
          <w:sz w:val="24"/>
          <w:szCs w:val="26"/>
        </w:rPr>
        <w:t xml:space="preserve">y no </w:t>
      </w:r>
      <w:r w:rsidRPr="0092283B">
        <w:rPr>
          <w:rFonts w:cs="Tahoma"/>
          <w:sz w:val="24"/>
          <w:szCs w:val="26"/>
        </w:rPr>
        <w:t>iniciará</w:t>
      </w:r>
      <w:r w:rsidR="00A94498" w:rsidRPr="0092283B">
        <w:rPr>
          <w:rFonts w:cs="Tahoma"/>
          <w:sz w:val="24"/>
          <w:szCs w:val="26"/>
        </w:rPr>
        <w:t xml:space="preserve"> proceso de extinción de dominio.</w:t>
      </w:r>
    </w:p>
    <w:p w:rsidR="0086443E" w:rsidRPr="00337216" w:rsidRDefault="0086443E" w:rsidP="001D08F6">
      <w:pPr>
        <w:spacing w:line="276" w:lineRule="auto"/>
        <w:rPr>
          <w:rFonts w:cs="Tahoma"/>
          <w:sz w:val="24"/>
          <w:szCs w:val="26"/>
        </w:rPr>
      </w:pPr>
    </w:p>
    <w:p w:rsidR="0086443E" w:rsidRPr="0092283B" w:rsidRDefault="0086443E" w:rsidP="001D08F6">
      <w:pPr>
        <w:spacing w:line="276" w:lineRule="auto"/>
        <w:rPr>
          <w:rFonts w:ascii="Verdana" w:hAnsi="Verdana"/>
          <w:sz w:val="18"/>
        </w:rPr>
      </w:pPr>
      <w:r w:rsidRPr="0092283B">
        <w:rPr>
          <w:b/>
          <w:sz w:val="22"/>
          <w:szCs w:val="24"/>
        </w:rPr>
        <w:t>2.2.</w:t>
      </w:r>
      <w:r w:rsidRPr="0092283B">
        <w:rPr>
          <w:sz w:val="24"/>
        </w:rPr>
        <w:t xml:space="preserve">- </w:t>
      </w:r>
      <w:r w:rsidRPr="0092283B">
        <w:rPr>
          <w:sz w:val="24"/>
          <w:szCs w:val="26"/>
        </w:rPr>
        <w:t xml:space="preserve">Las partes no recurrentes </w:t>
      </w:r>
      <w:r w:rsidR="00047BFC" w:rsidRPr="0092283B">
        <w:rPr>
          <w:sz w:val="24"/>
          <w:szCs w:val="26"/>
        </w:rPr>
        <w:t>no se pronunciaron</w:t>
      </w:r>
      <w:r w:rsidRPr="0092283B">
        <w:rPr>
          <w:sz w:val="24"/>
          <w:szCs w:val="26"/>
        </w:rPr>
        <w:t>.</w:t>
      </w:r>
    </w:p>
    <w:p w:rsidR="0086443E" w:rsidRPr="00337216" w:rsidRDefault="0086443E" w:rsidP="001D08F6">
      <w:pPr>
        <w:spacing w:line="276" w:lineRule="auto"/>
      </w:pPr>
    </w:p>
    <w:p w:rsidR="0086443E" w:rsidRPr="0092283B" w:rsidRDefault="0086443E" w:rsidP="001D08F6">
      <w:pPr>
        <w:spacing w:line="276" w:lineRule="auto"/>
        <w:rPr>
          <w:rStyle w:val="Algerian"/>
          <w:sz w:val="28"/>
        </w:rPr>
      </w:pPr>
      <w:r w:rsidRPr="0092283B">
        <w:rPr>
          <w:rStyle w:val="Algerian"/>
          <w:sz w:val="28"/>
        </w:rPr>
        <w:t xml:space="preserve">3.- </w:t>
      </w:r>
      <w:r w:rsidRPr="0092283B">
        <w:rPr>
          <w:rStyle w:val="Algerian"/>
          <w:rFonts w:ascii="Tahoma" w:hAnsi="Tahoma" w:cs="Tahoma"/>
          <w:sz w:val="24"/>
          <w:szCs w:val="26"/>
        </w:rPr>
        <w:t>Para resolver,</w:t>
      </w:r>
      <w:r w:rsidRPr="0092283B">
        <w:rPr>
          <w:rStyle w:val="Algerian"/>
          <w:sz w:val="28"/>
        </w:rPr>
        <w:t xml:space="preserve"> se considera</w:t>
      </w:r>
    </w:p>
    <w:p w:rsidR="0086443E" w:rsidRPr="00337216" w:rsidRDefault="0086443E" w:rsidP="001D08F6">
      <w:pPr>
        <w:spacing w:line="276" w:lineRule="auto"/>
        <w:rPr>
          <w:rFonts w:cs="Tahoma"/>
          <w:sz w:val="24"/>
          <w:szCs w:val="26"/>
        </w:rPr>
      </w:pPr>
      <w:r w:rsidRPr="00337216">
        <w:rPr>
          <w:rFonts w:cs="Tahoma"/>
          <w:sz w:val="24"/>
          <w:szCs w:val="26"/>
        </w:rPr>
        <w:t xml:space="preserve"> </w:t>
      </w:r>
    </w:p>
    <w:p w:rsidR="0086443E" w:rsidRPr="0092283B" w:rsidRDefault="0086443E" w:rsidP="001D08F6">
      <w:pPr>
        <w:spacing w:line="276" w:lineRule="auto"/>
        <w:rPr>
          <w:b/>
          <w:sz w:val="22"/>
          <w:szCs w:val="24"/>
        </w:rPr>
      </w:pPr>
      <w:r w:rsidRPr="0092283B">
        <w:rPr>
          <w:b/>
          <w:sz w:val="22"/>
          <w:szCs w:val="24"/>
        </w:rPr>
        <w:t>3.1.-</w:t>
      </w:r>
      <w:r w:rsidRPr="0092283B">
        <w:rPr>
          <w:b/>
          <w:sz w:val="24"/>
        </w:rPr>
        <w:t xml:space="preserve"> </w:t>
      </w:r>
      <w:r w:rsidRPr="0092283B">
        <w:rPr>
          <w:b/>
          <w:sz w:val="22"/>
          <w:szCs w:val="24"/>
        </w:rPr>
        <w:t>Competencia</w:t>
      </w:r>
    </w:p>
    <w:p w:rsidR="0086443E" w:rsidRPr="00337216" w:rsidRDefault="0086443E" w:rsidP="001D08F6">
      <w:pPr>
        <w:spacing w:line="276" w:lineRule="auto"/>
        <w:rPr>
          <w:rFonts w:cs="Tahoma"/>
          <w:sz w:val="24"/>
          <w:szCs w:val="26"/>
        </w:rPr>
      </w:pPr>
    </w:p>
    <w:p w:rsidR="0086443E" w:rsidRPr="00337216" w:rsidRDefault="0086443E" w:rsidP="001D08F6">
      <w:pPr>
        <w:spacing w:line="276" w:lineRule="auto"/>
        <w:rPr>
          <w:rFonts w:cs="Tahoma"/>
          <w:sz w:val="24"/>
          <w:szCs w:val="26"/>
        </w:rPr>
      </w:pPr>
      <w:r w:rsidRPr="0092283B">
        <w:rPr>
          <w:sz w:val="24"/>
        </w:rPr>
        <w:t>La tiene esta Colegiatura de conformidad con los factores objetivo, territorial y funcional a voces de los artículos 20, 34.1 y 178 de la Ley 906 de 2004</w:t>
      </w:r>
      <w:r w:rsidRPr="0092283B">
        <w:rPr>
          <w:sz w:val="20"/>
          <w:lang w:val="es-ES_tradnl"/>
        </w:rPr>
        <w:t xml:space="preserve"> -modificado este último por el artículo 90 de la Ley 1395 de 2010-</w:t>
      </w:r>
      <w:r w:rsidRPr="0092283B">
        <w:rPr>
          <w:sz w:val="24"/>
        </w:rPr>
        <w:t xml:space="preserve">, al haber sido oportunamente interpuesta y debidamente sustentada una apelación contra una providencia susceptible de ese </w:t>
      </w:r>
      <w:r w:rsidRPr="00337216">
        <w:rPr>
          <w:rFonts w:cs="Tahoma"/>
          <w:sz w:val="24"/>
          <w:szCs w:val="26"/>
        </w:rPr>
        <w:t xml:space="preserve">recurso y por una de las partes habilitadas para hacerlo -en nuestro caso la </w:t>
      </w:r>
      <w:r w:rsidR="00A94498" w:rsidRPr="00337216">
        <w:rPr>
          <w:rFonts w:cs="Tahoma"/>
          <w:sz w:val="24"/>
          <w:szCs w:val="26"/>
        </w:rPr>
        <w:t>Fiscalía</w:t>
      </w:r>
      <w:r w:rsidRPr="00337216">
        <w:rPr>
          <w:rFonts w:cs="Tahoma"/>
          <w:sz w:val="24"/>
          <w:szCs w:val="26"/>
        </w:rPr>
        <w:t>-.</w:t>
      </w:r>
    </w:p>
    <w:p w:rsidR="0086443E" w:rsidRPr="00337216" w:rsidRDefault="0086443E" w:rsidP="001D08F6">
      <w:pPr>
        <w:spacing w:line="276" w:lineRule="auto"/>
        <w:rPr>
          <w:rFonts w:cs="Tahoma"/>
          <w:sz w:val="24"/>
          <w:szCs w:val="26"/>
        </w:rPr>
      </w:pPr>
    </w:p>
    <w:p w:rsidR="0086443E" w:rsidRPr="0092283B" w:rsidRDefault="0086443E" w:rsidP="001D08F6">
      <w:pPr>
        <w:spacing w:line="276" w:lineRule="auto"/>
        <w:rPr>
          <w:sz w:val="24"/>
        </w:rPr>
      </w:pPr>
      <w:r w:rsidRPr="0092283B">
        <w:rPr>
          <w:b/>
          <w:sz w:val="22"/>
          <w:szCs w:val="24"/>
        </w:rPr>
        <w:t>3.2.-</w:t>
      </w:r>
      <w:r w:rsidRPr="0092283B">
        <w:rPr>
          <w:sz w:val="24"/>
        </w:rPr>
        <w:t xml:space="preserve"> </w:t>
      </w:r>
      <w:r w:rsidRPr="0092283B">
        <w:rPr>
          <w:b/>
          <w:sz w:val="22"/>
          <w:szCs w:val="24"/>
        </w:rPr>
        <w:t>Problema jurídico planteado</w:t>
      </w:r>
    </w:p>
    <w:p w:rsidR="0086443E" w:rsidRPr="00337216" w:rsidRDefault="0086443E" w:rsidP="001D08F6">
      <w:pPr>
        <w:spacing w:line="276" w:lineRule="auto"/>
        <w:rPr>
          <w:rFonts w:cs="Tahoma"/>
          <w:sz w:val="24"/>
          <w:szCs w:val="26"/>
        </w:rPr>
      </w:pPr>
    </w:p>
    <w:p w:rsidR="0086443E" w:rsidRPr="0092283B" w:rsidRDefault="0086443E" w:rsidP="001D08F6">
      <w:pPr>
        <w:spacing w:line="276" w:lineRule="auto"/>
        <w:rPr>
          <w:rFonts w:cs="Tahoma"/>
          <w:sz w:val="24"/>
          <w:szCs w:val="26"/>
        </w:rPr>
      </w:pPr>
      <w:r w:rsidRPr="0092283B">
        <w:rPr>
          <w:sz w:val="24"/>
        </w:rPr>
        <w:t xml:space="preserve">El asunto que concita la atención de la Corporación se contrae básicamente a determinar si fue acertado por parte de la funcionaria a quo </w:t>
      </w:r>
      <w:r w:rsidR="00400353" w:rsidRPr="0092283B">
        <w:rPr>
          <w:sz w:val="24"/>
        </w:rPr>
        <w:t xml:space="preserve">haber dispuesto que sea la Fiscalía  la que adopte una decisión definitiva con respecto al destino del automotor de placas </w:t>
      </w:r>
      <w:r w:rsidR="0041784F" w:rsidRPr="0092283B">
        <w:rPr>
          <w:sz w:val="24"/>
        </w:rPr>
        <w:t>GGK-923</w:t>
      </w:r>
      <w:r w:rsidRPr="0092283B">
        <w:rPr>
          <w:rFonts w:cs="Tahoma"/>
          <w:sz w:val="24"/>
          <w:szCs w:val="26"/>
        </w:rPr>
        <w:t>; y, de acuerdo con el resultado del anterior interrogante</w:t>
      </w:r>
      <w:r w:rsidR="00460F96" w:rsidRPr="0092283B">
        <w:rPr>
          <w:rFonts w:cs="Tahoma"/>
          <w:sz w:val="24"/>
          <w:szCs w:val="26"/>
        </w:rPr>
        <w:t>,</w:t>
      </w:r>
      <w:r w:rsidRPr="0092283B">
        <w:rPr>
          <w:rFonts w:cs="Tahoma"/>
          <w:sz w:val="24"/>
          <w:szCs w:val="26"/>
        </w:rPr>
        <w:t xml:space="preserve"> se </w:t>
      </w:r>
      <w:r w:rsidRPr="0092283B">
        <w:rPr>
          <w:rFonts w:cs="Tahoma"/>
          <w:sz w:val="24"/>
          <w:szCs w:val="26"/>
        </w:rPr>
        <w:lastRenderedPageBreak/>
        <w:t>establecerá si se debe confirmar la sentencia,</w:t>
      </w:r>
      <w:r w:rsidR="00460F96" w:rsidRPr="0092283B">
        <w:rPr>
          <w:rFonts w:cs="Tahoma"/>
          <w:sz w:val="24"/>
          <w:szCs w:val="26"/>
        </w:rPr>
        <w:t xml:space="preserve"> aclararla, modificarla,</w:t>
      </w:r>
      <w:r w:rsidR="00E25A6D" w:rsidRPr="0092283B">
        <w:rPr>
          <w:rFonts w:cs="Tahoma"/>
          <w:sz w:val="24"/>
          <w:szCs w:val="26"/>
        </w:rPr>
        <w:t xml:space="preserve"> o revocarla</w:t>
      </w:r>
      <w:r w:rsidR="00460F96" w:rsidRPr="0092283B">
        <w:rPr>
          <w:rFonts w:cs="Tahoma"/>
          <w:sz w:val="24"/>
          <w:szCs w:val="26"/>
        </w:rPr>
        <w:t xml:space="preserve"> total o</w:t>
      </w:r>
      <w:r w:rsidR="00E25A6D" w:rsidRPr="0092283B">
        <w:rPr>
          <w:rFonts w:cs="Tahoma"/>
          <w:sz w:val="24"/>
          <w:szCs w:val="26"/>
        </w:rPr>
        <w:t xml:space="preserve"> parcialmente</w:t>
      </w:r>
      <w:r w:rsidRPr="0092283B">
        <w:rPr>
          <w:rFonts w:cs="Tahoma"/>
          <w:sz w:val="24"/>
          <w:szCs w:val="26"/>
        </w:rPr>
        <w:t xml:space="preserve">.  </w:t>
      </w:r>
    </w:p>
    <w:p w:rsidR="0086443E" w:rsidRPr="0092283B" w:rsidRDefault="0086443E" w:rsidP="001D08F6">
      <w:pPr>
        <w:spacing w:line="276" w:lineRule="auto"/>
        <w:rPr>
          <w:rFonts w:cs="Tahoma"/>
          <w:sz w:val="24"/>
          <w:szCs w:val="26"/>
        </w:rPr>
      </w:pPr>
    </w:p>
    <w:p w:rsidR="0086443E" w:rsidRPr="0092283B" w:rsidRDefault="0086443E" w:rsidP="001D08F6">
      <w:pPr>
        <w:spacing w:line="276" w:lineRule="auto"/>
        <w:rPr>
          <w:b/>
          <w:sz w:val="22"/>
          <w:szCs w:val="24"/>
        </w:rPr>
      </w:pPr>
      <w:r w:rsidRPr="0092283B">
        <w:rPr>
          <w:b/>
          <w:sz w:val="22"/>
          <w:szCs w:val="24"/>
        </w:rPr>
        <w:t>3.3.- Solución a la controversia</w:t>
      </w:r>
    </w:p>
    <w:p w:rsidR="0086443E" w:rsidRPr="00337216" w:rsidRDefault="0086443E" w:rsidP="001D08F6">
      <w:pPr>
        <w:spacing w:line="276" w:lineRule="auto"/>
        <w:rPr>
          <w:rFonts w:cs="Tahoma"/>
          <w:sz w:val="24"/>
          <w:szCs w:val="26"/>
        </w:rPr>
      </w:pPr>
    </w:p>
    <w:p w:rsidR="00970DF5" w:rsidRPr="0092283B" w:rsidRDefault="00970DF5" w:rsidP="001D08F6">
      <w:pPr>
        <w:spacing w:line="276" w:lineRule="auto"/>
        <w:rPr>
          <w:rFonts w:cs="Tahoma"/>
          <w:sz w:val="24"/>
          <w:lang w:val="es-CO"/>
        </w:rPr>
      </w:pPr>
      <w:r w:rsidRPr="0092283B">
        <w:rPr>
          <w:rFonts w:cs="Tahoma"/>
          <w:sz w:val="24"/>
          <w:lang w:val="es-CO"/>
        </w:rPr>
        <w:t>Atendiendo a que el objeto de discusión no se centra en aspectos relacionados con la responsabilidad penal de los condenados, sino en la</w:t>
      </w:r>
      <w:r w:rsidR="008C0ED6" w:rsidRPr="0092283B">
        <w:rPr>
          <w:rFonts w:cs="Tahoma"/>
          <w:sz w:val="24"/>
          <w:lang w:val="es-CO"/>
        </w:rPr>
        <w:t xml:space="preserve"> decisión judicial adoptada en el </w:t>
      </w:r>
      <w:r w:rsidRPr="0092283B">
        <w:rPr>
          <w:rFonts w:cs="Tahoma"/>
          <w:sz w:val="24"/>
          <w:lang w:val="es-CO"/>
        </w:rPr>
        <w:t xml:space="preserve">fallo en relación con el vehículo utilizado para el delito contra la </w:t>
      </w:r>
      <w:r w:rsidR="008C0ED6" w:rsidRPr="0092283B">
        <w:rPr>
          <w:rFonts w:cs="Tahoma"/>
          <w:sz w:val="24"/>
          <w:lang w:val="es-CO"/>
        </w:rPr>
        <w:t>Salubridad P</w:t>
      </w:r>
      <w:r w:rsidRPr="0092283B">
        <w:rPr>
          <w:rFonts w:cs="Tahoma"/>
          <w:sz w:val="24"/>
          <w:lang w:val="es-CO"/>
        </w:rPr>
        <w:t>ública, únicamente hará referencia la Sala</w:t>
      </w:r>
      <w:r w:rsidR="008C0ED6" w:rsidRPr="0092283B">
        <w:rPr>
          <w:rFonts w:cs="Tahoma"/>
          <w:sz w:val="24"/>
          <w:lang w:val="es-CO"/>
        </w:rPr>
        <w:t xml:space="preserve"> a este concreto tema</w:t>
      </w:r>
      <w:r w:rsidRPr="0092283B">
        <w:rPr>
          <w:rFonts w:cs="Tahoma"/>
          <w:sz w:val="24"/>
          <w:lang w:val="es-CO"/>
        </w:rPr>
        <w:t>:</w:t>
      </w:r>
    </w:p>
    <w:p w:rsidR="00970DF5" w:rsidRPr="00337216" w:rsidRDefault="00970DF5" w:rsidP="001D08F6">
      <w:pPr>
        <w:spacing w:line="276" w:lineRule="auto"/>
        <w:rPr>
          <w:rFonts w:cs="Tahoma"/>
          <w:sz w:val="24"/>
          <w:szCs w:val="26"/>
        </w:rPr>
      </w:pPr>
    </w:p>
    <w:p w:rsidR="00970DF5" w:rsidRPr="0092283B" w:rsidRDefault="00400353" w:rsidP="001D08F6">
      <w:pPr>
        <w:spacing w:line="276" w:lineRule="auto"/>
        <w:rPr>
          <w:sz w:val="24"/>
        </w:rPr>
      </w:pPr>
      <w:r w:rsidRPr="0092283B">
        <w:rPr>
          <w:sz w:val="24"/>
        </w:rPr>
        <w:t>En la determinación</w:t>
      </w:r>
      <w:r w:rsidR="00D8423E" w:rsidRPr="0092283B">
        <w:rPr>
          <w:sz w:val="24"/>
        </w:rPr>
        <w:t xml:space="preserve"> de primera instancia la funcionaria</w:t>
      </w:r>
      <w:r w:rsidRPr="0092283B">
        <w:rPr>
          <w:sz w:val="24"/>
        </w:rPr>
        <w:t xml:space="preserve"> dispuso que fuera</w:t>
      </w:r>
      <w:r w:rsidR="000A2B60" w:rsidRPr="0092283B">
        <w:rPr>
          <w:sz w:val="24"/>
        </w:rPr>
        <w:t xml:space="preserve"> la Fiscalía Quince Unidad de Salud de esta ciudad </w:t>
      </w:r>
      <w:r w:rsidRPr="0092283B">
        <w:rPr>
          <w:sz w:val="24"/>
        </w:rPr>
        <w:t xml:space="preserve">quien determinara si entregaba el </w:t>
      </w:r>
      <w:r w:rsidR="000A2B60" w:rsidRPr="0092283B">
        <w:rPr>
          <w:sz w:val="24"/>
        </w:rPr>
        <w:t>vehículo marcha Hyundai, color rojo, modelo 1998, de servicio particular con placa GGK-923, o lo deja a</w:t>
      </w:r>
      <w:r w:rsidRPr="0092283B">
        <w:rPr>
          <w:sz w:val="24"/>
        </w:rPr>
        <w:t xml:space="preserve"> disposición de la Fiscalía de Extinción de Dominio</w:t>
      </w:r>
      <w:r w:rsidR="000A2B60" w:rsidRPr="0092283B">
        <w:rPr>
          <w:sz w:val="24"/>
        </w:rPr>
        <w:t xml:space="preserve"> por encontrarse </w:t>
      </w:r>
      <w:r w:rsidR="00D8423E" w:rsidRPr="0092283B">
        <w:rPr>
          <w:sz w:val="24"/>
        </w:rPr>
        <w:t xml:space="preserve">en la circunstancia descrita en </w:t>
      </w:r>
      <w:r w:rsidR="000A2B60" w:rsidRPr="0092283B">
        <w:rPr>
          <w:sz w:val="24"/>
        </w:rPr>
        <w:t>el numeral 5</w:t>
      </w:r>
      <w:r w:rsidR="00D8423E" w:rsidRPr="0092283B">
        <w:rPr>
          <w:sz w:val="24"/>
        </w:rPr>
        <w:t xml:space="preserve">º </w:t>
      </w:r>
      <w:r w:rsidR="000A2B60" w:rsidRPr="0092283B">
        <w:rPr>
          <w:sz w:val="24"/>
        </w:rPr>
        <w:t>del artículo 16 de la ley 1708/14. Sin embargo, la represent</w:t>
      </w:r>
      <w:r w:rsidR="0041784F" w:rsidRPr="0092283B">
        <w:rPr>
          <w:sz w:val="24"/>
        </w:rPr>
        <w:t>ante del ente acusador considera</w:t>
      </w:r>
      <w:r w:rsidR="000A2B60" w:rsidRPr="0092283B">
        <w:rPr>
          <w:sz w:val="24"/>
        </w:rPr>
        <w:t xml:space="preserve"> que la entrega debe ser de manera definitiva a favor del señor </w:t>
      </w:r>
      <w:r w:rsidR="00D8423E" w:rsidRPr="0092283B">
        <w:rPr>
          <w:sz w:val="24"/>
        </w:rPr>
        <w:t>BELISARIO DE JESÚS ROSERO GAVIERA</w:t>
      </w:r>
      <w:r w:rsidR="000A2B60" w:rsidRPr="0092283B">
        <w:rPr>
          <w:sz w:val="24"/>
        </w:rPr>
        <w:t xml:space="preserve"> quien figura como propietario</w:t>
      </w:r>
      <w:r w:rsidR="0041784F" w:rsidRPr="0092283B">
        <w:rPr>
          <w:sz w:val="24"/>
        </w:rPr>
        <w:t>, y que corresponde a la juez</w:t>
      </w:r>
      <w:r w:rsidR="00D8423E" w:rsidRPr="0092283B">
        <w:rPr>
          <w:sz w:val="24"/>
        </w:rPr>
        <w:t>a</w:t>
      </w:r>
      <w:r w:rsidR="0041784F" w:rsidRPr="0092283B">
        <w:rPr>
          <w:sz w:val="24"/>
        </w:rPr>
        <w:t xml:space="preserve"> de conocimiento emitir</w:t>
      </w:r>
      <w:r w:rsidR="00D8423E" w:rsidRPr="0092283B">
        <w:rPr>
          <w:sz w:val="24"/>
        </w:rPr>
        <w:t xml:space="preserve"> dicha </w:t>
      </w:r>
      <w:r w:rsidR="0041784F" w:rsidRPr="0092283B">
        <w:rPr>
          <w:sz w:val="24"/>
        </w:rPr>
        <w:t>orden</w:t>
      </w:r>
      <w:r w:rsidR="000A2B60" w:rsidRPr="0092283B">
        <w:rPr>
          <w:sz w:val="24"/>
        </w:rPr>
        <w:t>.</w:t>
      </w:r>
    </w:p>
    <w:p w:rsidR="000A2B60" w:rsidRPr="00337216" w:rsidRDefault="000A2B60" w:rsidP="001D08F6">
      <w:pPr>
        <w:spacing w:line="276" w:lineRule="auto"/>
        <w:rPr>
          <w:rFonts w:cs="Tahoma"/>
          <w:sz w:val="24"/>
          <w:szCs w:val="26"/>
        </w:rPr>
      </w:pPr>
    </w:p>
    <w:p w:rsidR="000A2B60" w:rsidRPr="0092283B" w:rsidRDefault="000A2B60" w:rsidP="001D08F6">
      <w:pPr>
        <w:spacing w:line="276" w:lineRule="auto"/>
        <w:rPr>
          <w:rFonts w:cs="Tahoma"/>
          <w:sz w:val="24"/>
          <w:szCs w:val="26"/>
        </w:rPr>
      </w:pPr>
      <w:r w:rsidRPr="0092283B">
        <w:rPr>
          <w:sz w:val="24"/>
        </w:rPr>
        <w:t xml:space="preserve">Para resolver lo anterior, es importante tener claridad sobre dos aspectos </w:t>
      </w:r>
      <w:r w:rsidR="00B020B5" w:rsidRPr="0092283B">
        <w:rPr>
          <w:sz w:val="24"/>
        </w:rPr>
        <w:t>legales</w:t>
      </w:r>
      <w:r w:rsidR="00AE1853" w:rsidRPr="0092283B">
        <w:rPr>
          <w:sz w:val="24"/>
        </w:rPr>
        <w:t xml:space="preserve"> debidamente diferenciados y diferenciables: E</w:t>
      </w:r>
      <w:r w:rsidRPr="0092283B">
        <w:rPr>
          <w:sz w:val="24"/>
        </w:rPr>
        <w:t>l primero de ellos</w:t>
      </w:r>
      <w:r w:rsidR="00AE1853" w:rsidRPr="0092283B">
        <w:rPr>
          <w:sz w:val="24"/>
        </w:rPr>
        <w:t>,</w:t>
      </w:r>
      <w:r w:rsidRPr="0092283B">
        <w:rPr>
          <w:sz w:val="24"/>
        </w:rPr>
        <w:t xml:space="preserve"> es la figura de</w:t>
      </w:r>
      <w:r w:rsidR="00AE1853" w:rsidRPr="0092283B">
        <w:rPr>
          <w:sz w:val="24"/>
        </w:rPr>
        <w:t xml:space="preserve"> las</w:t>
      </w:r>
      <w:r w:rsidRPr="0092283B">
        <w:rPr>
          <w:sz w:val="24"/>
        </w:rPr>
        <w:t xml:space="preserve"> </w:t>
      </w:r>
      <w:r w:rsidRPr="0092283B">
        <w:rPr>
          <w:rFonts w:cs="Tahoma"/>
          <w:b/>
          <w:sz w:val="20"/>
          <w:szCs w:val="22"/>
        </w:rPr>
        <w:t>medidas cautelares sobre bienes susceptibles de comiso</w:t>
      </w:r>
      <w:r w:rsidR="00AE1853" w:rsidRPr="0092283B">
        <w:rPr>
          <w:rFonts w:cs="Tahoma"/>
          <w:b/>
          <w:sz w:val="20"/>
          <w:szCs w:val="22"/>
        </w:rPr>
        <w:t>;</w:t>
      </w:r>
      <w:r w:rsidRPr="0092283B">
        <w:rPr>
          <w:rFonts w:cs="Tahoma"/>
          <w:sz w:val="20"/>
          <w:szCs w:val="22"/>
        </w:rPr>
        <w:t xml:space="preserve"> </w:t>
      </w:r>
      <w:r w:rsidRPr="0092283B">
        <w:rPr>
          <w:rFonts w:cs="Tahoma"/>
          <w:sz w:val="24"/>
          <w:szCs w:val="26"/>
        </w:rPr>
        <w:t>y</w:t>
      </w:r>
      <w:r w:rsidR="00AE1853" w:rsidRPr="0092283B">
        <w:rPr>
          <w:rFonts w:cs="Tahoma"/>
          <w:sz w:val="24"/>
          <w:szCs w:val="26"/>
        </w:rPr>
        <w:t>,</w:t>
      </w:r>
      <w:r w:rsidRPr="0092283B">
        <w:rPr>
          <w:rFonts w:cs="Tahoma"/>
          <w:sz w:val="24"/>
          <w:szCs w:val="26"/>
        </w:rPr>
        <w:t xml:space="preserve"> el segundo</w:t>
      </w:r>
      <w:r w:rsidR="00AE1853" w:rsidRPr="0092283B">
        <w:rPr>
          <w:rFonts w:cs="Tahoma"/>
          <w:sz w:val="24"/>
          <w:szCs w:val="26"/>
        </w:rPr>
        <w:t>,</w:t>
      </w:r>
      <w:r w:rsidRPr="0092283B">
        <w:rPr>
          <w:rFonts w:cs="Tahoma"/>
          <w:sz w:val="20"/>
          <w:szCs w:val="22"/>
        </w:rPr>
        <w:t xml:space="preserve"> </w:t>
      </w:r>
      <w:r w:rsidRPr="0092283B">
        <w:rPr>
          <w:rFonts w:cs="Tahoma"/>
          <w:sz w:val="24"/>
          <w:szCs w:val="26"/>
        </w:rPr>
        <w:t xml:space="preserve">el </w:t>
      </w:r>
      <w:r w:rsidRPr="0092283B">
        <w:rPr>
          <w:rFonts w:cs="Tahoma"/>
          <w:b/>
          <w:sz w:val="20"/>
          <w:szCs w:val="22"/>
        </w:rPr>
        <w:t>comiso y su procedencia.</w:t>
      </w:r>
      <w:r w:rsidR="00B020B5" w:rsidRPr="0092283B">
        <w:rPr>
          <w:rFonts w:cs="Tahoma"/>
          <w:b/>
          <w:sz w:val="20"/>
          <w:szCs w:val="22"/>
        </w:rPr>
        <w:t xml:space="preserve"> </w:t>
      </w:r>
      <w:r w:rsidR="00AE1853" w:rsidRPr="0092283B">
        <w:rPr>
          <w:rFonts w:cs="Tahoma"/>
          <w:sz w:val="24"/>
          <w:szCs w:val="26"/>
        </w:rPr>
        <w:t xml:space="preserve">Por </w:t>
      </w:r>
      <w:r w:rsidRPr="0092283B">
        <w:rPr>
          <w:rFonts w:cs="Tahoma"/>
          <w:sz w:val="24"/>
          <w:szCs w:val="26"/>
        </w:rPr>
        <w:t>tanto, nos remitiremos al siguiente marco normativo:</w:t>
      </w:r>
    </w:p>
    <w:p w:rsidR="000A2B60" w:rsidRPr="0092283B" w:rsidRDefault="000A2B60" w:rsidP="001D08F6">
      <w:pPr>
        <w:spacing w:line="276" w:lineRule="auto"/>
        <w:rPr>
          <w:rFonts w:cs="Tahoma"/>
          <w:sz w:val="24"/>
          <w:szCs w:val="26"/>
        </w:rPr>
      </w:pPr>
    </w:p>
    <w:p w:rsidR="000A2B60" w:rsidRPr="0092283B" w:rsidRDefault="00B86DC5" w:rsidP="001D08F6">
      <w:pPr>
        <w:spacing w:line="276" w:lineRule="auto"/>
        <w:rPr>
          <w:rFonts w:cs="Tahoma"/>
          <w:sz w:val="24"/>
          <w:szCs w:val="26"/>
        </w:rPr>
      </w:pPr>
      <w:r w:rsidRPr="0092283B">
        <w:rPr>
          <w:rFonts w:cs="Tahoma"/>
          <w:sz w:val="24"/>
          <w:szCs w:val="26"/>
        </w:rPr>
        <w:t>A</w:t>
      </w:r>
      <w:r w:rsidR="000A2B60" w:rsidRPr="0092283B">
        <w:rPr>
          <w:rFonts w:cs="Tahoma"/>
          <w:sz w:val="24"/>
          <w:szCs w:val="26"/>
        </w:rPr>
        <w:t xml:space="preserve">rtículo 100 </w:t>
      </w:r>
      <w:r w:rsidR="00B020B5" w:rsidRPr="0092283B">
        <w:rPr>
          <w:rFonts w:cs="Tahoma"/>
          <w:sz w:val="24"/>
          <w:szCs w:val="26"/>
        </w:rPr>
        <w:t>C.P.</w:t>
      </w:r>
      <w:r w:rsidR="000A2B60" w:rsidRPr="0092283B">
        <w:rPr>
          <w:rFonts w:cs="Tahoma"/>
          <w:sz w:val="24"/>
          <w:szCs w:val="26"/>
        </w:rPr>
        <w:t>:</w:t>
      </w:r>
      <w:r w:rsidRPr="0092283B">
        <w:rPr>
          <w:rFonts w:cs="Tahoma"/>
          <w:sz w:val="24"/>
          <w:szCs w:val="26"/>
        </w:rPr>
        <w:t xml:space="preserve"> </w:t>
      </w:r>
      <w:r w:rsidR="00780638" w:rsidRPr="0092283B">
        <w:rPr>
          <w:rFonts w:ascii="Verdana" w:hAnsi="Verdana"/>
          <w:sz w:val="20"/>
        </w:rPr>
        <w:t>“</w:t>
      </w:r>
      <w:r w:rsidR="000A2B60" w:rsidRPr="0092283B">
        <w:rPr>
          <w:rFonts w:ascii="Verdana" w:hAnsi="Verdana"/>
          <w:b/>
          <w:sz w:val="18"/>
          <w:szCs w:val="18"/>
        </w:rPr>
        <w:t>Comiso</w:t>
      </w:r>
      <w:r w:rsidR="000A2B60" w:rsidRPr="0092283B">
        <w:rPr>
          <w:rFonts w:ascii="Verdana" w:hAnsi="Verdana"/>
          <w:sz w:val="20"/>
        </w:rPr>
        <w:t>. Los instrumentos y efectos con los que se haya cometido la conducta punible o que provengan de su ejecución, y que no tengan libre comercio, pasarán a poder de la Fiscalía General de la Nación o a la entidad que ésta designe, a menos que la ley disponga su destrucción. Igual</w:t>
      </w:r>
      <w:r w:rsidRPr="0092283B">
        <w:rPr>
          <w:rFonts w:ascii="Verdana" w:hAnsi="Verdana"/>
          <w:sz w:val="20"/>
        </w:rPr>
        <w:t xml:space="preserve"> </w:t>
      </w:r>
      <w:r w:rsidR="000A2B60" w:rsidRPr="0092283B">
        <w:rPr>
          <w:rFonts w:ascii="Verdana" w:hAnsi="Verdana"/>
          <w:sz w:val="20"/>
        </w:rPr>
        <w:t>medida se aplicará en los delitos dolosos, cuando los bienes, que tengan libre comercio y pertenezcan al responsable penalmente, sean utilizados para la realización de la conducta punible, o provengan de su ejecución</w:t>
      </w:r>
      <w:r w:rsidR="00780638" w:rsidRPr="0092283B">
        <w:rPr>
          <w:rFonts w:ascii="Verdana" w:hAnsi="Verdana"/>
          <w:sz w:val="20"/>
        </w:rPr>
        <w:t>”</w:t>
      </w:r>
      <w:r w:rsidR="000A2B60" w:rsidRPr="0092283B">
        <w:rPr>
          <w:rFonts w:ascii="Verdana" w:hAnsi="Verdana"/>
          <w:sz w:val="20"/>
        </w:rPr>
        <w:t xml:space="preserve">. </w:t>
      </w:r>
    </w:p>
    <w:p w:rsidR="000A2B60" w:rsidRPr="00337216" w:rsidRDefault="000A2B60" w:rsidP="00337216">
      <w:pPr>
        <w:spacing w:line="276" w:lineRule="auto"/>
        <w:rPr>
          <w:rFonts w:cs="Tahoma"/>
          <w:sz w:val="24"/>
          <w:szCs w:val="26"/>
        </w:rPr>
      </w:pPr>
    </w:p>
    <w:p w:rsidR="000A2B60" w:rsidRPr="0092283B" w:rsidRDefault="00B86DC5" w:rsidP="001D08F6">
      <w:pPr>
        <w:spacing w:line="276" w:lineRule="auto"/>
        <w:rPr>
          <w:rFonts w:ascii="Verdana" w:hAnsi="Verdana"/>
          <w:iCs/>
          <w:sz w:val="20"/>
        </w:rPr>
      </w:pPr>
      <w:r w:rsidRPr="0092283B">
        <w:rPr>
          <w:rFonts w:cs="Tahoma"/>
          <w:sz w:val="24"/>
          <w:szCs w:val="26"/>
        </w:rPr>
        <w:t>Artículo</w:t>
      </w:r>
      <w:r w:rsidR="000A2B60" w:rsidRPr="0092283B">
        <w:rPr>
          <w:rFonts w:cs="Tahoma"/>
          <w:sz w:val="24"/>
          <w:szCs w:val="26"/>
        </w:rPr>
        <w:t xml:space="preserve"> 82 de la Ley 906 de 2004</w:t>
      </w:r>
      <w:r w:rsidR="00B020B5" w:rsidRPr="0092283B">
        <w:rPr>
          <w:rFonts w:cs="Tahoma"/>
          <w:sz w:val="24"/>
          <w:szCs w:val="26"/>
        </w:rPr>
        <w:t>:</w:t>
      </w:r>
      <w:r w:rsidRPr="0092283B">
        <w:rPr>
          <w:rFonts w:cs="Tahoma"/>
          <w:sz w:val="24"/>
          <w:szCs w:val="26"/>
        </w:rPr>
        <w:t xml:space="preserve"> </w:t>
      </w:r>
      <w:r w:rsidR="00780638" w:rsidRPr="0092283B">
        <w:rPr>
          <w:rFonts w:ascii="Verdana" w:hAnsi="Verdana"/>
          <w:iCs/>
          <w:sz w:val="20"/>
        </w:rPr>
        <w:t>“</w:t>
      </w:r>
      <w:r w:rsidR="000A2B60" w:rsidRPr="0092283B">
        <w:rPr>
          <w:rFonts w:ascii="Verdana" w:hAnsi="Verdana"/>
          <w:b/>
          <w:iCs/>
          <w:sz w:val="18"/>
          <w:szCs w:val="18"/>
        </w:rPr>
        <w:t>Procedencia</w:t>
      </w:r>
      <w:r w:rsidR="000A2B60" w:rsidRPr="0092283B">
        <w:rPr>
          <w:rFonts w:ascii="Verdana" w:hAnsi="Verdana"/>
          <w:b/>
          <w:iCs/>
          <w:sz w:val="20"/>
        </w:rPr>
        <w:t>.</w:t>
      </w:r>
      <w:r w:rsidR="000A2B60" w:rsidRPr="0092283B">
        <w:rPr>
          <w:rFonts w:ascii="Verdana" w:hAnsi="Verdana"/>
          <w:iCs/>
          <w:sz w:val="20"/>
        </w:rPr>
        <w:t xml:space="preserve"> El comiso procederá sobre los bienes y recursos del penalmente responsable que provengan o sean producto directo o indirecto del delito, o sobre aquellos utilizados o destinados a ser utilizados en los delitos dolosos como medio o instrumentos para la ejecución del mismo, </w:t>
      </w:r>
      <w:r w:rsidR="000A2B60" w:rsidRPr="0092283B">
        <w:rPr>
          <w:rFonts w:ascii="Verdana" w:hAnsi="Verdana"/>
          <w:i/>
          <w:iCs/>
          <w:sz w:val="20"/>
        </w:rPr>
        <w:t>sin perjuicio de los derechos que tengan sobre ellos los sujetos pasivos o los terceros de buena fe</w:t>
      </w:r>
      <w:r w:rsidR="000A2B60" w:rsidRPr="0092283B">
        <w:rPr>
          <w:rFonts w:ascii="Verdana" w:hAnsi="Verdana"/>
          <w:iCs/>
          <w:sz w:val="20"/>
        </w:rPr>
        <w:t>.</w:t>
      </w:r>
    </w:p>
    <w:p w:rsidR="001D08F6" w:rsidRPr="0092283B" w:rsidRDefault="001D08F6" w:rsidP="001D08F6">
      <w:pPr>
        <w:spacing w:line="276" w:lineRule="auto"/>
        <w:rPr>
          <w:rFonts w:cs="Tahoma"/>
          <w:sz w:val="24"/>
          <w:szCs w:val="26"/>
        </w:rPr>
      </w:pPr>
    </w:p>
    <w:p w:rsidR="000A2B60" w:rsidRPr="0092283B" w:rsidRDefault="00B86DC5" w:rsidP="001D08F6">
      <w:pPr>
        <w:spacing w:line="276" w:lineRule="auto"/>
        <w:rPr>
          <w:rFonts w:cs="Tahoma"/>
          <w:sz w:val="28"/>
          <w:szCs w:val="26"/>
        </w:rPr>
      </w:pPr>
      <w:r w:rsidRPr="0092283B">
        <w:rPr>
          <w:rFonts w:cs="Tahoma"/>
          <w:sz w:val="24"/>
          <w:szCs w:val="26"/>
        </w:rPr>
        <w:t>A</w:t>
      </w:r>
      <w:r w:rsidR="000A2B60" w:rsidRPr="0092283B">
        <w:rPr>
          <w:rFonts w:cs="Tahoma"/>
          <w:sz w:val="24"/>
          <w:szCs w:val="26"/>
        </w:rPr>
        <w:t xml:space="preserve">rtículo 83 </w:t>
      </w:r>
      <w:proofErr w:type="spellStart"/>
      <w:r w:rsidR="000A2B60" w:rsidRPr="0092283B">
        <w:rPr>
          <w:rFonts w:cs="Tahoma"/>
          <w:sz w:val="24"/>
          <w:szCs w:val="26"/>
        </w:rPr>
        <w:t>C</w:t>
      </w:r>
      <w:r w:rsidR="00B020B5" w:rsidRPr="0092283B">
        <w:rPr>
          <w:rFonts w:cs="Tahoma"/>
          <w:sz w:val="24"/>
          <w:szCs w:val="26"/>
        </w:rPr>
        <w:t>.</w:t>
      </w:r>
      <w:r w:rsidR="000A2B60" w:rsidRPr="0092283B">
        <w:rPr>
          <w:rFonts w:cs="Tahoma"/>
          <w:sz w:val="24"/>
          <w:szCs w:val="26"/>
        </w:rPr>
        <w:t>P</w:t>
      </w:r>
      <w:r w:rsidR="00B020B5" w:rsidRPr="0092283B">
        <w:rPr>
          <w:rFonts w:cs="Tahoma"/>
          <w:sz w:val="24"/>
          <w:szCs w:val="26"/>
        </w:rPr>
        <w:t>.</w:t>
      </w:r>
      <w:r w:rsidR="000A2B60" w:rsidRPr="0092283B">
        <w:rPr>
          <w:rFonts w:cs="Tahoma"/>
          <w:sz w:val="24"/>
          <w:szCs w:val="26"/>
        </w:rPr>
        <w:t>P</w:t>
      </w:r>
      <w:proofErr w:type="spellEnd"/>
      <w:r w:rsidRPr="0092283B">
        <w:rPr>
          <w:rFonts w:cs="Tahoma"/>
          <w:sz w:val="24"/>
          <w:szCs w:val="26"/>
        </w:rPr>
        <w:t>.</w:t>
      </w:r>
      <w:r w:rsidR="000A2B60" w:rsidRPr="0092283B">
        <w:rPr>
          <w:rFonts w:cs="Tahoma"/>
          <w:sz w:val="24"/>
          <w:szCs w:val="26"/>
        </w:rPr>
        <w:t>:</w:t>
      </w:r>
      <w:r w:rsidRPr="0092283B">
        <w:rPr>
          <w:rFonts w:cs="Tahoma"/>
          <w:sz w:val="24"/>
          <w:szCs w:val="26"/>
        </w:rPr>
        <w:t xml:space="preserve"> </w:t>
      </w:r>
      <w:r w:rsidR="000A2B60" w:rsidRPr="0092283B">
        <w:rPr>
          <w:rFonts w:ascii="Verdana" w:hAnsi="Verdana"/>
          <w:b/>
          <w:sz w:val="18"/>
          <w:szCs w:val="18"/>
        </w:rPr>
        <w:t>Medidas cautelares sobre bienes susceptibles de comiso</w:t>
      </w:r>
      <w:r w:rsidR="000A2B60" w:rsidRPr="0092283B">
        <w:rPr>
          <w:rFonts w:ascii="Verdana" w:hAnsi="Verdana"/>
          <w:sz w:val="18"/>
          <w:szCs w:val="18"/>
        </w:rPr>
        <w:t>.</w:t>
      </w:r>
      <w:r w:rsidR="000A2B60" w:rsidRPr="0092283B">
        <w:rPr>
          <w:rFonts w:ascii="Verdana" w:hAnsi="Verdana"/>
          <w:sz w:val="20"/>
        </w:rPr>
        <w:t xml:space="preserve"> Se tendrán como medidas materiales con el fin de garantizar el comiso la incautación y ocupación, y como medida jurídica la suspensión del poder dispositivo.</w:t>
      </w:r>
      <w:r w:rsidRPr="0092283B">
        <w:rPr>
          <w:rFonts w:cs="Tahoma"/>
          <w:sz w:val="28"/>
          <w:szCs w:val="26"/>
        </w:rPr>
        <w:t xml:space="preserve"> </w:t>
      </w:r>
      <w:r w:rsidR="000A2B60" w:rsidRPr="0092283B">
        <w:rPr>
          <w:rFonts w:ascii="Verdana" w:hAnsi="Verdana"/>
          <w:sz w:val="20"/>
        </w:rPr>
        <w:t>Las anteriores medidas procederán cuando se tengan motivos fundados para inferir que los bienes o recursos son producto directo o indirecto de un delito doloso, que su valor equivale a dicho producto, que han sido utilizados o estén destinados a ser utilizados como medio o instrumento de un delito doloso, o que constituyen el objeto material del mismo, salvo que deban ser devueltos al sujeto pasivo, a las víctimas o a terceros.</w:t>
      </w:r>
    </w:p>
    <w:p w:rsidR="0086443E" w:rsidRPr="0092283B" w:rsidRDefault="0086443E" w:rsidP="001D08F6">
      <w:pPr>
        <w:spacing w:line="276" w:lineRule="auto"/>
        <w:rPr>
          <w:rFonts w:cs="Tahoma"/>
          <w:sz w:val="24"/>
          <w:szCs w:val="26"/>
        </w:rPr>
      </w:pPr>
    </w:p>
    <w:p w:rsidR="003E0713" w:rsidRPr="0092283B" w:rsidRDefault="00B86DC5" w:rsidP="001D08F6">
      <w:pPr>
        <w:spacing w:line="276" w:lineRule="auto"/>
        <w:rPr>
          <w:rFonts w:cs="Tahoma"/>
          <w:sz w:val="28"/>
          <w:szCs w:val="26"/>
        </w:rPr>
      </w:pPr>
      <w:r w:rsidRPr="0092283B">
        <w:rPr>
          <w:rFonts w:cs="Tahoma"/>
          <w:sz w:val="24"/>
          <w:szCs w:val="26"/>
        </w:rPr>
        <w:t>A</w:t>
      </w:r>
      <w:r w:rsidR="003E0713" w:rsidRPr="0092283B">
        <w:rPr>
          <w:rFonts w:cs="Tahoma"/>
          <w:sz w:val="24"/>
          <w:szCs w:val="26"/>
        </w:rPr>
        <w:t>rtículo 85, ibídem:</w:t>
      </w:r>
      <w:r w:rsidRPr="0092283B">
        <w:rPr>
          <w:rFonts w:cs="Tahoma"/>
          <w:sz w:val="24"/>
          <w:szCs w:val="26"/>
        </w:rPr>
        <w:t xml:space="preserve"> </w:t>
      </w:r>
      <w:r w:rsidR="003E0713" w:rsidRPr="0092283B">
        <w:rPr>
          <w:rFonts w:ascii="Verdana" w:hAnsi="Verdana" w:cs="Arial"/>
          <w:b/>
          <w:iCs/>
          <w:sz w:val="18"/>
          <w:szCs w:val="18"/>
        </w:rPr>
        <w:t>Suspensión del poder dispositivo.</w:t>
      </w:r>
      <w:r w:rsidR="003E0713" w:rsidRPr="0092283B">
        <w:rPr>
          <w:rFonts w:ascii="Verdana" w:hAnsi="Verdana" w:cs="Arial"/>
          <w:sz w:val="20"/>
        </w:rPr>
        <w:t xml:space="preserve"> En la formulación de imputación o en audiencia preliminar el fiscal podrá solicitar la suspensión del poder dispositivo de bienes y recursos con fines de comiso, que se mantendrá hasta tanto se resuelva sobre el mismo </w:t>
      </w:r>
      <w:r w:rsidR="003E0713" w:rsidRPr="0092283B">
        <w:rPr>
          <w:rFonts w:ascii="Verdana" w:hAnsi="Verdana" w:cs="Arial"/>
          <w:sz w:val="20"/>
        </w:rPr>
        <w:lastRenderedPageBreak/>
        <w:t>con carácter definit</w:t>
      </w:r>
      <w:r w:rsidRPr="0092283B">
        <w:rPr>
          <w:rFonts w:ascii="Verdana" w:hAnsi="Verdana" w:cs="Arial"/>
          <w:sz w:val="20"/>
        </w:rPr>
        <w:t xml:space="preserve">ivo o se disponga su devolución. </w:t>
      </w:r>
      <w:r w:rsidR="003E0713" w:rsidRPr="0092283B">
        <w:rPr>
          <w:rFonts w:ascii="Verdana" w:hAnsi="Verdana" w:cs="Arial"/>
          <w:sz w:val="20"/>
        </w:rPr>
        <w:t>Presentada la solicitud, el juez de control de garantías dispondrá la suspensión del poder dispositivo de los bienes y recursos cuando constate alguna de las circunstancias previstas en el artículo anterior. Si determina que la medida no es procedente, el fiscal examinará si el bien se encuentra dentro de una causal de extinción de dominio, evento en el cual dispondrá en forma inmediata lo pertinente para que se promueva la acción respectiva.</w:t>
      </w:r>
      <w:r w:rsidRPr="0092283B">
        <w:rPr>
          <w:rFonts w:ascii="Verdana" w:hAnsi="Verdana" w:cs="Arial"/>
          <w:sz w:val="20"/>
        </w:rPr>
        <w:t xml:space="preserve"> </w:t>
      </w:r>
      <w:r w:rsidR="003E0713" w:rsidRPr="0092283B">
        <w:rPr>
          <w:rFonts w:ascii="Verdana" w:hAnsi="Verdana" w:cs="Arial"/>
          <w:sz w:val="20"/>
        </w:rPr>
        <w:t>En todo caso, para solicitar la suspensión del poder dispositivo de bienes y recursos con fines de comiso, el fiscal tendrá en cuenta el interés de la justicia, el valor del bien y la viabilidad económica de su administración.</w:t>
      </w:r>
    </w:p>
    <w:p w:rsidR="00633CA9" w:rsidRPr="0092283B" w:rsidRDefault="00633CA9" w:rsidP="001D08F6">
      <w:pPr>
        <w:spacing w:line="276" w:lineRule="auto"/>
        <w:rPr>
          <w:rFonts w:cs="Tahoma"/>
          <w:sz w:val="24"/>
          <w:szCs w:val="26"/>
        </w:rPr>
      </w:pPr>
    </w:p>
    <w:p w:rsidR="00633CA9" w:rsidRPr="0092283B" w:rsidRDefault="00550A8A" w:rsidP="001D08F6">
      <w:pPr>
        <w:spacing w:line="276" w:lineRule="auto"/>
        <w:rPr>
          <w:rFonts w:cs="Tahoma"/>
          <w:sz w:val="24"/>
          <w:szCs w:val="26"/>
        </w:rPr>
      </w:pPr>
      <w:r w:rsidRPr="0092283B">
        <w:rPr>
          <w:rFonts w:cs="Tahoma"/>
          <w:sz w:val="24"/>
          <w:szCs w:val="26"/>
        </w:rPr>
        <w:t>Se extrae de lo anterior que entre las</w:t>
      </w:r>
      <w:r w:rsidR="00633CA9" w:rsidRPr="0092283B">
        <w:rPr>
          <w:rFonts w:cs="Tahoma"/>
          <w:sz w:val="24"/>
          <w:szCs w:val="26"/>
        </w:rPr>
        <w:t xml:space="preserve"> medidas cautelares</w:t>
      </w:r>
      <w:r w:rsidRPr="0092283B">
        <w:rPr>
          <w:rFonts w:cs="Tahoma"/>
          <w:sz w:val="24"/>
          <w:szCs w:val="26"/>
        </w:rPr>
        <w:t xml:space="preserve"> existe la </w:t>
      </w:r>
      <w:r w:rsidR="00633CA9" w:rsidRPr="0092283B">
        <w:rPr>
          <w:rFonts w:cs="Tahoma"/>
          <w:b/>
          <w:sz w:val="20"/>
          <w:szCs w:val="22"/>
        </w:rPr>
        <w:t xml:space="preserve">incautación </w:t>
      </w:r>
      <w:r w:rsidR="00A44A2F" w:rsidRPr="0092283B">
        <w:rPr>
          <w:rFonts w:ascii="Verdana" w:hAnsi="Verdana" w:cs="Tahoma"/>
          <w:sz w:val="20"/>
        </w:rPr>
        <w:t>–</w:t>
      </w:r>
      <w:r w:rsidRPr="0092283B">
        <w:rPr>
          <w:rFonts w:ascii="Verdana" w:hAnsi="Verdana" w:cs="Tahoma"/>
          <w:sz w:val="20"/>
        </w:rPr>
        <w:t xml:space="preserve">la cual </w:t>
      </w:r>
      <w:r w:rsidR="00A44A2F" w:rsidRPr="0092283B">
        <w:rPr>
          <w:rFonts w:ascii="Verdana" w:hAnsi="Verdana" w:cs="Tahoma"/>
          <w:sz w:val="20"/>
        </w:rPr>
        <w:t>recae sobre bienes muebles-</w:t>
      </w:r>
      <w:r w:rsidR="00A44A2F" w:rsidRPr="0092283B">
        <w:rPr>
          <w:rFonts w:cs="Tahoma"/>
          <w:b/>
          <w:sz w:val="22"/>
          <w:szCs w:val="22"/>
        </w:rPr>
        <w:t xml:space="preserve"> </w:t>
      </w:r>
      <w:r w:rsidR="00633CA9" w:rsidRPr="0092283B">
        <w:rPr>
          <w:rFonts w:cs="Tahoma"/>
          <w:sz w:val="28"/>
          <w:szCs w:val="26"/>
        </w:rPr>
        <w:t xml:space="preserve">y </w:t>
      </w:r>
      <w:r w:rsidR="00633CA9" w:rsidRPr="0092283B">
        <w:rPr>
          <w:rFonts w:cs="Tahoma"/>
          <w:b/>
          <w:sz w:val="22"/>
          <w:szCs w:val="22"/>
        </w:rPr>
        <w:t>la ocupación</w:t>
      </w:r>
      <w:r w:rsidR="00A44A2F" w:rsidRPr="0092283B">
        <w:rPr>
          <w:rFonts w:cs="Tahoma"/>
          <w:b/>
          <w:sz w:val="22"/>
          <w:szCs w:val="22"/>
        </w:rPr>
        <w:t xml:space="preserve"> </w:t>
      </w:r>
      <w:r w:rsidRPr="0092283B">
        <w:rPr>
          <w:rFonts w:ascii="Verdana" w:hAnsi="Verdana" w:cs="Tahoma"/>
          <w:sz w:val="20"/>
        </w:rPr>
        <w:t xml:space="preserve">-que </w:t>
      </w:r>
      <w:r w:rsidR="00A44A2F" w:rsidRPr="0092283B">
        <w:rPr>
          <w:rFonts w:ascii="Verdana" w:hAnsi="Verdana" w:cs="Tahoma"/>
          <w:sz w:val="20"/>
        </w:rPr>
        <w:t>recae sobre bienes inmuebles-</w:t>
      </w:r>
      <w:r w:rsidR="00633CA9" w:rsidRPr="0092283B">
        <w:rPr>
          <w:rFonts w:cs="Tahoma"/>
          <w:sz w:val="24"/>
          <w:szCs w:val="26"/>
        </w:rPr>
        <w:t xml:space="preserve">, </w:t>
      </w:r>
      <w:r w:rsidRPr="0092283B">
        <w:rPr>
          <w:rFonts w:cs="Tahoma"/>
          <w:sz w:val="24"/>
          <w:szCs w:val="26"/>
        </w:rPr>
        <w:t>las cuales</w:t>
      </w:r>
      <w:r w:rsidR="0041784F" w:rsidRPr="0092283B">
        <w:rPr>
          <w:sz w:val="24"/>
          <w:szCs w:val="26"/>
          <w:shd w:val="clear" w:color="auto" w:fill="FFFFFF"/>
        </w:rPr>
        <w:t xml:space="preserve"> tienen como finalidad</w:t>
      </w:r>
      <w:r w:rsidR="00A44A2F" w:rsidRPr="0092283B">
        <w:rPr>
          <w:sz w:val="24"/>
          <w:szCs w:val="26"/>
          <w:shd w:val="clear" w:color="auto" w:fill="FFFFFF"/>
        </w:rPr>
        <w:t xml:space="preserve"> sacar del comercio los bienes y recursos considerados como susceptibles de comiso, mientras se toma una decisión definitiva al respecto</w:t>
      </w:r>
      <w:r w:rsidR="00A44A2F" w:rsidRPr="0092283B">
        <w:rPr>
          <w:color w:val="2D2D2D"/>
          <w:sz w:val="24"/>
          <w:szCs w:val="26"/>
          <w:shd w:val="clear" w:color="auto" w:fill="FFFFFF"/>
        </w:rPr>
        <w:t>.</w:t>
      </w:r>
      <w:r w:rsidR="00A44A2F" w:rsidRPr="0092283B">
        <w:rPr>
          <w:color w:val="2D2D2D"/>
          <w:sz w:val="24"/>
          <w:szCs w:val="28"/>
          <w:shd w:val="clear" w:color="auto" w:fill="FFFFFF"/>
        </w:rPr>
        <w:t xml:space="preserve"> </w:t>
      </w:r>
      <w:r w:rsidRPr="0092283B">
        <w:rPr>
          <w:color w:val="2D2D2D"/>
          <w:sz w:val="24"/>
          <w:szCs w:val="26"/>
          <w:shd w:val="clear" w:color="auto" w:fill="FFFFFF"/>
        </w:rPr>
        <w:t>Y que existen</w:t>
      </w:r>
      <w:r w:rsidRPr="0092283B">
        <w:rPr>
          <w:rFonts w:cs="Tahoma"/>
          <w:sz w:val="24"/>
          <w:szCs w:val="26"/>
        </w:rPr>
        <w:t xml:space="preserve"> las </w:t>
      </w:r>
      <w:r w:rsidR="00A44A2F" w:rsidRPr="0092283B">
        <w:rPr>
          <w:rFonts w:cs="Tahoma"/>
          <w:sz w:val="24"/>
          <w:szCs w:val="26"/>
        </w:rPr>
        <w:t>medidas</w:t>
      </w:r>
      <w:r w:rsidR="00633CA9" w:rsidRPr="0092283B">
        <w:rPr>
          <w:rFonts w:cs="Tahoma"/>
          <w:sz w:val="24"/>
          <w:szCs w:val="26"/>
        </w:rPr>
        <w:t xml:space="preserve"> jurídicas </w:t>
      </w:r>
      <w:r w:rsidRPr="0092283B">
        <w:rPr>
          <w:rFonts w:cs="Tahoma"/>
          <w:sz w:val="24"/>
          <w:szCs w:val="26"/>
        </w:rPr>
        <w:t xml:space="preserve">de protección, entre las cuales está la </w:t>
      </w:r>
      <w:r w:rsidR="00633CA9" w:rsidRPr="0092283B">
        <w:rPr>
          <w:rFonts w:cs="Tahoma"/>
          <w:b/>
          <w:sz w:val="20"/>
          <w:szCs w:val="22"/>
        </w:rPr>
        <w:t>suspensión del poder dispositivo</w:t>
      </w:r>
      <w:r w:rsidR="00573492" w:rsidRPr="0092283B">
        <w:rPr>
          <w:rFonts w:cs="Tahoma"/>
          <w:b/>
          <w:sz w:val="20"/>
          <w:szCs w:val="22"/>
        </w:rPr>
        <w:t xml:space="preserve"> </w:t>
      </w:r>
      <w:r w:rsidR="00573492" w:rsidRPr="0092283B">
        <w:rPr>
          <w:rFonts w:cs="Tahoma"/>
          <w:sz w:val="24"/>
          <w:szCs w:val="26"/>
        </w:rPr>
        <w:t>de los bienes sujetos a registro.</w:t>
      </w:r>
    </w:p>
    <w:p w:rsidR="00633CA9" w:rsidRPr="0092283B" w:rsidRDefault="00633CA9" w:rsidP="001D08F6">
      <w:pPr>
        <w:spacing w:line="276" w:lineRule="auto"/>
        <w:rPr>
          <w:rFonts w:cs="Tahoma"/>
          <w:sz w:val="24"/>
          <w:szCs w:val="26"/>
        </w:rPr>
      </w:pPr>
    </w:p>
    <w:p w:rsidR="00755E35" w:rsidRPr="0092283B" w:rsidRDefault="00550A8A" w:rsidP="001D08F6">
      <w:pPr>
        <w:spacing w:line="276" w:lineRule="auto"/>
        <w:rPr>
          <w:rFonts w:cs="Tahoma"/>
          <w:sz w:val="24"/>
          <w:szCs w:val="26"/>
        </w:rPr>
      </w:pPr>
      <w:r w:rsidRPr="0092283B">
        <w:rPr>
          <w:rFonts w:cs="Tahoma"/>
          <w:sz w:val="24"/>
          <w:szCs w:val="26"/>
        </w:rPr>
        <w:t>Es abiertamente comprensible e indiscutible, que</w:t>
      </w:r>
      <w:r w:rsidR="00B020B5" w:rsidRPr="0092283B">
        <w:rPr>
          <w:rFonts w:cs="Tahoma"/>
          <w:sz w:val="24"/>
          <w:szCs w:val="26"/>
        </w:rPr>
        <w:t xml:space="preserve"> para garantizar el comiso de un bien que fue utilizado </w:t>
      </w:r>
      <w:r w:rsidRPr="0092283B">
        <w:rPr>
          <w:rFonts w:cs="Tahoma"/>
          <w:sz w:val="24"/>
          <w:szCs w:val="26"/>
        </w:rPr>
        <w:t>para la realización de un injusto</w:t>
      </w:r>
      <w:r w:rsidR="00123BFF" w:rsidRPr="0092283B">
        <w:rPr>
          <w:rFonts w:cs="Tahoma"/>
          <w:sz w:val="24"/>
          <w:szCs w:val="26"/>
        </w:rPr>
        <w:t>,</w:t>
      </w:r>
      <w:r w:rsidR="00B020B5" w:rsidRPr="0092283B">
        <w:rPr>
          <w:rFonts w:cs="Tahoma"/>
          <w:sz w:val="24"/>
          <w:szCs w:val="26"/>
        </w:rPr>
        <w:t xml:space="preserve"> se requiere que </w:t>
      </w:r>
      <w:r w:rsidRPr="0092283B">
        <w:rPr>
          <w:rFonts w:cs="Tahoma"/>
          <w:sz w:val="24"/>
          <w:szCs w:val="26"/>
        </w:rPr>
        <w:t>PREVIAMENTE</w:t>
      </w:r>
      <w:r w:rsidR="00B020B5" w:rsidRPr="0092283B">
        <w:rPr>
          <w:rFonts w:cs="Tahoma"/>
          <w:sz w:val="24"/>
          <w:szCs w:val="26"/>
        </w:rPr>
        <w:t xml:space="preserve"> la Fiscalía haya solicita</w:t>
      </w:r>
      <w:r w:rsidR="003E0713" w:rsidRPr="0092283B">
        <w:rPr>
          <w:rFonts w:cs="Tahoma"/>
          <w:sz w:val="24"/>
          <w:szCs w:val="26"/>
        </w:rPr>
        <w:t xml:space="preserve">do ante el juez de control de garantías </w:t>
      </w:r>
      <w:r w:rsidR="00633CA9" w:rsidRPr="0092283B">
        <w:rPr>
          <w:rFonts w:cs="Tahoma"/>
          <w:sz w:val="24"/>
          <w:szCs w:val="26"/>
        </w:rPr>
        <w:t xml:space="preserve">alguna de las dos medidas cautelares dispuestas por el código de procedimiento </w:t>
      </w:r>
      <w:r w:rsidRPr="0092283B">
        <w:rPr>
          <w:rFonts w:cs="Tahoma"/>
          <w:sz w:val="24"/>
          <w:szCs w:val="26"/>
        </w:rPr>
        <w:t>penal, ya sean ellas</w:t>
      </w:r>
      <w:r w:rsidR="00633CA9" w:rsidRPr="0092283B">
        <w:rPr>
          <w:rFonts w:cs="Tahoma"/>
          <w:sz w:val="24"/>
          <w:szCs w:val="26"/>
        </w:rPr>
        <w:t xml:space="preserve"> materiales o jurídicas</w:t>
      </w:r>
      <w:r w:rsidRPr="0092283B">
        <w:rPr>
          <w:rFonts w:cs="Tahoma"/>
          <w:sz w:val="24"/>
          <w:szCs w:val="26"/>
        </w:rPr>
        <w:t>. Sin</w:t>
      </w:r>
      <w:r w:rsidR="00A44A2F" w:rsidRPr="0092283B">
        <w:rPr>
          <w:rFonts w:cs="Tahoma"/>
          <w:sz w:val="24"/>
          <w:szCs w:val="26"/>
        </w:rPr>
        <w:t xml:space="preserve"> embargo, analizado</w:t>
      </w:r>
      <w:r w:rsidR="008D6555" w:rsidRPr="0092283B">
        <w:rPr>
          <w:rFonts w:cs="Tahoma"/>
          <w:sz w:val="24"/>
          <w:szCs w:val="26"/>
        </w:rPr>
        <w:t xml:space="preserve"> con detenimiento</w:t>
      </w:r>
      <w:r w:rsidR="00123BFF" w:rsidRPr="0092283B">
        <w:rPr>
          <w:rFonts w:cs="Tahoma"/>
          <w:sz w:val="24"/>
          <w:szCs w:val="26"/>
        </w:rPr>
        <w:t xml:space="preserve"> </w:t>
      </w:r>
      <w:r w:rsidR="00A44A2F" w:rsidRPr="0092283B">
        <w:rPr>
          <w:rFonts w:cs="Tahoma"/>
          <w:sz w:val="24"/>
          <w:szCs w:val="26"/>
        </w:rPr>
        <w:t xml:space="preserve">este asunto, </w:t>
      </w:r>
      <w:r w:rsidR="005737EE" w:rsidRPr="0092283B">
        <w:rPr>
          <w:rFonts w:cs="Tahoma"/>
          <w:sz w:val="24"/>
          <w:szCs w:val="26"/>
        </w:rPr>
        <w:t xml:space="preserve">se observa que la Fiscalía no </w:t>
      </w:r>
      <w:r w:rsidR="00A44A2F" w:rsidRPr="0092283B">
        <w:rPr>
          <w:rFonts w:cs="Tahoma"/>
          <w:sz w:val="24"/>
          <w:szCs w:val="26"/>
        </w:rPr>
        <w:t xml:space="preserve">hizo ninguna solicitud de </w:t>
      </w:r>
      <w:r w:rsidR="003A23EB" w:rsidRPr="0092283B">
        <w:rPr>
          <w:rFonts w:cs="Tahoma"/>
          <w:sz w:val="24"/>
          <w:szCs w:val="26"/>
        </w:rPr>
        <w:t>medida cautelar</w:t>
      </w:r>
      <w:r w:rsidR="00A44A2F" w:rsidRPr="0092283B">
        <w:rPr>
          <w:rFonts w:cs="Tahoma"/>
          <w:sz w:val="24"/>
          <w:szCs w:val="26"/>
        </w:rPr>
        <w:t xml:space="preserve"> del</w:t>
      </w:r>
      <w:r w:rsidR="00123BFF" w:rsidRPr="0092283B">
        <w:rPr>
          <w:rFonts w:cs="Tahoma"/>
          <w:sz w:val="24"/>
          <w:szCs w:val="26"/>
        </w:rPr>
        <w:t xml:space="preserve"> vehículo </w:t>
      </w:r>
      <w:r w:rsidR="005737EE" w:rsidRPr="0092283B">
        <w:rPr>
          <w:rFonts w:cs="Tahoma"/>
          <w:sz w:val="24"/>
          <w:szCs w:val="26"/>
        </w:rPr>
        <w:t xml:space="preserve">marca </w:t>
      </w:r>
      <w:r w:rsidR="00123BFF" w:rsidRPr="0092283B">
        <w:rPr>
          <w:rFonts w:cs="Tahoma"/>
          <w:sz w:val="24"/>
          <w:szCs w:val="26"/>
        </w:rPr>
        <w:t>Hyundai</w:t>
      </w:r>
      <w:r w:rsidR="005737EE" w:rsidRPr="0092283B">
        <w:rPr>
          <w:rFonts w:cs="Tahoma"/>
          <w:sz w:val="24"/>
          <w:szCs w:val="26"/>
        </w:rPr>
        <w:t xml:space="preserve"> de placa GGK-923</w:t>
      </w:r>
      <w:r w:rsidR="009D4848" w:rsidRPr="0092283B">
        <w:rPr>
          <w:rFonts w:cs="Tahoma"/>
          <w:sz w:val="24"/>
          <w:szCs w:val="26"/>
        </w:rPr>
        <w:t xml:space="preserve">, toda vez que revisado el audio de la audiencia de formulación de imputación no se aprecia </w:t>
      </w:r>
      <w:r w:rsidR="00A44A2F" w:rsidRPr="0092283B">
        <w:rPr>
          <w:rFonts w:cs="Tahoma"/>
          <w:sz w:val="24"/>
          <w:szCs w:val="26"/>
        </w:rPr>
        <w:t>petición</w:t>
      </w:r>
      <w:r w:rsidRPr="0092283B">
        <w:rPr>
          <w:rFonts w:cs="Tahoma"/>
          <w:sz w:val="24"/>
          <w:szCs w:val="26"/>
        </w:rPr>
        <w:t xml:space="preserve"> alguna</w:t>
      </w:r>
      <w:r w:rsidR="009D4848" w:rsidRPr="0092283B">
        <w:rPr>
          <w:rFonts w:cs="Tahoma"/>
          <w:sz w:val="24"/>
          <w:szCs w:val="26"/>
        </w:rPr>
        <w:t xml:space="preserve"> en tal sen</w:t>
      </w:r>
      <w:r w:rsidR="00261188" w:rsidRPr="0092283B">
        <w:rPr>
          <w:rFonts w:cs="Tahoma"/>
          <w:sz w:val="24"/>
          <w:szCs w:val="26"/>
        </w:rPr>
        <w:t>tido</w:t>
      </w:r>
      <w:r w:rsidR="00755E35" w:rsidRPr="0092283B">
        <w:rPr>
          <w:rFonts w:cs="Tahoma"/>
          <w:sz w:val="24"/>
          <w:szCs w:val="26"/>
        </w:rPr>
        <w:t>, ni pronunciamiento del juez de garantías</w:t>
      </w:r>
      <w:r w:rsidR="00AE7BC9" w:rsidRPr="0092283B">
        <w:rPr>
          <w:rFonts w:cs="Tahoma"/>
          <w:sz w:val="24"/>
          <w:szCs w:val="26"/>
        </w:rPr>
        <w:t xml:space="preserve"> en cuanto a </w:t>
      </w:r>
      <w:r w:rsidRPr="0092283B">
        <w:rPr>
          <w:rFonts w:cs="Tahoma"/>
          <w:sz w:val="24"/>
          <w:szCs w:val="26"/>
        </w:rPr>
        <w:t>alguna medida cautelar contra ese rodante</w:t>
      </w:r>
      <w:r w:rsidR="00AE7BC9" w:rsidRPr="0092283B">
        <w:rPr>
          <w:rFonts w:cs="Tahoma"/>
          <w:sz w:val="24"/>
          <w:szCs w:val="26"/>
        </w:rPr>
        <w:t>.</w:t>
      </w:r>
      <w:r w:rsidR="009D4848" w:rsidRPr="0092283B">
        <w:rPr>
          <w:rFonts w:cs="Tahoma"/>
          <w:sz w:val="24"/>
          <w:szCs w:val="26"/>
        </w:rPr>
        <w:t xml:space="preserve"> </w:t>
      </w:r>
      <w:r w:rsidRPr="0092283B">
        <w:rPr>
          <w:rFonts w:cs="Tahoma"/>
          <w:sz w:val="24"/>
          <w:szCs w:val="26"/>
        </w:rPr>
        <w:t>Tan cierta es esa afirmación, que</w:t>
      </w:r>
      <w:r w:rsidR="009D4848" w:rsidRPr="0092283B">
        <w:rPr>
          <w:rFonts w:cs="Tahoma"/>
          <w:sz w:val="24"/>
          <w:szCs w:val="26"/>
        </w:rPr>
        <w:t xml:space="preserve"> la fiscal en la audiencia celebrada en julio 17 de 2019 ante el Juzgado Segundo Penal del Circuito, reconoció</w:t>
      </w:r>
      <w:r w:rsidR="00755E35" w:rsidRPr="0092283B">
        <w:rPr>
          <w:rFonts w:cs="Tahoma"/>
          <w:sz w:val="24"/>
          <w:szCs w:val="26"/>
        </w:rPr>
        <w:t xml:space="preserve"> que no</w:t>
      </w:r>
      <w:r w:rsidRPr="0092283B">
        <w:rPr>
          <w:rFonts w:cs="Tahoma"/>
          <w:sz w:val="24"/>
          <w:szCs w:val="26"/>
        </w:rPr>
        <w:t xml:space="preserve"> existe una afectación contra dicho</w:t>
      </w:r>
      <w:r w:rsidR="00755E35" w:rsidRPr="0092283B">
        <w:rPr>
          <w:rFonts w:cs="Tahoma"/>
          <w:sz w:val="24"/>
          <w:szCs w:val="26"/>
        </w:rPr>
        <w:t xml:space="preserve"> automotor.</w:t>
      </w:r>
      <w:r w:rsidR="0079619E" w:rsidRPr="0092283B">
        <w:rPr>
          <w:rFonts w:cs="Tahoma"/>
          <w:sz w:val="24"/>
          <w:szCs w:val="26"/>
        </w:rPr>
        <w:t xml:space="preserve"> Es más, ni siquiera el vehículo fue puesto a disposición del juzgado de conocimiento.</w:t>
      </w:r>
    </w:p>
    <w:p w:rsidR="00755E35" w:rsidRPr="0092283B" w:rsidRDefault="00755E35" w:rsidP="001D08F6">
      <w:pPr>
        <w:spacing w:line="276" w:lineRule="auto"/>
        <w:rPr>
          <w:rFonts w:cs="Tahoma"/>
          <w:sz w:val="24"/>
          <w:szCs w:val="26"/>
        </w:rPr>
      </w:pPr>
    </w:p>
    <w:p w:rsidR="00593642" w:rsidRPr="0092283B" w:rsidRDefault="00593642" w:rsidP="001D08F6">
      <w:pPr>
        <w:spacing w:line="276" w:lineRule="auto"/>
        <w:rPr>
          <w:rFonts w:cs="Tahoma"/>
          <w:sz w:val="24"/>
          <w:szCs w:val="26"/>
        </w:rPr>
      </w:pPr>
      <w:r w:rsidRPr="0092283B">
        <w:rPr>
          <w:rFonts w:cs="Tahoma"/>
          <w:sz w:val="24"/>
          <w:szCs w:val="26"/>
        </w:rPr>
        <w:t>Aunque la representante del ente acusador asevera que el artículo 8</w:t>
      </w:r>
      <w:r w:rsidR="00755E35" w:rsidRPr="0092283B">
        <w:rPr>
          <w:rFonts w:cs="Tahoma"/>
          <w:sz w:val="24"/>
          <w:szCs w:val="26"/>
        </w:rPr>
        <w:t xml:space="preserve">8 C.P.P. le impide realizar la </w:t>
      </w:r>
      <w:r w:rsidRPr="0092283B">
        <w:rPr>
          <w:rFonts w:cs="Tahoma"/>
          <w:sz w:val="24"/>
          <w:szCs w:val="26"/>
        </w:rPr>
        <w:t>entrega</w:t>
      </w:r>
      <w:r w:rsidR="00755E35" w:rsidRPr="0092283B">
        <w:rPr>
          <w:rFonts w:cs="Tahoma"/>
          <w:sz w:val="24"/>
          <w:szCs w:val="26"/>
        </w:rPr>
        <w:t xml:space="preserve"> del vehículo</w:t>
      </w:r>
      <w:r w:rsidRPr="0092283B">
        <w:rPr>
          <w:rFonts w:cs="Tahoma"/>
          <w:sz w:val="24"/>
          <w:szCs w:val="26"/>
        </w:rPr>
        <w:t>, por cuanto la Corte</w:t>
      </w:r>
      <w:r w:rsidR="002357B7" w:rsidRPr="0092283B">
        <w:rPr>
          <w:rFonts w:cs="Tahoma"/>
          <w:sz w:val="24"/>
          <w:szCs w:val="26"/>
        </w:rPr>
        <w:t xml:space="preserve"> Constitucional en sentencia </w:t>
      </w:r>
      <w:r w:rsidRPr="0092283B">
        <w:rPr>
          <w:rFonts w:cs="Tahoma"/>
          <w:sz w:val="24"/>
          <w:szCs w:val="26"/>
        </w:rPr>
        <w:t>C-591/14 declar</w:t>
      </w:r>
      <w:r w:rsidR="008D6555" w:rsidRPr="0092283B">
        <w:rPr>
          <w:rFonts w:cs="Tahoma"/>
          <w:sz w:val="24"/>
          <w:szCs w:val="26"/>
        </w:rPr>
        <w:t>ó inexequible la expresión</w:t>
      </w:r>
      <w:r w:rsidRPr="0092283B">
        <w:rPr>
          <w:rFonts w:cs="Tahoma"/>
          <w:sz w:val="24"/>
          <w:szCs w:val="26"/>
        </w:rPr>
        <w:t xml:space="preserve"> “por orden del fiscal”, esa </w:t>
      </w:r>
      <w:r w:rsidR="00127D46" w:rsidRPr="0092283B">
        <w:rPr>
          <w:rFonts w:cs="Tahoma"/>
          <w:sz w:val="24"/>
          <w:szCs w:val="26"/>
        </w:rPr>
        <w:t>facultad</w:t>
      </w:r>
      <w:r w:rsidR="003705EF" w:rsidRPr="0092283B">
        <w:rPr>
          <w:rFonts w:cs="Tahoma"/>
          <w:sz w:val="24"/>
          <w:szCs w:val="26"/>
        </w:rPr>
        <w:t xml:space="preserve"> sí</w:t>
      </w:r>
      <w:r w:rsidRPr="0092283B">
        <w:rPr>
          <w:rFonts w:cs="Tahoma"/>
          <w:sz w:val="24"/>
          <w:szCs w:val="26"/>
        </w:rPr>
        <w:t xml:space="preserve"> es procedente cuando no existe ninguna </w:t>
      </w:r>
      <w:r w:rsidR="002357B7" w:rsidRPr="0092283B">
        <w:rPr>
          <w:rFonts w:cs="Tahoma"/>
          <w:sz w:val="24"/>
          <w:szCs w:val="26"/>
        </w:rPr>
        <w:t>medida cautelar, y así lo dejó consignado</w:t>
      </w:r>
      <w:r w:rsidRPr="0092283B">
        <w:rPr>
          <w:rFonts w:cs="Tahoma"/>
          <w:sz w:val="24"/>
          <w:szCs w:val="26"/>
        </w:rPr>
        <w:t xml:space="preserve"> la misma sentencia:</w:t>
      </w:r>
    </w:p>
    <w:p w:rsidR="0079619E" w:rsidRPr="00337216" w:rsidRDefault="0079619E" w:rsidP="00337216">
      <w:pPr>
        <w:spacing w:line="276" w:lineRule="auto"/>
        <w:rPr>
          <w:sz w:val="24"/>
        </w:rPr>
      </w:pPr>
    </w:p>
    <w:p w:rsidR="00593642" w:rsidRPr="0092283B" w:rsidRDefault="002357B7" w:rsidP="00A206D1">
      <w:pPr>
        <w:shd w:val="clear" w:color="auto" w:fill="FFFFFF"/>
        <w:spacing w:line="240" w:lineRule="auto"/>
        <w:ind w:left="426" w:right="420"/>
        <w:textAlignment w:val="baseline"/>
        <w:rPr>
          <w:rFonts w:ascii="Verdana" w:hAnsi="Verdana"/>
          <w:b/>
          <w:sz w:val="18"/>
          <w:szCs w:val="18"/>
          <w:lang w:val="es-CO" w:eastAsia="es-CO"/>
        </w:rPr>
      </w:pPr>
      <w:r w:rsidRPr="0092283B">
        <w:rPr>
          <w:rFonts w:ascii="Verdana" w:hAnsi="Verdana"/>
          <w:sz w:val="20"/>
          <w:bdr w:val="none" w:sz="0" w:space="0" w:color="auto" w:frame="1"/>
          <w:lang w:val="es-CO" w:eastAsia="es-CO"/>
        </w:rPr>
        <w:t>“</w:t>
      </w:r>
      <w:r w:rsidR="00593642" w:rsidRPr="0092283B">
        <w:rPr>
          <w:rFonts w:ascii="Verdana" w:hAnsi="Verdana"/>
          <w:sz w:val="20"/>
          <w:bdr w:val="none" w:sz="0" w:space="0" w:color="auto" w:frame="1"/>
          <w:lang w:val="es-CO" w:eastAsia="es-CO"/>
        </w:rPr>
        <w:t xml:space="preserve">31. La medida de incautación y ocupación de bienes con fines de comiso cuenta con la intervención del juez de control de garantías, en cuanto afecta derechos subjetivos, y eventualmente derechos fundamentales. La medida que la levanta debe así mismo garantizar el ejercicio de potestad jurisdiccional y el acceso de los posibles afectados a un espacio de discusión ante la autoridad con poder dispositivo sobre derechos subjetivos. </w:t>
      </w:r>
      <w:r w:rsidR="00593642" w:rsidRPr="0092283B">
        <w:rPr>
          <w:rFonts w:ascii="Verdana" w:hAnsi="Verdana"/>
          <w:b/>
          <w:sz w:val="18"/>
          <w:szCs w:val="18"/>
          <w:bdr w:val="none" w:sz="0" w:space="0" w:color="auto" w:frame="1"/>
          <w:lang w:val="es-CO" w:eastAsia="es-CO"/>
        </w:rPr>
        <w:t>Escenario distinto es aquél en que el fiscal, en el ejercicio de su potestad constitucional de </w:t>
      </w:r>
      <w:r w:rsidR="00593642" w:rsidRPr="0092283B">
        <w:rPr>
          <w:rFonts w:ascii="Verdana" w:hAnsi="Verdana"/>
          <w:b/>
          <w:iCs/>
          <w:sz w:val="18"/>
          <w:szCs w:val="18"/>
          <w:bdr w:val="none" w:sz="0" w:space="0" w:color="auto" w:frame="1"/>
          <w:lang w:val="es-CO" w:eastAsia="es-CO"/>
        </w:rPr>
        <w:t>“asegurar los elementos materiales probatorios y garantizar la cadena de custodia”</w:t>
      </w:r>
      <w:r w:rsidR="00593642" w:rsidRPr="0092283B">
        <w:rPr>
          <w:rFonts w:ascii="Verdana" w:hAnsi="Verdana"/>
          <w:b/>
          <w:sz w:val="18"/>
          <w:szCs w:val="18"/>
          <w:bdr w:val="none" w:sz="0" w:space="0" w:color="auto" w:frame="1"/>
          <w:lang w:val="es-CO" w:eastAsia="es-CO"/>
        </w:rPr>
        <w:t xml:space="preserve"> aprehende bienes con fines de investigación, sin que estos se encuentren afectados con medida material o jurídica alguna, </w:t>
      </w:r>
      <w:r w:rsidR="00593642" w:rsidRPr="0092283B">
        <w:rPr>
          <w:rFonts w:ascii="Verdana" w:hAnsi="Verdana"/>
          <w:b/>
          <w:sz w:val="18"/>
          <w:szCs w:val="18"/>
          <w:u w:val="single"/>
          <w:bdr w:val="none" w:sz="0" w:space="0" w:color="auto" w:frame="1"/>
          <w:lang w:val="es-CO" w:eastAsia="es-CO"/>
        </w:rPr>
        <w:t>caso en el cual la devolución, se efectuará </w:t>
      </w:r>
      <w:r w:rsidR="00593642" w:rsidRPr="0092283B">
        <w:rPr>
          <w:rFonts w:ascii="Verdana" w:hAnsi="Verdana"/>
          <w:b/>
          <w:bCs/>
          <w:sz w:val="18"/>
          <w:szCs w:val="18"/>
          <w:u w:val="single"/>
          <w:bdr w:val="none" w:sz="0" w:space="0" w:color="auto" w:frame="1"/>
          <w:lang w:val="es-CO" w:eastAsia="es-CO"/>
        </w:rPr>
        <w:t>directamente por el fiscal</w:t>
      </w:r>
      <w:r w:rsidR="00593642" w:rsidRPr="0092283B">
        <w:rPr>
          <w:rFonts w:ascii="Verdana" w:hAnsi="Verdana"/>
          <w:b/>
          <w:sz w:val="18"/>
          <w:szCs w:val="18"/>
          <w:u w:val="single"/>
          <w:bdr w:val="none" w:sz="0" w:space="0" w:color="auto" w:frame="1"/>
          <w:lang w:val="es-CO" w:eastAsia="es-CO"/>
        </w:rPr>
        <w:t> una vez examinados y levantados los registros correspondientes</w:t>
      </w:r>
      <w:r w:rsidR="00593642" w:rsidRPr="0092283B">
        <w:rPr>
          <w:rFonts w:ascii="Verdana" w:hAnsi="Verdana"/>
          <w:b/>
          <w:sz w:val="18"/>
          <w:szCs w:val="18"/>
          <w:bdr w:val="none" w:sz="0" w:space="0" w:color="auto" w:frame="1"/>
          <w:lang w:val="es-CO" w:eastAsia="es-CO"/>
        </w:rPr>
        <w:t>.</w:t>
      </w:r>
      <w:r w:rsidR="00127D46" w:rsidRPr="0092283B">
        <w:rPr>
          <w:rFonts w:ascii="Verdana" w:hAnsi="Verdana"/>
          <w:b/>
          <w:sz w:val="18"/>
          <w:szCs w:val="18"/>
          <w:bdr w:val="none" w:sz="0" w:space="0" w:color="auto" w:frame="1"/>
          <w:lang w:val="es-CO" w:eastAsia="es-CO"/>
        </w:rPr>
        <w:t xml:space="preserve"> </w:t>
      </w:r>
      <w:r w:rsidRPr="0092283B">
        <w:rPr>
          <w:rFonts w:ascii="Verdana" w:hAnsi="Verdana"/>
          <w:sz w:val="20"/>
          <w:bdr w:val="none" w:sz="0" w:space="0" w:color="auto" w:frame="1"/>
          <w:lang w:val="es-CO" w:eastAsia="es-CO"/>
        </w:rPr>
        <w:t>-n</w:t>
      </w:r>
      <w:r w:rsidR="00127D46" w:rsidRPr="0092283B">
        <w:rPr>
          <w:rFonts w:ascii="Verdana" w:hAnsi="Verdana"/>
          <w:sz w:val="20"/>
          <w:bdr w:val="none" w:sz="0" w:space="0" w:color="auto" w:frame="1"/>
          <w:lang w:val="es-CO" w:eastAsia="es-CO"/>
        </w:rPr>
        <w:t>egrilla</w:t>
      </w:r>
      <w:r w:rsidRPr="0092283B">
        <w:rPr>
          <w:rFonts w:ascii="Verdana" w:hAnsi="Verdana"/>
          <w:sz w:val="20"/>
          <w:bdr w:val="none" w:sz="0" w:space="0" w:color="auto" w:frame="1"/>
          <w:lang w:val="es-CO" w:eastAsia="es-CO"/>
        </w:rPr>
        <w:t xml:space="preserve"> y subrayado</w:t>
      </w:r>
      <w:r w:rsidR="00127D46" w:rsidRPr="0092283B">
        <w:rPr>
          <w:rFonts w:ascii="Verdana" w:hAnsi="Verdana"/>
          <w:sz w:val="20"/>
          <w:bdr w:val="none" w:sz="0" w:space="0" w:color="auto" w:frame="1"/>
          <w:lang w:val="es-CO" w:eastAsia="es-CO"/>
        </w:rPr>
        <w:t xml:space="preserve"> de la Sala-</w:t>
      </w:r>
    </w:p>
    <w:p w:rsidR="00755E35" w:rsidRPr="00337216" w:rsidRDefault="00593642" w:rsidP="00337216">
      <w:pPr>
        <w:spacing w:line="276" w:lineRule="auto"/>
        <w:rPr>
          <w:sz w:val="24"/>
        </w:rPr>
      </w:pPr>
      <w:r w:rsidRPr="00337216">
        <w:rPr>
          <w:sz w:val="24"/>
        </w:rPr>
        <w:t> </w:t>
      </w:r>
    </w:p>
    <w:p w:rsidR="00127D46" w:rsidRPr="0092283B" w:rsidRDefault="00755E35" w:rsidP="001D08F6">
      <w:pPr>
        <w:spacing w:line="276" w:lineRule="auto"/>
        <w:rPr>
          <w:rFonts w:cs="Tahoma"/>
          <w:sz w:val="24"/>
          <w:szCs w:val="26"/>
        </w:rPr>
      </w:pPr>
      <w:r w:rsidRPr="0092283B">
        <w:rPr>
          <w:sz w:val="24"/>
        </w:rPr>
        <w:lastRenderedPageBreak/>
        <w:t>Por lo anterior, y ante la ausencia de una medida cautelar contra el</w:t>
      </w:r>
      <w:r w:rsidR="0044020E" w:rsidRPr="0092283B">
        <w:rPr>
          <w:sz w:val="24"/>
        </w:rPr>
        <w:t xml:space="preserve"> referido</w:t>
      </w:r>
      <w:r w:rsidRPr="0092283B">
        <w:rPr>
          <w:sz w:val="24"/>
        </w:rPr>
        <w:t xml:space="preserve"> bien</w:t>
      </w:r>
      <w:r w:rsidRPr="0092283B">
        <w:rPr>
          <w:rFonts w:cs="Tahoma"/>
          <w:sz w:val="24"/>
          <w:szCs w:val="26"/>
        </w:rPr>
        <w:t xml:space="preserve">, no le corresponde a la judicatura resolver sobre la </w:t>
      </w:r>
      <w:r w:rsidR="002357B7" w:rsidRPr="0092283B">
        <w:rPr>
          <w:rFonts w:cs="Tahoma"/>
          <w:sz w:val="24"/>
          <w:szCs w:val="26"/>
        </w:rPr>
        <w:t xml:space="preserve">entrega del mismo; en consecuencia, fue </w:t>
      </w:r>
      <w:r w:rsidR="002357B7" w:rsidRPr="0092283B">
        <w:rPr>
          <w:sz w:val="24"/>
        </w:rPr>
        <w:t>acertada la decisión de la falladora</w:t>
      </w:r>
      <w:r w:rsidR="00127D46" w:rsidRPr="0092283B">
        <w:rPr>
          <w:sz w:val="24"/>
        </w:rPr>
        <w:t xml:space="preserve"> de primer nivel</w:t>
      </w:r>
      <w:r w:rsidR="002357B7" w:rsidRPr="0092283B">
        <w:rPr>
          <w:sz w:val="24"/>
        </w:rPr>
        <w:t xml:space="preserve"> en el sentido</w:t>
      </w:r>
      <w:r w:rsidR="005C1800" w:rsidRPr="0092283B">
        <w:rPr>
          <w:sz w:val="24"/>
        </w:rPr>
        <w:t xml:space="preserve"> de disponer que sea </w:t>
      </w:r>
      <w:r w:rsidR="00127D46" w:rsidRPr="0092283B">
        <w:rPr>
          <w:sz w:val="24"/>
        </w:rPr>
        <w:t>la Fiscalía</w:t>
      </w:r>
      <w:r w:rsidR="005C1800" w:rsidRPr="0092283B">
        <w:rPr>
          <w:sz w:val="24"/>
        </w:rPr>
        <w:t xml:space="preserve"> General de la Nación quien frente al</w:t>
      </w:r>
      <w:r w:rsidR="00127D46" w:rsidRPr="0092283B">
        <w:rPr>
          <w:sz w:val="24"/>
        </w:rPr>
        <w:t xml:space="preserve"> vehículo marcha Hyundai GGK-923 </w:t>
      </w:r>
      <w:r w:rsidR="005C1800" w:rsidRPr="0092283B">
        <w:rPr>
          <w:sz w:val="24"/>
        </w:rPr>
        <w:t>tome uno de los siguientes dos caminos</w:t>
      </w:r>
      <w:r w:rsidR="00127D46" w:rsidRPr="0092283B">
        <w:rPr>
          <w:sz w:val="24"/>
        </w:rPr>
        <w:t>: (i) entrega el automotor</w:t>
      </w:r>
      <w:r w:rsidR="005C1800" w:rsidRPr="0092283B">
        <w:rPr>
          <w:sz w:val="24"/>
        </w:rPr>
        <w:t>;</w:t>
      </w:r>
      <w:r w:rsidR="00127D46" w:rsidRPr="0092283B">
        <w:rPr>
          <w:sz w:val="24"/>
        </w:rPr>
        <w:t xml:space="preserve"> o (ii) </w:t>
      </w:r>
      <w:r w:rsidR="002357B7" w:rsidRPr="0092283B">
        <w:rPr>
          <w:sz w:val="24"/>
        </w:rPr>
        <w:t xml:space="preserve">lo </w:t>
      </w:r>
      <w:r w:rsidR="00127D46" w:rsidRPr="0092283B">
        <w:rPr>
          <w:sz w:val="24"/>
        </w:rPr>
        <w:t xml:space="preserve">deja a disposición de la Fiscalía de </w:t>
      </w:r>
      <w:r w:rsidR="00557CBB" w:rsidRPr="0092283B">
        <w:rPr>
          <w:sz w:val="24"/>
        </w:rPr>
        <w:t>E</w:t>
      </w:r>
      <w:r w:rsidR="00127D46" w:rsidRPr="0092283B">
        <w:rPr>
          <w:sz w:val="24"/>
        </w:rPr>
        <w:t xml:space="preserve">xtinción de </w:t>
      </w:r>
      <w:r w:rsidR="00557CBB" w:rsidRPr="0092283B">
        <w:rPr>
          <w:sz w:val="24"/>
        </w:rPr>
        <w:t>D</w:t>
      </w:r>
      <w:r w:rsidR="00127D46" w:rsidRPr="0092283B">
        <w:rPr>
          <w:sz w:val="24"/>
        </w:rPr>
        <w:t xml:space="preserve">ominio. </w:t>
      </w:r>
    </w:p>
    <w:p w:rsidR="00127D46" w:rsidRPr="0092283B" w:rsidRDefault="00127D46" w:rsidP="001D08F6">
      <w:pPr>
        <w:spacing w:line="276" w:lineRule="auto"/>
        <w:rPr>
          <w:sz w:val="24"/>
        </w:rPr>
      </w:pPr>
    </w:p>
    <w:p w:rsidR="0086443E" w:rsidRPr="0092283B" w:rsidRDefault="0086443E" w:rsidP="001D08F6">
      <w:pPr>
        <w:spacing w:line="276" w:lineRule="auto"/>
        <w:rPr>
          <w:sz w:val="24"/>
        </w:rPr>
      </w:pPr>
      <w:r w:rsidRPr="0092283B">
        <w:rPr>
          <w:sz w:val="24"/>
        </w:rPr>
        <w:t xml:space="preserve">En mérito de lo expuesto, el Tribunal Superior del Distrito Judicial de Pereira (Rda.), Sala de Decisión Penal, administrando justicia en nombre de la República y por autoridad de la ley, </w:t>
      </w:r>
      <w:r w:rsidRPr="0092283B">
        <w:rPr>
          <w:b/>
          <w:sz w:val="24"/>
        </w:rPr>
        <w:t>CONFIRMA</w:t>
      </w:r>
      <w:r w:rsidRPr="0092283B">
        <w:rPr>
          <w:sz w:val="28"/>
        </w:rPr>
        <w:t xml:space="preserve"> </w:t>
      </w:r>
      <w:r w:rsidRPr="0092283B">
        <w:rPr>
          <w:sz w:val="24"/>
        </w:rPr>
        <w:t>el fallo objeto de recurso, con las aclaraciones y observaciones</w:t>
      </w:r>
      <w:r w:rsidR="001D08F6" w:rsidRPr="0092283B">
        <w:rPr>
          <w:sz w:val="24"/>
        </w:rPr>
        <w:t xml:space="preserve"> indicadas en el cuerpo motivo.</w:t>
      </w:r>
    </w:p>
    <w:p w:rsidR="001D08F6" w:rsidRPr="0092283B" w:rsidRDefault="001D08F6" w:rsidP="001D08F6">
      <w:pPr>
        <w:spacing w:line="276" w:lineRule="auto"/>
        <w:rPr>
          <w:sz w:val="24"/>
        </w:rPr>
      </w:pPr>
    </w:p>
    <w:p w:rsidR="0086443E" w:rsidRPr="0092283B" w:rsidRDefault="0086443E" w:rsidP="001D08F6">
      <w:pPr>
        <w:spacing w:line="276" w:lineRule="auto"/>
        <w:rPr>
          <w:rFonts w:eastAsia="Calibri"/>
          <w:sz w:val="24"/>
        </w:rPr>
      </w:pPr>
      <w:r w:rsidRPr="0092283B">
        <w:rPr>
          <w:sz w:val="24"/>
        </w:rPr>
        <w:t xml:space="preserve">Esta sentencia queda notificada en estrados y contra ella procede el recurso extraordinario de casación, </w:t>
      </w:r>
      <w:r w:rsidRPr="0092283B">
        <w:rPr>
          <w:rFonts w:eastAsia="Calibri"/>
          <w:sz w:val="24"/>
        </w:rPr>
        <w:t>que de interponerse deberá hacerse dentro del término de ley.</w:t>
      </w:r>
    </w:p>
    <w:p w:rsidR="0086443E" w:rsidRPr="00337216" w:rsidRDefault="0086443E" w:rsidP="00337216">
      <w:pPr>
        <w:spacing w:line="276" w:lineRule="auto"/>
        <w:rPr>
          <w:sz w:val="24"/>
        </w:rPr>
      </w:pPr>
    </w:p>
    <w:p w:rsidR="00337216" w:rsidRPr="00337216" w:rsidRDefault="00337216" w:rsidP="00337216">
      <w:pPr>
        <w:spacing w:line="276" w:lineRule="auto"/>
        <w:rPr>
          <w:sz w:val="24"/>
        </w:rPr>
      </w:pPr>
    </w:p>
    <w:p w:rsidR="0086443E" w:rsidRPr="0092283B" w:rsidRDefault="0086443E" w:rsidP="001D08F6">
      <w:pPr>
        <w:spacing w:line="276" w:lineRule="auto"/>
        <w:rPr>
          <w:sz w:val="24"/>
          <w:lang w:val="es-ES_tradnl"/>
        </w:rPr>
      </w:pPr>
      <w:r w:rsidRPr="0092283B">
        <w:rPr>
          <w:sz w:val="24"/>
          <w:lang w:val="es-ES_tradnl"/>
        </w:rPr>
        <w:t xml:space="preserve">Los Magistrados, </w:t>
      </w:r>
    </w:p>
    <w:p w:rsidR="001D08F6" w:rsidRPr="00337216" w:rsidRDefault="001D08F6" w:rsidP="001D08F6">
      <w:pPr>
        <w:spacing w:line="276" w:lineRule="auto"/>
        <w:rPr>
          <w:sz w:val="24"/>
        </w:rPr>
      </w:pPr>
    </w:p>
    <w:p w:rsidR="001D08F6" w:rsidRDefault="001D08F6" w:rsidP="001D08F6">
      <w:pPr>
        <w:spacing w:line="276" w:lineRule="auto"/>
        <w:rPr>
          <w:sz w:val="24"/>
        </w:rPr>
      </w:pPr>
    </w:p>
    <w:p w:rsidR="00337216" w:rsidRPr="00337216" w:rsidRDefault="00337216" w:rsidP="001D08F6">
      <w:pPr>
        <w:spacing w:line="276" w:lineRule="auto"/>
        <w:rPr>
          <w:sz w:val="24"/>
        </w:rPr>
      </w:pPr>
    </w:p>
    <w:p w:rsidR="001D08F6" w:rsidRPr="00337216" w:rsidRDefault="001D08F6" w:rsidP="001D08F6">
      <w:pPr>
        <w:spacing w:line="276" w:lineRule="auto"/>
        <w:rPr>
          <w:sz w:val="24"/>
        </w:rPr>
      </w:pPr>
    </w:p>
    <w:p w:rsidR="001D08F6" w:rsidRPr="0092283B" w:rsidRDefault="001D08F6" w:rsidP="001D08F6">
      <w:pPr>
        <w:spacing w:line="276" w:lineRule="auto"/>
        <w:rPr>
          <w:rFonts w:cs="Tahoma"/>
          <w:b/>
          <w:position w:val="-4"/>
          <w:sz w:val="24"/>
          <w:szCs w:val="24"/>
          <w:lang w:val="es-419"/>
        </w:rPr>
      </w:pPr>
      <w:r w:rsidRPr="0092283B">
        <w:rPr>
          <w:rFonts w:cs="Tahoma"/>
          <w:b/>
          <w:position w:val="-4"/>
          <w:sz w:val="24"/>
          <w:szCs w:val="24"/>
          <w:lang w:val="es-419"/>
        </w:rPr>
        <w:t>JORGE ARTURO CASTAÑO DUQUE</w:t>
      </w:r>
      <w:r w:rsidRPr="0092283B">
        <w:rPr>
          <w:rFonts w:cs="Tahoma"/>
          <w:b/>
          <w:position w:val="-4"/>
          <w:sz w:val="24"/>
          <w:szCs w:val="24"/>
          <w:lang w:val="es-419"/>
        </w:rPr>
        <w:tab/>
      </w:r>
      <w:r w:rsidRPr="0092283B">
        <w:rPr>
          <w:rFonts w:cs="Tahoma"/>
          <w:b/>
          <w:position w:val="-4"/>
          <w:sz w:val="24"/>
          <w:szCs w:val="24"/>
          <w:lang w:val="es-419"/>
        </w:rPr>
        <w:tab/>
        <w:t>JAIRO ERNESTO ESCOBAR SANZ</w:t>
      </w:r>
    </w:p>
    <w:p w:rsidR="001D08F6" w:rsidRPr="0092283B" w:rsidRDefault="001D08F6" w:rsidP="001D08F6">
      <w:pPr>
        <w:spacing w:line="276" w:lineRule="auto"/>
        <w:rPr>
          <w:rFonts w:cs="Tahoma"/>
          <w:position w:val="-4"/>
          <w:sz w:val="24"/>
          <w:szCs w:val="24"/>
          <w:lang w:val="es-419"/>
        </w:rPr>
      </w:pPr>
    </w:p>
    <w:p w:rsidR="001D08F6" w:rsidRPr="0092283B" w:rsidRDefault="001D08F6" w:rsidP="001D08F6">
      <w:pPr>
        <w:spacing w:line="276" w:lineRule="auto"/>
        <w:rPr>
          <w:rFonts w:cs="Tahoma"/>
          <w:position w:val="-4"/>
          <w:sz w:val="24"/>
          <w:szCs w:val="24"/>
          <w:lang w:val="es-419"/>
        </w:rPr>
      </w:pPr>
    </w:p>
    <w:p w:rsidR="001D08F6" w:rsidRDefault="001D08F6" w:rsidP="001D08F6">
      <w:pPr>
        <w:spacing w:line="276" w:lineRule="auto"/>
        <w:rPr>
          <w:rFonts w:cs="Tahoma"/>
          <w:position w:val="-4"/>
          <w:sz w:val="24"/>
          <w:szCs w:val="24"/>
          <w:lang w:val="es-419"/>
        </w:rPr>
      </w:pPr>
    </w:p>
    <w:p w:rsidR="00337216" w:rsidRPr="0092283B" w:rsidRDefault="00337216" w:rsidP="001D08F6">
      <w:pPr>
        <w:spacing w:line="276" w:lineRule="auto"/>
        <w:rPr>
          <w:rFonts w:cs="Tahoma"/>
          <w:position w:val="-4"/>
          <w:sz w:val="24"/>
          <w:szCs w:val="24"/>
          <w:lang w:val="es-419"/>
        </w:rPr>
      </w:pPr>
    </w:p>
    <w:p w:rsidR="00D74014" w:rsidRPr="0092283B" w:rsidRDefault="001D08F6" w:rsidP="001D08F6">
      <w:pPr>
        <w:spacing w:line="276" w:lineRule="auto"/>
        <w:jc w:val="center"/>
        <w:rPr>
          <w:rFonts w:cs="Tahoma"/>
          <w:sz w:val="24"/>
          <w:szCs w:val="24"/>
          <w:lang w:val="es-419"/>
        </w:rPr>
      </w:pPr>
      <w:r w:rsidRPr="0092283B">
        <w:rPr>
          <w:rFonts w:cs="Tahoma"/>
          <w:b/>
          <w:position w:val="-4"/>
          <w:sz w:val="24"/>
          <w:szCs w:val="24"/>
          <w:lang w:val="es-419"/>
        </w:rPr>
        <w:t>MANUEL YARZAGARAY BANDERA</w:t>
      </w:r>
    </w:p>
    <w:sectPr w:rsidR="00D74014" w:rsidRPr="0092283B" w:rsidSect="005E631D">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5A" w:rsidRDefault="00A6235A" w:rsidP="0086443E">
      <w:pPr>
        <w:spacing w:line="240" w:lineRule="auto"/>
      </w:pPr>
      <w:r>
        <w:separator/>
      </w:r>
    </w:p>
  </w:endnote>
  <w:endnote w:type="continuationSeparator" w:id="0">
    <w:p w:rsidR="00A6235A" w:rsidRDefault="00A6235A" w:rsidP="00864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EB" w:rsidRDefault="009E16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98" w:rsidRPr="005E631D" w:rsidRDefault="00B632D9" w:rsidP="005E631D">
    <w:pPr>
      <w:pStyle w:val="Encabezado"/>
      <w:spacing w:line="240" w:lineRule="auto"/>
      <w:rPr>
        <w:rFonts w:ascii="Arial" w:hAnsi="Arial" w:cs="Arial"/>
        <w:sz w:val="18"/>
        <w:lang w:val="es-MX"/>
      </w:rPr>
    </w:pPr>
    <w:r w:rsidRPr="005E631D">
      <w:rPr>
        <w:rFonts w:ascii="Arial" w:hAnsi="Arial" w:cs="Arial"/>
        <w:sz w:val="18"/>
        <w:lang w:val="es-MX"/>
      </w:rPr>
      <w:t xml:space="preserve">Página </w:t>
    </w:r>
    <w:r w:rsidRPr="005E631D">
      <w:rPr>
        <w:rFonts w:ascii="Arial" w:hAnsi="Arial" w:cs="Arial"/>
        <w:sz w:val="18"/>
        <w:lang w:val="es-MX"/>
      </w:rPr>
      <w:fldChar w:fldCharType="begin"/>
    </w:r>
    <w:r w:rsidRPr="005E631D">
      <w:rPr>
        <w:rFonts w:ascii="Arial" w:hAnsi="Arial" w:cs="Arial"/>
        <w:sz w:val="18"/>
        <w:lang w:val="es-MX"/>
      </w:rPr>
      <w:instrText xml:space="preserve"> PAGE </w:instrText>
    </w:r>
    <w:r w:rsidRPr="005E631D">
      <w:rPr>
        <w:rFonts w:ascii="Arial" w:hAnsi="Arial" w:cs="Arial"/>
        <w:sz w:val="18"/>
        <w:lang w:val="es-MX"/>
      </w:rPr>
      <w:fldChar w:fldCharType="separate"/>
    </w:r>
    <w:r w:rsidR="009E16EB">
      <w:rPr>
        <w:rFonts w:ascii="Arial" w:hAnsi="Arial" w:cs="Arial"/>
        <w:noProof/>
        <w:sz w:val="18"/>
        <w:lang w:val="es-MX"/>
      </w:rPr>
      <w:t>2</w:t>
    </w:r>
    <w:r w:rsidRPr="005E631D">
      <w:rPr>
        <w:rFonts w:ascii="Arial" w:hAnsi="Arial" w:cs="Arial"/>
        <w:sz w:val="18"/>
        <w:lang w:val="es-MX"/>
      </w:rPr>
      <w:fldChar w:fldCharType="end"/>
    </w:r>
    <w:r w:rsidRPr="005E631D">
      <w:rPr>
        <w:rFonts w:ascii="Arial" w:hAnsi="Arial" w:cs="Arial"/>
        <w:sz w:val="18"/>
        <w:lang w:val="es-MX"/>
      </w:rPr>
      <w:t xml:space="preserve"> de </w:t>
    </w:r>
    <w:r w:rsidRPr="005E631D">
      <w:rPr>
        <w:rFonts w:ascii="Arial" w:hAnsi="Arial" w:cs="Arial"/>
        <w:sz w:val="18"/>
        <w:lang w:val="es-MX"/>
      </w:rPr>
      <w:fldChar w:fldCharType="begin"/>
    </w:r>
    <w:r w:rsidRPr="005E631D">
      <w:rPr>
        <w:rFonts w:ascii="Arial" w:hAnsi="Arial" w:cs="Arial"/>
        <w:sz w:val="18"/>
        <w:lang w:val="es-MX"/>
      </w:rPr>
      <w:instrText xml:space="preserve"> NUMPAGES </w:instrText>
    </w:r>
    <w:r w:rsidRPr="005E631D">
      <w:rPr>
        <w:rFonts w:ascii="Arial" w:hAnsi="Arial" w:cs="Arial"/>
        <w:sz w:val="18"/>
        <w:lang w:val="es-MX"/>
      </w:rPr>
      <w:fldChar w:fldCharType="separate"/>
    </w:r>
    <w:r w:rsidR="009E16EB">
      <w:rPr>
        <w:rFonts w:ascii="Arial" w:hAnsi="Arial" w:cs="Arial"/>
        <w:noProof/>
        <w:sz w:val="18"/>
        <w:lang w:val="es-MX"/>
      </w:rPr>
      <w:t>6</w:t>
    </w:r>
    <w:r w:rsidRPr="005E631D">
      <w:rPr>
        <w:rFonts w:ascii="Arial" w:hAnsi="Arial" w:cs="Arial"/>
        <w:sz w:val="18"/>
        <w:lang w:val="es-MX"/>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EB" w:rsidRDefault="009E16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5A" w:rsidRDefault="00A6235A" w:rsidP="0086443E">
      <w:pPr>
        <w:spacing w:line="240" w:lineRule="auto"/>
      </w:pPr>
      <w:r>
        <w:separator/>
      </w:r>
    </w:p>
  </w:footnote>
  <w:footnote w:type="continuationSeparator" w:id="0">
    <w:p w:rsidR="00A6235A" w:rsidRDefault="00A6235A" w:rsidP="008644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EB" w:rsidRDefault="009E16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98" w:rsidRPr="005E631D" w:rsidRDefault="00F93D0C" w:rsidP="00E826E1">
    <w:pPr>
      <w:pStyle w:val="Encabezado"/>
      <w:spacing w:line="240" w:lineRule="auto"/>
      <w:rPr>
        <w:rFonts w:ascii="Arial" w:hAnsi="Arial" w:cs="Arial"/>
        <w:sz w:val="18"/>
        <w:lang w:val="es-MX"/>
      </w:rPr>
    </w:pPr>
    <w:r w:rsidRPr="005E631D">
      <w:rPr>
        <w:rFonts w:ascii="Arial" w:hAnsi="Arial" w:cs="Arial"/>
        <w:sz w:val="18"/>
        <w:lang w:val="es-MX"/>
      </w:rPr>
      <w:t xml:space="preserve">TRÁFICO DE ESTUPEFACIENTES </w:t>
    </w:r>
  </w:p>
  <w:p w:rsidR="00746B98" w:rsidRPr="005E631D" w:rsidRDefault="00B632D9" w:rsidP="00E826E1">
    <w:pPr>
      <w:pStyle w:val="Encabezado"/>
      <w:spacing w:line="240" w:lineRule="auto"/>
      <w:rPr>
        <w:rFonts w:ascii="Arial" w:hAnsi="Arial" w:cs="Arial"/>
        <w:sz w:val="18"/>
        <w:lang w:val="es-MX"/>
      </w:rPr>
    </w:pPr>
    <w:r w:rsidRPr="005E631D">
      <w:rPr>
        <w:rFonts w:ascii="Arial" w:hAnsi="Arial" w:cs="Arial"/>
        <w:sz w:val="18"/>
        <w:lang w:val="es-MX"/>
      </w:rPr>
      <w:t>RADICACIÓN:</w:t>
    </w:r>
    <w:r w:rsidR="005E631D" w:rsidRPr="005E631D">
      <w:rPr>
        <w:rFonts w:ascii="Arial" w:hAnsi="Arial" w:cs="Arial"/>
        <w:sz w:val="18"/>
        <w:lang w:val="es-MX"/>
      </w:rPr>
      <w:t xml:space="preserve"> </w:t>
    </w:r>
    <w:r w:rsidR="00F93D0C" w:rsidRPr="005E631D">
      <w:rPr>
        <w:rFonts w:ascii="Arial" w:hAnsi="Arial" w:cs="Arial"/>
        <w:sz w:val="18"/>
        <w:lang w:val="es-MX"/>
      </w:rPr>
      <w:t>6600160000352</w:t>
    </w:r>
    <w:bookmarkStart w:id="0" w:name="_GoBack"/>
    <w:bookmarkEnd w:id="0"/>
    <w:r w:rsidR="00F93D0C" w:rsidRPr="005E631D">
      <w:rPr>
        <w:rFonts w:ascii="Arial" w:hAnsi="Arial" w:cs="Arial"/>
        <w:sz w:val="18"/>
        <w:lang w:val="es-MX"/>
      </w:rPr>
      <w:t>019005</w:t>
    </w:r>
    <w:r w:rsidR="009E16EB">
      <w:rPr>
        <w:rFonts w:ascii="Arial" w:hAnsi="Arial" w:cs="Arial"/>
        <w:sz w:val="18"/>
        <w:lang w:val="es-MX"/>
      </w:rPr>
      <w:t>00</w:t>
    </w:r>
    <w:r w:rsidR="00F93D0C" w:rsidRPr="005E631D">
      <w:rPr>
        <w:rFonts w:ascii="Arial" w:hAnsi="Arial" w:cs="Arial"/>
        <w:sz w:val="18"/>
        <w:lang w:val="es-MX"/>
      </w:rPr>
      <w:t>0</w:t>
    </w:r>
    <w:r w:rsidR="009E16EB">
      <w:rPr>
        <w:rFonts w:ascii="Arial" w:hAnsi="Arial" w:cs="Arial"/>
        <w:sz w:val="18"/>
        <w:lang w:val="es-MX"/>
      </w:rPr>
      <w:t>1</w:t>
    </w:r>
  </w:p>
  <w:p w:rsidR="00DA3320" w:rsidRPr="005E631D" w:rsidRDefault="00B632D9" w:rsidP="00574E72">
    <w:pPr>
      <w:pStyle w:val="Encabezado"/>
      <w:spacing w:line="240" w:lineRule="auto"/>
      <w:rPr>
        <w:rFonts w:ascii="Arial" w:hAnsi="Arial" w:cs="Arial"/>
        <w:sz w:val="18"/>
        <w:lang w:val="es-MX"/>
      </w:rPr>
    </w:pPr>
    <w:r w:rsidRPr="005E631D">
      <w:rPr>
        <w:rFonts w:ascii="Arial" w:hAnsi="Arial" w:cs="Arial"/>
        <w:sz w:val="18"/>
      </w:rPr>
      <w:t>PROCESADO</w:t>
    </w:r>
    <w:r w:rsidRPr="005E631D">
      <w:rPr>
        <w:rFonts w:ascii="Arial" w:hAnsi="Arial" w:cs="Arial"/>
        <w:sz w:val="18"/>
        <w:lang w:val="es-MX"/>
      </w:rPr>
      <w:t>:</w:t>
    </w:r>
    <w:r w:rsidR="005E631D" w:rsidRPr="005E631D">
      <w:rPr>
        <w:rFonts w:ascii="Arial" w:hAnsi="Arial" w:cs="Arial"/>
        <w:sz w:val="18"/>
        <w:lang w:val="es-MX"/>
      </w:rPr>
      <w:t xml:space="preserve"> </w:t>
    </w:r>
    <w:proofErr w:type="spellStart"/>
    <w:r w:rsidR="00F93D0C" w:rsidRPr="005E631D">
      <w:rPr>
        <w:rFonts w:ascii="Arial" w:hAnsi="Arial" w:cs="Arial"/>
        <w:sz w:val="18"/>
        <w:lang w:val="es-MX"/>
      </w:rPr>
      <w:t>EC</w:t>
    </w:r>
    <w:proofErr w:type="spellEnd"/>
    <w:r w:rsidR="00F93D0C" w:rsidRPr="005E631D">
      <w:rPr>
        <w:rFonts w:ascii="Arial" w:hAnsi="Arial" w:cs="Arial"/>
        <w:sz w:val="18"/>
        <w:lang w:val="es-MX"/>
      </w:rPr>
      <w:t xml:space="preserve"> y otros</w:t>
    </w:r>
    <w:r w:rsidRPr="005E631D">
      <w:rPr>
        <w:rFonts w:ascii="Arial" w:hAnsi="Arial" w:cs="Arial"/>
        <w:sz w:val="18"/>
        <w:lang w:val="es-MX"/>
      </w:rPr>
      <w:t xml:space="preserve"> </w:t>
    </w:r>
  </w:p>
  <w:p w:rsidR="00746B98" w:rsidRPr="005E631D" w:rsidRDefault="00B632D9" w:rsidP="00574E72">
    <w:pPr>
      <w:pStyle w:val="Encabezado"/>
      <w:spacing w:line="240" w:lineRule="auto"/>
      <w:rPr>
        <w:rFonts w:ascii="Arial" w:hAnsi="Arial" w:cs="Arial"/>
        <w:sz w:val="18"/>
        <w:lang w:val="es-MX"/>
      </w:rPr>
    </w:pPr>
    <w:r w:rsidRPr="005E631D">
      <w:rPr>
        <w:rFonts w:ascii="Arial" w:hAnsi="Arial" w:cs="Arial"/>
        <w:sz w:val="18"/>
        <w:lang w:val="es-MX"/>
      </w:rPr>
      <w:t>CONFIRMA</w:t>
    </w:r>
  </w:p>
  <w:p w:rsidR="006800DE" w:rsidRPr="005E631D" w:rsidRDefault="00B632D9" w:rsidP="005E631D">
    <w:pPr>
      <w:pStyle w:val="Encabezado"/>
      <w:spacing w:line="240" w:lineRule="auto"/>
      <w:rPr>
        <w:rFonts w:ascii="Arial" w:hAnsi="Arial" w:cs="Arial"/>
        <w:sz w:val="18"/>
        <w:lang w:val="es-MX"/>
      </w:rPr>
    </w:pPr>
    <w:r w:rsidRPr="005E631D">
      <w:rPr>
        <w:rFonts w:ascii="Arial" w:hAnsi="Arial" w:cs="Arial"/>
        <w:sz w:val="18"/>
        <w:lang w:val="es-MX"/>
      </w:rPr>
      <w:t>S N°</w:t>
    </w:r>
    <w:r w:rsidR="00D00FEF" w:rsidRPr="005E631D">
      <w:rPr>
        <w:rFonts w:ascii="Arial" w:hAnsi="Arial" w:cs="Arial"/>
        <w:sz w:val="18"/>
        <w:lang w:val="es-MX"/>
      </w:rPr>
      <w:t>048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EB" w:rsidRDefault="009E16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13C67"/>
    <w:multiLevelType w:val="hybridMultilevel"/>
    <w:tmpl w:val="AB0C5FDA"/>
    <w:lvl w:ilvl="0" w:tplc="246810EC">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6601466"/>
    <w:multiLevelType w:val="hybridMultilevel"/>
    <w:tmpl w:val="93906C04"/>
    <w:lvl w:ilvl="0" w:tplc="AE347406">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3E"/>
    <w:rsid w:val="000054C4"/>
    <w:rsid w:val="00014F5E"/>
    <w:rsid w:val="00047BFC"/>
    <w:rsid w:val="00050207"/>
    <w:rsid w:val="000A2B60"/>
    <w:rsid w:val="000E1C06"/>
    <w:rsid w:val="00120299"/>
    <w:rsid w:val="00123BFF"/>
    <w:rsid w:val="00127D46"/>
    <w:rsid w:val="001606B9"/>
    <w:rsid w:val="00166F36"/>
    <w:rsid w:val="001D08F6"/>
    <w:rsid w:val="001D3186"/>
    <w:rsid w:val="001F01FB"/>
    <w:rsid w:val="001F539F"/>
    <w:rsid w:val="002357B7"/>
    <w:rsid w:val="00261188"/>
    <w:rsid w:val="00272C57"/>
    <w:rsid w:val="002B7965"/>
    <w:rsid w:val="002F52BB"/>
    <w:rsid w:val="002F796D"/>
    <w:rsid w:val="003120CF"/>
    <w:rsid w:val="00337216"/>
    <w:rsid w:val="00342FBA"/>
    <w:rsid w:val="003705EF"/>
    <w:rsid w:val="003A23EB"/>
    <w:rsid w:val="003B61C2"/>
    <w:rsid w:val="003D579C"/>
    <w:rsid w:val="003E0713"/>
    <w:rsid w:val="00400353"/>
    <w:rsid w:val="0040177F"/>
    <w:rsid w:val="0041784F"/>
    <w:rsid w:val="0044020E"/>
    <w:rsid w:val="00460F96"/>
    <w:rsid w:val="00470272"/>
    <w:rsid w:val="0048081C"/>
    <w:rsid w:val="0048678C"/>
    <w:rsid w:val="004B2535"/>
    <w:rsid w:val="00542C54"/>
    <w:rsid w:val="00550A8A"/>
    <w:rsid w:val="00557CBB"/>
    <w:rsid w:val="005702DC"/>
    <w:rsid w:val="00573492"/>
    <w:rsid w:val="005737EE"/>
    <w:rsid w:val="005920FC"/>
    <w:rsid w:val="00593642"/>
    <w:rsid w:val="005C1800"/>
    <w:rsid w:val="005E631D"/>
    <w:rsid w:val="005F7CD7"/>
    <w:rsid w:val="0062744D"/>
    <w:rsid w:val="00633CA9"/>
    <w:rsid w:val="006A4C6E"/>
    <w:rsid w:val="006F3815"/>
    <w:rsid w:val="007534DB"/>
    <w:rsid w:val="00755E35"/>
    <w:rsid w:val="00757384"/>
    <w:rsid w:val="007768DA"/>
    <w:rsid w:val="00780638"/>
    <w:rsid w:val="00782193"/>
    <w:rsid w:val="0078701E"/>
    <w:rsid w:val="0079619E"/>
    <w:rsid w:val="007D6728"/>
    <w:rsid w:val="007E4F8A"/>
    <w:rsid w:val="0086443E"/>
    <w:rsid w:val="00886BD4"/>
    <w:rsid w:val="008C0ED6"/>
    <w:rsid w:val="008C2D19"/>
    <w:rsid w:val="008D6555"/>
    <w:rsid w:val="008F0042"/>
    <w:rsid w:val="0092085E"/>
    <w:rsid w:val="0092283B"/>
    <w:rsid w:val="009565FA"/>
    <w:rsid w:val="00970DF5"/>
    <w:rsid w:val="009B4D3B"/>
    <w:rsid w:val="009D4848"/>
    <w:rsid w:val="009E16EB"/>
    <w:rsid w:val="009F43A7"/>
    <w:rsid w:val="00A206D1"/>
    <w:rsid w:val="00A35B88"/>
    <w:rsid w:val="00A37022"/>
    <w:rsid w:val="00A44A2F"/>
    <w:rsid w:val="00A53F10"/>
    <w:rsid w:val="00A546E7"/>
    <w:rsid w:val="00A6235A"/>
    <w:rsid w:val="00A62615"/>
    <w:rsid w:val="00A80B6B"/>
    <w:rsid w:val="00A94498"/>
    <w:rsid w:val="00AE1853"/>
    <w:rsid w:val="00AE7BC9"/>
    <w:rsid w:val="00B020B5"/>
    <w:rsid w:val="00B27184"/>
    <w:rsid w:val="00B36DE1"/>
    <w:rsid w:val="00B56DB0"/>
    <w:rsid w:val="00B632D9"/>
    <w:rsid w:val="00B86DC5"/>
    <w:rsid w:val="00C04A43"/>
    <w:rsid w:val="00C819A8"/>
    <w:rsid w:val="00D00FEF"/>
    <w:rsid w:val="00D4095B"/>
    <w:rsid w:val="00D4762E"/>
    <w:rsid w:val="00D479B5"/>
    <w:rsid w:val="00D8423E"/>
    <w:rsid w:val="00DB3CA9"/>
    <w:rsid w:val="00E05448"/>
    <w:rsid w:val="00E25A6D"/>
    <w:rsid w:val="00E37C5F"/>
    <w:rsid w:val="00E877F0"/>
    <w:rsid w:val="00EA7070"/>
    <w:rsid w:val="00ED0F0B"/>
    <w:rsid w:val="00F12EAE"/>
    <w:rsid w:val="00F30D20"/>
    <w:rsid w:val="00F54407"/>
    <w:rsid w:val="00F93D0C"/>
    <w:rsid w:val="00FC38DA"/>
    <w:rsid w:val="00FC7D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DF277-FF27-456A-A682-4ADFE111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43E"/>
    <w:pPr>
      <w:spacing w:after="0" w:line="360" w:lineRule="auto"/>
      <w:jc w:val="both"/>
    </w:pPr>
    <w:rPr>
      <w:rFonts w:ascii="Tahoma" w:eastAsia="Times New Roman" w:hAnsi="Tahoma" w:cs="Times New Roman"/>
      <w:sz w:val="26"/>
      <w:szCs w:val="20"/>
      <w:lang w:val="es-ES" w:eastAsia="es-MX"/>
    </w:rPr>
  </w:style>
  <w:style w:type="paragraph" w:styleId="Ttulo2">
    <w:name w:val="heading 2"/>
    <w:basedOn w:val="Normal"/>
    <w:next w:val="Normal"/>
    <w:link w:val="Ttulo2Car"/>
    <w:qFormat/>
    <w:rsid w:val="0086443E"/>
    <w:pPr>
      <w:keepNext/>
      <w:outlineLvl w:val="1"/>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6443E"/>
    <w:rPr>
      <w:rFonts w:ascii="Tahoma" w:eastAsia="Times New Roman" w:hAnsi="Tahoma" w:cs="Times New Roman"/>
      <w:b/>
      <w:sz w:val="24"/>
      <w:szCs w:val="20"/>
      <w:lang w:val="es-ES_tradnl" w:eastAsia="es-MX"/>
    </w:rPr>
  </w:style>
  <w:style w:type="paragraph" w:styleId="Piedepgina">
    <w:name w:val="footer"/>
    <w:link w:val="PiedepginaCar"/>
    <w:autoRedefine/>
    <w:rsid w:val="0086443E"/>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86443E"/>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
    <w:basedOn w:val="Normal"/>
    <w:link w:val="TextonotapieCar1"/>
    <w:autoRedefine/>
    <w:qFormat/>
    <w:rsid w:val="0086443E"/>
    <w:pPr>
      <w:overflowPunct w:val="0"/>
      <w:autoSpaceDE w:val="0"/>
      <w:autoSpaceDN w:val="0"/>
      <w:adjustRightInd w:val="0"/>
      <w:spacing w:line="240" w:lineRule="auto"/>
      <w:textAlignment w:val="baseline"/>
    </w:pPr>
    <w:rPr>
      <w:rFonts w:ascii="Verdana" w:hAnsi="Verdana"/>
      <w:sz w:val="20"/>
      <w:lang w:eastAsia="es-ES"/>
    </w:rPr>
  </w:style>
  <w:style w:type="character" w:customStyle="1" w:styleId="TextonotapieCar">
    <w:name w:val="Texto nota pie Car"/>
    <w:basedOn w:val="Fuentedeprrafopredeter"/>
    <w:uiPriority w:val="99"/>
    <w:semiHidden/>
    <w:rsid w:val="0086443E"/>
    <w:rPr>
      <w:rFonts w:ascii="Tahoma" w:eastAsia="Times New Roman" w:hAnsi="Tahoma" w:cs="Times New Roman"/>
      <w:sz w:val="20"/>
      <w:szCs w:val="20"/>
      <w:lang w:val="es-ES" w:eastAsia="es-MX"/>
    </w:rPr>
  </w:style>
  <w:style w:type="character" w:styleId="Refdenotaalpie">
    <w:name w:val="footnote reference"/>
    <w:aliases w:val="Texto de nota al pie,Ref. de nota al pie 2,Ref,de nota al pie,referencia nota al pie,Appel note de bas de page,Footnotes refss,BVI fnr,Footnote symbol,Footnote,Ref. de nota al pie2,Nota de pie,Pie de pagina,Ref. ...,Ref1,FC,f"/>
    <w:qFormat/>
    <w:rsid w:val="0086443E"/>
    <w:rPr>
      <w:rFonts w:ascii="Verdana" w:hAnsi="Verdana"/>
      <w:sz w:val="20"/>
      <w:vertAlign w:val="superscript"/>
    </w:rPr>
  </w:style>
  <w:style w:type="paragraph" w:styleId="Textoindependiente3">
    <w:name w:val="Body Text 3"/>
    <w:basedOn w:val="Normal"/>
    <w:link w:val="Textoindependiente3Car"/>
    <w:uiPriority w:val="99"/>
    <w:rsid w:val="0086443E"/>
    <w:pPr>
      <w:spacing w:after="120"/>
    </w:pPr>
    <w:rPr>
      <w:sz w:val="16"/>
      <w:szCs w:val="16"/>
    </w:rPr>
  </w:style>
  <w:style w:type="character" w:customStyle="1" w:styleId="Textoindependiente3Car">
    <w:name w:val="Texto independiente 3 Car"/>
    <w:basedOn w:val="Fuentedeprrafopredeter"/>
    <w:link w:val="Textoindependiente3"/>
    <w:uiPriority w:val="99"/>
    <w:rsid w:val="0086443E"/>
    <w:rPr>
      <w:rFonts w:ascii="Tahoma" w:eastAsia="Times New Roman" w:hAnsi="Tahoma" w:cs="Times New Roman"/>
      <w:sz w:val="16"/>
      <w:szCs w:val="16"/>
      <w:lang w:val="es-ES" w:eastAsia="es-MX"/>
    </w:rPr>
  </w:style>
  <w:style w:type="character" w:customStyle="1" w:styleId="Numeracinttulo">
    <w:name w:val="Numeración título"/>
    <w:rsid w:val="0086443E"/>
    <w:rPr>
      <w:rFonts w:ascii="Tahoma" w:hAnsi="Tahoma"/>
      <w:b/>
      <w:sz w:val="24"/>
    </w:rPr>
  </w:style>
  <w:style w:type="character" w:customStyle="1" w:styleId="Algerian">
    <w:name w:val="Algerian"/>
    <w:rsid w:val="0086443E"/>
    <w:rPr>
      <w:rFonts w:ascii="Algerian" w:hAnsi="Algerian"/>
      <w:sz w:val="30"/>
    </w:rPr>
  </w:style>
  <w:style w:type="paragraph" w:styleId="Encabezado">
    <w:name w:val="header"/>
    <w:basedOn w:val="Normal"/>
    <w:link w:val="EncabezadoCar"/>
    <w:rsid w:val="0086443E"/>
    <w:pPr>
      <w:tabs>
        <w:tab w:val="center" w:pos="4419"/>
        <w:tab w:val="right" w:pos="8838"/>
      </w:tabs>
      <w:jc w:val="right"/>
    </w:pPr>
    <w:rPr>
      <w:rFonts w:ascii="Courier New" w:hAnsi="Courier New"/>
      <w:sz w:val="16"/>
    </w:rPr>
  </w:style>
  <w:style w:type="character" w:customStyle="1" w:styleId="EncabezadoCar">
    <w:name w:val="Encabezado Car"/>
    <w:basedOn w:val="Fuentedeprrafopredeter"/>
    <w:link w:val="Encabezado"/>
    <w:rsid w:val="0086443E"/>
    <w:rPr>
      <w:rFonts w:ascii="Courier New" w:eastAsia="Times New Roman" w:hAnsi="Courier New" w:cs="Times New Roman"/>
      <w:sz w:val="16"/>
      <w:szCs w:val="20"/>
      <w:lang w:val="es-ES" w:eastAsia="es-MX"/>
    </w:rPr>
  </w:style>
  <w:style w:type="paragraph" w:customStyle="1" w:styleId="Tablaidentificadora">
    <w:name w:val="Tabla identificadora"/>
    <w:basedOn w:val="Normal"/>
    <w:uiPriority w:val="99"/>
    <w:rsid w:val="0086443E"/>
    <w:pPr>
      <w:spacing w:line="240" w:lineRule="auto"/>
    </w:pPr>
    <w:rPr>
      <w:sz w:val="24"/>
      <w:szCs w:val="26"/>
    </w:rPr>
  </w:style>
  <w:style w:type="character" w:customStyle="1" w:styleId="SinespaciadoCar">
    <w:name w:val="Sin espaciado Car"/>
    <w:link w:val="Sinespaciado"/>
    <w:uiPriority w:val="1"/>
    <w:locked/>
    <w:rsid w:val="0086443E"/>
    <w:rPr>
      <w:rFonts w:eastAsia="Times New Roman" w:cs="Calibri"/>
    </w:rPr>
  </w:style>
  <w:style w:type="paragraph" w:styleId="Sinespaciado">
    <w:name w:val="No Spacing"/>
    <w:link w:val="SinespaciadoCar"/>
    <w:uiPriority w:val="1"/>
    <w:qFormat/>
    <w:rsid w:val="0086443E"/>
    <w:pPr>
      <w:spacing w:after="0" w:line="240" w:lineRule="auto"/>
    </w:pPr>
    <w:rPr>
      <w:rFonts w:eastAsia="Times New Roman" w:cs="Calibri"/>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
    <w:link w:val="Textonotapie"/>
    <w:rsid w:val="0086443E"/>
    <w:rPr>
      <w:rFonts w:ascii="Verdana" w:eastAsia="Times New Roman" w:hAnsi="Verdana" w:cs="Times New Roman"/>
      <w:sz w:val="20"/>
      <w:szCs w:val="20"/>
      <w:lang w:val="es-ES" w:eastAsia="es-ES"/>
    </w:rPr>
  </w:style>
  <w:style w:type="paragraph" w:styleId="Textodeglobo">
    <w:name w:val="Balloon Text"/>
    <w:basedOn w:val="Normal"/>
    <w:link w:val="TextodegloboCar"/>
    <w:uiPriority w:val="99"/>
    <w:semiHidden/>
    <w:unhideWhenUsed/>
    <w:rsid w:val="0086443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43E"/>
    <w:rPr>
      <w:rFonts w:ascii="Segoe UI" w:eastAsia="Times New Roman" w:hAnsi="Segoe UI" w:cs="Segoe UI"/>
      <w:sz w:val="18"/>
      <w:szCs w:val="18"/>
      <w:lang w:val="es-ES" w:eastAsia="es-MX"/>
    </w:rPr>
  </w:style>
  <w:style w:type="paragraph" w:styleId="Prrafodelista">
    <w:name w:val="List Paragraph"/>
    <w:basedOn w:val="Normal"/>
    <w:uiPriority w:val="34"/>
    <w:qFormat/>
    <w:rsid w:val="001D3186"/>
    <w:pPr>
      <w:ind w:left="720"/>
      <w:contextualSpacing/>
    </w:pPr>
  </w:style>
  <w:style w:type="paragraph" w:customStyle="1" w:styleId="cuerpodetexto">
    <w:name w:val="cuerpodetexto"/>
    <w:basedOn w:val="Normal"/>
    <w:rsid w:val="003E0713"/>
    <w:pPr>
      <w:spacing w:before="100" w:beforeAutospacing="1" w:after="100" w:afterAutospacing="1" w:line="240" w:lineRule="auto"/>
      <w:jc w:val="left"/>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54292">
      <w:bodyDiv w:val="1"/>
      <w:marLeft w:val="0"/>
      <w:marRight w:val="0"/>
      <w:marTop w:val="0"/>
      <w:marBottom w:val="0"/>
      <w:divBdr>
        <w:top w:val="none" w:sz="0" w:space="0" w:color="auto"/>
        <w:left w:val="none" w:sz="0" w:space="0" w:color="auto"/>
        <w:bottom w:val="none" w:sz="0" w:space="0" w:color="auto"/>
        <w:right w:val="none" w:sz="0" w:space="0" w:color="auto"/>
      </w:divBdr>
    </w:div>
    <w:div w:id="1161891222">
      <w:bodyDiv w:val="1"/>
      <w:marLeft w:val="0"/>
      <w:marRight w:val="0"/>
      <w:marTop w:val="0"/>
      <w:marBottom w:val="0"/>
      <w:divBdr>
        <w:top w:val="none" w:sz="0" w:space="0" w:color="auto"/>
        <w:left w:val="none" w:sz="0" w:space="0" w:color="auto"/>
        <w:bottom w:val="none" w:sz="0" w:space="0" w:color="auto"/>
        <w:right w:val="none" w:sz="0" w:space="0" w:color="auto"/>
      </w:divBdr>
    </w:div>
    <w:div w:id="19218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842CB-1607-4F10-9263-CF5A5B7C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2494</Words>
  <Characters>13722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Henry Lora Rodriguez</cp:lastModifiedBy>
  <cp:revision>61</cp:revision>
  <cp:lastPrinted>2019-09-11T13:33:00Z</cp:lastPrinted>
  <dcterms:created xsi:type="dcterms:W3CDTF">2019-03-15T13:19:00Z</dcterms:created>
  <dcterms:modified xsi:type="dcterms:W3CDTF">2019-10-09T19:40:00Z</dcterms:modified>
</cp:coreProperties>
</file>