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3C" w:rsidRPr="0023353C" w:rsidRDefault="0023353C" w:rsidP="0023353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23353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3353C" w:rsidRPr="0023353C" w:rsidRDefault="0023353C" w:rsidP="0023353C">
      <w:pPr>
        <w:spacing w:line="240" w:lineRule="auto"/>
        <w:rPr>
          <w:rFonts w:ascii="Arial" w:hAnsi="Arial" w:cs="Arial"/>
          <w:sz w:val="20"/>
          <w:szCs w:val="20"/>
          <w:lang w:val="es-419" w:eastAsia="es-ES"/>
        </w:rPr>
      </w:pPr>
    </w:p>
    <w:p w:rsidR="0023353C" w:rsidRPr="0023353C" w:rsidRDefault="0023353C" w:rsidP="0023353C">
      <w:pPr>
        <w:spacing w:line="240" w:lineRule="auto"/>
        <w:rPr>
          <w:rFonts w:ascii="Arial" w:hAnsi="Arial" w:cs="Arial"/>
          <w:b/>
          <w:bCs/>
          <w:iCs/>
          <w:sz w:val="20"/>
          <w:szCs w:val="20"/>
          <w:lang w:val="es-419" w:eastAsia="fr-FR"/>
        </w:rPr>
      </w:pPr>
      <w:bookmarkStart w:id="0" w:name="_GoBack"/>
      <w:r w:rsidRPr="0023353C">
        <w:rPr>
          <w:rFonts w:ascii="Arial" w:hAnsi="Arial" w:cs="Arial"/>
          <w:b/>
          <w:bCs/>
          <w:iCs/>
          <w:sz w:val="20"/>
          <w:szCs w:val="20"/>
          <w:u w:val="single"/>
          <w:lang w:val="es-419" w:eastAsia="fr-FR"/>
        </w:rPr>
        <w:t>TEMAS:</w:t>
      </w:r>
      <w:r w:rsidRPr="0023353C">
        <w:rPr>
          <w:rFonts w:ascii="Arial" w:hAnsi="Arial" w:cs="Arial"/>
          <w:b/>
          <w:bCs/>
          <w:iCs/>
          <w:sz w:val="20"/>
          <w:szCs w:val="20"/>
          <w:lang w:val="es-419" w:eastAsia="fr-FR"/>
        </w:rPr>
        <w:tab/>
      </w:r>
      <w:r w:rsidR="00C908A5">
        <w:rPr>
          <w:rFonts w:ascii="Arial" w:hAnsi="Arial" w:cs="Arial"/>
          <w:b/>
          <w:bCs/>
          <w:iCs/>
          <w:sz w:val="20"/>
          <w:szCs w:val="20"/>
          <w:lang w:val="es-CO" w:eastAsia="fr-FR"/>
        </w:rPr>
        <w:t>NULIDAD PROCESAL /</w:t>
      </w:r>
      <w:r w:rsidR="00266463">
        <w:rPr>
          <w:rFonts w:ascii="Arial" w:hAnsi="Arial" w:cs="Arial"/>
          <w:b/>
          <w:bCs/>
          <w:iCs/>
          <w:sz w:val="20"/>
          <w:szCs w:val="20"/>
          <w:lang w:val="es-CO" w:eastAsia="fr-FR"/>
        </w:rPr>
        <w:t xml:space="preserve"> VIOLACIÓN DEL DEBIDO PROCESO /</w:t>
      </w:r>
      <w:r w:rsidR="00C908A5">
        <w:rPr>
          <w:rFonts w:ascii="Arial" w:hAnsi="Arial" w:cs="Arial"/>
          <w:b/>
          <w:bCs/>
          <w:iCs/>
          <w:sz w:val="20"/>
          <w:szCs w:val="20"/>
          <w:lang w:val="es-CO" w:eastAsia="fr-FR"/>
        </w:rPr>
        <w:t xml:space="preserve"> </w:t>
      </w:r>
      <w:r w:rsidR="00E9290E">
        <w:rPr>
          <w:rFonts w:ascii="Arial" w:hAnsi="Arial" w:cs="Arial"/>
          <w:b/>
          <w:bCs/>
          <w:iCs/>
          <w:sz w:val="20"/>
          <w:szCs w:val="20"/>
          <w:lang w:val="es-CO" w:eastAsia="fr-FR"/>
        </w:rPr>
        <w:t xml:space="preserve">ACEPTACIÓN DE CARGOS </w:t>
      </w:r>
      <w:r w:rsidR="003A312A">
        <w:rPr>
          <w:rFonts w:ascii="Arial" w:hAnsi="Arial" w:cs="Arial"/>
          <w:b/>
          <w:bCs/>
          <w:iCs/>
          <w:sz w:val="20"/>
          <w:szCs w:val="20"/>
          <w:lang w:val="es-CO" w:eastAsia="fr-FR"/>
        </w:rPr>
        <w:t xml:space="preserve">/ APROBACIÓN </w:t>
      </w:r>
      <w:r w:rsidR="00E9290E">
        <w:rPr>
          <w:rFonts w:ascii="Arial" w:hAnsi="Arial" w:cs="Arial"/>
          <w:b/>
          <w:bCs/>
          <w:iCs/>
          <w:sz w:val="20"/>
          <w:szCs w:val="20"/>
          <w:lang w:val="es-CO" w:eastAsia="fr-FR"/>
        </w:rPr>
        <w:t xml:space="preserve">SIN </w:t>
      </w:r>
      <w:r w:rsidR="003A312A">
        <w:rPr>
          <w:rFonts w:ascii="Arial" w:hAnsi="Arial" w:cs="Arial"/>
          <w:b/>
          <w:bCs/>
          <w:iCs/>
          <w:sz w:val="20"/>
          <w:szCs w:val="20"/>
          <w:lang w:val="es-CO" w:eastAsia="fr-FR"/>
        </w:rPr>
        <w:t xml:space="preserve">ADVERTIR AL PROCESADO </w:t>
      </w:r>
      <w:r w:rsidR="00266463">
        <w:rPr>
          <w:rFonts w:ascii="Arial" w:hAnsi="Arial" w:cs="Arial"/>
          <w:b/>
          <w:bCs/>
          <w:iCs/>
          <w:sz w:val="20"/>
          <w:szCs w:val="20"/>
          <w:lang w:val="es-CO" w:eastAsia="fr-FR"/>
        </w:rPr>
        <w:t xml:space="preserve">EL REQUISITO DE PAGAR AL MENOS </w:t>
      </w:r>
      <w:r w:rsidR="00E9290E">
        <w:rPr>
          <w:rFonts w:ascii="Arial" w:hAnsi="Arial" w:cs="Arial"/>
          <w:b/>
          <w:bCs/>
          <w:iCs/>
          <w:sz w:val="20"/>
          <w:szCs w:val="20"/>
          <w:lang w:val="es-CO" w:eastAsia="fr-FR"/>
        </w:rPr>
        <w:t xml:space="preserve">EL 50% DEL INCREMENTO PATRIMONIAL </w:t>
      </w:r>
      <w:r w:rsidR="00266463">
        <w:rPr>
          <w:rFonts w:ascii="Arial" w:hAnsi="Arial" w:cs="Arial"/>
          <w:b/>
          <w:bCs/>
          <w:iCs/>
          <w:sz w:val="20"/>
          <w:szCs w:val="20"/>
          <w:lang w:val="es-CO" w:eastAsia="fr-FR"/>
        </w:rPr>
        <w:t xml:space="preserve">QUE HUBIERE </w:t>
      </w:r>
      <w:r w:rsidR="00E9290E">
        <w:rPr>
          <w:rFonts w:ascii="Arial" w:hAnsi="Arial" w:cs="Arial"/>
          <w:b/>
          <w:bCs/>
          <w:iCs/>
          <w:sz w:val="20"/>
          <w:szCs w:val="20"/>
          <w:lang w:val="es-CO" w:eastAsia="fr-FR"/>
        </w:rPr>
        <w:t xml:space="preserve">OBTENIDO / </w:t>
      </w:r>
      <w:r w:rsidR="003A312A">
        <w:rPr>
          <w:rFonts w:ascii="Arial" w:hAnsi="Arial" w:cs="Arial"/>
          <w:b/>
          <w:bCs/>
          <w:iCs/>
          <w:sz w:val="20"/>
          <w:szCs w:val="20"/>
          <w:lang w:val="es-CO" w:eastAsia="fr-FR"/>
        </w:rPr>
        <w:t>SE FRUSTRA LA CONCESIÓN DE</w:t>
      </w:r>
      <w:r w:rsidR="00266463">
        <w:rPr>
          <w:rFonts w:ascii="Arial" w:hAnsi="Arial" w:cs="Arial"/>
          <w:b/>
          <w:bCs/>
          <w:iCs/>
          <w:sz w:val="20"/>
          <w:szCs w:val="20"/>
          <w:lang w:val="es-CO" w:eastAsia="fr-FR"/>
        </w:rPr>
        <w:t xml:space="preserve"> </w:t>
      </w:r>
      <w:r w:rsidR="003A312A">
        <w:rPr>
          <w:rFonts w:ascii="Arial" w:hAnsi="Arial" w:cs="Arial"/>
          <w:b/>
          <w:bCs/>
          <w:iCs/>
          <w:sz w:val="20"/>
          <w:szCs w:val="20"/>
          <w:lang w:val="es-CO" w:eastAsia="fr-FR"/>
        </w:rPr>
        <w:t>LA REBAJA PUNITIVA A QUE DA DERECHO EL ALLANAMIENTO.</w:t>
      </w:r>
    </w:p>
    <w:bookmarkEnd w:id="0"/>
    <w:p w:rsidR="0023353C" w:rsidRPr="0023353C" w:rsidRDefault="0023353C" w:rsidP="0023353C">
      <w:pPr>
        <w:spacing w:line="240" w:lineRule="auto"/>
        <w:rPr>
          <w:rFonts w:ascii="Arial" w:hAnsi="Arial" w:cs="Arial"/>
          <w:sz w:val="20"/>
          <w:szCs w:val="20"/>
          <w:lang w:val="es-419" w:eastAsia="es-ES"/>
        </w:rPr>
      </w:pPr>
    </w:p>
    <w:p w:rsidR="00AF69E0" w:rsidRPr="00AF69E0" w:rsidRDefault="00AF69E0" w:rsidP="00AF69E0">
      <w:pPr>
        <w:spacing w:line="240" w:lineRule="auto"/>
        <w:rPr>
          <w:rFonts w:ascii="Arial" w:hAnsi="Arial" w:cs="Arial"/>
          <w:sz w:val="20"/>
          <w:szCs w:val="20"/>
          <w:lang w:val="es-419" w:eastAsia="es-ES"/>
        </w:rPr>
      </w:pPr>
      <w:r>
        <w:rPr>
          <w:rFonts w:ascii="Arial" w:hAnsi="Arial" w:cs="Arial"/>
          <w:sz w:val="20"/>
          <w:szCs w:val="20"/>
          <w:lang w:val="es-CO" w:eastAsia="es-ES"/>
        </w:rPr>
        <w:t xml:space="preserve">… </w:t>
      </w:r>
      <w:r w:rsidRPr="00AF69E0">
        <w:rPr>
          <w:rFonts w:ascii="Arial" w:hAnsi="Arial" w:cs="Arial"/>
          <w:sz w:val="20"/>
          <w:szCs w:val="20"/>
          <w:lang w:val="es-419" w:eastAsia="es-ES"/>
        </w:rPr>
        <w:t xml:space="preserve">en criterio de la Sala refulge otra circunstancia incluso de mayor connotación, frente a la cual nada dijo el recurrente pero que se aprecia de la revisión de los registros de la actuación, y es lo atinente a que en al momento de dársele traslado al señor </w:t>
      </w:r>
      <w:r w:rsidR="00C908A5">
        <w:rPr>
          <w:rFonts w:ascii="Arial" w:hAnsi="Arial" w:cs="Arial"/>
          <w:sz w:val="20"/>
          <w:szCs w:val="20"/>
          <w:lang w:val="es-419" w:eastAsia="es-ES"/>
        </w:rPr>
        <w:t>OPL</w:t>
      </w:r>
      <w:r w:rsidRPr="00AF69E0">
        <w:rPr>
          <w:rFonts w:ascii="Arial" w:hAnsi="Arial" w:cs="Arial"/>
          <w:sz w:val="20"/>
          <w:szCs w:val="20"/>
          <w:lang w:val="es-419" w:eastAsia="es-ES"/>
        </w:rPr>
        <w:t xml:space="preserve"> del escrito de acusación, no se le hicieron las advertencias relativas al reintegro de la suma que se apropió con miras a poder hacerse merecedor del descuento punitivo al que alude el canon 351 CPP por la aceptación de cargos.</w:t>
      </w:r>
    </w:p>
    <w:p w:rsidR="00AF69E0" w:rsidRPr="00AF69E0" w:rsidRDefault="00AF69E0" w:rsidP="00AF69E0">
      <w:pPr>
        <w:spacing w:line="240" w:lineRule="auto"/>
        <w:rPr>
          <w:rFonts w:ascii="Arial" w:hAnsi="Arial" w:cs="Arial"/>
          <w:sz w:val="20"/>
          <w:szCs w:val="20"/>
          <w:lang w:val="es-419" w:eastAsia="es-ES"/>
        </w:rPr>
      </w:pPr>
    </w:p>
    <w:p w:rsidR="0023353C" w:rsidRPr="00AF69E0" w:rsidRDefault="00AF69E0" w:rsidP="00AF69E0">
      <w:pPr>
        <w:spacing w:line="240" w:lineRule="auto"/>
        <w:rPr>
          <w:rFonts w:ascii="Arial" w:hAnsi="Arial" w:cs="Arial"/>
          <w:sz w:val="20"/>
          <w:szCs w:val="20"/>
          <w:lang w:val="es-CO" w:eastAsia="es-ES"/>
        </w:rPr>
      </w:pPr>
      <w:r w:rsidRPr="00AF69E0">
        <w:rPr>
          <w:rFonts w:ascii="Arial" w:hAnsi="Arial" w:cs="Arial"/>
          <w:sz w:val="20"/>
          <w:szCs w:val="20"/>
          <w:lang w:val="es-419" w:eastAsia="es-ES"/>
        </w:rPr>
        <w:t xml:space="preserve">En efecto, surge evidente de la mera lectura del escrito de acusación presentado por  la Fiscalía 19 Local en contra del señor </w:t>
      </w:r>
      <w:r w:rsidR="00C908A5">
        <w:rPr>
          <w:rFonts w:ascii="Arial" w:hAnsi="Arial" w:cs="Arial"/>
          <w:sz w:val="20"/>
          <w:szCs w:val="20"/>
          <w:lang w:val="es-419" w:eastAsia="es-ES"/>
        </w:rPr>
        <w:t>OPL</w:t>
      </w:r>
      <w:r w:rsidRPr="00AF69E0">
        <w:rPr>
          <w:rFonts w:ascii="Arial" w:hAnsi="Arial" w:cs="Arial"/>
          <w:sz w:val="20"/>
          <w:szCs w:val="20"/>
          <w:lang w:val="es-419" w:eastAsia="es-ES"/>
        </w:rPr>
        <w:t>, que ninguna orientación se le dio al mismo en torno a que para la validez de la aceptación de cargos debía acreditar el pago del 50% del incremento patrimonial obtenido con la ilicitud y garantizar el pago de lo restante. Y la situación se torna más compleja aún, cuando fue la misma funcionaria de instancia la que se percató de tal anomalía al momento de la audiencia del artículo 447 CPP, y la ocurrencia de esa omisión fue corroborada en el acto por la delegada fiscal, a consecuencia de lo cual se le preguntó al acusado que si persistía en el allanamiento a los cargos no obstante que por no restituir lo apropiado no tendría derecho a descuento alguno, y este expresó que sí. Posteriormente se sobrevino el fallo de condena por medio del cual se hizo uso de la admisión unilateral de los cargos pero sin recibir el sentenciado en contrapre</w:t>
      </w:r>
      <w:r>
        <w:rPr>
          <w:rFonts w:ascii="Arial" w:hAnsi="Arial" w:cs="Arial"/>
          <w:sz w:val="20"/>
          <w:szCs w:val="20"/>
          <w:lang w:val="es-419" w:eastAsia="es-ES"/>
        </w:rPr>
        <w:t>stación rebaja alguna de pena. (…</w:t>
      </w:r>
      <w:r>
        <w:rPr>
          <w:rFonts w:ascii="Arial" w:hAnsi="Arial" w:cs="Arial"/>
          <w:sz w:val="20"/>
          <w:szCs w:val="20"/>
          <w:lang w:val="es-CO" w:eastAsia="es-ES"/>
        </w:rPr>
        <w:t>)</w:t>
      </w:r>
    </w:p>
    <w:p w:rsidR="0023353C" w:rsidRPr="0023353C" w:rsidRDefault="0023353C" w:rsidP="0023353C">
      <w:pPr>
        <w:spacing w:line="240" w:lineRule="auto"/>
        <w:rPr>
          <w:rFonts w:ascii="Arial" w:hAnsi="Arial" w:cs="Arial"/>
          <w:sz w:val="20"/>
          <w:szCs w:val="20"/>
          <w:lang w:val="es-419" w:eastAsia="es-ES"/>
        </w:rPr>
      </w:pPr>
    </w:p>
    <w:p w:rsidR="00AF69E0" w:rsidRPr="00AF69E0" w:rsidRDefault="00AF69E0" w:rsidP="00AF69E0">
      <w:pPr>
        <w:spacing w:line="240" w:lineRule="auto"/>
        <w:rPr>
          <w:rFonts w:ascii="Arial" w:hAnsi="Arial" w:cs="Arial"/>
          <w:sz w:val="20"/>
          <w:szCs w:val="20"/>
          <w:lang w:val="es-419" w:eastAsia="es-ES"/>
        </w:rPr>
      </w:pPr>
      <w:r w:rsidRPr="00AF69E0">
        <w:rPr>
          <w:rFonts w:ascii="Arial" w:hAnsi="Arial" w:cs="Arial"/>
          <w:sz w:val="20"/>
          <w:szCs w:val="20"/>
          <w:lang w:val="es-419" w:eastAsia="es-ES"/>
        </w:rPr>
        <w:t xml:space="preserve">No controvierte la Sala la postura de la juzgadora de instancia en el sentido que para acceder al descuento de pena se tenía que demostrar la exigencia de la restitución de al menos la mitad de lo apropiado y la garantía del pago del remanente, lo que se cuestiona aquí es el hecho de haberse aceptado el allanamiento a cargos en tan particulares condiciones, como quiera que si no estaban dados los requisitos para ello, lo que correspondía era su inadmisión y la continuidad del rito ordinario.  </w:t>
      </w:r>
    </w:p>
    <w:p w:rsidR="00AF69E0" w:rsidRPr="00AF69E0" w:rsidRDefault="00AF69E0" w:rsidP="00AF69E0">
      <w:pPr>
        <w:spacing w:line="240" w:lineRule="auto"/>
        <w:rPr>
          <w:rFonts w:ascii="Arial" w:hAnsi="Arial" w:cs="Arial"/>
          <w:sz w:val="20"/>
          <w:szCs w:val="20"/>
          <w:lang w:val="es-419" w:eastAsia="es-ES"/>
        </w:rPr>
      </w:pPr>
    </w:p>
    <w:p w:rsidR="0023353C" w:rsidRPr="0023353C" w:rsidRDefault="00AF69E0" w:rsidP="00AF69E0">
      <w:pPr>
        <w:spacing w:line="240" w:lineRule="auto"/>
        <w:rPr>
          <w:rFonts w:ascii="Arial" w:hAnsi="Arial" w:cs="Arial"/>
          <w:sz w:val="20"/>
          <w:szCs w:val="20"/>
          <w:lang w:val="es-419" w:eastAsia="es-ES"/>
        </w:rPr>
      </w:pPr>
      <w:r w:rsidRPr="00AF69E0">
        <w:rPr>
          <w:rFonts w:ascii="Arial" w:hAnsi="Arial" w:cs="Arial"/>
          <w:sz w:val="20"/>
          <w:szCs w:val="20"/>
          <w:lang w:val="es-419" w:eastAsia="es-ES"/>
        </w:rPr>
        <w:t>Lo sucedido enmarca una irregularidad sustancial que contraviene el derecho al debido proceso que le asiste al acusado, como quiera que al procesado no se le había puesto de presente en forma previa a su allanamiento la obligación que tenía de resarcir al afectado, con el aditamento que en el caso concreto ni siquiera se tenía claro a cuánto ascendía el monto de dicha apropiación a efectos de permitir que el procesado procediera en el sentido esperado.</w:t>
      </w:r>
    </w:p>
    <w:p w:rsidR="0023353C" w:rsidRPr="0023353C" w:rsidRDefault="0023353C" w:rsidP="0023353C">
      <w:pPr>
        <w:spacing w:line="240" w:lineRule="auto"/>
        <w:rPr>
          <w:rFonts w:ascii="Arial" w:hAnsi="Arial" w:cs="Arial"/>
          <w:sz w:val="20"/>
          <w:szCs w:val="20"/>
          <w:lang w:eastAsia="es-ES"/>
        </w:rPr>
      </w:pPr>
    </w:p>
    <w:p w:rsidR="0023353C" w:rsidRPr="0023353C" w:rsidRDefault="0023353C" w:rsidP="0023353C">
      <w:pPr>
        <w:spacing w:line="240" w:lineRule="auto"/>
        <w:rPr>
          <w:rFonts w:ascii="Arial" w:hAnsi="Arial" w:cs="Arial"/>
          <w:sz w:val="20"/>
          <w:szCs w:val="20"/>
          <w:lang w:eastAsia="es-ES"/>
        </w:rPr>
      </w:pPr>
    </w:p>
    <w:p w:rsidR="0023353C" w:rsidRPr="0023353C" w:rsidRDefault="0023353C" w:rsidP="0023353C">
      <w:pPr>
        <w:spacing w:line="240" w:lineRule="auto"/>
        <w:rPr>
          <w:rFonts w:ascii="Arial" w:hAnsi="Arial" w:cs="Arial"/>
          <w:sz w:val="20"/>
          <w:szCs w:val="20"/>
          <w:lang w:eastAsia="es-ES"/>
        </w:rPr>
      </w:pPr>
    </w:p>
    <w:p w:rsidR="00F13C87" w:rsidRPr="00B25DDF" w:rsidRDefault="009B6867" w:rsidP="009B6867">
      <w:pPr>
        <w:spacing w:line="240" w:lineRule="auto"/>
        <w:ind w:left="2832" w:firstLine="708"/>
        <w:rPr>
          <w:b/>
          <w:spacing w:val="2"/>
          <w:sz w:val="12"/>
          <w:szCs w:val="12"/>
        </w:rPr>
      </w:pPr>
      <w:r>
        <w:rPr>
          <w:spacing w:val="2"/>
          <w:sz w:val="12"/>
          <w:szCs w:val="12"/>
        </w:rPr>
        <w:t xml:space="preserve">  </w:t>
      </w:r>
      <w:r w:rsidR="00F13C87" w:rsidRPr="00B25DDF">
        <w:rPr>
          <w:b/>
          <w:spacing w:val="2"/>
          <w:sz w:val="12"/>
          <w:szCs w:val="12"/>
        </w:rPr>
        <w:t>REPÚBLICA DE COLOMBIA</w:t>
      </w:r>
    </w:p>
    <w:p w:rsidR="00F13C87" w:rsidRPr="00B25DDF" w:rsidRDefault="00F13C87" w:rsidP="00265570">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265570">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2451100</wp:posOffset>
            </wp:positionH>
            <wp:positionV relativeFrom="paragraph">
              <wp:posOffset>176530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265570">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265570">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F13C87" w:rsidRPr="00F0031A" w:rsidRDefault="00F13C87" w:rsidP="00265570">
      <w:pPr>
        <w:spacing w:line="240" w:lineRule="auto"/>
        <w:jc w:val="center"/>
        <w:rPr>
          <w:sz w:val="24"/>
        </w:rPr>
      </w:pPr>
      <w:r w:rsidRPr="00F0031A">
        <w:rPr>
          <w:sz w:val="24"/>
        </w:rPr>
        <w:t>Magistrado Ponente</w:t>
      </w:r>
    </w:p>
    <w:p w:rsidR="00F13C87" w:rsidRPr="00B61E7B" w:rsidRDefault="00F13C87" w:rsidP="00265570">
      <w:pPr>
        <w:spacing w:line="240" w:lineRule="auto"/>
        <w:jc w:val="center"/>
        <w:rPr>
          <w:sz w:val="24"/>
          <w:szCs w:val="24"/>
        </w:rPr>
      </w:pPr>
      <w:r w:rsidRPr="00B61E7B">
        <w:rPr>
          <w:sz w:val="24"/>
          <w:szCs w:val="24"/>
        </w:rPr>
        <w:t xml:space="preserve"> JORGE ARTURO CASTAÑO DUQUE</w:t>
      </w:r>
    </w:p>
    <w:p w:rsidR="00F13C87" w:rsidRDefault="00F13C87" w:rsidP="0023353C">
      <w:pPr>
        <w:spacing w:line="276" w:lineRule="auto"/>
        <w:rPr>
          <w:sz w:val="24"/>
          <w:szCs w:val="30"/>
        </w:rPr>
      </w:pPr>
    </w:p>
    <w:p w:rsidR="0023353C" w:rsidRPr="0023353C" w:rsidRDefault="0023353C" w:rsidP="0023353C">
      <w:pPr>
        <w:spacing w:line="276" w:lineRule="auto"/>
        <w:rPr>
          <w:sz w:val="24"/>
          <w:szCs w:val="30"/>
        </w:rPr>
      </w:pPr>
    </w:p>
    <w:p w:rsidR="00F13C87" w:rsidRPr="0023353C" w:rsidRDefault="00F13C87" w:rsidP="0023353C">
      <w:pPr>
        <w:spacing w:line="276" w:lineRule="auto"/>
        <w:jc w:val="center"/>
        <w:rPr>
          <w:sz w:val="24"/>
        </w:rPr>
      </w:pPr>
      <w:r w:rsidRPr="0023353C">
        <w:rPr>
          <w:sz w:val="24"/>
        </w:rPr>
        <w:t xml:space="preserve">    Pereira,</w:t>
      </w:r>
      <w:r w:rsidR="009941F1" w:rsidRPr="0023353C">
        <w:rPr>
          <w:sz w:val="24"/>
        </w:rPr>
        <w:t xml:space="preserve"> veintidós</w:t>
      </w:r>
      <w:r w:rsidR="003B7A8B" w:rsidRPr="0023353C">
        <w:rPr>
          <w:sz w:val="24"/>
        </w:rPr>
        <w:t xml:space="preserve"> </w:t>
      </w:r>
      <w:r w:rsidRPr="0023353C">
        <w:rPr>
          <w:sz w:val="24"/>
        </w:rPr>
        <w:t>(</w:t>
      </w:r>
      <w:r w:rsidR="009941F1" w:rsidRPr="0023353C">
        <w:rPr>
          <w:sz w:val="24"/>
        </w:rPr>
        <w:t>22</w:t>
      </w:r>
      <w:r w:rsidRPr="0023353C">
        <w:rPr>
          <w:sz w:val="24"/>
        </w:rPr>
        <w:t xml:space="preserve">) de </w:t>
      </w:r>
      <w:r w:rsidR="00A76096" w:rsidRPr="0023353C">
        <w:rPr>
          <w:sz w:val="24"/>
        </w:rPr>
        <w:t xml:space="preserve">octubre </w:t>
      </w:r>
      <w:r w:rsidRPr="0023353C">
        <w:rPr>
          <w:sz w:val="24"/>
        </w:rPr>
        <w:t xml:space="preserve">de dos mil </w:t>
      </w:r>
      <w:r w:rsidR="00AE0ABE" w:rsidRPr="0023353C">
        <w:rPr>
          <w:sz w:val="24"/>
        </w:rPr>
        <w:t xml:space="preserve">diecinueve </w:t>
      </w:r>
      <w:r w:rsidRPr="0023353C">
        <w:rPr>
          <w:sz w:val="24"/>
        </w:rPr>
        <w:t>(201</w:t>
      </w:r>
      <w:r w:rsidR="00AE0ABE" w:rsidRPr="0023353C">
        <w:rPr>
          <w:sz w:val="24"/>
        </w:rPr>
        <w:t>9</w:t>
      </w:r>
      <w:r w:rsidRPr="0023353C">
        <w:rPr>
          <w:sz w:val="24"/>
        </w:rPr>
        <w:t>)</w:t>
      </w:r>
    </w:p>
    <w:p w:rsidR="00F13C87" w:rsidRPr="0023353C" w:rsidRDefault="00F13C87" w:rsidP="0023353C">
      <w:pPr>
        <w:spacing w:line="276" w:lineRule="auto"/>
        <w:jc w:val="center"/>
        <w:rPr>
          <w:sz w:val="24"/>
          <w:szCs w:val="30"/>
        </w:rPr>
      </w:pPr>
    </w:p>
    <w:p w:rsidR="00F13C87" w:rsidRPr="0023353C" w:rsidRDefault="00F13C87" w:rsidP="0023353C">
      <w:pPr>
        <w:spacing w:line="276" w:lineRule="auto"/>
        <w:jc w:val="center"/>
        <w:rPr>
          <w:sz w:val="24"/>
          <w:szCs w:val="30"/>
        </w:rPr>
      </w:pPr>
    </w:p>
    <w:p w:rsidR="00F13C87" w:rsidRPr="0023353C" w:rsidRDefault="00DD1490" w:rsidP="0023353C">
      <w:pPr>
        <w:spacing w:line="276" w:lineRule="auto"/>
        <w:jc w:val="center"/>
        <w:rPr>
          <w:sz w:val="24"/>
          <w:szCs w:val="24"/>
        </w:rPr>
      </w:pPr>
      <w:r w:rsidRPr="0023353C">
        <w:rPr>
          <w:sz w:val="24"/>
          <w:szCs w:val="24"/>
        </w:rPr>
        <w:t xml:space="preserve">ACTA DE APROBACIÓN N° </w:t>
      </w:r>
      <w:r w:rsidR="009941F1" w:rsidRPr="0023353C">
        <w:rPr>
          <w:sz w:val="24"/>
          <w:szCs w:val="24"/>
        </w:rPr>
        <w:t>952</w:t>
      </w:r>
    </w:p>
    <w:p w:rsidR="00F13C87" w:rsidRPr="0023353C" w:rsidRDefault="00F13C87" w:rsidP="0023353C">
      <w:pPr>
        <w:spacing w:line="276" w:lineRule="auto"/>
        <w:jc w:val="center"/>
        <w:rPr>
          <w:sz w:val="24"/>
          <w:szCs w:val="24"/>
        </w:rPr>
      </w:pPr>
      <w:r w:rsidRPr="0023353C">
        <w:rPr>
          <w:sz w:val="24"/>
          <w:szCs w:val="24"/>
        </w:rPr>
        <w:t>SEGUNDA INSTANCIA</w:t>
      </w:r>
    </w:p>
    <w:p w:rsidR="00F13C87" w:rsidRPr="0023353C" w:rsidRDefault="00F13C87" w:rsidP="0023353C">
      <w:pPr>
        <w:spacing w:line="276" w:lineRule="auto"/>
        <w:rPr>
          <w:sz w:val="28"/>
          <w:szCs w:val="30"/>
          <w:lang w:val="es-CO"/>
        </w:rPr>
      </w:pPr>
    </w:p>
    <w:p w:rsidR="00F13C87" w:rsidRPr="0023353C" w:rsidRDefault="00F13C87" w:rsidP="0023353C">
      <w:pPr>
        <w:spacing w:line="276" w:lineRule="auto"/>
        <w:rPr>
          <w:sz w:val="28"/>
          <w:szCs w:val="30"/>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5954"/>
      </w:tblGrid>
      <w:tr w:rsidR="00F13C87" w:rsidRPr="0023353C" w:rsidTr="0023353C">
        <w:trPr>
          <w:trHeight w:val="259"/>
        </w:trPr>
        <w:tc>
          <w:tcPr>
            <w:tcW w:w="2760" w:type="dxa"/>
            <w:tcBorders>
              <w:top w:val="single" w:sz="4" w:space="0" w:color="auto"/>
              <w:left w:val="single" w:sz="4" w:space="0" w:color="auto"/>
              <w:bottom w:val="single" w:sz="4" w:space="0" w:color="auto"/>
              <w:right w:val="single" w:sz="4" w:space="0" w:color="auto"/>
            </w:tcBorders>
          </w:tcPr>
          <w:p w:rsidR="00F13C87" w:rsidRPr="0023353C" w:rsidRDefault="007D3ADD" w:rsidP="00F0031A">
            <w:pPr>
              <w:pStyle w:val="Tablaidentificadora"/>
              <w:rPr>
                <w:sz w:val="22"/>
                <w:szCs w:val="24"/>
              </w:rPr>
            </w:pPr>
            <w:r w:rsidRPr="0023353C">
              <w:rPr>
                <w:sz w:val="22"/>
                <w:szCs w:val="24"/>
              </w:rPr>
              <w:t>Acusado</w:t>
            </w:r>
            <w:r w:rsidR="00F13C87" w:rsidRPr="0023353C">
              <w:rPr>
                <w:sz w:val="22"/>
                <w:szCs w:val="24"/>
              </w:rPr>
              <w:t xml:space="preserve">: </w:t>
            </w:r>
          </w:p>
        </w:tc>
        <w:tc>
          <w:tcPr>
            <w:tcW w:w="5954" w:type="dxa"/>
            <w:tcBorders>
              <w:top w:val="single" w:sz="4" w:space="0" w:color="auto"/>
              <w:left w:val="single" w:sz="4" w:space="0" w:color="auto"/>
              <w:bottom w:val="single" w:sz="4" w:space="0" w:color="auto"/>
              <w:right w:val="single" w:sz="4" w:space="0" w:color="auto"/>
            </w:tcBorders>
          </w:tcPr>
          <w:p w:rsidR="00F13C87" w:rsidRPr="0023353C" w:rsidRDefault="00C908A5" w:rsidP="00F0031A">
            <w:pPr>
              <w:pStyle w:val="Tablaidentificadora"/>
              <w:rPr>
                <w:rFonts w:cs="Tahoma"/>
                <w:sz w:val="22"/>
                <w:szCs w:val="24"/>
              </w:rPr>
            </w:pPr>
            <w:r>
              <w:rPr>
                <w:rFonts w:cs="Tahoma"/>
                <w:sz w:val="22"/>
                <w:szCs w:val="24"/>
              </w:rPr>
              <w:t>OPL</w:t>
            </w:r>
          </w:p>
        </w:tc>
      </w:tr>
      <w:tr w:rsidR="00F13C87" w:rsidRPr="0023353C" w:rsidTr="0023353C">
        <w:trPr>
          <w:trHeight w:val="275"/>
        </w:trPr>
        <w:tc>
          <w:tcPr>
            <w:tcW w:w="2760" w:type="dxa"/>
            <w:tcBorders>
              <w:top w:val="single" w:sz="4" w:space="0" w:color="auto"/>
              <w:left w:val="single" w:sz="4" w:space="0" w:color="auto"/>
              <w:bottom w:val="single" w:sz="4" w:space="0" w:color="auto"/>
              <w:right w:val="single" w:sz="4" w:space="0" w:color="auto"/>
            </w:tcBorders>
          </w:tcPr>
          <w:p w:rsidR="00F13C87" w:rsidRPr="0023353C" w:rsidRDefault="00F13C87" w:rsidP="00F0031A">
            <w:pPr>
              <w:pStyle w:val="Tablaidentificadora"/>
              <w:rPr>
                <w:sz w:val="22"/>
                <w:szCs w:val="24"/>
              </w:rPr>
            </w:pPr>
            <w:r w:rsidRPr="0023353C">
              <w:rPr>
                <w:sz w:val="22"/>
                <w:szCs w:val="24"/>
              </w:rPr>
              <w:t>Cédula de ciudadanía:</w:t>
            </w:r>
          </w:p>
        </w:tc>
        <w:tc>
          <w:tcPr>
            <w:tcW w:w="5954" w:type="dxa"/>
            <w:tcBorders>
              <w:top w:val="single" w:sz="4" w:space="0" w:color="auto"/>
              <w:left w:val="single" w:sz="4" w:space="0" w:color="auto"/>
              <w:bottom w:val="single" w:sz="4" w:space="0" w:color="auto"/>
              <w:right w:val="single" w:sz="4" w:space="0" w:color="auto"/>
            </w:tcBorders>
          </w:tcPr>
          <w:p w:rsidR="00F13C87" w:rsidRPr="0023353C" w:rsidRDefault="006C3FA4" w:rsidP="00F0031A">
            <w:pPr>
              <w:pStyle w:val="Tablaidentificadora"/>
              <w:rPr>
                <w:rFonts w:cs="Tahoma"/>
                <w:sz w:val="22"/>
                <w:szCs w:val="24"/>
              </w:rPr>
            </w:pPr>
            <w:r w:rsidRPr="0023353C">
              <w:rPr>
                <w:rFonts w:cs="Tahoma"/>
                <w:sz w:val="22"/>
                <w:szCs w:val="24"/>
              </w:rPr>
              <w:t>18.617.383 expedida en Santa Rosa de Cabal (Rda.)</w:t>
            </w:r>
          </w:p>
        </w:tc>
      </w:tr>
      <w:tr w:rsidR="00F13C87" w:rsidRPr="0023353C" w:rsidTr="0023353C">
        <w:trPr>
          <w:trHeight w:val="259"/>
        </w:trPr>
        <w:tc>
          <w:tcPr>
            <w:tcW w:w="2760" w:type="dxa"/>
            <w:tcBorders>
              <w:top w:val="single" w:sz="4" w:space="0" w:color="auto"/>
              <w:left w:val="single" w:sz="4" w:space="0" w:color="auto"/>
              <w:bottom w:val="single" w:sz="4" w:space="0" w:color="auto"/>
              <w:right w:val="single" w:sz="4" w:space="0" w:color="auto"/>
            </w:tcBorders>
          </w:tcPr>
          <w:p w:rsidR="00F13C87" w:rsidRPr="0023353C" w:rsidRDefault="00F13C87" w:rsidP="00F0031A">
            <w:pPr>
              <w:pStyle w:val="Tablaidentificadora"/>
              <w:rPr>
                <w:sz w:val="22"/>
                <w:szCs w:val="24"/>
              </w:rPr>
            </w:pPr>
            <w:r w:rsidRPr="0023353C">
              <w:rPr>
                <w:sz w:val="22"/>
                <w:szCs w:val="24"/>
              </w:rPr>
              <w:lastRenderedPageBreak/>
              <w:t>Delito:</w:t>
            </w:r>
          </w:p>
        </w:tc>
        <w:tc>
          <w:tcPr>
            <w:tcW w:w="5954" w:type="dxa"/>
            <w:tcBorders>
              <w:top w:val="single" w:sz="4" w:space="0" w:color="auto"/>
              <w:left w:val="single" w:sz="4" w:space="0" w:color="auto"/>
              <w:bottom w:val="single" w:sz="4" w:space="0" w:color="auto"/>
              <w:right w:val="single" w:sz="4" w:space="0" w:color="auto"/>
            </w:tcBorders>
          </w:tcPr>
          <w:p w:rsidR="00F13C87" w:rsidRPr="0023353C" w:rsidRDefault="006C3FA4" w:rsidP="00F0031A">
            <w:pPr>
              <w:pStyle w:val="Tablaidentificadora"/>
              <w:rPr>
                <w:rFonts w:cs="Tahoma"/>
                <w:sz w:val="22"/>
                <w:szCs w:val="24"/>
              </w:rPr>
            </w:pPr>
            <w:r w:rsidRPr="0023353C">
              <w:rPr>
                <w:rFonts w:cs="Tahoma"/>
                <w:sz w:val="22"/>
                <w:szCs w:val="24"/>
              </w:rPr>
              <w:t>Hurto calificado</w:t>
            </w:r>
          </w:p>
        </w:tc>
      </w:tr>
      <w:tr w:rsidR="00F13C87" w:rsidRPr="0023353C" w:rsidTr="0023353C">
        <w:trPr>
          <w:trHeight w:val="259"/>
        </w:trPr>
        <w:tc>
          <w:tcPr>
            <w:tcW w:w="2760" w:type="dxa"/>
            <w:tcBorders>
              <w:top w:val="single" w:sz="4" w:space="0" w:color="auto"/>
              <w:left w:val="single" w:sz="4" w:space="0" w:color="auto"/>
              <w:bottom w:val="single" w:sz="4" w:space="0" w:color="auto"/>
              <w:right w:val="single" w:sz="4" w:space="0" w:color="auto"/>
            </w:tcBorders>
          </w:tcPr>
          <w:p w:rsidR="00F13C87" w:rsidRPr="0023353C" w:rsidRDefault="00F13C87" w:rsidP="00F0031A">
            <w:pPr>
              <w:pStyle w:val="Tablaidentificadora"/>
              <w:rPr>
                <w:sz w:val="22"/>
                <w:szCs w:val="24"/>
              </w:rPr>
            </w:pPr>
            <w:r w:rsidRPr="0023353C">
              <w:rPr>
                <w:sz w:val="22"/>
                <w:szCs w:val="24"/>
              </w:rPr>
              <w:t>Víctima:</w:t>
            </w:r>
          </w:p>
        </w:tc>
        <w:tc>
          <w:tcPr>
            <w:tcW w:w="5954" w:type="dxa"/>
            <w:tcBorders>
              <w:top w:val="single" w:sz="4" w:space="0" w:color="auto"/>
              <w:left w:val="single" w:sz="4" w:space="0" w:color="auto"/>
              <w:bottom w:val="single" w:sz="4" w:space="0" w:color="auto"/>
              <w:right w:val="single" w:sz="4" w:space="0" w:color="auto"/>
            </w:tcBorders>
          </w:tcPr>
          <w:p w:rsidR="00F13C87" w:rsidRPr="0023353C" w:rsidRDefault="006C3FA4" w:rsidP="00F0031A">
            <w:pPr>
              <w:pStyle w:val="Tablaidentificadora"/>
              <w:rPr>
                <w:rFonts w:cs="Tahoma"/>
                <w:sz w:val="22"/>
                <w:szCs w:val="24"/>
              </w:rPr>
            </w:pPr>
            <w:r w:rsidRPr="0023353C">
              <w:rPr>
                <w:rFonts w:cs="Tahoma"/>
                <w:sz w:val="22"/>
                <w:szCs w:val="24"/>
              </w:rPr>
              <w:t>Gustavo Gómez Noreña</w:t>
            </w:r>
          </w:p>
        </w:tc>
      </w:tr>
      <w:tr w:rsidR="00F13C87" w:rsidRPr="0023353C" w:rsidTr="0023353C">
        <w:trPr>
          <w:trHeight w:val="275"/>
        </w:trPr>
        <w:tc>
          <w:tcPr>
            <w:tcW w:w="2760" w:type="dxa"/>
            <w:tcBorders>
              <w:top w:val="single" w:sz="4" w:space="0" w:color="auto"/>
              <w:left w:val="single" w:sz="4" w:space="0" w:color="auto"/>
              <w:bottom w:val="single" w:sz="4" w:space="0" w:color="auto"/>
              <w:right w:val="single" w:sz="4" w:space="0" w:color="auto"/>
            </w:tcBorders>
          </w:tcPr>
          <w:p w:rsidR="00F13C87" w:rsidRPr="0023353C" w:rsidRDefault="00F13C87" w:rsidP="00F0031A">
            <w:pPr>
              <w:pStyle w:val="Tablaidentificadora"/>
              <w:rPr>
                <w:sz w:val="22"/>
                <w:szCs w:val="24"/>
              </w:rPr>
            </w:pPr>
            <w:r w:rsidRPr="0023353C">
              <w:rPr>
                <w:sz w:val="22"/>
                <w:szCs w:val="24"/>
              </w:rPr>
              <w:t>Procedencia:</w:t>
            </w:r>
          </w:p>
        </w:tc>
        <w:tc>
          <w:tcPr>
            <w:tcW w:w="5954" w:type="dxa"/>
            <w:tcBorders>
              <w:top w:val="single" w:sz="4" w:space="0" w:color="auto"/>
              <w:left w:val="single" w:sz="4" w:space="0" w:color="auto"/>
              <w:bottom w:val="single" w:sz="4" w:space="0" w:color="auto"/>
              <w:right w:val="single" w:sz="4" w:space="0" w:color="auto"/>
            </w:tcBorders>
          </w:tcPr>
          <w:p w:rsidR="00F13C87" w:rsidRPr="0023353C" w:rsidRDefault="00F13C87" w:rsidP="00F0031A">
            <w:pPr>
              <w:pStyle w:val="Tablaidentificadora"/>
              <w:rPr>
                <w:rFonts w:cs="Tahoma"/>
                <w:sz w:val="22"/>
                <w:szCs w:val="24"/>
              </w:rPr>
            </w:pPr>
            <w:r w:rsidRPr="0023353C">
              <w:rPr>
                <w:rFonts w:cs="Tahoma"/>
                <w:sz w:val="22"/>
                <w:szCs w:val="24"/>
              </w:rPr>
              <w:t xml:space="preserve">Juzgado </w:t>
            </w:r>
            <w:r w:rsidR="006C3FA4" w:rsidRPr="0023353C">
              <w:rPr>
                <w:rFonts w:cs="Tahoma"/>
                <w:sz w:val="22"/>
                <w:szCs w:val="24"/>
              </w:rPr>
              <w:t xml:space="preserve">Penal Municipal con función de </w:t>
            </w:r>
            <w:r w:rsidR="00AD238B" w:rsidRPr="0023353C">
              <w:rPr>
                <w:rFonts w:cs="Tahoma"/>
                <w:sz w:val="22"/>
                <w:szCs w:val="24"/>
              </w:rPr>
              <w:t xml:space="preserve">conocimiento de </w:t>
            </w:r>
            <w:r w:rsidR="006C3FA4" w:rsidRPr="0023353C">
              <w:rPr>
                <w:rFonts w:cs="Tahoma"/>
                <w:sz w:val="22"/>
                <w:szCs w:val="24"/>
              </w:rPr>
              <w:t xml:space="preserve">Santa Rosa de Cabal </w:t>
            </w:r>
            <w:r w:rsidRPr="0023353C">
              <w:rPr>
                <w:rFonts w:cs="Tahoma"/>
                <w:sz w:val="22"/>
                <w:szCs w:val="24"/>
              </w:rPr>
              <w:t>(Rda.)</w:t>
            </w:r>
            <w:r w:rsidR="001B7BD0" w:rsidRPr="0023353C">
              <w:rPr>
                <w:rFonts w:cs="Tahoma"/>
                <w:sz w:val="22"/>
                <w:szCs w:val="24"/>
              </w:rPr>
              <w:t xml:space="preserve"> </w:t>
            </w:r>
          </w:p>
        </w:tc>
      </w:tr>
      <w:tr w:rsidR="00F13C87" w:rsidRPr="0023353C" w:rsidTr="0023353C">
        <w:trPr>
          <w:trHeight w:val="275"/>
        </w:trPr>
        <w:tc>
          <w:tcPr>
            <w:tcW w:w="2760" w:type="dxa"/>
            <w:tcBorders>
              <w:top w:val="single" w:sz="4" w:space="0" w:color="auto"/>
              <w:left w:val="single" w:sz="4" w:space="0" w:color="auto"/>
              <w:bottom w:val="single" w:sz="4" w:space="0" w:color="auto"/>
              <w:right w:val="single" w:sz="4" w:space="0" w:color="auto"/>
            </w:tcBorders>
          </w:tcPr>
          <w:p w:rsidR="00F13C87" w:rsidRPr="0023353C" w:rsidRDefault="00F13C87" w:rsidP="00F0031A">
            <w:pPr>
              <w:pStyle w:val="Tablaidentificadora"/>
              <w:rPr>
                <w:sz w:val="22"/>
                <w:szCs w:val="24"/>
              </w:rPr>
            </w:pPr>
            <w:r w:rsidRPr="0023353C">
              <w:rPr>
                <w:sz w:val="22"/>
                <w:szCs w:val="24"/>
              </w:rPr>
              <w:t>Asunto:</w:t>
            </w:r>
          </w:p>
        </w:tc>
        <w:tc>
          <w:tcPr>
            <w:tcW w:w="5954" w:type="dxa"/>
            <w:tcBorders>
              <w:top w:val="single" w:sz="4" w:space="0" w:color="auto"/>
              <w:left w:val="single" w:sz="4" w:space="0" w:color="auto"/>
              <w:bottom w:val="single" w:sz="4" w:space="0" w:color="auto"/>
              <w:right w:val="single" w:sz="4" w:space="0" w:color="auto"/>
            </w:tcBorders>
          </w:tcPr>
          <w:p w:rsidR="00F13C87" w:rsidRPr="0023353C" w:rsidRDefault="00F13C87" w:rsidP="00F0031A">
            <w:pPr>
              <w:pStyle w:val="Tablaidentificadora"/>
              <w:rPr>
                <w:rFonts w:cs="Tahoma"/>
                <w:sz w:val="22"/>
                <w:szCs w:val="24"/>
              </w:rPr>
            </w:pPr>
            <w:r w:rsidRPr="0023353C">
              <w:rPr>
                <w:rFonts w:cs="Tahoma"/>
                <w:sz w:val="22"/>
                <w:szCs w:val="24"/>
              </w:rPr>
              <w:t>Decide apelación interpuesta por la defensa</w:t>
            </w:r>
            <w:r w:rsidR="000F4565" w:rsidRPr="0023353C">
              <w:rPr>
                <w:rFonts w:cs="Tahoma"/>
                <w:sz w:val="22"/>
                <w:szCs w:val="24"/>
              </w:rPr>
              <w:t xml:space="preserve"> </w:t>
            </w:r>
            <w:r w:rsidRPr="0023353C">
              <w:rPr>
                <w:rFonts w:cs="Tahoma"/>
                <w:sz w:val="22"/>
                <w:szCs w:val="24"/>
              </w:rPr>
              <w:t xml:space="preserve">contra el fallo </w:t>
            </w:r>
            <w:r w:rsidR="000D42A3" w:rsidRPr="0023353C">
              <w:rPr>
                <w:rFonts w:cs="Tahoma"/>
                <w:sz w:val="22"/>
                <w:szCs w:val="24"/>
              </w:rPr>
              <w:t>condenatori</w:t>
            </w:r>
            <w:r w:rsidR="000F4565" w:rsidRPr="0023353C">
              <w:rPr>
                <w:rFonts w:cs="Tahoma"/>
                <w:sz w:val="22"/>
                <w:szCs w:val="24"/>
              </w:rPr>
              <w:t>o</w:t>
            </w:r>
            <w:r w:rsidR="000D42A3" w:rsidRPr="0023353C">
              <w:rPr>
                <w:rFonts w:cs="Tahoma"/>
                <w:sz w:val="22"/>
                <w:szCs w:val="24"/>
              </w:rPr>
              <w:t xml:space="preserve"> </w:t>
            </w:r>
            <w:r w:rsidRPr="0023353C">
              <w:rPr>
                <w:rFonts w:cs="Tahoma"/>
                <w:sz w:val="22"/>
                <w:szCs w:val="24"/>
              </w:rPr>
              <w:t xml:space="preserve">fechado </w:t>
            </w:r>
            <w:r w:rsidR="006C3FA4" w:rsidRPr="0023353C">
              <w:rPr>
                <w:rFonts w:cs="Tahoma"/>
                <w:sz w:val="22"/>
                <w:szCs w:val="24"/>
              </w:rPr>
              <w:t>junio 26 de 2019</w:t>
            </w:r>
            <w:r w:rsidRPr="0023353C">
              <w:rPr>
                <w:rFonts w:cs="Tahoma"/>
                <w:sz w:val="22"/>
                <w:szCs w:val="24"/>
              </w:rPr>
              <w:t xml:space="preserve">. SE </w:t>
            </w:r>
            <w:r w:rsidR="00665A90" w:rsidRPr="0023353C">
              <w:rPr>
                <w:rFonts w:cs="Tahoma"/>
                <w:sz w:val="22"/>
                <w:szCs w:val="24"/>
              </w:rPr>
              <w:t>DECRETA NULIDAD.</w:t>
            </w:r>
          </w:p>
        </w:tc>
      </w:tr>
    </w:tbl>
    <w:p w:rsidR="00F13C87" w:rsidRPr="0023353C" w:rsidRDefault="00F13C87" w:rsidP="0023353C">
      <w:pPr>
        <w:spacing w:line="276" w:lineRule="auto"/>
        <w:rPr>
          <w:sz w:val="28"/>
          <w:szCs w:val="30"/>
        </w:rPr>
      </w:pPr>
    </w:p>
    <w:p w:rsidR="00F13C87" w:rsidRPr="0023353C" w:rsidRDefault="00F13C87" w:rsidP="0023353C">
      <w:pPr>
        <w:spacing w:line="276" w:lineRule="auto"/>
        <w:rPr>
          <w:sz w:val="24"/>
        </w:rPr>
      </w:pPr>
      <w:r w:rsidRPr="0023353C">
        <w:rPr>
          <w:sz w:val="24"/>
        </w:rPr>
        <w:t>El Tribunal Superior del Distrito Judicial de Pereira pronuncia la sentencia en los siguientes términos:</w:t>
      </w:r>
    </w:p>
    <w:p w:rsidR="00F13C87" w:rsidRPr="0023353C" w:rsidRDefault="00F13C87" w:rsidP="0023353C">
      <w:pPr>
        <w:pStyle w:val="Textoindependiente2"/>
        <w:spacing w:line="276" w:lineRule="auto"/>
      </w:pPr>
    </w:p>
    <w:p w:rsidR="00F13C87" w:rsidRPr="0023353C" w:rsidRDefault="00F13C87" w:rsidP="0023353C">
      <w:pPr>
        <w:spacing w:line="276" w:lineRule="auto"/>
        <w:rPr>
          <w:rStyle w:val="Algerian"/>
          <w:sz w:val="28"/>
        </w:rPr>
      </w:pPr>
      <w:r w:rsidRPr="0023353C">
        <w:rPr>
          <w:rStyle w:val="Algerian"/>
          <w:sz w:val="28"/>
        </w:rPr>
        <w:t>1.- hechos Y precedentes</w:t>
      </w:r>
    </w:p>
    <w:p w:rsidR="00F13C87" w:rsidRPr="0023353C" w:rsidRDefault="00F13C87" w:rsidP="0023353C">
      <w:pPr>
        <w:spacing w:line="276" w:lineRule="auto"/>
        <w:rPr>
          <w:sz w:val="24"/>
        </w:rPr>
      </w:pPr>
    </w:p>
    <w:p w:rsidR="00F13C87" w:rsidRPr="0023353C" w:rsidRDefault="00F13C87" w:rsidP="0023353C">
      <w:pPr>
        <w:spacing w:line="276" w:lineRule="auto"/>
        <w:rPr>
          <w:sz w:val="24"/>
        </w:rPr>
      </w:pPr>
      <w:r w:rsidRPr="0023353C">
        <w:rPr>
          <w:sz w:val="24"/>
        </w:rPr>
        <w:t>La situación fáctica jurídicamente relevante y la actuación procesal esencial para la decisión a tomar, se pueden sintetizar así:</w:t>
      </w:r>
    </w:p>
    <w:p w:rsidR="000D42A3" w:rsidRPr="0023353C" w:rsidRDefault="000D42A3" w:rsidP="0023353C">
      <w:pPr>
        <w:spacing w:line="276" w:lineRule="auto"/>
        <w:rPr>
          <w:sz w:val="24"/>
        </w:rPr>
      </w:pPr>
    </w:p>
    <w:p w:rsidR="006C3FA4" w:rsidRPr="0023353C" w:rsidRDefault="000D42A3" w:rsidP="0023353C">
      <w:pPr>
        <w:spacing w:line="276" w:lineRule="auto"/>
        <w:rPr>
          <w:rStyle w:val="Numeracinttulo"/>
          <w:b w:val="0"/>
        </w:rPr>
      </w:pPr>
      <w:r w:rsidRPr="0023353C">
        <w:rPr>
          <w:rStyle w:val="Numeracinttulo"/>
          <w:sz w:val="22"/>
          <w:szCs w:val="24"/>
        </w:rPr>
        <w:t>1.1.-</w:t>
      </w:r>
      <w:r w:rsidRPr="0023353C">
        <w:rPr>
          <w:rStyle w:val="Numeracinttulo"/>
          <w:b w:val="0"/>
          <w:sz w:val="22"/>
          <w:szCs w:val="24"/>
        </w:rPr>
        <w:t xml:space="preserve"> </w:t>
      </w:r>
      <w:r w:rsidR="00A76096" w:rsidRPr="0023353C">
        <w:rPr>
          <w:rStyle w:val="Numeracinttulo"/>
          <w:b w:val="0"/>
        </w:rPr>
        <w:t xml:space="preserve">De conformidad con </w:t>
      </w:r>
      <w:r w:rsidR="00CE68A5" w:rsidRPr="0023353C">
        <w:rPr>
          <w:rStyle w:val="Numeracinttulo"/>
          <w:b w:val="0"/>
        </w:rPr>
        <w:t>el contenido d</w:t>
      </w:r>
      <w:r w:rsidR="000828C0" w:rsidRPr="0023353C">
        <w:rPr>
          <w:rStyle w:val="Numeracinttulo"/>
          <w:b w:val="0"/>
        </w:rPr>
        <w:t xml:space="preserve">el fallo confutado, los hechos fueron denunciados por el </w:t>
      </w:r>
      <w:r w:rsidR="006C3FA4" w:rsidRPr="0023353C">
        <w:rPr>
          <w:rStyle w:val="Numeracinttulo"/>
          <w:b w:val="0"/>
        </w:rPr>
        <w:t>señor GUSTAVO GÓMEZ NOREÑA, q</w:t>
      </w:r>
      <w:r w:rsidR="000828C0" w:rsidRPr="0023353C">
        <w:rPr>
          <w:rStyle w:val="Numeracinttulo"/>
          <w:b w:val="0"/>
        </w:rPr>
        <w:t xml:space="preserve">uien dio cuenta </w:t>
      </w:r>
      <w:r w:rsidR="004261D1" w:rsidRPr="0023353C">
        <w:rPr>
          <w:rStyle w:val="Numeracinttulo"/>
          <w:b w:val="0"/>
        </w:rPr>
        <w:t>que en octubre 3 de 2018 en la V</w:t>
      </w:r>
      <w:r w:rsidR="006C3FA4" w:rsidRPr="0023353C">
        <w:rPr>
          <w:rStyle w:val="Numeracinttulo"/>
          <w:b w:val="0"/>
        </w:rPr>
        <w:t xml:space="preserve">ereda </w:t>
      </w:r>
      <w:r w:rsidR="00953953" w:rsidRPr="0023353C">
        <w:rPr>
          <w:rStyle w:val="Numeracinttulo"/>
          <w:b w:val="0"/>
        </w:rPr>
        <w:t>“</w:t>
      </w:r>
      <w:r w:rsidR="006C3FA4" w:rsidRPr="0023353C">
        <w:rPr>
          <w:rStyle w:val="Numeracinttulo"/>
          <w:b w:val="0"/>
        </w:rPr>
        <w:t>Altos Vásquez</w:t>
      </w:r>
      <w:r w:rsidR="00953953" w:rsidRPr="0023353C">
        <w:rPr>
          <w:rStyle w:val="Numeracinttulo"/>
          <w:b w:val="0"/>
        </w:rPr>
        <w:t>”</w:t>
      </w:r>
      <w:r w:rsidR="006C3FA4" w:rsidRPr="0023353C">
        <w:rPr>
          <w:rStyle w:val="Numeracinttulo"/>
          <w:b w:val="0"/>
        </w:rPr>
        <w:t xml:space="preserve">, finca </w:t>
      </w:r>
      <w:r w:rsidR="00953953" w:rsidRPr="0023353C">
        <w:rPr>
          <w:rStyle w:val="Numeracinttulo"/>
          <w:b w:val="0"/>
        </w:rPr>
        <w:t>“</w:t>
      </w:r>
      <w:r w:rsidR="000377A0" w:rsidRPr="0023353C">
        <w:rPr>
          <w:rStyle w:val="Numeracinttulo"/>
          <w:b w:val="0"/>
        </w:rPr>
        <w:t>V</w:t>
      </w:r>
      <w:r w:rsidR="006C3FA4" w:rsidRPr="0023353C">
        <w:rPr>
          <w:rStyle w:val="Numeracinttulo"/>
          <w:b w:val="0"/>
        </w:rPr>
        <w:t>illa del Carmen</w:t>
      </w:r>
      <w:r w:rsidR="00953953" w:rsidRPr="0023353C">
        <w:rPr>
          <w:rStyle w:val="Numeracinttulo"/>
          <w:b w:val="0"/>
        </w:rPr>
        <w:t>”</w:t>
      </w:r>
      <w:r w:rsidR="006C3FA4" w:rsidRPr="0023353C">
        <w:rPr>
          <w:rStyle w:val="Numeracinttulo"/>
          <w:b w:val="0"/>
        </w:rPr>
        <w:t xml:space="preserve">,  le fue hurtada una tarjeta débito del banco Davivienda que se hallaba en su habitación. Frente a lo sucedido recordó que el sábado anterior realizó pagos en compañía de </w:t>
      </w:r>
      <w:r w:rsidR="00C908A5">
        <w:rPr>
          <w:rStyle w:val="Numeracinttulo"/>
          <w:sz w:val="20"/>
          <w:szCs w:val="22"/>
        </w:rPr>
        <w:t>OPL</w:t>
      </w:r>
      <w:r w:rsidR="006C3FA4" w:rsidRPr="0023353C">
        <w:rPr>
          <w:rStyle w:val="Numeracinttulo"/>
          <w:b w:val="0"/>
        </w:rPr>
        <w:t xml:space="preserve">, a quien le había dado trabajo por recomendación de unos vecinos suyos, y al parecer ello fue aprovechado por </w:t>
      </w:r>
      <w:r w:rsidR="00A76096" w:rsidRPr="0023353C">
        <w:rPr>
          <w:rStyle w:val="Numeracinttulo"/>
          <w:b w:val="0"/>
        </w:rPr>
        <w:t xml:space="preserve">este </w:t>
      </w:r>
      <w:r w:rsidR="006C3FA4" w:rsidRPr="0023353C">
        <w:rPr>
          <w:rStyle w:val="Numeracinttulo"/>
          <w:b w:val="0"/>
        </w:rPr>
        <w:t>para obtener la contraseña</w:t>
      </w:r>
      <w:r w:rsidR="00953953" w:rsidRPr="0023353C">
        <w:rPr>
          <w:rStyle w:val="Numeracinttulo"/>
          <w:b w:val="0"/>
        </w:rPr>
        <w:t>,</w:t>
      </w:r>
      <w:r w:rsidR="00335329" w:rsidRPr="0023353C">
        <w:rPr>
          <w:rStyle w:val="Numeracinttulo"/>
          <w:b w:val="0"/>
        </w:rPr>
        <w:t xml:space="preserve"> del cual la Fiscalía obtuvo copia de videos donde se le observa cuando </w:t>
      </w:r>
      <w:r w:rsidR="00C50A31" w:rsidRPr="0023353C">
        <w:rPr>
          <w:rStyle w:val="Numeracinttulo"/>
          <w:b w:val="0"/>
        </w:rPr>
        <w:t xml:space="preserve">efectuaba </w:t>
      </w:r>
      <w:r w:rsidR="00335329" w:rsidRPr="0023353C">
        <w:rPr>
          <w:rStyle w:val="Numeracinttulo"/>
          <w:b w:val="0"/>
        </w:rPr>
        <w:t xml:space="preserve">transacciones. </w:t>
      </w:r>
      <w:r w:rsidR="00953953" w:rsidRPr="0023353C">
        <w:rPr>
          <w:rStyle w:val="Numeracinttulo"/>
          <w:b w:val="0"/>
        </w:rPr>
        <w:t xml:space="preserve"> </w:t>
      </w:r>
      <w:r w:rsidR="00335329" w:rsidRPr="0023353C">
        <w:rPr>
          <w:rStyle w:val="Numeracinttulo"/>
          <w:b w:val="0"/>
        </w:rPr>
        <w:t>E</w:t>
      </w:r>
      <w:r w:rsidR="00953953" w:rsidRPr="0023353C">
        <w:rPr>
          <w:rStyle w:val="Numeracinttulo"/>
          <w:b w:val="0"/>
        </w:rPr>
        <w:t xml:space="preserve">stima lo apropiado en unos veinte millones de pesos. </w:t>
      </w:r>
    </w:p>
    <w:p w:rsidR="000F4565" w:rsidRPr="0023353C" w:rsidRDefault="000F4565" w:rsidP="0023353C">
      <w:pPr>
        <w:spacing w:line="276" w:lineRule="auto"/>
        <w:rPr>
          <w:rStyle w:val="Numeracinttulo"/>
        </w:rPr>
      </w:pPr>
    </w:p>
    <w:p w:rsidR="00770D8D" w:rsidRPr="0023353C" w:rsidRDefault="000D42A3" w:rsidP="0023353C">
      <w:pPr>
        <w:spacing w:line="276" w:lineRule="auto"/>
        <w:rPr>
          <w:rStyle w:val="Numeracinttulo"/>
          <w:b w:val="0"/>
        </w:rPr>
      </w:pPr>
      <w:r w:rsidRPr="0023353C">
        <w:rPr>
          <w:rStyle w:val="Numeracinttulo"/>
          <w:sz w:val="22"/>
          <w:szCs w:val="24"/>
        </w:rPr>
        <w:t>1.2.-</w:t>
      </w:r>
      <w:r w:rsidRPr="0023353C">
        <w:rPr>
          <w:rStyle w:val="Numeracinttulo"/>
        </w:rPr>
        <w:t xml:space="preserve"> </w:t>
      </w:r>
      <w:r w:rsidR="00AE42B1" w:rsidRPr="0023353C">
        <w:rPr>
          <w:rStyle w:val="Numeracinttulo"/>
          <w:b w:val="0"/>
        </w:rPr>
        <w:t xml:space="preserve">Luego de adelantadas las labores investigativas </w:t>
      </w:r>
      <w:r w:rsidR="0096226E" w:rsidRPr="0023353C">
        <w:rPr>
          <w:rStyle w:val="Numeracinttulo"/>
          <w:b w:val="0"/>
        </w:rPr>
        <w:t xml:space="preserve">la Fiscalía solicitó orden de captura en contra del señor </w:t>
      </w:r>
      <w:r w:rsidR="00C908A5">
        <w:rPr>
          <w:rStyle w:val="Numeracinttulo"/>
          <w:sz w:val="20"/>
          <w:szCs w:val="22"/>
        </w:rPr>
        <w:t>OPL</w:t>
      </w:r>
      <w:r w:rsidR="0096226E" w:rsidRPr="0023353C">
        <w:rPr>
          <w:rStyle w:val="Numeracinttulo"/>
          <w:b w:val="0"/>
        </w:rPr>
        <w:t xml:space="preserve">, la cual se hizo efectiva en abril 11 de 2019, </w:t>
      </w:r>
      <w:r w:rsidR="00953953" w:rsidRPr="0023353C">
        <w:rPr>
          <w:rStyle w:val="Numeracinttulo"/>
          <w:b w:val="0"/>
        </w:rPr>
        <w:t xml:space="preserve">fecha en la </w:t>
      </w:r>
      <w:r w:rsidR="008872C8" w:rsidRPr="0023353C">
        <w:rPr>
          <w:rStyle w:val="Numeracinttulo"/>
          <w:b w:val="0"/>
        </w:rPr>
        <w:t xml:space="preserve">que </w:t>
      </w:r>
      <w:r w:rsidR="0096226E" w:rsidRPr="0023353C">
        <w:rPr>
          <w:rStyle w:val="Numeracinttulo"/>
          <w:b w:val="0"/>
        </w:rPr>
        <w:t>se llevaron a cabo ante el Ju</w:t>
      </w:r>
      <w:r w:rsidR="008872C8" w:rsidRPr="0023353C">
        <w:rPr>
          <w:rStyle w:val="Numeracinttulo"/>
          <w:b w:val="0"/>
        </w:rPr>
        <w:t>z</w:t>
      </w:r>
      <w:r w:rsidR="0096226E" w:rsidRPr="0023353C">
        <w:rPr>
          <w:rStyle w:val="Numeracinttulo"/>
          <w:b w:val="0"/>
        </w:rPr>
        <w:t xml:space="preserve">gado Segundo Civil Municipal con función de control de garantías de Santa Rosa </w:t>
      </w:r>
      <w:r w:rsidR="008872C8" w:rsidRPr="0023353C">
        <w:rPr>
          <w:rStyle w:val="Numeracinttulo"/>
          <w:b w:val="0"/>
        </w:rPr>
        <w:t xml:space="preserve">de Cabal (Rda.) </w:t>
      </w:r>
      <w:r w:rsidR="0096226E" w:rsidRPr="0023353C">
        <w:rPr>
          <w:rStyle w:val="Numeracinttulo"/>
          <w:b w:val="0"/>
        </w:rPr>
        <w:t>las audiencias preliminares de legalización de captura, y por t</w:t>
      </w:r>
      <w:r w:rsidR="00EB521E" w:rsidRPr="0023353C">
        <w:rPr>
          <w:rStyle w:val="Numeracinttulo"/>
          <w:b w:val="0"/>
        </w:rPr>
        <w:t>ratarse de un trámite abreviado</w:t>
      </w:r>
      <w:r w:rsidR="0096226E" w:rsidRPr="0023353C">
        <w:rPr>
          <w:rStyle w:val="Numeracinttulo"/>
          <w:b w:val="0"/>
        </w:rPr>
        <w:t xml:space="preserve"> regido por la Ley 1826/17, en esa </w:t>
      </w:r>
      <w:r w:rsidR="00A76096" w:rsidRPr="0023353C">
        <w:rPr>
          <w:rStyle w:val="Numeracinttulo"/>
          <w:b w:val="0"/>
        </w:rPr>
        <w:t xml:space="preserve">oportunidad </w:t>
      </w:r>
      <w:r w:rsidR="0096226E" w:rsidRPr="0023353C">
        <w:rPr>
          <w:rStyle w:val="Numeracinttulo"/>
          <w:b w:val="0"/>
        </w:rPr>
        <w:t xml:space="preserve">la Fiscalía </w:t>
      </w:r>
      <w:r w:rsidR="008872C8" w:rsidRPr="0023353C">
        <w:rPr>
          <w:rStyle w:val="Numeracinttulo"/>
          <w:b w:val="0"/>
        </w:rPr>
        <w:t xml:space="preserve">le </w:t>
      </w:r>
      <w:r w:rsidR="00EB6CE8" w:rsidRPr="0023353C">
        <w:rPr>
          <w:rStyle w:val="Numeracinttulo"/>
          <w:b w:val="0"/>
        </w:rPr>
        <w:t xml:space="preserve">dio </w:t>
      </w:r>
      <w:r w:rsidR="0096226E" w:rsidRPr="0023353C">
        <w:rPr>
          <w:rStyle w:val="Numeracinttulo"/>
          <w:b w:val="0"/>
        </w:rPr>
        <w:t>traslado del escrito de acusación</w:t>
      </w:r>
      <w:r w:rsidR="00EB521E" w:rsidRPr="0023353C">
        <w:rPr>
          <w:rStyle w:val="Numeracinttulo"/>
          <w:b w:val="0"/>
        </w:rPr>
        <w:t xml:space="preserve"> por medio del cual se</w:t>
      </w:r>
      <w:r w:rsidR="00953953" w:rsidRPr="0023353C">
        <w:rPr>
          <w:rStyle w:val="Numeracinttulo"/>
          <w:b w:val="0"/>
        </w:rPr>
        <w:t xml:space="preserve"> le </w:t>
      </w:r>
      <w:r w:rsidR="0096226E" w:rsidRPr="0023353C">
        <w:rPr>
          <w:rStyle w:val="Numeracinttulo"/>
          <w:b w:val="0"/>
        </w:rPr>
        <w:t>endilg</w:t>
      </w:r>
      <w:r w:rsidR="00EB521E" w:rsidRPr="0023353C">
        <w:rPr>
          <w:rStyle w:val="Numeracinttulo"/>
          <w:b w:val="0"/>
        </w:rPr>
        <w:t>aron</w:t>
      </w:r>
      <w:r w:rsidR="0096226E" w:rsidRPr="0023353C">
        <w:rPr>
          <w:rStyle w:val="Numeracinttulo"/>
          <w:b w:val="0"/>
        </w:rPr>
        <w:t xml:space="preserve"> cargos por hurto calificado </w:t>
      </w:r>
      <w:r w:rsidR="0096226E" w:rsidRPr="0023353C">
        <w:rPr>
          <w:rStyle w:val="Numeracinttulo"/>
          <w:rFonts w:ascii="Verdana" w:hAnsi="Verdana"/>
          <w:b w:val="0"/>
          <w:sz w:val="18"/>
          <w:szCs w:val="20"/>
        </w:rPr>
        <w:t>-art. 239, 240 num. 3º C.P.-</w:t>
      </w:r>
      <w:r w:rsidR="00EB521E" w:rsidRPr="0023353C">
        <w:rPr>
          <w:rStyle w:val="Numeracinttulo"/>
          <w:rFonts w:ascii="Verdana" w:hAnsi="Verdana"/>
          <w:b w:val="0"/>
          <w:sz w:val="18"/>
          <w:szCs w:val="20"/>
        </w:rPr>
        <w:t>,</w:t>
      </w:r>
      <w:r w:rsidR="0096226E" w:rsidRPr="0023353C">
        <w:rPr>
          <w:rStyle w:val="Numeracinttulo"/>
          <w:b w:val="0"/>
        </w:rPr>
        <w:t xml:space="preserve"> </w:t>
      </w:r>
      <w:r w:rsidR="00770D8D" w:rsidRPr="0023353C">
        <w:rPr>
          <w:rStyle w:val="Numeracinttulo"/>
          <w:b w:val="0"/>
        </w:rPr>
        <w:t xml:space="preserve">los cuales </w:t>
      </w:r>
      <w:r w:rsidR="00104DC9" w:rsidRPr="0023353C">
        <w:rPr>
          <w:rStyle w:val="Numeracinttulo"/>
          <w:b w:val="0"/>
        </w:rPr>
        <w:t>ACEPTÓ</w:t>
      </w:r>
      <w:r w:rsidR="00770D8D" w:rsidRPr="0023353C">
        <w:rPr>
          <w:rStyle w:val="Numeracinttulo"/>
          <w:b w:val="0"/>
        </w:rPr>
        <w:t>.</w:t>
      </w:r>
      <w:r w:rsidR="00104DC9" w:rsidRPr="0023353C">
        <w:rPr>
          <w:rStyle w:val="Numeracinttulo"/>
          <w:b w:val="0"/>
        </w:rPr>
        <w:t xml:space="preserve"> La Fiscalía retiró la solicitud de medida de aseguramiento.</w:t>
      </w:r>
    </w:p>
    <w:p w:rsidR="00D74C23" w:rsidRPr="0023353C" w:rsidRDefault="00D74C23" w:rsidP="0023353C">
      <w:pPr>
        <w:spacing w:line="276" w:lineRule="auto"/>
        <w:rPr>
          <w:rStyle w:val="Numeracinttulo"/>
        </w:rPr>
      </w:pPr>
    </w:p>
    <w:p w:rsidR="00D74C23" w:rsidRPr="0023353C" w:rsidRDefault="000D42A3" w:rsidP="0023353C">
      <w:pPr>
        <w:spacing w:line="276" w:lineRule="auto"/>
        <w:rPr>
          <w:rStyle w:val="Numeracinttulo"/>
          <w:rFonts w:eastAsia="Batang"/>
          <w:b w:val="0"/>
        </w:rPr>
      </w:pPr>
      <w:r w:rsidRPr="0023353C">
        <w:rPr>
          <w:rStyle w:val="Numeracinttulo"/>
          <w:sz w:val="22"/>
          <w:szCs w:val="24"/>
        </w:rPr>
        <w:t>1.3.-</w:t>
      </w:r>
      <w:r w:rsidR="00E75369" w:rsidRPr="0023353C">
        <w:rPr>
          <w:rStyle w:val="Numeracinttulo"/>
          <w:b w:val="0"/>
        </w:rPr>
        <w:t xml:space="preserve"> </w:t>
      </w:r>
      <w:r w:rsidR="00A76096" w:rsidRPr="0023353C">
        <w:rPr>
          <w:rStyle w:val="Numeracinttulo"/>
          <w:b w:val="0"/>
          <w:lang w:val="es-CO"/>
        </w:rPr>
        <w:t xml:space="preserve">La actuación le fue asignada al </w:t>
      </w:r>
      <w:r w:rsidR="00104DC9" w:rsidRPr="0023353C">
        <w:rPr>
          <w:rStyle w:val="Numeracinttulo"/>
          <w:rFonts w:eastAsia="Batang"/>
          <w:b w:val="0"/>
        </w:rPr>
        <w:t>Juzgado Penal Municipal de Santa Rosa</w:t>
      </w:r>
      <w:r w:rsidR="00A76096" w:rsidRPr="0023353C">
        <w:rPr>
          <w:rStyle w:val="Numeracinttulo"/>
          <w:rFonts w:eastAsia="Batang"/>
          <w:b w:val="0"/>
        </w:rPr>
        <w:t xml:space="preserve"> de Cabal, donde se realizó la </w:t>
      </w:r>
      <w:r w:rsidR="00104DC9" w:rsidRPr="0023353C">
        <w:rPr>
          <w:rStyle w:val="Numeracinttulo"/>
          <w:rFonts w:eastAsia="Batang"/>
          <w:b w:val="0"/>
        </w:rPr>
        <w:t>audiencia de individualización de pena</w:t>
      </w:r>
      <w:r w:rsidR="00A76096" w:rsidRPr="0023353C">
        <w:rPr>
          <w:rStyle w:val="Numeracinttulo"/>
          <w:rFonts w:eastAsia="Batang"/>
          <w:b w:val="0"/>
        </w:rPr>
        <w:t xml:space="preserve"> (mayo 16 de 2019), y en junio 26 de 2019 </w:t>
      </w:r>
      <w:r w:rsidR="006C5173" w:rsidRPr="00F0031A">
        <w:rPr>
          <w:rStyle w:val="Numeracinttulo"/>
          <w:rFonts w:ascii="Verdana" w:eastAsia="Batang" w:hAnsi="Verdana"/>
          <w:b w:val="0"/>
          <w:sz w:val="20"/>
          <w:szCs w:val="20"/>
        </w:rPr>
        <w:t>-</w:t>
      </w:r>
      <w:r w:rsidR="00A76096" w:rsidRPr="00F0031A">
        <w:rPr>
          <w:rStyle w:val="Numeracinttulo"/>
          <w:rFonts w:ascii="Verdana" w:eastAsia="Batang" w:hAnsi="Verdana"/>
          <w:b w:val="0"/>
          <w:sz w:val="20"/>
          <w:szCs w:val="20"/>
        </w:rPr>
        <w:t>previo aplazamiento solicitado por la defensa-</w:t>
      </w:r>
      <w:r w:rsidR="00A76096" w:rsidRPr="00F0031A">
        <w:rPr>
          <w:rStyle w:val="Numeracinttulo"/>
          <w:rFonts w:eastAsia="Batang"/>
          <w:b w:val="0"/>
          <w:sz w:val="28"/>
        </w:rPr>
        <w:t xml:space="preserve"> </w:t>
      </w:r>
      <w:r w:rsidR="00A76096" w:rsidRPr="0023353C">
        <w:rPr>
          <w:rStyle w:val="Numeracinttulo"/>
          <w:rFonts w:eastAsia="Batang"/>
          <w:b w:val="0"/>
        </w:rPr>
        <w:t xml:space="preserve">la a quo dictó la respectiva condena </w:t>
      </w:r>
      <w:r w:rsidR="00381DCE" w:rsidRPr="0023353C">
        <w:rPr>
          <w:rStyle w:val="Numeracinttulo"/>
          <w:rFonts w:eastAsia="Batang"/>
          <w:b w:val="0"/>
        </w:rPr>
        <w:t>por medio de</w:t>
      </w:r>
      <w:r w:rsidR="006C5173" w:rsidRPr="0023353C">
        <w:rPr>
          <w:rStyle w:val="Numeracinttulo"/>
          <w:rFonts w:eastAsia="Batang"/>
          <w:b w:val="0"/>
        </w:rPr>
        <w:t xml:space="preserve"> </w:t>
      </w:r>
      <w:r w:rsidR="00381DCE" w:rsidRPr="0023353C">
        <w:rPr>
          <w:rStyle w:val="Numeracinttulo"/>
          <w:rFonts w:eastAsia="Batang"/>
          <w:b w:val="0"/>
        </w:rPr>
        <w:t>l</w:t>
      </w:r>
      <w:r w:rsidR="006C5173" w:rsidRPr="0023353C">
        <w:rPr>
          <w:rStyle w:val="Numeracinttulo"/>
          <w:rFonts w:eastAsia="Batang"/>
          <w:b w:val="0"/>
        </w:rPr>
        <w:t>a</w:t>
      </w:r>
      <w:r w:rsidR="00381DCE" w:rsidRPr="0023353C">
        <w:rPr>
          <w:rStyle w:val="Numeracinttulo"/>
          <w:rFonts w:eastAsia="Batang"/>
          <w:b w:val="0"/>
        </w:rPr>
        <w:t xml:space="preserve"> cual</w:t>
      </w:r>
      <w:r w:rsidR="00D74C23" w:rsidRPr="0023353C">
        <w:rPr>
          <w:rStyle w:val="Numeracinttulo"/>
          <w:rFonts w:eastAsia="Batang"/>
          <w:b w:val="0"/>
        </w:rPr>
        <w:t xml:space="preserve">: (i) se declaró responsable </w:t>
      </w:r>
      <w:r w:rsidR="000C2599" w:rsidRPr="0023353C">
        <w:rPr>
          <w:rStyle w:val="Numeracinttulo"/>
          <w:rFonts w:eastAsia="Batang"/>
          <w:b w:val="0"/>
        </w:rPr>
        <w:t>a</w:t>
      </w:r>
      <w:r w:rsidR="008718B9" w:rsidRPr="0023353C">
        <w:rPr>
          <w:rStyle w:val="Numeracinttulo"/>
          <w:rFonts w:eastAsia="Batang"/>
          <w:b w:val="0"/>
        </w:rPr>
        <w:t>l señor</w:t>
      </w:r>
      <w:r w:rsidR="000C2599" w:rsidRPr="0023353C">
        <w:rPr>
          <w:rStyle w:val="Numeracinttulo"/>
          <w:rFonts w:eastAsia="Batang"/>
          <w:b w:val="0"/>
        </w:rPr>
        <w:t xml:space="preserve"> </w:t>
      </w:r>
      <w:r w:rsidR="00C908A5">
        <w:rPr>
          <w:rStyle w:val="Numeracinttulo"/>
          <w:rFonts w:eastAsia="Batang"/>
          <w:sz w:val="20"/>
          <w:szCs w:val="22"/>
        </w:rPr>
        <w:t>OPL</w:t>
      </w:r>
      <w:r w:rsidR="00A76096" w:rsidRPr="0023353C">
        <w:rPr>
          <w:rStyle w:val="Numeracinttulo"/>
          <w:rFonts w:eastAsia="Batang"/>
          <w:sz w:val="20"/>
          <w:szCs w:val="22"/>
        </w:rPr>
        <w:t xml:space="preserve"> </w:t>
      </w:r>
      <w:r w:rsidR="000C2599" w:rsidRPr="0023353C">
        <w:rPr>
          <w:rStyle w:val="Numeracinttulo"/>
          <w:rFonts w:eastAsia="Batang"/>
          <w:b w:val="0"/>
        </w:rPr>
        <w:t xml:space="preserve">por </w:t>
      </w:r>
      <w:r w:rsidR="00A76096" w:rsidRPr="0023353C">
        <w:rPr>
          <w:rStyle w:val="Numeracinttulo"/>
          <w:rFonts w:eastAsia="Batang"/>
          <w:b w:val="0"/>
        </w:rPr>
        <w:t>el delito de hurto calificado</w:t>
      </w:r>
      <w:r w:rsidR="00D74C23" w:rsidRPr="0023353C">
        <w:rPr>
          <w:rStyle w:val="Numeracinttulo"/>
          <w:rFonts w:eastAsia="Batang"/>
          <w:b w:val="0"/>
        </w:rPr>
        <w:t xml:space="preserve">; (ii) se le impuso sanción privativa de la libertad equivalente a </w:t>
      </w:r>
      <w:r w:rsidR="00A76096" w:rsidRPr="0023353C">
        <w:rPr>
          <w:rStyle w:val="Numeracinttulo"/>
          <w:rFonts w:eastAsia="Batang"/>
          <w:b w:val="0"/>
        </w:rPr>
        <w:t>72</w:t>
      </w:r>
      <w:r w:rsidR="000C2599" w:rsidRPr="0023353C">
        <w:rPr>
          <w:rStyle w:val="Numeracinttulo"/>
          <w:rFonts w:eastAsia="Batang"/>
          <w:b w:val="0"/>
        </w:rPr>
        <w:t xml:space="preserve"> </w:t>
      </w:r>
      <w:r w:rsidR="00D74C23" w:rsidRPr="0023353C">
        <w:rPr>
          <w:rStyle w:val="Numeracinttulo"/>
          <w:rFonts w:eastAsia="Batang"/>
          <w:b w:val="0"/>
        </w:rPr>
        <w:t xml:space="preserve">meses </w:t>
      </w:r>
      <w:r w:rsidR="006F2590" w:rsidRPr="0023353C">
        <w:rPr>
          <w:rStyle w:val="Numeracinttulo"/>
          <w:rFonts w:eastAsia="Batang"/>
          <w:b w:val="0"/>
        </w:rPr>
        <w:t>de prisión</w:t>
      </w:r>
      <w:r w:rsidR="00C0401E" w:rsidRPr="0023353C">
        <w:rPr>
          <w:rStyle w:val="Numeracinttulo"/>
          <w:rFonts w:eastAsia="Batang"/>
          <w:b w:val="0"/>
        </w:rPr>
        <w:t xml:space="preserve"> </w:t>
      </w:r>
      <w:r w:rsidR="00D74C23" w:rsidRPr="0023353C">
        <w:rPr>
          <w:rStyle w:val="Numeracinttulo"/>
          <w:rFonts w:eastAsia="Batang"/>
          <w:b w:val="0"/>
        </w:rPr>
        <w:t xml:space="preserve">e inhabilitación en el ejercicio de derechos y funciones públicas por </w:t>
      </w:r>
      <w:r w:rsidR="00C0401E" w:rsidRPr="0023353C">
        <w:rPr>
          <w:rStyle w:val="Numeracinttulo"/>
          <w:rFonts w:eastAsia="Batang"/>
          <w:b w:val="0"/>
        </w:rPr>
        <w:t>igual término d</w:t>
      </w:r>
      <w:r w:rsidR="006F3A12" w:rsidRPr="0023353C">
        <w:rPr>
          <w:rStyle w:val="Numeracinttulo"/>
          <w:rFonts w:eastAsia="Batang"/>
          <w:b w:val="0"/>
        </w:rPr>
        <w:t>e la sanción</w:t>
      </w:r>
      <w:r w:rsidR="008718B9" w:rsidRPr="0023353C">
        <w:rPr>
          <w:rStyle w:val="Numeracinttulo"/>
          <w:rFonts w:eastAsia="Batang"/>
          <w:b w:val="0"/>
        </w:rPr>
        <w:t>;</w:t>
      </w:r>
      <w:r w:rsidR="00C0401E" w:rsidRPr="0023353C">
        <w:rPr>
          <w:rStyle w:val="Numeracinttulo"/>
          <w:rFonts w:eastAsia="Batang"/>
          <w:b w:val="0"/>
        </w:rPr>
        <w:t xml:space="preserve"> y</w:t>
      </w:r>
      <w:r w:rsidR="00D74C23" w:rsidRPr="0023353C">
        <w:rPr>
          <w:rStyle w:val="Numeracinttulo"/>
          <w:rFonts w:eastAsia="Batang"/>
          <w:b w:val="0"/>
        </w:rPr>
        <w:t xml:space="preserve"> (iii) </w:t>
      </w:r>
      <w:r w:rsidR="008718B9" w:rsidRPr="0023353C">
        <w:rPr>
          <w:rStyle w:val="Numeracinttulo"/>
          <w:rFonts w:eastAsia="Batang"/>
          <w:b w:val="0"/>
        </w:rPr>
        <w:t xml:space="preserve">se </w:t>
      </w:r>
      <w:r w:rsidR="00D74C23" w:rsidRPr="0023353C">
        <w:rPr>
          <w:rStyle w:val="Numeracinttulo"/>
          <w:rFonts w:eastAsia="Batang"/>
          <w:b w:val="0"/>
        </w:rPr>
        <w:t>le negó la suspensión</w:t>
      </w:r>
      <w:r w:rsidR="00CA051A" w:rsidRPr="0023353C">
        <w:rPr>
          <w:rStyle w:val="Numeracinttulo"/>
          <w:rFonts w:eastAsia="Batang"/>
          <w:b w:val="0"/>
        </w:rPr>
        <w:t xml:space="preserve"> condicional</w:t>
      </w:r>
      <w:r w:rsidR="00D74C23" w:rsidRPr="0023353C">
        <w:rPr>
          <w:rStyle w:val="Numeracinttulo"/>
          <w:rFonts w:eastAsia="Batang"/>
          <w:b w:val="0"/>
        </w:rPr>
        <w:t xml:space="preserve"> de la ejecución de la pena</w:t>
      </w:r>
      <w:r w:rsidR="006F2590" w:rsidRPr="0023353C">
        <w:rPr>
          <w:rStyle w:val="Numeracinttulo"/>
          <w:rFonts w:eastAsia="Batang"/>
          <w:b w:val="0"/>
        </w:rPr>
        <w:t xml:space="preserve">, por lo cual </w:t>
      </w:r>
      <w:r w:rsidR="008718B9" w:rsidRPr="0023353C">
        <w:rPr>
          <w:rStyle w:val="Numeracinttulo"/>
          <w:rFonts w:eastAsia="Batang"/>
          <w:b w:val="0"/>
        </w:rPr>
        <w:t xml:space="preserve">se </w:t>
      </w:r>
      <w:r w:rsidR="006F2590" w:rsidRPr="0023353C">
        <w:rPr>
          <w:rStyle w:val="Numeracinttulo"/>
          <w:rFonts w:eastAsia="Batang"/>
          <w:b w:val="0"/>
        </w:rPr>
        <w:t>dispuso librar la correspondiente orden de captura</w:t>
      </w:r>
      <w:r w:rsidR="00D74C23" w:rsidRPr="0023353C">
        <w:rPr>
          <w:rStyle w:val="Numeracinttulo"/>
          <w:rFonts w:eastAsia="Batang"/>
          <w:b w:val="0"/>
        </w:rPr>
        <w:t>.</w:t>
      </w:r>
    </w:p>
    <w:p w:rsidR="000D42A3" w:rsidRPr="0023353C" w:rsidRDefault="000D42A3" w:rsidP="0023353C">
      <w:pPr>
        <w:spacing w:line="276" w:lineRule="auto"/>
        <w:rPr>
          <w:sz w:val="24"/>
        </w:rPr>
      </w:pPr>
    </w:p>
    <w:p w:rsidR="000D42A3" w:rsidRPr="0023353C" w:rsidRDefault="000D42A3" w:rsidP="0023353C">
      <w:pPr>
        <w:spacing w:line="276" w:lineRule="auto"/>
        <w:rPr>
          <w:rStyle w:val="Numeracinttulo"/>
          <w:b w:val="0"/>
        </w:rPr>
      </w:pPr>
      <w:r w:rsidRPr="0023353C">
        <w:rPr>
          <w:rStyle w:val="Numeracinttulo"/>
          <w:sz w:val="22"/>
          <w:szCs w:val="24"/>
        </w:rPr>
        <w:t>1.4.-</w:t>
      </w:r>
      <w:r w:rsidRPr="0023353C">
        <w:rPr>
          <w:rStyle w:val="Numeracinttulo"/>
          <w:b w:val="0"/>
        </w:rPr>
        <w:t xml:space="preserve"> </w:t>
      </w:r>
      <w:r w:rsidR="00116A8A" w:rsidRPr="0023353C">
        <w:rPr>
          <w:rStyle w:val="Numeracinttulo"/>
          <w:b w:val="0"/>
        </w:rPr>
        <w:t>Inconforme con esa determinación</w:t>
      </w:r>
      <w:r w:rsidR="00AE3785" w:rsidRPr="0023353C">
        <w:rPr>
          <w:rStyle w:val="Numeracinttulo"/>
          <w:b w:val="0"/>
        </w:rPr>
        <w:t xml:space="preserve">, </w:t>
      </w:r>
      <w:r w:rsidR="00B113B1" w:rsidRPr="0023353C">
        <w:rPr>
          <w:rStyle w:val="Numeracinttulo"/>
          <w:b w:val="0"/>
        </w:rPr>
        <w:t xml:space="preserve">el defensor apeló la decisión y </w:t>
      </w:r>
      <w:r w:rsidR="00C0401E" w:rsidRPr="0023353C">
        <w:rPr>
          <w:rStyle w:val="Numeracinttulo"/>
          <w:b w:val="0"/>
        </w:rPr>
        <w:t>procedió a sustentarla dentro del término de ley</w:t>
      </w:r>
      <w:r w:rsidR="00AE3785" w:rsidRPr="0023353C">
        <w:rPr>
          <w:rStyle w:val="Numeracinttulo"/>
          <w:b w:val="0"/>
        </w:rPr>
        <w:t>.</w:t>
      </w:r>
    </w:p>
    <w:p w:rsidR="00671371" w:rsidRPr="0023353C" w:rsidRDefault="00671371" w:rsidP="0023353C">
      <w:pPr>
        <w:spacing w:line="276" w:lineRule="auto"/>
        <w:rPr>
          <w:rStyle w:val="Numeracinttulo"/>
          <w:b w:val="0"/>
          <w:sz w:val="20"/>
          <w:szCs w:val="22"/>
        </w:rPr>
      </w:pPr>
    </w:p>
    <w:p w:rsidR="00C77A7B" w:rsidRPr="0023353C" w:rsidRDefault="00F13C87" w:rsidP="0023353C">
      <w:pPr>
        <w:spacing w:line="276" w:lineRule="auto"/>
        <w:rPr>
          <w:sz w:val="24"/>
        </w:rPr>
      </w:pPr>
      <w:r w:rsidRPr="0023353C">
        <w:rPr>
          <w:rStyle w:val="Algerian"/>
          <w:sz w:val="28"/>
        </w:rPr>
        <w:lastRenderedPageBreak/>
        <w:t>2.- Debate</w:t>
      </w:r>
    </w:p>
    <w:p w:rsidR="00C77A7B" w:rsidRPr="0023353C" w:rsidRDefault="00C77A7B" w:rsidP="0023353C">
      <w:pPr>
        <w:spacing w:line="276" w:lineRule="auto"/>
        <w:rPr>
          <w:rStyle w:val="Nombreprincipal"/>
          <w:sz w:val="20"/>
        </w:rPr>
      </w:pPr>
    </w:p>
    <w:p w:rsidR="00F13C87" w:rsidRPr="0023353C" w:rsidRDefault="00F13C87" w:rsidP="0023353C">
      <w:pPr>
        <w:spacing w:line="276" w:lineRule="auto"/>
        <w:rPr>
          <w:sz w:val="24"/>
        </w:rPr>
      </w:pPr>
      <w:r w:rsidRPr="0023353C">
        <w:rPr>
          <w:b/>
          <w:sz w:val="22"/>
          <w:szCs w:val="24"/>
        </w:rPr>
        <w:t>2.1.-</w:t>
      </w:r>
      <w:r w:rsidR="00E3428F" w:rsidRPr="0023353C">
        <w:rPr>
          <w:sz w:val="24"/>
        </w:rPr>
        <w:t xml:space="preserve"> </w:t>
      </w:r>
      <w:r w:rsidR="00B113B1" w:rsidRPr="0023353C">
        <w:rPr>
          <w:sz w:val="24"/>
        </w:rPr>
        <w:t xml:space="preserve">Defensa </w:t>
      </w:r>
      <w:r w:rsidR="005D1FC7" w:rsidRPr="0023353C">
        <w:rPr>
          <w:rFonts w:ascii="Verdana" w:hAnsi="Verdana"/>
          <w:sz w:val="18"/>
          <w:szCs w:val="20"/>
        </w:rPr>
        <w:t>-</w:t>
      </w:r>
      <w:r w:rsidRPr="0023353C">
        <w:rPr>
          <w:rFonts w:ascii="Verdana" w:hAnsi="Verdana"/>
          <w:sz w:val="18"/>
          <w:szCs w:val="20"/>
        </w:rPr>
        <w:t>recurrente</w:t>
      </w:r>
      <w:r w:rsidRPr="0023353C">
        <w:rPr>
          <w:rFonts w:ascii="Verdana" w:hAnsi="Verdana"/>
          <w:i/>
          <w:sz w:val="18"/>
          <w:szCs w:val="20"/>
        </w:rPr>
        <w:t xml:space="preserve">- </w:t>
      </w:r>
    </w:p>
    <w:p w:rsidR="00F13C87" w:rsidRPr="0023353C" w:rsidRDefault="00F13C87" w:rsidP="0023353C">
      <w:pPr>
        <w:spacing w:line="276" w:lineRule="auto"/>
        <w:rPr>
          <w:rStyle w:val="Nombreprincipal"/>
          <w:sz w:val="20"/>
          <w:szCs w:val="22"/>
        </w:rPr>
      </w:pPr>
    </w:p>
    <w:p w:rsidR="00D86D04" w:rsidRPr="0023353C" w:rsidRDefault="005E5782" w:rsidP="0023353C">
      <w:pPr>
        <w:spacing w:line="276" w:lineRule="auto"/>
        <w:rPr>
          <w:sz w:val="24"/>
        </w:rPr>
      </w:pPr>
      <w:r w:rsidRPr="0023353C">
        <w:rPr>
          <w:sz w:val="24"/>
        </w:rPr>
        <w:t>P</w:t>
      </w:r>
      <w:r w:rsidR="00B113B1" w:rsidRPr="0023353C">
        <w:rPr>
          <w:sz w:val="24"/>
        </w:rPr>
        <w:t xml:space="preserve">ide se revoque </w:t>
      </w:r>
      <w:r w:rsidRPr="0023353C">
        <w:rPr>
          <w:sz w:val="24"/>
        </w:rPr>
        <w:t xml:space="preserve">el fallo </w:t>
      </w:r>
      <w:r w:rsidR="00C0401E" w:rsidRPr="0023353C">
        <w:rPr>
          <w:sz w:val="24"/>
        </w:rPr>
        <w:t xml:space="preserve">o se decrete la nulidad de lo actuado, </w:t>
      </w:r>
      <w:r w:rsidR="006D1060" w:rsidRPr="0023353C">
        <w:rPr>
          <w:sz w:val="24"/>
        </w:rPr>
        <w:t xml:space="preserve">y </w:t>
      </w:r>
      <w:r w:rsidR="008872C8" w:rsidRPr="0023353C">
        <w:rPr>
          <w:sz w:val="24"/>
        </w:rPr>
        <w:t>f</w:t>
      </w:r>
      <w:r w:rsidR="00D86D04" w:rsidRPr="0023353C">
        <w:rPr>
          <w:sz w:val="24"/>
        </w:rPr>
        <w:t>undament</w:t>
      </w:r>
      <w:r w:rsidR="006D1060" w:rsidRPr="0023353C">
        <w:rPr>
          <w:sz w:val="24"/>
        </w:rPr>
        <w:t>a</w:t>
      </w:r>
      <w:r w:rsidR="00D86D04" w:rsidRPr="0023353C">
        <w:rPr>
          <w:sz w:val="24"/>
        </w:rPr>
        <w:t xml:space="preserve"> su disenso en dos puntos a saber: (i) la no concesión de beneficios por aceptación de cargos, pese a no haber sido capturado en fl</w:t>
      </w:r>
      <w:r w:rsidR="00D95F79" w:rsidRPr="0023353C">
        <w:rPr>
          <w:sz w:val="24"/>
        </w:rPr>
        <w:t>agrancia</w:t>
      </w:r>
      <w:r w:rsidR="00DA3023" w:rsidRPr="0023353C">
        <w:rPr>
          <w:sz w:val="24"/>
        </w:rPr>
        <w:t>;</w:t>
      </w:r>
      <w:r w:rsidR="00D95F79" w:rsidRPr="0023353C">
        <w:rPr>
          <w:sz w:val="24"/>
        </w:rPr>
        <w:t xml:space="preserve"> y (ii) la inexactitud del valor de lo apropiado, lo que ha podido incidir en la opción de</w:t>
      </w:r>
      <w:r w:rsidR="00DA3023" w:rsidRPr="0023353C">
        <w:rPr>
          <w:sz w:val="24"/>
        </w:rPr>
        <w:t xml:space="preserve"> reintegro y pago de perjuicios</w:t>
      </w:r>
      <w:r w:rsidR="00D95F79" w:rsidRPr="0023353C">
        <w:rPr>
          <w:sz w:val="24"/>
        </w:rPr>
        <w:t xml:space="preserve"> para obtener beneficios.</w:t>
      </w:r>
    </w:p>
    <w:p w:rsidR="00D95F79" w:rsidRPr="0023353C" w:rsidRDefault="00D95F79" w:rsidP="0023353C">
      <w:pPr>
        <w:spacing w:line="276" w:lineRule="auto"/>
        <w:rPr>
          <w:sz w:val="22"/>
          <w:szCs w:val="24"/>
        </w:rPr>
      </w:pPr>
    </w:p>
    <w:p w:rsidR="00D95F79" w:rsidRPr="0023353C" w:rsidRDefault="00DA3023" w:rsidP="0023353C">
      <w:pPr>
        <w:spacing w:line="276" w:lineRule="auto"/>
        <w:rPr>
          <w:sz w:val="24"/>
        </w:rPr>
      </w:pPr>
      <w:r w:rsidRPr="0023353C">
        <w:rPr>
          <w:sz w:val="24"/>
        </w:rPr>
        <w:t>Al respecto</w:t>
      </w:r>
      <w:r w:rsidR="00D95F79" w:rsidRPr="0023353C">
        <w:rPr>
          <w:sz w:val="24"/>
        </w:rPr>
        <w:t xml:space="preserve"> señala </w:t>
      </w:r>
      <w:r w:rsidR="00CE68A5" w:rsidRPr="0023353C">
        <w:rPr>
          <w:sz w:val="24"/>
        </w:rPr>
        <w:t xml:space="preserve">que </w:t>
      </w:r>
      <w:r w:rsidR="00C77A7B" w:rsidRPr="0023353C">
        <w:rPr>
          <w:sz w:val="24"/>
        </w:rPr>
        <w:t>a</w:t>
      </w:r>
      <w:r w:rsidR="00D95F79" w:rsidRPr="0023353C">
        <w:rPr>
          <w:sz w:val="24"/>
        </w:rPr>
        <w:t xml:space="preserve">unque la Fiscalía en la primera audiencia </w:t>
      </w:r>
      <w:r w:rsidR="00C0401E" w:rsidRPr="0023353C">
        <w:rPr>
          <w:sz w:val="24"/>
        </w:rPr>
        <w:t xml:space="preserve">le </w:t>
      </w:r>
      <w:r w:rsidR="00CE68A5" w:rsidRPr="0023353C">
        <w:rPr>
          <w:sz w:val="24"/>
        </w:rPr>
        <w:t xml:space="preserve">dijo </w:t>
      </w:r>
      <w:r w:rsidR="00C0401E" w:rsidRPr="0023353C">
        <w:rPr>
          <w:sz w:val="24"/>
        </w:rPr>
        <w:t>a su cliente que procedía rebaja</w:t>
      </w:r>
      <w:r w:rsidR="00D95F79" w:rsidRPr="0023353C">
        <w:rPr>
          <w:sz w:val="24"/>
        </w:rPr>
        <w:t xml:space="preserve"> de hasta el 50% por aceptación de cargos, la </w:t>
      </w:r>
      <w:r w:rsidR="00C0401E" w:rsidRPr="0023353C">
        <w:rPr>
          <w:sz w:val="24"/>
        </w:rPr>
        <w:t>juez</w:t>
      </w:r>
      <w:r w:rsidRPr="0023353C">
        <w:rPr>
          <w:sz w:val="24"/>
        </w:rPr>
        <w:t>a</w:t>
      </w:r>
      <w:r w:rsidR="00C0401E" w:rsidRPr="0023353C">
        <w:rPr>
          <w:sz w:val="24"/>
        </w:rPr>
        <w:t xml:space="preserve"> </w:t>
      </w:r>
      <w:r w:rsidR="00C77A7B" w:rsidRPr="0023353C">
        <w:rPr>
          <w:sz w:val="24"/>
        </w:rPr>
        <w:t xml:space="preserve">expresó </w:t>
      </w:r>
      <w:r w:rsidR="006C5173" w:rsidRPr="0023353C">
        <w:rPr>
          <w:sz w:val="24"/>
        </w:rPr>
        <w:t xml:space="preserve">que no </w:t>
      </w:r>
      <w:r w:rsidR="00C0401E" w:rsidRPr="0023353C">
        <w:rPr>
          <w:sz w:val="24"/>
        </w:rPr>
        <w:t xml:space="preserve">procedía al no haberse reintegrado la totalidad de lo apropiado, </w:t>
      </w:r>
      <w:r w:rsidR="006C5173" w:rsidRPr="0023353C">
        <w:rPr>
          <w:sz w:val="24"/>
        </w:rPr>
        <w:t xml:space="preserve">pero las </w:t>
      </w:r>
      <w:r w:rsidR="00C0401E" w:rsidRPr="0023353C">
        <w:rPr>
          <w:sz w:val="24"/>
        </w:rPr>
        <w:t xml:space="preserve">cuentas iniciales </w:t>
      </w:r>
      <w:r w:rsidR="006C5173" w:rsidRPr="0023353C">
        <w:rPr>
          <w:sz w:val="24"/>
        </w:rPr>
        <w:t>al decir</w:t>
      </w:r>
      <w:r w:rsidRPr="0023353C">
        <w:rPr>
          <w:sz w:val="24"/>
        </w:rPr>
        <w:t>se</w:t>
      </w:r>
      <w:r w:rsidR="006C5173" w:rsidRPr="0023353C">
        <w:rPr>
          <w:sz w:val="24"/>
        </w:rPr>
        <w:t xml:space="preserve"> que </w:t>
      </w:r>
      <w:r w:rsidR="00C0401E" w:rsidRPr="0023353C">
        <w:rPr>
          <w:sz w:val="24"/>
        </w:rPr>
        <w:t>lo hu</w:t>
      </w:r>
      <w:r w:rsidRPr="0023353C">
        <w:rPr>
          <w:sz w:val="24"/>
        </w:rPr>
        <w:t>rtado ascendía a $23´216.795.oo</w:t>
      </w:r>
      <w:r w:rsidR="00C0401E" w:rsidRPr="0023353C">
        <w:rPr>
          <w:sz w:val="24"/>
        </w:rPr>
        <w:t xml:space="preserve"> </w:t>
      </w:r>
      <w:r w:rsidRPr="0023353C">
        <w:rPr>
          <w:sz w:val="24"/>
        </w:rPr>
        <w:t xml:space="preserve">fueron </w:t>
      </w:r>
      <w:r w:rsidR="00C0401E" w:rsidRPr="0023353C">
        <w:rPr>
          <w:sz w:val="24"/>
        </w:rPr>
        <w:t>equivocad</w:t>
      </w:r>
      <w:r w:rsidRPr="0023353C">
        <w:rPr>
          <w:sz w:val="24"/>
        </w:rPr>
        <w:t>as</w:t>
      </w:r>
      <w:r w:rsidR="00C0401E" w:rsidRPr="0023353C">
        <w:rPr>
          <w:sz w:val="24"/>
        </w:rPr>
        <w:t xml:space="preserve"> e hizo imposible para su cliente conseguir casi doce mi</w:t>
      </w:r>
      <w:r w:rsidRPr="0023353C">
        <w:rPr>
          <w:sz w:val="24"/>
        </w:rPr>
        <w:t>llones en efectivo y buscar quié</w:t>
      </w:r>
      <w:r w:rsidR="00C0401E" w:rsidRPr="0023353C">
        <w:rPr>
          <w:sz w:val="24"/>
        </w:rPr>
        <w:t>n le sirviera de codeudor para garantizar la suma restante.</w:t>
      </w:r>
      <w:r w:rsidR="006D1060" w:rsidRPr="0023353C">
        <w:rPr>
          <w:sz w:val="24"/>
        </w:rPr>
        <w:t xml:space="preserve"> </w:t>
      </w:r>
      <w:r w:rsidR="00D95F79" w:rsidRPr="0023353C">
        <w:rPr>
          <w:sz w:val="24"/>
        </w:rPr>
        <w:t xml:space="preserve">En este </w:t>
      </w:r>
      <w:r w:rsidRPr="0023353C">
        <w:rPr>
          <w:sz w:val="24"/>
        </w:rPr>
        <w:t>asunto existió imprecisión respecto de</w:t>
      </w:r>
      <w:r w:rsidR="00D95F79" w:rsidRPr="0023353C">
        <w:rPr>
          <w:sz w:val="24"/>
        </w:rPr>
        <w:t xml:space="preserve"> la cantidad del dinero apropió </w:t>
      </w:r>
      <w:r w:rsidR="006C5173" w:rsidRPr="0023353C">
        <w:rPr>
          <w:sz w:val="24"/>
        </w:rPr>
        <w:t xml:space="preserve">por </w:t>
      </w:r>
      <w:r w:rsidR="00C908A5">
        <w:rPr>
          <w:b/>
          <w:sz w:val="20"/>
          <w:szCs w:val="22"/>
        </w:rPr>
        <w:t>OPL</w:t>
      </w:r>
      <w:r w:rsidR="00D95F79" w:rsidRPr="0023353C">
        <w:rPr>
          <w:sz w:val="24"/>
        </w:rPr>
        <w:t xml:space="preserve">, pues fue condenado </w:t>
      </w:r>
      <w:r w:rsidRPr="0023353C">
        <w:rPr>
          <w:sz w:val="24"/>
        </w:rPr>
        <w:t>de</w:t>
      </w:r>
      <w:r w:rsidR="006C5173" w:rsidRPr="0023353C">
        <w:rPr>
          <w:sz w:val="24"/>
        </w:rPr>
        <w:t xml:space="preserve"> apoderarse de</w:t>
      </w:r>
      <w:r w:rsidRPr="0023353C">
        <w:rPr>
          <w:sz w:val="24"/>
        </w:rPr>
        <w:t xml:space="preserve"> $20´000.000.oo, más $2´000.000.</w:t>
      </w:r>
      <w:r w:rsidR="00D95F79" w:rsidRPr="0023353C">
        <w:rPr>
          <w:sz w:val="24"/>
        </w:rPr>
        <w:t xml:space="preserve">oo por concepto de perjuicios, pero para la Fiscalía </w:t>
      </w:r>
      <w:r w:rsidR="00C77A7B" w:rsidRPr="0023353C">
        <w:rPr>
          <w:sz w:val="24"/>
        </w:rPr>
        <w:t>la suma era diferente.</w:t>
      </w:r>
    </w:p>
    <w:p w:rsidR="00D95F79" w:rsidRPr="0023353C" w:rsidRDefault="00D95F79" w:rsidP="0023353C">
      <w:pPr>
        <w:spacing w:line="276" w:lineRule="auto"/>
        <w:rPr>
          <w:sz w:val="24"/>
        </w:rPr>
      </w:pPr>
    </w:p>
    <w:p w:rsidR="00D86D04" w:rsidRPr="0023353C" w:rsidRDefault="006C5173" w:rsidP="0023353C">
      <w:pPr>
        <w:spacing w:line="276" w:lineRule="auto"/>
        <w:rPr>
          <w:sz w:val="24"/>
        </w:rPr>
      </w:pPr>
      <w:r w:rsidRPr="0023353C">
        <w:rPr>
          <w:sz w:val="24"/>
        </w:rPr>
        <w:t>En es</w:t>
      </w:r>
      <w:r w:rsidR="00C77A7B" w:rsidRPr="0023353C">
        <w:rPr>
          <w:sz w:val="24"/>
        </w:rPr>
        <w:t>t</w:t>
      </w:r>
      <w:r w:rsidRPr="0023353C">
        <w:rPr>
          <w:sz w:val="24"/>
        </w:rPr>
        <w:t xml:space="preserve">e caso ni </w:t>
      </w:r>
      <w:r w:rsidR="00D95F79" w:rsidRPr="0023353C">
        <w:rPr>
          <w:sz w:val="24"/>
        </w:rPr>
        <w:t xml:space="preserve">la víctima tenía </w:t>
      </w:r>
      <w:r w:rsidR="00D86D04" w:rsidRPr="0023353C">
        <w:rPr>
          <w:sz w:val="24"/>
        </w:rPr>
        <w:t>claridad de lo hurtado</w:t>
      </w:r>
      <w:r w:rsidR="006D1060" w:rsidRPr="0023353C">
        <w:rPr>
          <w:sz w:val="24"/>
        </w:rPr>
        <w:t>, ya que</w:t>
      </w:r>
      <w:r w:rsidR="00D95F79" w:rsidRPr="0023353C">
        <w:rPr>
          <w:sz w:val="24"/>
        </w:rPr>
        <w:t xml:space="preserve"> solo </w:t>
      </w:r>
      <w:r w:rsidR="00D86D04" w:rsidRPr="0023353C">
        <w:rPr>
          <w:sz w:val="24"/>
        </w:rPr>
        <w:t>calcu</w:t>
      </w:r>
      <w:r w:rsidR="00634299" w:rsidRPr="0023353C">
        <w:rPr>
          <w:sz w:val="24"/>
        </w:rPr>
        <w:t>ló los perjuicios en $2´000.000.</w:t>
      </w:r>
      <w:r w:rsidR="00D86D04" w:rsidRPr="0023353C">
        <w:rPr>
          <w:sz w:val="24"/>
        </w:rPr>
        <w:t>oo.</w:t>
      </w:r>
      <w:r w:rsidR="00D95F79" w:rsidRPr="0023353C">
        <w:rPr>
          <w:sz w:val="24"/>
        </w:rPr>
        <w:t xml:space="preserve">, por lo </w:t>
      </w:r>
      <w:r w:rsidRPr="0023353C">
        <w:rPr>
          <w:sz w:val="24"/>
        </w:rPr>
        <w:t xml:space="preserve">que </w:t>
      </w:r>
      <w:r w:rsidR="00D95F79" w:rsidRPr="0023353C">
        <w:rPr>
          <w:sz w:val="24"/>
        </w:rPr>
        <w:t>una vez emitido</w:t>
      </w:r>
      <w:r w:rsidR="00634299" w:rsidRPr="0023353C">
        <w:rPr>
          <w:sz w:val="24"/>
        </w:rPr>
        <w:t xml:space="preserve"> el</w:t>
      </w:r>
      <w:r w:rsidR="00D95F79" w:rsidRPr="0023353C">
        <w:rPr>
          <w:sz w:val="24"/>
        </w:rPr>
        <w:t xml:space="preserve"> fallo, al pedir</w:t>
      </w:r>
      <w:r w:rsidRPr="0023353C">
        <w:rPr>
          <w:sz w:val="24"/>
        </w:rPr>
        <w:t xml:space="preserve"> a la Fiscalía </w:t>
      </w:r>
      <w:r w:rsidR="00D95F79" w:rsidRPr="0023353C">
        <w:rPr>
          <w:sz w:val="24"/>
        </w:rPr>
        <w:t>que</w:t>
      </w:r>
      <w:r w:rsidR="00634299" w:rsidRPr="0023353C">
        <w:rPr>
          <w:sz w:val="24"/>
        </w:rPr>
        <w:t xml:space="preserve"> le</w:t>
      </w:r>
      <w:r w:rsidR="00D95F79" w:rsidRPr="0023353C">
        <w:rPr>
          <w:sz w:val="24"/>
        </w:rPr>
        <w:t xml:space="preserve"> </w:t>
      </w:r>
      <w:r w:rsidR="006D1060" w:rsidRPr="0023353C">
        <w:rPr>
          <w:sz w:val="24"/>
        </w:rPr>
        <w:t xml:space="preserve">indicara </w:t>
      </w:r>
      <w:r w:rsidR="00D95F79" w:rsidRPr="0023353C">
        <w:rPr>
          <w:sz w:val="24"/>
        </w:rPr>
        <w:t xml:space="preserve">con exactitud la suma apropiada por su cliente, se le </w:t>
      </w:r>
      <w:r w:rsidRPr="0023353C">
        <w:rPr>
          <w:sz w:val="24"/>
        </w:rPr>
        <w:t xml:space="preserve">expresó que por </w:t>
      </w:r>
      <w:r w:rsidR="00D86D04" w:rsidRPr="0023353C">
        <w:rPr>
          <w:sz w:val="24"/>
        </w:rPr>
        <w:t xml:space="preserve">oficio </w:t>
      </w:r>
      <w:r w:rsidR="006D1060" w:rsidRPr="0023353C">
        <w:rPr>
          <w:sz w:val="24"/>
        </w:rPr>
        <w:t xml:space="preserve">de </w:t>
      </w:r>
      <w:r w:rsidR="00634299" w:rsidRPr="0023353C">
        <w:rPr>
          <w:sz w:val="24"/>
        </w:rPr>
        <w:t>mayo 11 de 2019 s</w:t>
      </w:r>
      <w:r w:rsidRPr="0023353C">
        <w:rPr>
          <w:sz w:val="24"/>
        </w:rPr>
        <w:t xml:space="preserve">e </w:t>
      </w:r>
      <w:r w:rsidR="00D86D04" w:rsidRPr="0023353C">
        <w:rPr>
          <w:sz w:val="24"/>
        </w:rPr>
        <w:t>le</w:t>
      </w:r>
      <w:r w:rsidR="00634299" w:rsidRPr="0023353C">
        <w:rPr>
          <w:sz w:val="24"/>
        </w:rPr>
        <w:t xml:space="preserve"> había</w:t>
      </w:r>
      <w:r w:rsidR="00D86D04" w:rsidRPr="0023353C">
        <w:rPr>
          <w:sz w:val="24"/>
        </w:rPr>
        <w:t xml:space="preserve"> comunic</w:t>
      </w:r>
      <w:r w:rsidR="00634299" w:rsidRPr="0023353C">
        <w:rPr>
          <w:sz w:val="24"/>
        </w:rPr>
        <w:t>ado a la juzgadora que la cifra definitiva ascendía a la suma</w:t>
      </w:r>
      <w:r w:rsidR="00D86D04" w:rsidRPr="0023353C">
        <w:rPr>
          <w:sz w:val="24"/>
        </w:rPr>
        <w:t xml:space="preserve"> de $1</w:t>
      </w:r>
      <w:r w:rsidR="00335329" w:rsidRPr="0023353C">
        <w:rPr>
          <w:sz w:val="24"/>
        </w:rPr>
        <w:t>4</w:t>
      </w:r>
      <w:r w:rsidR="00D86D04" w:rsidRPr="0023353C">
        <w:rPr>
          <w:sz w:val="24"/>
        </w:rPr>
        <w:t>´</w:t>
      </w:r>
      <w:r w:rsidR="00335329" w:rsidRPr="0023353C">
        <w:rPr>
          <w:sz w:val="24"/>
        </w:rPr>
        <w:t>000.000</w:t>
      </w:r>
      <w:r w:rsidR="00D86D04" w:rsidRPr="0023353C">
        <w:rPr>
          <w:sz w:val="24"/>
        </w:rPr>
        <w:t xml:space="preserve">,oo </w:t>
      </w:r>
      <w:r w:rsidR="00335329" w:rsidRPr="0023353C">
        <w:rPr>
          <w:rFonts w:ascii="Verdana" w:hAnsi="Verdana"/>
          <w:sz w:val="18"/>
          <w:szCs w:val="20"/>
        </w:rPr>
        <w:t>-incluidos perjuicios-</w:t>
      </w:r>
      <w:r w:rsidR="00634299" w:rsidRPr="0023353C">
        <w:rPr>
          <w:rFonts w:ascii="Verdana" w:hAnsi="Verdana"/>
          <w:sz w:val="18"/>
          <w:szCs w:val="20"/>
        </w:rPr>
        <w:t>,</w:t>
      </w:r>
      <w:r w:rsidR="00335329" w:rsidRPr="0023353C">
        <w:rPr>
          <w:sz w:val="24"/>
        </w:rPr>
        <w:t xml:space="preserve"> </w:t>
      </w:r>
      <w:r w:rsidR="00634299" w:rsidRPr="0023353C">
        <w:rPr>
          <w:sz w:val="24"/>
        </w:rPr>
        <w:t>pero no obstante ello</w:t>
      </w:r>
      <w:r w:rsidR="00D95F79" w:rsidRPr="0023353C">
        <w:rPr>
          <w:sz w:val="24"/>
        </w:rPr>
        <w:t xml:space="preserve"> la a quo lo </w:t>
      </w:r>
      <w:r w:rsidR="00D86D04" w:rsidRPr="0023353C">
        <w:rPr>
          <w:sz w:val="24"/>
        </w:rPr>
        <w:t xml:space="preserve">condenó por casi el doble, sin saber por qué </w:t>
      </w:r>
      <w:r w:rsidR="00634299" w:rsidRPr="0023353C">
        <w:rPr>
          <w:sz w:val="24"/>
        </w:rPr>
        <w:t xml:space="preserve">motivo </w:t>
      </w:r>
      <w:r w:rsidR="00D86D04" w:rsidRPr="0023353C">
        <w:rPr>
          <w:sz w:val="24"/>
        </w:rPr>
        <w:t>no tuvo en cuenta tal documento.</w:t>
      </w:r>
    </w:p>
    <w:p w:rsidR="00D86D04" w:rsidRPr="0023353C" w:rsidRDefault="00D86D04" w:rsidP="0023353C">
      <w:pPr>
        <w:spacing w:line="276" w:lineRule="auto"/>
        <w:rPr>
          <w:sz w:val="24"/>
        </w:rPr>
      </w:pPr>
    </w:p>
    <w:p w:rsidR="00D86D04" w:rsidRPr="0023353C" w:rsidRDefault="00C77A7B" w:rsidP="0023353C">
      <w:pPr>
        <w:spacing w:line="276" w:lineRule="auto"/>
        <w:rPr>
          <w:sz w:val="24"/>
        </w:rPr>
      </w:pPr>
      <w:r w:rsidRPr="0023353C">
        <w:rPr>
          <w:sz w:val="24"/>
        </w:rPr>
        <w:t>Con</w:t>
      </w:r>
      <w:r w:rsidR="006C5173" w:rsidRPr="0023353C">
        <w:rPr>
          <w:sz w:val="24"/>
        </w:rPr>
        <w:t xml:space="preserve"> es</w:t>
      </w:r>
      <w:r w:rsidRPr="0023353C">
        <w:rPr>
          <w:sz w:val="24"/>
        </w:rPr>
        <w:t>a</w:t>
      </w:r>
      <w:r w:rsidR="006C5173" w:rsidRPr="0023353C">
        <w:rPr>
          <w:sz w:val="24"/>
        </w:rPr>
        <w:t xml:space="preserve"> inicial cifra </w:t>
      </w:r>
      <w:r w:rsidR="00D86D04" w:rsidRPr="0023353C">
        <w:rPr>
          <w:sz w:val="24"/>
        </w:rPr>
        <w:t xml:space="preserve">era difícil gestionar </w:t>
      </w:r>
      <w:r w:rsidRPr="0023353C">
        <w:rPr>
          <w:sz w:val="24"/>
        </w:rPr>
        <w:t xml:space="preserve">su consecución </w:t>
      </w:r>
      <w:r w:rsidR="00D86D04" w:rsidRPr="0023353C">
        <w:rPr>
          <w:sz w:val="24"/>
        </w:rPr>
        <w:t>en tan corto tiempo</w:t>
      </w:r>
      <w:r w:rsidRPr="0023353C">
        <w:rPr>
          <w:sz w:val="24"/>
        </w:rPr>
        <w:t>,</w:t>
      </w:r>
      <w:r w:rsidR="001831D3" w:rsidRPr="0023353C">
        <w:rPr>
          <w:sz w:val="24"/>
        </w:rPr>
        <w:t xml:space="preserve"> y de ese modo</w:t>
      </w:r>
      <w:r w:rsidRPr="0023353C">
        <w:rPr>
          <w:sz w:val="24"/>
        </w:rPr>
        <w:t xml:space="preserve"> </w:t>
      </w:r>
      <w:r w:rsidR="006D1060" w:rsidRPr="0023353C">
        <w:rPr>
          <w:sz w:val="24"/>
        </w:rPr>
        <w:t xml:space="preserve">se </w:t>
      </w:r>
      <w:r w:rsidR="00D86D04" w:rsidRPr="0023353C">
        <w:rPr>
          <w:sz w:val="24"/>
        </w:rPr>
        <w:t>sepulta</w:t>
      </w:r>
      <w:r w:rsidR="006D1060" w:rsidRPr="0023353C">
        <w:rPr>
          <w:sz w:val="24"/>
        </w:rPr>
        <w:t>ron</w:t>
      </w:r>
      <w:r w:rsidR="00D86D04" w:rsidRPr="0023353C">
        <w:rPr>
          <w:sz w:val="24"/>
        </w:rPr>
        <w:t xml:space="preserve"> las e</w:t>
      </w:r>
      <w:r w:rsidR="00D95F79" w:rsidRPr="0023353C">
        <w:rPr>
          <w:sz w:val="24"/>
        </w:rPr>
        <w:t>speranzas de obtener beneficios</w:t>
      </w:r>
      <w:r w:rsidR="001831D3" w:rsidRPr="0023353C">
        <w:rPr>
          <w:sz w:val="24"/>
        </w:rPr>
        <w:t>; además,</w:t>
      </w:r>
      <w:r w:rsidRPr="0023353C">
        <w:rPr>
          <w:sz w:val="24"/>
        </w:rPr>
        <w:t xml:space="preserve"> </w:t>
      </w:r>
      <w:r w:rsidR="006D1060" w:rsidRPr="0023353C">
        <w:rPr>
          <w:sz w:val="24"/>
        </w:rPr>
        <w:t xml:space="preserve">con </w:t>
      </w:r>
      <w:r w:rsidR="00D95F79" w:rsidRPr="0023353C">
        <w:rPr>
          <w:sz w:val="24"/>
        </w:rPr>
        <w:t>la decisión</w:t>
      </w:r>
      <w:r w:rsidR="001831D3" w:rsidRPr="0023353C">
        <w:rPr>
          <w:sz w:val="24"/>
        </w:rPr>
        <w:t xml:space="preserve"> proferida</w:t>
      </w:r>
      <w:r w:rsidR="00CE68A5" w:rsidRPr="0023353C">
        <w:rPr>
          <w:sz w:val="24"/>
        </w:rPr>
        <w:t xml:space="preserve"> </w:t>
      </w:r>
      <w:r w:rsidR="00D95F79" w:rsidRPr="0023353C">
        <w:rPr>
          <w:sz w:val="24"/>
        </w:rPr>
        <w:t>se divid</w:t>
      </w:r>
      <w:r w:rsidR="006D1060" w:rsidRPr="0023353C">
        <w:rPr>
          <w:sz w:val="24"/>
        </w:rPr>
        <w:t>en</w:t>
      </w:r>
      <w:r w:rsidR="00D95F79" w:rsidRPr="0023353C">
        <w:rPr>
          <w:sz w:val="24"/>
        </w:rPr>
        <w:t xml:space="preserve"> en dos las personas objeto de acusación</w:t>
      </w:r>
      <w:r w:rsidR="006D1060" w:rsidRPr="0023353C">
        <w:rPr>
          <w:sz w:val="24"/>
        </w:rPr>
        <w:t>:</w:t>
      </w:r>
      <w:r w:rsidR="00D95F79" w:rsidRPr="0023353C">
        <w:rPr>
          <w:sz w:val="24"/>
        </w:rPr>
        <w:t xml:space="preserve"> las que tienen con qué reparar y las que carecen de </w:t>
      </w:r>
      <w:r w:rsidR="006D1060" w:rsidRPr="0023353C">
        <w:rPr>
          <w:sz w:val="24"/>
        </w:rPr>
        <w:t>ello</w:t>
      </w:r>
      <w:r w:rsidR="00D95F79" w:rsidRPr="0023353C">
        <w:rPr>
          <w:sz w:val="24"/>
        </w:rPr>
        <w:t>, lo que va en contra del principio de equidad.</w:t>
      </w:r>
    </w:p>
    <w:p w:rsidR="001831D3" w:rsidRPr="0023353C" w:rsidRDefault="001831D3" w:rsidP="0023353C">
      <w:pPr>
        <w:spacing w:line="276" w:lineRule="auto"/>
        <w:rPr>
          <w:sz w:val="24"/>
        </w:rPr>
      </w:pPr>
    </w:p>
    <w:p w:rsidR="00D95F79" w:rsidRPr="0023353C" w:rsidRDefault="00D95F79" w:rsidP="0023353C">
      <w:pPr>
        <w:spacing w:line="276" w:lineRule="auto"/>
        <w:rPr>
          <w:sz w:val="24"/>
        </w:rPr>
      </w:pPr>
      <w:r w:rsidRPr="0023353C">
        <w:rPr>
          <w:b/>
          <w:sz w:val="20"/>
          <w:szCs w:val="22"/>
        </w:rPr>
        <w:t xml:space="preserve">2.4.- </w:t>
      </w:r>
      <w:r w:rsidRPr="0023353C">
        <w:rPr>
          <w:sz w:val="24"/>
        </w:rPr>
        <w:t xml:space="preserve">El afectado GUSTAVO GÓMEZ </w:t>
      </w:r>
      <w:r w:rsidR="0096450A" w:rsidRPr="0023353C">
        <w:rPr>
          <w:sz w:val="24"/>
        </w:rPr>
        <w:t xml:space="preserve">refiere </w:t>
      </w:r>
      <w:r w:rsidRPr="0023353C">
        <w:rPr>
          <w:sz w:val="24"/>
        </w:rPr>
        <w:t xml:space="preserve">que el señor </w:t>
      </w:r>
      <w:r w:rsidR="00C908A5">
        <w:rPr>
          <w:b/>
          <w:sz w:val="20"/>
          <w:szCs w:val="22"/>
        </w:rPr>
        <w:t>OPL</w:t>
      </w:r>
      <w:r w:rsidRPr="0023353C">
        <w:rPr>
          <w:sz w:val="24"/>
        </w:rPr>
        <w:t xml:space="preserve"> fue captado por las cámaras de su residencia cuando extraía la tarjeta débito de su habitación</w:t>
      </w:r>
      <w:r w:rsidR="006D1060" w:rsidRPr="0023353C">
        <w:rPr>
          <w:sz w:val="24"/>
        </w:rPr>
        <w:t>, y no tuvo reparo en</w:t>
      </w:r>
      <w:r w:rsidR="00203DB0" w:rsidRPr="0023353C">
        <w:rPr>
          <w:sz w:val="24"/>
        </w:rPr>
        <w:t xml:space="preserve"> sustraer el dinero de su cuenta</w:t>
      </w:r>
      <w:r w:rsidR="006D1060" w:rsidRPr="0023353C">
        <w:rPr>
          <w:sz w:val="24"/>
        </w:rPr>
        <w:t xml:space="preserve"> aprovech</w:t>
      </w:r>
      <w:r w:rsidR="00896421" w:rsidRPr="0023353C">
        <w:rPr>
          <w:sz w:val="24"/>
        </w:rPr>
        <w:t>ando</w:t>
      </w:r>
      <w:r w:rsidR="00203DB0" w:rsidRPr="0023353C">
        <w:rPr>
          <w:sz w:val="24"/>
        </w:rPr>
        <w:t xml:space="preserve"> que es una persona sola. A</w:t>
      </w:r>
      <w:r w:rsidR="006D1060" w:rsidRPr="0023353C">
        <w:rPr>
          <w:sz w:val="24"/>
        </w:rPr>
        <w:t>duce que es falso que le hayan ofrecido o suministrado dinero alguno, además que teme por su seguridad y sus bienes.</w:t>
      </w:r>
    </w:p>
    <w:p w:rsidR="00DF0EE0" w:rsidRPr="0023353C" w:rsidRDefault="00DF0EE0" w:rsidP="0023353C">
      <w:pPr>
        <w:spacing w:line="276" w:lineRule="auto"/>
        <w:rPr>
          <w:sz w:val="24"/>
        </w:rPr>
      </w:pPr>
    </w:p>
    <w:p w:rsidR="00D95F79" w:rsidRPr="0023353C" w:rsidRDefault="00D95F79" w:rsidP="0023353C">
      <w:pPr>
        <w:spacing w:line="276" w:lineRule="auto"/>
        <w:rPr>
          <w:sz w:val="24"/>
        </w:rPr>
      </w:pPr>
      <w:r w:rsidRPr="0023353C">
        <w:rPr>
          <w:b/>
          <w:sz w:val="22"/>
          <w:szCs w:val="24"/>
        </w:rPr>
        <w:t>2.</w:t>
      </w:r>
      <w:r w:rsidR="006D1060" w:rsidRPr="0023353C">
        <w:rPr>
          <w:b/>
          <w:sz w:val="22"/>
          <w:szCs w:val="24"/>
        </w:rPr>
        <w:t>5</w:t>
      </w:r>
      <w:r w:rsidRPr="0023353C">
        <w:rPr>
          <w:b/>
          <w:sz w:val="22"/>
          <w:szCs w:val="24"/>
        </w:rPr>
        <w:t>.-</w:t>
      </w:r>
      <w:r w:rsidRPr="0023353C">
        <w:rPr>
          <w:b/>
          <w:sz w:val="24"/>
        </w:rPr>
        <w:t xml:space="preserve"> </w:t>
      </w:r>
      <w:r w:rsidR="00203DB0" w:rsidRPr="0023353C">
        <w:rPr>
          <w:sz w:val="24"/>
        </w:rPr>
        <w:t>Los demás intervinientes</w:t>
      </w:r>
      <w:r w:rsidRPr="0023353C">
        <w:rPr>
          <w:sz w:val="24"/>
        </w:rPr>
        <w:t xml:space="preserve"> se abstuvieron de pronunciarse en su condición de no recurrentes.</w:t>
      </w:r>
    </w:p>
    <w:p w:rsidR="006D1060" w:rsidRPr="0023353C" w:rsidRDefault="006D1060" w:rsidP="0023353C">
      <w:pPr>
        <w:spacing w:line="276" w:lineRule="auto"/>
        <w:rPr>
          <w:sz w:val="24"/>
        </w:rPr>
      </w:pPr>
    </w:p>
    <w:p w:rsidR="00901375" w:rsidRPr="0023353C" w:rsidRDefault="00901375" w:rsidP="0023353C">
      <w:pPr>
        <w:spacing w:line="276" w:lineRule="auto"/>
        <w:rPr>
          <w:sz w:val="24"/>
        </w:rPr>
      </w:pPr>
      <w:r w:rsidRPr="0023353C">
        <w:rPr>
          <w:sz w:val="24"/>
        </w:rPr>
        <w:t xml:space="preserve">Debidamente sustentado el recurso, </w:t>
      </w:r>
      <w:r w:rsidR="002E5AFD" w:rsidRPr="0023353C">
        <w:rPr>
          <w:sz w:val="24"/>
        </w:rPr>
        <w:t>el</w:t>
      </w:r>
      <w:r w:rsidRPr="0023353C">
        <w:rPr>
          <w:sz w:val="24"/>
        </w:rPr>
        <w:t xml:space="preserve"> juez a quo lo concedió en el efect</w:t>
      </w:r>
      <w:r w:rsidR="001F37C3" w:rsidRPr="0023353C">
        <w:rPr>
          <w:sz w:val="24"/>
        </w:rPr>
        <w:t>o</w:t>
      </w:r>
      <w:r w:rsidRPr="0023353C">
        <w:rPr>
          <w:sz w:val="24"/>
        </w:rPr>
        <w:t xml:space="preserve"> suspensivo y dispuso la remisión de los registros pertinentes ante esta Corporación con el fin de desatar la alzada.</w:t>
      </w:r>
    </w:p>
    <w:p w:rsidR="00901375" w:rsidRPr="0023353C" w:rsidRDefault="00901375" w:rsidP="0023353C">
      <w:pPr>
        <w:spacing w:line="276" w:lineRule="auto"/>
        <w:rPr>
          <w:sz w:val="24"/>
        </w:rPr>
      </w:pPr>
    </w:p>
    <w:p w:rsidR="00F13C87" w:rsidRPr="0023353C" w:rsidRDefault="00F13C87" w:rsidP="0023353C">
      <w:pPr>
        <w:spacing w:line="276" w:lineRule="auto"/>
        <w:rPr>
          <w:rStyle w:val="Algerian"/>
          <w:sz w:val="28"/>
        </w:rPr>
      </w:pPr>
      <w:r w:rsidRPr="0023353C">
        <w:rPr>
          <w:rStyle w:val="Algerian"/>
          <w:sz w:val="28"/>
        </w:rPr>
        <w:lastRenderedPageBreak/>
        <w:t xml:space="preserve">3.- </w:t>
      </w:r>
      <w:r w:rsidRPr="0023353C">
        <w:rPr>
          <w:rStyle w:val="Algerian"/>
          <w:rFonts w:ascii="Tahoma" w:hAnsi="Tahoma" w:cs="Tahoma"/>
          <w:sz w:val="24"/>
          <w:szCs w:val="28"/>
        </w:rPr>
        <w:t>Para resolver,</w:t>
      </w:r>
      <w:r w:rsidRPr="0023353C">
        <w:rPr>
          <w:rStyle w:val="Algerian"/>
          <w:rFonts w:ascii="Tahoma" w:hAnsi="Tahoma" w:cs="Tahoma"/>
          <w:sz w:val="28"/>
        </w:rPr>
        <w:t xml:space="preserve"> </w:t>
      </w:r>
      <w:r w:rsidRPr="0023353C">
        <w:rPr>
          <w:rStyle w:val="Algerian"/>
          <w:sz w:val="28"/>
        </w:rPr>
        <w:t>se considera</w:t>
      </w:r>
    </w:p>
    <w:p w:rsidR="00F13C87" w:rsidRPr="0023353C" w:rsidRDefault="00F13C87" w:rsidP="0023353C">
      <w:pPr>
        <w:spacing w:line="276" w:lineRule="auto"/>
        <w:rPr>
          <w:sz w:val="24"/>
        </w:rPr>
      </w:pPr>
      <w:r w:rsidRPr="0023353C">
        <w:rPr>
          <w:sz w:val="24"/>
        </w:rPr>
        <w:t xml:space="preserve"> </w:t>
      </w:r>
    </w:p>
    <w:p w:rsidR="00F13C87" w:rsidRPr="0023353C" w:rsidRDefault="00F13C87" w:rsidP="0023353C">
      <w:pPr>
        <w:spacing w:line="276" w:lineRule="auto"/>
        <w:rPr>
          <w:b/>
          <w:sz w:val="22"/>
          <w:szCs w:val="24"/>
        </w:rPr>
      </w:pPr>
      <w:r w:rsidRPr="0023353C">
        <w:rPr>
          <w:b/>
          <w:sz w:val="22"/>
          <w:szCs w:val="24"/>
        </w:rPr>
        <w:t>3.1.-</w:t>
      </w:r>
      <w:r w:rsidRPr="0023353C">
        <w:rPr>
          <w:b/>
          <w:sz w:val="24"/>
        </w:rPr>
        <w:t xml:space="preserve"> </w:t>
      </w:r>
      <w:r w:rsidRPr="0023353C">
        <w:rPr>
          <w:b/>
          <w:sz w:val="22"/>
          <w:szCs w:val="24"/>
        </w:rPr>
        <w:t>Competencia</w:t>
      </w:r>
    </w:p>
    <w:p w:rsidR="00F13C87" w:rsidRPr="0023353C" w:rsidRDefault="00F13C87" w:rsidP="0023353C">
      <w:pPr>
        <w:spacing w:line="276" w:lineRule="auto"/>
        <w:rPr>
          <w:sz w:val="24"/>
        </w:rPr>
      </w:pPr>
    </w:p>
    <w:p w:rsidR="00F13C87" w:rsidRPr="0023353C" w:rsidRDefault="00F13C87" w:rsidP="0023353C">
      <w:pPr>
        <w:spacing w:line="276" w:lineRule="auto"/>
        <w:rPr>
          <w:sz w:val="24"/>
        </w:rPr>
      </w:pPr>
      <w:r w:rsidRPr="0023353C">
        <w:rPr>
          <w:sz w:val="24"/>
        </w:rPr>
        <w:t xml:space="preserve">La tiene esta Colegiatura de </w:t>
      </w:r>
      <w:r w:rsidR="00CE68A5" w:rsidRPr="0023353C">
        <w:rPr>
          <w:sz w:val="24"/>
        </w:rPr>
        <w:t xml:space="preserve">acuerdo con </w:t>
      </w:r>
      <w:r w:rsidRPr="0023353C">
        <w:rPr>
          <w:sz w:val="24"/>
        </w:rPr>
        <w:t>los factores objetivo, territorial y funcional a voces de los artículos 20, 34.1 y 179 de la Ley 906 de 2004</w:t>
      </w:r>
      <w:r w:rsidRPr="0023353C">
        <w:rPr>
          <w:rFonts w:ascii="Verdana" w:hAnsi="Verdana"/>
          <w:sz w:val="18"/>
          <w:szCs w:val="20"/>
        </w:rPr>
        <w:t xml:space="preserve"> -modificado este último por el artículo 91 de la Ley 1395 de 2010-</w:t>
      </w:r>
      <w:r w:rsidRPr="0023353C">
        <w:rPr>
          <w:sz w:val="24"/>
        </w:rPr>
        <w:t xml:space="preserve">, al haber sido oportunamente interpuesta y </w:t>
      </w:r>
      <w:r w:rsidR="001E70CB" w:rsidRPr="0023353C">
        <w:rPr>
          <w:sz w:val="24"/>
        </w:rPr>
        <w:t>debidamente</w:t>
      </w:r>
      <w:r w:rsidR="00735B8F" w:rsidRPr="0023353C">
        <w:rPr>
          <w:sz w:val="24"/>
        </w:rPr>
        <w:t xml:space="preserve"> </w:t>
      </w:r>
      <w:r w:rsidRPr="0023353C">
        <w:rPr>
          <w:sz w:val="24"/>
        </w:rPr>
        <w:t>sustentada una apelación contra providencia susceptible de ese recurso y por las partes habilitadas para hacerlo</w:t>
      </w:r>
      <w:r w:rsidR="00B364D3" w:rsidRPr="0023353C">
        <w:rPr>
          <w:rFonts w:ascii="Verdana" w:hAnsi="Verdana"/>
          <w:sz w:val="18"/>
          <w:szCs w:val="20"/>
        </w:rPr>
        <w:t xml:space="preserve"> -en nuestro caso la defensa</w:t>
      </w:r>
      <w:r w:rsidRPr="0023353C">
        <w:rPr>
          <w:rFonts w:ascii="Verdana" w:hAnsi="Verdana"/>
          <w:sz w:val="18"/>
          <w:szCs w:val="20"/>
        </w:rPr>
        <w:t>-</w:t>
      </w:r>
      <w:r w:rsidRPr="0023353C">
        <w:rPr>
          <w:sz w:val="24"/>
        </w:rPr>
        <w:t>.</w:t>
      </w:r>
    </w:p>
    <w:p w:rsidR="00556860" w:rsidRPr="0023353C" w:rsidRDefault="00556860" w:rsidP="0023353C">
      <w:pPr>
        <w:spacing w:line="276" w:lineRule="auto"/>
        <w:rPr>
          <w:b/>
          <w:sz w:val="22"/>
          <w:szCs w:val="24"/>
        </w:rPr>
      </w:pPr>
    </w:p>
    <w:p w:rsidR="00F13C87" w:rsidRPr="0023353C" w:rsidRDefault="00F13C87" w:rsidP="0023353C">
      <w:pPr>
        <w:spacing w:line="276" w:lineRule="auto"/>
        <w:rPr>
          <w:sz w:val="24"/>
        </w:rPr>
      </w:pPr>
      <w:r w:rsidRPr="0023353C">
        <w:rPr>
          <w:b/>
          <w:sz w:val="22"/>
          <w:szCs w:val="24"/>
        </w:rPr>
        <w:t>3.2.-</w:t>
      </w:r>
      <w:r w:rsidRPr="0023353C">
        <w:rPr>
          <w:sz w:val="24"/>
        </w:rPr>
        <w:t xml:space="preserve"> </w:t>
      </w:r>
      <w:r w:rsidRPr="0023353C">
        <w:rPr>
          <w:b/>
          <w:sz w:val="22"/>
          <w:szCs w:val="24"/>
        </w:rPr>
        <w:t>Problema jurídico planteado</w:t>
      </w:r>
    </w:p>
    <w:p w:rsidR="00F13C87" w:rsidRPr="0023353C" w:rsidRDefault="00F13C87" w:rsidP="0023353C">
      <w:pPr>
        <w:spacing w:line="276" w:lineRule="auto"/>
        <w:rPr>
          <w:sz w:val="24"/>
        </w:rPr>
      </w:pPr>
    </w:p>
    <w:p w:rsidR="00DF0EE0" w:rsidRPr="0023353C" w:rsidRDefault="00DF0EE0" w:rsidP="0023353C">
      <w:pPr>
        <w:spacing w:line="276" w:lineRule="auto"/>
        <w:rPr>
          <w:sz w:val="24"/>
        </w:rPr>
      </w:pPr>
      <w:r w:rsidRPr="0023353C">
        <w:rPr>
          <w:sz w:val="24"/>
        </w:rPr>
        <w:t xml:space="preserve">Nos encontramos en presencia de un trámite abreviado por la aceptación de cargos por parte del procesado en forma libre, voluntaria, consciente, debidamente asistido y profusamente ilustrado acerca de las consecuencias de hacer dejación de su derecho a la no autoincriminación, lo que no obsta para asegurar que además de ese allanamiento que en principio despeja el camino hacia el proferimiento de un fallo de condena, en el diligenciamiento </w:t>
      </w:r>
      <w:r w:rsidR="0011764F" w:rsidRPr="0023353C">
        <w:rPr>
          <w:sz w:val="24"/>
        </w:rPr>
        <w:t xml:space="preserve">obran </w:t>
      </w:r>
      <w:r w:rsidRPr="0023353C">
        <w:rPr>
          <w:sz w:val="24"/>
        </w:rPr>
        <w:t>elementos de convicción que determinan que la conducta ilícita que se pregona sí existió, y que el hoy involucrado tuvo participación activa en la misma.</w:t>
      </w:r>
    </w:p>
    <w:p w:rsidR="003558EA" w:rsidRPr="0023353C" w:rsidRDefault="003558EA" w:rsidP="0023353C">
      <w:pPr>
        <w:spacing w:line="276" w:lineRule="auto"/>
        <w:rPr>
          <w:sz w:val="24"/>
        </w:rPr>
      </w:pPr>
    </w:p>
    <w:p w:rsidR="00F16639" w:rsidRPr="0023353C" w:rsidRDefault="00F16639" w:rsidP="0023353C">
      <w:pPr>
        <w:spacing w:line="276" w:lineRule="auto"/>
        <w:rPr>
          <w:sz w:val="24"/>
        </w:rPr>
      </w:pPr>
      <w:r w:rsidRPr="0023353C">
        <w:rPr>
          <w:sz w:val="24"/>
        </w:rPr>
        <w:t>Como quiera que del recurso interpuesto por el apoderado del señor</w:t>
      </w:r>
      <w:r w:rsidRPr="0023353C">
        <w:rPr>
          <w:b/>
          <w:sz w:val="20"/>
          <w:szCs w:val="22"/>
        </w:rPr>
        <w:t xml:space="preserve"> </w:t>
      </w:r>
      <w:r w:rsidR="00C908A5">
        <w:rPr>
          <w:b/>
          <w:sz w:val="20"/>
          <w:szCs w:val="22"/>
        </w:rPr>
        <w:t>OPL</w:t>
      </w:r>
      <w:r w:rsidRPr="0023353C">
        <w:rPr>
          <w:sz w:val="24"/>
        </w:rPr>
        <w:t xml:space="preserve"> se avizora que </w:t>
      </w:r>
      <w:r w:rsidR="00BC77AA" w:rsidRPr="0023353C">
        <w:rPr>
          <w:sz w:val="24"/>
        </w:rPr>
        <w:t>entre sus pretensiones solicita</w:t>
      </w:r>
      <w:r w:rsidRPr="0023353C">
        <w:rPr>
          <w:sz w:val="24"/>
        </w:rPr>
        <w:t xml:space="preserve"> se decrete la nulidad de</w:t>
      </w:r>
      <w:r w:rsidR="00BC77AA" w:rsidRPr="0023353C">
        <w:rPr>
          <w:sz w:val="24"/>
        </w:rPr>
        <w:t xml:space="preserve"> la actuación, considera la Corporación</w:t>
      </w:r>
      <w:r w:rsidRPr="0023353C">
        <w:rPr>
          <w:sz w:val="24"/>
        </w:rPr>
        <w:t xml:space="preserve"> necesario entrar a resolver</w:t>
      </w:r>
      <w:r w:rsidR="00BC77AA" w:rsidRPr="0023353C">
        <w:rPr>
          <w:sz w:val="24"/>
        </w:rPr>
        <w:t xml:space="preserve"> en primer término acerca de la viabilidad de esa petición, </w:t>
      </w:r>
      <w:r w:rsidR="00FC179A" w:rsidRPr="0023353C">
        <w:rPr>
          <w:sz w:val="24"/>
        </w:rPr>
        <w:t xml:space="preserve">toda vez que de avizorarse irregularidad </w:t>
      </w:r>
      <w:r w:rsidR="00BC77AA" w:rsidRPr="0023353C">
        <w:rPr>
          <w:sz w:val="24"/>
        </w:rPr>
        <w:t xml:space="preserve">sustancial </w:t>
      </w:r>
      <w:r w:rsidR="00FC179A" w:rsidRPr="0023353C">
        <w:rPr>
          <w:sz w:val="24"/>
        </w:rPr>
        <w:t xml:space="preserve">alguna en el procedimiento </w:t>
      </w:r>
      <w:r w:rsidR="00BC77AA" w:rsidRPr="0023353C">
        <w:rPr>
          <w:sz w:val="24"/>
        </w:rPr>
        <w:t xml:space="preserve">se tornaría </w:t>
      </w:r>
      <w:r w:rsidR="00FC179A" w:rsidRPr="0023353C">
        <w:rPr>
          <w:sz w:val="24"/>
        </w:rPr>
        <w:t>inocu</w:t>
      </w:r>
      <w:r w:rsidR="00335329" w:rsidRPr="0023353C">
        <w:rPr>
          <w:sz w:val="24"/>
        </w:rPr>
        <w:t>o</w:t>
      </w:r>
      <w:r w:rsidR="00FC179A" w:rsidRPr="0023353C">
        <w:rPr>
          <w:sz w:val="24"/>
        </w:rPr>
        <w:t xml:space="preserve"> ingresar en el estudio de fondo del asunto.</w:t>
      </w:r>
    </w:p>
    <w:p w:rsidR="00DF0EE0" w:rsidRPr="0023353C" w:rsidRDefault="00DF0EE0" w:rsidP="0023353C">
      <w:pPr>
        <w:spacing w:line="276" w:lineRule="auto"/>
        <w:rPr>
          <w:sz w:val="24"/>
        </w:rPr>
      </w:pPr>
    </w:p>
    <w:p w:rsidR="00EF0270" w:rsidRPr="0023353C" w:rsidRDefault="00F16639" w:rsidP="0023353C">
      <w:pPr>
        <w:spacing w:line="276" w:lineRule="auto"/>
        <w:rPr>
          <w:sz w:val="24"/>
        </w:rPr>
      </w:pPr>
      <w:r w:rsidRPr="0023353C">
        <w:rPr>
          <w:sz w:val="24"/>
        </w:rPr>
        <w:t>Debemos partir por señalar que e</w:t>
      </w:r>
      <w:r w:rsidR="00DF0EE0" w:rsidRPr="0023353C">
        <w:rPr>
          <w:sz w:val="24"/>
        </w:rPr>
        <w:t xml:space="preserve">l motivo de censura por parte de la defensa contra la </w:t>
      </w:r>
      <w:r w:rsidR="0096450A" w:rsidRPr="0023353C">
        <w:rPr>
          <w:sz w:val="24"/>
        </w:rPr>
        <w:t xml:space="preserve">providencia </w:t>
      </w:r>
      <w:r w:rsidR="00DF0EE0" w:rsidRPr="0023353C">
        <w:rPr>
          <w:sz w:val="24"/>
        </w:rPr>
        <w:t xml:space="preserve">adoptada por </w:t>
      </w:r>
      <w:r w:rsidR="00EF0270" w:rsidRPr="0023353C">
        <w:rPr>
          <w:sz w:val="24"/>
        </w:rPr>
        <w:t>la</w:t>
      </w:r>
      <w:r w:rsidR="00DF0EE0" w:rsidRPr="0023353C">
        <w:rPr>
          <w:sz w:val="24"/>
        </w:rPr>
        <w:t xml:space="preserve"> juez de primer nivel, se centra básicamente en l</w:t>
      </w:r>
      <w:r w:rsidR="00BA5B82" w:rsidRPr="0023353C">
        <w:rPr>
          <w:sz w:val="24"/>
        </w:rPr>
        <w:t>a no concesión de la rebaja a</w:t>
      </w:r>
      <w:r w:rsidR="00703A58" w:rsidRPr="0023353C">
        <w:rPr>
          <w:sz w:val="24"/>
        </w:rPr>
        <w:t xml:space="preserve"> la</w:t>
      </w:r>
      <w:r w:rsidR="00BA5B82" w:rsidRPr="0023353C">
        <w:rPr>
          <w:sz w:val="24"/>
        </w:rPr>
        <w:t xml:space="preserve"> que se haría merecedor su cliente por la aceptación de cargos, </w:t>
      </w:r>
      <w:r w:rsidR="00563DFF" w:rsidRPr="0023353C">
        <w:rPr>
          <w:sz w:val="24"/>
        </w:rPr>
        <w:t xml:space="preserve">ya que </w:t>
      </w:r>
      <w:r w:rsidR="00BA5B82" w:rsidRPr="0023353C">
        <w:rPr>
          <w:sz w:val="24"/>
        </w:rPr>
        <w:t xml:space="preserve">de haber tenido </w:t>
      </w:r>
      <w:r w:rsidR="00C50A31" w:rsidRPr="0023353C">
        <w:rPr>
          <w:sz w:val="24"/>
        </w:rPr>
        <w:t xml:space="preserve">ocasión </w:t>
      </w:r>
      <w:r w:rsidR="00BA5B82" w:rsidRPr="0023353C">
        <w:rPr>
          <w:sz w:val="24"/>
        </w:rPr>
        <w:t xml:space="preserve">de conocer en debida forma el </w:t>
      </w:r>
      <w:r w:rsidR="00EF0270" w:rsidRPr="0023353C">
        <w:rPr>
          <w:sz w:val="24"/>
        </w:rPr>
        <w:t>mo</w:t>
      </w:r>
      <w:r w:rsidR="00563DFF" w:rsidRPr="0023353C">
        <w:rPr>
          <w:sz w:val="24"/>
        </w:rPr>
        <w:t xml:space="preserve">nto de los dineros hurtados, hubiera podido </w:t>
      </w:r>
      <w:r w:rsidR="00EF0270" w:rsidRPr="0023353C">
        <w:rPr>
          <w:sz w:val="24"/>
        </w:rPr>
        <w:t xml:space="preserve">proceder a </w:t>
      </w:r>
      <w:r w:rsidR="00335329" w:rsidRPr="0023353C">
        <w:rPr>
          <w:sz w:val="24"/>
        </w:rPr>
        <w:t xml:space="preserve">su devolución y </w:t>
      </w:r>
      <w:r w:rsidR="00EF0270" w:rsidRPr="0023353C">
        <w:rPr>
          <w:sz w:val="24"/>
        </w:rPr>
        <w:t>repara</w:t>
      </w:r>
      <w:r w:rsidR="00335329" w:rsidRPr="0023353C">
        <w:rPr>
          <w:sz w:val="24"/>
        </w:rPr>
        <w:t>ción</w:t>
      </w:r>
      <w:r w:rsidR="00EF0270" w:rsidRPr="0023353C">
        <w:rPr>
          <w:sz w:val="24"/>
        </w:rPr>
        <w:t xml:space="preserve"> a </w:t>
      </w:r>
      <w:r w:rsidR="00BA5B82" w:rsidRPr="0023353C">
        <w:rPr>
          <w:sz w:val="24"/>
        </w:rPr>
        <w:t xml:space="preserve">la víctima, de lo cual no existió claridad en </w:t>
      </w:r>
      <w:r w:rsidR="00C50A31" w:rsidRPr="0023353C">
        <w:rPr>
          <w:sz w:val="24"/>
        </w:rPr>
        <w:t>este caso</w:t>
      </w:r>
      <w:r w:rsidR="00BA5B82" w:rsidRPr="0023353C">
        <w:rPr>
          <w:sz w:val="24"/>
        </w:rPr>
        <w:t xml:space="preserve">. </w:t>
      </w:r>
    </w:p>
    <w:p w:rsidR="00F16639" w:rsidRPr="0023353C" w:rsidRDefault="00F16639" w:rsidP="0023353C">
      <w:pPr>
        <w:spacing w:line="276" w:lineRule="auto"/>
        <w:rPr>
          <w:sz w:val="24"/>
        </w:rPr>
      </w:pPr>
    </w:p>
    <w:p w:rsidR="00F16639" w:rsidRPr="0023353C" w:rsidRDefault="00563DFF" w:rsidP="0023353C">
      <w:pPr>
        <w:spacing w:line="276" w:lineRule="auto"/>
        <w:rPr>
          <w:sz w:val="24"/>
        </w:rPr>
      </w:pPr>
      <w:r w:rsidRPr="0023353C">
        <w:rPr>
          <w:sz w:val="24"/>
        </w:rPr>
        <w:t>Para el Tribunal es claro que en efecto existe una inconsistencia en las sumas que se asegura fueron materia de apropiación, porque una cosa es la consignada en el fallo de condena y otra la que</w:t>
      </w:r>
      <w:r w:rsidR="00F16639" w:rsidRPr="0023353C">
        <w:rPr>
          <w:sz w:val="24"/>
        </w:rPr>
        <w:t xml:space="preserve"> </w:t>
      </w:r>
      <w:r w:rsidR="00335329" w:rsidRPr="0023353C">
        <w:rPr>
          <w:sz w:val="24"/>
        </w:rPr>
        <w:t xml:space="preserve">adujo </w:t>
      </w:r>
      <w:r w:rsidR="00F16639" w:rsidRPr="0023353C">
        <w:rPr>
          <w:sz w:val="24"/>
        </w:rPr>
        <w:t>la Fiscalía</w:t>
      </w:r>
      <w:r w:rsidRPr="0023353C">
        <w:rPr>
          <w:sz w:val="24"/>
        </w:rPr>
        <w:t xml:space="preserve"> en documento, con lo cual, se cercenó la posibilidad al acusado de poder hacer efectiva una reparación temprana a efectos de consolidar su pretensión punitiva favorable por medio de una terminación anticipada del proceso</w:t>
      </w:r>
      <w:r w:rsidR="00F16639" w:rsidRPr="0023353C">
        <w:rPr>
          <w:sz w:val="24"/>
        </w:rPr>
        <w:t>.</w:t>
      </w:r>
    </w:p>
    <w:p w:rsidR="00F16639" w:rsidRPr="0023353C" w:rsidRDefault="00F16639" w:rsidP="0023353C">
      <w:pPr>
        <w:spacing w:line="276" w:lineRule="auto"/>
        <w:rPr>
          <w:sz w:val="24"/>
        </w:rPr>
      </w:pPr>
    </w:p>
    <w:p w:rsidR="00FC179A" w:rsidRPr="0023353C" w:rsidRDefault="00D4272D" w:rsidP="0023353C">
      <w:pPr>
        <w:spacing w:line="276" w:lineRule="auto"/>
        <w:rPr>
          <w:sz w:val="24"/>
        </w:rPr>
      </w:pPr>
      <w:r w:rsidRPr="0023353C">
        <w:rPr>
          <w:sz w:val="24"/>
        </w:rPr>
        <w:t xml:space="preserve">Incluso, en criterio de la Sala </w:t>
      </w:r>
      <w:r w:rsidR="00FC179A" w:rsidRPr="0023353C">
        <w:rPr>
          <w:sz w:val="24"/>
        </w:rPr>
        <w:t>refulge otra</w:t>
      </w:r>
      <w:r w:rsidR="00CE68A5" w:rsidRPr="0023353C">
        <w:rPr>
          <w:sz w:val="24"/>
        </w:rPr>
        <w:t xml:space="preserve"> circunstancia </w:t>
      </w:r>
      <w:r w:rsidR="00FC179A" w:rsidRPr="0023353C">
        <w:rPr>
          <w:sz w:val="24"/>
        </w:rPr>
        <w:t>incluso de mayor connota</w:t>
      </w:r>
      <w:r w:rsidRPr="0023353C">
        <w:rPr>
          <w:sz w:val="24"/>
        </w:rPr>
        <w:t>ción, frente a la cual nada dijo el recurrente</w:t>
      </w:r>
      <w:r w:rsidR="00FC179A" w:rsidRPr="0023353C">
        <w:rPr>
          <w:sz w:val="24"/>
        </w:rPr>
        <w:t xml:space="preserve"> pero que se aprecia de la revisión de los registros de</w:t>
      </w:r>
      <w:r w:rsidRPr="0023353C">
        <w:rPr>
          <w:sz w:val="24"/>
        </w:rPr>
        <w:t xml:space="preserve"> la actuación, y es lo atinente</w:t>
      </w:r>
      <w:r w:rsidR="00FC179A" w:rsidRPr="0023353C">
        <w:rPr>
          <w:sz w:val="24"/>
        </w:rPr>
        <w:t xml:space="preserve"> a que en </w:t>
      </w:r>
      <w:r w:rsidRPr="0023353C">
        <w:rPr>
          <w:sz w:val="24"/>
        </w:rPr>
        <w:t>al momento de dársele traslado al señor</w:t>
      </w:r>
      <w:r w:rsidR="007F1F08" w:rsidRPr="0023353C">
        <w:rPr>
          <w:sz w:val="24"/>
        </w:rPr>
        <w:t xml:space="preserve"> </w:t>
      </w:r>
      <w:r w:rsidR="00C908A5">
        <w:rPr>
          <w:b/>
          <w:sz w:val="20"/>
          <w:szCs w:val="22"/>
        </w:rPr>
        <w:t>OPL</w:t>
      </w:r>
      <w:r w:rsidR="00FC179A" w:rsidRPr="0023353C">
        <w:rPr>
          <w:sz w:val="24"/>
        </w:rPr>
        <w:t xml:space="preserve"> </w:t>
      </w:r>
      <w:r w:rsidR="007F1F08" w:rsidRPr="0023353C">
        <w:rPr>
          <w:sz w:val="24"/>
        </w:rPr>
        <w:t>del escrito de acusación</w:t>
      </w:r>
      <w:r w:rsidRPr="0023353C">
        <w:rPr>
          <w:sz w:val="24"/>
        </w:rPr>
        <w:t>,</w:t>
      </w:r>
      <w:r w:rsidR="007F1F08" w:rsidRPr="0023353C">
        <w:rPr>
          <w:sz w:val="24"/>
        </w:rPr>
        <w:t xml:space="preserve"> </w:t>
      </w:r>
      <w:r w:rsidR="00FC179A" w:rsidRPr="0023353C">
        <w:rPr>
          <w:sz w:val="24"/>
        </w:rPr>
        <w:t xml:space="preserve">no se le hicieron las advertencias relativas al </w:t>
      </w:r>
      <w:r w:rsidR="00FC179A" w:rsidRPr="0023353C">
        <w:rPr>
          <w:sz w:val="24"/>
        </w:rPr>
        <w:lastRenderedPageBreak/>
        <w:t xml:space="preserve">reintegro </w:t>
      </w:r>
      <w:r w:rsidR="00CE68A5" w:rsidRPr="0023353C">
        <w:rPr>
          <w:sz w:val="24"/>
        </w:rPr>
        <w:t xml:space="preserve">de la suma </w:t>
      </w:r>
      <w:r w:rsidRPr="0023353C">
        <w:rPr>
          <w:sz w:val="24"/>
        </w:rPr>
        <w:t>que se apropió con miras a poder</w:t>
      </w:r>
      <w:r w:rsidR="00FC179A" w:rsidRPr="0023353C">
        <w:rPr>
          <w:sz w:val="24"/>
        </w:rPr>
        <w:t xml:space="preserve"> hacerse </w:t>
      </w:r>
      <w:r w:rsidRPr="0023353C">
        <w:rPr>
          <w:sz w:val="24"/>
        </w:rPr>
        <w:t>merecedor del</w:t>
      </w:r>
      <w:r w:rsidR="007F1F08" w:rsidRPr="0023353C">
        <w:rPr>
          <w:sz w:val="24"/>
        </w:rPr>
        <w:t xml:space="preserve"> descuento punitivo a</w:t>
      </w:r>
      <w:r w:rsidRPr="0023353C">
        <w:rPr>
          <w:sz w:val="24"/>
        </w:rPr>
        <w:t>l que alude el canon 351 CPP por la</w:t>
      </w:r>
      <w:r w:rsidR="007F1F08" w:rsidRPr="0023353C">
        <w:rPr>
          <w:sz w:val="24"/>
        </w:rPr>
        <w:t xml:space="preserve"> aceptación de cargos</w:t>
      </w:r>
      <w:r w:rsidR="00FC179A" w:rsidRPr="0023353C">
        <w:rPr>
          <w:sz w:val="24"/>
        </w:rPr>
        <w:t>.</w:t>
      </w:r>
    </w:p>
    <w:p w:rsidR="007F1F08" w:rsidRPr="0023353C" w:rsidRDefault="007F1F08" w:rsidP="0023353C">
      <w:pPr>
        <w:spacing w:line="276" w:lineRule="auto"/>
        <w:rPr>
          <w:sz w:val="24"/>
        </w:rPr>
      </w:pPr>
    </w:p>
    <w:p w:rsidR="007F1F08" w:rsidRPr="0023353C" w:rsidRDefault="00D4272D" w:rsidP="0023353C">
      <w:pPr>
        <w:spacing w:line="276" w:lineRule="auto"/>
        <w:rPr>
          <w:sz w:val="24"/>
        </w:rPr>
      </w:pPr>
      <w:r w:rsidRPr="0023353C">
        <w:rPr>
          <w:sz w:val="24"/>
        </w:rPr>
        <w:t>En efecto, s</w:t>
      </w:r>
      <w:r w:rsidR="007F1F08" w:rsidRPr="0023353C">
        <w:rPr>
          <w:sz w:val="24"/>
        </w:rPr>
        <w:t xml:space="preserve">urge evidente de la mera lectura del escrito de acusación presentado por  la Fiscalía 19 Local en contra del señor </w:t>
      </w:r>
      <w:r w:rsidR="00C908A5">
        <w:rPr>
          <w:b/>
          <w:sz w:val="20"/>
          <w:szCs w:val="22"/>
        </w:rPr>
        <w:t>OPL</w:t>
      </w:r>
      <w:r w:rsidR="007F1F08" w:rsidRPr="0023353C">
        <w:rPr>
          <w:sz w:val="24"/>
        </w:rPr>
        <w:t xml:space="preserve">, que ninguna </w:t>
      </w:r>
      <w:r w:rsidR="00BF46CB" w:rsidRPr="0023353C">
        <w:rPr>
          <w:sz w:val="24"/>
        </w:rPr>
        <w:t xml:space="preserve">orientación </w:t>
      </w:r>
      <w:r w:rsidR="007F1F08" w:rsidRPr="0023353C">
        <w:rPr>
          <w:sz w:val="24"/>
        </w:rPr>
        <w:t>se</w:t>
      </w:r>
      <w:r w:rsidRPr="0023353C">
        <w:rPr>
          <w:sz w:val="24"/>
        </w:rPr>
        <w:t xml:space="preserve"> le</w:t>
      </w:r>
      <w:r w:rsidR="007F1F08" w:rsidRPr="0023353C">
        <w:rPr>
          <w:sz w:val="24"/>
        </w:rPr>
        <w:t xml:space="preserve"> </w:t>
      </w:r>
      <w:r w:rsidR="00BF46CB" w:rsidRPr="0023353C">
        <w:rPr>
          <w:sz w:val="24"/>
        </w:rPr>
        <w:t xml:space="preserve">dio </w:t>
      </w:r>
      <w:r w:rsidR="007F1F08" w:rsidRPr="0023353C">
        <w:rPr>
          <w:sz w:val="24"/>
        </w:rPr>
        <w:t>al mismo en torno a que para la validez de la aceptación de cargos debía acreditar el pago del 50% del incremento patrimonial obtenido con la ilicitud y garantizar el pago de lo restante.</w:t>
      </w:r>
      <w:r w:rsidR="001B382B" w:rsidRPr="0023353C">
        <w:rPr>
          <w:sz w:val="24"/>
        </w:rPr>
        <w:t xml:space="preserve"> Y la situación se torna más compleja aún, cuando fue la misma funcionaria de instancia la que se percató de tal anomalía al momento de la audiencia del artículo 447 CPP, y la ocurrencia de esa omisión fue corroborada en el acto por la delegada fiscal, a consecuencia de lo cual se le preguntó al acusado que si persistía en el allanamiento a los cargos no obstante que por no restituir lo apropiado no tendría derecho a descuento alguno, y este expresó que sí. Posteriormente se sobrevino el fallo de condena por medio del cual se hizo uso de la admisión unilateral de los cargos pero sin recibir el sentenciado en contraprestación rebaja alguna de pena.  </w:t>
      </w:r>
    </w:p>
    <w:p w:rsidR="007F1F08" w:rsidRPr="0023353C" w:rsidRDefault="007F1F08" w:rsidP="0023353C">
      <w:pPr>
        <w:spacing w:line="276" w:lineRule="auto"/>
        <w:rPr>
          <w:sz w:val="24"/>
        </w:rPr>
      </w:pPr>
    </w:p>
    <w:p w:rsidR="00B601D5" w:rsidRPr="0023353C" w:rsidRDefault="001B382B" w:rsidP="0023353C">
      <w:pPr>
        <w:spacing w:line="276" w:lineRule="auto"/>
        <w:rPr>
          <w:sz w:val="24"/>
        </w:rPr>
      </w:pPr>
      <w:r w:rsidRPr="0023353C">
        <w:rPr>
          <w:sz w:val="24"/>
        </w:rPr>
        <w:t xml:space="preserve">Todo lo anterior tuvo ocurrencia porque la sentenciadora acogió el fallo conocido </w:t>
      </w:r>
      <w:r w:rsidR="00B601D5" w:rsidRPr="0023353C">
        <w:rPr>
          <w:sz w:val="24"/>
        </w:rPr>
        <w:t>como el de los hermanos “Nule”, esto es</w:t>
      </w:r>
      <w:r w:rsidRPr="0023353C">
        <w:rPr>
          <w:sz w:val="24"/>
        </w:rPr>
        <w:t>,</w:t>
      </w:r>
      <w:r w:rsidR="00B601D5" w:rsidRPr="0023353C">
        <w:rPr>
          <w:sz w:val="24"/>
        </w:rPr>
        <w:t xml:space="preserve"> la se</w:t>
      </w:r>
      <w:r w:rsidRPr="0023353C">
        <w:rPr>
          <w:sz w:val="24"/>
        </w:rPr>
        <w:t>ntencia CSJ SP, sept. 27 2017, r</w:t>
      </w:r>
      <w:r w:rsidR="00B601D5" w:rsidRPr="0023353C">
        <w:rPr>
          <w:sz w:val="24"/>
        </w:rPr>
        <w:t>ad. 39831, en el cual la Alta Corporación recogió la tesis que ha</w:t>
      </w:r>
      <w:r w:rsidRPr="0023353C">
        <w:rPr>
          <w:sz w:val="24"/>
        </w:rPr>
        <w:t>sta ese momento se traía y</w:t>
      </w:r>
      <w:r w:rsidR="00B601D5" w:rsidRPr="0023353C">
        <w:rPr>
          <w:sz w:val="24"/>
        </w:rPr>
        <w:t xml:space="preserve"> ratificó la sentada primigeniamente en sentencias CSJ SP, 23 Ago. 2005, Rad. 21954 y CSJ SP, 14 dic. 2005, Rad. 21347</w:t>
      </w:r>
      <w:r w:rsidRPr="0023353C">
        <w:rPr>
          <w:sz w:val="24"/>
        </w:rPr>
        <w:t>, a consecuencia de</w:t>
      </w:r>
      <w:r w:rsidR="00B601D5" w:rsidRPr="0023353C">
        <w:rPr>
          <w:sz w:val="24"/>
        </w:rPr>
        <w:t xml:space="preserve"> cual a partir de ese </w:t>
      </w:r>
      <w:r w:rsidR="00CE68A5" w:rsidRPr="0023353C">
        <w:rPr>
          <w:sz w:val="24"/>
        </w:rPr>
        <w:t xml:space="preserve">instante </w:t>
      </w:r>
      <w:r w:rsidR="00B601D5" w:rsidRPr="0023353C">
        <w:rPr>
          <w:sz w:val="24"/>
        </w:rPr>
        <w:t>habría de entenderse que:</w:t>
      </w:r>
    </w:p>
    <w:p w:rsidR="003B0326" w:rsidRPr="0023353C" w:rsidRDefault="003B0326" w:rsidP="0023353C">
      <w:pPr>
        <w:spacing w:line="276" w:lineRule="auto"/>
        <w:rPr>
          <w:rFonts w:ascii="Bookman Old Style" w:hAnsi="Bookman Old Style" w:cs="Arial"/>
          <w:sz w:val="24"/>
          <w:szCs w:val="28"/>
          <w:lang w:val="es-MX"/>
        </w:rPr>
      </w:pPr>
    </w:p>
    <w:p w:rsidR="003B0326" w:rsidRPr="00830DC8" w:rsidRDefault="003B0326" w:rsidP="00830DC8">
      <w:pPr>
        <w:spacing w:line="240" w:lineRule="auto"/>
        <w:ind w:left="426" w:right="420"/>
        <w:rPr>
          <w:rFonts w:ascii="Verdana" w:hAnsi="Verdana" w:cs="Arial"/>
          <w:iCs/>
          <w:sz w:val="20"/>
          <w:szCs w:val="20"/>
        </w:rPr>
      </w:pPr>
      <w:r w:rsidRPr="00830DC8">
        <w:rPr>
          <w:rFonts w:ascii="Verdana" w:hAnsi="Verdana" w:cs="Arial"/>
          <w:iCs/>
          <w:sz w:val="20"/>
          <w:szCs w:val="20"/>
        </w:rPr>
        <w:t>“«…</w:t>
      </w:r>
      <w:r w:rsidR="00830DC8" w:rsidRPr="00830DC8">
        <w:rPr>
          <w:rFonts w:ascii="Verdana" w:hAnsi="Verdana" w:cs="Arial"/>
          <w:iCs/>
          <w:sz w:val="20"/>
          <w:szCs w:val="20"/>
        </w:rPr>
        <w:t xml:space="preserve"> </w:t>
      </w:r>
      <w:r w:rsidRPr="00830DC8">
        <w:rPr>
          <w:rFonts w:ascii="Verdana" w:hAnsi="Verdana" w:cs="Arial"/>
          <w:iCs/>
          <w:sz w:val="20"/>
          <w:szCs w:val="20"/>
        </w:rPr>
        <w:t>la circunstancia de que el allanamiento a cargos en el Procedimiento Penal de 2004 sea una modalidad de acuerdo, traduce que en aquellos casos en los que el sujeto activo de la conducta punible hubiese obtenido un incremento patrimonial fruto de la misma, debe reintegrar como mínimo el 50% de su valor y asegurar el recaudo del remanente para que el Fiscal pueda negociar y acordar con él, conforme lo ordena el artículo 349 de esa codificación.</w:t>
      </w:r>
    </w:p>
    <w:p w:rsidR="003B0326" w:rsidRPr="00830DC8" w:rsidRDefault="003B0326" w:rsidP="00830DC8">
      <w:pPr>
        <w:spacing w:line="240" w:lineRule="auto"/>
        <w:ind w:left="426" w:right="420" w:firstLine="709"/>
        <w:rPr>
          <w:rFonts w:ascii="Verdana" w:hAnsi="Verdana" w:cs="Arial"/>
          <w:iCs/>
          <w:sz w:val="20"/>
          <w:szCs w:val="20"/>
        </w:rPr>
      </w:pPr>
    </w:p>
    <w:p w:rsidR="003B0326" w:rsidRPr="00830DC8" w:rsidRDefault="003B0326" w:rsidP="00830DC8">
      <w:pPr>
        <w:spacing w:line="240" w:lineRule="auto"/>
        <w:ind w:left="426" w:right="420"/>
        <w:rPr>
          <w:rFonts w:ascii="Verdana" w:hAnsi="Verdana" w:cs="Arial"/>
          <w:sz w:val="20"/>
          <w:szCs w:val="20"/>
        </w:rPr>
      </w:pPr>
      <w:r w:rsidRPr="00830DC8">
        <w:rPr>
          <w:rFonts w:ascii="Verdana" w:hAnsi="Verdana" w:cs="Arial"/>
          <w:iCs/>
          <w:sz w:val="20"/>
          <w:szCs w:val="20"/>
        </w:rPr>
        <w:t>Una interpretación contraria, orientada a respaldar la idea de que aceptar los cargos en la audiencia de formulación de imputación exonera de ese requisito para acceder a la rebaja de pena, riñe con los fines declarados en el artículo 348 ibídem y específicamente con los de obtener pronta y cumplida justicia, activar la solución de los conflictos sociales que genera el delito y propiciar la reparación de los perjuicios ocasionados con él, a cuyo cumplimiento apunta la medida de política criminal anotada,  de impedir negociaciones y acuerdos cuando no se reintegre el incremento patrimonial logrado con la conducta punible».</w:t>
      </w:r>
    </w:p>
    <w:p w:rsidR="003B0326" w:rsidRPr="00830DC8" w:rsidRDefault="003B0326" w:rsidP="00830DC8">
      <w:pPr>
        <w:spacing w:line="240" w:lineRule="auto"/>
        <w:ind w:left="426" w:right="420"/>
        <w:rPr>
          <w:rFonts w:ascii="Verdana" w:hAnsi="Verdana" w:cs="Arial"/>
          <w:sz w:val="20"/>
          <w:szCs w:val="20"/>
          <w:lang w:val="es-MX"/>
        </w:rPr>
      </w:pPr>
    </w:p>
    <w:p w:rsidR="003B0326" w:rsidRPr="00830DC8" w:rsidRDefault="003B0326" w:rsidP="00830DC8">
      <w:pPr>
        <w:spacing w:line="240" w:lineRule="auto"/>
        <w:ind w:left="426" w:right="420"/>
        <w:rPr>
          <w:rFonts w:ascii="Verdana" w:hAnsi="Verdana" w:cs="Arial"/>
          <w:sz w:val="20"/>
          <w:szCs w:val="20"/>
          <w:lang w:val="es-MX"/>
        </w:rPr>
      </w:pPr>
      <w:r w:rsidRPr="00830DC8">
        <w:rPr>
          <w:rFonts w:ascii="Verdana" w:hAnsi="Verdana" w:cs="Arial"/>
          <w:sz w:val="20"/>
          <w:szCs w:val="20"/>
          <w:lang w:val="es-MX"/>
        </w:rPr>
        <w:t>5.- Ahora bien, esta postura, fundada en reconocer que el allanamiento a cargos es una modalidad de acuerdo y no una simple manifestación unilateral de sometimiento a  la justicia por parte del imputado o acusado sin contraprestación ninguna, le implica necesariamente a la Corte el tener que precisar que, a más del deber de acreditar el cumplimiento de los presupuestos exigidos por el artículo 349 del CPP, el escrito de acusación, para que pueda servir de fundamento del fallo anticipado que del juez de conocimiento fiscalía y defensa demandan, debe incluir el acuerdo a que estas partes llegaron en relación con las consecuencias jurídicas de la conducta objeto de imputación”</w:t>
      </w:r>
    </w:p>
    <w:p w:rsidR="003B0326" w:rsidRPr="0023353C" w:rsidRDefault="003B0326" w:rsidP="0023353C">
      <w:pPr>
        <w:spacing w:line="276" w:lineRule="auto"/>
        <w:rPr>
          <w:sz w:val="24"/>
        </w:rPr>
      </w:pPr>
    </w:p>
    <w:p w:rsidR="00C70CF4" w:rsidRPr="0023353C" w:rsidRDefault="00C70CF4" w:rsidP="0023353C">
      <w:pPr>
        <w:spacing w:line="276" w:lineRule="auto"/>
        <w:rPr>
          <w:sz w:val="24"/>
        </w:rPr>
      </w:pPr>
      <w:r w:rsidRPr="0023353C">
        <w:rPr>
          <w:sz w:val="24"/>
        </w:rPr>
        <w:t xml:space="preserve">No controvierte la Sala la postura de la juzgadora de instancia en el sentido que para acceder al descuento de pena se tenía que demostrar la exigencia de la restitución de al menos la mitad de lo apropiado y la garantía del pago del remanente, lo que se cuestiona aquí es el hecho de haberse aceptado el allanamiento a cargos en tan </w:t>
      </w:r>
      <w:r w:rsidRPr="0023353C">
        <w:rPr>
          <w:sz w:val="24"/>
        </w:rPr>
        <w:lastRenderedPageBreak/>
        <w:t xml:space="preserve">particulares condiciones, como quiera que si no estaban dados los requisitos para ello, lo que correspondía era su inadmisión y la continuidad del rito ordinario.  </w:t>
      </w:r>
    </w:p>
    <w:p w:rsidR="00C70CF4" w:rsidRPr="0023353C" w:rsidRDefault="00C70CF4" w:rsidP="0023353C">
      <w:pPr>
        <w:spacing w:line="276" w:lineRule="auto"/>
        <w:rPr>
          <w:sz w:val="24"/>
        </w:rPr>
      </w:pPr>
    </w:p>
    <w:p w:rsidR="002943D0" w:rsidRPr="0023353C" w:rsidRDefault="002943D0" w:rsidP="0023353C">
      <w:pPr>
        <w:spacing w:line="276" w:lineRule="auto"/>
        <w:rPr>
          <w:sz w:val="24"/>
        </w:rPr>
      </w:pPr>
      <w:r w:rsidRPr="0023353C">
        <w:rPr>
          <w:sz w:val="24"/>
        </w:rPr>
        <w:t>Lo sucedido e</w:t>
      </w:r>
      <w:r w:rsidR="00CA7333" w:rsidRPr="0023353C">
        <w:rPr>
          <w:sz w:val="24"/>
        </w:rPr>
        <w:t>nmarca una irregularidad</w:t>
      </w:r>
      <w:r w:rsidRPr="0023353C">
        <w:rPr>
          <w:sz w:val="24"/>
        </w:rPr>
        <w:t xml:space="preserve"> sustancial</w:t>
      </w:r>
      <w:r w:rsidR="00CA7333" w:rsidRPr="0023353C">
        <w:rPr>
          <w:sz w:val="24"/>
        </w:rPr>
        <w:t xml:space="preserve"> que contraviene el derecho al debido proceso que le asiste </w:t>
      </w:r>
      <w:r w:rsidRPr="0023353C">
        <w:rPr>
          <w:sz w:val="24"/>
        </w:rPr>
        <w:t>al acusado, como quiera que al procesado no se le había puesto de presente en forma previa a su allanamiento la obligación que tenía de resarcir al afectado, con el aditamento que en el caso concreto ni siquiera se tenía claro a cuánto ascendía el monto de dicha apropiación a efectos de permitir que el procesado procediera en el sentido esperado.</w:t>
      </w:r>
    </w:p>
    <w:p w:rsidR="002943D0" w:rsidRPr="0023353C" w:rsidRDefault="002943D0" w:rsidP="0023353C">
      <w:pPr>
        <w:spacing w:line="276" w:lineRule="auto"/>
        <w:rPr>
          <w:sz w:val="24"/>
        </w:rPr>
      </w:pPr>
    </w:p>
    <w:p w:rsidR="0007207B" w:rsidRPr="0023353C" w:rsidRDefault="00173EDE" w:rsidP="0023353C">
      <w:pPr>
        <w:spacing w:line="276" w:lineRule="auto"/>
        <w:rPr>
          <w:sz w:val="24"/>
        </w:rPr>
      </w:pPr>
      <w:r w:rsidRPr="0023353C">
        <w:rPr>
          <w:sz w:val="24"/>
        </w:rPr>
        <w:t xml:space="preserve">El yerro en que se ha incurrido parte incluso de una premisa lógica, porque es apenas entendible que quien </w:t>
      </w:r>
      <w:r w:rsidR="0007207B" w:rsidRPr="0023353C">
        <w:rPr>
          <w:sz w:val="24"/>
        </w:rPr>
        <w:t>acepta su responsabilidad en la comisión de una ilicitud, lo hace, salvo las excepciones</w:t>
      </w:r>
      <w:r w:rsidRPr="0023353C">
        <w:rPr>
          <w:sz w:val="24"/>
        </w:rPr>
        <w:t xml:space="preserve"> expresamente fijadas en la</w:t>
      </w:r>
      <w:r w:rsidR="0007207B" w:rsidRPr="0023353C">
        <w:rPr>
          <w:sz w:val="24"/>
        </w:rPr>
        <w:t xml:space="preserve"> ley, con la intención de recibir</w:t>
      </w:r>
      <w:r w:rsidRPr="0023353C">
        <w:rPr>
          <w:sz w:val="24"/>
        </w:rPr>
        <w:t xml:space="preserve"> a ca</w:t>
      </w:r>
      <w:r w:rsidR="00D029B2">
        <w:rPr>
          <w:sz w:val="24"/>
        </w:rPr>
        <w:t>m</w:t>
      </w:r>
      <w:r w:rsidRPr="0023353C">
        <w:rPr>
          <w:sz w:val="24"/>
        </w:rPr>
        <w:t xml:space="preserve">bio una </w:t>
      </w:r>
      <w:r w:rsidR="0007207B" w:rsidRPr="0023353C">
        <w:rPr>
          <w:sz w:val="24"/>
        </w:rPr>
        <w:t>determinada contraprestación</w:t>
      </w:r>
      <w:r w:rsidR="00F57DEB" w:rsidRPr="0023353C">
        <w:rPr>
          <w:sz w:val="24"/>
        </w:rPr>
        <w:t xml:space="preserve"> o prebenda</w:t>
      </w:r>
      <w:r w:rsidR="0007207B" w:rsidRPr="0023353C">
        <w:rPr>
          <w:sz w:val="24"/>
        </w:rPr>
        <w:t>, que en este caso sería un</w:t>
      </w:r>
      <w:r w:rsidRPr="0023353C">
        <w:rPr>
          <w:sz w:val="24"/>
        </w:rPr>
        <w:t xml:space="preserve"> descuento importante de la sanción a imponer. E</w:t>
      </w:r>
      <w:r w:rsidR="0007207B" w:rsidRPr="0023353C">
        <w:rPr>
          <w:sz w:val="24"/>
        </w:rPr>
        <w:t xml:space="preserve">n ese orden, si la </w:t>
      </w:r>
      <w:r w:rsidR="00BE268A" w:rsidRPr="0023353C">
        <w:rPr>
          <w:sz w:val="24"/>
        </w:rPr>
        <w:t xml:space="preserve">funcionaria de primer nivel vislumbró </w:t>
      </w:r>
      <w:r w:rsidRPr="0023353C">
        <w:rPr>
          <w:sz w:val="24"/>
        </w:rPr>
        <w:t>en esa ocasión que el acusado</w:t>
      </w:r>
      <w:r w:rsidR="0007207B" w:rsidRPr="0023353C">
        <w:rPr>
          <w:sz w:val="24"/>
        </w:rPr>
        <w:t xml:space="preserve"> </w:t>
      </w:r>
      <w:r w:rsidR="00C908A5">
        <w:rPr>
          <w:b/>
          <w:sz w:val="20"/>
          <w:szCs w:val="22"/>
        </w:rPr>
        <w:t>OPL</w:t>
      </w:r>
      <w:r w:rsidR="0007207B" w:rsidRPr="0023353C">
        <w:rPr>
          <w:sz w:val="24"/>
        </w:rPr>
        <w:t xml:space="preserve"> no</w:t>
      </w:r>
      <w:r w:rsidRPr="0023353C">
        <w:rPr>
          <w:sz w:val="24"/>
        </w:rPr>
        <w:t xml:space="preserve"> podía acceder a </w:t>
      </w:r>
      <w:r w:rsidR="0007207B" w:rsidRPr="0023353C">
        <w:rPr>
          <w:sz w:val="24"/>
        </w:rPr>
        <w:t>beneficio alguno</w:t>
      </w:r>
      <w:r w:rsidRPr="0023353C">
        <w:rPr>
          <w:sz w:val="24"/>
        </w:rPr>
        <w:t xml:space="preserve"> por no haber acatado las exigencias legales para ello</w:t>
      </w:r>
      <w:r w:rsidR="0007207B" w:rsidRPr="0023353C">
        <w:rPr>
          <w:sz w:val="24"/>
        </w:rPr>
        <w:t xml:space="preserve">, su actividad no debió </w:t>
      </w:r>
      <w:r w:rsidRPr="0023353C">
        <w:rPr>
          <w:sz w:val="24"/>
        </w:rPr>
        <w:t xml:space="preserve">orientarse a dar validez a toda costa a ese allanamiento a cargos, sino por el contrario, a declarar su invalidez y a </w:t>
      </w:r>
      <w:r w:rsidR="0007207B" w:rsidRPr="0023353C">
        <w:rPr>
          <w:sz w:val="24"/>
        </w:rPr>
        <w:t>disponer que se continuara con el trámite</w:t>
      </w:r>
      <w:r w:rsidRPr="0023353C">
        <w:rPr>
          <w:sz w:val="24"/>
        </w:rPr>
        <w:t xml:space="preserve"> ordinario de ley, o,</w:t>
      </w:r>
      <w:r w:rsidR="0007207B" w:rsidRPr="0023353C">
        <w:rPr>
          <w:sz w:val="24"/>
        </w:rPr>
        <w:t xml:space="preserve"> en su defecto,</w:t>
      </w:r>
      <w:r w:rsidRPr="0023353C">
        <w:rPr>
          <w:sz w:val="24"/>
        </w:rPr>
        <w:t xml:space="preserve"> como aquí ocurrirá, a</w:t>
      </w:r>
      <w:r w:rsidR="00651704" w:rsidRPr="0023353C">
        <w:rPr>
          <w:sz w:val="24"/>
        </w:rPr>
        <w:t xml:space="preserve"> decretar la nulidad a partir del traslado del </w:t>
      </w:r>
      <w:r w:rsidR="0007207B" w:rsidRPr="0023353C">
        <w:rPr>
          <w:sz w:val="24"/>
        </w:rPr>
        <w:t>escrito acusatorio para que</w:t>
      </w:r>
      <w:r w:rsidR="00651704" w:rsidRPr="0023353C">
        <w:rPr>
          <w:sz w:val="24"/>
        </w:rPr>
        <w:t xml:space="preserve"> la Fiscalía no solo aclarara el tema de la cuantía de la apropiación, sino que se le advirtiera en forma previa a la admisión de los cargos que debía restituir al menos la mitad del incremento patrimonial obtenido y la garantía del pago del remanente.</w:t>
      </w:r>
    </w:p>
    <w:p w:rsidR="0007207B" w:rsidRPr="0023353C" w:rsidRDefault="0007207B" w:rsidP="0023353C">
      <w:pPr>
        <w:spacing w:line="276" w:lineRule="auto"/>
        <w:rPr>
          <w:sz w:val="24"/>
        </w:rPr>
      </w:pPr>
    </w:p>
    <w:p w:rsidR="00255C46" w:rsidRPr="0023353C" w:rsidRDefault="00255C46" w:rsidP="0023353C">
      <w:pPr>
        <w:spacing w:line="276" w:lineRule="auto"/>
        <w:rPr>
          <w:sz w:val="24"/>
        </w:rPr>
      </w:pPr>
      <w:r w:rsidRPr="0023353C">
        <w:rPr>
          <w:sz w:val="24"/>
        </w:rPr>
        <w:t>Con respecto a esa anomalía en la cuantía de lo apropiado, hay lugar a precisar lo siguiente:</w:t>
      </w:r>
    </w:p>
    <w:p w:rsidR="00255C46" w:rsidRPr="0023353C" w:rsidRDefault="00255C46" w:rsidP="0023353C">
      <w:pPr>
        <w:spacing w:line="276" w:lineRule="auto"/>
        <w:rPr>
          <w:sz w:val="24"/>
        </w:rPr>
      </w:pPr>
    </w:p>
    <w:p w:rsidR="00B075B7" w:rsidRPr="0023353C" w:rsidRDefault="00255C46" w:rsidP="0023353C">
      <w:pPr>
        <w:spacing w:line="276" w:lineRule="auto"/>
        <w:rPr>
          <w:sz w:val="24"/>
        </w:rPr>
      </w:pPr>
      <w:r w:rsidRPr="0023353C">
        <w:rPr>
          <w:sz w:val="24"/>
        </w:rPr>
        <w:t xml:space="preserve">Se debe </w:t>
      </w:r>
      <w:r w:rsidR="007F1F08" w:rsidRPr="0023353C">
        <w:rPr>
          <w:sz w:val="24"/>
        </w:rPr>
        <w:t>empezar por decirse que</w:t>
      </w:r>
      <w:r w:rsidRPr="0023353C">
        <w:rPr>
          <w:sz w:val="24"/>
        </w:rPr>
        <w:t xml:space="preserve"> el hecho de</w:t>
      </w:r>
      <w:r w:rsidR="007F1F08" w:rsidRPr="0023353C">
        <w:rPr>
          <w:sz w:val="24"/>
        </w:rPr>
        <w:t xml:space="preserve"> </w:t>
      </w:r>
      <w:r w:rsidR="00B075B7" w:rsidRPr="0023353C">
        <w:rPr>
          <w:sz w:val="24"/>
        </w:rPr>
        <w:t xml:space="preserve">establecer el monto del apoderamiento efectuado y de los perjuicios que se le </w:t>
      </w:r>
      <w:r w:rsidRPr="0023353C">
        <w:rPr>
          <w:sz w:val="24"/>
        </w:rPr>
        <w:t>ocasionaron a la víctima, tiene</w:t>
      </w:r>
      <w:r w:rsidR="00B075B7" w:rsidRPr="0023353C">
        <w:rPr>
          <w:sz w:val="24"/>
        </w:rPr>
        <w:t xml:space="preserve"> relevancia </w:t>
      </w:r>
      <w:r w:rsidR="00F57DEB" w:rsidRPr="0023353C">
        <w:rPr>
          <w:sz w:val="24"/>
        </w:rPr>
        <w:t xml:space="preserve">no solo en el evento de aceptar cargos, cuyo pago le </w:t>
      </w:r>
      <w:r w:rsidR="00B075B7" w:rsidRPr="0023353C">
        <w:rPr>
          <w:sz w:val="24"/>
        </w:rPr>
        <w:t>garantiza al procesado</w:t>
      </w:r>
      <w:r w:rsidR="00CE68A5" w:rsidRPr="0023353C">
        <w:rPr>
          <w:sz w:val="24"/>
        </w:rPr>
        <w:t xml:space="preserve"> obtener </w:t>
      </w:r>
      <w:r w:rsidR="00FC179A" w:rsidRPr="0023353C">
        <w:rPr>
          <w:sz w:val="24"/>
        </w:rPr>
        <w:t xml:space="preserve">los descuentos que ello amerita, </w:t>
      </w:r>
      <w:r w:rsidR="00F57DEB" w:rsidRPr="0023353C">
        <w:rPr>
          <w:sz w:val="24"/>
        </w:rPr>
        <w:t xml:space="preserve">sino también que </w:t>
      </w:r>
      <w:r w:rsidR="00B075B7" w:rsidRPr="0023353C">
        <w:rPr>
          <w:sz w:val="24"/>
        </w:rPr>
        <w:t>conforme l</w:t>
      </w:r>
      <w:r w:rsidRPr="0023353C">
        <w:rPr>
          <w:sz w:val="24"/>
        </w:rPr>
        <w:t>o plasmado en el canon 269 C.P.</w:t>
      </w:r>
      <w:r w:rsidR="00B075B7" w:rsidRPr="0023353C">
        <w:rPr>
          <w:sz w:val="24"/>
        </w:rPr>
        <w:t xml:space="preserve"> </w:t>
      </w:r>
      <w:r w:rsidR="00F57DEB" w:rsidRPr="0023353C">
        <w:rPr>
          <w:sz w:val="24"/>
        </w:rPr>
        <w:t xml:space="preserve">podría </w:t>
      </w:r>
      <w:r w:rsidR="00B075B7" w:rsidRPr="0023353C">
        <w:rPr>
          <w:sz w:val="24"/>
        </w:rPr>
        <w:t>acceder</w:t>
      </w:r>
      <w:r w:rsidRPr="0023353C">
        <w:rPr>
          <w:sz w:val="24"/>
        </w:rPr>
        <w:t>, adicionalmente,</w:t>
      </w:r>
      <w:r w:rsidR="00B075B7" w:rsidRPr="0023353C">
        <w:rPr>
          <w:sz w:val="24"/>
        </w:rPr>
        <w:t xml:space="preserve"> a la reducción de pena</w:t>
      </w:r>
      <w:r w:rsidR="007F1F08" w:rsidRPr="0023353C">
        <w:rPr>
          <w:sz w:val="24"/>
        </w:rPr>
        <w:t xml:space="preserve"> </w:t>
      </w:r>
      <w:r w:rsidR="00B075B7" w:rsidRPr="0023353C">
        <w:rPr>
          <w:sz w:val="24"/>
        </w:rPr>
        <w:t>contemplada</w:t>
      </w:r>
      <w:r w:rsidR="007F1F08" w:rsidRPr="0023353C">
        <w:rPr>
          <w:sz w:val="24"/>
        </w:rPr>
        <w:t xml:space="preserve"> por indemniza</w:t>
      </w:r>
      <w:r w:rsidRPr="0023353C">
        <w:rPr>
          <w:sz w:val="24"/>
        </w:rPr>
        <w:t>ción integral de perjuicios.</w:t>
      </w:r>
    </w:p>
    <w:p w:rsidR="00FC179A" w:rsidRPr="0023353C" w:rsidRDefault="00FC179A" w:rsidP="0023353C">
      <w:pPr>
        <w:spacing w:line="276" w:lineRule="auto"/>
        <w:rPr>
          <w:sz w:val="24"/>
        </w:rPr>
      </w:pPr>
    </w:p>
    <w:p w:rsidR="00F57DEB" w:rsidRPr="0023353C" w:rsidRDefault="00F57DEB" w:rsidP="0023353C">
      <w:pPr>
        <w:spacing w:line="276" w:lineRule="auto"/>
        <w:rPr>
          <w:sz w:val="24"/>
        </w:rPr>
      </w:pPr>
      <w:r w:rsidRPr="0023353C">
        <w:rPr>
          <w:sz w:val="24"/>
        </w:rPr>
        <w:t>De ello, lo único que</w:t>
      </w:r>
      <w:r w:rsidR="0073458E" w:rsidRPr="0023353C">
        <w:rPr>
          <w:sz w:val="24"/>
        </w:rPr>
        <w:t xml:space="preserve"> se aprecia es que durante la audiencia del 447 CPP, el </w:t>
      </w:r>
      <w:r w:rsidR="00DF647E" w:rsidRPr="0023353C">
        <w:rPr>
          <w:sz w:val="24"/>
        </w:rPr>
        <w:t xml:space="preserve">señor GUSTAVO GÓMEZ </w:t>
      </w:r>
      <w:r w:rsidR="0073458E" w:rsidRPr="0023353C">
        <w:rPr>
          <w:sz w:val="24"/>
        </w:rPr>
        <w:t>tasó e</w:t>
      </w:r>
      <w:r w:rsidRPr="0023353C">
        <w:rPr>
          <w:sz w:val="24"/>
        </w:rPr>
        <w:t>l monto de la indemnización de perjuicios en dos millones de pesos</w:t>
      </w:r>
      <w:r w:rsidR="0073458E" w:rsidRPr="0023353C">
        <w:rPr>
          <w:sz w:val="24"/>
        </w:rPr>
        <w:t xml:space="preserve"> </w:t>
      </w:r>
      <w:r w:rsidR="0073458E" w:rsidRPr="00D029B2">
        <w:rPr>
          <w:rFonts w:ascii="Verdana" w:hAnsi="Verdana"/>
          <w:sz w:val="22"/>
          <w:szCs w:val="20"/>
        </w:rPr>
        <w:t xml:space="preserve">-aunque </w:t>
      </w:r>
      <w:r w:rsidR="00DF647E" w:rsidRPr="00D029B2">
        <w:rPr>
          <w:rFonts w:ascii="Verdana" w:hAnsi="Verdana"/>
          <w:sz w:val="22"/>
          <w:szCs w:val="20"/>
        </w:rPr>
        <w:t xml:space="preserve">al parecer </w:t>
      </w:r>
      <w:r w:rsidR="0073458E" w:rsidRPr="00D029B2">
        <w:rPr>
          <w:rFonts w:ascii="Verdana" w:hAnsi="Verdana"/>
          <w:sz w:val="22"/>
          <w:szCs w:val="20"/>
        </w:rPr>
        <w:t>posteriormente redujo tal cifra-</w:t>
      </w:r>
      <w:r w:rsidRPr="0023353C">
        <w:rPr>
          <w:sz w:val="24"/>
        </w:rPr>
        <w:t xml:space="preserve">, pero en lo atinente a la suma sustraída por el señor </w:t>
      </w:r>
      <w:r w:rsidR="00C908A5">
        <w:rPr>
          <w:b/>
          <w:sz w:val="20"/>
          <w:szCs w:val="22"/>
        </w:rPr>
        <w:t>OPL</w:t>
      </w:r>
      <w:r w:rsidRPr="0023353C">
        <w:rPr>
          <w:sz w:val="24"/>
        </w:rPr>
        <w:t xml:space="preserve">, a la hora de ahora </w:t>
      </w:r>
      <w:r w:rsidR="00A5313F" w:rsidRPr="0023353C">
        <w:rPr>
          <w:sz w:val="24"/>
        </w:rPr>
        <w:t>no existe certeza al respecto</w:t>
      </w:r>
      <w:r w:rsidRPr="0023353C">
        <w:rPr>
          <w:sz w:val="24"/>
        </w:rPr>
        <w:t xml:space="preserve"> no ob</w:t>
      </w:r>
      <w:r w:rsidR="00A5313F" w:rsidRPr="0023353C">
        <w:rPr>
          <w:sz w:val="24"/>
        </w:rPr>
        <w:t>stante que el órgano persecutor</w:t>
      </w:r>
      <w:r w:rsidRPr="0023353C">
        <w:rPr>
          <w:sz w:val="24"/>
        </w:rPr>
        <w:t xml:space="preserve"> muy seguramente contaba con información de la entidad financiera de la cual se realizaron los retiros con la tarjeta débito del afectado, pero aun así no aportó datos claros </w:t>
      </w:r>
      <w:r w:rsidR="00A5313F" w:rsidRPr="0023353C">
        <w:rPr>
          <w:sz w:val="24"/>
        </w:rPr>
        <w:t>y concretos sobre ese particular</w:t>
      </w:r>
      <w:r w:rsidRPr="0023353C">
        <w:rPr>
          <w:sz w:val="24"/>
        </w:rPr>
        <w:t>.</w:t>
      </w:r>
    </w:p>
    <w:p w:rsidR="00F57DEB" w:rsidRPr="0023353C" w:rsidRDefault="00F57DEB" w:rsidP="0023353C">
      <w:pPr>
        <w:spacing w:line="276" w:lineRule="auto"/>
        <w:rPr>
          <w:sz w:val="24"/>
        </w:rPr>
      </w:pPr>
    </w:p>
    <w:p w:rsidR="007710FF" w:rsidRPr="0023353C" w:rsidRDefault="00CE68A5" w:rsidP="0023353C">
      <w:pPr>
        <w:spacing w:line="276" w:lineRule="auto"/>
        <w:rPr>
          <w:sz w:val="24"/>
        </w:rPr>
      </w:pPr>
      <w:r w:rsidRPr="0023353C">
        <w:rPr>
          <w:sz w:val="24"/>
        </w:rPr>
        <w:t xml:space="preserve">Véase que </w:t>
      </w:r>
      <w:r w:rsidR="00F57DEB" w:rsidRPr="0023353C">
        <w:rPr>
          <w:sz w:val="24"/>
        </w:rPr>
        <w:t>en la narración fáctica plasmada en el escrito de acusación, nada se dijo en relación con la suma de la cual se apoderó el procesado, y aunque se trató de verificar lo relatado en las audiencias preliminares</w:t>
      </w:r>
      <w:r w:rsidR="000E0B7F" w:rsidRPr="0023353C">
        <w:rPr>
          <w:sz w:val="24"/>
        </w:rPr>
        <w:t>, el registro no está</w:t>
      </w:r>
      <w:r w:rsidR="007710FF" w:rsidRPr="0023353C">
        <w:rPr>
          <w:sz w:val="24"/>
        </w:rPr>
        <w:t xml:space="preserve"> completo </w:t>
      </w:r>
      <w:r w:rsidR="007710FF" w:rsidRPr="00830DC8">
        <w:rPr>
          <w:rFonts w:ascii="Verdana" w:hAnsi="Verdana"/>
          <w:sz w:val="20"/>
          <w:szCs w:val="20"/>
        </w:rPr>
        <w:t xml:space="preserve">-al parecer por </w:t>
      </w:r>
      <w:r w:rsidR="007710FF" w:rsidRPr="00830DC8">
        <w:rPr>
          <w:rFonts w:ascii="Verdana" w:hAnsi="Verdana"/>
          <w:sz w:val="20"/>
          <w:szCs w:val="20"/>
        </w:rPr>
        <w:lastRenderedPageBreak/>
        <w:t>un problema en el sistema de grabación-</w:t>
      </w:r>
      <w:r w:rsidR="000E0B7F" w:rsidRPr="0023353C">
        <w:rPr>
          <w:sz w:val="24"/>
        </w:rPr>
        <w:t>; pero</w:t>
      </w:r>
      <w:r w:rsidR="00EB6CE8" w:rsidRPr="0023353C">
        <w:rPr>
          <w:sz w:val="24"/>
        </w:rPr>
        <w:t xml:space="preserve"> de</w:t>
      </w:r>
      <w:r w:rsidR="007710FF" w:rsidRPr="0023353C">
        <w:rPr>
          <w:sz w:val="24"/>
        </w:rPr>
        <w:t xml:space="preserve"> la lectura del acta pertinente</w:t>
      </w:r>
      <w:r w:rsidR="0073458E" w:rsidRPr="0023353C">
        <w:rPr>
          <w:rStyle w:val="Refdenotaalpie"/>
          <w:rFonts w:ascii="Tahoma" w:hAnsi="Tahoma" w:cs="Tahoma"/>
          <w:sz w:val="24"/>
        </w:rPr>
        <w:footnoteReference w:id="1"/>
      </w:r>
      <w:r w:rsidR="007710FF" w:rsidRPr="0023353C">
        <w:rPr>
          <w:sz w:val="24"/>
        </w:rPr>
        <w:t xml:space="preserve">, más concretamente de lo narrado durante la audiencia de legalización de captura, se desprende que </w:t>
      </w:r>
      <w:r w:rsidR="00BF46CB" w:rsidRPr="0023353C">
        <w:rPr>
          <w:sz w:val="24"/>
        </w:rPr>
        <w:t>allí se hizo alusión</w:t>
      </w:r>
      <w:r w:rsidR="000E0B7F" w:rsidRPr="0023353C">
        <w:rPr>
          <w:sz w:val="24"/>
        </w:rPr>
        <w:t xml:space="preserve"> a </w:t>
      </w:r>
      <w:r w:rsidR="00BF46CB" w:rsidRPr="0023353C">
        <w:rPr>
          <w:sz w:val="24"/>
        </w:rPr>
        <w:t xml:space="preserve">que los </w:t>
      </w:r>
      <w:r w:rsidR="007710FF" w:rsidRPr="0023353C">
        <w:rPr>
          <w:sz w:val="24"/>
        </w:rPr>
        <w:t xml:space="preserve">retiros efectuados por </w:t>
      </w:r>
      <w:r w:rsidR="00C908A5">
        <w:rPr>
          <w:b/>
          <w:sz w:val="20"/>
          <w:szCs w:val="22"/>
        </w:rPr>
        <w:t>OPL</w:t>
      </w:r>
      <w:r w:rsidR="000E0B7F" w:rsidRPr="0023353C">
        <w:rPr>
          <w:sz w:val="24"/>
        </w:rPr>
        <w:t>, ascendieron a $15´000.000.</w:t>
      </w:r>
      <w:r w:rsidR="007710FF" w:rsidRPr="0023353C">
        <w:rPr>
          <w:sz w:val="24"/>
        </w:rPr>
        <w:t>oo</w:t>
      </w:r>
      <w:r w:rsidR="000E0B7F" w:rsidRPr="0023353C">
        <w:rPr>
          <w:sz w:val="24"/>
        </w:rPr>
        <w:t>.</w:t>
      </w:r>
    </w:p>
    <w:p w:rsidR="007710FF" w:rsidRPr="0023353C" w:rsidRDefault="007710FF" w:rsidP="0023353C">
      <w:pPr>
        <w:spacing w:line="276" w:lineRule="auto"/>
        <w:rPr>
          <w:sz w:val="24"/>
        </w:rPr>
      </w:pPr>
    </w:p>
    <w:p w:rsidR="007710FF" w:rsidRPr="0023353C" w:rsidRDefault="007710FF" w:rsidP="0023353C">
      <w:pPr>
        <w:spacing w:line="276" w:lineRule="auto"/>
        <w:rPr>
          <w:sz w:val="24"/>
        </w:rPr>
      </w:pPr>
      <w:r w:rsidRPr="0023353C">
        <w:rPr>
          <w:sz w:val="24"/>
        </w:rPr>
        <w:t>Ya en curso de la audiencia de individualización de pena y sentencia</w:t>
      </w:r>
      <w:r w:rsidR="00E2104E" w:rsidRPr="0023353C">
        <w:rPr>
          <w:sz w:val="24"/>
        </w:rPr>
        <w:t xml:space="preserve"> celebrada en mayo 16 de 2019</w:t>
      </w:r>
      <w:r w:rsidRPr="0023353C">
        <w:rPr>
          <w:sz w:val="24"/>
        </w:rPr>
        <w:t>, al no apreciar</w:t>
      </w:r>
      <w:r w:rsidR="00F227BE" w:rsidRPr="0023353C">
        <w:rPr>
          <w:sz w:val="24"/>
        </w:rPr>
        <w:t>se diáfana por parte de la</w:t>
      </w:r>
      <w:r w:rsidRPr="0023353C">
        <w:rPr>
          <w:sz w:val="24"/>
        </w:rPr>
        <w:t xml:space="preserve"> a quo</w:t>
      </w:r>
      <w:r w:rsidR="00F227BE" w:rsidRPr="0023353C">
        <w:rPr>
          <w:sz w:val="24"/>
        </w:rPr>
        <w:t xml:space="preserve"> tal situación</w:t>
      </w:r>
      <w:r w:rsidRPr="0023353C">
        <w:rPr>
          <w:sz w:val="24"/>
        </w:rPr>
        <w:t xml:space="preserve">, </w:t>
      </w:r>
      <w:r w:rsidR="0073458E" w:rsidRPr="0023353C">
        <w:rPr>
          <w:sz w:val="24"/>
        </w:rPr>
        <w:t xml:space="preserve">lo que incluso la motivó a llamar </w:t>
      </w:r>
      <w:r w:rsidRPr="0023353C">
        <w:rPr>
          <w:sz w:val="24"/>
        </w:rPr>
        <w:t>la atención de la representante del órgano persecutor,</w:t>
      </w:r>
      <w:r w:rsidR="00F227BE" w:rsidRPr="0023353C">
        <w:rPr>
          <w:sz w:val="24"/>
        </w:rPr>
        <w:t xml:space="preserve"> se indagó al directo afectado acerca d</w:t>
      </w:r>
      <w:r w:rsidRPr="0023353C">
        <w:rPr>
          <w:sz w:val="24"/>
        </w:rPr>
        <w:t>el m</w:t>
      </w:r>
      <w:r w:rsidR="00F227BE" w:rsidRPr="0023353C">
        <w:rPr>
          <w:sz w:val="24"/>
        </w:rPr>
        <w:t>onto del dinero hurtado,  quien</w:t>
      </w:r>
      <w:r w:rsidRPr="0023353C">
        <w:rPr>
          <w:sz w:val="24"/>
        </w:rPr>
        <w:t xml:space="preserve"> </w:t>
      </w:r>
      <w:r w:rsidR="00F227BE" w:rsidRPr="0023353C">
        <w:rPr>
          <w:sz w:val="24"/>
        </w:rPr>
        <w:t>“</w:t>
      </w:r>
      <w:r w:rsidRPr="0023353C">
        <w:rPr>
          <w:sz w:val="24"/>
        </w:rPr>
        <w:t>en honor a la verdad</w:t>
      </w:r>
      <w:r w:rsidR="00F227BE" w:rsidRPr="0023353C">
        <w:rPr>
          <w:sz w:val="24"/>
        </w:rPr>
        <w:t>”</w:t>
      </w:r>
      <w:r w:rsidR="000604C0" w:rsidRPr="0023353C">
        <w:rPr>
          <w:sz w:val="24"/>
        </w:rPr>
        <w:t xml:space="preserve"> </w:t>
      </w:r>
      <w:r w:rsidR="000604C0" w:rsidRPr="00830DC8">
        <w:rPr>
          <w:rFonts w:ascii="Verdana" w:hAnsi="Verdana"/>
          <w:sz w:val="20"/>
          <w:szCs w:val="20"/>
        </w:rPr>
        <w:t>-</w:t>
      </w:r>
      <w:r w:rsidRPr="00830DC8">
        <w:rPr>
          <w:rFonts w:ascii="Verdana" w:hAnsi="Verdana"/>
          <w:sz w:val="20"/>
          <w:szCs w:val="20"/>
        </w:rPr>
        <w:t>como así lo manifestó</w:t>
      </w:r>
      <w:r w:rsidR="000604C0" w:rsidRPr="00830DC8">
        <w:rPr>
          <w:rFonts w:ascii="Verdana" w:hAnsi="Verdana"/>
          <w:sz w:val="20"/>
          <w:szCs w:val="20"/>
        </w:rPr>
        <w:t>-</w:t>
      </w:r>
      <w:r w:rsidR="0073458E" w:rsidRPr="00830DC8">
        <w:rPr>
          <w:sz w:val="28"/>
        </w:rPr>
        <w:t xml:space="preserve"> </w:t>
      </w:r>
      <w:r w:rsidR="0073458E" w:rsidRPr="0023353C">
        <w:rPr>
          <w:sz w:val="24"/>
        </w:rPr>
        <w:t xml:space="preserve">dijo </w:t>
      </w:r>
      <w:r w:rsidRPr="0023353C">
        <w:rPr>
          <w:sz w:val="24"/>
        </w:rPr>
        <w:t xml:space="preserve">no saber, pero tasó lo hurtado en unos </w:t>
      </w:r>
      <w:r w:rsidR="0073458E" w:rsidRPr="0023353C">
        <w:rPr>
          <w:sz w:val="24"/>
        </w:rPr>
        <w:t>$</w:t>
      </w:r>
      <w:r w:rsidRPr="0023353C">
        <w:rPr>
          <w:sz w:val="24"/>
        </w:rPr>
        <w:t xml:space="preserve">20´000.000,oo, </w:t>
      </w:r>
      <w:r w:rsidR="00F227BE" w:rsidRPr="0023353C">
        <w:rPr>
          <w:sz w:val="24"/>
        </w:rPr>
        <w:t xml:space="preserve">y $2´000.000 de perjuicios. A continuación, </w:t>
      </w:r>
      <w:r w:rsidRPr="0023353C">
        <w:rPr>
          <w:sz w:val="24"/>
        </w:rPr>
        <w:t xml:space="preserve">luego de que la delegada fiscal hiciera cuentas con la </w:t>
      </w:r>
      <w:r w:rsidR="00CE68A5" w:rsidRPr="0023353C">
        <w:rPr>
          <w:sz w:val="24"/>
        </w:rPr>
        <w:t xml:space="preserve">documentación obrante en </w:t>
      </w:r>
      <w:r w:rsidR="00F227BE" w:rsidRPr="0023353C">
        <w:rPr>
          <w:sz w:val="24"/>
        </w:rPr>
        <w:t>el expediente,</w:t>
      </w:r>
      <w:r w:rsidR="00C50A31" w:rsidRPr="0023353C">
        <w:rPr>
          <w:sz w:val="24"/>
        </w:rPr>
        <w:t xml:space="preserve"> </w:t>
      </w:r>
      <w:r w:rsidRPr="0023353C">
        <w:rPr>
          <w:sz w:val="24"/>
        </w:rPr>
        <w:t xml:space="preserve">indicó de manera contundente </w:t>
      </w:r>
      <w:r w:rsidR="00AC5157" w:rsidRPr="0023353C">
        <w:rPr>
          <w:sz w:val="24"/>
        </w:rPr>
        <w:t>que el valor era de $21’216.795.</w:t>
      </w:r>
      <w:r w:rsidRPr="0023353C">
        <w:rPr>
          <w:sz w:val="24"/>
        </w:rPr>
        <w:t>50.</w:t>
      </w:r>
    </w:p>
    <w:p w:rsidR="007710FF" w:rsidRPr="0023353C" w:rsidRDefault="007710FF" w:rsidP="0023353C">
      <w:pPr>
        <w:spacing w:line="276" w:lineRule="auto"/>
        <w:rPr>
          <w:sz w:val="24"/>
        </w:rPr>
      </w:pPr>
    </w:p>
    <w:p w:rsidR="007710FF" w:rsidRPr="0023353C" w:rsidRDefault="007710FF" w:rsidP="0023353C">
      <w:pPr>
        <w:spacing w:line="276" w:lineRule="auto"/>
        <w:rPr>
          <w:sz w:val="24"/>
        </w:rPr>
      </w:pPr>
      <w:r w:rsidRPr="0023353C">
        <w:rPr>
          <w:sz w:val="24"/>
        </w:rPr>
        <w:t>De ese mero recuent</w:t>
      </w:r>
      <w:r w:rsidR="000604C0" w:rsidRPr="0023353C">
        <w:rPr>
          <w:sz w:val="24"/>
        </w:rPr>
        <w:t>o</w:t>
      </w:r>
      <w:r w:rsidRPr="0023353C">
        <w:rPr>
          <w:sz w:val="24"/>
        </w:rPr>
        <w:t xml:space="preserve">, </w:t>
      </w:r>
      <w:r w:rsidR="00A93060" w:rsidRPr="0023353C">
        <w:rPr>
          <w:sz w:val="24"/>
        </w:rPr>
        <w:t xml:space="preserve">se pueden apreciar </w:t>
      </w:r>
      <w:r w:rsidRPr="0023353C">
        <w:rPr>
          <w:sz w:val="24"/>
        </w:rPr>
        <w:t>tres cifras distintas</w:t>
      </w:r>
      <w:r w:rsidR="00A93060" w:rsidRPr="0023353C">
        <w:rPr>
          <w:sz w:val="24"/>
        </w:rPr>
        <w:t xml:space="preserve"> no obstante que</w:t>
      </w:r>
      <w:r w:rsidRPr="0023353C">
        <w:rPr>
          <w:sz w:val="24"/>
        </w:rPr>
        <w:t xml:space="preserve"> la Fiscalía </w:t>
      </w:r>
      <w:r w:rsidR="00A93060" w:rsidRPr="0023353C">
        <w:rPr>
          <w:sz w:val="24"/>
        </w:rPr>
        <w:t>cuando</w:t>
      </w:r>
      <w:r w:rsidRPr="0023353C">
        <w:rPr>
          <w:sz w:val="24"/>
        </w:rPr>
        <w:t xml:space="preserve"> recolectó ele</w:t>
      </w:r>
      <w:r w:rsidR="00A93060" w:rsidRPr="0023353C">
        <w:rPr>
          <w:sz w:val="24"/>
        </w:rPr>
        <w:t>mentos materiales probatorios a ese respecto</w:t>
      </w:r>
      <w:r w:rsidRPr="0023353C">
        <w:rPr>
          <w:sz w:val="24"/>
        </w:rPr>
        <w:t xml:space="preserve"> d</w:t>
      </w:r>
      <w:r w:rsidR="00A93060" w:rsidRPr="0023353C">
        <w:rPr>
          <w:sz w:val="24"/>
        </w:rPr>
        <w:t>ebía tener certeza acerca del monto de lo sustraído, lo cual ten</w:t>
      </w:r>
      <w:r w:rsidRPr="0023353C">
        <w:rPr>
          <w:sz w:val="24"/>
        </w:rPr>
        <w:t>ía evidente</w:t>
      </w:r>
      <w:r w:rsidR="00A93060" w:rsidRPr="0023353C">
        <w:rPr>
          <w:sz w:val="24"/>
        </w:rPr>
        <w:t>s</w:t>
      </w:r>
      <w:r w:rsidRPr="0023353C">
        <w:rPr>
          <w:sz w:val="24"/>
        </w:rPr>
        <w:t xml:space="preserve"> </w:t>
      </w:r>
      <w:r w:rsidR="00A93060" w:rsidRPr="0023353C">
        <w:rPr>
          <w:sz w:val="24"/>
        </w:rPr>
        <w:t>repercusiones procesales</w:t>
      </w:r>
      <w:r w:rsidRPr="0023353C">
        <w:rPr>
          <w:sz w:val="24"/>
        </w:rPr>
        <w:t>.</w:t>
      </w:r>
    </w:p>
    <w:p w:rsidR="007710FF" w:rsidRPr="0023353C" w:rsidRDefault="007710FF" w:rsidP="0023353C">
      <w:pPr>
        <w:spacing w:line="276" w:lineRule="auto"/>
        <w:rPr>
          <w:sz w:val="24"/>
        </w:rPr>
      </w:pPr>
    </w:p>
    <w:p w:rsidR="007710FF" w:rsidRPr="0023353C" w:rsidRDefault="00A93060" w:rsidP="0023353C">
      <w:pPr>
        <w:spacing w:line="276" w:lineRule="auto"/>
        <w:rPr>
          <w:sz w:val="24"/>
        </w:rPr>
      </w:pPr>
      <w:r w:rsidRPr="0023353C">
        <w:rPr>
          <w:sz w:val="24"/>
        </w:rPr>
        <w:t>Pero como si lo anterior</w:t>
      </w:r>
      <w:r w:rsidR="007710FF" w:rsidRPr="0023353C">
        <w:rPr>
          <w:sz w:val="24"/>
        </w:rPr>
        <w:t xml:space="preserve"> fuera poco, el apoderado del procesado, como así lo señaló en su recurso, una vez emitida la sentencia se dirigió a la Fiscalía a </w:t>
      </w:r>
      <w:r w:rsidRPr="0023353C">
        <w:rPr>
          <w:sz w:val="24"/>
        </w:rPr>
        <w:t>verificar cuá</w:t>
      </w:r>
      <w:r w:rsidR="007710FF" w:rsidRPr="0023353C">
        <w:rPr>
          <w:sz w:val="24"/>
        </w:rPr>
        <w:t>l era</w:t>
      </w:r>
      <w:r w:rsidRPr="0023353C">
        <w:rPr>
          <w:sz w:val="24"/>
        </w:rPr>
        <w:t xml:space="preserve"> en realidad</w:t>
      </w:r>
      <w:r w:rsidR="007710FF" w:rsidRPr="0023353C">
        <w:rPr>
          <w:sz w:val="24"/>
        </w:rPr>
        <w:t xml:space="preserve"> el valor total de lo apropiado por su cliente</w:t>
      </w:r>
      <w:r w:rsidRPr="0023353C">
        <w:rPr>
          <w:sz w:val="24"/>
        </w:rPr>
        <w:t>,</w:t>
      </w:r>
      <w:r w:rsidR="007710FF" w:rsidRPr="0023353C">
        <w:rPr>
          <w:sz w:val="24"/>
        </w:rPr>
        <w:t xml:space="preserve"> y allí se le </w:t>
      </w:r>
      <w:r w:rsidR="000604C0" w:rsidRPr="0023353C">
        <w:rPr>
          <w:sz w:val="24"/>
        </w:rPr>
        <w:t xml:space="preserve">expresó </w:t>
      </w:r>
      <w:r w:rsidRPr="0023353C">
        <w:rPr>
          <w:sz w:val="24"/>
        </w:rPr>
        <w:t>que la cifra definitiva era de $13´554.011.</w:t>
      </w:r>
      <w:r w:rsidR="007710FF" w:rsidRPr="0023353C">
        <w:rPr>
          <w:sz w:val="24"/>
        </w:rPr>
        <w:t xml:space="preserve">oo, </w:t>
      </w:r>
      <w:r w:rsidRPr="0023353C">
        <w:rPr>
          <w:sz w:val="24"/>
        </w:rPr>
        <w:t>redondeada en $14´000.000.</w:t>
      </w:r>
      <w:r w:rsidR="000604C0" w:rsidRPr="0023353C">
        <w:rPr>
          <w:sz w:val="24"/>
        </w:rPr>
        <w:t xml:space="preserve">oo con perjuicios, </w:t>
      </w:r>
      <w:r w:rsidR="007710FF" w:rsidRPr="0023353C">
        <w:rPr>
          <w:sz w:val="24"/>
        </w:rPr>
        <w:t>de lo cual</w:t>
      </w:r>
      <w:r w:rsidRPr="0023353C">
        <w:rPr>
          <w:sz w:val="24"/>
        </w:rPr>
        <w:t xml:space="preserve"> aseguró la delegada que</w:t>
      </w:r>
      <w:r w:rsidR="007710FF" w:rsidRPr="0023353C">
        <w:rPr>
          <w:sz w:val="24"/>
        </w:rPr>
        <w:t xml:space="preserve"> med</w:t>
      </w:r>
      <w:r w:rsidRPr="0023353C">
        <w:rPr>
          <w:sz w:val="24"/>
        </w:rPr>
        <w:t xml:space="preserve">iante oficio de mayo 11 de 2019 se lo había hecho saber </w:t>
      </w:r>
      <w:r w:rsidR="007710FF" w:rsidRPr="0023353C">
        <w:rPr>
          <w:sz w:val="24"/>
        </w:rPr>
        <w:t>al</w:t>
      </w:r>
      <w:r w:rsidRPr="0023353C">
        <w:rPr>
          <w:sz w:val="24"/>
        </w:rPr>
        <w:t xml:space="preserve"> juzgado de conocimiento</w:t>
      </w:r>
      <w:r w:rsidR="0010716B" w:rsidRPr="0023353C">
        <w:rPr>
          <w:sz w:val="24"/>
        </w:rPr>
        <w:t xml:space="preserve"> con posterioridad a realizarse la audiencia del art. 447 CPP</w:t>
      </w:r>
      <w:r w:rsidR="007710FF" w:rsidRPr="0023353C">
        <w:rPr>
          <w:sz w:val="24"/>
        </w:rPr>
        <w:t>.</w:t>
      </w:r>
      <w:r w:rsidR="008D085F" w:rsidRPr="0023353C">
        <w:rPr>
          <w:sz w:val="24"/>
        </w:rPr>
        <w:t xml:space="preserve"> Según se supo, esa diferencia de $7’662.783.66, correspondía a un cheque que el afectado reconoció haber retirado en forma personal, con lo cual, no podía tomarse en cuenta al momento de consolidar el monto de la apropiación.</w:t>
      </w:r>
      <w:r w:rsidR="00CE2279" w:rsidRPr="0023353C">
        <w:rPr>
          <w:sz w:val="24"/>
        </w:rPr>
        <w:t xml:space="preserve"> E incluso se aclaró en ese mismo documento, que por manifestación del ofendido, ya los perjuicios no los estimaba en 2’000.000.oo como lo había dicho inicialmente, sino en $445.988.16, a efectos de redondear la cifra final en $14’000.000.oo para que cobijara tanto el valor de lo apropiado como los perjuicios.</w:t>
      </w:r>
      <w:r w:rsidR="000F4AE8" w:rsidRPr="0023353C">
        <w:rPr>
          <w:sz w:val="24"/>
        </w:rPr>
        <w:t xml:space="preserve"> Lo extraño, según el defensor recurrente, es que la falladora no hubiera tenido en cuenta ese documento al momento de emitir la sentencia condenatoria.</w:t>
      </w:r>
    </w:p>
    <w:p w:rsidR="007710FF" w:rsidRPr="0023353C" w:rsidRDefault="007710FF" w:rsidP="0023353C">
      <w:pPr>
        <w:spacing w:line="276" w:lineRule="auto"/>
        <w:rPr>
          <w:sz w:val="24"/>
        </w:rPr>
      </w:pPr>
    </w:p>
    <w:p w:rsidR="0024674A" w:rsidRPr="0023353C" w:rsidRDefault="00E44A31" w:rsidP="0023353C">
      <w:pPr>
        <w:spacing w:line="276" w:lineRule="auto"/>
        <w:rPr>
          <w:sz w:val="24"/>
          <w:lang w:val="es-CO"/>
        </w:rPr>
      </w:pPr>
      <w:r w:rsidRPr="0023353C">
        <w:rPr>
          <w:sz w:val="24"/>
        </w:rPr>
        <w:t>En efecto, al hacer una revisión de la carpeta</w:t>
      </w:r>
      <w:r w:rsidR="00E818FC" w:rsidRPr="0023353C">
        <w:rPr>
          <w:rStyle w:val="Refdenotaalpie"/>
          <w:rFonts w:ascii="Tahoma" w:hAnsi="Tahoma" w:cs="Tahoma"/>
          <w:sz w:val="24"/>
        </w:rPr>
        <w:footnoteReference w:id="2"/>
      </w:r>
      <w:r w:rsidR="00486F84" w:rsidRPr="0023353C">
        <w:rPr>
          <w:sz w:val="24"/>
        </w:rPr>
        <w:t>, se encuentra</w:t>
      </w:r>
      <w:r w:rsidRPr="0023353C">
        <w:rPr>
          <w:sz w:val="24"/>
        </w:rPr>
        <w:t xml:space="preserve"> el oficio No. 55 de mayo 16 de 2019, con </w:t>
      </w:r>
      <w:r w:rsidR="00E2104E" w:rsidRPr="0023353C">
        <w:rPr>
          <w:sz w:val="24"/>
        </w:rPr>
        <w:t>f</w:t>
      </w:r>
      <w:r w:rsidR="00486F84" w:rsidRPr="0023353C">
        <w:rPr>
          <w:sz w:val="24"/>
        </w:rPr>
        <w:t>echa de recibido en</w:t>
      </w:r>
      <w:r w:rsidR="00E2104E" w:rsidRPr="0023353C">
        <w:rPr>
          <w:sz w:val="24"/>
        </w:rPr>
        <w:t xml:space="preserve"> mayo 24 de 2014, </w:t>
      </w:r>
      <w:r w:rsidR="00486F84" w:rsidRPr="0023353C">
        <w:rPr>
          <w:sz w:val="24"/>
        </w:rPr>
        <w:t xml:space="preserve">y </w:t>
      </w:r>
      <w:r w:rsidR="00E2104E" w:rsidRPr="0023353C">
        <w:rPr>
          <w:sz w:val="24"/>
        </w:rPr>
        <w:t>suscrito por la Fis</w:t>
      </w:r>
      <w:r w:rsidR="00486F84" w:rsidRPr="0023353C">
        <w:rPr>
          <w:sz w:val="24"/>
        </w:rPr>
        <w:t>cal 13 Local y la víctima, por medio del cual</w:t>
      </w:r>
      <w:r w:rsidR="00E2104E" w:rsidRPr="0023353C">
        <w:rPr>
          <w:sz w:val="24"/>
        </w:rPr>
        <w:t xml:space="preserve"> </w:t>
      </w:r>
      <w:r w:rsidR="00486F84" w:rsidRPr="0023353C">
        <w:rPr>
          <w:sz w:val="24"/>
        </w:rPr>
        <w:t xml:space="preserve">se </w:t>
      </w:r>
      <w:r w:rsidR="00CE68A5" w:rsidRPr="0023353C">
        <w:rPr>
          <w:sz w:val="24"/>
        </w:rPr>
        <w:t xml:space="preserve">le comunica </w:t>
      </w:r>
      <w:r w:rsidR="00E818FC" w:rsidRPr="0023353C">
        <w:rPr>
          <w:sz w:val="24"/>
        </w:rPr>
        <w:t>a la</w:t>
      </w:r>
      <w:r w:rsidR="00486F84" w:rsidRPr="0023353C">
        <w:rPr>
          <w:sz w:val="24"/>
        </w:rPr>
        <w:t xml:space="preserve"> titular del Juzgado</w:t>
      </w:r>
      <w:r w:rsidR="00E818FC" w:rsidRPr="0023353C">
        <w:rPr>
          <w:sz w:val="24"/>
        </w:rPr>
        <w:t xml:space="preserve"> </w:t>
      </w:r>
      <w:r w:rsidR="00E818FC" w:rsidRPr="0023353C">
        <w:rPr>
          <w:sz w:val="24"/>
          <w:lang w:val="es-CO"/>
        </w:rPr>
        <w:t xml:space="preserve">Penal Municipal </w:t>
      </w:r>
      <w:r w:rsidR="0024674A" w:rsidRPr="0023353C">
        <w:rPr>
          <w:sz w:val="24"/>
          <w:lang w:val="es-CO"/>
        </w:rPr>
        <w:t xml:space="preserve">que para dar claridad a la cifra entregada ese mismo día durante la audiencia a </w:t>
      </w:r>
      <w:r w:rsidR="00486F84" w:rsidRPr="0023353C">
        <w:rPr>
          <w:sz w:val="24"/>
          <w:lang w:val="es-CO"/>
        </w:rPr>
        <w:t>la que alude el canon 447 CPP</w:t>
      </w:r>
      <w:r w:rsidR="0024674A" w:rsidRPr="0023353C">
        <w:rPr>
          <w:sz w:val="24"/>
          <w:lang w:val="es-CO"/>
        </w:rPr>
        <w:t>, el monto de la apropia</w:t>
      </w:r>
      <w:r w:rsidR="00486F84" w:rsidRPr="0023353C">
        <w:rPr>
          <w:sz w:val="24"/>
          <w:lang w:val="es-CO"/>
        </w:rPr>
        <w:t>ción correspondía a $13´554.011.</w:t>
      </w:r>
      <w:r w:rsidR="0024674A" w:rsidRPr="0023353C">
        <w:rPr>
          <w:sz w:val="24"/>
          <w:lang w:val="es-CO"/>
        </w:rPr>
        <w:t>84, y además que el afectado tasaba la indemniz</w:t>
      </w:r>
      <w:r w:rsidR="00486F84" w:rsidRPr="0023353C">
        <w:rPr>
          <w:sz w:val="24"/>
          <w:lang w:val="es-CO"/>
        </w:rPr>
        <w:t>ación de perjuicios en $445.988.</w:t>
      </w:r>
      <w:r w:rsidR="0024674A" w:rsidRPr="0023353C">
        <w:rPr>
          <w:sz w:val="24"/>
          <w:lang w:val="es-CO"/>
        </w:rPr>
        <w:t xml:space="preserve">16, para un </w:t>
      </w:r>
      <w:r w:rsidR="00486F84" w:rsidRPr="0023353C">
        <w:rPr>
          <w:sz w:val="24"/>
          <w:lang w:val="es-CO"/>
        </w:rPr>
        <w:t>total de $14`000.000,oo. Y</w:t>
      </w:r>
      <w:r w:rsidR="0024674A" w:rsidRPr="0023353C">
        <w:rPr>
          <w:sz w:val="24"/>
          <w:lang w:val="es-CO"/>
        </w:rPr>
        <w:t xml:space="preserve"> aunque se indicó</w:t>
      </w:r>
      <w:r w:rsidR="00DA4670" w:rsidRPr="0023353C">
        <w:rPr>
          <w:sz w:val="24"/>
          <w:lang w:val="es-CO"/>
        </w:rPr>
        <w:t xml:space="preserve"> en dicho oficio</w:t>
      </w:r>
      <w:r w:rsidR="0024674A" w:rsidRPr="0023353C">
        <w:rPr>
          <w:sz w:val="24"/>
          <w:lang w:val="es-CO"/>
        </w:rPr>
        <w:t xml:space="preserve"> que el apoderado del proc</w:t>
      </w:r>
      <w:r w:rsidR="00DA4670" w:rsidRPr="0023353C">
        <w:rPr>
          <w:sz w:val="24"/>
          <w:lang w:val="es-CO"/>
        </w:rPr>
        <w:t>esado tenía conocimiento de esa</w:t>
      </w:r>
      <w:r w:rsidR="00486F84" w:rsidRPr="0023353C">
        <w:rPr>
          <w:sz w:val="24"/>
          <w:lang w:val="es-CO"/>
        </w:rPr>
        <w:t xml:space="preserve"> situación</w:t>
      </w:r>
      <w:r w:rsidR="0024674A" w:rsidRPr="0023353C">
        <w:rPr>
          <w:sz w:val="24"/>
          <w:lang w:val="es-CO"/>
        </w:rPr>
        <w:t xml:space="preserve">, </w:t>
      </w:r>
      <w:r w:rsidR="00BF46CB" w:rsidRPr="0023353C">
        <w:rPr>
          <w:sz w:val="24"/>
          <w:lang w:val="es-CO"/>
        </w:rPr>
        <w:t>emerge</w:t>
      </w:r>
      <w:r w:rsidR="00486F84" w:rsidRPr="0023353C">
        <w:rPr>
          <w:sz w:val="24"/>
          <w:lang w:val="es-CO"/>
        </w:rPr>
        <w:t xml:space="preserve"> la ausencia de su rúbrica ese </w:t>
      </w:r>
      <w:r w:rsidR="0024674A" w:rsidRPr="0023353C">
        <w:rPr>
          <w:sz w:val="24"/>
          <w:lang w:val="es-CO"/>
        </w:rPr>
        <w:t>documento</w:t>
      </w:r>
      <w:r w:rsidR="00486F84" w:rsidRPr="0023353C">
        <w:rPr>
          <w:sz w:val="24"/>
          <w:lang w:val="es-CO"/>
        </w:rPr>
        <w:t>, y según</w:t>
      </w:r>
      <w:r w:rsidR="000604C0" w:rsidRPr="0023353C">
        <w:rPr>
          <w:sz w:val="24"/>
          <w:lang w:val="es-CO"/>
        </w:rPr>
        <w:t xml:space="preserve"> lo plasmado </w:t>
      </w:r>
      <w:r w:rsidR="003915E7" w:rsidRPr="0023353C">
        <w:rPr>
          <w:sz w:val="24"/>
          <w:lang w:val="es-CO"/>
        </w:rPr>
        <w:t xml:space="preserve">en el recurso, el profesional del </w:t>
      </w:r>
      <w:r w:rsidR="003915E7" w:rsidRPr="0023353C">
        <w:rPr>
          <w:sz w:val="24"/>
          <w:lang w:val="es-CO"/>
        </w:rPr>
        <w:lastRenderedPageBreak/>
        <w:t>derecho solo</w:t>
      </w:r>
      <w:r w:rsidR="000604C0" w:rsidRPr="0023353C">
        <w:rPr>
          <w:sz w:val="24"/>
          <w:lang w:val="es-CO"/>
        </w:rPr>
        <w:t xml:space="preserve"> se percató de ello con posterioridad a habérsele dado traslado de la sentencia</w:t>
      </w:r>
      <w:r w:rsidR="0024674A" w:rsidRPr="0023353C">
        <w:rPr>
          <w:sz w:val="24"/>
          <w:lang w:val="es-CO"/>
        </w:rPr>
        <w:t>.</w:t>
      </w:r>
    </w:p>
    <w:p w:rsidR="0024674A" w:rsidRPr="0023353C" w:rsidRDefault="0024674A" w:rsidP="0023353C">
      <w:pPr>
        <w:spacing w:line="276" w:lineRule="auto"/>
        <w:rPr>
          <w:sz w:val="24"/>
          <w:lang w:val="es-CO"/>
        </w:rPr>
      </w:pPr>
    </w:p>
    <w:p w:rsidR="0024674A" w:rsidRPr="0023353C" w:rsidRDefault="0024674A" w:rsidP="0023353C">
      <w:pPr>
        <w:spacing w:line="276" w:lineRule="auto"/>
        <w:rPr>
          <w:sz w:val="24"/>
        </w:rPr>
      </w:pPr>
      <w:r w:rsidRPr="0023353C">
        <w:rPr>
          <w:sz w:val="24"/>
        </w:rPr>
        <w:t>Como puede apreciarse</w:t>
      </w:r>
      <w:r w:rsidR="00C06976" w:rsidRPr="0023353C">
        <w:rPr>
          <w:sz w:val="24"/>
        </w:rPr>
        <w:t>,</w:t>
      </w:r>
      <w:r w:rsidRPr="0023353C">
        <w:rPr>
          <w:sz w:val="24"/>
        </w:rPr>
        <w:t xml:space="preserve"> </w:t>
      </w:r>
      <w:r w:rsidR="00CE68A5" w:rsidRPr="0023353C">
        <w:rPr>
          <w:sz w:val="24"/>
        </w:rPr>
        <w:t xml:space="preserve">no solo la Fiscalía erró al no anunciarle </w:t>
      </w:r>
      <w:r w:rsidRPr="0023353C">
        <w:rPr>
          <w:sz w:val="24"/>
        </w:rPr>
        <w:t xml:space="preserve">al señor </w:t>
      </w:r>
      <w:r w:rsidR="00C908A5">
        <w:rPr>
          <w:b/>
          <w:sz w:val="20"/>
          <w:szCs w:val="22"/>
        </w:rPr>
        <w:t>OPL</w:t>
      </w:r>
      <w:r w:rsidRPr="0023353C">
        <w:rPr>
          <w:sz w:val="24"/>
        </w:rPr>
        <w:t xml:space="preserve"> que debía reintegrar lo apropiado para ser merecedor de la diminuente por aceptación de cargos, sino que además le faltó claridad en cuanto al mon</w:t>
      </w:r>
      <w:r w:rsidR="00C06976" w:rsidRPr="0023353C">
        <w:rPr>
          <w:sz w:val="24"/>
        </w:rPr>
        <w:t xml:space="preserve">to del dinero apropiado, lo que tiene desde luego una incidencia manifiesta </w:t>
      </w:r>
      <w:r w:rsidRPr="0023353C">
        <w:rPr>
          <w:sz w:val="24"/>
        </w:rPr>
        <w:t xml:space="preserve">en esta clase de </w:t>
      </w:r>
      <w:r w:rsidR="00C50A31" w:rsidRPr="0023353C">
        <w:rPr>
          <w:sz w:val="24"/>
        </w:rPr>
        <w:t>procesos</w:t>
      </w:r>
      <w:r w:rsidRPr="0023353C">
        <w:rPr>
          <w:sz w:val="24"/>
        </w:rPr>
        <w:t>.</w:t>
      </w:r>
    </w:p>
    <w:p w:rsidR="007710FF" w:rsidRPr="0023353C" w:rsidRDefault="007710FF" w:rsidP="0023353C">
      <w:pPr>
        <w:spacing w:line="276" w:lineRule="auto"/>
        <w:rPr>
          <w:sz w:val="24"/>
        </w:rPr>
      </w:pPr>
    </w:p>
    <w:p w:rsidR="005C0056" w:rsidRPr="0023353C" w:rsidRDefault="005672F4" w:rsidP="0023353C">
      <w:pPr>
        <w:spacing w:line="276" w:lineRule="auto"/>
        <w:rPr>
          <w:sz w:val="24"/>
        </w:rPr>
      </w:pPr>
      <w:r w:rsidRPr="0023353C">
        <w:rPr>
          <w:sz w:val="24"/>
        </w:rPr>
        <w:t xml:space="preserve">Para el Tribunal por tanto, </w:t>
      </w:r>
      <w:r w:rsidR="0024674A" w:rsidRPr="0023353C">
        <w:rPr>
          <w:sz w:val="24"/>
        </w:rPr>
        <w:t>l</w:t>
      </w:r>
      <w:r w:rsidR="00DF647E" w:rsidRPr="0023353C">
        <w:rPr>
          <w:sz w:val="24"/>
        </w:rPr>
        <w:t xml:space="preserve">o mencionado </w:t>
      </w:r>
      <w:r w:rsidR="0024674A" w:rsidRPr="0023353C">
        <w:rPr>
          <w:sz w:val="24"/>
        </w:rPr>
        <w:t>conlleva a pregonar que no se respet</w:t>
      </w:r>
      <w:r w:rsidR="000604C0" w:rsidRPr="0023353C">
        <w:rPr>
          <w:sz w:val="24"/>
        </w:rPr>
        <w:t>ó</w:t>
      </w:r>
      <w:r w:rsidR="0024674A" w:rsidRPr="0023353C">
        <w:rPr>
          <w:sz w:val="24"/>
        </w:rPr>
        <w:t xml:space="preserve"> el debido proceso </w:t>
      </w:r>
      <w:r w:rsidRPr="0023353C">
        <w:rPr>
          <w:sz w:val="24"/>
        </w:rPr>
        <w:t xml:space="preserve">y ello da lugar a invalidar la actuación </w:t>
      </w:r>
      <w:r w:rsidR="0024674A" w:rsidRPr="0023353C">
        <w:rPr>
          <w:sz w:val="24"/>
        </w:rPr>
        <w:t>a partir</w:t>
      </w:r>
      <w:r w:rsidRPr="0023353C">
        <w:rPr>
          <w:sz w:val="24"/>
        </w:rPr>
        <w:t xml:space="preserve"> inclusive</w:t>
      </w:r>
      <w:r w:rsidR="0024674A" w:rsidRPr="0023353C">
        <w:rPr>
          <w:sz w:val="24"/>
        </w:rPr>
        <w:t xml:space="preserve"> del traslado del escrito de acusación surtido en abril 11 de 2019, para</w:t>
      </w:r>
      <w:r w:rsidRPr="0023353C">
        <w:rPr>
          <w:sz w:val="24"/>
        </w:rPr>
        <w:t xml:space="preserve"> que por parte de la Fiscalía se proceda en los términos ya indicados. Y, c</w:t>
      </w:r>
      <w:r w:rsidR="005C0056" w:rsidRPr="0023353C">
        <w:rPr>
          <w:sz w:val="24"/>
        </w:rPr>
        <w:t>omo quiera que en este</w:t>
      </w:r>
      <w:r w:rsidR="00C50A31" w:rsidRPr="0023353C">
        <w:rPr>
          <w:sz w:val="24"/>
        </w:rPr>
        <w:t xml:space="preserve"> caso</w:t>
      </w:r>
      <w:r w:rsidR="005C0056" w:rsidRPr="0023353C">
        <w:rPr>
          <w:sz w:val="24"/>
        </w:rPr>
        <w:t xml:space="preserve"> se emitió por parte de la funcionaria </w:t>
      </w:r>
      <w:r w:rsidRPr="0023353C">
        <w:rPr>
          <w:sz w:val="24"/>
        </w:rPr>
        <w:t>a quo la orden de captura en contra del sentenciado</w:t>
      </w:r>
      <w:r w:rsidR="005A6290">
        <w:rPr>
          <w:b/>
          <w:sz w:val="20"/>
          <w:szCs w:val="22"/>
        </w:rPr>
        <w:t xml:space="preserve"> OPL</w:t>
      </w:r>
      <w:r w:rsidR="005C0056" w:rsidRPr="0023353C">
        <w:rPr>
          <w:sz w:val="24"/>
        </w:rPr>
        <w:t>, se ordena</w:t>
      </w:r>
      <w:r w:rsidRPr="0023353C">
        <w:rPr>
          <w:sz w:val="24"/>
        </w:rPr>
        <w:t>rá</w:t>
      </w:r>
      <w:r w:rsidR="005C0056" w:rsidRPr="0023353C">
        <w:rPr>
          <w:sz w:val="24"/>
        </w:rPr>
        <w:t xml:space="preserve"> su inmediata cancelación.</w:t>
      </w:r>
    </w:p>
    <w:p w:rsidR="00DF0EE0" w:rsidRPr="0023353C" w:rsidRDefault="00DF0EE0" w:rsidP="0023353C">
      <w:pPr>
        <w:spacing w:line="276" w:lineRule="auto"/>
        <w:rPr>
          <w:sz w:val="22"/>
          <w:szCs w:val="23"/>
        </w:rPr>
      </w:pPr>
    </w:p>
    <w:p w:rsidR="005C0056" w:rsidRPr="0023353C" w:rsidRDefault="00DF0EE0" w:rsidP="0023353C">
      <w:pPr>
        <w:spacing w:line="276" w:lineRule="auto"/>
        <w:rPr>
          <w:sz w:val="24"/>
        </w:rPr>
      </w:pPr>
      <w:r w:rsidRPr="0023353C">
        <w:rPr>
          <w:sz w:val="22"/>
          <w:szCs w:val="23"/>
        </w:rPr>
        <w:t>E</w:t>
      </w:r>
      <w:r w:rsidRPr="0023353C">
        <w:rPr>
          <w:sz w:val="24"/>
        </w:rPr>
        <w:t xml:space="preserve">n mérito de lo expuesto, el Tribunal Superior del Distrito Judicial de Pereira (Rda.), Sala de Decisión Penal, </w:t>
      </w:r>
      <w:r w:rsidR="005C0056" w:rsidRPr="0023353C">
        <w:rPr>
          <w:sz w:val="24"/>
        </w:rPr>
        <w:t xml:space="preserve">decreta la </w:t>
      </w:r>
      <w:r w:rsidR="005C0056" w:rsidRPr="0023353C">
        <w:rPr>
          <w:b/>
          <w:sz w:val="20"/>
          <w:szCs w:val="22"/>
        </w:rPr>
        <w:t>NULIDAD</w:t>
      </w:r>
      <w:r w:rsidR="005C0056" w:rsidRPr="0023353C">
        <w:rPr>
          <w:sz w:val="20"/>
          <w:szCs w:val="22"/>
        </w:rPr>
        <w:t xml:space="preserve"> </w:t>
      </w:r>
      <w:r w:rsidR="005C0056" w:rsidRPr="0023353C">
        <w:rPr>
          <w:sz w:val="24"/>
        </w:rPr>
        <w:t>de lo actuado en el presente asunto a partir</w:t>
      </w:r>
      <w:r w:rsidR="005672F4" w:rsidRPr="0023353C">
        <w:rPr>
          <w:sz w:val="24"/>
        </w:rPr>
        <w:t xml:space="preserve"> inclusive</w:t>
      </w:r>
      <w:r w:rsidR="005C0056" w:rsidRPr="0023353C">
        <w:rPr>
          <w:sz w:val="24"/>
        </w:rPr>
        <w:t xml:space="preserve"> del traslado del escrito de acusación efectuado al señor </w:t>
      </w:r>
      <w:r w:rsidR="00C908A5">
        <w:rPr>
          <w:b/>
          <w:sz w:val="20"/>
          <w:szCs w:val="22"/>
          <w:lang w:val="es-CO"/>
        </w:rPr>
        <w:t>OPL</w:t>
      </w:r>
      <w:r w:rsidR="005C0056" w:rsidRPr="0023353C">
        <w:rPr>
          <w:sz w:val="24"/>
          <w:lang w:val="es-CO"/>
        </w:rPr>
        <w:t xml:space="preserve"> </w:t>
      </w:r>
      <w:r w:rsidR="005C0056" w:rsidRPr="0023353C">
        <w:rPr>
          <w:sz w:val="24"/>
        </w:rPr>
        <w:t>por parte de la Fiscalía, para qu</w:t>
      </w:r>
      <w:r w:rsidR="00582B4E" w:rsidRPr="0023353C">
        <w:rPr>
          <w:sz w:val="24"/>
        </w:rPr>
        <w:t>e se cumpla</w:t>
      </w:r>
      <w:r w:rsidR="005672F4" w:rsidRPr="0023353C">
        <w:rPr>
          <w:sz w:val="24"/>
        </w:rPr>
        <w:t>n los fines indicados</w:t>
      </w:r>
      <w:r w:rsidR="005C0056" w:rsidRPr="0023353C">
        <w:rPr>
          <w:sz w:val="24"/>
        </w:rPr>
        <w:t xml:space="preserve"> en</w:t>
      </w:r>
      <w:r w:rsidR="005672F4" w:rsidRPr="0023353C">
        <w:rPr>
          <w:sz w:val="24"/>
        </w:rPr>
        <w:t xml:space="preserve"> el cuerpo motivo de esta</w:t>
      </w:r>
      <w:r w:rsidR="005C0056" w:rsidRPr="0023353C">
        <w:rPr>
          <w:sz w:val="24"/>
        </w:rPr>
        <w:t xml:space="preserve"> providencia.</w:t>
      </w:r>
      <w:r w:rsidR="009B6867" w:rsidRPr="0023353C">
        <w:rPr>
          <w:sz w:val="24"/>
        </w:rPr>
        <w:t xml:space="preserve"> </w:t>
      </w:r>
      <w:r w:rsidR="00582B4E" w:rsidRPr="0023353C">
        <w:rPr>
          <w:sz w:val="24"/>
        </w:rPr>
        <w:t xml:space="preserve">Como consecuencia de lo anterior, </w:t>
      </w:r>
      <w:r w:rsidR="009B6867" w:rsidRPr="0023353C">
        <w:rPr>
          <w:sz w:val="24"/>
        </w:rPr>
        <w:t xml:space="preserve"> se ordena la cancelación </w:t>
      </w:r>
      <w:r w:rsidR="00582B4E" w:rsidRPr="0023353C">
        <w:rPr>
          <w:sz w:val="24"/>
        </w:rPr>
        <w:t xml:space="preserve">inmediata </w:t>
      </w:r>
      <w:r w:rsidR="009B6867" w:rsidRPr="0023353C">
        <w:rPr>
          <w:sz w:val="24"/>
        </w:rPr>
        <w:t xml:space="preserve">de la orden de captura </w:t>
      </w:r>
      <w:r w:rsidR="00582B4E" w:rsidRPr="0023353C">
        <w:rPr>
          <w:sz w:val="24"/>
        </w:rPr>
        <w:t xml:space="preserve">proferida en contra del </w:t>
      </w:r>
      <w:r w:rsidR="009B6867" w:rsidRPr="0023353C">
        <w:rPr>
          <w:sz w:val="24"/>
        </w:rPr>
        <w:t>procesado.</w:t>
      </w:r>
    </w:p>
    <w:p w:rsidR="00DF0EE0" w:rsidRPr="0023353C" w:rsidRDefault="00DF0EE0" w:rsidP="0023353C">
      <w:pPr>
        <w:spacing w:line="276" w:lineRule="auto"/>
        <w:rPr>
          <w:sz w:val="24"/>
        </w:rPr>
      </w:pPr>
    </w:p>
    <w:p w:rsidR="00153DF6" w:rsidRPr="0023353C" w:rsidRDefault="003558EA" w:rsidP="0023353C">
      <w:pPr>
        <w:spacing w:line="276" w:lineRule="auto"/>
        <w:rPr>
          <w:sz w:val="24"/>
        </w:rPr>
      </w:pPr>
      <w:r w:rsidRPr="0023353C">
        <w:rPr>
          <w:sz w:val="24"/>
        </w:rPr>
        <w:t xml:space="preserve">Como la presente actuación se tramita bajo los lineamientos de la </w:t>
      </w:r>
      <w:r w:rsidR="00153DF6" w:rsidRPr="0023353C">
        <w:rPr>
          <w:sz w:val="24"/>
        </w:rPr>
        <w:t xml:space="preserve">Ley 1826/17, por secretaría se procederá a citar a las partes para efectos de proceder a dar traslado de esta </w:t>
      </w:r>
      <w:r w:rsidRPr="0023353C">
        <w:rPr>
          <w:sz w:val="24"/>
        </w:rPr>
        <w:t>decisión</w:t>
      </w:r>
      <w:r w:rsidR="00153DF6" w:rsidRPr="0023353C">
        <w:rPr>
          <w:sz w:val="24"/>
        </w:rPr>
        <w:t>, contra la cual no procede recurso alguno.</w:t>
      </w:r>
    </w:p>
    <w:p w:rsidR="00153DF6" w:rsidRPr="0023353C" w:rsidRDefault="00153DF6" w:rsidP="0023353C">
      <w:pPr>
        <w:spacing w:line="276" w:lineRule="auto"/>
        <w:rPr>
          <w:sz w:val="24"/>
        </w:rPr>
      </w:pPr>
    </w:p>
    <w:p w:rsidR="00DF0EE0" w:rsidRPr="0023353C" w:rsidRDefault="00DF0EE0" w:rsidP="0023353C">
      <w:pPr>
        <w:spacing w:line="276" w:lineRule="auto"/>
        <w:rPr>
          <w:sz w:val="24"/>
        </w:rPr>
      </w:pPr>
    </w:p>
    <w:p w:rsidR="00830DC8" w:rsidRPr="00830DC8" w:rsidRDefault="00830DC8" w:rsidP="00830DC8">
      <w:pPr>
        <w:spacing w:line="276" w:lineRule="auto"/>
        <w:rPr>
          <w:spacing w:val="-4"/>
          <w:sz w:val="24"/>
        </w:rPr>
      </w:pPr>
      <w:r w:rsidRPr="00830DC8">
        <w:rPr>
          <w:spacing w:val="-4"/>
          <w:sz w:val="24"/>
        </w:rPr>
        <w:t xml:space="preserve">Los Magistrados, </w:t>
      </w:r>
    </w:p>
    <w:p w:rsidR="00830DC8" w:rsidRPr="00830DC8" w:rsidRDefault="00830DC8" w:rsidP="00830DC8">
      <w:pPr>
        <w:spacing w:line="300" w:lineRule="auto"/>
        <w:rPr>
          <w:rFonts w:cs="Tahoma"/>
          <w:spacing w:val="6"/>
          <w:position w:val="-4"/>
          <w:sz w:val="24"/>
          <w:szCs w:val="24"/>
          <w:lang w:val="es-419"/>
        </w:rPr>
      </w:pPr>
    </w:p>
    <w:p w:rsidR="00830DC8" w:rsidRPr="00830DC8" w:rsidRDefault="00830DC8" w:rsidP="00830DC8">
      <w:pPr>
        <w:spacing w:line="300" w:lineRule="auto"/>
        <w:rPr>
          <w:rFonts w:cs="Tahoma"/>
          <w:spacing w:val="6"/>
          <w:position w:val="-4"/>
          <w:sz w:val="24"/>
          <w:szCs w:val="24"/>
          <w:lang w:val="es-419"/>
        </w:rPr>
      </w:pPr>
    </w:p>
    <w:p w:rsidR="00830DC8" w:rsidRPr="00830DC8" w:rsidRDefault="00830DC8" w:rsidP="00830DC8">
      <w:pPr>
        <w:spacing w:line="300" w:lineRule="auto"/>
        <w:rPr>
          <w:rFonts w:cs="Tahoma"/>
          <w:spacing w:val="6"/>
          <w:position w:val="-4"/>
          <w:sz w:val="24"/>
          <w:szCs w:val="24"/>
          <w:lang w:val="es-419"/>
        </w:rPr>
      </w:pPr>
    </w:p>
    <w:p w:rsidR="00830DC8" w:rsidRPr="00830DC8" w:rsidRDefault="00830DC8" w:rsidP="00830DC8">
      <w:pPr>
        <w:spacing w:line="300" w:lineRule="auto"/>
        <w:rPr>
          <w:rFonts w:cs="Tahoma"/>
          <w:b/>
          <w:spacing w:val="6"/>
          <w:position w:val="-4"/>
          <w:sz w:val="24"/>
          <w:szCs w:val="24"/>
          <w:lang w:val="es-419"/>
        </w:rPr>
      </w:pPr>
      <w:r w:rsidRPr="00830DC8">
        <w:rPr>
          <w:rFonts w:cs="Tahoma"/>
          <w:b/>
          <w:spacing w:val="6"/>
          <w:position w:val="-4"/>
          <w:sz w:val="24"/>
          <w:szCs w:val="24"/>
          <w:lang w:val="es-419"/>
        </w:rPr>
        <w:t>JORGE ARTURO CASTAÑO DUQUE</w:t>
      </w:r>
      <w:r w:rsidRPr="00830DC8">
        <w:rPr>
          <w:rFonts w:cs="Tahoma"/>
          <w:b/>
          <w:spacing w:val="6"/>
          <w:position w:val="-4"/>
          <w:sz w:val="24"/>
          <w:szCs w:val="24"/>
          <w:lang w:val="es-419"/>
        </w:rPr>
        <w:tab/>
      </w:r>
      <w:r w:rsidRPr="00830DC8">
        <w:rPr>
          <w:rFonts w:cs="Tahoma"/>
          <w:b/>
          <w:spacing w:val="6"/>
          <w:position w:val="-4"/>
          <w:sz w:val="24"/>
          <w:szCs w:val="24"/>
          <w:lang w:val="es-419"/>
        </w:rPr>
        <w:tab/>
        <w:t>JAIRO ERNESTO ESCOBAR SANZ</w:t>
      </w:r>
    </w:p>
    <w:p w:rsidR="00830DC8" w:rsidRPr="00830DC8" w:rsidRDefault="00830DC8" w:rsidP="00830DC8">
      <w:pPr>
        <w:spacing w:line="300" w:lineRule="auto"/>
        <w:rPr>
          <w:rFonts w:cs="Tahoma"/>
          <w:spacing w:val="6"/>
          <w:position w:val="-4"/>
          <w:sz w:val="24"/>
          <w:szCs w:val="24"/>
          <w:lang w:val="es-419"/>
        </w:rPr>
      </w:pPr>
    </w:p>
    <w:p w:rsidR="00830DC8" w:rsidRPr="00830DC8" w:rsidRDefault="00830DC8" w:rsidP="00830DC8">
      <w:pPr>
        <w:spacing w:line="300" w:lineRule="auto"/>
        <w:rPr>
          <w:rFonts w:cs="Tahoma"/>
          <w:spacing w:val="6"/>
          <w:position w:val="-4"/>
          <w:sz w:val="24"/>
          <w:szCs w:val="24"/>
          <w:lang w:val="es-419"/>
        </w:rPr>
      </w:pPr>
    </w:p>
    <w:p w:rsidR="00830DC8" w:rsidRPr="00830DC8" w:rsidRDefault="00830DC8" w:rsidP="00830DC8">
      <w:pPr>
        <w:spacing w:line="300" w:lineRule="auto"/>
        <w:rPr>
          <w:rFonts w:cs="Tahoma"/>
          <w:spacing w:val="6"/>
          <w:position w:val="-4"/>
          <w:sz w:val="24"/>
          <w:szCs w:val="24"/>
          <w:lang w:val="es-419"/>
        </w:rPr>
      </w:pPr>
    </w:p>
    <w:p w:rsidR="00EF0270" w:rsidRPr="00AF69E0" w:rsidRDefault="00830DC8" w:rsidP="00AF69E0">
      <w:pPr>
        <w:spacing w:line="276" w:lineRule="auto"/>
        <w:jc w:val="center"/>
        <w:rPr>
          <w:spacing w:val="-4"/>
          <w:sz w:val="24"/>
          <w:lang w:val="es-ES_tradnl"/>
        </w:rPr>
      </w:pPr>
      <w:r w:rsidRPr="00830DC8">
        <w:rPr>
          <w:rFonts w:cs="Tahoma"/>
          <w:b/>
          <w:spacing w:val="6"/>
          <w:position w:val="-4"/>
          <w:sz w:val="24"/>
          <w:szCs w:val="24"/>
          <w:lang w:val="es-419"/>
        </w:rPr>
        <w:t>MANUEL YARZAGARAY BANDERA</w:t>
      </w:r>
    </w:p>
    <w:sectPr w:rsidR="00EF0270" w:rsidRPr="00AF69E0" w:rsidSect="0023353C">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03" w:rsidRDefault="007B3A03" w:rsidP="00F13C87">
      <w:pPr>
        <w:spacing w:line="240" w:lineRule="auto"/>
      </w:pPr>
      <w:r>
        <w:separator/>
      </w:r>
    </w:p>
  </w:endnote>
  <w:endnote w:type="continuationSeparator" w:id="0">
    <w:p w:rsidR="007B3A03" w:rsidRDefault="007B3A03"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E¡ËcE¡Ë¢çEc¡Ë¢çE¢®Ec¢®E¡Ëc¢®E"/>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36" w:rsidRDefault="005B6276" w:rsidP="003A0745">
    <w:pPr>
      <w:pStyle w:val="Piedepgina"/>
    </w:pPr>
    <w:r>
      <w:t>P</w:t>
    </w:r>
    <w:r w:rsidRPr="0023353C">
      <w:rPr>
        <w:rFonts w:ascii="Arial" w:eastAsia="Batang" w:hAnsi="Arial" w:cs="Arial"/>
        <w:sz w:val="18"/>
        <w:szCs w:val="16"/>
        <w:lang w:eastAsia="es-MX"/>
      </w:rPr>
      <w:t xml:space="preserve">ágina </w:t>
    </w:r>
    <w:r w:rsidRPr="0023353C">
      <w:rPr>
        <w:rFonts w:ascii="Arial" w:eastAsia="Batang" w:hAnsi="Arial" w:cs="Arial"/>
        <w:sz w:val="18"/>
        <w:szCs w:val="16"/>
        <w:lang w:eastAsia="es-MX"/>
      </w:rPr>
      <w:fldChar w:fldCharType="begin"/>
    </w:r>
    <w:r w:rsidRPr="0023353C">
      <w:rPr>
        <w:rFonts w:ascii="Arial" w:eastAsia="Batang" w:hAnsi="Arial" w:cs="Arial"/>
        <w:sz w:val="18"/>
        <w:szCs w:val="16"/>
        <w:lang w:eastAsia="es-MX"/>
      </w:rPr>
      <w:instrText xml:space="preserve"> PAGE </w:instrText>
    </w:r>
    <w:r w:rsidRPr="0023353C">
      <w:rPr>
        <w:rFonts w:ascii="Arial" w:eastAsia="Batang" w:hAnsi="Arial" w:cs="Arial"/>
        <w:sz w:val="18"/>
        <w:szCs w:val="16"/>
        <w:lang w:eastAsia="es-MX"/>
      </w:rPr>
      <w:fldChar w:fldCharType="separate"/>
    </w:r>
    <w:r w:rsidR="001122AC">
      <w:rPr>
        <w:rFonts w:ascii="Arial" w:eastAsia="Batang" w:hAnsi="Arial" w:cs="Arial"/>
        <w:noProof/>
        <w:sz w:val="18"/>
        <w:szCs w:val="16"/>
        <w:lang w:eastAsia="es-MX"/>
      </w:rPr>
      <w:t>8</w:t>
    </w:r>
    <w:r w:rsidRPr="0023353C">
      <w:rPr>
        <w:rFonts w:ascii="Arial" w:eastAsia="Batang" w:hAnsi="Arial" w:cs="Arial"/>
        <w:sz w:val="18"/>
        <w:szCs w:val="16"/>
        <w:lang w:eastAsia="es-MX"/>
      </w:rPr>
      <w:fldChar w:fldCharType="end"/>
    </w:r>
    <w:r w:rsidRPr="0023353C">
      <w:rPr>
        <w:rFonts w:ascii="Arial" w:eastAsia="Batang" w:hAnsi="Arial" w:cs="Arial"/>
        <w:sz w:val="18"/>
        <w:szCs w:val="16"/>
        <w:lang w:eastAsia="es-MX"/>
      </w:rPr>
      <w:t xml:space="preserve"> de </w:t>
    </w:r>
    <w:r w:rsidRPr="0023353C">
      <w:rPr>
        <w:rFonts w:ascii="Arial" w:eastAsia="Batang" w:hAnsi="Arial" w:cs="Arial"/>
        <w:sz w:val="18"/>
        <w:szCs w:val="16"/>
        <w:lang w:eastAsia="es-MX"/>
      </w:rPr>
      <w:fldChar w:fldCharType="begin"/>
    </w:r>
    <w:r w:rsidRPr="0023353C">
      <w:rPr>
        <w:rFonts w:ascii="Arial" w:eastAsia="Batang" w:hAnsi="Arial" w:cs="Arial"/>
        <w:sz w:val="18"/>
        <w:szCs w:val="16"/>
        <w:lang w:eastAsia="es-MX"/>
      </w:rPr>
      <w:instrText xml:space="preserve"> NUMPAGES </w:instrText>
    </w:r>
    <w:r w:rsidRPr="0023353C">
      <w:rPr>
        <w:rFonts w:ascii="Arial" w:eastAsia="Batang" w:hAnsi="Arial" w:cs="Arial"/>
        <w:sz w:val="18"/>
        <w:szCs w:val="16"/>
        <w:lang w:eastAsia="es-MX"/>
      </w:rPr>
      <w:fldChar w:fldCharType="separate"/>
    </w:r>
    <w:r w:rsidR="001122AC">
      <w:rPr>
        <w:rFonts w:ascii="Arial" w:eastAsia="Batang" w:hAnsi="Arial" w:cs="Arial"/>
        <w:noProof/>
        <w:sz w:val="18"/>
        <w:szCs w:val="16"/>
        <w:lang w:eastAsia="es-MX"/>
      </w:rPr>
      <w:t>8</w:t>
    </w:r>
    <w:r w:rsidRPr="0023353C">
      <w:rPr>
        <w:rFonts w:ascii="Arial" w:eastAsia="Batang" w:hAnsi="Arial" w:cs="Arial"/>
        <w:sz w:val="18"/>
        <w:szCs w:val="16"/>
        <w:lang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03" w:rsidRDefault="007B3A03" w:rsidP="00F13C87">
      <w:pPr>
        <w:spacing w:line="240" w:lineRule="auto"/>
      </w:pPr>
      <w:r>
        <w:separator/>
      </w:r>
    </w:p>
  </w:footnote>
  <w:footnote w:type="continuationSeparator" w:id="0">
    <w:p w:rsidR="007B3A03" w:rsidRDefault="007B3A03" w:rsidP="00F13C87">
      <w:pPr>
        <w:spacing w:line="240" w:lineRule="auto"/>
      </w:pPr>
      <w:r>
        <w:continuationSeparator/>
      </w:r>
    </w:p>
  </w:footnote>
  <w:footnote w:id="1">
    <w:p w:rsidR="0073458E" w:rsidRPr="00830DC8" w:rsidRDefault="0073458E" w:rsidP="0073458E">
      <w:pPr>
        <w:pStyle w:val="Textonotapie"/>
        <w:rPr>
          <w:rFonts w:ascii="Arial" w:hAnsi="Arial" w:cs="Arial"/>
          <w:sz w:val="18"/>
          <w:lang w:val="es-CO"/>
        </w:rPr>
      </w:pPr>
      <w:r w:rsidRPr="00830DC8">
        <w:rPr>
          <w:rStyle w:val="Refdenotaalpie"/>
          <w:rFonts w:ascii="Arial" w:hAnsi="Arial" w:cs="Arial"/>
          <w:sz w:val="18"/>
        </w:rPr>
        <w:footnoteRef/>
      </w:r>
      <w:r w:rsidRPr="00830DC8">
        <w:rPr>
          <w:rFonts w:ascii="Arial" w:hAnsi="Arial" w:cs="Arial"/>
          <w:sz w:val="18"/>
        </w:rPr>
        <w:t xml:space="preserve"> Ver folio 6 del expediente.</w:t>
      </w:r>
    </w:p>
  </w:footnote>
  <w:footnote w:id="2">
    <w:p w:rsidR="00E818FC" w:rsidRPr="00830DC8" w:rsidRDefault="00E818FC" w:rsidP="00E818FC">
      <w:pPr>
        <w:pStyle w:val="Textonotapie"/>
        <w:rPr>
          <w:rFonts w:ascii="Arial" w:hAnsi="Arial" w:cs="Arial"/>
          <w:sz w:val="18"/>
          <w:lang w:val="es-CO"/>
        </w:rPr>
      </w:pPr>
      <w:r w:rsidRPr="00830DC8">
        <w:rPr>
          <w:rStyle w:val="Refdenotaalpie"/>
          <w:rFonts w:ascii="Arial" w:hAnsi="Arial" w:cs="Arial"/>
          <w:sz w:val="18"/>
        </w:rPr>
        <w:footnoteRef/>
      </w:r>
      <w:r w:rsidRPr="00830DC8">
        <w:rPr>
          <w:rFonts w:ascii="Arial" w:hAnsi="Arial" w:cs="Arial"/>
          <w:sz w:val="18"/>
        </w:rPr>
        <w:t xml:space="preserve"> Ver folios 46 y 47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6" w:rsidRPr="0023353C" w:rsidRDefault="006C3FA4" w:rsidP="007575ED">
    <w:pPr>
      <w:pStyle w:val="Encabezado"/>
      <w:spacing w:line="240" w:lineRule="auto"/>
      <w:jc w:val="right"/>
      <w:rPr>
        <w:rFonts w:ascii="Arial" w:hAnsi="Arial" w:cs="Arial"/>
        <w:sz w:val="18"/>
        <w:szCs w:val="16"/>
        <w:lang w:val="es-MX"/>
      </w:rPr>
    </w:pPr>
    <w:r w:rsidRPr="0023353C">
      <w:rPr>
        <w:rFonts w:ascii="Arial" w:hAnsi="Arial" w:cs="Arial"/>
        <w:sz w:val="18"/>
        <w:szCs w:val="16"/>
      </w:rPr>
      <w:t>HURTO CALIFICADO</w:t>
    </w:r>
  </w:p>
  <w:p w:rsidR="007D3ADD" w:rsidRPr="0023353C" w:rsidRDefault="005B6276" w:rsidP="007575ED">
    <w:pPr>
      <w:pStyle w:val="Encabezado"/>
      <w:spacing w:line="240" w:lineRule="auto"/>
      <w:jc w:val="right"/>
      <w:rPr>
        <w:rFonts w:ascii="Arial" w:hAnsi="Arial" w:cs="Arial"/>
        <w:sz w:val="18"/>
        <w:lang w:val="es-MX"/>
      </w:rPr>
    </w:pPr>
    <w:r w:rsidRPr="0023353C">
      <w:rPr>
        <w:rFonts w:ascii="Arial" w:hAnsi="Arial" w:cs="Arial"/>
        <w:sz w:val="18"/>
        <w:lang w:val="es-MX"/>
      </w:rPr>
      <w:t>RADICACIÓN:</w:t>
    </w:r>
    <w:r w:rsidR="00AE0ABE" w:rsidRPr="0023353C">
      <w:rPr>
        <w:rFonts w:ascii="Arial" w:hAnsi="Arial" w:cs="Arial"/>
        <w:sz w:val="18"/>
        <w:lang w:val="es-MX"/>
      </w:rPr>
      <w:t xml:space="preserve"> </w:t>
    </w:r>
    <w:r w:rsidR="006C3FA4" w:rsidRPr="0023353C">
      <w:rPr>
        <w:rFonts w:ascii="Arial" w:hAnsi="Arial" w:cs="Arial"/>
        <w:sz w:val="18"/>
        <w:lang w:val="es-MX"/>
      </w:rPr>
      <w:t xml:space="preserve">666826000048 </w:t>
    </w:r>
    <w:r w:rsidR="00AE0ABE" w:rsidRPr="0023353C">
      <w:rPr>
        <w:rFonts w:ascii="Arial" w:hAnsi="Arial" w:cs="Arial"/>
        <w:sz w:val="18"/>
        <w:lang w:val="es-MX"/>
      </w:rPr>
      <w:t>201</w:t>
    </w:r>
    <w:r w:rsidR="006C3FA4" w:rsidRPr="0023353C">
      <w:rPr>
        <w:rFonts w:ascii="Arial" w:hAnsi="Arial" w:cs="Arial"/>
        <w:sz w:val="18"/>
        <w:lang w:val="es-MX"/>
      </w:rPr>
      <w:t>8</w:t>
    </w:r>
    <w:r w:rsidR="00AE0ABE" w:rsidRPr="0023353C">
      <w:rPr>
        <w:rFonts w:ascii="Arial" w:hAnsi="Arial" w:cs="Arial"/>
        <w:sz w:val="18"/>
        <w:lang w:val="es-MX"/>
      </w:rPr>
      <w:t xml:space="preserve"> </w:t>
    </w:r>
    <w:r w:rsidR="006C3FA4" w:rsidRPr="0023353C">
      <w:rPr>
        <w:rFonts w:ascii="Arial" w:hAnsi="Arial" w:cs="Arial"/>
        <w:sz w:val="18"/>
        <w:lang w:val="es-MX"/>
      </w:rPr>
      <w:t xml:space="preserve">00821 </w:t>
    </w:r>
    <w:r w:rsidR="00AE0ABE" w:rsidRPr="0023353C">
      <w:rPr>
        <w:rFonts w:ascii="Arial" w:hAnsi="Arial" w:cs="Arial"/>
        <w:sz w:val="18"/>
        <w:lang w:val="es-MX"/>
      </w:rPr>
      <w:t>01</w:t>
    </w:r>
  </w:p>
  <w:p w:rsidR="005B6276" w:rsidRPr="0023353C" w:rsidRDefault="005B6276" w:rsidP="007575ED">
    <w:pPr>
      <w:pStyle w:val="Encabezado"/>
      <w:spacing w:line="240" w:lineRule="auto"/>
      <w:jc w:val="right"/>
      <w:rPr>
        <w:rFonts w:ascii="Arial" w:hAnsi="Arial" w:cs="Arial"/>
        <w:sz w:val="18"/>
        <w:lang w:val="es-MX"/>
      </w:rPr>
    </w:pPr>
    <w:r w:rsidRPr="0023353C">
      <w:rPr>
        <w:rFonts w:ascii="Arial" w:hAnsi="Arial" w:cs="Arial"/>
        <w:sz w:val="18"/>
        <w:lang w:val="es-MX"/>
      </w:rPr>
      <w:t>PROCESAD</w:t>
    </w:r>
    <w:r w:rsidR="007D3ADD" w:rsidRPr="0023353C">
      <w:rPr>
        <w:rFonts w:ascii="Arial" w:hAnsi="Arial" w:cs="Arial"/>
        <w:sz w:val="18"/>
        <w:lang w:val="es-MX"/>
      </w:rPr>
      <w:t>O</w:t>
    </w:r>
    <w:r w:rsidR="00615274" w:rsidRPr="0023353C">
      <w:rPr>
        <w:rFonts w:ascii="Arial" w:hAnsi="Arial" w:cs="Arial"/>
        <w:sz w:val="18"/>
        <w:lang w:val="es-MX"/>
      </w:rPr>
      <w:t>:</w:t>
    </w:r>
    <w:r w:rsidR="00AE0ABE" w:rsidRPr="0023353C">
      <w:rPr>
        <w:rFonts w:ascii="Arial" w:hAnsi="Arial" w:cs="Arial"/>
        <w:sz w:val="18"/>
        <w:lang w:val="es-MX"/>
      </w:rPr>
      <w:t xml:space="preserve"> </w:t>
    </w:r>
    <w:r w:rsidR="006C3FA4" w:rsidRPr="0023353C">
      <w:rPr>
        <w:rFonts w:ascii="Arial" w:hAnsi="Arial" w:cs="Arial"/>
        <w:sz w:val="18"/>
        <w:lang w:val="es-MX"/>
      </w:rPr>
      <w:t>OPL</w:t>
    </w:r>
  </w:p>
  <w:p w:rsidR="005B6276" w:rsidRPr="0023353C" w:rsidRDefault="0067669F" w:rsidP="007575ED">
    <w:pPr>
      <w:pStyle w:val="Encabezado"/>
      <w:spacing w:line="240" w:lineRule="auto"/>
      <w:jc w:val="right"/>
      <w:rPr>
        <w:rFonts w:ascii="Arial" w:hAnsi="Arial" w:cs="Arial"/>
        <w:sz w:val="18"/>
        <w:lang w:val="es-MX"/>
      </w:rPr>
    </w:pPr>
    <w:r w:rsidRPr="0023353C">
      <w:rPr>
        <w:rFonts w:ascii="Arial" w:hAnsi="Arial" w:cs="Arial"/>
        <w:sz w:val="18"/>
        <w:lang w:val="es-MX"/>
      </w:rPr>
      <w:t xml:space="preserve">SE </w:t>
    </w:r>
    <w:r w:rsidR="003558EA" w:rsidRPr="0023353C">
      <w:rPr>
        <w:rFonts w:ascii="Arial" w:hAnsi="Arial" w:cs="Arial"/>
        <w:sz w:val="18"/>
        <w:lang w:val="es-MX"/>
      </w:rPr>
      <w:t>DECRETA NULIDAD</w:t>
    </w:r>
    <w:r w:rsidR="00AD238B" w:rsidRPr="0023353C">
      <w:rPr>
        <w:rFonts w:ascii="Arial" w:hAnsi="Arial" w:cs="Arial"/>
        <w:sz w:val="18"/>
        <w:lang w:val="es-MX"/>
      </w:rPr>
      <w:t xml:space="preserve"> </w:t>
    </w:r>
  </w:p>
  <w:p w:rsidR="009B6867" w:rsidRPr="0023353C" w:rsidRDefault="00E0390F" w:rsidP="0023353C">
    <w:pPr>
      <w:pStyle w:val="Encabezado"/>
      <w:spacing w:line="240" w:lineRule="auto"/>
      <w:jc w:val="right"/>
      <w:rPr>
        <w:rFonts w:ascii="Arial" w:hAnsi="Arial" w:cs="Arial"/>
        <w:sz w:val="18"/>
        <w:lang w:val="es-MX"/>
      </w:rPr>
    </w:pPr>
    <w:r w:rsidRPr="0023353C">
      <w:rPr>
        <w:rFonts w:ascii="Arial" w:hAnsi="Arial" w:cs="Arial"/>
        <w:sz w:val="18"/>
        <w:lang w:val="es-MX"/>
      </w:rPr>
      <w:t>A</w:t>
    </w:r>
    <w:r w:rsidR="005B6276" w:rsidRPr="0023353C">
      <w:rPr>
        <w:rFonts w:ascii="Arial" w:hAnsi="Arial" w:cs="Arial"/>
        <w:sz w:val="18"/>
        <w:lang w:val="es-MX"/>
      </w:rPr>
      <w:t>. N°</w:t>
    </w:r>
    <w:r w:rsidRPr="0023353C">
      <w:rPr>
        <w:rFonts w:ascii="Arial" w:hAnsi="Arial" w:cs="Arial"/>
        <w:sz w:val="18"/>
        <w:lang w:val="es-MX"/>
      </w:rPr>
      <w:t>076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786B"/>
    <w:rsid w:val="0001037D"/>
    <w:rsid w:val="00011C76"/>
    <w:rsid w:val="000147C2"/>
    <w:rsid w:val="00026121"/>
    <w:rsid w:val="00027D1C"/>
    <w:rsid w:val="000377A0"/>
    <w:rsid w:val="000402EC"/>
    <w:rsid w:val="00040FBA"/>
    <w:rsid w:val="00045181"/>
    <w:rsid w:val="000515E3"/>
    <w:rsid w:val="0005391B"/>
    <w:rsid w:val="00055BD8"/>
    <w:rsid w:val="000604C0"/>
    <w:rsid w:val="000605B4"/>
    <w:rsid w:val="000613B9"/>
    <w:rsid w:val="00061EE5"/>
    <w:rsid w:val="00064F7E"/>
    <w:rsid w:val="00070AEE"/>
    <w:rsid w:val="0007207B"/>
    <w:rsid w:val="00075611"/>
    <w:rsid w:val="00077DFB"/>
    <w:rsid w:val="000828C0"/>
    <w:rsid w:val="00096FBA"/>
    <w:rsid w:val="00097041"/>
    <w:rsid w:val="000A49CB"/>
    <w:rsid w:val="000A56C7"/>
    <w:rsid w:val="000A618B"/>
    <w:rsid w:val="000A65EC"/>
    <w:rsid w:val="000A684F"/>
    <w:rsid w:val="000A7F5F"/>
    <w:rsid w:val="000B217E"/>
    <w:rsid w:val="000B38A1"/>
    <w:rsid w:val="000B440B"/>
    <w:rsid w:val="000B6705"/>
    <w:rsid w:val="000C0B1B"/>
    <w:rsid w:val="000C2599"/>
    <w:rsid w:val="000C4751"/>
    <w:rsid w:val="000D42A3"/>
    <w:rsid w:val="000E04F2"/>
    <w:rsid w:val="000E0B7F"/>
    <w:rsid w:val="000E575A"/>
    <w:rsid w:val="000E68C1"/>
    <w:rsid w:val="000F0791"/>
    <w:rsid w:val="000F0A6E"/>
    <w:rsid w:val="000F4565"/>
    <w:rsid w:val="000F4AE8"/>
    <w:rsid w:val="000F7DA5"/>
    <w:rsid w:val="00104DC9"/>
    <w:rsid w:val="0010716B"/>
    <w:rsid w:val="001073DB"/>
    <w:rsid w:val="0011120E"/>
    <w:rsid w:val="001122AC"/>
    <w:rsid w:val="00116A8A"/>
    <w:rsid w:val="00116EF6"/>
    <w:rsid w:val="0011764F"/>
    <w:rsid w:val="001211B5"/>
    <w:rsid w:val="001216A5"/>
    <w:rsid w:val="00123E15"/>
    <w:rsid w:val="00126FAD"/>
    <w:rsid w:val="00127864"/>
    <w:rsid w:val="00131543"/>
    <w:rsid w:val="00133222"/>
    <w:rsid w:val="00140AD6"/>
    <w:rsid w:val="001425F5"/>
    <w:rsid w:val="00153DF6"/>
    <w:rsid w:val="00156C3E"/>
    <w:rsid w:val="00157074"/>
    <w:rsid w:val="00161DA7"/>
    <w:rsid w:val="00172E10"/>
    <w:rsid w:val="00173EDE"/>
    <w:rsid w:val="00177A4A"/>
    <w:rsid w:val="00182C1C"/>
    <w:rsid w:val="001831D3"/>
    <w:rsid w:val="00186BC5"/>
    <w:rsid w:val="00187F93"/>
    <w:rsid w:val="00191808"/>
    <w:rsid w:val="00195300"/>
    <w:rsid w:val="001A7786"/>
    <w:rsid w:val="001B22EA"/>
    <w:rsid w:val="001B2CB3"/>
    <w:rsid w:val="001B382B"/>
    <w:rsid w:val="001B4E44"/>
    <w:rsid w:val="001B758A"/>
    <w:rsid w:val="001B7BD0"/>
    <w:rsid w:val="001D1885"/>
    <w:rsid w:val="001D1D06"/>
    <w:rsid w:val="001D32B6"/>
    <w:rsid w:val="001D7956"/>
    <w:rsid w:val="001E70CB"/>
    <w:rsid w:val="001E7A6A"/>
    <w:rsid w:val="001F28AE"/>
    <w:rsid w:val="001F2A70"/>
    <w:rsid w:val="001F37C3"/>
    <w:rsid w:val="002033F7"/>
    <w:rsid w:val="00203DB0"/>
    <w:rsid w:val="0020546C"/>
    <w:rsid w:val="00212E51"/>
    <w:rsid w:val="002207B1"/>
    <w:rsid w:val="002259DA"/>
    <w:rsid w:val="002300FF"/>
    <w:rsid w:val="00232AC7"/>
    <w:rsid w:val="0023353C"/>
    <w:rsid w:val="002349E4"/>
    <w:rsid w:val="00240BEB"/>
    <w:rsid w:val="002435A0"/>
    <w:rsid w:val="00244DF5"/>
    <w:rsid w:val="0024674A"/>
    <w:rsid w:val="00255C46"/>
    <w:rsid w:val="002602B8"/>
    <w:rsid w:val="00263CD9"/>
    <w:rsid w:val="00265570"/>
    <w:rsid w:val="00266463"/>
    <w:rsid w:val="002665EC"/>
    <w:rsid w:val="00267D89"/>
    <w:rsid w:val="00271BE3"/>
    <w:rsid w:val="00271E3E"/>
    <w:rsid w:val="00273723"/>
    <w:rsid w:val="00284129"/>
    <w:rsid w:val="00284D34"/>
    <w:rsid w:val="00287811"/>
    <w:rsid w:val="002913FE"/>
    <w:rsid w:val="002932EB"/>
    <w:rsid w:val="002943D0"/>
    <w:rsid w:val="00295C2D"/>
    <w:rsid w:val="002A11DE"/>
    <w:rsid w:val="002A5255"/>
    <w:rsid w:val="002A5943"/>
    <w:rsid w:val="002B2FED"/>
    <w:rsid w:val="002B319C"/>
    <w:rsid w:val="002B5A63"/>
    <w:rsid w:val="002C1197"/>
    <w:rsid w:val="002C17C9"/>
    <w:rsid w:val="002C57A1"/>
    <w:rsid w:val="002C7679"/>
    <w:rsid w:val="002D0910"/>
    <w:rsid w:val="002D533D"/>
    <w:rsid w:val="002E0A6E"/>
    <w:rsid w:val="002E20E0"/>
    <w:rsid w:val="002E3686"/>
    <w:rsid w:val="002E5AFD"/>
    <w:rsid w:val="002E6C77"/>
    <w:rsid w:val="002F0C99"/>
    <w:rsid w:val="002F2C30"/>
    <w:rsid w:val="0030521B"/>
    <w:rsid w:val="00305972"/>
    <w:rsid w:val="00313689"/>
    <w:rsid w:val="00324449"/>
    <w:rsid w:val="00324851"/>
    <w:rsid w:val="0032560B"/>
    <w:rsid w:val="00335329"/>
    <w:rsid w:val="00335562"/>
    <w:rsid w:val="00341926"/>
    <w:rsid w:val="00345F92"/>
    <w:rsid w:val="00350E5C"/>
    <w:rsid w:val="003530AC"/>
    <w:rsid w:val="003558EA"/>
    <w:rsid w:val="00364C7A"/>
    <w:rsid w:val="00365DC3"/>
    <w:rsid w:val="0037375F"/>
    <w:rsid w:val="00380B39"/>
    <w:rsid w:val="00381DCE"/>
    <w:rsid w:val="00384C9C"/>
    <w:rsid w:val="003915E7"/>
    <w:rsid w:val="00396C5D"/>
    <w:rsid w:val="003A0745"/>
    <w:rsid w:val="003A22B8"/>
    <w:rsid w:val="003A312A"/>
    <w:rsid w:val="003A437F"/>
    <w:rsid w:val="003B0326"/>
    <w:rsid w:val="003B1F95"/>
    <w:rsid w:val="003B5B00"/>
    <w:rsid w:val="003B7A8B"/>
    <w:rsid w:val="003C1FFD"/>
    <w:rsid w:val="003C77B5"/>
    <w:rsid w:val="003E29F2"/>
    <w:rsid w:val="003E5B21"/>
    <w:rsid w:val="003E6C5C"/>
    <w:rsid w:val="003F744E"/>
    <w:rsid w:val="004100E3"/>
    <w:rsid w:val="00410EF0"/>
    <w:rsid w:val="0041147A"/>
    <w:rsid w:val="00422F07"/>
    <w:rsid w:val="004238BB"/>
    <w:rsid w:val="004259C1"/>
    <w:rsid w:val="004261D1"/>
    <w:rsid w:val="00427115"/>
    <w:rsid w:val="00427CD7"/>
    <w:rsid w:val="004307B6"/>
    <w:rsid w:val="00431BCD"/>
    <w:rsid w:val="00431E5C"/>
    <w:rsid w:val="00440674"/>
    <w:rsid w:val="00441B80"/>
    <w:rsid w:val="00444CAC"/>
    <w:rsid w:val="004465E1"/>
    <w:rsid w:val="00447B57"/>
    <w:rsid w:val="004540E1"/>
    <w:rsid w:val="00465100"/>
    <w:rsid w:val="00466F74"/>
    <w:rsid w:val="0047339D"/>
    <w:rsid w:val="0047380D"/>
    <w:rsid w:val="00480FE7"/>
    <w:rsid w:val="004819E3"/>
    <w:rsid w:val="00482B7B"/>
    <w:rsid w:val="00482D2D"/>
    <w:rsid w:val="00486F84"/>
    <w:rsid w:val="004905F7"/>
    <w:rsid w:val="00490630"/>
    <w:rsid w:val="00495203"/>
    <w:rsid w:val="004A7766"/>
    <w:rsid w:val="004B6901"/>
    <w:rsid w:val="004C4C54"/>
    <w:rsid w:val="004D1424"/>
    <w:rsid w:val="004D3005"/>
    <w:rsid w:val="004D6655"/>
    <w:rsid w:val="004D6ABB"/>
    <w:rsid w:val="004E14BC"/>
    <w:rsid w:val="005005DA"/>
    <w:rsid w:val="00504D06"/>
    <w:rsid w:val="005050BE"/>
    <w:rsid w:val="005057DB"/>
    <w:rsid w:val="00511D03"/>
    <w:rsid w:val="00522D11"/>
    <w:rsid w:val="00525477"/>
    <w:rsid w:val="00544C1D"/>
    <w:rsid w:val="005450A9"/>
    <w:rsid w:val="00546BED"/>
    <w:rsid w:val="00553D4D"/>
    <w:rsid w:val="00556860"/>
    <w:rsid w:val="0056067E"/>
    <w:rsid w:val="005612C3"/>
    <w:rsid w:val="00563DFF"/>
    <w:rsid w:val="00564C6C"/>
    <w:rsid w:val="005654F9"/>
    <w:rsid w:val="005672F4"/>
    <w:rsid w:val="0057125E"/>
    <w:rsid w:val="00573269"/>
    <w:rsid w:val="0057584A"/>
    <w:rsid w:val="00582B4E"/>
    <w:rsid w:val="0058786C"/>
    <w:rsid w:val="005932C6"/>
    <w:rsid w:val="00594CF2"/>
    <w:rsid w:val="005A6290"/>
    <w:rsid w:val="005A6B63"/>
    <w:rsid w:val="005B03F0"/>
    <w:rsid w:val="005B2F59"/>
    <w:rsid w:val="005B5B5E"/>
    <w:rsid w:val="005B6276"/>
    <w:rsid w:val="005B6394"/>
    <w:rsid w:val="005C0056"/>
    <w:rsid w:val="005C0B20"/>
    <w:rsid w:val="005D0369"/>
    <w:rsid w:val="005D0920"/>
    <w:rsid w:val="005D1FC7"/>
    <w:rsid w:val="005D621E"/>
    <w:rsid w:val="005E04B4"/>
    <w:rsid w:val="005E3D98"/>
    <w:rsid w:val="005E4FA7"/>
    <w:rsid w:val="005E5782"/>
    <w:rsid w:val="005E6D49"/>
    <w:rsid w:val="005F1524"/>
    <w:rsid w:val="00601626"/>
    <w:rsid w:val="0060371D"/>
    <w:rsid w:val="006044FF"/>
    <w:rsid w:val="0060584B"/>
    <w:rsid w:val="00605F06"/>
    <w:rsid w:val="00614F32"/>
    <w:rsid w:val="00615274"/>
    <w:rsid w:val="00617A7B"/>
    <w:rsid w:val="0062414F"/>
    <w:rsid w:val="00630CF8"/>
    <w:rsid w:val="00632ACA"/>
    <w:rsid w:val="00634299"/>
    <w:rsid w:val="00635180"/>
    <w:rsid w:val="0063589E"/>
    <w:rsid w:val="00636816"/>
    <w:rsid w:val="0064194B"/>
    <w:rsid w:val="00644A69"/>
    <w:rsid w:val="006457F0"/>
    <w:rsid w:val="0064588C"/>
    <w:rsid w:val="00651704"/>
    <w:rsid w:val="00651A67"/>
    <w:rsid w:val="006536E1"/>
    <w:rsid w:val="00662409"/>
    <w:rsid w:val="00665A90"/>
    <w:rsid w:val="00671371"/>
    <w:rsid w:val="00671A3D"/>
    <w:rsid w:val="00672DE8"/>
    <w:rsid w:val="006761E8"/>
    <w:rsid w:val="0067669F"/>
    <w:rsid w:val="00676CBF"/>
    <w:rsid w:val="00683005"/>
    <w:rsid w:val="00684669"/>
    <w:rsid w:val="00694F1E"/>
    <w:rsid w:val="00695B74"/>
    <w:rsid w:val="006A437C"/>
    <w:rsid w:val="006A4754"/>
    <w:rsid w:val="006B0821"/>
    <w:rsid w:val="006B1733"/>
    <w:rsid w:val="006B20AF"/>
    <w:rsid w:val="006B5D4D"/>
    <w:rsid w:val="006B68C6"/>
    <w:rsid w:val="006B6E29"/>
    <w:rsid w:val="006C2371"/>
    <w:rsid w:val="006C3C48"/>
    <w:rsid w:val="006C3FA4"/>
    <w:rsid w:val="006C5173"/>
    <w:rsid w:val="006C6EB3"/>
    <w:rsid w:val="006D1060"/>
    <w:rsid w:val="006D1B9C"/>
    <w:rsid w:val="006D2176"/>
    <w:rsid w:val="006D23DB"/>
    <w:rsid w:val="006D3E10"/>
    <w:rsid w:val="006E1E31"/>
    <w:rsid w:val="006E2B45"/>
    <w:rsid w:val="006E4852"/>
    <w:rsid w:val="006E7273"/>
    <w:rsid w:val="006F2590"/>
    <w:rsid w:val="006F3A12"/>
    <w:rsid w:val="006F729B"/>
    <w:rsid w:val="006F7769"/>
    <w:rsid w:val="007031FC"/>
    <w:rsid w:val="00703A58"/>
    <w:rsid w:val="0071145D"/>
    <w:rsid w:val="00711B48"/>
    <w:rsid w:val="007137AC"/>
    <w:rsid w:val="007154E9"/>
    <w:rsid w:val="00723A8F"/>
    <w:rsid w:val="00724548"/>
    <w:rsid w:val="00732CBE"/>
    <w:rsid w:val="0073458E"/>
    <w:rsid w:val="00735B8F"/>
    <w:rsid w:val="0073665D"/>
    <w:rsid w:val="0074076D"/>
    <w:rsid w:val="0074129B"/>
    <w:rsid w:val="007460EF"/>
    <w:rsid w:val="007552D6"/>
    <w:rsid w:val="007575ED"/>
    <w:rsid w:val="00760153"/>
    <w:rsid w:val="00761433"/>
    <w:rsid w:val="00770552"/>
    <w:rsid w:val="00770D8D"/>
    <w:rsid w:val="007710FF"/>
    <w:rsid w:val="007711D7"/>
    <w:rsid w:val="00773437"/>
    <w:rsid w:val="00773FD2"/>
    <w:rsid w:val="0077433C"/>
    <w:rsid w:val="00777DDB"/>
    <w:rsid w:val="00791CA2"/>
    <w:rsid w:val="007954AF"/>
    <w:rsid w:val="007A0558"/>
    <w:rsid w:val="007A0BB0"/>
    <w:rsid w:val="007A0E81"/>
    <w:rsid w:val="007A11B9"/>
    <w:rsid w:val="007A57E7"/>
    <w:rsid w:val="007B0209"/>
    <w:rsid w:val="007B15CB"/>
    <w:rsid w:val="007B29F3"/>
    <w:rsid w:val="007B3A03"/>
    <w:rsid w:val="007B74B0"/>
    <w:rsid w:val="007C1C6E"/>
    <w:rsid w:val="007C5411"/>
    <w:rsid w:val="007C6A52"/>
    <w:rsid w:val="007D158C"/>
    <w:rsid w:val="007D2744"/>
    <w:rsid w:val="007D3ADD"/>
    <w:rsid w:val="007E49CD"/>
    <w:rsid w:val="007E6C1A"/>
    <w:rsid w:val="007F1F08"/>
    <w:rsid w:val="007F4491"/>
    <w:rsid w:val="007F628D"/>
    <w:rsid w:val="008015A4"/>
    <w:rsid w:val="00801C89"/>
    <w:rsid w:val="00804532"/>
    <w:rsid w:val="00807AA8"/>
    <w:rsid w:val="00812595"/>
    <w:rsid w:val="00812C54"/>
    <w:rsid w:val="0081799B"/>
    <w:rsid w:val="0082236F"/>
    <w:rsid w:val="00825182"/>
    <w:rsid w:val="00830DC8"/>
    <w:rsid w:val="00830FEA"/>
    <w:rsid w:val="00837A05"/>
    <w:rsid w:val="00840C58"/>
    <w:rsid w:val="00843F91"/>
    <w:rsid w:val="00844743"/>
    <w:rsid w:val="00853E41"/>
    <w:rsid w:val="00864F9B"/>
    <w:rsid w:val="008718B9"/>
    <w:rsid w:val="008733F2"/>
    <w:rsid w:val="008737F9"/>
    <w:rsid w:val="00880DC1"/>
    <w:rsid w:val="00885AD7"/>
    <w:rsid w:val="008872C8"/>
    <w:rsid w:val="00896421"/>
    <w:rsid w:val="0089652A"/>
    <w:rsid w:val="008A1CB0"/>
    <w:rsid w:val="008A2034"/>
    <w:rsid w:val="008A5C09"/>
    <w:rsid w:val="008A6A28"/>
    <w:rsid w:val="008B1FA6"/>
    <w:rsid w:val="008B59EA"/>
    <w:rsid w:val="008B78A5"/>
    <w:rsid w:val="008C1194"/>
    <w:rsid w:val="008C7BF3"/>
    <w:rsid w:val="008D085F"/>
    <w:rsid w:val="008D3D6A"/>
    <w:rsid w:val="008D4523"/>
    <w:rsid w:val="008F0450"/>
    <w:rsid w:val="008F7DFE"/>
    <w:rsid w:val="00901375"/>
    <w:rsid w:val="00902BE5"/>
    <w:rsid w:val="00903CE0"/>
    <w:rsid w:val="0090548B"/>
    <w:rsid w:val="00910FF9"/>
    <w:rsid w:val="009110ED"/>
    <w:rsid w:val="0091218D"/>
    <w:rsid w:val="009126DC"/>
    <w:rsid w:val="009138B2"/>
    <w:rsid w:val="009177EC"/>
    <w:rsid w:val="00920F8C"/>
    <w:rsid w:val="00925987"/>
    <w:rsid w:val="00925CCC"/>
    <w:rsid w:val="00930C81"/>
    <w:rsid w:val="00931F33"/>
    <w:rsid w:val="00933FCA"/>
    <w:rsid w:val="00936B0A"/>
    <w:rsid w:val="009438CB"/>
    <w:rsid w:val="009475FC"/>
    <w:rsid w:val="00952B93"/>
    <w:rsid w:val="00953953"/>
    <w:rsid w:val="00953B7E"/>
    <w:rsid w:val="00957765"/>
    <w:rsid w:val="0096226E"/>
    <w:rsid w:val="00962FC1"/>
    <w:rsid w:val="00963749"/>
    <w:rsid w:val="0096450A"/>
    <w:rsid w:val="0096798F"/>
    <w:rsid w:val="009702EA"/>
    <w:rsid w:val="00974F7D"/>
    <w:rsid w:val="009941F1"/>
    <w:rsid w:val="009A14CC"/>
    <w:rsid w:val="009A364C"/>
    <w:rsid w:val="009A3C63"/>
    <w:rsid w:val="009B386B"/>
    <w:rsid w:val="009B6867"/>
    <w:rsid w:val="009C1EE1"/>
    <w:rsid w:val="009C5AB6"/>
    <w:rsid w:val="009C7E9F"/>
    <w:rsid w:val="009D3A43"/>
    <w:rsid w:val="009D66B1"/>
    <w:rsid w:val="009D6DA8"/>
    <w:rsid w:val="009E419B"/>
    <w:rsid w:val="009E428F"/>
    <w:rsid w:val="009E5623"/>
    <w:rsid w:val="009F6258"/>
    <w:rsid w:val="00A00F08"/>
    <w:rsid w:val="00A26B0C"/>
    <w:rsid w:val="00A27BCB"/>
    <w:rsid w:val="00A3514F"/>
    <w:rsid w:val="00A42246"/>
    <w:rsid w:val="00A5313F"/>
    <w:rsid w:val="00A53336"/>
    <w:rsid w:val="00A63125"/>
    <w:rsid w:val="00A67A41"/>
    <w:rsid w:val="00A71DD1"/>
    <w:rsid w:val="00A72BFA"/>
    <w:rsid w:val="00A76096"/>
    <w:rsid w:val="00A82534"/>
    <w:rsid w:val="00A86822"/>
    <w:rsid w:val="00A87360"/>
    <w:rsid w:val="00A90AA5"/>
    <w:rsid w:val="00A91967"/>
    <w:rsid w:val="00A9207C"/>
    <w:rsid w:val="00A92618"/>
    <w:rsid w:val="00A93060"/>
    <w:rsid w:val="00A97599"/>
    <w:rsid w:val="00AA6D61"/>
    <w:rsid w:val="00AB318D"/>
    <w:rsid w:val="00AC1058"/>
    <w:rsid w:val="00AC1235"/>
    <w:rsid w:val="00AC256F"/>
    <w:rsid w:val="00AC343A"/>
    <w:rsid w:val="00AC5157"/>
    <w:rsid w:val="00AD238B"/>
    <w:rsid w:val="00AE0ABE"/>
    <w:rsid w:val="00AE3785"/>
    <w:rsid w:val="00AE42B1"/>
    <w:rsid w:val="00AF602A"/>
    <w:rsid w:val="00AF626D"/>
    <w:rsid w:val="00AF69E0"/>
    <w:rsid w:val="00B0011A"/>
    <w:rsid w:val="00B05322"/>
    <w:rsid w:val="00B075B7"/>
    <w:rsid w:val="00B10ED7"/>
    <w:rsid w:val="00B113B1"/>
    <w:rsid w:val="00B14374"/>
    <w:rsid w:val="00B17616"/>
    <w:rsid w:val="00B27FEA"/>
    <w:rsid w:val="00B31B9A"/>
    <w:rsid w:val="00B323C2"/>
    <w:rsid w:val="00B33AEC"/>
    <w:rsid w:val="00B364D3"/>
    <w:rsid w:val="00B40963"/>
    <w:rsid w:val="00B43438"/>
    <w:rsid w:val="00B463F0"/>
    <w:rsid w:val="00B46D3D"/>
    <w:rsid w:val="00B53DAE"/>
    <w:rsid w:val="00B55DAC"/>
    <w:rsid w:val="00B601D5"/>
    <w:rsid w:val="00B604A2"/>
    <w:rsid w:val="00B60587"/>
    <w:rsid w:val="00B60C33"/>
    <w:rsid w:val="00B63E3A"/>
    <w:rsid w:val="00B7126D"/>
    <w:rsid w:val="00B71E63"/>
    <w:rsid w:val="00B7391C"/>
    <w:rsid w:val="00B73F6B"/>
    <w:rsid w:val="00B80541"/>
    <w:rsid w:val="00B82E9E"/>
    <w:rsid w:val="00B85EB0"/>
    <w:rsid w:val="00B87889"/>
    <w:rsid w:val="00BA2475"/>
    <w:rsid w:val="00BA3DE3"/>
    <w:rsid w:val="00BA5B82"/>
    <w:rsid w:val="00BA747A"/>
    <w:rsid w:val="00BA782E"/>
    <w:rsid w:val="00BC02C2"/>
    <w:rsid w:val="00BC3695"/>
    <w:rsid w:val="00BC77AA"/>
    <w:rsid w:val="00BD02E2"/>
    <w:rsid w:val="00BD5F37"/>
    <w:rsid w:val="00BD73D8"/>
    <w:rsid w:val="00BE268A"/>
    <w:rsid w:val="00BF016F"/>
    <w:rsid w:val="00BF46CB"/>
    <w:rsid w:val="00BF4DA5"/>
    <w:rsid w:val="00BF58BD"/>
    <w:rsid w:val="00BF7711"/>
    <w:rsid w:val="00C0401E"/>
    <w:rsid w:val="00C0508C"/>
    <w:rsid w:val="00C06976"/>
    <w:rsid w:val="00C10D92"/>
    <w:rsid w:val="00C15ABA"/>
    <w:rsid w:val="00C23221"/>
    <w:rsid w:val="00C25022"/>
    <w:rsid w:val="00C26B6D"/>
    <w:rsid w:val="00C33079"/>
    <w:rsid w:val="00C36255"/>
    <w:rsid w:val="00C50A31"/>
    <w:rsid w:val="00C53300"/>
    <w:rsid w:val="00C54BA2"/>
    <w:rsid w:val="00C63E6E"/>
    <w:rsid w:val="00C70CF4"/>
    <w:rsid w:val="00C7195C"/>
    <w:rsid w:val="00C736DE"/>
    <w:rsid w:val="00C77A7B"/>
    <w:rsid w:val="00C8129D"/>
    <w:rsid w:val="00C82C36"/>
    <w:rsid w:val="00C908A5"/>
    <w:rsid w:val="00C90ED7"/>
    <w:rsid w:val="00CA051A"/>
    <w:rsid w:val="00CA2119"/>
    <w:rsid w:val="00CA6DE3"/>
    <w:rsid w:val="00CA7333"/>
    <w:rsid w:val="00CB02A3"/>
    <w:rsid w:val="00CC1030"/>
    <w:rsid w:val="00CC41CA"/>
    <w:rsid w:val="00CC503C"/>
    <w:rsid w:val="00CC7D76"/>
    <w:rsid w:val="00CD7F62"/>
    <w:rsid w:val="00CE2279"/>
    <w:rsid w:val="00CE5379"/>
    <w:rsid w:val="00CE68A5"/>
    <w:rsid w:val="00CE7FAB"/>
    <w:rsid w:val="00CF0845"/>
    <w:rsid w:val="00CF3F71"/>
    <w:rsid w:val="00CF55BA"/>
    <w:rsid w:val="00D029B2"/>
    <w:rsid w:val="00D0399E"/>
    <w:rsid w:val="00D05221"/>
    <w:rsid w:val="00D06179"/>
    <w:rsid w:val="00D20A33"/>
    <w:rsid w:val="00D30925"/>
    <w:rsid w:val="00D321A7"/>
    <w:rsid w:val="00D32727"/>
    <w:rsid w:val="00D33FBD"/>
    <w:rsid w:val="00D40989"/>
    <w:rsid w:val="00D4272D"/>
    <w:rsid w:val="00D6064C"/>
    <w:rsid w:val="00D7378F"/>
    <w:rsid w:val="00D73FF5"/>
    <w:rsid w:val="00D74C23"/>
    <w:rsid w:val="00D75E04"/>
    <w:rsid w:val="00D77F9A"/>
    <w:rsid w:val="00D83146"/>
    <w:rsid w:val="00D84118"/>
    <w:rsid w:val="00D86D04"/>
    <w:rsid w:val="00D86F06"/>
    <w:rsid w:val="00D91317"/>
    <w:rsid w:val="00D91734"/>
    <w:rsid w:val="00D95F79"/>
    <w:rsid w:val="00D973E5"/>
    <w:rsid w:val="00DA3023"/>
    <w:rsid w:val="00DA4670"/>
    <w:rsid w:val="00DA57A1"/>
    <w:rsid w:val="00DB798D"/>
    <w:rsid w:val="00DC1406"/>
    <w:rsid w:val="00DC2D5E"/>
    <w:rsid w:val="00DD1490"/>
    <w:rsid w:val="00DD2399"/>
    <w:rsid w:val="00DE3C1A"/>
    <w:rsid w:val="00DE4908"/>
    <w:rsid w:val="00DE5424"/>
    <w:rsid w:val="00DE7D15"/>
    <w:rsid w:val="00DF0EE0"/>
    <w:rsid w:val="00DF647E"/>
    <w:rsid w:val="00E0224A"/>
    <w:rsid w:val="00E0390F"/>
    <w:rsid w:val="00E06CE6"/>
    <w:rsid w:val="00E113BD"/>
    <w:rsid w:val="00E1366A"/>
    <w:rsid w:val="00E2104E"/>
    <w:rsid w:val="00E27C70"/>
    <w:rsid w:val="00E311C7"/>
    <w:rsid w:val="00E3428F"/>
    <w:rsid w:val="00E34984"/>
    <w:rsid w:val="00E433B0"/>
    <w:rsid w:val="00E44A31"/>
    <w:rsid w:val="00E50177"/>
    <w:rsid w:val="00E501CA"/>
    <w:rsid w:val="00E54207"/>
    <w:rsid w:val="00E5517D"/>
    <w:rsid w:val="00E57E94"/>
    <w:rsid w:val="00E6512B"/>
    <w:rsid w:val="00E65133"/>
    <w:rsid w:val="00E736A2"/>
    <w:rsid w:val="00E75369"/>
    <w:rsid w:val="00E818FC"/>
    <w:rsid w:val="00E82863"/>
    <w:rsid w:val="00E860CF"/>
    <w:rsid w:val="00E9290E"/>
    <w:rsid w:val="00E93B57"/>
    <w:rsid w:val="00EA1160"/>
    <w:rsid w:val="00EA3701"/>
    <w:rsid w:val="00EA3CDA"/>
    <w:rsid w:val="00EB521E"/>
    <w:rsid w:val="00EB6CE8"/>
    <w:rsid w:val="00EC0C98"/>
    <w:rsid w:val="00EC15C0"/>
    <w:rsid w:val="00EC5DC0"/>
    <w:rsid w:val="00EC6256"/>
    <w:rsid w:val="00ED69AE"/>
    <w:rsid w:val="00EE1B99"/>
    <w:rsid w:val="00EE40C5"/>
    <w:rsid w:val="00EF0270"/>
    <w:rsid w:val="00EF2DA0"/>
    <w:rsid w:val="00EF2DCE"/>
    <w:rsid w:val="00EF6F76"/>
    <w:rsid w:val="00EF7946"/>
    <w:rsid w:val="00F0031A"/>
    <w:rsid w:val="00F034E1"/>
    <w:rsid w:val="00F038D1"/>
    <w:rsid w:val="00F13440"/>
    <w:rsid w:val="00F13C87"/>
    <w:rsid w:val="00F15059"/>
    <w:rsid w:val="00F16639"/>
    <w:rsid w:val="00F17396"/>
    <w:rsid w:val="00F227BE"/>
    <w:rsid w:val="00F24C55"/>
    <w:rsid w:val="00F25778"/>
    <w:rsid w:val="00F34DFF"/>
    <w:rsid w:val="00F3734E"/>
    <w:rsid w:val="00F42777"/>
    <w:rsid w:val="00F42F06"/>
    <w:rsid w:val="00F434AB"/>
    <w:rsid w:val="00F57DEB"/>
    <w:rsid w:val="00F60A20"/>
    <w:rsid w:val="00F64AA4"/>
    <w:rsid w:val="00F66775"/>
    <w:rsid w:val="00F7791D"/>
    <w:rsid w:val="00F80CEE"/>
    <w:rsid w:val="00F909A1"/>
    <w:rsid w:val="00F909F6"/>
    <w:rsid w:val="00F93B8A"/>
    <w:rsid w:val="00FA16CE"/>
    <w:rsid w:val="00FA24C3"/>
    <w:rsid w:val="00FA5E3C"/>
    <w:rsid w:val="00FA74B1"/>
    <w:rsid w:val="00FB55ED"/>
    <w:rsid w:val="00FC179A"/>
    <w:rsid w:val="00FC7B04"/>
    <w:rsid w:val="00FD59CC"/>
    <w:rsid w:val="00FD6500"/>
    <w:rsid w:val="00FE0DC0"/>
    <w:rsid w:val="00FE580D"/>
    <w:rsid w:val="00FF0897"/>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3A0745"/>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A0745"/>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16 Point"/>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Puesto">
    <w:name w:val="Title"/>
    <w:basedOn w:val="Normal"/>
    <w:link w:val="PuestoCar"/>
    <w:qFormat/>
    <w:rsid w:val="00DE3C1A"/>
    <w:pPr>
      <w:spacing w:line="240" w:lineRule="auto"/>
      <w:jc w:val="center"/>
    </w:pPr>
    <w:rPr>
      <w:rFonts w:ascii="Arial" w:hAnsi="Arial"/>
      <w:sz w:val="28"/>
      <w:szCs w:val="20"/>
      <w:lang w:val="es-CO" w:eastAsia="es-ES"/>
    </w:rPr>
  </w:style>
  <w:style w:type="character" w:customStyle="1" w:styleId="PuestoCar">
    <w:name w:val="Puesto Car"/>
    <w:basedOn w:val="Fuentedeprrafopredeter"/>
    <w:link w:val="Puest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 w:type="character" w:customStyle="1" w:styleId="iaj">
    <w:name w:val="i_aj"/>
    <w:rsid w:val="00DF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 w:id="18358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9FF0-42A8-4B41-8E5F-5477673D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3955</Words>
  <Characters>19423</Characters>
  <Application>Microsoft Office Word</Application>
  <DocSecurity>0</DocSecurity>
  <Lines>396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2</cp:revision>
  <cp:lastPrinted>2019-10-22T19:20:00Z</cp:lastPrinted>
  <dcterms:created xsi:type="dcterms:W3CDTF">2019-12-05T20:50:00Z</dcterms:created>
  <dcterms:modified xsi:type="dcterms:W3CDTF">2019-12-05T20:50:00Z</dcterms:modified>
</cp:coreProperties>
</file>