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32" w:rsidRPr="00B30EFC" w:rsidRDefault="006A0032" w:rsidP="006A003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A0032" w:rsidRPr="00B30EFC" w:rsidRDefault="006A0032" w:rsidP="006A0032">
      <w:pPr>
        <w:jc w:val="both"/>
        <w:rPr>
          <w:rFonts w:ascii="Arial" w:hAnsi="Arial" w:cs="Arial"/>
          <w:sz w:val="20"/>
          <w:szCs w:val="20"/>
          <w:lang w:val="es-419"/>
        </w:rPr>
      </w:pPr>
    </w:p>
    <w:p w:rsidR="006A0032" w:rsidRPr="00B30EFC" w:rsidRDefault="006A0032" w:rsidP="006A0032">
      <w:pPr>
        <w:pStyle w:val="Sinespaciado"/>
        <w:rPr>
          <w:rFonts w:ascii="Arial" w:hAnsi="Arial"/>
          <w:b w:val="0"/>
          <w:bCs/>
          <w:iCs/>
          <w:sz w:val="20"/>
          <w:szCs w:val="20"/>
          <w:lang w:val="es-419" w:eastAsia="fr-FR"/>
        </w:rPr>
      </w:pPr>
      <w:r w:rsidRPr="00B30EFC">
        <w:rPr>
          <w:rFonts w:ascii="Arial" w:hAnsi="Arial"/>
          <w:bCs/>
          <w:iCs/>
          <w:sz w:val="20"/>
          <w:szCs w:val="20"/>
          <w:lang w:val="es-419" w:eastAsia="fr-FR"/>
        </w:rPr>
        <w:t>TEMAS:</w:t>
      </w:r>
      <w:r w:rsidRPr="00B30EFC">
        <w:rPr>
          <w:rFonts w:ascii="Arial" w:hAnsi="Arial"/>
          <w:bCs/>
          <w:iCs/>
          <w:sz w:val="20"/>
          <w:szCs w:val="20"/>
          <w:lang w:val="es-419" w:eastAsia="fr-FR"/>
        </w:rPr>
        <w:tab/>
      </w:r>
      <w:r w:rsidR="00DC5335">
        <w:rPr>
          <w:rFonts w:ascii="Arial" w:hAnsi="Arial"/>
          <w:bCs/>
          <w:iCs/>
          <w:sz w:val="20"/>
          <w:szCs w:val="20"/>
          <w:lang w:val="es-CO" w:eastAsia="fr-FR"/>
        </w:rPr>
        <w:t>TESTIGO DE ACREDITACIÓN / APLICA SOLO PARA INTRODUCIR AL PROCESO PRUEBA DOCUMENTAL PRIVADA NO AUTÉNTICA / L</w:t>
      </w:r>
      <w:r w:rsidR="00303FC2">
        <w:rPr>
          <w:rFonts w:ascii="Arial" w:hAnsi="Arial"/>
          <w:bCs/>
          <w:iCs/>
          <w:sz w:val="20"/>
          <w:szCs w:val="20"/>
          <w:lang w:val="es-CO" w:eastAsia="fr-FR"/>
        </w:rPr>
        <w:t>A</w:t>
      </w:r>
      <w:r w:rsidR="00DC5335">
        <w:rPr>
          <w:rFonts w:ascii="Arial" w:hAnsi="Arial"/>
          <w:bCs/>
          <w:iCs/>
          <w:sz w:val="20"/>
          <w:szCs w:val="20"/>
          <w:lang w:val="es-CO" w:eastAsia="fr-FR"/>
        </w:rPr>
        <w:t xml:space="preserve"> </w:t>
      </w:r>
      <w:r w:rsidR="00303FC2">
        <w:rPr>
          <w:rFonts w:ascii="Arial" w:hAnsi="Arial"/>
          <w:bCs/>
          <w:iCs/>
          <w:sz w:val="20"/>
          <w:szCs w:val="20"/>
          <w:lang w:val="es-CO" w:eastAsia="fr-FR"/>
        </w:rPr>
        <w:t xml:space="preserve">AUTÉNTICA </w:t>
      </w:r>
      <w:r w:rsidR="00DC5335">
        <w:rPr>
          <w:rFonts w:ascii="Arial" w:hAnsi="Arial"/>
          <w:bCs/>
          <w:iCs/>
          <w:sz w:val="20"/>
          <w:szCs w:val="20"/>
          <w:lang w:val="es-CO" w:eastAsia="fr-FR"/>
        </w:rPr>
        <w:t xml:space="preserve">PUEDEN INGRESAR DIRECTAMENTE / </w:t>
      </w:r>
      <w:r w:rsidR="00615571">
        <w:rPr>
          <w:rFonts w:ascii="Arial" w:hAnsi="Arial"/>
          <w:bCs/>
          <w:iCs/>
          <w:sz w:val="20"/>
          <w:szCs w:val="20"/>
          <w:lang w:val="es-CO" w:eastAsia="fr-FR"/>
        </w:rPr>
        <w:t xml:space="preserve">TAMPOCO ES PROCEDENTE UTILIZAR LA FIGURA DE TESTIGO DE ACREDITACIÓN PARA INTRODUCIR PRUEBA TESTIMONIAL / </w:t>
      </w:r>
      <w:r w:rsidR="00E03F1A">
        <w:rPr>
          <w:rFonts w:ascii="Arial" w:hAnsi="Arial"/>
          <w:bCs/>
          <w:iCs/>
          <w:sz w:val="20"/>
          <w:szCs w:val="20"/>
          <w:lang w:val="es-CO" w:eastAsia="fr-FR"/>
        </w:rPr>
        <w:t>PARA EL EFECTO APLICA LA PRUEBA DE REFERENCIA.</w:t>
      </w:r>
    </w:p>
    <w:p w:rsidR="006A0032" w:rsidRDefault="006A0032" w:rsidP="006A0032">
      <w:pPr>
        <w:jc w:val="both"/>
        <w:rPr>
          <w:rFonts w:ascii="Arial" w:hAnsi="Arial" w:cs="Arial"/>
          <w:sz w:val="20"/>
          <w:szCs w:val="20"/>
          <w:lang w:val="es-419"/>
        </w:rPr>
      </w:pPr>
    </w:p>
    <w:p w:rsidR="00B63AC6" w:rsidRPr="00AD620B" w:rsidRDefault="00B63AC6" w:rsidP="00AD620B">
      <w:pPr>
        <w:jc w:val="both"/>
        <w:rPr>
          <w:rFonts w:ascii="Arial" w:hAnsi="Arial" w:cs="Arial"/>
          <w:sz w:val="20"/>
          <w:szCs w:val="20"/>
          <w:lang w:val="es-419"/>
        </w:rPr>
      </w:pPr>
      <w:r w:rsidRPr="00AD620B">
        <w:rPr>
          <w:rFonts w:ascii="Arial" w:hAnsi="Arial" w:cs="Arial"/>
          <w:sz w:val="20"/>
          <w:szCs w:val="20"/>
          <w:lang w:val="es-419"/>
        </w:rPr>
        <w:t xml:space="preserve">… </w:t>
      </w:r>
      <w:r w:rsidRPr="00AD620B">
        <w:rPr>
          <w:rFonts w:ascii="Arial" w:hAnsi="Arial" w:cs="Arial"/>
          <w:sz w:val="20"/>
          <w:szCs w:val="20"/>
          <w:lang w:val="es-419"/>
        </w:rPr>
        <w:t>en principio se podría plantear que esos documentos</w:t>
      </w:r>
      <w:r w:rsidRPr="00AD620B">
        <w:rPr>
          <w:rFonts w:ascii="Arial" w:hAnsi="Arial" w:cs="Arial"/>
          <w:sz w:val="20"/>
          <w:szCs w:val="20"/>
          <w:lang w:val="es-419"/>
        </w:rPr>
        <w:t xml:space="preserve"> </w:t>
      </w:r>
      <w:r w:rsidRPr="00AD620B">
        <w:rPr>
          <w:rFonts w:ascii="Arial" w:hAnsi="Arial" w:cs="Arial"/>
          <w:sz w:val="20"/>
          <w:szCs w:val="20"/>
          <w:lang w:val="es-419"/>
        </w:rPr>
        <w:t xml:space="preserve">-de presentarse en original para el juicio- se podrían considerar como documentos privados auténticos, al asimilarse a títulos valores, siguiendo lo dispuesto en el artículo 425 del </w:t>
      </w:r>
      <w:proofErr w:type="spellStart"/>
      <w:r w:rsidRPr="00AD620B">
        <w:rPr>
          <w:rFonts w:ascii="Arial" w:hAnsi="Arial" w:cs="Arial"/>
          <w:sz w:val="20"/>
          <w:szCs w:val="20"/>
          <w:lang w:val="es-419"/>
        </w:rPr>
        <w:t>CPP</w:t>
      </w:r>
      <w:proofErr w:type="spellEnd"/>
      <w:r w:rsidRPr="00AD620B">
        <w:rPr>
          <w:rFonts w:ascii="Arial" w:hAnsi="Arial" w:cs="Arial"/>
          <w:sz w:val="20"/>
          <w:szCs w:val="20"/>
          <w:lang w:val="es-419"/>
        </w:rPr>
        <w:t>.</w:t>
      </w:r>
    </w:p>
    <w:p w:rsidR="00B63AC6" w:rsidRPr="00AD620B" w:rsidRDefault="00B63AC6" w:rsidP="00AD620B">
      <w:pPr>
        <w:jc w:val="both"/>
        <w:rPr>
          <w:rFonts w:ascii="Arial" w:hAnsi="Arial" w:cs="Arial"/>
          <w:sz w:val="20"/>
          <w:szCs w:val="20"/>
          <w:lang w:val="es-419"/>
        </w:rPr>
      </w:pPr>
    </w:p>
    <w:p w:rsidR="00B63AC6" w:rsidRPr="00AD620B" w:rsidRDefault="00B63AC6" w:rsidP="00AD620B">
      <w:pPr>
        <w:jc w:val="both"/>
        <w:rPr>
          <w:rFonts w:ascii="Arial" w:hAnsi="Arial" w:cs="Arial"/>
          <w:sz w:val="20"/>
          <w:szCs w:val="20"/>
          <w:lang w:val="es-419"/>
        </w:rPr>
      </w:pPr>
      <w:r w:rsidRPr="00AD620B">
        <w:rPr>
          <w:rFonts w:ascii="Arial" w:hAnsi="Arial" w:cs="Arial"/>
          <w:sz w:val="20"/>
          <w:szCs w:val="20"/>
          <w:lang w:val="es-419"/>
        </w:rPr>
        <w:t xml:space="preserve">Los demás documentos anunciados por el delegado de la </w:t>
      </w:r>
      <w:proofErr w:type="spellStart"/>
      <w:r w:rsidRPr="00AD620B">
        <w:rPr>
          <w:rFonts w:ascii="Arial" w:hAnsi="Arial" w:cs="Arial"/>
          <w:sz w:val="20"/>
          <w:szCs w:val="20"/>
          <w:lang w:val="es-419"/>
        </w:rPr>
        <w:t>FGN</w:t>
      </w:r>
      <w:proofErr w:type="spellEnd"/>
      <w:r w:rsidRPr="00AD620B">
        <w:rPr>
          <w:rFonts w:ascii="Arial" w:hAnsi="Arial" w:cs="Arial"/>
          <w:sz w:val="20"/>
          <w:szCs w:val="20"/>
          <w:lang w:val="es-419"/>
        </w:rPr>
        <w:t xml:space="preserve"> tienen el carácter de documentos privados no auténticos, siguiendo lo dispuesto en el artículo 425 del </w:t>
      </w:r>
      <w:proofErr w:type="spellStart"/>
      <w:r w:rsidRPr="00AD620B">
        <w:rPr>
          <w:rFonts w:ascii="Arial" w:hAnsi="Arial" w:cs="Arial"/>
          <w:sz w:val="20"/>
          <w:szCs w:val="20"/>
          <w:lang w:val="es-419"/>
        </w:rPr>
        <w:t>CPP</w:t>
      </w:r>
      <w:proofErr w:type="spellEnd"/>
      <w:r w:rsidRPr="00AD620B">
        <w:rPr>
          <w:rFonts w:ascii="Arial" w:hAnsi="Arial" w:cs="Arial"/>
          <w:sz w:val="20"/>
          <w:szCs w:val="20"/>
          <w:lang w:val="es-419"/>
        </w:rPr>
        <w:t xml:space="preserve">, por lo cual solamente podían ingresar al juicio a través de un testigo de acreditación, condición que no se exigiría si se presentan los originales de los </w:t>
      </w:r>
      <w:proofErr w:type="spellStart"/>
      <w:r w:rsidRPr="00AD620B">
        <w:rPr>
          <w:rFonts w:ascii="Arial" w:hAnsi="Arial" w:cs="Arial"/>
          <w:sz w:val="20"/>
          <w:szCs w:val="20"/>
          <w:lang w:val="es-419"/>
        </w:rPr>
        <w:t>CDTS</w:t>
      </w:r>
      <w:proofErr w:type="spellEnd"/>
      <w:r w:rsidRPr="00AD620B">
        <w:rPr>
          <w:rFonts w:ascii="Arial" w:hAnsi="Arial" w:cs="Arial"/>
          <w:sz w:val="20"/>
          <w:szCs w:val="20"/>
          <w:lang w:val="es-419"/>
        </w:rPr>
        <w:t xml:space="preserve"> antes mencionados, y sólo frente a esos documentos</w:t>
      </w:r>
      <w:r w:rsidRPr="00AD620B">
        <w:rPr>
          <w:rFonts w:ascii="Arial" w:hAnsi="Arial" w:cs="Arial"/>
          <w:sz w:val="20"/>
          <w:szCs w:val="20"/>
          <w:lang w:val="es-419"/>
        </w:rPr>
        <w:t>.</w:t>
      </w:r>
    </w:p>
    <w:p w:rsidR="00B63AC6" w:rsidRDefault="00B63AC6" w:rsidP="006A0032">
      <w:pPr>
        <w:jc w:val="both"/>
        <w:rPr>
          <w:rFonts w:ascii="Arial" w:hAnsi="Arial" w:cs="Arial"/>
          <w:sz w:val="20"/>
          <w:szCs w:val="20"/>
          <w:lang w:val="es-419"/>
        </w:rPr>
      </w:pPr>
    </w:p>
    <w:p w:rsidR="00B63AC6" w:rsidRPr="00AD620B" w:rsidRDefault="00B63AC6" w:rsidP="00AD620B">
      <w:pPr>
        <w:jc w:val="both"/>
        <w:rPr>
          <w:rFonts w:ascii="Arial" w:hAnsi="Arial" w:cs="Arial"/>
          <w:sz w:val="20"/>
          <w:szCs w:val="20"/>
          <w:lang w:val="es-419"/>
        </w:rPr>
      </w:pPr>
      <w:r w:rsidRPr="00AD620B">
        <w:rPr>
          <w:rFonts w:ascii="Arial" w:hAnsi="Arial" w:cs="Arial"/>
          <w:sz w:val="20"/>
          <w:szCs w:val="20"/>
          <w:lang w:val="es-419"/>
        </w:rPr>
        <w:t xml:space="preserve">En ese sentido se cita el precedente CSJ </w:t>
      </w:r>
      <w:proofErr w:type="spellStart"/>
      <w:r w:rsidRPr="00AD620B">
        <w:rPr>
          <w:rFonts w:ascii="Arial" w:hAnsi="Arial" w:cs="Arial"/>
          <w:sz w:val="20"/>
          <w:szCs w:val="20"/>
          <w:lang w:val="es-419"/>
        </w:rPr>
        <w:t>SP</w:t>
      </w:r>
      <w:proofErr w:type="spellEnd"/>
      <w:r w:rsidRPr="00AD620B">
        <w:rPr>
          <w:rFonts w:ascii="Arial" w:hAnsi="Arial" w:cs="Arial"/>
          <w:sz w:val="20"/>
          <w:szCs w:val="20"/>
          <w:lang w:val="es-419"/>
        </w:rPr>
        <w:t xml:space="preserve"> del 1º de junio de 2017, radicado 46278, donde se hizo referencia a decisiones anteriores de esa Corporación y se manifestó lo siguiente como última doctrina del órgano de cierre de la jurisdicción penal:</w:t>
      </w:r>
    </w:p>
    <w:p w:rsidR="00B63AC6" w:rsidRPr="00AD620B" w:rsidRDefault="00B63AC6" w:rsidP="00AD620B">
      <w:pPr>
        <w:jc w:val="both"/>
        <w:rPr>
          <w:rFonts w:ascii="Arial" w:hAnsi="Arial" w:cs="Arial"/>
          <w:sz w:val="20"/>
          <w:szCs w:val="20"/>
          <w:lang w:val="es-419"/>
        </w:rPr>
      </w:pPr>
    </w:p>
    <w:p w:rsidR="00B63AC6" w:rsidRPr="00AD620B" w:rsidRDefault="00B63AC6" w:rsidP="00AD620B">
      <w:pPr>
        <w:jc w:val="both"/>
        <w:rPr>
          <w:rFonts w:ascii="Arial" w:hAnsi="Arial" w:cs="Arial"/>
          <w:sz w:val="20"/>
          <w:szCs w:val="20"/>
          <w:lang w:val="es-419"/>
        </w:rPr>
      </w:pPr>
      <w:r w:rsidRPr="00AD620B">
        <w:rPr>
          <w:rFonts w:ascii="Arial" w:hAnsi="Arial" w:cs="Arial"/>
          <w:sz w:val="20"/>
          <w:szCs w:val="20"/>
          <w:lang w:val="es-419"/>
        </w:rPr>
        <w:t>“... La Corte juzga necesario reconsiderar parcialmente ese criterio y retomar de nuevo aquel según el cual el testigo de acreditación sólo se torna indispensable para introducir al juicio oral los documentos sobre los cuales no recae la presunción de autenticidad a que se refiere el artículo 425 de la Ley 906 de 2004, de tal manera que aquellos que gozan de esa presunción pueden ser ingresados directamente por la parte interesada</w:t>
      </w:r>
      <w:r w:rsidRPr="00AD620B">
        <w:rPr>
          <w:rFonts w:ascii="Arial" w:hAnsi="Arial" w:cs="Arial"/>
          <w:sz w:val="20"/>
          <w:szCs w:val="20"/>
          <w:lang w:val="es-419"/>
        </w:rPr>
        <w:t>”</w:t>
      </w:r>
      <w:r w:rsidRPr="00AD620B">
        <w:rPr>
          <w:rFonts w:ascii="Arial" w:hAnsi="Arial" w:cs="Arial"/>
          <w:sz w:val="20"/>
          <w:szCs w:val="20"/>
          <w:lang w:val="es-419"/>
        </w:rPr>
        <w:t xml:space="preserve">. </w:t>
      </w:r>
      <w:r w:rsidRPr="00AD620B">
        <w:rPr>
          <w:rFonts w:ascii="Arial" w:hAnsi="Arial" w:cs="Arial"/>
          <w:sz w:val="20"/>
          <w:szCs w:val="20"/>
          <w:lang w:val="es-419"/>
        </w:rPr>
        <w:t>(…)</w:t>
      </w:r>
    </w:p>
    <w:p w:rsidR="00B63AC6" w:rsidRDefault="00B63AC6" w:rsidP="006A0032">
      <w:pPr>
        <w:jc w:val="both"/>
        <w:rPr>
          <w:rFonts w:ascii="Arial" w:hAnsi="Arial" w:cs="Arial"/>
          <w:sz w:val="20"/>
          <w:szCs w:val="20"/>
          <w:lang w:val="es-419"/>
        </w:rPr>
      </w:pPr>
    </w:p>
    <w:p w:rsidR="00B63AC6" w:rsidRPr="00AD620B" w:rsidRDefault="00CF5849" w:rsidP="006A0032">
      <w:pPr>
        <w:jc w:val="both"/>
        <w:rPr>
          <w:rFonts w:ascii="Arial" w:hAnsi="Arial" w:cs="Arial"/>
          <w:sz w:val="20"/>
          <w:szCs w:val="20"/>
          <w:lang w:val="es-419"/>
        </w:rPr>
      </w:pPr>
      <w:r w:rsidRPr="00AD620B">
        <w:rPr>
          <w:rFonts w:ascii="Arial" w:hAnsi="Arial" w:cs="Arial"/>
          <w:sz w:val="20"/>
          <w:szCs w:val="20"/>
          <w:lang w:val="es-419"/>
        </w:rPr>
        <w:t xml:space="preserve">… </w:t>
      </w:r>
      <w:r w:rsidRPr="00AD620B">
        <w:rPr>
          <w:rFonts w:ascii="Arial" w:hAnsi="Arial" w:cs="Arial"/>
          <w:sz w:val="20"/>
          <w:szCs w:val="20"/>
          <w:lang w:val="es-419"/>
        </w:rPr>
        <w:t xml:space="preserve">como las certificaciones bancarias que pretendía ingresar al juicio el delegado de la </w:t>
      </w:r>
      <w:proofErr w:type="spellStart"/>
      <w:r w:rsidRPr="00AD620B">
        <w:rPr>
          <w:rFonts w:ascii="Arial" w:hAnsi="Arial" w:cs="Arial"/>
          <w:sz w:val="20"/>
          <w:szCs w:val="20"/>
          <w:lang w:val="es-419"/>
        </w:rPr>
        <w:t>FGN</w:t>
      </w:r>
      <w:proofErr w:type="spellEnd"/>
      <w:r w:rsidRPr="00AD620B">
        <w:rPr>
          <w:rFonts w:ascii="Arial" w:hAnsi="Arial" w:cs="Arial"/>
          <w:sz w:val="20"/>
          <w:szCs w:val="20"/>
          <w:lang w:val="es-419"/>
        </w:rPr>
        <w:t xml:space="preserve"> tienen la calidad de documentos privados, que podrían ser ingresados en el juicio oral en original o en copias auténticas a través de un investigador de la </w:t>
      </w:r>
      <w:proofErr w:type="spellStart"/>
      <w:r w:rsidRPr="00AD620B">
        <w:rPr>
          <w:rFonts w:ascii="Arial" w:hAnsi="Arial" w:cs="Arial"/>
          <w:sz w:val="20"/>
          <w:szCs w:val="20"/>
          <w:lang w:val="es-419"/>
        </w:rPr>
        <w:t>FGN</w:t>
      </w:r>
      <w:proofErr w:type="spellEnd"/>
      <w:r w:rsidRPr="00AD620B">
        <w:rPr>
          <w:rFonts w:ascii="Arial" w:hAnsi="Arial" w:cs="Arial"/>
          <w:sz w:val="20"/>
          <w:szCs w:val="20"/>
          <w:lang w:val="es-419"/>
        </w:rPr>
        <w:t>, debe citarse lo decidido por esta Colegiatura el 8 de septiembre de 2016</w:t>
      </w:r>
      <w:r w:rsidRPr="00AD620B">
        <w:rPr>
          <w:rFonts w:ascii="Arial" w:hAnsi="Arial" w:cs="Arial"/>
          <w:sz w:val="20"/>
          <w:szCs w:val="20"/>
          <w:lang w:val="es-419"/>
        </w:rPr>
        <w:t>…</w:t>
      </w:r>
    </w:p>
    <w:p w:rsidR="00CF5849" w:rsidRPr="00AD620B" w:rsidRDefault="00CF5849" w:rsidP="006A0032">
      <w:pPr>
        <w:jc w:val="both"/>
        <w:rPr>
          <w:rFonts w:ascii="Arial" w:hAnsi="Arial" w:cs="Arial"/>
          <w:sz w:val="20"/>
          <w:szCs w:val="20"/>
          <w:lang w:val="es-419"/>
        </w:rPr>
      </w:pPr>
    </w:p>
    <w:p w:rsidR="00AD620B" w:rsidRPr="00AD620B" w:rsidRDefault="00AD620B" w:rsidP="00AD620B">
      <w:pPr>
        <w:jc w:val="both"/>
        <w:rPr>
          <w:rFonts w:ascii="Arial" w:hAnsi="Arial" w:cs="Arial"/>
          <w:sz w:val="20"/>
          <w:szCs w:val="20"/>
          <w:lang w:val="es-419"/>
        </w:rPr>
      </w:pPr>
      <w:r w:rsidRPr="00AD620B">
        <w:rPr>
          <w:rFonts w:ascii="Arial" w:hAnsi="Arial" w:cs="Arial"/>
          <w:sz w:val="20"/>
          <w:szCs w:val="20"/>
          <w:lang w:val="es-419"/>
        </w:rPr>
        <w:t xml:space="preserve">“...El tema que concita la atención de esta Sala está relacionado con la eventual aplicación de las disposiciones consagradas en el inciso 2º del artículo 429 </w:t>
      </w:r>
      <w:proofErr w:type="spellStart"/>
      <w:r w:rsidRPr="00AD620B">
        <w:rPr>
          <w:rFonts w:ascii="Arial" w:hAnsi="Arial" w:cs="Arial"/>
          <w:sz w:val="20"/>
          <w:szCs w:val="20"/>
          <w:lang w:val="es-419"/>
        </w:rPr>
        <w:t>C.P.P</w:t>
      </w:r>
      <w:proofErr w:type="spellEnd"/>
      <w:r w:rsidRPr="00AD620B">
        <w:rPr>
          <w:rFonts w:ascii="Arial" w:hAnsi="Arial" w:cs="Arial"/>
          <w:sz w:val="20"/>
          <w:szCs w:val="20"/>
          <w:lang w:val="es-419"/>
        </w:rPr>
        <w:t xml:space="preserve">. respecto de la introducción de una prueba de referencia admisible, acorde con lo reglado en el artículo 438 ibídem, por parte de una persona que no recibió la declaración rendida por el testigo no disponible como consecuencia de la indisposición de la persona ante quien se evacuó de manera preliminar dicha evidencia declarativa o testimonial. </w:t>
      </w:r>
    </w:p>
    <w:p w:rsidR="00AD620B" w:rsidRPr="00AD620B" w:rsidRDefault="00AD620B" w:rsidP="00AD620B">
      <w:pPr>
        <w:jc w:val="both"/>
        <w:rPr>
          <w:rFonts w:ascii="Arial" w:hAnsi="Arial" w:cs="Arial"/>
          <w:sz w:val="20"/>
          <w:szCs w:val="20"/>
          <w:lang w:val="es-419"/>
        </w:rPr>
      </w:pPr>
    </w:p>
    <w:p w:rsidR="00AD620B" w:rsidRPr="00AD620B" w:rsidRDefault="00AD620B" w:rsidP="00AD620B">
      <w:pPr>
        <w:jc w:val="both"/>
        <w:rPr>
          <w:rFonts w:ascii="Arial" w:hAnsi="Arial" w:cs="Arial"/>
          <w:sz w:val="20"/>
          <w:szCs w:val="20"/>
          <w:lang w:val="es-419"/>
        </w:rPr>
      </w:pPr>
      <w:r w:rsidRPr="00AD620B">
        <w:rPr>
          <w:rFonts w:ascii="Arial" w:hAnsi="Arial" w:cs="Arial"/>
          <w:sz w:val="20"/>
          <w:szCs w:val="20"/>
          <w:lang w:val="es-419"/>
        </w:rPr>
        <w:t xml:space="preserve">Como punto de partida para resolver dicha controversia, se debe tener en cuenta que las disposiciones consagradas en el inciso 2º del articulo 429 </w:t>
      </w:r>
      <w:proofErr w:type="spellStart"/>
      <w:r w:rsidRPr="00AD620B">
        <w:rPr>
          <w:rFonts w:ascii="Arial" w:hAnsi="Arial" w:cs="Arial"/>
          <w:sz w:val="20"/>
          <w:szCs w:val="20"/>
          <w:lang w:val="es-419"/>
        </w:rPr>
        <w:t>C.P.P</w:t>
      </w:r>
      <w:proofErr w:type="spellEnd"/>
      <w:r w:rsidRPr="00AD620B">
        <w:rPr>
          <w:rFonts w:ascii="Arial" w:hAnsi="Arial" w:cs="Arial"/>
          <w:sz w:val="20"/>
          <w:szCs w:val="20"/>
          <w:lang w:val="es-419"/>
        </w:rPr>
        <w:t>. que regulan la figura del Testigo de acreditación dentro del escenario de la prueba documental, al permitir la posibilidad que la persona encargada de la custodia, recaudo o recolección de la evidencia documental, o en su defecto de alguna de aquellas que hicieron parte de la investigación, sean las facultadas o habilitadas para introducirla a la actuación procesal.</w:t>
      </w:r>
    </w:p>
    <w:p w:rsidR="00AD620B" w:rsidRPr="00AD620B" w:rsidRDefault="00AD620B" w:rsidP="00AD620B">
      <w:pPr>
        <w:jc w:val="both"/>
        <w:rPr>
          <w:rFonts w:ascii="Arial" w:hAnsi="Arial" w:cs="Arial"/>
          <w:sz w:val="20"/>
          <w:szCs w:val="20"/>
          <w:lang w:val="es-419"/>
        </w:rPr>
      </w:pPr>
    </w:p>
    <w:p w:rsidR="00AD620B" w:rsidRPr="00AD620B" w:rsidRDefault="00AD620B" w:rsidP="00AD620B">
      <w:pPr>
        <w:jc w:val="both"/>
        <w:rPr>
          <w:rFonts w:ascii="Arial" w:hAnsi="Arial" w:cs="Arial"/>
          <w:sz w:val="20"/>
          <w:szCs w:val="20"/>
          <w:lang w:val="es-419"/>
        </w:rPr>
      </w:pPr>
      <w:r w:rsidRPr="00AD620B">
        <w:rPr>
          <w:rFonts w:ascii="Arial" w:hAnsi="Arial" w:cs="Arial"/>
          <w:sz w:val="20"/>
          <w:szCs w:val="20"/>
          <w:lang w:val="es-419"/>
        </w:rPr>
        <w:t>De lo antes expuesto, en un principio se podría colegir que las normas procesales que regulan la figura del testigo de acreditación, están circunscritas al ingreso de la prueba documental al proceso por parte de la persona o personas a quien o quienes se le encomendaron la misión de la recolección ciertas las evidencias documentales</w:t>
      </w:r>
      <w:r w:rsidRPr="00AD620B">
        <w:rPr>
          <w:rFonts w:ascii="Arial" w:hAnsi="Arial" w:cs="Arial"/>
          <w:sz w:val="20"/>
          <w:szCs w:val="20"/>
          <w:lang w:val="es-419"/>
        </w:rPr>
        <w:t>”</w:t>
      </w:r>
      <w:r w:rsidRPr="00AD620B">
        <w:rPr>
          <w:rFonts w:ascii="Arial" w:hAnsi="Arial" w:cs="Arial"/>
          <w:sz w:val="20"/>
          <w:szCs w:val="20"/>
          <w:lang w:val="es-419"/>
        </w:rPr>
        <w:t>.</w:t>
      </w:r>
    </w:p>
    <w:p w:rsidR="006A0032" w:rsidRDefault="006A0032" w:rsidP="006A0032">
      <w:pPr>
        <w:jc w:val="both"/>
        <w:rPr>
          <w:rFonts w:ascii="Arial" w:hAnsi="Arial" w:cs="Arial"/>
          <w:sz w:val="20"/>
          <w:szCs w:val="20"/>
          <w:lang w:val="es-419"/>
        </w:rPr>
      </w:pPr>
    </w:p>
    <w:p w:rsidR="006A0032" w:rsidRDefault="006A0032" w:rsidP="006A0032">
      <w:pPr>
        <w:jc w:val="both"/>
        <w:rPr>
          <w:rFonts w:ascii="Arial" w:hAnsi="Arial" w:cs="Arial"/>
          <w:sz w:val="20"/>
          <w:szCs w:val="20"/>
          <w:lang w:val="es-419"/>
        </w:rPr>
      </w:pPr>
    </w:p>
    <w:p w:rsidR="006A0032" w:rsidRDefault="006A0032" w:rsidP="006A0032">
      <w:pPr>
        <w:jc w:val="both"/>
        <w:rPr>
          <w:rFonts w:ascii="Arial" w:hAnsi="Arial" w:cs="Arial"/>
          <w:sz w:val="20"/>
          <w:szCs w:val="20"/>
          <w:lang w:val="es-419"/>
        </w:rPr>
      </w:pPr>
    </w:p>
    <w:p w:rsidR="00BE4853" w:rsidRPr="006A0032" w:rsidRDefault="00BE4853" w:rsidP="006A0032">
      <w:pPr>
        <w:spacing w:line="288" w:lineRule="auto"/>
        <w:ind w:right="51"/>
        <w:jc w:val="center"/>
        <w:rPr>
          <w:rFonts w:ascii="Arial" w:hAnsi="Arial" w:cs="Arial"/>
        </w:rPr>
      </w:pPr>
      <w:r w:rsidRPr="006A0032">
        <w:rPr>
          <w:rFonts w:ascii="Arial" w:hAnsi="Arial" w:cs="Arial"/>
        </w:rPr>
        <w:t>RAMA JUDICIAL DEL PODER PÚBLICO</w:t>
      </w:r>
    </w:p>
    <w:p w:rsidR="00BE4853" w:rsidRPr="006A0032" w:rsidRDefault="00B83475" w:rsidP="006A0032">
      <w:pPr>
        <w:spacing w:line="288" w:lineRule="auto"/>
        <w:ind w:right="51"/>
        <w:jc w:val="center"/>
        <w:rPr>
          <w:rFonts w:ascii="Arial" w:hAnsi="Arial" w:cs="Arial"/>
        </w:rPr>
      </w:pPr>
      <w:r w:rsidRPr="006A0032">
        <w:rPr>
          <w:rFonts w:ascii="Arial" w:hAnsi="Arial" w:cs="Arial"/>
          <w:noProof/>
          <w:lang w:val="es-CO" w:eastAsia="es-CO"/>
        </w:rPr>
        <w:fldChar w:fldCharType="begin"/>
      </w:r>
      <w:r w:rsidRPr="006A0032">
        <w:rPr>
          <w:rFonts w:ascii="Arial" w:hAnsi="Arial" w:cs="Arial"/>
          <w:noProof/>
          <w:lang w:val="es-CO" w:eastAsia="es-CO"/>
        </w:rPr>
        <w:instrText xml:space="preserve"> INCLUDEPICTURE  "http://www.mintransporte.gov.co/images/escudo.gif" \* MERGEFORMATINET </w:instrText>
      </w:r>
      <w:r w:rsidRPr="006A0032">
        <w:rPr>
          <w:rFonts w:ascii="Arial" w:hAnsi="Arial" w:cs="Arial"/>
          <w:noProof/>
          <w:lang w:val="es-CO" w:eastAsia="es-CO"/>
        </w:rPr>
        <w:fldChar w:fldCharType="separate"/>
      </w:r>
      <w:r w:rsidR="00BB6721" w:rsidRPr="006A0032">
        <w:rPr>
          <w:rFonts w:ascii="Arial" w:hAnsi="Arial" w:cs="Arial"/>
          <w:noProof/>
          <w:lang w:val="es-CO" w:eastAsia="es-CO"/>
        </w:rPr>
        <w:fldChar w:fldCharType="begin"/>
      </w:r>
      <w:r w:rsidR="00BB6721" w:rsidRPr="006A0032">
        <w:rPr>
          <w:rFonts w:ascii="Arial" w:hAnsi="Arial" w:cs="Arial"/>
          <w:noProof/>
          <w:lang w:val="es-CO" w:eastAsia="es-CO"/>
        </w:rPr>
        <w:instrText xml:space="preserve"> INCLUDEPICTURE  "http://www.mintransporte.gov.co/images/escudo.gif" \* MERGEFORMATINET </w:instrText>
      </w:r>
      <w:r w:rsidR="00BB6721" w:rsidRPr="006A0032">
        <w:rPr>
          <w:rFonts w:ascii="Arial" w:hAnsi="Arial" w:cs="Arial"/>
          <w:noProof/>
          <w:lang w:val="es-CO" w:eastAsia="es-CO"/>
        </w:rPr>
        <w:fldChar w:fldCharType="separate"/>
      </w:r>
      <w:r w:rsidR="009F2B83" w:rsidRPr="006A0032">
        <w:rPr>
          <w:rFonts w:ascii="Arial" w:hAnsi="Arial" w:cs="Arial"/>
          <w:noProof/>
          <w:lang w:val="es-CO" w:eastAsia="es-CO"/>
        </w:rPr>
        <w:fldChar w:fldCharType="begin"/>
      </w:r>
      <w:r w:rsidR="009F2B83" w:rsidRPr="006A0032">
        <w:rPr>
          <w:rFonts w:ascii="Arial" w:hAnsi="Arial" w:cs="Arial"/>
          <w:noProof/>
          <w:lang w:val="es-CO" w:eastAsia="es-CO"/>
        </w:rPr>
        <w:instrText xml:space="preserve"> INCLUDEPICTURE  "http://www.mintransporte.gov.co/images/escudo.gif" \* MERGEFORMATINET </w:instrText>
      </w:r>
      <w:r w:rsidR="009F2B83" w:rsidRPr="006A0032">
        <w:rPr>
          <w:rFonts w:ascii="Arial" w:hAnsi="Arial" w:cs="Arial"/>
          <w:noProof/>
          <w:lang w:val="es-CO" w:eastAsia="es-CO"/>
        </w:rPr>
        <w:fldChar w:fldCharType="separate"/>
      </w:r>
      <w:r w:rsidR="009E7662" w:rsidRPr="006A0032">
        <w:rPr>
          <w:rFonts w:ascii="Arial" w:hAnsi="Arial" w:cs="Arial"/>
          <w:noProof/>
          <w:lang w:val="es-CO" w:eastAsia="es-CO"/>
        </w:rPr>
        <w:fldChar w:fldCharType="begin"/>
      </w:r>
      <w:r w:rsidR="009E7662" w:rsidRPr="006A0032">
        <w:rPr>
          <w:rFonts w:ascii="Arial" w:hAnsi="Arial" w:cs="Arial"/>
          <w:noProof/>
          <w:lang w:val="es-CO" w:eastAsia="es-CO"/>
        </w:rPr>
        <w:instrText xml:space="preserve"> INCLUDEPICTURE  "http://www.mintransporte.gov.co/images/escudo.gif" \* MERGEFORMATINET </w:instrText>
      </w:r>
      <w:r w:rsidR="009E7662" w:rsidRPr="006A0032">
        <w:rPr>
          <w:rFonts w:ascii="Arial" w:hAnsi="Arial" w:cs="Arial"/>
          <w:noProof/>
          <w:lang w:val="es-CO" w:eastAsia="es-CO"/>
        </w:rPr>
        <w:fldChar w:fldCharType="separate"/>
      </w:r>
      <w:r w:rsidR="0033398B" w:rsidRPr="006A0032">
        <w:rPr>
          <w:rFonts w:ascii="Arial" w:hAnsi="Arial" w:cs="Arial"/>
          <w:noProof/>
          <w:lang w:val="es-CO" w:eastAsia="es-CO"/>
        </w:rPr>
        <w:fldChar w:fldCharType="begin"/>
      </w:r>
      <w:r w:rsidR="0033398B" w:rsidRPr="006A0032">
        <w:rPr>
          <w:rFonts w:ascii="Arial" w:hAnsi="Arial" w:cs="Arial"/>
          <w:noProof/>
          <w:lang w:val="es-CO" w:eastAsia="es-CO"/>
        </w:rPr>
        <w:instrText xml:space="preserve"> INCLUDEPICTURE  "http://www.mintransporte.gov.co/images/escudo.gif" \* MERGEFORMATINET </w:instrText>
      </w:r>
      <w:r w:rsidR="0033398B" w:rsidRPr="006A0032">
        <w:rPr>
          <w:rFonts w:ascii="Arial" w:hAnsi="Arial" w:cs="Arial"/>
          <w:noProof/>
          <w:lang w:val="es-CO" w:eastAsia="es-CO"/>
        </w:rPr>
        <w:fldChar w:fldCharType="separate"/>
      </w:r>
      <w:r w:rsidR="003D0120" w:rsidRPr="006A0032">
        <w:rPr>
          <w:rFonts w:ascii="Arial" w:hAnsi="Arial" w:cs="Arial"/>
          <w:noProof/>
          <w:lang w:val="es-CO" w:eastAsia="es-CO"/>
        </w:rPr>
        <w:fldChar w:fldCharType="begin"/>
      </w:r>
      <w:r w:rsidR="003D0120" w:rsidRPr="006A0032">
        <w:rPr>
          <w:rFonts w:ascii="Arial" w:hAnsi="Arial" w:cs="Arial"/>
          <w:noProof/>
          <w:lang w:val="es-CO" w:eastAsia="es-CO"/>
        </w:rPr>
        <w:instrText xml:space="preserve"> INCLUDEPICTURE  "http://www.mintransporte.gov.co/images/escudo.gif" \* MERGEFORMATINET </w:instrText>
      </w:r>
      <w:r w:rsidR="003D0120" w:rsidRPr="006A0032">
        <w:rPr>
          <w:rFonts w:ascii="Arial" w:hAnsi="Arial" w:cs="Arial"/>
          <w:noProof/>
          <w:lang w:val="es-CO" w:eastAsia="es-CO"/>
        </w:rPr>
        <w:fldChar w:fldCharType="separate"/>
      </w:r>
      <w:r w:rsidR="00E71001" w:rsidRPr="006A0032">
        <w:rPr>
          <w:rFonts w:ascii="Arial" w:hAnsi="Arial" w:cs="Arial"/>
          <w:noProof/>
          <w:lang w:val="es-CO" w:eastAsia="es-CO"/>
        </w:rPr>
        <w:fldChar w:fldCharType="begin"/>
      </w:r>
      <w:r w:rsidR="00E71001" w:rsidRPr="006A0032">
        <w:rPr>
          <w:rFonts w:ascii="Arial" w:hAnsi="Arial" w:cs="Arial"/>
          <w:noProof/>
          <w:lang w:val="es-CO" w:eastAsia="es-CO"/>
        </w:rPr>
        <w:instrText xml:space="preserve"> INCLUDEPICTURE  "http://www.mintransporte.gov.co/images/escudo.gif" \* MERGEFORMATINET </w:instrText>
      </w:r>
      <w:r w:rsidR="00E71001" w:rsidRPr="006A0032">
        <w:rPr>
          <w:rFonts w:ascii="Arial" w:hAnsi="Arial" w:cs="Arial"/>
          <w:noProof/>
          <w:lang w:val="es-CO" w:eastAsia="es-CO"/>
        </w:rPr>
        <w:fldChar w:fldCharType="separate"/>
      </w:r>
      <w:r w:rsidR="000F048B" w:rsidRPr="006A0032">
        <w:rPr>
          <w:rFonts w:ascii="Arial" w:hAnsi="Arial" w:cs="Arial"/>
          <w:noProof/>
          <w:lang w:val="es-CO" w:eastAsia="es-CO"/>
        </w:rPr>
        <w:fldChar w:fldCharType="begin"/>
      </w:r>
      <w:r w:rsidR="000F048B" w:rsidRPr="006A0032">
        <w:rPr>
          <w:rFonts w:ascii="Arial" w:hAnsi="Arial" w:cs="Arial"/>
          <w:noProof/>
          <w:lang w:val="es-CO" w:eastAsia="es-CO"/>
        </w:rPr>
        <w:instrText xml:space="preserve"> INCLUDEPICTURE  "http://www.mintransporte.gov.co/images/escudo.gif" \* MERGEFORMATINET </w:instrText>
      </w:r>
      <w:r w:rsidR="000F048B" w:rsidRPr="006A0032">
        <w:rPr>
          <w:rFonts w:ascii="Arial" w:hAnsi="Arial" w:cs="Arial"/>
          <w:noProof/>
          <w:lang w:val="es-CO" w:eastAsia="es-CO"/>
        </w:rPr>
        <w:fldChar w:fldCharType="separate"/>
      </w:r>
      <w:r w:rsidR="00F47F44" w:rsidRPr="006A0032">
        <w:rPr>
          <w:rFonts w:ascii="Arial" w:hAnsi="Arial" w:cs="Arial"/>
          <w:noProof/>
          <w:lang w:val="es-CO" w:eastAsia="es-CO"/>
        </w:rPr>
        <w:fldChar w:fldCharType="begin"/>
      </w:r>
      <w:r w:rsidR="00F47F44" w:rsidRPr="006A0032">
        <w:rPr>
          <w:rFonts w:ascii="Arial" w:hAnsi="Arial" w:cs="Arial"/>
          <w:noProof/>
          <w:lang w:val="es-CO" w:eastAsia="es-CO"/>
        </w:rPr>
        <w:instrText xml:space="preserve"> INCLUDEPICTURE  "http://www.mintransporte.gov.co/images/escudo.gif" \* MERGEFORMATINET </w:instrText>
      </w:r>
      <w:r w:rsidR="00F47F44" w:rsidRPr="006A0032">
        <w:rPr>
          <w:rFonts w:ascii="Arial" w:hAnsi="Arial" w:cs="Arial"/>
          <w:noProof/>
          <w:lang w:val="es-CO" w:eastAsia="es-CO"/>
        </w:rPr>
        <w:fldChar w:fldCharType="separate"/>
      </w:r>
      <w:r w:rsidR="000C3EDD" w:rsidRPr="006A0032">
        <w:rPr>
          <w:rFonts w:ascii="Arial" w:hAnsi="Arial" w:cs="Arial"/>
          <w:noProof/>
          <w:lang w:val="es-CO" w:eastAsia="es-CO"/>
        </w:rPr>
        <w:fldChar w:fldCharType="begin"/>
      </w:r>
      <w:r w:rsidR="000C3EDD" w:rsidRPr="006A0032">
        <w:rPr>
          <w:rFonts w:ascii="Arial" w:hAnsi="Arial" w:cs="Arial"/>
          <w:noProof/>
          <w:lang w:val="es-CO" w:eastAsia="es-CO"/>
        </w:rPr>
        <w:instrText xml:space="preserve"> INCLUDEPICTURE  "http://www.mintransporte.gov.co/images/escudo.gif" \* MERGEFORMATINET </w:instrText>
      </w:r>
      <w:r w:rsidR="000C3EDD" w:rsidRPr="006A0032">
        <w:rPr>
          <w:rFonts w:ascii="Arial" w:hAnsi="Arial" w:cs="Arial"/>
          <w:noProof/>
          <w:lang w:val="es-CO" w:eastAsia="es-CO"/>
        </w:rPr>
        <w:fldChar w:fldCharType="separate"/>
      </w:r>
      <w:r w:rsidR="00972430" w:rsidRPr="006A0032">
        <w:rPr>
          <w:rFonts w:ascii="Arial" w:hAnsi="Arial" w:cs="Arial"/>
          <w:noProof/>
          <w:lang w:val="es-CO" w:eastAsia="es-CO"/>
        </w:rPr>
        <w:fldChar w:fldCharType="begin"/>
      </w:r>
      <w:r w:rsidR="00972430" w:rsidRPr="006A0032">
        <w:rPr>
          <w:rFonts w:ascii="Arial" w:hAnsi="Arial" w:cs="Arial"/>
          <w:noProof/>
          <w:lang w:val="es-CO" w:eastAsia="es-CO"/>
        </w:rPr>
        <w:instrText xml:space="preserve"> INCLUDEPICTURE  "http://www.mintransporte.gov.co/images/escudo.gif" \* MERGEFORMATINET </w:instrText>
      </w:r>
      <w:r w:rsidR="00972430" w:rsidRPr="006A0032">
        <w:rPr>
          <w:rFonts w:ascii="Arial" w:hAnsi="Arial" w:cs="Arial"/>
          <w:noProof/>
          <w:lang w:val="es-CO" w:eastAsia="es-CO"/>
        </w:rPr>
        <w:fldChar w:fldCharType="separate"/>
      </w:r>
      <w:r w:rsidR="00FE2A53" w:rsidRPr="006A0032">
        <w:rPr>
          <w:rFonts w:ascii="Arial" w:hAnsi="Arial" w:cs="Arial"/>
          <w:noProof/>
          <w:lang w:val="es-CO" w:eastAsia="es-CO"/>
        </w:rPr>
        <w:fldChar w:fldCharType="begin"/>
      </w:r>
      <w:r w:rsidR="00FE2A53" w:rsidRPr="006A0032">
        <w:rPr>
          <w:rFonts w:ascii="Arial" w:hAnsi="Arial" w:cs="Arial"/>
          <w:noProof/>
          <w:lang w:val="es-CO" w:eastAsia="es-CO"/>
        </w:rPr>
        <w:instrText xml:space="preserve"> INCLUDEPICTURE  "http://www.mintransporte.gov.co/images/escudo.gif" \* MERGEFORMATINET </w:instrText>
      </w:r>
      <w:r w:rsidR="00FE2A53" w:rsidRPr="006A0032">
        <w:rPr>
          <w:rFonts w:ascii="Arial" w:hAnsi="Arial" w:cs="Arial"/>
          <w:noProof/>
          <w:lang w:val="es-CO" w:eastAsia="es-CO"/>
        </w:rPr>
        <w:fldChar w:fldCharType="separate"/>
      </w:r>
      <w:r w:rsidR="006B5220" w:rsidRPr="006A0032">
        <w:rPr>
          <w:rFonts w:ascii="Arial" w:hAnsi="Arial" w:cs="Arial"/>
          <w:noProof/>
          <w:lang w:val="es-CO" w:eastAsia="es-CO"/>
        </w:rPr>
        <w:fldChar w:fldCharType="begin"/>
      </w:r>
      <w:r w:rsidR="006B5220" w:rsidRPr="006A0032">
        <w:rPr>
          <w:rFonts w:ascii="Arial" w:hAnsi="Arial" w:cs="Arial"/>
          <w:noProof/>
          <w:lang w:val="es-CO" w:eastAsia="es-CO"/>
        </w:rPr>
        <w:instrText xml:space="preserve"> INCLUDEPICTURE  "http://www.mintransporte.gov.co/images/escudo.gif" \* MERGEFORMATINET </w:instrText>
      </w:r>
      <w:r w:rsidR="006B5220" w:rsidRPr="006A0032">
        <w:rPr>
          <w:rFonts w:ascii="Arial" w:hAnsi="Arial" w:cs="Arial"/>
          <w:noProof/>
          <w:lang w:val="es-CO" w:eastAsia="es-CO"/>
        </w:rPr>
        <w:fldChar w:fldCharType="separate"/>
      </w:r>
      <w:r w:rsidR="00DC6B9B">
        <w:rPr>
          <w:rFonts w:ascii="Arial" w:hAnsi="Arial" w:cs="Arial"/>
          <w:noProof/>
          <w:lang w:val="es-CO" w:eastAsia="es-CO"/>
        </w:rPr>
        <w:fldChar w:fldCharType="begin"/>
      </w:r>
      <w:r w:rsidR="00DC6B9B">
        <w:rPr>
          <w:rFonts w:ascii="Arial" w:hAnsi="Arial" w:cs="Arial"/>
          <w:noProof/>
          <w:lang w:val="es-CO" w:eastAsia="es-CO"/>
        </w:rPr>
        <w:instrText xml:space="preserve"> </w:instrText>
      </w:r>
      <w:r w:rsidR="00DC6B9B">
        <w:rPr>
          <w:rFonts w:ascii="Arial" w:hAnsi="Arial" w:cs="Arial"/>
          <w:noProof/>
          <w:lang w:val="es-CO" w:eastAsia="es-CO"/>
        </w:rPr>
        <w:instrText>INCLUDEPICTURE  "http://www.mintransporte.gov.co/images/escudo.gif" \* MERGEFORMATINET</w:instrText>
      </w:r>
      <w:r w:rsidR="00DC6B9B">
        <w:rPr>
          <w:rFonts w:ascii="Arial" w:hAnsi="Arial" w:cs="Arial"/>
          <w:noProof/>
          <w:lang w:val="es-CO" w:eastAsia="es-CO"/>
        </w:rPr>
        <w:instrText xml:space="preserve"> </w:instrText>
      </w:r>
      <w:r w:rsidR="00DC6B9B">
        <w:rPr>
          <w:rFonts w:ascii="Arial" w:hAnsi="Arial" w:cs="Arial"/>
          <w:noProof/>
          <w:lang w:val="es-CO" w:eastAsia="es-CO"/>
        </w:rPr>
        <w:fldChar w:fldCharType="separate"/>
      </w:r>
      <w:r w:rsidR="00AC68B0">
        <w:rPr>
          <w:rFonts w:ascii="Arial" w:hAnsi="Arial" w:cs="Arial"/>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45.7pt;visibility:visible">
            <v:imagedata r:id="rId8" r:href="rId9"/>
          </v:shape>
        </w:pict>
      </w:r>
      <w:r w:rsidR="00DC6B9B">
        <w:rPr>
          <w:rFonts w:ascii="Arial" w:hAnsi="Arial" w:cs="Arial"/>
          <w:noProof/>
          <w:lang w:val="es-CO" w:eastAsia="es-CO"/>
        </w:rPr>
        <w:fldChar w:fldCharType="end"/>
      </w:r>
      <w:r w:rsidR="006B5220" w:rsidRPr="006A0032">
        <w:rPr>
          <w:rFonts w:ascii="Arial" w:hAnsi="Arial" w:cs="Arial"/>
          <w:noProof/>
          <w:lang w:val="es-CO" w:eastAsia="es-CO"/>
        </w:rPr>
        <w:fldChar w:fldCharType="end"/>
      </w:r>
      <w:r w:rsidR="00FE2A53" w:rsidRPr="006A0032">
        <w:rPr>
          <w:rFonts w:ascii="Arial" w:hAnsi="Arial" w:cs="Arial"/>
          <w:noProof/>
          <w:lang w:val="es-CO" w:eastAsia="es-CO"/>
        </w:rPr>
        <w:fldChar w:fldCharType="end"/>
      </w:r>
      <w:r w:rsidR="00972430" w:rsidRPr="006A0032">
        <w:rPr>
          <w:rFonts w:ascii="Arial" w:hAnsi="Arial" w:cs="Arial"/>
          <w:noProof/>
          <w:lang w:val="es-CO" w:eastAsia="es-CO"/>
        </w:rPr>
        <w:fldChar w:fldCharType="end"/>
      </w:r>
      <w:r w:rsidR="000C3EDD" w:rsidRPr="006A0032">
        <w:rPr>
          <w:rFonts w:ascii="Arial" w:hAnsi="Arial" w:cs="Arial"/>
          <w:noProof/>
          <w:lang w:val="es-CO" w:eastAsia="es-CO"/>
        </w:rPr>
        <w:fldChar w:fldCharType="end"/>
      </w:r>
      <w:r w:rsidR="00F47F44" w:rsidRPr="006A0032">
        <w:rPr>
          <w:rFonts w:ascii="Arial" w:hAnsi="Arial" w:cs="Arial"/>
          <w:noProof/>
          <w:lang w:val="es-CO" w:eastAsia="es-CO"/>
        </w:rPr>
        <w:fldChar w:fldCharType="end"/>
      </w:r>
      <w:r w:rsidR="000F048B" w:rsidRPr="006A0032">
        <w:rPr>
          <w:rFonts w:ascii="Arial" w:hAnsi="Arial" w:cs="Arial"/>
          <w:noProof/>
          <w:lang w:val="es-CO" w:eastAsia="es-CO"/>
        </w:rPr>
        <w:fldChar w:fldCharType="end"/>
      </w:r>
      <w:r w:rsidR="00E71001" w:rsidRPr="006A0032">
        <w:rPr>
          <w:rFonts w:ascii="Arial" w:hAnsi="Arial" w:cs="Arial"/>
          <w:noProof/>
          <w:lang w:val="es-CO" w:eastAsia="es-CO"/>
        </w:rPr>
        <w:fldChar w:fldCharType="end"/>
      </w:r>
      <w:r w:rsidR="003D0120" w:rsidRPr="006A0032">
        <w:rPr>
          <w:rFonts w:ascii="Arial" w:hAnsi="Arial" w:cs="Arial"/>
          <w:noProof/>
          <w:lang w:val="es-CO" w:eastAsia="es-CO"/>
        </w:rPr>
        <w:fldChar w:fldCharType="end"/>
      </w:r>
      <w:r w:rsidR="0033398B" w:rsidRPr="006A0032">
        <w:rPr>
          <w:rFonts w:ascii="Arial" w:hAnsi="Arial" w:cs="Arial"/>
          <w:noProof/>
          <w:lang w:val="es-CO" w:eastAsia="es-CO"/>
        </w:rPr>
        <w:fldChar w:fldCharType="end"/>
      </w:r>
      <w:r w:rsidR="009E7662" w:rsidRPr="006A0032">
        <w:rPr>
          <w:rFonts w:ascii="Arial" w:hAnsi="Arial" w:cs="Arial"/>
          <w:noProof/>
          <w:lang w:val="es-CO" w:eastAsia="es-CO"/>
        </w:rPr>
        <w:fldChar w:fldCharType="end"/>
      </w:r>
      <w:r w:rsidR="009F2B83" w:rsidRPr="006A0032">
        <w:rPr>
          <w:rFonts w:ascii="Arial" w:hAnsi="Arial" w:cs="Arial"/>
          <w:noProof/>
          <w:lang w:val="es-CO" w:eastAsia="es-CO"/>
        </w:rPr>
        <w:fldChar w:fldCharType="end"/>
      </w:r>
      <w:r w:rsidR="00BB6721" w:rsidRPr="006A0032">
        <w:rPr>
          <w:rFonts w:ascii="Arial" w:hAnsi="Arial" w:cs="Arial"/>
          <w:noProof/>
          <w:lang w:val="es-CO" w:eastAsia="es-CO"/>
        </w:rPr>
        <w:fldChar w:fldCharType="end"/>
      </w:r>
      <w:r w:rsidRPr="006A0032">
        <w:rPr>
          <w:rFonts w:ascii="Arial" w:hAnsi="Arial" w:cs="Arial"/>
          <w:noProof/>
          <w:lang w:val="es-CO" w:eastAsia="es-CO"/>
        </w:rPr>
        <w:fldChar w:fldCharType="end"/>
      </w:r>
    </w:p>
    <w:p w:rsidR="00BE4853" w:rsidRPr="006A0032" w:rsidRDefault="00BE4853" w:rsidP="006A0032">
      <w:pPr>
        <w:spacing w:line="288" w:lineRule="auto"/>
        <w:ind w:right="51"/>
        <w:jc w:val="center"/>
        <w:rPr>
          <w:rFonts w:ascii="Arial" w:hAnsi="Arial" w:cs="Arial"/>
        </w:rPr>
      </w:pPr>
      <w:r w:rsidRPr="006A0032">
        <w:rPr>
          <w:rFonts w:ascii="Arial" w:hAnsi="Arial" w:cs="Arial"/>
        </w:rPr>
        <w:t>TRIBUNAL SUPERIOR DEL DISTRITO JUDICIAL DE PEREIRA - RISARALDA</w:t>
      </w:r>
    </w:p>
    <w:p w:rsidR="00BE4853" w:rsidRPr="006A0032" w:rsidRDefault="00BE4853" w:rsidP="006A0032">
      <w:pPr>
        <w:pStyle w:val="Ttulo4"/>
        <w:spacing w:line="288" w:lineRule="auto"/>
        <w:ind w:right="51"/>
        <w:jc w:val="center"/>
        <w:rPr>
          <w:rFonts w:ascii="Arial" w:hAnsi="Arial" w:cs="Arial"/>
          <w:b w:val="0"/>
          <w:sz w:val="24"/>
          <w:szCs w:val="24"/>
        </w:rPr>
      </w:pPr>
      <w:r w:rsidRPr="006A0032">
        <w:rPr>
          <w:rFonts w:ascii="Arial" w:hAnsi="Arial" w:cs="Arial"/>
          <w:b w:val="0"/>
          <w:sz w:val="24"/>
          <w:szCs w:val="24"/>
        </w:rPr>
        <w:t>SALA DE DECISIÓN PENAL</w:t>
      </w:r>
    </w:p>
    <w:p w:rsidR="00BE4853" w:rsidRPr="006A0032" w:rsidRDefault="00BE4853" w:rsidP="006A0032">
      <w:pPr>
        <w:pStyle w:val="Textoindependiente"/>
        <w:spacing w:line="288" w:lineRule="auto"/>
        <w:ind w:right="51"/>
        <w:jc w:val="center"/>
        <w:rPr>
          <w:rFonts w:ascii="Arial" w:hAnsi="Arial" w:cs="Arial"/>
          <w:sz w:val="24"/>
        </w:rPr>
      </w:pPr>
      <w:r w:rsidRPr="006A0032">
        <w:rPr>
          <w:rFonts w:ascii="Arial" w:hAnsi="Arial" w:cs="Arial"/>
          <w:sz w:val="24"/>
        </w:rPr>
        <w:t>M.P. JAIRO ERNESTO ESCOBAR SANZ</w:t>
      </w:r>
    </w:p>
    <w:p w:rsidR="00BE4853" w:rsidRPr="006A0032" w:rsidRDefault="00BE4853" w:rsidP="006A0032">
      <w:pPr>
        <w:tabs>
          <w:tab w:val="left" w:pos="2410"/>
          <w:tab w:val="left" w:pos="2835"/>
        </w:tabs>
        <w:spacing w:line="288" w:lineRule="auto"/>
        <w:ind w:right="51"/>
        <w:rPr>
          <w:rFonts w:ascii="Arial" w:hAnsi="Arial" w:cs="Arial"/>
        </w:rPr>
      </w:pPr>
    </w:p>
    <w:p w:rsidR="00BE4853" w:rsidRPr="006A0032" w:rsidRDefault="005E1CA4" w:rsidP="006A0032">
      <w:pPr>
        <w:tabs>
          <w:tab w:val="left" w:pos="2410"/>
          <w:tab w:val="left" w:pos="2835"/>
        </w:tabs>
        <w:spacing w:line="288" w:lineRule="auto"/>
        <w:ind w:right="51"/>
        <w:jc w:val="both"/>
        <w:rPr>
          <w:rFonts w:ascii="Arial" w:hAnsi="Arial" w:cs="Arial"/>
        </w:rPr>
      </w:pPr>
      <w:r w:rsidRPr="006A0032">
        <w:rPr>
          <w:rFonts w:ascii="Arial" w:hAnsi="Arial" w:cs="Arial"/>
        </w:rPr>
        <w:lastRenderedPageBreak/>
        <w:t>Pereira, treinta (30) de enero de dos mil diecinueve (2019)</w:t>
      </w:r>
    </w:p>
    <w:p w:rsidR="009112C0" w:rsidRPr="006A0032" w:rsidRDefault="006D2ECB" w:rsidP="006A0032">
      <w:pPr>
        <w:tabs>
          <w:tab w:val="left" w:pos="2410"/>
          <w:tab w:val="left" w:pos="2835"/>
        </w:tabs>
        <w:spacing w:line="288" w:lineRule="auto"/>
        <w:ind w:right="51"/>
        <w:rPr>
          <w:rFonts w:ascii="Arial" w:hAnsi="Arial" w:cs="Arial"/>
        </w:rPr>
      </w:pPr>
      <w:r w:rsidRPr="006A0032">
        <w:rPr>
          <w:rFonts w:ascii="Arial" w:hAnsi="Arial" w:cs="Arial"/>
        </w:rPr>
        <w:t>Acta Nro. 045</w:t>
      </w:r>
    </w:p>
    <w:p w:rsidR="00BE4853" w:rsidRPr="006A0032" w:rsidRDefault="00BE4853" w:rsidP="006A0032">
      <w:pPr>
        <w:tabs>
          <w:tab w:val="left" w:pos="2410"/>
          <w:tab w:val="left" w:pos="2835"/>
        </w:tabs>
        <w:spacing w:line="288" w:lineRule="auto"/>
        <w:ind w:right="51"/>
        <w:rPr>
          <w:rFonts w:ascii="Arial" w:hAnsi="Arial" w:cs="Arial"/>
        </w:rPr>
      </w:pPr>
      <w:r w:rsidRPr="006A0032">
        <w:rPr>
          <w:rFonts w:ascii="Arial" w:hAnsi="Arial" w:cs="Arial"/>
        </w:rPr>
        <w:t xml:space="preserve">Hora: </w:t>
      </w:r>
      <w:r w:rsidR="006D2ECB" w:rsidRPr="006A0032">
        <w:rPr>
          <w:rFonts w:ascii="Arial" w:hAnsi="Arial" w:cs="Arial"/>
        </w:rPr>
        <w:t xml:space="preserve">2:00 p.m. </w:t>
      </w:r>
    </w:p>
    <w:p w:rsidR="00BE4853" w:rsidRPr="006A0032" w:rsidRDefault="00BE4853" w:rsidP="006A0032">
      <w:pPr>
        <w:tabs>
          <w:tab w:val="left" w:pos="1032"/>
        </w:tabs>
        <w:spacing w:line="288" w:lineRule="auto"/>
        <w:ind w:right="51"/>
        <w:jc w:val="both"/>
        <w:rPr>
          <w:rFonts w:ascii="Arial" w:hAnsi="Arial" w:cs="Arial"/>
        </w:rPr>
      </w:pPr>
    </w:p>
    <w:p w:rsidR="00BE4853" w:rsidRPr="006A0032" w:rsidRDefault="00BE4853" w:rsidP="006A0032">
      <w:pPr>
        <w:spacing w:line="288" w:lineRule="auto"/>
        <w:ind w:right="51"/>
        <w:jc w:val="center"/>
        <w:rPr>
          <w:rFonts w:ascii="Arial" w:hAnsi="Arial" w:cs="Arial"/>
        </w:rPr>
      </w:pPr>
      <w:r w:rsidRPr="006A0032">
        <w:rPr>
          <w:rFonts w:ascii="Arial" w:hAnsi="Arial" w:cs="Arial"/>
        </w:rPr>
        <w:t>1. ASUNTO A DECIDIR</w:t>
      </w:r>
    </w:p>
    <w:p w:rsidR="00BE4853" w:rsidRPr="006A0032" w:rsidRDefault="00BE4853" w:rsidP="006A0032">
      <w:pPr>
        <w:spacing w:line="288" w:lineRule="auto"/>
        <w:ind w:right="51"/>
        <w:jc w:val="both"/>
        <w:rPr>
          <w:rFonts w:ascii="Arial" w:hAnsi="Arial" w:cs="Arial"/>
        </w:rPr>
      </w:pPr>
    </w:p>
    <w:p w:rsidR="00047557" w:rsidRPr="006A0032" w:rsidRDefault="00BE4853" w:rsidP="006A0032">
      <w:pPr>
        <w:spacing w:line="288" w:lineRule="auto"/>
        <w:ind w:right="51"/>
        <w:jc w:val="both"/>
        <w:rPr>
          <w:rFonts w:ascii="Arial" w:hAnsi="Arial" w:cs="Arial"/>
        </w:rPr>
      </w:pPr>
      <w:r w:rsidRPr="006A0032">
        <w:rPr>
          <w:rFonts w:ascii="Arial" w:hAnsi="Arial" w:cs="Arial"/>
        </w:rPr>
        <w:t xml:space="preserve">Se procede a resolver lo concerniente al recurso de apelación interpuesto </w:t>
      </w:r>
      <w:r w:rsidR="00725179" w:rsidRPr="006A0032">
        <w:rPr>
          <w:rFonts w:ascii="Arial" w:hAnsi="Arial" w:cs="Arial"/>
        </w:rPr>
        <w:t>por el delegado de la FGN</w:t>
      </w:r>
      <w:r w:rsidRPr="006A0032">
        <w:rPr>
          <w:rFonts w:ascii="Arial" w:hAnsi="Arial" w:cs="Arial"/>
        </w:rPr>
        <w:t xml:space="preserve">, en contra de la determinación adoptada por el Juzgado </w:t>
      </w:r>
      <w:r w:rsidR="00725179" w:rsidRPr="006A0032">
        <w:rPr>
          <w:rFonts w:ascii="Arial" w:hAnsi="Arial" w:cs="Arial"/>
        </w:rPr>
        <w:t xml:space="preserve">Séptimo </w:t>
      </w:r>
      <w:r w:rsidRPr="006A0032">
        <w:rPr>
          <w:rFonts w:ascii="Arial" w:hAnsi="Arial" w:cs="Arial"/>
        </w:rPr>
        <w:t xml:space="preserve">Penal del Circuito de </w:t>
      </w:r>
      <w:r w:rsidR="00725179" w:rsidRPr="006A0032">
        <w:rPr>
          <w:rFonts w:ascii="Arial" w:hAnsi="Arial" w:cs="Arial"/>
        </w:rPr>
        <w:t>Pereira</w:t>
      </w:r>
      <w:r w:rsidRPr="006A0032">
        <w:rPr>
          <w:rFonts w:ascii="Arial" w:hAnsi="Arial" w:cs="Arial"/>
        </w:rPr>
        <w:t xml:space="preserve">, </w:t>
      </w:r>
      <w:r w:rsidR="003067DC" w:rsidRPr="006A0032">
        <w:rPr>
          <w:rFonts w:ascii="Arial" w:hAnsi="Arial" w:cs="Arial"/>
        </w:rPr>
        <w:t>en la sesión</w:t>
      </w:r>
      <w:r w:rsidR="00047557" w:rsidRPr="006A0032">
        <w:rPr>
          <w:rFonts w:ascii="Arial" w:hAnsi="Arial" w:cs="Arial"/>
        </w:rPr>
        <w:t xml:space="preserve"> del juicio oral del 21 de enero de 2019, donde no se aceptaron unas pruebas documentales solicitadas por el delegado de la FGN. </w:t>
      </w:r>
      <w:r w:rsidR="00047557" w:rsidRPr="006A0032">
        <w:rPr>
          <w:rFonts w:ascii="Arial" w:hAnsi="Arial" w:cs="Arial"/>
          <w:u w:val="single"/>
        </w:rPr>
        <w:t xml:space="preserve">El expediente fue </w:t>
      </w:r>
      <w:r w:rsidR="009E5304" w:rsidRPr="006A0032">
        <w:rPr>
          <w:rFonts w:ascii="Arial" w:hAnsi="Arial" w:cs="Arial"/>
          <w:u w:val="single"/>
        </w:rPr>
        <w:t xml:space="preserve">recibido en este despacho </w:t>
      </w:r>
      <w:r w:rsidR="00047557" w:rsidRPr="006A0032">
        <w:rPr>
          <w:rFonts w:ascii="Arial" w:hAnsi="Arial" w:cs="Arial"/>
          <w:u w:val="single"/>
        </w:rPr>
        <w:t>el 25 de enero del presente año.</w:t>
      </w:r>
    </w:p>
    <w:p w:rsidR="00047557" w:rsidRPr="006A0032" w:rsidRDefault="00047557" w:rsidP="006A0032">
      <w:pPr>
        <w:spacing w:line="288" w:lineRule="auto"/>
        <w:ind w:right="51"/>
        <w:jc w:val="both"/>
        <w:rPr>
          <w:rFonts w:ascii="Arial" w:hAnsi="Arial" w:cs="Arial"/>
        </w:rPr>
      </w:pPr>
    </w:p>
    <w:p w:rsidR="00BE4853" w:rsidRPr="006A0032" w:rsidRDefault="00BE4853" w:rsidP="006A0032">
      <w:pPr>
        <w:spacing w:line="288" w:lineRule="auto"/>
        <w:ind w:right="51"/>
        <w:jc w:val="center"/>
        <w:rPr>
          <w:rFonts w:ascii="Arial" w:hAnsi="Arial" w:cs="Arial"/>
        </w:rPr>
      </w:pPr>
      <w:r w:rsidRPr="006A0032">
        <w:rPr>
          <w:rFonts w:ascii="Arial" w:hAnsi="Arial" w:cs="Arial"/>
        </w:rPr>
        <w:t>2. ANTECEDENTES</w:t>
      </w:r>
    </w:p>
    <w:p w:rsidR="00BE4853" w:rsidRPr="006A0032" w:rsidRDefault="00BE4853" w:rsidP="006A0032">
      <w:pPr>
        <w:spacing w:line="288" w:lineRule="auto"/>
        <w:ind w:right="51"/>
        <w:jc w:val="both"/>
        <w:rPr>
          <w:rFonts w:ascii="Arial" w:hAnsi="Arial" w:cs="Arial"/>
        </w:rPr>
      </w:pPr>
    </w:p>
    <w:p w:rsidR="00BE4853" w:rsidRPr="006A0032" w:rsidRDefault="00BE4853" w:rsidP="006A0032">
      <w:pPr>
        <w:spacing w:line="288" w:lineRule="auto"/>
        <w:ind w:right="51"/>
        <w:jc w:val="both"/>
        <w:rPr>
          <w:rFonts w:ascii="Arial" w:hAnsi="Arial" w:cs="Arial"/>
        </w:rPr>
      </w:pPr>
      <w:r w:rsidRPr="006A0032">
        <w:rPr>
          <w:rFonts w:ascii="Arial" w:hAnsi="Arial" w:cs="Arial"/>
        </w:rPr>
        <w:t>2.1 Según escrito de acusación presentado por la Fiscalía General de la Nación el supuesto fáctico es el siguiente:</w:t>
      </w:r>
    </w:p>
    <w:p w:rsidR="005D64B1" w:rsidRPr="006A0032" w:rsidRDefault="005D64B1" w:rsidP="006A0032">
      <w:pPr>
        <w:spacing w:line="288" w:lineRule="auto"/>
        <w:ind w:right="51"/>
        <w:jc w:val="both"/>
        <w:rPr>
          <w:rFonts w:ascii="Arial" w:hAnsi="Arial" w:cs="Arial"/>
        </w:rPr>
      </w:pPr>
    </w:p>
    <w:p w:rsidR="005D64B1" w:rsidRPr="006A0032" w:rsidRDefault="005D64B1" w:rsidP="006A0032">
      <w:pPr>
        <w:ind w:left="426" w:right="420"/>
        <w:jc w:val="both"/>
        <w:rPr>
          <w:rFonts w:ascii="Arial" w:hAnsi="Arial" w:cs="Arial"/>
          <w:i/>
          <w:sz w:val="22"/>
        </w:rPr>
      </w:pPr>
      <w:r w:rsidRPr="006A0032">
        <w:rPr>
          <w:rFonts w:ascii="Arial" w:hAnsi="Arial" w:cs="Arial"/>
          <w:i/>
          <w:sz w:val="22"/>
        </w:rPr>
        <w:t xml:space="preserve">“En el año 1996, la Señora </w:t>
      </w:r>
      <w:proofErr w:type="spellStart"/>
      <w:r w:rsidR="00C74D55">
        <w:rPr>
          <w:rFonts w:ascii="Arial" w:hAnsi="Arial" w:cs="Arial"/>
          <w:i/>
          <w:sz w:val="22"/>
        </w:rPr>
        <w:t>M.C.V.V</w:t>
      </w:r>
      <w:proofErr w:type="spellEnd"/>
      <w:r w:rsidR="00C74D55">
        <w:rPr>
          <w:rFonts w:ascii="Arial" w:hAnsi="Arial" w:cs="Arial"/>
          <w:i/>
          <w:sz w:val="22"/>
        </w:rPr>
        <w:t>.</w:t>
      </w:r>
      <w:r w:rsidRPr="006A0032">
        <w:rPr>
          <w:rFonts w:ascii="Arial" w:hAnsi="Arial" w:cs="Arial"/>
          <w:i/>
          <w:sz w:val="22"/>
        </w:rPr>
        <w:t xml:space="preserve"> se fue a vivir con sus tíos JUAN NEPOMUCENO y ETELVINA VEGA HURTADO, de 87 y 99 años de edad respectivamente, tomando la administración de sus bienes conformados por certificados de depósito a término en bancos y arrendamientos de bienes inmuebles.</w:t>
      </w:r>
    </w:p>
    <w:p w:rsidR="005D64B1" w:rsidRPr="006A0032" w:rsidRDefault="005D64B1" w:rsidP="006A0032">
      <w:pPr>
        <w:ind w:left="426" w:right="420"/>
        <w:jc w:val="both"/>
        <w:rPr>
          <w:rFonts w:ascii="Arial" w:hAnsi="Arial" w:cs="Arial"/>
          <w:i/>
          <w:sz w:val="22"/>
        </w:rPr>
      </w:pPr>
    </w:p>
    <w:p w:rsidR="005D64B1" w:rsidRPr="006A0032" w:rsidRDefault="005D64B1" w:rsidP="006A0032">
      <w:pPr>
        <w:ind w:left="426" w:right="420"/>
        <w:jc w:val="both"/>
        <w:rPr>
          <w:rFonts w:ascii="Arial" w:hAnsi="Arial" w:cs="Arial"/>
          <w:i/>
          <w:sz w:val="22"/>
        </w:rPr>
      </w:pPr>
      <w:r w:rsidRPr="006A0032">
        <w:rPr>
          <w:rFonts w:ascii="Arial" w:hAnsi="Arial" w:cs="Arial"/>
          <w:i/>
          <w:sz w:val="22"/>
        </w:rPr>
        <w:t>TERESA VEGA DE FLAUTERO, igualmente sobrina y quien reside en Bogotá, visitaba con frecuencia sus tíos, notando cambios en su comportamientos</w:t>
      </w:r>
      <w:r w:rsidR="00AC68B0">
        <w:rPr>
          <w:rFonts w:ascii="Arial" w:hAnsi="Arial" w:cs="Arial"/>
          <w:i/>
          <w:sz w:val="22"/>
        </w:rPr>
        <w:t>,</w:t>
      </w:r>
      <w:r w:rsidRPr="006A0032">
        <w:rPr>
          <w:rFonts w:ascii="Arial" w:hAnsi="Arial" w:cs="Arial"/>
          <w:i/>
          <w:sz w:val="22"/>
        </w:rPr>
        <w:t xml:space="preserve"> callados, y cuando hablaban lo hacían en forma enredada, igualmente notó que nunca la dejaban a solas con los mismos. En el año 2012, cuando los visita, ya estos no hablaban y permanecían encerrados. Se entera por</w:t>
      </w:r>
      <w:r w:rsidR="00E77ACF" w:rsidRPr="006A0032">
        <w:rPr>
          <w:rFonts w:ascii="Arial" w:hAnsi="Arial" w:cs="Arial"/>
          <w:i/>
          <w:sz w:val="22"/>
        </w:rPr>
        <w:t xml:space="preserve"> parte de LIGIA, hermana de </w:t>
      </w:r>
      <w:proofErr w:type="spellStart"/>
      <w:r w:rsidR="00DC561A">
        <w:rPr>
          <w:rFonts w:ascii="Arial" w:hAnsi="Arial" w:cs="Arial"/>
          <w:i/>
          <w:sz w:val="22"/>
        </w:rPr>
        <w:t>M.C.V.V</w:t>
      </w:r>
      <w:proofErr w:type="spellEnd"/>
      <w:r w:rsidR="00DC561A">
        <w:rPr>
          <w:rFonts w:ascii="Arial" w:hAnsi="Arial" w:cs="Arial"/>
          <w:i/>
          <w:sz w:val="22"/>
        </w:rPr>
        <w:t>.</w:t>
      </w:r>
      <w:r w:rsidRPr="006A0032">
        <w:rPr>
          <w:rFonts w:ascii="Arial" w:hAnsi="Arial" w:cs="Arial"/>
          <w:i/>
          <w:sz w:val="22"/>
        </w:rPr>
        <w:t>, que JUAN había firmado un poder. Al solicitar los certificados de tradición de los inmuebles de su tío, encontró que las prop</w:t>
      </w:r>
      <w:r w:rsidR="00E77ACF" w:rsidRPr="006A0032">
        <w:rPr>
          <w:rFonts w:ascii="Arial" w:hAnsi="Arial" w:cs="Arial"/>
          <w:i/>
          <w:sz w:val="22"/>
        </w:rPr>
        <w:t xml:space="preserve">iedades estaban a nombre de </w:t>
      </w:r>
      <w:proofErr w:type="spellStart"/>
      <w:r w:rsidR="007126BA">
        <w:rPr>
          <w:rFonts w:ascii="Arial" w:hAnsi="Arial" w:cs="Arial"/>
          <w:i/>
          <w:sz w:val="22"/>
        </w:rPr>
        <w:t>M.C.V.V</w:t>
      </w:r>
      <w:proofErr w:type="spellEnd"/>
      <w:r w:rsidR="007126BA">
        <w:rPr>
          <w:rFonts w:ascii="Arial" w:hAnsi="Arial" w:cs="Arial"/>
          <w:i/>
          <w:sz w:val="22"/>
        </w:rPr>
        <w:t>.</w:t>
      </w:r>
      <w:r w:rsidRPr="006A0032">
        <w:rPr>
          <w:rFonts w:ascii="Arial" w:hAnsi="Arial" w:cs="Arial"/>
          <w:i/>
          <w:sz w:val="22"/>
        </w:rPr>
        <w:t xml:space="preserve">, quien aparece como compradora desde el 4 de abril de 2012, igualmente que los intereses y dineros en CDTS de sus tíos son </w:t>
      </w:r>
      <w:r w:rsidR="00E77ACF" w:rsidRPr="006A0032">
        <w:rPr>
          <w:rFonts w:ascii="Arial" w:hAnsi="Arial" w:cs="Arial"/>
          <w:i/>
          <w:sz w:val="22"/>
        </w:rPr>
        <w:t xml:space="preserve">reclamados y apropiados por </w:t>
      </w:r>
      <w:proofErr w:type="spellStart"/>
      <w:r w:rsidR="007126BA">
        <w:rPr>
          <w:rFonts w:ascii="Arial" w:hAnsi="Arial" w:cs="Arial"/>
          <w:i/>
          <w:sz w:val="22"/>
        </w:rPr>
        <w:t>M.C.V.V</w:t>
      </w:r>
      <w:proofErr w:type="spellEnd"/>
      <w:r w:rsidR="007126BA">
        <w:rPr>
          <w:rFonts w:ascii="Arial" w:hAnsi="Arial" w:cs="Arial"/>
          <w:i/>
          <w:sz w:val="22"/>
        </w:rPr>
        <w:t>.</w:t>
      </w:r>
    </w:p>
    <w:p w:rsidR="005D64B1" w:rsidRPr="006A0032" w:rsidRDefault="005D64B1" w:rsidP="006A0032">
      <w:pPr>
        <w:ind w:left="426" w:right="420"/>
        <w:jc w:val="both"/>
        <w:rPr>
          <w:rFonts w:ascii="Arial" w:hAnsi="Arial" w:cs="Arial"/>
          <w:i/>
          <w:sz w:val="22"/>
        </w:rPr>
      </w:pPr>
    </w:p>
    <w:p w:rsidR="00BE4853" w:rsidRPr="006A0032" w:rsidRDefault="005D64B1" w:rsidP="006A0032">
      <w:pPr>
        <w:ind w:left="426" w:right="420"/>
        <w:jc w:val="both"/>
        <w:rPr>
          <w:rFonts w:ascii="Arial" w:hAnsi="Arial" w:cs="Arial"/>
          <w:i/>
          <w:sz w:val="22"/>
        </w:rPr>
      </w:pPr>
      <w:r w:rsidRPr="006A0032">
        <w:rPr>
          <w:rFonts w:ascii="Arial" w:hAnsi="Arial" w:cs="Arial"/>
          <w:i/>
          <w:sz w:val="22"/>
        </w:rPr>
        <w:t xml:space="preserve">Se realiza reconocimiento psicológico a JUAN NEPOMUCENO, dictaminado como enfermo de DEMENCIA, sin capacidad administrativa. Y por Psiquiatría Forense a la </w:t>
      </w:r>
      <w:r w:rsidR="00E77ACF" w:rsidRPr="006A0032">
        <w:rPr>
          <w:rFonts w:ascii="Arial" w:hAnsi="Arial" w:cs="Arial"/>
          <w:i/>
          <w:sz w:val="22"/>
        </w:rPr>
        <w:t>señora ETELVINA VEGA</w:t>
      </w:r>
      <w:r w:rsidRPr="006A0032">
        <w:rPr>
          <w:rFonts w:ascii="Arial" w:hAnsi="Arial" w:cs="Arial"/>
          <w:i/>
          <w:sz w:val="22"/>
        </w:rPr>
        <w:t>, igualmente con DEMENCIA QUE L</w:t>
      </w:r>
      <w:r w:rsidR="00E77ACF" w:rsidRPr="006A0032">
        <w:rPr>
          <w:rFonts w:ascii="Arial" w:hAnsi="Arial" w:cs="Arial"/>
          <w:i/>
          <w:sz w:val="22"/>
        </w:rPr>
        <w:t>IMITA LA CAPACIDAD DE COMPRENSIÓ</w:t>
      </w:r>
      <w:r w:rsidRPr="006A0032">
        <w:rPr>
          <w:rFonts w:ascii="Arial" w:hAnsi="Arial" w:cs="Arial"/>
          <w:i/>
          <w:sz w:val="22"/>
        </w:rPr>
        <w:t>N Y LA UBICA EN CONDICIONES DE INFERIORIDAD.</w:t>
      </w:r>
      <w:r w:rsidR="00E77ACF" w:rsidRPr="006A0032">
        <w:rPr>
          <w:rFonts w:ascii="Arial" w:hAnsi="Arial" w:cs="Arial"/>
          <w:i/>
          <w:sz w:val="22"/>
        </w:rPr>
        <w:t>”</w:t>
      </w:r>
    </w:p>
    <w:p w:rsidR="005333EA" w:rsidRPr="006A0032" w:rsidRDefault="005333EA" w:rsidP="006A0032">
      <w:pPr>
        <w:spacing w:line="288" w:lineRule="auto"/>
        <w:ind w:left="567" w:right="618"/>
        <w:jc w:val="both"/>
        <w:rPr>
          <w:rFonts w:ascii="Arial" w:hAnsi="Arial" w:cs="Arial"/>
        </w:rPr>
      </w:pPr>
    </w:p>
    <w:p w:rsidR="00FD2219" w:rsidRPr="006A0032" w:rsidRDefault="00E77ACF" w:rsidP="006A0032">
      <w:pPr>
        <w:spacing w:line="288" w:lineRule="auto"/>
        <w:ind w:right="51"/>
        <w:jc w:val="both"/>
        <w:rPr>
          <w:rFonts w:ascii="Arial" w:hAnsi="Arial" w:cs="Arial"/>
        </w:rPr>
      </w:pPr>
      <w:r w:rsidRPr="006A0032">
        <w:rPr>
          <w:rFonts w:ascii="Arial" w:hAnsi="Arial" w:cs="Arial"/>
        </w:rPr>
        <w:t xml:space="preserve">2.2 El día 12 de mayo de 2015 la FGN le comunicó cargos a la señora </w:t>
      </w:r>
      <w:proofErr w:type="spellStart"/>
      <w:r w:rsidR="00E1362A">
        <w:rPr>
          <w:rFonts w:ascii="Arial" w:hAnsi="Arial" w:cs="Arial"/>
        </w:rPr>
        <w:t>M.C.V.V</w:t>
      </w:r>
      <w:proofErr w:type="spellEnd"/>
      <w:r w:rsidR="00E1362A">
        <w:rPr>
          <w:rFonts w:ascii="Arial" w:hAnsi="Arial" w:cs="Arial"/>
        </w:rPr>
        <w:t>.</w:t>
      </w:r>
      <w:r w:rsidRPr="006A0032">
        <w:rPr>
          <w:rFonts w:ascii="Arial" w:hAnsi="Arial" w:cs="Arial"/>
        </w:rPr>
        <w:t xml:space="preserve"> por el delito de abuso de condiciones de inferioridad previsto en el artículo 251 del CP. La señora </w:t>
      </w:r>
      <w:proofErr w:type="spellStart"/>
      <w:r w:rsidR="00E1362A">
        <w:rPr>
          <w:rFonts w:ascii="Arial" w:hAnsi="Arial" w:cs="Arial"/>
        </w:rPr>
        <w:t>M.C.V.V</w:t>
      </w:r>
      <w:proofErr w:type="spellEnd"/>
      <w:r w:rsidR="00E1362A">
        <w:rPr>
          <w:rFonts w:ascii="Arial" w:hAnsi="Arial" w:cs="Arial"/>
        </w:rPr>
        <w:t>.</w:t>
      </w:r>
      <w:r w:rsidRPr="006A0032">
        <w:rPr>
          <w:rFonts w:ascii="Arial" w:hAnsi="Arial" w:cs="Arial"/>
        </w:rPr>
        <w:t xml:space="preserve"> </w:t>
      </w:r>
      <w:r w:rsidR="00FD2219" w:rsidRPr="006A0032">
        <w:rPr>
          <w:rFonts w:ascii="Arial" w:hAnsi="Arial" w:cs="Arial"/>
        </w:rPr>
        <w:t xml:space="preserve">no aceptó dicha imputación (fl. 5). </w:t>
      </w:r>
    </w:p>
    <w:p w:rsidR="00FD2219" w:rsidRPr="006A0032" w:rsidRDefault="00FD2219" w:rsidP="006A0032">
      <w:pPr>
        <w:spacing w:line="288" w:lineRule="auto"/>
        <w:ind w:right="51"/>
        <w:jc w:val="both"/>
        <w:rPr>
          <w:rFonts w:ascii="Arial" w:hAnsi="Arial" w:cs="Arial"/>
        </w:rPr>
      </w:pPr>
    </w:p>
    <w:p w:rsidR="00BE4853" w:rsidRPr="006A0032" w:rsidRDefault="00FD2219" w:rsidP="006A0032">
      <w:pPr>
        <w:spacing w:line="288" w:lineRule="auto"/>
        <w:ind w:right="51"/>
        <w:jc w:val="both"/>
        <w:rPr>
          <w:rFonts w:ascii="Arial" w:hAnsi="Arial" w:cs="Arial"/>
        </w:rPr>
      </w:pPr>
      <w:r w:rsidRPr="006A0032">
        <w:rPr>
          <w:rFonts w:ascii="Arial" w:hAnsi="Arial" w:cs="Arial"/>
        </w:rPr>
        <w:t xml:space="preserve">2.3 El Juzgado Séptimo Penal del Circuito de esta ciudad asumió el conocimiento de la presente causa (fl. 7). La audiencia de formulación de acusación se celebró el 10 de febrero de 2016 (fl. 9). La audiencia preparatoria se llevó a el 30 de junio de 2016 (fl. 17 y 18). </w:t>
      </w:r>
      <w:r w:rsidR="00F22ED7" w:rsidRPr="006A0032">
        <w:rPr>
          <w:rFonts w:ascii="Arial" w:hAnsi="Arial" w:cs="Arial"/>
        </w:rPr>
        <w:t>El juicio oral se ha venido desarrollando en sesiones del 27 de septiembre de 2016 (fl. 29), 12 de diciembre de 2016 (fl. 43), 21 de marzo de 2017 (fl. 44), 28 de noviembre de 2017 (fl. 50), y 21 de enero de 2019 (fl. 63).</w:t>
      </w:r>
    </w:p>
    <w:p w:rsidR="00BE4853" w:rsidRPr="006A0032" w:rsidRDefault="00BE4853" w:rsidP="006A0032">
      <w:pPr>
        <w:spacing w:line="288" w:lineRule="auto"/>
        <w:ind w:right="51"/>
        <w:jc w:val="both"/>
        <w:rPr>
          <w:rFonts w:ascii="Arial" w:hAnsi="Arial" w:cs="Arial"/>
          <w:u w:val="single"/>
        </w:rPr>
      </w:pPr>
    </w:p>
    <w:p w:rsidR="00BE4853" w:rsidRPr="006A0032" w:rsidRDefault="00F22ED7" w:rsidP="006A0032">
      <w:pPr>
        <w:spacing w:line="288" w:lineRule="auto"/>
        <w:ind w:right="51"/>
        <w:jc w:val="both"/>
        <w:rPr>
          <w:rFonts w:ascii="Arial" w:hAnsi="Arial" w:cs="Arial"/>
        </w:rPr>
      </w:pPr>
      <w:r w:rsidRPr="006A0032">
        <w:rPr>
          <w:rFonts w:ascii="Arial" w:hAnsi="Arial" w:cs="Arial"/>
        </w:rPr>
        <w:t>2.4</w:t>
      </w:r>
      <w:r w:rsidR="00BE4853" w:rsidRPr="006A0032">
        <w:rPr>
          <w:rFonts w:ascii="Arial" w:hAnsi="Arial" w:cs="Arial"/>
        </w:rPr>
        <w:t xml:space="preserve"> En la </w:t>
      </w:r>
      <w:r w:rsidR="005333EA" w:rsidRPr="006A0032">
        <w:rPr>
          <w:rFonts w:ascii="Arial" w:hAnsi="Arial" w:cs="Arial"/>
        </w:rPr>
        <w:t xml:space="preserve">sesión del </w:t>
      </w:r>
      <w:r w:rsidR="00BE4853" w:rsidRPr="006A0032">
        <w:rPr>
          <w:rFonts w:ascii="Arial" w:hAnsi="Arial" w:cs="Arial"/>
        </w:rPr>
        <w:t xml:space="preserve">juicio oral que inició el </w:t>
      </w:r>
      <w:r w:rsidR="005333EA" w:rsidRPr="006A0032">
        <w:rPr>
          <w:rFonts w:ascii="Arial" w:hAnsi="Arial" w:cs="Arial"/>
        </w:rPr>
        <w:t>21 de enero del año que avanza</w:t>
      </w:r>
      <w:r w:rsidR="00BE4853" w:rsidRPr="006A0032">
        <w:rPr>
          <w:rFonts w:ascii="Arial" w:hAnsi="Arial" w:cs="Arial"/>
        </w:rPr>
        <w:t>, se presentó la siguiente actuación que guarda relación con el recurso propuesto:</w:t>
      </w:r>
    </w:p>
    <w:p w:rsidR="00BE4853" w:rsidRPr="006A0032" w:rsidRDefault="00BE4853" w:rsidP="006A0032">
      <w:pPr>
        <w:spacing w:line="288" w:lineRule="auto"/>
        <w:ind w:right="51"/>
        <w:rPr>
          <w:rFonts w:ascii="Arial" w:hAnsi="Arial" w:cs="Arial"/>
        </w:rPr>
      </w:pPr>
    </w:p>
    <w:p w:rsidR="00F27E06" w:rsidRPr="006A0032" w:rsidRDefault="00F22ED7" w:rsidP="006A0032">
      <w:pPr>
        <w:spacing w:line="288" w:lineRule="auto"/>
        <w:ind w:right="51"/>
        <w:jc w:val="both"/>
        <w:rPr>
          <w:rFonts w:ascii="Arial" w:hAnsi="Arial" w:cs="Arial"/>
        </w:rPr>
      </w:pPr>
      <w:r w:rsidRPr="006A0032">
        <w:rPr>
          <w:rFonts w:ascii="Arial" w:hAnsi="Arial" w:cs="Arial"/>
        </w:rPr>
        <w:t>2.5</w:t>
      </w:r>
      <w:r w:rsidR="00BE4853" w:rsidRPr="006A0032">
        <w:rPr>
          <w:rFonts w:ascii="Arial" w:hAnsi="Arial" w:cs="Arial"/>
        </w:rPr>
        <w:t xml:space="preserve"> </w:t>
      </w:r>
      <w:r w:rsidR="00FA5FF9" w:rsidRPr="006A0032">
        <w:rPr>
          <w:rFonts w:ascii="Arial" w:hAnsi="Arial" w:cs="Arial"/>
        </w:rPr>
        <w:t xml:space="preserve">Luego de que el juez de conocimiento advirtiera que </w:t>
      </w:r>
      <w:r w:rsidR="00F27E06" w:rsidRPr="006A0032">
        <w:rPr>
          <w:rFonts w:ascii="Arial" w:hAnsi="Arial" w:cs="Arial"/>
        </w:rPr>
        <w:t xml:space="preserve">no </w:t>
      </w:r>
      <w:r w:rsidR="00FA5FF9" w:rsidRPr="006A0032">
        <w:rPr>
          <w:rFonts w:ascii="Arial" w:hAnsi="Arial" w:cs="Arial"/>
        </w:rPr>
        <w:t>era procedente la suspensión del juicio que solicit</w:t>
      </w:r>
      <w:r w:rsidR="00F27E06" w:rsidRPr="006A0032">
        <w:rPr>
          <w:rFonts w:ascii="Arial" w:hAnsi="Arial" w:cs="Arial"/>
        </w:rPr>
        <w:t>ó</w:t>
      </w:r>
      <w:r w:rsidR="00FA5FF9" w:rsidRPr="006A0032">
        <w:rPr>
          <w:rFonts w:ascii="Arial" w:hAnsi="Arial" w:cs="Arial"/>
        </w:rPr>
        <w:t xml:space="preserve"> el defensor por no haber recib</w:t>
      </w:r>
      <w:r w:rsidR="00F27E06" w:rsidRPr="006A0032">
        <w:rPr>
          <w:rFonts w:ascii="Arial" w:hAnsi="Arial" w:cs="Arial"/>
        </w:rPr>
        <w:t xml:space="preserve">ido registros </w:t>
      </w:r>
      <w:r w:rsidR="00FA5FF9" w:rsidRPr="006A0032">
        <w:rPr>
          <w:rFonts w:ascii="Arial" w:hAnsi="Arial" w:cs="Arial"/>
        </w:rPr>
        <w:t xml:space="preserve">audibles de algunas </w:t>
      </w:r>
      <w:r w:rsidR="00F27E06" w:rsidRPr="006A0032">
        <w:rPr>
          <w:rFonts w:ascii="Arial" w:hAnsi="Arial" w:cs="Arial"/>
        </w:rPr>
        <w:t>actuaciones y pruebas y otros anexos que tenía el anterior representante de la acusada, lo cual fue coadyu</w:t>
      </w:r>
      <w:r w:rsidR="003067DC" w:rsidRPr="006A0032">
        <w:rPr>
          <w:rFonts w:ascii="Arial" w:hAnsi="Arial" w:cs="Arial"/>
        </w:rPr>
        <w:t xml:space="preserve">vado por el delegado de la FGN, </w:t>
      </w:r>
      <w:r w:rsidR="00F27E06" w:rsidRPr="006A0032">
        <w:rPr>
          <w:rFonts w:ascii="Arial" w:hAnsi="Arial" w:cs="Arial"/>
        </w:rPr>
        <w:t>el juez de conocimiento negó esa solicitud, al considerar que en</w:t>
      </w:r>
      <w:r w:rsidR="00AC68B0">
        <w:rPr>
          <w:rFonts w:ascii="Arial" w:hAnsi="Arial" w:cs="Arial"/>
        </w:rPr>
        <w:t xml:space="preserve"> es</w:t>
      </w:r>
      <w:r w:rsidR="00F27E06" w:rsidRPr="006A0032">
        <w:rPr>
          <w:rFonts w:ascii="Arial" w:hAnsi="Arial" w:cs="Arial"/>
        </w:rPr>
        <w:t>te caso estaba próxima la prescripción de la acción penal y que el representante de la procesada debió haber formulado esa solicitud mucho antes de esa audiencia teniendo en cuenta la fecha en que recibió el mandato de la acusada.</w:t>
      </w:r>
    </w:p>
    <w:p w:rsidR="00F27E06" w:rsidRPr="006A0032" w:rsidRDefault="00F27E06" w:rsidP="006A0032">
      <w:pPr>
        <w:spacing w:line="288" w:lineRule="auto"/>
        <w:ind w:right="51"/>
        <w:jc w:val="both"/>
        <w:rPr>
          <w:rFonts w:ascii="Arial" w:hAnsi="Arial" w:cs="Arial"/>
        </w:rPr>
      </w:pPr>
    </w:p>
    <w:p w:rsidR="008B4EB5" w:rsidRPr="006A0032" w:rsidRDefault="00F22ED7" w:rsidP="006A0032">
      <w:pPr>
        <w:spacing w:line="288" w:lineRule="auto"/>
        <w:ind w:right="51"/>
        <w:jc w:val="both"/>
        <w:rPr>
          <w:rFonts w:ascii="Arial" w:hAnsi="Arial" w:cs="Arial"/>
        </w:rPr>
      </w:pPr>
      <w:r w:rsidRPr="006A0032">
        <w:rPr>
          <w:rFonts w:ascii="Arial" w:hAnsi="Arial" w:cs="Arial"/>
        </w:rPr>
        <w:t>2.6</w:t>
      </w:r>
      <w:r w:rsidR="00F27E06" w:rsidRPr="006A0032">
        <w:rPr>
          <w:rFonts w:ascii="Arial" w:hAnsi="Arial" w:cs="Arial"/>
        </w:rPr>
        <w:t xml:space="preserve"> Seguidamente el fiscal </w:t>
      </w:r>
      <w:r w:rsidR="005333EA" w:rsidRPr="006A0032">
        <w:rPr>
          <w:rFonts w:ascii="Arial" w:hAnsi="Arial" w:cs="Arial"/>
        </w:rPr>
        <w:t xml:space="preserve">solicitó </w:t>
      </w:r>
      <w:r w:rsidR="000C0AB4" w:rsidRPr="006A0032">
        <w:rPr>
          <w:rFonts w:ascii="Arial" w:hAnsi="Arial" w:cs="Arial"/>
        </w:rPr>
        <w:t xml:space="preserve">al </w:t>
      </w:r>
      <w:r w:rsidR="000C0AB4" w:rsidRPr="006A0032">
        <w:rPr>
          <w:rFonts w:ascii="Arial" w:hAnsi="Arial" w:cs="Arial"/>
          <w:i/>
        </w:rPr>
        <w:t>A quo</w:t>
      </w:r>
      <w:r w:rsidR="005333EA" w:rsidRPr="006A0032">
        <w:rPr>
          <w:rFonts w:ascii="Arial" w:hAnsi="Arial" w:cs="Arial"/>
        </w:rPr>
        <w:t xml:space="preserve"> que se escuchara la declaración del investigador </w:t>
      </w:r>
      <w:r w:rsidR="008B4EB5" w:rsidRPr="006A0032">
        <w:rPr>
          <w:rFonts w:ascii="Arial" w:hAnsi="Arial" w:cs="Arial"/>
        </w:rPr>
        <w:t xml:space="preserve">de la SIJIN </w:t>
      </w:r>
      <w:r w:rsidR="00067D3E" w:rsidRPr="006A0032">
        <w:rPr>
          <w:rFonts w:ascii="Arial" w:hAnsi="Arial" w:cs="Arial"/>
        </w:rPr>
        <w:t>Robín Serna Sepúlveda</w:t>
      </w:r>
      <w:r w:rsidR="008B4EB5" w:rsidRPr="006A0032">
        <w:rPr>
          <w:rFonts w:ascii="Arial" w:hAnsi="Arial" w:cs="Arial"/>
        </w:rPr>
        <w:t>.</w:t>
      </w:r>
    </w:p>
    <w:p w:rsidR="003067DC" w:rsidRPr="006A0032" w:rsidRDefault="003067DC" w:rsidP="006A0032">
      <w:pPr>
        <w:spacing w:line="288" w:lineRule="auto"/>
        <w:ind w:right="51"/>
        <w:jc w:val="both"/>
        <w:rPr>
          <w:rFonts w:ascii="Arial" w:hAnsi="Arial" w:cs="Arial"/>
        </w:rPr>
      </w:pPr>
    </w:p>
    <w:p w:rsidR="00BE4853" w:rsidRDefault="00F22ED7" w:rsidP="006A0032">
      <w:pPr>
        <w:spacing w:line="288" w:lineRule="auto"/>
        <w:ind w:right="51"/>
        <w:jc w:val="both"/>
        <w:rPr>
          <w:rFonts w:ascii="Arial" w:hAnsi="Arial" w:cs="Arial"/>
        </w:rPr>
      </w:pPr>
      <w:r w:rsidRPr="006A0032">
        <w:rPr>
          <w:rFonts w:ascii="Arial" w:hAnsi="Arial" w:cs="Arial"/>
        </w:rPr>
        <w:t>2.7</w:t>
      </w:r>
      <w:r w:rsidR="008B4EB5" w:rsidRPr="006A0032">
        <w:rPr>
          <w:rFonts w:ascii="Arial" w:hAnsi="Arial" w:cs="Arial"/>
        </w:rPr>
        <w:t xml:space="preserve"> Ante una preg</w:t>
      </w:r>
      <w:r w:rsidR="003067DC" w:rsidRPr="006A0032">
        <w:rPr>
          <w:rFonts w:ascii="Arial" w:hAnsi="Arial" w:cs="Arial"/>
        </w:rPr>
        <w:t xml:space="preserve">unta del juez de conocimiento, </w:t>
      </w:r>
      <w:r w:rsidR="008B4EB5" w:rsidRPr="006A0032">
        <w:rPr>
          <w:rFonts w:ascii="Arial" w:hAnsi="Arial" w:cs="Arial"/>
        </w:rPr>
        <w:t xml:space="preserve">el delegado de la FGN dijo que </w:t>
      </w:r>
      <w:r w:rsidR="009D1180" w:rsidRPr="006A0032">
        <w:rPr>
          <w:rFonts w:ascii="Arial" w:hAnsi="Arial" w:cs="Arial"/>
        </w:rPr>
        <w:t>el</w:t>
      </w:r>
      <w:r w:rsidR="003067DC" w:rsidRPr="006A0032">
        <w:rPr>
          <w:rFonts w:ascii="Arial" w:hAnsi="Arial" w:cs="Arial"/>
        </w:rPr>
        <w:t xml:space="preserve"> señor Serna Sepúlveda, venía “</w:t>
      </w:r>
      <w:r w:rsidR="009D1180" w:rsidRPr="006A0032">
        <w:rPr>
          <w:rFonts w:ascii="Arial" w:hAnsi="Arial" w:cs="Arial"/>
        </w:rPr>
        <w:t>en reemplazo</w:t>
      </w:r>
      <w:r w:rsidR="003067DC" w:rsidRPr="006A0032">
        <w:rPr>
          <w:rFonts w:ascii="Arial" w:hAnsi="Arial" w:cs="Arial"/>
        </w:rPr>
        <w:t>”</w:t>
      </w:r>
      <w:r w:rsidR="009D1180" w:rsidRPr="006A0032">
        <w:rPr>
          <w:rFonts w:ascii="Arial" w:hAnsi="Arial" w:cs="Arial"/>
        </w:rPr>
        <w:t xml:space="preserve"> del investigador </w:t>
      </w:r>
      <w:r w:rsidR="00067D3E" w:rsidRPr="006A0032">
        <w:rPr>
          <w:rFonts w:ascii="Arial" w:hAnsi="Arial" w:cs="Arial"/>
        </w:rPr>
        <w:t xml:space="preserve">Ramón Elías Morales, </w:t>
      </w:r>
      <w:r w:rsidR="00BB7595" w:rsidRPr="006A0032">
        <w:rPr>
          <w:rFonts w:ascii="Arial" w:hAnsi="Arial" w:cs="Arial"/>
        </w:rPr>
        <w:t>porque este se encontraba pensionado</w:t>
      </w:r>
      <w:r w:rsidR="009D1180" w:rsidRPr="006A0032">
        <w:rPr>
          <w:rFonts w:ascii="Arial" w:hAnsi="Arial" w:cs="Arial"/>
        </w:rPr>
        <w:t xml:space="preserve"> y no se había podido ubicar,</w:t>
      </w:r>
      <w:r w:rsidR="00BB7595" w:rsidRPr="006A0032">
        <w:rPr>
          <w:rFonts w:ascii="Arial" w:hAnsi="Arial" w:cs="Arial"/>
        </w:rPr>
        <w:t xml:space="preserve"> indicando que </w:t>
      </w:r>
      <w:r w:rsidR="003067DC" w:rsidRPr="006A0032">
        <w:rPr>
          <w:rFonts w:ascii="Arial" w:hAnsi="Arial" w:cs="Arial"/>
        </w:rPr>
        <w:t>el señor Morales había</w:t>
      </w:r>
      <w:r w:rsidR="00067D3E" w:rsidRPr="006A0032">
        <w:rPr>
          <w:rFonts w:ascii="Arial" w:hAnsi="Arial" w:cs="Arial"/>
        </w:rPr>
        <w:t xml:space="preserve"> realizado unos actos de</w:t>
      </w:r>
      <w:r w:rsidR="00F27E06" w:rsidRPr="006A0032">
        <w:rPr>
          <w:rFonts w:ascii="Arial" w:hAnsi="Arial" w:cs="Arial"/>
        </w:rPr>
        <w:t xml:space="preserve"> investigación previos </w:t>
      </w:r>
      <w:r w:rsidR="00067D3E" w:rsidRPr="006A0032">
        <w:rPr>
          <w:rFonts w:ascii="Arial" w:hAnsi="Arial" w:cs="Arial"/>
        </w:rPr>
        <w:t xml:space="preserve">y </w:t>
      </w:r>
      <w:r w:rsidR="00BB7595" w:rsidRPr="006A0032">
        <w:rPr>
          <w:rFonts w:ascii="Arial" w:hAnsi="Arial" w:cs="Arial"/>
        </w:rPr>
        <w:t xml:space="preserve">que </w:t>
      </w:r>
      <w:r w:rsidR="00AF1488" w:rsidRPr="006A0032">
        <w:rPr>
          <w:rFonts w:ascii="Arial" w:hAnsi="Arial" w:cs="Arial"/>
        </w:rPr>
        <w:t xml:space="preserve">con </w:t>
      </w:r>
      <w:r w:rsidR="008B4EB5" w:rsidRPr="006A0032">
        <w:rPr>
          <w:rFonts w:ascii="Arial" w:hAnsi="Arial" w:cs="Arial"/>
        </w:rPr>
        <w:t xml:space="preserve">el investigador Serna </w:t>
      </w:r>
      <w:r w:rsidR="003067DC" w:rsidRPr="006A0032">
        <w:rPr>
          <w:rFonts w:ascii="Arial" w:hAnsi="Arial" w:cs="Arial"/>
        </w:rPr>
        <w:t>se iban a</w:t>
      </w:r>
      <w:r w:rsidR="00AF1488" w:rsidRPr="006A0032">
        <w:rPr>
          <w:rFonts w:ascii="Arial" w:hAnsi="Arial" w:cs="Arial"/>
        </w:rPr>
        <w:t xml:space="preserve"> introducir unos documentos</w:t>
      </w:r>
      <w:r w:rsidR="003067DC" w:rsidRPr="006A0032">
        <w:rPr>
          <w:rFonts w:ascii="Arial" w:hAnsi="Arial" w:cs="Arial"/>
        </w:rPr>
        <w:t xml:space="preserve"> de suma importancia para la </w:t>
      </w:r>
      <w:r w:rsidR="009C1276" w:rsidRPr="006A0032">
        <w:rPr>
          <w:rFonts w:ascii="Arial" w:hAnsi="Arial" w:cs="Arial"/>
        </w:rPr>
        <w:t xml:space="preserve">decisión </w:t>
      </w:r>
      <w:r w:rsidR="003067DC" w:rsidRPr="006A0032">
        <w:rPr>
          <w:rFonts w:ascii="Arial" w:hAnsi="Arial" w:cs="Arial"/>
        </w:rPr>
        <w:t>que se debía adoptar,</w:t>
      </w:r>
      <w:r w:rsidR="009C1276" w:rsidRPr="006A0032">
        <w:rPr>
          <w:rFonts w:ascii="Arial" w:hAnsi="Arial" w:cs="Arial"/>
        </w:rPr>
        <w:t xml:space="preserve"> ya que los mismos habían sido recolectados en algunas </w:t>
      </w:r>
      <w:r w:rsidR="008B4EB5" w:rsidRPr="006A0032">
        <w:rPr>
          <w:rFonts w:ascii="Arial" w:hAnsi="Arial" w:cs="Arial"/>
        </w:rPr>
        <w:t xml:space="preserve">notarías, la Oficina de Registro de II y PP y unas </w:t>
      </w:r>
      <w:r w:rsidR="003067DC" w:rsidRPr="006A0032">
        <w:rPr>
          <w:rFonts w:ascii="Arial" w:hAnsi="Arial" w:cs="Arial"/>
        </w:rPr>
        <w:t>entidades bancarias</w:t>
      </w:r>
      <w:r w:rsidR="00AF1488" w:rsidRPr="006A0032">
        <w:rPr>
          <w:rFonts w:ascii="Arial" w:hAnsi="Arial" w:cs="Arial"/>
        </w:rPr>
        <w:t xml:space="preserve">, los cuales podían ser aducidos a través de otro de los investigadores del caso. </w:t>
      </w:r>
      <w:r w:rsidR="00BB7595" w:rsidRPr="006A0032">
        <w:rPr>
          <w:rFonts w:ascii="Arial" w:hAnsi="Arial" w:cs="Arial"/>
        </w:rPr>
        <w:t>Ex</w:t>
      </w:r>
      <w:r w:rsidR="003067DC" w:rsidRPr="006A0032">
        <w:rPr>
          <w:rFonts w:ascii="Arial" w:hAnsi="Arial" w:cs="Arial"/>
        </w:rPr>
        <w:t>puso igualmente que el juez que</w:t>
      </w:r>
      <w:r w:rsidR="00067D3E" w:rsidRPr="006A0032">
        <w:rPr>
          <w:rFonts w:ascii="Arial" w:hAnsi="Arial" w:cs="Arial"/>
        </w:rPr>
        <w:t xml:space="preserve"> fung</w:t>
      </w:r>
      <w:r w:rsidR="00BB7595" w:rsidRPr="006A0032">
        <w:rPr>
          <w:rFonts w:ascii="Arial" w:hAnsi="Arial" w:cs="Arial"/>
        </w:rPr>
        <w:t xml:space="preserve">ió </w:t>
      </w:r>
      <w:r w:rsidR="00067D3E" w:rsidRPr="006A0032">
        <w:rPr>
          <w:rFonts w:ascii="Arial" w:hAnsi="Arial" w:cs="Arial"/>
        </w:rPr>
        <w:t>anteriormente como titular de ese despacho había accedido a</w:t>
      </w:r>
      <w:r w:rsidR="00B97764">
        <w:rPr>
          <w:rFonts w:ascii="Arial" w:hAnsi="Arial" w:cs="Arial"/>
        </w:rPr>
        <w:t xml:space="preserve"> la práctica de ese testimonio.</w:t>
      </w:r>
    </w:p>
    <w:p w:rsidR="00B97764" w:rsidRPr="006A0032" w:rsidRDefault="00B97764" w:rsidP="006A0032">
      <w:pPr>
        <w:spacing w:line="288" w:lineRule="auto"/>
        <w:ind w:right="51"/>
        <w:jc w:val="both"/>
        <w:rPr>
          <w:rFonts w:ascii="Arial" w:hAnsi="Arial" w:cs="Arial"/>
        </w:rPr>
      </w:pPr>
    </w:p>
    <w:p w:rsidR="00C20FE0" w:rsidRPr="006A0032" w:rsidRDefault="004908E9" w:rsidP="006A0032">
      <w:pPr>
        <w:spacing w:line="288" w:lineRule="auto"/>
        <w:ind w:right="51"/>
        <w:jc w:val="both"/>
        <w:rPr>
          <w:rFonts w:ascii="Arial" w:hAnsi="Arial" w:cs="Arial"/>
        </w:rPr>
      </w:pPr>
      <w:r w:rsidRPr="006A0032">
        <w:rPr>
          <w:rFonts w:ascii="Arial" w:hAnsi="Arial" w:cs="Arial"/>
        </w:rPr>
        <w:t>2.8</w:t>
      </w:r>
      <w:r w:rsidR="008B4EB5" w:rsidRPr="006A0032">
        <w:rPr>
          <w:rFonts w:ascii="Arial" w:hAnsi="Arial" w:cs="Arial"/>
        </w:rPr>
        <w:t xml:space="preserve"> El defensor se opuso a esa solicit</w:t>
      </w:r>
      <w:r w:rsidR="009D1180" w:rsidRPr="006A0032">
        <w:rPr>
          <w:rFonts w:ascii="Arial" w:hAnsi="Arial" w:cs="Arial"/>
        </w:rPr>
        <w:t xml:space="preserve">ud ya que la </w:t>
      </w:r>
      <w:r w:rsidR="003A0FDB" w:rsidRPr="006A0032">
        <w:rPr>
          <w:rFonts w:ascii="Arial" w:hAnsi="Arial" w:cs="Arial"/>
        </w:rPr>
        <w:t>FGN había ofrecido</w:t>
      </w:r>
      <w:r w:rsidR="00C20FE0" w:rsidRPr="006A0032">
        <w:rPr>
          <w:rFonts w:ascii="Arial" w:hAnsi="Arial" w:cs="Arial"/>
        </w:rPr>
        <w:t xml:space="preserve"> como testigo de acreditación al </w:t>
      </w:r>
      <w:r w:rsidR="00427173" w:rsidRPr="006A0032">
        <w:rPr>
          <w:rFonts w:ascii="Arial" w:hAnsi="Arial" w:cs="Arial"/>
        </w:rPr>
        <w:t>señor Ramón Elías Moral</w:t>
      </w:r>
      <w:r w:rsidR="003A0FDB" w:rsidRPr="006A0032">
        <w:rPr>
          <w:rFonts w:ascii="Arial" w:hAnsi="Arial" w:cs="Arial"/>
        </w:rPr>
        <w:t>es, persona diferente a</w:t>
      </w:r>
      <w:r w:rsidR="00C20FE0" w:rsidRPr="006A0032">
        <w:rPr>
          <w:rFonts w:ascii="Arial" w:hAnsi="Arial" w:cs="Arial"/>
        </w:rPr>
        <w:t xml:space="preserve"> la que se estaba </w:t>
      </w:r>
      <w:r w:rsidR="003A0FDB" w:rsidRPr="006A0032">
        <w:rPr>
          <w:rFonts w:ascii="Arial" w:hAnsi="Arial" w:cs="Arial"/>
        </w:rPr>
        <w:t>convocando al juicio, y</w:t>
      </w:r>
      <w:r w:rsidR="00C20FE0" w:rsidRPr="006A0032">
        <w:rPr>
          <w:rFonts w:ascii="Arial" w:hAnsi="Arial" w:cs="Arial"/>
        </w:rPr>
        <w:t xml:space="preserve">a el investigador Morales era </w:t>
      </w:r>
      <w:r w:rsidR="003A0FDB" w:rsidRPr="006A0032">
        <w:rPr>
          <w:rFonts w:ascii="Arial" w:hAnsi="Arial" w:cs="Arial"/>
        </w:rPr>
        <w:t xml:space="preserve">quien había tenido acceso a la investigación preliminar </w:t>
      </w:r>
      <w:r w:rsidR="00A63E2C" w:rsidRPr="006A0032">
        <w:rPr>
          <w:rFonts w:ascii="Arial" w:hAnsi="Arial" w:cs="Arial"/>
        </w:rPr>
        <w:t>en las presentes diligencias</w:t>
      </w:r>
      <w:r w:rsidR="00C20FE0" w:rsidRPr="006A0032">
        <w:rPr>
          <w:rFonts w:ascii="Arial" w:hAnsi="Arial" w:cs="Arial"/>
        </w:rPr>
        <w:t>.</w:t>
      </w:r>
    </w:p>
    <w:p w:rsidR="00C20FE0" w:rsidRPr="006A0032" w:rsidRDefault="00C20FE0" w:rsidP="006A0032">
      <w:pPr>
        <w:spacing w:line="288" w:lineRule="auto"/>
        <w:ind w:right="51"/>
        <w:jc w:val="both"/>
        <w:rPr>
          <w:rFonts w:ascii="Arial" w:hAnsi="Arial" w:cs="Arial"/>
        </w:rPr>
      </w:pPr>
    </w:p>
    <w:p w:rsidR="00A67A73" w:rsidRPr="006A0032" w:rsidRDefault="004908E9" w:rsidP="006A0032">
      <w:pPr>
        <w:spacing w:line="288" w:lineRule="auto"/>
        <w:ind w:right="51"/>
        <w:jc w:val="both"/>
        <w:rPr>
          <w:rFonts w:ascii="Arial" w:hAnsi="Arial" w:cs="Arial"/>
        </w:rPr>
      </w:pPr>
      <w:r w:rsidRPr="006A0032">
        <w:rPr>
          <w:rFonts w:ascii="Arial" w:hAnsi="Arial" w:cs="Arial"/>
        </w:rPr>
        <w:t>2.9</w:t>
      </w:r>
      <w:r w:rsidR="004C6DD9" w:rsidRPr="006A0032">
        <w:rPr>
          <w:rFonts w:ascii="Arial" w:hAnsi="Arial" w:cs="Arial"/>
        </w:rPr>
        <w:t xml:space="preserve"> </w:t>
      </w:r>
      <w:r w:rsidR="009C1276" w:rsidRPr="006A0032">
        <w:rPr>
          <w:rFonts w:ascii="Arial" w:hAnsi="Arial" w:cs="Arial"/>
        </w:rPr>
        <w:t xml:space="preserve">El juez de conocimiento </w:t>
      </w:r>
      <w:r w:rsidR="00BB321C" w:rsidRPr="006A0032">
        <w:rPr>
          <w:rFonts w:ascii="Arial" w:hAnsi="Arial" w:cs="Arial"/>
        </w:rPr>
        <w:t xml:space="preserve">no accedió a esa </w:t>
      </w:r>
      <w:r w:rsidR="009C1276" w:rsidRPr="006A0032">
        <w:rPr>
          <w:rFonts w:ascii="Arial" w:hAnsi="Arial" w:cs="Arial"/>
        </w:rPr>
        <w:t xml:space="preserve">a </w:t>
      </w:r>
      <w:r w:rsidR="00357262" w:rsidRPr="006A0032">
        <w:rPr>
          <w:rFonts w:ascii="Arial" w:hAnsi="Arial" w:cs="Arial"/>
        </w:rPr>
        <w:t xml:space="preserve">solicitud del delegado de la FGN, </w:t>
      </w:r>
      <w:r w:rsidR="005E6555" w:rsidRPr="006A0032">
        <w:rPr>
          <w:rFonts w:ascii="Arial" w:hAnsi="Arial" w:cs="Arial"/>
        </w:rPr>
        <w:t>se</w:t>
      </w:r>
      <w:r w:rsidR="00A63E2C" w:rsidRPr="006A0032">
        <w:rPr>
          <w:rFonts w:ascii="Arial" w:hAnsi="Arial" w:cs="Arial"/>
        </w:rPr>
        <w:t>ñalando que</w:t>
      </w:r>
      <w:r w:rsidR="00BB321C" w:rsidRPr="006A0032">
        <w:rPr>
          <w:rFonts w:ascii="Arial" w:hAnsi="Arial" w:cs="Arial"/>
        </w:rPr>
        <w:t xml:space="preserve"> su petición </w:t>
      </w:r>
      <w:r w:rsidR="009C1276" w:rsidRPr="006A0032">
        <w:rPr>
          <w:rFonts w:ascii="Arial" w:hAnsi="Arial" w:cs="Arial"/>
        </w:rPr>
        <w:t xml:space="preserve">podía asemejarse a </w:t>
      </w:r>
      <w:r w:rsidR="005E6555" w:rsidRPr="006A0032">
        <w:rPr>
          <w:rFonts w:ascii="Arial" w:hAnsi="Arial" w:cs="Arial"/>
        </w:rPr>
        <w:t xml:space="preserve">la </w:t>
      </w:r>
      <w:r w:rsidR="00427173" w:rsidRPr="006A0032">
        <w:rPr>
          <w:rFonts w:ascii="Arial" w:hAnsi="Arial" w:cs="Arial"/>
        </w:rPr>
        <w:t xml:space="preserve">admisión de </w:t>
      </w:r>
      <w:r w:rsidR="005E6555" w:rsidRPr="006A0032">
        <w:rPr>
          <w:rFonts w:ascii="Arial" w:hAnsi="Arial" w:cs="Arial"/>
        </w:rPr>
        <w:t>un testigo sobreviniente, ya que el nuevo dec</w:t>
      </w:r>
      <w:r w:rsidR="00A63E2C" w:rsidRPr="006A0032">
        <w:rPr>
          <w:rFonts w:ascii="Arial" w:hAnsi="Arial" w:cs="Arial"/>
        </w:rPr>
        <w:t>larante no</w:t>
      </w:r>
      <w:r w:rsidR="00B51BEC" w:rsidRPr="006A0032">
        <w:rPr>
          <w:rFonts w:ascii="Arial" w:hAnsi="Arial" w:cs="Arial"/>
        </w:rPr>
        <w:t xml:space="preserve"> había sido solicitado en la audiencia preparatoria ni figuraba en las actas, y</w:t>
      </w:r>
      <w:r w:rsidR="00A67A73" w:rsidRPr="006A0032">
        <w:rPr>
          <w:rFonts w:ascii="Arial" w:hAnsi="Arial" w:cs="Arial"/>
        </w:rPr>
        <w:t>a que el ente acusador lo había pedido aduciendo que el testigo anterior no se hal</w:t>
      </w:r>
      <w:r w:rsidR="00BB321C" w:rsidRPr="006A0032">
        <w:rPr>
          <w:rFonts w:ascii="Arial" w:hAnsi="Arial" w:cs="Arial"/>
        </w:rPr>
        <w:t>l</w:t>
      </w:r>
      <w:r w:rsidR="00A67A73" w:rsidRPr="006A0032">
        <w:rPr>
          <w:rFonts w:ascii="Arial" w:hAnsi="Arial" w:cs="Arial"/>
        </w:rPr>
        <w:t>aba disponible.</w:t>
      </w:r>
    </w:p>
    <w:p w:rsidR="00A67A73" w:rsidRPr="006A0032" w:rsidRDefault="00A67A73" w:rsidP="006A0032">
      <w:pPr>
        <w:spacing w:line="288" w:lineRule="auto"/>
        <w:ind w:right="51"/>
        <w:jc w:val="both"/>
        <w:rPr>
          <w:rFonts w:ascii="Arial" w:hAnsi="Arial" w:cs="Arial"/>
        </w:rPr>
      </w:pPr>
    </w:p>
    <w:p w:rsidR="00A67A73" w:rsidRPr="006A0032" w:rsidRDefault="00A67A73" w:rsidP="006A0032">
      <w:pPr>
        <w:spacing w:line="288" w:lineRule="auto"/>
        <w:ind w:right="51"/>
        <w:jc w:val="both"/>
        <w:rPr>
          <w:rFonts w:ascii="Arial" w:hAnsi="Arial" w:cs="Arial"/>
        </w:rPr>
      </w:pPr>
      <w:r w:rsidRPr="006A0032">
        <w:rPr>
          <w:rFonts w:ascii="Arial" w:hAnsi="Arial" w:cs="Arial"/>
        </w:rPr>
        <w:t xml:space="preserve">Igualmente consideró que pese a que en la jurisprudencia sobre la materia se </w:t>
      </w:r>
      <w:r w:rsidR="00A63E2C" w:rsidRPr="006A0032">
        <w:rPr>
          <w:rFonts w:ascii="Arial" w:hAnsi="Arial" w:cs="Arial"/>
        </w:rPr>
        <w:t>manifestaba que</w:t>
      </w:r>
      <w:r w:rsidRPr="006A0032">
        <w:rPr>
          <w:rFonts w:ascii="Arial" w:hAnsi="Arial" w:cs="Arial"/>
        </w:rPr>
        <w:t xml:space="preserve"> era posible que participara en la inv</w:t>
      </w:r>
      <w:r w:rsidR="00A63E2C" w:rsidRPr="006A0032">
        <w:rPr>
          <w:rFonts w:ascii="Arial" w:hAnsi="Arial" w:cs="Arial"/>
        </w:rPr>
        <w:t>estigación</w:t>
      </w:r>
      <w:r w:rsidR="00B51BEC" w:rsidRPr="006A0032">
        <w:rPr>
          <w:rFonts w:ascii="Arial" w:hAnsi="Arial" w:cs="Arial"/>
        </w:rPr>
        <w:t xml:space="preserve"> </w:t>
      </w:r>
      <w:r w:rsidR="00113E32" w:rsidRPr="006A0032">
        <w:rPr>
          <w:rFonts w:ascii="Arial" w:hAnsi="Arial" w:cs="Arial"/>
        </w:rPr>
        <w:t xml:space="preserve">una persona distinta a la que </w:t>
      </w:r>
      <w:r w:rsidR="00BB321C" w:rsidRPr="006A0032">
        <w:rPr>
          <w:rFonts w:ascii="Arial" w:hAnsi="Arial" w:cs="Arial"/>
        </w:rPr>
        <w:t xml:space="preserve">elabora o </w:t>
      </w:r>
      <w:r w:rsidR="00A63E2C" w:rsidRPr="006A0032">
        <w:rPr>
          <w:rFonts w:ascii="Arial" w:hAnsi="Arial" w:cs="Arial"/>
        </w:rPr>
        <w:t>recolecta</w:t>
      </w:r>
      <w:r w:rsidR="00B51BEC" w:rsidRPr="006A0032">
        <w:rPr>
          <w:rFonts w:ascii="Arial" w:hAnsi="Arial" w:cs="Arial"/>
        </w:rPr>
        <w:t xml:space="preserve"> </w:t>
      </w:r>
      <w:r w:rsidR="00113E32" w:rsidRPr="006A0032">
        <w:rPr>
          <w:rFonts w:ascii="Arial" w:hAnsi="Arial" w:cs="Arial"/>
        </w:rPr>
        <w:t xml:space="preserve">un EMP, </w:t>
      </w:r>
      <w:r w:rsidR="00BB321C" w:rsidRPr="006A0032">
        <w:rPr>
          <w:rFonts w:ascii="Arial" w:hAnsi="Arial" w:cs="Arial"/>
        </w:rPr>
        <w:t xml:space="preserve">esa situación solo era </w:t>
      </w:r>
      <w:r w:rsidR="001A0CB4" w:rsidRPr="006A0032">
        <w:rPr>
          <w:rFonts w:ascii="Arial" w:hAnsi="Arial" w:cs="Arial"/>
        </w:rPr>
        <w:t>procedente</w:t>
      </w:r>
      <w:r w:rsidR="00BB321C" w:rsidRPr="006A0032">
        <w:rPr>
          <w:rFonts w:ascii="Arial" w:hAnsi="Arial" w:cs="Arial"/>
        </w:rPr>
        <w:t xml:space="preserve"> en materia de prueba pericial,</w:t>
      </w:r>
      <w:r w:rsidRPr="006A0032">
        <w:rPr>
          <w:rFonts w:ascii="Arial" w:hAnsi="Arial" w:cs="Arial"/>
        </w:rPr>
        <w:t xml:space="preserve"> ya que esa evidencia se </w:t>
      </w:r>
      <w:r w:rsidR="00236808" w:rsidRPr="006A0032">
        <w:rPr>
          <w:rFonts w:ascii="Arial" w:hAnsi="Arial" w:cs="Arial"/>
        </w:rPr>
        <w:t xml:space="preserve">podía </w:t>
      </w:r>
      <w:r w:rsidRPr="006A0032">
        <w:rPr>
          <w:rFonts w:ascii="Arial" w:hAnsi="Arial" w:cs="Arial"/>
        </w:rPr>
        <w:t>controvertir técnicamente.</w:t>
      </w:r>
    </w:p>
    <w:p w:rsidR="00A67A73" w:rsidRPr="006A0032" w:rsidRDefault="00A67A73" w:rsidP="006A0032">
      <w:pPr>
        <w:spacing w:line="288" w:lineRule="auto"/>
        <w:ind w:right="51"/>
        <w:jc w:val="both"/>
        <w:rPr>
          <w:rFonts w:ascii="Arial" w:hAnsi="Arial" w:cs="Arial"/>
        </w:rPr>
      </w:pPr>
    </w:p>
    <w:p w:rsidR="00AF1488" w:rsidRPr="006A0032" w:rsidRDefault="002F4322" w:rsidP="006A0032">
      <w:pPr>
        <w:spacing w:line="288" w:lineRule="auto"/>
        <w:ind w:right="51"/>
        <w:jc w:val="both"/>
        <w:rPr>
          <w:rFonts w:ascii="Arial" w:hAnsi="Arial" w:cs="Arial"/>
        </w:rPr>
      </w:pPr>
      <w:r w:rsidRPr="006A0032">
        <w:rPr>
          <w:rFonts w:ascii="Arial" w:hAnsi="Arial" w:cs="Arial"/>
        </w:rPr>
        <w:t xml:space="preserve">Citó el </w:t>
      </w:r>
      <w:r w:rsidR="00BB321C" w:rsidRPr="006A0032">
        <w:rPr>
          <w:rFonts w:ascii="Arial" w:hAnsi="Arial" w:cs="Arial"/>
        </w:rPr>
        <w:t>precedente CSJ SP</w:t>
      </w:r>
      <w:r w:rsidRPr="006A0032">
        <w:rPr>
          <w:rFonts w:ascii="Arial" w:hAnsi="Arial" w:cs="Arial"/>
        </w:rPr>
        <w:t xml:space="preserve">, radicado 39039 </w:t>
      </w:r>
      <w:r w:rsidR="00A63E2C" w:rsidRPr="006A0032">
        <w:rPr>
          <w:rFonts w:ascii="Arial" w:hAnsi="Arial" w:cs="Arial"/>
        </w:rPr>
        <w:t xml:space="preserve">del 18 de marzo de 2015, donde </w:t>
      </w:r>
      <w:r w:rsidRPr="006A0032">
        <w:rPr>
          <w:rFonts w:ascii="Arial" w:hAnsi="Arial" w:cs="Arial"/>
        </w:rPr>
        <w:t xml:space="preserve">se dijo que los informes de los </w:t>
      </w:r>
      <w:r w:rsidR="00585D49" w:rsidRPr="006A0032">
        <w:rPr>
          <w:rFonts w:ascii="Arial" w:hAnsi="Arial" w:cs="Arial"/>
        </w:rPr>
        <w:t>investigador</w:t>
      </w:r>
      <w:r w:rsidRPr="006A0032">
        <w:rPr>
          <w:rFonts w:ascii="Arial" w:hAnsi="Arial" w:cs="Arial"/>
        </w:rPr>
        <w:t xml:space="preserve">es de Policía Judicial no constituían una prueba </w:t>
      </w:r>
      <w:r w:rsidR="00A63E2C" w:rsidRPr="006A0032">
        <w:rPr>
          <w:rFonts w:ascii="Arial" w:hAnsi="Arial" w:cs="Arial"/>
        </w:rPr>
        <w:t xml:space="preserve">y </w:t>
      </w:r>
      <w:r w:rsidRPr="006A0032">
        <w:rPr>
          <w:rFonts w:ascii="Arial" w:hAnsi="Arial" w:cs="Arial"/>
        </w:rPr>
        <w:t>agregó que c</w:t>
      </w:r>
      <w:r w:rsidR="00585D49" w:rsidRPr="006A0032">
        <w:rPr>
          <w:rFonts w:ascii="Arial" w:hAnsi="Arial" w:cs="Arial"/>
        </w:rPr>
        <w:t>omo aparentemente los documentos que qu</w:t>
      </w:r>
      <w:r w:rsidR="00236808" w:rsidRPr="006A0032">
        <w:rPr>
          <w:rFonts w:ascii="Arial" w:hAnsi="Arial" w:cs="Arial"/>
        </w:rPr>
        <w:t>er</w:t>
      </w:r>
      <w:r w:rsidRPr="006A0032">
        <w:rPr>
          <w:rFonts w:ascii="Arial" w:hAnsi="Arial" w:cs="Arial"/>
        </w:rPr>
        <w:t xml:space="preserve">ía </w:t>
      </w:r>
      <w:r w:rsidR="00236808" w:rsidRPr="006A0032">
        <w:rPr>
          <w:rFonts w:ascii="Arial" w:hAnsi="Arial" w:cs="Arial"/>
        </w:rPr>
        <w:t xml:space="preserve">allegar el </w:t>
      </w:r>
      <w:r w:rsidR="00585D49" w:rsidRPr="006A0032">
        <w:rPr>
          <w:rFonts w:ascii="Arial" w:hAnsi="Arial" w:cs="Arial"/>
        </w:rPr>
        <w:t xml:space="preserve">delegado de la FGN </w:t>
      </w:r>
      <w:r w:rsidR="00236808" w:rsidRPr="006A0032">
        <w:rPr>
          <w:rFonts w:ascii="Arial" w:hAnsi="Arial" w:cs="Arial"/>
        </w:rPr>
        <w:t xml:space="preserve">eran de </w:t>
      </w:r>
      <w:r w:rsidR="00585D49" w:rsidRPr="006A0032">
        <w:rPr>
          <w:rFonts w:ascii="Arial" w:hAnsi="Arial" w:cs="Arial"/>
        </w:rPr>
        <w:t>carácter público, podrían ser introduci</w:t>
      </w:r>
      <w:r w:rsidR="001E1C1F" w:rsidRPr="006A0032">
        <w:rPr>
          <w:rFonts w:ascii="Arial" w:hAnsi="Arial" w:cs="Arial"/>
        </w:rPr>
        <w:t>dos de manera directa por es</w:t>
      </w:r>
      <w:r w:rsidR="00A63E2C" w:rsidRPr="006A0032">
        <w:rPr>
          <w:rFonts w:ascii="Arial" w:hAnsi="Arial" w:cs="Arial"/>
        </w:rPr>
        <w:t>e funcionario</w:t>
      </w:r>
      <w:r w:rsidR="001E1C1F" w:rsidRPr="006A0032">
        <w:rPr>
          <w:rFonts w:ascii="Arial" w:hAnsi="Arial" w:cs="Arial"/>
        </w:rPr>
        <w:t xml:space="preserve"> lo que haría impertinente el testimonio solicitado</w:t>
      </w:r>
      <w:r w:rsidRPr="006A0032">
        <w:rPr>
          <w:rFonts w:ascii="Arial" w:hAnsi="Arial" w:cs="Arial"/>
        </w:rPr>
        <w:t xml:space="preserve"> </w:t>
      </w:r>
      <w:r w:rsidR="0001228A" w:rsidRPr="006A0032">
        <w:rPr>
          <w:rFonts w:ascii="Arial" w:hAnsi="Arial" w:cs="Arial"/>
        </w:rPr>
        <w:t>que además era extemporáneo</w:t>
      </w:r>
      <w:r w:rsidR="001A0CB4" w:rsidRPr="006A0032">
        <w:rPr>
          <w:rFonts w:ascii="Arial" w:hAnsi="Arial" w:cs="Arial"/>
        </w:rPr>
        <w:t>,</w:t>
      </w:r>
      <w:r w:rsidR="0001228A" w:rsidRPr="006A0032">
        <w:rPr>
          <w:rFonts w:ascii="Arial" w:hAnsi="Arial" w:cs="Arial"/>
        </w:rPr>
        <w:t xml:space="preserve"> ya que el</w:t>
      </w:r>
      <w:r w:rsidR="00A63E2C" w:rsidRPr="006A0032">
        <w:rPr>
          <w:rFonts w:ascii="Arial" w:hAnsi="Arial" w:cs="Arial"/>
        </w:rPr>
        <w:t xml:space="preserve"> señor Robí</w:t>
      </w:r>
      <w:r w:rsidRPr="006A0032">
        <w:rPr>
          <w:rFonts w:ascii="Arial" w:hAnsi="Arial" w:cs="Arial"/>
        </w:rPr>
        <w:t>n Serna Sepúlveda no había sido mencionado como testigo de la FGN en la audiencia preparatoria</w:t>
      </w:r>
      <w:r w:rsidR="0001228A" w:rsidRPr="006A0032">
        <w:rPr>
          <w:rFonts w:ascii="Arial" w:hAnsi="Arial" w:cs="Arial"/>
        </w:rPr>
        <w:t>, ni se</w:t>
      </w:r>
      <w:r w:rsidR="00A63E2C" w:rsidRPr="006A0032">
        <w:rPr>
          <w:rFonts w:ascii="Arial" w:hAnsi="Arial" w:cs="Arial"/>
        </w:rPr>
        <w:t xml:space="preserve"> trataba de una prueba </w:t>
      </w:r>
      <w:r w:rsidR="00A63E2C" w:rsidRPr="006A0032">
        <w:rPr>
          <w:rFonts w:ascii="Arial" w:hAnsi="Arial" w:cs="Arial"/>
        </w:rPr>
        <w:lastRenderedPageBreak/>
        <w:t>pericial</w:t>
      </w:r>
      <w:r w:rsidRPr="006A0032">
        <w:rPr>
          <w:rFonts w:ascii="Arial" w:hAnsi="Arial" w:cs="Arial"/>
        </w:rPr>
        <w:t xml:space="preserve"> </w:t>
      </w:r>
      <w:r w:rsidR="00A63E2C" w:rsidRPr="006A0032">
        <w:rPr>
          <w:rFonts w:ascii="Arial" w:hAnsi="Arial" w:cs="Arial"/>
        </w:rPr>
        <w:t xml:space="preserve">y </w:t>
      </w:r>
      <w:r w:rsidR="001A0CB4" w:rsidRPr="006A0032">
        <w:rPr>
          <w:rFonts w:ascii="Arial" w:hAnsi="Arial" w:cs="Arial"/>
        </w:rPr>
        <w:t>si</w:t>
      </w:r>
      <w:r w:rsidR="00A63E2C" w:rsidRPr="006A0032">
        <w:rPr>
          <w:rFonts w:ascii="Arial" w:hAnsi="Arial" w:cs="Arial"/>
        </w:rPr>
        <w:t xml:space="preserve"> con esa persona s</w:t>
      </w:r>
      <w:r w:rsidR="0001228A" w:rsidRPr="006A0032">
        <w:rPr>
          <w:rFonts w:ascii="Arial" w:hAnsi="Arial" w:cs="Arial"/>
        </w:rPr>
        <w:t>e pretendían ingresar al juicio documentos públicos, no era procedente el pedimento del fiscal.</w:t>
      </w:r>
      <w:r w:rsidR="001E1C1F" w:rsidRPr="006A0032">
        <w:rPr>
          <w:rFonts w:ascii="Arial" w:hAnsi="Arial" w:cs="Arial"/>
        </w:rPr>
        <w:t xml:space="preserve"> </w:t>
      </w:r>
    </w:p>
    <w:p w:rsidR="001E1C1F" w:rsidRPr="006A0032" w:rsidRDefault="001E1C1F" w:rsidP="006A0032">
      <w:pPr>
        <w:spacing w:line="288" w:lineRule="auto"/>
        <w:ind w:right="51"/>
        <w:jc w:val="both"/>
        <w:rPr>
          <w:rFonts w:ascii="Arial" w:hAnsi="Arial" w:cs="Arial"/>
        </w:rPr>
      </w:pPr>
    </w:p>
    <w:p w:rsidR="001E1C1F" w:rsidRPr="006A0032" w:rsidRDefault="004908E9" w:rsidP="006A0032">
      <w:pPr>
        <w:spacing w:line="288" w:lineRule="auto"/>
        <w:ind w:right="51"/>
        <w:jc w:val="both"/>
        <w:rPr>
          <w:rFonts w:ascii="Arial" w:hAnsi="Arial" w:cs="Arial"/>
        </w:rPr>
      </w:pPr>
      <w:r w:rsidRPr="006A0032">
        <w:rPr>
          <w:rFonts w:ascii="Arial" w:hAnsi="Arial" w:cs="Arial"/>
        </w:rPr>
        <w:t>2.10</w:t>
      </w:r>
      <w:r w:rsidR="00A63E2C" w:rsidRPr="006A0032">
        <w:rPr>
          <w:rFonts w:ascii="Arial" w:hAnsi="Arial" w:cs="Arial"/>
        </w:rPr>
        <w:t xml:space="preserve"> El</w:t>
      </w:r>
      <w:r w:rsidR="00C87453" w:rsidRPr="006A0032">
        <w:rPr>
          <w:rFonts w:ascii="Arial" w:hAnsi="Arial" w:cs="Arial"/>
        </w:rPr>
        <w:t xml:space="preserve"> delegado del ente acusador interpuso el recurso de reposición </w:t>
      </w:r>
      <w:r w:rsidR="0001228A" w:rsidRPr="006A0032">
        <w:rPr>
          <w:rFonts w:ascii="Arial" w:hAnsi="Arial" w:cs="Arial"/>
        </w:rPr>
        <w:t xml:space="preserve">contra esta decisión </w:t>
      </w:r>
      <w:r w:rsidR="004C6DD9" w:rsidRPr="006A0032">
        <w:rPr>
          <w:rFonts w:ascii="Arial" w:hAnsi="Arial" w:cs="Arial"/>
        </w:rPr>
        <w:t>par</w:t>
      </w:r>
      <w:r w:rsidR="00A63E2C" w:rsidRPr="006A0032">
        <w:rPr>
          <w:rFonts w:ascii="Arial" w:hAnsi="Arial" w:cs="Arial"/>
        </w:rPr>
        <w:t>a lo cual expuso que en el caso</w:t>
      </w:r>
      <w:r w:rsidR="00D7535F" w:rsidRPr="006A0032">
        <w:rPr>
          <w:rFonts w:ascii="Arial" w:hAnsi="Arial" w:cs="Arial"/>
        </w:rPr>
        <w:t xml:space="preserve"> </w:t>
      </w:r>
      <w:r w:rsidR="00D7535F" w:rsidRPr="006A0032">
        <w:rPr>
          <w:rFonts w:ascii="Arial" w:hAnsi="Arial" w:cs="Arial"/>
          <w:i/>
        </w:rPr>
        <w:t>sub</w:t>
      </w:r>
      <w:r w:rsidR="0001228A" w:rsidRPr="006A0032">
        <w:rPr>
          <w:rFonts w:ascii="Arial" w:hAnsi="Arial" w:cs="Arial"/>
          <w:i/>
        </w:rPr>
        <w:t xml:space="preserve"> lite, </w:t>
      </w:r>
      <w:r w:rsidR="00D7535F" w:rsidRPr="006A0032">
        <w:rPr>
          <w:rFonts w:ascii="Arial" w:hAnsi="Arial" w:cs="Arial"/>
        </w:rPr>
        <w:t xml:space="preserve">se estaba desconociendo el contenido del </w:t>
      </w:r>
      <w:r w:rsidR="00C87453" w:rsidRPr="006A0032">
        <w:rPr>
          <w:rFonts w:ascii="Arial" w:hAnsi="Arial" w:cs="Arial"/>
        </w:rPr>
        <w:t>art. 429 del CPP</w:t>
      </w:r>
      <w:r w:rsidR="00D7535F" w:rsidRPr="006A0032">
        <w:rPr>
          <w:rFonts w:ascii="Arial" w:hAnsi="Arial" w:cs="Arial"/>
        </w:rPr>
        <w:t>, e</w:t>
      </w:r>
      <w:r w:rsidR="00953FCA" w:rsidRPr="006A0032">
        <w:rPr>
          <w:rFonts w:ascii="Arial" w:hAnsi="Arial" w:cs="Arial"/>
        </w:rPr>
        <w:t xml:space="preserve">l cual establece </w:t>
      </w:r>
      <w:r w:rsidR="00A63E2C" w:rsidRPr="006A0032">
        <w:rPr>
          <w:rFonts w:ascii="Arial" w:hAnsi="Arial" w:cs="Arial"/>
        </w:rPr>
        <w:t>en su inciso 2º que</w:t>
      </w:r>
      <w:r w:rsidR="00953FCA" w:rsidRPr="006A0032">
        <w:rPr>
          <w:rFonts w:ascii="Arial" w:hAnsi="Arial" w:cs="Arial"/>
        </w:rPr>
        <w:t>:</w:t>
      </w:r>
      <w:r w:rsidR="00953FCA" w:rsidRPr="006A0032">
        <w:rPr>
          <w:rFonts w:ascii="Arial" w:hAnsi="Arial" w:cs="Arial"/>
          <w:i/>
        </w:rPr>
        <w:t xml:space="preserve"> </w:t>
      </w:r>
      <w:r w:rsidR="00E66D46">
        <w:rPr>
          <w:rFonts w:ascii="Arial" w:hAnsi="Arial" w:cs="Arial"/>
          <w:i/>
        </w:rPr>
        <w:t>“</w:t>
      </w:r>
      <w:r w:rsidR="008B4C9A" w:rsidRPr="006A0032">
        <w:rPr>
          <w:rFonts w:ascii="Arial" w:hAnsi="Arial" w:cs="Arial"/>
          <w:i/>
        </w:rPr>
        <w:t>E</w:t>
      </w:r>
      <w:r w:rsidR="00953FCA" w:rsidRPr="006A0032">
        <w:rPr>
          <w:rFonts w:ascii="Arial" w:hAnsi="Arial" w:cs="Arial"/>
          <w:i/>
        </w:rPr>
        <w:t xml:space="preserve">l </w:t>
      </w:r>
      <w:r w:rsidR="00D7535F" w:rsidRPr="006A0032">
        <w:rPr>
          <w:rFonts w:ascii="Arial" w:hAnsi="Arial" w:cs="Arial"/>
          <w:i/>
        </w:rPr>
        <w:t>documento podrá ser ingresado por uno de los investigadores que participaron en el caso o por el investigador que recolectó o recibió el elemento material probatorio o evidencia física</w:t>
      </w:r>
      <w:r w:rsidR="00D7535F" w:rsidRPr="006A0032">
        <w:rPr>
          <w:rFonts w:ascii="Arial" w:hAnsi="Arial" w:cs="Arial"/>
        </w:rPr>
        <w:t>”</w:t>
      </w:r>
      <w:r w:rsidR="0001228A" w:rsidRPr="006A0032">
        <w:rPr>
          <w:rFonts w:ascii="Arial" w:hAnsi="Arial" w:cs="Arial"/>
        </w:rPr>
        <w:t>.</w:t>
      </w:r>
      <w:r w:rsidR="008B4C9A" w:rsidRPr="006A0032">
        <w:rPr>
          <w:rFonts w:ascii="Arial" w:hAnsi="Arial" w:cs="Arial"/>
        </w:rPr>
        <w:t xml:space="preserve"> </w:t>
      </w:r>
      <w:r w:rsidR="004C6DD9" w:rsidRPr="006A0032">
        <w:rPr>
          <w:rFonts w:ascii="Arial" w:hAnsi="Arial" w:cs="Arial"/>
        </w:rPr>
        <w:t xml:space="preserve">Consideró que con </w:t>
      </w:r>
      <w:r w:rsidR="008B4C9A" w:rsidRPr="006A0032">
        <w:rPr>
          <w:rFonts w:ascii="Arial" w:hAnsi="Arial" w:cs="Arial"/>
        </w:rPr>
        <w:t>base en esa norma era procedente la declaración del testigo de reemplazo, para ingresar los documentos solicitados</w:t>
      </w:r>
      <w:r w:rsidR="001A0CB4" w:rsidRPr="006A0032">
        <w:rPr>
          <w:rFonts w:ascii="Arial" w:hAnsi="Arial" w:cs="Arial"/>
        </w:rPr>
        <w:t>.</w:t>
      </w:r>
      <w:r w:rsidR="004C6DD9" w:rsidRPr="006A0032">
        <w:rPr>
          <w:rFonts w:ascii="Arial" w:hAnsi="Arial" w:cs="Arial"/>
        </w:rPr>
        <w:t xml:space="preserve"> </w:t>
      </w:r>
      <w:r w:rsidR="001A0CB4" w:rsidRPr="006A0032">
        <w:rPr>
          <w:rFonts w:ascii="Arial" w:hAnsi="Arial" w:cs="Arial"/>
        </w:rPr>
        <w:t>No</w:t>
      </w:r>
      <w:r w:rsidR="004C6DD9" w:rsidRPr="006A0032">
        <w:rPr>
          <w:rFonts w:ascii="Arial" w:hAnsi="Arial" w:cs="Arial"/>
        </w:rPr>
        <w:t xml:space="preserve"> controvirtió la </w:t>
      </w:r>
      <w:r w:rsidR="00D7535F" w:rsidRPr="006A0032">
        <w:rPr>
          <w:rFonts w:ascii="Arial" w:hAnsi="Arial" w:cs="Arial"/>
        </w:rPr>
        <w:t xml:space="preserve">posición del </w:t>
      </w:r>
      <w:r w:rsidR="008B4C9A" w:rsidRPr="006A0032">
        <w:rPr>
          <w:rFonts w:ascii="Arial" w:hAnsi="Arial" w:cs="Arial"/>
          <w:i/>
        </w:rPr>
        <w:t xml:space="preserve">A quo </w:t>
      </w:r>
      <w:r w:rsidR="00D7535F" w:rsidRPr="006A0032">
        <w:rPr>
          <w:rFonts w:ascii="Arial" w:hAnsi="Arial" w:cs="Arial"/>
        </w:rPr>
        <w:t xml:space="preserve">despacho en el sentido de que los documentos públicos podían ser </w:t>
      </w:r>
      <w:r w:rsidR="00EF26D9" w:rsidRPr="006A0032">
        <w:rPr>
          <w:rFonts w:ascii="Arial" w:hAnsi="Arial" w:cs="Arial"/>
        </w:rPr>
        <w:t xml:space="preserve">introducidos por </w:t>
      </w:r>
      <w:r w:rsidR="008B4C9A" w:rsidRPr="006A0032">
        <w:rPr>
          <w:rFonts w:ascii="Arial" w:hAnsi="Arial" w:cs="Arial"/>
        </w:rPr>
        <w:t xml:space="preserve">el fiscal de </w:t>
      </w:r>
      <w:r w:rsidR="00EF26D9" w:rsidRPr="006A0032">
        <w:rPr>
          <w:rFonts w:ascii="Arial" w:hAnsi="Arial" w:cs="Arial"/>
        </w:rPr>
        <w:t>manera directa.</w:t>
      </w:r>
    </w:p>
    <w:p w:rsidR="00A63E2C" w:rsidRPr="006A0032" w:rsidRDefault="00A63E2C" w:rsidP="006A0032">
      <w:pPr>
        <w:spacing w:line="288" w:lineRule="auto"/>
        <w:ind w:right="51"/>
        <w:jc w:val="both"/>
        <w:rPr>
          <w:rFonts w:ascii="Arial" w:hAnsi="Arial" w:cs="Arial"/>
        </w:rPr>
      </w:pPr>
    </w:p>
    <w:p w:rsidR="00B86C96" w:rsidRPr="006A0032" w:rsidRDefault="004908E9" w:rsidP="006A0032">
      <w:pPr>
        <w:spacing w:line="288" w:lineRule="auto"/>
        <w:ind w:right="51"/>
        <w:jc w:val="both"/>
        <w:rPr>
          <w:rFonts w:ascii="Arial" w:hAnsi="Arial" w:cs="Arial"/>
        </w:rPr>
      </w:pPr>
      <w:r w:rsidRPr="006A0032">
        <w:rPr>
          <w:rFonts w:ascii="Arial" w:hAnsi="Arial" w:cs="Arial"/>
        </w:rPr>
        <w:t>2.11</w:t>
      </w:r>
      <w:r w:rsidR="004C6DD9" w:rsidRPr="006A0032">
        <w:rPr>
          <w:rFonts w:ascii="Arial" w:hAnsi="Arial" w:cs="Arial"/>
        </w:rPr>
        <w:t xml:space="preserve"> Luego de escuchar al apoderado de las víctimas y al defensor el juez de primer grado expuso que </w:t>
      </w:r>
      <w:r w:rsidR="0083316C" w:rsidRPr="006A0032">
        <w:rPr>
          <w:rFonts w:ascii="Arial" w:hAnsi="Arial" w:cs="Arial"/>
        </w:rPr>
        <w:t>lo establ</w:t>
      </w:r>
      <w:r w:rsidR="00EF26D9" w:rsidRPr="006A0032">
        <w:rPr>
          <w:rFonts w:ascii="Arial" w:hAnsi="Arial" w:cs="Arial"/>
        </w:rPr>
        <w:t>ecido en el artículo 429 del CPP debía ser complementado con las normas referentes a la introducción de documentos</w:t>
      </w:r>
      <w:r w:rsidR="009A6D91" w:rsidRPr="006A0032">
        <w:rPr>
          <w:rFonts w:ascii="Arial" w:hAnsi="Arial" w:cs="Arial"/>
        </w:rPr>
        <w:t xml:space="preserve"> al juicio,</w:t>
      </w:r>
      <w:r w:rsidR="00953FCA" w:rsidRPr="006A0032">
        <w:rPr>
          <w:rFonts w:ascii="Arial" w:hAnsi="Arial" w:cs="Arial"/>
        </w:rPr>
        <w:t xml:space="preserve"> </w:t>
      </w:r>
      <w:r w:rsidR="00EF26D9" w:rsidRPr="006A0032">
        <w:rPr>
          <w:rFonts w:ascii="Arial" w:hAnsi="Arial" w:cs="Arial"/>
        </w:rPr>
        <w:t xml:space="preserve">las cuales exigen que </w:t>
      </w:r>
      <w:r w:rsidR="00B86C96" w:rsidRPr="006A0032">
        <w:rPr>
          <w:rFonts w:ascii="Arial" w:hAnsi="Arial" w:cs="Arial"/>
        </w:rPr>
        <w:t>ese acto se</w:t>
      </w:r>
      <w:r w:rsidR="00EF26D9" w:rsidRPr="006A0032">
        <w:rPr>
          <w:rFonts w:ascii="Arial" w:hAnsi="Arial" w:cs="Arial"/>
        </w:rPr>
        <w:t xml:space="preserve"> realice a través del testigo de acreditación y que su testimonio h</w:t>
      </w:r>
      <w:r w:rsidR="00B86C96" w:rsidRPr="006A0032">
        <w:rPr>
          <w:rFonts w:ascii="Arial" w:hAnsi="Arial" w:cs="Arial"/>
        </w:rPr>
        <w:t>ubiera sido</w:t>
      </w:r>
      <w:r w:rsidR="00EF26D9" w:rsidRPr="006A0032">
        <w:rPr>
          <w:rFonts w:ascii="Arial" w:hAnsi="Arial" w:cs="Arial"/>
        </w:rPr>
        <w:t xml:space="preserve"> solicitado en</w:t>
      </w:r>
      <w:r w:rsidR="00953FCA" w:rsidRPr="006A0032">
        <w:rPr>
          <w:rFonts w:ascii="Arial" w:hAnsi="Arial" w:cs="Arial"/>
        </w:rPr>
        <w:t xml:space="preserve"> la </w:t>
      </w:r>
      <w:r w:rsidR="00EF26D9" w:rsidRPr="006A0032">
        <w:rPr>
          <w:rFonts w:ascii="Arial" w:hAnsi="Arial" w:cs="Arial"/>
        </w:rPr>
        <w:t>audiencia preparatoria,</w:t>
      </w:r>
      <w:r w:rsidR="00B86C96" w:rsidRPr="006A0032">
        <w:rPr>
          <w:rFonts w:ascii="Arial" w:hAnsi="Arial" w:cs="Arial"/>
        </w:rPr>
        <w:t xml:space="preserve"> lo que no ocurrió en el</w:t>
      </w:r>
      <w:r w:rsidR="00EF26D9" w:rsidRPr="006A0032">
        <w:rPr>
          <w:rFonts w:ascii="Arial" w:hAnsi="Arial" w:cs="Arial"/>
        </w:rPr>
        <w:t xml:space="preserve"> presente asunto.</w:t>
      </w:r>
    </w:p>
    <w:p w:rsidR="001E1C1F" w:rsidRPr="006A0032" w:rsidRDefault="001E1C1F" w:rsidP="006A0032">
      <w:pPr>
        <w:spacing w:line="288" w:lineRule="auto"/>
        <w:ind w:right="51"/>
        <w:jc w:val="both"/>
        <w:rPr>
          <w:rFonts w:ascii="Arial" w:hAnsi="Arial" w:cs="Arial"/>
        </w:rPr>
      </w:pPr>
    </w:p>
    <w:p w:rsidR="004C6DD9" w:rsidRPr="006A0032" w:rsidRDefault="00530247" w:rsidP="006A0032">
      <w:pPr>
        <w:spacing w:line="288" w:lineRule="auto"/>
        <w:ind w:right="51"/>
        <w:jc w:val="both"/>
        <w:rPr>
          <w:rFonts w:ascii="Arial" w:hAnsi="Arial" w:cs="Arial"/>
        </w:rPr>
      </w:pPr>
      <w:r w:rsidRPr="006A0032">
        <w:rPr>
          <w:rFonts w:ascii="Arial" w:hAnsi="Arial" w:cs="Arial"/>
        </w:rPr>
        <w:t>Igualmente consideró que la s</w:t>
      </w:r>
      <w:r w:rsidR="00840A04" w:rsidRPr="006A0032">
        <w:rPr>
          <w:rFonts w:ascii="Arial" w:hAnsi="Arial" w:cs="Arial"/>
        </w:rPr>
        <w:t>olicitud de</w:t>
      </w:r>
      <w:r w:rsidR="00953FCA" w:rsidRPr="006A0032">
        <w:rPr>
          <w:rFonts w:ascii="Arial" w:hAnsi="Arial" w:cs="Arial"/>
        </w:rPr>
        <w:t xml:space="preserve">l delegado de la </w:t>
      </w:r>
      <w:r w:rsidR="00840A04" w:rsidRPr="006A0032">
        <w:rPr>
          <w:rFonts w:ascii="Arial" w:hAnsi="Arial" w:cs="Arial"/>
        </w:rPr>
        <w:t xml:space="preserve">FGN </w:t>
      </w:r>
      <w:r w:rsidR="009A6D91" w:rsidRPr="006A0032">
        <w:rPr>
          <w:rFonts w:ascii="Arial" w:hAnsi="Arial" w:cs="Arial"/>
        </w:rPr>
        <w:t>se podía asimilar a la práctica de una p</w:t>
      </w:r>
      <w:r w:rsidR="00840A04" w:rsidRPr="006A0032">
        <w:rPr>
          <w:rFonts w:ascii="Arial" w:hAnsi="Arial" w:cs="Arial"/>
        </w:rPr>
        <w:t xml:space="preserve">rueba de referencia, ya que no fue posible ubicar al testigo con la que se iba a introducir la evidencia y porque existe un informe en el que se plasmó lo que iba a narrar </w:t>
      </w:r>
      <w:r w:rsidR="00953FCA" w:rsidRPr="006A0032">
        <w:rPr>
          <w:rFonts w:ascii="Arial" w:hAnsi="Arial" w:cs="Arial"/>
        </w:rPr>
        <w:t>ese declarante</w:t>
      </w:r>
      <w:r w:rsidR="009A6D91" w:rsidRPr="006A0032">
        <w:rPr>
          <w:rFonts w:ascii="Arial" w:hAnsi="Arial" w:cs="Arial"/>
        </w:rPr>
        <w:t xml:space="preserve">. </w:t>
      </w:r>
      <w:r w:rsidR="007D1498" w:rsidRPr="006A0032">
        <w:rPr>
          <w:rFonts w:ascii="Arial" w:hAnsi="Arial" w:cs="Arial"/>
        </w:rPr>
        <w:t xml:space="preserve">Sin </w:t>
      </w:r>
      <w:r w:rsidR="00B86C96" w:rsidRPr="006A0032">
        <w:rPr>
          <w:rFonts w:ascii="Arial" w:hAnsi="Arial" w:cs="Arial"/>
        </w:rPr>
        <w:t>embargo el</w:t>
      </w:r>
      <w:r w:rsidR="00840A04" w:rsidRPr="006A0032">
        <w:rPr>
          <w:rFonts w:ascii="Arial" w:hAnsi="Arial" w:cs="Arial"/>
        </w:rPr>
        <w:t xml:space="preserve"> fiscal simplemente informó que no había sido posible ubicar a ese testigo</w:t>
      </w:r>
      <w:r w:rsidR="009A6D91" w:rsidRPr="006A0032">
        <w:rPr>
          <w:rFonts w:ascii="Arial" w:hAnsi="Arial" w:cs="Arial"/>
        </w:rPr>
        <w:t xml:space="preserve"> para establecer su indisponibilidad y </w:t>
      </w:r>
      <w:r w:rsidR="00840A04" w:rsidRPr="006A0032">
        <w:rPr>
          <w:rFonts w:ascii="Arial" w:hAnsi="Arial" w:cs="Arial"/>
        </w:rPr>
        <w:t>en tal sentido no obra</w:t>
      </w:r>
      <w:r w:rsidR="007D1498" w:rsidRPr="006A0032">
        <w:rPr>
          <w:rFonts w:ascii="Arial" w:hAnsi="Arial" w:cs="Arial"/>
        </w:rPr>
        <w:t xml:space="preserve">ba </w:t>
      </w:r>
      <w:r w:rsidR="00840A04" w:rsidRPr="006A0032">
        <w:rPr>
          <w:rFonts w:ascii="Arial" w:hAnsi="Arial" w:cs="Arial"/>
        </w:rPr>
        <w:t>prueba alguna sobre las labores que se desplegaron para dicho fin</w:t>
      </w:r>
      <w:r w:rsidR="004C6DD9" w:rsidRPr="006A0032">
        <w:rPr>
          <w:rFonts w:ascii="Arial" w:hAnsi="Arial" w:cs="Arial"/>
        </w:rPr>
        <w:t>, por lo cual no se podía admitir el nuevo testigo que no ha</w:t>
      </w:r>
      <w:r w:rsidR="00B86C96" w:rsidRPr="006A0032">
        <w:rPr>
          <w:rFonts w:ascii="Arial" w:hAnsi="Arial" w:cs="Arial"/>
        </w:rPr>
        <w:t xml:space="preserve">bía sido anunciado por la FGN. </w:t>
      </w:r>
    </w:p>
    <w:p w:rsidR="004C6DD9" w:rsidRPr="006A0032" w:rsidRDefault="004C6DD9" w:rsidP="006A0032">
      <w:pPr>
        <w:pStyle w:val="Prrafodelista"/>
        <w:spacing w:line="288" w:lineRule="auto"/>
        <w:rPr>
          <w:rFonts w:ascii="Arial" w:hAnsi="Arial" w:cs="Arial"/>
        </w:rPr>
      </w:pPr>
    </w:p>
    <w:p w:rsidR="004C6DD9" w:rsidRPr="006A0032" w:rsidRDefault="004C6DD9" w:rsidP="006A0032">
      <w:pPr>
        <w:spacing w:line="288" w:lineRule="auto"/>
        <w:ind w:right="51"/>
        <w:jc w:val="both"/>
        <w:rPr>
          <w:rFonts w:ascii="Arial" w:hAnsi="Arial" w:cs="Arial"/>
          <w:u w:val="single"/>
        </w:rPr>
      </w:pPr>
      <w:r w:rsidRPr="006A0032">
        <w:rPr>
          <w:rFonts w:ascii="Arial" w:hAnsi="Arial" w:cs="Arial"/>
          <w:u w:val="single"/>
        </w:rPr>
        <w:t>Esta decisión no fue controvertida por el delegado de la FGN.</w:t>
      </w:r>
    </w:p>
    <w:p w:rsidR="00B86C96" w:rsidRPr="006A0032" w:rsidRDefault="00B86C96" w:rsidP="006A0032">
      <w:pPr>
        <w:spacing w:line="288" w:lineRule="auto"/>
        <w:ind w:right="51"/>
        <w:jc w:val="both"/>
        <w:rPr>
          <w:rFonts w:ascii="Arial" w:hAnsi="Arial" w:cs="Arial"/>
          <w:u w:val="single"/>
        </w:rPr>
      </w:pPr>
    </w:p>
    <w:p w:rsidR="004C6DD9" w:rsidRPr="006A0032" w:rsidRDefault="004908E9" w:rsidP="006A0032">
      <w:pPr>
        <w:spacing w:line="288" w:lineRule="auto"/>
        <w:ind w:right="51"/>
        <w:jc w:val="center"/>
        <w:rPr>
          <w:rFonts w:ascii="Arial" w:hAnsi="Arial" w:cs="Arial"/>
          <w:u w:val="single"/>
        </w:rPr>
      </w:pPr>
      <w:r w:rsidRPr="006A0032">
        <w:rPr>
          <w:rFonts w:ascii="Arial" w:hAnsi="Arial" w:cs="Arial"/>
          <w:u w:val="single"/>
        </w:rPr>
        <w:t>3</w:t>
      </w:r>
      <w:r w:rsidR="00530247" w:rsidRPr="006A0032">
        <w:rPr>
          <w:rFonts w:ascii="Arial" w:hAnsi="Arial" w:cs="Arial"/>
          <w:u w:val="single"/>
        </w:rPr>
        <w:t xml:space="preserve">. </w:t>
      </w:r>
      <w:r w:rsidR="00B86C96" w:rsidRPr="006A0032">
        <w:rPr>
          <w:rFonts w:ascii="Arial" w:hAnsi="Arial" w:cs="Arial"/>
          <w:u w:val="single"/>
        </w:rPr>
        <w:t>SOBRE LA ACTUACIÓ</w:t>
      </w:r>
      <w:r w:rsidR="004C6DD9" w:rsidRPr="006A0032">
        <w:rPr>
          <w:rFonts w:ascii="Arial" w:hAnsi="Arial" w:cs="Arial"/>
          <w:u w:val="single"/>
        </w:rPr>
        <w:t>N QUE DIO ORIGEN AL PRESENTE RECURSO.</w:t>
      </w:r>
    </w:p>
    <w:p w:rsidR="004C6DD9" w:rsidRPr="006A0032" w:rsidRDefault="004C6DD9" w:rsidP="006A0032">
      <w:pPr>
        <w:spacing w:line="288" w:lineRule="auto"/>
        <w:ind w:right="51"/>
        <w:jc w:val="both"/>
        <w:rPr>
          <w:rFonts w:ascii="Arial" w:hAnsi="Arial" w:cs="Arial"/>
          <w:u w:val="single"/>
        </w:rPr>
      </w:pPr>
    </w:p>
    <w:p w:rsidR="00BE4853" w:rsidRPr="006A0032" w:rsidRDefault="004908E9" w:rsidP="006A0032">
      <w:pPr>
        <w:spacing w:line="288" w:lineRule="auto"/>
        <w:ind w:right="51"/>
        <w:jc w:val="both"/>
        <w:rPr>
          <w:rFonts w:ascii="Arial" w:hAnsi="Arial" w:cs="Arial"/>
        </w:rPr>
      </w:pPr>
      <w:r w:rsidRPr="006A0032">
        <w:rPr>
          <w:rFonts w:ascii="Arial" w:hAnsi="Arial" w:cs="Arial"/>
        </w:rPr>
        <w:t>3</w:t>
      </w:r>
      <w:r w:rsidR="00530247" w:rsidRPr="006A0032">
        <w:rPr>
          <w:rFonts w:ascii="Arial" w:hAnsi="Arial" w:cs="Arial"/>
        </w:rPr>
        <w:t xml:space="preserve">.1 Seguidamente, el </w:t>
      </w:r>
      <w:r w:rsidR="00840A04" w:rsidRPr="006A0032">
        <w:rPr>
          <w:rFonts w:ascii="Arial" w:hAnsi="Arial" w:cs="Arial"/>
        </w:rPr>
        <w:t xml:space="preserve">representante del ente acusador solicitó </w:t>
      </w:r>
      <w:r w:rsidR="00D90C14" w:rsidRPr="006A0032">
        <w:rPr>
          <w:rFonts w:ascii="Arial" w:hAnsi="Arial" w:cs="Arial"/>
        </w:rPr>
        <w:t xml:space="preserve">la introducción </w:t>
      </w:r>
      <w:r w:rsidR="00AF6AF5" w:rsidRPr="006A0032">
        <w:rPr>
          <w:rFonts w:ascii="Arial" w:hAnsi="Arial" w:cs="Arial"/>
        </w:rPr>
        <w:t xml:space="preserve">como prueba para el juicio, de los </w:t>
      </w:r>
      <w:r w:rsidR="003454FE" w:rsidRPr="006A0032">
        <w:rPr>
          <w:rFonts w:ascii="Arial" w:hAnsi="Arial" w:cs="Arial"/>
        </w:rPr>
        <w:t>siguientes documentos</w:t>
      </w:r>
      <w:r w:rsidR="00BD4644" w:rsidRPr="006A0032">
        <w:rPr>
          <w:rFonts w:ascii="Arial" w:hAnsi="Arial" w:cs="Arial"/>
        </w:rPr>
        <w:t xml:space="preserve"> con sus anexos</w:t>
      </w:r>
      <w:r w:rsidR="003454FE" w:rsidRPr="006A0032">
        <w:rPr>
          <w:rFonts w:ascii="Arial" w:hAnsi="Arial" w:cs="Arial"/>
        </w:rPr>
        <w:t xml:space="preserve">: i) </w:t>
      </w:r>
      <w:r w:rsidR="00530247" w:rsidRPr="006A0032">
        <w:rPr>
          <w:rFonts w:ascii="Arial" w:hAnsi="Arial" w:cs="Arial"/>
        </w:rPr>
        <w:t xml:space="preserve">un </w:t>
      </w:r>
      <w:r w:rsidR="00273C13" w:rsidRPr="006A0032">
        <w:rPr>
          <w:rFonts w:ascii="Arial" w:hAnsi="Arial" w:cs="Arial"/>
        </w:rPr>
        <w:t xml:space="preserve">oficio del 15 de mayo de 2014 expedido por el </w:t>
      </w:r>
      <w:r w:rsidR="00273C13" w:rsidRPr="006A0032">
        <w:rPr>
          <w:rFonts w:ascii="Arial" w:hAnsi="Arial" w:cs="Arial"/>
          <w:u w:val="single"/>
        </w:rPr>
        <w:t>Banco Caja Social de Ahorros</w:t>
      </w:r>
      <w:r w:rsidR="00273C13" w:rsidRPr="006A0032">
        <w:rPr>
          <w:rFonts w:ascii="Arial" w:hAnsi="Arial" w:cs="Arial"/>
        </w:rPr>
        <w:t>, en el que se certifica</w:t>
      </w:r>
      <w:r w:rsidR="00530247" w:rsidRPr="006A0032">
        <w:rPr>
          <w:rFonts w:ascii="Arial" w:hAnsi="Arial" w:cs="Arial"/>
        </w:rPr>
        <w:t xml:space="preserve">ba </w:t>
      </w:r>
      <w:r w:rsidR="00273C13" w:rsidRPr="006A0032">
        <w:rPr>
          <w:rFonts w:ascii="Arial" w:hAnsi="Arial" w:cs="Arial"/>
        </w:rPr>
        <w:t>que la</w:t>
      </w:r>
      <w:r w:rsidR="00530247" w:rsidRPr="006A0032">
        <w:rPr>
          <w:rFonts w:ascii="Arial" w:hAnsi="Arial" w:cs="Arial"/>
        </w:rPr>
        <w:t xml:space="preserve"> acusada </w:t>
      </w:r>
      <w:r w:rsidR="00273C13" w:rsidRPr="006A0032">
        <w:rPr>
          <w:rFonts w:ascii="Arial" w:hAnsi="Arial" w:cs="Arial"/>
        </w:rPr>
        <w:t>había cancelado el CDT 25000976085 por valor de $</w:t>
      </w:r>
      <w:r w:rsidR="00DD3190" w:rsidRPr="006A0032">
        <w:rPr>
          <w:rFonts w:ascii="Arial" w:hAnsi="Arial" w:cs="Arial"/>
        </w:rPr>
        <w:t xml:space="preserve">111.189.723,47 </w:t>
      </w:r>
      <w:r w:rsidR="00530247" w:rsidRPr="006A0032">
        <w:rPr>
          <w:rFonts w:ascii="Arial" w:hAnsi="Arial" w:cs="Arial"/>
        </w:rPr>
        <w:t xml:space="preserve">y que </w:t>
      </w:r>
      <w:r w:rsidR="00DD3190" w:rsidRPr="006A0032">
        <w:rPr>
          <w:rFonts w:ascii="Arial" w:hAnsi="Arial" w:cs="Arial"/>
        </w:rPr>
        <w:t xml:space="preserve">el </w:t>
      </w:r>
      <w:r w:rsidR="00B86C96" w:rsidRPr="006A0032">
        <w:rPr>
          <w:rFonts w:ascii="Arial" w:hAnsi="Arial" w:cs="Arial"/>
        </w:rPr>
        <w:t xml:space="preserve">7 de septiembre de 2013, y que </w:t>
      </w:r>
      <w:r w:rsidR="00530247" w:rsidRPr="006A0032">
        <w:rPr>
          <w:rFonts w:ascii="Arial" w:hAnsi="Arial" w:cs="Arial"/>
        </w:rPr>
        <w:t xml:space="preserve">se </w:t>
      </w:r>
      <w:r w:rsidR="00DD3190" w:rsidRPr="006A0032">
        <w:rPr>
          <w:rFonts w:ascii="Arial" w:hAnsi="Arial" w:cs="Arial"/>
        </w:rPr>
        <w:t xml:space="preserve">había bloqueado el CDT 25001062320 por </w:t>
      </w:r>
      <w:r w:rsidR="00530247" w:rsidRPr="006A0032">
        <w:rPr>
          <w:rFonts w:ascii="Arial" w:hAnsi="Arial" w:cs="Arial"/>
        </w:rPr>
        <w:t xml:space="preserve">la suma de </w:t>
      </w:r>
      <w:r w:rsidR="00DD3190" w:rsidRPr="006A0032">
        <w:rPr>
          <w:rFonts w:ascii="Arial" w:hAnsi="Arial" w:cs="Arial"/>
        </w:rPr>
        <w:t xml:space="preserve">$114.184.613.00; ii) </w:t>
      </w:r>
      <w:r w:rsidR="00F11078" w:rsidRPr="006A0032">
        <w:rPr>
          <w:rFonts w:ascii="Arial" w:hAnsi="Arial" w:cs="Arial"/>
        </w:rPr>
        <w:t>un o</w:t>
      </w:r>
      <w:r w:rsidR="00DD3190" w:rsidRPr="006A0032">
        <w:rPr>
          <w:rFonts w:ascii="Arial" w:hAnsi="Arial" w:cs="Arial"/>
        </w:rPr>
        <w:t>ficio del 28 de octubre de 2013 expedido por esa misma entidad bancaria</w:t>
      </w:r>
      <w:r w:rsidR="00F11078" w:rsidRPr="006A0032">
        <w:rPr>
          <w:rFonts w:ascii="Arial" w:hAnsi="Arial" w:cs="Arial"/>
        </w:rPr>
        <w:t>,</w:t>
      </w:r>
      <w:r w:rsidR="00530247" w:rsidRPr="006A0032">
        <w:rPr>
          <w:rFonts w:ascii="Arial" w:hAnsi="Arial" w:cs="Arial"/>
        </w:rPr>
        <w:t xml:space="preserve"> en el </w:t>
      </w:r>
      <w:r w:rsidR="00DD3190" w:rsidRPr="006A0032">
        <w:rPr>
          <w:rFonts w:ascii="Arial" w:hAnsi="Arial" w:cs="Arial"/>
        </w:rPr>
        <w:t>cual se realiz</w:t>
      </w:r>
      <w:r w:rsidR="00530247" w:rsidRPr="006A0032">
        <w:rPr>
          <w:rFonts w:ascii="Arial" w:hAnsi="Arial" w:cs="Arial"/>
        </w:rPr>
        <w:t>ó</w:t>
      </w:r>
      <w:r w:rsidR="00DD3190" w:rsidRPr="006A0032">
        <w:rPr>
          <w:rFonts w:ascii="Arial" w:hAnsi="Arial" w:cs="Arial"/>
        </w:rPr>
        <w:t xml:space="preserve"> una relación detallada de los CDT </w:t>
      </w:r>
      <w:r w:rsidR="006420AD" w:rsidRPr="006A0032">
        <w:rPr>
          <w:rFonts w:ascii="Arial" w:hAnsi="Arial" w:cs="Arial"/>
        </w:rPr>
        <w:t xml:space="preserve">que fueron </w:t>
      </w:r>
      <w:r w:rsidR="00DD3190" w:rsidRPr="006A0032">
        <w:rPr>
          <w:rFonts w:ascii="Arial" w:hAnsi="Arial" w:cs="Arial"/>
        </w:rPr>
        <w:t xml:space="preserve">aperturados por el señor Juan Nepomuceno Vega Hurtado, </w:t>
      </w:r>
      <w:r w:rsidR="006420AD" w:rsidRPr="006A0032">
        <w:rPr>
          <w:rFonts w:ascii="Arial" w:hAnsi="Arial" w:cs="Arial"/>
        </w:rPr>
        <w:t>par</w:t>
      </w:r>
      <w:r w:rsidR="00B86C96" w:rsidRPr="006A0032">
        <w:rPr>
          <w:rFonts w:ascii="Arial" w:hAnsi="Arial" w:cs="Arial"/>
        </w:rPr>
        <w:t xml:space="preserve">a un total </w:t>
      </w:r>
      <w:r w:rsidR="00BD4644" w:rsidRPr="006A0032">
        <w:rPr>
          <w:rFonts w:ascii="Arial" w:hAnsi="Arial" w:cs="Arial"/>
        </w:rPr>
        <w:t>de cuarenta y tres (43) títulos</w:t>
      </w:r>
      <w:r w:rsidR="000F329E" w:rsidRPr="006A0032">
        <w:rPr>
          <w:rFonts w:ascii="Arial" w:hAnsi="Arial" w:cs="Arial"/>
        </w:rPr>
        <w:t xml:space="preserve">; iii) </w:t>
      </w:r>
      <w:r w:rsidR="006420AD" w:rsidRPr="006A0032">
        <w:rPr>
          <w:rFonts w:ascii="Arial" w:hAnsi="Arial" w:cs="Arial"/>
        </w:rPr>
        <w:t xml:space="preserve">un </w:t>
      </w:r>
      <w:r w:rsidR="000F329E" w:rsidRPr="006A0032">
        <w:rPr>
          <w:rFonts w:ascii="Arial" w:hAnsi="Arial" w:cs="Arial"/>
        </w:rPr>
        <w:t xml:space="preserve">oficio del 26 de septiembre de 2013 del </w:t>
      </w:r>
      <w:r w:rsidR="000F329E" w:rsidRPr="006A0032">
        <w:rPr>
          <w:rFonts w:ascii="Arial" w:hAnsi="Arial" w:cs="Arial"/>
          <w:u w:val="single"/>
        </w:rPr>
        <w:t>Banco de Colombia</w:t>
      </w:r>
      <w:r w:rsidR="000F329E" w:rsidRPr="006A0032">
        <w:rPr>
          <w:rFonts w:ascii="Arial" w:hAnsi="Arial" w:cs="Arial"/>
        </w:rPr>
        <w:t xml:space="preserve"> en el que se establece la existencia de unos CDT a nombre del señor Vega Hurtado, los cuales posteriormente fueron puestos a nombre de la procesada; </w:t>
      </w:r>
      <w:r w:rsidR="004E2BCD" w:rsidRPr="006A0032">
        <w:rPr>
          <w:rFonts w:ascii="Arial" w:hAnsi="Arial" w:cs="Arial"/>
        </w:rPr>
        <w:t xml:space="preserve">iv) </w:t>
      </w:r>
      <w:r w:rsidR="001936AC" w:rsidRPr="006A0032">
        <w:rPr>
          <w:rFonts w:ascii="Arial" w:hAnsi="Arial" w:cs="Arial"/>
        </w:rPr>
        <w:t>un</w:t>
      </w:r>
      <w:r w:rsidR="006420AD" w:rsidRPr="006A0032">
        <w:rPr>
          <w:rFonts w:ascii="Arial" w:hAnsi="Arial" w:cs="Arial"/>
        </w:rPr>
        <w:t xml:space="preserve"> </w:t>
      </w:r>
      <w:r w:rsidR="004E2BCD" w:rsidRPr="006A0032">
        <w:rPr>
          <w:rFonts w:ascii="Arial" w:hAnsi="Arial" w:cs="Arial"/>
        </w:rPr>
        <w:t xml:space="preserve">oficio del </w:t>
      </w:r>
      <w:r w:rsidR="00BD4644" w:rsidRPr="006A0032">
        <w:rPr>
          <w:rFonts w:ascii="Arial" w:hAnsi="Arial" w:cs="Arial"/>
        </w:rPr>
        <w:t>19</w:t>
      </w:r>
      <w:r w:rsidR="004E2BCD" w:rsidRPr="006A0032">
        <w:rPr>
          <w:rFonts w:ascii="Arial" w:hAnsi="Arial" w:cs="Arial"/>
        </w:rPr>
        <w:t xml:space="preserve"> </w:t>
      </w:r>
      <w:r w:rsidR="00BD4644" w:rsidRPr="006A0032">
        <w:rPr>
          <w:rFonts w:ascii="Arial" w:hAnsi="Arial" w:cs="Arial"/>
        </w:rPr>
        <w:t xml:space="preserve">(sic) </w:t>
      </w:r>
      <w:r w:rsidR="004E2BCD" w:rsidRPr="006A0032">
        <w:rPr>
          <w:rFonts w:ascii="Arial" w:hAnsi="Arial" w:cs="Arial"/>
        </w:rPr>
        <w:t xml:space="preserve">de noviembre de 2013 </w:t>
      </w:r>
      <w:r w:rsidR="006420AD" w:rsidRPr="006A0032">
        <w:rPr>
          <w:rFonts w:ascii="Arial" w:hAnsi="Arial" w:cs="Arial"/>
        </w:rPr>
        <w:t xml:space="preserve">expedido </w:t>
      </w:r>
      <w:r w:rsidR="004E2BCD" w:rsidRPr="006A0032">
        <w:rPr>
          <w:rFonts w:ascii="Arial" w:hAnsi="Arial" w:cs="Arial"/>
        </w:rPr>
        <w:t xml:space="preserve">por el </w:t>
      </w:r>
      <w:r w:rsidR="004E2BCD" w:rsidRPr="006A0032">
        <w:rPr>
          <w:rFonts w:ascii="Arial" w:hAnsi="Arial" w:cs="Arial"/>
          <w:u w:val="single"/>
        </w:rPr>
        <w:t>Banco de Colombia</w:t>
      </w:r>
      <w:r w:rsidR="004E2BCD" w:rsidRPr="006A0032">
        <w:rPr>
          <w:rFonts w:ascii="Arial" w:hAnsi="Arial" w:cs="Arial"/>
        </w:rPr>
        <w:t xml:space="preserve"> en el que se realiza una relación pormenorizada de los títulos que figuraban a nombre</w:t>
      </w:r>
      <w:r w:rsidR="001936AC" w:rsidRPr="006A0032">
        <w:rPr>
          <w:rFonts w:ascii="Arial" w:hAnsi="Arial" w:cs="Arial"/>
        </w:rPr>
        <w:t xml:space="preserve"> del señor Juan Nepomuceno Vega</w:t>
      </w:r>
      <w:r w:rsidR="00F11078" w:rsidRPr="006A0032">
        <w:rPr>
          <w:rFonts w:ascii="Arial" w:hAnsi="Arial" w:cs="Arial"/>
        </w:rPr>
        <w:t xml:space="preserve"> </w:t>
      </w:r>
      <w:r w:rsidR="001936AC" w:rsidRPr="006A0032">
        <w:rPr>
          <w:rFonts w:ascii="Arial" w:hAnsi="Arial" w:cs="Arial"/>
        </w:rPr>
        <w:t xml:space="preserve">y de la </w:t>
      </w:r>
      <w:r w:rsidR="00F11078" w:rsidRPr="006A0032">
        <w:rPr>
          <w:rFonts w:ascii="Arial" w:hAnsi="Arial" w:cs="Arial"/>
        </w:rPr>
        <w:t xml:space="preserve">señora </w:t>
      </w:r>
      <w:proofErr w:type="spellStart"/>
      <w:r w:rsidR="00E1362A">
        <w:rPr>
          <w:rFonts w:ascii="Arial" w:hAnsi="Arial" w:cs="Arial"/>
        </w:rPr>
        <w:t>M.C.V.V</w:t>
      </w:r>
      <w:proofErr w:type="spellEnd"/>
      <w:r w:rsidR="00E1362A">
        <w:rPr>
          <w:rFonts w:ascii="Arial" w:hAnsi="Arial" w:cs="Arial"/>
        </w:rPr>
        <w:t>.</w:t>
      </w:r>
      <w:r w:rsidR="00AF6AF5" w:rsidRPr="006A0032">
        <w:rPr>
          <w:rFonts w:ascii="Arial" w:hAnsi="Arial" w:cs="Arial"/>
        </w:rPr>
        <w:t xml:space="preserve">, </w:t>
      </w:r>
      <w:r w:rsidR="004E2BCD" w:rsidRPr="006A0032">
        <w:rPr>
          <w:rFonts w:ascii="Arial" w:hAnsi="Arial" w:cs="Arial"/>
        </w:rPr>
        <w:t xml:space="preserve">en las condiciones antes </w:t>
      </w:r>
      <w:r w:rsidR="003147FC" w:rsidRPr="006A0032">
        <w:rPr>
          <w:rFonts w:ascii="Arial" w:hAnsi="Arial" w:cs="Arial"/>
        </w:rPr>
        <w:t>referidas; y v)</w:t>
      </w:r>
      <w:r w:rsidR="004E2BCD" w:rsidRPr="006A0032">
        <w:rPr>
          <w:rFonts w:ascii="Arial" w:hAnsi="Arial" w:cs="Arial"/>
        </w:rPr>
        <w:t xml:space="preserve"> </w:t>
      </w:r>
      <w:r w:rsidR="00AF6AF5" w:rsidRPr="006A0032">
        <w:rPr>
          <w:rFonts w:ascii="Arial" w:hAnsi="Arial" w:cs="Arial"/>
        </w:rPr>
        <w:t xml:space="preserve">un </w:t>
      </w:r>
      <w:r w:rsidR="003147FC" w:rsidRPr="006A0032">
        <w:rPr>
          <w:rFonts w:ascii="Arial" w:hAnsi="Arial" w:cs="Arial"/>
        </w:rPr>
        <w:t xml:space="preserve">oficio del 11 de octubre de 2013 de </w:t>
      </w:r>
      <w:r w:rsidR="003147FC" w:rsidRPr="006A0032">
        <w:rPr>
          <w:rFonts w:ascii="Arial" w:hAnsi="Arial" w:cs="Arial"/>
          <w:u w:val="single"/>
        </w:rPr>
        <w:t xml:space="preserve">Bancolombia </w:t>
      </w:r>
      <w:r w:rsidR="003147FC" w:rsidRPr="006A0032">
        <w:rPr>
          <w:rFonts w:ascii="Arial" w:hAnsi="Arial" w:cs="Arial"/>
        </w:rPr>
        <w:lastRenderedPageBreak/>
        <w:t>al que se anexa</w:t>
      </w:r>
      <w:r w:rsidR="00AF6AF5" w:rsidRPr="006A0032">
        <w:rPr>
          <w:rFonts w:ascii="Arial" w:hAnsi="Arial" w:cs="Arial"/>
        </w:rPr>
        <w:t xml:space="preserve">ron </w:t>
      </w:r>
      <w:r w:rsidR="003147FC" w:rsidRPr="006A0032">
        <w:rPr>
          <w:rFonts w:ascii="Arial" w:hAnsi="Arial" w:cs="Arial"/>
        </w:rPr>
        <w:t>unas solicitudes de vinculación y de apertura de cuenta</w:t>
      </w:r>
      <w:r w:rsidR="00AF6AF5" w:rsidRPr="006A0032">
        <w:rPr>
          <w:rFonts w:ascii="Arial" w:hAnsi="Arial" w:cs="Arial"/>
        </w:rPr>
        <w:t>s</w:t>
      </w:r>
      <w:r w:rsidR="003147FC" w:rsidRPr="006A0032">
        <w:rPr>
          <w:rFonts w:ascii="Arial" w:hAnsi="Arial" w:cs="Arial"/>
        </w:rPr>
        <w:t xml:space="preserve"> por parte del señor Vega Hurtado y la trasferencia de las mismas a la </w:t>
      </w:r>
      <w:r w:rsidR="00AF6AF5" w:rsidRPr="006A0032">
        <w:rPr>
          <w:rFonts w:ascii="Arial" w:hAnsi="Arial" w:cs="Arial"/>
        </w:rPr>
        <w:t>procesada</w:t>
      </w:r>
      <w:r w:rsidR="001936AC" w:rsidRPr="006A0032">
        <w:rPr>
          <w:rFonts w:ascii="Arial" w:hAnsi="Arial" w:cs="Arial"/>
        </w:rPr>
        <w:t xml:space="preserve"> (fl. 64 a 93).</w:t>
      </w:r>
      <w:r w:rsidR="003147FC" w:rsidRPr="006A0032">
        <w:rPr>
          <w:rFonts w:ascii="Arial" w:hAnsi="Arial" w:cs="Arial"/>
        </w:rPr>
        <w:t xml:space="preserve"> </w:t>
      </w:r>
    </w:p>
    <w:p w:rsidR="00BE4853" w:rsidRPr="006A0032" w:rsidRDefault="00BE4853" w:rsidP="006A0032">
      <w:pPr>
        <w:spacing w:line="288" w:lineRule="auto"/>
        <w:ind w:right="51"/>
        <w:rPr>
          <w:rFonts w:ascii="Arial" w:hAnsi="Arial" w:cs="Arial"/>
          <w:u w:val="single"/>
        </w:rPr>
      </w:pPr>
    </w:p>
    <w:p w:rsidR="00BE4853" w:rsidRPr="006A0032" w:rsidRDefault="004908E9" w:rsidP="006A0032">
      <w:pPr>
        <w:spacing w:line="288" w:lineRule="auto"/>
        <w:ind w:right="51"/>
        <w:jc w:val="center"/>
        <w:rPr>
          <w:rFonts w:ascii="Arial" w:hAnsi="Arial" w:cs="Arial"/>
          <w:u w:val="single"/>
        </w:rPr>
      </w:pPr>
      <w:r w:rsidRPr="006A0032">
        <w:rPr>
          <w:rFonts w:ascii="Arial" w:hAnsi="Arial" w:cs="Arial"/>
          <w:u w:val="single"/>
        </w:rPr>
        <w:t>4</w:t>
      </w:r>
      <w:r w:rsidR="00AF6AF5" w:rsidRPr="006A0032">
        <w:rPr>
          <w:rFonts w:ascii="Arial" w:hAnsi="Arial" w:cs="Arial"/>
          <w:u w:val="single"/>
        </w:rPr>
        <w:t xml:space="preserve">. </w:t>
      </w:r>
      <w:r w:rsidR="00BE4853" w:rsidRPr="006A0032">
        <w:rPr>
          <w:rFonts w:ascii="Arial" w:hAnsi="Arial" w:cs="Arial"/>
          <w:u w:val="single"/>
        </w:rPr>
        <w:t xml:space="preserve">SOBRE LA DECISIÓN </w:t>
      </w:r>
      <w:r w:rsidR="00AF6AF5" w:rsidRPr="006A0032">
        <w:rPr>
          <w:rFonts w:ascii="Arial" w:hAnsi="Arial" w:cs="Arial"/>
          <w:u w:val="single"/>
        </w:rPr>
        <w:t>DE PRIMER GRADO.</w:t>
      </w:r>
    </w:p>
    <w:p w:rsidR="00BE4853" w:rsidRPr="006A0032" w:rsidRDefault="00BE4853" w:rsidP="006A0032">
      <w:pPr>
        <w:spacing w:line="288" w:lineRule="auto"/>
        <w:ind w:right="51"/>
        <w:jc w:val="both"/>
        <w:rPr>
          <w:rFonts w:ascii="Arial" w:hAnsi="Arial" w:cs="Arial"/>
        </w:rPr>
      </w:pPr>
    </w:p>
    <w:p w:rsidR="00AF6AF5" w:rsidRPr="006A0032" w:rsidRDefault="004908E9" w:rsidP="006A0032">
      <w:pPr>
        <w:spacing w:line="288" w:lineRule="auto"/>
        <w:ind w:right="51"/>
        <w:jc w:val="both"/>
        <w:rPr>
          <w:rFonts w:ascii="Arial" w:hAnsi="Arial" w:cs="Arial"/>
        </w:rPr>
      </w:pPr>
      <w:r w:rsidRPr="006A0032">
        <w:rPr>
          <w:rFonts w:ascii="Arial" w:hAnsi="Arial" w:cs="Arial"/>
        </w:rPr>
        <w:t>4</w:t>
      </w:r>
      <w:r w:rsidR="004275A3" w:rsidRPr="006A0032">
        <w:rPr>
          <w:rFonts w:ascii="Arial" w:hAnsi="Arial" w:cs="Arial"/>
        </w:rPr>
        <w:t xml:space="preserve">.1 </w:t>
      </w:r>
      <w:r w:rsidR="00BE4853" w:rsidRPr="006A0032">
        <w:rPr>
          <w:rFonts w:ascii="Arial" w:hAnsi="Arial" w:cs="Arial"/>
        </w:rPr>
        <w:t xml:space="preserve">El </w:t>
      </w:r>
      <w:r w:rsidR="00BE4853" w:rsidRPr="006A0032">
        <w:rPr>
          <w:rFonts w:ascii="Arial" w:hAnsi="Arial" w:cs="Arial"/>
          <w:i/>
        </w:rPr>
        <w:t xml:space="preserve">A quo </w:t>
      </w:r>
      <w:r w:rsidR="00BE4853" w:rsidRPr="006A0032">
        <w:rPr>
          <w:rFonts w:ascii="Arial" w:hAnsi="Arial" w:cs="Arial"/>
        </w:rPr>
        <w:t xml:space="preserve">se pronunció sobre la </w:t>
      </w:r>
      <w:r w:rsidR="00B86C96" w:rsidRPr="006A0032">
        <w:rPr>
          <w:rFonts w:ascii="Arial" w:hAnsi="Arial" w:cs="Arial"/>
        </w:rPr>
        <w:t>anterior</w:t>
      </w:r>
      <w:r w:rsidR="00AF6AF5" w:rsidRPr="006A0032">
        <w:rPr>
          <w:rFonts w:ascii="Arial" w:hAnsi="Arial" w:cs="Arial"/>
        </w:rPr>
        <w:t xml:space="preserve"> </w:t>
      </w:r>
      <w:r w:rsidR="00B86C96" w:rsidRPr="006A0032">
        <w:rPr>
          <w:rFonts w:ascii="Arial" w:hAnsi="Arial" w:cs="Arial"/>
        </w:rPr>
        <w:t>solicitud</w:t>
      </w:r>
      <w:r w:rsidR="00AF6AF5" w:rsidRPr="006A0032">
        <w:rPr>
          <w:rFonts w:ascii="Arial" w:hAnsi="Arial" w:cs="Arial"/>
        </w:rPr>
        <w:t xml:space="preserve"> probatoria del delegado de la</w:t>
      </w:r>
      <w:r w:rsidR="00B86C96" w:rsidRPr="006A0032">
        <w:rPr>
          <w:rFonts w:ascii="Arial" w:hAnsi="Arial" w:cs="Arial"/>
        </w:rPr>
        <w:t xml:space="preserve"> FGN denegando la introducción </w:t>
      </w:r>
      <w:r w:rsidR="00AF6AF5" w:rsidRPr="006A0032">
        <w:rPr>
          <w:rFonts w:ascii="Arial" w:hAnsi="Arial" w:cs="Arial"/>
        </w:rPr>
        <w:t>de los mismos.</w:t>
      </w:r>
    </w:p>
    <w:p w:rsidR="00AF6AF5" w:rsidRPr="006A0032" w:rsidRDefault="00AF6AF5" w:rsidP="006A0032">
      <w:pPr>
        <w:spacing w:line="288" w:lineRule="auto"/>
        <w:ind w:right="51"/>
        <w:jc w:val="both"/>
        <w:rPr>
          <w:rFonts w:ascii="Arial" w:hAnsi="Arial" w:cs="Arial"/>
        </w:rPr>
      </w:pPr>
    </w:p>
    <w:p w:rsidR="00BE4853" w:rsidRPr="006A0032" w:rsidRDefault="00AF6AF5" w:rsidP="006A0032">
      <w:pPr>
        <w:spacing w:line="288" w:lineRule="auto"/>
        <w:ind w:right="51"/>
        <w:jc w:val="both"/>
        <w:rPr>
          <w:rFonts w:ascii="Arial" w:hAnsi="Arial" w:cs="Arial"/>
        </w:rPr>
      </w:pPr>
      <w:r w:rsidRPr="006A0032">
        <w:rPr>
          <w:rFonts w:ascii="Arial" w:hAnsi="Arial" w:cs="Arial"/>
        </w:rPr>
        <w:t xml:space="preserve">La </w:t>
      </w:r>
      <w:r w:rsidR="00BE4853" w:rsidRPr="006A0032">
        <w:rPr>
          <w:rFonts w:ascii="Arial" w:hAnsi="Arial" w:cs="Arial"/>
        </w:rPr>
        <w:t>síntesis de su decisión es la siguiente:</w:t>
      </w:r>
    </w:p>
    <w:p w:rsidR="00CA2D42" w:rsidRPr="006A0032" w:rsidRDefault="00CA2D42" w:rsidP="006A0032">
      <w:pPr>
        <w:spacing w:line="288" w:lineRule="auto"/>
        <w:ind w:right="51"/>
        <w:jc w:val="both"/>
        <w:rPr>
          <w:rFonts w:ascii="Arial" w:hAnsi="Arial" w:cs="Arial"/>
        </w:rPr>
      </w:pPr>
    </w:p>
    <w:p w:rsidR="00073C4A" w:rsidRPr="006A0032" w:rsidRDefault="00AF6AF5" w:rsidP="006A0032">
      <w:pPr>
        <w:pStyle w:val="Prrafodelista"/>
        <w:numPr>
          <w:ilvl w:val="0"/>
          <w:numId w:val="6"/>
        </w:numPr>
        <w:spacing w:line="288" w:lineRule="auto"/>
        <w:ind w:right="51"/>
        <w:jc w:val="both"/>
        <w:rPr>
          <w:rFonts w:ascii="Arial" w:hAnsi="Arial" w:cs="Arial"/>
        </w:rPr>
      </w:pPr>
      <w:r w:rsidRPr="006A0032">
        <w:rPr>
          <w:rFonts w:ascii="Arial" w:hAnsi="Arial" w:cs="Arial"/>
        </w:rPr>
        <w:t xml:space="preserve">Los </w:t>
      </w:r>
      <w:r w:rsidR="00CA2D42" w:rsidRPr="006A0032">
        <w:rPr>
          <w:rFonts w:ascii="Arial" w:hAnsi="Arial" w:cs="Arial"/>
        </w:rPr>
        <w:t>documentos enunciados por el delegado de la FGN</w:t>
      </w:r>
      <w:r w:rsidRPr="006A0032">
        <w:rPr>
          <w:rFonts w:ascii="Arial" w:hAnsi="Arial" w:cs="Arial"/>
        </w:rPr>
        <w:t xml:space="preserve"> no son </w:t>
      </w:r>
      <w:r w:rsidR="00CA2D42" w:rsidRPr="006A0032">
        <w:rPr>
          <w:rFonts w:ascii="Arial" w:hAnsi="Arial" w:cs="Arial"/>
        </w:rPr>
        <w:t xml:space="preserve">documentos públicos, </w:t>
      </w:r>
      <w:r w:rsidRPr="006A0032">
        <w:rPr>
          <w:rFonts w:ascii="Arial" w:hAnsi="Arial" w:cs="Arial"/>
        </w:rPr>
        <w:t>y por lo tanto no están revestid</w:t>
      </w:r>
      <w:r w:rsidR="00B86C96" w:rsidRPr="006A0032">
        <w:rPr>
          <w:rFonts w:ascii="Arial" w:hAnsi="Arial" w:cs="Arial"/>
        </w:rPr>
        <w:t>os de</w:t>
      </w:r>
      <w:r w:rsidR="00CA2D42" w:rsidRPr="006A0032">
        <w:rPr>
          <w:rFonts w:ascii="Arial" w:hAnsi="Arial" w:cs="Arial"/>
        </w:rPr>
        <w:t xml:space="preserve"> presunción de autenticidad.</w:t>
      </w:r>
    </w:p>
    <w:p w:rsidR="00073C4A" w:rsidRPr="006A0032" w:rsidRDefault="00073C4A" w:rsidP="006A0032">
      <w:pPr>
        <w:spacing w:line="288" w:lineRule="auto"/>
        <w:ind w:right="51"/>
        <w:jc w:val="both"/>
        <w:rPr>
          <w:rFonts w:ascii="Arial" w:hAnsi="Arial" w:cs="Arial"/>
        </w:rPr>
      </w:pPr>
    </w:p>
    <w:p w:rsidR="00CA2D42" w:rsidRPr="006A0032" w:rsidRDefault="00CD0626" w:rsidP="006A0032">
      <w:pPr>
        <w:pStyle w:val="Prrafodelista"/>
        <w:numPr>
          <w:ilvl w:val="0"/>
          <w:numId w:val="6"/>
        </w:numPr>
        <w:spacing w:line="288" w:lineRule="auto"/>
        <w:ind w:right="51"/>
        <w:jc w:val="both"/>
        <w:rPr>
          <w:rFonts w:ascii="Arial" w:hAnsi="Arial" w:cs="Arial"/>
        </w:rPr>
      </w:pPr>
      <w:r w:rsidRPr="006A0032">
        <w:rPr>
          <w:rFonts w:ascii="Arial" w:hAnsi="Arial" w:cs="Arial"/>
        </w:rPr>
        <w:t>Esos d</w:t>
      </w:r>
      <w:r w:rsidR="00073C4A" w:rsidRPr="006A0032">
        <w:rPr>
          <w:rFonts w:ascii="Arial" w:hAnsi="Arial" w:cs="Arial"/>
        </w:rPr>
        <w:t xml:space="preserve">ocumentos requieren para su introducción un testigo de acreditación. </w:t>
      </w:r>
    </w:p>
    <w:p w:rsidR="00073C4A" w:rsidRPr="006A0032" w:rsidRDefault="00073C4A" w:rsidP="006A0032">
      <w:pPr>
        <w:spacing w:line="288" w:lineRule="auto"/>
        <w:ind w:right="51"/>
        <w:jc w:val="both"/>
        <w:rPr>
          <w:rFonts w:ascii="Arial" w:hAnsi="Arial" w:cs="Arial"/>
        </w:rPr>
      </w:pPr>
    </w:p>
    <w:p w:rsidR="00D37197" w:rsidRPr="006A0032" w:rsidRDefault="00CD0626" w:rsidP="006A0032">
      <w:pPr>
        <w:pStyle w:val="Prrafodelista"/>
        <w:numPr>
          <w:ilvl w:val="0"/>
          <w:numId w:val="6"/>
        </w:numPr>
        <w:spacing w:line="288" w:lineRule="auto"/>
        <w:ind w:right="51"/>
        <w:jc w:val="both"/>
        <w:rPr>
          <w:rFonts w:ascii="Arial" w:hAnsi="Arial" w:cs="Arial"/>
        </w:rPr>
      </w:pPr>
      <w:r w:rsidRPr="006A0032">
        <w:rPr>
          <w:rFonts w:ascii="Arial" w:hAnsi="Arial" w:cs="Arial"/>
        </w:rPr>
        <w:t xml:space="preserve">En el </w:t>
      </w:r>
      <w:r w:rsidR="00073C4A" w:rsidRPr="006A0032">
        <w:rPr>
          <w:rFonts w:ascii="Arial" w:hAnsi="Arial" w:cs="Arial"/>
        </w:rPr>
        <w:t>desarrollo de</w:t>
      </w:r>
      <w:r w:rsidRPr="006A0032">
        <w:rPr>
          <w:rFonts w:ascii="Arial" w:hAnsi="Arial" w:cs="Arial"/>
        </w:rPr>
        <w:t xml:space="preserve">l juicio el </w:t>
      </w:r>
      <w:r w:rsidR="00073C4A" w:rsidRPr="006A0032">
        <w:rPr>
          <w:rFonts w:ascii="Arial" w:hAnsi="Arial" w:cs="Arial"/>
        </w:rPr>
        <w:t xml:space="preserve">fiscal había hecho referencia a la introducción de unos documentos públicos expedidos por la </w:t>
      </w:r>
      <w:r w:rsidRPr="006A0032">
        <w:rPr>
          <w:rFonts w:ascii="Arial" w:hAnsi="Arial" w:cs="Arial"/>
        </w:rPr>
        <w:t xml:space="preserve">Oficina de Registro de II y PP y una </w:t>
      </w:r>
      <w:r w:rsidR="00073C4A" w:rsidRPr="006A0032">
        <w:rPr>
          <w:rFonts w:ascii="Arial" w:hAnsi="Arial" w:cs="Arial"/>
        </w:rPr>
        <w:t xml:space="preserve">notaría. Sin embargo, </w:t>
      </w:r>
      <w:r w:rsidR="00F11078" w:rsidRPr="006A0032">
        <w:rPr>
          <w:rFonts w:ascii="Arial" w:hAnsi="Arial" w:cs="Arial"/>
        </w:rPr>
        <w:t xml:space="preserve">de manera contraria a lo afirmado por el delegado del ente acusador, se </w:t>
      </w:r>
      <w:r w:rsidR="00073C4A" w:rsidRPr="006A0032">
        <w:rPr>
          <w:rFonts w:ascii="Arial" w:hAnsi="Arial" w:cs="Arial"/>
        </w:rPr>
        <w:t>eviden</w:t>
      </w:r>
      <w:r w:rsidR="00F11078" w:rsidRPr="006A0032">
        <w:rPr>
          <w:rFonts w:ascii="Arial" w:hAnsi="Arial" w:cs="Arial"/>
        </w:rPr>
        <w:t xml:space="preserve">cia que </w:t>
      </w:r>
      <w:r w:rsidRPr="006A0032">
        <w:rPr>
          <w:rFonts w:ascii="Arial" w:hAnsi="Arial" w:cs="Arial"/>
        </w:rPr>
        <w:t xml:space="preserve">las pruebas que solicitó para introducirlas directamente, provenían de dos </w:t>
      </w:r>
      <w:r w:rsidR="00073C4A" w:rsidRPr="006A0032">
        <w:rPr>
          <w:rFonts w:ascii="Arial" w:hAnsi="Arial" w:cs="Arial"/>
        </w:rPr>
        <w:t>entidades bancarias privadas</w:t>
      </w:r>
      <w:r w:rsidR="00D37197" w:rsidRPr="006A0032">
        <w:rPr>
          <w:rFonts w:ascii="Arial" w:hAnsi="Arial" w:cs="Arial"/>
        </w:rPr>
        <w:t xml:space="preserve"> como Bancolombia y el Banco Caja Social.</w:t>
      </w:r>
    </w:p>
    <w:p w:rsidR="00D37197" w:rsidRPr="006A0032" w:rsidRDefault="00D37197" w:rsidP="006A0032">
      <w:pPr>
        <w:pStyle w:val="Prrafodelista"/>
        <w:spacing w:line="288" w:lineRule="auto"/>
        <w:rPr>
          <w:rFonts w:ascii="Arial" w:hAnsi="Arial" w:cs="Arial"/>
        </w:rPr>
      </w:pPr>
    </w:p>
    <w:p w:rsidR="00073C4A" w:rsidRPr="006A0032" w:rsidRDefault="00D37197" w:rsidP="006A0032">
      <w:pPr>
        <w:pStyle w:val="Prrafodelista"/>
        <w:numPr>
          <w:ilvl w:val="0"/>
          <w:numId w:val="6"/>
        </w:numPr>
        <w:spacing w:line="288" w:lineRule="auto"/>
        <w:ind w:right="51"/>
        <w:jc w:val="both"/>
        <w:rPr>
          <w:rFonts w:ascii="Arial" w:hAnsi="Arial" w:cs="Arial"/>
        </w:rPr>
      </w:pPr>
      <w:r w:rsidRPr="006A0032">
        <w:rPr>
          <w:rFonts w:ascii="Arial" w:hAnsi="Arial" w:cs="Arial"/>
        </w:rPr>
        <w:t>De accederse a la pet</w:t>
      </w:r>
      <w:r w:rsidR="00B86C96" w:rsidRPr="006A0032">
        <w:rPr>
          <w:rFonts w:ascii="Arial" w:hAnsi="Arial" w:cs="Arial"/>
        </w:rPr>
        <w:t>ición del delegado de la FGN se</w:t>
      </w:r>
      <w:r w:rsidR="00073C4A" w:rsidRPr="006A0032">
        <w:rPr>
          <w:rFonts w:ascii="Arial" w:hAnsi="Arial" w:cs="Arial"/>
        </w:rPr>
        <w:t xml:space="preserve"> estaría vulnerando el esquema procesal</w:t>
      </w:r>
      <w:r w:rsidR="00F11078" w:rsidRPr="006A0032">
        <w:rPr>
          <w:rFonts w:ascii="Arial" w:hAnsi="Arial" w:cs="Arial"/>
        </w:rPr>
        <w:t xml:space="preserve"> de la Ley 906 de 2004, </w:t>
      </w:r>
      <w:r w:rsidRPr="006A0032">
        <w:rPr>
          <w:rFonts w:ascii="Arial" w:hAnsi="Arial" w:cs="Arial"/>
        </w:rPr>
        <w:t xml:space="preserve">pues se le negaría a la </w:t>
      </w:r>
      <w:r w:rsidR="004275A3" w:rsidRPr="006A0032">
        <w:rPr>
          <w:rFonts w:ascii="Arial" w:hAnsi="Arial" w:cs="Arial"/>
        </w:rPr>
        <w:t xml:space="preserve">defensa la facultad para controvertir la veracidad y autenticidad de los documentos y su procedencia, aunado al hecho de que no se </w:t>
      </w:r>
      <w:r w:rsidRPr="006A0032">
        <w:rPr>
          <w:rFonts w:ascii="Arial" w:hAnsi="Arial" w:cs="Arial"/>
        </w:rPr>
        <w:t xml:space="preserve">iba a contar con el testimonio del </w:t>
      </w:r>
      <w:r w:rsidR="004275A3" w:rsidRPr="006A0032">
        <w:rPr>
          <w:rFonts w:ascii="Arial" w:hAnsi="Arial" w:cs="Arial"/>
        </w:rPr>
        <w:t xml:space="preserve">investigador Ramón Elías Morales ni </w:t>
      </w:r>
      <w:r w:rsidRPr="006A0032">
        <w:rPr>
          <w:rFonts w:ascii="Arial" w:hAnsi="Arial" w:cs="Arial"/>
        </w:rPr>
        <w:t xml:space="preserve">otros funcionarios que </w:t>
      </w:r>
      <w:r w:rsidR="004275A3" w:rsidRPr="006A0032">
        <w:rPr>
          <w:rFonts w:ascii="Arial" w:hAnsi="Arial" w:cs="Arial"/>
        </w:rPr>
        <w:t xml:space="preserve">suscribieron </w:t>
      </w:r>
      <w:r w:rsidRPr="006A0032">
        <w:rPr>
          <w:rFonts w:ascii="Arial" w:hAnsi="Arial" w:cs="Arial"/>
        </w:rPr>
        <w:t xml:space="preserve">esa </w:t>
      </w:r>
      <w:r w:rsidR="004275A3" w:rsidRPr="006A0032">
        <w:rPr>
          <w:rFonts w:ascii="Arial" w:hAnsi="Arial" w:cs="Arial"/>
        </w:rPr>
        <w:t xml:space="preserve">información con </w:t>
      </w:r>
      <w:r w:rsidRPr="006A0032">
        <w:rPr>
          <w:rFonts w:ascii="Arial" w:hAnsi="Arial" w:cs="Arial"/>
        </w:rPr>
        <w:t xml:space="preserve">los cuales </w:t>
      </w:r>
      <w:r w:rsidR="004275A3" w:rsidRPr="006A0032">
        <w:rPr>
          <w:rFonts w:ascii="Arial" w:hAnsi="Arial" w:cs="Arial"/>
        </w:rPr>
        <w:t>deb</w:t>
      </w:r>
      <w:r w:rsidR="00B86C96" w:rsidRPr="006A0032">
        <w:rPr>
          <w:rFonts w:ascii="Arial" w:hAnsi="Arial" w:cs="Arial"/>
        </w:rPr>
        <w:t>ían ser</w:t>
      </w:r>
      <w:r w:rsidR="004275A3" w:rsidRPr="006A0032">
        <w:rPr>
          <w:rFonts w:ascii="Arial" w:hAnsi="Arial" w:cs="Arial"/>
        </w:rPr>
        <w:t xml:space="preserve"> incorporados los mismos, por lo que se vulnerarían los principios de inmediación </w:t>
      </w:r>
      <w:r w:rsidR="00B86C96" w:rsidRPr="006A0032">
        <w:rPr>
          <w:rFonts w:ascii="Arial" w:hAnsi="Arial" w:cs="Arial"/>
        </w:rPr>
        <w:t>y oralidad al permitir dicha prá</w:t>
      </w:r>
      <w:r w:rsidR="004275A3" w:rsidRPr="006A0032">
        <w:rPr>
          <w:rFonts w:ascii="Arial" w:hAnsi="Arial" w:cs="Arial"/>
        </w:rPr>
        <w:t xml:space="preserve">ctica probatoria. </w:t>
      </w:r>
    </w:p>
    <w:p w:rsidR="00CA2D42" w:rsidRPr="006A0032" w:rsidRDefault="00CA2D42" w:rsidP="006A0032">
      <w:pPr>
        <w:spacing w:line="288" w:lineRule="auto"/>
        <w:ind w:right="51"/>
        <w:jc w:val="both"/>
        <w:rPr>
          <w:rFonts w:ascii="Arial" w:hAnsi="Arial" w:cs="Arial"/>
        </w:rPr>
      </w:pPr>
    </w:p>
    <w:p w:rsidR="00CA2D42" w:rsidRPr="006A0032" w:rsidRDefault="004908E9" w:rsidP="006A0032">
      <w:pPr>
        <w:spacing w:line="288" w:lineRule="auto"/>
        <w:ind w:right="51"/>
        <w:jc w:val="both"/>
        <w:rPr>
          <w:rFonts w:ascii="Arial" w:hAnsi="Arial" w:cs="Arial"/>
        </w:rPr>
      </w:pPr>
      <w:r w:rsidRPr="006A0032">
        <w:rPr>
          <w:rFonts w:ascii="Arial" w:hAnsi="Arial" w:cs="Arial"/>
        </w:rPr>
        <w:t>4</w:t>
      </w:r>
      <w:r w:rsidR="00D37197" w:rsidRPr="006A0032">
        <w:rPr>
          <w:rFonts w:ascii="Arial" w:hAnsi="Arial" w:cs="Arial"/>
        </w:rPr>
        <w:t xml:space="preserve">.2 El </w:t>
      </w:r>
      <w:r w:rsidR="00E63413" w:rsidRPr="006A0032">
        <w:rPr>
          <w:rFonts w:ascii="Arial" w:hAnsi="Arial" w:cs="Arial"/>
        </w:rPr>
        <w:t xml:space="preserve">representante de la </w:t>
      </w:r>
      <w:r w:rsidR="004275A3" w:rsidRPr="006A0032">
        <w:rPr>
          <w:rFonts w:ascii="Arial" w:hAnsi="Arial" w:cs="Arial"/>
        </w:rPr>
        <w:t xml:space="preserve">FGN interpuso los recursos de </w:t>
      </w:r>
      <w:r w:rsidR="00237FF2" w:rsidRPr="006A0032">
        <w:rPr>
          <w:rFonts w:ascii="Arial" w:hAnsi="Arial" w:cs="Arial"/>
        </w:rPr>
        <w:t>reposición</w:t>
      </w:r>
      <w:r w:rsidR="004275A3" w:rsidRPr="006A0032">
        <w:rPr>
          <w:rFonts w:ascii="Arial" w:hAnsi="Arial" w:cs="Arial"/>
        </w:rPr>
        <w:t xml:space="preserve"> y en </w:t>
      </w:r>
      <w:r w:rsidR="00237FF2" w:rsidRPr="006A0032">
        <w:rPr>
          <w:rFonts w:ascii="Arial" w:hAnsi="Arial" w:cs="Arial"/>
        </w:rPr>
        <w:t>subsidio</w:t>
      </w:r>
      <w:r w:rsidR="00B86C96" w:rsidRPr="006A0032">
        <w:rPr>
          <w:rFonts w:ascii="Arial" w:hAnsi="Arial" w:cs="Arial"/>
        </w:rPr>
        <w:t xml:space="preserve"> de</w:t>
      </w:r>
      <w:r w:rsidR="004275A3" w:rsidRPr="006A0032">
        <w:rPr>
          <w:rFonts w:ascii="Arial" w:hAnsi="Arial" w:cs="Arial"/>
        </w:rPr>
        <w:t xml:space="preserve"> apelación </w:t>
      </w:r>
      <w:r w:rsidR="00237FF2" w:rsidRPr="006A0032">
        <w:rPr>
          <w:rFonts w:ascii="Arial" w:hAnsi="Arial" w:cs="Arial"/>
        </w:rPr>
        <w:t xml:space="preserve">en contra de la decisión proferida. </w:t>
      </w:r>
    </w:p>
    <w:p w:rsidR="004908E9" w:rsidRPr="006A0032" w:rsidRDefault="004908E9" w:rsidP="006A0032">
      <w:pPr>
        <w:spacing w:line="288" w:lineRule="auto"/>
        <w:ind w:right="51"/>
        <w:rPr>
          <w:rFonts w:ascii="Arial" w:hAnsi="Arial" w:cs="Arial"/>
        </w:rPr>
      </w:pPr>
    </w:p>
    <w:p w:rsidR="00BE4853" w:rsidRPr="006A0032" w:rsidRDefault="004908E9" w:rsidP="006A0032">
      <w:pPr>
        <w:spacing w:line="288" w:lineRule="auto"/>
        <w:ind w:right="51"/>
        <w:jc w:val="center"/>
        <w:rPr>
          <w:rFonts w:ascii="Arial" w:hAnsi="Arial" w:cs="Arial"/>
        </w:rPr>
      </w:pPr>
      <w:r w:rsidRPr="006A0032">
        <w:rPr>
          <w:rFonts w:ascii="Arial" w:hAnsi="Arial" w:cs="Arial"/>
        </w:rPr>
        <w:t>5</w:t>
      </w:r>
      <w:r w:rsidR="00BE4853" w:rsidRPr="006A0032">
        <w:rPr>
          <w:rFonts w:ascii="Arial" w:hAnsi="Arial" w:cs="Arial"/>
        </w:rPr>
        <w:t xml:space="preserve">. SOBRE EL RECURSO PROPUESTO </w:t>
      </w:r>
    </w:p>
    <w:p w:rsidR="00BE4853" w:rsidRPr="006A0032" w:rsidRDefault="00BE4853" w:rsidP="006A0032">
      <w:pPr>
        <w:spacing w:line="288" w:lineRule="auto"/>
        <w:ind w:right="51"/>
        <w:jc w:val="center"/>
        <w:rPr>
          <w:rFonts w:ascii="Arial" w:hAnsi="Arial" w:cs="Arial"/>
        </w:rPr>
      </w:pPr>
    </w:p>
    <w:p w:rsidR="004275A3" w:rsidRPr="006A0032" w:rsidRDefault="004908E9" w:rsidP="006A0032">
      <w:pPr>
        <w:spacing w:line="288" w:lineRule="auto"/>
        <w:ind w:right="51"/>
        <w:jc w:val="both"/>
        <w:rPr>
          <w:rFonts w:ascii="Arial" w:hAnsi="Arial" w:cs="Arial"/>
          <w:u w:val="single"/>
        </w:rPr>
      </w:pPr>
      <w:r w:rsidRPr="006A0032">
        <w:rPr>
          <w:rFonts w:ascii="Arial" w:hAnsi="Arial" w:cs="Arial"/>
          <w:u w:val="single"/>
        </w:rPr>
        <w:t>5</w:t>
      </w:r>
      <w:r w:rsidR="004275A3" w:rsidRPr="006A0032">
        <w:rPr>
          <w:rFonts w:ascii="Arial" w:hAnsi="Arial" w:cs="Arial"/>
          <w:u w:val="single"/>
        </w:rPr>
        <w:t>.1 Delegado de la FGN (Recurrente)</w:t>
      </w:r>
    </w:p>
    <w:p w:rsidR="004275A3" w:rsidRPr="006A0032" w:rsidRDefault="004275A3" w:rsidP="006A0032">
      <w:pPr>
        <w:spacing w:line="288" w:lineRule="auto"/>
        <w:ind w:right="51"/>
        <w:jc w:val="both"/>
        <w:rPr>
          <w:rFonts w:ascii="Arial" w:hAnsi="Arial" w:cs="Arial"/>
        </w:rPr>
      </w:pPr>
    </w:p>
    <w:p w:rsidR="004275A3" w:rsidRPr="006A0032" w:rsidRDefault="00E63413" w:rsidP="006A0032">
      <w:pPr>
        <w:pStyle w:val="Prrafodelista"/>
        <w:numPr>
          <w:ilvl w:val="0"/>
          <w:numId w:val="7"/>
        </w:numPr>
        <w:spacing w:line="288" w:lineRule="auto"/>
        <w:ind w:right="51"/>
        <w:jc w:val="both"/>
        <w:rPr>
          <w:rFonts w:ascii="Arial" w:hAnsi="Arial" w:cs="Arial"/>
        </w:rPr>
      </w:pPr>
      <w:r w:rsidRPr="006A0032">
        <w:rPr>
          <w:rFonts w:ascii="Arial" w:hAnsi="Arial" w:cs="Arial"/>
        </w:rPr>
        <w:t xml:space="preserve">El </w:t>
      </w:r>
      <w:r w:rsidRPr="006A0032">
        <w:rPr>
          <w:rFonts w:ascii="Arial" w:hAnsi="Arial" w:cs="Arial"/>
          <w:i/>
        </w:rPr>
        <w:t xml:space="preserve">A quo </w:t>
      </w:r>
      <w:r w:rsidR="00237FF2" w:rsidRPr="006A0032">
        <w:rPr>
          <w:rFonts w:ascii="Arial" w:hAnsi="Arial" w:cs="Arial"/>
        </w:rPr>
        <w:t>sorprendi</w:t>
      </w:r>
      <w:r w:rsidRPr="006A0032">
        <w:rPr>
          <w:rFonts w:ascii="Arial" w:hAnsi="Arial" w:cs="Arial"/>
        </w:rPr>
        <w:t xml:space="preserve">ó a la FGN al denegar el </w:t>
      </w:r>
      <w:r w:rsidR="00237FF2" w:rsidRPr="006A0032">
        <w:rPr>
          <w:rFonts w:ascii="Arial" w:hAnsi="Arial" w:cs="Arial"/>
        </w:rPr>
        <w:t>testimonio d</w:t>
      </w:r>
      <w:r w:rsidRPr="006A0032">
        <w:rPr>
          <w:rFonts w:ascii="Arial" w:hAnsi="Arial" w:cs="Arial"/>
        </w:rPr>
        <w:t xml:space="preserve">el </w:t>
      </w:r>
      <w:r w:rsidR="00237FF2" w:rsidRPr="006A0032">
        <w:rPr>
          <w:rFonts w:ascii="Arial" w:hAnsi="Arial" w:cs="Arial"/>
        </w:rPr>
        <w:t>investigador</w:t>
      </w:r>
      <w:r w:rsidRPr="006A0032">
        <w:rPr>
          <w:rFonts w:ascii="Arial" w:hAnsi="Arial" w:cs="Arial"/>
        </w:rPr>
        <w:t xml:space="preserve"> que solicitó, </w:t>
      </w:r>
      <w:r w:rsidR="00237FF2" w:rsidRPr="006A0032">
        <w:rPr>
          <w:rFonts w:ascii="Arial" w:hAnsi="Arial" w:cs="Arial"/>
        </w:rPr>
        <w:t>desconociendo lo</w:t>
      </w:r>
      <w:r w:rsidR="00D37197" w:rsidRPr="006A0032">
        <w:rPr>
          <w:rFonts w:ascii="Arial" w:hAnsi="Arial" w:cs="Arial"/>
        </w:rPr>
        <w:t xml:space="preserve"> dispuesto en el </w:t>
      </w:r>
      <w:r w:rsidR="00237FF2" w:rsidRPr="006A0032">
        <w:rPr>
          <w:rFonts w:ascii="Arial" w:hAnsi="Arial" w:cs="Arial"/>
        </w:rPr>
        <w:t xml:space="preserve">art. 429 del CPP. </w:t>
      </w:r>
    </w:p>
    <w:p w:rsidR="00B86C96" w:rsidRPr="006A0032" w:rsidRDefault="00B86C96" w:rsidP="006A0032">
      <w:pPr>
        <w:pStyle w:val="Prrafodelista"/>
        <w:spacing w:line="288" w:lineRule="auto"/>
        <w:ind w:left="720" w:right="51"/>
        <w:jc w:val="both"/>
        <w:rPr>
          <w:rFonts w:ascii="Arial" w:hAnsi="Arial" w:cs="Arial"/>
        </w:rPr>
      </w:pPr>
    </w:p>
    <w:p w:rsidR="00B86C96" w:rsidRPr="006A0032" w:rsidRDefault="00237FF2" w:rsidP="006A0032">
      <w:pPr>
        <w:pStyle w:val="Prrafodelista"/>
        <w:numPr>
          <w:ilvl w:val="0"/>
          <w:numId w:val="7"/>
        </w:numPr>
        <w:spacing w:line="288" w:lineRule="auto"/>
        <w:ind w:right="51"/>
        <w:jc w:val="both"/>
        <w:rPr>
          <w:rFonts w:ascii="Arial" w:hAnsi="Arial" w:cs="Arial"/>
        </w:rPr>
      </w:pPr>
      <w:r w:rsidRPr="006A0032">
        <w:rPr>
          <w:rFonts w:ascii="Arial" w:hAnsi="Arial" w:cs="Arial"/>
        </w:rPr>
        <w:t xml:space="preserve">En la argumentación realizada </w:t>
      </w:r>
      <w:r w:rsidR="002D103F" w:rsidRPr="006A0032">
        <w:rPr>
          <w:rFonts w:ascii="Arial" w:hAnsi="Arial" w:cs="Arial"/>
        </w:rPr>
        <w:t>antes de la enunciación de la documentación hizo referencia a unas escrituras</w:t>
      </w:r>
      <w:r w:rsidR="007F4538" w:rsidRPr="006A0032">
        <w:rPr>
          <w:rFonts w:ascii="Arial" w:hAnsi="Arial" w:cs="Arial"/>
        </w:rPr>
        <w:t xml:space="preserve"> públicas y pruebas provenientes de la Oficina de </w:t>
      </w:r>
      <w:r w:rsidR="002D103F" w:rsidRPr="006A0032">
        <w:rPr>
          <w:rFonts w:ascii="Arial" w:hAnsi="Arial" w:cs="Arial"/>
        </w:rPr>
        <w:t>Registro</w:t>
      </w:r>
      <w:r w:rsidR="00D37197" w:rsidRPr="006A0032">
        <w:rPr>
          <w:rFonts w:ascii="Arial" w:hAnsi="Arial" w:cs="Arial"/>
        </w:rPr>
        <w:t xml:space="preserve"> de II</w:t>
      </w:r>
      <w:r w:rsidR="007F4538" w:rsidRPr="006A0032">
        <w:rPr>
          <w:rFonts w:ascii="Arial" w:hAnsi="Arial" w:cs="Arial"/>
        </w:rPr>
        <w:t xml:space="preserve"> y </w:t>
      </w:r>
      <w:r w:rsidR="00D37197" w:rsidRPr="006A0032">
        <w:rPr>
          <w:rFonts w:ascii="Arial" w:hAnsi="Arial" w:cs="Arial"/>
        </w:rPr>
        <w:t>PP</w:t>
      </w:r>
      <w:r w:rsidR="00B86C96" w:rsidRPr="006A0032">
        <w:rPr>
          <w:rFonts w:ascii="Arial" w:hAnsi="Arial" w:cs="Arial"/>
        </w:rPr>
        <w:t>, lo</w:t>
      </w:r>
      <w:r w:rsidR="007F4538" w:rsidRPr="006A0032">
        <w:rPr>
          <w:rFonts w:ascii="Arial" w:hAnsi="Arial" w:cs="Arial"/>
        </w:rPr>
        <w:t xml:space="preserve"> mismo que </w:t>
      </w:r>
      <w:r w:rsidR="00E63413" w:rsidRPr="006A0032">
        <w:rPr>
          <w:rFonts w:ascii="Arial" w:hAnsi="Arial" w:cs="Arial"/>
        </w:rPr>
        <w:t>las constancias de los ban</w:t>
      </w:r>
      <w:r w:rsidR="00B86C96" w:rsidRPr="006A0032">
        <w:rPr>
          <w:rFonts w:ascii="Arial" w:hAnsi="Arial" w:cs="Arial"/>
        </w:rPr>
        <w:t>cos que mencionó, expresando el</w:t>
      </w:r>
      <w:r w:rsidR="002D103F" w:rsidRPr="006A0032">
        <w:rPr>
          <w:rFonts w:ascii="Arial" w:hAnsi="Arial" w:cs="Arial"/>
        </w:rPr>
        <w:t xml:space="preserve"> </w:t>
      </w:r>
      <w:r w:rsidR="002D103F" w:rsidRPr="006A0032">
        <w:rPr>
          <w:rFonts w:ascii="Arial" w:hAnsi="Arial" w:cs="Arial"/>
          <w:i/>
        </w:rPr>
        <w:t>A quo</w:t>
      </w:r>
      <w:r w:rsidR="00E63413" w:rsidRPr="006A0032">
        <w:rPr>
          <w:rFonts w:ascii="Arial" w:hAnsi="Arial" w:cs="Arial"/>
        </w:rPr>
        <w:t xml:space="preserve"> </w:t>
      </w:r>
      <w:r w:rsidR="002D103F" w:rsidRPr="006A0032">
        <w:rPr>
          <w:rFonts w:ascii="Arial" w:hAnsi="Arial" w:cs="Arial"/>
        </w:rPr>
        <w:t>que no se requería un testigo de acreditación para su introducción</w:t>
      </w:r>
      <w:r w:rsidR="00E63413" w:rsidRPr="006A0032">
        <w:rPr>
          <w:rFonts w:ascii="Arial" w:hAnsi="Arial" w:cs="Arial"/>
        </w:rPr>
        <w:t xml:space="preserve">. Por ello aceptó la </w:t>
      </w:r>
      <w:r w:rsidR="002D103F" w:rsidRPr="006A0032">
        <w:rPr>
          <w:rFonts w:ascii="Arial" w:hAnsi="Arial" w:cs="Arial"/>
        </w:rPr>
        <w:t xml:space="preserve">decisión adoptada de no aceptar el </w:t>
      </w:r>
      <w:r w:rsidR="002D103F" w:rsidRPr="006A0032">
        <w:rPr>
          <w:rFonts w:ascii="Arial" w:hAnsi="Arial" w:cs="Arial"/>
        </w:rPr>
        <w:lastRenderedPageBreak/>
        <w:t xml:space="preserve">testigo, y </w:t>
      </w:r>
      <w:r w:rsidR="007F4538" w:rsidRPr="006A0032">
        <w:rPr>
          <w:rFonts w:ascii="Arial" w:hAnsi="Arial" w:cs="Arial"/>
        </w:rPr>
        <w:t xml:space="preserve">en consecuencia </w:t>
      </w:r>
      <w:r w:rsidR="002D103F" w:rsidRPr="006A0032">
        <w:rPr>
          <w:rFonts w:ascii="Arial" w:hAnsi="Arial" w:cs="Arial"/>
        </w:rPr>
        <w:t>no interpuso recurso de apelación en contra de la misma</w:t>
      </w:r>
      <w:r w:rsidR="00B86C96" w:rsidRPr="006A0032">
        <w:rPr>
          <w:rFonts w:ascii="Arial" w:hAnsi="Arial" w:cs="Arial"/>
        </w:rPr>
        <w:t>, confiando en la decisión</w:t>
      </w:r>
      <w:r w:rsidR="007F4538" w:rsidRPr="006A0032">
        <w:rPr>
          <w:rFonts w:ascii="Arial" w:hAnsi="Arial" w:cs="Arial"/>
        </w:rPr>
        <w:t xml:space="preserve"> adoptada previamente.</w:t>
      </w:r>
    </w:p>
    <w:p w:rsidR="002D103F" w:rsidRPr="006A0032" w:rsidRDefault="002D103F" w:rsidP="006A0032">
      <w:pPr>
        <w:spacing w:line="288" w:lineRule="auto"/>
        <w:ind w:right="51"/>
        <w:jc w:val="both"/>
        <w:rPr>
          <w:rFonts w:ascii="Arial" w:hAnsi="Arial" w:cs="Arial"/>
        </w:rPr>
      </w:pPr>
      <w:r w:rsidRPr="006A0032">
        <w:rPr>
          <w:rFonts w:ascii="Arial" w:hAnsi="Arial" w:cs="Arial"/>
        </w:rPr>
        <w:t xml:space="preserve"> </w:t>
      </w:r>
    </w:p>
    <w:p w:rsidR="002D103F" w:rsidRPr="006A0032" w:rsidRDefault="002D103F" w:rsidP="006A0032">
      <w:pPr>
        <w:pStyle w:val="Prrafodelista"/>
        <w:numPr>
          <w:ilvl w:val="0"/>
          <w:numId w:val="7"/>
        </w:numPr>
        <w:spacing w:line="288" w:lineRule="auto"/>
        <w:ind w:right="51"/>
        <w:jc w:val="both"/>
        <w:rPr>
          <w:rFonts w:ascii="Arial" w:hAnsi="Arial" w:cs="Arial"/>
        </w:rPr>
      </w:pPr>
      <w:r w:rsidRPr="006A0032">
        <w:rPr>
          <w:rFonts w:ascii="Arial" w:hAnsi="Arial" w:cs="Arial"/>
        </w:rPr>
        <w:t xml:space="preserve">El testimonio del investigador Morales no debía ser tomado como </w:t>
      </w:r>
      <w:r w:rsidR="00E63413" w:rsidRPr="006A0032">
        <w:rPr>
          <w:rFonts w:ascii="Arial" w:hAnsi="Arial" w:cs="Arial"/>
        </w:rPr>
        <w:t xml:space="preserve">una prueba de </w:t>
      </w:r>
      <w:r w:rsidRPr="006A0032">
        <w:rPr>
          <w:rFonts w:ascii="Arial" w:hAnsi="Arial" w:cs="Arial"/>
        </w:rPr>
        <w:t xml:space="preserve">referencia, y con base en el principio de integración se tuvieron en cuenta </w:t>
      </w:r>
      <w:r w:rsidR="007F4538" w:rsidRPr="006A0032">
        <w:rPr>
          <w:rFonts w:ascii="Arial" w:hAnsi="Arial" w:cs="Arial"/>
        </w:rPr>
        <w:t xml:space="preserve">otras normas que </w:t>
      </w:r>
      <w:r w:rsidRPr="006A0032">
        <w:rPr>
          <w:rFonts w:ascii="Arial" w:hAnsi="Arial" w:cs="Arial"/>
        </w:rPr>
        <w:t xml:space="preserve">no se relacionaban con la materia. </w:t>
      </w:r>
    </w:p>
    <w:p w:rsidR="000976A1" w:rsidRPr="006A0032" w:rsidRDefault="000976A1" w:rsidP="006A0032">
      <w:pPr>
        <w:spacing w:line="288" w:lineRule="auto"/>
        <w:ind w:right="51"/>
        <w:jc w:val="both"/>
        <w:rPr>
          <w:rFonts w:ascii="Arial" w:hAnsi="Arial" w:cs="Arial"/>
        </w:rPr>
      </w:pPr>
    </w:p>
    <w:p w:rsidR="00B86C96" w:rsidRPr="006A0032" w:rsidRDefault="006D2E37" w:rsidP="006A0032">
      <w:pPr>
        <w:pStyle w:val="Prrafodelista"/>
        <w:numPr>
          <w:ilvl w:val="0"/>
          <w:numId w:val="7"/>
        </w:numPr>
        <w:spacing w:line="288" w:lineRule="auto"/>
        <w:ind w:right="51"/>
        <w:jc w:val="both"/>
        <w:rPr>
          <w:rFonts w:ascii="Arial" w:hAnsi="Arial" w:cs="Arial"/>
        </w:rPr>
      </w:pPr>
      <w:r w:rsidRPr="006A0032">
        <w:rPr>
          <w:rFonts w:ascii="Arial" w:hAnsi="Arial" w:cs="Arial"/>
        </w:rPr>
        <w:t>El propósito del juicio es buscar la verdad a través de los EMP que se quie</w:t>
      </w:r>
      <w:r w:rsidR="007F4538" w:rsidRPr="006A0032">
        <w:rPr>
          <w:rFonts w:ascii="Arial" w:hAnsi="Arial" w:cs="Arial"/>
        </w:rPr>
        <w:t>ren h</w:t>
      </w:r>
      <w:r w:rsidRPr="006A0032">
        <w:rPr>
          <w:rFonts w:ascii="Arial" w:hAnsi="Arial" w:cs="Arial"/>
        </w:rPr>
        <w:t xml:space="preserve">acer valer en el juicio. </w:t>
      </w:r>
    </w:p>
    <w:p w:rsidR="00B86C96" w:rsidRPr="006A0032" w:rsidRDefault="00B86C96" w:rsidP="006A0032">
      <w:pPr>
        <w:pStyle w:val="Prrafodelista"/>
        <w:spacing w:line="288" w:lineRule="auto"/>
        <w:ind w:left="720" w:right="51"/>
        <w:jc w:val="both"/>
        <w:rPr>
          <w:rFonts w:ascii="Arial" w:hAnsi="Arial" w:cs="Arial"/>
        </w:rPr>
      </w:pPr>
    </w:p>
    <w:p w:rsidR="00CC69CD" w:rsidRPr="006A0032" w:rsidRDefault="00B86C96" w:rsidP="006A0032">
      <w:pPr>
        <w:pStyle w:val="Prrafodelista"/>
        <w:numPr>
          <w:ilvl w:val="0"/>
          <w:numId w:val="7"/>
        </w:numPr>
        <w:spacing w:line="288" w:lineRule="auto"/>
        <w:ind w:right="51"/>
        <w:jc w:val="both"/>
        <w:rPr>
          <w:rFonts w:ascii="Arial" w:hAnsi="Arial" w:cs="Arial"/>
        </w:rPr>
      </w:pPr>
      <w:r w:rsidRPr="006A0032">
        <w:rPr>
          <w:rFonts w:ascii="Arial" w:hAnsi="Arial" w:cs="Arial"/>
        </w:rPr>
        <w:t>El</w:t>
      </w:r>
      <w:r w:rsidR="006D2E37" w:rsidRPr="006A0032">
        <w:rPr>
          <w:rFonts w:ascii="Arial" w:hAnsi="Arial" w:cs="Arial"/>
        </w:rPr>
        <w:t xml:space="preserve"> juez de conocimiento est</w:t>
      </w:r>
      <w:r w:rsidR="00E63413" w:rsidRPr="006A0032">
        <w:rPr>
          <w:rFonts w:ascii="Arial" w:hAnsi="Arial" w:cs="Arial"/>
        </w:rPr>
        <w:t xml:space="preserve">aba </w:t>
      </w:r>
      <w:r w:rsidR="006D2E37" w:rsidRPr="006A0032">
        <w:rPr>
          <w:rFonts w:ascii="Arial" w:hAnsi="Arial" w:cs="Arial"/>
        </w:rPr>
        <w:t xml:space="preserve">lesionando el derecho de la acusada para acreditar su inocencia, y el derecho de las víctimas a probar </w:t>
      </w:r>
      <w:r w:rsidRPr="006A0032">
        <w:rPr>
          <w:rFonts w:ascii="Arial" w:hAnsi="Arial" w:cs="Arial"/>
        </w:rPr>
        <w:t>las</w:t>
      </w:r>
      <w:r w:rsidR="006D2E37" w:rsidRPr="006A0032">
        <w:rPr>
          <w:rFonts w:ascii="Arial" w:hAnsi="Arial" w:cs="Arial"/>
        </w:rPr>
        <w:t xml:space="preserve"> circunstancias</w:t>
      </w:r>
      <w:r w:rsidR="007F4538" w:rsidRPr="006A0032">
        <w:rPr>
          <w:rFonts w:ascii="Arial" w:hAnsi="Arial" w:cs="Arial"/>
        </w:rPr>
        <w:t xml:space="preserve"> relacionadas con el caso.</w:t>
      </w:r>
      <w:r w:rsidR="006D2E37" w:rsidRPr="006A0032">
        <w:rPr>
          <w:rFonts w:ascii="Arial" w:hAnsi="Arial" w:cs="Arial"/>
        </w:rPr>
        <w:t xml:space="preserve"> </w:t>
      </w:r>
    </w:p>
    <w:p w:rsidR="00B86C96" w:rsidRPr="006A0032" w:rsidRDefault="00B86C96" w:rsidP="006A0032">
      <w:pPr>
        <w:spacing w:line="288" w:lineRule="auto"/>
        <w:ind w:right="51"/>
        <w:jc w:val="both"/>
        <w:rPr>
          <w:rFonts w:ascii="Arial" w:hAnsi="Arial" w:cs="Arial"/>
        </w:rPr>
      </w:pPr>
    </w:p>
    <w:p w:rsidR="00CC69CD" w:rsidRPr="006A0032" w:rsidRDefault="00E63413" w:rsidP="006A0032">
      <w:pPr>
        <w:pStyle w:val="Prrafodelista"/>
        <w:numPr>
          <w:ilvl w:val="0"/>
          <w:numId w:val="7"/>
        </w:numPr>
        <w:spacing w:line="288" w:lineRule="auto"/>
        <w:ind w:right="51"/>
        <w:jc w:val="both"/>
        <w:rPr>
          <w:rFonts w:ascii="Arial" w:hAnsi="Arial" w:cs="Arial"/>
        </w:rPr>
      </w:pPr>
      <w:r w:rsidRPr="006A0032">
        <w:rPr>
          <w:rFonts w:ascii="Arial" w:hAnsi="Arial" w:cs="Arial"/>
        </w:rPr>
        <w:t xml:space="preserve">De no reconsiderarse la </w:t>
      </w:r>
      <w:r w:rsidR="00CC69CD" w:rsidRPr="006A0032">
        <w:rPr>
          <w:rFonts w:ascii="Arial" w:hAnsi="Arial" w:cs="Arial"/>
        </w:rPr>
        <w:t xml:space="preserve">decisión adoptada, </w:t>
      </w:r>
      <w:r w:rsidR="007F4538" w:rsidRPr="006A0032">
        <w:rPr>
          <w:rFonts w:ascii="Arial" w:hAnsi="Arial" w:cs="Arial"/>
        </w:rPr>
        <w:t xml:space="preserve">pidió que su </w:t>
      </w:r>
      <w:r w:rsidR="00CC69CD" w:rsidRPr="006A0032">
        <w:rPr>
          <w:rFonts w:ascii="Arial" w:hAnsi="Arial" w:cs="Arial"/>
        </w:rPr>
        <w:t>argumentaci</w:t>
      </w:r>
      <w:r w:rsidR="007F4538" w:rsidRPr="006A0032">
        <w:rPr>
          <w:rFonts w:ascii="Arial" w:hAnsi="Arial" w:cs="Arial"/>
        </w:rPr>
        <w:t xml:space="preserve">ón se tuviera en cuenta para </w:t>
      </w:r>
      <w:r w:rsidR="00CC69CD" w:rsidRPr="006A0032">
        <w:rPr>
          <w:rFonts w:ascii="Arial" w:hAnsi="Arial" w:cs="Arial"/>
        </w:rPr>
        <w:t xml:space="preserve">desatar el recurso de apelación. </w:t>
      </w:r>
    </w:p>
    <w:p w:rsidR="00CC69CD" w:rsidRPr="006A0032" w:rsidRDefault="00CC69CD" w:rsidP="006A0032">
      <w:pPr>
        <w:spacing w:line="288" w:lineRule="auto"/>
        <w:ind w:right="51"/>
        <w:jc w:val="both"/>
        <w:rPr>
          <w:rFonts w:ascii="Arial" w:hAnsi="Arial" w:cs="Arial"/>
        </w:rPr>
      </w:pPr>
    </w:p>
    <w:p w:rsidR="00CC69CD" w:rsidRPr="006A0032" w:rsidRDefault="00A720E6" w:rsidP="006A0032">
      <w:pPr>
        <w:spacing w:line="288" w:lineRule="auto"/>
        <w:ind w:right="51"/>
        <w:jc w:val="both"/>
        <w:rPr>
          <w:rFonts w:ascii="Arial" w:hAnsi="Arial" w:cs="Arial"/>
          <w:u w:val="single"/>
        </w:rPr>
      </w:pPr>
      <w:r w:rsidRPr="006A0032">
        <w:rPr>
          <w:rFonts w:ascii="Arial" w:hAnsi="Arial" w:cs="Arial"/>
          <w:u w:val="single"/>
        </w:rPr>
        <w:t>5</w:t>
      </w:r>
      <w:r w:rsidR="00CC69CD" w:rsidRPr="006A0032">
        <w:rPr>
          <w:rFonts w:ascii="Arial" w:hAnsi="Arial" w:cs="Arial"/>
          <w:u w:val="single"/>
        </w:rPr>
        <w:t>.2 Apoderado de la víctima (No recurrente)</w:t>
      </w:r>
    </w:p>
    <w:p w:rsidR="00CC69CD" w:rsidRPr="006A0032" w:rsidRDefault="00CC69CD" w:rsidP="006A0032">
      <w:pPr>
        <w:spacing w:line="288" w:lineRule="auto"/>
        <w:ind w:right="51"/>
        <w:jc w:val="both"/>
        <w:rPr>
          <w:rFonts w:ascii="Arial" w:hAnsi="Arial" w:cs="Arial"/>
        </w:rPr>
      </w:pPr>
    </w:p>
    <w:p w:rsidR="004E5056" w:rsidRPr="006A0032" w:rsidRDefault="00CC69CD" w:rsidP="006A0032">
      <w:pPr>
        <w:pStyle w:val="Prrafodelista"/>
        <w:numPr>
          <w:ilvl w:val="0"/>
          <w:numId w:val="8"/>
        </w:numPr>
        <w:spacing w:line="288" w:lineRule="auto"/>
        <w:ind w:right="51"/>
        <w:jc w:val="both"/>
        <w:rPr>
          <w:rFonts w:ascii="Arial" w:hAnsi="Arial" w:cs="Arial"/>
        </w:rPr>
      </w:pPr>
      <w:r w:rsidRPr="006A0032">
        <w:rPr>
          <w:rFonts w:ascii="Arial" w:hAnsi="Arial" w:cs="Arial"/>
        </w:rPr>
        <w:t xml:space="preserve">Dentro de la presente causa el juicio oral ha sido accidentado y </w:t>
      </w:r>
      <w:r w:rsidR="00E63413" w:rsidRPr="006A0032">
        <w:rPr>
          <w:rFonts w:ascii="Arial" w:hAnsi="Arial" w:cs="Arial"/>
        </w:rPr>
        <w:t xml:space="preserve">se ha </w:t>
      </w:r>
      <w:r w:rsidRPr="006A0032">
        <w:rPr>
          <w:rFonts w:ascii="Arial" w:hAnsi="Arial" w:cs="Arial"/>
        </w:rPr>
        <w:t xml:space="preserve">dilatado durante más de dos años, </w:t>
      </w:r>
      <w:r w:rsidR="004E5056" w:rsidRPr="006A0032">
        <w:rPr>
          <w:rFonts w:ascii="Arial" w:hAnsi="Arial" w:cs="Arial"/>
        </w:rPr>
        <w:t>y ante la circunstancia excepcional que se presentó en el sentido de que no pudo ser ubicado el testigo de acreditación de la FGN, ya que este adquirió su estatus de pensionado</w:t>
      </w:r>
      <w:r w:rsidR="009E7662" w:rsidRPr="006A0032">
        <w:rPr>
          <w:rFonts w:ascii="Arial" w:hAnsi="Arial" w:cs="Arial"/>
        </w:rPr>
        <w:t xml:space="preserve"> en ese interregno</w:t>
      </w:r>
      <w:r w:rsidR="003718A3" w:rsidRPr="006A0032">
        <w:rPr>
          <w:rFonts w:ascii="Arial" w:hAnsi="Arial" w:cs="Arial"/>
        </w:rPr>
        <w:t>,</w:t>
      </w:r>
      <w:r w:rsidR="004E5056" w:rsidRPr="006A0032">
        <w:rPr>
          <w:rFonts w:ascii="Arial" w:hAnsi="Arial" w:cs="Arial"/>
        </w:rPr>
        <w:t xml:space="preserve"> le </w:t>
      </w:r>
      <w:r w:rsidR="009E7662" w:rsidRPr="006A0032">
        <w:rPr>
          <w:rFonts w:ascii="Arial" w:hAnsi="Arial" w:cs="Arial"/>
        </w:rPr>
        <w:t>resultaba</w:t>
      </w:r>
      <w:r w:rsidR="004E5056" w:rsidRPr="006A0032">
        <w:rPr>
          <w:rFonts w:ascii="Arial" w:hAnsi="Arial" w:cs="Arial"/>
        </w:rPr>
        <w:t xml:space="preserve"> imposible al ente investigador presentar al señor Ramón Elías Morales para que </w:t>
      </w:r>
      <w:r w:rsidR="00E63413" w:rsidRPr="006A0032">
        <w:rPr>
          <w:rFonts w:ascii="Arial" w:hAnsi="Arial" w:cs="Arial"/>
        </w:rPr>
        <w:t>rindie</w:t>
      </w:r>
      <w:r w:rsidR="009E7662" w:rsidRPr="006A0032">
        <w:rPr>
          <w:rFonts w:ascii="Arial" w:hAnsi="Arial" w:cs="Arial"/>
        </w:rPr>
        <w:t>ra su testimonio, ya que ese exfuncionario no ha</w:t>
      </w:r>
      <w:r w:rsidR="00E63413" w:rsidRPr="006A0032">
        <w:rPr>
          <w:rFonts w:ascii="Arial" w:hAnsi="Arial" w:cs="Arial"/>
        </w:rPr>
        <w:t xml:space="preserve"> </w:t>
      </w:r>
      <w:r w:rsidR="004E5056" w:rsidRPr="006A0032">
        <w:rPr>
          <w:rFonts w:ascii="Arial" w:hAnsi="Arial" w:cs="Arial"/>
        </w:rPr>
        <w:t xml:space="preserve">acudido </w:t>
      </w:r>
      <w:r w:rsidR="009E7662" w:rsidRPr="006A0032">
        <w:rPr>
          <w:rFonts w:ascii="Arial" w:hAnsi="Arial" w:cs="Arial"/>
        </w:rPr>
        <w:t>pese a los</w:t>
      </w:r>
      <w:r w:rsidR="004E5056" w:rsidRPr="006A0032">
        <w:rPr>
          <w:rFonts w:ascii="Arial" w:hAnsi="Arial" w:cs="Arial"/>
        </w:rPr>
        <w:t xml:space="preserve"> múltiples </w:t>
      </w:r>
      <w:r w:rsidR="00E63413" w:rsidRPr="006A0032">
        <w:rPr>
          <w:rFonts w:ascii="Arial" w:hAnsi="Arial" w:cs="Arial"/>
        </w:rPr>
        <w:t xml:space="preserve">requerimientos efectuados por el </w:t>
      </w:r>
      <w:r w:rsidR="004E5056" w:rsidRPr="006A0032">
        <w:rPr>
          <w:rFonts w:ascii="Arial" w:hAnsi="Arial" w:cs="Arial"/>
        </w:rPr>
        <w:t xml:space="preserve">ente acusador. </w:t>
      </w:r>
    </w:p>
    <w:p w:rsidR="002C0E8F" w:rsidRPr="006A0032" w:rsidRDefault="002C0E8F" w:rsidP="006A0032">
      <w:pPr>
        <w:pStyle w:val="Prrafodelista"/>
        <w:spacing w:line="288" w:lineRule="auto"/>
        <w:ind w:left="720" w:right="51"/>
        <w:jc w:val="both"/>
        <w:rPr>
          <w:rFonts w:ascii="Arial" w:hAnsi="Arial" w:cs="Arial"/>
        </w:rPr>
      </w:pPr>
    </w:p>
    <w:p w:rsidR="00CC69CD" w:rsidRPr="006A0032" w:rsidRDefault="004E5056" w:rsidP="006A0032">
      <w:pPr>
        <w:pStyle w:val="Prrafodelista"/>
        <w:numPr>
          <w:ilvl w:val="0"/>
          <w:numId w:val="8"/>
        </w:numPr>
        <w:spacing w:line="288" w:lineRule="auto"/>
        <w:ind w:right="51"/>
        <w:jc w:val="both"/>
        <w:rPr>
          <w:rFonts w:ascii="Arial" w:hAnsi="Arial" w:cs="Arial"/>
        </w:rPr>
      </w:pPr>
      <w:r w:rsidRPr="006A0032">
        <w:rPr>
          <w:rFonts w:ascii="Arial" w:hAnsi="Arial" w:cs="Arial"/>
        </w:rPr>
        <w:t xml:space="preserve">Con el fin de continuar el trámite del proceso, la FGN quiso introducir una documentación a través de otro de los investigadores que </w:t>
      </w:r>
      <w:r w:rsidR="009E7662" w:rsidRPr="006A0032">
        <w:rPr>
          <w:rFonts w:ascii="Arial" w:hAnsi="Arial" w:cs="Arial"/>
        </w:rPr>
        <w:t>colaboró</w:t>
      </w:r>
      <w:r w:rsidR="003718A3" w:rsidRPr="006A0032">
        <w:rPr>
          <w:rFonts w:ascii="Arial" w:hAnsi="Arial" w:cs="Arial"/>
        </w:rPr>
        <w:t xml:space="preserve"> en la indagación, cuyo testimonio no fue solicitado en la audiencia preparatoria.</w:t>
      </w:r>
    </w:p>
    <w:p w:rsidR="002C0E8F" w:rsidRPr="006A0032" w:rsidRDefault="002C0E8F" w:rsidP="006A0032">
      <w:pPr>
        <w:spacing w:line="288" w:lineRule="auto"/>
        <w:ind w:right="51"/>
        <w:jc w:val="both"/>
        <w:rPr>
          <w:rFonts w:ascii="Arial" w:hAnsi="Arial" w:cs="Arial"/>
        </w:rPr>
      </w:pPr>
    </w:p>
    <w:p w:rsidR="002C0E8F" w:rsidRPr="006A0032" w:rsidRDefault="004E5056" w:rsidP="006A0032">
      <w:pPr>
        <w:pStyle w:val="Prrafodelista"/>
        <w:numPr>
          <w:ilvl w:val="0"/>
          <w:numId w:val="8"/>
        </w:numPr>
        <w:spacing w:line="288" w:lineRule="auto"/>
        <w:ind w:right="51"/>
        <w:jc w:val="both"/>
        <w:rPr>
          <w:rFonts w:ascii="Arial" w:hAnsi="Arial" w:cs="Arial"/>
        </w:rPr>
      </w:pPr>
      <w:r w:rsidRPr="006A0032">
        <w:rPr>
          <w:rFonts w:ascii="Arial" w:hAnsi="Arial" w:cs="Arial"/>
        </w:rPr>
        <w:t>El investigado</w:t>
      </w:r>
      <w:r w:rsidR="003718A3" w:rsidRPr="006A0032">
        <w:rPr>
          <w:rFonts w:ascii="Arial" w:hAnsi="Arial" w:cs="Arial"/>
        </w:rPr>
        <w:t>r</w:t>
      </w:r>
      <w:r w:rsidRPr="006A0032">
        <w:rPr>
          <w:rFonts w:ascii="Arial" w:hAnsi="Arial" w:cs="Arial"/>
        </w:rPr>
        <w:t xml:space="preserve"> inicial </w:t>
      </w:r>
      <w:r w:rsidR="003718A3" w:rsidRPr="006A0032">
        <w:rPr>
          <w:rFonts w:ascii="Arial" w:hAnsi="Arial" w:cs="Arial"/>
        </w:rPr>
        <w:t xml:space="preserve">que fue el señor Morales, no </w:t>
      </w:r>
      <w:r w:rsidR="009E7662" w:rsidRPr="006A0032">
        <w:rPr>
          <w:rFonts w:ascii="Arial" w:hAnsi="Arial" w:cs="Arial"/>
        </w:rPr>
        <w:t xml:space="preserve">posee actualmente esa calidad, ya que se </w:t>
      </w:r>
      <w:r w:rsidRPr="006A0032">
        <w:rPr>
          <w:rFonts w:ascii="Arial" w:hAnsi="Arial" w:cs="Arial"/>
        </w:rPr>
        <w:t xml:space="preserve">encuentra pensionado, situación que </w:t>
      </w:r>
      <w:r w:rsidR="009E7662" w:rsidRPr="006A0032">
        <w:rPr>
          <w:rFonts w:ascii="Arial" w:hAnsi="Arial" w:cs="Arial"/>
        </w:rPr>
        <w:t>afecta</w:t>
      </w:r>
      <w:r w:rsidR="003718A3" w:rsidRPr="006A0032">
        <w:rPr>
          <w:rFonts w:ascii="Arial" w:hAnsi="Arial" w:cs="Arial"/>
        </w:rPr>
        <w:t xml:space="preserve"> a las </w:t>
      </w:r>
      <w:r w:rsidRPr="006A0032">
        <w:rPr>
          <w:rFonts w:ascii="Arial" w:hAnsi="Arial" w:cs="Arial"/>
        </w:rPr>
        <w:t>víctimas, quienes se quedarían sin saber la verdad de lo acontecido</w:t>
      </w:r>
      <w:r w:rsidR="003718A3" w:rsidRPr="006A0032">
        <w:rPr>
          <w:rFonts w:ascii="Arial" w:hAnsi="Arial" w:cs="Arial"/>
        </w:rPr>
        <w:t>, por las sucesivas dilaciones que se han presentado en el juico que en buena parte son atribuibles a la defensa.</w:t>
      </w:r>
    </w:p>
    <w:p w:rsidR="002C0E8F" w:rsidRPr="006A0032" w:rsidRDefault="002C0E8F" w:rsidP="006A0032">
      <w:pPr>
        <w:pStyle w:val="Prrafodelista"/>
        <w:spacing w:line="288" w:lineRule="auto"/>
        <w:rPr>
          <w:rFonts w:ascii="Arial" w:hAnsi="Arial" w:cs="Arial"/>
        </w:rPr>
      </w:pPr>
    </w:p>
    <w:p w:rsidR="004E5056" w:rsidRPr="006A0032" w:rsidRDefault="006E1D79" w:rsidP="006A0032">
      <w:pPr>
        <w:pStyle w:val="Prrafodelista"/>
        <w:numPr>
          <w:ilvl w:val="0"/>
          <w:numId w:val="8"/>
        </w:numPr>
        <w:spacing w:line="288" w:lineRule="auto"/>
        <w:ind w:right="51"/>
        <w:jc w:val="both"/>
        <w:rPr>
          <w:rFonts w:ascii="Arial" w:hAnsi="Arial" w:cs="Arial"/>
        </w:rPr>
      </w:pPr>
      <w:r w:rsidRPr="006A0032">
        <w:rPr>
          <w:rFonts w:ascii="Arial" w:hAnsi="Arial" w:cs="Arial"/>
        </w:rPr>
        <w:t>Solicitó que se reponga la decisión y que de no ser así</w:t>
      </w:r>
      <w:r w:rsidR="003718A3" w:rsidRPr="006A0032">
        <w:rPr>
          <w:rFonts w:ascii="Arial" w:hAnsi="Arial" w:cs="Arial"/>
        </w:rPr>
        <w:t xml:space="preserve">, en segunda instancia se </w:t>
      </w:r>
      <w:r w:rsidRPr="006A0032">
        <w:rPr>
          <w:rFonts w:ascii="Arial" w:hAnsi="Arial" w:cs="Arial"/>
        </w:rPr>
        <w:t xml:space="preserve">revoque </w:t>
      </w:r>
      <w:r w:rsidR="00BB6721" w:rsidRPr="006A0032">
        <w:rPr>
          <w:rFonts w:ascii="Arial" w:hAnsi="Arial" w:cs="Arial"/>
        </w:rPr>
        <w:t xml:space="preserve">la decisión </w:t>
      </w:r>
      <w:r w:rsidR="003718A3" w:rsidRPr="006A0032">
        <w:rPr>
          <w:rFonts w:ascii="Arial" w:hAnsi="Arial" w:cs="Arial"/>
        </w:rPr>
        <w:t>protestada.</w:t>
      </w:r>
    </w:p>
    <w:p w:rsidR="004E5056" w:rsidRPr="006A0032" w:rsidRDefault="004E5056" w:rsidP="006A0032">
      <w:pPr>
        <w:spacing w:line="288" w:lineRule="auto"/>
        <w:ind w:right="51"/>
        <w:jc w:val="both"/>
        <w:rPr>
          <w:rFonts w:ascii="Arial" w:hAnsi="Arial" w:cs="Arial"/>
          <w:u w:val="single"/>
        </w:rPr>
      </w:pPr>
    </w:p>
    <w:p w:rsidR="004E5056" w:rsidRPr="006A0032" w:rsidRDefault="00A720E6" w:rsidP="006A0032">
      <w:pPr>
        <w:spacing w:line="288" w:lineRule="auto"/>
        <w:ind w:right="51"/>
        <w:jc w:val="both"/>
        <w:rPr>
          <w:rFonts w:ascii="Arial" w:hAnsi="Arial" w:cs="Arial"/>
          <w:u w:val="single"/>
        </w:rPr>
      </w:pPr>
      <w:r w:rsidRPr="006A0032">
        <w:rPr>
          <w:rFonts w:ascii="Arial" w:hAnsi="Arial" w:cs="Arial"/>
          <w:u w:val="single"/>
        </w:rPr>
        <w:t>5</w:t>
      </w:r>
      <w:r w:rsidR="006E1D79" w:rsidRPr="006A0032">
        <w:rPr>
          <w:rFonts w:ascii="Arial" w:hAnsi="Arial" w:cs="Arial"/>
          <w:u w:val="single"/>
        </w:rPr>
        <w:t>.3 Defens</w:t>
      </w:r>
      <w:r w:rsidR="003718A3" w:rsidRPr="006A0032">
        <w:rPr>
          <w:rFonts w:ascii="Arial" w:hAnsi="Arial" w:cs="Arial"/>
          <w:u w:val="single"/>
        </w:rPr>
        <w:t>or</w:t>
      </w:r>
      <w:r w:rsidR="006E1D79" w:rsidRPr="006A0032">
        <w:rPr>
          <w:rFonts w:ascii="Arial" w:hAnsi="Arial" w:cs="Arial"/>
          <w:u w:val="single"/>
        </w:rPr>
        <w:t xml:space="preserve"> (No recurrente)</w:t>
      </w:r>
    </w:p>
    <w:p w:rsidR="006E1D79" w:rsidRPr="006A0032" w:rsidRDefault="006E1D79" w:rsidP="006A0032">
      <w:pPr>
        <w:spacing w:line="288" w:lineRule="auto"/>
        <w:ind w:right="51"/>
        <w:jc w:val="both"/>
        <w:rPr>
          <w:rFonts w:ascii="Arial" w:hAnsi="Arial" w:cs="Arial"/>
        </w:rPr>
      </w:pPr>
    </w:p>
    <w:p w:rsidR="006E1D79" w:rsidRPr="006A0032" w:rsidRDefault="006E1D79" w:rsidP="006A0032">
      <w:pPr>
        <w:pStyle w:val="Prrafodelista"/>
        <w:numPr>
          <w:ilvl w:val="0"/>
          <w:numId w:val="9"/>
        </w:numPr>
        <w:spacing w:line="288" w:lineRule="auto"/>
        <w:ind w:right="51"/>
        <w:jc w:val="both"/>
        <w:rPr>
          <w:rFonts w:ascii="Arial" w:hAnsi="Arial" w:cs="Arial"/>
        </w:rPr>
      </w:pPr>
      <w:r w:rsidRPr="006A0032">
        <w:rPr>
          <w:rFonts w:ascii="Arial" w:hAnsi="Arial" w:cs="Arial"/>
        </w:rPr>
        <w:t>Solicitó no reponer la decisión ya que los documentos allegados por la FGN son privados y algunos de ellos no son auténticos,</w:t>
      </w:r>
      <w:r w:rsidR="00BB6721" w:rsidRPr="006A0032">
        <w:rPr>
          <w:rFonts w:ascii="Arial" w:hAnsi="Arial" w:cs="Arial"/>
        </w:rPr>
        <w:t xml:space="preserve"> </w:t>
      </w:r>
      <w:r w:rsidR="00AC329A" w:rsidRPr="006A0032">
        <w:rPr>
          <w:rFonts w:ascii="Arial" w:hAnsi="Arial" w:cs="Arial"/>
        </w:rPr>
        <w:t xml:space="preserve">y no </w:t>
      </w:r>
      <w:r w:rsidR="00BB6721" w:rsidRPr="006A0032">
        <w:rPr>
          <w:rFonts w:ascii="Arial" w:hAnsi="Arial" w:cs="Arial"/>
        </w:rPr>
        <w:t xml:space="preserve">tienen la </w:t>
      </w:r>
      <w:r w:rsidRPr="006A0032">
        <w:rPr>
          <w:rFonts w:ascii="Arial" w:hAnsi="Arial" w:cs="Arial"/>
        </w:rPr>
        <w:t xml:space="preserve">calidad de documentos públicos ya que </w:t>
      </w:r>
      <w:r w:rsidR="00BB6721" w:rsidRPr="006A0032">
        <w:rPr>
          <w:rFonts w:ascii="Arial" w:hAnsi="Arial" w:cs="Arial"/>
        </w:rPr>
        <w:t>f</w:t>
      </w:r>
      <w:r w:rsidRPr="006A0032">
        <w:rPr>
          <w:rFonts w:ascii="Arial" w:hAnsi="Arial" w:cs="Arial"/>
        </w:rPr>
        <w:t>ueron expedidos por un</w:t>
      </w:r>
      <w:r w:rsidR="00BB6721" w:rsidRPr="006A0032">
        <w:rPr>
          <w:rFonts w:ascii="Arial" w:hAnsi="Arial" w:cs="Arial"/>
        </w:rPr>
        <w:t>as entidades bancarias</w:t>
      </w:r>
      <w:r w:rsidR="003718A3" w:rsidRPr="006A0032">
        <w:rPr>
          <w:rFonts w:ascii="Arial" w:hAnsi="Arial" w:cs="Arial"/>
        </w:rPr>
        <w:t xml:space="preserve"> privadas.</w:t>
      </w:r>
    </w:p>
    <w:p w:rsidR="00BB6721" w:rsidRPr="006A0032" w:rsidRDefault="00BB6721" w:rsidP="006A0032">
      <w:pPr>
        <w:spacing w:line="288" w:lineRule="auto"/>
        <w:ind w:right="51"/>
        <w:jc w:val="center"/>
        <w:rPr>
          <w:rFonts w:ascii="Arial" w:hAnsi="Arial" w:cs="Arial"/>
          <w:u w:val="single"/>
        </w:rPr>
      </w:pPr>
    </w:p>
    <w:p w:rsidR="00BE4853" w:rsidRPr="006A0032" w:rsidRDefault="00A720E6" w:rsidP="006A0032">
      <w:pPr>
        <w:spacing w:line="288" w:lineRule="auto"/>
        <w:ind w:right="51"/>
        <w:jc w:val="center"/>
        <w:rPr>
          <w:rFonts w:ascii="Arial" w:hAnsi="Arial" w:cs="Arial"/>
          <w:u w:val="single"/>
        </w:rPr>
      </w:pPr>
      <w:r w:rsidRPr="006A0032">
        <w:rPr>
          <w:rFonts w:ascii="Arial" w:hAnsi="Arial" w:cs="Arial"/>
          <w:u w:val="single"/>
        </w:rPr>
        <w:t>6</w:t>
      </w:r>
      <w:r w:rsidR="009E7662" w:rsidRPr="006A0032">
        <w:rPr>
          <w:rFonts w:ascii="Arial" w:hAnsi="Arial" w:cs="Arial"/>
          <w:u w:val="single"/>
        </w:rPr>
        <w:t xml:space="preserve">. </w:t>
      </w:r>
      <w:r w:rsidR="00BB6721" w:rsidRPr="006A0032">
        <w:rPr>
          <w:rFonts w:ascii="Arial" w:hAnsi="Arial" w:cs="Arial"/>
          <w:u w:val="single"/>
        </w:rPr>
        <w:t xml:space="preserve">SOBRE LA </w:t>
      </w:r>
      <w:r w:rsidR="00725A36" w:rsidRPr="006A0032">
        <w:rPr>
          <w:rFonts w:ascii="Arial" w:hAnsi="Arial" w:cs="Arial"/>
          <w:u w:val="single"/>
        </w:rPr>
        <w:t>DECISIÓ</w:t>
      </w:r>
      <w:r w:rsidR="007300FC" w:rsidRPr="006A0032">
        <w:rPr>
          <w:rFonts w:ascii="Arial" w:hAnsi="Arial" w:cs="Arial"/>
          <w:u w:val="single"/>
        </w:rPr>
        <w:t>N</w:t>
      </w:r>
      <w:r w:rsidR="00725A36" w:rsidRPr="006A0032">
        <w:rPr>
          <w:rFonts w:ascii="Arial" w:hAnsi="Arial" w:cs="Arial"/>
          <w:u w:val="single"/>
        </w:rPr>
        <w:t xml:space="preserve"> </w:t>
      </w:r>
      <w:r w:rsidR="00BB6721" w:rsidRPr="006A0032">
        <w:rPr>
          <w:rFonts w:ascii="Arial" w:hAnsi="Arial" w:cs="Arial"/>
          <w:u w:val="single"/>
        </w:rPr>
        <w:t xml:space="preserve">QUE FUE OBJETO DEL </w:t>
      </w:r>
      <w:r w:rsidR="00725A36" w:rsidRPr="006A0032">
        <w:rPr>
          <w:rFonts w:ascii="Arial" w:hAnsi="Arial" w:cs="Arial"/>
          <w:u w:val="single"/>
        </w:rPr>
        <w:t>RECURSO DE APELACIÓN</w:t>
      </w:r>
    </w:p>
    <w:p w:rsidR="007300FC" w:rsidRPr="006A0032" w:rsidRDefault="007300FC" w:rsidP="006A0032">
      <w:pPr>
        <w:spacing w:line="288" w:lineRule="auto"/>
        <w:ind w:right="51"/>
        <w:jc w:val="both"/>
        <w:rPr>
          <w:rFonts w:ascii="Arial" w:hAnsi="Arial" w:cs="Arial"/>
        </w:rPr>
      </w:pPr>
    </w:p>
    <w:p w:rsidR="007300FC" w:rsidRPr="006A0032" w:rsidRDefault="007300FC" w:rsidP="006A0032">
      <w:pPr>
        <w:pStyle w:val="Prrafodelista"/>
        <w:numPr>
          <w:ilvl w:val="0"/>
          <w:numId w:val="9"/>
        </w:numPr>
        <w:spacing w:line="288" w:lineRule="auto"/>
        <w:ind w:right="51"/>
        <w:jc w:val="both"/>
        <w:rPr>
          <w:rFonts w:ascii="Arial" w:hAnsi="Arial" w:cs="Arial"/>
        </w:rPr>
      </w:pPr>
      <w:r w:rsidRPr="006A0032">
        <w:rPr>
          <w:rFonts w:ascii="Arial" w:hAnsi="Arial" w:cs="Arial"/>
        </w:rPr>
        <w:t xml:space="preserve">Ese despacho adoptó una decisión mediante la cual denegó la práctica del testimonio de un investigador diferente a quien recopiló una información, la cual quedó en firme. </w:t>
      </w:r>
    </w:p>
    <w:p w:rsidR="009E7662" w:rsidRPr="006A0032" w:rsidRDefault="009E7662" w:rsidP="006A0032">
      <w:pPr>
        <w:pStyle w:val="Prrafodelista"/>
        <w:spacing w:line="288" w:lineRule="auto"/>
        <w:ind w:left="720" w:right="51"/>
        <w:jc w:val="both"/>
        <w:rPr>
          <w:rFonts w:ascii="Arial" w:hAnsi="Arial" w:cs="Arial"/>
        </w:rPr>
      </w:pPr>
    </w:p>
    <w:p w:rsidR="007300FC" w:rsidRPr="006A0032" w:rsidRDefault="007300FC" w:rsidP="006A0032">
      <w:pPr>
        <w:pStyle w:val="Prrafodelista"/>
        <w:numPr>
          <w:ilvl w:val="0"/>
          <w:numId w:val="9"/>
        </w:numPr>
        <w:spacing w:line="288" w:lineRule="auto"/>
        <w:ind w:right="51"/>
        <w:jc w:val="both"/>
        <w:rPr>
          <w:rFonts w:ascii="Arial" w:hAnsi="Arial" w:cs="Arial"/>
        </w:rPr>
      </w:pPr>
      <w:r w:rsidRPr="006A0032">
        <w:rPr>
          <w:rFonts w:ascii="Arial" w:hAnsi="Arial" w:cs="Arial"/>
        </w:rPr>
        <w:t xml:space="preserve">Ninguna de las partes, incluyendo al fiscal, pone en duda que los documentos </w:t>
      </w:r>
      <w:r w:rsidR="000976A1" w:rsidRPr="006A0032">
        <w:rPr>
          <w:rFonts w:ascii="Arial" w:hAnsi="Arial" w:cs="Arial"/>
        </w:rPr>
        <w:t xml:space="preserve">que provienen de las referidas entidades bancarias y </w:t>
      </w:r>
      <w:r w:rsidR="00BB6721" w:rsidRPr="006A0032">
        <w:rPr>
          <w:rFonts w:ascii="Arial" w:hAnsi="Arial" w:cs="Arial"/>
        </w:rPr>
        <w:t>que pretend</w:t>
      </w:r>
      <w:r w:rsidR="00AC329A" w:rsidRPr="006A0032">
        <w:rPr>
          <w:rFonts w:ascii="Arial" w:hAnsi="Arial" w:cs="Arial"/>
        </w:rPr>
        <w:t xml:space="preserve">e </w:t>
      </w:r>
      <w:r w:rsidR="00BB6721" w:rsidRPr="006A0032">
        <w:rPr>
          <w:rFonts w:ascii="Arial" w:hAnsi="Arial" w:cs="Arial"/>
        </w:rPr>
        <w:t xml:space="preserve">introducir tienen carácter privado y su desacuerdo se basa en el hecho de que </w:t>
      </w:r>
      <w:r w:rsidR="00BA437A" w:rsidRPr="006A0032">
        <w:rPr>
          <w:rFonts w:ascii="Arial" w:hAnsi="Arial" w:cs="Arial"/>
        </w:rPr>
        <w:t xml:space="preserve">ese despacho había </w:t>
      </w:r>
      <w:r w:rsidR="00AC329A" w:rsidRPr="006A0032">
        <w:rPr>
          <w:rFonts w:ascii="Arial" w:hAnsi="Arial" w:cs="Arial"/>
        </w:rPr>
        <w:t>a</w:t>
      </w:r>
      <w:r w:rsidR="00BA437A" w:rsidRPr="006A0032">
        <w:rPr>
          <w:rFonts w:ascii="Arial" w:hAnsi="Arial" w:cs="Arial"/>
        </w:rPr>
        <w:t xml:space="preserve">nunciado que los documentos podían ser admitidos. </w:t>
      </w:r>
    </w:p>
    <w:p w:rsidR="009E7662" w:rsidRPr="006A0032" w:rsidRDefault="009E7662" w:rsidP="006A0032">
      <w:pPr>
        <w:spacing w:line="288" w:lineRule="auto"/>
        <w:ind w:right="51"/>
        <w:jc w:val="both"/>
        <w:rPr>
          <w:rFonts w:ascii="Arial" w:hAnsi="Arial" w:cs="Arial"/>
        </w:rPr>
      </w:pPr>
    </w:p>
    <w:p w:rsidR="00BA437A" w:rsidRPr="006A0032" w:rsidRDefault="000976A1" w:rsidP="006A0032">
      <w:pPr>
        <w:pStyle w:val="Prrafodelista"/>
        <w:numPr>
          <w:ilvl w:val="0"/>
          <w:numId w:val="9"/>
        </w:numPr>
        <w:spacing w:line="288" w:lineRule="auto"/>
        <w:ind w:right="51"/>
        <w:jc w:val="both"/>
        <w:rPr>
          <w:rFonts w:ascii="Arial" w:hAnsi="Arial" w:cs="Arial"/>
        </w:rPr>
      </w:pPr>
      <w:r w:rsidRPr="006A0032">
        <w:rPr>
          <w:rFonts w:ascii="Arial" w:hAnsi="Arial" w:cs="Arial"/>
        </w:rPr>
        <w:t>Hizo referencia al concepto de documento público</w:t>
      </w:r>
      <w:r w:rsidR="00BA437A" w:rsidRPr="006A0032">
        <w:rPr>
          <w:rFonts w:ascii="Arial" w:hAnsi="Arial" w:cs="Arial"/>
        </w:rPr>
        <w:t xml:space="preserve"> y </w:t>
      </w:r>
      <w:r w:rsidR="00BB6721" w:rsidRPr="006A0032">
        <w:rPr>
          <w:rFonts w:ascii="Arial" w:hAnsi="Arial" w:cs="Arial"/>
        </w:rPr>
        <w:t xml:space="preserve">la jurisprudencia de la SP de la CSJ sobre el tema, donde se ha expuesto que esa clase de documentos no requieren de un </w:t>
      </w:r>
      <w:r w:rsidR="00BA437A" w:rsidRPr="006A0032">
        <w:rPr>
          <w:rFonts w:ascii="Arial" w:hAnsi="Arial" w:cs="Arial"/>
        </w:rPr>
        <w:t>testigo de acreditación para su aducción al juicio oral</w:t>
      </w:r>
      <w:r w:rsidR="00BB6721" w:rsidRPr="006A0032">
        <w:rPr>
          <w:rFonts w:ascii="Arial" w:hAnsi="Arial" w:cs="Arial"/>
        </w:rPr>
        <w:t xml:space="preserve">, </w:t>
      </w:r>
      <w:r w:rsidR="00D5763C" w:rsidRPr="006A0032">
        <w:rPr>
          <w:rFonts w:ascii="Arial" w:hAnsi="Arial" w:cs="Arial"/>
        </w:rPr>
        <w:t xml:space="preserve">por tener una </w:t>
      </w:r>
      <w:r w:rsidR="00BB6721" w:rsidRPr="006A0032">
        <w:rPr>
          <w:rFonts w:ascii="Arial" w:hAnsi="Arial" w:cs="Arial"/>
        </w:rPr>
        <w:t>p</w:t>
      </w:r>
      <w:r w:rsidR="00BA437A" w:rsidRPr="006A0032">
        <w:rPr>
          <w:rFonts w:ascii="Arial" w:hAnsi="Arial" w:cs="Arial"/>
        </w:rPr>
        <w:t xml:space="preserve">resunción legal </w:t>
      </w:r>
      <w:r w:rsidR="00BB6721" w:rsidRPr="006A0032">
        <w:rPr>
          <w:rFonts w:ascii="Arial" w:hAnsi="Arial" w:cs="Arial"/>
        </w:rPr>
        <w:t>de autenticidad</w:t>
      </w:r>
      <w:r w:rsidR="00D5763C" w:rsidRPr="006A0032">
        <w:rPr>
          <w:rFonts w:ascii="Arial" w:hAnsi="Arial" w:cs="Arial"/>
        </w:rPr>
        <w:t>, que en consecuencia debe ser desvirtuada por la defensa</w:t>
      </w:r>
      <w:r w:rsidR="00BA437A" w:rsidRPr="006A0032">
        <w:rPr>
          <w:rFonts w:ascii="Arial" w:hAnsi="Arial" w:cs="Arial"/>
        </w:rPr>
        <w:t xml:space="preserve">. </w:t>
      </w:r>
    </w:p>
    <w:p w:rsidR="009E7662" w:rsidRPr="006A0032" w:rsidRDefault="009E7662" w:rsidP="006A0032">
      <w:pPr>
        <w:spacing w:line="288" w:lineRule="auto"/>
        <w:ind w:right="51"/>
        <w:jc w:val="both"/>
        <w:rPr>
          <w:rFonts w:ascii="Arial" w:hAnsi="Arial" w:cs="Arial"/>
        </w:rPr>
      </w:pPr>
    </w:p>
    <w:p w:rsidR="00BA437A" w:rsidRPr="006A0032" w:rsidRDefault="00BA437A" w:rsidP="006A0032">
      <w:pPr>
        <w:pStyle w:val="Prrafodelista"/>
        <w:numPr>
          <w:ilvl w:val="0"/>
          <w:numId w:val="9"/>
        </w:numPr>
        <w:spacing w:line="288" w:lineRule="auto"/>
        <w:ind w:right="51"/>
        <w:jc w:val="both"/>
        <w:rPr>
          <w:rFonts w:ascii="Arial" w:hAnsi="Arial" w:cs="Arial"/>
        </w:rPr>
      </w:pPr>
      <w:r w:rsidRPr="006A0032">
        <w:rPr>
          <w:rFonts w:ascii="Arial" w:hAnsi="Arial" w:cs="Arial"/>
        </w:rPr>
        <w:t xml:space="preserve">Cuando adoptó la decisión referente a la recepción del testimonio del </w:t>
      </w:r>
      <w:r w:rsidR="00AC329A" w:rsidRPr="006A0032">
        <w:rPr>
          <w:rFonts w:ascii="Arial" w:hAnsi="Arial" w:cs="Arial"/>
        </w:rPr>
        <w:t xml:space="preserve">nuevo </w:t>
      </w:r>
      <w:r w:rsidRPr="006A0032">
        <w:rPr>
          <w:rFonts w:ascii="Arial" w:hAnsi="Arial" w:cs="Arial"/>
        </w:rPr>
        <w:t xml:space="preserve">investigador mediante el cual se pretendía introducir unos documentos, el delegado de la FGN anunció que </w:t>
      </w:r>
      <w:r w:rsidR="00DE7BAE" w:rsidRPr="006A0032">
        <w:rPr>
          <w:rFonts w:ascii="Arial" w:hAnsi="Arial" w:cs="Arial"/>
        </w:rPr>
        <w:t>se iba a allegar un informe, documentos de</w:t>
      </w:r>
      <w:r w:rsidR="00D5763C" w:rsidRPr="006A0032">
        <w:rPr>
          <w:rFonts w:ascii="Arial" w:hAnsi="Arial" w:cs="Arial"/>
        </w:rPr>
        <w:t xml:space="preserve"> una </w:t>
      </w:r>
      <w:r w:rsidR="00DE7BAE" w:rsidRPr="006A0032">
        <w:rPr>
          <w:rFonts w:ascii="Arial" w:hAnsi="Arial" w:cs="Arial"/>
        </w:rPr>
        <w:t>notar</w:t>
      </w:r>
      <w:r w:rsidR="00D5763C" w:rsidRPr="006A0032">
        <w:rPr>
          <w:rFonts w:ascii="Arial" w:hAnsi="Arial" w:cs="Arial"/>
        </w:rPr>
        <w:t xml:space="preserve">ía, de la Oficina de Registro de II y PP y de un </w:t>
      </w:r>
      <w:r w:rsidR="00DE7BAE" w:rsidRPr="006A0032">
        <w:rPr>
          <w:rFonts w:ascii="Arial" w:hAnsi="Arial" w:cs="Arial"/>
        </w:rPr>
        <w:t xml:space="preserve">banco, sin que especificara </w:t>
      </w:r>
      <w:r w:rsidR="00D5763C" w:rsidRPr="006A0032">
        <w:rPr>
          <w:rFonts w:ascii="Arial" w:hAnsi="Arial" w:cs="Arial"/>
        </w:rPr>
        <w:t xml:space="preserve">de </w:t>
      </w:r>
      <w:r w:rsidR="009E7662" w:rsidRPr="006A0032">
        <w:rPr>
          <w:rFonts w:ascii="Arial" w:hAnsi="Arial" w:cs="Arial"/>
        </w:rPr>
        <w:t>qué</w:t>
      </w:r>
      <w:r w:rsidR="00D5763C" w:rsidRPr="006A0032">
        <w:rPr>
          <w:rFonts w:ascii="Arial" w:hAnsi="Arial" w:cs="Arial"/>
        </w:rPr>
        <w:t xml:space="preserve"> tipo de entidad bancaria provenían esos documentos</w:t>
      </w:r>
      <w:r w:rsidR="00DE7BAE" w:rsidRPr="006A0032">
        <w:rPr>
          <w:rFonts w:ascii="Arial" w:hAnsi="Arial" w:cs="Arial"/>
        </w:rPr>
        <w:t xml:space="preserve">. </w:t>
      </w:r>
    </w:p>
    <w:p w:rsidR="00DE7BAE" w:rsidRPr="006A0032" w:rsidRDefault="00DE7BAE" w:rsidP="006A0032">
      <w:pPr>
        <w:pStyle w:val="Prrafodelista"/>
        <w:numPr>
          <w:ilvl w:val="0"/>
          <w:numId w:val="9"/>
        </w:numPr>
        <w:spacing w:line="288" w:lineRule="auto"/>
        <w:ind w:right="51"/>
        <w:jc w:val="both"/>
        <w:rPr>
          <w:rFonts w:ascii="Arial" w:hAnsi="Arial" w:cs="Arial"/>
        </w:rPr>
      </w:pPr>
      <w:r w:rsidRPr="006A0032">
        <w:rPr>
          <w:rFonts w:ascii="Arial" w:hAnsi="Arial" w:cs="Arial"/>
        </w:rPr>
        <w:t>Existen bancos públicos cuyas certificaciones tendrían esa</w:t>
      </w:r>
      <w:r w:rsidR="00AC329A" w:rsidRPr="006A0032">
        <w:rPr>
          <w:rFonts w:ascii="Arial" w:hAnsi="Arial" w:cs="Arial"/>
        </w:rPr>
        <w:t xml:space="preserve"> </w:t>
      </w:r>
      <w:r w:rsidRPr="006A0032">
        <w:rPr>
          <w:rFonts w:ascii="Arial" w:hAnsi="Arial" w:cs="Arial"/>
        </w:rPr>
        <w:t>presunci</w:t>
      </w:r>
      <w:r w:rsidR="00AC329A" w:rsidRPr="006A0032">
        <w:rPr>
          <w:rFonts w:ascii="Arial" w:hAnsi="Arial" w:cs="Arial"/>
        </w:rPr>
        <w:t>ón</w:t>
      </w:r>
      <w:r w:rsidRPr="006A0032">
        <w:rPr>
          <w:rFonts w:ascii="Arial" w:hAnsi="Arial" w:cs="Arial"/>
        </w:rPr>
        <w:t xml:space="preserve">, caso en el cual deberían ser aceptados los documentos. </w:t>
      </w:r>
    </w:p>
    <w:p w:rsidR="009E7662" w:rsidRPr="006A0032" w:rsidRDefault="009E7662" w:rsidP="006A0032">
      <w:pPr>
        <w:spacing w:line="288" w:lineRule="auto"/>
        <w:ind w:right="51"/>
        <w:jc w:val="both"/>
        <w:rPr>
          <w:rFonts w:ascii="Arial" w:hAnsi="Arial" w:cs="Arial"/>
        </w:rPr>
      </w:pPr>
    </w:p>
    <w:p w:rsidR="007300FC" w:rsidRPr="006A0032" w:rsidRDefault="00DE7BAE" w:rsidP="006A0032">
      <w:pPr>
        <w:pStyle w:val="Prrafodelista"/>
        <w:numPr>
          <w:ilvl w:val="0"/>
          <w:numId w:val="9"/>
        </w:numPr>
        <w:spacing w:line="288" w:lineRule="auto"/>
        <w:ind w:right="51"/>
        <w:jc w:val="both"/>
        <w:rPr>
          <w:rFonts w:ascii="Arial" w:hAnsi="Arial" w:cs="Arial"/>
        </w:rPr>
      </w:pPr>
      <w:r w:rsidRPr="006A0032">
        <w:rPr>
          <w:rFonts w:ascii="Arial" w:hAnsi="Arial" w:cs="Arial"/>
        </w:rPr>
        <w:t>Ese funcionario previamente explicó las características de un documento público</w:t>
      </w:r>
      <w:r w:rsidR="009E7662" w:rsidRPr="006A0032">
        <w:rPr>
          <w:rFonts w:ascii="Arial" w:hAnsi="Arial" w:cs="Arial"/>
        </w:rPr>
        <w:t xml:space="preserve"> certificador, pese a lo</w:t>
      </w:r>
      <w:r w:rsidRPr="006A0032">
        <w:rPr>
          <w:rFonts w:ascii="Arial" w:hAnsi="Arial" w:cs="Arial"/>
        </w:rPr>
        <w:t xml:space="preserve"> cual se le est</w:t>
      </w:r>
      <w:r w:rsidR="00AC329A" w:rsidRPr="006A0032">
        <w:rPr>
          <w:rFonts w:ascii="Arial" w:hAnsi="Arial" w:cs="Arial"/>
        </w:rPr>
        <w:t>aba</w:t>
      </w:r>
      <w:r w:rsidR="00CD0869" w:rsidRPr="006A0032">
        <w:rPr>
          <w:rFonts w:ascii="Arial" w:hAnsi="Arial" w:cs="Arial"/>
        </w:rPr>
        <w:t xml:space="preserve"> </w:t>
      </w:r>
      <w:r w:rsidRPr="006A0032">
        <w:rPr>
          <w:rFonts w:ascii="Arial" w:hAnsi="Arial" w:cs="Arial"/>
        </w:rPr>
        <w:t xml:space="preserve">trasladando esa carga probatoria al despacho. </w:t>
      </w:r>
    </w:p>
    <w:p w:rsidR="009E7662" w:rsidRPr="006A0032" w:rsidRDefault="009E7662" w:rsidP="006A0032">
      <w:pPr>
        <w:spacing w:line="288" w:lineRule="auto"/>
        <w:ind w:right="51"/>
        <w:jc w:val="both"/>
        <w:rPr>
          <w:rFonts w:ascii="Arial" w:hAnsi="Arial" w:cs="Arial"/>
        </w:rPr>
      </w:pPr>
    </w:p>
    <w:p w:rsidR="008D2F79" w:rsidRPr="006A0032" w:rsidRDefault="00DE7BAE" w:rsidP="006A0032">
      <w:pPr>
        <w:pStyle w:val="Prrafodelista"/>
        <w:numPr>
          <w:ilvl w:val="0"/>
          <w:numId w:val="9"/>
        </w:numPr>
        <w:spacing w:line="288" w:lineRule="auto"/>
        <w:ind w:right="51"/>
        <w:jc w:val="both"/>
        <w:rPr>
          <w:rFonts w:ascii="Arial" w:hAnsi="Arial" w:cs="Arial"/>
        </w:rPr>
      </w:pPr>
      <w:r w:rsidRPr="006A0032">
        <w:rPr>
          <w:rFonts w:ascii="Arial" w:hAnsi="Arial" w:cs="Arial"/>
        </w:rPr>
        <w:t>El fiscal debía saber cuáles de los documentos que pretende introducir eran públicos o privados</w:t>
      </w:r>
      <w:r w:rsidR="00D5763C" w:rsidRPr="006A0032">
        <w:rPr>
          <w:rFonts w:ascii="Arial" w:hAnsi="Arial" w:cs="Arial"/>
        </w:rPr>
        <w:t xml:space="preserve"> y los que pretende ingresar tienen carácter privad</w:t>
      </w:r>
      <w:r w:rsidR="00AC329A" w:rsidRPr="006A0032">
        <w:rPr>
          <w:rFonts w:ascii="Arial" w:hAnsi="Arial" w:cs="Arial"/>
        </w:rPr>
        <w:t>o por provenir del Banco de Co</w:t>
      </w:r>
      <w:r w:rsidR="009E7662" w:rsidRPr="006A0032">
        <w:rPr>
          <w:rFonts w:ascii="Arial" w:hAnsi="Arial" w:cs="Arial"/>
        </w:rPr>
        <w:t>lombia y del Banco Caja Social, que por lo tanto no pueden ser</w:t>
      </w:r>
      <w:r w:rsidR="008D2F79" w:rsidRPr="006A0032">
        <w:rPr>
          <w:rFonts w:ascii="Arial" w:hAnsi="Arial" w:cs="Arial"/>
        </w:rPr>
        <w:t xml:space="preserve"> aceptados </w:t>
      </w:r>
      <w:r w:rsidR="00D5763C" w:rsidRPr="006A0032">
        <w:rPr>
          <w:rFonts w:ascii="Arial" w:hAnsi="Arial" w:cs="Arial"/>
        </w:rPr>
        <w:t xml:space="preserve">como prueba para el juicio, </w:t>
      </w:r>
      <w:r w:rsidR="008D2F79" w:rsidRPr="006A0032">
        <w:rPr>
          <w:rFonts w:ascii="Arial" w:hAnsi="Arial" w:cs="Arial"/>
        </w:rPr>
        <w:t xml:space="preserve">ya que se daría por cierto su </w:t>
      </w:r>
      <w:r w:rsidR="00D5763C" w:rsidRPr="006A0032">
        <w:rPr>
          <w:rFonts w:ascii="Arial" w:hAnsi="Arial" w:cs="Arial"/>
        </w:rPr>
        <w:t xml:space="preserve">contenido </w:t>
      </w:r>
      <w:r w:rsidR="008D2F79" w:rsidRPr="006A0032">
        <w:rPr>
          <w:rFonts w:ascii="Arial" w:hAnsi="Arial" w:cs="Arial"/>
        </w:rPr>
        <w:t xml:space="preserve">sin que la contraparte </w:t>
      </w:r>
      <w:r w:rsidR="009E7662" w:rsidRPr="006A0032">
        <w:rPr>
          <w:rFonts w:ascii="Arial" w:hAnsi="Arial" w:cs="Arial"/>
        </w:rPr>
        <w:t>hubiera tenido la</w:t>
      </w:r>
      <w:r w:rsidR="008D2F79" w:rsidRPr="006A0032">
        <w:rPr>
          <w:rFonts w:ascii="Arial" w:hAnsi="Arial" w:cs="Arial"/>
        </w:rPr>
        <w:t xml:space="preserve"> posibilidad de controvertir</w:t>
      </w:r>
      <w:r w:rsidR="00D5763C" w:rsidRPr="006A0032">
        <w:rPr>
          <w:rFonts w:ascii="Arial" w:hAnsi="Arial" w:cs="Arial"/>
        </w:rPr>
        <w:t>los</w:t>
      </w:r>
      <w:r w:rsidR="00AC329A" w:rsidRPr="006A0032">
        <w:rPr>
          <w:rFonts w:ascii="Arial" w:hAnsi="Arial" w:cs="Arial"/>
        </w:rPr>
        <w:t>, po</w:t>
      </w:r>
      <w:r w:rsidR="00571483" w:rsidRPr="006A0032">
        <w:rPr>
          <w:rFonts w:ascii="Arial" w:hAnsi="Arial" w:cs="Arial"/>
        </w:rPr>
        <w:t xml:space="preserve">r lo cual queda claro que en ningún momento se indujo en error </w:t>
      </w:r>
      <w:r w:rsidR="000976A1" w:rsidRPr="006A0032">
        <w:rPr>
          <w:rFonts w:ascii="Arial" w:hAnsi="Arial" w:cs="Arial"/>
        </w:rPr>
        <w:t>a ese funcionario</w:t>
      </w:r>
      <w:r w:rsidR="00571483" w:rsidRPr="006A0032">
        <w:rPr>
          <w:rFonts w:ascii="Arial" w:hAnsi="Arial" w:cs="Arial"/>
        </w:rPr>
        <w:t xml:space="preserve">, quien no apeló la decisión de </w:t>
      </w:r>
      <w:r w:rsidR="00CD0869" w:rsidRPr="006A0032">
        <w:rPr>
          <w:rFonts w:ascii="Arial" w:hAnsi="Arial" w:cs="Arial"/>
        </w:rPr>
        <w:t xml:space="preserve">no </w:t>
      </w:r>
      <w:r w:rsidR="00571483" w:rsidRPr="006A0032">
        <w:rPr>
          <w:rFonts w:ascii="Arial" w:hAnsi="Arial" w:cs="Arial"/>
        </w:rPr>
        <w:t xml:space="preserve">admitir como testigo de acreditación al nuevo investigador, pese a que fueron obtenidos por </w:t>
      </w:r>
      <w:r w:rsidR="006246E7" w:rsidRPr="006A0032">
        <w:rPr>
          <w:rFonts w:ascii="Arial" w:hAnsi="Arial" w:cs="Arial"/>
        </w:rPr>
        <w:t>funcionarios distintos al señor Robí</w:t>
      </w:r>
      <w:r w:rsidR="00CD0869" w:rsidRPr="006A0032">
        <w:rPr>
          <w:rFonts w:ascii="Arial" w:hAnsi="Arial" w:cs="Arial"/>
        </w:rPr>
        <w:t>n Serna Sepúlveda.</w:t>
      </w:r>
    </w:p>
    <w:p w:rsidR="006246E7" w:rsidRPr="006A0032" w:rsidRDefault="006246E7" w:rsidP="006A0032">
      <w:pPr>
        <w:spacing w:line="288" w:lineRule="auto"/>
        <w:ind w:right="51"/>
        <w:jc w:val="both"/>
        <w:rPr>
          <w:rFonts w:ascii="Arial" w:hAnsi="Arial" w:cs="Arial"/>
        </w:rPr>
      </w:pPr>
    </w:p>
    <w:p w:rsidR="008D2F79" w:rsidRPr="006A0032" w:rsidRDefault="008D2F79" w:rsidP="006A0032">
      <w:pPr>
        <w:pStyle w:val="Prrafodelista"/>
        <w:numPr>
          <w:ilvl w:val="0"/>
          <w:numId w:val="9"/>
        </w:numPr>
        <w:spacing w:line="288" w:lineRule="auto"/>
        <w:ind w:right="51"/>
        <w:jc w:val="both"/>
        <w:rPr>
          <w:rFonts w:ascii="Arial" w:hAnsi="Arial" w:cs="Arial"/>
        </w:rPr>
      </w:pPr>
      <w:r w:rsidRPr="006A0032">
        <w:rPr>
          <w:rFonts w:ascii="Arial" w:hAnsi="Arial" w:cs="Arial"/>
        </w:rPr>
        <w:t>Si el delegado de la FGN no estaba de acuerdo con su determinación deb</w:t>
      </w:r>
      <w:r w:rsidR="00571483" w:rsidRPr="006A0032">
        <w:rPr>
          <w:rFonts w:ascii="Arial" w:hAnsi="Arial" w:cs="Arial"/>
        </w:rPr>
        <w:t>ió interponer el recurso de apelación contra su decisión inicial.</w:t>
      </w:r>
      <w:r w:rsidRPr="006A0032">
        <w:rPr>
          <w:rFonts w:ascii="Arial" w:hAnsi="Arial" w:cs="Arial"/>
        </w:rPr>
        <w:t xml:space="preserve"> </w:t>
      </w:r>
    </w:p>
    <w:p w:rsidR="006246E7" w:rsidRPr="006A0032" w:rsidRDefault="006246E7" w:rsidP="006A0032">
      <w:pPr>
        <w:spacing w:line="288" w:lineRule="auto"/>
        <w:ind w:right="51"/>
        <w:jc w:val="both"/>
        <w:rPr>
          <w:rFonts w:ascii="Arial" w:hAnsi="Arial" w:cs="Arial"/>
        </w:rPr>
      </w:pPr>
    </w:p>
    <w:p w:rsidR="006246E7" w:rsidRPr="006A0032" w:rsidRDefault="008D2F79" w:rsidP="006A0032">
      <w:pPr>
        <w:pStyle w:val="Prrafodelista"/>
        <w:numPr>
          <w:ilvl w:val="0"/>
          <w:numId w:val="9"/>
        </w:numPr>
        <w:spacing w:line="288" w:lineRule="auto"/>
        <w:ind w:right="51"/>
        <w:jc w:val="both"/>
        <w:rPr>
          <w:rFonts w:ascii="Arial" w:hAnsi="Arial" w:cs="Arial"/>
        </w:rPr>
      </w:pPr>
      <w:r w:rsidRPr="006A0032">
        <w:rPr>
          <w:rFonts w:ascii="Arial" w:hAnsi="Arial" w:cs="Arial"/>
        </w:rPr>
        <w:t xml:space="preserve">No se puede sorprender a la defensa con la aducción de unos documentos privados que fueron recopilados por </w:t>
      </w:r>
      <w:r w:rsidR="00571483" w:rsidRPr="006A0032">
        <w:rPr>
          <w:rFonts w:ascii="Arial" w:hAnsi="Arial" w:cs="Arial"/>
        </w:rPr>
        <w:t xml:space="preserve">el investigador </w:t>
      </w:r>
      <w:r w:rsidRPr="006A0032">
        <w:rPr>
          <w:rFonts w:ascii="Arial" w:hAnsi="Arial" w:cs="Arial"/>
        </w:rPr>
        <w:t>Ramón Elías Morales y por el doctor D</w:t>
      </w:r>
      <w:r w:rsidR="00CD0869" w:rsidRPr="006A0032">
        <w:rPr>
          <w:rFonts w:ascii="Arial" w:hAnsi="Arial" w:cs="Arial"/>
        </w:rPr>
        <w:t>í</w:t>
      </w:r>
      <w:r w:rsidRPr="006A0032">
        <w:rPr>
          <w:rFonts w:ascii="Arial" w:hAnsi="Arial" w:cs="Arial"/>
        </w:rPr>
        <w:t xml:space="preserve">dimo Ernesto Vargas Molina en su calidad de fiscal. </w:t>
      </w:r>
    </w:p>
    <w:p w:rsidR="00DE7BAE" w:rsidRPr="006A0032" w:rsidRDefault="008D2F79" w:rsidP="006A0032">
      <w:pPr>
        <w:spacing w:line="288" w:lineRule="auto"/>
        <w:ind w:right="51"/>
        <w:jc w:val="both"/>
        <w:rPr>
          <w:rFonts w:ascii="Arial" w:hAnsi="Arial" w:cs="Arial"/>
        </w:rPr>
      </w:pPr>
      <w:r w:rsidRPr="006A0032">
        <w:rPr>
          <w:rFonts w:ascii="Arial" w:hAnsi="Arial" w:cs="Arial"/>
        </w:rPr>
        <w:lastRenderedPageBreak/>
        <w:t xml:space="preserve"> </w:t>
      </w:r>
    </w:p>
    <w:p w:rsidR="006246E7" w:rsidRPr="006A0032" w:rsidRDefault="00D5763C" w:rsidP="006A0032">
      <w:pPr>
        <w:pStyle w:val="Prrafodelista"/>
        <w:numPr>
          <w:ilvl w:val="0"/>
          <w:numId w:val="9"/>
        </w:numPr>
        <w:spacing w:line="288" w:lineRule="auto"/>
        <w:ind w:right="51"/>
        <w:jc w:val="both"/>
        <w:rPr>
          <w:rFonts w:ascii="Arial" w:hAnsi="Arial" w:cs="Arial"/>
        </w:rPr>
      </w:pPr>
      <w:r w:rsidRPr="006A0032">
        <w:rPr>
          <w:rFonts w:ascii="Arial" w:hAnsi="Arial" w:cs="Arial"/>
        </w:rPr>
        <w:t>E</w:t>
      </w:r>
      <w:r w:rsidR="006246E7" w:rsidRPr="006A0032">
        <w:rPr>
          <w:rFonts w:ascii="Arial" w:hAnsi="Arial" w:cs="Arial"/>
        </w:rPr>
        <w:t>n la</w:t>
      </w:r>
      <w:r w:rsidR="008D2F79" w:rsidRPr="006A0032">
        <w:rPr>
          <w:rFonts w:ascii="Arial" w:hAnsi="Arial" w:cs="Arial"/>
        </w:rPr>
        <w:t xml:space="preserve"> jurisprudencia</w:t>
      </w:r>
      <w:r w:rsidRPr="006A0032">
        <w:rPr>
          <w:rFonts w:ascii="Arial" w:hAnsi="Arial" w:cs="Arial"/>
        </w:rPr>
        <w:t xml:space="preserve"> de la SP de la CSJ </w:t>
      </w:r>
      <w:r w:rsidR="006246E7" w:rsidRPr="006A0032">
        <w:rPr>
          <w:rFonts w:ascii="Arial" w:hAnsi="Arial" w:cs="Arial"/>
        </w:rPr>
        <w:t>solo se contempla la</w:t>
      </w:r>
      <w:r w:rsidR="008D2F79" w:rsidRPr="006A0032">
        <w:rPr>
          <w:rFonts w:ascii="Arial" w:hAnsi="Arial" w:cs="Arial"/>
        </w:rPr>
        <w:t xml:space="preserve"> posibilidad </w:t>
      </w:r>
      <w:r w:rsidR="006246E7" w:rsidRPr="006A0032">
        <w:rPr>
          <w:rFonts w:ascii="Arial" w:hAnsi="Arial" w:cs="Arial"/>
        </w:rPr>
        <w:t>de introducir de</w:t>
      </w:r>
      <w:r w:rsidR="008D2F79" w:rsidRPr="006A0032">
        <w:rPr>
          <w:rFonts w:ascii="Arial" w:hAnsi="Arial" w:cs="Arial"/>
        </w:rPr>
        <w:t xml:space="preserve"> manera </w:t>
      </w:r>
      <w:r w:rsidR="00A45218" w:rsidRPr="006A0032">
        <w:rPr>
          <w:rFonts w:ascii="Arial" w:hAnsi="Arial" w:cs="Arial"/>
        </w:rPr>
        <w:t>direc</w:t>
      </w:r>
      <w:r w:rsidR="006246E7" w:rsidRPr="006A0032">
        <w:rPr>
          <w:rFonts w:ascii="Arial" w:hAnsi="Arial" w:cs="Arial"/>
        </w:rPr>
        <w:t>ta los documentos expedidos por</w:t>
      </w:r>
      <w:r w:rsidR="008D2F79" w:rsidRPr="006A0032">
        <w:rPr>
          <w:rFonts w:ascii="Arial" w:hAnsi="Arial" w:cs="Arial"/>
        </w:rPr>
        <w:t xml:space="preserve"> autoridades públicas, y como en el presente caso los documentos que se pretenden allegar </w:t>
      </w:r>
      <w:r w:rsidR="00A45218" w:rsidRPr="006A0032">
        <w:rPr>
          <w:rFonts w:ascii="Arial" w:hAnsi="Arial" w:cs="Arial"/>
        </w:rPr>
        <w:t xml:space="preserve">provienen de </w:t>
      </w:r>
      <w:r w:rsidR="008D2F79" w:rsidRPr="006A0032">
        <w:rPr>
          <w:rFonts w:ascii="Arial" w:hAnsi="Arial" w:cs="Arial"/>
        </w:rPr>
        <w:t>entidades bancarias de carácter privado, es necesario que los mismos sean introducidos a través de un testigo de acreditación que los h</w:t>
      </w:r>
      <w:r w:rsidR="006246E7" w:rsidRPr="006A0032">
        <w:rPr>
          <w:rFonts w:ascii="Arial" w:hAnsi="Arial" w:cs="Arial"/>
        </w:rPr>
        <w:t>ubiera</w:t>
      </w:r>
      <w:r w:rsidR="008D2F79" w:rsidRPr="006A0032">
        <w:rPr>
          <w:rFonts w:ascii="Arial" w:hAnsi="Arial" w:cs="Arial"/>
        </w:rPr>
        <w:t xml:space="preserve"> elaborado o recopilado, situación que no se configura en el presente </w:t>
      </w:r>
      <w:r w:rsidR="00CD0869" w:rsidRPr="006A0032">
        <w:rPr>
          <w:rFonts w:ascii="Arial" w:hAnsi="Arial" w:cs="Arial"/>
        </w:rPr>
        <w:t>caso.</w:t>
      </w:r>
    </w:p>
    <w:p w:rsidR="008D2F79" w:rsidRPr="006A0032" w:rsidRDefault="008D2F79" w:rsidP="006A0032">
      <w:pPr>
        <w:spacing w:line="288" w:lineRule="auto"/>
        <w:ind w:right="51"/>
        <w:jc w:val="both"/>
        <w:rPr>
          <w:rFonts w:ascii="Arial" w:hAnsi="Arial" w:cs="Arial"/>
        </w:rPr>
      </w:pPr>
      <w:r w:rsidRPr="006A0032">
        <w:rPr>
          <w:rFonts w:ascii="Arial" w:hAnsi="Arial" w:cs="Arial"/>
        </w:rPr>
        <w:t xml:space="preserve"> </w:t>
      </w:r>
    </w:p>
    <w:p w:rsidR="0045771F" w:rsidRPr="006A0032" w:rsidRDefault="00464967" w:rsidP="006A0032">
      <w:pPr>
        <w:pStyle w:val="Prrafodelista"/>
        <w:numPr>
          <w:ilvl w:val="0"/>
          <w:numId w:val="9"/>
        </w:numPr>
        <w:spacing w:line="288" w:lineRule="auto"/>
        <w:ind w:right="51"/>
        <w:jc w:val="both"/>
        <w:rPr>
          <w:rFonts w:ascii="Arial" w:hAnsi="Arial" w:cs="Arial"/>
        </w:rPr>
      </w:pPr>
      <w:r w:rsidRPr="006A0032">
        <w:rPr>
          <w:rFonts w:ascii="Arial" w:hAnsi="Arial" w:cs="Arial"/>
        </w:rPr>
        <w:t xml:space="preserve">Finalmente el juez dejó constancia en el sentido de que </w:t>
      </w:r>
      <w:r w:rsidR="00CD0869" w:rsidRPr="006A0032">
        <w:rPr>
          <w:rFonts w:ascii="Arial" w:hAnsi="Arial" w:cs="Arial"/>
        </w:rPr>
        <w:t>el i</w:t>
      </w:r>
      <w:r w:rsidRPr="006A0032">
        <w:rPr>
          <w:rFonts w:ascii="Arial" w:hAnsi="Arial" w:cs="Arial"/>
        </w:rPr>
        <w:t xml:space="preserve">nvestigador </w:t>
      </w:r>
      <w:r w:rsidR="00CD0869" w:rsidRPr="006A0032">
        <w:rPr>
          <w:rFonts w:ascii="Arial" w:hAnsi="Arial" w:cs="Arial"/>
        </w:rPr>
        <w:t xml:space="preserve">Ramón Elías </w:t>
      </w:r>
      <w:r w:rsidRPr="006A0032">
        <w:rPr>
          <w:rFonts w:ascii="Arial" w:hAnsi="Arial" w:cs="Arial"/>
        </w:rPr>
        <w:t xml:space="preserve">Morales no era un testigo indisponible sino renuente y que </w:t>
      </w:r>
      <w:r w:rsidR="00571483" w:rsidRPr="006A0032">
        <w:rPr>
          <w:rFonts w:ascii="Arial" w:hAnsi="Arial" w:cs="Arial"/>
        </w:rPr>
        <w:t xml:space="preserve">el delegado de la FGN </w:t>
      </w:r>
      <w:r w:rsidRPr="006A0032">
        <w:rPr>
          <w:rFonts w:ascii="Arial" w:hAnsi="Arial" w:cs="Arial"/>
        </w:rPr>
        <w:t xml:space="preserve">no realizó la solicitud pertinente al respecto para que </w:t>
      </w:r>
      <w:r w:rsidR="00A45218" w:rsidRPr="006A0032">
        <w:rPr>
          <w:rFonts w:ascii="Arial" w:hAnsi="Arial" w:cs="Arial"/>
        </w:rPr>
        <w:t xml:space="preserve">se ordenara la </w:t>
      </w:r>
      <w:r w:rsidRPr="006A0032">
        <w:rPr>
          <w:rFonts w:ascii="Arial" w:hAnsi="Arial" w:cs="Arial"/>
        </w:rPr>
        <w:t xml:space="preserve">conducción </w:t>
      </w:r>
      <w:r w:rsidR="00F218DD" w:rsidRPr="006A0032">
        <w:rPr>
          <w:rFonts w:ascii="Arial" w:hAnsi="Arial" w:cs="Arial"/>
        </w:rPr>
        <w:t>de esa persona</w:t>
      </w:r>
      <w:r w:rsidRPr="006A0032">
        <w:rPr>
          <w:rFonts w:ascii="Arial" w:hAnsi="Arial" w:cs="Arial"/>
        </w:rPr>
        <w:t xml:space="preserve">, </w:t>
      </w:r>
      <w:r w:rsidR="006246E7" w:rsidRPr="006A0032">
        <w:rPr>
          <w:rFonts w:ascii="Arial" w:hAnsi="Arial" w:cs="Arial"/>
        </w:rPr>
        <w:t>ni</w:t>
      </w:r>
      <w:r w:rsidRPr="006A0032">
        <w:rPr>
          <w:rFonts w:ascii="Arial" w:hAnsi="Arial" w:cs="Arial"/>
        </w:rPr>
        <w:t xml:space="preserve"> tampoco planteó la posibilidad de que ese investigador tuviera la calidad de testigo de referencia o que </w:t>
      </w:r>
      <w:r w:rsidR="00571483" w:rsidRPr="006A0032">
        <w:rPr>
          <w:rFonts w:ascii="Arial" w:hAnsi="Arial" w:cs="Arial"/>
        </w:rPr>
        <w:t xml:space="preserve">el nuevo testigo </w:t>
      </w:r>
      <w:r w:rsidRPr="006A0032">
        <w:rPr>
          <w:rFonts w:ascii="Arial" w:hAnsi="Arial" w:cs="Arial"/>
        </w:rPr>
        <w:t xml:space="preserve">fuera </w:t>
      </w:r>
      <w:r w:rsidR="00571483" w:rsidRPr="006A0032">
        <w:rPr>
          <w:rFonts w:ascii="Arial" w:hAnsi="Arial" w:cs="Arial"/>
        </w:rPr>
        <w:t>admitido</w:t>
      </w:r>
      <w:r w:rsidRPr="006A0032">
        <w:rPr>
          <w:rFonts w:ascii="Arial" w:hAnsi="Arial" w:cs="Arial"/>
        </w:rPr>
        <w:t xml:space="preserve"> como prueba sobrevi</w:t>
      </w:r>
      <w:r w:rsidR="00A45218" w:rsidRPr="006A0032">
        <w:rPr>
          <w:rFonts w:ascii="Arial" w:hAnsi="Arial" w:cs="Arial"/>
        </w:rPr>
        <w:t xml:space="preserve">niente, ya que solo centró su debate en lo dispuesto por el </w:t>
      </w:r>
      <w:r w:rsidRPr="006A0032">
        <w:rPr>
          <w:rFonts w:ascii="Arial" w:hAnsi="Arial" w:cs="Arial"/>
        </w:rPr>
        <w:t xml:space="preserve"> artículo 429 del CPP. </w:t>
      </w:r>
    </w:p>
    <w:p w:rsidR="008D2F79" w:rsidRPr="006A0032" w:rsidRDefault="008D2F79" w:rsidP="006A0032">
      <w:pPr>
        <w:pStyle w:val="Prrafodelista"/>
        <w:spacing w:line="288" w:lineRule="auto"/>
        <w:ind w:left="720" w:right="51"/>
        <w:jc w:val="both"/>
        <w:rPr>
          <w:rFonts w:ascii="Arial" w:hAnsi="Arial" w:cs="Arial"/>
        </w:rPr>
      </w:pPr>
    </w:p>
    <w:p w:rsidR="00505A19" w:rsidRPr="006A0032" w:rsidRDefault="00505A19" w:rsidP="006A0032">
      <w:pPr>
        <w:pStyle w:val="Prrafodelista"/>
        <w:spacing w:line="288" w:lineRule="auto"/>
        <w:ind w:left="0" w:right="51"/>
        <w:jc w:val="center"/>
        <w:rPr>
          <w:rFonts w:ascii="Arial" w:hAnsi="Arial" w:cs="Arial"/>
        </w:rPr>
      </w:pPr>
      <w:r w:rsidRPr="006A0032">
        <w:rPr>
          <w:rFonts w:ascii="Arial" w:hAnsi="Arial" w:cs="Arial"/>
        </w:rPr>
        <w:t>7. CONSIDERACIONES LEGALES</w:t>
      </w:r>
    </w:p>
    <w:p w:rsidR="00505A19" w:rsidRPr="006A0032" w:rsidRDefault="00505A19" w:rsidP="006A0032">
      <w:pPr>
        <w:pStyle w:val="Prrafodelista"/>
        <w:spacing w:line="288" w:lineRule="auto"/>
        <w:ind w:left="0" w:right="51"/>
        <w:jc w:val="both"/>
        <w:rPr>
          <w:rFonts w:ascii="Arial" w:hAnsi="Arial" w:cs="Arial"/>
        </w:rPr>
      </w:pPr>
    </w:p>
    <w:p w:rsidR="00505A19" w:rsidRPr="006A0032" w:rsidRDefault="00505A19" w:rsidP="006A0032">
      <w:pPr>
        <w:pStyle w:val="Prrafodelista"/>
        <w:spacing w:line="288" w:lineRule="auto"/>
        <w:ind w:left="0" w:right="51"/>
        <w:jc w:val="both"/>
        <w:rPr>
          <w:rFonts w:ascii="Arial" w:hAnsi="Arial" w:cs="Arial"/>
        </w:rPr>
      </w:pPr>
      <w:r w:rsidRPr="006A0032">
        <w:rPr>
          <w:rFonts w:ascii="Arial" w:hAnsi="Arial" w:cs="Arial"/>
        </w:rPr>
        <w:t>7.1 Esta Sala es competente para decidir el presente recurso en atención a lo dispuesto en los artículos 20 y 34 del CPP.</w:t>
      </w:r>
    </w:p>
    <w:p w:rsidR="00505A19" w:rsidRPr="006A0032" w:rsidRDefault="00505A19" w:rsidP="006A0032">
      <w:pPr>
        <w:pStyle w:val="Prrafodelista"/>
        <w:spacing w:line="288" w:lineRule="auto"/>
        <w:ind w:left="0" w:right="51"/>
        <w:jc w:val="both"/>
        <w:rPr>
          <w:rFonts w:ascii="Arial" w:hAnsi="Arial" w:cs="Arial"/>
        </w:rPr>
      </w:pPr>
    </w:p>
    <w:p w:rsidR="00505A19" w:rsidRPr="006A0032" w:rsidRDefault="00505A19" w:rsidP="006A0032">
      <w:pPr>
        <w:pStyle w:val="Prrafodelista"/>
        <w:spacing w:line="288" w:lineRule="auto"/>
        <w:ind w:left="0" w:right="51"/>
        <w:jc w:val="both"/>
        <w:rPr>
          <w:rFonts w:ascii="Arial" w:hAnsi="Arial" w:cs="Arial"/>
        </w:rPr>
      </w:pPr>
      <w:r w:rsidRPr="006A0032">
        <w:rPr>
          <w:rFonts w:ascii="Arial" w:hAnsi="Arial" w:cs="Arial"/>
        </w:rPr>
        <w:t xml:space="preserve">7.2 En atención a la actuación cumplida en la audiencia que dio lugar a la decisión recurrida, esta Corporación advierte inicialmente que el delegado de la FGN no impugnó la decisión del juez de primer grado en el sentido de no admitir como testigo de acreditación del ente acusador al investigador </w:t>
      </w:r>
      <w:r w:rsidR="000C10A6" w:rsidRPr="006A0032">
        <w:rPr>
          <w:rFonts w:ascii="Arial" w:hAnsi="Arial" w:cs="Arial"/>
        </w:rPr>
        <w:t>Robín</w:t>
      </w:r>
      <w:r w:rsidRPr="006A0032">
        <w:rPr>
          <w:rFonts w:ascii="Arial" w:hAnsi="Arial" w:cs="Arial"/>
        </w:rPr>
        <w:t xml:space="preserve"> Serna Sepúlveda, que había solicitado</w:t>
      </w:r>
      <w:r w:rsidR="00075A25">
        <w:rPr>
          <w:rFonts w:ascii="Arial" w:hAnsi="Arial" w:cs="Arial"/>
        </w:rPr>
        <w:t xml:space="preserve"> en</w:t>
      </w:r>
      <w:r w:rsidRPr="006A0032">
        <w:rPr>
          <w:rFonts w:ascii="Arial" w:hAnsi="Arial" w:cs="Arial"/>
        </w:rPr>
        <w:t xml:space="preserve"> “reemplazo” del detective José Ramón Morales, con el argumento de que ese funcionario ya estaba pensionado y no había sido posible ubicarlo para que declarara en el juicio, como se explicó en el apartado </w:t>
      </w:r>
      <w:r w:rsidR="00840E68" w:rsidRPr="006A0032">
        <w:rPr>
          <w:rFonts w:ascii="Arial" w:hAnsi="Arial" w:cs="Arial"/>
        </w:rPr>
        <w:t>2.9</w:t>
      </w:r>
      <w:r w:rsidRPr="006A0032">
        <w:rPr>
          <w:rFonts w:ascii="Arial" w:hAnsi="Arial" w:cs="Arial"/>
        </w:rPr>
        <w:t xml:space="preserve"> de esta decisión.</w:t>
      </w:r>
    </w:p>
    <w:p w:rsidR="00505A19" w:rsidRPr="006A0032" w:rsidRDefault="00505A19" w:rsidP="006A0032">
      <w:pPr>
        <w:pStyle w:val="Prrafodelista"/>
        <w:spacing w:line="288" w:lineRule="auto"/>
        <w:ind w:left="0" w:right="51"/>
        <w:jc w:val="both"/>
        <w:rPr>
          <w:rFonts w:ascii="Arial" w:hAnsi="Arial" w:cs="Arial"/>
        </w:rPr>
      </w:pPr>
    </w:p>
    <w:p w:rsidR="00505A19" w:rsidRPr="006A0032" w:rsidRDefault="006D2ECB" w:rsidP="006A0032">
      <w:pPr>
        <w:pStyle w:val="Prrafodelista"/>
        <w:spacing w:line="288" w:lineRule="auto"/>
        <w:ind w:left="0" w:right="51"/>
        <w:jc w:val="both"/>
        <w:rPr>
          <w:rFonts w:ascii="Arial" w:hAnsi="Arial" w:cs="Arial"/>
        </w:rPr>
      </w:pPr>
      <w:r w:rsidRPr="006A0032">
        <w:rPr>
          <w:rFonts w:ascii="Arial" w:hAnsi="Arial" w:cs="Arial"/>
        </w:rPr>
        <w:t>7.3 Por lo tanto la Sala</w:t>
      </w:r>
      <w:r w:rsidR="00505A19" w:rsidRPr="006A0032">
        <w:rPr>
          <w:rFonts w:ascii="Arial" w:hAnsi="Arial" w:cs="Arial"/>
        </w:rPr>
        <w:t xml:space="preserve"> se pronunc</w:t>
      </w:r>
      <w:r w:rsidR="00BF215C" w:rsidRPr="006A0032">
        <w:rPr>
          <w:rFonts w:ascii="Arial" w:hAnsi="Arial" w:cs="Arial"/>
        </w:rPr>
        <w:t xml:space="preserve">iará sobre el grado de acierto de la decisión </w:t>
      </w:r>
      <w:r w:rsidR="00505A19" w:rsidRPr="006A0032">
        <w:rPr>
          <w:rFonts w:ascii="Arial" w:hAnsi="Arial" w:cs="Arial"/>
        </w:rPr>
        <w:t xml:space="preserve">del </w:t>
      </w:r>
      <w:r w:rsidR="00505A19" w:rsidRPr="006A0032">
        <w:rPr>
          <w:rFonts w:ascii="Arial" w:hAnsi="Arial" w:cs="Arial"/>
          <w:i/>
        </w:rPr>
        <w:t xml:space="preserve">A quo, </w:t>
      </w:r>
      <w:r w:rsidR="00505A19" w:rsidRPr="006A0032">
        <w:rPr>
          <w:rFonts w:ascii="Arial" w:hAnsi="Arial" w:cs="Arial"/>
        </w:rPr>
        <w:t>de no admitir como prueba para el juicio, los documentos privado</w:t>
      </w:r>
      <w:r w:rsidR="00F16118" w:rsidRPr="006A0032">
        <w:rPr>
          <w:rFonts w:ascii="Arial" w:hAnsi="Arial" w:cs="Arial"/>
        </w:rPr>
        <w:t>s expedidos por los bancos Caja</w:t>
      </w:r>
      <w:r w:rsidR="00505A19" w:rsidRPr="006A0032">
        <w:rPr>
          <w:rFonts w:ascii="Arial" w:hAnsi="Arial" w:cs="Arial"/>
        </w:rPr>
        <w:t xml:space="preserve"> Social y Bancolombia, que se mencionaron en el </w:t>
      </w:r>
      <w:r w:rsidR="00505A19" w:rsidRPr="006A0032">
        <w:rPr>
          <w:rFonts w:ascii="Arial" w:hAnsi="Arial" w:cs="Arial"/>
          <w:i/>
        </w:rPr>
        <w:t xml:space="preserve">ítem </w:t>
      </w:r>
      <w:r w:rsidR="00840E68" w:rsidRPr="006A0032">
        <w:rPr>
          <w:rFonts w:ascii="Arial" w:hAnsi="Arial" w:cs="Arial"/>
        </w:rPr>
        <w:t>3</w:t>
      </w:r>
      <w:r w:rsidR="00505A19" w:rsidRPr="006A0032">
        <w:rPr>
          <w:rFonts w:ascii="Arial" w:hAnsi="Arial" w:cs="Arial"/>
        </w:rPr>
        <w:t xml:space="preserve">.1 de esta providencia. </w:t>
      </w:r>
    </w:p>
    <w:p w:rsidR="00505A19" w:rsidRPr="006A0032" w:rsidRDefault="00071DD8" w:rsidP="006A0032">
      <w:pPr>
        <w:pStyle w:val="Prrafodelista"/>
        <w:spacing w:line="288" w:lineRule="auto"/>
        <w:ind w:left="0" w:right="51"/>
        <w:jc w:val="both"/>
        <w:rPr>
          <w:rFonts w:ascii="Arial" w:hAnsi="Arial" w:cs="Arial"/>
        </w:rPr>
      </w:pPr>
      <w:r w:rsidRPr="006A0032">
        <w:rPr>
          <w:rFonts w:ascii="Arial" w:hAnsi="Arial" w:cs="Arial"/>
        </w:rPr>
        <w:t xml:space="preserve"> </w:t>
      </w:r>
    </w:p>
    <w:p w:rsidR="0033456D" w:rsidRPr="006A0032" w:rsidRDefault="00505A19" w:rsidP="006A0032">
      <w:pPr>
        <w:pStyle w:val="Prrafodelista"/>
        <w:spacing w:line="288" w:lineRule="auto"/>
        <w:ind w:left="0" w:right="51"/>
        <w:jc w:val="both"/>
        <w:rPr>
          <w:rFonts w:ascii="Arial" w:hAnsi="Arial" w:cs="Arial"/>
        </w:rPr>
      </w:pPr>
      <w:r w:rsidRPr="006A0032">
        <w:rPr>
          <w:rFonts w:ascii="Arial" w:hAnsi="Arial" w:cs="Arial"/>
        </w:rPr>
        <w:t xml:space="preserve">7.4 En este caso </w:t>
      </w:r>
      <w:r w:rsidR="00071DD8" w:rsidRPr="006A0032">
        <w:rPr>
          <w:rFonts w:ascii="Arial" w:hAnsi="Arial" w:cs="Arial"/>
        </w:rPr>
        <w:t xml:space="preserve">debe decidirse inicialmente lo relativo al carácter de los documentos enunciados por el delegado de la FGN, sobre lo cual se hacen las </w:t>
      </w:r>
      <w:r w:rsidR="004B5A24" w:rsidRPr="006A0032">
        <w:rPr>
          <w:rFonts w:ascii="Arial" w:hAnsi="Arial" w:cs="Arial"/>
        </w:rPr>
        <w:t>siguientes consideraciones</w:t>
      </w:r>
      <w:r w:rsidR="0033456D" w:rsidRPr="006A0032">
        <w:rPr>
          <w:rFonts w:ascii="Arial" w:hAnsi="Arial" w:cs="Arial"/>
        </w:rPr>
        <w:t>:</w:t>
      </w:r>
    </w:p>
    <w:p w:rsidR="0033456D" w:rsidRPr="006A0032" w:rsidRDefault="0033456D" w:rsidP="006A0032">
      <w:pPr>
        <w:pStyle w:val="Prrafodelista"/>
        <w:spacing w:line="288" w:lineRule="auto"/>
        <w:ind w:left="0" w:right="51"/>
        <w:jc w:val="both"/>
        <w:rPr>
          <w:rFonts w:ascii="Arial" w:hAnsi="Arial" w:cs="Arial"/>
        </w:rPr>
      </w:pPr>
    </w:p>
    <w:p w:rsidR="003E1CA8" w:rsidRPr="006A0032" w:rsidRDefault="0033456D" w:rsidP="006A0032">
      <w:pPr>
        <w:pStyle w:val="Prrafodelista"/>
        <w:spacing w:line="288" w:lineRule="auto"/>
        <w:ind w:left="0" w:right="51"/>
        <w:jc w:val="both"/>
        <w:rPr>
          <w:rFonts w:ascii="Arial" w:hAnsi="Arial" w:cs="Arial"/>
        </w:rPr>
      </w:pPr>
      <w:r w:rsidRPr="006A0032">
        <w:rPr>
          <w:rFonts w:ascii="Arial" w:hAnsi="Arial" w:cs="Arial"/>
        </w:rPr>
        <w:t xml:space="preserve">7.4.1 En los documentos </w:t>
      </w:r>
      <w:proofErr w:type="spellStart"/>
      <w:r w:rsidRPr="006A0032">
        <w:rPr>
          <w:rFonts w:ascii="Arial" w:hAnsi="Arial" w:cs="Arial"/>
        </w:rPr>
        <w:t>incoporados</w:t>
      </w:r>
      <w:proofErr w:type="spellEnd"/>
      <w:r w:rsidRPr="006A0032">
        <w:rPr>
          <w:rFonts w:ascii="Arial" w:hAnsi="Arial" w:cs="Arial"/>
        </w:rPr>
        <w:t xml:space="preserve"> al expediente aparece una copia informal de</w:t>
      </w:r>
      <w:r w:rsidR="00B55223" w:rsidRPr="006A0032">
        <w:rPr>
          <w:rFonts w:ascii="Arial" w:hAnsi="Arial" w:cs="Arial"/>
        </w:rPr>
        <w:t>: i) e</w:t>
      </w:r>
      <w:r w:rsidR="004B5A24" w:rsidRPr="006A0032">
        <w:rPr>
          <w:rFonts w:ascii="Arial" w:hAnsi="Arial" w:cs="Arial"/>
        </w:rPr>
        <w:t xml:space="preserve">l CDT </w:t>
      </w:r>
      <w:r w:rsidR="004403F0" w:rsidRPr="006A0032">
        <w:rPr>
          <w:rFonts w:ascii="Arial" w:hAnsi="Arial" w:cs="Arial"/>
        </w:rPr>
        <w:t xml:space="preserve">del Banco Caja Social </w:t>
      </w:r>
      <w:r w:rsidRPr="006A0032">
        <w:rPr>
          <w:rFonts w:ascii="Arial" w:hAnsi="Arial" w:cs="Arial"/>
        </w:rPr>
        <w:t xml:space="preserve">25000976085 </w:t>
      </w:r>
      <w:r w:rsidR="00590A31" w:rsidRPr="006A0032">
        <w:rPr>
          <w:rFonts w:ascii="Arial" w:hAnsi="Arial" w:cs="Arial"/>
        </w:rPr>
        <w:t xml:space="preserve">por </w:t>
      </w:r>
      <w:r w:rsidR="00B55223" w:rsidRPr="006A0032">
        <w:rPr>
          <w:rFonts w:ascii="Arial" w:hAnsi="Arial" w:cs="Arial"/>
        </w:rPr>
        <w:t xml:space="preserve">valor </w:t>
      </w:r>
      <w:r w:rsidR="004B5A24" w:rsidRPr="006A0032">
        <w:rPr>
          <w:rFonts w:ascii="Arial" w:hAnsi="Arial" w:cs="Arial"/>
        </w:rPr>
        <w:t>d</w:t>
      </w:r>
      <w:r w:rsidR="006D2ECB" w:rsidRPr="006A0032">
        <w:rPr>
          <w:rFonts w:ascii="Arial" w:hAnsi="Arial" w:cs="Arial"/>
        </w:rPr>
        <w:t>e</w:t>
      </w:r>
      <w:r w:rsidR="004B5A24" w:rsidRPr="006A0032">
        <w:rPr>
          <w:rFonts w:ascii="Arial" w:hAnsi="Arial" w:cs="Arial"/>
        </w:rPr>
        <w:t xml:space="preserve"> $111.819.723.47, del 7 de marzo de 2013</w:t>
      </w:r>
      <w:r w:rsidR="00B55223" w:rsidRPr="006A0032">
        <w:rPr>
          <w:rFonts w:ascii="Arial" w:hAnsi="Arial" w:cs="Arial"/>
        </w:rPr>
        <w:t xml:space="preserve"> con vencimie</w:t>
      </w:r>
      <w:r w:rsidR="004B5A24" w:rsidRPr="006A0032">
        <w:rPr>
          <w:rFonts w:ascii="Arial" w:hAnsi="Arial" w:cs="Arial"/>
        </w:rPr>
        <w:t>nto el 7 de septiembre de 2013, a nombre de “</w:t>
      </w:r>
      <w:proofErr w:type="spellStart"/>
      <w:r w:rsidR="007126BA">
        <w:rPr>
          <w:rFonts w:ascii="Arial" w:hAnsi="Arial" w:cs="Arial"/>
        </w:rPr>
        <w:t>M.C.V.V</w:t>
      </w:r>
      <w:proofErr w:type="spellEnd"/>
      <w:r w:rsidR="007126BA">
        <w:rPr>
          <w:rFonts w:ascii="Arial" w:hAnsi="Arial" w:cs="Arial"/>
        </w:rPr>
        <w:t>.</w:t>
      </w:r>
      <w:r w:rsidR="004B5A24" w:rsidRPr="006A0032">
        <w:rPr>
          <w:rFonts w:ascii="Arial" w:hAnsi="Arial" w:cs="Arial"/>
        </w:rPr>
        <w:t>”</w:t>
      </w:r>
      <w:r w:rsidR="00B55223" w:rsidRPr="006A0032">
        <w:rPr>
          <w:rStyle w:val="Refdenotaalpie"/>
          <w:rFonts w:ascii="Arial" w:hAnsi="Arial" w:cs="Arial"/>
        </w:rPr>
        <w:footnoteReference w:id="1"/>
      </w:r>
      <w:r w:rsidR="004B5A24" w:rsidRPr="006A0032">
        <w:rPr>
          <w:rFonts w:ascii="Arial" w:hAnsi="Arial" w:cs="Arial"/>
        </w:rPr>
        <w:t xml:space="preserve">; </w:t>
      </w:r>
      <w:r w:rsidR="00B55223" w:rsidRPr="006A0032">
        <w:rPr>
          <w:rFonts w:ascii="Arial" w:hAnsi="Arial" w:cs="Arial"/>
        </w:rPr>
        <w:t>y ii) el C</w:t>
      </w:r>
      <w:r w:rsidR="004403F0" w:rsidRPr="006A0032">
        <w:rPr>
          <w:rFonts w:ascii="Arial" w:hAnsi="Arial" w:cs="Arial"/>
        </w:rPr>
        <w:t>DT No. 3103039 de LEASING BANCOLOMBIA, expedido el 27 de mayo de 2013, con fecha de vencimiento 27</w:t>
      </w:r>
      <w:r w:rsidR="004B5A24" w:rsidRPr="006A0032">
        <w:rPr>
          <w:rFonts w:ascii="Arial" w:hAnsi="Arial" w:cs="Arial"/>
        </w:rPr>
        <w:t xml:space="preserve"> de mayo de 2014 por valor de $</w:t>
      </w:r>
      <w:r w:rsidR="004403F0" w:rsidRPr="006A0032">
        <w:rPr>
          <w:rFonts w:ascii="Arial" w:hAnsi="Arial" w:cs="Arial"/>
        </w:rPr>
        <w:t xml:space="preserve">22.000.000, a </w:t>
      </w:r>
      <w:r w:rsidR="004403F0" w:rsidRPr="006A0032">
        <w:rPr>
          <w:rFonts w:ascii="Arial" w:hAnsi="Arial" w:cs="Arial"/>
        </w:rPr>
        <w:lastRenderedPageBreak/>
        <w:t xml:space="preserve">nombre de Juan Nepomuceno Vega Hurtado </w:t>
      </w:r>
      <w:r w:rsidR="004B5A24" w:rsidRPr="006A0032">
        <w:rPr>
          <w:rFonts w:ascii="Arial" w:hAnsi="Arial" w:cs="Arial"/>
        </w:rPr>
        <w:t xml:space="preserve">y de </w:t>
      </w:r>
      <w:proofErr w:type="spellStart"/>
      <w:r w:rsidR="00C74D55">
        <w:rPr>
          <w:rFonts w:ascii="Arial" w:hAnsi="Arial" w:cs="Arial"/>
        </w:rPr>
        <w:t>M.C.V.V</w:t>
      </w:r>
      <w:proofErr w:type="spellEnd"/>
      <w:r w:rsidR="00C74D55">
        <w:rPr>
          <w:rFonts w:ascii="Arial" w:hAnsi="Arial" w:cs="Arial"/>
        </w:rPr>
        <w:t>.</w:t>
      </w:r>
      <w:r w:rsidR="004403F0" w:rsidRPr="006A0032">
        <w:rPr>
          <w:rStyle w:val="Refdenotaalpie"/>
          <w:rFonts w:ascii="Arial" w:hAnsi="Arial" w:cs="Arial"/>
        </w:rPr>
        <w:footnoteReference w:id="2"/>
      </w:r>
      <w:r w:rsidR="004403F0" w:rsidRPr="006A0032">
        <w:rPr>
          <w:rFonts w:ascii="Arial" w:hAnsi="Arial" w:cs="Arial"/>
        </w:rPr>
        <w:t>, por lo cual en principio se podría plantear que esos documentos- de presentarse en original para el juicio- se podrían considerar como documentos</w:t>
      </w:r>
      <w:r w:rsidR="004B5A24" w:rsidRPr="006A0032">
        <w:rPr>
          <w:rFonts w:ascii="Arial" w:hAnsi="Arial" w:cs="Arial"/>
        </w:rPr>
        <w:t xml:space="preserve"> privados</w:t>
      </w:r>
      <w:r w:rsidR="004403F0" w:rsidRPr="006A0032">
        <w:rPr>
          <w:rFonts w:ascii="Arial" w:hAnsi="Arial" w:cs="Arial"/>
        </w:rPr>
        <w:t xml:space="preserve"> auténticos, al asimilarse a t</w:t>
      </w:r>
      <w:r w:rsidR="004B5A24" w:rsidRPr="006A0032">
        <w:rPr>
          <w:rFonts w:ascii="Arial" w:hAnsi="Arial" w:cs="Arial"/>
        </w:rPr>
        <w:t xml:space="preserve">ítulos valores, </w:t>
      </w:r>
      <w:r w:rsidR="003E1CA8" w:rsidRPr="006A0032">
        <w:rPr>
          <w:rFonts w:ascii="Arial" w:hAnsi="Arial" w:cs="Arial"/>
        </w:rPr>
        <w:t>siguiendo lo dispuesto en el artículo 425 del CPP.</w:t>
      </w:r>
    </w:p>
    <w:p w:rsidR="003E1CA8" w:rsidRPr="006A0032" w:rsidRDefault="003E1CA8" w:rsidP="006A0032">
      <w:pPr>
        <w:pStyle w:val="Prrafodelista"/>
        <w:spacing w:line="288" w:lineRule="auto"/>
        <w:ind w:left="0" w:right="51"/>
        <w:jc w:val="both"/>
        <w:rPr>
          <w:rFonts w:ascii="Arial" w:hAnsi="Arial" w:cs="Arial"/>
        </w:rPr>
      </w:pPr>
    </w:p>
    <w:p w:rsidR="00505A19" w:rsidRPr="006A0032" w:rsidRDefault="004B5A24" w:rsidP="006A0032">
      <w:pPr>
        <w:pStyle w:val="Prrafodelista"/>
        <w:spacing w:line="288" w:lineRule="auto"/>
        <w:ind w:left="0" w:right="51"/>
        <w:jc w:val="both"/>
        <w:rPr>
          <w:rFonts w:ascii="Arial" w:hAnsi="Arial" w:cs="Arial"/>
        </w:rPr>
      </w:pPr>
      <w:r w:rsidRPr="006A0032">
        <w:rPr>
          <w:rFonts w:ascii="Arial" w:hAnsi="Arial" w:cs="Arial"/>
        </w:rPr>
        <w:t>7.4.2</w:t>
      </w:r>
      <w:r w:rsidR="003E1CA8" w:rsidRPr="006A0032">
        <w:rPr>
          <w:rFonts w:ascii="Arial" w:hAnsi="Arial" w:cs="Arial"/>
        </w:rPr>
        <w:t xml:space="preserve"> Los demás documentos anunciados por el delegado de la FGN</w:t>
      </w:r>
      <w:r w:rsidR="003E1CA8" w:rsidRPr="006A0032">
        <w:rPr>
          <w:rStyle w:val="Refdenotaalpie"/>
          <w:rFonts w:ascii="Arial" w:hAnsi="Arial" w:cs="Arial"/>
        </w:rPr>
        <w:footnoteReference w:id="3"/>
      </w:r>
      <w:r w:rsidR="003E1CA8" w:rsidRPr="006A0032">
        <w:rPr>
          <w:rFonts w:ascii="Arial" w:hAnsi="Arial" w:cs="Arial"/>
        </w:rPr>
        <w:t xml:space="preserve"> </w:t>
      </w:r>
      <w:r w:rsidR="00505A19" w:rsidRPr="006A0032">
        <w:rPr>
          <w:rFonts w:ascii="Arial" w:hAnsi="Arial" w:cs="Arial"/>
        </w:rPr>
        <w:t>tienen</w:t>
      </w:r>
      <w:r w:rsidR="00041C5D" w:rsidRPr="006A0032">
        <w:rPr>
          <w:rFonts w:ascii="Arial" w:hAnsi="Arial" w:cs="Arial"/>
        </w:rPr>
        <w:t xml:space="preserve"> </w:t>
      </w:r>
      <w:r w:rsidR="00505A19" w:rsidRPr="006A0032">
        <w:rPr>
          <w:rFonts w:ascii="Arial" w:hAnsi="Arial" w:cs="Arial"/>
        </w:rPr>
        <w:t xml:space="preserve">el carácter de documentos privados no auténticos, siguiendo lo dispuesto en el artículo 425 del CPP, por lo cual solamente podían ingresar al juicio a través de un testigo de acreditación, </w:t>
      </w:r>
      <w:r w:rsidR="00047BC1" w:rsidRPr="006A0032">
        <w:rPr>
          <w:rFonts w:ascii="Arial" w:hAnsi="Arial" w:cs="Arial"/>
        </w:rPr>
        <w:t>condición que no se exigiría si se presentan l</w:t>
      </w:r>
      <w:r w:rsidR="00A01132" w:rsidRPr="006A0032">
        <w:rPr>
          <w:rFonts w:ascii="Arial" w:hAnsi="Arial" w:cs="Arial"/>
        </w:rPr>
        <w:t xml:space="preserve">os originales </w:t>
      </w:r>
      <w:r w:rsidRPr="006A0032">
        <w:rPr>
          <w:rFonts w:ascii="Arial" w:hAnsi="Arial" w:cs="Arial"/>
        </w:rPr>
        <w:t xml:space="preserve">de los CDTS antes mencionados, </w:t>
      </w:r>
      <w:r w:rsidR="00047BC1" w:rsidRPr="006A0032">
        <w:rPr>
          <w:rFonts w:ascii="Arial" w:hAnsi="Arial" w:cs="Arial"/>
        </w:rPr>
        <w:t>y sólo frente a esos documentos</w:t>
      </w:r>
      <w:r w:rsidR="00AE0E8A">
        <w:rPr>
          <w:rFonts w:ascii="Arial" w:hAnsi="Arial" w:cs="Arial"/>
        </w:rPr>
        <w:t>.</w:t>
      </w:r>
    </w:p>
    <w:p w:rsidR="00505A19" w:rsidRPr="006A0032" w:rsidRDefault="00505A19" w:rsidP="006A0032">
      <w:pPr>
        <w:pStyle w:val="Prrafodelista"/>
        <w:spacing w:line="288" w:lineRule="auto"/>
        <w:ind w:left="0" w:right="51"/>
        <w:jc w:val="both"/>
        <w:rPr>
          <w:rFonts w:ascii="Arial" w:hAnsi="Arial" w:cs="Arial"/>
        </w:rPr>
      </w:pPr>
    </w:p>
    <w:p w:rsidR="00505A19" w:rsidRPr="006A0032" w:rsidRDefault="00505A19" w:rsidP="006A0032">
      <w:pPr>
        <w:pStyle w:val="Prrafodelista"/>
        <w:spacing w:line="288" w:lineRule="auto"/>
        <w:ind w:left="0" w:right="51"/>
        <w:jc w:val="both"/>
        <w:rPr>
          <w:rFonts w:ascii="Arial" w:hAnsi="Arial" w:cs="Arial"/>
        </w:rPr>
      </w:pPr>
      <w:r w:rsidRPr="006A0032">
        <w:rPr>
          <w:rFonts w:ascii="Arial" w:hAnsi="Arial" w:cs="Arial"/>
        </w:rPr>
        <w:t xml:space="preserve">7.5 En ese sentido </w:t>
      </w:r>
      <w:r w:rsidR="00A01132" w:rsidRPr="006A0032">
        <w:rPr>
          <w:rFonts w:ascii="Arial" w:hAnsi="Arial" w:cs="Arial"/>
        </w:rPr>
        <w:t xml:space="preserve">se cita el precedente CSJ SP del </w:t>
      </w:r>
      <w:r w:rsidRPr="006A0032">
        <w:rPr>
          <w:rFonts w:ascii="Arial" w:hAnsi="Arial" w:cs="Arial"/>
        </w:rPr>
        <w:t xml:space="preserve">1º de junio de 2017, radicado 46278, donde se hizo referencia </w:t>
      </w:r>
      <w:r w:rsidR="00041C5D" w:rsidRPr="006A0032">
        <w:rPr>
          <w:rFonts w:ascii="Arial" w:hAnsi="Arial" w:cs="Arial"/>
        </w:rPr>
        <w:t>a decisiones anteriores de esa C</w:t>
      </w:r>
      <w:r w:rsidRPr="006A0032">
        <w:rPr>
          <w:rFonts w:ascii="Arial" w:hAnsi="Arial" w:cs="Arial"/>
        </w:rPr>
        <w:t>orporación y se manifestó lo siguiente como última doctrina del órgano de cierre de la jurisdicción penal:</w:t>
      </w:r>
    </w:p>
    <w:p w:rsidR="00041C5D" w:rsidRPr="006A0032" w:rsidRDefault="00041C5D" w:rsidP="006A0032">
      <w:pPr>
        <w:ind w:left="426" w:right="420"/>
        <w:jc w:val="both"/>
        <w:rPr>
          <w:rFonts w:ascii="Arial" w:hAnsi="Arial" w:cs="Arial"/>
          <w:i/>
          <w:sz w:val="22"/>
        </w:rPr>
      </w:pPr>
    </w:p>
    <w:p w:rsidR="00505A19" w:rsidRPr="006A0032" w:rsidRDefault="00505A19" w:rsidP="006A0032">
      <w:pPr>
        <w:ind w:left="426" w:right="420"/>
        <w:jc w:val="both"/>
        <w:rPr>
          <w:rFonts w:ascii="Arial" w:hAnsi="Arial" w:cs="Arial"/>
          <w:i/>
          <w:sz w:val="22"/>
        </w:rPr>
      </w:pPr>
      <w:r w:rsidRPr="006A0032">
        <w:rPr>
          <w:rFonts w:ascii="Arial" w:hAnsi="Arial" w:cs="Arial"/>
          <w:i/>
          <w:sz w:val="22"/>
        </w:rPr>
        <w:t xml:space="preserve">“... La Corte juzga necesario reconsiderar parcialmente ese criterio y retomar de nuevo aquel según el cual el testigo de acreditación sólo se torna indispensable para introducir al juicio oral los documentos sobre los cuales no recae la presunción de autenticidad a que se refiere el artículo 425 de la Ley 906 de 2004, de tal manera que aquellos que gozan de esa presunción pueden ser ingresados directamente por la parte interesada. </w:t>
      </w:r>
    </w:p>
    <w:p w:rsidR="00505A19" w:rsidRPr="006A0032" w:rsidRDefault="00505A19" w:rsidP="006A0032">
      <w:pPr>
        <w:ind w:left="426" w:right="420"/>
        <w:jc w:val="both"/>
        <w:rPr>
          <w:rFonts w:ascii="Arial" w:hAnsi="Arial" w:cs="Arial"/>
          <w:i/>
          <w:sz w:val="22"/>
        </w:rPr>
      </w:pPr>
    </w:p>
    <w:p w:rsidR="00505A19" w:rsidRPr="006A0032" w:rsidRDefault="00505A19" w:rsidP="006A0032">
      <w:pPr>
        <w:ind w:left="426" w:right="420"/>
        <w:jc w:val="both"/>
        <w:rPr>
          <w:rFonts w:ascii="Arial" w:hAnsi="Arial" w:cs="Arial"/>
          <w:i/>
          <w:sz w:val="22"/>
        </w:rPr>
      </w:pPr>
      <w:r w:rsidRPr="006A0032">
        <w:rPr>
          <w:rFonts w:ascii="Arial" w:hAnsi="Arial" w:cs="Arial"/>
          <w:i/>
          <w:sz w:val="22"/>
        </w:rPr>
        <w:t xml:space="preserve">Ese es el lógico y justo alcance que debe atribuirse tanto al literal d) del numeral 5. </w:t>
      </w:r>
      <w:proofErr w:type="gramStart"/>
      <w:r w:rsidRPr="006A0032">
        <w:rPr>
          <w:rFonts w:ascii="Arial" w:hAnsi="Arial" w:cs="Arial"/>
          <w:i/>
          <w:sz w:val="22"/>
        </w:rPr>
        <w:t>del</w:t>
      </w:r>
      <w:proofErr w:type="gramEnd"/>
      <w:r w:rsidRPr="006A0032">
        <w:rPr>
          <w:rFonts w:ascii="Arial" w:hAnsi="Arial" w:cs="Arial"/>
          <w:i/>
          <w:sz w:val="22"/>
        </w:rPr>
        <w:t xml:space="preserve"> artículo 337 de la Ley 906 de 2004, como al artículo 63 de la Ley 1453 de 2011, porque si la finalidad del testigo de acreditación es demostrar la autenticidad del documento, no tiene ningún sentido hacerlo cuando el mismo goza de esa presunción. Ésta tiene como implicación que se invierta la carga de la prueba, de modo que será a la otra parte a quien le corresponderá desvirtuarla, si considera que la escritura es falsa total o parcialmente.</w:t>
      </w:r>
    </w:p>
    <w:p w:rsidR="00505A19" w:rsidRPr="006A0032" w:rsidRDefault="00505A19" w:rsidP="006A0032">
      <w:pPr>
        <w:ind w:left="426" w:right="420"/>
        <w:jc w:val="both"/>
        <w:rPr>
          <w:rFonts w:ascii="Arial" w:hAnsi="Arial" w:cs="Arial"/>
          <w:i/>
          <w:sz w:val="22"/>
        </w:rPr>
      </w:pPr>
    </w:p>
    <w:p w:rsidR="00505A19" w:rsidRPr="006A0032" w:rsidRDefault="00505A19" w:rsidP="006A0032">
      <w:pPr>
        <w:ind w:left="426" w:right="420"/>
        <w:jc w:val="both"/>
        <w:rPr>
          <w:rFonts w:ascii="Arial" w:hAnsi="Arial" w:cs="Arial"/>
          <w:i/>
          <w:sz w:val="22"/>
        </w:rPr>
      </w:pPr>
      <w:r w:rsidRPr="006A0032">
        <w:rPr>
          <w:rFonts w:ascii="Arial" w:hAnsi="Arial" w:cs="Arial"/>
          <w:i/>
          <w:sz w:val="22"/>
        </w:rPr>
        <w:t>Desde luego, no se discute que para poder ejercer en esos términos la debida confrontación es necesario que la contraparte conozca a cabalidad el contenido del documento. Pero, para la Sala, ese derecho se garantiza plenamente con el descubrimiento de la prueba en las oportunidades que la ley prevé para el efecto y con su solicitud y decreto en la audiencia preparatoria.</w:t>
      </w:r>
    </w:p>
    <w:p w:rsidR="00505A19" w:rsidRPr="006A0032" w:rsidRDefault="00505A19" w:rsidP="006A0032">
      <w:pPr>
        <w:ind w:left="426" w:right="420"/>
        <w:jc w:val="both"/>
        <w:rPr>
          <w:rFonts w:ascii="Arial" w:hAnsi="Arial" w:cs="Arial"/>
          <w:i/>
          <w:sz w:val="22"/>
        </w:rPr>
      </w:pPr>
    </w:p>
    <w:p w:rsidR="00505A19" w:rsidRPr="00B97764" w:rsidRDefault="00505A19" w:rsidP="006A0032">
      <w:pPr>
        <w:ind w:left="426" w:right="420"/>
        <w:jc w:val="both"/>
        <w:rPr>
          <w:rFonts w:ascii="Arial" w:hAnsi="Arial" w:cs="Arial"/>
          <w:i/>
          <w:sz w:val="22"/>
          <w:u w:val="single"/>
        </w:rPr>
      </w:pPr>
      <w:r w:rsidRPr="00B97764">
        <w:rPr>
          <w:rFonts w:ascii="Arial" w:hAnsi="Arial" w:cs="Arial"/>
          <w:i/>
          <w:sz w:val="22"/>
          <w:u w:val="single"/>
        </w:rPr>
        <w:t xml:space="preserve">No es, por tanto, que el artículo 63 de la Ley 1453 de 2011, al emplear el vocablo “podrá”, establezca una facultad discrecional para la parte, pues frente a los documentos que no gozan de la presunción de autenticidad sí se requiere obligatoriamente el testigo de acreditación. Respecto de ellos quien los introduce al juicio oral tiene la carga de demostrar la forma como se obtuvieron, quién los suscribió, si son originales o copias y los datos generales referentes a su contenido, es decir, conforme se señaló en CSJ SP, 21 febr. 2007, rad. 25920, le corresponderá “afirmar en la audiencia pública que un documento es lo que la parte dice que es”, todo en orden a demostrar su genuinidad. </w:t>
      </w:r>
    </w:p>
    <w:p w:rsidR="00505A19" w:rsidRPr="00B97764" w:rsidRDefault="00505A19" w:rsidP="006A0032">
      <w:pPr>
        <w:ind w:left="426" w:right="420"/>
        <w:jc w:val="both"/>
        <w:rPr>
          <w:rFonts w:ascii="Arial" w:hAnsi="Arial" w:cs="Arial"/>
          <w:i/>
          <w:sz w:val="22"/>
          <w:u w:val="single"/>
        </w:rPr>
      </w:pPr>
    </w:p>
    <w:p w:rsidR="00505A19" w:rsidRPr="006A0032" w:rsidRDefault="00505A19" w:rsidP="006A0032">
      <w:pPr>
        <w:ind w:left="426" w:right="420"/>
        <w:jc w:val="both"/>
        <w:rPr>
          <w:rFonts w:ascii="Arial" w:hAnsi="Arial" w:cs="Arial"/>
          <w:i/>
          <w:sz w:val="22"/>
        </w:rPr>
      </w:pPr>
      <w:r w:rsidRPr="00B97764">
        <w:rPr>
          <w:rFonts w:ascii="Arial" w:hAnsi="Arial" w:cs="Arial"/>
          <w:i/>
          <w:sz w:val="22"/>
          <w:u w:val="single"/>
        </w:rPr>
        <w:t xml:space="preserve">Esa obligación, se insiste, no opera en relación con los documentos enlistados en el artículo 425 de la Ley 906 de 2004, entre los cuales se encuentran los públicos, pues ellos gozan de presunción de autenticidad, de manera que los mismos, como se dijo en precedencia, pueden ser ingresados directamente en el juicio oral por la parte interesada, a condición de que hayan sido descubiertos oportunamente y su práctica solicitada y decretada en la audiencia preparatoria. Deberá sí, previamente a ser entregados al juez, dársele traslado a la contraparte para que ésta verifique que se </w:t>
      </w:r>
      <w:r w:rsidRPr="00B97764">
        <w:rPr>
          <w:rFonts w:ascii="Arial" w:hAnsi="Arial" w:cs="Arial"/>
          <w:i/>
          <w:sz w:val="22"/>
          <w:u w:val="single"/>
        </w:rPr>
        <w:lastRenderedPageBreak/>
        <w:t>trata de los mismos documentos descubiertos y cuya pr</w:t>
      </w:r>
      <w:r w:rsidR="00840E68" w:rsidRPr="00B97764">
        <w:rPr>
          <w:rFonts w:ascii="Arial" w:hAnsi="Arial" w:cs="Arial"/>
          <w:i/>
          <w:sz w:val="22"/>
          <w:u w:val="single"/>
        </w:rPr>
        <w:t>áctica se ordenó en su momento.</w:t>
      </w:r>
      <w:r w:rsidR="00840E68" w:rsidRPr="006A0032">
        <w:rPr>
          <w:rFonts w:ascii="Arial" w:hAnsi="Arial" w:cs="Arial"/>
          <w:i/>
          <w:sz w:val="22"/>
        </w:rPr>
        <w:t>” (Subrayas ex texto</w:t>
      </w:r>
      <w:r w:rsidRPr="006A0032">
        <w:rPr>
          <w:rFonts w:ascii="Arial" w:hAnsi="Arial" w:cs="Arial"/>
          <w:i/>
          <w:sz w:val="22"/>
        </w:rPr>
        <w:t xml:space="preserve">) </w:t>
      </w:r>
    </w:p>
    <w:p w:rsidR="00B97764" w:rsidRDefault="00B97764" w:rsidP="006A0032">
      <w:pPr>
        <w:spacing w:line="288" w:lineRule="auto"/>
        <w:ind w:right="-232"/>
        <w:jc w:val="both"/>
        <w:rPr>
          <w:rFonts w:ascii="Arial" w:hAnsi="Arial" w:cs="Arial"/>
          <w:lang w:val="es-MX"/>
        </w:rPr>
      </w:pPr>
    </w:p>
    <w:p w:rsidR="00CC1F57" w:rsidRPr="006A0032" w:rsidRDefault="00505A19" w:rsidP="006A0032">
      <w:pPr>
        <w:spacing w:line="288" w:lineRule="auto"/>
        <w:ind w:right="-232"/>
        <w:jc w:val="both"/>
        <w:rPr>
          <w:rFonts w:ascii="Arial" w:hAnsi="Arial" w:cs="Arial"/>
          <w:lang w:val="es-MX"/>
        </w:rPr>
      </w:pPr>
      <w:r w:rsidRPr="006A0032">
        <w:rPr>
          <w:rFonts w:ascii="Arial" w:hAnsi="Arial" w:cs="Arial"/>
          <w:lang w:val="es-MX"/>
        </w:rPr>
        <w:t xml:space="preserve">7.6 En tal </w:t>
      </w:r>
      <w:r w:rsidR="00041C5D" w:rsidRPr="006A0032">
        <w:rPr>
          <w:rFonts w:ascii="Arial" w:hAnsi="Arial" w:cs="Arial"/>
          <w:lang w:val="es-MX"/>
        </w:rPr>
        <w:t>virtud queda claro que como las</w:t>
      </w:r>
      <w:r w:rsidRPr="006A0032">
        <w:rPr>
          <w:rFonts w:ascii="Arial" w:hAnsi="Arial" w:cs="Arial"/>
          <w:lang w:val="es-MX"/>
        </w:rPr>
        <w:t xml:space="preserve"> certificaciones bancarias que pretendía ingresar al juicio el delegado de la FGN</w:t>
      </w:r>
      <w:r w:rsidR="00C30085" w:rsidRPr="006A0032">
        <w:rPr>
          <w:rFonts w:ascii="Arial" w:hAnsi="Arial" w:cs="Arial"/>
          <w:lang w:val="es-MX"/>
        </w:rPr>
        <w:t xml:space="preserve"> </w:t>
      </w:r>
      <w:r w:rsidRPr="006A0032">
        <w:rPr>
          <w:rFonts w:ascii="Arial" w:hAnsi="Arial" w:cs="Arial"/>
          <w:lang w:val="es-MX"/>
        </w:rPr>
        <w:t xml:space="preserve">tienen la calidad de documentos privados, </w:t>
      </w:r>
      <w:r w:rsidR="00A01132" w:rsidRPr="006A0032">
        <w:rPr>
          <w:rFonts w:ascii="Arial" w:hAnsi="Arial" w:cs="Arial"/>
          <w:lang w:val="es-MX"/>
        </w:rPr>
        <w:t>que podrían ser ingresados en el juicio oral en original o en copias auténticas a trav</w:t>
      </w:r>
      <w:r w:rsidR="004B5A24" w:rsidRPr="006A0032">
        <w:rPr>
          <w:rFonts w:ascii="Arial" w:hAnsi="Arial" w:cs="Arial"/>
          <w:lang w:val="es-MX"/>
        </w:rPr>
        <w:t xml:space="preserve">és de un investigador de </w:t>
      </w:r>
      <w:r w:rsidR="0025548F" w:rsidRPr="006A0032">
        <w:rPr>
          <w:rFonts w:ascii="Arial" w:hAnsi="Arial" w:cs="Arial"/>
          <w:lang w:val="es-MX"/>
        </w:rPr>
        <w:t>la</w:t>
      </w:r>
      <w:r w:rsidR="00620B59">
        <w:rPr>
          <w:rFonts w:ascii="Arial" w:hAnsi="Arial" w:cs="Arial"/>
          <w:lang w:val="es-MX"/>
        </w:rPr>
        <w:t xml:space="preserve"> </w:t>
      </w:r>
      <w:proofErr w:type="spellStart"/>
      <w:r w:rsidR="004B5A24" w:rsidRPr="006A0032">
        <w:rPr>
          <w:rFonts w:ascii="Arial" w:hAnsi="Arial" w:cs="Arial"/>
          <w:lang w:val="es-MX"/>
        </w:rPr>
        <w:t>FGN</w:t>
      </w:r>
      <w:proofErr w:type="spellEnd"/>
      <w:r w:rsidR="00CC1F57" w:rsidRPr="006A0032">
        <w:rPr>
          <w:rFonts w:ascii="Arial" w:hAnsi="Arial" w:cs="Arial"/>
          <w:lang w:val="es-MX"/>
        </w:rPr>
        <w:t xml:space="preserve">, debe citarse lo decidido por esta Colegiatura el 8 de septiembre de 2016, dentro del proceso adelantado contra </w:t>
      </w:r>
      <w:proofErr w:type="spellStart"/>
      <w:r w:rsidR="00CC1F57" w:rsidRPr="006A0032">
        <w:rPr>
          <w:rFonts w:ascii="Arial" w:hAnsi="Arial" w:cs="Arial"/>
          <w:lang w:val="es-MX"/>
        </w:rPr>
        <w:t>R</w:t>
      </w:r>
      <w:r w:rsidR="00620B59">
        <w:rPr>
          <w:rFonts w:ascii="Arial" w:hAnsi="Arial" w:cs="Arial"/>
          <w:lang w:val="es-MX"/>
        </w:rPr>
        <w:t>.</w:t>
      </w:r>
      <w:r w:rsidR="00CC1F57" w:rsidRPr="006A0032">
        <w:rPr>
          <w:rFonts w:ascii="Arial" w:hAnsi="Arial" w:cs="Arial"/>
          <w:lang w:val="es-MX"/>
        </w:rPr>
        <w:t>A</w:t>
      </w:r>
      <w:r w:rsidR="00620B59">
        <w:rPr>
          <w:rFonts w:ascii="Arial" w:hAnsi="Arial" w:cs="Arial"/>
          <w:lang w:val="es-MX"/>
        </w:rPr>
        <w:t>.</w:t>
      </w:r>
      <w:r w:rsidR="00CC1F57" w:rsidRPr="006A0032">
        <w:rPr>
          <w:rFonts w:ascii="Arial" w:hAnsi="Arial" w:cs="Arial"/>
          <w:lang w:val="es-MX"/>
        </w:rPr>
        <w:t>C</w:t>
      </w:r>
      <w:proofErr w:type="spellEnd"/>
      <w:r w:rsidR="00620B59">
        <w:rPr>
          <w:rFonts w:ascii="Arial" w:hAnsi="Arial" w:cs="Arial"/>
          <w:lang w:val="es-MX"/>
        </w:rPr>
        <w:t>.</w:t>
      </w:r>
      <w:r w:rsidR="00CC1F57" w:rsidRPr="006A0032">
        <w:rPr>
          <w:rFonts w:ascii="Arial" w:hAnsi="Arial" w:cs="Arial"/>
          <w:lang w:val="es-MX"/>
        </w:rPr>
        <w:t>, por los delitos de homicidio agravado tentado y porte ilegal de armas, MP Manuel Yarzagaray Bandera, donde se dijo lo siguiente:</w:t>
      </w:r>
    </w:p>
    <w:p w:rsidR="004B5A24" w:rsidRPr="006A0032" w:rsidRDefault="004B5A24" w:rsidP="006A0032">
      <w:pPr>
        <w:spacing w:line="288" w:lineRule="auto"/>
        <w:ind w:right="-232"/>
        <w:jc w:val="both"/>
        <w:rPr>
          <w:rFonts w:ascii="Arial" w:hAnsi="Arial" w:cs="Arial"/>
          <w:lang w:val="es-MX"/>
        </w:rPr>
      </w:pPr>
    </w:p>
    <w:p w:rsidR="00CC1F57" w:rsidRPr="00B97764" w:rsidRDefault="00CC1F57" w:rsidP="00B97764">
      <w:pPr>
        <w:ind w:left="426" w:right="420"/>
        <w:jc w:val="both"/>
        <w:rPr>
          <w:rFonts w:ascii="Arial" w:hAnsi="Arial" w:cs="Arial"/>
          <w:i/>
          <w:sz w:val="22"/>
        </w:rPr>
      </w:pPr>
      <w:r w:rsidRPr="00B97764">
        <w:rPr>
          <w:rFonts w:ascii="Arial" w:hAnsi="Arial" w:cs="Arial"/>
          <w:i/>
          <w:sz w:val="22"/>
        </w:rPr>
        <w:t>“</w:t>
      </w:r>
      <w:r w:rsidR="004B5A24" w:rsidRPr="00B97764">
        <w:rPr>
          <w:rFonts w:ascii="Arial" w:hAnsi="Arial" w:cs="Arial"/>
          <w:i/>
          <w:sz w:val="22"/>
        </w:rPr>
        <w:t>...</w:t>
      </w:r>
      <w:r w:rsidRPr="00B97764">
        <w:rPr>
          <w:rFonts w:ascii="Arial" w:hAnsi="Arial" w:cs="Arial"/>
          <w:i/>
          <w:sz w:val="22"/>
        </w:rPr>
        <w:t xml:space="preserve">El tema que concita la atención de esta Sala está relacionado con la eventual aplicación de las disposiciones consagradas en el inciso 2º del artículo 429 C.P.P. respecto de la introducción de una prueba de referencia admisible, acorde con lo reglado en el artículo 438 ibídem, por parte de una persona que no recibió la declaración rendida por el testigo no disponible como consecuencia de la indisposición de la persona ante quien se evacuó de manera preliminar dicha evidencia declarativa o testimonial. </w:t>
      </w:r>
    </w:p>
    <w:p w:rsidR="00CC1F57" w:rsidRPr="00B97764" w:rsidRDefault="00CC1F57" w:rsidP="00B97764">
      <w:pPr>
        <w:ind w:left="426" w:right="420"/>
        <w:jc w:val="both"/>
        <w:rPr>
          <w:rFonts w:ascii="Arial" w:hAnsi="Arial" w:cs="Arial"/>
          <w:i/>
          <w:sz w:val="22"/>
        </w:rPr>
      </w:pPr>
    </w:p>
    <w:p w:rsidR="00CC1F57" w:rsidRPr="00B97764" w:rsidRDefault="00CC1F57" w:rsidP="00B97764">
      <w:pPr>
        <w:pStyle w:val="Sinespaciado"/>
        <w:ind w:left="426" w:right="420"/>
        <w:rPr>
          <w:rFonts w:ascii="Arial" w:hAnsi="Arial"/>
          <w:b w:val="0"/>
          <w:i/>
          <w:szCs w:val="24"/>
        </w:rPr>
      </w:pPr>
      <w:r w:rsidRPr="00B97764">
        <w:rPr>
          <w:rFonts w:ascii="Arial" w:hAnsi="Arial"/>
          <w:b w:val="0"/>
          <w:i/>
          <w:szCs w:val="24"/>
        </w:rPr>
        <w:t>Como punto de partida para resolver dicha controversia, se debe tener en cuenta que las disposiciones consagradas en el inciso 2º del articulo 429 C.P.P. qu</w:t>
      </w:r>
      <w:r w:rsidRPr="00B97764">
        <w:rPr>
          <w:rFonts w:ascii="Arial" w:hAnsi="Arial"/>
          <w:b w:val="0"/>
          <w:i/>
          <w:szCs w:val="24"/>
          <w:u w:val="single"/>
        </w:rPr>
        <w:t xml:space="preserve">e regulan la figura del Testigo de acreditación dentro del escenario de la prueba documental, </w:t>
      </w:r>
      <w:r w:rsidRPr="00B97764">
        <w:rPr>
          <w:rFonts w:ascii="Arial" w:hAnsi="Arial"/>
          <w:b w:val="0"/>
          <w:i/>
          <w:szCs w:val="24"/>
        </w:rPr>
        <w:t xml:space="preserve">al permitir la posibilidad que la persona encargada de la custodia, recaudo o recolección de la evidencia documental, </w:t>
      </w:r>
      <w:r w:rsidRPr="00B97764">
        <w:rPr>
          <w:rFonts w:ascii="Arial" w:hAnsi="Arial"/>
          <w:b w:val="0"/>
          <w:i/>
          <w:szCs w:val="24"/>
          <w:u w:val="single"/>
        </w:rPr>
        <w:t>o en su defecto de alguna de aquellas que hicieron parte de la investigación</w:t>
      </w:r>
      <w:r w:rsidRPr="00B97764">
        <w:rPr>
          <w:rFonts w:ascii="Arial" w:hAnsi="Arial"/>
          <w:b w:val="0"/>
          <w:i/>
          <w:szCs w:val="24"/>
        </w:rPr>
        <w:t>, sean las facultadas o habilitadas para introducirla a la actuación procesal.</w:t>
      </w:r>
    </w:p>
    <w:p w:rsidR="00CC1F57" w:rsidRPr="00B97764" w:rsidRDefault="00CC1F57" w:rsidP="00B97764">
      <w:pPr>
        <w:pStyle w:val="Sinespaciado"/>
        <w:ind w:left="426" w:right="420"/>
        <w:rPr>
          <w:rFonts w:ascii="Arial" w:hAnsi="Arial"/>
          <w:b w:val="0"/>
          <w:i/>
          <w:szCs w:val="24"/>
        </w:rPr>
      </w:pPr>
    </w:p>
    <w:p w:rsidR="00CC1F57" w:rsidRPr="00B97764" w:rsidRDefault="00CC1F57" w:rsidP="00B97764">
      <w:pPr>
        <w:pStyle w:val="Sinespaciado"/>
        <w:ind w:left="426" w:right="420"/>
        <w:rPr>
          <w:rFonts w:ascii="Arial" w:hAnsi="Arial"/>
          <w:b w:val="0"/>
          <w:i/>
          <w:szCs w:val="24"/>
        </w:rPr>
      </w:pPr>
      <w:r w:rsidRPr="00B97764">
        <w:rPr>
          <w:rFonts w:ascii="Arial" w:hAnsi="Arial"/>
          <w:b w:val="0"/>
          <w:i/>
          <w:szCs w:val="24"/>
        </w:rPr>
        <w:t>De lo antes expuesto, en un principio se podría colegir que las normas procesales que regulan la figura del testigo de acreditación, están circunscritas al ingreso de la prueba documental al proceso por parte de la persona o personas a quien o quienes se le encomendaron la misión de la recolección ciertas las evidencias documentales.</w:t>
      </w:r>
    </w:p>
    <w:p w:rsidR="00CC1F57" w:rsidRPr="00B97764" w:rsidRDefault="00CC1F57" w:rsidP="00B97764">
      <w:pPr>
        <w:pStyle w:val="Sinespaciado"/>
        <w:ind w:left="426" w:right="420"/>
        <w:rPr>
          <w:rFonts w:ascii="Arial" w:hAnsi="Arial"/>
          <w:b w:val="0"/>
          <w:i/>
          <w:szCs w:val="24"/>
        </w:rPr>
      </w:pPr>
    </w:p>
    <w:p w:rsidR="00CC1F57" w:rsidRPr="00B97764" w:rsidRDefault="00CC1F57" w:rsidP="00B97764">
      <w:pPr>
        <w:pStyle w:val="Sinespaciado"/>
        <w:ind w:left="426" w:right="420"/>
        <w:rPr>
          <w:rFonts w:ascii="Arial" w:hAnsi="Arial"/>
          <w:b w:val="0"/>
          <w:i/>
          <w:szCs w:val="24"/>
        </w:rPr>
      </w:pPr>
      <w:r w:rsidRPr="00B97764">
        <w:rPr>
          <w:rFonts w:ascii="Arial" w:hAnsi="Arial"/>
          <w:b w:val="0"/>
          <w:i/>
          <w:szCs w:val="24"/>
        </w:rPr>
        <w:t>De igual manera, en lo que tiene que ver con la aducción al proceso de las pruebas de referencia admisibles, reguladas en el artículo 438 C.P.P. acorde con la hipótesis del testigo no disponible, se tiene, según los lineamientos jurisprudenciales trazados por la Sala de Casación Penal de la Corte Suprema de Justicia</w:t>
      </w:r>
      <w:r w:rsidRPr="00B97764">
        <w:rPr>
          <w:rStyle w:val="Refdenotaalpie"/>
          <w:rFonts w:ascii="Arial" w:hAnsi="Arial"/>
          <w:b w:val="0"/>
          <w:i/>
          <w:szCs w:val="24"/>
        </w:rPr>
        <w:footnoteReference w:id="4"/>
      </w:r>
      <w:r w:rsidRPr="00B97764">
        <w:rPr>
          <w:rFonts w:ascii="Arial" w:hAnsi="Arial"/>
          <w:b w:val="0"/>
          <w:i/>
          <w:szCs w:val="24"/>
        </w:rPr>
        <w:t>, que las declaraciones rendidas extraprocesalmente por el testigo no disponible se allegaran al proceso mediante el testimonio de quien recibió dichas entrevistas o en su defecto del testimonio de la persona que escuchó decir al declarante lo que dijo en su presencia.</w:t>
      </w:r>
    </w:p>
    <w:p w:rsidR="00CC1F57" w:rsidRPr="00B97764" w:rsidRDefault="00CC1F57" w:rsidP="00B97764">
      <w:pPr>
        <w:pStyle w:val="Sinespaciado"/>
        <w:ind w:left="426" w:right="420"/>
        <w:rPr>
          <w:rFonts w:ascii="Arial" w:hAnsi="Arial"/>
          <w:b w:val="0"/>
          <w:i/>
          <w:szCs w:val="24"/>
        </w:rPr>
      </w:pPr>
    </w:p>
    <w:p w:rsidR="00CC1F57" w:rsidRDefault="00CC1F57" w:rsidP="00B97764">
      <w:pPr>
        <w:pStyle w:val="Sinespaciado"/>
        <w:ind w:left="426" w:right="420"/>
        <w:rPr>
          <w:rFonts w:ascii="Arial" w:hAnsi="Arial"/>
          <w:b w:val="0"/>
          <w:i/>
          <w:szCs w:val="24"/>
        </w:rPr>
      </w:pPr>
      <w:r w:rsidRPr="00B97764">
        <w:rPr>
          <w:rFonts w:ascii="Arial" w:hAnsi="Arial"/>
          <w:b w:val="0"/>
          <w:i/>
          <w:szCs w:val="24"/>
        </w:rPr>
        <w:t>Ahora bien al efectuar un desprevenido análisis en conjunto de las anteriores disposiciones normativas, o sea el del fenómeno de la prueba de referencia en consonancia con el de la procedencia del testigo de acreditación, en un principio se podría decir, como lo arguye la Fiscalía como tesis de la discrepancia de la alzada, que en el escenario del ingreso al proceso de pruebas de referencia, por estar consignadas las declaraciones extraprocesales del testigo no disponibles en un documento, se debería acudir a la figura del testigo de acreditación, por lo que la parte interesada para tales menesteres, ante la indisponibilidad de comparecer al proceso por parte de quien recaudó una entrevista, podría utilizar a cualquiera de los investigadores que participaron en la indagación, sin importar si los mismos participaron o no en la recepción de la entrevista absuelta por p</w:t>
      </w:r>
      <w:r w:rsidR="00AE0E8A">
        <w:rPr>
          <w:rFonts w:ascii="Arial" w:hAnsi="Arial"/>
          <w:b w:val="0"/>
          <w:i/>
          <w:szCs w:val="24"/>
        </w:rPr>
        <w:t>arte del testigo no disponible.</w:t>
      </w:r>
    </w:p>
    <w:p w:rsidR="00AE0E8A" w:rsidRPr="00B97764" w:rsidRDefault="00AE0E8A" w:rsidP="00B97764">
      <w:pPr>
        <w:pStyle w:val="Sinespaciado"/>
        <w:ind w:left="426" w:right="420"/>
        <w:rPr>
          <w:rFonts w:ascii="Arial" w:hAnsi="Arial"/>
          <w:b w:val="0"/>
          <w:i/>
          <w:szCs w:val="24"/>
        </w:rPr>
      </w:pPr>
    </w:p>
    <w:p w:rsidR="00CC1F57" w:rsidRPr="00B97764" w:rsidRDefault="00CC1F57" w:rsidP="00B97764">
      <w:pPr>
        <w:pStyle w:val="Sinespaciado"/>
        <w:ind w:left="426" w:right="420"/>
        <w:rPr>
          <w:rFonts w:ascii="Arial" w:hAnsi="Arial"/>
          <w:b w:val="0"/>
          <w:i/>
          <w:szCs w:val="24"/>
        </w:rPr>
      </w:pPr>
      <w:r w:rsidRPr="00B97764">
        <w:rPr>
          <w:rFonts w:ascii="Arial" w:hAnsi="Arial"/>
          <w:b w:val="0"/>
          <w:i/>
          <w:szCs w:val="24"/>
        </w:rPr>
        <w:lastRenderedPageBreak/>
        <w:t xml:space="preserve">Pero para la Sala tal hermenéutica por regla general no sería de recibo si nos atenemos a lo siguiente: </w:t>
      </w:r>
    </w:p>
    <w:p w:rsidR="00CC1F57" w:rsidRPr="00B97764" w:rsidRDefault="00CC1F57" w:rsidP="00B97764">
      <w:pPr>
        <w:pStyle w:val="Sinespaciado"/>
        <w:ind w:left="426" w:right="420"/>
        <w:rPr>
          <w:rFonts w:ascii="Arial" w:hAnsi="Arial"/>
          <w:b w:val="0"/>
          <w:i/>
          <w:szCs w:val="24"/>
        </w:rPr>
      </w:pPr>
    </w:p>
    <w:p w:rsidR="00CC1F57" w:rsidRPr="00B97764" w:rsidRDefault="00CC1F57" w:rsidP="00B97764">
      <w:pPr>
        <w:pStyle w:val="Sinespaciado"/>
        <w:numPr>
          <w:ilvl w:val="0"/>
          <w:numId w:val="12"/>
        </w:numPr>
        <w:overflowPunct/>
        <w:autoSpaceDE/>
        <w:autoSpaceDN/>
        <w:adjustRightInd/>
        <w:ind w:left="426" w:right="420"/>
        <w:textAlignment w:val="auto"/>
        <w:rPr>
          <w:rFonts w:ascii="Arial" w:hAnsi="Arial"/>
          <w:b w:val="0"/>
          <w:i/>
          <w:szCs w:val="24"/>
        </w:rPr>
      </w:pPr>
      <w:r w:rsidRPr="00B97764">
        <w:rPr>
          <w:rFonts w:ascii="Arial" w:hAnsi="Arial"/>
          <w:b w:val="0"/>
          <w:i/>
          <w:szCs w:val="24"/>
        </w:rPr>
        <w:t xml:space="preserve">Se le estaría dando a la prueba de referencia un tratamiento de prueba documental, lo cual no es correcto puesto que del concepto de prueba de referencia consagrado en el artículo 437 C.P.P. se desprende que se está en presencia de una declaración que rindió por fuera del proceso una persona que no está en condiciones o en disponibilidad de acudir a rendir testimonio en el juicio. </w:t>
      </w:r>
    </w:p>
    <w:p w:rsidR="00CC1F57" w:rsidRPr="00B97764" w:rsidRDefault="00CC1F57" w:rsidP="00B97764">
      <w:pPr>
        <w:pStyle w:val="Sinespaciado"/>
        <w:ind w:left="426" w:right="420"/>
        <w:rPr>
          <w:rFonts w:ascii="Arial" w:hAnsi="Arial"/>
          <w:b w:val="0"/>
          <w:i/>
          <w:szCs w:val="24"/>
        </w:rPr>
      </w:pPr>
    </w:p>
    <w:p w:rsidR="00CC1F57" w:rsidRPr="00B97764" w:rsidRDefault="00CC1F57" w:rsidP="00B97764">
      <w:pPr>
        <w:pStyle w:val="Sinespaciado"/>
        <w:numPr>
          <w:ilvl w:val="0"/>
          <w:numId w:val="12"/>
        </w:numPr>
        <w:overflowPunct/>
        <w:autoSpaceDE/>
        <w:autoSpaceDN/>
        <w:adjustRightInd/>
        <w:ind w:left="426" w:right="420"/>
        <w:textAlignment w:val="auto"/>
        <w:rPr>
          <w:rFonts w:ascii="Arial" w:hAnsi="Arial"/>
          <w:b w:val="0"/>
          <w:i/>
          <w:szCs w:val="24"/>
        </w:rPr>
      </w:pPr>
      <w:r w:rsidRPr="00B97764">
        <w:rPr>
          <w:rFonts w:ascii="Arial" w:hAnsi="Arial"/>
          <w:b w:val="0"/>
          <w:i/>
          <w:szCs w:val="24"/>
        </w:rPr>
        <w:t xml:space="preserve">Pensar como lo piensa la Fiscalía sería tanto como el equivalente de pretender confundir el contenedor con el contenido, si partimos de la base que generalmente lo dicho de manera extraprocesal por parte de una persona se consigna en un documento o instrumento, y por tal razón ello para nada incide para que esa declaración vertida en dicho instrumento pierda su naturaleza de prueba testimonial, y por ende deba ser apreciada o considerada como prueba documental. </w:t>
      </w:r>
    </w:p>
    <w:p w:rsidR="00CC1F57" w:rsidRPr="00B97764" w:rsidRDefault="00CC1F57" w:rsidP="00B97764">
      <w:pPr>
        <w:pStyle w:val="Sinespaciado"/>
        <w:ind w:left="426" w:right="420"/>
        <w:rPr>
          <w:rFonts w:ascii="Arial" w:hAnsi="Arial"/>
          <w:b w:val="0"/>
          <w:i/>
          <w:szCs w:val="24"/>
        </w:rPr>
      </w:pPr>
    </w:p>
    <w:p w:rsidR="00CC1F57" w:rsidRPr="00B97764" w:rsidRDefault="00CC1F57" w:rsidP="00B97764">
      <w:pPr>
        <w:pStyle w:val="Sinespaciado"/>
        <w:numPr>
          <w:ilvl w:val="0"/>
          <w:numId w:val="12"/>
        </w:numPr>
        <w:overflowPunct/>
        <w:autoSpaceDE/>
        <w:autoSpaceDN/>
        <w:adjustRightInd/>
        <w:ind w:left="426" w:right="420"/>
        <w:textAlignment w:val="auto"/>
        <w:rPr>
          <w:rFonts w:ascii="Arial" w:hAnsi="Arial"/>
          <w:b w:val="0"/>
          <w:i/>
          <w:szCs w:val="24"/>
        </w:rPr>
      </w:pPr>
      <w:r w:rsidRPr="00B97764">
        <w:rPr>
          <w:rFonts w:ascii="Arial" w:hAnsi="Arial"/>
          <w:b w:val="0"/>
          <w:i/>
          <w:szCs w:val="24"/>
          <w:u w:val="single"/>
        </w:rPr>
        <w:t>La hipótesis de la utilización del testigo de acreditación consagrada en el inciso 2º del articulo 429 C.P.P. hace relación es a la introducción al juicio de documentos de naturaleza constitutiva</w:t>
      </w:r>
      <w:r w:rsidRPr="00B97764">
        <w:rPr>
          <w:rStyle w:val="Refdenotaalpie"/>
          <w:rFonts w:ascii="Arial" w:hAnsi="Arial"/>
          <w:b w:val="0"/>
          <w:i/>
          <w:szCs w:val="24"/>
          <w:u w:val="single"/>
        </w:rPr>
        <w:footnoteReference w:id="5"/>
      </w:r>
      <w:r w:rsidRPr="00B97764">
        <w:rPr>
          <w:rFonts w:ascii="Arial" w:hAnsi="Arial"/>
          <w:b w:val="0"/>
          <w:i/>
          <w:szCs w:val="24"/>
          <w:u w:val="single"/>
        </w:rPr>
        <w:t xml:space="preserve"> o representativa</w:t>
      </w:r>
      <w:r w:rsidRPr="00B97764">
        <w:rPr>
          <w:rStyle w:val="Refdenotaalpie"/>
          <w:rFonts w:ascii="Arial" w:hAnsi="Arial"/>
          <w:b w:val="0"/>
          <w:i/>
          <w:szCs w:val="24"/>
          <w:u w:val="single"/>
        </w:rPr>
        <w:footnoteReference w:id="6"/>
      </w:r>
      <w:r w:rsidRPr="00B97764">
        <w:rPr>
          <w:rFonts w:ascii="Arial" w:hAnsi="Arial"/>
          <w:b w:val="0"/>
          <w:i/>
          <w:szCs w:val="24"/>
          <w:u w:val="single"/>
        </w:rPr>
        <w:t>, mas no de aquellos documentos considerados como declarativos o testimoniales, cuyo contenido se caracterizan porque en los</w:t>
      </w:r>
      <w:r w:rsidRPr="00B97764">
        <w:rPr>
          <w:rFonts w:ascii="Arial" w:hAnsi="Arial"/>
          <w:b w:val="0"/>
          <w:i/>
          <w:szCs w:val="24"/>
        </w:rPr>
        <w:t xml:space="preserve"> </w:t>
      </w:r>
      <w:r w:rsidRPr="00B97764">
        <w:rPr>
          <w:rFonts w:ascii="Arial" w:hAnsi="Arial"/>
          <w:b w:val="0"/>
          <w:i/>
          <w:szCs w:val="24"/>
          <w:u w:val="single"/>
        </w:rPr>
        <w:t>mismos se hace relación a una declaración de parte respecto de eventos o acontecimientos pretéritos que hayan sido presenciados o percibidos directamente o indirectamente por quien ofrece</w:t>
      </w:r>
      <w:r w:rsidRPr="00B97764">
        <w:rPr>
          <w:rFonts w:ascii="Arial" w:hAnsi="Arial"/>
          <w:b w:val="0"/>
          <w:i/>
          <w:szCs w:val="24"/>
        </w:rPr>
        <w:t xml:space="preserve"> tal declaración.</w:t>
      </w:r>
      <w:r w:rsidR="00CC59D9" w:rsidRPr="00B97764">
        <w:rPr>
          <w:rFonts w:ascii="Arial" w:hAnsi="Arial"/>
          <w:b w:val="0"/>
          <w:i/>
          <w:szCs w:val="24"/>
        </w:rPr>
        <w:t xml:space="preserve">...” </w:t>
      </w:r>
      <w:r w:rsidR="00CC59D9" w:rsidRPr="00B97764">
        <w:rPr>
          <w:rFonts w:ascii="Arial" w:hAnsi="Arial"/>
          <w:b w:val="0"/>
          <w:szCs w:val="24"/>
        </w:rPr>
        <w:t xml:space="preserve">( Subrayas ex texto) </w:t>
      </w:r>
      <w:r w:rsidRPr="00B97764">
        <w:rPr>
          <w:rFonts w:ascii="Arial" w:hAnsi="Arial"/>
          <w:b w:val="0"/>
          <w:i/>
          <w:szCs w:val="24"/>
        </w:rPr>
        <w:t xml:space="preserve"> </w:t>
      </w:r>
    </w:p>
    <w:p w:rsidR="004718B6" w:rsidRPr="006A0032" w:rsidRDefault="004718B6" w:rsidP="006A0032">
      <w:pPr>
        <w:pStyle w:val="Prrafodelista"/>
        <w:spacing w:line="288" w:lineRule="auto"/>
        <w:rPr>
          <w:rFonts w:ascii="Arial" w:hAnsi="Arial" w:cs="Arial"/>
          <w:i/>
        </w:rPr>
      </w:pPr>
    </w:p>
    <w:p w:rsidR="003B4447" w:rsidRPr="006A0032" w:rsidRDefault="004718B6" w:rsidP="006A0032">
      <w:pPr>
        <w:pStyle w:val="Sinespaciado"/>
        <w:overflowPunct/>
        <w:autoSpaceDE/>
        <w:autoSpaceDN/>
        <w:adjustRightInd/>
        <w:spacing w:line="288" w:lineRule="auto"/>
        <w:textAlignment w:val="auto"/>
        <w:rPr>
          <w:rFonts w:ascii="Arial" w:hAnsi="Arial"/>
          <w:b w:val="0"/>
          <w:sz w:val="24"/>
          <w:szCs w:val="24"/>
        </w:rPr>
      </w:pPr>
      <w:r w:rsidRPr="006A0032">
        <w:rPr>
          <w:rFonts w:ascii="Arial" w:hAnsi="Arial"/>
          <w:b w:val="0"/>
          <w:sz w:val="24"/>
          <w:szCs w:val="24"/>
        </w:rPr>
        <w:t xml:space="preserve">7.7 Siguiendo lo manifestado en la </w:t>
      </w:r>
      <w:r w:rsidR="00CC59D9" w:rsidRPr="006A0032">
        <w:rPr>
          <w:rFonts w:ascii="Arial" w:hAnsi="Arial"/>
          <w:b w:val="0"/>
          <w:sz w:val="24"/>
          <w:szCs w:val="24"/>
        </w:rPr>
        <w:t>decisión antes citada, queda claro que los documentos que pretende introducir el Fiscal ti</w:t>
      </w:r>
      <w:bookmarkStart w:id="0" w:name="_GoBack"/>
      <w:bookmarkEnd w:id="0"/>
      <w:r w:rsidR="00CC59D9" w:rsidRPr="006A0032">
        <w:rPr>
          <w:rFonts w:ascii="Arial" w:hAnsi="Arial"/>
          <w:b w:val="0"/>
          <w:sz w:val="24"/>
          <w:szCs w:val="24"/>
        </w:rPr>
        <w:t xml:space="preserve">enen carácter constitutivo en cuanto versan sobre documentos relacionados con los CDT que en su oportunidad aperturara  el señor Juan Nepomuceno Vaga Hurtado; transferencias de los mismos a la procesada </w:t>
      </w:r>
      <w:proofErr w:type="spellStart"/>
      <w:r w:rsidR="007126BA">
        <w:rPr>
          <w:rFonts w:ascii="Arial" w:hAnsi="Arial"/>
          <w:b w:val="0"/>
          <w:sz w:val="24"/>
          <w:szCs w:val="24"/>
        </w:rPr>
        <w:t>M.C.V.V</w:t>
      </w:r>
      <w:proofErr w:type="spellEnd"/>
      <w:r w:rsidR="007126BA">
        <w:rPr>
          <w:rFonts w:ascii="Arial" w:hAnsi="Arial"/>
          <w:b w:val="0"/>
          <w:sz w:val="24"/>
          <w:szCs w:val="24"/>
        </w:rPr>
        <w:t>.</w:t>
      </w:r>
      <w:r w:rsidR="00CC59D9" w:rsidRPr="006A0032">
        <w:rPr>
          <w:rFonts w:ascii="Arial" w:hAnsi="Arial"/>
          <w:b w:val="0"/>
          <w:sz w:val="24"/>
          <w:szCs w:val="24"/>
        </w:rPr>
        <w:t xml:space="preserve"> e información </w:t>
      </w:r>
      <w:r w:rsidR="003B4447" w:rsidRPr="006A0032">
        <w:rPr>
          <w:rFonts w:ascii="Arial" w:hAnsi="Arial"/>
          <w:b w:val="0"/>
          <w:sz w:val="24"/>
          <w:szCs w:val="24"/>
        </w:rPr>
        <w:t>sobre vincul</w:t>
      </w:r>
      <w:r w:rsidR="00570FCC" w:rsidRPr="006A0032">
        <w:rPr>
          <w:rFonts w:ascii="Arial" w:hAnsi="Arial"/>
          <w:b w:val="0"/>
          <w:sz w:val="24"/>
          <w:szCs w:val="24"/>
        </w:rPr>
        <w:t>ación o transacciones bancarias</w:t>
      </w:r>
      <w:r w:rsidR="003B4447" w:rsidRPr="006A0032">
        <w:rPr>
          <w:rFonts w:ascii="Arial" w:hAnsi="Arial"/>
          <w:b w:val="0"/>
          <w:sz w:val="24"/>
          <w:szCs w:val="24"/>
        </w:rPr>
        <w:t xml:space="preserve"> </w:t>
      </w:r>
      <w:r w:rsidR="00CC59D9" w:rsidRPr="006A0032">
        <w:rPr>
          <w:rFonts w:ascii="Arial" w:hAnsi="Arial"/>
          <w:b w:val="0"/>
          <w:sz w:val="24"/>
          <w:szCs w:val="24"/>
        </w:rPr>
        <w:t xml:space="preserve">recibida de las entidades bancarias privadas Caja Social y </w:t>
      </w:r>
      <w:r w:rsidR="003B4447" w:rsidRPr="006A0032">
        <w:rPr>
          <w:rFonts w:ascii="Arial" w:hAnsi="Arial"/>
          <w:b w:val="0"/>
          <w:sz w:val="24"/>
          <w:szCs w:val="24"/>
        </w:rPr>
        <w:t>Bancolombia, por lo cual se entiende que el investigador Robin Serna Sepúlveda no se va referir en el juicio a actos que le correspondió presenciar, como sucedería vgr., si en este caso se pretendiera introducir como prueba de referencia una entrevista tomada por el servidor de Polic</w:t>
      </w:r>
      <w:r w:rsidR="00570FCC" w:rsidRPr="006A0032">
        <w:rPr>
          <w:rFonts w:ascii="Arial" w:hAnsi="Arial"/>
          <w:b w:val="0"/>
          <w:sz w:val="24"/>
          <w:szCs w:val="24"/>
        </w:rPr>
        <w:t>ía Judicial Ramón Elías Morales</w:t>
      </w:r>
      <w:r w:rsidR="003B4447" w:rsidRPr="006A0032">
        <w:rPr>
          <w:rFonts w:ascii="Arial" w:hAnsi="Arial"/>
          <w:b w:val="0"/>
          <w:sz w:val="24"/>
          <w:szCs w:val="24"/>
        </w:rPr>
        <w:t>, quien no fue ubicado para ingresar con él la evidencia documental antes referida.</w:t>
      </w:r>
    </w:p>
    <w:p w:rsidR="003B4447" w:rsidRPr="006A0032" w:rsidRDefault="003B4447" w:rsidP="006A0032">
      <w:pPr>
        <w:pStyle w:val="Sinespaciado"/>
        <w:overflowPunct/>
        <w:autoSpaceDE/>
        <w:autoSpaceDN/>
        <w:adjustRightInd/>
        <w:spacing w:line="288" w:lineRule="auto"/>
        <w:textAlignment w:val="auto"/>
        <w:rPr>
          <w:rFonts w:ascii="Arial" w:hAnsi="Arial"/>
          <w:b w:val="0"/>
          <w:sz w:val="24"/>
          <w:szCs w:val="24"/>
        </w:rPr>
      </w:pPr>
    </w:p>
    <w:p w:rsidR="006B34AD" w:rsidRPr="006A0032" w:rsidRDefault="003B4447" w:rsidP="006A0032">
      <w:pPr>
        <w:pStyle w:val="Sinespaciado"/>
        <w:overflowPunct/>
        <w:autoSpaceDE/>
        <w:autoSpaceDN/>
        <w:adjustRightInd/>
        <w:spacing w:line="288" w:lineRule="auto"/>
        <w:textAlignment w:val="auto"/>
        <w:rPr>
          <w:rFonts w:ascii="Arial" w:hAnsi="Arial"/>
          <w:b w:val="0"/>
          <w:sz w:val="24"/>
          <w:szCs w:val="24"/>
        </w:rPr>
      </w:pPr>
      <w:r w:rsidRPr="006A0032">
        <w:rPr>
          <w:rFonts w:ascii="Arial" w:hAnsi="Arial"/>
          <w:b w:val="0"/>
          <w:sz w:val="24"/>
          <w:szCs w:val="24"/>
        </w:rPr>
        <w:t>7.8 En tal virtud resulta posible que se permit</w:t>
      </w:r>
      <w:r w:rsidR="00C84485" w:rsidRPr="006A0032">
        <w:rPr>
          <w:rFonts w:ascii="Arial" w:hAnsi="Arial"/>
          <w:b w:val="0"/>
          <w:sz w:val="24"/>
          <w:szCs w:val="24"/>
        </w:rPr>
        <w:t>a</w:t>
      </w:r>
      <w:r w:rsidRPr="006A0032">
        <w:rPr>
          <w:rFonts w:ascii="Arial" w:hAnsi="Arial"/>
          <w:b w:val="0"/>
          <w:sz w:val="24"/>
          <w:szCs w:val="24"/>
        </w:rPr>
        <w:t xml:space="preserve"> el ingreso a juic</w:t>
      </w:r>
      <w:r w:rsidR="00C84485" w:rsidRPr="006A0032">
        <w:rPr>
          <w:rFonts w:ascii="Arial" w:hAnsi="Arial"/>
          <w:b w:val="0"/>
          <w:sz w:val="24"/>
          <w:szCs w:val="24"/>
        </w:rPr>
        <w:t>i</w:t>
      </w:r>
      <w:r w:rsidRPr="006A0032">
        <w:rPr>
          <w:rFonts w:ascii="Arial" w:hAnsi="Arial"/>
          <w:b w:val="0"/>
          <w:sz w:val="24"/>
          <w:szCs w:val="24"/>
        </w:rPr>
        <w:t>o de los documentos antes mencionados, cuyo poder suasorio quedará condicionado en primer término a</w:t>
      </w:r>
      <w:r w:rsidR="00570FCC" w:rsidRPr="006A0032">
        <w:rPr>
          <w:rFonts w:ascii="Arial" w:hAnsi="Arial"/>
          <w:b w:val="0"/>
          <w:sz w:val="24"/>
          <w:szCs w:val="24"/>
        </w:rPr>
        <w:t xml:space="preserve"> que el delegado de la</w:t>
      </w:r>
      <w:r w:rsidRPr="006A0032">
        <w:rPr>
          <w:rFonts w:ascii="Arial" w:hAnsi="Arial"/>
          <w:b w:val="0"/>
          <w:sz w:val="24"/>
          <w:szCs w:val="24"/>
        </w:rPr>
        <w:t xml:space="preserve"> FGN acredite que el investigador Robin Serna Sepúlveda </w:t>
      </w:r>
      <w:r w:rsidR="00C84485" w:rsidRPr="006A0032">
        <w:rPr>
          <w:rFonts w:ascii="Arial" w:hAnsi="Arial"/>
          <w:b w:val="0"/>
          <w:sz w:val="24"/>
          <w:szCs w:val="24"/>
        </w:rPr>
        <w:t>participó en los actos de investigación donde se recogieron esas evidencias, o intervino en</w:t>
      </w:r>
      <w:r w:rsidR="00570FCC" w:rsidRPr="006A0032">
        <w:rPr>
          <w:rFonts w:ascii="Arial" w:hAnsi="Arial"/>
          <w:b w:val="0"/>
          <w:sz w:val="24"/>
          <w:szCs w:val="24"/>
        </w:rPr>
        <w:t xml:space="preserve"> su recolección, conforme a lo </w:t>
      </w:r>
      <w:r w:rsidR="00C84485" w:rsidRPr="006A0032">
        <w:rPr>
          <w:rFonts w:ascii="Arial" w:hAnsi="Arial"/>
          <w:b w:val="0"/>
          <w:sz w:val="24"/>
          <w:szCs w:val="24"/>
        </w:rPr>
        <w:t>ordenado en el inciso 2º del artículo 429 del CPP, lo que lo convertiría en te</w:t>
      </w:r>
      <w:r w:rsidR="00570FCC" w:rsidRPr="006A0032">
        <w:rPr>
          <w:rFonts w:ascii="Arial" w:hAnsi="Arial"/>
          <w:b w:val="0"/>
          <w:sz w:val="24"/>
          <w:szCs w:val="24"/>
        </w:rPr>
        <w:t>stigo de acreditación de la FGN</w:t>
      </w:r>
      <w:r w:rsidR="00C84485" w:rsidRPr="006A0032">
        <w:rPr>
          <w:rFonts w:ascii="Arial" w:hAnsi="Arial"/>
          <w:b w:val="0"/>
          <w:sz w:val="24"/>
          <w:szCs w:val="24"/>
        </w:rPr>
        <w:t xml:space="preserve">, y </w:t>
      </w:r>
      <w:r w:rsidR="00570FCC" w:rsidRPr="006A0032">
        <w:rPr>
          <w:rFonts w:ascii="Arial" w:hAnsi="Arial"/>
          <w:b w:val="0"/>
          <w:sz w:val="24"/>
          <w:szCs w:val="24"/>
        </w:rPr>
        <w:t xml:space="preserve">que de demostrarse ese hecho, </w:t>
      </w:r>
      <w:r w:rsidR="00C84485" w:rsidRPr="006A0032">
        <w:rPr>
          <w:rFonts w:ascii="Arial" w:hAnsi="Arial"/>
          <w:b w:val="0"/>
          <w:sz w:val="24"/>
          <w:szCs w:val="24"/>
        </w:rPr>
        <w:t xml:space="preserve">presenten los citados documentos en original o copia auténtica, </w:t>
      </w:r>
      <w:r w:rsidR="006B34AD" w:rsidRPr="006A0032">
        <w:rPr>
          <w:rFonts w:ascii="Arial" w:hAnsi="Arial"/>
          <w:b w:val="0"/>
          <w:sz w:val="24"/>
          <w:szCs w:val="24"/>
        </w:rPr>
        <w:t>lo cual ya guarda relación con el poder suasorio de esas evidencias, lo que deberá ser examinado por el juez de conocimiento en la sentencia que profiera dentro del presente proceso.</w:t>
      </w:r>
    </w:p>
    <w:p w:rsidR="00CC1F57" w:rsidRPr="006A0032" w:rsidRDefault="00CC1F57" w:rsidP="006A0032">
      <w:pPr>
        <w:pStyle w:val="Sinespaciado"/>
        <w:spacing w:line="288" w:lineRule="auto"/>
        <w:rPr>
          <w:rFonts w:ascii="Arial" w:hAnsi="Arial"/>
          <w:b w:val="0"/>
          <w:sz w:val="24"/>
          <w:szCs w:val="24"/>
        </w:rPr>
      </w:pPr>
    </w:p>
    <w:p w:rsidR="00FF1C45" w:rsidRPr="00C74D55" w:rsidRDefault="00CC1F57" w:rsidP="00C74D55">
      <w:pPr>
        <w:autoSpaceDE w:val="0"/>
        <w:spacing w:line="288" w:lineRule="auto"/>
        <w:ind w:right="-21"/>
        <w:jc w:val="both"/>
        <w:rPr>
          <w:rFonts w:ascii="Arial" w:hAnsi="Arial" w:cs="Arial"/>
        </w:rPr>
      </w:pPr>
      <w:r w:rsidRPr="006A0032">
        <w:rPr>
          <w:rFonts w:ascii="Arial" w:hAnsi="Arial" w:cs="Arial"/>
        </w:rPr>
        <w:lastRenderedPageBreak/>
        <w:t>Por lo anteriormente expuesto, el Tribunal Superior del Distrito Judicial de Pereira, en Sala de Decisión Penal,</w:t>
      </w:r>
    </w:p>
    <w:p w:rsidR="00C74D55" w:rsidRDefault="00C74D55" w:rsidP="006A0032">
      <w:pPr>
        <w:pStyle w:val="Sinespaciado"/>
        <w:spacing w:line="288" w:lineRule="auto"/>
        <w:jc w:val="center"/>
        <w:rPr>
          <w:rFonts w:ascii="Arial" w:hAnsi="Arial"/>
          <w:b w:val="0"/>
          <w:bCs/>
          <w:sz w:val="24"/>
          <w:szCs w:val="24"/>
        </w:rPr>
      </w:pPr>
    </w:p>
    <w:p w:rsidR="00CC1F57" w:rsidRPr="006A0032" w:rsidRDefault="00570FCC" w:rsidP="006A0032">
      <w:pPr>
        <w:pStyle w:val="Sinespaciado"/>
        <w:spacing w:line="288" w:lineRule="auto"/>
        <w:jc w:val="center"/>
        <w:rPr>
          <w:rFonts w:ascii="Arial" w:hAnsi="Arial"/>
          <w:b w:val="0"/>
          <w:bCs/>
          <w:sz w:val="24"/>
          <w:szCs w:val="24"/>
        </w:rPr>
      </w:pPr>
      <w:r w:rsidRPr="006A0032">
        <w:rPr>
          <w:rFonts w:ascii="Arial" w:hAnsi="Arial"/>
          <w:b w:val="0"/>
          <w:bCs/>
          <w:sz w:val="24"/>
          <w:szCs w:val="24"/>
        </w:rPr>
        <w:t>RESUELVE</w:t>
      </w:r>
    </w:p>
    <w:p w:rsidR="00CC1F57" w:rsidRPr="006A0032" w:rsidRDefault="00CC1F57" w:rsidP="006A0032">
      <w:pPr>
        <w:pStyle w:val="Sinespaciado"/>
        <w:spacing w:line="288" w:lineRule="auto"/>
        <w:jc w:val="center"/>
        <w:rPr>
          <w:rFonts w:ascii="Arial" w:hAnsi="Arial"/>
          <w:b w:val="0"/>
          <w:i/>
          <w:sz w:val="24"/>
          <w:szCs w:val="24"/>
        </w:rPr>
      </w:pPr>
    </w:p>
    <w:p w:rsidR="00CC1F57" w:rsidRPr="006A0032" w:rsidRDefault="006B34AD" w:rsidP="006A0032">
      <w:pPr>
        <w:pStyle w:val="Sinespaciado"/>
        <w:spacing w:line="288" w:lineRule="auto"/>
        <w:rPr>
          <w:rFonts w:ascii="Arial" w:hAnsi="Arial"/>
          <w:b w:val="0"/>
          <w:sz w:val="24"/>
          <w:szCs w:val="24"/>
        </w:rPr>
      </w:pPr>
      <w:r w:rsidRPr="006A0032">
        <w:rPr>
          <w:rFonts w:ascii="Arial" w:hAnsi="Arial"/>
          <w:b w:val="0"/>
          <w:sz w:val="24"/>
          <w:szCs w:val="24"/>
        </w:rPr>
        <w:t xml:space="preserve">PRIMERO: REVOCAR la </w:t>
      </w:r>
      <w:r w:rsidR="00CC1F57" w:rsidRPr="006A0032">
        <w:rPr>
          <w:rFonts w:ascii="Arial" w:hAnsi="Arial"/>
          <w:b w:val="0"/>
          <w:sz w:val="24"/>
          <w:szCs w:val="24"/>
        </w:rPr>
        <w:t>decisión proferida el día 2</w:t>
      </w:r>
      <w:r w:rsidRPr="006A0032">
        <w:rPr>
          <w:rFonts w:ascii="Arial" w:hAnsi="Arial"/>
          <w:b w:val="0"/>
          <w:sz w:val="24"/>
          <w:szCs w:val="24"/>
        </w:rPr>
        <w:t xml:space="preserve">1 de enero de 2019 por el </w:t>
      </w:r>
      <w:r w:rsidR="00CC1F57" w:rsidRPr="006A0032">
        <w:rPr>
          <w:rFonts w:ascii="Arial" w:hAnsi="Arial"/>
          <w:b w:val="0"/>
          <w:sz w:val="24"/>
          <w:szCs w:val="24"/>
        </w:rPr>
        <w:t>Ju</w:t>
      </w:r>
      <w:r w:rsidRPr="006A0032">
        <w:rPr>
          <w:rFonts w:ascii="Arial" w:hAnsi="Arial"/>
          <w:b w:val="0"/>
          <w:sz w:val="24"/>
          <w:szCs w:val="24"/>
        </w:rPr>
        <w:t xml:space="preserve">ez 7º </w:t>
      </w:r>
      <w:r w:rsidR="00CC1F57" w:rsidRPr="006A0032">
        <w:rPr>
          <w:rFonts w:ascii="Arial" w:hAnsi="Arial"/>
          <w:b w:val="0"/>
          <w:sz w:val="24"/>
          <w:szCs w:val="24"/>
        </w:rPr>
        <w:t>Penal del Circuito de esta localidad, y en consecuencia se autoriza para que</w:t>
      </w:r>
      <w:r w:rsidRPr="006A0032">
        <w:rPr>
          <w:rFonts w:ascii="Arial" w:hAnsi="Arial"/>
          <w:b w:val="0"/>
          <w:sz w:val="24"/>
          <w:szCs w:val="24"/>
        </w:rPr>
        <w:t>, de acreditarse la exigencia prevista en el inciso 2º del artículo 429 del CP, se permita la introducción de los documentos enunciados por el d</w:t>
      </w:r>
      <w:r w:rsidR="00570FCC" w:rsidRPr="006A0032">
        <w:rPr>
          <w:rFonts w:ascii="Arial" w:hAnsi="Arial"/>
          <w:b w:val="0"/>
          <w:sz w:val="24"/>
          <w:szCs w:val="24"/>
        </w:rPr>
        <w:t>elegado de la FGN (ver apartado 7.4.1)</w:t>
      </w:r>
      <w:r w:rsidR="003415E0" w:rsidRPr="006A0032">
        <w:rPr>
          <w:rFonts w:ascii="Arial" w:hAnsi="Arial"/>
          <w:b w:val="0"/>
          <w:sz w:val="24"/>
          <w:szCs w:val="24"/>
        </w:rPr>
        <w:t>, con el inv</w:t>
      </w:r>
      <w:r w:rsidR="00D30C85" w:rsidRPr="006A0032">
        <w:rPr>
          <w:rFonts w:ascii="Arial" w:hAnsi="Arial"/>
          <w:b w:val="0"/>
          <w:sz w:val="24"/>
          <w:szCs w:val="24"/>
        </w:rPr>
        <w:t>estigador Robín Serna Sepúlveda,</w:t>
      </w:r>
      <w:r w:rsidR="005D4B7A" w:rsidRPr="006A0032">
        <w:rPr>
          <w:rFonts w:ascii="Arial" w:hAnsi="Arial"/>
          <w:b w:val="0"/>
          <w:sz w:val="24"/>
          <w:szCs w:val="24"/>
        </w:rPr>
        <w:t xml:space="preserve"> </w:t>
      </w:r>
      <w:r w:rsidR="00D30C85" w:rsidRPr="006A0032">
        <w:rPr>
          <w:rFonts w:ascii="Arial" w:hAnsi="Arial"/>
          <w:b w:val="0"/>
          <w:sz w:val="24"/>
          <w:szCs w:val="24"/>
        </w:rPr>
        <w:t xml:space="preserve">condición que no se exigirá si se presentan los originales de los CDTS </w:t>
      </w:r>
      <w:r w:rsidR="00FF1C45" w:rsidRPr="006A0032">
        <w:rPr>
          <w:rFonts w:ascii="Arial" w:hAnsi="Arial"/>
          <w:b w:val="0"/>
          <w:sz w:val="24"/>
          <w:szCs w:val="24"/>
        </w:rPr>
        <w:t xml:space="preserve">a los que se hizo alusión </w:t>
      </w:r>
      <w:r w:rsidR="00D30C85" w:rsidRPr="006A0032">
        <w:rPr>
          <w:rFonts w:ascii="Arial" w:hAnsi="Arial"/>
          <w:b w:val="0"/>
          <w:sz w:val="24"/>
          <w:szCs w:val="24"/>
        </w:rPr>
        <w:t xml:space="preserve">en la parte considerativa de la presente decisión. </w:t>
      </w:r>
    </w:p>
    <w:p w:rsidR="00D30C85" w:rsidRPr="006A0032" w:rsidRDefault="00D30C85" w:rsidP="006A0032">
      <w:pPr>
        <w:pStyle w:val="Sinespaciado"/>
        <w:spacing w:line="288" w:lineRule="auto"/>
        <w:rPr>
          <w:rFonts w:ascii="Arial" w:hAnsi="Arial"/>
          <w:b w:val="0"/>
          <w:sz w:val="24"/>
          <w:szCs w:val="24"/>
        </w:rPr>
      </w:pPr>
    </w:p>
    <w:p w:rsidR="00CC1F57" w:rsidRPr="006A0032" w:rsidRDefault="00CC1F57" w:rsidP="006A0032">
      <w:pPr>
        <w:pStyle w:val="Sinespaciado"/>
        <w:spacing w:line="288" w:lineRule="auto"/>
        <w:rPr>
          <w:rFonts w:ascii="Arial" w:hAnsi="Arial"/>
          <w:b w:val="0"/>
          <w:sz w:val="24"/>
          <w:szCs w:val="24"/>
        </w:rPr>
      </w:pPr>
      <w:r w:rsidRPr="006A0032">
        <w:rPr>
          <w:rFonts w:ascii="Arial" w:hAnsi="Arial"/>
          <w:b w:val="0"/>
          <w:sz w:val="24"/>
          <w:szCs w:val="24"/>
        </w:rPr>
        <w:t xml:space="preserve">SEGUNDO: Ésta decisión queda notificada en estrados y contra ella no procede recurso alguno. </w:t>
      </w:r>
    </w:p>
    <w:p w:rsidR="00CC1F57" w:rsidRPr="006A0032" w:rsidRDefault="00CC1F57" w:rsidP="006A0032">
      <w:pPr>
        <w:widowControl w:val="0"/>
        <w:tabs>
          <w:tab w:val="left" w:pos="0"/>
          <w:tab w:val="left" w:pos="8346"/>
        </w:tabs>
        <w:autoSpaceDE w:val="0"/>
        <w:autoSpaceDN w:val="0"/>
        <w:adjustRightInd w:val="0"/>
        <w:spacing w:line="288" w:lineRule="auto"/>
        <w:jc w:val="both"/>
        <w:rPr>
          <w:rFonts w:ascii="Arial" w:hAnsi="Arial" w:cs="Arial"/>
        </w:rPr>
      </w:pPr>
    </w:p>
    <w:p w:rsidR="00CC1F57" w:rsidRPr="006A0032" w:rsidRDefault="00570FCC" w:rsidP="006A0032">
      <w:pPr>
        <w:spacing w:line="288" w:lineRule="auto"/>
        <w:jc w:val="center"/>
        <w:rPr>
          <w:rFonts w:ascii="Arial" w:hAnsi="Arial" w:cs="Arial"/>
          <w:bCs/>
          <w:spacing w:val="-3"/>
        </w:rPr>
      </w:pPr>
      <w:r w:rsidRPr="006A0032">
        <w:rPr>
          <w:rFonts w:ascii="Arial" w:hAnsi="Arial" w:cs="Arial"/>
          <w:bCs/>
          <w:spacing w:val="-3"/>
        </w:rPr>
        <w:t xml:space="preserve"> NOTIFÍQUESE Y CÚMPLASE</w:t>
      </w:r>
    </w:p>
    <w:p w:rsidR="00570FCC" w:rsidRPr="006A0032" w:rsidRDefault="00570FCC" w:rsidP="006A0032">
      <w:pPr>
        <w:spacing w:line="288" w:lineRule="auto"/>
        <w:jc w:val="center"/>
        <w:rPr>
          <w:rFonts w:ascii="Arial" w:hAnsi="Arial" w:cs="Arial"/>
          <w:bCs/>
          <w:spacing w:val="-3"/>
        </w:rPr>
      </w:pPr>
    </w:p>
    <w:p w:rsidR="00570FCC" w:rsidRPr="006A0032" w:rsidRDefault="00570FCC" w:rsidP="006A0032">
      <w:pPr>
        <w:spacing w:line="288" w:lineRule="auto"/>
        <w:jc w:val="center"/>
        <w:rPr>
          <w:rFonts w:ascii="Arial" w:hAnsi="Arial" w:cs="Arial"/>
          <w:bCs/>
          <w:spacing w:val="-3"/>
        </w:rPr>
      </w:pPr>
    </w:p>
    <w:p w:rsidR="00570FCC" w:rsidRPr="006A0032" w:rsidRDefault="00570FCC" w:rsidP="006A0032">
      <w:pPr>
        <w:spacing w:line="288" w:lineRule="auto"/>
        <w:jc w:val="center"/>
        <w:rPr>
          <w:rFonts w:ascii="Arial" w:hAnsi="Arial" w:cs="Arial"/>
          <w:bCs/>
          <w:spacing w:val="-3"/>
        </w:rPr>
      </w:pPr>
    </w:p>
    <w:p w:rsidR="00570FCC" w:rsidRPr="006A0032" w:rsidRDefault="00570FCC" w:rsidP="006A0032">
      <w:pPr>
        <w:spacing w:line="288" w:lineRule="auto"/>
        <w:jc w:val="center"/>
        <w:rPr>
          <w:rFonts w:ascii="Arial" w:hAnsi="Arial" w:cs="Arial"/>
          <w:bCs/>
          <w:spacing w:val="-3"/>
        </w:rPr>
      </w:pPr>
    </w:p>
    <w:p w:rsidR="00570FCC" w:rsidRPr="006A0032" w:rsidRDefault="00570FCC" w:rsidP="006A0032">
      <w:pPr>
        <w:spacing w:line="288" w:lineRule="auto"/>
        <w:jc w:val="center"/>
        <w:rPr>
          <w:rFonts w:ascii="Arial" w:hAnsi="Arial" w:cs="Arial"/>
          <w:bCs/>
          <w:spacing w:val="-3"/>
        </w:rPr>
      </w:pPr>
      <w:r w:rsidRPr="006A0032">
        <w:rPr>
          <w:rFonts w:ascii="Arial" w:hAnsi="Arial" w:cs="Arial"/>
          <w:bCs/>
          <w:spacing w:val="-3"/>
        </w:rPr>
        <w:t>JAIRO ERNESTO</w:t>
      </w:r>
      <w:r w:rsidR="00592816" w:rsidRPr="006A0032">
        <w:rPr>
          <w:rFonts w:ascii="Arial" w:hAnsi="Arial" w:cs="Arial"/>
          <w:bCs/>
          <w:spacing w:val="-3"/>
        </w:rPr>
        <w:t xml:space="preserve"> E</w:t>
      </w:r>
      <w:r w:rsidRPr="006A0032">
        <w:rPr>
          <w:rFonts w:ascii="Arial" w:hAnsi="Arial" w:cs="Arial"/>
          <w:bCs/>
          <w:spacing w:val="-3"/>
        </w:rPr>
        <w:t>SCOBAR SANZ</w:t>
      </w:r>
    </w:p>
    <w:p w:rsidR="00570FCC" w:rsidRPr="006A0032" w:rsidRDefault="00570FCC" w:rsidP="006A0032">
      <w:pPr>
        <w:spacing w:line="288" w:lineRule="auto"/>
        <w:jc w:val="center"/>
        <w:rPr>
          <w:rFonts w:ascii="Arial" w:hAnsi="Arial" w:cs="Arial"/>
          <w:bCs/>
          <w:spacing w:val="-3"/>
        </w:rPr>
      </w:pPr>
      <w:r w:rsidRPr="006A0032">
        <w:rPr>
          <w:rFonts w:ascii="Arial" w:hAnsi="Arial" w:cs="Arial"/>
          <w:bCs/>
          <w:spacing w:val="-3"/>
        </w:rPr>
        <w:t>Magistrado</w:t>
      </w:r>
    </w:p>
    <w:p w:rsidR="00570FCC" w:rsidRPr="006A0032" w:rsidRDefault="00570FCC" w:rsidP="006A0032">
      <w:pPr>
        <w:spacing w:line="288" w:lineRule="auto"/>
        <w:jc w:val="center"/>
        <w:rPr>
          <w:rFonts w:ascii="Arial" w:hAnsi="Arial" w:cs="Arial"/>
          <w:bCs/>
          <w:spacing w:val="-3"/>
        </w:rPr>
      </w:pPr>
    </w:p>
    <w:p w:rsidR="00570FCC" w:rsidRPr="006A0032" w:rsidRDefault="00570FCC" w:rsidP="006A0032">
      <w:pPr>
        <w:spacing w:line="288" w:lineRule="auto"/>
        <w:jc w:val="center"/>
        <w:rPr>
          <w:rFonts w:ascii="Arial" w:hAnsi="Arial" w:cs="Arial"/>
          <w:bCs/>
          <w:spacing w:val="-3"/>
        </w:rPr>
      </w:pPr>
    </w:p>
    <w:p w:rsidR="00570FCC" w:rsidRPr="006A0032" w:rsidRDefault="00570FCC" w:rsidP="006A0032">
      <w:pPr>
        <w:spacing w:line="288" w:lineRule="auto"/>
        <w:jc w:val="center"/>
        <w:rPr>
          <w:rFonts w:ascii="Arial" w:hAnsi="Arial" w:cs="Arial"/>
          <w:bCs/>
          <w:spacing w:val="-3"/>
        </w:rPr>
      </w:pPr>
    </w:p>
    <w:p w:rsidR="00570FCC" w:rsidRPr="006A0032" w:rsidRDefault="00570FCC" w:rsidP="006A0032">
      <w:pPr>
        <w:spacing w:line="288" w:lineRule="auto"/>
        <w:jc w:val="center"/>
        <w:rPr>
          <w:rFonts w:ascii="Arial" w:hAnsi="Arial" w:cs="Arial"/>
          <w:bCs/>
          <w:spacing w:val="-3"/>
        </w:rPr>
      </w:pPr>
    </w:p>
    <w:p w:rsidR="00570FCC" w:rsidRPr="006A0032" w:rsidRDefault="00570FCC" w:rsidP="006A0032">
      <w:pPr>
        <w:spacing w:line="288" w:lineRule="auto"/>
        <w:jc w:val="center"/>
        <w:rPr>
          <w:rFonts w:ascii="Arial" w:hAnsi="Arial" w:cs="Arial"/>
          <w:bCs/>
          <w:spacing w:val="-3"/>
        </w:rPr>
      </w:pPr>
      <w:r w:rsidRPr="006A0032">
        <w:rPr>
          <w:rFonts w:ascii="Arial" w:hAnsi="Arial" w:cs="Arial"/>
          <w:bCs/>
          <w:spacing w:val="-3"/>
        </w:rPr>
        <w:t>MANUEL YARZAGARAY BANDERA</w:t>
      </w:r>
    </w:p>
    <w:p w:rsidR="00570FCC" w:rsidRPr="006A0032" w:rsidRDefault="00570FCC" w:rsidP="006A0032">
      <w:pPr>
        <w:spacing w:line="288" w:lineRule="auto"/>
        <w:jc w:val="center"/>
        <w:rPr>
          <w:rFonts w:ascii="Arial" w:hAnsi="Arial" w:cs="Arial"/>
          <w:bCs/>
          <w:spacing w:val="-3"/>
        </w:rPr>
      </w:pPr>
      <w:r w:rsidRPr="006A0032">
        <w:rPr>
          <w:rFonts w:ascii="Arial" w:hAnsi="Arial" w:cs="Arial"/>
          <w:bCs/>
          <w:spacing w:val="-3"/>
        </w:rPr>
        <w:t>Magistrado</w:t>
      </w:r>
    </w:p>
    <w:p w:rsidR="00570FCC" w:rsidRPr="006A0032" w:rsidRDefault="00570FCC" w:rsidP="006A0032">
      <w:pPr>
        <w:spacing w:line="288" w:lineRule="auto"/>
        <w:jc w:val="center"/>
        <w:rPr>
          <w:rFonts w:ascii="Arial" w:hAnsi="Arial" w:cs="Arial"/>
          <w:bCs/>
          <w:spacing w:val="-3"/>
        </w:rPr>
      </w:pPr>
    </w:p>
    <w:p w:rsidR="00570FCC" w:rsidRPr="006A0032" w:rsidRDefault="00570FCC" w:rsidP="006A0032">
      <w:pPr>
        <w:spacing w:line="288" w:lineRule="auto"/>
        <w:jc w:val="center"/>
        <w:rPr>
          <w:rFonts w:ascii="Arial" w:hAnsi="Arial" w:cs="Arial"/>
          <w:bCs/>
          <w:spacing w:val="-3"/>
        </w:rPr>
      </w:pPr>
    </w:p>
    <w:p w:rsidR="00570FCC" w:rsidRPr="006A0032" w:rsidRDefault="00570FCC" w:rsidP="006A0032">
      <w:pPr>
        <w:spacing w:line="288" w:lineRule="auto"/>
        <w:jc w:val="center"/>
        <w:rPr>
          <w:rFonts w:ascii="Arial" w:hAnsi="Arial" w:cs="Arial"/>
          <w:bCs/>
          <w:spacing w:val="-3"/>
        </w:rPr>
      </w:pPr>
    </w:p>
    <w:p w:rsidR="00570FCC" w:rsidRPr="006A0032" w:rsidRDefault="00570FCC" w:rsidP="006A0032">
      <w:pPr>
        <w:spacing w:line="288" w:lineRule="auto"/>
        <w:jc w:val="center"/>
        <w:rPr>
          <w:rFonts w:ascii="Arial" w:hAnsi="Arial" w:cs="Arial"/>
          <w:bCs/>
          <w:spacing w:val="-3"/>
        </w:rPr>
      </w:pPr>
    </w:p>
    <w:p w:rsidR="00570FCC" w:rsidRPr="006A0032" w:rsidRDefault="00570FCC" w:rsidP="006A0032">
      <w:pPr>
        <w:spacing w:line="288" w:lineRule="auto"/>
        <w:jc w:val="center"/>
        <w:rPr>
          <w:rFonts w:ascii="Arial" w:hAnsi="Arial" w:cs="Arial"/>
          <w:bCs/>
          <w:spacing w:val="-3"/>
        </w:rPr>
      </w:pPr>
      <w:r w:rsidRPr="006A0032">
        <w:rPr>
          <w:rFonts w:ascii="Arial" w:hAnsi="Arial" w:cs="Arial"/>
          <w:bCs/>
          <w:spacing w:val="-3"/>
        </w:rPr>
        <w:t xml:space="preserve">JORGE ARTURO CASTAÑO DUQUE </w:t>
      </w:r>
    </w:p>
    <w:p w:rsidR="00A45218" w:rsidRPr="00DC561A" w:rsidRDefault="00570FCC" w:rsidP="00DC561A">
      <w:pPr>
        <w:spacing w:line="288" w:lineRule="auto"/>
        <w:jc w:val="center"/>
        <w:rPr>
          <w:rFonts w:ascii="Arial" w:hAnsi="Arial" w:cs="Arial"/>
          <w:bCs/>
          <w:spacing w:val="-3"/>
        </w:rPr>
      </w:pPr>
      <w:r w:rsidRPr="006A0032">
        <w:rPr>
          <w:rFonts w:ascii="Arial" w:hAnsi="Arial" w:cs="Arial"/>
          <w:bCs/>
          <w:spacing w:val="-3"/>
        </w:rPr>
        <w:t>Magistrado</w:t>
      </w:r>
    </w:p>
    <w:sectPr w:rsidR="00A45218" w:rsidRPr="00DC561A" w:rsidSect="006A0032">
      <w:headerReference w:type="default" r:id="rId10"/>
      <w:footerReference w:type="even" r:id="rId11"/>
      <w:footerReference w:type="default" r:id="rId12"/>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B9B" w:rsidRDefault="00DC6B9B" w:rsidP="00BE4853">
      <w:r>
        <w:separator/>
      </w:r>
    </w:p>
  </w:endnote>
  <w:endnote w:type="continuationSeparator" w:id="0">
    <w:p w:rsidR="00DC6B9B" w:rsidRDefault="00DC6B9B" w:rsidP="00BE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62" w:rsidRDefault="009E7662" w:rsidP="00BB6721">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9E7662" w:rsidRDefault="009E7662" w:rsidP="00BB6721">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62" w:rsidRPr="00C74D55" w:rsidRDefault="009E7662" w:rsidP="00BB6721">
    <w:pPr>
      <w:pStyle w:val="Piedepgina"/>
      <w:rPr>
        <w:rFonts w:ascii="Arial" w:hAnsi="Arial" w:cs="Arial"/>
        <w:sz w:val="20"/>
        <w:szCs w:val="16"/>
      </w:rPr>
    </w:pPr>
    <w:r w:rsidRPr="00C74D55">
      <w:rPr>
        <w:rFonts w:ascii="Arial" w:hAnsi="Arial" w:cs="Arial"/>
        <w:sz w:val="20"/>
        <w:szCs w:val="16"/>
      </w:rPr>
      <w:t xml:space="preserve">Página </w:t>
    </w:r>
    <w:r w:rsidRPr="00C74D55">
      <w:rPr>
        <w:rFonts w:ascii="Arial" w:hAnsi="Arial" w:cs="Arial"/>
        <w:sz w:val="20"/>
        <w:szCs w:val="16"/>
      </w:rPr>
      <w:fldChar w:fldCharType="begin"/>
    </w:r>
    <w:r w:rsidRPr="00C74D55">
      <w:rPr>
        <w:rFonts w:ascii="Arial" w:hAnsi="Arial" w:cs="Arial"/>
        <w:sz w:val="20"/>
        <w:szCs w:val="16"/>
      </w:rPr>
      <w:instrText xml:space="preserve"> PAGE </w:instrText>
    </w:r>
    <w:r w:rsidRPr="00C74D55">
      <w:rPr>
        <w:rFonts w:ascii="Arial" w:hAnsi="Arial" w:cs="Arial"/>
        <w:sz w:val="20"/>
        <w:szCs w:val="16"/>
      </w:rPr>
      <w:fldChar w:fldCharType="separate"/>
    </w:r>
    <w:r w:rsidR="00E03F1A">
      <w:rPr>
        <w:rFonts w:ascii="Arial" w:hAnsi="Arial" w:cs="Arial"/>
        <w:noProof/>
        <w:sz w:val="20"/>
        <w:szCs w:val="16"/>
      </w:rPr>
      <w:t>11</w:t>
    </w:r>
    <w:r w:rsidRPr="00C74D55">
      <w:rPr>
        <w:rFonts w:ascii="Arial" w:hAnsi="Arial" w:cs="Arial"/>
        <w:sz w:val="20"/>
        <w:szCs w:val="16"/>
      </w:rPr>
      <w:fldChar w:fldCharType="end"/>
    </w:r>
    <w:r w:rsidRPr="00C74D55">
      <w:rPr>
        <w:rFonts w:ascii="Arial" w:hAnsi="Arial" w:cs="Arial"/>
        <w:sz w:val="20"/>
        <w:szCs w:val="16"/>
      </w:rPr>
      <w:t xml:space="preserve"> de </w:t>
    </w:r>
    <w:r w:rsidRPr="00C74D55">
      <w:rPr>
        <w:rFonts w:ascii="Arial" w:hAnsi="Arial" w:cs="Arial"/>
        <w:sz w:val="20"/>
        <w:szCs w:val="16"/>
      </w:rPr>
      <w:fldChar w:fldCharType="begin"/>
    </w:r>
    <w:r w:rsidRPr="00C74D55">
      <w:rPr>
        <w:rFonts w:ascii="Arial" w:hAnsi="Arial" w:cs="Arial"/>
        <w:sz w:val="20"/>
        <w:szCs w:val="16"/>
      </w:rPr>
      <w:instrText xml:space="preserve"> NUMPAGES </w:instrText>
    </w:r>
    <w:r w:rsidRPr="00C74D55">
      <w:rPr>
        <w:rFonts w:ascii="Arial" w:hAnsi="Arial" w:cs="Arial"/>
        <w:sz w:val="20"/>
        <w:szCs w:val="16"/>
      </w:rPr>
      <w:fldChar w:fldCharType="separate"/>
    </w:r>
    <w:r w:rsidR="00E03F1A">
      <w:rPr>
        <w:rFonts w:ascii="Arial" w:hAnsi="Arial" w:cs="Arial"/>
        <w:noProof/>
        <w:sz w:val="20"/>
        <w:szCs w:val="16"/>
      </w:rPr>
      <w:t>12</w:t>
    </w:r>
    <w:r w:rsidRPr="00C74D55">
      <w:rPr>
        <w:rFonts w:ascii="Arial" w:hAnsi="Arial" w:cs="Arial"/>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B9B" w:rsidRDefault="00DC6B9B" w:rsidP="00BE4853">
      <w:r>
        <w:separator/>
      </w:r>
    </w:p>
  </w:footnote>
  <w:footnote w:type="continuationSeparator" w:id="0">
    <w:p w:rsidR="00DC6B9B" w:rsidRDefault="00DC6B9B" w:rsidP="00BE4853">
      <w:r>
        <w:continuationSeparator/>
      </w:r>
    </w:p>
  </w:footnote>
  <w:footnote w:id="1">
    <w:p w:rsidR="00B55223" w:rsidRPr="00C74D55" w:rsidRDefault="00B55223">
      <w:pPr>
        <w:pStyle w:val="Textonotapie"/>
        <w:rPr>
          <w:rFonts w:ascii="Arial" w:hAnsi="Arial" w:cs="Arial"/>
          <w:sz w:val="18"/>
          <w:szCs w:val="16"/>
          <w:lang w:val="es-CO"/>
        </w:rPr>
      </w:pPr>
      <w:r w:rsidRPr="00C74D55">
        <w:rPr>
          <w:rStyle w:val="Refdenotaalpie"/>
          <w:rFonts w:ascii="Arial" w:hAnsi="Arial" w:cs="Arial"/>
          <w:sz w:val="18"/>
          <w:szCs w:val="16"/>
        </w:rPr>
        <w:footnoteRef/>
      </w:r>
      <w:r w:rsidRPr="00C74D55">
        <w:rPr>
          <w:rFonts w:ascii="Arial" w:hAnsi="Arial" w:cs="Arial"/>
          <w:sz w:val="18"/>
          <w:szCs w:val="16"/>
        </w:rPr>
        <w:t xml:space="preserve"> </w:t>
      </w:r>
      <w:r w:rsidR="004B5A24" w:rsidRPr="00C74D55">
        <w:rPr>
          <w:rFonts w:ascii="Arial" w:hAnsi="Arial" w:cs="Arial"/>
          <w:sz w:val="18"/>
          <w:szCs w:val="16"/>
          <w:lang w:val="es-CO"/>
        </w:rPr>
        <w:t xml:space="preserve">Folio 65 </w:t>
      </w:r>
    </w:p>
  </w:footnote>
  <w:footnote w:id="2">
    <w:p w:rsidR="004403F0" w:rsidRPr="00C74D55" w:rsidRDefault="004403F0">
      <w:pPr>
        <w:pStyle w:val="Textonotapie"/>
        <w:rPr>
          <w:rFonts w:ascii="Arial" w:hAnsi="Arial" w:cs="Arial"/>
          <w:sz w:val="18"/>
          <w:szCs w:val="16"/>
          <w:lang w:val="es-CO"/>
        </w:rPr>
      </w:pPr>
      <w:r w:rsidRPr="00C74D55">
        <w:rPr>
          <w:rStyle w:val="Refdenotaalpie"/>
          <w:rFonts w:ascii="Arial" w:hAnsi="Arial" w:cs="Arial"/>
          <w:sz w:val="18"/>
          <w:szCs w:val="16"/>
        </w:rPr>
        <w:footnoteRef/>
      </w:r>
      <w:r w:rsidRPr="00C74D55">
        <w:rPr>
          <w:rFonts w:ascii="Arial" w:hAnsi="Arial" w:cs="Arial"/>
          <w:sz w:val="18"/>
          <w:szCs w:val="16"/>
        </w:rPr>
        <w:t xml:space="preserve"> </w:t>
      </w:r>
      <w:r w:rsidRPr="00C74D55">
        <w:rPr>
          <w:rFonts w:ascii="Arial" w:hAnsi="Arial" w:cs="Arial"/>
          <w:sz w:val="18"/>
          <w:szCs w:val="16"/>
          <w:lang w:val="es-CO"/>
        </w:rPr>
        <w:t>Folio 76</w:t>
      </w:r>
    </w:p>
  </w:footnote>
  <w:footnote w:id="3">
    <w:p w:rsidR="003E1CA8" w:rsidRPr="00C74D55" w:rsidRDefault="003E1CA8">
      <w:pPr>
        <w:pStyle w:val="Textonotapie"/>
        <w:rPr>
          <w:rFonts w:ascii="Arial" w:hAnsi="Arial" w:cs="Arial"/>
          <w:sz w:val="18"/>
          <w:szCs w:val="16"/>
          <w:lang w:val="es-CO"/>
        </w:rPr>
      </w:pPr>
      <w:r w:rsidRPr="00C74D55">
        <w:rPr>
          <w:rStyle w:val="Refdenotaalpie"/>
          <w:rFonts w:ascii="Arial" w:hAnsi="Arial" w:cs="Arial"/>
          <w:sz w:val="18"/>
          <w:szCs w:val="16"/>
        </w:rPr>
        <w:footnoteRef/>
      </w:r>
      <w:r w:rsidRPr="00C74D55">
        <w:rPr>
          <w:rFonts w:ascii="Arial" w:hAnsi="Arial" w:cs="Arial"/>
          <w:sz w:val="18"/>
          <w:szCs w:val="16"/>
        </w:rPr>
        <w:t xml:space="preserve"> </w:t>
      </w:r>
      <w:r w:rsidRPr="00C74D55">
        <w:rPr>
          <w:rFonts w:ascii="Arial" w:hAnsi="Arial" w:cs="Arial"/>
          <w:sz w:val="18"/>
          <w:szCs w:val="16"/>
          <w:lang w:val="es-CO"/>
        </w:rPr>
        <w:t xml:space="preserve">Folios 64, 66 a 75 </w:t>
      </w:r>
      <w:r w:rsidR="00BD7CF8" w:rsidRPr="00C74D55">
        <w:rPr>
          <w:rFonts w:ascii="Arial" w:hAnsi="Arial" w:cs="Arial"/>
          <w:sz w:val="18"/>
          <w:szCs w:val="16"/>
          <w:lang w:val="es-CO"/>
        </w:rPr>
        <w:t xml:space="preserve">y 77 a 82 </w:t>
      </w:r>
      <w:r w:rsidRPr="00C74D55">
        <w:rPr>
          <w:rFonts w:ascii="Arial" w:hAnsi="Arial" w:cs="Arial"/>
          <w:sz w:val="18"/>
          <w:szCs w:val="16"/>
          <w:lang w:val="es-CO"/>
        </w:rPr>
        <w:t>`</w:t>
      </w:r>
    </w:p>
  </w:footnote>
  <w:footnote w:id="4">
    <w:p w:rsidR="00CC1F57" w:rsidRPr="00C74D55" w:rsidRDefault="00CC1F57" w:rsidP="00CC1F57">
      <w:pPr>
        <w:pStyle w:val="Textonotapie"/>
        <w:jc w:val="both"/>
        <w:rPr>
          <w:rFonts w:ascii="Arial" w:hAnsi="Arial" w:cs="Arial"/>
          <w:sz w:val="18"/>
          <w:szCs w:val="16"/>
        </w:rPr>
      </w:pPr>
      <w:r w:rsidRPr="00C74D55">
        <w:rPr>
          <w:rStyle w:val="Refdenotaalpie"/>
          <w:rFonts w:ascii="Arial" w:hAnsi="Arial" w:cs="Arial"/>
          <w:sz w:val="18"/>
          <w:szCs w:val="16"/>
        </w:rPr>
        <w:footnoteRef/>
      </w:r>
      <w:r w:rsidRPr="00C74D55">
        <w:rPr>
          <w:rFonts w:ascii="Arial" w:hAnsi="Arial" w:cs="Arial"/>
          <w:sz w:val="18"/>
          <w:szCs w:val="16"/>
        </w:rPr>
        <w:t xml:space="preserve"> Ver entre otras la sentencia del 21 de septiembre de 2.011. Rad. # 36.023. M.P. FERNANDO ALBERTO CASTRO CABALLERO.    </w:t>
      </w:r>
    </w:p>
  </w:footnote>
  <w:footnote w:id="5">
    <w:p w:rsidR="00CC1F57" w:rsidRPr="00C74D55" w:rsidRDefault="00CC1F57" w:rsidP="00CC1F57">
      <w:pPr>
        <w:pStyle w:val="Sinespaciado"/>
        <w:rPr>
          <w:rFonts w:ascii="Arial" w:hAnsi="Arial"/>
          <w:b w:val="0"/>
          <w:sz w:val="18"/>
          <w:szCs w:val="16"/>
        </w:rPr>
      </w:pPr>
      <w:r w:rsidRPr="00C74D55">
        <w:rPr>
          <w:rStyle w:val="Refdenotaalpie"/>
          <w:rFonts w:ascii="Arial" w:hAnsi="Arial"/>
          <w:b w:val="0"/>
          <w:sz w:val="18"/>
          <w:szCs w:val="16"/>
        </w:rPr>
        <w:footnoteRef/>
      </w:r>
      <w:r w:rsidRPr="00C74D55">
        <w:rPr>
          <w:rFonts w:ascii="Arial" w:hAnsi="Arial"/>
          <w:b w:val="0"/>
          <w:sz w:val="18"/>
          <w:szCs w:val="16"/>
        </w:rPr>
        <w:t xml:space="preserve"> Son aquellos que </w:t>
      </w:r>
      <w:r w:rsidRPr="00C74D55">
        <w:rPr>
          <w:rFonts w:ascii="Arial" w:hAnsi="Arial"/>
          <w:b w:val="0"/>
          <w:sz w:val="18"/>
          <w:szCs w:val="16"/>
          <w:shd w:val="clear" w:color="auto" w:fill="FFFFFF"/>
        </w:rPr>
        <w:t xml:space="preserve">constituyen, modifican o extinguen relaciones jurídicas o dejan constancia de una determinada situación de hecho. </w:t>
      </w:r>
      <w:proofErr w:type="spellStart"/>
      <w:r w:rsidRPr="00C74D55">
        <w:rPr>
          <w:rFonts w:ascii="Arial" w:hAnsi="Arial"/>
          <w:b w:val="0"/>
          <w:sz w:val="18"/>
          <w:szCs w:val="16"/>
          <w:shd w:val="clear" w:color="auto" w:fill="FFFFFF"/>
        </w:rPr>
        <w:t>Vg</w:t>
      </w:r>
      <w:proofErr w:type="spellEnd"/>
      <w:r w:rsidRPr="00C74D55">
        <w:rPr>
          <w:rFonts w:ascii="Arial" w:hAnsi="Arial"/>
          <w:b w:val="0"/>
          <w:sz w:val="18"/>
          <w:szCs w:val="16"/>
          <w:shd w:val="clear" w:color="auto" w:fill="FFFFFF"/>
        </w:rPr>
        <w:t>. Un contrato, una historia clínica, un libro de comercio, etc…</w:t>
      </w:r>
    </w:p>
  </w:footnote>
  <w:footnote w:id="6">
    <w:p w:rsidR="00CC1F57" w:rsidRPr="00C74D55" w:rsidRDefault="00CC1F57" w:rsidP="00CC1F57">
      <w:pPr>
        <w:pStyle w:val="Sinespaciado"/>
        <w:rPr>
          <w:rFonts w:ascii="Arial" w:hAnsi="Arial"/>
          <w:b w:val="0"/>
          <w:sz w:val="16"/>
          <w:szCs w:val="16"/>
        </w:rPr>
      </w:pPr>
      <w:r w:rsidRPr="00C74D55">
        <w:rPr>
          <w:rStyle w:val="Refdenotaalpie"/>
          <w:rFonts w:ascii="Arial" w:hAnsi="Arial"/>
          <w:b w:val="0"/>
          <w:sz w:val="18"/>
          <w:szCs w:val="16"/>
        </w:rPr>
        <w:footnoteRef/>
      </w:r>
      <w:r w:rsidRPr="00C74D55">
        <w:rPr>
          <w:rFonts w:ascii="Arial" w:hAnsi="Arial"/>
          <w:b w:val="0"/>
          <w:sz w:val="18"/>
          <w:szCs w:val="16"/>
        </w:rPr>
        <w:t xml:space="preserve"> </w:t>
      </w:r>
      <w:r w:rsidRPr="00C74D55">
        <w:rPr>
          <w:rFonts w:ascii="Arial" w:hAnsi="Arial"/>
          <w:b w:val="0"/>
          <w:sz w:val="18"/>
          <w:szCs w:val="16"/>
          <w:shd w:val="clear" w:color="auto" w:fill="FFFFFF"/>
        </w:rPr>
        <w:t xml:space="preserve">Se trata de aquellos documentos en los que a pesar de no contener una declaración de voluntad, su contenido puede generar efectos probatorios. </w:t>
      </w:r>
      <w:proofErr w:type="spellStart"/>
      <w:r w:rsidRPr="00C74D55">
        <w:rPr>
          <w:rFonts w:ascii="Arial" w:hAnsi="Arial"/>
          <w:b w:val="0"/>
          <w:sz w:val="18"/>
          <w:szCs w:val="16"/>
          <w:shd w:val="clear" w:color="auto" w:fill="FFFFFF"/>
        </w:rPr>
        <w:t>Vg</w:t>
      </w:r>
      <w:proofErr w:type="spellEnd"/>
      <w:r w:rsidRPr="00C74D55">
        <w:rPr>
          <w:rFonts w:ascii="Arial" w:hAnsi="Arial"/>
          <w:b w:val="0"/>
          <w:sz w:val="18"/>
          <w:szCs w:val="16"/>
          <w:shd w:val="clear" w:color="auto" w:fill="FFFFFF"/>
        </w:rPr>
        <w:t>. Mojones, fotográficas, planos,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62" w:rsidRPr="006A0032" w:rsidRDefault="009E7662" w:rsidP="00BB6721">
    <w:pPr>
      <w:pStyle w:val="Textoindependiente"/>
      <w:jc w:val="right"/>
      <w:rPr>
        <w:rFonts w:ascii="Arial" w:hAnsi="Arial" w:cs="Arial"/>
        <w:sz w:val="18"/>
        <w:szCs w:val="16"/>
        <w:lang w:val="es-MX"/>
      </w:rPr>
    </w:pPr>
    <w:r w:rsidRPr="006A0032">
      <w:rPr>
        <w:rFonts w:ascii="Arial" w:hAnsi="Arial" w:cs="Arial"/>
        <w:sz w:val="18"/>
        <w:szCs w:val="16"/>
        <w:lang w:val="es-MX"/>
      </w:rPr>
      <w:t>Radicado: 66001 60 00 036 2013 02665 01</w:t>
    </w:r>
  </w:p>
  <w:p w:rsidR="009E7662" w:rsidRPr="006A0032" w:rsidRDefault="009E7662" w:rsidP="00BB6721">
    <w:pPr>
      <w:jc w:val="right"/>
      <w:rPr>
        <w:rFonts w:ascii="Arial" w:hAnsi="Arial" w:cs="Arial"/>
        <w:sz w:val="18"/>
        <w:szCs w:val="16"/>
        <w:lang w:val="es-MX"/>
      </w:rPr>
    </w:pPr>
    <w:r w:rsidRPr="006A0032">
      <w:rPr>
        <w:rFonts w:ascii="Arial" w:hAnsi="Arial" w:cs="Arial"/>
        <w:sz w:val="18"/>
        <w:szCs w:val="16"/>
        <w:lang w:val="es-MX"/>
      </w:rPr>
      <w:t xml:space="preserve">Acusados: </w:t>
    </w:r>
    <w:proofErr w:type="spellStart"/>
    <w:r w:rsidR="00E1362A">
      <w:rPr>
        <w:rFonts w:ascii="Arial" w:hAnsi="Arial" w:cs="Arial"/>
        <w:sz w:val="18"/>
        <w:szCs w:val="16"/>
        <w:lang w:val="es-MX"/>
      </w:rPr>
      <w:t>M.C.V.V</w:t>
    </w:r>
    <w:proofErr w:type="spellEnd"/>
    <w:r w:rsidR="00E1362A">
      <w:rPr>
        <w:rFonts w:ascii="Arial" w:hAnsi="Arial" w:cs="Arial"/>
        <w:sz w:val="18"/>
        <w:szCs w:val="16"/>
        <w:lang w:val="es-MX"/>
      </w:rPr>
      <w:t>.</w:t>
    </w:r>
    <w:r w:rsidRPr="006A0032">
      <w:rPr>
        <w:rFonts w:ascii="Arial" w:hAnsi="Arial" w:cs="Arial"/>
        <w:sz w:val="18"/>
        <w:szCs w:val="16"/>
        <w:lang w:val="es-MX"/>
      </w:rPr>
      <w:t xml:space="preserve"> </w:t>
    </w:r>
  </w:p>
  <w:p w:rsidR="009E7662" w:rsidRPr="006A0032" w:rsidRDefault="009E7662" w:rsidP="00BB6721">
    <w:pPr>
      <w:jc w:val="right"/>
      <w:rPr>
        <w:rFonts w:ascii="Arial" w:hAnsi="Arial" w:cs="Arial"/>
        <w:sz w:val="18"/>
        <w:szCs w:val="16"/>
        <w:lang w:val="es-MX"/>
      </w:rPr>
    </w:pPr>
    <w:r w:rsidRPr="006A0032">
      <w:rPr>
        <w:rFonts w:ascii="Arial" w:hAnsi="Arial" w:cs="Arial"/>
        <w:sz w:val="18"/>
        <w:szCs w:val="16"/>
        <w:lang w:val="es-MX"/>
      </w:rPr>
      <w:t>Delito: Abuso de condiciones de inferioridad agravado</w:t>
    </w:r>
  </w:p>
  <w:p w:rsidR="009E7662" w:rsidRPr="006A0032" w:rsidRDefault="009E7662" w:rsidP="00BB6721">
    <w:pPr>
      <w:pStyle w:val="Textoindependiente"/>
      <w:jc w:val="right"/>
      <w:rPr>
        <w:rFonts w:ascii="Arial" w:hAnsi="Arial" w:cs="Arial"/>
        <w:sz w:val="18"/>
        <w:szCs w:val="16"/>
      </w:rPr>
    </w:pPr>
    <w:r w:rsidRPr="006A0032">
      <w:rPr>
        <w:rFonts w:ascii="Arial" w:hAnsi="Arial" w:cs="Arial"/>
        <w:sz w:val="18"/>
        <w:szCs w:val="16"/>
        <w:lang w:val="es-MX"/>
      </w:rPr>
      <w:t>Asunto: Confirma auto de primera instancia</w:t>
    </w:r>
  </w:p>
  <w:p w:rsidR="009E7662" w:rsidRPr="00C74D55" w:rsidRDefault="009E7662" w:rsidP="00BB6721">
    <w:pPr>
      <w:pStyle w:val="Textoindependiente"/>
      <w:jc w:val="right"/>
      <w:rPr>
        <w:rFonts w:ascii="Arial" w:hAnsi="Arial" w:cs="Arial"/>
        <w:b/>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80E3D"/>
    <w:multiLevelType w:val="hybridMultilevel"/>
    <w:tmpl w:val="BB10E7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B54C1D"/>
    <w:multiLevelType w:val="hybridMultilevel"/>
    <w:tmpl w:val="D3B458DC"/>
    <w:lvl w:ilvl="0" w:tplc="51FA7ED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DC2581E"/>
    <w:multiLevelType w:val="multilevel"/>
    <w:tmpl w:val="94B8E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E862A23"/>
    <w:multiLevelType w:val="hybridMultilevel"/>
    <w:tmpl w:val="6ADCE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AC3C2A"/>
    <w:multiLevelType w:val="hybridMultilevel"/>
    <w:tmpl w:val="BF500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7CA2BA3"/>
    <w:multiLevelType w:val="hybridMultilevel"/>
    <w:tmpl w:val="BA024F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5035C4"/>
    <w:multiLevelType w:val="hybridMultilevel"/>
    <w:tmpl w:val="ACE8B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681AB4"/>
    <w:multiLevelType w:val="hybridMultilevel"/>
    <w:tmpl w:val="7182F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5D695E"/>
    <w:multiLevelType w:val="hybridMultilevel"/>
    <w:tmpl w:val="32CC3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30E419D"/>
    <w:multiLevelType w:val="hybridMultilevel"/>
    <w:tmpl w:val="EA8C7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2D43166"/>
    <w:multiLevelType w:val="hybridMultilevel"/>
    <w:tmpl w:val="9FEE0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BD86437"/>
    <w:multiLevelType w:val="hybridMultilevel"/>
    <w:tmpl w:val="B8AC3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9"/>
  </w:num>
  <w:num w:numId="7">
    <w:abstractNumId w:val="6"/>
  </w:num>
  <w:num w:numId="8">
    <w:abstractNumId w:val="10"/>
  </w:num>
  <w:num w:numId="9">
    <w:abstractNumId w:val="11"/>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85"/>
    <w:rsid w:val="0001228A"/>
    <w:rsid w:val="00041C5D"/>
    <w:rsid w:val="00042DFB"/>
    <w:rsid w:val="00047557"/>
    <w:rsid w:val="00047BC1"/>
    <w:rsid w:val="00067D3E"/>
    <w:rsid w:val="00071DD8"/>
    <w:rsid w:val="00073C4A"/>
    <w:rsid w:val="00075A25"/>
    <w:rsid w:val="000954D9"/>
    <w:rsid w:val="00095E87"/>
    <w:rsid w:val="000976A1"/>
    <w:rsid w:val="000A69C8"/>
    <w:rsid w:val="000C0AB4"/>
    <w:rsid w:val="000C10A6"/>
    <w:rsid w:val="000C3EDD"/>
    <w:rsid w:val="000F048B"/>
    <w:rsid w:val="000F329E"/>
    <w:rsid w:val="00111CD2"/>
    <w:rsid w:val="00113E32"/>
    <w:rsid w:val="00131ECA"/>
    <w:rsid w:val="0014126B"/>
    <w:rsid w:val="00181BEF"/>
    <w:rsid w:val="001936AC"/>
    <w:rsid w:val="001A0CB4"/>
    <w:rsid w:val="001A737E"/>
    <w:rsid w:val="001E1C1F"/>
    <w:rsid w:val="001F0603"/>
    <w:rsid w:val="00236808"/>
    <w:rsid w:val="00237FF2"/>
    <w:rsid w:val="0025548F"/>
    <w:rsid w:val="00273C13"/>
    <w:rsid w:val="002C0E8F"/>
    <w:rsid w:val="002D103F"/>
    <w:rsid w:val="002F4322"/>
    <w:rsid w:val="00303FC2"/>
    <w:rsid w:val="003067DC"/>
    <w:rsid w:val="003147FC"/>
    <w:rsid w:val="0033398B"/>
    <w:rsid w:val="0033456D"/>
    <w:rsid w:val="003415E0"/>
    <w:rsid w:val="003454FE"/>
    <w:rsid w:val="00357262"/>
    <w:rsid w:val="00361856"/>
    <w:rsid w:val="003718A3"/>
    <w:rsid w:val="00383C86"/>
    <w:rsid w:val="003A0FDB"/>
    <w:rsid w:val="003B4447"/>
    <w:rsid w:val="003C5CAB"/>
    <w:rsid w:val="003D0120"/>
    <w:rsid w:val="003E1CA8"/>
    <w:rsid w:val="003F6DD4"/>
    <w:rsid w:val="00427173"/>
    <w:rsid w:val="004275A3"/>
    <w:rsid w:val="004403F0"/>
    <w:rsid w:val="0045771F"/>
    <w:rsid w:val="00464967"/>
    <w:rsid w:val="004718B6"/>
    <w:rsid w:val="004908E9"/>
    <w:rsid w:val="004B5A24"/>
    <w:rsid w:val="004C6DD9"/>
    <w:rsid w:val="004E2BCD"/>
    <w:rsid w:val="004E5056"/>
    <w:rsid w:val="00505A19"/>
    <w:rsid w:val="00530247"/>
    <w:rsid w:val="005333EA"/>
    <w:rsid w:val="00570FCC"/>
    <w:rsid w:val="00571483"/>
    <w:rsid w:val="00585D49"/>
    <w:rsid w:val="00590A31"/>
    <w:rsid w:val="00592816"/>
    <w:rsid w:val="005B44E8"/>
    <w:rsid w:val="005D4B7A"/>
    <w:rsid w:val="005D64B1"/>
    <w:rsid w:val="005E1CA4"/>
    <w:rsid w:val="005E6555"/>
    <w:rsid w:val="00615571"/>
    <w:rsid w:val="00620B59"/>
    <w:rsid w:val="006246E7"/>
    <w:rsid w:val="006420AD"/>
    <w:rsid w:val="006A0032"/>
    <w:rsid w:val="006A0C88"/>
    <w:rsid w:val="006B1FC2"/>
    <w:rsid w:val="006B34AD"/>
    <w:rsid w:val="006B5220"/>
    <w:rsid w:val="006D2E37"/>
    <w:rsid w:val="006D2ECB"/>
    <w:rsid w:val="006E1D79"/>
    <w:rsid w:val="007126BA"/>
    <w:rsid w:val="00725179"/>
    <w:rsid w:val="00725A36"/>
    <w:rsid w:val="007300FC"/>
    <w:rsid w:val="007326DF"/>
    <w:rsid w:val="00751389"/>
    <w:rsid w:val="00754BC4"/>
    <w:rsid w:val="007651CD"/>
    <w:rsid w:val="00776AFF"/>
    <w:rsid w:val="00777943"/>
    <w:rsid w:val="007A5913"/>
    <w:rsid w:val="007D1498"/>
    <w:rsid w:val="007D4F5D"/>
    <w:rsid w:val="007F4538"/>
    <w:rsid w:val="0083316C"/>
    <w:rsid w:val="00840A04"/>
    <w:rsid w:val="00840E68"/>
    <w:rsid w:val="008B3EF3"/>
    <w:rsid w:val="008B4C9A"/>
    <w:rsid w:val="008B4EB5"/>
    <w:rsid w:val="008D2F79"/>
    <w:rsid w:val="008D72B2"/>
    <w:rsid w:val="00910D8A"/>
    <w:rsid w:val="009112C0"/>
    <w:rsid w:val="009335AA"/>
    <w:rsid w:val="00953FCA"/>
    <w:rsid w:val="00972430"/>
    <w:rsid w:val="009915B8"/>
    <w:rsid w:val="009A6D91"/>
    <w:rsid w:val="009C1276"/>
    <w:rsid w:val="009D1180"/>
    <w:rsid w:val="009E5304"/>
    <w:rsid w:val="009E7662"/>
    <w:rsid w:val="009F2B83"/>
    <w:rsid w:val="00A01132"/>
    <w:rsid w:val="00A428F5"/>
    <w:rsid w:val="00A45218"/>
    <w:rsid w:val="00A54185"/>
    <w:rsid w:val="00A63E2C"/>
    <w:rsid w:val="00A67A73"/>
    <w:rsid w:val="00A70911"/>
    <w:rsid w:val="00A720E6"/>
    <w:rsid w:val="00A77B68"/>
    <w:rsid w:val="00AC329A"/>
    <w:rsid w:val="00AC68B0"/>
    <w:rsid w:val="00AD1B64"/>
    <w:rsid w:val="00AD620B"/>
    <w:rsid w:val="00AE0E8A"/>
    <w:rsid w:val="00AF1488"/>
    <w:rsid w:val="00AF6AF5"/>
    <w:rsid w:val="00B51BEC"/>
    <w:rsid w:val="00B55223"/>
    <w:rsid w:val="00B63AC6"/>
    <w:rsid w:val="00B74BE0"/>
    <w:rsid w:val="00B83475"/>
    <w:rsid w:val="00B837BA"/>
    <w:rsid w:val="00B86C96"/>
    <w:rsid w:val="00B97764"/>
    <w:rsid w:val="00BA437A"/>
    <w:rsid w:val="00BB321C"/>
    <w:rsid w:val="00BB6721"/>
    <w:rsid w:val="00BB7595"/>
    <w:rsid w:val="00BD4644"/>
    <w:rsid w:val="00BD7CF8"/>
    <w:rsid w:val="00BE4853"/>
    <w:rsid w:val="00BF215C"/>
    <w:rsid w:val="00C14E21"/>
    <w:rsid w:val="00C20FE0"/>
    <w:rsid w:val="00C30085"/>
    <w:rsid w:val="00C66B78"/>
    <w:rsid w:val="00C74D55"/>
    <w:rsid w:val="00C84485"/>
    <w:rsid w:val="00C87453"/>
    <w:rsid w:val="00CA2D42"/>
    <w:rsid w:val="00CB4585"/>
    <w:rsid w:val="00CC1F57"/>
    <w:rsid w:val="00CC59D9"/>
    <w:rsid w:val="00CC69CD"/>
    <w:rsid w:val="00CD0626"/>
    <w:rsid w:val="00CD0869"/>
    <w:rsid w:val="00CD2994"/>
    <w:rsid w:val="00CF2687"/>
    <w:rsid w:val="00CF5849"/>
    <w:rsid w:val="00D03F82"/>
    <w:rsid w:val="00D30C85"/>
    <w:rsid w:val="00D37197"/>
    <w:rsid w:val="00D5763C"/>
    <w:rsid w:val="00D7535F"/>
    <w:rsid w:val="00D90C14"/>
    <w:rsid w:val="00DC5335"/>
    <w:rsid w:val="00DC561A"/>
    <w:rsid w:val="00DC6B9B"/>
    <w:rsid w:val="00DD1A95"/>
    <w:rsid w:val="00DD3190"/>
    <w:rsid w:val="00DE7BAE"/>
    <w:rsid w:val="00E03F1A"/>
    <w:rsid w:val="00E1362A"/>
    <w:rsid w:val="00E161A0"/>
    <w:rsid w:val="00E2450D"/>
    <w:rsid w:val="00E630AA"/>
    <w:rsid w:val="00E63413"/>
    <w:rsid w:val="00E66D46"/>
    <w:rsid w:val="00E71001"/>
    <w:rsid w:val="00E77ACF"/>
    <w:rsid w:val="00EB78E6"/>
    <w:rsid w:val="00EF26D9"/>
    <w:rsid w:val="00EF3025"/>
    <w:rsid w:val="00EF5A36"/>
    <w:rsid w:val="00F11078"/>
    <w:rsid w:val="00F16118"/>
    <w:rsid w:val="00F218DD"/>
    <w:rsid w:val="00F22ED7"/>
    <w:rsid w:val="00F27E06"/>
    <w:rsid w:val="00F47F44"/>
    <w:rsid w:val="00F64EAF"/>
    <w:rsid w:val="00FA2292"/>
    <w:rsid w:val="00FA5FF9"/>
    <w:rsid w:val="00FB52D3"/>
    <w:rsid w:val="00FD2219"/>
    <w:rsid w:val="00FE2A53"/>
    <w:rsid w:val="00FF1C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EEB6DD-70D0-45EB-AAB3-6A9CEA16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85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20F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C20FE0"/>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9"/>
    <w:qFormat/>
    <w:rsid w:val="00BE4853"/>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C20FE0"/>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autoRedefine/>
    <w:uiPriority w:val="1"/>
    <w:qFormat/>
    <w:rsid w:val="00EB78E6"/>
    <w:pPr>
      <w:overflowPunct w:val="0"/>
      <w:autoSpaceDE w:val="0"/>
      <w:autoSpaceDN w:val="0"/>
      <w:adjustRightInd w:val="0"/>
      <w:spacing w:after="0" w:line="240" w:lineRule="auto"/>
      <w:jc w:val="both"/>
      <w:textAlignment w:val="baseline"/>
    </w:pPr>
    <w:rPr>
      <w:rFonts w:ascii="Candara" w:eastAsia="Times New Roman" w:hAnsi="Candara" w:cs="Arial"/>
      <w:b/>
      <w:spacing w:val="2"/>
      <w:lang w:val="es-ES_tradnl" w:eastAsia="es-ES"/>
    </w:rPr>
  </w:style>
  <w:style w:type="paragraph" w:styleId="Textodeglobo">
    <w:name w:val="Balloon Text"/>
    <w:basedOn w:val="Normal"/>
    <w:link w:val="TextodegloboCar"/>
    <w:uiPriority w:val="99"/>
    <w:semiHidden/>
    <w:unhideWhenUsed/>
    <w:rsid w:val="001A73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37E"/>
    <w:rPr>
      <w:rFonts w:ascii="Segoe UI" w:hAnsi="Segoe UI" w:cs="Segoe UI"/>
      <w:sz w:val="18"/>
      <w:szCs w:val="18"/>
    </w:rPr>
  </w:style>
  <w:style w:type="character" w:customStyle="1" w:styleId="Ttulo4Car">
    <w:name w:val="Título 4 Car"/>
    <w:basedOn w:val="Fuentedeprrafopredeter"/>
    <w:link w:val="Ttulo4"/>
    <w:uiPriority w:val="99"/>
    <w:rsid w:val="00BE4853"/>
    <w:rPr>
      <w:rFonts w:ascii="Times New Roman" w:eastAsia="Times New Roman" w:hAnsi="Times New Roman" w:cs="Times New Roman"/>
      <w:b/>
      <w:bCs/>
      <w:sz w:val="28"/>
      <w:szCs w:val="28"/>
      <w:lang w:eastAsia="es-ES"/>
    </w:rPr>
  </w:style>
  <w:style w:type="paragraph" w:styleId="Textonotapie">
    <w:name w:val="footnote text"/>
    <w:aliases w:val="Footnote Text Char Char Char Char Char,Footnote Text Char Char Char Char,Footnote reference,FA Fu,Texto nota pie Car Car Car,Texto nota pie Car Car Car Car Car Car Car Car Car Car Car,FA Fu Car Car Car Car Car,Ref. de nota al pie1,FA ,Car"/>
    <w:basedOn w:val="Normal"/>
    <w:link w:val="TextonotapieCar1"/>
    <w:uiPriority w:val="99"/>
    <w:qFormat/>
    <w:rsid w:val="00BE4853"/>
    <w:rPr>
      <w:sz w:val="20"/>
      <w:szCs w:val="20"/>
    </w:rPr>
  </w:style>
  <w:style w:type="character" w:customStyle="1" w:styleId="TextonotapieCar">
    <w:name w:val="Texto nota pie Car"/>
    <w:aliases w:val="texto de nota al pie Car"/>
    <w:basedOn w:val="Fuentedeprrafopredeter"/>
    <w:uiPriority w:val="99"/>
    <w:semiHidden/>
    <w:rsid w:val="00BE4853"/>
    <w:rPr>
      <w:rFonts w:ascii="Times New Roman" w:eastAsia="Times New Roman" w:hAnsi="Times New Roman" w:cs="Times New Roman"/>
      <w:sz w:val="20"/>
      <w:szCs w:val="20"/>
      <w:lang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4_G,R,FZ,f1"/>
    <w:uiPriority w:val="99"/>
    <w:qFormat/>
    <w:rsid w:val="00BE4853"/>
    <w:rPr>
      <w:vertAlign w:val="superscript"/>
    </w:rPr>
  </w:style>
  <w:style w:type="paragraph" w:styleId="Textoindependiente">
    <w:name w:val="Body Text"/>
    <w:basedOn w:val="Normal"/>
    <w:link w:val="TextoindependienteCar"/>
    <w:rsid w:val="00BE4853"/>
    <w:pPr>
      <w:jc w:val="both"/>
    </w:pPr>
    <w:rPr>
      <w:sz w:val="28"/>
    </w:rPr>
  </w:style>
  <w:style w:type="character" w:customStyle="1" w:styleId="TextoindependienteCar">
    <w:name w:val="Texto independiente Car"/>
    <w:basedOn w:val="Fuentedeprrafopredeter"/>
    <w:link w:val="Textoindependiente"/>
    <w:rsid w:val="00BE4853"/>
    <w:rPr>
      <w:rFonts w:ascii="Times New Roman" w:eastAsia="Times New Roman" w:hAnsi="Times New Roman" w:cs="Times New Roman"/>
      <w:sz w:val="28"/>
      <w:szCs w:val="24"/>
      <w:lang w:eastAsia="es-ES"/>
    </w:rPr>
  </w:style>
  <w:style w:type="character" w:customStyle="1" w:styleId="TextonotapieCar1">
    <w:name w:val="Texto nota pie Car1"/>
    <w:aliases w:val="Footnote Text Char Char Char Char Char Car,Footnote Text Char Char Char Char Car,Footnote reference Car,FA Fu Car,Texto nota pie Car Car Car Car,Texto nota pie Car Car Car Car Car Car Car Car Car Car Car Car,Ref. de nota al pie1 Car"/>
    <w:link w:val="Textonotapie"/>
    <w:rsid w:val="00BE4853"/>
    <w:rPr>
      <w:rFonts w:ascii="Times New Roman" w:eastAsia="Times New Roman" w:hAnsi="Times New Roman" w:cs="Times New Roman"/>
      <w:sz w:val="20"/>
      <w:szCs w:val="20"/>
      <w:lang w:eastAsia="es-ES"/>
    </w:rPr>
  </w:style>
  <w:style w:type="paragraph" w:styleId="Piedepgina">
    <w:name w:val="footer"/>
    <w:basedOn w:val="Normal"/>
    <w:link w:val="PiedepginaCar"/>
    <w:rsid w:val="00BE4853"/>
    <w:pPr>
      <w:tabs>
        <w:tab w:val="center" w:pos="4252"/>
        <w:tab w:val="right" w:pos="8504"/>
      </w:tabs>
    </w:pPr>
  </w:style>
  <w:style w:type="character" w:customStyle="1" w:styleId="PiedepginaCar">
    <w:name w:val="Pie de página Car"/>
    <w:basedOn w:val="Fuentedeprrafopredeter"/>
    <w:link w:val="Piedepgina"/>
    <w:rsid w:val="00BE4853"/>
    <w:rPr>
      <w:rFonts w:ascii="Times New Roman" w:eastAsia="Times New Roman" w:hAnsi="Times New Roman" w:cs="Times New Roman"/>
      <w:sz w:val="24"/>
      <w:szCs w:val="24"/>
      <w:lang w:eastAsia="es-ES"/>
    </w:rPr>
  </w:style>
  <w:style w:type="character" w:styleId="Nmerodepgina">
    <w:name w:val="page number"/>
    <w:basedOn w:val="Fuentedeprrafopredeter"/>
    <w:rsid w:val="00BE4853"/>
  </w:style>
  <w:style w:type="paragraph" w:styleId="Prrafodelista">
    <w:name w:val="List Paragraph"/>
    <w:basedOn w:val="Normal"/>
    <w:uiPriority w:val="34"/>
    <w:qFormat/>
    <w:rsid w:val="00BE4853"/>
    <w:pPr>
      <w:ind w:left="708"/>
    </w:pPr>
  </w:style>
  <w:style w:type="character" w:customStyle="1" w:styleId="SinespaciadoCar">
    <w:name w:val="Sin espaciado Car"/>
    <w:link w:val="Sinespaciado"/>
    <w:uiPriority w:val="1"/>
    <w:locked/>
    <w:rsid w:val="00BE4853"/>
    <w:rPr>
      <w:rFonts w:ascii="Candara" w:eastAsia="Times New Roman" w:hAnsi="Candara" w:cs="Arial"/>
      <w:b/>
      <w:spacing w:val="2"/>
      <w:lang w:val="es-ES_tradnl" w:eastAsia="es-ES"/>
    </w:rPr>
  </w:style>
  <w:style w:type="paragraph" w:styleId="Encabezado">
    <w:name w:val="header"/>
    <w:basedOn w:val="Normal"/>
    <w:link w:val="EncabezadoCar"/>
    <w:unhideWhenUsed/>
    <w:rsid w:val="009112C0"/>
    <w:pPr>
      <w:tabs>
        <w:tab w:val="center" w:pos="4252"/>
        <w:tab w:val="right" w:pos="8504"/>
      </w:tabs>
    </w:pPr>
  </w:style>
  <w:style w:type="character" w:customStyle="1" w:styleId="EncabezadoCar">
    <w:name w:val="Encabezado Car"/>
    <w:basedOn w:val="Fuentedeprrafopredeter"/>
    <w:link w:val="Encabezado"/>
    <w:rsid w:val="009112C0"/>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C20FE0"/>
    <w:rPr>
      <w:rFonts w:asciiTheme="majorHAnsi" w:eastAsiaTheme="majorEastAsia" w:hAnsiTheme="majorHAnsi" w:cstheme="majorBidi"/>
      <w:color w:val="2E74B5" w:themeColor="accent1" w:themeShade="BF"/>
      <w:sz w:val="32"/>
      <w:szCs w:val="32"/>
      <w:lang w:eastAsia="es-ES"/>
    </w:rPr>
  </w:style>
  <w:style w:type="character" w:customStyle="1" w:styleId="Ttulo3Car">
    <w:name w:val="Título 3 Car"/>
    <w:basedOn w:val="Fuentedeprrafopredeter"/>
    <w:link w:val="Ttulo3"/>
    <w:uiPriority w:val="9"/>
    <w:semiHidden/>
    <w:rsid w:val="00C20FE0"/>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uiPriority w:val="9"/>
    <w:semiHidden/>
    <w:rsid w:val="00C20FE0"/>
    <w:rPr>
      <w:rFonts w:asciiTheme="majorHAnsi" w:eastAsiaTheme="majorEastAsia" w:hAnsiTheme="majorHAnsi" w:cstheme="majorBidi"/>
      <w:color w:val="2E74B5" w:themeColor="accent1" w:themeShade="BF"/>
      <w:sz w:val="24"/>
      <w:szCs w:val="24"/>
      <w:lang w:eastAsia="es-ES"/>
    </w:rPr>
  </w:style>
  <w:style w:type="paragraph" w:styleId="Sangradetextonormal">
    <w:name w:val="Body Text Indent"/>
    <w:basedOn w:val="Normal"/>
    <w:link w:val="SangradetextonormalCar"/>
    <w:uiPriority w:val="99"/>
    <w:semiHidden/>
    <w:unhideWhenUsed/>
    <w:rsid w:val="00C20FE0"/>
    <w:pPr>
      <w:spacing w:after="120"/>
      <w:ind w:left="283"/>
    </w:pPr>
  </w:style>
  <w:style w:type="character" w:customStyle="1" w:styleId="SangradetextonormalCar">
    <w:name w:val="Sangría de texto normal Car"/>
    <w:basedOn w:val="Fuentedeprrafopredeter"/>
    <w:link w:val="Sangradetextonormal"/>
    <w:uiPriority w:val="99"/>
    <w:semiHidden/>
    <w:rsid w:val="00C20FE0"/>
    <w:rPr>
      <w:rFonts w:ascii="Times New Roman" w:eastAsia="Times New Roman" w:hAnsi="Times New Roman" w:cs="Times New Roman"/>
      <w:sz w:val="24"/>
      <w:szCs w:val="24"/>
      <w:lang w:eastAsia="es-ES"/>
    </w:rPr>
  </w:style>
  <w:style w:type="paragraph" w:customStyle="1" w:styleId="a">
    <w:basedOn w:val="Normal"/>
    <w:next w:val="Puesto"/>
    <w:link w:val="TtuloCar"/>
    <w:qFormat/>
    <w:rsid w:val="00C20FE0"/>
    <w:pPr>
      <w:spacing w:line="360" w:lineRule="auto"/>
      <w:jc w:val="center"/>
    </w:pPr>
    <w:rPr>
      <w:rFonts w:ascii="Arial" w:hAnsi="Arial"/>
      <w:b/>
      <w:sz w:val="28"/>
      <w:szCs w:val="20"/>
      <w:lang w:val="es-ES_tradnl"/>
    </w:rPr>
  </w:style>
  <w:style w:type="character" w:customStyle="1" w:styleId="TtuloCar">
    <w:name w:val="Título Car"/>
    <w:link w:val="a"/>
    <w:rsid w:val="00C20FE0"/>
    <w:rPr>
      <w:rFonts w:ascii="Arial" w:hAnsi="Arial"/>
      <w:b/>
      <w:sz w:val="28"/>
      <w:lang w:val="es-ES_tradnl" w:eastAsia="es-ES"/>
    </w:rPr>
  </w:style>
  <w:style w:type="paragraph" w:styleId="Sangra3detindependiente">
    <w:name w:val="Body Text Indent 3"/>
    <w:basedOn w:val="Normal"/>
    <w:link w:val="Sangra3detindependienteCar"/>
    <w:rsid w:val="00C20FE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20FE0"/>
    <w:rPr>
      <w:rFonts w:ascii="Times New Roman" w:eastAsia="Times New Roman" w:hAnsi="Times New Roman" w:cs="Times New Roman"/>
      <w:sz w:val="16"/>
      <w:szCs w:val="16"/>
      <w:lang w:eastAsia="es-ES"/>
    </w:rPr>
  </w:style>
  <w:style w:type="paragraph" w:styleId="Puesto">
    <w:name w:val="Title"/>
    <w:basedOn w:val="Normal"/>
    <w:next w:val="Normal"/>
    <w:link w:val="PuestoCar"/>
    <w:uiPriority w:val="10"/>
    <w:qFormat/>
    <w:rsid w:val="00C20FE0"/>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20FE0"/>
    <w:rPr>
      <w:rFonts w:asciiTheme="majorHAnsi" w:eastAsiaTheme="majorEastAsia" w:hAnsiTheme="majorHAnsi" w:cstheme="majorBidi"/>
      <w:spacing w:val="-10"/>
      <w:kern w:val="28"/>
      <w:sz w:val="56"/>
      <w:szCs w:val="56"/>
      <w:lang w:eastAsia="es-ES"/>
    </w:rPr>
  </w:style>
  <w:style w:type="paragraph" w:customStyle="1" w:styleId="Sinespaciado1">
    <w:name w:val="Sin espaciado1"/>
    <w:uiPriority w:val="99"/>
    <w:rsid w:val="00CC1F57"/>
    <w:pPr>
      <w:spacing w:after="0" w:line="240" w:lineRule="auto"/>
    </w:pPr>
    <w:rPr>
      <w:rFonts w:ascii="Verdana" w:eastAsia="Times New Roman" w:hAnsi="Verdana" w:cs="Verdan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783B3-FEB2-491C-B86A-FCA22846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12</Pages>
  <Words>5370</Words>
  <Characters>29536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18</cp:revision>
  <cp:lastPrinted>2019-01-30T18:30:00Z</cp:lastPrinted>
  <dcterms:created xsi:type="dcterms:W3CDTF">2019-01-30T16:08:00Z</dcterms:created>
  <dcterms:modified xsi:type="dcterms:W3CDTF">2019-02-18T13:33:00Z</dcterms:modified>
</cp:coreProperties>
</file>