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23" w:rsidRPr="00A11E23" w:rsidRDefault="00A11E23" w:rsidP="00A11E2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A11E23">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11E23" w:rsidRPr="00A11E23" w:rsidRDefault="00A11E23" w:rsidP="00A11E23">
      <w:pPr>
        <w:spacing w:after="0" w:line="240" w:lineRule="auto"/>
        <w:jc w:val="both"/>
        <w:rPr>
          <w:rFonts w:ascii="Arial" w:eastAsia="Times New Roman" w:hAnsi="Arial" w:cs="Arial"/>
          <w:sz w:val="20"/>
          <w:szCs w:val="20"/>
          <w:lang w:val="es-419" w:eastAsia="es-ES"/>
        </w:rPr>
      </w:pPr>
    </w:p>
    <w:p w:rsidR="00A11E23" w:rsidRPr="00993C0D" w:rsidRDefault="00A11E23" w:rsidP="00A11E23">
      <w:pPr>
        <w:spacing w:after="0" w:line="240" w:lineRule="auto"/>
        <w:jc w:val="both"/>
        <w:rPr>
          <w:rFonts w:ascii="Arial" w:eastAsia="Times New Roman" w:hAnsi="Arial" w:cs="Arial"/>
          <w:b/>
          <w:bCs/>
          <w:iCs/>
          <w:sz w:val="20"/>
          <w:szCs w:val="20"/>
          <w:lang w:val="es-419" w:eastAsia="fr-FR"/>
        </w:rPr>
      </w:pPr>
      <w:r w:rsidRPr="00A11E23">
        <w:rPr>
          <w:rFonts w:ascii="Arial" w:eastAsia="Times New Roman" w:hAnsi="Arial" w:cs="Arial"/>
          <w:b/>
          <w:bCs/>
          <w:iCs/>
          <w:sz w:val="20"/>
          <w:szCs w:val="20"/>
          <w:lang w:val="es-419" w:eastAsia="fr-FR"/>
        </w:rPr>
        <w:t>TEMAS:</w:t>
      </w:r>
      <w:r w:rsidRPr="00A11E23">
        <w:rPr>
          <w:rFonts w:ascii="Arial" w:eastAsia="Times New Roman" w:hAnsi="Arial" w:cs="Arial"/>
          <w:b/>
          <w:bCs/>
          <w:iCs/>
          <w:sz w:val="20"/>
          <w:szCs w:val="20"/>
          <w:lang w:val="es-419" w:eastAsia="fr-FR"/>
        </w:rPr>
        <w:tab/>
      </w:r>
      <w:r w:rsidR="00993C0D"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A11E23" w:rsidRPr="00A11E23" w:rsidRDefault="00A11E23" w:rsidP="00A11E23">
      <w:pPr>
        <w:spacing w:after="0" w:line="240" w:lineRule="auto"/>
        <w:jc w:val="both"/>
        <w:rPr>
          <w:rFonts w:ascii="Arial" w:eastAsia="Times New Roman" w:hAnsi="Arial" w:cs="Arial"/>
          <w:sz w:val="20"/>
          <w:szCs w:val="20"/>
          <w:lang w:val="es-419" w:eastAsia="es-ES"/>
        </w:rPr>
      </w:pPr>
    </w:p>
    <w:p w:rsidR="00993C0D" w:rsidRPr="00993C0D" w:rsidRDefault="00993C0D" w:rsidP="00993C0D">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993C0D" w:rsidRPr="00993C0D" w:rsidRDefault="00993C0D" w:rsidP="00993C0D">
      <w:pPr>
        <w:spacing w:after="0" w:line="240" w:lineRule="auto"/>
        <w:jc w:val="both"/>
        <w:rPr>
          <w:rFonts w:ascii="Arial" w:eastAsia="Times New Roman" w:hAnsi="Arial" w:cs="Arial"/>
          <w:sz w:val="20"/>
          <w:szCs w:val="20"/>
          <w:lang w:val="es-419" w:eastAsia="es-ES"/>
        </w:rPr>
      </w:pPr>
    </w:p>
    <w:p w:rsidR="00993C0D" w:rsidRPr="00993C0D" w:rsidRDefault="00993C0D" w:rsidP="00993C0D">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993C0D" w:rsidRPr="00993C0D" w:rsidRDefault="00993C0D" w:rsidP="00993C0D">
      <w:pPr>
        <w:spacing w:after="0" w:line="240" w:lineRule="auto"/>
        <w:jc w:val="both"/>
        <w:rPr>
          <w:rFonts w:ascii="Arial" w:eastAsia="Times New Roman" w:hAnsi="Arial" w:cs="Arial"/>
          <w:sz w:val="20"/>
          <w:szCs w:val="20"/>
          <w:lang w:val="es-419" w:eastAsia="es-ES"/>
        </w:rPr>
      </w:pPr>
    </w:p>
    <w:p w:rsidR="00A11E23" w:rsidRDefault="00993C0D" w:rsidP="00993C0D">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993C0D" w:rsidRDefault="00993C0D" w:rsidP="00993C0D">
      <w:pPr>
        <w:spacing w:after="0" w:line="240" w:lineRule="auto"/>
        <w:jc w:val="both"/>
        <w:rPr>
          <w:rFonts w:ascii="Arial" w:eastAsia="Times New Roman" w:hAnsi="Arial" w:cs="Arial"/>
          <w:sz w:val="20"/>
          <w:szCs w:val="20"/>
          <w:lang w:val="es-419" w:eastAsia="es-ES"/>
        </w:rPr>
      </w:pPr>
    </w:p>
    <w:p w:rsidR="00993C0D" w:rsidRPr="00A11E23" w:rsidRDefault="00993C0D" w:rsidP="00993C0D">
      <w:pPr>
        <w:spacing w:after="0" w:line="240" w:lineRule="auto"/>
        <w:jc w:val="both"/>
        <w:rPr>
          <w:rFonts w:ascii="Arial" w:eastAsia="Times New Roman" w:hAnsi="Arial" w:cs="Arial"/>
          <w:sz w:val="20"/>
          <w:szCs w:val="20"/>
          <w:lang w:val="es-419" w:eastAsia="es-ES"/>
        </w:rPr>
      </w:pPr>
    </w:p>
    <w:p w:rsidR="00A11E23" w:rsidRPr="00A11E23" w:rsidRDefault="00A11E23" w:rsidP="00A11E23">
      <w:pPr>
        <w:spacing w:after="0" w:line="240" w:lineRule="auto"/>
        <w:jc w:val="both"/>
        <w:rPr>
          <w:rFonts w:ascii="Arial" w:eastAsia="Times New Roman" w:hAnsi="Arial" w:cs="Arial"/>
          <w:sz w:val="20"/>
          <w:szCs w:val="20"/>
          <w:lang w:val="es-419" w:eastAsia="es-ES"/>
        </w:rPr>
      </w:pPr>
    </w:p>
    <w:p w:rsidR="00B80748" w:rsidRPr="004B2216" w:rsidRDefault="00B80748" w:rsidP="00A11E23">
      <w:pPr>
        <w:pStyle w:val="Sinespaciado"/>
        <w:spacing w:line="288" w:lineRule="auto"/>
        <w:jc w:val="center"/>
        <w:rPr>
          <w:rFonts w:ascii="Arial" w:hAnsi="Arial" w:cs="Arial"/>
          <w:b/>
        </w:rPr>
      </w:pPr>
      <w:r w:rsidRPr="004B2216">
        <w:rPr>
          <w:rFonts w:ascii="Arial" w:hAnsi="Arial" w:cs="Arial"/>
          <w:b/>
        </w:rPr>
        <w:t>RAMA JUDICIAL DEL PODER PÚBLICO</w:t>
      </w:r>
    </w:p>
    <w:p w:rsidR="00B80748" w:rsidRPr="00A11E23" w:rsidRDefault="00B80748" w:rsidP="00A11E23">
      <w:pPr>
        <w:pStyle w:val="Sinespaciado"/>
        <w:spacing w:line="288" w:lineRule="auto"/>
        <w:jc w:val="center"/>
        <w:rPr>
          <w:rFonts w:ascii="Arial" w:hAnsi="Arial" w:cs="Arial"/>
        </w:rPr>
      </w:pPr>
      <w:r w:rsidRPr="00A11E23">
        <w:rPr>
          <w:rFonts w:ascii="Arial" w:hAnsi="Arial" w:cs="Arial"/>
          <w:bCs/>
          <w:noProof/>
        </w:rPr>
        <w:drawing>
          <wp:inline distT="0" distB="0" distL="0" distR="0" wp14:anchorId="2657E387" wp14:editId="14C07675">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4B2216" w:rsidRDefault="00B80748" w:rsidP="00A11E23">
      <w:pPr>
        <w:pStyle w:val="Sinespaciado"/>
        <w:spacing w:line="288" w:lineRule="auto"/>
        <w:jc w:val="center"/>
        <w:rPr>
          <w:rFonts w:ascii="Arial" w:hAnsi="Arial" w:cs="Arial"/>
          <w:b/>
        </w:rPr>
      </w:pPr>
      <w:r w:rsidRPr="004B2216">
        <w:rPr>
          <w:rFonts w:ascii="Arial" w:hAnsi="Arial" w:cs="Arial"/>
          <w:b/>
        </w:rPr>
        <w:t>TRIBUNAL SUPERIOR DEL DISTRITO JUDICIAL DE PEREIRA - RISARALDA</w:t>
      </w:r>
    </w:p>
    <w:p w:rsidR="00B80748" w:rsidRPr="004B2216" w:rsidRDefault="00B80748" w:rsidP="00A11E23">
      <w:pPr>
        <w:pStyle w:val="Sinespaciado"/>
        <w:spacing w:line="288" w:lineRule="auto"/>
        <w:jc w:val="center"/>
        <w:rPr>
          <w:rFonts w:ascii="Arial" w:hAnsi="Arial" w:cs="Arial"/>
          <w:b/>
        </w:rPr>
      </w:pPr>
      <w:r w:rsidRPr="004B2216">
        <w:rPr>
          <w:rFonts w:ascii="Arial" w:hAnsi="Arial" w:cs="Arial"/>
          <w:b/>
        </w:rPr>
        <w:t>SALA DE DECISIÓN PENAL</w:t>
      </w:r>
    </w:p>
    <w:p w:rsidR="00B80748" w:rsidRPr="004B2216" w:rsidRDefault="00B80748" w:rsidP="00A11E23">
      <w:pPr>
        <w:pStyle w:val="Sinespaciado"/>
        <w:spacing w:line="288" w:lineRule="auto"/>
        <w:jc w:val="center"/>
        <w:rPr>
          <w:rFonts w:ascii="Arial" w:hAnsi="Arial" w:cs="Arial"/>
          <w:b/>
        </w:rPr>
      </w:pPr>
    </w:p>
    <w:p w:rsidR="00B80748" w:rsidRPr="004B2216" w:rsidRDefault="00B80748" w:rsidP="00A11E23">
      <w:pPr>
        <w:pStyle w:val="Sinespaciado"/>
        <w:spacing w:line="288" w:lineRule="auto"/>
        <w:jc w:val="center"/>
        <w:rPr>
          <w:rFonts w:ascii="Arial" w:hAnsi="Arial" w:cs="Arial"/>
          <w:b/>
        </w:rPr>
      </w:pPr>
      <w:r w:rsidRPr="004B2216">
        <w:rPr>
          <w:rFonts w:ascii="Arial" w:hAnsi="Arial" w:cs="Arial"/>
          <w:b/>
        </w:rPr>
        <w:t>M.P. JAIRO ERNESTO ESCOBAR SANZ</w:t>
      </w:r>
    </w:p>
    <w:p w:rsidR="00B80748" w:rsidRPr="00A11E23" w:rsidRDefault="00B80748" w:rsidP="00A11E23">
      <w:pPr>
        <w:pStyle w:val="Sinespaciado"/>
        <w:spacing w:line="288" w:lineRule="auto"/>
        <w:rPr>
          <w:rFonts w:ascii="Arial" w:hAnsi="Arial" w:cs="Arial"/>
        </w:rPr>
      </w:pPr>
    </w:p>
    <w:p w:rsidR="00B54302" w:rsidRDefault="00B54302" w:rsidP="00A11E23">
      <w:pPr>
        <w:pStyle w:val="Sinespaciado"/>
        <w:spacing w:line="288" w:lineRule="auto"/>
        <w:jc w:val="both"/>
        <w:rPr>
          <w:rFonts w:ascii="Arial" w:hAnsi="Arial" w:cs="Arial"/>
        </w:rPr>
      </w:pPr>
      <w:r w:rsidRPr="00A11E23">
        <w:rPr>
          <w:rFonts w:ascii="Arial" w:hAnsi="Arial" w:cs="Arial"/>
        </w:rPr>
        <w:t>Proyecto aprobado mediante acta Nro. 026</w:t>
      </w:r>
      <w:r w:rsidR="00C63CD2" w:rsidRPr="00A11E23">
        <w:rPr>
          <w:rFonts w:ascii="Arial" w:hAnsi="Arial" w:cs="Arial"/>
        </w:rPr>
        <w:t>3</w:t>
      </w:r>
      <w:r w:rsidRPr="00A11E23">
        <w:rPr>
          <w:rFonts w:ascii="Arial" w:hAnsi="Arial" w:cs="Arial"/>
        </w:rPr>
        <w:t xml:space="preserve"> del trece (13) de marzo de dos mil diecinueve (2019)</w:t>
      </w:r>
    </w:p>
    <w:p w:rsidR="00A11E23" w:rsidRPr="00A11E23" w:rsidRDefault="00A11E23" w:rsidP="00A11E23">
      <w:pPr>
        <w:pStyle w:val="Sinespaciado"/>
        <w:spacing w:line="288" w:lineRule="auto"/>
        <w:jc w:val="both"/>
        <w:rPr>
          <w:rFonts w:ascii="Arial" w:hAnsi="Arial" w:cs="Arial"/>
        </w:rPr>
      </w:pPr>
    </w:p>
    <w:p w:rsidR="00B54302" w:rsidRPr="00A11E23" w:rsidRDefault="00B54302" w:rsidP="00A11E23">
      <w:pPr>
        <w:pStyle w:val="Sinespaciado"/>
        <w:spacing w:line="288" w:lineRule="auto"/>
        <w:jc w:val="both"/>
        <w:rPr>
          <w:rFonts w:ascii="Arial" w:hAnsi="Arial" w:cs="Arial"/>
        </w:rPr>
      </w:pPr>
      <w:r w:rsidRPr="00A11E23">
        <w:rPr>
          <w:rFonts w:ascii="Arial" w:hAnsi="Arial" w:cs="Arial"/>
        </w:rPr>
        <w:t>Pereira, catorce (14) de marzo de dos mil diecinueve (2019)</w:t>
      </w:r>
    </w:p>
    <w:p w:rsidR="00B80748" w:rsidRPr="00A11E23" w:rsidRDefault="00B54302" w:rsidP="00A11E23">
      <w:pPr>
        <w:pStyle w:val="Sinespaciado"/>
        <w:spacing w:line="288" w:lineRule="auto"/>
        <w:jc w:val="both"/>
        <w:rPr>
          <w:rFonts w:ascii="Arial" w:hAnsi="Arial" w:cs="Arial"/>
        </w:rPr>
      </w:pPr>
      <w:r w:rsidRPr="00A11E23">
        <w:rPr>
          <w:rFonts w:ascii="Arial" w:hAnsi="Arial" w:cs="Arial"/>
        </w:rPr>
        <w:t>Hora: 8:40 a.m.</w:t>
      </w:r>
    </w:p>
    <w:p w:rsidR="00473BE7" w:rsidRDefault="00473BE7" w:rsidP="00A11E23">
      <w:pPr>
        <w:pStyle w:val="Sinespaciado"/>
        <w:spacing w:line="288" w:lineRule="auto"/>
        <w:jc w:val="both"/>
        <w:rPr>
          <w:rFonts w:ascii="Arial" w:hAnsi="Arial" w:cs="Arial"/>
        </w:rPr>
      </w:pPr>
    </w:p>
    <w:p w:rsidR="00AB1668" w:rsidRPr="00A11E23" w:rsidRDefault="00AB1668" w:rsidP="00A11E23">
      <w:pPr>
        <w:pStyle w:val="Sinespaciado"/>
        <w:spacing w:line="288" w:lineRule="auto"/>
        <w:jc w:val="both"/>
        <w:rPr>
          <w:rFonts w:ascii="Arial" w:hAnsi="Arial" w:cs="Arial"/>
        </w:rPr>
      </w:pPr>
    </w:p>
    <w:p w:rsidR="00B80748" w:rsidRPr="00A11E23" w:rsidRDefault="00B80748" w:rsidP="00A11E23">
      <w:pPr>
        <w:pStyle w:val="Sinespaciado"/>
        <w:spacing w:line="288" w:lineRule="auto"/>
        <w:jc w:val="center"/>
        <w:rPr>
          <w:rFonts w:ascii="Arial" w:hAnsi="Arial" w:cs="Arial"/>
        </w:rPr>
      </w:pPr>
      <w:r w:rsidRPr="00A11E23">
        <w:rPr>
          <w:rFonts w:ascii="Arial" w:hAnsi="Arial" w:cs="Arial"/>
        </w:rPr>
        <w:t>1. ASUNTO A DECIDIR</w:t>
      </w:r>
    </w:p>
    <w:p w:rsidR="00B80748" w:rsidRPr="00A11E23" w:rsidRDefault="00B80748" w:rsidP="00A11E23">
      <w:pPr>
        <w:pStyle w:val="Sinespaciado"/>
        <w:spacing w:line="288" w:lineRule="auto"/>
        <w:jc w:val="both"/>
        <w:rPr>
          <w:rFonts w:ascii="Arial" w:hAnsi="Arial" w:cs="Arial"/>
        </w:rPr>
      </w:pPr>
    </w:p>
    <w:p w:rsidR="00B80748" w:rsidRPr="00A11E23" w:rsidRDefault="00B80748" w:rsidP="00A11E23">
      <w:pPr>
        <w:pStyle w:val="Sinespaciado"/>
        <w:spacing w:line="288" w:lineRule="auto"/>
        <w:jc w:val="both"/>
        <w:rPr>
          <w:rFonts w:ascii="Arial" w:hAnsi="Arial" w:cs="Arial"/>
          <w:u w:val="single"/>
        </w:rPr>
      </w:pPr>
      <w:r w:rsidRPr="00A11E23">
        <w:rPr>
          <w:rFonts w:ascii="Arial" w:hAnsi="Arial" w:cs="Arial"/>
        </w:rPr>
        <w:t xml:space="preserve">Se entra a resolver lo concerniente al recurso de apelación interpuesto por el apoderado </w:t>
      </w:r>
      <w:r w:rsidR="000D18CE" w:rsidRPr="00A11E23">
        <w:rPr>
          <w:rFonts w:ascii="Arial" w:hAnsi="Arial" w:cs="Arial"/>
        </w:rPr>
        <w:t>de la DIAN,</w:t>
      </w:r>
      <w:r w:rsidR="00DC5E6D" w:rsidRPr="00A11E23">
        <w:rPr>
          <w:rFonts w:ascii="Arial" w:hAnsi="Arial" w:cs="Arial"/>
        </w:rPr>
        <w:t xml:space="preserve"> en contra del auto proferido el</w:t>
      </w:r>
      <w:r w:rsidR="000D18CE" w:rsidRPr="00A11E23">
        <w:rPr>
          <w:rFonts w:ascii="Arial" w:hAnsi="Arial" w:cs="Arial"/>
        </w:rPr>
        <w:t xml:space="preserve"> 21 de febrero de 2018</w:t>
      </w:r>
      <w:r w:rsidR="007D7E88" w:rsidRPr="00A11E23">
        <w:rPr>
          <w:rFonts w:ascii="Arial" w:hAnsi="Arial" w:cs="Arial"/>
        </w:rPr>
        <w:t>, p</w:t>
      </w:r>
      <w:r w:rsidR="00DC5E6D" w:rsidRPr="00A11E23">
        <w:rPr>
          <w:rFonts w:ascii="Arial" w:hAnsi="Arial" w:cs="Arial"/>
        </w:rPr>
        <w:t>or e</w:t>
      </w:r>
      <w:r w:rsidRPr="00A11E23">
        <w:rPr>
          <w:rFonts w:ascii="Arial" w:hAnsi="Arial" w:cs="Arial"/>
        </w:rPr>
        <w:t xml:space="preserve">l </w:t>
      </w:r>
      <w:r w:rsidRPr="00A11E23">
        <w:rPr>
          <w:rFonts w:ascii="Arial" w:hAnsi="Arial" w:cs="Arial"/>
        </w:rPr>
        <w:lastRenderedPageBreak/>
        <w:t xml:space="preserve">Juzgado </w:t>
      </w:r>
      <w:r w:rsidR="007D7E88" w:rsidRPr="00A11E23">
        <w:rPr>
          <w:rFonts w:ascii="Arial" w:hAnsi="Arial" w:cs="Arial"/>
        </w:rPr>
        <w:t xml:space="preserve">5º </w:t>
      </w:r>
      <w:r w:rsidR="00DC5E6D" w:rsidRPr="00A11E23">
        <w:rPr>
          <w:rFonts w:ascii="Arial" w:hAnsi="Arial" w:cs="Arial"/>
        </w:rPr>
        <w:t xml:space="preserve">Penal </w:t>
      </w:r>
      <w:r w:rsidRPr="00A11E23">
        <w:rPr>
          <w:rFonts w:ascii="Arial" w:hAnsi="Arial" w:cs="Arial"/>
        </w:rPr>
        <w:t xml:space="preserve">del Circuito </w:t>
      </w:r>
      <w:r w:rsidR="00D94C0A" w:rsidRPr="00A11E23">
        <w:rPr>
          <w:rFonts w:ascii="Arial" w:hAnsi="Arial" w:cs="Arial"/>
        </w:rPr>
        <w:t>de Pereira, mediante la cual rechazó de plano</w:t>
      </w:r>
      <w:r w:rsidR="007D7E88" w:rsidRPr="00A11E23">
        <w:rPr>
          <w:rFonts w:ascii="Arial" w:hAnsi="Arial" w:cs="Arial"/>
        </w:rPr>
        <w:t xml:space="preserve"> su solicitud pa</w:t>
      </w:r>
      <w:r w:rsidR="000D18CE" w:rsidRPr="00A11E23">
        <w:rPr>
          <w:rFonts w:ascii="Arial" w:hAnsi="Arial" w:cs="Arial"/>
        </w:rPr>
        <w:t>ra</w:t>
      </w:r>
      <w:r w:rsidR="00DC5E6D" w:rsidRPr="00A11E23">
        <w:rPr>
          <w:rFonts w:ascii="Arial" w:hAnsi="Arial" w:cs="Arial"/>
        </w:rPr>
        <w:t xml:space="preserve"> iniciar el </w:t>
      </w:r>
      <w:proofErr w:type="spellStart"/>
      <w:r w:rsidR="007D7E88" w:rsidRPr="00A11E23">
        <w:rPr>
          <w:rFonts w:ascii="Arial" w:hAnsi="Arial" w:cs="Arial"/>
        </w:rPr>
        <w:t>IRP</w:t>
      </w:r>
      <w:proofErr w:type="spellEnd"/>
      <w:r w:rsidR="007D7E88" w:rsidRPr="00A11E23">
        <w:rPr>
          <w:rFonts w:ascii="Arial" w:hAnsi="Arial" w:cs="Arial"/>
        </w:rPr>
        <w:t xml:space="preserve"> contra el señor </w:t>
      </w:r>
      <w:proofErr w:type="spellStart"/>
      <w:r w:rsidR="00814DBE">
        <w:rPr>
          <w:rFonts w:ascii="Arial" w:hAnsi="Arial" w:cs="Arial"/>
        </w:rPr>
        <w:t>JAAH</w:t>
      </w:r>
      <w:proofErr w:type="spellEnd"/>
      <w:r w:rsidR="007D7E88" w:rsidRPr="00A11E23">
        <w:rPr>
          <w:rFonts w:ascii="Arial" w:hAnsi="Arial" w:cs="Arial"/>
        </w:rPr>
        <w:t>.</w:t>
      </w:r>
      <w:r w:rsidR="00DC5E6D" w:rsidRPr="00A11E23">
        <w:rPr>
          <w:rFonts w:ascii="Arial" w:hAnsi="Arial" w:cs="Arial"/>
        </w:rPr>
        <w:t xml:space="preserve"> </w:t>
      </w:r>
    </w:p>
    <w:p w:rsidR="00B80748" w:rsidRDefault="00B80748" w:rsidP="00A11E23">
      <w:pPr>
        <w:pStyle w:val="Sinespaciado"/>
        <w:spacing w:line="288" w:lineRule="auto"/>
        <w:jc w:val="both"/>
        <w:rPr>
          <w:rFonts w:ascii="Arial" w:hAnsi="Arial" w:cs="Arial"/>
        </w:rPr>
      </w:pPr>
    </w:p>
    <w:p w:rsidR="00AB1668" w:rsidRPr="00A11E23" w:rsidRDefault="00AB1668" w:rsidP="00A11E23">
      <w:pPr>
        <w:pStyle w:val="Sinespaciado"/>
        <w:spacing w:line="288" w:lineRule="auto"/>
        <w:jc w:val="both"/>
        <w:rPr>
          <w:rFonts w:ascii="Arial" w:hAnsi="Arial" w:cs="Arial"/>
        </w:rPr>
      </w:pPr>
    </w:p>
    <w:p w:rsidR="00B80748" w:rsidRPr="00A11E23" w:rsidRDefault="00B80748" w:rsidP="00A11E23">
      <w:pPr>
        <w:pStyle w:val="Sinespaciado"/>
        <w:spacing w:line="288" w:lineRule="auto"/>
        <w:jc w:val="center"/>
        <w:rPr>
          <w:rFonts w:ascii="Arial" w:hAnsi="Arial" w:cs="Arial"/>
        </w:rPr>
      </w:pPr>
      <w:r w:rsidRPr="00A11E23">
        <w:rPr>
          <w:rFonts w:ascii="Arial" w:hAnsi="Arial" w:cs="Arial"/>
        </w:rPr>
        <w:t>2. ANTECEDENTES</w:t>
      </w:r>
    </w:p>
    <w:p w:rsidR="00B80748" w:rsidRPr="00A11E23" w:rsidRDefault="00B80748" w:rsidP="00A11E23">
      <w:pPr>
        <w:pStyle w:val="Sinespaciado"/>
        <w:spacing w:line="288" w:lineRule="auto"/>
        <w:jc w:val="center"/>
        <w:rPr>
          <w:rFonts w:ascii="Arial" w:hAnsi="Arial" w:cs="Arial"/>
        </w:rPr>
      </w:pPr>
    </w:p>
    <w:p w:rsidR="00806949" w:rsidRPr="00A11E23" w:rsidRDefault="001B305C" w:rsidP="00A11E23">
      <w:pPr>
        <w:pStyle w:val="Sinespaciado"/>
        <w:spacing w:line="288" w:lineRule="auto"/>
        <w:jc w:val="both"/>
        <w:rPr>
          <w:rFonts w:ascii="Arial" w:hAnsi="Arial" w:cs="Arial"/>
        </w:rPr>
      </w:pPr>
      <w:r w:rsidRPr="00A11E23">
        <w:rPr>
          <w:rFonts w:ascii="Arial" w:hAnsi="Arial" w:cs="Arial"/>
        </w:rPr>
        <w:t xml:space="preserve">2.1. </w:t>
      </w:r>
      <w:r w:rsidR="00D94C0A" w:rsidRPr="00A11E23">
        <w:rPr>
          <w:rFonts w:ascii="Arial" w:hAnsi="Arial" w:cs="Arial"/>
        </w:rPr>
        <w:t xml:space="preserve">El </w:t>
      </w:r>
      <w:r w:rsidR="000D18CE" w:rsidRPr="00A11E23">
        <w:rPr>
          <w:rFonts w:ascii="Arial" w:hAnsi="Arial" w:cs="Arial"/>
        </w:rPr>
        <w:t>26 de septiembre de 2017 el Juzgado 5º Penal del C</w:t>
      </w:r>
      <w:r w:rsidR="007D7E88" w:rsidRPr="00A11E23">
        <w:rPr>
          <w:rFonts w:ascii="Arial" w:hAnsi="Arial" w:cs="Arial"/>
        </w:rPr>
        <w:t>ircuito de</w:t>
      </w:r>
      <w:r w:rsidR="00DB5371" w:rsidRPr="00A11E23">
        <w:rPr>
          <w:rFonts w:ascii="Arial" w:hAnsi="Arial" w:cs="Arial"/>
        </w:rPr>
        <w:t xml:space="preserve"> e</w:t>
      </w:r>
      <w:r w:rsidR="000620C6" w:rsidRPr="00A11E23">
        <w:rPr>
          <w:rFonts w:ascii="Arial" w:hAnsi="Arial" w:cs="Arial"/>
        </w:rPr>
        <w:t>sta ciudad dictó sentencia antic</w:t>
      </w:r>
      <w:r w:rsidR="000D18CE" w:rsidRPr="00A11E23">
        <w:rPr>
          <w:rFonts w:ascii="Arial" w:hAnsi="Arial" w:cs="Arial"/>
        </w:rPr>
        <w:t>ipada por allanamiento a cargos</w:t>
      </w:r>
      <w:r w:rsidR="000620C6" w:rsidRPr="00A11E23">
        <w:rPr>
          <w:rFonts w:ascii="Arial" w:hAnsi="Arial" w:cs="Arial"/>
        </w:rPr>
        <w:t xml:space="preserve">, contra el señor </w:t>
      </w:r>
      <w:bookmarkStart w:id="0" w:name="_GoBack"/>
      <w:bookmarkEnd w:id="0"/>
      <w:proofErr w:type="spellStart"/>
      <w:r w:rsidR="00814DBE">
        <w:rPr>
          <w:rFonts w:ascii="Arial" w:hAnsi="Arial" w:cs="Arial"/>
        </w:rPr>
        <w:t>JAAH</w:t>
      </w:r>
      <w:proofErr w:type="spellEnd"/>
      <w:r w:rsidR="000620C6" w:rsidRPr="00A11E23">
        <w:rPr>
          <w:rFonts w:ascii="Arial" w:hAnsi="Arial" w:cs="Arial"/>
        </w:rPr>
        <w:t xml:space="preserve">, quien fue condenado a 24 meses de </w:t>
      </w:r>
      <w:r w:rsidR="000D18CE" w:rsidRPr="00A11E23">
        <w:rPr>
          <w:rFonts w:ascii="Arial" w:hAnsi="Arial" w:cs="Arial"/>
        </w:rPr>
        <w:t>prisión y multa equivalente a $</w:t>
      </w:r>
      <w:r w:rsidR="000620C6" w:rsidRPr="00A11E23">
        <w:rPr>
          <w:rFonts w:ascii="Arial" w:hAnsi="Arial" w:cs="Arial"/>
        </w:rPr>
        <w:t xml:space="preserve">7.862.000, como responsable del </w:t>
      </w:r>
      <w:r w:rsidR="00A8137F" w:rsidRPr="00A11E23">
        <w:rPr>
          <w:rFonts w:ascii="Arial" w:hAnsi="Arial" w:cs="Arial"/>
        </w:rPr>
        <w:t>injusto penal de omisión d</w:t>
      </w:r>
      <w:r w:rsidR="000D18CE" w:rsidRPr="00A11E23">
        <w:rPr>
          <w:rFonts w:ascii="Arial" w:hAnsi="Arial" w:cs="Arial"/>
        </w:rPr>
        <w:t>e agente retenedor o recaudador</w:t>
      </w:r>
      <w:r w:rsidR="00A8137F" w:rsidRPr="00A11E23">
        <w:rPr>
          <w:rFonts w:ascii="Arial" w:hAnsi="Arial" w:cs="Arial"/>
        </w:rPr>
        <w:t xml:space="preserve"> </w:t>
      </w:r>
      <w:r w:rsidR="000D18CE" w:rsidRPr="00A11E23">
        <w:rPr>
          <w:rFonts w:ascii="Arial" w:hAnsi="Arial" w:cs="Arial"/>
        </w:rPr>
        <w:t>(art. 402 CP)(</w:t>
      </w:r>
      <w:proofErr w:type="spellStart"/>
      <w:r w:rsidR="000D18CE" w:rsidRPr="00A11E23">
        <w:rPr>
          <w:rFonts w:ascii="Arial" w:hAnsi="Arial" w:cs="Arial"/>
        </w:rPr>
        <w:t>Fl</w:t>
      </w:r>
      <w:proofErr w:type="spellEnd"/>
      <w:r w:rsidR="00A8137F" w:rsidRPr="00A11E23">
        <w:rPr>
          <w:rFonts w:ascii="Arial" w:hAnsi="Arial" w:cs="Arial"/>
        </w:rPr>
        <w:t>. 2-5</w:t>
      </w:r>
      <w:r w:rsidR="00806949" w:rsidRPr="00A11E23">
        <w:rPr>
          <w:rFonts w:ascii="Arial" w:hAnsi="Arial" w:cs="Arial"/>
        </w:rPr>
        <w:t xml:space="preserve">). </w:t>
      </w:r>
    </w:p>
    <w:p w:rsidR="000D18CE" w:rsidRDefault="000D18CE" w:rsidP="00A11E23">
      <w:pPr>
        <w:pStyle w:val="Sinespaciado"/>
        <w:spacing w:line="288" w:lineRule="auto"/>
        <w:jc w:val="both"/>
        <w:rPr>
          <w:rFonts w:ascii="Arial" w:hAnsi="Arial" w:cs="Arial"/>
        </w:rPr>
      </w:pPr>
    </w:p>
    <w:p w:rsidR="00AB1668" w:rsidRPr="00A11E23" w:rsidRDefault="00AB1668" w:rsidP="00A11E23">
      <w:pPr>
        <w:pStyle w:val="Sinespaciado"/>
        <w:spacing w:line="288" w:lineRule="auto"/>
        <w:jc w:val="both"/>
        <w:rPr>
          <w:rFonts w:ascii="Arial" w:hAnsi="Arial" w:cs="Arial"/>
        </w:rPr>
      </w:pPr>
    </w:p>
    <w:p w:rsidR="00132C5D" w:rsidRPr="00A11E23" w:rsidRDefault="0084514E" w:rsidP="00A11E23">
      <w:pPr>
        <w:pStyle w:val="Sinespaciado"/>
        <w:spacing w:line="288" w:lineRule="auto"/>
        <w:jc w:val="center"/>
        <w:rPr>
          <w:rFonts w:ascii="Arial" w:hAnsi="Arial" w:cs="Arial"/>
        </w:rPr>
      </w:pPr>
      <w:r w:rsidRPr="00A11E23">
        <w:rPr>
          <w:rFonts w:ascii="Arial" w:hAnsi="Arial" w:cs="Arial"/>
        </w:rPr>
        <w:t>3 SOBRE LA DECISIÓ</w:t>
      </w:r>
      <w:r w:rsidR="00132C5D" w:rsidRPr="00A11E23">
        <w:rPr>
          <w:rFonts w:ascii="Arial" w:hAnsi="Arial" w:cs="Arial"/>
        </w:rPr>
        <w:t>N OBJETO DEL RECURSO</w:t>
      </w:r>
    </w:p>
    <w:p w:rsidR="00132C5D" w:rsidRPr="00A11E23" w:rsidRDefault="00132C5D" w:rsidP="00A11E23">
      <w:pPr>
        <w:pStyle w:val="Sinespaciado"/>
        <w:spacing w:line="288" w:lineRule="auto"/>
        <w:jc w:val="both"/>
        <w:rPr>
          <w:rFonts w:ascii="Arial" w:hAnsi="Arial" w:cs="Arial"/>
        </w:rPr>
      </w:pPr>
    </w:p>
    <w:p w:rsidR="00132C5D" w:rsidRDefault="00132C5D" w:rsidP="00A11E23">
      <w:pPr>
        <w:pStyle w:val="Sinespaciado"/>
        <w:spacing w:line="288" w:lineRule="auto"/>
        <w:jc w:val="both"/>
        <w:rPr>
          <w:rFonts w:ascii="Arial" w:hAnsi="Arial" w:cs="Arial"/>
        </w:rPr>
      </w:pPr>
      <w:r w:rsidRPr="00A11E23">
        <w:rPr>
          <w:rFonts w:ascii="Arial" w:hAnsi="Arial" w:cs="Arial"/>
        </w:rPr>
        <w:t xml:space="preserve">3.1 Al iniciarse la audiencia inicial del </w:t>
      </w:r>
      <w:proofErr w:type="spellStart"/>
      <w:r w:rsidRPr="00A11E23">
        <w:rPr>
          <w:rFonts w:ascii="Arial" w:hAnsi="Arial" w:cs="Arial"/>
        </w:rPr>
        <w:t>IRP</w:t>
      </w:r>
      <w:proofErr w:type="spellEnd"/>
      <w:r w:rsidRPr="00A11E23">
        <w:rPr>
          <w:rFonts w:ascii="Arial" w:hAnsi="Arial" w:cs="Arial"/>
        </w:rPr>
        <w:t xml:space="preserve">, el </w:t>
      </w:r>
      <w:r w:rsidR="00B70EDF" w:rsidRPr="00A11E23">
        <w:rPr>
          <w:rFonts w:ascii="Arial" w:hAnsi="Arial" w:cs="Arial"/>
        </w:rPr>
        <w:t xml:space="preserve"> juez de primer grado hizo referencia a la pretensión del </w:t>
      </w:r>
      <w:r w:rsidR="0084514E" w:rsidRPr="00A11E23">
        <w:rPr>
          <w:rFonts w:ascii="Arial" w:hAnsi="Arial" w:cs="Arial"/>
        </w:rPr>
        <w:t>apoderado de la DIAN,</w:t>
      </w:r>
      <w:r w:rsidR="00B70EDF" w:rsidRPr="00A11E23">
        <w:rPr>
          <w:rFonts w:ascii="Arial" w:hAnsi="Arial" w:cs="Arial"/>
        </w:rPr>
        <w:t xml:space="preserve"> y luego de citar normas de carácter </w:t>
      </w:r>
      <w:r w:rsidR="00B922A2" w:rsidRPr="00A11E23">
        <w:rPr>
          <w:rFonts w:ascii="Arial" w:hAnsi="Arial" w:cs="Arial"/>
        </w:rPr>
        <w:t xml:space="preserve">internacional </w:t>
      </w:r>
      <w:r w:rsidR="0084514E" w:rsidRPr="00A11E23">
        <w:rPr>
          <w:rFonts w:ascii="Arial" w:hAnsi="Arial" w:cs="Arial"/>
        </w:rPr>
        <w:t>y nacional, relacionadas con el</w:t>
      </w:r>
      <w:r w:rsidR="00B922A2" w:rsidRPr="00A11E23">
        <w:rPr>
          <w:rFonts w:ascii="Arial" w:hAnsi="Arial" w:cs="Arial"/>
        </w:rPr>
        <w:t xml:space="preserve"> principio del </w:t>
      </w:r>
      <w:r w:rsidR="0084514E" w:rsidRPr="00A11E23">
        <w:rPr>
          <w:rFonts w:ascii="Arial" w:hAnsi="Arial" w:cs="Arial"/>
          <w:i/>
        </w:rPr>
        <w:t>non bis in ídem</w:t>
      </w:r>
      <w:r w:rsidR="00B922A2" w:rsidRPr="00A11E23">
        <w:rPr>
          <w:rFonts w:ascii="Arial" w:hAnsi="Arial" w:cs="Arial"/>
          <w:i/>
        </w:rPr>
        <w:t xml:space="preserve">, </w:t>
      </w:r>
      <w:r w:rsidR="00B922A2" w:rsidRPr="00A11E23">
        <w:rPr>
          <w:rFonts w:ascii="Arial" w:hAnsi="Arial" w:cs="Arial"/>
        </w:rPr>
        <w:t xml:space="preserve">leyó apartes de la sentencia CSJ </w:t>
      </w:r>
      <w:proofErr w:type="spellStart"/>
      <w:r w:rsidR="00B922A2" w:rsidRPr="00A11E23">
        <w:rPr>
          <w:rFonts w:ascii="Arial" w:hAnsi="Arial" w:cs="Arial"/>
        </w:rPr>
        <w:t>SP</w:t>
      </w:r>
      <w:proofErr w:type="spellEnd"/>
      <w:r w:rsidR="00B922A2" w:rsidRPr="00A11E23">
        <w:rPr>
          <w:rFonts w:ascii="Arial" w:hAnsi="Arial" w:cs="Arial"/>
        </w:rPr>
        <w:t xml:space="preserve"> del 14 d</w:t>
      </w:r>
      <w:r w:rsidR="00B54302" w:rsidRPr="00A11E23">
        <w:rPr>
          <w:rFonts w:ascii="Arial" w:hAnsi="Arial" w:cs="Arial"/>
        </w:rPr>
        <w:t>e junio de 2017, radicado 47446</w:t>
      </w:r>
      <w:r w:rsidRPr="00A11E23">
        <w:rPr>
          <w:rFonts w:ascii="Arial" w:hAnsi="Arial" w:cs="Arial"/>
        </w:rPr>
        <w:t>.</w:t>
      </w:r>
    </w:p>
    <w:p w:rsidR="00C07C66" w:rsidRPr="00A11E23" w:rsidRDefault="00C07C66" w:rsidP="00A11E23">
      <w:pPr>
        <w:pStyle w:val="Sinespaciado"/>
        <w:spacing w:line="288" w:lineRule="auto"/>
        <w:jc w:val="both"/>
        <w:rPr>
          <w:rFonts w:ascii="Arial" w:hAnsi="Arial" w:cs="Arial"/>
        </w:rPr>
      </w:pPr>
    </w:p>
    <w:p w:rsidR="002C4608" w:rsidRPr="00A11E23" w:rsidRDefault="00132C5D" w:rsidP="00A11E23">
      <w:pPr>
        <w:pStyle w:val="Sinespaciado"/>
        <w:spacing w:line="288" w:lineRule="auto"/>
        <w:jc w:val="both"/>
        <w:rPr>
          <w:rFonts w:ascii="Arial" w:hAnsi="Arial" w:cs="Arial"/>
        </w:rPr>
      </w:pPr>
      <w:r w:rsidRPr="00A11E23">
        <w:rPr>
          <w:rFonts w:ascii="Arial" w:hAnsi="Arial" w:cs="Arial"/>
        </w:rPr>
        <w:t xml:space="preserve">Seguidamente </w:t>
      </w:r>
      <w:r w:rsidR="002C4608" w:rsidRPr="00A11E23">
        <w:rPr>
          <w:rFonts w:ascii="Arial" w:hAnsi="Arial" w:cs="Arial"/>
        </w:rPr>
        <w:t xml:space="preserve">y con base en ese precedente declaró </w:t>
      </w:r>
      <w:r w:rsidR="00B922A2" w:rsidRPr="00A11E23">
        <w:rPr>
          <w:rFonts w:ascii="Arial" w:hAnsi="Arial" w:cs="Arial"/>
        </w:rPr>
        <w:t xml:space="preserve">improcedente el trámite del </w:t>
      </w:r>
      <w:proofErr w:type="spellStart"/>
      <w:r w:rsidR="00B922A2" w:rsidRPr="00A11E23">
        <w:rPr>
          <w:rFonts w:ascii="Arial" w:hAnsi="Arial" w:cs="Arial"/>
        </w:rPr>
        <w:t>IRP</w:t>
      </w:r>
      <w:proofErr w:type="spellEnd"/>
      <w:r w:rsidR="00B922A2" w:rsidRPr="00A11E23">
        <w:rPr>
          <w:rFonts w:ascii="Arial" w:hAnsi="Arial" w:cs="Arial"/>
        </w:rPr>
        <w:t xml:space="preserve"> promovido contra el señor </w:t>
      </w:r>
      <w:proofErr w:type="spellStart"/>
      <w:r w:rsidR="00814DBE">
        <w:rPr>
          <w:rFonts w:ascii="Arial" w:hAnsi="Arial" w:cs="Arial"/>
        </w:rPr>
        <w:t>JAAH</w:t>
      </w:r>
      <w:proofErr w:type="spellEnd"/>
      <w:r w:rsidR="002C4608" w:rsidRPr="00A11E23">
        <w:rPr>
          <w:rFonts w:ascii="Arial" w:hAnsi="Arial" w:cs="Arial"/>
        </w:rPr>
        <w:t>, ya que la DIAN podía acudir al mecanismo del cobro coactivo.</w:t>
      </w:r>
    </w:p>
    <w:p w:rsidR="002C4608" w:rsidRPr="00A11E23" w:rsidRDefault="002C4608" w:rsidP="00A11E23">
      <w:pPr>
        <w:pStyle w:val="Sinespaciado"/>
        <w:spacing w:line="288" w:lineRule="auto"/>
        <w:jc w:val="both"/>
        <w:rPr>
          <w:rFonts w:ascii="Arial" w:hAnsi="Arial" w:cs="Arial"/>
        </w:rPr>
      </w:pPr>
    </w:p>
    <w:p w:rsidR="002C4608" w:rsidRPr="00A11E23" w:rsidRDefault="002C4608" w:rsidP="00A11E23">
      <w:pPr>
        <w:pStyle w:val="Sinespaciado"/>
        <w:spacing w:line="288" w:lineRule="auto"/>
        <w:jc w:val="both"/>
        <w:rPr>
          <w:rFonts w:ascii="Arial" w:hAnsi="Arial" w:cs="Arial"/>
        </w:rPr>
      </w:pPr>
      <w:r w:rsidRPr="00A11E23">
        <w:rPr>
          <w:rFonts w:ascii="Arial" w:hAnsi="Arial" w:cs="Arial"/>
        </w:rPr>
        <w:t>3.2 La decisión fue apel</w:t>
      </w:r>
      <w:r w:rsidR="0084514E" w:rsidRPr="00A11E23">
        <w:rPr>
          <w:rFonts w:ascii="Arial" w:hAnsi="Arial" w:cs="Arial"/>
        </w:rPr>
        <w:t>ada por el apoderado de la DIAN</w:t>
      </w:r>
      <w:r w:rsidRPr="00A11E23">
        <w:rPr>
          <w:rFonts w:ascii="Arial" w:hAnsi="Arial" w:cs="Arial"/>
        </w:rPr>
        <w:t>.</w:t>
      </w:r>
    </w:p>
    <w:p w:rsidR="00B1788F" w:rsidRDefault="00B1788F" w:rsidP="00C07C66">
      <w:pPr>
        <w:pStyle w:val="Sinespaciado"/>
        <w:spacing w:line="288" w:lineRule="auto"/>
        <w:jc w:val="both"/>
        <w:rPr>
          <w:rFonts w:ascii="Arial" w:hAnsi="Arial" w:cs="Arial"/>
        </w:rPr>
      </w:pPr>
    </w:p>
    <w:p w:rsidR="00AB1668" w:rsidRDefault="00AB1668" w:rsidP="00C07C66">
      <w:pPr>
        <w:pStyle w:val="Sinespaciado"/>
        <w:spacing w:line="288" w:lineRule="auto"/>
        <w:jc w:val="both"/>
        <w:rPr>
          <w:rFonts w:ascii="Arial" w:hAnsi="Arial" w:cs="Arial"/>
        </w:rPr>
      </w:pPr>
    </w:p>
    <w:p w:rsidR="00B1788F" w:rsidRPr="00A11E23" w:rsidRDefault="00B1788F" w:rsidP="00C07C66">
      <w:pPr>
        <w:pStyle w:val="Sinespaciado"/>
        <w:spacing w:line="288" w:lineRule="auto"/>
        <w:jc w:val="center"/>
        <w:rPr>
          <w:rFonts w:ascii="Arial" w:hAnsi="Arial" w:cs="Arial"/>
        </w:rPr>
      </w:pPr>
      <w:r w:rsidRPr="00A11E23">
        <w:rPr>
          <w:rFonts w:ascii="Arial" w:hAnsi="Arial" w:cs="Arial"/>
        </w:rPr>
        <w:t>4. SOBRE EL RECURSO PROPUESTO.</w:t>
      </w:r>
    </w:p>
    <w:p w:rsidR="00B1788F" w:rsidRPr="00A11E23" w:rsidRDefault="00B1788F" w:rsidP="00A11E23">
      <w:pPr>
        <w:pStyle w:val="Sinespaciado"/>
        <w:spacing w:line="288" w:lineRule="auto"/>
        <w:jc w:val="both"/>
        <w:rPr>
          <w:rFonts w:ascii="Arial" w:hAnsi="Arial" w:cs="Arial"/>
        </w:rPr>
      </w:pPr>
    </w:p>
    <w:p w:rsidR="00B1788F" w:rsidRPr="00A11E23" w:rsidRDefault="00B1788F" w:rsidP="00A11E23">
      <w:pPr>
        <w:pStyle w:val="Sinespaciado"/>
        <w:spacing w:line="288" w:lineRule="auto"/>
        <w:jc w:val="both"/>
        <w:rPr>
          <w:rFonts w:ascii="Arial" w:hAnsi="Arial" w:cs="Arial"/>
          <w:u w:val="single"/>
        </w:rPr>
      </w:pPr>
      <w:r w:rsidRPr="00A11E23">
        <w:rPr>
          <w:rFonts w:ascii="Arial" w:hAnsi="Arial" w:cs="Arial"/>
          <w:u w:val="single"/>
        </w:rPr>
        <w:t>4.1. APODERA</w:t>
      </w:r>
      <w:r w:rsidR="0084514E" w:rsidRPr="00A11E23">
        <w:rPr>
          <w:rFonts w:ascii="Arial" w:hAnsi="Arial" w:cs="Arial"/>
          <w:u w:val="single"/>
        </w:rPr>
        <w:t>DO</w:t>
      </w:r>
      <w:r w:rsidRPr="00A11E23">
        <w:rPr>
          <w:rFonts w:ascii="Arial" w:hAnsi="Arial" w:cs="Arial"/>
          <w:u w:val="single"/>
        </w:rPr>
        <w:t xml:space="preserve"> DE LA DIAN (Recurrente)</w:t>
      </w:r>
    </w:p>
    <w:p w:rsidR="00B1788F" w:rsidRPr="00A11E23" w:rsidRDefault="0084514E" w:rsidP="00A11E23">
      <w:pPr>
        <w:pStyle w:val="Sinespaciado"/>
        <w:spacing w:line="288" w:lineRule="auto"/>
        <w:jc w:val="both"/>
        <w:rPr>
          <w:rFonts w:ascii="Arial" w:hAnsi="Arial" w:cs="Arial"/>
        </w:rPr>
      </w:pPr>
      <w:r w:rsidRPr="00A11E23">
        <w:rPr>
          <w:rFonts w:ascii="Arial" w:hAnsi="Arial" w:cs="Arial"/>
        </w:rPr>
        <w:t>(</w:t>
      </w:r>
      <w:r w:rsidR="00B1788F" w:rsidRPr="00A11E23">
        <w:rPr>
          <w:rFonts w:ascii="Arial" w:hAnsi="Arial" w:cs="Arial"/>
        </w:rPr>
        <w:t xml:space="preserve">Sinopsis) </w:t>
      </w:r>
    </w:p>
    <w:p w:rsidR="0084514E" w:rsidRPr="00A11E23" w:rsidRDefault="0084514E" w:rsidP="00A11E23">
      <w:pPr>
        <w:pStyle w:val="Sinespaciado"/>
        <w:spacing w:line="288" w:lineRule="auto"/>
        <w:jc w:val="both"/>
        <w:rPr>
          <w:rFonts w:ascii="Arial" w:hAnsi="Arial" w:cs="Arial"/>
        </w:rPr>
      </w:pPr>
    </w:p>
    <w:p w:rsidR="00B1788F" w:rsidRPr="00A11E23" w:rsidRDefault="00B1788F" w:rsidP="00A11E23">
      <w:pPr>
        <w:spacing w:line="288" w:lineRule="auto"/>
        <w:jc w:val="both"/>
        <w:rPr>
          <w:rFonts w:ascii="Arial" w:hAnsi="Arial" w:cs="Arial"/>
          <w:sz w:val="24"/>
          <w:szCs w:val="24"/>
          <w:lang w:val="es-ES"/>
        </w:rPr>
      </w:pPr>
      <w:r w:rsidRPr="00A11E23">
        <w:rPr>
          <w:rFonts w:ascii="Arial" w:hAnsi="Arial" w:cs="Arial"/>
          <w:sz w:val="24"/>
          <w:szCs w:val="24"/>
          <w:lang w:val="es-ES"/>
        </w:rPr>
        <w:t xml:space="preserve">No desconoce la relevancia jurídica de la sentencia de casación CSJ  </w:t>
      </w:r>
      <w:proofErr w:type="spellStart"/>
      <w:r w:rsidRPr="00A11E23">
        <w:rPr>
          <w:rFonts w:ascii="Arial" w:hAnsi="Arial" w:cs="Arial"/>
          <w:sz w:val="24"/>
          <w:szCs w:val="24"/>
          <w:lang w:val="es-ES"/>
        </w:rPr>
        <w:t>SP</w:t>
      </w:r>
      <w:proofErr w:type="spellEnd"/>
      <w:r w:rsidRPr="00A11E23">
        <w:rPr>
          <w:rFonts w:ascii="Arial" w:hAnsi="Arial" w:cs="Arial"/>
          <w:sz w:val="24"/>
          <w:szCs w:val="24"/>
          <w:lang w:val="es-ES"/>
        </w:rPr>
        <w:t xml:space="preserve"> 8463 de 2017 de la Corte Suprema de Justicia, dentro del radicado 47446 del 14 de junio de 2017. Sin embargo solicitó que esta colegiatura se apartara de</w:t>
      </w:r>
      <w:r w:rsidR="002C4608" w:rsidRPr="00A11E23">
        <w:rPr>
          <w:rFonts w:ascii="Arial" w:hAnsi="Arial" w:cs="Arial"/>
          <w:sz w:val="24"/>
          <w:szCs w:val="24"/>
          <w:lang w:val="es-ES"/>
        </w:rPr>
        <w:t xml:space="preserve">l mismo, </w:t>
      </w:r>
      <w:r w:rsidRPr="00A11E23">
        <w:rPr>
          <w:rFonts w:ascii="Arial" w:hAnsi="Arial" w:cs="Arial"/>
          <w:sz w:val="24"/>
          <w:szCs w:val="24"/>
          <w:lang w:val="es-ES"/>
        </w:rPr>
        <w:t>con base en los siguientes planteamientos:</w:t>
      </w:r>
    </w:p>
    <w:p w:rsidR="002C4608" w:rsidRPr="00A11E23" w:rsidRDefault="002C4608"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La sentencia referida no constituía doctrina probable de acuerdo a lo dispuesto en el ar</w:t>
      </w:r>
      <w:r w:rsidR="0084514E" w:rsidRPr="00A11E23">
        <w:rPr>
          <w:rFonts w:ascii="Arial" w:hAnsi="Arial" w:cs="Arial"/>
          <w:sz w:val="24"/>
          <w:szCs w:val="24"/>
          <w:lang w:val="es-ES"/>
        </w:rPr>
        <w:t>tículo 4º de la ley 169 de 1896</w:t>
      </w:r>
      <w:r w:rsidRPr="00A11E23">
        <w:rPr>
          <w:rFonts w:ascii="Arial" w:hAnsi="Arial" w:cs="Arial"/>
          <w:sz w:val="24"/>
          <w:szCs w:val="24"/>
          <w:lang w:val="es-ES"/>
        </w:rPr>
        <w:t>.</w:t>
      </w:r>
    </w:p>
    <w:p w:rsidR="0084514E" w:rsidRPr="00A11E23" w:rsidRDefault="0084514E" w:rsidP="00A11E23">
      <w:pPr>
        <w:pStyle w:val="Prrafodelista"/>
        <w:spacing w:line="288" w:lineRule="auto"/>
        <w:ind w:left="360"/>
        <w:jc w:val="both"/>
        <w:rPr>
          <w:rFonts w:ascii="Arial" w:hAnsi="Arial" w:cs="Arial"/>
          <w:sz w:val="24"/>
          <w:szCs w:val="24"/>
          <w:lang w:val="es-ES"/>
        </w:rPr>
      </w:pPr>
    </w:p>
    <w:p w:rsidR="00B1788F" w:rsidRPr="00A11E23" w:rsidRDefault="002C4608"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 xml:space="preserve">Las referencias y citas </w:t>
      </w:r>
      <w:r w:rsidR="00B1788F" w:rsidRPr="00A11E23">
        <w:rPr>
          <w:rFonts w:ascii="Arial" w:hAnsi="Arial" w:cs="Arial"/>
          <w:sz w:val="24"/>
          <w:szCs w:val="24"/>
          <w:lang w:val="es-ES"/>
        </w:rPr>
        <w:t xml:space="preserve">jurisprudenciales hechas en la sentencia de la </w:t>
      </w:r>
      <w:proofErr w:type="spellStart"/>
      <w:r w:rsidR="00B1788F" w:rsidRPr="00A11E23">
        <w:rPr>
          <w:rFonts w:ascii="Arial" w:hAnsi="Arial" w:cs="Arial"/>
          <w:sz w:val="24"/>
          <w:szCs w:val="24"/>
          <w:lang w:val="es-ES"/>
        </w:rPr>
        <w:t>SP</w:t>
      </w:r>
      <w:proofErr w:type="spellEnd"/>
      <w:r w:rsidR="00B1788F" w:rsidRPr="00A11E23">
        <w:rPr>
          <w:rFonts w:ascii="Arial" w:hAnsi="Arial" w:cs="Arial"/>
          <w:sz w:val="24"/>
          <w:szCs w:val="24"/>
          <w:lang w:val="es-ES"/>
        </w:rPr>
        <w:t xml:space="preserve"> de la CSJ antes mencionada</w:t>
      </w:r>
      <w:r w:rsidR="0084514E" w:rsidRPr="00A11E23">
        <w:rPr>
          <w:rFonts w:ascii="Arial" w:hAnsi="Arial" w:cs="Arial"/>
          <w:sz w:val="24"/>
          <w:szCs w:val="24"/>
          <w:lang w:val="es-ES"/>
        </w:rPr>
        <w:t>,</w:t>
      </w:r>
      <w:r w:rsidR="00B1788F" w:rsidRPr="00A11E23">
        <w:rPr>
          <w:rFonts w:ascii="Arial" w:hAnsi="Arial" w:cs="Arial"/>
          <w:i/>
          <w:sz w:val="24"/>
          <w:szCs w:val="24"/>
          <w:lang w:val="es-ES"/>
        </w:rPr>
        <w:t xml:space="preserve"> </w:t>
      </w:r>
      <w:r w:rsidR="00B1788F" w:rsidRPr="00A11E23">
        <w:rPr>
          <w:rFonts w:ascii="Arial" w:hAnsi="Arial" w:cs="Arial"/>
          <w:sz w:val="24"/>
          <w:szCs w:val="24"/>
          <w:lang w:val="es-ES"/>
        </w:rPr>
        <w:t>corresponden primordialmente a decisiones judiciales emitidas con ocasión a los antiguos códigos de procedimiento penal adoptados por el Decreto 2700 de 1991 y la Ley 600 de 2000.</w:t>
      </w:r>
    </w:p>
    <w:p w:rsidR="0084514E" w:rsidRPr="00A11E23" w:rsidRDefault="0084514E" w:rsidP="00A11E23">
      <w:pPr>
        <w:pStyle w:val="Prrafodelista"/>
        <w:spacing w:line="288" w:lineRule="auto"/>
        <w:ind w:left="360"/>
        <w:jc w:val="both"/>
        <w:rPr>
          <w:rFonts w:ascii="Arial" w:hAnsi="Arial" w:cs="Arial"/>
          <w:sz w:val="24"/>
          <w:szCs w:val="24"/>
          <w:lang w:val="es-ES"/>
        </w:rPr>
      </w:pPr>
    </w:p>
    <w:p w:rsidR="00B1788F" w:rsidRPr="00A11E23" w:rsidRDefault="00B1788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lastRenderedPageBreak/>
        <w:t>E</w:t>
      </w:r>
      <w:r w:rsidR="0084514E" w:rsidRPr="00A11E23">
        <w:rPr>
          <w:rFonts w:ascii="Arial" w:hAnsi="Arial" w:cs="Arial"/>
          <w:sz w:val="24"/>
          <w:szCs w:val="24"/>
          <w:lang w:val="es-ES"/>
        </w:rPr>
        <w:t xml:space="preserve">l </w:t>
      </w:r>
      <w:r w:rsidRPr="00A11E23">
        <w:rPr>
          <w:rFonts w:ascii="Arial" w:hAnsi="Arial" w:cs="Arial"/>
          <w:sz w:val="24"/>
          <w:szCs w:val="24"/>
          <w:lang w:val="es-ES"/>
        </w:rPr>
        <w:t>sistema ado</w:t>
      </w:r>
      <w:r w:rsidR="0084514E" w:rsidRPr="00A11E23">
        <w:rPr>
          <w:rFonts w:ascii="Arial" w:hAnsi="Arial" w:cs="Arial"/>
          <w:sz w:val="24"/>
          <w:szCs w:val="24"/>
          <w:lang w:val="es-ES"/>
        </w:rPr>
        <w:t xml:space="preserve">ptado en la ley 906 de 2004 es </w:t>
      </w:r>
      <w:r w:rsidRPr="00A11E23">
        <w:rPr>
          <w:rFonts w:ascii="Arial" w:hAnsi="Arial" w:cs="Arial"/>
          <w:sz w:val="24"/>
          <w:szCs w:val="24"/>
          <w:lang w:val="es-ES"/>
        </w:rPr>
        <w:t>de clara tendencia acusatoria y por tanto diferente a los anteriores sistemas procesales por cuanto estos tenían una tendencia innegablemente inquisitiva.</w:t>
      </w:r>
    </w:p>
    <w:p w:rsidR="0084514E" w:rsidRPr="00A11E23" w:rsidRDefault="0084514E" w:rsidP="00A11E23">
      <w:pPr>
        <w:pStyle w:val="Prrafodelista"/>
        <w:spacing w:line="288" w:lineRule="auto"/>
        <w:ind w:left="360"/>
        <w:jc w:val="both"/>
        <w:rPr>
          <w:rFonts w:ascii="Arial" w:hAnsi="Arial" w:cs="Arial"/>
          <w:sz w:val="24"/>
          <w:szCs w:val="24"/>
          <w:lang w:val="es-ES"/>
        </w:rPr>
      </w:pPr>
    </w:p>
    <w:p w:rsidR="00B1788F" w:rsidRPr="00A11E23" w:rsidRDefault="00B1788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Existe una diferencia esencial entre estos sistemas procesales, en lo relativo a los derechos de las víctimas, ya que la ley 906 de 2004 es más garantista, al punto que propende por el restablecimiento de los perjuicios derivados de una conducta delictiva</w:t>
      </w:r>
      <w:r w:rsidR="001E4353" w:rsidRPr="00A11E23">
        <w:rPr>
          <w:rFonts w:ascii="Arial" w:hAnsi="Arial" w:cs="Arial"/>
          <w:sz w:val="24"/>
          <w:szCs w:val="24"/>
          <w:lang w:val="es-ES"/>
        </w:rPr>
        <w:t>.</w:t>
      </w:r>
    </w:p>
    <w:p w:rsidR="00FD68A8" w:rsidRPr="00A11E23" w:rsidRDefault="00FD68A8" w:rsidP="00A11E23">
      <w:pPr>
        <w:pStyle w:val="Prrafodelista"/>
        <w:spacing w:line="288" w:lineRule="auto"/>
        <w:ind w:left="360"/>
        <w:jc w:val="both"/>
        <w:rPr>
          <w:rFonts w:ascii="Arial" w:hAnsi="Arial" w:cs="Arial"/>
          <w:sz w:val="24"/>
          <w:szCs w:val="24"/>
          <w:lang w:val="es-ES"/>
        </w:rPr>
      </w:pPr>
    </w:p>
    <w:p w:rsidR="00FD68A8" w:rsidRPr="00A11E23" w:rsidRDefault="00B1788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 xml:space="preserve">La limitación del derecho fundamental a una reparación integral es del resorte del poder legislativo y no del poder judicial, regla que estaría siendo desconocida por la interpretación hecha por la </w:t>
      </w:r>
      <w:proofErr w:type="spellStart"/>
      <w:r w:rsidRPr="00A11E23">
        <w:rPr>
          <w:rFonts w:ascii="Arial" w:hAnsi="Arial" w:cs="Arial"/>
          <w:sz w:val="24"/>
          <w:szCs w:val="24"/>
          <w:lang w:val="es-ES"/>
        </w:rPr>
        <w:t>SP</w:t>
      </w:r>
      <w:proofErr w:type="spellEnd"/>
      <w:r w:rsidRPr="00A11E23">
        <w:rPr>
          <w:rFonts w:ascii="Arial" w:hAnsi="Arial" w:cs="Arial"/>
          <w:sz w:val="24"/>
          <w:szCs w:val="24"/>
          <w:lang w:val="es-ES"/>
        </w:rPr>
        <w:t xml:space="preserve"> de la CSJ  en la sentencia objeto de estudio, la cual además obvia un análisis profundo del delito como fuente de las obligaciones de conformidad con lo descrito en el artículo 2341 del Código Civil.</w:t>
      </w:r>
    </w:p>
    <w:p w:rsidR="00FD68A8" w:rsidRPr="00A11E23" w:rsidRDefault="00FD68A8" w:rsidP="00A11E23">
      <w:pPr>
        <w:pStyle w:val="Prrafodelista"/>
        <w:spacing w:line="288" w:lineRule="auto"/>
        <w:rPr>
          <w:rFonts w:ascii="Arial" w:hAnsi="Arial" w:cs="Arial"/>
          <w:sz w:val="24"/>
          <w:szCs w:val="24"/>
          <w:lang w:val="es-ES"/>
        </w:rPr>
      </w:pPr>
    </w:p>
    <w:p w:rsidR="00FD68A8" w:rsidRPr="00A11E23" w:rsidRDefault="00B1788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Con la de</w:t>
      </w:r>
      <w:r w:rsidR="00FD68A8" w:rsidRPr="00A11E23">
        <w:rPr>
          <w:rFonts w:ascii="Arial" w:hAnsi="Arial" w:cs="Arial"/>
          <w:sz w:val="24"/>
          <w:szCs w:val="24"/>
          <w:lang w:val="es-ES"/>
        </w:rPr>
        <w:t>cisión recurrida se vulnera el</w:t>
      </w:r>
      <w:r w:rsidRPr="00A11E23">
        <w:rPr>
          <w:rFonts w:ascii="Arial" w:hAnsi="Arial" w:cs="Arial"/>
          <w:sz w:val="24"/>
          <w:szCs w:val="24"/>
          <w:lang w:val="es-ES"/>
        </w:rPr>
        <w:t xml:space="preserve"> artículo 27 del C.C</w:t>
      </w:r>
      <w:r w:rsidR="001E4353" w:rsidRPr="00A11E23">
        <w:rPr>
          <w:rFonts w:ascii="Arial" w:hAnsi="Arial" w:cs="Arial"/>
          <w:sz w:val="24"/>
          <w:szCs w:val="24"/>
          <w:lang w:val="es-ES"/>
        </w:rPr>
        <w:t xml:space="preserve">. </w:t>
      </w:r>
      <w:r w:rsidR="00FD68A8" w:rsidRPr="00A11E23">
        <w:rPr>
          <w:rFonts w:ascii="Arial" w:hAnsi="Arial" w:cs="Arial"/>
          <w:sz w:val="24"/>
          <w:szCs w:val="24"/>
          <w:lang w:val="es-ES"/>
        </w:rPr>
        <w:t>que</w:t>
      </w:r>
      <w:r w:rsidRPr="00A11E23">
        <w:rPr>
          <w:rFonts w:ascii="Arial" w:hAnsi="Arial" w:cs="Arial"/>
          <w:sz w:val="24"/>
          <w:szCs w:val="24"/>
          <w:lang w:val="es-ES"/>
        </w:rPr>
        <w:t xml:space="preserve"> establece la interpretación gramatical como principio general del ordenamiento colombiano, lo cual igualmente se debe predicar del derecho penal, lo que contrasta con las causales previstas en el  artículo 103 del </w:t>
      </w:r>
      <w:proofErr w:type="spellStart"/>
      <w:r w:rsidRPr="00A11E23">
        <w:rPr>
          <w:rFonts w:ascii="Arial" w:hAnsi="Arial" w:cs="Arial"/>
          <w:sz w:val="24"/>
          <w:szCs w:val="24"/>
          <w:lang w:val="es-ES"/>
        </w:rPr>
        <w:t>C.P.P</w:t>
      </w:r>
      <w:proofErr w:type="spellEnd"/>
      <w:r w:rsidRPr="00A11E23">
        <w:rPr>
          <w:rFonts w:ascii="Arial" w:hAnsi="Arial" w:cs="Arial"/>
          <w:sz w:val="24"/>
          <w:szCs w:val="24"/>
          <w:lang w:val="es-ES"/>
        </w:rPr>
        <w:t xml:space="preserve">, para rechazar el </w:t>
      </w:r>
      <w:proofErr w:type="spellStart"/>
      <w:r w:rsidRPr="00A11E23">
        <w:rPr>
          <w:rFonts w:ascii="Arial" w:hAnsi="Arial" w:cs="Arial"/>
          <w:sz w:val="24"/>
          <w:szCs w:val="24"/>
          <w:lang w:val="es-ES"/>
        </w:rPr>
        <w:t>IRP</w:t>
      </w:r>
      <w:proofErr w:type="spellEnd"/>
      <w:r w:rsidRPr="00A11E23">
        <w:rPr>
          <w:rFonts w:ascii="Arial" w:hAnsi="Arial" w:cs="Arial"/>
          <w:sz w:val="24"/>
          <w:szCs w:val="24"/>
          <w:lang w:val="es-ES"/>
        </w:rPr>
        <w:t>, que no se presentan en este caso.</w:t>
      </w:r>
    </w:p>
    <w:p w:rsidR="00FD68A8" w:rsidRPr="00A11E23" w:rsidRDefault="00FD68A8" w:rsidP="00A11E23">
      <w:pPr>
        <w:pStyle w:val="Prrafodelista"/>
        <w:spacing w:line="288" w:lineRule="auto"/>
        <w:rPr>
          <w:rFonts w:ascii="Arial" w:hAnsi="Arial" w:cs="Arial"/>
          <w:sz w:val="24"/>
          <w:szCs w:val="24"/>
          <w:lang w:val="es-ES"/>
        </w:rPr>
      </w:pPr>
    </w:p>
    <w:p w:rsidR="00FD68A8" w:rsidRPr="00A11E23" w:rsidRDefault="00B1788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 xml:space="preserve">La </w:t>
      </w:r>
      <w:proofErr w:type="spellStart"/>
      <w:r w:rsidRPr="00A11E23">
        <w:rPr>
          <w:rFonts w:ascii="Arial" w:hAnsi="Arial" w:cs="Arial"/>
          <w:sz w:val="24"/>
          <w:szCs w:val="24"/>
          <w:lang w:val="es-ES"/>
        </w:rPr>
        <w:t>SP</w:t>
      </w:r>
      <w:proofErr w:type="spellEnd"/>
      <w:r w:rsidRPr="00A11E23">
        <w:rPr>
          <w:rFonts w:ascii="Arial" w:hAnsi="Arial" w:cs="Arial"/>
          <w:sz w:val="24"/>
          <w:szCs w:val="24"/>
          <w:lang w:val="es-ES"/>
        </w:rPr>
        <w:t xml:space="preserve"> de</w:t>
      </w:r>
      <w:r w:rsidR="00FD68A8" w:rsidRPr="00A11E23">
        <w:rPr>
          <w:rFonts w:ascii="Arial" w:hAnsi="Arial" w:cs="Arial"/>
          <w:sz w:val="24"/>
          <w:szCs w:val="24"/>
          <w:lang w:val="es-ES"/>
        </w:rPr>
        <w:t xml:space="preserve"> la CSJ </w:t>
      </w:r>
      <w:r w:rsidRPr="00A11E23">
        <w:rPr>
          <w:rFonts w:ascii="Arial" w:hAnsi="Arial" w:cs="Arial"/>
          <w:sz w:val="24"/>
          <w:szCs w:val="24"/>
          <w:lang w:val="es-ES"/>
        </w:rPr>
        <w:t>hizo una interpretaci</w:t>
      </w:r>
      <w:r w:rsidR="00FD68A8" w:rsidRPr="00A11E23">
        <w:rPr>
          <w:rFonts w:ascii="Arial" w:hAnsi="Arial" w:cs="Arial"/>
          <w:sz w:val="24"/>
          <w:szCs w:val="24"/>
          <w:lang w:val="es-ES"/>
        </w:rPr>
        <w:t>ón de esa norma para considerar que:</w:t>
      </w:r>
      <w:r w:rsidRPr="00A11E23">
        <w:rPr>
          <w:rFonts w:ascii="Arial" w:hAnsi="Arial" w:cs="Arial"/>
          <w:sz w:val="24"/>
          <w:szCs w:val="24"/>
          <w:lang w:val="es-ES"/>
        </w:rPr>
        <w:t xml:space="preserve"> </w:t>
      </w:r>
      <w:r w:rsidRPr="00A11E23">
        <w:rPr>
          <w:rFonts w:ascii="Arial" w:hAnsi="Arial" w:cs="Arial"/>
          <w:i/>
          <w:sz w:val="24"/>
          <w:szCs w:val="24"/>
          <w:lang w:val="es-ES"/>
        </w:rPr>
        <w:t>“si se inició el cobro de la obligación no es procedente el incidente d</w:t>
      </w:r>
      <w:r w:rsidR="00FD68A8" w:rsidRPr="00A11E23">
        <w:rPr>
          <w:rFonts w:ascii="Arial" w:hAnsi="Arial" w:cs="Arial"/>
          <w:i/>
          <w:sz w:val="24"/>
          <w:szCs w:val="24"/>
          <w:lang w:val="es-ES"/>
        </w:rPr>
        <w:t xml:space="preserve">e reparación integral, a pesar de que </w:t>
      </w:r>
      <w:r w:rsidRPr="00A11E23">
        <w:rPr>
          <w:rFonts w:ascii="Arial" w:hAnsi="Arial" w:cs="Arial"/>
          <w:i/>
          <w:sz w:val="24"/>
          <w:szCs w:val="24"/>
          <w:lang w:val="es-ES"/>
        </w:rPr>
        <w:t>no se haya logrado el pago de los perjuicios derivados de la conducta punible”,</w:t>
      </w:r>
      <w:r w:rsidRPr="00A11E23">
        <w:rPr>
          <w:rFonts w:ascii="Arial" w:hAnsi="Arial" w:cs="Arial"/>
          <w:sz w:val="24"/>
          <w:szCs w:val="24"/>
          <w:lang w:val="es-ES"/>
        </w:rPr>
        <w:t xml:space="preserve"> creando de esa m</w:t>
      </w:r>
      <w:r w:rsidR="00FD68A8" w:rsidRPr="00A11E23">
        <w:rPr>
          <w:rFonts w:ascii="Arial" w:hAnsi="Arial" w:cs="Arial"/>
          <w:sz w:val="24"/>
          <w:szCs w:val="24"/>
          <w:lang w:val="es-ES"/>
        </w:rPr>
        <w:t xml:space="preserve">anera, por vía jurisprudencial, una </w:t>
      </w:r>
      <w:r w:rsidRPr="00A11E23">
        <w:rPr>
          <w:rFonts w:ascii="Arial" w:hAnsi="Arial" w:cs="Arial"/>
          <w:sz w:val="24"/>
          <w:szCs w:val="24"/>
          <w:lang w:val="es-ES"/>
        </w:rPr>
        <w:t xml:space="preserve">nueva causal de rechazo del </w:t>
      </w:r>
      <w:proofErr w:type="spellStart"/>
      <w:r w:rsidRPr="00A11E23">
        <w:rPr>
          <w:rFonts w:ascii="Arial" w:hAnsi="Arial" w:cs="Arial"/>
          <w:sz w:val="24"/>
          <w:szCs w:val="24"/>
          <w:lang w:val="es-ES"/>
        </w:rPr>
        <w:t>IRP</w:t>
      </w:r>
      <w:proofErr w:type="spellEnd"/>
      <w:r w:rsidR="001E4353" w:rsidRPr="00A11E23">
        <w:rPr>
          <w:rFonts w:ascii="Arial" w:hAnsi="Arial" w:cs="Arial"/>
          <w:sz w:val="24"/>
          <w:szCs w:val="24"/>
          <w:lang w:val="es-ES"/>
        </w:rPr>
        <w:t xml:space="preserve">, fuera de que al no haberse </w:t>
      </w:r>
      <w:r w:rsidR="00FD68A8" w:rsidRPr="00A11E23">
        <w:rPr>
          <w:rFonts w:ascii="Arial" w:hAnsi="Arial" w:cs="Arial"/>
          <w:sz w:val="24"/>
          <w:szCs w:val="24"/>
          <w:lang w:val="es-ES"/>
        </w:rPr>
        <w:t>pagado la obligación tributaria</w:t>
      </w:r>
      <w:r w:rsidR="001E4353" w:rsidRPr="00A11E23">
        <w:rPr>
          <w:rFonts w:ascii="Arial" w:hAnsi="Arial" w:cs="Arial"/>
          <w:sz w:val="24"/>
          <w:szCs w:val="24"/>
          <w:lang w:val="es-ES"/>
        </w:rPr>
        <w:t xml:space="preserve"> se vulneran los derechos de las víctimas, establecidos en el artículo 11 del </w:t>
      </w:r>
      <w:proofErr w:type="spellStart"/>
      <w:r w:rsidR="001E4353" w:rsidRPr="00A11E23">
        <w:rPr>
          <w:rFonts w:ascii="Arial" w:hAnsi="Arial" w:cs="Arial"/>
          <w:sz w:val="24"/>
          <w:szCs w:val="24"/>
          <w:lang w:val="es-ES"/>
        </w:rPr>
        <w:t>CPP</w:t>
      </w:r>
      <w:proofErr w:type="spellEnd"/>
      <w:r w:rsidR="001E4353" w:rsidRPr="00A11E23">
        <w:rPr>
          <w:rFonts w:ascii="Arial" w:hAnsi="Arial" w:cs="Arial"/>
          <w:sz w:val="24"/>
          <w:szCs w:val="24"/>
          <w:lang w:val="es-ES"/>
        </w:rPr>
        <w:t xml:space="preserve">., por lo cual se debe </w:t>
      </w:r>
      <w:proofErr w:type="spellStart"/>
      <w:r w:rsidR="001E4353" w:rsidRPr="00A11E23">
        <w:rPr>
          <w:rFonts w:ascii="Arial" w:hAnsi="Arial" w:cs="Arial"/>
          <w:sz w:val="24"/>
          <w:szCs w:val="24"/>
          <w:lang w:val="es-ES"/>
        </w:rPr>
        <w:t>inaplicar</w:t>
      </w:r>
      <w:proofErr w:type="spellEnd"/>
      <w:r w:rsidR="001E4353" w:rsidRPr="00A11E23">
        <w:rPr>
          <w:rFonts w:ascii="Arial" w:hAnsi="Arial" w:cs="Arial"/>
          <w:sz w:val="24"/>
          <w:szCs w:val="24"/>
          <w:lang w:val="es-ES"/>
        </w:rPr>
        <w:t xml:space="preserve"> ese precedente. </w:t>
      </w:r>
    </w:p>
    <w:p w:rsidR="00FD68A8" w:rsidRPr="00A11E23" w:rsidRDefault="00FD68A8" w:rsidP="00A11E23">
      <w:pPr>
        <w:pStyle w:val="Prrafodelista"/>
        <w:spacing w:line="288" w:lineRule="auto"/>
        <w:rPr>
          <w:rFonts w:ascii="Arial" w:hAnsi="Arial" w:cs="Arial"/>
          <w:sz w:val="24"/>
          <w:szCs w:val="24"/>
          <w:lang w:val="es-ES"/>
        </w:rPr>
      </w:pPr>
    </w:p>
    <w:p w:rsidR="00FD68A8" w:rsidRPr="00A11E23" w:rsidRDefault="00B1788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No se presenta una vulneración del principio del</w:t>
      </w:r>
      <w:r w:rsidRPr="00A11E23">
        <w:rPr>
          <w:rFonts w:ascii="Arial" w:hAnsi="Arial" w:cs="Arial"/>
          <w:i/>
          <w:sz w:val="24"/>
          <w:szCs w:val="24"/>
          <w:lang w:val="es-ES"/>
        </w:rPr>
        <w:t xml:space="preserve"> bon bis in ídem </w:t>
      </w:r>
      <w:r w:rsidRPr="00A11E23">
        <w:rPr>
          <w:rFonts w:ascii="Arial" w:hAnsi="Arial" w:cs="Arial"/>
          <w:sz w:val="24"/>
          <w:szCs w:val="24"/>
        </w:rPr>
        <w:t xml:space="preserve">al solicitar el trámite del </w:t>
      </w:r>
      <w:proofErr w:type="spellStart"/>
      <w:r w:rsidRPr="00A11E23">
        <w:rPr>
          <w:rFonts w:ascii="Arial" w:hAnsi="Arial" w:cs="Arial"/>
          <w:sz w:val="24"/>
          <w:szCs w:val="24"/>
        </w:rPr>
        <w:t>IRP</w:t>
      </w:r>
      <w:proofErr w:type="spellEnd"/>
      <w:r w:rsidRPr="00A11E23">
        <w:rPr>
          <w:rFonts w:ascii="Arial" w:hAnsi="Arial" w:cs="Arial"/>
          <w:sz w:val="24"/>
          <w:szCs w:val="24"/>
        </w:rPr>
        <w:t xml:space="preserve">, derivado de la existencia de una conducta punible, </w:t>
      </w:r>
      <w:r w:rsidR="006F222F" w:rsidRPr="00A11E23">
        <w:rPr>
          <w:rFonts w:ascii="Arial" w:hAnsi="Arial" w:cs="Arial"/>
          <w:sz w:val="24"/>
          <w:szCs w:val="24"/>
        </w:rPr>
        <w:t>al realizarse el cobro coactivo, ya que ese principio solo se aplica</w:t>
      </w:r>
      <w:r w:rsidR="0063232F" w:rsidRPr="00A11E23">
        <w:rPr>
          <w:rFonts w:ascii="Arial" w:hAnsi="Arial" w:cs="Arial"/>
          <w:sz w:val="24"/>
          <w:szCs w:val="24"/>
        </w:rPr>
        <w:t xml:space="preserve"> en el </w:t>
      </w:r>
      <w:r w:rsidR="006F222F" w:rsidRPr="00A11E23">
        <w:rPr>
          <w:rFonts w:ascii="Arial" w:hAnsi="Arial" w:cs="Arial"/>
          <w:sz w:val="24"/>
          <w:szCs w:val="24"/>
        </w:rPr>
        <w:t>d</w:t>
      </w:r>
      <w:r w:rsidRPr="00A11E23">
        <w:rPr>
          <w:rFonts w:ascii="Arial" w:hAnsi="Arial" w:cs="Arial"/>
          <w:sz w:val="24"/>
          <w:szCs w:val="24"/>
        </w:rPr>
        <w:t>erecho penal y sancionatorio.</w:t>
      </w:r>
    </w:p>
    <w:p w:rsidR="00FD68A8" w:rsidRPr="00A11E23" w:rsidRDefault="00FD68A8" w:rsidP="00A11E23">
      <w:pPr>
        <w:pStyle w:val="Prrafodelista"/>
        <w:spacing w:line="288" w:lineRule="auto"/>
        <w:rPr>
          <w:rFonts w:ascii="Arial" w:hAnsi="Arial" w:cs="Arial"/>
          <w:sz w:val="24"/>
          <w:szCs w:val="24"/>
        </w:rPr>
      </w:pPr>
    </w:p>
    <w:p w:rsidR="00FD68A8" w:rsidRPr="00A11E23" w:rsidRDefault="006F222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rPr>
        <w:t xml:space="preserve">El </w:t>
      </w:r>
      <w:r w:rsidR="00044E8D" w:rsidRPr="00A11E23">
        <w:rPr>
          <w:rFonts w:ascii="Arial" w:hAnsi="Arial" w:cs="Arial"/>
          <w:sz w:val="24"/>
          <w:szCs w:val="24"/>
        </w:rPr>
        <w:t>proceso administrativo d</w:t>
      </w:r>
      <w:r w:rsidR="00FD68A8" w:rsidRPr="00A11E23">
        <w:rPr>
          <w:rFonts w:ascii="Arial" w:hAnsi="Arial" w:cs="Arial"/>
          <w:sz w:val="24"/>
          <w:szCs w:val="24"/>
        </w:rPr>
        <w:t>el cobro coactivo es un tipo de</w:t>
      </w:r>
      <w:r w:rsidR="00044E8D" w:rsidRPr="00A11E23">
        <w:rPr>
          <w:rFonts w:ascii="Arial" w:hAnsi="Arial" w:cs="Arial"/>
          <w:sz w:val="24"/>
          <w:szCs w:val="24"/>
        </w:rPr>
        <w:t xml:space="preserve"> reclamación administrativa, que no agot</w:t>
      </w:r>
      <w:r w:rsidR="00FD68A8" w:rsidRPr="00A11E23">
        <w:rPr>
          <w:rFonts w:ascii="Arial" w:hAnsi="Arial" w:cs="Arial"/>
          <w:sz w:val="24"/>
          <w:szCs w:val="24"/>
        </w:rPr>
        <w:t>a el objeto de la acción civil,</w:t>
      </w:r>
      <w:r w:rsidR="00044E8D" w:rsidRPr="00A11E23">
        <w:rPr>
          <w:rFonts w:ascii="Arial" w:hAnsi="Arial" w:cs="Arial"/>
          <w:sz w:val="24"/>
          <w:szCs w:val="24"/>
        </w:rPr>
        <w:t xml:space="preserve"> puesto que lo cobrado allí no constituye la total</w:t>
      </w:r>
      <w:r w:rsidR="00FD68A8" w:rsidRPr="00A11E23">
        <w:rPr>
          <w:rFonts w:ascii="Arial" w:hAnsi="Arial" w:cs="Arial"/>
          <w:sz w:val="24"/>
          <w:szCs w:val="24"/>
        </w:rPr>
        <w:t xml:space="preserve">idad del perjuicio a reclamar, </w:t>
      </w:r>
      <w:r w:rsidR="00044E8D" w:rsidRPr="00A11E23">
        <w:rPr>
          <w:rFonts w:ascii="Arial" w:hAnsi="Arial" w:cs="Arial"/>
          <w:sz w:val="24"/>
          <w:szCs w:val="24"/>
        </w:rPr>
        <w:t xml:space="preserve">en el entendido que en el proceso de cobro coactivo no se puede pretender obtener el pago que corresponde a la actualización de las sumas apropiadas indebidamente por parte del hallado penalmente responsable, que es lo que se reclama a título de perjuicios, mientras que en proceso coactivo lo único que se puede cobrar de </w:t>
      </w:r>
      <w:r w:rsidRPr="00A11E23">
        <w:rPr>
          <w:rFonts w:ascii="Arial" w:hAnsi="Arial" w:cs="Arial"/>
          <w:sz w:val="24"/>
          <w:szCs w:val="24"/>
        </w:rPr>
        <w:t xml:space="preserve">esa </w:t>
      </w:r>
      <w:r w:rsidR="00044E8D" w:rsidRPr="00A11E23">
        <w:rPr>
          <w:rFonts w:ascii="Arial" w:hAnsi="Arial" w:cs="Arial"/>
          <w:sz w:val="24"/>
          <w:szCs w:val="24"/>
        </w:rPr>
        <w:t>manera son los conceptos pecuniarios propiamente emanados de la obligación tributaria, que le corresponde a los ciudadanos en virtud del principio de solidaridad que se encuentra plasmado en la C. P.</w:t>
      </w:r>
    </w:p>
    <w:p w:rsidR="00FD68A8" w:rsidRPr="00A11E23" w:rsidRDefault="00FD68A8" w:rsidP="00A11E23">
      <w:pPr>
        <w:pStyle w:val="Prrafodelista"/>
        <w:spacing w:line="288" w:lineRule="auto"/>
        <w:rPr>
          <w:rFonts w:ascii="Arial" w:hAnsi="Arial" w:cs="Arial"/>
          <w:sz w:val="24"/>
          <w:szCs w:val="24"/>
          <w:lang w:val="es-ES"/>
        </w:rPr>
      </w:pPr>
    </w:p>
    <w:p w:rsidR="00546B1F" w:rsidRPr="00A11E23" w:rsidRDefault="00546B1F" w:rsidP="00A11E23">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lastRenderedPageBreak/>
        <w:t xml:space="preserve">Se debe permitir a la DIAN que acceda al trámite del </w:t>
      </w:r>
      <w:proofErr w:type="spellStart"/>
      <w:r w:rsidRPr="00A11E23">
        <w:rPr>
          <w:rFonts w:ascii="Arial" w:hAnsi="Arial" w:cs="Arial"/>
          <w:sz w:val="24"/>
          <w:szCs w:val="24"/>
          <w:lang w:val="es-ES"/>
        </w:rPr>
        <w:t>IRP</w:t>
      </w:r>
      <w:proofErr w:type="spellEnd"/>
      <w:r w:rsidRPr="00A11E23">
        <w:rPr>
          <w:rFonts w:ascii="Arial" w:hAnsi="Arial" w:cs="Arial"/>
          <w:sz w:val="24"/>
          <w:szCs w:val="24"/>
          <w:lang w:val="es-ES"/>
        </w:rPr>
        <w:t xml:space="preserve">, ya que la obligación del deudor no ha sido cancelada, por lo cual no podría hablarse de un doble </w:t>
      </w:r>
      <w:r w:rsidR="00FD68A8" w:rsidRPr="00A11E23">
        <w:rPr>
          <w:rFonts w:ascii="Arial" w:hAnsi="Arial" w:cs="Arial"/>
          <w:sz w:val="24"/>
          <w:szCs w:val="24"/>
          <w:lang w:val="es-ES"/>
        </w:rPr>
        <w:t xml:space="preserve">cobro en contra del procesado, </w:t>
      </w:r>
      <w:r w:rsidRPr="00A11E23">
        <w:rPr>
          <w:rFonts w:ascii="Arial" w:hAnsi="Arial" w:cs="Arial"/>
          <w:sz w:val="24"/>
          <w:szCs w:val="24"/>
          <w:lang w:val="es-ES"/>
        </w:rPr>
        <w:t>que si generaría un enriquecimiento sin justa causa, cuando se ha cancelado la suma adeudada.</w:t>
      </w:r>
    </w:p>
    <w:p w:rsidR="00546B1F" w:rsidRPr="00A11E23" w:rsidRDefault="00546B1F" w:rsidP="00A11E23">
      <w:pPr>
        <w:pStyle w:val="Prrafodelista"/>
        <w:spacing w:line="288" w:lineRule="auto"/>
        <w:jc w:val="both"/>
        <w:rPr>
          <w:rFonts w:ascii="Arial" w:hAnsi="Arial" w:cs="Arial"/>
          <w:sz w:val="24"/>
          <w:szCs w:val="24"/>
          <w:lang w:val="es-ES"/>
        </w:rPr>
      </w:pPr>
    </w:p>
    <w:p w:rsidR="0063232F" w:rsidRPr="00A11E23" w:rsidRDefault="00546B1F" w:rsidP="00AB1668">
      <w:pPr>
        <w:pStyle w:val="Prrafodelista"/>
        <w:numPr>
          <w:ilvl w:val="0"/>
          <w:numId w:val="9"/>
        </w:numPr>
        <w:spacing w:line="288" w:lineRule="auto"/>
        <w:ind w:left="360"/>
        <w:jc w:val="both"/>
        <w:rPr>
          <w:rFonts w:ascii="Arial" w:hAnsi="Arial" w:cs="Arial"/>
          <w:sz w:val="24"/>
          <w:szCs w:val="24"/>
          <w:lang w:val="es-ES"/>
        </w:rPr>
      </w:pPr>
      <w:r w:rsidRPr="00A11E23">
        <w:rPr>
          <w:rFonts w:ascii="Arial" w:hAnsi="Arial" w:cs="Arial"/>
          <w:sz w:val="24"/>
          <w:szCs w:val="24"/>
          <w:lang w:val="es-ES"/>
        </w:rPr>
        <w:t>Hiz</w:t>
      </w:r>
      <w:r w:rsidR="00FD68A8" w:rsidRPr="00A11E23">
        <w:rPr>
          <w:rFonts w:ascii="Arial" w:hAnsi="Arial" w:cs="Arial"/>
          <w:sz w:val="24"/>
          <w:szCs w:val="24"/>
          <w:lang w:val="es-ES"/>
        </w:rPr>
        <w:t xml:space="preserve">o referencia </w:t>
      </w:r>
      <w:r w:rsidRPr="00A11E23">
        <w:rPr>
          <w:rFonts w:ascii="Arial" w:hAnsi="Arial" w:cs="Arial"/>
          <w:sz w:val="24"/>
          <w:szCs w:val="24"/>
          <w:lang w:val="es-ES"/>
        </w:rPr>
        <w:t>a los eventos en que es posible apartarse de un precedente</w:t>
      </w:r>
      <w:r w:rsidR="00FD68A8" w:rsidRPr="00A11E23">
        <w:rPr>
          <w:rFonts w:ascii="Arial" w:hAnsi="Arial" w:cs="Arial"/>
          <w:sz w:val="24"/>
          <w:szCs w:val="24"/>
          <w:lang w:val="es-ES"/>
        </w:rPr>
        <w:t xml:space="preserve"> judicial, según las sentencias</w:t>
      </w:r>
      <w:r w:rsidRPr="00A11E23">
        <w:rPr>
          <w:rFonts w:ascii="Arial" w:hAnsi="Arial" w:cs="Arial"/>
          <w:sz w:val="24"/>
          <w:szCs w:val="24"/>
          <w:lang w:val="es-ES"/>
        </w:rPr>
        <w:t xml:space="preserve"> C-836 </w:t>
      </w:r>
      <w:r w:rsidR="0063232F" w:rsidRPr="00A11E23">
        <w:rPr>
          <w:rFonts w:ascii="Arial" w:hAnsi="Arial" w:cs="Arial"/>
          <w:sz w:val="24"/>
          <w:szCs w:val="24"/>
          <w:lang w:val="es-ES"/>
        </w:rPr>
        <w:t xml:space="preserve">del 2001 </w:t>
      </w:r>
      <w:r w:rsidR="00FD68A8" w:rsidRPr="00A11E23">
        <w:rPr>
          <w:rFonts w:ascii="Arial" w:hAnsi="Arial" w:cs="Arial"/>
          <w:sz w:val="24"/>
          <w:szCs w:val="24"/>
          <w:lang w:val="es-ES"/>
        </w:rPr>
        <w:t>y de 2001 y C-</w:t>
      </w:r>
      <w:r w:rsidR="0063232F" w:rsidRPr="00A11E23">
        <w:rPr>
          <w:rFonts w:ascii="Arial" w:hAnsi="Arial" w:cs="Arial"/>
          <w:sz w:val="24"/>
          <w:szCs w:val="24"/>
          <w:lang w:val="es-ES"/>
        </w:rPr>
        <w:t xml:space="preserve">621 de 2015, para solicitar que en este caso no se aplique la decisión invocada de la </w:t>
      </w:r>
      <w:proofErr w:type="spellStart"/>
      <w:r w:rsidR="0063232F" w:rsidRPr="00A11E23">
        <w:rPr>
          <w:rFonts w:ascii="Arial" w:hAnsi="Arial" w:cs="Arial"/>
          <w:sz w:val="24"/>
          <w:szCs w:val="24"/>
          <w:lang w:val="es-ES"/>
        </w:rPr>
        <w:t>SP</w:t>
      </w:r>
      <w:proofErr w:type="spellEnd"/>
      <w:r w:rsidR="0063232F" w:rsidRPr="00A11E23">
        <w:rPr>
          <w:rFonts w:ascii="Arial" w:hAnsi="Arial" w:cs="Arial"/>
          <w:sz w:val="24"/>
          <w:szCs w:val="24"/>
          <w:lang w:val="es-ES"/>
        </w:rPr>
        <w:t xml:space="preserve"> de la CSJ, con base en la cual se adoptó la decisión de primera instancia.</w:t>
      </w:r>
    </w:p>
    <w:p w:rsidR="00436F34" w:rsidRPr="00AB1668" w:rsidRDefault="00436F34" w:rsidP="00AB1668">
      <w:pPr>
        <w:pStyle w:val="Sinespaciado"/>
        <w:spacing w:line="288" w:lineRule="auto"/>
        <w:jc w:val="both"/>
        <w:rPr>
          <w:rFonts w:ascii="Arial" w:hAnsi="Arial" w:cs="Arial"/>
          <w:lang w:val="es-ES_tradnl"/>
        </w:rPr>
      </w:pPr>
      <w:r w:rsidRPr="00AB1668">
        <w:rPr>
          <w:rFonts w:ascii="Arial" w:hAnsi="Arial" w:cs="Arial"/>
          <w:lang w:val="es-ES_tradnl"/>
        </w:rPr>
        <w:t>4</w:t>
      </w:r>
      <w:r w:rsidR="0063232F" w:rsidRPr="00AB1668">
        <w:rPr>
          <w:rFonts w:ascii="Arial" w:hAnsi="Arial" w:cs="Arial"/>
          <w:lang w:val="es-ES_tradnl"/>
        </w:rPr>
        <w:t>.2 El defensor del procesado no se pronunció.</w:t>
      </w:r>
    </w:p>
    <w:p w:rsidR="00436F34" w:rsidRDefault="00436F34" w:rsidP="0054686F">
      <w:pPr>
        <w:pStyle w:val="Sinespaciado"/>
        <w:spacing w:line="288" w:lineRule="auto"/>
        <w:jc w:val="both"/>
        <w:rPr>
          <w:rFonts w:ascii="Arial" w:hAnsi="Arial" w:cs="Arial"/>
        </w:rPr>
      </w:pPr>
    </w:p>
    <w:p w:rsidR="00AB1668" w:rsidRPr="00A11E23" w:rsidRDefault="00AB1668" w:rsidP="0054686F">
      <w:pPr>
        <w:pStyle w:val="Sinespaciado"/>
        <w:spacing w:line="288" w:lineRule="auto"/>
        <w:jc w:val="both"/>
        <w:rPr>
          <w:rFonts w:ascii="Arial" w:hAnsi="Arial" w:cs="Arial"/>
        </w:rPr>
      </w:pPr>
    </w:p>
    <w:p w:rsidR="00044E8D" w:rsidRPr="00A11E23" w:rsidRDefault="00436F34" w:rsidP="00A11E23">
      <w:pPr>
        <w:spacing w:line="288" w:lineRule="auto"/>
        <w:jc w:val="center"/>
        <w:rPr>
          <w:rFonts w:ascii="Arial" w:hAnsi="Arial" w:cs="Arial"/>
          <w:sz w:val="24"/>
          <w:szCs w:val="24"/>
        </w:rPr>
      </w:pPr>
      <w:r w:rsidRPr="00A11E23">
        <w:rPr>
          <w:rFonts w:ascii="Arial" w:hAnsi="Arial" w:cs="Arial"/>
          <w:sz w:val="24"/>
          <w:szCs w:val="24"/>
          <w:lang w:val="es-ES"/>
        </w:rPr>
        <w:t xml:space="preserve">5. </w:t>
      </w:r>
      <w:r w:rsidR="00044E8D" w:rsidRPr="00A11E23">
        <w:rPr>
          <w:rFonts w:ascii="Arial" w:hAnsi="Arial" w:cs="Arial"/>
          <w:sz w:val="24"/>
          <w:szCs w:val="24"/>
          <w:lang w:val="es-ES_tradnl"/>
        </w:rPr>
        <w:t>CONSIDERACIONES DE LA SALA</w:t>
      </w:r>
    </w:p>
    <w:p w:rsidR="00436F34" w:rsidRPr="00A11E23" w:rsidRDefault="00FD68A8" w:rsidP="00A11E23">
      <w:pPr>
        <w:pStyle w:val="Sinespaciado"/>
        <w:spacing w:line="288" w:lineRule="auto"/>
        <w:jc w:val="both"/>
        <w:rPr>
          <w:rFonts w:ascii="Arial" w:hAnsi="Arial" w:cs="Arial"/>
          <w:lang w:val="es-ES_tradnl"/>
        </w:rPr>
      </w:pPr>
      <w:r w:rsidRPr="00A11E23">
        <w:rPr>
          <w:rFonts w:ascii="Arial" w:hAnsi="Arial" w:cs="Arial"/>
          <w:lang w:val="es-ES_tradnl"/>
        </w:rPr>
        <w:t>5.1 Esta C</w:t>
      </w:r>
      <w:r w:rsidR="0063232F" w:rsidRPr="00A11E23">
        <w:rPr>
          <w:rFonts w:ascii="Arial" w:hAnsi="Arial" w:cs="Arial"/>
          <w:lang w:val="es-ES_tradnl"/>
        </w:rPr>
        <w:t>olegiatura es competente para conocer del recur</w:t>
      </w:r>
      <w:r w:rsidRPr="00A11E23">
        <w:rPr>
          <w:rFonts w:ascii="Arial" w:hAnsi="Arial" w:cs="Arial"/>
          <w:lang w:val="es-ES_tradnl"/>
        </w:rPr>
        <w:t>so propuesto</w:t>
      </w:r>
      <w:r w:rsidR="00436F34" w:rsidRPr="00A11E23">
        <w:rPr>
          <w:rFonts w:ascii="Arial" w:hAnsi="Arial" w:cs="Arial"/>
          <w:lang w:val="es-ES_tradnl"/>
        </w:rPr>
        <w:t xml:space="preserve">, conforme a lo que disponen los artículos 2º y 34-1 del </w:t>
      </w:r>
      <w:proofErr w:type="spellStart"/>
      <w:r w:rsidR="00436F34" w:rsidRPr="00A11E23">
        <w:rPr>
          <w:rFonts w:ascii="Arial" w:hAnsi="Arial" w:cs="Arial"/>
          <w:lang w:val="es-ES_tradnl"/>
        </w:rPr>
        <w:t>CPP</w:t>
      </w:r>
      <w:proofErr w:type="spellEnd"/>
      <w:r w:rsidR="00436F34" w:rsidRPr="00A11E23">
        <w:rPr>
          <w:rFonts w:ascii="Arial" w:hAnsi="Arial" w:cs="Arial"/>
          <w:lang w:val="es-ES_tradnl"/>
        </w:rPr>
        <w:t>.</w:t>
      </w:r>
    </w:p>
    <w:p w:rsidR="00436F34" w:rsidRPr="00A11E23" w:rsidRDefault="00436F34" w:rsidP="00A11E23">
      <w:pPr>
        <w:pStyle w:val="Sinespaciado"/>
        <w:spacing w:line="288" w:lineRule="auto"/>
        <w:jc w:val="both"/>
        <w:rPr>
          <w:rFonts w:ascii="Arial" w:hAnsi="Arial" w:cs="Arial"/>
          <w:lang w:val="es-ES_tradnl"/>
        </w:rPr>
      </w:pPr>
    </w:p>
    <w:p w:rsidR="00B1788F" w:rsidRPr="00A11E23" w:rsidRDefault="00FD68A8" w:rsidP="00A11E23">
      <w:pPr>
        <w:spacing w:after="0" w:line="288" w:lineRule="auto"/>
        <w:jc w:val="both"/>
        <w:rPr>
          <w:rFonts w:ascii="Arial" w:eastAsia="Times New Roman" w:hAnsi="Arial" w:cs="Arial"/>
          <w:sz w:val="24"/>
          <w:szCs w:val="24"/>
          <w:lang w:val="es-ES" w:eastAsia="es-ES"/>
        </w:rPr>
      </w:pPr>
      <w:r w:rsidRPr="00A11E23">
        <w:rPr>
          <w:rFonts w:ascii="Arial" w:eastAsia="Times New Roman" w:hAnsi="Arial" w:cs="Arial"/>
          <w:sz w:val="24"/>
          <w:szCs w:val="24"/>
          <w:lang w:val="es-ES" w:eastAsia="es-ES"/>
        </w:rPr>
        <w:t xml:space="preserve">5.2 </w:t>
      </w:r>
      <w:r w:rsidR="00B1788F" w:rsidRPr="00A11E23">
        <w:rPr>
          <w:rFonts w:ascii="Arial" w:eastAsia="Times New Roman" w:hAnsi="Arial" w:cs="Arial"/>
          <w:sz w:val="24"/>
          <w:szCs w:val="24"/>
          <w:u w:val="single"/>
          <w:lang w:val="es-ES" w:eastAsia="es-ES"/>
        </w:rPr>
        <w:t>Problema jurídico a resolver</w:t>
      </w:r>
      <w:r w:rsidRPr="00A11E23">
        <w:rPr>
          <w:rFonts w:ascii="Arial" w:eastAsia="Times New Roman" w:hAnsi="Arial" w:cs="Arial"/>
          <w:sz w:val="24"/>
          <w:szCs w:val="24"/>
          <w:lang w:val="es-ES" w:eastAsia="es-ES"/>
        </w:rPr>
        <w:t>:</w:t>
      </w:r>
      <w:r w:rsidR="00B1788F" w:rsidRPr="00A11E23">
        <w:rPr>
          <w:rFonts w:ascii="Arial" w:eastAsia="Times New Roman" w:hAnsi="Arial" w:cs="Arial"/>
          <w:sz w:val="24"/>
          <w:szCs w:val="24"/>
          <w:lang w:val="es-ES" w:eastAsia="es-ES"/>
        </w:rPr>
        <w:t xml:space="preserve"> En atención a la argumentación de la recurrente, se debe decidir lo concerniente al grado de acierto de la decisión del</w:t>
      </w:r>
      <w:r w:rsidR="00436F34" w:rsidRPr="00A11E23">
        <w:rPr>
          <w:rFonts w:ascii="Arial" w:eastAsia="Times New Roman" w:hAnsi="Arial" w:cs="Arial"/>
          <w:sz w:val="24"/>
          <w:szCs w:val="24"/>
          <w:lang w:val="es-ES" w:eastAsia="es-ES"/>
        </w:rPr>
        <w:t xml:space="preserve"> juez de primer grado que no dio trámite al </w:t>
      </w:r>
      <w:proofErr w:type="spellStart"/>
      <w:r w:rsidR="00B1788F" w:rsidRPr="00A11E23">
        <w:rPr>
          <w:rFonts w:ascii="Arial" w:eastAsia="Times New Roman" w:hAnsi="Arial" w:cs="Arial"/>
          <w:sz w:val="24"/>
          <w:szCs w:val="24"/>
          <w:lang w:val="es-ES" w:eastAsia="es-ES"/>
        </w:rPr>
        <w:t>IRP</w:t>
      </w:r>
      <w:proofErr w:type="spellEnd"/>
      <w:r w:rsidR="00B1788F" w:rsidRPr="00A11E23">
        <w:rPr>
          <w:rFonts w:ascii="Arial" w:eastAsia="Times New Roman" w:hAnsi="Arial" w:cs="Arial"/>
          <w:sz w:val="24"/>
          <w:szCs w:val="24"/>
          <w:lang w:val="es-ES" w:eastAsia="es-ES"/>
        </w:rPr>
        <w:t xml:space="preserve"> promovido por la DIAN contra el señor </w:t>
      </w:r>
      <w:proofErr w:type="spellStart"/>
      <w:r w:rsidR="00814DBE">
        <w:rPr>
          <w:rFonts w:ascii="Arial" w:eastAsia="Times New Roman" w:hAnsi="Arial" w:cs="Arial"/>
          <w:sz w:val="24"/>
          <w:szCs w:val="24"/>
          <w:lang w:val="es-ES" w:eastAsia="es-ES"/>
        </w:rPr>
        <w:t>JAAH</w:t>
      </w:r>
      <w:proofErr w:type="spellEnd"/>
      <w:r w:rsidR="00436F34" w:rsidRPr="00A11E23">
        <w:rPr>
          <w:rFonts w:ascii="Arial" w:eastAsia="Times New Roman" w:hAnsi="Arial" w:cs="Arial"/>
          <w:sz w:val="24"/>
          <w:szCs w:val="24"/>
          <w:lang w:val="es-ES" w:eastAsia="es-ES"/>
        </w:rPr>
        <w:t>.</w:t>
      </w:r>
    </w:p>
    <w:p w:rsidR="00B1788F" w:rsidRPr="00A11E23" w:rsidRDefault="00B1788F" w:rsidP="00A11E23">
      <w:pPr>
        <w:spacing w:after="0" w:line="288" w:lineRule="auto"/>
        <w:ind w:left="567" w:right="789"/>
        <w:jc w:val="both"/>
        <w:rPr>
          <w:rFonts w:ascii="Arial" w:eastAsia="Times New Roman" w:hAnsi="Arial" w:cs="Arial"/>
          <w:i/>
          <w:sz w:val="24"/>
          <w:szCs w:val="24"/>
          <w:lang w:val="es-ES_tradnl" w:eastAsia="es-ES"/>
        </w:rPr>
      </w:pPr>
    </w:p>
    <w:p w:rsidR="00B1788F" w:rsidRPr="00A11E23" w:rsidRDefault="00FD68A8" w:rsidP="00A11E23">
      <w:pPr>
        <w:spacing w:line="288" w:lineRule="auto"/>
        <w:jc w:val="both"/>
        <w:rPr>
          <w:rFonts w:ascii="Arial" w:hAnsi="Arial" w:cs="Arial"/>
          <w:sz w:val="24"/>
          <w:szCs w:val="24"/>
        </w:rPr>
      </w:pPr>
      <w:r w:rsidRPr="00A11E23">
        <w:rPr>
          <w:rFonts w:ascii="Arial" w:eastAsia="Times New Roman" w:hAnsi="Arial" w:cs="Arial"/>
          <w:sz w:val="24"/>
          <w:szCs w:val="24"/>
          <w:lang w:val="es-ES_tradnl" w:eastAsia="es-ES"/>
        </w:rPr>
        <w:t>5.3</w:t>
      </w:r>
      <w:r w:rsidR="00B1788F" w:rsidRPr="00A11E23">
        <w:rPr>
          <w:rFonts w:ascii="Arial" w:eastAsia="Times New Roman" w:hAnsi="Arial" w:cs="Arial"/>
          <w:sz w:val="24"/>
          <w:szCs w:val="24"/>
          <w:lang w:val="es-ES_tradnl" w:eastAsia="es-ES"/>
        </w:rPr>
        <w:t xml:space="preserve"> </w:t>
      </w:r>
      <w:r w:rsidR="00B1788F" w:rsidRPr="00A11E23">
        <w:rPr>
          <w:rFonts w:ascii="Arial" w:eastAsia="Times New Roman" w:hAnsi="Arial" w:cs="Arial"/>
          <w:sz w:val="24"/>
          <w:szCs w:val="24"/>
          <w:lang w:val="es-ES" w:eastAsia="es-ES"/>
        </w:rPr>
        <w:t>En ese senti</w:t>
      </w:r>
      <w:r w:rsidRPr="00A11E23">
        <w:rPr>
          <w:rFonts w:ascii="Arial" w:eastAsia="Times New Roman" w:hAnsi="Arial" w:cs="Arial"/>
          <w:sz w:val="24"/>
          <w:szCs w:val="24"/>
          <w:lang w:val="es-ES" w:eastAsia="es-ES"/>
        </w:rPr>
        <w:t xml:space="preserve">do hay que manifestar que esta Corporación debe analizar </w:t>
      </w:r>
      <w:r w:rsidR="00B1788F" w:rsidRPr="00A11E23">
        <w:rPr>
          <w:rFonts w:ascii="Arial" w:hAnsi="Arial" w:cs="Arial"/>
          <w:sz w:val="24"/>
          <w:szCs w:val="24"/>
          <w:lang w:val="es-ES"/>
        </w:rPr>
        <w:t xml:space="preserve">los efectos vinculantes que tienen el precedente CSJ </w:t>
      </w:r>
      <w:proofErr w:type="spellStart"/>
      <w:r w:rsidR="00B1788F" w:rsidRPr="00A11E23">
        <w:rPr>
          <w:rFonts w:ascii="Arial" w:hAnsi="Arial" w:cs="Arial"/>
          <w:sz w:val="24"/>
          <w:szCs w:val="24"/>
          <w:lang w:val="es-ES"/>
        </w:rPr>
        <w:t>SP</w:t>
      </w:r>
      <w:proofErr w:type="spellEnd"/>
      <w:r w:rsidR="00B1788F" w:rsidRPr="00A11E23">
        <w:rPr>
          <w:rFonts w:ascii="Arial" w:hAnsi="Arial" w:cs="Arial"/>
          <w:sz w:val="24"/>
          <w:szCs w:val="24"/>
          <w:lang w:val="es-ES"/>
        </w:rPr>
        <w:t xml:space="preserve"> del 14 de junio de 2017, radicado 47776, relacionado con el presente caso.</w:t>
      </w:r>
      <w:r w:rsidR="00B1788F" w:rsidRPr="00A11E23">
        <w:rPr>
          <w:rFonts w:ascii="Arial" w:hAnsi="Arial" w:cs="Arial"/>
          <w:sz w:val="24"/>
          <w:szCs w:val="24"/>
        </w:rPr>
        <w:t xml:space="preserve"> </w:t>
      </w:r>
    </w:p>
    <w:p w:rsidR="00FD68A8" w:rsidRPr="00A11E23" w:rsidRDefault="00B1788F" w:rsidP="00A11E23">
      <w:pPr>
        <w:spacing w:line="288" w:lineRule="auto"/>
        <w:jc w:val="both"/>
        <w:rPr>
          <w:rFonts w:ascii="Arial" w:hAnsi="Arial" w:cs="Arial"/>
          <w:sz w:val="24"/>
          <w:szCs w:val="24"/>
          <w:highlight w:val="yellow"/>
        </w:rPr>
      </w:pPr>
      <w:r w:rsidRPr="00A11E23">
        <w:rPr>
          <w:rFonts w:ascii="Arial" w:hAnsi="Arial" w:cs="Arial"/>
          <w:sz w:val="24"/>
          <w:szCs w:val="24"/>
        </w:rPr>
        <w:t xml:space="preserve">Aunado a lo anterior, se debe </w:t>
      </w:r>
      <w:r w:rsidR="00FD68A8" w:rsidRPr="00A11E23">
        <w:rPr>
          <w:rFonts w:ascii="Arial" w:hAnsi="Arial" w:cs="Arial"/>
          <w:sz w:val="24"/>
          <w:szCs w:val="24"/>
        </w:rPr>
        <w:t>examinar si el hecho de que la</w:t>
      </w:r>
      <w:r w:rsidRPr="00A11E23">
        <w:rPr>
          <w:rFonts w:ascii="Arial" w:hAnsi="Arial" w:cs="Arial"/>
          <w:sz w:val="24"/>
          <w:szCs w:val="24"/>
        </w:rPr>
        <w:t xml:space="preserve"> DIAN hubiera acudido al mecanismo del cobro coactivo contra el obligado, le impide promover paralelamente el </w:t>
      </w:r>
      <w:proofErr w:type="spellStart"/>
      <w:r w:rsidRPr="00A11E23">
        <w:rPr>
          <w:rFonts w:ascii="Arial" w:hAnsi="Arial" w:cs="Arial"/>
          <w:sz w:val="24"/>
          <w:szCs w:val="24"/>
        </w:rPr>
        <w:t>IRP</w:t>
      </w:r>
      <w:proofErr w:type="spellEnd"/>
      <w:r w:rsidRPr="00A11E23">
        <w:rPr>
          <w:rFonts w:ascii="Arial" w:hAnsi="Arial" w:cs="Arial"/>
          <w:sz w:val="24"/>
          <w:szCs w:val="24"/>
        </w:rPr>
        <w:t>, y si esa situ</w:t>
      </w:r>
      <w:r w:rsidR="00FD68A8" w:rsidRPr="00A11E23">
        <w:rPr>
          <w:rFonts w:ascii="Arial" w:hAnsi="Arial" w:cs="Arial"/>
          <w:sz w:val="24"/>
          <w:szCs w:val="24"/>
        </w:rPr>
        <w:t xml:space="preserve">ación genera una violación del </w:t>
      </w:r>
      <w:r w:rsidRPr="00A11E23">
        <w:rPr>
          <w:rFonts w:ascii="Arial" w:hAnsi="Arial" w:cs="Arial"/>
          <w:sz w:val="24"/>
          <w:szCs w:val="24"/>
        </w:rPr>
        <w:t>principio de non bis in ídem.</w:t>
      </w:r>
      <w:r w:rsidRPr="00A11E23">
        <w:rPr>
          <w:rFonts w:ascii="Arial" w:hAnsi="Arial" w:cs="Arial"/>
          <w:sz w:val="24"/>
          <w:szCs w:val="24"/>
          <w:highlight w:val="yellow"/>
        </w:rPr>
        <w:t xml:space="preserve"> </w:t>
      </w:r>
    </w:p>
    <w:p w:rsidR="00B1788F" w:rsidRPr="00A11E23" w:rsidRDefault="00FD68A8" w:rsidP="00A11E23">
      <w:pPr>
        <w:spacing w:line="288" w:lineRule="auto"/>
        <w:jc w:val="both"/>
        <w:rPr>
          <w:rFonts w:ascii="Arial" w:hAnsi="Arial" w:cs="Arial"/>
          <w:sz w:val="24"/>
          <w:szCs w:val="24"/>
        </w:rPr>
      </w:pPr>
      <w:r w:rsidRPr="00A11E23">
        <w:rPr>
          <w:rFonts w:ascii="Arial" w:hAnsi="Arial" w:cs="Arial"/>
          <w:sz w:val="24"/>
          <w:szCs w:val="24"/>
        </w:rPr>
        <w:t>5.4</w:t>
      </w:r>
      <w:r w:rsidR="00B1788F" w:rsidRPr="00A11E23">
        <w:rPr>
          <w:rFonts w:ascii="Arial" w:hAnsi="Arial" w:cs="Arial"/>
          <w:sz w:val="24"/>
          <w:szCs w:val="24"/>
        </w:rPr>
        <w:t xml:space="preserve"> Sobre el tema hay que manifestar que esta colegiatura examinó el asunto en debate en decisión del 7 de marzo de 2019, M.P Jorge Arturo Castaño Duque donde se confirmó la decisión de no dar trámite a un </w:t>
      </w:r>
      <w:proofErr w:type="spellStart"/>
      <w:r w:rsidR="00B1788F" w:rsidRPr="00A11E23">
        <w:rPr>
          <w:rFonts w:ascii="Arial" w:hAnsi="Arial" w:cs="Arial"/>
          <w:sz w:val="24"/>
          <w:szCs w:val="24"/>
        </w:rPr>
        <w:t>IRP</w:t>
      </w:r>
      <w:proofErr w:type="spellEnd"/>
      <w:r w:rsidR="00B1788F" w:rsidRPr="00A11E23">
        <w:rPr>
          <w:rFonts w:ascii="Arial" w:hAnsi="Arial" w:cs="Arial"/>
          <w:sz w:val="24"/>
          <w:szCs w:val="24"/>
        </w:rPr>
        <w:t xml:space="preserve">, promovido por la DIAN contra Abel Antonio Serna Londoño, </w:t>
      </w:r>
      <w:r w:rsidR="00436F34" w:rsidRPr="00A11E23">
        <w:rPr>
          <w:rFonts w:ascii="Arial" w:hAnsi="Arial" w:cs="Arial"/>
          <w:sz w:val="24"/>
          <w:szCs w:val="24"/>
        </w:rPr>
        <w:t xml:space="preserve">en la cual se </w:t>
      </w:r>
      <w:r w:rsidR="00B1788F" w:rsidRPr="00A11E23">
        <w:rPr>
          <w:rFonts w:ascii="Arial" w:hAnsi="Arial" w:cs="Arial"/>
          <w:sz w:val="24"/>
          <w:szCs w:val="24"/>
        </w:rPr>
        <w:t>dijo lo siguiente:</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t>2.2.- Problema jurídico planteado</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t>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t>2.3.- Solución a la controversia</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t xml:space="preserve">De conformidad con la tesis expuesta por el juez de primer grado, en atención al último pronunciamiento de la Corte Suprema de Justicia sobre el tópico -CSJ </w:t>
      </w:r>
      <w:proofErr w:type="spellStart"/>
      <w:r w:rsidRPr="00C07C66">
        <w:rPr>
          <w:rFonts w:ascii="Arial" w:hAnsi="Arial" w:cs="Arial"/>
          <w:i/>
          <w:spacing w:val="-4"/>
          <w:position w:val="-4"/>
          <w:szCs w:val="24"/>
        </w:rPr>
        <w:t>SP</w:t>
      </w:r>
      <w:proofErr w:type="spellEnd"/>
      <w:r w:rsidRPr="00C07C66">
        <w:rPr>
          <w:rFonts w:ascii="Arial" w:hAnsi="Arial" w:cs="Arial"/>
          <w:i/>
          <w:spacing w:val="-4"/>
          <w:position w:val="-4"/>
          <w:szCs w:val="24"/>
        </w:rPr>
        <w:t>, 14 JUN. 2017, RAD. 47446-, el cual ya ha sido acogido por este Tribunal, no hay lugar a iniciar el incidente de reparación como quiera que la DIAN adelantó internamente un cobro coactivo.</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lastRenderedPageBreak/>
        <w:t xml:space="preserve">Por su parte el apoderado de la víctima solicita a esta Corporación que se aparte de lo resuelto por la Corte Suprema, con fundamento en lo siguiente: (i) el análisis realizado en esa providencia se hizo con fundamento en decisiones adoptadas en vigencia de procedimientos anteriores que difieren del sistema penal acusatorio, en el cual se ha 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w:t>
      </w:r>
      <w:proofErr w:type="spellStart"/>
      <w:r w:rsidRPr="00C07C66">
        <w:rPr>
          <w:rFonts w:ascii="Arial" w:hAnsi="Arial" w:cs="Arial"/>
          <w:i/>
          <w:spacing w:val="-4"/>
          <w:position w:val="-4"/>
          <w:szCs w:val="24"/>
        </w:rPr>
        <w:t>C.P.P</w:t>
      </w:r>
      <w:proofErr w:type="spellEnd"/>
      <w:r w:rsidRPr="00C07C66">
        <w:rPr>
          <w:rFonts w:ascii="Arial" w:hAnsi="Arial" w:cs="Arial"/>
          <w:i/>
          <w:spacing w:val="-4"/>
          <w:position w:val="-4"/>
          <w:szCs w:val="24"/>
        </w:rPr>
        <w:t xml:space="preserve">., ya que en el trámite administrativo no se ha obtenido ningún resultado favorable, y tampoco se afecta con ello el non bis in </w:t>
      </w:r>
      <w:proofErr w:type="spellStart"/>
      <w:r w:rsidRPr="00C07C66">
        <w:rPr>
          <w:rFonts w:ascii="Arial" w:hAnsi="Arial" w:cs="Arial"/>
          <w:i/>
          <w:spacing w:val="-4"/>
          <w:position w:val="-4"/>
          <w:szCs w:val="24"/>
        </w:rPr>
        <w:t>idem</w:t>
      </w:r>
      <w:proofErr w:type="spellEnd"/>
      <w:r w:rsidRPr="00C07C66">
        <w:rPr>
          <w:rFonts w:ascii="Arial" w:hAnsi="Arial" w:cs="Arial"/>
          <w:i/>
          <w:spacing w:val="-4"/>
          <w:position w:val="-4"/>
          <w:szCs w:val="24"/>
        </w:rPr>
        <w:t xml:space="preserve">. </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w:t>
      </w:r>
      <w:proofErr w:type="spellStart"/>
      <w:r w:rsidRPr="00C07C66">
        <w:rPr>
          <w:rFonts w:ascii="Arial" w:hAnsi="Arial" w:cs="Arial"/>
          <w:i/>
          <w:spacing w:val="-4"/>
          <w:position w:val="-4"/>
          <w:szCs w:val="24"/>
        </w:rPr>
        <w:t>idem</w:t>
      </w:r>
      <w:proofErr w:type="spellEnd"/>
      <w:r w:rsidRPr="00C07C66">
        <w:rPr>
          <w:rFonts w:ascii="Arial" w:hAnsi="Arial" w:cs="Arial"/>
          <w:i/>
          <w:spacing w:val="-4"/>
          <w:position w:val="-4"/>
          <w:szCs w:val="24"/>
        </w:rPr>
        <w:t xml:space="preserve"> al existir identidad de causa, de objeto y de persona, ya que la pretensión del incidente es el reconocimiento económico de perjuicios, que no son morales sino materiales en sus componentes de daño emergente y de lucro cesante. </w:t>
      </w:r>
    </w:p>
    <w:p w:rsidR="00B1788F" w:rsidRPr="00C07C66" w:rsidRDefault="00B1788F" w:rsidP="00C07C66">
      <w:pPr>
        <w:spacing w:line="240" w:lineRule="auto"/>
        <w:ind w:left="426" w:right="418"/>
        <w:jc w:val="both"/>
        <w:rPr>
          <w:rFonts w:ascii="Arial" w:hAnsi="Arial" w:cs="Arial"/>
          <w:i/>
          <w:spacing w:val="-4"/>
          <w:position w:val="-4"/>
          <w:szCs w:val="24"/>
        </w:rPr>
      </w:pPr>
      <w:r w:rsidRPr="00C07C66">
        <w:rPr>
          <w:rFonts w:ascii="Arial" w:hAnsi="Arial" w:cs="Arial"/>
          <w:i/>
          <w:spacing w:val="-4"/>
          <w:position w:val="-4"/>
          <w:szCs w:val="24"/>
        </w:rPr>
        <w:t xml:space="preserve">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w:t>
      </w:r>
      <w:proofErr w:type="spellStart"/>
      <w:r w:rsidRPr="00C07C66">
        <w:rPr>
          <w:rFonts w:ascii="Arial" w:hAnsi="Arial" w:cs="Arial"/>
          <w:i/>
          <w:spacing w:val="-4"/>
          <w:position w:val="-4"/>
          <w:szCs w:val="24"/>
        </w:rPr>
        <w:t>SP</w:t>
      </w:r>
      <w:proofErr w:type="spellEnd"/>
      <w:r w:rsidRPr="00C07C66">
        <w:rPr>
          <w:rFonts w:ascii="Arial" w:hAnsi="Arial" w:cs="Arial"/>
          <w:i/>
          <w:spacing w:val="-4"/>
          <w:position w:val="-4"/>
          <w:szCs w:val="24"/>
        </w:rPr>
        <w:t xml:space="preserve">, 29 </w:t>
      </w:r>
      <w:proofErr w:type="spellStart"/>
      <w:r w:rsidRPr="00C07C66">
        <w:rPr>
          <w:rFonts w:ascii="Arial" w:hAnsi="Arial" w:cs="Arial"/>
          <w:i/>
          <w:spacing w:val="-4"/>
          <w:position w:val="-4"/>
          <w:szCs w:val="24"/>
        </w:rPr>
        <w:t>AGOS</w:t>
      </w:r>
      <w:proofErr w:type="spellEnd"/>
      <w:r w:rsidRPr="00C07C66">
        <w:rPr>
          <w:rFonts w:ascii="Arial" w:hAnsi="Arial" w:cs="Arial"/>
          <w:i/>
          <w:spacing w:val="-4"/>
          <w:position w:val="-4"/>
          <w:szCs w:val="24"/>
        </w:rPr>
        <w:t xml:space="preserve">. 2006, </w:t>
      </w:r>
      <w:proofErr w:type="spellStart"/>
      <w:r w:rsidRPr="00C07C66">
        <w:rPr>
          <w:rFonts w:ascii="Arial" w:hAnsi="Arial" w:cs="Arial"/>
          <w:i/>
          <w:spacing w:val="-4"/>
          <w:position w:val="-4"/>
          <w:szCs w:val="24"/>
        </w:rPr>
        <w:t>Rdo</w:t>
      </w:r>
      <w:proofErr w:type="spellEnd"/>
      <w:r w:rsidRPr="00C07C66">
        <w:rPr>
          <w:rFonts w:ascii="Arial" w:hAnsi="Arial" w:cs="Arial"/>
          <w:i/>
          <w:spacing w:val="-4"/>
          <w:position w:val="-4"/>
          <w:szCs w:val="24"/>
        </w:rPr>
        <w:t>,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B1788F" w:rsidRPr="00C07C66" w:rsidRDefault="00B1788F" w:rsidP="00C07C66">
      <w:pPr>
        <w:spacing w:line="240" w:lineRule="auto"/>
        <w:ind w:left="426" w:right="418"/>
        <w:jc w:val="both"/>
        <w:rPr>
          <w:rFonts w:ascii="Arial" w:hAnsi="Arial" w:cs="Arial"/>
          <w:bCs/>
          <w:i/>
          <w:spacing w:val="-4"/>
          <w:position w:val="-4"/>
          <w:szCs w:val="24"/>
        </w:rPr>
      </w:pPr>
      <w:r w:rsidRPr="00C07C66">
        <w:rPr>
          <w:rFonts w:ascii="Arial" w:hAnsi="Arial" w:cs="Arial"/>
          <w:bCs/>
          <w:i/>
          <w:spacing w:val="-4"/>
          <w:position w:val="-4"/>
          <w:szCs w:val="24"/>
          <w:highlight w:val="yellow"/>
        </w:rPr>
        <w:t xml:space="preserve"> </w:t>
      </w:r>
      <w:r w:rsidRPr="00C07C66">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C07C66">
        <w:rPr>
          <w:rFonts w:ascii="Arial" w:hAnsi="Arial" w:cs="Arial"/>
          <w:i/>
          <w:spacing w:val="-4"/>
          <w:position w:val="-4"/>
          <w:szCs w:val="24"/>
        </w:rPr>
        <w:t xml:space="preserve"> dentro del radicado </w:t>
      </w:r>
      <w:r w:rsidRPr="00C07C66">
        <w:rPr>
          <w:rFonts w:ascii="Arial" w:hAnsi="Arial" w:cs="Arial"/>
          <w:i/>
          <w:spacing w:val="-4"/>
          <w:position w:val="-4"/>
          <w:szCs w:val="24"/>
          <w:lang w:eastAsia="es-ES"/>
        </w:rPr>
        <w:t xml:space="preserve">660160000036200904718 M.P. Manuel </w:t>
      </w:r>
      <w:proofErr w:type="spellStart"/>
      <w:r w:rsidRPr="00C07C66">
        <w:rPr>
          <w:rFonts w:ascii="Arial" w:hAnsi="Arial" w:cs="Arial"/>
          <w:i/>
          <w:spacing w:val="-4"/>
          <w:position w:val="-4"/>
          <w:szCs w:val="24"/>
          <w:lang w:eastAsia="es-ES"/>
        </w:rPr>
        <w:t>Yarzagaray</w:t>
      </w:r>
      <w:proofErr w:type="spellEnd"/>
      <w:r w:rsidRPr="00C07C66">
        <w:rPr>
          <w:rFonts w:ascii="Arial" w:hAnsi="Arial" w:cs="Arial"/>
          <w:i/>
          <w:spacing w:val="-4"/>
          <w:position w:val="-4"/>
          <w:szCs w:val="24"/>
          <w:lang w:eastAsia="es-ES"/>
        </w:rPr>
        <w:t xml:space="preserve"> Bandera</w:t>
      </w:r>
      <w:r w:rsidRPr="00C07C66">
        <w:rPr>
          <w:rFonts w:ascii="Arial" w:hAnsi="Arial" w:cs="Arial"/>
          <w:bCs/>
          <w:i/>
          <w:spacing w:val="-4"/>
          <w:position w:val="-4"/>
          <w:szCs w:val="24"/>
        </w:rPr>
        <w:t>, sin que sean atendibles los argumentos esgrimidos por el representante de la víctima para que la Corporación se aparte de esa decisión.</w:t>
      </w:r>
    </w:p>
    <w:p w:rsidR="00B1788F" w:rsidRPr="00C07C66" w:rsidRDefault="00B1788F" w:rsidP="00C07C66">
      <w:pPr>
        <w:spacing w:line="240" w:lineRule="auto"/>
        <w:ind w:left="426" w:right="418"/>
        <w:jc w:val="both"/>
        <w:rPr>
          <w:rFonts w:ascii="Arial" w:hAnsi="Arial" w:cs="Arial"/>
          <w:bCs/>
          <w:i/>
          <w:spacing w:val="-4"/>
          <w:position w:val="-4"/>
          <w:szCs w:val="24"/>
        </w:rPr>
      </w:pPr>
      <w:r w:rsidRPr="00C07C66">
        <w:rPr>
          <w:rFonts w:ascii="Arial" w:hAnsi="Arial" w:cs="Arial"/>
          <w:bCs/>
          <w:i/>
          <w:spacing w:val="-4"/>
          <w:position w:val="-4"/>
          <w:szCs w:val="24"/>
        </w:rPr>
        <w:t xml:space="preserve">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w:t>
      </w:r>
      <w:proofErr w:type="spellStart"/>
      <w:r w:rsidRPr="00C07C66">
        <w:rPr>
          <w:rFonts w:ascii="Arial" w:hAnsi="Arial" w:cs="Arial"/>
          <w:bCs/>
          <w:i/>
          <w:spacing w:val="-4"/>
          <w:position w:val="-4"/>
          <w:szCs w:val="24"/>
        </w:rPr>
        <w:t>decidendi</w:t>
      </w:r>
      <w:proofErr w:type="spellEnd"/>
      <w:r w:rsidRPr="00C07C66">
        <w:rPr>
          <w:rFonts w:ascii="Arial" w:hAnsi="Arial" w:cs="Arial"/>
          <w:bCs/>
          <w:i/>
          <w:spacing w:val="-4"/>
          <w:position w:val="-4"/>
          <w:szCs w:val="24"/>
        </w:rPr>
        <w:t xml:space="preserve"> de sus decisiones deben aplicarse en casos análogos, entre otras cosas, en aras de materializar los principios de igualdad ante la ley y seguridad jurídica, tal como lo ha precisado la Corte Constitucional en múltiples pronunciamientos</w:t>
      </w:r>
      <w:r w:rsidRPr="00C07C66">
        <w:rPr>
          <w:rStyle w:val="Refdenotaalpie"/>
          <w:rFonts w:ascii="Arial" w:hAnsi="Arial" w:cs="Arial"/>
          <w:bCs/>
          <w:i/>
          <w:spacing w:val="-4"/>
          <w:position w:val="-4"/>
          <w:szCs w:val="24"/>
        </w:rPr>
        <w:footnoteReference w:id="1"/>
      </w:r>
      <w:r w:rsidRPr="00C07C66">
        <w:rPr>
          <w:rFonts w:ascii="Arial" w:hAnsi="Arial" w:cs="Arial"/>
          <w:bCs/>
          <w:i/>
          <w:spacing w:val="-4"/>
          <w:position w:val="-4"/>
          <w:szCs w:val="24"/>
        </w:rPr>
        <w:t xml:space="preserve">. </w:t>
      </w:r>
    </w:p>
    <w:p w:rsidR="00B1788F" w:rsidRPr="00C07C66" w:rsidRDefault="00B1788F" w:rsidP="00C07C66">
      <w:pPr>
        <w:spacing w:line="240" w:lineRule="auto"/>
        <w:ind w:left="426" w:right="418"/>
        <w:jc w:val="both"/>
        <w:rPr>
          <w:rFonts w:ascii="Arial" w:hAnsi="Arial" w:cs="Arial"/>
          <w:bCs/>
          <w:i/>
          <w:spacing w:val="-4"/>
          <w:position w:val="-4"/>
          <w:szCs w:val="24"/>
        </w:rPr>
      </w:pPr>
      <w:r w:rsidRPr="00C07C66">
        <w:rPr>
          <w:rFonts w:ascii="Arial" w:hAnsi="Arial" w:cs="Arial"/>
          <w:bCs/>
          <w:i/>
          <w:spacing w:val="-4"/>
          <w:position w:val="-4"/>
          <w:szCs w:val="24"/>
        </w:rPr>
        <w:t xml:space="preserve">Ahora, si bien es cierto el juez está en la facultad de apartarse del precedente, no puede hacerlo en forma caprichosa sino que debe ser fundamentado en una sólida argumentación que respete los mencionados principios, y las manifestaciones que </w:t>
      </w:r>
      <w:r w:rsidRPr="00C07C66">
        <w:rPr>
          <w:rFonts w:ascii="Arial" w:hAnsi="Arial" w:cs="Arial"/>
          <w:bCs/>
          <w:i/>
          <w:spacing w:val="-4"/>
          <w:position w:val="-4"/>
          <w:szCs w:val="24"/>
        </w:rPr>
        <w:lastRenderedPageBreak/>
        <w:t>señala el apelante como justificación para ello, no solo no son de recibo para esta Colegiatura, sino que además no resultan ser compatibles con esas exigencias.</w:t>
      </w:r>
    </w:p>
    <w:p w:rsidR="00B1788F" w:rsidRDefault="00B1788F" w:rsidP="00C07C66">
      <w:pPr>
        <w:pStyle w:val="Textoindependiente"/>
        <w:ind w:left="426" w:right="418"/>
        <w:contextualSpacing/>
        <w:rPr>
          <w:rFonts w:ascii="Arial" w:hAnsi="Arial" w:cs="Arial"/>
          <w:i/>
          <w:spacing w:val="-4"/>
          <w:position w:val="-4"/>
          <w:sz w:val="22"/>
        </w:rPr>
      </w:pPr>
      <w:r w:rsidRPr="00C07C66">
        <w:rPr>
          <w:rFonts w:ascii="Arial" w:hAnsi="Arial" w:cs="Arial"/>
          <w:bCs/>
          <w:i/>
          <w:spacing w:val="-4"/>
          <w:position w:val="-4"/>
          <w:sz w:val="22"/>
        </w:rPr>
        <w:t>En la referida sentencia -</w:t>
      </w:r>
      <w:r w:rsidRPr="00C07C66">
        <w:rPr>
          <w:rFonts w:ascii="Arial" w:hAnsi="Arial" w:cs="Arial"/>
          <w:i/>
          <w:spacing w:val="-4"/>
          <w:position w:val="-4"/>
          <w:sz w:val="22"/>
        </w:rPr>
        <w:t xml:space="preserve">CSJ </w:t>
      </w:r>
      <w:proofErr w:type="spellStart"/>
      <w:r w:rsidRPr="00C07C66">
        <w:rPr>
          <w:rFonts w:ascii="Arial" w:hAnsi="Arial" w:cs="Arial"/>
          <w:i/>
          <w:spacing w:val="-4"/>
          <w:position w:val="-4"/>
          <w:sz w:val="22"/>
        </w:rPr>
        <w:t>SP</w:t>
      </w:r>
      <w:proofErr w:type="spellEnd"/>
      <w:r w:rsidRPr="00C07C66">
        <w:rPr>
          <w:rFonts w:ascii="Arial" w:hAnsi="Arial" w:cs="Arial"/>
          <w:i/>
          <w:spacing w:val="-4"/>
          <w:position w:val="-4"/>
          <w:sz w:val="22"/>
        </w:rPr>
        <w:t xml:space="preserve">, 14 JUN. 2017, rad. 47446-, se analizó lo atinente a las causales de rechazo del incidente de reparación establecidas en el artículo 103 </w:t>
      </w:r>
      <w:proofErr w:type="spellStart"/>
      <w:r w:rsidRPr="00C07C66">
        <w:rPr>
          <w:rFonts w:ascii="Arial" w:hAnsi="Arial" w:cs="Arial"/>
          <w:i/>
          <w:spacing w:val="-4"/>
          <w:position w:val="-4"/>
          <w:sz w:val="22"/>
        </w:rPr>
        <w:t>C.P.P</w:t>
      </w:r>
      <w:proofErr w:type="spellEnd"/>
      <w:r w:rsidRPr="00C07C66">
        <w:rPr>
          <w:rFonts w:ascii="Arial" w:hAnsi="Arial" w:cs="Arial"/>
          <w:i/>
          <w:spacing w:val="-4"/>
          <w:position w:val="-4"/>
          <w:sz w:val="22"/>
        </w:rPr>
        <w:t>.,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EF2620" w:rsidRPr="00C07C66" w:rsidRDefault="00EF2620" w:rsidP="00C07C66">
      <w:pPr>
        <w:pStyle w:val="Textoindependiente"/>
        <w:ind w:left="426" w:right="418"/>
        <w:contextualSpacing/>
        <w:rPr>
          <w:rFonts w:ascii="Arial" w:hAnsi="Arial" w:cs="Arial"/>
          <w:i/>
          <w:spacing w:val="-4"/>
          <w:position w:val="-4"/>
          <w:sz w:val="22"/>
        </w:rPr>
      </w:pPr>
    </w:p>
    <w:p w:rsidR="00B1788F" w:rsidRPr="00C07C66" w:rsidRDefault="00B1788F" w:rsidP="00C07C66">
      <w:pPr>
        <w:pStyle w:val="Textoindependiente"/>
        <w:ind w:left="426" w:right="418"/>
        <w:contextualSpacing/>
        <w:rPr>
          <w:rFonts w:ascii="Arial" w:hAnsi="Arial" w:cs="Arial"/>
          <w:i/>
          <w:spacing w:val="-4"/>
          <w:position w:val="-4"/>
          <w:sz w:val="22"/>
        </w:rPr>
      </w:pPr>
      <w:r w:rsidRPr="00C07C66">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B1788F" w:rsidRPr="00C07C66" w:rsidRDefault="00B1788F" w:rsidP="00C07C66">
      <w:pPr>
        <w:pStyle w:val="Textoindependiente"/>
        <w:ind w:left="426" w:right="418"/>
        <w:contextualSpacing/>
        <w:rPr>
          <w:rFonts w:ascii="Arial" w:hAnsi="Arial" w:cs="Arial"/>
          <w:i/>
          <w:spacing w:val="-4"/>
          <w:position w:val="-4"/>
          <w:sz w:val="22"/>
        </w:rPr>
      </w:pPr>
    </w:p>
    <w:p w:rsidR="00B1788F" w:rsidRPr="00C07C66" w:rsidRDefault="00B1788F" w:rsidP="00C07C66">
      <w:pPr>
        <w:pStyle w:val="Textoindependiente"/>
        <w:ind w:left="426" w:right="418"/>
        <w:contextualSpacing/>
        <w:rPr>
          <w:rFonts w:ascii="Arial" w:hAnsi="Arial" w:cs="Arial"/>
          <w:i/>
          <w:spacing w:val="-4"/>
          <w:position w:val="-4"/>
          <w:sz w:val="22"/>
        </w:rPr>
      </w:pPr>
      <w:r w:rsidRPr="00C07C66">
        <w:rPr>
          <w:rFonts w:ascii="Arial" w:hAnsi="Arial" w:cs="Arial"/>
          <w:i/>
          <w:spacing w:val="-4"/>
          <w:position w:val="-4"/>
          <w:sz w:val="22"/>
        </w:rPr>
        <w:t xml:space="preserve">Es cierto que con ese proceder no se afecta el non bis </w:t>
      </w:r>
      <w:proofErr w:type="spellStart"/>
      <w:r w:rsidRPr="00C07C66">
        <w:rPr>
          <w:rFonts w:ascii="Arial" w:hAnsi="Arial" w:cs="Arial"/>
          <w:i/>
          <w:spacing w:val="-4"/>
          <w:position w:val="-4"/>
          <w:sz w:val="22"/>
        </w:rPr>
        <w:t>idem</w:t>
      </w:r>
      <w:proofErr w:type="spellEnd"/>
      <w:r w:rsidRPr="00C07C66">
        <w:rPr>
          <w:rFonts w:ascii="Arial" w:hAnsi="Arial" w:cs="Arial"/>
          <w:i/>
          <w:spacing w:val="-4"/>
          <w:position w:val="-4"/>
          <w:sz w:val="22"/>
        </w:rPr>
        <w:t xml:space="preserve">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B1788F" w:rsidRPr="00C07C66" w:rsidRDefault="00B1788F" w:rsidP="00C07C66">
      <w:pPr>
        <w:pStyle w:val="Textoindependiente"/>
        <w:ind w:left="426" w:right="418"/>
        <w:contextualSpacing/>
        <w:rPr>
          <w:rFonts w:ascii="Arial" w:hAnsi="Arial" w:cs="Arial"/>
          <w:i/>
          <w:spacing w:val="-4"/>
          <w:position w:val="-4"/>
          <w:sz w:val="22"/>
        </w:rPr>
      </w:pPr>
    </w:p>
    <w:p w:rsidR="00B1788F" w:rsidRPr="00C07C66" w:rsidRDefault="00B1788F" w:rsidP="00C07C66">
      <w:pPr>
        <w:pStyle w:val="Textoindependiente"/>
        <w:ind w:left="426" w:right="418"/>
        <w:contextualSpacing/>
        <w:rPr>
          <w:rFonts w:ascii="Arial" w:hAnsi="Arial" w:cs="Arial"/>
          <w:i/>
          <w:spacing w:val="-4"/>
          <w:position w:val="-4"/>
          <w:sz w:val="22"/>
        </w:rPr>
      </w:pPr>
      <w:r w:rsidRPr="00C07C66">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B1788F" w:rsidRPr="00C07C66" w:rsidRDefault="00B1788F" w:rsidP="00C07C66">
      <w:pPr>
        <w:pStyle w:val="Textoindependiente"/>
        <w:ind w:left="426" w:right="418"/>
        <w:contextualSpacing/>
        <w:rPr>
          <w:rFonts w:ascii="Arial" w:hAnsi="Arial" w:cs="Arial"/>
          <w:i/>
          <w:spacing w:val="-4"/>
          <w:position w:val="-4"/>
          <w:sz w:val="22"/>
        </w:rPr>
      </w:pPr>
    </w:p>
    <w:p w:rsidR="00B1788F" w:rsidRPr="00C07C66" w:rsidRDefault="00B1788F" w:rsidP="00C07C66">
      <w:pPr>
        <w:pStyle w:val="Textoindependiente"/>
        <w:ind w:left="426" w:right="418"/>
        <w:contextualSpacing/>
        <w:rPr>
          <w:rFonts w:ascii="Arial" w:hAnsi="Arial" w:cs="Arial"/>
          <w:i/>
          <w:spacing w:val="-4"/>
          <w:position w:val="-4"/>
          <w:sz w:val="22"/>
        </w:rPr>
      </w:pPr>
      <w:r w:rsidRPr="00C07C66">
        <w:rPr>
          <w:rFonts w:ascii="Arial" w:hAnsi="Arial" w:cs="Arial"/>
          <w:i/>
          <w:spacing w:val="-4"/>
          <w:position w:val="-4"/>
          <w:sz w:val="22"/>
        </w:rPr>
        <w:t>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daría oportunidad a esa entidad de obtener un nuevo título ejecutivo sobre la misma obligación, con el cual ya cuenta.</w:t>
      </w:r>
    </w:p>
    <w:p w:rsidR="00B1788F" w:rsidRPr="00C07C66" w:rsidRDefault="00B1788F" w:rsidP="00C07C66">
      <w:pPr>
        <w:pStyle w:val="Textoindependiente"/>
        <w:ind w:left="426" w:right="418"/>
        <w:contextualSpacing/>
        <w:rPr>
          <w:rFonts w:ascii="Arial" w:hAnsi="Arial" w:cs="Arial"/>
          <w:i/>
          <w:spacing w:val="-4"/>
          <w:position w:val="-4"/>
          <w:sz w:val="22"/>
          <w:lang w:val="es-CO"/>
        </w:rPr>
      </w:pPr>
    </w:p>
    <w:p w:rsidR="00B1788F" w:rsidRPr="00C07C66" w:rsidRDefault="00B1788F" w:rsidP="00C07C66">
      <w:pPr>
        <w:pStyle w:val="Textoindependiente"/>
        <w:ind w:left="426" w:right="418"/>
        <w:contextualSpacing/>
        <w:rPr>
          <w:rFonts w:ascii="Arial" w:hAnsi="Arial" w:cs="Arial"/>
          <w:i/>
          <w:spacing w:val="-4"/>
          <w:position w:val="-4"/>
          <w:sz w:val="22"/>
        </w:rPr>
      </w:pPr>
      <w:r w:rsidRPr="00C07C66">
        <w:rPr>
          <w:rFonts w:ascii="Arial" w:hAnsi="Arial" w:cs="Arial"/>
          <w:i/>
          <w:spacing w:val="-4"/>
          <w:position w:val="-4"/>
          <w:sz w:val="22"/>
        </w:rPr>
        <w:t>Con fundamento en lo anterior, es claro que no puede accederse a iniciar el incidente pretendido por la DIAN en este caso, y por tanto, la Sala debe acompañar la decisión proferida por la primera instancia.</w:t>
      </w:r>
      <w:r w:rsidR="00436F34" w:rsidRPr="00C07C66">
        <w:rPr>
          <w:rFonts w:ascii="Arial" w:hAnsi="Arial" w:cs="Arial"/>
          <w:i/>
          <w:spacing w:val="-4"/>
          <w:position w:val="-4"/>
          <w:sz w:val="22"/>
        </w:rPr>
        <w:t xml:space="preserve">..” </w:t>
      </w:r>
    </w:p>
    <w:p w:rsidR="00B1788F" w:rsidRPr="00A11E23" w:rsidRDefault="00B1788F" w:rsidP="00A11E23">
      <w:pPr>
        <w:pStyle w:val="Textoindependiente"/>
        <w:spacing w:line="288" w:lineRule="auto"/>
        <w:ind w:right="51"/>
        <w:contextualSpacing/>
        <w:rPr>
          <w:rFonts w:ascii="Arial" w:hAnsi="Arial" w:cs="Arial"/>
          <w:i/>
          <w:spacing w:val="-4"/>
          <w:position w:val="-4"/>
          <w:sz w:val="24"/>
        </w:rPr>
      </w:pPr>
    </w:p>
    <w:p w:rsidR="00B1788F" w:rsidRPr="00A11E23" w:rsidRDefault="008223F9" w:rsidP="00EF2620">
      <w:pPr>
        <w:spacing w:line="288" w:lineRule="auto"/>
        <w:ind w:right="49"/>
        <w:jc w:val="both"/>
        <w:rPr>
          <w:rFonts w:ascii="Arial" w:hAnsi="Arial" w:cs="Arial"/>
          <w:sz w:val="24"/>
          <w:szCs w:val="24"/>
        </w:rPr>
      </w:pPr>
      <w:r w:rsidRPr="00EF2620">
        <w:rPr>
          <w:rFonts w:ascii="Arial" w:hAnsi="Arial" w:cs="Arial"/>
          <w:sz w:val="24"/>
          <w:szCs w:val="24"/>
        </w:rPr>
        <w:t>5.5</w:t>
      </w:r>
      <w:r w:rsidR="00436F34" w:rsidRPr="00EF2620">
        <w:rPr>
          <w:rFonts w:ascii="Arial" w:hAnsi="Arial" w:cs="Arial"/>
          <w:sz w:val="24"/>
          <w:szCs w:val="24"/>
        </w:rPr>
        <w:t xml:space="preserve"> Conforme a lo expuesto,</w:t>
      </w:r>
      <w:r w:rsidR="00B1788F" w:rsidRPr="00A11E23">
        <w:rPr>
          <w:rFonts w:ascii="Arial" w:hAnsi="Arial" w:cs="Arial"/>
          <w:sz w:val="24"/>
          <w:szCs w:val="24"/>
        </w:rPr>
        <w:t xml:space="preserve"> concluye la </w:t>
      </w:r>
      <w:r w:rsidR="00436F34" w:rsidRPr="00A11E23">
        <w:rPr>
          <w:rFonts w:ascii="Arial" w:hAnsi="Arial" w:cs="Arial"/>
          <w:sz w:val="24"/>
          <w:szCs w:val="24"/>
        </w:rPr>
        <w:t>S</w:t>
      </w:r>
      <w:r w:rsidR="00B1788F" w:rsidRPr="00A11E23">
        <w:rPr>
          <w:rFonts w:ascii="Arial" w:hAnsi="Arial" w:cs="Arial"/>
          <w:sz w:val="24"/>
          <w:szCs w:val="24"/>
        </w:rPr>
        <w:t xml:space="preserve">ala que la providencia proferida por el juez de primer grado se ajustó al precedente CSJ </w:t>
      </w:r>
      <w:proofErr w:type="spellStart"/>
      <w:r w:rsidR="00B1788F" w:rsidRPr="00A11E23">
        <w:rPr>
          <w:rFonts w:ascii="Arial" w:hAnsi="Arial" w:cs="Arial"/>
          <w:sz w:val="24"/>
          <w:szCs w:val="24"/>
        </w:rPr>
        <w:t>SP</w:t>
      </w:r>
      <w:proofErr w:type="spellEnd"/>
      <w:r w:rsidR="00B1788F" w:rsidRPr="00A11E23">
        <w:rPr>
          <w:rFonts w:ascii="Arial" w:hAnsi="Arial" w:cs="Arial"/>
          <w:sz w:val="24"/>
          <w:szCs w:val="24"/>
        </w:rPr>
        <w:t xml:space="preserve"> del 14 de junio de 2017, radicado 47776 y la decisión de esta colegiatura citada en el apartado </w:t>
      </w:r>
      <w:r w:rsidRPr="00A11E23">
        <w:rPr>
          <w:rFonts w:ascii="Arial" w:hAnsi="Arial" w:cs="Arial"/>
          <w:sz w:val="24"/>
          <w:szCs w:val="24"/>
        </w:rPr>
        <w:t>5.4</w:t>
      </w:r>
      <w:r w:rsidR="00B1788F" w:rsidRPr="00A11E23">
        <w:rPr>
          <w:rFonts w:ascii="Arial" w:hAnsi="Arial" w:cs="Arial"/>
          <w:sz w:val="24"/>
          <w:szCs w:val="24"/>
        </w:rPr>
        <w:t xml:space="preserve"> de esta providencia, como quiera que el precedente juris</w:t>
      </w:r>
      <w:r w:rsidR="00EA1CBB" w:rsidRPr="00A11E23">
        <w:rPr>
          <w:rFonts w:ascii="Arial" w:hAnsi="Arial" w:cs="Arial"/>
          <w:sz w:val="24"/>
          <w:szCs w:val="24"/>
        </w:rPr>
        <w:t xml:space="preserve">prudencial controvertido tiene  </w:t>
      </w:r>
      <w:r w:rsidR="00B1788F" w:rsidRPr="00A11E23">
        <w:rPr>
          <w:rFonts w:ascii="Arial" w:hAnsi="Arial" w:cs="Arial"/>
          <w:sz w:val="24"/>
          <w:szCs w:val="24"/>
        </w:rPr>
        <w:t>efectos vinculantes segú</w:t>
      </w:r>
      <w:r w:rsidRPr="00A11E23">
        <w:rPr>
          <w:rFonts w:ascii="Arial" w:hAnsi="Arial" w:cs="Arial"/>
          <w:sz w:val="24"/>
          <w:szCs w:val="24"/>
        </w:rPr>
        <w:t>n lo considerado por esta Sala,</w:t>
      </w:r>
      <w:r w:rsidR="00B1788F" w:rsidRPr="00A11E23">
        <w:rPr>
          <w:rFonts w:ascii="Arial" w:hAnsi="Arial" w:cs="Arial"/>
          <w:sz w:val="24"/>
          <w:szCs w:val="24"/>
        </w:rPr>
        <w:t xml:space="preserve"> por lo cual se </w:t>
      </w:r>
      <w:r w:rsidRPr="00A11E23">
        <w:rPr>
          <w:rFonts w:ascii="Arial" w:hAnsi="Arial" w:cs="Arial"/>
          <w:sz w:val="24"/>
          <w:szCs w:val="24"/>
        </w:rPr>
        <w:t xml:space="preserve">confirmará </w:t>
      </w:r>
      <w:r w:rsidRPr="00A11E23">
        <w:rPr>
          <w:rFonts w:ascii="Arial" w:hAnsi="Arial" w:cs="Arial"/>
          <w:sz w:val="24"/>
          <w:szCs w:val="24"/>
        </w:rPr>
        <w:lastRenderedPageBreak/>
        <w:t xml:space="preserve">la determinación de </w:t>
      </w:r>
      <w:r w:rsidR="00B1788F" w:rsidRPr="00A11E23">
        <w:rPr>
          <w:rFonts w:ascii="Arial" w:hAnsi="Arial" w:cs="Arial"/>
          <w:sz w:val="24"/>
          <w:szCs w:val="24"/>
        </w:rPr>
        <w:t xml:space="preserve">rechazar el </w:t>
      </w:r>
      <w:r w:rsidRPr="00A11E23">
        <w:rPr>
          <w:rFonts w:ascii="Arial" w:hAnsi="Arial" w:cs="Arial"/>
          <w:sz w:val="24"/>
          <w:szCs w:val="24"/>
        </w:rPr>
        <w:t xml:space="preserve">trámite del </w:t>
      </w:r>
      <w:proofErr w:type="spellStart"/>
      <w:r w:rsidRPr="00A11E23">
        <w:rPr>
          <w:rFonts w:ascii="Arial" w:hAnsi="Arial" w:cs="Arial"/>
          <w:sz w:val="24"/>
          <w:szCs w:val="24"/>
        </w:rPr>
        <w:t>IRP</w:t>
      </w:r>
      <w:proofErr w:type="spellEnd"/>
      <w:r w:rsidR="00B1788F" w:rsidRPr="00A11E23">
        <w:rPr>
          <w:rFonts w:ascii="Arial" w:hAnsi="Arial" w:cs="Arial"/>
          <w:sz w:val="24"/>
          <w:szCs w:val="24"/>
        </w:rPr>
        <w:t xml:space="preserve"> propuesto por el representante de la DIAN contra el señor</w:t>
      </w:r>
      <w:r w:rsidR="00436F34" w:rsidRPr="00A11E23">
        <w:rPr>
          <w:rFonts w:ascii="Arial" w:hAnsi="Arial" w:cs="Arial"/>
          <w:sz w:val="24"/>
          <w:szCs w:val="24"/>
        </w:rPr>
        <w:t xml:space="preserve"> </w:t>
      </w:r>
      <w:proofErr w:type="spellStart"/>
      <w:r w:rsidR="00814DBE">
        <w:rPr>
          <w:rFonts w:ascii="Arial" w:hAnsi="Arial" w:cs="Arial"/>
          <w:sz w:val="24"/>
          <w:szCs w:val="24"/>
        </w:rPr>
        <w:t>JAAH</w:t>
      </w:r>
      <w:proofErr w:type="spellEnd"/>
      <w:r w:rsidR="00436F34" w:rsidRPr="00A11E23">
        <w:rPr>
          <w:rFonts w:ascii="Arial" w:hAnsi="Arial" w:cs="Arial"/>
          <w:sz w:val="24"/>
          <w:szCs w:val="24"/>
        </w:rPr>
        <w:t>.</w:t>
      </w:r>
      <w:r w:rsidR="00B1788F" w:rsidRPr="00A11E23">
        <w:rPr>
          <w:rFonts w:ascii="Arial" w:hAnsi="Arial" w:cs="Arial"/>
          <w:sz w:val="24"/>
          <w:szCs w:val="24"/>
        </w:rPr>
        <w:t xml:space="preserve"> </w:t>
      </w:r>
    </w:p>
    <w:p w:rsidR="00B1788F" w:rsidRDefault="00B1788F" w:rsidP="00A11E23">
      <w:pPr>
        <w:spacing w:line="288" w:lineRule="auto"/>
        <w:ind w:right="49"/>
        <w:jc w:val="both"/>
        <w:rPr>
          <w:rFonts w:ascii="Arial" w:hAnsi="Arial" w:cs="Arial"/>
          <w:sz w:val="24"/>
          <w:szCs w:val="24"/>
        </w:rPr>
      </w:pPr>
      <w:r w:rsidRPr="00A11E23">
        <w:rPr>
          <w:rFonts w:ascii="Arial" w:hAnsi="Arial" w:cs="Arial"/>
          <w:sz w:val="24"/>
          <w:szCs w:val="24"/>
        </w:rPr>
        <w:t>Con base en lo expuesto en precedencia la Sala Penal del Tribunal Superior de Pereira.</w:t>
      </w:r>
    </w:p>
    <w:p w:rsidR="00AB1668" w:rsidRPr="00A11E23" w:rsidRDefault="00AB1668" w:rsidP="00A11E23">
      <w:pPr>
        <w:spacing w:line="288" w:lineRule="auto"/>
        <w:ind w:right="49"/>
        <w:jc w:val="both"/>
        <w:rPr>
          <w:rFonts w:ascii="Arial" w:hAnsi="Arial" w:cs="Arial"/>
          <w:sz w:val="24"/>
          <w:szCs w:val="24"/>
        </w:rPr>
      </w:pPr>
    </w:p>
    <w:p w:rsidR="00B1788F" w:rsidRPr="00A11E23" w:rsidRDefault="00B1788F" w:rsidP="00A11E23">
      <w:pPr>
        <w:pStyle w:val="Sinespaciado"/>
        <w:spacing w:line="288" w:lineRule="auto"/>
        <w:jc w:val="center"/>
        <w:rPr>
          <w:rFonts w:ascii="Arial" w:hAnsi="Arial" w:cs="Arial"/>
          <w:bCs/>
        </w:rPr>
      </w:pPr>
      <w:r w:rsidRPr="00A11E23">
        <w:rPr>
          <w:rFonts w:ascii="Arial" w:hAnsi="Arial" w:cs="Arial"/>
          <w:bCs/>
        </w:rPr>
        <w:t>RESUELVE</w:t>
      </w:r>
    </w:p>
    <w:p w:rsidR="00B1788F" w:rsidRPr="00A11E23" w:rsidRDefault="00B1788F" w:rsidP="00A11E23">
      <w:pPr>
        <w:pStyle w:val="Sinespaciado"/>
        <w:spacing w:line="288" w:lineRule="auto"/>
        <w:jc w:val="both"/>
        <w:rPr>
          <w:rFonts w:ascii="Arial" w:hAnsi="Arial" w:cs="Arial"/>
        </w:rPr>
      </w:pPr>
    </w:p>
    <w:p w:rsidR="00436F34" w:rsidRPr="00A11E23" w:rsidRDefault="00B1788F" w:rsidP="00A11E23">
      <w:pPr>
        <w:spacing w:line="288" w:lineRule="auto"/>
        <w:ind w:right="49"/>
        <w:jc w:val="both"/>
        <w:rPr>
          <w:rFonts w:ascii="Arial" w:hAnsi="Arial" w:cs="Arial"/>
          <w:sz w:val="24"/>
          <w:szCs w:val="24"/>
        </w:rPr>
      </w:pPr>
      <w:r w:rsidRPr="00A11E23">
        <w:rPr>
          <w:rFonts w:ascii="Arial" w:hAnsi="Arial" w:cs="Arial"/>
          <w:sz w:val="24"/>
          <w:szCs w:val="24"/>
        </w:rPr>
        <w:t xml:space="preserve">PRIMERO: CONFIRMAR el auto del </w:t>
      </w:r>
      <w:r w:rsidR="00436F34" w:rsidRPr="00A11E23">
        <w:rPr>
          <w:rFonts w:ascii="Arial" w:hAnsi="Arial" w:cs="Arial"/>
          <w:sz w:val="24"/>
          <w:szCs w:val="24"/>
        </w:rPr>
        <w:t>2</w:t>
      </w:r>
      <w:r w:rsidRPr="00A11E23">
        <w:rPr>
          <w:rFonts w:ascii="Arial" w:hAnsi="Arial" w:cs="Arial"/>
          <w:sz w:val="24"/>
          <w:szCs w:val="24"/>
        </w:rPr>
        <w:t xml:space="preserve">1 de </w:t>
      </w:r>
      <w:r w:rsidR="00436F34" w:rsidRPr="00A11E23">
        <w:rPr>
          <w:rFonts w:ascii="Arial" w:hAnsi="Arial" w:cs="Arial"/>
          <w:sz w:val="24"/>
          <w:szCs w:val="24"/>
        </w:rPr>
        <w:t xml:space="preserve">febrero de </w:t>
      </w:r>
      <w:r w:rsidRPr="00A11E23">
        <w:rPr>
          <w:rFonts w:ascii="Arial" w:hAnsi="Arial" w:cs="Arial"/>
          <w:sz w:val="24"/>
          <w:szCs w:val="24"/>
        </w:rPr>
        <w:t xml:space="preserve">2018 proferido por </w:t>
      </w:r>
      <w:r w:rsidR="00436F34" w:rsidRPr="00A11E23">
        <w:rPr>
          <w:rFonts w:ascii="Arial" w:hAnsi="Arial" w:cs="Arial"/>
          <w:sz w:val="24"/>
          <w:szCs w:val="24"/>
        </w:rPr>
        <w:t xml:space="preserve">el </w:t>
      </w:r>
      <w:r w:rsidRPr="00A11E23">
        <w:rPr>
          <w:rFonts w:ascii="Arial" w:hAnsi="Arial" w:cs="Arial"/>
          <w:sz w:val="24"/>
          <w:szCs w:val="24"/>
        </w:rPr>
        <w:t xml:space="preserve">Juez </w:t>
      </w:r>
      <w:r w:rsidR="008223F9" w:rsidRPr="00A11E23">
        <w:rPr>
          <w:rFonts w:ascii="Arial" w:hAnsi="Arial" w:cs="Arial"/>
          <w:sz w:val="24"/>
          <w:szCs w:val="24"/>
        </w:rPr>
        <w:t>Quinto</w:t>
      </w:r>
      <w:r w:rsidRPr="00A11E23">
        <w:rPr>
          <w:rFonts w:ascii="Arial" w:hAnsi="Arial" w:cs="Arial"/>
          <w:sz w:val="24"/>
          <w:szCs w:val="24"/>
        </w:rPr>
        <w:t xml:space="preserve"> Penal del Circuito de Pereira, Risaralda, que </w:t>
      </w:r>
      <w:r w:rsidR="00436F34" w:rsidRPr="00A11E23">
        <w:rPr>
          <w:rFonts w:ascii="Arial" w:hAnsi="Arial" w:cs="Arial"/>
          <w:sz w:val="24"/>
          <w:szCs w:val="24"/>
        </w:rPr>
        <w:t xml:space="preserve">no dio curso al </w:t>
      </w:r>
      <w:r w:rsidRPr="00A11E23">
        <w:rPr>
          <w:rFonts w:ascii="Arial" w:hAnsi="Arial" w:cs="Arial"/>
          <w:sz w:val="24"/>
          <w:szCs w:val="24"/>
        </w:rPr>
        <w:t xml:space="preserve">incidente de reparación integral iniciado por </w:t>
      </w:r>
      <w:r w:rsidR="00EA1CBB" w:rsidRPr="00A11E23">
        <w:rPr>
          <w:rFonts w:ascii="Arial" w:hAnsi="Arial" w:cs="Arial"/>
          <w:sz w:val="24"/>
          <w:szCs w:val="24"/>
        </w:rPr>
        <w:t>el</w:t>
      </w:r>
      <w:r w:rsidRPr="00A11E23">
        <w:rPr>
          <w:rFonts w:ascii="Arial" w:hAnsi="Arial" w:cs="Arial"/>
          <w:sz w:val="24"/>
          <w:szCs w:val="24"/>
        </w:rPr>
        <w:t xml:space="preserve"> representante de la DIAN contra el señor </w:t>
      </w:r>
      <w:proofErr w:type="spellStart"/>
      <w:r w:rsidR="00814DBE">
        <w:rPr>
          <w:rFonts w:ascii="Arial" w:hAnsi="Arial" w:cs="Arial"/>
          <w:sz w:val="24"/>
          <w:szCs w:val="24"/>
        </w:rPr>
        <w:t>JAAH</w:t>
      </w:r>
      <w:proofErr w:type="spellEnd"/>
      <w:r w:rsidR="00436F34" w:rsidRPr="00A11E23">
        <w:rPr>
          <w:rFonts w:ascii="Arial" w:hAnsi="Arial" w:cs="Arial"/>
          <w:sz w:val="24"/>
          <w:szCs w:val="24"/>
        </w:rPr>
        <w:t>.</w:t>
      </w:r>
    </w:p>
    <w:p w:rsidR="00B1788F" w:rsidRPr="00A11E23" w:rsidRDefault="00436F34" w:rsidP="00A11E23">
      <w:pPr>
        <w:spacing w:line="288" w:lineRule="auto"/>
        <w:ind w:right="49"/>
        <w:jc w:val="both"/>
        <w:rPr>
          <w:rFonts w:ascii="Arial" w:hAnsi="Arial" w:cs="Arial"/>
          <w:sz w:val="24"/>
          <w:szCs w:val="24"/>
        </w:rPr>
      </w:pPr>
      <w:r w:rsidRPr="00A11E23">
        <w:rPr>
          <w:rFonts w:ascii="Arial" w:hAnsi="Arial" w:cs="Arial"/>
          <w:sz w:val="24"/>
          <w:szCs w:val="24"/>
        </w:rPr>
        <w:t>S</w:t>
      </w:r>
      <w:r w:rsidR="008223F9" w:rsidRPr="00A11E23">
        <w:rPr>
          <w:rFonts w:ascii="Arial" w:hAnsi="Arial" w:cs="Arial"/>
          <w:sz w:val="24"/>
          <w:szCs w:val="24"/>
        </w:rPr>
        <w:t>EGUNDO: Esta</w:t>
      </w:r>
      <w:r w:rsidR="00B1788F" w:rsidRPr="00A11E23">
        <w:rPr>
          <w:rFonts w:ascii="Arial" w:hAnsi="Arial" w:cs="Arial"/>
          <w:sz w:val="24"/>
          <w:szCs w:val="24"/>
        </w:rPr>
        <w:t xml:space="preserve"> determinación queda notificad</w:t>
      </w:r>
      <w:r w:rsidR="008223F9" w:rsidRPr="00A11E23">
        <w:rPr>
          <w:rFonts w:ascii="Arial" w:hAnsi="Arial" w:cs="Arial"/>
          <w:sz w:val="24"/>
          <w:szCs w:val="24"/>
        </w:rPr>
        <w:t xml:space="preserve">a en estrados y contra ella no </w:t>
      </w:r>
      <w:r w:rsidR="00B1788F" w:rsidRPr="00A11E23">
        <w:rPr>
          <w:rFonts w:ascii="Arial" w:hAnsi="Arial" w:cs="Arial"/>
          <w:sz w:val="24"/>
          <w:szCs w:val="24"/>
        </w:rPr>
        <w:t>procede ningún recurso.</w:t>
      </w:r>
    </w:p>
    <w:p w:rsidR="00B1788F" w:rsidRPr="00A11E23" w:rsidRDefault="00B1788F" w:rsidP="00A11E23">
      <w:pPr>
        <w:pStyle w:val="Sinespaciado"/>
        <w:spacing w:line="288" w:lineRule="auto"/>
        <w:jc w:val="both"/>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A11E23" w:rsidRDefault="00C07C66" w:rsidP="00A11E23">
      <w:pPr>
        <w:pStyle w:val="Sinespaciado"/>
        <w:spacing w:line="288" w:lineRule="auto"/>
        <w:jc w:val="center"/>
        <w:rPr>
          <w:rFonts w:ascii="Arial" w:hAnsi="Arial" w:cs="Arial"/>
        </w:rPr>
      </w:pPr>
      <w:r w:rsidRPr="00A11E23">
        <w:rPr>
          <w:rFonts w:ascii="Arial" w:hAnsi="Arial" w:cs="Arial"/>
        </w:rPr>
        <w:t>NOTIFÍQUESE</w:t>
      </w:r>
      <w:r w:rsidR="00B1788F" w:rsidRPr="00A11E23">
        <w:rPr>
          <w:rFonts w:ascii="Arial" w:hAnsi="Arial" w:cs="Arial"/>
        </w:rPr>
        <w:t xml:space="preserve"> Y </w:t>
      </w:r>
      <w:r w:rsidRPr="00A11E23">
        <w:rPr>
          <w:rFonts w:ascii="Arial" w:hAnsi="Arial" w:cs="Arial"/>
        </w:rPr>
        <w:t>CÚMPLASE</w:t>
      </w: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4B2216" w:rsidRDefault="00B1788F" w:rsidP="00A11E23">
      <w:pPr>
        <w:pStyle w:val="Sinespaciado"/>
        <w:spacing w:line="288" w:lineRule="auto"/>
        <w:jc w:val="center"/>
        <w:rPr>
          <w:rFonts w:ascii="Arial" w:hAnsi="Arial" w:cs="Arial"/>
          <w:b/>
        </w:rPr>
      </w:pPr>
      <w:r w:rsidRPr="004B2216">
        <w:rPr>
          <w:rFonts w:ascii="Arial" w:hAnsi="Arial" w:cs="Arial"/>
          <w:b/>
        </w:rPr>
        <w:t>JAIRO ERNESTO ESCOBAR SANZ</w:t>
      </w:r>
    </w:p>
    <w:p w:rsidR="00B1788F" w:rsidRPr="00A11E23" w:rsidRDefault="00B1788F" w:rsidP="00A11E23">
      <w:pPr>
        <w:pStyle w:val="Sinespaciado"/>
        <w:spacing w:line="288" w:lineRule="auto"/>
        <w:jc w:val="center"/>
        <w:rPr>
          <w:rFonts w:ascii="Arial" w:hAnsi="Arial" w:cs="Arial"/>
        </w:rPr>
      </w:pPr>
      <w:r w:rsidRPr="00A11E23">
        <w:rPr>
          <w:rFonts w:ascii="Arial" w:hAnsi="Arial" w:cs="Arial"/>
        </w:rPr>
        <w:t>Magistrado</w:t>
      </w: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4B2216" w:rsidRDefault="00B1788F" w:rsidP="00A11E23">
      <w:pPr>
        <w:pStyle w:val="Sinespaciado"/>
        <w:spacing w:line="288" w:lineRule="auto"/>
        <w:jc w:val="center"/>
        <w:rPr>
          <w:rFonts w:ascii="Arial" w:hAnsi="Arial" w:cs="Arial"/>
          <w:b/>
        </w:rPr>
      </w:pPr>
      <w:r w:rsidRPr="004B2216">
        <w:rPr>
          <w:rFonts w:ascii="Arial" w:hAnsi="Arial" w:cs="Arial"/>
          <w:b/>
        </w:rPr>
        <w:t>JORGE ARTURO CASTAÑO DUQUE</w:t>
      </w:r>
    </w:p>
    <w:p w:rsidR="00B1788F" w:rsidRPr="00A11E23" w:rsidRDefault="00B1788F" w:rsidP="00A11E23">
      <w:pPr>
        <w:pStyle w:val="Sinespaciado"/>
        <w:spacing w:line="288" w:lineRule="auto"/>
        <w:jc w:val="center"/>
        <w:rPr>
          <w:rFonts w:ascii="Arial" w:hAnsi="Arial" w:cs="Arial"/>
        </w:rPr>
      </w:pPr>
      <w:r w:rsidRPr="00A11E23">
        <w:rPr>
          <w:rFonts w:ascii="Arial" w:hAnsi="Arial" w:cs="Arial"/>
        </w:rPr>
        <w:t>Magistrado</w:t>
      </w: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A11E23" w:rsidRDefault="00B1788F" w:rsidP="00A11E23">
      <w:pPr>
        <w:pStyle w:val="Sinespaciado"/>
        <w:spacing w:line="288" w:lineRule="auto"/>
        <w:jc w:val="center"/>
        <w:rPr>
          <w:rFonts w:ascii="Arial" w:hAnsi="Arial" w:cs="Arial"/>
        </w:rPr>
      </w:pPr>
    </w:p>
    <w:p w:rsidR="00B1788F" w:rsidRPr="004B2216" w:rsidRDefault="00B1788F" w:rsidP="00A11E23">
      <w:pPr>
        <w:pStyle w:val="Sinespaciado"/>
        <w:spacing w:line="288" w:lineRule="auto"/>
        <w:jc w:val="center"/>
        <w:rPr>
          <w:rFonts w:ascii="Arial" w:hAnsi="Arial" w:cs="Arial"/>
          <w:b/>
        </w:rPr>
      </w:pPr>
      <w:r w:rsidRPr="004B2216">
        <w:rPr>
          <w:rFonts w:ascii="Arial" w:hAnsi="Arial" w:cs="Arial"/>
          <w:b/>
        </w:rPr>
        <w:t xml:space="preserve">MANUEL </w:t>
      </w:r>
      <w:proofErr w:type="spellStart"/>
      <w:r w:rsidRPr="004B2216">
        <w:rPr>
          <w:rFonts w:ascii="Arial" w:hAnsi="Arial" w:cs="Arial"/>
          <w:b/>
        </w:rPr>
        <w:t>YARZAGARAY</w:t>
      </w:r>
      <w:proofErr w:type="spellEnd"/>
      <w:r w:rsidRPr="004B2216">
        <w:rPr>
          <w:rFonts w:ascii="Arial" w:hAnsi="Arial" w:cs="Arial"/>
          <w:b/>
        </w:rPr>
        <w:t xml:space="preserve"> BANDERA</w:t>
      </w:r>
    </w:p>
    <w:p w:rsidR="00FB3BE8" w:rsidRPr="00A11E23" w:rsidRDefault="00B1788F" w:rsidP="004B2216">
      <w:pPr>
        <w:pStyle w:val="Sinespaciado"/>
        <w:spacing w:line="288" w:lineRule="auto"/>
        <w:jc w:val="center"/>
        <w:rPr>
          <w:rFonts w:ascii="Arial" w:hAnsi="Arial" w:cs="Arial"/>
        </w:rPr>
      </w:pPr>
      <w:r w:rsidRPr="00A11E23">
        <w:rPr>
          <w:rFonts w:ascii="Arial" w:hAnsi="Arial" w:cs="Arial"/>
        </w:rPr>
        <w:t>Magistrado</w:t>
      </w:r>
    </w:p>
    <w:sectPr w:rsidR="00FB3BE8" w:rsidRPr="00A11E23" w:rsidSect="00AB1668">
      <w:headerReference w:type="default" r:id="rId10"/>
      <w:footerReference w:type="default" r:id="rId11"/>
      <w:pgSz w:w="12240" w:h="18720"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E8" w:rsidRDefault="00864FE8" w:rsidP="00B80748">
      <w:pPr>
        <w:spacing w:after="0" w:line="240" w:lineRule="auto"/>
      </w:pPr>
      <w:r>
        <w:separator/>
      </w:r>
    </w:p>
  </w:endnote>
  <w:endnote w:type="continuationSeparator" w:id="0">
    <w:p w:rsidR="00864FE8" w:rsidRDefault="00864FE8"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68679307"/>
      <w:docPartObj>
        <w:docPartGallery w:val="Page Numbers (Bottom of Page)"/>
        <w:docPartUnique/>
      </w:docPartObj>
    </w:sdtPr>
    <w:sdtEndPr>
      <w:rPr>
        <w:sz w:val="18"/>
      </w:rPr>
    </w:sdtEndPr>
    <w:sdtContent>
      <w:sdt>
        <w:sdtPr>
          <w:rPr>
            <w:rFonts w:ascii="Arial" w:hAnsi="Arial" w:cs="Arial"/>
            <w:sz w:val="16"/>
            <w:szCs w:val="16"/>
          </w:rPr>
          <w:id w:val="-1705238520"/>
          <w:docPartObj>
            <w:docPartGallery w:val="Page Numbers (Top of Page)"/>
            <w:docPartUnique/>
          </w:docPartObj>
        </w:sdtPr>
        <w:sdtEndPr>
          <w:rPr>
            <w:sz w:val="18"/>
          </w:rPr>
        </w:sdtEndPr>
        <w:sdtContent>
          <w:p w:rsidR="000D18CE" w:rsidRPr="00A11E23" w:rsidRDefault="000D18CE">
            <w:pPr>
              <w:pStyle w:val="Piedepgina"/>
              <w:rPr>
                <w:rFonts w:ascii="Arial" w:hAnsi="Arial" w:cs="Arial"/>
                <w:sz w:val="18"/>
                <w:szCs w:val="16"/>
              </w:rPr>
            </w:pPr>
            <w:r w:rsidRPr="00A11E23">
              <w:rPr>
                <w:rFonts w:ascii="Arial" w:hAnsi="Arial" w:cs="Arial"/>
                <w:sz w:val="18"/>
                <w:szCs w:val="16"/>
                <w:lang w:val="es-ES"/>
              </w:rPr>
              <w:t xml:space="preserve">Página </w:t>
            </w:r>
            <w:r w:rsidRPr="00A11E23">
              <w:rPr>
                <w:rFonts w:ascii="Arial" w:hAnsi="Arial" w:cs="Arial"/>
                <w:b/>
                <w:bCs/>
                <w:sz w:val="18"/>
                <w:szCs w:val="16"/>
              </w:rPr>
              <w:fldChar w:fldCharType="begin"/>
            </w:r>
            <w:r w:rsidRPr="00A11E23">
              <w:rPr>
                <w:rFonts w:ascii="Arial" w:hAnsi="Arial" w:cs="Arial"/>
                <w:b/>
                <w:bCs/>
                <w:sz w:val="18"/>
                <w:szCs w:val="16"/>
              </w:rPr>
              <w:instrText>PAGE</w:instrText>
            </w:r>
            <w:r w:rsidRPr="00A11E23">
              <w:rPr>
                <w:rFonts w:ascii="Arial" w:hAnsi="Arial" w:cs="Arial"/>
                <w:b/>
                <w:bCs/>
                <w:sz w:val="18"/>
                <w:szCs w:val="16"/>
              </w:rPr>
              <w:fldChar w:fldCharType="separate"/>
            </w:r>
            <w:r w:rsidR="00814DBE">
              <w:rPr>
                <w:rFonts w:ascii="Arial" w:hAnsi="Arial" w:cs="Arial"/>
                <w:b/>
                <w:bCs/>
                <w:noProof/>
                <w:sz w:val="18"/>
                <w:szCs w:val="16"/>
              </w:rPr>
              <w:t>2</w:t>
            </w:r>
            <w:r w:rsidRPr="00A11E23">
              <w:rPr>
                <w:rFonts w:ascii="Arial" w:hAnsi="Arial" w:cs="Arial"/>
                <w:b/>
                <w:bCs/>
                <w:sz w:val="18"/>
                <w:szCs w:val="16"/>
              </w:rPr>
              <w:fldChar w:fldCharType="end"/>
            </w:r>
            <w:r w:rsidRPr="00A11E23">
              <w:rPr>
                <w:rFonts w:ascii="Arial" w:hAnsi="Arial" w:cs="Arial"/>
                <w:sz w:val="18"/>
                <w:szCs w:val="16"/>
                <w:lang w:val="es-ES"/>
              </w:rPr>
              <w:t xml:space="preserve"> de </w:t>
            </w:r>
            <w:r w:rsidRPr="00A11E23">
              <w:rPr>
                <w:rFonts w:ascii="Arial" w:hAnsi="Arial" w:cs="Arial"/>
                <w:b/>
                <w:bCs/>
                <w:sz w:val="18"/>
                <w:szCs w:val="16"/>
              </w:rPr>
              <w:fldChar w:fldCharType="begin"/>
            </w:r>
            <w:r w:rsidRPr="00A11E23">
              <w:rPr>
                <w:rFonts w:ascii="Arial" w:hAnsi="Arial" w:cs="Arial"/>
                <w:b/>
                <w:bCs/>
                <w:sz w:val="18"/>
                <w:szCs w:val="16"/>
              </w:rPr>
              <w:instrText>NUMPAGES</w:instrText>
            </w:r>
            <w:r w:rsidRPr="00A11E23">
              <w:rPr>
                <w:rFonts w:ascii="Arial" w:hAnsi="Arial" w:cs="Arial"/>
                <w:b/>
                <w:bCs/>
                <w:sz w:val="18"/>
                <w:szCs w:val="16"/>
              </w:rPr>
              <w:fldChar w:fldCharType="separate"/>
            </w:r>
            <w:r w:rsidR="00814DBE">
              <w:rPr>
                <w:rFonts w:ascii="Arial" w:hAnsi="Arial" w:cs="Arial"/>
                <w:b/>
                <w:bCs/>
                <w:noProof/>
                <w:sz w:val="18"/>
                <w:szCs w:val="16"/>
              </w:rPr>
              <w:t>7</w:t>
            </w:r>
            <w:r w:rsidRPr="00A11E23">
              <w:rPr>
                <w:rFonts w:ascii="Arial" w:hAnsi="Arial" w:cs="Arial"/>
                <w:b/>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E8" w:rsidRDefault="00864FE8" w:rsidP="00B80748">
      <w:pPr>
        <w:spacing w:after="0" w:line="240" w:lineRule="auto"/>
      </w:pPr>
      <w:r>
        <w:separator/>
      </w:r>
    </w:p>
  </w:footnote>
  <w:footnote w:type="continuationSeparator" w:id="0">
    <w:p w:rsidR="00864FE8" w:rsidRDefault="00864FE8" w:rsidP="00B80748">
      <w:pPr>
        <w:spacing w:after="0" w:line="240" w:lineRule="auto"/>
      </w:pPr>
      <w:r>
        <w:continuationSeparator/>
      </w:r>
    </w:p>
  </w:footnote>
  <w:footnote w:id="1">
    <w:p w:rsidR="00B1788F" w:rsidRPr="00031A64" w:rsidRDefault="00B1788F" w:rsidP="00B1788F">
      <w:pPr>
        <w:pStyle w:val="Textonotapie"/>
        <w:rPr>
          <w:rFonts w:ascii="Arial" w:hAnsi="Arial" w:cs="Arial"/>
          <w:sz w:val="18"/>
        </w:rPr>
      </w:pPr>
      <w:r w:rsidRPr="00031A64">
        <w:rPr>
          <w:rStyle w:val="Refdenotaalpie"/>
          <w:rFonts w:ascii="Arial" w:hAnsi="Arial" w:cs="Arial"/>
          <w:sz w:val="18"/>
        </w:rPr>
        <w:footnoteRef/>
      </w:r>
      <w:r w:rsidRPr="00031A64">
        <w:rPr>
          <w:rFonts w:ascii="Arial" w:hAnsi="Arial" w:cs="Arial"/>
          <w:sz w:val="18"/>
        </w:rPr>
        <w:t xml:space="preserve"> Sentencias C-335/08, C-816/11, SU-053/15, entre otras.</w:t>
      </w:r>
    </w:p>
    <w:p w:rsidR="00B1788F" w:rsidRPr="007C746A" w:rsidRDefault="00B1788F" w:rsidP="00B1788F">
      <w:pPr>
        <w:pStyle w:val="Textonotapie"/>
        <w:rPr>
          <w:rFonts w:ascii="Verdana" w:hAnsi="Verdan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25" w:rsidRPr="00031A64" w:rsidRDefault="00242025" w:rsidP="00B80748">
    <w:pPr>
      <w:pStyle w:val="Textoindependiente"/>
      <w:jc w:val="right"/>
      <w:rPr>
        <w:rFonts w:ascii="Arial" w:hAnsi="Arial" w:cs="Arial"/>
        <w:sz w:val="18"/>
        <w:szCs w:val="16"/>
        <w:lang w:val="es-MX"/>
      </w:rPr>
    </w:pPr>
    <w:r w:rsidRPr="00031A64">
      <w:rPr>
        <w:rFonts w:ascii="Arial" w:hAnsi="Arial" w:cs="Arial"/>
        <w:sz w:val="18"/>
        <w:szCs w:val="16"/>
        <w:lang w:val="es-MX"/>
      </w:rPr>
      <w:t>Radicado: 660016000058200901252</w:t>
    </w:r>
  </w:p>
  <w:p w:rsidR="00242025" w:rsidRPr="00031A64" w:rsidRDefault="00242025" w:rsidP="00B80748">
    <w:pPr>
      <w:pStyle w:val="Textoindependiente"/>
      <w:jc w:val="right"/>
      <w:rPr>
        <w:rFonts w:ascii="Arial" w:hAnsi="Arial" w:cs="Arial"/>
        <w:sz w:val="18"/>
        <w:szCs w:val="16"/>
        <w:lang w:val="es-MX"/>
      </w:rPr>
    </w:pPr>
    <w:r w:rsidRPr="00031A64">
      <w:rPr>
        <w:rFonts w:ascii="Arial" w:hAnsi="Arial" w:cs="Arial"/>
        <w:sz w:val="18"/>
        <w:szCs w:val="16"/>
        <w:lang w:val="es-MX"/>
      </w:rPr>
      <w:t xml:space="preserve">Acusado: </w:t>
    </w:r>
    <w:proofErr w:type="spellStart"/>
    <w:r w:rsidRPr="00031A64">
      <w:rPr>
        <w:rFonts w:ascii="Arial" w:hAnsi="Arial" w:cs="Arial"/>
        <w:sz w:val="18"/>
        <w:szCs w:val="16"/>
        <w:lang w:val="es-MX"/>
      </w:rPr>
      <w:t>JA</w:t>
    </w:r>
    <w:r w:rsidR="00814DBE">
      <w:rPr>
        <w:rFonts w:ascii="Arial" w:hAnsi="Arial" w:cs="Arial"/>
        <w:sz w:val="18"/>
        <w:szCs w:val="16"/>
        <w:lang w:val="es-MX"/>
      </w:rPr>
      <w:t>A</w:t>
    </w:r>
    <w:r w:rsidRPr="00031A64">
      <w:rPr>
        <w:rFonts w:ascii="Arial" w:hAnsi="Arial" w:cs="Arial"/>
        <w:sz w:val="18"/>
        <w:szCs w:val="16"/>
        <w:lang w:val="es-MX"/>
      </w:rPr>
      <w:t>H</w:t>
    </w:r>
    <w:proofErr w:type="spellEnd"/>
  </w:p>
  <w:p w:rsidR="00242025" w:rsidRPr="00031A64" w:rsidRDefault="00242025" w:rsidP="00B80748">
    <w:pPr>
      <w:pStyle w:val="Textoindependiente"/>
      <w:jc w:val="right"/>
      <w:rPr>
        <w:rFonts w:ascii="Arial" w:hAnsi="Arial" w:cs="Arial"/>
        <w:sz w:val="18"/>
        <w:szCs w:val="16"/>
        <w:lang w:val="es-MX"/>
      </w:rPr>
    </w:pPr>
    <w:r w:rsidRPr="00031A64">
      <w:rPr>
        <w:rFonts w:ascii="Arial" w:hAnsi="Arial" w:cs="Arial"/>
        <w:sz w:val="18"/>
        <w:szCs w:val="16"/>
        <w:lang w:val="es-MX"/>
      </w:rPr>
      <w:t>Delito: Omisión de agente retenedor o recaudador</w:t>
    </w:r>
  </w:p>
  <w:p w:rsidR="00242025" w:rsidRPr="00031A64" w:rsidRDefault="00242025" w:rsidP="00A11E23">
    <w:pPr>
      <w:pStyle w:val="Textoindependiente"/>
      <w:jc w:val="right"/>
      <w:rPr>
        <w:rFonts w:ascii="Arial" w:hAnsi="Arial" w:cs="Arial"/>
        <w:sz w:val="18"/>
        <w:szCs w:val="16"/>
        <w:lang w:val="es-MX"/>
      </w:rPr>
    </w:pPr>
    <w:r w:rsidRPr="00031A64">
      <w:rPr>
        <w:rFonts w:ascii="Arial" w:hAnsi="Arial" w:cs="Arial"/>
        <w:sz w:val="18"/>
        <w:szCs w:val="16"/>
        <w:lang w:val="es-MX"/>
      </w:rPr>
      <w:t>Asunto: Confirma auto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AD7F40"/>
    <w:multiLevelType w:val="hybridMultilevel"/>
    <w:tmpl w:val="F9780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A01240"/>
    <w:multiLevelType w:val="multilevel"/>
    <w:tmpl w:val="93828C16"/>
    <w:lvl w:ilvl="0">
      <w:start w:val="5"/>
      <w:numFmt w:val="decimal"/>
      <w:lvlText w:val="%1."/>
      <w:lvlJc w:val="left"/>
      <w:pPr>
        <w:ind w:left="630" w:hanging="630"/>
      </w:pPr>
    </w:lvl>
    <w:lvl w:ilvl="1">
      <w:start w:val="2"/>
      <w:numFmt w:val="decimal"/>
      <w:lvlText w:val="%1.%2."/>
      <w:lvlJc w:val="left"/>
      <w:pPr>
        <w:ind w:left="327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10"/>
  </w:num>
  <w:num w:numId="6">
    <w:abstractNumId w:val="6"/>
  </w:num>
  <w:num w:numId="7">
    <w:abstractNumId w:val="0"/>
  </w:num>
  <w:num w:numId="8">
    <w:abstractNumId w:val="1"/>
  </w:num>
  <w:num w:numId="9">
    <w:abstractNumId w:val="4"/>
  </w:num>
  <w:num w:numId="10">
    <w:abstractNumId w:val="7"/>
  </w:num>
  <w:num w:numId="11">
    <w:abstractNumId w:val="9"/>
  </w:num>
  <w:num w:numId="12">
    <w:abstractNumId w:val="12"/>
  </w:num>
  <w:num w:numId="13">
    <w:abstractNumId w:val="4"/>
  </w:num>
  <w:num w:numId="14">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31A64"/>
    <w:rsid w:val="00044E8D"/>
    <w:rsid w:val="000620C6"/>
    <w:rsid w:val="000712F2"/>
    <w:rsid w:val="000D18CE"/>
    <w:rsid w:val="000D6BE6"/>
    <w:rsid w:val="00132C5D"/>
    <w:rsid w:val="00152EC3"/>
    <w:rsid w:val="0019698D"/>
    <w:rsid w:val="001B305C"/>
    <w:rsid w:val="001E4353"/>
    <w:rsid w:val="00242025"/>
    <w:rsid w:val="002464D4"/>
    <w:rsid w:val="0025299B"/>
    <w:rsid w:val="00257003"/>
    <w:rsid w:val="00265774"/>
    <w:rsid w:val="00280D93"/>
    <w:rsid w:val="0028263B"/>
    <w:rsid w:val="002A05CE"/>
    <w:rsid w:val="002C4608"/>
    <w:rsid w:val="00321C5E"/>
    <w:rsid w:val="00326F42"/>
    <w:rsid w:val="003642AD"/>
    <w:rsid w:val="003962F6"/>
    <w:rsid w:val="003B2490"/>
    <w:rsid w:val="00403DFE"/>
    <w:rsid w:val="004325DF"/>
    <w:rsid w:val="00436F34"/>
    <w:rsid w:val="004477CB"/>
    <w:rsid w:val="004516D8"/>
    <w:rsid w:val="00473BE7"/>
    <w:rsid w:val="004B2216"/>
    <w:rsid w:val="00536BC6"/>
    <w:rsid w:val="005412C0"/>
    <w:rsid w:val="0054686F"/>
    <w:rsid w:val="00546B1F"/>
    <w:rsid w:val="00584C6F"/>
    <w:rsid w:val="005B7EBE"/>
    <w:rsid w:val="005E659B"/>
    <w:rsid w:val="0061141B"/>
    <w:rsid w:val="00615933"/>
    <w:rsid w:val="0062537F"/>
    <w:rsid w:val="0063232F"/>
    <w:rsid w:val="0066002F"/>
    <w:rsid w:val="0067080E"/>
    <w:rsid w:val="00675D4F"/>
    <w:rsid w:val="00694E51"/>
    <w:rsid w:val="006A3721"/>
    <w:rsid w:val="006A5A54"/>
    <w:rsid w:val="006B44F4"/>
    <w:rsid w:val="006F222F"/>
    <w:rsid w:val="00716C49"/>
    <w:rsid w:val="00746B2C"/>
    <w:rsid w:val="0075557F"/>
    <w:rsid w:val="0075767A"/>
    <w:rsid w:val="0076232F"/>
    <w:rsid w:val="00796FDB"/>
    <w:rsid w:val="007B6219"/>
    <w:rsid w:val="007D7E88"/>
    <w:rsid w:val="00806949"/>
    <w:rsid w:val="00814DBE"/>
    <w:rsid w:val="008223F9"/>
    <w:rsid w:val="0084514E"/>
    <w:rsid w:val="00864FE8"/>
    <w:rsid w:val="00867259"/>
    <w:rsid w:val="008A01B3"/>
    <w:rsid w:val="008C5D3B"/>
    <w:rsid w:val="009545F9"/>
    <w:rsid w:val="00971E2B"/>
    <w:rsid w:val="00993C0D"/>
    <w:rsid w:val="00A11E23"/>
    <w:rsid w:val="00A47840"/>
    <w:rsid w:val="00A8091B"/>
    <w:rsid w:val="00A8137F"/>
    <w:rsid w:val="00AB1668"/>
    <w:rsid w:val="00AE4784"/>
    <w:rsid w:val="00B1788F"/>
    <w:rsid w:val="00B54302"/>
    <w:rsid w:val="00B70EDF"/>
    <w:rsid w:val="00B737CE"/>
    <w:rsid w:val="00B80748"/>
    <w:rsid w:val="00B922A2"/>
    <w:rsid w:val="00B926F6"/>
    <w:rsid w:val="00BB5219"/>
    <w:rsid w:val="00BC325C"/>
    <w:rsid w:val="00C00712"/>
    <w:rsid w:val="00C045C0"/>
    <w:rsid w:val="00C04CA3"/>
    <w:rsid w:val="00C07C66"/>
    <w:rsid w:val="00C60365"/>
    <w:rsid w:val="00C63CD2"/>
    <w:rsid w:val="00CD469F"/>
    <w:rsid w:val="00CE4DAE"/>
    <w:rsid w:val="00CE7A43"/>
    <w:rsid w:val="00CF169C"/>
    <w:rsid w:val="00D747BE"/>
    <w:rsid w:val="00D90E8D"/>
    <w:rsid w:val="00D94C0A"/>
    <w:rsid w:val="00DA7969"/>
    <w:rsid w:val="00DB5371"/>
    <w:rsid w:val="00DC5E6D"/>
    <w:rsid w:val="00DF6EF0"/>
    <w:rsid w:val="00E13BA0"/>
    <w:rsid w:val="00E419EF"/>
    <w:rsid w:val="00E46D1C"/>
    <w:rsid w:val="00EA1CBB"/>
    <w:rsid w:val="00EF2620"/>
    <w:rsid w:val="00F8397C"/>
    <w:rsid w:val="00F9626D"/>
    <w:rsid w:val="00FB05E6"/>
    <w:rsid w:val="00FB3BE8"/>
    <w:rsid w:val="00FD43C3"/>
    <w:rsid w:val="00FD68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401F8F-A001-4B3D-9F90-29403216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42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F2726-17D4-440C-B050-001CEA9C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2936</Words>
  <Characters>16149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Henry Lora Rodriguez</cp:lastModifiedBy>
  <cp:revision>20</cp:revision>
  <dcterms:created xsi:type="dcterms:W3CDTF">2019-03-11T16:13:00Z</dcterms:created>
  <dcterms:modified xsi:type="dcterms:W3CDTF">2019-04-26T13:02:00Z</dcterms:modified>
</cp:coreProperties>
</file>