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6B" w:rsidRPr="0045716B" w:rsidRDefault="0045716B" w:rsidP="0045716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45716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5716B" w:rsidRPr="0045716B" w:rsidRDefault="0045716B" w:rsidP="0045716B">
      <w:pPr>
        <w:jc w:val="both"/>
        <w:rPr>
          <w:rFonts w:ascii="Arial" w:hAnsi="Arial" w:cs="Arial"/>
          <w:sz w:val="20"/>
          <w:szCs w:val="20"/>
          <w:lang w:val="es-419"/>
        </w:rPr>
      </w:pPr>
    </w:p>
    <w:p w:rsidR="0045716B" w:rsidRPr="0045716B" w:rsidRDefault="0045716B" w:rsidP="0045716B">
      <w:pPr>
        <w:jc w:val="both"/>
        <w:rPr>
          <w:rFonts w:ascii="Arial" w:hAnsi="Arial" w:cs="Arial"/>
          <w:b/>
          <w:bCs/>
          <w:iCs/>
          <w:sz w:val="20"/>
          <w:szCs w:val="20"/>
          <w:lang w:val="es-419" w:eastAsia="fr-FR"/>
        </w:rPr>
      </w:pPr>
      <w:r w:rsidRPr="0045716B">
        <w:rPr>
          <w:rFonts w:ascii="Arial" w:hAnsi="Arial" w:cs="Arial"/>
          <w:b/>
          <w:bCs/>
          <w:iCs/>
          <w:sz w:val="20"/>
          <w:szCs w:val="20"/>
          <w:u w:val="single"/>
          <w:lang w:val="es-419" w:eastAsia="fr-FR"/>
        </w:rPr>
        <w:t>TEMAS:</w:t>
      </w:r>
      <w:r w:rsidRPr="0045716B">
        <w:rPr>
          <w:rFonts w:ascii="Arial" w:hAnsi="Arial" w:cs="Arial"/>
          <w:b/>
          <w:bCs/>
          <w:iCs/>
          <w:sz w:val="20"/>
          <w:szCs w:val="20"/>
          <w:lang w:val="es-419" w:eastAsia="fr-FR"/>
        </w:rPr>
        <w:tab/>
      </w:r>
      <w:r w:rsidR="004B7C9A">
        <w:rPr>
          <w:rFonts w:ascii="Arial" w:hAnsi="Arial" w:cs="Arial"/>
          <w:b/>
          <w:bCs/>
          <w:iCs/>
          <w:sz w:val="20"/>
          <w:szCs w:val="20"/>
          <w:lang w:val="es-419" w:eastAsia="fr-FR"/>
        </w:rPr>
        <w:t xml:space="preserve">CONTRATO DE ARRENDAMIENTO FINANCIERO O LEASING </w:t>
      </w:r>
      <w:r w:rsidRPr="0045716B">
        <w:rPr>
          <w:rFonts w:ascii="Arial" w:hAnsi="Arial" w:cs="Arial"/>
          <w:b/>
          <w:bCs/>
          <w:iCs/>
          <w:sz w:val="20"/>
          <w:szCs w:val="20"/>
          <w:lang w:val="es-419" w:eastAsia="fr-FR"/>
        </w:rPr>
        <w:t xml:space="preserve">/ </w:t>
      </w:r>
      <w:r w:rsidR="004B7C9A">
        <w:rPr>
          <w:rFonts w:ascii="Arial" w:hAnsi="Arial" w:cs="Arial"/>
          <w:b/>
          <w:bCs/>
          <w:iCs/>
          <w:sz w:val="20"/>
          <w:szCs w:val="20"/>
          <w:lang w:val="es-419" w:eastAsia="fr-FR"/>
        </w:rPr>
        <w:t xml:space="preserve">NATURALEZA JURÍDICA / NO ES ASIMILABLE AL CONTRATO DE ARRENDAMIENTO / </w:t>
      </w:r>
      <w:r w:rsidR="00CD723D">
        <w:rPr>
          <w:rFonts w:ascii="Arial" w:hAnsi="Arial" w:cs="Arial"/>
          <w:b/>
          <w:bCs/>
          <w:iCs/>
          <w:sz w:val="20"/>
          <w:szCs w:val="20"/>
          <w:lang w:val="es-419" w:eastAsia="fr-FR"/>
        </w:rPr>
        <w:t>LA RENTA TIENE COMPONENTES Y FINALIDADES DIFERENTES / POR LO TANTO, LA CUANTÍA DEL PROCESO PARA SU TERMINACIÓN SE DETERMINA POR EL VALOR DEL BIEN Y NO DE AQUELLA.</w:t>
      </w:r>
    </w:p>
    <w:p w:rsidR="0045716B" w:rsidRPr="0045716B" w:rsidRDefault="0045716B" w:rsidP="0045716B">
      <w:pPr>
        <w:jc w:val="both"/>
        <w:rPr>
          <w:rFonts w:ascii="Arial" w:hAnsi="Arial" w:cs="Arial"/>
          <w:sz w:val="20"/>
          <w:szCs w:val="20"/>
          <w:lang w:val="es-419"/>
        </w:rPr>
      </w:pPr>
    </w:p>
    <w:p w:rsidR="0045716B" w:rsidRPr="0045716B" w:rsidRDefault="004B7C9A" w:rsidP="0045716B">
      <w:pPr>
        <w:jc w:val="both"/>
        <w:rPr>
          <w:rFonts w:ascii="Arial" w:hAnsi="Arial" w:cs="Arial"/>
          <w:sz w:val="20"/>
          <w:szCs w:val="20"/>
          <w:lang w:val="es-419"/>
        </w:rPr>
      </w:pPr>
      <w:r w:rsidRPr="004B7C9A">
        <w:rPr>
          <w:rFonts w:ascii="Arial" w:hAnsi="Arial" w:cs="Arial"/>
          <w:sz w:val="20"/>
          <w:szCs w:val="20"/>
          <w:lang w:val="es-419"/>
        </w:rPr>
        <w:t>El presente caso se contrae a definir si tuvo razón la funcionaria de primera instancia al inadmitir la demanda porque no se indicó el valor del bien inmueble objeto del proceso, de acuerdo con el avalúo catastral y al rechazarla porque estimó que no se subsanó el vicio.</w:t>
      </w:r>
      <w:r>
        <w:rPr>
          <w:rFonts w:ascii="Arial" w:hAnsi="Arial" w:cs="Arial"/>
          <w:sz w:val="20"/>
          <w:szCs w:val="20"/>
          <w:lang w:val="es-419"/>
        </w:rPr>
        <w:t xml:space="preserve"> (…)</w:t>
      </w:r>
    </w:p>
    <w:p w:rsidR="0045716B" w:rsidRPr="0045716B" w:rsidRDefault="0045716B" w:rsidP="0045716B">
      <w:pPr>
        <w:jc w:val="both"/>
        <w:rPr>
          <w:rFonts w:ascii="Arial" w:hAnsi="Arial" w:cs="Arial"/>
          <w:sz w:val="20"/>
          <w:szCs w:val="20"/>
          <w:lang w:val="es-419"/>
        </w:rPr>
      </w:pPr>
    </w:p>
    <w:p w:rsidR="004B7C9A" w:rsidRPr="004B7C9A" w:rsidRDefault="004B7C9A" w:rsidP="004B7C9A">
      <w:pPr>
        <w:jc w:val="both"/>
        <w:rPr>
          <w:rFonts w:ascii="Arial" w:hAnsi="Arial" w:cs="Arial"/>
          <w:sz w:val="20"/>
          <w:szCs w:val="20"/>
          <w:lang w:val="es-419"/>
        </w:rPr>
      </w:pPr>
      <w:r w:rsidRPr="004B7C9A">
        <w:rPr>
          <w:rFonts w:ascii="Arial" w:hAnsi="Arial" w:cs="Arial"/>
          <w:sz w:val="20"/>
          <w:szCs w:val="20"/>
          <w:lang w:val="es-419"/>
        </w:rPr>
        <w:t>En relación con la competencia para conocer de los procesos de tenencia por arrendamiento, el numeral 6º del artículo 26 del Código General del Proceso, señala:</w:t>
      </w:r>
    </w:p>
    <w:p w:rsidR="004B7C9A" w:rsidRPr="004B7C9A" w:rsidRDefault="004B7C9A" w:rsidP="004B7C9A">
      <w:pPr>
        <w:jc w:val="both"/>
        <w:rPr>
          <w:rFonts w:ascii="Arial" w:hAnsi="Arial" w:cs="Arial"/>
          <w:sz w:val="20"/>
          <w:szCs w:val="20"/>
          <w:lang w:val="es-419"/>
        </w:rPr>
      </w:pPr>
    </w:p>
    <w:p w:rsidR="0045716B" w:rsidRDefault="004B7C9A" w:rsidP="004B7C9A">
      <w:pPr>
        <w:jc w:val="both"/>
        <w:rPr>
          <w:rFonts w:ascii="Arial" w:hAnsi="Arial" w:cs="Arial"/>
          <w:sz w:val="20"/>
          <w:szCs w:val="20"/>
          <w:lang w:val="es-419"/>
        </w:rPr>
      </w:pPr>
      <w:r w:rsidRPr="004B7C9A">
        <w:rPr>
          <w:rFonts w:ascii="Arial" w:hAnsi="Arial" w:cs="Arial"/>
          <w:sz w:val="20"/>
          <w:szCs w:val="20"/>
          <w:lang w:val="es-419"/>
        </w:rPr>
        <w:t xml:space="preserve">“En los procesos de tenencia por arrendamiento, por el valor actual de la renta durante el término pactado inicialmente en el contrato, y si fuere a plazo indefinido por el valor de la renta de los doce (12) meses anteriores </w:t>
      </w:r>
      <w:r>
        <w:rPr>
          <w:rFonts w:ascii="Arial" w:hAnsi="Arial" w:cs="Arial"/>
          <w:sz w:val="20"/>
          <w:szCs w:val="20"/>
          <w:lang w:val="es-419"/>
        </w:rPr>
        <w:t>a la presentación de la demanda…”</w:t>
      </w:r>
    </w:p>
    <w:p w:rsidR="004B7C9A" w:rsidRDefault="004B7C9A" w:rsidP="004B7C9A">
      <w:pPr>
        <w:jc w:val="both"/>
        <w:rPr>
          <w:rFonts w:ascii="Arial" w:hAnsi="Arial" w:cs="Arial"/>
          <w:sz w:val="20"/>
          <w:szCs w:val="20"/>
          <w:lang w:val="es-419"/>
        </w:rPr>
      </w:pPr>
    </w:p>
    <w:p w:rsidR="004B7C9A" w:rsidRDefault="004B7C9A" w:rsidP="004B7C9A">
      <w:pPr>
        <w:jc w:val="both"/>
        <w:rPr>
          <w:rFonts w:ascii="Arial" w:hAnsi="Arial" w:cs="Arial"/>
          <w:sz w:val="20"/>
          <w:szCs w:val="20"/>
          <w:lang w:val="es-419"/>
        </w:rPr>
      </w:pPr>
      <w:r w:rsidRPr="004B7C9A">
        <w:rPr>
          <w:rFonts w:ascii="Arial" w:hAnsi="Arial" w:cs="Arial"/>
          <w:sz w:val="20"/>
          <w:szCs w:val="20"/>
          <w:lang w:val="es-419"/>
        </w:rPr>
        <w:t>En el asunto bajo examen se está frente a un contrato de arrendamiento financiero o leasing, de naturaleza atípica, que no puede equipararse al contrato de arrendamiento como negocio típico, tal como lo dejó sentado la Sala de Casación Civil de la Corte Suprema de Justicia:</w:t>
      </w:r>
    </w:p>
    <w:p w:rsidR="004B7C9A" w:rsidRDefault="004B7C9A" w:rsidP="004B7C9A">
      <w:pPr>
        <w:jc w:val="both"/>
        <w:rPr>
          <w:rFonts w:ascii="Arial" w:hAnsi="Arial" w:cs="Arial"/>
          <w:sz w:val="20"/>
          <w:szCs w:val="20"/>
          <w:lang w:val="es-419"/>
        </w:rPr>
      </w:pPr>
    </w:p>
    <w:p w:rsidR="004B7C9A" w:rsidRPr="0045716B" w:rsidRDefault="004B7C9A" w:rsidP="004B7C9A">
      <w:pPr>
        <w:jc w:val="both"/>
        <w:rPr>
          <w:rFonts w:ascii="Arial" w:hAnsi="Arial" w:cs="Arial"/>
          <w:sz w:val="20"/>
          <w:szCs w:val="20"/>
          <w:lang w:val="es-419"/>
        </w:rPr>
      </w:pPr>
      <w:r>
        <w:rPr>
          <w:rFonts w:ascii="Arial" w:hAnsi="Arial" w:cs="Arial"/>
          <w:sz w:val="20"/>
          <w:szCs w:val="20"/>
          <w:lang w:val="es-419"/>
        </w:rPr>
        <w:t>“…</w:t>
      </w:r>
      <w:r w:rsidRPr="004B7C9A">
        <w:rPr>
          <w:rFonts w:ascii="Arial" w:hAnsi="Arial" w:cs="Arial"/>
          <w:sz w:val="20"/>
          <w:szCs w:val="20"/>
          <w:lang w:val="es-419"/>
        </w:rPr>
        <w:t>Así, aunque el leasing y el arrendamiento son contratos en virtud de los cuales se entrega la tenencia, el precio que se paga por ella en el primero responde a criterios económicos que, en parte, difieren de los que determinan el monto de la renta (p. ej.: la amortización de la inversión y los rendimientos del capital), sin que tampoco sea propio del contrato de locación, como sí lo es del leasing, la existencia de una opción de compra a favor del tomador, quien, además -ello es medular en la esfera reservada a la causa negocial-, acude a este último negocio como una legítima alternativa de financiación, a diferencia de lo que acontece en el arrendamiento, en el que milenariamente la causa del contrato para el arrendatario, estriba en el disfrute de la cosa…</w:t>
      </w:r>
      <w:r>
        <w:rPr>
          <w:rFonts w:ascii="Arial" w:hAnsi="Arial" w:cs="Arial"/>
          <w:sz w:val="20"/>
          <w:szCs w:val="20"/>
          <w:lang w:val="es-419"/>
        </w:rPr>
        <w:t>”</w:t>
      </w:r>
    </w:p>
    <w:p w:rsidR="0045716B" w:rsidRDefault="0045716B" w:rsidP="0045716B">
      <w:pPr>
        <w:jc w:val="both"/>
        <w:rPr>
          <w:rFonts w:ascii="Arial" w:hAnsi="Arial" w:cs="Arial"/>
          <w:sz w:val="20"/>
          <w:szCs w:val="20"/>
        </w:rPr>
      </w:pPr>
    </w:p>
    <w:p w:rsidR="004B7C9A" w:rsidRPr="0045716B" w:rsidRDefault="004B7C9A" w:rsidP="0045716B">
      <w:pPr>
        <w:jc w:val="both"/>
        <w:rPr>
          <w:rFonts w:ascii="Arial" w:hAnsi="Arial" w:cs="Arial"/>
          <w:sz w:val="20"/>
          <w:szCs w:val="20"/>
        </w:rPr>
      </w:pPr>
      <w:r w:rsidRPr="004B7C9A">
        <w:rPr>
          <w:rFonts w:ascii="Arial" w:hAnsi="Arial" w:cs="Arial"/>
          <w:sz w:val="20"/>
          <w:szCs w:val="20"/>
        </w:rPr>
        <w:t>De acuerdo con esa jurisprudencia, es compleja pues la naturaleza jurídica del contrato de leasing, sin que pueda equiparársele al de arrendamiento como negocio típico.</w:t>
      </w:r>
    </w:p>
    <w:p w:rsidR="0045716B" w:rsidRPr="0045716B" w:rsidRDefault="0045716B" w:rsidP="0045716B">
      <w:pPr>
        <w:jc w:val="both"/>
        <w:rPr>
          <w:rFonts w:ascii="Arial" w:hAnsi="Arial" w:cs="Arial"/>
          <w:sz w:val="20"/>
          <w:szCs w:val="20"/>
        </w:rPr>
      </w:pPr>
    </w:p>
    <w:p w:rsidR="0045716B" w:rsidRPr="0045716B" w:rsidRDefault="0045716B" w:rsidP="0045716B">
      <w:pPr>
        <w:jc w:val="both"/>
        <w:rPr>
          <w:rFonts w:ascii="Arial" w:hAnsi="Arial" w:cs="Arial"/>
          <w:sz w:val="20"/>
          <w:szCs w:val="20"/>
        </w:rPr>
      </w:pPr>
    </w:p>
    <w:p w:rsidR="0045716B" w:rsidRPr="0045716B" w:rsidRDefault="0045716B" w:rsidP="0045716B">
      <w:pPr>
        <w:jc w:val="both"/>
        <w:rPr>
          <w:rFonts w:ascii="Arial" w:hAnsi="Arial" w:cs="Arial"/>
          <w:sz w:val="20"/>
          <w:szCs w:val="20"/>
        </w:rPr>
      </w:pPr>
    </w:p>
    <w:p w:rsidR="00466965" w:rsidRPr="0045716B" w:rsidRDefault="00466965" w:rsidP="0045716B">
      <w:pPr>
        <w:widowControl w:val="0"/>
        <w:autoSpaceDE w:val="0"/>
        <w:autoSpaceDN w:val="0"/>
        <w:adjustRightInd w:val="0"/>
        <w:spacing w:line="276" w:lineRule="auto"/>
        <w:jc w:val="center"/>
        <w:rPr>
          <w:rFonts w:ascii="Tahoma" w:hAnsi="Tahoma" w:cs="Tahoma"/>
          <w:b/>
          <w:bCs/>
          <w:lang w:val="es-ES_tradnl"/>
        </w:rPr>
      </w:pPr>
      <w:r w:rsidRPr="0045716B">
        <w:rPr>
          <w:rFonts w:ascii="Tahoma" w:hAnsi="Tahoma" w:cs="Tahoma"/>
          <w:b/>
          <w:bCs/>
          <w:lang w:val="es-ES_tradnl"/>
        </w:rPr>
        <w:t>TRIBUNAL SUPERIOR DEL DISTRITO JUDICIAL</w:t>
      </w:r>
    </w:p>
    <w:p w:rsidR="00466965" w:rsidRPr="0045716B" w:rsidRDefault="00466965" w:rsidP="0045716B">
      <w:pPr>
        <w:widowControl w:val="0"/>
        <w:autoSpaceDE w:val="0"/>
        <w:autoSpaceDN w:val="0"/>
        <w:adjustRightInd w:val="0"/>
        <w:spacing w:line="276" w:lineRule="auto"/>
        <w:jc w:val="center"/>
        <w:rPr>
          <w:rFonts w:ascii="Tahoma" w:hAnsi="Tahoma" w:cs="Tahoma"/>
          <w:b/>
          <w:bCs/>
          <w:lang w:val="es-ES_tradnl"/>
        </w:rPr>
      </w:pPr>
      <w:r w:rsidRPr="0045716B">
        <w:rPr>
          <w:rFonts w:ascii="Tahoma" w:hAnsi="Tahoma" w:cs="Tahoma"/>
          <w:b/>
          <w:bCs/>
          <w:lang w:val="es-ES_tradnl"/>
        </w:rPr>
        <w:t xml:space="preserve">SALA UNITARIA CIVIL FAMILIA </w:t>
      </w:r>
    </w:p>
    <w:p w:rsidR="00466965" w:rsidRPr="0045716B" w:rsidRDefault="00466965" w:rsidP="0045716B">
      <w:pPr>
        <w:widowControl w:val="0"/>
        <w:autoSpaceDE w:val="0"/>
        <w:autoSpaceDN w:val="0"/>
        <w:adjustRightInd w:val="0"/>
        <w:spacing w:line="276" w:lineRule="auto"/>
        <w:jc w:val="center"/>
        <w:rPr>
          <w:rFonts w:ascii="Tahoma" w:hAnsi="Tahoma" w:cs="Tahoma"/>
          <w:bCs/>
          <w:lang w:val="es-ES_tradnl"/>
        </w:rPr>
      </w:pPr>
    </w:p>
    <w:p w:rsidR="00971499" w:rsidRPr="0045716B" w:rsidRDefault="00971499" w:rsidP="0045716B">
      <w:pPr>
        <w:widowControl w:val="0"/>
        <w:autoSpaceDE w:val="0"/>
        <w:autoSpaceDN w:val="0"/>
        <w:adjustRightInd w:val="0"/>
        <w:spacing w:line="276" w:lineRule="auto"/>
        <w:jc w:val="center"/>
        <w:rPr>
          <w:rFonts w:ascii="Tahoma" w:hAnsi="Tahoma" w:cs="Tahoma"/>
          <w:bCs/>
          <w:lang w:val="es-ES_tradnl"/>
        </w:rPr>
      </w:pPr>
    </w:p>
    <w:p w:rsidR="00466965" w:rsidRPr="0045716B" w:rsidRDefault="00466965" w:rsidP="0045716B">
      <w:pPr>
        <w:widowControl w:val="0"/>
        <w:autoSpaceDE w:val="0"/>
        <w:autoSpaceDN w:val="0"/>
        <w:adjustRightInd w:val="0"/>
        <w:spacing w:line="276" w:lineRule="auto"/>
        <w:jc w:val="both"/>
        <w:rPr>
          <w:rFonts w:ascii="Tahoma" w:hAnsi="Tahoma" w:cs="Tahoma"/>
          <w:lang w:val="es-ES_tradnl"/>
        </w:rPr>
      </w:pPr>
      <w:r w:rsidRPr="0045716B">
        <w:rPr>
          <w:rFonts w:ascii="Tahoma" w:hAnsi="Tahoma" w:cs="Tahoma"/>
          <w:lang w:val="es-ES_tradnl"/>
        </w:rPr>
        <w:t>Magistrada: Claudia María Arcila Ríos</w:t>
      </w:r>
    </w:p>
    <w:p w:rsidR="00466965" w:rsidRPr="0045716B" w:rsidRDefault="00466965" w:rsidP="0045716B">
      <w:pPr>
        <w:widowControl w:val="0"/>
        <w:autoSpaceDE w:val="0"/>
        <w:autoSpaceDN w:val="0"/>
        <w:adjustRightInd w:val="0"/>
        <w:spacing w:line="276" w:lineRule="auto"/>
        <w:jc w:val="both"/>
        <w:rPr>
          <w:rFonts w:ascii="Tahoma" w:hAnsi="Tahoma" w:cs="Tahoma"/>
          <w:lang w:val="es-ES_tradnl"/>
        </w:rPr>
      </w:pPr>
      <w:r w:rsidRPr="0045716B">
        <w:rPr>
          <w:rFonts w:ascii="Tahoma" w:hAnsi="Tahoma" w:cs="Tahoma"/>
          <w:lang w:val="es-ES_tradnl"/>
        </w:rPr>
        <w:t>Pereira, febrero</w:t>
      </w:r>
      <w:r w:rsidR="004456E5" w:rsidRPr="0045716B">
        <w:rPr>
          <w:rFonts w:ascii="Tahoma" w:hAnsi="Tahoma" w:cs="Tahoma"/>
          <w:lang w:val="es-ES_tradnl"/>
        </w:rPr>
        <w:t xml:space="preserve"> siete (7)</w:t>
      </w:r>
      <w:r w:rsidRPr="0045716B">
        <w:rPr>
          <w:rFonts w:ascii="Tahoma" w:hAnsi="Tahoma" w:cs="Tahoma"/>
          <w:lang w:val="es-ES_tradnl"/>
        </w:rPr>
        <w:t xml:space="preserve"> de dos mil veinte  (2020)</w:t>
      </w:r>
    </w:p>
    <w:p w:rsidR="00466965" w:rsidRPr="0045716B" w:rsidRDefault="00466965" w:rsidP="0045716B">
      <w:pPr>
        <w:widowControl w:val="0"/>
        <w:autoSpaceDE w:val="0"/>
        <w:autoSpaceDN w:val="0"/>
        <w:adjustRightInd w:val="0"/>
        <w:spacing w:line="276" w:lineRule="auto"/>
        <w:jc w:val="both"/>
        <w:rPr>
          <w:rFonts w:ascii="Tahoma" w:hAnsi="Tahoma" w:cs="Tahoma"/>
          <w:lang w:val="es-ES_tradnl"/>
        </w:rPr>
      </w:pPr>
      <w:r w:rsidRPr="0045716B">
        <w:rPr>
          <w:rFonts w:ascii="Tahoma" w:hAnsi="Tahoma" w:cs="Tahoma"/>
          <w:lang w:val="es-ES_tradnl"/>
        </w:rPr>
        <w:t xml:space="preserve">Expediente 66001-31-03-001-2019-00268-01 </w:t>
      </w:r>
    </w:p>
    <w:p w:rsidR="00466965" w:rsidRPr="0045716B" w:rsidRDefault="00466965" w:rsidP="0045716B">
      <w:pPr>
        <w:widowControl w:val="0"/>
        <w:autoSpaceDE w:val="0"/>
        <w:autoSpaceDN w:val="0"/>
        <w:adjustRightInd w:val="0"/>
        <w:spacing w:line="276" w:lineRule="auto"/>
        <w:jc w:val="both"/>
        <w:rPr>
          <w:rFonts w:ascii="Tahoma" w:hAnsi="Tahoma" w:cs="Tahoma"/>
          <w:lang w:val="es-ES_tradnl"/>
        </w:rPr>
      </w:pPr>
    </w:p>
    <w:p w:rsidR="00971499" w:rsidRPr="0045716B" w:rsidRDefault="00971499" w:rsidP="0045716B">
      <w:pPr>
        <w:widowControl w:val="0"/>
        <w:autoSpaceDE w:val="0"/>
        <w:autoSpaceDN w:val="0"/>
        <w:adjustRightInd w:val="0"/>
        <w:spacing w:line="276" w:lineRule="auto"/>
        <w:jc w:val="both"/>
        <w:rPr>
          <w:rFonts w:ascii="Tahoma" w:hAnsi="Tahoma" w:cs="Tahoma"/>
          <w:lang w:val="es-ES_tradnl"/>
        </w:rPr>
      </w:pPr>
    </w:p>
    <w:p w:rsidR="004456E5" w:rsidRPr="0045716B" w:rsidRDefault="00466965" w:rsidP="0045716B">
      <w:pPr>
        <w:widowControl w:val="0"/>
        <w:autoSpaceDE w:val="0"/>
        <w:autoSpaceDN w:val="0"/>
        <w:adjustRightInd w:val="0"/>
        <w:spacing w:line="276" w:lineRule="auto"/>
        <w:jc w:val="both"/>
        <w:rPr>
          <w:rFonts w:ascii="Tahoma" w:hAnsi="Tahoma" w:cs="Tahoma"/>
          <w:lang w:val="es-ES_tradnl"/>
        </w:rPr>
      </w:pPr>
      <w:r w:rsidRPr="0045716B">
        <w:rPr>
          <w:rFonts w:ascii="Tahoma" w:hAnsi="Tahoma" w:cs="Tahoma"/>
          <w:lang w:val="es-ES_tradnl"/>
        </w:rPr>
        <w:t xml:space="preserve">Decide la Sala el recurso de apelación interpuesto por la apoderada judicial de la parte demandante frente al auto proferido por el Juzgado Primero Civil del Circuito de Pereira, el 18 de octubre </w:t>
      </w:r>
      <w:r w:rsidR="00BB5D7D" w:rsidRPr="0045716B">
        <w:rPr>
          <w:rFonts w:ascii="Tahoma" w:hAnsi="Tahoma" w:cs="Tahoma"/>
          <w:lang w:val="es-ES_tradnl"/>
        </w:rPr>
        <w:t xml:space="preserve">del año </w:t>
      </w:r>
      <w:r w:rsidRPr="0045716B">
        <w:rPr>
          <w:rFonts w:ascii="Tahoma" w:hAnsi="Tahoma" w:cs="Tahoma"/>
          <w:lang w:val="es-ES_tradnl"/>
        </w:rPr>
        <w:t xml:space="preserve">pasado, en el proceso </w:t>
      </w:r>
      <w:r w:rsidR="004456E5" w:rsidRPr="0045716B">
        <w:rPr>
          <w:rFonts w:ascii="Tahoma" w:hAnsi="Tahoma" w:cs="Tahoma"/>
          <w:lang w:val="es-ES_tradnl"/>
        </w:rPr>
        <w:t>de la referencia.</w:t>
      </w:r>
    </w:p>
    <w:p w:rsidR="004456E5" w:rsidRPr="0045716B" w:rsidRDefault="004456E5" w:rsidP="0045716B">
      <w:pPr>
        <w:widowControl w:val="0"/>
        <w:autoSpaceDE w:val="0"/>
        <w:autoSpaceDN w:val="0"/>
        <w:adjustRightInd w:val="0"/>
        <w:spacing w:line="276" w:lineRule="auto"/>
        <w:jc w:val="both"/>
        <w:rPr>
          <w:rFonts w:ascii="Tahoma" w:hAnsi="Tahoma" w:cs="Tahoma"/>
          <w:lang w:val="es-ES_tradnl"/>
        </w:rPr>
      </w:pPr>
    </w:p>
    <w:p w:rsidR="00466965" w:rsidRPr="0045716B" w:rsidRDefault="00466965" w:rsidP="0045716B">
      <w:pPr>
        <w:widowControl w:val="0"/>
        <w:autoSpaceDE w:val="0"/>
        <w:autoSpaceDN w:val="0"/>
        <w:adjustRightInd w:val="0"/>
        <w:spacing w:line="276" w:lineRule="auto"/>
        <w:jc w:val="both"/>
        <w:rPr>
          <w:rFonts w:ascii="Tahoma" w:hAnsi="Tahoma" w:cs="Tahoma"/>
          <w:b/>
          <w:bCs/>
          <w:lang w:val="es-ES_tradnl"/>
        </w:rPr>
      </w:pPr>
      <w:r w:rsidRPr="0045716B">
        <w:rPr>
          <w:rFonts w:ascii="Tahoma" w:hAnsi="Tahoma" w:cs="Tahoma"/>
          <w:b/>
          <w:bCs/>
          <w:lang w:val="es-ES_tradnl"/>
        </w:rPr>
        <w:t xml:space="preserve">ANTECEDENTES  </w:t>
      </w:r>
    </w:p>
    <w:p w:rsidR="00466965" w:rsidRPr="0045716B" w:rsidRDefault="00466965" w:rsidP="0045716B">
      <w:pPr>
        <w:widowControl w:val="0"/>
        <w:autoSpaceDE w:val="0"/>
        <w:autoSpaceDN w:val="0"/>
        <w:adjustRightInd w:val="0"/>
        <w:spacing w:line="276" w:lineRule="auto"/>
        <w:jc w:val="both"/>
        <w:rPr>
          <w:rFonts w:ascii="Tahoma" w:hAnsi="Tahoma" w:cs="Tahoma"/>
          <w:bCs/>
          <w:lang w:val="es-ES_tradnl"/>
        </w:rPr>
      </w:pPr>
    </w:p>
    <w:p w:rsidR="00466965" w:rsidRPr="0045716B" w:rsidRDefault="00466965" w:rsidP="0045716B">
      <w:pPr>
        <w:widowControl w:val="0"/>
        <w:autoSpaceDE w:val="0"/>
        <w:autoSpaceDN w:val="0"/>
        <w:adjustRightInd w:val="0"/>
        <w:spacing w:line="276" w:lineRule="auto"/>
        <w:jc w:val="both"/>
        <w:rPr>
          <w:rFonts w:ascii="Tahoma" w:hAnsi="Tahoma" w:cs="Tahoma"/>
          <w:lang w:val="es-ES_tradnl"/>
        </w:rPr>
      </w:pPr>
      <w:r w:rsidRPr="0045716B">
        <w:rPr>
          <w:rFonts w:ascii="Tahoma" w:hAnsi="Tahoma" w:cs="Tahoma"/>
          <w:lang w:val="es-ES_tradnl"/>
        </w:rPr>
        <w:t xml:space="preserve">1. Con la acción propuesta, pretende la parte actora se declare la terminación del contrato de arrendamiento financiero “leasing habitacional – no familiar” que celebró con el señor Tomas José </w:t>
      </w:r>
      <w:proofErr w:type="spellStart"/>
      <w:r w:rsidRPr="0045716B">
        <w:rPr>
          <w:rFonts w:ascii="Tahoma" w:hAnsi="Tahoma" w:cs="Tahoma"/>
          <w:lang w:val="es-ES_tradnl"/>
        </w:rPr>
        <w:t>Granobles</w:t>
      </w:r>
      <w:proofErr w:type="spellEnd"/>
      <w:r w:rsidRPr="0045716B">
        <w:rPr>
          <w:rFonts w:ascii="Tahoma" w:hAnsi="Tahoma" w:cs="Tahoma"/>
          <w:lang w:val="es-ES_tradnl"/>
        </w:rPr>
        <w:t xml:space="preserve"> Pacheco y la restitución del bien inmueble objeto de tal negocio.</w:t>
      </w:r>
    </w:p>
    <w:p w:rsidR="00466965" w:rsidRPr="0045716B" w:rsidRDefault="00466965" w:rsidP="0045716B">
      <w:pPr>
        <w:widowControl w:val="0"/>
        <w:autoSpaceDE w:val="0"/>
        <w:autoSpaceDN w:val="0"/>
        <w:adjustRightInd w:val="0"/>
        <w:spacing w:line="276" w:lineRule="auto"/>
        <w:jc w:val="both"/>
        <w:rPr>
          <w:rFonts w:ascii="Tahoma" w:hAnsi="Tahoma" w:cs="Tahoma"/>
          <w:lang w:val="es-ES_tradnl"/>
        </w:rPr>
      </w:pPr>
    </w:p>
    <w:p w:rsidR="00466965" w:rsidRPr="0045716B" w:rsidRDefault="00466965" w:rsidP="0045716B">
      <w:pPr>
        <w:widowControl w:val="0"/>
        <w:autoSpaceDE w:val="0"/>
        <w:autoSpaceDN w:val="0"/>
        <w:adjustRightInd w:val="0"/>
        <w:spacing w:line="276" w:lineRule="auto"/>
        <w:jc w:val="both"/>
        <w:rPr>
          <w:rFonts w:ascii="Tahoma" w:hAnsi="Tahoma" w:cs="Tahoma"/>
          <w:lang w:val="es-ES_tradnl"/>
        </w:rPr>
      </w:pPr>
      <w:r w:rsidRPr="0045716B">
        <w:rPr>
          <w:rFonts w:ascii="Tahoma" w:hAnsi="Tahoma" w:cs="Tahoma"/>
          <w:lang w:val="es-ES_tradnl"/>
        </w:rPr>
        <w:t xml:space="preserve">2. Mediante proveído del 1º de octubre del año que corre, la funcionaria de primera </w:t>
      </w:r>
      <w:r w:rsidRPr="0045716B">
        <w:rPr>
          <w:rFonts w:ascii="Tahoma" w:hAnsi="Tahoma" w:cs="Tahoma"/>
          <w:lang w:val="es-ES_tradnl"/>
        </w:rPr>
        <w:lastRenderedPageBreak/>
        <w:t>sede inadmitió la demanda para que en el término de cinco (5) días la parte actora indicara el valor del avalúo catastral del inmueble objeto del proceso, a efectos de establecer la competencia de conformidad con lo previsto por el numeral 6º del artículo 26 del Código General del Proceso</w:t>
      </w:r>
      <w:r w:rsidRPr="0045716B">
        <w:rPr>
          <w:rStyle w:val="Refdenotaalpie"/>
          <w:rFonts w:ascii="Tahoma" w:hAnsi="Tahoma" w:cs="Tahoma"/>
          <w:lang w:val="es-ES_tradnl"/>
        </w:rPr>
        <w:footnoteReference w:id="1"/>
      </w:r>
      <w:r w:rsidRPr="0045716B">
        <w:rPr>
          <w:rFonts w:ascii="Tahoma" w:hAnsi="Tahoma" w:cs="Tahoma"/>
          <w:lang w:val="es-ES_tradnl"/>
        </w:rPr>
        <w:t>.</w:t>
      </w:r>
    </w:p>
    <w:p w:rsidR="00466965" w:rsidRPr="0045716B" w:rsidRDefault="00466965" w:rsidP="0045716B">
      <w:pPr>
        <w:widowControl w:val="0"/>
        <w:autoSpaceDE w:val="0"/>
        <w:autoSpaceDN w:val="0"/>
        <w:adjustRightInd w:val="0"/>
        <w:spacing w:line="276" w:lineRule="auto"/>
        <w:jc w:val="both"/>
        <w:rPr>
          <w:rFonts w:ascii="Tahoma" w:hAnsi="Tahoma" w:cs="Tahoma"/>
          <w:lang w:val="es-ES_tradnl"/>
        </w:rPr>
      </w:pPr>
      <w:r w:rsidRPr="0045716B">
        <w:rPr>
          <w:rFonts w:ascii="Tahoma" w:hAnsi="Tahoma" w:cs="Tahoma"/>
          <w:lang w:val="es-ES_tradnl"/>
        </w:rPr>
        <w:t xml:space="preserve">                                                                                                                                                                                                                                                                                                                                                                                                                                                                                                                                                                                                                                                                                                                                                                                                                                                                                                                                                                                                                                                                                                                                                                                                                                                                                                                                                                                                                                                                                                                                                                                                                                                                                                                                                                                                                                                                                                                                                                                                                                                                                                                                                                                                                                                                                                                                                                                                                                                                                                                                                                                                                                                                                                                                                                                                                                                                                                                                                                                                                                                                                                                                                                                                                                                                                                                                                                                                                                                                                                                                                                                                                                                                                                                                                                                                                                                                                                                                                                                                                                                                                                                                                                                                                                                                                                                                                                                                                                                                                                                                                                                                                                                                                                                                                                                                                                                                                                                                                                                                                                                                                                                                                                                                                                                                                                                                                                                                                                                                                                                                                                                                                                                                                                                                                                                                                                                                                                                                                                                                                                                                                                                                                                                                                                                                                                                                                                                                                                                                                                                                                                                                                                                                                                                                                                                                                                                                                                                                                                                                                                                                                                                                                                                                                                                                                                                                                                                                                                                                                                                                                                                                                                                                                                                                                                                                                                                                                                                                                                                                                                                                                                                                                                                                                                                                                                                                                                                                                                                                                                                                                                                                                                                                                                                                                                                                                                                                                                                                                                                                                                                                                                                                                                                                                                                                                                                                                                                                                                                                                                                                                                                                                                                                                                                                                                                                                                                                                                                                                                                                                                                                                                                                                                                                                                                                                                                                                                                                                                                                                                                                                                                                                                                                                                                                                                                                                                                                                                                                                                                                                                                                                                                                                                                                                                                                                                                                                                                                                                                                                                                                                                                                                                                                                                                                                                                                                                                                                                                                                                                                                                                                                                                                                                                                                                                                                                                                                                                                                                                                                                                                                                                                                                                                                                                                                                                                                                                                                                                                                                                                                                                                                                                                                                                                                                                                                                                                                                                                                                                                                                                                                                                                                                                                                                                                                                                                                                                                                                                                                                                                                                                                                                                                                                                                                                                                                                                                                                                                                                                                                                                                                                                                                                                                                                                                                                                                                                                                                                                                                                                                                                                                                                                                                                                                                                                                                                                                                                                                                                                                                                                                                                                                                                                                                                                                                                                                                                                                                                                                                                                                                                                                                                                                                                                                                                                                                                                                                                                                                                                                                                                                                                                                                                                                                                                                                                                                                                                                                                                                                                                                                                                                                                                                                                                                                                                                                                                                                                                                                                                                                                                                                                                                                                                                                                                                                                                                                                                                                                                                                                                                                                                                                                                                                                                                                                                                                                                                                                                                                                                                                                                                                                                                                                                                                                                                                                                                                                                                                                                                                                                                                                                                                                                                                                                                                                                                                                                                                                                                                                                                                                                                                                                                                                                                                                                                                                                                                                                                                                                                                                                                                                                                                                                                                                                                                                                                                                                                                                                                                                                                                                                                                                                                                                                                                                                                                                                                                                                                                                                                                                                                                                                                                                                                                                                                                                                                                                                                                                                                                                                                                                                                                                                                                                                                                                                                                                                                                                                                                                                                                                                                                                                                                                                                                                                                                                                                                                                                                                                                                                                                                                                                                                                                                                                                                                                                                                                                                                                                                                                                                                                                                                                                                                                                                                                                                                                                                                                                                                                                                                                                                                                                                                                                                                                                                                                                                                                                                                                                                                                                                                                                                                                                                                                                                                                                                                                                                                                                                                                                                                                                                                                                                                                                                                                                                                                                                                                                                                                                                                                                                                                                                                                                                                                                                                                                                                                                                                                                                                                                                                                                                                                                                                                                                                                                                                                                                                                                                                                                                                                                                                                                                                                                                                                                                                                                                                                                                                                                                                                                                                                                                                                                                        </w:t>
      </w:r>
    </w:p>
    <w:p w:rsidR="0090798E" w:rsidRPr="0045716B" w:rsidRDefault="00466965" w:rsidP="0045716B">
      <w:pPr>
        <w:widowControl w:val="0"/>
        <w:autoSpaceDE w:val="0"/>
        <w:autoSpaceDN w:val="0"/>
        <w:adjustRightInd w:val="0"/>
        <w:spacing w:line="276" w:lineRule="auto"/>
        <w:jc w:val="both"/>
        <w:rPr>
          <w:rFonts w:ascii="Tahoma" w:hAnsi="Tahoma" w:cs="Tahoma"/>
          <w:lang w:val="es-ES_tradnl"/>
        </w:rPr>
      </w:pPr>
      <w:r w:rsidRPr="0045716B">
        <w:rPr>
          <w:rFonts w:ascii="Tahoma" w:hAnsi="Tahoma" w:cs="Tahoma"/>
          <w:lang w:val="es-ES_tradnl"/>
        </w:rPr>
        <w:t>3. En ese lapso, la apodera</w:t>
      </w:r>
      <w:r w:rsidR="004B7C9A">
        <w:rPr>
          <w:rFonts w:ascii="Tahoma" w:hAnsi="Tahoma" w:cs="Tahoma"/>
          <w:lang w:val="es-ES_tradnl"/>
        </w:rPr>
        <w:t>da</w:t>
      </w:r>
      <w:r w:rsidRPr="0045716B">
        <w:rPr>
          <w:rFonts w:ascii="Tahoma" w:hAnsi="Tahoma" w:cs="Tahoma"/>
          <w:lang w:val="es-ES_tradnl"/>
        </w:rPr>
        <w:t xml:space="preserve"> de la parte demandante allegó escrito. Manifestó que el numeral 6º del artículo 26 del Código General del Proceso, contiene dos reglas para determinar la cuantía del proceso, la primera, cuando se trata de tenencia por arrendamiento, en cuyo caso la cuantía se determina por el valor actual de la renta durante el término pactado inicialmente en el contrato, y si fuere a plazo indefinido, por el valor de la renta de los doce meses anteriores a la presentación de la demanda; la segunda, para los demás procesos de tenencia cuyo origen no provengan de un contrato de arrendamiento, caso en el cual, la cuantía se determina por el valor de los bienes, que en tratándose de inmuebles será el avalúo catastral. </w:t>
      </w:r>
    </w:p>
    <w:p w:rsidR="0090798E" w:rsidRPr="0045716B" w:rsidRDefault="0090798E" w:rsidP="0045716B">
      <w:pPr>
        <w:widowControl w:val="0"/>
        <w:autoSpaceDE w:val="0"/>
        <w:autoSpaceDN w:val="0"/>
        <w:adjustRightInd w:val="0"/>
        <w:spacing w:line="276" w:lineRule="auto"/>
        <w:jc w:val="both"/>
        <w:rPr>
          <w:rFonts w:ascii="Tahoma" w:hAnsi="Tahoma" w:cs="Tahoma"/>
          <w:lang w:val="es-ES_tradnl"/>
        </w:rPr>
      </w:pPr>
    </w:p>
    <w:p w:rsidR="00466965" w:rsidRPr="0045716B" w:rsidRDefault="00466965" w:rsidP="0045716B">
      <w:pPr>
        <w:widowControl w:val="0"/>
        <w:autoSpaceDE w:val="0"/>
        <w:autoSpaceDN w:val="0"/>
        <w:adjustRightInd w:val="0"/>
        <w:spacing w:line="276" w:lineRule="auto"/>
        <w:jc w:val="both"/>
        <w:rPr>
          <w:rFonts w:ascii="Tahoma" w:hAnsi="Tahoma" w:cs="Tahoma"/>
          <w:lang w:val="es-ES_tradnl"/>
        </w:rPr>
      </w:pPr>
      <w:r w:rsidRPr="0045716B">
        <w:rPr>
          <w:rFonts w:ascii="Tahoma" w:hAnsi="Tahoma" w:cs="Tahoma"/>
          <w:lang w:val="es-ES_tradnl"/>
        </w:rPr>
        <w:t>Agregó que en el presente caso, la regla que rige es la primera, por cuanto la tenencia que se pretende restituir tiene como causa un contrato de arrendamiento, que no por el hecho de ser financiero para la adquisición de vivienda, deja de revestir tal naturaleza cuyo objeto es la entrega de la mera tenencia de un inmueble al locatario para su uso y goce a cambio del pago de una renta mensual, que al vencimiento del término estipulado, el locatario puede optar por quedarse con el inmueble ejerciendo una opción de compra, o devolverlo a la entidad financiera</w:t>
      </w:r>
      <w:r w:rsidRPr="0045716B">
        <w:rPr>
          <w:rStyle w:val="Refdenotaalpie"/>
          <w:rFonts w:ascii="Tahoma" w:hAnsi="Tahoma" w:cs="Tahoma"/>
          <w:lang w:val="es-ES_tradnl"/>
        </w:rPr>
        <w:footnoteReference w:id="2"/>
      </w:r>
      <w:r w:rsidRPr="0045716B">
        <w:rPr>
          <w:rFonts w:ascii="Tahoma" w:hAnsi="Tahoma" w:cs="Tahoma"/>
          <w:lang w:val="es-ES_tradnl"/>
        </w:rPr>
        <w:t xml:space="preserve">. </w:t>
      </w:r>
    </w:p>
    <w:p w:rsidR="00466965" w:rsidRPr="0045716B" w:rsidRDefault="00466965" w:rsidP="0045716B">
      <w:pPr>
        <w:widowControl w:val="0"/>
        <w:autoSpaceDE w:val="0"/>
        <w:autoSpaceDN w:val="0"/>
        <w:adjustRightInd w:val="0"/>
        <w:spacing w:line="276" w:lineRule="auto"/>
        <w:jc w:val="both"/>
        <w:rPr>
          <w:rFonts w:ascii="Tahoma" w:hAnsi="Tahoma" w:cs="Tahoma"/>
          <w:lang w:val="es-ES_tradnl"/>
        </w:rPr>
      </w:pPr>
    </w:p>
    <w:p w:rsidR="00466965" w:rsidRPr="0045716B" w:rsidRDefault="00466965" w:rsidP="0045716B">
      <w:pPr>
        <w:widowControl w:val="0"/>
        <w:autoSpaceDE w:val="0"/>
        <w:autoSpaceDN w:val="0"/>
        <w:adjustRightInd w:val="0"/>
        <w:spacing w:line="276" w:lineRule="auto"/>
        <w:jc w:val="both"/>
        <w:rPr>
          <w:rFonts w:ascii="Tahoma" w:hAnsi="Tahoma" w:cs="Tahoma"/>
          <w:lang w:val="es-ES_tradnl"/>
        </w:rPr>
      </w:pPr>
      <w:r w:rsidRPr="0045716B">
        <w:rPr>
          <w:rFonts w:ascii="Tahoma" w:hAnsi="Tahoma" w:cs="Tahoma"/>
          <w:lang w:val="es-ES_tradnl"/>
        </w:rPr>
        <w:t>4. En proveído del 18 del mismo mes, decidió el juzgado rechazar la demanda, por cuanto consideró que la parte actora no la corrigió, “</w:t>
      </w:r>
      <w:r w:rsidRPr="004B7C9A">
        <w:rPr>
          <w:rFonts w:ascii="Tahoma" w:hAnsi="Tahoma" w:cs="Tahoma"/>
          <w:sz w:val="22"/>
          <w:lang w:val="es-ES_tradnl"/>
        </w:rPr>
        <w:t>…</w:t>
      </w:r>
      <w:r w:rsidR="004B7C9A">
        <w:rPr>
          <w:rFonts w:ascii="Tahoma" w:hAnsi="Tahoma" w:cs="Tahoma"/>
          <w:sz w:val="22"/>
          <w:lang w:val="es-ES_tradnl"/>
        </w:rPr>
        <w:t xml:space="preserve"> </w:t>
      </w:r>
      <w:r w:rsidRPr="004B7C9A">
        <w:rPr>
          <w:rFonts w:ascii="Tahoma" w:hAnsi="Tahoma" w:cs="Tahoma"/>
          <w:sz w:val="22"/>
          <w:lang w:val="es-ES_tradnl"/>
        </w:rPr>
        <w:t>pues no indicó cual es el valor del avalúo catastral…</w:t>
      </w:r>
      <w:r w:rsidRPr="0045716B">
        <w:rPr>
          <w:rFonts w:ascii="Tahoma" w:hAnsi="Tahoma" w:cs="Tahoma"/>
          <w:lang w:val="es-ES_tradnl"/>
        </w:rPr>
        <w:t>” para determinar la competencia</w:t>
      </w:r>
      <w:r w:rsidR="007012A1" w:rsidRPr="0045716B">
        <w:rPr>
          <w:rFonts w:ascii="Tahoma" w:hAnsi="Tahoma" w:cs="Tahoma"/>
          <w:lang w:val="es-ES_tradnl"/>
        </w:rPr>
        <w:t>.</w:t>
      </w:r>
    </w:p>
    <w:p w:rsidR="00466965" w:rsidRPr="0045716B" w:rsidRDefault="00466965" w:rsidP="0045716B">
      <w:pPr>
        <w:widowControl w:val="0"/>
        <w:autoSpaceDE w:val="0"/>
        <w:autoSpaceDN w:val="0"/>
        <w:adjustRightInd w:val="0"/>
        <w:spacing w:line="276" w:lineRule="auto"/>
        <w:jc w:val="both"/>
        <w:rPr>
          <w:rFonts w:ascii="Tahoma" w:hAnsi="Tahoma" w:cs="Tahoma"/>
          <w:lang w:val="es-ES_tradnl"/>
        </w:rPr>
      </w:pPr>
    </w:p>
    <w:p w:rsidR="000A3659" w:rsidRDefault="00393E57" w:rsidP="0045716B">
      <w:pPr>
        <w:widowControl w:val="0"/>
        <w:autoSpaceDE w:val="0"/>
        <w:autoSpaceDN w:val="0"/>
        <w:adjustRightInd w:val="0"/>
        <w:spacing w:line="276" w:lineRule="auto"/>
        <w:jc w:val="both"/>
        <w:rPr>
          <w:rFonts w:ascii="Tahoma" w:hAnsi="Tahoma" w:cs="Tahoma"/>
          <w:lang w:val="es-ES_tradnl"/>
        </w:rPr>
      </w:pPr>
      <w:r w:rsidRPr="0045716B">
        <w:rPr>
          <w:rFonts w:ascii="Tahoma" w:hAnsi="Tahoma" w:cs="Tahoma"/>
          <w:lang w:val="es-ES_tradnl"/>
        </w:rPr>
        <w:t>5</w:t>
      </w:r>
      <w:r w:rsidR="00466965" w:rsidRPr="0045716B">
        <w:rPr>
          <w:rFonts w:ascii="Tahoma" w:hAnsi="Tahoma" w:cs="Tahoma"/>
          <w:lang w:val="es-ES_tradnl"/>
        </w:rPr>
        <w:t>. Inconforme con esa decisión, la parte actora interpuso recurso de apelación</w:t>
      </w:r>
      <w:r w:rsidR="000A3659" w:rsidRPr="0045716B">
        <w:rPr>
          <w:rFonts w:ascii="Tahoma" w:hAnsi="Tahoma" w:cs="Tahoma"/>
          <w:lang w:val="es-ES_tradnl"/>
        </w:rPr>
        <w:t>. Alegó, en síntesis, que el contrato de leasing es de arrendamiento, pues su objeto consiste en que una entidad financiera entrega un bien a una persona para su uso y goce durante tiempo determinado, a cambio de una suma mensual, al cabo del cual el locatario o arrendatario puede optar por adquirir la propiedad del bien o devolverlo a la entidad financiera.</w:t>
      </w:r>
    </w:p>
    <w:p w:rsidR="0045716B" w:rsidRPr="0045716B" w:rsidRDefault="0045716B" w:rsidP="0045716B">
      <w:pPr>
        <w:widowControl w:val="0"/>
        <w:autoSpaceDE w:val="0"/>
        <w:autoSpaceDN w:val="0"/>
        <w:adjustRightInd w:val="0"/>
        <w:spacing w:line="276" w:lineRule="auto"/>
        <w:jc w:val="both"/>
        <w:rPr>
          <w:rFonts w:ascii="Tahoma" w:hAnsi="Tahoma" w:cs="Tahoma"/>
          <w:lang w:val="es-ES_tradnl"/>
        </w:rPr>
      </w:pPr>
    </w:p>
    <w:p w:rsidR="00466965" w:rsidRPr="0045716B" w:rsidRDefault="00466965" w:rsidP="0045716B">
      <w:pPr>
        <w:widowControl w:val="0"/>
        <w:autoSpaceDE w:val="0"/>
        <w:autoSpaceDN w:val="0"/>
        <w:adjustRightInd w:val="0"/>
        <w:spacing w:line="276" w:lineRule="auto"/>
        <w:jc w:val="both"/>
        <w:rPr>
          <w:rFonts w:ascii="Tahoma" w:hAnsi="Tahoma" w:cs="Tahoma"/>
          <w:b/>
          <w:lang w:val="es-ES_tradnl"/>
        </w:rPr>
      </w:pPr>
      <w:r w:rsidRPr="0045716B">
        <w:rPr>
          <w:rFonts w:ascii="Tahoma" w:hAnsi="Tahoma" w:cs="Tahoma"/>
          <w:b/>
          <w:lang w:val="es-ES_tradnl"/>
        </w:rPr>
        <w:t>CONSIDERACIONES</w:t>
      </w:r>
    </w:p>
    <w:p w:rsidR="00971499" w:rsidRPr="0045716B" w:rsidRDefault="00971499" w:rsidP="0045716B">
      <w:pPr>
        <w:widowControl w:val="0"/>
        <w:autoSpaceDE w:val="0"/>
        <w:autoSpaceDN w:val="0"/>
        <w:adjustRightInd w:val="0"/>
        <w:spacing w:line="276" w:lineRule="auto"/>
        <w:jc w:val="both"/>
        <w:rPr>
          <w:rFonts w:ascii="Tahoma" w:hAnsi="Tahoma" w:cs="Tahoma"/>
          <w:bCs/>
          <w:lang w:val="es-ES_tradnl"/>
        </w:rPr>
      </w:pPr>
    </w:p>
    <w:p w:rsidR="00466965" w:rsidRPr="0045716B" w:rsidRDefault="00466965" w:rsidP="0045716B">
      <w:pPr>
        <w:widowControl w:val="0"/>
        <w:autoSpaceDE w:val="0"/>
        <w:autoSpaceDN w:val="0"/>
        <w:adjustRightInd w:val="0"/>
        <w:spacing w:line="276" w:lineRule="auto"/>
        <w:jc w:val="both"/>
        <w:rPr>
          <w:rFonts w:ascii="Tahoma" w:hAnsi="Tahoma" w:cs="Tahoma"/>
          <w:bCs/>
          <w:lang w:val="es-ES_tradnl"/>
        </w:rPr>
      </w:pPr>
      <w:r w:rsidRPr="0045716B">
        <w:rPr>
          <w:rFonts w:ascii="Tahoma" w:hAnsi="Tahoma" w:cs="Tahoma"/>
          <w:bCs/>
          <w:lang w:val="es-ES_tradnl"/>
        </w:rPr>
        <w:t>1. El presente caso se contrae a definir si tuvo razón la funcionaria de primera instancia al inadmitir la demanda porque no se indicó el valor del bien inmueble objeto del proceso, de acuerdo con el avalúo catastral y al rechazarla porque estimó que no se subsanó el vicio.</w:t>
      </w:r>
    </w:p>
    <w:p w:rsidR="00466965" w:rsidRPr="0045716B" w:rsidRDefault="00466965" w:rsidP="0045716B">
      <w:pPr>
        <w:widowControl w:val="0"/>
        <w:autoSpaceDE w:val="0"/>
        <w:autoSpaceDN w:val="0"/>
        <w:adjustRightInd w:val="0"/>
        <w:spacing w:line="276" w:lineRule="auto"/>
        <w:jc w:val="both"/>
        <w:rPr>
          <w:rFonts w:ascii="Tahoma" w:hAnsi="Tahoma" w:cs="Tahoma"/>
          <w:bCs/>
          <w:lang w:val="es-ES_tradnl"/>
        </w:rPr>
      </w:pPr>
    </w:p>
    <w:p w:rsidR="00466965" w:rsidRPr="0045716B" w:rsidRDefault="00466965" w:rsidP="0045716B">
      <w:pPr>
        <w:spacing w:line="276" w:lineRule="auto"/>
        <w:jc w:val="both"/>
        <w:rPr>
          <w:rFonts w:ascii="Tahoma" w:hAnsi="Tahoma" w:cs="Tahoma"/>
          <w:i/>
        </w:rPr>
      </w:pPr>
      <w:r w:rsidRPr="0045716B">
        <w:rPr>
          <w:rFonts w:ascii="Tahoma" w:hAnsi="Tahoma" w:cs="Tahoma"/>
        </w:rPr>
        <w:t xml:space="preserve">2. El artículo 82 del Código General del Proceso enlista los requisitos formales que debe reunir toda demanda y dentro de ellos, en el numeral 9º exige señalar </w:t>
      </w:r>
      <w:r w:rsidRPr="0045716B">
        <w:rPr>
          <w:rFonts w:ascii="Tahoma" w:hAnsi="Tahoma" w:cs="Tahoma"/>
          <w:i/>
        </w:rPr>
        <w:t>“</w:t>
      </w:r>
      <w:r w:rsidRPr="0045716B">
        <w:rPr>
          <w:rFonts w:ascii="Tahoma" w:hAnsi="Tahoma" w:cs="Tahoma"/>
          <w:i/>
          <w:sz w:val="22"/>
        </w:rPr>
        <w:t xml:space="preserve">La </w:t>
      </w:r>
      <w:r w:rsidRPr="0045716B">
        <w:rPr>
          <w:rFonts w:ascii="Tahoma" w:hAnsi="Tahoma" w:cs="Tahoma"/>
          <w:i/>
          <w:sz w:val="22"/>
        </w:rPr>
        <w:lastRenderedPageBreak/>
        <w:t>cuantía del proceso, cuando su estimación sea necesaria para determinar la competencia o el trámite</w:t>
      </w:r>
      <w:r w:rsidRPr="0045716B">
        <w:rPr>
          <w:rFonts w:ascii="Tahoma" w:hAnsi="Tahoma" w:cs="Tahoma"/>
          <w:i/>
        </w:rPr>
        <w:t>”.</w:t>
      </w:r>
    </w:p>
    <w:p w:rsidR="00466965" w:rsidRPr="0045716B" w:rsidRDefault="00466965" w:rsidP="0045716B">
      <w:pPr>
        <w:spacing w:line="276" w:lineRule="auto"/>
        <w:jc w:val="both"/>
        <w:rPr>
          <w:rFonts w:ascii="Tahoma" w:hAnsi="Tahoma" w:cs="Tahoma"/>
        </w:rPr>
      </w:pPr>
    </w:p>
    <w:p w:rsidR="00466965" w:rsidRPr="0045716B" w:rsidRDefault="00466965" w:rsidP="0045716B">
      <w:pPr>
        <w:widowControl w:val="0"/>
        <w:autoSpaceDE w:val="0"/>
        <w:autoSpaceDN w:val="0"/>
        <w:adjustRightInd w:val="0"/>
        <w:spacing w:line="276" w:lineRule="auto"/>
        <w:jc w:val="both"/>
        <w:rPr>
          <w:rFonts w:ascii="Tahoma" w:hAnsi="Tahoma" w:cs="Tahoma"/>
        </w:rPr>
      </w:pPr>
      <w:r w:rsidRPr="0045716B">
        <w:rPr>
          <w:rFonts w:ascii="Tahoma" w:hAnsi="Tahoma" w:cs="Tahoma"/>
        </w:rPr>
        <w:t>3. En el asunto bajo estudio, en el que se está frente a un proceso contencioso, es menester establecer su cuantía para efectos de determinar cuál es el funcionario competente para conocer de él y el trámite que se le dará, pues dependiendo de ella conocerá un juez civil municipal en única o primera instancia, o uno con categoría de circuito, también en primera.</w:t>
      </w:r>
    </w:p>
    <w:p w:rsidR="00466965" w:rsidRPr="0045716B" w:rsidRDefault="00466965" w:rsidP="0045716B">
      <w:pPr>
        <w:widowControl w:val="0"/>
        <w:autoSpaceDE w:val="0"/>
        <w:autoSpaceDN w:val="0"/>
        <w:adjustRightInd w:val="0"/>
        <w:spacing w:line="276" w:lineRule="auto"/>
        <w:jc w:val="both"/>
        <w:rPr>
          <w:rFonts w:ascii="Tahoma" w:hAnsi="Tahoma" w:cs="Tahoma"/>
        </w:rPr>
      </w:pPr>
    </w:p>
    <w:p w:rsidR="00466965" w:rsidRPr="0045716B" w:rsidRDefault="00466965" w:rsidP="0045716B">
      <w:pPr>
        <w:widowControl w:val="0"/>
        <w:autoSpaceDE w:val="0"/>
        <w:autoSpaceDN w:val="0"/>
        <w:adjustRightInd w:val="0"/>
        <w:spacing w:line="276" w:lineRule="auto"/>
        <w:jc w:val="both"/>
        <w:rPr>
          <w:rFonts w:ascii="Tahoma" w:hAnsi="Tahoma" w:cs="Tahoma"/>
        </w:rPr>
      </w:pPr>
      <w:r w:rsidRPr="0045716B">
        <w:rPr>
          <w:rFonts w:ascii="Tahoma" w:hAnsi="Tahoma" w:cs="Tahoma"/>
        </w:rPr>
        <w:t>4. En relación con la competencia para conocer de los procesos de tenencia por arrendamiento, el numeral 6º del artículo 26 del Código General del Proceso, señala:</w:t>
      </w:r>
    </w:p>
    <w:p w:rsidR="00466965" w:rsidRPr="0045716B" w:rsidRDefault="00466965" w:rsidP="0045716B">
      <w:pPr>
        <w:widowControl w:val="0"/>
        <w:autoSpaceDE w:val="0"/>
        <w:autoSpaceDN w:val="0"/>
        <w:adjustRightInd w:val="0"/>
        <w:spacing w:line="276" w:lineRule="auto"/>
        <w:jc w:val="both"/>
        <w:rPr>
          <w:rFonts w:ascii="Tahoma" w:hAnsi="Tahoma" w:cs="Tahoma"/>
          <w:i/>
        </w:rPr>
      </w:pPr>
    </w:p>
    <w:p w:rsidR="00466965" w:rsidRPr="0045716B" w:rsidRDefault="00466965" w:rsidP="0045716B">
      <w:pPr>
        <w:widowControl w:val="0"/>
        <w:autoSpaceDE w:val="0"/>
        <w:autoSpaceDN w:val="0"/>
        <w:adjustRightInd w:val="0"/>
        <w:ind w:left="426" w:right="420"/>
        <w:jc w:val="both"/>
        <w:rPr>
          <w:rFonts w:ascii="Tahoma" w:hAnsi="Tahoma" w:cs="Tahoma"/>
          <w:i/>
          <w:sz w:val="22"/>
        </w:rPr>
      </w:pPr>
      <w:r w:rsidRPr="0045716B">
        <w:rPr>
          <w:rFonts w:ascii="Tahoma" w:hAnsi="Tahoma" w:cs="Tahoma"/>
          <w:i/>
          <w:sz w:val="22"/>
        </w:rPr>
        <w:t>“En los procesos de tenencia por arrendamiento, por el valor actual de la renta durante el término pactado inicialmente en el contrato, y si fuere a plazo indefinido por el valor de la renta de los doce (12) meses anteriores a la presentación de la demanda. Cuando la renta deba pagarse con los frutos naturales del bien arrendado, por el valor de aquellos en los últimos doce (12) meses. En los demás procesos de tenencia la cuantía se determinará por el valor de los bienes, que en el caso de los inmuebles será el avalúo catastral”.</w:t>
      </w:r>
    </w:p>
    <w:p w:rsidR="00466965" w:rsidRPr="0045716B" w:rsidRDefault="00466965" w:rsidP="0045716B">
      <w:pPr>
        <w:widowControl w:val="0"/>
        <w:autoSpaceDE w:val="0"/>
        <w:autoSpaceDN w:val="0"/>
        <w:adjustRightInd w:val="0"/>
        <w:spacing w:line="276" w:lineRule="auto"/>
        <w:jc w:val="both"/>
        <w:rPr>
          <w:rFonts w:ascii="Tahoma" w:hAnsi="Tahoma" w:cs="Tahoma"/>
        </w:rPr>
      </w:pPr>
    </w:p>
    <w:p w:rsidR="007012A1" w:rsidRPr="0045716B" w:rsidRDefault="00466965" w:rsidP="0045716B">
      <w:pPr>
        <w:widowControl w:val="0"/>
        <w:autoSpaceDE w:val="0"/>
        <w:autoSpaceDN w:val="0"/>
        <w:adjustRightInd w:val="0"/>
        <w:spacing w:line="276" w:lineRule="auto"/>
        <w:jc w:val="both"/>
        <w:rPr>
          <w:rFonts w:ascii="Tahoma" w:hAnsi="Tahoma" w:cs="Tahoma"/>
        </w:rPr>
      </w:pPr>
      <w:r w:rsidRPr="0045716B">
        <w:rPr>
          <w:rFonts w:ascii="Tahoma" w:hAnsi="Tahoma" w:cs="Tahoma"/>
        </w:rPr>
        <w:t xml:space="preserve">5. En el asunto bajo examen se está frente a un contrato de arrendamiento financiero o leasing, de naturaleza atípica, que no puede equipararse al contrato de arrendamiento como negocio típico, tal como lo dejó sentado la Sala de Casación Civil de la Corte </w:t>
      </w:r>
      <w:r w:rsidR="007012A1" w:rsidRPr="0045716B">
        <w:rPr>
          <w:rFonts w:ascii="Tahoma" w:hAnsi="Tahoma" w:cs="Tahoma"/>
        </w:rPr>
        <w:t>Suprema de Justicia:</w:t>
      </w:r>
    </w:p>
    <w:p w:rsidR="007012A1" w:rsidRPr="0045716B" w:rsidRDefault="007012A1" w:rsidP="0045716B">
      <w:pPr>
        <w:widowControl w:val="0"/>
        <w:autoSpaceDE w:val="0"/>
        <w:autoSpaceDN w:val="0"/>
        <w:adjustRightInd w:val="0"/>
        <w:spacing w:line="276" w:lineRule="auto"/>
        <w:jc w:val="both"/>
        <w:rPr>
          <w:rFonts w:ascii="Tahoma" w:hAnsi="Tahoma" w:cs="Tahoma"/>
        </w:rPr>
      </w:pPr>
    </w:p>
    <w:p w:rsidR="007012A1" w:rsidRPr="004B7C9A" w:rsidRDefault="007012A1" w:rsidP="0045716B">
      <w:pPr>
        <w:widowControl w:val="0"/>
        <w:autoSpaceDE w:val="0"/>
        <w:autoSpaceDN w:val="0"/>
        <w:adjustRightInd w:val="0"/>
        <w:ind w:left="426" w:right="420"/>
        <w:jc w:val="both"/>
        <w:rPr>
          <w:rFonts w:ascii="Tahoma" w:hAnsi="Tahoma" w:cs="Tahoma"/>
          <w:i/>
          <w:sz w:val="22"/>
        </w:rPr>
      </w:pPr>
      <w:r w:rsidRPr="0045716B">
        <w:rPr>
          <w:rFonts w:ascii="Tahoma" w:hAnsi="Tahoma" w:cs="Tahoma"/>
          <w:i/>
          <w:sz w:val="22"/>
        </w:rPr>
        <w:t xml:space="preserve">“En este orden de ideas, como el legislador -rigurosamente- no se ha ocupado de reglamentar el </w:t>
      </w:r>
      <w:r w:rsidRPr="004B7C9A">
        <w:rPr>
          <w:rFonts w:ascii="Tahoma" w:hAnsi="Tahoma" w:cs="Tahoma"/>
          <w:i/>
          <w:sz w:val="22"/>
        </w:rPr>
        <w:t>contrato</w:t>
      </w:r>
      <w:r w:rsidRPr="0045716B">
        <w:rPr>
          <w:rFonts w:ascii="Tahoma" w:hAnsi="Tahoma" w:cs="Tahoma"/>
          <w:i/>
          <w:sz w:val="22"/>
        </w:rPr>
        <w:t xml:space="preserve"> en cuestión, mejor aún, no le ha otorgado un tratamiento normativo hipotético, al cual, “cuando sea del caso, habrá de adecuarse la declaración de voluntad de las personas, para aplicarle la regulación prevista en la regla general” (Cas. </w:t>
      </w:r>
      <w:proofErr w:type="spellStart"/>
      <w:r w:rsidRPr="0045716B">
        <w:rPr>
          <w:rFonts w:ascii="Tahoma" w:hAnsi="Tahoma" w:cs="Tahoma"/>
          <w:i/>
          <w:sz w:val="22"/>
        </w:rPr>
        <w:t>Civ</w:t>
      </w:r>
      <w:proofErr w:type="spellEnd"/>
      <w:r w:rsidRPr="0045716B">
        <w:rPr>
          <w:rFonts w:ascii="Tahoma" w:hAnsi="Tahoma" w:cs="Tahoma"/>
          <w:i/>
          <w:sz w:val="22"/>
        </w:rPr>
        <w:t xml:space="preserve">. de oct. 22/2001; </w:t>
      </w:r>
      <w:proofErr w:type="spellStart"/>
      <w:r w:rsidRPr="0045716B">
        <w:rPr>
          <w:rFonts w:ascii="Tahoma" w:hAnsi="Tahoma" w:cs="Tahoma"/>
          <w:i/>
          <w:sz w:val="22"/>
        </w:rPr>
        <w:t>exp</w:t>
      </w:r>
      <w:proofErr w:type="spellEnd"/>
      <w:r w:rsidRPr="0045716B">
        <w:rPr>
          <w:rFonts w:ascii="Tahoma" w:hAnsi="Tahoma" w:cs="Tahoma"/>
          <w:i/>
          <w:sz w:val="22"/>
        </w:rPr>
        <w:t xml:space="preserve">. 5817), es menester considerar, desde la perspectiva en comento, que el leasing es un negocio jurídico </w:t>
      </w:r>
      <w:r w:rsidRPr="004B7C9A">
        <w:rPr>
          <w:rFonts w:ascii="Tahoma" w:hAnsi="Tahoma" w:cs="Tahoma"/>
          <w:i/>
          <w:sz w:val="22"/>
        </w:rPr>
        <w:t xml:space="preserve">atípico… </w:t>
      </w:r>
    </w:p>
    <w:p w:rsidR="007012A1" w:rsidRPr="004B7C9A" w:rsidRDefault="007012A1" w:rsidP="0045716B">
      <w:pPr>
        <w:widowControl w:val="0"/>
        <w:autoSpaceDE w:val="0"/>
        <w:autoSpaceDN w:val="0"/>
        <w:adjustRightInd w:val="0"/>
        <w:ind w:left="426" w:right="420"/>
        <w:jc w:val="both"/>
        <w:rPr>
          <w:rFonts w:ascii="Tahoma" w:hAnsi="Tahoma" w:cs="Tahoma"/>
          <w:i/>
          <w:sz w:val="22"/>
        </w:rPr>
      </w:pPr>
    </w:p>
    <w:p w:rsidR="007012A1" w:rsidRPr="0045716B" w:rsidRDefault="007012A1" w:rsidP="0045716B">
      <w:pPr>
        <w:widowControl w:val="0"/>
        <w:autoSpaceDE w:val="0"/>
        <w:autoSpaceDN w:val="0"/>
        <w:adjustRightInd w:val="0"/>
        <w:ind w:left="426" w:right="420"/>
        <w:jc w:val="both"/>
        <w:rPr>
          <w:rFonts w:ascii="Tahoma" w:hAnsi="Tahoma" w:cs="Tahoma"/>
          <w:i/>
          <w:sz w:val="22"/>
        </w:rPr>
      </w:pPr>
      <w:r w:rsidRPr="0045716B">
        <w:rPr>
          <w:rFonts w:ascii="Tahoma" w:hAnsi="Tahoma" w:cs="Tahoma"/>
          <w:i/>
          <w:sz w:val="22"/>
        </w:rPr>
        <w:t xml:space="preserve">Bajo este entendimiento, si el </w:t>
      </w:r>
      <w:r w:rsidRPr="004B7C9A">
        <w:rPr>
          <w:rFonts w:ascii="Tahoma" w:hAnsi="Tahoma" w:cs="Tahoma"/>
          <w:i/>
          <w:sz w:val="22"/>
        </w:rPr>
        <w:t>contrato</w:t>
      </w:r>
      <w:r w:rsidRPr="0045716B">
        <w:rPr>
          <w:rFonts w:ascii="Tahoma" w:hAnsi="Tahoma" w:cs="Tahoma"/>
          <w:i/>
          <w:sz w:val="22"/>
        </w:rPr>
        <w:t xml:space="preserve"> de leasing en Colombia no posee una regulación legal propiamente dicha (suficiencia preceptiva), debe aceptarse, por ende, que no puede ser gobernado exclusiva y delanteramente por las reglas que le son propias a negocios típicos, por afines que estos realmente sean, entre ellos, por vía de ilustración, el arrendamiento; la compraventa con pacto de reserva de dominio; el mutuo…</w:t>
      </w:r>
    </w:p>
    <w:p w:rsidR="007012A1" w:rsidRPr="0045716B" w:rsidRDefault="007012A1" w:rsidP="0045716B">
      <w:pPr>
        <w:widowControl w:val="0"/>
        <w:autoSpaceDE w:val="0"/>
        <w:autoSpaceDN w:val="0"/>
        <w:adjustRightInd w:val="0"/>
        <w:ind w:left="426" w:right="420"/>
        <w:jc w:val="both"/>
        <w:rPr>
          <w:rFonts w:ascii="Tahoma" w:hAnsi="Tahoma" w:cs="Tahoma"/>
          <w:i/>
          <w:sz w:val="22"/>
        </w:rPr>
      </w:pPr>
    </w:p>
    <w:p w:rsidR="007012A1" w:rsidRPr="0045716B" w:rsidRDefault="007012A1" w:rsidP="0045716B">
      <w:pPr>
        <w:widowControl w:val="0"/>
        <w:autoSpaceDE w:val="0"/>
        <w:autoSpaceDN w:val="0"/>
        <w:adjustRightInd w:val="0"/>
        <w:ind w:left="426" w:right="420"/>
        <w:jc w:val="both"/>
        <w:rPr>
          <w:rFonts w:ascii="Tahoma" w:hAnsi="Tahoma" w:cs="Tahoma"/>
          <w:i/>
          <w:sz w:val="22"/>
        </w:rPr>
      </w:pPr>
      <w:r w:rsidRPr="0045716B">
        <w:rPr>
          <w:rFonts w:ascii="Tahoma" w:hAnsi="Tahoma" w:cs="Tahoma"/>
          <w:i/>
          <w:sz w:val="22"/>
        </w:rPr>
        <w:t xml:space="preserve">No escapa a la Sala que la doctrina nacional e internacional, ha discurrido entre diversas tipologías contractuales, a la hora de precisar cuál es la naturaleza jurídica del leasing, al punto que éste, en el plano dogmático, es uno de los tópicos más controversiales de la ciencia mercantil contemporánea. Así, sólo por vía de ejemplo, se ha considerado que se trata de un arrendamiento, habida cuenta que, en lo medular, el contratante entrega al usuario la tenencia del bien para su uso y goce, a cambio de un precio; o de un arrendamiento sui generis, en la medida en que posee una fuerte naturaleza financiera; o de equipamiento-arriendo, en cuanto reservado -fundamentalmente- para proveer de equipo a la industria y el comercio, entre otras razones; o una compraventa a plazos con reserva de dominio, toda vez que la sociedad de leasing conserva la propiedad del bien que ha adquirido por instrucciones del tomador, quien podrá hacerse a ese derecho al finalizar el </w:t>
      </w:r>
      <w:r w:rsidRPr="004B7C9A">
        <w:rPr>
          <w:rFonts w:ascii="Tahoma" w:hAnsi="Tahoma" w:cs="Tahoma"/>
          <w:i/>
          <w:sz w:val="22"/>
        </w:rPr>
        <w:t>contrato</w:t>
      </w:r>
      <w:r w:rsidRPr="0045716B">
        <w:rPr>
          <w:rFonts w:ascii="Tahoma" w:hAnsi="Tahoma" w:cs="Tahoma"/>
          <w:i/>
          <w:sz w:val="22"/>
        </w:rPr>
        <w:t xml:space="preserve">; o como un </w:t>
      </w:r>
      <w:r w:rsidRPr="004B7C9A">
        <w:rPr>
          <w:rFonts w:ascii="Tahoma" w:hAnsi="Tahoma" w:cs="Tahoma"/>
          <w:i/>
          <w:sz w:val="22"/>
        </w:rPr>
        <w:t>contrato</w:t>
      </w:r>
      <w:r w:rsidRPr="0045716B">
        <w:rPr>
          <w:rFonts w:ascii="Tahoma" w:hAnsi="Tahoma" w:cs="Tahoma"/>
          <w:i/>
          <w:sz w:val="22"/>
        </w:rPr>
        <w:t xml:space="preserve"> de crédito, pues la compañía financiera, en últimas, adelanta el capital al adquirir el bien escogido por el usuario del equipo. Y, en fin, se ha querido ver en él una suerte de negociación compleja -o articulada-, en el que </w:t>
      </w:r>
      <w:r w:rsidRPr="0045716B">
        <w:rPr>
          <w:rFonts w:ascii="Tahoma" w:hAnsi="Tahoma" w:cs="Tahoma"/>
          <w:i/>
          <w:sz w:val="22"/>
        </w:rPr>
        <w:lastRenderedPageBreak/>
        <w:t xml:space="preserve">conviven, de alguna manera, diversos negocios jurídicos: el arrendamiento con la opción de compra -o con una promesa unilateral de venta, precisan algunos-, sobre la base de que el arrendador le concede al locatario el derecho de adquirir el bien arrendado, al terminar el </w:t>
      </w:r>
      <w:r w:rsidRPr="004B7C9A">
        <w:rPr>
          <w:rFonts w:ascii="Tahoma" w:hAnsi="Tahoma" w:cs="Tahoma"/>
          <w:i/>
          <w:sz w:val="22"/>
        </w:rPr>
        <w:t>contrato</w:t>
      </w:r>
      <w:r w:rsidRPr="0045716B">
        <w:rPr>
          <w:rFonts w:ascii="Tahoma" w:hAnsi="Tahoma" w:cs="Tahoma"/>
          <w:i/>
          <w:sz w:val="22"/>
        </w:rPr>
        <w:t xml:space="preserve"> (C.E. </w:t>
      </w:r>
      <w:proofErr w:type="spellStart"/>
      <w:r w:rsidRPr="0045716B">
        <w:rPr>
          <w:rFonts w:ascii="Tahoma" w:hAnsi="Tahoma" w:cs="Tahoma"/>
          <w:i/>
          <w:sz w:val="22"/>
        </w:rPr>
        <w:t>sent</w:t>
      </w:r>
      <w:proofErr w:type="spellEnd"/>
      <w:r w:rsidRPr="0045716B">
        <w:rPr>
          <w:rFonts w:ascii="Tahoma" w:hAnsi="Tahoma" w:cs="Tahoma"/>
          <w:i/>
          <w:sz w:val="22"/>
        </w:rPr>
        <w:t xml:space="preserve">. dic. 14/88; </w:t>
      </w:r>
      <w:proofErr w:type="spellStart"/>
      <w:r w:rsidRPr="0045716B">
        <w:rPr>
          <w:rFonts w:ascii="Tahoma" w:hAnsi="Tahoma" w:cs="Tahoma"/>
          <w:i/>
          <w:sz w:val="22"/>
        </w:rPr>
        <w:t>exp</w:t>
      </w:r>
      <w:proofErr w:type="spellEnd"/>
      <w:r w:rsidRPr="0045716B">
        <w:rPr>
          <w:rFonts w:ascii="Tahoma" w:hAnsi="Tahoma" w:cs="Tahoma"/>
          <w:i/>
          <w:sz w:val="22"/>
        </w:rPr>
        <w:t xml:space="preserve">. 1661); o el </w:t>
      </w:r>
      <w:r w:rsidRPr="004B7C9A">
        <w:rPr>
          <w:rFonts w:ascii="Tahoma" w:hAnsi="Tahoma" w:cs="Tahoma"/>
          <w:i/>
          <w:sz w:val="22"/>
        </w:rPr>
        <w:t>contrato</w:t>
      </w:r>
      <w:r w:rsidRPr="0045716B">
        <w:rPr>
          <w:rFonts w:ascii="Tahoma" w:hAnsi="Tahoma" w:cs="Tahoma"/>
          <w:i/>
          <w:sz w:val="22"/>
        </w:rPr>
        <w:t xml:space="preserve"> de locación con la compraventa, que es una variante de la anterior, en cuanto las partes, al finalizar el arrendamiento, podrían ajustar una venta en la que se imputaría al precio una parte de los cánones previamente percibidos…</w:t>
      </w:r>
    </w:p>
    <w:p w:rsidR="007012A1" w:rsidRPr="0045716B" w:rsidRDefault="007012A1" w:rsidP="0045716B">
      <w:pPr>
        <w:widowControl w:val="0"/>
        <w:autoSpaceDE w:val="0"/>
        <w:autoSpaceDN w:val="0"/>
        <w:adjustRightInd w:val="0"/>
        <w:ind w:left="426" w:right="420"/>
        <w:jc w:val="both"/>
        <w:rPr>
          <w:rFonts w:ascii="Tahoma" w:hAnsi="Tahoma" w:cs="Tahoma"/>
          <w:i/>
          <w:sz w:val="22"/>
        </w:rPr>
      </w:pPr>
    </w:p>
    <w:p w:rsidR="007012A1" w:rsidRPr="0045716B" w:rsidRDefault="007012A1" w:rsidP="0045716B">
      <w:pPr>
        <w:widowControl w:val="0"/>
        <w:autoSpaceDE w:val="0"/>
        <w:autoSpaceDN w:val="0"/>
        <w:adjustRightInd w:val="0"/>
        <w:ind w:left="426" w:right="420"/>
        <w:jc w:val="both"/>
        <w:rPr>
          <w:rFonts w:ascii="Tahoma" w:hAnsi="Tahoma" w:cs="Tahoma"/>
          <w:i/>
          <w:sz w:val="22"/>
        </w:rPr>
      </w:pPr>
      <w:r w:rsidRPr="0045716B">
        <w:rPr>
          <w:rFonts w:ascii="Tahoma" w:hAnsi="Tahoma" w:cs="Tahoma"/>
          <w:i/>
          <w:sz w:val="22"/>
        </w:rPr>
        <w:t xml:space="preserve">Así, aunque el leasing y el arrendamiento son contratos en virtud de los cuales se entrega la tenencia, el precio que se paga por ella en el primero responde a criterios económicos que, en parte, difieren de los que determinan el monto de la renta (p. ej.: la amortización de la inversión y los rendimientos del capital), sin que tampoco sea propio del </w:t>
      </w:r>
      <w:r w:rsidRPr="004B7C9A">
        <w:rPr>
          <w:rFonts w:ascii="Tahoma" w:hAnsi="Tahoma" w:cs="Tahoma"/>
          <w:i/>
          <w:sz w:val="22"/>
        </w:rPr>
        <w:t>contrato</w:t>
      </w:r>
      <w:r w:rsidRPr="0045716B">
        <w:rPr>
          <w:rFonts w:ascii="Tahoma" w:hAnsi="Tahoma" w:cs="Tahoma"/>
          <w:i/>
          <w:sz w:val="22"/>
        </w:rPr>
        <w:t xml:space="preserve"> de locación, como sí lo es del leasing, la existencia de una opción de compra a favor del tomador, quien, además -ello es medular en la esfera reservada a la causa </w:t>
      </w:r>
      <w:proofErr w:type="spellStart"/>
      <w:r w:rsidRPr="0045716B">
        <w:rPr>
          <w:rFonts w:ascii="Tahoma" w:hAnsi="Tahoma" w:cs="Tahoma"/>
          <w:i/>
          <w:sz w:val="22"/>
        </w:rPr>
        <w:t>negocial</w:t>
      </w:r>
      <w:proofErr w:type="spellEnd"/>
      <w:r w:rsidRPr="0045716B">
        <w:rPr>
          <w:rFonts w:ascii="Tahoma" w:hAnsi="Tahoma" w:cs="Tahoma"/>
          <w:i/>
          <w:sz w:val="22"/>
        </w:rPr>
        <w:t xml:space="preserve">-, acude a este último negocio como una legítima alternativa de financiación, a diferencia de lo que acontece en el arrendamiento, en el que milenariamente la causa del </w:t>
      </w:r>
      <w:r w:rsidRPr="004B7C9A">
        <w:rPr>
          <w:rFonts w:ascii="Tahoma" w:hAnsi="Tahoma" w:cs="Tahoma"/>
          <w:i/>
          <w:sz w:val="22"/>
        </w:rPr>
        <w:t>contrato</w:t>
      </w:r>
      <w:r w:rsidRPr="0045716B">
        <w:rPr>
          <w:rFonts w:ascii="Tahoma" w:hAnsi="Tahoma" w:cs="Tahoma"/>
          <w:i/>
          <w:sz w:val="22"/>
        </w:rPr>
        <w:t xml:space="preserve"> para el arrendatario, estriba en el disfrute de la cosa…</w:t>
      </w:r>
    </w:p>
    <w:p w:rsidR="007012A1" w:rsidRPr="0045716B" w:rsidRDefault="007012A1" w:rsidP="0045716B">
      <w:pPr>
        <w:widowControl w:val="0"/>
        <w:autoSpaceDE w:val="0"/>
        <w:autoSpaceDN w:val="0"/>
        <w:adjustRightInd w:val="0"/>
        <w:ind w:left="426" w:right="420"/>
        <w:jc w:val="both"/>
        <w:rPr>
          <w:rFonts w:ascii="Tahoma" w:hAnsi="Tahoma" w:cs="Tahoma"/>
          <w:i/>
          <w:sz w:val="22"/>
        </w:rPr>
      </w:pPr>
    </w:p>
    <w:p w:rsidR="007012A1" w:rsidRPr="0045716B" w:rsidRDefault="007012A1" w:rsidP="0045716B">
      <w:pPr>
        <w:widowControl w:val="0"/>
        <w:autoSpaceDE w:val="0"/>
        <w:autoSpaceDN w:val="0"/>
        <w:adjustRightInd w:val="0"/>
        <w:ind w:left="426" w:right="420"/>
        <w:jc w:val="both"/>
        <w:rPr>
          <w:rFonts w:ascii="Tahoma" w:hAnsi="Tahoma" w:cs="Tahoma"/>
          <w:i/>
          <w:sz w:val="22"/>
        </w:rPr>
      </w:pPr>
      <w:r w:rsidRPr="0045716B">
        <w:rPr>
          <w:rFonts w:ascii="Tahoma" w:hAnsi="Tahoma" w:cs="Tahoma"/>
          <w:i/>
          <w:sz w:val="22"/>
        </w:rPr>
        <w:t xml:space="preserve">Similares razones conducen a no acoger aquellas posturas que acoplan o engastan en el leasing, a modo de collage, diversos negocios jurídicos (pluralidad </w:t>
      </w:r>
      <w:proofErr w:type="spellStart"/>
      <w:r w:rsidRPr="0045716B">
        <w:rPr>
          <w:rFonts w:ascii="Tahoma" w:hAnsi="Tahoma" w:cs="Tahoma"/>
          <w:i/>
          <w:sz w:val="22"/>
        </w:rPr>
        <w:t>negocial</w:t>
      </w:r>
      <w:proofErr w:type="spellEnd"/>
      <w:r w:rsidRPr="0045716B">
        <w:rPr>
          <w:rFonts w:ascii="Tahoma" w:hAnsi="Tahoma" w:cs="Tahoma"/>
          <w:i/>
          <w:sz w:val="22"/>
        </w:rPr>
        <w:t xml:space="preserve">, tales como arrendamiento con opción de compra; compraventa con pacto de reserva de dominio, entre otras), habida cuenta que a través de ese expediente, in </w:t>
      </w:r>
      <w:proofErr w:type="spellStart"/>
      <w:r w:rsidRPr="0045716B">
        <w:rPr>
          <w:rFonts w:ascii="Tahoma" w:hAnsi="Tahoma" w:cs="Tahoma"/>
          <w:i/>
          <w:sz w:val="22"/>
        </w:rPr>
        <w:t>radice</w:t>
      </w:r>
      <w:proofErr w:type="spellEnd"/>
      <w:r w:rsidRPr="0045716B">
        <w:rPr>
          <w:rFonts w:ascii="Tahoma" w:hAnsi="Tahoma" w:cs="Tahoma"/>
          <w:i/>
          <w:sz w:val="22"/>
        </w:rPr>
        <w:t xml:space="preserve">, se desdibujan las razones jurídico-económicas que, en la órbita causal, motivan la celebración del </w:t>
      </w:r>
      <w:r w:rsidRPr="004B7C9A">
        <w:rPr>
          <w:rFonts w:ascii="Tahoma" w:hAnsi="Tahoma" w:cs="Tahoma"/>
          <w:i/>
          <w:sz w:val="22"/>
        </w:rPr>
        <w:t>contrato</w:t>
      </w:r>
      <w:r w:rsidRPr="0045716B">
        <w:rPr>
          <w:rFonts w:ascii="Tahoma" w:hAnsi="Tahoma" w:cs="Tahoma"/>
          <w:i/>
          <w:sz w:val="22"/>
        </w:rPr>
        <w:t xml:space="preserve">, pues, de una parte, no puede afirmarse categórica y privativamente que el usuario en el leasing siempre aspira a hacerse a la propiedad de la cosa, según se esbozó; más bien, se ha procurado -en sentido amplio- un mecanismo indirecto de financiación para servirse de la utilidad que le es intrínseca a aquél, sin menoscabo del capital de trabajo que posee, conforme a las circunstancias. De igual forma, no puede perderse de vista que la determinación del precio en el </w:t>
      </w:r>
      <w:r w:rsidRPr="004B7C9A">
        <w:rPr>
          <w:rFonts w:ascii="Tahoma" w:hAnsi="Tahoma" w:cs="Tahoma"/>
          <w:i/>
          <w:sz w:val="22"/>
        </w:rPr>
        <w:t>contrato</w:t>
      </w:r>
      <w:r w:rsidRPr="0045716B">
        <w:rPr>
          <w:rFonts w:ascii="Tahoma" w:hAnsi="Tahoma" w:cs="Tahoma"/>
          <w:i/>
          <w:sz w:val="22"/>
        </w:rPr>
        <w:t xml:space="preserve"> de leasing, tiene una fisonomía muy especial, que no responde única y exclusivamente al costo por el uso y goce concedido al arrendatario, sino que obedece, prevalentemente, a criterios financieros que van desde la utilidad propiamente dicha, pasando por la recuperación de la inversión, hasta la eventual transferencia del derecho de propiedad.</w:t>
      </w:r>
    </w:p>
    <w:p w:rsidR="007012A1" w:rsidRPr="0045716B" w:rsidRDefault="007012A1" w:rsidP="0045716B">
      <w:pPr>
        <w:widowControl w:val="0"/>
        <w:autoSpaceDE w:val="0"/>
        <w:autoSpaceDN w:val="0"/>
        <w:adjustRightInd w:val="0"/>
        <w:ind w:left="426" w:right="420"/>
        <w:jc w:val="both"/>
        <w:rPr>
          <w:rFonts w:ascii="Tahoma" w:hAnsi="Tahoma" w:cs="Tahoma"/>
          <w:i/>
          <w:sz w:val="22"/>
        </w:rPr>
      </w:pPr>
    </w:p>
    <w:p w:rsidR="007012A1" w:rsidRPr="0045716B" w:rsidRDefault="007012A1" w:rsidP="0045716B">
      <w:pPr>
        <w:widowControl w:val="0"/>
        <w:autoSpaceDE w:val="0"/>
        <w:autoSpaceDN w:val="0"/>
        <w:adjustRightInd w:val="0"/>
        <w:ind w:left="426" w:right="420"/>
        <w:jc w:val="both"/>
        <w:rPr>
          <w:rFonts w:ascii="Tahoma" w:hAnsi="Tahoma" w:cs="Tahoma"/>
          <w:i/>
          <w:sz w:val="22"/>
        </w:rPr>
      </w:pPr>
      <w:r w:rsidRPr="0045716B">
        <w:rPr>
          <w:rFonts w:ascii="Tahoma" w:hAnsi="Tahoma" w:cs="Tahoma"/>
          <w:i/>
          <w:sz w:val="22"/>
        </w:rPr>
        <w:t xml:space="preserve">Expresado en términos concisos, en obsequio a la brevedad, es preferible respetar la peculiar arquitectura jurídica del apellidado </w:t>
      </w:r>
      <w:r w:rsidRPr="004B7C9A">
        <w:rPr>
          <w:rFonts w:ascii="Tahoma" w:hAnsi="Tahoma" w:cs="Tahoma"/>
          <w:i/>
          <w:sz w:val="22"/>
        </w:rPr>
        <w:t>contrato</w:t>
      </w:r>
      <w:r w:rsidRPr="0045716B">
        <w:rPr>
          <w:rFonts w:ascii="Tahoma" w:hAnsi="Tahoma" w:cs="Tahoma"/>
          <w:i/>
          <w:sz w:val="22"/>
        </w:rPr>
        <w:t xml:space="preserve"> de leasing, antes de distorsionarlo o eclipsarlo a través del encasillamiento en rígidos compartimentos contractuales típicos, se itera, facturados con una finalidad histórica enteramente divergente, propia de las necesidades de la época, muy distintas de las que motivaron, varias centurias después, el surgimiento de este lozano acuerdo</w:t>
      </w:r>
      <w:r w:rsidRPr="0045716B">
        <w:rPr>
          <w:rFonts w:ascii="Tahoma" w:hAnsi="Tahoma" w:cs="Tahoma"/>
          <w:i/>
        </w:rPr>
        <w:t xml:space="preserve"> </w:t>
      </w:r>
      <w:proofErr w:type="spellStart"/>
      <w:r w:rsidRPr="0045716B">
        <w:rPr>
          <w:rFonts w:ascii="Tahoma" w:hAnsi="Tahoma" w:cs="Tahoma"/>
          <w:i/>
          <w:sz w:val="22"/>
        </w:rPr>
        <w:t>negocial</w:t>
      </w:r>
      <w:proofErr w:type="spellEnd"/>
      <w:r w:rsidRPr="0045716B">
        <w:rPr>
          <w:rFonts w:ascii="Tahoma" w:hAnsi="Tahoma" w:cs="Tahoma"/>
          <w:i/>
          <w:sz w:val="22"/>
        </w:rPr>
        <w:t>…</w:t>
      </w:r>
      <w:r w:rsidRPr="0045716B">
        <w:rPr>
          <w:rFonts w:ascii="Tahoma" w:hAnsi="Tahoma" w:cs="Tahoma"/>
          <w:sz w:val="22"/>
        </w:rPr>
        <w:t>”</w:t>
      </w:r>
      <w:r w:rsidRPr="0045716B">
        <w:rPr>
          <w:rStyle w:val="Refdenotaalpie"/>
          <w:rFonts w:ascii="Tahoma" w:hAnsi="Tahoma" w:cs="Tahoma"/>
          <w:i/>
          <w:sz w:val="22"/>
        </w:rPr>
        <w:footnoteReference w:id="3"/>
      </w:r>
      <w:r w:rsidRPr="0045716B">
        <w:rPr>
          <w:rFonts w:ascii="Tahoma" w:hAnsi="Tahoma" w:cs="Tahoma"/>
          <w:i/>
          <w:sz w:val="22"/>
        </w:rPr>
        <w:t>.</w:t>
      </w:r>
    </w:p>
    <w:p w:rsidR="007012A1" w:rsidRPr="0045716B" w:rsidRDefault="007012A1" w:rsidP="0045716B">
      <w:pPr>
        <w:pStyle w:val="Saludo2"/>
        <w:spacing w:line="276" w:lineRule="auto"/>
        <w:ind w:left="567" w:right="618"/>
        <w:jc w:val="both"/>
        <w:rPr>
          <w:rFonts w:ascii="Tahoma" w:hAnsi="Tahoma" w:cs="Tahoma"/>
          <w:b/>
          <w:sz w:val="24"/>
          <w:szCs w:val="24"/>
        </w:rPr>
      </w:pPr>
    </w:p>
    <w:p w:rsidR="007012A1" w:rsidRPr="0045716B" w:rsidRDefault="004456E5" w:rsidP="0045716B">
      <w:pPr>
        <w:pStyle w:val="sangria"/>
        <w:spacing w:before="0" w:beforeAutospacing="0" w:after="0" w:afterAutospacing="0" w:line="276" w:lineRule="auto"/>
        <w:jc w:val="both"/>
        <w:rPr>
          <w:rFonts w:ascii="Tahoma" w:hAnsi="Tahoma" w:cs="Tahoma"/>
        </w:rPr>
      </w:pPr>
      <w:r w:rsidRPr="0045716B">
        <w:rPr>
          <w:rFonts w:ascii="Tahoma" w:hAnsi="Tahoma" w:cs="Tahoma"/>
        </w:rPr>
        <w:t xml:space="preserve">De acuerdo con esa jurisprudencia, </w:t>
      </w:r>
      <w:r w:rsidR="007012A1" w:rsidRPr="0045716B">
        <w:rPr>
          <w:rFonts w:ascii="Tahoma" w:hAnsi="Tahoma" w:cs="Tahoma"/>
        </w:rPr>
        <w:t>es compleja pues la naturaleza jurídica del contrato de leasing, sin que pueda equiparársele al de arrendamiento como negocio típico.</w:t>
      </w:r>
    </w:p>
    <w:p w:rsidR="007012A1" w:rsidRPr="0045716B" w:rsidRDefault="007012A1" w:rsidP="0045716B">
      <w:pPr>
        <w:pStyle w:val="sangria"/>
        <w:spacing w:before="0" w:beforeAutospacing="0" w:after="0" w:afterAutospacing="0" w:line="276" w:lineRule="auto"/>
        <w:jc w:val="both"/>
        <w:rPr>
          <w:rFonts w:ascii="Tahoma" w:hAnsi="Tahoma" w:cs="Tahoma"/>
        </w:rPr>
      </w:pPr>
    </w:p>
    <w:p w:rsidR="007012A1" w:rsidRPr="0045716B" w:rsidRDefault="007012A1" w:rsidP="0045716B">
      <w:pPr>
        <w:pStyle w:val="sangria"/>
        <w:spacing w:before="0" w:beforeAutospacing="0" w:after="0" w:afterAutospacing="0" w:line="276" w:lineRule="auto"/>
        <w:jc w:val="both"/>
        <w:rPr>
          <w:rFonts w:ascii="Tahoma" w:hAnsi="Tahoma" w:cs="Tahoma"/>
        </w:rPr>
      </w:pPr>
      <w:r w:rsidRPr="0045716B">
        <w:rPr>
          <w:rFonts w:ascii="Tahoma" w:hAnsi="Tahoma" w:cs="Tahoma"/>
        </w:rPr>
        <w:t>Y para solo hacer referencia a lo que al caso interesa, el canon de arrendamiento, en el primero de ellos, se paga no solo por el disfrute del bien, sino que incluye factores financieros de diferente orden, porque el obligado puede ejercer la opción de compra. En el segundo, que define el artículo 1973 del Código Civil, ese factor está determinado exclusivamente por el goce de la cosa.</w:t>
      </w:r>
    </w:p>
    <w:p w:rsidR="007012A1" w:rsidRPr="0045716B" w:rsidRDefault="007012A1" w:rsidP="0045716B">
      <w:pPr>
        <w:pStyle w:val="sangria"/>
        <w:spacing w:before="0" w:beforeAutospacing="0" w:after="0" w:afterAutospacing="0" w:line="276" w:lineRule="auto"/>
        <w:jc w:val="both"/>
        <w:rPr>
          <w:rFonts w:ascii="Tahoma" w:hAnsi="Tahoma" w:cs="Tahoma"/>
        </w:rPr>
      </w:pPr>
    </w:p>
    <w:p w:rsidR="004456E5" w:rsidRPr="0045716B" w:rsidRDefault="007012A1" w:rsidP="0045716B">
      <w:pPr>
        <w:pStyle w:val="sangria"/>
        <w:tabs>
          <w:tab w:val="left" w:pos="4253"/>
        </w:tabs>
        <w:spacing w:before="0" w:beforeAutospacing="0" w:after="0" w:afterAutospacing="0" w:line="276" w:lineRule="auto"/>
        <w:jc w:val="both"/>
        <w:rPr>
          <w:rFonts w:ascii="Tahoma" w:hAnsi="Tahoma" w:cs="Tahoma"/>
        </w:rPr>
      </w:pPr>
      <w:r w:rsidRPr="0045716B">
        <w:rPr>
          <w:rFonts w:ascii="Tahoma" w:hAnsi="Tahoma" w:cs="Tahoma"/>
        </w:rPr>
        <w:t xml:space="preserve">En el asunto bajo examen no se intenta obtener la terminación de un contrato de arrendamiento de esta última </w:t>
      </w:r>
      <w:r w:rsidR="004456E5" w:rsidRPr="0045716B">
        <w:rPr>
          <w:rFonts w:ascii="Tahoma" w:hAnsi="Tahoma" w:cs="Tahoma"/>
        </w:rPr>
        <w:t>clase; lo</w:t>
      </w:r>
      <w:r w:rsidRPr="0045716B">
        <w:rPr>
          <w:rFonts w:ascii="Tahoma" w:hAnsi="Tahoma" w:cs="Tahoma"/>
        </w:rPr>
        <w:t xml:space="preserve"> que efectivamente se pretende es la termi</w:t>
      </w:r>
      <w:r w:rsidR="004456E5" w:rsidRPr="0045716B">
        <w:rPr>
          <w:rFonts w:ascii="Tahoma" w:hAnsi="Tahoma" w:cs="Tahoma"/>
        </w:rPr>
        <w:t xml:space="preserve">nación de un contrato de leasing habitacional para adquisición de vivienda no familiar. </w:t>
      </w:r>
    </w:p>
    <w:p w:rsidR="007012A1" w:rsidRPr="0045716B" w:rsidRDefault="007012A1" w:rsidP="0045716B">
      <w:pPr>
        <w:pStyle w:val="sangria"/>
        <w:spacing w:before="0" w:beforeAutospacing="0" w:after="0" w:afterAutospacing="0" w:line="276" w:lineRule="auto"/>
        <w:jc w:val="both"/>
        <w:rPr>
          <w:rFonts w:ascii="Tahoma" w:hAnsi="Tahoma" w:cs="Tahoma"/>
        </w:rPr>
      </w:pPr>
    </w:p>
    <w:p w:rsidR="00466965" w:rsidRPr="0045716B" w:rsidRDefault="004456E5" w:rsidP="0045716B">
      <w:pPr>
        <w:pStyle w:val="sangria"/>
        <w:tabs>
          <w:tab w:val="left" w:pos="4253"/>
        </w:tabs>
        <w:spacing w:before="0" w:beforeAutospacing="0" w:after="0" w:afterAutospacing="0" w:line="276" w:lineRule="auto"/>
        <w:jc w:val="both"/>
        <w:rPr>
          <w:rFonts w:ascii="Tahoma" w:hAnsi="Tahoma" w:cs="Tahoma"/>
        </w:rPr>
      </w:pPr>
      <w:r w:rsidRPr="0045716B">
        <w:rPr>
          <w:rFonts w:ascii="Tahoma" w:hAnsi="Tahoma" w:cs="Tahoma"/>
        </w:rPr>
        <w:t xml:space="preserve">No se está pues frente a </w:t>
      </w:r>
      <w:r w:rsidR="00466965" w:rsidRPr="0045716B">
        <w:rPr>
          <w:rFonts w:ascii="Tahoma" w:hAnsi="Tahoma" w:cs="Tahoma"/>
        </w:rPr>
        <w:t xml:space="preserve">negocio típico </w:t>
      </w:r>
      <w:r w:rsidRPr="0045716B">
        <w:rPr>
          <w:rFonts w:ascii="Tahoma" w:hAnsi="Tahoma" w:cs="Tahoma"/>
        </w:rPr>
        <w:t xml:space="preserve">que justifique determinar la cuantía del proceso en la forma como lo pretende la apoderada de la parte actora. Por ende, aquel factor de competencia debe establecerse en la forma como lo propuso el juzgado de primera sede, con fundamento en la </w:t>
      </w:r>
      <w:r w:rsidR="00466965" w:rsidRPr="0045716B">
        <w:rPr>
          <w:rFonts w:ascii="Tahoma" w:hAnsi="Tahoma" w:cs="Tahoma"/>
        </w:rPr>
        <w:t>parte final del artículo 26, numeral 6º del Código General del Proceso.</w:t>
      </w:r>
    </w:p>
    <w:p w:rsidR="00466965" w:rsidRPr="0045716B" w:rsidRDefault="00466965" w:rsidP="0045716B">
      <w:pPr>
        <w:pStyle w:val="sangria"/>
        <w:spacing w:before="0" w:beforeAutospacing="0" w:after="0" w:afterAutospacing="0" w:line="276" w:lineRule="auto"/>
        <w:jc w:val="both"/>
        <w:rPr>
          <w:rFonts w:ascii="Tahoma" w:hAnsi="Tahoma" w:cs="Tahoma"/>
        </w:rPr>
      </w:pPr>
    </w:p>
    <w:p w:rsidR="00466965" w:rsidRPr="0045716B" w:rsidRDefault="00466965" w:rsidP="0045716B">
      <w:pPr>
        <w:spacing w:line="276" w:lineRule="auto"/>
        <w:jc w:val="both"/>
        <w:rPr>
          <w:rFonts w:ascii="Tahoma" w:hAnsi="Tahoma" w:cs="Tahoma"/>
        </w:rPr>
      </w:pPr>
      <w:r w:rsidRPr="0045716B">
        <w:rPr>
          <w:rFonts w:ascii="Tahoma" w:hAnsi="Tahoma" w:cs="Tahoma"/>
        </w:rPr>
        <w:t xml:space="preserve">6. </w:t>
      </w:r>
      <w:r w:rsidR="004456E5" w:rsidRPr="0045716B">
        <w:rPr>
          <w:rFonts w:ascii="Tahoma" w:hAnsi="Tahoma" w:cs="Tahoma"/>
        </w:rPr>
        <w:t xml:space="preserve">Así las cosas, se confirmará </w:t>
      </w:r>
      <w:r w:rsidRPr="0045716B">
        <w:rPr>
          <w:rFonts w:ascii="Tahoma" w:hAnsi="Tahoma" w:cs="Tahoma"/>
        </w:rPr>
        <w:t>el auto impugnado</w:t>
      </w:r>
      <w:r w:rsidR="004456E5" w:rsidRPr="0045716B">
        <w:rPr>
          <w:rFonts w:ascii="Tahoma" w:hAnsi="Tahoma" w:cs="Tahoma"/>
        </w:rPr>
        <w:t xml:space="preserve">, </w:t>
      </w:r>
      <w:r w:rsidRPr="0045716B">
        <w:rPr>
          <w:rFonts w:ascii="Tahoma" w:hAnsi="Tahoma" w:cs="Tahoma"/>
        </w:rPr>
        <w:t>que rechazó la demanda</w:t>
      </w:r>
      <w:r w:rsidR="004456E5" w:rsidRPr="0045716B">
        <w:rPr>
          <w:rFonts w:ascii="Tahoma" w:hAnsi="Tahoma" w:cs="Tahoma"/>
        </w:rPr>
        <w:t xml:space="preserve"> porque no se corrigió, dentro de la oportunidad legal</w:t>
      </w:r>
      <w:r w:rsidR="000A3659" w:rsidRPr="0045716B">
        <w:rPr>
          <w:rFonts w:ascii="Tahoma" w:hAnsi="Tahoma" w:cs="Tahoma"/>
        </w:rPr>
        <w:t>,</w:t>
      </w:r>
      <w:r w:rsidR="004456E5" w:rsidRPr="0045716B">
        <w:rPr>
          <w:rFonts w:ascii="Tahoma" w:hAnsi="Tahoma" w:cs="Tahoma"/>
        </w:rPr>
        <w:t xml:space="preserve"> el vicio que presentaba, </w:t>
      </w:r>
      <w:r w:rsidRPr="0045716B">
        <w:rPr>
          <w:rFonts w:ascii="Tahoma" w:hAnsi="Tahoma" w:cs="Tahoma"/>
        </w:rPr>
        <w:t>sin que haya lugar a imponer condena en costas al recurrente, porque no aparecen causadas.</w:t>
      </w:r>
    </w:p>
    <w:p w:rsidR="00466965" w:rsidRPr="0045716B" w:rsidRDefault="00466965" w:rsidP="0045716B">
      <w:pPr>
        <w:spacing w:line="276" w:lineRule="auto"/>
        <w:jc w:val="both"/>
        <w:rPr>
          <w:rFonts w:ascii="Tahoma" w:hAnsi="Tahoma" w:cs="Tahoma"/>
        </w:rPr>
      </w:pPr>
    </w:p>
    <w:p w:rsidR="00466965" w:rsidRPr="0045716B" w:rsidRDefault="004456E5" w:rsidP="0045716B">
      <w:pPr>
        <w:widowControl w:val="0"/>
        <w:autoSpaceDE w:val="0"/>
        <w:autoSpaceDN w:val="0"/>
        <w:adjustRightInd w:val="0"/>
        <w:spacing w:line="276" w:lineRule="auto"/>
        <w:jc w:val="both"/>
        <w:rPr>
          <w:rFonts w:ascii="Tahoma" w:hAnsi="Tahoma" w:cs="Tahoma"/>
          <w:bCs/>
          <w:lang w:val="es-ES_tradnl"/>
        </w:rPr>
      </w:pPr>
      <w:r w:rsidRPr="0045716B">
        <w:rPr>
          <w:rFonts w:ascii="Tahoma" w:hAnsi="Tahoma" w:cs="Tahoma"/>
        </w:rPr>
        <w:t xml:space="preserve">7. </w:t>
      </w:r>
      <w:r w:rsidR="00466965" w:rsidRPr="0045716B">
        <w:rPr>
          <w:rFonts w:ascii="Tahoma" w:hAnsi="Tahoma" w:cs="Tahoma"/>
        </w:rPr>
        <w:t xml:space="preserve">En tal forma, se ha producido en esta Sala un cambio de criterio, pues en el proceso </w:t>
      </w:r>
      <w:r w:rsidR="00466965" w:rsidRPr="0045716B">
        <w:rPr>
          <w:rFonts w:ascii="Tahoma" w:hAnsi="Tahoma" w:cs="Tahoma"/>
          <w:lang w:val="es-ES_tradnl"/>
        </w:rPr>
        <w:t>66001-31-03-003-2015-00860-01, que guarda idéntica simetría al presente, se profirió auto el 29 de febrero de 2016, en el que se revocó el auto de primera instancia, por medio del cual se rechazaba la demanda porque la parte demandante no había indicado el valor del avalúo catastral del inmueble objeto del contrato de leasing.  Cambio que obedece al nuevo análisis que se hizo de la cuestión con</w:t>
      </w:r>
      <w:r w:rsidRPr="0045716B">
        <w:rPr>
          <w:rFonts w:ascii="Tahoma" w:hAnsi="Tahoma" w:cs="Tahoma"/>
          <w:lang w:val="es-ES_tradnl"/>
        </w:rPr>
        <w:t xml:space="preserve"> apoyo en </w:t>
      </w:r>
      <w:r w:rsidR="00466965" w:rsidRPr="0045716B">
        <w:rPr>
          <w:rFonts w:ascii="Tahoma" w:hAnsi="Tahoma" w:cs="Tahoma"/>
          <w:lang w:val="es-ES_tradnl"/>
        </w:rPr>
        <w:t>jurisprudencia</w:t>
      </w:r>
      <w:r w:rsidRPr="0045716B">
        <w:rPr>
          <w:rFonts w:ascii="Tahoma" w:hAnsi="Tahoma" w:cs="Tahoma"/>
          <w:lang w:val="es-ES_tradnl"/>
        </w:rPr>
        <w:t xml:space="preserve"> como la que se citó en esta providencia.</w:t>
      </w:r>
      <w:r w:rsidR="00466965" w:rsidRPr="0045716B">
        <w:rPr>
          <w:rFonts w:ascii="Tahoma" w:hAnsi="Tahoma" w:cs="Tahoma"/>
          <w:lang w:val="es-ES_tradnl"/>
        </w:rPr>
        <w:t xml:space="preserve">    </w:t>
      </w:r>
    </w:p>
    <w:p w:rsidR="00466965" w:rsidRPr="0045716B" w:rsidRDefault="00466965" w:rsidP="0045716B">
      <w:pPr>
        <w:pStyle w:val="Textoindependiente2"/>
        <w:widowControl/>
        <w:suppressAutoHyphens w:val="0"/>
        <w:spacing w:line="276" w:lineRule="auto"/>
        <w:rPr>
          <w:rFonts w:ascii="Tahoma" w:hAnsi="Tahoma" w:cs="Tahoma"/>
          <w:b w:val="0"/>
          <w:sz w:val="24"/>
          <w:szCs w:val="24"/>
        </w:rPr>
      </w:pPr>
    </w:p>
    <w:p w:rsidR="00466965" w:rsidRDefault="00466965" w:rsidP="0045716B">
      <w:pPr>
        <w:suppressAutoHyphens/>
        <w:spacing w:line="276" w:lineRule="auto"/>
        <w:jc w:val="both"/>
        <w:rPr>
          <w:rFonts w:ascii="Tahoma" w:hAnsi="Tahoma" w:cs="Tahoma"/>
        </w:rPr>
      </w:pPr>
      <w:r w:rsidRPr="0045716B">
        <w:rPr>
          <w:rFonts w:ascii="Tahoma" w:hAnsi="Tahoma" w:cs="Tahoma"/>
        </w:rPr>
        <w:t>En mérito de lo expuesto, el Tribunal Superior del Distrito Judicial de Pereira, en</w:t>
      </w:r>
      <w:r w:rsidR="0045716B">
        <w:rPr>
          <w:rFonts w:ascii="Tahoma" w:hAnsi="Tahoma" w:cs="Tahoma"/>
        </w:rPr>
        <w:t xml:space="preserve"> Sala Unitaria Civil - Familia,</w:t>
      </w:r>
    </w:p>
    <w:p w:rsidR="0045716B" w:rsidRPr="0045716B" w:rsidRDefault="0045716B" w:rsidP="0045716B">
      <w:pPr>
        <w:suppressAutoHyphens/>
        <w:spacing w:line="276" w:lineRule="auto"/>
        <w:jc w:val="both"/>
        <w:rPr>
          <w:rFonts w:ascii="Tahoma" w:hAnsi="Tahoma" w:cs="Tahoma"/>
        </w:rPr>
      </w:pPr>
    </w:p>
    <w:p w:rsidR="00466965" w:rsidRPr="0045716B" w:rsidRDefault="00466965" w:rsidP="0045716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b/>
          <w:bCs/>
          <w:lang w:val="es-ES_tradnl"/>
        </w:rPr>
      </w:pPr>
      <w:r w:rsidRPr="0045716B">
        <w:rPr>
          <w:rFonts w:ascii="Tahoma" w:hAnsi="Tahoma" w:cs="Tahoma"/>
          <w:b/>
          <w:bCs/>
          <w:lang w:val="es-ES_tradnl"/>
        </w:rPr>
        <w:t>R E S U E L V E:</w:t>
      </w:r>
    </w:p>
    <w:p w:rsidR="00F82E58" w:rsidRPr="0045716B" w:rsidRDefault="00F82E58" w:rsidP="0045716B">
      <w:pPr>
        <w:widowControl w:val="0"/>
        <w:autoSpaceDE w:val="0"/>
        <w:autoSpaceDN w:val="0"/>
        <w:adjustRightInd w:val="0"/>
        <w:spacing w:line="276" w:lineRule="auto"/>
        <w:jc w:val="both"/>
        <w:rPr>
          <w:rFonts w:ascii="Tahoma" w:hAnsi="Tahoma" w:cs="Tahoma"/>
          <w:bCs/>
          <w:lang w:val="es-ES_tradnl"/>
        </w:rPr>
      </w:pPr>
    </w:p>
    <w:p w:rsidR="00466965" w:rsidRPr="0045716B" w:rsidRDefault="00466965" w:rsidP="0045716B">
      <w:pPr>
        <w:widowControl w:val="0"/>
        <w:autoSpaceDE w:val="0"/>
        <w:autoSpaceDN w:val="0"/>
        <w:adjustRightInd w:val="0"/>
        <w:spacing w:line="276" w:lineRule="auto"/>
        <w:jc w:val="both"/>
        <w:rPr>
          <w:rFonts w:ascii="Tahoma" w:hAnsi="Tahoma" w:cs="Tahoma"/>
          <w:lang w:val="es-ES_tradnl"/>
        </w:rPr>
      </w:pPr>
      <w:r w:rsidRPr="0045716B">
        <w:rPr>
          <w:rFonts w:ascii="Tahoma" w:hAnsi="Tahoma" w:cs="Tahoma"/>
          <w:bCs/>
          <w:lang w:val="es-ES_tradnl"/>
        </w:rPr>
        <w:t xml:space="preserve">1º CONFIRMAR el auto </w:t>
      </w:r>
      <w:r w:rsidRPr="0045716B">
        <w:rPr>
          <w:rFonts w:ascii="Tahoma" w:hAnsi="Tahoma" w:cs="Tahoma"/>
          <w:lang w:val="es-ES_tradnl"/>
        </w:rPr>
        <w:t xml:space="preserve">proferido por el Juzgado Primero Civil del Circuito de Pereira, el 18 de octubre pasado, en el proceso instaurado por Banco Bilbao </w:t>
      </w:r>
      <w:proofErr w:type="spellStart"/>
      <w:r w:rsidRPr="0045716B">
        <w:rPr>
          <w:rFonts w:ascii="Tahoma" w:hAnsi="Tahoma" w:cs="Tahoma"/>
          <w:lang w:val="es-ES_tradnl"/>
        </w:rPr>
        <w:t>Viscaya</w:t>
      </w:r>
      <w:proofErr w:type="spellEnd"/>
      <w:r w:rsidRPr="0045716B">
        <w:rPr>
          <w:rFonts w:ascii="Tahoma" w:hAnsi="Tahoma" w:cs="Tahoma"/>
          <w:lang w:val="es-ES_tradnl"/>
        </w:rPr>
        <w:t xml:space="preserve"> Argentaria Colombia </w:t>
      </w:r>
      <w:proofErr w:type="spellStart"/>
      <w:r w:rsidRPr="0045716B">
        <w:rPr>
          <w:rFonts w:ascii="Tahoma" w:hAnsi="Tahoma" w:cs="Tahoma"/>
          <w:lang w:val="es-ES_tradnl"/>
        </w:rPr>
        <w:t>S.A</w:t>
      </w:r>
      <w:proofErr w:type="spellEnd"/>
      <w:r w:rsidRPr="0045716B">
        <w:rPr>
          <w:rFonts w:ascii="Tahoma" w:hAnsi="Tahoma" w:cs="Tahoma"/>
          <w:lang w:val="es-ES_tradnl"/>
        </w:rPr>
        <w:t xml:space="preserve"> “BBVA COLOMBIA”, contra Tomas José </w:t>
      </w:r>
      <w:proofErr w:type="spellStart"/>
      <w:r w:rsidRPr="0045716B">
        <w:rPr>
          <w:rFonts w:ascii="Tahoma" w:hAnsi="Tahoma" w:cs="Tahoma"/>
          <w:lang w:val="es-ES_tradnl"/>
        </w:rPr>
        <w:t>Granobles</w:t>
      </w:r>
      <w:proofErr w:type="spellEnd"/>
      <w:r w:rsidRPr="0045716B">
        <w:rPr>
          <w:rFonts w:ascii="Tahoma" w:hAnsi="Tahoma" w:cs="Tahoma"/>
          <w:lang w:val="es-ES_tradnl"/>
        </w:rPr>
        <w:t xml:space="preserve"> Pacheco.</w:t>
      </w:r>
    </w:p>
    <w:p w:rsidR="00466965" w:rsidRPr="0045716B" w:rsidRDefault="00466965" w:rsidP="0045716B">
      <w:pPr>
        <w:widowControl w:val="0"/>
        <w:autoSpaceDE w:val="0"/>
        <w:autoSpaceDN w:val="0"/>
        <w:adjustRightInd w:val="0"/>
        <w:spacing w:line="276" w:lineRule="auto"/>
        <w:jc w:val="both"/>
        <w:rPr>
          <w:rFonts w:ascii="Tahoma" w:hAnsi="Tahoma" w:cs="Tahoma"/>
          <w:lang w:val="es-ES_tradnl"/>
        </w:rPr>
      </w:pPr>
    </w:p>
    <w:p w:rsidR="00466965" w:rsidRPr="0045716B" w:rsidRDefault="00466965" w:rsidP="0045716B">
      <w:pPr>
        <w:widowControl w:val="0"/>
        <w:autoSpaceDE w:val="0"/>
        <w:autoSpaceDN w:val="0"/>
        <w:adjustRightInd w:val="0"/>
        <w:spacing w:line="276" w:lineRule="auto"/>
        <w:ind w:right="51"/>
        <w:jc w:val="both"/>
        <w:rPr>
          <w:rFonts w:ascii="Tahoma" w:hAnsi="Tahoma" w:cs="Tahoma"/>
          <w:bCs/>
          <w:lang w:val="es-ES_tradnl"/>
        </w:rPr>
      </w:pPr>
      <w:r w:rsidRPr="0045716B">
        <w:rPr>
          <w:rFonts w:ascii="Tahoma" w:hAnsi="Tahoma" w:cs="Tahoma"/>
          <w:bCs/>
          <w:lang w:val="es-ES_tradnl"/>
        </w:rPr>
        <w:t>2º Sin costas.</w:t>
      </w:r>
    </w:p>
    <w:p w:rsidR="00466965" w:rsidRPr="0045716B" w:rsidRDefault="00466965" w:rsidP="0045716B">
      <w:pPr>
        <w:widowControl w:val="0"/>
        <w:autoSpaceDE w:val="0"/>
        <w:autoSpaceDN w:val="0"/>
        <w:adjustRightInd w:val="0"/>
        <w:spacing w:line="276" w:lineRule="auto"/>
        <w:ind w:right="51"/>
        <w:jc w:val="both"/>
        <w:rPr>
          <w:rFonts w:ascii="Tahoma" w:hAnsi="Tahoma" w:cs="Tahoma"/>
          <w:bCs/>
          <w:lang w:val="es-ES_tradnl"/>
        </w:rPr>
      </w:pPr>
    </w:p>
    <w:p w:rsidR="00466965" w:rsidRPr="0045716B" w:rsidRDefault="00466965" w:rsidP="0045716B">
      <w:pPr>
        <w:widowControl w:val="0"/>
        <w:autoSpaceDE w:val="0"/>
        <w:autoSpaceDN w:val="0"/>
        <w:adjustRightInd w:val="0"/>
        <w:spacing w:line="276" w:lineRule="auto"/>
        <w:ind w:right="51"/>
        <w:jc w:val="both"/>
        <w:rPr>
          <w:rFonts w:ascii="Tahoma" w:hAnsi="Tahoma" w:cs="Tahoma"/>
          <w:bCs/>
          <w:lang w:val="es-ES_tradnl"/>
        </w:rPr>
      </w:pPr>
      <w:r w:rsidRPr="0045716B">
        <w:rPr>
          <w:rFonts w:ascii="Tahoma" w:hAnsi="Tahoma" w:cs="Tahoma"/>
          <w:bCs/>
          <w:lang w:val="es-ES_tradnl"/>
        </w:rPr>
        <w:t>3º Ejecutoriado el presente auto, vuelva el proceso al juzgado de origen.</w:t>
      </w:r>
    </w:p>
    <w:p w:rsidR="00466965" w:rsidRPr="0045716B" w:rsidRDefault="00466965" w:rsidP="0045716B">
      <w:pPr>
        <w:widowControl w:val="0"/>
        <w:autoSpaceDE w:val="0"/>
        <w:autoSpaceDN w:val="0"/>
        <w:adjustRightInd w:val="0"/>
        <w:spacing w:line="276" w:lineRule="auto"/>
        <w:ind w:right="51"/>
        <w:jc w:val="both"/>
        <w:rPr>
          <w:rFonts w:ascii="Tahoma" w:hAnsi="Tahoma" w:cs="Tahoma"/>
          <w:bCs/>
          <w:lang w:val="es-ES_tradnl"/>
        </w:rPr>
      </w:pPr>
    </w:p>
    <w:p w:rsidR="00466965" w:rsidRPr="0045716B" w:rsidRDefault="00466965" w:rsidP="0045716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bCs/>
          <w:lang w:val="es-ES_tradnl"/>
        </w:rPr>
      </w:pPr>
      <w:r w:rsidRPr="0045716B">
        <w:rPr>
          <w:rFonts w:ascii="Tahoma" w:hAnsi="Tahoma" w:cs="Tahoma"/>
          <w:bCs/>
          <w:lang w:val="es-ES_tradnl"/>
        </w:rPr>
        <w:t>Notifíquese,</w:t>
      </w:r>
    </w:p>
    <w:p w:rsidR="00466965" w:rsidRPr="0045716B" w:rsidRDefault="00466965" w:rsidP="0045716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lang w:val="es-ES_tradnl"/>
        </w:rPr>
      </w:pPr>
    </w:p>
    <w:p w:rsidR="00466965" w:rsidRPr="0045716B" w:rsidRDefault="00466965" w:rsidP="0045716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lang w:val="es-ES_tradnl"/>
        </w:rPr>
      </w:pPr>
      <w:r w:rsidRPr="0045716B">
        <w:rPr>
          <w:rFonts w:ascii="Tahoma" w:hAnsi="Tahoma" w:cs="Tahoma"/>
          <w:lang w:val="es-ES_tradnl"/>
        </w:rPr>
        <w:t>La Magistrada,</w:t>
      </w:r>
    </w:p>
    <w:p w:rsidR="00466965" w:rsidRPr="0045716B" w:rsidRDefault="00466965" w:rsidP="0045716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lang w:val="es-ES_tradnl"/>
        </w:rPr>
      </w:pPr>
    </w:p>
    <w:p w:rsidR="00971499" w:rsidRPr="0045716B" w:rsidRDefault="00971499" w:rsidP="0045716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lang w:val="es-ES_tradnl"/>
        </w:rPr>
      </w:pPr>
    </w:p>
    <w:p w:rsidR="00466965" w:rsidRPr="0045716B" w:rsidRDefault="00466965" w:rsidP="0045716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lang w:val="es-ES_tradnl"/>
        </w:rPr>
      </w:pPr>
    </w:p>
    <w:p w:rsidR="00466965" w:rsidRPr="0045716B" w:rsidRDefault="00466965" w:rsidP="004B7C9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lang w:val="es-ES_tradnl"/>
        </w:rPr>
      </w:pPr>
      <w:r w:rsidRPr="0045716B">
        <w:rPr>
          <w:rFonts w:ascii="Tahoma" w:hAnsi="Tahoma" w:cs="Tahoma"/>
          <w:b/>
          <w:bCs/>
          <w:lang w:val="es-ES_tradnl"/>
        </w:rPr>
        <w:tab/>
      </w:r>
      <w:r w:rsidRPr="0045716B">
        <w:rPr>
          <w:rFonts w:ascii="Tahoma" w:hAnsi="Tahoma" w:cs="Tahoma"/>
          <w:b/>
          <w:bCs/>
          <w:lang w:val="es-ES_tradnl"/>
        </w:rPr>
        <w:tab/>
      </w:r>
      <w:r w:rsidRPr="0045716B">
        <w:rPr>
          <w:rFonts w:ascii="Tahoma" w:hAnsi="Tahoma" w:cs="Tahoma"/>
          <w:b/>
          <w:bCs/>
          <w:lang w:val="es-ES_tradnl"/>
        </w:rPr>
        <w:tab/>
        <w:t>CLAUDIA MARÍA ARCILA RÍOS</w:t>
      </w:r>
    </w:p>
    <w:sectPr w:rsidR="00466965" w:rsidRPr="0045716B" w:rsidSect="0045716B">
      <w:footerReference w:type="default" r:id="rId9"/>
      <w:pgSz w:w="12242" w:h="18722" w:code="14"/>
      <w:pgMar w:top="1871" w:right="1304" w:bottom="1304" w:left="1871"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8D" w:rsidRDefault="0016438D" w:rsidP="002808F8">
      <w:r>
        <w:separator/>
      </w:r>
    </w:p>
  </w:endnote>
  <w:endnote w:type="continuationSeparator" w:id="0">
    <w:p w:rsidR="0016438D" w:rsidRDefault="0016438D" w:rsidP="0028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B3" w:rsidRPr="0045716B" w:rsidRDefault="00D629A1">
    <w:pPr>
      <w:pStyle w:val="Piedepgina"/>
      <w:jc w:val="right"/>
      <w:rPr>
        <w:rFonts w:ascii="Arial" w:hAnsi="Arial" w:cs="Arial"/>
        <w:sz w:val="18"/>
      </w:rPr>
    </w:pPr>
    <w:r w:rsidRPr="0045716B">
      <w:rPr>
        <w:rFonts w:ascii="Arial" w:hAnsi="Arial" w:cs="Arial"/>
        <w:sz w:val="18"/>
      </w:rPr>
      <w:fldChar w:fldCharType="begin"/>
    </w:r>
    <w:r w:rsidRPr="0045716B">
      <w:rPr>
        <w:rFonts w:ascii="Arial" w:hAnsi="Arial" w:cs="Arial"/>
        <w:sz w:val="18"/>
      </w:rPr>
      <w:instrText>PAGE   \* MERGEFORMAT</w:instrText>
    </w:r>
    <w:r w:rsidRPr="0045716B">
      <w:rPr>
        <w:rFonts w:ascii="Arial" w:hAnsi="Arial" w:cs="Arial"/>
        <w:sz w:val="18"/>
      </w:rPr>
      <w:fldChar w:fldCharType="separate"/>
    </w:r>
    <w:r w:rsidR="00CD723D">
      <w:rPr>
        <w:rFonts w:ascii="Arial" w:hAnsi="Arial" w:cs="Arial"/>
        <w:noProof/>
        <w:sz w:val="18"/>
      </w:rPr>
      <w:t>1</w:t>
    </w:r>
    <w:r w:rsidRPr="0045716B">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8D" w:rsidRDefault="0016438D" w:rsidP="002808F8">
      <w:r>
        <w:separator/>
      </w:r>
    </w:p>
  </w:footnote>
  <w:footnote w:type="continuationSeparator" w:id="0">
    <w:p w:rsidR="0016438D" w:rsidRDefault="0016438D" w:rsidP="002808F8">
      <w:r>
        <w:continuationSeparator/>
      </w:r>
    </w:p>
  </w:footnote>
  <w:footnote w:id="1">
    <w:p w:rsidR="00466965" w:rsidRPr="0045716B" w:rsidRDefault="00466965" w:rsidP="0045716B">
      <w:pPr>
        <w:pStyle w:val="Textonotapie"/>
        <w:jc w:val="both"/>
        <w:rPr>
          <w:rFonts w:ascii="Arial" w:hAnsi="Arial" w:cs="Arial"/>
          <w:sz w:val="18"/>
          <w:szCs w:val="18"/>
          <w:lang w:val="es-CO"/>
        </w:rPr>
      </w:pPr>
      <w:r w:rsidRPr="0045716B">
        <w:rPr>
          <w:rStyle w:val="Refdenotaalpie"/>
          <w:rFonts w:ascii="Arial" w:hAnsi="Arial" w:cs="Arial"/>
          <w:sz w:val="18"/>
          <w:szCs w:val="18"/>
        </w:rPr>
        <w:footnoteRef/>
      </w:r>
      <w:r w:rsidRPr="0045716B">
        <w:rPr>
          <w:rFonts w:ascii="Arial" w:hAnsi="Arial" w:cs="Arial"/>
          <w:sz w:val="18"/>
          <w:szCs w:val="18"/>
        </w:rPr>
        <w:t xml:space="preserve"> </w:t>
      </w:r>
      <w:r w:rsidRPr="0045716B">
        <w:rPr>
          <w:rFonts w:ascii="Arial" w:hAnsi="Arial" w:cs="Arial"/>
          <w:sz w:val="18"/>
          <w:szCs w:val="18"/>
          <w:lang w:val="es-CO"/>
        </w:rPr>
        <w:t>Folio 46, cuaderno No. 1</w:t>
      </w:r>
    </w:p>
  </w:footnote>
  <w:footnote w:id="2">
    <w:p w:rsidR="00466965" w:rsidRPr="0045716B" w:rsidRDefault="00466965" w:rsidP="0045716B">
      <w:pPr>
        <w:pStyle w:val="Textonotapie"/>
        <w:jc w:val="both"/>
        <w:rPr>
          <w:rFonts w:ascii="Arial" w:hAnsi="Arial" w:cs="Arial"/>
          <w:sz w:val="18"/>
          <w:szCs w:val="18"/>
          <w:lang w:val="es-CO"/>
        </w:rPr>
      </w:pPr>
      <w:r w:rsidRPr="0045716B">
        <w:rPr>
          <w:rStyle w:val="Refdenotaalpie"/>
          <w:rFonts w:ascii="Arial" w:hAnsi="Arial" w:cs="Arial"/>
          <w:sz w:val="18"/>
          <w:szCs w:val="18"/>
        </w:rPr>
        <w:footnoteRef/>
      </w:r>
      <w:r w:rsidRPr="0045716B">
        <w:rPr>
          <w:rFonts w:ascii="Arial" w:hAnsi="Arial" w:cs="Arial"/>
          <w:sz w:val="18"/>
          <w:szCs w:val="18"/>
        </w:rPr>
        <w:t xml:space="preserve"> </w:t>
      </w:r>
      <w:r w:rsidRPr="0045716B">
        <w:rPr>
          <w:rFonts w:ascii="Arial" w:hAnsi="Arial" w:cs="Arial"/>
          <w:sz w:val="18"/>
          <w:szCs w:val="18"/>
          <w:lang w:val="es-CO"/>
        </w:rPr>
        <w:t>Folios</w:t>
      </w:r>
      <w:r w:rsidR="0045716B">
        <w:rPr>
          <w:rFonts w:ascii="Arial" w:hAnsi="Arial" w:cs="Arial"/>
          <w:sz w:val="18"/>
          <w:szCs w:val="18"/>
          <w:lang w:val="es-CO"/>
        </w:rPr>
        <w:t xml:space="preserve"> </w:t>
      </w:r>
      <w:r w:rsidRPr="0045716B">
        <w:rPr>
          <w:rFonts w:ascii="Arial" w:hAnsi="Arial" w:cs="Arial"/>
          <w:sz w:val="18"/>
          <w:szCs w:val="18"/>
          <w:lang w:val="es-CO"/>
        </w:rPr>
        <w:t>47 y 48, cuaderno No. 1.</w:t>
      </w:r>
    </w:p>
  </w:footnote>
  <w:footnote w:id="3">
    <w:p w:rsidR="007012A1" w:rsidRPr="0045716B" w:rsidRDefault="007012A1" w:rsidP="0045716B">
      <w:pPr>
        <w:pStyle w:val="Textonotapie"/>
        <w:jc w:val="both"/>
        <w:rPr>
          <w:rFonts w:ascii="Arial" w:hAnsi="Arial" w:cs="Arial"/>
          <w:sz w:val="18"/>
          <w:szCs w:val="18"/>
        </w:rPr>
      </w:pPr>
      <w:r w:rsidRPr="0045716B">
        <w:rPr>
          <w:rStyle w:val="Refdenotaalpie"/>
          <w:rFonts w:ascii="Arial" w:hAnsi="Arial" w:cs="Arial"/>
          <w:sz w:val="18"/>
          <w:szCs w:val="18"/>
        </w:rPr>
        <w:footnoteRef/>
      </w:r>
      <w:r w:rsidRPr="0045716B">
        <w:rPr>
          <w:rFonts w:ascii="Arial" w:hAnsi="Arial" w:cs="Arial"/>
          <w:sz w:val="18"/>
          <w:szCs w:val="18"/>
        </w:rPr>
        <w:t xml:space="preserve"> Sala de Casación Civil, sentencia 6642 del 13 de diciembre de 2002, Magistrado Ponente: Carlos Ignacio Jaramillo </w:t>
      </w:r>
      <w:proofErr w:type="spellStart"/>
      <w:r w:rsidRPr="0045716B">
        <w:rPr>
          <w:rFonts w:ascii="Arial" w:hAnsi="Arial" w:cs="Arial"/>
          <w:sz w:val="18"/>
          <w:szCs w:val="18"/>
        </w:rPr>
        <w:t>Jaramillo</w:t>
      </w:r>
      <w:proofErr w:type="spellEnd"/>
      <w:r w:rsidRPr="0045716B">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70E80"/>
    <w:multiLevelType w:val="hybridMultilevel"/>
    <w:tmpl w:val="07C45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9AF0DEE"/>
    <w:multiLevelType w:val="hybridMultilevel"/>
    <w:tmpl w:val="47F0336A"/>
    <w:lvl w:ilvl="0" w:tplc="589240BE">
      <w:start w:val="1"/>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F8"/>
    <w:rsid w:val="00005C03"/>
    <w:rsid w:val="000143FE"/>
    <w:rsid w:val="00062C13"/>
    <w:rsid w:val="000717B5"/>
    <w:rsid w:val="000A3659"/>
    <w:rsid w:val="00100300"/>
    <w:rsid w:val="00117C11"/>
    <w:rsid w:val="0016438D"/>
    <w:rsid w:val="001716BC"/>
    <w:rsid w:val="001B73A1"/>
    <w:rsid w:val="00216DA0"/>
    <w:rsid w:val="002808F8"/>
    <w:rsid w:val="0029563A"/>
    <w:rsid w:val="002B28AB"/>
    <w:rsid w:val="002B4973"/>
    <w:rsid w:val="002C2B74"/>
    <w:rsid w:val="002D5FEF"/>
    <w:rsid w:val="00324386"/>
    <w:rsid w:val="00345FC1"/>
    <w:rsid w:val="00381731"/>
    <w:rsid w:val="00393E57"/>
    <w:rsid w:val="00395948"/>
    <w:rsid w:val="003D5925"/>
    <w:rsid w:val="003E744A"/>
    <w:rsid w:val="004456E5"/>
    <w:rsid w:val="0045716B"/>
    <w:rsid w:val="0046278F"/>
    <w:rsid w:val="00466965"/>
    <w:rsid w:val="0046754D"/>
    <w:rsid w:val="00476AA7"/>
    <w:rsid w:val="004A7592"/>
    <w:rsid w:val="004B7C9A"/>
    <w:rsid w:val="004D5CFA"/>
    <w:rsid w:val="0052291E"/>
    <w:rsid w:val="00543460"/>
    <w:rsid w:val="0055075F"/>
    <w:rsid w:val="005A2F28"/>
    <w:rsid w:val="005D159E"/>
    <w:rsid w:val="005D15F7"/>
    <w:rsid w:val="0063087A"/>
    <w:rsid w:val="00647D31"/>
    <w:rsid w:val="00686647"/>
    <w:rsid w:val="006D32E2"/>
    <w:rsid w:val="007012A1"/>
    <w:rsid w:val="007A2374"/>
    <w:rsid w:val="007B17CD"/>
    <w:rsid w:val="007C2CF6"/>
    <w:rsid w:val="00837969"/>
    <w:rsid w:val="00850F55"/>
    <w:rsid w:val="0090798E"/>
    <w:rsid w:val="00920EC0"/>
    <w:rsid w:val="00941A54"/>
    <w:rsid w:val="00971499"/>
    <w:rsid w:val="009749C9"/>
    <w:rsid w:val="0098210E"/>
    <w:rsid w:val="0098290D"/>
    <w:rsid w:val="009E186F"/>
    <w:rsid w:val="00A114E8"/>
    <w:rsid w:val="00A37154"/>
    <w:rsid w:val="00A81D7F"/>
    <w:rsid w:val="00A87035"/>
    <w:rsid w:val="00AA6CD9"/>
    <w:rsid w:val="00AB0BA9"/>
    <w:rsid w:val="00B14D1B"/>
    <w:rsid w:val="00B17AAC"/>
    <w:rsid w:val="00B5766F"/>
    <w:rsid w:val="00B87FE6"/>
    <w:rsid w:val="00BA0D5E"/>
    <w:rsid w:val="00BB5D7D"/>
    <w:rsid w:val="00BD04D5"/>
    <w:rsid w:val="00BE5D7B"/>
    <w:rsid w:val="00BF29B6"/>
    <w:rsid w:val="00C0351D"/>
    <w:rsid w:val="00C3433E"/>
    <w:rsid w:val="00C43586"/>
    <w:rsid w:val="00C526CD"/>
    <w:rsid w:val="00C87D0F"/>
    <w:rsid w:val="00C90D58"/>
    <w:rsid w:val="00CD723D"/>
    <w:rsid w:val="00D03726"/>
    <w:rsid w:val="00D06614"/>
    <w:rsid w:val="00D11A3C"/>
    <w:rsid w:val="00D629A1"/>
    <w:rsid w:val="00DA4770"/>
    <w:rsid w:val="00DF5A27"/>
    <w:rsid w:val="00E07F03"/>
    <w:rsid w:val="00E21C57"/>
    <w:rsid w:val="00E733F4"/>
    <w:rsid w:val="00E77C84"/>
    <w:rsid w:val="00E8779B"/>
    <w:rsid w:val="00E93E00"/>
    <w:rsid w:val="00EF7D98"/>
    <w:rsid w:val="00F26E1C"/>
    <w:rsid w:val="00F81CC9"/>
    <w:rsid w:val="00F82E58"/>
    <w:rsid w:val="00F83328"/>
    <w:rsid w:val="00F95A2C"/>
    <w:rsid w:val="00FE06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F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2808F8"/>
    <w:rPr>
      <w:sz w:val="20"/>
      <w:szCs w:val="20"/>
    </w:rPr>
  </w:style>
  <w:style w:type="character" w:customStyle="1" w:styleId="TextonotapieCar">
    <w:name w:val="Texto nota pie Car"/>
    <w:basedOn w:val="Fuentedeprrafopredeter"/>
    <w:link w:val="Textonotapie"/>
    <w:uiPriority w:val="99"/>
    <w:semiHidden/>
    <w:rsid w:val="002808F8"/>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2808F8"/>
    <w:rPr>
      <w:rFonts w:cs="Times New Roman"/>
      <w:vertAlign w:val="superscript"/>
    </w:rPr>
  </w:style>
  <w:style w:type="paragraph" w:styleId="Textoindependiente2">
    <w:name w:val="Body Text 2"/>
    <w:basedOn w:val="Normal"/>
    <w:link w:val="Textoindependiente2Car"/>
    <w:uiPriority w:val="99"/>
    <w:rsid w:val="002808F8"/>
    <w:pPr>
      <w:widowControl w:val="0"/>
      <w:suppressAutoHyphens/>
      <w:overflowPunct w:val="0"/>
      <w:autoSpaceDE w:val="0"/>
      <w:autoSpaceDN w:val="0"/>
      <w:adjustRightInd w:val="0"/>
      <w:spacing w:line="336" w:lineRule="auto"/>
      <w:jc w:val="both"/>
      <w:textAlignment w:val="baseline"/>
    </w:pPr>
    <w:rPr>
      <w:rFonts w:ascii="Verdana" w:hAnsi="Verdana"/>
      <w:b/>
      <w:sz w:val="22"/>
      <w:szCs w:val="20"/>
      <w:lang w:val="es-ES_tradnl"/>
    </w:rPr>
  </w:style>
  <w:style w:type="character" w:customStyle="1" w:styleId="Textoindependiente2Car">
    <w:name w:val="Texto independiente 2 Car"/>
    <w:basedOn w:val="Fuentedeprrafopredeter"/>
    <w:link w:val="Textoindependiente2"/>
    <w:uiPriority w:val="99"/>
    <w:rsid w:val="002808F8"/>
    <w:rPr>
      <w:rFonts w:ascii="Verdana" w:eastAsia="Times New Roman" w:hAnsi="Verdana" w:cs="Times New Roman"/>
      <w:b/>
      <w:szCs w:val="20"/>
      <w:lang w:val="es-ES_tradnl" w:eastAsia="es-ES"/>
    </w:rPr>
  </w:style>
  <w:style w:type="paragraph" w:styleId="Sinespaciado">
    <w:name w:val="No Spacing"/>
    <w:link w:val="SinespaciadoCar"/>
    <w:uiPriority w:val="1"/>
    <w:qFormat/>
    <w:rsid w:val="002808F8"/>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locked/>
    <w:rsid w:val="002808F8"/>
    <w:rPr>
      <w:rFonts w:ascii="Calibri" w:eastAsia="Times New Roman" w:hAnsi="Calibri" w:cs="Times New Roman"/>
      <w:lang w:val="es-ES" w:eastAsia="es-ES"/>
    </w:rPr>
  </w:style>
  <w:style w:type="paragraph" w:styleId="Piedepgina">
    <w:name w:val="footer"/>
    <w:basedOn w:val="Normal"/>
    <w:link w:val="PiedepginaCar"/>
    <w:uiPriority w:val="99"/>
    <w:unhideWhenUsed/>
    <w:rsid w:val="002808F8"/>
    <w:pPr>
      <w:tabs>
        <w:tab w:val="center" w:pos="4252"/>
        <w:tab w:val="right" w:pos="8504"/>
      </w:tabs>
    </w:pPr>
  </w:style>
  <w:style w:type="character" w:customStyle="1" w:styleId="PiedepginaCar">
    <w:name w:val="Pie de página Car"/>
    <w:basedOn w:val="Fuentedeprrafopredeter"/>
    <w:link w:val="Piedepgina"/>
    <w:uiPriority w:val="99"/>
    <w:rsid w:val="002808F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50F55"/>
    <w:pPr>
      <w:ind w:left="720"/>
      <w:contextualSpacing/>
    </w:pPr>
  </w:style>
  <w:style w:type="paragraph" w:customStyle="1" w:styleId="Textoindependiente31">
    <w:name w:val="Texto independiente 31"/>
    <w:basedOn w:val="Normal"/>
    <w:rsid w:val="009749C9"/>
    <w:pPr>
      <w:jc w:val="both"/>
    </w:pPr>
    <w:rPr>
      <w:b/>
      <w:i/>
      <w:sz w:val="28"/>
      <w:szCs w:val="20"/>
      <w:lang w:val="es-MX" w:eastAsia="es-CO"/>
    </w:rPr>
  </w:style>
  <w:style w:type="paragraph" w:customStyle="1" w:styleId="Saludo1">
    <w:name w:val="Saludo1"/>
    <w:basedOn w:val="Normal"/>
    <w:rsid w:val="007B17CD"/>
    <w:pPr>
      <w:overflowPunct w:val="0"/>
      <w:autoSpaceDE w:val="0"/>
      <w:autoSpaceDN w:val="0"/>
      <w:adjustRightInd w:val="0"/>
      <w:textAlignment w:val="baseline"/>
    </w:pPr>
    <w:rPr>
      <w:sz w:val="20"/>
      <w:szCs w:val="20"/>
      <w:lang w:val="es-ES_tradnl"/>
    </w:rPr>
  </w:style>
  <w:style w:type="paragraph" w:customStyle="1" w:styleId="unico">
    <w:name w:val="unico"/>
    <w:basedOn w:val="Normal"/>
    <w:rsid w:val="007B17CD"/>
    <w:pPr>
      <w:spacing w:before="100" w:beforeAutospacing="1" w:after="100" w:afterAutospacing="1"/>
    </w:pPr>
  </w:style>
  <w:style w:type="character" w:customStyle="1" w:styleId="lphit">
    <w:name w:val="lphit"/>
    <w:basedOn w:val="Fuentedeprrafopredeter"/>
    <w:rsid w:val="007B17CD"/>
  </w:style>
  <w:style w:type="paragraph" w:customStyle="1" w:styleId="sangria">
    <w:name w:val="sangria"/>
    <w:basedOn w:val="Normal"/>
    <w:rsid w:val="007B17CD"/>
    <w:pPr>
      <w:spacing w:before="100" w:beforeAutospacing="1" w:after="100" w:afterAutospacing="1"/>
    </w:pPr>
  </w:style>
  <w:style w:type="paragraph" w:styleId="Textodeglobo">
    <w:name w:val="Balloon Text"/>
    <w:basedOn w:val="Normal"/>
    <w:link w:val="TextodegloboCar"/>
    <w:uiPriority w:val="99"/>
    <w:semiHidden/>
    <w:unhideWhenUsed/>
    <w:rsid w:val="00F95A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5A2C"/>
    <w:rPr>
      <w:rFonts w:ascii="Segoe UI" w:eastAsia="Times New Roman" w:hAnsi="Segoe UI" w:cs="Segoe UI"/>
      <w:sz w:val="18"/>
      <w:szCs w:val="18"/>
      <w:lang w:val="es-ES" w:eastAsia="es-ES"/>
    </w:rPr>
  </w:style>
  <w:style w:type="paragraph" w:styleId="Textoindependiente">
    <w:name w:val="Body Text"/>
    <w:basedOn w:val="Normal"/>
    <w:link w:val="TextoindependienteCar"/>
    <w:uiPriority w:val="99"/>
    <w:semiHidden/>
    <w:unhideWhenUsed/>
    <w:rsid w:val="0046278F"/>
    <w:pPr>
      <w:spacing w:after="120"/>
    </w:pPr>
  </w:style>
  <w:style w:type="character" w:customStyle="1" w:styleId="TextoindependienteCar">
    <w:name w:val="Texto independiente Car"/>
    <w:basedOn w:val="Fuentedeprrafopredeter"/>
    <w:link w:val="Textoindependiente"/>
    <w:uiPriority w:val="99"/>
    <w:semiHidden/>
    <w:rsid w:val="0046278F"/>
    <w:rPr>
      <w:rFonts w:ascii="Times New Roman" w:eastAsia="Times New Roman" w:hAnsi="Times New Roman" w:cs="Times New Roman"/>
      <w:sz w:val="24"/>
      <w:szCs w:val="24"/>
      <w:lang w:val="es-ES" w:eastAsia="es-ES"/>
    </w:rPr>
  </w:style>
  <w:style w:type="paragraph" w:customStyle="1" w:styleId="Saludo2">
    <w:name w:val="Saludo2"/>
    <w:basedOn w:val="Normal"/>
    <w:rsid w:val="007012A1"/>
    <w:pPr>
      <w:overflowPunct w:val="0"/>
      <w:autoSpaceDE w:val="0"/>
      <w:autoSpaceDN w:val="0"/>
      <w:adjustRightInd w:val="0"/>
      <w:textAlignment w:val="baseline"/>
    </w:pPr>
    <w:rPr>
      <w:sz w:val="20"/>
      <w:szCs w:val="20"/>
      <w:lang w:val="es-ES_tradnl"/>
    </w:rPr>
  </w:style>
  <w:style w:type="paragraph" w:styleId="Encabezado">
    <w:name w:val="header"/>
    <w:basedOn w:val="Normal"/>
    <w:link w:val="EncabezadoCar"/>
    <w:uiPriority w:val="99"/>
    <w:unhideWhenUsed/>
    <w:rsid w:val="0045716B"/>
    <w:pPr>
      <w:tabs>
        <w:tab w:val="center" w:pos="4252"/>
        <w:tab w:val="right" w:pos="8504"/>
      </w:tabs>
    </w:pPr>
  </w:style>
  <w:style w:type="character" w:customStyle="1" w:styleId="EncabezadoCar">
    <w:name w:val="Encabezado Car"/>
    <w:basedOn w:val="Fuentedeprrafopredeter"/>
    <w:link w:val="Encabezado"/>
    <w:uiPriority w:val="99"/>
    <w:rsid w:val="0045716B"/>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F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2808F8"/>
    <w:rPr>
      <w:sz w:val="20"/>
      <w:szCs w:val="20"/>
    </w:rPr>
  </w:style>
  <w:style w:type="character" w:customStyle="1" w:styleId="TextonotapieCar">
    <w:name w:val="Texto nota pie Car"/>
    <w:basedOn w:val="Fuentedeprrafopredeter"/>
    <w:link w:val="Textonotapie"/>
    <w:uiPriority w:val="99"/>
    <w:semiHidden/>
    <w:rsid w:val="002808F8"/>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2808F8"/>
    <w:rPr>
      <w:rFonts w:cs="Times New Roman"/>
      <w:vertAlign w:val="superscript"/>
    </w:rPr>
  </w:style>
  <w:style w:type="paragraph" w:styleId="Textoindependiente2">
    <w:name w:val="Body Text 2"/>
    <w:basedOn w:val="Normal"/>
    <w:link w:val="Textoindependiente2Car"/>
    <w:uiPriority w:val="99"/>
    <w:rsid w:val="002808F8"/>
    <w:pPr>
      <w:widowControl w:val="0"/>
      <w:suppressAutoHyphens/>
      <w:overflowPunct w:val="0"/>
      <w:autoSpaceDE w:val="0"/>
      <w:autoSpaceDN w:val="0"/>
      <w:adjustRightInd w:val="0"/>
      <w:spacing w:line="336" w:lineRule="auto"/>
      <w:jc w:val="both"/>
      <w:textAlignment w:val="baseline"/>
    </w:pPr>
    <w:rPr>
      <w:rFonts w:ascii="Verdana" w:hAnsi="Verdana"/>
      <w:b/>
      <w:sz w:val="22"/>
      <w:szCs w:val="20"/>
      <w:lang w:val="es-ES_tradnl"/>
    </w:rPr>
  </w:style>
  <w:style w:type="character" w:customStyle="1" w:styleId="Textoindependiente2Car">
    <w:name w:val="Texto independiente 2 Car"/>
    <w:basedOn w:val="Fuentedeprrafopredeter"/>
    <w:link w:val="Textoindependiente2"/>
    <w:uiPriority w:val="99"/>
    <w:rsid w:val="002808F8"/>
    <w:rPr>
      <w:rFonts w:ascii="Verdana" w:eastAsia="Times New Roman" w:hAnsi="Verdana" w:cs="Times New Roman"/>
      <w:b/>
      <w:szCs w:val="20"/>
      <w:lang w:val="es-ES_tradnl" w:eastAsia="es-ES"/>
    </w:rPr>
  </w:style>
  <w:style w:type="paragraph" w:styleId="Sinespaciado">
    <w:name w:val="No Spacing"/>
    <w:link w:val="SinespaciadoCar"/>
    <w:uiPriority w:val="1"/>
    <w:qFormat/>
    <w:rsid w:val="002808F8"/>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locked/>
    <w:rsid w:val="002808F8"/>
    <w:rPr>
      <w:rFonts w:ascii="Calibri" w:eastAsia="Times New Roman" w:hAnsi="Calibri" w:cs="Times New Roman"/>
      <w:lang w:val="es-ES" w:eastAsia="es-ES"/>
    </w:rPr>
  </w:style>
  <w:style w:type="paragraph" w:styleId="Piedepgina">
    <w:name w:val="footer"/>
    <w:basedOn w:val="Normal"/>
    <w:link w:val="PiedepginaCar"/>
    <w:uiPriority w:val="99"/>
    <w:unhideWhenUsed/>
    <w:rsid w:val="002808F8"/>
    <w:pPr>
      <w:tabs>
        <w:tab w:val="center" w:pos="4252"/>
        <w:tab w:val="right" w:pos="8504"/>
      </w:tabs>
    </w:pPr>
  </w:style>
  <w:style w:type="character" w:customStyle="1" w:styleId="PiedepginaCar">
    <w:name w:val="Pie de página Car"/>
    <w:basedOn w:val="Fuentedeprrafopredeter"/>
    <w:link w:val="Piedepgina"/>
    <w:uiPriority w:val="99"/>
    <w:rsid w:val="002808F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50F55"/>
    <w:pPr>
      <w:ind w:left="720"/>
      <w:contextualSpacing/>
    </w:pPr>
  </w:style>
  <w:style w:type="paragraph" w:customStyle="1" w:styleId="Textoindependiente31">
    <w:name w:val="Texto independiente 31"/>
    <w:basedOn w:val="Normal"/>
    <w:rsid w:val="009749C9"/>
    <w:pPr>
      <w:jc w:val="both"/>
    </w:pPr>
    <w:rPr>
      <w:b/>
      <w:i/>
      <w:sz w:val="28"/>
      <w:szCs w:val="20"/>
      <w:lang w:val="es-MX" w:eastAsia="es-CO"/>
    </w:rPr>
  </w:style>
  <w:style w:type="paragraph" w:customStyle="1" w:styleId="Saludo1">
    <w:name w:val="Saludo1"/>
    <w:basedOn w:val="Normal"/>
    <w:rsid w:val="007B17CD"/>
    <w:pPr>
      <w:overflowPunct w:val="0"/>
      <w:autoSpaceDE w:val="0"/>
      <w:autoSpaceDN w:val="0"/>
      <w:adjustRightInd w:val="0"/>
      <w:textAlignment w:val="baseline"/>
    </w:pPr>
    <w:rPr>
      <w:sz w:val="20"/>
      <w:szCs w:val="20"/>
      <w:lang w:val="es-ES_tradnl"/>
    </w:rPr>
  </w:style>
  <w:style w:type="paragraph" w:customStyle="1" w:styleId="unico">
    <w:name w:val="unico"/>
    <w:basedOn w:val="Normal"/>
    <w:rsid w:val="007B17CD"/>
    <w:pPr>
      <w:spacing w:before="100" w:beforeAutospacing="1" w:after="100" w:afterAutospacing="1"/>
    </w:pPr>
  </w:style>
  <w:style w:type="character" w:customStyle="1" w:styleId="lphit">
    <w:name w:val="lphit"/>
    <w:basedOn w:val="Fuentedeprrafopredeter"/>
    <w:rsid w:val="007B17CD"/>
  </w:style>
  <w:style w:type="paragraph" w:customStyle="1" w:styleId="sangria">
    <w:name w:val="sangria"/>
    <w:basedOn w:val="Normal"/>
    <w:rsid w:val="007B17CD"/>
    <w:pPr>
      <w:spacing w:before="100" w:beforeAutospacing="1" w:after="100" w:afterAutospacing="1"/>
    </w:pPr>
  </w:style>
  <w:style w:type="paragraph" w:styleId="Textodeglobo">
    <w:name w:val="Balloon Text"/>
    <w:basedOn w:val="Normal"/>
    <w:link w:val="TextodegloboCar"/>
    <w:uiPriority w:val="99"/>
    <w:semiHidden/>
    <w:unhideWhenUsed/>
    <w:rsid w:val="00F95A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5A2C"/>
    <w:rPr>
      <w:rFonts w:ascii="Segoe UI" w:eastAsia="Times New Roman" w:hAnsi="Segoe UI" w:cs="Segoe UI"/>
      <w:sz w:val="18"/>
      <w:szCs w:val="18"/>
      <w:lang w:val="es-ES" w:eastAsia="es-ES"/>
    </w:rPr>
  </w:style>
  <w:style w:type="paragraph" w:styleId="Textoindependiente">
    <w:name w:val="Body Text"/>
    <w:basedOn w:val="Normal"/>
    <w:link w:val="TextoindependienteCar"/>
    <w:uiPriority w:val="99"/>
    <w:semiHidden/>
    <w:unhideWhenUsed/>
    <w:rsid w:val="0046278F"/>
    <w:pPr>
      <w:spacing w:after="120"/>
    </w:pPr>
  </w:style>
  <w:style w:type="character" w:customStyle="1" w:styleId="TextoindependienteCar">
    <w:name w:val="Texto independiente Car"/>
    <w:basedOn w:val="Fuentedeprrafopredeter"/>
    <w:link w:val="Textoindependiente"/>
    <w:uiPriority w:val="99"/>
    <w:semiHidden/>
    <w:rsid w:val="0046278F"/>
    <w:rPr>
      <w:rFonts w:ascii="Times New Roman" w:eastAsia="Times New Roman" w:hAnsi="Times New Roman" w:cs="Times New Roman"/>
      <w:sz w:val="24"/>
      <w:szCs w:val="24"/>
      <w:lang w:val="es-ES" w:eastAsia="es-ES"/>
    </w:rPr>
  </w:style>
  <w:style w:type="paragraph" w:customStyle="1" w:styleId="Saludo2">
    <w:name w:val="Saludo2"/>
    <w:basedOn w:val="Normal"/>
    <w:rsid w:val="007012A1"/>
    <w:pPr>
      <w:overflowPunct w:val="0"/>
      <w:autoSpaceDE w:val="0"/>
      <w:autoSpaceDN w:val="0"/>
      <w:adjustRightInd w:val="0"/>
      <w:textAlignment w:val="baseline"/>
    </w:pPr>
    <w:rPr>
      <w:sz w:val="20"/>
      <w:szCs w:val="20"/>
      <w:lang w:val="es-ES_tradnl"/>
    </w:rPr>
  </w:style>
  <w:style w:type="paragraph" w:styleId="Encabezado">
    <w:name w:val="header"/>
    <w:basedOn w:val="Normal"/>
    <w:link w:val="EncabezadoCar"/>
    <w:uiPriority w:val="99"/>
    <w:unhideWhenUsed/>
    <w:rsid w:val="0045716B"/>
    <w:pPr>
      <w:tabs>
        <w:tab w:val="center" w:pos="4252"/>
        <w:tab w:val="right" w:pos="8504"/>
      </w:tabs>
    </w:pPr>
  </w:style>
  <w:style w:type="character" w:customStyle="1" w:styleId="EncabezadoCar">
    <w:name w:val="Encabezado Car"/>
    <w:basedOn w:val="Fuentedeprrafopredeter"/>
    <w:link w:val="Encabezado"/>
    <w:uiPriority w:val="99"/>
    <w:rsid w:val="0045716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27BE-2168-48A5-A0C7-0C8DD25E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6253</Words>
  <Characters>34393</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ALONSO</cp:lastModifiedBy>
  <cp:revision>6</cp:revision>
  <cp:lastPrinted>2020-02-07T20:53:00Z</cp:lastPrinted>
  <dcterms:created xsi:type="dcterms:W3CDTF">2020-02-07T20:44:00Z</dcterms:created>
  <dcterms:modified xsi:type="dcterms:W3CDTF">2020-03-20T16:29:00Z</dcterms:modified>
</cp:coreProperties>
</file>