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50" w:rsidRPr="00A16D50" w:rsidRDefault="00A16D50" w:rsidP="00A16D5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16D5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16D50" w:rsidRPr="00A16D50" w:rsidRDefault="00A16D50" w:rsidP="00A16D50">
      <w:pPr>
        <w:overflowPunct/>
        <w:autoSpaceDE/>
        <w:autoSpaceDN/>
        <w:adjustRightInd/>
        <w:jc w:val="both"/>
        <w:textAlignment w:val="auto"/>
        <w:rPr>
          <w:rFonts w:ascii="Arial" w:hAnsi="Arial" w:cs="Arial"/>
          <w:sz w:val="20"/>
          <w:lang w:val="es-419"/>
        </w:rPr>
      </w:pPr>
    </w:p>
    <w:p w:rsidR="00A16D50" w:rsidRPr="00A16D50" w:rsidRDefault="00A16D50" w:rsidP="00D46723">
      <w:pPr>
        <w:overflowPunct/>
        <w:autoSpaceDE/>
        <w:autoSpaceDN/>
        <w:adjustRightInd/>
        <w:jc w:val="both"/>
        <w:textAlignment w:val="auto"/>
        <w:rPr>
          <w:rFonts w:ascii="Arial" w:hAnsi="Arial" w:cs="Arial"/>
          <w:b/>
          <w:bCs/>
          <w:iCs/>
          <w:sz w:val="20"/>
          <w:lang w:val="es-419" w:eastAsia="fr-FR"/>
        </w:rPr>
      </w:pPr>
      <w:r w:rsidRPr="00A16D50">
        <w:rPr>
          <w:rFonts w:ascii="Arial" w:hAnsi="Arial" w:cs="Arial"/>
          <w:b/>
          <w:bCs/>
          <w:iCs/>
          <w:sz w:val="20"/>
          <w:u w:val="single"/>
          <w:lang w:val="es-419" w:eastAsia="fr-FR"/>
        </w:rPr>
        <w:t>TEMAS:</w:t>
      </w:r>
      <w:r w:rsidRPr="00A16D50">
        <w:rPr>
          <w:rFonts w:ascii="Arial" w:hAnsi="Arial" w:cs="Arial"/>
          <w:b/>
          <w:bCs/>
          <w:iCs/>
          <w:sz w:val="20"/>
          <w:lang w:val="es-419" w:eastAsia="fr-FR"/>
        </w:rPr>
        <w:tab/>
      </w:r>
      <w:r w:rsidR="00D46723">
        <w:rPr>
          <w:rFonts w:ascii="Arial" w:hAnsi="Arial" w:cs="Arial"/>
          <w:b/>
          <w:bCs/>
          <w:iCs/>
          <w:sz w:val="20"/>
          <w:lang w:val="es-419" w:eastAsia="fr-FR"/>
        </w:rPr>
        <w:t xml:space="preserve">HABEAS CORPUS / COMPETENCIA </w:t>
      </w:r>
      <w:r w:rsidRPr="00A16D50">
        <w:rPr>
          <w:rFonts w:ascii="Arial" w:hAnsi="Arial" w:cs="Arial"/>
          <w:b/>
          <w:bCs/>
          <w:iCs/>
          <w:sz w:val="20"/>
          <w:lang w:val="es-419" w:eastAsia="fr-FR"/>
        </w:rPr>
        <w:t xml:space="preserve">/ </w:t>
      </w:r>
      <w:r w:rsidR="00D46723">
        <w:rPr>
          <w:rFonts w:ascii="Arial" w:hAnsi="Arial" w:cs="Arial"/>
          <w:b/>
          <w:bCs/>
          <w:iCs/>
          <w:sz w:val="20"/>
          <w:lang w:val="es-419" w:eastAsia="fr-FR"/>
        </w:rPr>
        <w:t>TODOS LOS JUECES Y TRIBUNALES DEL PAÍS / PRECISIÒN JURISPRUDENCIAL / QUE TENGA JURISDICCION EN EL LUGAR DONDE SE HALLE PRIVADO DE LA IBERTAD EL PROCESADO.</w:t>
      </w:r>
    </w:p>
    <w:p w:rsidR="00A16D50" w:rsidRPr="00A16D50" w:rsidRDefault="00A16D50" w:rsidP="00A16D50">
      <w:pPr>
        <w:overflowPunct/>
        <w:autoSpaceDE/>
        <w:autoSpaceDN/>
        <w:adjustRightInd/>
        <w:jc w:val="both"/>
        <w:textAlignment w:val="auto"/>
        <w:rPr>
          <w:rFonts w:ascii="Arial" w:hAnsi="Arial" w:cs="Arial"/>
          <w:sz w:val="20"/>
          <w:lang w:val="es-419"/>
        </w:rPr>
      </w:pPr>
    </w:p>
    <w:p w:rsidR="00D46723" w:rsidRPr="00D46723" w:rsidRDefault="00D46723" w:rsidP="00D46723">
      <w:pPr>
        <w:overflowPunct/>
        <w:autoSpaceDE/>
        <w:autoSpaceDN/>
        <w:adjustRightInd/>
        <w:jc w:val="both"/>
        <w:textAlignment w:val="auto"/>
        <w:rPr>
          <w:rFonts w:ascii="Arial" w:hAnsi="Arial" w:cs="Arial"/>
          <w:sz w:val="20"/>
          <w:lang w:val="es-419"/>
        </w:rPr>
      </w:pPr>
      <w:r w:rsidRPr="00D46723">
        <w:rPr>
          <w:rFonts w:ascii="Arial" w:hAnsi="Arial" w:cs="Arial"/>
          <w:sz w:val="20"/>
          <w:lang w:val="es-419"/>
        </w:rPr>
        <w:t>El numeral 1º del artículo 2º de la Ley 1095 de 2006 dice que son competentes para conocer de la solicitud de hábeas corpus todos los jueces y tribunales de la Rama Judicial del Poder Público, norma respecto de la cual la Corte Constitucional en sentencia C-187 de 2006, por medio de la cual revisó de manera previa el proyecto de ley estatutaria respectivo, dijo:</w:t>
      </w:r>
    </w:p>
    <w:p w:rsidR="00D46723" w:rsidRPr="00D46723" w:rsidRDefault="00D46723" w:rsidP="00D46723">
      <w:pPr>
        <w:overflowPunct/>
        <w:autoSpaceDE/>
        <w:autoSpaceDN/>
        <w:adjustRightInd/>
        <w:jc w:val="both"/>
        <w:textAlignment w:val="auto"/>
        <w:rPr>
          <w:rFonts w:ascii="Arial" w:hAnsi="Arial" w:cs="Arial"/>
          <w:sz w:val="20"/>
          <w:lang w:val="es-419"/>
        </w:rPr>
      </w:pPr>
    </w:p>
    <w:p w:rsidR="00A16D50" w:rsidRPr="00A16D50" w:rsidRDefault="00D46723" w:rsidP="00D46723">
      <w:pPr>
        <w:overflowPunct/>
        <w:autoSpaceDE/>
        <w:autoSpaceDN/>
        <w:adjustRightInd/>
        <w:jc w:val="both"/>
        <w:textAlignment w:val="auto"/>
        <w:rPr>
          <w:rFonts w:ascii="Arial" w:hAnsi="Arial" w:cs="Arial"/>
          <w:sz w:val="20"/>
          <w:lang w:val="es-419"/>
        </w:rPr>
      </w:pPr>
      <w:r w:rsidRPr="00D46723">
        <w:rPr>
          <w:rFonts w:ascii="Arial" w:hAnsi="Arial" w:cs="Arial"/>
          <w:sz w:val="20"/>
          <w:lang w:val="es-419"/>
        </w:rPr>
        <w:t>“</w:t>
      </w:r>
      <w:r>
        <w:rPr>
          <w:rFonts w:ascii="Arial" w:hAnsi="Arial" w:cs="Arial"/>
          <w:sz w:val="20"/>
          <w:lang w:val="es-419"/>
        </w:rPr>
        <w:t xml:space="preserve">… </w:t>
      </w:r>
      <w:r w:rsidRPr="00D46723">
        <w:rPr>
          <w:rFonts w:ascii="Arial" w:hAnsi="Arial" w:cs="Arial"/>
          <w:sz w:val="20"/>
          <w:lang w:val="es-419"/>
        </w:rPr>
        <w:t>La Corte considera propio de esta acción que el juez cuente con la posibilidad inmediata de visitar a la persona en su lugar de reclusión, de entrevistar a las autoridades que hayan conocido del caso, de inspeccionar la documentación pertinente y de practicar in situ las demás diligencias que considere conducentes para el esclarecimiento de los hechos. Por estas razones, será competente la autoridad con jurisdicción en el lugar donde la persona se encuentre privada de la libertad…”</w:t>
      </w:r>
    </w:p>
    <w:p w:rsidR="00A16D50" w:rsidRPr="00A16D50" w:rsidRDefault="00A16D50" w:rsidP="00A16D50">
      <w:pPr>
        <w:overflowPunct/>
        <w:autoSpaceDE/>
        <w:autoSpaceDN/>
        <w:adjustRightInd/>
        <w:jc w:val="both"/>
        <w:textAlignment w:val="auto"/>
        <w:rPr>
          <w:rFonts w:ascii="Arial" w:hAnsi="Arial" w:cs="Arial"/>
          <w:sz w:val="20"/>
          <w:lang w:val="es-419"/>
        </w:rPr>
      </w:pPr>
    </w:p>
    <w:p w:rsidR="00A16D50" w:rsidRDefault="00D46723" w:rsidP="00A16D50">
      <w:pPr>
        <w:overflowPunct/>
        <w:autoSpaceDE/>
        <w:autoSpaceDN/>
        <w:adjustRightInd/>
        <w:jc w:val="both"/>
        <w:textAlignment w:val="auto"/>
        <w:rPr>
          <w:rFonts w:ascii="Arial" w:hAnsi="Arial" w:cs="Arial"/>
          <w:sz w:val="20"/>
          <w:lang w:val="es-419"/>
        </w:rPr>
      </w:pPr>
      <w:r w:rsidRPr="00D46723">
        <w:rPr>
          <w:rFonts w:ascii="Arial" w:hAnsi="Arial" w:cs="Arial"/>
          <w:sz w:val="20"/>
          <w:lang w:val="es-419"/>
        </w:rPr>
        <w:t>Más recientemente, esa última Corporación</w:t>
      </w:r>
      <w:r>
        <w:rPr>
          <w:rFonts w:ascii="Arial" w:hAnsi="Arial" w:cs="Arial"/>
          <w:sz w:val="20"/>
          <w:lang w:val="es-419"/>
        </w:rPr>
        <w:t xml:space="preserve"> (Corte Suprema de Justicia)</w:t>
      </w:r>
      <w:r w:rsidRPr="00D46723">
        <w:rPr>
          <w:rFonts w:ascii="Arial" w:hAnsi="Arial" w:cs="Arial"/>
          <w:sz w:val="20"/>
          <w:lang w:val="es-419"/>
        </w:rPr>
        <w:t>, en sede de tutela, señaló:</w:t>
      </w:r>
    </w:p>
    <w:p w:rsidR="00D46723" w:rsidRDefault="00D46723" w:rsidP="00A16D50">
      <w:pPr>
        <w:overflowPunct/>
        <w:autoSpaceDE/>
        <w:autoSpaceDN/>
        <w:adjustRightInd/>
        <w:jc w:val="both"/>
        <w:textAlignment w:val="auto"/>
        <w:rPr>
          <w:rFonts w:ascii="Arial" w:hAnsi="Arial" w:cs="Arial"/>
          <w:sz w:val="20"/>
          <w:lang w:val="es-419"/>
        </w:rPr>
      </w:pPr>
    </w:p>
    <w:p w:rsidR="00D46723" w:rsidRPr="00A16D50" w:rsidRDefault="00D46723" w:rsidP="00A16D50">
      <w:pPr>
        <w:overflowPunct/>
        <w:autoSpaceDE/>
        <w:autoSpaceDN/>
        <w:adjustRightInd/>
        <w:jc w:val="both"/>
        <w:textAlignment w:val="auto"/>
        <w:rPr>
          <w:rFonts w:ascii="Arial" w:hAnsi="Arial" w:cs="Arial"/>
          <w:sz w:val="20"/>
          <w:lang w:val="es-419"/>
        </w:rPr>
      </w:pPr>
      <w:r>
        <w:rPr>
          <w:rFonts w:ascii="Arial" w:hAnsi="Arial" w:cs="Arial"/>
          <w:sz w:val="20"/>
          <w:lang w:val="es-419"/>
        </w:rPr>
        <w:t>“</w:t>
      </w:r>
      <w:r w:rsidRPr="00D46723">
        <w:rPr>
          <w:rFonts w:ascii="Arial" w:hAnsi="Arial" w:cs="Arial"/>
          <w:sz w:val="20"/>
          <w:lang w:val="es-419"/>
        </w:rPr>
        <w:t>De acuerdo con lo señalado y según el precedente jurisprudencial aludido, es claro que en dicho asunto la autoridad judicial competente para conocer de la acción impetrada, por el factor territorial, no podía ser otra que aquella que tuviera jurisdicción en el lugar donde se hallaba privado de libertad el procesado, que para el caso, según se precisó, era Bogotá.”</w:t>
      </w:r>
    </w:p>
    <w:p w:rsidR="00A16D50" w:rsidRPr="00A16D50" w:rsidRDefault="00A16D50" w:rsidP="00A16D50">
      <w:pPr>
        <w:overflowPunct/>
        <w:autoSpaceDE/>
        <w:autoSpaceDN/>
        <w:adjustRightInd/>
        <w:jc w:val="both"/>
        <w:textAlignment w:val="auto"/>
        <w:rPr>
          <w:rFonts w:ascii="Arial" w:hAnsi="Arial" w:cs="Arial"/>
          <w:sz w:val="20"/>
        </w:rPr>
      </w:pPr>
    </w:p>
    <w:p w:rsidR="00A16D50" w:rsidRPr="00A16D50" w:rsidRDefault="00A16D50" w:rsidP="00A16D50">
      <w:pPr>
        <w:overflowPunct/>
        <w:autoSpaceDE/>
        <w:autoSpaceDN/>
        <w:adjustRightInd/>
        <w:jc w:val="both"/>
        <w:textAlignment w:val="auto"/>
        <w:rPr>
          <w:rFonts w:ascii="Arial" w:hAnsi="Arial" w:cs="Arial"/>
          <w:sz w:val="20"/>
        </w:rPr>
      </w:pPr>
    </w:p>
    <w:p w:rsidR="00A16D50" w:rsidRPr="00A16D50" w:rsidRDefault="00A16D50" w:rsidP="00A16D50">
      <w:pPr>
        <w:overflowPunct/>
        <w:autoSpaceDE/>
        <w:autoSpaceDN/>
        <w:adjustRightInd/>
        <w:jc w:val="both"/>
        <w:textAlignment w:val="auto"/>
        <w:rPr>
          <w:rFonts w:ascii="Arial" w:hAnsi="Arial" w:cs="Arial"/>
          <w:sz w:val="20"/>
        </w:rPr>
      </w:pPr>
    </w:p>
    <w:p w:rsidR="00562DCC" w:rsidRPr="00A16D50" w:rsidRDefault="00562DCC" w:rsidP="00A16D50">
      <w:pPr>
        <w:pStyle w:val="Textoindependiente3"/>
        <w:spacing w:line="276" w:lineRule="auto"/>
        <w:jc w:val="center"/>
        <w:rPr>
          <w:rFonts w:ascii="Tahoma" w:hAnsi="Tahoma" w:cs="Tahoma"/>
          <w:bCs/>
          <w:smallCaps/>
          <w:color w:val="000000"/>
          <w:sz w:val="24"/>
          <w:szCs w:val="24"/>
        </w:rPr>
      </w:pPr>
      <w:r w:rsidRPr="00A16D50">
        <w:rPr>
          <w:rFonts w:ascii="Tahoma" w:hAnsi="Tahoma" w:cs="Tahoma"/>
          <w:bCs/>
          <w:smallCaps/>
          <w:color w:val="000000"/>
          <w:sz w:val="24"/>
          <w:szCs w:val="24"/>
        </w:rPr>
        <w:t>TRIBUNAL SUPERIOR DEL DISTRITO JUDICIAL</w:t>
      </w:r>
    </w:p>
    <w:p w:rsidR="00562DCC" w:rsidRPr="00A16D50" w:rsidRDefault="00562DCC" w:rsidP="00A16D50">
      <w:pPr>
        <w:pStyle w:val="Textoindependiente3"/>
        <w:spacing w:line="276" w:lineRule="auto"/>
        <w:jc w:val="center"/>
        <w:rPr>
          <w:rFonts w:ascii="Tahoma" w:hAnsi="Tahoma" w:cs="Tahoma"/>
          <w:bCs/>
          <w:smallCaps/>
          <w:color w:val="000000"/>
          <w:sz w:val="24"/>
          <w:szCs w:val="24"/>
        </w:rPr>
      </w:pPr>
      <w:r w:rsidRPr="00A16D50">
        <w:rPr>
          <w:rFonts w:ascii="Tahoma" w:hAnsi="Tahoma" w:cs="Tahoma"/>
          <w:bCs/>
          <w:smallCaps/>
          <w:color w:val="000000"/>
          <w:sz w:val="24"/>
          <w:szCs w:val="24"/>
        </w:rPr>
        <w:t xml:space="preserve">SALA </w:t>
      </w:r>
      <w:r w:rsidR="00334826" w:rsidRPr="00A16D50">
        <w:rPr>
          <w:rFonts w:ascii="Tahoma" w:hAnsi="Tahoma" w:cs="Tahoma"/>
          <w:bCs/>
          <w:smallCaps/>
          <w:color w:val="000000"/>
          <w:sz w:val="24"/>
          <w:szCs w:val="24"/>
        </w:rPr>
        <w:t>UNITARIA CIVIL FAMILIA</w:t>
      </w:r>
    </w:p>
    <w:p w:rsidR="004569E0" w:rsidRPr="00A16D50" w:rsidRDefault="00562DCC" w:rsidP="00A16D50">
      <w:pPr>
        <w:pStyle w:val="Piedepgina"/>
        <w:tabs>
          <w:tab w:val="clear" w:pos="4252"/>
          <w:tab w:val="clear" w:pos="8504"/>
        </w:tabs>
        <w:spacing w:line="276" w:lineRule="auto"/>
        <w:rPr>
          <w:rFonts w:ascii="Tahoma" w:hAnsi="Tahoma" w:cs="Tahoma"/>
          <w:szCs w:val="24"/>
        </w:rPr>
      </w:pPr>
      <w:r w:rsidRPr="00A16D50">
        <w:rPr>
          <w:rFonts w:ascii="Tahoma" w:hAnsi="Tahoma" w:cs="Tahoma"/>
          <w:szCs w:val="24"/>
        </w:rPr>
        <w:tab/>
      </w:r>
    </w:p>
    <w:p w:rsidR="00562DCC" w:rsidRPr="00A16D50" w:rsidRDefault="00FF0719" w:rsidP="00A16D50">
      <w:pPr>
        <w:spacing w:line="276" w:lineRule="auto"/>
        <w:ind w:firstLine="708"/>
        <w:jc w:val="both"/>
        <w:rPr>
          <w:rFonts w:ascii="Tahoma" w:hAnsi="Tahoma" w:cs="Tahoma"/>
          <w:b/>
          <w:szCs w:val="24"/>
        </w:rPr>
      </w:pPr>
      <w:r w:rsidRPr="00A16D50">
        <w:rPr>
          <w:rFonts w:ascii="Tahoma" w:hAnsi="Tahoma" w:cs="Tahoma"/>
          <w:szCs w:val="24"/>
        </w:rPr>
        <w:t>Magistrada</w:t>
      </w:r>
      <w:r w:rsidR="00562DCC" w:rsidRPr="00A16D50">
        <w:rPr>
          <w:rFonts w:ascii="Tahoma" w:hAnsi="Tahoma" w:cs="Tahoma"/>
          <w:szCs w:val="24"/>
        </w:rPr>
        <w:t>: Claudia María Arcila Ríos</w:t>
      </w:r>
      <w:bookmarkStart w:id="0" w:name="_GoBack"/>
      <w:bookmarkEnd w:id="0"/>
    </w:p>
    <w:p w:rsidR="00562DCC" w:rsidRPr="00A16D50" w:rsidRDefault="00562DCC" w:rsidP="00A16D50">
      <w:pPr>
        <w:pStyle w:val="Ttulo9"/>
        <w:spacing w:line="276" w:lineRule="auto"/>
        <w:ind w:firstLine="708"/>
        <w:jc w:val="left"/>
        <w:rPr>
          <w:rFonts w:ascii="Tahoma" w:hAnsi="Tahoma" w:cs="Tahoma"/>
          <w:b w:val="0"/>
          <w:szCs w:val="24"/>
        </w:rPr>
      </w:pPr>
      <w:r w:rsidRPr="00A16D50">
        <w:rPr>
          <w:rFonts w:ascii="Tahoma" w:hAnsi="Tahoma" w:cs="Tahoma"/>
          <w:b w:val="0"/>
          <w:szCs w:val="24"/>
        </w:rPr>
        <w:t xml:space="preserve">Pereira, </w:t>
      </w:r>
      <w:r w:rsidR="008953A5" w:rsidRPr="00A16D50">
        <w:rPr>
          <w:rFonts w:ascii="Tahoma" w:hAnsi="Tahoma" w:cs="Tahoma"/>
          <w:b w:val="0"/>
          <w:szCs w:val="24"/>
        </w:rPr>
        <w:t>marzo veintiséis (26</w:t>
      </w:r>
      <w:r w:rsidR="00FF0719" w:rsidRPr="00A16D50">
        <w:rPr>
          <w:rFonts w:ascii="Tahoma" w:hAnsi="Tahoma" w:cs="Tahoma"/>
          <w:b w:val="0"/>
          <w:szCs w:val="24"/>
        </w:rPr>
        <w:t>)</w:t>
      </w:r>
      <w:r w:rsidR="00C26813" w:rsidRPr="00A16D50">
        <w:rPr>
          <w:rFonts w:ascii="Tahoma" w:hAnsi="Tahoma" w:cs="Tahoma"/>
          <w:b w:val="0"/>
          <w:szCs w:val="24"/>
        </w:rPr>
        <w:t xml:space="preserve"> de </w:t>
      </w:r>
      <w:r w:rsidR="003E21B4" w:rsidRPr="00A16D50">
        <w:rPr>
          <w:rFonts w:ascii="Tahoma" w:hAnsi="Tahoma" w:cs="Tahoma"/>
          <w:b w:val="0"/>
          <w:szCs w:val="24"/>
        </w:rPr>
        <w:t>dos mil</w:t>
      </w:r>
      <w:r w:rsidR="008953A5" w:rsidRPr="00A16D50">
        <w:rPr>
          <w:rFonts w:ascii="Tahoma" w:hAnsi="Tahoma" w:cs="Tahoma"/>
          <w:b w:val="0"/>
          <w:szCs w:val="24"/>
        </w:rPr>
        <w:t xml:space="preserve"> vente (2020</w:t>
      </w:r>
      <w:r w:rsidR="00FF0719" w:rsidRPr="00A16D50">
        <w:rPr>
          <w:rFonts w:ascii="Tahoma" w:hAnsi="Tahoma" w:cs="Tahoma"/>
          <w:b w:val="0"/>
          <w:szCs w:val="24"/>
        </w:rPr>
        <w:t>)</w:t>
      </w:r>
      <w:r w:rsidR="00E96ADC" w:rsidRPr="00A16D50">
        <w:rPr>
          <w:rFonts w:ascii="Tahoma" w:hAnsi="Tahoma" w:cs="Tahoma"/>
          <w:b w:val="0"/>
          <w:szCs w:val="24"/>
        </w:rPr>
        <w:t xml:space="preserve"> </w:t>
      </w:r>
    </w:p>
    <w:p w:rsidR="004569E0" w:rsidRPr="00A16D50" w:rsidRDefault="00FF0719" w:rsidP="00A16D50">
      <w:pPr>
        <w:spacing w:line="276" w:lineRule="auto"/>
        <w:ind w:firstLine="708"/>
        <w:rPr>
          <w:rFonts w:ascii="Tahoma" w:hAnsi="Tahoma" w:cs="Tahoma"/>
          <w:szCs w:val="24"/>
        </w:rPr>
      </w:pPr>
      <w:r w:rsidRPr="00A16D50">
        <w:rPr>
          <w:rFonts w:ascii="Tahoma" w:hAnsi="Tahoma" w:cs="Tahoma"/>
          <w:szCs w:val="24"/>
        </w:rPr>
        <w:t>Hora:</w:t>
      </w:r>
      <w:r w:rsidR="00D30BFB" w:rsidRPr="00A16D50">
        <w:rPr>
          <w:rFonts w:ascii="Tahoma" w:hAnsi="Tahoma" w:cs="Tahoma"/>
          <w:szCs w:val="24"/>
        </w:rPr>
        <w:t xml:space="preserve"> </w:t>
      </w:r>
      <w:r w:rsidR="001C657F" w:rsidRPr="00A16D50">
        <w:rPr>
          <w:rFonts w:ascii="Tahoma" w:hAnsi="Tahoma" w:cs="Tahoma"/>
          <w:szCs w:val="24"/>
        </w:rPr>
        <w:t>3:00 p.m.</w:t>
      </w:r>
    </w:p>
    <w:p w:rsidR="00562DCC" w:rsidRPr="00A16D50" w:rsidRDefault="00562DCC" w:rsidP="00A16D50">
      <w:pPr>
        <w:spacing w:line="276" w:lineRule="auto"/>
        <w:ind w:firstLine="708"/>
        <w:rPr>
          <w:rFonts w:ascii="Tahoma" w:hAnsi="Tahoma" w:cs="Tahoma"/>
          <w:szCs w:val="24"/>
        </w:rPr>
      </w:pPr>
      <w:r w:rsidRPr="00A16D50">
        <w:rPr>
          <w:rFonts w:ascii="Tahoma" w:hAnsi="Tahoma" w:cs="Tahoma"/>
          <w:szCs w:val="24"/>
        </w:rPr>
        <w:t>Expediente</w:t>
      </w:r>
      <w:r w:rsidR="00FF0719" w:rsidRPr="00A16D50">
        <w:rPr>
          <w:rFonts w:ascii="Tahoma" w:hAnsi="Tahoma" w:cs="Tahoma"/>
          <w:szCs w:val="24"/>
        </w:rPr>
        <w:t xml:space="preserve"> No.:</w:t>
      </w:r>
      <w:r w:rsidRPr="00A16D50">
        <w:rPr>
          <w:rFonts w:ascii="Tahoma" w:hAnsi="Tahoma" w:cs="Tahoma"/>
          <w:szCs w:val="24"/>
        </w:rPr>
        <w:t xml:space="preserve"> 66</w:t>
      </w:r>
      <w:r w:rsidR="008953A5" w:rsidRPr="00A16D50">
        <w:rPr>
          <w:rFonts w:ascii="Tahoma" w:hAnsi="Tahoma" w:cs="Tahoma"/>
          <w:szCs w:val="24"/>
        </w:rPr>
        <w:t>001-22-13-000-2020</w:t>
      </w:r>
      <w:r w:rsidR="00FF0719" w:rsidRPr="00A16D50">
        <w:rPr>
          <w:rFonts w:ascii="Tahoma" w:hAnsi="Tahoma" w:cs="Tahoma"/>
          <w:szCs w:val="24"/>
        </w:rPr>
        <w:t>-00</w:t>
      </w:r>
      <w:r w:rsidR="008953A5" w:rsidRPr="00A16D50">
        <w:rPr>
          <w:rFonts w:ascii="Tahoma" w:hAnsi="Tahoma" w:cs="Tahoma"/>
          <w:szCs w:val="24"/>
        </w:rPr>
        <w:t>046</w:t>
      </w:r>
      <w:r w:rsidR="00FF0719" w:rsidRPr="00A16D50">
        <w:rPr>
          <w:rFonts w:ascii="Tahoma" w:hAnsi="Tahoma" w:cs="Tahoma"/>
          <w:szCs w:val="24"/>
        </w:rPr>
        <w:t>-00</w:t>
      </w:r>
    </w:p>
    <w:p w:rsidR="00562DCC" w:rsidRPr="00A16D50" w:rsidRDefault="00562DCC" w:rsidP="00A16D50">
      <w:pPr>
        <w:spacing w:line="276" w:lineRule="auto"/>
        <w:jc w:val="center"/>
        <w:rPr>
          <w:rFonts w:ascii="Tahoma" w:hAnsi="Tahoma" w:cs="Tahoma"/>
          <w:b/>
          <w:szCs w:val="24"/>
        </w:rPr>
      </w:pPr>
    </w:p>
    <w:p w:rsidR="00562DCC" w:rsidRPr="00A16D50" w:rsidRDefault="008953A5" w:rsidP="00A16D50">
      <w:pPr>
        <w:spacing w:line="276" w:lineRule="auto"/>
        <w:jc w:val="both"/>
        <w:rPr>
          <w:rFonts w:ascii="Tahoma" w:hAnsi="Tahoma" w:cs="Tahoma"/>
          <w:szCs w:val="24"/>
          <w:lang w:val="es-ES_tradnl"/>
        </w:rPr>
      </w:pPr>
      <w:r w:rsidRPr="00A16D50">
        <w:rPr>
          <w:rFonts w:ascii="Tahoma" w:hAnsi="Tahoma" w:cs="Tahoma"/>
          <w:szCs w:val="24"/>
        </w:rPr>
        <w:t xml:space="preserve">La señora </w:t>
      </w:r>
      <w:r w:rsidR="00C664C1" w:rsidRPr="00A16D50">
        <w:rPr>
          <w:rFonts w:ascii="Tahoma" w:hAnsi="Tahoma" w:cs="Tahoma"/>
          <w:szCs w:val="24"/>
        </w:rPr>
        <w:t>Paula Andrea Moncada Trejos</w:t>
      </w:r>
      <w:r w:rsidR="000717E3" w:rsidRPr="00A16D50">
        <w:rPr>
          <w:rFonts w:ascii="Tahoma" w:hAnsi="Tahoma" w:cs="Tahoma"/>
          <w:szCs w:val="24"/>
          <w:lang w:val="es-ES_tradnl"/>
        </w:rPr>
        <w:t xml:space="preserve"> </w:t>
      </w:r>
      <w:r w:rsidR="003E21B4" w:rsidRPr="00A16D50">
        <w:rPr>
          <w:rFonts w:ascii="Tahoma" w:hAnsi="Tahoma" w:cs="Tahoma"/>
          <w:szCs w:val="24"/>
          <w:lang w:val="es-ES_tradnl"/>
        </w:rPr>
        <w:t xml:space="preserve">instauró acción </w:t>
      </w:r>
      <w:r w:rsidR="00562DCC" w:rsidRPr="00A16D50">
        <w:rPr>
          <w:rFonts w:ascii="Tahoma" w:hAnsi="Tahoma" w:cs="Tahoma"/>
          <w:szCs w:val="24"/>
          <w:lang w:val="es-ES_tradnl"/>
        </w:rPr>
        <w:t>de hábeas corpus</w:t>
      </w:r>
      <w:r w:rsidR="009D73A4" w:rsidRPr="00A16D50">
        <w:rPr>
          <w:rFonts w:ascii="Tahoma" w:hAnsi="Tahoma" w:cs="Tahoma"/>
          <w:szCs w:val="24"/>
          <w:lang w:val="es-ES_tradnl"/>
        </w:rPr>
        <w:t xml:space="preserve"> </w:t>
      </w:r>
      <w:r w:rsidR="000717E3" w:rsidRPr="00A16D50">
        <w:rPr>
          <w:rFonts w:ascii="Tahoma" w:hAnsi="Tahoma" w:cs="Tahoma"/>
          <w:szCs w:val="24"/>
          <w:lang w:val="es-ES_tradnl"/>
        </w:rPr>
        <w:t>para obtener</w:t>
      </w:r>
      <w:r w:rsidR="009D73A4" w:rsidRPr="00A16D50">
        <w:rPr>
          <w:rFonts w:ascii="Tahoma" w:hAnsi="Tahoma" w:cs="Tahoma"/>
          <w:szCs w:val="24"/>
          <w:lang w:val="es-ES_tradnl"/>
        </w:rPr>
        <w:t xml:space="preserve"> se ordene </w:t>
      </w:r>
      <w:r w:rsidR="00C664C1" w:rsidRPr="00A16D50">
        <w:rPr>
          <w:rFonts w:ascii="Tahoma" w:hAnsi="Tahoma" w:cs="Tahoma"/>
          <w:szCs w:val="24"/>
          <w:lang w:val="es-ES_tradnl"/>
        </w:rPr>
        <w:t xml:space="preserve">la libertad inmediata de su </w:t>
      </w:r>
      <w:r w:rsidR="00C664C1" w:rsidRPr="00A16D50">
        <w:rPr>
          <w:rFonts w:ascii="Tahoma" w:hAnsi="Tahoma" w:cs="Tahoma"/>
          <w:szCs w:val="24"/>
        </w:rPr>
        <w:t>cónyuge</w:t>
      </w:r>
      <w:r w:rsidR="00C664C1" w:rsidRPr="00A16D50">
        <w:rPr>
          <w:rFonts w:ascii="Tahoma" w:hAnsi="Tahoma" w:cs="Tahoma"/>
          <w:szCs w:val="24"/>
          <w:lang w:val="es-ES_tradnl"/>
        </w:rPr>
        <w:t xml:space="preserve"> Josué Adán Lemus Lara.</w:t>
      </w:r>
    </w:p>
    <w:p w:rsidR="00C664C1" w:rsidRPr="00A16D50" w:rsidRDefault="00C664C1" w:rsidP="00A16D50">
      <w:pPr>
        <w:spacing w:line="276" w:lineRule="auto"/>
        <w:jc w:val="both"/>
        <w:rPr>
          <w:rFonts w:ascii="Tahoma" w:hAnsi="Tahoma" w:cs="Tahoma"/>
          <w:szCs w:val="24"/>
          <w:lang w:val="es-ES_tradnl"/>
        </w:rPr>
      </w:pPr>
    </w:p>
    <w:p w:rsidR="003E21B4" w:rsidRPr="00A16D50" w:rsidRDefault="003E21B4" w:rsidP="00A16D50">
      <w:pPr>
        <w:spacing w:line="276" w:lineRule="auto"/>
        <w:jc w:val="both"/>
        <w:rPr>
          <w:rFonts w:ascii="Tahoma" w:hAnsi="Tahoma" w:cs="Tahoma"/>
          <w:szCs w:val="24"/>
          <w:lang w:val="es-ES_tradnl"/>
        </w:rPr>
      </w:pPr>
      <w:r w:rsidRPr="00A16D50">
        <w:rPr>
          <w:rFonts w:ascii="Tahoma" w:hAnsi="Tahoma" w:cs="Tahoma"/>
          <w:szCs w:val="24"/>
          <w:lang w:val="es-ES_tradnl"/>
        </w:rPr>
        <w:t>E</w:t>
      </w:r>
      <w:r w:rsidR="00562DCC" w:rsidRPr="00A16D50">
        <w:rPr>
          <w:rFonts w:ascii="Tahoma" w:hAnsi="Tahoma" w:cs="Tahoma"/>
          <w:szCs w:val="24"/>
          <w:lang w:val="es-ES_tradnl"/>
        </w:rPr>
        <w:t xml:space="preserve">n el escrito </w:t>
      </w:r>
      <w:r w:rsidRPr="00A16D50">
        <w:rPr>
          <w:rFonts w:ascii="Tahoma" w:hAnsi="Tahoma" w:cs="Tahoma"/>
          <w:szCs w:val="24"/>
          <w:lang w:val="es-ES_tradnl"/>
        </w:rPr>
        <w:t>respectivo</w:t>
      </w:r>
      <w:r w:rsidR="0074365F" w:rsidRPr="00A16D50">
        <w:rPr>
          <w:rFonts w:ascii="Tahoma" w:hAnsi="Tahoma" w:cs="Tahoma"/>
          <w:szCs w:val="24"/>
          <w:lang w:val="es-ES_tradnl"/>
        </w:rPr>
        <w:t xml:space="preserve"> se</w:t>
      </w:r>
      <w:r w:rsidR="009F7B28" w:rsidRPr="00A16D50">
        <w:rPr>
          <w:rFonts w:ascii="Tahoma" w:hAnsi="Tahoma" w:cs="Tahoma"/>
          <w:szCs w:val="24"/>
          <w:lang w:val="es-ES_tradnl"/>
        </w:rPr>
        <w:t xml:space="preserve"> </w:t>
      </w:r>
      <w:r w:rsidRPr="00A16D50">
        <w:rPr>
          <w:rFonts w:ascii="Tahoma" w:hAnsi="Tahoma" w:cs="Tahoma"/>
          <w:szCs w:val="24"/>
          <w:lang w:val="es-ES_tradnl"/>
        </w:rPr>
        <w:t>aduce que</w:t>
      </w:r>
      <w:r w:rsidR="00C664C1" w:rsidRPr="00A16D50">
        <w:rPr>
          <w:rFonts w:ascii="Tahoma" w:hAnsi="Tahoma" w:cs="Tahoma"/>
          <w:szCs w:val="24"/>
          <w:lang w:val="es-ES_tradnl"/>
        </w:rPr>
        <w:t xml:space="preserve"> el citado señor</w:t>
      </w:r>
      <w:r w:rsidRPr="00A16D50">
        <w:rPr>
          <w:rFonts w:ascii="Tahoma" w:hAnsi="Tahoma" w:cs="Tahoma"/>
          <w:szCs w:val="24"/>
          <w:lang w:val="es-ES_tradnl"/>
        </w:rPr>
        <w:t xml:space="preserve"> se encuentra detenido </w:t>
      </w:r>
      <w:r w:rsidR="00C664C1" w:rsidRPr="00A16D50">
        <w:rPr>
          <w:rFonts w:ascii="Tahoma" w:hAnsi="Tahoma" w:cs="Tahoma"/>
          <w:szCs w:val="24"/>
          <w:lang w:val="es-ES_tradnl"/>
        </w:rPr>
        <w:t>el establecimiento carcelario</w:t>
      </w:r>
      <w:r w:rsidR="004C4B6B" w:rsidRPr="00A16D50">
        <w:rPr>
          <w:rFonts w:ascii="Tahoma" w:hAnsi="Tahoma" w:cs="Tahoma"/>
          <w:szCs w:val="24"/>
          <w:lang w:val="es-ES_tradnl"/>
        </w:rPr>
        <w:t xml:space="preserve"> de</w:t>
      </w:r>
      <w:r w:rsidR="00C664C1" w:rsidRPr="00A16D50">
        <w:rPr>
          <w:rFonts w:ascii="Tahoma" w:hAnsi="Tahoma" w:cs="Tahoma"/>
          <w:szCs w:val="24"/>
          <w:lang w:val="es-ES_tradnl"/>
        </w:rPr>
        <w:t xml:space="preserve"> La Picota de Bogotá</w:t>
      </w:r>
      <w:r w:rsidRPr="00A16D50">
        <w:rPr>
          <w:rFonts w:ascii="Tahoma" w:hAnsi="Tahoma" w:cs="Tahoma"/>
          <w:szCs w:val="24"/>
          <w:lang w:val="es-ES_tradnl"/>
        </w:rPr>
        <w:t>.</w:t>
      </w:r>
    </w:p>
    <w:p w:rsidR="003E21B4" w:rsidRPr="00A16D50" w:rsidRDefault="003E21B4" w:rsidP="00A16D50">
      <w:pPr>
        <w:spacing w:line="276" w:lineRule="auto"/>
        <w:jc w:val="both"/>
        <w:rPr>
          <w:rFonts w:ascii="Tahoma" w:hAnsi="Tahoma" w:cs="Tahoma"/>
          <w:szCs w:val="24"/>
          <w:lang w:val="es-ES_tradnl"/>
        </w:rPr>
      </w:pPr>
    </w:p>
    <w:p w:rsidR="003E21B4" w:rsidRPr="00A16D50" w:rsidRDefault="003E21B4" w:rsidP="00A16D50">
      <w:pPr>
        <w:spacing w:line="276" w:lineRule="auto"/>
        <w:jc w:val="both"/>
        <w:rPr>
          <w:rFonts w:ascii="Tahoma" w:hAnsi="Tahoma" w:cs="Tahoma"/>
          <w:szCs w:val="24"/>
          <w:lang w:val="es-ES_tradnl"/>
        </w:rPr>
      </w:pPr>
      <w:r w:rsidRPr="00A16D50">
        <w:rPr>
          <w:rFonts w:ascii="Tahoma" w:hAnsi="Tahoma" w:cs="Tahoma"/>
          <w:szCs w:val="24"/>
          <w:lang w:val="es-ES_tradnl"/>
        </w:rPr>
        <w:t>El numeral 1º del artículo 2º de la Ley 1095 de 2006 dice que son competentes para conocer de la solicitud de hábeas corpus todos los jueces y tribunales de la Rama Judicial del Poder Público, norma respecto de la cual la Corte Constitucional en sentencia C-187 de 2006, por medio de la cual revisó d</w:t>
      </w:r>
      <w:r w:rsidR="00334826" w:rsidRPr="00A16D50">
        <w:rPr>
          <w:rFonts w:ascii="Tahoma" w:hAnsi="Tahoma" w:cs="Tahoma"/>
          <w:szCs w:val="24"/>
          <w:lang w:val="es-ES_tradnl"/>
        </w:rPr>
        <w:t>e m</w:t>
      </w:r>
      <w:r w:rsidRPr="00A16D50">
        <w:rPr>
          <w:rFonts w:ascii="Tahoma" w:hAnsi="Tahoma" w:cs="Tahoma"/>
          <w:szCs w:val="24"/>
          <w:lang w:val="es-ES_tradnl"/>
        </w:rPr>
        <w:t>anera previa el proyecto de ley estatutaria respectivo, dijo:</w:t>
      </w:r>
    </w:p>
    <w:p w:rsidR="003E21B4" w:rsidRPr="00A16D50" w:rsidRDefault="003E21B4" w:rsidP="00A16D50">
      <w:pPr>
        <w:spacing w:line="276" w:lineRule="auto"/>
        <w:jc w:val="both"/>
        <w:rPr>
          <w:rFonts w:ascii="Tahoma" w:hAnsi="Tahoma" w:cs="Tahoma"/>
          <w:szCs w:val="24"/>
          <w:lang w:val="es-ES_tradnl"/>
        </w:rPr>
      </w:pPr>
    </w:p>
    <w:p w:rsidR="00A61DF4" w:rsidRPr="00A16D50" w:rsidRDefault="003E21B4" w:rsidP="00A16D50">
      <w:pPr>
        <w:ind w:left="426" w:right="420"/>
        <w:jc w:val="both"/>
        <w:rPr>
          <w:rFonts w:ascii="Tahoma" w:hAnsi="Tahoma" w:cs="Tahoma"/>
          <w:i/>
          <w:sz w:val="22"/>
          <w:szCs w:val="24"/>
        </w:rPr>
      </w:pPr>
      <w:bookmarkStart w:id="1" w:name="CiTag-1"/>
      <w:r w:rsidRPr="00A16D50">
        <w:rPr>
          <w:rFonts w:ascii="Tahoma" w:hAnsi="Tahoma" w:cs="Tahoma"/>
          <w:i/>
          <w:sz w:val="22"/>
          <w:szCs w:val="24"/>
        </w:rPr>
        <w:t>“Son competentes para conocer del hábeas corpus las autoridades mencionadas en esta providencia, a lo cual se ha de agregar el factor territorial, en virtud del cual conocerá de la petición la autoridad con jurisdicción en el lugar donde ocurrieron los hechos. En aplicación de los principios de inmediación, celeridad, eficacia y eficiencia, propios de la actividad judicial, la Corte encuentra que el legislador, al establecer la forma cómo se distribuye la jurisdicción para estos casos, actuó dentro del ámbito de sus potestades constitucionales, en particular de las establecidas en el artículo 150-1 superior.</w:t>
      </w:r>
    </w:p>
    <w:p w:rsidR="003E21B4" w:rsidRPr="00A16D50" w:rsidRDefault="003E21B4" w:rsidP="00A16D50">
      <w:pPr>
        <w:ind w:left="426" w:right="420"/>
        <w:jc w:val="both"/>
        <w:rPr>
          <w:rFonts w:ascii="Tahoma" w:hAnsi="Tahoma" w:cs="Tahoma"/>
          <w:i/>
          <w:sz w:val="22"/>
          <w:szCs w:val="24"/>
        </w:rPr>
      </w:pPr>
      <w:r w:rsidRPr="00A16D50">
        <w:rPr>
          <w:rFonts w:ascii="Tahoma" w:hAnsi="Tahoma" w:cs="Tahoma"/>
          <w:i/>
          <w:sz w:val="22"/>
          <w:szCs w:val="24"/>
        </w:rPr>
        <w:br/>
        <w:t xml:space="preserve">“La Corte considera propio de esta acción que el juez cuente con la posibilidad </w:t>
      </w:r>
      <w:r w:rsidRPr="00A16D50">
        <w:rPr>
          <w:rFonts w:ascii="Tahoma" w:hAnsi="Tahoma" w:cs="Tahoma"/>
          <w:i/>
          <w:sz w:val="22"/>
          <w:szCs w:val="24"/>
        </w:rPr>
        <w:lastRenderedPageBreak/>
        <w:t>inmediata de visitar a la persona en su lugar de reclusión, de entrevistar a las autoridades que hayan conocido del caso, de inspeccionar la documentación pertinente y de practicar in situ las demás diligencias que considere conducentes para el esclarecimiento de los hechos. Por estas razones, será competente la autoridad con jurisdicción en el lugar donde la persona se encuentre privada de la libertad</w:t>
      </w:r>
      <w:bookmarkEnd w:id="1"/>
      <w:r w:rsidRPr="00A16D50">
        <w:rPr>
          <w:rFonts w:ascii="Tahoma" w:hAnsi="Tahoma" w:cs="Tahoma"/>
          <w:i/>
          <w:sz w:val="22"/>
          <w:szCs w:val="24"/>
        </w:rPr>
        <w:t>….”</w:t>
      </w:r>
    </w:p>
    <w:p w:rsidR="002C34A5" w:rsidRPr="00A16D50" w:rsidRDefault="002C34A5" w:rsidP="00A16D50">
      <w:pPr>
        <w:spacing w:line="276" w:lineRule="auto"/>
        <w:jc w:val="both"/>
        <w:rPr>
          <w:rFonts w:ascii="Tahoma" w:hAnsi="Tahoma" w:cs="Tahoma"/>
          <w:szCs w:val="24"/>
          <w:lang w:val="es-ES_tradnl"/>
        </w:rPr>
      </w:pPr>
    </w:p>
    <w:p w:rsidR="002C34A5" w:rsidRPr="00A16D50" w:rsidRDefault="00364737" w:rsidP="00A16D50">
      <w:pPr>
        <w:spacing w:line="276" w:lineRule="auto"/>
        <w:jc w:val="both"/>
        <w:rPr>
          <w:rFonts w:ascii="Tahoma" w:hAnsi="Tahoma" w:cs="Tahoma"/>
          <w:szCs w:val="24"/>
        </w:rPr>
      </w:pPr>
      <w:r w:rsidRPr="00A16D50">
        <w:rPr>
          <w:rFonts w:ascii="Tahoma" w:hAnsi="Tahoma" w:cs="Tahoma"/>
          <w:szCs w:val="24"/>
          <w:lang w:val="es-ES_tradnl"/>
        </w:rPr>
        <w:t xml:space="preserve">En aplicación de ese precedente </w:t>
      </w:r>
      <w:r w:rsidR="002C34A5" w:rsidRPr="00A16D50">
        <w:rPr>
          <w:rFonts w:ascii="Tahoma" w:hAnsi="Tahoma" w:cs="Tahoma"/>
          <w:szCs w:val="24"/>
        </w:rPr>
        <w:t xml:space="preserve">la Sala de Casación Penal de la Corte Suprema de Justicia, </w:t>
      </w:r>
      <w:r w:rsidR="00E57E30" w:rsidRPr="00A16D50">
        <w:rPr>
          <w:rFonts w:ascii="Tahoma" w:hAnsi="Tahoma" w:cs="Tahoma"/>
          <w:szCs w:val="24"/>
        </w:rPr>
        <w:t>expresó:</w:t>
      </w:r>
    </w:p>
    <w:p w:rsidR="002C34A5" w:rsidRPr="00A16D50" w:rsidRDefault="002C34A5" w:rsidP="00A16D50">
      <w:pPr>
        <w:spacing w:line="276" w:lineRule="auto"/>
        <w:jc w:val="both"/>
        <w:rPr>
          <w:rFonts w:ascii="Tahoma" w:hAnsi="Tahoma" w:cs="Tahoma"/>
          <w:szCs w:val="24"/>
        </w:rPr>
      </w:pPr>
    </w:p>
    <w:p w:rsidR="002C34A5" w:rsidRPr="00A16D50" w:rsidRDefault="00FB7B2C" w:rsidP="00A16D50">
      <w:pPr>
        <w:ind w:left="426" w:right="420"/>
        <w:jc w:val="both"/>
        <w:rPr>
          <w:rFonts w:ascii="Tahoma" w:hAnsi="Tahoma" w:cs="Tahoma"/>
          <w:i/>
          <w:sz w:val="22"/>
          <w:szCs w:val="24"/>
        </w:rPr>
      </w:pPr>
      <w:r w:rsidRPr="00A16D50">
        <w:rPr>
          <w:rFonts w:ascii="Tahoma" w:hAnsi="Tahoma" w:cs="Tahoma"/>
          <w:i/>
          <w:sz w:val="22"/>
          <w:szCs w:val="24"/>
        </w:rPr>
        <w:t>“</w:t>
      </w:r>
      <w:r w:rsidR="002C34A5" w:rsidRPr="00A16D50">
        <w:rPr>
          <w:rFonts w:ascii="Tahoma" w:hAnsi="Tahoma" w:cs="Tahoma"/>
          <w:i/>
          <w:sz w:val="22"/>
          <w:szCs w:val="24"/>
        </w:rPr>
        <w:t>Así las cosas, se observa que dentro del debido proceso exigido en punto de la acción de hábeas corpus, también se encuentra que el funcionario judicial tenga competencia territorial, de donde se sigue que se debe resolver tal aspecto.</w:t>
      </w:r>
    </w:p>
    <w:p w:rsidR="002C34A5" w:rsidRPr="00A16D50" w:rsidRDefault="002C34A5" w:rsidP="00A16D50">
      <w:pPr>
        <w:ind w:left="426" w:right="420"/>
        <w:jc w:val="both"/>
        <w:rPr>
          <w:rFonts w:ascii="Tahoma" w:hAnsi="Tahoma" w:cs="Tahoma"/>
          <w:i/>
          <w:sz w:val="22"/>
          <w:szCs w:val="24"/>
        </w:rPr>
      </w:pPr>
    </w:p>
    <w:p w:rsidR="002C34A5" w:rsidRPr="00A16D50" w:rsidRDefault="002C34A5" w:rsidP="00A16D50">
      <w:pPr>
        <w:ind w:left="426" w:right="420"/>
        <w:jc w:val="both"/>
        <w:rPr>
          <w:rFonts w:ascii="Tahoma" w:hAnsi="Tahoma" w:cs="Tahoma"/>
          <w:i/>
          <w:sz w:val="22"/>
          <w:szCs w:val="24"/>
        </w:rPr>
      </w:pPr>
      <w:r w:rsidRPr="00A16D50">
        <w:rPr>
          <w:rFonts w:ascii="Tahoma" w:hAnsi="Tahoma" w:cs="Tahoma"/>
          <w:i/>
          <w:sz w:val="22"/>
          <w:szCs w:val="24"/>
        </w:rPr>
        <w:t>En esa medida, es claro que dentro de la inmediatez de la que está revestida la acción de hábeas corpus, es indispensable garantizar el debido proceso en relación con la competencia territorial del funcionario judi</w:t>
      </w:r>
      <w:r w:rsidR="006030B1" w:rsidRPr="00A16D50">
        <w:rPr>
          <w:rFonts w:ascii="Tahoma" w:hAnsi="Tahoma" w:cs="Tahoma"/>
          <w:i/>
          <w:sz w:val="22"/>
          <w:szCs w:val="24"/>
        </w:rPr>
        <w:t>cial que ha de conocer de ella.</w:t>
      </w:r>
    </w:p>
    <w:p w:rsidR="006030B1" w:rsidRPr="00A16D50" w:rsidRDefault="006030B1" w:rsidP="00A16D50">
      <w:pPr>
        <w:ind w:left="426" w:right="420"/>
        <w:jc w:val="both"/>
        <w:rPr>
          <w:rFonts w:ascii="Tahoma" w:hAnsi="Tahoma" w:cs="Tahoma"/>
          <w:i/>
          <w:sz w:val="22"/>
          <w:szCs w:val="24"/>
        </w:rPr>
      </w:pPr>
    </w:p>
    <w:p w:rsidR="002C34A5" w:rsidRPr="00A16D50" w:rsidRDefault="006030B1" w:rsidP="00A16D50">
      <w:pPr>
        <w:ind w:left="426" w:right="420"/>
        <w:jc w:val="both"/>
        <w:rPr>
          <w:rFonts w:ascii="Tahoma" w:hAnsi="Tahoma" w:cs="Tahoma"/>
          <w:i/>
          <w:sz w:val="22"/>
          <w:szCs w:val="24"/>
        </w:rPr>
      </w:pPr>
      <w:r w:rsidRPr="00A16D50">
        <w:rPr>
          <w:rFonts w:ascii="Tahoma" w:hAnsi="Tahoma" w:cs="Tahoma"/>
          <w:i/>
          <w:sz w:val="22"/>
          <w:szCs w:val="24"/>
        </w:rPr>
        <w:t>…</w:t>
      </w:r>
    </w:p>
    <w:p w:rsidR="006030B1" w:rsidRPr="00A16D50" w:rsidRDefault="006030B1" w:rsidP="00A16D50">
      <w:pPr>
        <w:ind w:left="426" w:right="420"/>
        <w:jc w:val="both"/>
        <w:rPr>
          <w:rFonts w:ascii="Tahoma" w:hAnsi="Tahoma" w:cs="Tahoma"/>
          <w:i/>
          <w:sz w:val="22"/>
          <w:szCs w:val="24"/>
        </w:rPr>
      </w:pPr>
    </w:p>
    <w:p w:rsidR="002C34A5" w:rsidRPr="00A16D50" w:rsidRDefault="002C34A5" w:rsidP="00A16D50">
      <w:pPr>
        <w:ind w:left="426" w:right="420"/>
        <w:jc w:val="both"/>
        <w:rPr>
          <w:rFonts w:ascii="Tahoma" w:hAnsi="Tahoma" w:cs="Tahoma"/>
          <w:bCs/>
          <w:i/>
          <w:szCs w:val="24"/>
          <w:lang w:val="es-MX"/>
        </w:rPr>
      </w:pPr>
      <w:r w:rsidRPr="00A16D50">
        <w:rPr>
          <w:rFonts w:ascii="Tahoma" w:hAnsi="Tahoma" w:cs="Tahoma"/>
          <w:i/>
          <w:sz w:val="22"/>
          <w:szCs w:val="24"/>
        </w:rPr>
        <w:t>En esa medida, la determinación que debió adoptar el Magistrado de la Sala de Decisión Penal del Tribunal Superior de Neiva, vistos los principios que informan la acción de hábeas corpus arriba precisados, era “declararse incompetente para resolver sobre ésta y trasladar las diligencias, de inmediato”, en este caso, al Tribunal Superior de Florencia, como más adelante se verá, para que fallara</w:t>
      </w:r>
      <w:r w:rsidR="000D2D89" w:rsidRPr="00A16D50">
        <w:rPr>
          <w:rFonts w:ascii="Tahoma" w:hAnsi="Tahoma" w:cs="Tahoma"/>
          <w:i/>
          <w:sz w:val="22"/>
          <w:szCs w:val="24"/>
        </w:rPr>
        <w:t>…</w:t>
      </w:r>
      <w:r w:rsidRPr="00A16D50">
        <w:rPr>
          <w:rFonts w:ascii="Tahoma" w:hAnsi="Tahoma" w:cs="Tahoma"/>
          <w:i/>
          <w:sz w:val="22"/>
          <w:szCs w:val="24"/>
        </w:rPr>
        <w:t>”</w:t>
      </w:r>
      <w:r w:rsidR="00A16D50">
        <w:rPr>
          <w:rFonts w:ascii="Tahoma" w:hAnsi="Tahoma" w:cs="Tahoma"/>
          <w:i/>
          <w:sz w:val="22"/>
          <w:szCs w:val="24"/>
        </w:rPr>
        <w:t xml:space="preserve"> </w:t>
      </w:r>
      <w:r w:rsidRPr="00A16D50">
        <w:rPr>
          <w:rStyle w:val="Refdenotaalpie"/>
          <w:rFonts w:ascii="Tahoma" w:hAnsi="Tahoma" w:cs="Tahoma"/>
          <w:bCs/>
          <w:i/>
          <w:szCs w:val="24"/>
          <w:lang w:val="es-MX"/>
        </w:rPr>
        <w:footnoteReference w:id="1"/>
      </w:r>
    </w:p>
    <w:p w:rsidR="00C664C1" w:rsidRPr="00A16D50" w:rsidRDefault="00C664C1" w:rsidP="00A16D50">
      <w:pPr>
        <w:spacing w:line="276" w:lineRule="auto"/>
        <w:jc w:val="both"/>
        <w:rPr>
          <w:rFonts w:ascii="Tahoma" w:hAnsi="Tahoma" w:cs="Tahoma"/>
          <w:bCs/>
          <w:szCs w:val="24"/>
        </w:rPr>
      </w:pPr>
    </w:p>
    <w:p w:rsidR="002C34A5" w:rsidRPr="00A16D50" w:rsidRDefault="002C34A5" w:rsidP="00A16D50">
      <w:pPr>
        <w:spacing w:line="276" w:lineRule="auto"/>
        <w:jc w:val="both"/>
        <w:rPr>
          <w:rFonts w:ascii="Tahoma" w:hAnsi="Tahoma" w:cs="Tahoma"/>
          <w:bCs/>
          <w:szCs w:val="24"/>
        </w:rPr>
      </w:pPr>
      <w:r w:rsidRPr="00A16D50">
        <w:rPr>
          <w:rFonts w:ascii="Tahoma" w:hAnsi="Tahoma" w:cs="Tahoma"/>
          <w:bCs/>
          <w:szCs w:val="24"/>
        </w:rPr>
        <w:t>Más reciente</w:t>
      </w:r>
      <w:r w:rsidR="000137FC" w:rsidRPr="00A16D50">
        <w:rPr>
          <w:rFonts w:ascii="Tahoma" w:hAnsi="Tahoma" w:cs="Tahoma"/>
          <w:bCs/>
          <w:szCs w:val="24"/>
          <w:lang w:val="es-CO"/>
        </w:rPr>
        <w:t>mente</w:t>
      </w:r>
      <w:r w:rsidR="00E83B54" w:rsidRPr="00A16D50">
        <w:rPr>
          <w:rFonts w:ascii="Tahoma" w:hAnsi="Tahoma" w:cs="Tahoma"/>
          <w:bCs/>
          <w:szCs w:val="24"/>
          <w:lang w:val="es-CO"/>
        </w:rPr>
        <w:t xml:space="preserve">, esa última Corporación, en </w:t>
      </w:r>
      <w:r w:rsidRPr="00A16D50">
        <w:rPr>
          <w:rFonts w:ascii="Tahoma" w:hAnsi="Tahoma" w:cs="Tahoma"/>
          <w:bCs/>
          <w:szCs w:val="24"/>
        </w:rPr>
        <w:t xml:space="preserve">sede de tutela, señaló: </w:t>
      </w:r>
    </w:p>
    <w:p w:rsidR="002C34A5" w:rsidRPr="00A16D50" w:rsidRDefault="002C34A5" w:rsidP="00A16D50">
      <w:pPr>
        <w:spacing w:line="276" w:lineRule="auto"/>
        <w:jc w:val="both"/>
        <w:rPr>
          <w:rFonts w:ascii="Tahoma" w:hAnsi="Tahoma" w:cs="Tahoma"/>
          <w:bCs/>
          <w:szCs w:val="24"/>
          <w:lang w:val="es-MX"/>
        </w:rPr>
      </w:pPr>
    </w:p>
    <w:p w:rsidR="002C34A5" w:rsidRPr="00A16D50" w:rsidRDefault="000D2D89" w:rsidP="00A16D50">
      <w:pPr>
        <w:pStyle w:val="Sinespaciado"/>
        <w:ind w:left="426" w:right="420"/>
        <w:jc w:val="both"/>
        <w:rPr>
          <w:rFonts w:ascii="Tahoma" w:hAnsi="Tahoma" w:cs="Tahoma"/>
          <w:i/>
          <w:sz w:val="22"/>
        </w:rPr>
      </w:pPr>
      <w:r w:rsidRPr="00A16D50">
        <w:rPr>
          <w:rFonts w:ascii="Tahoma" w:hAnsi="Tahoma" w:cs="Tahoma"/>
          <w:i/>
          <w:sz w:val="22"/>
        </w:rPr>
        <w:t>“</w:t>
      </w:r>
      <w:r w:rsidR="002C34A5" w:rsidRPr="00A16D50">
        <w:rPr>
          <w:rFonts w:ascii="Tahoma" w:hAnsi="Tahoma" w:cs="Tahoma"/>
          <w:i/>
          <w:sz w:val="22"/>
        </w:rPr>
        <w:t>Lo primero que debe aducirse al respecto es que no puede ponerse en discusión ni proponer otras interpretaciones a lo ya reiterado por la jurisprudencia en cuanto a la competencia del funcionario para decidir la acción de habeas corpus, como lo proponen los recurrentes, punto sobre el cual ya se estableció que lo es el del lugar donde la persona se halle privada de la libertad.</w:t>
      </w:r>
    </w:p>
    <w:p w:rsidR="000137FC" w:rsidRPr="00A16D50" w:rsidRDefault="000137FC" w:rsidP="00A16D50">
      <w:pPr>
        <w:pStyle w:val="Sinespaciado"/>
        <w:ind w:left="426" w:right="420"/>
        <w:jc w:val="both"/>
        <w:rPr>
          <w:rFonts w:ascii="Tahoma" w:hAnsi="Tahoma" w:cs="Tahoma"/>
          <w:sz w:val="22"/>
        </w:rPr>
      </w:pPr>
    </w:p>
    <w:p w:rsidR="002C34A5" w:rsidRPr="00A16D50" w:rsidRDefault="000137FC" w:rsidP="00A16D50">
      <w:pPr>
        <w:pStyle w:val="Sinespaciado"/>
        <w:ind w:left="426" w:right="420"/>
        <w:jc w:val="both"/>
        <w:rPr>
          <w:rFonts w:ascii="Tahoma" w:hAnsi="Tahoma" w:cs="Tahoma"/>
          <w:sz w:val="22"/>
        </w:rPr>
      </w:pPr>
      <w:r w:rsidRPr="00A16D50">
        <w:rPr>
          <w:rFonts w:ascii="Tahoma" w:hAnsi="Tahoma" w:cs="Tahoma"/>
          <w:sz w:val="22"/>
        </w:rPr>
        <w:t>…</w:t>
      </w:r>
    </w:p>
    <w:p w:rsidR="007B1C04" w:rsidRPr="00A16D50" w:rsidRDefault="007B1C04" w:rsidP="00A16D50">
      <w:pPr>
        <w:pStyle w:val="Sinespaciado"/>
        <w:ind w:left="426" w:right="420"/>
        <w:jc w:val="both"/>
        <w:rPr>
          <w:rFonts w:ascii="Tahoma" w:hAnsi="Tahoma" w:cs="Tahoma"/>
          <w:sz w:val="22"/>
        </w:rPr>
      </w:pPr>
    </w:p>
    <w:p w:rsidR="002C34A5" w:rsidRPr="00A16D50" w:rsidRDefault="002C34A5" w:rsidP="00A16D50">
      <w:pPr>
        <w:pStyle w:val="Sinespaciado"/>
        <w:ind w:left="426" w:right="420"/>
        <w:jc w:val="both"/>
        <w:rPr>
          <w:rFonts w:ascii="Tahoma" w:hAnsi="Tahoma" w:cs="Tahoma"/>
          <w:i/>
          <w:sz w:val="22"/>
          <w:u w:val="single"/>
        </w:rPr>
      </w:pPr>
      <w:r w:rsidRPr="00A16D50">
        <w:rPr>
          <w:rFonts w:ascii="Tahoma" w:hAnsi="Tahoma" w:cs="Tahoma"/>
          <w:i/>
          <w:sz w:val="22"/>
        </w:rPr>
        <w:t>7.2. Pues bien, en el asunto que ahora se cuestiona, está plenamen</w:t>
      </w:r>
      <w:r w:rsidR="007B1C04" w:rsidRPr="00A16D50">
        <w:rPr>
          <w:rFonts w:ascii="Tahoma" w:hAnsi="Tahoma" w:cs="Tahoma"/>
          <w:i/>
          <w:sz w:val="22"/>
        </w:rPr>
        <w:t>te establecido que en contra de…</w:t>
      </w:r>
      <w:r w:rsidRPr="00A16D50">
        <w:rPr>
          <w:rFonts w:ascii="Tahoma" w:hAnsi="Tahoma" w:cs="Tahoma"/>
          <w:i/>
          <w:sz w:val="22"/>
        </w:rPr>
        <w:t xml:space="preserve"> cursa proceso penal ante el Juzgado Quince Penal del Circuito de esta ciudad, respecto de quien, a través de agente oficiosa, el 5 de abril de 2017 se radicó solicitud de habeas corpus que, por reparto, correspondió al Juzgado Tercero Penal Municipal de Montería, despacho que, en providencia del 6 de ese mismo mes, declaró probada tal acción en favor del citado y en consecuencia dispuso su libertad inmediata. </w:t>
      </w:r>
      <w:r w:rsidRPr="00A16D50">
        <w:rPr>
          <w:rFonts w:ascii="Tahoma" w:hAnsi="Tahoma" w:cs="Tahoma"/>
          <w:i/>
          <w:sz w:val="22"/>
          <w:u w:val="single"/>
        </w:rPr>
        <w:t>Igualmente está acreditado que para la fecha de presentación del libelo el implicado se hallaba detenido en la cárcel La Picota de Bogotá.</w:t>
      </w:r>
    </w:p>
    <w:p w:rsidR="002C34A5" w:rsidRPr="00A16D50" w:rsidRDefault="002C34A5" w:rsidP="00A16D50">
      <w:pPr>
        <w:pStyle w:val="Sinespaciado"/>
        <w:ind w:left="426" w:right="420"/>
        <w:jc w:val="both"/>
        <w:rPr>
          <w:rFonts w:ascii="Tahoma" w:hAnsi="Tahoma" w:cs="Tahoma"/>
          <w:i/>
          <w:sz w:val="22"/>
        </w:rPr>
      </w:pPr>
    </w:p>
    <w:p w:rsidR="002C34A5" w:rsidRPr="00A16D50" w:rsidRDefault="002C34A5" w:rsidP="00A16D50">
      <w:pPr>
        <w:pStyle w:val="Sinespaciado"/>
        <w:ind w:left="426" w:right="420"/>
        <w:jc w:val="both"/>
        <w:rPr>
          <w:rFonts w:ascii="Tahoma" w:hAnsi="Tahoma" w:cs="Tahoma"/>
          <w:sz w:val="22"/>
          <w:u w:val="single"/>
        </w:rPr>
      </w:pPr>
      <w:r w:rsidRPr="00A16D50">
        <w:rPr>
          <w:rFonts w:ascii="Tahoma" w:hAnsi="Tahoma" w:cs="Tahoma"/>
          <w:i/>
          <w:sz w:val="22"/>
          <w:u w:val="single"/>
        </w:rPr>
        <w:t>De acuerdo con lo señalado y según el precedente jurisprudencial aludido, es claro que en dicho asunto la autoridad judicial competente para conocer de la acción impetrada, por el factor territorial, no podía ser otra que aquella que tuviera jurisdicción en el lugar donde se hallaba privado de libertad el procesado, que para el caso, según se precisó, era Bogotá</w:t>
      </w:r>
      <w:r w:rsidRPr="00A16D50">
        <w:rPr>
          <w:rFonts w:ascii="Tahoma" w:hAnsi="Tahoma" w:cs="Tahoma"/>
          <w:i/>
          <w:sz w:val="22"/>
        </w:rPr>
        <w:t>.</w:t>
      </w:r>
      <w:r w:rsidR="00744E2B" w:rsidRPr="00A16D50">
        <w:rPr>
          <w:rFonts w:ascii="Tahoma" w:hAnsi="Tahoma" w:cs="Tahoma"/>
          <w:i/>
          <w:sz w:val="22"/>
        </w:rPr>
        <w:t>”</w:t>
      </w:r>
      <w:r w:rsidR="00A76823" w:rsidRPr="00A16D50">
        <w:rPr>
          <w:rStyle w:val="Refdenotaalpie"/>
          <w:rFonts w:ascii="Tahoma" w:hAnsi="Tahoma" w:cs="Tahoma"/>
          <w:i/>
          <w:sz w:val="22"/>
        </w:rPr>
        <w:footnoteReference w:id="2"/>
      </w:r>
      <w:r w:rsidR="004C4B6B" w:rsidRPr="00A16D50">
        <w:rPr>
          <w:rFonts w:ascii="Tahoma" w:hAnsi="Tahoma" w:cs="Tahoma"/>
          <w:i/>
          <w:sz w:val="22"/>
        </w:rPr>
        <w:t xml:space="preserve"> </w:t>
      </w:r>
      <w:r w:rsidR="004C4B6B" w:rsidRPr="00A16D50">
        <w:rPr>
          <w:rFonts w:ascii="Tahoma" w:hAnsi="Tahoma" w:cs="Tahoma"/>
          <w:sz w:val="22"/>
        </w:rPr>
        <w:t>(Subrayas fuera del texto original)</w:t>
      </w:r>
    </w:p>
    <w:p w:rsidR="002C34A5" w:rsidRPr="00A16D50" w:rsidRDefault="002C34A5" w:rsidP="00A16D50">
      <w:pPr>
        <w:spacing w:line="276" w:lineRule="auto"/>
        <w:jc w:val="both"/>
        <w:rPr>
          <w:rFonts w:ascii="Tahoma" w:hAnsi="Tahoma" w:cs="Tahoma"/>
          <w:i/>
          <w:szCs w:val="24"/>
          <w:lang w:val="es-ES_tradnl"/>
        </w:rPr>
      </w:pPr>
    </w:p>
    <w:p w:rsidR="006004B6" w:rsidRDefault="003E21B4" w:rsidP="00A16D50">
      <w:pPr>
        <w:spacing w:line="276" w:lineRule="auto"/>
        <w:jc w:val="both"/>
        <w:rPr>
          <w:rFonts w:ascii="Tahoma" w:hAnsi="Tahoma" w:cs="Tahoma"/>
          <w:szCs w:val="24"/>
          <w:lang w:val="es-ES_tradnl"/>
        </w:rPr>
      </w:pPr>
      <w:r w:rsidRPr="00A16D50">
        <w:rPr>
          <w:rFonts w:ascii="Tahoma" w:hAnsi="Tahoma" w:cs="Tahoma"/>
          <w:szCs w:val="24"/>
          <w:lang w:val="es-ES_tradnl"/>
        </w:rPr>
        <w:lastRenderedPageBreak/>
        <w:t>En esas condiciones, como de la solicitud elevada debe conocer un juez</w:t>
      </w:r>
      <w:r w:rsidR="00334826" w:rsidRPr="00A16D50">
        <w:rPr>
          <w:rFonts w:ascii="Tahoma" w:hAnsi="Tahoma" w:cs="Tahoma"/>
          <w:szCs w:val="24"/>
          <w:lang w:val="es-ES_tradnl"/>
        </w:rPr>
        <w:t xml:space="preserve"> </w:t>
      </w:r>
      <w:r w:rsidRPr="00A16D50">
        <w:rPr>
          <w:rFonts w:ascii="Tahoma" w:hAnsi="Tahoma" w:cs="Tahoma"/>
          <w:szCs w:val="24"/>
          <w:lang w:val="es-ES_tradnl"/>
        </w:rPr>
        <w:t xml:space="preserve">del lugar donde se encuentra detenido el señor </w:t>
      </w:r>
      <w:r w:rsidR="00C664C1" w:rsidRPr="00A16D50">
        <w:rPr>
          <w:rFonts w:ascii="Tahoma" w:hAnsi="Tahoma" w:cs="Tahoma"/>
          <w:szCs w:val="24"/>
          <w:lang w:val="es-ES_tradnl"/>
        </w:rPr>
        <w:t>Josué Adán Lemus Lara</w:t>
      </w:r>
      <w:r w:rsidRPr="00A16D50">
        <w:rPr>
          <w:rFonts w:ascii="Tahoma" w:hAnsi="Tahoma" w:cs="Tahoma"/>
          <w:szCs w:val="24"/>
          <w:lang w:val="es-ES_tradnl"/>
        </w:rPr>
        <w:t xml:space="preserve">, se declarará esta Sala incompetente para tramitarla y ordenará remitirla </w:t>
      </w:r>
      <w:r w:rsidR="004C4B6B" w:rsidRPr="00A16D50">
        <w:rPr>
          <w:rFonts w:ascii="Tahoma" w:hAnsi="Tahoma" w:cs="Tahoma"/>
          <w:szCs w:val="24"/>
          <w:lang w:val="es-ES_tradnl"/>
        </w:rPr>
        <w:t>a la Oficina de Administración Judicial</w:t>
      </w:r>
      <w:r w:rsidR="00B82B36" w:rsidRPr="00A16D50">
        <w:rPr>
          <w:rFonts w:ascii="Tahoma" w:hAnsi="Tahoma" w:cs="Tahoma"/>
          <w:szCs w:val="24"/>
          <w:lang w:val="es-ES_tradnl"/>
        </w:rPr>
        <w:t xml:space="preserve"> </w:t>
      </w:r>
      <w:r w:rsidR="00D30BFB" w:rsidRPr="00A16D50">
        <w:rPr>
          <w:rFonts w:ascii="Tahoma" w:hAnsi="Tahoma" w:cs="Tahoma"/>
          <w:szCs w:val="24"/>
          <w:lang w:val="es-ES_tradnl"/>
        </w:rPr>
        <w:t xml:space="preserve">de </w:t>
      </w:r>
      <w:r w:rsidR="00C664C1" w:rsidRPr="00A16D50">
        <w:rPr>
          <w:rFonts w:ascii="Tahoma" w:hAnsi="Tahoma" w:cs="Tahoma"/>
          <w:szCs w:val="24"/>
          <w:lang w:val="es-ES_tradnl"/>
        </w:rPr>
        <w:t>Bogotá D.C.</w:t>
      </w:r>
      <w:r w:rsidR="00D30BFB" w:rsidRPr="00A16D50">
        <w:rPr>
          <w:rFonts w:ascii="Tahoma" w:hAnsi="Tahoma" w:cs="Tahoma"/>
          <w:szCs w:val="24"/>
          <w:lang w:val="es-ES_tradnl"/>
        </w:rPr>
        <w:t xml:space="preserve">, para que sea repartido entre los </w:t>
      </w:r>
      <w:r w:rsidR="00CF1FB2" w:rsidRPr="00A16D50">
        <w:rPr>
          <w:rFonts w:ascii="Tahoma" w:hAnsi="Tahoma" w:cs="Tahoma"/>
          <w:szCs w:val="24"/>
          <w:lang w:val="es-ES_tradnl"/>
        </w:rPr>
        <w:t>juzgados d</w:t>
      </w:r>
      <w:r w:rsidR="006004B6" w:rsidRPr="00A16D50">
        <w:rPr>
          <w:rFonts w:ascii="Tahoma" w:hAnsi="Tahoma" w:cs="Tahoma"/>
          <w:szCs w:val="24"/>
          <w:lang w:val="es-ES_tradnl"/>
        </w:rPr>
        <w:t>e</w:t>
      </w:r>
      <w:r w:rsidR="00D30BFB" w:rsidRPr="00A16D50">
        <w:rPr>
          <w:rFonts w:ascii="Tahoma" w:hAnsi="Tahoma" w:cs="Tahoma"/>
          <w:szCs w:val="24"/>
          <w:lang w:val="es-ES_tradnl"/>
        </w:rPr>
        <w:t xml:space="preserve"> esa ciudad</w:t>
      </w:r>
      <w:r w:rsidR="006004B6" w:rsidRPr="00A16D50">
        <w:rPr>
          <w:rFonts w:ascii="Tahoma" w:hAnsi="Tahoma" w:cs="Tahoma"/>
          <w:szCs w:val="24"/>
          <w:lang w:val="es-ES_tradnl"/>
        </w:rPr>
        <w:t>.</w:t>
      </w:r>
    </w:p>
    <w:p w:rsidR="00A16D50" w:rsidRPr="00A16D50" w:rsidRDefault="00A16D50" w:rsidP="00A16D50">
      <w:pPr>
        <w:spacing w:line="276" w:lineRule="auto"/>
        <w:jc w:val="both"/>
        <w:rPr>
          <w:rFonts w:ascii="Tahoma" w:hAnsi="Tahoma" w:cs="Tahoma"/>
          <w:szCs w:val="24"/>
          <w:lang w:val="es-ES_tradnl"/>
        </w:rPr>
      </w:pPr>
    </w:p>
    <w:p w:rsidR="001C657F" w:rsidRPr="00A16D50" w:rsidRDefault="001C657F" w:rsidP="00A16D50">
      <w:pPr>
        <w:spacing w:line="276" w:lineRule="auto"/>
        <w:jc w:val="both"/>
        <w:rPr>
          <w:rFonts w:ascii="Tahoma" w:hAnsi="Tahoma" w:cs="Tahoma"/>
          <w:szCs w:val="24"/>
          <w:lang w:val="es-ES_tradnl"/>
        </w:rPr>
      </w:pPr>
      <w:r w:rsidRPr="00A16D50">
        <w:rPr>
          <w:rFonts w:ascii="Tahoma" w:hAnsi="Tahoma" w:cs="Tahoma"/>
          <w:szCs w:val="24"/>
          <w:lang w:val="es-ES_tradnl"/>
        </w:rPr>
        <w:t>Al funcionario que corresponda el asunto, para los fines que estime pertinentes, se le advertirá que quien promovió la acción, envió correo electrónico a la Oficina de Administración Judicial de esta ciudad, en el que informa que del asunto está conociendo un juez de Bogotá, ante quien la intentó inicialmente, desde el 20 de marzo, como no había obtenido respuesta la radicó también en Pereira, pero que el día de ayer le contestaron de aquella ciudad.</w:t>
      </w:r>
    </w:p>
    <w:p w:rsidR="003E21B4" w:rsidRPr="00A16D50" w:rsidRDefault="006004B6" w:rsidP="00A16D50">
      <w:pPr>
        <w:spacing w:line="276" w:lineRule="auto"/>
        <w:jc w:val="both"/>
        <w:rPr>
          <w:rFonts w:ascii="Tahoma" w:hAnsi="Tahoma" w:cs="Tahoma"/>
          <w:szCs w:val="24"/>
          <w:lang w:val="es-ES_tradnl"/>
        </w:rPr>
      </w:pPr>
      <w:r w:rsidRPr="00A16D50">
        <w:rPr>
          <w:rFonts w:ascii="Tahoma" w:hAnsi="Tahoma" w:cs="Tahoma"/>
          <w:szCs w:val="24"/>
          <w:lang w:val="es-ES_tradnl"/>
        </w:rPr>
        <w:t xml:space="preserve"> </w:t>
      </w:r>
    </w:p>
    <w:p w:rsidR="00562DCC" w:rsidRPr="00A16D50" w:rsidRDefault="00CF1FB2" w:rsidP="00A16D50">
      <w:pPr>
        <w:spacing w:line="276" w:lineRule="auto"/>
        <w:jc w:val="both"/>
        <w:rPr>
          <w:rFonts w:ascii="Tahoma" w:hAnsi="Tahoma" w:cs="Tahoma"/>
          <w:szCs w:val="24"/>
          <w:lang w:val="es-ES_tradnl"/>
        </w:rPr>
      </w:pPr>
      <w:r w:rsidRPr="00A16D50">
        <w:rPr>
          <w:rFonts w:ascii="Tahoma" w:hAnsi="Tahoma" w:cs="Tahoma"/>
          <w:szCs w:val="24"/>
          <w:lang w:val="es-ES_tradnl"/>
        </w:rPr>
        <w:t>Por lo expuesto, esta Sala Unitaria Civil-Familia del Tribunal Superior del Distrito Judicial de Pereira,</w:t>
      </w:r>
    </w:p>
    <w:p w:rsidR="00CF1FB2" w:rsidRPr="00A16D50" w:rsidRDefault="00CF1FB2" w:rsidP="00A16D50">
      <w:pPr>
        <w:spacing w:line="276" w:lineRule="auto"/>
        <w:jc w:val="both"/>
        <w:rPr>
          <w:rFonts w:ascii="Tahoma" w:hAnsi="Tahoma" w:cs="Tahoma"/>
          <w:b/>
          <w:szCs w:val="24"/>
          <w:lang w:val="es-ES_tradnl"/>
        </w:rPr>
      </w:pPr>
    </w:p>
    <w:p w:rsidR="00562DCC" w:rsidRPr="00A16D50" w:rsidRDefault="00562DCC" w:rsidP="00A16D50">
      <w:pPr>
        <w:pStyle w:val="Ttulo6"/>
        <w:spacing w:line="276" w:lineRule="auto"/>
        <w:jc w:val="both"/>
        <w:rPr>
          <w:rFonts w:ascii="Tahoma" w:hAnsi="Tahoma" w:cs="Tahoma"/>
          <w:b/>
          <w:bCs/>
          <w:sz w:val="24"/>
          <w:szCs w:val="24"/>
          <w:lang w:val="es-ES_tradnl"/>
        </w:rPr>
      </w:pPr>
      <w:r w:rsidRPr="00A16D50">
        <w:rPr>
          <w:rFonts w:ascii="Tahoma" w:hAnsi="Tahoma" w:cs="Tahoma"/>
          <w:b/>
          <w:bCs/>
          <w:sz w:val="24"/>
          <w:szCs w:val="24"/>
          <w:lang w:val="es-ES_tradnl"/>
        </w:rPr>
        <w:t>R</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E</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S</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U</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E</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L</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V</w:t>
      </w:r>
      <w:r w:rsidR="00A61DF4" w:rsidRPr="00A16D50">
        <w:rPr>
          <w:rFonts w:ascii="Tahoma" w:hAnsi="Tahoma" w:cs="Tahoma"/>
          <w:b/>
          <w:bCs/>
          <w:sz w:val="24"/>
          <w:szCs w:val="24"/>
          <w:lang w:val="es-ES_tradnl"/>
        </w:rPr>
        <w:t xml:space="preserve"> </w:t>
      </w:r>
      <w:r w:rsidRPr="00A16D50">
        <w:rPr>
          <w:rFonts w:ascii="Tahoma" w:hAnsi="Tahoma" w:cs="Tahoma"/>
          <w:b/>
          <w:bCs/>
          <w:sz w:val="24"/>
          <w:szCs w:val="24"/>
          <w:lang w:val="es-ES_tradnl"/>
        </w:rPr>
        <w:t>E</w:t>
      </w:r>
    </w:p>
    <w:p w:rsidR="00562DCC" w:rsidRPr="00A16D50" w:rsidRDefault="00562DCC" w:rsidP="00A16D50">
      <w:pPr>
        <w:spacing w:line="276" w:lineRule="auto"/>
        <w:jc w:val="both"/>
        <w:rPr>
          <w:rFonts w:ascii="Tahoma" w:hAnsi="Tahoma" w:cs="Tahoma"/>
          <w:szCs w:val="24"/>
          <w:lang w:val="es-ES_tradnl"/>
        </w:rPr>
      </w:pPr>
    </w:p>
    <w:p w:rsidR="003E21B4" w:rsidRPr="00A16D50" w:rsidRDefault="003E21B4" w:rsidP="00A16D50">
      <w:pPr>
        <w:spacing w:line="276" w:lineRule="auto"/>
        <w:jc w:val="both"/>
        <w:rPr>
          <w:rFonts w:ascii="Tahoma" w:hAnsi="Tahoma" w:cs="Tahoma"/>
          <w:szCs w:val="24"/>
          <w:lang w:val="es-ES_tradnl"/>
        </w:rPr>
      </w:pPr>
      <w:r w:rsidRPr="00A16D50">
        <w:rPr>
          <w:rFonts w:ascii="Tahoma" w:hAnsi="Tahoma" w:cs="Tahoma"/>
          <w:szCs w:val="24"/>
          <w:lang w:val="es-ES_tradnl"/>
        </w:rPr>
        <w:t>Se declara incompetente</w:t>
      </w:r>
      <w:r w:rsidR="004C4B6B" w:rsidRPr="00A16D50">
        <w:rPr>
          <w:rFonts w:ascii="Tahoma" w:hAnsi="Tahoma" w:cs="Tahoma"/>
          <w:szCs w:val="24"/>
          <w:lang w:val="es-ES_tradnl"/>
        </w:rPr>
        <w:t xml:space="preserve"> la Sala</w:t>
      </w:r>
      <w:r w:rsidRPr="00A16D50">
        <w:rPr>
          <w:rFonts w:ascii="Tahoma" w:hAnsi="Tahoma" w:cs="Tahoma"/>
          <w:szCs w:val="24"/>
          <w:lang w:val="es-ES_tradnl"/>
        </w:rPr>
        <w:t xml:space="preserve"> para conocer la acción de hábeas corpus instaurada por</w:t>
      </w:r>
      <w:r w:rsidR="00C664C1" w:rsidRPr="00A16D50">
        <w:rPr>
          <w:rFonts w:ascii="Tahoma" w:hAnsi="Tahoma" w:cs="Tahoma"/>
          <w:szCs w:val="24"/>
          <w:lang w:val="es-ES_tradnl"/>
        </w:rPr>
        <w:t xml:space="preserve"> la señora</w:t>
      </w:r>
      <w:r w:rsidRPr="00A16D50">
        <w:rPr>
          <w:rFonts w:ascii="Tahoma" w:hAnsi="Tahoma" w:cs="Tahoma"/>
          <w:szCs w:val="24"/>
          <w:lang w:val="es-ES_tradnl"/>
        </w:rPr>
        <w:t xml:space="preserve"> </w:t>
      </w:r>
      <w:r w:rsidR="00C664C1" w:rsidRPr="00A16D50">
        <w:rPr>
          <w:rFonts w:ascii="Tahoma" w:hAnsi="Tahoma" w:cs="Tahoma"/>
          <w:szCs w:val="24"/>
        </w:rPr>
        <w:t>Paula Andrea Moncada Trejos</w:t>
      </w:r>
      <w:r w:rsidR="004C4B6B" w:rsidRPr="00A16D50">
        <w:rPr>
          <w:rFonts w:ascii="Tahoma" w:hAnsi="Tahoma" w:cs="Tahoma"/>
          <w:szCs w:val="24"/>
        </w:rPr>
        <w:t>, en</w:t>
      </w:r>
      <w:r w:rsidR="00C664C1" w:rsidRPr="00A16D50">
        <w:rPr>
          <w:rFonts w:ascii="Tahoma" w:hAnsi="Tahoma" w:cs="Tahoma"/>
          <w:szCs w:val="24"/>
          <w:lang w:val="es-ES_tradnl"/>
        </w:rPr>
        <w:t xml:space="preserve"> nombre de Josué Adán Lemus Lara</w:t>
      </w:r>
      <w:r w:rsidRPr="00A16D50">
        <w:rPr>
          <w:rFonts w:ascii="Tahoma" w:hAnsi="Tahoma" w:cs="Tahoma"/>
          <w:szCs w:val="24"/>
          <w:lang w:val="es-ES_tradnl"/>
        </w:rPr>
        <w:t>.</w:t>
      </w:r>
    </w:p>
    <w:p w:rsidR="003E21B4" w:rsidRPr="00A16D50" w:rsidRDefault="003E21B4" w:rsidP="00A16D50">
      <w:pPr>
        <w:spacing w:line="276" w:lineRule="auto"/>
        <w:jc w:val="both"/>
        <w:rPr>
          <w:rFonts w:ascii="Tahoma" w:hAnsi="Tahoma" w:cs="Tahoma"/>
          <w:szCs w:val="24"/>
          <w:lang w:val="es-ES_tradnl"/>
        </w:rPr>
      </w:pPr>
    </w:p>
    <w:p w:rsidR="006004B6" w:rsidRPr="00A16D50" w:rsidRDefault="003E21B4" w:rsidP="00A16D50">
      <w:pPr>
        <w:spacing w:line="276" w:lineRule="auto"/>
        <w:jc w:val="both"/>
        <w:rPr>
          <w:rFonts w:ascii="Tahoma" w:hAnsi="Tahoma" w:cs="Tahoma"/>
          <w:szCs w:val="24"/>
          <w:lang w:val="es-ES_tradnl"/>
        </w:rPr>
      </w:pPr>
      <w:r w:rsidRPr="00A16D50">
        <w:rPr>
          <w:rFonts w:ascii="Tahoma" w:hAnsi="Tahoma" w:cs="Tahoma"/>
          <w:szCs w:val="24"/>
          <w:lang w:val="es-ES_tradnl"/>
        </w:rPr>
        <w:t xml:space="preserve">Remítanse las diligencias </w:t>
      </w:r>
      <w:r w:rsidR="004C4B6B" w:rsidRPr="00A16D50">
        <w:rPr>
          <w:rFonts w:ascii="Tahoma" w:hAnsi="Tahoma" w:cs="Tahoma"/>
          <w:szCs w:val="24"/>
          <w:lang w:val="es-ES_tradnl"/>
        </w:rPr>
        <w:t xml:space="preserve">la Oficina </w:t>
      </w:r>
      <w:r w:rsidR="00D86DD9" w:rsidRPr="00A16D50">
        <w:rPr>
          <w:rFonts w:ascii="Tahoma" w:hAnsi="Tahoma" w:cs="Tahoma"/>
          <w:szCs w:val="24"/>
          <w:lang w:val="es-ES_tradnl"/>
        </w:rPr>
        <w:t>de Administración</w:t>
      </w:r>
      <w:r w:rsidR="004C4B6B" w:rsidRPr="00A16D50">
        <w:rPr>
          <w:rFonts w:ascii="Tahoma" w:hAnsi="Tahoma" w:cs="Tahoma"/>
          <w:szCs w:val="24"/>
          <w:lang w:val="es-ES_tradnl"/>
        </w:rPr>
        <w:t xml:space="preserve"> Judicial</w:t>
      </w:r>
      <w:r w:rsidR="00D86DD9" w:rsidRPr="00A16D50">
        <w:rPr>
          <w:rFonts w:ascii="Tahoma" w:hAnsi="Tahoma" w:cs="Tahoma"/>
          <w:szCs w:val="24"/>
          <w:lang w:val="es-ES_tradnl"/>
        </w:rPr>
        <w:t xml:space="preserve"> </w:t>
      </w:r>
      <w:r w:rsidR="00C664C1" w:rsidRPr="00A16D50">
        <w:rPr>
          <w:rFonts w:ascii="Tahoma" w:hAnsi="Tahoma" w:cs="Tahoma"/>
          <w:szCs w:val="24"/>
          <w:lang w:val="es-ES_tradnl"/>
        </w:rPr>
        <w:t>de Bogotá D.C.</w:t>
      </w:r>
      <w:r w:rsidR="00D86DD9" w:rsidRPr="00A16D50">
        <w:rPr>
          <w:rFonts w:ascii="Tahoma" w:hAnsi="Tahoma" w:cs="Tahoma"/>
          <w:szCs w:val="24"/>
          <w:lang w:val="es-ES_tradnl"/>
        </w:rPr>
        <w:t>,</w:t>
      </w:r>
      <w:r w:rsidR="00D30BFB" w:rsidRPr="00A16D50">
        <w:rPr>
          <w:rFonts w:ascii="Tahoma" w:hAnsi="Tahoma" w:cs="Tahoma"/>
          <w:szCs w:val="24"/>
          <w:lang w:val="es-ES_tradnl"/>
        </w:rPr>
        <w:t xml:space="preserve"> para que sean repartidas entre los juzgados de esa ciudad</w:t>
      </w:r>
      <w:r w:rsidR="00145A63" w:rsidRPr="00A16D50">
        <w:rPr>
          <w:rFonts w:ascii="Tahoma" w:hAnsi="Tahoma" w:cs="Tahoma"/>
          <w:szCs w:val="24"/>
          <w:lang w:val="es-ES_tradnl"/>
        </w:rPr>
        <w:t>.</w:t>
      </w:r>
    </w:p>
    <w:p w:rsidR="00334826" w:rsidRPr="00A16D50" w:rsidRDefault="006004B6" w:rsidP="00A16D50">
      <w:pPr>
        <w:spacing w:line="276" w:lineRule="auto"/>
        <w:jc w:val="both"/>
        <w:rPr>
          <w:rFonts w:ascii="Tahoma" w:hAnsi="Tahoma" w:cs="Tahoma"/>
          <w:szCs w:val="24"/>
          <w:lang w:val="es-ES_tradnl"/>
        </w:rPr>
      </w:pPr>
      <w:r w:rsidRPr="00A16D50">
        <w:rPr>
          <w:rFonts w:ascii="Tahoma" w:hAnsi="Tahoma" w:cs="Tahoma"/>
          <w:szCs w:val="24"/>
          <w:lang w:val="es-ES_tradnl"/>
        </w:rPr>
        <w:t xml:space="preserve"> </w:t>
      </w:r>
    </w:p>
    <w:p w:rsidR="00334826" w:rsidRPr="00A16D50" w:rsidRDefault="002B7AB0" w:rsidP="00A16D50">
      <w:pPr>
        <w:spacing w:line="276" w:lineRule="auto"/>
        <w:jc w:val="both"/>
        <w:rPr>
          <w:rFonts w:ascii="Tahoma" w:hAnsi="Tahoma" w:cs="Tahoma"/>
          <w:szCs w:val="24"/>
          <w:lang w:val="es-ES_tradnl"/>
        </w:rPr>
      </w:pPr>
      <w:r w:rsidRPr="00A16D50">
        <w:rPr>
          <w:rFonts w:ascii="Tahoma" w:hAnsi="Tahoma" w:cs="Tahoma"/>
          <w:szCs w:val="24"/>
          <w:lang w:val="es-ES_tradnl"/>
        </w:rPr>
        <w:t>Notifíquese este auto a quien promovió la acción</w:t>
      </w:r>
      <w:r w:rsidR="00334826" w:rsidRPr="00A16D50">
        <w:rPr>
          <w:rFonts w:ascii="Tahoma" w:hAnsi="Tahoma" w:cs="Tahoma"/>
          <w:szCs w:val="24"/>
          <w:lang w:val="es-ES_tradnl"/>
        </w:rPr>
        <w:t xml:space="preserve"> por el medio más eficaz.</w:t>
      </w:r>
    </w:p>
    <w:p w:rsidR="00562DCC" w:rsidRPr="00A16D50" w:rsidRDefault="00562DCC" w:rsidP="00A16D50">
      <w:pPr>
        <w:spacing w:line="276" w:lineRule="auto"/>
        <w:jc w:val="both"/>
        <w:rPr>
          <w:rFonts w:ascii="Tahoma" w:hAnsi="Tahoma" w:cs="Tahoma"/>
          <w:szCs w:val="24"/>
          <w:lang w:val="es-ES_tradnl"/>
        </w:rPr>
      </w:pPr>
    </w:p>
    <w:p w:rsidR="00562DCC" w:rsidRPr="00A16D50" w:rsidRDefault="00562DCC" w:rsidP="00A16D50">
      <w:pPr>
        <w:spacing w:line="276" w:lineRule="auto"/>
        <w:jc w:val="both"/>
        <w:rPr>
          <w:rFonts w:ascii="Tahoma" w:hAnsi="Tahoma" w:cs="Tahoma"/>
          <w:b/>
          <w:bCs/>
          <w:szCs w:val="24"/>
          <w:lang w:val="es-ES_tradnl"/>
        </w:rPr>
      </w:pPr>
      <w:r w:rsidRPr="00A16D50">
        <w:rPr>
          <w:rFonts w:ascii="Tahoma" w:hAnsi="Tahoma" w:cs="Tahoma"/>
          <w:b/>
          <w:bCs/>
          <w:szCs w:val="24"/>
          <w:lang w:val="es-ES_tradnl"/>
        </w:rPr>
        <w:t>Notifíquese</w:t>
      </w:r>
      <w:r w:rsidR="004569E0" w:rsidRPr="00A16D50">
        <w:rPr>
          <w:rFonts w:ascii="Tahoma" w:hAnsi="Tahoma" w:cs="Tahoma"/>
          <w:b/>
          <w:bCs/>
          <w:szCs w:val="24"/>
          <w:lang w:val="es-ES_tradnl"/>
        </w:rPr>
        <w:t xml:space="preserve"> y cúmplase,</w:t>
      </w:r>
    </w:p>
    <w:p w:rsidR="00562DCC" w:rsidRPr="00A16D50" w:rsidRDefault="00562DCC" w:rsidP="00A16D50">
      <w:pPr>
        <w:spacing w:line="276" w:lineRule="auto"/>
        <w:jc w:val="both"/>
        <w:rPr>
          <w:rFonts w:ascii="Tahoma" w:hAnsi="Tahoma" w:cs="Tahoma"/>
          <w:szCs w:val="24"/>
          <w:lang w:val="es-ES_tradnl"/>
        </w:rPr>
      </w:pPr>
    </w:p>
    <w:p w:rsidR="00562DCC" w:rsidRPr="00A16D50" w:rsidRDefault="00562DCC" w:rsidP="00A16D50">
      <w:pPr>
        <w:spacing w:line="276" w:lineRule="auto"/>
        <w:jc w:val="both"/>
        <w:rPr>
          <w:rFonts w:ascii="Tahoma" w:hAnsi="Tahoma" w:cs="Tahoma"/>
          <w:szCs w:val="24"/>
          <w:lang w:val="es-ES_tradnl"/>
        </w:rPr>
      </w:pPr>
      <w:r w:rsidRPr="00A16D50">
        <w:rPr>
          <w:rFonts w:ascii="Tahoma" w:hAnsi="Tahoma" w:cs="Tahoma"/>
          <w:szCs w:val="24"/>
          <w:lang w:val="es-ES_tradnl"/>
        </w:rPr>
        <w:t>La Magistrada,</w:t>
      </w:r>
    </w:p>
    <w:p w:rsidR="00562DCC" w:rsidRPr="00A16D50" w:rsidRDefault="00562DCC" w:rsidP="00A16D50">
      <w:pPr>
        <w:spacing w:line="276" w:lineRule="auto"/>
        <w:jc w:val="both"/>
        <w:rPr>
          <w:rFonts w:ascii="Tahoma" w:hAnsi="Tahoma" w:cs="Tahoma"/>
          <w:szCs w:val="24"/>
          <w:lang w:val="es-ES_tradnl"/>
        </w:rPr>
      </w:pPr>
    </w:p>
    <w:p w:rsidR="00562DCC" w:rsidRPr="00A16D50" w:rsidRDefault="00562DCC" w:rsidP="00A16D50">
      <w:pPr>
        <w:spacing w:line="276" w:lineRule="auto"/>
        <w:jc w:val="both"/>
        <w:rPr>
          <w:rFonts w:ascii="Tahoma" w:hAnsi="Tahoma" w:cs="Tahoma"/>
          <w:szCs w:val="24"/>
          <w:lang w:val="es-ES_tradnl"/>
        </w:rPr>
      </w:pPr>
    </w:p>
    <w:p w:rsidR="00562DCC" w:rsidRPr="00A16D50" w:rsidRDefault="00562DCC" w:rsidP="00A16D50">
      <w:pPr>
        <w:spacing w:line="276" w:lineRule="auto"/>
        <w:jc w:val="both"/>
        <w:rPr>
          <w:rFonts w:ascii="Tahoma" w:hAnsi="Tahoma" w:cs="Tahoma"/>
          <w:szCs w:val="24"/>
          <w:lang w:val="es-ES_tradnl"/>
        </w:rPr>
      </w:pPr>
    </w:p>
    <w:p w:rsidR="00562DCC" w:rsidRPr="00A16D50" w:rsidRDefault="00562DCC" w:rsidP="00A16D50">
      <w:pPr>
        <w:spacing w:line="276" w:lineRule="auto"/>
        <w:jc w:val="both"/>
        <w:rPr>
          <w:rFonts w:ascii="Tahoma" w:hAnsi="Tahoma" w:cs="Tahoma"/>
          <w:szCs w:val="24"/>
          <w:lang w:val="es-ES_tradnl"/>
        </w:rPr>
      </w:pPr>
    </w:p>
    <w:p w:rsidR="00562DCC" w:rsidRPr="00A16D50" w:rsidRDefault="00562DCC" w:rsidP="00A16D50">
      <w:pPr>
        <w:pStyle w:val="Ttulo1"/>
        <w:spacing w:line="276" w:lineRule="auto"/>
        <w:rPr>
          <w:rFonts w:ascii="Tahoma" w:hAnsi="Tahoma" w:cs="Tahoma"/>
          <w:szCs w:val="24"/>
        </w:rPr>
      </w:pPr>
      <w:r w:rsidRPr="00A16D50">
        <w:rPr>
          <w:rFonts w:ascii="Tahoma" w:hAnsi="Tahoma" w:cs="Tahoma"/>
          <w:spacing w:val="0"/>
          <w:szCs w:val="24"/>
        </w:rPr>
        <w:tab/>
      </w:r>
      <w:r w:rsidRPr="00A16D50">
        <w:rPr>
          <w:rFonts w:ascii="Tahoma" w:hAnsi="Tahoma" w:cs="Tahoma"/>
          <w:spacing w:val="0"/>
          <w:szCs w:val="24"/>
        </w:rPr>
        <w:tab/>
      </w:r>
      <w:r w:rsidRPr="00A16D50">
        <w:rPr>
          <w:rFonts w:ascii="Tahoma" w:hAnsi="Tahoma" w:cs="Tahoma"/>
          <w:spacing w:val="0"/>
          <w:szCs w:val="24"/>
        </w:rPr>
        <w:tab/>
        <w:t xml:space="preserve">CLAUDIA MARÍA ARCILA RÍOS </w:t>
      </w:r>
    </w:p>
    <w:sectPr w:rsidR="00562DCC" w:rsidRPr="00A16D50" w:rsidSect="00A16D50">
      <w:footerReference w:type="even" r:id="rId8"/>
      <w:footerReference w:type="default" r:id="rId9"/>
      <w:pgSz w:w="12242" w:h="18722" w:code="1258"/>
      <w:pgMar w:top="1871" w:right="1304" w:bottom="1304" w:left="187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71" w:rsidRDefault="00153371">
      <w:r>
        <w:separator/>
      </w:r>
    </w:p>
  </w:endnote>
  <w:endnote w:type="continuationSeparator" w:id="0">
    <w:p w:rsidR="00153371" w:rsidRDefault="001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0" w:rsidRDefault="00AE4C5A">
    <w:pPr>
      <w:pStyle w:val="Piedepgina"/>
      <w:framePr w:wrap="around" w:vAnchor="text" w:hAnchor="margin" w:xAlign="right" w:y="1"/>
      <w:rPr>
        <w:rStyle w:val="Nmerodepgina"/>
      </w:rPr>
    </w:pPr>
    <w:r>
      <w:rPr>
        <w:rStyle w:val="Nmerodepgina"/>
      </w:rPr>
      <w:fldChar w:fldCharType="begin"/>
    </w:r>
    <w:r w:rsidR="00A44DE0">
      <w:rPr>
        <w:rStyle w:val="Nmerodepgina"/>
      </w:rPr>
      <w:instrText xml:space="preserve">PAGE  </w:instrText>
    </w:r>
    <w:r>
      <w:rPr>
        <w:rStyle w:val="Nmerodepgina"/>
      </w:rPr>
      <w:fldChar w:fldCharType="end"/>
    </w:r>
  </w:p>
  <w:p w:rsidR="00A44DE0" w:rsidRDefault="00A44D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0" w:rsidRPr="00A16D50" w:rsidRDefault="00AE4C5A">
    <w:pPr>
      <w:pStyle w:val="Piedepgina"/>
      <w:framePr w:wrap="around" w:vAnchor="text" w:hAnchor="margin" w:xAlign="right" w:y="1"/>
      <w:rPr>
        <w:rStyle w:val="Nmerodepgina"/>
        <w:rFonts w:ascii="Arial" w:hAnsi="Arial" w:cs="Arial"/>
        <w:sz w:val="18"/>
      </w:rPr>
    </w:pPr>
    <w:r w:rsidRPr="00A16D50">
      <w:rPr>
        <w:rStyle w:val="Nmerodepgina"/>
        <w:rFonts w:ascii="Arial" w:hAnsi="Arial" w:cs="Arial"/>
        <w:sz w:val="18"/>
      </w:rPr>
      <w:fldChar w:fldCharType="begin"/>
    </w:r>
    <w:r w:rsidR="00A44DE0" w:rsidRPr="00A16D50">
      <w:rPr>
        <w:rStyle w:val="Nmerodepgina"/>
        <w:rFonts w:ascii="Arial" w:hAnsi="Arial" w:cs="Arial"/>
        <w:sz w:val="18"/>
      </w:rPr>
      <w:instrText xml:space="preserve">PAGE  </w:instrText>
    </w:r>
    <w:r w:rsidRPr="00A16D50">
      <w:rPr>
        <w:rStyle w:val="Nmerodepgina"/>
        <w:rFonts w:ascii="Arial" w:hAnsi="Arial" w:cs="Arial"/>
        <w:sz w:val="18"/>
      </w:rPr>
      <w:fldChar w:fldCharType="separate"/>
    </w:r>
    <w:r w:rsidR="00D46723">
      <w:rPr>
        <w:rStyle w:val="Nmerodepgina"/>
        <w:rFonts w:ascii="Arial" w:hAnsi="Arial" w:cs="Arial"/>
        <w:noProof/>
        <w:sz w:val="18"/>
      </w:rPr>
      <w:t>1</w:t>
    </w:r>
    <w:r w:rsidRPr="00A16D50">
      <w:rPr>
        <w:rStyle w:val="Nmerodepgina"/>
        <w:rFonts w:ascii="Arial" w:hAnsi="Arial" w:cs="Arial"/>
        <w:sz w:val="18"/>
      </w:rPr>
      <w:fldChar w:fldCharType="end"/>
    </w:r>
  </w:p>
  <w:p w:rsidR="00A44DE0" w:rsidRDefault="00A44DE0">
    <w:pPr>
      <w:pStyle w:val="Piedepgina"/>
      <w:ind w:right="360"/>
      <w:rPr>
        <w:sz w:val="16"/>
      </w:rPr>
    </w:pPr>
  </w:p>
  <w:p w:rsidR="00A44DE0" w:rsidRDefault="00A44DE0">
    <w:pPr>
      <w:pStyle w:val="Piedepgina"/>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71" w:rsidRDefault="00153371">
      <w:r>
        <w:separator/>
      </w:r>
    </w:p>
  </w:footnote>
  <w:footnote w:type="continuationSeparator" w:id="0">
    <w:p w:rsidR="00153371" w:rsidRDefault="00153371">
      <w:r>
        <w:continuationSeparator/>
      </w:r>
    </w:p>
  </w:footnote>
  <w:footnote w:id="1">
    <w:p w:rsidR="002C34A5" w:rsidRPr="00A16D50" w:rsidRDefault="002C34A5" w:rsidP="00A16D50">
      <w:pPr>
        <w:jc w:val="both"/>
        <w:rPr>
          <w:rFonts w:ascii="Arial" w:hAnsi="Arial" w:cs="Arial"/>
          <w:w w:val="98"/>
          <w:sz w:val="18"/>
          <w:szCs w:val="16"/>
        </w:rPr>
      </w:pPr>
      <w:r w:rsidRPr="00A16D50">
        <w:rPr>
          <w:rStyle w:val="Refdenotaalpie"/>
          <w:rFonts w:ascii="Arial" w:hAnsi="Arial" w:cs="Arial"/>
          <w:sz w:val="18"/>
          <w:szCs w:val="16"/>
        </w:rPr>
        <w:footnoteRef/>
      </w:r>
      <w:r w:rsidRPr="00A16D50">
        <w:rPr>
          <w:rFonts w:ascii="Arial" w:hAnsi="Arial" w:cs="Arial"/>
          <w:sz w:val="18"/>
          <w:szCs w:val="16"/>
        </w:rPr>
        <w:t xml:space="preserve"> </w:t>
      </w:r>
      <w:r w:rsidR="008C3D65" w:rsidRPr="00A16D50">
        <w:rPr>
          <w:rFonts w:ascii="Arial" w:hAnsi="Arial" w:cs="Arial"/>
          <w:sz w:val="18"/>
          <w:szCs w:val="16"/>
          <w:lang w:val="es-CO"/>
        </w:rPr>
        <w:t>Providencia del</w:t>
      </w:r>
      <w:r w:rsidR="00D9763F" w:rsidRPr="00A16D50">
        <w:rPr>
          <w:rFonts w:ascii="Arial" w:hAnsi="Arial" w:cs="Arial"/>
          <w:sz w:val="18"/>
          <w:szCs w:val="16"/>
          <w:lang w:val="es-CO"/>
        </w:rPr>
        <w:t xml:space="preserve"> 25 de enero de 2013,</w:t>
      </w:r>
      <w:r w:rsidRPr="00A16D50">
        <w:rPr>
          <w:rFonts w:ascii="Arial" w:hAnsi="Arial" w:cs="Arial"/>
          <w:sz w:val="18"/>
          <w:szCs w:val="16"/>
          <w:lang w:val="es-CO"/>
        </w:rPr>
        <w:t xml:space="preserve"> M</w:t>
      </w:r>
      <w:r w:rsidR="00D9763F" w:rsidRPr="00A16D50">
        <w:rPr>
          <w:rFonts w:ascii="Arial" w:hAnsi="Arial" w:cs="Arial"/>
          <w:sz w:val="18"/>
          <w:szCs w:val="16"/>
          <w:lang w:val="es-CO"/>
        </w:rPr>
        <w:t>.P:</w:t>
      </w:r>
      <w:r w:rsidRPr="00A16D50">
        <w:rPr>
          <w:rFonts w:ascii="Arial" w:hAnsi="Arial" w:cs="Arial"/>
          <w:sz w:val="18"/>
          <w:szCs w:val="16"/>
          <w:lang w:val="es-CO"/>
        </w:rPr>
        <w:t xml:space="preserve"> Fernando Alberto Castro C</w:t>
      </w:r>
      <w:r w:rsidR="00D9763F" w:rsidRPr="00A16D50">
        <w:rPr>
          <w:rFonts w:ascii="Arial" w:hAnsi="Arial" w:cs="Arial"/>
          <w:sz w:val="18"/>
          <w:szCs w:val="16"/>
          <w:lang w:val="es-CO"/>
        </w:rPr>
        <w:t>aballero</w:t>
      </w:r>
      <w:r w:rsidRPr="00A16D50">
        <w:rPr>
          <w:rFonts w:ascii="Arial" w:hAnsi="Arial" w:cs="Arial"/>
          <w:sz w:val="18"/>
          <w:szCs w:val="16"/>
          <w:lang w:val="es-CO"/>
        </w:rPr>
        <w:t xml:space="preserve">. </w:t>
      </w:r>
    </w:p>
  </w:footnote>
  <w:footnote w:id="2">
    <w:p w:rsidR="00A76823" w:rsidRPr="00A16D50" w:rsidRDefault="00A76823" w:rsidP="00A16D50">
      <w:pPr>
        <w:pStyle w:val="Textonotapie"/>
        <w:jc w:val="both"/>
        <w:rPr>
          <w:rFonts w:ascii="Arial" w:hAnsi="Arial" w:cs="Arial"/>
          <w:sz w:val="18"/>
          <w:szCs w:val="16"/>
        </w:rPr>
      </w:pPr>
      <w:r w:rsidRPr="00A16D50">
        <w:rPr>
          <w:rStyle w:val="Refdenotaalpie"/>
          <w:rFonts w:ascii="Arial" w:hAnsi="Arial" w:cs="Arial"/>
          <w:sz w:val="18"/>
          <w:szCs w:val="16"/>
        </w:rPr>
        <w:footnoteRef/>
      </w:r>
      <w:r w:rsidRPr="00A16D50">
        <w:rPr>
          <w:rFonts w:ascii="Arial" w:hAnsi="Arial" w:cs="Arial"/>
          <w:sz w:val="18"/>
          <w:szCs w:val="16"/>
        </w:rPr>
        <w:t xml:space="preserve"> </w:t>
      </w:r>
      <w:r w:rsidR="002A4E7C" w:rsidRPr="00A16D50">
        <w:rPr>
          <w:rFonts w:ascii="Arial" w:hAnsi="Arial" w:cs="Arial"/>
          <w:sz w:val="18"/>
          <w:szCs w:val="16"/>
        </w:rPr>
        <w:t>Sentencia de tutela STP2146-2018 del 15 de febrero de 2018, M.P. Luis Guillermo Salazar Otero</w:t>
      </w:r>
      <w:r w:rsidR="00284E14" w:rsidRPr="00A16D50">
        <w:rPr>
          <w:rFonts w:ascii="Arial" w:hAnsi="Arial" w:cs="Arial"/>
          <w:sz w:val="18"/>
          <w:szCs w:val="16"/>
        </w:rPr>
        <w:t>, proceso radicado No.</w:t>
      </w:r>
      <w:r w:rsidRPr="00A16D50">
        <w:rPr>
          <w:rFonts w:ascii="Arial" w:hAnsi="Arial" w:cs="Arial"/>
          <w:sz w:val="18"/>
          <w:szCs w:val="16"/>
        </w:rPr>
        <w:t xml:space="preserve"> 96586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2DCC"/>
    <w:rsid w:val="00005C64"/>
    <w:rsid w:val="000137FC"/>
    <w:rsid w:val="000439A0"/>
    <w:rsid w:val="00055268"/>
    <w:rsid w:val="000717E3"/>
    <w:rsid w:val="000C287C"/>
    <w:rsid w:val="000D2D89"/>
    <w:rsid w:val="00122107"/>
    <w:rsid w:val="00145A63"/>
    <w:rsid w:val="00152A56"/>
    <w:rsid w:val="00153371"/>
    <w:rsid w:val="0019636F"/>
    <w:rsid w:val="001B36EF"/>
    <w:rsid w:val="001C657F"/>
    <w:rsid w:val="002323C7"/>
    <w:rsid w:val="00284E14"/>
    <w:rsid w:val="0029484D"/>
    <w:rsid w:val="002A05F3"/>
    <w:rsid w:val="002A4E7C"/>
    <w:rsid w:val="002B7AB0"/>
    <w:rsid w:val="002C34A5"/>
    <w:rsid w:val="002F19EA"/>
    <w:rsid w:val="00334826"/>
    <w:rsid w:val="00364737"/>
    <w:rsid w:val="003E21B4"/>
    <w:rsid w:val="004569E0"/>
    <w:rsid w:val="004B14DE"/>
    <w:rsid w:val="004C4B6B"/>
    <w:rsid w:val="004F7091"/>
    <w:rsid w:val="00562DCC"/>
    <w:rsid w:val="005700BD"/>
    <w:rsid w:val="005B3877"/>
    <w:rsid w:val="005E01E5"/>
    <w:rsid w:val="005F6897"/>
    <w:rsid w:val="006004B6"/>
    <w:rsid w:val="006030B1"/>
    <w:rsid w:val="006065F2"/>
    <w:rsid w:val="00613113"/>
    <w:rsid w:val="00625252"/>
    <w:rsid w:val="00686DBE"/>
    <w:rsid w:val="00706272"/>
    <w:rsid w:val="007273DB"/>
    <w:rsid w:val="0074365F"/>
    <w:rsid w:val="00744E2B"/>
    <w:rsid w:val="007763A4"/>
    <w:rsid w:val="007B1C04"/>
    <w:rsid w:val="0080204C"/>
    <w:rsid w:val="00820D21"/>
    <w:rsid w:val="00891892"/>
    <w:rsid w:val="008953A5"/>
    <w:rsid w:val="008C3D65"/>
    <w:rsid w:val="009D73A4"/>
    <w:rsid w:val="009F7B28"/>
    <w:rsid w:val="00A16D50"/>
    <w:rsid w:val="00A352C5"/>
    <w:rsid w:val="00A44DE0"/>
    <w:rsid w:val="00A61DF4"/>
    <w:rsid w:val="00A76823"/>
    <w:rsid w:val="00AB475F"/>
    <w:rsid w:val="00AE4C5A"/>
    <w:rsid w:val="00B41A89"/>
    <w:rsid w:val="00B749C8"/>
    <w:rsid w:val="00B82B36"/>
    <w:rsid w:val="00BA233A"/>
    <w:rsid w:val="00BB05B5"/>
    <w:rsid w:val="00BB7767"/>
    <w:rsid w:val="00BB7E6B"/>
    <w:rsid w:val="00BD2BF4"/>
    <w:rsid w:val="00BE1D84"/>
    <w:rsid w:val="00C17FE3"/>
    <w:rsid w:val="00C26813"/>
    <w:rsid w:val="00C63C1A"/>
    <w:rsid w:val="00C664C1"/>
    <w:rsid w:val="00C84E87"/>
    <w:rsid w:val="00CF1FB2"/>
    <w:rsid w:val="00D2594B"/>
    <w:rsid w:val="00D30BFB"/>
    <w:rsid w:val="00D43B07"/>
    <w:rsid w:val="00D46723"/>
    <w:rsid w:val="00D84EE5"/>
    <w:rsid w:val="00D86DD9"/>
    <w:rsid w:val="00D8754D"/>
    <w:rsid w:val="00D9763F"/>
    <w:rsid w:val="00DB7E79"/>
    <w:rsid w:val="00DF0326"/>
    <w:rsid w:val="00E17974"/>
    <w:rsid w:val="00E512AF"/>
    <w:rsid w:val="00E53F9E"/>
    <w:rsid w:val="00E57E30"/>
    <w:rsid w:val="00E83B54"/>
    <w:rsid w:val="00E96ADC"/>
    <w:rsid w:val="00EA6FDA"/>
    <w:rsid w:val="00F13DDF"/>
    <w:rsid w:val="00F22926"/>
    <w:rsid w:val="00F8745D"/>
    <w:rsid w:val="00FB7B2C"/>
    <w:rsid w:val="00FF0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DCC"/>
    <w:pPr>
      <w:overflowPunct w:val="0"/>
      <w:autoSpaceDE w:val="0"/>
      <w:autoSpaceDN w:val="0"/>
      <w:adjustRightInd w:val="0"/>
      <w:textAlignment w:val="baseline"/>
    </w:pPr>
    <w:rPr>
      <w:sz w:val="24"/>
      <w:lang w:val="es-ES" w:eastAsia="es-ES"/>
    </w:rPr>
  </w:style>
  <w:style w:type="paragraph" w:styleId="Ttulo1">
    <w:name w:val="heading 1"/>
    <w:basedOn w:val="Normal"/>
    <w:next w:val="Normal"/>
    <w:qFormat/>
    <w:rsid w:val="00562DCC"/>
    <w:pPr>
      <w:keepNext/>
      <w:jc w:val="both"/>
      <w:outlineLvl w:val="0"/>
    </w:pPr>
    <w:rPr>
      <w:rFonts w:ascii="Verdana" w:hAnsi="Verdana"/>
      <w:b/>
      <w:bCs/>
      <w:spacing w:val="20"/>
      <w:szCs w:val="30"/>
      <w:lang w:val="es-ES_tradnl"/>
    </w:rPr>
  </w:style>
  <w:style w:type="paragraph" w:styleId="Ttulo2">
    <w:name w:val="heading 2"/>
    <w:basedOn w:val="Normal"/>
    <w:next w:val="Normal"/>
    <w:link w:val="Ttulo2Car"/>
    <w:semiHidden/>
    <w:unhideWhenUsed/>
    <w:qFormat/>
    <w:rsid w:val="009D73A4"/>
    <w:pPr>
      <w:keepNext/>
      <w:spacing w:before="240" w:after="60"/>
      <w:outlineLvl w:val="1"/>
    </w:pPr>
    <w:rPr>
      <w:rFonts w:ascii="Calibri Light" w:hAnsi="Calibri Light"/>
      <w:b/>
      <w:bCs/>
      <w:i/>
      <w:iCs/>
      <w:sz w:val="28"/>
      <w:szCs w:val="28"/>
    </w:rPr>
  </w:style>
  <w:style w:type="paragraph" w:styleId="Ttulo3">
    <w:name w:val="heading 3"/>
    <w:basedOn w:val="Normal"/>
    <w:next w:val="Normal"/>
    <w:qFormat/>
    <w:rsid w:val="00562DCC"/>
    <w:pPr>
      <w:keepNext/>
      <w:spacing w:before="240" w:after="60"/>
      <w:outlineLvl w:val="2"/>
    </w:pPr>
    <w:rPr>
      <w:rFonts w:ascii="Arial" w:hAnsi="Arial" w:cs="Arial"/>
      <w:b/>
      <w:bCs/>
      <w:sz w:val="26"/>
      <w:szCs w:val="26"/>
    </w:rPr>
  </w:style>
  <w:style w:type="paragraph" w:styleId="Ttulo6">
    <w:name w:val="heading 6"/>
    <w:basedOn w:val="Normal"/>
    <w:next w:val="Normal"/>
    <w:qFormat/>
    <w:rsid w:val="00562DCC"/>
    <w:pPr>
      <w:keepNext/>
      <w:outlineLvl w:val="5"/>
    </w:pPr>
    <w:rPr>
      <w:rFonts w:ascii="Arial" w:hAnsi="Arial"/>
      <w:sz w:val="28"/>
    </w:rPr>
  </w:style>
  <w:style w:type="paragraph" w:styleId="Ttulo9">
    <w:name w:val="heading 9"/>
    <w:basedOn w:val="Normal"/>
    <w:next w:val="Normal"/>
    <w:qFormat/>
    <w:rsid w:val="00562DCC"/>
    <w:pPr>
      <w:keepNext/>
      <w:spacing w:line="360" w:lineRule="auto"/>
      <w:jc w:val="center"/>
      <w:outlineLvl w:val="8"/>
    </w:pPr>
    <w:rPr>
      <w:rFonts w:ascii="Bookman Old Style" w:hAnsi="Bookman Old Styl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62DCC"/>
    <w:pPr>
      <w:tabs>
        <w:tab w:val="center" w:pos="4252"/>
        <w:tab w:val="right" w:pos="8504"/>
      </w:tabs>
    </w:pPr>
  </w:style>
  <w:style w:type="paragraph" w:styleId="Textoindependiente2">
    <w:name w:val="Body Text 2"/>
    <w:basedOn w:val="Normal"/>
    <w:rsid w:val="00562DCC"/>
    <w:pPr>
      <w:spacing w:line="360" w:lineRule="auto"/>
      <w:jc w:val="both"/>
    </w:pPr>
    <w:rPr>
      <w:rFonts w:ascii="Bookman Old Style" w:hAnsi="Bookman Old Style"/>
    </w:rPr>
  </w:style>
  <w:style w:type="paragraph" w:styleId="Textoindependiente3">
    <w:name w:val="Body Text 3"/>
    <w:basedOn w:val="Normal"/>
    <w:rsid w:val="00562DCC"/>
    <w:pPr>
      <w:spacing w:line="360" w:lineRule="auto"/>
      <w:jc w:val="both"/>
    </w:pPr>
    <w:rPr>
      <w:rFonts w:ascii="Bookman Old Style" w:hAnsi="Bookman Old Style"/>
      <w:b/>
      <w:sz w:val="28"/>
      <w:lang w:val="es-ES_tradnl"/>
    </w:rPr>
  </w:style>
  <w:style w:type="paragraph" w:styleId="Textonotapie">
    <w:name w:val="footnote text"/>
    <w:aliases w:val="Texto nota pie Car,Footnote Text Char Char Char Char Char,Footnote Text Char Char Char Char,Footnote reference,FA Fu,Car, Car,Ref. de nota al pie1,referencia nota al pie,Nota de pie,Texto nota al pie,Appel note de bas de page"/>
    <w:basedOn w:val="Normal"/>
    <w:link w:val="TextonotapieCar1"/>
    <w:rsid w:val="00562DCC"/>
    <w:rPr>
      <w:sz w:val="20"/>
    </w:rPr>
  </w:style>
  <w:style w:type="character" w:styleId="Refdenotaalpie">
    <w:name w:val="footnote reference"/>
    <w:aliases w:val="Texto de nota al pie,Footnotes refss,Ref. de nota al pie 2,Ref,de nota al pie"/>
    <w:rsid w:val="00562DCC"/>
    <w:rPr>
      <w:vertAlign w:val="superscript"/>
    </w:rPr>
  </w:style>
  <w:style w:type="paragraph" w:styleId="Textoindependiente">
    <w:name w:val="Body Text"/>
    <w:basedOn w:val="Normal"/>
    <w:rsid w:val="00562DCC"/>
    <w:pPr>
      <w:jc w:val="both"/>
    </w:pPr>
    <w:rPr>
      <w:b/>
      <w:bCs/>
      <w:spacing w:val="20"/>
      <w:sz w:val="22"/>
      <w:lang w:val="es-ES_tradnl"/>
    </w:rPr>
  </w:style>
  <w:style w:type="character" w:styleId="Nmerodepgina">
    <w:name w:val="page number"/>
    <w:basedOn w:val="Fuentedeprrafopredeter"/>
    <w:rsid w:val="00562DCC"/>
  </w:style>
  <w:style w:type="character" w:styleId="Hipervnculo">
    <w:name w:val="Hyperlink"/>
    <w:rsid w:val="0029484D"/>
    <w:rPr>
      <w:color w:val="0000FF"/>
      <w:u w:val="single"/>
    </w:rPr>
  </w:style>
  <w:style w:type="paragraph" w:customStyle="1" w:styleId="unico">
    <w:name w:val="unico"/>
    <w:basedOn w:val="Normal"/>
    <w:rsid w:val="0029484D"/>
    <w:pPr>
      <w:overflowPunct/>
      <w:autoSpaceDE/>
      <w:autoSpaceDN/>
      <w:adjustRightInd/>
      <w:spacing w:before="100" w:beforeAutospacing="1" w:after="100" w:afterAutospacing="1"/>
      <w:textAlignment w:val="auto"/>
    </w:pPr>
    <w:rPr>
      <w:szCs w:val="24"/>
    </w:rPr>
  </w:style>
  <w:style w:type="paragraph" w:customStyle="1" w:styleId="sangria">
    <w:name w:val="sangria"/>
    <w:basedOn w:val="Normal"/>
    <w:rsid w:val="0029484D"/>
    <w:pPr>
      <w:overflowPunct/>
      <w:autoSpaceDE/>
      <w:autoSpaceDN/>
      <w:adjustRightInd/>
      <w:spacing w:before="100" w:beforeAutospacing="1" w:after="100" w:afterAutospacing="1"/>
      <w:textAlignment w:val="auto"/>
    </w:pPr>
    <w:rPr>
      <w:szCs w:val="24"/>
    </w:rPr>
  </w:style>
  <w:style w:type="paragraph" w:customStyle="1" w:styleId="cuerpo">
    <w:name w:val="cuerpo"/>
    <w:basedOn w:val="Normal"/>
    <w:rsid w:val="0029484D"/>
    <w:pPr>
      <w:overflowPunct/>
      <w:autoSpaceDE/>
      <w:autoSpaceDN/>
      <w:adjustRightInd/>
      <w:spacing w:before="100" w:beforeAutospacing="1" w:after="100" w:afterAutospacing="1"/>
      <w:textAlignment w:val="auto"/>
    </w:pPr>
    <w:rPr>
      <w:szCs w:val="24"/>
    </w:rPr>
  </w:style>
  <w:style w:type="paragraph" w:styleId="z-Principiodelformulario">
    <w:name w:val="HTML Top of Form"/>
    <w:basedOn w:val="Normal"/>
    <w:next w:val="Normal"/>
    <w:hidden/>
    <w:rsid w:val="0029484D"/>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Finaldelformulario">
    <w:name w:val="HTML Bottom of Form"/>
    <w:basedOn w:val="Normal"/>
    <w:next w:val="Normal"/>
    <w:hidden/>
    <w:rsid w:val="0029484D"/>
    <w:pPr>
      <w:pBdr>
        <w:top w:val="single" w:sz="6" w:space="1" w:color="auto"/>
      </w:pBdr>
      <w:overflowPunct/>
      <w:autoSpaceDE/>
      <w:autoSpaceDN/>
      <w:adjustRightInd/>
      <w:jc w:val="center"/>
      <w:textAlignment w:val="auto"/>
    </w:pPr>
    <w:rPr>
      <w:rFonts w:ascii="Arial" w:hAnsi="Arial" w:cs="Arial"/>
      <w:vanish/>
      <w:sz w:val="16"/>
      <w:szCs w:val="16"/>
    </w:rPr>
  </w:style>
  <w:style w:type="paragraph" w:styleId="Textodeglobo">
    <w:name w:val="Balloon Text"/>
    <w:basedOn w:val="Normal"/>
    <w:semiHidden/>
    <w:rsid w:val="004F7091"/>
    <w:rPr>
      <w:rFonts w:ascii="Tahoma" w:hAnsi="Tahoma" w:cs="Tahoma"/>
      <w:sz w:val="16"/>
      <w:szCs w:val="16"/>
    </w:rPr>
  </w:style>
  <w:style w:type="character" w:customStyle="1" w:styleId="Ttulo2Car">
    <w:name w:val="Título 2 Car"/>
    <w:link w:val="Ttulo2"/>
    <w:semiHidden/>
    <w:rsid w:val="009D73A4"/>
    <w:rPr>
      <w:rFonts w:ascii="Calibri Light" w:eastAsia="Times New Roman" w:hAnsi="Calibri Light" w:cs="Times New Roman"/>
      <w:b/>
      <w:bCs/>
      <w:i/>
      <w:iCs/>
      <w:sz w:val="28"/>
      <w:szCs w:val="28"/>
    </w:rPr>
  </w:style>
  <w:style w:type="character" w:customStyle="1" w:styleId="TextonotapieCar1">
    <w:name w:val="Texto nota pie Car1"/>
    <w:aliases w:val="Texto nota pie Car Car,Footnote Text Char Char Char Char Char Car,Footnote Text Char Char Char Char Car,Footnote reference Car,FA Fu Car,Car Car, Car Car,Ref. de nota al pie1 Car,referencia nota al pie Car,Nota de pie Car"/>
    <w:link w:val="Textonotapie"/>
    <w:rsid w:val="002C34A5"/>
  </w:style>
  <w:style w:type="character" w:customStyle="1" w:styleId="TtuloCar">
    <w:name w:val="Título Car"/>
    <w:aliases w:val="Título FCH Nivel 1 Car"/>
    <w:link w:val="TtuloFCHNivel1"/>
    <w:rsid w:val="002C34A5"/>
    <w:rPr>
      <w:rFonts w:ascii="Arial" w:hAnsi="Arial"/>
      <w:b/>
      <w:sz w:val="28"/>
      <w:lang w:val="es-ES_tradnl"/>
    </w:rPr>
  </w:style>
  <w:style w:type="paragraph" w:customStyle="1" w:styleId="TtuloFCHNivel1">
    <w:name w:val="Título FCH Nivel 1"/>
    <w:basedOn w:val="Normal"/>
    <w:next w:val="Puesto"/>
    <w:link w:val="TtuloCar"/>
    <w:qFormat/>
    <w:rsid w:val="002C34A5"/>
    <w:pPr>
      <w:overflowPunct/>
      <w:autoSpaceDE/>
      <w:autoSpaceDN/>
      <w:adjustRightInd/>
      <w:spacing w:line="360" w:lineRule="auto"/>
      <w:jc w:val="center"/>
      <w:textAlignment w:val="auto"/>
    </w:pPr>
    <w:rPr>
      <w:rFonts w:ascii="Arial" w:hAnsi="Arial"/>
      <w:b/>
      <w:sz w:val="28"/>
      <w:lang w:val="es-ES_tradnl"/>
    </w:rPr>
  </w:style>
  <w:style w:type="paragraph" w:styleId="Sinespaciado">
    <w:name w:val="No Spacing"/>
    <w:qFormat/>
    <w:rsid w:val="002C34A5"/>
    <w:rPr>
      <w:sz w:val="24"/>
      <w:szCs w:val="24"/>
      <w:lang w:val="es-ES" w:eastAsia="es-ES"/>
    </w:rPr>
  </w:style>
  <w:style w:type="paragraph" w:customStyle="1" w:styleId="Puesto">
    <w:name w:val="Puesto"/>
    <w:basedOn w:val="Normal"/>
    <w:next w:val="Normal"/>
    <w:link w:val="PuestoCar"/>
    <w:qFormat/>
    <w:rsid w:val="002C34A5"/>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2C34A5"/>
    <w:rPr>
      <w:rFonts w:ascii="Calibri Light" w:eastAsia="Times New Roman" w:hAnsi="Calibri Light" w:cs="Times New Roman"/>
      <w:b/>
      <w:bCs/>
      <w:kern w:val="28"/>
      <w:sz w:val="32"/>
      <w:szCs w:val="32"/>
    </w:rPr>
  </w:style>
  <w:style w:type="paragraph" w:styleId="Encabezado">
    <w:name w:val="header"/>
    <w:basedOn w:val="Normal"/>
    <w:link w:val="EncabezadoCar"/>
    <w:rsid w:val="00A16D50"/>
    <w:pPr>
      <w:tabs>
        <w:tab w:val="center" w:pos="4252"/>
        <w:tab w:val="right" w:pos="8504"/>
      </w:tabs>
    </w:pPr>
  </w:style>
  <w:style w:type="character" w:customStyle="1" w:styleId="EncabezadoCar">
    <w:name w:val="Encabezado Car"/>
    <w:basedOn w:val="Fuentedeprrafopredeter"/>
    <w:link w:val="Encabezado"/>
    <w:rsid w:val="00A16D50"/>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2383-5B93-4014-9FED-4D704A33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Jose Edgar Gomez Garcia</dc:creator>
  <cp:lastModifiedBy>ALONSO</cp:lastModifiedBy>
  <cp:revision>6</cp:revision>
  <cp:lastPrinted>2018-10-23T16:47:00Z</cp:lastPrinted>
  <dcterms:created xsi:type="dcterms:W3CDTF">2020-03-26T18:02:00Z</dcterms:created>
  <dcterms:modified xsi:type="dcterms:W3CDTF">2020-06-05T13:53:00Z</dcterms:modified>
</cp:coreProperties>
</file>