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69" w:rsidRPr="00EB7E69" w:rsidRDefault="00EB7E69" w:rsidP="00EB7E6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EB7E6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B7E69" w:rsidRPr="00EB7E69" w:rsidRDefault="00EB7E69" w:rsidP="00EB7E69">
      <w:pPr>
        <w:overflowPunct/>
        <w:autoSpaceDE/>
        <w:autoSpaceDN/>
        <w:adjustRightInd/>
        <w:jc w:val="both"/>
        <w:textAlignment w:val="auto"/>
        <w:rPr>
          <w:rFonts w:ascii="Arial" w:hAnsi="Arial" w:cs="Arial"/>
          <w:lang w:val="es-419"/>
        </w:rPr>
      </w:pPr>
    </w:p>
    <w:p w:rsidR="00EB7E69" w:rsidRPr="00EB7E69" w:rsidRDefault="00EB7E69" w:rsidP="00EB7E69">
      <w:pPr>
        <w:overflowPunct/>
        <w:autoSpaceDE/>
        <w:autoSpaceDN/>
        <w:adjustRightInd/>
        <w:jc w:val="both"/>
        <w:textAlignment w:val="auto"/>
        <w:rPr>
          <w:rFonts w:ascii="Arial" w:hAnsi="Arial" w:cs="Arial"/>
          <w:b/>
          <w:bCs/>
          <w:iCs/>
          <w:lang w:val="es-419" w:eastAsia="fr-FR"/>
        </w:rPr>
      </w:pPr>
      <w:r w:rsidRPr="00EB7E69">
        <w:rPr>
          <w:rFonts w:ascii="Arial" w:hAnsi="Arial" w:cs="Arial"/>
          <w:b/>
          <w:bCs/>
          <w:iCs/>
          <w:u w:val="single"/>
          <w:lang w:val="es-419" w:eastAsia="fr-FR"/>
        </w:rPr>
        <w:t>TEMAS:</w:t>
      </w:r>
      <w:r w:rsidRPr="00EB7E69">
        <w:rPr>
          <w:rFonts w:ascii="Arial" w:hAnsi="Arial" w:cs="Arial"/>
          <w:b/>
          <w:bCs/>
          <w:iCs/>
          <w:lang w:val="es-419" w:eastAsia="fr-FR"/>
        </w:rPr>
        <w:tab/>
      </w:r>
      <w:r w:rsidR="00D054AE">
        <w:rPr>
          <w:rFonts w:ascii="Arial" w:hAnsi="Arial" w:cs="Arial"/>
          <w:b/>
          <w:bCs/>
          <w:iCs/>
          <w:lang w:val="es-419" w:eastAsia="fr-FR"/>
        </w:rPr>
        <w:t xml:space="preserve">NULIDAD PROMESA DE CONTRATO </w:t>
      </w:r>
      <w:r w:rsidRPr="00EB7E69">
        <w:rPr>
          <w:rFonts w:ascii="Arial" w:hAnsi="Arial" w:cs="Arial"/>
          <w:b/>
          <w:bCs/>
          <w:iCs/>
          <w:lang w:val="es-419" w:eastAsia="fr-FR"/>
        </w:rPr>
        <w:t xml:space="preserve">/ </w:t>
      </w:r>
      <w:r w:rsidR="00D054AE">
        <w:rPr>
          <w:rFonts w:ascii="Arial" w:hAnsi="Arial" w:cs="Arial"/>
          <w:b/>
          <w:bCs/>
          <w:iCs/>
          <w:lang w:val="es-419" w:eastAsia="fr-FR"/>
        </w:rPr>
        <w:t>OBLIGACIONES QUE GENERA LA PROMESA / SON DIFERENTES DE LAS SURGIDAS DEL CONTRATO PROMETIDO / Y PERFECCIONADO ESTE,</w:t>
      </w:r>
      <w:bookmarkStart w:id="0" w:name="_GoBack"/>
      <w:bookmarkEnd w:id="0"/>
      <w:r w:rsidR="00D054AE">
        <w:rPr>
          <w:rFonts w:ascii="Arial" w:hAnsi="Arial" w:cs="Arial"/>
          <w:b/>
          <w:bCs/>
          <w:iCs/>
          <w:lang w:val="es-419" w:eastAsia="fr-FR"/>
        </w:rPr>
        <w:t xml:space="preserve"> LA PROMESA DEJA DE SER FUENTE DE OBLIGACIONES.</w:t>
      </w:r>
    </w:p>
    <w:p w:rsidR="00EB7E69" w:rsidRPr="00EB7E69" w:rsidRDefault="00EB7E69" w:rsidP="00EB7E69">
      <w:pPr>
        <w:overflowPunct/>
        <w:autoSpaceDE/>
        <w:autoSpaceDN/>
        <w:adjustRightInd/>
        <w:jc w:val="both"/>
        <w:textAlignment w:val="auto"/>
        <w:rPr>
          <w:rFonts w:ascii="Arial" w:hAnsi="Arial" w:cs="Arial"/>
          <w:lang w:val="es-419"/>
        </w:rPr>
      </w:pPr>
    </w:p>
    <w:p w:rsidR="00EB7E69" w:rsidRPr="00EB7E69" w:rsidRDefault="003A2BE3" w:rsidP="00EB7E6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A2BE3">
        <w:rPr>
          <w:rFonts w:ascii="Arial" w:hAnsi="Arial" w:cs="Arial"/>
          <w:lang w:val="es-419"/>
        </w:rPr>
        <w:t>pretenden los demandantes se declare que la sociedad demandada incumplió parcialmente las obligaciones de la promesa, al no haber entregado efectivamente lo prometido tal y como fue acordado, ni a los promitentes compradores, ni a quienes estos designaron</w:t>
      </w:r>
      <w:r>
        <w:rPr>
          <w:rFonts w:ascii="Arial" w:hAnsi="Arial" w:cs="Arial"/>
          <w:lang w:val="es-419"/>
        </w:rPr>
        <w:t>…</w:t>
      </w:r>
    </w:p>
    <w:p w:rsidR="00EB7E69" w:rsidRPr="00EB7E69" w:rsidRDefault="00EB7E69" w:rsidP="00EB7E69">
      <w:pPr>
        <w:overflowPunct/>
        <w:autoSpaceDE/>
        <w:autoSpaceDN/>
        <w:adjustRightInd/>
        <w:jc w:val="both"/>
        <w:textAlignment w:val="auto"/>
        <w:rPr>
          <w:rFonts w:ascii="Arial" w:hAnsi="Arial" w:cs="Arial"/>
          <w:lang w:val="es-419"/>
        </w:rPr>
      </w:pPr>
    </w:p>
    <w:p w:rsidR="003A2BE3" w:rsidRPr="003A2BE3" w:rsidRDefault="003A2BE3" w:rsidP="003A2BE3">
      <w:pPr>
        <w:overflowPunct/>
        <w:autoSpaceDE/>
        <w:autoSpaceDN/>
        <w:adjustRightInd/>
        <w:jc w:val="both"/>
        <w:textAlignment w:val="auto"/>
        <w:rPr>
          <w:rFonts w:ascii="Arial" w:hAnsi="Arial" w:cs="Arial"/>
          <w:lang w:val="es-419"/>
        </w:rPr>
      </w:pPr>
      <w:r w:rsidRPr="003A2BE3">
        <w:rPr>
          <w:rFonts w:ascii="Arial" w:hAnsi="Arial" w:cs="Arial"/>
          <w:lang w:val="es-419"/>
        </w:rPr>
        <w:t xml:space="preserve">Para definir la cuestión, es necesario precisar que son diferentes las obligaciones que surgen de la promesa de celebrar un contrato y aquellas que nacen de un contrato efectivamente realizado.  </w:t>
      </w:r>
    </w:p>
    <w:p w:rsidR="003A2BE3" w:rsidRPr="003A2BE3" w:rsidRDefault="003A2BE3" w:rsidP="003A2BE3">
      <w:pPr>
        <w:overflowPunct/>
        <w:autoSpaceDE/>
        <w:autoSpaceDN/>
        <w:adjustRightInd/>
        <w:jc w:val="both"/>
        <w:textAlignment w:val="auto"/>
        <w:rPr>
          <w:rFonts w:ascii="Arial" w:hAnsi="Arial" w:cs="Arial"/>
          <w:lang w:val="es-419"/>
        </w:rPr>
      </w:pPr>
    </w:p>
    <w:p w:rsidR="003A2BE3" w:rsidRDefault="003A2BE3" w:rsidP="003A2BE3">
      <w:pPr>
        <w:overflowPunct/>
        <w:autoSpaceDE/>
        <w:autoSpaceDN/>
        <w:adjustRightInd/>
        <w:jc w:val="both"/>
        <w:textAlignment w:val="auto"/>
        <w:rPr>
          <w:rFonts w:ascii="Arial" w:hAnsi="Arial" w:cs="Arial"/>
          <w:lang w:val="es-419"/>
        </w:rPr>
      </w:pPr>
      <w:r w:rsidRPr="003A2BE3">
        <w:rPr>
          <w:rFonts w:ascii="Arial" w:hAnsi="Arial" w:cs="Arial"/>
          <w:lang w:val="es-419"/>
        </w:rPr>
        <w:t>Tal afirmación se trae a colación porque como lo enseñan los documentos atrás descritos, el bien inmueble que prometió vender la sociedad demandada a los actores se encuentra en cabeza de otras personas, pues las partes acordaron que a nombre de estas se hiciera la respectiva escritura pública, hecho que no se ha controvertido</w:t>
      </w:r>
      <w:r>
        <w:rPr>
          <w:rFonts w:ascii="Arial" w:hAnsi="Arial" w:cs="Arial"/>
          <w:lang w:val="es-419"/>
        </w:rPr>
        <w:t>…</w:t>
      </w:r>
    </w:p>
    <w:p w:rsidR="003A2BE3" w:rsidRPr="003A2BE3" w:rsidRDefault="003A2BE3" w:rsidP="003A2BE3">
      <w:pPr>
        <w:overflowPunct/>
        <w:autoSpaceDE/>
        <w:autoSpaceDN/>
        <w:adjustRightInd/>
        <w:jc w:val="both"/>
        <w:textAlignment w:val="auto"/>
        <w:rPr>
          <w:rFonts w:ascii="Arial" w:hAnsi="Arial" w:cs="Arial"/>
          <w:lang w:val="es-419"/>
        </w:rPr>
      </w:pPr>
    </w:p>
    <w:p w:rsidR="00EB7E69" w:rsidRDefault="003A2BE3" w:rsidP="003A2BE3">
      <w:pPr>
        <w:overflowPunct/>
        <w:autoSpaceDE/>
        <w:autoSpaceDN/>
        <w:adjustRightInd/>
        <w:jc w:val="both"/>
        <w:textAlignment w:val="auto"/>
        <w:rPr>
          <w:rFonts w:ascii="Arial" w:hAnsi="Arial" w:cs="Arial"/>
          <w:lang w:val="es-419"/>
        </w:rPr>
      </w:pPr>
      <w:r w:rsidRPr="003A2BE3">
        <w:rPr>
          <w:rFonts w:ascii="Arial" w:hAnsi="Arial" w:cs="Arial"/>
          <w:lang w:val="es-419"/>
        </w:rPr>
        <w:t>De esa manera las cosas, puede afirmarse con toda certeza que se perfeccionó el contrato prometido en relación con ese inmueble, pues la sociedad demandada, promitente vendedora, hizo la tradición del derecho de dominio a las personas que designaron los promitentes compradores y por ende, respecto de ese bien, nada sería posible demandar con fundamento en la promesa de compraventa, dado su carácter preparatorio y efímero.</w:t>
      </w:r>
      <w:r>
        <w:rPr>
          <w:rFonts w:ascii="Arial" w:hAnsi="Arial" w:cs="Arial"/>
          <w:lang w:val="es-419"/>
        </w:rPr>
        <w:t xml:space="preserve"> (…)</w:t>
      </w:r>
    </w:p>
    <w:p w:rsidR="003A2BE3" w:rsidRDefault="003A2BE3" w:rsidP="003A2BE3">
      <w:pPr>
        <w:overflowPunct/>
        <w:autoSpaceDE/>
        <w:autoSpaceDN/>
        <w:adjustRightInd/>
        <w:jc w:val="both"/>
        <w:textAlignment w:val="auto"/>
        <w:rPr>
          <w:rFonts w:ascii="Arial" w:hAnsi="Arial" w:cs="Arial"/>
          <w:lang w:val="es-419"/>
        </w:rPr>
      </w:pPr>
    </w:p>
    <w:p w:rsidR="003A2BE3" w:rsidRDefault="005E53CF" w:rsidP="003A2BE3">
      <w:pPr>
        <w:overflowPunct/>
        <w:autoSpaceDE/>
        <w:autoSpaceDN/>
        <w:adjustRightInd/>
        <w:jc w:val="both"/>
        <w:textAlignment w:val="auto"/>
        <w:rPr>
          <w:rFonts w:ascii="Arial" w:hAnsi="Arial" w:cs="Arial"/>
          <w:lang w:val="es-419"/>
        </w:rPr>
      </w:pPr>
      <w:r w:rsidRPr="005E53CF">
        <w:rPr>
          <w:rFonts w:ascii="Arial" w:hAnsi="Arial" w:cs="Arial"/>
          <w:lang w:val="es-419"/>
        </w:rPr>
        <w:t>En consecuencia, como en este caso se demostró que las partes en litigio perfeccionaron el contrato de promesa de compraventa, respecto del inmueble tantas veces referido, no podía invocarse ese convenio como fuente de responsabilidad. Por tal razón, tampoco resulta posible autorizar el pago de indemnizaciones como las solicitadas en la demanda, cuando, además, valga decirlo, ni siquiera se pidió la resolución o el cumplimiento de la promesa como lo autoriza el artículo 1546 del Código Civil, en el evento de no cumplirse lo pactado, sino el reconocimiento de unos perjuicios que dicen los demandantes sufrieron.</w:t>
      </w:r>
    </w:p>
    <w:p w:rsidR="003A2BE3" w:rsidRPr="00EB7E69" w:rsidRDefault="003A2BE3" w:rsidP="003A2BE3">
      <w:pPr>
        <w:overflowPunct/>
        <w:autoSpaceDE/>
        <w:autoSpaceDN/>
        <w:adjustRightInd/>
        <w:jc w:val="both"/>
        <w:textAlignment w:val="auto"/>
        <w:rPr>
          <w:rFonts w:ascii="Arial" w:hAnsi="Arial" w:cs="Arial"/>
          <w:lang w:val="es-419"/>
        </w:rPr>
      </w:pPr>
    </w:p>
    <w:p w:rsidR="00EB7E69" w:rsidRPr="005E53CF" w:rsidRDefault="005E53CF" w:rsidP="00EB7E69">
      <w:pPr>
        <w:overflowPunct/>
        <w:autoSpaceDE/>
        <w:autoSpaceDN/>
        <w:adjustRightInd/>
        <w:jc w:val="both"/>
        <w:textAlignment w:val="auto"/>
        <w:rPr>
          <w:rFonts w:ascii="Arial" w:hAnsi="Arial" w:cs="Arial"/>
          <w:b/>
          <w:color w:val="FF0000"/>
          <w:lang w:val="es-ES"/>
        </w:rPr>
      </w:pPr>
      <w:r w:rsidRPr="005E53CF">
        <w:rPr>
          <w:rFonts w:ascii="Arial" w:hAnsi="Arial" w:cs="Arial"/>
          <w:b/>
          <w:color w:val="FF0000"/>
          <w:lang w:val="es-ES"/>
        </w:rPr>
        <w:t>SALVAMENTO DE VOTO: DOCTORA CLAUDIA MARÍA ARCILA RÍOS</w:t>
      </w:r>
    </w:p>
    <w:p w:rsidR="00EB7E69" w:rsidRDefault="00EB7E69" w:rsidP="00EB7E69">
      <w:pPr>
        <w:overflowPunct/>
        <w:autoSpaceDE/>
        <w:autoSpaceDN/>
        <w:adjustRightInd/>
        <w:jc w:val="both"/>
        <w:textAlignment w:val="auto"/>
        <w:rPr>
          <w:rFonts w:ascii="Arial" w:hAnsi="Arial" w:cs="Arial"/>
          <w:lang w:val="es-ES"/>
        </w:rPr>
      </w:pPr>
    </w:p>
    <w:p w:rsidR="005E53CF" w:rsidRPr="005E53CF" w:rsidRDefault="005E53CF" w:rsidP="005E53CF">
      <w:pPr>
        <w:overflowPunct/>
        <w:autoSpaceDE/>
        <w:autoSpaceDN/>
        <w:adjustRightInd/>
        <w:jc w:val="both"/>
        <w:textAlignment w:val="auto"/>
        <w:rPr>
          <w:rFonts w:ascii="Arial" w:hAnsi="Arial" w:cs="Arial"/>
          <w:lang w:val="es-ES"/>
        </w:rPr>
      </w:pPr>
      <w:r w:rsidRPr="005E53CF">
        <w:rPr>
          <w:rFonts w:ascii="Arial" w:hAnsi="Arial" w:cs="Arial"/>
          <w:lang w:val="es-ES"/>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5E53CF" w:rsidRPr="005E53CF" w:rsidRDefault="005E53CF" w:rsidP="005E53CF">
      <w:pPr>
        <w:overflowPunct/>
        <w:autoSpaceDE/>
        <w:autoSpaceDN/>
        <w:adjustRightInd/>
        <w:jc w:val="both"/>
        <w:textAlignment w:val="auto"/>
        <w:rPr>
          <w:rFonts w:ascii="Arial" w:hAnsi="Arial" w:cs="Arial"/>
          <w:lang w:val="es-ES"/>
        </w:rPr>
      </w:pPr>
    </w:p>
    <w:p w:rsidR="005E53CF" w:rsidRPr="00EB7E69" w:rsidRDefault="005E53CF" w:rsidP="005E53CF">
      <w:pPr>
        <w:overflowPunct/>
        <w:autoSpaceDE/>
        <w:autoSpaceDN/>
        <w:adjustRightInd/>
        <w:jc w:val="both"/>
        <w:textAlignment w:val="auto"/>
        <w:rPr>
          <w:rFonts w:ascii="Arial" w:hAnsi="Arial" w:cs="Arial"/>
          <w:lang w:val="es-ES"/>
        </w:rPr>
      </w:pPr>
      <w:r w:rsidRPr="005E53CF">
        <w:rPr>
          <w:rFonts w:ascii="Arial" w:hAnsi="Arial" w:cs="Arial"/>
          <w:lang w:val="es-ES"/>
        </w:rPr>
        <w:t>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w:t>
      </w:r>
      <w:r>
        <w:rPr>
          <w:rFonts w:ascii="Arial" w:hAnsi="Arial" w:cs="Arial"/>
          <w:lang w:val="es-ES"/>
        </w:rPr>
        <w:t>…</w:t>
      </w:r>
    </w:p>
    <w:p w:rsidR="00EB7E69" w:rsidRPr="00EB7E69" w:rsidRDefault="00EB7E69" w:rsidP="00EB7E69">
      <w:pPr>
        <w:overflowPunct/>
        <w:autoSpaceDE/>
        <w:autoSpaceDN/>
        <w:adjustRightInd/>
        <w:jc w:val="both"/>
        <w:textAlignment w:val="auto"/>
        <w:rPr>
          <w:rFonts w:ascii="Arial" w:hAnsi="Arial" w:cs="Arial"/>
          <w:lang w:val="es-ES"/>
        </w:rPr>
      </w:pPr>
    </w:p>
    <w:p w:rsidR="00EB7E69" w:rsidRDefault="00EB7E69" w:rsidP="00EB7E69">
      <w:pPr>
        <w:overflowPunct/>
        <w:autoSpaceDE/>
        <w:autoSpaceDN/>
        <w:adjustRightInd/>
        <w:jc w:val="both"/>
        <w:textAlignment w:val="auto"/>
        <w:rPr>
          <w:rFonts w:ascii="Arial" w:hAnsi="Arial" w:cs="Arial"/>
          <w:lang w:val="es-ES"/>
        </w:rPr>
      </w:pPr>
    </w:p>
    <w:p w:rsidR="005E53CF" w:rsidRPr="00EB7E69" w:rsidRDefault="005E53CF" w:rsidP="00EB7E69">
      <w:pPr>
        <w:overflowPunct/>
        <w:autoSpaceDE/>
        <w:autoSpaceDN/>
        <w:adjustRightInd/>
        <w:jc w:val="both"/>
        <w:textAlignment w:val="auto"/>
        <w:rPr>
          <w:rFonts w:ascii="Arial" w:hAnsi="Arial" w:cs="Arial"/>
          <w:lang w:val="es-ES"/>
        </w:rPr>
      </w:pPr>
    </w:p>
    <w:p w:rsidR="000E533E" w:rsidRPr="00EB7E69" w:rsidRDefault="00582E13" w:rsidP="00EB7E69">
      <w:pPr>
        <w:tabs>
          <w:tab w:val="left" w:pos="284"/>
        </w:tabs>
        <w:spacing w:line="276" w:lineRule="auto"/>
        <w:jc w:val="center"/>
        <w:rPr>
          <w:rFonts w:ascii="Tahoma" w:hAnsi="Tahoma" w:cs="Tahoma"/>
          <w:b/>
          <w:sz w:val="24"/>
          <w:szCs w:val="24"/>
        </w:rPr>
      </w:pPr>
      <w:r w:rsidRPr="00EB7E69">
        <w:rPr>
          <w:rFonts w:ascii="Tahoma" w:hAnsi="Tahoma" w:cs="Tahoma"/>
          <w:b/>
          <w:sz w:val="24"/>
          <w:szCs w:val="24"/>
        </w:rPr>
        <w:t xml:space="preserve">TRIBUNAL SUPERIOR </w:t>
      </w:r>
      <w:r w:rsidR="000E533E" w:rsidRPr="00EB7E69">
        <w:rPr>
          <w:rFonts w:ascii="Tahoma" w:hAnsi="Tahoma" w:cs="Tahoma"/>
          <w:b/>
          <w:sz w:val="24"/>
          <w:szCs w:val="24"/>
        </w:rPr>
        <w:t>DEL DISTRITO JUDICIAL</w:t>
      </w:r>
    </w:p>
    <w:p w:rsidR="000E533E" w:rsidRPr="00EB7E69" w:rsidRDefault="000E533E" w:rsidP="00EB7E69">
      <w:pPr>
        <w:spacing w:line="276" w:lineRule="auto"/>
        <w:jc w:val="center"/>
        <w:rPr>
          <w:rFonts w:ascii="Tahoma" w:hAnsi="Tahoma" w:cs="Tahoma"/>
          <w:b/>
          <w:sz w:val="24"/>
          <w:szCs w:val="24"/>
        </w:rPr>
      </w:pPr>
      <w:r w:rsidRPr="00EB7E69">
        <w:rPr>
          <w:rFonts w:ascii="Tahoma" w:hAnsi="Tahoma" w:cs="Tahoma"/>
          <w:b/>
          <w:sz w:val="24"/>
          <w:szCs w:val="24"/>
        </w:rPr>
        <w:t xml:space="preserve">SALA </w:t>
      </w:r>
      <w:r w:rsidR="00E13AA1" w:rsidRPr="00EB7E69">
        <w:rPr>
          <w:rFonts w:ascii="Tahoma" w:hAnsi="Tahoma" w:cs="Tahoma"/>
          <w:b/>
          <w:sz w:val="24"/>
          <w:szCs w:val="24"/>
        </w:rPr>
        <w:t xml:space="preserve">DE DECISIÓN </w:t>
      </w:r>
      <w:r w:rsidRPr="00EB7E69">
        <w:rPr>
          <w:rFonts w:ascii="Tahoma" w:hAnsi="Tahoma" w:cs="Tahoma"/>
          <w:b/>
          <w:sz w:val="24"/>
          <w:szCs w:val="24"/>
        </w:rPr>
        <w:t>CIVIL FAMILIA</w:t>
      </w:r>
    </w:p>
    <w:p w:rsidR="000E533E" w:rsidRPr="00EB7E69" w:rsidRDefault="000E533E" w:rsidP="00EB7E69">
      <w:pPr>
        <w:spacing w:line="276" w:lineRule="auto"/>
        <w:jc w:val="both"/>
        <w:rPr>
          <w:rFonts w:ascii="Tahoma" w:hAnsi="Tahoma" w:cs="Tahoma"/>
          <w:sz w:val="24"/>
          <w:szCs w:val="24"/>
        </w:rPr>
      </w:pPr>
    </w:p>
    <w:p w:rsidR="00257ACD" w:rsidRPr="00EB7E69" w:rsidRDefault="00257ACD" w:rsidP="00EB7E69">
      <w:pPr>
        <w:spacing w:line="276" w:lineRule="auto"/>
        <w:jc w:val="both"/>
        <w:rPr>
          <w:rFonts w:ascii="Tahoma" w:hAnsi="Tahoma" w:cs="Tahoma"/>
          <w:sz w:val="24"/>
          <w:szCs w:val="24"/>
        </w:rPr>
      </w:pPr>
    </w:p>
    <w:p w:rsidR="000E533E" w:rsidRPr="00EB7E69" w:rsidRDefault="000E533E" w:rsidP="00EB7E69">
      <w:pPr>
        <w:spacing w:line="276" w:lineRule="auto"/>
        <w:ind w:firstLine="426"/>
        <w:jc w:val="both"/>
        <w:rPr>
          <w:rFonts w:ascii="Tahoma" w:hAnsi="Tahoma" w:cs="Tahoma"/>
          <w:sz w:val="24"/>
          <w:szCs w:val="24"/>
        </w:rPr>
      </w:pPr>
      <w:r w:rsidRPr="00EB7E69">
        <w:rPr>
          <w:rFonts w:ascii="Tahoma" w:hAnsi="Tahoma" w:cs="Tahoma"/>
          <w:sz w:val="24"/>
          <w:szCs w:val="24"/>
        </w:rPr>
        <w:t>Magistrada ponente:</w:t>
      </w:r>
      <w:r w:rsidR="00EB7E69" w:rsidRPr="00EB7E69">
        <w:rPr>
          <w:rFonts w:ascii="Tahoma" w:hAnsi="Tahoma" w:cs="Tahoma"/>
          <w:sz w:val="24"/>
          <w:szCs w:val="24"/>
        </w:rPr>
        <w:t xml:space="preserve"> </w:t>
      </w:r>
      <w:r w:rsidRPr="00EB7E69">
        <w:rPr>
          <w:rFonts w:ascii="Tahoma" w:hAnsi="Tahoma" w:cs="Tahoma"/>
          <w:sz w:val="24"/>
          <w:szCs w:val="24"/>
        </w:rPr>
        <w:t>Claudia María Arcila Ríos</w:t>
      </w:r>
    </w:p>
    <w:p w:rsidR="000E533E" w:rsidRPr="00EB7E69" w:rsidRDefault="000E533E" w:rsidP="00EB7E69">
      <w:pPr>
        <w:spacing w:line="276" w:lineRule="auto"/>
        <w:ind w:firstLine="426"/>
        <w:jc w:val="both"/>
        <w:rPr>
          <w:rFonts w:ascii="Tahoma" w:hAnsi="Tahoma" w:cs="Tahoma"/>
          <w:sz w:val="24"/>
          <w:szCs w:val="24"/>
        </w:rPr>
      </w:pPr>
      <w:r w:rsidRPr="00EB7E69">
        <w:rPr>
          <w:rFonts w:ascii="Tahoma" w:hAnsi="Tahoma" w:cs="Tahoma"/>
          <w:sz w:val="24"/>
          <w:szCs w:val="24"/>
        </w:rPr>
        <w:t>Pereira,</w:t>
      </w:r>
      <w:r w:rsidR="00E13AA1" w:rsidRPr="00EB7E69">
        <w:rPr>
          <w:rFonts w:ascii="Tahoma" w:hAnsi="Tahoma" w:cs="Tahoma"/>
          <w:sz w:val="24"/>
          <w:szCs w:val="24"/>
        </w:rPr>
        <w:t xml:space="preserve"> </w:t>
      </w:r>
      <w:r w:rsidR="008E0951" w:rsidRPr="00EB7E69">
        <w:rPr>
          <w:rFonts w:ascii="Tahoma" w:hAnsi="Tahoma" w:cs="Tahoma"/>
          <w:sz w:val="24"/>
          <w:szCs w:val="24"/>
        </w:rPr>
        <w:t>julio nueve (9) d</w:t>
      </w:r>
      <w:r w:rsidR="00D10F79" w:rsidRPr="00EB7E69">
        <w:rPr>
          <w:rFonts w:ascii="Tahoma" w:hAnsi="Tahoma" w:cs="Tahoma"/>
          <w:sz w:val="24"/>
          <w:szCs w:val="24"/>
        </w:rPr>
        <w:t xml:space="preserve">e </w:t>
      </w:r>
      <w:r w:rsidR="00A24363" w:rsidRPr="00EB7E69">
        <w:rPr>
          <w:rFonts w:ascii="Tahoma" w:hAnsi="Tahoma" w:cs="Tahoma"/>
          <w:sz w:val="24"/>
          <w:szCs w:val="24"/>
        </w:rPr>
        <w:t xml:space="preserve">dos mil </w:t>
      </w:r>
      <w:r w:rsidR="009A4D10" w:rsidRPr="00EB7E69">
        <w:rPr>
          <w:rFonts w:ascii="Tahoma" w:hAnsi="Tahoma" w:cs="Tahoma"/>
          <w:sz w:val="24"/>
          <w:szCs w:val="24"/>
        </w:rPr>
        <w:t xml:space="preserve">veinte </w:t>
      </w:r>
      <w:r w:rsidR="00E13AA1" w:rsidRPr="00EB7E69">
        <w:rPr>
          <w:rFonts w:ascii="Tahoma" w:hAnsi="Tahoma" w:cs="Tahoma"/>
          <w:sz w:val="24"/>
          <w:szCs w:val="24"/>
        </w:rPr>
        <w:t>(20</w:t>
      </w:r>
      <w:r w:rsidR="009A4D10" w:rsidRPr="00EB7E69">
        <w:rPr>
          <w:rFonts w:ascii="Tahoma" w:hAnsi="Tahoma" w:cs="Tahoma"/>
          <w:sz w:val="24"/>
          <w:szCs w:val="24"/>
        </w:rPr>
        <w:t>20</w:t>
      </w:r>
      <w:r w:rsidR="00D10F79" w:rsidRPr="00EB7E69">
        <w:rPr>
          <w:rFonts w:ascii="Tahoma" w:hAnsi="Tahoma" w:cs="Tahoma"/>
          <w:sz w:val="24"/>
          <w:szCs w:val="24"/>
        </w:rPr>
        <w:t>)</w:t>
      </w:r>
    </w:p>
    <w:p w:rsidR="00B11404" w:rsidRPr="00EB7E69" w:rsidRDefault="000E533E" w:rsidP="00EB7E69">
      <w:pPr>
        <w:spacing w:line="276" w:lineRule="auto"/>
        <w:ind w:firstLine="426"/>
        <w:jc w:val="both"/>
        <w:rPr>
          <w:rFonts w:ascii="Tahoma" w:hAnsi="Tahoma" w:cs="Tahoma"/>
          <w:sz w:val="24"/>
          <w:szCs w:val="24"/>
        </w:rPr>
      </w:pPr>
      <w:r w:rsidRPr="00EB7E69">
        <w:rPr>
          <w:rFonts w:ascii="Tahoma" w:hAnsi="Tahoma" w:cs="Tahoma"/>
          <w:sz w:val="24"/>
          <w:szCs w:val="24"/>
        </w:rPr>
        <w:t>Acta No.</w:t>
      </w:r>
      <w:r w:rsidR="00DE47DF" w:rsidRPr="00EB7E69">
        <w:rPr>
          <w:rFonts w:ascii="Tahoma" w:hAnsi="Tahoma" w:cs="Tahoma"/>
          <w:sz w:val="24"/>
          <w:szCs w:val="24"/>
        </w:rPr>
        <w:t xml:space="preserve"> 217 de julio 9 de </w:t>
      </w:r>
      <w:r w:rsidR="00A24363" w:rsidRPr="00EB7E69">
        <w:rPr>
          <w:rFonts w:ascii="Tahoma" w:hAnsi="Tahoma" w:cs="Tahoma"/>
          <w:sz w:val="24"/>
          <w:szCs w:val="24"/>
        </w:rPr>
        <w:t>20</w:t>
      </w:r>
      <w:r w:rsidR="009A4D10" w:rsidRPr="00EB7E69">
        <w:rPr>
          <w:rFonts w:ascii="Tahoma" w:hAnsi="Tahoma" w:cs="Tahoma"/>
          <w:sz w:val="24"/>
          <w:szCs w:val="24"/>
        </w:rPr>
        <w:t>20</w:t>
      </w:r>
    </w:p>
    <w:p w:rsidR="000E533E" w:rsidRPr="00EB7E69" w:rsidRDefault="00E13AA1" w:rsidP="00EB7E69">
      <w:pPr>
        <w:spacing w:line="276" w:lineRule="auto"/>
        <w:ind w:firstLine="426"/>
        <w:jc w:val="both"/>
        <w:rPr>
          <w:rFonts w:ascii="Tahoma" w:hAnsi="Tahoma" w:cs="Tahoma"/>
          <w:sz w:val="24"/>
          <w:szCs w:val="24"/>
        </w:rPr>
      </w:pPr>
      <w:r w:rsidRPr="00EB7E69">
        <w:rPr>
          <w:rFonts w:ascii="Tahoma" w:hAnsi="Tahoma" w:cs="Tahoma"/>
          <w:sz w:val="24"/>
          <w:szCs w:val="24"/>
        </w:rPr>
        <w:t>Expediente 05</w:t>
      </w:r>
      <w:r w:rsidR="00F02467" w:rsidRPr="00EB7E69">
        <w:rPr>
          <w:rFonts w:ascii="Tahoma" w:hAnsi="Tahoma" w:cs="Tahoma"/>
          <w:sz w:val="24"/>
          <w:szCs w:val="24"/>
        </w:rPr>
        <w:t>001</w:t>
      </w:r>
      <w:r w:rsidR="00B11404" w:rsidRPr="00EB7E69">
        <w:rPr>
          <w:rFonts w:ascii="Tahoma" w:hAnsi="Tahoma" w:cs="Tahoma"/>
          <w:sz w:val="24"/>
          <w:szCs w:val="24"/>
        </w:rPr>
        <w:t>-31-03-0</w:t>
      </w:r>
      <w:r w:rsidR="009A4D10" w:rsidRPr="00EB7E69">
        <w:rPr>
          <w:rFonts w:ascii="Tahoma" w:hAnsi="Tahoma" w:cs="Tahoma"/>
          <w:sz w:val="24"/>
          <w:szCs w:val="24"/>
        </w:rPr>
        <w:t>0</w:t>
      </w:r>
      <w:r w:rsidR="00F02467" w:rsidRPr="00EB7E69">
        <w:rPr>
          <w:rFonts w:ascii="Tahoma" w:hAnsi="Tahoma" w:cs="Tahoma"/>
          <w:sz w:val="24"/>
          <w:szCs w:val="24"/>
        </w:rPr>
        <w:t>8</w:t>
      </w:r>
      <w:r w:rsidR="00B11404" w:rsidRPr="00EB7E69">
        <w:rPr>
          <w:rFonts w:ascii="Tahoma" w:hAnsi="Tahoma" w:cs="Tahoma"/>
          <w:sz w:val="24"/>
          <w:szCs w:val="24"/>
        </w:rPr>
        <w:t>-20</w:t>
      </w:r>
      <w:r w:rsidR="00F02467" w:rsidRPr="00EB7E69">
        <w:rPr>
          <w:rFonts w:ascii="Tahoma" w:hAnsi="Tahoma" w:cs="Tahoma"/>
          <w:sz w:val="24"/>
          <w:szCs w:val="24"/>
        </w:rPr>
        <w:t>07</w:t>
      </w:r>
      <w:r w:rsidR="00B11404" w:rsidRPr="00EB7E69">
        <w:rPr>
          <w:rFonts w:ascii="Tahoma" w:hAnsi="Tahoma" w:cs="Tahoma"/>
          <w:sz w:val="24"/>
          <w:szCs w:val="24"/>
        </w:rPr>
        <w:t>-00</w:t>
      </w:r>
      <w:r w:rsidR="009A4D10" w:rsidRPr="00EB7E69">
        <w:rPr>
          <w:rFonts w:ascii="Tahoma" w:hAnsi="Tahoma" w:cs="Tahoma"/>
          <w:sz w:val="24"/>
          <w:szCs w:val="24"/>
        </w:rPr>
        <w:t>3</w:t>
      </w:r>
      <w:r w:rsidR="00F02467" w:rsidRPr="00EB7E69">
        <w:rPr>
          <w:rFonts w:ascii="Tahoma" w:hAnsi="Tahoma" w:cs="Tahoma"/>
          <w:sz w:val="24"/>
          <w:szCs w:val="24"/>
        </w:rPr>
        <w:t>66</w:t>
      </w:r>
      <w:r w:rsidR="00B11404" w:rsidRPr="00EB7E69">
        <w:rPr>
          <w:rFonts w:ascii="Tahoma" w:hAnsi="Tahoma" w:cs="Tahoma"/>
          <w:sz w:val="24"/>
          <w:szCs w:val="24"/>
        </w:rPr>
        <w:t>-01</w:t>
      </w:r>
      <w:r w:rsidR="00B11404" w:rsidRPr="00EB7E69">
        <w:rPr>
          <w:rFonts w:ascii="Tahoma" w:hAnsi="Tahoma" w:cs="Tahoma"/>
          <w:sz w:val="24"/>
          <w:szCs w:val="24"/>
        </w:rPr>
        <w:tab/>
      </w:r>
      <w:r w:rsidR="000E533E" w:rsidRPr="00EB7E69">
        <w:rPr>
          <w:rFonts w:ascii="Tahoma" w:hAnsi="Tahoma" w:cs="Tahoma"/>
          <w:sz w:val="24"/>
          <w:szCs w:val="24"/>
        </w:rPr>
        <w:t xml:space="preserve">        </w:t>
      </w:r>
    </w:p>
    <w:p w:rsidR="000E533E" w:rsidRPr="00EB7E69" w:rsidRDefault="000E533E" w:rsidP="00EB7E69">
      <w:pPr>
        <w:spacing w:line="276" w:lineRule="auto"/>
        <w:jc w:val="both"/>
        <w:rPr>
          <w:rFonts w:ascii="Tahoma" w:hAnsi="Tahoma" w:cs="Tahoma"/>
          <w:sz w:val="24"/>
          <w:szCs w:val="24"/>
        </w:rPr>
      </w:pPr>
    </w:p>
    <w:p w:rsidR="00257ACD" w:rsidRPr="00EB7E69" w:rsidRDefault="00257ACD" w:rsidP="00EB7E69">
      <w:pPr>
        <w:spacing w:line="276" w:lineRule="auto"/>
        <w:jc w:val="both"/>
        <w:rPr>
          <w:rFonts w:ascii="Tahoma" w:hAnsi="Tahoma" w:cs="Tahoma"/>
          <w:sz w:val="24"/>
          <w:szCs w:val="24"/>
        </w:rPr>
      </w:pPr>
    </w:p>
    <w:p w:rsidR="009A4D10" w:rsidRPr="00EB7E69" w:rsidRDefault="00E13AA1" w:rsidP="00EB7E69">
      <w:pPr>
        <w:pStyle w:val="Textoindependiente"/>
        <w:spacing w:line="276" w:lineRule="auto"/>
        <w:rPr>
          <w:rFonts w:ascii="Tahoma" w:hAnsi="Tahoma" w:cs="Tahoma"/>
          <w:sz w:val="24"/>
          <w:szCs w:val="24"/>
        </w:rPr>
      </w:pPr>
      <w:r w:rsidRPr="00EB7E69">
        <w:rPr>
          <w:rFonts w:ascii="Tahoma" w:hAnsi="Tahoma" w:cs="Tahoma"/>
          <w:sz w:val="24"/>
          <w:szCs w:val="24"/>
        </w:rPr>
        <w:t>En cumplimiento del Acuerdo</w:t>
      </w:r>
      <w:r w:rsidR="00805EB3" w:rsidRPr="00EB7E69">
        <w:rPr>
          <w:rFonts w:ascii="Tahoma" w:hAnsi="Tahoma" w:cs="Tahoma"/>
          <w:sz w:val="24"/>
          <w:szCs w:val="24"/>
        </w:rPr>
        <w:t xml:space="preserve"> PCSJA19-11327, expedido por el Consejo Superior de la Judicatura el 26 de junio de 2019,</w:t>
      </w:r>
      <w:r w:rsidRPr="00EB7E69">
        <w:rPr>
          <w:rFonts w:ascii="Tahoma" w:hAnsi="Tahoma" w:cs="Tahoma"/>
          <w:sz w:val="24"/>
          <w:szCs w:val="24"/>
        </w:rPr>
        <w:t xml:space="preserve"> p</w:t>
      </w:r>
      <w:r w:rsidR="000E533E" w:rsidRPr="00EB7E69">
        <w:rPr>
          <w:rFonts w:ascii="Tahoma" w:hAnsi="Tahoma" w:cs="Tahoma"/>
          <w:sz w:val="24"/>
          <w:szCs w:val="24"/>
        </w:rPr>
        <w:t>rocede la Sala a decidir el recurso de apelación</w:t>
      </w:r>
      <w:r w:rsidR="00A24363" w:rsidRPr="00EB7E69">
        <w:rPr>
          <w:rFonts w:ascii="Tahoma" w:hAnsi="Tahoma" w:cs="Tahoma"/>
          <w:sz w:val="24"/>
          <w:szCs w:val="24"/>
        </w:rPr>
        <w:t xml:space="preserve"> que interpus</w:t>
      </w:r>
      <w:r w:rsidR="009A4D10" w:rsidRPr="00EB7E69">
        <w:rPr>
          <w:rFonts w:ascii="Tahoma" w:hAnsi="Tahoma" w:cs="Tahoma"/>
          <w:sz w:val="24"/>
          <w:szCs w:val="24"/>
        </w:rPr>
        <w:t>o la parte demandante</w:t>
      </w:r>
      <w:r w:rsidR="00F02467" w:rsidRPr="00EB7E69">
        <w:rPr>
          <w:rFonts w:ascii="Tahoma" w:hAnsi="Tahoma" w:cs="Tahoma"/>
          <w:sz w:val="24"/>
          <w:szCs w:val="24"/>
        </w:rPr>
        <w:t>,</w:t>
      </w:r>
      <w:r w:rsidR="009A4D10" w:rsidRPr="00EB7E69">
        <w:rPr>
          <w:rFonts w:ascii="Tahoma" w:hAnsi="Tahoma" w:cs="Tahoma"/>
          <w:sz w:val="24"/>
          <w:szCs w:val="24"/>
        </w:rPr>
        <w:t xml:space="preserve"> </w:t>
      </w:r>
      <w:r w:rsidR="00B11404" w:rsidRPr="00EB7E69">
        <w:rPr>
          <w:rFonts w:ascii="Tahoma" w:hAnsi="Tahoma" w:cs="Tahoma"/>
          <w:sz w:val="24"/>
          <w:szCs w:val="24"/>
        </w:rPr>
        <w:t xml:space="preserve">frente a </w:t>
      </w:r>
      <w:r w:rsidR="000E533E" w:rsidRPr="00EB7E69">
        <w:rPr>
          <w:rFonts w:ascii="Tahoma" w:hAnsi="Tahoma" w:cs="Tahoma"/>
          <w:sz w:val="24"/>
          <w:szCs w:val="24"/>
        </w:rPr>
        <w:t>la sentencia proferida por el Juzgado</w:t>
      </w:r>
      <w:r w:rsidR="00A24363" w:rsidRPr="00EB7E69">
        <w:rPr>
          <w:rFonts w:ascii="Tahoma" w:hAnsi="Tahoma" w:cs="Tahoma"/>
          <w:sz w:val="24"/>
          <w:szCs w:val="24"/>
        </w:rPr>
        <w:t xml:space="preserve"> </w:t>
      </w:r>
      <w:r w:rsidR="00F02467" w:rsidRPr="00EB7E69">
        <w:rPr>
          <w:rFonts w:ascii="Tahoma" w:hAnsi="Tahoma" w:cs="Tahoma"/>
          <w:sz w:val="24"/>
          <w:szCs w:val="24"/>
        </w:rPr>
        <w:lastRenderedPageBreak/>
        <w:t xml:space="preserve">Segundo Civil del Circuito de Descongestión de Medellín, </w:t>
      </w:r>
      <w:r w:rsidR="00291F0A" w:rsidRPr="00EB7E69">
        <w:rPr>
          <w:rFonts w:ascii="Tahoma" w:hAnsi="Tahoma" w:cs="Tahoma"/>
          <w:sz w:val="24"/>
          <w:szCs w:val="24"/>
        </w:rPr>
        <w:t>el</w:t>
      </w:r>
      <w:r w:rsidR="009A4D10" w:rsidRPr="00EB7E69">
        <w:rPr>
          <w:rFonts w:ascii="Tahoma" w:hAnsi="Tahoma" w:cs="Tahoma"/>
          <w:sz w:val="24"/>
          <w:szCs w:val="24"/>
        </w:rPr>
        <w:t xml:space="preserve"> </w:t>
      </w:r>
      <w:r w:rsidR="00F02467" w:rsidRPr="00EB7E69">
        <w:rPr>
          <w:rFonts w:ascii="Tahoma" w:hAnsi="Tahoma" w:cs="Tahoma"/>
          <w:sz w:val="24"/>
          <w:szCs w:val="24"/>
        </w:rPr>
        <w:t xml:space="preserve">27 de junio de 2014, </w:t>
      </w:r>
      <w:r w:rsidR="000E533E" w:rsidRPr="00EB7E69">
        <w:rPr>
          <w:rFonts w:ascii="Tahoma" w:hAnsi="Tahoma" w:cs="Tahoma"/>
          <w:sz w:val="24"/>
          <w:szCs w:val="24"/>
        </w:rPr>
        <w:t xml:space="preserve">en el proceso ordinario </w:t>
      </w:r>
      <w:r w:rsidRPr="00EB7E69">
        <w:rPr>
          <w:rFonts w:ascii="Tahoma" w:hAnsi="Tahoma" w:cs="Tahoma"/>
          <w:sz w:val="24"/>
          <w:szCs w:val="24"/>
        </w:rPr>
        <w:t xml:space="preserve">instaurado por </w:t>
      </w:r>
      <w:r w:rsidR="009A4D10" w:rsidRPr="00EB7E69">
        <w:rPr>
          <w:rFonts w:ascii="Tahoma" w:hAnsi="Tahoma" w:cs="Tahoma"/>
          <w:sz w:val="24"/>
          <w:szCs w:val="24"/>
        </w:rPr>
        <w:t xml:space="preserve">los señores </w:t>
      </w:r>
      <w:r w:rsidR="00F02467" w:rsidRPr="00EB7E69">
        <w:rPr>
          <w:rFonts w:ascii="Tahoma" w:hAnsi="Tahoma" w:cs="Tahoma"/>
          <w:sz w:val="24"/>
          <w:szCs w:val="24"/>
        </w:rPr>
        <w:t>Víctor Hugo Tamayo Lopera y Ariel de Jesús Hernández Serna contra la sociedad G</w:t>
      </w:r>
      <w:r w:rsidR="001A1C16" w:rsidRPr="00EB7E69">
        <w:rPr>
          <w:rFonts w:ascii="Tahoma" w:hAnsi="Tahoma" w:cs="Tahoma"/>
          <w:sz w:val="24"/>
          <w:szCs w:val="24"/>
        </w:rPr>
        <w:t xml:space="preserve"> </w:t>
      </w:r>
      <w:r w:rsidR="00F02467" w:rsidRPr="00EB7E69">
        <w:rPr>
          <w:rFonts w:ascii="Tahoma" w:hAnsi="Tahoma" w:cs="Tahoma"/>
          <w:sz w:val="24"/>
          <w:szCs w:val="24"/>
        </w:rPr>
        <w:t>Y</w:t>
      </w:r>
      <w:r w:rsidR="001A1C16" w:rsidRPr="00EB7E69">
        <w:rPr>
          <w:rFonts w:ascii="Tahoma" w:hAnsi="Tahoma" w:cs="Tahoma"/>
          <w:sz w:val="24"/>
          <w:szCs w:val="24"/>
        </w:rPr>
        <w:t xml:space="preserve"> </w:t>
      </w:r>
      <w:r w:rsidR="00F02467" w:rsidRPr="00EB7E69">
        <w:rPr>
          <w:rFonts w:ascii="Tahoma" w:hAnsi="Tahoma" w:cs="Tahoma"/>
          <w:sz w:val="24"/>
          <w:szCs w:val="24"/>
        </w:rPr>
        <w:t>G Asociados Medellín S.A.</w:t>
      </w:r>
    </w:p>
    <w:p w:rsidR="00F02467" w:rsidRPr="00EB7E69" w:rsidRDefault="00F02467" w:rsidP="00EB7E69">
      <w:pPr>
        <w:pStyle w:val="Textoindependiente"/>
        <w:spacing w:line="276" w:lineRule="auto"/>
        <w:rPr>
          <w:rFonts w:ascii="Tahoma" w:hAnsi="Tahoma" w:cs="Tahoma"/>
          <w:sz w:val="24"/>
          <w:szCs w:val="24"/>
        </w:rPr>
      </w:pPr>
    </w:p>
    <w:p w:rsidR="000E533E" w:rsidRPr="00EB7E69" w:rsidRDefault="000E533E" w:rsidP="00EB7E69">
      <w:pPr>
        <w:pStyle w:val="Textoindependiente"/>
        <w:spacing w:line="276" w:lineRule="auto"/>
        <w:rPr>
          <w:rFonts w:ascii="Tahoma" w:hAnsi="Tahoma" w:cs="Tahoma"/>
          <w:b/>
          <w:sz w:val="24"/>
          <w:szCs w:val="24"/>
        </w:rPr>
      </w:pPr>
      <w:r w:rsidRPr="00EB7E69">
        <w:rPr>
          <w:rFonts w:ascii="Tahoma" w:hAnsi="Tahoma" w:cs="Tahoma"/>
          <w:b/>
          <w:sz w:val="24"/>
          <w:szCs w:val="24"/>
        </w:rPr>
        <w:t xml:space="preserve">PRETENSIONES </w:t>
      </w:r>
    </w:p>
    <w:p w:rsidR="000E533E" w:rsidRPr="00EB7E69" w:rsidRDefault="000E533E" w:rsidP="00EB7E69">
      <w:pPr>
        <w:pStyle w:val="Textoindependiente"/>
        <w:spacing w:line="276" w:lineRule="auto"/>
        <w:rPr>
          <w:rFonts w:ascii="Tahoma" w:hAnsi="Tahoma" w:cs="Tahoma"/>
          <w:sz w:val="24"/>
          <w:szCs w:val="24"/>
        </w:rPr>
      </w:pPr>
    </w:p>
    <w:p w:rsidR="00F02467" w:rsidRPr="00EB7E69" w:rsidRDefault="000E533E" w:rsidP="00EB7E69">
      <w:pPr>
        <w:pStyle w:val="Textoindependiente"/>
        <w:spacing w:line="276" w:lineRule="auto"/>
        <w:rPr>
          <w:rFonts w:ascii="Tahoma" w:hAnsi="Tahoma" w:cs="Tahoma"/>
          <w:sz w:val="24"/>
          <w:szCs w:val="24"/>
        </w:rPr>
      </w:pPr>
      <w:r w:rsidRPr="00EB7E69">
        <w:rPr>
          <w:rFonts w:ascii="Tahoma" w:hAnsi="Tahoma" w:cs="Tahoma"/>
          <w:sz w:val="24"/>
          <w:szCs w:val="24"/>
        </w:rPr>
        <w:t>S</w:t>
      </w:r>
      <w:r w:rsidR="00E13AA1" w:rsidRPr="00EB7E69">
        <w:rPr>
          <w:rFonts w:ascii="Tahoma" w:hAnsi="Tahoma" w:cs="Tahoma"/>
          <w:sz w:val="24"/>
          <w:szCs w:val="24"/>
        </w:rPr>
        <w:t>olicita</w:t>
      </w:r>
      <w:r w:rsidR="00F02467" w:rsidRPr="00EB7E69">
        <w:rPr>
          <w:rFonts w:ascii="Tahoma" w:hAnsi="Tahoma" w:cs="Tahoma"/>
          <w:sz w:val="24"/>
          <w:szCs w:val="24"/>
        </w:rPr>
        <w:t>n los demandantes</w:t>
      </w:r>
      <w:r w:rsidR="00777E09" w:rsidRPr="00EB7E69">
        <w:rPr>
          <w:rFonts w:ascii="Tahoma" w:hAnsi="Tahoma" w:cs="Tahoma"/>
          <w:sz w:val="24"/>
          <w:szCs w:val="24"/>
        </w:rPr>
        <w:t xml:space="preserve">: a) se declare que </w:t>
      </w:r>
      <w:r w:rsidR="00F02467" w:rsidRPr="00EB7E69">
        <w:rPr>
          <w:rFonts w:ascii="Tahoma" w:hAnsi="Tahoma" w:cs="Tahoma"/>
          <w:sz w:val="24"/>
          <w:szCs w:val="24"/>
        </w:rPr>
        <w:t>la sociedad demandada incumplió parcialmente el contrato de promesa de compraventa que con ella celebró, el 10 de noviembre de 2006;</w:t>
      </w:r>
      <w:r w:rsidR="009A4D10" w:rsidRPr="00EB7E69">
        <w:rPr>
          <w:rFonts w:ascii="Tahoma" w:hAnsi="Tahoma" w:cs="Tahoma"/>
          <w:sz w:val="24"/>
          <w:szCs w:val="24"/>
        </w:rPr>
        <w:t xml:space="preserve"> </w:t>
      </w:r>
      <w:r w:rsidR="00801CB7" w:rsidRPr="00EB7E69">
        <w:rPr>
          <w:rFonts w:ascii="Tahoma" w:hAnsi="Tahoma" w:cs="Tahoma"/>
          <w:sz w:val="24"/>
          <w:szCs w:val="24"/>
        </w:rPr>
        <w:t xml:space="preserve">b) </w:t>
      </w:r>
      <w:r w:rsidR="00F02467" w:rsidRPr="00EB7E69">
        <w:rPr>
          <w:rFonts w:ascii="Tahoma" w:hAnsi="Tahoma" w:cs="Tahoma"/>
          <w:sz w:val="24"/>
          <w:szCs w:val="24"/>
        </w:rPr>
        <w:t>en consecuencia, se le  condene a pagarles los perjuicios causados por concepto de intereses comerciales durante el tiempo que se retrasó la obra, la que se avaluó en $1.980.000.000; $60.000.000 valor del proyecto arquitectónico y $10.000.000 que corresponde a los planos estructurales; además</w:t>
      </w:r>
      <w:r w:rsidR="001A1C16" w:rsidRPr="00EB7E69">
        <w:rPr>
          <w:rFonts w:ascii="Tahoma" w:hAnsi="Tahoma" w:cs="Tahoma"/>
          <w:sz w:val="24"/>
          <w:szCs w:val="24"/>
        </w:rPr>
        <w:t>,</w:t>
      </w:r>
      <w:r w:rsidR="00F02467" w:rsidRPr="00EB7E69">
        <w:rPr>
          <w:rFonts w:ascii="Tahoma" w:hAnsi="Tahoma" w:cs="Tahoma"/>
          <w:sz w:val="24"/>
          <w:szCs w:val="24"/>
        </w:rPr>
        <w:t xml:space="preserve"> la cláusula penal pactada y las costas del proceso.</w:t>
      </w:r>
    </w:p>
    <w:p w:rsidR="009A4D10" w:rsidRPr="00EB7E69" w:rsidRDefault="00F02467"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 </w:t>
      </w:r>
    </w:p>
    <w:p w:rsidR="000E533E" w:rsidRPr="00EB7E69" w:rsidRDefault="000E533E" w:rsidP="00EB7E69">
      <w:pPr>
        <w:pStyle w:val="Textoindependiente"/>
        <w:spacing w:line="276" w:lineRule="auto"/>
        <w:rPr>
          <w:rFonts w:ascii="Tahoma" w:hAnsi="Tahoma" w:cs="Tahoma"/>
          <w:sz w:val="24"/>
          <w:szCs w:val="24"/>
        </w:rPr>
      </w:pPr>
      <w:r w:rsidRPr="00EB7E69">
        <w:rPr>
          <w:rFonts w:ascii="Tahoma" w:hAnsi="Tahoma" w:cs="Tahoma"/>
          <w:b/>
          <w:sz w:val="24"/>
          <w:szCs w:val="24"/>
        </w:rPr>
        <w:t>HECHOS</w:t>
      </w:r>
    </w:p>
    <w:p w:rsidR="000E533E" w:rsidRPr="00EB7E69" w:rsidRDefault="000E533E" w:rsidP="00EB7E69">
      <w:pPr>
        <w:pStyle w:val="Textoindependiente"/>
        <w:spacing w:line="276" w:lineRule="auto"/>
        <w:rPr>
          <w:rFonts w:ascii="Tahoma" w:hAnsi="Tahoma" w:cs="Tahoma"/>
          <w:sz w:val="24"/>
          <w:szCs w:val="24"/>
        </w:rPr>
      </w:pPr>
    </w:p>
    <w:p w:rsidR="000E533E" w:rsidRPr="00EB7E69" w:rsidRDefault="000E533E" w:rsidP="00EB7E69">
      <w:pPr>
        <w:pStyle w:val="Textoindependiente"/>
        <w:spacing w:line="276" w:lineRule="auto"/>
        <w:rPr>
          <w:rFonts w:ascii="Tahoma" w:hAnsi="Tahoma" w:cs="Tahoma"/>
          <w:sz w:val="24"/>
          <w:szCs w:val="24"/>
        </w:rPr>
      </w:pPr>
      <w:r w:rsidRPr="00EB7E69">
        <w:rPr>
          <w:rFonts w:ascii="Tahoma" w:hAnsi="Tahoma" w:cs="Tahoma"/>
          <w:sz w:val="24"/>
          <w:szCs w:val="24"/>
        </w:rPr>
        <w:t>Como constitutivos de la causa petendi</w:t>
      </w:r>
      <w:r w:rsidR="00B14BA1" w:rsidRPr="00EB7E69">
        <w:rPr>
          <w:rFonts w:ascii="Tahoma" w:hAnsi="Tahoma" w:cs="Tahoma"/>
          <w:sz w:val="24"/>
          <w:szCs w:val="24"/>
        </w:rPr>
        <w:t>,</w:t>
      </w:r>
      <w:r w:rsidRPr="00EB7E69">
        <w:rPr>
          <w:rFonts w:ascii="Tahoma" w:hAnsi="Tahoma" w:cs="Tahoma"/>
          <w:sz w:val="24"/>
          <w:szCs w:val="24"/>
        </w:rPr>
        <w:t xml:space="preserve"> </w:t>
      </w:r>
      <w:r w:rsidR="00BE1B60" w:rsidRPr="00EB7E69">
        <w:rPr>
          <w:rFonts w:ascii="Tahoma" w:hAnsi="Tahoma" w:cs="Tahoma"/>
          <w:sz w:val="24"/>
          <w:szCs w:val="24"/>
        </w:rPr>
        <w:t xml:space="preserve">el apoderado de </w:t>
      </w:r>
      <w:r w:rsidRPr="00EB7E69">
        <w:rPr>
          <w:rFonts w:ascii="Tahoma" w:hAnsi="Tahoma" w:cs="Tahoma"/>
          <w:sz w:val="24"/>
          <w:szCs w:val="24"/>
        </w:rPr>
        <w:t xml:space="preserve">la parte actora invocó </w:t>
      </w:r>
      <w:r w:rsidR="002C6D4F" w:rsidRPr="00EB7E69">
        <w:rPr>
          <w:rFonts w:ascii="Tahoma" w:hAnsi="Tahoma" w:cs="Tahoma"/>
          <w:sz w:val="24"/>
          <w:szCs w:val="24"/>
        </w:rPr>
        <w:t>los</w:t>
      </w:r>
      <w:r w:rsidRPr="00EB7E69">
        <w:rPr>
          <w:rFonts w:ascii="Tahoma" w:hAnsi="Tahoma" w:cs="Tahoma"/>
          <w:sz w:val="24"/>
          <w:szCs w:val="24"/>
        </w:rPr>
        <w:t xml:space="preserve"> que a continuación se sintetizan</w:t>
      </w:r>
      <w:r w:rsidR="00B14BA1" w:rsidRPr="00EB7E69">
        <w:rPr>
          <w:rFonts w:ascii="Tahoma" w:hAnsi="Tahoma" w:cs="Tahoma"/>
          <w:sz w:val="24"/>
          <w:szCs w:val="24"/>
        </w:rPr>
        <w:t>:</w:t>
      </w:r>
    </w:p>
    <w:p w:rsidR="00BE1B60" w:rsidRPr="00EB7E69" w:rsidRDefault="00BE1B60" w:rsidP="00EB7E69">
      <w:pPr>
        <w:pStyle w:val="Textoindependiente"/>
        <w:spacing w:line="276" w:lineRule="auto"/>
        <w:rPr>
          <w:rFonts w:ascii="Tahoma" w:hAnsi="Tahoma" w:cs="Tahoma"/>
          <w:sz w:val="24"/>
          <w:szCs w:val="24"/>
        </w:rPr>
      </w:pPr>
    </w:p>
    <w:p w:rsidR="00520873" w:rsidRPr="00EB7E69" w:rsidRDefault="00BE1B60"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1. </w:t>
      </w:r>
      <w:r w:rsidR="00520873" w:rsidRPr="00EB7E69">
        <w:rPr>
          <w:rFonts w:ascii="Tahoma" w:hAnsi="Tahoma" w:cs="Tahoma"/>
          <w:sz w:val="24"/>
          <w:szCs w:val="24"/>
        </w:rPr>
        <w:t>Los demandantes adquirieron de la sociedad demandada un proyecto de construcción denominado Saratoga, consistente en la construcción de un edificio de apartamentos en lote de propiedad de la promitente vendedora, en este caso la sociedad demandada, ubicado en la carrera 89 No. 35</w:t>
      </w:r>
      <w:r w:rsidR="001A1C16" w:rsidRPr="00EB7E69">
        <w:rPr>
          <w:rFonts w:ascii="Tahoma" w:hAnsi="Tahoma" w:cs="Tahoma"/>
          <w:sz w:val="24"/>
          <w:szCs w:val="24"/>
        </w:rPr>
        <w:t>A</w:t>
      </w:r>
      <w:r w:rsidR="00520873" w:rsidRPr="00EB7E69">
        <w:rPr>
          <w:rFonts w:ascii="Tahoma" w:hAnsi="Tahoma" w:cs="Tahoma"/>
          <w:sz w:val="24"/>
          <w:szCs w:val="24"/>
        </w:rPr>
        <w:t>-60, barrio Laureles de Medellín, el que describe por sus linderos.  De la negociación hicieron parte  los diseños arquitectónicos y estructural del proyecto presentado en la Curaduría Cuarta de la</w:t>
      </w:r>
      <w:r w:rsidR="00777E09" w:rsidRPr="00EB7E69">
        <w:rPr>
          <w:rFonts w:ascii="Tahoma" w:hAnsi="Tahoma" w:cs="Tahoma"/>
          <w:sz w:val="24"/>
          <w:szCs w:val="24"/>
        </w:rPr>
        <w:t xml:space="preserve"> misma</w:t>
      </w:r>
      <w:r w:rsidR="00520873" w:rsidRPr="00EB7E69">
        <w:rPr>
          <w:rFonts w:ascii="Tahoma" w:hAnsi="Tahoma" w:cs="Tahoma"/>
          <w:sz w:val="24"/>
          <w:szCs w:val="24"/>
        </w:rPr>
        <w:t xml:space="preserve"> ciudad.</w:t>
      </w:r>
    </w:p>
    <w:p w:rsidR="00520873" w:rsidRPr="00EB7E69" w:rsidRDefault="00520873" w:rsidP="00EB7E69">
      <w:pPr>
        <w:pStyle w:val="Textoindependiente"/>
        <w:spacing w:line="276" w:lineRule="auto"/>
        <w:rPr>
          <w:rFonts w:ascii="Tahoma" w:hAnsi="Tahoma" w:cs="Tahoma"/>
          <w:sz w:val="24"/>
          <w:szCs w:val="24"/>
        </w:rPr>
      </w:pPr>
    </w:p>
    <w:p w:rsidR="00520873" w:rsidRPr="00EB7E69" w:rsidRDefault="009D21CC" w:rsidP="00EB7E69">
      <w:pPr>
        <w:pStyle w:val="Textoindependiente"/>
        <w:spacing w:line="276" w:lineRule="auto"/>
        <w:rPr>
          <w:rFonts w:ascii="Tahoma" w:hAnsi="Tahoma" w:cs="Tahoma"/>
          <w:sz w:val="24"/>
          <w:szCs w:val="24"/>
        </w:rPr>
      </w:pPr>
      <w:r w:rsidRPr="00EB7E69">
        <w:rPr>
          <w:rFonts w:ascii="Tahoma" w:hAnsi="Tahoma" w:cs="Tahoma"/>
          <w:sz w:val="24"/>
          <w:szCs w:val="24"/>
        </w:rPr>
        <w:t>2</w:t>
      </w:r>
      <w:r w:rsidR="00520873" w:rsidRPr="00EB7E69">
        <w:rPr>
          <w:rFonts w:ascii="Tahoma" w:hAnsi="Tahoma" w:cs="Tahoma"/>
          <w:sz w:val="24"/>
          <w:szCs w:val="24"/>
        </w:rPr>
        <w:t>. Por medio de una promesa de compraventa, suscrita el 10 de noviembre de 2006, el promitente vendedor se comprometió a entregar a los promitentes compradores el lote sobre el que se ejecutaría el proyecto y sus planos, lógicamente adecuados al predio y a las normas vigentes al momento de la negociación, los que se encontraban  en curso de ser aprobados por la Curadu</w:t>
      </w:r>
      <w:r w:rsidR="00777E09" w:rsidRPr="00EB7E69">
        <w:rPr>
          <w:rFonts w:ascii="Tahoma" w:hAnsi="Tahoma" w:cs="Tahoma"/>
          <w:sz w:val="24"/>
          <w:szCs w:val="24"/>
        </w:rPr>
        <w:t xml:space="preserve">ría Cuarta de Medellín y </w:t>
      </w:r>
      <w:r w:rsidR="00520873" w:rsidRPr="00EB7E69">
        <w:rPr>
          <w:rFonts w:ascii="Tahoma" w:hAnsi="Tahoma" w:cs="Tahoma"/>
          <w:sz w:val="24"/>
          <w:szCs w:val="24"/>
        </w:rPr>
        <w:t>por en eso</w:t>
      </w:r>
      <w:r w:rsidR="00777E09" w:rsidRPr="00EB7E69">
        <w:rPr>
          <w:rFonts w:ascii="Tahoma" w:hAnsi="Tahoma" w:cs="Tahoma"/>
          <w:sz w:val="24"/>
          <w:szCs w:val="24"/>
        </w:rPr>
        <w:t>,</w:t>
      </w:r>
      <w:r w:rsidR="00520873" w:rsidRPr="00EB7E69">
        <w:rPr>
          <w:rFonts w:ascii="Tahoma" w:hAnsi="Tahoma" w:cs="Tahoma"/>
          <w:sz w:val="24"/>
          <w:szCs w:val="24"/>
        </w:rPr>
        <w:t xml:space="preserve"> en la cláusula tercera se pactó que  la negociación estaba sujeta a la aprobación</w:t>
      </w:r>
      <w:r w:rsidR="00777E09" w:rsidRPr="00EB7E69">
        <w:rPr>
          <w:rFonts w:ascii="Tahoma" w:hAnsi="Tahoma" w:cs="Tahoma"/>
          <w:sz w:val="24"/>
          <w:szCs w:val="24"/>
        </w:rPr>
        <w:t xml:space="preserve"> de</w:t>
      </w:r>
      <w:r w:rsidR="00520873" w:rsidRPr="00EB7E69">
        <w:rPr>
          <w:rFonts w:ascii="Tahoma" w:hAnsi="Tahoma" w:cs="Tahoma"/>
          <w:sz w:val="24"/>
          <w:szCs w:val="24"/>
        </w:rPr>
        <w:t xml:space="preserve"> esos planos.</w:t>
      </w:r>
    </w:p>
    <w:p w:rsidR="00520873" w:rsidRPr="00EB7E69" w:rsidRDefault="00520873" w:rsidP="00EB7E69">
      <w:pPr>
        <w:pStyle w:val="Textoindependiente"/>
        <w:spacing w:line="276" w:lineRule="auto"/>
        <w:rPr>
          <w:rFonts w:ascii="Tahoma" w:hAnsi="Tahoma" w:cs="Tahoma"/>
          <w:sz w:val="24"/>
          <w:szCs w:val="24"/>
        </w:rPr>
      </w:pPr>
    </w:p>
    <w:p w:rsidR="00520873" w:rsidRPr="00EB7E69" w:rsidRDefault="009D21CC" w:rsidP="00EB7E69">
      <w:pPr>
        <w:pStyle w:val="Textoindependiente"/>
        <w:spacing w:line="276" w:lineRule="auto"/>
        <w:rPr>
          <w:rFonts w:ascii="Tahoma" w:hAnsi="Tahoma" w:cs="Tahoma"/>
          <w:sz w:val="24"/>
          <w:szCs w:val="24"/>
        </w:rPr>
      </w:pPr>
      <w:r w:rsidRPr="00EB7E69">
        <w:rPr>
          <w:rFonts w:ascii="Tahoma" w:hAnsi="Tahoma" w:cs="Tahoma"/>
          <w:sz w:val="24"/>
          <w:szCs w:val="24"/>
        </w:rPr>
        <w:t>3</w:t>
      </w:r>
      <w:r w:rsidR="00520873" w:rsidRPr="00EB7E69">
        <w:rPr>
          <w:rFonts w:ascii="Tahoma" w:hAnsi="Tahoma" w:cs="Tahoma"/>
          <w:sz w:val="24"/>
          <w:szCs w:val="24"/>
        </w:rPr>
        <w:t xml:space="preserve">. </w:t>
      </w:r>
      <w:r w:rsidR="005C5767" w:rsidRPr="00EB7E69">
        <w:rPr>
          <w:rFonts w:ascii="Tahoma" w:hAnsi="Tahoma" w:cs="Tahoma"/>
          <w:sz w:val="24"/>
          <w:szCs w:val="24"/>
        </w:rPr>
        <w:t>Mientras se cumplían las obligaciones de la promesa, sobre todo por parte de los promitentes compradores, estos empezaron a promocionar la venta de los inmuebles a construir, utilizando la forma de proyecto asociativo</w:t>
      </w:r>
      <w:r w:rsidR="00B10C2D" w:rsidRPr="00EB7E69">
        <w:rPr>
          <w:rFonts w:ascii="Tahoma" w:hAnsi="Tahoma" w:cs="Tahoma"/>
          <w:sz w:val="24"/>
          <w:szCs w:val="24"/>
        </w:rPr>
        <w:t>; se reunieron los asociados necesarios para emprender la construcción de acuerdo con los planos entregados por el promitente vendedor; se optó porque “estos hicieran las escrituras públicas de lo prometido en venta a favor de ellos”, tal como está consignado en el formulario de calificación expedido por la Oficina de Registro de Instrumentos Públicos Zona Sur de la ciudad de Medellín.</w:t>
      </w:r>
    </w:p>
    <w:p w:rsidR="00B10C2D" w:rsidRPr="00EB7E69" w:rsidRDefault="00B10C2D" w:rsidP="00EB7E69">
      <w:pPr>
        <w:pStyle w:val="Textoindependiente"/>
        <w:spacing w:line="276" w:lineRule="auto"/>
        <w:rPr>
          <w:rFonts w:ascii="Tahoma" w:hAnsi="Tahoma" w:cs="Tahoma"/>
          <w:sz w:val="24"/>
          <w:szCs w:val="24"/>
        </w:rPr>
      </w:pPr>
    </w:p>
    <w:p w:rsidR="00B10C2D" w:rsidRPr="00EB7E69" w:rsidRDefault="009D21CC" w:rsidP="00EB7E69">
      <w:pPr>
        <w:pStyle w:val="Textoindependiente"/>
        <w:spacing w:line="276" w:lineRule="auto"/>
        <w:rPr>
          <w:rFonts w:ascii="Tahoma" w:hAnsi="Tahoma" w:cs="Tahoma"/>
          <w:sz w:val="24"/>
          <w:szCs w:val="24"/>
        </w:rPr>
      </w:pPr>
      <w:r w:rsidRPr="00EB7E69">
        <w:rPr>
          <w:rFonts w:ascii="Tahoma" w:hAnsi="Tahoma" w:cs="Tahoma"/>
          <w:sz w:val="24"/>
          <w:szCs w:val="24"/>
        </w:rPr>
        <w:t>4</w:t>
      </w:r>
      <w:r w:rsidR="00B10C2D" w:rsidRPr="00EB7E69">
        <w:rPr>
          <w:rFonts w:ascii="Tahoma" w:hAnsi="Tahoma" w:cs="Tahoma"/>
          <w:sz w:val="24"/>
          <w:szCs w:val="24"/>
        </w:rPr>
        <w:t xml:space="preserve">. Los promitentes compradores iniciales, con fundamento en los planos del proyecto, celebraron con los ya asociados compradores, un contrato para la construcción de los inmuebles y empezaron a adecuar los lotes, hicieron movimiento </w:t>
      </w:r>
      <w:r w:rsidR="00B10C2D" w:rsidRPr="00EB7E69">
        <w:rPr>
          <w:rFonts w:ascii="Tahoma" w:hAnsi="Tahoma" w:cs="Tahoma"/>
          <w:sz w:val="24"/>
          <w:szCs w:val="24"/>
        </w:rPr>
        <w:lastRenderedPageBreak/>
        <w:t>de tierra “recintes de los inmuebles vecinos y los primeros apiques”, pero se encontraron con la sorpresa de que el proyecto no cabía en los lotes, pues no tenía la cabida anunciada en los planos, que ya habían sido aprobados por la Curaduría, “generando aún mayor confianza en la negociación” y procedió la promitente compradora a pagar el precio faltante y a solicitar a l</w:t>
      </w:r>
      <w:r w:rsidR="00777E09" w:rsidRPr="00EB7E69">
        <w:rPr>
          <w:rFonts w:ascii="Tahoma" w:hAnsi="Tahoma" w:cs="Tahoma"/>
          <w:sz w:val="24"/>
          <w:szCs w:val="24"/>
        </w:rPr>
        <w:t>a promitente vendedora suscribi</w:t>
      </w:r>
      <w:r w:rsidR="00B10C2D" w:rsidRPr="00EB7E69">
        <w:rPr>
          <w:rFonts w:ascii="Tahoma" w:hAnsi="Tahoma" w:cs="Tahoma"/>
          <w:sz w:val="24"/>
          <w:szCs w:val="24"/>
        </w:rPr>
        <w:t>r las escrituras públicas a los asociados en la forma convenida con ellos.</w:t>
      </w:r>
    </w:p>
    <w:p w:rsidR="00B10C2D" w:rsidRPr="00EB7E69" w:rsidRDefault="00B10C2D" w:rsidP="00EB7E69">
      <w:pPr>
        <w:pStyle w:val="Textoindependiente"/>
        <w:spacing w:line="276" w:lineRule="auto"/>
        <w:rPr>
          <w:rFonts w:ascii="Tahoma" w:hAnsi="Tahoma" w:cs="Tahoma"/>
          <w:sz w:val="24"/>
          <w:szCs w:val="24"/>
        </w:rPr>
      </w:pPr>
    </w:p>
    <w:p w:rsidR="00B10C2D" w:rsidRPr="00EB7E69" w:rsidRDefault="009D21CC" w:rsidP="00EB7E69">
      <w:pPr>
        <w:pStyle w:val="Textoindependiente"/>
        <w:spacing w:line="276" w:lineRule="auto"/>
        <w:rPr>
          <w:rFonts w:ascii="Tahoma" w:hAnsi="Tahoma" w:cs="Tahoma"/>
          <w:sz w:val="24"/>
          <w:szCs w:val="24"/>
        </w:rPr>
      </w:pPr>
      <w:r w:rsidRPr="00EB7E69">
        <w:rPr>
          <w:rFonts w:ascii="Tahoma" w:hAnsi="Tahoma" w:cs="Tahoma"/>
          <w:sz w:val="24"/>
          <w:szCs w:val="24"/>
        </w:rPr>
        <w:t>5</w:t>
      </w:r>
      <w:r w:rsidR="00B10C2D" w:rsidRPr="00EB7E69">
        <w:rPr>
          <w:rFonts w:ascii="Tahoma" w:hAnsi="Tahoma" w:cs="Tahoma"/>
          <w:sz w:val="24"/>
          <w:szCs w:val="24"/>
        </w:rPr>
        <w:t>. Los demandantes empezaron a r</w:t>
      </w:r>
      <w:r w:rsidR="00777E09" w:rsidRPr="00EB7E69">
        <w:rPr>
          <w:rFonts w:ascii="Tahoma" w:hAnsi="Tahoma" w:cs="Tahoma"/>
          <w:sz w:val="24"/>
          <w:szCs w:val="24"/>
        </w:rPr>
        <w:t>eclamar a la sociedad demandada</w:t>
      </w:r>
      <w:r w:rsidR="00B10C2D" w:rsidRPr="00EB7E69">
        <w:rPr>
          <w:rFonts w:ascii="Tahoma" w:hAnsi="Tahoma" w:cs="Tahoma"/>
          <w:sz w:val="24"/>
          <w:szCs w:val="24"/>
        </w:rPr>
        <w:t xml:space="preserve"> para encontrar un solución, sin respuesta alguna; fueron varios los requerimientos en los que anunciaban los perjuicios que se estaban causando y que se generarían con posterioridad, pues había que rediseñar todo el proyecto</w:t>
      </w:r>
      <w:r w:rsidR="00D633EC" w:rsidRPr="00EB7E69">
        <w:rPr>
          <w:rFonts w:ascii="Tahoma" w:hAnsi="Tahoma" w:cs="Tahoma"/>
          <w:sz w:val="24"/>
          <w:szCs w:val="24"/>
        </w:rPr>
        <w:t>, tanto los planos arquitectónicos, como los estructurales y se incumplirían varias promesas, lo que elevaría sustancialmente los costos de construcción.</w:t>
      </w:r>
    </w:p>
    <w:p w:rsidR="00351244" w:rsidRPr="00EB7E69" w:rsidRDefault="00351244" w:rsidP="00EB7E69">
      <w:pPr>
        <w:pStyle w:val="Textoindependiente"/>
        <w:spacing w:line="276" w:lineRule="auto"/>
        <w:rPr>
          <w:rFonts w:ascii="Tahoma" w:hAnsi="Tahoma" w:cs="Tahoma"/>
          <w:sz w:val="24"/>
          <w:szCs w:val="24"/>
        </w:rPr>
      </w:pPr>
    </w:p>
    <w:p w:rsidR="00351244" w:rsidRPr="00EB7E69" w:rsidRDefault="009D21CC" w:rsidP="00EB7E69">
      <w:pPr>
        <w:pStyle w:val="Textoindependiente"/>
        <w:spacing w:line="276" w:lineRule="auto"/>
        <w:rPr>
          <w:rFonts w:ascii="Tahoma" w:hAnsi="Tahoma" w:cs="Tahoma"/>
          <w:sz w:val="24"/>
          <w:szCs w:val="24"/>
        </w:rPr>
      </w:pPr>
      <w:r w:rsidRPr="00EB7E69">
        <w:rPr>
          <w:rFonts w:ascii="Tahoma" w:hAnsi="Tahoma" w:cs="Tahoma"/>
          <w:sz w:val="24"/>
          <w:szCs w:val="24"/>
        </w:rPr>
        <w:t>6</w:t>
      </w:r>
      <w:r w:rsidR="00351244" w:rsidRPr="00EB7E69">
        <w:rPr>
          <w:rFonts w:ascii="Tahoma" w:hAnsi="Tahoma" w:cs="Tahoma"/>
          <w:sz w:val="24"/>
          <w:szCs w:val="24"/>
        </w:rPr>
        <w:t>. Ante ese silencio, los demandantes rediseñaron el proyecto, al considerar lo oneroso que resultaba dar marcha atrás y al ser conscientes de su responsabilidad como promotores del proyecto ante los asociados, quienes adquirieron cuotas partes como inversores, con  miras a obtener una vivienda o alguna rentabilidad.</w:t>
      </w:r>
    </w:p>
    <w:p w:rsidR="00A24C02" w:rsidRPr="00EB7E69" w:rsidRDefault="00A24C02" w:rsidP="00EB7E69">
      <w:pPr>
        <w:pStyle w:val="Textoindependiente"/>
        <w:spacing w:line="276" w:lineRule="auto"/>
        <w:rPr>
          <w:rFonts w:ascii="Tahoma" w:hAnsi="Tahoma" w:cs="Tahoma"/>
          <w:sz w:val="24"/>
          <w:szCs w:val="24"/>
        </w:rPr>
      </w:pPr>
    </w:p>
    <w:p w:rsidR="00A24C02" w:rsidRPr="00EB7E69" w:rsidRDefault="009D21CC" w:rsidP="00EB7E69">
      <w:pPr>
        <w:pStyle w:val="Textoindependiente"/>
        <w:spacing w:line="276" w:lineRule="auto"/>
        <w:rPr>
          <w:rFonts w:ascii="Tahoma" w:hAnsi="Tahoma" w:cs="Tahoma"/>
          <w:sz w:val="24"/>
          <w:szCs w:val="24"/>
        </w:rPr>
      </w:pPr>
      <w:r w:rsidRPr="00EB7E69">
        <w:rPr>
          <w:rFonts w:ascii="Tahoma" w:hAnsi="Tahoma" w:cs="Tahoma"/>
          <w:sz w:val="24"/>
          <w:szCs w:val="24"/>
        </w:rPr>
        <w:t>7</w:t>
      </w:r>
      <w:r w:rsidR="00A24C02" w:rsidRPr="00EB7E69">
        <w:rPr>
          <w:rFonts w:ascii="Tahoma" w:hAnsi="Tahoma" w:cs="Tahoma"/>
          <w:sz w:val="24"/>
          <w:szCs w:val="24"/>
        </w:rPr>
        <w:t>. El incumplimiento parcial del contrato generó perjuicios por el atraso de la obra en sesenta días, por el rediseño arquitectónico y estructural y los trámites para aprobarlos y se había pactado, en la promesa de compraventa, una cláusula penal equivalente al 15% del valor del contrato y nuevos cálculos.</w:t>
      </w:r>
    </w:p>
    <w:p w:rsidR="00A24C02" w:rsidRPr="00EB7E69" w:rsidRDefault="00A24C02" w:rsidP="00EB7E69">
      <w:pPr>
        <w:pStyle w:val="Textoindependiente"/>
        <w:spacing w:line="276" w:lineRule="auto"/>
        <w:rPr>
          <w:rFonts w:ascii="Tahoma" w:hAnsi="Tahoma" w:cs="Tahoma"/>
          <w:sz w:val="24"/>
          <w:szCs w:val="24"/>
        </w:rPr>
      </w:pPr>
    </w:p>
    <w:p w:rsidR="00A24C02" w:rsidRPr="00EB7E69" w:rsidRDefault="009D21CC" w:rsidP="00EB7E69">
      <w:pPr>
        <w:pStyle w:val="Textoindependiente"/>
        <w:spacing w:line="276" w:lineRule="auto"/>
        <w:rPr>
          <w:rFonts w:ascii="Tahoma" w:hAnsi="Tahoma" w:cs="Tahoma"/>
          <w:sz w:val="24"/>
          <w:szCs w:val="24"/>
        </w:rPr>
      </w:pPr>
      <w:r w:rsidRPr="00EB7E69">
        <w:rPr>
          <w:rFonts w:ascii="Tahoma" w:hAnsi="Tahoma" w:cs="Tahoma"/>
          <w:sz w:val="24"/>
          <w:szCs w:val="24"/>
        </w:rPr>
        <w:t>8</w:t>
      </w:r>
      <w:r w:rsidR="00A24C02" w:rsidRPr="00EB7E69">
        <w:rPr>
          <w:rFonts w:ascii="Tahoma" w:hAnsi="Tahoma" w:cs="Tahoma"/>
          <w:sz w:val="24"/>
          <w:szCs w:val="24"/>
        </w:rPr>
        <w:t>. En la escritura pública No. 418 del 27 de febrero de 2007, otorgada en la Notaría 27 de Medellín, que daría cumplimiento a lo pactado en la promesa de compraventa “hecha a las personas que los promitentes compradores designaron para tal fin”, en la cláusula cuarta, los promitentes vendedores se comprometieron a responder por el saneamiento por evicción o por vicios redhibitorios, conforme se acordó en la promesa.</w:t>
      </w:r>
    </w:p>
    <w:p w:rsidR="00520873" w:rsidRPr="00EB7E69" w:rsidRDefault="00520873" w:rsidP="00EB7E69">
      <w:pPr>
        <w:pStyle w:val="Textoindependiente"/>
        <w:spacing w:line="276" w:lineRule="auto"/>
        <w:rPr>
          <w:rFonts w:ascii="Tahoma" w:hAnsi="Tahoma" w:cs="Tahoma"/>
          <w:sz w:val="24"/>
          <w:szCs w:val="24"/>
        </w:rPr>
      </w:pPr>
    </w:p>
    <w:p w:rsidR="000E533E" w:rsidRPr="00EB7E69" w:rsidRDefault="000E533E" w:rsidP="00EB7E69">
      <w:pPr>
        <w:pStyle w:val="Textoindependiente"/>
        <w:spacing w:line="276" w:lineRule="auto"/>
        <w:rPr>
          <w:rFonts w:ascii="Tahoma" w:hAnsi="Tahoma" w:cs="Tahoma"/>
          <w:b/>
          <w:sz w:val="24"/>
          <w:szCs w:val="24"/>
        </w:rPr>
      </w:pPr>
      <w:r w:rsidRPr="00EB7E69">
        <w:rPr>
          <w:rFonts w:ascii="Tahoma" w:hAnsi="Tahoma" w:cs="Tahoma"/>
          <w:b/>
          <w:sz w:val="24"/>
          <w:szCs w:val="24"/>
        </w:rPr>
        <w:t>ACTUACIÓN PROCESAL</w:t>
      </w:r>
    </w:p>
    <w:p w:rsidR="000E533E" w:rsidRPr="00EB7E69" w:rsidRDefault="000E533E" w:rsidP="00EB7E69">
      <w:pPr>
        <w:pStyle w:val="Textoindependiente"/>
        <w:spacing w:line="276" w:lineRule="auto"/>
        <w:rPr>
          <w:rFonts w:ascii="Tahoma" w:hAnsi="Tahoma" w:cs="Tahoma"/>
          <w:sz w:val="24"/>
          <w:szCs w:val="24"/>
        </w:rPr>
      </w:pPr>
    </w:p>
    <w:p w:rsidR="004F7BF7" w:rsidRPr="00EB7E69" w:rsidRDefault="00175507" w:rsidP="00EB7E69">
      <w:pPr>
        <w:pStyle w:val="Textoindependiente"/>
        <w:spacing w:line="276" w:lineRule="auto"/>
        <w:rPr>
          <w:rFonts w:ascii="Tahoma" w:hAnsi="Tahoma" w:cs="Tahoma"/>
          <w:sz w:val="24"/>
          <w:szCs w:val="24"/>
        </w:rPr>
      </w:pPr>
      <w:r w:rsidRPr="00EB7E69">
        <w:rPr>
          <w:rFonts w:ascii="Tahoma" w:hAnsi="Tahoma" w:cs="Tahoma"/>
          <w:sz w:val="24"/>
          <w:szCs w:val="24"/>
        </w:rPr>
        <w:t>1.</w:t>
      </w:r>
      <w:r w:rsidR="004F7BF7" w:rsidRPr="00EB7E69">
        <w:rPr>
          <w:rFonts w:ascii="Tahoma" w:hAnsi="Tahoma" w:cs="Tahoma"/>
          <w:sz w:val="24"/>
          <w:szCs w:val="24"/>
        </w:rPr>
        <w:t xml:space="preserve"> Por auto del 15 de enero de 2008 se </w:t>
      </w:r>
      <w:r w:rsidR="009B6997" w:rsidRPr="00EB7E69">
        <w:rPr>
          <w:rFonts w:ascii="Tahoma" w:hAnsi="Tahoma" w:cs="Tahoma"/>
          <w:sz w:val="24"/>
          <w:szCs w:val="24"/>
        </w:rPr>
        <w:t xml:space="preserve">admitió </w:t>
      </w:r>
      <w:r w:rsidR="004F7BF7" w:rsidRPr="00EB7E69">
        <w:rPr>
          <w:rFonts w:ascii="Tahoma" w:hAnsi="Tahoma" w:cs="Tahoma"/>
          <w:sz w:val="24"/>
          <w:szCs w:val="24"/>
        </w:rPr>
        <w:t>la demanda.</w:t>
      </w:r>
    </w:p>
    <w:p w:rsidR="009B6997" w:rsidRPr="00EB7E69" w:rsidRDefault="004F7BF7"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 </w:t>
      </w:r>
    </w:p>
    <w:p w:rsidR="005235B0" w:rsidRPr="00EB7E69" w:rsidRDefault="009B6997" w:rsidP="00EB7E69">
      <w:pPr>
        <w:pStyle w:val="Textoindependiente"/>
        <w:spacing w:line="276" w:lineRule="auto"/>
        <w:rPr>
          <w:rFonts w:ascii="Tahoma" w:hAnsi="Tahoma" w:cs="Tahoma"/>
          <w:sz w:val="24"/>
          <w:szCs w:val="24"/>
        </w:rPr>
      </w:pPr>
      <w:r w:rsidRPr="00EB7E69">
        <w:rPr>
          <w:rFonts w:ascii="Tahoma" w:hAnsi="Tahoma" w:cs="Tahoma"/>
          <w:sz w:val="24"/>
          <w:szCs w:val="24"/>
        </w:rPr>
        <w:t>2. Tr</w:t>
      </w:r>
      <w:r w:rsidR="000E533E" w:rsidRPr="00EB7E69">
        <w:rPr>
          <w:rFonts w:ascii="Tahoma" w:hAnsi="Tahoma" w:cs="Tahoma"/>
          <w:sz w:val="24"/>
          <w:szCs w:val="24"/>
        </w:rPr>
        <w:t>abada la relación jurídica procesal</w:t>
      </w:r>
      <w:r w:rsidR="00F91C5F" w:rsidRPr="00EB7E69">
        <w:rPr>
          <w:rFonts w:ascii="Tahoma" w:hAnsi="Tahoma" w:cs="Tahoma"/>
          <w:sz w:val="24"/>
          <w:szCs w:val="24"/>
        </w:rPr>
        <w:t xml:space="preserve">, la sociedad demandada dio </w:t>
      </w:r>
      <w:r w:rsidR="005235B0" w:rsidRPr="00EB7E69">
        <w:rPr>
          <w:rFonts w:ascii="Tahoma" w:hAnsi="Tahoma" w:cs="Tahoma"/>
          <w:sz w:val="24"/>
          <w:szCs w:val="24"/>
        </w:rPr>
        <w:t>respuesta al libelo</w:t>
      </w:r>
      <w:r w:rsidR="00D06B3C" w:rsidRPr="00EB7E69">
        <w:rPr>
          <w:rFonts w:ascii="Tahoma" w:hAnsi="Tahoma" w:cs="Tahoma"/>
          <w:sz w:val="24"/>
          <w:szCs w:val="24"/>
        </w:rPr>
        <w:t>.</w:t>
      </w:r>
      <w:r w:rsidR="006C2F88" w:rsidRPr="00EB7E69">
        <w:rPr>
          <w:rFonts w:ascii="Tahoma" w:hAnsi="Tahoma" w:cs="Tahoma"/>
          <w:sz w:val="24"/>
          <w:szCs w:val="24"/>
        </w:rPr>
        <w:t xml:space="preserve"> Negó </w:t>
      </w:r>
      <w:r w:rsidRPr="00EB7E69">
        <w:rPr>
          <w:rFonts w:ascii="Tahoma" w:hAnsi="Tahoma" w:cs="Tahoma"/>
          <w:sz w:val="24"/>
          <w:szCs w:val="24"/>
        </w:rPr>
        <w:t>en su mayo</w:t>
      </w:r>
      <w:r w:rsidR="003A2BE3">
        <w:rPr>
          <w:rFonts w:ascii="Tahoma" w:hAnsi="Tahoma" w:cs="Tahoma"/>
          <w:sz w:val="24"/>
          <w:szCs w:val="24"/>
        </w:rPr>
        <w:t>ría los hechos de la demanda y</w:t>
      </w:r>
      <w:r w:rsidR="006C2F88" w:rsidRPr="00EB7E69">
        <w:rPr>
          <w:rFonts w:ascii="Tahoma" w:hAnsi="Tahoma" w:cs="Tahoma"/>
          <w:sz w:val="24"/>
          <w:szCs w:val="24"/>
        </w:rPr>
        <w:t xml:space="preserve"> se opuso a las pretensiones.</w:t>
      </w:r>
      <w:r w:rsidR="004F7BF7" w:rsidRPr="00EB7E69">
        <w:rPr>
          <w:rFonts w:ascii="Tahoma" w:hAnsi="Tahoma" w:cs="Tahoma"/>
          <w:sz w:val="24"/>
          <w:szCs w:val="24"/>
        </w:rPr>
        <w:t xml:space="preserve"> En síntesis sostuvo que sus obligaciones son las que aparecen pactadas en la promesa de compraventa; la obligación principal era la de transferir mediante escritura pública el lote de terreno, como cuerpo cierto, con los diseños arquitectónicos y estructural, documentos de los que podía hacer uso, así como de la licencia de construcción que se expediría días después, pero no se pactó que se adecuaran al lote, aunque consideraba que así era. Adujo que actuó de buena fe; que ambas partes incumplieron la cláusula cuarta que contenía la obligación de asistir a la Notaría, pues pactaron que se hicieran por la sociedad, a las personas designadas por los demandantes.</w:t>
      </w:r>
    </w:p>
    <w:p w:rsidR="004F7BF7" w:rsidRPr="00EB7E69" w:rsidRDefault="004F7BF7" w:rsidP="00EB7E69">
      <w:pPr>
        <w:pStyle w:val="Textoindependiente"/>
        <w:spacing w:line="276" w:lineRule="auto"/>
        <w:rPr>
          <w:rFonts w:ascii="Tahoma" w:hAnsi="Tahoma" w:cs="Tahoma"/>
          <w:sz w:val="24"/>
          <w:szCs w:val="24"/>
        </w:rPr>
      </w:pPr>
    </w:p>
    <w:p w:rsidR="004F7BF7" w:rsidRPr="00EB7E69" w:rsidRDefault="004F7BF7" w:rsidP="00EB7E69">
      <w:pPr>
        <w:pStyle w:val="Textoindependiente"/>
        <w:spacing w:line="276" w:lineRule="auto"/>
        <w:rPr>
          <w:rFonts w:ascii="Tahoma" w:hAnsi="Tahoma" w:cs="Tahoma"/>
          <w:sz w:val="24"/>
          <w:szCs w:val="24"/>
        </w:rPr>
      </w:pPr>
      <w:r w:rsidRPr="00EB7E69">
        <w:rPr>
          <w:rFonts w:ascii="Tahoma" w:hAnsi="Tahoma" w:cs="Tahoma"/>
          <w:sz w:val="24"/>
          <w:szCs w:val="24"/>
        </w:rPr>
        <w:lastRenderedPageBreak/>
        <w:t>Como excepciones de fondo propuso las que denominó mutuo disenso tácito, ausencia de causa para pedir, doble cobro de perjuicios y exceso de tasación de perjuicios.</w:t>
      </w:r>
    </w:p>
    <w:p w:rsidR="006C2F88" w:rsidRPr="00EB7E69" w:rsidRDefault="006C2F88" w:rsidP="00EB7E69">
      <w:pPr>
        <w:pStyle w:val="Textoindependiente"/>
        <w:spacing w:line="276" w:lineRule="auto"/>
        <w:rPr>
          <w:rFonts w:ascii="Tahoma" w:hAnsi="Tahoma" w:cs="Tahoma"/>
          <w:sz w:val="24"/>
          <w:szCs w:val="24"/>
        </w:rPr>
      </w:pPr>
    </w:p>
    <w:p w:rsidR="00551C95" w:rsidRPr="00EB7E69" w:rsidRDefault="00D9443D" w:rsidP="00EB7E69">
      <w:pPr>
        <w:pStyle w:val="Textoindependiente"/>
        <w:spacing w:line="276" w:lineRule="auto"/>
        <w:rPr>
          <w:rFonts w:ascii="Tahoma" w:hAnsi="Tahoma" w:cs="Tahoma"/>
          <w:sz w:val="24"/>
          <w:szCs w:val="24"/>
        </w:rPr>
      </w:pPr>
      <w:r w:rsidRPr="00EB7E69">
        <w:rPr>
          <w:rFonts w:ascii="Tahoma" w:hAnsi="Tahoma" w:cs="Tahoma"/>
          <w:sz w:val="24"/>
          <w:szCs w:val="24"/>
        </w:rPr>
        <w:t>3</w:t>
      </w:r>
      <w:r w:rsidR="00967EF8" w:rsidRPr="00EB7E69">
        <w:rPr>
          <w:rFonts w:ascii="Tahoma" w:hAnsi="Tahoma" w:cs="Tahoma"/>
          <w:sz w:val="24"/>
          <w:szCs w:val="24"/>
        </w:rPr>
        <w:t xml:space="preserve">. </w:t>
      </w:r>
      <w:r w:rsidR="00A3659E" w:rsidRPr="00EB7E69">
        <w:rPr>
          <w:rFonts w:ascii="Tahoma" w:hAnsi="Tahoma" w:cs="Tahoma"/>
          <w:sz w:val="24"/>
          <w:szCs w:val="24"/>
        </w:rPr>
        <w:t xml:space="preserve">Corrido el traslado a la </w:t>
      </w:r>
      <w:r w:rsidR="00F84FB8" w:rsidRPr="00EB7E69">
        <w:rPr>
          <w:rFonts w:ascii="Tahoma" w:hAnsi="Tahoma" w:cs="Tahoma"/>
          <w:sz w:val="24"/>
          <w:szCs w:val="24"/>
        </w:rPr>
        <w:t xml:space="preserve">parte demandante </w:t>
      </w:r>
      <w:r w:rsidR="00A3659E" w:rsidRPr="00EB7E69">
        <w:rPr>
          <w:rFonts w:ascii="Tahoma" w:hAnsi="Tahoma" w:cs="Tahoma"/>
          <w:sz w:val="24"/>
          <w:szCs w:val="24"/>
        </w:rPr>
        <w:t>de las excepciones de fondo, sobre las que se pronunció en el término indicado,</w:t>
      </w:r>
      <w:r w:rsidR="00367311" w:rsidRPr="00EB7E69">
        <w:rPr>
          <w:rFonts w:ascii="Tahoma" w:hAnsi="Tahoma" w:cs="Tahoma"/>
          <w:sz w:val="24"/>
          <w:szCs w:val="24"/>
        </w:rPr>
        <w:t xml:space="preserve"> sin ningún resultado práctico </w:t>
      </w:r>
      <w:r w:rsidR="00F84FB8" w:rsidRPr="00EB7E69">
        <w:rPr>
          <w:rFonts w:ascii="Tahoma" w:hAnsi="Tahoma" w:cs="Tahoma"/>
          <w:sz w:val="24"/>
          <w:szCs w:val="24"/>
        </w:rPr>
        <w:t xml:space="preserve"> se r</w:t>
      </w:r>
      <w:r w:rsidR="009B6997" w:rsidRPr="00EB7E69">
        <w:rPr>
          <w:rFonts w:ascii="Tahoma" w:hAnsi="Tahoma" w:cs="Tahoma"/>
          <w:sz w:val="24"/>
          <w:szCs w:val="24"/>
        </w:rPr>
        <w:t>ealiz</w:t>
      </w:r>
      <w:r w:rsidR="00F84FB8" w:rsidRPr="00EB7E69">
        <w:rPr>
          <w:rFonts w:ascii="Tahoma" w:hAnsi="Tahoma" w:cs="Tahoma"/>
          <w:sz w:val="24"/>
          <w:szCs w:val="24"/>
        </w:rPr>
        <w:t>ó</w:t>
      </w:r>
      <w:r w:rsidR="009B6997" w:rsidRPr="00EB7E69">
        <w:rPr>
          <w:rFonts w:ascii="Tahoma" w:hAnsi="Tahoma" w:cs="Tahoma"/>
          <w:sz w:val="24"/>
          <w:szCs w:val="24"/>
        </w:rPr>
        <w:t xml:space="preserve"> la </w:t>
      </w:r>
      <w:r w:rsidR="00501B28" w:rsidRPr="00EB7E69">
        <w:rPr>
          <w:rFonts w:ascii="Tahoma" w:hAnsi="Tahoma" w:cs="Tahoma"/>
          <w:sz w:val="24"/>
          <w:szCs w:val="24"/>
        </w:rPr>
        <w:t>audiencia prevista po</w:t>
      </w:r>
      <w:r w:rsidR="00DD6C32" w:rsidRPr="00EB7E69">
        <w:rPr>
          <w:rFonts w:ascii="Tahoma" w:hAnsi="Tahoma" w:cs="Tahoma"/>
          <w:sz w:val="24"/>
          <w:szCs w:val="24"/>
        </w:rPr>
        <w:t xml:space="preserve">r el artículo 101 del Código de </w:t>
      </w:r>
      <w:r w:rsidR="00501B28" w:rsidRPr="00EB7E69">
        <w:rPr>
          <w:rFonts w:ascii="Tahoma" w:hAnsi="Tahoma" w:cs="Tahoma"/>
          <w:sz w:val="24"/>
          <w:szCs w:val="24"/>
        </w:rPr>
        <w:t>Procedimiento Civil</w:t>
      </w:r>
      <w:r w:rsidR="00F84FB8" w:rsidRPr="00EB7E69">
        <w:rPr>
          <w:rFonts w:ascii="Tahoma" w:hAnsi="Tahoma" w:cs="Tahoma"/>
          <w:sz w:val="24"/>
          <w:szCs w:val="24"/>
        </w:rPr>
        <w:t>;</w:t>
      </w:r>
      <w:r w:rsidR="00367311" w:rsidRPr="00EB7E69">
        <w:rPr>
          <w:rFonts w:ascii="Tahoma" w:hAnsi="Tahoma" w:cs="Tahoma"/>
          <w:sz w:val="24"/>
          <w:szCs w:val="24"/>
        </w:rPr>
        <w:t xml:space="preserve"> con posterioridad </w:t>
      </w:r>
      <w:r w:rsidR="00E627CE" w:rsidRPr="00EB7E69">
        <w:rPr>
          <w:rFonts w:ascii="Tahoma" w:hAnsi="Tahoma" w:cs="Tahoma"/>
          <w:sz w:val="24"/>
          <w:szCs w:val="24"/>
        </w:rPr>
        <w:t xml:space="preserve">se decretaron y </w:t>
      </w:r>
      <w:r w:rsidR="006C2F88" w:rsidRPr="00EB7E69">
        <w:rPr>
          <w:rFonts w:ascii="Tahoma" w:hAnsi="Tahoma" w:cs="Tahoma"/>
          <w:sz w:val="24"/>
          <w:szCs w:val="24"/>
        </w:rPr>
        <w:t xml:space="preserve">practicaron las pruebas </w:t>
      </w:r>
      <w:r w:rsidR="00E627CE" w:rsidRPr="00EB7E69">
        <w:rPr>
          <w:rFonts w:ascii="Tahoma" w:hAnsi="Tahoma" w:cs="Tahoma"/>
          <w:sz w:val="24"/>
          <w:szCs w:val="24"/>
        </w:rPr>
        <w:t>solicitadas</w:t>
      </w:r>
      <w:r w:rsidR="00501AA0" w:rsidRPr="00EB7E69">
        <w:rPr>
          <w:rFonts w:ascii="Tahoma" w:hAnsi="Tahoma" w:cs="Tahoma"/>
          <w:sz w:val="24"/>
          <w:szCs w:val="24"/>
        </w:rPr>
        <w:t>;</w:t>
      </w:r>
      <w:r w:rsidR="00367311" w:rsidRPr="00EB7E69">
        <w:rPr>
          <w:rFonts w:ascii="Tahoma" w:hAnsi="Tahoma" w:cs="Tahoma"/>
          <w:sz w:val="24"/>
          <w:szCs w:val="24"/>
        </w:rPr>
        <w:t xml:space="preserve"> vencida esta etapa, s</w:t>
      </w:r>
      <w:r w:rsidR="00501AA0" w:rsidRPr="00EB7E69">
        <w:rPr>
          <w:rFonts w:ascii="Tahoma" w:hAnsi="Tahoma" w:cs="Tahoma"/>
          <w:sz w:val="24"/>
          <w:szCs w:val="24"/>
        </w:rPr>
        <w:t xml:space="preserve">e </w:t>
      </w:r>
      <w:r w:rsidR="006C2F88" w:rsidRPr="00EB7E69">
        <w:rPr>
          <w:rFonts w:ascii="Tahoma" w:hAnsi="Tahoma" w:cs="Tahoma"/>
          <w:sz w:val="24"/>
          <w:szCs w:val="24"/>
        </w:rPr>
        <w:t>dio traslado a las parte</w:t>
      </w:r>
      <w:r w:rsidR="000E533E" w:rsidRPr="00EB7E69">
        <w:rPr>
          <w:rFonts w:ascii="Tahoma" w:hAnsi="Tahoma" w:cs="Tahoma"/>
          <w:sz w:val="24"/>
          <w:szCs w:val="24"/>
        </w:rPr>
        <w:t xml:space="preserve"> para alegar</w:t>
      </w:r>
      <w:r w:rsidR="00551C95" w:rsidRPr="00EB7E69">
        <w:rPr>
          <w:rFonts w:ascii="Tahoma" w:hAnsi="Tahoma" w:cs="Tahoma"/>
          <w:sz w:val="24"/>
          <w:szCs w:val="24"/>
        </w:rPr>
        <w:t xml:space="preserve">, oportunidad que </w:t>
      </w:r>
      <w:r w:rsidR="00367311" w:rsidRPr="00EB7E69">
        <w:rPr>
          <w:rFonts w:ascii="Tahoma" w:hAnsi="Tahoma" w:cs="Tahoma"/>
          <w:sz w:val="24"/>
          <w:szCs w:val="24"/>
        </w:rPr>
        <w:t>solo aprovechó la apoderada de la sociedad demandada.</w:t>
      </w:r>
    </w:p>
    <w:p w:rsidR="7D5973D4" w:rsidRPr="00EB7E69" w:rsidRDefault="7D5973D4" w:rsidP="00EB7E69">
      <w:pPr>
        <w:pStyle w:val="Textoindependiente"/>
        <w:spacing w:line="276" w:lineRule="auto"/>
        <w:rPr>
          <w:rFonts w:ascii="Tahoma" w:hAnsi="Tahoma" w:cs="Tahoma"/>
          <w:b/>
          <w:bCs/>
          <w:sz w:val="24"/>
          <w:szCs w:val="24"/>
        </w:rPr>
      </w:pPr>
    </w:p>
    <w:p w:rsidR="000E533E" w:rsidRPr="00EB7E69" w:rsidRDefault="00551C95" w:rsidP="00EB7E69">
      <w:pPr>
        <w:pStyle w:val="Textoindependiente"/>
        <w:spacing w:line="276" w:lineRule="auto"/>
        <w:rPr>
          <w:rFonts w:ascii="Tahoma" w:hAnsi="Tahoma" w:cs="Tahoma"/>
          <w:b/>
          <w:bCs/>
          <w:sz w:val="24"/>
          <w:szCs w:val="24"/>
        </w:rPr>
      </w:pPr>
      <w:r w:rsidRPr="00EB7E69">
        <w:rPr>
          <w:rFonts w:ascii="Tahoma" w:hAnsi="Tahoma" w:cs="Tahoma"/>
          <w:b/>
          <w:bCs/>
          <w:sz w:val="24"/>
          <w:szCs w:val="24"/>
          <w:lang w:val="es-ES"/>
        </w:rPr>
        <w:t xml:space="preserve">SENTENCIA DE PRIMERA INSTANCIA </w:t>
      </w:r>
    </w:p>
    <w:p w:rsidR="7D5973D4" w:rsidRPr="00EB7E69" w:rsidRDefault="7D5973D4" w:rsidP="00EB7E69">
      <w:pPr>
        <w:pStyle w:val="Textoindependiente"/>
        <w:spacing w:line="276" w:lineRule="auto"/>
        <w:rPr>
          <w:rFonts w:ascii="Tahoma" w:hAnsi="Tahoma" w:cs="Tahoma"/>
          <w:b/>
          <w:bCs/>
          <w:sz w:val="24"/>
          <w:szCs w:val="24"/>
        </w:rPr>
      </w:pPr>
    </w:p>
    <w:p w:rsidR="00291F0A" w:rsidRPr="00EB7E69" w:rsidRDefault="00551C95" w:rsidP="00EB7E69">
      <w:pPr>
        <w:pStyle w:val="Textoindependiente"/>
        <w:spacing w:line="276" w:lineRule="auto"/>
        <w:rPr>
          <w:rFonts w:ascii="Tahoma" w:hAnsi="Tahoma" w:cs="Tahoma"/>
          <w:sz w:val="24"/>
          <w:szCs w:val="24"/>
        </w:rPr>
      </w:pPr>
      <w:r w:rsidRPr="00EB7E69">
        <w:rPr>
          <w:rFonts w:ascii="Tahoma" w:hAnsi="Tahoma" w:cs="Tahoma"/>
          <w:sz w:val="24"/>
          <w:szCs w:val="24"/>
          <w:lang w:val="es-ES"/>
        </w:rPr>
        <w:t xml:space="preserve">Se produjo el </w:t>
      </w:r>
      <w:r w:rsidR="00DA4D60" w:rsidRPr="00EB7E69">
        <w:rPr>
          <w:rFonts w:ascii="Tahoma" w:hAnsi="Tahoma" w:cs="Tahoma"/>
          <w:sz w:val="24"/>
          <w:szCs w:val="24"/>
          <w:lang w:val="es-ES"/>
        </w:rPr>
        <w:t xml:space="preserve">27 de junio de </w:t>
      </w:r>
      <w:r w:rsidR="00E627CE" w:rsidRPr="00EB7E69">
        <w:rPr>
          <w:rFonts w:ascii="Tahoma" w:hAnsi="Tahoma" w:cs="Tahoma"/>
          <w:sz w:val="24"/>
          <w:szCs w:val="24"/>
          <w:lang w:val="es-ES"/>
        </w:rPr>
        <w:t>201</w:t>
      </w:r>
      <w:r w:rsidR="00DA4D60" w:rsidRPr="00EB7E69">
        <w:rPr>
          <w:rFonts w:ascii="Tahoma" w:hAnsi="Tahoma" w:cs="Tahoma"/>
          <w:sz w:val="24"/>
          <w:szCs w:val="24"/>
          <w:lang w:val="es-ES"/>
        </w:rPr>
        <w:t>4</w:t>
      </w:r>
      <w:r w:rsidR="00E627CE" w:rsidRPr="00EB7E69">
        <w:rPr>
          <w:rFonts w:ascii="Tahoma" w:hAnsi="Tahoma" w:cs="Tahoma"/>
          <w:sz w:val="24"/>
          <w:szCs w:val="24"/>
          <w:lang w:val="es-ES"/>
        </w:rPr>
        <w:t>.</w:t>
      </w:r>
      <w:r w:rsidR="00291F0A" w:rsidRPr="00EB7E69">
        <w:rPr>
          <w:rFonts w:ascii="Tahoma" w:hAnsi="Tahoma" w:cs="Tahoma"/>
          <w:sz w:val="24"/>
          <w:szCs w:val="24"/>
          <w:lang w:val="es-ES"/>
        </w:rPr>
        <w:t xml:space="preserve"> En ella se </w:t>
      </w:r>
      <w:r w:rsidR="00E627CE" w:rsidRPr="00EB7E69">
        <w:rPr>
          <w:rFonts w:ascii="Tahoma" w:hAnsi="Tahoma" w:cs="Tahoma"/>
          <w:sz w:val="24"/>
          <w:szCs w:val="24"/>
          <w:lang w:val="es-ES"/>
        </w:rPr>
        <w:t>negaron las pretensiones y se condenó a</w:t>
      </w:r>
      <w:r w:rsidR="00DA4D60" w:rsidRPr="00EB7E69">
        <w:rPr>
          <w:rFonts w:ascii="Tahoma" w:hAnsi="Tahoma" w:cs="Tahoma"/>
          <w:sz w:val="24"/>
          <w:szCs w:val="24"/>
          <w:lang w:val="es-ES"/>
        </w:rPr>
        <w:t xml:space="preserve"> los demandantes</w:t>
      </w:r>
      <w:r w:rsidR="00E627CE" w:rsidRPr="00EB7E69">
        <w:rPr>
          <w:rFonts w:ascii="Tahoma" w:hAnsi="Tahoma" w:cs="Tahoma"/>
          <w:sz w:val="24"/>
          <w:szCs w:val="24"/>
          <w:lang w:val="es-ES"/>
        </w:rPr>
        <w:t xml:space="preserve"> pagar las costas causadas</w:t>
      </w:r>
      <w:r w:rsidR="00DA4D60" w:rsidRPr="00EB7E69">
        <w:rPr>
          <w:rFonts w:ascii="Tahoma" w:hAnsi="Tahoma" w:cs="Tahoma"/>
          <w:sz w:val="24"/>
          <w:szCs w:val="24"/>
          <w:lang w:val="es-ES"/>
        </w:rPr>
        <w:t>,</w:t>
      </w:r>
      <w:r w:rsidR="00E627CE" w:rsidRPr="00EB7E69">
        <w:rPr>
          <w:rFonts w:ascii="Tahoma" w:hAnsi="Tahoma" w:cs="Tahoma"/>
          <w:sz w:val="24"/>
          <w:szCs w:val="24"/>
          <w:lang w:val="es-ES"/>
        </w:rPr>
        <w:t xml:space="preserve"> a favor de la sociedad demandada</w:t>
      </w:r>
      <w:r w:rsidR="00291F0A" w:rsidRPr="00EB7E69">
        <w:rPr>
          <w:rFonts w:ascii="Tahoma" w:hAnsi="Tahoma" w:cs="Tahoma"/>
          <w:sz w:val="24"/>
          <w:szCs w:val="24"/>
          <w:lang w:val="es-ES"/>
        </w:rPr>
        <w:t>.</w:t>
      </w:r>
    </w:p>
    <w:p w:rsidR="7D5973D4" w:rsidRPr="00EB7E69" w:rsidRDefault="7D5973D4" w:rsidP="00EB7E69">
      <w:pPr>
        <w:pStyle w:val="Textoindependiente"/>
        <w:spacing w:line="276" w:lineRule="auto"/>
        <w:rPr>
          <w:rFonts w:ascii="Tahoma" w:hAnsi="Tahoma" w:cs="Tahoma"/>
          <w:sz w:val="24"/>
          <w:szCs w:val="24"/>
        </w:rPr>
      </w:pPr>
    </w:p>
    <w:p w:rsidR="00E627CE" w:rsidRPr="00EB7E69" w:rsidRDefault="00A34806" w:rsidP="00EB7E69">
      <w:pPr>
        <w:pStyle w:val="Textoindependiente"/>
        <w:spacing w:line="276" w:lineRule="auto"/>
        <w:rPr>
          <w:rFonts w:ascii="Tahoma" w:hAnsi="Tahoma" w:cs="Tahoma"/>
          <w:sz w:val="24"/>
          <w:szCs w:val="24"/>
        </w:rPr>
      </w:pPr>
      <w:r w:rsidRPr="00EB7E69">
        <w:rPr>
          <w:rFonts w:ascii="Tahoma" w:hAnsi="Tahoma" w:cs="Tahoma"/>
          <w:sz w:val="24"/>
          <w:szCs w:val="24"/>
        </w:rPr>
        <w:t>Para decidir así,</w:t>
      </w:r>
      <w:r w:rsidR="00E627CE" w:rsidRPr="00EB7E69">
        <w:rPr>
          <w:rFonts w:ascii="Tahoma" w:hAnsi="Tahoma" w:cs="Tahoma"/>
          <w:sz w:val="24"/>
          <w:szCs w:val="24"/>
        </w:rPr>
        <w:t xml:space="preserve"> en síntesis,</w:t>
      </w:r>
      <w:r w:rsidRPr="00EB7E69">
        <w:rPr>
          <w:rFonts w:ascii="Tahoma" w:hAnsi="Tahoma" w:cs="Tahoma"/>
          <w:sz w:val="24"/>
          <w:szCs w:val="24"/>
        </w:rPr>
        <w:t xml:space="preserve"> </w:t>
      </w:r>
      <w:r w:rsidR="00E627CE" w:rsidRPr="00EB7E69">
        <w:rPr>
          <w:rFonts w:ascii="Tahoma" w:hAnsi="Tahoma" w:cs="Tahoma"/>
          <w:sz w:val="24"/>
          <w:szCs w:val="24"/>
        </w:rPr>
        <w:t>consideró el funcionario de primera sede  que</w:t>
      </w:r>
      <w:r w:rsidR="00DA4D60" w:rsidRPr="00EB7E69">
        <w:rPr>
          <w:rFonts w:ascii="Tahoma" w:hAnsi="Tahoma" w:cs="Tahoma"/>
          <w:sz w:val="24"/>
          <w:szCs w:val="24"/>
        </w:rPr>
        <w:t xml:space="preserve"> la venta del inmueble pretendido en venta se hizo como cuerpo cierto y en tal forma lo entregó la sociedad demandada, de acuerdo con los linderos que se expr</w:t>
      </w:r>
      <w:r w:rsidR="00A3659E" w:rsidRPr="00EB7E69">
        <w:rPr>
          <w:rFonts w:ascii="Tahoma" w:hAnsi="Tahoma" w:cs="Tahoma"/>
          <w:sz w:val="24"/>
          <w:szCs w:val="24"/>
        </w:rPr>
        <w:t>esaron en la respectiva promesa y por ende, cumplió su obligación, razón por la cual, la parte demandada no tenía derecho a pedir rebaja del precio, ni indemnización de perjuicios con base en el artículo 1546</w:t>
      </w:r>
      <w:r w:rsidR="00777E09" w:rsidRPr="00EB7E69">
        <w:rPr>
          <w:rFonts w:ascii="Tahoma" w:hAnsi="Tahoma" w:cs="Tahoma"/>
          <w:sz w:val="24"/>
          <w:szCs w:val="24"/>
        </w:rPr>
        <w:t xml:space="preserve"> del Código Civil.</w:t>
      </w:r>
    </w:p>
    <w:p w:rsidR="00777E09" w:rsidRPr="00EB7E69" w:rsidRDefault="00777E09" w:rsidP="00EB7E69">
      <w:pPr>
        <w:pStyle w:val="Textoindependiente"/>
        <w:spacing w:line="276" w:lineRule="auto"/>
        <w:rPr>
          <w:rFonts w:ascii="Tahoma" w:hAnsi="Tahoma" w:cs="Tahoma"/>
          <w:sz w:val="24"/>
          <w:szCs w:val="24"/>
        </w:rPr>
      </w:pPr>
    </w:p>
    <w:p w:rsidR="00847AD4" w:rsidRPr="00EB7E69" w:rsidRDefault="00F03405" w:rsidP="00EB7E69">
      <w:pPr>
        <w:pStyle w:val="Textoindependiente"/>
        <w:spacing w:line="276" w:lineRule="auto"/>
        <w:rPr>
          <w:rFonts w:ascii="Tahoma" w:hAnsi="Tahoma" w:cs="Tahoma"/>
          <w:b/>
          <w:sz w:val="24"/>
          <w:szCs w:val="24"/>
        </w:rPr>
      </w:pPr>
      <w:r w:rsidRPr="00EB7E69">
        <w:rPr>
          <w:rFonts w:ascii="Tahoma" w:hAnsi="Tahoma" w:cs="Tahoma"/>
          <w:b/>
          <w:sz w:val="24"/>
          <w:szCs w:val="24"/>
        </w:rPr>
        <w:t>RECURSO DE APELACIÓN</w:t>
      </w:r>
    </w:p>
    <w:p w:rsidR="008E7C03" w:rsidRPr="00EB7E69" w:rsidRDefault="008E7C03" w:rsidP="00EB7E69">
      <w:pPr>
        <w:pStyle w:val="Textoindependiente"/>
        <w:spacing w:line="276" w:lineRule="auto"/>
        <w:rPr>
          <w:rFonts w:ascii="Tahoma" w:hAnsi="Tahoma" w:cs="Tahoma"/>
          <w:b/>
          <w:sz w:val="24"/>
          <w:szCs w:val="24"/>
        </w:rPr>
      </w:pPr>
    </w:p>
    <w:p w:rsidR="00DA4D60" w:rsidRPr="00EB7E69" w:rsidRDefault="00D078BD" w:rsidP="00EB7E69">
      <w:pPr>
        <w:pStyle w:val="Textoindependiente"/>
        <w:spacing w:line="276" w:lineRule="auto"/>
        <w:rPr>
          <w:rFonts w:ascii="Tahoma" w:hAnsi="Tahoma" w:cs="Tahoma"/>
          <w:sz w:val="24"/>
          <w:szCs w:val="24"/>
        </w:rPr>
      </w:pPr>
      <w:r w:rsidRPr="00EB7E69">
        <w:rPr>
          <w:rFonts w:ascii="Tahoma" w:hAnsi="Tahoma" w:cs="Tahoma"/>
          <w:sz w:val="24"/>
          <w:szCs w:val="24"/>
        </w:rPr>
        <w:t>Inconforme</w:t>
      </w:r>
      <w:r w:rsidR="008E7C03" w:rsidRPr="00EB7E69">
        <w:rPr>
          <w:rFonts w:ascii="Tahoma" w:hAnsi="Tahoma" w:cs="Tahoma"/>
          <w:sz w:val="24"/>
          <w:szCs w:val="24"/>
        </w:rPr>
        <w:t xml:space="preserve"> con el fallo, lo apel</w:t>
      </w:r>
      <w:r w:rsidRPr="00EB7E69">
        <w:rPr>
          <w:rFonts w:ascii="Tahoma" w:hAnsi="Tahoma" w:cs="Tahoma"/>
          <w:sz w:val="24"/>
          <w:szCs w:val="24"/>
        </w:rPr>
        <w:t>ó el apoderado de los demandantes</w:t>
      </w:r>
      <w:r w:rsidR="008E7C03" w:rsidRPr="00EB7E69">
        <w:rPr>
          <w:rFonts w:ascii="Tahoma" w:hAnsi="Tahoma" w:cs="Tahoma"/>
          <w:sz w:val="24"/>
          <w:szCs w:val="24"/>
        </w:rPr>
        <w:t>.</w:t>
      </w:r>
      <w:r w:rsidR="00F931F4" w:rsidRPr="00EB7E69">
        <w:rPr>
          <w:rFonts w:ascii="Tahoma" w:hAnsi="Tahoma" w:cs="Tahoma"/>
          <w:sz w:val="24"/>
          <w:szCs w:val="24"/>
        </w:rPr>
        <w:t xml:space="preserve"> </w:t>
      </w:r>
      <w:r w:rsidR="00DA4D60" w:rsidRPr="00EB7E69">
        <w:rPr>
          <w:rFonts w:ascii="Tahoma" w:hAnsi="Tahoma" w:cs="Tahoma"/>
          <w:sz w:val="24"/>
          <w:szCs w:val="24"/>
        </w:rPr>
        <w:t>Aduce que la sociedad demandada debía entregarles los planos arquitectónicos y estructurales del proyecto Saratoga, que estaban promocionando los promitentes vendedores y que necesariamente sirvieran para desarrollarlo en un área específica de terreno</w:t>
      </w:r>
      <w:r w:rsidR="00CE7603" w:rsidRPr="00EB7E69">
        <w:rPr>
          <w:rFonts w:ascii="Tahoma" w:hAnsi="Tahoma" w:cs="Tahoma"/>
          <w:sz w:val="24"/>
          <w:szCs w:val="24"/>
        </w:rPr>
        <w:t>, pues no resulta posible que se adquieran para un predio en el que no pueda hacerse.</w:t>
      </w:r>
    </w:p>
    <w:p w:rsidR="00EE7F2A" w:rsidRPr="00EB7E69" w:rsidRDefault="00EE7F2A" w:rsidP="00EB7E69">
      <w:pPr>
        <w:pStyle w:val="Textoindependiente"/>
        <w:spacing w:line="276" w:lineRule="auto"/>
        <w:rPr>
          <w:rFonts w:ascii="Tahoma" w:hAnsi="Tahoma" w:cs="Tahoma"/>
          <w:sz w:val="24"/>
          <w:szCs w:val="24"/>
        </w:rPr>
      </w:pPr>
    </w:p>
    <w:p w:rsidR="00EE7F2A" w:rsidRPr="00EB7E69" w:rsidRDefault="00EE7F2A" w:rsidP="00EB7E69">
      <w:pPr>
        <w:pStyle w:val="Textoindependiente"/>
        <w:spacing w:line="276" w:lineRule="auto"/>
        <w:rPr>
          <w:rFonts w:ascii="Tahoma" w:hAnsi="Tahoma" w:cs="Tahoma"/>
          <w:sz w:val="24"/>
          <w:szCs w:val="24"/>
        </w:rPr>
      </w:pPr>
      <w:r w:rsidRPr="00EB7E69">
        <w:rPr>
          <w:rFonts w:ascii="Tahoma" w:hAnsi="Tahoma" w:cs="Tahoma"/>
          <w:sz w:val="24"/>
          <w:szCs w:val="24"/>
        </w:rPr>
        <w:t>A</w:t>
      </w:r>
      <w:r w:rsidR="7D41D10C" w:rsidRPr="00EB7E69">
        <w:rPr>
          <w:rFonts w:ascii="Tahoma" w:hAnsi="Tahoma" w:cs="Tahoma"/>
          <w:sz w:val="24"/>
          <w:szCs w:val="24"/>
        </w:rPr>
        <w:t>firm</w:t>
      </w:r>
      <w:r w:rsidR="5A6130BD" w:rsidRPr="00EB7E69">
        <w:rPr>
          <w:rFonts w:ascii="Tahoma" w:hAnsi="Tahoma" w:cs="Tahoma"/>
          <w:sz w:val="24"/>
          <w:szCs w:val="24"/>
        </w:rPr>
        <w:t>ó</w:t>
      </w:r>
      <w:r w:rsidR="7D41D10C" w:rsidRPr="00EB7E69">
        <w:rPr>
          <w:rFonts w:ascii="Tahoma" w:hAnsi="Tahoma" w:cs="Tahoma"/>
          <w:sz w:val="24"/>
          <w:szCs w:val="24"/>
        </w:rPr>
        <w:t xml:space="preserve"> </w:t>
      </w:r>
      <w:r w:rsidRPr="00EB7E69">
        <w:rPr>
          <w:rFonts w:ascii="Tahoma" w:hAnsi="Tahoma" w:cs="Tahoma"/>
          <w:sz w:val="24"/>
          <w:szCs w:val="24"/>
        </w:rPr>
        <w:t>est</w:t>
      </w:r>
      <w:r w:rsidR="69D3BF05" w:rsidRPr="00EB7E69">
        <w:rPr>
          <w:rFonts w:ascii="Tahoma" w:hAnsi="Tahoma" w:cs="Tahoma"/>
          <w:sz w:val="24"/>
          <w:szCs w:val="24"/>
        </w:rPr>
        <w:t>a</w:t>
      </w:r>
      <w:r w:rsidR="01CD022F" w:rsidRPr="00EB7E69">
        <w:rPr>
          <w:rFonts w:ascii="Tahoma" w:hAnsi="Tahoma" w:cs="Tahoma"/>
          <w:sz w:val="24"/>
          <w:szCs w:val="24"/>
        </w:rPr>
        <w:t>r</w:t>
      </w:r>
      <w:r w:rsidRPr="00EB7E69">
        <w:rPr>
          <w:rFonts w:ascii="Tahoma" w:hAnsi="Tahoma" w:cs="Tahoma"/>
          <w:sz w:val="24"/>
          <w:szCs w:val="24"/>
        </w:rPr>
        <w:t xml:space="preserve"> probado</w:t>
      </w:r>
      <w:r w:rsidR="6CC9C4C0" w:rsidRPr="00EB7E69">
        <w:rPr>
          <w:rFonts w:ascii="Tahoma" w:hAnsi="Tahoma" w:cs="Tahoma"/>
          <w:sz w:val="24"/>
          <w:szCs w:val="24"/>
        </w:rPr>
        <w:t xml:space="preserve">, </w:t>
      </w:r>
      <w:r w:rsidRPr="00EB7E69">
        <w:rPr>
          <w:rFonts w:ascii="Tahoma" w:hAnsi="Tahoma" w:cs="Tahoma"/>
          <w:sz w:val="24"/>
          <w:szCs w:val="24"/>
        </w:rPr>
        <w:t>con los testimonios, interrogatorios y con la promesa de compraventa</w:t>
      </w:r>
      <w:r w:rsidR="03388F5A" w:rsidRPr="00EB7E69">
        <w:rPr>
          <w:rFonts w:ascii="Tahoma" w:hAnsi="Tahoma" w:cs="Tahoma"/>
          <w:sz w:val="24"/>
          <w:szCs w:val="24"/>
        </w:rPr>
        <w:t>,</w:t>
      </w:r>
      <w:r w:rsidRPr="00EB7E69">
        <w:rPr>
          <w:rFonts w:ascii="Tahoma" w:hAnsi="Tahoma" w:cs="Tahoma"/>
          <w:sz w:val="24"/>
          <w:szCs w:val="24"/>
        </w:rPr>
        <w:t xml:space="preserve"> que los planos “(diseños)” hacían parte integral del negocio pues “se trató de la compra (o derecho a desarrollar el proyecto)”; por tanto, si los planos corresponden a la dirección de los lotes</w:t>
      </w:r>
      <w:r w:rsidR="003A7440" w:rsidRPr="00EB7E69">
        <w:rPr>
          <w:rFonts w:ascii="Tahoma" w:hAnsi="Tahoma" w:cs="Tahoma"/>
          <w:sz w:val="24"/>
          <w:szCs w:val="24"/>
        </w:rPr>
        <w:t xml:space="preserve"> sobre los que se va a construir, dejan de ser cuerpo cierto y al entregarlos aprobados por la Curaduría generaron confianza en los promitentes compradores.</w:t>
      </w:r>
    </w:p>
    <w:p w:rsidR="003A7440" w:rsidRPr="00EB7E69" w:rsidRDefault="003A7440" w:rsidP="00EB7E69">
      <w:pPr>
        <w:pStyle w:val="Textoindependiente"/>
        <w:spacing w:line="276" w:lineRule="auto"/>
        <w:rPr>
          <w:rFonts w:ascii="Tahoma" w:hAnsi="Tahoma" w:cs="Tahoma"/>
          <w:sz w:val="24"/>
          <w:szCs w:val="24"/>
        </w:rPr>
      </w:pPr>
    </w:p>
    <w:p w:rsidR="003A7440" w:rsidRPr="00EB7E69" w:rsidRDefault="003A7440" w:rsidP="00EB7E69">
      <w:pPr>
        <w:pStyle w:val="Textoindependiente"/>
        <w:spacing w:line="276" w:lineRule="auto"/>
        <w:rPr>
          <w:rFonts w:ascii="Tahoma" w:hAnsi="Tahoma" w:cs="Tahoma"/>
          <w:sz w:val="24"/>
          <w:szCs w:val="24"/>
        </w:rPr>
      </w:pPr>
      <w:r w:rsidRPr="00EB7E69">
        <w:rPr>
          <w:rFonts w:ascii="Tahoma" w:hAnsi="Tahoma" w:cs="Tahoma"/>
          <w:sz w:val="24"/>
          <w:szCs w:val="24"/>
        </w:rPr>
        <w:t>Agreg</w:t>
      </w:r>
      <w:r w:rsidR="0F73F64E" w:rsidRPr="00EB7E69">
        <w:rPr>
          <w:rFonts w:ascii="Tahoma" w:hAnsi="Tahoma" w:cs="Tahoma"/>
          <w:sz w:val="24"/>
          <w:szCs w:val="24"/>
        </w:rPr>
        <w:t>ó</w:t>
      </w:r>
      <w:r w:rsidRPr="00EB7E69">
        <w:rPr>
          <w:rFonts w:ascii="Tahoma" w:hAnsi="Tahoma" w:cs="Tahoma"/>
          <w:sz w:val="24"/>
          <w:szCs w:val="24"/>
        </w:rPr>
        <w:t xml:space="preserve"> que la parte demandada nunca negó que los diseños hicieran parte del negocio celebrado; el juzgado considera que solo se refería a los lotes; en la demanda se solicitó se declarara el incumplimiento parcial, “</w:t>
      </w:r>
      <w:r w:rsidRPr="00EB7E69">
        <w:rPr>
          <w:rFonts w:ascii="Tahoma" w:hAnsi="Tahoma" w:cs="Tahoma"/>
          <w:sz w:val="22"/>
          <w:szCs w:val="24"/>
        </w:rPr>
        <w:t>toda vez que constaba con la entrega de dos prestaciones que si bien podían cumplir independientemente, primero la entrega de los lotes y posteriormente los diseños eran el núcleo esencial</w:t>
      </w:r>
      <w:r w:rsidR="00184B38" w:rsidRPr="00EB7E69">
        <w:rPr>
          <w:rFonts w:ascii="Tahoma" w:hAnsi="Tahoma" w:cs="Tahoma"/>
          <w:sz w:val="22"/>
          <w:szCs w:val="24"/>
        </w:rPr>
        <w:t xml:space="preserve"> del negocio, cosa planeada desde la etapa precontractual</w:t>
      </w:r>
      <w:r w:rsidR="00184B38" w:rsidRPr="00EB7E69">
        <w:rPr>
          <w:rFonts w:ascii="Tahoma" w:hAnsi="Tahoma" w:cs="Tahoma"/>
          <w:sz w:val="24"/>
          <w:szCs w:val="24"/>
        </w:rPr>
        <w:t>”; por tanto, los planos prometidos debieron ajustarse a los terrenos.</w:t>
      </w:r>
    </w:p>
    <w:p w:rsidR="00257ACD" w:rsidRPr="00EB7E69" w:rsidRDefault="00257ACD" w:rsidP="00EB7E69">
      <w:pPr>
        <w:pStyle w:val="Textoindependiente"/>
        <w:spacing w:line="276" w:lineRule="auto"/>
        <w:rPr>
          <w:rFonts w:ascii="Tahoma" w:hAnsi="Tahoma" w:cs="Tahoma"/>
          <w:sz w:val="24"/>
          <w:szCs w:val="24"/>
        </w:rPr>
      </w:pPr>
    </w:p>
    <w:p w:rsidR="00184B38" w:rsidRPr="00EB7E69" w:rsidRDefault="00184B38" w:rsidP="00EB7E69">
      <w:pPr>
        <w:pStyle w:val="Textoindependiente"/>
        <w:spacing w:line="276" w:lineRule="auto"/>
        <w:rPr>
          <w:rFonts w:ascii="Tahoma" w:hAnsi="Tahoma" w:cs="Tahoma"/>
          <w:sz w:val="24"/>
          <w:szCs w:val="24"/>
        </w:rPr>
      </w:pPr>
      <w:r w:rsidRPr="00EB7E69">
        <w:rPr>
          <w:rFonts w:ascii="Tahoma" w:hAnsi="Tahoma" w:cs="Tahoma"/>
          <w:sz w:val="24"/>
          <w:szCs w:val="24"/>
        </w:rPr>
        <w:lastRenderedPageBreak/>
        <w:t>Afirmó además que no se analizaron los testimonios, ni los interrogatorios; tampoco la promesa a continuación de la delimitación de los predios objeto del negocio planeado, situación que lo llevó a dictar sentencia no acorde con los hechos y las pruebas aportadas.</w:t>
      </w:r>
    </w:p>
    <w:p w:rsidR="00184B38" w:rsidRPr="00EB7E69" w:rsidRDefault="00184B38" w:rsidP="00EB7E69">
      <w:pPr>
        <w:pStyle w:val="Textoindependiente"/>
        <w:spacing w:line="276" w:lineRule="auto"/>
        <w:rPr>
          <w:rFonts w:ascii="Tahoma" w:hAnsi="Tahoma" w:cs="Tahoma"/>
          <w:sz w:val="24"/>
          <w:szCs w:val="24"/>
        </w:rPr>
      </w:pPr>
    </w:p>
    <w:p w:rsidR="001A5F0C" w:rsidRPr="00EB7E69" w:rsidRDefault="001A5F0C" w:rsidP="00EB7E69">
      <w:pPr>
        <w:pStyle w:val="Textoindependiente"/>
        <w:spacing w:line="276" w:lineRule="auto"/>
        <w:rPr>
          <w:rFonts w:ascii="Tahoma" w:hAnsi="Tahoma" w:cs="Tahoma"/>
          <w:sz w:val="24"/>
          <w:szCs w:val="24"/>
        </w:rPr>
      </w:pPr>
      <w:r w:rsidRPr="00EB7E69">
        <w:rPr>
          <w:rFonts w:ascii="Tahoma" w:hAnsi="Tahoma" w:cs="Tahoma"/>
          <w:sz w:val="24"/>
          <w:szCs w:val="24"/>
          <w:lang w:val="es-ES"/>
        </w:rPr>
        <w:t xml:space="preserve">En esta sede </w:t>
      </w:r>
      <w:r w:rsidR="0C11D544" w:rsidRPr="00EB7E69">
        <w:rPr>
          <w:rFonts w:ascii="Tahoma" w:hAnsi="Tahoma" w:cs="Tahoma"/>
          <w:sz w:val="24"/>
          <w:szCs w:val="24"/>
          <w:lang w:val="es-ES"/>
        </w:rPr>
        <w:t xml:space="preserve">indicó </w:t>
      </w:r>
      <w:r w:rsidRPr="00EB7E69">
        <w:rPr>
          <w:rFonts w:ascii="Tahoma" w:hAnsi="Tahoma" w:cs="Tahoma"/>
          <w:sz w:val="24"/>
          <w:szCs w:val="24"/>
          <w:lang w:val="es-ES"/>
        </w:rPr>
        <w:t>además que no existe duda de que los planos aprobados por la Curaduría eran para desarrollar la construcción del proyecto ya referido; la parte demandada no formuló reparo respecto de la no correspondencia  en las medidas de los planos con las de los terrenos adquiridos; no puede considerarse que la venta fue por cabida, cuando existían medidas específicas en esos planos y que estaban excluidos de tomar medidas o precauciones, pues la sociedad demandada había desplegado propaganda para promocionar la venta de apartamentos, “la determinación de los lotes” y la aprobación de los planos por la curaduría “tuvieron la suficiencia de validez para crear confianza en estos”.</w:t>
      </w:r>
    </w:p>
    <w:p w:rsidR="001A5F0C" w:rsidRPr="00EB7E69" w:rsidRDefault="001A5F0C" w:rsidP="00EB7E69">
      <w:pPr>
        <w:pStyle w:val="Textoindependiente"/>
        <w:spacing w:line="276" w:lineRule="auto"/>
        <w:rPr>
          <w:rFonts w:ascii="Tahoma" w:hAnsi="Tahoma" w:cs="Tahoma"/>
          <w:sz w:val="24"/>
          <w:szCs w:val="24"/>
        </w:rPr>
      </w:pPr>
    </w:p>
    <w:p w:rsidR="00184B38" w:rsidRPr="00EB7E69" w:rsidRDefault="00184B38" w:rsidP="00EB7E69">
      <w:pPr>
        <w:pStyle w:val="Textoindependiente"/>
        <w:spacing w:line="276" w:lineRule="auto"/>
        <w:rPr>
          <w:rFonts w:ascii="Tahoma" w:hAnsi="Tahoma" w:cs="Tahoma"/>
          <w:sz w:val="24"/>
          <w:szCs w:val="24"/>
        </w:rPr>
      </w:pPr>
      <w:r w:rsidRPr="00EB7E69">
        <w:rPr>
          <w:rFonts w:ascii="Tahoma" w:hAnsi="Tahoma" w:cs="Tahoma"/>
          <w:sz w:val="24"/>
          <w:szCs w:val="24"/>
        </w:rPr>
        <w:t>Solicita se revoque la sentencia y se acceda a las pretensiones.</w:t>
      </w:r>
    </w:p>
    <w:p w:rsidR="004B6035" w:rsidRPr="00EB7E69" w:rsidRDefault="004B6035" w:rsidP="00EB7E69">
      <w:pPr>
        <w:pStyle w:val="Textoindependiente"/>
        <w:spacing w:line="276" w:lineRule="auto"/>
        <w:rPr>
          <w:rFonts w:ascii="Tahoma" w:hAnsi="Tahoma" w:cs="Tahoma"/>
          <w:sz w:val="24"/>
          <w:szCs w:val="24"/>
        </w:rPr>
      </w:pPr>
    </w:p>
    <w:p w:rsidR="00666A8E" w:rsidRPr="00EB7E69" w:rsidRDefault="00666A8E" w:rsidP="00EB7E69">
      <w:pPr>
        <w:spacing w:line="276" w:lineRule="auto"/>
        <w:jc w:val="both"/>
        <w:rPr>
          <w:rFonts w:ascii="Tahoma" w:hAnsi="Tahoma" w:cs="Tahoma"/>
          <w:b/>
          <w:sz w:val="24"/>
          <w:szCs w:val="24"/>
        </w:rPr>
      </w:pPr>
      <w:r w:rsidRPr="00EB7E69">
        <w:rPr>
          <w:rFonts w:ascii="Tahoma" w:hAnsi="Tahoma" w:cs="Tahoma"/>
          <w:b/>
          <w:sz w:val="24"/>
          <w:szCs w:val="24"/>
        </w:rPr>
        <w:t xml:space="preserve">CONSIDERACIONES </w:t>
      </w:r>
    </w:p>
    <w:p w:rsidR="00666A8E" w:rsidRPr="00EB7E69" w:rsidRDefault="00666A8E" w:rsidP="00EB7E69">
      <w:pPr>
        <w:spacing w:line="276" w:lineRule="auto"/>
        <w:jc w:val="both"/>
        <w:rPr>
          <w:rFonts w:ascii="Tahoma" w:hAnsi="Tahoma" w:cs="Tahoma"/>
          <w:sz w:val="24"/>
          <w:szCs w:val="24"/>
        </w:rPr>
      </w:pPr>
    </w:p>
    <w:p w:rsidR="00666A8E" w:rsidRPr="00EB7E69" w:rsidRDefault="00666A8E" w:rsidP="00EB7E69">
      <w:pPr>
        <w:spacing w:line="276" w:lineRule="auto"/>
        <w:jc w:val="both"/>
        <w:rPr>
          <w:rFonts w:ascii="Tahoma" w:hAnsi="Tahoma" w:cs="Tahoma"/>
          <w:sz w:val="24"/>
          <w:szCs w:val="24"/>
        </w:rPr>
      </w:pPr>
      <w:r w:rsidRPr="00EB7E69">
        <w:rPr>
          <w:rFonts w:ascii="Tahoma" w:hAnsi="Tahoma" w:cs="Tahoma"/>
          <w:sz w:val="24"/>
          <w:szCs w:val="24"/>
        </w:rPr>
        <w:t>1. Es lo primero afirmar que este asunto se resolverá con fundamento en las disposiciones del Código de Procedimiento Civil, pues aún no ha hecho tránsito legislativo.</w:t>
      </w:r>
    </w:p>
    <w:p w:rsidR="00666A8E" w:rsidRPr="00EB7E69" w:rsidRDefault="00666A8E" w:rsidP="00EB7E69">
      <w:pPr>
        <w:spacing w:line="276" w:lineRule="auto"/>
        <w:jc w:val="both"/>
        <w:rPr>
          <w:rFonts w:ascii="Tahoma" w:hAnsi="Tahoma" w:cs="Tahoma"/>
          <w:sz w:val="24"/>
          <w:szCs w:val="24"/>
        </w:rPr>
      </w:pPr>
    </w:p>
    <w:p w:rsidR="001A5F0C" w:rsidRPr="00EB7E69" w:rsidRDefault="00666A8E" w:rsidP="00EB7E69">
      <w:pPr>
        <w:spacing w:line="276" w:lineRule="auto"/>
        <w:jc w:val="both"/>
        <w:rPr>
          <w:rFonts w:ascii="Tahoma" w:hAnsi="Tahoma" w:cs="Tahoma"/>
          <w:sz w:val="24"/>
          <w:szCs w:val="24"/>
        </w:rPr>
      </w:pPr>
      <w:r w:rsidRPr="00EB7E69">
        <w:rPr>
          <w:rFonts w:ascii="Tahoma" w:hAnsi="Tahoma" w:cs="Tahoma"/>
          <w:sz w:val="24"/>
          <w:szCs w:val="24"/>
        </w:rPr>
        <w:t xml:space="preserve">2. Se hallan satisfechos en su integridad los presupuestos procesales </w:t>
      </w:r>
      <w:r w:rsidR="001A5F0C" w:rsidRPr="00EB7E69">
        <w:rPr>
          <w:rFonts w:ascii="Tahoma" w:hAnsi="Tahoma" w:cs="Tahoma"/>
          <w:sz w:val="24"/>
          <w:szCs w:val="24"/>
        </w:rPr>
        <w:t xml:space="preserve">para dictar sentencia de mérito y </w:t>
      </w:r>
      <w:r w:rsidRPr="00EB7E69">
        <w:rPr>
          <w:rFonts w:ascii="Tahoma" w:hAnsi="Tahoma" w:cs="Tahoma"/>
          <w:sz w:val="24"/>
          <w:szCs w:val="24"/>
        </w:rPr>
        <w:t>ninguna causal de nulidad se ha configurado</w:t>
      </w:r>
      <w:r w:rsidR="001A5F0C" w:rsidRPr="00EB7E69">
        <w:rPr>
          <w:rFonts w:ascii="Tahoma" w:hAnsi="Tahoma" w:cs="Tahoma"/>
          <w:sz w:val="24"/>
          <w:szCs w:val="24"/>
        </w:rPr>
        <w:t xml:space="preserve"> que pueda afectar la validez de lo actuado.</w:t>
      </w:r>
    </w:p>
    <w:p w:rsidR="7D5973D4" w:rsidRPr="00EB7E69" w:rsidRDefault="7D5973D4" w:rsidP="00EB7E69">
      <w:pPr>
        <w:spacing w:line="276" w:lineRule="auto"/>
        <w:jc w:val="both"/>
        <w:rPr>
          <w:rFonts w:ascii="Tahoma" w:hAnsi="Tahoma" w:cs="Tahoma"/>
          <w:sz w:val="24"/>
          <w:szCs w:val="24"/>
        </w:rPr>
      </w:pPr>
    </w:p>
    <w:p w:rsidR="001A5F0C" w:rsidRPr="00EB7E69" w:rsidRDefault="004B6035" w:rsidP="00EB7E69">
      <w:pPr>
        <w:spacing w:line="276" w:lineRule="auto"/>
        <w:jc w:val="both"/>
        <w:rPr>
          <w:rFonts w:ascii="Tahoma" w:hAnsi="Tahoma" w:cs="Tahoma"/>
          <w:sz w:val="24"/>
          <w:szCs w:val="24"/>
        </w:rPr>
      </w:pPr>
      <w:r w:rsidRPr="00EB7E69">
        <w:rPr>
          <w:rFonts w:ascii="Tahoma" w:hAnsi="Tahoma" w:cs="Tahoma"/>
          <w:sz w:val="24"/>
          <w:szCs w:val="24"/>
        </w:rPr>
        <w:t xml:space="preserve">3. Además, las partes están legitimadas en la causa porque fueron quienes concurrieron a la celebración de la promesa de compraventa </w:t>
      </w:r>
      <w:r w:rsidR="001A5F0C" w:rsidRPr="00EB7E69">
        <w:rPr>
          <w:rFonts w:ascii="Tahoma" w:hAnsi="Tahoma" w:cs="Tahoma"/>
          <w:sz w:val="24"/>
          <w:szCs w:val="24"/>
        </w:rPr>
        <w:t>en la que se fundamentan las pretensiones de la demanda.</w:t>
      </w:r>
    </w:p>
    <w:p w:rsidR="001A5F0C" w:rsidRPr="00EB7E69" w:rsidRDefault="004B6035" w:rsidP="00EB7E69">
      <w:pPr>
        <w:spacing w:line="276" w:lineRule="auto"/>
        <w:jc w:val="both"/>
        <w:rPr>
          <w:rFonts w:ascii="Tahoma" w:hAnsi="Tahoma" w:cs="Tahoma"/>
          <w:sz w:val="24"/>
          <w:szCs w:val="24"/>
        </w:rPr>
      </w:pPr>
      <w:r w:rsidRPr="00EB7E69">
        <w:rPr>
          <w:rFonts w:ascii="Tahoma" w:hAnsi="Tahoma" w:cs="Tahoma"/>
          <w:sz w:val="24"/>
          <w:szCs w:val="24"/>
        </w:rPr>
        <w:t xml:space="preserve"> </w:t>
      </w:r>
    </w:p>
    <w:p w:rsidR="00852AB9" w:rsidRPr="00EB7E69" w:rsidRDefault="00F26598" w:rsidP="00EB7E69">
      <w:pPr>
        <w:pStyle w:val="Textoindependiente"/>
        <w:spacing w:line="276" w:lineRule="auto"/>
        <w:rPr>
          <w:rFonts w:ascii="Tahoma" w:hAnsi="Tahoma" w:cs="Tahoma"/>
          <w:sz w:val="24"/>
          <w:szCs w:val="24"/>
        </w:rPr>
      </w:pPr>
      <w:r w:rsidRPr="00EB7E69">
        <w:rPr>
          <w:rFonts w:ascii="Tahoma" w:hAnsi="Tahoma" w:cs="Tahoma"/>
          <w:sz w:val="24"/>
          <w:szCs w:val="24"/>
        </w:rPr>
        <w:t>4.</w:t>
      </w:r>
      <w:r w:rsidR="009C74A9" w:rsidRPr="00EB7E69">
        <w:rPr>
          <w:rFonts w:ascii="Tahoma" w:hAnsi="Tahoma" w:cs="Tahoma"/>
          <w:sz w:val="24"/>
          <w:szCs w:val="24"/>
        </w:rPr>
        <w:t xml:space="preserve"> Con </w:t>
      </w:r>
      <w:r w:rsidR="0039449B" w:rsidRPr="00EB7E69">
        <w:rPr>
          <w:rFonts w:ascii="Tahoma" w:hAnsi="Tahoma" w:cs="Tahoma"/>
          <w:sz w:val="24"/>
          <w:szCs w:val="24"/>
        </w:rPr>
        <w:t>la acción propuesta</w:t>
      </w:r>
      <w:r w:rsidR="009C74A9" w:rsidRPr="00EB7E69">
        <w:rPr>
          <w:rFonts w:ascii="Tahoma" w:hAnsi="Tahoma" w:cs="Tahoma"/>
          <w:sz w:val="24"/>
          <w:szCs w:val="24"/>
        </w:rPr>
        <w:t xml:space="preserve"> pretenden los actores</w:t>
      </w:r>
      <w:r w:rsidRPr="00EB7E69">
        <w:rPr>
          <w:rFonts w:ascii="Tahoma" w:hAnsi="Tahoma" w:cs="Tahoma"/>
          <w:sz w:val="24"/>
          <w:szCs w:val="24"/>
        </w:rPr>
        <w:t xml:space="preserve"> se declare que la demandada incumplió parcialmente el contrato de</w:t>
      </w:r>
      <w:r w:rsidR="00852AB9" w:rsidRPr="00EB7E69">
        <w:rPr>
          <w:rFonts w:ascii="Tahoma" w:hAnsi="Tahoma" w:cs="Tahoma"/>
          <w:sz w:val="24"/>
          <w:szCs w:val="24"/>
        </w:rPr>
        <w:t xml:space="preserve"> promesa</w:t>
      </w:r>
      <w:r w:rsidRPr="00EB7E69">
        <w:rPr>
          <w:rFonts w:ascii="Tahoma" w:hAnsi="Tahoma" w:cs="Tahoma"/>
          <w:sz w:val="24"/>
          <w:szCs w:val="24"/>
        </w:rPr>
        <w:t xml:space="preserve"> compraventa que</w:t>
      </w:r>
      <w:r w:rsidR="0039449B" w:rsidRPr="00EB7E69">
        <w:rPr>
          <w:rFonts w:ascii="Tahoma" w:hAnsi="Tahoma" w:cs="Tahoma"/>
          <w:sz w:val="24"/>
          <w:szCs w:val="24"/>
        </w:rPr>
        <w:t xml:space="preserve"> </w:t>
      </w:r>
      <w:r w:rsidRPr="00EB7E69">
        <w:rPr>
          <w:rFonts w:ascii="Tahoma" w:hAnsi="Tahoma" w:cs="Tahoma"/>
          <w:sz w:val="24"/>
          <w:szCs w:val="24"/>
        </w:rPr>
        <w:t>celebr</w:t>
      </w:r>
      <w:r w:rsidR="001A5F0C" w:rsidRPr="00EB7E69">
        <w:rPr>
          <w:rFonts w:ascii="Tahoma" w:hAnsi="Tahoma" w:cs="Tahoma"/>
          <w:sz w:val="24"/>
          <w:szCs w:val="24"/>
        </w:rPr>
        <w:t>aron el 10 de noviembre de 2006</w:t>
      </w:r>
      <w:r w:rsidR="009C74A9" w:rsidRPr="00EB7E69">
        <w:rPr>
          <w:rFonts w:ascii="Tahoma" w:hAnsi="Tahoma" w:cs="Tahoma"/>
          <w:sz w:val="24"/>
          <w:szCs w:val="24"/>
        </w:rPr>
        <w:t xml:space="preserve"> y</w:t>
      </w:r>
      <w:r w:rsidR="4432752F" w:rsidRPr="00EB7E69">
        <w:rPr>
          <w:rFonts w:ascii="Tahoma" w:hAnsi="Tahoma" w:cs="Tahoma"/>
          <w:sz w:val="24"/>
          <w:szCs w:val="24"/>
        </w:rPr>
        <w:t>,</w:t>
      </w:r>
      <w:r w:rsidR="009C74A9" w:rsidRPr="00EB7E69">
        <w:rPr>
          <w:rFonts w:ascii="Tahoma" w:hAnsi="Tahoma" w:cs="Tahoma"/>
          <w:sz w:val="24"/>
          <w:szCs w:val="24"/>
        </w:rPr>
        <w:t xml:space="preserve"> en consecuencia, se le condene a pagar los perjuicios que les causaron.</w:t>
      </w:r>
      <w:r w:rsidR="00852AB9" w:rsidRPr="00EB7E69">
        <w:rPr>
          <w:rFonts w:ascii="Tahoma" w:hAnsi="Tahoma" w:cs="Tahoma"/>
          <w:sz w:val="24"/>
          <w:szCs w:val="24"/>
        </w:rPr>
        <w:t xml:space="preserve"> </w:t>
      </w:r>
    </w:p>
    <w:p w:rsidR="00852AB9" w:rsidRPr="00EB7E69" w:rsidRDefault="00852AB9" w:rsidP="00EB7E69">
      <w:pPr>
        <w:pStyle w:val="Textoindependiente"/>
        <w:spacing w:line="276" w:lineRule="auto"/>
        <w:rPr>
          <w:rFonts w:ascii="Tahoma" w:hAnsi="Tahoma" w:cs="Tahoma"/>
          <w:sz w:val="24"/>
          <w:szCs w:val="24"/>
        </w:rPr>
      </w:pPr>
    </w:p>
    <w:p w:rsidR="00F30E75" w:rsidRPr="00EB7E69" w:rsidRDefault="00DB1678" w:rsidP="00EB7E69">
      <w:pPr>
        <w:pStyle w:val="Textoindependiente"/>
        <w:spacing w:line="276" w:lineRule="auto"/>
        <w:rPr>
          <w:rFonts w:ascii="Tahoma" w:hAnsi="Tahoma" w:cs="Tahoma"/>
          <w:sz w:val="24"/>
          <w:szCs w:val="24"/>
        </w:rPr>
      </w:pPr>
      <w:r w:rsidRPr="00EB7E69">
        <w:rPr>
          <w:rFonts w:ascii="Tahoma" w:hAnsi="Tahoma" w:cs="Tahoma"/>
          <w:sz w:val="24"/>
          <w:szCs w:val="24"/>
        </w:rPr>
        <w:t>5.</w:t>
      </w:r>
      <w:r w:rsidR="00F30E75" w:rsidRPr="00EB7E69">
        <w:rPr>
          <w:rFonts w:ascii="Tahoma" w:hAnsi="Tahoma" w:cs="Tahoma"/>
          <w:sz w:val="24"/>
          <w:szCs w:val="24"/>
        </w:rPr>
        <w:t xml:space="preserve"> </w:t>
      </w:r>
      <w:r w:rsidR="001A5F0C" w:rsidRPr="00EB7E69">
        <w:rPr>
          <w:rFonts w:ascii="Tahoma" w:hAnsi="Tahoma" w:cs="Tahoma"/>
          <w:sz w:val="24"/>
          <w:szCs w:val="24"/>
        </w:rPr>
        <w:t xml:space="preserve">Se </w:t>
      </w:r>
      <w:r w:rsidR="00F30E75" w:rsidRPr="00EB7E69">
        <w:rPr>
          <w:rFonts w:ascii="Tahoma" w:hAnsi="Tahoma" w:cs="Tahoma"/>
          <w:sz w:val="24"/>
          <w:szCs w:val="24"/>
        </w:rPr>
        <w:t>allegaron</w:t>
      </w:r>
      <w:r w:rsidR="001A5F0C" w:rsidRPr="00EB7E69">
        <w:rPr>
          <w:rFonts w:ascii="Tahoma" w:hAnsi="Tahoma" w:cs="Tahoma"/>
          <w:sz w:val="24"/>
          <w:szCs w:val="24"/>
        </w:rPr>
        <w:t xml:space="preserve"> con la demanda</w:t>
      </w:r>
      <w:r w:rsidR="00F30E75" w:rsidRPr="00EB7E69">
        <w:rPr>
          <w:rFonts w:ascii="Tahoma" w:hAnsi="Tahoma" w:cs="Tahoma"/>
          <w:sz w:val="24"/>
          <w:szCs w:val="24"/>
        </w:rPr>
        <w:t>, entre otros, los siguientes documentos:</w:t>
      </w:r>
    </w:p>
    <w:p w:rsidR="00F30E75" w:rsidRPr="00EB7E69" w:rsidRDefault="00F30E75" w:rsidP="00EB7E69">
      <w:pPr>
        <w:pStyle w:val="Textoindependiente"/>
        <w:spacing w:line="276" w:lineRule="auto"/>
        <w:rPr>
          <w:rFonts w:ascii="Tahoma" w:hAnsi="Tahoma" w:cs="Tahoma"/>
          <w:sz w:val="24"/>
          <w:szCs w:val="24"/>
        </w:rPr>
      </w:pPr>
    </w:p>
    <w:p w:rsidR="00852AB9" w:rsidRPr="00EB7E69" w:rsidRDefault="00F30E75" w:rsidP="00EB7E69">
      <w:pPr>
        <w:pStyle w:val="Textoindependiente"/>
        <w:spacing w:line="276" w:lineRule="auto"/>
        <w:rPr>
          <w:rFonts w:ascii="Tahoma" w:hAnsi="Tahoma" w:cs="Tahoma"/>
          <w:sz w:val="24"/>
          <w:szCs w:val="24"/>
        </w:rPr>
      </w:pPr>
      <w:r w:rsidRPr="00EB7E69">
        <w:rPr>
          <w:rFonts w:ascii="Tahoma" w:hAnsi="Tahoma" w:cs="Tahoma"/>
          <w:sz w:val="24"/>
          <w:szCs w:val="24"/>
        </w:rPr>
        <w:t>5.1</w:t>
      </w:r>
      <w:r w:rsidR="00DB1678" w:rsidRPr="00EB7E69">
        <w:rPr>
          <w:rFonts w:ascii="Tahoma" w:hAnsi="Tahoma" w:cs="Tahoma"/>
          <w:sz w:val="24"/>
          <w:szCs w:val="24"/>
        </w:rPr>
        <w:t xml:space="preserve"> </w:t>
      </w:r>
      <w:r w:rsidRPr="00EB7E69">
        <w:rPr>
          <w:rFonts w:ascii="Tahoma" w:hAnsi="Tahoma" w:cs="Tahoma"/>
          <w:sz w:val="24"/>
          <w:szCs w:val="24"/>
        </w:rPr>
        <w:t>La promesa de compraventa que suscribieron la s</w:t>
      </w:r>
      <w:r w:rsidR="00852AB9" w:rsidRPr="00EB7E69">
        <w:rPr>
          <w:rFonts w:ascii="Tahoma" w:hAnsi="Tahoma" w:cs="Tahoma"/>
          <w:sz w:val="24"/>
          <w:szCs w:val="24"/>
        </w:rPr>
        <w:t>ociedad G y G Asociados Medell</w:t>
      </w:r>
      <w:r w:rsidRPr="00EB7E69">
        <w:rPr>
          <w:rFonts w:ascii="Tahoma" w:hAnsi="Tahoma" w:cs="Tahoma"/>
          <w:sz w:val="24"/>
          <w:szCs w:val="24"/>
        </w:rPr>
        <w:t>ín S.A., Víctor Hugo Tamayo Lopera y Ariel de Jesús Hernández Serna</w:t>
      </w:r>
      <w:r w:rsidR="001A5F0C" w:rsidRPr="00EB7E69">
        <w:rPr>
          <w:rFonts w:ascii="Tahoma" w:hAnsi="Tahoma" w:cs="Tahoma"/>
          <w:sz w:val="24"/>
          <w:szCs w:val="24"/>
        </w:rPr>
        <w:t>, el 10 de noviembre de 2006</w:t>
      </w:r>
      <w:r w:rsidR="00CF6984" w:rsidRPr="00EB7E69">
        <w:rPr>
          <w:rStyle w:val="Refdenotaalpie"/>
          <w:rFonts w:ascii="Tahoma" w:hAnsi="Tahoma" w:cs="Tahoma"/>
          <w:sz w:val="24"/>
          <w:szCs w:val="24"/>
        </w:rPr>
        <w:footnoteReference w:id="1"/>
      </w:r>
      <w:r w:rsidRPr="00EB7E69">
        <w:rPr>
          <w:rFonts w:ascii="Tahoma" w:hAnsi="Tahoma" w:cs="Tahoma"/>
          <w:sz w:val="24"/>
          <w:szCs w:val="24"/>
        </w:rPr>
        <w:t>, por medio de la cual</w:t>
      </w:r>
      <w:r w:rsidR="009C74A9" w:rsidRPr="00EB7E69">
        <w:rPr>
          <w:rFonts w:ascii="Tahoma" w:hAnsi="Tahoma" w:cs="Tahoma"/>
          <w:sz w:val="24"/>
          <w:szCs w:val="24"/>
        </w:rPr>
        <w:t xml:space="preserve"> la primera </w:t>
      </w:r>
      <w:r w:rsidR="00852AB9" w:rsidRPr="00EB7E69">
        <w:rPr>
          <w:rFonts w:ascii="Tahoma" w:hAnsi="Tahoma" w:cs="Tahoma"/>
          <w:sz w:val="24"/>
          <w:szCs w:val="24"/>
        </w:rPr>
        <w:t xml:space="preserve">se comprometió a vender a los </w:t>
      </w:r>
      <w:r w:rsidR="009C74A9" w:rsidRPr="00EB7E69">
        <w:rPr>
          <w:rFonts w:ascii="Tahoma" w:hAnsi="Tahoma" w:cs="Tahoma"/>
          <w:sz w:val="24"/>
          <w:szCs w:val="24"/>
        </w:rPr>
        <w:t>últimos</w:t>
      </w:r>
      <w:r w:rsidRPr="00EB7E69">
        <w:rPr>
          <w:rFonts w:ascii="Tahoma" w:hAnsi="Tahoma" w:cs="Tahoma"/>
          <w:sz w:val="24"/>
          <w:szCs w:val="24"/>
        </w:rPr>
        <w:t xml:space="preserve">, </w:t>
      </w:r>
      <w:r w:rsidR="00DB1678" w:rsidRPr="00EB7E69">
        <w:rPr>
          <w:rFonts w:ascii="Tahoma" w:hAnsi="Tahoma" w:cs="Tahoma"/>
          <w:sz w:val="24"/>
          <w:szCs w:val="24"/>
        </w:rPr>
        <w:t>el dominio y posesión</w:t>
      </w:r>
      <w:r w:rsidR="00F26598" w:rsidRPr="00EB7E69">
        <w:rPr>
          <w:rFonts w:ascii="Tahoma" w:hAnsi="Tahoma" w:cs="Tahoma"/>
          <w:sz w:val="24"/>
          <w:szCs w:val="24"/>
        </w:rPr>
        <w:t xml:space="preserve"> </w:t>
      </w:r>
      <w:r w:rsidR="00DB1678" w:rsidRPr="00EB7E69">
        <w:rPr>
          <w:rFonts w:ascii="Tahoma" w:hAnsi="Tahoma" w:cs="Tahoma"/>
          <w:sz w:val="24"/>
          <w:szCs w:val="24"/>
        </w:rPr>
        <w:t>que tiene sobre dos apartamentos, ubicados en el primero y segundo piso de una edificación sometida a propiedad horizontal</w:t>
      </w:r>
      <w:r w:rsidRPr="00EB7E69">
        <w:rPr>
          <w:rFonts w:ascii="Tahoma" w:hAnsi="Tahoma" w:cs="Tahoma"/>
          <w:sz w:val="24"/>
          <w:szCs w:val="24"/>
        </w:rPr>
        <w:t xml:space="preserve">, en </w:t>
      </w:r>
      <w:r w:rsidR="00DB1678" w:rsidRPr="00EB7E69">
        <w:rPr>
          <w:rFonts w:ascii="Tahoma" w:hAnsi="Tahoma" w:cs="Tahoma"/>
          <w:sz w:val="24"/>
          <w:szCs w:val="24"/>
        </w:rPr>
        <w:t xml:space="preserve">la carrera 80 con calle 36 esquina, barrio del Empleado (Laureles), con un área total construida de 216.95 metros cuadrados, un área libre de antejardín y patios de </w:t>
      </w:r>
      <w:r w:rsidR="00DB1678" w:rsidRPr="00EB7E69">
        <w:rPr>
          <w:rFonts w:ascii="Tahoma" w:hAnsi="Tahoma" w:cs="Tahoma"/>
          <w:sz w:val="24"/>
          <w:szCs w:val="24"/>
        </w:rPr>
        <w:lastRenderedPageBreak/>
        <w:t>127,65 metros cuadrados y un área total de 344.60 metros cuadrados</w:t>
      </w:r>
      <w:r w:rsidRPr="00EB7E69">
        <w:rPr>
          <w:rFonts w:ascii="Tahoma" w:hAnsi="Tahoma" w:cs="Tahoma"/>
          <w:sz w:val="24"/>
          <w:szCs w:val="24"/>
        </w:rPr>
        <w:t xml:space="preserve">, cada uno de los cuales se describe </w:t>
      </w:r>
      <w:r w:rsidR="00DB1678" w:rsidRPr="00EB7E69">
        <w:rPr>
          <w:rFonts w:ascii="Tahoma" w:hAnsi="Tahoma" w:cs="Tahoma"/>
          <w:sz w:val="24"/>
          <w:szCs w:val="24"/>
        </w:rPr>
        <w:t>por su área y  linderos, identificados con matrículas inmobiliarias Nos. 001-304896 y 001-304897</w:t>
      </w:r>
      <w:r w:rsidRPr="00EB7E69">
        <w:rPr>
          <w:rFonts w:ascii="Tahoma" w:hAnsi="Tahoma" w:cs="Tahoma"/>
          <w:sz w:val="24"/>
          <w:szCs w:val="24"/>
        </w:rPr>
        <w:t>.</w:t>
      </w:r>
    </w:p>
    <w:p w:rsidR="00F30E75" w:rsidRPr="00EB7E69" w:rsidRDefault="00F30E75" w:rsidP="00EB7E69">
      <w:pPr>
        <w:pStyle w:val="Textoindependiente"/>
        <w:spacing w:line="276" w:lineRule="auto"/>
        <w:rPr>
          <w:rFonts w:ascii="Tahoma" w:hAnsi="Tahoma" w:cs="Tahoma"/>
          <w:sz w:val="24"/>
          <w:szCs w:val="24"/>
        </w:rPr>
      </w:pPr>
    </w:p>
    <w:p w:rsidR="00F30E75" w:rsidRPr="00EB7E69" w:rsidRDefault="00F30E75" w:rsidP="00EB7E69">
      <w:pPr>
        <w:pStyle w:val="Textoindependiente"/>
        <w:spacing w:line="276" w:lineRule="auto"/>
        <w:rPr>
          <w:rFonts w:ascii="Tahoma" w:hAnsi="Tahoma" w:cs="Tahoma"/>
          <w:sz w:val="24"/>
          <w:szCs w:val="24"/>
        </w:rPr>
      </w:pPr>
      <w:r w:rsidRPr="00EB7E69">
        <w:rPr>
          <w:rFonts w:ascii="Tahoma" w:hAnsi="Tahoma" w:cs="Tahoma"/>
          <w:sz w:val="24"/>
          <w:szCs w:val="24"/>
        </w:rPr>
        <w:t>Se expresa en ese documento que los apartamentos fueron demolidos por lo que el objeto del contrato es el lote sobre el cual se encontraban levantados y cuyos linderos particulares son: “</w:t>
      </w:r>
      <w:r w:rsidRPr="00EB7E69">
        <w:rPr>
          <w:rFonts w:ascii="Tahoma" w:hAnsi="Tahoma" w:cs="Tahoma"/>
          <w:sz w:val="22"/>
          <w:szCs w:val="24"/>
        </w:rPr>
        <w:t>por el frente que da al occidente, en una extensión de 21.87 metros, con la carrera 80; por un costado que da al sur, en una extensión de 12.30 metros, con la casa #35 A 44 de la carrera 80; por el otro frente que  da al norte, en una extensión de 14.77 metros con la calle 36</w:t>
      </w:r>
      <w:r w:rsidR="00FE5DD7" w:rsidRPr="00EB7E69">
        <w:rPr>
          <w:rFonts w:ascii="Tahoma" w:hAnsi="Tahoma" w:cs="Tahoma"/>
          <w:sz w:val="22"/>
          <w:szCs w:val="24"/>
        </w:rPr>
        <w:t>; por la parte de atrás que da  al oriente en una extensión de 17.80 metros con la casa #79-31 de la calle 36</w:t>
      </w:r>
      <w:r w:rsidR="00FE5DD7" w:rsidRPr="00EB7E69">
        <w:rPr>
          <w:rFonts w:ascii="Tahoma" w:hAnsi="Tahoma" w:cs="Tahoma"/>
          <w:sz w:val="24"/>
          <w:szCs w:val="24"/>
        </w:rPr>
        <w:t xml:space="preserve">.” </w:t>
      </w:r>
    </w:p>
    <w:p w:rsidR="00FE5DD7" w:rsidRPr="00EB7E69" w:rsidRDefault="00FE5DD7" w:rsidP="00EB7E69">
      <w:pPr>
        <w:pStyle w:val="Textoindependiente"/>
        <w:spacing w:line="276" w:lineRule="auto"/>
        <w:rPr>
          <w:rFonts w:ascii="Tahoma" w:hAnsi="Tahoma" w:cs="Tahoma"/>
          <w:sz w:val="24"/>
          <w:szCs w:val="24"/>
        </w:rPr>
      </w:pPr>
    </w:p>
    <w:p w:rsidR="00FE5DD7" w:rsidRPr="00EB7E69" w:rsidRDefault="00FE5DD7" w:rsidP="00EB7E69">
      <w:pPr>
        <w:pStyle w:val="Textoindependiente"/>
        <w:spacing w:line="276" w:lineRule="auto"/>
        <w:rPr>
          <w:rFonts w:ascii="Tahoma" w:hAnsi="Tahoma" w:cs="Tahoma"/>
          <w:sz w:val="24"/>
          <w:szCs w:val="24"/>
        </w:rPr>
      </w:pPr>
      <w:r w:rsidRPr="00EB7E69">
        <w:rPr>
          <w:rFonts w:ascii="Tahoma" w:hAnsi="Tahoma" w:cs="Tahoma"/>
          <w:sz w:val="24"/>
          <w:szCs w:val="24"/>
        </w:rPr>
        <w:t>Además</w:t>
      </w:r>
      <w:r w:rsidR="4AFF55A4" w:rsidRPr="00EB7E69">
        <w:rPr>
          <w:rFonts w:ascii="Tahoma" w:hAnsi="Tahoma" w:cs="Tahoma"/>
          <w:sz w:val="24"/>
          <w:szCs w:val="24"/>
        </w:rPr>
        <w:t>,</w:t>
      </w:r>
      <w:r w:rsidRPr="00EB7E69">
        <w:rPr>
          <w:rFonts w:ascii="Tahoma" w:hAnsi="Tahoma" w:cs="Tahoma"/>
          <w:sz w:val="24"/>
          <w:szCs w:val="24"/>
        </w:rPr>
        <w:t xml:space="preserve"> se indicó que hacen parte de esa negociación los diseños arquitectónicos y el diseño estructural de un proyecto presentado en la Curaduría 4ª de Medellín.</w:t>
      </w:r>
    </w:p>
    <w:p w:rsidR="00FE5DD7" w:rsidRPr="00EB7E69" w:rsidRDefault="00FE5DD7" w:rsidP="00EB7E69">
      <w:pPr>
        <w:pStyle w:val="Textoindependiente"/>
        <w:spacing w:line="276" w:lineRule="auto"/>
        <w:rPr>
          <w:rFonts w:ascii="Tahoma" w:hAnsi="Tahoma" w:cs="Tahoma"/>
          <w:sz w:val="24"/>
          <w:szCs w:val="24"/>
        </w:rPr>
      </w:pPr>
    </w:p>
    <w:p w:rsidR="00CF6984" w:rsidRPr="00EB7E69" w:rsidRDefault="00FE5DD7" w:rsidP="00EB7E69">
      <w:pPr>
        <w:pStyle w:val="Textoindependiente"/>
        <w:spacing w:line="276" w:lineRule="auto"/>
        <w:rPr>
          <w:rFonts w:ascii="Tahoma" w:hAnsi="Tahoma" w:cs="Tahoma"/>
          <w:sz w:val="24"/>
          <w:szCs w:val="24"/>
        </w:rPr>
      </w:pPr>
      <w:r w:rsidRPr="00EB7E69">
        <w:rPr>
          <w:rFonts w:ascii="Tahoma" w:hAnsi="Tahoma" w:cs="Tahoma"/>
          <w:sz w:val="24"/>
          <w:szCs w:val="24"/>
        </w:rPr>
        <w:t>El precio se pactó en $400.000.000, de los cuales $100.000.000 se pagarían el 17 de noviembre de 2006, siempre y cuando la Curaduría Cuarta de Medellín hubiese</w:t>
      </w:r>
      <w:r w:rsidR="00CF6984" w:rsidRPr="00EB7E69">
        <w:rPr>
          <w:rFonts w:ascii="Tahoma" w:hAnsi="Tahoma" w:cs="Tahoma"/>
          <w:sz w:val="24"/>
          <w:szCs w:val="24"/>
        </w:rPr>
        <w:t xml:space="preserve"> entregado la resolución de aprobación del proyecto que hace parte integrante de esa negociación; la misma suma el 15 de diciembre de 2006 y el saldo restante, es decir $200.000.000</w:t>
      </w:r>
      <w:r w:rsidR="009C74A9" w:rsidRPr="00EB7E69">
        <w:rPr>
          <w:rFonts w:ascii="Tahoma" w:hAnsi="Tahoma" w:cs="Tahoma"/>
          <w:sz w:val="24"/>
          <w:szCs w:val="24"/>
        </w:rPr>
        <w:t>,</w:t>
      </w:r>
      <w:r w:rsidR="00CF6984" w:rsidRPr="00EB7E69">
        <w:rPr>
          <w:rFonts w:ascii="Tahoma" w:hAnsi="Tahoma" w:cs="Tahoma"/>
          <w:sz w:val="24"/>
          <w:szCs w:val="24"/>
        </w:rPr>
        <w:t xml:space="preserve"> el 15 de febrero de 2007.</w:t>
      </w:r>
    </w:p>
    <w:p w:rsidR="00CF6984" w:rsidRPr="00EB7E69" w:rsidRDefault="00CF6984" w:rsidP="00EB7E69">
      <w:pPr>
        <w:pStyle w:val="Textoindependiente"/>
        <w:spacing w:line="276" w:lineRule="auto"/>
        <w:rPr>
          <w:rFonts w:ascii="Tahoma" w:hAnsi="Tahoma" w:cs="Tahoma"/>
          <w:sz w:val="24"/>
          <w:szCs w:val="24"/>
        </w:rPr>
      </w:pPr>
    </w:p>
    <w:p w:rsidR="00CF6984" w:rsidRPr="00EB7E69" w:rsidRDefault="00CF6984" w:rsidP="00EB7E69">
      <w:pPr>
        <w:pStyle w:val="Textoindependiente"/>
        <w:spacing w:line="276" w:lineRule="auto"/>
        <w:rPr>
          <w:rFonts w:ascii="Tahoma" w:hAnsi="Tahoma" w:cs="Tahoma"/>
          <w:sz w:val="24"/>
          <w:szCs w:val="24"/>
        </w:rPr>
      </w:pPr>
      <w:r w:rsidRPr="00EB7E69">
        <w:rPr>
          <w:rFonts w:ascii="Tahoma" w:hAnsi="Tahoma" w:cs="Tahoma"/>
          <w:sz w:val="24"/>
          <w:szCs w:val="24"/>
        </w:rPr>
        <w:t>Acordaron que la negociación estaría condicionada a que los planos arquitectónicos del proyecto presentado sobre el inmueble objeto de la compraventa fueran aprobados por la Curaduría Cuarta de Medellín; en caso contrario volverían al estado precontractual, sin indemnización para alguna de las partes.</w:t>
      </w:r>
    </w:p>
    <w:p w:rsidR="00CF6984" w:rsidRPr="00EB7E69" w:rsidRDefault="00CF6984" w:rsidP="00EB7E69">
      <w:pPr>
        <w:pStyle w:val="Textoindependiente"/>
        <w:spacing w:line="276" w:lineRule="auto"/>
        <w:rPr>
          <w:rFonts w:ascii="Tahoma" w:hAnsi="Tahoma" w:cs="Tahoma"/>
          <w:sz w:val="24"/>
          <w:szCs w:val="24"/>
        </w:rPr>
      </w:pPr>
    </w:p>
    <w:p w:rsidR="001A5F0C" w:rsidRPr="00EB7E69" w:rsidRDefault="00CF6984"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También, que la escritura pública para cumplir la promesa se otorgaría en la Notaría 29 de la ciudad de Medellín, el 15 de febrero de 2007, a las 3 </w:t>
      </w:r>
      <w:r w:rsidR="009C74A9" w:rsidRPr="00EB7E69">
        <w:rPr>
          <w:rFonts w:ascii="Tahoma" w:hAnsi="Tahoma" w:cs="Tahoma"/>
          <w:sz w:val="24"/>
          <w:szCs w:val="24"/>
        </w:rPr>
        <w:t xml:space="preserve">pm. La entrega del inmueble se fijó </w:t>
      </w:r>
      <w:r w:rsidRPr="00EB7E69">
        <w:rPr>
          <w:rFonts w:ascii="Tahoma" w:hAnsi="Tahoma" w:cs="Tahoma"/>
          <w:sz w:val="24"/>
          <w:szCs w:val="24"/>
        </w:rPr>
        <w:t>para el 17 de noviembre de 2006</w:t>
      </w:r>
      <w:r w:rsidR="001A5F0C" w:rsidRPr="00EB7E69">
        <w:rPr>
          <w:rFonts w:ascii="Tahoma" w:hAnsi="Tahoma" w:cs="Tahoma"/>
          <w:sz w:val="24"/>
          <w:szCs w:val="24"/>
        </w:rPr>
        <w:t>.</w:t>
      </w:r>
    </w:p>
    <w:p w:rsidR="00852AB9" w:rsidRPr="00EB7E69" w:rsidRDefault="001A5F0C"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 </w:t>
      </w:r>
    </w:p>
    <w:p w:rsidR="00CF6984" w:rsidRPr="00EB7E69" w:rsidRDefault="00CF6984"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5.2 </w:t>
      </w:r>
      <w:r w:rsidR="009C74A9" w:rsidRPr="00EB7E69">
        <w:rPr>
          <w:rFonts w:ascii="Tahoma" w:hAnsi="Tahoma" w:cs="Tahoma"/>
          <w:sz w:val="24"/>
          <w:szCs w:val="24"/>
        </w:rPr>
        <w:t xml:space="preserve">Copia </w:t>
      </w:r>
      <w:r w:rsidR="001A5F0C" w:rsidRPr="00EB7E69">
        <w:rPr>
          <w:rFonts w:ascii="Tahoma" w:hAnsi="Tahoma" w:cs="Tahoma"/>
          <w:sz w:val="24"/>
          <w:szCs w:val="24"/>
        </w:rPr>
        <w:t xml:space="preserve">inauténtica </w:t>
      </w:r>
      <w:r w:rsidR="009C74A9" w:rsidRPr="00EB7E69">
        <w:rPr>
          <w:rFonts w:ascii="Tahoma" w:hAnsi="Tahoma" w:cs="Tahoma"/>
          <w:sz w:val="24"/>
          <w:szCs w:val="24"/>
        </w:rPr>
        <w:t xml:space="preserve">de la </w:t>
      </w:r>
      <w:r w:rsidR="00F05983" w:rsidRPr="00EB7E69">
        <w:rPr>
          <w:rFonts w:ascii="Tahoma" w:hAnsi="Tahoma" w:cs="Tahoma"/>
          <w:sz w:val="24"/>
          <w:szCs w:val="24"/>
        </w:rPr>
        <w:t>R</w:t>
      </w:r>
      <w:r w:rsidRPr="00EB7E69">
        <w:rPr>
          <w:rFonts w:ascii="Tahoma" w:hAnsi="Tahoma" w:cs="Tahoma"/>
          <w:sz w:val="24"/>
          <w:szCs w:val="24"/>
        </w:rPr>
        <w:t>esolución No. C4-2681 del 20 de noviembre de 2006, por medio de la cual la Curaduría Cuarta de Medellín otorgó licencia de construcción al predio localizado en la carrera 80 No. 35</w:t>
      </w:r>
      <w:r w:rsidR="003A3E42" w:rsidRPr="00EB7E69">
        <w:rPr>
          <w:rFonts w:ascii="Tahoma" w:hAnsi="Tahoma" w:cs="Tahoma"/>
          <w:sz w:val="24"/>
          <w:szCs w:val="24"/>
        </w:rPr>
        <w:t>ª-60</w:t>
      </w:r>
      <w:r w:rsidRPr="00EB7E69">
        <w:rPr>
          <w:rStyle w:val="Refdenotaalpie"/>
          <w:rFonts w:ascii="Tahoma" w:hAnsi="Tahoma" w:cs="Tahoma"/>
          <w:sz w:val="24"/>
          <w:szCs w:val="24"/>
        </w:rPr>
        <w:footnoteReference w:id="2"/>
      </w:r>
      <w:r w:rsidR="003A3E42" w:rsidRPr="00EB7E69">
        <w:rPr>
          <w:rFonts w:ascii="Tahoma" w:hAnsi="Tahoma" w:cs="Tahoma"/>
          <w:sz w:val="24"/>
          <w:szCs w:val="24"/>
        </w:rPr>
        <w:t>.</w:t>
      </w:r>
    </w:p>
    <w:p w:rsidR="009301C4" w:rsidRPr="00EB7E69" w:rsidRDefault="009301C4" w:rsidP="00EB7E69">
      <w:pPr>
        <w:pStyle w:val="Textoindependiente"/>
        <w:spacing w:line="276" w:lineRule="auto"/>
        <w:rPr>
          <w:rFonts w:ascii="Tahoma" w:hAnsi="Tahoma" w:cs="Tahoma"/>
          <w:sz w:val="24"/>
          <w:szCs w:val="24"/>
        </w:rPr>
      </w:pPr>
    </w:p>
    <w:p w:rsidR="009C74A9" w:rsidRPr="00EB7E69" w:rsidRDefault="009C74A9" w:rsidP="00EB7E69">
      <w:pPr>
        <w:pStyle w:val="Textoindependiente"/>
        <w:spacing w:line="276" w:lineRule="auto"/>
        <w:rPr>
          <w:rFonts w:ascii="Tahoma" w:hAnsi="Tahoma" w:cs="Tahoma"/>
          <w:sz w:val="24"/>
          <w:szCs w:val="24"/>
        </w:rPr>
      </w:pPr>
      <w:r w:rsidRPr="00EB7E69">
        <w:rPr>
          <w:rFonts w:ascii="Tahoma" w:hAnsi="Tahoma" w:cs="Tahoma"/>
          <w:sz w:val="24"/>
          <w:szCs w:val="24"/>
        </w:rPr>
        <w:t>5.3 Resolución No. C4-4547 del 22 de junio de 2007, por medio de la cual la Curaduría Cuarta de Medellín aprobó las modificaciones a la licencia de construcción No. C4-2681 de 2006</w:t>
      </w:r>
      <w:r w:rsidR="009301C4" w:rsidRPr="00EB7E69">
        <w:rPr>
          <w:rFonts w:ascii="Tahoma" w:hAnsi="Tahoma" w:cs="Tahoma"/>
          <w:sz w:val="24"/>
          <w:szCs w:val="24"/>
        </w:rPr>
        <w:t xml:space="preserve"> y aprobó los planos para propiedad horizontal del predio ubicado en </w:t>
      </w:r>
      <w:r w:rsidRPr="00EB7E69">
        <w:rPr>
          <w:rFonts w:ascii="Tahoma" w:hAnsi="Tahoma" w:cs="Tahoma"/>
          <w:sz w:val="24"/>
          <w:szCs w:val="24"/>
        </w:rPr>
        <w:t xml:space="preserve">la carrera 80 No. </w:t>
      </w:r>
      <w:r w:rsidR="009301C4" w:rsidRPr="00EB7E69">
        <w:rPr>
          <w:rFonts w:ascii="Tahoma" w:hAnsi="Tahoma" w:cs="Tahoma"/>
          <w:sz w:val="24"/>
          <w:szCs w:val="24"/>
        </w:rPr>
        <w:t>“por calle 36 (S-O)”</w:t>
      </w:r>
      <w:r w:rsidRPr="00EB7E69">
        <w:rPr>
          <w:rStyle w:val="Refdenotaalpie"/>
          <w:rFonts w:ascii="Tahoma" w:hAnsi="Tahoma" w:cs="Tahoma"/>
          <w:sz w:val="24"/>
          <w:szCs w:val="24"/>
        </w:rPr>
        <w:footnoteReference w:id="3"/>
      </w:r>
      <w:r w:rsidRPr="00EB7E69">
        <w:rPr>
          <w:rFonts w:ascii="Tahoma" w:hAnsi="Tahoma" w:cs="Tahoma"/>
          <w:sz w:val="24"/>
          <w:szCs w:val="24"/>
        </w:rPr>
        <w:t>.</w:t>
      </w:r>
    </w:p>
    <w:p w:rsidR="009C74A9" w:rsidRPr="00EB7E69" w:rsidRDefault="009C74A9" w:rsidP="00EB7E69">
      <w:pPr>
        <w:pStyle w:val="Textoindependiente"/>
        <w:spacing w:line="276" w:lineRule="auto"/>
        <w:rPr>
          <w:rFonts w:ascii="Tahoma" w:hAnsi="Tahoma" w:cs="Tahoma"/>
          <w:sz w:val="24"/>
          <w:szCs w:val="24"/>
        </w:rPr>
      </w:pPr>
    </w:p>
    <w:p w:rsidR="003A3E42" w:rsidRPr="00EB7E69" w:rsidRDefault="003A3E42" w:rsidP="00EB7E69">
      <w:pPr>
        <w:pStyle w:val="Textoindependiente"/>
        <w:spacing w:line="276" w:lineRule="auto"/>
        <w:rPr>
          <w:rFonts w:ascii="Tahoma" w:hAnsi="Tahoma" w:cs="Tahoma"/>
          <w:sz w:val="24"/>
          <w:szCs w:val="24"/>
        </w:rPr>
      </w:pPr>
      <w:r w:rsidRPr="00EB7E69">
        <w:rPr>
          <w:rFonts w:ascii="Tahoma" w:hAnsi="Tahoma" w:cs="Tahoma"/>
          <w:sz w:val="24"/>
          <w:szCs w:val="24"/>
        </w:rPr>
        <w:t>5.3 Copia auténtica de la escritura pública N. 418 del 27 de febrero de 2007, otorgada en la Notaría 23 de Medellín</w:t>
      </w:r>
      <w:r w:rsidR="00F05983" w:rsidRPr="00EB7E69">
        <w:rPr>
          <w:rStyle w:val="Refdenotaalpie"/>
          <w:rFonts w:ascii="Tahoma" w:hAnsi="Tahoma" w:cs="Tahoma"/>
          <w:sz w:val="24"/>
          <w:szCs w:val="24"/>
        </w:rPr>
        <w:footnoteReference w:id="4"/>
      </w:r>
      <w:r w:rsidRPr="00EB7E69">
        <w:rPr>
          <w:rFonts w:ascii="Tahoma" w:hAnsi="Tahoma" w:cs="Tahoma"/>
          <w:sz w:val="24"/>
          <w:szCs w:val="24"/>
        </w:rPr>
        <w:t xml:space="preserve">, por medio de la cual la sociedad demandada vendió a los señores Elisabeth Mejía y </w:t>
      </w:r>
      <w:r w:rsidR="001A5F0C" w:rsidRPr="00EB7E69">
        <w:rPr>
          <w:rFonts w:ascii="Tahoma" w:hAnsi="Tahoma" w:cs="Tahoma"/>
          <w:sz w:val="24"/>
          <w:szCs w:val="24"/>
        </w:rPr>
        <w:t xml:space="preserve">a </w:t>
      </w:r>
      <w:r w:rsidRPr="00EB7E69">
        <w:rPr>
          <w:rFonts w:ascii="Tahoma" w:hAnsi="Tahoma" w:cs="Tahoma"/>
          <w:sz w:val="24"/>
          <w:szCs w:val="24"/>
        </w:rPr>
        <w:t>otras quince personas, los apartamentos descritos en la promesa de compraventa. Además, se dejó anotado que la construcción fue demolida con miras a levantar una nueva edificaci</w:t>
      </w:r>
      <w:r w:rsidR="00531653" w:rsidRPr="00EB7E69">
        <w:rPr>
          <w:rFonts w:ascii="Tahoma" w:hAnsi="Tahoma" w:cs="Tahoma"/>
          <w:sz w:val="24"/>
          <w:szCs w:val="24"/>
        </w:rPr>
        <w:t>ón de vario</w:t>
      </w:r>
      <w:r w:rsidRPr="00EB7E69">
        <w:rPr>
          <w:rFonts w:ascii="Tahoma" w:hAnsi="Tahoma" w:cs="Tahoma"/>
          <w:sz w:val="24"/>
          <w:szCs w:val="24"/>
        </w:rPr>
        <w:t xml:space="preserve">s pisos, </w:t>
      </w:r>
      <w:r w:rsidRPr="00EB7E69">
        <w:rPr>
          <w:rFonts w:ascii="Tahoma" w:hAnsi="Tahoma" w:cs="Tahoma"/>
          <w:sz w:val="24"/>
          <w:szCs w:val="24"/>
        </w:rPr>
        <w:lastRenderedPageBreak/>
        <w:t>por lo que a la fe</w:t>
      </w:r>
      <w:r w:rsidR="00531653" w:rsidRPr="00EB7E69">
        <w:rPr>
          <w:rFonts w:ascii="Tahoma" w:hAnsi="Tahoma" w:cs="Tahoma"/>
          <w:sz w:val="24"/>
          <w:szCs w:val="24"/>
        </w:rPr>
        <w:t>cha solo existe el lote inicial</w:t>
      </w:r>
      <w:r w:rsidR="009301C4" w:rsidRPr="00EB7E69">
        <w:rPr>
          <w:rFonts w:ascii="Tahoma" w:hAnsi="Tahoma" w:cs="Tahoma"/>
          <w:sz w:val="24"/>
          <w:szCs w:val="24"/>
        </w:rPr>
        <w:t xml:space="preserve"> y</w:t>
      </w:r>
      <w:r w:rsidR="00F05983" w:rsidRPr="00EB7E69">
        <w:rPr>
          <w:rFonts w:ascii="Tahoma" w:hAnsi="Tahoma" w:cs="Tahoma"/>
          <w:sz w:val="24"/>
          <w:szCs w:val="24"/>
        </w:rPr>
        <w:t xml:space="preserve"> que según se aprecia en el folio de matrícula inmobiliaria No. 001-304895, que corresponde al lote, se abrieron las de los apartamentos.</w:t>
      </w:r>
      <w:r w:rsidR="00531653" w:rsidRPr="00EB7E69">
        <w:rPr>
          <w:rFonts w:ascii="Tahoma" w:hAnsi="Tahoma" w:cs="Tahoma"/>
          <w:sz w:val="24"/>
          <w:szCs w:val="24"/>
        </w:rPr>
        <w:t xml:space="preserve"> </w:t>
      </w:r>
    </w:p>
    <w:p w:rsidR="00531653" w:rsidRPr="00EB7E69" w:rsidRDefault="00531653" w:rsidP="00EB7E69">
      <w:pPr>
        <w:pStyle w:val="Textoindependiente"/>
        <w:spacing w:line="276" w:lineRule="auto"/>
        <w:rPr>
          <w:rFonts w:ascii="Tahoma" w:hAnsi="Tahoma" w:cs="Tahoma"/>
          <w:sz w:val="24"/>
          <w:szCs w:val="24"/>
        </w:rPr>
      </w:pPr>
    </w:p>
    <w:p w:rsidR="00531653" w:rsidRPr="00EB7E69" w:rsidRDefault="00531653" w:rsidP="00EB7E69">
      <w:pPr>
        <w:pStyle w:val="Textoindependiente"/>
        <w:spacing w:line="276" w:lineRule="auto"/>
        <w:rPr>
          <w:rFonts w:ascii="Tahoma" w:hAnsi="Tahoma" w:cs="Tahoma"/>
          <w:sz w:val="24"/>
          <w:szCs w:val="24"/>
        </w:rPr>
      </w:pPr>
      <w:r w:rsidRPr="00EB7E69">
        <w:rPr>
          <w:rFonts w:ascii="Tahoma" w:hAnsi="Tahoma" w:cs="Tahoma"/>
          <w:sz w:val="24"/>
          <w:szCs w:val="24"/>
        </w:rPr>
        <w:t>Por lo expuesto, y con la finalidad de constituir un nuevo reglamento de propiedad horizontal, una vez se haya aprobado la nueva construcción, rescilian el r</w:t>
      </w:r>
      <w:r w:rsidR="00F05983" w:rsidRPr="00EB7E69">
        <w:rPr>
          <w:rFonts w:ascii="Tahoma" w:hAnsi="Tahoma" w:cs="Tahoma"/>
          <w:sz w:val="24"/>
          <w:szCs w:val="24"/>
        </w:rPr>
        <w:t>ég</w:t>
      </w:r>
      <w:r w:rsidRPr="00EB7E69">
        <w:rPr>
          <w:rFonts w:ascii="Tahoma" w:hAnsi="Tahoma" w:cs="Tahoma"/>
          <w:sz w:val="24"/>
          <w:szCs w:val="24"/>
        </w:rPr>
        <w:t xml:space="preserve">imen de propiedad </w:t>
      </w:r>
      <w:r w:rsidR="00F05983" w:rsidRPr="00EB7E69">
        <w:rPr>
          <w:rFonts w:ascii="Tahoma" w:hAnsi="Tahoma" w:cs="Tahoma"/>
          <w:sz w:val="24"/>
          <w:szCs w:val="24"/>
        </w:rPr>
        <w:t>ho</w:t>
      </w:r>
      <w:r w:rsidRPr="00EB7E69">
        <w:rPr>
          <w:rFonts w:ascii="Tahoma" w:hAnsi="Tahoma" w:cs="Tahoma"/>
          <w:sz w:val="24"/>
          <w:szCs w:val="24"/>
        </w:rPr>
        <w:t>rizontal contenido en la escritura pública No. 465 del 9 de marzo de 1983, de la Notaría 12 de Medellín</w:t>
      </w:r>
      <w:r w:rsidR="00F05983" w:rsidRPr="00EB7E69">
        <w:rPr>
          <w:rFonts w:ascii="Tahoma" w:hAnsi="Tahoma" w:cs="Tahoma"/>
          <w:sz w:val="24"/>
          <w:szCs w:val="24"/>
        </w:rPr>
        <w:t>. Además, cancelan las matrículas inmobiliarias Nos. 001-304896 y 304897, correspondientes a los apartamentos, de manera que todos los propietarios quedan en comunidad sobre el lote de terreno con matrícula inmobiliaria No. 001-304895</w:t>
      </w:r>
    </w:p>
    <w:p w:rsidR="00852AB9" w:rsidRPr="00EB7E69" w:rsidRDefault="00852AB9" w:rsidP="00EB7E69">
      <w:pPr>
        <w:pStyle w:val="Textoindependiente"/>
        <w:spacing w:line="276" w:lineRule="auto"/>
        <w:rPr>
          <w:rFonts w:ascii="Tahoma" w:hAnsi="Tahoma" w:cs="Tahoma"/>
          <w:sz w:val="24"/>
          <w:szCs w:val="24"/>
        </w:rPr>
      </w:pPr>
    </w:p>
    <w:p w:rsidR="00F05983" w:rsidRPr="00EB7E69" w:rsidRDefault="00F05983" w:rsidP="00EB7E69">
      <w:pPr>
        <w:pStyle w:val="Textoindependiente"/>
        <w:spacing w:line="276" w:lineRule="auto"/>
        <w:rPr>
          <w:rFonts w:ascii="Tahoma" w:hAnsi="Tahoma" w:cs="Tahoma"/>
          <w:sz w:val="24"/>
          <w:szCs w:val="24"/>
        </w:rPr>
      </w:pPr>
      <w:r w:rsidRPr="00EB7E69">
        <w:rPr>
          <w:rFonts w:ascii="Tahoma" w:hAnsi="Tahoma" w:cs="Tahoma"/>
          <w:sz w:val="24"/>
          <w:szCs w:val="24"/>
        </w:rPr>
        <w:t>5.4 Constancia de inscripción en los folios de matrícula inmobiliaria de los apartamentos y del lote a que se refiere la escritura que se acaba de describir, de los actos que contiene</w:t>
      </w:r>
      <w:r w:rsidRPr="00EB7E69">
        <w:rPr>
          <w:rStyle w:val="Refdenotaalpie"/>
          <w:rFonts w:ascii="Tahoma" w:hAnsi="Tahoma" w:cs="Tahoma"/>
          <w:sz w:val="24"/>
          <w:szCs w:val="24"/>
        </w:rPr>
        <w:footnoteReference w:id="5"/>
      </w:r>
      <w:r w:rsidR="009301C4" w:rsidRPr="00EB7E69">
        <w:rPr>
          <w:rFonts w:ascii="Tahoma" w:hAnsi="Tahoma" w:cs="Tahoma"/>
          <w:sz w:val="24"/>
          <w:szCs w:val="24"/>
        </w:rPr>
        <w:t>.</w:t>
      </w:r>
    </w:p>
    <w:p w:rsidR="009301C4" w:rsidRPr="00EB7E69" w:rsidRDefault="009301C4" w:rsidP="00EB7E69">
      <w:pPr>
        <w:pStyle w:val="Textoindependiente"/>
        <w:spacing w:line="276" w:lineRule="auto"/>
        <w:rPr>
          <w:rFonts w:ascii="Tahoma" w:hAnsi="Tahoma" w:cs="Tahoma"/>
          <w:sz w:val="24"/>
          <w:szCs w:val="24"/>
        </w:rPr>
      </w:pPr>
    </w:p>
    <w:p w:rsidR="009301C4" w:rsidRPr="00EB7E69" w:rsidRDefault="009301C4" w:rsidP="00EB7E69">
      <w:pPr>
        <w:pStyle w:val="Textoindependiente"/>
        <w:spacing w:line="276" w:lineRule="auto"/>
        <w:rPr>
          <w:rFonts w:ascii="Tahoma" w:hAnsi="Tahoma" w:cs="Tahoma"/>
          <w:sz w:val="24"/>
          <w:szCs w:val="24"/>
        </w:rPr>
      </w:pPr>
      <w:r w:rsidRPr="00EB7E69">
        <w:rPr>
          <w:rFonts w:ascii="Tahoma" w:hAnsi="Tahoma" w:cs="Tahoma"/>
          <w:sz w:val="24"/>
          <w:szCs w:val="24"/>
        </w:rPr>
        <w:t>A los documentos descritos se les concede m</w:t>
      </w:r>
      <w:r w:rsidR="00A57BF6" w:rsidRPr="00EB7E69">
        <w:rPr>
          <w:rFonts w:ascii="Tahoma" w:hAnsi="Tahoma" w:cs="Tahoma"/>
          <w:sz w:val="24"/>
          <w:szCs w:val="24"/>
        </w:rPr>
        <w:t>érito demostrativo, pues algunos de ellos fueron aportados en original y otros en copia auténtica, de acuerdo con los artículos 252 a 2</w:t>
      </w:r>
      <w:r w:rsidR="001A5F0C" w:rsidRPr="00EB7E69">
        <w:rPr>
          <w:rFonts w:ascii="Tahoma" w:hAnsi="Tahoma" w:cs="Tahoma"/>
          <w:sz w:val="24"/>
          <w:szCs w:val="24"/>
        </w:rPr>
        <w:t>5</w:t>
      </w:r>
      <w:r w:rsidR="00A57BF6" w:rsidRPr="00EB7E69">
        <w:rPr>
          <w:rFonts w:ascii="Tahoma" w:hAnsi="Tahoma" w:cs="Tahoma"/>
          <w:sz w:val="24"/>
          <w:szCs w:val="24"/>
        </w:rPr>
        <w:t>4 del Código de Procedimiento Civil.</w:t>
      </w:r>
    </w:p>
    <w:p w:rsidR="00A57BF6" w:rsidRPr="00EB7E69" w:rsidRDefault="00A57BF6" w:rsidP="00EB7E69">
      <w:pPr>
        <w:pStyle w:val="Textoindependiente"/>
        <w:spacing w:line="276" w:lineRule="auto"/>
        <w:rPr>
          <w:rFonts w:ascii="Tahoma" w:hAnsi="Tahoma" w:cs="Tahoma"/>
          <w:sz w:val="24"/>
          <w:szCs w:val="24"/>
        </w:rPr>
      </w:pPr>
    </w:p>
    <w:p w:rsidR="00A57BF6" w:rsidRPr="00EB7E69" w:rsidRDefault="00A57BF6" w:rsidP="00EB7E69">
      <w:pPr>
        <w:spacing w:line="276" w:lineRule="auto"/>
        <w:jc w:val="both"/>
        <w:rPr>
          <w:rFonts w:ascii="Tahoma" w:hAnsi="Tahoma" w:cs="Tahoma"/>
          <w:sz w:val="24"/>
          <w:szCs w:val="24"/>
        </w:rPr>
      </w:pPr>
      <w:r w:rsidRPr="00EB7E69">
        <w:rPr>
          <w:rFonts w:ascii="Tahoma" w:hAnsi="Tahoma" w:cs="Tahoma"/>
          <w:sz w:val="24"/>
          <w:szCs w:val="24"/>
        </w:rPr>
        <w:t>También a los que se aportaron en fotocopia inauténtica, pues no se ha controvertido o desconocido el origen de alguno de ellos, siguiendo precedente reciente de la Corte Suprema de Justicia, en el que dijo:</w:t>
      </w:r>
    </w:p>
    <w:p w:rsidR="00A57BF6" w:rsidRPr="00EB7E69" w:rsidRDefault="00A57BF6" w:rsidP="00EB7E69">
      <w:pPr>
        <w:spacing w:line="276" w:lineRule="auto"/>
        <w:jc w:val="both"/>
        <w:rPr>
          <w:rFonts w:ascii="Tahoma" w:hAnsi="Tahoma" w:cs="Tahoma"/>
          <w:i/>
          <w:sz w:val="24"/>
          <w:szCs w:val="24"/>
        </w:rPr>
      </w:pPr>
    </w:p>
    <w:p w:rsidR="00A57BF6" w:rsidRPr="00EB7E69" w:rsidRDefault="00A57BF6" w:rsidP="00EB7E69">
      <w:pPr>
        <w:ind w:left="426" w:right="420"/>
        <w:jc w:val="both"/>
        <w:rPr>
          <w:rFonts w:ascii="Tahoma" w:hAnsi="Tahoma" w:cs="Tahoma"/>
          <w:i/>
          <w:sz w:val="22"/>
          <w:szCs w:val="24"/>
        </w:rPr>
      </w:pPr>
      <w:r w:rsidRPr="00EB7E69">
        <w:rPr>
          <w:rFonts w:ascii="Tahoma" w:hAnsi="Tahoma" w:cs="Tahoma"/>
          <w:i/>
          <w:sz w:val="22"/>
          <w:szCs w:val="24"/>
        </w:rPr>
        <w:t>“No obstante, la aportación de reproducciones mecánicas o fotostáticas no podía realizarse de cualquier modo, por cuanto el canon 254 del Estatuto Procesal Civil, condicionaba su importancia denotativa, entre otros casos, “(…) cuando hayan sido autorizadas por notario, director de oficina administrativa o de policía, o secretario de oficina judicial, previa orden del juez, donde se encuentre el original o una copia autenticada (…)”…</w:t>
      </w:r>
    </w:p>
    <w:p w:rsidR="00A57BF6" w:rsidRPr="00EB7E69" w:rsidRDefault="00A57BF6" w:rsidP="00EB7E69">
      <w:pPr>
        <w:ind w:left="426" w:right="420" w:firstLine="709"/>
        <w:jc w:val="both"/>
        <w:rPr>
          <w:rFonts w:ascii="Tahoma" w:hAnsi="Tahoma" w:cs="Tahoma"/>
          <w:i/>
          <w:sz w:val="22"/>
          <w:szCs w:val="24"/>
        </w:rPr>
      </w:pPr>
    </w:p>
    <w:p w:rsidR="00A57BF6" w:rsidRPr="00EB7E69" w:rsidRDefault="00A57BF6" w:rsidP="00EB7E69">
      <w:pPr>
        <w:ind w:left="426" w:right="420"/>
        <w:jc w:val="both"/>
        <w:rPr>
          <w:rFonts w:ascii="Tahoma" w:hAnsi="Tahoma" w:cs="Tahoma"/>
          <w:i/>
          <w:sz w:val="22"/>
          <w:szCs w:val="24"/>
        </w:rPr>
      </w:pPr>
      <w:r w:rsidRPr="00EB7E69">
        <w:rPr>
          <w:rFonts w:ascii="Tahoma" w:hAnsi="Tahoma" w:cs="Tahoma"/>
          <w:i/>
          <w:sz w:val="22"/>
          <w:szCs w:val="24"/>
        </w:rPr>
        <w:t>Con todo, hoy día, la anotada regla probatoria, reafirmada por la jurisprudencia de esta Corte</w:t>
      </w:r>
      <w:r w:rsidRPr="00EB7E69">
        <w:rPr>
          <w:rStyle w:val="Refdenotaalpie"/>
          <w:rFonts w:ascii="Tahoma" w:hAnsi="Tahoma" w:cs="Tahoma"/>
          <w:i/>
          <w:iCs/>
          <w:sz w:val="22"/>
          <w:szCs w:val="24"/>
        </w:rPr>
        <w:footnoteReference w:id="6"/>
      </w:r>
      <w:r w:rsidRPr="00EB7E69">
        <w:rPr>
          <w:rFonts w:ascii="Tahoma" w:hAnsi="Tahoma" w:cs="Tahoma"/>
          <w:i/>
          <w:sz w:val="22"/>
          <w:szCs w:val="24"/>
        </w:rPr>
        <w:t>, debe comprenderse en contextos procesales donde haya duda en el origen o en el contenido del instrumento escrito de que se trate, pero no cuando la conducta de los sujetos en contienda, respecto de los duplicados informales de documentos públicos, despejan cualquier incógnita acerca de su creación o significado…</w:t>
      </w:r>
    </w:p>
    <w:p w:rsidR="00A57BF6" w:rsidRPr="00EB7E69" w:rsidRDefault="00A57BF6" w:rsidP="00EB7E69">
      <w:pPr>
        <w:ind w:left="426" w:right="420" w:firstLine="709"/>
        <w:jc w:val="both"/>
        <w:rPr>
          <w:rFonts w:ascii="Tahoma" w:hAnsi="Tahoma" w:cs="Tahoma"/>
          <w:i/>
          <w:sz w:val="22"/>
          <w:szCs w:val="24"/>
        </w:rPr>
      </w:pPr>
    </w:p>
    <w:p w:rsidR="00A57BF6" w:rsidRPr="00EB7E69" w:rsidRDefault="00A57BF6" w:rsidP="00EB7E69">
      <w:pPr>
        <w:ind w:left="426" w:right="420"/>
        <w:jc w:val="both"/>
        <w:rPr>
          <w:rFonts w:ascii="Tahoma" w:hAnsi="Tahoma" w:cs="Tahoma"/>
          <w:i/>
          <w:sz w:val="22"/>
          <w:szCs w:val="24"/>
        </w:rPr>
      </w:pPr>
      <w:r w:rsidRPr="00EB7E69">
        <w:rPr>
          <w:rFonts w:ascii="Tahoma" w:hAnsi="Tahoma" w:cs="Tahoma"/>
          <w:i/>
          <w:sz w:val="22"/>
          <w:szCs w:val="24"/>
        </w:rPr>
        <w:t>El cumplimiento de las formalidades tendientes a hallar la autenticidad, resulta esencial frente a las copias simples, siempre que exista incertidumbre sobre el autor o procedencia del documento, sea público o privado, y deja de serlo en sentido contrario, esto es, cuando no se controviertan; pues lo realmente importante es confirmar la autenticidad de éste, cual ocurre, según el tenor del inciso 1º del artículo 252 del Código de Procedimiento Civil, cuando hay “(…) certeza sobre la persona que lo ha elaborado, manuscrito o firmado (…)”.</w:t>
      </w:r>
      <w:r w:rsidRPr="00EB7E69">
        <w:rPr>
          <w:rStyle w:val="Refdenotaalpie"/>
          <w:rFonts w:ascii="Tahoma" w:hAnsi="Tahoma" w:cs="Tahoma"/>
          <w:i/>
          <w:sz w:val="22"/>
          <w:szCs w:val="24"/>
        </w:rPr>
        <w:footnoteReference w:id="7"/>
      </w:r>
    </w:p>
    <w:p w:rsidR="00A57BF6" w:rsidRPr="00EB7E69" w:rsidRDefault="00A57BF6" w:rsidP="00EB7E69">
      <w:pPr>
        <w:spacing w:line="276" w:lineRule="auto"/>
        <w:jc w:val="both"/>
        <w:rPr>
          <w:rFonts w:ascii="Tahoma" w:hAnsi="Tahoma" w:cs="Tahoma"/>
          <w:i/>
          <w:sz w:val="24"/>
          <w:szCs w:val="24"/>
        </w:rPr>
      </w:pPr>
    </w:p>
    <w:p w:rsidR="00F26598" w:rsidRPr="00EB7E69" w:rsidRDefault="00D24C01" w:rsidP="00EB7E69">
      <w:pPr>
        <w:pStyle w:val="Textoindependiente"/>
        <w:spacing w:line="276" w:lineRule="auto"/>
        <w:rPr>
          <w:rFonts w:ascii="Tahoma" w:hAnsi="Tahoma" w:cs="Tahoma"/>
          <w:sz w:val="24"/>
          <w:szCs w:val="24"/>
        </w:rPr>
      </w:pPr>
      <w:r w:rsidRPr="00EB7E69">
        <w:rPr>
          <w:rFonts w:ascii="Tahoma" w:hAnsi="Tahoma" w:cs="Tahoma"/>
          <w:sz w:val="24"/>
          <w:szCs w:val="24"/>
        </w:rPr>
        <w:lastRenderedPageBreak/>
        <w:t xml:space="preserve">6. Como ya se indicara, pretenden los demandantes se declare que la sociedad demandada incumplió parcialmente las obligaciones de la promesa, </w:t>
      </w:r>
      <w:r w:rsidR="00F26598" w:rsidRPr="00EB7E69">
        <w:rPr>
          <w:rFonts w:ascii="Tahoma" w:hAnsi="Tahoma" w:cs="Tahoma"/>
          <w:sz w:val="24"/>
          <w:szCs w:val="24"/>
        </w:rPr>
        <w:t>al no haber entregado efectivamente lo prometido tal y como fue acordado, ni a los promitentes compradores, ni a quienes estos designaron</w:t>
      </w:r>
      <w:r w:rsidR="004337D5" w:rsidRPr="00EB7E69">
        <w:rPr>
          <w:rFonts w:ascii="Tahoma" w:hAnsi="Tahoma" w:cs="Tahoma"/>
          <w:sz w:val="24"/>
          <w:szCs w:val="24"/>
        </w:rPr>
        <w:t xml:space="preserve">, porque el diseño para el proyecto de construcción “no cabía” en el lote adquirido, y por ende, </w:t>
      </w:r>
      <w:r w:rsidR="00F26598" w:rsidRPr="00EB7E69">
        <w:rPr>
          <w:rFonts w:ascii="Tahoma" w:hAnsi="Tahoma" w:cs="Tahoma"/>
          <w:sz w:val="24"/>
          <w:szCs w:val="24"/>
        </w:rPr>
        <w:t>se condene a pagarles los perjuicios causa</w:t>
      </w:r>
      <w:r w:rsidR="004337D5" w:rsidRPr="00EB7E69">
        <w:rPr>
          <w:rFonts w:ascii="Tahoma" w:hAnsi="Tahoma" w:cs="Tahoma"/>
          <w:sz w:val="24"/>
          <w:szCs w:val="24"/>
        </w:rPr>
        <w:t>dos</w:t>
      </w:r>
      <w:r w:rsidR="00F26598" w:rsidRPr="00EB7E69">
        <w:rPr>
          <w:rFonts w:ascii="Tahoma" w:hAnsi="Tahoma" w:cs="Tahoma"/>
          <w:sz w:val="24"/>
          <w:szCs w:val="24"/>
        </w:rPr>
        <w:t>.</w:t>
      </w:r>
    </w:p>
    <w:p w:rsidR="0009038C" w:rsidRPr="00EB7E69" w:rsidRDefault="0009038C" w:rsidP="00EB7E69">
      <w:pPr>
        <w:pStyle w:val="Textoindependiente"/>
        <w:spacing w:line="276" w:lineRule="auto"/>
        <w:rPr>
          <w:rFonts w:ascii="Tahoma" w:hAnsi="Tahoma" w:cs="Tahoma"/>
          <w:sz w:val="24"/>
          <w:szCs w:val="24"/>
        </w:rPr>
      </w:pPr>
    </w:p>
    <w:p w:rsidR="0039449B" w:rsidRPr="00EB7E69" w:rsidRDefault="00D24C01" w:rsidP="00EB7E69">
      <w:pPr>
        <w:pStyle w:val="Textoindependiente"/>
        <w:spacing w:line="276" w:lineRule="auto"/>
        <w:rPr>
          <w:rFonts w:ascii="Tahoma" w:hAnsi="Tahoma" w:cs="Tahoma"/>
          <w:sz w:val="24"/>
          <w:szCs w:val="24"/>
        </w:rPr>
      </w:pPr>
      <w:r w:rsidRPr="00EB7E69">
        <w:rPr>
          <w:rFonts w:ascii="Tahoma" w:hAnsi="Tahoma" w:cs="Tahoma"/>
          <w:sz w:val="24"/>
          <w:szCs w:val="24"/>
        </w:rPr>
        <w:t>7</w:t>
      </w:r>
      <w:r w:rsidR="0009038C" w:rsidRPr="00EB7E69">
        <w:rPr>
          <w:rFonts w:ascii="Tahoma" w:hAnsi="Tahoma" w:cs="Tahoma"/>
          <w:sz w:val="24"/>
          <w:szCs w:val="24"/>
        </w:rPr>
        <w:t>. Para definir la cuestión, e</w:t>
      </w:r>
      <w:r w:rsidR="0039449B" w:rsidRPr="00EB7E69">
        <w:rPr>
          <w:rFonts w:ascii="Tahoma" w:hAnsi="Tahoma" w:cs="Tahoma"/>
          <w:sz w:val="24"/>
          <w:szCs w:val="24"/>
        </w:rPr>
        <w:t xml:space="preserve">s necesario precisar que son diferentes las obligaciones que surgen de la promesa de celebrar un contrato y aquellas que nacen de un contrato efectivamente realizado.  </w:t>
      </w:r>
    </w:p>
    <w:p w:rsidR="0009038C" w:rsidRPr="00EB7E69" w:rsidRDefault="0009038C" w:rsidP="00EB7E69">
      <w:pPr>
        <w:pStyle w:val="Textoindependiente"/>
        <w:spacing w:line="276" w:lineRule="auto"/>
        <w:rPr>
          <w:rFonts w:ascii="Tahoma" w:hAnsi="Tahoma" w:cs="Tahoma"/>
          <w:sz w:val="24"/>
          <w:szCs w:val="24"/>
        </w:rPr>
      </w:pPr>
    </w:p>
    <w:p w:rsidR="00F91A67" w:rsidRPr="00EB7E69" w:rsidRDefault="0039449B" w:rsidP="00EB7E69">
      <w:pPr>
        <w:pStyle w:val="Textoindependiente"/>
        <w:spacing w:line="276" w:lineRule="auto"/>
        <w:rPr>
          <w:rFonts w:ascii="Tahoma" w:hAnsi="Tahoma" w:cs="Tahoma"/>
          <w:sz w:val="24"/>
          <w:szCs w:val="24"/>
        </w:rPr>
      </w:pPr>
      <w:r w:rsidRPr="00EB7E69">
        <w:rPr>
          <w:rFonts w:ascii="Tahoma" w:hAnsi="Tahoma" w:cs="Tahoma"/>
          <w:sz w:val="24"/>
          <w:szCs w:val="24"/>
        </w:rPr>
        <w:t>Tal afirmación se trae a colación porque como lo enseñan l</w:t>
      </w:r>
      <w:r w:rsidR="00D24C01" w:rsidRPr="00EB7E69">
        <w:rPr>
          <w:rFonts w:ascii="Tahoma" w:hAnsi="Tahoma" w:cs="Tahoma"/>
          <w:sz w:val="24"/>
          <w:szCs w:val="24"/>
        </w:rPr>
        <w:t xml:space="preserve">os documentos atrás descritos, </w:t>
      </w:r>
      <w:r w:rsidR="0009038C" w:rsidRPr="00EB7E69">
        <w:rPr>
          <w:rFonts w:ascii="Tahoma" w:hAnsi="Tahoma" w:cs="Tahoma"/>
          <w:sz w:val="24"/>
          <w:szCs w:val="24"/>
        </w:rPr>
        <w:t xml:space="preserve">el bien inmueble que prometió vender la sociedad demandada a los actores se encuentra en cabeza de otras </w:t>
      </w:r>
      <w:r w:rsidR="00F91A67" w:rsidRPr="00EB7E69">
        <w:rPr>
          <w:rFonts w:ascii="Tahoma" w:hAnsi="Tahoma" w:cs="Tahoma"/>
          <w:sz w:val="24"/>
          <w:szCs w:val="24"/>
        </w:rPr>
        <w:t xml:space="preserve">personas, pues las partes acordaron que a nombre de estas se hiciera la respectiva </w:t>
      </w:r>
      <w:r w:rsidR="00D24C01" w:rsidRPr="00EB7E69">
        <w:rPr>
          <w:rFonts w:ascii="Tahoma" w:hAnsi="Tahoma" w:cs="Tahoma"/>
          <w:sz w:val="24"/>
          <w:szCs w:val="24"/>
        </w:rPr>
        <w:t>escritura pública</w:t>
      </w:r>
      <w:r w:rsidR="00F91A67" w:rsidRPr="00EB7E69">
        <w:rPr>
          <w:rFonts w:ascii="Tahoma" w:hAnsi="Tahoma" w:cs="Tahoma"/>
          <w:sz w:val="24"/>
          <w:szCs w:val="24"/>
        </w:rPr>
        <w:t>, hecho que no se ha controvertido, del que dan cuenta los hechos cuarto, quinto y décimo</w:t>
      </w:r>
      <w:r w:rsidR="00D24C01" w:rsidRPr="00EB7E69">
        <w:rPr>
          <w:rFonts w:ascii="Tahoma" w:hAnsi="Tahoma" w:cs="Tahoma"/>
          <w:sz w:val="24"/>
          <w:szCs w:val="24"/>
        </w:rPr>
        <w:t xml:space="preserve"> </w:t>
      </w:r>
      <w:r w:rsidR="00F91A67" w:rsidRPr="00EB7E69">
        <w:rPr>
          <w:rFonts w:ascii="Tahoma" w:hAnsi="Tahoma" w:cs="Tahoma"/>
          <w:sz w:val="24"/>
          <w:szCs w:val="24"/>
        </w:rPr>
        <w:t>de la demanda y que la sociedad accionada aceptó al respo</w:t>
      </w:r>
      <w:r w:rsidR="001A5F0C" w:rsidRPr="00EB7E69">
        <w:rPr>
          <w:rFonts w:ascii="Tahoma" w:hAnsi="Tahoma" w:cs="Tahoma"/>
          <w:sz w:val="24"/>
          <w:szCs w:val="24"/>
        </w:rPr>
        <w:t xml:space="preserve">nder el primero y el último de ellos </w:t>
      </w:r>
      <w:r w:rsidR="00F91A67" w:rsidRPr="00EB7E69">
        <w:rPr>
          <w:rFonts w:ascii="Tahoma" w:hAnsi="Tahoma" w:cs="Tahoma"/>
          <w:sz w:val="24"/>
          <w:szCs w:val="24"/>
        </w:rPr>
        <w:t>y lo ratificó al responder el octavo.</w:t>
      </w:r>
    </w:p>
    <w:p w:rsidR="00F91A67" w:rsidRPr="00EB7E69" w:rsidRDefault="00F91A67" w:rsidP="00EB7E69">
      <w:pPr>
        <w:pStyle w:val="Textoindependiente"/>
        <w:spacing w:line="276" w:lineRule="auto"/>
        <w:rPr>
          <w:rFonts w:ascii="Tahoma" w:hAnsi="Tahoma" w:cs="Tahoma"/>
          <w:sz w:val="24"/>
          <w:szCs w:val="24"/>
        </w:rPr>
      </w:pPr>
    </w:p>
    <w:p w:rsidR="0009038C" w:rsidRPr="00EB7E69" w:rsidRDefault="0009038C"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De esa manera las cosas, puede </w:t>
      </w:r>
      <w:r w:rsidR="00877253" w:rsidRPr="00EB7E69">
        <w:rPr>
          <w:rFonts w:ascii="Tahoma" w:hAnsi="Tahoma" w:cs="Tahoma"/>
          <w:sz w:val="24"/>
          <w:szCs w:val="24"/>
        </w:rPr>
        <w:t>afirmarse con toda certeza q</w:t>
      </w:r>
      <w:r w:rsidRPr="00EB7E69">
        <w:rPr>
          <w:rFonts w:ascii="Tahoma" w:hAnsi="Tahoma" w:cs="Tahoma"/>
          <w:sz w:val="24"/>
          <w:szCs w:val="24"/>
        </w:rPr>
        <w:t>ue se perfeccionó el contrato prometido en relación con ese inmueble, pues la sociedad demandada</w:t>
      </w:r>
      <w:r w:rsidR="00D24C01" w:rsidRPr="00EB7E69">
        <w:rPr>
          <w:rFonts w:ascii="Tahoma" w:hAnsi="Tahoma" w:cs="Tahoma"/>
          <w:sz w:val="24"/>
          <w:szCs w:val="24"/>
        </w:rPr>
        <w:t>, promitente vendedora,</w:t>
      </w:r>
      <w:r w:rsidRPr="00EB7E69">
        <w:rPr>
          <w:rFonts w:ascii="Tahoma" w:hAnsi="Tahoma" w:cs="Tahoma"/>
          <w:sz w:val="24"/>
          <w:szCs w:val="24"/>
        </w:rPr>
        <w:t xml:space="preserve"> hizo la tradición del derecho de dominio a las personas que designaron los promitentes compradores y por ende, respecto de ese</w:t>
      </w:r>
      <w:r w:rsidR="00D24C01" w:rsidRPr="00EB7E69">
        <w:rPr>
          <w:rFonts w:ascii="Tahoma" w:hAnsi="Tahoma" w:cs="Tahoma"/>
          <w:sz w:val="24"/>
          <w:szCs w:val="24"/>
        </w:rPr>
        <w:t xml:space="preserve"> bien, </w:t>
      </w:r>
      <w:r w:rsidRPr="00EB7E69">
        <w:rPr>
          <w:rFonts w:ascii="Tahoma" w:hAnsi="Tahoma" w:cs="Tahoma"/>
          <w:sz w:val="24"/>
          <w:szCs w:val="24"/>
        </w:rPr>
        <w:t>nada sería posible demandar con fundamento en la promesa de compraventa, dado su carácter preparatorio y efímero.</w:t>
      </w:r>
    </w:p>
    <w:p w:rsidR="0009038C" w:rsidRPr="00EB7E69" w:rsidRDefault="0009038C" w:rsidP="00EB7E69">
      <w:pPr>
        <w:pStyle w:val="Textoindependiente"/>
        <w:spacing w:line="276" w:lineRule="auto"/>
        <w:rPr>
          <w:rFonts w:ascii="Tahoma" w:hAnsi="Tahoma" w:cs="Tahoma"/>
          <w:sz w:val="24"/>
          <w:szCs w:val="24"/>
        </w:rPr>
      </w:pPr>
    </w:p>
    <w:p w:rsidR="0039449B" w:rsidRPr="00EB7E69" w:rsidRDefault="0039449B"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Así lo ha dicho la Corte Suprema de Justicia:  </w:t>
      </w:r>
    </w:p>
    <w:p w:rsidR="00AB6ABE" w:rsidRPr="00EB7E69" w:rsidRDefault="00AB6ABE" w:rsidP="00EB7E69">
      <w:pPr>
        <w:pStyle w:val="Textoindependiente"/>
        <w:spacing w:line="276" w:lineRule="auto"/>
        <w:rPr>
          <w:rFonts w:ascii="Tahoma" w:hAnsi="Tahoma" w:cs="Tahoma"/>
          <w:sz w:val="24"/>
          <w:szCs w:val="24"/>
        </w:rPr>
      </w:pPr>
    </w:p>
    <w:p w:rsidR="00AB6ABE" w:rsidRPr="00EB7E69" w:rsidRDefault="00AB6ABE" w:rsidP="00EB7E69">
      <w:pPr>
        <w:pStyle w:val="Textoindependiente"/>
        <w:ind w:left="426" w:right="420"/>
        <w:rPr>
          <w:rFonts w:ascii="Tahoma" w:hAnsi="Tahoma" w:cs="Tahoma"/>
          <w:i/>
          <w:iCs/>
          <w:sz w:val="22"/>
          <w:szCs w:val="24"/>
        </w:rPr>
      </w:pPr>
      <w:r w:rsidRPr="00EB7E69">
        <w:rPr>
          <w:rFonts w:ascii="Tahoma" w:hAnsi="Tahoma" w:cs="Tahoma"/>
          <w:i/>
          <w:iCs/>
          <w:sz w:val="22"/>
          <w:szCs w:val="24"/>
          <w:shd w:val="clear" w:color="auto" w:fill="FFFFFF"/>
        </w:rPr>
        <w:t xml:space="preserve">“El objeto </w:t>
      </w:r>
      <w:r w:rsidR="57A04664" w:rsidRPr="00EB7E69">
        <w:rPr>
          <w:rFonts w:ascii="Tahoma" w:hAnsi="Tahoma" w:cs="Tahoma"/>
          <w:i/>
          <w:iCs/>
          <w:sz w:val="22"/>
          <w:szCs w:val="24"/>
          <w:shd w:val="clear" w:color="auto" w:fill="FFFFFF"/>
        </w:rPr>
        <w:t>de</w:t>
      </w:r>
      <w:r w:rsidR="003A2BE3">
        <w:rPr>
          <w:rFonts w:ascii="Tahoma" w:hAnsi="Tahoma" w:cs="Tahoma"/>
          <w:i/>
          <w:iCs/>
          <w:sz w:val="22"/>
          <w:szCs w:val="24"/>
          <w:shd w:val="clear" w:color="auto" w:fill="FFFFFF"/>
        </w:rPr>
        <w:t xml:space="preserve"> </w:t>
      </w:r>
      <w:r w:rsidR="57A04664" w:rsidRPr="00EB7E69">
        <w:rPr>
          <w:rFonts w:ascii="Tahoma" w:hAnsi="Tahoma" w:cs="Tahoma"/>
          <w:i/>
          <w:iCs/>
          <w:sz w:val="22"/>
          <w:szCs w:val="24"/>
          <w:shd w:val="clear" w:color="auto" w:fill="FFFFFF"/>
        </w:rPr>
        <w:t>la</w:t>
      </w:r>
      <w:r w:rsidR="003A2BE3">
        <w:rPr>
          <w:rFonts w:ascii="Tahoma" w:hAnsi="Tahoma" w:cs="Tahoma"/>
          <w:i/>
          <w:iCs/>
          <w:sz w:val="22"/>
          <w:szCs w:val="24"/>
          <w:shd w:val="clear" w:color="auto" w:fill="FFFFFF"/>
        </w:rPr>
        <w:t xml:space="preserve"> </w:t>
      </w:r>
      <w:r w:rsidRPr="00EB7E69">
        <w:rPr>
          <w:rFonts w:ascii="Tahoma" w:hAnsi="Tahoma" w:cs="Tahoma"/>
          <w:i/>
          <w:iCs/>
          <w:sz w:val="22"/>
          <w:szCs w:val="24"/>
          <w:shd w:val="clear" w:color="auto" w:fill="FFFFFF"/>
        </w:rPr>
        <w:t>promesa -según lo tiene establecido la jurisprudencia- es la</w:t>
      </w:r>
      <w:r w:rsidR="003A2BE3">
        <w:rPr>
          <w:rFonts w:ascii="Tahoma" w:hAnsi="Tahoma" w:cs="Tahoma"/>
          <w:i/>
          <w:iCs/>
          <w:sz w:val="22"/>
          <w:szCs w:val="24"/>
          <w:shd w:val="clear" w:color="auto" w:fill="FFFFFF"/>
        </w:rPr>
        <w:t xml:space="preserve"> conclusión </w:t>
      </w:r>
      <w:r w:rsidRPr="00EB7E69">
        <w:rPr>
          <w:rFonts w:ascii="Tahoma" w:hAnsi="Tahoma" w:cs="Tahoma"/>
          <w:i/>
          <w:iCs/>
          <w:sz w:val="22"/>
          <w:szCs w:val="24"/>
          <w:shd w:val="clear" w:color="auto" w:fill="FFFFFF"/>
        </w:rPr>
        <w:t>del</w:t>
      </w:r>
      <w:r w:rsidR="003A2BE3">
        <w:rPr>
          <w:rFonts w:ascii="Tahoma" w:hAnsi="Tahoma" w:cs="Tahoma"/>
          <w:i/>
          <w:iCs/>
          <w:sz w:val="22"/>
          <w:szCs w:val="24"/>
          <w:shd w:val="clear" w:color="auto" w:fill="FFFFFF"/>
        </w:rPr>
        <w:t xml:space="preserve"> </w:t>
      </w:r>
      <w:r w:rsidRPr="00EB7E69">
        <w:rPr>
          <w:rFonts w:ascii="Tahoma" w:hAnsi="Tahoma" w:cs="Tahoma"/>
          <w:i/>
          <w:iCs/>
          <w:sz w:val="22"/>
          <w:szCs w:val="24"/>
          <w:shd w:val="clear" w:color="auto" w:fill="FFFFFF"/>
        </w:rPr>
        <w:t>contrato</w:t>
      </w:r>
      <w:r w:rsidR="003A2BE3">
        <w:rPr>
          <w:rFonts w:ascii="Tahoma" w:hAnsi="Tahoma" w:cs="Tahoma"/>
          <w:i/>
          <w:iCs/>
          <w:sz w:val="22"/>
          <w:szCs w:val="24"/>
          <w:shd w:val="clear" w:color="auto" w:fill="FFFFFF"/>
        </w:rPr>
        <w:t xml:space="preserve"> </w:t>
      </w:r>
      <w:r w:rsidRPr="00EB7E69">
        <w:rPr>
          <w:rFonts w:ascii="Tahoma" w:hAnsi="Tahoma" w:cs="Tahoma"/>
          <w:i/>
          <w:iCs/>
          <w:sz w:val="22"/>
          <w:szCs w:val="24"/>
          <w:shd w:val="clear" w:color="auto" w:fill="FFFFFF"/>
        </w:rPr>
        <w:t>posterior. De ahí que “siendo el contrato de promesa un instrumento o contrato preparatorio de un negocio jurídico diferente, tiene un carácter transitorio o temporal, característica esta que hace indispensable, igualmente, la determinación o especificación en forma completa e inequívoca del contrato prometido, individualizándolo en todas sus partes por los elementos que lo integran”. (Sentencia de 14 de julio de 1998. Exp.: 4724)</w:t>
      </w:r>
      <w:r w:rsidRPr="00EB7E69">
        <w:rPr>
          <w:rFonts w:ascii="Tahoma" w:hAnsi="Tahoma" w:cs="Tahoma"/>
          <w:i/>
          <w:sz w:val="22"/>
          <w:szCs w:val="24"/>
        </w:rPr>
        <w:br/>
      </w:r>
      <w:r w:rsidRPr="00EB7E69">
        <w:rPr>
          <w:rFonts w:ascii="Tahoma" w:hAnsi="Tahoma" w:cs="Tahoma"/>
          <w:i/>
          <w:sz w:val="22"/>
          <w:szCs w:val="24"/>
        </w:rPr>
        <w:br/>
      </w:r>
      <w:r w:rsidRPr="00EB7E69">
        <w:rPr>
          <w:rFonts w:ascii="Tahoma" w:hAnsi="Tahoma" w:cs="Tahoma"/>
          <w:i/>
          <w:iCs/>
          <w:sz w:val="22"/>
          <w:szCs w:val="24"/>
          <w:shd w:val="clear" w:color="auto" w:fill="FFFFFF"/>
        </w:rPr>
        <w:t>“La promesa de celebrar un contrato –en términos de ALESSANDRI– puede definirse diciendo que es aquella convención por la cual los contratantes se obligan a celebrar otro contrato dentro de cierto plazo o al evento de una condición. La promesa es un antecedente del contrato prometido; no es el mismo contrato, sino diverso de éste”. (Op. Cit. Pág. 841)</w:t>
      </w:r>
      <w:r w:rsidRPr="00EB7E69">
        <w:rPr>
          <w:rFonts w:ascii="Tahoma" w:hAnsi="Tahoma" w:cs="Tahoma"/>
          <w:i/>
          <w:sz w:val="22"/>
          <w:szCs w:val="24"/>
        </w:rPr>
        <w:br/>
      </w:r>
      <w:r w:rsidRPr="00EB7E69">
        <w:rPr>
          <w:rFonts w:ascii="Tahoma" w:hAnsi="Tahoma" w:cs="Tahoma"/>
          <w:i/>
          <w:sz w:val="22"/>
          <w:szCs w:val="24"/>
          <w:shd w:val="clear" w:color="auto" w:fill="FFFFFF"/>
        </w:rPr>
        <w:br/>
      </w:r>
      <w:r w:rsidRPr="00EB7E69">
        <w:rPr>
          <w:rFonts w:ascii="Tahoma" w:hAnsi="Tahoma" w:cs="Tahoma"/>
          <w:i/>
          <w:iCs/>
          <w:sz w:val="22"/>
          <w:szCs w:val="24"/>
          <w:shd w:val="clear" w:color="auto" w:fill="FFFFFF"/>
        </w:rPr>
        <w:t>El contrato de promesa, por tanto, no puede confundirse con el prometido, pues es su antecedente; y la realización de éste es el objeto de aquélla. “La promesa no es sino una convención que sirve para celebrar otra, por lo que no produce más efecto que poder exigir la celebración de éste. Ahí termina su misión. Celebrado el contrato prometido desaparece la promesa.” (Ibid, 842)</w:t>
      </w:r>
      <w:r w:rsidRPr="00EB7E69">
        <w:rPr>
          <w:rFonts w:ascii="Tahoma" w:hAnsi="Tahoma" w:cs="Tahoma"/>
          <w:i/>
          <w:sz w:val="22"/>
          <w:szCs w:val="24"/>
        </w:rPr>
        <w:br/>
      </w:r>
    </w:p>
    <w:p w:rsidR="001A5F0C" w:rsidRPr="00EB7E69" w:rsidRDefault="00AB6ABE" w:rsidP="00EB7E69">
      <w:pPr>
        <w:pStyle w:val="Textoindependiente"/>
        <w:ind w:left="426" w:right="420"/>
        <w:rPr>
          <w:rFonts w:ascii="Tahoma" w:hAnsi="Tahoma" w:cs="Tahoma"/>
          <w:i/>
          <w:sz w:val="22"/>
          <w:szCs w:val="24"/>
          <w:shd w:val="clear" w:color="auto" w:fill="FFFFFF"/>
        </w:rPr>
      </w:pPr>
      <w:r w:rsidRPr="00EB7E69">
        <w:rPr>
          <w:rFonts w:ascii="Tahoma" w:hAnsi="Tahoma" w:cs="Tahoma"/>
          <w:i/>
          <w:sz w:val="22"/>
          <w:szCs w:val="24"/>
          <w:shd w:val="clear" w:color="auto" w:fill="FFFFFF"/>
        </w:rPr>
        <w:t xml:space="preserve">Por ello, ha sido reiterada la posición de esta Corte al considerar que la promesa tiene un “carácter preparatorio o pasajero, lo cual implica por naturaleza una vida efímera y destinada a dar paso al contrato fin, o sea, el prometido…” (Sentencia de </w:t>
      </w:r>
      <w:r w:rsidRPr="00EB7E69">
        <w:rPr>
          <w:rFonts w:ascii="Tahoma" w:hAnsi="Tahoma" w:cs="Tahoma"/>
          <w:i/>
          <w:sz w:val="22"/>
          <w:szCs w:val="24"/>
          <w:shd w:val="clear" w:color="auto" w:fill="FFFFFF"/>
        </w:rPr>
        <w:lastRenderedPageBreak/>
        <w:t>14 de julio de 1998. Exp.: 4724) La promesa y el contrato prometido jamás pueden coexistir en el tiempo, pues el nacimiento de éste acarrea la extinción de aquélla…</w:t>
      </w:r>
      <w:r w:rsidR="00877253" w:rsidRPr="00EB7E69">
        <w:rPr>
          <w:rFonts w:ascii="Tahoma" w:hAnsi="Tahoma" w:cs="Tahoma"/>
          <w:sz w:val="22"/>
          <w:szCs w:val="24"/>
          <w:shd w:val="clear" w:color="auto" w:fill="FFFFFF"/>
        </w:rPr>
        <w:t>”</w:t>
      </w:r>
      <w:r w:rsidR="00877253" w:rsidRPr="00EB7E69">
        <w:rPr>
          <w:rStyle w:val="Refdenotaalpie"/>
          <w:rFonts w:ascii="Tahoma" w:hAnsi="Tahoma" w:cs="Tahoma"/>
          <w:i/>
          <w:sz w:val="22"/>
          <w:szCs w:val="24"/>
          <w:shd w:val="clear" w:color="auto" w:fill="FFFFFF"/>
        </w:rPr>
        <w:footnoteReference w:id="8"/>
      </w:r>
    </w:p>
    <w:p w:rsidR="00063B11" w:rsidRPr="00EB7E69" w:rsidRDefault="002B7C1B" w:rsidP="00EB7E69">
      <w:pPr>
        <w:pStyle w:val="Textoindependiente"/>
        <w:spacing w:line="276" w:lineRule="auto"/>
        <w:rPr>
          <w:rFonts w:ascii="Tahoma" w:hAnsi="Tahoma" w:cs="Tahoma"/>
          <w:sz w:val="24"/>
          <w:szCs w:val="24"/>
        </w:rPr>
      </w:pPr>
      <w:r w:rsidRPr="00EB7E69">
        <w:rPr>
          <w:rFonts w:ascii="Tahoma" w:hAnsi="Tahoma" w:cs="Tahoma"/>
          <w:sz w:val="24"/>
          <w:szCs w:val="24"/>
        </w:rPr>
        <w:br/>
      </w:r>
      <w:r w:rsidR="00063B11" w:rsidRPr="00EB7E69">
        <w:rPr>
          <w:rFonts w:ascii="Tahoma" w:hAnsi="Tahoma" w:cs="Tahoma"/>
          <w:sz w:val="24"/>
          <w:szCs w:val="24"/>
        </w:rPr>
        <w:t xml:space="preserve">De esa manera las cosas, puede decirse que la </w:t>
      </w:r>
      <w:r w:rsidR="0039449B" w:rsidRPr="00EB7E69">
        <w:rPr>
          <w:rFonts w:ascii="Tahoma" w:hAnsi="Tahoma" w:cs="Tahoma"/>
          <w:sz w:val="24"/>
          <w:szCs w:val="24"/>
        </w:rPr>
        <w:t>vida fugaz de la promesa</w:t>
      </w:r>
      <w:r w:rsidR="00063B11" w:rsidRPr="00EB7E69">
        <w:rPr>
          <w:rFonts w:ascii="Tahoma" w:hAnsi="Tahoma" w:cs="Tahoma"/>
          <w:sz w:val="24"/>
          <w:szCs w:val="24"/>
        </w:rPr>
        <w:t xml:space="preserve"> de compraventa</w:t>
      </w:r>
      <w:r w:rsidR="001A5F0C" w:rsidRPr="00EB7E69">
        <w:rPr>
          <w:rFonts w:ascii="Tahoma" w:hAnsi="Tahoma" w:cs="Tahoma"/>
          <w:sz w:val="24"/>
          <w:szCs w:val="24"/>
        </w:rPr>
        <w:t xml:space="preserve"> sobre el inmueble que constituyó su objeto,</w:t>
      </w:r>
      <w:r w:rsidR="00063B11" w:rsidRPr="00EB7E69">
        <w:rPr>
          <w:rFonts w:ascii="Tahoma" w:hAnsi="Tahoma" w:cs="Tahoma"/>
          <w:sz w:val="24"/>
          <w:szCs w:val="24"/>
        </w:rPr>
        <w:t xml:space="preserve"> una vez cumplidas las obligaciones pactadas,</w:t>
      </w:r>
      <w:r w:rsidR="00877253" w:rsidRPr="00EB7E69">
        <w:rPr>
          <w:rFonts w:ascii="Tahoma" w:hAnsi="Tahoma" w:cs="Tahoma"/>
          <w:sz w:val="24"/>
          <w:szCs w:val="24"/>
        </w:rPr>
        <w:t xml:space="preserve"> aunque con algunas modificaciones acordadas por las mismas partes que la celebraron, </w:t>
      </w:r>
      <w:r w:rsidR="0039449B" w:rsidRPr="00EB7E69">
        <w:rPr>
          <w:rFonts w:ascii="Tahoma" w:hAnsi="Tahoma" w:cs="Tahoma"/>
          <w:sz w:val="24"/>
          <w:szCs w:val="24"/>
        </w:rPr>
        <w:t>impide que continúe produciendo efectos</w:t>
      </w:r>
      <w:r w:rsidR="00063B11" w:rsidRPr="00EB7E69">
        <w:rPr>
          <w:rFonts w:ascii="Tahoma" w:hAnsi="Tahoma" w:cs="Tahoma"/>
          <w:sz w:val="24"/>
          <w:szCs w:val="24"/>
        </w:rPr>
        <w:t>; estos, para decirlo de otra forma, terminar</w:t>
      </w:r>
      <w:r w:rsidR="00835E4B" w:rsidRPr="00EB7E69">
        <w:rPr>
          <w:rFonts w:ascii="Tahoma" w:hAnsi="Tahoma" w:cs="Tahoma"/>
          <w:sz w:val="24"/>
          <w:szCs w:val="24"/>
        </w:rPr>
        <w:t>on</w:t>
      </w:r>
      <w:r w:rsidR="00063B11" w:rsidRPr="00EB7E69">
        <w:rPr>
          <w:rFonts w:ascii="Tahoma" w:hAnsi="Tahoma" w:cs="Tahoma"/>
          <w:sz w:val="24"/>
          <w:szCs w:val="24"/>
        </w:rPr>
        <w:t xml:space="preserve"> con la celebración del negocio que las partes se propusieron celebrar.</w:t>
      </w:r>
    </w:p>
    <w:p w:rsidR="00063B11" w:rsidRPr="00EB7E69" w:rsidRDefault="00063B11" w:rsidP="00EB7E69">
      <w:pPr>
        <w:pStyle w:val="Textoindependiente"/>
        <w:spacing w:line="276" w:lineRule="auto"/>
        <w:rPr>
          <w:rFonts w:ascii="Tahoma" w:hAnsi="Tahoma" w:cs="Tahoma"/>
          <w:sz w:val="24"/>
          <w:szCs w:val="24"/>
        </w:rPr>
      </w:pPr>
    </w:p>
    <w:p w:rsidR="003F3F33" w:rsidRPr="00EB7E69" w:rsidRDefault="00063B11"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En </w:t>
      </w:r>
      <w:r w:rsidR="0039449B" w:rsidRPr="00EB7E69">
        <w:rPr>
          <w:rFonts w:ascii="Tahoma" w:hAnsi="Tahoma" w:cs="Tahoma"/>
          <w:sz w:val="24"/>
          <w:szCs w:val="24"/>
        </w:rPr>
        <w:t xml:space="preserve">consecuencia, </w:t>
      </w:r>
      <w:r w:rsidRPr="00EB7E69">
        <w:rPr>
          <w:rFonts w:ascii="Tahoma" w:hAnsi="Tahoma" w:cs="Tahoma"/>
          <w:sz w:val="24"/>
          <w:szCs w:val="24"/>
        </w:rPr>
        <w:t xml:space="preserve">como en este caso se demostró que las partes en litigio </w:t>
      </w:r>
      <w:r w:rsidR="0039449B" w:rsidRPr="00EB7E69">
        <w:rPr>
          <w:rFonts w:ascii="Tahoma" w:hAnsi="Tahoma" w:cs="Tahoma"/>
          <w:sz w:val="24"/>
          <w:szCs w:val="24"/>
        </w:rPr>
        <w:t xml:space="preserve">perfeccionaron el contrato de </w:t>
      </w:r>
      <w:r w:rsidR="001A5F0C" w:rsidRPr="00EB7E69">
        <w:rPr>
          <w:rFonts w:ascii="Tahoma" w:hAnsi="Tahoma" w:cs="Tahoma"/>
          <w:sz w:val="24"/>
          <w:szCs w:val="24"/>
        </w:rPr>
        <w:t>promesa de comp</w:t>
      </w:r>
      <w:r w:rsidRPr="00EB7E69">
        <w:rPr>
          <w:rFonts w:ascii="Tahoma" w:hAnsi="Tahoma" w:cs="Tahoma"/>
          <w:sz w:val="24"/>
          <w:szCs w:val="24"/>
        </w:rPr>
        <w:t>raventa</w:t>
      </w:r>
      <w:r w:rsidR="003F3F33" w:rsidRPr="00EB7E69">
        <w:rPr>
          <w:rFonts w:ascii="Tahoma" w:hAnsi="Tahoma" w:cs="Tahoma"/>
          <w:sz w:val="24"/>
          <w:szCs w:val="24"/>
        </w:rPr>
        <w:t>, respecto del inmueble</w:t>
      </w:r>
      <w:r w:rsidR="001A5F0C" w:rsidRPr="00EB7E69">
        <w:rPr>
          <w:rFonts w:ascii="Tahoma" w:hAnsi="Tahoma" w:cs="Tahoma"/>
          <w:sz w:val="24"/>
          <w:szCs w:val="24"/>
        </w:rPr>
        <w:t xml:space="preserve"> tantas veces referido, </w:t>
      </w:r>
      <w:r w:rsidR="0039449B" w:rsidRPr="00EB7E69">
        <w:rPr>
          <w:rFonts w:ascii="Tahoma" w:hAnsi="Tahoma" w:cs="Tahoma"/>
          <w:sz w:val="24"/>
          <w:szCs w:val="24"/>
        </w:rPr>
        <w:t xml:space="preserve">no podía invocarse </w:t>
      </w:r>
      <w:r w:rsidR="001A5F0C" w:rsidRPr="00EB7E69">
        <w:rPr>
          <w:rFonts w:ascii="Tahoma" w:hAnsi="Tahoma" w:cs="Tahoma"/>
          <w:sz w:val="24"/>
          <w:szCs w:val="24"/>
        </w:rPr>
        <w:t xml:space="preserve">ese convenio </w:t>
      </w:r>
      <w:r w:rsidR="0039449B" w:rsidRPr="00EB7E69">
        <w:rPr>
          <w:rFonts w:ascii="Tahoma" w:hAnsi="Tahoma" w:cs="Tahoma"/>
          <w:sz w:val="24"/>
          <w:szCs w:val="24"/>
        </w:rPr>
        <w:t>como fuente de responsabilidad</w:t>
      </w:r>
      <w:r w:rsidR="001A5F0C" w:rsidRPr="00EB7E69">
        <w:rPr>
          <w:rFonts w:ascii="Tahoma" w:hAnsi="Tahoma" w:cs="Tahoma"/>
          <w:sz w:val="24"/>
          <w:szCs w:val="24"/>
        </w:rPr>
        <w:t>. P</w:t>
      </w:r>
      <w:r w:rsidR="003F3F33" w:rsidRPr="00EB7E69">
        <w:rPr>
          <w:rFonts w:ascii="Tahoma" w:hAnsi="Tahoma" w:cs="Tahoma"/>
          <w:sz w:val="24"/>
          <w:szCs w:val="24"/>
        </w:rPr>
        <w:t xml:space="preserve">or tal razón, tampoco </w:t>
      </w:r>
      <w:r w:rsidR="0039449B" w:rsidRPr="00EB7E69">
        <w:rPr>
          <w:rFonts w:ascii="Tahoma" w:hAnsi="Tahoma" w:cs="Tahoma"/>
          <w:sz w:val="24"/>
          <w:szCs w:val="24"/>
        </w:rPr>
        <w:t xml:space="preserve">resulta posible autorizar </w:t>
      </w:r>
      <w:r w:rsidR="003F3F33" w:rsidRPr="00EB7E69">
        <w:rPr>
          <w:rFonts w:ascii="Tahoma" w:hAnsi="Tahoma" w:cs="Tahoma"/>
          <w:sz w:val="24"/>
          <w:szCs w:val="24"/>
        </w:rPr>
        <w:t xml:space="preserve">el pago de indemnizaciones como las solicitadas en la demanda, cuando, además, valga decirlo, ni siquiera se pidió la resolución </w:t>
      </w:r>
      <w:r w:rsidR="00877253" w:rsidRPr="00EB7E69">
        <w:rPr>
          <w:rFonts w:ascii="Tahoma" w:hAnsi="Tahoma" w:cs="Tahoma"/>
          <w:sz w:val="24"/>
          <w:szCs w:val="24"/>
        </w:rPr>
        <w:t xml:space="preserve">o el cumplimiento </w:t>
      </w:r>
      <w:r w:rsidR="003F3F33" w:rsidRPr="00EB7E69">
        <w:rPr>
          <w:rFonts w:ascii="Tahoma" w:hAnsi="Tahoma" w:cs="Tahoma"/>
          <w:sz w:val="24"/>
          <w:szCs w:val="24"/>
        </w:rPr>
        <w:t>de la promesa como lo autoriza el artículo 1546 del Código Civil, en el evento de</w:t>
      </w:r>
      <w:r w:rsidR="00877253" w:rsidRPr="00EB7E69">
        <w:rPr>
          <w:rFonts w:ascii="Tahoma" w:hAnsi="Tahoma" w:cs="Tahoma"/>
          <w:sz w:val="24"/>
          <w:szCs w:val="24"/>
        </w:rPr>
        <w:t xml:space="preserve"> no cumplirse lo pactado, sino</w:t>
      </w:r>
      <w:r w:rsidR="00603756" w:rsidRPr="00EB7E69">
        <w:rPr>
          <w:rFonts w:ascii="Tahoma" w:hAnsi="Tahoma" w:cs="Tahoma"/>
          <w:sz w:val="24"/>
          <w:szCs w:val="24"/>
        </w:rPr>
        <w:t xml:space="preserve"> el reconocimiento de unos perjuicios que dicen los demandantes sufrieron.</w:t>
      </w:r>
    </w:p>
    <w:p w:rsidR="00877253" w:rsidRPr="00EB7E69" w:rsidRDefault="00877253" w:rsidP="00EB7E69">
      <w:pPr>
        <w:pStyle w:val="Textoindependiente"/>
        <w:spacing w:line="276" w:lineRule="auto"/>
        <w:rPr>
          <w:rFonts w:ascii="Tahoma" w:hAnsi="Tahoma" w:cs="Tahoma"/>
          <w:sz w:val="24"/>
          <w:szCs w:val="24"/>
        </w:rPr>
      </w:pPr>
    </w:p>
    <w:p w:rsidR="00877253" w:rsidRPr="00EB7E69" w:rsidRDefault="001A5F0C"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Ni </w:t>
      </w:r>
      <w:r w:rsidR="00603756" w:rsidRPr="00EB7E69">
        <w:rPr>
          <w:rFonts w:ascii="Tahoma" w:hAnsi="Tahoma" w:cs="Tahoma"/>
          <w:sz w:val="24"/>
          <w:szCs w:val="24"/>
        </w:rPr>
        <w:t>puede hallarse esa responsabilidad en la escritura pública No. 418 del 27 de febrero de 2007, otorgada en la Notaría 27 de Medellín, por medio de la cual la sociedad demandada transfirió el dominio del inmueble a las personas señaladas por los demandantes, como se plasma en el hecho décima de la demanda, porque del contrato a que ese documento se refiere no participaron los actores y</w:t>
      </w:r>
      <w:r w:rsidR="3657F37C" w:rsidRPr="00EB7E69">
        <w:rPr>
          <w:rFonts w:ascii="Tahoma" w:hAnsi="Tahoma" w:cs="Tahoma"/>
          <w:sz w:val="24"/>
          <w:szCs w:val="24"/>
        </w:rPr>
        <w:t>,</w:t>
      </w:r>
      <w:r w:rsidR="00603756" w:rsidRPr="00EB7E69">
        <w:rPr>
          <w:rFonts w:ascii="Tahoma" w:hAnsi="Tahoma" w:cs="Tahoma"/>
          <w:sz w:val="24"/>
          <w:szCs w:val="24"/>
        </w:rPr>
        <w:t xml:space="preserve"> por ende, frente a ellos no adquirió la primera, obligación alguna. </w:t>
      </w:r>
    </w:p>
    <w:p w:rsidR="003F3F33" w:rsidRPr="00EB7E69" w:rsidRDefault="003F3F33" w:rsidP="00EB7E69">
      <w:pPr>
        <w:pStyle w:val="Textoindependiente"/>
        <w:spacing w:line="276" w:lineRule="auto"/>
        <w:rPr>
          <w:rFonts w:ascii="Tahoma" w:hAnsi="Tahoma" w:cs="Tahoma"/>
          <w:sz w:val="24"/>
          <w:szCs w:val="24"/>
        </w:rPr>
      </w:pPr>
    </w:p>
    <w:p w:rsidR="00890DEE" w:rsidRPr="00EB7E69" w:rsidRDefault="00603756" w:rsidP="00EB7E69">
      <w:pPr>
        <w:pStyle w:val="Textoindependiente"/>
        <w:spacing w:line="276" w:lineRule="auto"/>
        <w:rPr>
          <w:rFonts w:ascii="Tahoma" w:hAnsi="Tahoma" w:cs="Tahoma"/>
          <w:sz w:val="24"/>
          <w:szCs w:val="24"/>
        </w:rPr>
      </w:pPr>
      <w:r w:rsidRPr="00EB7E69">
        <w:rPr>
          <w:rFonts w:ascii="Tahoma" w:hAnsi="Tahoma" w:cs="Tahoma"/>
          <w:sz w:val="24"/>
          <w:szCs w:val="24"/>
        </w:rPr>
        <w:t>8.</w:t>
      </w:r>
      <w:r w:rsidR="003F3F33" w:rsidRPr="00EB7E69">
        <w:rPr>
          <w:rFonts w:ascii="Tahoma" w:hAnsi="Tahoma" w:cs="Tahoma"/>
          <w:sz w:val="24"/>
          <w:szCs w:val="24"/>
        </w:rPr>
        <w:t xml:space="preserve"> </w:t>
      </w:r>
      <w:r w:rsidR="00835E4B" w:rsidRPr="00EB7E69">
        <w:rPr>
          <w:rFonts w:ascii="Tahoma" w:hAnsi="Tahoma" w:cs="Tahoma"/>
          <w:sz w:val="24"/>
          <w:szCs w:val="24"/>
        </w:rPr>
        <w:t>L</w:t>
      </w:r>
      <w:r w:rsidR="003F3F33" w:rsidRPr="00EB7E69">
        <w:rPr>
          <w:rFonts w:ascii="Tahoma" w:hAnsi="Tahoma" w:cs="Tahoma"/>
          <w:sz w:val="24"/>
          <w:szCs w:val="24"/>
        </w:rPr>
        <w:t>os accionantes</w:t>
      </w:r>
      <w:r w:rsidR="00835E4B" w:rsidRPr="00EB7E69">
        <w:rPr>
          <w:rFonts w:ascii="Tahoma" w:hAnsi="Tahoma" w:cs="Tahoma"/>
          <w:sz w:val="24"/>
          <w:szCs w:val="24"/>
        </w:rPr>
        <w:t xml:space="preserve"> consideran que también </w:t>
      </w:r>
      <w:r w:rsidR="001A5F0C" w:rsidRPr="00EB7E69">
        <w:rPr>
          <w:rFonts w:ascii="Tahoma" w:hAnsi="Tahoma" w:cs="Tahoma"/>
          <w:sz w:val="24"/>
          <w:szCs w:val="24"/>
        </w:rPr>
        <w:t xml:space="preserve">la sociedad </w:t>
      </w:r>
      <w:r w:rsidR="55C4915C" w:rsidRPr="00EB7E69">
        <w:rPr>
          <w:rFonts w:ascii="Tahoma" w:hAnsi="Tahoma" w:cs="Tahoma"/>
          <w:sz w:val="24"/>
          <w:szCs w:val="24"/>
        </w:rPr>
        <w:t>demandada incumplió</w:t>
      </w:r>
      <w:r w:rsidR="003F3F33" w:rsidRPr="00EB7E69">
        <w:rPr>
          <w:rFonts w:ascii="Tahoma" w:hAnsi="Tahoma" w:cs="Tahoma"/>
          <w:sz w:val="24"/>
          <w:szCs w:val="24"/>
        </w:rPr>
        <w:t xml:space="preserve"> la promesa</w:t>
      </w:r>
      <w:r w:rsidR="001A5F0C" w:rsidRPr="00EB7E69">
        <w:rPr>
          <w:rFonts w:ascii="Tahoma" w:hAnsi="Tahoma" w:cs="Tahoma"/>
          <w:sz w:val="24"/>
          <w:szCs w:val="24"/>
        </w:rPr>
        <w:t xml:space="preserve">, </w:t>
      </w:r>
      <w:r w:rsidR="00890DEE" w:rsidRPr="00EB7E69">
        <w:rPr>
          <w:rFonts w:ascii="Tahoma" w:hAnsi="Tahoma" w:cs="Tahoma"/>
          <w:sz w:val="24"/>
          <w:szCs w:val="24"/>
        </w:rPr>
        <w:t xml:space="preserve">porque el diseño para </w:t>
      </w:r>
      <w:r w:rsidR="00835E4B" w:rsidRPr="00EB7E69">
        <w:rPr>
          <w:rFonts w:ascii="Tahoma" w:hAnsi="Tahoma" w:cs="Tahoma"/>
          <w:sz w:val="24"/>
          <w:szCs w:val="24"/>
        </w:rPr>
        <w:t>el</w:t>
      </w:r>
      <w:r w:rsidR="00890DEE" w:rsidRPr="00EB7E69">
        <w:rPr>
          <w:rFonts w:ascii="Tahoma" w:hAnsi="Tahoma" w:cs="Tahoma"/>
          <w:sz w:val="24"/>
          <w:szCs w:val="24"/>
        </w:rPr>
        <w:t xml:space="preserve"> proyecto de construcción “no cabía” en el lote adquirido.</w:t>
      </w:r>
    </w:p>
    <w:p w:rsidR="002B7C1B" w:rsidRPr="00EB7E69" w:rsidRDefault="002B7C1B" w:rsidP="00EB7E69">
      <w:pPr>
        <w:pStyle w:val="Textoindependiente"/>
        <w:spacing w:line="276" w:lineRule="auto"/>
        <w:rPr>
          <w:rFonts w:ascii="Tahoma" w:hAnsi="Tahoma" w:cs="Tahoma"/>
          <w:sz w:val="24"/>
          <w:szCs w:val="24"/>
        </w:rPr>
      </w:pPr>
    </w:p>
    <w:p w:rsidR="00835E4B" w:rsidRPr="00EB7E69" w:rsidRDefault="00603756" w:rsidP="00EB7E69">
      <w:pPr>
        <w:spacing w:line="276" w:lineRule="auto"/>
        <w:jc w:val="both"/>
        <w:rPr>
          <w:rFonts w:ascii="Tahoma" w:hAnsi="Tahoma" w:cs="Tahoma"/>
          <w:sz w:val="24"/>
          <w:szCs w:val="24"/>
        </w:rPr>
      </w:pPr>
      <w:r w:rsidRPr="00EB7E69">
        <w:rPr>
          <w:rFonts w:ascii="Tahoma" w:hAnsi="Tahoma" w:cs="Tahoma"/>
          <w:sz w:val="24"/>
          <w:szCs w:val="24"/>
        </w:rPr>
        <w:t>9</w:t>
      </w:r>
      <w:r w:rsidR="00835E4B" w:rsidRPr="00EB7E69">
        <w:rPr>
          <w:rFonts w:ascii="Tahoma" w:hAnsi="Tahoma" w:cs="Tahoma"/>
          <w:sz w:val="24"/>
          <w:szCs w:val="24"/>
        </w:rPr>
        <w:t xml:space="preserve">. </w:t>
      </w:r>
      <w:r w:rsidR="00835E4B" w:rsidRPr="00EB7E69">
        <w:rPr>
          <w:rFonts w:ascii="Tahoma" w:hAnsi="Tahoma" w:cs="Tahoma"/>
          <w:sz w:val="24"/>
          <w:szCs w:val="24"/>
          <w:lang w:val="es-ES"/>
        </w:rPr>
        <w:t>La jurisprudencia y doctrina han decantado que son elementos de la responsabilidad civil contractual, los siguientes:</w:t>
      </w:r>
      <w:r w:rsidR="00835E4B" w:rsidRPr="00EB7E69">
        <w:rPr>
          <w:rFonts w:ascii="Tahoma" w:hAnsi="Tahoma" w:cs="Tahoma"/>
          <w:sz w:val="24"/>
          <w:szCs w:val="24"/>
        </w:rPr>
        <w:t xml:space="preserve"> a) la existencia de contrato válido; b) el incumplimiento imputable al deudor contractual; c) el daño y d) la relación de causalidad entre los dos últimos.</w:t>
      </w:r>
    </w:p>
    <w:p w:rsidR="00835E4B" w:rsidRPr="00EB7E69" w:rsidRDefault="00835E4B" w:rsidP="00EB7E69">
      <w:pPr>
        <w:shd w:val="clear" w:color="auto" w:fill="FFFFFF"/>
        <w:overflowPunct/>
        <w:autoSpaceDE/>
        <w:autoSpaceDN/>
        <w:adjustRightInd/>
        <w:spacing w:line="276" w:lineRule="auto"/>
        <w:jc w:val="both"/>
        <w:textAlignment w:val="auto"/>
        <w:rPr>
          <w:rFonts w:ascii="Tahoma" w:hAnsi="Tahoma" w:cs="Tahoma"/>
          <w:sz w:val="24"/>
          <w:szCs w:val="24"/>
        </w:rPr>
      </w:pPr>
    </w:p>
    <w:p w:rsidR="00985D67" w:rsidRPr="00EB7E69" w:rsidRDefault="00985D67" w:rsidP="00EB7E69">
      <w:pPr>
        <w:pStyle w:val="Textoindependiente"/>
        <w:spacing w:line="276" w:lineRule="auto"/>
        <w:rPr>
          <w:rFonts w:ascii="Tahoma" w:hAnsi="Tahoma" w:cs="Tahoma"/>
          <w:sz w:val="24"/>
          <w:szCs w:val="24"/>
        </w:rPr>
      </w:pPr>
      <w:r w:rsidRPr="00EB7E69">
        <w:rPr>
          <w:rFonts w:ascii="Tahoma" w:hAnsi="Tahoma" w:cs="Tahoma"/>
          <w:sz w:val="24"/>
          <w:szCs w:val="24"/>
        </w:rPr>
        <w:t>Como se plasmó en el documento que contiene la promesa</w:t>
      </w:r>
      <w:r w:rsidR="001A5F0C" w:rsidRPr="00EB7E69">
        <w:rPr>
          <w:rFonts w:ascii="Tahoma" w:hAnsi="Tahoma" w:cs="Tahoma"/>
          <w:sz w:val="24"/>
          <w:szCs w:val="24"/>
        </w:rPr>
        <w:t xml:space="preserve">, </w:t>
      </w:r>
      <w:r w:rsidRPr="00EB7E69">
        <w:rPr>
          <w:rFonts w:ascii="Tahoma" w:hAnsi="Tahoma" w:cs="Tahoma"/>
          <w:sz w:val="24"/>
          <w:szCs w:val="24"/>
        </w:rPr>
        <w:t>hicieron parte del convenio los diseños arquitectónico y estructural del proyecto presentado en la Curaduría Cuarta de Medellín, a cuya aprobación se sometió la negociación.</w:t>
      </w:r>
    </w:p>
    <w:p w:rsidR="00985D67" w:rsidRPr="00EB7E69" w:rsidRDefault="00985D67" w:rsidP="00EB7E69">
      <w:pPr>
        <w:pStyle w:val="Textoindependiente"/>
        <w:spacing w:line="276" w:lineRule="auto"/>
        <w:rPr>
          <w:rFonts w:ascii="Tahoma" w:hAnsi="Tahoma" w:cs="Tahoma"/>
          <w:sz w:val="24"/>
          <w:szCs w:val="24"/>
        </w:rPr>
      </w:pPr>
    </w:p>
    <w:p w:rsidR="00835E4B" w:rsidRPr="00EB7E69" w:rsidRDefault="00985D67" w:rsidP="00EB7E69">
      <w:pPr>
        <w:pStyle w:val="Textoindependiente"/>
        <w:spacing w:line="276" w:lineRule="auto"/>
        <w:rPr>
          <w:rFonts w:ascii="Tahoma" w:hAnsi="Tahoma" w:cs="Tahoma"/>
          <w:sz w:val="24"/>
          <w:szCs w:val="24"/>
        </w:rPr>
      </w:pPr>
      <w:r w:rsidRPr="00EB7E69">
        <w:rPr>
          <w:rFonts w:ascii="Tahoma" w:hAnsi="Tahoma" w:cs="Tahoma"/>
          <w:sz w:val="24"/>
          <w:szCs w:val="24"/>
        </w:rPr>
        <w:t>Y consideran los actores</w:t>
      </w:r>
      <w:r w:rsidR="001A5F0C" w:rsidRPr="00EB7E69">
        <w:rPr>
          <w:rFonts w:ascii="Tahoma" w:hAnsi="Tahoma" w:cs="Tahoma"/>
          <w:sz w:val="24"/>
          <w:szCs w:val="24"/>
        </w:rPr>
        <w:t>, se reitera,</w:t>
      </w:r>
      <w:r w:rsidRPr="00EB7E69">
        <w:rPr>
          <w:rFonts w:ascii="Tahoma" w:hAnsi="Tahoma" w:cs="Tahoma"/>
          <w:sz w:val="24"/>
          <w:szCs w:val="24"/>
        </w:rPr>
        <w:t xml:space="preserve"> que se incumplió la promesa porque los que fueron aprobados por la referida entidad eran </w:t>
      </w:r>
      <w:r w:rsidR="00603756" w:rsidRPr="00EB7E69">
        <w:rPr>
          <w:rFonts w:ascii="Tahoma" w:hAnsi="Tahoma" w:cs="Tahoma"/>
          <w:sz w:val="24"/>
          <w:szCs w:val="24"/>
        </w:rPr>
        <w:t xml:space="preserve">de dimensiones mayores al lote sobre el cual </w:t>
      </w:r>
      <w:r w:rsidRPr="00EB7E69">
        <w:rPr>
          <w:rFonts w:ascii="Tahoma" w:hAnsi="Tahoma" w:cs="Tahoma"/>
          <w:sz w:val="24"/>
          <w:szCs w:val="24"/>
        </w:rPr>
        <w:t xml:space="preserve">se </w:t>
      </w:r>
      <w:r w:rsidR="0A62D075" w:rsidRPr="00EB7E69">
        <w:rPr>
          <w:rFonts w:ascii="Tahoma" w:hAnsi="Tahoma" w:cs="Tahoma"/>
          <w:sz w:val="24"/>
          <w:szCs w:val="24"/>
        </w:rPr>
        <w:t>levantaría la</w:t>
      </w:r>
      <w:r w:rsidRPr="00EB7E69">
        <w:rPr>
          <w:rFonts w:ascii="Tahoma" w:hAnsi="Tahoma" w:cs="Tahoma"/>
          <w:sz w:val="24"/>
          <w:szCs w:val="24"/>
        </w:rPr>
        <w:t xml:space="preserve"> </w:t>
      </w:r>
      <w:r w:rsidR="42BD1437" w:rsidRPr="00EB7E69">
        <w:rPr>
          <w:rFonts w:ascii="Tahoma" w:hAnsi="Tahoma" w:cs="Tahoma"/>
          <w:sz w:val="24"/>
          <w:szCs w:val="24"/>
        </w:rPr>
        <w:t>respectiva construcción</w:t>
      </w:r>
      <w:r w:rsidR="00A60786" w:rsidRPr="00EB7E69">
        <w:rPr>
          <w:rFonts w:ascii="Tahoma" w:hAnsi="Tahoma" w:cs="Tahoma"/>
          <w:sz w:val="24"/>
          <w:szCs w:val="24"/>
        </w:rPr>
        <w:t>.</w:t>
      </w:r>
    </w:p>
    <w:p w:rsidR="00985D67" w:rsidRPr="00EB7E69" w:rsidRDefault="00985D67" w:rsidP="00EB7E69">
      <w:pPr>
        <w:pStyle w:val="Textoindependiente"/>
        <w:spacing w:line="276" w:lineRule="auto"/>
        <w:rPr>
          <w:rFonts w:ascii="Tahoma" w:hAnsi="Tahoma" w:cs="Tahoma"/>
          <w:sz w:val="24"/>
          <w:szCs w:val="24"/>
        </w:rPr>
      </w:pPr>
    </w:p>
    <w:p w:rsidR="00985D67" w:rsidRPr="00EB7E69" w:rsidRDefault="00985D67" w:rsidP="00EB7E69">
      <w:pPr>
        <w:pStyle w:val="Textoindependiente"/>
        <w:spacing w:line="276" w:lineRule="auto"/>
        <w:rPr>
          <w:rFonts w:ascii="Tahoma" w:hAnsi="Tahoma" w:cs="Tahoma"/>
          <w:sz w:val="24"/>
          <w:szCs w:val="24"/>
        </w:rPr>
      </w:pPr>
      <w:r w:rsidRPr="00EB7E69">
        <w:rPr>
          <w:rFonts w:ascii="Tahoma" w:hAnsi="Tahoma" w:cs="Tahoma"/>
          <w:sz w:val="24"/>
          <w:szCs w:val="24"/>
        </w:rPr>
        <w:lastRenderedPageBreak/>
        <w:t xml:space="preserve">La sociedad accionada </w:t>
      </w:r>
      <w:r w:rsidR="00835E4B" w:rsidRPr="00EB7E69">
        <w:rPr>
          <w:rFonts w:ascii="Tahoma" w:hAnsi="Tahoma" w:cs="Tahoma"/>
          <w:sz w:val="24"/>
          <w:szCs w:val="24"/>
        </w:rPr>
        <w:t xml:space="preserve">reconoció </w:t>
      </w:r>
      <w:r w:rsidRPr="00EB7E69">
        <w:rPr>
          <w:rFonts w:ascii="Tahoma" w:hAnsi="Tahoma" w:cs="Tahoma"/>
          <w:sz w:val="24"/>
          <w:szCs w:val="24"/>
        </w:rPr>
        <w:t>que hacían parte de la negociación los referido</w:t>
      </w:r>
      <w:r w:rsidR="4BA4CC4D" w:rsidRPr="00EB7E69">
        <w:rPr>
          <w:rFonts w:ascii="Tahoma" w:hAnsi="Tahoma" w:cs="Tahoma"/>
          <w:sz w:val="24"/>
          <w:szCs w:val="24"/>
        </w:rPr>
        <w:t>s</w:t>
      </w:r>
      <w:r w:rsidRPr="00EB7E69">
        <w:rPr>
          <w:rFonts w:ascii="Tahoma" w:hAnsi="Tahoma" w:cs="Tahoma"/>
          <w:sz w:val="24"/>
          <w:szCs w:val="24"/>
        </w:rPr>
        <w:t xml:space="preserve"> diseños, lo que implicaba que los promitentes </w:t>
      </w:r>
      <w:r w:rsidR="70AD84FF" w:rsidRPr="00EB7E69">
        <w:rPr>
          <w:rFonts w:ascii="Tahoma" w:hAnsi="Tahoma" w:cs="Tahoma"/>
          <w:sz w:val="24"/>
          <w:szCs w:val="24"/>
        </w:rPr>
        <w:t>compradores podían</w:t>
      </w:r>
      <w:r w:rsidRPr="00EB7E69">
        <w:rPr>
          <w:rFonts w:ascii="Tahoma" w:hAnsi="Tahoma" w:cs="Tahoma"/>
          <w:sz w:val="24"/>
          <w:szCs w:val="24"/>
        </w:rPr>
        <w:t xml:space="preserve"> usar</w:t>
      </w:r>
      <w:r w:rsidR="00A60786" w:rsidRPr="00EB7E69">
        <w:rPr>
          <w:rFonts w:ascii="Tahoma" w:hAnsi="Tahoma" w:cs="Tahoma"/>
          <w:sz w:val="24"/>
          <w:szCs w:val="24"/>
        </w:rPr>
        <w:t xml:space="preserve">los; también </w:t>
      </w:r>
      <w:r w:rsidRPr="00EB7E69">
        <w:rPr>
          <w:rFonts w:ascii="Tahoma" w:hAnsi="Tahoma" w:cs="Tahoma"/>
          <w:sz w:val="24"/>
          <w:szCs w:val="24"/>
        </w:rPr>
        <w:t>la licencia de construcción que les fuera entregada.</w:t>
      </w:r>
    </w:p>
    <w:p w:rsidR="00835E4B" w:rsidRPr="00EB7E69" w:rsidRDefault="00985D67"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 </w:t>
      </w:r>
    </w:p>
    <w:p w:rsidR="009A4252" w:rsidRPr="00EB7E69" w:rsidRDefault="00835E4B" w:rsidP="00EB7E69">
      <w:pPr>
        <w:pStyle w:val="unico"/>
        <w:spacing w:before="0" w:after="0" w:line="276" w:lineRule="auto"/>
        <w:jc w:val="both"/>
        <w:rPr>
          <w:rFonts w:ascii="Tahoma" w:hAnsi="Tahoma" w:cs="Tahoma"/>
        </w:rPr>
      </w:pPr>
      <w:r w:rsidRPr="00EB7E69">
        <w:rPr>
          <w:rFonts w:ascii="Tahoma" w:hAnsi="Tahoma" w:cs="Tahoma"/>
        </w:rPr>
        <w:t xml:space="preserve">No aceptó, empero, como obligación suya, la de </w:t>
      </w:r>
      <w:r w:rsidR="00985D67" w:rsidRPr="00EB7E69">
        <w:rPr>
          <w:rFonts w:ascii="Tahoma" w:hAnsi="Tahoma" w:cs="Tahoma"/>
        </w:rPr>
        <w:t>garantizar la adecuación de los planos y proyectos con el lote vendido, ni la exactitud de sus medidas, pues se prometió vender</w:t>
      </w:r>
      <w:r w:rsidR="009A4252" w:rsidRPr="00EB7E69">
        <w:rPr>
          <w:rFonts w:ascii="Tahoma" w:hAnsi="Tahoma" w:cs="Tahoma"/>
        </w:rPr>
        <w:t xml:space="preserve"> como cuerpo cierto.</w:t>
      </w:r>
    </w:p>
    <w:p w:rsidR="009A4252" w:rsidRPr="00EB7E69" w:rsidRDefault="009A4252" w:rsidP="00EB7E69">
      <w:pPr>
        <w:pStyle w:val="unico"/>
        <w:spacing w:before="0" w:after="0" w:line="276" w:lineRule="auto"/>
        <w:jc w:val="both"/>
        <w:rPr>
          <w:rFonts w:ascii="Tahoma" w:hAnsi="Tahoma" w:cs="Tahoma"/>
        </w:rPr>
      </w:pPr>
    </w:p>
    <w:p w:rsidR="00835E4B" w:rsidRPr="00EB7E69" w:rsidRDefault="009A4252" w:rsidP="00EB7E69">
      <w:pPr>
        <w:pStyle w:val="unico"/>
        <w:spacing w:before="0" w:after="0" w:line="276" w:lineRule="auto"/>
        <w:jc w:val="both"/>
        <w:rPr>
          <w:rFonts w:ascii="Tahoma" w:hAnsi="Tahoma" w:cs="Tahoma"/>
        </w:rPr>
      </w:pPr>
      <w:r w:rsidRPr="00EB7E69">
        <w:rPr>
          <w:rFonts w:ascii="Tahoma" w:hAnsi="Tahoma" w:cs="Tahoma"/>
        </w:rPr>
        <w:t>Sobre los demandantes pesaba la carga de demostrar la existencia de esa obligación</w:t>
      </w:r>
      <w:r w:rsidR="00835E4B" w:rsidRPr="00EB7E69">
        <w:rPr>
          <w:rFonts w:ascii="Tahoma" w:hAnsi="Tahoma" w:cs="Tahoma"/>
        </w:rPr>
        <w:t xml:space="preserve">, de acuerdo con el artículo 1757 del Código Civil, según el cual </w:t>
      </w:r>
      <w:r w:rsidR="00835E4B" w:rsidRPr="00EB7E69">
        <w:rPr>
          <w:rFonts w:ascii="Tahoma" w:hAnsi="Tahoma" w:cs="Tahoma"/>
          <w:i/>
        </w:rPr>
        <w:t>“</w:t>
      </w:r>
      <w:r w:rsidR="00835E4B" w:rsidRPr="00EB7E69">
        <w:rPr>
          <w:rFonts w:ascii="Tahoma" w:hAnsi="Tahoma" w:cs="Tahoma"/>
          <w:i/>
          <w:sz w:val="22"/>
        </w:rPr>
        <w:t>Incumbe probar las obligaciones o su extinción al que alega aquellas o esta</w:t>
      </w:r>
      <w:r w:rsidR="00835E4B" w:rsidRPr="00EB7E69">
        <w:rPr>
          <w:rFonts w:ascii="Tahoma" w:hAnsi="Tahoma" w:cs="Tahoma"/>
          <w:i/>
        </w:rPr>
        <w:t>"</w:t>
      </w:r>
      <w:r w:rsidR="00835E4B" w:rsidRPr="00EB7E69">
        <w:rPr>
          <w:rFonts w:ascii="Tahoma" w:hAnsi="Tahoma" w:cs="Tahoma"/>
        </w:rPr>
        <w:t>. Y para decirlo de una vez, los citados señores no cumplieron tal deber.</w:t>
      </w:r>
    </w:p>
    <w:p w:rsidR="00835E4B" w:rsidRPr="00EB7E69" w:rsidRDefault="00835E4B" w:rsidP="00EB7E69">
      <w:pPr>
        <w:pStyle w:val="unico"/>
        <w:spacing w:before="0" w:after="0" w:line="276" w:lineRule="auto"/>
        <w:jc w:val="both"/>
        <w:rPr>
          <w:rFonts w:ascii="Tahoma" w:hAnsi="Tahoma" w:cs="Tahoma"/>
        </w:rPr>
      </w:pPr>
    </w:p>
    <w:p w:rsidR="00835E4B" w:rsidRPr="00EB7E69" w:rsidRDefault="004C6C2F" w:rsidP="00EB7E69">
      <w:pPr>
        <w:pStyle w:val="unico"/>
        <w:spacing w:before="0" w:after="0" w:line="276" w:lineRule="auto"/>
        <w:jc w:val="both"/>
        <w:rPr>
          <w:rFonts w:ascii="Tahoma" w:hAnsi="Tahoma" w:cs="Tahoma"/>
        </w:rPr>
      </w:pPr>
      <w:r w:rsidRPr="00EB7E69">
        <w:rPr>
          <w:rFonts w:ascii="Tahoma" w:hAnsi="Tahoma" w:cs="Tahoma"/>
        </w:rPr>
        <w:t>En los he</w:t>
      </w:r>
      <w:r w:rsidR="00835E4B" w:rsidRPr="00EB7E69">
        <w:rPr>
          <w:rFonts w:ascii="Tahoma" w:hAnsi="Tahoma" w:cs="Tahoma"/>
        </w:rPr>
        <w:t>cho</w:t>
      </w:r>
      <w:r w:rsidRPr="00EB7E69">
        <w:rPr>
          <w:rFonts w:ascii="Tahoma" w:hAnsi="Tahoma" w:cs="Tahoma"/>
        </w:rPr>
        <w:t>s</w:t>
      </w:r>
      <w:r w:rsidR="00835E4B" w:rsidRPr="00EB7E69">
        <w:rPr>
          <w:rFonts w:ascii="Tahoma" w:hAnsi="Tahoma" w:cs="Tahoma"/>
        </w:rPr>
        <w:t xml:space="preserve"> </w:t>
      </w:r>
      <w:r w:rsidR="00C46CB9" w:rsidRPr="00EB7E69">
        <w:rPr>
          <w:rFonts w:ascii="Tahoma" w:hAnsi="Tahoma" w:cs="Tahoma"/>
        </w:rPr>
        <w:t xml:space="preserve">de </w:t>
      </w:r>
      <w:r w:rsidR="00835E4B" w:rsidRPr="00EB7E69">
        <w:rPr>
          <w:rFonts w:ascii="Tahoma" w:hAnsi="Tahoma" w:cs="Tahoma"/>
        </w:rPr>
        <w:t xml:space="preserve">la demanda </w:t>
      </w:r>
      <w:r w:rsidRPr="00EB7E69">
        <w:rPr>
          <w:rFonts w:ascii="Tahoma" w:hAnsi="Tahoma" w:cs="Tahoma"/>
        </w:rPr>
        <w:t>se ex</w:t>
      </w:r>
      <w:r w:rsidR="00835E4B" w:rsidRPr="00EB7E69">
        <w:rPr>
          <w:rFonts w:ascii="Tahoma" w:hAnsi="Tahoma" w:cs="Tahoma"/>
        </w:rPr>
        <w:t>pres</w:t>
      </w:r>
      <w:r w:rsidRPr="00EB7E69">
        <w:rPr>
          <w:rFonts w:ascii="Tahoma" w:hAnsi="Tahoma" w:cs="Tahoma"/>
        </w:rPr>
        <w:t>ó</w:t>
      </w:r>
      <w:r w:rsidR="00835E4B" w:rsidRPr="00EB7E69">
        <w:rPr>
          <w:rFonts w:ascii="Tahoma" w:hAnsi="Tahoma" w:cs="Tahoma"/>
        </w:rPr>
        <w:t xml:space="preserve"> que </w:t>
      </w:r>
      <w:r w:rsidRPr="00EB7E69">
        <w:rPr>
          <w:rFonts w:ascii="Tahoma" w:hAnsi="Tahoma" w:cs="Tahoma"/>
        </w:rPr>
        <w:t>la promesa de contrato recayó sobre el inmueble atrás referido y los planos, “lógicamente adecuados a los lotes…”</w:t>
      </w:r>
      <w:r w:rsidRPr="00EB7E69">
        <w:rPr>
          <w:rStyle w:val="Refdenotaalpie"/>
          <w:rFonts w:ascii="Tahoma" w:hAnsi="Tahoma" w:cs="Tahoma"/>
        </w:rPr>
        <w:footnoteReference w:id="9"/>
      </w:r>
      <w:r w:rsidRPr="00EB7E69">
        <w:rPr>
          <w:rFonts w:ascii="Tahoma" w:hAnsi="Tahoma" w:cs="Tahoma"/>
        </w:rPr>
        <w:t xml:space="preserve"> y que hubo incumplimiento parcial del contrato porque ha de considerarse como una unidad el proyecto (planos concordantes con los lotes)</w:t>
      </w:r>
      <w:r w:rsidRPr="00EB7E69">
        <w:rPr>
          <w:rStyle w:val="Refdenotaalpie"/>
          <w:rFonts w:ascii="Tahoma" w:hAnsi="Tahoma" w:cs="Tahoma"/>
        </w:rPr>
        <w:footnoteReference w:id="10"/>
      </w:r>
      <w:r w:rsidRPr="00EB7E69">
        <w:rPr>
          <w:rFonts w:ascii="Tahoma" w:hAnsi="Tahoma" w:cs="Tahoma"/>
        </w:rPr>
        <w:t xml:space="preserve">. Empero, la promesa de contratar no dio cuenta de obligación como esa, pues tal como lo expresó el apoderado de la sociedad demandada, su compromiso no llegó hasta el punto a que se refieren los demandantes, sino a la entrega de los diseños </w:t>
      </w:r>
      <w:r w:rsidR="00BA7046" w:rsidRPr="00EB7E69">
        <w:rPr>
          <w:rFonts w:ascii="Tahoma" w:hAnsi="Tahoma" w:cs="Tahoma"/>
        </w:rPr>
        <w:t>arquitectónicos y estructurales y de la licencia de construcción, que efectivamente se materializó, hecho que por demás acepta la parte demandante.</w:t>
      </w:r>
    </w:p>
    <w:p w:rsidR="00835E4B" w:rsidRPr="00EB7E69" w:rsidRDefault="00835E4B" w:rsidP="00EB7E69">
      <w:pPr>
        <w:pStyle w:val="unico"/>
        <w:spacing w:before="0" w:after="0" w:line="276" w:lineRule="auto"/>
        <w:jc w:val="both"/>
        <w:rPr>
          <w:rFonts w:ascii="Tahoma" w:hAnsi="Tahoma" w:cs="Tahoma"/>
        </w:rPr>
      </w:pPr>
    </w:p>
    <w:p w:rsidR="00024A9E" w:rsidRPr="00EB7E69" w:rsidRDefault="00BA7046" w:rsidP="00EB7E69">
      <w:pPr>
        <w:pStyle w:val="Textoindependiente"/>
        <w:spacing w:line="276" w:lineRule="auto"/>
        <w:rPr>
          <w:rFonts w:ascii="Tahoma" w:hAnsi="Tahoma" w:cs="Tahoma"/>
          <w:sz w:val="24"/>
          <w:szCs w:val="24"/>
        </w:rPr>
      </w:pPr>
      <w:r w:rsidRPr="00EB7E69">
        <w:rPr>
          <w:rFonts w:ascii="Tahoma" w:hAnsi="Tahoma" w:cs="Tahoma"/>
          <w:sz w:val="24"/>
          <w:szCs w:val="24"/>
        </w:rPr>
        <w:t>Signif</w:t>
      </w:r>
      <w:r w:rsidR="00024A9E" w:rsidRPr="00EB7E69">
        <w:rPr>
          <w:rFonts w:ascii="Tahoma" w:hAnsi="Tahoma" w:cs="Tahoma"/>
          <w:sz w:val="24"/>
          <w:szCs w:val="24"/>
        </w:rPr>
        <w:t xml:space="preserve">ica lo anterior que los actores no acreditaron que la sociedad demandada </w:t>
      </w:r>
      <w:r w:rsidR="00835E4B" w:rsidRPr="00EB7E69">
        <w:rPr>
          <w:rFonts w:ascii="Tahoma" w:hAnsi="Tahoma" w:cs="Tahoma"/>
          <w:sz w:val="24"/>
          <w:szCs w:val="24"/>
        </w:rPr>
        <w:t>haya incurrido en responsabilidad de naturaleza contractual,</w:t>
      </w:r>
      <w:r w:rsidR="00024A9E" w:rsidRPr="00EB7E69">
        <w:rPr>
          <w:rFonts w:ascii="Tahoma" w:hAnsi="Tahoma" w:cs="Tahoma"/>
          <w:sz w:val="24"/>
          <w:szCs w:val="24"/>
        </w:rPr>
        <w:t xml:space="preserve"> por el aspecto que se analiza, </w:t>
      </w:r>
      <w:r w:rsidR="00835E4B" w:rsidRPr="00EB7E69">
        <w:rPr>
          <w:rFonts w:ascii="Tahoma" w:hAnsi="Tahoma" w:cs="Tahoma"/>
          <w:sz w:val="24"/>
          <w:szCs w:val="24"/>
        </w:rPr>
        <w:t xml:space="preserve">ante la inexistencia de la obligación de que se trata, a cargo suyo, que insatisfecha justificara </w:t>
      </w:r>
      <w:r w:rsidR="00024A9E" w:rsidRPr="00EB7E69">
        <w:rPr>
          <w:rFonts w:ascii="Tahoma" w:hAnsi="Tahoma" w:cs="Tahoma"/>
          <w:sz w:val="24"/>
          <w:szCs w:val="24"/>
        </w:rPr>
        <w:t>reclamar las indemnizaciones pretendidas.</w:t>
      </w:r>
    </w:p>
    <w:p w:rsidR="00024A9E" w:rsidRPr="00EB7E69" w:rsidRDefault="00024A9E" w:rsidP="00EB7E69">
      <w:pPr>
        <w:pStyle w:val="Textoindependiente"/>
        <w:spacing w:line="276" w:lineRule="auto"/>
        <w:rPr>
          <w:rFonts w:ascii="Tahoma" w:hAnsi="Tahoma" w:cs="Tahoma"/>
          <w:b/>
          <w:sz w:val="24"/>
          <w:szCs w:val="24"/>
        </w:rPr>
      </w:pPr>
    </w:p>
    <w:p w:rsidR="00024A9E" w:rsidRPr="00EB7E69" w:rsidRDefault="00024A9E" w:rsidP="00EB7E69">
      <w:pPr>
        <w:pStyle w:val="Textoindependiente"/>
        <w:spacing w:line="276" w:lineRule="auto"/>
        <w:rPr>
          <w:rFonts w:ascii="Tahoma" w:hAnsi="Tahoma" w:cs="Tahoma"/>
          <w:b/>
          <w:sz w:val="24"/>
          <w:szCs w:val="24"/>
        </w:rPr>
      </w:pPr>
      <w:r w:rsidRPr="00EB7E69">
        <w:rPr>
          <w:rFonts w:ascii="Tahoma" w:hAnsi="Tahoma" w:cs="Tahoma"/>
          <w:b/>
          <w:sz w:val="24"/>
          <w:szCs w:val="24"/>
        </w:rPr>
        <w:t>CONCLUSIONES Y DECISIÓN</w:t>
      </w:r>
    </w:p>
    <w:p w:rsidR="00835E4B" w:rsidRPr="00EB7E69" w:rsidRDefault="00024A9E" w:rsidP="00EB7E69">
      <w:pPr>
        <w:pStyle w:val="Textoindependiente"/>
        <w:spacing w:line="276" w:lineRule="auto"/>
        <w:rPr>
          <w:rFonts w:ascii="Tahoma" w:hAnsi="Tahoma" w:cs="Tahoma"/>
          <w:sz w:val="24"/>
          <w:szCs w:val="24"/>
        </w:rPr>
      </w:pPr>
      <w:r w:rsidRPr="00EB7E69">
        <w:rPr>
          <w:rFonts w:ascii="Tahoma" w:hAnsi="Tahoma" w:cs="Tahoma"/>
          <w:sz w:val="24"/>
          <w:szCs w:val="24"/>
        </w:rPr>
        <w:t xml:space="preserve"> </w:t>
      </w:r>
    </w:p>
    <w:p w:rsidR="002A17C1" w:rsidRPr="00EB7E69" w:rsidRDefault="00835E4B" w:rsidP="00EB7E69">
      <w:pPr>
        <w:pStyle w:val="Textoindependiente"/>
        <w:spacing w:line="276" w:lineRule="auto"/>
        <w:rPr>
          <w:rFonts w:ascii="Tahoma" w:hAnsi="Tahoma" w:cs="Tahoma"/>
          <w:b/>
          <w:sz w:val="24"/>
          <w:szCs w:val="24"/>
        </w:rPr>
      </w:pPr>
      <w:r w:rsidRPr="00EB7E69">
        <w:rPr>
          <w:rFonts w:ascii="Tahoma" w:hAnsi="Tahoma" w:cs="Tahoma"/>
          <w:sz w:val="24"/>
          <w:szCs w:val="24"/>
        </w:rPr>
        <w:t>En esas condiciones,</w:t>
      </w:r>
      <w:r w:rsidR="00024A9E" w:rsidRPr="00EB7E69">
        <w:rPr>
          <w:rFonts w:ascii="Tahoma" w:hAnsi="Tahoma" w:cs="Tahoma"/>
          <w:sz w:val="24"/>
          <w:szCs w:val="24"/>
        </w:rPr>
        <w:t xml:space="preserve"> aunque por los motivos aquí expuestos, se confirmará la sentencia que se revisa.</w:t>
      </w:r>
    </w:p>
    <w:p w:rsidR="002A17C1" w:rsidRPr="00EB7E69" w:rsidRDefault="002A17C1" w:rsidP="00EB7E69">
      <w:pPr>
        <w:shd w:val="clear" w:color="auto" w:fill="FFFFFF"/>
        <w:spacing w:line="276" w:lineRule="auto"/>
        <w:jc w:val="both"/>
        <w:rPr>
          <w:rFonts w:ascii="Tahoma" w:hAnsi="Tahoma" w:cs="Tahoma"/>
          <w:sz w:val="24"/>
          <w:szCs w:val="24"/>
        </w:rPr>
      </w:pPr>
    </w:p>
    <w:p w:rsidR="002A17C1" w:rsidRPr="00EB7E69" w:rsidRDefault="00024A9E" w:rsidP="00EB7E69">
      <w:pPr>
        <w:pStyle w:val="Style13"/>
        <w:widowControl/>
        <w:tabs>
          <w:tab w:val="left" w:pos="1344"/>
        </w:tabs>
        <w:spacing w:line="276" w:lineRule="auto"/>
        <w:ind w:firstLine="0"/>
        <w:rPr>
          <w:rFonts w:ascii="Tahoma" w:hAnsi="Tahoma" w:cs="Tahoma"/>
        </w:rPr>
      </w:pPr>
      <w:r w:rsidRPr="00EB7E69">
        <w:rPr>
          <w:rFonts w:ascii="Tahoma" w:hAnsi="Tahoma" w:cs="Tahoma"/>
          <w:lang w:val="es-ES_tradnl"/>
        </w:rPr>
        <w:t xml:space="preserve">La parte actora cancelará las costas causadas en esta sede, </w:t>
      </w:r>
      <w:r w:rsidR="00882B8D" w:rsidRPr="00EB7E69">
        <w:rPr>
          <w:rFonts w:ascii="Tahoma" w:hAnsi="Tahoma" w:cs="Tahoma"/>
          <w:lang w:val="es-ES_tradnl"/>
        </w:rPr>
        <w:t>en favor de la sociedad demandada.</w:t>
      </w:r>
      <w:r w:rsidRPr="00EB7E69">
        <w:rPr>
          <w:rFonts w:ascii="Tahoma" w:hAnsi="Tahoma" w:cs="Tahoma"/>
          <w:lang w:val="es-ES_tradnl"/>
        </w:rPr>
        <w:t xml:space="preserve"> </w:t>
      </w:r>
      <w:r w:rsidR="002A17C1" w:rsidRPr="00EB7E69">
        <w:rPr>
          <w:rFonts w:ascii="Tahoma" w:hAnsi="Tahoma" w:cs="Tahoma"/>
        </w:rPr>
        <w:t>No se fijarán las agencias en derecho</w:t>
      </w:r>
      <w:r w:rsidRPr="00EB7E69">
        <w:rPr>
          <w:rFonts w:ascii="Tahoma" w:hAnsi="Tahoma" w:cs="Tahoma"/>
        </w:rPr>
        <w:t xml:space="preserve"> en esta providencia,</w:t>
      </w:r>
      <w:r w:rsidR="002A17C1" w:rsidRPr="00EB7E69">
        <w:rPr>
          <w:rFonts w:ascii="Tahoma" w:hAnsi="Tahoma" w:cs="Tahoma"/>
        </w:rPr>
        <w:t xml:space="preserve"> porque la mayoría de la Sala, sobre tal aspecto, </w:t>
      </w:r>
      <w:r w:rsidR="00ED558F" w:rsidRPr="00EB7E69">
        <w:rPr>
          <w:rFonts w:ascii="Tahoma" w:hAnsi="Tahoma" w:cs="Tahoma"/>
        </w:rPr>
        <w:t xml:space="preserve">considera que </w:t>
      </w:r>
      <w:r w:rsidR="002A17C1" w:rsidRPr="00EB7E69">
        <w:rPr>
          <w:rFonts w:ascii="Tahoma" w:hAnsi="Tahoma" w:cs="Tahoma"/>
        </w:rPr>
        <w:t>debe aplicarse el Código Gener</w:t>
      </w:r>
      <w:r w:rsidR="00ED558F" w:rsidRPr="00EB7E69">
        <w:rPr>
          <w:rFonts w:ascii="Tahoma" w:hAnsi="Tahoma" w:cs="Tahoma"/>
        </w:rPr>
        <w:t>al del Proceso.</w:t>
      </w:r>
    </w:p>
    <w:p w:rsidR="002A17C1" w:rsidRPr="00EB7E69" w:rsidRDefault="002A17C1" w:rsidP="00EB7E69">
      <w:pPr>
        <w:spacing w:line="276" w:lineRule="auto"/>
        <w:jc w:val="both"/>
        <w:rPr>
          <w:rFonts w:ascii="Tahoma" w:hAnsi="Tahoma" w:cs="Tahoma"/>
          <w:sz w:val="24"/>
          <w:szCs w:val="24"/>
        </w:rPr>
      </w:pPr>
    </w:p>
    <w:p w:rsidR="002A17C1" w:rsidRPr="00EB7E69" w:rsidRDefault="002A17C1" w:rsidP="00EB7E69">
      <w:pPr>
        <w:spacing w:line="276" w:lineRule="auto"/>
        <w:jc w:val="both"/>
        <w:rPr>
          <w:rFonts w:ascii="Tahoma" w:hAnsi="Tahoma" w:cs="Tahoma"/>
          <w:sz w:val="24"/>
          <w:szCs w:val="24"/>
        </w:rPr>
      </w:pPr>
      <w:r w:rsidRPr="00EB7E69">
        <w:rPr>
          <w:rFonts w:ascii="Tahoma" w:hAnsi="Tahoma" w:cs="Tahoma"/>
          <w:sz w:val="24"/>
          <w:szCs w:val="24"/>
        </w:rPr>
        <w:t>Por lo expuesto, la Sala Civil-Familia del Tribunal Superior de Pereira, Risaralda, administrando justicia en nombre de la República y por autoridad de la ley,</w:t>
      </w:r>
    </w:p>
    <w:p w:rsidR="002A17C1" w:rsidRPr="00EB7E69" w:rsidRDefault="002A17C1" w:rsidP="00EB7E69">
      <w:pPr>
        <w:spacing w:line="276" w:lineRule="auto"/>
        <w:jc w:val="both"/>
        <w:rPr>
          <w:rFonts w:ascii="Tahoma" w:hAnsi="Tahoma" w:cs="Tahoma"/>
          <w:sz w:val="24"/>
          <w:szCs w:val="24"/>
        </w:rPr>
      </w:pPr>
    </w:p>
    <w:p w:rsidR="002A17C1" w:rsidRPr="00EB7E69" w:rsidRDefault="002A17C1" w:rsidP="00EB7E69">
      <w:pPr>
        <w:spacing w:line="276" w:lineRule="auto"/>
        <w:jc w:val="both"/>
        <w:rPr>
          <w:rFonts w:ascii="Tahoma" w:hAnsi="Tahoma" w:cs="Tahoma"/>
          <w:b/>
          <w:sz w:val="24"/>
          <w:szCs w:val="24"/>
        </w:rPr>
      </w:pPr>
      <w:r w:rsidRPr="00EB7E69">
        <w:rPr>
          <w:rFonts w:ascii="Tahoma" w:hAnsi="Tahoma" w:cs="Tahoma"/>
          <w:b/>
          <w:sz w:val="24"/>
          <w:szCs w:val="24"/>
        </w:rPr>
        <w:t>RESUELVE:</w:t>
      </w:r>
    </w:p>
    <w:p w:rsidR="002A17C1" w:rsidRPr="00EB7E69" w:rsidRDefault="002A17C1" w:rsidP="00EB7E69">
      <w:pPr>
        <w:spacing w:line="276" w:lineRule="auto"/>
        <w:jc w:val="both"/>
        <w:rPr>
          <w:rFonts w:ascii="Tahoma" w:hAnsi="Tahoma" w:cs="Tahoma"/>
          <w:b/>
          <w:kern w:val="24"/>
          <w:sz w:val="24"/>
          <w:szCs w:val="24"/>
        </w:rPr>
      </w:pPr>
    </w:p>
    <w:p w:rsidR="00024A9E" w:rsidRPr="00EB7E69" w:rsidRDefault="002A17C1" w:rsidP="00EB7E69">
      <w:pPr>
        <w:pStyle w:val="Textoindependiente"/>
        <w:spacing w:line="276" w:lineRule="auto"/>
        <w:rPr>
          <w:rFonts w:ascii="Tahoma" w:hAnsi="Tahoma" w:cs="Tahoma"/>
          <w:sz w:val="24"/>
          <w:szCs w:val="24"/>
        </w:rPr>
      </w:pPr>
      <w:r w:rsidRPr="00EB7E69">
        <w:rPr>
          <w:rFonts w:ascii="Tahoma" w:hAnsi="Tahoma" w:cs="Tahoma"/>
          <w:b/>
          <w:kern w:val="24"/>
          <w:sz w:val="24"/>
          <w:szCs w:val="24"/>
        </w:rPr>
        <w:t>PRIMERO</w:t>
      </w:r>
      <w:r w:rsidR="00882B8D" w:rsidRPr="00EB7E69">
        <w:rPr>
          <w:rFonts w:ascii="Tahoma" w:hAnsi="Tahoma" w:cs="Tahoma"/>
          <w:b/>
          <w:kern w:val="24"/>
          <w:sz w:val="24"/>
          <w:szCs w:val="24"/>
        </w:rPr>
        <w:t xml:space="preserve">: CONFIRMAR </w:t>
      </w:r>
      <w:r w:rsidR="00024A9E" w:rsidRPr="00EB7E69">
        <w:rPr>
          <w:rFonts w:ascii="Tahoma" w:hAnsi="Tahoma" w:cs="Tahoma"/>
          <w:sz w:val="24"/>
          <w:szCs w:val="24"/>
        </w:rPr>
        <w:t xml:space="preserve">la sentencia proferida por el Juzgado Segundo Civil del Circuito de Descongestión de Medellín, el 27 de junio de 2014, en el proceso </w:t>
      </w:r>
      <w:r w:rsidR="00024A9E" w:rsidRPr="00EB7E69">
        <w:rPr>
          <w:rFonts w:ascii="Tahoma" w:hAnsi="Tahoma" w:cs="Tahoma"/>
          <w:sz w:val="24"/>
          <w:szCs w:val="24"/>
        </w:rPr>
        <w:lastRenderedPageBreak/>
        <w:t>ordinario instaurado por los señores Víctor Hugo Tamayo Lopera y Ariel de Jesús Hernández Serna contra la sociedad G y G Asociados Medellín S.A.</w:t>
      </w:r>
    </w:p>
    <w:p w:rsidR="00882B8D" w:rsidRPr="00EB7E69" w:rsidRDefault="00882B8D" w:rsidP="00EB7E69">
      <w:pPr>
        <w:pStyle w:val="Textoindependiente"/>
        <w:spacing w:line="276" w:lineRule="auto"/>
        <w:rPr>
          <w:rFonts w:ascii="Tahoma" w:hAnsi="Tahoma" w:cs="Tahoma"/>
          <w:b/>
          <w:kern w:val="24"/>
          <w:sz w:val="24"/>
          <w:szCs w:val="24"/>
        </w:rPr>
      </w:pPr>
    </w:p>
    <w:p w:rsidR="002A17C1" w:rsidRPr="00EB7E69" w:rsidRDefault="002A17C1" w:rsidP="00EB7E69">
      <w:pPr>
        <w:spacing w:line="276" w:lineRule="auto"/>
        <w:jc w:val="both"/>
        <w:rPr>
          <w:rFonts w:ascii="Tahoma" w:hAnsi="Tahoma" w:cs="Tahoma"/>
          <w:sz w:val="24"/>
          <w:szCs w:val="24"/>
        </w:rPr>
      </w:pPr>
      <w:r w:rsidRPr="00EB7E69">
        <w:rPr>
          <w:rFonts w:ascii="Tahoma" w:hAnsi="Tahoma" w:cs="Tahoma"/>
          <w:b/>
          <w:sz w:val="24"/>
          <w:szCs w:val="24"/>
        </w:rPr>
        <w:t xml:space="preserve">SEGUNDO.- </w:t>
      </w:r>
      <w:r w:rsidRPr="00EB7E69">
        <w:rPr>
          <w:rFonts w:ascii="Tahoma" w:hAnsi="Tahoma" w:cs="Tahoma"/>
          <w:sz w:val="24"/>
          <w:szCs w:val="24"/>
        </w:rPr>
        <w:t xml:space="preserve">Costas en </w:t>
      </w:r>
      <w:r w:rsidR="00ED558F" w:rsidRPr="00EB7E69">
        <w:rPr>
          <w:rFonts w:ascii="Tahoma" w:hAnsi="Tahoma" w:cs="Tahoma"/>
          <w:sz w:val="24"/>
          <w:szCs w:val="24"/>
        </w:rPr>
        <w:t xml:space="preserve">esta </w:t>
      </w:r>
      <w:r w:rsidRPr="00EB7E69">
        <w:rPr>
          <w:rFonts w:ascii="Tahoma" w:hAnsi="Tahoma" w:cs="Tahoma"/>
          <w:sz w:val="24"/>
          <w:szCs w:val="24"/>
        </w:rPr>
        <w:t>instancia a cargo de</w:t>
      </w:r>
      <w:r w:rsidR="00ED558F" w:rsidRPr="00EB7E69">
        <w:rPr>
          <w:rFonts w:ascii="Tahoma" w:hAnsi="Tahoma" w:cs="Tahoma"/>
          <w:sz w:val="24"/>
          <w:szCs w:val="24"/>
        </w:rPr>
        <w:t xml:space="preserve"> </w:t>
      </w:r>
      <w:r w:rsidRPr="00EB7E69">
        <w:rPr>
          <w:rFonts w:ascii="Tahoma" w:hAnsi="Tahoma" w:cs="Tahoma"/>
          <w:sz w:val="24"/>
          <w:szCs w:val="24"/>
        </w:rPr>
        <w:t>l</w:t>
      </w:r>
      <w:r w:rsidR="00ED558F" w:rsidRPr="00EB7E69">
        <w:rPr>
          <w:rFonts w:ascii="Tahoma" w:hAnsi="Tahoma" w:cs="Tahoma"/>
          <w:sz w:val="24"/>
          <w:szCs w:val="24"/>
        </w:rPr>
        <w:t>os</w:t>
      </w:r>
      <w:r w:rsidRPr="00EB7E69">
        <w:rPr>
          <w:rFonts w:ascii="Tahoma" w:hAnsi="Tahoma" w:cs="Tahoma"/>
          <w:sz w:val="24"/>
          <w:szCs w:val="24"/>
        </w:rPr>
        <w:t xml:space="preserve"> demandante</w:t>
      </w:r>
      <w:r w:rsidR="00ED558F" w:rsidRPr="00EB7E69">
        <w:rPr>
          <w:rFonts w:ascii="Tahoma" w:hAnsi="Tahoma" w:cs="Tahoma"/>
          <w:sz w:val="24"/>
          <w:szCs w:val="24"/>
        </w:rPr>
        <w:t>s</w:t>
      </w:r>
      <w:r w:rsidRPr="00EB7E69">
        <w:rPr>
          <w:rFonts w:ascii="Tahoma" w:hAnsi="Tahoma" w:cs="Tahoma"/>
          <w:sz w:val="24"/>
          <w:szCs w:val="24"/>
        </w:rPr>
        <w:t xml:space="preserve"> y en favor de l</w:t>
      </w:r>
      <w:r w:rsidR="00ED558F" w:rsidRPr="00EB7E69">
        <w:rPr>
          <w:rFonts w:ascii="Tahoma" w:hAnsi="Tahoma" w:cs="Tahoma"/>
          <w:sz w:val="24"/>
          <w:szCs w:val="24"/>
        </w:rPr>
        <w:t>a sociedad demandada</w:t>
      </w:r>
      <w:r w:rsidRPr="00EB7E69">
        <w:rPr>
          <w:rFonts w:ascii="Tahoma" w:hAnsi="Tahoma" w:cs="Tahoma"/>
          <w:sz w:val="24"/>
          <w:szCs w:val="24"/>
        </w:rPr>
        <w:t>.</w:t>
      </w:r>
      <w:r w:rsidR="00A60786" w:rsidRPr="00EB7E69">
        <w:rPr>
          <w:rFonts w:ascii="Tahoma" w:hAnsi="Tahoma" w:cs="Tahoma"/>
          <w:sz w:val="24"/>
          <w:szCs w:val="24"/>
        </w:rPr>
        <w:t xml:space="preserve"> Las agencias en derecho se fijarán por auto posterior.</w:t>
      </w:r>
    </w:p>
    <w:p w:rsidR="002A17C1" w:rsidRPr="00EB7E69" w:rsidRDefault="002A17C1" w:rsidP="00EB7E69">
      <w:pPr>
        <w:spacing w:line="276" w:lineRule="auto"/>
        <w:jc w:val="both"/>
        <w:rPr>
          <w:rFonts w:ascii="Tahoma" w:hAnsi="Tahoma" w:cs="Tahoma"/>
          <w:sz w:val="24"/>
          <w:szCs w:val="24"/>
        </w:rPr>
      </w:pPr>
    </w:p>
    <w:p w:rsidR="002A17C1" w:rsidRPr="00EB7E69" w:rsidRDefault="002A17C1" w:rsidP="00EB7E69">
      <w:pPr>
        <w:spacing w:line="276" w:lineRule="auto"/>
        <w:jc w:val="both"/>
        <w:rPr>
          <w:rFonts w:ascii="Tahoma" w:hAnsi="Tahoma" w:cs="Tahoma"/>
          <w:b/>
          <w:sz w:val="24"/>
          <w:szCs w:val="24"/>
        </w:rPr>
      </w:pPr>
      <w:r w:rsidRPr="00EB7E69">
        <w:rPr>
          <w:rFonts w:ascii="Tahoma" w:hAnsi="Tahoma" w:cs="Tahoma"/>
          <w:b/>
          <w:sz w:val="24"/>
          <w:szCs w:val="24"/>
        </w:rPr>
        <w:t xml:space="preserve">Notifíquese y cúmplase, </w:t>
      </w:r>
    </w:p>
    <w:p w:rsidR="002A17C1" w:rsidRPr="00EB7E69" w:rsidRDefault="002A17C1" w:rsidP="00EB7E69">
      <w:pPr>
        <w:spacing w:line="276" w:lineRule="auto"/>
        <w:jc w:val="both"/>
        <w:rPr>
          <w:rFonts w:ascii="Tahoma" w:hAnsi="Tahoma" w:cs="Tahoma"/>
          <w:sz w:val="24"/>
          <w:szCs w:val="24"/>
        </w:rPr>
      </w:pPr>
    </w:p>
    <w:p w:rsidR="00EB7E69" w:rsidRPr="00EB7E69" w:rsidRDefault="00EB7E69" w:rsidP="00EB7E69">
      <w:pPr>
        <w:spacing w:line="300" w:lineRule="auto"/>
        <w:jc w:val="both"/>
        <w:rPr>
          <w:rFonts w:ascii="Tahoma" w:hAnsi="Tahoma" w:cs="Tahoma"/>
          <w:sz w:val="24"/>
          <w:szCs w:val="24"/>
        </w:rPr>
      </w:pPr>
      <w:r w:rsidRPr="00EB7E69">
        <w:rPr>
          <w:rFonts w:ascii="Tahoma" w:hAnsi="Tahoma" w:cs="Tahoma"/>
          <w:sz w:val="24"/>
          <w:szCs w:val="24"/>
        </w:rPr>
        <w:t>Los Magistrados,</w:t>
      </w:r>
    </w:p>
    <w:p w:rsidR="00EB7E69" w:rsidRPr="00EB7E69" w:rsidRDefault="00EB7E69" w:rsidP="00EB7E69">
      <w:pPr>
        <w:spacing w:line="276" w:lineRule="auto"/>
        <w:jc w:val="both"/>
        <w:rPr>
          <w:rFonts w:ascii="Tahoma" w:hAnsi="Tahoma" w:cs="Tahoma"/>
          <w:sz w:val="24"/>
          <w:szCs w:val="24"/>
        </w:rPr>
      </w:pPr>
    </w:p>
    <w:p w:rsidR="00EB7E69" w:rsidRPr="00EB7E69" w:rsidRDefault="00EB7E69" w:rsidP="00EB7E69">
      <w:pPr>
        <w:spacing w:line="276" w:lineRule="auto"/>
        <w:jc w:val="both"/>
        <w:rPr>
          <w:rFonts w:ascii="Tahoma" w:hAnsi="Tahoma" w:cs="Tahoma"/>
          <w:sz w:val="24"/>
          <w:szCs w:val="24"/>
        </w:rPr>
      </w:pPr>
    </w:p>
    <w:p w:rsidR="00EB7E69" w:rsidRPr="00EB7E69" w:rsidRDefault="00EB7E69" w:rsidP="00EB7E69">
      <w:pPr>
        <w:spacing w:line="276" w:lineRule="auto"/>
        <w:ind w:left="1416" w:firstLine="708"/>
        <w:jc w:val="both"/>
        <w:rPr>
          <w:rFonts w:ascii="Tahoma" w:hAnsi="Tahoma" w:cs="Tahoma"/>
          <w:b/>
          <w:sz w:val="24"/>
          <w:szCs w:val="24"/>
        </w:rPr>
      </w:pPr>
      <w:r w:rsidRPr="00EB7E69">
        <w:rPr>
          <w:rFonts w:ascii="Tahoma" w:hAnsi="Tahoma" w:cs="Tahoma"/>
          <w:b/>
          <w:sz w:val="24"/>
          <w:szCs w:val="24"/>
        </w:rPr>
        <w:t>CLAUDIA MARÍA ARCILA RÍOS</w:t>
      </w:r>
    </w:p>
    <w:p w:rsidR="00EB7E69" w:rsidRPr="00EB7E69" w:rsidRDefault="00EB7E69" w:rsidP="00EB7E69">
      <w:pPr>
        <w:spacing w:line="276" w:lineRule="auto"/>
        <w:ind w:firstLine="708"/>
        <w:jc w:val="both"/>
        <w:rPr>
          <w:rFonts w:ascii="Tahoma" w:hAnsi="Tahoma" w:cs="Tahoma"/>
          <w:b/>
          <w:sz w:val="24"/>
          <w:szCs w:val="24"/>
        </w:rPr>
      </w:pPr>
      <w:r>
        <w:rPr>
          <w:rFonts w:ascii="Tahoma" w:hAnsi="Tahoma" w:cs="Tahoma"/>
          <w:sz w:val="24"/>
          <w:szCs w:val="24"/>
        </w:rPr>
        <w:tab/>
      </w:r>
      <w:r>
        <w:rPr>
          <w:rFonts w:ascii="Tahoma" w:hAnsi="Tahoma" w:cs="Tahoma"/>
          <w:sz w:val="24"/>
          <w:szCs w:val="24"/>
        </w:rPr>
        <w:tab/>
        <w:t>Con salvamento parcial de voto</w:t>
      </w:r>
    </w:p>
    <w:p w:rsidR="00EB7E69" w:rsidRPr="00EB7E69" w:rsidRDefault="00EB7E69" w:rsidP="00EB7E69">
      <w:pPr>
        <w:spacing w:line="276" w:lineRule="auto"/>
        <w:ind w:firstLine="708"/>
        <w:jc w:val="both"/>
        <w:rPr>
          <w:rFonts w:ascii="Tahoma" w:hAnsi="Tahoma" w:cs="Tahoma"/>
          <w:sz w:val="24"/>
          <w:szCs w:val="24"/>
        </w:rPr>
      </w:pPr>
    </w:p>
    <w:p w:rsidR="00EB7E69" w:rsidRPr="00EB7E69" w:rsidRDefault="00EB7E69" w:rsidP="00EB7E69">
      <w:pPr>
        <w:spacing w:line="276" w:lineRule="auto"/>
        <w:ind w:firstLine="708"/>
        <w:jc w:val="both"/>
        <w:rPr>
          <w:rFonts w:ascii="Tahoma" w:hAnsi="Tahoma" w:cs="Tahoma"/>
          <w:sz w:val="24"/>
          <w:szCs w:val="24"/>
        </w:rPr>
      </w:pPr>
    </w:p>
    <w:p w:rsidR="00EB7E69" w:rsidRPr="00EB7E69" w:rsidRDefault="00EB7E69" w:rsidP="00EB7E69">
      <w:pPr>
        <w:spacing w:line="276" w:lineRule="auto"/>
        <w:ind w:firstLine="708"/>
        <w:jc w:val="both"/>
        <w:rPr>
          <w:rFonts w:ascii="Tahoma" w:hAnsi="Tahoma" w:cs="Tahoma"/>
          <w:sz w:val="24"/>
          <w:szCs w:val="24"/>
        </w:rPr>
      </w:pPr>
      <w:r w:rsidRPr="00EB7E69">
        <w:rPr>
          <w:rFonts w:ascii="Tahoma" w:hAnsi="Tahoma" w:cs="Tahoma"/>
          <w:sz w:val="24"/>
          <w:szCs w:val="24"/>
        </w:rPr>
        <w:tab/>
      </w:r>
      <w:r w:rsidRPr="00EB7E69">
        <w:rPr>
          <w:rFonts w:ascii="Tahoma" w:hAnsi="Tahoma" w:cs="Tahoma"/>
          <w:sz w:val="24"/>
          <w:szCs w:val="24"/>
        </w:rPr>
        <w:tab/>
      </w:r>
    </w:p>
    <w:p w:rsidR="00EB7E69" w:rsidRPr="00EB7E69" w:rsidRDefault="00EB7E69" w:rsidP="00EB7E69">
      <w:pPr>
        <w:spacing w:line="276" w:lineRule="auto"/>
        <w:ind w:left="1416" w:firstLine="708"/>
        <w:jc w:val="both"/>
        <w:rPr>
          <w:rFonts w:ascii="Tahoma" w:hAnsi="Tahoma" w:cs="Tahoma"/>
          <w:b/>
          <w:sz w:val="24"/>
          <w:szCs w:val="24"/>
        </w:rPr>
      </w:pPr>
      <w:r w:rsidRPr="00EB7E69">
        <w:rPr>
          <w:rFonts w:ascii="Tahoma" w:hAnsi="Tahoma" w:cs="Tahoma"/>
          <w:b/>
          <w:sz w:val="24"/>
          <w:szCs w:val="24"/>
        </w:rPr>
        <w:t>DUBERNEY HERRERA GRISALES</w:t>
      </w:r>
    </w:p>
    <w:p w:rsidR="00EB7E69" w:rsidRPr="00EB7E69" w:rsidRDefault="00EB7E69" w:rsidP="00EB7E69">
      <w:pPr>
        <w:spacing w:line="276" w:lineRule="auto"/>
        <w:jc w:val="both"/>
        <w:rPr>
          <w:rFonts w:ascii="Tahoma" w:hAnsi="Tahoma" w:cs="Tahoma"/>
          <w:sz w:val="24"/>
          <w:szCs w:val="24"/>
        </w:rPr>
      </w:pPr>
    </w:p>
    <w:p w:rsidR="00EB7E69" w:rsidRPr="00EB7E69" w:rsidRDefault="00EB7E69" w:rsidP="00EB7E69">
      <w:pPr>
        <w:spacing w:line="276" w:lineRule="auto"/>
        <w:jc w:val="both"/>
        <w:rPr>
          <w:rFonts w:ascii="Tahoma" w:hAnsi="Tahoma" w:cs="Tahoma"/>
          <w:sz w:val="24"/>
          <w:szCs w:val="24"/>
        </w:rPr>
      </w:pPr>
    </w:p>
    <w:p w:rsidR="00EB7E69" w:rsidRPr="00EB7E69" w:rsidRDefault="00EB7E69" w:rsidP="00EB7E69">
      <w:pPr>
        <w:spacing w:line="276" w:lineRule="auto"/>
        <w:jc w:val="both"/>
        <w:rPr>
          <w:rFonts w:ascii="Tahoma" w:hAnsi="Tahoma" w:cs="Tahoma"/>
          <w:sz w:val="24"/>
          <w:szCs w:val="24"/>
        </w:rPr>
      </w:pPr>
      <w:r w:rsidRPr="00EB7E69">
        <w:rPr>
          <w:rFonts w:ascii="Tahoma" w:hAnsi="Tahoma" w:cs="Tahoma"/>
          <w:sz w:val="24"/>
          <w:szCs w:val="24"/>
        </w:rPr>
        <w:t xml:space="preserve">       </w:t>
      </w:r>
      <w:r w:rsidRPr="00EB7E69">
        <w:rPr>
          <w:rFonts w:ascii="Tahoma" w:hAnsi="Tahoma" w:cs="Tahoma"/>
          <w:sz w:val="24"/>
          <w:szCs w:val="24"/>
        </w:rPr>
        <w:tab/>
      </w:r>
      <w:r w:rsidRPr="00EB7E69">
        <w:rPr>
          <w:rFonts w:ascii="Tahoma" w:hAnsi="Tahoma" w:cs="Tahoma"/>
          <w:sz w:val="24"/>
          <w:szCs w:val="24"/>
        </w:rPr>
        <w:tab/>
        <w:t xml:space="preserve">       </w:t>
      </w:r>
      <w:r w:rsidRPr="00EB7E69">
        <w:rPr>
          <w:rFonts w:ascii="Tahoma" w:hAnsi="Tahoma" w:cs="Tahoma"/>
          <w:sz w:val="24"/>
          <w:szCs w:val="24"/>
        </w:rPr>
        <w:tab/>
      </w:r>
    </w:p>
    <w:p w:rsidR="005E53CF" w:rsidRDefault="00EB7E69" w:rsidP="005E53CF">
      <w:pPr>
        <w:spacing w:line="276" w:lineRule="auto"/>
        <w:ind w:left="1416" w:firstLine="708"/>
        <w:jc w:val="both"/>
        <w:rPr>
          <w:rFonts w:ascii="Tahoma" w:hAnsi="Tahoma" w:cs="Tahoma"/>
          <w:b/>
          <w:sz w:val="24"/>
          <w:szCs w:val="24"/>
        </w:rPr>
      </w:pPr>
      <w:r w:rsidRPr="00EB7E69">
        <w:rPr>
          <w:rFonts w:ascii="Tahoma" w:hAnsi="Tahoma" w:cs="Tahoma"/>
          <w:b/>
          <w:sz w:val="24"/>
          <w:szCs w:val="24"/>
        </w:rPr>
        <w:t>EDDER JIMMY SÁNCHEZ CALAMBÁS</w:t>
      </w:r>
    </w:p>
    <w:p w:rsidR="005E53CF" w:rsidRDefault="005E53CF" w:rsidP="005E53CF">
      <w:pPr>
        <w:spacing w:line="276" w:lineRule="auto"/>
        <w:jc w:val="both"/>
        <w:rPr>
          <w:rFonts w:ascii="Tahoma" w:hAnsi="Tahoma" w:cs="Tahoma"/>
          <w:sz w:val="24"/>
          <w:szCs w:val="24"/>
        </w:rPr>
      </w:pPr>
    </w:p>
    <w:p w:rsidR="005E53CF" w:rsidRPr="005E53CF" w:rsidRDefault="005E53CF" w:rsidP="005E53CF">
      <w:pPr>
        <w:spacing w:line="276" w:lineRule="auto"/>
        <w:jc w:val="both"/>
        <w:rPr>
          <w:rFonts w:ascii="Tahoma" w:hAnsi="Tahoma" w:cs="Tahoma"/>
          <w:spacing w:val="-4"/>
          <w:sz w:val="24"/>
          <w:szCs w:val="24"/>
        </w:rPr>
      </w:pPr>
      <w:r>
        <w:rPr>
          <w:rFonts w:ascii="Tahoma" w:hAnsi="Tahoma" w:cs="Tahoma"/>
          <w:sz w:val="24"/>
          <w:szCs w:val="24"/>
        </w:rPr>
        <w:br w:type="page"/>
      </w:r>
      <w:r w:rsidRPr="005E53CF">
        <w:rPr>
          <w:rFonts w:ascii="Tahoma" w:hAnsi="Tahoma" w:cs="Tahoma"/>
          <w:spacing w:val="-4"/>
          <w:sz w:val="24"/>
          <w:szCs w:val="24"/>
        </w:rPr>
        <w:lastRenderedPageBreak/>
        <w:t>Pereira, julio 9 de 2020</w:t>
      </w:r>
    </w:p>
    <w:p w:rsidR="005E53CF" w:rsidRPr="005E53CF" w:rsidRDefault="005E53CF" w:rsidP="005E53CF">
      <w:pPr>
        <w:spacing w:line="276" w:lineRule="auto"/>
        <w:jc w:val="both"/>
        <w:rPr>
          <w:rFonts w:ascii="Tahoma" w:hAnsi="Tahoma" w:cs="Tahoma"/>
          <w:spacing w:val="-4"/>
          <w:sz w:val="24"/>
          <w:szCs w:val="24"/>
        </w:rPr>
      </w:pPr>
    </w:p>
    <w:p w:rsidR="005E53CF" w:rsidRPr="005E53CF" w:rsidRDefault="005E53CF" w:rsidP="005E53CF">
      <w:pPr>
        <w:spacing w:line="276" w:lineRule="auto"/>
        <w:jc w:val="both"/>
        <w:rPr>
          <w:rFonts w:ascii="Tahoma" w:hAnsi="Tahoma" w:cs="Tahoma"/>
          <w:spacing w:val="-4"/>
          <w:sz w:val="24"/>
          <w:szCs w:val="24"/>
        </w:rPr>
      </w:pPr>
    </w:p>
    <w:p w:rsidR="005E53CF" w:rsidRPr="005E53CF" w:rsidRDefault="005E53CF" w:rsidP="005E53CF">
      <w:pPr>
        <w:spacing w:line="276" w:lineRule="auto"/>
        <w:jc w:val="both"/>
        <w:rPr>
          <w:rFonts w:ascii="Tahoma" w:hAnsi="Tahoma" w:cs="Tahoma"/>
          <w:b/>
          <w:spacing w:val="-4"/>
          <w:sz w:val="24"/>
          <w:szCs w:val="24"/>
        </w:rPr>
      </w:pPr>
      <w:r w:rsidRPr="005E53CF">
        <w:rPr>
          <w:rFonts w:ascii="Tahoma" w:hAnsi="Tahoma" w:cs="Tahoma"/>
          <w:b/>
          <w:spacing w:val="-4"/>
          <w:sz w:val="24"/>
          <w:szCs w:val="24"/>
        </w:rPr>
        <w:t>SALVAMENTO  PARCIAL DE VOTO</w:t>
      </w:r>
    </w:p>
    <w:p w:rsidR="005E53CF" w:rsidRPr="005E53CF" w:rsidRDefault="005E53CF" w:rsidP="005E53CF">
      <w:pPr>
        <w:spacing w:line="276" w:lineRule="auto"/>
        <w:jc w:val="both"/>
        <w:rPr>
          <w:rFonts w:ascii="Tahoma" w:hAnsi="Tahoma" w:cs="Tahoma"/>
          <w:spacing w:val="-4"/>
          <w:sz w:val="24"/>
          <w:szCs w:val="24"/>
        </w:rPr>
      </w:pPr>
    </w:p>
    <w:p w:rsidR="005E53CF" w:rsidRPr="005E53CF" w:rsidRDefault="005E53CF" w:rsidP="005E53CF">
      <w:pPr>
        <w:spacing w:line="276" w:lineRule="auto"/>
        <w:jc w:val="both"/>
        <w:rPr>
          <w:rFonts w:ascii="Tahoma" w:hAnsi="Tahoma" w:cs="Tahoma"/>
          <w:spacing w:val="-4"/>
          <w:sz w:val="24"/>
          <w:szCs w:val="24"/>
        </w:rPr>
      </w:pPr>
    </w:p>
    <w:p w:rsidR="005E53CF" w:rsidRPr="005E53CF" w:rsidRDefault="005E53CF" w:rsidP="005E53CF">
      <w:pPr>
        <w:jc w:val="both"/>
        <w:rPr>
          <w:rFonts w:ascii="Tahoma" w:hAnsi="Tahoma" w:cs="Tahoma"/>
          <w:spacing w:val="-4"/>
          <w:sz w:val="24"/>
          <w:szCs w:val="24"/>
        </w:rPr>
      </w:pPr>
      <w:r w:rsidRPr="005E53CF">
        <w:rPr>
          <w:rFonts w:ascii="Tahoma" w:hAnsi="Tahoma" w:cs="Tahoma"/>
          <w:spacing w:val="-4"/>
          <w:sz w:val="24"/>
          <w:szCs w:val="24"/>
        </w:rPr>
        <w:t>Magistrado Ponente: Claudia María Arcila Ríos</w:t>
      </w:r>
    </w:p>
    <w:p w:rsidR="005E53CF" w:rsidRPr="005E53CF" w:rsidRDefault="005E53CF" w:rsidP="005E53CF">
      <w:pPr>
        <w:jc w:val="both"/>
        <w:rPr>
          <w:rFonts w:ascii="Tahoma" w:hAnsi="Tahoma" w:cs="Tahoma"/>
          <w:spacing w:val="-4"/>
          <w:sz w:val="24"/>
          <w:szCs w:val="24"/>
        </w:rPr>
      </w:pPr>
      <w:r w:rsidRPr="005E53CF">
        <w:rPr>
          <w:rFonts w:ascii="Tahoma" w:hAnsi="Tahoma" w:cs="Tahoma"/>
          <w:spacing w:val="-4"/>
          <w:sz w:val="24"/>
          <w:szCs w:val="24"/>
        </w:rPr>
        <w:t>Expediente No.: 05001-31-03-008-2007-00366-01</w:t>
      </w:r>
    </w:p>
    <w:p w:rsidR="005E53CF" w:rsidRPr="005E53CF" w:rsidRDefault="005E53CF" w:rsidP="005E53CF">
      <w:pPr>
        <w:jc w:val="both"/>
        <w:rPr>
          <w:rFonts w:ascii="Tahoma" w:hAnsi="Tahoma" w:cs="Tahoma"/>
          <w:spacing w:val="-4"/>
          <w:sz w:val="24"/>
          <w:szCs w:val="24"/>
        </w:rPr>
      </w:pPr>
      <w:r w:rsidRPr="005E53CF">
        <w:rPr>
          <w:rFonts w:ascii="Tahoma" w:hAnsi="Tahoma" w:cs="Tahoma"/>
          <w:spacing w:val="-4"/>
          <w:sz w:val="24"/>
          <w:szCs w:val="24"/>
        </w:rPr>
        <w:t>Proceso: Ordinario</w:t>
      </w:r>
    </w:p>
    <w:p w:rsidR="005E53CF" w:rsidRPr="005E53CF" w:rsidRDefault="005E53CF" w:rsidP="005E53CF">
      <w:pPr>
        <w:ind w:left="2836" w:hanging="2835"/>
        <w:jc w:val="both"/>
        <w:rPr>
          <w:rFonts w:ascii="Tahoma" w:hAnsi="Tahoma" w:cs="Tahoma"/>
          <w:spacing w:val="-4"/>
          <w:sz w:val="24"/>
          <w:szCs w:val="24"/>
        </w:rPr>
      </w:pPr>
      <w:r w:rsidRPr="005E53CF">
        <w:rPr>
          <w:rFonts w:ascii="Tahoma" w:hAnsi="Tahoma" w:cs="Tahoma"/>
          <w:spacing w:val="-4"/>
          <w:sz w:val="24"/>
          <w:szCs w:val="24"/>
        </w:rPr>
        <w:t>Demandantes: Víctor Hugo Tamayo Lopera y otro.</w:t>
      </w:r>
    </w:p>
    <w:p w:rsidR="005E53CF" w:rsidRPr="005E53CF" w:rsidRDefault="005E53CF" w:rsidP="005E53CF">
      <w:pPr>
        <w:ind w:left="2836" w:hanging="2835"/>
        <w:jc w:val="both"/>
        <w:rPr>
          <w:rFonts w:ascii="Tahoma" w:hAnsi="Tahoma" w:cs="Tahoma"/>
          <w:spacing w:val="-4"/>
          <w:sz w:val="24"/>
          <w:szCs w:val="24"/>
        </w:rPr>
      </w:pPr>
      <w:r w:rsidRPr="005E53CF">
        <w:rPr>
          <w:rFonts w:ascii="Tahoma" w:hAnsi="Tahoma" w:cs="Tahoma"/>
          <w:spacing w:val="-4"/>
          <w:sz w:val="24"/>
          <w:szCs w:val="24"/>
        </w:rPr>
        <w:t xml:space="preserve">Demandado: Sociedad G Y G Asociados Medellín </w:t>
      </w:r>
    </w:p>
    <w:p w:rsidR="005E53CF" w:rsidRPr="005E53CF" w:rsidRDefault="005E53CF" w:rsidP="005E53CF">
      <w:pPr>
        <w:spacing w:line="276" w:lineRule="auto"/>
        <w:jc w:val="both"/>
        <w:rPr>
          <w:rFonts w:ascii="Tahoma" w:hAnsi="Tahoma" w:cs="Tahoma"/>
          <w:spacing w:val="-6"/>
          <w:sz w:val="24"/>
          <w:szCs w:val="24"/>
          <w:lang w:val="es-ES"/>
        </w:rPr>
      </w:pPr>
    </w:p>
    <w:p w:rsidR="005E53CF" w:rsidRPr="005E53CF" w:rsidRDefault="005E53CF" w:rsidP="005E53CF">
      <w:pPr>
        <w:spacing w:line="276" w:lineRule="auto"/>
        <w:jc w:val="both"/>
        <w:rPr>
          <w:rFonts w:ascii="Tahoma" w:hAnsi="Tahoma" w:cs="Tahoma"/>
          <w:spacing w:val="-6"/>
          <w:sz w:val="24"/>
          <w:szCs w:val="24"/>
          <w:lang w:val="es-ES"/>
        </w:rPr>
      </w:pPr>
    </w:p>
    <w:p w:rsidR="005E53CF" w:rsidRPr="005E53CF" w:rsidRDefault="005E53CF" w:rsidP="005E53CF">
      <w:pPr>
        <w:spacing w:line="276" w:lineRule="auto"/>
        <w:jc w:val="both"/>
        <w:rPr>
          <w:rFonts w:ascii="Tahoma" w:hAnsi="Tahoma" w:cs="Tahoma"/>
          <w:spacing w:val="-6"/>
          <w:sz w:val="24"/>
          <w:szCs w:val="24"/>
          <w:lang w:val="es-ES"/>
        </w:rPr>
      </w:pPr>
      <w:r w:rsidRPr="005E53CF">
        <w:rPr>
          <w:rFonts w:ascii="Tahoma" w:hAnsi="Tahoma" w:cs="Tahoma"/>
          <w:spacing w:val="-6"/>
          <w:sz w:val="24"/>
          <w:szCs w:val="24"/>
          <w:lang w:val="es-ES"/>
        </w:rPr>
        <w:t>Con todo el respeto que merecen mis demás compañeros de Sala, a continuación expongo la razón por la que me aparté parcialmente de la decisión que por mayoría se aprobó, en la sentencia proferida en la fecha, en el proceso de la referencia, concretamente la que se relaciona con lo relativo a la condena en costas que en ella se impuso.</w:t>
      </w:r>
    </w:p>
    <w:p w:rsidR="005E53CF" w:rsidRPr="005E53CF" w:rsidRDefault="005E53CF" w:rsidP="005E53CF">
      <w:pPr>
        <w:spacing w:line="276" w:lineRule="auto"/>
        <w:jc w:val="both"/>
        <w:rPr>
          <w:rFonts w:ascii="Tahoma" w:hAnsi="Tahoma" w:cs="Tahoma"/>
          <w:spacing w:val="-6"/>
          <w:sz w:val="24"/>
          <w:szCs w:val="24"/>
          <w:lang w:val="es-ES"/>
        </w:rPr>
      </w:pPr>
      <w:r w:rsidRPr="005E53CF">
        <w:rPr>
          <w:rFonts w:ascii="Tahoma" w:hAnsi="Tahoma" w:cs="Tahoma"/>
          <w:spacing w:val="-6"/>
          <w:sz w:val="24"/>
          <w:szCs w:val="24"/>
          <w:lang w:val="es-ES"/>
        </w:rPr>
        <w:t xml:space="preserve"> </w:t>
      </w:r>
    </w:p>
    <w:p w:rsidR="005E53CF" w:rsidRPr="005E53CF" w:rsidRDefault="005E53CF" w:rsidP="005E53CF">
      <w:pPr>
        <w:spacing w:line="276" w:lineRule="auto"/>
        <w:jc w:val="both"/>
        <w:rPr>
          <w:rFonts w:ascii="Tahoma" w:hAnsi="Tahoma" w:cs="Tahoma"/>
          <w:spacing w:val="-6"/>
          <w:sz w:val="24"/>
          <w:szCs w:val="24"/>
          <w:lang w:val="es-ES"/>
        </w:rPr>
      </w:pPr>
      <w:r w:rsidRPr="005E53CF">
        <w:rPr>
          <w:rFonts w:ascii="Tahoma" w:hAnsi="Tahoma" w:cs="Tahoma"/>
          <w:spacing w:val="-6"/>
          <w:sz w:val="24"/>
          <w:szCs w:val="24"/>
          <w:lang w:val="es-ES"/>
        </w:rPr>
        <w:t>A mi juicio, han debido tasarse las agencias en derecho en el fallo porque así lo dispone el numeral 2º del artículo 392 del Código de Procedimiento Civil, modificado por el 19 de la ley 1395 de 2010, y liquidarse las costas en esta sede, de acuerdo con el numeral 1º del artículo 393 de la misma obra, aunque en la actualidad esté vigente el Código General del Proceso que ya no manda hacerlo así y con fundamento en las reglas sobre la aplicación de la ley procesal en el tiempo.</w:t>
      </w:r>
    </w:p>
    <w:p w:rsidR="005E53CF" w:rsidRPr="005E53CF" w:rsidRDefault="005E53CF" w:rsidP="005E53CF">
      <w:pPr>
        <w:spacing w:line="276" w:lineRule="auto"/>
        <w:jc w:val="both"/>
        <w:rPr>
          <w:rFonts w:ascii="Tahoma" w:hAnsi="Tahoma" w:cs="Tahoma"/>
          <w:spacing w:val="-6"/>
          <w:sz w:val="24"/>
          <w:szCs w:val="24"/>
          <w:lang w:val="es-ES"/>
        </w:rPr>
      </w:pPr>
    </w:p>
    <w:p w:rsidR="005E53CF" w:rsidRPr="005E53CF" w:rsidRDefault="005E53CF" w:rsidP="005E53CF">
      <w:pPr>
        <w:spacing w:line="276" w:lineRule="auto"/>
        <w:jc w:val="both"/>
        <w:rPr>
          <w:rFonts w:ascii="Tahoma" w:hAnsi="Tahoma" w:cs="Tahoma"/>
          <w:spacing w:val="-6"/>
          <w:sz w:val="24"/>
          <w:szCs w:val="24"/>
          <w:lang w:val="es-ES"/>
        </w:rPr>
      </w:pPr>
      <w:r w:rsidRPr="005E53CF">
        <w:rPr>
          <w:rFonts w:ascii="Tahoma" w:hAnsi="Tahoma" w:cs="Tahoma"/>
          <w:spacing w:val="-6"/>
          <w:sz w:val="24"/>
          <w:szCs w:val="24"/>
          <w:lang w:val="es-ES"/>
        </w:rPr>
        <w:t xml:space="preserve">En efecto, como el recurso de apelación contra la providencia proferida en primera instancia se interpuso en vigencia del Código de Procedimiento Civil, es ese estatuto el que debe aplicarse durante todo el trámite de la alzada de acuerdo con el artículo 40 de la ley 153 de 1887, modificado por el 624 del Código General del Proceso, que dice: </w:t>
      </w:r>
    </w:p>
    <w:p w:rsidR="005E53CF" w:rsidRPr="005E53CF" w:rsidRDefault="005E53CF" w:rsidP="005E53CF">
      <w:pPr>
        <w:spacing w:line="276" w:lineRule="auto"/>
        <w:jc w:val="both"/>
        <w:rPr>
          <w:rFonts w:ascii="Tahoma" w:hAnsi="Tahoma" w:cs="Tahoma"/>
          <w:spacing w:val="-6"/>
          <w:sz w:val="24"/>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“Las leyes concernientes a la sustanciación y ritualidad de los juicios prevalecen sobre las anteriores desde el momento en que deben empezar a regir.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La competencia para tramitar el proceso se regirá por la legislación vigente en el momento de formulación de la demanda con que se promueva, salvo que la ley elimine dicha autoridad”. </w:t>
      </w:r>
    </w:p>
    <w:p w:rsidR="005E53CF" w:rsidRPr="005E53CF" w:rsidRDefault="005E53CF" w:rsidP="005E53CF">
      <w:pPr>
        <w:spacing w:line="276" w:lineRule="auto"/>
        <w:jc w:val="both"/>
        <w:rPr>
          <w:rFonts w:ascii="Tahoma" w:hAnsi="Tahoma" w:cs="Tahoma"/>
          <w:i/>
          <w:spacing w:val="-6"/>
          <w:sz w:val="24"/>
          <w:szCs w:val="24"/>
          <w:lang w:val="es-ES"/>
        </w:rPr>
      </w:pPr>
    </w:p>
    <w:p w:rsidR="005E53CF" w:rsidRPr="005E53CF" w:rsidRDefault="005E53CF" w:rsidP="005E53CF">
      <w:pPr>
        <w:spacing w:line="276" w:lineRule="auto"/>
        <w:jc w:val="both"/>
        <w:rPr>
          <w:rFonts w:ascii="Tahoma" w:hAnsi="Tahoma" w:cs="Tahoma"/>
          <w:spacing w:val="-6"/>
          <w:sz w:val="24"/>
          <w:szCs w:val="24"/>
          <w:lang w:val="es-ES"/>
        </w:rPr>
      </w:pPr>
      <w:r w:rsidRPr="005E53CF">
        <w:rPr>
          <w:rFonts w:ascii="Tahoma" w:hAnsi="Tahoma" w:cs="Tahoma"/>
          <w:spacing w:val="-6"/>
          <w:sz w:val="24"/>
          <w:szCs w:val="24"/>
          <w:lang w:val="es-ES"/>
        </w:rPr>
        <w:t>De acuerdo con esa disposición, las normas procesales son de aplicación inmediata, aun respecto de los procesos pendientes, pero esa regla general admite algunas excepciones, concretamente aquellas que enlista en el inciso 2º, dentro de las cuales se incluye, para hacer referencia al caso concreto, la de los recursos interpuestos, que se rigen por la ley vigente para la fecha en que se propusieron.</w:t>
      </w:r>
    </w:p>
    <w:p w:rsidR="005E53CF" w:rsidRPr="005E53CF" w:rsidRDefault="005E53CF" w:rsidP="005E53CF">
      <w:pPr>
        <w:spacing w:line="276" w:lineRule="auto"/>
        <w:jc w:val="both"/>
        <w:rPr>
          <w:rFonts w:ascii="Tahoma" w:hAnsi="Tahoma" w:cs="Tahoma"/>
          <w:spacing w:val="-6"/>
          <w:sz w:val="24"/>
          <w:szCs w:val="24"/>
        </w:rPr>
      </w:pPr>
    </w:p>
    <w:p w:rsidR="005E53CF" w:rsidRPr="005E53CF" w:rsidRDefault="005E53CF" w:rsidP="005E53CF">
      <w:pPr>
        <w:spacing w:line="276" w:lineRule="auto"/>
        <w:jc w:val="both"/>
        <w:rPr>
          <w:rFonts w:ascii="Tahoma" w:hAnsi="Tahoma" w:cs="Tahoma"/>
          <w:spacing w:val="-6"/>
          <w:sz w:val="24"/>
          <w:szCs w:val="24"/>
        </w:rPr>
      </w:pPr>
      <w:r w:rsidRPr="005E53CF">
        <w:rPr>
          <w:rFonts w:ascii="Tahoma" w:hAnsi="Tahoma" w:cs="Tahoma"/>
          <w:spacing w:val="-6"/>
          <w:sz w:val="24"/>
          <w:szCs w:val="24"/>
        </w:rPr>
        <w:t>Esa excepción ordena entonces aplicar la ultractividad de la ley antigua respecto de los recursos interpuestos bajo su imperio. En esas condiciones, como el de apelación que formuló la parte demandante lo fue en vigencia del Código de Procedimiento Civil y no se había desatado cuando entró a regir el Código General del Proceso, su trámite ha de terminar regulado por el primero, lo que permite obtener un orden procesal.</w:t>
      </w:r>
    </w:p>
    <w:p w:rsidR="005E53CF" w:rsidRPr="005E53CF" w:rsidRDefault="005E53CF" w:rsidP="005E53CF">
      <w:pPr>
        <w:spacing w:line="276" w:lineRule="auto"/>
        <w:jc w:val="both"/>
        <w:rPr>
          <w:rFonts w:ascii="Tahoma" w:hAnsi="Tahoma" w:cs="Tahoma"/>
          <w:spacing w:val="-6"/>
          <w:sz w:val="24"/>
          <w:szCs w:val="24"/>
        </w:rPr>
      </w:pPr>
    </w:p>
    <w:p w:rsidR="005E53CF" w:rsidRPr="005E53CF" w:rsidRDefault="005E53CF" w:rsidP="005E53CF">
      <w:pPr>
        <w:spacing w:line="276" w:lineRule="auto"/>
        <w:jc w:val="both"/>
        <w:rPr>
          <w:rFonts w:ascii="Tahoma" w:hAnsi="Tahoma" w:cs="Tahoma"/>
          <w:spacing w:val="-6"/>
          <w:sz w:val="24"/>
          <w:szCs w:val="24"/>
        </w:rPr>
      </w:pPr>
      <w:r w:rsidRPr="005E53CF">
        <w:rPr>
          <w:rFonts w:ascii="Tahoma" w:hAnsi="Tahoma" w:cs="Tahoma"/>
          <w:spacing w:val="-6"/>
          <w:sz w:val="24"/>
          <w:szCs w:val="24"/>
        </w:rPr>
        <w:t>Y es que el trámite del recurso finaliza con la ejecutoria de la providencia que lo defina, pero si se impone condena en costas, lo será con la del auto que apruebe su liquidación, pues el numeral 1º del artículo 393 del Código de Procedimiento Civil, atrás citado, ordena liquidarlas al Tribunal o juzgado de la respectiva instancia o recurso, inmediatamente quede ejecutoriada la providencia que las imponga.</w:t>
      </w:r>
    </w:p>
    <w:p w:rsidR="005E53CF" w:rsidRPr="005E53CF" w:rsidRDefault="005E53CF" w:rsidP="005E53CF">
      <w:pPr>
        <w:spacing w:line="276" w:lineRule="auto"/>
        <w:jc w:val="both"/>
        <w:rPr>
          <w:rFonts w:ascii="Tahoma" w:hAnsi="Tahoma" w:cs="Tahoma"/>
          <w:spacing w:val="-6"/>
          <w:sz w:val="24"/>
          <w:szCs w:val="24"/>
        </w:rPr>
      </w:pPr>
    </w:p>
    <w:p w:rsidR="005E53CF" w:rsidRPr="005E53CF" w:rsidRDefault="005E53CF" w:rsidP="005E53CF">
      <w:pPr>
        <w:spacing w:line="276" w:lineRule="auto"/>
        <w:jc w:val="both"/>
        <w:rPr>
          <w:rFonts w:ascii="Tahoma" w:hAnsi="Tahoma" w:cs="Tahoma"/>
          <w:spacing w:val="-6"/>
          <w:sz w:val="24"/>
          <w:szCs w:val="24"/>
        </w:rPr>
      </w:pPr>
      <w:r w:rsidRPr="005E53CF">
        <w:rPr>
          <w:rFonts w:ascii="Tahoma" w:hAnsi="Tahoma" w:cs="Tahoma"/>
          <w:spacing w:val="-6"/>
          <w:sz w:val="24"/>
          <w:szCs w:val="24"/>
        </w:rPr>
        <w:t>En conclusión, no podía aplicarse el Código General del Proceso en la propia sentencia que desató el recurso, pues el trámite de este no había terminado.</w:t>
      </w:r>
    </w:p>
    <w:p w:rsidR="005E53CF" w:rsidRPr="005E53CF" w:rsidRDefault="005E53CF" w:rsidP="005E53CF">
      <w:pPr>
        <w:spacing w:line="276" w:lineRule="auto"/>
        <w:jc w:val="both"/>
        <w:rPr>
          <w:rFonts w:ascii="Tahoma" w:hAnsi="Tahoma" w:cs="Tahoma"/>
          <w:spacing w:val="-6"/>
          <w:sz w:val="24"/>
          <w:szCs w:val="24"/>
        </w:rPr>
      </w:pPr>
    </w:p>
    <w:p w:rsidR="005E53CF" w:rsidRPr="005E53CF" w:rsidRDefault="005E53CF" w:rsidP="005E53CF">
      <w:pPr>
        <w:spacing w:line="276" w:lineRule="auto"/>
        <w:jc w:val="both"/>
        <w:rPr>
          <w:rFonts w:ascii="Tahoma" w:hAnsi="Tahoma" w:cs="Tahoma"/>
          <w:spacing w:val="-6"/>
          <w:sz w:val="24"/>
          <w:szCs w:val="24"/>
        </w:rPr>
      </w:pPr>
      <w:r w:rsidRPr="005E53CF">
        <w:rPr>
          <w:rFonts w:ascii="Tahoma" w:hAnsi="Tahoma" w:cs="Tahoma"/>
          <w:spacing w:val="-6"/>
          <w:sz w:val="24"/>
          <w:szCs w:val="24"/>
        </w:rPr>
        <w:t>En relación con ese tránsito legislativo, dijo la Corte Suprema de Justicia:</w:t>
      </w:r>
    </w:p>
    <w:p w:rsidR="005E53CF" w:rsidRPr="005E53CF" w:rsidRDefault="005E53CF" w:rsidP="005E53CF">
      <w:pPr>
        <w:spacing w:line="276" w:lineRule="auto"/>
        <w:jc w:val="both"/>
        <w:rPr>
          <w:rFonts w:ascii="Tahoma" w:hAnsi="Tahoma" w:cs="Tahoma"/>
          <w:i/>
          <w:color w:val="000000"/>
          <w:spacing w:val="-6"/>
          <w:sz w:val="24"/>
          <w:szCs w:val="24"/>
          <w:shd w:val="clear" w:color="auto" w:fill="FFFFFF"/>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“1.- Cuestión de primer orden es precisar el referente adjetivo al que se acudirá, en lo que fuere pertinente, habida cuenta que mientras que este litigio comenzó con el Código de Procedimiento Civil (julio de 2014), en la fase del recurso extraordinario cobró vigencia integral el General del Proceso, producto de la expedición por el Consejo Superior de la Judicatura del Acuerdo No. PSAA15-10392 de 1° de octubre de 2015, que en su artículo 1° dispone: “El Código General del Proceso entrará en vigencia en todos los distritos judiciales del país el día 1º de enero del año 2016, íntegramente”.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La sucesión temporal o tránsito legislativo luego de la iniciación de un juicio apareja interrogantes complejos y, por lo mismo, en ocasiones, de difícil solución. En el campo teórico, esa problemática puede resolverse de tres formas: (i) aplicando la ley anterior hasta la definición del pleito; (ii) incorporando la nueva a todos los actos posteriores a su vigencia; o (iii) empleando para unas actuaciones la novel normativa y para otras la que le precedió.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La Ley 1564 de 2012 sigue, en los artículos 624 y 625, que son los que tratan puntualmente el asunto, un sistema mixto.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En efecto, el primer canon, modificatorio del artículo 40 de la ley 153 de 1887, trae una regla general sobre la aplicación inmediata de la ley procesal, con ciertas salvedades relativas a la ultractividad, taxativamente señaladas a saber: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El segundo, apartándose del postulado general, ofrece unas orientaciones específicas destinadas a preservar la vigencia temporal y excepcional de la norma derogada, no en todos los procesos, sino en los ordinarios, abreviados, verbales y ejecutivos, y sólo hasta determinadas etapas. Y, también aquí, el legislador se cuidó de repetir las salvedades del 624 en lo concerniente a recursos interpuestos, pruebas decretadas, audiencias convocadas, diligencias iniciadas, términos que estén corriendo, incidentes en curso y notificaciones que se estén surtiendo.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En ese orden de ideas, el funcionario judicial frente a un caso de sucesión o tránsito de legislación, debe preguntarse, en primer término, la clase de proceso que se está tramitando, luego la etapa que se está surtiendo y después cotejarla o compararla con las pautas del 625 id.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Acá, por ejemplo, se trata de un juicio ordinario que cuenta con fallos de primera y segunda instancia, de manera que ese precepto indica en el numeral 1, literal c), que “proferida la sentencia, el proceso se tramitará conforme a la nueva legislación”. Sería, entonces, el Código General del Proceso el llamado a gobernar las actuaciones postreras al veredicto, lo que finalmente no ocurre, en atención a que la excepción legislativa, inserta en ese canon y en el 624, determina que cuando se ha interpuesto un recurso (no se precisa cual, luego ello cobija ordinarios y extraordinarios), la preceptiva aplicable será la del tiempo de su formulación, que aquí es el C. de P. C., atendiendo que la impugnación extraordinaria se planteó el 8 de junio de 2012.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i/>
          <w:spacing w:val="-6"/>
          <w:sz w:val="22"/>
          <w:szCs w:val="24"/>
          <w:lang w:val="es-ES"/>
        </w:rPr>
      </w:pPr>
      <w:r w:rsidRPr="005E53CF">
        <w:rPr>
          <w:rFonts w:ascii="Tahoma" w:hAnsi="Tahoma" w:cs="Tahoma"/>
          <w:i/>
          <w:spacing w:val="-6"/>
          <w:sz w:val="22"/>
          <w:szCs w:val="24"/>
          <w:lang w:val="es-ES"/>
        </w:rPr>
        <w:t xml:space="preserve">Consecuencia necesaria y natural de la precitada inferencia, es la de que al transitar esta casación por el camino del Código de Procedimiento Civil, todo lo que se derive de su discurrir y resolución, incluso la expedición de copias o certificaciones, el reconocimientos de personería, la condena en costas y su tasación, el decreto y práctica de pruebas (si ello se ordena previa sentencia sustitutiva), cumple rituarlo con esa codificación. </w:t>
      </w:r>
    </w:p>
    <w:p w:rsidR="005E53CF" w:rsidRPr="005E53CF" w:rsidRDefault="005E53CF" w:rsidP="005E53CF">
      <w:pPr>
        <w:ind w:left="426" w:right="420"/>
        <w:jc w:val="both"/>
        <w:rPr>
          <w:rFonts w:ascii="Tahoma" w:hAnsi="Tahoma" w:cs="Tahoma"/>
          <w:i/>
          <w:spacing w:val="-6"/>
          <w:sz w:val="22"/>
          <w:szCs w:val="24"/>
          <w:lang w:val="es-ES"/>
        </w:rPr>
      </w:pPr>
    </w:p>
    <w:p w:rsidR="005E53CF" w:rsidRPr="005E53CF" w:rsidRDefault="005E53CF" w:rsidP="005E53CF">
      <w:pPr>
        <w:ind w:left="426" w:right="420"/>
        <w:jc w:val="both"/>
        <w:rPr>
          <w:rFonts w:ascii="Tahoma" w:hAnsi="Tahoma" w:cs="Tahoma"/>
          <w:sz w:val="24"/>
          <w:szCs w:val="24"/>
        </w:rPr>
      </w:pPr>
      <w:r w:rsidRPr="005E53CF">
        <w:rPr>
          <w:rFonts w:ascii="Tahoma" w:hAnsi="Tahoma" w:cs="Tahoma"/>
          <w:i/>
          <w:spacing w:val="-6"/>
          <w:sz w:val="22"/>
          <w:szCs w:val="24"/>
          <w:lang w:val="es-ES"/>
        </w:rPr>
        <w:t>Lo contrario implicaría mezclar en un mismo escenario y con alternancia, dos codificaciones procesales, lo que atentaría con el mínimo de seguridad o certeza jurídica que debe acompañar la sustanciación de los litigios. Para los usuarios del sistema de administración de justicia, que buscan la tutela efectiva de sus derechos, debe ofrecerse una hermenéutica que les provea certidumbre sobre las normas que regulan el conflicto</w:t>
      </w:r>
      <w:r w:rsidRPr="005E53CF">
        <w:rPr>
          <w:rFonts w:ascii="Tahoma" w:hAnsi="Tahoma" w:cs="Tahoma"/>
          <w:i/>
          <w:color w:val="000000"/>
          <w:spacing w:val="-6"/>
          <w:sz w:val="24"/>
          <w:szCs w:val="24"/>
          <w:shd w:val="clear" w:color="auto" w:fill="FFFFFF"/>
        </w:rPr>
        <w:t xml:space="preserve"> </w:t>
      </w:r>
      <w:r w:rsidRPr="005E53CF">
        <w:rPr>
          <w:rFonts w:ascii="Tahoma" w:hAnsi="Tahoma" w:cs="Tahoma"/>
          <w:i/>
          <w:color w:val="000000"/>
          <w:spacing w:val="-6"/>
          <w:sz w:val="22"/>
          <w:szCs w:val="24"/>
          <w:shd w:val="clear" w:color="auto" w:fill="FFFFFF"/>
        </w:rPr>
        <w:t>jurídico respecto del cual se solicita la decisión...</w:t>
      </w:r>
      <w:r w:rsidRPr="005E53CF">
        <w:rPr>
          <w:rFonts w:ascii="Tahoma" w:hAnsi="Tahoma" w:cs="Tahoma"/>
          <w:color w:val="000000"/>
          <w:spacing w:val="-6"/>
          <w:sz w:val="22"/>
          <w:szCs w:val="24"/>
          <w:shd w:val="clear" w:color="auto" w:fill="FFFFFF"/>
        </w:rPr>
        <w:t>”</w:t>
      </w:r>
      <w:r w:rsidRPr="005E53CF">
        <w:rPr>
          <w:rFonts w:ascii="Tahoma" w:hAnsi="Tahoma" w:cs="Tahoma"/>
          <w:i/>
          <w:color w:val="000000"/>
          <w:spacing w:val="-6"/>
          <w:sz w:val="22"/>
          <w:szCs w:val="24"/>
          <w:shd w:val="clear" w:color="auto" w:fill="FFFFFF"/>
          <w:vertAlign w:val="superscript"/>
        </w:rPr>
        <w:footnoteReference w:id="11"/>
      </w:r>
      <w:r w:rsidRPr="005E53CF">
        <w:rPr>
          <w:rFonts w:ascii="Tahoma" w:hAnsi="Tahoma" w:cs="Tahoma"/>
          <w:color w:val="000000"/>
          <w:spacing w:val="-6"/>
          <w:sz w:val="22"/>
          <w:szCs w:val="24"/>
          <w:shd w:val="clear" w:color="auto" w:fill="FFFFFF"/>
        </w:rPr>
        <w:t> </w:t>
      </w:r>
    </w:p>
    <w:p w:rsidR="005E53CF" w:rsidRPr="005E53CF" w:rsidRDefault="005E53CF" w:rsidP="005E53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p>
    <w:p w:rsidR="005E53CF" w:rsidRPr="005E53CF" w:rsidRDefault="005E53CF" w:rsidP="005E53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5E53CF">
        <w:rPr>
          <w:rFonts w:ascii="Tahoma" w:hAnsi="Tahoma" w:cs="Tahoma"/>
          <w:spacing w:val="-6"/>
          <w:sz w:val="24"/>
          <w:szCs w:val="24"/>
        </w:rPr>
        <w:t xml:space="preserve">Y no es ese un criterio aislado. Lo mismo dijo en sentencia del 26 de octubre de 2016: </w:t>
      </w:r>
      <w:r w:rsidRPr="005E53CF">
        <w:rPr>
          <w:rFonts w:ascii="Tahoma" w:hAnsi="Tahoma" w:cs="Tahoma"/>
          <w:i/>
          <w:spacing w:val="-6"/>
          <w:sz w:val="24"/>
          <w:szCs w:val="24"/>
        </w:rPr>
        <w:t>“</w:t>
      </w:r>
      <w:r w:rsidRPr="005E53CF">
        <w:rPr>
          <w:rFonts w:ascii="Tahoma" w:hAnsi="Tahoma" w:cs="Tahoma"/>
          <w:i/>
          <w:spacing w:val="-6"/>
          <w:sz w:val="22"/>
          <w:szCs w:val="24"/>
        </w:rPr>
        <w:t>Resulta pertinente precisar, que de acuerdo con el artículo 624 del Código General del Proceso, modificatorio del precepto 40 de la Ley 153 de 1887, para resolver el recurso se tomarán en cuenta las disposiciones del Código de Procedimiento Civil, al hallarse este vigente para cuando comenzó su trámite…</w:t>
      </w:r>
      <w:r w:rsidRPr="005E53CF">
        <w:rPr>
          <w:rFonts w:ascii="Tahoma" w:hAnsi="Tahoma" w:cs="Tahoma"/>
          <w:spacing w:val="-6"/>
          <w:sz w:val="24"/>
          <w:szCs w:val="24"/>
        </w:rPr>
        <w:t>”</w:t>
      </w:r>
      <w:r w:rsidRPr="005E53CF">
        <w:rPr>
          <w:rFonts w:ascii="Tahoma" w:hAnsi="Tahoma" w:cs="Tahoma"/>
          <w:i/>
          <w:spacing w:val="-6"/>
          <w:sz w:val="24"/>
          <w:szCs w:val="24"/>
          <w:vertAlign w:val="superscript"/>
        </w:rPr>
        <w:footnoteReference w:id="12"/>
      </w:r>
      <w:r w:rsidRPr="005E53CF">
        <w:rPr>
          <w:rFonts w:ascii="Tahoma" w:hAnsi="Tahoma" w:cs="Tahoma"/>
          <w:spacing w:val="-6"/>
          <w:sz w:val="24"/>
          <w:szCs w:val="24"/>
        </w:rPr>
        <w:t xml:space="preserve"> En esa providencia también fijó las agencias en derecho y ordenó liquidar las costas con sujeción al artículo 393 del Código de Procedimiento Civil. En la misma forma procedió el 11 de noviembre del año citado</w:t>
      </w:r>
      <w:r w:rsidRPr="005E53CF">
        <w:rPr>
          <w:rFonts w:ascii="Tahoma" w:hAnsi="Tahoma" w:cs="Tahoma"/>
          <w:spacing w:val="-6"/>
          <w:sz w:val="24"/>
          <w:szCs w:val="24"/>
          <w:vertAlign w:val="superscript"/>
        </w:rPr>
        <w:footnoteReference w:id="13"/>
      </w:r>
      <w:r w:rsidRPr="005E53CF">
        <w:rPr>
          <w:rFonts w:ascii="Tahoma" w:hAnsi="Tahoma" w:cs="Tahoma"/>
          <w:spacing w:val="-6"/>
          <w:sz w:val="24"/>
          <w:szCs w:val="24"/>
        </w:rPr>
        <w:t>, el 18 de abril de 2017</w:t>
      </w:r>
      <w:r w:rsidRPr="005E53CF">
        <w:rPr>
          <w:rFonts w:ascii="Tahoma" w:hAnsi="Tahoma" w:cs="Tahoma"/>
          <w:spacing w:val="-6"/>
          <w:sz w:val="24"/>
          <w:szCs w:val="24"/>
          <w:vertAlign w:val="superscript"/>
        </w:rPr>
        <w:footnoteReference w:id="14"/>
      </w:r>
      <w:r w:rsidRPr="005E53CF">
        <w:rPr>
          <w:rFonts w:ascii="Tahoma" w:hAnsi="Tahoma" w:cs="Tahoma"/>
          <w:spacing w:val="-6"/>
          <w:sz w:val="24"/>
          <w:szCs w:val="24"/>
        </w:rPr>
        <w:t>, el 13 de diciembre de este último año</w:t>
      </w:r>
      <w:r w:rsidRPr="005E53CF">
        <w:rPr>
          <w:rFonts w:ascii="Tahoma" w:hAnsi="Tahoma" w:cs="Tahoma"/>
          <w:spacing w:val="-6"/>
          <w:sz w:val="24"/>
          <w:szCs w:val="24"/>
          <w:vertAlign w:val="superscript"/>
        </w:rPr>
        <w:footnoteReference w:id="15"/>
      </w:r>
      <w:r w:rsidRPr="005E53CF">
        <w:rPr>
          <w:rFonts w:ascii="Tahoma" w:hAnsi="Tahoma" w:cs="Tahoma"/>
          <w:spacing w:val="-6"/>
          <w:sz w:val="24"/>
          <w:szCs w:val="24"/>
        </w:rPr>
        <w:t>, el 6</w:t>
      </w:r>
      <w:r w:rsidRPr="005E53CF">
        <w:rPr>
          <w:rFonts w:ascii="Tahoma" w:hAnsi="Tahoma" w:cs="Tahoma"/>
          <w:spacing w:val="-6"/>
          <w:sz w:val="24"/>
          <w:szCs w:val="24"/>
          <w:vertAlign w:val="superscript"/>
        </w:rPr>
        <w:footnoteReference w:id="16"/>
      </w:r>
      <w:r w:rsidRPr="005E53CF">
        <w:rPr>
          <w:rFonts w:ascii="Tahoma" w:hAnsi="Tahoma" w:cs="Tahoma"/>
          <w:spacing w:val="-6"/>
          <w:sz w:val="24"/>
          <w:szCs w:val="24"/>
        </w:rPr>
        <w:t>, el 13</w:t>
      </w:r>
      <w:r w:rsidRPr="005E53CF">
        <w:rPr>
          <w:rFonts w:ascii="Tahoma" w:hAnsi="Tahoma" w:cs="Tahoma"/>
          <w:spacing w:val="-6"/>
          <w:sz w:val="24"/>
          <w:szCs w:val="24"/>
          <w:vertAlign w:val="superscript"/>
        </w:rPr>
        <w:footnoteReference w:id="17"/>
      </w:r>
      <w:r w:rsidRPr="005E53CF">
        <w:rPr>
          <w:rFonts w:ascii="Tahoma" w:hAnsi="Tahoma" w:cs="Tahoma"/>
          <w:spacing w:val="-6"/>
          <w:sz w:val="24"/>
          <w:szCs w:val="24"/>
        </w:rPr>
        <w:t>, y el 23 de agosto del año pasado</w:t>
      </w:r>
      <w:r w:rsidRPr="005E53CF">
        <w:rPr>
          <w:rFonts w:ascii="Tahoma" w:hAnsi="Tahoma" w:cs="Tahoma"/>
          <w:spacing w:val="-6"/>
          <w:sz w:val="24"/>
          <w:szCs w:val="24"/>
          <w:vertAlign w:val="superscript"/>
        </w:rPr>
        <w:footnoteReference w:id="18"/>
      </w:r>
      <w:r w:rsidRPr="005E53CF">
        <w:rPr>
          <w:rFonts w:ascii="Tahoma" w:hAnsi="Tahoma" w:cs="Tahoma"/>
          <w:spacing w:val="-6"/>
          <w:sz w:val="24"/>
          <w:szCs w:val="24"/>
        </w:rPr>
        <w:t>.</w:t>
      </w:r>
    </w:p>
    <w:p w:rsidR="005E53CF" w:rsidRPr="005E53CF" w:rsidRDefault="005E53CF" w:rsidP="005E53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p>
    <w:p w:rsidR="005E53CF" w:rsidRPr="005E53CF" w:rsidRDefault="005E53CF" w:rsidP="005E53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p>
    <w:p w:rsidR="005E53CF" w:rsidRPr="005E53CF" w:rsidRDefault="005E53CF" w:rsidP="005E53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p>
    <w:p w:rsidR="005E53CF" w:rsidRPr="005E53CF" w:rsidRDefault="005E53CF" w:rsidP="005E53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6"/>
          <w:sz w:val="24"/>
          <w:szCs w:val="24"/>
        </w:rPr>
      </w:pPr>
      <w:r w:rsidRPr="005E53CF">
        <w:rPr>
          <w:rFonts w:ascii="Tahoma" w:hAnsi="Tahoma" w:cs="Tahoma"/>
          <w:b/>
          <w:spacing w:val="-6"/>
          <w:sz w:val="24"/>
          <w:szCs w:val="24"/>
        </w:rPr>
        <w:t>CLAUDIA MARÍA ARCILA RÍOS</w:t>
      </w:r>
    </w:p>
    <w:p w:rsidR="005E53CF" w:rsidRPr="005E53CF" w:rsidRDefault="005E53CF" w:rsidP="005E53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6"/>
          <w:sz w:val="24"/>
          <w:szCs w:val="24"/>
        </w:rPr>
      </w:pPr>
      <w:r w:rsidRPr="005E53CF">
        <w:rPr>
          <w:rFonts w:ascii="Tahoma" w:hAnsi="Tahoma" w:cs="Tahoma"/>
          <w:spacing w:val="-6"/>
          <w:sz w:val="24"/>
          <w:szCs w:val="24"/>
        </w:rPr>
        <w:t>Magistrada</w:t>
      </w:r>
    </w:p>
    <w:sectPr w:rsidR="005E53CF" w:rsidRPr="005E53CF" w:rsidSect="00EB7E69">
      <w:footerReference w:type="even" r:id="rId12"/>
      <w:footerReference w:type="default" r:id="rId13"/>
      <w:pgSz w:w="12242" w:h="18722" w:code="119"/>
      <w:pgMar w:top="1871" w:right="1304" w:bottom="1304" w:left="187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D3" w:rsidRDefault="00EB7DD3">
      <w:r>
        <w:separator/>
      </w:r>
    </w:p>
  </w:endnote>
  <w:endnote w:type="continuationSeparator" w:id="0">
    <w:p w:rsidR="00EB7DD3" w:rsidRDefault="00EB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06" w:rsidRDefault="0072222A" w:rsidP="00B00F9F">
    <w:pPr>
      <w:pStyle w:val="Piedepgina"/>
      <w:framePr w:wrap="around" w:vAnchor="text" w:hAnchor="margin" w:xAlign="right" w:y="1"/>
      <w:rPr>
        <w:rStyle w:val="Nmerodepgina"/>
      </w:rPr>
    </w:pPr>
    <w:r>
      <w:rPr>
        <w:rStyle w:val="Nmerodepgina"/>
      </w:rPr>
      <w:fldChar w:fldCharType="begin"/>
    </w:r>
    <w:r w:rsidR="00ED7D06">
      <w:rPr>
        <w:rStyle w:val="Nmerodepgina"/>
      </w:rPr>
      <w:instrText xml:space="preserve">PAGE  </w:instrText>
    </w:r>
    <w:r>
      <w:rPr>
        <w:rStyle w:val="Nmerodepgina"/>
      </w:rPr>
      <w:fldChar w:fldCharType="end"/>
    </w:r>
  </w:p>
  <w:p w:rsidR="00ED7D06" w:rsidRDefault="00ED7D06" w:rsidP="00BE378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06" w:rsidRPr="00EB7E69" w:rsidRDefault="0072222A" w:rsidP="00BE378B">
    <w:pPr>
      <w:pStyle w:val="Piedepgina"/>
      <w:framePr w:wrap="around" w:vAnchor="text" w:hAnchor="margin" w:xAlign="right" w:y="1"/>
      <w:rPr>
        <w:rStyle w:val="Nmerodepgina"/>
        <w:rFonts w:ascii="Arial" w:hAnsi="Arial" w:cs="Arial"/>
        <w:sz w:val="18"/>
      </w:rPr>
    </w:pPr>
    <w:r w:rsidRPr="00EB7E69">
      <w:rPr>
        <w:rStyle w:val="Nmerodepgina"/>
        <w:rFonts w:ascii="Arial" w:hAnsi="Arial" w:cs="Arial"/>
        <w:sz w:val="18"/>
      </w:rPr>
      <w:fldChar w:fldCharType="begin"/>
    </w:r>
    <w:r w:rsidR="00ED7D06" w:rsidRPr="00EB7E69">
      <w:rPr>
        <w:rStyle w:val="Nmerodepgina"/>
        <w:rFonts w:ascii="Arial" w:hAnsi="Arial" w:cs="Arial"/>
        <w:sz w:val="18"/>
      </w:rPr>
      <w:instrText xml:space="preserve">PAGE  </w:instrText>
    </w:r>
    <w:r w:rsidRPr="00EB7E69">
      <w:rPr>
        <w:rStyle w:val="Nmerodepgina"/>
        <w:rFonts w:ascii="Arial" w:hAnsi="Arial" w:cs="Arial"/>
        <w:sz w:val="18"/>
      </w:rPr>
      <w:fldChar w:fldCharType="separate"/>
    </w:r>
    <w:r w:rsidR="00D054AE">
      <w:rPr>
        <w:rStyle w:val="Nmerodepgina"/>
        <w:rFonts w:ascii="Arial" w:hAnsi="Arial" w:cs="Arial"/>
        <w:noProof/>
        <w:sz w:val="18"/>
      </w:rPr>
      <w:t>1</w:t>
    </w:r>
    <w:r w:rsidRPr="00EB7E69">
      <w:rPr>
        <w:rStyle w:val="Nmerodepgina"/>
        <w:rFonts w:ascii="Arial" w:hAnsi="Arial" w:cs="Arial"/>
        <w:sz w:val="18"/>
      </w:rPr>
      <w:fldChar w:fldCharType="end"/>
    </w:r>
  </w:p>
  <w:p w:rsidR="00ED7D06" w:rsidRDefault="00ED7D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D3" w:rsidRDefault="00EB7DD3">
      <w:r>
        <w:separator/>
      </w:r>
    </w:p>
  </w:footnote>
  <w:footnote w:type="continuationSeparator" w:id="0">
    <w:p w:rsidR="00EB7DD3" w:rsidRDefault="00EB7DD3">
      <w:r>
        <w:continuationSeparator/>
      </w:r>
    </w:p>
  </w:footnote>
  <w:footnote w:id="1">
    <w:p w:rsidR="00CF6984" w:rsidRPr="00EB7E69" w:rsidRDefault="00CF6984" w:rsidP="00EB7E69">
      <w:pPr>
        <w:pStyle w:val="Textonotapie"/>
        <w:jc w:val="both"/>
        <w:rPr>
          <w:rFonts w:cs="Arial"/>
          <w:sz w:val="18"/>
          <w:szCs w:val="18"/>
          <w:lang w:val="es-CO"/>
        </w:rPr>
      </w:pPr>
      <w:r w:rsidRPr="00EB7E69">
        <w:rPr>
          <w:rStyle w:val="Refdenotaalpie"/>
          <w:rFonts w:cs="Arial"/>
          <w:sz w:val="18"/>
          <w:szCs w:val="18"/>
        </w:rPr>
        <w:footnoteRef/>
      </w:r>
      <w:r w:rsidRPr="00EB7E69">
        <w:rPr>
          <w:rFonts w:cs="Arial"/>
          <w:sz w:val="18"/>
          <w:szCs w:val="18"/>
        </w:rPr>
        <w:t xml:space="preserve"> </w:t>
      </w:r>
      <w:r w:rsidRPr="00EB7E69">
        <w:rPr>
          <w:rFonts w:cs="Arial"/>
          <w:sz w:val="18"/>
          <w:szCs w:val="18"/>
          <w:lang w:val="es-CO"/>
        </w:rPr>
        <w:t>Folios 2 a 5, cuaderno No. 1</w:t>
      </w:r>
    </w:p>
  </w:footnote>
  <w:footnote w:id="2">
    <w:p w:rsidR="00CF6984" w:rsidRPr="00EB7E69" w:rsidRDefault="00CF6984" w:rsidP="00EB7E69">
      <w:pPr>
        <w:pStyle w:val="Textonotapie"/>
        <w:jc w:val="both"/>
        <w:rPr>
          <w:rFonts w:cs="Arial"/>
          <w:sz w:val="18"/>
          <w:szCs w:val="18"/>
          <w:lang w:val="es-CO"/>
        </w:rPr>
      </w:pPr>
      <w:r w:rsidRPr="00EB7E69">
        <w:rPr>
          <w:rStyle w:val="Refdenotaalpie"/>
          <w:rFonts w:cs="Arial"/>
          <w:sz w:val="18"/>
          <w:szCs w:val="18"/>
        </w:rPr>
        <w:footnoteRef/>
      </w:r>
      <w:r w:rsidRPr="00EB7E69">
        <w:rPr>
          <w:rFonts w:cs="Arial"/>
          <w:sz w:val="18"/>
          <w:szCs w:val="18"/>
        </w:rPr>
        <w:t xml:space="preserve"> </w:t>
      </w:r>
      <w:r w:rsidRPr="00EB7E69">
        <w:rPr>
          <w:rFonts w:cs="Arial"/>
          <w:sz w:val="18"/>
          <w:szCs w:val="18"/>
          <w:lang w:val="es-CO"/>
        </w:rPr>
        <w:t>Folio 8, cuaderno No. 1</w:t>
      </w:r>
    </w:p>
  </w:footnote>
  <w:footnote w:id="3">
    <w:p w:rsidR="009C74A9" w:rsidRPr="00EB7E69" w:rsidRDefault="009C74A9" w:rsidP="00EB7E69">
      <w:pPr>
        <w:pStyle w:val="Textonotapie"/>
        <w:jc w:val="both"/>
        <w:rPr>
          <w:rFonts w:cs="Arial"/>
          <w:sz w:val="18"/>
          <w:szCs w:val="18"/>
          <w:lang w:val="es-CO"/>
        </w:rPr>
      </w:pPr>
      <w:r w:rsidRPr="00EB7E69">
        <w:rPr>
          <w:rStyle w:val="Refdenotaalpie"/>
          <w:rFonts w:cs="Arial"/>
          <w:sz w:val="18"/>
          <w:szCs w:val="18"/>
        </w:rPr>
        <w:footnoteRef/>
      </w:r>
      <w:r w:rsidRPr="00EB7E69">
        <w:rPr>
          <w:rFonts w:cs="Arial"/>
          <w:sz w:val="18"/>
          <w:szCs w:val="18"/>
        </w:rPr>
        <w:t xml:space="preserve"> </w:t>
      </w:r>
      <w:r w:rsidRPr="00EB7E69">
        <w:rPr>
          <w:rFonts w:cs="Arial"/>
          <w:sz w:val="18"/>
          <w:szCs w:val="18"/>
          <w:lang w:val="es-CO"/>
        </w:rPr>
        <w:t>Folio 26, cuaderno No. 1</w:t>
      </w:r>
    </w:p>
  </w:footnote>
  <w:footnote w:id="4">
    <w:p w:rsidR="00F05983" w:rsidRPr="00EB7E69" w:rsidRDefault="00F05983" w:rsidP="00EB7E69">
      <w:pPr>
        <w:pStyle w:val="Textonotapie"/>
        <w:jc w:val="both"/>
        <w:rPr>
          <w:rFonts w:cs="Arial"/>
          <w:sz w:val="18"/>
          <w:szCs w:val="18"/>
          <w:lang w:val="es-CO"/>
        </w:rPr>
      </w:pPr>
      <w:r w:rsidRPr="00EB7E69">
        <w:rPr>
          <w:rStyle w:val="Refdenotaalpie"/>
          <w:rFonts w:cs="Arial"/>
          <w:sz w:val="18"/>
          <w:szCs w:val="18"/>
        </w:rPr>
        <w:footnoteRef/>
      </w:r>
      <w:r w:rsidRPr="00EB7E69">
        <w:rPr>
          <w:rFonts w:cs="Arial"/>
          <w:sz w:val="18"/>
          <w:szCs w:val="18"/>
        </w:rPr>
        <w:t xml:space="preserve"> </w:t>
      </w:r>
      <w:r w:rsidRPr="00EB7E69">
        <w:rPr>
          <w:rFonts w:cs="Arial"/>
          <w:sz w:val="18"/>
          <w:szCs w:val="18"/>
          <w:lang w:val="es-CO"/>
        </w:rPr>
        <w:t>Folios 10 a 23, cuaderno No. 1</w:t>
      </w:r>
    </w:p>
  </w:footnote>
  <w:footnote w:id="5">
    <w:p w:rsidR="00F05983" w:rsidRPr="00EB7E69" w:rsidRDefault="00F05983" w:rsidP="00EB7E69">
      <w:pPr>
        <w:pStyle w:val="Textonotapie"/>
        <w:jc w:val="both"/>
        <w:rPr>
          <w:rFonts w:cs="Arial"/>
          <w:sz w:val="18"/>
          <w:szCs w:val="18"/>
          <w:lang w:val="es-CO"/>
        </w:rPr>
      </w:pPr>
      <w:r w:rsidRPr="00EB7E69">
        <w:rPr>
          <w:rStyle w:val="Refdenotaalpie"/>
          <w:rFonts w:cs="Arial"/>
          <w:sz w:val="18"/>
          <w:szCs w:val="18"/>
        </w:rPr>
        <w:footnoteRef/>
      </w:r>
      <w:r w:rsidRPr="00EB7E69">
        <w:rPr>
          <w:rFonts w:cs="Arial"/>
          <w:sz w:val="18"/>
          <w:szCs w:val="18"/>
        </w:rPr>
        <w:t xml:space="preserve"> </w:t>
      </w:r>
      <w:r w:rsidRPr="00EB7E69">
        <w:rPr>
          <w:rFonts w:cs="Arial"/>
          <w:sz w:val="18"/>
          <w:szCs w:val="18"/>
          <w:lang w:val="es-CO"/>
        </w:rPr>
        <w:t>Folios 24 y 25, cuaderno No. 1</w:t>
      </w:r>
    </w:p>
  </w:footnote>
  <w:footnote w:id="6">
    <w:p w:rsidR="00A57BF6" w:rsidRPr="00EB7E69" w:rsidRDefault="00A57BF6" w:rsidP="00EB7E69">
      <w:pPr>
        <w:jc w:val="both"/>
        <w:rPr>
          <w:rFonts w:ascii="Arial" w:hAnsi="Arial" w:cs="Arial"/>
          <w:i/>
          <w:sz w:val="18"/>
          <w:szCs w:val="18"/>
        </w:rPr>
      </w:pPr>
      <w:r w:rsidRPr="00EB7E69">
        <w:rPr>
          <w:rStyle w:val="Refdenotaalpie"/>
          <w:rFonts w:ascii="Arial" w:hAnsi="Arial" w:cs="Arial"/>
          <w:sz w:val="18"/>
          <w:szCs w:val="18"/>
        </w:rPr>
        <w:footnoteRef/>
      </w:r>
      <w:r w:rsidRPr="00EB7E69">
        <w:rPr>
          <w:rFonts w:ascii="Arial" w:hAnsi="Arial" w:cs="Arial"/>
          <w:sz w:val="18"/>
          <w:szCs w:val="18"/>
        </w:rPr>
        <w:t xml:space="preserve"> </w:t>
      </w:r>
      <w:r w:rsidRPr="00EB7E69">
        <w:rPr>
          <w:rFonts w:ascii="Arial" w:hAnsi="Arial" w:cs="Arial"/>
          <w:i/>
          <w:sz w:val="18"/>
          <w:szCs w:val="18"/>
        </w:rPr>
        <w:t>Ídem</w:t>
      </w:r>
      <w:r w:rsidRPr="00EB7E69">
        <w:rPr>
          <w:rFonts w:ascii="Arial" w:hAnsi="Arial" w:cs="Arial"/>
          <w:color w:val="000000"/>
          <w:sz w:val="18"/>
          <w:szCs w:val="18"/>
        </w:rPr>
        <w:t>.</w:t>
      </w:r>
      <w:r w:rsidRPr="00EB7E69">
        <w:rPr>
          <w:rFonts w:ascii="Arial" w:hAnsi="Arial" w:cs="Arial"/>
          <w:bCs/>
          <w:sz w:val="18"/>
          <w:szCs w:val="18"/>
        </w:rPr>
        <w:t xml:space="preserve"> </w:t>
      </w:r>
      <w:r w:rsidRPr="00EB7E69">
        <w:rPr>
          <w:rFonts w:ascii="Arial" w:hAnsi="Arial" w:cs="Arial"/>
          <w:sz w:val="18"/>
          <w:szCs w:val="18"/>
        </w:rPr>
        <w:t xml:space="preserve">   </w:t>
      </w:r>
    </w:p>
  </w:footnote>
  <w:footnote w:id="7">
    <w:p w:rsidR="00A57BF6" w:rsidRPr="00EB7E69" w:rsidRDefault="00A57BF6" w:rsidP="00EB7E69">
      <w:pPr>
        <w:pStyle w:val="Textonotapie"/>
        <w:jc w:val="both"/>
        <w:rPr>
          <w:rFonts w:cs="Arial"/>
          <w:sz w:val="18"/>
          <w:szCs w:val="18"/>
          <w:lang w:val="es-CO"/>
        </w:rPr>
      </w:pPr>
      <w:r w:rsidRPr="00EB7E69">
        <w:rPr>
          <w:rStyle w:val="Refdenotaalpie"/>
          <w:rFonts w:cs="Arial"/>
          <w:sz w:val="18"/>
          <w:szCs w:val="18"/>
        </w:rPr>
        <w:footnoteRef/>
      </w:r>
      <w:r w:rsidRPr="00EB7E69">
        <w:rPr>
          <w:rFonts w:cs="Arial"/>
          <w:sz w:val="18"/>
          <w:szCs w:val="18"/>
        </w:rPr>
        <w:t xml:space="preserve"> </w:t>
      </w:r>
      <w:r w:rsidRPr="00EB7E69">
        <w:rPr>
          <w:rFonts w:cs="Arial"/>
          <w:sz w:val="18"/>
          <w:szCs w:val="18"/>
          <w:lang w:val="es-CO"/>
        </w:rPr>
        <w:t>Sala de Casación Civil, sentencia SC3862-2019 del 20 de septiembre de 2019, MP. Dr. Luis Armando Tolosa Villabona</w:t>
      </w:r>
    </w:p>
  </w:footnote>
  <w:footnote w:id="8">
    <w:p w:rsidR="00877253" w:rsidRPr="00EB7E69" w:rsidRDefault="00877253" w:rsidP="00EB7E69">
      <w:pPr>
        <w:overflowPunct/>
        <w:autoSpaceDE/>
        <w:autoSpaceDN/>
        <w:adjustRightInd/>
        <w:jc w:val="both"/>
        <w:textAlignment w:val="auto"/>
        <w:rPr>
          <w:rFonts w:ascii="Arial" w:hAnsi="Arial" w:cs="Arial"/>
          <w:sz w:val="18"/>
          <w:szCs w:val="18"/>
          <w:lang w:val="es-ES"/>
        </w:rPr>
      </w:pPr>
      <w:r w:rsidRPr="00EB7E69">
        <w:rPr>
          <w:rStyle w:val="Refdenotaalpie"/>
          <w:rFonts w:ascii="Arial" w:hAnsi="Arial" w:cs="Arial"/>
          <w:sz w:val="18"/>
          <w:szCs w:val="18"/>
        </w:rPr>
        <w:footnoteRef/>
      </w:r>
      <w:r w:rsidRPr="00EB7E69">
        <w:rPr>
          <w:rFonts w:ascii="Arial" w:hAnsi="Arial" w:cs="Arial"/>
          <w:sz w:val="18"/>
          <w:szCs w:val="18"/>
        </w:rPr>
        <w:t xml:space="preserve"> </w:t>
      </w:r>
      <w:r w:rsidRPr="00EB7E69">
        <w:rPr>
          <w:rFonts w:ascii="Arial" w:hAnsi="Arial" w:cs="Arial"/>
          <w:sz w:val="18"/>
          <w:szCs w:val="18"/>
          <w:lang w:val="es-CO"/>
        </w:rPr>
        <w:t xml:space="preserve">Sala de Casación Civil, sentencia del 16 de diciembre de 2013, MP: Dr. Ariel Salazar Ramírez, expediente </w:t>
      </w:r>
      <w:r w:rsidRPr="00EB7E69">
        <w:rPr>
          <w:rFonts w:ascii="Arial" w:hAnsi="Arial" w:cs="Arial"/>
          <w:sz w:val="18"/>
          <w:szCs w:val="18"/>
          <w:lang w:val="es-ES"/>
        </w:rPr>
        <w:t>11001-3103-023-1997-04959-01, reiterada en la SC-5224-2019 del 9 del 3 de diciembre de  2019, con ponencia del mismo magistrado.</w:t>
      </w:r>
    </w:p>
    <w:p w:rsidR="00877253" w:rsidRPr="00EB7E69" w:rsidRDefault="00877253" w:rsidP="00EB7E69">
      <w:pPr>
        <w:pStyle w:val="Textoindependiente"/>
        <w:spacing w:line="360" w:lineRule="auto"/>
        <w:rPr>
          <w:rFonts w:ascii="Arial" w:hAnsi="Arial" w:cs="Arial"/>
          <w:i/>
          <w:sz w:val="18"/>
          <w:szCs w:val="18"/>
          <w:shd w:val="clear" w:color="auto" w:fill="FFFFFF"/>
        </w:rPr>
      </w:pPr>
    </w:p>
    <w:p w:rsidR="00877253" w:rsidRPr="00EB7E69" w:rsidRDefault="00877253" w:rsidP="00EB7E69">
      <w:pPr>
        <w:pStyle w:val="Textonotapie"/>
        <w:jc w:val="both"/>
        <w:rPr>
          <w:rFonts w:cs="Arial"/>
          <w:sz w:val="18"/>
          <w:szCs w:val="18"/>
          <w:lang w:val="es-CO"/>
        </w:rPr>
      </w:pPr>
    </w:p>
  </w:footnote>
  <w:footnote w:id="9">
    <w:p w:rsidR="004C6C2F" w:rsidRPr="00EB7E69" w:rsidRDefault="004C6C2F" w:rsidP="00EB7E69">
      <w:pPr>
        <w:pStyle w:val="Textonotapie"/>
        <w:jc w:val="both"/>
        <w:rPr>
          <w:rFonts w:cs="Arial"/>
          <w:sz w:val="18"/>
          <w:szCs w:val="18"/>
          <w:lang w:val="es-CO"/>
        </w:rPr>
      </w:pPr>
      <w:r w:rsidRPr="00EB7E69">
        <w:rPr>
          <w:rStyle w:val="Refdenotaalpie"/>
          <w:rFonts w:cs="Arial"/>
          <w:sz w:val="18"/>
          <w:szCs w:val="18"/>
        </w:rPr>
        <w:footnoteRef/>
      </w:r>
      <w:r w:rsidRPr="00EB7E69">
        <w:rPr>
          <w:rFonts w:cs="Arial"/>
          <w:sz w:val="18"/>
          <w:szCs w:val="18"/>
        </w:rPr>
        <w:t xml:space="preserve"> H</w:t>
      </w:r>
      <w:r w:rsidRPr="00EB7E69">
        <w:rPr>
          <w:rFonts w:cs="Arial"/>
          <w:sz w:val="18"/>
          <w:szCs w:val="18"/>
          <w:lang w:val="es-CO"/>
        </w:rPr>
        <w:t xml:space="preserve">echo segundo </w:t>
      </w:r>
    </w:p>
  </w:footnote>
  <w:footnote w:id="10">
    <w:p w:rsidR="004C6C2F" w:rsidRPr="004C6C2F" w:rsidRDefault="004C6C2F" w:rsidP="00EB7E69">
      <w:pPr>
        <w:pStyle w:val="Textonotapie"/>
        <w:jc w:val="both"/>
        <w:rPr>
          <w:lang w:val="es-CO"/>
        </w:rPr>
      </w:pPr>
      <w:r w:rsidRPr="00EB7E69">
        <w:rPr>
          <w:rStyle w:val="Refdenotaalpie"/>
          <w:rFonts w:cs="Arial"/>
          <w:sz w:val="18"/>
          <w:szCs w:val="18"/>
        </w:rPr>
        <w:footnoteRef/>
      </w:r>
      <w:r w:rsidRPr="00EB7E69">
        <w:rPr>
          <w:rFonts w:cs="Arial"/>
          <w:sz w:val="18"/>
          <w:szCs w:val="18"/>
        </w:rPr>
        <w:t xml:space="preserve"> </w:t>
      </w:r>
      <w:r w:rsidRPr="00EB7E69">
        <w:rPr>
          <w:rFonts w:cs="Arial"/>
          <w:sz w:val="18"/>
          <w:szCs w:val="18"/>
          <w:lang w:val="es-CO"/>
        </w:rPr>
        <w:t>Hecho quinto</w:t>
      </w:r>
    </w:p>
  </w:footnote>
  <w:footnote w:id="11">
    <w:p w:rsidR="005E53CF" w:rsidRPr="005E53CF" w:rsidRDefault="005E53CF" w:rsidP="005E53CF">
      <w:pPr>
        <w:pStyle w:val="Textonotapie"/>
        <w:jc w:val="both"/>
        <w:rPr>
          <w:rFonts w:cs="Arial"/>
          <w:spacing w:val="-8"/>
          <w:sz w:val="18"/>
          <w:szCs w:val="16"/>
          <w:lang w:val="es-CO"/>
        </w:rPr>
      </w:pPr>
      <w:r w:rsidRPr="005E53CF">
        <w:rPr>
          <w:rStyle w:val="Refdenotaalpie"/>
          <w:rFonts w:cs="Arial"/>
          <w:spacing w:val="-8"/>
          <w:sz w:val="18"/>
          <w:szCs w:val="16"/>
        </w:rPr>
        <w:footnoteRef/>
      </w:r>
      <w:r w:rsidRPr="005E53CF">
        <w:rPr>
          <w:rFonts w:cs="Arial"/>
          <w:spacing w:val="-8"/>
          <w:sz w:val="18"/>
          <w:szCs w:val="16"/>
        </w:rPr>
        <w:t xml:space="preserve"> </w:t>
      </w:r>
      <w:r w:rsidRPr="005E53CF">
        <w:rPr>
          <w:rFonts w:cs="Arial"/>
          <w:spacing w:val="-8"/>
          <w:sz w:val="18"/>
          <w:szCs w:val="16"/>
          <w:lang w:val="es-CO"/>
        </w:rPr>
        <w:t>Sala de Casación Civil del 26 de abril de 2016, MP. Dr. Fernando Giraldo Gutiérrez, sentencia SC-8845-2016, expediente 6600131030032010-00207-01.</w:t>
      </w:r>
    </w:p>
  </w:footnote>
  <w:footnote w:id="12">
    <w:p w:rsidR="005E53CF" w:rsidRPr="005E53CF" w:rsidRDefault="005E53CF" w:rsidP="005E53CF">
      <w:pPr>
        <w:pStyle w:val="Ttulo1"/>
        <w:tabs>
          <w:tab w:val="left" w:pos="1701"/>
        </w:tabs>
        <w:rPr>
          <w:rFonts w:ascii="Arial" w:hAnsi="Arial" w:cs="Arial"/>
          <w:b w:val="0"/>
          <w:spacing w:val="-8"/>
          <w:sz w:val="18"/>
          <w:szCs w:val="16"/>
          <w:lang w:val="es-CO"/>
        </w:rPr>
      </w:pPr>
      <w:r w:rsidRPr="005E53CF">
        <w:rPr>
          <w:rStyle w:val="Refdenotaalpie"/>
          <w:rFonts w:ascii="Arial" w:hAnsi="Arial" w:cs="Arial"/>
          <w:b w:val="0"/>
          <w:spacing w:val="-8"/>
          <w:sz w:val="18"/>
          <w:szCs w:val="16"/>
        </w:rPr>
        <w:footnoteRef/>
      </w:r>
      <w:r w:rsidRPr="005E53CF">
        <w:rPr>
          <w:rFonts w:ascii="Arial" w:hAnsi="Arial" w:cs="Arial"/>
          <w:b w:val="0"/>
          <w:spacing w:val="-8"/>
          <w:sz w:val="18"/>
          <w:szCs w:val="16"/>
        </w:rPr>
        <w:t xml:space="preserve"> MP. Dr. Luis Alonso Rico Puerta, sentencia </w:t>
      </w:r>
      <w:r w:rsidRPr="005E53CF">
        <w:rPr>
          <w:rFonts w:ascii="Arial" w:hAnsi="Arial" w:cs="Arial"/>
          <w:b w:val="0"/>
          <w:spacing w:val="-8"/>
          <w:sz w:val="18"/>
          <w:szCs w:val="16"/>
          <w:lang w:val="es-CO"/>
        </w:rPr>
        <w:t xml:space="preserve">SC13400-2016, expediente </w:t>
      </w:r>
      <w:r w:rsidRPr="005E53CF">
        <w:rPr>
          <w:rFonts w:ascii="Arial" w:hAnsi="Arial" w:cs="Arial"/>
          <w:b w:val="0"/>
          <w:spacing w:val="-8"/>
          <w:sz w:val="18"/>
          <w:szCs w:val="16"/>
        </w:rPr>
        <w:t>08001-3103-013-2001-00093</w:t>
      </w:r>
      <w:r w:rsidRPr="005E53CF">
        <w:rPr>
          <w:rFonts w:ascii="Arial" w:hAnsi="Arial" w:cs="Arial"/>
          <w:b w:val="0"/>
          <w:spacing w:val="-8"/>
          <w:sz w:val="18"/>
          <w:szCs w:val="16"/>
          <w:lang w:val="es-CO"/>
        </w:rPr>
        <w:t>-01</w:t>
      </w:r>
    </w:p>
  </w:footnote>
  <w:footnote w:id="13">
    <w:p w:rsidR="005E53CF" w:rsidRPr="005E53CF" w:rsidRDefault="005E53CF" w:rsidP="005E53CF">
      <w:pPr>
        <w:pStyle w:val="Listaconnmeros"/>
        <w:numPr>
          <w:ilvl w:val="0"/>
          <w:numId w:val="0"/>
        </w:numPr>
        <w:jc w:val="both"/>
        <w:rPr>
          <w:rFonts w:ascii="Arial" w:hAnsi="Arial" w:cs="Arial"/>
          <w:spacing w:val="-8"/>
          <w:sz w:val="18"/>
          <w:szCs w:val="16"/>
        </w:rPr>
      </w:pPr>
      <w:r w:rsidRPr="005E53CF">
        <w:rPr>
          <w:rStyle w:val="Refdenotaalpie"/>
          <w:rFonts w:ascii="Arial" w:hAnsi="Arial" w:cs="Arial"/>
          <w:spacing w:val="-8"/>
          <w:sz w:val="18"/>
          <w:szCs w:val="16"/>
        </w:rPr>
        <w:footnoteRef/>
      </w:r>
      <w:r w:rsidRPr="005E53CF">
        <w:rPr>
          <w:rFonts w:ascii="Arial" w:hAnsi="Arial" w:cs="Arial"/>
          <w:spacing w:val="-8"/>
          <w:sz w:val="18"/>
          <w:szCs w:val="16"/>
        </w:rPr>
        <w:t xml:space="preserve"> </w:t>
      </w:r>
      <w:r w:rsidRPr="005E53CF">
        <w:rPr>
          <w:rFonts w:ascii="Arial" w:hAnsi="Arial" w:cs="Arial"/>
          <w:spacing w:val="-8"/>
          <w:sz w:val="18"/>
          <w:szCs w:val="16"/>
          <w:lang w:val="es-CO"/>
        </w:rPr>
        <w:t xml:space="preserve">MP. Dr. Ariel Salazar Ramírez, sentencia </w:t>
      </w:r>
      <w:r w:rsidRPr="005E53CF">
        <w:rPr>
          <w:rFonts w:ascii="Arial" w:hAnsi="Arial" w:cs="Arial"/>
          <w:spacing w:val="-8"/>
          <w:sz w:val="18"/>
          <w:szCs w:val="16"/>
        </w:rPr>
        <w:t>SC16283-2016, Radicación n° 11001-02-03-000-2012-02237-00</w:t>
      </w:r>
    </w:p>
  </w:footnote>
  <w:footnote w:id="14">
    <w:p w:rsidR="005E53CF" w:rsidRPr="005E53CF" w:rsidRDefault="005E53CF" w:rsidP="005E53CF">
      <w:pPr>
        <w:pStyle w:val="Textonotapie"/>
        <w:jc w:val="both"/>
        <w:rPr>
          <w:rFonts w:cs="Arial"/>
          <w:spacing w:val="-8"/>
          <w:sz w:val="18"/>
          <w:szCs w:val="16"/>
          <w:lang w:val="es-CO"/>
        </w:rPr>
      </w:pPr>
      <w:r w:rsidRPr="005E53CF">
        <w:rPr>
          <w:rStyle w:val="Refdenotaalpie"/>
          <w:rFonts w:cs="Arial"/>
          <w:spacing w:val="-8"/>
          <w:sz w:val="18"/>
          <w:szCs w:val="16"/>
        </w:rPr>
        <w:footnoteRef/>
      </w:r>
      <w:r w:rsidRPr="005E53CF">
        <w:rPr>
          <w:rFonts w:cs="Arial"/>
          <w:spacing w:val="-8"/>
          <w:sz w:val="18"/>
          <w:szCs w:val="16"/>
        </w:rPr>
        <w:t xml:space="preserve"> MP. Dr. Luis Alfonso Rico Puerta, sentencia SC5208-2017, radicación No. 11001-02-03-000-2013-01881-00 </w:t>
      </w:r>
    </w:p>
  </w:footnote>
  <w:footnote w:id="15">
    <w:p w:rsidR="005E53CF" w:rsidRPr="005E53CF" w:rsidRDefault="005E53CF" w:rsidP="005E53CF">
      <w:pPr>
        <w:pStyle w:val="Textonotapie"/>
        <w:jc w:val="both"/>
        <w:rPr>
          <w:rFonts w:cs="Arial"/>
          <w:spacing w:val="-8"/>
          <w:sz w:val="18"/>
          <w:szCs w:val="16"/>
          <w:lang w:val="es-CO"/>
        </w:rPr>
      </w:pPr>
      <w:r w:rsidRPr="005E53CF">
        <w:rPr>
          <w:rStyle w:val="Refdenotaalpie"/>
          <w:rFonts w:cs="Arial"/>
          <w:spacing w:val="-8"/>
          <w:sz w:val="18"/>
          <w:szCs w:val="16"/>
        </w:rPr>
        <w:footnoteRef/>
      </w:r>
      <w:r w:rsidRPr="005E53CF">
        <w:rPr>
          <w:rFonts w:cs="Arial"/>
          <w:spacing w:val="-8"/>
          <w:sz w:val="18"/>
          <w:szCs w:val="16"/>
        </w:rPr>
        <w:t xml:space="preserve"> </w:t>
      </w:r>
      <w:r w:rsidRPr="005E53CF">
        <w:rPr>
          <w:rFonts w:cs="Arial"/>
          <w:spacing w:val="-8"/>
          <w:sz w:val="18"/>
          <w:szCs w:val="16"/>
          <w:lang w:val="es-CO"/>
        </w:rPr>
        <w:t>MP. Dra. Margarita Cabello Blanco, sentencia SC21078-2017, radicación 11001-02-03-000-2012-00663-00</w:t>
      </w:r>
    </w:p>
  </w:footnote>
  <w:footnote w:id="16">
    <w:p w:rsidR="005E53CF" w:rsidRPr="005E53CF" w:rsidRDefault="005E53CF" w:rsidP="005E53CF">
      <w:pPr>
        <w:pStyle w:val="Textonotapie"/>
        <w:jc w:val="both"/>
        <w:rPr>
          <w:rFonts w:cs="Arial"/>
          <w:spacing w:val="-8"/>
          <w:sz w:val="18"/>
          <w:szCs w:val="16"/>
          <w:lang w:val="es-CO"/>
        </w:rPr>
      </w:pPr>
      <w:r w:rsidRPr="005E53CF">
        <w:rPr>
          <w:rStyle w:val="Refdenotaalpie"/>
          <w:rFonts w:cs="Arial"/>
          <w:spacing w:val="-8"/>
          <w:sz w:val="18"/>
          <w:szCs w:val="16"/>
        </w:rPr>
        <w:footnoteRef/>
      </w:r>
      <w:r w:rsidRPr="005E53CF">
        <w:rPr>
          <w:rFonts w:cs="Arial"/>
          <w:spacing w:val="-8"/>
          <w:sz w:val="18"/>
          <w:szCs w:val="16"/>
        </w:rPr>
        <w:t xml:space="preserve"> MP. Dr. Octavio Augusto Tejeiro Duque, sentencia SC3017-2019, expediente 76147-31-10-002-2011-00027-02</w:t>
      </w:r>
    </w:p>
  </w:footnote>
  <w:footnote w:id="17">
    <w:p w:rsidR="005E53CF" w:rsidRPr="005E53CF" w:rsidRDefault="005E53CF" w:rsidP="005E53CF">
      <w:pPr>
        <w:pStyle w:val="Textonotapie"/>
        <w:jc w:val="both"/>
        <w:rPr>
          <w:rFonts w:cs="Arial"/>
          <w:spacing w:val="-8"/>
          <w:sz w:val="18"/>
          <w:szCs w:val="16"/>
          <w:lang w:val="es-CO"/>
        </w:rPr>
      </w:pPr>
      <w:r w:rsidRPr="005E53CF">
        <w:rPr>
          <w:rStyle w:val="Refdenotaalpie"/>
          <w:rFonts w:cs="Arial"/>
          <w:spacing w:val="-8"/>
          <w:sz w:val="18"/>
          <w:szCs w:val="16"/>
        </w:rPr>
        <w:footnoteRef/>
      </w:r>
      <w:r w:rsidRPr="005E53CF">
        <w:rPr>
          <w:rFonts w:cs="Arial"/>
          <w:spacing w:val="-8"/>
          <w:sz w:val="18"/>
          <w:szCs w:val="16"/>
        </w:rPr>
        <w:t xml:space="preserve"> </w:t>
      </w:r>
      <w:r w:rsidRPr="005E53CF">
        <w:rPr>
          <w:rFonts w:cs="Arial"/>
          <w:spacing w:val="-8"/>
          <w:sz w:val="18"/>
          <w:szCs w:val="16"/>
          <w:lang w:val="es-CO"/>
        </w:rPr>
        <w:t>MP. Dr. Aroldo Wilson  Quiroz Monsalvo, sentencia SC3140-2019, expediente 05-001-31-10-009-2008-00867-01</w:t>
      </w:r>
    </w:p>
  </w:footnote>
  <w:footnote w:id="18">
    <w:p w:rsidR="005E53CF" w:rsidRPr="005E53CF" w:rsidRDefault="005E53CF" w:rsidP="005E53CF">
      <w:pPr>
        <w:pStyle w:val="Textonotapie"/>
        <w:jc w:val="both"/>
        <w:rPr>
          <w:rFonts w:cs="Arial"/>
          <w:sz w:val="18"/>
          <w:szCs w:val="16"/>
          <w:lang w:val="es-CO"/>
        </w:rPr>
      </w:pPr>
      <w:r w:rsidRPr="005E53CF">
        <w:rPr>
          <w:rStyle w:val="Refdenotaalpie"/>
          <w:rFonts w:cs="Arial"/>
          <w:spacing w:val="-8"/>
          <w:sz w:val="18"/>
          <w:szCs w:val="16"/>
        </w:rPr>
        <w:footnoteRef/>
      </w:r>
      <w:r w:rsidRPr="005E53CF">
        <w:rPr>
          <w:rFonts w:cs="Arial"/>
          <w:spacing w:val="-8"/>
          <w:sz w:val="18"/>
          <w:szCs w:val="16"/>
        </w:rPr>
        <w:t xml:space="preserve"> MP. Álvaro Fernando García Restrepo, sentencia SC3404-2019, expediente 11001-31-10-008-2011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5A"/>
    <w:multiLevelType w:val="hybridMultilevel"/>
    <w:tmpl w:val="ACC491C2"/>
    <w:lvl w:ilvl="0" w:tplc="DAFEEE40">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C2613C"/>
    <w:multiLevelType w:val="multilevel"/>
    <w:tmpl w:val="100C1906"/>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A3B1CD3"/>
    <w:multiLevelType w:val="hybridMultilevel"/>
    <w:tmpl w:val="9306EA3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33E"/>
    <w:rsid w:val="00011CAB"/>
    <w:rsid w:val="0001445F"/>
    <w:rsid w:val="00016400"/>
    <w:rsid w:val="00016AB0"/>
    <w:rsid w:val="00016ABE"/>
    <w:rsid w:val="00016C44"/>
    <w:rsid w:val="00020AF8"/>
    <w:rsid w:val="00021037"/>
    <w:rsid w:val="00024A9E"/>
    <w:rsid w:val="00026317"/>
    <w:rsid w:val="00026793"/>
    <w:rsid w:val="00030842"/>
    <w:rsid w:val="00033B2E"/>
    <w:rsid w:val="00036FA6"/>
    <w:rsid w:val="000416B2"/>
    <w:rsid w:val="0004231E"/>
    <w:rsid w:val="00042466"/>
    <w:rsid w:val="0004501D"/>
    <w:rsid w:val="00052B1A"/>
    <w:rsid w:val="000534B8"/>
    <w:rsid w:val="000610AE"/>
    <w:rsid w:val="000634B3"/>
    <w:rsid w:val="00063B11"/>
    <w:rsid w:val="000663AF"/>
    <w:rsid w:val="00073022"/>
    <w:rsid w:val="0007534C"/>
    <w:rsid w:val="00081015"/>
    <w:rsid w:val="0008663B"/>
    <w:rsid w:val="000867C4"/>
    <w:rsid w:val="0009038C"/>
    <w:rsid w:val="00092FA3"/>
    <w:rsid w:val="00095434"/>
    <w:rsid w:val="000A1015"/>
    <w:rsid w:val="000A3C8F"/>
    <w:rsid w:val="000A458B"/>
    <w:rsid w:val="000A682C"/>
    <w:rsid w:val="000A68BA"/>
    <w:rsid w:val="000B0F15"/>
    <w:rsid w:val="000B5193"/>
    <w:rsid w:val="000C216D"/>
    <w:rsid w:val="000C2512"/>
    <w:rsid w:val="000C6782"/>
    <w:rsid w:val="000D09C9"/>
    <w:rsid w:val="000D0DEE"/>
    <w:rsid w:val="000D11FC"/>
    <w:rsid w:val="000D6347"/>
    <w:rsid w:val="000D7D1B"/>
    <w:rsid w:val="000E1D58"/>
    <w:rsid w:val="000E476D"/>
    <w:rsid w:val="000E533E"/>
    <w:rsid w:val="000E743B"/>
    <w:rsid w:val="000F5F2D"/>
    <w:rsid w:val="000F7434"/>
    <w:rsid w:val="0010309E"/>
    <w:rsid w:val="0011027D"/>
    <w:rsid w:val="001103DA"/>
    <w:rsid w:val="00111BD5"/>
    <w:rsid w:val="00111F82"/>
    <w:rsid w:val="0011721E"/>
    <w:rsid w:val="001229A9"/>
    <w:rsid w:val="00122A89"/>
    <w:rsid w:val="0012431C"/>
    <w:rsid w:val="001272DE"/>
    <w:rsid w:val="001331F1"/>
    <w:rsid w:val="00134B64"/>
    <w:rsid w:val="00136A49"/>
    <w:rsid w:val="00137708"/>
    <w:rsid w:val="001428CB"/>
    <w:rsid w:val="00143A63"/>
    <w:rsid w:val="001467A4"/>
    <w:rsid w:val="00151B3F"/>
    <w:rsid w:val="001556B0"/>
    <w:rsid w:val="001572A6"/>
    <w:rsid w:val="00160587"/>
    <w:rsid w:val="00161B6E"/>
    <w:rsid w:val="00170DAA"/>
    <w:rsid w:val="0017178D"/>
    <w:rsid w:val="00172774"/>
    <w:rsid w:val="00174BB0"/>
    <w:rsid w:val="00175507"/>
    <w:rsid w:val="0017640F"/>
    <w:rsid w:val="00176EC8"/>
    <w:rsid w:val="00177DB2"/>
    <w:rsid w:val="001833BE"/>
    <w:rsid w:val="00184B38"/>
    <w:rsid w:val="00185193"/>
    <w:rsid w:val="00187342"/>
    <w:rsid w:val="00187AE6"/>
    <w:rsid w:val="001914F2"/>
    <w:rsid w:val="00194733"/>
    <w:rsid w:val="00195BC7"/>
    <w:rsid w:val="00196204"/>
    <w:rsid w:val="001A0DF4"/>
    <w:rsid w:val="001A1C16"/>
    <w:rsid w:val="001A51D1"/>
    <w:rsid w:val="001A5F0C"/>
    <w:rsid w:val="001B0667"/>
    <w:rsid w:val="001B0F28"/>
    <w:rsid w:val="001B1134"/>
    <w:rsid w:val="001C511F"/>
    <w:rsid w:val="001C73B3"/>
    <w:rsid w:val="001D03BE"/>
    <w:rsid w:val="001D31E8"/>
    <w:rsid w:val="001E125D"/>
    <w:rsid w:val="001E13E8"/>
    <w:rsid w:val="001E14C5"/>
    <w:rsid w:val="001E1609"/>
    <w:rsid w:val="001E1A35"/>
    <w:rsid w:val="001E32A7"/>
    <w:rsid w:val="001E49AF"/>
    <w:rsid w:val="001E5999"/>
    <w:rsid w:val="001E6959"/>
    <w:rsid w:val="001F0387"/>
    <w:rsid w:val="001F0B1C"/>
    <w:rsid w:val="001F56D3"/>
    <w:rsid w:val="001F6F8A"/>
    <w:rsid w:val="002035C7"/>
    <w:rsid w:val="002049B5"/>
    <w:rsid w:val="00206799"/>
    <w:rsid w:val="00207B77"/>
    <w:rsid w:val="00212883"/>
    <w:rsid w:val="0021325A"/>
    <w:rsid w:val="00216C07"/>
    <w:rsid w:val="00220D73"/>
    <w:rsid w:val="00220F9A"/>
    <w:rsid w:val="002238C6"/>
    <w:rsid w:val="0022606E"/>
    <w:rsid w:val="00226B19"/>
    <w:rsid w:val="00226BDB"/>
    <w:rsid w:val="002277E6"/>
    <w:rsid w:val="00231174"/>
    <w:rsid w:val="00234B11"/>
    <w:rsid w:val="00235361"/>
    <w:rsid w:val="0023688C"/>
    <w:rsid w:val="00240F7B"/>
    <w:rsid w:val="00241C5A"/>
    <w:rsid w:val="00242DBB"/>
    <w:rsid w:val="002467C6"/>
    <w:rsid w:val="00247F12"/>
    <w:rsid w:val="00247F7B"/>
    <w:rsid w:val="00251A92"/>
    <w:rsid w:val="0025463C"/>
    <w:rsid w:val="00254C2F"/>
    <w:rsid w:val="002555CB"/>
    <w:rsid w:val="00257556"/>
    <w:rsid w:val="00257ACD"/>
    <w:rsid w:val="00267BD7"/>
    <w:rsid w:val="00267C1E"/>
    <w:rsid w:val="00273F45"/>
    <w:rsid w:val="002805C8"/>
    <w:rsid w:val="00290CDF"/>
    <w:rsid w:val="002918DB"/>
    <w:rsid w:val="00291F0A"/>
    <w:rsid w:val="00292584"/>
    <w:rsid w:val="00292778"/>
    <w:rsid w:val="00293B24"/>
    <w:rsid w:val="00295602"/>
    <w:rsid w:val="00296D7F"/>
    <w:rsid w:val="00296F76"/>
    <w:rsid w:val="002A17C1"/>
    <w:rsid w:val="002A1B5D"/>
    <w:rsid w:val="002A435A"/>
    <w:rsid w:val="002B1039"/>
    <w:rsid w:val="002B216C"/>
    <w:rsid w:val="002B5BAD"/>
    <w:rsid w:val="002B67D0"/>
    <w:rsid w:val="002B7C1B"/>
    <w:rsid w:val="002C2153"/>
    <w:rsid w:val="002C4D88"/>
    <w:rsid w:val="002C6D4F"/>
    <w:rsid w:val="002C741C"/>
    <w:rsid w:val="002C7824"/>
    <w:rsid w:val="002D4E66"/>
    <w:rsid w:val="002E1ACC"/>
    <w:rsid w:val="002E2191"/>
    <w:rsid w:val="002E4063"/>
    <w:rsid w:val="002E655E"/>
    <w:rsid w:val="002E6D2E"/>
    <w:rsid w:val="002F081D"/>
    <w:rsid w:val="002F1B83"/>
    <w:rsid w:val="002F3C2C"/>
    <w:rsid w:val="003029A3"/>
    <w:rsid w:val="003034B4"/>
    <w:rsid w:val="003057F1"/>
    <w:rsid w:val="00306F21"/>
    <w:rsid w:val="00316953"/>
    <w:rsid w:val="003175F8"/>
    <w:rsid w:val="0032104F"/>
    <w:rsid w:val="0033325A"/>
    <w:rsid w:val="00334A42"/>
    <w:rsid w:val="0033522D"/>
    <w:rsid w:val="00335BAD"/>
    <w:rsid w:val="00337E68"/>
    <w:rsid w:val="003407B7"/>
    <w:rsid w:val="0034133C"/>
    <w:rsid w:val="00346458"/>
    <w:rsid w:val="00347293"/>
    <w:rsid w:val="00351244"/>
    <w:rsid w:val="0035393B"/>
    <w:rsid w:val="00354A94"/>
    <w:rsid w:val="00361AD4"/>
    <w:rsid w:val="00367311"/>
    <w:rsid w:val="003720A0"/>
    <w:rsid w:val="00376BC7"/>
    <w:rsid w:val="00380424"/>
    <w:rsid w:val="003818BF"/>
    <w:rsid w:val="00382741"/>
    <w:rsid w:val="00383DD7"/>
    <w:rsid w:val="00384D1F"/>
    <w:rsid w:val="003854A6"/>
    <w:rsid w:val="0039449B"/>
    <w:rsid w:val="003A2BE3"/>
    <w:rsid w:val="003A3E42"/>
    <w:rsid w:val="003A61F7"/>
    <w:rsid w:val="003A7440"/>
    <w:rsid w:val="003B4B0E"/>
    <w:rsid w:val="003B6E64"/>
    <w:rsid w:val="003C70BA"/>
    <w:rsid w:val="003D25AE"/>
    <w:rsid w:val="003D5DF1"/>
    <w:rsid w:val="003E386A"/>
    <w:rsid w:val="003E5548"/>
    <w:rsid w:val="003F2077"/>
    <w:rsid w:val="003F3F33"/>
    <w:rsid w:val="003F5818"/>
    <w:rsid w:val="003F74C4"/>
    <w:rsid w:val="00400CA9"/>
    <w:rsid w:val="00401AFC"/>
    <w:rsid w:val="00401BFF"/>
    <w:rsid w:val="0040513D"/>
    <w:rsid w:val="004055BB"/>
    <w:rsid w:val="00405E45"/>
    <w:rsid w:val="004075B0"/>
    <w:rsid w:val="00407B10"/>
    <w:rsid w:val="00410467"/>
    <w:rsid w:val="0041258E"/>
    <w:rsid w:val="00413231"/>
    <w:rsid w:val="0041360C"/>
    <w:rsid w:val="004163FF"/>
    <w:rsid w:val="004209F0"/>
    <w:rsid w:val="004244E0"/>
    <w:rsid w:val="004263F1"/>
    <w:rsid w:val="00426656"/>
    <w:rsid w:val="00430924"/>
    <w:rsid w:val="004336A9"/>
    <w:rsid w:val="004337D5"/>
    <w:rsid w:val="00436454"/>
    <w:rsid w:val="00441D21"/>
    <w:rsid w:val="00442A09"/>
    <w:rsid w:val="004505FA"/>
    <w:rsid w:val="00451428"/>
    <w:rsid w:val="00454B65"/>
    <w:rsid w:val="004561E2"/>
    <w:rsid w:val="0046040B"/>
    <w:rsid w:val="00472D52"/>
    <w:rsid w:val="00473396"/>
    <w:rsid w:val="00475E90"/>
    <w:rsid w:val="00477D7F"/>
    <w:rsid w:val="00481207"/>
    <w:rsid w:val="004838AC"/>
    <w:rsid w:val="00484E62"/>
    <w:rsid w:val="00487FA7"/>
    <w:rsid w:val="004907C3"/>
    <w:rsid w:val="00490F01"/>
    <w:rsid w:val="00496034"/>
    <w:rsid w:val="004A1DFF"/>
    <w:rsid w:val="004B1368"/>
    <w:rsid w:val="004B3C25"/>
    <w:rsid w:val="004B6035"/>
    <w:rsid w:val="004B7103"/>
    <w:rsid w:val="004B79CE"/>
    <w:rsid w:val="004C18BC"/>
    <w:rsid w:val="004C3D13"/>
    <w:rsid w:val="004C4569"/>
    <w:rsid w:val="004C6C2F"/>
    <w:rsid w:val="004D1B18"/>
    <w:rsid w:val="004D2B43"/>
    <w:rsid w:val="004D64F3"/>
    <w:rsid w:val="004E207D"/>
    <w:rsid w:val="004E34BA"/>
    <w:rsid w:val="004E47AD"/>
    <w:rsid w:val="004E7927"/>
    <w:rsid w:val="004F3460"/>
    <w:rsid w:val="004F62C6"/>
    <w:rsid w:val="004F666C"/>
    <w:rsid w:val="004F7981"/>
    <w:rsid w:val="004F7BF7"/>
    <w:rsid w:val="00501AA0"/>
    <w:rsid w:val="00501B28"/>
    <w:rsid w:val="00501F8A"/>
    <w:rsid w:val="00511160"/>
    <w:rsid w:val="005118BF"/>
    <w:rsid w:val="005152D7"/>
    <w:rsid w:val="00515586"/>
    <w:rsid w:val="00520436"/>
    <w:rsid w:val="00520873"/>
    <w:rsid w:val="00522B20"/>
    <w:rsid w:val="005235B0"/>
    <w:rsid w:val="00527CCB"/>
    <w:rsid w:val="005307C5"/>
    <w:rsid w:val="00530D45"/>
    <w:rsid w:val="00531653"/>
    <w:rsid w:val="00535AE3"/>
    <w:rsid w:val="00537BFB"/>
    <w:rsid w:val="00537E69"/>
    <w:rsid w:val="00544C0E"/>
    <w:rsid w:val="00545A66"/>
    <w:rsid w:val="00545ACC"/>
    <w:rsid w:val="005468F5"/>
    <w:rsid w:val="00546AC8"/>
    <w:rsid w:val="00550994"/>
    <w:rsid w:val="0055128C"/>
    <w:rsid w:val="0055155F"/>
    <w:rsid w:val="00551C95"/>
    <w:rsid w:val="00556B6D"/>
    <w:rsid w:val="00557E55"/>
    <w:rsid w:val="00557F5E"/>
    <w:rsid w:val="0056008A"/>
    <w:rsid w:val="005635EE"/>
    <w:rsid w:val="00564A26"/>
    <w:rsid w:val="00564E0E"/>
    <w:rsid w:val="00570D24"/>
    <w:rsid w:val="00575F89"/>
    <w:rsid w:val="00576573"/>
    <w:rsid w:val="00577961"/>
    <w:rsid w:val="00582E13"/>
    <w:rsid w:val="0058439A"/>
    <w:rsid w:val="0058758E"/>
    <w:rsid w:val="0059535C"/>
    <w:rsid w:val="005A47BE"/>
    <w:rsid w:val="005B24AD"/>
    <w:rsid w:val="005B3FF2"/>
    <w:rsid w:val="005C0751"/>
    <w:rsid w:val="005C17E6"/>
    <w:rsid w:val="005C2483"/>
    <w:rsid w:val="005C297F"/>
    <w:rsid w:val="005C2F29"/>
    <w:rsid w:val="005C38A4"/>
    <w:rsid w:val="005C4993"/>
    <w:rsid w:val="005C5767"/>
    <w:rsid w:val="005C73E0"/>
    <w:rsid w:val="005D7B74"/>
    <w:rsid w:val="005E111A"/>
    <w:rsid w:val="005E25AD"/>
    <w:rsid w:val="005E53CF"/>
    <w:rsid w:val="005F04C8"/>
    <w:rsid w:val="005F0737"/>
    <w:rsid w:val="005F0E77"/>
    <w:rsid w:val="005F1E83"/>
    <w:rsid w:val="005F490C"/>
    <w:rsid w:val="005F576D"/>
    <w:rsid w:val="00602432"/>
    <w:rsid w:val="00603756"/>
    <w:rsid w:val="00604CBC"/>
    <w:rsid w:val="00605942"/>
    <w:rsid w:val="00605C12"/>
    <w:rsid w:val="0061606B"/>
    <w:rsid w:val="00616573"/>
    <w:rsid w:val="00616A32"/>
    <w:rsid w:val="0061737E"/>
    <w:rsid w:val="00617801"/>
    <w:rsid w:val="00624A97"/>
    <w:rsid w:val="00625088"/>
    <w:rsid w:val="00627B39"/>
    <w:rsid w:val="006308E6"/>
    <w:rsid w:val="006334CA"/>
    <w:rsid w:val="0063573B"/>
    <w:rsid w:val="00643986"/>
    <w:rsid w:val="00644D2A"/>
    <w:rsid w:val="00650BCE"/>
    <w:rsid w:val="00651DAF"/>
    <w:rsid w:val="00652F32"/>
    <w:rsid w:val="0066321C"/>
    <w:rsid w:val="00666A8E"/>
    <w:rsid w:val="00667B96"/>
    <w:rsid w:val="00673767"/>
    <w:rsid w:val="006748DD"/>
    <w:rsid w:val="00676876"/>
    <w:rsid w:val="006773CF"/>
    <w:rsid w:val="00680253"/>
    <w:rsid w:val="0069090A"/>
    <w:rsid w:val="006944B2"/>
    <w:rsid w:val="00697EF4"/>
    <w:rsid w:val="006A208C"/>
    <w:rsid w:val="006A29D8"/>
    <w:rsid w:val="006A4FAF"/>
    <w:rsid w:val="006A6DB2"/>
    <w:rsid w:val="006B125A"/>
    <w:rsid w:val="006B2083"/>
    <w:rsid w:val="006B2C89"/>
    <w:rsid w:val="006B3009"/>
    <w:rsid w:val="006B3764"/>
    <w:rsid w:val="006B4103"/>
    <w:rsid w:val="006B5860"/>
    <w:rsid w:val="006C09A0"/>
    <w:rsid w:val="006C1799"/>
    <w:rsid w:val="006C2F88"/>
    <w:rsid w:val="006C3FF6"/>
    <w:rsid w:val="006C4B33"/>
    <w:rsid w:val="006D656E"/>
    <w:rsid w:val="006D6619"/>
    <w:rsid w:val="006D7969"/>
    <w:rsid w:val="006E08AF"/>
    <w:rsid w:val="006E401C"/>
    <w:rsid w:val="006E4629"/>
    <w:rsid w:val="006E5861"/>
    <w:rsid w:val="006E6327"/>
    <w:rsid w:val="006F2C8E"/>
    <w:rsid w:val="006F2DB5"/>
    <w:rsid w:val="006F340E"/>
    <w:rsid w:val="006F65F6"/>
    <w:rsid w:val="006F6EB9"/>
    <w:rsid w:val="0070010C"/>
    <w:rsid w:val="00703F21"/>
    <w:rsid w:val="00711574"/>
    <w:rsid w:val="00713A06"/>
    <w:rsid w:val="00715157"/>
    <w:rsid w:val="0071544B"/>
    <w:rsid w:val="0071611F"/>
    <w:rsid w:val="0071701C"/>
    <w:rsid w:val="0072003A"/>
    <w:rsid w:val="0072222A"/>
    <w:rsid w:val="00723F8F"/>
    <w:rsid w:val="00725ECC"/>
    <w:rsid w:val="0072734F"/>
    <w:rsid w:val="007304E1"/>
    <w:rsid w:val="0073418E"/>
    <w:rsid w:val="00734C0A"/>
    <w:rsid w:val="00736191"/>
    <w:rsid w:val="00742BCF"/>
    <w:rsid w:val="0076190D"/>
    <w:rsid w:val="00765587"/>
    <w:rsid w:val="00766025"/>
    <w:rsid w:val="0076639D"/>
    <w:rsid w:val="00771146"/>
    <w:rsid w:val="00775455"/>
    <w:rsid w:val="007762DF"/>
    <w:rsid w:val="00777E09"/>
    <w:rsid w:val="00785827"/>
    <w:rsid w:val="007860C3"/>
    <w:rsid w:val="007904DE"/>
    <w:rsid w:val="00790B5F"/>
    <w:rsid w:val="00790C5F"/>
    <w:rsid w:val="007974D2"/>
    <w:rsid w:val="007A27E9"/>
    <w:rsid w:val="007A4BC4"/>
    <w:rsid w:val="007A6F68"/>
    <w:rsid w:val="007B0F04"/>
    <w:rsid w:val="007B1235"/>
    <w:rsid w:val="007C37AB"/>
    <w:rsid w:val="007D021A"/>
    <w:rsid w:val="007D250F"/>
    <w:rsid w:val="007D35D1"/>
    <w:rsid w:val="007D53B1"/>
    <w:rsid w:val="007E05B2"/>
    <w:rsid w:val="007E07AF"/>
    <w:rsid w:val="007F5336"/>
    <w:rsid w:val="007F6449"/>
    <w:rsid w:val="00801CB7"/>
    <w:rsid w:val="008032CB"/>
    <w:rsid w:val="0080480E"/>
    <w:rsid w:val="00805EB3"/>
    <w:rsid w:val="008071DE"/>
    <w:rsid w:val="008166DB"/>
    <w:rsid w:val="0082247E"/>
    <w:rsid w:val="00822931"/>
    <w:rsid w:val="008326CB"/>
    <w:rsid w:val="0083577D"/>
    <w:rsid w:val="00835E4B"/>
    <w:rsid w:val="008368F8"/>
    <w:rsid w:val="00836A6A"/>
    <w:rsid w:val="00836FE7"/>
    <w:rsid w:val="00837DA6"/>
    <w:rsid w:val="00840CEF"/>
    <w:rsid w:val="008423BC"/>
    <w:rsid w:val="00845BBA"/>
    <w:rsid w:val="00847AD4"/>
    <w:rsid w:val="008513F1"/>
    <w:rsid w:val="00852AB9"/>
    <w:rsid w:val="00853CF1"/>
    <w:rsid w:val="008548F2"/>
    <w:rsid w:val="00855D27"/>
    <w:rsid w:val="00855F1C"/>
    <w:rsid w:val="008613F2"/>
    <w:rsid w:val="00866108"/>
    <w:rsid w:val="0086630A"/>
    <w:rsid w:val="00866F3E"/>
    <w:rsid w:val="00872711"/>
    <w:rsid w:val="00877253"/>
    <w:rsid w:val="00882B8D"/>
    <w:rsid w:val="00884DA7"/>
    <w:rsid w:val="00890DEE"/>
    <w:rsid w:val="008919DB"/>
    <w:rsid w:val="00893A47"/>
    <w:rsid w:val="0089787B"/>
    <w:rsid w:val="008978B8"/>
    <w:rsid w:val="00897CDC"/>
    <w:rsid w:val="008A13AA"/>
    <w:rsid w:val="008A1558"/>
    <w:rsid w:val="008A16BC"/>
    <w:rsid w:val="008A29C0"/>
    <w:rsid w:val="008A2FB4"/>
    <w:rsid w:val="008A395B"/>
    <w:rsid w:val="008A7B24"/>
    <w:rsid w:val="008B3B36"/>
    <w:rsid w:val="008B4D0A"/>
    <w:rsid w:val="008B7D66"/>
    <w:rsid w:val="008C28E4"/>
    <w:rsid w:val="008C4580"/>
    <w:rsid w:val="008C4802"/>
    <w:rsid w:val="008D1262"/>
    <w:rsid w:val="008D198C"/>
    <w:rsid w:val="008D3A1E"/>
    <w:rsid w:val="008D40A7"/>
    <w:rsid w:val="008D4529"/>
    <w:rsid w:val="008D599C"/>
    <w:rsid w:val="008D6778"/>
    <w:rsid w:val="008E0951"/>
    <w:rsid w:val="008E14F8"/>
    <w:rsid w:val="008E1528"/>
    <w:rsid w:val="008E4332"/>
    <w:rsid w:val="008E7059"/>
    <w:rsid w:val="008E7C03"/>
    <w:rsid w:val="008F07ED"/>
    <w:rsid w:val="008F4FC5"/>
    <w:rsid w:val="008F5410"/>
    <w:rsid w:val="00900AAC"/>
    <w:rsid w:val="009011DE"/>
    <w:rsid w:val="00903F16"/>
    <w:rsid w:val="0090544D"/>
    <w:rsid w:val="009101B2"/>
    <w:rsid w:val="00911532"/>
    <w:rsid w:val="00913A06"/>
    <w:rsid w:val="00915F4D"/>
    <w:rsid w:val="0092198D"/>
    <w:rsid w:val="00922319"/>
    <w:rsid w:val="0092536E"/>
    <w:rsid w:val="009301C4"/>
    <w:rsid w:val="00930249"/>
    <w:rsid w:val="00930457"/>
    <w:rsid w:val="009314F1"/>
    <w:rsid w:val="00937FFE"/>
    <w:rsid w:val="0094096D"/>
    <w:rsid w:val="009413A1"/>
    <w:rsid w:val="00944A23"/>
    <w:rsid w:val="009546F0"/>
    <w:rsid w:val="009666B2"/>
    <w:rsid w:val="00967EF8"/>
    <w:rsid w:val="0098214C"/>
    <w:rsid w:val="00985D67"/>
    <w:rsid w:val="009918F4"/>
    <w:rsid w:val="0099264D"/>
    <w:rsid w:val="00996513"/>
    <w:rsid w:val="00996FD4"/>
    <w:rsid w:val="00997D85"/>
    <w:rsid w:val="009A2AFA"/>
    <w:rsid w:val="009A4252"/>
    <w:rsid w:val="009A46D8"/>
    <w:rsid w:val="009A4D10"/>
    <w:rsid w:val="009A555A"/>
    <w:rsid w:val="009A5ABF"/>
    <w:rsid w:val="009B2700"/>
    <w:rsid w:val="009B33C3"/>
    <w:rsid w:val="009B36D0"/>
    <w:rsid w:val="009B6997"/>
    <w:rsid w:val="009B72C0"/>
    <w:rsid w:val="009C0705"/>
    <w:rsid w:val="009C18EB"/>
    <w:rsid w:val="009C1CF9"/>
    <w:rsid w:val="009C28B1"/>
    <w:rsid w:val="009C7003"/>
    <w:rsid w:val="009C74A9"/>
    <w:rsid w:val="009D17CF"/>
    <w:rsid w:val="009D1F0B"/>
    <w:rsid w:val="009D21CC"/>
    <w:rsid w:val="009D649C"/>
    <w:rsid w:val="009D7389"/>
    <w:rsid w:val="009E17F1"/>
    <w:rsid w:val="009E6EA1"/>
    <w:rsid w:val="009F2DB0"/>
    <w:rsid w:val="009F3D57"/>
    <w:rsid w:val="009F4640"/>
    <w:rsid w:val="009F4B4C"/>
    <w:rsid w:val="00A01979"/>
    <w:rsid w:val="00A06EB5"/>
    <w:rsid w:val="00A07AE0"/>
    <w:rsid w:val="00A111D0"/>
    <w:rsid w:val="00A12519"/>
    <w:rsid w:val="00A16380"/>
    <w:rsid w:val="00A229CA"/>
    <w:rsid w:val="00A24363"/>
    <w:rsid w:val="00A24C02"/>
    <w:rsid w:val="00A2652C"/>
    <w:rsid w:val="00A301C6"/>
    <w:rsid w:val="00A309D6"/>
    <w:rsid w:val="00A33172"/>
    <w:rsid w:val="00A34806"/>
    <w:rsid w:val="00A3659E"/>
    <w:rsid w:val="00A36DB7"/>
    <w:rsid w:val="00A418A0"/>
    <w:rsid w:val="00A437A1"/>
    <w:rsid w:val="00A5377A"/>
    <w:rsid w:val="00A53C91"/>
    <w:rsid w:val="00A546BE"/>
    <w:rsid w:val="00A56A3D"/>
    <w:rsid w:val="00A56EA7"/>
    <w:rsid w:val="00A57BF6"/>
    <w:rsid w:val="00A60786"/>
    <w:rsid w:val="00A61BFB"/>
    <w:rsid w:val="00A65A8F"/>
    <w:rsid w:val="00A65B4B"/>
    <w:rsid w:val="00A6798E"/>
    <w:rsid w:val="00A67F4A"/>
    <w:rsid w:val="00A707FF"/>
    <w:rsid w:val="00A709E6"/>
    <w:rsid w:val="00A71E59"/>
    <w:rsid w:val="00A72C1E"/>
    <w:rsid w:val="00A75252"/>
    <w:rsid w:val="00A81E86"/>
    <w:rsid w:val="00A8240A"/>
    <w:rsid w:val="00A826BC"/>
    <w:rsid w:val="00A87432"/>
    <w:rsid w:val="00A874CC"/>
    <w:rsid w:val="00A9317A"/>
    <w:rsid w:val="00A95AD2"/>
    <w:rsid w:val="00A95E7C"/>
    <w:rsid w:val="00A96684"/>
    <w:rsid w:val="00A975DC"/>
    <w:rsid w:val="00AA0C2C"/>
    <w:rsid w:val="00AA187F"/>
    <w:rsid w:val="00AA5777"/>
    <w:rsid w:val="00AB12F9"/>
    <w:rsid w:val="00AB66E7"/>
    <w:rsid w:val="00AB6ABE"/>
    <w:rsid w:val="00AB7F25"/>
    <w:rsid w:val="00AC2FBC"/>
    <w:rsid w:val="00AC3430"/>
    <w:rsid w:val="00AD3139"/>
    <w:rsid w:val="00AD550A"/>
    <w:rsid w:val="00AE0C82"/>
    <w:rsid w:val="00AE2F8A"/>
    <w:rsid w:val="00AE4309"/>
    <w:rsid w:val="00AE7144"/>
    <w:rsid w:val="00AF2DBF"/>
    <w:rsid w:val="00AF4381"/>
    <w:rsid w:val="00AF4B96"/>
    <w:rsid w:val="00AF4E33"/>
    <w:rsid w:val="00AF5A79"/>
    <w:rsid w:val="00AF664C"/>
    <w:rsid w:val="00B0051E"/>
    <w:rsid w:val="00B00D0F"/>
    <w:rsid w:val="00B00F9F"/>
    <w:rsid w:val="00B03B66"/>
    <w:rsid w:val="00B06340"/>
    <w:rsid w:val="00B10C2D"/>
    <w:rsid w:val="00B11404"/>
    <w:rsid w:val="00B11A04"/>
    <w:rsid w:val="00B13391"/>
    <w:rsid w:val="00B14BA1"/>
    <w:rsid w:val="00B152CD"/>
    <w:rsid w:val="00B17E65"/>
    <w:rsid w:val="00B227C1"/>
    <w:rsid w:val="00B23D39"/>
    <w:rsid w:val="00B255FD"/>
    <w:rsid w:val="00B3306C"/>
    <w:rsid w:val="00B33750"/>
    <w:rsid w:val="00B34CBD"/>
    <w:rsid w:val="00B35936"/>
    <w:rsid w:val="00B35DEA"/>
    <w:rsid w:val="00B36646"/>
    <w:rsid w:val="00B3771F"/>
    <w:rsid w:val="00B43355"/>
    <w:rsid w:val="00B4504E"/>
    <w:rsid w:val="00B464B7"/>
    <w:rsid w:val="00B4686E"/>
    <w:rsid w:val="00B50C94"/>
    <w:rsid w:val="00B50F4A"/>
    <w:rsid w:val="00B51A43"/>
    <w:rsid w:val="00B561A7"/>
    <w:rsid w:val="00B577BF"/>
    <w:rsid w:val="00B6657C"/>
    <w:rsid w:val="00B67CF8"/>
    <w:rsid w:val="00B72B24"/>
    <w:rsid w:val="00B7599F"/>
    <w:rsid w:val="00B80772"/>
    <w:rsid w:val="00B847AC"/>
    <w:rsid w:val="00B85931"/>
    <w:rsid w:val="00B96AB8"/>
    <w:rsid w:val="00B97050"/>
    <w:rsid w:val="00B9792C"/>
    <w:rsid w:val="00BA08E0"/>
    <w:rsid w:val="00BA1B78"/>
    <w:rsid w:val="00BA52CD"/>
    <w:rsid w:val="00BA7046"/>
    <w:rsid w:val="00BA7288"/>
    <w:rsid w:val="00BA7ABF"/>
    <w:rsid w:val="00BC4119"/>
    <w:rsid w:val="00BC51EB"/>
    <w:rsid w:val="00BC5F55"/>
    <w:rsid w:val="00BE1867"/>
    <w:rsid w:val="00BE1B60"/>
    <w:rsid w:val="00BE378B"/>
    <w:rsid w:val="00BE7A9E"/>
    <w:rsid w:val="00BF0506"/>
    <w:rsid w:val="00BF4C4A"/>
    <w:rsid w:val="00BF543E"/>
    <w:rsid w:val="00BF5B4C"/>
    <w:rsid w:val="00C00EB6"/>
    <w:rsid w:val="00C04002"/>
    <w:rsid w:val="00C04CCC"/>
    <w:rsid w:val="00C07DC8"/>
    <w:rsid w:val="00C10721"/>
    <w:rsid w:val="00C12D50"/>
    <w:rsid w:val="00C15A31"/>
    <w:rsid w:val="00C16972"/>
    <w:rsid w:val="00C174A3"/>
    <w:rsid w:val="00C202AB"/>
    <w:rsid w:val="00C26007"/>
    <w:rsid w:val="00C3155A"/>
    <w:rsid w:val="00C33672"/>
    <w:rsid w:val="00C35348"/>
    <w:rsid w:val="00C37344"/>
    <w:rsid w:val="00C4149C"/>
    <w:rsid w:val="00C438DA"/>
    <w:rsid w:val="00C45107"/>
    <w:rsid w:val="00C46CB9"/>
    <w:rsid w:val="00C55ED1"/>
    <w:rsid w:val="00C56B2C"/>
    <w:rsid w:val="00C6582D"/>
    <w:rsid w:val="00C65AF4"/>
    <w:rsid w:val="00C678F0"/>
    <w:rsid w:val="00C67CE7"/>
    <w:rsid w:val="00C7238B"/>
    <w:rsid w:val="00C726C7"/>
    <w:rsid w:val="00C77C64"/>
    <w:rsid w:val="00C807D5"/>
    <w:rsid w:val="00C807D8"/>
    <w:rsid w:val="00C8229B"/>
    <w:rsid w:val="00C85CAB"/>
    <w:rsid w:val="00C9085A"/>
    <w:rsid w:val="00C90B22"/>
    <w:rsid w:val="00C918AC"/>
    <w:rsid w:val="00C94485"/>
    <w:rsid w:val="00C96469"/>
    <w:rsid w:val="00CA6814"/>
    <w:rsid w:val="00CB0BD1"/>
    <w:rsid w:val="00CB2F9D"/>
    <w:rsid w:val="00CB748F"/>
    <w:rsid w:val="00CC1D45"/>
    <w:rsid w:val="00CC2E1F"/>
    <w:rsid w:val="00CC3EC4"/>
    <w:rsid w:val="00CC7DD7"/>
    <w:rsid w:val="00CD38E0"/>
    <w:rsid w:val="00CD6D65"/>
    <w:rsid w:val="00CD769F"/>
    <w:rsid w:val="00CE1C32"/>
    <w:rsid w:val="00CE2A05"/>
    <w:rsid w:val="00CE44EE"/>
    <w:rsid w:val="00CE7603"/>
    <w:rsid w:val="00CE76BD"/>
    <w:rsid w:val="00CE7E5A"/>
    <w:rsid w:val="00CF4C3E"/>
    <w:rsid w:val="00CF6984"/>
    <w:rsid w:val="00CF6C16"/>
    <w:rsid w:val="00CF7EBE"/>
    <w:rsid w:val="00D054AE"/>
    <w:rsid w:val="00D062B6"/>
    <w:rsid w:val="00D06B3C"/>
    <w:rsid w:val="00D07438"/>
    <w:rsid w:val="00D078BD"/>
    <w:rsid w:val="00D10F79"/>
    <w:rsid w:val="00D12182"/>
    <w:rsid w:val="00D12D63"/>
    <w:rsid w:val="00D14E24"/>
    <w:rsid w:val="00D14E79"/>
    <w:rsid w:val="00D16C80"/>
    <w:rsid w:val="00D2096F"/>
    <w:rsid w:val="00D20D88"/>
    <w:rsid w:val="00D24C01"/>
    <w:rsid w:val="00D24D8A"/>
    <w:rsid w:val="00D24FF1"/>
    <w:rsid w:val="00D25C67"/>
    <w:rsid w:val="00D32E15"/>
    <w:rsid w:val="00D336C3"/>
    <w:rsid w:val="00D33DEF"/>
    <w:rsid w:val="00D341C5"/>
    <w:rsid w:val="00D3787A"/>
    <w:rsid w:val="00D400DD"/>
    <w:rsid w:val="00D41B05"/>
    <w:rsid w:val="00D42BCC"/>
    <w:rsid w:val="00D44E7F"/>
    <w:rsid w:val="00D455D1"/>
    <w:rsid w:val="00D47750"/>
    <w:rsid w:val="00D534AF"/>
    <w:rsid w:val="00D633EC"/>
    <w:rsid w:val="00D71CE7"/>
    <w:rsid w:val="00D72E99"/>
    <w:rsid w:val="00D75918"/>
    <w:rsid w:val="00D75E77"/>
    <w:rsid w:val="00D76517"/>
    <w:rsid w:val="00D76CE4"/>
    <w:rsid w:val="00D76D5E"/>
    <w:rsid w:val="00D772EC"/>
    <w:rsid w:val="00D80982"/>
    <w:rsid w:val="00D91CAB"/>
    <w:rsid w:val="00D9443D"/>
    <w:rsid w:val="00D9656F"/>
    <w:rsid w:val="00DA056A"/>
    <w:rsid w:val="00DA0D08"/>
    <w:rsid w:val="00DA1329"/>
    <w:rsid w:val="00DA4D60"/>
    <w:rsid w:val="00DB1678"/>
    <w:rsid w:val="00DB4451"/>
    <w:rsid w:val="00DC7195"/>
    <w:rsid w:val="00DD4B5E"/>
    <w:rsid w:val="00DD6C32"/>
    <w:rsid w:val="00DE3AEF"/>
    <w:rsid w:val="00DE47DF"/>
    <w:rsid w:val="00DE536B"/>
    <w:rsid w:val="00DF093A"/>
    <w:rsid w:val="00DF2021"/>
    <w:rsid w:val="00DF538D"/>
    <w:rsid w:val="00DF76E7"/>
    <w:rsid w:val="00E007D1"/>
    <w:rsid w:val="00E00878"/>
    <w:rsid w:val="00E00C2A"/>
    <w:rsid w:val="00E04F55"/>
    <w:rsid w:val="00E062A2"/>
    <w:rsid w:val="00E114C4"/>
    <w:rsid w:val="00E13AA1"/>
    <w:rsid w:val="00E24C00"/>
    <w:rsid w:val="00E26C3B"/>
    <w:rsid w:val="00E353AD"/>
    <w:rsid w:val="00E41E91"/>
    <w:rsid w:val="00E43EEB"/>
    <w:rsid w:val="00E527BB"/>
    <w:rsid w:val="00E549C5"/>
    <w:rsid w:val="00E5765E"/>
    <w:rsid w:val="00E57AD0"/>
    <w:rsid w:val="00E6043E"/>
    <w:rsid w:val="00E627CE"/>
    <w:rsid w:val="00E64256"/>
    <w:rsid w:val="00E659CE"/>
    <w:rsid w:val="00E66BF6"/>
    <w:rsid w:val="00E70A8E"/>
    <w:rsid w:val="00E71334"/>
    <w:rsid w:val="00E71939"/>
    <w:rsid w:val="00E72BE1"/>
    <w:rsid w:val="00E80A1D"/>
    <w:rsid w:val="00E82A99"/>
    <w:rsid w:val="00E85C66"/>
    <w:rsid w:val="00E85DCB"/>
    <w:rsid w:val="00E94BCD"/>
    <w:rsid w:val="00E94F1E"/>
    <w:rsid w:val="00E95FEC"/>
    <w:rsid w:val="00E96A43"/>
    <w:rsid w:val="00EB29E0"/>
    <w:rsid w:val="00EB300A"/>
    <w:rsid w:val="00EB550F"/>
    <w:rsid w:val="00EB5A94"/>
    <w:rsid w:val="00EB7DD3"/>
    <w:rsid w:val="00EB7E69"/>
    <w:rsid w:val="00EC0FC3"/>
    <w:rsid w:val="00EC2897"/>
    <w:rsid w:val="00EC4627"/>
    <w:rsid w:val="00ED558F"/>
    <w:rsid w:val="00ED7D06"/>
    <w:rsid w:val="00EE10D3"/>
    <w:rsid w:val="00EE259E"/>
    <w:rsid w:val="00EE2AAB"/>
    <w:rsid w:val="00EE36C2"/>
    <w:rsid w:val="00EE3B73"/>
    <w:rsid w:val="00EE40BB"/>
    <w:rsid w:val="00EE54BD"/>
    <w:rsid w:val="00EE58D8"/>
    <w:rsid w:val="00EE7F2A"/>
    <w:rsid w:val="00EF1FF0"/>
    <w:rsid w:val="00EF727F"/>
    <w:rsid w:val="00F02467"/>
    <w:rsid w:val="00F02F99"/>
    <w:rsid w:val="00F03405"/>
    <w:rsid w:val="00F0370D"/>
    <w:rsid w:val="00F05983"/>
    <w:rsid w:val="00F077B1"/>
    <w:rsid w:val="00F15AD0"/>
    <w:rsid w:val="00F24BBB"/>
    <w:rsid w:val="00F26598"/>
    <w:rsid w:val="00F27A49"/>
    <w:rsid w:val="00F30275"/>
    <w:rsid w:val="00F30BE1"/>
    <w:rsid w:val="00F30E75"/>
    <w:rsid w:val="00F32D80"/>
    <w:rsid w:val="00F33F1A"/>
    <w:rsid w:val="00F344AB"/>
    <w:rsid w:val="00F34AEB"/>
    <w:rsid w:val="00F359BB"/>
    <w:rsid w:val="00F37536"/>
    <w:rsid w:val="00F40D0E"/>
    <w:rsid w:val="00F447DC"/>
    <w:rsid w:val="00F457D8"/>
    <w:rsid w:val="00F46132"/>
    <w:rsid w:val="00F51594"/>
    <w:rsid w:val="00F52F25"/>
    <w:rsid w:val="00F5418C"/>
    <w:rsid w:val="00F57F60"/>
    <w:rsid w:val="00F65108"/>
    <w:rsid w:val="00F7025D"/>
    <w:rsid w:val="00F711D8"/>
    <w:rsid w:val="00F734E6"/>
    <w:rsid w:val="00F73BAE"/>
    <w:rsid w:val="00F80302"/>
    <w:rsid w:val="00F832D7"/>
    <w:rsid w:val="00F839E6"/>
    <w:rsid w:val="00F83F1F"/>
    <w:rsid w:val="00F84FB8"/>
    <w:rsid w:val="00F8645F"/>
    <w:rsid w:val="00F90676"/>
    <w:rsid w:val="00F91A67"/>
    <w:rsid w:val="00F91C5F"/>
    <w:rsid w:val="00F931F4"/>
    <w:rsid w:val="00F97543"/>
    <w:rsid w:val="00FA085F"/>
    <w:rsid w:val="00FA0B44"/>
    <w:rsid w:val="00FA2280"/>
    <w:rsid w:val="00FA2396"/>
    <w:rsid w:val="00FA433E"/>
    <w:rsid w:val="00FA5FAC"/>
    <w:rsid w:val="00FB0F67"/>
    <w:rsid w:val="00FB370C"/>
    <w:rsid w:val="00FB4B14"/>
    <w:rsid w:val="00FB5913"/>
    <w:rsid w:val="00FB6F88"/>
    <w:rsid w:val="00FC3633"/>
    <w:rsid w:val="00FC5A6D"/>
    <w:rsid w:val="00FD13AA"/>
    <w:rsid w:val="00FD2491"/>
    <w:rsid w:val="00FD5103"/>
    <w:rsid w:val="00FD72AA"/>
    <w:rsid w:val="00FE1E7A"/>
    <w:rsid w:val="00FE5DD7"/>
    <w:rsid w:val="00FE6D20"/>
    <w:rsid w:val="00FE70B9"/>
    <w:rsid w:val="00FF4F00"/>
    <w:rsid w:val="00FF67EE"/>
    <w:rsid w:val="01B1D50C"/>
    <w:rsid w:val="01CD022F"/>
    <w:rsid w:val="03388F5A"/>
    <w:rsid w:val="0677C9FE"/>
    <w:rsid w:val="0A62D075"/>
    <w:rsid w:val="0C11D544"/>
    <w:rsid w:val="0E8A39CC"/>
    <w:rsid w:val="0F73F64E"/>
    <w:rsid w:val="14BE664B"/>
    <w:rsid w:val="178207E7"/>
    <w:rsid w:val="329386FA"/>
    <w:rsid w:val="3657F37C"/>
    <w:rsid w:val="3854BD4B"/>
    <w:rsid w:val="3B61BC0F"/>
    <w:rsid w:val="3F663C0A"/>
    <w:rsid w:val="425B094D"/>
    <w:rsid w:val="42BD1437"/>
    <w:rsid w:val="43B9D7E4"/>
    <w:rsid w:val="4432752F"/>
    <w:rsid w:val="4AFF55A4"/>
    <w:rsid w:val="4BA4CC4D"/>
    <w:rsid w:val="4C3B6E54"/>
    <w:rsid w:val="51340D28"/>
    <w:rsid w:val="55C4915C"/>
    <w:rsid w:val="562FE941"/>
    <w:rsid w:val="57A04664"/>
    <w:rsid w:val="59BDB4EF"/>
    <w:rsid w:val="5A4C3E88"/>
    <w:rsid w:val="5A6130BD"/>
    <w:rsid w:val="5C6109FA"/>
    <w:rsid w:val="63671E15"/>
    <w:rsid w:val="69D3BF05"/>
    <w:rsid w:val="6CC9C4C0"/>
    <w:rsid w:val="705E4D60"/>
    <w:rsid w:val="70A81886"/>
    <w:rsid w:val="70AD84FF"/>
    <w:rsid w:val="73D1B48A"/>
    <w:rsid w:val="7645EEDA"/>
    <w:rsid w:val="76BDCC46"/>
    <w:rsid w:val="7D41D10C"/>
    <w:rsid w:val="7D5973D4"/>
    <w:rsid w:val="7F89F4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22A"/>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72222A"/>
    <w:pPr>
      <w:keepNext/>
      <w:jc w:val="both"/>
      <w:outlineLvl w:val="0"/>
    </w:pPr>
    <w:rPr>
      <w:b/>
      <w:sz w:val="28"/>
    </w:rPr>
  </w:style>
  <w:style w:type="paragraph" w:styleId="Ttulo2">
    <w:name w:val="heading 2"/>
    <w:basedOn w:val="Normal"/>
    <w:next w:val="Normal"/>
    <w:qFormat/>
    <w:rsid w:val="00C202A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C15A31"/>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semiHidden/>
    <w:unhideWhenUsed/>
    <w:qFormat/>
    <w:rsid w:val="00944A23"/>
    <w:pPr>
      <w:keepNext/>
      <w:spacing w:before="240" w:after="60"/>
      <w:outlineLvl w:val="3"/>
    </w:pPr>
    <w:rPr>
      <w:rFonts w:ascii="Calibri" w:hAnsi="Calibri"/>
      <w:b/>
      <w:bCs/>
      <w:sz w:val="28"/>
      <w:szCs w:val="28"/>
    </w:rPr>
  </w:style>
  <w:style w:type="paragraph" w:styleId="Ttulo8">
    <w:name w:val="heading 8"/>
    <w:basedOn w:val="Normal"/>
    <w:next w:val="Normal"/>
    <w:qFormat/>
    <w:rsid w:val="0098214C"/>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222A"/>
    <w:pPr>
      <w:jc w:val="both"/>
    </w:pPr>
    <w:rPr>
      <w:sz w:val="28"/>
    </w:rPr>
  </w:style>
  <w:style w:type="paragraph" w:customStyle="1" w:styleId="Textoindependiente21">
    <w:name w:val="Texto independiente 21"/>
    <w:basedOn w:val="Normal"/>
    <w:rsid w:val="0072222A"/>
    <w:pPr>
      <w:spacing w:line="360" w:lineRule="auto"/>
      <w:ind w:firstLine="1701"/>
      <w:jc w:val="both"/>
    </w:pPr>
    <w:rPr>
      <w:rFonts w:ascii="Arial" w:hAnsi="Arial"/>
      <w:sz w:val="28"/>
    </w:rPr>
  </w:style>
  <w:style w:type="paragraph" w:customStyle="1" w:styleId="Sangra2detindependiente1">
    <w:name w:val="Sangría 2 de t. independiente1"/>
    <w:basedOn w:val="Normal"/>
    <w:rsid w:val="0072222A"/>
    <w:pPr>
      <w:spacing w:line="360" w:lineRule="auto"/>
      <w:ind w:firstLine="1560"/>
      <w:jc w:val="both"/>
    </w:pPr>
    <w:rPr>
      <w:rFonts w:ascii="Arial" w:hAnsi="Arial"/>
      <w:sz w:val="28"/>
    </w:rPr>
  </w:style>
  <w:style w:type="paragraph" w:customStyle="1" w:styleId="Sangra3detindependiente1">
    <w:name w:val="Sangría 3 de t. independiente1"/>
    <w:basedOn w:val="Normal"/>
    <w:rsid w:val="0072222A"/>
    <w:pPr>
      <w:spacing w:line="360" w:lineRule="auto"/>
      <w:ind w:right="-5" w:firstLine="1701"/>
      <w:jc w:val="both"/>
    </w:pPr>
    <w:rPr>
      <w:rFonts w:ascii="Arial" w:hAnsi="Arial"/>
      <w:sz w:val="28"/>
      <w:lang w:val="es-CO"/>
    </w:rPr>
  </w:style>
  <w:style w:type="paragraph" w:customStyle="1" w:styleId="BodyText20">
    <w:name w:val="Body Text 20"/>
    <w:basedOn w:val="Normal"/>
    <w:rsid w:val="0072222A"/>
    <w:pPr>
      <w:spacing w:line="480" w:lineRule="auto"/>
      <w:ind w:left="708"/>
      <w:jc w:val="both"/>
    </w:pPr>
    <w:rPr>
      <w:rFonts w:ascii="Arial" w:hAnsi="Arial"/>
      <w:sz w:val="28"/>
      <w:lang w:val="es-CO"/>
    </w:rPr>
  </w:style>
  <w:style w:type="paragraph" w:styleId="Piedepgina">
    <w:name w:val="footer"/>
    <w:basedOn w:val="Normal"/>
    <w:rsid w:val="0072222A"/>
    <w:pPr>
      <w:tabs>
        <w:tab w:val="center" w:pos="4419"/>
        <w:tab w:val="right" w:pos="8838"/>
      </w:tabs>
    </w:pPr>
  </w:style>
  <w:style w:type="character" w:styleId="Nmerodepgina">
    <w:name w:val="page number"/>
    <w:basedOn w:val="Fuentedeprrafopredeter"/>
    <w:rsid w:val="0072222A"/>
  </w:style>
  <w:style w:type="character" w:customStyle="1" w:styleId="Smbolodenotaalpie">
    <w:name w:val="Símbolo de nota al pie"/>
    <w:rsid w:val="00847AD4"/>
    <w:rPr>
      <w:vertAlign w:val="superscript"/>
    </w:rPr>
  </w:style>
  <w:style w:type="character" w:styleId="Hipervnculo">
    <w:name w:val="Hyperlink"/>
    <w:rsid w:val="00847AD4"/>
    <w:rPr>
      <w:color w:val="0000FF"/>
      <w:u w:val="single"/>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qFormat/>
    <w:rsid w:val="00847AD4"/>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rsid w:val="00847AD4"/>
    <w:pPr>
      <w:widowControl w:val="0"/>
      <w:suppressAutoHyphens/>
      <w:autoSpaceDN/>
      <w:adjustRightInd/>
    </w:pPr>
    <w:rPr>
      <w:rFonts w:ascii="Arial" w:hAnsi="Arial"/>
      <w:spacing w:val="-3"/>
      <w:lang w:eastAsia="ar-SA"/>
    </w:rPr>
  </w:style>
  <w:style w:type="paragraph" w:customStyle="1" w:styleId="Textoindependiente31">
    <w:name w:val="Texto independiente 31"/>
    <w:basedOn w:val="Normal"/>
    <w:rsid w:val="00847AD4"/>
    <w:pPr>
      <w:tabs>
        <w:tab w:val="left" w:pos="-720"/>
      </w:tabs>
      <w:suppressAutoHyphens/>
      <w:autoSpaceDN/>
      <w:adjustRightInd/>
      <w:spacing w:line="360" w:lineRule="auto"/>
      <w:jc w:val="both"/>
    </w:pPr>
    <w:rPr>
      <w:rFonts w:ascii="Arial" w:hAnsi="Arial"/>
      <w:spacing w:val="-3"/>
      <w:sz w:val="28"/>
      <w:lang w:eastAsia="ar-SA"/>
    </w:rPr>
  </w:style>
  <w:style w:type="paragraph" w:customStyle="1" w:styleId="unico">
    <w:name w:val="unico"/>
    <w:basedOn w:val="Normal"/>
    <w:rsid w:val="00847AD4"/>
    <w:pPr>
      <w:overflowPunct/>
      <w:autoSpaceDE/>
      <w:autoSpaceDN/>
      <w:adjustRightInd/>
      <w:spacing w:before="100" w:after="100"/>
      <w:textAlignment w:val="auto"/>
    </w:pPr>
    <w:rPr>
      <w:sz w:val="24"/>
      <w:szCs w:val="24"/>
      <w:lang w:val="es-ES" w:eastAsia="ar-SA"/>
    </w:rPr>
  </w:style>
  <w:style w:type="paragraph" w:styleId="Sangradetextonormal">
    <w:name w:val="Body Text Indent"/>
    <w:basedOn w:val="Normal"/>
    <w:rsid w:val="00847AD4"/>
    <w:pPr>
      <w:suppressAutoHyphens/>
      <w:autoSpaceDN/>
      <w:adjustRightInd/>
      <w:spacing w:after="120"/>
      <w:ind w:left="283"/>
    </w:pPr>
    <w:rPr>
      <w:lang w:eastAsia="ar-SA"/>
    </w:rPr>
  </w:style>
  <w:style w:type="character" w:customStyle="1" w:styleId="Refdenotaalpie1">
    <w:name w:val="Ref. de nota al pie1"/>
    <w:rsid w:val="00847AD4"/>
    <w:rPr>
      <w:vertAlign w:val="superscript"/>
    </w:rPr>
  </w:style>
  <w:style w:type="paragraph" w:customStyle="1" w:styleId="Textoindependiente22">
    <w:name w:val="Texto independiente 22"/>
    <w:basedOn w:val="Normal"/>
    <w:rsid w:val="00847AD4"/>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847AD4"/>
    <w:pPr>
      <w:suppressAutoHyphens/>
      <w:autoSpaceDE/>
      <w:autoSpaceDN/>
      <w:adjustRightInd/>
      <w:textAlignment w:val="auto"/>
    </w:pPr>
    <w:rPr>
      <w:rFonts w:ascii="Arial" w:hAnsi="Arial" w:cs="Arial"/>
      <w:spacing w:val="-3"/>
      <w:kern w:val="1"/>
      <w:lang w:val="es-ES"/>
    </w:rPr>
  </w:style>
  <w:style w:type="paragraph" w:customStyle="1" w:styleId="BodyText30">
    <w:name w:val="Body Text 30"/>
    <w:basedOn w:val="Normal"/>
    <w:rsid w:val="0098214C"/>
    <w:pPr>
      <w:spacing w:after="120"/>
    </w:pPr>
    <w:rPr>
      <w:sz w:val="16"/>
      <w:szCs w:val="16"/>
    </w:rPr>
  </w:style>
  <w:style w:type="paragraph" w:styleId="Textodebloque">
    <w:name w:val="Block Text"/>
    <w:basedOn w:val="Normal"/>
    <w:rsid w:val="0098214C"/>
    <w:pPr>
      <w:spacing w:line="360" w:lineRule="auto"/>
      <w:ind w:left="709" w:right="759"/>
      <w:jc w:val="both"/>
    </w:pPr>
    <w:rPr>
      <w:b/>
      <w:bCs/>
      <w:spacing w:val="20"/>
      <w:sz w:val="22"/>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98214C"/>
    <w:rPr>
      <w:rFonts w:ascii="Arial" w:hAnsi="Arial"/>
      <w:spacing w:val="-3"/>
      <w:lang w:val="es-ES_tradnl" w:eastAsia="ar-SA" w:bidi="ar-SA"/>
    </w:rPr>
  </w:style>
  <w:style w:type="paragraph" w:customStyle="1" w:styleId="nivel-5">
    <w:name w:val="nivel-5"/>
    <w:basedOn w:val="Normal"/>
    <w:rsid w:val="00AD550A"/>
    <w:pPr>
      <w:overflowPunct/>
      <w:autoSpaceDE/>
      <w:autoSpaceDN/>
      <w:adjustRightInd/>
      <w:spacing w:before="100" w:beforeAutospacing="1" w:after="100" w:afterAutospacing="1"/>
      <w:textAlignment w:val="auto"/>
    </w:pPr>
    <w:rPr>
      <w:sz w:val="24"/>
      <w:szCs w:val="24"/>
      <w:lang w:val="es-ES"/>
    </w:rPr>
  </w:style>
  <w:style w:type="paragraph" w:customStyle="1" w:styleId="WW-BodyText21">
    <w:name w:val="WW-Body Text 21"/>
    <w:basedOn w:val="Normal"/>
    <w:rsid w:val="002B1039"/>
    <w:pPr>
      <w:suppressAutoHyphens/>
      <w:autoSpaceDN/>
      <w:adjustRightInd/>
      <w:spacing w:line="360" w:lineRule="auto"/>
      <w:jc w:val="both"/>
    </w:pPr>
    <w:rPr>
      <w:rFonts w:ascii="Verdana" w:hAnsi="Verdana"/>
      <w:sz w:val="24"/>
      <w:lang w:eastAsia="ar-SA"/>
    </w:rPr>
  </w:style>
  <w:style w:type="paragraph" w:customStyle="1" w:styleId="sangria">
    <w:name w:val="sangria"/>
    <w:basedOn w:val="Normal"/>
    <w:rsid w:val="002B1039"/>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2B1039"/>
    <w:pPr>
      <w:widowControl w:val="0"/>
      <w:suppressAutoHyphens/>
      <w:overflowPunct/>
      <w:autoSpaceDE/>
      <w:autoSpaceDN/>
      <w:adjustRightInd/>
      <w:textAlignment w:val="auto"/>
    </w:pPr>
    <w:rPr>
      <w:rFonts w:ascii="Arial" w:hAnsi="Arial"/>
      <w:spacing w:val="-3"/>
    </w:rPr>
  </w:style>
  <w:style w:type="paragraph" w:styleId="NormalWeb">
    <w:name w:val="Normal (Web)"/>
    <w:basedOn w:val="Normal"/>
    <w:uiPriority w:val="99"/>
    <w:rsid w:val="00234B11"/>
    <w:pPr>
      <w:overflowPunct/>
      <w:autoSpaceDE/>
      <w:autoSpaceDN/>
      <w:adjustRightInd/>
      <w:spacing w:before="100" w:beforeAutospacing="1" w:after="100" w:afterAutospacing="1"/>
      <w:textAlignment w:val="auto"/>
    </w:pPr>
    <w:rPr>
      <w:sz w:val="24"/>
      <w:szCs w:val="24"/>
      <w:lang w:val="es-ES"/>
    </w:rPr>
  </w:style>
  <w:style w:type="character" w:customStyle="1" w:styleId="textonavy">
    <w:name w:val="texto_navy"/>
    <w:basedOn w:val="Fuentedeprrafopredeter"/>
    <w:rsid w:val="00D12182"/>
  </w:style>
  <w:style w:type="paragraph" w:styleId="Encabezado">
    <w:name w:val="header"/>
    <w:basedOn w:val="Normal"/>
    <w:rsid w:val="00D455D1"/>
    <w:pPr>
      <w:tabs>
        <w:tab w:val="center" w:pos="4252"/>
        <w:tab w:val="right" w:pos="8504"/>
      </w:tabs>
    </w:pPr>
  </w:style>
  <w:style w:type="character" w:customStyle="1" w:styleId="TextoindependienteCar">
    <w:name w:val="Texto independiente Car"/>
    <w:link w:val="Textoindependiente"/>
    <w:rsid w:val="002C4D88"/>
    <w:rPr>
      <w:sz w:val="28"/>
    </w:rPr>
  </w:style>
  <w:style w:type="character" w:customStyle="1" w:styleId="apple-converted-space">
    <w:name w:val="apple-converted-space"/>
    <w:rsid w:val="004F3460"/>
  </w:style>
  <w:style w:type="character" w:customStyle="1" w:styleId="NormalCSJCar">
    <w:name w:val="Normal CSJ Car"/>
    <w:link w:val="NormalCSJ"/>
    <w:rsid w:val="00EE2AAB"/>
    <w:rPr>
      <w:rFonts w:ascii="Bookman Old Style" w:eastAsia="Calibri" w:hAnsi="Bookman Old Style"/>
      <w:sz w:val="28"/>
      <w:szCs w:val="28"/>
    </w:rPr>
  </w:style>
  <w:style w:type="paragraph" w:customStyle="1" w:styleId="NormalCSJ">
    <w:name w:val="Normal CSJ"/>
    <w:basedOn w:val="Normal"/>
    <w:link w:val="NormalCSJCar"/>
    <w:qFormat/>
    <w:rsid w:val="00EE2AAB"/>
    <w:pPr>
      <w:overflowPunct/>
      <w:autoSpaceDE/>
      <w:autoSpaceDN/>
      <w:adjustRightInd/>
      <w:spacing w:line="360" w:lineRule="auto"/>
      <w:ind w:firstLine="709"/>
      <w:jc w:val="both"/>
      <w:textAlignment w:val="auto"/>
    </w:pPr>
    <w:rPr>
      <w:rFonts w:ascii="Bookman Old Style" w:eastAsia="Calibri" w:hAnsi="Bookman Old Style"/>
      <w:sz w:val="28"/>
      <w:szCs w:val="28"/>
    </w:rPr>
  </w:style>
  <w:style w:type="paragraph" w:customStyle="1" w:styleId="SubtituloCSJ">
    <w:name w:val="Subtitulo CSJ"/>
    <w:basedOn w:val="Ttulo2"/>
    <w:next w:val="NormalCSJ"/>
    <w:link w:val="SubtituloCSJCar"/>
    <w:qFormat/>
    <w:rsid w:val="00EE2AAB"/>
    <w:pPr>
      <w:keepLines/>
      <w:overflowPunct/>
      <w:autoSpaceDE/>
      <w:autoSpaceDN/>
      <w:adjustRightInd/>
      <w:spacing w:before="0" w:after="0" w:line="360" w:lineRule="auto"/>
      <w:ind w:firstLine="709"/>
      <w:jc w:val="both"/>
      <w:textAlignment w:val="auto"/>
    </w:pPr>
    <w:rPr>
      <w:rFonts w:ascii="Bookman Old Style" w:hAnsi="Bookman Old Style" w:cs="Times New Roman"/>
      <w:b w:val="0"/>
      <w:bCs w:val="0"/>
      <w:i w:val="0"/>
      <w:iCs w:val="0"/>
      <w:szCs w:val="26"/>
      <w:lang w:val="es-MX"/>
    </w:rPr>
  </w:style>
  <w:style w:type="character" w:customStyle="1" w:styleId="SubtituloCSJCar">
    <w:name w:val="Subtitulo CSJ Car"/>
    <w:link w:val="SubtituloCSJ"/>
    <w:rsid w:val="00EE2AAB"/>
    <w:rPr>
      <w:rFonts w:ascii="Bookman Old Style" w:hAnsi="Bookman Old Style"/>
      <w:sz w:val="28"/>
      <w:szCs w:val="26"/>
      <w:lang w:val="es-MX"/>
    </w:rPr>
  </w:style>
  <w:style w:type="character" w:customStyle="1" w:styleId="CitaIntraCSJCar">
    <w:name w:val="Cita Intra CSJ Car"/>
    <w:link w:val="CitaIntraCSJ"/>
    <w:rsid w:val="00EE2AAB"/>
    <w:rPr>
      <w:rFonts w:ascii="Bookman Old Style" w:eastAsia="Calibri" w:hAnsi="Bookman Old Style"/>
      <w:bCs/>
      <w:i/>
      <w:sz w:val="24"/>
      <w:szCs w:val="24"/>
    </w:rPr>
  </w:style>
  <w:style w:type="paragraph" w:customStyle="1" w:styleId="CitaIntraCSJ">
    <w:name w:val="Cita Intra CSJ"/>
    <w:basedOn w:val="NormalCSJ"/>
    <w:link w:val="CitaIntraCSJCar"/>
    <w:qFormat/>
    <w:rsid w:val="00EE2AAB"/>
    <w:rPr>
      <w:bCs/>
      <w:i/>
      <w:sz w:val="24"/>
      <w:szCs w:val="24"/>
    </w:rPr>
  </w:style>
  <w:style w:type="paragraph" w:customStyle="1" w:styleId="BodyText21">
    <w:name w:val="Body Text 21"/>
    <w:basedOn w:val="Normal"/>
    <w:link w:val="Textoindependiente2Car"/>
    <w:rsid w:val="00FA085F"/>
    <w:pPr>
      <w:spacing w:after="120" w:line="480" w:lineRule="auto"/>
    </w:pPr>
  </w:style>
  <w:style w:type="character" w:customStyle="1" w:styleId="Textoindependiente2Car">
    <w:name w:val="Texto independiente 2 Car"/>
    <w:link w:val="BodyText21"/>
    <w:rsid w:val="00FA085F"/>
    <w:rPr>
      <w:lang w:val="es-ES_tradnl"/>
    </w:rPr>
  </w:style>
  <w:style w:type="character" w:customStyle="1" w:styleId="Ttulo4Car">
    <w:name w:val="Título 4 Car"/>
    <w:link w:val="Ttulo4"/>
    <w:semiHidden/>
    <w:rsid w:val="00944A23"/>
    <w:rPr>
      <w:rFonts w:ascii="Calibri" w:eastAsia="Times New Roman" w:hAnsi="Calibri" w:cs="Times New Roman"/>
      <w:b/>
      <w:bCs/>
      <w:sz w:val="28"/>
      <w:szCs w:val="28"/>
      <w:lang w:val="es-ES_tradnl"/>
    </w:rPr>
  </w:style>
  <w:style w:type="paragraph" w:customStyle="1" w:styleId="bodytext22">
    <w:name w:val="bodytext22"/>
    <w:basedOn w:val="Normal"/>
    <w:rsid w:val="00944A23"/>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293B24"/>
    <w:rPr>
      <w:b/>
      <w:bCs/>
    </w:rPr>
  </w:style>
  <w:style w:type="character" w:customStyle="1" w:styleId="Ttulo1Car">
    <w:name w:val="Título 1 Car"/>
    <w:link w:val="Ttulo1"/>
    <w:rsid w:val="008F5410"/>
    <w:rPr>
      <w:b/>
      <w:sz w:val="28"/>
    </w:rPr>
  </w:style>
  <w:style w:type="paragraph" w:styleId="Subttulo">
    <w:name w:val="Subtitle"/>
    <w:basedOn w:val="Normal"/>
    <w:link w:val="SubttuloCar"/>
    <w:qFormat/>
    <w:rsid w:val="00AC3430"/>
    <w:pPr>
      <w:spacing w:after="60"/>
      <w:jc w:val="center"/>
      <w:outlineLvl w:val="1"/>
    </w:pPr>
    <w:rPr>
      <w:rFonts w:ascii="Arial" w:hAnsi="Arial"/>
      <w:sz w:val="24"/>
      <w:szCs w:val="24"/>
    </w:rPr>
  </w:style>
  <w:style w:type="character" w:customStyle="1" w:styleId="SubttuloCar">
    <w:name w:val="Subtítulo Car"/>
    <w:link w:val="Subttulo"/>
    <w:rsid w:val="00AC3430"/>
    <w:rPr>
      <w:rFonts w:ascii="Arial" w:hAnsi="Arial" w:cs="Arial"/>
      <w:sz w:val="24"/>
      <w:szCs w:val="24"/>
      <w:lang w:val="es-ES_tradnl"/>
    </w:rPr>
  </w:style>
  <w:style w:type="character" w:customStyle="1" w:styleId="Ttulo3Car">
    <w:name w:val="Título 3 Car"/>
    <w:link w:val="Ttulo3"/>
    <w:semiHidden/>
    <w:rsid w:val="00C15A31"/>
    <w:rPr>
      <w:rFonts w:ascii="Calibri Light" w:eastAsia="Times New Roman" w:hAnsi="Calibri Light" w:cs="Times New Roman"/>
      <w:b/>
      <w:bCs/>
      <w:sz w:val="26"/>
      <w:szCs w:val="26"/>
      <w:lang w:val="es-ES_tradnl"/>
    </w:rPr>
  </w:style>
  <w:style w:type="paragraph" w:customStyle="1" w:styleId="Referencia">
    <w:name w:val="Referencia"/>
    <w:basedOn w:val="Listaconnmeros"/>
    <w:next w:val="Normal"/>
    <w:link w:val="ReferenciaCar"/>
    <w:qFormat/>
    <w:rsid w:val="00F344AB"/>
    <w:pPr>
      <w:widowControl w:val="0"/>
      <w:numPr>
        <w:numId w:val="0"/>
      </w:numPr>
      <w:overflowPunct/>
      <w:autoSpaceDE/>
      <w:autoSpaceDN/>
      <w:adjustRightInd/>
      <w:spacing w:line="360" w:lineRule="auto"/>
      <w:ind w:left="360" w:hanging="360"/>
      <w:jc w:val="right"/>
      <w:textAlignment w:val="auto"/>
    </w:pPr>
    <w:rPr>
      <w:rFonts w:ascii="Bookman Old Style" w:hAnsi="Bookman Old Style"/>
      <w:b/>
      <w:sz w:val="28"/>
      <w:szCs w:val="24"/>
    </w:rPr>
  </w:style>
  <w:style w:type="character" w:customStyle="1" w:styleId="ReferenciaCar">
    <w:name w:val="Referencia Car"/>
    <w:link w:val="Referencia"/>
    <w:rsid w:val="00F344AB"/>
    <w:rPr>
      <w:rFonts w:ascii="Bookman Old Style" w:hAnsi="Bookman Old Style"/>
      <w:b/>
      <w:sz w:val="28"/>
      <w:szCs w:val="24"/>
    </w:rPr>
  </w:style>
  <w:style w:type="paragraph" w:styleId="Listaconnmeros">
    <w:name w:val="List Number"/>
    <w:basedOn w:val="Normal"/>
    <w:rsid w:val="00F344AB"/>
    <w:pPr>
      <w:numPr>
        <w:numId w:val="3"/>
      </w:numPr>
      <w:contextualSpacing/>
    </w:pPr>
  </w:style>
  <w:style w:type="paragraph" w:customStyle="1" w:styleId="Sinespaciado1">
    <w:name w:val="Sin espaciado1"/>
    <w:uiPriority w:val="99"/>
    <w:rsid w:val="00257556"/>
    <w:rPr>
      <w:rFonts w:ascii="Calibri" w:eastAsia="Calibri" w:hAnsi="Calibri"/>
      <w:sz w:val="22"/>
      <w:szCs w:val="22"/>
      <w:lang w:val="es-CO" w:eastAsia="en-US"/>
    </w:rPr>
  </w:style>
  <w:style w:type="character" w:customStyle="1" w:styleId="Refdenotaalpie1Car">
    <w:name w:val="Ref. de nota al pie1 Car"/>
    <w:aliases w:val="Texto de nota al pie Car"/>
    <w:uiPriority w:val="99"/>
    <w:semiHidden/>
    <w:locked/>
    <w:rsid w:val="00472D52"/>
    <w:rPr>
      <w:rFonts w:cs="Times New Roman"/>
      <w:sz w:val="20"/>
    </w:rPr>
  </w:style>
  <w:style w:type="paragraph" w:customStyle="1" w:styleId="sinespaciado10">
    <w:name w:val="sinespaciado1"/>
    <w:basedOn w:val="Normal"/>
    <w:rsid w:val="00472D52"/>
    <w:pPr>
      <w:overflowPunct/>
      <w:autoSpaceDE/>
      <w:autoSpaceDN/>
      <w:adjustRightInd/>
      <w:spacing w:before="100" w:beforeAutospacing="1" w:after="100" w:afterAutospacing="1"/>
      <w:textAlignment w:val="auto"/>
    </w:pPr>
    <w:rPr>
      <w:sz w:val="24"/>
      <w:szCs w:val="24"/>
      <w:lang w:val="es-ES"/>
    </w:rPr>
  </w:style>
  <w:style w:type="character" w:customStyle="1" w:styleId="posted-on">
    <w:name w:val="posted-on"/>
    <w:rsid w:val="00016ABE"/>
  </w:style>
  <w:style w:type="character" w:styleId="nfasis">
    <w:name w:val="Emphasis"/>
    <w:uiPriority w:val="20"/>
    <w:qFormat/>
    <w:rsid w:val="00016ABE"/>
    <w:rPr>
      <w:i/>
      <w:iCs/>
    </w:rPr>
  </w:style>
  <w:style w:type="paragraph" w:customStyle="1" w:styleId="post-meta">
    <w:name w:val="post-meta"/>
    <w:basedOn w:val="Normal"/>
    <w:rsid w:val="00FA2280"/>
    <w:pPr>
      <w:overflowPunct/>
      <w:autoSpaceDE/>
      <w:autoSpaceDN/>
      <w:adjustRightInd/>
      <w:spacing w:before="100" w:beforeAutospacing="1" w:after="100" w:afterAutospacing="1"/>
      <w:textAlignment w:val="auto"/>
    </w:pPr>
    <w:rPr>
      <w:sz w:val="24"/>
      <w:szCs w:val="24"/>
      <w:lang w:val="es-ES"/>
    </w:rPr>
  </w:style>
  <w:style w:type="character" w:customStyle="1" w:styleId="comments-number">
    <w:name w:val="comments-number"/>
    <w:rsid w:val="00FA2280"/>
  </w:style>
  <w:style w:type="paragraph" w:customStyle="1" w:styleId="Style13">
    <w:name w:val="Style13"/>
    <w:basedOn w:val="Normal"/>
    <w:uiPriority w:val="99"/>
    <w:rsid w:val="009C0705"/>
    <w:pPr>
      <w:widowControl w:val="0"/>
      <w:overflowPunct/>
      <w:spacing w:line="494" w:lineRule="exact"/>
      <w:ind w:firstLine="749"/>
      <w:jc w:val="both"/>
      <w:textAlignment w:val="auto"/>
    </w:pPr>
    <w:rPr>
      <w:rFonts w:ascii="Bookman Old Style" w:hAnsi="Bookman Old Style"/>
      <w:sz w:val="24"/>
      <w:szCs w:val="24"/>
      <w:lang w:val="es-CO" w:eastAsia="es-CO"/>
    </w:rPr>
  </w:style>
  <w:style w:type="paragraph" w:styleId="Textodeglobo">
    <w:name w:val="Balloon Text"/>
    <w:basedOn w:val="Normal"/>
    <w:link w:val="TextodegloboCar"/>
    <w:rsid w:val="004F62C6"/>
    <w:rPr>
      <w:rFonts w:ascii="Segoe UI" w:hAnsi="Segoe UI"/>
      <w:sz w:val="18"/>
      <w:szCs w:val="18"/>
    </w:rPr>
  </w:style>
  <w:style w:type="character" w:customStyle="1" w:styleId="TextodegloboCar">
    <w:name w:val="Texto de globo Car"/>
    <w:link w:val="Textodeglobo"/>
    <w:rsid w:val="004F62C6"/>
    <w:rPr>
      <w:rFonts w:ascii="Segoe UI" w:hAnsi="Segoe UI" w:cs="Segoe UI"/>
      <w:sz w:val="18"/>
      <w:szCs w:val="18"/>
      <w:lang w:val="es-ES_tradnl"/>
    </w:rPr>
  </w:style>
  <w:style w:type="paragraph" w:customStyle="1" w:styleId="paragraph">
    <w:name w:val="paragraph"/>
    <w:basedOn w:val="Normal"/>
    <w:rsid w:val="00853CF1"/>
    <w:pPr>
      <w:overflowPunct/>
      <w:autoSpaceDE/>
      <w:autoSpaceDN/>
      <w:adjustRightInd/>
      <w:spacing w:before="100" w:beforeAutospacing="1" w:after="100" w:afterAutospacing="1"/>
      <w:textAlignment w:val="auto"/>
    </w:pPr>
    <w:rPr>
      <w:sz w:val="24"/>
      <w:szCs w:val="24"/>
      <w:lang w:val="es-CO" w:eastAsia="es-CO"/>
    </w:rPr>
  </w:style>
  <w:style w:type="character" w:customStyle="1" w:styleId="eop">
    <w:name w:val="eop"/>
    <w:rsid w:val="00853CF1"/>
  </w:style>
  <w:style w:type="paragraph" w:customStyle="1" w:styleId="Car">
    <w:name w:val="Car"/>
    <w:basedOn w:val="Normal"/>
    <w:rsid w:val="004907C3"/>
    <w:pPr>
      <w:overflowPunct/>
      <w:autoSpaceDE/>
      <w:autoSpaceDN/>
      <w:adjustRightInd/>
      <w:spacing w:after="160" w:line="240" w:lineRule="exact"/>
      <w:textAlignment w:val="auto"/>
    </w:pPr>
    <w:rPr>
      <w:noProof/>
      <w:color w:val="00000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6286">
      <w:bodyDiv w:val="1"/>
      <w:marLeft w:val="225"/>
      <w:marRight w:val="225"/>
      <w:marTop w:val="75"/>
      <w:marBottom w:val="0"/>
      <w:divBdr>
        <w:top w:val="none" w:sz="0" w:space="0" w:color="auto"/>
        <w:left w:val="none" w:sz="0" w:space="0" w:color="auto"/>
        <w:bottom w:val="none" w:sz="0" w:space="0" w:color="auto"/>
        <w:right w:val="none" w:sz="0" w:space="0" w:color="auto"/>
      </w:divBdr>
      <w:divsChild>
        <w:div w:id="1151949814">
          <w:marLeft w:val="0"/>
          <w:marRight w:val="0"/>
          <w:marTop w:val="0"/>
          <w:marBottom w:val="0"/>
          <w:divBdr>
            <w:top w:val="none" w:sz="0" w:space="0" w:color="auto"/>
            <w:left w:val="none" w:sz="0" w:space="0" w:color="auto"/>
            <w:bottom w:val="none" w:sz="0" w:space="0" w:color="auto"/>
            <w:right w:val="none" w:sz="0" w:space="0" w:color="auto"/>
          </w:divBdr>
        </w:div>
      </w:divsChild>
    </w:div>
    <w:div w:id="444423554">
      <w:bodyDiv w:val="1"/>
      <w:marLeft w:val="225"/>
      <w:marRight w:val="225"/>
      <w:marTop w:val="75"/>
      <w:marBottom w:val="0"/>
      <w:divBdr>
        <w:top w:val="none" w:sz="0" w:space="0" w:color="auto"/>
        <w:left w:val="none" w:sz="0" w:space="0" w:color="auto"/>
        <w:bottom w:val="none" w:sz="0" w:space="0" w:color="auto"/>
        <w:right w:val="none" w:sz="0" w:space="0" w:color="auto"/>
      </w:divBdr>
      <w:divsChild>
        <w:div w:id="1238133087">
          <w:marLeft w:val="0"/>
          <w:marRight w:val="0"/>
          <w:marTop w:val="0"/>
          <w:marBottom w:val="0"/>
          <w:divBdr>
            <w:top w:val="none" w:sz="0" w:space="0" w:color="auto"/>
            <w:left w:val="none" w:sz="0" w:space="0" w:color="auto"/>
            <w:bottom w:val="none" w:sz="0" w:space="0" w:color="auto"/>
            <w:right w:val="none" w:sz="0" w:space="0" w:color="auto"/>
          </w:divBdr>
        </w:div>
      </w:divsChild>
    </w:div>
    <w:div w:id="455222488">
      <w:bodyDiv w:val="1"/>
      <w:marLeft w:val="0"/>
      <w:marRight w:val="0"/>
      <w:marTop w:val="0"/>
      <w:marBottom w:val="0"/>
      <w:divBdr>
        <w:top w:val="none" w:sz="0" w:space="0" w:color="auto"/>
        <w:left w:val="none" w:sz="0" w:space="0" w:color="auto"/>
        <w:bottom w:val="none" w:sz="0" w:space="0" w:color="auto"/>
        <w:right w:val="none" w:sz="0" w:space="0" w:color="auto"/>
      </w:divBdr>
    </w:div>
    <w:div w:id="704331092">
      <w:bodyDiv w:val="1"/>
      <w:marLeft w:val="0"/>
      <w:marRight w:val="0"/>
      <w:marTop w:val="0"/>
      <w:marBottom w:val="0"/>
      <w:divBdr>
        <w:top w:val="none" w:sz="0" w:space="0" w:color="auto"/>
        <w:left w:val="none" w:sz="0" w:space="0" w:color="auto"/>
        <w:bottom w:val="none" w:sz="0" w:space="0" w:color="auto"/>
        <w:right w:val="none" w:sz="0" w:space="0" w:color="auto"/>
      </w:divBdr>
    </w:div>
    <w:div w:id="725179196">
      <w:bodyDiv w:val="1"/>
      <w:marLeft w:val="0"/>
      <w:marRight w:val="0"/>
      <w:marTop w:val="0"/>
      <w:marBottom w:val="0"/>
      <w:divBdr>
        <w:top w:val="none" w:sz="0" w:space="0" w:color="auto"/>
        <w:left w:val="none" w:sz="0" w:space="0" w:color="auto"/>
        <w:bottom w:val="none" w:sz="0" w:space="0" w:color="auto"/>
        <w:right w:val="none" w:sz="0" w:space="0" w:color="auto"/>
      </w:divBdr>
      <w:divsChild>
        <w:div w:id="661351069">
          <w:marLeft w:val="0"/>
          <w:marRight w:val="0"/>
          <w:marTop w:val="0"/>
          <w:marBottom w:val="0"/>
          <w:divBdr>
            <w:top w:val="none" w:sz="0" w:space="0" w:color="auto"/>
            <w:left w:val="none" w:sz="0" w:space="0" w:color="auto"/>
            <w:bottom w:val="none" w:sz="0" w:space="0" w:color="auto"/>
            <w:right w:val="none" w:sz="0" w:space="0" w:color="auto"/>
          </w:divBdr>
        </w:div>
        <w:div w:id="1238130959">
          <w:marLeft w:val="0"/>
          <w:marRight w:val="0"/>
          <w:marTop w:val="0"/>
          <w:marBottom w:val="0"/>
          <w:divBdr>
            <w:top w:val="none" w:sz="0" w:space="0" w:color="auto"/>
            <w:left w:val="none" w:sz="0" w:space="0" w:color="auto"/>
            <w:bottom w:val="none" w:sz="0" w:space="0" w:color="auto"/>
            <w:right w:val="none" w:sz="0" w:space="0" w:color="auto"/>
          </w:divBdr>
        </w:div>
      </w:divsChild>
    </w:div>
    <w:div w:id="913660192">
      <w:bodyDiv w:val="1"/>
      <w:marLeft w:val="0"/>
      <w:marRight w:val="0"/>
      <w:marTop w:val="0"/>
      <w:marBottom w:val="0"/>
      <w:divBdr>
        <w:top w:val="none" w:sz="0" w:space="0" w:color="auto"/>
        <w:left w:val="none" w:sz="0" w:space="0" w:color="auto"/>
        <w:bottom w:val="none" w:sz="0" w:space="0" w:color="auto"/>
        <w:right w:val="none" w:sz="0" w:space="0" w:color="auto"/>
      </w:divBdr>
    </w:div>
    <w:div w:id="1249580013">
      <w:bodyDiv w:val="1"/>
      <w:marLeft w:val="0"/>
      <w:marRight w:val="0"/>
      <w:marTop w:val="0"/>
      <w:marBottom w:val="0"/>
      <w:divBdr>
        <w:top w:val="none" w:sz="0" w:space="0" w:color="auto"/>
        <w:left w:val="none" w:sz="0" w:space="0" w:color="auto"/>
        <w:bottom w:val="none" w:sz="0" w:space="0" w:color="auto"/>
        <w:right w:val="none" w:sz="0" w:space="0" w:color="auto"/>
      </w:divBdr>
      <w:divsChild>
        <w:div w:id="1517885197">
          <w:marLeft w:val="0"/>
          <w:marRight w:val="0"/>
          <w:marTop w:val="0"/>
          <w:marBottom w:val="0"/>
          <w:divBdr>
            <w:top w:val="none" w:sz="0" w:space="0" w:color="auto"/>
            <w:left w:val="none" w:sz="0" w:space="0" w:color="auto"/>
            <w:bottom w:val="none" w:sz="0" w:space="0" w:color="auto"/>
            <w:right w:val="none" w:sz="0" w:space="0" w:color="auto"/>
          </w:divBdr>
        </w:div>
      </w:divsChild>
    </w:div>
    <w:div w:id="1294402660">
      <w:bodyDiv w:val="1"/>
      <w:marLeft w:val="0"/>
      <w:marRight w:val="0"/>
      <w:marTop w:val="0"/>
      <w:marBottom w:val="0"/>
      <w:divBdr>
        <w:top w:val="none" w:sz="0" w:space="0" w:color="auto"/>
        <w:left w:val="none" w:sz="0" w:space="0" w:color="auto"/>
        <w:bottom w:val="none" w:sz="0" w:space="0" w:color="auto"/>
        <w:right w:val="none" w:sz="0" w:space="0" w:color="auto"/>
      </w:divBdr>
    </w:div>
    <w:div w:id="1423795953">
      <w:bodyDiv w:val="1"/>
      <w:marLeft w:val="0"/>
      <w:marRight w:val="0"/>
      <w:marTop w:val="0"/>
      <w:marBottom w:val="0"/>
      <w:divBdr>
        <w:top w:val="none" w:sz="0" w:space="0" w:color="auto"/>
        <w:left w:val="none" w:sz="0" w:space="0" w:color="auto"/>
        <w:bottom w:val="none" w:sz="0" w:space="0" w:color="auto"/>
        <w:right w:val="none" w:sz="0" w:space="0" w:color="auto"/>
      </w:divBdr>
      <w:divsChild>
        <w:div w:id="169411834">
          <w:marLeft w:val="0"/>
          <w:marRight w:val="0"/>
          <w:marTop w:val="0"/>
          <w:marBottom w:val="0"/>
          <w:divBdr>
            <w:top w:val="none" w:sz="0" w:space="0" w:color="auto"/>
            <w:left w:val="none" w:sz="0" w:space="0" w:color="auto"/>
            <w:bottom w:val="none" w:sz="0" w:space="0" w:color="auto"/>
            <w:right w:val="none" w:sz="0" w:space="0" w:color="auto"/>
          </w:divBdr>
          <w:divsChild>
            <w:div w:id="305475944">
              <w:marLeft w:val="0"/>
              <w:marRight w:val="0"/>
              <w:marTop w:val="0"/>
              <w:marBottom w:val="0"/>
              <w:divBdr>
                <w:top w:val="none" w:sz="0" w:space="0" w:color="auto"/>
                <w:left w:val="none" w:sz="0" w:space="0" w:color="auto"/>
                <w:bottom w:val="none" w:sz="0" w:space="0" w:color="auto"/>
                <w:right w:val="none" w:sz="0" w:space="0" w:color="auto"/>
              </w:divBdr>
              <w:divsChild>
                <w:div w:id="2093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916">
          <w:marLeft w:val="0"/>
          <w:marRight w:val="0"/>
          <w:marTop w:val="0"/>
          <w:marBottom w:val="0"/>
          <w:divBdr>
            <w:top w:val="none" w:sz="0" w:space="0" w:color="auto"/>
            <w:left w:val="none" w:sz="0" w:space="0" w:color="auto"/>
            <w:bottom w:val="none" w:sz="0" w:space="0" w:color="auto"/>
            <w:right w:val="none" w:sz="0" w:space="0" w:color="auto"/>
          </w:divBdr>
          <w:divsChild>
            <w:div w:id="623314862">
              <w:marLeft w:val="0"/>
              <w:marRight w:val="0"/>
              <w:marTop w:val="0"/>
              <w:marBottom w:val="0"/>
              <w:divBdr>
                <w:top w:val="none" w:sz="0" w:space="0" w:color="auto"/>
                <w:left w:val="none" w:sz="0" w:space="0" w:color="auto"/>
                <w:bottom w:val="none" w:sz="0" w:space="0" w:color="auto"/>
                <w:right w:val="none" w:sz="0" w:space="0" w:color="auto"/>
              </w:divBdr>
              <w:divsChild>
                <w:div w:id="13770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089">
          <w:marLeft w:val="0"/>
          <w:marRight w:val="0"/>
          <w:marTop w:val="0"/>
          <w:marBottom w:val="0"/>
          <w:divBdr>
            <w:top w:val="none" w:sz="0" w:space="0" w:color="auto"/>
            <w:left w:val="none" w:sz="0" w:space="0" w:color="auto"/>
            <w:bottom w:val="none" w:sz="0" w:space="0" w:color="auto"/>
            <w:right w:val="none" w:sz="0" w:space="0" w:color="auto"/>
          </w:divBdr>
          <w:divsChild>
            <w:div w:id="509443135">
              <w:marLeft w:val="0"/>
              <w:marRight w:val="0"/>
              <w:marTop w:val="0"/>
              <w:marBottom w:val="0"/>
              <w:divBdr>
                <w:top w:val="none" w:sz="0" w:space="0" w:color="auto"/>
                <w:left w:val="none" w:sz="0" w:space="0" w:color="auto"/>
                <w:bottom w:val="none" w:sz="0" w:space="0" w:color="auto"/>
                <w:right w:val="none" w:sz="0" w:space="0" w:color="auto"/>
              </w:divBdr>
              <w:divsChild>
                <w:div w:id="3655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4724">
          <w:marLeft w:val="0"/>
          <w:marRight w:val="0"/>
          <w:marTop w:val="0"/>
          <w:marBottom w:val="0"/>
          <w:divBdr>
            <w:top w:val="none" w:sz="0" w:space="0" w:color="auto"/>
            <w:left w:val="none" w:sz="0" w:space="0" w:color="auto"/>
            <w:bottom w:val="none" w:sz="0" w:space="0" w:color="auto"/>
            <w:right w:val="none" w:sz="0" w:space="0" w:color="auto"/>
          </w:divBdr>
          <w:divsChild>
            <w:div w:id="1277101609">
              <w:marLeft w:val="0"/>
              <w:marRight w:val="0"/>
              <w:marTop w:val="0"/>
              <w:marBottom w:val="0"/>
              <w:divBdr>
                <w:top w:val="none" w:sz="0" w:space="0" w:color="auto"/>
                <w:left w:val="none" w:sz="0" w:space="0" w:color="auto"/>
                <w:bottom w:val="none" w:sz="0" w:space="0" w:color="auto"/>
                <w:right w:val="none" w:sz="0" w:space="0" w:color="auto"/>
              </w:divBdr>
              <w:divsChild>
                <w:div w:id="15906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6041">
          <w:marLeft w:val="0"/>
          <w:marRight w:val="0"/>
          <w:marTop w:val="0"/>
          <w:marBottom w:val="0"/>
          <w:divBdr>
            <w:top w:val="none" w:sz="0" w:space="0" w:color="auto"/>
            <w:left w:val="none" w:sz="0" w:space="0" w:color="auto"/>
            <w:bottom w:val="none" w:sz="0" w:space="0" w:color="auto"/>
            <w:right w:val="none" w:sz="0" w:space="0" w:color="auto"/>
          </w:divBdr>
          <w:divsChild>
            <w:div w:id="24184615">
              <w:marLeft w:val="0"/>
              <w:marRight w:val="0"/>
              <w:marTop w:val="0"/>
              <w:marBottom w:val="0"/>
              <w:divBdr>
                <w:top w:val="none" w:sz="0" w:space="0" w:color="auto"/>
                <w:left w:val="none" w:sz="0" w:space="0" w:color="auto"/>
                <w:bottom w:val="none" w:sz="0" w:space="0" w:color="auto"/>
                <w:right w:val="none" w:sz="0" w:space="0" w:color="auto"/>
              </w:divBdr>
              <w:divsChild>
                <w:div w:id="1899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8563">
          <w:marLeft w:val="0"/>
          <w:marRight w:val="0"/>
          <w:marTop w:val="0"/>
          <w:marBottom w:val="0"/>
          <w:divBdr>
            <w:top w:val="none" w:sz="0" w:space="0" w:color="auto"/>
            <w:left w:val="none" w:sz="0" w:space="0" w:color="auto"/>
            <w:bottom w:val="none" w:sz="0" w:space="0" w:color="auto"/>
            <w:right w:val="none" w:sz="0" w:space="0" w:color="auto"/>
          </w:divBdr>
          <w:divsChild>
            <w:div w:id="193664671">
              <w:marLeft w:val="0"/>
              <w:marRight w:val="0"/>
              <w:marTop w:val="0"/>
              <w:marBottom w:val="0"/>
              <w:divBdr>
                <w:top w:val="none" w:sz="0" w:space="0" w:color="auto"/>
                <w:left w:val="none" w:sz="0" w:space="0" w:color="auto"/>
                <w:bottom w:val="none" w:sz="0" w:space="0" w:color="auto"/>
                <w:right w:val="none" w:sz="0" w:space="0" w:color="auto"/>
              </w:divBdr>
              <w:divsChild>
                <w:div w:id="13550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6801">
          <w:marLeft w:val="0"/>
          <w:marRight w:val="0"/>
          <w:marTop w:val="0"/>
          <w:marBottom w:val="0"/>
          <w:divBdr>
            <w:top w:val="none" w:sz="0" w:space="0" w:color="auto"/>
            <w:left w:val="none" w:sz="0" w:space="0" w:color="auto"/>
            <w:bottom w:val="none" w:sz="0" w:space="0" w:color="auto"/>
            <w:right w:val="none" w:sz="0" w:space="0" w:color="auto"/>
          </w:divBdr>
          <w:divsChild>
            <w:div w:id="1018194097">
              <w:marLeft w:val="0"/>
              <w:marRight w:val="0"/>
              <w:marTop w:val="0"/>
              <w:marBottom w:val="0"/>
              <w:divBdr>
                <w:top w:val="none" w:sz="0" w:space="0" w:color="auto"/>
                <w:left w:val="none" w:sz="0" w:space="0" w:color="auto"/>
                <w:bottom w:val="none" w:sz="0" w:space="0" w:color="auto"/>
                <w:right w:val="none" w:sz="0" w:space="0" w:color="auto"/>
              </w:divBdr>
              <w:divsChild>
                <w:div w:id="30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9616">
          <w:marLeft w:val="0"/>
          <w:marRight w:val="0"/>
          <w:marTop w:val="0"/>
          <w:marBottom w:val="0"/>
          <w:divBdr>
            <w:top w:val="none" w:sz="0" w:space="0" w:color="auto"/>
            <w:left w:val="none" w:sz="0" w:space="0" w:color="auto"/>
            <w:bottom w:val="none" w:sz="0" w:space="0" w:color="auto"/>
            <w:right w:val="none" w:sz="0" w:space="0" w:color="auto"/>
          </w:divBdr>
          <w:divsChild>
            <w:div w:id="1034307689">
              <w:marLeft w:val="0"/>
              <w:marRight w:val="0"/>
              <w:marTop w:val="0"/>
              <w:marBottom w:val="0"/>
              <w:divBdr>
                <w:top w:val="none" w:sz="0" w:space="0" w:color="auto"/>
                <w:left w:val="none" w:sz="0" w:space="0" w:color="auto"/>
                <w:bottom w:val="none" w:sz="0" w:space="0" w:color="auto"/>
                <w:right w:val="none" w:sz="0" w:space="0" w:color="auto"/>
              </w:divBdr>
              <w:divsChild>
                <w:div w:id="214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3521">
      <w:bodyDiv w:val="1"/>
      <w:marLeft w:val="225"/>
      <w:marRight w:val="225"/>
      <w:marTop w:val="75"/>
      <w:marBottom w:val="0"/>
      <w:divBdr>
        <w:top w:val="none" w:sz="0" w:space="0" w:color="auto"/>
        <w:left w:val="none" w:sz="0" w:space="0" w:color="auto"/>
        <w:bottom w:val="none" w:sz="0" w:space="0" w:color="auto"/>
        <w:right w:val="none" w:sz="0" w:space="0" w:color="auto"/>
      </w:divBdr>
      <w:divsChild>
        <w:div w:id="64692378">
          <w:marLeft w:val="0"/>
          <w:marRight w:val="0"/>
          <w:marTop w:val="0"/>
          <w:marBottom w:val="0"/>
          <w:divBdr>
            <w:top w:val="none" w:sz="0" w:space="0" w:color="auto"/>
            <w:left w:val="none" w:sz="0" w:space="0" w:color="auto"/>
            <w:bottom w:val="none" w:sz="0" w:space="0" w:color="auto"/>
            <w:right w:val="none" w:sz="0" w:space="0" w:color="auto"/>
          </w:divBdr>
        </w:div>
      </w:divsChild>
    </w:div>
    <w:div w:id="1654286715">
      <w:bodyDiv w:val="1"/>
      <w:marLeft w:val="0"/>
      <w:marRight w:val="0"/>
      <w:marTop w:val="0"/>
      <w:marBottom w:val="0"/>
      <w:divBdr>
        <w:top w:val="none" w:sz="0" w:space="0" w:color="auto"/>
        <w:left w:val="none" w:sz="0" w:space="0" w:color="auto"/>
        <w:bottom w:val="none" w:sz="0" w:space="0" w:color="auto"/>
        <w:right w:val="none" w:sz="0" w:space="0" w:color="auto"/>
      </w:divBdr>
      <w:divsChild>
        <w:div w:id="864365012">
          <w:marLeft w:val="0"/>
          <w:marRight w:val="0"/>
          <w:marTop w:val="0"/>
          <w:marBottom w:val="0"/>
          <w:divBdr>
            <w:top w:val="none" w:sz="0" w:space="0" w:color="auto"/>
            <w:left w:val="none" w:sz="0" w:space="0" w:color="auto"/>
            <w:bottom w:val="none" w:sz="0" w:space="0" w:color="auto"/>
            <w:right w:val="none" w:sz="0" w:space="0" w:color="auto"/>
          </w:divBdr>
        </w:div>
        <w:div w:id="919018831">
          <w:marLeft w:val="0"/>
          <w:marRight w:val="0"/>
          <w:marTop w:val="0"/>
          <w:marBottom w:val="0"/>
          <w:divBdr>
            <w:top w:val="none" w:sz="0" w:space="0" w:color="auto"/>
            <w:left w:val="none" w:sz="0" w:space="0" w:color="auto"/>
            <w:bottom w:val="none" w:sz="0" w:space="0" w:color="auto"/>
            <w:right w:val="none" w:sz="0" w:space="0" w:color="auto"/>
          </w:divBdr>
        </w:div>
      </w:divsChild>
    </w:div>
    <w:div w:id="1850486362">
      <w:bodyDiv w:val="1"/>
      <w:marLeft w:val="0"/>
      <w:marRight w:val="0"/>
      <w:marTop w:val="0"/>
      <w:marBottom w:val="0"/>
      <w:divBdr>
        <w:top w:val="none" w:sz="0" w:space="0" w:color="auto"/>
        <w:left w:val="none" w:sz="0" w:space="0" w:color="auto"/>
        <w:bottom w:val="none" w:sz="0" w:space="0" w:color="auto"/>
        <w:right w:val="none" w:sz="0" w:space="0" w:color="auto"/>
      </w:divBdr>
    </w:div>
    <w:div w:id="1852210134">
      <w:bodyDiv w:val="1"/>
      <w:marLeft w:val="225"/>
      <w:marRight w:val="225"/>
      <w:marTop w:val="75"/>
      <w:marBottom w:val="0"/>
      <w:divBdr>
        <w:top w:val="none" w:sz="0" w:space="0" w:color="auto"/>
        <w:left w:val="none" w:sz="0" w:space="0" w:color="auto"/>
        <w:bottom w:val="none" w:sz="0" w:space="0" w:color="auto"/>
        <w:right w:val="none" w:sz="0" w:space="0" w:color="auto"/>
      </w:divBdr>
      <w:divsChild>
        <w:div w:id="1641766077">
          <w:marLeft w:val="0"/>
          <w:marRight w:val="0"/>
          <w:marTop w:val="0"/>
          <w:marBottom w:val="0"/>
          <w:divBdr>
            <w:top w:val="none" w:sz="0" w:space="0" w:color="auto"/>
            <w:left w:val="none" w:sz="0" w:space="0" w:color="auto"/>
            <w:bottom w:val="none" w:sz="0" w:space="0" w:color="auto"/>
            <w:right w:val="none" w:sz="0" w:space="0" w:color="auto"/>
          </w:divBdr>
        </w:div>
      </w:divsChild>
    </w:div>
    <w:div w:id="1914506355">
      <w:bodyDiv w:val="1"/>
      <w:marLeft w:val="0"/>
      <w:marRight w:val="0"/>
      <w:marTop w:val="0"/>
      <w:marBottom w:val="0"/>
      <w:divBdr>
        <w:top w:val="none" w:sz="0" w:space="0" w:color="auto"/>
        <w:left w:val="none" w:sz="0" w:space="0" w:color="auto"/>
        <w:bottom w:val="none" w:sz="0" w:space="0" w:color="auto"/>
        <w:right w:val="none" w:sz="0" w:space="0" w:color="auto"/>
      </w:divBdr>
    </w:div>
    <w:div w:id="1925410103">
      <w:bodyDiv w:val="1"/>
      <w:marLeft w:val="0"/>
      <w:marRight w:val="0"/>
      <w:marTop w:val="0"/>
      <w:marBottom w:val="0"/>
      <w:divBdr>
        <w:top w:val="none" w:sz="0" w:space="0" w:color="auto"/>
        <w:left w:val="none" w:sz="0" w:space="0" w:color="auto"/>
        <w:bottom w:val="none" w:sz="0" w:space="0" w:color="auto"/>
        <w:right w:val="none" w:sz="0" w:space="0" w:color="auto"/>
      </w:divBdr>
    </w:div>
    <w:div w:id="2090347886">
      <w:bodyDiv w:val="1"/>
      <w:marLeft w:val="0"/>
      <w:marRight w:val="0"/>
      <w:marTop w:val="0"/>
      <w:marBottom w:val="0"/>
      <w:divBdr>
        <w:top w:val="none" w:sz="0" w:space="0" w:color="auto"/>
        <w:left w:val="none" w:sz="0" w:space="0" w:color="auto"/>
        <w:bottom w:val="none" w:sz="0" w:space="0" w:color="auto"/>
        <w:right w:val="none" w:sz="0" w:space="0" w:color="auto"/>
      </w:divBdr>
    </w:div>
    <w:div w:id="2138135504">
      <w:bodyDiv w:val="1"/>
      <w:marLeft w:val="225"/>
      <w:marRight w:val="225"/>
      <w:marTop w:val="75"/>
      <w:marBottom w:val="0"/>
      <w:divBdr>
        <w:top w:val="none" w:sz="0" w:space="0" w:color="auto"/>
        <w:left w:val="none" w:sz="0" w:space="0" w:color="auto"/>
        <w:bottom w:val="none" w:sz="0" w:space="0" w:color="auto"/>
        <w:right w:val="none" w:sz="0" w:space="0" w:color="auto"/>
      </w:divBdr>
      <w:divsChild>
        <w:div w:id="204166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539B-C21C-4AF3-9017-C0237186C94F}">
  <ds:schemaRefs>
    <ds:schemaRef ds:uri="http://schemas.microsoft.com/sharepoint/v3/contenttype/forms"/>
  </ds:schemaRefs>
</ds:datastoreItem>
</file>

<file path=customXml/itemProps2.xml><?xml version="1.0" encoding="utf-8"?>
<ds:datastoreItem xmlns:ds="http://schemas.openxmlformats.org/officeDocument/2006/customXml" ds:itemID="{D772D759-5467-4A3E-929E-32E6A7F8E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0E689-3DEC-49E4-A52D-617751F1B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81FB1-6276-44AA-8CFC-3F542636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5768</Words>
  <Characters>31725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37419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subject/>
  <dc:creator>RAMA JUDICIAL</dc:creator>
  <cp:keywords/>
  <dc:description/>
  <cp:lastModifiedBy>ALONSO</cp:lastModifiedBy>
  <cp:revision>11</cp:revision>
  <cp:lastPrinted>2020-03-05T20:23:00Z</cp:lastPrinted>
  <dcterms:created xsi:type="dcterms:W3CDTF">2020-07-09T14:40:00Z</dcterms:created>
  <dcterms:modified xsi:type="dcterms:W3CDTF">2020-09-03T15:08:00Z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