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77" w:rsidRPr="009D1977" w:rsidRDefault="009D1977" w:rsidP="009D197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9D197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D1977" w:rsidRPr="009D1977" w:rsidRDefault="009D1977" w:rsidP="009D1977">
      <w:pPr>
        <w:jc w:val="both"/>
        <w:rPr>
          <w:rFonts w:ascii="Arial" w:hAnsi="Arial" w:cs="Arial"/>
          <w:sz w:val="20"/>
          <w:szCs w:val="20"/>
          <w:lang w:val="es-419"/>
        </w:rPr>
      </w:pPr>
    </w:p>
    <w:p w:rsidR="009D1977" w:rsidRPr="009D1977" w:rsidRDefault="009D1977" w:rsidP="009D1977">
      <w:pPr>
        <w:jc w:val="both"/>
        <w:rPr>
          <w:rFonts w:ascii="Arial" w:hAnsi="Arial" w:cs="Arial"/>
          <w:b/>
          <w:bCs/>
          <w:iCs/>
          <w:sz w:val="20"/>
          <w:szCs w:val="20"/>
          <w:lang w:val="es-419" w:eastAsia="fr-FR"/>
        </w:rPr>
      </w:pPr>
      <w:r w:rsidRPr="009D1977">
        <w:rPr>
          <w:rFonts w:ascii="Arial" w:hAnsi="Arial" w:cs="Arial"/>
          <w:b/>
          <w:bCs/>
          <w:iCs/>
          <w:sz w:val="20"/>
          <w:szCs w:val="20"/>
          <w:u w:val="single"/>
          <w:lang w:val="es-419" w:eastAsia="fr-FR"/>
        </w:rPr>
        <w:t>TEMAS:</w:t>
      </w:r>
      <w:r w:rsidRPr="009D1977">
        <w:rPr>
          <w:rFonts w:ascii="Arial" w:hAnsi="Arial" w:cs="Arial"/>
          <w:b/>
          <w:bCs/>
          <w:iCs/>
          <w:sz w:val="20"/>
          <w:szCs w:val="20"/>
          <w:lang w:val="es-419" w:eastAsia="fr-FR"/>
        </w:rPr>
        <w:tab/>
      </w:r>
      <w:r w:rsidR="00AA32CD">
        <w:rPr>
          <w:rFonts w:ascii="Arial" w:hAnsi="Arial" w:cs="Arial"/>
          <w:b/>
          <w:bCs/>
          <w:iCs/>
          <w:sz w:val="20"/>
          <w:szCs w:val="20"/>
          <w:lang w:val="es-419" w:eastAsia="fr-FR"/>
        </w:rPr>
        <w:t>CONTRATO DE SEGURO</w:t>
      </w:r>
      <w:r w:rsidR="00AA32CD">
        <w:rPr>
          <w:rFonts w:ascii="Arial" w:hAnsi="Arial" w:cs="Arial"/>
          <w:b/>
          <w:bCs/>
          <w:iCs/>
          <w:sz w:val="20"/>
          <w:szCs w:val="20"/>
          <w:lang w:val="es-419" w:eastAsia="fr-FR"/>
        </w:rPr>
        <w:t xml:space="preserve"> / </w:t>
      </w:r>
      <w:r w:rsidR="00AA32CD">
        <w:rPr>
          <w:rFonts w:ascii="Arial" w:hAnsi="Arial" w:cs="Arial"/>
          <w:b/>
          <w:bCs/>
          <w:iCs/>
          <w:sz w:val="20"/>
          <w:szCs w:val="20"/>
          <w:lang w:val="es-419" w:eastAsia="fr-FR"/>
        </w:rPr>
        <w:t xml:space="preserve">NULIDAD RELATIVA </w:t>
      </w:r>
      <w:r w:rsidR="00AA32CD">
        <w:rPr>
          <w:rFonts w:ascii="Arial" w:hAnsi="Arial" w:cs="Arial"/>
          <w:b/>
          <w:bCs/>
          <w:iCs/>
          <w:sz w:val="20"/>
          <w:szCs w:val="20"/>
          <w:lang w:val="es-419" w:eastAsia="fr-FR"/>
        </w:rPr>
        <w:t xml:space="preserve">/ RETICENCIA / DECLARACIÓN SOBRE EL ESTADO DE RIESGO </w:t>
      </w:r>
      <w:r w:rsidRPr="009D1977">
        <w:rPr>
          <w:rFonts w:ascii="Arial" w:hAnsi="Arial" w:cs="Arial"/>
          <w:b/>
          <w:bCs/>
          <w:iCs/>
          <w:sz w:val="20"/>
          <w:szCs w:val="20"/>
          <w:lang w:val="es-419" w:eastAsia="fr-FR"/>
        </w:rPr>
        <w:t xml:space="preserve">/ </w:t>
      </w:r>
      <w:r w:rsidR="00AA32CD">
        <w:rPr>
          <w:rFonts w:ascii="Arial" w:hAnsi="Arial" w:cs="Arial"/>
          <w:b/>
          <w:bCs/>
          <w:iCs/>
          <w:sz w:val="20"/>
          <w:szCs w:val="20"/>
          <w:lang w:val="es-419" w:eastAsia="fr-FR"/>
        </w:rPr>
        <w:t xml:space="preserve">CLARIDAD Y VERACIDAD DE LA INFORMACIÓN SUMINISTRADA / BUENA FE / </w:t>
      </w:r>
      <w:r w:rsidR="00AA32CD">
        <w:rPr>
          <w:rFonts w:ascii="Arial" w:hAnsi="Arial" w:cs="Arial"/>
          <w:b/>
          <w:bCs/>
          <w:iCs/>
          <w:sz w:val="20"/>
          <w:szCs w:val="20"/>
          <w:lang w:val="es-419" w:eastAsia="fr-FR"/>
        </w:rPr>
        <w:t xml:space="preserve">SEGURO DE VIDA </w:t>
      </w:r>
      <w:r w:rsidR="00AA32CD">
        <w:rPr>
          <w:rFonts w:ascii="Arial" w:hAnsi="Arial" w:cs="Arial"/>
          <w:b/>
          <w:bCs/>
          <w:iCs/>
          <w:sz w:val="20"/>
          <w:szCs w:val="20"/>
          <w:lang w:val="es-419" w:eastAsia="fr-FR"/>
        </w:rPr>
        <w:t>GRUPO DEUDORES.</w:t>
      </w:r>
    </w:p>
    <w:p w:rsidR="009D1977" w:rsidRPr="009D1977" w:rsidRDefault="009D1977" w:rsidP="009D1977">
      <w:pPr>
        <w:jc w:val="both"/>
        <w:rPr>
          <w:rFonts w:ascii="Arial" w:hAnsi="Arial" w:cs="Arial"/>
          <w:sz w:val="20"/>
          <w:szCs w:val="20"/>
          <w:lang w:val="es-419"/>
        </w:rPr>
      </w:pPr>
    </w:p>
    <w:p w:rsidR="009D1977" w:rsidRPr="009D1977" w:rsidRDefault="009738D2" w:rsidP="009D1977">
      <w:pPr>
        <w:jc w:val="both"/>
        <w:rPr>
          <w:rFonts w:ascii="Arial" w:hAnsi="Arial" w:cs="Arial"/>
          <w:sz w:val="20"/>
          <w:szCs w:val="20"/>
          <w:lang w:val="es-419"/>
        </w:rPr>
      </w:pPr>
      <w:r w:rsidRPr="009738D2">
        <w:rPr>
          <w:rFonts w:ascii="Arial" w:hAnsi="Arial" w:cs="Arial"/>
          <w:sz w:val="20"/>
          <w:szCs w:val="20"/>
          <w:lang w:val="es-419"/>
        </w:rPr>
        <w:t>El artículo 1058 del Código de Comercio dice en el inciso 1°: “El tomador está obligado a declarar sinceramente los hechos o circunstancias que determinan el estado del riesgo, según el cuestionario que le sea propuesto por el asegurador. La reticencia o la inexactitud sobre los hechos o circunstancias que, conocidos por el asegurador, lo hubiesen retraído de celebrar el contrato, o inducido a estipular condiciones más onerosas, producen la nulidad relativa del contrato.”</w:t>
      </w:r>
      <w:r>
        <w:rPr>
          <w:rFonts w:ascii="Arial" w:hAnsi="Arial" w:cs="Arial"/>
          <w:sz w:val="20"/>
          <w:szCs w:val="20"/>
          <w:lang w:val="es-419"/>
        </w:rPr>
        <w:t xml:space="preserve"> (…)</w:t>
      </w:r>
    </w:p>
    <w:p w:rsidR="009D1977" w:rsidRPr="009D1977" w:rsidRDefault="009D1977" w:rsidP="009D1977">
      <w:pPr>
        <w:jc w:val="both"/>
        <w:rPr>
          <w:rFonts w:ascii="Arial" w:hAnsi="Arial" w:cs="Arial"/>
          <w:sz w:val="20"/>
          <w:szCs w:val="20"/>
          <w:lang w:val="es-419"/>
        </w:rPr>
      </w:pPr>
    </w:p>
    <w:p w:rsidR="009738D2" w:rsidRPr="009738D2" w:rsidRDefault="009738D2" w:rsidP="009738D2">
      <w:pPr>
        <w:jc w:val="both"/>
        <w:rPr>
          <w:rFonts w:ascii="Arial" w:hAnsi="Arial" w:cs="Arial"/>
          <w:sz w:val="20"/>
          <w:szCs w:val="20"/>
          <w:lang w:val="es-419"/>
        </w:rPr>
      </w:pPr>
      <w:r w:rsidRPr="009738D2">
        <w:rPr>
          <w:rFonts w:ascii="Arial" w:hAnsi="Arial" w:cs="Arial"/>
          <w:sz w:val="20"/>
          <w:szCs w:val="20"/>
          <w:lang w:val="es-419"/>
        </w:rPr>
        <w:t>En relación con el citado artículo 1058, ha enseñado en su jurisprudencia la Corte Suprema de Justicia:</w:t>
      </w:r>
    </w:p>
    <w:p w:rsidR="009738D2" w:rsidRPr="009738D2" w:rsidRDefault="009738D2" w:rsidP="009738D2">
      <w:pPr>
        <w:jc w:val="both"/>
        <w:rPr>
          <w:rFonts w:ascii="Arial" w:hAnsi="Arial" w:cs="Arial"/>
          <w:sz w:val="20"/>
          <w:szCs w:val="20"/>
          <w:lang w:val="es-419"/>
        </w:rPr>
      </w:pPr>
    </w:p>
    <w:p w:rsidR="009D1977" w:rsidRPr="009D1977" w:rsidRDefault="009738D2" w:rsidP="009738D2">
      <w:pPr>
        <w:jc w:val="both"/>
        <w:rPr>
          <w:rFonts w:ascii="Arial" w:hAnsi="Arial" w:cs="Arial"/>
          <w:sz w:val="20"/>
          <w:szCs w:val="20"/>
          <w:lang w:val="es-419"/>
        </w:rPr>
      </w:pPr>
      <w:r w:rsidRPr="009738D2">
        <w:rPr>
          <w:rFonts w:ascii="Arial" w:hAnsi="Arial" w:cs="Arial"/>
          <w:sz w:val="20"/>
          <w:szCs w:val="20"/>
          <w:lang w:val="es-419"/>
        </w:rPr>
        <w:t>“5.2.1. El tomador o el asegurado, en cumplimiento de la buena fe comercial, debe dar una información clara y fidedigna sobre el aspecto puntual que se le indaga, relativo al interés asegurable, pues si así no lo hace, conduce a la compañía a contratar con base en la creencia de hechos diversos a los que en verdad existen, esto es, la lleva a emitir el consentimiento cimentado en el error, lo cual es, sin duda, un vicio del consentimiento generador de nulidad relativa</w:t>
      </w:r>
      <w:r>
        <w:rPr>
          <w:rFonts w:ascii="Arial" w:hAnsi="Arial" w:cs="Arial"/>
          <w:sz w:val="20"/>
          <w:szCs w:val="20"/>
          <w:lang w:val="es-419"/>
        </w:rPr>
        <w:t>”</w:t>
      </w:r>
      <w:r w:rsidRPr="009738D2">
        <w:rPr>
          <w:rFonts w:ascii="Arial" w:hAnsi="Arial" w:cs="Arial"/>
          <w:sz w:val="20"/>
          <w:szCs w:val="20"/>
          <w:lang w:val="es-419"/>
        </w:rPr>
        <w:t>.</w:t>
      </w:r>
      <w:r>
        <w:rPr>
          <w:rFonts w:ascii="Arial" w:hAnsi="Arial" w:cs="Arial"/>
          <w:sz w:val="20"/>
          <w:szCs w:val="20"/>
          <w:lang w:val="es-419"/>
        </w:rPr>
        <w:t xml:space="preserve"> (…)</w:t>
      </w:r>
    </w:p>
    <w:p w:rsidR="009D1977" w:rsidRPr="009D1977" w:rsidRDefault="009D1977" w:rsidP="009D1977">
      <w:pPr>
        <w:jc w:val="both"/>
        <w:rPr>
          <w:rFonts w:ascii="Arial" w:hAnsi="Arial" w:cs="Arial"/>
          <w:sz w:val="20"/>
          <w:szCs w:val="20"/>
        </w:rPr>
      </w:pPr>
    </w:p>
    <w:p w:rsidR="00AA32CD" w:rsidRPr="00AA32CD" w:rsidRDefault="00AA32CD" w:rsidP="00AA32CD">
      <w:pPr>
        <w:jc w:val="both"/>
        <w:rPr>
          <w:rFonts w:ascii="Arial" w:hAnsi="Arial" w:cs="Arial"/>
          <w:sz w:val="20"/>
          <w:szCs w:val="20"/>
        </w:rPr>
      </w:pPr>
      <w:r>
        <w:rPr>
          <w:rFonts w:ascii="Arial" w:hAnsi="Arial" w:cs="Arial"/>
          <w:sz w:val="20"/>
          <w:szCs w:val="20"/>
        </w:rPr>
        <w:t>…</w:t>
      </w:r>
      <w:r w:rsidRPr="00AA32CD">
        <w:rPr>
          <w:rFonts w:ascii="Arial" w:hAnsi="Arial" w:cs="Arial"/>
          <w:sz w:val="20"/>
          <w:szCs w:val="20"/>
        </w:rPr>
        <w:t xml:space="preserve"> surge evidente que para el 1º de marzo de 2006 el demandante tenía diagnóstico de trastorno de ansiedad generalizada y en esa fecha se dejó anotado que sufría de ansiedad y depresión desde los dieciocho años, aquel padecimiento continuó a lo largo de su existencia y se prolongó por lo menos hasta el 27 de abril de 2015, pero además se le sumaron otros como trastorno de la personalidad emocionalmente inestable; trastorno </w:t>
      </w:r>
      <w:proofErr w:type="spellStart"/>
      <w:r w:rsidRPr="00AA32CD">
        <w:rPr>
          <w:rFonts w:ascii="Arial" w:hAnsi="Arial" w:cs="Arial"/>
          <w:sz w:val="20"/>
          <w:szCs w:val="20"/>
        </w:rPr>
        <w:t>anacástico</w:t>
      </w:r>
      <w:proofErr w:type="spellEnd"/>
      <w:r w:rsidRPr="00AA32CD">
        <w:rPr>
          <w:rFonts w:ascii="Arial" w:hAnsi="Arial" w:cs="Arial"/>
          <w:sz w:val="20"/>
          <w:szCs w:val="20"/>
        </w:rPr>
        <w:t xml:space="preserve"> de la personalidad; trastorno mixto de ansiedad</w:t>
      </w:r>
      <w:r>
        <w:rPr>
          <w:rFonts w:ascii="Arial" w:hAnsi="Arial" w:cs="Arial"/>
          <w:sz w:val="20"/>
          <w:szCs w:val="20"/>
        </w:rPr>
        <w:t>…</w:t>
      </w:r>
    </w:p>
    <w:p w:rsidR="00AA32CD" w:rsidRPr="00AA32CD" w:rsidRDefault="00AA32CD" w:rsidP="00AA32CD">
      <w:pPr>
        <w:jc w:val="both"/>
        <w:rPr>
          <w:rFonts w:ascii="Arial" w:hAnsi="Arial" w:cs="Arial"/>
          <w:sz w:val="20"/>
          <w:szCs w:val="20"/>
        </w:rPr>
      </w:pPr>
    </w:p>
    <w:p w:rsidR="009D1977" w:rsidRPr="009D1977" w:rsidRDefault="00AA32CD" w:rsidP="00AA32CD">
      <w:pPr>
        <w:jc w:val="both"/>
        <w:rPr>
          <w:rFonts w:ascii="Arial" w:hAnsi="Arial" w:cs="Arial"/>
          <w:sz w:val="20"/>
          <w:szCs w:val="20"/>
        </w:rPr>
      </w:pPr>
      <w:r w:rsidRPr="00AA32CD">
        <w:rPr>
          <w:rFonts w:ascii="Arial" w:hAnsi="Arial" w:cs="Arial"/>
          <w:sz w:val="20"/>
          <w:szCs w:val="20"/>
        </w:rPr>
        <w:t>Es evidente entonces que para las fechas en que el demandante adquirió los seguros de que se trata, el 20 de junio de 2013 y el 21 de agosto de 2014, tenía diagnóstico de una enfermedad mental. Sin embargo, al suscribir las solicitudes para obtener los seguros de vida grupo deudores, en aquellas fechas, se le preguntó si ha sufrido o sufre alguna enfermedad o problema de salud de los siguientes aparatos, sistemas u órganos, entre los que se enlistaron trastornos mentales o psiquiátricos, y respondió que no.</w:t>
      </w:r>
      <w:r>
        <w:rPr>
          <w:rFonts w:ascii="Arial" w:hAnsi="Arial" w:cs="Arial"/>
          <w:sz w:val="20"/>
          <w:szCs w:val="20"/>
        </w:rPr>
        <w:t xml:space="preserve"> (…)</w:t>
      </w:r>
    </w:p>
    <w:p w:rsidR="009D1977" w:rsidRDefault="009D1977" w:rsidP="009D1977">
      <w:pPr>
        <w:jc w:val="both"/>
        <w:rPr>
          <w:rFonts w:ascii="Arial" w:hAnsi="Arial" w:cs="Arial"/>
          <w:sz w:val="20"/>
          <w:szCs w:val="20"/>
        </w:rPr>
      </w:pPr>
    </w:p>
    <w:p w:rsidR="00AA32CD" w:rsidRPr="00AA32CD" w:rsidRDefault="00AA32CD" w:rsidP="00AA32CD">
      <w:pPr>
        <w:jc w:val="both"/>
        <w:rPr>
          <w:rFonts w:ascii="Arial" w:hAnsi="Arial" w:cs="Arial"/>
          <w:sz w:val="20"/>
          <w:szCs w:val="20"/>
        </w:rPr>
      </w:pPr>
      <w:r w:rsidRPr="00AA32CD">
        <w:rPr>
          <w:rFonts w:ascii="Arial" w:hAnsi="Arial" w:cs="Arial"/>
          <w:sz w:val="20"/>
          <w:szCs w:val="20"/>
        </w:rPr>
        <w:t xml:space="preserve">Surge de lo expuesto que el señor Jorge Humberto </w:t>
      </w:r>
      <w:proofErr w:type="spellStart"/>
      <w:r w:rsidRPr="00AA32CD">
        <w:rPr>
          <w:rFonts w:ascii="Arial" w:hAnsi="Arial" w:cs="Arial"/>
          <w:sz w:val="20"/>
          <w:szCs w:val="20"/>
        </w:rPr>
        <w:t>Gartner</w:t>
      </w:r>
      <w:proofErr w:type="spellEnd"/>
      <w:r w:rsidRPr="00AA32CD">
        <w:rPr>
          <w:rFonts w:ascii="Arial" w:hAnsi="Arial" w:cs="Arial"/>
          <w:sz w:val="20"/>
          <w:szCs w:val="20"/>
        </w:rPr>
        <w:t xml:space="preserve"> López omitió el deber de informar sinceramente su estado de salud y sus antecedentes médicos relacionados con los trastornos mentales o psiquiátricos a pesar de que se le habían diagnosticado desde 2006, estaba medicado y sometido a controles psiquiátricos desde esa fecha</w:t>
      </w:r>
      <w:r>
        <w:rPr>
          <w:rFonts w:ascii="Arial" w:hAnsi="Arial" w:cs="Arial"/>
          <w:sz w:val="20"/>
          <w:szCs w:val="20"/>
        </w:rPr>
        <w:t>…</w:t>
      </w:r>
    </w:p>
    <w:p w:rsidR="00AA32CD" w:rsidRPr="00AA32CD" w:rsidRDefault="00AA32CD" w:rsidP="00AA32CD">
      <w:pPr>
        <w:jc w:val="both"/>
        <w:rPr>
          <w:rFonts w:ascii="Arial" w:hAnsi="Arial" w:cs="Arial"/>
          <w:sz w:val="20"/>
          <w:szCs w:val="20"/>
        </w:rPr>
      </w:pPr>
    </w:p>
    <w:p w:rsidR="00AA32CD" w:rsidRDefault="00AA32CD" w:rsidP="00AA32CD">
      <w:pPr>
        <w:jc w:val="both"/>
        <w:rPr>
          <w:rFonts w:ascii="Arial" w:hAnsi="Arial" w:cs="Arial"/>
          <w:sz w:val="20"/>
          <w:szCs w:val="20"/>
        </w:rPr>
      </w:pPr>
      <w:r w:rsidRPr="00AA32CD">
        <w:rPr>
          <w:rFonts w:ascii="Arial" w:hAnsi="Arial" w:cs="Arial"/>
          <w:sz w:val="20"/>
          <w:szCs w:val="20"/>
        </w:rPr>
        <w:t>Por ello, puede decirse que el citado señor fue reticente en la información que brindó a la compañía de seguros, en cuanto declaró que no padecía trastornos mentales o psiquiátricos, pues demostrado está lo contrario.</w:t>
      </w:r>
    </w:p>
    <w:p w:rsidR="00AA32CD" w:rsidRPr="009D1977" w:rsidRDefault="00AA32CD" w:rsidP="009D1977">
      <w:pPr>
        <w:jc w:val="both"/>
        <w:rPr>
          <w:rFonts w:ascii="Arial" w:hAnsi="Arial" w:cs="Arial"/>
          <w:sz w:val="20"/>
          <w:szCs w:val="20"/>
        </w:rPr>
      </w:pPr>
    </w:p>
    <w:p w:rsidR="009D1977" w:rsidRPr="009D1977" w:rsidRDefault="009D1977" w:rsidP="009D1977">
      <w:pPr>
        <w:jc w:val="both"/>
        <w:rPr>
          <w:rFonts w:ascii="Arial" w:hAnsi="Arial" w:cs="Arial"/>
          <w:sz w:val="20"/>
          <w:szCs w:val="20"/>
        </w:rPr>
      </w:pPr>
    </w:p>
    <w:p w:rsidR="009D1977" w:rsidRPr="009D1977" w:rsidRDefault="009D1977" w:rsidP="009D1977">
      <w:pPr>
        <w:jc w:val="both"/>
        <w:rPr>
          <w:rFonts w:ascii="Arial" w:hAnsi="Arial" w:cs="Arial"/>
          <w:sz w:val="20"/>
          <w:szCs w:val="20"/>
        </w:rPr>
      </w:pPr>
    </w:p>
    <w:p w:rsidR="0018757E" w:rsidRPr="009D1977" w:rsidRDefault="0018757E" w:rsidP="009D1977">
      <w:pPr>
        <w:spacing w:line="276" w:lineRule="auto"/>
        <w:jc w:val="center"/>
        <w:rPr>
          <w:rFonts w:ascii="Tahoma" w:hAnsi="Tahoma" w:cs="Tahoma"/>
          <w:b/>
        </w:rPr>
      </w:pPr>
      <w:r w:rsidRPr="009D1977">
        <w:rPr>
          <w:rFonts w:ascii="Tahoma" w:hAnsi="Tahoma" w:cs="Tahoma"/>
          <w:b/>
        </w:rPr>
        <w:t>TRIBUNAL SUPERIOR DEL DISTRITO JUDICIAL</w:t>
      </w:r>
    </w:p>
    <w:p w:rsidR="0018757E" w:rsidRPr="009D1977" w:rsidRDefault="0018757E" w:rsidP="009D1977">
      <w:pPr>
        <w:spacing w:line="276" w:lineRule="auto"/>
        <w:jc w:val="center"/>
        <w:rPr>
          <w:rFonts w:ascii="Tahoma" w:hAnsi="Tahoma" w:cs="Tahoma"/>
          <w:b/>
        </w:rPr>
      </w:pPr>
      <w:r w:rsidRPr="009D1977">
        <w:rPr>
          <w:rFonts w:ascii="Tahoma" w:hAnsi="Tahoma" w:cs="Tahoma"/>
          <w:b/>
        </w:rPr>
        <w:t>SALA DE DECISIÓN CIVIL FAMILIA</w:t>
      </w:r>
    </w:p>
    <w:p w:rsidR="004D3F44" w:rsidRPr="009D1977" w:rsidRDefault="004D3F44" w:rsidP="009D1977">
      <w:pPr>
        <w:spacing w:line="276" w:lineRule="auto"/>
        <w:ind w:firstLine="708"/>
        <w:jc w:val="both"/>
        <w:rPr>
          <w:rFonts w:ascii="Tahoma" w:hAnsi="Tahoma" w:cs="Tahoma"/>
        </w:rPr>
      </w:pPr>
    </w:p>
    <w:p w:rsidR="0018757E" w:rsidRPr="009D1977" w:rsidRDefault="0018757E" w:rsidP="009D1977">
      <w:pPr>
        <w:spacing w:line="276" w:lineRule="auto"/>
        <w:ind w:firstLine="708"/>
        <w:jc w:val="both"/>
        <w:rPr>
          <w:rFonts w:ascii="Tahoma" w:hAnsi="Tahoma" w:cs="Tahoma"/>
        </w:rPr>
      </w:pPr>
      <w:r w:rsidRPr="009D1977">
        <w:rPr>
          <w:rFonts w:ascii="Tahoma" w:hAnsi="Tahoma" w:cs="Tahoma"/>
        </w:rPr>
        <w:t xml:space="preserve">Magistrada </w:t>
      </w:r>
      <w:r w:rsidR="006658E1" w:rsidRPr="009D1977">
        <w:rPr>
          <w:rFonts w:ascii="Tahoma" w:hAnsi="Tahoma" w:cs="Tahoma"/>
        </w:rPr>
        <w:t>P</w:t>
      </w:r>
      <w:r w:rsidRPr="009D1977">
        <w:rPr>
          <w:rFonts w:ascii="Tahoma" w:hAnsi="Tahoma" w:cs="Tahoma"/>
        </w:rPr>
        <w:t>onente: Claudia María Arcila Ríos</w:t>
      </w:r>
    </w:p>
    <w:p w:rsidR="0018757E" w:rsidRPr="009D1977" w:rsidRDefault="0018757E" w:rsidP="009D1977">
      <w:pPr>
        <w:spacing w:line="276" w:lineRule="auto"/>
        <w:ind w:firstLine="708"/>
        <w:jc w:val="both"/>
        <w:rPr>
          <w:rFonts w:ascii="Tahoma" w:hAnsi="Tahoma" w:cs="Tahoma"/>
        </w:rPr>
      </w:pPr>
      <w:r w:rsidRPr="009D1977">
        <w:rPr>
          <w:rFonts w:ascii="Tahoma" w:hAnsi="Tahoma" w:cs="Tahoma"/>
        </w:rPr>
        <w:t>Pereira,</w:t>
      </w:r>
      <w:r w:rsidR="00DF63C7" w:rsidRPr="009D1977">
        <w:rPr>
          <w:rFonts w:ascii="Tahoma" w:hAnsi="Tahoma" w:cs="Tahoma"/>
        </w:rPr>
        <w:t xml:space="preserve"> </w:t>
      </w:r>
      <w:r w:rsidR="00C55347" w:rsidRPr="009D1977">
        <w:rPr>
          <w:rFonts w:ascii="Tahoma" w:hAnsi="Tahoma" w:cs="Tahoma"/>
        </w:rPr>
        <w:t>veintisiete (27) de octubre de</w:t>
      </w:r>
      <w:r w:rsidR="00520BEC" w:rsidRPr="009D1977">
        <w:rPr>
          <w:rFonts w:ascii="Tahoma" w:hAnsi="Tahoma" w:cs="Tahoma"/>
        </w:rPr>
        <w:t xml:space="preserve"> dos mil veinte (2020)</w:t>
      </w:r>
    </w:p>
    <w:p w:rsidR="0018757E" w:rsidRPr="009D1977" w:rsidRDefault="0018757E" w:rsidP="009D1977">
      <w:pPr>
        <w:spacing w:line="276" w:lineRule="auto"/>
        <w:ind w:firstLine="708"/>
        <w:jc w:val="both"/>
        <w:rPr>
          <w:rFonts w:ascii="Tahoma" w:hAnsi="Tahoma" w:cs="Tahoma"/>
        </w:rPr>
      </w:pPr>
      <w:r w:rsidRPr="009D1977">
        <w:rPr>
          <w:rFonts w:ascii="Tahoma" w:hAnsi="Tahoma" w:cs="Tahoma"/>
        </w:rPr>
        <w:t xml:space="preserve">Acta No. </w:t>
      </w:r>
      <w:r w:rsidR="00C55347" w:rsidRPr="009D1977">
        <w:rPr>
          <w:rFonts w:ascii="Tahoma" w:hAnsi="Tahoma" w:cs="Tahoma"/>
        </w:rPr>
        <w:t>378 del 26 de octubr</w:t>
      </w:r>
      <w:r w:rsidR="00520BEC" w:rsidRPr="009D1977">
        <w:rPr>
          <w:rFonts w:ascii="Tahoma" w:hAnsi="Tahoma" w:cs="Tahoma"/>
        </w:rPr>
        <w:t>e</w:t>
      </w:r>
      <w:r w:rsidR="00C55347" w:rsidRPr="009D1977">
        <w:rPr>
          <w:rFonts w:ascii="Tahoma" w:hAnsi="Tahoma" w:cs="Tahoma"/>
        </w:rPr>
        <w:t xml:space="preserve"> de</w:t>
      </w:r>
      <w:r w:rsidR="00520BEC" w:rsidRPr="009D1977">
        <w:rPr>
          <w:rFonts w:ascii="Tahoma" w:hAnsi="Tahoma" w:cs="Tahoma"/>
        </w:rPr>
        <w:t xml:space="preserve"> 2020</w:t>
      </w:r>
    </w:p>
    <w:p w:rsidR="0018757E" w:rsidRPr="009D1977" w:rsidRDefault="0018757E" w:rsidP="009D1977">
      <w:pPr>
        <w:spacing w:line="276" w:lineRule="auto"/>
        <w:ind w:firstLine="708"/>
        <w:jc w:val="both"/>
        <w:rPr>
          <w:rFonts w:ascii="Tahoma" w:hAnsi="Tahoma" w:cs="Tahoma"/>
        </w:rPr>
      </w:pPr>
      <w:r w:rsidRPr="009D1977">
        <w:rPr>
          <w:rFonts w:ascii="Tahoma" w:hAnsi="Tahoma" w:cs="Tahoma"/>
        </w:rPr>
        <w:t>Expediente 66</w:t>
      </w:r>
      <w:r w:rsidR="0090403C" w:rsidRPr="009D1977">
        <w:rPr>
          <w:rFonts w:ascii="Tahoma" w:hAnsi="Tahoma" w:cs="Tahoma"/>
        </w:rPr>
        <w:t>0</w:t>
      </w:r>
      <w:r w:rsidR="00D90ED5" w:rsidRPr="009D1977">
        <w:rPr>
          <w:rFonts w:ascii="Tahoma" w:hAnsi="Tahoma" w:cs="Tahoma"/>
        </w:rPr>
        <w:t>01</w:t>
      </w:r>
      <w:r w:rsidRPr="009D1977">
        <w:rPr>
          <w:rFonts w:ascii="Tahoma" w:hAnsi="Tahoma" w:cs="Tahoma"/>
        </w:rPr>
        <w:t>-31-</w:t>
      </w:r>
      <w:r w:rsidR="00D90ED5" w:rsidRPr="009D1977">
        <w:rPr>
          <w:rFonts w:ascii="Tahoma" w:hAnsi="Tahoma" w:cs="Tahoma"/>
        </w:rPr>
        <w:t>03</w:t>
      </w:r>
      <w:r w:rsidR="0090403C" w:rsidRPr="009D1977">
        <w:rPr>
          <w:rFonts w:ascii="Tahoma" w:hAnsi="Tahoma" w:cs="Tahoma"/>
        </w:rPr>
        <w:t>-00</w:t>
      </w:r>
      <w:r w:rsidR="00520BEC" w:rsidRPr="009D1977">
        <w:rPr>
          <w:rFonts w:ascii="Tahoma" w:hAnsi="Tahoma" w:cs="Tahoma"/>
        </w:rPr>
        <w:t>2</w:t>
      </w:r>
      <w:r w:rsidRPr="009D1977">
        <w:rPr>
          <w:rFonts w:ascii="Tahoma" w:hAnsi="Tahoma" w:cs="Tahoma"/>
        </w:rPr>
        <w:t>-20</w:t>
      </w:r>
      <w:r w:rsidR="00520BEC" w:rsidRPr="009D1977">
        <w:rPr>
          <w:rFonts w:ascii="Tahoma" w:hAnsi="Tahoma" w:cs="Tahoma"/>
        </w:rPr>
        <w:t>15</w:t>
      </w:r>
      <w:r w:rsidRPr="009D1977">
        <w:rPr>
          <w:rFonts w:ascii="Tahoma" w:hAnsi="Tahoma" w:cs="Tahoma"/>
        </w:rPr>
        <w:t>-</w:t>
      </w:r>
      <w:r w:rsidR="0090403C" w:rsidRPr="009D1977">
        <w:rPr>
          <w:rFonts w:ascii="Tahoma" w:hAnsi="Tahoma" w:cs="Tahoma"/>
        </w:rPr>
        <w:t>0</w:t>
      </w:r>
      <w:r w:rsidR="00520BEC" w:rsidRPr="009D1977">
        <w:rPr>
          <w:rFonts w:ascii="Tahoma" w:hAnsi="Tahoma" w:cs="Tahoma"/>
        </w:rPr>
        <w:t>1127</w:t>
      </w:r>
      <w:r w:rsidR="0090403C" w:rsidRPr="009D1977">
        <w:rPr>
          <w:rFonts w:ascii="Tahoma" w:hAnsi="Tahoma" w:cs="Tahoma"/>
        </w:rPr>
        <w:t>-0</w:t>
      </w:r>
      <w:r w:rsidR="00520BEC" w:rsidRPr="009D1977">
        <w:rPr>
          <w:rFonts w:ascii="Tahoma" w:hAnsi="Tahoma" w:cs="Tahoma"/>
        </w:rPr>
        <w:t>3</w:t>
      </w:r>
    </w:p>
    <w:p w:rsidR="00B25F3A" w:rsidRPr="009D1977" w:rsidRDefault="00B25F3A" w:rsidP="009D1977">
      <w:pPr>
        <w:spacing w:line="276" w:lineRule="auto"/>
        <w:jc w:val="both"/>
        <w:rPr>
          <w:rFonts w:ascii="Tahoma" w:hAnsi="Tahoma" w:cs="Tahoma"/>
        </w:rPr>
      </w:pPr>
    </w:p>
    <w:p w:rsidR="00520BEC" w:rsidRPr="009D1977" w:rsidRDefault="0090403C" w:rsidP="009D1977">
      <w:pPr>
        <w:pStyle w:val="Textoindependiente"/>
        <w:spacing w:line="276" w:lineRule="auto"/>
        <w:rPr>
          <w:rFonts w:ascii="Tahoma" w:hAnsi="Tahoma" w:cs="Tahoma"/>
          <w:sz w:val="24"/>
          <w:szCs w:val="24"/>
        </w:rPr>
      </w:pPr>
      <w:r w:rsidRPr="009D1977">
        <w:rPr>
          <w:rFonts w:ascii="Tahoma" w:hAnsi="Tahoma" w:cs="Tahoma"/>
          <w:sz w:val="24"/>
          <w:szCs w:val="24"/>
        </w:rPr>
        <w:t>Decide la Sala</w:t>
      </w:r>
      <w:r w:rsidR="00520BEC" w:rsidRPr="009D1977">
        <w:rPr>
          <w:rFonts w:ascii="Tahoma" w:hAnsi="Tahoma" w:cs="Tahoma"/>
          <w:sz w:val="24"/>
          <w:szCs w:val="24"/>
        </w:rPr>
        <w:t xml:space="preserve">, de manera escrita, de acuerdo con el artículo </w:t>
      </w:r>
      <w:r w:rsidR="00071662" w:rsidRPr="009D1977">
        <w:rPr>
          <w:rFonts w:ascii="Tahoma" w:hAnsi="Tahoma" w:cs="Tahoma"/>
          <w:sz w:val="24"/>
          <w:szCs w:val="24"/>
        </w:rPr>
        <w:t>14</w:t>
      </w:r>
      <w:r w:rsidR="00520BEC" w:rsidRPr="009D1977">
        <w:rPr>
          <w:rFonts w:ascii="Tahoma" w:hAnsi="Tahoma" w:cs="Tahoma"/>
          <w:sz w:val="24"/>
          <w:szCs w:val="24"/>
        </w:rPr>
        <w:t xml:space="preserve"> del Decreto 806 de 2020, el </w:t>
      </w:r>
      <w:r w:rsidRPr="009D1977">
        <w:rPr>
          <w:rFonts w:ascii="Tahoma" w:hAnsi="Tahoma" w:cs="Tahoma"/>
          <w:sz w:val="24"/>
          <w:szCs w:val="24"/>
        </w:rPr>
        <w:t xml:space="preserve">recurso de apelación que interpuso </w:t>
      </w:r>
      <w:r w:rsidR="00D90ED5" w:rsidRPr="009D1977">
        <w:rPr>
          <w:rFonts w:ascii="Tahoma" w:hAnsi="Tahoma" w:cs="Tahoma"/>
          <w:sz w:val="24"/>
          <w:szCs w:val="24"/>
        </w:rPr>
        <w:t>la par</w:t>
      </w:r>
      <w:r w:rsidR="00322B46" w:rsidRPr="009D1977">
        <w:rPr>
          <w:rFonts w:ascii="Tahoma" w:hAnsi="Tahoma" w:cs="Tahoma"/>
          <w:sz w:val="24"/>
          <w:szCs w:val="24"/>
        </w:rPr>
        <w:t>t</w:t>
      </w:r>
      <w:r w:rsidR="00D90ED5" w:rsidRPr="009D1977">
        <w:rPr>
          <w:rFonts w:ascii="Tahoma" w:hAnsi="Tahoma" w:cs="Tahoma"/>
          <w:sz w:val="24"/>
          <w:szCs w:val="24"/>
        </w:rPr>
        <w:t>e demandante</w:t>
      </w:r>
      <w:r w:rsidR="000B7E31" w:rsidRPr="009D1977">
        <w:rPr>
          <w:rFonts w:ascii="Tahoma" w:hAnsi="Tahoma" w:cs="Tahoma"/>
          <w:sz w:val="24"/>
          <w:szCs w:val="24"/>
        </w:rPr>
        <w:t xml:space="preserve"> frente a </w:t>
      </w:r>
      <w:r w:rsidRPr="009D1977">
        <w:rPr>
          <w:rFonts w:ascii="Tahoma" w:hAnsi="Tahoma" w:cs="Tahoma"/>
          <w:sz w:val="24"/>
          <w:szCs w:val="24"/>
        </w:rPr>
        <w:t xml:space="preserve">la sentencia proferida por el Juzgado </w:t>
      </w:r>
      <w:r w:rsidR="00520BEC" w:rsidRPr="009D1977">
        <w:rPr>
          <w:rFonts w:ascii="Tahoma" w:hAnsi="Tahoma" w:cs="Tahoma"/>
          <w:sz w:val="24"/>
          <w:szCs w:val="24"/>
        </w:rPr>
        <w:t>Segundo C</w:t>
      </w:r>
      <w:r w:rsidR="00D90ED5" w:rsidRPr="009D1977">
        <w:rPr>
          <w:rFonts w:ascii="Tahoma" w:hAnsi="Tahoma" w:cs="Tahoma"/>
          <w:sz w:val="24"/>
          <w:szCs w:val="24"/>
        </w:rPr>
        <w:t>ivil d</w:t>
      </w:r>
      <w:r w:rsidR="000B7E31" w:rsidRPr="009D1977">
        <w:rPr>
          <w:rFonts w:ascii="Tahoma" w:hAnsi="Tahoma" w:cs="Tahoma"/>
          <w:sz w:val="24"/>
          <w:szCs w:val="24"/>
        </w:rPr>
        <w:t>el Circuito de</w:t>
      </w:r>
      <w:r w:rsidR="00D90ED5" w:rsidRPr="009D1977">
        <w:rPr>
          <w:rFonts w:ascii="Tahoma" w:hAnsi="Tahoma" w:cs="Tahoma"/>
          <w:sz w:val="24"/>
          <w:szCs w:val="24"/>
        </w:rPr>
        <w:t xml:space="preserve"> Pereira, </w:t>
      </w:r>
      <w:r w:rsidR="00DA6760" w:rsidRPr="009D1977">
        <w:rPr>
          <w:rFonts w:ascii="Tahoma" w:hAnsi="Tahoma" w:cs="Tahoma"/>
          <w:sz w:val="24"/>
          <w:szCs w:val="24"/>
        </w:rPr>
        <w:t xml:space="preserve">el </w:t>
      </w:r>
      <w:r w:rsidR="00520BEC" w:rsidRPr="009D1977">
        <w:rPr>
          <w:rFonts w:ascii="Tahoma" w:hAnsi="Tahoma" w:cs="Tahoma"/>
          <w:sz w:val="24"/>
          <w:szCs w:val="24"/>
        </w:rPr>
        <w:t xml:space="preserve">13 de agosto de 2019, </w:t>
      </w:r>
      <w:r w:rsidR="63E56843" w:rsidRPr="009D1977">
        <w:rPr>
          <w:rFonts w:ascii="Tahoma" w:hAnsi="Tahoma" w:cs="Tahoma"/>
          <w:sz w:val="24"/>
          <w:szCs w:val="24"/>
        </w:rPr>
        <w:t>en el</w:t>
      </w:r>
      <w:r w:rsidRPr="009D1977">
        <w:rPr>
          <w:rFonts w:ascii="Tahoma" w:hAnsi="Tahoma" w:cs="Tahoma"/>
          <w:sz w:val="24"/>
          <w:szCs w:val="24"/>
        </w:rPr>
        <w:t xml:space="preserve"> proceso </w:t>
      </w:r>
      <w:r w:rsidR="00520BEC" w:rsidRPr="009D1977">
        <w:rPr>
          <w:rFonts w:ascii="Tahoma" w:hAnsi="Tahoma" w:cs="Tahoma"/>
          <w:sz w:val="24"/>
          <w:szCs w:val="24"/>
        </w:rPr>
        <w:t xml:space="preserve">instaurado por los señores Jorge Humberto </w:t>
      </w:r>
      <w:proofErr w:type="spellStart"/>
      <w:r w:rsidR="00520BEC" w:rsidRPr="009D1977">
        <w:rPr>
          <w:rFonts w:ascii="Tahoma" w:hAnsi="Tahoma" w:cs="Tahoma"/>
          <w:sz w:val="24"/>
          <w:szCs w:val="24"/>
        </w:rPr>
        <w:t>Gartner</w:t>
      </w:r>
      <w:proofErr w:type="spellEnd"/>
      <w:r w:rsidR="00520BEC" w:rsidRPr="009D1977">
        <w:rPr>
          <w:rFonts w:ascii="Tahoma" w:hAnsi="Tahoma" w:cs="Tahoma"/>
          <w:sz w:val="24"/>
          <w:szCs w:val="24"/>
        </w:rPr>
        <w:t xml:space="preserve"> López y </w:t>
      </w:r>
      <w:proofErr w:type="spellStart"/>
      <w:r w:rsidR="00520BEC" w:rsidRPr="009D1977">
        <w:rPr>
          <w:rFonts w:ascii="Tahoma" w:hAnsi="Tahoma" w:cs="Tahoma"/>
          <w:sz w:val="24"/>
          <w:szCs w:val="24"/>
        </w:rPr>
        <w:t>Dulfay</w:t>
      </w:r>
      <w:proofErr w:type="spellEnd"/>
      <w:r w:rsidR="00520BEC" w:rsidRPr="009D1977">
        <w:rPr>
          <w:rFonts w:ascii="Tahoma" w:hAnsi="Tahoma" w:cs="Tahoma"/>
          <w:sz w:val="24"/>
          <w:szCs w:val="24"/>
        </w:rPr>
        <w:t xml:space="preserve"> Calder</w:t>
      </w:r>
      <w:r w:rsidR="000453A0" w:rsidRPr="009D1977">
        <w:rPr>
          <w:rFonts w:ascii="Tahoma" w:hAnsi="Tahoma" w:cs="Tahoma"/>
          <w:sz w:val="24"/>
          <w:szCs w:val="24"/>
        </w:rPr>
        <w:t xml:space="preserve">ón </w:t>
      </w:r>
      <w:proofErr w:type="spellStart"/>
      <w:r w:rsidR="000453A0" w:rsidRPr="009D1977">
        <w:rPr>
          <w:rFonts w:ascii="Tahoma" w:hAnsi="Tahoma" w:cs="Tahoma"/>
          <w:sz w:val="24"/>
          <w:szCs w:val="24"/>
        </w:rPr>
        <w:t>Be</w:t>
      </w:r>
      <w:r w:rsidR="00520BEC" w:rsidRPr="009D1977">
        <w:rPr>
          <w:rFonts w:ascii="Tahoma" w:hAnsi="Tahoma" w:cs="Tahoma"/>
          <w:sz w:val="24"/>
          <w:szCs w:val="24"/>
        </w:rPr>
        <w:t>ta</w:t>
      </w:r>
      <w:r w:rsidR="000453A0" w:rsidRPr="009D1977">
        <w:rPr>
          <w:rFonts w:ascii="Tahoma" w:hAnsi="Tahoma" w:cs="Tahoma"/>
          <w:sz w:val="24"/>
          <w:szCs w:val="24"/>
        </w:rPr>
        <w:t>n</w:t>
      </w:r>
      <w:r w:rsidR="00520BEC" w:rsidRPr="009D1977">
        <w:rPr>
          <w:rFonts w:ascii="Tahoma" w:hAnsi="Tahoma" w:cs="Tahoma"/>
          <w:sz w:val="24"/>
          <w:szCs w:val="24"/>
        </w:rPr>
        <w:t>curt</w:t>
      </w:r>
      <w:proofErr w:type="spellEnd"/>
      <w:r w:rsidR="00520BEC" w:rsidRPr="009D1977">
        <w:rPr>
          <w:rFonts w:ascii="Tahoma" w:hAnsi="Tahoma" w:cs="Tahoma"/>
          <w:sz w:val="24"/>
          <w:szCs w:val="24"/>
        </w:rPr>
        <w:t xml:space="preserve"> contra BBVA Seguros de Colombia S.A.</w:t>
      </w:r>
      <w:r w:rsidR="000453A0" w:rsidRPr="009D1977">
        <w:rPr>
          <w:rFonts w:ascii="Tahoma" w:hAnsi="Tahoma" w:cs="Tahoma"/>
          <w:sz w:val="24"/>
          <w:szCs w:val="24"/>
        </w:rPr>
        <w:t xml:space="preserve"> y en el que se ordenó integrar el con</w:t>
      </w:r>
      <w:r w:rsidR="00071662" w:rsidRPr="009D1977">
        <w:rPr>
          <w:rFonts w:ascii="Tahoma" w:hAnsi="Tahoma" w:cs="Tahoma"/>
          <w:sz w:val="24"/>
          <w:szCs w:val="24"/>
        </w:rPr>
        <w:t>tradictorio con el banco BBVA Colombia S.A.</w:t>
      </w:r>
    </w:p>
    <w:p w:rsidR="0018757E" w:rsidRPr="009D1977" w:rsidRDefault="0018757E" w:rsidP="009D1977">
      <w:pPr>
        <w:pStyle w:val="Textoindependiente"/>
        <w:spacing w:line="276" w:lineRule="auto"/>
        <w:rPr>
          <w:rFonts w:ascii="Tahoma" w:hAnsi="Tahoma" w:cs="Tahoma"/>
          <w:sz w:val="24"/>
          <w:szCs w:val="24"/>
        </w:rPr>
      </w:pPr>
      <w:r w:rsidRPr="009D1977">
        <w:rPr>
          <w:rFonts w:ascii="Tahoma" w:hAnsi="Tahoma" w:cs="Tahoma"/>
          <w:sz w:val="24"/>
          <w:szCs w:val="24"/>
        </w:rPr>
        <w:t xml:space="preserve"> </w:t>
      </w:r>
    </w:p>
    <w:p w:rsidR="0018757E" w:rsidRPr="009D1977" w:rsidRDefault="0018757E" w:rsidP="009D1977">
      <w:pPr>
        <w:spacing w:line="276" w:lineRule="auto"/>
        <w:jc w:val="both"/>
        <w:rPr>
          <w:rFonts w:ascii="Tahoma" w:hAnsi="Tahoma" w:cs="Tahoma"/>
          <w:b/>
        </w:rPr>
      </w:pPr>
      <w:r w:rsidRPr="009D1977">
        <w:rPr>
          <w:rFonts w:ascii="Tahoma" w:hAnsi="Tahoma" w:cs="Tahoma"/>
          <w:b/>
        </w:rPr>
        <w:lastRenderedPageBreak/>
        <w:t xml:space="preserve">ANTECEDENTES </w:t>
      </w:r>
    </w:p>
    <w:p w:rsidR="0018757E" w:rsidRPr="009D1977" w:rsidRDefault="0018757E" w:rsidP="009D1977">
      <w:pPr>
        <w:pStyle w:val="Textoindependiente"/>
        <w:spacing w:line="276" w:lineRule="auto"/>
        <w:rPr>
          <w:rFonts w:ascii="Tahoma" w:hAnsi="Tahoma" w:cs="Tahoma"/>
          <w:sz w:val="24"/>
          <w:szCs w:val="24"/>
        </w:rPr>
      </w:pPr>
    </w:p>
    <w:p w:rsidR="00520BEC" w:rsidRPr="009D1977" w:rsidRDefault="00071662" w:rsidP="009D1977">
      <w:pPr>
        <w:pStyle w:val="Textoindependiente"/>
        <w:spacing w:line="276" w:lineRule="auto"/>
        <w:rPr>
          <w:rFonts w:ascii="Tahoma" w:hAnsi="Tahoma" w:cs="Tahoma"/>
          <w:sz w:val="24"/>
          <w:szCs w:val="24"/>
        </w:rPr>
      </w:pPr>
      <w:r w:rsidRPr="009D1977">
        <w:rPr>
          <w:rFonts w:ascii="Tahoma" w:hAnsi="Tahoma" w:cs="Tahoma"/>
          <w:sz w:val="24"/>
          <w:szCs w:val="24"/>
        </w:rPr>
        <w:t xml:space="preserve">1. </w:t>
      </w:r>
      <w:r w:rsidR="00520BEC" w:rsidRPr="009D1977">
        <w:rPr>
          <w:rFonts w:ascii="Tahoma" w:hAnsi="Tahoma" w:cs="Tahoma"/>
          <w:sz w:val="24"/>
          <w:szCs w:val="24"/>
        </w:rPr>
        <w:t>Con la acción propuesta, pretende el acto</w:t>
      </w:r>
      <w:r w:rsidR="007751FD">
        <w:rPr>
          <w:rFonts w:ascii="Tahoma" w:hAnsi="Tahoma" w:cs="Tahoma"/>
          <w:sz w:val="24"/>
          <w:szCs w:val="24"/>
        </w:rPr>
        <w:t>r:</w:t>
      </w:r>
    </w:p>
    <w:p w:rsidR="00071662" w:rsidRPr="009D1977" w:rsidRDefault="00071662" w:rsidP="009D1977">
      <w:pPr>
        <w:pStyle w:val="Textoindependiente"/>
        <w:spacing w:line="276" w:lineRule="auto"/>
        <w:rPr>
          <w:rFonts w:ascii="Tahoma" w:hAnsi="Tahoma" w:cs="Tahoma"/>
          <w:sz w:val="24"/>
          <w:szCs w:val="24"/>
        </w:rPr>
      </w:pPr>
    </w:p>
    <w:p w:rsidR="0018757E" w:rsidRPr="009D1977" w:rsidRDefault="00071662" w:rsidP="009D1977">
      <w:pPr>
        <w:pStyle w:val="Textoindependiente"/>
        <w:spacing w:line="276" w:lineRule="auto"/>
        <w:rPr>
          <w:rFonts w:ascii="Tahoma" w:hAnsi="Tahoma" w:cs="Tahoma"/>
          <w:sz w:val="24"/>
          <w:szCs w:val="24"/>
        </w:rPr>
      </w:pPr>
      <w:r w:rsidRPr="009D1977">
        <w:rPr>
          <w:rFonts w:ascii="Tahoma" w:hAnsi="Tahoma" w:cs="Tahoma"/>
          <w:sz w:val="24"/>
          <w:szCs w:val="24"/>
        </w:rPr>
        <w:t>1.1</w:t>
      </w:r>
      <w:r w:rsidR="00C217C8" w:rsidRPr="009D1977">
        <w:rPr>
          <w:rFonts w:ascii="Tahoma" w:hAnsi="Tahoma" w:cs="Tahoma"/>
          <w:sz w:val="24"/>
          <w:szCs w:val="24"/>
        </w:rPr>
        <w:t xml:space="preserve"> </w:t>
      </w:r>
      <w:r w:rsidRPr="009D1977">
        <w:rPr>
          <w:rFonts w:ascii="Tahoma" w:hAnsi="Tahoma" w:cs="Tahoma"/>
          <w:sz w:val="24"/>
          <w:szCs w:val="24"/>
        </w:rPr>
        <w:t xml:space="preserve">Se declare la </w:t>
      </w:r>
      <w:r w:rsidR="00520BEC" w:rsidRPr="009D1977">
        <w:rPr>
          <w:rFonts w:ascii="Tahoma" w:hAnsi="Tahoma" w:cs="Tahoma"/>
          <w:sz w:val="24"/>
          <w:szCs w:val="24"/>
        </w:rPr>
        <w:t xml:space="preserve">existencia de los contratos de mutuo con intereses y garantía hipotecaria que dieron origen a las obligaciones </w:t>
      </w:r>
      <w:r w:rsidR="004038F4" w:rsidRPr="009D1977">
        <w:rPr>
          <w:rFonts w:ascii="Tahoma" w:hAnsi="Tahoma" w:cs="Tahoma"/>
          <w:sz w:val="24"/>
          <w:szCs w:val="24"/>
        </w:rPr>
        <w:t>Nos. 00130703759600273524</w:t>
      </w:r>
      <w:r w:rsidR="00566AB9" w:rsidRPr="009D1977">
        <w:rPr>
          <w:rFonts w:ascii="Tahoma" w:hAnsi="Tahoma" w:cs="Tahoma"/>
          <w:sz w:val="24"/>
          <w:szCs w:val="24"/>
        </w:rPr>
        <w:t xml:space="preserve">, hipotecaria, </w:t>
      </w:r>
      <w:r w:rsidR="004038F4" w:rsidRPr="009D1977">
        <w:rPr>
          <w:rFonts w:ascii="Tahoma" w:hAnsi="Tahoma" w:cs="Tahoma"/>
          <w:sz w:val="24"/>
          <w:szCs w:val="24"/>
        </w:rPr>
        <w:t>y 00130703729600253906</w:t>
      </w:r>
      <w:r w:rsidR="00566AB9" w:rsidRPr="009D1977">
        <w:rPr>
          <w:rFonts w:ascii="Tahoma" w:hAnsi="Tahoma" w:cs="Tahoma"/>
          <w:sz w:val="24"/>
          <w:szCs w:val="24"/>
        </w:rPr>
        <w:t xml:space="preserve"> de libre consumo</w:t>
      </w:r>
      <w:r w:rsidRPr="009D1977">
        <w:rPr>
          <w:rFonts w:ascii="Tahoma" w:hAnsi="Tahoma" w:cs="Tahoma"/>
          <w:sz w:val="24"/>
          <w:szCs w:val="24"/>
        </w:rPr>
        <w:t>, garantizada</w:t>
      </w:r>
      <w:r w:rsidR="004038F4" w:rsidRPr="009D1977">
        <w:rPr>
          <w:rFonts w:ascii="Tahoma" w:hAnsi="Tahoma" w:cs="Tahoma"/>
          <w:sz w:val="24"/>
          <w:szCs w:val="24"/>
        </w:rPr>
        <w:t>s con seguros de vida grupo deudores, celebrados entre el Banco BBVA</w:t>
      </w:r>
      <w:r w:rsidR="00C217C8" w:rsidRPr="009D1977">
        <w:rPr>
          <w:rFonts w:ascii="Tahoma" w:hAnsi="Tahoma" w:cs="Tahoma"/>
          <w:sz w:val="24"/>
          <w:szCs w:val="24"/>
        </w:rPr>
        <w:t xml:space="preserve"> Colombia S.A. en calidad de acreedor y los demandantes como deudores.</w:t>
      </w:r>
    </w:p>
    <w:p w:rsidR="00C217C8" w:rsidRPr="009D1977" w:rsidRDefault="00C217C8" w:rsidP="009D1977">
      <w:pPr>
        <w:pStyle w:val="Textoindependiente"/>
        <w:spacing w:line="276" w:lineRule="auto"/>
        <w:rPr>
          <w:rFonts w:ascii="Tahoma" w:hAnsi="Tahoma" w:cs="Tahoma"/>
          <w:sz w:val="24"/>
          <w:szCs w:val="24"/>
        </w:rPr>
      </w:pPr>
    </w:p>
    <w:p w:rsidR="00C217C8" w:rsidRPr="009D1977" w:rsidRDefault="00071662" w:rsidP="009D1977">
      <w:pPr>
        <w:pStyle w:val="Textoindependiente"/>
        <w:spacing w:line="276" w:lineRule="auto"/>
        <w:rPr>
          <w:rFonts w:ascii="Tahoma" w:hAnsi="Tahoma" w:cs="Tahoma"/>
          <w:sz w:val="24"/>
          <w:szCs w:val="24"/>
        </w:rPr>
      </w:pPr>
      <w:r w:rsidRPr="009D1977">
        <w:rPr>
          <w:rFonts w:ascii="Tahoma" w:hAnsi="Tahoma" w:cs="Tahoma"/>
          <w:sz w:val="24"/>
          <w:szCs w:val="24"/>
        </w:rPr>
        <w:t>1.2.</w:t>
      </w:r>
      <w:r w:rsidR="00C217C8" w:rsidRPr="009D1977">
        <w:rPr>
          <w:rFonts w:ascii="Tahoma" w:hAnsi="Tahoma" w:cs="Tahoma"/>
          <w:sz w:val="24"/>
          <w:szCs w:val="24"/>
        </w:rPr>
        <w:t xml:space="preserve"> </w:t>
      </w:r>
      <w:r w:rsidR="00075F2A" w:rsidRPr="009D1977">
        <w:rPr>
          <w:rFonts w:ascii="Tahoma" w:hAnsi="Tahoma" w:cs="Tahoma"/>
          <w:sz w:val="24"/>
          <w:szCs w:val="24"/>
        </w:rPr>
        <w:t xml:space="preserve">Se </w:t>
      </w:r>
      <w:r w:rsidR="00C217C8" w:rsidRPr="009D1977">
        <w:rPr>
          <w:rFonts w:ascii="Tahoma" w:hAnsi="Tahoma" w:cs="Tahoma"/>
          <w:sz w:val="24"/>
          <w:szCs w:val="24"/>
        </w:rPr>
        <w:t>reconozca por parte de la entidad aseguradora</w:t>
      </w:r>
      <w:r w:rsidR="00566AB9" w:rsidRPr="009D1977">
        <w:rPr>
          <w:rFonts w:ascii="Tahoma" w:hAnsi="Tahoma" w:cs="Tahoma"/>
          <w:sz w:val="24"/>
          <w:szCs w:val="24"/>
        </w:rPr>
        <w:t xml:space="preserve"> la existencia del riesgo amparado en los seguros de vida grupo deudores, por incapacidad total y permanente del señor Jorge Humberto </w:t>
      </w:r>
      <w:proofErr w:type="spellStart"/>
      <w:r w:rsidR="00566AB9" w:rsidRPr="009D1977">
        <w:rPr>
          <w:rFonts w:ascii="Tahoma" w:hAnsi="Tahoma" w:cs="Tahoma"/>
          <w:sz w:val="24"/>
          <w:szCs w:val="24"/>
        </w:rPr>
        <w:t>Gartner</w:t>
      </w:r>
      <w:proofErr w:type="spellEnd"/>
      <w:r w:rsidR="00566AB9" w:rsidRPr="009D1977">
        <w:rPr>
          <w:rFonts w:ascii="Tahoma" w:hAnsi="Tahoma" w:cs="Tahoma"/>
          <w:sz w:val="24"/>
          <w:szCs w:val="24"/>
        </w:rPr>
        <w:t xml:space="preserve"> López, relacionado con la póliza </w:t>
      </w:r>
      <w:proofErr w:type="spellStart"/>
      <w:r w:rsidR="00566AB9" w:rsidRPr="009D1977">
        <w:rPr>
          <w:rFonts w:ascii="Tahoma" w:hAnsi="Tahoma" w:cs="Tahoma"/>
          <w:sz w:val="24"/>
          <w:szCs w:val="24"/>
        </w:rPr>
        <w:t>VGD</w:t>
      </w:r>
      <w:proofErr w:type="spellEnd"/>
      <w:r w:rsidR="00566AB9" w:rsidRPr="009D1977">
        <w:rPr>
          <w:rFonts w:ascii="Tahoma" w:hAnsi="Tahoma" w:cs="Tahoma"/>
          <w:sz w:val="24"/>
          <w:szCs w:val="24"/>
        </w:rPr>
        <w:t xml:space="preserve"> 0110043 que respalda las obligaciones referidas en el numeral anterior; además</w:t>
      </w:r>
      <w:r w:rsidRPr="009D1977">
        <w:rPr>
          <w:rFonts w:ascii="Tahoma" w:hAnsi="Tahoma" w:cs="Tahoma"/>
          <w:sz w:val="24"/>
          <w:szCs w:val="24"/>
        </w:rPr>
        <w:t xml:space="preserve">, </w:t>
      </w:r>
      <w:r w:rsidR="00566AB9" w:rsidRPr="009D1977">
        <w:rPr>
          <w:rFonts w:ascii="Tahoma" w:hAnsi="Tahoma" w:cs="Tahoma"/>
          <w:sz w:val="24"/>
          <w:szCs w:val="24"/>
        </w:rPr>
        <w:t xml:space="preserve">las que corresponden a tarjetas de crédito y </w:t>
      </w:r>
      <w:r w:rsidR="00075F2A" w:rsidRPr="009D1977">
        <w:rPr>
          <w:rFonts w:ascii="Tahoma" w:hAnsi="Tahoma" w:cs="Tahoma"/>
          <w:sz w:val="24"/>
          <w:szCs w:val="24"/>
        </w:rPr>
        <w:t xml:space="preserve">que </w:t>
      </w:r>
      <w:r w:rsidR="00566AB9" w:rsidRPr="009D1977">
        <w:rPr>
          <w:rFonts w:ascii="Tahoma" w:hAnsi="Tahoma" w:cs="Tahoma"/>
          <w:sz w:val="24"/>
          <w:szCs w:val="24"/>
        </w:rPr>
        <w:t>ampara</w:t>
      </w:r>
      <w:r w:rsidRPr="009D1977">
        <w:rPr>
          <w:rFonts w:ascii="Tahoma" w:hAnsi="Tahoma" w:cs="Tahoma"/>
          <w:sz w:val="24"/>
          <w:szCs w:val="24"/>
        </w:rPr>
        <w:t>n</w:t>
      </w:r>
      <w:r w:rsidR="00566AB9" w:rsidRPr="009D1977">
        <w:rPr>
          <w:rFonts w:ascii="Tahoma" w:hAnsi="Tahoma" w:cs="Tahoma"/>
          <w:sz w:val="24"/>
          <w:szCs w:val="24"/>
        </w:rPr>
        <w:t xml:space="preserve"> a los demandantes.</w:t>
      </w:r>
    </w:p>
    <w:p w:rsidR="00566AB9" w:rsidRPr="009D1977" w:rsidRDefault="00566AB9" w:rsidP="009D1977">
      <w:pPr>
        <w:pStyle w:val="Textoindependiente"/>
        <w:spacing w:line="276" w:lineRule="auto"/>
        <w:rPr>
          <w:rFonts w:ascii="Tahoma" w:hAnsi="Tahoma" w:cs="Tahoma"/>
          <w:sz w:val="24"/>
          <w:szCs w:val="24"/>
        </w:rPr>
      </w:pPr>
    </w:p>
    <w:p w:rsidR="00566AB9" w:rsidRPr="009D1977" w:rsidRDefault="00566AB9" w:rsidP="009D1977">
      <w:pPr>
        <w:pStyle w:val="Textoindependiente"/>
        <w:spacing w:line="276" w:lineRule="auto"/>
        <w:rPr>
          <w:rFonts w:ascii="Tahoma" w:hAnsi="Tahoma" w:cs="Tahoma"/>
          <w:sz w:val="24"/>
          <w:szCs w:val="24"/>
        </w:rPr>
      </w:pPr>
      <w:r w:rsidRPr="009D1977">
        <w:rPr>
          <w:rFonts w:ascii="Tahoma" w:hAnsi="Tahoma" w:cs="Tahoma"/>
          <w:sz w:val="24"/>
          <w:szCs w:val="24"/>
        </w:rPr>
        <w:t>1.3 Se ordene a la compañía aseguradora hacer efectivas las pólizas que amparen todas las acreencias que tengan los actores con el Banco BBVA, hipotecario, de libre consumo, por tarje</w:t>
      </w:r>
      <w:r w:rsidR="00071662" w:rsidRPr="009D1977">
        <w:rPr>
          <w:rFonts w:ascii="Tahoma" w:hAnsi="Tahoma" w:cs="Tahoma"/>
          <w:sz w:val="24"/>
          <w:szCs w:val="24"/>
        </w:rPr>
        <w:t xml:space="preserve">tas de crédito o cualquier otra, </w:t>
      </w:r>
      <w:r w:rsidRPr="009D1977">
        <w:rPr>
          <w:rFonts w:ascii="Tahoma" w:hAnsi="Tahoma" w:cs="Tahoma"/>
          <w:sz w:val="24"/>
          <w:szCs w:val="24"/>
        </w:rPr>
        <w:t xml:space="preserve">derivadas de los referidos seguros, subrogándolos en las obligaciones bancarias con sus intereses hasta la fecha de causarse la última cuota de amortización anterior a la declaración (sic) de porcentaje de pérdida de la capacidad laboral </w:t>
      </w:r>
      <w:r w:rsidR="00926A49" w:rsidRPr="009D1977">
        <w:rPr>
          <w:rFonts w:ascii="Tahoma" w:hAnsi="Tahoma" w:cs="Tahoma"/>
          <w:sz w:val="24"/>
          <w:szCs w:val="24"/>
        </w:rPr>
        <w:t>y entre ellas, las obligaciones que identifica por sus principales características.</w:t>
      </w:r>
    </w:p>
    <w:p w:rsidR="00926A49" w:rsidRPr="009D1977" w:rsidRDefault="00926A49" w:rsidP="009D1977">
      <w:pPr>
        <w:pStyle w:val="Textoindependiente"/>
        <w:spacing w:line="276" w:lineRule="auto"/>
        <w:rPr>
          <w:rFonts w:ascii="Tahoma" w:hAnsi="Tahoma" w:cs="Tahoma"/>
          <w:sz w:val="24"/>
          <w:szCs w:val="24"/>
        </w:rPr>
      </w:pPr>
    </w:p>
    <w:p w:rsidR="00926A49" w:rsidRPr="009D1977" w:rsidRDefault="00071662" w:rsidP="009D1977">
      <w:pPr>
        <w:pStyle w:val="Textoindependiente"/>
        <w:spacing w:line="276" w:lineRule="auto"/>
        <w:rPr>
          <w:rFonts w:ascii="Tahoma" w:hAnsi="Tahoma" w:cs="Tahoma"/>
          <w:sz w:val="24"/>
          <w:szCs w:val="24"/>
        </w:rPr>
      </w:pPr>
      <w:r w:rsidRPr="009D1977">
        <w:rPr>
          <w:rFonts w:ascii="Tahoma" w:hAnsi="Tahoma" w:cs="Tahoma"/>
          <w:sz w:val="24"/>
          <w:szCs w:val="24"/>
        </w:rPr>
        <w:t>1.4 Declarar e</w:t>
      </w:r>
      <w:r w:rsidR="00926A49" w:rsidRPr="009D1977">
        <w:rPr>
          <w:rFonts w:ascii="Tahoma" w:hAnsi="Tahoma" w:cs="Tahoma"/>
          <w:sz w:val="24"/>
          <w:szCs w:val="24"/>
        </w:rPr>
        <w:t>xtinguidas las obligaciones que tengan los actores con el Banco BBVA y se ordene el levantamiento y extinción de la hipoteca que pesa sobre el inmueble ubicado en la Manzana 1, casa 24 de</w:t>
      </w:r>
      <w:r w:rsidR="00075F2A" w:rsidRPr="009D1977">
        <w:rPr>
          <w:rFonts w:ascii="Tahoma" w:hAnsi="Tahoma" w:cs="Tahoma"/>
          <w:sz w:val="24"/>
          <w:szCs w:val="24"/>
        </w:rPr>
        <w:t xml:space="preserve"> la urbanización Alta Vista en</w:t>
      </w:r>
      <w:r w:rsidR="00926A49" w:rsidRPr="009D1977">
        <w:rPr>
          <w:rFonts w:ascii="Tahoma" w:hAnsi="Tahoma" w:cs="Tahoma"/>
          <w:sz w:val="24"/>
          <w:szCs w:val="24"/>
        </w:rPr>
        <w:t xml:space="preserve"> esta ciudad.</w:t>
      </w:r>
    </w:p>
    <w:p w:rsidR="00926A49" w:rsidRPr="009D1977" w:rsidRDefault="00926A49" w:rsidP="009D1977">
      <w:pPr>
        <w:pStyle w:val="Textoindependiente"/>
        <w:spacing w:line="276" w:lineRule="auto"/>
        <w:rPr>
          <w:rFonts w:ascii="Tahoma" w:hAnsi="Tahoma" w:cs="Tahoma"/>
          <w:sz w:val="24"/>
          <w:szCs w:val="24"/>
        </w:rPr>
      </w:pPr>
    </w:p>
    <w:p w:rsidR="00D90ED5" w:rsidRPr="009D1977" w:rsidRDefault="0018757E"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2</w:t>
      </w:r>
      <w:r w:rsidR="00D90ED5" w:rsidRPr="009D1977">
        <w:rPr>
          <w:rFonts w:ascii="Tahoma" w:hAnsi="Tahoma" w:cs="Tahoma"/>
          <w:sz w:val="24"/>
          <w:szCs w:val="24"/>
        </w:rPr>
        <w:t xml:space="preserve">. </w:t>
      </w:r>
      <w:r w:rsidR="000679DB" w:rsidRPr="009D1977">
        <w:rPr>
          <w:rFonts w:ascii="Tahoma" w:hAnsi="Tahoma" w:cs="Tahoma"/>
          <w:sz w:val="24"/>
          <w:szCs w:val="24"/>
        </w:rPr>
        <w:t>Como</w:t>
      </w:r>
      <w:r w:rsidR="00D90ED5" w:rsidRPr="009D1977">
        <w:rPr>
          <w:rFonts w:ascii="Tahoma" w:hAnsi="Tahoma" w:cs="Tahoma"/>
          <w:sz w:val="24"/>
          <w:szCs w:val="24"/>
        </w:rPr>
        <w:t xml:space="preserve"> sustento de esas pretensiones</w:t>
      </w:r>
      <w:r w:rsidR="00926A49" w:rsidRPr="009D1977">
        <w:rPr>
          <w:rFonts w:ascii="Tahoma" w:hAnsi="Tahoma" w:cs="Tahoma"/>
          <w:sz w:val="24"/>
          <w:szCs w:val="24"/>
        </w:rPr>
        <w:t xml:space="preserve"> se relataron los hechos que admiten el </w:t>
      </w:r>
      <w:r w:rsidR="00D90ED5" w:rsidRPr="009D1977">
        <w:rPr>
          <w:rFonts w:ascii="Tahoma" w:hAnsi="Tahoma" w:cs="Tahoma"/>
          <w:sz w:val="24"/>
          <w:szCs w:val="24"/>
        </w:rPr>
        <w:t>siguiente resumen:</w:t>
      </w:r>
    </w:p>
    <w:p w:rsidR="00D90ED5" w:rsidRPr="009D1977" w:rsidRDefault="00D90ED5" w:rsidP="009D1977">
      <w:pPr>
        <w:pStyle w:val="Textoindependiente21"/>
        <w:spacing w:line="276" w:lineRule="auto"/>
        <w:jc w:val="both"/>
        <w:rPr>
          <w:rFonts w:ascii="Tahoma" w:hAnsi="Tahoma" w:cs="Tahoma"/>
          <w:sz w:val="24"/>
          <w:szCs w:val="24"/>
        </w:rPr>
      </w:pPr>
    </w:p>
    <w:p w:rsidR="005F6295" w:rsidRPr="009D1977" w:rsidRDefault="00926A49"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 xml:space="preserve">2.1 Los </w:t>
      </w:r>
      <w:r w:rsidR="00071662" w:rsidRPr="009D1977">
        <w:rPr>
          <w:rFonts w:ascii="Tahoma" w:hAnsi="Tahoma" w:cs="Tahoma"/>
          <w:sz w:val="24"/>
          <w:szCs w:val="24"/>
        </w:rPr>
        <w:t xml:space="preserve">actores, </w:t>
      </w:r>
      <w:r w:rsidRPr="009D1977">
        <w:rPr>
          <w:rFonts w:ascii="Tahoma" w:hAnsi="Tahoma" w:cs="Tahoma"/>
          <w:sz w:val="24"/>
          <w:szCs w:val="24"/>
        </w:rPr>
        <w:t>cónyuges entre sí, en el año 2006</w:t>
      </w:r>
      <w:r w:rsidR="00071662" w:rsidRPr="009D1977">
        <w:rPr>
          <w:rFonts w:ascii="Tahoma" w:hAnsi="Tahoma" w:cs="Tahoma"/>
          <w:sz w:val="24"/>
          <w:szCs w:val="24"/>
        </w:rPr>
        <w:t>,</w:t>
      </w:r>
      <w:r w:rsidRPr="009D1977">
        <w:rPr>
          <w:rFonts w:ascii="Tahoma" w:hAnsi="Tahoma" w:cs="Tahoma"/>
          <w:sz w:val="24"/>
          <w:szCs w:val="24"/>
        </w:rPr>
        <w:t xml:space="preserve"> adquirieron un crédito hipotecario con el Banco BBVA</w:t>
      </w:r>
      <w:r w:rsidR="00E172AB" w:rsidRPr="009D1977">
        <w:rPr>
          <w:rFonts w:ascii="Tahoma" w:hAnsi="Tahoma" w:cs="Tahoma"/>
          <w:sz w:val="24"/>
          <w:szCs w:val="24"/>
        </w:rPr>
        <w:t>, por la suma de $70.000.000, distinguido con el No. 00130703729600074999</w:t>
      </w:r>
      <w:r w:rsidR="001C0E81" w:rsidRPr="009D1977">
        <w:rPr>
          <w:rFonts w:ascii="Tahoma" w:hAnsi="Tahoma" w:cs="Tahoma"/>
          <w:sz w:val="24"/>
          <w:szCs w:val="24"/>
        </w:rPr>
        <w:t xml:space="preserve">, con el fin de </w:t>
      </w:r>
      <w:r w:rsidR="00E172AB" w:rsidRPr="009D1977">
        <w:rPr>
          <w:rFonts w:ascii="Tahoma" w:hAnsi="Tahoma" w:cs="Tahoma"/>
          <w:sz w:val="24"/>
          <w:szCs w:val="24"/>
        </w:rPr>
        <w:t>comprar una vivienda ubicada en el conjunto residencial Santa Juana de Las Villas, actuación financiera que se efectuó con la confianza de que</w:t>
      </w:r>
      <w:r w:rsidR="005F6295" w:rsidRPr="009D1977">
        <w:rPr>
          <w:rFonts w:ascii="Tahoma" w:hAnsi="Tahoma" w:cs="Tahoma"/>
          <w:sz w:val="24"/>
          <w:szCs w:val="24"/>
        </w:rPr>
        <w:t xml:space="preserve"> el señor </w:t>
      </w:r>
      <w:proofErr w:type="spellStart"/>
      <w:r w:rsidR="005F6295" w:rsidRPr="009D1977">
        <w:rPr>
          <w:rFonts w:ascii="Tahoma" w:hAnsi="Tahoma" w:cs="Tahoma"/>
          <w:sz w:val="24"/>
          <w:szCs w:val="24"/>
        </w:rPr>
        <w:t>Gartner</w:t>
      </w:r>
      <w:proofErr w:type="spellEnd"/>
      <w:r w:rsidR="005F6295" w:rsidRPr="009D1977">
        <w:rPr>
          <w:rFonts w:ascii="Tahoma" w:hAnsi="Tahoma" w:cs="Tahoma"/>
          <w:sz w:val="24"/>
          <w:szCs w:val="24"/>
        </w:rPr>
        <w:t xml:space="preserve"> López era </w:t>
      </w:r>
      <w:r w:rsidR="00E172AB" w:rsidRPr="009D1977">
        <w:rPr>
          <w:rFonts w:ascii="Tahoma" w:hAnsi="Tahoma" w:cs="Tahoma"/>
          <w:sz w:val="24"/>
          <w:szCs w:val="24"/>
        </w:rPr>
        <w:t>Juez de la Re</w:t>
      </w:r>
      <w:r w:rsidR="005F6295" w:rsidRPr="009D1977">
        <w:rPr>
          <w:rFonts w:ascii="Tahoma" w:hAnsi="Tahoma" w:cs="Tahoma"/>
          <w:sz w:val="24"/>
          <w:szCs w:val="24"/>
        </w:rPr>
        <w:t>pública y tenía una oficina en el edificio Diario del Otún, la que vendió con posterioridad para amortizar la deuda.</w:t>
      </w:r>
    </w:p>
    <w:p w:rsidR="005F6295" w:rsidRPr="009D1977" w:rsidRDefault="005F6295" w:rsidP="009D1977">
      <w:pPr>
        <w:pStyle w:val="Textoindependiente21"/>
        <w:spacing w:line="276" w:lineRule="auto"/>
        <w:jc w:val="both"/>
        <w:rPr>
          <w:rFonts w:ascii="Tahoma" w:hAnsi="Tahoma" w:cs="Tahoma"/>
          <w:sz w:val="24"/>
          <w:szCs w:val="24"/>
        </w:rPr>
      </w:pPr>
    </w:p>
    <w:p w:rsidR="00926A49" w:rsidRPr="009D1977" w:rsidRDefault="005F6295"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2.2 Por motivos personales, laborales y profesionales, el citado señor, en el mes de julio de 2010, empezó a sufrir episodios de ansiedad y depresión derivados de sus dificultades económicas y financieras para cumplir sus obligaciones personales y familiares; en concreto, la deuda con el Banco BBVA.</w:t>
      </w:r>
    </w:p>
    <w:p w:rsidR="005F6295" w:rsidRPr="009D1977" w:rsidRDefault="005F6295" w:rsidP="009D1977">
      <w:pPr>
        <w:pStyle w:val="Textoindependiente21"/>
        <w:spacing w:line="276" w:lineRule="auto"/>
        <w:jc w:val="both"/>
        <w:rPr>
          <w:rFonts w:ascii="Tahoma" w:hAnsi="Tahoma" w:cs="Tahoma"/>
          <w:sz w:val="24"/>
          <w:szCs w:val="24"/>
        </w:rPr>
      </w:pPr>
    </w:p>
    <w:p w:rsidR="005F6295" w:rsidRPr="009D1977" w:rsidRDefault="005F6295"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lastRenderedPageBreak/>
        <w:t>2.3 En el mes de junio de 2013 accedió</w:t>
      </w:r>
      <w:r w:rsidR="001C0E81" w:rsidRPr="009D1977">
        <w:rPr>
          <w:rFonts w:ascii="Tahoma" w:hAnsi="Tahoma" w:cs="Tahoma"/>
          <w:sz w:val="24"/>
          <w:szCs w:val="24"/>
        </w:rPr>
        <w:t>,</w:t>
      </w:r>
      <w:r w:rsidRPr="009D1977">
        <w:rPr>
          <w:rFonts w:ascii="Tahoma" w:hAnsi="Tahoma" w:cs="Tahoma"/>
          <w:sz w:val="24"/>
          <w:szCs w:val="24"/>
        </w:rPr>
        <w:t xml:space="preserve"> junto con su esposa</w:t>
      </w:r>
      <w:r w:rsidR="001C0E81" w:rsidRPr="009D1977">
        <w:rPr>
          <w:rFonts w:ascii="Tahoma" w:hAnsi="Tahoma" w:cs="Tahoma"/>
          <w:sz w:val="24"/>
          <w:szCs w:val="24"/>
        </w:rPr>
        <w:t>,</w:t>
      </w:r>
      <w:r w:rsidRPr="009D1977">
        <w:rPr>
          <w:rFonts w:ascii="Tahoma" w:hAnsi="Tahoma" w:cs="Tahoma"/>
          <w:sz w:val="24"/>
          <w:szCs w:val="24"/>
        </w:rPr>
        <w:t xml:space="preserve"> al Crédito de Consumo Hermes</w:t>
      </w:r>
      <w:r w:rsidR="00F203C3" w:rsidRPr="009D1977">
        <w:rPr>
          <w:rFonts w:ascii="Tahoma" w:hAnsi="Tahoma" w:cs="Tahoma"/>
          <w:sz w:val="24"/>
          <w:szCs w:val="24"/>
        </w:rPr>
        <w:t xml:space="preserve"> Libre Inversión, No. 0013.0703.72.9600253906, por $40.419</w:t>
      </w:r>
      <w:r w:rsidR="001C0E81" w:rsidRPr="009D1977">
        <w:rPr>
          <w:rFonts w:ascii="Tahoma" w:hAnsi="Tahoma" w:cs="Tahoma"/>
          <w:sz w:val="24"/>
          <w:szCs w:val="24"/>
        </w:rPr>
        <w:t xml:space="preserve">.000, </w:t>
      </w:r>
      <w:r w:rsidR="00002C2A" w:rsidRPr="009D1977">
        <w:rPr>
          <w:rFonts w:ascii="Tahoma" w:hAnsi="Tahoma" w:cs="Tahoma"/>
          <w:sz w:val="24"/>
          <w:szCs w:val="24"/>
        </w:rPr>
        <w:t>con el mismo banco, “</w:t>
      </w:r>
      <w:r w:rsidR="00002C2A" w:rsidRPr="009D1977">
        <w:rPr>
          <w:rFonts w:ascii="Tahoma" w:hAnsi="Tahoma" w:cs="Tahoma"/>
          <w:sz w:val="22"/>
          <w:szCs w:val="24"/>
        </w:rPr>
        <w:t>SEGURO DE VIDA GRUPO DEUDORES –</w:t>
      </w:r>
      <w:r w:rsidR="009738D2">
        <w:rPr>
          <w:rFonts w:ascii="Tahoma" w:hAnsi="Tahoma" w:cs="Tahoma"/>
          <w:sz w:val="22"/>
          <w:szCs w:val="24"/>
        </w:rPr>
        <w:t xml:space="preserve"> </w:t>
      </w:r>
      <w:r w:rsidR="00002C2A" w:rsidRPr="009D1977">
        <w:rPr>
          <w:rFonts w:ascii="Tahoma" w:hAnsi="Tahoma" w:cs="Tahoma"/>
          <w:sz w:val="22"/>
          <w:szCs w:val="24"/>
        </w:rPr>
        <w:t xml:space="preserve">PÓLIZA No. </w:t>
      </w:r>
      <w:proofErr w:type="spellStart"/>
      <w:r w:rsidR="00002C2A" w:rsidRPr="009D1977">
        <w:rPr>
          <w:rFonts w:ascii="Tahoma" w:hAnsi="Tahoma" w:cs="Tahoma"/>
          <w:sz w:val="22"/>
          <w:szCs w:val="24"/>
        </w:rPr>
        <w:t>VGD</w:t>
      </w:r>
      <w:proofErr w:type="spellEnd"/>
      <w:r w:rsidR="00002C2A" w:rsidRPr="009D1977">
        <w:rPr>
          <w:rFonts w:ascii="Tahoma" w:hAnsi="Tahoma" w:cs="Tahoma"/>
          <w:sz w:val="22"/>
          <w:szCs w:val="24"/>
        </w:rPr>
        <w:t xml:space="preserve"> -0110043</w:t>
      </w:r>
      <w:r w:rsidR="00002C2A" w:rsidRPr="009D1977">
        <w:rPr>
          <w:rFonts w:ascii="Tahoma" w:hAnsi="Tahoma" w:cs="Tahoma"/>
          <w:sz w:val="24"/>
          <w:szCs w:val="24"/>
        </w:rPr>
        <w:t>”.</w:t>
      </w:r>
    </w:p>
    <w:p w:rsidR="00002C2A" w:rsidRPr="009D1977" w:rsidRDefault="00002C2A" w:rsidP="009D1977">
      <w:pPr>
        <w:pStyle w:val="Textoindependiente21"/>
        <w:spacing w:line="276" w:lineRule="auto"/>
        <w:jc w:val="both"/>
        <w:rPr>
          <w:rFonts w:ascii="Tahoma" w:hAnsi="Tahoma" w:cs="Tahoma"/>
          <w:sz w:val="24"/>
          <w:szCs w:val="24"/>
        </w:rPr>
      </w:pPr>
    </w:p>
    <w:p w:rsidR="00350600" w:rsidRPr="009D1977" w:rsidRDefault="00002C2A"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2.4 La familia fue descendiendo financieramente y se vio obligada a vender la casa de Santa Juana, estrato 5, y comprar otra en el barrio Alta Vista, estrato 3, con el fin de pagar la hipoteca y otras deudas</w:t>
      </w:r>
      <w:r w:rsidR="00350600" w:rsidRPr="009D1977">
        <w:rPr>
          <w:rFonts w:ascii="Tahoma" w:hAnsi="Tahoma" w:cs="Tahoma"/>
          <w:sz w:val="24"/>
          <w:szCs w:val="24"/>
        </w:rPr>
        <w:t xml:space="preserve">, entre ellas una nueva para mejorar la última vivienda, la que también se garantizó con hipoteca, préstamo que fue aprobado mediante oficio del 11 de agosto </w:t>
      </w:r>
      <w:r w:rsidR="00FF30B4" w:rsidRPr="009D1977">
        <w:rPr>
          <w:rFonts w:ascii="Tahoma" w:hAnsi="Tahoma" w:cs="Tahoma"/>
          <w:sz w:val="24"/>
          <w:szCs w:val="24"/>
        </w:rPr>
        <w:t>d</w:t>
      </w:r>
      <w:r w:rsidR="00350600" w:rsidRPr="009D1977">
        <w:rPr>
          <w:rFonts w:ascii="Tahoma" w:hAnsi="Tahoma" w:cs="Tahoma"/>
          <w:sz w:val="24"/>
          <w:szCs w:val="24"/>
        </w:rPr>
        <w:t>e 2014</w:t>
      </w:r>
      <w:r w:rsidR="00FF30B4" w:rsidRPr="009D1977">
        <w:rPr>
          <w:rFonts w:ascii="Tahoma" w:hAnsi="Tahoma" w:cs="Tahoma"/>
          <w:sz w:val="24"/>
          <w:szCs w:val="24"/>
        </w:rPr>
        <w:t>; es decir, con posterioridad al agravamiento de las patologías de ansiedad y depresión y que se adquirió  con el fin de seguir cumpliendo los dos préstamos vigentes y cuatro tarjetas de crédito que les habían sido entregadas. Fue así como nació el crédito hipotecario No. 0013-070</w:t>
      </w:r>
      <w:r w:rsidR="00F552BF" w:rsidRPr="009D1977">
        <w:rPr>
          <w:rFonts w:ascii="Tahoma" w:hAnsi="Tahoma" w:cs="Tahoma"/>
          <w:sz w:val="24"/>
          <w:szCs w:val="24"/>
        </w:rPr>
        <w:t>3-75-9600273524 por $80.000.000, con el cual, además, el Banco entregó</w:t>
      </w:r>
      <w:r w:rsidR="001C0E81" w:rsidRPr="009D1977">
        <w:rPr>
          <w:rFonts w:ascii="Tahoma" w:hAnsi="Tahoma" w:cs="Tahoma"/>
          <w:sz w:val="24"/>
          <w:szCs w:val="24"/>
        </w:rPr>
        <w:t>,</w:t>
      </w:r>
      <w:r w:rsidR="00F552BF" w:rsidRPr="009D1977">
        <w:rPr>
          <w:rFonts w:ascii="Tahoma" w:hAnsi="Tahoma" w:cs="Tahoma"/>
          <w:sz w:val="24"/>
          <w:szCs w:val="24"/>
        </w:rPr>
        <w:t xml:space="preserve"> de manera unilateral</w:t>
      </w:r>
      <w:r w:rsidR="001C0E81" w:rsidRPr="009D1977">
        <w:rPr>
          <w:rFonts w:ascii="Tahoma" w:hAnsi="Tahoma" w:cs="Tahoma"/>
          <w:sz w:val="24"/>
          <w:szCs w:val="24"/>
        </w:rPr>
        <w:t>,</w:t>
      </w:r>
      <w:r w:rsidR="00F552BF" w:rsidRPr="009D1977">
        <w:rPr>
          <w:rFonts w:ascii="Tahoma" w:hAnsi="Tahoma" w:cs="Tahoma"/>
          <w:sz w:val="24"/>
          <w:szCs w:val="24"/>
        </w:rPr>
        <w:t xml:space="preserve"> cuatro tarjetas de crédito; dos </w:t>
      </w:r>
      <w:r w:rsidR="001C0E81" w:rsidRPr="009D1977">
        <w:rPr>
          <w:rFonts w:ascii="Tahoma" w:hAnsi="Tahoma" w:cs="Tahoma"/>
          <w:sz w:val="24"/>
          <w:szCs w:val="24"/>
        </w:rPr>
        <w:t xml:space="preserve">para </w:t>
      </w:r>
      <w:r w:rsidR="00F552BF" w:rsidRPr="009D1977">
        <w:rPr>
          <w:rFonts w:ascii="Tahoma" w:hAnsi="Tahoma" w:cs="Tahoma"/>
          <w:sz w:val="24"/>
          <w:szCs w:val="24"/>
        </w:rPr>
        <w:t>cada uno de los esposos.</w:t>
      </w:r>
    </w:p>
    <w:p w:rsidR="00F552BF" w:rsidRPr="009D1977" w:rsidRDefault="00F552BF" w:rsidP="009D1977">
      <w:pPr>
        <w:pStyle w:val="Textoindependiente21"/>
        <w:spacing w:line="276" w:lineRule="auto"/>
        <w:jc w:val="both"/>
        <w:rPr>
          <w:rFonts w:ascii="Tahoma" w:hAnsi="Tahoma" w:cs="Tahoma"/>
          <w:sz w:val="24"/>
          <w:szCs w:val="24"/>
        </w:rPr>
      </w:pPr>
    </w:p>
    <w:p w:rsidR="00F552BF" w:rsidRPr="009D1977" w:rsidRDefault="00B330ED"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2.5</w:t>
      </w:r>
      <w:r w:rsidR="00F552BF" w:rsidRPr="009D1977">
        <w:rPr>
          <w:rFonts w:ascii="Tahoma" w:hAnsi="Tahoma" w:cs="Tahoma"/>
          <w:sz w:val="24"/>
          <w:szCs w:val="24"/>
        </w:rPr>
        <w:t xml:space="preserve"> Para el 3 de diciembre de 2014 las patologías del señor </w:t>
      </w:r>
      <w:proofErr w:type="spellStart"/>
      <w:r w:rsidR="00F552BF" w:rsidRPr="009D1977">
        <w:rPr>
          <w:rFonts w:ascii="Tahoma" w:hAnsi="Tahoma" w:cs="Tahoma"/>
          <w:sz w:val="24"/>
          <w:szCs w:val="24"/>
        </w:rPr>
        <w:t>Gartner</w:t>
      </w:r>
      <w:proofErr w:type="spellEnd"/>
      <w:r w:rsidR="00F552BF" w:rsidRPr="009D1977">
        <w:rPr>
          <w:rFonts w:ascii="Tahoma" w:hAnsi="Tahoma" w:cs="Tahoma"/>
          <w:sz w:val="24"/>
          <w:szCs w:val="24"/>
        </w:rPr>
        <w:t xml:space="preserve"> empeoraron, fue remitido al Hospital Mental de Risaralda </w:t>
      </w:r>
      <w:proofErr w:type="spellStart"/>
      <w:r w:rsidR="00F552BF" w:rsidRPr="009D1977">
        <w:rPr>
          <w:rFonts w:ascii="Tahoma" w:hAnsi="Tahoma" w:cs="Tahoma"/>
          <w:sz w:val="24"/>
          <w:szCs w:val="24"/>
        </w:rPr>
        <w:t>HOMERIS</w:t>
      </w:r>
      <w:proofErr w:type="spellEnd"/>
      <w:r w:rsidR="00F552BF" w:rsidRPr="009D1977">
        <w:rPr>
          <w:rFonts w:ascii="Tahoma" w:hAnsi="Tahoma" w:cs="Tahoma"/>
          <w:sz w:val="24"/>
          <w:szCs w:val="24"/>
        </w:rPr>
        <w:t>, pasando del trauma de ansiedad generalizada y depresión a trastorno bipolar efectivo y esquizofrenia, l</w:t>
      </w:r>
      <w:r w:rsidR="001C0E81" w:rsidRPr="009D1977">
        <w:rPr>
          <w:rFonts w:ascii="Tahoma" w:hAnsi="Tahoma" w:cs="Tahoma"/>
          <w:sz w:val="24"/>
          <w:szCs w:val="24"/>
        </w:rPr>
        <w:t>as que le generaban incapacidad</w:t>
      </w:r>
      <w:r w:rsidRPr="009D1977">
        <w:rPr>
          <w:rFonts w:ascii="Tahoma" w:hAnsi="Tahoma" w:cs="Tahoma"/>
          <w:sz w:val="24"/>
          <w:szCs w:val="24"/>
        </w:rPr>
        <w:t xml:space="preserve"> como se consigna en la historia clínica cuyo contenido para esa fecha transcribe,</w:t>
      </w:r>
      <w:r w:rsidR="00F552BF" w:rsidRPr="009D1977">
        <w:rPr>
          <w:rFonts w:ascii="Tahoma" w:hAnsi="Tahoma" w:cs="Tahoma"/>
          <w:sz w:val="24"/>
          <w:szCs w:val="24"/>
        </w:rPr>
        <w:t xml:space="preserve"> lo que no sucedía con la primera </w:t>
      </w:r>
      <w:r w:rsidRPr="009D1977">
        <w:rPr>
          <w:rFonts w:ascii="Tahoma" w:hAnsi="Tahoma" w:cs="Tahoma"/>
          <w:sz w:val="24"/>
          <w:szCs w:val="24"/>
        </w:rPr>
        <w:t xml:space="preserve">patología </w:t>
      </w:r>
      <w:r w:rsidR="001C0E81" w:rsidRPr="009D1977">
        <w:rPr>
          <w:rFonts w:ascii="Tahoma" w:hAnsi="Tahoma" w:cs="Tahoma"/>
          <w:sz w:val="24"/>
          <w:szCs w:val="24"/>
        </w:rPr>
        <w:t>y con la depresión. P</w:t>
      </w:r>
      <w:r w:rsidR="00F552BF" w:rsidRPr="009D1977">
        <w:rPr>
          <w:rFonts w:ascii="Tahoma" w:hAnsi="Tahoma" w:cs="Tahoma"/>
          <w:sz w:val="24"/>
          <w:szCs w:val="24"/>
        </w:rPr>
        <w:t>or eso, en ningún momento, desde 2008, se había adelantado trámite ante la Junta de Calificación de Invalidez</w:t>
      </w:r>
      <w:r w:rsidR="000D3422" w:rsidRPr="009D1977">
        <w:rPr>
          <w:rFonts w:ascii="Tahoma" w:hAnsi="Tahoma" w:cs="Tahoma"/>
          <w:sz w:val="24"/>
          <w:szCs w:val="24"/>
        </w:rPr>
        <w:t xml:space="preserve"> ni ante la aseguradora.</w:t>
      </w:r>
    </w:p>
    <w:p w:rsidR="00B330ED" w:rsidRPr="009D1977" w:rsidRDefault="00B330ED" w:rsidP="009D1977">
      <w:pPr>
        <w:pStyle w:val="Textoindependiente21"/>
        <w:spacing w:line="276" w:lineRule="auto"/>
        <w:jc w:val="both"/>
        <w:rPr>
          <w:rFonts w:ascii="Tahoma" w:hAnsi="Tahoma" w:cs="Tahoma"/>
          <w:sz w:val="24"/>
          <w:szCs w:val="24"/>
        </w:rPr>
      </w:pPr>
    </w:p>
    <w:p w:rsidR="00B330ED" w:rsidRPr="009D1977" w:rsidRDefault="00B330ED"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2.6 Dada esa nueva situación, el citado señor fue remitido a esa Junta que calificó su incapacidad en el 50.83% el 20 de abril de 2015, al encontrar, entre otras, las siguientes patologías: “</w:t>
      </w:r>
      <w:r w:rsidRPr="009D1977">
        <w:rPr>
          <w:rFonts w:ascii="Tahoma" w:hAnsi="Tahoma" w:cs="Tahoma"/>
          <w:sz w:val="22"/>
          <w:szCs w:val="24"/>
        </w:rPr>
        <w:t xml:space="preserve">Trastorno mental y comportamiento ejes I y II, </w:t>
      </w:r>
      <w:proofErr w:type="spellStart"/>
      <w:r w:rsidRPr="009D1977">
        <w:rPr>
          <w:rFonts w:ascii="Tahoma" w:hAnsi="Tahoma" w:cs="Tahoma"/>
          <w:sz w:val="22"/>
          <w:szCs w:val="24"/>
        </w:rPr>
        <w:t>F411</w:t>
      </w:r>
      <w:proofErr w:type="spellEnd"/>
      <w:r w:rsidRPr="009D1977">
        <w:rPr>
          <w:rFonts w:ascii="Tahoma" w:hAnsi="Tahoma" w:cs="Tahoma"/>
          <w:sz w:val="22"/>
          <w:szCs w:val="24"/>
        </w:rPr>
        <w:t xml:space="preserve">  Trastorno de Ansiedad Generalizada y depresión, </w:t>
      </w:r>
      <w:proofErr w:type="spellStart"/>
      <w:r w:rsidRPr="009D1977">
        <w:rPr>
          <w:rFonts w:ascii="Tahoma" w:hAnsi="Tahoma" w:cs="Tahoma"/>
          <w:sz w:val="22"/>
          <w:szCs w:val="24"/>
        </w:rPr>
        <w:t>F605</w:t>
      </w:r>
      <w:proofErr w:type="spellEnd"/>
      <w:r w:rsidRPr="009D1977">
        <w:rPr>
          <w:rFonts w:ascii="Tahoma" w:hAnsi="Tahoma" w:cs="Tahoma"/>
          <w:sz w:val="22"/>
          <w:szCs w:val="24"/>
        </w:rPr>
        <w:t xml:space="preserve"> Trastorno </w:t>
      </w:r>
      <w:proofErr w:type="spellStart"/>
      <w:r w:rsidRPr="009D1977">
        <w:rPr>
          <w:rFonts w:ascii="Tahoma" w:hAnsi="Tahoma" w:cs="Tahoma"/>
          <w:sz w:val="22"/>
          <w:szCs w:val="24"/>
        </w:rPr>
        <w:t>Anancástico</w:t>
      </w:r>
      <w:proofErr w:type="spellEnd"/>
      <w:r w:rsidRPr="009D1977">
        <w:rPr>
          <w:rFonts w:ascii="Tahoma" w:hAnsi="Tahoma" w:cs="Tahoma"/>
          <w:sz w:val="22"/>
          <w:szCs w:val="24"/>
        </w:rPr>
        <w:t xml:space="preserve"> de la Personalidad, </w:t>
      </w:r>
      <w:proofErr w:type="spellStart"/>
      <w:r w:rsidRPr="009D1977">
        <w:rPr>
          <w:rFonts w:ascii="Tahoma" w:hAnsi="Tahoma" w:cs="Tahoma"/>
          <w:sz w:val="22"/>
          <w:szCs w:val="24"/>
        </w:rPr>
        <w:t>F318</w:t>
      </w:r>
      <w:proofErr w:type="spellEnd"/>
      <w:r w:rsidRPr="009D1977">
        <w:rPr>
          <w:rFonts w:ascii="Tahoma" w:hAnsi="Tahoma" w:cs="Tahoma"/>
          <w:sz w:val="22"/>
          <w:szCs w:val="24"/>
        </w:rPr>
        <w:t xml:space="preserve"> Otros Trastornos Afectivos Bipolares. </w:t>
      </w:r>
      <w:proofErr w:type="spellStart"/>
      <w:r w:rsidRPr="009D1977">
        <w:rPr>
          <w:rFonts w:ascii="Tahoma" w:hAnsi="Tahoma" w:cs="Tahoma"/>
          <w:sz w:val="22"/>
          <w:szCs w:val="24"/>
        </w:rPr>
        <w:t>K297</w:t>
      </w:r>
      <w:proofErr w:type="spellEnd"/>
      <w:r w:rsidRPr="009D1977">
        <w:rPr>
          <w:rFonts w:ascii="Tahoma" w:hAnsi="Tahoma" w:cs="Tahoma"/>
          <w:sz w:val="22"/>
          <w:szCs w:val="24"/>
        </w:rPr>
        <w:t xml:space="preserve"> Gastritis, no especificada</w:t>
      </w:r>
      <w:r w:rsidRPr="009D1977">
        <w:rPr>
          <w:rFonts w:ascii="Tahoma" w:hAnsi="Tahoma" w:cs="Tahoma"/>
          <w:sz w:val="24"/>
          <w:szCs w:val="24"/>
        </w:rPr>
        <w:t>”</w:t>
      </w:r>
      <w:r w:rsidR="009D1977">
        <w:rPr>
          <w:rFonts w:ascii="Tahoma" w:hAnsi="Tahoma" w:cs="Tahoma"/>
          <w:sz w:val="24"/>
          <w:szCs w:val="24"/>
        </w:rPr>
        <w:t>.</w:t>
      </w:r>
    </w:p>
    <w:p w:rsidR="00B330ED" w:rsidRPr="009D1977" w:rsidRDefault="00B330ED" w:rsidP="009D1977">
      <w:pPr>
        <w:pStyle w:val="Textoindependiente21"/>
        <w:spacing w:line="276" w:lineRule="auto"/>
        <w:jc w:val="both"/>
        <w:rPr>
          <w:rFonts w:ascii="Tahoma" w:hAnsi="Tahoma" w:cs="Tahoma"/>
          <w:sz w:val="24"/>
          <w:szCs w:val="24"/>
        </w:rPr>
      </w:pPr>
    </w:p>
    <w:p w:rsidR="00B330ED" w:rsidRPr="009D1977" w:rsidRDefault="00B330ED"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2.7 Inició ante la aseguradora demandada el trámite tendiente a hacer efectivos los seguros de vida que la entidad bancaria obliga adquirir cuando otorga un préstamo, que incluyen la invalidez de alguno de los deudores</w:t>
      </w:r>
      <w:r w:rsidR="00175145" w:rsidRPr="009D1977">
        <w:rPr>
          <w:rFonts w:ascii="Tahoma" w:hAnsi="Tahoma" w:cs="Tahoma"/>
          <w:sz w:val="24"/>
          <w:szCs w:val="24"/>
        </w:rPr>
        <w:t>, pero su petición fue negada porque el tomador no fue sincero al denunciar el estado del riesgo, lo que no</w:t>
      </w:r>
      <w:r w:rsidR="001C0E81" w:rsidRPr="009D1977">
        <w:rPr>
          <w:rFonts w:ascii="Tahoma" w:hAnsi="Tahoma" w:cs="Tahoma"/>
          <w:sz w:val="24"/>
          <w:szCs w:val="24"/>
        </w:rPr>
        <w:t xml:space="preserve"> corresponde a la realidad, </w:t>
      </w:r>
      <w:r w:rsidR="00175145" w:rsidRPr="009D1977">
        <w:rPr>
          <w:rFonts w:ascii="Tahoma" w:hAnsi="Tahoma" w:cs="Tahoma"/>
          <w:sz w:val="24"/>
          <w:szCs w:val="24"/>
        </w:rPr>
        <w:t xml:space="preserve">pues aunque Jorge Humberto </w:t>
      </w:r>
      <w:proofErr w:type="spellStart"/>
      <w:r w:rsidR="00175145" w:rsidRPr="009D1977">
        <w:rPr>
          <w:rFonts w:ascii="Tahoma" w:hAnsi="Tahoma" w:cs="Tahoma"/>
          <w:sz w:val="24"/>
          <w:szCs w:val="24"/>
        </w:rPr>
        <w:t>Gartner</w:t>
      </w:r>
      <w:proofErr w:type="spellEnd"/>
      <w:r w:rsidR="00175145" w:rsidRPr="009D1977">
        <w:rPr>
          <w:rFonts w:ascii="Tahoma" w:hAnsi="Tahoma" w:cs="Tahoma"/>
          <w:sz w:val="24"/>
          <w:szCs w:val="24"/>
        </w:rPr>
        <w:t xml:space="preserve"> López venía siendo tratado por ansiedad y episodios de depresión desde el año 2008 “</w:t>
      </w:r>
      <w:r w:rsidR="00175145" w:rsidRPr="009D1977">
        <w:rPr>
          <w:rFonts w:ascii="Tahoma" w:hAnsi="Tahoma" w:cs="Tahoma"/>
          <w:sz w:val="22"/>
          <w:szCs w:val="24"/>
        </w:rPr>
        <w:t>y ese crédito, aunque tuvo que vender la casa, fue cubierto en su totalidad. Su conciencia de no tener enfermedades mentales como normalmente se entiende, era evidente, pues en ningún momento se tramitó ni se elevó reclamación del seguro</w:t>
      </w:r>
      <w:r w:rsidR="00175145" w:rsidRPr="009D1977">
        <w:rPr>
          <w:rFonts w:ascii="Tahoma" w:hAnsi="Tahoma" w:cs="Tahoma"/>
          <w:sz w:val="24"/>
          <w:szCs w:val="24"/>
        </w:rPr>
        <w:t>”.</w:t>
      </w:r>
    </w:p>
    <w:p w:rsidR="00175145" w:rsidRPr="009D1977" w:rsidRDefault="00175145" w:rsidP="009D1977">
      <w:pPr>
        <w:pStyle w:val="Textoindependiente21"/>
        <w:spacing w:line="276" w:lineRule="auto"/>
        <w:jc w:val="both"/>
        <w:rPr>
          <w:rFonts w:ascii="Tahoma" w:hAnsi="Tahoma" w:cs="Tahoma"/>
          <w:sz w:val="24"/>
          <w:szCs w:val="24"/>
        </w:rPr>
      </w:pPr>
    </w:p>
    <w:p w:rsidR="00175145" w:rsidRPr="009D1977" w:rsidRDefault="00175145"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2.8 La pregunta formulada en la solicitud para obtener el seguro, en el sentido de si sufr</w:t>
      </w:r>
      <w:r w:rsidR="00051855" w:rsidRPr="009D1977">
        <w:rPr>
          <w:rFonts w:ascii="Tahoma" w:hAnsi="Tahoma" w:cs="Tahoma"/>
          <w:sz w:val="24"/>
          <w:szCs w:val="24"/>
        </w:rPr>
        <w:t>ía alguna i</w:t>
      </w:r>
      <w:r w:rsidRPr="009D1977">
        <w:rPr>
          <w:rFonts w:ascii="Tahoma" w:hAnsi="Tahoma" w:cs="Tahoma"/>
          <w:sz w:val="24"/>
          <w:szCs w:val="24"/>
        </w:rPr>
        <w:t>ncapacidad física o mental, trastornos mentales o psiquiátricos es ambigua, deja al interrog</w:t>
      </w:r>
      <w:r w:rsidR="001C0E81" w:rsidRPr="009D1977">
        <w:rPr>
          <w:rFonts w:ascii="Tahoma" w:hAnsi="Tahoma" w:cs="Tahoma"/>
          <w:sz w:val="24"/>
          <w:szCs w:val="24"/>
        </w:rPr>
        <w:t xml:space="preserve">ado sin ninguna claridad por ser </w:t>
      </w:r>
      <w:r w:rsidRPr="009D1977">
        <w:rPr>
          <w:rFonts w:ascii="Tahoma" w:hAnsi="Tahoma" w:cs="Tahoma"/>
          <w:sz w:val="24"/>
          <w:szCs w:val="24"/>
        </w:rPr>
        <w:t xml:space="preserve">amplia y se pregunta quién no </w:t>
      </w:r>
      <w:r w:rsidR="00051855" w:rsidRPr="009D1977">
        <w:rPr>
          <w:rFonts w:ascii="Tahoma" w:hAnsi="Tahoma" w:cs="Tahoma"/>
          <w:sz w:val="24"/>
          <w:szCs w:val="24"/>
        </w:rPr>
        <w:t>ha tenido stress o ansiedad o episodio de depresión, lo que significa que toda persona ha sufrido enfermedad mental.</w:t>
      </w:r>
    </w:p>
    <w:p w:rsidR="00F552BF" w:rsidRPr="009D1977" w:rsidRDefault="00F552BF" w:rsidP="009D1977">
      <w:pPr>
        <w:pStyle w:val="Textoindependiente21"/>
        <w:spacing w:line="276" w:lineRule="auto"/>
        <w:jc w:val="both"/>
        <w:rPr>
          <w:rFonts w:ascii="Tahoma" w:hAnsi="Tahoma" w:cs="Tahoma"/>
          <w:sz w:val="24"/>
          <w:szCs w:val="24"/>
        </w:rPr>
      </w:pPr>
    </w:p>
    <w:p w:rsidR="00051855" w:rsidRPr="009D1977" w:rsidRDefault="00051855"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 xml:space="preserve">2.9 Ese interrogatorio no lo hicieron funcionarios de la aseguradora como lo exige el artículo 1058 (sic), sino del Banco y en sus propias instalaciones; el interrogatorio </w:t>
      </w:r>
      <w:r w:rsidRPr="009D1977">
        <w:rPr>
          <w:rFonts w:ascii="Tahoma" w:hAnsi="Tahoma" w:cs="Tahoma"/>
          <w:sz w:val="24"/>
          <w:szCs w:val="24"/>
        </w:rPr>
        <w:lastRenderedPageBreak/>
        <w:t>“</w:t>
      </w:r>
      <w:r w:rsidRPr="009D1977">
        <w:rPr>
          <w:rFonts w:ascii="Tahoma" w:hAnsi="Tahoma" w:cs="Tahoma"/>
          <w:sz w:val="22"/>
          <w:szCs w:val="24"/>
        </w:rPr>
        <w:t>no se efectúa</w:t>
      </w:r>
      <w:r w:rsidRPr="009D1977">
        <w:rPr>
          <w:rFonts w:ascii="Tahoma" w:hAnsi="Tahoma" w:cs="Tahoma"/>
          <w:sz w:val="24"/>
          <w:szCs w:val="24"/>
        </w:rPr>
        <w:t>”; es un hecho notorio que las respuestas se van marcando de manera acelerada, ya que todo crédito traduce una bonificación para la funcionaria.</w:t>
      </w:r>
    </w:p>
    <w:p w:rsidR="001D360B" w:rsidRPr="009D1977" w:rsidRDefault="001D360B" w:rsidP="009D1977">
      <w:pPr>
        <w:pStyle w:val="Textoindependiente21"/>
        <w:spacing w:line="276" w:lineRule="auto"/>
        <w:jc w:val="both"/>
        <w:rPr>
          <w:rFonts w:ascii="Tahoma" w:hAnsi="Tahoma" w:cs="Tahoma"/>
          <w:sz w:val="24"/>
          <w:szCs w:val="24"/>
        </w:rPr>
      </w:pPr>
    </w:p>
    <w:p w:rsidR="00E1683E" w:rsidRPr="009D1977" w:rsidRDefault="001D360B"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 xml:space="preserve">2.10 Ninguno de los deudores </w:t>
      </w:r>
      <w:r w:rsidR="00E1683E" w:rsidRPr="009D1977">
        <w:rPr>
          <w:rFonts w:ascii="Tahoma" w:hAnsi="Tahoma" w:cs="Tahoma"/>
          <w:sz w:val="24"/>
          <w:szCs w:val="24"/>
        </w:rPr>
        <w:t xml:space="preserve">es </w:t>
      </w:r>
      <w:r w:rsidRPr="009D1977">
        <w:rPr>
          <w:rFonts w:ascii="Tahoma" w:hAnsi="Tahoma" w:cs="Tahoma"/>
          <w:sz w:val="24"/>
          <w:szCs w:val="24"/>
        </w:rPr>
        <w:t xml:space="preserve">tomador, </w:t>
      </w:r>
      <w:r w:rsidR="00E1683E" w:rsidRPr="009D1977">
        <w:rPr>
          <w:rFonts w:ascii="Tahoma" w:hAnsi="Tahoma" w:cs="Tahoma"/>
          <w:sz w:val="24"/>
          <w:szCs w:val="24"/>
        </w:rPr>
        <w:t xml:space="preserve">esa calidad la tiene el </w:t>
      </w:r>
      <w:r w:rsidRPr="009D1977">
        <w:rPr>
          <w:rFonts w:ascii="Tahoma" w:hAnsi="Tahoma" w:cs="Tahoma"/>
          <w:sz w:val="24"/>
          <w:szCs w:val="24"/>
        </w:rPr>
        <w:t xml:space="preserve">Banco BBVA, tal como se dijo en la acción de tutela que se promovió </w:t>
      </w:r>
      <w:r w:rsidR="00E1683E" w:rsidRPr="009D1977">
        <w:rPr>
          <w:rFonts w:ascii="Tahoma" w:hAnsi="Tahoma" w:cs="Tahoma"/>
          <w:sz w:val="24"/>
          <w:szCs w:val="24"/>
        </w:rPr>
        <w:t>por los “</w:t>
      </w:r>
      <w:r w:rsidR="00E1683E" w:rsidRPr="009D1977">
        <w:rPr>
          <w:rFonts w:ascii="Tahoma" w:hAnsi="Tahoma" w:cs="Tahoma"/>
          <w:sz w:val="22"/>
          <w:szCs w:val="24"/>
        </w:rPr>
        <w:t>estos mismos hechos</w:t>
      </w:r>
      <w:r w:rsidR="00E1683E" w:rsidRPr="009D1977">
        <w:rPr>
          <w:rFonts w:ascii="Tahoma" w:hAnsi="Tahoma" w:cs="Tahoma"/>
          <w:sz w:val="24"/>
          <w:szCs w:val="24"/>
        </w:rPr>
        <w:t>” y que fue concedida en primera y segunda instancia como mecanismo transitorio</w:t>
      </w:r>
      <w:r w:rsidR="001C0E81" w:rsidRPr="009D1977">
        <w:rPr>
          <w:rFonts w:ascii="Tahoma" w:hAnsi="Tahoma" w:cs="Tahoma"/>
          <w:sz w:val="24"/>
          <w:szCs w:val="24"/>
        </w:rPr>
        <w:t xml:space="preserve">; </w:t>
      </w:r>
      <w:r w:rsidR="00E1683E" w:rsidRPr="009D1977">
        <w:rPr>
          <w:rFonts w:ascii="Tahoma" w:hAnsi="Tahoma" w:cs="Tahoma"/>
          <w:sz w:val="24"/>
          <w:szCs w:val="24"/>
        </w:rPr>
        <w:t>de acuerdo con el artículo 1058 del Código de Comercio, es el tomador el obligado a declarar sinceramente  “</w:t>
      </w:r>
      <w:r w:rsidR="00E1683E" w:rsidRPr="009D1977">
        <w:rPr>
          <w:rFonts w:ascii="Tahoma" w:hAnsi="Tahoma" w:cs="Tahoma"/>
          <w:sz w:val="22"/>
          <w:szCs w:val="24"/>
        </w:rPr>
        <w:t>los hechos y circunstancias</w:t>
      </w:r>
      <w:r w:rsidR="00E1683E" w:rsidRPr="009D1977">
        <w:rPr>
          <w:rFonts w:ascii="Tahoma" w:hAnsi="Tahoma" w:cs="Tahoma"/>
          <w:sz w:val="24"/>
          <w:szCs w:val="24"/>
        </w:rPr>
        <w:t>”; esa obligación recae en el Banco que ha debido hacerlo a través de mecanismos como exigir la historia clínica, exámenes médicos, etc.</w:t>
      </w:r>
    </w:p>
    <w:p w:rsidR="00E1683E" w:rsidRPr="009D1977" w:rsidRDefault="00E1683E" w:rsidP="009D1977">
      <w:pPr>
        <w:pStyle w:val="Textoindependiente21"/>
        <w:spacing w:line="276" w:lineRule="auto"/>
        <w:jc w:val="both"/>
        <w:rPr>
          <w:rFonts w:ascii="Tahoma" w:hAnsi="Tahoma" w:cs="Tahoma"/>
          <w:sz w:val="24"/>
          <w:szCs w:val="24"/>
        </w:rPr>
      </w:pPr>
    </w:p>
    <w:p w:rsidR="0069485D" w:rsidRPr="009D1977" w:rsidRDefault="00E1683E"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2.11 A la aseguradora</w:t>
      </w:r>
      <w:r w:rsidR="0069485D" w:rsidRPr="009D1977">
        <w:rPr>
          <w:rFonts w:ascii="Tahoma" w:hAnsi="Tahoma" w:cs="Tahoma"/>
          <w:sz w:val="24"/>
          <w:szCs w:val="24"/>
        </w:rPr>
        <w:t xml:space="preserve"> correspondía </w:t>
      </w:r>
      <w:r w:rsidRPr="009D1977">
        <w:rPr>
          <w:rFonts w:ascii="Tahoma" w:hAnsi="Tahoma" w:cs="Tahoma"/>
          <w:sz w:val="24"/>
          <w:szCs w:val="24"/>
        </w:rPr>
        <w:t>proponer el cuestionario que deb</w:t>
      </w:r>
      <w:r w:rsidR="0069485D" w:rsidRPr="009D1977">
        <w:rPr>
          <w:rFonts w:ascii="Tahoma" w:hAnsi="Tahoma" w:cs="Tahoma"/>
          <w:sz w:val="24"/>
          <w:szCs w:val="24"/>
        </w:rPr>
        <w:t>ía absolver el tomador</w:t>
      </w:r>
      <w:r w:rsidRPr="009D1977">
        <w:rPr>
          <w:rFonts w:ascii="Tahoma" w:hAnsi="Tahoma" w:cs="Tahoma"/>
          <w:sz w:val="24"/>
          <w:szCs w:val="24"/>
        </w:rPr>
        <w:t xml:space="preserve"> de conformidad con la norma citada, pero los demandantes no tuvieron  contacto con </w:t>
      </w:r>
      <w:r w:rsidR="0069485D" w:rsidRPr="009D1977">
        <w:rPr>
          <w:rFonts w:ascii="Tahoma" w:hAnsi="Tahoma" w:cs="Tahoma"/>
          <w:sz w:val="24"/>
          <w:szCs w:val="24"/>
        </w:rPr>
        <w:t>ella, que no tiene sucursal en esta ciudad.</w:t>
      </w:r>
    </w:p>
    <w:p w:rsidR="0069485D" w:rsidRPr="009D1977" w:rsidRDefault="0069485D" w:rsidP="009D1977">
      <w:pPr>
        <w:pStyle w:val="Textoindependiente21"/>
        <w:spacing w:line="276" w:lineRule="auto"/>
        <w:jc w:val="both"/>
        <w:rPr>
          <w:rFonts w:ascii="Tahoma" w:hAnsi="Tahoma" w:cs="Tahoma"/>
          <w:sz w:val="24"/>
          <w:szCs w:val="24"/>
        </w:rPr>
      </w:pPr>
    </w:p>
    <w:p w:rsidR="0069485D" w:rsidRPr="009D1977" w:rsidRDefault="0069485D"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2.12 Está probado que los trastornos que arrojaron el estado de invalidez, se produjeron en el mes de diciembre de 2014, así se hubiese establecido una fecha de estructuración anterior, de acuerdo con la historia clínic</w:t>
      </w:r>
      <w:r w:rsidR="001C0E81" w:rsidRPr="009D1977">
        <w:rPr>
          <w:rFonts w:ascii="Tahoma" w:hAnsi="Tahoma" w:cs="Tahoma"/>
          <w:sz w:val="24"/>
          <w:szCs w:val="24"/>
        </w:rPr>
        <w:t xml:space="preserve">a, en la que </w:t>
      </w:r>
      <w:r w:rsidRPr="009D1977">
        <w:rPr>
          <w:rFonts w:ascii="Tahoma" w:hAnsi="Tahoma" w:cs="Tahoma"/>
          <w:sz w:val="24"/>
          <w:szCs w:val="24"/>
        </w:rPr>
        <w:t>en anotación del 3 de ese mes consignó el médico ser la primera vez, en cinco o seis años que lleva viendo al paciente, que lo ve con cua</w:t>
      </w:r>
      <w:r w:rsidR="00840AA6" w:rsidRPr="009D1977">
        <w:rPr>
          <w:rFonts w:ascii="Tahoma" w:hAnsi="Tahoma" w:cs="Tahoma"/>
          <w:sz w:val="24"/>
          <w:szCs w:val="24"/>
        </w:rPr>
        <w:t>d</w:t>
      </w:r>
      <w:r w:rsidRPr="009D1977">
        <w:rPr>
          <w:rFonts w:ascii="Tahoma" w:hAnsi="Tahoma" w:cs="Tahoma"/>
          <w:sz w:val="24"/>
          <w:szCs w:val="24"/>
        </w:rPr>
        <w:t>ro de hipoman</w:t>
      </w:r>
      <w:r w:rsidR="00840AA6" w:rsidRPr="009D1977">
        <w:rPr>
          <w:rFonts w:ascii="Tahoma" w:hAnsi="Tahoma" w:cs="Tahoma"/>
          <w:sz w:val="24"/>
          <w:szCs w:val="24"/>
        </w:rPr>
        <w:t>ía.</w:t>
      </w:r>
    </w:p>
    <w:p w:rsidR="00840AA6" w:rsidRPr="009D1977" w:rsidRDefault="00840AA6" w:rsidP="009D1977">
      <w:pPr>
        <w:pStyle w:val="Textoindependiente21"/>
        <w:spacing w:line="276" w:lineRule="auto"/>
        <w:jc w:val="both"/>
        <w:rPr>
          <w:rFonts w:ascii="Tahoma" w:hAnsi="Tahoma" w:cs="Tahoma"/>
          <w:sz w:val="24"/>
          <w:szCs w:val="24"/>
        </w:rPr>
      </w:pPr>
    </w:p>
    <w:p w:rsidR="00840AA6" w:rsidRPr="009D1977" w:rsidRDefault="00840AA6" w:rsidP="009D1977">
      <w:pPr>
        <w:pStyle w:val="Textoindependiente21"/>
        <w:spacing w:line="276" w:lineRule="auto"/>
        <w:jc w:val="both"/>
        <w:rPr>
          <w:rFonts w:ascii="Tahoma" w:hAnsi="Tahoma" w:cs="Tahoma"/>
          <w:sz w:val="24"/>
          <w:szCs w:val="24"/>
        </w:rPr>
      </w:pPr>
      <w:r w:rsidRPr="009D1977">
        <w:rPr>
          <w:rFonts w:ascii="Tahoma" w:hAnsi="Tahoma" w:cs="Tahoma"/>
          <w:sz w:val="24"/>
          <w:szCs w:val="24"/>
        </w:rPr>
        <w:t xml:space="preserve">2.13 Antes del 3 de diciembre </w:t>
      </w:r>
      <w:r w:rsidR="003D6954" w:rsidRPr="009D1977">
        <w:rPr>
          <w:rFonts w:ascii="Tahoma" w:hAnsi="Tahoma" w:cs="Tahoma"/>
          <w:sz w:val="24"/>
          <w:szCs w:val="24"/>
        </w:rPr>
        <w:t xml:space="preserve">de 2014 el señor </w:t>
      </w:r>
      <w:proofErr w:type="spellStart"/>
      <w:r w:rsidR="003D6954" w:rsidRPr="009D1977">
        <w:rPr>
          <w:rFonts w:ascii="Tahoma" w:hAnsi="Tahoma" w:cs="Tahoma"/>
          <w:sz w:val="24"/>
          <w:szCs w:val="24"/>
        </w:rPr>
        <w:t>Gartner</w:t>
      </w:r>
      <w:proofErr w:type="spellEnd"/>
      <w:r w:rsidR="003D6954" w:rsidRPr="009D1977">
        <w:rPr>
          <w:rFonts w:ascii="Tahoma" w:hAnsi="Tahoma" w:cs="Tahoma"/>
          <w:sz w:val="24"/>
          <w:szCs w:val="24"/>
        </w:rPr>
        <w:t xml:space="preserve"> López había manejado ansiedad generalizada, la que se asocia con stress y depresión, no era considerada enfermedad “que llevara a tener un ánimo doloso frente a su relación contractual con el banco o con la aseguradora”</w:t>
      </w:r>
      <w:r w:rsidR="00225313" w:rsidRPr="009D1977">
        <w:rPr>
          <w:rFonts w:ascii="Tahoma" w:hAnsi="Tahoma" w:cs="Tahoma"/>
          <w:sz w:val="24"/>
          <w:szCs w:val="24"/>
        </w:rPr>
        <w:t>; de haber sido así, hubiese acudido a esa patología con anterioridad, p</w:t>
      </w:r>
      <w:r w:rsidR="002475BE" w:rsidRPr="009D1977">
        <w:rPr>
          <w:rFonts w:ascii="Tahoma" w:hAnsi="Tahoma" w:cs="Tahoma"/>
          <w:sz w:val="24"/>
          <w:szCs w:val="24"/>
        </w:rPr>
        <w:t>ara hacer efectivos los seguros y hubiese omitido los pagos que realizó en los meses de marzo y abril de 2015, el mismo día en que se emitió el dictamen sobre la calificación de su invalidez y dos días después.</w:t>
      </w:r>
    </w:p>
    <w:p w:rsidR="0069485D" w:rsidRPr="009D1977" w:rsidRDefault="0069485D" w:rsidP="009D1977">
      <w:pPr>
        <w:pStyle w:val="Textoindependiente21"/>
        <w:spacing w:line="276" w:lineRule="auto"/>
        <w:jc w:val="both"/>
        <w:rPr>
          <w:rFonts w:ascii="Tahoma" w:hAnsi="Tahoma" w:cs="Tahoma"/>
          <w:sz w:val="24"/>
          <w:szCs w:val="24"/>
        </w:rPr>
      </w:pPr>
    </w:p>
    <w:p w:rsidR="00E1129F" w:rsidRPr="009D1977" w:rsidRDefault="004278B7" w:rsidP="009D1977">
      <w:pPr>
        <w:pStyle w:val="Textoindependiente"/>
        <w:spacing w:line="276" w:lineRule="auto"/>
        <w:rPr>
          <w:rFonts w:ascii="Tahoma" w:hAnsi="Tahoma" w:cs="Tahoma"/>
          <w:sz w:val="24"/>
          <w:szCs w:val="24"/>
        </w:rPr>
      </w:pPr>
      <w:r w:rsidRPr="009D1977">
        <w:rPr>
          <w:rFonts w:ascii="Tahoma" w:hAnsi="Tahoma" w:cs="Tahoma"/>
          <w:sz w:val="24"/>
          <w:szCs w:val="24"/>
        </w:rPr>
        <w:t>3.</w:t>
      </w:r>
      <w:r w:rsidR="00E1129F" w:rsidRPr="009D1977">
        <w:rPr>
          <w:rFonts w:ascii="Tahoma" w:hAnsi="Tahoma" w:cs="Tahoma"/>
          <w:sz w:val="24"/>
          <w:szCs w:val="24"/>
        </w:rPr>
        <w:t xml:space="preserve"> Admitida la demanda por auto del 18 de enero de 2016 y tr</w:t>
      </w:r>
      <w:r w:rsidR="00046F16" w:rsidRPr="009D1977">
        <w:rPr>
          <w:rFonts w:ascii="Tahoma" w:hAnsi="Tahoma" w:cs="Tahoma"/>
          <w:sz w:val="24"/>
          <w:szCs w:val="24"/>
        </w:rPr>
        <w:t>abada la relación jurídica procesal</w:t>
      </w:r>
      <w:r w:rsidR="00D22943" w:rsidRPr="009D1977">
        <w:rPr>
          <w:rFonts w:ascii="Tahoma" w:hAnsi="Tahoma" w:cs="Tahoma"/>
          <w:sz w:val="24"/>
          <w:szCs w:val="24"/>
        </w:rPr>
        <w:t>,</w:t>
      </w:r>
      <w:r w:rsidR="00046F16" w:rsidRPr="009D1977">
        <w:rPr>
          <w:rFonts w:ascii="Tahoma" w:hAnsi="Tahoma" w:cs="Tahoma"/>
          <w:sz w:val="24"/>
          <w:szCs w:val="24"/>
        </w:rPr>
        <w:t xml:space="preserve"> l</w:t>
      </w:r>
      <w:r w:rsidR="00EA4440" w:rsidRPr="009D1977">
        <w:rPr>
          <w:rFonts w:ascii="Tahoma" w:hAnsi="Tahoma" w:cs="Tahoma"/>
          <w:sz w:val="24"/>
          <w:szCs w:val="24"/>
        </w:rPr>
        <w:t>a</w:t>
      </w:r>
      <w:r w:rsidR="00E1129F" w:rsidRPr="009D1977">
        <w:rPr>
          <w:rFonts w:ascii="Tahoma" w:hAnsi="Tahoma" w:cs="Tahoma"/>
          <w:sz w:val="24"/>
          <w:szCs w:val="24"/>
        </w:rPr>
        <w:t xml:space="preserve"> compañía aseguradora dio respuesta al libelo. </w:t>
      </w:r>
      <w:r w:rsidR="00D52630" w:rsidRPr="009D1977">
        <w:rPr>
          <w:rFonts w:ascii="Tahoma" w:hAnsi="Tahoma" w:cs="Tahoma"/>
          <w:sz w:val="24"/>
          <w:szCs w:val="24"/>
        </w:rPr>
        <w:t>Respecto de la mayoría de los hechos dijo que no eran tales; a</w:t>
      </w:r>
      <w:r w:rsidR="00E1129F" w:rsidRPr="009D1977">
        <w:rPr>
          <w:rFonts w:ascii="Tahoma" w:hAnsi="Tahoma" w:cs="Tahoma"/>
          <w:sz w:val="24"/>
          <w:szCs w:val="24"/>
        </w:rPr>
        <w:t xml:space="preserve">ceptó que objetó por reticencia la reclamación hecha para hacer efectivo el </w:t>
      </w:r>
      <w:r w:rsidR="00D52630" w:rsidRPr="009D1977">
        <w:rPr>
          <w:rFonts w:ascii="Tahoma" w:hAnsi="Tahoma" w:cs="Tahoma"/>
          <w:sz w:val="24"/>
          <w:szCs w:val="24"/>
        </w:rPr>
        <w:t xml:space="preserve">pago del </w:t>
      </w:r>
      <w:r w:rsidR="001C0E81" w:rsidRPr="009D1977">
        <w:rPr>
          <w:rFonts w:ascii="Tahoma" w:hAnsi="Tahoma" w:cs="Tahoma"/>
          <w:sz w:val="24"/>
          <w:szCs w:val="24"/>
        </w:rPr>
        <w:t>s</w:t>
      </w:r>
      <w:r w:rsidR="00D52630" w:rsidRPr="009D1977">
        <w:rPr>
          <w:rFonts w:ascii="Tahoma" w:hAnsi="Tahoma" w:cs="Tahoma"/>
          <w:sz w:val="24"/>
          <w:szCs w:val="24"/>
        </w:rPr>
        <w:t>eguro</w:t>
      </w:r>
      <w:r w:rsidR="001C0E81" w:rsidRPr="009D1977">
        <w:rPr>
          <w:rFonts w:ascii="Tahoma" w:hAnsi="Tahoma" w:cs="Tahoma"/>
          <w:sz w:val="24"/>
          <w:szCs w:val="24"/>
        </w:rPr>
        <w:t>; s</w:t>
      </w:r>
      <w:r w:rsidR="00D52630" w:rsidRPr="009D1977">
        <w:rPr>
          <w:rFonts w:ascii="Tahoma" w:hAnsi="Tahoma" w:cs="Tahoma"/>
          <w:sz w:val="24"/>
          <w:szCs w:val="24"/>
        </w:rPr>
        <w:t xml:space="preserve">e opuso a las pretensiones y como excepciones de fondo </w:t>
      </w:r>
      <w:r w:rsidR="001C0E81" w:rsidRPr="009D1977">
        <w:rPr>
          <w:rFonts w:ascii="Tahoma" w:hAnsi="Tahoma" w:cs="Tahoma"/>
          <w:sz w:val="24"/>
          <w:szCs w:val="24"/>
        </w:rPr>
        <w:t xml:space="preserve">formuló las </w:t>
      </w:r>
      <w:r w:rsidR="00D52630" w:rsidRPr="009D1977">
        <w:rPr>
          <w:rFonts w:ascii="Tahoma" w:hAnsi="Tahoma" w:cs="Tahoma"/>
          <w:sz w:val="24"/>
          <w:szCs w:val="24"/>
        </w:rPr>
        <w:t>que denominó falta de legitimación en la causa por activa, nulidad relativa del contrato de seguro derivado de la reticencia y prescripción.</w:t>
      </w:r>
    </w:p>
    <w:p w:rsidR="00F401C8" w:rsidRPr="009D1977" w:rsidRDefault="00F401C8" w:rsidP="009D1977">
      <w:pPr>
        <w:pStyle w:val="Textoindependiente"/>
        <w:spacing w:line="276" w:lineRule="auto"/>
        <w:rPr>
          <w:rFonts w:ascii="Tahoma" w:hAnsi="Tahoma" w:cs="Tahoma"/>
          <w:sz w:val="24"/>
          <w:szCs w:val="24"/>
        </w:rPr>
      </w:pPr>
    </w:p>
    <w:p w:rsidR="00F401C8" w:rsidRPr="009D1977" w:rsidRDefault="00F401C8" w:rsidP="009D1977">
      <w:pPr>
        <w:pStyle w:val="Textoindependiente"/>
        <w:spacing w:line="276" w:lineRule="auto"/>
        <w:rPr>
          <w:rFonts w:ascii="Tahoma" w:hAnsi="Tahoma" w:cs="Tahoma"/>
          <w:sz w:val="24"/>
          <w:szCs w:val="24"/>
        </w:rPr>
      </w:pPr>
      <w:r w:rsidRPr="009D1977">
        <w:rPr>
          <w:rFonts w:ascii="Tahoma" w:hAnsi="Tahoma" w:cs="Tahoma"/>
          <w:sz w:val="24"/>
          <w:szCs w:val="24"/>
        </w:rPr>
        <w:t>4. Posteriormente se inte</w:t>
      </w:r>
      <w:r w:rsidR="002749E8" w:rsidRPr="009D1977">
        <w:rPr>
          <w:rFonts w:ascii="Tahoma" w:hAnsi="Tahoma" w:cs="Tahoma"/>
          <w:sz w:val="24"/>
          <w:szCs w:val="24"/>
        </w:rPr>
        <w:t>gró el contradictorio con el Banco BBVA Colombia. Por medio de apoderado dijo que no le constaban algunos hechos de la demanda; que otros no eran tal o no eran cierto</w:t>
      </w:r>
      <w:r w:rsidR="00CE1E54" w:rsidRPr="009D1977">
        <w:rPr>
          <w:rFonts w:ascii="Tahoma" w:hAnsi="Tahoma" w:cs="Tahoma"/>
          <w:sz w:val="24"/>
          <w:szCs w:val="24"/>
        </w:rPr>
        <w:t>s</w:t>
      </w:r>
      <w:r w:rsidR="002749E8" w:rsidRPr="009D1977">
        <w:rPr>
          <w:rFonts w:ascii="Tahoma" w:hAnsi="Tahoma" w:cs="Tahoma"/>
          <w:sz w:val="24"/>
          <w:szCs w:val="24"/>
        </w:rPr>
        <w:t xml:space="preserve">. Se opuso a las pretensiones y como excepciones de fondo formuló las de falta de legitimación en la causa por pasiva; imposibilidad de conformación de </w:t>
      </w:r>
      <w:proofErr w:type="spellStart"/>
      <w:r w:rsidR="002749E8" w:rsidRPr="009D1977">
        <w:rPr>
          <w:rFonts w:ascii="Tahoma" w:hAnsi="Tahoma" w:cs="Tahoma"/>
          <w:sz w:val="24"/>
          <w:szCs w:val="24"/>
        </w:rPr>
        <w:t>litisconorscio</w:t>
      </w:r>
      <w:proofErr w:type="spellEnd"/>
      <w:r w:rsidR="002749E8" w:rsidRPr="009D1977">
        <w:rPr>
          <w:rFonts w:ascii="Tahoma" w:hAnsi="Tahoma" w:cs="Tahoma"/>
          <w:sz w:val="24"/>
          <w:szCs w:val="24"/>
        </w:rPr>
        <w:t xml:space="preserve"> necesario entre el Banco BBVA Colombia S.A. y la Aseguradora BBV</w:t>
      </w:r>
      <w:r w:rsidR="00CE1E54" w:rsidRPr="009D1977">
        <w:rPr>
          <w:rFonts w:ascii="Tahoma" w:hAnsi="Tahoma" w:cs="Tahoma"/>
          <w:sz w:val="24"/>
          <w:szCs w:val="24"/>
        </w:rPr>
        <w:t>A</w:t>
      </w:r>
      <w:r w:rsidR="002749E8" w:rsidRPr="009D1977">
        <w:rPr>
          <w:rFonts w:ascii="Tahoma" w:hAnsi="Tahoma" w:cs="Tahoma"/>
          <w:sz w:val="24"/>
          <w:szCs w:val="24"/>
        </w:rPr>
        <w:t xml:space="preserve"> Seguros de Vida Colombia S.A. por pasiva; </w:t>
      </w:r>
      <w:r w:rsidR="00CE1E54" w:rsidRPr="009D1977">
        <w:rPr>
          <w:rFonts w:ascii="Tahoma" w:hAnsi="Tahoma" w:cs="Tahoma"/>
          <w:sz w:val="24"/>
          <w:szCs w:val="24"/>
        </w:rPr>
        <w:t xml:space="preserve">culpa exclusiva de los asegurados; ausencia de los requisitos o presupuestos axiológicos de la responsabilidad civil contractual; inconcurrencia de los presupuestos axiológicos de la responsabilidad civil </w:t>
      </w:r>
      <w:proofErr w:type="spellStart"/>
      <w:r w:rsidR="00CE1E54" w:rsidRPr="009D1977">
        <w:rPr>
          <w:rFonts w:ascii="Tahoma" w:hAnsi="Tahoma" w:cs="Tahoma"/>
          <w:sz w:val="24"/>
          <w:szCs w:val="24"/>
        </w:rPr>
        <w:t>aquiliana</w:t>
      </w:r>
      <w:proofErr w:type="spellEnd"/>
      <w:r w:rsidR="00CE1E54" w:rsidRPr="009D1977">
        <w:rPr>
          <w:rFonts w:ascii="Tahoma" w:hAnsi="Tahoma" w:cs="Tahoma"/>
          <w:sz w:val="24"/>
          <w:szCs w:val="24"/>
        </w:rPr>
        <w:t xml:space="preserve"> o extracontractual; ausencia del daño</w:t>
      </w:r>
      <w:r w:rsidR="004D5135" w:rsidRPr="009D1977">
        <w:rPr>
          <w:rFonts w:ascii="Tahoma" w:hAnsi="Tahoma" w:cs="Tahoma"/>
          <w:sz w:val="24"/>
          <w:szCs w:val="24"/>
        </w:rPr>
        <w:t xml:space="preserve">; ausencia de </w:t>
      </w:r>
      <w:r w:rsidR="004D5135" w:rsidRPr="009D1977">
        <w:rPr>
          <w:rFonts w:ascii="Tahoma" w:hAnsi="Tahoma" w:cs="Tahoma"/>
          <w:sz w:val="24"/>
          <w:szCs w:val="24"/>
        </w:rPr>
        <w:lastRenderedPageBreak/>
        <w:t>culpa; buena fe y cumplimiento de lo pactado en el contrato de</w:t>
      </w:r>
      <w:r w:rsidR="001C0E81" w:rsidRPr="009D1977">
        <w:rPr>
          <w:rFonts w:ascii="Tahoma" w:hAnsi="Tahoma" w:cs="Tahoma"/>
          <w:sz w:val="24"/>
          <w:szCs w:val="24"/>
        </w:rPr>
        <w:t xml:space="preserve"> mutuo</w:t>
      </w:r>
      <w:r w:rsidR="004D5135" w:rsidRPr="009D1977">
        <w:rPr>
          <w:rFonts w:ascii="Tahoma" w:hAnsi="Tahoma" w:cs="Tahoma"/>
          <w:sz w:val="24"/>
          <w:szCs w:val="24"/>
        </w:rPr>
        <w:t xml:space="preserve"> y de hipoteca; imposibilidad jurídica de cumplimiento de las pretensiones de la demanda; caducidad y prescripción; obligación contractual de los demandantes para el pago de las obligaciones aunque la asegurada rehúse el pago de las pólizas y la genérica.</w:t>
      </w:r>
    </w:p>
    <w:p w:rsidR="004D5135" w:rsidRPr="009D1977" w:rsidRDefault="004D5135" w:rsidP="009D1977">
      <w:pPr>
        <w:pStyle w:val="Textoindependiente"/>
        <w:spacing w:line="276" w:lineRule="auto"/>
        <w:rPr>
          <w:rFonts w:ascii="Tahoma" w:hAnsi="Tahoma" w:cs="Tahoma"/>
          <w:sz w:val="24"/>
          <w:szCs w:val="24"/>
        </w:rPr>
      </w:pPr>
    </w:p>
    <w:p w:rsidR="004D5135" w:rsidRPr="009D1977" w:rsidRDefault="004D5135" w:rsidP="009D1977">
      <w:pPr>
        <w:pStyle w:val="Textoindependiente"/>
        <w:spacing w:line="276" w:lineRule="auto"/>
        <w:rPr>
          <w:rFonts w:ascii="Tahoma" w:hAnsi="Tahoma" w:cs="Tahoma"/>
          <w:sz w:val="24"/>
          <w:szCs w:val="24"/>
        </w:rPr>
      </w:pPr>
      <w:r w:rsidRPr="009D1977">
        <w:rPr>
          <w:rFonts w:ascii="Tahoma" w:hAnsi="Tahoma" w:cs="Tahoma"/>
          <w:sz w:val="24"/>
          <w:szCs w:val="24"/>
        </w:rPr>
        <w:t>5. Practicadas las pruebas decretadas y escuchados los alegatos de las partes, en audiencia celebrada el 13 de agosto de 2019 se dictó la sentencia de primera sede, en ella se declaró la falta de legitimación en la causa</w:t>
      </w:r>
      <w:r w:rsidR="00743202" w:rsidRPr="009D1977">
        <w:rPr>
          <w:rFonts w:ascii="Tahoma" w:hAnsi="Tahoma" w:cs="Tahoma"/>
          <w:sz w:val="24"/>
          <w:szCs w:val="24"/>
        </w:rPr>
        <w:t xml:space="preserve"> para demandar respecto de la señora </w:t>
      </w:r>
      <w:proofErr w:type="spellStart"/>
      <w:r w:rsidR="00743202" w:rsidRPr="009D1977">
        <w:rPr>
          <w:rFonts w:ascii="Tahoma" w:hAnsi="Tahoma" w:cs="Tahoma"/>
          <w:sz w:val="24"/>
          <w:szCs w:val="24"/>
        </w:rPr>
        <w:t>Dufay</w:t>
      </w:r>
      <w:proofErr w:type="spellEnd"/>
      <w:r w:rsidR="00743202" w:rsidRPr="009D1977">
        <w:rPr>
          <w:rFonts w:ascii="Tahoma" w:hAnsi="Tahoma" w:cs="Tahoma"/>
          <w:sz w:val="24"/>
          <w:szCs w:val="24"/>
        </w:rPr>
        <w:t xml:space="preserve"> Calderón Betancourt; además, la nulidad relativa del contrato de seguros derivada de la reticencia; se desestimaron las pretensiones de la demanda y se condenó en costas a la parte demandante y a favor de la parte demandada.</w:t>
      </w:r>
    </w:p>
    <w:p w:rsidR="00EE5E06" w:rsidRPr="009D1977" w:rsidRDefault="00EE5E06" w:rsidP="009D1977">
      <w:pPr>
        <w:pStyle w:val="Textoindependiente"/>
        <w:spacing w:line="276" w:lineRule="auto"/>
        <w:rPr>
          <w:rFonts w:ascii="Tahoma" w:hAnsi="Tahoma" w:cs="Tahoma"/>
          <w:sz w:val="24"/>
          <w:szCs w:val="24"/>
        </w:rPr>
      </w:pPr>
    </w:p>
    <w:p w:rsidR="00A47754" w:rsidRPr="009D1977" w:rsidRDefault="00A47754" w:rsidP="009D1977">
      <w:pPr>
        <w:pStyle w:val="Textoindependiente"/>
        <w:spacing w:line="276" w:lineRule="auto"/>
        <w:rPr>
          <w:rFonts w:ascii="Tahoma" w:hAnsi="Tahoma" w:cs="Tahoma"/>
          <w:sz w:val="24"/>
          <w:szCs w:val="24"/>
        </w:rPr>
      </w:pPr>
      <w:r w:rsidRPr="009D1977">
        <w:rPr>
          <w:rFonts w:ascii="Tahoma" w:hAnsi="Tahoma" w:cs="Tahoma"/>
          <w:sz w:val="24"/>
          <w:szCs w:val="24"/>
        </w:rPr>
        <w:t xml:space="preserve">Para decidir así, consideró el funcionario de primera instancia que las partes estaban legitimadas en la causa, excepto la señora </w:t>
      </w:r>
      <w:proofErr w:type="spellStart"/>
      <w:r w:rsidRPr="009D1977">
        <w:rPr>
          <w:rFonts w:ascii="Tahoma" w:hAnsi="Tahoma" w:cs="Tahoma"/>
          <w:sz w:val="24"/>
          <w:szCs w:val="24"/>
        </w:rPr>
        <w:t>Dulfay</w:t>
      </w:r>
      <w:proofErr w:type="spellEnd"/>
      <w:r w:rsidRPr="009D1977">
        <w:rPr>
          <w:rFonts w:ascii="Tahoma" w:hAnsi="Tahoma" w:cs="Tahoma"/>
          <w:sz w:val="24"/>
          <w:szCs w:val="24"/>
        </w:rPr>
        <w:t xml:space="preserve"> Calderón </w:t>
      </w:r>
      <w:proofErr w:type="spellStart"/>
      <w:r w:rsidRPr="009D1977">
        <w:rPr>
          <w:rFonts w:ascii="Tahoma" w:hAnsi="Tahoma" w:cs="Tahoma"/>
          <w:sz w:val="24"/>
          <w:szCs w:val="24"/>
        </w:rPr>
        <w:t>Betancurt</w:t>
      </w:r>
      <w:proofErr w:type="spellEnd"/>
      <w:r w:rsidRPr="009D1977">
        <w:rPr>
          <w:rFonts w:ascii="Tahoma" w:hAnsi="Tahoma" w:cs="Tahoma"/>
          <w:sz w:val="24"/>
          <w:szCs w:val="24"/>
        </w:rPr>
        <w:t xml:space="preserve"> para reclamar las pretensiones relacionadas con la póliza de vida grupo deudores y que está acreditada la excepción de nulidad relativa del contrato de seguro por reticencia.</w:t>
      </w:r>
    </w:p>
    <w:p w:rsidR="00E96F51" w:rsidRPr="009D1977" w:rsidRDefault="00E96F51" w:rsidP="009D1977">
      <w:pPr>
        <w:spacing w:line="276" w:lineRule="auto"/>
        <w:jc w:val="both"/>
        <w:rPr>
          <w:rFonts w:ascii="Tahoma" w:hAnsi="Tahoma" w:cs="Tahoma"/>
        </w:rPr>
      </w:pPr>
    </w:p>
    <w:p w:rsidR="00564B06" w:rsidRPr="009D1977" w:rsidRDefault="00A47754" w:rsidP="009D1977">
      <w:pPr>
        <w:pStyle w:val="Textoindependiente"/>
        <w:spacing w:line="276" w:lineRule="auto"/>
        <w:rPr>
          <w:rFonts w:ascii="Tahoma" w:hAnsi="Tahoma" w:cs="Tahoma"/>
          <w:sz w:val="24"/>
          <w:szCs w:val="24"/>
        </w:rPr>
      </w:pPr>
      <w:r w:rsidRPr="009D1977">
        <w:rPr>
          <w:rFonts w:ascii="Tahoma" w:hAnsi="Tahoma" w:cs="Tahoma"/>
          <w:sz w:val="24"/>
          <w:szCs w:val="24"/>
        </w:rPr>
        <w:t xml:space="preserve">6. </w:t>
      </w:r>
      <w:r w:rsidR="00E96F51" w:rsidRPr="009D1977">
        <w:rPr>
          <w:rFonts w:ascii="Tahoma" w:hAnsi="Tahoma" w:cs="Tahoma"/>
          <w:sz w:val="24"/>
          <w:szCs w:val="24"/>
        </w:rPr>
        <w:t>Inconforme c</w:t>
      </w:r>
      <w:r w:rsidR="00FA6D3B" w:rsidRPr="009D1977">
        <w:rPr>
          <w:rFonts w:ascii="Tahoma" w:hAnsi="Tahoma" w:cs="Tahoma"/>
          <w:sz w:val="24"/>
          <w:szCs w:val="24"/>
        </w:rPr>
        <w:t>o</w:t>
      </w:r>
      <w:r w:rsidR="00E96F51" w:rsidRPr="009D1977">
        <w:rPr>
          <w:rFonts w:ascii="Tahoma" w:hAnsi="Tahoma" w:cs="Tahoma"/>
          <w:sz w:val="24"/>
          <w:szCs w:val="24"/>
        </w:rPr>
        <w:t>n el fallo</w:t>
      </w:r>
      <w:r w:rsidR="00D22943" w:rsidRPr="009D1977">
        <w:rPr>
          <w:rFonts w:ascii="Tahoma" w:hAnsi="Tahoma" w:cs="Tahoma"/>
          <w:sz w:val="24"/>
          <w:szCs w:val="24"/>
        </w:rPr>
        <w:t>,</w:t>
      </w:r>
      <w:r w:rsidR="00FA6D3B" w:rsidRPr="009D1977">
        <w:rPr>
          <w:rFonts w:ascii="Tahoma" w:hAnsi="Tahoma" w:cs="Tahoma"/>
          <w:sz w:val="24"/>
          <w:szCs w:val="24"/>
        </w:rPr>
        <w:t xml:space="preserve"> </w:t>
      </w:r>
      <w:r w:rsidRPr="009D1977">
        <w:rPr>
          <w:rFonts w:ascii="Tahoma" w:hAnsi="Tahoma" w:cs="Tahoma"/>
          <w:sz w:val="24"/>
          <w:szCs w:val="24"/>
        </w:rPr>
        <w:t>el</w:t>
      </w:r>
      <w:r w:rsidR="003046C7" w:rsidRPr="009D1977">
        <w:rPr>
          <w:rFonts w:ascii="Tahoma" w:hAnsi="Tahoma" w:cs="Tahoma"/>
          <w:sz w:val="24"/>
          <w:szCs w:val="24"/>
        </w:rPr>
        <w:t xml:space="preserve"> a</w:t>
      </w:r>
      <w:r w:rsidR="004B71AD" w:rsidRPr="009D1977">
        <w:rPr>
          <w:rFonts w:ascii="Tahoma" w:hAnsi="Tahoma" w:cs="Tahoma"/>
          <w:sz w:val="24"/>
          <w:szCs w:val="24"/>
        </w:rPr>
        <w:t>poderad</w:t>
      </w:r>
      <w:r w:rsidRPr="009D1977">
        <w:rPr>
          <w:rFonts w:ascii="Tahoma" w:hAnsi="Tahoma" w:cs="Tahoma"/>
          <w:sz w:val="24"/>
          <w:szCs w:val="24"/>
        </w:rPr>
        <w:t xml:space="preserve">o </w:t>
      </w:r>
      <w:r w:rsidR="004B71AD" w:rsidRPr="009D1977">
        <w:rPr>
          <w:rFonts w:ascii="Tahoma" w:hAnsi="Tahoma" w:cs="Tahoma"/>
          <w:sz w:val="24"/>
          <w:szCs w:val="24"/>
        </w:rPr>
        <w:t>de</w:t>
      </w:r>
      <w:r w:rsidRPr="009D1977">
        <w:rPr>
          <w:rFonts w:ascii="Tahoma" w:hAnsi="Tahoma" w:cs="Tahoma"/>
          <w:sz w:val="24"/>
          <w:szCs w:val="24"/>
        </w:rPr>
        <w:t xml:space="preserve"> </w:t>
      </w:r>
      <w:r w:rsidR="004B71AD" w:rsidRPr="009D1977">
        <w:rPr>
          <w:rFonts w:ascii="Tahoma" w:hAnsi="Tahoma" w:cs="Tahoma"/>
          <w:sz w:val="24"/>
          <w:szCs w:val="24"/>
        </w:rPr>
        <w:t>l</w:t>
      </w:r>
      <w:r w:rsidRPr="009D1977">
        <w:rPr>
          <w:rFonts w:ascii="Tahoma" w:hAnsi="Tahoma" w:cs="Tahoma"/>
          <w:sz w:val="24"/>
          <w:szCs w:val="24"/>
        </w:rPr>
        <w:t>os</w:t>
      </w:r>
      <w:r w:rsidR="005D7FDF" w:rsidRPr="009D1977">
        <w:rPr>
          <w:rFonts w:ascii="Tahoma" w:hAnsi="Tahoma" w:cs="Tahoma"/>
          <w:sz w:val="24"/>
          <w:szCs w:val="24"/>
        </w:rPr>
        <w:t xml:space="preserve"> </w:t>
      </w:r>
      <w:r w:rsidR="00FA6D3B" w:rsidRPr="009D1977">
        <w:rPr>
          <w:rFonts w:ascii="Tahoma" w:hAnsi="Tahoma" w:cs="Tahoma"/>
          <w:sz w:val="24"/>
          <w:szCs w:val="24"/>
        </w:rPr>
        <w:t>demanda</w:t>
      </w:r>
      <w:r w:rsidR="00D2328C" w:rsidRPr="009D1977">
        <w:rPr>
          <w:rFonts w:ascii="Tahoma" w:hAnsi="Tahoma" w:cs="Tahoma"/>
          <w:sz w:val="24"/>
          <w:szCs w:val="24"/>
        </w:rPr>
        <w:t>nte</w:t>
      </w:r>
      <w:r w:rsidRPr="009D1977">
        <w:rPr>
          <w:rFonts w:ascii="Tahoma" w:hAnsi="Tahoma" w:cs="Tahoma"/>
          <w:sz w:val="24"/>
          <w:szCs w:val="24"/>
        </w:rPr>
        <w:t>s</w:t>
      </w:r>
      <w:r w:rsidR="00BA7B64" w:rsidRPr="009D1977">
        <w:rPr>
          <w:rFonts w:ascii="Tahoma" w:hAnsi="Tahoma" w:cs="Tahoma"/>
          <w:sz w:val="24"/>
          <w:szCs w:val="24"/>
        </w:rPr>
        <w:t xml:space="preserve"> </w:t>
      </w:r>
      <w:r w:rsidR="00FA6D3B" w:rsidRPr="009D1977">
        <w:rPr>
          <w:rFonts w:ascii="Tahoma" w:hAnsi="Tahoma" w:cs="Tahoma"/>
          <w:sz w:val="24"/>
          <w:szCs w:val="24"/>
        </w:rPr>
        <w:t>lo impugn</w:t>
      </w:r>
      <w:r w:rsidR="005D7FDF" w:rsidRPr="009D1977">
        <w:rPr>
          <w:rFonts w:ascii="Tahoma" w:hAnsi="Tahoma" w:cs="Tahoma"/>
          <w:sz w:val="24"/>
          <w:szCs w:val="24"/>
        </w:rPr>
        <w:t>ó</w:t>
      </w:r>
      <w:r w:rsidR="004B71AD" w:rsidRPr="009D1977">
        <w:rPr>
          <w:rFonts w:ascii="Tahoma" w:hAnsi="Tahoma" w:cs="Tahoma"/>
          <w:sz w:val="24"/>
          <w:szCs w:val="24"/>
        </w:rPr>
        <w:t xml:space="preserve">. </w:t>
      </w:r>
      <w:r w:rsidR="00B32FD5" w:rsidRPr="009D1977">
        <w:rPr>
          <w:rFonts w:ascii="Tahoma" w:hAnsi="Tahoma" w:cs="Tahoma"/>
          <w:sz w:val="24"/>
          <w:szCs w:val="24"/>
        </w:rPr>
        <w:t xml:space="preserve">Considera, en síntesis, que no se produjo la reticencia con fundamento en la cual el juzgado declaró la referida nulidad; el señor </w:t>
      </w:r>
      <w:proofErr w:type="spellStart"/>
      <w:r w:rsidR="00B32FD5" w:rsidRPr="009D1977">
        <w:rPr>
          <w:rFonts w:ascii="Tahoma" w:hAnsi="Tahoma" w:cs="Tahoma"/>
          <w:sz w:val="24"/>
          <w:szCs w:val="24"/>
        </w:rPr>
        <w:t>Gartner</w:t>
      </w:r>
      <w:proofErr w:type="spellEnd"/>
      <w:r w:rsidR="00B32FD5" w:rsidRPr="009D1977">
        <w:rPr>
          <w:rFonts w:ascii="Tahoma" w:hAnsi="Tahoma" w:cs="Tahoma"/>
          <w:sz w:val="24"/>
          <w:szCs w:val="24"/>
        </w:rPr>
        <w:t xml:space="preserve"> López no obró de manera dolosa o con el ánimo de defraudar y por ende, se presume su buena fe la que debió ser desvirtuada por la compañía de seguros que no lo hizo.</w:t>
      </w:r>
    </w:p>
    <w:p w:rsidR="0051398A" w:rsidRPr="009D1977" w:rsidRDefault="0051398A" w:rsidP="009D1977">
      <w:pPr>
        <w:pStyle w:val="Textoindependiente"/>
        <w:spacing w:line="276" w:lineRule="auto"/>
        <w:rPr>
          <w:rFonts w:ascii="Tahoma" w:hAnsi="Tahoma" w:cs="Tahoma"/>
          <w:sz w:val="24"/>
          <w:szCs w:val="24"/>
        </w:rPr>
      </w:pPr>
    </w:p>
    <w:p w:rsidR="0018757E" w:rsidRPr="009D1977" w:rsidRDefault="0018757E" w:rsidP="009D1977">
      <w:pPr>
        <w:pStyle w:val="Ttulo1"/>
        <w:spacing w:line="276" w:lineRule="auto"/>
        <w:rPr>
          <w:rFonts w:ascii="Tahoma" w:hAnsi="Tahoma" w:cs="Tahoma"/>
          <w:sz w:val="24"/>
          <w:szCs w:val="24"/>
        </w:rPr>
      </w:pPr>
      <w:r w:rsidRPr="009D1977">
        <w:rPr>
          <w:rFonts w:ascii="Tahoma" w:hAnsi="Tahoma" w:cs="Tahoma"/>
          <w:sz w:val="24"/>
          <w:szCs w:val="24"/>
        </w:rPr>
        <w:t>CONSIDERACIONES</w:t>
      </w:r>
    </w:p>
    <w:p w:rsidR="00652C5C" w:rsidRPr="009D1977" w:rsidRDefault="00652C5C" w:rsidP="009D1977">
      <w:pPr>
        <w:pStyle w:val="Ttulo2"/>
        <w:spacing w:before="0" w:after="0" w:line="276" w:lineRule="auto"/>
        <w:rPr>
          <w:rFonts w:ascii="Tahoma" w:hAnsi="Tahoma" w:cs="Tahoma"/>
          <w:sz w:val="24"/>
          <w:szCs w:val="24"/>
        </w:rPr>
      </w:pPr>
    </w:p>
    <w:p w:rsidR="00D6168D" w:rsidRPr="009D1977" w:rsidRDefault="00B6545B" w:rsidP="009D1977">
      <w:pPr>
        <w:spacing w:line="276" w:lineRule="auto"/>
        <w:jc w:val="both"/>
        <w:rPr>
          <w:rFonts w:ascii="Tahoma" w:hAnsi="Tahoma" w:cs="Tahoma"/>
        </w:rPr>
      </w:pPr>
      <w:r w:rsidRPr="009D1977">
        <w:rPr>
          <w:rFonts w:ascii="Tahoma" w:hAnsi="Tahoma" w:cs="Tahoma"/>
        </w:rPr>
        <w:t>1.</w:t>
      </w:r>
      <w:r w:rsidR="00D6168D" w:rsidRPr="009D1977">
        <w:rPr>
          <w:rFonts w:ascii="Tahoma" w:hAnsi="Tahoma" w:cs="Tahoma"/>
        </w:rPr>
        <w:t xml:space="preserve"> </w:t>
      </w:r>
      <w:r w:rsidR="00A136CA" w:rsidRPr="009D1977">
        <w:rPr>
          <w:rFonts w:ascii="Tahoma" w:hAnsi="Tahoma" w:cs="Tahoma"/>
        </w:rPr>
        <w:t xml:space="preserve">Los presupuestos procesales para dictar sentencia de mérito se encuentran reunidos </w:t>
      </w:r>
      <w:r w:rsidR="00D6168D" w:rsidRPr="009D1977">
        <w:rPr>
          <w:rFonts w:ascii="Tahoma" w:hAnsi="Tahoma" w:cs="Tahoma"/>
        </w:rPr>
        <w:t xml:space="preserve">y ninguna </w:t>
      </w:r>
      <w:r w:rsidR="00A136CA" w:rsidRPr="009D1977">
        <w:rPr>
          <w:rFonts w:ascii="Tahoma" w:hAnsi="Tahoma" w:cs="Tahoma"/>
        </w:rPr>
        <w:t xml:space="preserve">causal de </w:t>
      </w:r>
      <w:r w:rsidR="00D6168D" w:rsidRPr="009D1977">
        <w:rPr>
          <w:rFonts w:ascii="Tahoma" w:hAnsi="Tahoma" w:cs="Tahoma"/>
        </w:rPr>
        <w:t xml:space="preserve">nulidad se </w:t>
      </w:r>
      <w:r w:rsidR="00A136CA" w:rsidRPr="009D1977">
        <w:rPr>
          <w:rFonts w:ascii="Tahoma" w:hAnsi="Tahoma" w:cs="Tahoma"/>
        </w:rPr>
        <w:t xml:space="preserve">ha </w:t>
      </w:r>
      <w:r w:rsidR="75AABB43" w:rsidRPr="009D1977">
        <w:rPr>
          <w:rFonts w:ascii="Tahoma" w:hAnsi="Tahoma" w:cs="Tahoma"/>
        </w:rPr>
        <w:t>configurado que</w:t>
      </w:r>
      <w:r w:rsidR="00D6168D" w:rsidRPr="009D1977">
        <w:rPr>
          <w:rFonts w:ascii="Tahoma" w:hAnsi="Tahoma" w:cs="Tahoma"/>
        </w:rPr>
        <w:t xml:space="preserve"> pueda afectar l</w:t>
      </w:r>
      <w:r w:rsidR="00A136CA" w:rsidRPr="009D1977">
        <w:rPr>
          <w:rFonts w:ascii="Tahoma" w:hAnsi="Tahoma" w:cs="Tahoma"/>
        </w:rPr>
        <w:t>a actuación.</w:t>
      </w:r>
    </w:p>
    <w:p w:rsidR="00D6168D" w:rsidRPr="009D1977" w:rsidRDefault="00D6168D" w:rsidP="009D1977">
      <w:pPr>
        <w:spacing w:line="276" w:lineRule="auto"/>
        <w:jc w:val="both"/>
        <w:rPr>
          <w:rFonts w:ascii="Tahoma" w:hAnsi="Tahoma" w:cs="Tahoma"/>
        </w:rPr>
      </w:pPr>
    </w:p>
    <w:p w:rsidR="004D7F78" w:rsidRPr="009D1977" w:rsidRDefault="009448CA" w:rsidP="009D1977">
      <w:pPr>
        <w:spacing w:line="276" w:lineRule="auto"/>
        <w:jc w:val="both"/>
        <w:rPr>
          <w:rFonts w:ascii="Tahoma" w:hAnsi="Tahoma" w:cs="Tahoma"/>
        </w:rPr>
      </w:pPr>
      <w:r w:rsidRPr="009D1977">
        <w:rPr>
          <w:rFonts w:ascii="Tahoma" w:hAnsi="Tahoma" w:cs="Tahoma"/>
        </w:rPr>
        <w:t>2. Además, las partes están legitimadas en la causa, aunque la señora</w:t>
      </w:r>
      <w:r w:rsidR="00FD095F" w:rsidRPr="009D1977">
        <w:rPr>
          <w:rFonts w:ascii="Tahoma" w:hAnsi="Tahoma" w:cs="Tahoma"/>
        </w:rPr>
        <w:t xml:space="preserve"> </w:t>
      </w:r>
      <w:proofErr w:type="spellStart"/>
      <w:r w:rsidR="00FD095F" w:rsidRPr="009D1977">
        <w:rPr>
          <w:rFonts w:ascii="Tahoma" w:hAnsi="Tahoma" w:cs="Tahoma"/>
        </w:rPr>
        <w:t>Dulfay</w:t>
      </w:r>
      <w:proofErr w:type="spellEnd"/>
      <w:r w:rsidR="00FD095F" w:rsidRPr="009D1977">
        <w:rPr>
          <w:rFonts w:ascii="Tahoma" w:hAnsi="Tahoma" w:cs="Tahoma"/>
        </w:rPr>
        <w:t xml:space="preserve"> Calderón </w:t>
      </w:r>
      <w:proofErr w:type="spellStart"/>
      <w:r w:rsidR="00FD095F" w:rsidRPr="009D1977">
        <w:rPr>
          <w:rFonts w:ascii="Tahoma" w:hAnsi="Tahoma" w:cs="Tahoma"/>
        </w:rPr>
        <w:t>Betancurt</w:t>
      </w:r>
      <w:proofErr w:type="spellEnd"/>
      <w:r w:rsidR="00FD095F" w:rsidRPr="009D1977">
        <w:rPr>
          <w:rFonts w:ascii="Tahoma" w:hAnsi="Tahoma" w:cs="Tahoma"/>
        </w:rPr>
        <w:t xml:space="preserve"> s</w:t>
      </w:r>
      <w:r w:rsidRPr="009D1977">
        <w:rPr>
          <w:rFonts w:ascii="Tahoma" w:hAnsi="Tahoma" w:cs="Tahoma"/>
        </w:rPr>
        <w:t>olo en relación con las pretensiones</w:t>
      </w:r>
      <w:r w:rsidR="00FD095F" w:rsidRPr="009D1977">
        <w:rPr>
          <w:rFonts w:ascii="Tahoma" w:hAnsi="Tahoma" w:cs="Tahoma"/>
        </w:rPr>
        <w:t xml:space="preserve"> dirigidas a que se declarara la existencia de lo</w:t>
      </w:r>
      <w:r w:rsidR="004D7F78" w:rsidRPr="009D1977">
        <w:rPr>
          <w:rFonts w:ascii="Tahoma" w:hAnsi="Tahoma" w:cs="Tahoma"/>
        </w:rPr>
        <w:t>s</w:t>
      </w:r>
      <w:r w:rsidR="00FD095F" w:rsidRPr="009D1977">
        <w:rPr>
          <w:rFonts w:ascii="Tahoma" w:hAnsi="Tahoma" w:cs="Tahoma"/>
        </w:rPr>
        <w:t xml:space="preserve"> contratos de mutuo que celebraron con el Banco BBVA Colombia S.A., mas no respecto de aquellas que encuentran sustento en </w:t>
      </w:r>
      <w:r w:rsidR="00A55CC7" w:rsidRPr="009D1977">
        <w:rPr>
          <w:rFonts w:ascii="Tahoma" w:hAnsi="Tahoma" w:cs="Tahoma"/>
        </w:rPr>
        <w:t>los</w:t>
      </w:r>
      <w:r w:rsidR="00FD095F" w:rsidRPr="009D1977">
        <w:rPr>
          <w:rFonts w:ascii="Tahoma" w:hAnsi="Tahoma" w:cs="Tahoma"/>
        </w:rPr>
        <w:t xml:space="preserve"> contrato</w:t>
      </w:r>
      <w:r w:rsidR="00A55CC7" w:rsidRPr="009D1977">
        <w:rPr>
          <w:rFonts w:ascii="Tahoma" w:hAnsi="Tahoma" w:cs="Tahoma"/>
        </w:rPr>
        <w:t>s</w:t>
      </w:r>
      <w:r w:rsidR="00FD095F" w:rsidRPr="009D1977">
        <w:rPr>
          <w:rFonts w:ascii="Tahoma" w:hAnsi="Tahoma" w:cs="Tahoma"/>
        </w:rPr>
        <w:t xml:space="preserve"> de seguro </w:t>
      </w:r>
      <w:r w:rsidR="004D7F78" w:rsidRPr="009D1977">
        <w:rPr>
          <w:rFonts w:ascii="Tahoma" w:hAnsi="Tahoma" w:cs="Tahoma"/>
        </w:rPr>
        <w:t xml:space="preserve">vida grupo deudores y que se dirigen contra </w:t>
      </w:r>
      <w:proofErr w:type="spellStart"/>
      <w:r w:rsidR="004D7F78" w:rsidRPr="009D1977">
        <w:rPr>
          <w:rFonts w:ascii="Tahoma" w:hAnsi="Tahoma" w:cs="Tahoma"/>
        </w:rPr>
        <w:t>BBA</w:t>
      </w:r>
      <w:proofErr w:type="spellEnd"/>
      <w:r w:rsidR="004D7F78" w:rsidRPr="009D1977">
        <w:rPr>
          <w:rFonts w:ascii="Tahoma" w:hAnsi="Tahoma" w:cs="Tahoma"/>
        </w:rPr>
        <w:t xml:space="preserve"> Seguros de Vida Colombia S.A., en razón a que </w:t>
      </w:r>
      <w:r w:rsidR="00A55CC7" w:rsidRPr="009D1977">
        <w:rPr>
          <w:rFonts w:ascii="Tahoma" w:hAnsi="Tahoma" w:cs="Tahoma"/>
        </w:rPr>
        <w:t xml:space="preserve">como asegurado </w:t>
      </w:r>
      <w:r w:rsidR="004D7F78" w:rsidRPr="009D1977">
        <w:rPr>
          <w:rFonts w:ascii="Tahoma" w:hAnsi="Tahoma" w:cs="Tahoma"/>
        </w:rPr>
        <w:t>en es</w:t>
      </w:r>
      <w:r w:rsidR="00A55CC7" w:rsidRPr="009D1977">
        <w:rPr>
          <w:rFonts w:ascii="Tahoma" w:hAnsi="Tahoma" w:cs="Tahoma"/>
        </w:rPr>
        <w:t>os</w:t>
      </w:r>
      <w:r w:rsidR="004D7F78" w:rsidRPr="009D1977">
        <w:rPr>
          <w:rFonts w:ascii="Tahoma" w:hAnsi="Tahoma" w:cs="Tahoma"/>
        </w:rPr>
        <w:t xml:space="preserve"> convenio</w:t>
      </w:r>
      <w:r w:rsidR="00A55CC7" w:rsidRPr="009D1977">
        <w:rPr>
          <w:rFonts w:ascii="Tahoma" w:hAnsi="Tahoma" w:cs="Tahoma"/>
        </w:rPr>
        <w:t xml:space="preserve">s solo figura </w:t>
      </w:r>
      <w:r w:rsidR="00EE5E06" w:rsidRPr="009D1977">
        <w:rPr>
          <w:rFonts w:ascii="Tahoma" w:hAnsi="Tahoma" w:cs="Tahoma"/>
        </w:rPr>
        <w:t xml:space="preserve">el señor Jorge Humberto </w:t>
      </w:r>
      <w:proofErr w:type="spellStart"/>
      <w:r w:rsidR="00EE5E06" w:rsidRPr="009D1977">
        <w:rPr>
          <w:rFonts w:ascii="Tahoma" w:hAnsi="Tahoma" w:cs="Tahoma"/>
        </w:rPr>
        <w:t>Gartner</w:t>
      </w:r>
      <w:proofErr w:type="spellEnd"/>
      <w:r w:rsidR="00EE5E06" w:rsidRPr="009D1977">
        <w:rPr>
          <w:rFonts w:ascii="Tahoma" w:hAnsi="Tahoma" w:cs="Tahoma"/>
        </w:rPr>
        <w:t xml:space="preserve"> López</w:t>
      </w:r>
      <w:r w:rsidR="00A55CC7" w:rsidRPr="009D1977">
        <w:rPr>
          <w:rFonts w:ascii="Tahoma" w:hAnsi="Tahoma" w:cs="Tahoma"/>
        </w:rPr>
        <w:t xml:space="preserve">, </w:t>
      </w:r>
      <w:r w:rsidR="004D7F78" w:rsidRPr="009D1977">
        <w:rPr>
          <w:rFonts w:ascii="Tahoma" w:hAnsi="Tahoma" w:cs="Tahoma"/>
        </w:rPr>
        <w:t xml:space="preserve">tal </w:t>
      </w:r>
      <w:r w:rsidRPr="009D1977">
        <w:rPr>
          <w:rFonts w:ascii="Tahoma" w:hAnsi="Tahoma" w:cs="Tahoma"/>
        </w:rPr>
        <w:t>como lo de</w:t>
      </w:r>
      <w:r w:rsidR="004D7F78" w:rsidRPr="009D1977">
        <w:rPr>
          <w:rFonts w:ascii="Tahoma" w:hAnsi="Tahoma" w:cs="Tahoma"/>
        </w:rPr>
        <w:t>dujo el juzgado de primera sede</w:t>
      </w:r>
      <w:r w:rsidR="00EE5E06" w:rsidRPr="009D1977">
        <w:rPr>
          <w:rFonts w:ascii="Tahoma" w:hAnsi="Tahoma" w:cs="Tahoma"/>
        </w:rPr>
        <w:t xml:space="preserve"> al analizar la cuestión</w:t>
      </w:r>
      <w:r w:rsidR="00A55CC7" w:rsidRPr="009D1977">
        <w:rPr>
          <w:rFonts w:ascii="Tahoma" w:hAnsi="Tahoma" w:cs="Tahoma"/>
        </w:rPr>
        <w:t xml:space="preserve"> y lo demuestran los documentos que se relacionan en el siguiente numeral.</w:t>
      </w:r>
    </w:p>
    <w:p w:rsidR="00FD095F" w:rsidRPr="009D1977" w:rsidRDefault="004D7F78" w:rsidP="009D1977">
      <w:pPr>
        <w:spacing w:line="276" w:lineRule="auto"/>
        <w:jc w:val="both"/>
        <w:rPr>
          <w:rFonts w:ascii="Tahoma" w:hAnsi="Tahoma" w:cs="Tahoma"/>
        </w:rPr>
      </w:pPr>
      <w:r w:rsidRPr="009D1977">
        <w:rPr>
          <w:rFonts w:ascii="Tahoma" w:hAnsi="Tahoma" w:cs="Tahoma"/>
        </w:rPr>
        <w:t xml:space="preserve"> </w:t>
      </w:r>
    </w:p>
    <w:p w:rsidR="004D16F0" w:rsidRPr="009D1977" w:rsidRDefault="00FD095F" w:rsidP="009D1977">
      <w:pPr>
        <w:spacing w:line="276" w:lineRule="auto"/>
        <w:jc w:val="both"/>
        <w:rPr>
          <w:rFonts w:ascii="Tahoma" w:hAnsi="Tahoma" w:cs="Tahoma"/>
        </w:rPr>
      </w:pPr>
      <w:r w:rsidRPr="009D1977">
        <w:rPr>
          <w:rFonts w:ascii="Tahoma" w:hAnsi="Tahoma" w:cs="Tahoma"/>
        </w:rPr>
        <w:t xml:space="preserve">3. </w:t>
      </w:r>
      <w:r w:rsidR="00A55CC7" w:rsidRPr="009D1977">
        <w:rPr>
          <w:rFonts w:ascii="Tahoma" w:hAnsi="Tahoma" w:cs="Tahoma"/>
        </w:rPr>
        <w:t xml:space="preserve">La </w:t>
      </w:r>
      <w:r w:rsidR="004D16F0" w:rsidRPr="009D1977">
        <w:rPr>
          <w:rFonts w:ascii="Tahoma" w:hAnsi="Tahoma" w:cs="Tahoma"/>
        </w:rPr>
        <w:t xml:space="preserve">existencia de esos contratos, que garantizan </w:t>
      </w:r>
      <w:r w:rsidR="00A55CC7" w:rsidRPr="009D1977">
        <w:rPr>
          <w:rFonts w:ascii="Tahoma" w:hAnsi="Tahoma" w:cs="Tahoma"/>
        </w:rPr>
        <w:t>dos obligaciones d</w:t>
      </w:r>
      <w:r w:rsidR="004D16F0" w:rsidRPr="009D1977">
        <w:rPr>
          <w:rFonts w:ascii="Tahoma" w:hAnsi="Tahoma" w:cs="Tahoma"/>
        </w:rPr>
        <w:t xml:space="preserve">e aquellas que se relacionan en el escrito por medio del cual se formuló la acción, </w:t>
      </w:r>
      <w:r w:rsidR="00A55CC7" w:rsidRPr="009D1977">
        <w:rPr>
          <w:rFonts w:ascii="Tahoma" w:hAnsi="Tahoma" w:cs="Tahoma"/>
        </w:rPr>
        <w:t xml:space="preserve">la acreditan las siguientes pruebas: </w:t>
      </w:r>
    </w:p>
    <w:p w:rsidR="004D16F0" w:rsidRPr="009D1977" w:rsidRDefault="004D16F0" w:rsidP="009D1977">
      <w:pPr>
        <w:spacing w:line="276" w:lineRule="auto"/>
        <w:jc w:val="both"/>
        <w:rPr>
          <w:rFonts w:ascii="Tahoma" w:hAnsi="Tahoma" w:cs="Tahoma"/>
        </w:rPr>
      </w:pPr>
    </w:p>
    <w:p w:rsidR="002B6F04" w:rsidRPr="009D1977" w:rsidRDefault="00E90812" w:rsidP="009D1977">
      <w:pPr>
        <w:spacing w:line="276" w:lineRule="auto"/>
        <w:jc w:val="both"/>
        <w:rPr>
          <w:rFonts w:ascii="Tahoma" w:hAnsi="Tahoma" w:cs="Tahoma"/>
        </w:rPr>
      </w:pPr>
      <w:r w:rsidRPr="009D1977">
        <w:rPr>
          <w:rFonts w:ascii="Tahoma" w:hAnsi="Tahoma" w:cs="Tahoma"/>
        </w:rPr>
        <w:t xml:space="preserve">3.1 Copia </w:t>
      </w:r>
      <w:r w:rsidR="00F9552F" w:rsidRPr="009D1977">
        <w:rPr>
          <w:rFonts w:ascii="Tahoma" w:hAnsi="Tahoma" w:cs="Tahoma"/>
        </w:rPr>
        <w:t xml:space="preserve">auténtica </w:t>
      </w:r>
      <w:r w:rsidRPr="009D1977">
        <w:rPr>
          <w:rFonts w:ascii="Tahoma" w:hAnsi="Tahoma" w:cs="Tahoma"/>
        </w:rPr>
        <w:t xml:space="preserve">de la solicitud </w:t>
      </w:r>
      <w:r w:rsidR="00E82096" w:rsidRPr="009D1977">
        <w:rPr>
          <w:rFonts w:ascii="Tahoma" w:hAnsi="Tahoma" w:cs="Tahoma"/>
        </w:rPr>
        <w:t>y</w:t>
      </w:r>
      <w:r w:rsidRPr="009D1977">
        <w:rPr>
          <w:rFonts w:ascii="Tahoma" w:hAnsi="Tahoma" w:cs="Tahoma"/>
        </w:rPr>
        <w:t xml:space="preserve"> certificado individual seguro vida grupo de deudores, contenido en la póliza No. 011043, </w:t>
      </w:r>
      <w:r w:rsidR="002B6F04" w:rsidRPr="009D1977">
        <w:rPr>
          <w:rFonts w:ascii="Tahoma" w:hAnsi="Tahoma" w:cs="Tahoma"/>
        </w:rPr>
        <w:t>expedida por BBVA, en la que aparece como tomador BBVA Colombia S.A. y como asegurado el s</w:t>
      </w:r>
      <w:r w:rsidRPr="009D1977">
        <w:rPr>
          <w:rFonts w:ascii="Tahoma" w:hAnsi="Tahoma" w:cs="Tahoma"/>
        </w:rPr>
        <w:t xml:space="preserve">eñor Jorge Humberto </w:t>
      </w:r>
      <w:proofErr w:type="spellStart"/>
      <w:r w:rsidRPr="009D1977">
        <w:rPr>
          <w:rFonts w:ascii="Tahoma" w:hAnsi="Tahoma" w:cs="Tahoma"/>
        </w:rPr>
        <w:lastRenderedPageBreak/>
        <w:t>Gartner</w:t>
      </w:r>
      <w:proofErr w:type="spellEnd"/>
      <w:r w:rsidRPr="009D1977">
        <w:rPr>
          <w:rFonts w:ascii="Tahoma" w:hAnsi="Tahoma" w:cs="Tahoma"/>
        </w:rPr>
        <w:t xml:space="preserve"> López, que garantiza la obligación No. </w:t>
      </w:r>
      <w:r w:rsidR="002B6F04" w:rsidRPr="009D1977">
        <w:rPr>
          <w:rFonts w:ascii="Tahoma" w:hAnsi="Tahoma" w:cs="Tahoma"/>
        </w:rPr>
        <w:t>00130703759600273524, por $80.700.000,</w:t>
      </w:r>
      <w:r w:rsidR="50CE5793" w:rsidRPr="009D1977">
        <w:rPr>
          <w:rFonts w:ascii="Tahoma" w:hAnsi="Tahoma" w:cs="Tahoma"/>
        </w:rPr>
        <w:t xml:space="preserve"> </w:t>
      </w:r>
      <w:r w:rsidR="002B6F04" w:rsidRPr="009D1977">
        <w:rPr>
          <w:rFonts w:ascii="Tahoma" w:hAnsi="Tahoma" w:cs="Tahoma"/>
        </w:rPr>
        <w:t>con vigencia desde el 21 de agosto de 2014</w:t>
      </w:r>
      <w:r w:rsidR="00EC7856" w:rsidRPr="009D1977">
        <w:rPr>
          <w:rFonts w:ascii="Tahoma" w:hAnsi="Tahoma" w:cs="Tahoma"/>
        </w:rPr>
        <w:t>, fecha en que se suscribió,</w:t>
      </w:r>
      <w:r w:rsidR="002B6F04" w:rsidRPr="009D1977">
        <w:rPr>
          <w:rFonts w:ascii="Tahoma" w:hAnsi="Tahoma" w:cs="Tahoma"/>
        </w:rPr>
        <w:t xml:space="preserve"> hasta el fin del crédito y que cubre, entre otros amparos, la incapacidad total y permanente</w:t>
      </w:r>
      <w:r w:rsidR="002B6F04" w:rsidRPr="009D1977">
        <w:rPr>
          <w:rStyle w:val="Refdenotaalpie"/>
          <w:rFonts w:ascii="Tahoma" w:hAnsi="Tahoma" w:cs="Tahoma"/>
        </w:rPr>
        <w:footnoteReference w:id="1"/>
      </w:r>
      <w:r w:rsidR="002B6F04" w:rsidRPr="009D1977">
        <w:rPr>
          <w:rFonts w:ascii="Tahoma" w:hAnsi="Tahoma" w:cs="Tahoma"/>
        </w:rPr>
        <w:t>.</w:t>
      </w:r>
      <w:r w:rsidR="000C3420" w:rsidRPr="009D1977">
        <w:rPr>
          <w:rFonts w:ascii="Tahoma" w:hAnsi="Tahoma" w:cs="Tahoma"/>
        </w:rPr>
        <w:t xml:space="preserve"> </w:t>
      </w:r>
    </w:p>
    <w:p w:rsidR="002B6F04" w:rsidRPr="009D1977" w:rsidRDefault="002B6F04" w:rsidP="009D1977">
      <w:pPr>
        <w:spacing w:line="276" w:lineRule="auto"/>
        <w:jc w:val="both"/>
        <w:rPr>
          <w:rFonts w:ascii="Tahoma" w:hAnsi="Tahoma" w:cs="Tahoma"/>
        </w:rPr>
      </w:pPr>
    </w:p>
    <w:p w:rsidR="00E90812" w:rsidRPr="009D1977" w:rsidRDefault="002B6F04" w:rsidP="009D1977">
      <w:pPr>
        <w:spacing w:line="276" w:lineRule="auto"/>
        <w:jc w:val="both"/>
        <w:rPr>
          <w:rFonts w:ascii="Tahoma" w:hAnsi="Tahoma" w:cs="Tahoma"/>
        </w:rPr>
      </w:pPr>
      <w:r w:rsidRPr="009D1977">
        <w:rPr>
          <w:rFonts w:ascii="Tahoma" w:hAnsi="Tahoma" w:cs="Tahoma"/>
        </w:rPr>
        <w:t>3.</w:t>
      </w:r>
      <w:r w:rsidR="00F26860" w:rsidRPr="009D1977">
        <w:rPr>
          <w:rFonts w:ascii="Tahoma" w:hAnsi="Tahoma" w:cs="Tahoma"/>
        </w:rPr>
        <w:t>2</w:t>
      </w:r>
      <w:r w:rsidRPr="009D1977">
        <w:rPr>
          <w:rFonts w:ascii="Tahoma" w:hAnsi="Tahoma" w:cs="Tahoma"/>
        </w:rPr>
        <w:t xml:space="preserve"> Copia </w:t>
      </w:r>
      <w:r w:rsidR="00F9552F" w:rsidRPr="009D1977">
        <w:rPr>
          <w:rFonts w:ascii="Tahoma" w:hAnsi="Tahoma" w:cs="Tahoma"/>
        </w:rPr>
        <w:t xml:space="preserve">auténtica </w:t>
      </w:r>
      <w:r w:rsidRPr="009D1977">
        <w:rPr>
          <w:rFonts w:ascii="Tahoma" w:hAnsi="Tahoma" w:cs="Tahoma"/>
        </w:rPr>
        <w:t>de la solicitud</w:t>
      </w:r>
      <w:r w:rsidR="00E82096" w:rsidRPr="009D1977">
        <w:rPr>
          <w:rFonts w:ascii="Tahoma" w:hAnsi="Tahoma" w:cs="Tahoma"/>
        </w:rPr>
        <w:t xml:space="preserve"> y </w:t>
      </w:r>
      <w:r w:rsidRPr="009D1977">
        <w:rPr>
          <w:rFonts w:ascii="Tahoma" w:hAnsi="Tahoma" w:cs="Tahoma"/>
        </w:rPr>
        <w:t xml:space="preserve">certificado individual seguro vida grupo de deudores, expedida por BBVA, en la que aparece como tomador BBVA Colombia S.A. y como asegurado el señor Jorge Humberto </w:t>
      </w:r>
      <w:proofErr w:type="spellStart"/>
      <w:r w:rsidRPr="009D1977">
        <w:rPr>
          <w:rFonts w:ascii="Tahoma" w:hAnsi="Tahoma" w:cs="Tahoma"/>
        </w:rPr>
        <w:t>Gartner</w:t>
      </w:r>
      <w:proofErr w:type="spellEnd"/>
      <w:r w:rsidRPr="009D1977">
        <w:rPr>
          <w:rFonts w:ascii="Tahoma" w:hAnsi="Tahoma" w:cs="Tahoma"/>
        </w:rPr>
        <w:t xml:space="preserve"> López, que garantiza la obligación No. 00130703729600253906, por $40.419.</w:t>
      </w:r>
      <w:r w:rsidR="7F641F44" w:rsidRPr="009D1977">
        <w:rPr>
          <w:rFonts w:ascii="Tahoma" w:hAnsi="Tahoma" w:cs="Tahoma"/>
        </w:rPr>
        <w:t>000, con</w:t>
      </w:r>
      <w:r w:rsidRPr="009D1977">
        <w:rPr>
          <w:rFonts w:ascii="Tahoma" w:hAnsi="Tahoma" w:cs="Tahoma"/>
        </w:rPr>
        <w:t xml:space="preserve"> vigencia desde el </w:t>
      </w:r>
      <w:r w:rsidR="00EC7856" w:rsidRPr="009D1977">
        <w:rPr>
          <w:rFonts w:ascii="Tahoma" w:hAnsi="Tahoma" w:cs="Tahoma"/>
        </w:rPr>
        <w:t xml:space="preserve">20 de junio de 2013, fecha en que se suscribió, </w:t>
      </w:r>
      <w:r w:rsidR="00E90812" w:rsidRPr="009D1977">
        <w:rPr>
          <w:rFonts w:ascii="Tahoma" w:hAnsi="Tahoma" w:cs="Tahoma"/>
        </w:rPr>
        <w:t xml:space="preserve">hasta el fin del crédito. Ese seguro cubre </w:t>
      </w:r>
      <w:r w:rsidRPr="009D1977">
        <w:rPr>
          <w:rFonts w:ascii="Tahoma" w:hAnsi="Tahoma" w:cs="Tahoma"/>
        </w:rPr>
        <w:t xml:space="preserve">entre otros, el </w:t>
      </w:r>
      <w:r w:rsidR="00E90812" w:rsidRPr="009D1977">
        <w:rPr>
          <w:rFonts w:ascii="Tahoma" w:hAnsi="Tahoma" w:cs="Tahoma"/>
        </w:rPr>
        <w:t>rie</w:t>
      </w:r>
      <w:r w:rsidRPr="009D1977">
        <w:rPr>
          <w:rFonts w:ascii="Tahoma" w:hAnsi="Tahoma" w:cs="Tahoma"/>
        </w:rPr>
        <w:t>s</w:t>
      </w:r>
      <w:r w:rsidR="00E90812" w:rsidRPr="009D1977">
        <w:rPr>
          <w:rFonts w:ascii="Tahoma" w:hAnsi="Tahoma" w:cs="Tahoma"/>
        </w:rPr>
        <w:t>go</w:t>
      </w:r>
      <w:r w:rsidRPr="009D1977">
        <w:rPr>
          <w:rFonts w:ascii="Tahoma" w:hAnsi="Tahoma" w:cs="Tahoma"/>
        </w:rPr>
        <w:t xml:space="preserve"> de </w:t>
      </w:r>
      <w:r w:rsidR="00E90812" w:rsidRPr="009D1977">
        <w:rPr>
          <w:rFonts w:ascii="Tahoma" w:hAnsi="Tahoma" w:cs="Tahoma"/>
        </w:rPr>
        <w:t>incapacitad total y permanente</w:t>
      </w:r>
      <w:r w:rsidRPr="009D1977">
        <w:rPr>
          <w:rStyle w:val="Refdenotaalpie"/>
          <w:rFonts w:ascii="Tahoma" w:hAnsi="Tahoma" w:cs="Tahoma"/>
        </w:rPr>
        <w:footnoteReference w:id="2"/>
      </w:r>
      <w:r w:rsidR="00E90812" w:rsidRPr="009D1977">
        <w:rPr>
          <w:rFonts w:ascii="Tahoma" w:hAnsi="Tahoma" w:cs="Tahoma"/>
        </w:rPr>
        <w:t>.</w:t>
      </w:r>
    </w:p>
    <w:p w:rsidR="00E90812" w:rsidRPr="009D1977" w:rsidRDefault="00E90812" w:rsidP="009D1977">
      <w:pPr>
        <w:spacing w:line="276" w:lineRule="auto"/>
        <w:jc w:val="both"/>
        <w:rPr>
          <w:rFonts w:ascii="Tahoma" w:hAnsi="Tahoma" w:cs="Tahoma"/>
        </w:rPr>
      </w:pPr>
    </w:p>
    <w:p w:rsidR="00F9552F" w:rsidRPr="009D1977" w:rsidRDefault="00F9552F" w:rsidP="009D1977">
      <w:pPr>
        <w:spacing w:line="276" w:lineRule="auto"/>
        <w:jc w:val="both"/>
        <w:rPr>
          <w:rFonts w:ascii="Tahoma" w:hAnsi="Tahoma" w:cs="Tahoma"/>
        </w:rPr>
      </w:pPr>
      <w:r w:rsidRPr="009D1977">
        <w:rPr>
          <w:rFonts w:ascii="Tahoma" w:hAnsi="Tahoma" w:cs="Tahoma"/>
        </w:rPr>
        <w:t>A esos documentos se les concede mérito demostrativ</w:t>
      </w:r>
      <w:r w:rsidR="00EC7856" w:rsidRPr="009D1977">
        <w:rPr>
          <w:rFonts w:ascii="Tahoma" w:hAnsi="Tahoma" w:cs="Tahoma"/>
        </w:rPr>
        <w:t xml:space="preserve">o, de acuerdo con el </w:t>
      </w:r>
      <w:r w:rsidR="6202887E" w:rsidRPr="009D1977">
        <w:rPr>
          <w:rFonts w:ascii="Tahoma" w:hAnsi="Tahoma" w:cs="Tahoma"/>
        </w:rPr>
        <w:t xml:space="preserve">inciso </w:t>
      </w:r>
      <w:proofErr w:type="spellStart"/>
      <w:r w:rsidR="6202887E" w:rsidRPr="009D1977">
        <w:rPr>
          <w:rFonts w:ascii="Tahoma" w:hAnsi="Tahoma" w:cs="Tahoma"/>
        </w:rPr>
        <w:t>2o</w:t>
      </w:r>
      <w:proofErr w:type="spellEnd"/>
      <w:r w:rsidR="6202887E" w:rsidRPr="009D1977">
        <w:rPr>
          <w:rFonts w:ascii="Tahoma" w:hAnsi="Tahoma" w:cs="Tahoma"/>
        </w:rPr>
        <w:t xml:space="preserve"> del artículo 244 </w:t>
      </w:r>
      <w:r w:rsidRPr="009D1977">
        <w:rPr>
          <w:rFonts w:ascii="Tahoma" w:hAnsi="Tahoma" w:cs="Tahoma"/>
        </w:rPr>
        <w:t xml:space="preserve">del Código </w:t>
      </w:r>
      <w:r w:rsidR="0AF7C393" w:rsidRPr="009D1977">
        <w:rPr>
          <w:rFonts w:ascii="Tahoma" w:hAnsi="Tahoma" w:cs="Tahoma"/>
        </w:rPr>
        <w:t>General del Proceso.</w:t>
      </w:r>
    </w:p>
    <w:p w:rsidR="00C54F33" w:rsidRPr="009D1977" w:rsidRDefault="00C54F33" w:rsidP="009D1977">
      <w:pPr>
        <w:spacing w:line="276" w:lineRule="auto"/>
        <w:jc w:val="both"/>
        <w:rPr>
          <w:rFonts w:ascii="Tahoma" w:hAnsi="Tahoma" w:cs="Tahoma"/>
        </w:rPr>
      </w:pPr>
    </w:p>
    <w:p w:rsidR="00C54F33" w:rsidRPr="009D1977" w:rsidRDefault="00C54F33" w:rsidP="009D1977">
      <w:pPr>
        <w:spacing w:line="276" w:lineRule="auto"/>
        <w:jc w:val="both"/>
        <w:rPr>
          <w:rFonts w:ascii="Tahoma" w:hAnsi="Tahoma" w:cs="Tahoma"/>
        </w:rPr>
      </w:pPr>
      <w:r w:rsidRPr="009D1977">
        <w:rPr>
          <w:rFonts w:ascii="Tahoma" w:hAnsi="Tahoma" w:cs="Tahoma"/>
        </w:rPr>
        <w:t xml:space="preserve">Los demandantes, en el escrito por medio del cual promovieron la acción y concretamente en el acápite de las pretensiones, hacen referencia a la existencia de otras acreencias a su cargo y a favor del banco </w:t>
      </w:r>
      <w:r w:rsidR="00D257FE" w:rsidRPr="009D1977">
        <w:rPr>
          <w:rFonts w:ascii="Tahoma" w:hAnsi="Tahoma" w:cs="Tahoma"/>
        </w:rPr>
        <w:t>BBVA Colombia S.A.</w:t>
      </w:r>
      <w:r w:rsidRPr="009D1977">
        <w:rPr>
          <w:rFonts w:ascii="Tahoma" w:hAnsi="Tahoma" w:cs="Tahoma"/>
        </w:rPr>
        <w:t>, por concepto de cuatro tarjetas de crédito, de dos de ella</w:t>
      </w:r>
      <w:r w:rsidR="00D257FE" w:rsidRPr="009D1977">
        <w:rPr>
          <w:rFonts w:ascii="Tahoma" w:hAnsi="Tahoma" w:cs="Tahoma"/>
        </w:rPr>
        <w:t>s</w:t>
      </w:r>
      <w:r w:rsidRPr="009D1977">
        <w:rPr>
          <w:rFonts w:ascii="Tahoma" w:hAnsi="Tahoma" w:cs="Tahoma"/>
        </w:rPr>
        <w:t xml:space="preserve"> es titular el señor Jorge Humberto </w:t>
      </w:r>
      <w:proofErr w:type="spellStart"/>
      <w:r w:rsidRPr="009D1977">
        <w:rPr>
          <w:rFonts w:ascii="Tahoma" w:hAnsi="Tahoma" w:cs="Tahoma"/>
        </w:rPr>
        <w:t>Gartner</w:t>
      </w:r>
      <w:proofErr w:type="spellEnd"/>
      <w:r w:rsidRPr="009D1977">
        <w:rPr>
          <w:rFonts w:ascii="Tahoma" w:hAnsi="Tahoma" w:cs="Tahoma"/>
        </w:rPr>
        <w:t xml:space="preserve"> López y de las restantes, la señora </w:t>
      </w:r>
      <w:proofErr w:type="spellStart"/>
      <w:r w:rsidRPr="009D1977">
        <w:rPr>
          <w:rFonts w:ascii="Tahoma" w:hAnsi="Tahoma" w:cs="Tahoma"/>
        </w:rPr>
        <w:t>Dulfay</w:t>
      </w:r>
      <w:proofErr w:type="spellEnd"/>
      <w:r w:rsidRPr="009D1977">
        <w:rPr>
          <w:rFonts w:ascii="Tahoma" w:hAnsi="Tahoma" w:cs="Tahoma"/>
        </w:rPr>
        <w:t xml:space="preserve"> Calderón </w:t>
      </w:r>
      <w:proofErr w:type="spellStart"/>
      <w:r w:rsidRPr="009D1977">
        <w:rPr>
          <w:rFonts w:ascii="Tahoma" w:hAnsi="Tahoma" w:cs="Tahoma"/>
        </w:rPr>
        <w:t>Betancurt</w:t>
      </w:r>
      <w:proofErr w:type="spellEnd"/>
      <w:r w:rsidRPr="009D1977">
        <w:rPr>
          <w:rFonts w:ascii="Tahoma" w:hAnsi="Tahoma" w:cs="Tahoma"/>
        </w:rPr>
        <w:t xml:space="preserve">. Sin embargo, ninguna prueba se solicitó o aportó para acreditar que estaban aseguradas en virtud de contratos celebrados con la compañía de seguros demandada. </w:t>
      </w:r>
    </w:p>
    <w:p w:rsidR="00F9552F" w:rsidRPr="009D1977" w:rsidRDefault="00F9552F" w:rsidP="009D1977">
      <w:pPr>
        <w:spacing w:line="276" w:lineRule="auto"/>
        <w:jc w:val="both"/>
        <w:rPr>
          <w:rFonts w:ascii="Tahoma" w:hAnsi="Tahoma" w:cs="Tahoma"/>
        </w:rPr>
      </w:pPr>
    </w:p>
    <w:p w:rsidR="00C572C8" w:rsidRPr="009D1977" w:rsidRDefault="00F9552F" w:rsidP="009D1977">
      <w:pPr>
        <w:spacing w:line="276" w:lineRule="auto"/>
        <w:jc w:val="both"/>
        <w:rPr>
          <w:rFonts w:ascii="Tahoma" w:hAnsi="Tahoma" w:cs="Tahoma"/>
        </w:rPr>
      </w:pPr>
      <w:r w:rsidRPr="009D1977">
        <w:rPr>
          <w:rFonts w:ascii="Tahoma" w:hAnsi="Tahoma" w:cs="Tahoma"/>
        </w:rPr>
        <w:t xml:space="preserve">4. </w:t>
      </w:r>
      <w:r w:rsidR="00C572C8" w:rsidRPr="009D1977">
        <w:rPr>
          <w:rFonts w:ascii="Tahoma" w:hAnsi="Tahoma" w:cs="Tahoma"/>
        </w:rPr>
        <w:t>Está además acreditado que la Junta de Calificación de Invalidez de Risaralda</w:t>
      </w:r>
      <w:r w:rsidR="00444AFE" w:rsidRPr="009D1977">
        <w:rPr>
          <w:rFonts w:ascii="Tahoma" w:hAnsi="Tahoma" w:cs="Tahoma"/>
        </w:rPr>
        <w:t xml:space="preserve">, en dictamen rendido el 20 de abril de 2015, </w:t>
      </w:r>
      <w:r w:rsidR="00C572C8" w:rsidRPr="009D1977">
        <w:rPr>
          <w:rFonts w:ascii="Tahoma" w:hAnsi="Tahoma" w:cs="Tahoma"/>
        </w:rPr>
        <w:t xml:space="preserve">calificó en un 50.83% la pérdida de capacidad laboral del señor Jorge Humberto </w:t>
      </w:r>
      <w:proofErr w:type="spellStart"/>
      <w:r w:rsidR="00C572C8" w:rsidRPr="009D1977">
        <w:rPr>
          <w:rFonts w:ascii="Tahoma" w:hAnsi="Tahoma" w:cs="Tahoma"/>
        </w:rPr>
        <w:t>Gartner</w:t>
      </w:r>
      <w:proofErr w:type="spellEnd"/>
      <w:r w:rsidR="00C572C8" w:rsidRPr="009D1977">
        <w:rPr>
          <w:rFonts w:ascii="Tahoma" w:hAnsi="Tahoma" w:cs="Tahoma"/>
        </w:rPr>
        <w:t xml:space="preserve"> López, con fecha de estructuración el 24 de noviembre de 2011, en dictamen rendido el 20 de abril de 2015</w:t>
      </w:r>
      <w:r w:rsidR="00C572C8" w:rsidRPr="009D1977">
        <w:rPr>
          <w:rStyle w:val="Refdenotaalpie"/>
          <w:rFonts w:ascii="Tahoma" w:hAnsi="Tahoma" w:cs="Tahoma"/>
        </w:rPr>
        <w:footnoteReference w:id="3"/>
      </w:r>
      <w:r w:rsidR="00C572C8" w:rsidRPr="009D1977">
        <w:rPr>
          <w:rFonts w:ascii="Tahoma" w:hAnsi="Tahoma" w:cs="Tahoma"/>
        </w:rPr>
        <w:t>.</w:t>
      </w:r>
    </w:p>
    <w:p w:rsidR="00C572C8" w:rsidRPr="009D1977" w:rsidRDefault="00C572C8" w:rsidP="009D1977">
      <w:pPr>
        <w:spacing w:line="276" w:lineRule="auto"/>
        <w:jc w:val="both"/>
        <w:rPr>
          <w:rFonts w:ascii="Tahoma" w:hAnsi="Tahoma" w:cs="Tahoma"/>
        </w:rPr>
      </w:pPr>
    </w:p>
    <w:p w:rsidR="00C572C8" w:rsidRPr="009D1977" w:rsidRDefault="00C572C8" w:rsidP="009D1977">
      <w:pPr>
        <w:spacing w:line="276" w:lineRule="auto"/>
        <w:jc w:val="both"/>
        <w:rPr>
          <w:rFonts w:ascii="Tahoma" w:hAnsi="Tahoma" w:cs="Tahoma"/>
        </w:rPr>
      </w:pPr>
      <w:r w:rsidRPr="009D1977">
        <w:rPr>
          <w:rFonts w:ascii="Tahoma" w:hAnsi="Tahoma" w:cs="Tahoma"/>
        </w:rPr>
        <w:t xml:space="preserve">A ese documento se le concede mérito demostrativo, de acuerdo con el </w:t>
      </w:r>
      <w:r w:rsidR="4DB0B4F1" w:rsidRPr="009D1977">
        <w:rPr>
          <w:rFonts w:ascii="Tahoma" w:hAnsi="Tahoma" w:cs="Tahoma"/>
        </w:rPr>
        <w:t xml:space="preserve">inciso </w:t>
      </w:r>
      <w:proofErr w:type="spellStart"/>
      <w:r w:rsidR="4DB0B4F1" w:rsidRPr="009D1977">
        <w:rPr>
          <w:rFonts w:ascii="Tahoma" w:hAnsi="Tahoma" w:cs="Tahoma"/>
        </w:rPr>
        <w:t>2o</w:t>
      </w:r>
      <w:proofErr w:type="spellEnd"/>
      <w:r w:rsidR="4DB0B4F1" w:rsidRPr="009D1977">
        <w:rPr>
          <w:rFonts w:ascii="Tahoma" w:hAnsi="Tahoma" w:cs="Tahoma"/>
        </w:rPr>
        <w:t xml:space="preserve"> del artículo 244 del Código General del Proceso.</w:t>
      </w:r>
    </w:p>
    <w:p w:rsidR="0181D0DC" w:rsidRPr="009D1977" w:rsidRDefault="0181D0DC" w:rsidP="009D1977">
      <w:pPr>
        <w:spacing w:line="276" w:lineRule="auto"/>
        <w:jc w:val="both"/>
        <w:rPr>
          <w:rFonts w:ascii="Tahoma" w:hAnsi="Tahoma" w:cs="Tahoma"/>
        </w:rPr>
      </w:pPr>
    </w:p>
    <w:p w:rsidR="00F9552F" w:rsidRPr="009D1977" w:rsidRDefault="00444AFE" w:rsidP="009D1977">
      <w:pPr>
        <w:spacing w:line="276" w:lineRule="auto"/>
        <w:jc w:val="both"/>
        <w:rPr>
          <w:rFonts w:ascii="Tahoma" w:hAnsi="Tahoma" w:cs="Tahoma"/>
        </w:rPr>
      </w:pPr>
      <w:r w:rsidRPr="009D1977">
        <w:rPr>
          <w:rFonts w:ascii="Tahoma" w:hAnsi="Tahoma" w:cs="Tahoma"/>
        </w:rPr>
        <w:t>5</w:t>
      </w:r>
      <w:r w:rsidR="00C572C8" w:rsidRPr="009D1977">
        <w:rPr>
          <w:rFonts w:ascii="Tahoma" w:hAnsi="Tahoma" w:cs="Tahoma"/>
        </w:rPr>
        <w:t xml:space="preserve">. También se probó que la </w:t>
      </w:r>
      <w:r w:rsidR="00F9552F" w:rsidRPr="009D1977">
        <w:rPr>
          <w:rFonts w:ascii="Tahoma" w:hAnsi="Tahoma" w:cs="Tahoma"/>
        </w:rPr>
        <w:t xml:space="preserve">compañía objetó </w:t>
      </w:r>
      <w:r w:rsidR="001E19A2" w:rsidRPr="009D1977">
        <w:rPr>
          <w:rFonts w:ascii="Tahoma" w:hAnsi="Tahoma" w:cs="Tahoma"/>
        </w:rPr>
        <w:t xml:space="preserve">por reticencia, con fundamento en el artículo 1058 del Código de Comercio, </w:t>
      </w:r>
      <w:r w:rsidR="00F9552F" w:rsidRPr="009D1977">
        <w:rPr>
          <w:rFonts w:ascii="Tahoma" w:hAnsi="Tahoma" w:cs="Tahoma"/>
        </w:rPr>
        <w:t>la reclamación hecha por el asegurado para hacer efectivo el amparo por incapacidad permanente total</w:t>
      </w:r>
      <w:r w:rsidR="001E19A2" w:rsidRPr="009D1977">
        <w:rPr>
          <w:rFonts w:ascii="Tahoma" w:hAnsi="Tahoma" w:cs="Tahoma"/>
        </w:rPr>
        <w:t xml:space="preserve"> respecto de las obligaciones a que se refieren las pólizas descritas en el numeral 3º de esta providencia, con los documentos que en copia auténtica se aportaron con la demanda</w:t>
      </w:r>
      <w:r w:rsidR="001E19A2" w:rsidRPr="009D1977">
        <w:rPr>
          <w:rStyle w:val="Refdenotaalpie"/>
          <w:rFonts w:ascii="Tahoma" w:hAnsi="Tahoma" w:cs="Tahoma"/>
        </w:rPr>
        <w:footnoteReference w:id="4"/>
      </w:r>
      <w:r w:rsidR="001E19A2" w:rsidRPr="009D1977">
        <w:rPr>
          <w:rFonts w:ascii="Tahoma" w:hAnsi="Tahoma" w:cs="Tahoma"/>
        </w:rPr>
        <w:t xml:space="preserve">, a los que también se les otorga valor demostrativo de acuerdo con el último artículo citado y en razón a que tampoco fueron tachados de falsos. </w:t>
      </w:r>
    </w:p>
    <w:p w:rsidR="001E19A2" w:rsidRPr="009D1977" w:rsidRDefault="001E19A2" w:rsidP="009D1977">
      <w:pPr>
        <w:spacing w:line="276" w:lineRule="auto"/>
        <w:jc w:val="both"/>
        <w:rPr>
          <w:rFonts w:ascii="Tahoma" w:hAnsi="Tahoma" w:cs="Tahoma"/>
        </w:rPr>
      </w:pPr>
    </w:p>
    <w:p w:rsidR="001E19A2" w:rsidRPr="009D1977" w:rsidRDefault="001E19A2" w:rsidP="009D1977">
      <w:pPr>
        <w:spacing w:line="276" w:lineRule="auto"/>
        <w:jc w:val="both"/>
        <w:rPr>
          <w:rFonts w:ascii="Tahoma" w:hAnsi="Tahoma" w:cs="Tahoma"/>
        </w:rPr>
      </w:pPr>
      <w:r w:rsidRPr="009D1977">
        <w:rPr>
          <w:rFonts w:ascii="Tahoma" w:hAnsi="Tahoma" w:cs="Tahoma"/>
        </w:rPr>
        <w:t xml:space="preserve">Concretamente indicó la referida compañía que de acuerdo con la historia clínica del citado señor, en el mes de noviembre de 2011 se consigna que tiene antecedentes de trastorno de ansiedad generalizada y en agosto de 2012 se le diagnosticó </w:t>
      </w:r>
      <w:r w:rsidRPr="009D1977">
        <w:rPr>
          <w:rFonts w:ascii="Tahoma" w:hAnsi="Tahoma" w:cs="Tahoma"/>
        </w:rPr>
        <w:lastRenderedPageBreak/>
        <w:t xml:space="preserve">trastorno mixto de ansiedad y depresión </w:t>
      </w:r>
      <w:r w:rsidR="00330CA8" w:rsidRPr="009D1977">
        <w:rPr>
          <w:rFonts w:ascii="Tahoma" w:hAnsi="Tahoma" w:cs="Tahoma"/>
        </w:rPr>
        <w:t xml:space="preserve">y que al diligenciar </w:t>
      </w:r>
      <w:r w:rsidRPr="009D1977">
        <w:rPr>
          <w:rFonts w:ascii="Tahoma" w:hAnsi="Tahoma" w:cs="Tahoma"/>
        </w:rPr>
        <w:t>la</w:t>
      </w:r>
      <w:r w:rsidR="00330CA8" w:rsidRPr="009D1977">
        <w:rPr>
          <w:rFonts w:ascii="Tahoma" w:hAnsi="Tahoma" w:cs="Tahoma"/>
        </w:rPr>
        <w:t>s</w:t>
      </w:r>
      <w:r w:rsidRPr="009D1977">
        <w:rPr>
          <w:rFonts w:ascii="Tahoma" w:hAnsi="Tahoma" w:cs="Tahoma"/>
        </w:rPr>
        <w:t xml:space="preserve"> solicitud</w:t>
      </w:r>
      <w:r w:rsidR="00330CA8" w:rsidRPr="009D1977">
        <w:rPr>
          <w:rFonts w:ascii="Tahoma" w:hAnsi="Tahoma" w:cs="Tahoma"/>
        </w:rPr>
        <w:t>es</w:t>
      </w:r>
      <w:r w:rsidRPr="009D1977">
        <w:rPr>
          <w:rFonts w:ascii="Tahoma" w:hAnsi="Tahoma" w:cs="Tahoma"/>
        </w:rPr>
        <w:t xml:space="preserve"> de Seguro de Vida Grupo Deudores, los días 20 de junio de 2013, para la acreencia 00130703729600253906 y 21 de agosto de 2014 para la distinguida con el No. 00130703759600273524</w:t>
      </w:r>
      <w:r w:rsidR="00330CA8" w:rsidRPr="009D1977">
        <w:rPr>
          <w:rFonts w:ascii="Tahoma" w:hAnsi="Tahoma" w:cs="Tahoma"/>
        </w:rPr>
        <w:t>, omitió declarar esas patologías, a pesar de que estaba obligado a hacerlo.</w:t>
      </w:r>
    </w:p>
    <w:p w:rsidR="00330CA8" w:rsidRPr="009D1977" w:rsidRDefault="00330CA8" w:rsidP="009D1977">
      <w:pPr>
        <w:spacing w:line="276" w:lineRule="auto"/>
        <w:jc w:val="both"/>
        <w:rPr>
          <w:rFonts w:ascii="Tahoma" w:hAnsi="Tahoma" w:cs="Tahoma"/>
        </w:rPr>
      </w:pPr>
    </w:p>
    <w:p w:rsidR="00330CA8" w:rsidRPr="009D1977" w:rsidRDefault="00FD095F" w:rsidP="009D1977">
      <w:pPr>
        <w:spacing w:line="276" w:lineRule="auto"/>
        <w:jc w:val="both"/>
        <w:rPr>
          <w:rFonts w:ascii="Tahoma" w:hAnsi="Tahoma" w:cs="Tahoma"/>
        </w:rPr>
      </w:pPr>
      <w:r w:rsidRPr="009D1977">
        <w:rPr>
          <w:rFonts w:ascii="Tahoma" w:hAnsi="Tahoma" w:cs="Tahoma"/>
        </w:rPr>
        <w:t xml:space="preserve">Tal hecho fue el que sirvió de sustento a la </w:t>
      </w:r>
      <w:r w:rsidR="00330CA8" w:rsidRPr="009D1977">
        <w:rPr>
          <w:rFonts w:ascii="Tahoma" w:hAnsi="Tahoma" w:cs="Tahoma"/>
        </w:rPr>
        <w:t xml:space="preserve">compañía de seguros demandada </w:t>
      </w:r>
      <w:r w:rsidRPr="009D1977">
        <w:rPr>
          <w:rFonts w:ascii="Tahoma" w:hAnsi="Tahoma" w:cs="Tahoma"/>
        </w:rPr>
        <w:t>para proponer la</w:t>
      </w:r>
      <w:r w:rsidR="00330CA8" w:rsidRPr="009D1977">
        <w:rPr>
          <w:rFonts w:ascii="Tahoma" w:hAnsi="Tahoma" w:cs="Tahoma"/>
        </w:rPr>
        <w:t xml:space="preserve"> </w:t>
      </w:r>
      <w:r w:rsidRPr="009D1977">
        <w:rPr>
          <w:rFonts w:ascii="Tahoma" w:hAnsi="Tahoma" w:cs="Tahoma"/>
        </w:rPr>
        <w:t>excepci</w:t>
      </w:r>
      <w:r w:rsidR="00330CA8" w:rsidRPr="009D1977">
        <w:rPr>
          <w:rFonts w:ascii="Tahoma" w:hAnsi="Tahoma" w:cs="Tahoma"/>
        </w:rPr>
        <w:t>ón de nulidad relativa del contrato de seguro derivado de reticencia, que se declaró probada en la sentencia de primera sede.</w:t>
      </w:r>
    </w:p>
    <w:p w:rsidR="00330CA8" w:rsidRPr="009D1977" w:rsidRDefault="00330CA8" w:rsidP="009D1977">
      <w:pPr>
        <w:spacing w:line="276" w:lineRule="auto"/>
        <w:jc w:val="both"/>
        <w:rPr>
          <w:rFonts w:ascii="Tahoma" w:hAnsi="Tahoma" w:cs="Tahoma"/>
        </w:rPr>
      </w:pPr>
    </w:p>
    <w:p w:rsidR="00330CA8" w:rsidRPr="009D1977" w:rsidRDefault="00444AFE" w:rsidP="009D1977">
      <w:pPr>
        <w:spacing w:line="276" w:lineRule="auto"/>
        <w:jc w:val="both"/>
        <w:rPr>
          <w:rFonts w:ascii="Tahoma" w:hAnsi="Tahoma" w:cs="Tahoma"/>
        </w:rPr>
      </w:pPr>
      <w:r w:rsidRPr="009D1977">
        <w:rPr>
          <w:rFonts w:ascii="Tahoma" w:hAnsi="Tahoma" w:cs="Tahoma"/>
        </w:rPr>
        <w:t>6</w:t>
      </w:r>
      <w:r w:rsidR="00FD095F" w:rsidRPr="009D1977">
        <w:rPr>
          <w:rFonts w:ascii="Tahoma" w:hAnsi="Tahoma" w:cs="Tahoma"/>
        </w:rPr>
        <w:t>. El Juzgado consideró demostrada la reticencia</w:t>
      </w:r>
      <w:r w:rsidR="00330CA8" w:rsidRPr="009D1977">
        <w:rPr>
          <w:rFonts w:ascii="Tahoma" w:hAnsi="Tahoma" w:cs="Tahoma"/>
        </w:rPr>
        <w:t xml:space="preserve"> sobre la que se edificó aquel medio exceptivo, porque aunque el demandante señaló que el cuestionario sobre </w:t>
      </w:r>
      <w:proofErr w:type="spellStart"/>
      <w:r w:rsidR="00330CA8" w:rsidRPr="009D1977">
        <w:rPr>
          <w:rFonts w:ascii="Tahoma" w:hAnsi="Tahoma" w:cs="Tahoma"/>
        </w:rPr>
        <w:t>asegurabilidad</w:t>
      </w:r>
      <w:proofErr w:type="spellEnd"/>
      <w:r w:rsidR="00330CA8" w:rsidRPr="009D1977">
        <w:rPr>
          <w:rFonts w:ascii="Tahoma" w:hAnsi="Tahoma" w:cs="Tahoma"/>
        </w:rPr>
        <w:t xml:space="preserve"> era ambiguo y por ello, no podía decirse que haya omitido información, está probado lo contrario; es decir, que con toda claridad se le preguntó si tenía problemas mentales o psiquiátricos</w:t>
      </w:r>
      <w:r w:rsidRPr="009D1977">
        <w:rPr>
          <w:rFonts w:ascii="Tahoma" w:hAnsi="Tahoma" w:cs="Tahoma"/>
        </w:rPr>
        <w:t xml:space="preserve">, y en realidad </w:t>
      </w:r>
      <w:r w:rsidR="00330CA8" w:rsidRPr="009D1977">
        <w:rPr>
          <w:rFonts w:ascii="Tahoma" w:hAnsi="Tahoma" w:cs="Tahoma"/>
        </w:rPr>
        <w:t xml:space="preserve">padecía trastornos depresivos de acuerdo con la historia clínica, los que se iniciaron desde la edad de dieciocho años y perduraron durante un amplio margen de </w:t>
      </w:r>
      <w:r w:rsidR="00F774EC" w:rsidRPr="009D1977">
        <w:rPr>
          <w:rFonts w:ascii="Tahoma" w:hAnsi="Tahoma" w:cs="Tahoma"/>
        </w:rPr>
        <w:t>tiempo</w:t>
      </w:r>
      <w:r w:rsidR="00EC7856" w:rsidRPr="009D1977">
        <w:rPr>
          <w:rFonts w:ascii="Tahoma" w:hAnsi="Tahoma" w:cs="Tahoma"/>
        </w:rPr>
        <w:t xml:space="preserve">; </w:t>
      </w:r>
      <w:r w:rsidR="0062070C" w:rsidRPr="009D1977">
        <w:rPr>
          <w:rFonts w:ascii="Tahoma" w:hAnsi="Tahoma" w:cs="Tahoma"/>
        </w:rPr>
        <w:t xml:space="preserve">además, </w:t>
      </w:r>
      <w:r w:rsidR="00330CA8" w:rsidRPr="009D1977">
        <w:rPr>
          <w:rFonts w:ascii="Tahoma" w:hAnsi="Tahoma" w:cs="Tahoma"/>
        </w:rPr>
        <w:t xml:space="preserve">tomaba medicamentos para tratarlos desde antes de la declaración que rindió para adquirir el seguro. </w:t>
      </w:r>
      <w:r w:rsidR="0062070C" w:rsidRPr="009D1977">
        <w:rPr>
          <w:rFonts w:ascii="Tahoma" w:hAnsi="Tahoma" w:cs="Tahoma"/>
        </w:rPr>
        <w:t xml:space="preserve">Así, </w:t>
      </w:r>
      <w:r w:rsidR="00F774EC" w:rsidRPr="009D1977">
        <w:rPr>
          <w:rFonts w:ascii="Tahoma" w:hAnsi="Tahoma" w:cs="Tahoma"/>
        </w:rPr>
        <w:t>concluyó</w:t>
      </w:r>
      <w:r w:rsidR="00EA1F8B" w:rsidRPr="009D1977">
        <w:rPr>
          <w:rFonts w:ascii="Tahoma" w:hAnsi="Tahoma" w:cs="Tahoma"/>
        </w:rPr>
        <w:t xml:space="preserve"> que el actor omitió información relevante al declarar el estado del riesgo</w:t>
      </w:r>
      <w:r w:rsidR="003A2867" w:rsidRPr="009D1977">
        <w:rPr>
          <w:rFonts w:ascii="Tahoma" w:hAnsi="Tahoma" w:cs="Tahoma"/>
        </w:rPr>
        <w:t xml:space="preserve"> y esa omisión hubiese permitido a la compañía de seguros no aceptar el seguro o concederlo en términos más onerosos.</w:t>
      </w:r>
    </w:p>
    <w:p w:rsidR="00372A5C" w:rsidRPr="009D1977" w:rsidRDefault="00372A5C" w:rsidP="009D1977">
      <w:pPr>
        <w:spacing w:line="276" w:lineRule="auto"/>
        <w:jc w:val="both"/>
        <w:rPr>
          <w:rFonts w:ascii="Tahoma" w:hAnsi="Tahoma" w:cs="Tahoma"/>
        </w:rPr>
      </w:pPr>
    </w:p>
    <w:p w:rsidR="00AD110F" w:rsidRPr="009D1977" w:rsidRDefault="00AD110F" w:rsidP="009D1977">
      <w:pPr>
        <w:spacing w:line="276" w:lineRule="auto"/>
        <w:jc w:val="both"/>
        <w:rPr>
          <w:rFonts w:ascii="Tahoma" w:hAnsi="Tahoma" w:cs="Tahoma"/>
        </w:rPr>
      </w:pPr>
      <w:r w:rsidRPr="009D1977">
        <w:rPr>
          <w:rFonts w:ascii="Tahoma" w:hAnsi="Tahoma" w:cs="Tahoma"/>
        </w:rPr>
        <w:t xml:space="preserve">El </w:t>
      </w:r>
      <w:r w:rsidR="1BCBB194" w:rsidRPr="009D1977">
        <w:rPr>
          <w:rFonts w:ascii="Tahoma" w:hAnsi="Tahoma" w:cs="Tahoma"/>
        </w:rPr>
        <w:t>impugnante considera</w:t>
      </w:r>
      <w:r w:rsidRPr="009D1977">
        <w:rPr>
          <w:rFonts w:ascii="Tahoma" w:hAnsi="Tahoma" w:cs="Tahoma"/>
        </w:rPr>
        <w:t xml:space="preserve"> que tal reticencia no se produjo por los motivos que </w:t>
      </w:r>
      <w:r w:rsidR="49CD89E3" w:rsidRPr="009D1977">
        <w:rPr>
          <w:rFonts w:ascii="Tahoma" w:hAnsi="Tahoma" w:cs="Tahoma"/>
        </w:rPr>
        <w:t xml:space="preserve">uno a uno </w:t>
      </w:r>
      <w:proofErr w:type="gramStart"/>
      <w:r w:rsidR="49CD89E3" w:rsidRPr="009D1977">
        <w:rPr>
          <w:rFonts w:ascii="Tahoma" w:hAnsi="Tahoma" w:cs="Tahoma"/>
        </w:rPr>
        <w:t>serán</w:t>
      </w:r>
      <w:proofErr w:type="gramEnd"/>
      <w:r w:rsidRPr="009D1977">
        <w:rPr>
          <w:rFonts w:ascii="Tahoma" w:hAnsi="Tahoma" w:cs="Tahoma"/>
        </w:rPr>
        <w:t xml:space="preserve"> analizados más adelante.</w:t>
      </w:r>
    </w:p>
    <w:p w:rsidR="00AD110F" w:rsidRPr="009D1977" w:rsidRDefault="00AD110F" w:rsidP="009D1977">
      <w:pPr>
        <w:spacing w:line="276" w:lineRule="auto"/>
        <w:jc w:val="both"/>
        <w:rPr>
          <w:rFonts w:ascii="Tahoma" w:hAnsi="Tahoma" w:cs="Tahoma"/>
        </w:rPr>
      </w:pPr>
    </w:p>
    <w:p w:rsidR="00F918EB" w:rsidRPr="009D1977" w:rsidRDefault="00F918EB" w:rsidP="009D1977">
      <w:pPr>
        <w:spacing w:line="276" w:lineRule="auto"/>
        <w:jc w:val="both"/>
        <w:rPr>
          <w:rFonts w:ascii="Tahoma" w:hAnsi="Tahoma" w:cs="Tahoma"/>
        </w:rPr>
      </w:pPr>
      <w:r w:rsidRPr="009D1977">
        <w:rPr>
          <w:rFonts w:ascii="Tahoma" w:hAnsi="Tahoma" w:cs="Tahoma"/>
        </w:rPr>
        <w:t>7. El artículo 1058 del Código de Comercio dice en el inciso 1°: “</w:t>
      </w:r>
      <w:r w:rsidRPr="009D1977">
        <w:rPr>
          <w:rFonts w:ascii="Tahoma" w:hAnsi="Tahoma" w:cs="Tahoma"/>
          <w:i/>
          <w:sz w:val="22"/>
        </w:rPr>
        <w:t>El tomador está obligado a declarar sinceramente los hechos o circunstancias que determinan el estado del riesgo, según el cuestionario que le sea propuesto por el asegurador. La reticencia o la inexactitud sobre los hechos o circunstancias que, conocidos por el asegurador, lo hubiesen retraído de celebrar el contrato, o inducido a estipular condiciones más onerosas, producen la nulidad relativa del contrato</w:t>
      </w:r>
      <w:r w:rsidRPr="009D1977">
        <w:rPr>
          <w:rFonts w:ascii="Tahoma" w:hAnsi="Tahoma" w:cs="Tahoma"/>
        </w:rPr>
        <w:t xml:space="preserve">.” </w:t>
      </w:r>
    </w:p>
    <w:p w:rsidR="00F918EB" w:rsidRPr="009D1977" w:rsidRDefault="00F918EB" w:rsidP="009D1977">
      <w:pPr>
        <w:spacing w:line="276" w:lineRule="auto"/>
        <w:jc w:val="both"/>
        <w:rPr>
          <w:rFonts w:ascii="Tahoma" w:hAnsi="Tahoma" w:cs="Tahoma"/>
        </w:rPr>
      </w:pPr>
    </w:p>
    <w:p w:rsidR="00F918EB" w:rsidRPr="009D1977" w:rsidRDefault="00F918EB" w:rsidP="009D1977">
      <w:pPr>
        <w:spacing w:line="276" w:lineRule="auto"/>
        <w:jc w:val="both"/>
        <w:rPr>
          <w:rFonts w:ascii="Tahoma" w:hAnsi="Tahoma" w:cs="Tahoma"/>
        </w:rPr>
      </w:pPr>
      <w:r w:rsidRPr="009D1977">
        <w:rPr>
          <w:rFonts w:ascii="Tahoma" w:hAnsi="Tahoma" w:cs="Tahoma"/>
        </w:rPr>
        <w:t xml:space="preserve">Es menester resaltar que tratándose de seguros colectivos de vida, en los que se contrata por cuenta de un tercero determinado o determinable, la obligación de declarar el estado del riesgo la tiene el asegurado de conformidad con el artículo 1039 del código citado, puesto que es él quien sabe sobre las afecciones o la inexistencia de ellas al momento de adquirirlo. </w:t>
      </w:r>
    </w:p>
    <w:p w:rsidR="00F918EB" w:rsidRPr="009D1977" w:rsidRDefault="00F918EB" w:rsidP="009D1977">
      <w:pPr>
        <w:spacing w:line="276" w:lineRule="auto"/>
        <w:jc w:val="both"/>
        <w:rPr>
          <w:rFonts w:ascii="Tahoma" w:hAnsi="Tahoma" w:cs="Tahoma"/>
        </w:rPr>
      </w:pPr>
    </w:p>
    <w:p w:rsidR="00F918EB" w:rsidRPr="009D1977" w:rsidRDefault="00F918EB" w:rsidP="009D1977">
      <w:pPr>
        <w:spacing w:line="276" w:lineRule="auto"/>
        <w:jc w:val="both"/>
        <w:rPr>
          <w:rFonts w:ascii="Tahoma" w:hAnsi="Tahoma" w:cs="Tahoma"/>
        </w:rPr>
      </w:pPr>
      <w:r w:rsidRPr="009D1977">
        <w:rPr>
          <w:rFonts w:ascii="Tahoma" w:hAnsi="Tahoma" w:cs="Tahoma"/>
        </w:rPr>
        <w:t>8. En relación con el citado artículo 1058, ha enseñado en su jurisprudencia la Corte Suprema de Justicia:</w:t>
      </w:r>
    </w:p>
    <w:p w:rsidR="00F918EB" w:rsidRPr="009D1977" w:rsidRDefault="00F918EB" w:rsidP="009D1977">
      <w:pPr>
        <w:spacing w:line="276" w:lineRule="auto"/>
        <w:jc w:val="both"/>
        <w:rPr>
          <w:rFonts w:ascii="Tahoma" w:hAnsi="Tahoma" w:cs="Tahoma"/>
        </w:rPr>
      </w:pPr>
    </w:p>
    <w:p w:rsidR="009D1977" w:rsidRDefault="00F918EB" w:rsidP="009D1977">
      <w:pPr>
        <w:ind w:left="426" w:right="420"/>
        <w:jc w:val="both"/>
        <w:rPr>
          <w:rFonts w:ascii="Tahoma" w:hAnsi="Tahoma" w:cs="Tahoma"/>
          <w:i/>
          <w:sz w:val="22"/>
          <w:shd w:val="clear" w:color="auto" w:fill="FFFFFF"/>
        </w:rPr>
      </w:pPr>
      <w:r w:rsidRPr="009D1977">
        <w:rPr>
          <w:rFonts w:ascii="Tahoma" w:hAnsi="Tahoma" w:cs="Tahoma"/>
          <w:i/>
          <w:sz w:val="22"/>
          <w:shd w:val="clear" w:color="auto" w:fill="FFFFFF"/>
        </w:rPr>
        <w:t>“5.2.1. El tomador o el asegurado, en cumplimiento de la buena fe comercial, debe dar una información clara y fidedigna sobre el aspecto puntual que se le indaga, relativo al interés asegurable, pues si así no lo hace, conduce a la compañía a contratar con base en la creencia de hechos diversos a los que en verdad existen, esto es, la lleva a emitir el consentimiento cimentado en el error, lo cual es, sin duda, un vicio del consentimiento generador de nulidad relativa.</w:t>
      </w:r>
    </w:p>
    <w:p w:rsidR="009D1977" w:rsidRDefault="009D1977" w:rsidP="009D1977">
      <w:pPr>
        <w:ind w:left="426" w:right="420"/>
        <w:jc w:val="both"/>
        <w:rPr>
          <w:rFonts w:ascii="Tahoma" w:hAnsi="Tahoma" w:cs="Tahoma"/>
          <w:i/>
          <w:sz w:val="22"/>
          <w:shd w:val="clear" w:color="auto" w:fill="FFFFFF"/>
        </w:rPr>
      </w:pPr>
    </w:p>
    <w:p w:rsidR="009D1977" w:rsidRDefault="00F918EB" w:rsidP="009D1977">
      <w:pPr>
        <w:ind w:left="426" w:right="420"/>
        <w:jc w:val="both"/>
        <w:rPr>
          <w:rFonts w:ascii="Tahoma" w:hAnsi="Tahoma" w:cs="Tahoma"/>
          <w:i/>
          <w:sz w:val="22"/>
          <w:shd w:val="clear" w:color="auto" w:fill="FFFFFF"/>
        </w:rPr>
      </w:pPr>
      <w:r w:rsidRPr="009D1977">
        <w:rPr>
          <w:rFonts w:ascii="Tahoma" w:hAnsi="Tahoma" w:cs="Tahoma"/>
          <w:i/>
          <w:sz w:val="22"/>
          <w:shd w:val="clear" w:color="auto" w:fill="FFFFFF"/>
        </w:rPr>
        <w:lastRenderedPageBreak/>
        <w:t>Ahora bien, esas inexactitudes y reticencias son predicables del tomador, ya que éste es el obligado «... a declarar sinceramente los hechos o circunstancias que determinan el estado del riesgo, según el cuestionario que le sea propuesto por el asegurador (...)», como lo refiere el canon 1058 del C. de Comercio. De manera que si él conocía la circunstancia omitida o podía conocerla, hay lugar a la sanción de nulidad relativa por reticencia, pero si ignoraba ese hecho, por ejemplo, porque era del resorte del asegurado, cuando éste es persona diferente del tomador, no es posible hablar de aquella.</w:t>
      </w:r>
    </w:p>
    <w:p w:rsidR="009D1977" w:rsidRDefault="009D1977" w:rsidP="009D1977">
      <w:pPr>
        <w:ind w:left="426" w:right="420"/>
        <w:jc w:val="both"/>
        <w:rPr>
          <w:rFonts w:ascii="Tahoma" w:hAnsi="Tahoma" w:cs="Tahoma"/>
          <w:i/>
          <w:sz w:val="22"/>
          <w:shd w:val="clear" w:color="auto" w:fill="FFFFFF"/>
        </w:rPr>
      </w:pPr>
    </w:p>
    <w:p w:rsidR="00F918EB" w:rsidRPr="009D1977" w:rsidRDefault="00F918EB" w:rsidP="009D1977">
      <w:pPr>
        <w:ind w:left="426" w:right="420"/>
        <w:jc w:val="both"/>
        <w:rPr>
          <w:rFonts w:ascii="Tahoma" w:hAnsi="Tahoma" w:cs="Tahoma"/>
          <w:i/>
          <w:sz w:val="22"/>
        </w:rPr>
      </w:pPr>
      <w:r w:rsidRPr="009D1977">
        <w:rPr>
          <w:rFonts w:ascii="Tahoma" w:hAnsi="Tahoma" w:cs="Tahoma"/>
          <w:i/>
          <w:sz w:val="22"/>
          <w:shd w:val="clear" w:color="auto" w:fill="FFFFFF"/>
        </w:rPr>
        <w:t xml:space="preserve">Dicho en otras palabras, si el tomador no oculta información o, lo que es lo mismo, si declara sincera y completamente el estado del riesgo fundado en la información objetiva que tiene sobre el mismo, no habría incumplimiento de sus deberes en la etapa precontractual, y ello descartaría la presencia de la mencionada causal de invalidez… </w:t>
      </w:r>
    </w:p>
    <w:p w:rsidR="009D1977" w:rsidRDefault="009D1977" w:rsidP="009D1977">
      <w:pPr>
        <w:ind w:left="426" w:right="420"/>
        <w:jc w:val="both"/>
        <w:rPr>
          <w:rFonts w:ascii="Tahoma" w:hAnsi="Tahoma" w:cs="Tahoma"/>
          <w:i/>
          <w:sz w:val="22"/>
          <w:shd w:val="clear" w:color="auto" w:fill="FFFFFF"/>
        </w:rPr>
      </w:pPr>
    </w:p>
    <w:p w:rsidR="00F918EB" w:rsidRPr="009D1977" w:rsidRDefault="00F918EB" w:rsidP="009D1977">
      <w:pPr>
        <w:ind w:left="426" w:right="420"/>
        <w:jc w:val="both"/>
        <w:rPr>
          <w:rFonts w:ascii="Tahoma" w:hAnsi="Tahoma" w:cs="Tahoma"/>
          <w:i/>
          <w:sz w:val="22"/>
          <w:shd w:val="clear" w:color="auto" w:fill="FFFFFF"/>
        </w:rPr>
      </w:pPr>
      <w:r w:rsidRPr="009D1977">
        <w:rPr>
          <w:rFonts w:ascii="Tahoma" w:hAnsi="Tahoma" w:cs="Tahoma"/>
          <w:i/>
          <w:sz w:val="22"/>
          <w:shd w:val="clear" w:color="auto" w:fill="FFFFFF"/>
        </w:rPr>
        <w:t>… si el tomador oculta información en la fase inicial, esa situación se zanja por la senda de la nulidad relativa, como se anticipó, pero si se presenta en un momento posterior, ya no es la invalidez la que gobierna la situación, sino la terminación del contrato, como lo consagra el canon 1060 del C. de Co…</w:t>
      </w:r>
    </w:p>
    <w:p w:rsidR="009D1977" w:rsidRDefault="009D1977" w:rsidP="009D1977">
      <w:pPr>
        <w:ind w:left="426" w:right="420"/>
        <w:jc w:val="both"/>
        <w:rPr>
          <w:rFonts w:ascii="Tahoma" w:hAnsi="Tahoma" w:cs="Tahoma"/>
          <w:i/>
          <w:sz w:val="22"/>
          <w:shd w:val="clear" w:color="auto" w:fill="FFFFFF"/>
        </w:rPr>
      </w:pPr>
    </w:p>
    <w:p w:rsidR="00F918EB" w:rsidRPr="009D1977" w:rsidRDefault="00F918EB" w:rsidP="009D1977">
      <w:pPr>
        <w:ind w:left="426" w:right="420"/>
        <w:jc w:val="both"/>
        <w:rPr>
          <w:rFonts w:ascii="Tahoma" w:hAnsi="Tahoma" w:cs="Tahoma"/>
          <w:i/>
          <w:sz w:val="22"/>
          <w:shd w:val="clear" w:color="auto" w:fill="FFFFFF"/>
        </w:rPr>
      </w:pPr>
      <w:r w:rsidRPr="009D1977">
        <w:rPr>
          <w:rFonts w:ascii="Tahoma" w:hAnsi="Tahoma" w:cs="Tahoma"/>
          <w:i/>
          <w:sz w:val="22"/>
          <w:shd w:val="clear" w:color="auto" w:fill="FFFFFF"/>
        </w:rPr>
        <w:t>En suma, si </w:t>
      </w:r>
      <w:bookmarkStart w:id="1" w:name="CiTag0"/>
      <w:r w:rsidRPr="009D1977">
        <w:rPr>
          <w:rFonts w:ascii="Tahoma" w:hAnsi="Tahoma" w:cs="Tahoma"/>
          <w:i/>
          <w:sz w:val="22"/>
          <w:shd w:val="clear" w:color="auto" w:fill="FFFFFF"/>
        </w:rPr>
        <w:t> </w:t>
      </w:r>
      <w:bookmarkEnd w:id="1"/>
      <w:r w:rsidRPr="009D1977">
        <w:rPr>
          <w:rFonts w:ascii="Tahoma" w:hAnsi="Tahoma" w:cs="Tahoma"/>
          <w:i/>
          <w:sz w:val="22"/>
          <w:shd w:val="clear" w:color="auto" w:fill="FFFFFF"/>
        </w:rPr>
        <w:t>el tomador omite información relevante al momento de negociar un contrato de seguro, finalmente consolidado, se está en el escenario de la reticencia, que conduce a la invalidez relativa del convenio. Por su parte, si el asegurado se reserva información respecto de circunstancias de agravación del riesgo, presentadas luego de la entrada en vigencia del seguro se está en causal de terminación del vínculo…</w:t>
      </w:r>
      <w:r w:rsidRPr="009D1977">
        <w:rPr>
          <w:rFonts w:ascii="Tahoma" w:hAnsi="Tahoma" w:cs="Tahoma"/>
          <w:sz w:val="22"/>
          <w:shd w:val="clear" w:color="auto" w:fill="FFFFFF"/>
        </w:rPr>
        <w:t>”</w:t>
      </w:r>
      <w:r w:rsidRPr="009D1977">
        <w:rPr>
          <w:rStyle w:val="Refdenotaalpie"/>
          <w:rFonts w:ascii="Tahoma" w:hAnsi="Tahoma" w:cs="Tahoma"/>
          <w:i/>
          <w:sz w:val="22"/>
          <w:shd w:val="clear" w:color="auto" w:fill="FFFFFF"/>
        </w:rPr>
        <w:footnoteReference w:id="5"/>
      </w:r>
    </w:p>
    <w:p w:rsidR="00F918EB" w:rsidRPr="009D1977" w:rsidRDefault="00F918EB" w:rsidP="009D1977">
      <w:pPr>
        <w:spacing w:line="276" w:lineRule="auto"/>
        <w:jc w:val="both"/>
        <w:rPr>
          <w:rFonts w:ascii="Tahoma" w:hAnsi="Tahoma" w:cs="Tahoma"/>
          <w:i/>
          <w:shd w:val="clear" w:color="auto" w:fill="FFFFFF"/>
        </w:rPr>
      </w:pPr>
    </w:p>
    <w:p w:rsidR="00F918EB" w:rsidRPr="009D1977" w:rsidRDefault="00F918EB" w:rsidP="009D1977">
      <w:pPr>
        <w:spacing w:line="276" w:lineRule="auto"/>
        <w:jc w:val="both"/>
        <w:rPr>
          <w:rFonts w:ascii="Tahoma" w:hAnsi="Tahoma" w:cs="Tahoma"/>
          <w:shd w:val="clear" w:color="auto" w:fill="FFFFFF"/>
        </w:rPr>
      </w:pPr>
      <w:r w:rsidRPr="009D1977">
        <w:rPr>
          <w:rFonts w:ascii="Tahoma" w:hAnsi="Tahoma" w:cs="Tahoma"/>
          <w:shd w:val="clear" w:color="auto" w:fill="FFFFFF"/>
        </w:rPr>
        <w:t>Esa jurisprudencia fue citada en proceso de tutela de la misma Corporación, en la que además agregó:</w:t>
      </w:r>
    </w:p>
    <w:p w:rsidR="00F918EB" w:rsidRPr="009D1977" w:rsidRDefault="00F918EB" w:rsidP="009D1977">
      <w:pPr>
        <w:spacing w:line="276" w:lineRule="auto"/>
        <w:jc w:val="both"/>
        <w:rPr>
          <w:rFonts w:ascii="Tahoma" w:hAnsi="Tahoma" w:cs="Tahoma"/>
          <w:shd w:val="clear" w:color="auto" w:fill="FFFFFF"/>
        </w:rPr>
      </w:pPr>
    </w:p>
    <w:p w:rsidR="00F918EB" w:rsidRPr="009D1977" w:rsidRDefault="00F918EB" w:rsidP="009D1977">
      <w:pPr>
        <w:pStyle w:val="NormalWeb"/>
        <w:shd w:val="clear" w:color="auto" w:fill="FFFFFF"/>
        <w:spacing w:before="0" w:beforeAutospacing="0" w:after="0" w:afterAutospacing="0"/>
        <w:ind w:left="426" w:right="420"/>
        <w:jc w:val="both"/>
        <w:rPr>
          <w:rFonts w:ascii="Tahoma" w:hAnsi="Tahoma" w:cs="Tahoma"/>
          <w:i/>
          <w:sz w:val="22"/>
        </w:rPr>
      </w:pPr>
      <w:r w:rsidRPr="009D1977">
        <w:rPr>
          <w:rFonts w:ascii="Tahoma" w:hAnsi="Tahoma" w:cs="Tahoma"/>
          <w:i/>
          <w:sz w:val="22"/>
        </w:rPr>
        <w:t xml:space="preserve">“Proyectadas las anteriores premisas al asunto controvertido, no se avizora el desafuero endilgado, por cuanto, si la empresa aseguradora puso de presente un cuestionario a la </w:t>
      </w:r>
      <w:proofErr w:type="spellStart"/>
      <w:r w:rsidRPr="009D1977">
        <w:rPr>
          <w:rFonts w:ascii="Tahoma" w:hAnsi="Tahoma" w:cs="Tahoma"/>
          <w:i/>
          <w:sz w:val="22"/>
        </w:rPr>
        <w:t>tutelante</w:t>
      </w:r>
      <w:proofErr w:type="spellEnd"/>
      <w:r w:rsidRPr="009D1977">
        <w:rPr>
          <w:rFonts w:ascii="Tahoma" w:hAnsi="Tahoma" w:cs="Tahoma"/>
          <w:i/>
          <w:sz w:val="22"/>
        </w:rPr>
        <w:t xml:space="preserve"> para que expusiera verazmente las patologías que la afectaban desde tiempo atrás, la accionante tenía la obligación de manifestarlas para que el otorgante de la póliza pudiera evaluar el riesgo amparado.</w:t>
      </w:r>
    </w:p>
    <w:p w:rsidR="00F918EB" w:rsidRPr="009D1977" w:rsidRDefault="00F918EB" w:rsidP="009D1977">
      <w:pPr>
        <w:pStyle w:val="NormalWeb"/>
        <w:shd w:val="clear" w:color="auto" w:fill="FFFFFF"/>
        <w:spacing w:before="0" w:beforeAutospacing="0" w:after="0" w:afterAutospacing="0"/>
        <w:ind w:left="426" w:right="420"/>
        <w:jc w:val="both"/>
        <w:rPr>
          <w:rFonts w:ascii="Tahoma" w:hAnsi="Tahoma" w:cs="Tahoma"/>
          <w:i/>
          <w:sz w:val="22"/>
        </w:rPr>
      </w:pPr>
    </w:p>
    <w:p w:rsidR="00F918EB" w:rsidRPr="009D1977" w:rsidRDefault="00F918EB" w:rsidP="009D1977">
      <w:pPr>
        <w:pStyle w:val="NormalWeb"/>
        <w:shd w:val="clear" w:color="auto" w:fill="FFFFFF"/>
        <w:spacing w:before="0" w:beforeAutospacing="0" w:after="0" w:afterAutospacing="0"/>
        <w:ind w:left="426" w:right="420"/>
        <w:jc w:val="both"/>
        <w:rPr>
          <w:rFonts w:ascii="Tahoma" w:hAnsi="Tahoma" w:cs="Tahoma"/>
          <w:i/>
          <w:sz w:val="22"/>
        </w:rPr>
      </w:pPr>
      <w:r w:rsidRPr="009D1977">
        <w:rPr>
          <w:rFonts w:ascii="Tahoma" w:hAnsi="Tahoma" w:cs="Tahoma"/>
          <w:i/>
          <w:sz w:val="22"/>
        </w:rPr>
        <w:t>Sin embargo, no lo hizo, pero, un año después, adujo que afrontó una incapacidad por unas enfermedades diagnosticadas antes de la celebración del contrato de seguro y, por ende, el estrado atacado declaró la nulidad relativa del acuerdo de voluntades.</w:t>
      </w:r>
    </w:p>
    <w:p w:rsidR="00F918EB" w:rsidRPr="009D1977" w:rsidRDefault="00F918EB" w:rsidP="009D1977">
      <w:pPr>
        <w:pStyle w:val="NormalWeb"/>
        <w:shd w:val="clear" w:color="auto" w:fill="FFFFFF"/>
        <w:spacing w:before="0" w:beforeAutospacing="0" w:after="0" w:afterAutospacing="0"/>
        <w:ind w:left="426" w:right="420"/>
        <w:jc w:val="both"/>
        <w:rPr>
          <w:rFonts w:ascii="Tahoma" w:hAnsi="Tahoma" w:cs="Tahoma"/>
          <w:i/>
          <w:sz w:val="22"/>
        </w:rPr>
      </w:pPr>
    </w:p>
    <w:p w:rsidR="00F918EB" w:rsidRPr="009D1977" w:rsidRDefault="00F918EB" w:rsidP="009D1977">
      <w:pPr>
        <w:pStyle w:val="NormalWeb"/>
        <w:shd w:val="clear" w:color="auto" w:fill="FFFFFF"/>
        <w:spacing w:before="0" w:beforeAutospacing="0" w:after="0" w:afterAutospacing="0"/>
        <w:ind w:left="426" w:right="420"/>
        <w:jc w:val="both"/>
        <w:rPr>
          <w:rFonts w:ascii="Tahoma" w:hAnsi="Tahoma" w:cs="Tahoma"/>
          <w:i/>
          <w:sz w:val="22"/>
        </w:rPr>
      </w:pPr>
      <w:r w:rsidRPr="009D1977">
        <w:rPr>
          <w:rFonts w:ascii="Tahoma" w:hAnsi="Tahoma" w:cs="Tahoma"/>
          <w:i/>
          <w:sz w:val="22"/>
        </w:rPr>
        <w:t>En ese contexto, no son admisibles los alegatos de la quejosa edificados en la posibilidad que tenía la firma aseguradora de verificar su estado de salud, porque si bien, en ese sentido, existe una equivalencia o igualdad contractual, se aprecia que a la precursora se le indagó acerca de sus dolencias; no obstante, guardó silencio.</w:t>
      </w:r>
    </w:p>
    <w:p w:rsidR="00F918EB" w:rsidRPr="009D1977" w:rsidRDefault="00F918EB" w:rsidP="009D1977">
      <w:pPr>
        <w:pStyle w:val="NormalWeb"/>
        <w:shd w:val="clear" w:color="auto" w:fill="FFFFFF"/>
        <w:spacing w:before="0" w:beforeAutospacing="0" w:after="0" w:afterAutospacing="0"/>
        <w:ind w:left="426" w:right="420"/>
        <w:jc w:val="both"/>
        <w:rPr>
          <w:rFonts w:ascii="Tahoma" w:hAnsi="Tahoma" w:cs="Tahoma"/>
          <w:i/>
          <w:sz w:val="22"/>
        </w:rPr>
      </w:pPr>
    </w:p>
    <w:p w:rsidR="00F918EB" w:rsidRPr="009D1977" w:rsidRDefault="00F918EB" w:rsidP="009D1977">
      <w:pPr>
        <w:pStyle w:val="NormalWeb"/>
        <w:shd w:val="clear" w:color="auto" w:fill="FFFFFF"/>
        <w:spacing w:before="0" w:beforeAutospacing="0" w:after="0" w:afterAutospacing="0"/>
        <w:ind w:left="426" w:right="420"/>
        <w:jc w:val="both"/>
        <w:rPr>
          <w:rFonts w:ascii="Tahoma" w:hAnsi="Tahoma" w:cs="Tahoma"/>
          <w:i/>
          <w:sz w:val="22"/>
        </w:rPr>
      </w:pPr>
      <w:r w:rsidRPr="009D1977">
        <w:rPr>
          <w:rFonts w:ascii="Tahoma" w:hAnsi="Tahoma" w:cs="Tahoma"/>
          <w:i/>
          <w:sz w:val="22"/>
        </w:rPr>
        <w:t>Para la Sala, ese proceder se encuentra alejado de la “ubérrima buena fe” que por excelencia distingue al contrato de seguro y, en esa medida, no era dable, como lo sugiere la querellante, imponer a la sociedad otorgante la obligación de realizar pesquisas al respecto, para luego, la gestora, prevalida de su conducta omisiva, exigir el cumplimiento de la póliza…</w:t>
      </w:r>
      <w:r w:rsidRPr="009D1977">
        <w:rPr>
          <w:rFonts w:ascii="Tahoma" w:hAnsi="Tahoma" w:cs="Tahoma"/>
          <w:sz w:val="22"/>
        </w:rPr>
        <w:t>”</w:t>
      </w:r>
      <w:r w:rsidRPr="009D1977">
        <w:rPr>
          <w:rStyle w:val="Refdenotaalpie"/>
          <w:rFonts w:ascii="Tahoma" w:hAnsi="Tahoma" w:cs="Tahoma"/>
          <w:i/>
          <w:sz w:val="22"/>
        </w:rPr>
        <w:footnoteReference w:id="6"/>
      </w:r>
    </w:p>
    <w:p w:rsidR="00F918EB" w:rsidRPr="009D1977" w:rsidRDefault="00F918EB" w:rsidP="009D1977">
      <w:pPr>
        <w:spacing w:line="276" w:lineRule="auto"/>
        <w:jc w:val="both"/>
        <w:rPr>
          <w:rFonts w:ascii="Tahoma" w:hAnsi="Tahoma" w:cs="Tahoma"/>
          <w:shd w:val="clear" w:color="auto" w:fill="FFFFFF"/>
        </w:rPr>
      </w:pPr>
    </w:p>
    <w:p w:rsidR="11EE9F3F" w:rsidRPr="009D1977" w:rsidRDefault="11EE9F3F" w:rsidP="009D1977">
      <w:pPr>
        <w:spacing w:line="276" w:lineRule="auto"/>
        <w:jc w:val="both"/>
        <w:rPr>
          <w:rFonts w:ascii="Tahoma" w:hAnsi="Tahoma" w:cs="Tahoma"/>
        </w:rPr>
      </w:pPr>
      <w:r w:rsidRPr="009D1977">
        <w:rPr>
          <w:rFonts w:ascii="Tahoma" w:hAnsi="Tahoma" w:cs="Tahoma"/>
        </w:rPr>
        <w:t>En el mismo sentido se ha pronunciado este Tribunal</w:t>
      </w:r>
      <w:r w:rsidR="000873B9" w:rsidRPr="009D1977">
        <w:rPr>
          <w:rStyle w:val="Refdenotaalpie"/>
          <w:rFonts w:ascii="Tahoma" w:hAnsi="Tahoma" w:cs="Tahoma"/>
        </w:rPr>
        <w:footnoteReference w:id="7"/>
      </w:r>
      <w:r w:rsidR="490004EB" w:rsidRPr="009D1977">
        <w:rPr>
          <w:rFonts w:ascii="Tahoma" w:hAnsi="Tahoma" w:cs="Tahoma"/>
        </w:rPr>
        <w:t>.</w:t>
      </w:r>
    </w:p>
    <w:p w:rsidR="0181D0DC" w:rsidRPr="009D1977" w:rsidRDefault="0181D0DC" w:rsidP="009D1977">
      <w:pPr>
        <w:spacing w:line="276" w:lineRule="auto"/>
        <w:jc w:val="both"/>
        <w:rPr>
          <w:rFonts w:ascii="Tahoma" w:hAnsi="Tahoma" w:cs="Tahoma"/>
        </w:rPr>
      </w:pPr>
    </w:p>
    <w:p w:rsidR="00372A5C" w:rsidRPr="009D1977" w:rsidRDefault="00F918EB" w:rsidP="009D1977">
      <w:pPr>
        <w:spacing w:line="276" w:lineRule="auto"/>
        <w:jc w:val="both"/>
        <w:rPr>
          <w:rFonts w:ascii="Tahoma" w:hAnsi="Tahoma" w:cs="Tahoma"/>
        </w:rPr>
      </w:pPr>
      <w:r w:rsidRPr="009D1977">
        <w:rPr>
          <w:rFonts w:ascii="Tahoma" w:hAnsi="Tahoma" w:cs="Tahoma"/>
        </w:rPr>
        <w:t>9</w:t>
      </w:r>
      <w:r w:rsidR="00F044DD" w:rsidRPr="009D1977">
        <w:rPr>
          <w:rFonts w:ascii="Tahoma" w:hAnsi="Tahoma" w:cs="Tahoma"/>
        </w:rPr>
        <w:t xml:space="preserve">. </w:t>
      </w:r>
      <w:r w:rsidRPr="009D1977">
        <w:rPr>
          <w:rFonts w:ascii="Tahoma" w:hAnsi="Tahoma" w:cs="Tahoma"/>
        </w:rPr>
        <w:t>Al proceso se incorporó</w:t>
      </w:r>
      <w:r w:rsidR="008361C3" w:rsidRPr="009D1977">
        <w:rPr>
          <w:rFonts w:ascii="Tahoma" w:hAnsi="Tahoma" w:cs="Tahoma"/>
        </w:rPr>
        <w:t xml:space="preserve"> un CD que contiene </w:t>
      </w:r>
      <w:r w:rsidRPr="009D1977">
        <w:rPr>
          <w:rFonts w:ascii="Tahoma" w:hAnsi="Tahoma" w:cs="Tahoma"/>
        </w:rPr>
        <w:t xml:space="preserve">la historia clínica del señor </w:t>
      </w:r>
      <w:proofErr w:type="spellStart"/>
      <w:r w:rsidR="00FD095F" w:rsidRPr="009D1977">
        <w:rPr>
          <w:rFonts w:ascii="Tahoma" w:hAnsi="Tahoma" w:cs="Tahoma"/>
        </w:rPr>
        <w:t>Gartner</w:t>
      </w:r>
      <w:proofErr w:type="spellEnd"/>
      <w:r w:rsidR="00FD095F" w:rsidRPr="009D1977">
        <w:rPr>
          <w:rFonts w:ascii="Tahoma" w:hAnsi="Tahoma" w:cs="Tahoma"/>
        </w:rPr>
        <w:t xml:space="preserve"> López</w:t>
      </w:r>
      <w:r w:rsidR="00FD095F" w:rsidRPr="009D1977">
        <w:rPr>
          <w:rStyle w:val="Refdenotaalpie"/>
          <w:rFonts w:ascii="Tahoma" w:hAnsi="Tahoma" w:cs="Tahoma"/>
        </w:rPr>
        <w:footnoteReference w:id="8"/>
      </w:r>
      <w:r w:rsidR="00372A5C" w:rsidRPr="009D1977">
        <w:rPr>
          <w:rFonts w:ascii="Tahoma" w:hAnsi="Tahoma" w:cs="Tahoma"/>
        </w:rPr>
        <w:t xml:space="preserve">, de la que resulta oportuno resaltar </w:t>
      </w:r>
      <w:r w:rsidR="00030E27" w:rsidRPr="009D1977">
        <w:rPr>
          <w:rFonts w:ascii="Tahoma" w:hAnsi="Tahoma" w:cs="Tahoma"/>
        </w:rPr>
        <w:t>las siguientes anotaciones, consignadas por médico</w:t>
      </w:r>
      <w:r w:rsidR="0062070C" w:rsidRPr="009D1977">
        <w:rPr>
          <w:rFonts w:ascii="Tahoma" w:hAnsi="Tahoma" w:cs="Tahoma"/>
        </w:rPr>
        <w:t>s</w:t>
      </w:r>
      <w:r w:rsidR="00030E27" w:rsidRPr="009D1977">
        <w:rPr>
          <w:rFonts w:ascii="Tahoma" w:hAnsi="Tahoma" w:cs="Tahoma"/>
        </w:rPr>
        <w:t xml:space="preserve"> psiquiatra</w:t>
      </w:r>
      <w:r w:rsidR="0062070C" w:rsidRPr="009D1977">
        <w:rPr>
          <w:rFonts w:ascii="Tahoma" w:hAnsi="Tahoma" w:cs="Tahoma"/>
        </w:rPr>
        <w:t>s</w:t>
      </w:r>
      <w:r w:rsidR="00030E27" w:rsidRPr="009D1977">
        <w:rPr>
          <w:rFonts w:ascii="Tahoma" w:hAnsi="Tahoma" w:cs="Tahoma"/>
        </w:rPr>
        <w:t>:</w:t>
      </w:r>
    </w:p>
    <w:p w:rsidR="00191EE4" w:rsidRPr="009D1977" w:rsidRDefault="00191EE4" w:rsidP="009D1977">
      <w:pPr>
        <w:spacing w:line="276" w:lineRule="auto"/>
        <w:jc w:val="both"/>
        <w:rPr>
          <w:rFonts w:ascii="Tahoma" w:hAnsi="Tahoma" w:cs="Tahoma"/>
        </w:rPr>
      </w:pPr>
    </w:p>
    <w:p w:rsidR="00191EE4" w:rsidRPr="009D1977" w:rsidRDefault="00F918EB" w:rsidP="009D1977">
      <w:pPr>
        <w:spacing w:line="276" w:lineRule="auto"/>
        <w:jc w:val="both"/>
        <w:rPr>
          <w:rFonts w:ascii="Tahoma" w:hAnsi="Tahoma" w:cs="Tahoma"/>
        </w:rPr>
      </w:pPr>
      <w:r w:rsidRPr="009D1977">
        <w:rPr>
          <w:rFonts w:ascii="Tahoma" w:hAnsi="Tahoma" w:cs="Tahoma"/>
        </w:rPr>
        <w:t>9</w:t>
      </w:r>
      <w:r w:rsidR="00F044DD" w:rsidRPr="009D1977">
        <w:rPr>
          <w:rFonts w:ascii="Tahoma" w:hAnsi="Tahoma" w:cs="Tahoma"/>
        </w:rPr>
        <w:t xml:space="preserve">.1 El 1º de marzo de 2006 asiste a consulta en la que dice que sufre ansiedad y depresión desde los dieciocho años, se le diagnostica trastorno de ansiedad generalizada y trastorno </w:t>
      </w:r>
      <w:proofErr w:type="spellStart"/>
      <w:r w:rsidR="00F044DD" w:rsidRPr="009D1977">
        <w:rPr>
          <w:rFonts w:ascii="Tahoma" w:hAnsi="Tahoma" w:cs="Tahoma"/>
        </w:rPr>
        <w:t>anascástico</w:t>
      </w:r>
      <w:proofErr w:type="spellEnd"/>
      <w:r w:rsidR="00F044DD" w:rsidRPr="009D1977">
        <w:rPr>
          <w:rFonts w:ascii="Tahoma" w:hAnsi="Tahoma" w:cs="Tahoma"/>
        </w:rPr>
        <w:t xml:space="preserve"> de la personalidad; se le recomiendan medicamentos y control en un mes.</w:t>
      </w:r>
    </w:p>
    <w:p w:rsidR="00F044DD" w:rsidRPr="009D1977" w:rsidRDefault="00F044DD" w:rsidP="009D1977">
      <w:pPr>
        <w:spacing w:line="276" w:lineRule="auto"/>
        <w:jc w:val="both"/>
        <w:rPr>
          <w:rFonts w:ascii="Tahoma" w:hAnsi="Tahoma" w:cs="Tahoma"/>
        </w:rPr>
      </w:pPr>
    </w:p>
    <w:p w:rsidR="00F044DD" w:rsidRPr="009D1977" w:rsidRDefault="00DF7418" w:rsidP="009D1977">
      <w:pPr>
        <w:spacing w:line="276" w:lineRule="auto"/>
        <w:jc w:val="both"/>
        <w:rPr>
          <w:rFonts w:ascii="Tahoma" w:hAnsi="Tahoma" w:cs="Tahoma"/>
        </w:rPr>
      </w:pPr>
      <w:r w:rsidRPr="009D1977">
        <w:rPr>
          <w:rFonts w:ascii="Tahoma" w:hAnsi="Tahoma" w:cs="Tahoma"/>
        </w:rPr>
        <w:t>9</w:t>
      </w:r>
      <w:r w:rsidR="00F044DD" w:rsidRPr="009D1977">
        <w:rPr>
          <w:rFonts w:ascii="Tahoma" w:hAnsi="Tahoma" w:cs="Tahoma"/>
        </w:rPr>
        <w:t>.2 El 2</w:t>
      </w:r>
      <w:r w:rsidR="006625C3" w:rsidRPr="009D1977">
        <w:rPr>
          <w:rFonts w:ascii="Tahoma" w:hAnsi="Tahoma" w:cs="Tahoma"/>
        </w:rPr>
        <w:t xml:space="preserve"> de mayo de 200</w:t>
      </w:r>
      <w:r w:rsidR="00F044DD" w:rsidRPr="009D1977">
        <w:rPr>
          <w:rFonts w:ascii="Tahoma" w:hAnsi="Tahoma" w:cs="Tahoma"/>
        </w:rPr>
        <w:t>6 se consigna que se trata de un paciente con sintomatología ansiosa, rasgos obsesivos de la personalidad</w:t>
      </w:r>
      <w:r w:rsidR="00D54BBA" w:rsidRPr="009D1977">
        <w:rPr>
          <w:rFonts w:ascii="Tahoma" w:hAnsi="Tahoma" w:cs="Tahoma"/>
        </w:rPr>
        <w:t>, esquema mental con evidencia de elementos de intelectualización evidentes</w:t>
      </w:r>
      <w:r w:rsidR="00BC1FE6" w:rsidRPr="009D1977">
        <w:rPr>
          <w:rFonts w:ascii="Tahoma" w:hAnsi="Tahoma" w:cs="Tahoma"/>
        </w:rPr>
        <w:t>. Se le diagnostica trastorno de ansiedad generalizada y trastorno de la personalidad emocionalmente inestable; se le recomiendan medicamentos y control en un mes.</w:t>
      </w:r>
    </w:p>
    <w:p w:rsidR="0062070C" w:rsidRPr="009D1977" w:rsidRDefault="0062070C" w:rsidP="009D1977">
      <w:pPr>
        <w:spacing w:line="276" w:lineRule="auto"/>
        <w:jc w:val="both"/>
        <w:rPr>
          <w:rFonts w:ascii="Tahoma" w:hAnsi="Tahoma" w:cs="Tahoma"/>
        </w:rPr>
      </w:pPr>
    </w:p>
    <w:p w:rsidR="00BC1FE6" w:rsidRPr="009D1977" w:rsidRDefault="00DF7418" w:rsidP="009D1977">
      <w:pPr>
        <w:spacing w:line="276" w:lineRule="auto"/>
        <w:jc w:val="both"/>
        <w:rPr>
          <w:rFonts w:ascii="Tahoma" w:hAnsi="Tahoma" w:cs="Tahoma"/>
        </w:rPr>
      </w:pPr>
      <w:r w:rsidRPr="009D1977">
        <w:rPr>
          <w:rFonts w:ascii="Tahoma" w:hAnsi="Tahoma" w:cs="Tahoma"/>
        </w:rPr>
        <w:t>9</w:t>
      </w:r>
      <w:r w:rsidR="00BC1FE6" w:rsidRPr="009D1977">
        <w:rPr>
          <w:rFonts w:ascii="Tahoma" w:hAnsi="Tahoma" w:cs="Tahoma"/>
        </w:rPr>
        <w:t xml:space="preserve">.3 </w:t>
      </w:r>
      <w:r w:rsidR="006625C3" w:rsidRPr="009D1977">
        <w:rPr>
          <w:rFonts w:ascii="Tahoma" w:hAnsi="Tahoma" w:cs="Tahoma"/>
        </w:rPr>
        <w:t xml:space="preserve">El 6 de julio de 2006 se indica que se encuentra en condiciones estables con cuadro de ansiedad no especificada, respuesta a benzodiacepinas </w:t>
      </w:r>
      <w:proofErr w:type="spellStart"/>
      <w:r w:rsidR="006625C3" w:rsidRPr="009D1977">
        <w:rPr>
          <w:rFonts w:ascii="Tahoma" w:hAnsi="Tahoma" w:cs="Tahoma"/>
        </w:rPr>
        <w:t>clonazepan</w:t>
      </w:r>
      <w:proofErr w:type="spellEnd"/>
      <w:r w:rsidR="006625C3" w:rsidRPr="009D1977">
        <w:rPr>
          <w:rFonts w:ascii="Tahoma" w:hAnsi="Tahoma" w:cs="Tahoma"/>
        </w:rPr>
        <w:t xml:space="preserve">, rasgos de tipo obsesivo marcados, incapacidad de asumir riesgos e inseguridad a pesar de sus logros, requiere apoyo terapéutico sicológico; se le recomienda aquella medicina y control en dos meses. Se le diagnostican trastorno de ansiedad </w:t>
      </w:r>
      <w:proofErr w:type="spellStart"/>
      <w:r w:rsidR="006625C3" w:rsidRPr="009D1977">
        <w:rPr>
          <w:rFonts w:ascii="Tahoma" w:hAnsi="Tahoma" w:cs="Tahoma"/>
        </w:rPr>
        <w:t>inespecificada</w:t>
      </w:r>
      <w:proofErr w:type="spellEnd"/>
      <w:r w:rsidR="006625C3" w:rsidRPr="009D1977">
        <w:rPr>
          <w:rFonts w:ascii="Tahoma" w:hAnsi="Tahoma" w:cs="Tahoma"/>
        </w:rPr>
        <w:t xml:space="preserve"> y trastorno </w:t>
      </w:r>
      <w:proofErr w:type="spellStart"/>
      <w:r w:rsidR="006625C3" w:rsidRPr="009D1977">
        <w:rPr>
          <w:rFonts w:ascii="Tahoma" w:hAnsi="Tahoma" w:cs="Tahoma"/>
        </w:rPr>
        <w:t>anascástico</w:t>
      </w:r>
      <w:proofErr w:type="spellEnd"/>
      <w:r w:rsidR="006625C3" w:rsidRPr="009D1977">
        <w:rPr>
          <w:rFonts w:ascii="Tahoma" w:hAnsi="Tahoma" w:cs="Tahoma"/>
        </w:rPr>
        <w:t xml:space="preserve"> de la personalidad.</w:t>
      </w:r>
    </w:p>
    <w:p w:rsidR="006625C3" w:rsidRPr="009D1977" w:rsidRDefault="006625C3" w:rsidP="009D1977">
      <w:pPr>
        <w:spacing w:line="276" w:lineRule="auto"/>
        <w:jc w:val="both"/>
        <w:rPr>
          <w:rFonts w:ascii="Tahoma" w:hAnsi="Tahoma" w:cs="Tahoma"/>
        </w:rPr>
      </w:pPr>
    </w:p>
    <w:p w:rsidR="006625C3" w:rsidRPr="009D1977" w:rsidRDefault="00DF7418" w:rsidP="009D1977">
      <w:pPr>
        <w:spacing w:line="276" w:lineRule="auto"/>
        <w:jc w:val="both"/>
        <w:rPr>
          <w:rFonts w:ascii="Tahoma" w:hAnsi="Tahoma" w:cs="Tahoma"/>
        </w:rPr>
      </w:pPr>
      <w:r w:rsidRPr="009D1977">
        <w:rPr>
          <w:rFonts w:ascii="Tahoma" w:hAnsi="Tahoma" w:cs="Tahoma"/>
        </w:rPr>
        <w:t>9</w:t>
      </w:r>
      <w:r w:rsidR="006625C3" w:rsidRPr="009D1977">
        <w:rPr>
          <w:rFonts w:ascii="Tahoma" w:hAnsi="Tahoma" w:cs="Tahoma"/>
        </w:rPr>
        <w:t xml:space="preserve">.4 </w:t>
      </w:r>
      <w:r w:rsidR="00691406" w:rsidRPr="009D1977">
        <w:rPr>
          <w:rFonts w:ascii="Tahoma" w:hAnsi="Tahoma" w:cs="Tahoma"/>
        </w:rPr>
        <w:t xml:space="preserve">El 9 de agosto de 2006 el paciente refiere que viene sintiéndose mal, con temor, nerviosismo, fatalismo, mejora transitoriamente con </w:t>
      </w:r>
      <w:proofErr w:type="spellStart"/>
      <w:r w:rsidR="00691406" w:rsidRPr="009D1977">
        <w:rPr>
          <w:rFonts w:ascii="Tahoma" w:hAnsi="Tahoma" w:cs="Tahoma"/>
        </w:rPr>
        <w:t>clonazepan</w:t>
      </w:r>
      <w:proofErr w:type="spellEnd"/>
      <w:r w:rsidR="00691406" w:rsidRPr="009D1977">
        <w:rPr>
          <w:rFonts w:ascii="Tahoma" w:hAnsi="Tahoma" w:cs="Tahoma"/>
        </w:rPr>
        <w:t xml:space="preserve"> y que ha estado en múltiples tratamientos con psiquiatras, chamanes, </w:t>
      </w:r>
      <w:proofErr w:type="spellStart"/>
      <w:r w:rsidR="00691406" w:rsidRPr="009D1977">
        <w:rPr>
          <w:rFonts w:ascii="Tahoma" w:hAnsi="Tahoma" w:cs="Tahoma"/>
        </w:rPr>
        <w:t>bioenergéticos</w:t>
      </w:r>
      <w:proofErr w:type="spellEnd"/>
      <w:r w:rsidR="00691406" w:rsidRPr="009D1977">
        <w:rPr>
          <w:rFonts w:ascii="Tahoma" w:hAnsi="Tahoma" w:cs="Tahoma"/>
        </w:rPr>
        <w:t xml:space="preserve"> y psicoanálisis sin mejoría; se le dificulta interactuar con personas de igual categoría o de nivel superior; se le recomiendan medicinas; se le diagnos</w:t>
      </w:r>
      <w:r w:rsidR="0062070C" w:rsidRPr="009D1977">
        <w:rPr>
          <w:rFonts w:ascii="Tahoma" w:hAnsi="Tahoma" w:cs="Tahoma"/>
        </w:rPr>
        <w:t xml:space="preserve">tica </w:t>
      </w:r>
      <w:r w:rsidR="00691406" w:rsidRPr="009D1977">
        <w:rPr>
          <w:rFonts w:ascii="Tahoma" w:hAnsi="Tahoma" w:cs="Tahoma"/>
        </w:rPr>
        <w:t>trastorno de ansiedad generalizada y se manda control en un mes.</w:t>
      </w:r>
    </w:p>
    <w:p w:rsidR="00030E27" w:rsidRPr="009D1977" w:rsidRDefault="00030E27" w:rsidP="009D1977">
      <w:pPr>
        <w:spacing w:line="276" w:lineRule="auto"/>
        <w:jc w:val="both"/>
        <w:rPr>
          <w:rFonts w:ascii="Tahoma" w:hAnsi="Tahoma" w:cs="Tahoma"/>
        </w:rPr>
      </w:pPr>
    </w:p>
    <w:p w:rsidR="00691406" w:rsidRPr="009D1977" w:rsidRDefault="00DF7418" w:rsidP="009D1977">
      <w:pPr>
        <w:spacing w:line="276" w:lineRule="auto"/>
        <w:jc w:val="both"/>
        <w:rPr>
          <w:rFonts w:ascii="Tahoma" w:hAnsi="Tahoma" w:cs="Tahoma"/>
        </w:rPr>
      </w:pPr>
      <w:r w:rsidRPr="009D1977">
        <w:rPr>
          <w:rFonts w:ascii="Tahoma" w:hAnsi="Tahoma" w:cs="Tahoma"/>
        </w:rPr>
        <w:t>9</w:t>
      </w:r>
      <w:r w:rsidR="00691406" w:rsidRPr="009D1977">
        <w:rPr>
          <w:rFonts w:ascii="Tahoma" w:hAnsi="Tahoma" w:cs="Tahoma"/>
        </w:rPr>
        <w:t>.5 En septiembre y octubre de 2006 refiere que ha mejorado un poco, que está menos ansioso y se da el mismo diagnóstico</w:t>
      </w:r>
      <w:r w:rsidR="00287FF1" w:rsidRPr="009D1977">
        <w:rPr>
          <w:rFonts w:ascii="Tahoma" w:hAnsi="Tahoma" w:cs="Tahoma"/>
        </w:rPr>
        <w:t xml:space="preserve">; </w:t>
      </w:r>
      <w:r w:rsidR="0062070C" w:rsidRPr="009D1977">
        <w:rPr>
          <w:rFonts w:ascii="Tahoma" w:hAnsi="Tahoma" w:cs="Tahoma"/>
        </w:rPr>
        <w:t xml:space="preserve">igual aconteció el </w:t>
      </w:r>
      <w:r w:rsidR="00287FF1" w:rsidRPr="009D1977">
        <w:rPr>
          <w:rFonts w:ascii="Tahoma" w:hAnsi="Tahoma" w:cs="Tahoma"/>
        </w:rPr>
        <w:t>27 de marzo de 2007</w:t>
      </w:r>
      <w:r w:rsidR="003524A4" w:rsidRPr="009D1977">
        <w:rPr>
          <w:rFonts w:ascii="Tahoma" w:hAnsi="Tahoma" w:cs="Tahoma"/>
        </w:rPr>
        <w:t xml:space="preserve">, </w:t>
      </w:r>
      <w:r w:rsidR="0062070C" w:rsidRPr="009D1977">
        <w:rPr>
          <w:rFonts w:ascii="Tahoma" w:hAnsi="Tahoma" w:cs="Tahoma"/>
        </w:rPr>
        <w:t xml:space="preserve">aunque se </w:t>
      </w:r>
      <w:r w:rsidR="003524A4" w:rsidRPr="009D1977">
        <w:rPr>
          <w:rFonts w:ascii="Tahoma" w:hAnsi="Tahoma" w:cs="Tahoma"/>
        </w:rPr>
        <w:t>agregó</w:t>
      </w:r>
      <w:r w:rsidR="0062070C" w:rsidRPr="009D1977">
        <w:rPr>
          <w:rFonts w:ascii="Tahoma" w:hAnsi="Tahoma" w:cs="Tahoma"/>
        </w:rPr>
        <w:t xml:space="preserve"> el de</w:t>
      </w:r>
      <w:r w:rsidR="003524A4" w:rsidRPr="009D1977">
        <w:rPr>
          <w:rFonts w:ascii="Tahoma" w:hAnsi="Tahoma" w:cs="Tahoma"/>
        </w:rPr>
        <w:t xml:space="preserve"> rasgos de personalidad </w:t>
      </w:r>
      <w:proofErr w:type="spellStart"/>
      <w:r w:rsidR="003524A4" w:rsidRPr="009D1977">
        <w:rPr>
          <w:rFonts w:ascii="Tahoma" w:hAnsi="Tahoma" w:cs="Tahoma"/>
        </w:rPr>
        <w:t>anacásticos</w:t>
      </w:r>
      <w:proofErr w:type="spellEnd"/>
      <w:r w:rsidR="003524A4" w:rsidRPr="009D1977">
        <w:rPr>
          <w:rFonts w:ascii="Tahoma" w:hAnsi="Tahoma" w:cs="Tahoma"/>
        </w:rPr>
        <w:t>.</w:t>
      </w:r>
    </w:p>
    <w:p w:rsidR="003524A4" w:rsidRPr="009D1977" w:rsidRDefault="003524A4" w:rsidP="009D1977">
      <w:pPr>
        <w:spacing w:line="276" w:lineRule="auto"/>
        <w:jc w:val="both"/>
        <w:rPr>
          <w:rFonts w:ascii="Tahoma" w:hAnsi="Tahoma" w:cs="Tahoma"/>
        </w:rPr>
      </w:pPr>
    </w:p>
    <w:p w:rsidR="003524A4" w:rsidRPr="009D1977" w:rsidRDefault="00DF7418" w:rsidP="009D1977">
      <w:pPr>
        <w:spacing w:line="276" w:lineRule="auto"/>
        <w:jc w:val="both"/>
        <w:rPr>
          <w:rFonts w:ascii="Tahoma" w:hAnsi="Tahoma" w:cs="Tahoma"/>
        </w:rPr>
      </w:pPr>
      <w:r w:rsidRPr="009D1977">
        <w:rPr>
          <w:rFonts w:ascii="Tahoma" w:hAnsi="Tahoma" w:cs="Tahoma"/>
        </w:rPr>
        <w:t>9</w:t>
      </w:r>
      <w:r w:rsidR="003524A4" w:rsidRPr="009D1977">
        <w:rPr>
          <w:rFonts w:ascii="Tahoma" w:hAnsi="Tahoma" w:cs="Tahoma"/>
        </w:rPr>
        <w:t xml:space="preserve">.6 El 2 de abril de 2008 se le identifica con síntomas ansiosos y depresivos, rasgos obsesivos y </w:t>
      </w:r>
      <w:proofErr w:type="spellStart"/>
      <w:r w:rsidR="003524A4" w:rsidRPr="009D1977">
        <w:rPr>
          <w:rFonts w:ascii="Tahoma" w:hAnsi="Tahoma" w:cs="Tahoma"/>
        </w:rPr>
        <w:t>anacásticos</w:t>
      </w:r>
      <w:proofErr w:type="spellEnd"/>
      <w:r w:rsidR="003524A4" w:rsidRPr="009D1977">
        <w:rPr>
          <w:rFonts w:ascii="Tahoma" w:hAnsi="Tahoma" w:cs="Tahoma"/>
        </w:rPr>
        <w:t xml:space="preserve"> de personalidad, con ambivalencia entre la espera laboral y religiosa; se le da el mismo diagnóstico, se le recomiendan m</w:t>
      </w:r>
      <w:r w:rsidR="00030E27" w:rsidRPr="009D1977">
        <w:rPr>
          <w:rFonts w:ascii="Tahoma" w:hAnsi="Tahoma" w:cs="Tahoma"/>
        </w:rPr>
        <w:t>edicinas y control en dos meses</w:t>
      </w:r>
      <w:r w:rsidR="0062070C" w:rsidRPr="009D1977">
        <w:rPr>
          <w:rFonts w:ascii="Tahoma" w:hAnsi="Tahoma" w:cs="Tahoma"/>
        </w:rPr>
        <w:t>. I</w:t>
      </w:r>
      <w:r w:rsidR="00030E27" w:rsidRPr="009D1977">
        <w:rPr>
          <w:rFonts w:ascii="Tahoma" w:hAnsi="Tahoma" w:cs="Tahoma"/>
        </w:rPr>
        <w:t>guales di</w:t>
      </w:r>
      <w:r w:rsidR="0062070C" w:rsidRPr="009D1977">
        <w:rPr>
          <w:rFonts w:ascii="Tahoma" w:hAnsi="Tahoma" w:cs="Tahoma"/>
        </w:rPr>
        <w:t>a</w:t>
      </w:r>
      <w:r w:rsidR="00030E27" w:rsidRPr="009D1977">
        <w:rPr>
          <w:rFonts w:ascii="Tahoma" w:hAnsi="Tahoma" w:cs="Tahoma"/>
        </w:rPr>
        <w:t>gnósticos se consignan el 29 de mayo de ese año.</w:t>
      </w:r>
    </w:p>
    <w:p w:rsidR="003524A4" w:rsidRPr="009D1977" w:rsidRDefault="003524A4" w:rsidP="009D1977">
      <w:pPr>
        <w:spacing w:line="276" w:lineRule="auto"/>
        <w:jc w:val="both"/>
        <w:rPr>
          <w:rFonts w:ascii="Tahoma" w:hAnsi="Tahoma" w:cs="Tahoma"/>
        </w:rPr>
      </w:pPr>
    </w:p>
    <w:p w:rsidR="003524A4" w:rsidRPr="009D1977" w:rsidRDefault="00DF7418" w:rsidP="009D1977">
      <w:pPr>
        <w:spacing w:line="276" w:lineRule="auto"/>
        <w:jc w:val="both"/>
        <w:rPr>
          <w:rFonts w:ascii="Tahoma" w:hAnsi="Tahoma" w:cs="Tahoma"/>
        </w:rPr>
      </w:pPr>
      <w:r w:rsidRPr="009D1977">
        <w:rPr>
          <w:rFonts w:ascii="Tahoma" w:hAnsi="Tahoma" w:cs="Tahoma"/>
        </w:rPr>
        <w:t>9</w:t>
      </w:r>
      <w:r w:rsidR="003524A4" w:rsidRPr="009D1977">
        <w:rPr>
          <w:rFonts w:ascii="Tahoma" w:hAnsi="Tahoma" w:cs="Tahoma"/>
        </w:rPr>
        <w:t xml:space="preserve">.7 </w:t>
      </w:r>
      <w:r w:rsidR="00030E27" w:rsidRPr="009D1977">
        <w:rPr>
          <w:rFonts w:ascii="Tahoma" w:hAnsi="Tahoma" w:cs="Tahoma"/>
        </w:rPr>
        <w:t>El 24 de noviembre de 2011</w:t>
      </w:r>
      <w:r w:rsidR="0062070C" w:rsidRPr="009D1977">
        <w:rPr>
          <w:rFonts w:ascii="Tahoma" w:hAnsi="Tahoma" w:cs="Tahoma"/>
        </w:rPr>
        <w:t>,</w:t>
      </w:r>
      <w:r w:rsidR="00030E27" w:rsidRPr="009D1977">
        <w:rPr>
          <w:rFonts w:ascii="Tahoma" w:hAnsi="Tahoma" w:cs="Tahoma"/>
        </w:rPr>
        <w:t xml:space="preserve"> ante médico psiquiatra refiere que durante el día ha estado con cansancio y fatiga, siente ira y rabia contra la administración de justicia, viene ansioso, con sudoración, temblor en las manos, sensación de tensión en la zona occipital y en el cuello, dificultad para concentrarse y obsesionado con las noticias del Consejo Superior de la Judicatura. Se indica que persisten síntomas de ansiedad generalizada, ideas de características obsesivas</w:t>
      </w:r>
      <w:r w:rsidR="00582A76" w:rsidRPr="009D1977">
        <w:rPr>
          <w:rFonts w:ascii="Tahoma" w:hAnsi="Tahoma" w:cs="Tahoma"/>
        </w:rPr>
        <w:t xml:space="preserve"> y v</w:t>
      </w:r>
      <w:r w:rsidR="0062070C" w:rsidRPr="009D1977">
        <w:rPr>
          <w:rFonts w:ascii="Tahoma" w:hAnsi="Tahoma" w:cs="Tahoma"/>
        </w:rPr>
        <w:t xml:space="preserve">iene presentando </w:t>
      </w:r>
      <w:r w:rsidR="0062070C" w:rsidRPr="009D1977">
        <w:rPr>
          <w:rFonts w:ascii="Tahoma" w:hAnsi="Tahoma" w:cs="Tahoma"/>
        </w:rPr>
        <w:lastRenderedPageBreak/>
        <w:t xml:space="preserve">descarga </w:t>
      </w:r>
      <w:proofErr w:type="spellStart"/>
      <w:r w:rsidR="0062070C" w:rsidRPr="009D1977">
        <w:rPr>
          <w:rFonts w:ascii="Tahoma" w:hAnsi="Tahoma" w:cs="Tahoma"/>
        </w:rPr>
        <w:t>adremé</w:t>
      </w:r>
      <w:r w:rsidR="00582A76" w:rsidRPr="009D1977">
        <w:rPr>
          <w:rFonts w:ascii="Tahoma" w:hAnsi="Tahoma" w:cs="Tahoma"/>
        </w:rPr>
        <w:t>rgica</w:t>
      </w:r>
      <w:proofErr w:type="spellEnd"/>
      <w:r w:rsidR="00582A76" w:rsidRPr="009D1977">
        <w:rPr>
          <w:rFonts w:ascii="Tahoma" w:hAnsi="Tahoma" w:cs="Tahoma"/>
        </w:rPr>
        <w:t>.</w:t>
      </w:r>
      <w:r w:rsidR="00EB6A8C" w:rsidRPr="009D1977">
        <w:rPr>
          <w:rFonts w:ascii="Tahoma" w:hAnsi="Tahoma" w:cs="Tahoma"/>
        </w:rPr>
        <w:t xml:space="preserve"> Se recomienda </w:t>
      </w:r>
      <w:r w:rsidR="0062070C" w:rsidRPr="009D1977">
        <w:rPr>
          <w:rFonts w:ascii="Tahoma" w:hAnsi="Tahoma" w:cs="Tahoma"/>
        </w:rPr>
        <w:t>medicina y se le diagnostica</w:t>
      </w:r>
      <w:r w:rsidR="00EB6A8C" w:rsidRPr="009D1977">
        <w:rPr>
          <w:rFonts w:ascii="Tahoma" w:hAnsi="Tahoma" w:cs="Tahoma"/>
        </w:rPr>
        <w:t xml:space="preserve"> trastorno de </w:t>
      </w:r>
      <w:r w:rsidR="00030E27" w:rsidRPr="009D1977">
        <w:rPr>
          <w:rFonts w:ascii="Tahoma" w:hAnsi="Tahoma" w:cs="Tahoma"/>
        </w:rPr>
        <w:t xml:space="preserve"> </w:t>
      </w:r>
      <w:r w:rsidR="00EB6A8C" w:rsidRPr="009D1977">
        <w:rPr>
          <w:rFonts w:ascii="Tahoma" w:hAnsi="Tahoma" w:cs="Tahoma"/>
        </w:rPr>
        <w:t>ansiedad generalizada.</w:t>
      </w:r>
    </w:p>
    <w:p w:rsidR="007D1B86" w:rsidRPr="009D1977" w:rsidRDefault="007D1B86" w:rsidP="009D1977">
      <w:pPr>
        <w:spacing w:line="276" w:lineRule="auto"/>
        <w:jc w:val="both"/>
        <w:rPr>
          <w:rFonts w:ascii="Tahoma" w:hAnsi="Tahoma" w:cs="Tahoma"/>
        </w:rPr>
      </w:pPr>
    </w:p>
    <w:p w:rsidR="007D1B86" w:rsidRPr="009D1977" w:rsidRDefault="00DF7418" w:rsidP="009D1977">
      <w:pPr>
        <w:spacing w:line="276" w:lineRule="auto"/>
        <w:jc w:val="both"/>
        <w:rPr>
          <w:rFonts w:ascii="Tahoma" w:hAnsi="Tahoma" w:cs="Tahoma"/>
        </w:rPr>
      </w:pPr>
      <w:r w:rsidRPr="009D1977">
        <w:rPr>
          <w:rFonts w:ascii="Tahoma" w:hAnsi="Tahoma" w:cs="Tahoma"/>
        </w:rPr>
        <w:t>9</w:t>
      </w:r>
      <w:r w:rsidR="007D1B86" w:rsidRPr="009D1977">
        <w:rPr>
          <w:rFonts w:ascii="Tahoma" w:hAnsi="Tahoma" w:cs="Tahoma"/>
        </w:rPr>
        <w:t>.8 El 24 de enero de 2012 médico psiquiatra le da el mismo diagnóstico; el 24 de abril de ese año se agrega el de trastorno mixto de ansiedad y depresión</w:t>
      </w:r>
      <w:r w:rsidR="00212D0F" w:rsidRPr="009D1977">
        <w:rPr>
          <w:rFonts w:ascii="Tahoma" w:hAnsi="Tahoma" w:cs="Tahoma"/>
        </w:rPr>
        <w:t xml:space="preserve"> y refiere el paciente que no ha sido posible adaptarse a su salida de la Rama Judicial.</w:t>
      </w:r>
    </w:p>
    <w:p w:rsidR="00691406" w:rsidRPr="009D1977" w:rsidRDefault="00691406" w:rsidP="009D1977">
      <w:pPr>
        <w:spacing w:line="276" w:lineRule="auto"/>
        <w:jc w:val="both"/>
        <w:rPr>
          <w:rFonts w:ascii="Tahoma" w:hAnsi="Tahoma" w:cs="Tahoma"/>
        </w:rPr>
      </w:pPr>
    </w:p>
    <w:p w:rsidR="00337985" w:rsidRPr="009D1977" w:rsidRDefault="00DF7418" w:rsidP="009D1977">
      <w:pPr>
        <w:spacing w:line="276" w:lineRule="auto"/>
        <w:jc w:val="both"/>
        <w:rPr>
          <w:rFonts w:ascii="Tahoma" w:hAnsi="Tahoma" w:cs="Tahoma"/>
        </w:rPr>
      </w:pPr>
      <w:r w:rsidRPr="009D1977">
        <w:rPr>
          <w:rFonts w:ascii="Tahoma" w:hAnsi="Tahoma" w:cs="Tahoma"/>
        </w:rPr>
        <w:t>9</w:t>
      </w:r>
      <w:r w:rsidR="00212D0F" w:rsidRPr="009D1977">
        <w:rPr>
          <w:rFonts w:ascii="Tahoma" w:hAnsi="Tahoma" w:cs="Tahoma"/>
        </w:rPr>
        <w:t>.9 El 29 de agosto de 2012 refiere al médico experto que no ha podido superar emocionalmente su salida injusta del trabajo estatal, esa idea fija y recuerdo le impide ejercer el litigio; es incapaz de manejar esas ideas que se han convertido en obsesivas que le impi</w:t>
      </w:r>
      <w:r w:rsidR="00995285" w:rsidRPr="009D1977">
        <w:rPr>
          <w:rFonts w:ascii="Tahoma" w:hAnsi="Tahoma" w:cs="Tahoma"/>
        </w:rPr>
        <w:t>d</w:t>
      </w:r>
      <w:r w:rsidR="00212D0F" w:rsidRPr="009D1977">
        <w:rPr>
          <w:rFonts w:ascii="Tahoma" w:hAnsi="Tahoma" w:cs="Tahoma"/>
        </w:rPr>
        <w:t>en concentrarse, dirimir y laborar</w:t>
      </w:r>
      <w:r w:rsidR="00995285" w:rsidRPr="009D1977">
        <w:rPr>
          <w:rFonts w:ascii="Tahoma" w:hAnsi="Tahoma" w:cs="Tahoma"/>
        </w:rPr>
        <w:t xml:space="preserve">. Se emite diagnóstico de </w:t>
      </w:r>
      <w:r w:rsidR="0095252E" w:rsidRPr="009D1977">
        <w:rPr>
          <w:rFonts w:ascii="Tahoma" w:hAnsi="Tahoma" w:cs="Tahoma"/>
        </w:rPr>
        <w:t>trastorno de ansiedad generalizada y trastorno mixto de ansiedad y depresión.</w:t>
      </w:r>
      <w:r w:rsidR="00337985" w:rsidRPr="009D1977">
        <w:rPr>
          <w:rFonts w:ascii="Tahoma" w:hAnsi="Tahoma" w:cs="Tahoma"/>
        </w:rPr>
        <w:t xml:space="preserve"> Casi lo mismo se consigna en consulta especializada del 21 de enero de 2013, a la que agrega el paciente su preocupación  por los problemas econ</w:t>
      </w:r>
      <w:r w:rsidR="00647DF7" w:rsidRPr="009D1977">
        <w:rPr>
          <w:rFonts w:ascii="Tahoma" w:hAnsi="Tahoma" w:cs="Tahoma"/>
        </w:rPr>
        <w:t>ómicos</w:t>
      </w:r>
      <w:r w:rsidR="00411041" w:rsidRPr="009D1977">
        <w:rPr>
          <w:rFonts w:ascii="Tahoma" w:hAnsi="Tahoma" w:cs="Tahoma"/>
        </w:rPr>
        <w:t>, en la que se consigna el último diagnóstico y el de problemas relacionados con el desempleo, no especificados; lo propio ocurrió en consulta</w:t>
      </w:r>
      <w:r w:rsidR="00D52B90" w:rsidRPr="009D1977">
        <w:rPr>
          <w:rFonts w:ascii="Tahoma" w:hAnsi="Tahoma" w:cs="Tahoma"/>
        </w:rPr>
        <w:t>s</w:t>
      </w:r>
      <w:r w:rsidR="00411041" w:rsidRPr="009D1977">
        <w:rPr>
          <w:rFonts w:ascii="Tahoma" w:hAnsi="Tahoma" w:cs="Tahoma"/>
        </w:rPr>
        <w:t xml:space="preserve"> del 22 de abril de 2013</w:t>
      </w:r>
      <w:r w:rsidR="0009707A" w:rsidRPr="009D1977">
        <w:rPr>
          <w:rFonts w:ascii="Tahoma" w:hAnsi="Tahoma" w:cs="Tahoma"/>
        </w:rPr>
        <w:t xml:space="preserve">; el 5 de agosto de ese año se </w:t>
      </w:r>
      <w:r w:rsidR="00D52B90" w:rsidRPr="009D1977">
        <w:rPr>
          <w:rFonts w:ascii="Tahoma" w:hAnsi="Tahoma" w:cs="Tahoma"/>
        </w:rPr>
        <w:t>indicaron como diagnósticos el trastorno mixto de ansiedad y depresión y problemas en la relaci</w:t>
      </w:r>
      <w:r w:rsidR="0009707A" w:rsidRPr="009D1977">
        <w:rPr>
          <w:rFonts w:ascii="Tahoma" w:hAnsi="Tahoma" w:cs="Tahoma"/>
        </w:rPr>
        <w:t>ón entre esposos o pareja</w:t>
      </w:r>
    </w:p>
    <w:p w:rsidR="00647DF7" w:rsidRPr="009D1977" w:rsidRDefault="00647DF7" w:rsidP="009D1977">
      <w:pPr>
        <w:spacing w:line="276" w:lineRule="auto"/>
        <w:jc w:val="both"/>
        <w:rPr>
          <w:rFonts w:ascii="Tahoma" w:hAnsi="Tahoma" w:cs="Tahoma"/>
        </w:rPr>
      </w:pPr>
    </w:p>
    <w:p w:rsidR="00647DF7" w:rsidRPr="009D1977" w:rsidRDefault="00DF7418" w:rsidP="009D1977">
      <w:pPr>
        <w:spacing w:line="276" w:lineRule="auto"/>
        <w:jc w:val="both"/>
        <w:rPr>
          <w:rFonts w:ascii="Tahoma" w:hAnsi="Tahoma" w:cs="Tahoma"/>
        </w:rPr>
      </w:pPr>
      <w:r w:rsidRPr="009D1977">
        <w:rPr>
          <w:rFonts w:ascii="Tahoma" w:hAnsi="Tahoma" w:cs="Tahoma"/>
        </w:rPr>
        <w:t>9</w:t>
      </w:r>
      <w:r w:rsidR="0062070C" w:rsidRPr="009D1977">
        <w:rPr>
          <w:rFonts w:ascii="Tahoma" w:hAnsi="Tahoma" w:cs="Tahoma"/>
        </w:rPr>
        <w:t>.10</w:t>
      </w:r>
      <w:r w:rsidR="0009707A" w:rsidRPr="009D1977">
        <w:rPr>
          <w:rFonts w:ascii="Tahoma" w:hAnsi="Tahoma" w:cs="Tahoma"/>
        </w:rPr>
        <w:t xml:space="preserve"> El 21 de </w:t>
      </w:r>
      <w:r w:rsidR="005E4FDA" w:rsidRPr="009D1977">
        <w:rPr>
          <w:rFonts w:ascii="Tahoma" w:hAnsi="Tahoma" w:cs="Tahoma"/>
        </w:rPr>
        <w:t xml:space="preserve">noviembre </w:t>
      </w:r>
      <w:r w:rsidR="0009707A" w:rsidRPr="009D1977">
        <w:rPr>
          <w:rFonts w:ascii="Tahoma" w:hAnsi="Tahoma" w:cs="Tahoma"/>
        </w:rPr>
        <w:t>de 2013 se le diagnostica trastorno de ansiedad generalizada y trastorno mixto de ansiedad y depresión, con similares síntomas a los señalados en las últimas consultas.</w:t>
      </w:r>
    </w:p>
    <w:p w:rsidR="005E4FDA" w:rsidRPr="009D1977" w:rsidRDefault="005E4FDA" w:rsidP="009D1977">
      <w:pPr>
        <w:spacing w:line="276" w:lineRule="auto"/>
        <w:jc w:val="both"/>
        <w:rPr>
          <w:rFonts w:ascii="Tahoma" w:hAnsi="Tahoma" w:cs="Tahoma"/>
        </w:rPr>
      </w:pPr>
    </w:p>
    <w:p w:rsidR="005E4FDA" w:rsidRPr="009D1977" w:rsidRDefault="00DF7418" w:rsidP="009D1977">
      <w:pPr>
        <w:spacing w:line="276" w:lineRule="auto"/>
        <w:jc w:val="both"/>
        <w:rPr>
          <w:rFonts w:ascii="Tahoma" w:hAnsi="Tahoma" w:cs="Tahoma"/>
        </w:rPr>
      </w:pPr>
      <w:r w:rsidRPr="009D1977">
        <w:rPr>
          <w:rFonts w:ascii="Tahoma" w:hAnsi="Tahoma" w:cs="Tahoma"/>
        </w:rPr>
        <w:t>9</w:t>
      </w:r>
      <w:r w:rsidR="0062070C" w:rsidRPr="009D1977">
        <w:rPr>
          <w:rFonts w:ascii="Tahoma" w:hAnsi="Tahoma" w:cs="Tahoma"/>
        </w:rPr>
        <w:t>.11</w:t>
      </w:r>
      <w:r w:rsidR="007E48D8" w:rsidRPr="009D1977">
        <w:rPr>
          <w:rFonts w:ascii="Tahoma" w:hAnsi="Tahoma" w:cs="Tahoma"/>
        </w:rPr>
        <w:t xml:space="preserve"> E</w:t>
      </w:r>
      <w:r w:rsidR="005E4FDA" w:rsidRPr="009D1977">
        <w:rPr>
          <w:rFonts w:ascii="Tahoma" w:hAnsi="Tahoma" w:cs="Tahoma"/>
        </w:rPr>
        <w:t xml:space="preserve">l 17 de febrero de 2014  indica el médico psiquiatra que el paciente presenta grandes dificultades económicas y familiares, desesperanza marcada </w:t>
      </w:r>
      <w:r w:rsidR="0062070C" w:rsidRPr="009D1977">
        <w:rPr>
          <w:rFonts w:ascii="Tahoma" w:hAnsi="Tahoma" w:cs="Tahoma"/>
        </w:rPr>
        <w:t>e ideas de muerte estructuradas;</w:t>
      </w:r>
      <w:r w:rsidR="005E4FDA" w:rsidRPr="009D1977">
        <w:rPr>
          <w:rFonts w:ascii="Tahoma" w:hAnsi="Tahoma" w:cs="Tahoma"/>
        </w:rPr>
        <w:t xml:space="preserve"> como plan, entre otros, se ordena hospitalizar; se diagnostica con </w:t>
      </w:r>
      <w:r w:rsidR="00470E2F" w:rsidRPr="009D1977">
        <w:rPr>
          <w:rFonts w:ascii="Tahoma" w:hAnsi="Tahoma" w:cs="Tahoma"/>
        </w:rPr>
        <w:t>trastorno depresivo recurrente, episodio moderado presente; problemas relacionados con bajos ingresos y de pareja.</w:t>
      </w:r>
    </w:p>
    <w:p w:rsidR="00470E2F" w:rsidRPr="009D1977" w:rsidRDefault="00470E2F" w:rsidP="009D1977">
      <w:pPr>
        <w:spacing w:line="276" w:lineRule="auto"/>
        <w:jc w:val="both"/>
        <w:rPr>
          <w:rFonts w:ascii="Tahoma" w:hAnsi="Tahoma" w:cs="Tahoma"/>
        </w:rPr>
      </w:pPr>
    </w:p>
    <w:p w:rsidR="005E4FDA" w:rsidRPr="009D1977" w:rsidRDefault="00DF7418" w:rsidP="009D1977">
      <w:pPr>
        <w:spacing w:line="276" w:lineRule="auto"/>
        <w:jc w:val="both"/>
        <w:rPr>
          <w:rFonts w:ascii="Tahoma" w:hAnsi="Tahoma" w:cs="Tahoma"/>
        </w:rPr>
      </w:pPr>
      <w:r w:rsidRPr="009D1977">
        <w:rPr>
          <w:rFonts w:ascii="Tahoma" w:hAnsi="Tahoma" w:cs="Tahoma"/>
        </w:rPr>
        <w:t>9</w:t>
      </w:r>
      <w:r w:rsidR="0062070C" w:rsidRPr="009D1977">
        <w:rPr>
          <w:rFonts w:ascii="Tahoma" w:hAnsi="Tahoma" w:cs="Tahoma"/>
        </w:rPr>
        <w:t>.12</w:t>
      </w:r>
      <w:r w:rsidR="005E4FDA" w:rsidRPr="009D1977">
        <w:rPr>
          <w:rFonts w:ascii="Tahoma" w:hAnsi="Tahoma" w:cs="Tahoma"/>
        </w:rPr>
        <w:t xml:space="preserve"> </w:t>
      </w:r>
      <w:r w:rsidR="0062070C" w:rsidRPr="009D1977">
        <w:rPr>
          <w:rFonts w:ascii="Tahoma" w:hAnsi="Tahoma" w:cs="Tahoma"/>
        </w:rPr>
        <w:t>Se le dio</w:t>
      </w:r>
      <w:r w:rsidR="00B7063C" w:rsidRPr="009D1977">
        <w:rPr>
          <w:rFonts w:ascii="Tahoma" w:hAnsi="Tahoma" w:cs="Tahoma"/>
        </w:rPr>
        <w:t xml:space="preserve"> de alta el 20 de ese mes, fecha en la cual se indica que el tercer día de hospitalización tiene patrones de sueño y alimentación normales, se siente tranquilo y animado</w:t>
      </w:r>
      <w:r w:rsidR="0062070C" w:rsidRPr="009D1977">
        <w:rPr>
          <w:rFonts w:ascii="Tahoma" w:hAnsi="Tahoma" w:cs="Tahoma"/>
        </w:rPr>
        <w:t>,</w:t>
      </w:r>
      <w:r w:rsidR="00B7063C" w:rsidRPr="009D1977">
        <w:rPr>
          <w:rFonts w:ascii="Tahoma" w:hAnsi="Tahoma" w:cs="Tahoma"/>
        </w:rPr>
        <w:t xml:space="preserve"> niega haber tenido ideas de muerte o suicidio;  se encuentra clínicamente estable, sin síntomas psicóticos y sin ideación suicida; se considera prudente continuar manejo ambulatorio</w:t>
      </w:r>
      <w:r w:rsidR="00E56ED8" w:rsidRPr="009D1977">
        <w:rPr>
          <w:rFonts w:ascii="Tahoma" w:hAnsi="Tahoma" w:cs="Tahoma"/>
        </w:rPr>
        <w:t>. Se le diagnostica trastorno depresivo recurrente, episodio moderado presente, trastorno mixto de ansiedad y depresión, problemas relacionados con bajos ingresos y de pareja.</w:t>
      </w:r>
    </w:p>
    <w:p w:rsidR="00E56ED8" w:rsidRPr="009D1977" w:rsidRDefault="00E56ED8" w:rsidP="009D1977">
      <w:pPr>
        <w:spacing w:line="276" w:lineRule="auto"/>
        <w:jc w:val="both"/>
        <w:rPr>
          <w:rFonts w:ascii="Tahoma" w:hAnsi="Tahoma" w:cs="Tahoma"/>
        </w:rPr>
      </w:pPr>
    </w:p>
    <w:p w:rsidR="00E56ED8" w:rsidRPr="009D1977" w:rsidRDefault="00DF7418" w:rsidP="009D1977">
      <w:pPr>
        <w:spacing w:line="276" w:lineRule="auto"/>
        <w:jc w:val="both"/>
        <w:rPr>
          <w:rFonts w:ascii="Tahoma" w:hAnsi="Tahoma" w:cs="Tahoma"/>
        </w:rPr>
      </w:pPr>
      <w:r w:rsidRPr="009D1977">
        <w:rPr>
          <w:rFonts w:ascii="Tahoma" w:hAnsi="Tahoma" w:cs="Tahoma"/>
        </w:rPr>
        <w:t>9</w:t>
      </w:r>
      <w:r w:rsidR="0062070C" w:rsidRPr="009D1977">
        <w:rPr>
          <w:rFonts w:ascii="Tahoma" w:hAnsi="Tahoma" w:cs="Tahoma"/>
        </w:rPr>
        <w:t>.13</w:t>
      </w:r>
      <w:r w:rsidR="00E56ED8" w:rsidRPr="009D1977">
        <w:rPr>
          <w:rFonts w:ascii="Tahoma" w:hAnsi="Tahoma" w:cs="Tahoma"/>
        </w:rPr>
        <w:t xml:space="preserve"> El 14 de julio de 2014</w:t>
      </w:r>
      <w:r w:rsidR="00A47CE6" w:rsidRPr="009D1977">
        <w:rPr>
          <w:rFonts w:ascii="Tahoma" w:hAnsi="Tahoma" w:cs="Tahoma"/>
        </w:rPr>
        <w:t xml:space="preserve"> se expresa que el paciente ha estado un poco ansioso y angustiado con la nueva situación de oficina para litigar, fácilmente se torna ansioso ante situaciones de la vida diaria, maneja un temor continuo y permanente; se desespera con facilidad; alerta, un tanto angustiado, ansiedad anticipatoria continua, no delirios, no alucinaciones, con síntomas de ansiedad generalizada. Se le diagnostica trastorno de la ansiedad generalizado y trastorno mixto de ansiedad y depresión.</w:t>
      </w:r>
    </w:p>
    <w:p w:rsidR="00A47CE6" w:rsidRPr="009D1977" w:rsidRDefault="00A47CE6" w:rsidP="009D1977">
      <w:pPr>
        <w:spacing w:line="276" w:lineRule="auto"/>
        <w:jc w:val="both"/>
        <w:rPr>
          <w:rFonts w:ascii="Tahoma" w:hAnsi="Tahoma" w:cs="Tahoma"/>
        </w:rPr>
      </w:pPr>
    </w:p>
    <w:p w:rsidR="00E56ED8" w:rsidRPr="009D1977" w:rsidRDefault="00DF7418" w:rsidP="009D1977">
      <w:pPr>
        <w:spacing w:line="276" w:lineRule="auto"/>
        <w:jc w:val="both"/>
        <w:rPr>
          <w:rFonts w:ascii="Tahoma" w:hAnsi="Tahoma" w:cs="Tahoma"/>
        </w:rPr>
      </w:pPr>
      <w:r w:rsidRPr="009D1977">
        <w:rPr>
          <w:rFonts w:ascii="Tahoma" w:hAnsi="Tahoma" w:cs="Tahoma"/>
        </w:rPr>
        <w:lastRenderedPageBreak/>
        <w:t>9</w:t>
      </w:r>
      <w:r w:rsidR="0062070C" w:rsidRPr="009D1977">
        <w:rPr>
          <w:rFonts w:ascii="Tahoma" w:hAnsi="Tahoma" w:cs="Tahoma"/>
        </w:rPr>
        <w:t>.14</w:t>
      </w:r>
      <w:r w:rsidR="00A47CE6" w:rsidRPr="009D1977">
        <w:rPr>
          <w:rFonts w:ascii="Tahoma" w:hAnsi="Tahoma" w:cs="Tahoma"/>
        </w:rPr>
        <w:t xml:space="preserve"> El 3 de diciembre de 2014 se le propone al paciente hospitalización en el servicio de urgencias o pensión, debido al estado de aceleramiento, locuacidad y cierta </w:t>
      </w:r>
      <w:proofErr w:type="spellStart"/>
      <w:r w:rsidR="00A47CE6" w:rsidRPr="009D1977">
        <w:rPr>
          <w:rFonts w:ascii="Tahoma" w:hAnsi="Tahoma" w:cs="Tahoma"/>
        </w:rPr>
        <w:t>expansividad</w:t>
      </w:r>
      <w:proofErr w:type="spellEnd"/>
      <w:r w:rsidR="00243A89" w:rsidRPr="009D1977">
        <w:rPr>
          <w:rFonts w:ascii="Tahoma" w:hAnsi="Tahoma" w:cs="Tahoma"/>
        </w:rPr>
        <w:t xml:space="preserve">, pero aquel no está de acuerdo; la esposa ofrece cuidarlo en casa; es la primera vez que se le observa en un cuadro de </w:t>
      </w:r>
      <w:r w:rsidR="005B3772" w:rsidRPr="009D1977">
        <w:rPr>
          <w:rFonts w:ascii="Tahoma" w:hAnsi="Tahoma" w:cs="Tahoma"/>
        </w:rPr>
        <w:t>hipomanía. Se describe al enfermo como persona con cuadro ansioso depresivo crónico de más de seis años de evolución; después de ese tiempo empieza a hacer un viraje a hipomanía; se ordena control en dos días y como diagnóstico</w:t>
      </w:r>
      <w:r w:rsidR="002800AF" w:rsidRPr="009D1977">
        <w:rPr>
          <w:rFonts w:ascii="Tahoma" w:hAnsi="Tahoma" w:cs="Tahoma"/>
        </w:rPr>
        <w:t>s se dan otros trastornos afectivo</w:t>
      </w:r>
      <w:r w:rsidR="005B3772" w:rsidRPr="009D1977">
        <w:rPr>
          <w:rFonts w:ascii="Tahoma" w:hAnsi="Tahoma" w:cs="Tahoma"/>
        </w:rPr>
        <w:t xml:space="preserve">s bipolares </w:t>
      </w:r>
      <w:proofErr w:type="spellStart"/>
      <w:r w:rsidR="005B3772" w:rsidRPr="009D1977">
        <w:rPr>
          <w:rFonts w:ascii="Tahoma" w:hAnsi="Tahoma" w:cs="Tahoma"/>
        </w:rPr>
        <w:t>y</w:t>
      </w:r>
      <w:proofErr w:type="spellEnd"/>
      <w:r w:rsidR="005B3772" w:rsidRPr="009D1977">
        <w:rPr>
          <w:rFonts w:ascii="Tahoma" w:hAnsi="Tahoma" w:cs="Tahoma"/>
        </w:rPr>
        <w:t xml:space="preserve"> hipomanía.</w:t>
      </w:r>
    </w:p>
    <w:p w:rsidR="00C509F4" w:rsidRPr="009D1977" w:rsidRDefault="00C509F4" w:rsidP="009D1977">
      <w:pPr>
        <w:spacing w:line="276" w:lineRule="auto"/>
        <w:jc w:val="both"/>
        <w:rPr>
          <w:rFonts w:ascii="Tahoma" w:hAnsi="Tahoma" w:cs="Tahoma"/>
        </w:rPr>
      </w:pPr>
    </w:p>
    <w:p w:rsidR="00F55044" w:rsidRPr="009D1977" w:rsidRDefault="00DF7418" w:rsidP="009D1977">
      <w:pPr>
        <w:spacing w:line="276" w:lineRule="auto"/>
        <w:jc w:val="both"/>
        <w:rPr>
          <w:rFonts w:ascii="Tahoma" w:hAnsi="Tahoma" w:cs="Tahoma"/>
        </w:rPr>
      </w:pPr>
      <w:r w:rsidRPr="009D1977">
        <w:rPr>
          <w:rFonts w:ascii="Tahoma" w:hAnsi="Tahoma" w:cs="Tahoma"/>
        </w:rPr>
        <w:t>9</w:t>
      </w:r>
      <w:r w:rsidR="002800AF" w:rsidRPr="009D1977">
        <w:rPr>
          <w:rFonts w:ascii="Tahoma" w:hAnsi="Tahoma" w:cs="Tahoma"/>
        </w:rPr>
        <w:t xml:space="preserve">.15 </w:t>
      </w:r>
      <w:r w:rsidR="00C509F4" w:rsidRPr="009D1977">
        <w:rPr>
          <w:rFonts w:ascii="Tahoma" w:hAnsi="Tahoma" w:cs="Tahoma"/>
        </w:rPr>
        <w:t xml:space="preserve">El 27 de marzo de 2015 se indica que el paciente es conocido </w:t>
      </w:r>
      <w:r w:rsidR="00D77156" w:rsidRPr="009D1977">
        <w:rPr>
          <w:rFonts w:ascii="Tahoma" w:hAnsi="Tahoma" w:cs="Tahoma"/>
        </w:rPr>
        <w:t>con u</w:t>
      </w:r>
      <w:r w:rsidR="00C509F4" w:rsidRPr="009D1977">
        <w:rPr>
          <w:rFonts w:ascii="Tahoma" w:hAnsi="Tahoma" w:cs="Tahoma"/>
        </w:rPr>
        <w:t>n cua</w:t>
      </w:r>
      <w:r w:rsidR="002800AF" w:rsidRPr="009D1977">
        <w:rPr>
          <w:rFonts w:ascii="Tahoma" w:hAnsi="Tahoma" w:cs="Tahoma"/>
        </w:rPr>
        <w:t>d</w:t>
      </w:r>
      <w:r w:rsidR="00C509F4" w:rsidRPr="009D1977">
        <w:rPr>
          <w:rFonts w:ascii="Tahoma" w:hAnsi="Tahoma" w:cs="Tahoma"/>
        </w:rPr>
        <w:t>ro depresivo ansioso de seis años de evolución, con múltiples tratamientos, medicamentos antidepresivos y ansiolíticos con poca respuesta, convirtiéndose prácticamente en un cuadro refractario</w:t>
      </w:r>
      <w:r w:rsidR="00F55044" w:rsidRPr="009D1977">
        <w:rPr>
          <w:rFonts w:ascii="Tahoma" w:hAnsi="Tahoma" w:cs="Tahoma"/>
        </w:rPr>
        <w:t xml:space="preserve">; en diciembre pasado presentó episodio hipomaniaco franco, que ameritó manejo con </w:t>
      </w:r>
      <w:proofErr w:type="spellStart"/>
      <w:r w:rsidR="00F55044" w:rsidRPr="009D1977">
        <w:rPr>
          <w:rFonts w:ascii="Tahoma" w:hAnsi="Tahoma" w:cs="Tahoma"/>
        </w:rPr>
        <w:t>antipisocioco</w:t>
      </w:r>
      <w:proofErr w:type="spellEnd"/>
      <w:r w:rsidR="00F55044" w:rsidRPr="009D1977">
        <w:rPr>
          <w:rFonts w:ascii="Tahoma" w:hAnsi="Tahoma" w:cs="Tahoma"/>
        </w:rPr>
        <w:t xml:space="preserve"> atípico </w:t>
      </w:r>
      <w:proofErr w:type="spellStart"/>
      <w:r w:rsidR="00F55044" w:rsidRPr="009D1977">
        <w:rPr>
          <w:rFonts w:ascii="Tahoma" w:hAnsi="Tahoma" w:cs="Tahoma"/>
        </w:rPr>
        <w:t>olanzapina</w:t>
      </w:r>
      <w:proofErr w:type="spellEnd"/>
      <w:r w:rsidR="003D1C24" w:rsidRPr="009D1977">
        <w:rPr>
          <w:rFonts w:ascii="Tahoma" w:hAnsi="Tahoma" w:cs="Tahoma"/>
        </w:rPr>
        <w:t>, con buena respuesta</w:t>
      </w:r>
      <w:r w:rsidR="00266D56" w:rsidRPr="009D1977">
        <w:rPr>
          <w:rFonts w:ascii="Tahoma" w:hAnsi="Tahoma" w:cs="Tahoma"/>
        </w:rPr>
        <w:t xml:space="preserve"> aunque sigue con su cuadro de ansiedad generalizada continuo; actualmente mejor aunque sigue ansioso, con temblor de manos tipo tremor y diaforesis facial marcada; está tratando de manejar sus problemas económicos</w:t>
      </w:r>
      <w:r w:rsidR="001E0647" w:rsidRPr="009D1977">
        <w:rPr>
          <w:rFonts w:ascii="Tahoma" w:hAnsi="Tahoma" w:cs="Tahoma"/>
        </w:rPr>
        <w:t xml:space="preserve">  </w:t>
      </w:r>
      <w:r w:rsidR="00266D56" w:rsidRPr="009D1977">
        <w:rPr>
          <w:rFonts w:ascii="Tahoma" w:hAnsi="Tahoma" w:cs="Tahoma"/>
        </w:rPr>
        <w:t xml:space="preserve">y familiares; ha sido obsesivo </w:t>
      </w:r>
      <w:proofErr w:type="spellStart"/>
      <w:r w:rsidR="00266D56" w:rsidRPr="009D1977">
        <w:rPr>
          <w:rFonts w:ascii="Tahoma" w:hAnsi="Tahoma" w:cs="Tahoma"/>
        </w:rPr>
        <w:t>psicotigigido</w:t>
      </w:r>
      <w:proofErr w:type="spellEnd"/>
      <w:r w:rsidR="00266D56" w:rsidRPr="009D1977">
        <w:rPr>
          <w:rFonts w:ascii="Tahoma" w:hAnsi="Tahoma" w:cs="Tahoma"/>
        </w:rPr>
        <w:t xml:space="preserve"> (sic) y desde la adoles</w:t>
      </w:r>
      <w:r w:rsidR="00D77156" w:rsidRPr="009D1977">
        <w:rPr>
          <w:rFonts w:ascii="Tahoma" w:hAnsi="Tahoma" w:cs="Tahoma"/>
        </w:rPr>
        <w:t>c</w:t>
      </w:r>
      <w:r w:rsidR="00266D56" w:rsidRPr="009D1977">
        <w:rPr>
          <w:rFonts w:ascii="Tahoma" w:hAnsi="Tahoma" w:cs="Tahoma"/>
        </w:rPr>
        <w:t>encia ansiedad flotante continua.</w:t>
      </w:r>
    </w:p>
    <w:p w:rsidR="00266D56" w:rsidRPr="009D1977" w:rsidRDefault="00266D56" w:rsidP="009D1977">
      <w:pPr>
        <w:spacing w:line="276" w:lineRule="auto"/>
        <w:jc w:val="both"/>
        <w:rPr>
          <w:rFonts w:ascii="Tahoma" w:hAnsi="Tahoma" w:cs="Tahoma"/>
        </w:rPr>
      </w:pPr>
    </w:p>
    <w:p w:rsidR="00266D56" w:rsidRPr="009D1977" w:rsidRDefault="00266D56" w:rsidP="009D1977">
      <w:pPr>
        <w:spacing w:line="276" w:lineRule="auto"/>
        <w:jc w:val="both"/>
        <w:rPr>
          <w:rFonts w:ascii="Tahoma" w:hAnsi="Tahoma" w:cs="Tahoma"/>
        </w:rPr>
      </w:pPr>
      <w:r w:rsidRPr="009D1977">
        <w:rPr>
          <w:rFonts w:ascii="Tahoma" w:hAnsi="Tahoma" w:cs="Tahoma"/>
        </w:rPr>
        <w:t xml:space="preserve">En el examen mental se le describe como alerta, </w:t>
      </w:r>
      <w:proofErr w:type="spellStart"/>
      <w:r w:rsidRPr="009D1977">
        <w:rPr>
          <w:rFonts w:ascii="Tahoma" w:hAnsi="Tahoma" w:cs="Tahoma"/>
        </w:rPr>
        <w:t>euprosexico</w:t>
      </w:r>
      <w:proofErr w:type="spellEnd"/>
      <w:r w:rsidR="005F7CFF" w:rsidRPr="009D1977">
        <w:rPr>
          <w:rFonts w:ascii="Tahoma" w:hAnsi="Tahoma" w:cs="Tahoma"/>
        </w:rPr>
        <w:t xml:space="preserve">, </w:t>
      </w:r>
      <w:proofErr w:type="spellStart"/>
      <w:r w:rsidR="005F7CFF" w:rsidRPr="009D1977">
        <w:rPr>
          <w:rFonts w:ascii="Tahoma" w:hAnsi="Tahoma" w:cs="Tahoma"/>
        </w:rPr>
        <w:t>eutimico</w:t>
      </w:r>
      <w:proofErr w:type="spellEnd"/>
      <w:r w:rsidR="00D77156" w:rsidRPr="009D1977">
        <w:rPr>
          <w:rFonts w:ascii="Tahoma" w:hAnsi="Tahoma" w:cs="Tahoma"/>
        </w:rPr>
        <w:t xml:space="preserve">, disminución de la ansiedad en comparación con situaciones anteriores, no ideas delirantes, no alucinaciones, introspección positiva, prospección en mejoría, juicio de realidad en recuperación, memoria normal, </w:t>
      </w:r>
      <w:proofErr w:type="spellStart"/>
      <w:r w:rsidR="00D77156" w:rsidRPr="009D1977">
        <w:rPr>
          <w:rFonts w:ascii="Tahoma" w:hAnsi="Tahoma" w:cs="Tahoma"/>
        </w:rPr>
        <w:t>sensopercepción</w:t>
      </w:r>
      <w:proofErr w:type="spellEnd"/>
      <w:r w:rsidR="00D77156" w:rsidRPr="009D1977">
        <w:rPr>
          <w:rFonts w:ascii="Tahoma" w:hAnsi="Tahoma" w:cs="Tahoma"/>
        </w:rPr>
        <w:t xml:space="preserve"> sin alteraciones.</w:t>
      </w:r>
    </w:p>
    <w:p w:rsidR="00D77156" w:rsidRPr="009D1977" w:rsidRDefault="00D77156" w:rsidP="009D1977">
      <w:pPr>
        <w:spacing w:line="276" w:lineRule="auto"/>
        <w:jc w:val="both"/>
        <w:rPr>
          <w:rFonts w:ascii="Tahoma" w:hAnsi="Tahoma" w:cs="Tahoma"/>
        </w:rPr>
      </w:pPr>
    </w:p>
    <w:p w:rsidR="00D77156" w:rsidRPr="009D1977" w:rsidRDefault="00D77156" w:rsidP="009D1977">
      <w:pPr>
        <w:spacing w:line="276" w:lineRule="auto"/>
        <w:jc w:val="both"/>
        <w:rPr>
          <w:rFonts w:ascii="Tahoma" w:hAnsi="Tahoma" w:cs="Tahoma"/>
        </w:rPr>
      </w:pPr>
      <w:r w:rsidRPr="009D1977">
        <w:rPr>
          <w:rFonts w:ascii="Tahoma" w:hAnsi="Tahoma" w:cs="Tahoma"/>
        </w:rPr>
        <w:t>Se le diagnostica con otros trastornos afectivos bipolares, trastorno mixto de ansiedad y depresión y trastorno de ansiedad generalizado</w:t>
      </w:r>
    </w:p>
    <w:p w:rsidR="00691406" w:rsidRPr="009D1977" w:rsidRDefault="00691406" w:rsidP="009D1977">
      <w:pPr>
        <w:spacing w:line="276" w:lineRule="auto"/>
        <w:jc w:val="both"/>
        <w:rPr>
          <w:rFonts w:ascii="Tahoma" w:hAnsi="Tahoma" w:cs="Tahoma"/>
        </w:rPr>
      </w:pPr>
    </w:p>
    <w:p w:rsidR="007F7251" w:rsidRPr="009D1977" w:rsidRDefault="005D0E88" w:rsidP="009D1977">
      <w:pPr>
        <w:spacing w:line="276" w:lineRule="auto"/>
        <w:jc w:val="both"/>
        <w:rPr>
          <w:rFonts w:ascii="Tahoma" w:hAnsi="Tahoma" w:cs="Tahoma"/>
        </w:rPr>
      </w:pPr>
      <w:r w:rsidRPr="009D1977">
        <w:rPr>
          <w:rFonts w:ascii="Tahoma" w:hAnsi="Tahoma" w:cs="Tahoma"/>
        </w:rPr>
        <w:t>A ese documento se le otorga mérito demostrativo</w:t>
      </w:r>
      <w:r w:rsidR="46A0A815" w:rsidRPr="009D1977">
        <w:rPr>
          <w:rFonts w:ascii="Tahoma" w:hAnsi="Tahoma" w:cs="Tahoma"/>
        </w:rPr>
        <w:t xml:space="preserve">, de acuerdo con el artículo 244, inciso </w:t>
      </w:r>
      <w:proofErr w:type="spellStart"/>
      <w:r w:rsidR="46A0A815" w:rsidRPr="009D1977">
        <w:rPr>
          <w:rFonts w:ascii="Tahoma" w:hAnsi="Tahoma" w:cs="Tahoma"/>
        </w:rPr>
        <w:t>2o</w:t>
      </w:r>
      <w:proofErr w:type="spellEnd"/>
      <w:r w:rsidR="46A0A815" w:rsidRPr="009D1977">
        <w:rPr>
          <w:rFonts w:ascii="Tahoma" w:hAnsi="Tahoma" w:cs="Tahoma"/>
        </w:rPr>
        <w:t xml:space="preserve"> del Código Gene</w:t>
      </w:r>
      <w:r w:rsidR="584E788D" w:rsidRPr="009D1977">
        <w:rPr>
          <w:rFonts w:ascii="Tahoma" w:hAnsi="Tahoma" w:cs="Tahoma"/>
        </w:rPr>
        <w:t>ral del Proceso.</w:t>
      </w:r>
    </w:p>
    <w:p w:rsidR="007F7251" w:rsidRPr="009D1977" w:rsidRDefault="007F7251" w:rsidP="009D1977">
      <w:pPr>
        <w:spacing w:line="276" w:lineRule="auto"/>
        <w:jc w:val="both"/>
        <w:rPr>
          <w:rFonts w:ascii="Tahoma" w:hAnsi="Tahoma" w:cs="Tahoma"/>
        </w:rPr>
      </w:pPr>
    </w:p>
    <w:p w:rsidR="007F7251" w:rsidRPr="009D1977" w:rsidRDefault="00DF7418" w:rsidP="009D1977">
      <w:pPr>
        <w:spacing w:line="276" w:lineRule="auto"/>
        <w:jc w:val="both"/>
        <w:rPr>
          <w:rFonts w:ascii="Tahoma" w:hAnsi="Tahoma" w:cs="Tahoma"/>
        </w:rPr>
      </w:pPr>
      <w:r w:rsidRPr="009D1977">
        <w:rPr>
          <w:rFonts w:ascii="Tahoma" w:hAnsi="Tahoma" w:cs="Tahoma"/>
        </w:rPr>
        <w:t xml:space="preserve">10. </w:t>
      </w:r>
      <w:r w:rsidR="007F7251" w:rsidRPr="009D1977">
        <w:rPr>
          <w:rFonts w:ascii="Tahoma" w:hAnsi="Tahoma" w:cs="Tahoma"/>
        </w:rPr>
        <w:t>De tal documento surge evidente que para el 1º de marzo de 2006 el demandante tenía diagnóstico de trastorno de ansiedad generalizada y en esa fecha se dejó anotado que sufría de ansiedad y depresión desde los dieciocho años, aquel padecimiento continuó a lo largo de su existencia y se prolongó por lo menos hasta el 27 de abril de 2015</w:t>
      </w:r>
      <w:r w:rsidR="00C55003" w:rsidRPr="009D1977">
        <w:rPr>
          <w:rFonts w:ascii="Tahoma" w:hAnsi="Tahoma" w:cs="Tahoma"/>
        </w:rPr>
        <w:t xml:space="preserve">, pero además se le sumaron otros como </w:t>
      </w:r>
      <w:r w:rsidR="007F7251" w:rsidRPr="009D1977">
        <w:rPr>
          <w:rFonts w:ascii="Tahoma" w:hAnsi="Tahoma" w:cs="Tahoma"/>
        </w:rPr>
        <w:t xml:space="preserve">trastorno de la personalidad emocionalmente inestable; trastorno </w:t>
      </w:r>
      <w:proofErr w:type="spellStart"/>
      <w:r w:rsidR="007F7251" w:rsidRPr="009D1977">
        <w:rPr>
          <w:rFonts w:ascii="Tahoma" w:hAnsi="Tahoma" w:cs="Tahoma"/>
        </w:rPr>
        <w:t>anacástico</w:t>
      </w:r>
      <w:proofErr w:type="spellEnd"/>
      <w:r w:rsidR="007F7251" w:rsidRPr="009D1977">
        <w:rPr>
          <w:rFonts w:ascii="Tahoma" w:hAnsi="Tahoma" w:cs="Tahoma"/>
        </w:rPr>
        <w:t xml:space="preserve"> de la personalidad</w:t>
      </w:r>
      <w:r w:rsidR="00C55003" w:rsidRPr="009D1977">
        <w:rPr>
          <w:rFonts w:ascii="Tahoma" w:hAnsi="Tahoma" w:cs="Tahoma"/>
        </w:rPr>
        <w:t>;</w:t>
      </w:r>
      <w:r w:rsidR="007F7251" w:rsidRPr="009D1977">
        <w:rPr>
          <w:rFonts w:ascii="Tahoma" w:hAnsi="Tahoma" w:cs="Tahoma"/>
        </w:rPr>
        <w:t xml:space="preserve"> trastorno mixto de ansiedad y depresión y problemas en la relación entre esposos o pareja</w:t>
      </w:r>
      <w:r w:rsidR="00C55003" w:rsidRPr="009D1977">
        <w:rPr>
          <w:rFonts w:ascii="Tahoma" w:hAnsi="Tahoma" w:cs="Tahoma"/>
        </w:rPr>
        <w:t>;</w:t>
      </w:r>
      <w:r w:rsidR="007F7251" w:rsidRPr="009D1977">
        <w:rPr>
          <w:rFonts w:ascii="Tahoma" w:hAnsi="Tahoma" w:cs="Tahoma"/>
        </w:rPr>
        <w:t xml:space="preserve"> </w:t>
      </w:r>
      <w:r w:rsidR="00BF6773" w:rsidRPr="009D1977">
        <w:rPr>
          <w:rFonts w:ascii="Tahoma" w:hAnsi="Tahoma" w:cs="Tahoma"/>
        </w:rPr>
        <w:t>trastorno dep</w:t>
      </w:r>
      <w:r w:rsidR="007F7251" w:rsidRPr="009D1977">
        <w:rPr>
          <w:rFonts w:ascii="Tahoma" w:hAnsi="Tahoma" w:cs="Tahoma"/>
        </w:rPr>
        <w:t>resivo recurrente</w:t>
      </w:r>
      <w:r w:rsidR="00BF6773" w:rsidRPr="009D1977">
        <w:rPr>
          <w:rFonts w:ascii="Tahoma" w:hAnsi="Tahoma" w:cs="Tahoma"/>
        </w:rPr>
        <w:t xml:space="preserve">; </w:t>
      </w:r>
      <w:r w:rsidR="007F7251" w:rsidRPr="009D1977">
        <w:rPr>
          <w:rFonts w:ascii="Tahoma" w:hAnsi="Tahoma" w:cs="Tahoma"/>
        </w:rPr>
        <w:t>trastorno afe</w:t>
      </w:r>
      <w:r w:rsidR="00BF6773" w:rsidRPr="009D1977">
        <w:rPr>
          <w:rFonts w:ascii="Tahoma" w:hAnsi="Tahoma" w:cs="Tahoma"/>
        </w:rPr>
        <w:t>ctivo</w:t>
      </w:r>
      <w:r w:rsidR="007F7251" w:rsidRPr="009D1977">
        <w:rPr>
          <w:rFonts w:ascii="Tahoma" w:hAnsi="Tahoma" w:cs="Tahoma"/>
        </w:rPr>
        <w:t xml:space="preserve"> bipolar </w:t>
      </w:r>
      <w:proofErr w:type="spellStart"/>
      <w:r w:rsidR="007F7251" w:rsidRPr="009D1977">
        <w:rPr>
          <w:rFonts w:ascii="Tahoma" w:hAnsi="Tahoma" w:cs="Tahoma"/>
        </w:rPr>
        <w:t>y</w:t>
      </w:r>
      <w:proofErr w:type="spellEnd"/>
      <w:r w:rsidR="007F7251" w:rsidRPr="009D1977">
        <w:rPr>
          <w:rFonts w:ascii="Tahoma" w:hAnsi="Tahoma" w:cs="Tahoma"/>
        </w:rPr>
        <w:t xml:space="preserve"> hipomanía.</w:t>
      </w:r>
      <w:r w:rsidR="00BF6773" w:rsidRPr="009D1977">
        <w:rPr>
          <w:rFonts w:ascii="Tahoma" w:hAnsi="Tahoma" w:cs="Tahoma"/>
        </w:rPr>
        <w:t xml:space="preserve"> A causa de sus dolencias tomaba medicinas y asistía a controles regulares con médico especialista en psiquiatría.</w:t>
      </w:r>
    </w:p>
    <w:p w:rsidR="007F7251" w:rsidRPr="009D1977" w:rsidRDefault="007F7251" w:rsidP="009D1977">
      <w:pPr>
        <w:spacing w:line="276" w:lineRule="auto"/>
        <w:jc w:val="both"/>
        <w:rPr>
          <w:rFonts w:ascii="Tahoma" w:hAnsi="Tahoma" w:cs="Tahoma"/>
        </w:rPr>
      </w:pPr>
    </w:p>
    <w:p w:rsidR="00EA7B61" w:rsidRPr="009D1977" w:rsidRDefault="00BF6773" w:rsidP="009D1977">
      <w:pPr>
        <w:spacing w:line="276" w:lineRule="auto"/>
        <w:jc w:val="both"/>
        <w:rPr>
          <w:rFonts w:ascii="Tahoma" w:hAnsi="Tahoma" w:cs="Tahoma"/>
        </w:rPr>
      </w:pPr>
      <w:r w:rsidRPr="009D1977">
        <w:rPr>
          <w:rFonts w:ascii="Tahoma" w:hAnsi="Tahoma" w:cs="Tahoma"/>
        </w:rPr>
        <w:t>Es evidente entonces que para las fechas en que el demandante adquirió los seguros de que se trata, el 20 de junio de 2013 y el 21 de agosto de 2014, tenía diagnóstico de una enfermedad mental.</w:t>
      </w:r>
      <w:r w:rsidR="009A3D94" w:rsidRPr="009D1977">
        <w:rPr>
          <w:rFonts w:ascii="Tahoma" w:hAnsi="Tahoma" w:cs="Tahoma"/>
        </w:rPr>
        <w:t xml:space="preserve"> </w:t>
      </w:r>
      <w:r w:rsidR="00FD095F" w:rsidRPr="009D1977">
        <w:rPr>
          <w:rFonts w:ascii="Tahoma" w:hAnsi="Tahoma" w:cs="Tahoma"/>
        </w:rPr>
        <w:t xml:space="preserve">Sin embargo, al suscribir </w:t>
      </w:r>
      <w:r w:rsidR="005D0E88" w:rsidRPr="009D1977">
        <w:rPr>
          <w:rFonts w:ascii="Tahoma" w:hAnsi="Tahoma" w:cs="Tahoma"/>
        </w:rPr>
        <w:t xml:space="preserve">las solicitudes para obtener los </w:t>
      </w:r>
      <w:r w:rsidR="00EC53FC" w:rsidRPr="009D1977">
        <w:rPr>
          <w:rFonts w:ascii="Tahoma" w:hAnsi="Tahoma" w:cs="Tahoma"/>
        </w:rPr>
        <w:t xml:space="preserve">seguros de vida grupo deudores, en aquellas fechas, se le preguntó si ha </w:t>
      </w:r>
      <w:r w:rsidR="49BBF13A" w:rsidRPr="009D1977">
        <w:rPr>
          <w:rFonts w:ascii="Tahoma" w:hAnsi="Tahoma" w:cs="Tahoma"/>
        </w:rPr>
        <w:t>sufrido o</w:t>
      </w:r>
      <w:r w:rsidR="00EC53FC" w:rsidRPr="009D1977">
        <w:rPr>
          <w:rFonts w:ascii="Tahoma" w:hAnsi="Tahoma" w:cs="Tahoma"/>
        </w:rPr>
        <w:t xml:space="preserve"> </w:t>
      </w:r>
      <w:r w:rsidR="00EC53FC" w:rsidRPr="009D1977">
        <w:rPr>
          <w:rFonts w:ascii="Tahoma" w:hAnsi="Tahoma" w:cs="Tahoma"/>
        </w:rPr>
        <w:lastRenderedPageBreak/>
        <w:t xml:space="preserve">sufre alguna enfermedad o problema de salud de </w:t>
      </w:r>
      <w:r w:rsidR="7B46CF6F" w:rsidRPr="009D1977">
        <w:rPr>
          <w:rFonts w:ascii="Tahoma" w:hAnsi="Tahoma" w:cs="Tahoma"/>
        </w:rPr>
        <w:t>los siguientes</w:t>
      </w:r>
      <w:r w:rsidR="00EC53FC" w:rsidRPr="009D1977">
        <w:rPr>
          <w:rFonts w:ascii="Tahoma" w:hAnsi="Tahoma" w:cs="Tahoma"/>
        </w:rPr>
        <w:t xml:space="preserve"> aparatos, sistemas u órganos, entre los que se </w:t>
      </w:r>
      <w:r w:rsidR="003230EC" w:rsidRPr="009D1977">
        <w:rPr>
          <w:rFonts w:ascii="Tahoma" w:hAnsi="Tahoma" w:cs="Tahoma"/>
        </w:rPr>
        <w:t>enlistaron trastornos</w:t>
      </w:r>
      <w:r w:rsidR="00EC53FC" w:rsidRPr="009D1977">
        <w:rPr>
          <w:rFonts w:ascii="Tahoma" w:hAnsi="Tahoma" w:cs="Tahoma"/>
        </w:rPr>
        <w:t xml:space="preserve"> mentales o psiquiátricos, </w:t>
      </w:r>
      <w:r w:rsidR="005D0E88" w:rsidRPr="009D1977">
        <w:rPr>
          <w:rFonts w:ascii="Tahoma" w:hAnsi="Tahoma" w:cs="Tahoma"/>
        </w:rPr>
        <w:t xml:space="preserve">y </w:t>
      </w:r>
      <w:r w:rsidR="00EC53FC" w:rsidRPr="009D1977">
        <w:rPr>
          <w:rFonts w:ascii="Tahoma" w:hAnsi="Tahoma" w:cs="Tahoma"/>
        </w:rPr>
        <w:t>respond</w:t>
      </w:r>
      <w:r w:rsidR="00EA7B61" w:rsidRPr="009D1977">
        <w:rPr>
          <w:rFonts w:ascii="Tahoma" w:hAnsi="Tahoma" w:cs="Tahoma"/>
        </w:rPr>
        <w:t>i</w:t>
      </w:r>
      <w:r w:rsidR="00EC53FC" w:rsidRPr="009D1977">
        <w:rPr>
          <w:rFonts w:ascii="Tahoma" w:hAnsi="Tahoma" w:cs="Tahoma"/>
        </w:rPr>
        <w:t>ó que no.</w:t>
      </w:r>
    </w:p>
    <w:p w:rsidR="00EA7B61" w:rsidRPr="009D1977" w:rsidRDefault="00EA7B61" w:rsidP="009D1977">
      <w:pPr>
        <w:spacing w:line="276" w:lineRule="auto"/>
        <w:jc w:val="both"/>
        <w:rPr>
          <w:rFonts w:ascii="Tahoma" w:hAnsi="Tahoma" w:cs="Tahoma"/>
        </w:rPr>
      </w:pPr>
    </w:p>
    <w:p w:rsidR="00EA7B61" w:rsidRPr="009D1977" w:rsidRDefault="00EA7B61" w:rsidP="009D1977">
      <w:pPr>
        <w:spacing w:line="276" w:lineRule="auto"/>
        <w:jc w:val="both"/>
        <w:rPr>
          <w:rFonts w:ascii="Tahoma" w:hAnsi="Tahoma" w:cs="Tahoma"/>
        </w:rPr>
      </w:pPr>
      <w:r w:rsidRPr="009D1977">
        <w:rPr>
          <w:rFonts w:ascii="Tahoma" w:hAnsi="Tahoma" w:cs="Tahoma"/>
        </w:rPr>
        <w:t>En esos mismos documentos declaró que todas las respuestas eran exactas, completas y verídicas; además aceptó que cualquier omisión o inexactitud o reticencia de las mismas, sean tratadas de acuerdo con el artículo 1058 del Código de Comercio.</w:t>
      </w:r>
    </w:p>
    <w:p w:rsidR="00FD095F" w:rsidRPr="009D1977" w:rsidRDefault="00EA7B61" w:rsidP="009D1977">
      <w:pPr>
        <w:spacing w:line="276" w:lineRule="auto"/>
        <w:jc w:val="both"/>
        <w:rPr>
          <w:rFonts w:ascii="Tahoma" w:hAnsi="Tahoma" w:cs="Tahoma"/>
        </w:rPr>
      </w:pPr>
      <w:r w:rsidRPr="009D1977">
        <w:rPr>
          <w:rFonts w:ascii="Tahoma" w:hAnsi="Tahoma" w:cs="Tahoma"/>
        </w:rPr>
        <w:t xml:space="preserve"> </w:t>
      </w:r>
    </w:p>
    <w:p w:rsidR="00CE1FA8" w:rsidRPr="009D1977" w:rsidRDefault="00DF7418" w:rsidP="009D1977">
      <w:pPr>
        <w:spacing w:line="276" w:lineRule="auto"/>
        <w:jc w:val="both"/>
        <w:rPr>
          <w:rFonts w:ascii="Tahoma" w:hAnsi="Tahoma" w:cs="Tahoma"/>
        </w:rPr>
      </w:pPr>
      <w:r w:rsidRPr="009D1977">
        <w:rPr>
          <w:rFonts w:ascii="Tahoma" w:hAnsi="Tahoma" w:cs="Tahoma"/>
        </w:rPr>
        <w:t xml:space="preserve">Surge de lo expuesto que </w:t>
      </w:r>
      <w:r w:rsidR="00F34E83" w:rsidRPr="009D1977">
        <w:rPr>
          <w:rFonts w:ascii="Tahoma" w:hAnsi="Tahoma" w:cs="Tahoma"/>
        </w:rPr>
        <w:t xml:space="preserve">el señor Jorge Humberto </w:t>
      </w:r>
      <w:proofErr w:type="spellStart"/>
      <w:r w:rsidR="00F34E83" w:rsidRPr="009D1977">
        <w:rPr>
          <w:rFonts w:ascii="Tahoma" w:hAnsi="Tahoma" w:cs="Tahoma"/>
        </w:rPr>
        <w:t>Gartner</w:t>
      </w:r>
      <w:proofErr w:type="spellEnd"/>
      <w:r w:rsidR="00F34E83" w:rsidRPr="009D1977">
        <w:rPr>
          <w:rFonts w:ascii="Tahoma" w:hAnsi="Tahoma" w:cs="Tahoma"/>
        </w:rPr>
        <w:t xml:space="preserve"> López omitió el d</w:t>
      </w:r>
      <w:r w:rsidR="00FD095F" w:rsidRPr="009D1977">
        <w:rPr>
          <w:rFonts w:ascii="Tahoma" w:hAnsi="Tahoma" w:cs="Tahoma"/>
        </w:rPr>
        <w:t>eber de informar sinceramente su estado de sa</w:t>
      </w:r>
      <w:r w:rsidR="00F34E83" w:rsidRPr="009D1977">
        <w:rPr>
          <w:rFonts w:ascii="Tahoma" w:hAnsi="Tahoma" w:cs="Tahoma"/>
        </w:rPr>
        <w:t>lud y sus antecedentes médicos relacionados con los trastornos mentales o psiquiátricos</w:t>
      </w:r>
      <w:r w:rsidR="00CE1FA8" w:rsidRPr="009D1977">
        <w:rPr>
          <w:rFonts w:ascii="Tahoma" w:hAnsi="Tahoma" w:cs="Tahoma"/>
        </w:rPr>
        <w:t xml:space="preserve"> a pesar de</w:t>
      </w:r>
      <w:r w:rsidR="00F34E83" w:rsidRPr="009D1977">
        <w:rPr>
          <w:rFonts w:ascii="Tahoma" w:hAnsi="Tahoma" w:cs="Tahoma"/>
        </w:rPr>
        <w:t xml:space="preserve"> que se le habían </w:t>
      </w:r>
      <w:r w:rsidR="00CE1FA8" w:rsidRPr="009D1977">
        <w:rPr>
          <w:rFonts w:ascii="Tahoma" w:hAnsi="Tahoma" w:cs="Tahoma"/>
        </w:rPr>
        <w:t xml:space="preserve">diagnosticado desde 2006, estaba medicado y sometido a controles psiquiátricos desde esa fecha, aunque de acuerdo con su historia clínica, los padecía desde la edad de dieciocho años; de manera expresa se le </w:t>
      </w:r>
      <w:r w:rsidR="00F34E83" w:rsidRPr="009D1977">
        <w:rPr>
          <w:rFonts w:ascii="Tahoma" w:hAnsi="Tahoma" w:cs="Tahoma"/>
        </w:rPr>
        <w:t>interrog</w:t>
      </w:r>
      <w:r w:rsidR="00CE1FA8" w:rsidRPr="009D1977">
        <w:rPr>
          <w:rFonts w:ascii="Tahoma" w:hAnsi="Tahoma" w:cs="Tahoma"/>
        </w:rPr>
        <w:t xml:space="preserve">ó </w:t>
      </w:r>
      <w:r w:rsidR="00F34E83" w:rsidRPr="009D1977">
        <w:rPr>
          <w:rFonts w:ascii="Tahoma" w:hAnsi="Tahoma" w:cs="Tahoma"/>
        </w:rPr>
        <w:t>en los formularios sobre solicitud de seguro de vida grupo deudores</w:t>
      </w:r>
      <w:r w:rsidR="00CE1FA8" w:rsidRPr="009D1977">
        <w:rPr>
          <w:rFonts w:ascii="Tahoma" w:hAnsi="Tahoma" w:cs="Tahoma"/>
        </w:rPr>
        <w:t xml:space="preserve"> si padecía esa clase de padecimientos y de la misma forma, contestó que no.</w:t>
      </w:r>
    </w:p>
    <w:p w:rsidR="00DA6C80" w:rsidRPr="009D1977" w:rsidRDefault="00DA6C80" w:rsidP="009D1977">
      <w:pPr>
        <w:spacing w:line="276" w:lineRule="auto"/>
        <w:jc w:val="both"/>
        <w:rPr>
          <w:rFonts w:ascii="Tahoma" w:hAnsi="Tahoma" w:cs="Tahoma"/>
        </w:rPr>
      </w:pPr>
    </w:p>
    <w:p w:rsidR="00DA6C80" w:rsidRPr="009D1977" w:rsidRDefault="00DA6C80" w:rsidP="009D1977">
      <w:pPr>
        <w:spacing w:line="276" w:lineRule="auto"/>
        <w:jc w:val="both"/>
        <w:rPr>
          <w:rFonts w:ascii="Tahoma" w:hAnsi="Tahoma" w:cs="Tahoma"/>
        </w:rPr>
      </w:pPr>
      <w:r w:rsidRPr="009D1977">
        <w:rPr>
          <w:rFonts w:ascii="Tahoma" w:hAnsi="Tahoma" w:cs="Tahoma"/>
        </w:rPr>
        <w:t xml:space="preserve">Por ello, puede decirse que el citado señor fue reticente en la información que brindó a la compañía de seguros, en cuanto declaró que no padecía trastornos mentales o psiquiátricos, pues </w:t>
      </w:r>
      <w:r w:rsidR="529710CA" w:rsidRPr="009D1977">
        <w:rPr>
          <w:rFonts w:ascii="Tahoma" w:hAnsi="Tahoma" w:cs="Tahoma"/>
        </w:rPr>
        <w:t>demostrado está</w:t>
      </w:r>
      <w:r w:rsidRPr="009D1977">
        <w:rPr>
          <w:rFonts w:ascii="Tahoma" w:hAnsi="Tahoma" w:cs="Tahoma"/>
        </w:rPr>
        <w:t xml:space="preserve"> lo contrario</w:t>
      </w:r>
      <w:r w:rsidR="00DF7418" w:rsidRPr="009D1977">
        <w:rPr>
          <w:rFonts w:ascii="Tahoma" w:hAnsi="Tahoma" w:cs="Tahoma"/>
        </w:rPr>
        <w:t>.</w:t>
      </w:r>
    </w:p>
    <w:p w:rsidR="00CE1FA8" w:rsidRPr="009D1977" w:rsidRDefault="00CE1FA8" w:rsidP="009D1977">
      <w:pPr>
        <w:spacing w:line="276" w:lineRule="auto"/>
        <w:jc w:val="both"/>
        <w:rPr>
          <w:rFonts w:ascii="Tahoma" w:hAnsi="Tahoma" w:cs="Tahoma"/>
        </w:rPr>
      </w:pPr>
    </w:p>
    <w:p w:rsidR="00FD095F" w:rsidRPr="009D1977" w:rsidRDefault="00CE1FA8" w:rsidP="009D1977">
      <w:pPr>
        <w:spacing w:line="276" w:lineRule="auto"/>
        <w:jc w:val="both"/>
        <w:rPr>
          <w:rFonts w:ascii="Tahoma" w:hAnsi="Tahoma" w:cs="Tahoma"/>
        </w:rPr>
      </w:pPr>
      <w:r w:rsidRPr="009D1977">
        <w:rPr>
          <w:rFonts w:ascii="Tahoma" w:hAnsi="Tahoma" w:cs="Tahoma"/>
        </w:rPr>
        <w:t xml:space="preserve">Los diagnósticos sobre el estado de salud mental del citado señor, tratados por médico especialista en psiquiatría, resultaban de suma importancia para el </w:t>
      </w:r>
      <w:r w:rsidR="00FD095F" w:rsidRPr="009D1977">
        <w:rPr>
          <w:rFonts w:ascii="Tahoma" w:hAnsi="Tahoma" w:cs="Tahoma"/>
        </w:rPr>
        <w:t xml:space="preserve">consentimiento del asegurador, </w:t>
      </w:r>
      <w:r w:rsidRPr="009D1977">
        <w:rPr>
          <w:rFonts w:ascii="Tahoma" w:hAnsi="Tahoma" w:cs="Tahoma"/>
        </w:rPr>
        <w:t>y por ende, el otorgado en las condiciones explicadas, no se puede calificar como libre de vicios</w:t>
      </w:r>
      <w:r w:rsidR="00FD095F" w:rsidRPr="009D1977">
        <w:rPr>
          <w:rFonts w:ascii="Tahoma" w:hAnsi="Tahoma" w:cs="Tahoma"/>
        </w:rPr>
        <w:t xml:space="preserve">, porque al </w:t>
      </w:r>
      <w:r w:rsidRPr="009D1977">
        <w:rPr>
          <w:rFonts w:ascii="Tahoma" w:hAnsi="Tahoma" w:cs="Tahoma"/>
        </w:rPr>
        <w:t xml:space="preserve">ocultarse el </w:t>
      </w:r>
      <w:r w:rsidR="00FD095F" w:rsidRPr="009D1977">
        <w:rPr>
          <w:rFonts w:ascii="Tahoma" w:hAnsi="Tahoma" w:cs="Tahoma"/>
        </w:rPr>
        <w:t xml:space="preserve">estado del riesgo, </w:t>
      </w:r>
      <w:r w:rsidR="00DA6C80" w:rsidRPr="009D1977">
        <w:rPr>
          <w:rFonts w:ascii="Tahoma" w:hAnsi="Tahoma" w:cs="Tahoma"/>
        </w:rPr>
        <w:t>se formó un juicio equivocado al respecto y e</w:t>
      </w:r>
      <w:r w:rsidR="00FD095F" w:rsidRPr="009D1977">
        <w:rPr>
          <w:rFonts w:ascii="Tahoma" w:hAnsi="Tahoma" w:cs="Tahoma"/>
        </w:rPr>
        <w:t>l artículo 1058 del Código de Comercio, sanciona la reticencia con la nulidad relativa del contrato de seguro</w:t>
      </w:r>
      <w:r w:rsidR="00DA6C80" w:rsidRPr="009D1977">
        <w:rPr>
          <w:rFonts w:ascii="Tahoma" w:hAnsi="Tahoma" w:cs="Tahoma"/>
        </w:rPr>
        <w:t>.</w:t>
      </w:r>
    </w:p>
    <w:p w:rsidR="00FD095F" w:rsidRPr="009D1977" w:rsidRDefault="00FD095F" w:rsidP="009D1977">
      <w:pPr>
        <w:spacing w:line="276" w:lineRule="auto"/>
        <w:jc w:val="both"/>
        <w:rPr>
          <w:rFonts w:ascii="Tahoma" w:hAnsi="Tahoma" w:cs="Tahoma"/>
        </w:rPr>
      </w:pPr>
    </w:p>
    <w:p w:rsidR="00FD095F" w:rsidRPr="009D1977" w:rsidRDefault="00230DA7" w:rsidP="009D1977">
      <w:pPr>
        <w:spacing w:line="276" w:lineRule="auto"/>
        <w:jc w:val="both"/>
        <w:rPr>
          <w:rFonts w:ascii="Tahoma" w:hAnsi="Tahoma" w:cs="Tahoma"/>
        </w:rPr>
      </w:pPr>
      <w:r w:rsidRPr="009D1977">
        <w:rPr>
          <w:rFonts w:ascii="Tahoma" w:hAnsi="Tahoma" w:cs="Tahoma"/>
        </w:rPr>
        <w:t xml:space="preserve">Tuvo entonces razón el </w:t>
      </w:r>
      <w:r w:rsidR="00FD095F" w:rsidRPr="009D1977">
        <w:rPr>
          <w:rFonts w:ascii="Tahoma" w:hAnsi="Tahoma" w:cs="Tahoma"/>
        </w:rPr>
        <w:t xml:space="preserve">señor juez de primera instancia al declarar la excepción de nulidad relativa del contrato propuesta por la </w:t>
      </w:r>
      <w:r w:rsidRPr="009D1977">
        <w:rPr>
          <w:rFonts w:ascii="Tahoma" w:hAnsi="Tahoma" w:cs="Tahoma"/>
        </w:rPr>
        <w:t xml:space="preserve">compañía de seguros </w:t>
      </w:r>
      <w:r w:rsidR="00FD095F" w:rsidRPr="009D1977">
        <w:rPr>
          <w:rFonts w:ascii="Tahoma" w:hAnsi="Tahoma" w:cs="Tahoma"/>
        </w:rPr>
        <w:t>demandada</w:t>
      </w:r>
      <w:r w:rsidR="00AD110F" w:rsidRPr="009D1977">
        <w:rPr>
          <w:rFonts w:ascii="Tahoma" w:hAnsi="Tahoma" w:cs="Tahoma"/>
        </w:rPr>
        <w:t>, sin que se compartan los argumentos del apoderado de la parte demandante que considera lo contrario, con fundamento en los argumentos que a continuación se analizan</w:t>
      </w:r>
      <w:r w:rsidR="00FD095F" w:rsidRPr="009D1977">
        <w:rPr>
          <w:rFonts w:ascii="Tahoma" w:hAnsi="Tahoma" w:cs="Tahoma"/>
        </w:rPr>
        <w:t>.</w:t>
      </w:r>
    </w:p>
    <w:p w:rsidR="00FD095F" w:rsidRPr="009D1977" w:rsidRDefault="00FD095F" w:rsidP="009D1977">
      <w:pPr>
        <w:spacing w:line="276" w:lineRule="auto"/>
        <w:jc w:val="both"/>
        <w:rPr>
          <w:rFonts w:ascii="Tahoma" w:hAnsi="Tahoma" w:cs="Tahoma"/>
        </w:rPr>
      </w:pPr>
    </w:p>
    <w:p w:rsidR="000F6DD4" w:rsidRPr="009D1977" w:rsidRDefault="00DF7418" w:rsidP="009D1977">
      <w:pPr>
        <w:spacing w:line="276" w:lineRule="auto"/>
        <w:jc w:val="both"/>
        <w:rPr>
          <w:rFonts w:ascii="Tahoma" w:hAnsi="Tahoma" w:cs="Tahoma"/>
        </w:rPr>
      </w:pPr>
      <w:r w:rsidRPr="009D1977">
        <w:rPr>
          <w:rFonts w:ascii="Tahoma" w:hAnsi="Tahoma" w:cs="Tahoma"/>
        </w:rPr>
        <w:t xml:space="preserve">11. </w:t>
      </w:r>
      <w:r w:rsidR="00AD110F" w:rsidRPr="009D1977">
        <w:rPr>
          <w:rFonts w:ascii="Tahoma" w:hAnsi="Tahoma" w:cs="Tahoma"/>
        </w:rPr>
        <w:t>S</w:t>
      </w:r>
      <w:r w:rsidR="000F6DD4" w:rsidRPr="009D1977">
        <w:rPr>
          <w:rFonts w:ascii="Tahoma" w:hAnsi="Tahoma" w:cs="Tahoma"/>
        </w:rPr>
        <w:t xml:space="preserve">ostiene que la pregunta que se hizo al señor </w:t>
      </w:r>
      <w:proofErr w:type="spellStart"/>
      <w:r w:rsidR="000F6DD4" w:rsidRPr="009D1977">
        <w:rPr>
          <w:rFonts w:ascii="Tahoma" w:hAnsi="Tahoma" w:cs="Tahoma"/>
        </w:rPr>
        <w:t>Gartner</w:t>
      </w:r>
      <w:proofErr w:type="spellEnd"/>
      <w:r w:rsidR="000F6DD4" w:rsidRPr="009D1977">
        <w:rPr>
          <w:rFonts w:ascii="Tahoma" w:hAnsi="Tahoma" w:cs="Tahoma"/>
        </w:rPr>
        <w:t xml:space="preserve"> López al suscribir la solicitud de seguro, en el sentido </w:t>
      </w:r>
      <w:r w:rsidR="00694429" w:rsidRPr="009D1977">
        <w:rPr>
          <w:rFonts w:ascii="Tahoma" w:hAnsi="Tahoma" w:cs="Tahoma"/>
        </w:rPr>
        <w:t>d</w:t>
      </w:r>
      <w:r w:rsidR="000F6DD4" w:rsidRPr="009D1977">
        <w:rPr>
          <w:rFonts w:ascii="Tahoma" w:hAnsi="Tahoma" w:cs="Tahoma"/>
        </w:rPr>
        <w:t>e si sufría alguna incapacidad física o mental, trastornos mentales o psiquiátricos resulta ambigua, porque lo dejaron sin ninguna claridad por ser amplia</w:t>
      </w:r>
      <w:r w:rsidRPr="009D1977">
        <w:rPr>
          <w:rFonts w:ascii="Tahoma" w:hAnsi="Tahoma" w:cs="Tahoma"/>
        </w:rPr>
        <w:t>. S</w:t>
      </w:r>
      <w:r w:rsidR="000F6DD4" w:rsidRPr="009D1977">
        <w:rPr>
          <w:rFonts w:ascii="Tahoma" w:hAnsi="Tahoma" w:cs="Tahoma"/>
        </w:rPr>
        <w:t xml:space="preserve">e </w:t>
      </w:r>
      <w:r w:rsidRPr="009D1977">
        <w:rPr>
          <w:rFonts w:ascii="Tahoma" w:hAnsi="Tahoma" w:cs="Tahoma"/>
        </w:rPr>
        <w:t xml:space="preserve">interroga a sí mismo sobre </w:t>
      </w:r>
      <w:r w:rsidR="000F6DD4" w:rsidRPr="009D1977">
        <w:rPr>
          <w:rFonts w:ascii="Tahoma" w:hAnsi="Tahoma" w:cs="Tahoma"/>
        </w:rPr>
        <w:t>quién no ha tenido un stress o ansiedad o episodio de depresión, para luego afirmar que eso “</w:t>
      </w:r>
      <w:r w:rsidR="000F6DD4" w:rsidRPr="009D1977">
        <w:rPr>
          <w:rFonts w:ascii="Tahoma" w:hAnsi="Tahoma" w:cs="Tahoma"/>
          <w:sz w:val="22"/>
        </w:rPr>
        <w:t>significaría que toda persona ha sufrido enfermedad mental</w:t>
      </w:r>
      <w:r w:rsidR="000F6DD4" w:rsidRPr="009D1977">
        <w:rPr>
          <w:rFonts w:ascii="Tahoma" w:hAnsi="Tahoma" w:cs="Tahoma"/>
        </w:rPr>
        <w:t>”.</w:t>
      </w:r>
      <w:r w:rsidR="00C306F5" w:rsidRPr="009D1977">
        <w:rPr>
          <w:rFonts w:ascii="Tahoma" w:hAnsi="Tahoma" w:cs="Tahoma"/>
        </w:rPr>
        <w:t xml:space="preserve"> </w:t>
      </w:r>
      <w:r w:rsidR="009D1977">
        <w:rPr>
          <w:rFonts w:ascii="Tahoma" w:hAnsi="Tahoma" w:cs="Tahoma"/>
        </w:rPr>
        <w:t xml:space="preserve"> </w:t>
      </w:r>
      <w:r w:rsidR="00C306F5" w:rsidRPr="009D1977">
        <w:rPr>
          <w:rFonts w:ascii="Tahoma" w:hAnsi="Tahoma" w:cs="Tahoma"/>
        </w:rPr>
        <w:t>Además expresa que el citado demandante, para la fecha de celebración de los contratos venía con la ansiedad y el estrés, que para la sociedad son totalmente consuetudinarios y normales, sin que sean considerados como enfermedades mentales o psiquiátricas y pone como ejemplo a todos los empleados de la rama judicial que manejan estrés y ansiedad por el cúmulo de trabajo y la presió</w:t>
      </w:r>
      <w:r w:rsidRPr="009D1977">
        <w:rPr>
          <w:rFonts w:ascii="Tahoma" w:hAnsi="Tahoma" w:cs="Tahoma"/>
        </w:rPr>
        <w:t xml:space="preserve">n de sus superiores; que </w:t>
      </w:r>
      <w:r w:rsidR="00C306F5" w:rsidRPr="009D1977">
        <w:rPr>
          <w:rFonts w:ascii="Tahoma" w:hAnsi="Tahoma" w:cs="Tahoma"/>
        </w:rPr>
        <w:t>aquellas enfermedad</w:t>
      </w:r>
      <w:r w:rsidRPr="009D1977">
        <w:rPr>
          <w:rFonts w:ascii="Tahoma" w:hAnsi="Tahoma" w:cs="Tahoma"/>
        </w:rPr>
        <w:t xml:space="preserve">es se </w:t>
      </w:r>
      <w:r w:rsidRPr="009D1977">
        <w:rPr>
          <w:rFonts w:ascii="Tahoma" w:hAnsi="Tahoma" w:cs="Tahoma"/>
        </w:rPr>
        <w:lastRenderedPageBreak/>
        <w:t>hace “remisión”</w:t>
      </w:r>
      <w:r w:rsidR="00C306F5" w:rsidRPr="009D1977">
        <w:rPr>
          <w:rFonts w:ascii="Tahoma" w:hAnsi="Tahoma" w:cs="Tahoma"/>
        </w:rPr>
        <w:t xml:space="preserve"> a los locos, psicópatas, entre otros, al punto de causar vergüenza estar incluido en ese grupo, “</w:t>
      </w:r>
      <w:r w:rsidR="009D1977" w:rsidRPr="009D1977">
        <w:rPr>
          <w:rFonts w:ascii="Tahoma" w:hAnsi="Tahoma" w:cs="Tahoma"/>
          <w:sz w:val="22"/>
        </w:rPr>
        <w:t xml:space="preserve">y a </w:t>
      </w:r>
      <w:r w:rsidR="00C306F5" w:rsidRPr="009D1977">
        <w:rPr>
          <w:rFonts w:ascii="Tahoma" w:hAnsi="Tahoma" w:cs="Tahoma"/>
          <w:sz w:val="22"/>
        </w:rPr>
        <w:t>no ser que el banco o la aseguradora indiquen con precisión que la ansiedad y el estrés no se incluyen</w:t>
      </w:r>
      <w:r w:rsidR="00C306F5" w:rsidRPr="009D1977">
        <w:rPr>
          <w:rFonts w:ascii="Tahoma" w:hAnsi="Tahoma" w:cs="Tahoma"/>
        </w:rPr>
        <w:t>”, la respuesta más lógica, consecuente, honesta y verdadera, es que no se sufren enfermedades mentales o psiquiátricas.</w:t>
      </w:r>
    </w:p>
    <w:p w:rsidR="000F6DD4" w:rsidRPr="009D1977" w:rsidRDefault="000F6DD4" w:rsidP="009D1977">
      <w:pPr>
        <w:spacing w:line="276" w:lineRule="auto"/>
        <w:jc w:val="both"/>
        <w:rPr>
          <w:rFonts w:ascii="Tahoma" w:hAnsi="Tahoma" w:cs="Tahoma"/>
        </w:rPr>
      </w:pPr>
    </w:p>
    <w:p w:rsidR="00694429" w:rsidRPr="009D1977" w:rsidRDefault="000F6DD4" w:rsidP="009D1977">
      <w:pPr>
        <w:spacing w:line="276" w:lineRule="auto"/>
        <w:jc w:val="both"/>
        <w:rPr>
          <w:rFonts w:ascii="Tahoma" w:hAnsi="Tahoma" w:cs="Tahoma"/>
        </w:rPr>
      </w:pPr>
      <w:r w:rsidRPr="009D1977">
        <w:rPr>
          <w:rFonts w:ascii="Tahoma" w:hAnsi="Tahoma" w:cs="Tahoma"/>
        </w:rPr>
        <w:t>Tales argumentos no los comparte la Sala, p</w:t>
      </w:r>
      <w:r w:rsidR="00694429" w:rsidRPr="009D1977">
        <w:rPr>
          <w:rFonts w:ascii="Tahoma" w:hAnsi="Tahoma" w:cs="Tahoma"/>
        </w:rPr>
        <w:t xml:space="preserve">ues además de que no explica el recurrente porqué resulta ambiguo el interrogante </w:t>
      </w:r>
      <w:r w:rsidR="00C306F5" w:rsidRPr="009D1977">
        <w:rPr>
          <w:rFonts w:ascii="Tahoma" w:hAnsi="Tahoma" w:cs="Tahoma"/>
        </w:rPr>
        <w:t xml:space="preserve">a que se refiere, </w:t>
      </w:r>
      <w:r w:rsidR="00694429" w:rsidRPr="009D1977">
        <w:rPr>
          <w:rFonts w:ascii="Tahoma" w:hAnsi="Tahoma" w:cs="Tahoma"/>
        </w:rPr>
        <w:t>este se ofrece claro. En efecto, como se expresara en otro aparte de esta providencia se le preguntó si ha sufrido o sufre alguna enfermedad o problema de salud relacionada con trastornos mentales o psiquiátricos.</w:t>
      </w:r>
    </w:p>
    <w:p w:rsidR="00694429" w:rsidRPr="009D1977" w:rsidRDefault="00694429" w:rsidP="009D1977">
      <w:pPr>
        <w:spacing w:line="276" w:lineRule="auto"/>
        <w:jc w:val="both"/>
        <w:rPr>
          <w:rFonts w:ascii="Tahoma" w:hAnsi="Tahoma" w:cs="Tahoma"/>
        </w:rPr>
      </w:pPr>
    </w:p>
    <w:p w:rsidR="004B260C" w:rsidRPr="009D1977" w:rsidRDefault="00694429" w:rsidP="009D1977">
      <w:pPr>
        <w:spacing w:line="276" w:lineRule="auto"/>
        <w:jc w:val="both"/>
        <w:rPr>
          <w:rFonts w:ascii="Tahoma" w:hAnsi="Tahoma" w:cs="Tahoma"/>
        </w:rPr>
      </w:pPr>
      <w:r w:rsidRPr="009D1977">
        <w:rPr>
          <w:rFonts w:ascii="Tahoma" w:hAnsi="Tahoma" w:cs="Tahoma"/>
        </w:rPr>
        <w:t>Tal pregunta, formulada en junio de 2013 y en agosto de 2014, ha debido responderla con sinceridad, dados los diagnósticos que por médicos expertos en psiquiatría se le venían dando desde el año 2006 y que afectaban su esfera mental</w:t>
      </w:r>
      <w:r w:rsidR="004B260C" w:rsidRPr="009D1977">
        <w:rPr>
          <w:rFonts w:ascii="Tahoma" w:hAnsi="Tahoma" w:cs="Tahoma"/>
        </w:rPr>
        <w:t>.</w:t>
      </w:r>
    </w:p>
    <w:p w:rsidR="004B260C" w:rsidRPr="009D1977" w:rsidRDefault="004B260C" w:rsidP="009D1977">
      <w:pPr>
        <w:spacing w:line="276" w:lineRule="auto"/>
        <w:jc w:val="both"/>
        <w:rPr>
          <w:rFonts w:ascii="Tahoma" w:hAnsi="Tahoma" w:cs="Tahoma"/>
        </w:rPr>
      </w:pPr>
    </w:p>
    <w:p w:rsidR="000F6DD4" w:rsidRPr="009D1977" w:rsidRDefault="004B260C" w:rsidP="009D1977">
      <w:pPr>
        <w:spacing w:line="276" w:lineRule="auto"/>
        <w:jc w:val="both"/>
        <w:rPr>
          <w:rFonts w:ascii="Tahoma" w:hAnsi="Tahoma" w:cs="Tahoma"/>
        </w:rPr>
      </w:pPr>
      <w:r w:rsidRPr="009D1977">
        <w:rPr>
          <w:rFonts w:ascii="Tahoma" w:hAnsi="Tahoma" w:cs="Tahoma"/>
        </w:rPr>
        <w:t xml:space="preserve">Además, no se trataba de </w:t>
      </w:r>
      <w:r w:rsidR="00694429" w:rsidRPr="009D1977">
        <w:rPr>
          <w:rFonts w:ascii="Tahoma" w:hAnsi="Tahoma" w:cs="Tahoma"/>
        </w:rPr>
        <w:t>un episodio</w:t>
      </w:r>
      <w:r w:rsidRPr="009D1977">
        <w:rPr>
          <w:rFonts w:ascii="Tahoma" w:hAnsi="Tahoma" w:cs="Tahoma"/>
        </w:rPr>
        <w:t xml:space="preserve"> cualquiera </w:t>
      </w:r>
      <w:r w:rsidR="00694429" w:rsidRPr="009D1977">
        <w:rPr>
          <w:rFonts w:ascii="Tahoma" w:hAnsi="Tahoma" w:cs="Tahoma"/>
        </w:rPr>
        <w:t xml:space="preserve">de stress o depresión como pretende hacerlo ver sin fundamento alguno y desconociendo que fueron </w:t>
      </w:r>
      <w:r w:rsidRPr="009D1977">
        <w:rPr>
          <w:rFonts w:ascii="Tahoma" w:hAnsi="Tahoma" w:cs="Tahoma"/>
        </w:rPr>
        <w:t xml:space="preserve">esos diagnósticos, tratados por psiquiatría, por lo menos desde 2006, </w:t>
      </w:r>
      <w:r w:rsidR="00866A9D" w:rsidRPr="009D1977">
        <w:rPr>
          <w:rFonts w:ascii="Tahoma" w:hAnsi="Tahoma" w:cs="Tahoma"/>
        </w:rPr>
        <w:t xml:space="preserve">los </w:t>
      </w:r>
      <w:r w:rsidR="36E26FDF" w:rsidRPr="009D1977">
        <w:rPr>
          <w:rFonts w:ascii="Tahoma" w:hAnsi="Tahoma" w:cs="Tahoma"/>
        </w:rPr>
        <w:t>que propiciaron</w:t>
      </w:r>
      <w:r w:rsidR="00866A9D" w:rsidRPr="009D1977">
        <w:rPr>
          <w:rFonts w:ascii="Tahoma" w:hAnsi="Tahoma" w:cs="Tahoma"/>
        </w:rPr>
        <w:t xml:space="preserve"> que se calificara en un </w:t>
      </w:r>
      <w:r w:rsidR="00C306F5" w:rsidRPr="009D1977">
        <w:rPr>
          <w:rFonts w:ascii="Tahoma" w:hAnsi="Tahoma" w:cs="Tahoma"/>
        </w:rPr>
        <w:t>50.83</w:t>
      </w:r>
      <w:r w:rsidR="00866A9D" w:rsidRPr="009D1977">
        <w:rPr>
          <w:rFonts w:ascii="Tahoma" w:hAnsi="Tahoma" w:cs="Tahoma"/>
        </w:rPr>
        <w:t>% su pérdida de capacidad para laborar.</w:t>
      </w:r>
    </w:p>
    <w:p w:rsidR="000F6DD4" w:rsidRPr="009D1977" w:rsidRDefault="000F6DD4" w:rsidP="009D1977">
      <w:pPr>
        <w:spacing w:line="276" w:lineRule="auto"/>
        <w:jc w:val="both"/>
        <w:rPr>
          <w:rFonts w:ascii="Tahoma" w:hAnsi="Tahoma" w:cs="Tahoma"/>
        </w:rPr>
      </w:pPr>
    </w:p>
    <w:p w:rsidR="00196E62" w:rsidRPr="009D1977" w:rsidRDefault="00196E62" w:rsidP="009D1977">
      <w:pPr>
        <w:spacing w:line="276" w:lineRule="auto"/>
        <w:jc w:val="both"/>
        <w:rPr>
          <w:rFonts w:ascii="Tahoma" w:hAnsi="Tahoma" w:cs="Tahoma"/>
        </w:rPr>
      </w:pPr>
      <w:r w:rsidRPr="009D1977">
        <w:rPr>
          <w:rFonts w:ascii="Tahoma" w:hAnsi="Tahoma" w:cs="Tahoma"/>
        </w:rPr>
        <w:t>A otros calificativos como “locos o psicópatas” que menciona el apoderado del actor en sus alegatos no hacía referencia la pregunta que cuestiona, términos que por demás, no son los únicos que pueden incluirse dentro de una enfermedad mental o psiquiátrica.</w:t>
      </w:r>
    </w:p>
    <w:p w:rsidR="00196E62" w:rsidRPr="009D1977" w:rsidRDefault="00196E62" w:rsidP="009D1977">
      <w:pPr>
        <w:spacing w:line="276" w:lineRule="auto"/>
        <w:jc w:val="both"/>
        <w:rPr>
          <w:rFonts w:ascii="Tahoma" w:hAnsi="Tahoma" w:cs="Tahoma"/>
        </w:rPr>
      </w:pPr>
    </w:p>
    <w:p w:rsidR="00196E62" w:rsidRPr="009D1977" w:rsidRDefault="00DF7418" w:rsidP="009D1977">
      <w:pPr>
        <w:spacing w:line="276" w:lineRule="auto"/>
        <w:jc w:val="both"/>
        <w:rPr>
          <w:rFonts w:ascii="Tahoma" w:hAnsi="Tahoma" w:cs="Tahoma"/>
        </w:rPr>
      </w:pPr>
      <w:r w:rsidRPr="009D1977">
        <w:rPr>
          <w:rFonts w:ascii="Tahoma" w:hAnsi="Tahoma" w:cs="Tahoma"/>
        </w:rPr>
        <w:t>12.</w:t>
      </w:r>
      <w:r w:rsidR="00196E62" w:rsidRPr="009D1977">
        <w:rPr>
          <w:rFonts w:ascii="Tahoma" w:hAnsi="Tahoma" w:cs="Tahoma"/>
        </w:rPr>
        <w:t xml:space="preserve"> También sostiene el impugnante que solo el 3 de diciembre de 2014 empeoró en sus patologías</w:t>
      </w:r>
      <w:r w:rsidRPr="009D1977">
        <w:rPr>
          <w:rFonts w:ascii="Tahoma" w:hAnsi="Tahoma" w:cs="Tahoma"/>
        </w:rPr>
        <w:t>,</w:t>
      </w:r>
      <w:r w:rsidR="00196E62" w:rsidRPr="009D1977">
        <w:rPr>
          <w:rFonts w:ascii="Tahoma" w:hAnsi="Tahoma" w:cs="Tahoma"/>
        </w:rPr>
        <w:t xml:space="preserve"> pasando de ansiedad generalizada y depresión a trastorno bipolar afectivo y esquizofrenia que generaban incapacidad, lo que no sucedió c</w:t>
      </w:r>
      <w:r w:rsidR="00486B04" w:rsidRPr="009D1977">
        <w:rPr>
          <w:rFonts w:ascii="Tahoma" w:hAnsi="Tahoma" w:cs="Tahoma"/>
        </w:rPr>
        <w:t xml:space="preserve">on anterioridad; </w:t>
      </w:r>
      <w:r w:rsidRPr="009D1977">
        <w:rPr>
          <w:rFonts w:ascii="Tahoma" w:hAnsi="Tahoma" w:cs="Tahoma"/>
        </w:rPr>
        <w:t xml:space="preserve">por ello, </w:t>
      </w:r>
      <w:r w:rsidR="00196E62" w:rsidRPr="009D1977">
        <w:rPr>
          <w:rFonts w:ascii="Tahoma" w:hAnsi="Tahoma" w:cs="Tahoma"/>
        </w:rPr>
        <w:t>no se solicitó la calificación ante la Junta de Calificación de Invalidez para acceder a una pensión, ni se reclam</w:t>
      </w:r>
      <w:r w:rsidR="00234D68" w:rsidRPr="009D1977">
        <w:rPr>
          <w:rFonts w:ascii="Tahoma" w:hAnsi="Tahoma" w:cs="Tahoma"/>
        </w:rPr>
        <w:t>ó ante la aseguradora</w:t>
      </w:r>
      <w:r w:rsidR="00486B04" w:rsidRPr="009D1977">
        <w:rPr>
          <w:rFonts w:ascii="Tahoma" w:hAnsi="Tahoma" w:cs="Tahoma"/>
        </w:rPr>
        <w:t xml:space="preserve"> y se </w:t>
      </w:r>
      <w:r w:rsidR="00FC2CD5" w:rsidRPr="009D1977">
        <w:rPr>
          <w:rFonts w:ascii="Tahoma" w:hAnsi="Tahoma" w:cs="Tahoma"/>
        </w:rPr>
        <w:t xml:space="preserve">continuaron </w:t>
      </w:r>
      <w:r w:rsidR="00486B04" w:rsidRPr="009D1977">
        <w:rPr>
          <w:rFonts w:ascii="Tahoma" w:hAnsi="Tahoma" w:cs="Tahoma"/>
        </w:rPr>
        <w:t>paga</w:t>
      </w:r>
      <w:r w:rsidR="00FC2CD5" w:rsidRPr="009D1977">
        <w:rPr>
          <w:rFonts w:ascii="Tahoma" w:hAnsi="Tahoma" w:cs="Tahoma"/>
        </w:rPr>
        <w:t xml:space="preserve">ndo </w:t>
      </w:r>
      <w:r w:rsidR="00486B04" w:rsidRPr="009D1977">
        <w:rPr>
          <w:rFonts w:ascii="Tahoma" w:hAnsi="Tahoma" w:cs="Tahoma"/>
        </w:rPr>
        <w:t>algunas cuotas de las acreencias que tenía con el banco por los créditos a que se refiere en la demanda.</w:t>
      </w:r>
    </w:p>
    <w:p w:rsidR="00234D68" w:rsidRPr="009D1977" w:rsidRDefault="00234D68" w:rsidP="009D1977">
      <w:pPr>
        <w:spacing w:line="276" w:lineRule="auto"/>
        <w:jc w:val="both"/>
        <w:rPr>
          <w:rFonts w:ascii="Tahoma" w:hAnsi="Tahoma" w:cs="Tahoma"/>
        </w:rPr>
      </w:pPr>
    </w:p>
    <w:p w:rsidR="00234D68" w:rsidRPr="009D1977" w:rsidRDefault="00234D68" w:rsidP="009D1977">
      <w:pPr>
        <w:spacing w:line="276" w:lineRule="auto"/>
        <w:jc w:val="both"/>
        <w:rPr>
          <w:rFonts w:ascii="Tahoma" w:hAnsi="Tahoma" w:cs="Tahoma"/>
        </w:rPr>
      </w:pPr>
      <w:r w:rsidRPr="009D1977">
        <w:rPr>
          <w:rFonts w:ascii="Tahoma" w:hAnsi="Tahoma" w:cs="Tahoma"/>
        </w:rPr>
        <w:t xml:space="preserve">Esas circunstancias no guardan relación con la reticencia que se produjo, como se ha explicado a lo largo de esta providencia, aunque puede reiterarse que las enfermedades que se le diagnosticaron al demandante motivaron su calificación de pérdida de capacidad para laborar del 50.83%,  pues la fecha de estructuración, de acuerdo con el dictamen de la Junta de Invalidez de Risaralda rendido el 20 de abril de 2015, fue el 24 de noviembre de 2011; es decir, antes de las fechas en que hizo la declaración de </w:t>
      </w:r>
      <w:proofErr w:type="spellStart"/>
      <w:r w:rsidRPr="009D1977">
        <w:rPr>
          <w:rFonts w:ascii="Tahoma" w:hAnsi="Tahoma" w:cs="Tahoma"/>
        </w:rPr>
        <w:t>asegurabilidad</w:t>
      </w:r>
      <w:proofErr w:type="spellEnd"/>
      <w:r w:rsidRPr="009D1977">
        <w:rPr>
          <w:rFonts w:ascii="Tahoma" w:hAnsi="Tahoma" w:cs="Tahoma"/>
        </w:rPr>
        <w:t>.</w:t>
      </w:r>
    </w:p>
    <w:p w:rsidR="00196E62" w:rsidRPr="009D1977" w:rsidRDefault="00196E62" w:rsidP="009D1977">
      <w:pPr>
        <w:spacing w:line="276" w:lineRule="auto"/>
        <w:jc w:val="both"/>
        <w:rPr>
          <w:rFonts w:ascii="Tahoma" w:hAnsi="Tahoma" w:cs="Tahoma"/>
        </w:rPr>
      </w:pPr>
    </w:p>
    <w:p w:rsidR="00631923" w:rsidRPr="009D1977" w:rsidRDefault="00FC2CD5" w:rsidP="009D1977">
      <w:pPr>
        <w:spacing w:line="276" w:lineRule="auto"/>
        <w:jc w:val="both"/>
        <w:rPr>
          <w:rFonts w:ascii="Tahoma" w:hAnsi="Tahoma" w:cs="Tahoma"/>
        </w:rPr>
      </w:pPr>
      <w:r w:rsidRPr="009D1977">
        <w:rPr>
          <w:rFonts w:ascii="Tahoma" w:hAnsi="Tahoma" w:cs="Tahoma"/>
        </w:rPr>
        <w:t>13.</w:t>
      </w:r>
      <w:r w:rsidR="00631923" w:rsidRPr="009D1977">
        <w:rPr>
          <w:rFonts w:ascii="Tahoma" w:hAnsi="Tahoma" w:cs="Tahoma"/>
        </w:rPr>
        <w:t xml:space="preserve"> Considera el apoderado del actor que el señor </w:t>
      </w:r>
      <w:proofErr w:type="spellStart"/>
      <w:r w:rsidR="00631923" w:rsidRPr="009D1977">
        <w:rPr>
          <w:rFonts w:ascii="Tahoma" w:hAnsi="Tahoma" w:cs="Tahoma"/>
        </w:rPr>
        <w:t>Gar</w:t>
      </w:r>
      <w:r w:rsidRPr="009D1977">
        <w:rPr>
          <w:rFonts w:ascii="Tahoma" w:hAnsi="Tahoma" w:cs="Tahoma"/>
        </w:rPr>
        <w:t>t</w:t>
      </w:r>
      <w:r w:rsidR="00631923" w:rsidRPr="009D1977">
        <w:rPr>
          <w:rFonts w:ascii="Tahoma" w:hAnsi="Tahoma" w:cs="Tahoma"/>
        </w:rPr>
        <w:t>ner</w:t>
      </w:r>
      <w:proofErr w:type="spellEnd"/>
      <w:r w:rsidR="00631923" w:rsidRPr="009D1977">
        <w:rPr>
          <w:rFonts w:ascii="Tahoma" w:hAnsi="Tahoma" w:cs="Tahoma"/>
        </w:rPr>
        <w:t xml:space="preserve"> López no actuó de mala fe porque antes de su trastorno de bipolaridad y de esquizofrenia no solicitó se hiciera efectiva la póliza, hizo esfuerzos por ponerse al día en sus obligaciones y pag</w:t>
      </w:r>
      <w:r w:rsidR="004F2280" w:rsidRPr="009D1977">
        <w:rPr>
          <w:rFonts w:ascii="Tahoma" w:hAnsi="Tahoma" w:cs="Tahoma"/>
        </w:rPr>
        <w:t>ó</w:t>
      </w:r>
      <w:r w:rsidR="00631923" w:rsidRPr="009D1977">
        <w:rPr>
          <w:rFonts w:ascii="Tahoma" w:hAnsi="Tahoma" w:cs="Tahoma"/>
        </w:rPr>
        <w:t xml:space="preserve"> las cuotas de sus acreencias entre diciembre de 2014 y abril de 2015.</w:t>
      </w:r>
    </w:p>
    <w:p w:rsidR="00631923" w:rsidRPr="009D1977" w:rsidRDefault="00631923" w:rsidP="009D1977">
      <w:pPr>
        <w:spacing w:line="276" w:lineRule="auto"/>
        <w:jc w:val="both"/>
        <w:rPr>
          <w:rFonts w:ascii="Tahoma" w:hAnsi="Tahoma" w:cs="Tahoma"/>
        </w:rPr>
      </w:pPr>
    </w:p>
    <w:p w:rsidR="00631923" w:rsidRPr="009D1977" w:rsidRDefault="00631923" w:rsidP="009D1977">
      <w:pPr>
        <w:spacing w:line="276" w:lineRule="auto"/>
        <w:jc w:val="both"/>
        <w:rPr>
          <w:rFonts w:ascii="Tahoma" w:hAnsi="Tahoma" w:cs="Tahoma"/>
        </w:rPr>
      </w:pPr>
      <w:r w:rsidRPr="009D1977">
        <w:rPr>
          <w:rFonts w:ascii="Tahoma" w:hAnsi="Tahoma" w:cs="Tahoma"/>
        </w:rPr>
        <w:t xml:space="preserve">Ese razonamiento no resulta aceptable, pues la mala fe en asuntos como el que ahora ocupa la atención de la Sala, se refiere a aquella con la que se actuó al </w:t>
      </w:r>
      <w:r w:rsidR="00FC2CD5" w:rsidRPr="009D1977">
        <w:rPr>
          <w:rFonts w:ascii="Tahoma" w:hAnsi="Tahoma" w:cs="Tahoma"/>
        </w:rPr>
        <w:t xml:space="preserve">solicitar el seguro </w:t>
      </w:r>
      <w:r w:rsidRPr="009D1977">
        <w:rPr>
          <w:rFonts w:ascii="Tahoma" w:hAnsi="Tahoma" w:cs="Tahoma"/>
        </w:rPr>
        <w:t>y contestar en forma negativa la pregunta concreta que se le hizo sobre sus padecimientos mentales o psiquiátricos, a pesar de que sí los tenía.</w:t>
      </w:r>
    </w:p>
    <w:p w:rsidR="004F2280" w:rsidRPr="009D1977" w:rsidRDefault="004F2280" w:rsidP="009D1977">
      <w:pPr>
        <w:spacing w:line="276" w:lineRule="auto"/>
        <w:jc w:val="both"/>
        <w:rPr>
          <w:rFonts w:ascii="Tahoma" w:hAnsi="Tahoma" w:cs="Tahoma"/>
        </w:rPr>
      </w:pPr>
    </w:p>
    <w:p w:rsidR="00656CAC" w:rsidRPr="009D1977" w:rsidRDefault="00FC2CD5" w:rsidP="009D1977">
      <w:pPr>
        <w:spacing w:line="276" w:lineRule="auto"/>
        <w:jc w:val="both"/>
        <w:rPr>
          <w:rFonts w:ascii="Tahoma" w:hAnsi="Tahoma" w:cs="Tahoma"/>
        </w:rPr>
      </w:pPr>
      <w:r w:rsidRPr="009D1977">
        <w:rPr>
          <w:rFonts w:ascii="Tahoma" w:hAnsi="Tahoma" w:cs="Tahoma"/>
        </w:rPr>
        <w:t>14.</w:t>
      </w:r>
      <w:r w:rsidR="004F2280" w:rsidRPr="009D1977">
        <w:rPr>
          <w:rFonts w:ascii="Tahoma" w:hAnsi="Tahoma" w:cs="Tahoma"/>
        </w:rPr>
        <w:t xml:space="preserve"> Aduce el referido profesional que la entidad aseguradora se abstuvo de realizar un estudio sobre </w:t>
      </w:r>
      <w:r w:rsidR="1AEAFCF2" w:rsidRPr="009D1977">
        <w:rPr>
          <w:rFonts w:ascii="Tahoma" w:hAnsi="Tahoma" w:cs="Tahoma"/>
        </w:rPr>
        <w:t>el manejo</w:t>
      </w:r>
      <w:r w:rsidR="004F2280" w:rsidRPr="009D1977">
        <w:rPr>
          <w:rFonts w:ascii="Tahoma" w:hAnsi="Tahoma" w:cs="Tahoma"/>
        </w:rPr>
        <w:t xml:space="preserve"> del crédito hipotecario, al que le hizo </w:t>
      </w:r>
      <w:r w:rsidR="00656CAC" w:rsidRPr="009D1977">
        <w:rPr>
          <w:rFonts w:ascii="Tahoma" w:hAnsi="Tahoma" w:cs="Tahoma"/>
        </w:rPr>
        <w:t>un abono por $8.000.000</w:t>
      </w:r>
      <w:r w:rsidR="004F2280" w:rsidRPr="009D1977">
        <w:rPr>
          <w:rFonts w:ascii="Tahoma" w:hAnsi="Tahoma" w:cs="Tahoma"/>
        </w:rPr>
        <w:t xml:space="preserve"> </w:t>
      </w:r>
      <w:r w:rsidR="00656CAC" w:rsidRPr="009D1977">
        <w:rPr>
          <w:rFonts w:ascii="Tahoma" w:hAnsi="Tahoma" w:cs="Tahoma"/>
        </w:rPr>
        <w:t>el día 14 de agosto de 2007 y otro adelantado por $30.000.000.</w:t>
      </w:r>
      <w:r w:rsidR="009A3D94" w:rsidRPr="009D1977">
        <w:rPr>
          <w:rFonts w:ascii="Tahoma" w:hAnsi="Tahoma" w:cs="Tahoma"/>
        </w:rPr>
        <w:t xml:space="preserve"> </w:t>
      </w:r>
      <w:r w:rsidR="00656CAC" w:rsidRPr="009D1977">
        <w:rPr>
          <w:rFonts w:ascii="Tahoma" w:hAnsi="Tahoma" w:cs="Tahoma"/>
        </w:rPr>
        <w:t>Sin embargo, no explica de dónde surge la obligación que dice omitida, ni su incidencia en la sentencia que ahora se revisa.</w:t>
      </w:r>
    </w:p>
    <w:p w:rsidR="00656CAC" w:rsidRPr="009D1977" w:rsidRDefault="00656CAC" w:rsidP="009D1977">
      <w:pPr>
        <w:spacing w:line="276" w:lineRule="auto"/>
        <w:jc w:val="both"/>
        <w:rPr>
          <w:rFonts w:ascii="Tahoma" w:hAnsi="Tahoma" w:cs="Tahoma"/>
        </w:rPr>
      </w:pPr>
      <w:r w:rsidRPr="009D1977">
        <w:rPr>
          <w:rFonts w:ascii="Tahoma" w:hAnsi="Tahoma" w:cs="Tahoma"/>
        </w:rPr>
        <w:t xml:space="preserve"> </w:t>
      </w:r>
    </w:p>
    <w:p w:rsidR="00837390" w:rsidRPr="009D1977" w:rsidRDefault="00FC2CD5" w:rsidP="009D1977">
      <w:pPr>
        <w:spacing w:line="276" w:lineRule="auto"/>
        <w:jc w:val="both"/>
        <w:rPr>
          <w:rFonts w:ascii="Tahoma" w:hAnsi="Tahoma" w:cs="Tahoma"/>
          <w:shd w:val="clear" w:color="auto" w:fill="FFFFFF"/>
        </w:rPr>
      </w:pPr>
      <w:r w:rsidRPr="009D1977">
        <w:rPr>
          <w:rFonts w:ascii="Tahoma" w:hAnsi="Tahoma" w:cs="Tahoma"/>
        </w:rPr>
        <w:t xml:space="preserve">15. Alega además </w:t>
      </w:r>
      <w:r w:rsidR="00656CAC" w:rsidRPr="009D1977">
        <w:rPr>
          <w:rFonts w:ascii="Tahoma" w:hAnsi="Tahoma" w:cs="Tahoma"/>
        </w:rPr>
        <w:t>que el seguro, como todo negocio jurídico, sienta sus bases en el principio de la buena fe</w:t>
      </w:r>
      <w:r w:rsidR="009A3D94" w:rsidRPr="009D1977">
        <w:rPr>
          <w:rFonts w:ascii="Tahoma" w:hAnsi="Tahoma" w:cs="Tahoma"/>
        </w:rPr>
        <w:t xml:space="preserve">, </w:t>
      </w:r>
      <w:r w:rsidR="00656CAC" w:rsidRPr="009D1977">
        <w:rPr>
          <w:rFonts w:ascii="Tahoma" w:hAnsi="Tahoma" w:cs="Tahoma"/>
        </w:rPr>
        <w:t xml:space="preserve">se presume la ausencia de una intención dolosa o de un ánimo de defraudar y fundamenta esos argumentos en la sentencia de la Corte Constitucional T-222 de 2014, de la </w:t>
      </w:r>
      <w:r w:rsidR="00F40509" w:rsidRPr="009D1977">
        <w:rPr>
          <w:rFonts w:ascii="Tahoma" w:hAnsi="Tahoma" w:cs="Tahoma"/>
        </w:rPr>
        <w:t>cual transcribe algunos apartes relacionados con</w:t>
      </w:r>
      <w:r w:rsidR="00AB7C3F" w:rsidRPr="009D1977">
        <w:rPr>
          <w:rFonts w:ascii="Tahoma" w:hAnsi="Tahoma" w:cs="Tahoma"/>
        </w:rPr>
        <w:t xml:space="preserve"> las cinco conclusiones que en ella se enlistan, respecto de </w:t>
      </w:r>
      <w:r w:rsidR="00AB7C3F" w:rsidRPr="009D1977">
        <w:rPr>
          <w:rFonts w:ascii="Tahoma" w:hAnsi="Tahoma" w:cs="Tahoma"/>
          <w:shd w:val="clear" w:color="auto" w:fill="FFFFFF"/>
        </w:rPr>
        <w:t>la obligación de las aseguradoras de pagar la póliza a pesar de haber acaecido algún tipo de preexistencia; concretamente las de que la carga de</w:t>
      </w:r>
      <w:r w:rsidR="009A3D94" w:rsidRPr="009D1977">
        <w:rPr>
          <w:rFonts w:ascii="Tahoma" w:hAnsi="Tahoma" w:cs="Tahoma"/>
          <w:shd w:val="clear" w:color="auto" w:fill="FFFFFF"/>
        </w:rPr>
        <w:t xml:space="preserve"> probarla </w:t>
      </w:r>
      <w:r w:rsidR="00AB7C3F" w:rsidRPr="009D1977">
        <w:rPr>
          <w:rFonts w:ascii="Tahoma" w:hAnsi="Tahoma" w:cs="Tahoma"/>
          <w:shd w:val="clear" w:color="auto" w:fill="FFFFFF"/>
        </w:rPr>
        <w:t xml:space="preserve"> radica en cabeza de la aseguradora y que esta tiene la obligación de pedir exámenes médicos previos a la celebración del contrato de seguro, pues de otra manera no puede alegar </w:t>
      </w:r>
      <w:r w:rsidR="00837390" w:rsidRPr="009D1977">
        <w:rPr>
          <w:rFonts w:ascii="Tahoma" w:hAnsi="Tahoma" w:cs="Tahoma"/>
          <w:shd w:val="clear" w:color="auto" w:fill="FFFFFF"/>
        </w:rPr>
        <w:t>preexistencia alguna en un futuro.</w:t>
      </w:r>
    </w:p>
    <w:p w:rsidR="00837390" w:rsidRPr="009D1977" w:rsidRDefault="00837390" w:rsidP="009D1977">
      <w:pPr>
        <w:spacing w:line="276" w:lineRule="auto"/>
        <w:jc w:val="both"/>
        <w:rPr>
          <w:rFonts w:ascii="Tahoma" w:hAnsi="Tahoma" w:cs="Tahoma"/>
          <w:shd w:val="clear" w:color="auto" w:fill="FFFFFF"/>
        </w:rPr>
      </w:pPr>
    </w:p>
    <w:p w:rsidR="00837390" w:rsidRPr="009D1977" w:rsidRDefault="00837390" w:rsidP="009D1977">
      <w:pPr>
        <w:spacing w:line="276" w:lineRule="auto"/>
        <w:jc w:val="both"/>
        <w:rPr>
          <w:rFonts w:ascii="Tahoma" w:hAnsi="Tahoma" w:cs="Tahoma"/>
        </w:rPr>
      </w:pPr>
      <w:r w:rsidRPr="009D1977">
        <w:rPr>
          <w:rFonts w:ascii="Tahoma" w:hAnsi="Tahoma" w:cs="Tahoma"/>
          <w:shd w:val="clear" w:color="auto" w:fill="FFFFFF"/>
        </w:rPr>
        <w:t xml:space="preserve">La lectura de </w:t>
      </w:r>
      <w:r w:rsidR="124546A6" w:rsidRPr="009D1977">
        <w:rPr>
          <w:rFonts w:ascii="Tahoma" w:hAnsi="Tahoma" w:cs="Tahoma"/>
          <w:shd w:val="clear" w:color="auto" w:fill="FFFFFF"/>
        </w:rPr>
        <w:t>esa providencia</w:t>
      </w:r>
      <w:r w:rsidRPr="009D1977">
        <w:rPr>
          <w:rFonts w:ascii="Tahoma" w:hAnsi="Tahoma" w:cs="Tahoma"/>
        </w:rPr>
        <w:t xml:space="preserve"> permite inferir que en ella distingue la Corte la preexistencia de la reticencia, y no deja de considerar la mala fe del asegurado en el último caso</w:t>
      </w:r>
      <w:r w:rsidR="00FF0BC9" w:rsidRPr="009D1977">
        <w:rPr>
          <w:rFonts w:ascii="Tahoma" w:hAnsi="Tahoma" w:cs="Tahoma"/>
        </w:rPr>
        <w:t>, cuando no se ofrece sincero en relación con su estado de salud.</w:t>
      </w:r>
      <w:r w:rsidRPr="009D1977">
        <w:rPr>
          <w:rFonts w:ascii="Tahoma" w:hAnsi="Tahoma" w:cs="Tahoma"/>
        </w:rPr>
        <w:t xml:space="preserve"> Dice así esa Corporación en el referido fallo:</w:t>
      </w:r>
    </w:p>
    <w:p w:rsidR="00C2433B" w:rsidRPr="009D1977" w:rsidRDefault="00C2433B" w:rsidP="009D1977">
      <w:pPr>
        <w:shd w:val="clear" w:color="auto" w:fill="FFFFFF"/>
        <w:spacing w:line="276" w:lineRule="auto"/>
        <w:jc w:val="both"/>
        <w:rPr>
          <w:rFonts w:ascii="Tahoma" w:hAnsi="Tahoma" w:cs="Tahoma"/>
          <w:i/>
        </w:rPr>
      </w:pPr>
    </w:p>
    <w:p w:rsidR="00F74F09" w:rsidRPr="009D1977" w:rsidRDefault="00837390" w:rsidP="009D1977">
      <w:pPr>
        <w:shd w:val="clear" w:color="auto" w:fill="FFFFFF"/>
        <w:ind w:left="426" w:right="420"/>
        <w:jc w:val="both"/>
        <w:rPr>
          <w:rFonts w:ascii="Tahoma" w:hAnsi="Tahoma" w:cs="Tahoma"/>
          <w:i/>
          <w:sz w:val="22"/>
        </w:rPr>
      </w:pPr>
      <w:r w:rsidRPr="009D1977">
        <w:rPr>
          <w:rFonts w:ascii="Tahoma" w:hAnsi="Tahoma" w:cs="Tahoma"/>
          <w:i/>
          <w:sz w:val="22"/>
        </w:rPr>
        <w:t>“</w:t>
      </w:r>
      <w:r w:rsidR="00F74F09" w:rsidRPr="009D1977">
        <w:rPr>
          <w:rFonts w:ascii="Tahoma" w:hAnsi="Tahoma" w:cs="Tahoma"/>
          <w:i/>
          <w:sz w:val="22"/>
        </w:rPr>
        <w:t>En este orden de ideas, si el artículo 1058 del Código de Comercio obliga al asegurado a declarar “sinceramente”, es claro que la preexistencia, no siempre, será sinónimo de reticencia. En efecto, como se mencionó, la reticencia implica mala fe en la conducta del tomador del seguro. Eso es lo que se castiga. No simplemente un hecho previo celebración del contrato. Por su parte, la preexistencia es un hecho objetivo. Se conoce con exactitud y certeza que </w:t>
      </w:r>
      <w:r w:rsidR="00F74F09" w:rsidRPr="009D1977">
        <w:rPr>
          <w:rFonts w:ascii="Tahoma" w:hAnsi="Tahoma" w:cs="Tahoma"/>
          <w:i/>
          <w:iCs/>
          <w:sz w:val="22"/>
        </w:rPr>
        <w:t>“antes”</w:t>
      </w:r>
      <w:r w:rsidR="00F74F09" w:rsidRPr="009D1977">
        <w:rPr>
          <w:rFonts w:ascii="Tahoma" w:hAnsi="Tahoma" w:cs="Tahoma"/>
          <w:i/>
          <w:sz w:val="22"/>
        </w:rPr>
        <w:t> de la celebración del contrato ocurrió un hecho, pero de allí no se sigue que haya sido de mala fe. La preexistencia siempre será previa, la reticencia no.</w:t>
      </w:r>
    </w:p>
    <w:p w:rsidR="00F74F09" w:rsidRPr="009D1977" w:rsidRDefault="00F74F09" w:rsidP="009D1977">
      <w:pPr>
        <w:shd w:val="clear" w:color="auto" w:fill="FFFFFF"/>
        <w:ind w:left="426" w:right="420"/>
        <w:jc w:val="both"/>
        <w:rPr>
          <w:rFonts w:ascii="Tahoma" w:hAnsi="Tahoma" w:cs="Tahoma"/>
          <w:i/>
          <w:sz w:val="22"/>
        </w:rPr>
      </w:pPr>
      <w:r w:rsidRPr="009D1977">
        <w:rPr>
          <w:rFonts w:ascii="Tahoma" w:hAnsi="Tahoma" w:cs="Tahoma"/>
          <w:i/>
          <w:sz w:val="22"/>
        </w:rPr>
        <w:t> </w:t>
      </w:r>
    </w:p>
    <w:p w:rsidR="00F74F09" w:rsidRPr="009D1977" w:rsidRDefault="00F74F09" w:rsidP="009D1977">
      <w:pPr>
        <w:shd w:val="clear" w:color="auto" w:fill="FFFFFF"/>
        <w:ind w:left="426" w:right="420"/>
        <w:jc w:val="both"/>
        <w:rPr>
          <w:rFonts w:ascii="Tahoma" w:hAnsi="Tahoma" w:cs="Tahoma"/>
          <w:i/>
          <w:sz w:val="22"/>
        </w:rPr>
      </w:pPr>
      <w:r w:rsidRPr="009D1977">
        <w:rPr>
          <w:rFonts w:ascii="Tahoma" w:hAnsi="Tahoma" w:cs="Tahoma"/>
          <w:i/>
          <w:sz w:val="22"/>
        </w:rPr>
        <w:t>En criterio de esta Sala, la preexistencia puede ser eventualmente una manera de reticencia. Por ejemplo, si una persona conoce un hecho anterior a la celebración del contrato y sabiendo esto no informa al asegurador dicha condición por evitar que su contrato se haga más oneroso o sencillamente la otra parte decida no celebrar el contrato, en este preciso evento la preexistencia sí será un caso de reticencia. Lo mismo no sucede cuando una persona no conozca completamente la información que abstendría a la aseguradora a celebrar el contrato, o hacerlo más oneroso. Por ejemplo, enunciativamente, casos en los que existan enfermedades silenciosas y/o progresivas. En aquellos eventos, el actuar del asegurado no sería de mala fe. Sencillamente no tenía posibilidad de conocer completamente la información y con ello, no es posible que se deje sin la posibilidad de recibir el pago de la póliza</w:t>
      </w:r>
      <w:r w:rsidR="0020100A" w:rsidRPr="009D1977">
        <w:rPr>
          <w:rFonts w:ascii="Tahoma" w:hAnsi="Tahoma" w:cs="Tahoma"/>
          <w:i/>
          <w:sz w:val="22"/>
        </w:rPr>
        <w:t>…</w:t>
      </w:r>
      <w:r w:rsidR="00F84477" w:rsidRPr="009D1977">
        <w:rPr>
          <w:rFonts w:ascii="Tahoma" w:hAnsi="Tahoma" w:cs="Tahoma"/>
          <w:i/>
          <w:sz w:val="22"/>
        </w:rPr>
        <w:t>”</w:t>
      </w:r>
    </w:p>
    <w:p w:rsidR="00F84477" w:rsidRPr="009D1977" w:rsidRDefault="00F84477" w:rsidP="009D1977">
      <w:pPr>
        <w:shd w:val="clear" w:color="auto" w:fill="FFFFFF"/>
        <w:spacing w:line="276" w:lineRule="auto"/>
        <w:jc w:val="both"/>
        <w:rPr>
          <w:rFonts w:ascii="Tahoma" w:hAnsi="Tahoma" w:cs="Tahoma"/>
          <w:i/>
        </w:rPr>
      </w:pPr>
    </w:p>
    <w:p w:rsidR="00A767C4" w:rsidRPr="009D1977" w:rsidRDefault="00F84477" w:rsidP="009D1977">
      <w:pPr>
        <w:shd w:val="clear" w:color="auto" w:fill="FFFFFF"/>
        <w:spacing w:line="276" w:lineRule="auto"/>
        <w:jc w:val="both"/>
        <w:rPr>
          <w:rFonts w:ascii="Tahoma" w:hAnsi="Tahoma" w:cs="Tahoma"/>
        </w:rPr>
      </w:pPr>
      <w:r w:rsidRPr="009D1977">
        <w:rPr>
          <w:rFonts w:ascii="Tahoma" w:hAnsi="Tahoma" w:cs="Tahoma"/>
        </w:rPr>
        <w:lastRenderedPageBreak/>
        <w:t xml:space="preserve">En este caso se está frente a la figura de la reticencia y no de la preexistencia a que se refiere </w:t>
      </w:r>
      <w:r w:rsidR="00A767C4" w:rsidRPr="009D1977">
        <w:rPr>
          <w:rFonts w:ascii="Tahoma" w:hAnsi="Tahoma" w:cs="Tahoma"/>
        </w:rPr>
        <w:t>el aparte de la sentencia en que se apoya el</w:t>
      </w:r>
      <w:r w:rsidRPr="009D1977">
        <w:rPr>
          <w:rFonts w:ascii="Tahoma" w:hAnsi="Tahoma" w:cs="Tahoma"/>
        </w:rPr>
        <w:t xml:space="preserve"> apoderado de los demandantes al sustentar el recurso</w:t>
      </w:r>
      <w:r w:rsidR="00A767C4" w:rsidRPr="009D1977">
        <w:rPr>
          <w:rFonts w:ascii="Tahoma" w:hAnsi="Tahoma" w:cs="Tahoma"/>
        </w:rPr>
        <w:t>.</w:t>
      </w:r>
    </w:p>
    <w:p w:rsidR="00A767C4" w:rsidRPr="009D1977" w:rsidRDefault="00A767C4" w:rsidP="009D1977">
      <w:pPr>
        <w:shd w:val="clear" w:color="auto" w:fill="FFFFFF"/>
        <w:spacing w:line="276" w:lineRule="auto"/>
        <w:jc w:val="both"/>
        <w:rPr>
          <w:rFonts w:ascii="Tahoma" w:hAnsi="Tahoma" w:cs="Tahoma"/>
        </w:rPr>
      </w:pPr>
    </w:p>
    <w:p w:rsidR="00F74F09" w:rsidRPr="009D1977" w:rsidRDefault="00A767C4" w:rsidP="009D1977">
      <w:pPr>
        <w:shd w:val="clear" w:color="auto" w:fill="FFFFFF"/>
        <w:spacing w:line="276" w:lineRule="auto"/>
        <w:jc w:val="both"/>
        <w:rPr>
          <w:rFonts w:ascii="Tahoma" w:hAnsi="Tahoma" w:cs="Tahoma"/>
        </w:rPr>
      </w:pPr>
      <w:r w:rsidRPr="009D1977">
        <w:rPr>
          <w:rFonts w:ascii="Tahoma" w:hAnsi="Tahoma" w:cs="Tahoma"/>
        </w:rPr>
        <w:t>De todos modos</w:t>
      </w:r>
      <w:r w:rsidR="002811CE" w:rsidRPr="009D1977">
        <w:rPr>
          <w:rFonts w:ascii="Tahoma" w:hAnsi="Tahoma" w:cs="Tahoma"/>
        </w:rPr>
        <w:t xml:space="preserve">, la </w:t>
      </w:r>
      <w:r w:rsidR="00F84477" w:rsidRPr="009D1977">
        <w:rPr>
          <w:rFonts w:ascii="Tahoma" w:hAnsi="Tahoma" w:cs="Tahoma"/>
        </w:rPr>
        <w:t xml:space="preserve">mala fe </w:t>
      </w:r>
      <w:r w:rsidRPr="009D1977">
        <w:rPr>
          <w:rFonts w:ascii="Tahoma" w:hAnsi="Tahoma" w:cs="Tahoma"/>
        </w:rPr>
        <w:t>del a</w:t>
      </w:r>
      <w:r w:rsidR="00F84477" w:rsidRPr="009D1977">
        <w:rPr>
          <w:rFonts w:ascii="Tahoma" w:hAnsi="Tahoma" w:cs="Tahoma"/>
        </w:rPr>
        <w:t>segur</w:t>
      </w:r>
      <w:r w:rsidRPr="009D1977">
        <w:rPr>
          <w:rFonts w:ascii="Tahoma" w:hAnsi="Tahoma" w:cs="Tahoma"/>
        </w:rPr>
        <w:t xml:space="preserve">ado </w:t>
      </w:r>
      <w:r w:rsidR="00F84477" w:rsidRPr="009D1977">
        <w:rPr>
          <w:rFonts w:ascii="Tahoma" w:hAnsi="Tahoma" w:cs="Tahoma"/>
        </w:rPr>
        <w:t xml:space="preserve">quedó demostrada, como </w:t>
      </w:r>
      <w:r w:rsidR="008F5F1D" w:rsidRPr="009D1977">
        <w:rPr>
          <w:rFonts w:ascii="Tahoma" w:hAnsi="Tahoma" w:cs="Tahoma"/>
        </w:rPr>
        <w:t>ya se explicara en otro aparte de esta providencia.</w:t>
      </w:r>
      <w:r w:rsidR="00F74F09" w:rsidRPr="009D1977">
        <w:rPr>
          <w:rFonts w:ascii="Tahoma" w:hAnsi="Tahoma" w:cs="Tahoma"/>
          <w:i/>
        </w:rPr>
        <w:t> </w:t>
      </w:r>
    </w:p>
    <w:p w:rsidR="002811CE" w:rsidRPr="009D1977" w:rsidRDefault="002811CE" w:rsidP="009D1977">
      <w:pPr>
        <w:shd w:val="clear" w:color="auto" w:fill="FFFFFF"/>
        <w:spacing w:line="276" w:lineRule="auto"/>
        <w:jc w:val="both"/>
        <w:rPr>
          <w:rFonts w:ascii="Tahoma" w:hAnsi="Tahoma" w:cs="Tahoma"/>
        </w:rPr>
      </w:pPr>
    </w:p>
    <w:p w:rsidR="002811CE" w:rsidRPr="009D1977" w:rsidRDefault="0020100A" w:rsidP="009D1977">
      <w:pPr>
        <w:shd w:val="clear" w:color="auto" w:fill="FFFFFF"/>
        <w:spacing w:line="276" w:lineRule="auto"/>
        <w:jc w:val="both"/>
        <w:rPr>
          <w:rFonts w:ascii="Tahoma" w:hAnsi="Tahoma" w:cs="Tahoma"/>
        </w:rPr>
      </w:pPr>
      <w:r w:rsidRPr="009D1977">
        <w:rPr>
          <w:rFonts w:ascii="Tahoma" w:hAnsi="Tahoma" w:cs="Tahoma"/>
        </w:rPr>
        <w:t xml:space="preserve">Por otra parte, </w:t>
      </w:r>
      <w:r w:rsidR="002811CE" w:rsidRPr="009D1977">
        <w:rPr>
          <w:rFonts w:ascii="Tahoma" w:hAnsi="Tahoma" w:cs="Tahoma"/>
        </w:rPr>
        <w:t>tampoco es obligación de la aseguradora pedir exámenes médicos previos a la celebración del contrato de seguro, cuando el beneficiario del seguro incurre en reticencia. Sobre el tema también ha dicho la Corte Suprema de Justicia:</w:t>
      </w:r>
    </w:p>
    <w:p w:rsidR="002811CE" w:rsidRPr="009D1977" w:rsidRDefault="002811CE" w:rsidP="009D1977">
      <w:pPr>
        <w:shd w:val="clear" w:color="auto" w:fill="FFFFFF"/>
        <w:spacing w:line="276" w:lineRule="auto"/>
        <w:jc w:val="both"/>
        <w:rPr>
          <w:rFonts w:ascii="Tahoma" w:hAnsi="Tahoma" w:cs="Tahoma"/>
          <w:i/>
        </w:rPr>
      </w:pPr>
    </w:p>
    <w:p w:rsidR="00250F0D" w:rsidRPr="009D1977" w:rsidRDefault="00A767C4" w:rsidP="009D1977">
      <w:pPr>
        <w:shd w:val="clear" w:color="auto" w:fill="FFFFFF"/>
        <w:ind w:left="426" w:right="420"/>
        <w:jc w:val="both"/>
        <w:rPr>
          <w:rFonts w:ascii="Tahoma" w:hAnsi="Tahoma" w:cs="Tahoma"/>
          <w:i/>
          <w:sz w:val="22"/>
        </w:rPr>
      </w:pPr>
      <w:r w:rsidRPr="009D1977">
        <w:rPr>
          <w:rFonts w:ascii="Tahoma" w:hAnsi="Tahoma" w:cs="Tahoma"/>
          <w:i/>
          <w:sz w:val="22"/>
        </w:rPr>
        <w:t>“El artículo 871 del Código de Comercio establece como principio general de todos los actos mercantiles la «buena fe» de quienes intervienen en su perfeccionamiento, por lo que los acuerdos de voluntades se rigen, fuera de lo pactado expresamente en ellos, por «todo lo que corresponda a la naturaleza de los mismos, según la ley, la costumbre o la equidad natural».</w:t>
      </w:r>
    </w:p>
    <w:p w:rsidR="00250F0D" w:rsidRPr="009D1977" w:rsidRDefault="00250F0D" w:rsidP="009D1977">
      <w:pPr>
        <w:shd w:val="clear" w:color="auto" w:fill="FFFFFF"/>
        <w:ind w:left="426" w:right="420"/>
        <w:jc w:val="both"/>
        <w:rPr>
          <w:rFonts w:ascii="Tahoma" w:hAnsi="Tahoma" w:cs="Tahoma"/>
          <w:i/>
          <w:sz w:val="22"/>
        </w:rPr>
      </w:pPr>
    </w:p>
    <w:p w:rsidR="00A767C4" w:rsidRPr="009D1977" w:rsidRDefault="00A767C4" w:rsidP="009D1977">
      <w:pPr>
        <w:shd w:val="clear" w:color="auto" w:fill="FFFFFF"/>
        <w:ind w:left="426" w:right="420"/>
        <w:jc w:val="both"/>
        <w:rPr>
          <w:rFonts w:ascii="Tahoma" w:hAnsi="Tahoma" w:cs="Tahoma"/>
          <w:i/>
          <w:sz w:val="22"/>
        </w:rPr>
      </w:pPr>
      <w:r w:rsidRPr="009D1977">
        <w:rPr>
          <w:rFonts w:ascii="Tahoma" w:hAnsi="Tahoma" w:cs="Tahoma"/>
          <w:i/>
          <w:sz w:val="22"/>
        </w:rPr>
        <w:t xml:space="preserve">Esa obligación se hace manifiesta especialmente en el contrato de seguro, a la luz del artículo 1058 </w:t>
      </w:r>
      <w:r w:rsidR="009D1977" w:rsidRPr="009D1977">
        <w:rPr>
          <w:rFonts w:ascii="Tahoma" w:hAnsi="Tahoma" w:cs="Tahoma"/>
          <w:i/>
          <w:sz w:val="22"/>
        </w:rPr>
        <w:t>ibídem</w:t>
      </w:r>
      <w:r w:rsidRPr="009D1977">
        <w:rPr>
          <w:rFonts w:ascii="Tahoma" w:hAnsi="Tahoma" w:cs="Tahoma"/>
          <w:i/>
          <w:sz w:val="22"/>
        </w:rPr>
        <w:t>…</w:t>
      </w:r>
    </w:p>
    <w:p w:rsidR="00A767C4" w:rsidRPr="009D1977" w:rsidRDefault="00A767C4" w:rsidP="009D1977">
      <w:pPr>
        <w:shd w:val="clear" w:color="auto" w:fill="FFFFFF"/>
        <w:ind w:left="426" w:right="420"/>
        <w:jc w:val="both"/>
        <w:rPr>
          <w:rFonts w:ascii="Tahoma" w:hAnsi="Tahoma" w:cs="Tahoma"/>
          <w:i/>
          <w:sz w:val="22"/>
        </w:rPr>
      </w:pPr>
    </w:p>
    <w:p w:rsidR="00A767C4" w:rsidRPr="009D1977" w:rsidRDefault="00A767C4" w:rsidP="009D1977">
      <w:pPr>
        <w:shd w:val="clear" w:color="auto" w:fill="FFFFFF"/>
        <w:ind w:left="426" w:right="420"/>
        <w:jc w:val="both"/>
        <w:rPr>
          <w:rFonts w:ascii="Tahoma" w:hAnsi="Tahoma" w:cs="Tahoma"/>
          <w:i/>
          <w:sz w:val="22"/>
        </w:rPr>
      </w:pPr>
      <w:r w:rsidRPr="009D1977">
        <w:rPr>
          <w:rFonts w:ascii="Tahoma" w:hAnsi="Tahoma" w:cs="Tahoma"/>
          <w:i/>
          <w:sz w:val="22"/>
        </w:rPr>
        <w:t>Dicha norma consagra un deber para el tomador de manifestar, sin tapujos, reservas ni fingimientos, las condiciones actuales frente a la posible ocurrencia del suceso incierto cuya protección se busca</w:t>
      </w:r>
      <w:r w:rsidR="0020100A" w:rsidRPr="009D1977">
        <w:rPr>
          <w:rFonts w:ascii="Tahoma" w:hAnsi="Tahoma" w:cs="Tahoma"/>
          <w:i/>
          <w:sz w:val="22"/>
        </w:rPr>
        <w:t>…</w:t>
      </w:r>
    </w:p>
    <w:p w:rsidR="0020100A" w:rsidRPr="009D1977" w:rsidRDefault="0020100A" w:rsidP="009D1977">
      <w:pPr>
        <w:shd w:val="clear" w:color="auto" w:fill="FFFFFF"/>
        <w:ind w:left="426" w:right="420"/>
        <w:jc w:val="both"/>
        <w:rPr>
          <w:rFonts w:ascii="Tahoma" w:hAnsi="Tahoma" w:cs="Tahoma"/>
          <w:i/>
          <w:sz w:val="22"/>
        </w:rPr>
      </w:pPr>
    </w:p>
    <w:p w:rsidR="00A767C4" w:rsidRPr="009D1977" w:rsidRDefault="00A767C4" w:rsidP="009D1977">
      <w:pPr>
        <w:shd w:val="clear" w:color="auto" w:fill="FFFFFF"/>
        <w:ind w:left="426" w:right="420"/>
        <w:jc w:val="both"/>
        <w:rPr>
          <w:rFonts w:ascii="Tahoma" w:hAnsi="Tahoma" w:cs="Tahoma"/>
          <w:i/>
          <w:sz w:val="22"/>
        </w:rPr>
      </w:pPr>
      <w:r w:rsidRPr="009D1977">
        <w:rPr>
          <w:rFonts w:ascii="Tahoma" w:hAnsi="Tahoma" w:cs="Tahoma"/>
          <w:i/>
          <w:sz w:val="22"/>
        </w:rPr>
        <w:t>Aunque esa exposición puede ser espontánea, cuando se inquiere en general por el «estado del riesgo» al momento del contrato, el asegurador cuenta con la facultad de provocarla mediante un cuestionario sobre puntos que lo concreten. Incluso, es posible que con prelación agote pesquisas o requiera la realización de exámenes y pruebas tendientes a establecerlo.</w:t>
      </w:r>
    </w:p>
    <w:p w:rsidR="00A767C4" w:rsidRPr="009D1977" w:rsidRDefault="00A767C4" w:rsidP="009D1977">
      <w:pPr>
        <w:shd w:val="clear" w:color="auto" w:fill="FFFFFF"/>
        <w:ind w:left="426" w:right="420"/>
        <w:jc w:val="both"/>
        <w:rPr>
          <w:rFonts w:ascii="Tahoma" w:hAnsi="Tahoma" w:cs="Tahoma"/>
          <w:i/>
          <w:sz w:val="22"/>
        </w:rPr>
      </w:pPr>
    </w:p>
    <w:p w:rsidR="00A767C4" w:rsidRPr="009D1977" w:rsidRDefault="00A767C4" w:rsidP="009D1977">
      <w:pPr>
        <w:shd w:val="clear" w:color="auto" w:fill="FFFFFF"/>
        <w:ind w:left="426" w:right="420"/>
        <w:jc w:val="both"/>
        <w:rPr>
          <w:rFonts w:ascii="Tahoma" w:hAnsi="Tahoma" w:cs="Tahoma"/>
          <w:i/>
          <w:sz w:val="22"/>
        </w:rPr>
      </w:pPr>
      <w:r w:rsidRPr="009D1977">
        <w:rPr>
          <w:rFonts w:ascii="Tahoma" w:hAnsi="Tahoma" w:cs="Tahoma"/>
          <w:i/>
          <w:sz w:val="22"/>
        </w:rPr>
        <w:t>Por ende, la falta de honestidad del tomador sobre aspectos de su pleno conocimiento y que de saberlas la aseguradora incidirían en la relación, ya para abstenerse de concretarla, delimitar las exclusiones o incrementar el valor de la póliza, riñen con la «buena fe» exigida y acarrea la nulidad relativa del convenio.</w:t>
      </w:r>
    </w:p>
    <w:p w:rsidR="00A767C4" w:rsidRPr="009D1977" w:rsidRDefault="00A767C4" w:rsidP="009D1977">
      <w:pPr>
        <w:shd w:val="clear" w:color="auto" w:fill="FFFFFF"/>
        <w:ind w:left="426" w:right="420"/>
        <w:jc w:val="both"/>
        <w:rPr>
          <w:rFonts w:ascii="Tahoma" w:hAnsi="Tahoma" w:cs="Tahoma"/>
          <w:i/>
          <w:sz w:val="22"/>
        </w:rPr>
      </w:pPr>
    </w:p>
    <w:p w:rsidR="00A767C4" w:rsidRPr="009D1977" w:rsidRDefault="00A767C4" w:rsidP="009D1977">
      <w:pPr>
        <w:shd w:val="clear" w:color="auto" w:fill="FFFFFF"/>
        <w:ind w:left="426" w:right="420"/>
        <w:jc w:val="both"/>
        <w:rPr>
          <w:rFonts w:ascii="Tahoma" w:hAnsi="Tahoma" w:cs="Tahoma"/>
          <w:i/>
          <w:sz w:val="22"/>
        </w:rPr>
      </w:pPr>
      <w:r w:rsidRPr="009D1977">
        <w:rPr>
          <w:rFonts w:ascii="Tahoma" w:hAnsi="Tahoma" w:cs="Tahoma"/>
          <w:i/>
          <w:sz w:val="22"/>
        </w:rPr>
        <w:t>...</w:t>
      </w:r>
    </w:p>
    <w:p w:rsidR="00A767C4" w:rsidRPr="009D1977" w:rsidRDefault="00A767C4" w:rsidP="009D1977">
      <w:pPr>
        <w:shd w:val="clear" w:color="auto" w:fill="FFFFFF"/>
        <w:ind w:left="426" w:right="420"/>
        <w:jc w:val="both"/>
        <w:rPr>
          <w:rFonts w:ascii="Tahoma" w:hAnsi="Tahoma" w:cs="Tahoma"/>
          <w:i/>
          <w:sz w:val="22"/>
        </w:rPr>
      </w:pPr>
    </w:p>
    <w:p w:rsidR="00A767C4" w:rsidRPr="009D1977" w:rsidRDefault="00A767C4" w:rsidP="009D1977">
      <w:pPr>
        <w:shd w:val="clear" w:color="auto" w:fill="FFFFFF"/>
        <w:ind w:left="426" w:right="420"/>
        <w:jc w:val="both"/>
        <w:rPr>
          <w:rFonts w:ascii="Tahoma" w:hAnsi="Tahoma" w:cs="Tahoma"/>
          <w:i/>
          <w:sz w:val="22"/>
        </w:rPr>
      </w:pPr>
      <w:r w:rsidRPr="009D1977">
        <w:rPr>
          <w:rFonts w:ascii="Tahoma" w:hAnsi="Tahoma" w:cs="Tahoma"/>
          <w:i/>
          <w:sz w:val="22"/>
        </w:rPr>
        <w:t xml:space="preserve">No puede, entonces, endilgarse que el profesionalismo que requiere la actividad aseguradora, de entrada, exige el agotamiento previo de todos los medios a su alcance para constatar cual es el «estado del riesgo» al instante en que se asume, como si fuera de su exclusivo cargo, so pena de que la inactividad derive en una «renuncia» a la «nulidad relativa por reticencia». </w:t>
      </w:r>
    </w:p>
    <w:p w:rsidR="00A767C4" w:rsidRPr="009D1977" w:rsidRDefault="00A767C4" w:rsidP="009D1977">
      <w:pPr>
        <w:shd w:val="clear" w:color="auto" w:fill="FFFFFF"/>
        <w:ind w:left="426" w:right="420"/>
        <w:jc w:val="both"/>
        <w:rPr>
          <w:rFonts w:ascii="Tahoma" w:hAnsi="Tahoma" w:cs="Tahoma"/>
          <w:i/>
          <w:sz w:val="22"/>
        </w:rPr>
      </w:pPr>
    </w:p>
    <w:p w:rsidR="00E4333E" w:rsidRPr="009D1977" w:rsidRDefault="00A767C4" w:rsidP="009D1977">
      <w:pPr>
        <w:shd w:val="clear" w:color="auto" w:fill="FFFFFF"/>
        <w:ind w:left="426" w:right="420"/>
        <w:jc w:val="both"/>
        <w:rPr>
          <w:rFonts w:ascii="Tahoma" w:hAnsi="Tahoma" w:cs="Tahoma"/>
          <w:i/>
          <w:sz w:val="22"/>
        </w:rPr>
      </w:pPr>
      <w:r w:rsidRPr="009D1977">
        <w:rPr>
          <w:rFonts w:ascii="Tahoma" w:hAnsi="Tahoma" w:cs="Tahoma"/>
          <w:i/>
          <w:sz w:val="22"/>
        </w:rPr>
        <w:t xml:space="preserve">Esto por cuanto, se reitera, el tomador está compelido a «declarar sinceramente los hechos o circunstancias» que lo determinan y los efectos adversos por inexactitud se reducen si hay «error inculpable» o se desvanecen por inadvertir el asegurador las serias señales de alerta sobre inconsistencias en lo que aquel reporta. </w:t>
      </w:r>
    </w:p>
    <w:p w:rsidR="000119FE" w:rsidRPr="009D1977" w:rsidRDefault="000119FE" w:rsidP="009D1977">
      <w:pPr>
        <w:shd w:val="clear" w:color="auto" w:fill="FFFFFF"/>
        <w:ind w:left="426" w:right="420"/>
        <w:jc w:val="both"/>
        <w:rPr>
          <w:rFonts w:ascii="Tahoma" w:hAnsi="Tahoma" w:cs="Tahoma"/>
          <w:i/>
          <w:sz w:val="22"/>
        </w:rPr>
      </w:pPr>
    </w:p>
    <w:p w:rsidR="00A767C4" w:rsidRPr="009D1977" w:rsidRDefault="00A767C4" w:rsidP="009D1977">
      <w:pPr>
        <w:shd w:val="clear" w:color="auto" w:fill="FFFFFF"/>
        <w:ind w:left="426" w:right="420"/>
        <w:jc w:val="both"/>
        <w:rPr>
          <w:rFonts w:ascii="Tahoma" w:hAnsi="Tahoma" w:cs="Tahoma"/>
          <w:i/>
          <w:sz w:val="22"/>
        </w:rPr>
      </w:pPr>
      <w:r w:rsidRPr="009D1977">
        <w:rPr>
          <w:rFonts w:ascii="Tahoma" w:hAnsi="Tahoma" w:cs="Tahoma"/>
          <w:i/>
          <w:sz w:val="22"/>
        </w:rPr>
        <w:t>La Corporación en SC 26 abr. 2007, rad. 1997-04528-01, recordó como</w:t>
      </w:r>
    </w:p>
    <w:p w:rsidR="00A767C4" w:rsidRPr="009D1977" w:rsidRDefault="00A767C4" w:rsidP="009D1977">
      <w:pPr>
        <w:shd w:val="clear" w:color="auto" w:fill="FFFFFF"/>
        <w:ind w:left="426" w:right="420"/>
        <w:jc w:val="both"/>
        <w:rPr>
          <w:rFonts w:ascii="Tahoma" w:hAnsi="Tahoma" w:cs="Tahoma"/>
          <w:i/>
          <w:sz w:val="22"/>
        </w:rPr>
      </w:pPr>
    </w:p>
    <w:p w:rsidR="00A767C4" w:rsidRPr="009D1977" w:rsidRDefault="00A767C4" w:rsidP="009D1977">
      <w:pPr>
        <w:pStyle w:val="Prrafodelista"/>
        <w:widowControl w:val="0"/>
        <w:spacing w:line="240" w:lineRule="auto"/>
        <w:ind w:left="993" w:right="420"/>
        <w:rPr>
          <w:rFonts w:ascii="Tahoma" w:hAnsi="Tahoma" w:cs="Tahoma"/>
          <w:sz w:val="22"/>
        </w:rPr>
      </w:pPr>
      <w:r w:rsidRPr="009D1977">
        <w:rPr>
          <w:rFonts w:ascii="Tahoma" w:hAnsi="Tahoma" w:cs="Tahoma"/>
          <w:sz w:val="22"/>
        </w:rPr>
        <w:t>[</w:t>
      </w:r>
      <w:proofErr w:type="gramStart"/>
      <w:r w:rsidRPr="009D1977">
        <w:rPr>
          <w:rFonts w:ascii="Tahoma" w:hAnsi="Tahoma" w:cs="Tahoma"/>
          <w:sz w:val="22"/>
        </w:rPr>
        <w:t>l]</w:t>
      </w:r>
      <w:proofErr w:type="gramEnd"/>
      <w:r w:rsidRPr="009D1977">
        <w:rPr>
          <w:rFonts w:ascii="Tahoma" w:hAnsi="Tahoma" w:cs="Tahoma"/>
          <w:sz w:val="22"/>
        </w:rPr>
        <w:t xml:space="preserve">o del cariz profesional inherente a la actividad aseguradora es cosa que no admite discusiones. Mas, el trasunto de todo está en que al ponderar los alcances del concepto “debido conocer” de que da cuenta la norma, es indispensable comprender que si el asegurador, teniendo a su alcance la posibilidad de hacer las averiguaciones que lo lleven a establecer el genuino </w:t>
      </w:r>
      <w:r w:rsidRPr="009D1977">
        <w:rPr>
          <w:rFonts w:ascii="Tahoma" w:hAnsi="Tahoma" w:cs="Tahoma"/>
          <w:sz w:val="22"/>
        </w:rPr>
        <w:lastRenderedPageBreak/>
        <w:t xml:space="preserve">estado del riesgo, omite adelantarlas, </w:t>
      </w:r>
      <w:r w:rsidRPr="009D1977">
        <w:rPr>
          <w:rFonts w:ascii="Tahoma" w:hAnsi="Tahoma" w:cs="Tahoma"/>
          <w:sz w:val="22"/>
          <w:u w:val="single"/>
        </w:rPr>
        <w:t>no obstante que cuenta con elementos que invitan a pensar que existen discrepancias entre la información del tomador y la realidad</w:t>
      </w:r>
      <w:r w:rsidRPr="009D1977">
        <w:rPr>
          <w:rFonts w:ascii="Tahoma" w:hAnsi="Tahoma" w:cs="Tahoma"/>
          <w:sz w:val="22"/>
        </w:rPr>
        <w:t xml:space="preserve">, queda irremisiblemente vinculado a la relación </w:t>
      </w:r>
      <w:proofErr w:type="spellStart"/>
      <w:r w:rsidRPr="009D1977">
        <w:rPr>
          <w:rFonts w:ascii="Tahoma" w:hAnsi="Tahoma" w:cs="Tahoma"/>
          <w:sz w:val="22"/>
        </w:rPr>
        <w:t>aseguraticia</w:t>
      </w:r>
      <w:proofErr w:type="spellEnd"/>
      <w:r w:rsidRPr="009D1977">
        <w:rPr>
          <w:rFonts w:ascii="Tahoma" w:hAnsi="Tahoma" w:cs="Tahoma"/>
          <w:sz w:val="22"/>
        </w:rPr>
        <w:t xml:space="preserve"> sin que al efecto pueda invocar la nulidad para enervarla, pues en entredicho su diligencia y el cardinal principio de la prudencia –en últimas su profesionalismo-, es claro que en tales condiciones emerge un conocimiento presunto de “los hechos y circunstancias sobre que versan los vicios de la declaración”, por lo que la nulidad ya no obra, desde luego, </w:t>
      </w:r>
      <w:proofErr w:type="spellStart"/>
      <w:r w:rsidRPr="009D1977">
        <w:rPr>
          <w:rFonts w:ascii="Tahoma" w:hAnsi="Tahoma" w:cs="Tahoma"/>
          <w:sz w:val="22"/>
        </w:rPr>
        <w:t>insístese</w:t>
      </w:r>
      <w:proofErr w:type="spellEnd"/>
      <w:r w:rsidRPr="009D1977">
        <w:rPr>
          <w:rFonts w:ascii="Tahoma" w:hAnsi="Tahoma" w:cs="Tahoma"/>
          <w:sz w:val="22"/>
        </w:rPr>
        <w:t>, que el enteramiento anterior se yergue como una de las excepciones concebidas por el legislador para que la nulidad no opere fatalmente (subrayado del texto).</w:t>
      </w:r>
    </w:p>
    <w:p w:rsidR="00A767C4" w:rsidRPr="009D1977" w:rsidRDefault="00A767C4" w:rsidP="009D1977">
      <w:pPr>
        <w:shd w:val="clear" w:color="auto" w:fill="FFFFFF"/>
        <w:ind w:left="426" w:right="420"/>
        <w:jc w:val="both"/>
        <w:rPr>
          <w:rFonts w:ascii="Tahoma" w:hAnsi="Tahoma" w:cs="Tahoma"/>
          <w:i/>
          <w:sz w:val="22"/>
        </w:rPr>
      </w:pPr>
    </w:p>
    <w:p w:rsidR="00250F0D" w:rsidRPr="009D1977" w:rsidRDefault="00A767C4" w:rsidP="009D1977">
      <w:pPr>
        <w:shd w:val="clear" w:color="auto" w:fill="FFFFFF"/>
        <w:ind w:left="426" w:right="420"/>
        <w:jc w:val="both"/>
        <w:rPr>
          <w:rFonts w:ascii="Tahoma" w:hAnsi="Tahoma" w:cs="Tahoma"/>
          <w:i/>
        </w:rPr>
      </w:pPr>
      <w:r w:rsidRPr="009D1977">
        <w:rPr>
          <w:rFonts w:ascii="Tahoma" w:hAnsi="Tahoma" w:cs="Tahoma"/>
          <w:i/>
          <w:sz w:val="22"/>
        </w:rPr>
        <w:t>Ahora bien, no puede pasarse por alto que tratándose de seguros colectivos de vida, en los que se contrata por cuenta de un tercero determinado o determinable, la obligación de declarar el «estado del riesgo» la tiene el asegurado, de conformidad con el artículo 1039 del Código de Comercio, puesto que es él quien sabe sobre las</w:t>
      </w:r>
      <w:r w:rsidRPr="009D1977">
        <w:rPr>
          <w:rFonts w:ascii="Tahoma" w:hAnsi="Tahoma" w:cs="Tahoma"/>
          <w:i/>
          <w:iCs/>
        </w:rPr>
        <w:t xml:space="preserve"> </w:t>
      </w:r>
      <w:r w:rsidRPr="009D1977">
        <w:rPr>
          <w:rFonts w:ascii="Tahoma" w:hAnsi="Tahoma" w:cs="Tahoma"/>
          <w:i/>
          <w:sz w:val="22"/>
        </w:rPr>
        <w:t>afecciones o la inexistencia de ellas al momento de adquirirlo</w:t>
      </w:r>
      <w:r w:rsidR="00250F0D" w:rsidRPr="009D1977">
        <w:rPr>
          <w:rFonts w:ascii="Tahoma" w:hAnsi="Tahoma" w:cs="Tahoma"/>
          <w:i/>
          <w:sz w:val="22"/>
        </w:rPr>
        <w:t>…</w:t>
      </w:r>
      <w:r w:rsidR="00250F0D" w:rsidRPr="009D1977">
        <w:rPr>
          <w:rFonts w:ascii="Tahoma" w:hAnsi="Tahoma" w:cs="Tahoma"/>
          <w:sz w:val="22"/>
        </w:rPr>
        <w:t>”</w:t>
      </w:r>
      <w:r w:rsidR="00250F0D" w:rsidRPr="009D1977">
        <w:rPr>
          <w:rStyle w:val="Refdenotaalpie"/>
          <w:rFonts w:ascii="Tahoma" w:hAnsi="Tahoma" w:cs="Tahoma"/>
          <w:i/>
          <w:iCs/>
          <w:sz w:val="22"/>
        </w:rPr>
        <w:footnoteReference w:id="9"/>
      </w:r>
    </w:p>
    <w:p w:rsidR="00837390" w:rsidRPr="009D1977" w:rsidRDefault="00837390" w:rsidP="009D1977">
      <w:pPr>
        <w:spacing w:line="276" w:lineRule="auto"/>
        <w:jc w:val="both"/>
        <w:rPr>
          <w:rFonts w:ascii="Tahoma" w:hAnsi="Tahoma" w:cs="Tahoma"/>
        </w:rPr>
      </w:pPr>
    </w:p>
    <w:p w:rsidR="005F3C31" w:rsidRPr="009D1977" w:rsidRDefault="00E4333E" w:rsidP="009D1977">
      <w:pPr>
        <w:spacing w:line="276" w:lineRule="auto"/>
        <w:jc w:val="both"/>
        <w:rPr>
          <w:rFonts w:ascii="Tahoma" w:hAnsi="Tahoma" w:cs="Tahoma"/>
        </w:rPr>
      </w:pPr>
      <w:r w:rsidRPr="009D1977">
        <w:rPr>
          <w:rFonts w:ascii="Tahoma" w:hAnsi="Tahoma" w:cs="Tahoma"/>
        </w:rPr>
        <w:t>16</w:t>
      </w:r>
      <w:r w:rsidR="005F3C31" w:rsidRPr="009D1977">
        <w:rPr>
          <w:rFonts w:ascii="Tahoma" w:hAnsi="Tahoma" w:cs="Tahoma"/>
        </w:rPr>
        <w:t xml:space="preserve">. Aduce el </w:t>
      </w:r>
      <w:r w:rsidR="009A0201" w:rsidRPr="009D1977">
        <w:rPr>
          <w:rFonts w:ascii="Tahoma" w:hAnsi="Tahoma" w:cs="Tahoma"/>
        </w:rPr>
        <w:t xml:space="preserve">apoderado de los </w:t>
      </w:r>
      <w:r w:rsidR="005F3C31" w:rsidRPr="009D1977">
        <w:rPr>
          <w:rFonts w:ascii="Tahoma" w:hAnsi="Tahoma" w:cs="Tahoma"/>
        </w:rPr>
        <w:t>impugnante</w:t>
      </w:r>
      <w:r w:rsidR="009A0201" w:rsidRPr="009D1977">
        <w:rPr>
          <w:rFonts w:ascii="Tahoma" w:hAnsi="Tahoma" w:cs="Tahoma"/>
        </w:rPr>
        <w:t>s</w:t>
      </w:r>
      <w:r w:rsidR="005F3C31" w:rsidRPr="009D1977">
        <w:rPr>
          <w:rFonts w:ascii="Tahoma" w:hAnsi="Tahoma" w:cs="Tahoma"/>
        </w:rPr>
        <w:t xml:space="preserve"> que la incapacidad total y permanente es un riesgo asegurable. Ello es cierto de acuerdo con los documentos que aquí se han descrito, pero ante su nulidad por reticencia, la entidad aseguradora no est</w:t>
      </w:r>
      <w:r w:rsidR="009A0201" w:rsidRPr="009D1977">
        <w:rPr>
          <w:rFonts w:ascii="Tahoma" w:hAnsi="Tahoma" w:cs="Tahoma"/>
        </w:rPr>
        <w:t>á obligada a asumir</w:t>
      </w:r>
      <w:r w:rsidRPr="009D1977">
        <w:rPr>
          <w:rFonts w:ascii="Tahoma" w:hAnsi="Tahoma" w:cs="Tahoma"/>
        </w:rPr>
        <w:t>lo.</w:t>
      </w:r>
    </w:p>
    <w:p w:rsidR="009A0201" w:rsidRPr="009D1977" w:rsidRDefault="009A0201" w:rsidP="009D1977">
      <w:pPr>
        <w:spacing w:line="276" w:lineRule="auto"/>
        <w:jc w:val="both"/>
        <w:rPr>
          <w:rFonts w:ascii="Tahoma" w:hAnsi="Tahoma" w:cs="Tahoma"/>
        </w:rPr>
      </w:pPr>
    </w:p>
    <w:p w:rsidR="009A0201" w:rsidRPr="009D1977" w:rsidRDefault="00E4333E" w:rsidP="009D1977">
      <w:pPr>
        <w:spacing w:line="276" w:lineRule="auto"/>
        <w:jc w:val="both"/>
        <w:rPr>
          <w:rFonts w:ascii="Tahoma" w:hAnsi="Tahoma" w:cs="Tahoma"/>
        </w:rPr>
      </w:pPr>
      <w:r w:rsidRPr="009D1977">
        <w:rPr>
          <w:rFonts w:ascii="Tahoma" w:hAnsi="Tahoma" w:cs="Tahoma"/>
        </w:rPr>
        <w:t>17.</w:t>
      </w:r>
      <w:r w:rsidR="009A0201" w:rsidRPr="009D1977">
        <w:rPr>
          <w:rFonts w:ascii="Tahoma" w:hAnsi="Tahoma" w:cs="Tahoma"/>
        </w:rPr>
        <w:t xml:space="preserve"> Transcribe el mismo profesional algunos apartes de las sentencias </w:t>
      </w:r>
      <w:r w:rsidR="00001AA5" w:rsidRPr="009D1977">
        <w:rPr>
          <w:rFonts w:ascii="Tahoma" w:hAnsi="Tahoma" w:cs="Tahoma"/>
        </w:rPr>
        <w:t>d</w:t>
      </w:r>
      <w:r w:rsidR="009A0201" w:rsidRPr="009D1977">
        <w:rPr>
          <w:rFonts w:ascii="Tahoma" w:hAnsi="Tahoma" w:cs="Tahoma"/>
        </w:rPr>
        <w:t>e primera y segunda instancia, proferidas en la acción de tutela que promovi</w:t>
      </w:r>
      <w:r w:rsidR="00001AA5" w:rsidRPr="009D1977">
        <w:rPr>
          <w:rFonts w:ascii="Tahoma" w:hAnsi="Tahoma" w:cs="Tahoma"/>
        </w:rPr>
        <w:t xml:space="preserve">eron los demandantes contra la aseguradora aquí demandada, con fundamento en los mismos </w:t>
      </w:r>
      <w:r w:rsidR="009A0201" w:rsidRPr="009D1977">
        <w:rPr>
          <w:rFonts w:ascii="Tahoma" w:hAnsi="Tahoma" w:cs="Tahoma"/>
        </w:rPr>
        <w:t>hechos a que se refieren los</w:t>
      </w:r>
      <w:r w:rsidR="00001AA5" w:rsidRPr="009D1977">
        <w:rPr>
          <w:rFonts w:ascii="Tahoma" w:hAnsi="Tahoma" w:cs="Tahoma"/>
        </w:rPr>
        <w:t xml:space="preserve"> relatados en el escrito por medio del cual se dio inicio a esta acción, en la que también solicitaban se reconociera el riesgo por incapacida</w:t>
      </w:r>
      <w:r w:rsidR="00DA6A01" w:rsidRPr="009D1977">
        <w:rPr>
          <w:rFonts w:ascii="Tahoma" w:hAnsi="Tahoma" w:cs="Tahoma"/>
        </w:rPr>
        <w:t>d objeto del contrato de seguro de vida grupo</w:t>
      </w:r>
      <w:r w:rsidRPr="009D1977">
        <w:rPr>
          <w:rFonts w:ascii="Tahoma" w:hAnsi="Tahoma" w:cs="Tahoma"/>
        </w:rPr>
        <w:t xml:space="preserve"> deudores, toma</w:t>
      </w:r>
      <w:r w:rsidR="00DA6A01" w:rsidRPr="009D1977">
        <w:rPr>
          <w:rFonts w:ascii="Tahoma" w:hAnsi="Tahoma" w:cs="Tahoma"/>
        </w:rPr>
        <w:t>do con el Banco BBVA</w:t>
      </w:r>
      <w:r w:rsidR="00DA6A01" w:rsidRPr="009D1977">
        <w:rPr>
          <w:rStyle w:val="Refdenotaalpie"/>
          <w:rFonts w:ascii="Tahoma" w:hAnsi="Tahoma" w:cs="Tahoma"/>
        </w:rPr>
        <w:footnoteReference w:id="10"/>
      </w:r>
      <w:r w:rsidR="00DA6A01" w:rsidRPr="009D1977">
        <w:rPr>
          <w:rFonts w:ascii="Tahoma" w:hAnsi="Tahoma" w:cs="Tahoma"/>
        </w:rPr>
        <w:t>.</w:t>
      </w:r>
    </w:p>
    <w:p w:rsidR="00001AA5" w:rsidRPr="009D1977" w:rsidRDefault="00001AA5" w:rsidP="009D1977">
      <w:pPr>
        <w:spacing w:line="276" w:lineRule="auto"/>
        <w:jc w:val="both"/>
        <w:rPr>
          <w:rFonts w:ascii="Tahoma" w:hAnsi="Tahoma" w:cs="Tahoma"/>
        </w:rPr>
      </w:pPr>
    </w:p>
    <w:p w:rsidR="00DA6A01" w:rsidRPr="009D1977" w:rsidRDefault="00DA6A01" w:rsidP="009D1977">
      <w:pPr>
        <w:spacing w:line="276" w:lineRule="auto"/>
        <w:jc w:val="both"/>
        <w:rPr>
          <w:rFonts w:ascii="Tahoma" w:hAnsi="Tahoma" w:cs="Tahoma"/>
        </w:rPr>
      </w:pPr>
      <w:r w:rsidRPr="009D1977">
        <w:rPr>
          <w:rFonts w:ascii="Tahoma" w:hAnsi="Tahoma" w:cs="Tahoma"/>
        </w:rPr>
        <w:t>En el fallo de primera instancia, dictado el 9 de julio de 2015, el Juzgado Tercero Civil Municipal de Pereira, concedió la tutela solicitada, de manera transitoria, hasta cuando la jurisdicción ordinaria decida la acción que al efecto debían instaurar los actores</w:t>
      </w:r>
      <w:r w:rsidR="00E4333E" w:rsidRPr="009D1977">
        <w:rPr>
          <w:rFonts w:ascii="Tahoma" w:hAnsi="Tahoma" w:cs="Tahoma"/>
        </w:rPr>
        <w:t>; mand</w:t>
      </w:r>
      <w:r w:rsidRPr="009D1977">
        <w:rPr>
          <w:rFonts w:ascii="Tahoma" w:hAnsi="Tahoma" w:cs="Tahoma"/>
        </w:rPr>
        <w:t>ó a la demandada abstenerse de iniciar cualquier tipo de cobro contra los demandantes, y de haber iniciado algún trámite judicial, ordenó al juez de conocimiento darlo por terminado</w:t>
      </w:r>
      <w:r w:rsidRPr="009D1977">
        <w:rPr>
          <w:rStyle w:val="Refdenotaalpie"/>
          <w:rFonts w:ascii="Tahoma" w:hAnsi="Tahoma" w:cs="Tahoma"/>
        </w:rPr>
        <w:footnoteReference w:id="11"/>
      </w:r>
      <w:r w:rsidR="000C5B38" w:rsidRPr="009D1977">
        <w:rPr>
          <w:rFonts w:ascii="Tahoma" w:hAnsi="Tahoma" w:cs="Tahoma"/>
        </w:rPr>
        <w:t>. Esa providencia fue confirmada por el Juzgado Quinto Civil del Circuito de Pereira, en sentencia del 14 de agosto del mismo año</w:t>
      </w:r>
      <w:r w:rsidR="000C5B38" w:rsidRPr="009D1977">
        <w:rPr>
          <w:rStyle w:val="Refdenotaalpie"/>
          <w:rFonts w:ascii="Tahoma" w:hAnsi="Tahoma" w:cs="Tahoma"/>
        </w:rPr>
        <w:footnoteReference w:id="12"/>
      </w:r>
      <w:r w:rsidR="000C5B38" w:rsidRPr="009D1977">
        <w:rPr>
          <w:rFonts w:ascii="Tahoma" w:hAnsi="Tahoma" w:cs="Tahoma"/>
        </w:rPr>
        <w:t>.</w:t>
      </w:r>
    </w:p>
    <w:p w:rsidR="000C5B38" w:rsidRPr="009D1977" w:rsidRDefault="000C5B38" w:rsidP="009D1977">
      <w:pPr>
        <w:spacing w:line="276" w:lineRule="auto"/>
        <w:jc w:val="both"/>
        <w:rPr>
          <w:rFonts w:ascii="Tahoma" w:hAnsi="Tahoma" w:cs="Tahoma"/>
        </w:rPr>
      </w:pPr>
    </w:p>
    <w:p w:rsidR="003E5A01" w:rsidRPr="009D1977" w:rsidRDefault="000C5B38" w:rsidP="009D1977">
      <w:pPr>
        <w:spacing w:line="276" w:lineRule="auto"/>
        <w:jc w:val="both"/>
        <w:rPr>
          <w:rFonts w:ascii="Tahoma" w:hAnsi="Tahoma" w:cs="Tahoma"/>
        </w:rPr>
      </w:pPr>
      <w:r w:rsidRPr="009D1977">
        <w:rPr>
          <w:rFonts w:ascii="Tahoma" w:hAnsi="Tahoma" w:cs="Tahoma"/>
        </w:rPr>
        <w:t xml:space="preserve">A pesar de que el amparo fue concedido, precisamente hasta cuando se definiera por la justicia ordinaria el conflicto planteado por vía de tutela, los </w:t>
      </w:r>
      <w:r w:rsidR="00A8351A" w:rsidRPr="009D1977">
        <w:rPr>
          <w:rFonts w:ascii="Tahoma" w:hAnsi="Tahoma" w:cs="Tahoma"/>
        </w:rPr>
        <w:t xml:space="preserve">argumentos </w:t>
      </w:r>
      <w:r w:rsidR="00E4333E" w:rsidRPr="009D1977">
        <w:rPr>
          <w:rFonts w:ascii="Tahoma" w:hAnsi="Tahoma" w:cs="Tahoma"/>
        </w:rPr>
        <w:t xml:space="preserve">plasmados en esas providencias no constituyen </w:t>
      </w:r>
      <w:r w:rsidR="00A8351A" w:rsidRPr="009D1977">
        <w:rPr>
          <w:rFonts w:ascii="Tahoma" w:hAnsi="Tahoma" w:cs="Tahoma"/>
        </w:rPr>
        <w:t>precedente</w:t>
      </w:r>
      <w:r w:rsidR="003E5A01" w:rsidRPr="009D1977">
        <w:rPr>
          <w:rFonts w:ascii="Tahoma" w:hAnsi="Tahoma" w:cs="Tahoma"/>
        </w:rPr>
        <w:t xml:space="preserve">s que obliguen </w:t>
      </w:r>
      <w:r w:rsidR="00611949" w:rsidRPr="009D1977">
        <w:rPr>
          <w:rFonts w:ascii="Tahoma" w:hAnsi="Tahoma" w:cs="Tahoma"/>
        </w:rPr>
        <w:t xml:space="preserve">a este tribunal, </w:t>
      </w:r>
      <w:r w:rsidR="003E5A01" w:rsidRPr="009D1977">
        <w:rPr>
          <w:rFonts w:ascii="Tahoma" w:hAnsi="Tahoma" w:cs="Tahoma"/>
        </w:rPr>
        <w:t xml:space="preserve">en razón a que no se trata de fallos dictados por autoridades de la misma jerarquía, ni de </w:t>
      </w:r>
      <w:r w:rsidR="00611949" w:rsidRPr="009D1977">
        <w:rPr>
          <w:rFonts w:ascii="Tahoma" w:hAnsi="Tahoma" w:cs="Tahoma"/>
        </w:rPr>
        <w:t xml:space="preserve">la </w:t>
      </w:r>
      <w:r w:rsidR="003E5A01" w:rsidRPr="009D1977">
        <w:rPr>
          <w:rFonts w:ascii="Tahoma" w:hAnsi="Tahoma" w:cs="Tahoma"/>
        </w:rPr>
        <w:t xml:space="preserve">instancia superior, </w:t>
      </w:r>
      <w:r w:rsidR="003E5A01" w:rsidRPr="009D1977">
        <w:rPr>
          <w:rFonts w:ascii="Tahoma" w:hAnsi="Tahoma" w:cs="Tahoma"/>
          <w:shd w:val="clear" w:color="auto" w:fill="FFFFFF"/>
        </w:rPr>
        <w:t xml:space="preserve">encargada de unificar jurisprudencia dentro de la respectiva jurisdicción civil. </w:t>
      </w:r>
    </w:p>
    <w:p w:rsidR="005E3213" w:rsidRPr="009D1977" w:rsidRDefault="005E3213" w:rsidP="009D1977">
      <w:pPr>
        <w:spacing w:line="276" w:lineRule="auto"/>
        <w:jc w:val="both"/>
        <w:rPr>
          <w:rFonts w:ascii="Tahoma" w:hAnsi="Tahoma" w:cs="Tahoma"/>
        </w:rPr>
      </w:pPr>
    </w:p>
    <w:p w:rsidR="00FD095F" w:rsidRPr="009D1977" w:rsidRDefault="00EC74A0" w:rsidP="009D1977">
      <w:pPr>
        <w:spacing w:line="276" w:lineRule="auto"/>
        <w:jc w:val="both"/>
        <w:rPr>
          <w:rFonts w:ascii="Tahoma" w:hAnsi="Tahoma" w:cs="Tahoma"/>
          <w:b/>
        </w:rPr>
      </w:pPr>
      <w:r w:rsidRPr="009D1977">
        <w:rPr>
          <w:rFonts w:ascii="Tahoma" w:hAnsi="Tahoma" w:cs="Tahoma"/>
          <w:b/>
        </w:rPr>
        <w:t>CONCLUSIONES Y D</w:t>
      </w:r>
      <w:r w:rsidR="00FD095F" w:rsidRPr="009D1977">
        <w:rPr>
          <w:rFonts w:ascii="Tahoma" w:hAnsi="Tahoma" w:cs="Tahoma"/>
          <w:b/>
        </w:rPr>
        <w:t>ECISIÓN</w:t>
      </w:r>
    </w:p>
    <w:p w:rsidR="00FD095F" w:rsidRPr="009D1977" w:rsidRDefault="00FD095F" w:rsidP="009D1977">
      <w:pPr>
        <w:spacing w:line="276" w:lineRule="auto"/>
        <w:jc w:val="both"/>
        <w:rPr>
          <w:rFonts w:ascii="Tahoma" w:hAnsi="Tahoma" w:cs="Tahoma"/>
        </w:rPr>
      </w:pPr>
    </w:p>
    <w:p w:rsidR="00FD095F" w:rsidRPr="009D1977" w:rsidRDefault="00FD095F" w:rsidP="009D1977">
      <w:pPr>
        <w:spacing w:line="276" w:lineRule="auto"/>
        <w:jc w:val="both"/>
        <w:rPr>
          <w:rFonts w:ascii="Tahoma" w:hAnsi="Tahoma" w:cs="Tahoma"/>
        </w:rPr>
      </w:pPr>
      <w:r w:rsidRPr="009D1977">
        <w:rPr>
          <w:rFonts w:ascii="Tahoma" w:hAnsi="Tahoma" w:cs="Tahoma"/>
        </w:rPr>
        <w:t>De acuerdo con lo expuesto, se confirmará la sentencia impugnada.</w:t>
      </w:r>
    </w:p>
    <w:p w:rsidR="00FD095F" w:rsidRPr="009D1977" w:rsidRDefault="00FD095F" w:rsidP="009D1977">
      <w:pPr>
        <w:spacing w:line="276" w:lineRule="auto"/>
        <w:jc w:val="both"/>
        <w:rPr>
          <w:rFonts w:ascii="Tahoma" w:hAnsi="Tahoma" w:cs="Tahoma"/>
        </w:rPr>
      </w:pPr>
    </w:p>
    <w:p w:rsidR="00EC74A0" w:rsidRPr="009D1977" w:rsidRDefault="00FD095F" w:rsidP="009D1977">
      <w:pPr>
        <w:spacing w:line="276" w:lineRule="auto"/>
        <w:jc w:val="both"/>
        <w:rPr>
          <w:rFonts w:ascii="Tahoma" w:hAnsi="Tahoma" w:cs="Tahoma"/>
        </w:rPr>
      </w:pPr>
      <w:r w:rsidRPr="009D1977">
        <w:rPr>
          <w:rFonts w:ascii="Tahoma" w:hAnsi="Tahoma" w:cs="Tahoma"/>
        </w:rPr>
        <w:t xml:space="preserve">La </w:t>
      </w:r>
      <w:r w:rsidR="00EC74A0" w:rsidRPr="009D1977">
        <w:rPr>
          <w:rFonts w:ascii="Tahoma" w:hAnsi="Tahoma" w:cs="Tahoma"/>
        </w:rPr>
        <w:t xml:space="preserve">parte </w:t>
      </w:r>
      <w:r w:rsidRPr="009D1977">
        <w:rPr>
          <w:rFonts w:ascii="Tahoma" w:hAnsi="Tahoma" w:cs="Tahoma"/>
        </w:rPr>
        <w:t>demandante será condenada a pagar las costas causadas en esta instancia</w:t>
      </w:r>
      <w:r w:rsidR="00EC74A0" w:rsidRPr="009D1977">
        <w:rPr>
          <w:rFonts w:ascii="Tahoma" w:hAnsi="Tahoma" w:cs="Tahoma"/>
        </w:rPr>
        <w:t>, las que serán liquidadas por el juzgado de primera sede, de acuerdo con el artículo 366 del Código General del Proceso</w:t>
      </w:r>
      <w:r w:rsidRPr="009D1977">
        <w:rPr>
          <w:rFonts w:ascii="Tahoma" w:hAnsi="Tahoma" w:cs="Tahoma"/>
        </w:rPr>
        <w:t xml:space="preserve">. </w:t>
      </w:r>
      <w:r w:rsidR="00EC74A0" w:rsidRPr="009D1977">
        <w:rPr>
          <w:rFonts w:ascii="Tahoma" w:hAnsi="Tahoma" w:cs="Tahoma"/>
        </w:rPr>
        <w:t>Las agencias en derecho se fijarán por auto posterior.</w:t>
      </w:r>
    </w:p>
    <w:p w:rsidR="00FD095F" w:rsidRPr="009D1977" w:rsidRDefault="00FD095F" w:rsidP="009D1977">
      <w:pPr>
        <w:spacing w:line="276" w:lineRule="auto"/>
        <w:jc w:val="both"/>
        <w:rPr>
          <w:rFonts w:ascii="Tahoma" w:hAnsi="Tahoma" w:cs="Tahoma"/>
        </w:rPr>
      </w:pPr>
      <w:r w:rsidRPr="009D1977">
        <w:rPr>
          <w:rFonts w:ascii="Tahoma" w:hAnsi="Tahoma" w:cs="Tahoma"/>
        </w:rPr>
        <w:t xml:space="preserve"> </w:t>
      </w:r>
    </w:p>
    <w:p w:rsidR="00FD095F" w:rsidRPr="009D1977" w:rsidRDefault="00FD095F" w:rsidP="009D1977">
      <w:pPr>
        <w:spacing w:line="276" w:lineRule="auto"/>
        <w:jc w:val="both"/>
        <w:rPr>
          <w:rFonts w:ascii="Tahoma" w:hAnsi="Tahoma" w:cs="Tahoma"/>
        </w:rPr>
      </w:pPr>
      <w:r w:rsidRPr="009D1977">
        <w:rPr>
          <w:rFonts w:ascii="Tahoma" w:hAnsi="Tahoma" w:cs="Tahoma"/>
        </w:rPr>
        <w:t>Por lo expuesto, la Sala Civil Familia del Tribunal Superior de Pereira, Risaralda, administrando justicia en nombre de la República y por autoridad de la ley,</w:t>
      </w:r>
    </w:p>
    <w:p w:rsidR="00FD095F" w:rsidRPr="009D1977" w:rsidRDefault="00FD095F" w:rsidP="009D1977">
      <w:pPr>
        <w:tabs>
          <w:tab w:val="left" w:pos="-720"/>
        </w:tabs>
        <w:spacing w:line="276" w:lineRule="auto"/>
        <w:jc w:val="both"/>
        <w:rPr>
          <w:rFonts w:ascii="Tahoma" w:hAnsi="Tahoma" w:cs="Tahoma"/>
        </w:rPr>
      </w:pPr>
    </w:p>
    <w:p w:rsidR="00FD095F" w:rsidRPr="009D1977" w:rsidRDefault="00FD095F" w:rsidP="009D1977">
      <w:pPr>
        <w:tabs>
          <w:tab w:val="left" w:pos="-720"/>
        </w:tabs>
        <w:spacing w:line="276" w:lineRule="auto"/>
        <w:jc w:val="both"/>
        <w:rPr>
          <w:rFonts w:ascii="Tahoma" w:hAnsi="Tahoma" w:cs="Tahoma"/>
          <w:b/>
        </w:rPr>
      </w:pPr>
      <w:r w:rsidRPr="009D1977">
        <w:rPr>
          <w:rFonts w:ascii="Tahoma" w:hAnsi="Tahoma" w:cs="Tahoma"/>
          <w:b/>
        </w:rPr>
        <w:t>RESUELVE:</w:t>
      </w:r>
    </w:p>
    <w:p w:rsidR="00FD095F" w:rsidRPr="009D1977" w:rsidRDefault="00FD095F" w:rsidP="009D1977">
      <w:pPr>
        <w:spacing w:line="276" w:lineRule="auto"/>
        <w:jc w:val="both"/>
        <w:rPr>
          <w:rFonts w:ascii="Tahoma" w:hAnsi="Tahoma" w:cs="Tahoma"/>
        </w:rPr>
      </w:pPr>
    </w:p>
    <w:p w:rsidR="00EC74A0" w:rsidRPr="009D1977" w:rsidRDefault="7B5D4DB3" w:rsidP="009D1977">
      <w:pPr>
        <w:pStyle w:val="Textoindependiente"/>
        <w:spacing w:line="276" w:lineRule="auto"/>
        <w:rPr>
          <w:rFonts w:ascii="Tahoma" w:hAnsi="Tahoma" w:cs="Tahoma"/>
          <w:sz w:val="24"/>
          <w:szCs w:val="24"/>
        </w:rPr>
      </w:pPr>
      <w:r w:rsidRPr="009D1977">
        <w:rPr>
          <w:rFonts w:ascii="Tahoma" w:hAnsi="Tahoma" w:cs="Tahoma"/>
          <w:b/>
          <w:bCs/>
          <w:sz w:val="24"/>
          <w:szCs w:val="24"/>
        </w:rPr>
        <w:t>1º CONFIRMAR</w:t>
      </w:r>
      <w:r w:rsidR="00FD095F" w:rsidRPr="009D1977">
        <w:rPr>
          <w:rFonts w:ascii="Tahoma" w:hAnsi="Tahoma" w:cs="Tahoma"/>
          <w:b/>
          <w:bCs/>
          <w:sz w:val="24"/>
          <w:szCs w:val="24"/>
        </w:rPr>
        <w:t xml:space="preserve"> </w:t>
      </w:r>
      <w:r w:rsidR="00FD095F" w:rsidRPr="009D1977">
        <w:rPr>
          <w:rFonts w:ascii="Tahoma" w:hAnsi="Tahoma" w:cs="Tahoma"/>
          <w:sz w:val="24"/>
          <w:szCs w:val="24"/>
        </w:rPr>
        <w:t xml:space="preserve">la sentencia proferida por el </w:t>
      </w:r>
      <w:r w:rsidR="00EC74A0" w:rsidRPr="009D1977">
        <w:rPr>
          <w:rFonts w:ascii="Tahoma" w:hAnsi="Tahoma" w:cs="Tahoma"/>
          <w:sz w:val="24"/>
          <w:szCs w:val="24"/>
        </w:rPr>
        <w:t xml:space="preserve">Juzgado Segundo Civil del Circuito de Pereira, el 13 de agosto de 2019, </w:t>
      </w:r>
      <w:r w:rsidR="6EEC8396" w:rsidRPr="009D1977">
        <w:rPr>
          <w:rFonts w:ascii="Tahoma" w:hAnsi="Tahoma" w:cs="Tahoma"/>
          <w:sz w:val="24"/>
          <w:szCs w:val="24"/>
        </w:rPr>
        <w:t>en el</w:t>
      </w:r>
      <w:r w:rsidR="00EC74A0" w:rsidRPr="009D1977">
        <w:rPr>
          <w:rFonts w:ascii="Tahoma" w:hAnsi="Tahoma" w:cs="Tahoma"/>
          <w:sz w:val="24"/>
          <w:szCs w:val="24"/>
        </w:rPr>
        <w:t xml:space="preserve"> proceso instaurado por los señores Jorge Humberto </w:t>
      </w:r>
      <w:proofErr w:type="spellStart"/>
      <w:r w:rsidR="00EC74A0" w:rsidRPr="009D1977">
        <w:rPr>
          <w:rFonts w:ascii="Tahoma" w:hAnsi="Tahoma" w:cs="Tahoma"/>
          <w:sz w:val="24"/>
          <w:szCs w:val="24"/>
        </w:rPr>
        <w:t>Gartner</w:t>
      </w:r>
      <w:proofErr w:type="spellEnd"/>
      <w:r w:rsidR="00EC74A0" w:rsidRPr="009D1977">
        <w:rPr>
          <w:rFonts w:ascii="Tahoma" w:hAnsi="Tahoma" w:cs="Tahoma"/>
          <w:sz w:val="24"/>
          <w:szCs w:val="24"/>
        </w:rPr>
        <w:t xml:space="preserve"> López y </w:t>
      </w:r>
      <w:proofErr w:type="spellStart"/>
      <w:r w:rsidR="00EC74A0" w:rsidRPr="009D1977">
        <w:rPr>
          <w:rFonts w:ascii="Tahoma" w:hAnsi="Tahoma" w:cs="Tahoma"/>
          <w:sz w:val="24"/>
          <w:szCs w:val="24"/>
        </w:rPr>
        <w:t>Dulfay</w:t>
      </w:r>
      <w:proofErr w:type="spellEnd"/>
      <w:r w:rsidR="00EC74A0" w:rsidRPr="009D1977">
        <w:rPr>
          <w:rFonts w:ascii="Tahoma" w:hAnsi="Tahoma" w:cs="Tahoma"/>
          <w:sz w:val="24"/>
          <w:szCs w:val="24"/>
        </w:rPr>
        <w:t xml:space="preserve"> Calderón </w:t>
      </w:r>
      <w:proofErr w:type="spellStart"/>
      <w:r w:rsidR="00EC74A0" w:rsidRPr="009D1977">
        <w:rPr>
          <w:rFonts w:ascii="Tahoma" w:hAnsi="Tahoma" w:cs="Tahoma"/>
          <w:sz w:val="24"/>
          <w:szCs w:val="24"/>
        </w:rPr>
        <w:t>Betancurt</w:t>
      </w:r>
      <w:proofErr w:type="spellEnd"/>
      <w:r w:rsidR="00EC74A0" w:rsidRPr="009D1977">
        <w:rPr>
          <w:rFonts w:ascii="Tahoma" w:hAnsi="Tahoma" w:cs="Tahoma"/>
          <w:sz w:val="24"/>
          <w:szCs w:val="24"/>
        </w:rPr>
        <w:t xml:space="preserve"> contra BBVA Seguros de Colombia S.A. y en el que se ordenó integrar el contradictorio con el Banco BBVA Colombia S.A.</w:t>
      </w:r>
    </w:p>
    <w:p w:rsidR="00EC74A0" w:rsidRPr="009D1977" w:rsidRDefault="00EC74A0" w:rsidP="009D1977">
      <w:pPr>
        <w:pStyle w:val="Textoindependiente"/>
        <w:spacing w:line="276" w:lineRule="auto"/>
        <w:rPr>
          <w:rFonts w:ascii="Tahoma" w:hAnsi="Tahoma" w:cs="Tahoma"/>
          <w:sz w:val="24"/>
          <w:szCs w:val="24"/>
        </w:rPr>
      </w:pPr>
    </w:p>
    <w:p w:rsidR="00FD095F" w:rsidRPr="009D1977" w:rsidRDefault="00EC74A0" w:rsidP="009D1977">
      <w:pPr>
        <w:spacing w:line="276" w:lineRule="auto"/>
        <w:jc w:val="both"/>
        <w:rPr>
          <w:rFonts w:ascii="Tahoma" w:hAnsi="Tahoma" w:cs="Tahoma"/>
        </w:rPr>
      </w:pPr>
      <w:r w:rsidRPr="009D1977">
        <w:rPr>
          <w:rFonts w:ascii="Tahoma" w:hAnsi="Tahoma" w:cs="Tahoma"/>
          <w:b/>
        </w:rPr>
        <w:t xml:space="preserve">2º </w:t>
      </w:r>
      <w:r w:rsidR="00FD095F" w:rsidRPr="009D1977">
        <w:rPr>
          <w:rFonts w:ascii="Tahoma" w:hAnsi="Tahoma" w:cs="Tahoma"/>
          <w:b/>
        </w:rPr>
        <w:t>CONDENAR</w:t>
      </w:r>
      <w:r w:rsidR="00FD095F" w:rsidRPr="009D1977">
        <w:rPr>
          <w:rFonts w:ascii="Tahoma" w:hAnsi="Tahoma" w:cs="Tahoma"/>
        </w:rPr>
        <w:t xml:space="preserve"> a la </w:t>
      </w:r>
      <w:r w:rsidRPr="009D1977">
        <w:rPr>
          <w:rFonts w:ascii="Tahoma" w:hAnsi="Tahoma" w:cs="Tahoma"/>
        </w:rPr>
        <w:t xml:space="preserve">parte </w:t>
      </w:r>
      <w:r w:rsidR="00FD095F" w:rsidRPr="009D1977">
        <w:rPr>
          <w:rFonts w:ascii="Tahoma" w:hAnsi="Tahoma" w:cs="Tahoma"/>
        </w:rPr>
        <w:t>demandante a pagar las costas causadas en  esta instancia</w:t>
      </w:r>
      <w:r w:rsidRPr="009D1977">
        <w:rPr>
          <w:rFonts w:ascii="Tahoma" w:hAnsi="Tahoma" w:cs="Tahoma"/>
        </w:rPr>
        <w:t xml:space="preserve">, las que serán liquidadas por el juzgado de primera sede, de acuerdo con el artículo 366 del Código General del Proceso. </w:t>
      </w:r>
    </w:p>
    <w:p w:rsidR="00FD095F" w:rsidRPr="009D1977" w:rsidRDefault="00FD095F" w:rsidP="009D1977">
      <w:pPr>
        <w:spacing w:line="276" w:lineRule="auto"/>
        <w:jc w:val="both"/>
        <w:rPr>
          <w:rFonts w:ascii="Tahoma" w:hAnsi="Tahoma" w:cs="Tahoma"/>
        </w:rPr>
      </w:pPr>
      <w:r w:rsidRPr="009D1977">
        <w:rPr>
          <w:rFonts w:ascii="Tahoma" w:hAnsi="Tahoma" w:cs="Tahoma"/>
        </w:rPr>
        <w:t xml:space="preserve"> </w:t>
      </w:r>
    </w:p>
    <w:p w:rsidR="00FD095F" w:rsidRPr="009D1977" w:rsidRDefault="00EC74A0" w:rsidP="009D1977">
      <w:pPr>
        <w:spacing w:line="276" w:lineRule="auto"/>
        <w:jc w:val="both"/>
        <w:rPr>
          <w:rFonts w:ascii="Tahoma" w:hAnsi="Tahoma" w:cs="Tahoma"/>
        </w:rPr>
      </w:pPr>
      <w:r w:rsidRPr="009D1977">
        <w:rPr>
          <w:rFonts w:ascii="Tahoma" w:hAnsi="Tahoma" w:cs="Tahoma"/>
        </w:rPr>
        <w:t>Notifíquese y cúmplase,</w:t>
      </w:r>
    </w:p>
    <w:p w:rsidR="00FD095F" w:rsidRPr="009D1977" w:rsidRDefault="00FD095F" w:rsidP="009D1977">
      <w:pPr>
        <w:spacing w:line="276" w:lineRule="auto"/>
        <w:jc w:val="both"/>
        <w:rPr>
          <w:rFonts w:ascii="Tahoma" w:hAnsi="Tahoma" w:cs="Tahoma"/>
        </w:rPr>
      </w:pPr>
    </w:p>
    <w:p w:rsidR="007A50FE" w:rsidRPr="007A50FE" w:rsidRDefault="007A50FE" w:rsidP="007A50FE">
      <w:pPr>
        <w:overflowPunct w:val="0"/>
        <w:autoSpaceDE w:val="0"/>
        <w:autoSpaceDN w:val="0"/>
        <w:adjustRightInd w:val="0"/>
        <w:spacing w:line="276" w:lineRule="auto"/>
        <w:jc w:val="both"/>
        <w:textAlignment w:val="baseline"/>
        <w:rPr>
          <w:rFonts w:ascii="Tahoma" w:hAnsi="Tahoma" w:cs="Tahoma"/>
        </w:rPr>
      </w:pPr>
      <w:r w:rsidRPr="007A50FE">
        <w:rPr>
          <w:rFonts w:ascii="Tahoma" w:hAnsi="Tahoma" w:cs="Tahoma"/>
        </w:rPr>
        <w:t xml:space="preserve">Los Magistrados, </w:t>
      </w:r>
    </w:p>
    <w:p w:rsid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AA32CD" w:rsidRPr="007A50FE" w:rsidRDefault="00AA32CD"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7A50FE" w:rsidRP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7A50FE" w:rsidRP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7A50FE" w:rsidRP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Cambria Math" w:hAnsi="Tahoma" w:cs="Tahoma"/>
          <w:b/>
          <w:spacing w:val="-4"/>
          <w:lang w:val="es-ES_tradnl"/>
        </w:rPr>
      </w:pPr>
      <w:r w:rsidRPr="007A50FE">
        <w:rPr>
          <w:rFonts w:ascii="Tahoma" w:eastAsia="Cambria Math" w:hAnsi="Tahoma" w:cs="Tahoma"/>
          <w:b/>
          <w:spacing w:val="-4"/>
          <w:lang w:val="es-ES_tradnl"/>
        </w:rPr>
        <w:tab/>
      </w:r>
      <w:r w:rsidRPr="007A50FE">
        <w:rPr>
          <w:rFonts w:ascii="Tahoma" w:eastAsia="Cambria Math" w:hAnsi="Tahoma" w:cs="Tahoma"/>
          <w:b/>
          <w:spacing w:val="-4"/>
          <w:lang w:val="es-ES_tradnl"/>
        </w:rPr>
        <w:tab/>
      </w:r>
      <w:r w:rsidRPr="007A50FE">
        <w:rPr>
          <w:rFonts w:ascii="Tahoma" w:eastAsia="Cambria Math" w:hAnsi="Tahoma" w:cs="Tahoma"/>
          <w:b/>
          <w:spacing w:val="-4"/>
          <w:lang w:val="es-ES_tradnl"/>
        </w:rPr>
        <w:tab/>
        <w:t>CLAUDIA MARÍA ARCILA RÍOS</w:t>
      </w:r>
    </w:p>
    <w:p w:rsid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AA32CD" w:rsidRPr="007A50FE" w:rsidRDefault="00AA32CD"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7A50FE" w:rsidRP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7A50FE" w:rsidRP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7A50FE" w:rsidRPr="007A50FE" w:rsidRDefault="007A50FE" w:rsidP="007A50FE">
      <w:pPr>
        <w:tabs>
          <w:tab w:val="left" w:pos="0"/>
          <w:tab w:val="left" w:pos="708"/>
          <w:tab w:val="left" w:pos="1416"/>
          <w:tab w:val="left" w:pos="2124"/>
          <w:tab w:val="left" w:pos="2832"/>
          <w:tab w:val="left" w:pos="3540"/>
          <w:tab w:val="left" w:pos="4248"/>
          <w:tab w:val="left" w:pos="4956"/>
        </w:tabs>
        <w:suppressAutoHyphens/>
        <w:overflowPunct w:val="0"/>
        <w:autoSpaceDE w:val="0"/>
        <w:autoSpaceDN w:val="0"/>
        <w:adjustRightInd w:val="0"/>
        <w:spacing w:line="276" w:lineRule="auto"/>
        <w:jc w:val="both"/>
        <w:textAlignment w:val="baseline"/>
        <w:rPr>
          <w:rFonts w:ascii="Tahoma" w:eastAsia="Cambria Math" w:hAnsi="Tahoma" w:cs="Tahoma"/>
          <w:b/>
          <w:bCs/>
          <w:spacing w:val="-4"/>
          <w:lang w:val="es-ES_tradnl"/>
        </w:rPr>
      </w:pPr>
      <w:r w:rsidRPr="007A50FE">
        <w:rPr>
          <w:rFonts w:ascii="Tahoma" w:eastAsia="Cambria Math" w:hAnsi="Tahoma" w:cs="Tahoma"/>
          <w:b/>
          <w:spacing w:val="-4"/>
          <w:lang w:val="es-ES_tradnl"/>
        </w:rPr>
        <w:tab/>
      </w:r>
      <w:r w:rsidRPr="007A50FE">
        <w:rPr>
          <w:rFonts w:ascii="Tahoma" w:eastAsia="Cambria Math" w:hAnsi="Tahoma" w:cs="Tahoma"/>
          <w:b/>
          <w:spacing w:val="-4"/>
          <w:lang w:val="es-ES_tradnl"/>
        </w:rPr>
        <w:tab/>
      </w:r>
      <w:r w:rsidRPr="007A50FE">
        <w:rPr>
          <w:rFonts w:ascii="Tahoma" w:eastAsia="Cambria Math" w:hAnsi="Tahoma" w:cs="Tahoma"/>
          <w:b/>
          <w:spacing w:val="-4"/>
          <w:lang w:val="es-ES_tradnl"/>
        </w:rPr>
        <w:tab/>
      </w:r>
      <w:proofErr w:type="spellStart"/>
      <w:r w:rsidRPr="007A50FE">
        <w:rPr>
          <w:rFonts w:ascii="Tahoma" w:eastAsia="Cambria Math" w:hAnsi="Tahoma" w:cs="Tahoma"/>
          <w:b/>
          <w:bCs/>
          <w:spacing w:val="-4"/>
          <w:lang w:val="es-ES_tradnl"/>
        </w:rPr>
        <w:t>DUBERNEY</w:t>
      </w:r>
      <w:proofErr w:type="spellEnd"/>
      <w:r w:rsidRPr="007A50FE">
        <w:rPr>
          <w:rFonts w:ascii="Tahoma" w:eastAsia="Cambria Math" w:hAnsi="Tahoma" w:cs="Tahoma"/>
          <w:b/>
          <w:bCs/>
          <w:spacing w:val="-4"/>
          <w:lang w:val="es-ES_tradnl"/>
        </w:rPr>
        <w:t xml:space="preserve"> GRISALES HERRERA</w:t>
      </w:r>
    </w:p>
    <w:p w:rsidR="007A50FE" w:rsidRP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7A50FE" w:rsidRP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AA32CD" w:rsidRPr="007A50FE" w:rsidRDefault="00AA32CD"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eastAsia="Cambria Math" w:hAnsi="Tahoma" w:cs="Tahoma"/>
          <w:spacing w:val="-4"/>
          <w:lang w:val="es-ES_tradnl"/>
        </w:rPr>
      </w:pPr>
    </w:p>
    <w:p w:rsidR="00FD095F" w:rsidRPr="007A50FE" w:rsidRDefault="007A50FE" w:rsidP="007A5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Cambria Math" w:hAnsi="Tahoma" w:cs="Tahoma"/>
          <w:b/>
          <w:spacing w:val="-4"/>
          <w:lang w:val="es-ES_tradnl"/>
        </w:rPr>
      </w:pPr>
      <w:r w:rsidRPr="007A50FE">
        <w:rPr>
          <w:rFonts w:ascii="Tahoma" w:eastAsia="Cambria Math" w:hAnsi="Tahoma" w:cs="Tahoma"/>
          <w:b/>
          <w:spacing w:val="-4"/>
          <w:lang w:val="es-ES_tradnl"/>
        </w:rPr>
        <w:tab/>
      </w:r>
      <w:r w:rsidRPr="007A50FE">
        <w:rPr>
          <w:rFonts w:ascii="Tahoma" w:eastAsia="Cambria Math" w:hAnsi="Tahoma" w:cs="Tahoma"/>
          <w:b/>
          <w:spacing w:val="-4"/>
          <w:lang w:val="es-ES_tradnl"/>
        </w:rPr>
        <w:tab/>
      </w:r>
      <w:r w:rsidRPr="007A50FE">
        <w:rPr>
          <w:rFonts w:ascii="Tahoma" w:eastAsia="Cambria Math" w:hAnsi="Tahoma" w:cs="Tahoma"/>
          <w:b/>
          <w:spacing w:val="-4"/>
          <w:lang w:val="es-ES_tradnl"/>
        </w:rPr>
        <w:tab/>
      </w:r>
      <w:proofErr w:type="spellStart"/>
      <w:r w:rsidRPr="007A50FE">
        <w:rPr>
          <w:rFonts w:ascii="Tahoma" w:eastAsia="Cambria Math" w:hAnsi="Tahoma" w:cs="Tahoma"/>
          <w:b/>
          <w:spacing w:val="-4"/>
          <w:lang w:val="es-ES_tradnl"/>
        </w:rPr>
        <w:t>EDDER</w:t>
      </w:r>
      <w:proofErr w:type="spellEnd"/>
      <w:r w:rsidRPr="007A50FE">
        <w:rPr>
          <w:rFonts w:ascii="Tahoma" w:eastAsia="Cambria Math" w:hAnsi="Tahoma" w:cs="Tahoma"/>
          <w:b/>
          <w:spacing w:val="-4"/>
          <w:lang w:val="es-ES_tradnl"/>
        </w:rPr>
        <w:t xml:space="preserve"> JIMMY SÁNCHEZ </w:t>
      </w:r>
      <w:proofErr w:type="spellStart"/>
      <w:r w:rsidRPr="007A50FE">
        <w:rPr>
          <w:rFonts w:ascii="Tahoma" w:eastAsia="Cambria Math" w:hAnsi="Tahoma" w:cs="Tahoma"/>
          <w:b/>
          <w:spacing w:val="-4"/>
          <w:lang w:val="es-ES_tradnl"/>
        </w:rPr>
        <w:t>CALAMBÁS</w:t>
      </w:r>
      <w:proofErr w:type="spellEnd"/>
    </w:p>
    <w:sectPr w:rsidR="00FD095F" w:rsidRPr="007A50FE" w:rsidSect="009D1977">
      <w:footerReference w:type="default" r:id="rId12"/>
      <w:pgSz w:w="12242" w:h="18722" w:code="258"/>
      <w:pgMar w:top="1871" w:right="1304" w:bottom="1304" w:left="1871" w:header="567" w:footer="567"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4B3B14" w16cex:dateUtc="2020-10-22T15:11:00Z"/>
  <w16cex:commentExtensible w16cex:durableId="1BDC6C02" w16cex:dateUtc="2020-10-09T12:15:00Z"/>
  <w16cex:commentExtensible w16cex:durableId="3ECCC7E4" w16cex:dateUtc="2020-10-26T11:55:44.414Z"/>
</w16cex:commentsExtensible>
</file>

<file path=word/commentsIds.xml><?xml version="1.0" encoding="utf-8"?>
<w16cid:commentsIds xmlns:mc="http://schemas.openxmlformats.org/markup-compatibility/2006" xmlns:w16cid="http://schemas.microsoft.com/office/word/2016/wordml/cid" mc:Ignorable="w16cid">
  <w16cid:commentId w16cid:paraId="6D282680" w16cid:durableId="734B3B14"/>
  <w16cid:commentId w16cid:paraId="4225BC6E" w16cid:durableId="1BDC6C02"/>
  <w16cid:commentId w16cid:paraId="6D9E8680" w16cid:durableId="3ECCC7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1C" w:rsidRDefault="00A86F1C">
      <w:r>
        <w:separator/>
      </w:r>
    </w:p>
  </w:endnote>
  <w:endnote w:type="continuationSeparator" w:id="0">
    <w:p w:rsidR="00A86F1C" w:rsidRDefault="00A8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FD" w:rsidRPr="009D1977" w:rsidRDefault="007751FD">
    <w:pPr>
      <w:pStyle w:val="Piedepgina"/>
      <w:framePr w:wrap="auto" w:vAnchor="text" w:hAnchor="margin" w:xAlign="right" w:y="1"/>
      <w:rPr>
        <w:rStyle w:val="Nmerodepgina"/>
        <w:rFonts w:ascii="Arial" w:hAnsi="Arial" w:cs="Arial"/>
        <w:sz w:val="18"/>
      </w:rPr>
    </w:pPr>
    <w:r w:rsidRPr="009D1977">
      <w:rPr>
        <w:rStyle w:val="Nmerodepgina"/>
        <w:rFonts w:ascii="Arial" w:hAnsi="Arial" w:cs="Arial"/>
        <w:sz w:val="18"/>
      </w:rPr>
      <w:fldChar w:fldCharType="begin"/>
    </w:r>
    <w:r w:rsidRPr="009D1977">
      <w:rPr>
        <w:rStyle w:val="Nmerodepgina"/>
        <w:rFonts w:ascii="Arial" w:hAnsi="Arial" w:cs="Arial"/>
        <w:sz w:val="18"/>
      </w:rPr>
      <w:instrText xml:space="preserve">PAGE  </w:instrText>
    </w:r>
    <w:r w:rsidRPr="009D1977">
      <w:rPr>
        <w:rStyle w:val="Nmerodepgina"/>
        <w:rFonts w:ascii="Arial" w:hAnsi="Arial" w:cs="Arial"/>
        <w:sz w:val="18"/>
      </w:rPr>
      <w:fldChar w:fldCharType="separate"/>
    </w:r>
    <w:r w:rsidR="00AA32CD">
      <w:rPr>
        <w:rStyle w:val="Nmerodepgina"/>
        <w:rFonts w:ascii="Arial" w:hAnsi="Arial" w:cs="Arial"/>
        <w:noProof/>
        <w:sz w:val="18"/>
      </w:rPr>
      <w:t>1</w:t>
    </w:r>
    <w:r w:rsidRPr="009D1977">
      <w:rPr>
        <w:rStyle w:val="Nmerodepgina"/>
        <w:rFonts w:ascii="Arial" w:hAnsi="Arial" w:cs="Arial"/>
        <w:sz w:val="18"/>
      </w:rPr>
      <w:fldChar w:fldCharType="end"/>
    </w:r>
  </w:p>
  <w:p w:rsidR="007751FD" w:rsidRDefault="007751F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1C" w:rsidRDefault="00A86F1C">
      <w:r>
        <w:separator/>
      </w:r>
    </w:p>
  </w:footnote>
  <w:footnote w:type="continuationSeparator" w:id="0">
    <w:p w:rsidR="00A86F1C" w:rsidRDefault="00A86F1C">
      <w:r>
        <w:continuationSeparator/>
      </w:r>
    </w:p>
  </w:footnote>
  <w:footnote w:id="1">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Folios 122 y 124, cuaderno No. 1, tomo 1, digitalizado</w:t>
      </w:r>
    </w:p>
  </w:footnote>
  <w:footnote w:id="2">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Folios 126, 128 y 129,  cuaderno No. 1, tomo 1, digitalizado</w:t>
      </w:r>
    </w:p>
  </w:footnote>
  <w:footnote w:id="3">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Ver folios 48 a 54, cuaderno No. 1, tomo 1, digitalizado</w:t>
      </w:r>
    </w:p>
  </w:footnote>
  <w:footnote w:id="4">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Ver folios 56 y 58, cuaderno No. 1, tomo 1, digitalizado</w:t>
      </w:r>
    </w:p>
  </w:footnote>
  <w:footnote w:id="5">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 xml:space="preserve">Sentencia </w:t>
      </w:r>
      <w:proofErr w:type="spellStart"/>
      <w:r w:rsidRPr="009D1977">
        <w:rPr>
          <w:rFonts w:ascii="Arial" w:hAnsi="Arial" w:cs="Arial"/>
          <w:sz w:val="18"/>
          <w:szCs w:val="18"/>
          <w:lang w:val="es-CO"/>
        </w:rPr>
        <w:t>SC5327</w:t>
      </w:r>
      <w:proofErr w:type="spellEnd"/>
      <w:r w:rsidRPr="009D1977">
        <w:rPr>
          <w:rFonts w:ascii="Arial" w:hAnsi="Arial" w:cs="Arial"/>
          <w:sz w:val="18"/>
          <w:szCs w:val="18"/>
          <w:lang w:val="es-CO"/>
        </w:rPr>
        <w:t xml:space="preserve">-2018 del 13 de diciembre de 2018, </w:t>
      </w:r>
      <w:proofErr w:type="spellStart"/>
      <w:r w:rsidRPr="009D1977">
        <w:rPr>
          <w:rFonts w:ascii="Arial" w:hAnsi="Arial" w:cs="Arial"/>
          <w:sz w:val="18"/>
          <w:szCs w:val="18"/>
          <w:lang w:val="es-CO"/>
        </w:rPr>
        <w:t>MP</w:t>
      </w:r>
      <w:proofErr w:type="spellEnd"/>
      <w:r w:rsidRPr="009D1977">
        <w:rPr>
          <w:rFonts w:ascii="Arial" w:hAnsi="Arial" w:cs="Arial"/>
          <w:sz w:val="18"/>
          <w:szCs w:val="18"/>
          <w:lang w:val="es-CO"/>
        </w:rPr>
        <w:t>. Dr. Luis Alonso Rico Puerta</w:t>
      </w:r>
    </w:p>
  </w:footnote>
  <w:footnote w:id="6">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 xml:space="preserve">Sentencia </w:t>
      </w:r>
      <w:proofErr w:type="spellStart"/>
      <w:r w:rsidRPr="009D1977">
        <w:rPr>
          <w:rFonts w:ascii="Arial" w:hAnsi="Arial" w:cs="Arial"/>
          <w:sz w:val="18"/>
          <w:szCs w:val="18"/>
          <w:lang w:val="es-CO"/>
        </w:rPr>
        <w:t>STC566</w:t>
      </w:r>
      <w:proofErr w:type="spellEnd"/>
      <w:r w:rsidRPr="009D1977">
        <w:rPr>
          <w:rFonts w:ascii="Arial" w:hAnsi="Arial" w:cs="Arial"/>
          <w:sz w:val="18"/>
          <w:szCs w:val="18"/>
          <w:lang w:val="es-CO"/>
        </w:rPr>
        <w:t xml:space="preserve">-2020 del 30 de enero de 2020, con ponencia del Dr. Luis Armando Tolosa </w:t>
      </w:r>
      <w:proofErr w:type="spellStart"/>
      <w:r w:rsidRPr="009D1977">
        <w:rPr>
          <w:rFonts w:ascii="Arial" w:hAnsi="Arial" w:cs="Arial"/>
          <w:sz w:val="18"/>
          <w:szCs w:val="18"/>
          <w:lang w:val="es-CO"/>
        </w:rPr>
        <w:t>Villabona</w:t>
      </w:r>
      <w:proofErr w:type="spellEnd"/>
    </w:p>
  </w:footnote>
  <w:footnote w:id="7">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 xml:space="preserve">Sentencia del 24 de febrero de 2017, expediente 2011-00163-01, </w:t>
      </w:r>
      <w:proofErr w:type="spellStart"/>
      <w:r w:rsidRPr="009D1977">
        <w:rPr>
          <w:rFonts w:ascii="Arial" w:hAnsi="Arial" w:cs="Arial"/>
          <w:sz w:val="18"/>
          <w:szCs w:val="18"/>
          <w:lang w:val="es-CO"/>
        </w:rPr>
        <w:t>MP</w:t>
      </w:r>
      <w:proofErr w:type="spellEnd"/>
      <w:r w:rsidRPr="009D1977">
        <w:rPr>
          <w:rFonts w:ascii="Arial" w:hAnsi="Arial" w:cs="Arial"/>
          <w:sz w:val="18"/>
          <w:szCs w:val="18"/>
          <w:lang w:val="es-CO"/>
        </w:rPr>
        <w:t xml:space="preserve">. Dr. </w:t>
      </w:r>
      <w:proofErr w:type="spellStart"/>
      <w:r w:rsidRPr="009D1977">
        <w:rPr>
          <w:rFonts w:ascii="Arial" w:hAnsi="Arial" w:cs="Arial"/>
          <w:sz w:val="18"/>
          <w:szCs w:val="18"/>
          <w:lang w:val="es-CO"/>
        </w:rPr>
        <w:t>Duberney</w:t>
      </w:r>
      <w:proofErr w:type="spellEnd"/>
      <w:r w:rsidRPr="009D1977">
        <w:rPr>
          <w:rFonts w:ascii="Arial" w:hAnsi="Arial" w:cs="Arial"/>
          <w:sz w:val="18"/>
          <w:szCs w:val="18"/>
          <w:lang w:val="es-CO"/>
        </w:rPr>
        <w:t xml:space="preserve"> Grisales Herrera</w:t>
      </w:r>
    </w:p>
  </w:footnote>
  <w:footnote w:id="8">
    <w:p w:rsidR="007751FD" w:rsidRPr="009D1977" w:rsidRDefault="007751FD" w:rsidP="009D1977">
      <w:pPr>
        <w:pStyle w:val="Textonotapie"/>
        <w:jc w:val="both"/>
        <w:rPr>
          <w:rFonts w:ascii="Arial" w:hAnsi="Arial" w:cs="Arial"/>
          <w:sz w:val="18"/>
          <w:szCs w:val="18"/>
        </w:rPr>
      </w:pPr>
      <w:r w:rsidRPr="009D1977">
        <w:rPr>
          <w:rStyle w:val="Refdenotaalpie"/>
          <w:rFonts w:ascii="Arial" w:hAnsi="Arial" w:cs="Arial"/>
          <w:sz w:val="18"/>
          <w:szCs w:val="18"/>
        </w:rPr>
        <w:footnoteRef/>
      </w:r>
      <w:r w:rsidRPr="009D1977">
        <w:rPr>
          <w:rFonts w:ascii="Arial" w:hAnsi="Arial" w:cs="Arial"/>
          <w:sz w:val="18"/>
          <w:szCs w:val="18"/>
        </w:rPr>
        <w:t xml:space="preserve"> Folio 60, cuaderno No. 1, tomo 1, digitalizado</w:t>
      </w:r>
    </w:p>
  </w:footnote>
  <w:footnote w:id="9">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 xml:space="preserve">Sala de Casación Civil, sentencia </w:t>
      </w:r>
      <w:proofErr w:type="spellStart"/>
      <w:r w:rsidRPr="009D1977">
        <w:rPr>
          <w:rFonts w:ascii="Arial" w:hAnsi="Arial" w:cs="Arial"/>
          <w:sz w:val="18"/>
          <w:szCs w:val="18"/>
          <w:lang w:val="es-CO"/>
        </w:rPr>
        <w:t>SC2803</w:t>
      </w:r>
      <w:proofErr w:type="spellEnd"/>
      <w:r w:rsidRPr="009D1977">
        <w:rPr>
          <w:rFonts w:ascii="Arial" w:hAnsi="Arial" w:cs="Arial"/>
          <w:sz w:val="18"/>
          <w:szCs w:val="18"/>
          <w:lang w:val="es-CO"/>
        </w:rPr>
        <w:t xml:space="preserve">-2016 del 4 de marzo de 2016, </w:t>
      </w:r>
      <w:proofErr w:type="spellStart"/>
      <w:r w:rsidRPr="009D1977">
        <w:rPr>
          <w:rFonts w:ascii="Arial" w:hAnsi="Arial" w:cs="Arial"/>
          <w:sz w:val="18"/>
          <w:szCs w:val="18"/>
          <w:lang w:val="es-CO"/>
        </w:rPr>
        <w:t>MP</w:t>
      </w:r>
      <w:proofErr w:type="spellEnd"/>
      <w:r w:rsidRPr="009D1977">
        <w:rPr>
          <w:rFonts w:ascii="Arial" w:hAnsi="Arial" w:cs="Arial"/>
          <w:sz w:val="18"/>
          <w:szCs w:val="18"/>
          <w:lang w:val="es-CO"/>
        </w:rPr>
        <w:t>. Dr. Fernando Giraldo Gutiérrez.</w:t>
      </w:r>
    </w:p>
  </w:footnote>
  <w:footnote w:id="10">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Folios 30 a 40, cuaderno No. 1, tomo 1, digitalizado</w:t>
      </w:r>
    </w:p>
  </w:footnote>
  <w:footnote w:id="11">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Folios 135 a 160,  cuaderno No. 1, tomo 1, digitalizado</w:t>
      </w:r>
    </w:p>
  </w:footnote>
  <w:footnote w:id="12">
    <w:p w:rsidR="007751FD" w:rsidRPr="009D1977" w:rsidRDefault="007751FD" w:rsidP="009D1977">
      <w:pPr>
        <w:pStyle w:val="Textonotapie"/>
        <w:jc w:val="both"/>
        <w:rPr>
          <w:rFonts w:ascii="Arial" w:hAnsi="Arial" w:cs="Arial"/>
          <w:sz w:val="18"/>
          <w:szCs w:val="18"/>
          <w:lang w:val="es-CO"/>
        </w:rPr>
      </w:pPr>
      <w:r w:rsidRPr="009D1977">
        <w:rPr>
          <w:rStyle w:val="Refdenotaalpie"/>
          <w:rFonts w:ascii="Arial" w:hAnsi="Arial" w:cs="Arial"/>
          <w:sz w:val="18"/>
          <w:szCs w:val="18"/>
        </w:rPr>
        <w:footnoteRef/>
      </w:r>
      <w:r w:rsidRPr="009D1977">
        <w:rPr>
          <w:rFonts w:ascii="Arial" w:hAnsi="Arial" w:cs="Arial"/>
          <w:sz w:val="18"/>
          <w:szCs w:val="18"/>
        </w:rPr>
        <w:t xml:space="preserve"> </w:t>
      </w:r>
      <w:r w:rsidRPr="009D1977">
        <w:rPr>
          <w:rFonts w:ascii="Arial" w:hAnsi="Arial" w:cs="Arial"/>
          <w:sz w:val="18"/>
          <w:szCs w:val="18"/>
          <w:lang w:val="es-CO"/>
        </w:rPr>
        <w:t>Folios 204 a 220, cuaderno No. 1, tomo 1, digitalizado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11D"/>
    <w:multiLevelType w:val="hybridMultilevel"/>
    <w:tmpl w:val="ACFEFA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065A96"/>
    <w:multiLevelType w:val="multilevel"/>
    <w:tmpl w:val="E58E319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9302954"/>
    <w:multiLevelType w:val="hybridMultilevel"/>
    <w:tmpl w:val="9D7E77DC"/>
    <w:lvl w:ilvl="0" w:tplc="A490BF7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167AA"/>
    <w:multiLevelType w:val="hybridMultilevel"/>
    <w:tmpl w:val="56208572"/>
    <w:lvl w:ilvl="0" w:tplc="B39C0A12">
      <w:start w:val="1"/>
      <w:numFmt w:val="lowerLetter"/>
      <w:lvlText w:val="%1)"/>
      <w:lvlJc w:val="left"/>
      <w:pPr>
        <w:tabs>
          <w:tab w:val="num" w:pos="435"/>
        </w:tabs>
        <w:ind w:left="435" w:hanging="435"/>
      </w:pPr>
      <w:rPr>
        <w:rFonts w:hint="default"/>
      </w:rPr>
    </w:lvl>
    <w:lvl w:ilvl="1" w:tplc="8E106E6C">
      <w:numFmt w:val="decimal"/>
      <w:lvlText w:val=""/>
      <w:lvlJc w:val="left"/>
    </w:lvl>
    <w:lvl w:ilvl="2" w:tplc="9FAABEF4">
      <w:numFmt w:val="decimal"/>
      <w:lvlText w:val=""/>
      <w:lvlJc w:val="left"/>
    </w:lvl>
    <w:lvl w:ilvl="3" w:tplc="50C4EE10">
      <w:numFmt w:val="decimal"/>
      <w:lvlText w:val=""/>
      <w:lvlJc w:val="left"/>
    </w:lvl>
    <w:lvl w:ilvl="4" w:tplc="857687FC">
      <w:numFmt w:val="decimal"/>
      <w:lvlText w:val=""/>
      <w:lvlJc w:val="left"/>
    </w:lvl>
    <w:lvl w:ilvl="5" w:tplc="5E904422">
      <w:numFmt w:val="decimal"/>
      <w:lvlText w:val=""/>
      <w:lvlJc w:val="left"/>
    </w:lvl>
    <w:lvl w:ilvl="6" w:tplc="4588FBF8">
      <w:numFmt w:val="decimal"/>
      <w:lvlText w:val=""/>
      <w:lvlJc w:val="left"/>
    </w:lvl>
    <w:lvl w:ilvl="7" w:tplc="12BABA36">
      <w:numFmt w:val="decimal"/>
      <w:lvlText w:val=""/>
      <w:lvlJc w:val="left"/>
    </w:lvl>
    <w:lvl w:ilvl="8" w:tplc="423C893A">
      <w:numFmt w:val="decimal"/>
      <w:lvlText w:val=""/>
      <w:lvlJc w:val="left"/>
    </w:lvl>
  </w:abstractNum>
  <w:abstractNum w:abstractNumId="4">
    <w:nsid w:val="11B5125B"/>
    <w:multiLevelType w:val="hybridMultilevel"/>
    <w:tmpl w:val="DF82329C"/>
    <w:lvl w:ilvl="0" w:tplc="0666EB2E">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656D24"/>
    <w:multiLevelType w:val="hybridMultilevel"/>
    <w:tmpl w:val="0C0A000F"/>
    <w:lvl w:ilvl="0" w:tplc="A5CABED2">
      <w:start w:val="1"/>
      <w:numFmt w:val="decimal"/>
      <w:lvlText w:val="%1."/>
      <w:lvlJc w:val="left"/>
      <w:pPr>
        <w:tabs>
          <w:tab w:val="num" w:pos="360"/>
        </w:tabs>
        <w:ind w:left="360" w:hanging="360"/>
      </w:pPr>
      <w:rPr>
        <w:rFonts w:hint="default"/>
      </w:rPr>
    </w:lvl>
    <w:lvl w:ilvl="1" w:tplc="FB848CCE">
      <w:numFmt w:val="decimal"/>
      <w:lvlText w:val=""/>
      <w:lvlJc w:val="left"/>
    </w:lvl>
    <w:lvl w:ilvl="2" w:tplc="470C23F4">
      <w:numFmt w:val="decimal"/>
      <w:lvlText w:val=""/>
      <w:lvlJc w:val="left"/>
    </w:lvl>
    <w:lvl w:ilvl="3" w:tplc="A3D8491E">
      <w:numFmt w:val="decimal"/>
      <w:lvlText w:val=""/>
      <w:lvlJc w:val="left"/>
    </w:lvl>
    <w:lvl w:ilvl="4" w:tplc="68C00C12">
      <w:numFmt w:val="decimal"/>
      <w:lvlText w:val=""/>
      <w:lvlJc w:val="left"/>
    </w:lvl>
    <w:lvl w:ilvl="5" w:tplc="88522A38">
      <w:numFmt w:val="decimal"/>
      <w:lvlText w:val=""/>
      <w:lvlJc w:val="left"/>
    </w:lvl>
    <w:lvl w:ilvl="6" w:tplc="1B9C6EBA">
      <w:numFmt w:val="decimal"/>
      <w:lvlText w:val=""/>
      <w:lvlJc w:val="left"/>
    </w:lvl>
    <w:lvl w:ilvl="7" w:tplc="31342670">
      <w:numFmt w:val="decimal"/>
      <w:lvlText w:val=""/>
      <w:lvlJc w:val="left"/>
    </w:lvl>
    <w:lvl w:ilvl="8" w:tplc="EEACBDF6">
      <w:numFmt w:val="decimal"/>
      <w:lvlText w:val=""/>
      <w:lvlJc w:val="left"/>
    </w:lvl>
  </w:abstractNum>
  <w:abstractNum w:abstractNumId="6">
    <w:nsid w:val="167F3596"/>
    <w:multiLevelType w:val="hybridMultilevel"/>
    <w:tmpl w:val="DE2CD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A42496"/>
    <w:multiLevelType w:val="hybridMultilevel"/>
    <w:tmpl w:val="5358B7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A1698D"/>
    <w:multiLevelType w:val="hybridMultilevel"/>
    <w:tmpl w:val="D1FE9168"/>
    <w:lvl w:ilvl="0" w:tplc="B6C8CAA0">
      <w:start w:val="1"/>
      <w:numFmt w:val="decimal"/>
      <w:lvlText w:val="%1)"/>
      <w:lvlJc w:val="left"/>
      <w:pPr>
        <w:tabs>
          <w:tab w:val="num" w:pos="750"/>
        </w:tabs>
        <w:ind w:left="750" w:hanging="39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A410234"/>
    <w:multiLevelType w:val="hybridMultilevel"/>
    <w:tmpl w:val="7824A1B6"/>
    <w:lvl w:ilvl="0" w:tplc="0DDCFD92">
      <w:start w:val="1"/>
      <w:numFmt w:val="decimal"/>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2601C3"/>
    <w:multiLevelType w:val="hybridMultilevel"/>
    <w:tmpl w:val="92CC23E6"/>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117EBF"/>
    <w:multiLevelType w:val="hybridMultilevel"/>
    <w:tmpl w:val="552CD544"/>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F7E662A"/>
    <w:multiLevelType w:val="hybridMultilevel"/>
    <w:tmpl w:val="9ADC5AE6"/>
    <w:lvl w:ilvl="0" w:tplc="8C02C968">
      <w:start w:val="1"/>
      <w:numFmt w:val="decimal"/>
      <w:lvlText w:val="%1.-"/>
      <w:lvlJc w:val="left"/>
      <w:pPr>
        <w:ind w:left="213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3"/>
  </w:num>
  <w:num w:numId="2">
    <w:abstractNumId w:val="10"/>
  </w:num>
  <w:num w:numId="3">
    <w:abstractNumId w:val="11"/>
  </w:num>
  <w:num w:numId="4">
    <w:abstractNumId w:val="4"/>
  </w:num>
  <w:num w:numId="5">
    <w:abstractNumId w:val="2"/>
  </w:num>
  <w:num w:numId="6">
    <w:abstractNumId w:val="8"/>
  </w:num>
  <w:num w:numId="7">
    <w:abstractNumId w:val="9"/>
  </w:num>
  <w:num w:numId="8">
    <w:abstractNumId w:val="7"/>
  </w:num>
  <w:num w:numId="9">
    <w:abstractNumId w:val="6"/>
  </w:num>
  <w:num w:numId="10">
    <w:abstractNumId w:val="1"/>
  </w:num>
  <w:num w:numId="11">
    <w:abstractNumId w:val="5"/>
  </w:num>
  <w:num w:numId="12">
    <w:abstractNumId w:val="12"/>
  </w:num>
  <w:num w:numId="13">
    <w:abstractNumId w:val="12"/>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420A"/>
    <w:rsid w:val="000007C6"/>
    <w:rsid w:val="00001AA5"/>
    <w:rsid w:val="00002C2A"/>
    <w:rsid w:val="00004C96"/>
    <w:rsid w:val="0001024B"/>
    <w:rsid w:val="000110C7"/>
    <w:rsid w:val="000119FE"/>
    <w:rsid w:val="00014552"/>
    <w:rsid w:val="0001664B"/>
    <w:rsid w:val="0001728B"/>
    <w:rsid w:val="00017BCE"/>
    <w:rsid w:val="00022131"/>
    <w:rsid w:val="00023D7B"/>
    <w:rsid w:val="000253A7"/>
    <w:rsid w:val="00030E27"/>
    <w:rsid w:val="00031E88"/>
    <w:rsid w:val="00035F47"/>
    <w:rsid w:val="0004184D"/>
    <w:rsid w:val="0004490B"/>
    <w:rsid w:val="000453A0"/>
    <w:rsid w:val="00046F16"/>
    <w:rsid w:val="0005113B"/>
    <w:rsid w:val="00051855"/>
    <w:rsid w:val="00053664"/>
    <w:rsid w:val="00060AC2"/>
    <w:rsid w:val="00060D09"/>
    <w:rsid w:val="00067219"/>
    <w:rsid w:val="000679DB"/>
    <w:rsid w:val="00071662"/>
    <w:rsid w:val="000719ED"/>
    <w:rsid w:val="00075F2A"/>
    <w:rsid w:val="00077ACF"/>
    <w:rsid w:val="00081DDE"/>
    <w:rsid w:val="00087274"/>
    <w:rsid w:val="000873B9"/>
    <w:rsid w:val="00090A38"/>
    <w:rsid w:val="00090A4D"/>
    <w:rsid w:val="00093130"/>
    <w:rsid w:val="00094343"/>
    <w:rsid w:val="0009707A"/>
    <w:rsid w:val="00097C57"/>
    <w:rsid w:val="000A0B8B"/>
    <w:rsid w:val="000A1FF6"/>
    <w:rsid w:val="000A2EC3"/>
    <w:rsid w:val="000A56D0"/>
    <w:rsid w:val="000B7E31"/>
    <w:rsid w:val="000C0551"/>
    <w:rsid w:val="000C2C6F"/>
    <w:rsid w:val="000C3420"/>
    <w:rsid w:val="000C5574"/>
    <w:rsid w:val="000C5B38"/>
    <w:rsid w:val="000C7F08"/>
    <w:rsid w:val="000D3422"/>
    <w:rsid w:val="000E42DA"/>
    <w:rsid w:val="000E5C71"/>
    <w:rsid w:val="000E6F7F"/>
    <w:rsid w:val="000F0B0E"/>
    <w:rsid w:val="000F3FD5"/>
    <w:rsid w:val="000F6DD4"/>
    <w:rsid w:val="001010B5"/>
    <w:rsid w:val="0011430A"/>
    <w:rsid w:val="00126C54"/>
    <w:rsid w:val="0013024A"/>
    <w:rsid w:val="0014604A"/>
    <w:rsid w:val="001511C6"/>
    <w:rsid w:val="00151E96"/>
    <w:rsid w:val="001543D0"/>
    <w:rsid w:val="001620F5"/>
    <w:rsid w:val="00163748"/>
    <w:rsid w:val="0016518F"/>
    <w:rsid w:val="00171E42"/>
    <w:rsid w:val="00174F0B"/>
    <w:rsid w:val="00175145"/>
    <w:rsid w:val="00180C47"/>
    <w:rsid w:val="001836FE"/>
    <w:rsid w:val="0018757E"/>
    <w:rsid w:val="00191D42"/>
    <w:rsid w:val="00191EE4"/>
    <w:rsid w:val="00193829"/>
    <w:rsid w:val="001956CD"/>
    <w:rsid w:val="0019679F"/>
    <w:rsid w:val="00196E62"/>
    <w:rsid w:val="001A2A1A"/>
    <w:rsid w:val="001A2F4E"/>
    <w:rsid w:val="001A38E0"/>
    <w:rsid w:val="001B25B3"/>
    <w:rsid w:val="001B46E0"/>
    <w:rsid w:val="001C062E"/>
    <w:rsid w:val="001C0E81"/>
    <w:rsid w:val="001C4175"/>
    <w:rsid w:val="001D291C"/>
    <w:rsid w:val="001D360B"/>
    <w:rsid w:val="001D6851"/>
    <w:rsid w:val="001E0647"/>
    <w:rsid w:val="001E19A2"/>
    <w:rsid w:val="001E3F83"/>
    <w:rsid w:val="001E66AE"/>
    <w:rsid w:val="001F3E72"/>
    <w:rsid w:val="0020100A"/>
    <w:rsid w:val="00205FCF"/>
    <w:rsid w:val="002120E7"/>
    <w:rsid w:val="00212D0F"/>
    <w:rsid w:val="00212DD9"/>
    <w:rsid w:val="00212DF6"/>
    <w:rsid w:val="002144FB"/>
    <w:rsid w:val="002213C4"/>
    <w:rsid w:val="00221404"/>
    <w:rsid w:val="00222BF1"/>
    <w:rsid w:val="00225313"/>
    <w:rsid w:val="002268B4"/>
    <w:rsid w:val="00226EB3"/>
    <w:rsid w:val="00227237"/>
    <w:rsid w:val="00227599"/>
    <w:rsid w:val="00230DA7"/>
    <w:rsid w:val="00232DBE"/>
    <w:rsid w:val="00234D68"/>
    <w:rsid w:val="00234D73"/>
    <w:rsid w:val="00243217"/>
    <w:rsid w:val="00243A89"/>
    <w:rsid w:val="002452EC"/>
    <w:rsid w:val="00245F0C"/>
    <w:rsid w:val="002475BE"/>
    <w:rsid w:val="00250F0D"/>
    <w:rsid w:val="002579BB"/>
    <w:rsid w:val="00263295"/>
    <w:rsid w:val="00265229"/>
    <w:rsid w:val="00266D56"/>
    <w:rsid w:val="00274723"/>
    <w:rsid w:val="002749E8"/>
    <w:rsid w:val="00275766"/>
    <w:rsid w:val="00277EEB"/>
    <w:rsid w:val="002800AF"/>
    <w:rsid w:val="002811CE"/>
    <w:rsid w:val="002839AD"/>
    <w:rsid w:val="00284934"/>
    <w:rsid w:val="00285CA4"/>
    <w:rsid w:val="00287FF1"/>
    <w:rsid w:val="002936D8"/>
    <w:rsid w:val="002951E3"/>
    <w:rsid w:val="0029675B"/>
    <w:rsid w:val="002A15E3"/>
    <w:rsid w:val="002A67B2"/>
    <w:rsid w:val="002A71A2"/>
    <w:rsid w:val="002B024A"/>
    <w:rsid w:val="002B3DEC"/>
    <w:rsid w:val="002B4533"/>
    <w:rsid w:val="002B6F04"/>
    <w:rsid w:val="002C03E3"/>
    <w:rsid w:val="002C0593"/>
    <w:rsid w:val="002C4A80"/>
    <w:rsid w:val="002D04F0"/>
    <w:rsid w:val="002E238A"/>
    <w:rsid w:val="002E45A2"/>
    <w:rsid w:val="002E4BC8"/>
    <w:rsid w:val="002F4354"/>
    <w:rsid w:val="002F7318"/>
    <w:rsid w:val="002F788F"/>
    <w:rsid w:val="002F78F7"/>
    <w:rsid w:val="0030118E"/>
    <w:rsid w:val="00303451"/>
    <w:rsid w:val="00303779"/>
    <w:rsid w:val="003046C7"/>
    <w:rsid w:val="00304C5C"/>
    <w:rsid w:val="00304FBD"/>
    <w:rsid w:val="00307B17"/>
    <w:rsid w:val="00310ED3"/>
    <w:rsid w:val="003127D4"/>
    <w:rsid w:val="00315F03"/>
    <w:rsid w:val="00322B46"/>
    <w:rsid w:val="003230EA"/>
    <w:rsid w:val="003230EC"/>
    <w:rsid w:val="00330CA8"/>
    <w:rsid w:val="0033711B"/>
    <w:rsid w:val="00337985"/>
    <w:rsid w:val="00343D1F"/>
    <w:rsid w:val="003443F1"/>
    <w:rsid w:val="00346D0A"/>
    <w:rsid w:val="00347D00"/>
    <w:rsid w:val="00350600"/>
    <w:rsid w:val="00350CF8"/>
    <w:rsid w:val="003524A4"/>
    <w:rsid w:val="00364C3C"/>
    <w:rsid w:val="00372A5C"/>
    <w:rsid w:val="00374680"/>
    <w:rsid w:val="00383D8F"/>
    <w:rsid w:val="00384582"/>
    <w:rsid w:val="00385370"/>
    <w:rsid w:val="003857FE"/>
    <w:rsid w:val="003862B2"/>
    <w:rsid w:val="00387289"/>
    <w:rsid w:val="003927B3"/>
    <w:rsid w:val="00392C6B"/>
    <w:rsid w:val="00393D89"/>
    <w:rsid w:val="00395278"/>
    <w:rsid w:val="003A22CF"/>
    <w:rsid w:val="003A2867"/>
    <w:rsid w:val="003A3D3F"/>
    <w:rsid w:val="003A6748"/>
    <w:rsid w:val="003A7F51"/>
    <w:rsid w:val="003B002E"/>
    <w:rsid w:val="003B2B08"/>
    <w:rsid w:val="003B3C51"/>
    <w:rsid w:val="003B4238"/>
    <w:rsid w:val="003B4293"/>
    <w:rsid w:val="003C1391"/>
    <w:rsid w:val="003C359E"/>
    <w:rsid w:val="003C37E1"/>
    <w:rsid w:val="003C5E66"/>
    <w:rsid w:val="003C6794"/>
    <w:rsid w:val="003D1635"/>
    <w:rsid w:val="003D1C24"/>
    <w:rsid w:val="003D3E3C"/>
    <w:rsid w:val="003D4258"/>
    <w:rsid w:val="003D6954"/>
    <w:rsid w:val="003E0FFC"/>
    <w:rsid w:val="003E44DA"/>
    <w:rsid w:val="003E4E72"/>
    <w:rsid w:val="003E5A01"/>
    <w:rsid w:val="003E7A8E"/>
    <w:rsid w:val="003F0F85"/>
    <w:rsid w:val="003F4407"/>
    <w:rsid w:val="004038F4"/>
    <w:rsid w:val="00403EE0"/>
    <w:rsid w:val="00404950"/>
    <w:rsid w:val="00405917"/>
    <w:rsid w:val="00407B3F"/>
    <w:rsid w:val="00411041"/>
    <w:rsid w:val="00414CA1"/>
    <w:rsid w:val="00420B97"/>
    <w:rsid w:val="004232BD"/>
    <w:rsid w:val="00427322"/>
    <w:rsid w:val="004278B7"/>
    <w:rsid w:val="0043669B"/>
    <w:rsid w:val="00437238"/>
    <w:rsid w:val="00437E3B"/>
    <w:rsid w:val="00441DBC"/>
    <w:rsid w:val="00444AFE"/>
    <w:rsid w:val="00446A25"/>
    <w:rsid w:val="00447752"/>
    <w:rsid w:val="00450046"/>
    <w:rsid w:val="00451A9A"/>
    <w:rsid w:val="0045290A"/>
    <w:rsid w:val="00455C9B"/>
    <w:rsid w:val="004564D4"/>
    <w:rsid w:val="00462264"/>
    <w:rsid w:val="0046261B"/>
    <w:rsid w:val="00463BC1"/>
    <w:rsid w:val="00470E2F"/>
    <w:rsid w:val="004749EF"/>
    <w:rsid w:val="00483088"/>
    <w:rsid w:val="00485057"/>
    <w:rsid w:val="00486B04"/>
    <w:rsid w:val="0049094F"/>
    <w:rsid w:val="00497846"/>
    <w:rsid w:val="004A1A37"/>
    <w:rsid w:val="004A4182"/>
    <w:rsid w:val="004B0F86"/>
    <w:rsid w:val="004B260C"/>
    <w:rsid w:val="004B71AD"/>
    <w:rsid w:val="004C7915"/>
    <w:rsid w:val="004D0C31"/>
    <w:rsid w:val="004D16F0"/>
    <w:rsid w:val="004D2B05"/>
    <w:rsid w:val="004D3F44"/>
    <w:rsid w:val="004D441F"/>
    <w:rsid w:val="004D5135"/>
    <w:rsid w:val="004D7F78"/>
    <w:rsid w:val="004E5B1B"/>
    <w:rsid w:val="004F2280"/>
    <w:rsid w:val="004F3670"/>
    <w:rsid w:val="004F4BC1"/>
    <w:rsid w:val="004F4BE2"/>
    <w:rsid w:val="004F4FB2"/>
    <w:rsid w:val="004F5B32"/>
    <w:rsid w:val="004F6148"/>
    <w:rsid w:val="004F792E"/>
    <w:rsid w:val="00503A47"/>
    <w:rsid w:val="0050603F"/>
    <w:rsid w:val="0050714A"/>
    <w:rsid w:val="00507535"/>
    <w:rsid w:val="00510194"/>
    <w:rsid w:val="005124B9"/>
    <w:rsid w:val="0051261B"/>
    <w:rsid w:val="0051398A"/>
    <w:rsid w:val="005139F5"/>
    <w:rsid w:val="00514A50"/>
    <w:rsid w:val="00520BEC"/>
    <w:rsid w:val="00524E1B"/>
    <w:rsid w:val="005260E1"/>
    <w:rsid w:val="00532BEF"/>
    <w:rsid w:val="0053447F"/>
    <w:rsid w:val="00534E29"/>
    <w:rsid w:val="00537A7B"/>
    <w:rsid w:val="00544E3F"/>
    <w:rsid w:val="005474BA"/>
    <w:rsid w:val="0055352B"/>
    <w:rsid w:val="00554C11"/>
    <w:rsid w:val="005567BF"/>
    <w:rsid w:val="00557BC7"/>
    <w:rsid w:val="00557EF8"/>
    <w:rsid w:val="0056234D"/>
    <w:rsid w:val="005624B9"/>
    <w:rsid w:val="00564B06"/>
    <w:rsid w:val="005664DD"/>
    <w:rsid w:val="00566AB9"/>
    <w:rsid w:val="0056703A"/>
    <w:rsid w:val="00571734"/>
    <w:rsid w:val="00573BE6"/>
    <w:rsid w:val="005752A4"/>
    <w:rsid w:val="00582A76"/>
    <w:rsid w:val="00586D11"/>
    <w:rsid w:val="00592A2D"/>
    <w:rsid w:val="005932C4"/>
    <w:rsid w:val="00593C53"/>
    <w:rsid w:val="00595541"/>
    <w:rsid w:val="00597D6F"/>
    <w:rsid w:val="005B04DE"/>
    <w:rsid w:val="005B152D"/>
    <w:rsid w:val="005B3045"/>
    <w:rsid w:val="005B3772"/>
    <w:rsid w:val="005B3FC0"/>
    <w:rsid w:val="005B4F29"/>
    <w:rsid w:val="005C090F"/>
    <w:rsid w:val="005C2539"/>
    <w:rsid w:val="005C4259"/>
    <w:rsid w:val="005D0E88"/>
    <w:rsid w:val="005D7490"/>
    <w:rsid w:val="005D7FDF"/>
    <w:rsid w:val="005E112C"/>
    <w:rsid w:val="005E3213"/>
    <w:rsid w:val="005E4FDA"/>
    <w:rsid w:val="005E6496"/>
    <w:rsid w:val="005F0021"/>
    <w:rsid w:val="005F3C31"/>
    <w:rsid w:val="005F4BF1"/>
    <w:rsid w:val="005F53F9"/>
    <w:rsid w:val="005F6295"/>
    <w:rsid w:val="005F7CFF"/>
    <w:rsid w:val="00601552"/>
    <w:rsid w:val="00603645"/>
    <w:rsid w:val="00604778"/>
    <w:rsid w:val="00604E3F"/>
    <w:rsid w:val="0061073E"/>
    <w:rsid w:val="00611949"/>
    <w:rsid w:val="00614F8C"/>
    <w:rsid w:val="00620297"/>
    <w:rsid w:val="0062070C"/>
    <w:rsid w:val="006210CC"/>
    <w:rsid w:val="0062187F"/>
    <w:rsid w:val="00625DB3"/>
    <w:rsid w:val="006268C9"/>
    <w:rsid w:val="00627817"/>
    <w:rsid w:val="006308F2"/>
    <w:rsid w:val="006310AB"/>
    <w:rsid w:val="00631923"/>
    <w:rsid w:val="0063281B"/>
    <w:rsid w:val="00633083"/>
    <w:rsid w:val="006359CF"/>
    <w:rsid w:val="00636357"/>
    <w:rsid w:val="00636738"/>
    <w:rsid w:val="00645ABE"/>
    <w:rsid w:val="0064789B"/>
    <w:rsid w:val="00647DF7"/>
    <w:rsid w:val="00650107"/>
    <w:rsid w:val="00651F7F"/>
    <w:rsid w:val="00652C5C"/>
    <w:rsid w:val="00656CAC"/>
    <w:rsid w:val="006625C3"/>
    <w:rsid w:val="006658E1"/>
    <w:rsid w:val="006669BC"/>
    <w:rsid w:val="006670D0"/>
    <w:rsid w:val="006765EE"/>
    <w:rsid w:val="00677D0D"/>
    <w:rsid w:val="0068042C"/>
    <w:rsid w:val="00683DF7"/>
    <w:rsid w:val="00685D4F"/>
    <w:rsid w:val="00690162"/>
    <w:rsid w:val="00691406"/>
    <w:rsid w:val="00694429"/>
    <w:rsid w:val="0069485D"/>
    <w:rsid w:val="00695A28"/>
    <w:rsid w:val="006A0164"/>
    <w:rsid w:val="006A0361"/>
    <w:rsid w:val="006A112D"/>
    <w:rsid w:val="006A5C7C"/>
    <w:rsid w:val="006C6D43"/>
    <w:rsid w:val="006D3D23"/>
    <w:rsid w:val="006E17C9"/>
    <w:rsid w:val="006E203B"/>
    <w:rsid w:val="006E23F9"/>
    <w:rsid w:val="006E37A5"/>
    <w:rsid w:val="006E47FE"/>
    <w:rsid w:val="006F3AF5"/>
    <w:rsid w:val="006F79DD"/>
    <w:rsid w:val="0070189E"/>
    <w:rsid w:val="00706C66"/>
    <w:rsid w:val="0071005F"/>
    <w:rsid w:val="0071383B"/>
    <w:rsid w:val="007153BA"/>
    <w:rsid w:val="00715D8D"/>
    <w:rsid w:val="00720073"/>
    <w:rsid w:val="00721F52"/>
    <w:rsid w:val="00723EAE"/>
    <w:rsid w:val="00732D28"/>
    <w:rsid w:val="0073663A"/>
    <w:rsid w:val="00736F5B"/>
    <w:rsid w:val="00737EA2"/>
    <w:rsid w:val="00742854"/>
    <w:rsid w:val="00743202"/>
    <w:rsid w:val="00743770"/>
    <w:rsid w:val="007450DE"/>
    <w:rsid w:val="00745266"/>
    <w:rsid w:val="007540A8"/>
    <w:rsid w:val="00754BC6"/>
    <w:rsid w:val="0076067B"/>
    <w:rsid w:val="00761CFC"/>
    <w:rsid w:val="0076258B"/>
    <w:rsid w:val="00764A19"/>
    <w:rsid w:val="00771B15"/>
    <w:rsid w:val="0077240B"/>
    <w:rsid w:val="007726EA"/>
    <w:rsid w:val="00774312"/>
    <w:rsid w:val="007751FD"/>
    <w:rsid w:val="007765CE"/>
    <w:rsid w:val="007803D2"/>
    <w:rsid w:val="00782401"/>
    <w:rsid w:val="00791B19"/>
    <w:rsid w:val="00791CF3"/>
    <w:rsid w:val="007970B6"/>
    <w:rsid w:val="007A45B7"/>
    <w:rsid w:val="007A50FE"/>
    <w:rsid w:val="007B43C1"/>
    <w:rsid w:val="007B4CB4"/>
    <w:rsid w:val="007C2D90"/>
    <w:rsid w:val="007C4686"/>
    <w:rsid w:val="007D06FA"/>
    <w:rsid w:val="007D1B86"/>
    <w:rsid w:val="007D362E"/>
    <w:rsid w:val="007D3722"/>
    <w:rsid w:val="007D5511"/>
    <w:rsid w:val="007D5EEE"/>
    <w:rsid w:val="007E404A"/>
    <w:rsid w:val="007E48D8"/>
    <w:rsid w:val="007E4A1A"/>
    <w:rsid w:val="007E5071"/>
    <w:rsid w:val="007F2658"/>
    <w:rsid w:val="007F32A4"/>
    <w:rsid w:val="007F5567"/>
    <w:rsid w:val="007F7251"/>
    <w:rsid w:val="00801BC3"/>
    <w:rsid w:val="0080419D"/>
    <w:rsid w:val="00807B8F"/>
    <w:rsid w:val="0082662A"/>
    <w:rsid w:val="008328D6"/>
    <w:rsid w:val="00834904"/>
    <w:rsid w:val="00835B5C"/>
    <w:rsid w:val="008361C3"/>
    <w:rsid w:val="00837390"/>
    <w:rsid w:val="00840AA6"/>
    <w:rsid w:val="008418D7"/>
    <w:rsid w:val="008419A5"/>
    <w:rsid w:val="00843111"/>
    <w:rsid w:val="00846F09"/>
    <w:rsid w:val="00847C00"/>
    <w:rsid w:val="00857BB8"/>
    <w:rsid w:val="00864545"/>
    <w:rsid w:val="00864D33"/>
    <w:rsid w:val="00866A98"/>
    <w:rsid w:val="00866A9D"/>
    <w:rsid w:val="00866DBB"/>
    <w:rsid w:val="008714A6"/>
    <w:rsid w:val="00875255"/>
    <w:rsid w:val="008844C1"/>
    <w:rsid w:val="00884BAE"/>
    <w:rsid w:val="00887252"/>
    <w:rsid w:val="00894192"/>
    <w:rsid w:val="00896F74"/>
    <w:rsid w:val="008A0284"/>
    <w:rsid w:val="008B037F"/>
    <w:rsid w:val="008B4B10"/>
    <w:rsid w:val="008C06D9"/>
    <w:rsid w:val="008C286A"/>
    <w:rsid w:val="008C4325"/>
    <w:rsid w:val="008D34B4"/>
    <w:rsid w:val="008D60F2"/>
    <w:rsid w:val="008D6E39"/>
    <w:rsid w:val="008F5F1D"/>
    <w:rsid w:val="00903CE3"/>
    <w:rsid w:val="0090403C"/>
    <w:rsid w:val="00904C35"/>
    <w:rsid w:val="009136C9"/>
    <w:rsid w:val="009161B0"/>
    <w:rsid w:val="00921D47"/>
    <w:rsid w:val="0092396B"/>
    <w:rsid w:val="00926A49"/>
    <w:rsid w:val="00935763"/>
    <w:rsid w:val="00940BBD"/>
    <w:rsid w:val="00941347"/>
    <w:rsid w:val="00942590"/>
    <w:rsid w:val="009447A7"/>
    <w:rsid w:val="009448CA"/>
    <w:rsid w:val="00944F39"/>
    <w:rsid w:val="0095252E"/>
    <w:rsid w:val="00954B5F"/>
    <w:rsid w:val="00954FE9"/>
    <w:rsid w:val="009576B2"/>
    <w:rsid w:val="0096768B"/>
    <w:rsid w:val="00970784"/>
    <w:rsid w:val="009738D2"/>
    <w:rsid w:val="00975190"/>
    <w:rsid w:val="00975A07"/>
    <w:rsid w:val="00980914"/>
    <w:rsid w:val="009828BB"/>
    <w:rsid w:val="00995285"/>
    <w:rsid w:val="00995314"/>
    <w:rsid w:val="009A0201"/>
    <w:rsid w:val="009A0412"/>
    <w:rsid w:val="009A3D94"/>
    <w:rsid w:val="009A7D17"/>
    <w:rsid w:val="009B057F"/>
    <w:rsid w:val="009B1692"/>
    <w:rsid w:val="009B2A87"/>
    <w:rsid w:val="009B4BB5"/>
    <w:rsid w:val="009B7910"/>
    <w:rsid w:val="009C637E"/>
    <w:rsid w:val="009C63DC"/>
    <w:rsid w:val="009C6CFD"/>
    <w:rsid w:val="009D1977"/>
    <w:rsid w:val="009D33D7"/>
    <w:rsid w:val="009E32FD"/>
    <w:rsid w:val="009E7334"/>
    <w:rsid w:val="009F1062"/>
    <w:rsid w:val="009F39C1"/>
    <w:rsid w:val="00A05053"/>
    <w:rsid w:val="00A136CA"/>
    <w:rsid w:val="00A149B3"/>
    <w:rsid w:val="00A1663A"/>
    <w:rsid w:val="00A230FD"/>
    <w:rsid w:val="00A2344E"/>
    <w:rsid w:val="00A2476A"/>
    <w:rsid w:val="00A253FE"/>
    <w:rsid w:val="00A264F9"/>
    <w:rsid w:val="00A354D8"/>
    <w:rsid w:val="00A3657F"/>
    <w:rsid w:val="00A40516"/>
    <w:rsid w:val="00A4353C"/>
    <w:rsid w:val="00A44864"/>
    <w:rsid w:val="00A47754"/>
    <w:rsid w:val="00A47CE6"/>
    <w:rsid w:val="00A55CC7"/>
    <w:rsid w:val="00A5704C"/>
    <w:rsid w:val="00A639DE"/>
    <w:rsid w:val="00A6795A"/>
    <w:rsid w:val="00A704B8"/>
    <w:rsid w:val="00A767C4"/>
    <w:rsid w:val="00A8302E"/>
    <w:rsid w:val="00A8351A"/>
    <w:rsid w:val="00A8365F"/>
    <w:rsid w:val="00A86F1C"/>
    <w:rsid w:val="00A90342"/>
    <w:rsid w:val="00A91E13"/>
    <w:rsid w:val="00A925F7"/>
    <w:rsid w:val="00A92710"/>
    <w:rsid w:val="00A9545A"/>
    <w:rsid w:val="00AA21CC"/>
    <w:rsid w:val="00AA32CD"/>
    <w:rsid w:val="00AA48A0"/>
    <w:rsid w:val="00AB071B"/>
    <w:rsid w:val="00AB51D1"/>
    <w:rsid w:val="00AB56B4"/>
    <w:rsid w:val="00AB7C3F"/>
    <w:rsid w:val="00AC1E6D"/>
    <w:rsid w:val="00AC4929"/>
    <w:rsid w:val="00AC579D"/>
    <w:rsid w:val="00AC59F3"/>
    <w:rsid w:val="00AD110F"/>
    <w:rsid w:val="00AD30BA"/>
    <w:rsid w:val="00AD3E00"/>
    <w:rsid w:val="00AD513F"/>
    <w:rsid w:val="00AD56AC"/>
    <w:rsid w:val="00AD6636"/>
    <w:rsid w:val="00AD728B"/>
    <w:rsid w:val="00AE02AA"/>
    <w:rsid w:val="00AE432B"/>
    <w:rsid w:val="00AE65AA"/>
    <w:rsid w:val="00AE7D82"/>
    <w:rsid w:val="00AF4939"/>
    <w:rsid w:val="00B009B1"/>
    <w:rsid w:val="00B0194D"/>
    <w:rsid w:val="00B04B07"/>
    <w:rsid w:val="00B0660E"/>
    <w:rsid w:val="00B07F54"/>
    <w:rsid w:val="00B12292"/>
    <w:rsid w:val="00B15B02"/>
    <w:rsid w:val="00B21892"/>
    <w:rsid w:val="00B230AC"/>
    <w:rsid w:val="00B247E9"/>
    <w:rsid w:val="00B25F3A"/>
    <w:rsid w:val="00B27788"/>
    <w:rsid w:val="00B32FD5"/>
    <w:rsid w:val="00B330ED"/>
    <w:rsid w:val="00B33691"/>
    <w:rsid w:val="00B37024"/>
    <w:rsid w:val="00B41E49"/>
    <w:rsid w:val="00B45442"/>
    <w:rsid w:val="00B45DED"/>
    <w:rsid w:val="00B472DC"/>
    <w:rsid w:val="00B52008"/>
    <w:rsid w:val="00B615A9"/>
    <w:rsid w:val="00B6545B"/>
    <w:rsid w:val="00B65CC8"/>
    <w:rsid w:val="00B7063C"/>
    <w:rsid w:val="00B8033C"/>
    <w:rsid w:val="00B808CB"/>
    <w:rsid w:val="00B86225"/>
    <w:rsid w:val="00B862D5"/>
    <w:rsid w:val="00B865FA"/>
    <w:rsid w:val="00B90DFB"/>
    <w:rsid w:val="00BA0058"/>
    <w:rsid w:val="00BA0FCE"/>
    <w:rsid w:val="00BA7B64"/>
    <w:rsid w:val="00BB2CD9"/>
    <w:rsid w:val="00BB2ECA"/>
    <w:rsid w:val="00BB7D87"/>
    <w:rsid w:val="00BC1118"/>
    <w:rsid w:val="00BC15FA"/>
    <w:rsid w:val="00BC199B"/>
    <w:rsid w:val="00BC1FE6"/>
    <w:rsid w:val="00BE50A5"/>
    <w:rsid w:val="00BF0754"/>
    <w:rsid w:val="00BF1C24"/>
    <w:rsid w:val="00BF2003"/>
    <w:rsid w:val="00BF6773"/>
    <w:rsid w:val="00C0008E"/>
    <w:rsid w:val="00C00D0F"/>
    <w:rsid w:val="00C01C57"/>
    <w:rsid w:val="00C03408"/>
    <w:rsid w:val="00C0403A"/>
    <w:rsid w:val="00C04511"/>
    <w:rsid w:val="00C05862"/>
    <w:rsid w:val="00C06660"/>
    <w:rsid w:val="00C10BED"/>
    <w:rsid w:val="00C217C8"/>
    <w:rsid w:val="00C2266A"/>
    <w:rsid w:val="00C2433B"/>
    <w:rsid w:val="00C26900"/>
    <w:rsid w:val="00C3004B"/>
    <w:rsid w:val="00C306F5"/>
    <w:rsid w:val="00C331BC"/>
    <w:rsid w:val="00C3498D"/>
    <w:rsid w:val="00C42A9B"/>
    <w:rsid w:val="00C46E7F"/>
    <w:rsid w:val="00C478B0"/>
    <w:rsid w:val="00C509F4"/>
    <w:rsid w:val="00C52273"/>
    <w:rsid w:val="00C54F33"/>
    <w:rsid w:val="00C55003"/>
    <w:rsid w:val="00C55347"/>
    <w:rsid w:val="00C5687E"/>
    <w:rsid w:val="00C572C8"/>
    <w:rsid w:val="00C6313F"/>
    <w:rsid w:val="00C641C3"/>
    <w:rsid w:val="00C64D0E"/>
    <w:rsid w:val="00C73B20"/>
    <w:rsid w:val="00C73B8E"/>
    <w:rsid w:val="00C743EE"/>
    <w:rsid w:val="00C75F7C"/>
    <w:rsid w:val="00C805F2"/>
    <w:rsid w:val="00C8090A"/>
    <w:rsid w:val="00C92A72"/>
    <w:rsid w:val="00C946B4"/>
    <w:rsid w:val="00C948F1"/>
    <w:rsid w:val="00CA5F90"/>
    <w:rsid w:val="00CA7BB9"/>
    <w:rsid w:val="00CB264C"/>
    <w:rsid w:val="00CC3CE5"/>
    <w:rsid w:val="00CC7D1E"/>
    <w:rsid w:val="00CD4B1A"/>
    <w:rsid w:val="00CE1E54"/>
    <w:rsid w:val="00CE1FA8"/>
    <w:rsid w:val="00CE3869"/>
    <w:rsid w:val="00CE57D1"/>
    <w:rsid w:val="00D03018"/>
    <w:rsid w:val="00D05449"/>
    <w:rsid w:val="00D05765"/>
    <w:rsid w:val="00D1420A"/>
    <w:rsid w:val="00D17DD4"/>
    <w:rsid w:val="00D22943"/>
    <w:rsid w:val="00D2328C"/>
    <w:rsid w:val="00D257FE"/>
    <w:rsid w:val="00D25FD9"/>
    <w:rsid w:val="00D3273B"/>
    <w:rsid w:val="00D32FE6"/>
    <w:rsid w:val="00D3388A"/>
    <w:rsid w:val="00D3407B"/>
    <w:rsid w:val="00D35D6F"/>
    <w:rsid w:val="00D37A4A"/>
    <w:rsid w:val="00D40F8F"/>
    <w:rsid w:val="00D51BCE"/>
    <w:rsid w:val="00D52630"/>
    <w:rsid w:val="00D52B90"/>
    <w:rsid w:val="00D53C47"/>
    <w:rsid w:val="00D54BBA"/>
    <w:rsid w:val="00D55DDA"/>
    <w:rsid w:val="00D6168D"/>
    <w:rsid w:val="00D622C2"/>
    <w:rsid w:val="00D6454A"/>
    <w:rsid w:val="00D66BAF"/>
    <w:rsid w:val="00D721A4"/>
    <w:rsid w:val="00D74207"/>
    <w:rsid w:val="00D743BF"/>
    <w:rsid w:val="00D76CA2"/>
    <w:rsid w:val="00D77156"/>
    <w:rsid w:val="00D77D5F"/>
    <w:rsid w:val="00D804AF"/>
    <w:rsid w:val="00D90ED5"/>
    <w:rsid w:val="00D920F8"/>
    <w:rsid w:val="00D94602"/>
    <w:rsid w:val="00D974E9"/>
    <w:rsid w:val="00D97846"/>
    <w:rsid w:val="00DA0473"/>
    <w:rsid w:val="00DA2EEF"/>
    <w:rsid w:val="00DA6760"/>
    <w:rsid w:val="00DA6A01"/>
    <w:rsid w:val="00DA6C80"/>
    <w:rsid w:val="00DB26AD"/>
    <w:rsid w:val="00DB2848"/>
    <w:rsid w:val="00DB5C67"/>
    <w:rsid w:val="00DC1812"/>
    <w:rsid w:val="00DC1A7E"/>
    <w:rsid w:val="00DC1E42"/>
    <w:rsid w:val="00DC5ACA"/>
    <w:rsid w:val="00DC6795"/>
    <w:rsid w:val="00DC6E52"/>
    <w:rsid w:val="00DD1326"/>
    <w:rsid w:val="00DD5B2F"/>
    <w:rsid w:val="00DD5BE2"/>
    <w:rsid w:val="00DD7D9C"/>
    <w:rsid w:val="00DD7F83"/>
    <w:rsid w:val="00DE6B34"/>
    <w:rsid w:val="00DE78CC"/>
    <w:rsid w:val="00DF0F31"/>
    <w:rsid w:val="00DF3F9E"/>
    <w:rsid w:val="00DF57BC"/>
    <w:rsid w:val="00DF63C7"/>
    <w:rsid w:val="00DF722A"/>
    <w:rsid w:val="00DF7418"/>
    <w:rsid w:val="00E003F0"/>
    <w:rsid w:val="00E044D9"/>
    <w:rsid w:val="00E07771"/>
    <w:rsid w:val="00E1129F"/>
    <w:rsid w:val="00E12B6A"/>
    <w:rsid w:val="00E12BEA"/>
    <w:rsid w:val="00E13BD6"/>
    <w:rsid w:val="00E15D95"/>
    <w:rsid w:val="00E1683E"/>
    <w:rsid w:val="00E172AB"/>
    <w:rsid w:val="00E22A07"/>
    <w:rsid w:val="00E25702"/>
    <w:rsid w:val="00E27DEC"/>
    <w:rsid w:val="00E30BC3"/>
    <w:rsid w:val="00E321BA"/>
    <w:rsid w:val="00E32446"/>
    <w:rsid w:val="00E36249"/>
    <w:rsid w:val="00E362DF"/>
    <w:rsid w:val="00E4275F"/>
    <w:rsid w:val="00E4333E"/>
    <w:rsid w:val="00E43DFF"/>
    <w:rsid w:val="00E441AE"/>
    <w:rsid w:val="00E50DA8"/>
    <w:rsid w:val="00E53B78"/>
    <w:rsid w:val="00E53EA6"/>
    <w:rsid w:val="00E54614"/>
    <w:rsid w:val="00E55D7E"/>
    <w:rsid w:val="00E56ED8"/>
    <w:rsid w:val="00E6694D"/>
    <w:rsid w:val="00E75655"/>
    <w:rsid w:val="00E76C40"/>
    <w:rsid w:val="00E815F4"/>
    <w:rsid w:val="00E82096"/>
    <w:rsid w:val="00E8273B"/>
    <w:rsid w:val="00E8715E"/>
    <w:rsid w:val="00E90812"/>
    <w:rsid w:val="00E94B61"/>
    <w:rsid w:val="00E9534A"/>
    <w:rsid w:val="00E96505"/>
    <w:rsid w:val="00E965E1"/>
    <w:rsid w:val="00E96F51"/>
    <w:rsid w:val="00EA1F8B"/>
    <w:rsid w:val="00EA21A9"/>
    <w:rsid w:val="00EA3949"/>
    <w:rsid w:val="00EA4440"/>
    <w:rsid w:val="00EA50D7"/>
    <w:rsid w:val="00EA64BD"/>
    <w:rsid w:val="00EA6573"/>
    <w:rsid w:val="00EA7B61"/>
    <w:rsid w:val="00EB1508"/>
    <w:rsid w:val="00EB5171"/>
    <w:rsid w:val="00EB6A8C"/>
    <w:rsid w:val="00EB7DDF"/>
    <w:rsid w:val="00EC1551"/>
    <w:rsid w:val="00EC2148"/>
    <w:rsid w:val="00EC251A"/>
    <w:rsid w:val="00EC53FC"/>
    <w:rsid w:val="00EC74A0"/>
    <w:rsid w:val="00EC7856"/>
    <w:rsid w:val="00EC790F"/>
    <w:rsid w:val="00ED0DA5"/>
    <w:rsid w:val="00ED7D8A"/>
    <w:rsid w:val="00EE2584"/>
    <w:rsid w:val="00EE3853"/>
    <w:rsid w:val="00EE5E06"/>
    <w:rsid w:val="00EE7767"/>
    <w:rsid w:val="00EF111D"/>
    <w:rsid w:val="00EF404B"/>
    <w:rsid w:val="00EF5666"/>
    <w:rsid w:val="00F0065D"/>
    <w:rsid w:val="00F044DD"/>
    <w:rsid w:val="00F10C4A"/>
    <w:rsid w:val="00F148EE"/>
    <w:rsid w:val="00F14A05"/>
    <w:rsid w:val="00F17326"/>
    <w:rsid w:val="00F203C3"/>
    <w:rsid w:val="00F218CC"/>
    <w:rsid w:val="00F26860"/>
    <w:rsid w:val="00F27AD6"/>
    <w:rsid w:val="00F320D5"/>
    <w:rsid w:val="00F34E83"/>
    <w:rsid w:val="00F35382"/>
    <w:rsid w:val="00F36032"/>
    <w:rsid w:val="00F376B3"/>
    <w:rsid w:val="00F401C8"/>
    <w:rsid w:val="00F40509"/>
    <w:rsid w:val="00F43D53"/>
    <w:rsid w:val="00F44DEB"/>
    <w:rsid w:val="00F504F7"/>
    <w:rsid w:val="00F5416B"/>
    <w:rsid w:val="00F55044"/>
    <w:rsid w:val="00F552BF"/>
    <w:rsid w:val="00F60022"/>
    <w:rsid w:val="00F6156E"/>
    <w:rsid w:val="00F659F8"/>
    <w:rsid w:val="00F67566"/>
    <w:rsid w:val="00F73626"/>
    <w:rsid w:val="00F74F09"/>
    <w:rsid w:val="00F774EC"/>
    <w:rsid w:val="00F77BF0"/>
    <w:rsid w:val="00F82507"/>
    <w:rsid w:val="00F84477"/>
    <w:rsid w:val="00F904F8"/>
    <w:rsid w:val="00F918EB"/>
    <w:rsid w:val="00F92C32"/>
    <w:rsid w:val="00F931D1"/>
    <w:rsid w:val="00F9404A"/>
    <w:rsid w:val="00F944A8"/>
    <w:rsid w:val="00F9552F"/>
    <w:rsid w:val="00F962AF"/>
    <w:rsid w:val="00FA12BD"/>
    <w:rsid w:val="00FA64A2"/>
    <w:rsid w:val="00FA6D3B"/>
    <w:rsid w:val="00FB3EE0"/>
    <w:rsid w:val="00FB4DD3"/>
    <w:rsid w:val="00FC0096"/>
    <w:rsid w:val="00FC2CD5"/>
    <w:rsid w:val="00FC3CCD"/>
    <w:rsid w:val="00FC40CD"/>
    <w:rsid w:val="00FC5FED"/>
    <w:rsid w:val="00FC7829"/>
    <w:rsid w:val="00FD095F"/>
    <w:rsid w:val="00FD565D"/>
    <w:rsid w:val="00FE3BCD"/>
    <w:rsid w:val="00FE593B"/>
    <w:rsid w:val="00FF0BC9"/>
    <w:rsid w:val="00FF147B"/>
    <w:rsid w:val="00FF2250"/>
    <w:rsid w:val="00FF30B4"/>
    <w:rsid w:val="00FF5F7E"/>
    <w:rsid w:val="00FF7164"/>
    <w:rsid w:val="00FF71A9"/>
    <w:rsid w:val="0181D0DC"/>
    <w:rsid w:val="06E80867"/>
    <w:rsid w:val="0911B1B6"/>
    <w:rsid w:val="0AF7C393"/>
    <w:rsid w:val="0C4E9888"/>
    <w:rsid w:val="11EE9F3F"/>
    <w:rsid w:val="124546A6"/>
    <w:rsid w:val="14FBA094"/>
    <w:rsid w:val="199AC05E"/>
    <w:rsid w:val="1AEAFCF2"/>
    <w:rsid w:val="1BCBB194"/>
    <w:rsid w:val="237061E8"/>
    <w:rsid w:val="2E74DA88"/>
    <w:rsid w:val="3144D0A8"/>
    <w:rsid w:val="334ECEC7"/>
    <w:rsid w:val="36E26FDF"/>
    <w:rsid w:val="3F4EC1B8"/>
    <w:rsid w:val="3F73C189"/>
    <w:rsid w:val="413C825D"/>
    <w:rsid w:val="46973D0C"/>
    <w:rsid w:val="46A0A815"/>
    <w:rsid w:val="490004EB"/>
    <w:rsid w:val="49BBF13A"/>
    <w:rsid w:val="49CD89E3"/>
    <w:rsid w:val="4AC026C7"/>
    <w:rsid w:val="4D90399D"/>
    <w:rsid w:val="4DB0B4F1"/>
    <w:rsid w:val="50CE5793"/>
    <w:rsid w:val="529710CA"/>
    <w:rsid w:val="584E788D"/>
    <w:rsid w:val="587D7345"/>
    <w:rsid w:val="5AAD96BA"/>
    <w:rsid w:val="61FC0579"/>
    <w:rsid w:val="6202887E"/>
    <w:rsid w:val="63E56843"/>
    <w:rsid w:val="6597004A"/>
    <w:rsid w:val="65F4A978"/>
    <w:rsid w:val="697B7052"/>
    <w:rsid w:val="6C0299BD"/>
    <w:rsid w:val="6D324563"/>
    <w:rsid w:val="6E987E81"/>
    <w:rsid w:val="6EEC8396"/>
    <w:rsid w:val="75AABB43"/>
    <w:rsid w:val="78E721BB"/>
    <w:rsid w:val="78E9C61D"/>
    <w:rsid w:val="7A3D07A4"/>
    <w:rsid w:val="7B46CF6F"/>
    <w:rsid w:val="7B5D4DB3"/>
    <w:rsid w:val="7F641F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A07"/>
    <w:rPr>
      <w:sz w:val="24"/>
      <w:szCs w:val="24"/>
      <w:lang w:val="es-ES" w:eastAsia="es-ES"/>
    </w:rPr>
  </w:style>
  <w:style w:type="paragraph" w:styleId="Ttulo1">
    <w:name w:val="heading 1"/>
    <w:basedOn w:val="Normal"/>
    <w:next w:val="Normal"/>
    <w:qFormat/>
    <w:rsid w:val="00E22A07"/>
    <w:pPr>
      <w:keepNext/>
      <w:overflowPunct w:val="0"/>
      <w:autoSpaceDE w:val="0"/>
      <w:autoSpaceDN w:val="0"/>
      <w:adjustRightInd w:val="0"/>
      <w:jc w:val="both"/>
      <w:textAlignment w:val="baseline"/>
      <w:outlineLvl w:val="0"/>
    </w:pPr>
    <w:rPr>
      <w:b/>
      <w:sz w:val="28"/>
      <w:szCs w:val="20"/>
    </w:rPr>
  </w:style>
  <w:style w:type="paragraph" w:styleId="Ttulo2">
    <w:name w:val="heading 2"/>
    <w:basedOn w:val="Normal"/>
    <w:next w:val="Normal"/>
    <w:qFormat/>
    <w:rsid w:val="00652C5C"/>
    <w:pPr>
      <w:keepNext/>
      <w:spacing w:before="240" w:after="60"/>
      <w:outlineLvl w:val="1"/>
    </w:pPr>
    <w:rPr>
      <w:rFonts w:ascii="Arial" w:hAnsi="Arial" w:cs="Arial"/>
      <w:b/>
      <w:bCs/>
      <w:i/>
      <w:iCs/>
      <w:sz w:val="28"/>
      <w:szCs w:val="28"/>
    </w:rPr>
  </w:style>
  <w:style w:type="paragraph" w:styleId="Ttulo3">
    <w:name w:val="heading 3"/>
    <w:basedOn w:val="Normal"/>
    <w:next w:val="Normal"/>
    <w:uiPriority w:val="9"/>
    <w:qFormat/>
    <w:rsid w:val="00212DD9"/>
    <w:pPr>
      <w:keepNext/>
      <w:spacing w:before="240" w:after="60"/>
      <w:outlineLvl w:val="2"/>
    </w:pPr>
    <w:rPr>
      <w:rFonts w:ascii="Arial" w:hAnsi="Arial" w:cs="Arial"/>
      <w:b/>
      <w:bCs/>
      <w:sz w:val="26"/>
      <w:szCs w:val="26"/>
    </w:rPr>
  </w:style>
  <w:style w:type="paragraph" w:styleId="Ttulo4">
    <w:name w:val="heading 4"/>
    <w:basedOn w:val="Normal"/>
    <w:next w:val="Normal"/>
    <w:qFormat/>
    <w:rsid w:val="00462264"/>
    <w:pPr>
      <w:keepNext/>
      <w:spacing w:before="240" w:after="60"/>
      <w:outlineLvl w:val="3"/>
    </w:pPr>
    <w:rPr>
      <w:b/>
      <w:bCs/>
      <w:sz w:val="28"/>
      <w:szCs w:val="28"/>
    </w:rPr>
  </w:style>
  <w:style w:type="paragraph" w:styleId="Ttulo5">
    <w:name w:val="heading 5"/>
    <w:basedOn w:val="Normal"/>
    <w:next w:val="Normal"/>
    <w:qFormat/>
    <w:rsid w:val="00212DD9"/>
    <w:pPr>
      <w:spacing w:before="240" w:after="60"/>
      <w:outlineLvl w:val="4"/>
    </w:pPr>
    <w:rPr>
      <w:b/>
      <w:bCs/>
      <w:i/>
      <w:iCs/>
      <w:sz w:val="26"/>
      <w:szCs w:val="26"/>
    </w:rPr>
  </w:style>
  <w:style w:type="paragraph" w:styleId="Ttulo6">
    <w:name w:val="heading 6"/>
    <w:basedOn w:val="Normal"/>
    <w:next w:val="Normal"/>
    <w:qFormat/>
    <w:rsid w:val="00212DD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22A07"/>
    <w:pPr>
      <w:overflowPunct w:val="0"/>
      <w:autoSpaceDE w:val="0"/>
      <w:autoSpaceDN w:val="0"/>
      <w:adjustRightInd w:val="0"/>
      <w:jc w:val="both"/>
      <w:textAlignment w:val="baseline"/>
    </w:pPr>
    <w:rPr>
      <w:sz w:val="28"/>
      <w:szCs w:val="20"/>
    </w:rPr>
  </w:style>
  <w:style w:type="paragraph" w:customStyle="1" w:styleId="Textoindependiente21">
    <w:name w:val="Texto independiente 21"/>
    <w:basedOn w:val="Normal"/>
    <w:rsid w:val="00E22A07"/>
    <w:pPr>
      <w:overflowPunct w:val="0"/>
      <w:autoSpaceDE w:val="0"/>
      <w:autoSpaceDN w:val="0"/>
      <w:adjustRightInd w:val="0"/>
      <w:textAlignment w:val="baseline"/>
    </w:pPr>
    <w:rPr>
      <w:sz w:val="28"/>
      <w:szCs w:val="20"/>
      <w:lang w:val="es-ES_tradnl"/>
    </w:rPr>
  </w:style>
  <w:style w:type="paragraph" w:styleId="Piedepgina">
    <w:name w:val="footer"/>
    <w:basedOn w:val="Normal"/>
    <w:rsid w:val="00E22A07"/>
    <w:pPr>
      <w:tabs>
        <w:tab w:val="center" w:pos="4419"/>
        <w:tab w:val="right" w:pos="8838"/>
      </w:tabs>
      <w:overflowPunct w:val="0"/>
      <w:autoSpaceDE w:val="0"/>
      <w:autoSpaceDN w:val="0"/>
      <w:adjustRightInd w:val="0"/>
      <w:textAlignment w:val="baseline"/>
    </w:pPr>
    <w:rPr>
      <w:sz w:val="20"/>
      <w:szCs w:val="20"/>
      <w:lang w:val="es-ES_tradnl"/>
    </w:rPr>
  </w:style>
  <w:style w:type="character" w:styleId="Nmerodepgina">
    <w:name w:val="page number"/>
    <w:basedOn w:val="Fuentedeprrafopredeter"/>
    <w:rsid w:val="00E22A07"/>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uiPriority w:val="99"/>
    <w:qFormat/>
    <w:rsid w:val="00E22A07"/>
    <w:pPr>
      <w:overflowPunct w:val="0"/>
      <w:autoSpaceDE w:val="0"/>
      <w:autoSpaceDN w:val="0"/>
      <w:adjustRightInd w:val="0"/>
      <w:textAlignment w:val="baseline"/>
    </w:pPr>
    <w:rPr>
      <w:sz w:val="20"/>
      <w:szCs w:val="20"/>
      <w:lang w:val="es-ES_tradnl"/>
    </w:rPr>
  </w:style>
  <w:style w:type="character" w:styleId="Refdenotaalpie">
    <w:name w:val="footnote reference"/>
    <w:aliases w:val="Texto de nota al pie,referencia nota al pie,FC,Ref. de nota al pie 2,Pie de Página,Texto de nota al p,Pie de Pàgina,F,Pie de P_gin,Pie de P_,Texto de nota al pi,Pie de P_g,Footnotes refss,Appel note de bas de page,Footnote number,f,R"/>
    <w:uiPriority w:val="99"/>
    <w:qFormat/>
    <w:rsid w:val="00E22A07"/>
    <w:rPr>
      <w:vertAlign w:val="superscript"/>
    </w:rPr>
  </w:style>
  <w:style w:type="paragraph" w:customStyle="1" w:styleId="BodyText20">
    <w:name w:val="Body Text 20"/>
    <w:basedOn w:val="Normal"/>
    <w:rsid w:val="00E22A07"/>
    <w:pPr>
      <w:overflowPunct w:val="0"/>
      <w:autoSpaceDE w:val="0"/>
      <w:autoSpaceDN w:val="0"/>
      <w:adjustRightInd w:val="0"/>
      <w:jc w:val="both"/>
      <w:textAlignment w:val="baseline"/>
    </w:pPr>
    <w:rPr>
      <w:b/>
      <w:bCs/>
      <w:spacing w:val="20"/>
      <w:sz w:val="22"/>
      <w:szCs w:val="20"/>
      <w:lang w:val="es-ES_tradnl"/>
    </w:rPr>
  </w:style>
  <w:style w:type="paragraph" w:customStyle="1" w:styleId="unico">
    <w:name w:val="unico"/>
    <w:basedOn w:val="Normal"/>
    <w:rsid w:val="000A0B8B"/>
    <w:pPr>
      <w:spacing w:before="100" w:beforeAutospacing="1" w:after="100" w:afterAutospacing="1"/>
    </w:pPr>
  </w:style>
  <w:style w:type="character" w:customStyle="1" w:styleId="lphit">
    <w:name w:val="lphit"/>
    <w:basedOn w:val="Fuentedeprrafopredeter"/>
    <w:rsid w:val="00EF5666"/>
  </w:style>
  <w:style w:type="character" w:styleId="Hipervnculo">
    <w:name w:val="Hyperlink"/>
    <w:uiPriority w:val="99"/>
    <w:rsid w:val="00395278"/>
    <w:rPr>
      <w:color w:val="0000FF"/>
      <w:u w:val="single"/>
    </w:rPr>
  </w:style>
  <w:style w:type="paragraph" w:customStyle="1" w:styleId="sangria">
    <w:name w:val="sangria"/>
    <w:basedOn w:val="Normal"/>
    <w:rsid w:val="001C4175"/>
    <w:pPr>
      <w:spacing w:before="100" w:beforeAutospacing="1" w:after="100" w:afterAutospacing="1"/>
    </w:pPr>
  </w:style>
  <w:style w:type="paragraph" w:customStyle="1" w:styleId="cuerpo">
    <w:name w:val="cuerpo"/>
    <w:basedOn w:val="Normal"/>
    <w:rsid w:val="001C4175"/>
    <w:pPr>
      <w:spacing w:before="100" w:beforeAutospacing="1" w:after="100" w:afterAutospacing="1"/>
    </w:pPr>
  </w:style>
  <w:style w:type="character" w:customStyle="1" w:styleId="campo1">
    <w:name w:val="campo.1"/>
    <w:basedOn w:val="Fuentedeprrafopredeter"/>
    <w:rsid w:val="001C4175"/>
  </w:style>
  <w:style w:type="paragraph" w:styleId="Textodebloque">
    <w:name w:val="Block Text"/>
    <w:basedOn w:val="Normal"/>
    <w:rsid w:val="00652C5C"/>
    <w:pPr>
      <w:autoSpaceDE w:val="0"/>
      <w:autoSpaceDN w:val="0"/>
      <w:adjustRightInd w:val="0"/>
      <w:ind w:left="705" w:right="713"/>
      <w:jc w:val="both"/>
    </w:pPr>
    <w:rPr>
      <w:b/>
      <w:bCs/>
      <w:spacing w:val="20"/>
      <w:sz w:val="22"/>
      <w:szCs w:val="23"/>
      <w:lang w:val="es-ES_tradnl"/>
    </w:rPr>
  </w:style>
  <w:style w:type="character" w:customStyle="1" w:styleId="Smbolodenotaalpie">
    <w:name w:val="Símbolo de nota al pie"/>
    <w:rsid w:val="00652C5C"/>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D6168D"/>
    <w:rPr>
      <w:lang w:val="es-ES_tradnl" w:eastAsia="es-ES" w:bidi="ar-SA"/>
    </w:rPr>
  </w:style>
  <w:style w:type="paragraph" w:customStyle="1" w:styleId="Sangra2detindependiente1">
    <w:name w:val="Sangría 2 de t. independiente1"/>
    <w:basedOn w:val="Normal"/>
    <w:rsid w:val="002F78F7"/>
    <w:pPr>
      <w:overflowPunct w:val="0"/>
      <w:autoSpaceDE w:val="0"/>
      <w:autoSpaceDN w:val="0"/>
      <w:adjustRightInd w:val="0"/>
      <w:spacing w:line="360" w:lineRule="auto"/>
      <w:ind w:firstLine="1560"/>
      <w:jc w:val="both"/>
      <w:textAlignment w:val="baseline"/>
    </w:pPr>
    <w:rPr>
      <w:rFonts w:ascii="Arial" w:hAnsi="Arial"/>
      <w:sz w:val="28"/>
      <w:szCs w:val="20"/>
      <w:lang w:val="es-ES_tradnl"/>
    </w:rPr>
  </w:style>
  <w:style w:type="character" w:styleId="CitaHTML">
    <w:name w:val="HTML Cite"/>
    <w:rsid w:val="002F78F7"/>
    <w:rPr>
      <w:i/>
      <w:iCs/>
    </w:rPr>
  </w:style>
  <w:style w:type="paragraph" w:customStyle="1" w:styleId="Textoindependiente22">
    <w:name w:val="Texto independiente 22"/>
    <w:basedOn w:val="Normal"/>
    <w:rsid w:val="002F78F7"/>
    <w:pPr>
      <w:suppressAutoHyphens/>
      <w:overflowPunct w:val="0"/>
      <w:autoSpaceDE w:val="0"/>
      <w:jc w:val="both"/>
      <w:textAlignment w:val="baseline"/>
    </w:pPr>
    <w:rPr>
      <w:rFonts w:ascii="Verdana" w:hAnsi="Verdana" w:cs="Verdana"/>
      <w:spacing w:val="20"/>
      <w:lang w:val="es-ES_tradnl"/>
    </w:rPr>
  </w:style>
  <w:style w:type="paragraph" w:customStyle="1" w:styleId="TextonotapieTextonotapieCar">
    <w:name w:val="Texto nota pie.Texto nota pie Car"/>
    <w:basedOn w:val="Normal"/>
    <w:rsid w:val="002F78F7"/>
    <w:pPr>
      <w:widowControl w:val="0"/>
      <w:suppressAutoHyphens/>
    </w:pPr>
    <w:rPr>
      <w:rFonts w:ascii="Arial" w:hAnsi="Arial"/>
      <w:spacing w:val="-3"/>
      <w:sz w:val="20"/>
      <w:szCs w:val="20"/>
      <w:lang w:val="es-ES_tradnl"/>
    </w:rPr>
  </w:style>
  <w:style w:type="paragraph" w:styleId="Encabezado">
    <w:name w:val="header"/>
    <w:basedOn w:val="Normal"/>
    <w:link w:val="EncabezadoCar"/>
    <w:rsid w:val="00A47754"/>
    <w:pPr>
      <w:tabs>
        <w:tab w:val="center" w:pos="4252"/>
        <w:tab w:val="right" w:pos="8504"/>
      </w:tabs>
    </w:pPr>
  </w:style>
  <w:style w:type="character" w:customStyle="1" w:styleId="EncabezadoCar">
    <w:name w:val="Encabezado Car"/>
    <w:link w:val="Encabezado"/>
    <w:rsid w:val="00A47754"/>
    <w:rPr>
      <w:sz w:val="24"/>
      <w:szCs w:val="24"/>
    </w:rPr>
  </w:style>
  <w:style w:type="paragraph" w:customStyle="1" w:styleId="Sinespaciado1">
    <w:name w:val="Sin espaciado1"/>
    <w:rsid w:val="00B45DED"/>
    <w:rPr>
      <w:rFonts w:ascii="Calibri" w:eastAsia="Calibri" w:hAnsi="Calibri"/>
      <w:sz w:val="22"/>
      <w:szCs w:val="22"/>
      <w:lang w:val="es-CO"/>
    </w:rPr>
  </w:style>
  <w:style w:type="character" w:customStyle="1" w:styleId="flc">
    <w:name w:val="flc"/>
    <w:rsid w:val="00B45DED"/>
  </w:style>
  <w:style w:type="character" w:customStyle="1" w:styleId="apple-converted-space">
    <w:name w:val="apple-converted-space"/>
    <w:rsid w:val="00B45DED"/>
  </w:style>
  <w:style w:type="paragraph" w:styleId="Textoindependiente3">
    <w:name w:val="Body Text 3"/>
    <w:basedOn w:val="Normal"/>
    <w:link w:val="Textoindependiente3Car"/>
    <w:rsid w:val="0068042C"/>
    <w:pPr>
      <w:spacing w:after="120"/>
    </w:pPr>
    <w:rPr>
      <w:sz w:val="16"/>
      <w:szCs w:val="16"/>
    </w:rPr>
  </w:style>
  <w:style w:type="character" w:customStyle="1" w:styleId="Textoindependiente3Car">
    <w:name w:val="Texto independiente 3 Car"/>
    <w:link w:val="Textoindependiente3"/>
    <w:rsid w:val="0068042C"/>
    <w:rPr>
      <w:sz w:val="16"/>
      <w:szCs w:val="16"/>
    </w:rPr>
  </w:style>
  <w:style w:type="paragraph" w:styleId="NormalWeb">
    <w:name w:val="Normal (Web)"/>
    <w:basedOn w:val="Normal"/>
    <w:uiPriority w:val="99"/>
    <w:rsid w:val="0068042C"/>
    <w:pPr>
      <w:spacing w:before="100" w:beforeAutospacing="1" w:after="100" w:afterAutospacing="1"/>
    </w:pPr>
  </w:style>
  <w:style w:type="character" w:customStyle="1" w:styleId="TextoindependienteCar">
    <w:name w:val="Texto independiente Car"/>
    <w:link w:val="Textoindependiente"/>
    <w:rsid w:val="00C54F33"/>
    <w:rPr>
      <w:sz w:val="28"/>
    </w:rPr>
  </w:style>
  <w:style w:type="paragraph" w:styleId="Prrafodelista">
    <w:name w:val="List Paragraph"/>
    <w:basedOn w:val="Normal"/>
    <w:uiPriority w:val="34"/>
    <w:qFormat/>
    <w:rsid w:val="00A767C4"/>
    <w:pPr>
      <w:spacing w:line="360" w:lineRule="auto"/>
      <w:ind w:left="709"/>
      <w:contextualSpacing/>
      <w:jc w:val="both"/>
    </w:pPr>
    <w:rPr>
      <w:rFonts w:ascii="Bookman Old Style" w:hAnsi="Bookman Old Style"/>
      <w:i/>
    </w:rPr>
  </w:style>
  <w:style w:type="paragraph" w:styleId="Textocomentario">
    <w:name w:val="annotation text"/>
    <w:basedOn w:val="Normal"/>
    <w:link w:val="TextocomentarioCar"/>
    <w:rsid w:val="00E22A07"/>
    <w:rPr>
      <w:sz w:val="20"/>
      <w:szCs w:val="20"/>
    </w:rPr>
  </w:style>
  <w:style w:type="character" w:customStyle="1" w:styleId="TextocomentarioCar">
    <w:name w:val="Texto comentario Car"/>
    <w:basedOn w:val="Fuentedeprrafopredeter"/>
    <w:link w:val="Textocomentario"/>
    <w:rsid w:val="00E22A07"/>
    <w:rPr>
      <w:lang w:val="es-ES" w:eastAsia="es-ES"/>
    </w:rPr>
  </w:style>
  <w:style w:type="character" w:styleId="Refdecomentario">
    <w:name w:val="annotation reference"/>
    <w:basedOn w:val="Fuentedeprrafopredeter"/>
    <w:rsid w:val="00E22A07"/>
    <w:rPr>
      <w:sz w:val="16"/>
      <w:szCs w:val="16"/>
    </w:rPr>
  </w:style>
  <w:style w:type="paragraph" w:styleId="Textodeglobo">
    <w:name w:val="Balloon Text"/>
    <w:basedOn w:val="Normal"/>
    <w:link w:val="TextodegloboCar"/>
    <w:semiHidden/>
    <w:unhideWhenUsed/>
    <w:rsid w:val="00651F7F"/>
    <w:rPr>
      <w:rFonts w:ascii="Segoe UI" w:hAnsi="Segoe UI" w:cs="Segoe UI"/>
      <w:sz w:val="18"/>
      <w:szCs w:val="18"/>
    </w:rPr>
  </w:style>
  <w:style w:type="character" w:customStyle="1" w:styleId="TextodegloboCar">
    <w:name w:val="Texto de globo Car"/>
    <w:basedOn w:val="Fuentedeprrafopredeter"/>
    <w:link w:val="Textodeglobo"/>
    <w:semiHidden/>
    <w:rsid w:val="00651F7F"/>
    <w:rPr>
      <w:rFonts w:ascii="Segoe UI" w:hAnsi="Segoe UI" w:cs="Segoe UI"/>
      <w:sz w:val="18"/>
      <w:szCs w:val="18"/>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semiHidden/>
    <w:unhideWhenUsed/>
    <w:rsid w:val="00C55347"/>
    <w:rPr>
      <w:b/>
      <w:bCs/>
    </w:rPr>
  </w:style>
  <w:style w:type="character" w:customStyle="1" w:styleId="AsuntodelcomentarioCar">
    <w:name w:val="Asunto del comentario Car"/>
    <w:basedOn w:val="TextocomentarioCar"/>
    <w:link w:val="Asuntodelcomentario"/>
    <w:semiHidden/>
    <w:rsid w:val="00C55347"/>
    <w:rPr>
      <w:b/>
      <w:bCs/>
      <w:lang w:val="es-ES" w:eastAsia="es-ES"/>
    </w:rPr>
  </w:style>
  <w:style w:type="character" w:customStyle="1" w:styleId="SinespaciadoCar">
    <w:name w:val="Sin espaciado Car"/>
    <w:link w:val="Sinespaciado"/>
    <w:uiPriority w:val="1"/>
    <w:locked/>
    <w:rsid w:val="0050603F"/>
    <w:rPr>
      <w:rFonts w:ascii="Calibri" w:hAnsi="Calibri"/>
      <w:sz w:val="22"/>
      <w:szCs w:val="22"/>
    </w:rPr>
  </w:style>
  <w:style w:type="paragraph" w:styleId="Sinespaciado">
    <w:name w:val="No Spacing"/>
    <w:link w:val="SinespaciadoCar"/>
    <w:uiPriority w:val="1"/>
    <w:qFormat/>
    <w:rsid w:val="0050603F"/>
    <w:rPr>
      <w:rFonts w:ascii="Calibri" w:hAnsi="Calibri"/>
      <w:sz w:val="22"/>
      <w:szCs w:val="22"/>
    </w:rPr>
  </w:style>
  <w:style w:type="paragraph" w:customStyle="1" w:styleId="paragraph">
    <w:name w:val="paragraph"/>
    <w:basedOn w:val="Normal"/>
    <w:rsid w:val="0050603F"/>
    <w:pPr>
      <w:spacing w:before="100" w:beforeAutospacing="1" w:after="100" w:afterAutospacing="1"/>
    </w:pPr>
  </w:style>
  <w:style w:type="character" w:customStyle="1" w:styleId="eop">
    <w:name w:val="eop"/>
    <w:rsid w:val="00506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0237">
      <w:bodyDiv w:val="1"/>
      <w:marLeft w:val="0"/>
      <w:marRight w:val="0"/>
      <w:marTop w:val="0"/>
      <w:marBottom w:val="0"/>
      <w:divBdr>
        <w:top w:val="none" w:sz="0" w:space="0" w:color="auto"/>
        <w:left w:val="none" w:sz="0" w:space="0" w:color="auto"/>
        <w:bottom w:val="none" w:sz="0" w:space="0" w:color="auto"/>
        <w:right w:val="none" w:sz="0" w:space="0" w:color="auto"/>
      </w:divBdr>
      <w:divsChild>
        <w:div w:id="101533051">
          <w:marLeft w:val="0"/>
          <w:marRight w:val="0"/>
          <w:marTop w:val="0"/>
          <w:marBottom w:val="0"/>
          <w:divBdr>
            <w:top w:val="none" w:sz="0" w:space="0" w:color="auto"/>
            <w:left w:val="none" w:sz="0" w:space="0" w:color="auto"/>
            <w:bottom w:val="none" w:sz="0" w:space="0" w:color="auto"/>
            <w:right w:val="none" w:sz="0" w:space="0" w:color="auto"/>
          </w:divBdr>
        </w:div>
        <w:div w:id="123357343">
          <w:marLeft w:val="0"/>
          <w:marRight w:val="0"/>
          <w:marTop w:val="0"/>
          <w:marBottom w:val="0"/>
          <w:divBdr>
            <w:top w:val="none" w:sz="0" w:space="0" w:color="auto"/>
            <w:left w:val="none" w:sz="0" w:space="0" w:color="auto"/>
            <w:bottom w:val="none" w:sz="0" w:space="0" w:color="auto"/>
            <w:right w:val="none" w:sz="0" w:space="0" w:color="auto"/>
          </w:divBdr>
        </w:div>
        <w:div w:id="153840413">
          <w:marLeft w:val="0"/>
          <w:marRight w:val="0"/>
          <w:marTop w:val="0"/>
          <w:marBottom w:val="0"/>
          <w:divBdr>
            <w:top w:val="none" w:sz="0" w:space="0" w:color="auto"/>
            <w:left w:val="none" w:sz="0" w:space="0" w:color="auto"/>
            <w:bottom w:val="none" w:sz="0" w:space="0" w:color="auto"/>
            <w:right w:val="none" w:sz="0" w:space="0" w:color="auto"/>
          </w:divBdr>
        </w:div>
        <w:div w:id="159006749">
          <w:marLeft w:val="0"/>
          <w:marRight w:val="0"/>
          <w:marTop w:val="0"/>
          <w:marBottom w:val="0"/>
          <w:divBdr>
            <w:top w:val="none" w:sz="0" w:space="0" w:color="auto"/>
            <w:left w:val="none" w:sz="0" w:space="0" w:color="auto"/>
            <w:bottom w:val="none" w:sz="0" w:space="0" w:color="auto"/>
            <w:right w:val="none" w:sz="0" w:space="0" w:color="auto"/>
          </w:divBdr>
        </w:div>
        <w:div w:id="295986256">
          <w:marLeft w:val="0"/>
          <w:marRight w:val="0"/>
          <w:marTop w:val="0"/>
          <w:marBottom w:val="0"/>
          <w:divBdr>
            <w:top w:val="none" w:sz="0" w:space="0" w:color="auto"/>
            <w:left w:val="none" w:sz="0" w:space="0" w:color="auto"/>
            <w:bottom w:val="none" w:sz="0" w:space="0" w:color="auto"/>
            <w:right w:val="none" w:sz="0" w:space="0" w:color="auto"/>
          </w:divBdr>
        </w:div>
        <w:div w:id="435096680">
          <w:marLeft w:val="0"/>
          <w:marRight w:val="0"/>
          <w:marTop w:val="0"/>
          <w:marBottom w:val="0"/>
          <w:divBdr>
            <w:top w:val="none" w:sz="0" w:space="0" w:color="auto"/>
            <w:left w:val="none" w:sz="0" w:space="0" w:color="auto"/>
            <w:bottom w:val="none" w:sz="0" w:space="0" w:color="auto"/>
            <w:right w:val="none" w:sz="0" w:space="0" w:color="auto"/>
          </w:divBdr>
        </w:div>
        <w:div w:id="461310387">
          <w:marLeft w:val="0"/>
          <w:marRight w:val="0"/>
          <w:marTop w:val="0"/>
          <w:marBottom w:val="0"/>
          <w:divBdr>
            <w:top w:val="none" w:sz="0" w:space="0" w:color="auto"/>
            <w:left w:val="none" w:sz="0" w:space="0" w:color="auto"/>
            <w:bottom w:val="none" w:sz="0" w:space="0" w:color="auto"/>
            <w:right w:val="none" w:sz="0" w:space="0" w:color="auto"/>
          </w:divBdr>
        </w:div>
        <w:div w:id="462116399">
          <w:marLeft w:val="0"/>
          <w:marRight w:val="0"/>
          <w:marTop w:val="0"/>
          <w:marBottom w:val="0"/>
          <w:divBdr>
            <w:top w:val="none" w:sz="0" w:space="0" w:color="auto"/>
            <w:left w:val="none" w:sz="0" w:space="0" w:color="auto"/>
            <w:bottom w:val="none" w:sz="0" w:space="0" w:color="auto"/>
            <w:right w:val="none" w:sz="0" w:space="0" w:color="auto"/>
          </w:divBdr>
        </w:div>
        <w:div w:id="477576497">
          <w:marLeft w:val="0"/>
          <w:marRight w:val="0"/>
          <w:marTop w:val="0"/>
          <w:marBottom w:val="0"/>
          <w:divBdr>
            <w:top w:val="none" w:sz="0" w:space="0" w:color="auto"/>
            <w:left w:val="none" w:sz="0" w:space="0" w:color="auto"/>
            <w:bottom w:val="none" w:sz="0" w:space="0" w:color="auto"/>
            <w:right w:val="none" w:sz="0" w:space="0" w:color="auto"/>
          </w:divBdr>
        </w:div>
        <w:div w:id="651372500">
          <w:marLeft w:val="0"/>
          <w:marRight w:val="0"/>
          <w:marTop w:val="0"/>
          <w:marBottom w:val="0"/>
          <w:divBdr>
            <w:top w:val="none" w:sz="0" w:space="0" w:color="auto"/>
            <w:left w:val="none" w:sz="0" w:space="0" w:color="auto"/>
            <w:bottom w:val="none" w:sz="0" w:space="0" w:color="auto"/>
            <w:right w:val="none" w:sz="0" w:space="0" w:color="auto"/>
          </w:divBdr>
        </w:div>
        <w:div w:id="1004015022">
          <w:marLeft w:val="0"/>
          <w:marRight w:val="0"/>
          <w:marTop w:val="0"/>
          <w:marBottom w:val="0"/>
          <w:divBdr>
            <w:top w:val="none" w:sz="0" w:space="0" w:color="auto"/>
            <w:left w:val="none" w:sz="0" w:space="0" w:color="auto"/>
            <w:bottom w:val="none" w:sz="0" w:space="0" w:color="auto"/>
            <w:right w:val="none" w:sz="0" w:space="0" w:color="auto"/>
          </w:divBdr>
        </w:div>
        <w:div w:id="1326057243">
          <w:marLeft w:val="0"/>
          <w:marRight w:val="0"/>
          <w:marTop w:val="0"/>
          <w:marBottom w:val="0"/>
          <w:divBdr>
            <w:top w:val="none" w:sz="0" w:space="0" w:color="auto"/>
            <w:left w:val="none" w:sz="0" w:space="0" w:color="auto"/>
            <w:bottom w:val="none" w:sz="0" w:space="0" w:color="auto"/>
            <w:right w:val="none" w:sz="0" w:space="0" w:color="auto"/>
          </w:divBdr>
        </w:div>
        <w:div w:id="1396733395">
          <w:marLeft w:val="0"/>
          <w:marRight w:val="0"/>
          <w:marTop w:val="0"/>
          <w:marBottom w:val="0"/>
          <w:divBdr>
            <w:top w:val="none" w:sz="0" w:space="0" w:color="auto"/>
            <w:left w:val="none" w:sz="0" w:space="0" w:color="auto"/>
            <w:bottom w:val="none" w:sz="0" w:space="0" w:color="auto"/>
            <w:right w:val="none" w:sz="0" w:space="0" w:color="auto"/>
          </w:divBdr>
        </w:div>
        <w:div w:id="1539777067">
          <w:marLeft w:val="0"/>
          <w:marRight w:val="0"/>
          <w:marTop w:val="0"/>
          <w:marBottom w:val="0"/>
          <w:divBdr>
            <w:top w:val="none" w:sz="0" w:space="0" w:color="auto"/>
            <w:left w:val="none" w:sz="0" w:space="0" w:color="auto"/>
            <w:bottom w:val="none" w:sz="0" w:space="0" w:color="auto"/>
            <w:right w:val="none" w:sz="0" w:space="0" w:color="auto"/>
          </w:divBdr>
        </w:div>
        <w:div w:id="1697845226">
          <w:marLeft w:val="0"/>
          <w:marRight w:val="0"/>
          <w:marTop w:val="0"/>
          <w:marBottom w:val="0"/>
          <w:divBdr>
            <w:top w:val="none" w:sz="0" w:space="0" w:color="auto"/>
            <w:left w:val="none" w:sz="0" w:space="0" w:color="auto"/>
            <w:bottom w:val="none" w:sz="0" w:space="0" w:color="auto"/>
            <w:right w:val="none" w:sz="0" w:space="0" w:color="auto"/>
          </w:divBdr>
        </w:div>
        <w:div w:id="1752964432">
          <w:marLeft w:val="0"/>
          <w:marRight w:val="0"/>
          <w:marTop w:val="0"/>
          <w:marBottom w:val="0"/>
          <w:divBdr>
            <w:top w:val="none" w:sz="0" w:space="0" w:color="auto"/>
            <w:left w:val="none" w:sz="0" w:space="0" w:color="auto"/>
            <w:bottom w:val="none" w:sz="0" w:space="0" w:color="auto"/>
            <w:right w:val="none" w:sz="0" w:space="0" w:color="auto"/>
          </w:divBdr>
        </w:div>
        <w:div w:id="1859154845">
          <w:marLeft w:val="0"/>
          <w:marRight w:val="0"/>
          <w:marTop w:val="0"/>
          <w:marBottom w:val="0"/>
          <w:divBdr>
            <w:top w:val="none" w:sz="0" w:space="0" w:color="auto"/>
            <w:left w:val="none" w:sz="0" w:space="0" w:color="auto"/>
            <w:bottom w:val="none" w:sz="0" w:space="0" w:color="auto"/>
            <w:right w:val="none" w:sz="0" w:space="0" w:color="auto"/>
          </w:divBdr>
        </w:div>
        <w:div w:id="1870413390">
          <w:marLeft w:val="0"/>
          <w:marRight w:val="0"/>
          <w:marTop w:val="0"/>
          <w:marBottom w:val="0"/>
          <w:divBdr>
            <w:top w:val="none" w:sz="0" w:space="0" w:color="auto"/>
            <w:left w:val="none" w:sz="0" w:space="0" w:color="auto"/>
            <w:bottom w:val="none" w:sz="0" w:space="0" w:color="auto"/>
            <w:right w:val="none" w:sz="0" w:space="0" w:color="auto"/>
          </w:divBdr>
        </w:div>
        <w:div w:id="1911036372">
          <w:marLeft w:val="0"/>
          <w:marRight w:val="0"/>
          <w:marTop w:val="0"/>
          <w:marBottom w:val="0"/>
          <w:divBdr>
            <w:top w:val="none" w:sz="0" w:space="0" w:color="auto"/>
            <w:left w:val="none" w:sz="0" w:space="0" w:color="auto"/>
            <w:bottom w:val="none" w:sz="0" w:space="0" w:color="auto"/>
            <w:right w:val="none" w:sz="0" w:space="0" w:color="auto"/>
          </w:divBdr>
        </w:div>
        <w:div w:id="1948999702">
          <w:marLeft w:val="0"/>
          <w:marRight w:val="0"/>
          <w:marTop w:val="0"/>
          <w:marBottom w:val="0"/>
          <w:divBdr>
            <w:top w:val="none" w:sz="0" w:space="0" w:color="auto"/>
            <w:left w:val="none" w:sz="0" w:space="0" w:color="auto"/>
            <w:bottom w:val="none" w:sz="0" w:space="0" w:color="auto"/>
            <w:right w:val="none" w:sz="0" w:space="0" w:color="auto"/>
          </w:divBdr>
        </w:div>
        <w:div w:id="1987657388">
          <w:marLeft w:val="0"/>
          <w:marRight w:val="0"/>
          <w:marTop w:val="0"/>
          <w:marBottom w:val="0"/>
          <w:divBdr>
            <w:top w:val="none" w:sz="0" w:space="0" w:color="auto"/>
            <w:left w:val="none" w:sz="0" w:space="0" w:color="auto"/>
            <w:bottom w:val="none" w:sz="0" w:space="0" w:color="auto"/>
            <w:right w:val="none" w:sz="0" w:space="0" w:color="auto"/>
          </w:divBdr>
        </w:div>
      </w:divsChild>
    </w:div>
    <w:div w:id="193153765">
      <w:bodyDiv w:val="1"/>
      <w:marLeft w:val="0"/>
      <w:marRight w:val="0"/>
      <w:marTop w:val="0"/>
      <w:marBottom w:val="0"/>
      <w:divBdr>
        <w:top w:val="none" w:sz="0" w:space="0" w:color="auto"/>
        <w:left w:val="none" w:sz="0" w:space="0" w:color="auto"/>
        <w:bottom w:val="none" w:sz="0" w:space="0" w:color="auto"/>
        <w:right w:val="none" w:sz="0" w:space="0" w:color="auto"/>
      </w:divBdr>
    </w:div>
    <w:div w:id="265698603">
      <w:bodyDiv w:val="1"/>
      <w:marLeft w:val="0"/>
      <w:marRight w:val="0"/>
      <w:marTop w:val="0"/>
      <w:marBottom w:val="0"/>
      <w:divBdr>
        <w:top w:val="none" w:sz="0" w:space="0" w:color="auto"/>
        <w:left w:val="none" w:sz="0" w:space="0" w:color="auto"/>
        <w:bottom w:val="none" w:sz="0" w:space="0" w:color="auto"/>
        <w:right w:val="none" w:sz="0" w:space="0" w:color="auto"/>
      </w:divBdr>
    </w:div>
    <w:div w:id="340282520">
      <w:bodyDiv w:val="1"/>
      <w:marLeft w:val="0"/>
      <w:marRight w:val="0"/>
      <w:marTop w:val="0"/>
      <w:marBottom w:val="0"/>
      <w:divBdr>
        <w:top w:val="none" w:sz="0" w:space="0" w:color="auto"/>
        <w:left w:val="none" w:sz="0" w:space="0" w:color="auto"/>
        <w:bottom w:val="none" w:sz="0" w:space="0" w:color="auto"/>
        <w:right w:val="none" w:sz="0" w:space="0" w:color="auto"/>
      </w:divBdr>
    </w:div>
    <w:div w:id="634409396">
      <w:bodyDiv w:val="1"/>
      <w:marLeft w:val="0"/>
      <w:marRight w:val="0"/>
      <w:marTop w:val="0"/>
      <w:marBottom w:val="0"/>
      <w:divBdr>
        <w:top w:val="none" w:sz="0" w:space="0" w:color="auto"/>
        <w:left w:val="none" w:sz="0" w:space="0" w:color="auto"/>
        <w:bottom w:val="none" w:sz="0" w:space="0" w:color="auto"/>
        <w:right w:val="none" w:sz="0" w:space="0" w:color="auto"/>
      </w:divBdr>
    </w:div>
    <w:div w:id="700665097">
      <w:bodyDiv w:val="1"/>
      <w:marLeft w:val="0"/>
      <w:marRight w:val="0"/>
      <w:marTop w:val="0"/>
      <w:marBottom w:val="0"/>
      <w:divBdr>
        <w:top w:val="none" w:sz="0" w:space="0" w:color="auto"/>
        <w:left w:val="none" w:sz="0" w:space="0" w:color="auto"/>
        <w:bottom w:val="none" w:sz="0" w:space="0" w:color="auto"/>
        <w:right w:val="none" w:sz="0" w:space="0" w:color="auto"/>
      </w:divBdr>
    </w:div>
    <w:div w:id="1601792937">
      <w:bodyDiv w:val="1"/>
      <w:marLeft w:val="0"/>
      <w:marRight w:val="0"/>
      <w:marTop w:val="0"/>
      <w:marBottom w:val="0"/>
      <w:divBdr>
        <w:top w:val="none" w:sz="0" w:space="0" w:color="auto"/>
        <w:left w:val="none" w:sz="0" w:space="0" w:color="auto"/>
        <w:bottom w:val="none" w:sz="0" w:space="0" w:color="auto"/>
        <w:right w:val="none" w:sz="0" w:space="0" w:color="auto"/>
      </w:divBdr>
    </w:div>
    <w:div w:id="1872302860">
      <w:bodyDiv w:val="1"/>
      <w:marLeft w:val="0"/>
      <w:marRight w:val="0"/>
      <w:marTop w:val="0"/>
      <w:marBottom w:val="0"/>
      <w:divBdr>
        <w:top w:val="none" w:sz="0" w:space="0" w:color="auto"/>
        <w:left w:val="none" w:sz="0" w:space="0" w:color="auto"/>
        <w:bottom w:val="none" w:sz="0" w:space="0" w:color="auto"/>
        <w:right w:val="none" w:sz="0" w:space="0" w:color="auto"/>
      </w:divBdr>
    </w:div>
    <w:div w:id="18745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8871-2EDB-425F-A5F3-6FC40BE58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48B60-C26C-4844-B74C-595AEC9F1B88}">
  <ds:schemaRefs>
    <ds:schemaRef ds:uri="http://schemas.microsoft.com/sharepoint/v3/contenttype/forms"/>
  </ds:schemaRefs>
</ds:datastoreItem>
</file>

<file path=customXml/itemProps3.xml><?xml version="1.0" encoding="utf-8"?>
<ds:datastoreItem xmlns:ds="http://schemas.openxmlformats.org/officeDocument/2006/customXml" ds:itemID="{12B6DA0D-0065-445A-8E91-396E3E0C0B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3E399-B31E-4C20-9253-924F5D5C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7556</Words>
  <Characters>41559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equipo</dc:creator>
  <cp:keywords/>
  <cp:lastModifiedBy>ALONSO</cp:lastModifiedBy>
  <cp:revision>7</cp:revision>
  <cp:lastPrinted>2013-12-11T00:43:00Z</cp:lastPrinted>
  <dcterms:created xsi:type="dcterms:W3CDTF">2020-10-27T11:39:00Z</dcterms:created>
  <dcterms:modified xsi:type="dcterms:W3CDTF">2020-11-23T14:37:00Z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