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15C32" w14:textId="77777777" w:rsidR="00360B83" w:rsidRPr="00360B83" w:rsidRDefault="00360B83" w:rsidP="00360B8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360B8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1AE340" w14:textId="77777777" w:rsidR="00360B83" w:rsidRPr="00360B83" w:rsidRDefault="00360B83" w:rsidP="00360B83">
      <w:pPr>
        <w:jc w:val="both"/>
        <w:rPr>
          <w:rFonts w:ascii="Arial" w:hAnsi="Arial" w:cs="Arial"/>
          <w:lang w:val="es-419"/>
        </w:rPr>
      </w:pPr>
    </w:p>
    <w:p w14:paraId="71F14324" w14:textId="6F6F9256" w:rsidR="00360B83" w:rsidRPr="00360B83" w:rsidRDefault="00360B83" w:rsidP="00360B83">
      <w:pPr>
        <w:jc w:val="both"/>
        <w:rPr>
          <w:rFonts w:ascii="Arial" w:hAnsi="Arial" w:cs="Arial"/>
          <w:lang w:val="es-419"/>
        </w:rPr>
      </w:pPr>
      <w:r w:rsidRPr="00360B83">
        <w:rPr>
          <w:rFonts w:ascii="Arial" w:hAnsi="Arial" w:cs="Arial"/>
          <w:lang w:val="es-419"/>
        </w:rPr>
        <w:t>Asunto</w:t>
      </w:r>
      <w:r w:rsidRPr="00360B83">
        <w:rPr>
          <w:rFonts w:ascii="Arial" w:hAnsi="Arial" w:cs="Arial"/>
          <w:lang w:val="es-419"/>
        </w:rPr>
        <w:tab/>
      </w:r>
      <w:r w:rsidRPr="00360B83">
        <w:rPr>
          <w:rFonts w:ascii="Arial" w:hAnsi="Arial" w:cs="Arial"/>
          <w:lang w:val="es-419"/>
        </w:rPr>
        <w:tab/>
      </w:r>
      <w:r>
        <w:rPr>
          <w:rFonts w:ascii="Arial" w:hAnsi="Arial" w:cs="Arial"/>
          <w:lang w:val="es-419"/>
        </w:rPr>
        <w:tab/>
      </w:r>
      <w:r w:rsidRPr="00360B83">
        <w:rPr>
          <w:rFonts w:ascii="Arial" w:hAnsi="Arial" w:cs="Arial"/>
          <w:lang w:val="es-419"/>
        </w:rPr>
        <w:t>: Decid</w:t>
      </w:r>
      <w:r>
        <w:rPr>
          <w:rFonts w:ascii="Arial" w:hAnsi="Arial" w:cs="Arial"/>
          <w:lang w:val="es-419"/>
        </w:rPr>
        <w:t>e reposición</w:t>
      </w:r>
    </w:p>
    <w:p w14:paraId="4FA9AAE5" w14:textId="21D428BF" w:rsidR="00360B83" w:rsidRPr="00360B83" w:rsidRDefault="00360B83" w:rsidP="00360B83">
      <w:pPr>
        <w:jc w:val="both"/>
        <w:rPr>
          <w:rFonts w:ascii="Arial" w:hAnsi="Arial" w:cs="Arial"/>
          <w:lang w:val="es-419"/>
        </w:rPr>
      </w:pPr>
      <w:r w:rsidRPr="00360B83">
        <w:rPr>
          <w:rFonts w:ascii="Arial" w:hAnsi="Arial" w:cs="Arial"/>
          <w:lang w:val="es-419"/>
        </w:rPr>
        <w:t>Tipo de proceso</w:t>
      </w:r>
      <w:r w:rsidRPr="00360B83">
        <w:rPr>
          <w:rFonts w:ascii="Arial" w:hAnsi="Arial" w:cs="Arial"/>
          <w:lang w:val="es-419"/>
        </w:rPr>
        <w:tab/>
        <w:t>: Ordinario – Responsabilidad médica</w:t>
      </w:r>
    </w:p>
    <w:p w14:paraId="3B0E05E8" w14:textId="55FE508B" w:rsidR="00360B83" w:rsidRPr="00360B83" w:rsidRDefault="00360B83" w:rsidP="00360B83">
      <w:pPr>
        <w:jc w:val="both"/>
        <w:rPr>
          <w:rFonts w:ascii="Arial" w:hAnsi="Arial" w:cs="Arial"/>
          <w:lang w:val="es-419"/>
        </w:rPr>
      </w:pPr>
      <w:r w:rsidRPr="00360B83">
        <w:rPr>
          <w:rFonts w:ascii="Arial" w:hAnsi="Arial" w:cs="Arial"/>
          <w:lang w:val="es-419"/>
        </w:rPr>
        <w:t xml:space="preserve">Demandantes </w:t>
      </w:r>
      <w:r>
        <w:rPr>
          <w:rFonts w:ascii="Arial" w:hAnsi="Arial" w:cs="Arial"/>
          <w:lang w:val="es-419"/>
        </w:rPr>
        <w:tab/>
      </w:r>
      <w:r w:rsidRPr="00360B83">
        <w:rPr>
          <w:rFonts w:ascii="Arial" w:hAnsi="Arial" w:cs="Arial"/>
          <w:lang w:val="es-419"/>
        </w:rPr>
        <w:tab/>
        <w:t>: Carlos Tulio Aponte Mayor y otros</w:t>
      </w:r>
    </w:p>
    <w:p w14:paraId="240572A5" w14:textId="6F64B2B1" w:rsidR="00360B83" w:rsidRPr="00360B83" w:rsidRDefault="00360B83" w:rsidP="00360B83">
      <w:pPr>
        <w:jc w:val="both"/>
        <w:rPr>
          <w:rFonts w:ascii="Arial" w:hAnsi="Arial" w:cs="Arial"/>
          <w:lang w:val="es-419"/>
        </w:rPr>
      </w:pPr>
      <w:r>
        <w:rPr>
          <w:rFonts w:ascii="Arial" w:hAnsi="Arial" w:cs="Arial"/>
          <w:lang w:val="es-419"/>
        </w:rPr>
        <w:t>Demandados</w:t>
      </w:r>
      <w:r>
        <w:rPr>
          <w:rFonts w:ascii="Arial" w:hAnsi="Arial" w:cs="Arial"/>
          <w:lang w:val="es-419"/>
        </w:rPr>
        <w:tab/>
      </w:r>
      <w:r w:rsidRPr="00360B83">
        <w:rPr>
          <w:rFonts w:ascii="Arial" w:hAnsi="Arial" w:cs="Arial"/>
          <w:lang w:val="es-419"/>
        </w:rPr>
        <w:tab/>
        <w:t>: Coomeva EPS y otros</w:t>
      </w:r>
    </w:p>
    <w:p w14:paraId="000BE3DC" w14:textId="77777777" w:rsidR="00360B83" w:rsidRPr="00360B83" w:rsidRDefault="00360B83" w:rsidP="00360B83">
      <w:pPr>
        <w:jc w:val="both"/>
        <w:rPr>
          <w:rFonts w:ascii="Arial" w:hAnsi="Arial" w:cs="Arial"/>
          <w:lang w:val="es-419"/>
        </w:rPr>
      </w:pPr>
      <w:r w:rsidRPr="00360B83">
        <w:rPr>
          <w:rFonts w:ascii="Arial" w:hAnsi="Arial" w:cs="Arial"/>
          <w:lang w:val="es-419"/>
        </w:rPr>
        <w:t xml:space="preserve">Procedencia </w:t>
      </w:r>
      <w:r w:rsidRPr="00360B83">
        <w:rPr>
          <w:rFonts w:ascii="Arial" w:hAnsi="Arial" w:cs="Arial"/>
          <w:lang w:val="es-419"/>
        </w:rPr>
        <w:tab/>
      </w:r>
      <w:r w:rsidRPr="00360B83">
        <w:rPr>
          <w:rFonts w:ascii="Arial" w:hAnsi="Arial" w:cs="Arial"/>
          <w:lang w:val="es-419"/>
        </w:rPr>
        <w:tab/>
        <w:t>: Promiscuo del Circuito de Quinchía, R.</w:t>
      </w:r>
    </w:p>
    <w:p w14:paraId="63312013" w14:textId="52D1624A" w:rsidR="00360B83" w:rsidRPr="00360B83" w:rsidRDefault="00360B83" w:rsidP="00360B83">
      <w:pPr>
        <w:jc w:val="both"/>
        <w:rPr>
          <w:rFonts w:ascii="Arial" w:hAnsi="Arial" w:cs="Arial"/>
          <w:lang w:val="es-419"/>
        </w:rPr>
      </w:pPr>
      <w:r w:rsidRPr="00360B83">
        <w:rPr>
          <w:rFonts w:ascii="Arial" w:hAnsi="Arial" w:cs="Arial"/>
          <w:lang w:val="es-419"/>
        </w:rPr>
        <w:t>Radicación</w:t>
      </w:r>
      <w:r w:rsidRPr="00360B83">
        <w:rPr>
          <w:rFonts w:ascii="Arial" w:hAnsi="Arial" w:cs="Arial"/>
          <w:lang w:val="es-419"/>
        </w:rPr>
        <w:tab/>
      </w:r>
      <w:r w:rsidRPr="00360B83">
        <w:rPr>
          <w:rFonts w:ascii="Arial" w:hAnsi="Arial" w:cs="Arial"/>
          <w:lang w:val="es-419"/>
        </w:rPr>
        <w:tab/>
        <w:t>: 66001-31-03-004-2012-00290-01</w:t>
      </w:r>
    </w:p>
    <w:p w14:paraId="058CD61C" w14:textId="45B4A10D" w:rsidR="00360B83" w:rsidRPr="00360B83" w:rsidRDefault="00360B83" w:rsidP="00360B83">
      <w:pPr>
        <w:jc w:val="both"/>
        <w:rPr>
          <w:rFonts w:ascii="Arial" w:hAnsi="Arial" w:cs="Arial"/>
          <w:lang w:val="es-419"/>
        </w:rPr>
      </w:pPr>
      <w:r w:rsidRPr="00360B83">
        <w:rPr>
          <w:rFonts w:ascii="Arial" w:hAnsi="Arial" w:cs="Arial"/>
          <w:lang w:val="es-419"/>
        </w:rPr>
        <w:t>Mag. Sustanciador</w:t>
      </w:r>
      <w:r w:rsidRPr="00360B83">
        <w:rPr>
          <w:rFonts w:ascii="Arial" w:hAnsi="Arial" w:cs="Arial"/>
          <w:lang w:val="es-419"/>
        </w:rPr>
        <w:tab/>
        <w:t>: DUBERNEY GRISALES HERRERA</w:t>
      </w:r>
    </w:p>
    <w:p w14:paraId="06FEAB12" w14:textId="77777777" w:rsidR="00360B83" w:rsidRPr="00360B83" w:rsidRDefault="00360B83" w:rsidP="00360B83">
      <w:pPr>
        <w:jc w:val="both"/>
        <w:rPr>
          <w:rFonts w:ascii="Arial" w:hAnsi="Arial" w:cs="Arial"/>
          <w:lang w:val="es-419"/>
        </w:rPr>
      </w:pPr>
    </w:p>
    <w:p w14:paraId="72F57C2C" w14:textId="56CC05A4" w:rsidR="00360B83" w:rsidRPr="00360B83" w:rsidRDefault="00FE0DE7" w:rsidP="00360B83">
      <w:pPr>
        <w:jc w:val="both"/>
        <w:rPr>
          <w:rFonts w:ascii="Arial" w:hAnsi="Arial" w:cs="Arial"/>
          <w:b/>
          <w:bCs/>
          <w:iCs/>
          <w:lang w:val="es-419" w:eastAsia="fr-FR"/>
        </w:rPr>
      </w:pPr>
      <w:r w:rsidRPr="00360B83">
        <w:rPr>
          <w:rFonts w:ascii="Arial" w:hAnsi="Arial" w:cs="Arial"/>
          <w:b/>
          <w:bCs/>
          <w:iCs/>
          <w:u w:val="single"/>
          <w:lang w:val="es-419" w:eastAsia="fr-FR"/>
        </w:rPr>
        <w:t>TEMAS:</w:t>
      </w:r>
      <w:r w:rsidRPr="00360B83">
        <w:rPr>
          <w:rFonts w:ascii="Arial" w:hAnsi="Arial" w:cs="Arial"/>
          <w:b/>
          <w:bCs/>
          <w:iCs/>
          <w:lang w:val="es-419" w:eastAsia="fr-FR"/>
        </w:rPr>
        <w:tab/>
      </w:r>
      <w:r w:rsidR="00954387">
        <w:rPr>
          <w:rFonts w:ascii="Arial" w:hAnsi="Arial" w:cs="Arial"/>
          <w:b/>
          <w:bCs/>
          <w:iCs/>
          <w:lang w:val="es-419" w:eastAsia="fr-FR"/>
        </w:rPr>
        <w:t xml:space="preserve">RECURSO DE APELACIÓN / PRESUPUESTOS DE VIABILIDAD / LEGITIMACIÓN, OPORTUNIDAD, PROCEDENCIA Y </w:t>
      </w:r>
      <w:r w:rsidRPr="00FE0DE7">
        <w:rPr>
          <w:rFonts w:ascii="Arial" w:hAnsi="Arial" w:cs="Arial"/>
          <w:b/>
          <w:lang w:val="es-419"/>
        </w:rPr>
        <w:t xml:space="preserve">SUSTENTACIÓN </w:t>
      </w:r>
      <w:r w:rsidR="00954387">
        <w:rPr>
          <w:rFonts w:ascii="Arial" w:hAnsi="Arial" w:cs="Arial"/>
          <w:b/>
          <w:lang w:val="es-419"/>
        </w:rPr>
        <w:t xml:space="preserve">/ </w:t>
      </w:r>
      <w:r w:rsidR="00A30781">
        <w:rPr>
          <w:rFonts w:ascii="Arial" w:hAnsi="Arial" w:cs="Arial"/>
          <w:b/>
          <w:lang w:val="es-419"/>
        </w:rPr>
        <w:t xml:space="preserve">CARACTERÍSTICAS </w:t>
      </w:r>
      <w:r w:rsidR="00954387">
        <w:rPr>
          <w:rFonts w:ascii="Arial" w:hAnsi="Arial" w:cs="Arial"/>
          <w:b/>
          <w:lang w:val="es-419"/>
        </w:rPr>
        <w:t>Y OPORTUNIDADES PARA SUSTENTAR / EFECTOS / CUANDO NO SE HACE ANTE EL JUEZ DE SEGUNDA INSTANCIA ES LA DESERCIÓN Y NO LA INADMISIBILIDAD.</w:t>
      </w:r>
      <w:r w:rsidR="00360B83" w:rsidRPr="00360B83">
        <w:rPr>
          <w:rFonts w:ascii="Arial" w:hAnsi="Arial" w:cs="Arial"/>
          <w:b/>
          <w:bCs/>
          <w:iCs/>
          <w:lang w:val="es-419" w:eastAsia="fr-FR"/>
        </w:rPr>
        <w:t xml:space="preserve"> </w:t>
      </w:r>
    </w:p>
    <w:p w14:paraId="4EA98B63" w14:textId="77777777" w:rsidR="00360B83" w:rsidRPr="00360B83" w:rsidRDefault="00360B83" w:rsidP="00360B83">
      <w:pPr>
        <w:jc w:val="both"/>
        <w:rPr>
          <w:rFonts w:ascii="Arial" w:hAnsi="Arial" w:cs="Arial"/>
          <w:lang w:val="es-419"/>
        </w:rPr>
      </w:pPr>
    </w:p>
    <w:p w14:paraId="595521EA" w14:textId="17E8B47D" w:rsidR="00360B83" w:rsidRPr="00360B83" w:rsidRDefault="00FE0DE7" w:rsidP="00360B83">
      <w:pPr>
        <w:jc w:val="both"/>
        <w:rPr>
          <w:rFonts w:ascii="Arial" w:hAnsi="Arial" w:cs="Arial"/>
          <w:lang w:val="es-419"/>
        </w:rPr>
      </w:pPr>
      <w:r w:rsidRPr="00FE0DE7">
        <w:rPr>
          <w:rFonts w:ascii="Arial" w:hAnsi="Arial" w:cs="Arial"/>
          <w:lang w:val="es-419"/>
        </w:rPr>
        <w:t>Desde la óptica procesal, en presencia de los recursos, deben siempre concurrir los llamados presupuestos de viabilidad, trámite, o condiciones para tener la posibilidad de recurrir</w:t>
      </w:r>
      <w:r>
        <w:rPr>
          <w:rFonts w:ascii="Arial" w:hAnsi="Arial" w:cs="Arial"/>
          <w:lang w:val="es-419"/>
        </w:rPr>
        <w:t>…</w:t>
      </w:r>
    </w:p>
    <w:p w14:paraId="3202FCC1" w14:textId="77777777" w:rsidR="00360B83" w:rsidRPr="00360B83" w:rsidRDefault="00360B83" w:rsidP="00360B83">
      <w:pPr>
        <w:jc w:val="both"/>
        <w:rPr>
          <w:rFonts w:ascii="Arial" w:hAnsi="Arial" w:cs="Arial"/>
          <w:lang w:val="es-419"/>
        </w:rPr>
      </w:pPr>
    </w:p>
    <w:p w14:paraId="37A73D6C" w14:textId="170E39B7" w:rsidR="00360B83" w:rsidRDefault="00FE0DE7" w:rsidP="00360B83">
      <w:pPr>
        <w:jc w:val="both"/>
        <w:rPr>
          <w:rFonts w:ascii="Arial" w:hAnsi="Arial" w:cs="Arial"/>
          <w:lang w:val="es-419"/>
        </w:rPr>
      </w:pPr>
      <w:r w:rsidRPr="00FE0DE7">
        <w:rPr>
          <w:rFonts w:ascii="Arial" w:hAnsi="Arial" w:cs="Arial"/>
          <w:lang w:val="es-419"/>
        </w:rPr>
        <w:t>Ellos son (i) legitimación o interés, (ii) oportunidad, (iii) procedencia y (iv) cargas procesales (Sustentación, expedición de copias, etc.), los tres primeros generan la inadmisibilidad del recurso mientras que el cuarto provoca su deserción, tal como anota la doctrina patria. Los mencionados requisitos son concurrentes y necesarios, ausente uno se malogra el estudio de la impugnación.</w:t>
      </w:r>
      <w:r>
        <w:rPr>
          <w:rFonts w:ascii="Arial" w:hAnsi="Arial" w:cs="Arial"/>
          <w:lang w:val="es-419"/>
        </w:rPr>
        <w:t xml:space="preserve"> (…)</w:t>
      </w:r>
    </w:p>
    <w:p w14:paraId="02110C38" w14:textId="77777777" w:rsidR="00FE0DE7" w:rsidRDefault="00FE0DE7" w:rsidP="00360B83">
      <w:pPr>
        <w:jc w:val="both"/>
        <w:rPr>
          <w:rFonts w:ascii="Arial" w:hAnsi="Arial" w:cs="Arial"/>
          <w:lang w:val="es-419"/>
        </w:rPr>
      </w:pPr>
    </w:p>
    <w:p w14:paraId="630E71B8" w14:textId="5CCAFCEF" w:rsidR="00FE0DE7" w:rsidRPr="00360B83" w:rsidRDefault="00FE0DE7" w:rsidP="00FE0DE7">
      <w:pPr>
        <w:jc w:val="both"/>
        <w:rPr>
          <w:rFonts w:ascii="Arial" w:hAnsi="Arial" w:cs="Arial"/>
          <w:lang w:val="es-419"/>
        </w:rPr>
      </w:pPr>
      <w:r w:rsidRPr="00FE0DE7">
        <w:rPr>
          <w:rFonts w:ascii="Arial" w:hAnsi="Arial" w:cs="Arial"/>
          <w:lang w:val="es-419"/>
        </w:rPr>
        <w:t>La sustentación del recurso</w:t>
      </w:r>
      <w:r>
        <w:rPr>
          <w:rFonts w:ascii="Arial" w:hAnsi="Arial" w:cs="Arial"/>
          <w:lang w:val="es-419"/>
        </w:rPr>
        <w:t xml:space="preserve">.  </w:t>
      </w:r>
      <w:r w:rsidRPr="00FE0DE7">
        <w:rPr>
          <w:rFonts w:ascii="Arial" w:hAnsi="Arial" w:cs="Arial"/>
          <w:lang w:val="es-419"/>
        </w:rPr>
        <w:t>Se entiende como la exposición de las razones y fundamentos al Juez, de por qué la “(…) providencia está errada, con el fin de que proceda a modificarla o revocarla, por cuanto es evidente que si el juez no tiene esa base, no le es dable entrar a resolver (…)”</w:t>
      </w:r>
      <w:r>
        <w:rPr>
          <w:rFonts w:ascii="Arial" w:hAnsi="Arial" w:cs="Arial"/>
          <w:lang w:val="es-419"/>
        </w:rPr>
        <w:t>.</w:t>
      </w:r>
    </w:p>
    <w:p w14:paraId="25EC32C0" w14:textId="77777777" w:rsidR="00360B83" w:rsidRPr="00360B83" w:rsidRDefault="00360B83" w:rsidP="00360B83">
      <w:pPr>
        <w:jc w:val="both"/>
        <w:rPr>
          <w:rFonts w:ascii="Arial" w:hAnsi="Arial" w:cs="Arial"/>
        </w:rPr>
      </w:pPr>
    </w:p>
    <w:p w14:paraId="7163B368" w14:textId="083E4259" w:rsidR="00360B83" w:rsidRDefault="00FE0DE7" w:rsidP="00360B83">
      <w:pPr>
        <w:jc w:val="both"/>
        <w:rPr>
          <w:rFonts w:ascii="Arial" w:hAnsi="Arial" w:cs="Arial"/>
        </w:rPr>
      </w:pPr>
      <w:r w:rsidRPr="00FE0DE7">
        <w:rPr>
          <w:rFonts w:ascii="Arial" w:hAnsi="Arial" w:cs="Arial"/>
        </w:rPr>
        <w:t>El presupuesto de que se viene hablando, en vigencia del CGP, esta estatuido en el artículo 322 que consagra: “(…) Cuando 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 (…)”.</w:t>
      </w:r>
    </w:p>
    <w:p w14:paraId="79F905F2" w14:textId="77777777" w:rsidR="00FE0DE7" w:rsidRDefault="00FE0DE7" w:rsidP="00360B83">
      <w:pPr>
        <w:jc w:val="both"/>
        <w:rPr>
          <w:rFonts w:ascii="Arial" w:hAnsi="Arial" w:cs="Arial"/>
        </w:rPr>
      </w:pPr>
    </w:p>
    <w:p w14:paraId="61661B69" w14:textId="237254C9" w:rsidR="00FE0DE7" w:rsidRDefault="00FE0DE7" w:rsidP="00360B83">
      <w:pPr>
        <w:jc w:val="both"/>
        <w:rPr>
          <w:rFonts w:ascii="Arial" w:hAnsi="Arial" w:cs="Arial"/>
        </w:rPr>
      </w:pPr>
      <w:r>
        <w:rPr>
          <w:rFonts w:ascii="Arial" w:hAnsi="Arial" w:cs="Arial"/>
        </w:rPr>
        <w:t xml:space="preserve">… </w:t>
      </w:r>
      <w:r w:rsidRPr="00FE0DE7">
        <w:rPr>
          <w:rFonts w:ascii="Arial" w:hAnsi="Arial" w:cs="Arial"/>
        </w:rPr>
        <w:t>fácil se concluye que ese estatuto procesal consagró una nueva forma de sustentar el recurso porque hay dos estadios diferenciados para ese efecto</w:t>
      </w:r>
      <w:r>
        <w:rPr>
          <w:rFonts w:ascii="Arial" w:hAnsi="Arial" w:cs="Arial"/>
        </w:rPr>
        <w:t>…</w:t>
      </w:r>
      <w:r w:rsidRPr="00FE0DE7">
        <w:rPr>
          <w:rFonts w:ascii="Arial" w:hAnsi="Arial" w:cs="Arial"/>
        </w:rPr>
        <w:t>, el primero ante el juez de primer g</w:t>
      </w:r>
      <w:r>
        <w:rPr>
          <w:rFonts w:ascii="Arial" w:hAnsi="Arial" w:cs="Arial"/>
        </w:rPr>
        <w:t>rado</w:t>
      </w:r>
      <w:r w:rsidRPr="00FE0DE7">
        <w:rPr>
          <w:rFonts w:ascii="Arial" w:hAnsi="Arial" w:cs="Arial"/>
        </w:rPr>
        <w:t>; y, el segundo ante el superior, dentro de la audiencia que se programe para sustentar</w:t>
      </w:r>
      <w:r>
        <w:rPr>
          <w:rFonts w:ascii="Arial" w:hAnsi="Arial" w:cs="Arial"/>
        </w:rPr>
        <w:t>…</w:t>
      </w:r>
    </w:p>
    <w:p w14:paraId="253666C9" w14:textId="77777777" w:rsidR="00FE0DE7" w:rsidRDefault="00FE0DE7" w:rsidP="00360B83">
      <w:pPr>
        <w:jc w:val="both"/>
        <w:rPr>
          <w:rFonts w:ascii="Arial" w:hAnsi="Arial" w:cs="Arial"/>
        </w:rPr>
      </w:pPr>
    </w:p>
    <w:p w14:paraId="2C728BD2" w14:textId="4A76AF50" w:rsidR="00FE0DE7" w:rsidRDefault="00FE0DE7" w:rsidP="00360B83">
      <w:pPr>
        <w:jc w:val="both"/>
        <w:rPr>
          <w:rFonts w:ascii="Arial" w:hAnsi="Arial" w:cs="Arial"/>
        </w:rPr>
      </w:pPr>
      <w:r w:rsidRPr="00FE0DE7">
        <w:rPr>
          <w:rFonts w:ascii="Arial" w:hAnsi="Arial" w:cs="Arial"/>
        </w:rPr>
        <w:t>Este discernimiento es compartido por la Sala Civil de la CSJ, que es el órgano de cierre de la especialidad, quien en sinnúmero de sentencias de tutela (Criterio auxiliar), ha insistido en la existencia de esas dos fases para la sustentación del recurso de apelación y que, incumplida la segunda, esto es, la exposición ante el superior, sin lugar a duda se impone la declaratoria de deserción</w:t>
      </w:r>
      <w:r>
        <w:rPr>
          <w:rFonts w:ascii="Arial" w:hAnsi="Arial" w:cs="Arial"/>
        </w:rPr>
        <w:t>.</w:t>
      </w:r>
    </w:p>
    <w:p w14:paraId="416ACA9C" w14:textId="77777777" w:rsidR="00FE0DE7" w:rsidRDefault="00FE0DE7" w:rsidP="00360B83">
      <w:pPr>
        <w:jc w:val="both"/>
        <w:rPr>
          <w:rFonts w:ascii="Arial" w:hAnsi="Arial" w:cs="Arial"/>
        </w:rPr>
      </w:pPr>
    </w:p>
    <w:p w14:paraId="38EB9BEA" w14:textId="77777777" w:rsidR="00FE0DE7" w:rsidRPr="00360B83" w:rsidRDefault="00FE0DE7" w:rsidP="00360B83">
      <w:pPr>
        <w:jc w:val="both"/>
        <w:rPr>
          <w:rFonts w:ascii="Arial" w:hAnsi="Arial" w:cs="Arial"/>
        </w:rPr>
      </w:pPr>
    </w:p>
    <w:p w14:paraId="18E69DCF" w14:textId="77777777" w:rsidR="00360B83" w:rsidRPr="00360B83" w:rsidRDefault="00360B83" w:rsidP="00360B83">
      <w:pPr>
        <w:jc w:val="both"/>
        <w:rPr>
          <w:rFonts w:ascii="Arial" w:hAnsi="Arial" w:cs="Arial"/>
        </w:rPr>
      </w:pPr>
    </w:p>
    <w:p w14:paraId="7C2ABFD6" w14:textId="77777777" w:rsidR="006C6544" w:rsidRPr="00360B83" w:rsidRDefault="006C6544" w:rsidP="006C6544">
      <w:pPr>
        <w:pStyle w:val="Encabezado"/>
        <w:widowControl w:val="0"/>
        <w:autoSpaceDE w:val="0"/>
        <w:autoSpaceDN w:val="0"/>
        <w:adjustRightInd w:val="0"/>
        <w:ind w:right="360"/>
        <w:jc w:val="center"/>
        <w:rPr>
          <w:rFonts w:ascii="Georgia" w:hAnsi="Georgia" w:cs="Calibri"/>
          <w:i/>
          <w:lang w:val="es-CO"/>
        </w:rPr>
      </w:pPr>
      <w:r w:rsidRPr="00360B83">
        <w:rPr>
          <w:noProof/>
        </w:rPr>
        <w:drawing>
          <wp:inline distT="0" distB="0" distL="0" distR="0" wp14:anchorId="7C2AC02F" wp14:editId="62B21804">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79019380" w14:textId="77777777" w:rsidR="00252760" w:rsidRPr="00360B83" w:rsidRDefault="00252760" w:rsidP="00252760">
      <w:pPr>
        <w:pStyle w:val="Sinespaciado"/>
        <w:spacing w:line="360" w:lineRule="auto"/>
        <w:jc w:val="center"/>
        <w:rPr>
          <w:rFonts w:ascii="Georgia" w:hAnsi="Georgia" w:cs="Arial"/>
          <w:b/>
          <w:w w:val="140"/>
          <w:sz w:val="14"/>
          <w:szCs w:val="14"/>
        </w:rPr>
      </w:pPr>
      <w:r w:rsidRPr="00360B83">
        <w:rPr>
          <w:rFonts w:ascii="Georgia" w:hAnsi="Georgia" w:cs="Arial"/>
          <w:b/>
          <w:w w:val="140"/>
          <w:sz w:val="14"/>
          <w:szCs w:val="14"/>
        </w:rPr>
        <w:t>REPUBLICA DE COLOMBIA</w:t>
      </w:r>
    </w:p>
    <w:p w14:paraId="4C84A091" w14:textId="77777777" w:rsidR="00252760" w:rsidRPr="00360B83" w:rsidRDefault="00252760" w:rsidP="00252760">
      <w:pPr>
        <w:pStyle w:val="Sinespaciado"/>
        <w:tabs>
          <w:tab w:val="center" w:pos="4987"/>
          <w:tab w:val="left" w:pos="8449"/>
        </w:tabs>
        <w:spacing w:line="360" w:lineRule="auto"/>
        <w:jc w:val="center"/>
        <w:rPr>
          <w:rFonts w:ascii="Georgia" w:hAnsi="Georgia" w:cs="Arial"/>
          <w:b/>
          <w:w w:val="140"/>
        </w:rPr>
      </w:pPr>
      <w:r w:rsidRPr="00360B83">
        <w:rPr>
          <w:rFonts w:ascii="Georgia" w:hAnsi="Georgia" w:cs="Arial"/>
          <w:b/>
          <w:w w:val="140"/>
          <w:sz w:val="14"/>
          <w:szCs w:val="14"/>
        </w:rPr>
        <w:t>RAMA JUDICIAL DEL PODER PÚBLICO</w:t>
      </w:r>
    </w:p>
    <w:p w14:paraId="1710B950" w14:textId="77777777" w:rsidR="00252760" w:rsidRPr="00360B83" w:rsidRDefault="00252760" w:rsidP="00252760">
      <w:pPr>
        <w:pStyle w:val="Sinespaciado"/>
        <w:spacing w:line="360" w:lineRule="auto"/>
        <w:jc w:val="center"/>
        <w:rPr>
          <w:rFonts w:ascii="Georgia" w:hAnsi="Georgia" w:cs="Arial"/>
          <w:b/>
          <w:bCs/>
          <w:w w:val="140"/>
          <w:sz w:val="16"/>
          <w:szCs w:val="16"/>
        </w:rPr>
      </w:pPr>
      <w:r w:rsidRPr="00360B83">
        <w:rPr>
          <w:rFonts w:ascii="Georgia" w:hAnsi="Georgia" w:cs="Arial"/>
          <w:b/>
          <w:bCs/>
          <w:w w:val="140"/>
          <w:sz w:val="18"/>
          <w:szCs w:val="18"/>
        </w:rPr>
        <w:t>T</w:t>
      </w:r>
      <w:r w:rsidRPr="00360B83">
        <w:rPr>
          <w:rFonts w:ascii="Georgia" w:hAnsi="Georgia" w:cs="Arial"/>
          <w:b/>
          <w:bCs/>
          <w:w w:val="140"/>
          <w:sz w:val="16"/>
          <w:szCs w:val="16"/>
        </w:rPr>
        <w:t>RIBUNAL</w:t>
      </w:r>
      <w:r w:rsidRPr="00360B83">
        <w:rPr>
          <w:rFonts w:ascii="Georgia" w:hAnsi="Georgia" w:cs="Arial"/>
          <w:b/>
          <w:bCs/>
          <w:w w:val="140"/>
          <w:sz w:val="18"/>
          <w:szCs w:val="18"/>
        </w:rPr>
        <w:t xml:space="preserve"> S</w:t>
      </w:r>
      <w:r w:rsidRPr="00360B83">
        <w:rPr>
          <w:rFonts w:ascii="Georgia" w:hAnsi="Georgia" w:cs="Arial"/>
          <w:b/>
          <w:bCs/>
          <w:w w:val="140"/>
          <w:sz w:val="16"/>
          <w:szCs w:val="16"/>
        </w:rPr>
        <w:t xml:space="preserve">UPERIOR DEL </w:t>
      </w:r>
      <w:r w:rsidRPr="00360B83">
        <w:rPr>
          <w:rFonts w:ascii="Georgia" w:hAnsi="Georgia" w:cs="Arial"/>
          <w:b/>
          <w:bCs/>
          <w:w w:val="140"/>
          <w:sz w:val="18"/>
          <w:szCs w:val="18"/>
        </w:rPr>
        <w:t>D</w:t>
      </w:r>
      <w:r w:rsidRPr="00360B83">
        <w:rPr>
          <w:rFonts w:ascii="Georgia" w:hAnsi="Georgia" w:cs="Arial"/>
          <w:b/>
          <w:bCs/>
          <w:w w:val="140"/>
          <w:sz w:val="16"/>
          <w:szCs w:val="16"/>
        </w:rPr>
        <w:t>ISTRITO</w:t>
      </w:r>
      <w:r w:rsidRPr="00360B83">
        <w:rPr>
          <w:rFonts w:ascii="Georgia" w:hAnsi="Georgia" w:cs="Arial"/>
          <w:b/>
          <w:bCs/>
          <w:w w:val="140"/>
          <w:sz w:val="18"/>
          <w:szCs w:val="18"/>
        </w:rPr>
        <w:t xml:space="preserve"> J</w:t>
      </w:r>
      <w:r w:rsidRPr="00360B83">
        <w:rPr>
          <w:rFonts w:ascii="Georgia" w:hAnsi="Georgia" w:cs="Arial"/>
          <w:b/>
          <w:bCs/>
          <w:w w:val="140"/>
          <w:sz w:val="16"/>
          <w:szCs w:val="16"/>
        </w:rPr>
        <w:t xml:space="preserve">UDICIAL </w:t>
      </w:r>
    </w:p>
    <w:p w14:paraId="77A1F558" w14:textId="77777777" w:rsidR="00252760" w:rsidRPr="00360B83" w:rsidRDefault="00252760" w:rsidP="00252760">
      <w:pPr>
        <w:pStyle w:val="Sinespaciado"/>
        <w:spacing w:line="360" w:lineRule="auto"/>
        <w:jc w:val="center"/>
        <w:rPr>
          <w:rFonts w:ascii="Georgia" w:hAnsi="Georgia" w:cs="Arial"/>
          <w:b/>
          <w:w w:val="140"/>
          <w:sz w:val="16"/>
          <w:szCs w:val="16"/>
        </w:rPr>
      </w:pPr>
      <w:r w:rsidRPr="00360B83">
        <w:rPr>
          <w:rFonts w:ascii="Georgia" w:hAnsi="Georgia" w:cs="Arial"/>
          <w:b/>
          <w:w w:val="140"/>
          <w:sz w:val="18"/>
          <w:szCs w:val="16"/>
        </w:rPr>
        <w:t>S</w:t>
      </w:r>
      <w:r w:rsidRPr="00360B83">
        <w:rPr>
          <w:rFonts w:ascii="Georgia" w:hAnsi="Georgia" w:cs="Arial"/>
          <w:b/>
          <w:w w:val="140"/>
          <w:sz w:val="16"/>
          <w:szCs w:val="14"/>
        </w:rPr>
        <w:t xml:space="preserve">ALA </w:t>
      </w:r>
      <w:r w:rsidRPr="00360B83">
        <w:rPr>
          <w:rFonts w:ascii="Georgia" w:hAnsi="Georgia" w:cs="Arial"/>
          <w:b/>
          <w:w w:val="140"/>
          <w:sz w:val="18"/>
          <w:szCs w:val="16"/>
        </w:rPr>
        <w:t>U</w:t>
      </w:r>
      <w:r w:rsidRPr="00360B83">
        <w:rPr>
          <w:rFonts w:ascii="Georgia" w:hAnsi="Georgia" w:cs="Arial"/>
          <w:b/>
          <w:w w:val="140"/>
          <w:sz w:val="16"/>
          <w:szCs w:val="16"/>
        </w:rPr>
        <w:t xml:space="preserve">NITARIA </w:t>
      </w:r>
      <w:r w:rsidRPr="00360B83">
        <w:rPr>
          <w:rFonts w:ascii="Georgia" w:hAnsi="Georgia" w:cs="Arial"/>
          <w:b/>
          <w:w w:val="140"/>
          <w:sz w:val="18"/>
          <w:szCs w:val="16"/>
        </w:rPr>
        <w:t>C</w:t>
      </w:r>
      <w:r w:rsidRPr="00360B83">
        <w:rPr>
          <w:rFonts w:ascii="Georgia" w:hAnsi="Georgia" w:cs="Arial"/>
          <w:b/>
          <w:w w:val="140"/>
          <w:sz w:val="16"/>
          <w:szCs w:val="16"/>
        </w:rPr>
        <w:t xml:space="preserve">IVIL </w:t>
      </w:r>
      <w:r w:rsidRPr="00360B83">
        <w:rPr>
          <w:rFonts w:ascii="Georgia" w:hAnsi="Georgia" w:cs="Arial"/>
          <w:b/>
          <w:w w:val="140"/>
          <w:sz w:val="14"/>
          <w:szCs w:val="14"/>
        </w:rPr>
        <w:t xml:space="preserve">– </w:t>
      </w:r>
      <w:r w:rsidRPr="00360B83">
        <w:rPr>
          <w:rFonts w:ascii="Georgia" w:hAnsi="Georgia" w:cs="Arial"/>
          <w:b/>
          <w:w w:val="140"/>
          <w:sz w:val="18"/>
          <w:szCs w:val="16"/>
        </w:rPr>
        <w:t>F</w:t>
      </w:r>
      <w:r w:rsidRPr="00360B83">
        <w:rPr>
          <w:rFonts w:ascii="Georgia" w:hAnsi="Georgia" w:cs="Arial"/>
          <w:b/>
          <w:w w:val="140"/>
          <w:sz w:val="16"/>
          <w:szCs w:val="16"/>
        </w:rPr>
        <w:t xml:space="preserve">AMILIA – </w:t>
      </w:r>
      <w:r w:rsidRPr="00360B83">
        <w:rPr>
          <w:rFonts w:ascii="Georgia" w:hAnsi="Georgia" w:cs="Arial"/>
          <w:b/>
          <w:w w:val="140"/>
          <w:sz w:val="18"/>
          <w:szCs w:val="16"/>
        </w:rPr>
        <w:t>D</w:t>
      </w:r>
      <w:r w:rsidRPr="00360B83">
        <w:rPr>
          <w:rFonts w:ascii="Georgia" w:hAnsi="Georgia" w:cs="Arial"/>
          <w:b/>
          <w:w w:val="140"/>
          <w:sz w:val="16"/>
          <w:szCs w:val="16"/>
        </w:rPr>
        <w:t xml:space="preserve">ISTRITO DE </w:t>
      </w:r>
      <w:r w:rsidRPr="00360B83">
        <w:rPr>
          <w:rFonts w:ascii="Georgia" w:hAnsi="Georgia" w:cs="Arial"/>
          <w:b/>
          <w:w w:val="140"/>
          <w:sz w:val="18"/>
          <w:szCs w:val="16"/>
        </w:rPr>
        <w:t>P</w:t>
      </w:r>
      <w:r w:rsidRPr="00360B83">
        <w:rPr>
          <w:rFonts w:ascii="Georgia" w:hAnsi="Georgia" w:cs="Arial"/>
          <w:b/>
          <w:w w:val="140"/>
          <w:sz w:val="16"/>
          <w:szCs w:val="16"/>
        </w:rPr>
        <w:t>EREIRA</w:t>
      </w:r>
    </w:p>
    <w:p w14:paraId="1B4E3585" w14:textId="77777777" w:rsidR="00252760" w:rsidRPr="00360B83" w:rsidRDefault="00252760" w:rsidP="00252760">
      <w:pPr>
        <w:pStyle w:val="Sinespaciado"/>
        <w:spacing w:line="360" w:lineRule="auto"/>
        <w:jc w:val="center"/>
        <w:rPr>
          <w:rFonts w:ascii="Georgia" w:hAnsi="Georgia" w:cs="Arial"/>
          <w:b/>
          <w:w w:val="140"/>
          <w:sz w:val="16"/>
          <w:szCs w:val="16"/>
        </w:rPr>
      </w:pPr>
      <w:r w:rsidRPr="00360B83">
        <w:rPr>
          <w:rFonts w:ascii="Georgia" w:hAnsi="Georgia" w:cs="Arial"/>
          <w:b/>
          <w:w w:val="140"/>
          <w:sz w:val="18"/>
          <w:szCs w:val="18"/>
        </w:rPr>
        <w:t>D</w:t>
      </w:r>
      <w:r w:rsidRPr="00360B83">
        <w:rPr>
          <w:rFonts w:ascii="Georgia" w:hAnsi="Georgia" w:cs="Arial"/>
          <w:b/>
          <w:w w:val="140"/>
          <w:sz w:val="16"/>
          <w:szCs w:val="16"/>
        </w:rPr>
        <w:t xml:space="preserve">EPARTAMENTO </w:t>
      </w:r>
      <w:r w:rsidRPr="00360B83">
        <w:rPr>
          <w:rFonts w:ascii="Georgia" w:hAnsi="Georgia" w:cs="Arial"/>
          <w:b/>
          <w:w w:val="140"/>
          <w:sz w:val="18"/>
          <w:szCs w:val="18"/>
        </w:rPr>
        <w:t>D</w:t>
      </w:r>
      <w:r w:rsidRPr="00360B83">
        <w:rPr>
          <w:rFonts w:ascii="Georgia" w:hAnsi="Georgia" w:cs="Arial"/>
          <w:b/>
          <w:w w:val="140"/>
          <w:sz w:val="16"/>
          <w:szCs w:val="16"/>
        </w:rPr>
        <w:t xml:space="preserve">EL </w:t>
      </w:r>
      <w:r w:rsidRPr="00360B83">
        <w:rPr>
          <w:rFonts w:ascii="Georgia" w:hAnsi="Georgia" w:cs="Arial"/>
          <w:b/>
          <w:w w:val="140"/>
          <w:sz w:val="18"/>
          <w:szCs w:val="18"/>
        </w:rPr>
        <w:t>R</w:t>
      </w:r>
      <w:r w:rsidRPr="00360B83">
        <w:rPr>
          <w:rFonts w:ascii="Georgia" w:hAnsi="Georgia" w:cs="Arial"/>
          <w:b/>
          <w:w w:val="140"/>
          <w:sz w:val="16"/>
          <w:szCs w:val="16"/>
        </w:rPr>
        <w:t>ISARALDA</w:t>
      </w:r>
    </w:p>
    <w:p w14:paraId="7C2ABFE6" w14:textId="77777777" w:rsidR="006C6544" w:rsidRPr="00360B83" w:rsidRDefault="006C6544" w:rsidP="00360B83">
      <w:pPr>
        <w:pStyle w:val="Ttulo"/>
        <w:pBdr>
          <w:bottom w:val="double" w:sz="6" w:space="1" w:color="auto"/>
        </w:pBdr>
        <w:spacing w:line="276" w:lineRule="auto"/>
        <w:rPr>
          <w:rFonts w:ascii="Georgia" w:hAnsi="Georgia"/>
          <w:b w:val="0"/>
          <w:bCs/>
          <w:i w:val="0"/>
          <w:iCs/>
          <w:spacing w:val="-3"/>
          <w:szCs w:val="24"/>
        </w:rPr>
      </w:pPr>
    </w:p>
    <w:p w14:paraId="7C2ABFE7" w14:textId="77777777" w:rsidR="004058A0" w:rsidRPr="00360B83" w:rsidRDefault="004058A0" w:rsidP="00360B83">
      <w:pPr>
        <w:spacing w:line="276" w:lineRule="auto"/>
        <w:jc w:val="center"/>
        <w:rPr>
          <w:rFonts w:ascii="Georgia" w:hAnsi="Georgia" w:cs="Arial"/>
          <w:b/>
          <w:bCs/>
          <w:sz w:val="24"/>
          <w:szCs w:val="24"/>
        </w:rPr>
      </w:pPr>
    </w:p>
    <w:p w14:paraId="696BC1DF" w14:textId="11783C04" w:rsidR="00AA4E6B" w:rsidRPr="00360B83" w:rsidRDefault="00E620D1" w:rsidP="00360B83">
      <w:pPr>
        <w:spacing w:line="276" w:lineRule="auto"/>
        <w:jc w:val="center"/>
        <w:rPr>
          <w:rFonts w:ascii="Georgia" w:hAnsi="Georgia" w:cs="Arial"/>
          <w:smallCaps/>
          <w:sz w:val="24"/>
          <w:szCs w:val="24"/>
        </w:rPr>
      </w:pPr>
      <w:r w:rsidRPr="00360B83">
        <w:rPr>
          <w:rFonts w:ascii="Georgia" w:hAnsi="Georgia" w:cs="Arial"/>
          <w:smallCaps/>
          <w:sz w:val="24"/>
          <w:szCs w:val="24"/>
        </w:rPr>
        <w:t xml:space="preserve">Veinticinco </w:t>
      </w:r>
      <w:r w:rsidR="00AA4E6B" w:rsidRPr="00360B83">
        <w:rPr>
          <w:rFonts w:ascii="Georgia" w:hAnsi="Georgia" w:cs="Arial"/>
          <w:smallCaps/>
          <w:sz w:val="24"/>
          <w:szCs w:val="24"/>
        </w:rPr>
        <w:t>(</w:t>
      </w:r>
      <w:r w:rsidRPr="00360B83">
        <w:rPr>
          <w:rFonts w:ascii="Georgia" w:hAnsi="Georgia" w:cs="Arial"/>
          <w:smallCaps/>
          <w:sz w:val="24"/>
          <w:szCs w:val="24"/>
        </w:rPr>
        <w:t>25</w:t>
      </w:r>
      <w:r w:rsidR="00AA4E6B" w:rsidRPr="00360B83">
        <w:rPr>
          <w:rFonts w:ascii="Georgia" w:hAnsi="Georgia" w:cs="Arial"/>
          <w:smallCaps/>
          <w:sz w:val="24"/>
          <w:szCs w:val="24"/>
        </w:rPr>
        <w:t>) de agosto de dos mil veinte (2020).</w:t>
      </w:r>
    </w:p>
    <w:p w14:paraId="7C2ABFE9" w14:textId="77777777" w:rsidR="008F4BA2" w:rsidRPr="00360B83" w:rsidRDefault="008F4BA2" w:rsidP="00360B83">
      <w:pPr>
        <w:spacing w:line="276" w:lineRule="auto"/>
        <w:jc w:val="center"/>
        <w:rPr>
          <w:rFonts w:ascii="Georgia" w:hAnsi="Georgia"/>
          <w:sz w:val="24"/>
          <w:szCs w:val="24"/>
        </w:rPr>
      </w:pPr>
    </w:p>
    <w:p w14:paraId="2FB1B2AA" w14:textId="2170FDAD" w:rsidR="00AA4E6B" w:rsidRPr="00360B83" w:rsidRDefault="00AA4E6B" w:rsidP="00360B83">
      <w:pPr>
        <w:pStyle w:val="Textoindependiente"/>
        <w:numPr>
          <w:ilvl w:val="0"/>
          <w:numId w:val="15"/>
        </w:numPr>
        <w:spacing w:line="276" w:lineRule="auto"/>
        <w:rPr>
          <w:rFonts w:ascii="Georgia" w:hAnsi="Georgia"/>
          <w:smallCaps/>
          <w:szCs w:val="24"/>
        </w:rPr>
      </w:pPr>
      <w:r w:rsidRPr="00360B83">
        <w:rPr>
          <w:rFonts w:ascii="Georgia" w:hAnsi="Georgia"/>
          <w:smallCaps/>
          <w:szCs w:val="24"/>
        </w:rPr>
        <w:t>EL ASUNTO POR DECIDIR</w:t>
      </w:r>
    </w:p>
    <w:p w14:paraId="7C2ABFEB" w14:textId="77777777" w:rsidR="009F1786" w:rsidRPr="00360B83" w:rsidRDefault="009F1786" w:rsidP="00360B83">
      <w:pPr>
        <w:pStyle w:val="Sinespaciado"/>
        <w:spacing w:line="276" w:lineRule="auto"/>
        <w:jc w:val="both"/>
        <w:rPr>
          <w:rFonts w:ascii="Georgia" w:hAnsi="Georgia" w:cs="Arial"/>
        </w:rPr>
      </w:pPr>
    </w:p>
    <w:p w14:paraId="7C2ABFEC" w14:textId="23C6BB00" w:rsidR="009F1786" w:rsidRPr="00360B83" w:rsidRDefault="00CF16F4" w:rsidP="00360B83">
      <w:pPr>
        <w:pStyle w:val="Sinespaciado"/>
        <w:spacing w:line="276" w:lineRule="auto"/>
        <w:jc w:val="both"/>
        <w:rPr>
          <w:rFonts w:ascii="Georgia" w:hAnsi="Georgia" w:cs="Arial"/>
        </w:rPr>
      </w:pPr>
      <w:r w:rsidRPr="00360B83">
        <w:rPr>
          <w:rFonts w:ascii="Georgia" w:hAnsi="Georgia" w:cs="Arial"/>
        </w:rPr>
        <w:t xml:space="preserve">El </w:t>
      </w:r>
      <w:r w:rsidR="009F1786" w:rsidRPr="00360B83">
        <w:rPr>
          <w:rFonts w:ascii="Georgia" w:hAnsi="Georgia" w:cs="Arial"/>
        </w:rPr>
        <w:t>recurso ordinario de reposición</w:t>
      </w:r>
      <w:r w:rsidR="00FA0BC5" w:rsidRPr="00360B83">
        <w:rPr>
          <w:rFonts w:ascii="Georgia" w:hAnsi="Georgia" w:cs="Arial"/>
        </w:rPr>
        <w:t>,</w:t>
      </w:r>
      <w:r w:rsidRPr="00360B83">
        <w:rPr>
          <w:rFonts w:ascii="Georgia" w:hAnsi="Georgia" w:cs="Arial"/>
        </w:rPr>
        <w:t xml:space="preserve"> </w:t>
      </w:r>
      <w:r w:rsidR="009F1786" w:rsidRPr="00360B83">
        <w:rPr>
          <w:rFonts w:ascii="Georgia" w:hAnsi="Georgia" w:cs="Arial"/>
        </w:rPr>
        <w:t>propuesto por l</w:t>
      </w:r>
      <w:r w:rsidR="00AA4E6B" w:rsidRPr="00360B83">
        <w:rPr>
          <w:rFonts w:ascii="Georgia" w:hAnsi="Georgia" w:cs="Arial"/>
        </w:rPr>
        <w:t>a</w:t>
      </w:r>
      <w:r w:rsidR="009F1786" w:rsidRPr="00360B83">
        <w:rPr>
          <w:rFonts w:ascii="Georgia" w:hAnsi="Georgia" w:cs="Arial"/>
        </w:rPr>
        <w:t xml:space="preserve"> mandatari</w:t>
      </w:r>
      <w:r w:rsidR="00AA4E6B" w:rsidRPr="00360B83">
        <w:rPr>
          <w:rFonts w:ascii="Georgia" w:hAnsi="Georgia" w:cs="Arial"/>
        </w:rPr>
        <w:t>a</w:t>
      </w:r>
      <w:r w:rsidR="009F1786" w:rsidRPr="00360B83">
        <w:rPr>
          <w:rFonts w:ascii="Georgia" w:hAnsi="Georgia" w:cs="Arial"/>
        </w:rPr>
        <w:t xml:space="preserve"> judicial de la parte </w:t>
      </w:r>
      <w:r w:rsidR="00AA4E6B" w:rsidRPr="00360B83">
        <w:rPr>
          <w:rFonts w:ascii="Georgia" w:hAnsi="Georgia" w:cs="Arial"/>
        </w:rPr>
        <w:t>actora</w:t>
      </w:r>
      <w:r w:rsidR="009F1786" w:rsidRPr="00360B83">
        <w:rPr>
          <w:rFonts w:ascii="Georgia" w:hAnsi="Georgia" w:cs="Arial"/>
        </w:rPr>
        <w:t xml:space="preserve">, contra la providencia que </w:t>
      </w:r>
      <w:r w:rsidR="00AA4E6B" w:rsidRPr="00360B83">
        <w:rPr>
          <w:rFonts w:ascii="Georgia" w:hAnsi="Georgia" w:cs="Arial"/>
        </w:rPr>
        <w:t xml:space="preserve">le </w:t>
      </w:r>
      <w:r w:rsidR="00B262B1" w:rsidRPr="00360B83">
        <w:rPr>
          <w:rFonts w:ascii="Georgia" w:hAnsi="Georgia" w:cs="Arial"/>
        </w:rPr>
        <w:t>declaró desiert</w:t>
      </w:r>
      <w:r w:rsidR="00AA4E6B" w:rsidRPr="00360B83">
        <w:rPr>
          <w:rFonts w:ascii="Georgia" w:hAnsi="Georgia" w:cs="Arial"/>
        </w:rPr>
        <w:t>a</w:t>
      </w:r>
      <w:r w:rsidR="00B262B1" w:rsidRPr="00360B83">
        <w:rPr>
          <w:rFonts w:ascii="Georgia" w:hAnsi="Georgia" w:cs="Arial"/>
        </w:rPr>
        <w:t xml:space="preserve"> </w:t>
      </w:r>
      <w:r w:rsidR="00AA4E6B" w:rsidRPr="00360B83">
        <w:rPr>
          <w:rFonts w:ascii="Georgia" w:hAnsi="Georgia" w:cs="Arial"/>
        </w:rPr>
        <w:t xml:space="preserve">la </w:t>
      </w:r>
      <w:r w:rsidR="00B262B1" w:rsidRPr="00360B83">
        <w:rPr>
          <w:rFonts w:ascii="Georgia" w:hAnsi="Georgia" w:cs="Arial"/>
        </w:rPr>
        <w:t>apelación</w:t>
      </w:r>
      <w:r w:rsidR="00AA4E6B" w:rsidRPr="00360B83">
        <w:rPr>
          <w:rFonts w:ascii="Georgia" w:hAnsi="Georgia" w:cs="Arial"/>
        </w:rPr>
        <w:t xml:space="preserve"> formulada por ese </w:t>
      </w:r>
      <w:r w:rsidR="00AA4E6B" w:rsidRPr="00360B83">
        <w:rPr>
          <w:rFonts w:ascii="Georgia" w:hAnsi="Georgia" w:cs="Arial"/>
        </w:rPr>
        <w:lastRenderedPageBreak/>
        <w:t>extremo</w:t>
      </w:r>
      <w:r w:rsidR="009F1786" w:rsidRPr="00360B83">
        <w:rPr>
          <w:rFonts w:ascii="Georgia" w:hAnsi="Georgia" w:cs="Arial"/>
        </w:rPr>
        <w:t>, previas las apreciaciones jurídicas que enseguida se plantean.</w:t>
      </w:r>
    </w:p>
    <w:p w14:paraId="7C2ABFED" w14:textId="77777777" w:rsidR="009F1786" w:rsidRPr="00360B83" w:rsidRDefault="009F1786" w:rsidP="00360B83">
      <w:pPr>
        <w:pStyle w:val="Sinespaciado"/>
        <w:spacing w:line="276" w:lineRule="auto"/>
        <w:jc w:val="both"/>
        <w:rPr>
          <w:rFonts w:ascii="Georgia" w:hAnsi="Georgia" w:cs="Arial"/>
        </w:rPr>
      </w:pPr>
    </w:p>
    <w:p w14:paraId="7C2ABFEE" w14:textId="33B4D4EF" w:rsidR="009F1786" w:rsidRPr="00360B83" w:rsidRDefault="00AA4E6B" w:rsidP="00360B83">
      <w:pPr>
        <w:pStyle w:val="Textoindependiente"/>
        <w:numPr>
          <w:ilvl w:val="0"/>
          <w:numId w:val="15"/>
        </w:numPr>
        <w:spacing w:line="276" w:lineRule="auto"/>
        <w:rPr>
          <w:rFonts w:ascii="Georgia" w:hAnsi="Georgia"/>
          <w:smallCaps/>
          <w:szCs w:val="24"/>
        </w:rPr>
      </w:pPr>
      <w:r w:rsidRPr="00360B83">
        <w:rPr>
          <w:rFonts w:ascii="Georgia" w:hAnsi="Georgia"/>
          <w:smallCaps/>
          <w:szCs w:val="24"/>
        </w:rPr>
        <w:t>LA PROVIDENCIA RECURRIDA</w:t>
      </w:r>
    </w:p>
    <w:p w14:paraId="7C2ABFEF" w14:textId="77777777" w:rsidR="009F1786" w:rsidRPr="00360B83" w:rsidRDefault="009F1786" w:rsidP="00360B83">
      <w:pPr>
        <w:pStyle w:val="Sinespaciado"/>
        <w:spacing w:line="276" w:lineRule="auto"/>
        <w:jc w:val="both"/>
        <w:rPr>
          <w:rFonts w:ascii="Georgia" w:hAnsi="Georgia" w:cs="Arial"/>
        </w:rPr>
      </w:pPr>
    </w:p>
    <w:p w14:paraId="7C2ABFF0" w14:textId="4137A6A5" w:rsidR="009F1786" w:rsidRPr="00360B83" w:rsidRDefault="009F1786" w:rsidP="00360B83">
      <w:pPr>
        <w:spacing w:line="276" w:lineRule="auto"/>
        <w:jc w:val="both"/>
        <w:rPr>
          <w:rFonts w:ascii="Georgia" w:hAnsi="Georgia" w:cs="Arial"/>
          <w:sz w:val="24"/>
          <w:szCs w:val="24"/>
        </w:rPr>
      </w:pPr>
      <w:r w:rsidRPr="00360B83">
        <w:rPr>
          <w:rFonts w:ascii="Georgia" w:hAnsi="Georgia" w:cs="Arial"/>
          <w:sz w:val="24"/>
          <w:szCs w:val="24"/>
        </w:rPr>
        <w:t xml:space="preserve">Data del día </w:t>
      </w:r>
      <w:r w:rsidR="00AA4E6B" w:rsidRPr="00360B83">
        <w:rPr>
          <w:rFonts w:ascii="Georgia" w:hAnsi="Georgia" w:cs="Arial"/>
          <w:sz w:val="24"/>
          <w:szCs w:val="24"/>
        </w:rPr>
        <w:t>28-07-2020</w:t>
      </w:r>
      <w:r w:rsidRPr="00360B83">
        <w:rPr>
          <w:rFonts w:ascii="Georgia" w:hAnsi="Georgia" w:cs="Arial"/>
          <w:sz w:val="24"/>
          <w:szCs w:val="24"/>
        </w:rPr>
        <w:t xml:space="preserve"> </w:t>
      </w:r>
      <w:r w:rsidR="00842EC7" w:rsidRPr="00360B83">
        <w:rPr>
          <w:rFonts w:ascii="Georgia" w:hAnsi="Georgia" w:cs="Arial"/>
          <w:sz w:val="24"/>
          <w:szCs w:val="24"/>
        </w:rPr>
        <w:t>y</w:t>
      </w:r>
      <w:r w:rsidR="00A164C0" w:rsidRPr="00360B83">
        <w:rPr>
          <w:rFonts w:ascii="Georgia" w:hAnsi="Georgia" w:cs="Arial"/>
          <w:sz w:val="24"/>
          <w:szCs w:val="24"/>
        </w:rPr>
        <w:t xml:space="preserve"> </w:t>
      </w:r>
      <w:r w:rsidR="00B262B1" w:rsidRPr="00360B83">
        <w:rPr>
          <w:rFonts w:ascii="Georgia" w:hAnsi="Georgia" w:cs="Arial"/>
          <w:sz w:val="24"/>
          <w:szCs w:val="24"/>
        </w:rPr>
        <w:t xml:space="preserve">dispuso la deserción </w:t>
      </w:r>
      <w:r w:rsidR="00712790" w:rsidRPr="00360B83">
        <w:rPr>
          <w:rFonts w:ascii="Georgia" w:hAnsi="Georgia" w:cs="Arial"/>
          <w:sz w:val="24"/>
          <w:szCs w:val="24"/>
        </w:rPr>
        <w:t>parcial de la alzada</w:t>
      </w:r>
      <w:r w:rsidR="00B262B1" w:rsidRPr="00360B83">
        <w:rPr>
          <w:rFonts w:ascii="Georgia" w:hAnsi="Georgia" w:cs="Arial"/>
          <w:sz w:val="24"/>
          <w:szCs w:val="24"/>
        </w:rPr>
        <w:t>, formulad</w:t>
      </w:r>
      <w:r w:rsidR="00712790" w:rsidRPr="00360B83">
        <w:rPr>
          <w:rFonts w:ascii="Georgia" w:hAnsi="Georgia" w:cs="Arial"/>
          <w:sz w:val="24"/>
          <w:szCs w:val="24"/>
        </w:rPr>
        <w:t>a</w:t>
      </w:r>
      <w:r w:rsidR="00B262B1" w:rsidRPr="00360B83">
        <w:rPr>
          <w:rFonts w:ascii="Georgia" w:hAnsi="Georgia" w:cs="Arial"/>
          <w:sz w:val="24"/>
          <w:szCs w:val="24"/>
        </w:rPr>
        <w:t xml:space="preserve"> contra la sentencia de primera instancia, </w:t>
      </w:r>
      <w:r w:rsidR="00BB55AE" w:rsidRPr="00360B83">
        <w:rPr>
          <w:rFonts w:ascii="Georgia" w:hAnsi="Georgia" w:cs="Arial"/>
          <w:sz w:val="24"/>
          <w:szCs w:val="24"/>
        </w:rPr>
        <w:t xml:space="preserve">porque la parte demandante pretermitió presentar </w:t>
      </w:r>
      <w:r w:rsidR="00BB55AE" w:rsidRPr="00360B83">
        <w:rPr>
          <w:rFonts w:ascii="Georgia" w:hAnsi="Georgia" w:cs="Arial"/>
          <w:sz w:val="24"/>
          <w:szCs w:val="24"/>
          <w:u w:val="single"/>
        </w:rPr>
        <w:t>oportunamente</w:t>
      </w:r>
      <w:r w:rsidR="00BB55AE" w:rsidRPr="00360B83">
        <w:rPr>
          <w:rFonts w:ascii="Georgia" w:hAnsi="Georgia" w:cs="Arial"/>
          <w:sz w:val="24"/>
          <w:szCs w:val="24"/>
        </w:rPr>
        <w:t xml:space="preserve"> la sustentación, acorde con los términos del Decreto Presidencial No.</w:t>
      </w:r>
      <w:r w:rsidR="000A668B">
        <w:rPr>
          <w:rFonts w:ascii="Georgia" w:hAnsi="Georgia" w:cs="Arial"/>
          <w:sz w:val="24"/>
          <w:szCs w:val="24"/>
        </w:rPr>
        <w:t xml:space="preserve"> </w:t>
      </w:r>
      <w:r w:rsidR="00BB55AE" w:rsidRPr="00360B83">
        <w:rPr>
          <w:rFonts w:ascii="Georgia" w:hAnsi="Georgia" w:cs="Arial"/>
          <w:sz w:val="24"/>
          <w:szCs w:val="24"/>
        </w:rPr>
        <w:t>806 de 2020</w:t>
      </w:r>
      <w:r w:rsidR="00A164C0" w:rsidRPr="00360B83">
        <w:rPr>
          <w:rFonts w:ascii="Georgia" w:hAnsi="Georgia" w:cs="Arial"/>
          <w:sz w:val="24"/>
          <w:szCs w:val="24"/>
        </w:rPr>
        <w:t xml:space="preserve"> </w:t>
      </w:r>
      <w:r w:rsidR="00BB55AE" w:rsidRPr="00360B83">
        <w:rPr>
          <w:rFonts w:ascii="Georgia" w:hAnsi="Georgia" w:cs="Arial"/>
          <w:sz w:val="24"/>
          <w:szCs w:val="24"/>
          <w:lang w:val="es-CO"/>
        </w:rPr>
        <w:t>(Carpeta 2ª instancia, archivo 04)</w:t>
      </w:r>
      <w:r w:rsidRPr="00360B83">
        <w:rPr>
          <w:rFonts w:ascii="Georgia" w:hAnsi="Georgia" w:cs="Arial"/>
          <w:sz w:val="24"/>
          <w:szCs w:val="24"/>
        </w:rPr>
        <w:t>.</w:t>
      </w:r>
    </w:p>
    <w:p w14:paraId="7C2ABFF1" w14:textId="77777777" w:rsidR="009F1786" w:rsidRPr="00360B83" w:rsidRDefault="009F1786" w:rsidP="00360B83">
      <w:pPr>
        <w:spacing w:line="276" w:lineRule="auto"/>
        <w:jc w:val="both"/>
        <w:rPr>
          <w:rFonts w:ascii="Georgia" w:hAnsi="Georgia" w:cs="Arial"/>
          <w:sz w:val="24"/>
          <w:szCs w:val="24"/>
        </w:rPr>
      </w:pPr>
    </w:p>
    <w:p w14:paraId="7C2ABFF2" w14:textId="2E558251" w:rsidR="009F1786" w:rsidRPr="00360B83" w:rsidRDefault="000A668B" w:rsidP="00360B83">
      <w:pPr>
        <w:pStyle w:val="Textoindependiente"/>
        <w:numPr>
          <w:ilvl w:val="0"/>
          <w:numId w:val="15"/>
        </w:numPr>
        <w:spacing w:line="276" w:lineRule="auto"/>
        <w:rPr>
          <w:rFonts w:ascii="Georgia" w:hAnsi="Georgia" w:cs="Arial"/>
          <w:smallCaps/>
          <w:szCs w:val="24"/>
        </w:rPr>
      </w:pPr>
      <w:r w:rsidRPr="00360B83">
        <w:rPr>
          <w:rFonts w:ascii="Georgia" w:hAnsi="Georgia" w:cs="Arial"/>
          <w:smallCaps/>
          <w:szCs w:val="24"/>
        </w:rPr>
        <w:t xml:space="preserve">LA </w:t>
      </w:r>
      <w:r w:rsidRPr="00360B83">
        <w:rPr>
          <w:rFonts w:ascii="Georgia" w:hAnsi="Georgia"/>
          <w:smallCaps/>
          <w:szCs w:val="24"/>
        </w:rPr>
        <w:t>SÍNTESIS</w:t>
      </w:r>
      <w:r w:rsidRPr="00360B83">
        <w:rPr>
          <w:rFonts w:ascii="Georgia" w:hAnsi="Georgia" w:cs="Arial"/>
          <w:smallCaps/>
          <w:szCs w:val="24"/>
        </w:rPr>
        <w:t xml:space="preserve"> DE LA REPOSICIÓN</w:t>
      </w:r>
    </w:p>
    <w:p w14:paraId="7C2ABFF3" w14:textId="77777777" w:rsidR="009F1786" w:rsidRPr="00360B83" w:rsidRDefault="009F1786" w:rsidP="00360B83">
      <w:pPr>
        <w:pStyle w:val="Sinespaciado"/>
        <w:spacing w:line="276" w:lineRule="auto"/>
        <w:ind w:left="720"/>
        <w:jc w:val="both"/>
        <w:rPr>
          <w:rFonts w:ascii="Georgia" w:hAnsi="Georgia" w:cs="Arial"/>
        </w:rPr>
      </w:pPr>
    </w:p>
    <w:p w14:paraId="34286765" w14:textId="29B82E36" w:rsidR="00516D6E" w:rsidRPr="00360B83" w:rsidRDefault="00A164C0" w:rsidP="00360B83">
      <w:pPr>
        <w:pStyle w:val="Sinespaciado"/>
        <w:spacing w:line="276" w:lineRule="auto"/>
        <w:jc w:val="both"/>
        <w:rPr>
          <w:rFonts w:ascii="Georgia" w:hAnsi="Georgia" w:cs="Arial"/>
        </w:rPr>
      </w:pPr>
      <w:bookmarkStart w:id="0" w:name="_Hlk48807934"/>
      <w:r w:rsidRPr="00360B83">
        <w:rPr>
          <w:rFonts w:ascii="Georgia" w:hAnsi="Georgia" w:cs="Arial"/>
        </w:rPr>
        <w:t xml:space="preserve">Cuestiona </w:t>
      </w:r>
      <w:r w:rsidR="00B86552" w:rsidRPr="00360B83">
        <w:rPr>
          <w:rFonts w:ascii="Georgia" w:hAnsi="Georgia" w:cs="Arial"/>
        </w:rPr>
        <w:t>la deserción</w:t>
      </w:r>
      <w:r w:rsidR="00712790" w:rsidRPr="00360B83">
        <w:rPr>
          <w:rFonts w:ascii="Georgia" w:hAnsi="Georgia" w:cs="Arial"/>
        </w:rPr>
        <w:t xml:space="preserve">, dado que </w:t>
      </w:r>
      <w:r w:rsidR="00516D6E" w:rsidRPr="00360B83">
        <w:rPr>
          <w:rFonts w:ascii="Georgia" w:hAnsi="Georgia" w:cs="Arial"/>
        </w:rPr>
        <w:t xml:space="preserve">se desconoció </w:t>
      </w:r>
      <w:r w:rsidR="00B008E4" w:rsidRPr="00360B83">
        <w:rPr>
          <w:rFonts w:ascii="Georgia" w:hAnsi="Georgia" w:cs="Arial"/>
        </w:rPr>
        <w:t xml:space="preserve">la sustentación </w:t>
      </w:r>
      <w:r w:rsidR="00516D6E" w:rsidRPr="00360B83">
        <w:rPr>
          <w:rFonts w:ascii="Georgia" w:hAnsi="Georgia" w:cs="Arial"/>
        </w:rPr>
        <w:t xml:space="preserve">que </w:t>
      </w:r>
      <w:r w:rsidR="00B008E4" w:rsidRPr="00360B83">
        <w:rPr>
          <w:rFonts w:ascii="Georgia" w:hAnsi="Georgia" w:cs="Arial"/>
        </w:rPr>
        <w:t>hizo en primer grado</w:t>
      </w:r>
      <w:r w:rsidR="009C7F1C" w:rsidRPr="00360B83">
        <w:rPr>
          <w:rFonts w:ascii="Georgia" w:hAnsi="Georgia" w:cs="Arial"/>
        </w:rPr>
        <w:t xml:space="preserve">, </w:t>
      </w:r>
      <w:r w:rsidR="008C16FC" w:rsidRPr="00360B83">
        <w:rPr>
          <w:rFonts w:ascii="Georgia" w:hAnsi="Georgia" w:cs="Arial"/>
        </w:rPr>
        <w:t xml:space="preserve">que </w:t>
      </w:r>
      <w:r w:rsidR="009C7F1C" w:rsidRPr="00360B83">
        <w:rPr>
          <w:rFonts w:ascii="Georgia" w:hAnsi="Georgia" w:cs="Arial"/>
        </w:rPr>
        <w:t>incluso</w:t>
      </w:r>
      <w:r w:rsidR="00516D6E" w:rsidRPr="00360B83">
        <w:rPr>
          <w:rFonts w:ascii="Georgia" w:hAnsi="Georgia" w:cs="Arial"/>
        </w:rPr>
        <w:t xml:space="preserve"> fue reconocida al admitir</w:t>
      </w:r>
      <w:r w:rsidR="00712790" w:rsidRPr="00360B83">
        <w:rPr>
          <w:rFonts w:ascii="Georgia" w:hAnsi="Georgia" w:cs="Arial"/>
        </w:rPr>
        <w:t>,</w:t>
      </w:r>
      <w:r w:rsidR="00516D6E" w:rsidRPr="00360B83">
        <w:rPr>
          <w:rFonts w:ascii="Georgia" w:hAnsi="Georgia" w:cs="Arial"/>
        </w:rPr>
        <w:t xml:space="preserve"> pues se afirmó que </w:t>
      </w:r>
      <w:r w:rsidR="009C7F1C" w:rsidRPr="00360B83">
        <w:rPr>
          <w:rFonts w:ascii="Georgia" w:hAnsi="Georgia" w:cs="Arial"/>
        </w:rPr>
        <w:t>est</w:t>
      </w:r>
      <w:r w:rsidR="00516D6E" w:rsidRPr="00360B83">
        <w:rPr>
          <w:rFonts w:ascii="Georgia" w:hAnsi="Georgia" w:cs="Arial"/>
        </w:rPr>
        <w:t xml:space="preserve">aba </w:t>
      </w:r>
      <w:r w:rsidR="009C7F1C" w:rsidRPr="00360B83">
        <w:rPr>
          <w:rFonts w:ascii="Georgia" w:hAnsi="Georgia" w:cs="Arial"/>
        </w:rPr>
        <w:t>cumplida la carga procesal de precisar los reparos</w:t>
      </w:r>
      <w:r w:rsidR="00516D6E" w:rsidRPr="00360B83">
        <w:rPr>
          <w:rFonts w:ascii="Georgia" w:hAnsi="Georgia" w:cs="Arial"/>
        </w:rPr>
        <w:t>.</w:t>
      </w:r>
      <w:r w:rsidR="008C16FC" w:rsidRPr="00360B83">
        <w:rPr>
          <w:rFonts w:ascii="Georgia" w:hAnsi="Georgia" w:cs="Arial"/>
        </w:rPr>
        <w:t xml:space="preserve"> </w:t>
      </w:r>
      <w:r w:rsidR="29885D7D" w:rsidRPr="00360B83">
        <w:rPr>
          <w:rFonts w:ascii="Georgia" w:hAnsi="Georgia" w:cs="Arial"/>
        </w:rPr>
        <w:t>Dice que n</w:t>
      </w:r>
      <w:r w:rsidR="008C16FC" w:rsidRPr="00360B83">
        <w:rPr>
          <w:rFonts w:ascii="Georgia" w:hAnsi="Georgia" w:cs="Arial"/>
        </w:rPr>
        <w:t xml:space="preserve">unca se le dijo que debía </w:t>
      </w:r>
      <w:r w:rsidR="00516D6E" w:rsidRPr="00360B83">
        <w:rPr>
          <w:rFonts w:ascii="Georgia" w:hAnsi="Georgia" w:cs="Arial"/>
        </w:rPr>
        <w:t xml:space="preserve">sustentar </w:t>
      </w:r>
      <w:r w:rsidR="009C7F1C" w:rsidRPr="00360B83">
        <w:rPr>
          <w:rFonts w:ascii="Georgia" w:hAnsi="Georgia" w:cs="Arial"/>
        </w:rPr>
        <w:t>nuevamente</w:t>
      </w:r>
      <w:r w:rsidR="6C5613E2" w:rsidRPr="00360B83">
        <w:rPr>
          <w:rFonts w:ascii="Georgia" w:hAnsi="Georgia" w:cs="Arial"/>
        </w:rPr>
        <w:t xml:space="preserve"> y aduce que </w:t>
      </w:r>
      <w:r w:rsidR="6DA00273" w:rsidRPr="00360B83">
        <w:rPr>
          <w:rFonts w:ascii="Georgia" w:hAnsi="Georgia" w:cs="Arial"/>
        </w:rPr>
        <w:t>d</w:t>
      </w:r>
      <w:r w:rsidR="008C16FC" w:rsidRPr="00360B83">
        <w:rPr>
          <w:rFonts w:ascii="Georgia" w:hAnsi="Georgia" w:cs="Arial"/>
        </w:rPr>
        <w:t xml:space="preserve">ebe tenerse en cuenta </w:t>
      </w:r>
      <w:r w:rsidR="00516D6E" w:rsidRPr="00360B83">
        <w:rPr>
          <w:rFonts w:ascii="Georgia" w:hAnsi="Georgia" w:cs="Arial"/>
        </w:rPr>
        <w:t>que tanto la jurisprudencia de las Altas Cortes</w:t>
      </w:r>
      <w:r w:rsidR="00E620D1" w:rsidRPr="00360B83">
        <w:rPr>
          <w:rStyle w:val="Refdenotaalpie"/>
          <w:rFonts w:ascii="Georgia" w:hAnsi="Georgia"/>
        </w:rPr>
        <w:footnoteReference w:id="1"/>
      </w:r>
      <w:r w:rsidR="00C127FF" w:rsidRPr="00360B83">
        <w:rPr>
          <w:rFonts w:ascii="Georgia" w:hAnsi="Georgia" w:cs="Arial"/>
          <w:vertAlign w:val="superscript"/>
        </w:rPr>
        <w:t>-</w:t>
      </w:r>
      <w:r w:rsidR="00C127FF" w:rsidRPr="00360B83">
        <w:rPr>
          <w:rStyle w:val="Refdenotaalpie"/>
          <w:rFonts w:ascii="Georgia" w:hAnsi="Georgia"/>
        </w:rPr>
        <w:footnoteReference w:id="2"/>
      </w:r>
      <w:r w:rsidR="00516D6E" w:rsidRPr="00360B83">
        <w:rPr>
          <w:rFonts w:ascii="Georgia" w:hAnsi="Georgia" w:cs="Arial"/>
        </w:rPr>
        <w:t xml:space="preserve"> como la doctrina</w:t>
      </w:r>
      <w:r w:rsidR="00C127FF" w:rsidRPr="00360B83">
        <w:rPr>
          <w:rFonts w:ascii="Georgia" w:hAnsi="Georgia" w:cs="Arial"/>
        </w:rPr>
        <w:t xml:space="preserve"> (Citó el nombre de la autora Luisa Fernanda Hernández Sánchez, sin datos sobre su obra)</w:t>
      </w:r>
      <w:r w:rsidR="00516D6E" w:rsidRPr="00360B83">
        <w:rPr>
          <w:rFonts w:ascii="Georgia" w:hAnsi="Georgia" w:cs="Arial"/>
        </w:rPr>
        <w:t>, han discutido sobre cuál es el momento para cumplir la carga echada de menos.</w:t>
      </w:r>
    </w:p>
    <w:p w14:paraId="3997BF30" w14:textId="77777777" w:rsidR="00516D6E" w:rsidRPr="00360B83" w:rsidRDefault="00516D6E" w:rsidP="00360B83">
      <w:pPr>
        <w:pStyle w:val="Sinespaciado"/>
        <w:spacing w:line="276" w:lineRule="auto"/>
        <w:jc w:val="both"/>
        <w:rPr>
          <w:rFonts w:ascii="Georgia" w:hAnsi="Georgia" w:cs="Arial"/>
        </w:rPr>
      </w:pPr>
    </w:p>
    <w:p w14:paraId="7C2ABFF4" w14:textId="2EE24F7D" w:rsidR="009F1786" w:rsidRPr="00360B83" w:rsidRDefault="27068A45" w:rsidP="00360B83">
      <w:pPr>
        <w:pStyle w:val="Sinespaciado"/>
        <w:spacing w:line="276" w:lineRule="auto"/>
        <w:jc w:val="both"/>
        <w:rPr>
          <w:rFonts w:ascii="Georgia" w:hAnsi="Georgia" w:cs="Arial"/>
        </w:rPr>
      </w:pPr>
      <w:r w:rsidRPr="00360B83">
        <w:rPr>
          <w:rFonts w:ascii="Georgia" w:hAnsi="Georgia" w:cs="Arial"/>
        </w:rPr>
        <w:t xml:space="preserve">Arguye </w:t>
      </w:r>
      <w:r w:rsidR="00516D6E" w:rsidRPr="00360B83">
        <w:rPr>
          <w:rFonts w:ascii="Georgia" w:hAnsi="Georgia" w:cs="Arial"/>
        </w:rPr>
        <w:t xml:space="preserve">que esta </w:t>
      </w:r>
      <w:r w:rsidR="00C3595E" w:rsidRPr="00360B83">
        <w:rPr>
          <w:rFonts w:ascii="Georgia" w:hAnsi="Georgia" w:cs="Arial"/>
        </w:rPr>
        <w:t>instancia se limitó a anotar la actuación en el sistema de consulta de procesos de la rama judicial, cuando debió implementar el estado electrónico que</w:t>
      </w:r>
      <w:r w:rsidR="00712790" w:rsidRPr="00360B83">
        <w:rPr>
          <w:rFonts w:ascii="Georgia" w:hAnsi="Georgia" w:cs="Arial"/>
        </w:rPr>
        <w:t>,</w:t>
      </w:r>
      <w:r w:rsidR="00C3595E" w:rsidRPr="00360B83">
        <w:rPr>
          <w:rFonts w:ascii="Georgia" w:hAnsi="Georgia" w:cs="Arial"/>
        </w:rPr>
        <w:t xml:space="preserve"> además, </w:t>
      </w:r>
      <w:r w:rsidR="00712790" w:rsidRPr="00360B83">
        <w:rPr>
          <w:rFonts w:ascii="Georgia" w:hAnsi="Georgia" w:cs="Arial"/>
        </w:rPr>
        <w:t xml:space="preserve">implica </w:t>
      </w:r>
      <w:r w:rsidR="00C3595E" w:rsidRPr="00360B83">
        <w:rPr>
          <w:rFonts w:ascii="Georgia" w:hAnsi="Georgia" w:cs="Arial"/>
        </w:rPr>
        <w:t>el envío de la información al correo que ha suministrado en el proceso</w:t>
      </w:r>
      <w:r w:rsidR="00516D6E" w:rsidRPr="00360B83">
        <w:rPr>
          <w:rFonts w:ascii="Georgia" w:hAnsi="Georgia" w:cs="Arial"/>
        </w:rPr>
        <w:t xml:space="preserve">, lo cual </w:t>
      </w:r>
      <w:r w:rsidR="009C7F1C" w:rsidRPr="00360B83">
        <w:rPr>
          <w:rFonts w:ascii="Georgia" w:hAnsi="Georgia" w:cs="Arial"/>
        </w:rPr>
        <w:t>le hubiera permitido actuar oportunamente</w:t>
      </w:r>
      <w:r w:rsidR="00516D6E" w:rsidRPr="00360B83">
        <w:rPr>
          <w:rFonts w:ascii="Georgia" w:hAnsi="Georgia" w:cs="Arial"/>
        </w:rPr>
        <w:t>. Finalmente, asevera que s</w:t>
      </w:r>
      <w:r w:rsidR="00C3595E" w:rsidRPr="00360B83">
        <w:rPr>
          <w:rFonts w:ascii="Georgia" w:hAnsi="Georgia" w:cs="Arial"/>
        </w:rPr>
        <w:t xml:space="preserve">e le exige lo imposible pues </w:t>
      </w:r>
      <w:r w:rsidR="00516D6E" w:rsidRPr="00360B83">
        <w:rPr>
          <w:rFonts w:ascii="Georgia" w:hAnsi="Georgia" w:cs="Arial"/>
        </w:rPr>
        <w:t xml:space="preserve">fue </w:t>
      </w:r>
      <w:r w:rsidR="00C3595E" w:rsidRPr="00360B83">
        <w:rPr>
          <w:rFonts w:ascii="Georgia" w:hAnsi="Georgia" w:cs="Arial"/>
        </w:rPr>
        <w:t xml:space="preserve">por dificultades </w:t>
      </w:r>
      <w:r w:rsidR="009C7F1C" w:rsidRPr="00360B83">
        <w:rPr>
          <w:rFonts w:ascii="Georgia" w:hAnsi="Georgia" w:cs="Arial"/>
        </w:rPr>
        <w:t xml:space="preserve">tecnológicas </w:t>
      </w:r>
      <w:r w:rsidR="006A2C31" w:rsidRPr="00360B83">
        <w:rPr>
          <w:rFonts w:ascii="Georgia" w:hAnsi="Georgia" w:cs="Arial"/>
        </w:rPr>
        <w:t xml:space="preserve">que </w:t>
      </w:r>
      <w:r w:rsidR="009C7F1C" w:rsidRPr="00360B83">
        <w:rPr>
          <w:rFonts w:ascii="Georgia" w:hAnsi="Georgia" w:cs="Arial"/>
        </w:rPr>
        <w:t>no logró que, esta sede, recibiera su escrito antes de las 4:00 p.m.</w:t>
      </w:r>
      <w:r w:rsidR="008C16FC" w:rsidRPr="00360B83">
        <w:rPr>
          <w:rFonts w:ascii="Georgia" w:hAnsi="Georgia" w:cs="Arial"/>
        </w:rPr>
        <w:t xml:space="preserve"> </w:t>
      </w:r>
      <w:r w:rsidR="008C16FC" w:rsidRPr="00360B83">
        <w:rPr>
          <w:rFonts w:ascii="Georgia" w:hAnsi="Georgia" w:cs="Arial"/>
          <w:lang w:val="es-CO"/>
        </w:rPr>
        <w:t>(Carpeta 2ª instancia, archivos 05 y 06).</w:t>
      </w:r>
    </w:p>
    <w:bookmarkEnd w:id="0"/>
    <w:p w14:paraId="78D114DD" w14:textId="77777777" w:rsidR="009C7F1C" w:rsidRPr="00360B83" w:rsidRDefault="009C7F1C" w:rsidP="00360B83">
      <w:pPr>
        <w:pStyle w:val="Sinespaciado"/>
        <w:spacing w:line="276" w:lineRule="auto"/>
        <w:jc w:val="both"/>
        <w:rPr>
          <w:rFonts w:ascii="Georgia" w:hAnsi="Georgia" w:cs="Arial"/>
        </w:rPr>
      </w:pPr>
    </w:p>
    <w:p w14:paraId="7C2ABFF6" w14:textId="4D71B162" w:rsidR="009F1786" w:rsidRPr="00360B83" w:rsidRDefault="000A668B" w:rsidP="000A668B">
      <w:pPr>
        <w:pStyle w:val="Textoindependiente"/>
        <w:numPr>
          <w:ilvl w:val="0"/>
          <w:numId w:val="15"/>
        </w:numPr>
        <w:spacing w:line="276" w:lineRule="auto"/>
        <w:rPr>
          <w:rFonts w:ascii="Georgia" w:hAnsi="Georgia" w:cs="Arial"/>
          <w:smallCaps/>
          <w:szCs w:val="24"/>
        </w:rPr>
      </w:pPr>
      <w:r w:rsidRPr="00360B83">
        <w:rPr>
          <w:rFonts w:ascii="Georgia" w:hAnsi="Georgia" w:cs="Arial"/>
          <w:smallCaps/>
          <w:szCs w:val="24"/>
        </w:rPr>
        <w:t>LAS ESTIMACIONES JURÍDICAS PARA DECIDIR</w:t>
      </w:r>
    </w:p>
    <w:p w14:paraId="7C2ABFF7" w14:textId="77777777" w:rsidR="005776F2" w:rsidRPr="00360B83" w:rsidRDefault="005776F2" w:rsidP="00360B83">
      <w:pPr>
        <w:spacing w:line="276" w:lineRule="auto"/>
        <w:ind w:left="360"/>
        <w:jc w:val="both"/>
        <w:rPr>
          <w:rFonts w:ascii="Georgia" w:hAnsi="Georgia" w:cs="Arial"/>
          <w:smallCaps/>
          <w:sz w:val="24"/>
          <w:szCs w:val="24"/>
        </w:rPr>
      </w:pPr>
    </w:p>
    <w:p w14:paraId="7C2ABFFA" w14:textId="4CC913D2" w:rsidR="009F1786" w:rsidRPr="00360B83" w:rsidRDefault="009F1786" w:rsidP="00360B83">
      <w:pPr>
        <w:pStyle w:val="Textopredeterminado"/>
        <w:numPr>
          <w:ilvl w:val="1"/>
          <w:numId w:val="10"/>
        </w:numPr>
        <w:spacing w:line="276" w:lineRule="auto"/>
        <w:jc w:val="both"/>
        <w:textAlignment w:val="baseline"/>
        <w:rPr>
          <w:rFonts w:ascii="Georgia" w:hAnsi="Georgia" w:cs="Arial"/>
          <w:color w:val="auto"/>
          <w:szCs w:val="24"/>
        </w:rPr>
      </w:pPr>
      <w:r w:rsidRPr="00360B83">
        <w:rPr>
          <w:rFonts w:ascii="Georgia" w:hAnsi="Georgia" w:cs="Arial"/>
          <w:i/>
          <w:smallCaps/>
          <w:color w:val="auto"/>
          <w:szCs w:val="24"/>
        </w:rPr>
        <w:t>El trámite del recurso</w:t>
      </w:r>
      <w:r w:rsidR="008C16FC" w:rsidRPr="00360B83">
        <w:rPr>
          <w:rFonts w:ascii="Georgia" w:hAnsi="Georgia" w:cs="Arial"/>
          <w:smallCaps/>
          <w:color w:val="auto"/>
          <w:szCs w:val="24"/>
        </w:rPr>
        <w:t xml:space="preserve">. </w:t>
      </w:r>
      <w:r w:rsidRPr="00360B83">
        <w:rPr>
          <w:rFonts w:ascii="Georgia" w:hAnsi="Georgia" w:cs="Arial"/>
          <w:color w:val="auto"/>
          <w:szCs w:val="24"/>
        </w:rPr>
        <w:t>De conformidad con los artículos 110 y 318</w:t>
      </w:r>
      <w:r w:rsidR="002E660C" w:rsidRPr="00360B83">
        <w:rPr>
          <w:rFonts w:ascii="Georgia" w:hAnsi="Georgia" w:cs="Arial"/>
          <w:color w:val="auto"/>
          <w:szCs w:val="24"/>
        </w:rPr>
        <w:t xml:space="preserve">, </w:t>
      </w:r>
      <w:r w:rsidRPr="00360B83">
        <w:rPr>
          <w:rFonts w:ascii="Georgia" w:hAnsi="Georgia" w:cs="Arial"/>
          <w:color w:val="auto"/>
          <w:szCs w:val="24"/>
        </w:rPr>
        <w:t>CGP, se surtió el traslado secretarial</w:t>
      </w:r>
      <w:r w:rsidR="001638CD" w:rsidRPr="00360B83">
        <w:rPr>
          <w:rFonts w:ascii="Georgia" w:hAnsi="Georgia" w:cs="Arial"/>
          <w:color w:val="auto"/>
          <w:szCs w:val="24"/>
        </w:rPr>
        <w:t xml:space="preserve"> y</w:t>
      </w:r>
      <w:r w:rsidR="008C16FC" w:rsidRPr="00360B83">
        <w:rPr>
          <w:rFonts w:ascii="Georgia" w:hAnsi="Georgia" w:cs="Arial"/>
          <w:color w:val="auto"/>
          <w:szCs w:val="24"/>
        </w:rPr>
        <w:t xml:space="preserve"> el término transcurrió en silencio</w:t>
      </w:r>
      <w:r w:rsidRPr="00360B83">
        <w:rPr>
          <w:rFonts w:ascii="Georgia" w:hAnsi="Georgia" w:cs="Arial"/>
          <w:color w:val="auto"/>
          <w:szCs w:val="24"/>
        </w:rPr>
        <w:t xml:space="preserve"> </w:t>
      </w:r>
      <w:r w:rsidR="008C16FC" w:rsidRPr="00360B83">
        <w:rPr>
          <w:rFonts w:ascii="Georgia" w:hAnsi="Georgia" w:cs="Arial"/>
          <w:color w:val="auto"/>
          <w:szCs w:val="24"/>
          <w:lang w:val="es-CO"/>
        </w:rPr>
        <w:t>(Carpeta 2ª instancia, archivos 07 y 08)</w:t>
      </w:r>
      <w:r w:rsidRPr="00360B83">
        <w:rPr>
          <w:rFonts w:ascii="Georgia" w:hAnsi="Georgia" w:cs="Arial"/>
          <w:color w:val="auto"/>
          <w:szCs w:val="24"/>
        </w:rPr>
        <w:t>.</w:t>
      </w:r>
    </w:p>
    <w:p w14:paraId="7C2ABFFB" w14:textId="77777777" w:rsidR="009F1786" w:rsidRPr="00360B83" w:rsidRDefault="009F1786" w:rsidP="00360B83">
      <w:pPr>
        <w:pStyle w:val="Textoindependiente"/>
        <w:spacing w:line="276" w:lineRule="auto"/>
        <w:rPr>
          <w:rFonts w:ascii="Georgia" w:hAnsi="Georgia" w:cs="Arial"/>
          <w:szCs w:val="24"/>
        </w:rPr>
      </w:pPr>
    </w:p>
    <w:p w14:paraId="53B7B810" w14:textId="6B15C08A" w:rsidR="008C16FC" w:rsidRPr="00360B83" w:rsidRDefault="009345DA" w:rsidP="00360B83">
      <w:pPr>
        <w:pStyle w:val="Textopredeterminado"/>
        <w:numPr>
          <w:ilvl w:val="1"/>
          <w:numId w:val="17"/>
        </w:numPr>
        <w:spacing w:line="276" w:lineRule="auto"/>
        <w:jc w:val="both"/>
        <w:rPr>
          <w:rFonts w:ascii="Georgia" w:hAnsi="Georgia" w:cs="Arial"/>
          <w:color w:val="auto"/>
          <w:szCs w:val="24"/>
          <w:lang w:val="es-CO"/>
        </w:rPr>
      </w:pPr>
      <w:r w:rsidRPr="00360B83">
        <w:rPr>
          <w:rFonts w:ascii="Georgia" w:hAnsi="Georgia" w:cs="Arial"/>
          <w:i/>
          <w:smallCaps/>
          <w:color w:val="auto"/>
          <w:szCs w:val="24"/>
        </w:rPr>
        <w:t>Los requisitos de viabilidad de un recurso</w:t>
      </w:r>
      <w:r w:rsidR="008C16FC" w:rsidRPr="00360B83">
        <w:rPr>
          <w:rFonts w:ascii="Georgia" w:hAnsi="Georgia" w:cs="Arial"/>
          <w:smallCaps/>
          <w:color w:val="auto"/>
          <w:szCs w:val="24"/>
        </w:rPr>
        <w:t xml:space="preserve">. </w:t>
      </w:r>
      <w:r w:rsidR="008C16FC" w:rsidRPr="00360B83">
        <w:rPr>
          <w:rFonts w:ascii="Georgia" w:hAnsi="Georgia" w:cs="Arial"/>
          <w:color w:val="auto"/>
          <w:spacing w:val="-3"/>
          <w:szCs w:val="24"/>
        </w:rPr>
        <w:t>D</w:t>
      </w:r>
      <w:r w:rsidR="008C16FC" w:rsidRPr="00360B83">
        <w:rPr>
          <w:rFonts w:ascii="Georgia" w:hAnsi="Georgia" w:cs="Arial"/>
          <w:color w:val="auto"/>
          <w:szCs w:val="24"/>
        </w:rPr>
        <w:t>esde la óptica procesal, en presencia de los recursos, deben siempre concurrir los llamados presupuestos de viabilidad, trámite</w:t>
      </w:r>
      <w:r w:rsidR="008C16FC" w:rsidRPr="00360B83">
        <w:rPr>
          <w:rStyle w:val="Refdenotaalpie"/>
          <w:rFonts w:ascii="Georgia" w:hAnsi="Georgia"/>
          <w:color w:val="auto"/>
          <w:szCs w:val="24"/>
        </w:rPr>
        <w:footnoteReference w:id="3"/>
      </w:r>
      <w:r w:rsidR="008C16FC" w:rsidRPr="00360B83">
        <w:rPr>
          <w:rFonts w:ascii="Georgia" w:hAnsi="Georgia" w:cs="Arial"/>
          <w:color w:val="auto"/>
          <w:szCs w:val="24"/>
        </w:rPr>
        <w:t xml:space="preserve">, o </w:t>
      </w:r>
      <w:r w:rsidR="008C16FC" w:rsidRPr="00360B83">
        <w:rPr>
          <w:rFonts w:ascii="Georgia" w:hAnsi="Georgia" w:cs="Arial"/>
          <w:i/>
          <w:color w:val="auto"/>
          <w:szCs w:val="24"/>
        </w:rPr>
        <w:t>condiciones para tener la posibilidad de recurrir</w:t>
      </w:r>
      <w:r w:rsidR="008C16FC" w:rsidRPr="00360B83">
        <w:rPr>
          <w:rStyle w:val="Refdenotaalpie"/>
          <w:rFonts w:ascii="Georgia" w:hAnsi="Georgia"/>
          <w:i/>
          <w:color w:val="auto"/>
          <w:szCs w:val="24"/>
        </w:rPr>
        <w:footnoteReference w:id="4"/>
      </w:r>
      <w:r w:rsidR="008C16FC" w:rsidRPr="00360B83">
        <w:rPr>
          <w:rFonts w:ascii="Georgia" w:hAnsi="Georgia" w:cs="Arial"/>
          <w:color w:val="auto"/>
          <w:szCs w:val="24"/>
        </w:rPr>
        <w:t>, al decir de la doctrina procesal nacional</w:t>
      </w:r>
      <w:r w:rsidR="008C16FC" w:rsidRPr="00360B83">
        <w:rPr>
          <w:rFonts w:ascii="Georgia" w:hAnsi="Georgia" w:cs="Arial"/>
          <w:color w:val="auto"/>
          <w:szCs w:val="24"/>
          <w:vertAlign w:val="superscript"/>
        </w:rPr>
        <w:footnoteReference w:id="5"/>
      </w:r>
      <w:r w:rsidR="008C16FC" w:rsidRPr="00360B83">
        <w:rPr>
          <w:rFonts w:ascii="Georgia" w:hAnsi="Georgia" w:cs="Arial"/>
          <w:color w:val="auto"/>
          <w:szCs w:val="24"/>
          <w:vertAlign w:val="superscript"/>
        </w:rPr>
        <w:t>-</w:t>
      </w:r>
      <w:r w:rsidR="008C16FC" w:rsidRPr="00360B83">
        <w:rPr>
          <w:rFonts w:ascii="Georgia" w:hAnsi="Georgia" w:cs="Arial"/>
          <w:color w:val="auto"/>
          <w:szCs w:val="24"/>
          <w:vertAlign w:val="superscript"/>
        </w:rPr>
        <w:footnoteReference w:id="6"/>
      </w:r>
      <w:r w:rsidR="008C16FC" w:rsidRPr="00360B83">
        <w:rPr>
          <w:rFonts w:ascii="Georgia" w:hAnsi="Georgia" w:cs="Arial"/>
          <w:color w:val="auto"/>
          <w:szCs w:val="24"/>
        </w:rPr>
        <w:t>, a efectos de examinar el tema de apelación.</w:t>
      </w:r>
    </w:p>
    <w:p w14:paraId="7EE4D8A4" w14:textId="77777777" w:rsidR="00164689" w:rsidRPr="00360B83" w:rsidRDefault="00164689" w:rsidP="00360B83">
      <w:pPr>
        <w:pStyle w:val="Textopredeterminado"/>
        <w:spacing w:line="276" w:lineRule="auto"/>
        <w:ind w:left="720"/>
        <w:jc w:val="both"/>
        <w:rPr>
          <w:rFonts w:ascii="Georgia" w:hAnsi="Georgia" w:cs="Arial"/>
          <w:color w:val="auto"/>
          <w:szCs w:val="24"/>
          <w:lang w:val="es-CO"/>
        </w:rPr>
      </w:pPr>
    </w:p>
    <w:p w14:paraId="4A1D297C" w14:textId="2E083CAB" w:rsidR="008C16FC" w:rsidRPr="00360B83" w:rsidRDefault="008C16FC" w:rsidP="00360B83">
      <w:pPr>
        <w:pStyle w:val="Sinespaciado"/>
        <w:spacing w:line="276" w:lineRule="auto"/>
        <w:ind w:left="708"/>
        <w:jc w:val="both"/>
        <w:rPr>
          <w:rFonts w:ascii="Georgia" w:hAnsi="Georgia" w:cs="Arial"/>
          <w:lang w:val="es-CO"/>
        </w:rPr>
      </w:pPr>
      <w:r w:rsidRPr="00360B83">
        <w:rPr>
          <w:rFonts w:ascii="Georgia" w:hAnsi="Georgia" w:cs="Arial"/>
          <w:lang w:val="es-CO"/>
        </w:rPr>
        <w:t xml:space="preserve">Esos presupuestos son una serie de exigencias normativas formales que permiten su trámite y aseguran su decisión.  Así lo anota el maestro López B.: </w:t>
      </w:r>
      <w:r w:rsidRPr="00360B83">
        <w:rPr>
          <w:rFonts w:ascii="Georgia" w:hAnsi="Georgia" w:cs="Arial"/>
          <w:lang w:val="es-CO"/>
        </w:rPr>
        <w:lastRenderedPageBreak/>
        <w:t>“</w:t>
      </w:r>
      <w:r w:rsidRPr="000A668B">
        <w:rPr>
          <w:rFonts w:ascii="Georgia" w:hAnsi="Georgia" w:cs="Arial"/>
          <w:i/>
          <w:sz w:val="22"/>
          <w:lang w:val="es-CO"/>
        </w:rPr>
        <w:t>En todo caso sin estar reunidos los requisitos de viabilidad del recurso jamás se podrá tener éxito en el mismo por constituir un precedente necesario para decidirlo</w:t>
      </w:r>
      <w:r w:rsidRPr="00360B83">
        <w:rPr>
          <w:rFonts w:ascii="Georgia" w:hAnsi="Georgia" w:cs="Arial"/>
          <w:lang w:val="es-CO"/>
        </w:rPr>
        <w:t>”</w:t>
      </w:r>
      <w:r w:rsidRPr="00360B83">
        <w:rPr>
          <w:rFonts w:ascii="Georgia" w:hAnsi="Georgia" w:cs="Arial"/>
          <w:vertAlign w:val="superscript"/>
          <w:lang w:val="es-CO"/>
        </w:rPr>
        <w:footnoteReference w:id="7"/>
      </w:r>
      <w:r w:rsidRPr="00360B83">
        <w:rPr>
          <w:rFonts w:ascii="Georgia" w:hAnsi="Georgia" w:cs="Arial"/>
          <w:lang w:val="es-CO"/>
        </w:rPr>
        <w:t>.  Y lo explica el profesor Rojas G. en su obra: “</w:t>
      </w:r>
      <w:r w:rsidRPr="000A668B">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360B83">
        <w:rPr>
          <w:rFonts w:ascii="Georgia" w:hAnsi="Georgia" w:cs="Arial"/>
          <w:lang w:val="es-CO"/>
        </w:rPr>
        <w:t>”</w:t>
      </w:r>
      <w:r w:rsidRPr="00360B83">
        <w:rPr>
          <w:rStyle w:val="Refdenotaalpie"/>
          <w:rFonts w:ascii="Georgia" w:hAnsi="Georgia" w:cs="Arial"/>
          <w:lang w:val="es-CO"/>
        </w:rPr>
        <w:t xml:space="preserve"> </w:t>
      </w:r>
      <w:r w:rsidRPr="00360B83">
        <w:rPr>
          <w:rStyle w:val="Refdenotaalpie"/>
          <w:rFonts w:ascii="Georgia" w:hAnsi="Georgia" w:cs="Arial"/>
          <w:lang w:val="es-CO"/>
        </w:rPr>
        <w:footnoteReference w:id="8"/>
      </w:r>
      <w:r w:rsidRPr="00360B83">
        <w:rPr>
          <w:rFonts w:ascii="Georgia" w:hAnsi="Georgia" w:cs="Arial"/>
          <w:lang w:val="es-CO"/>
        </w:rPr>
        <w:t>.</w:t>
      </w:r>
    </w:p>
    <w:p w14:paraId="5BCD548F" w14:textId="77777777" w:rsidR="008C16FC" w:rsidRPr="00360B83" w:rsidRDefault="008C16FC" w:rsidP="00360B83">
      <w:pPr>
        <w:pStyle w:val="Sinespaciado"/>
        <w:spacing w:line="276" w:lineRule="auto"/>
        <w:ind w:left="708"/>
        <w:jc w:val="both"/>
        <w:rPr>
          <w:rFonts w:ascii="Georgia" w:hAnsi="Georgia" w:cs="Arial"/>
          <w:lang w:val="es-CO"/>
        </w:rPr>
      </w:pPr>
    </w:p>
    <w:p w14:paraId="6F31DBF8" w14:textId="0D0C3AF3" w:rsidR="008C16FC" w:rsidRPr="00360B83" w:rsidRDefault="008C16FC" w:rsidP="00360B83">
      <w:pPr>
        <w:pStyle w:val="Sinespaciado"/>
        <w:spacing w:line="276" w:lineRule="auto"/>
        <w:ind w:left="708"/>
        <w:jc w:val="both"/>
        <w:rPr>
          <w:rFonts w:ascii="Georgia" w:hAnsi="Georgia" w:cs="Arial"/>
          <w:shd w:val="clear" w:color="auto" w:fill="FFFFFF"/>
          <w:lang w:val="es-CO"/>
        </w:rPr>
      </w:pPr>
      <w:r w:rsidRPr="00360B83">
        <w:rPr>
          <w:rFonts w:ascii="Georgia" w:hAnsi="Georgia" w:cs="Arial"/>
          <w:lang w:val="es-CO"/>
        </w:rPr>
        <w:t>Tales requisitos son concurrentes y necesarios, ausente uno se malogra el estudio de la impugnación. La misma CSJ así lo ha enseñado: “</w:t>
      </w:r>
      <w:r w:rsidRPr="000A668B">
        <w:rPr>
          <w:rFonts w:ascii="Georgia" w:hAnsi="Georgia" w:cs="Arial"/>
          <w:i/>
          <w:sz w:val="22"/>
          <w:lang w:val="es-CO"/>
        </w:rPr>
        <w:t xml:space="preserve">(…) al recibir el expediente, dentro del examen preliminar que le corresponde hacer (C. de </w:t>
      </w:r>
      <w:proofErr w:type="spellStart"/>
      <w:r w:rsidRPr="000A668B">
        <w:rPr>
          <w:rFonts w:ascii="Georgia" w:hAnsi="Georgia" w:cs="Arial"/>
          <w:i/>
          <w:sz w:val="22"/>
          <w:lang w:val="es-CO"/>
        </w:rPr>
        <w:t>P.C</w:t>
      </w:r>
      <w:proofErr w:type="spellEnd"/>
      <w:r w:rsidRPr="000A668B">
        <w:rPr>
          <w:rFonts w:ascii="Georgia" w:hAnsi="Georgia" w:cs="Arial"/>
          <w:i/>
          <w:sz w:val="22"/>
          <w:lang w:val="es-CO"/>
        </w:rPr>
        <w:t xml:space="preserve">., </w:t>
      </w:r>
      <w:proofErr w:type="spellStart"/>
      <w:r w:rsidRPr="000A668B">
        <w:rPr>
          <w:rFonts w:ascii="Georgia" w:hAnsi="Georgia" w:cs="Arial"/>
          <w:i/>
          <w:sz w:val="22"/>
          <w:lang w:val="es-CO"/>
        </w:rPr>
        <w:t>art.358</w:t>
      </w:r>
      <w:proofErr w:type="spellEnd"/>
      <w:r w:rsidRPr="000A668B">
        <w:rPr>
          <w:rFonts w:ascii="Georgia" w:hAnsi="Georgia" w:cs="Arial"/>
          <w:i/>
          <w:sz w:val="22"/>
          <w:lang w:val="es-CO"/>
        </w:rPr>
        <w:t>),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360B83">
        <w:rPr>
          <w:rFonts w:ascii="Georgia" w:hAnsi="Georgia" w:cs="Arial"/>
          <w:lang w:val="es-CO"/>
        </w:rPr>
        <w:t>”</w:t>
      </w:r>
      <w:r w:rsidRPr="00360B83">
        <w:rPr>
          <w:rStyle w:val="Refdenotaalpie"/>
          <w:rFonts w:ascii="Georgia" w:hAnsi="Georgia"/>
          <w:lang w:val="es-CO"/>
        </w:rPr>
        <w:footnoteReference w:id="9"/>
      </w:r>
      <w:r w:rsidRPr="00360B83">
        <w:rPr>
          <w:rFonts w:ascii="Georgia" w:hAnsi="Georgia" w:cs="Arial"/>
          <w:lang w:val="es-CO"/>
        </w:rPr>
        <w:t>. Y en decisión más próxima (2017)</w:t>
      </w:r>
      <w:r w:rsidRPr="00360B83">
        <w:rPr>
          <w:rStyle w:val="Refdenotaalpie"/>
          <w:rFonts w:ascii="Georgia" w:hAnsi="Georgia"/>
          <w:lang w:val="es-CO"/>
        </w:rPr>
        <w:footnoteReference w:id="10"/>
      </w:r>
      <w:r w:rsidRPr="00360B83">
        <w:rPr>
          <w:rFonts w:ascii="Georgia" w:hAnsi="Georgia" w:cs="Arial"/>
          <w:lang w:val="es-CO"/>
        </w:rPr>
        <w:t xml:space="preserve"> recordó: “</w:t>
      </w:r>
      <w:r w:rsidRPr="000A668B">
        <w:rPr>
          <w:rFonts w:ascii="Georgia" w:hAnsi="Georgia" w:cs="Arial"/>
          <w:sz w:val="22"/>
          <w:lang w:val="es-CO"/>
        </w:rPr>
        <w:t xml:space="preserve">(…) </w:t>
      </w:r>
      <w:r w:rsidRPr="000A668B">
        <w:rPr>
          <w:rFonts w:ascii="Georgia" w:hAnsi="Georgia" w:cs="Arial"/>
          <w:i/>
          <w:spacing w:val="-4"/>
          <w:sz w:val="22"/>
          <w:lang w:val="es-CO"/>
        </w:rPr>
        <w:t xml:space="preserve">Por supuesto que, era facultad del superior realizar el análisis preliminar para la «admisión» de la alzada, y conforme a la regla cuarta del canon 325 del </w:t>
      </w:r>
      <w:proofErr w:type="spellStart"/>
      <w:r w:rsidRPr="000A668B">
        <w:rPr>
          <w:rFonts w:ascii="Georgia" w:hAnsi="Georgia" w:cs="Arial"/>
          <w:i/>
          <w:spacing w:val="-4"/>
          <w:sz w:val="22"/>
          <w:lang w:val="es-CO"/>
        </w:rPr>
        <w:t>C.G.P</w:t>
      </w:r>
      <w:proofErr w:type="spellEnd"/>
      <w:r w:rsidRPr="000A668B">
        <w:rPr>
          <w:rFonts w:ascii="Georgia" w:hAnsi="Georgia" w:cs="Arial"/>
          <w:i/>
          <w:spacing w:val="-4"/>
          <w:sz w:val="22"/>
          <w:lang w:val="es-CO"/>
        </w:rPr>
        <w:t>.</w:t>
      </w:r>
      <w:r w:rsidRPr="000A668B">
        <w:rPr>
          <w:rFonts w:ascii="Georgia" w:hAnsi="Georgia" w:cs="Arial"/>
          <w:spacing w:val="-4"/>
          <w:sz w:val="22"/>
          <w:lang w:val="es-CO"/>
        </w:rPr>
        <w:t xml:space="preserve"> </w:t>
      </w:r>
      <w:r w:rsidRPr="000A668B">
        <w:rPr>
          <w:rFonts w:ascii="Georgia" w:hAnsi="Georgia" w:cs="Arial"/>
          <w:i/>
          <w:sz w:val="22"/>
          <w:shd w:val="clear" w:color="auto" w:fill="FFFFFF"/>
          <w:lang w:val="es-CO"/>
        </w:rPr>
        <w:t>(…)</w:t>
      </w:r>
      <w:r w:rsidRPr="00360B83">
        <w:rPr>
          <w:rFonts w:ascii="Georgia" w:hAnsi="Georgia" w:cs="Arial"/>
          <w:i/>
          <w:shd w:val="clear" w:color="auto" w:fill="FFFFFF"/>
          <w:lang w:val="es-CO"/>
        </w:rPr>
        <w:t>”.</w:t>
      </w:r>
    </w:p>
    <w:p w14:paraId="66D0BA1E" w14:textId="77777777" w:rsidR="008C16FC" w:rsidRPr="00360B83" w:rsidRDefault="008C16FC" w:rsidP="00360B83">
      <w:pPr>
        <w:pStyle w:val="Sinespaciado"/>
        <w:spacing w:line="276" w:lineRule="auto"/>
        <w:ind w:left="708"/>
        <w:jc w:val="both"/>
        <w:rPr>
          <w:rFonts w:ascii="Georgia" w:hAnsi="Georgia" w:cs="Times New Roman"/>
          <w:shd w:val="clear" w:color="auto" w:fill="FFFFFF"/>
          <w:lang w:val="es-CO"/>
        </w:rPr>
      </w:pPr>
    </w:p>
    <w:p w14:paraId="7C2AC002" w14:textId="2E32FCFF" w:rsidR="00B16D2A" w:rsidRPr="00360B83" w:rsidRDefault="008C16FC" w:rsidP="00360B83">
      <w:pPr>
        <w:pStyle w:val="Textopredeterminado"/>
        <w:spacing w:line="276" w:lineRule="auto"/>
        <w:ind w:left="708"/>
        <w:jc w:val="both"/>
        <w:rPr>
          <w:rFonts w:ascii="Georgia" w:hAnsi="Georgia" w:cs="Arial"/>
          <w:color w:val="auto"/>
          <w:szCs w:val="24"/>
        </w:rPr>
      </w:pPr>
      <w:r w:rsidRPr="00360B83">
        <w:rPr>
          <w:rFonts w:ascii="Georgia" w:hAnsi="Georgia" w:cs="Arial"/>
          <w:color w:val="auto"/>
          <w:szCs w:val="24"/>
        </w:rPr>
        <w:t xml:space="preserve">Ellos son </w:t>
      </w:r>
      <w:r w:rsidRPr="00360B83">
        <w:rPr>
          <w:rFonts w:ascii="Georgia" w:hAnsi="Georgia" w:cs="Arial"/>
          <w:b/>
          <w:color w:val="auto"/>
          <w:szCs w:val="24"/>
        </w:rPr>
        <w:t>(i)</w:t>
      </w:r>
      <w:r w:rsidRPr="00360B83">
        <w:rPr>
          <w:rFonts w:ascii="Georgia" w:hAnsi="Georgia" w:cs="Arial"/>
          <w:color w:val="auto"/>
          <w:szCs w:val="24"/>
        </w:rPr>
        <w:t xml:space="preserve"> legitimación o interés, </w:t>
      </w:r>
      <w:r w:rsidRPr="00360B83">
        <w:rPr>
          <w:rFonts w:ascii="Georgia" w:hAnsi="Georgia" w:cs="Arial"/>
          <w:b/>
          <w:color w:val="auto"/>
          <w:szCs w:val="24"/>
        </w:rPr>
        <w:t>(ii)</w:t>
      </w:r>
      <w:r w:rsidRPr="00360B83">
        <w:rPr>
          <w:rFonts w:ascii="Georgia" w:hAnsi="Georgia" w:cs="Arial"/>
          <w:color w:val="auto"/>
          <w:szCs w:val="24"/>
        </w:rPr>
        <w:t xml:space="preserve"> oportunidad, </w:t>
      </w:r>
      <w:r w:rsidRPr="00360B83">
        <w:rPr>
          <w:rFonts w:ascii="Georgia" w:hAnsi="Georgia" w:cs="Arial"/>
          <w:b/>
          <w:color w:val="auto"/>
          <w:szCs w:val="24"/>
        </w:rPr>
        <w:t xml:space="preserve">(iii) </w:t>
      </w:r>
      <w:r w:rsidRPr="00360B83">
        <w:rPr>
          <w:rFonts w:ascii="Georgia" w:hAnsi="Georgia" w:cs="Arial"/>
          <w:color w:val="auto"/>
          <w:szCs w:val="24"/>
        </w:rPr>
        <w:t xml:space="preserve">procedencia y </w:t>
      </w:r>
      <w:r w:rsidRPr="00360B83">
        <w:rPr>
          <w:rFonts w:ascii="Georgia" w:hAnsi="Georgia" w:cs="Arial"/>
          <w:b/>
          <w:color w:val="auto"/>
          <w:szCs w:val="24"/>
        </w:rPr>
        <w:t xml:space="preserve">(iv) </w:t>
      </w:r>
      <w:r w:rsidRPr="00360B83">
        <w:rPr>
          <w:rFonts w:ascii="Georgia" w:hAnsi="Georgia" w:cs="Arial"/>
          <w:color w:val="auto"/>
          <w:szCs w:val="24"/>
        </w:rPr>
        <w:t>cargas procesales (Sustentación, expedición de copias, etc.), los tres primeros generan la inadmisibilidad del recurso mientras que el cuarto provoca su deserción, tal como anota la doctrina patria</w:t>
      </w:r>
      <w:r w:rsidRPr="00360B83">
        <w:rPr>
          <w:rStyle w:val="Refdenotaalpie"/>
          <w:rFonts w:ascii="Georgia" w:hAnsi="Georgia"/>
          <w:color w:val="auto"/>
          <w:szCs w:val="24"/>
        </w:rPr>
        <w:footnoteReference w:id="11"/>
      </w:r>
      <w:r w:rsidRPr="00360B83">
        <w:rPr>
          <w:rFonts w:ascii="Georgia" w:hAnsi="Georgia" w:cs="Arial"/>
          <w:color w:val="auto"/>
          <w:szCs w:val="24"/>
          <w:vertAlign w:val="superscript"/>
        </w:rPr>
        <w:t>-</w:t>
      </w:r>
      <w:r w:rsidRPr="00360B83">
        <w:rPr>
          <w:rStyle w:val="Refdenotaalpie"/>
          <w:rFonts w:ascii="Georgia" w:hAnsi="Georgia"/>
          <w:color w:val="auto"/>
          <w:szCs w:val="24"/>
        </w:rPr>
        <w:footnoteReference w:id="12"/>
      </w:r>
      <w:r w:rsidRPr="00360B83">
        <w:rPr>
          <w:rFonts w:ascii="Georgia" w:hAnsi="Georgia" w:cs="Arial"/>
          <w:color w:val="auto"/>
          <w:szCs w:val="24"/>
        </w:rPr>
        <w:t xml:space="preserve">. </w:t>
      </w:r>
      <w:r w:rsidR="00B75F84" w:rsidRPr="00360B83">
        <w:rPr>
          <w:rFonts w:ascii="Georgia" w:hAnsi="Georgia" w:cs="Arial"/>
          <w:color w:val="auto"/>
          <w:szCs w:val="24"/>
        </w:rPr>
        <w:t xml:space="preserve">Los mencionados requisitos son concurrentes y necesarios, ausente uno se malogra el estudio de la impugnación.  </w:t>
      </w:r>
      <w:r w:rsidR="00FA0BC5" w:rsidRPr="00360B83">
        <w:rPr>
          <w:rFonts w:ascii="Georgia" w:hAnsi="Georgia" w:cs="Arial"/>
          <w:color w:val="auto"/>
          <w:szCs w:val="24"/>
        </w:rPr>
        <w:t>En este caso están cumplidos.</w:t>
      </w:r>
    </w:p>
    <w:p w14:paraId="7C2AC003" w14:textId="77777777" w:rsidR="00B16D2A" w:rsidRPr="00360B83" w:rsidRDefault="00B16D2A" w:rsidP="00360B83">
      <w:pPr>
        <w:pStyle w:val="Sinespaciado"/>
        <w:spacing w:line="276" w:lineRule="auto"/>
        <w:jc w:val="both"/>
        <w:rPr>
          <w:rFonts w:ascii="Georgia" w:hAnsi="Georgia" w:cs="Arial"/>
        </w:rPr>
      </w:pPr>
    </w:p>
    <w:p w14:paraId="7C2AC006" w14:textId="23ED79A7" w:rsidR="008C4F68" w:rsidRPr="00360B83" w:rsidRDefault="008C4F68" w:rsidP="00360B83">
      <w:pPr>
        <w:pStyle w:val="Textoindependiente"/>
        <w:numPr>
          <w:ilvl w:val="1"/>
          <w:numId w:val="17"/>
        </w:numPr>
        <w:spacing w:line="276" w:lineRule="auto"/>
        <w:rPr>
          <w:rFonts w:ascii="Georgia" w:hAnsi="Georgia"/>
          <w:szCs w:val="24"/>
        </w:rPr>
      </w:pPr>
      <w:r w:rsidRPr="00360B83">
        <w:rPr>
          <w:rFonts w:ascii="Georgia" w:hAnsi="Georgia" w:cs="Arial"/>
          <w:i/>
          <w:smallCaps/>
          <w:spacing w:val="0"/>
          <w:szCs w:val="24"/>
          <w:lang w:val="es-ES"/>
        </w:rPr>
        <w:t xml:space="preserve">El problema jurídico </w:t>
      </w:r>
      <w:r w:rsidR="00E13CE0" w:rsidRPr="00360B83">
        <w:rPr>
          <w:rFonts w:ascii="Georgia" w:hAnsi="Georgia" w:cs="Arial"/>
          <w:i/>
          <w:smallCaps/>
          <w:spacing w:val="0"/>
          <w:szCs w:val="24"/>
          <w:lang w:val="es-ES"/>
        </w:rPr>
        <w:t>por</w:t>
      </w:r>
      <w:r w:rsidRPr="00360B83">
        <w:rPr>
          <w:rFonts w:ascii="Georgia" w:hAnsi="Georgia" w:cs="Arial"/>
          <w:i/>
          <w:smallCaps/>
          <w:spacing w:val="0"/>
          <w:szCs w:val="24"/>
          <w:lang w:val="es-ES"/>
        </w:rPr>
        <w:t xml:space="preserve"> resolver</w:t>
      </w:r>
      <w:r w:rsidR="00163A34" w:rsidRPr="00360B83">
        <w:rPr>
          <w:rFonts w:ascii="Georgia" w:hAnsi="Georgia" w:cs="Arial"/>
          <w:i/>
          <w:smallCaps/>
          <w:spacing w:val="0"/>
          <w:szCs w:val="24"/>
          <w:lang w:val="es-ES"/>
        </w:rPr>
        <w:t>.</w:t>
      </w:r>
      <w:r w:rsidR="00163A34" w:rsidRPr="00360B83">
        <w:rPr>
          <w:rFonts w:ascii="Georgia" w:hAnsi="Georgia" w:cs="Arial"/>
          <w:smallCaps/>
          <w:spacing w:val="0"/>
          <w:szCs w:val="24"/>
          <w:lang w:val="es-ES"/>
        </w:rPr>
        <w:t xml:space="preserve"> </w:t>
      </w:r>
      <w:r w:rsidRPr="00360B83">
        <w:rPr>
          <w:rFonts w:ascii="Georgia" w:hAnsi="Georgia"/>
          <w:szCs w:val="24"/>
        </w:rPr>
        <w:t xml:space="preserve">¿Debe reponerse, para </w:t>
      </w:r>
      <w:r w:rsidR="00163A34" w:rsidRPr="00360B83">
        <w:rPr>
          <w:rFonts w:ascii="Georgia" w:hAnsi="Georgia"/>
          <w:szCs w:val="24"/>
        </w:rPr>
        <w:t>en su lugar tener por sustentado el recurso de apelación y darle trámite</w:t>
      </w:r>
      <w:r w:rsidRPr="00360B83">
        <w:rPr>
          <w:rFonts w:ascii="Georgia" w:hAnsi="Georgia"/>
          <w:szCs w:val="24"/>
        </w:rPr>
        <w:t>, según la reposición formulada por l</w:t>
      </w:r>
      <w:r w:rsidR="00163A34" w:rsidRPr="00360B83">
        <w:rPr>
          <w:rFonts w:ascii="Georgia" w:hAnsi="Georgia"/>
          <w:szCs w:val="24"/>
        </w:rPr>
        <w:t>a</w:t>
      </w:r>
      <w:r w:rsidRPr="00360B83">
        <w:rPr>
          <w:rFonts w:ascii="Georgia" w:hAnsi="Georgia"/>
          <w:szCs w:val="24"/>
        </w:rPr>
        <w:t xml:space="preserve"> apoderad</w:t>
      </w:r>
      <w:r w:rsidR="00163A34" w:rsidRPr="00360B83">
        <w:rPr>
          <w:rFonts w:ascii="Georgia" w:hAnsi="Georgia"/>
          <w:szCs w:val="24"/>
        </w:rPr>
        <w:t>a</w:t>
      </w:r>
      <w:r w:rsidRPr="00360B83">
        <w:rPr>
          <w:rFonts w:ascii="Georgia" w:hAnsi="Georgia"/>
          <w:szCs w:val="24"/>
        </w:rPr>
        <w:t xml:space="preserve"> judicial de la parte </w:t>
      </w:r>
      <w:r w:rsidR="00385E87" w:rsidRPr="00360B83">
        <w:rPr>
          <w:rFonts w:ascii="Georgia" w:hAnsi="Georgia"/>
          <w:szCs w:val="24"/>
        </w:rPr>
        <w:t>demanda</w:t>
      </w:r>
      <w:r w:rsidR="00163A34" w:rsidRPr="00360B83">
        <w:rPr>
          <w:rFonts w:ascii="Georgia" w:hAnsi="Georgia"/>
          <w:szCs w:val="24"/>
        </w:rPr>
        <w:t>nte</w:t>
      </w:r>
      <w:r w:rsidRPr="00360B83">
        <w:rPr>
          <w:rFonts w:ascii="Georgia" w:hAnsi="Georgia"/>
          <w:szCs w:val="24"/>
        </w:rPr>
        <w:t>?</w:t>
      </w:r>
    </w:p>
    <w:p w14:paraId="6860BB5B" w14:textId="77777777" w:rsidR="006A2C31" w:rsidRPr="00360B83" w:rsidRDefault="006A2C31" w:rsidP="00360B83">
      <w:pPr>
        <w:pStyle w:val="Textoindependiente"/>
        <w:spacing w:line="276" w:lineRule="auto"/>
        <w:ind w:left="720"/>
        <w:rPr>
          <w:rFonts w:ascii="Georgia" w:hAnsi="Georgia"/>
          <w:szCs w:val="24"/>
        </w:rPr>
      </w:pPr>
    </w:p>
    <w:p w14:paraId="7C2AC007" w14:textId="77777777" w:rsidR="008C4F68" w:rsidRPr="00360B83" w:rsidRDefault="008C4F68" w:rsidP="00360B83">
      <w:pPr>
        <w:pStyle w:val="Textopredeterminado"/>
        <w:numPr>
          <w:ilvl w:val="1"/>
          <w:numId w:val="17"/>
        </w:numPr>
        <w:spacing w:line="276" w:lineRule="auto"/>
        <w:jc w:val="both"/>
        <w:textAlignment w:val="baseline"/>
        <w:rPr>
          <w:rFonts w:ascii="Georgia" w:hAnsi="Georgia" w:cs="Arial"/>
          <w:i/>
          <w:smallCaps/>
          <w:color w:val="auto"/>
          <w:szCs w:val="24"/>
        </w:rPr>
      </w:pPr>
      <w:r w:rsidRPr="00360B83">
        <w:rPr>
          <w:rFonts w:ascii="Georgia" w:hAnsi="Georgia" w:cs="Arial"/>
          <w:i/>
          <w:smallCaps/>
          <w:color w:val="auto"/>
          <w:szCs w:val="24"/>
        </w:rPr>
        <w:t>La resolución del problema jurídico</w:t>
      </w:r>
    </w:p>
    <w:p w14:paraId="7C2AC008" w14:textId="272A1F07" w:rsidR="005776F2" w:rsidRPr="00360B83" w:rsidRDefault="005776F2" w:rsidP="00360B83">
      <w:pPr>
        <w:pStyle w:val="Textopredeterminado"/>
        <w:spacing w:line="276" w:lineRule="auto"/>
        <w:ind w:left="720"/>
        <w:jc w:val="both"/>
        <w:textAlignment w:val="baseline"/>
        <w:rPr>
          <w:rFonts w:ascii="Georgia" w:hAnsi="Georgia" w:cs="Arial"/>
          <w:smallCaps/>
          <w:color w:val="auto"/>
          <w:szCs w:val="24"/>
        </w:rPr>
      </w:pPr>
    </w:p>
    <w:p w14:paraId="6FC0D433" w14:textId="07E53FBF" w:rsidR="00E2193F" w:rsidRPr="00360B83" w:rsidRDefault="00E2193F" w:rsidP="00360B83">
      <w:pPr>
        <w:pStyle w:val="Prrafodelista"/>
        <w:numPr>
          <w:ilvl w:val="2"/>
          <w:numId w:val="17"/>
        </w:numPr>
        <w:spacing w:line="276" w:lineRule="auto"/>
        <w:contextualSpacing/>
        <w:rPr>
          <w:rFonts w:ascii="Georgia" w:hAnsi="Georgia" w:cs="Arial"/>
          <w:smallCaps/>
          <w:sz w:val="24"/>
          <w:szCs w:val="24"/>
          <w:lang w:val="es-CO"/>
        </w:rPr>
      </w:pPr>
      <w:r w:rsidRPr="00360B83">
        <w:rPr>
          <w:rFonts w:ascii="Georgia" w:hAnsi="Georgia" w:cs="Arial"/>
          <w:smallCaps/>
          <w:sz w:val="24"/>
          <w:szCs w:val="24"/>
          <w:lang w:val="es-CO"/>
        </w:rPr>
        <w:t>Los límites en el ámbito decisional de la alzada</w:t>
      </w:r>
    </w:p>
    <w:p w14:paraId="53998F7A" w14:textId="77777777" w:rsidR="00E2193F" w:rsidRPr="00360B83" w:rsidRDefault="00E2193F" w:rsidP="00360B83">
      <w:pPr>
        <w:spacing w:line="276" w:lineRule="auto"/>
        <w:rPr>
          <w:rFonts w:ascii="Georgia" w:hAnsi="Georgia" w:cs="Arial"/>
          <w:sz w:val="24"/>
          <w:szCs w:val="24"/>
          <w:lang w:val="es-CO"/>
        </w:rPr>
      </w:pPr>
    </w:p>
    <w:p w14:paraId="45222B57" w14:textId="77777777" w:rsidR="00E2193F" w:rsidRPr="00360B83" w:rsidRDefault="00E2193F" w:rsidP="00360B83">
      <w:pPr>
        <w:widowControl w:val="0"/>
        <w:overflowPunct w:val="0"/>
        <w:autoSpaceDE w:val="0"/>
        <w:autoSpaceDN w:val="0"/>
        <w:adjustRightInd w:val="0"/>
        <w:spacing w:line="276" w:lineRule="auto"/>
        <w:jc w:val="both"/>
        <w:rPr>
          <w:rFonts w:ascii="Georgia" w:hAnsi="Georgia" w:cs="Arial"/>
          <w:sz w:val="24"/>
          <w:szCs w:val="24"/>
          <w:lang w:val="es-CO"/>
        </w:rPr>
      </w:pPr>
      <w:r w:rsidRPr="00360B83">
        <w:rPr>
          <w:rFonts w:ascii="Georgia" w:hAnsi="Georgia" w:cs="Arial"/>
          <w:sz w:val="24"/>
          <w:szCs w:val="24"/>
          <w:lang w:val="es-CO"/>
        </w:rPr>
        <w:t>El trazado de los puntos que, son materia de análisis en esta instancia, está delimitado por los precisos reparos formulados por la parte recurrente, según prescripción normativa expresa de los artículos 320 y 328, ib., aplicación particular del principio dispositivo. En ese contexto se desarrollará el análisis siguiente.</w:t>
      </w:r>
    </w:p>
    <w:p w14:paraId="4AE57149" w14:textId="77777777" w:rsidR="00E2193F" w:rsidRPr="00360B83" w:rsidRDefault="00E2193F" w:rsidP="00360B83">
      <w:pPr>
        <w:pStyle w:val="Cuerpodeltexto0"/>
        <w:shd w:val="clear" w:color="auto" w:fill="auto"/>
        <w:spacing w:after="0" w:line="276" w:lineRule="auto"/>
        <w:ind w:left="567" w:right="567"/>
        <w:rPr>
          <w:rFonts w:ascii="Georgia" w:hAnsi="Georgia" w:cs="Arial"/>
          <w:sz w:val="24"/>
          <w:szCs w:val="24"/>
          <w:shd w:val="clear" w:color="auto" w:fill="FFFFFF"/>
        </w:rPr>
      </w:pPr>
    </w:p>
    <w:p w14:paraId="4E4E7846" w14:textId="45923ABC" w:rsidR="00AD42A0" w:rsidRPr="00360B83" w:rsidRDefault="00AD42A0" w:rsidP="00360B83">
      <w:pPr>
        <w:pStyle w:val="Prrafodelista"/>
        <w:numPr>
          <w:ilvl w:val="2"/>
          <w:numId w:val="17"/>
        </w:numPr>
        <w:spacing w:line="276" w:lineRule="auto"/>
        <w:jc w:val="both"/>
        <w:rPr>
          <w:rFonts w:ascii="Georgia" w:hAnsi="Georgia" w:cs="Arial"/>
          <w:sz w:val="24"/>
          <w:szCs w:val="24"/>
        </w:rPr>
      </w:pPr>
      <w:r w:rsidRPr="00360B83">
        <w:rPr>
          <w:rFonts w:ascii="Georgia" w:hAnsi="Georgia" w:cs="Arial"/>
          <w:smallCaps/>
          <w:sz w:val="24"/>
          <w:szCs w:val="24"/>
        </w:rPr>
        <w:t xml:space="preserve">Análisis del caso - </w:t>
      </w:r>
      <w:r w:rsidR="00D916C0" w:rsidRPr="00360B83">
        <w:rPr>
          <w:rFonts w:ascii="Georgia" w:hAnsi="Georgia" w:cs="Arial"/>
          <w:smallCaps/>
          <w:sz w:val="24"/>
          <w:szCs w:val="24"/>
        </w:rPr>
        <w:t>La sustentación del recurso</w:t>
      </w:r>
    </w:p>
    <w:p w14:paraId="251ED0CB" w14:textId="77777777" w:rsidR="00AD42A0" w:rsidRPr="00360B83" w:rsidRDefault="00AD42A0" w:rsidP="00360B83">
      <w:pPr>
        <w:spacing w:line="276" w:lineRule="auto"/>
        <w:jc w:val="both"/>
        <w:rPr>
          <w:rFonts w:ascii="Georgia" w:hAnsi="Georgia" w:cs="Arial"/>
          <w:sz w:val="24"/>
          <w:szCs w:val="24"/>
        </w:rPr>
      </w:pPr>
    </w:p>
    <w:p w14:paraId="006E4630" w14:textId="382FFAC6" w:rsidR="00D916C0" w:rsidRPr="00360B83" w:rsidRDefault="00AD42A0" w:rsidP="00360B83">
      <w:pPr>
        <w:spacing w:line="276" w:lineRule="auto"/>
        <w:jc w:val="both"/>
        <w:rPr>
          <w:rFonts w:ascii="Georgia" w:hAnsi="Georgia" w:cs="Arial"/>
          <w:sz w:val="24"/>
          <w:szCs w:val="24"/>
        </w:rPr>
      </w:pPr>
      <w:r w:rsidRPr="00360B83">
        <w:rPr>
          <w:rFonts w:ascii="Georgia" w:hAnsi="Georgia" w:cs="Arial"/>
          <w:sz w:val="24"/>
          <w:szCs w:val="24"/>
        </w:rPr>
        <w:t xml:space="preserve">Se </w:t>
      </w:r>
      <w:r w:rsidR="00D916C0" w:rsidRPr="00360B83">
        <w:rPr>
          <w:rFonts w:ascii="Georgia" w:hAnsi="Georgia" w:cs="Arial"/>
          <w:sz w:val="24"/>
          <w:szCs w:val="24"/>
        </w:rPr>
        <w:t>entiende como la exposición de las razones y fundamentos al Juez</w:t>
      </w:r>
      <w:r w:rsidR="006A2C31" w:rsidRPr="00360B83">
        <w:rPr>
          <w:rFonts w:ascii="Georgia" w:hAnsi="Georgia" w:cs="Arial"/>
          <w:sz w:val="24"/>
          <w:szCs w:val="24"/>
        </w:rPr>
        <w:t>,</w:t>
      </w:r>
      <w:r w:rsidR="00D916C0" w:rsidRPr="00360B83">
        <w:rPr>
          <w:rFonts w:ascii="Georgia" w:hAnsi="Georgia" w:cs="Arial"/>
          <w:sz w:val="24"/>
          <w:szCs w:val="24"/>
        </w:rPr>
        <w:t xml:space="preserve"> de por</w:t>
      </w:r>
      <w:r w:rsidR="006A2C31" w:rsidRPr="00360B83">
        <w:rPr>
          <w:rFonts w:ascii="Georgia" w:hAnsi="Georgia" w:cs="Arial"/>
          <w:sz w:val="24"/>
          <w:szCs w:val="24"/>
        </w:rPr>
        <w:t xml:space="preserve"> </w:t>
      </w:r>
      <w:r w:rsidR="00D916C0" w:rsidRPr="00360B83">
        <w:rPr>
          <w:rFonts w:ascii="Georgia" w:hAnsi="Georgia" w:cs="Arial"/>
          <w:sz w:val="24"/>
          <w:szCs w:val="24"/>
        </w:rPr>
        <w:t xml:space="preserve">qué la </w:t>
      </w:r>
      <w:r w:rsidR="00D916C0" w:rsidRPr="00360B83">
        <w:rPr>
          <w:rFonts w:ascii="Georgia" w:hAnsi="Georgia" w:cs="Arial"/>
          <w:i/>
          <w:iCs/>
          <w:sz w:val="24"/>
          <w:szCs w:val="24"/>
        </w:rPr>
        <w:t>“</w:t>
      </w:r>
      <w:r w:rsidR="00D916C0" w:rsidRPr="000A668B">
        <w:rPr>
          <w:rFonts w:ascii="Georgia" w:hAnsi="Georgia" w:cs="Arial"/>
          <w:i/>
          <w:iCs/>
          <w:sz w:val="22"/>
          <w:szCs w:val="24"/>
        </w:rPr>
        <w:t xml:space="preserve">(…) providencia está errada, con el fin de que proceda a modificarla o revocarla, por </w:t>
      </w:r>
      <w:r w:rsidR="00D916C0" w:rsidRPr="000A668B">
        <w:rPr>
          <w:rFonts w:ascii="Georgia" w:hAnsi="Georgia" w:cs="Arial"/>
          <w:i/>
          <w:iCs/>
          <w:sz w:val="22"/>
          <w:szCs w:val="24"/>
        </w:rPr>
        <w:lastRenderedPageBreak/>
        <w:t>cuanto es evidente que si el juez no tiene esa base, no le es dable entrar a resolver (…)</w:t>
      </w:r>
      <w:r w:rsidR="00D916C0" w:rsidRPr="00360B83">
        <w:rPr>
          <w:rFonts w:ascii="Georgia" w:hAnsi="Georgia" w:cs="Arial"/>
          <w:i/>
          <w:iCs/>
          <w:sz w:val="24"/>
          <w:szCs w:val="24"/>
        </w:rPr>
        <w:t>”</w:t>
      </w:r>
      <w:r w:rsidR="00D916C0" w:rsidRPr="00360B83">
        <w:rPr>
          <w:rFonts w:ascii="Georgia" w:hAnsi="Georgia"/>
          <w:sz w:val="24"/>
          <w:szCs w:val="24"/>
          <w:vertAlign w:val="superscript"/>
        </w:rPr>
        <w:footnoteReference w:id="13"/>
      </w:r>
      <w:r w:rsidR="00D916C0" w:rsidRPr="00360B83">
        <w:rPr>
          <w:rFonts w:ascii="Georgia" w:hAnsi="Georgia" w:cs="Arial"/>
          <w:sz w:val="24"/>
          <w:szCs w:val="24"/>
        </w:rPr>
        <w:t xml:space="preserve">.  Es que no basta el mero deseo de la parte de recurrir una determinada providencia, sino que debe indicar el porqué de su inconformidad debidamente fundamentada. </w:t>
      </w:r>
      <w:r w:rsidR="0016063E" w:rsidRPr="00360B83">
        <w:rPr>
          <w:rFonts w:ascii="Georgia" w:hAnsi="Georgia" w:cs="Arial"/>
          <w:sz w:val="24"/>
          <w:szCs w:val="24"/>
        </w:rPr>
        <w:t xml:space="preserve">En esa </w:t>
      </w:r>
      <w:r w:rsidR="00D916C0" w:rsidRPr="00360B83">
        <w:rPr>
          <w:rFonts w:ascii="Georgia" w:hAnsi="Georgia" w:cs="Arial"/>
          <w:sz w:val="24"/>
          <w:szCs w:val="24"/>
        </w:rPr>
        <w:t xml:space="preserve">misma línea de pensamiento, </w:t>
      </w:r>
      <w:r w:rsidR="0016063E" w:rsidRPr="00360B83">
        <w:rPr>
          <w:rFonts w:ascii="Georgia" w:hAnsi="Georgia" w:cs="Arial"/>
          <w:sz w:val="24"/>
          <w:szCs w:val="24"/>
        </w:rPr>
        <w:t xml:space="preserve">lo comenta </w:t>
      </w:r>
      <w:r w:rsidR="00D916C0" w:rsidRPr="00360B83">
        <w:rPr>
          <w:rFonts w:ascii="Georgia" w:hAnsi="Georgia" w:cs="Arial"/>
          <w:sz w:val="24"/>
          <w:szCs w:val="24"/>
        </w:rPr>
        <w:t>el profesor Rojas G</w:t>
      </w:r>
      <w:r w:rsidR="00D916C0" w:rsidRPr="00360B83">
        <w:rPr>
          <w:rStyle w:val="Refdenotaalpie"/>
          <w:rFonts w:ascii="Georgia" w:hAnsi="Georgia" w:cs="Arial"/>
          <w:sz w:val="24"/>
          <w:szCs w:val="24"/>
        </w:rPr>
        <w:footnoteReference w:id="14"/>
      </w:r>
      <w:r w:rsidR="00D916C0" w:rsidRPr="00360B83">
        <w:rPr>
          <w:rFonts w:ascii="Georgia" w:hAnsi="Georgia" w:cs="Arial"/>
          <w:sz w:val="24"/>
          <w:szCs w:val="24"/>
        </w:rPr>
        <w:t>.</w:t>
      </w:r>
    </w:p>
    <w:p w14:paraId="21874042" w14:textId="77777777" w:rsidR="00D916C0" w:rsidRPr="00360B83" w:rsidRDefault="00D916C0" w:rsidP="00360B83">
      <w:pPr>
        <w:pStyle w:val="Sinespaciado"/>
        <w:spacing w:line="276" w:lineRule="auto"/>
        <w:jc w:val="both"/>
        <w:rPr>
          <w:rFonts w:ascii="Georgia" w:hAnsi="Georgia" w:cs="Arial"/>
        </w:rPr>
      </w:pPr>
    </w:p>
    <w:p w14:paraId="5CB8ECE2" w14:textId="77777777" w:rsidR="00D916C0" w:rsidRPr="00360B83" w:rsidRDefault="00D916C0" w:rsidP="00360B83">
      <w:pPr>
        <w:pStyle w:val="Sinespaciado"/>
        <w:spacing w:line="276" w:lineRule="auto"/>
        <w:jc w:val="both"/>
        <w:rPr>
          <w:rFonts w:ascii="Georgia" w:hAnsi="Georgia" w:cs="Arial"/>
          <w:lang w:val="es-CO"/>
        </w:rPr>
      </w:pPr>
      <w:r w:rsidRPr="00360B83">
        <w:rPr>
          <w:rFonts w:ascii="Georgia" w:hAnsi="Georgia" w:cs="Arial"/>
          <w:lang w:val="es-CO"/>
        </w:rPr>
        <w:t xml:space="preserve">El recurso de apelación no es simplemente una manifestación aislada de disconformidad por parte de los intervinientes ante una decisión que afecta sus intereses, en realidad, equivale a una labor seria y juiciosa que implica el estudio de aquellos puntos sobre los cuales se discrepa, para luego refutarlos o controvertirlos fundadamente, teniendo en cuenta que la gestión de la segunda instancia, en últimas, es la de auscultar en los argumentos de la impugnación para concluir, si según los motivos expuestos allí, le asiste razón o no. </w:t>
      </w:r>
    </w:p>
    <w:p w14:paraId="3D647554" w14:textId="77777777" w:rsidR="00D916C0" w:rsidRPr="00360B83" w:rsidRDefault="00D916C0" w:rsidP="00360B83">
      <w:pPr>
        <w:pStyle w:val="Sinespaciado"/>
        <w:spacing w:line="276" w:lineRule="auto"/>
        <w:jc w:val="both"/>
        <w:rPr>
          <w:rFonts w:ascii="Georgia" w:hAnsi="Georgia" w:cs="Arial"/>
        </w:rPr>
      </w:pPr>
    </w:p>
    <w:p w14:paraId="719655AD" w14:textId="13AA183B" w:rsidR="00D916C0" w:rsidRPr="00360B83" w:rsidRDefault="00D916C0" w:rsidP="00360B83">
      <w:pPr>
        <w:pStyle w:val="Sinespaciado"/>
        <w:spacing w:line="276" w:lineRule="auto"/>
        <w:jc w:val="both"/>
        <w:rPr>
          <w:rFonts w:ascii="Georgia" w:hAnsi="Georgia" w:cs="Arial"/>
        </w:rPr>
      </w:pPr>
      <w:r w:rsidRPr="00360B83">
        <w:rPr>
          <w:rFonts w:ascii="Georgia" w:hAnsi="Georgia" w:cs="Arial"/>
          <w:lang w:val="es-CO"/>
        </w:rPr>
        <w:t xml:space="preserve">Sobre el tema se ha ocupado la </w:t>
      </w:r>
      <w:r w:rsidR="006F0BD4" w:rsidRPr="00360B83">
        <w:rPr>
          <w:rFonts w:ascii="Georgia" w:hAnsi="Georgia" w:cs="Arial"/>
          <w:lang w:val="es-CO"/>
        </w:rPr>
        <w:t>jurisprudencia de las Altas Cortes</w:t>
      </w:r>
      <w:r w:rsidR="006F0BD4" w:rsidRPr="00360B83">
        <w:rPr>
          <w:rStyle w:val="Refdenotaalpie"/>
          <w:rFonts w:ascii="Georgia" w:hAnsi="Georgia"/>
          <w:lang w:val="es-CO"/>
        </w:rPr>
        <w:footnoteReference w:id="15"/>
      </w:r>
      <w:r w:rsidR="006F0BD4" w:rsidRPr="00360B83">
        <w:rPr>
          <w:rFonts w:ascii="Georgia" w:hAnsi="Georgia" w:cs="Arial"/>
          <w:vertAlign w:val="superscript"/>
          <w:lang w:val="es-CO"/>
        </w:rPr>
        <w:t>-</w:t>
      </w:r>
      <w:r w:rsidR="006F0BD4" w:rsidRPr="00360B83">
        <w:rPr>
          <w:rStyle w:val="Refdenotaalpie"/>
          <w:rFonts w:ascii="Georgia" w:hAnsi="Georgia"/>
          <w:lang w:val="es-CO"/>
        </w:rPr>
        <w:footnoteReference w:id="16"/>
      </w:r>
      <w:r w:rsidRPr="00360B83">
        <w:rPr>
          <w:rFonts w:ascii="Georgia" w:hAnsi="Georgia" w:cs="Arial"/>
        </w:rPr>
        <w:t xml:space="preserve"> desde antaño, </w:t>
      </w:r>
      <w:r w:rsidR="0016063E" w:rsidRPr="00360B83">
        <w:rPr>
          <w:rFonts w:ascii="Georgia" w:hAnsi="Georgia" w:cs="Arial"/>
        </w:rPr>
        <w:t xml:space="preserve">y </w:t>
      </w:r>
      <w:r w:rsidRPr="00360B83">
        <w:rPr>
          <w:rFonts w:ascii="Georgia" w:hAnsi="Georgia" w:cs="Arial"/>
        </w:rPr>
        <w:t>precisa que la sustentación</w:t>
      </w:r>
      <w:r w:rsidR="006F0BD4" w:rsidRPr="00360B83">
        <w:rPr>
          <w:rFonts w:ascii="Georgia" w:hAnsi="Georgia" w:cs="Arial"/>
        </w:rPr>
        <w:t xml:space="preserve"> i</w:t>
      </w:r>
      <w:r w:rsidRPr="00360B83">
        <w:rPr>
          <w:rFonts w:ascii="Georgia" w:hAnsi="Georgia" w:cs="Arial"/>
        </w:rPr>
        <w:t xml:space="preserve">mpone al recurrente </w:t>
      </w:r>
      <w:r w:rsidR="006F0BD4" w:rsidRPr="00360B83">
        <w:rPr>
          <w:rFonts w:ascii="Georgia" w:hAnsi="Georgia" w:cs="Arial"/>
        </w:rPr>
        <w:t xml:space="preserve">indicar </w:t>
      </w:r>
      <w:r w:rsidRPr="00360B83">
        <w:rPr>
          <w:rFonts w:ascii="Georgia" w:hAnsi="Georgia" w:cs="Arial"/>
        </w:rPr>
        <w:t>con razones claras y puntuales su descontento</w:t>
      </w:r>
      <w:r w:rsidR="0016063E" w:rsidRPr="00360B83">
        <w:rPr>
          <w:rFonts w:ascii="Georgia" w:hAnsi="Georgia" w:cs="Arial"/>
        </w:rPr>
        <w:t>.</w:t>
      </w:r>
    </w:p>
    <w:p w14:paraId="7F705A49" w14:textId="77777777" w:rsidR="0016063E" w:rsidRPr="00360B83" w:rsidRDefault="0016063E" w:rsidP="00360B83">
      <w:pPr>
        <w:pStyle w:val="Sinespaciado"/>
        <w:spacing w:line="276" w:lineRule="auto"/>
        <w:jc w:val="both"/>
        <w:rPr>
          <w:rFonts w:ascii="Georgia" w:hAnsi="Georgia" w:cs="Arial"/>
        </w:rPr>
      </w:pPr>
    </w:p>
    <w:p w14:paraId="63926DEA" w14:textId="293E330D" w:rsidR="00D916C0" w:rsidRPr="00360B83" w:rsidRDefault="00D764CA" w:rsidP="00360B83">
      <w:pPr>
        <w:spacing w:line="276" w:lineRule="auto"/>
        <w:jc w:val="both"/>
        <w:rPr>
          <w:rFonts w:ascii="Georgia" w:hAnsi="Georgia" w:cs="Arial"/>
          <w:i/>
          <w:sz w:val="24"/>
          <w:szCs w:val="24"/>
        </w:rPr>
      </w:pPr>
      <w:r w:rsidRPr="00360B83">
        <w:rPr>
          <w:rFonts w:ascii="Georgia" w:hAnsi="Georgia" w:cs="Arial"/>
          <w:sz w:val="24"/>
          <w:szCs w:val="24"/>
        </w:rPr>
        <w:t xml:space="preserve">El presupuesto de que se viene hablando, </w:t>
      </w:r>
      <w:r w:rsidR="00D916C0" w:rsidRPr="00360B83">
        <w:rPr>
          <w:rFonts w:ascii="Georgia" w:hAnsi="Georgia" w:cs="Arial"/>
          <w:sz w:val="24"/>
          <w:szCs w:val="24"/>
        </w:rPr>
        <w:t>en vigencia del CGP</w:t>
      </w:r>
      <w:r w:rsidRPr="00360B83">
        <w:rPr>
          <w:rFonts w:ascii="Georgia" w:hAnsi="Georgia" w:cs="Arial"/>
          <w:sz w:val="24"/>
          <w:szCs w:val="24"/>
        </w:rPr>
        <w:t xml:space="preserve">, esta </w:t>
      </w:r>
      <w:r w:rsidR="00D916C0" w:rsidRPr="00360B83">
        <w:rPr>
          <w:rFonts w:ascii="Georgia" w:hAnsi="Georgia" w:cs="Arial"/>
          <w:sz w:val="24"/>
          <w:szCs w:val="24"/>
        </w:rPr>
        <w:t>est</w:t>
      </w:r>
      <w:r w:rsidRPr="00360B83">
        <w:rPr>
          <w:rFonts w:ascii="Georgia" w:hAnsi="Georgia" w:cs="Arial"/>
          <w:sz w:val="24"/>
          <w:szCs w:val="24"/>
        </w:rPr>
        <w:t xml:space="preserve">atuido en </w:t>
      </w:r>
      <w:r w:rsidR="00D916C0" w:rsidRPr="00360B83">
        <w:rPr>
          <w:rFonts w:ascii="Georgia" w:hAnsi="Georgia" w:cs="Arial"/>
          <w:sz w:val="24"/>
          <w:szCs w:val="24"/>
        </w:rPr>
        <w:t>el artículo 322 que</w:t>
      </w:r>
      <w:r w:rsidRPr="00360B83">
        <w:rPr>
          <w:rFonts w:ascii="Georgia" w:hAnsi="Georgia" w:cs="Arial"/>
          <w:sz w:val="24"/>
          <w:szCs w:val="24"/>
        </w:rPr>
        <w:t xml:space="preserve"> consagra</w:t>
      </w:r>
      <w:r w:rsidR="00D916C0" w:rsidRPr="00360B83">
        <w:rPr>
          <w:rFonts w:ascii="Georgia" w:hAnsi="Georgia" w:cs="Arial"/>
          <w:sz w:val="24"/>
          <w:szCs w:val="24"/>
        </w:rPr>
        <w:t xml:space="preserve">: </w:t>
      </w:r>
      <w:r w:rsidR="00D916C0" w:rsidRPr="00360B83">
        <w:rPr>
          <w:rFonts w:ascii="Georgia" w:hAnsi="Georgia" w:cs="Arial"/>
          <w:i/>
          <w:sz w:val="24"/>
          <w:szCs w:val="24"/>
        </w:rPr>
        <w:t>“</w:t>
      </w:r>
      <w:r w:rsidR="00D916C0" w:rsidRPr="000A668B">
        <w:rPr>
          <w:rFonts w:ascii="Georgia" w:hAnsi="Georgia" w:cs="Arial"/>
          <w:i/>
          <w:sz w:val="22"/>
          <w:szCs w:val="24"/>
        </w:rPr>
        <w:t xml:space="preserve">(…) </w:t>
      </w:r>
      <w:r w:rsidR="00D916C0" w:rsidRPr="000A668B">
        <w:rPr>
          <w:rFonts w:ascii="Georgia" w:hAnsi="Georgia" w:cs="Arial"/>
          <w:i/>
          <w:sz w:val="22"/>
          <w:szCs w:val="24"/>
          <w:lang w:val="es-CO"/>
        </w:rPr>
        <w:t xml:space="preserve">Cuando </w:t>
      </w:r>
      <w:r w:rsidR="00D916C0" w:rsidRPr="000A668B">
        <w:rPr>
          <w:rFonts w:ascii="Georgia" w:hAnsi="Georgia" w:cs="Arial"/>
          <w:i/>
          <w:sz w:val="22"/>
          <w:szCs w:val="24"/>
        </w:rPr>
        <w:t>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w:t>
      </w:r>
      <w:r w:rsidR="000A668B">
        <w:rPr>
          <w:rFonts w:ascii="Georgia" w:hAnsi="Georgia" w:cs="Arial"/>
          <w:i/>
          <w:sz w:val="22"/>
          <w:szCs w:val="24"/>
        </w:rPr>
        <w:t xml:space="preserve"> </w:t>
      </w:r>
      <w:r w:rsidR="00D916C0" w:rsidRPr="000A668B">
        <w:rPr>
          <w:rFonts w:ascii="Georgia" w:hAnsi="Georgia" w:cs="Arial"/>
          <w:i/>
          <w:sz w:val="22"/>
          <w:szCs w:val="24"/>
        </w:rPr>
        <w:t>(…)</w:t>
      </w:r>
      <w:r w:rsidR="00D916C0" w:rsidRPr="00360B83">
        <w:rPr>
          <w:rFonts w:ascii="Georgia" w:hAnsi="Georgia" w:cs="Arial"/>
          <w:i/>
          <w:sz w:val="24"/>
          <w:szCs w:val="24"/>
        </w:rPr>
        <w:t xml:space="preserve">”. </w:t>
      </w:r>
      <w:r w:rsidR="00D916C0" w:rsidRPr="00360B83">
        <w:rPr>
          <w:rFonts w:ascii="Georgia" w:hAnsi="Georgia" w:cs="Arial"/>
          <w:sz w:val="24"/>
          <w:szCs w:val="24"/>
        </w:rPr>
        <w:t>Y enseguida refiere que</w:t>
      </w:r>
      <w:r w:rsidRPr="00360B83">
        <w:rPr>
          <w:rFonts w:ascii="Georgia" w:hAnsi="Georgia" w:cs="Arial"/>
          <w:sz w:val="24"/>
          <w:szCs w:val="24"/>
        </w:rPr>
        <w:t>,</w:t>
      </w:r>
      <w:r w:rsidR="00D916C0" w:rsidRPr="00360B83">
        <w:rPr>
          <w:rFonts w:ascii="Georgia" w:hAnsi="Georgia" w:cs="Arial"/>
          <w:sz w:val="24"/>
          <w:szCs w:val="24"/>
        </w:rPr>
        <w:t xml:space="preserve"> ante la falta de esos reparos, el juez de primera instancia debe declarar desierto el recurso, </w:t>
      </w:r>
      <w:r w:rsidR="00D916C0" w:rsidRPr="00360B83">
        <w:rPr>
          <w:rFonts w:ascii="Georgia" w:hAnsi="Georgia" w:cs="Arial"/>
          <w:b/>
          <w:sz w:val="24"/>
          <w:szCs w:val="24"/>
          <w:u w:val="single"/>
        </w:rPr>
        <w:t>así como cuando no fuere sustentado ante el superior</w:t>
      </w:r>
      <w:r w:rsidR="00D916C0" w:rsidRPr="00360B83">
        <w:rPr>
          <w:rFonts w:ascii="Georgia" w:hAnsi="Georgia" w:cs="Arial"/>
          <w:sz w:val="24"/>
          <w:szCs w:val="24"/>
        </w:rPr>
        <w:t xml:space="preserve">. </w:t>
      </w:r>
      <w:r w:rsidR="00D916C0" w:rsidRPr="00360B83">
        <w:rPr>
          <w:rFonts w:ascii="Georgia" w:hAnsi="Georgia" w:cs="Arial"/>
          <w:i/>
          <w:sz w:val="24"/>
          <w:szCs w:val="24"/>
        </w:rPr>
        <w:t xml:space="preserve"> </w:t>
      </w:r>
    </w:p>
    <w:p w14:paraId="038F9F93" w14:textId="77777777" w:rsidR="00D916C0" w:rsidRPr="00360B83" w:rsidRDefault="00D916C0" w:rsidP="00360B83">
      <w:pPr>
        <w:spacing w:line="276" w:lineRule="auto"/>
        <w:jc w:val="both"/>
        <w:rPr>
          <w:rFonts w:ascii="Georgia" w:hAnsi="Georgia"/>
          <w:i/>
          <w:sz w:val="24"/>
          <w:szCs w:val="24"/>
        </w:rPr>
      </w:pPr>
    </w:p>
    <w:p w14:paraId="37E97DA7" w14:textId="5783FF63" w:rsidR="00D916C0" w:rsidRPr="00360B83" w:rsidRDefault="00D916C0" w:rsidP="00360B83">
      <w:pPr>
        <w:spacing w:line="276" w:lineRule="auto"/>
        <w:jc w:val="both"/>
        <w:rPr>
          <w:rFonts w:ascii="Georgia" w:hAnsi="Georgia" w:cs="Arial"/>
          <w:sz w:val="24"/>
          <w:szCs w:val="24"/>
        </w:rPr>
      </w:pPr>
      <w:r w:rsidRPr="00360B83">
        <w:rPr>
          <w:rFonts w:ascii="Georgia" w:hAnsi="Georgia" w:cs="Arial"/>
          <w:sz w:val="24"/>
          <w:szCs w:val="24"/>
        </w:rPr>
        <w:t xml:space="preserve">Acorde con lo anterior, </w:t>
      </w:r>
      <w:r w:rsidRPr="00360B83">
        <w:rPr>
          <w:rFonts w:ascii="Georgia" w:hAnsi="Georgia" w:cs="Arial"/>
          <w:sz w:val="24"/>
          <w:szCs w:val="24"/>
          <w:u w:val="single"/>
        </w:rPr>
        <w:t>fácil se concluye que ese estatuto procesal consagró una nueva forma de sustentar el recurso porque hay dos estadios diferenciados para ese efecto</w:t>
      </w:r>
      <w:r w:rsidRPr="00360B83">
        <w:rPr>
          <w:rStyle w:val="Refdenotaalpie"/>
          <w:rFonts w:ascii="Georgia" w:hAnsi="Georgia"/>
          <w:sz w:val="24"/>
          <w:szCs w:val="24"/>
        </w:rPr>
        <w:footnoteReference w:id="17"/>
      </w:r>
      <w:r w:rsidRPr="00360B83">
        <w:rPr>
          <w:rFonts w:ascii="Georgia" w:hAnsi="Georgia" w:cs="Arial"/>
          <w:sz w:val="24"/>
          <w:szCs w:val="24"/>
          <w:vertAlign w:val="superscript"/>
        </w:rPr>
        <w:t>-</w:t>
      </w:r>
      <w:r w:rsidR="00541D65" w:rsidRPr="00360B83">
        <w:rPr>
          <w:rStyle w:val="Refdenotaalpie"/>
          <w:rFonts w:ascii="Georgia" w:hAnsi="Georgia" w:cs="Arial"/>
          <w:sz w:val="24"/>
          <w:szCs w:val="24"/>
        </w:rPr>
        <w:footnoteReference w:id="18"/>
      </w:r>
      <w:r w:rsidRPr="00360B83">
        <w:rPr>
          <w:rFonts w:ascii="Georgia" w:hAnsi="Georgia" w:cs="Arial"/>
          <w:sz w:val="24"/>
          <w:szCs w:val="24"/>
          <w:vertAlign w:val="superscript"/>
        </w:rPr>
        <w:t>-</w:t>
      </w:r>
      <w:r w:rsidRPr="00360B83">
        <w:rPr>
          <w:rStyle w:val="Refdenotaalpie"/>
          <w:rFonts w:ascii="Georgia" w:hAnsi="Georgia"/>
          <w:sz w:val="24"/>
          <w:szCs w:val="24"/>
        </w:rPr>
        <w:footnoteReference w:id="19"/>
      </w:r>
      <w:r w:rsidRPr="00360B83">
        <w:rPr>
          <w:rFonts w:ascii="Georgia" w:hAnsi="Georgia" w:cs="Arial"/>
          <w:sz w:val="24"/>
          <w:szCs w:val="24"/>
        </w:rPr>
        <w:t>, el primero ante el juez de primer grado, pues allí comienza el ejercicio señalándole los reparos concretos que la parte tiene contra lo resuelto; y, el segundo ante el superior, dentro de la audiencia que se programe para sustentar</w:t>
      </w:r>
      <w:r w:rsidR="0016063E" w:rsidRPr="00360B83">
        <w:rPr>
          <w:rFonts w:ascii="Georgia" w:hAnsi="Georgia" w:cs="Arial"/>
          <w:sz w:val="24"/>
          <w:szCs w:val="24"/>
        </w:rPr>
        <w:t xml:space="preserve"> (</w:t>
      </w:r>
      <w:r w:rsidR="5B37DE36" w:rsidRPr="00360B83">
        <w:rPr>
          <w:rFonts w:ascii="Georgia" w:hAnsi="Georgia" w:cs="Arial"/>
          <w:sz w:val="24"/>
          <w:szCs w:val="24"/>
        </w:rPr>
        <w:t xml:space="preserve">Según la norma anterior, </w:t>
      </w:r>
      <w:r w:rsidR="0016063E" w:rsidRPr="00360B83">
        <w:rPr>
          <w:rFonts w:ascii="Georgia" w:hAnsi="Georgia" w:cs="Arial"/>
          <w:sz w:val="24"/>
          <w:szCs w:val="24"/>
        </w:rPr>
        <w:t>sin la modificación temporal introducida por el Decreto Presidencial No.</w:t>
      </w:r>
      <w:r w:rsidR="00FE0DE7">
        <w:rPr>
          <w:rFonts w:ascii="Georgia" w:hAnsi="Georgia" w:cs="Arial"/>
          <w:sz w:val="24"/>
          <w:szCs w:val="24"/>
        </w:rPr>
        <w:t xml:space="preserve"> </w:t>
      </w:r>
      <w:r w:rsidR="0016063E" w:rsidRPr="00360B83">
        <w:rPr>
          <w:rFonts w:ascii="Georgia" w:hAnsi="Georgia" w:cs="Arial"/>
          <w:sz w:val="24"/>
          <w:szCs w:val="24"/>
        </w:rPr>
        <w:t>806 de 2020)</w:t>
      </w:r>
      <w:r w:rsidRPr="00360B83">
        <w:rPr>
          <w:rFonts w:ascii="Georgia" w:hAnsi="Georgia" w:cs="Arial"/>
          <w:sz w:val="24"/>
          <w:szCs w:val="24"/>
        </w:rPr>
        <w:t>, en la que</w:t>
      </w:r>
      <w:r w:rsidR="00C127FF" w:rsidRPr="00360B83">
        <w:rPr>
          <w:rFonts w:ascii="Georgia" w:hAnsi="Georgia" w:cs="Arial"/>
          <w:sz w:val="24"/>
          <w:szCs w:val="24"/>
        </w:rPr>
        <w:t xml:space="preserve"> no podrá excederse o desbordar los reparos</w:t>
      </w:r>
      <w:r w:rsidRPr="00360B83">
        <w:rPr>
          <w:rFonts w:ascii="Georgia" w:hAnsi="Georgia" w:cs="Arial"/>
          <w:sz w:val="24"/>
          <w:szCs w:val="24"/>
        </w:rPr>
        <w:t xml:space="preserve"> propuesto</w:t>
      </w:r>
      <w:r w:rsidR="00C127FF" w:rsidRPr="00360B83">
        <w:rPr>
          <w:rFonts w:ascii="Georgia" w:hAnsi="Georgia" w:cs="Arial"/>
          <w:sz w:val="24"/>
          <w:szCs w:val="24"/>
        </w:rPr>
        <w:t>s</w:t>
      </w:r>
      <w:r w:rsidRPr="00360B83">
        <w:rPr>
          <w:rFonts w:ascii="Georgia" w:hAnsi="Georgia" w:cs="Arial"/>
          <w:sz w:val="24"/>
          <w:szCs w:val="24"/>
        </w:rPr>
        <w:t xml:space="preserve"> ante el inferior (Artículo 327, CGP). </w:t>
      </w:r>
      <w:r w:rsidR="00D764CA" w:rsidRPr="00360B83">
        <w:rPr>
          <w:rFonts w:ascii="Georgia" w:hAnsi="Georgia" w:cs="Arial"/>
          <w:sz w:val="24"/>
          <w:szCs w:val="24"/>
        </w:rPr>
        <w:t xml:space="preserve">Sobre el </w:t>
      </w:r>
      <w:r w:rsidRPr="00360B83">
        <w:rPr>
          <w:rFonts w:ascii="Georgia" w:hAnsi="Georgia" w:cs="Arial"/>
          <w:sz w:val="24"/>
          <w:szCs w:val="24"/>
        </w:rPr>
        <w:t>punto, resulta</w:t>
      </w:r>
      <w:r w:rsidR="00D764CA" w:rsidRPr="00360B83">
        <w:rPr>
          <w:rFonts w:ascii="Georgia" w:hAnsi="Georgia" w:cs="Arial"/>
          <w:sz w:val="24"/>
          <w:szCs w:val="24"/>
        </w:rPr>
        <w:t>n</w:t>
      </w:r>
      <w:r w:rsidRPr="00360B83">
        <w:rPr>
          <w:rFonts w:ascii="Georgia" w:hAnsi="Georgia" w:cs="Arial"/>
          <w:sz w:val="24"/>
          <w:szCs w:val="24"/>
        </w:rPr>
        <w:t xml:space="preserve"> </w:t>
      </w:r>
      <w:r w:rsidR="00D764CA" w:rsidRPr="00360B83">
        <w:rPr>
          <w:rFonts w:ascii="Georgia" w:hAnsi="Georgia" w:cs="Arial"/>
          <w:sz w:val="24"/>
          <w:szCs w:val="24"/>
        </w:rPr>
        <w:t>útiles las palabras de</w:t>
      </w:r>
      <w:r w:rsidRPr="00360B83">
        <w:rPr>
          <w:rFonts w:ascii="Georgia" w:hAnsi="Georgia" w:cs="Arial"/>
          <w:sz w:val="24"/>
          <w:szCs w:val="24"/>
        </w:rPr>
        <w:t>l profesor Rojas G</w:t>
      </w:r>
      <w:r w:rsidR="00D764CA" w:rsidRPr="00360B83">
        <w:rPr>
          <w:rFonts w:ascii="Georgia" w:hAnsi="Georgia" w:cs="Arial"/>
          <w:sz w:val="24"/>
          <w:szCs w:val="24"/>
        </w:rPr>
        <w:t>.</w:t>
      </w:r>
      <w:r w:rsidR="00541D65" w:rsidRPr="00360B83">
        <w:rPr>
          <w:rStyle w:val="Refdenotaalpie"/>
          <w:rFonts w:ascii="Georgia" w:hAnsi="Georgia"/>
          <w:sz w:val="24"/>
          <w:szCs w:val="24"/>
        </w:rPr>
        <w:footnoteReference w:id="20"/>
      </w:r>
      <w:r w:rsidRPr="00360B83">
        <w:rPr>
          <w:rFonts w:ascii="Georgia" w:hAnsi="Georgia" w:cs="Arial"/>
          <w:sz w:val="24"/>
          <w:szCs w:val="24"/>
        </w:rPr>
        <w:t xml:space="preserve">: </w:t>
      </w:r>
    </w:p>
    <w:p w14:paraId="138652CD" w14:textId="77777777" w:rsidR="00D916C0" w:rsidRPr="00360B83" w:rsidRDefault="00D916C0" w:rsidP="00360B83">
      <w:pPr>
        <w:pStyle w:val="Sinespaciado"/>
        <w:spacing w:line="276" w:lineRule="auto"/>
        <w:jc w:val="both"/>
        <w:rPr>
          <w:rFonts w:ascii="Georgia" w:hAnsi="Georgia" w:cs="Arial"/>
        </w:rPr>
      </w:pPr>
    </w:p>
    <w:p w14:paraId="232341DD" w14:textId="2890DEEF" w:rsidR="00D916C0" w:rsidRPr="000A668B" w:rsidRDefault="00D916C0" w:rsidP="000A668B">
      <w:pPr>
        <w:pStyle w:val="Sinespaciado"/>
        <w:ind w:left="426" w:right="418"/>
        <w:jc w:val="both"/>
        <w:rPr>
          <w:rFonts w:ascii="Georgia" w:hAnsi="Georgia" w:cs="Arial"/>
          <w:sz w:val="22"/>
        </w:rPr>
      </w:pPr>
      <w:r w:rsidRPr="000A668B">
        <w:rPr>
          <w:rFonts w:ascii="Georgia" w:hAnsi="Georgia" w:cs="Arial"/>
          <w:sz w:val="22"/>
        </w:rPr>
        <w:t xml:space="preserve">Cuando se trate de </w:t>
      </w:r>
      <w:r w:rsidRPr="000A668B">
        <w:rPr>
          <w:rFonts w:ascii="Georgia" w:hAnsi="Georgia" w:cs="Arial"/>
          <w:sz w:val="22"/>
          <w:u w:val="single"/>
        </w:rPr>
        <w:t>apelación de sentencia la sustentación</w:t>
      </w:r>
      <w:r w:rsidRPr="000A668B">
        <w:rPr>
          <w:rFonts w:ascii="Georgia" w:hAnsi="Georgia" w:cs="Arial"/>
          <w:sz w:val="22"/>
        </w:rPr>
        <w:t xml:space="preserve"> se debe realizar mediante </w:t>
      </w:r>
      <w:r w:rsidRPr="000A668B">
        <w:rPr>
          <w:rFonts w:ascii="Georgia" w:hAnsi="Georgia" w:cs="Arial"/>
          <w:sz w:val="22"/>
          <w:u w:val="single"/>
        </w:rPr>
        <w:t>dos actos en momentos distintos</w:t>
      </w:r>
      <w:r w:rsidRPr="000A668B">
        <w:rPr>
          <w:rFonts w:ascii="Georgia" w:hAnsi="Georgia" w:cs="Arial"/>
          <w:sz w:val="22"/>
        </w:rPr>
        <w:t>, así:</w:t>
      </w:r>
    </w:p>
    <w:p w14:paraId="1AA28864" w14:textId="77777777" w:rsidR="00D916C0" w:rsidRPr="000A668B" w:rsidRDefault="00D916C0" w:rsidP="000A668B">
      <w:pPr>
        <w:pStyle w:val="Sinespaciado"/>
        <w:ind w:left="426" w:right="418"/>
        <w:jc w:val="both"/>
        <w:rPr>
          <w:rFonts w:ascii="Georgia" w:hAnsi="Georgia" w:cs="Arial"/>
          <w:sz w:val="22"/>
        </w:rPr>
      </w:pPr>
    </w:p>
    <w:p w14:paraId="68571448" w14:textId="07A29C02" w:rsidR="00D916C0" w:rsidRPr="000A668B" w:rsidRDefault="00D916C0" w:rsidP="000A668B">
      <w:pPr>
        <w:pStyle w:val="Sinespaciado"/>
        <w:numPr>
          <w:ilvl w:val="0"/>
          <w:numId w:val="18"/>
        </w:numPr>
        <w:ind w:left="426" w:right="418"/>
        <w:jc w:val="both"/>
        <w:rPr>
          <w:rFonts w:ascii="Georgia" w:hAnsi="Georgia" w:cs="Arial"/>
          <w:sz w:val="22"/>
        </w:rPr>
      </w:pPr>
      <w:r w:rsidRPr="000A668B">
        <w:rPr>
          <w:rFonts w:ascii="Georgia" w:hAnsi="Georgia" w:cs="Arial"/>
          <w:sz w:val="22"/>
        </w:rPr>
        <w:t xml:space="preserve">La </w:t>
      </w:r>
      <w:r w:rsidR="00D764CA" w:rsidRPr="000A668B">
        <w:rPr>
          <w:rFonts w:ascii="Georgia" w:hAnsi="Georgia" w:cs="Arial"/>
          <w:sz w:val="22"/>
        </w:rPr>
        <w:t xml:space="preserve">exposición </w:t>
      </w:r>
      <w:r w:rsidRPr="000A668B">
        <w:rPr>
          <w:rFonts w:ascii="Georgia" w:hAnsi="Georgia" w:cs="Arial"/>
          <w:sz w:val="22"/>
        </w:rPr>
        <w:t xml:space="preserve">breve </w:t>
      </w:r>
      <w:r w:rsidR="00D764CA" w:rsidRPr="000A668B">
        <w:rPr>
          <w:rFonts w:ascii="Georgia" w:hAnsi="Georgia" w:cs="Arial"/>
          <w:sz w:val="22"/>
        </w:rPr>
        <w:t xml:space="preserve">y precisa </w:t>
      </w:r>
      <w:r w:rsidRPr="000A668B">
        <w:rPr>
          <w:rFonts w:ascii="Georgia" w:hAnsi="Georgia" w:cs="Arial"/>
          <w:sz w:val="22"/>
        </w:rPr>
        <w:t>de los reparos contra el fallo. Se trata de enunciar ante el juez de primera instancia las razones por las que se cuestiona la providencia</w:t>
      </w:r>
      <w:r w:rsidR="00312D22" w:rsidRPr="000A668B">
        <w:rPr>
          <w:rFonts w:ascii="Georgia" w:hAnsi="Georgia" w:cs="Arial"/>
          <w:sz w:val="22"/>
        </w:rPr>
        <w:t xml:space="preserve"> (…)</w:t>
      </w:r>
      <w:r w:rsidRPr="000A668B">
        <w:rPr>
          <w:rFonts w:ascii="Georgia" w:hAnsi="Georgia" w:cs="Arial"/>
          <w:sz w:val="22"/>
        </w:rPr>
        <w:t>.</w:t>
      </w:r>
    </w:p>
    <w:p w14:paraId="6FB1F195" w14:textId="77777777" w:rsidR="00D916C0" w:rsidRPr="000A668B" w:rsidRDefault="00D916C0" w:rsidP="000A668B">
      <w:pPr>
        <w:pStyle w:val="Sinespaciado"/>
        <w:ind w:left="426" w:right="418"/>
        <w:jc w:val="both"/>
        <w:rPr>
          <w:rFonts w:ascii="Georgia" w:hAnsi="Georgia" w:cs="Arial"/>
          <w:sz w:val="22"/>
        </w:rPr>
      </w:pPr>
    </w:p>
    <w:p w14:paraId="188DE2C2" w14:textId="77777777" w:rsidR="00D916C0" w:rsidRPr="000A668B" w:rsidRDefault="00D916C0" w:rsidP="000A668B">
      <w:pPr>
        <w:pStyle w:val="Sinespaciado"/>
        <w:ind w:left="426" w:right="418"/>
        <w:jc w:val="both"/>
        <w:rPr>
          <w:rFonts w:ascii="Georgia" w:hAnsi="Georgia" w:cs="Arial"/>
          <w:sz w:val="22"/>
        </w:rPr>
      </w:pPr>
      <w:r w:rsidRPr="000A668B">
        <w:rPr>
          <w:rFonts w:ascii="Georgia" w:hAnsi="Georgia" w:cs="Arial"/>
          <w:sz w:val="22"/>
        </w:rPr>
        <w:t xml:space="preserve">2. </w:t>
      </w:r>
      <w:r w:rsidRPr="000A668B">
        <w:rPr>
          <w:rFonts w:ascii="Georgia" w:hAnsi="Georgia" w:cs="Arial"/>
          <w:sz w:val="22"/>
          <w:u w:val="single"/>
        </w:rPr>
        <w:t>La sustentación propiamente dicha</w:t>
      </w:r>
      <w:r w:rsidRPr="000A668B">
        <w:rPr>
          <w:rFonts w:ascii="Georgia" w:hAnsi="Georgia" w:cs="Arial"/>
          <w:sz w:val="22"/>
        </w:rPr>
        <w:t>. Consiste en el alegato que debe hacer el apelante ante el juez de segunda instancia (</w:t>
      </w:r>
      <w:proofErr w:type="spellStart"/>
      <w:r w:rsidRPr="000A668B">
        <w:rPr>
          <w:rFonts w:ascii="Georgia" w:hAnsi="Georgia" w:cs="Arial"/>
          <w:sz w:val="22"/>
        </w:rPr>
        <w:t>CGP</w:t>
      </w:r>
      <w:proofErr w:type="spellEnd"/>
      <w:r w:rsidRPr="000A668B">
        <w:rPr>
          <w:rFonts w:ascii="Georgia" w:hAnsi="Georgia" w:cs="Arial"/>
          <w:sz w:val="22"/>
        </w:rPr>
        <w:t xml:space="preserve">, </w:t>
      </w:r>
      <w:proofErr w:type="spellStart"/>
      <w:r w:rsidRPr="000A668B">
        <w:rPr>
          <w:rFonts w:ascii="Georgia" w:hAnsi="Georgia" w:cs="Arial"/>
          <w:sz w:val="22"/>
        </w:rPr>
        <w:t>art.327</w:t>
      </w:r>
      <w:proofErr w:type="spellEnd"/>
      <w:r w:rsidRPr="000A668B">
        <w:rPr>
          <w:rFonts w:ascii="Georgia" w:hAnsi="Georgia" w:cs="Arial"/>
          <w:sz w:val="22"/>
        </w:rPr>
        <w:t>-2), con exposición detallada y concreta de los reparos expresados ante el juez de primera, y sin la posibilidad de formular nuevos cuestionamientos (</w:t>
      </w:r>
      <w:proofErr w:type="spellStart"/>
      <w:r w:rsidRPr="000A668B">
        <w:rPr>
          <w:rFonts w:ascii="Georgia" w:hAnsi="Georgia" w:cs="Arial"/>
          <w:sz w:val="22"/>
        </w:rPr>
        <w:t>CGP</w:t>
      </w:r>
      <w:proofErr w:type="spellEnd"/>
      <w:r w:rsidRPr="000A668B">
        <w:rPr>
          <w:rFonts w:ascii="Georgia" w:hAnsi="Georgia" w:cs="Arial"/>
          <w:sz w:val="22"/>
        </w:rPr>
        <w:t xml:space="preserve">, </w:t>
      </w:r>
      <w:proofErr w:type="spellStart"/>
      <w:r w:rsidRPr="000A668B">
        <w:rPr>
          <w:rFonts w:ascii="Georgia" w:hAnsi="Georgia" w:cs="Arial"/>
          <w:sz w:val="22"/>
        </w:rPr>
        <w:t>art.327</w:t>
      </w:r>
      <w:proofErr w:type="spellEnd"/>
      <w:r w:rsidRPr="000A668B">
        <w:rPr>
          <w:rFonts w:ascii="Georgia" w:hAnsi="Georgia" w:cs="Arial"/>
          <w:sz w:val="22"/>
        </w:rPr>
        <w:t>-3).</w:t>
      </w:r>
    </w:p>
    <w:p w14:paraId="1640E93F" w14:textId="77777777" w:rsidR="00D916C0" w:rsidRPr="000A668B" w:rsidRDefault="00D916C0" w:rsidP="000A668B">
      <w:pPr>
        <w:pStyle w:val="Sinespaciado"/>
        <w:ind w:left="426" w:right="418"/>
        <w:jc w:val="both"/>
        <w:rPr>
          <w:rFonts w:ascii="Georgia" w:hAnsi="Georgia" w:cs="Arial"/>
          <w:sz w:val="22"/>
        </w:rPr>
      </w:pPr>
    </w:p>
    <w:p w14:paraId="2DF05FCC" w14:textId="77777777" w:rsidR="00312D22" w:rsidRPr="000A668B" w:rsidRDefault="00D916C0" w:rsidP="000A668B">
      <w:pPr>
        <w:pStyle w:val="Sinespaciado"/>
        <w:ind w:left="426" w:right="418"/>
        <w:jc w:val="both"/>
        <w:rPr>
          <w:rFonts w:ascii="Georgia" w:hAnsi="Georgia" w:cs="Arial"/>
          <w:sz w:val="22"/>
        </w:rPr>
      </w:pPr>
      <w:r w:rsidRPr="000A668B">
        <w:rPr>
          <w:rFonts w:ascii="Georgia" w:hAnsi="Georgia" w:cs="Arial"/>
          <w:sz w:val="22"/>
        </w:rPr>
        <w:t xml:space="preserve">Omitir cualquiera de los dos actos que integran la sustentación de la apelación interpuesta contra la sentencia obliga al juez a declarar desierto el recurso. Si lo que se omite es el primer acto, la </w:t>
      </w:r>
      <w:r w:rsidRPr="000A668B">
        <w:rPr>
          <w:rFonts w:ascii="Georgia" w:hAnsi="Georgia" w:cs="Arial"/>
          <w:sz w:val="22"/>
          <w:u w:val="single"/>
        </w:rPr>
        <w:t>deserción</w:t>
      </w:r>
      <w:r w:rsidRPr="000A668B">
        <w:rPr>
          <w:rFonts w:ascii="Georgia" w:hAnsi="Georgia" w:cs="Arial"/>
          <w:sz w:val="22"/>
        </w:rPr>
        <w:t xml:space="preserve"> debe ser declarada por el juez de primera instancia; de omitirse el segundo, corresponde al superior declararla (</w:t>
      </w:r>
      <w:proofErr w:type="spellStart"/>
      <w:r w:rsidRPr="000A668B">
        <w:rPr>
          <w:rFonts w:ascii="Georgia" w:hAnsi="Georgia" w:cs="Arial"/>
          <w:sz w:val="22"/>
        </w:rPr>
        <w:t>CGP</w:t>
      </w:r>
      <w:proofErr w:type="spellEnd"/>
      <w:r w:rsidRPr="000A668B">
        <w:rPr>
          <w:rFonts w:ascii="Georgia" w:hAnsi="Georgia" w:cs="Arial"/>
          <w:sz w:val="22"/>
        </w:rPr>
        <w:t xml:space="preserve">, </w:t>
      </w:r>
      <w:proofErr w:type="spellStart"/>
      <w:r w:rsidRPr="000A668B">
        <w:rPr>
          <w:rFonts w:ascii="Georgia" w:hAnsi="Georgia" w:cs="Arial"/>
          <w:sz w:val="22"/>
        </w:rPr>
        <w:t>art.322</w:t>
      </w:r>
      <w:proofErr w:type="spellEnd"/>
      <w:r w:rsidRPr="000A668B">
        <w:rPr>
          <w:rFonts w:ascii="Georgia" w:hAnsi="Georgia" w:cs="Arial"/>
          <w:sz w:val="22"/>
        </w:rPr>
        <w:t xml:space="preserve">-4). </w:t>
      </w:r>
    </w:p>
    <w:p w14:paraId="5094E18A" w14:textId="7A9D590D" w:rsidR="00312D22" w:rsidRPr="00360B83" w:rsidRDefault="00312D22" w:rsidP="00360B83">
      <w:pPr>
        <w:pStyle w:val="Sinespaciado"/>
        <w:spacing w:line="276" w:lineRule="auto"/>
        <w:ind w:left="567" w:right="567"/>
        <w:jc w:val="both"/>
        <w:rPr>
          <w:rFonts w:ascii="Georgia" w:hAnsi="Georgia" w:cs="Arial"/>
        </w:rPr>
      </w:pPr>
    </w:p>
    <w:p w14:paraId="6586BABD" w14:textId="352BBF4C" w:rsidR="00376273" w:rsidRPr="00360B83" w:rsidRDefault="00897EEA" w:rsidP="00360B83">
      <w:pPr>
        <w:pStyle w:val="Sinespaciado"/>
        <w:spacing w:line="276" w:lineRule="auto"/>
        <w:jc w:val="both"/>
        <w:rPr>
          <w:rFonts w:ascii="Georgia" w:hAnsi="Georgia" w:cs="Arial"/>
        </w:rPr>
      </w:pPr>
      <w:r w:rsidRPr="00360B83">
        <w:rPr>
          <w:rFonts w:ascii="Georgia" w:hAnsi="Georgia" w:cs="Arial"/>
        </w:rPr>
        <w:t>Este d</w:t>
      </w:r>
      <w:r w:rsidR="0013679C" w:rsidRPr="00360B83">
        <w:rPr>
          <w:rFonts w:ascii="Georgia" w:hAnsi="Georgia" w:cs="Arial"/>
        </w:rPr>
        <w:t xml:space="preserve">iscernimiento </w:t>
      </w:r>
      <w:r w:rsidRPr="00360B83">
        <w:rPr>
          <w:rFonts w:ascii="Georgia" w:hAnsi="Georgia" w:cs="Arial"/>
        </w:rPr>
        <w:t xml:space="preserve">es </w:t>
      </w:r>
      <w:r w:rsidR="0013679C" w:rsidRPr="00360B83">
        <w:rPr>
          <w:rFonts w:ascii="Georgia" w:hAnsi="Georgia" w:cs="Arial"/>
        </w:rPr>
        <w:t>compart</w:t>
      </w:r>
      <w:r w:rsidRPr="00360B83">
        <w:rPr>
          <w:rFonts w:ascii="Georgia" w:hAnsi="Georgia" w:cs="Arial"/>
        </w:rPr>
        <w:t>ido por la Sala Civil d</w:t>
      </w:r>
      <w:r w:rsidR="0013679C" w:rsidRPr="00360B83">
        <w:rPr>
          <w:rFonts w:ascii="Georgia" w:hAnsi="Georgia" w:cs="Arial"/>
        </w:rPr>
        <w:t>e</w:t>
      </w:r>
      <w:r w:rsidR="004A3DC5" w:rsidRPr="00360B83">
        <w:rPr>
          <w:rFonts w:ascii="Georgia" w:hAnsi="Georgia" w:cs="Arial"/>
        </w:rPr>
        <w:t xml:space="preserve"> </w:t>
      </w:r>
      <w:r w:rsidR="0013679C" w:rsidRPr="00360B83">
        <w:rPr>
          <w:rFonts w:ascii="Georgia" w:hAnsi="Georgia" w:cs="Arial"/>
        </w:rPr>
        <w:t>l</w:t>
      </w:r>
      <w:r w:rsidR="004A3DC5" w:rsidRPr="00360B83">
        <w:rPr>
          <w:rFonts w:ascii="Georgia" w:hAnsi="Georgia" w:cs="Arial"/>
        </w:rPr>
        <w:t>a</w:t>
      </w:r>
      <w:r w:rsidR="0013679C" w:rsidRPr="00360B83">
        <w:rPr>
          <w:rFonts w:ascii="Georgia" w:hAnsi="Georgia" w:cs="Arial"/>
        </w:rPr>
        <w:t xml:space="preserve"> </w:t>
      </w:r>
      <w:r w:rsidR="004A3DC5" w:rsidRPr="00360B83">
        <w:rPr>
          <w:rFonts w:ascii="Georgia" w:hAnsi="Georgia" w:cs="Arial"/>
        </w:rPr>
        <w:t xml:space="preserve">CSJ, que es el órgano de cierre de la especialidad, quien </w:t>
      </w:r>
      <w:r w:rsidR="0013679C" w:rsidRPr="00360B83">
        <w:rPr>
          <w:rFonts w:ascii="Georgia" w:hAnsi="Georgia" w:cs="Arial"/>
        </w:rPr>
        <w:t>en sinnúmero de sentencias de tutela</w:t>
      </w:r>
      <w:r w:rsidR="00376273" w:rsidRPr="00360B83">
        <w:rPr>
          <w:rStyle w:val="Refdenotaalpie"/>
          <w:rFonts w:ascii="Georgia" w:hAnsi="Georgia"/>
        </w:rPr>
        <w:footnoteReference w:id="21"/>
      </w:r>
      <w:r w:rsidR="0013679C" w:rsidRPr="00360B83">
        <w:rPr>
          <w:rFonts w:ascii="Georgia" w:hAnsi="Georgia" w:cs="Arial"/>
        </w:rPr>
        <w:t xml:space="preserve"> (Criterio auxiliar), ha insistido en la existencia de esas dos fases para la sustentación del recurso de apelación y que</w:t>
      </w:r>
      <w:r w:rsidR="004A3DC5" w:rsidRPr="00360B83">
        <w:rPr>
          <w:rFonts w:ascii="Georgia" w:hAnsi="Georgia" w:cs="Arial"/>
        </w:rPr>
        <w:t>,</w:t>
      </w:r>
      <w:r w:rsidR="0013679C" w:rsidRPr="00360B83">
        <w:rPr>
          <w:rFonts w:ascii="Georgia" w:hAnsi="Georgia" w:cs="Arial"/>
        </w:rPr>
        <w:t xml:space="preserve"> </w:t>
      </w:r>
      <w:r w:rsidR="0013679C" w:rsidRPr="00360B83">
        <w:rPr>
          <w:rFonts w:ascii="Georgia" w:hAnsi="Georgia" w:cs="Arial"/>
          <w:u w:val="single"/>
        </w:rPr>
        <w:t>incumplida la segunda, esto es, la exposición ante el superior, sin lugar a duda se impone la declaratoria de deserción.</w:t>
      </w:r>
      <w:r w:rsidR="0013679C" w:rsidRPr="00360B83">
        <w:rPr>
          <w:rFonts w:ascii="Georgia" w:hAnsi="Georgia" w:cs="Arial"/>
        </w:rPr>
        <w:t xml:space="preserve"> Así lo </w:t>
      </w:r>
      <w:r w:rsidR="00376273" w:rsidRPr="00360B83">
        <w:rPr>
          <w:rFonts w:ascii="Georgia" w:hAnsi="Georgia" w:cs="Arial"/>
        </w:rPr>
        <w:t>recordó, recientemente (2020)</w:t>
      </w:r>
      <w:r w:rsidR="008F3F1E" w:rsidRPr="00360B83">
        <w:rPr>
          <w:rStyle w:val="Refdenotaalpie"/>
          <w:rFonts w:ascii="Georgia" w:hAnsi="Georgia"/>
        </w:rPr>
        <w:footnoteReference w:id="22"/>
      </w:r>
      <w:r w:rsidR="00376273" w:rsidRPr="00360B83">
        <w:rPr>
          <w:rFonts w:ascii="Georgia" w:hAnsi="Georgia" w:cs="Arial"/>
        </w:rPr>
        <w:t>:</w:t>
      </w:r>
    </w:p>
    <w:p w14:paraId="0D491D0D" w14:textId="77777777" w:rsidR="00376273" w:rsidRPr="00360B83" w:rsidRDefault="00376273" w:rsidP="00360B83">
      <w:pPr>
        <w:pStyle w:val="Sinespaciado"/>
        <w:spacing w:line="276" w:lineRule="auto"/>
        <w:jc w:val="both"/>
        <w:rPr>
          <w:rFonts w:ascii="Georgia" w:hAnsi="Georgia" w:cs="Arial"/>
        </w:rPr>
      </w:pPr>
    </w:p>
    <w:p w14:paraId="43F6DC8A" w14:textId="5C0CE5ED" w:rsidR="00376273" w:rsidRPr="000A668B" w:rsidRDefault="71889C02" w:rsidP="000A668B">
      <w:pPr>
        <w:autoSpaceDE w:val="0"/>
        <w:autoSpaceDN w:val="0"/>
        <w:adjustRightInd w:val="0"/>
        <w:ind w:left="426" w:right="418"/>
        <w:jc w:val="both"/>
        <w:rPr>
          <w:rFonts w:ascii="Georgia" w:hAnsi="Georgia" w:cs="Arial"/>
          <w:b/>
          <w:bCs/>
          <w:sz w:val="22"/>
          <w:szCs w:val="24"/>
        </w:rPr>
      </w:pPr>
      <w:r w:rsidRPr="000A668B">
        <w:rPr>
          <w:rFonts w:ascii="Georgia" w:hAnsi="Georgia" w:cs="Arial"/>
          <w:sz w:val="22"/>
          <w:szCs w:val="24"/>
          <w:lang w:eastAsia="es-CO"/>
        </w:rPr>
        <w:t xml:space="preserve">… </w:t>
      </w:r>
      <w:r w:rsidR="00376273" w:rsidRPr="000A668B">
        <w:rPr>
          <w:rFonts w:ascii="Georgia" w:hAnsi="Georgia" w:cs="Arial"/>
          <w:sz w:val="22"/>
          <w:szCs w:val="24"/>
          <w:lang w:eastAsia="es-CO"/>
        </w:rPr>
        <w:t xml:space="preserve">esta Sala de Casación, </w:t>
      </w:r>
      <w:r w:rsidR="008F3F1E" w:rsidRPr="000A668B">
        <w:rPr>
          <w:rFonts w:ascii="Georgia" w:hAnsi="Georgia" w:cs="Arial"/>
          <w:sz w:val="22"/>
          <w:szCs w:val="24"/>
          <w:lang w:eastAsia="es-CO"/>
        </w:rPr>
        <w:t xml:space="preserve">(…) </w:t>
      </w:r>
      <w:r w:rsidR="00376273" w:rsidRPr="000A668B">
        <w:rPr>
          <w:rFonts w:ascii="Georgia" w:hAnsi="Georgia" w:cs="Arial"/>
          <w:sz w:val="22"/>
          <w:szCs w:val="24"/>
          <w:lang w:eastAsia="es-CO"/>
        </w:rPr>
        <w:t xml:space="preserve">según la normativa pertinente, </w:t>
      </w:r>
      <w:r w:rsidR="00376273" w:rsidRPr="000A668B">
        <w:rPr>
          <w:rFonts w:ascii="Georgia" w:hAnsi="Georgia" w:cs="Arial"/>
          <w:sz w:val="22"/>
          <w:szCs w:val="24"/>
        </w:rPr>
        <w:t xml:space="preserve">quien apela una sentencia no sólo debe aducir ante el juez de primer grado los breves y concretos reparos que genera su inconformidad, </w:t>
      </w:r>
      <w:r w:rsidR="00376273" w:rsidRPr="000A668B">
        <w:rPr>
          <w:rFonts w:ascii="Georgia" w:hAnsi="Georgia" w:cs="Arial"/>
          <w:b/>
          <w:bCs/>
          <w:sz w:val="22"/>
          <w:szCs w:val="24"/>
        </w:rPr>
        <w:t>sino acudir ante el superior para sustentar el recurso apoyándose en esos puntuales cuestionamientos.</w:t>
      </w:r>
    </w:p>
    <w:p w14:paraId="77301B86" w14:textId="5E9EFDBD" w:rsidR="00376273" w:rsidRPr="000A668B" w:rsidRDefault="00376273" w:rsidP="000A668B">
      <w:pPr>
        <w:pStyle w:val="Sinespaciado"/>
        <w:ind w:left="426" w:right="418"/>
        <w:jc w:val="both"/>
        <w:rPr>
          <w:rFonts w:ascii="Georgia" w:hAnsi="Georgia" w:cs="Arial"/>
          <w:sz w:val="22"/>
        </w:rPr>
      </w:pPr>
    </w:p>
    <w:p w14:paraId="147927EF" w14:textId="02019AE4" w:rsidR="008F3F1E" w:rsidRPr="000A668B" w:rsidRDefault="008F3F1E" w:rsidP="000A668B">
      <w:pPr>
        <w:pStyle w:val="Sinespaciado"/>
        <w:ind w:left="426" w:right="418"/>
        <w:jc w:val="both"/>
        <w:rPr>
          <w:rFonts w:ascii="Georgia" w:hAnsi="Georgia" w:cs="Arial"/>
          <w:sz w:val="22"/>
        </w:rPr>
      </w:pPr>
      <w:r w:rsidRPr="000A668B">
        <w:rPr>
          <w:rFonts w:ascii="Georgia" w:hAnsi="Georgia" w:cs="Arial"/>
          <w:sz w:val="22"/>
        </w:rPr>
        <w:t xml:space="preserve">(…) </w:t>
      </w:r>
    </w:p>
    <w:p w14:paraId="129FDDF2" w14:textId="77777777" w:rsidR="008F3F1E" w:rsidRPr="000A668B" w:rsidRDefault="008F3F1E" w:rsidP="000A668B">
      <w:pPr>
        <w:pStyle w:val="Sinespaciado"/>
        <w:ind w:left="426" w:right="418"/>
        <w:jc w:val="both"/>
        <w:rPr>
          <w:rFonts w:ascii="Georgia" w:hAnsi="Georgia" w:cs="Arial"/>
          <w:sz w:val="22"/>
        </w:rPr>
      </w:pPr>
    </w:p>
    <w:p w14:paraId="28F2D267" w14:textId="77777777" w:rsidR="00E04776" w:rsidRPr="000A668B" w:rsidRDefault="00376273" w:rsidP="000A668B">
      <w:pPr>
        <w:ind w:left="426" w:right="418"/>
        <w:jc w:val="both"/>
        <w:rPr>
          <w:rFonts w:ascii="Georgia" w:hAnsi="Georgia" w:cs="Arial"/>
          <w:sz w:val="22"/>
          <w:szCs w:val="24"/>
          <w:lang w:val="es-ES_tradnl"/>
        </w:rPr>
      </w:pPr>
      <w:r w:rsidRPr="000A668B">
        <w:rPr>
          <w:rFonts w:ascii="Georgia" w:hAnsi="Georgia" w:cs="Arial"/>
          <w:sz w:val="22"/>
          <w:szCs w:val="24"/>
          <w:lang w:val="es-ES_tradnl"/>
        </w:rPr>
        <w:t xml:space="preserve">Significa lo anterior que </w:t>
      </w:r>
      <w:r w:rsidR="008F3F1E" w:rsidRPr="000A668B">
        <w:rPr>
          <w:rFonts w:ascii="Georgia" w:hAnsi="Georgia" w:cs="Arial"/>
          <w:sz w:val="22"/>
          <w:szCs w:val="24"/>
          <w:lang w:val="es-ES_tradnl"/>
        </w:rPr>
        <w:t xml:space="preserve">(…) </w:t>
      </w:r>
      <w:r w:rsidRPr="000A668B">
        <w:rPr>
          <w:rFonts w:ascii="Georgia" w:hAnsi="Georgia" w:cs="Arial"/>
          <w:sz w:val="22"/>
          <w:szCs w:val="24"/>
          <w:lang w:val="es-ES_tradnl"/>
        </w:rPr>
        <w:t xml:space="preserve">tratándose de sentencias presenta una estructura compleja, según la cual, la sustentación debe principiarse frente al </w:t>
      </w:r>
      <w:r w:rsidRPr="000A668B">
        <w:rPr>
          <w:rFonts w:ascii="Georgia" w:hAnsi="Georgia" w:cs="Arial"/>
          <w:i/>
          <w:sz w:val="22"/>
          <w:szCs w:val="24"/>
          <w:lang w:val="es-ES_tradnl"/>
        </w:rPr>
        <w:t xml:space="preserve">a quo </w:t>
      </w:r>
      <w:r w:rsidRPr="000A668B">
        <w:rPr>
          <w:rFonts w:ascii="Georgia" w:hAnsi="Georgia" w:cs="Arial"/>
          <w:sz w:val="22"/>
          <w:szCs w:val="24"/>
          <w:lang w:val="es-ES_tradnl"/>
        </w:rPr>
        <w:t>y luego ser desarrollada «</w:t>
      </w:r>
      <w:r w:rsidRPr="000A668B">
        <w:rPr>
          <w:rFonts w:ascii="Georgia" w:hAnsi="Georgia" w:cs="Arial"/>
          <w:i/>
          <w:sz w:val="22"/>
          <w:szCs w:val="24"/>
          <w:lang w:val="es-ES_tradnl"/>
        </w:rPr>
        <w:t>ante el superior</w:t>
      </w:r>
      <w:r w:rsidRPr="000A668B">
        <w:rPr>
          <w:rFonts w:ascii="Georgia" w:hAnsi="Georgia" w:cs="Arial"/>
          <w:sz w:val="22"/>
          <w:szCs w:val="24"/>
          <w:lang w:val="es-ES_tradnl"/>
        </w:rPr>
        <w:t>», conforme lo contemplan los incisos 2º y 3º del numeral 3º del citado canon 322.</w:t>
      </w:r>
      <w:r w:rsidR="000C09F6" w:rsidRPr="000A668B">
        <w:rPr>
          <w:rFonts w:ascii="Georgia" w:hAnsi="Georgia" w:cs="Arial"/>
          <w:sz w:val="22"/>
          <w:szCs w:val="24"/>
          <w:lang w:val="es-ES_tradnl"/>
        </w:rPr>
        <w:t xml:space="preserve"> </w:t>
      </w:r>
    </w:p>
    <w:p w14:paraId="3FF58762" w14:textId="4EB16F13" w:rsidR="00E04776" w:rsidRPr="000A668B" w:rsidRDefault="00E04776" w:rsidP="000A668B">
      <w:pPr>
        <w:ind w:left="426" w:right="418"/>
        <w:jc w:val="both"/>
        <w:rPr>
          <w:rFonts w:ascii="Georgia" w:hAnsi="Georgia" w:cs="Arial"/>
          <w:sz w:val="22"/>
          <w:szCs w:val="24"/>
          <w:lang w:val="es-ES_tradnl"/>
        </w:rPr>
      </w:pPr>
    </w:p>
    <w:p w14:paraId="07FEF99B" w14:textId="388A45AB" w:rsidR="00E04776" w:rsidRPr="000A668B" w:rsidRDefault="00E04776" w:rsidP="000A668B">
      <w:pPr>
        <w:ind w:left="426" w:right="418"/>
        <w:jc w:val="both"/>
        <w:rPr>
          <w:rFonts w:ascii="Georgia" w:hAnsi="Georgia" w:cs="Arial"/>
          <w:sz w:val="22"/>
          <w:szCs w:val="24"/>
          <w:lang w:val="es-ES_tradnl"/>
        </w:rPr>
      </w:pPr>
      <w:r w:rsidRPr="000A668B">
        <w:rPr>
          <w:rFonts w:ascii="Georgia" w:hAnsi="Georgia" w:cs="Arial"/>
          <w:sz w:val="22"/>
          <w:szCs w:val="24"/>
          <w:lang w:val="es-ES_tradnl"/>
        </w:rPr>
        <w:t xml:space="preserve">(…) </w:t>
      </w:r>
    </w:p>
    <w:p w14:paraId="2301C3C7" w14:textId="77777777" w:rsidR="00E04776" w:rsidRPr="00360B83" w:rsidRDefault="00E04776" w:rsidP="00360B83">
      <w:pPr>
        <w:spacing w:line="276" w:lineRule="auto"/>
        <w:ind w:left="567" w:right="567"/>
        <w:jc w:val="both"/>
        <w:rPr>
          <w:rFonts w:ascii="Georgia" w:hAnsi="Georgia" w:cs="Arial"/>
          <w:bCs/>
          <w:iCs/>
          <w:sz w:val="24"/>
          <w:szCs w:val="24"/>
        </w:rPr>
      </w:pPr>
    </w:p>
    <w:p w14:paraId="6E0441F4" w14:textId="2B9F8D70" w:rsidR="00E04776" w:rsidRPr="00360B83" w:rsidRDefault="00E04776" w:rsidP="00360B83">
      <w:pPr>
        <w:spacing w:line="276" w:lineRule="auto"/>
        <w:ind w:left="567" w:right="567"/>
        <w:jc w:val="both"/>
        <w:rPr>
          <w:rFonts w:ascii="Georgia" w:hAnsi="Georgia" w:cs="Arial"/>
          <w:bCs/>
          <w:iCs/>
          <w:sz w:val="24"/>
          <w:szCs w:val="24"/>
        </w:rPr>
      </w:pPr>
      <w:r w:rsidRPr="00360B83">
        <w:rPr>
          <w:rFonts w:ascii="Georgia" w:hAnsi="Georgia" w:cs="Arial"/>
          <w:bCs/>
          <w:iCs/>
          <w:sz w:val="24"/>
          <w:szCs w:val="24"/>
        </w:rPr>
        <w:t xml:space="preserve">Sobre el particular esta Corte ha señalado que: </w:t>
      </w:r>
    </w:p>
    <w:p w14:paraId="34630FDF" w14:textId="77777777" w:rsidR="00E04776" w:rsidRPr="00360B83" w:rsidRDefault="00E04776" w:rsidP="00360B83">
      <w:pPr>
        <w:spacing w:line="276" w:lineRule="auto"/>
        <w:ind w:left="567" w:right="567"/>
        <w:jc w:val="both"/>
        <w:rPr>
          <w:rFonts w:ascii="Georgia" w:hAnsi="Georgia" w:cs="Arial"/>
          <w:bCs/>
          <w:iCs/>
          <w:sz w:val="24"/>
          <w:szCs w:val="24"/>
        </w:rPr>
      </w:pPr>
    </w:p>
    <w:p w14:paraId="0B9CE682" w14:textId="521AAA86" w:rsidR="00376273" w:rsidRPr="000A668B" w:rsidRDefault="00E04776" w:rsidP="000A668B">
      <w:pPr>
        <w:ind w:left="426" w:right="418"/>
        <w:jc w:val="both"/>
        <w:rPr>
          <w:rFonts w:ascii="Georgia" w:hAnsi="Georgia" w:cs="Arial"/>
          <w:sz w:val="22"/>
          <w:szCs w:val="24"/>
          <w:lang w:val="es-ES_tradnl"/>
        </w:rPr>
      </w:pPr>
      <w:r w:rsidRPr="000A668B">
        <w:rPr>
          <w:rFonts w:ascii="Georgia" w:hAnsi="Georgia" w:cs="Arial"/>
          <w:bCs/>
          <w:iCs/>
          <w:sz w:val="22"/>
          <w:szCs w:val="24"/>
        </w:rPr>
        <w:t>«</w:t>
      </w:r>
      <w:r w:rsidRPr="000A668B">
        <w:rPr>
          <w:rFonts w:ascii="Georgia" w:hAnsi="Georgia" w:cs="Arial"/>
          <w:bCs/>
          <w:i/>
          <w:iCs/>
          <w:sz w:val="22"/>
          <w:szCs w:val="24"/>
        </w:rPr>
        <w:t>(…)</w:t>
      </w:r>
      <w:r w:rsidRPr="000A668B">
        <w:rPr>
          <w:rFonts w:ascii="Georgia" w:hAnsi="Georgia" w:cs="Arial"/>
          <w:bCs/>
          <w:iCs/>
          <w:sz w:val="22"/>
          <w:szCs w:val="24"/>
        </w:rPr>
        <w:t xml:space="preserve"> </w:t>
      </w:r>
      <w:r w:rsidRPr="000A668B">
        <w:rPr>
          <w:rFonts w:ascii="Georgia" w:hAnsi="Georgia" w:cs="Arial"/>
          <w:bCs/>
          <w:i/>
          <w:iCs/>
          <w:sz w:val="22"/>
          <w:szCs w:val="24"/>
        </w:rPr>
        <w:t xml:space="preserve">el legislador previó como sanción la declaratoria de desierto del recurso de apelación interpuesto contra una sentencia cuando: (i) no se precisan, de manera breve, los reparos concretos que se le hacen a la decisión, al momento de presentar la impugnación en la audiencia, si hubiere sido proferida en ella, o dentro de los tres (3) días siguientes a su finalización o a la notificación de la que hubiere sido dictada por fuera de audiencia y (ii) </w:t>
      </w:r>
      <w:r w:rsidRPr="000A668B">
        <w:rPr>
          <w:rFonts w:ascii="Georgia" w:hAnsi="Georgia" w:cs="Arial"/>
          <w:bCs/>
          <w:i/>
          <w:iCs/>
          <w:sz w:val="22"/>
          <w:szCs w:val="24"/>
          <w:u w:val="single"/>
        </w:rPr>
        <w:t>cuando no se presente la sustentación de los mencionados reparos ante el superior</w:t>
      </w:r>
      <w:r w:rsidRPr="000A668B">
        <w:rPr>
          <w:rFonts w:ascii="Georgia" w:hAnsi="Georgia" w:cs="Arial"/>
          <w:bCs/>
          <w:i/>
          <w:iCs/>
          <w:sz w:val="22"/>
          <w:szCs w:val="24"/>
        </w:rPr>
        <w:t xml:space="preserve">» Subraya la Sala </w:t>
      </w:r>
      <w:bookmarkStart w:id="2" w:name="_Hlk485096337"/>
      <w:r w:rsidRPr="000A668B">
        <w:rPr>
          <w:rFonts w:ascii="Georgia" w:hAnsi="Georgia" w:cs="Arial"/>
          <w:bCs/>
          <w:i/>
          <w:iCs/>
          <w:sz w:val="22"/>
          <w:szCs w:val="24"/>
        </w:rPr>
        <w:t>(…)</w:t>
      </w:r>
      <w:r w:rsidRPr="000A668B">
        <w:rPr>
          <w:rFonts w:ascii="Georgia" w:hAnsi="Georgia" w:cs="Arial"/>
          <w:bCs/>
          <w:iCs/>
          <w:sz w:val="22"/>
          <w:szCs w:val="24"/>
        </w:rPr>
        <w:t>»</w:t>
      </w:r>
      <w:bookmarkEnd w:id="2"/>
      <w:r w:rsidRPr="000A668B">
        <w:rPr>
          <w:rFonts w:ascii="Georgia" w:hAnsi="Georgia" w:cs="Arial"/>
          <w:bCs/>
          <w:iCs/>
          <w:sz w:val="22"/>
          <w:szCs w:val="24"/>
        </w:rPr>
        <w:t xml:space="preserve"> (CSJ </w:t>
      </w:r>
      <w:proofErr w:type="spellStart"/>
      <w:r w:rsidRPr="000A668B">
        <w:rPr>
          <w:rFonts w:ascii="Georgia" w:hAnsi="Georgia" w:cs="Arial"/>
          <w:bCs/>
          <w:iCs/>
          <w:sz w:val="22"/>
          <w:szCs w:val="24"/>
        </w:rPr>
        <w:t>STC11058</w:t>
      </w:r>
      <w:proofErr w:type="spellEnd"/>
      <w:r w:rsidRPr="000A668B">
        <w:rPr>
          <w:rFonts w:ascii="Georgia" w:hAnsi="Georgia" w:cs="Arial"/>
          <w:bCs/>
          <w:iCs/>
          <w:sz w:val="22"/>
          <w:szCs w:val="24"/>
        </w:rPr>
        <w:t xml:space="preserve">-2016, 11 ago. 2016, rad. 02143-00, y </w:t>
      </w:r>
      <w:proofErr w:type="spellStart"/>
      <w:r w:rsidRPr="000A668B">
        <w:rPr>
          <w:rFonts w:ascii="Georgia" w:hAnsi="Georgia" w:cs="Arial"/>
          <w:bCs/>
          <w:iCs/>
          <w:sz w:val="22"/>
          <w:szCs w:val="24"/>
        </w:rPr>
        <w:t>STC6055</w:t>
      </w:r>
      <w:proofErr w:type="spellEnd"/>
      <w:r w:rsidRPr="000A668B">
        <w:rPr>
          <w:rFonts w:ascii="Georgia" w:hAnsi="Georgia" w:cs="Arial"/>
          <w:bCs/>
          <w:iCs/>
          <w:sz w:val="22"/>
          <w:szCs w:val="24"/>
        </w:rPr>
        <w:t xml:space="preserve">-2017 de 4 </w:t>
      </w:r>
      <w:proofErr w:type="spellStart"/>
      <w:r w:rsidRPr="000A668B">
        <w:rPr>
          <w:rFonts w:ascii="Georgia" w:hAnsi="Georgia" w:cs="Arial"/>
          <w:bCs/>
          <w:iCs/>
          <w:sz w:val="22"/>
          <w:szCs w:val="24"/>
        </w:rPr>
        <w:t>may</w:t>
      </w:r>
      <w:proofErr w:type="spellEnd"/>
      <w:r w:rsidRPr="000A668B">
        <w:rPr>
          <w:rFonts w:ascii="Georgia" w:hAnsi="Georgia" w:cs="Arial"/>
          <w:bCs/>
          <w:iCs/>
          <w:sz w:val="22"/>
          <w:szCs w:val="24"/>
        </w:rPr>
        <w:t xml:space="preserve">. 2017, rad. 0100-01). </w:t>
      </w:r>
      <w:r w:rsidR="000C09F6" w:rsidRPr="000A668B">
        <w:rPr>
          <w:rFonts w:ascii="Georgia" w:hAnsi="Georgia" w:cs="Arial"/>
          <w:sz w:val="22"/>
          <w:szCs w:val="24"/>
          <w:lang w:val="es-ES_tradnl"/>
        </w:rPr>
        <w:t>(</w:t>
      </w:r>
      <w:r w:rsidRPr="000A668B">
        <w:rPr>
          <w:rFonts w:ascii="Georgia" w:hAnsi="Georgia" w:cs="Arial"/>
          <w:sz w:val="22"/>
          <w:szCs w:val="24"/>
          <w:lang w:val="es-ES_tradnl"/>
        </w:rPr>
        <w:t xml:space="preserve">Negrillas </w:t>
      </w:r>
      <w:r w:rsidR="000C09F6" w:rsidRPr="000A668B">
        <w:rPr>
          <w:rFonts w:ascii="Georgia" w:hAnsi="Georgia" w:cs="Arial"/>
          <w:sz w:val="22"/>
          <w:szCs w:val="24"/>
          <w:lang w:val="es-ES_tradnl"/>
        </w:rPr>
        <w:t>fuera de texto</w:t>
      </w:r>
      <w:r w:rsidRPr="000A668B">
        <w:rPr>
          <w:rFonts w:ascii="Georgia" w:hAnsi="Georgia" w:cs="Arial"/>
          <w:sz w:val="22"/>
          <w:szCs w:val="24"/>
          <w:lang w:val="es-ES_tradnl"/>
        </w:rPr>
        <w:t xml:space="preserve"> y </w:t>
      </w:r>
      <w:proofErr w:type="spellStart"/>
      <w:r w:rsidRPr="000A668B">
        <w:rPr>
          <w:rFonts w:ascii="Georgia" w:hAnsi="Georgia" w:cs="Arial"/>
          <w:sz w:val="22"/>
          <w:szCs w:val="24"/>
          <w:lang w:val="es-ES_tradnl"/>
        </w:rPr>
        <w:t>sublíneas</w:t>
      </w:r>
      <w:proofErr w:type="spellEnd"/>
      <w:r w:rsidRPr="000A668B">
        <w:rPr>
          <w:rFonts w:ascii="Georgia" w:hAnsi="Georgia" w:cs="Arial"/>
          <w:sz w:val="22"/>
          <w:szCs w:val="24"/>
          <w:lang w:val="es-ES_tradnl"/>
        </w:rPr>
        <w:t xml:space="preserve"> propias</w:t>
      </w:r>
      <w:r w:rsidR="000C09F6" w:rsidRPr="000A668B">
        <w:rPr>
          <w:rFonts w:ascii="Georgia" w:hAnsi="Georgia" w:cs="Arial"/>
          <w:sz w:val="22"/>
          <w:szCs w:val="24"/>
          <w:lang w:val="es-ES_tradnl"/>
        </w:rPr>
        <w:t>).</w:t>
      </w:r>
    </w:p>
    <w:p w14:paraId="4BD2A6C0" w14:textId="77777777" w:rsidR="008F3F1E" w:rsidRPr="00360B83" w:rsidRDefault="008F3F1E" w:rsidP="00360B83">
      <w:pPr>
        <w:pStyle w:val="Sinespaciado"/>
        <w:spacing w:line="276" w:lineRule="auto"/>
        <w:ind w:firstLine="567"/>
        <w:jc w:val="both"/>
        <w:rPr>
          <w:rFonts w:ascii="Georgia" w:hAnsi="Georgia" w:cs="Arial"/>
        </w:rPr>
      </w:pPr>
    </w:p>
    <w:p w14:paraId="611CC525" w14:textId="06B338B4" w:rsidR="000C09F6" w:rsidRPr="00360B83" w:rsidRDefault="000C09F6" w:rsidP="00360B83">
      <w:pPr>
        <w:spacing w:line="276" w:lineRule="auto"/>
        <w:jc w:val="both"/>
        <w:rPr>
          <w:rFonts w:ascii="Georgia" w:eastAsia="Calibri" w:hAnsi="Georgia" w:cs="Arial"/>
          <w:sz w:val="24"/>
          <w:szCs w:val="24"/>
          <w:lang w:eastAsia="x-none"/>
        </w:rPr>
      </w:pPr>
      <w:r w:rsidRPr="00360B83">
        <w:rPr>
          <w:rFonts w:ascii="Georgia" w:hAnsi="Georgia" w:cs="Arial"/>
          <w:sz w:val="24"/>
          <w:szCs w:val="24"/>
        </w:rPr>
        <w:t>Y en otro pronunciamiento, también de este año</w:t>
      </w:r>
      <w:r w:rsidRPr="00360B83">
        <w:rPr>
          <w:rStyle w:val="Refdenotaalpie"/>
          <w:rFonts w:ascii="Georgia" w:hAnsi="Georgia"/>
          <w:sz w:val="24"/>
          <w:szCs w:val="24"/>
        </w:rPr>
        <w:footnoteReference w:id="23"/>
      </w:r>
      <w:r w:rsidRPr="00360B83">
        <w:rPr>
          <w:rFonts w:ascii="Georgia" w:hAnsi="Georgia" w:cs="Arial"/>
          <w:sz w:val="24"/>
          <w:szCs w:val="24"/>
        </w:rPr>
        <w:t xml:space="preserve">, afirmó: </w:t>
      </w:r>
      <w:r w:rsidRPr="00360B83">
        <w:rPr>
          <w:rFonts w:ascii="Georgia" w:hAnsi="Georgia" w:cs="Arial"/>
          <w:i/>
          <w:sz w:val="24"/>
          <w:szCs w:val="24"/>
        </w:rPr>
        <w:t>“</w:t>
      </w:r>
      <w:r w:rsidRPr="000A668B">
        <w:rPr>
          <w:rFonts w:ascii="Georgia" w:hAnsi="Georgia" w:cs="Arial"/>
          <w:i/>
          <w:sz w:val="22"/>
          <w:szCs w:val="24"/>
        </w:rPr>
        <w:t xml:space="preserve">(…) </w:t>
      </w:r>
      <w:r w:rsidRPr="000A668B">
        <w:rPr>
          <w:rFonts w:ascii="Georgia" w:hAnsi="Georgia" w:cs="Arial"/>
          <w:bCs/>
          <w:i/>
          <w:iCs/>
          <w:sz w:val="22"/>
          <w:szCs w:val="24"/>
          <w:lang w:val="es-ES_tradnl"/>
        </w:rPr>
        <w:t xml:space="preserve">Valga reiterar que no es dable confundir la etapa de presentación de reparos con la de sustentación del recurso, ya que: «Aceptar entonces que los reparos concretos aducidos ante el a quo al formularse la </w:t>
      </w:r>
      <w:r w:rsidRPr="000A668B">
        <w:rPr>
          <w:rFonts w:ascii="Georgia" w:hAnsi="Georgia" w:cs="Arial"/>
          <w:bCs/>
          <w:i/>
          <w:iCs/>
          <w:sz w:val="22"/>
          <w:szCs w:val="24"/>
          <w:lang w:val="es-ES_tradnl"/>
        </w:rPr>
        <w:lastRenderedPageBreak/>
        <w:t>alzada contra una sentencia son suficientes y que puede soslayarse la sustentación oral ante el superior, impuesta en el canon 322 del Código General del Proceso, contradice los postulados en mención y, de contera, el principio democrático representativo, según el cual es el Congreso de la República, revestido de una amplia potestad legislativa, el competente para regular los procedimientos judiciales (art. 150, C.P.)» (CSJ S</w:t>
      </w:r>
      <w:proofErr w:type="spellStart"/>
      <w:r w:rsidRPr="000A668B">
        <w:rPr>
          <w:rFonts w:ascii="Georgia" w:eastAsia="Calibri" w:hAnsi="Georgia" w:cs="Arial"/>
          <w:i/>
          <w:sz w:val="22"/>
          <w:szCs w:val="24"/>
        </w:rPr>
        <w:t>TC10405</w:t>
      </w:r>
      <w:proofErr w:type="spellEnd"/>
      <w:r w:rsidRPr="000A668B">
        <w:rPr>
          <w:rFonts w:ascii="Georgia" w:eastAsia="Calibri" w:hAnsi="Georgia" w:cs="Arial"/>
          <w:i/>
          <w:sz w:val="22"/>
          <w:szCs w:val="24"/>
        </w:rPr>
        <w:t xml:space="preserve">-2017, 19 jul. 2017, rad. </w:t>
      </w:r>
      <w:r w:rsidRPr="000A668B">
        <w:rPr>
          <w:rFonts w:ascii="Georgia" w:eastAsia="Calibri" w:hAnsi="Georgia" w:cs="Arial"/>
          <w:i/>
          <w:sz w:val="22"/>
          <w:szCs w:val="24"/>
          <w:lang w:eastAsia="x-none"/>
        </w:rPr>
        <w:t>01656-00) (…)</w:t>
      </w:r>
      <w:r w:rsidRPr="00360B83">
        <w:rPr>
          <w:rFonts w:ascii="Georgia" w:eastAsia="Calibri" w:hAnsi="Georgia" w:cs="Arial"/>
          <w:i/>
          <w:sz w:val="24"/>
          <w:szCs w:val="24"/>
          <w:lang w:eastAsia="x-none"/>
        </w:rPr>
        <w:t>”</w:t>
      </w:r>
      <w:r w:rsidRPr="00360B83">
        <w:rPr>
          <w:rFonts w:ascii="Georgia" w:eastAsia="Calibri" w:hAnsi="Georgia" w:cs="Arial"/>
          <w:sz w:val="24"/>
          <w:szCs w:val="24"/>
          <w:lang w:eastAsia="x-none"/>
        </w:rPr>
        <w:t>.</w:t>
      </w:r>
    </w:p>
    <w:p w14:paraId="24930385" w14:textId="36FACCA6" w:rsidR="000C09F6" w:rsidRPr="00360B83" w:rsidRDefault="000C09F6" w:rsidP="00360B83">
      <w:pPr>
        <w:spacing w:line="276" w:lineRule="auto"/>
        <w:jc w:val="both"/>
        <w:rPr>
          <w:rFonts w:ascii="Georgia" w:eastAsia="Calibri" w:hAnsi="Georgia" w:cs="Arial"/>
          <w:sz w:val="24"/>
          <w:szCs w:val="24"/>
          <w:lang w:eastAsia="x-none"/>
        </w:rPr>
      </w:pPr>
    </w:p>
    <w:p w14:paraId="4E89D325" w14:textId="114DC840" w:rsidR="000C09F6" w:rsidRPr="00360B83" w:rsidRDefault="000C09F6" w:rsidP="00360B83">
      <w:pPr>
        <w:spacing w:line="276" w:lineRule="auto"/>
        <w:jc w:val="both"/>
        <w:rPr>
          <w:rFonts w:ascii="Georgia" w:eastAsia="Calibri" w:hAnsi="Georgia" w:cs="Arial"/>
          <w:sz w:val="24"/>
          <w:szCs w:val="24"/>
          <w:lang w:eastAsia="x-none"/>
        </w:rPr>
      </w:pPr>
      <w:r w:rsidRPr="00360B83">
        <w:rPr>
          <w:rFonts w:ascii="Georgia" w:eastAsia="Calibri" w:hAnsi="Georgia" w:cs="Arial"/>
          <w:sz w:val="24"/>
          <w:szCs w:val="24"/>
          <w:lang w:eastAsia="x-none"/>
        </w:rPr>
        <w:t>De ese mismo criterio es la C</w:t>
      </w:r>
      <w:r w:rsidR="006A2C31" w:rsidRPr="00360B83">
        <w:rPr>
          <w:rFonts w:ascii="Georgia" w:eastAsia="Calibri" w:hAnsi="Georgia" w:cs="Arial"/>
          <w:sz w:val="24"/>
          <w:szCs w:val="24"/>
          <w:lang w:eastAsia="x-none"/>
        </w:rPr>
        <w:t>orte Constitucional</w:t>
      </w:r>
      <w:r w:rsidRPr="00360B83">
        <w:rPr>
          <w:rFonts w:ascii="Georgia" w:eastAsia="Calibri" w:hAnsi="Georgia" w:cs="Arial"/>
          <w:sz w:val="24"/>
          <w:szCs w:val="24"/>
          <w:lang w:eastAsia="x-none"/>
        </w:rPr>
        <w:t xml:space="preserve">, </w:t>
      </w:r>
      <w:r w:rsidR="32A9C5A4" w:rsidRPr="00360B83">
        <w:rPr>
          <w:rFonts w:ascii="Georgia" w:eastAsia="Calibri" w:hAnsi="Georgia" w:cs="Arial"/>
          <w:sz w:val="24"/>
          <w:szCs w:val="24"/>
          <w:lang w:eastAsia="x-none"/>
        </w:rPr>
        <w:t xml:space="preserve">según </w:t>
      </w:r>
      <w:r w:rsidRPr="00360B83">
        <w:rPr>
          <w:rFonts w:ascii="Georgia" w:eastAsia="Calibri" w:hAnsi="Georgia" w:cs="Arial"/>
          <w:sz w:val="24"/>
          <w:szCs w:val="24"/>
          <w:lang w:eastAsia="x-none"/>
        </w:rPr>
        <w:t>decisión más próxima (28-05-2020)</w:t>
      </w:r>
      <w:r w:rsidR="6B6D18DB" w:rsidRPr="00360B83">
        <w:rPr>
          <w:rFonts w:ascii="Georgia" w:eastAsia="Calibri" w:hAnsi="Georgia" w:cs="Arial"/>
          <w:sz w:val="24"/>
          <w:szCs w:val="24"/>
          <w:lang w:eastAsia="x-none"/>
        </w:rPr>
        <w:t>, donde explicó con claridad, apoyada en la doctrina de la CSJ</w:t>
      </w:r>
      <w:r w:rsidRPr="00360B83">
        <w:rPr>
          <w:rStyle w:val="Refdenotaalpie"/>
          <w:rFonts w:ascii="Georgia" w:eastAsia="Calibri" w:hAnsi="Georgia"/>
          <w:sz w:val="24"/>
          <w:szCs w:val="24"/>
          <w:lang w:eastAsia="x-none"/>
        </w:rPr>
        <w:footnoteReference w:id="24"/>
      </w:r>
      <w:r w:rsidRPr="00360B83">
        <w:rPr>
          <w:rFonts w:ascii="Georgia" w:eastAsia="Calibri" w:hAnsi="Georgia" w:cs="Arial"/>
          <w:sz w:val="24"/>
          <w:szCs w:val="24"/>
          <w:lang w:eastAsia="x-none"/>
        </w:rPr>
        <w:t>:</w:t>
      </w:r>
    </w:p>
    <w:p w14:paraId="033B43B3" w14:textId="1252F8DF" w:rsidR="0013679C" w:rsidRPr="00360B83" w:rsidRDefault="0013679C" w:rsidP="00360B83">
      <w:pPr>
        <w:pStyle w:val="Sinespaciado"/>
        <w:spacing w:line="276" w:lineRule="auto"/>
        <w:jc w:val="both"/>
        <w:rPr>
          <w:rFonts w:ascii="Georgia" w:hAnsi="Georgia" w:cs="Arial"/>
        </w:rPr>
      </w:pPr>
    </w:p>
    <w:p w14:paraId="0120B91C" w14:textId="395FCEE6" w:rsidR="000C09F6" w:rsidRPr="000A668B" w:rsidRDefault="000C09F6" w:rsidP="000A668B">
      <w:pPr>
        <w:ind w:left="426" w:right="418"/>
        <w:jc w:val="both"/>
        <w:rPr>
          <w:rFonts w:ascii="Georgia" w:hAnsi="Georgia"/>
          <w:sz w:val="22"/>
          <w:szCs w:val="24"/>
        </w:rPr>
      </w:pPr>
      <w:r w:rsidRPr="000A668B">
        <w:rPr>
          <w:rFonts w:ascii="Georgia" w:hAnsi="Georgia"/>
          <w:sz w:val="22"/>
          <w:szCs w:val="24"/>
        </w:rPr>
        <w:t xml:space="preserve">5.1. La Corte Constitucional, mediante comunicado de prensa Nº 35 de 11 de septiembre de 2019, en la sentencia </w:t>
      </w:r>
      <w:proofErr w:type="spellStart"/>
      <w:r w:rsidRPr="000A668B">
        <w:rPr>
          <w:rFonts w:ascii="Georgia" w:hAnsi="Georgia"/>
          <w:sz w:val="22"/>
          <w:szCs w:val="24"/>
        </w:rPr>
        <w:t>SU418</w:t>
      </w:r>
      <w:proofErr w:type="spellEnd"/>
      <w:r w:rsidRPr="000A668B">
        <w:rPr>
          <w:rFonts w:ascii="Georgia" w:hAnsi="Georgia"/>
          <w:sz w:val="22"/>
          <w:szCs w:val="24"/>
        </w:rPr>
        <w:t xml:space="preserve"> de 2019 sobre la aplicación y alcance del artículo 322 del Código General del Proceso, respecto a la interpretación de las Salas de Casación Civil y Laboral de la Corte Suprema de Justicia, en torno a la sustentación del recurso de apelación, precisó:</w:t>
      </w:r>
    </w:p>
    <w:p w14:paraId="2B912333" w14:textId="7A00269A" w:rsidR="00E04776" w:rsidRPr="000A668B" w:rsidRDefault="00E04776" w:rsidP="000A668B">
      <w:pPr>
        <w:ind w:left="426" w:right="418"/>
        <w:jc w:val="both"/>
        <w:rPr>
          <w:rFonts w:ascii="Georgia" w:hAnsi="Georgia"/>
          <w:sz w:val="22"/>
          <w:szCs w:val="24"/>
        </w:rPr>
      </w:pPr>
    </w:p>
    <w:p w14:paraId="0D2E0BFF" w14:textId="0F0B8B30" w:rsidR="000C09F6" w:rsidRPr="000A668B" w:rsidRDefault="00E04776" w:rsidP="000A668B">
      <w:pPr>
        <w:ind w:left="426" w:right="418"/>
        <w:jc w:val="both"/>
        <w:rPr>
          <w:rFonts w:ascii="Georgia" w:hAnsi="Georgia"/>
          <w:sz w:val="22"/>
          <w:szCs w:val="24"/>
        </w:rPr>
      </w:pPr>
      <w:r w:rsidRPr="000A668B">
        <w:rPr>
          <w:rFonts w:ascii="Georgia" w:hAnsi="Georgia"/>
          <w:sz w:val="22"/>
          <w:szCs w:val="24"/>
        </w:rPr>
        <w:t xml:space="preserve">(…) </w:t>
      </w:r>
    </w:p>
    <w:p w14:paraId="3A8EFE65" w14:textId="77777777" w:rsidR="000C09F6" w:rsidRPr="000A668B" w:rsidRDefault="000C09F6" w:rsidP="000A668B">
      <w:pPr>
        <w:ind w:left="426" w:right="418"/>
        <w:jc w:val="both"/>
        <w:rPr>
          <w:rFonts w:ascii="Georgia" w:hAnsi="Georgia"/>
          <w:sz w:val="22"/>
          <w:szCs w:val="24"/>
        </w:rPr>
      </w:pPr>
    </w:p>
    <w:p w14:paraId="1AC22A7B" w14:textId="77777777" w:rsidR="000C09F6" w:rsidRPr="000A668B" w:rsidRDefault="000C09F6" w:rsidP="000A668B">
      <w:pPr>
        <w:ind w:left="426" w:right="418"/>
        <w:jc w:val="both"/>
        <w:rPr>
          <w:rFonts w:ascii="Georgia" w:hAnsi="Georgia"/>
          <w:sz w:val="22"/>
          <w:szCs w:val="24"/>
        </w:rPr>
      </w:pPr>
      <w:r w:rsidRPr="000A668B">
        <w:rPr>
          <w:rFonts w:ascii="Georgia" w:hAnsi="Georgia"/>
          <w:sz w:val="22"/>
          <w:szCs w:val="24"/>
        </w:rPr>
        <w:t xml:space="preserve">“(…) </w:t>
      </w:r>
      <w:r w:rsidRPr="000A668B">
        <w:rPr>
          <w:rFonts w:ascii="Georgia" w:hAnsi="Georgia"/>
          <w:i/>
          <w:iCs/>
          <w:sz w:val="22"/>
          <w:szCs w:val="24"/>
        </w:rPr>
        <w:t>En este orden de ideas, la Sala Plena precisó que, para garantizar el derecho a la igualdad y la respuesta uniforme del ordenamiento jurídico, el juez de tutela debía decantarse por la interpretación que directa, sistemática y acorde con su configuración legal, surge de las disposiciones aplicables, por lo que a partir de un recuento del régimen de apelación de sentencias contenido en los artículos 322 y 327 del Código General del Proceso, estableció que el recurso de apelación debe sustentarse ante el superior en la audiencia de sustentación y fallo, y la consecuencia de no hacerlo así, es la declaratoria de desierto del recurso. Por lo demás, la Corte puso de presente el deber que tenían los jueces de no desnaturalizar los trámites y procedimientos insertos en los procesos judiciales, respaldados en la garantía de materialización de los principios de oralidad e inmediación, entre otros</w:t>
      </w:r>
      <w:r w:rsidRPr="000A668B">
        <w:rPr>
          <w:rFonts w:ascii="Georgia" w:hAnsi="Georgia"/>
          <w:sz w:val="22"/>
          <w:szCs w:val="24"/>
        </w:rPr>
        <w:t xml:space="preserve"> (…)”.</w:t>
      </w:r>
    </w:p>
    <w:p w14:paraId="120E446A" w14:textId="6B8F4B9E" w:rsidR="152BD107" w:rsidRPr="00360B83" w:rsidRDefault="152BD107" w:rsidP="00360B83">
      <w:pPr>
        <w:pStyle w:val="Sinespaciado"/>
        <w:spacing w:line="276" w:lineRule="auto"/>
        <w:jc w:val="both"/>
        <w:rPr>
          <w:rFonts w:ascii="Georgia" w:hAnsi="Georgia" w:cs="Arial"/>
        </w:rPr>
      </w:pPr>
    </w:p>
    <w:p w14:paraId="6B304383" w14:textId="72898FC6" w:rsidR="00C42B96" w:rsidRPr="00360B83" w:rsidRDefault="00C42B96" w:rsidP="00360B83">
      <w:pPr>
        <w:pStyle w:val="Sinespaciado"/>
        <w:spacing w:line="276" w:lineRule="auto"/>
        <w:jc w:val="both"/>
        <w:rPr>
          <w:rFonts w:ascii="Georgia" w:hAnsi="Georgia" w:cs="Arial"/>
        </w:rPr>
      </w:pPr>
      <w:r w:rsidRPr="00360B83">
        <w:rPr>
          <w:rFonts w:ascii="Georgia" w:hAnsi="Georgia" w:cs="Arial"/>
        </w:rPr>
        <w:t xml:space="preserve">Es preciso aclarar, por lealtad dialéctica, que la Sala Laboral de la CSJ, estima que con lo dicho en primer grado es suficiente, </w:t>
      </w:r>
      <w:r w:rsidR="21E0E1B1" w:rsidRPr="00360B83">
        <w:rPr>
          <w:rFonts w:ascii="Georgia" w:hAnsi="Georgia" w:cs="Arial"/>
        </w:rPr>
        <w:t xml:space="preserve">pero es </w:t>
      </w:r>
      <w:r w:rsidRPr="00360B83">
        <w:rPr>
          <w:rFonts w:ascii="Georgia" w:hAnsi="Georgia" w:cs="Arial"/>
        </w:rPr>
        <w:t>tesis que no se comparte, pues como lo recordó hace poco la Sala Civil</w:t>
      </w:r>
      <w:r w:rsidRPr="00360B83">
        <w:rPr>
          <w:rStyle w:val="Refdenotaalpie"/>
          <w:rFonts w:ascii="Georgia" w:hAnsi="Georgia"/>
        </w:rPr>
        <w:footnoteReference w:id="25"/>
      </w:r>
      <w:r w:rsidRPr="00360B83">
        <w:rPr>
          <w:rFonts w:ascii="Georgia" w:hAnsi="Georgia" w:cs="Arial"/>
        </w:rPr>
        <w:t xml:space="preserve">: </w:t>
      </w:r>
      <w:r w:rsidRPr="00360B83">
        <w:rPr>
          <w:rFonts w:ascii="Georgia" w:hAnsi="Georgia" w:cs="Arial"/>
          <w:i/>
          <w:iCs/>
        </w:rPr>
        <w:t>“</w:t>
      </w:r>
      <w:r w:rsidRPr="000A668B">
        <w:rPr>
          <w:rFonts w:ascii="Georgia" w:hAnsi="Georgia" w:cs="Arial"/>
          <w:i/>
          <w:iCs/>
          <w:sz w:val="22"/>
        </w:rPr>
        <w:t xml:space="preserve">(…) </w:t>
      </w:r>
      <w:r w:rsidRPr="000A668B">
        <w:rPr>
          <w:rFonts w:ascii="Georgia" w:hAnsi="Georgia"/>
          <w:i/>
          <w:iCs/>
          <w:sz w:val="22"/>
        </w:rPr>
        <w:t>Como se aprecia, es en el área laboral donde se faculta al impugnante para fundamentar la alzada por él propuesta frente al fallo de primer grado ante el mismo a quo, mas no en el campo civil, por cuanto en esta última materia el legislador en forma expresa impuso que tal acto procesal se cumpla en segunda instancia (…)</w:t>
      </w:r>
      <w:r w:rsidRPr="00360B83">
        <w:rPr>
          <w:rFonts w:ascii="Georgia" w:hAnsi="Georgia"/>
          <w:i/>
          <w:iCs/>
        </w:rPr>
        <w:t>”</w:t>
      </w:r>
      <w:r w:rsidRPr="00360B83">
        <w:rPr>
          <w:rFonts w:ascii="Georgia" w:hAnsi="Georgia"/>
        </w:rPr>
        <w:t>.</w:t>
      </w:r>
    </w:p>
    <w:p w14:paraId="5408A860" w14:textId="77777777" w:rsidR="00C42B96" w:rsidRPr="00360B83" w:rsidRDefault="00C42B96" w:rsidP="00360B83">
      <w:pPr>
        <w:spacing w:line="276" w:lineRule="auto"/>
        <w:ind w:left="567" w:right="567"/>
        <w:jc w:val="both"/>
        <w:rPr>
          <w:rFonts w:ascii="Georgia" w:hAnsi="Georgia"/>
          <w:sz w:val="24"/>
          <w:szCs w:val="24"/>
        </w:rPr>
      </w:pPr>
    </w:p>
    <w:p w14:paraId="2D1F8774" w14:textId="7CDFAED1" w:rsidR="004E75C5" w:rsidRPr="00360B83" w:rsidRDefault="00C42B96" w:rsidP="00360B83">
      <w:pPr>
        <w:pStyle w:val="Sinespaciado"/>
        <w:spacing w:line="276" w:lineRule="auto"/>
        <w:jc w:val="both"/>
        <w:rPr>
          <w:rFonts w:ascii="Georgia" w:hAnsi="Georgia" w:cs="Arial"/>
        </w:rPr>
      </w:pPr>
      <w:r w:rsidRPr="00360B83">
        <w:rPr>
          <w:rFonts w:ascii="Georgia" w:hAnsi="Georgia" w:cs="Arial"/>
        </w:rPr>
        <w:t>En suma</w:t>
      </w:r>
      <w:r w:rsidR="00DF6741" w:rsidRPr="00360B83">
        <w:rPr>
          <w:rFonts w:ascii="Georgia" w:hAnsi="Georgia" w:cs="Arial"/>
        </w:rPr>
        <w:t>,</w:t>
      </w:r>
      <w:r w:rsidRPr="00360B83">
        <w:rPr>
          <w:rFonts w:ascii="Georgia" w:hAnsi="Georgia" w:cs="Arial"/>
        </w:rPr>
        <w:t xml:space="preserve"> </w:t>
      </w:r>
      <w:r w:rsidR="00DF6741" w:rsidRPr="00360B83">
        <w:rPr>
          <w:rFonts w:ascii="Georgia" w:hAnsi="Georgia" w:cs="Arial"/>
        </w:rPr>
        <w:t>sin lugar a duda, contrario a</w:t>
      </w:r>
      <w:r w:rsidR="004E75C5" w:rsidRPr="00360B83">
        <w:rPr>
          <w:rFonts w:ascii="Georgia" w:hAnsi="Georgia" w:cs="Arial"/>
        </w:rPr>
        <w:t xml:space="preserve"> </w:t>
      </w:r>
      <w:r w:rsidR="00DF6741" w:rsidRPr="00360B83">
        <w:rPr>
          <w:rFonts w:ascii="Georgia" w:hAnsi="Georgia" w:cs="Arial"/>
        </w:rPr>
        <w:t>l</w:t>
      </w:r>
      <w:r w:rsidR="004E75C5" w:rsidRPr="00360B83">
        <w:rPr>
          <w:rFonts w:ascii="Georgia" w:hAnsi="Georgia" w:cs="Arial"/>
        </w:rPr>
        <w:t xml:space="preserve">o expuesto por </w:t>
      </w:r>
      <w:r w:rsidR="00DF6741" w:rsidRPr="00360B83">
        <w:rPr>
          <w:rFonts w:ascii="Georgia" w:hAnsi="Georgia" w:cs="Arial"/>
        </w:rPr>
        <w:t xml:space="preserve">la recurrente, tanto la doctrina </w:t>
      </w:r>
      <w:r w:rsidR="5BA0E760" w:rsidRPr="00360B83">
        <w:rPr>
          <w:rFonts w:ascii="Georgia" w:hAnsi="Georgia" w:cs="Arial"/>
        </w:rPr>
        <w:t xml:space="preserve">nacional </w:t>
      </w:r>
      <w:r w:rsidR="00DF6741" w:rsidRPr="00360B83">
        <w:rPr>
          <w:rFonts w:ascii="Georgia" w:hAnsi="Georgia" w:cs="Arial"/>
        </w:rPr>
        <w:t>como la jurisprudencia</w:t>
      </w:r>
      <w:r w:rsidR="004E75C5" w:rsidRPr="00360B83">
        <w:rPr>
          <w:rFonts w:ascii="Georgia" w:hAnsi="Georgia" w:cs="Arial"/>
        </w:rPr>
        <w:t xml:space="preserve"> </w:t>
      </w:r>
      <w:r w:rsidR="006A2C31" w:rsidRPr="00360B83">
        <w:rPr>
          <w:rFonts w:ascii="Georgia" w:hAnsi="Georgia" w:cs="Arial"/>
        </w:rPr>
        <w:t xml:space="preserve">mayoritaria </w:t>
      </w:r>
      <w:r w:rsidR="004E75C5" w:rsidRPr="00360B83">
        <w:rPr>
          <w:rFonts w:ascii="Georgia" w:hAnsi="Georgia" w:cs="Arial"/>
        </w:rPr>
        <w:t>de las Altas Cortes</w:t>
      </w:r>
      <w:r w:rsidR="00DF6741" w:rsidRPr="00360B83">
        <w:rPr>
          <w:rFonts w:ascii="Georgia" w:hAnsi="Georgia" w:cs="Arial"/>
        </w:rPr>
        <w:t xml:space="preserve">, son partidarias de que </w:t>
      </w:r>
      <w:r w:rsidR="00DF6741" w:rsidRPr="00360B83">
        <w:rPr>
          <w:rFonts w:ascii="Georgia" w:hAnsi="Georgia" w:cs="Arial"/>
          <w:u w:val="single"/>
        </w:rPr>
        <w:t>formular los reparos es diferente a la sustentación del recurso y que esta última, debe realizarse ante el superior</w:t>
      </w:r>
      <w:r w:rsidRPr="00360B83">
        <w:rPr>
          <w:rFonts w:ascii="Georgia" w:hAnsi="Georgia" w:cs="Arial"/>
          <w:u w:val="single"/>
        </w:rPr>
        <w:t xml:space="preserve">, también, que </w:t>
      </w:r>
      <w:r w:rsidR="00F03D99" w:rsidRPr="00360B83">
        <w:rPr>
          <w:rFonts w:ascii="Georgia" w:hAnsi="Georgia" w:cs="Arial"/>
          <w:u w:val="single"/>
        </w:rPr>
        <w:t xml:space="preserve">ante el </w:t>
      </w:r>
      <w:r w:rsidRPr="00360B83">
        <w:rPr>
          <w:rFonts w:ascii="Georgia" w:hAnsi="Georgia" w:cs="Arial"/>
          <w:u w:val="single"/>
        </w:rPr>
        <w:t>incumpli</w:t>
      </w:r>
      <w:r w:rsidR="00F03D99" w:rsidRPr="00360B83">
        <w:rPr>
          <w:rFonts w:ascii="Georgia" w:hAnsi="Georgia" w:cs="Arial"/>
          <w:u w:val="single"/>
        </w:rPr>
        <w:t>miento de</w:t>
      </w:r>
      <w:r w:rsidRPr="00360B83">
        <w:rPr>
          <w:rFonts w:ascii="Georgia" w:hAnsi="Georgia" w:cs="Arial"/>
          <w:u w:val="single"/>
        </w:rPr>
        <w:t xml:space="preserve"> esa </w:t>
      </w:r>
      <w:r w:rsidR="00F03D99" w:rsidRPr="00360B83">
        <w:rPr>
          <w:rFonts w:ascii="Georgia" w:hAnsi="Georgia" w:cs="Arial"/>
          <w:u w:val="single"/>
        </w:rPr>
        <w:t xml:space="preserve">carga </w:t>
      </w:r>
      <w:r w:rsidR="005C3A39" w:rsidRPr="00360B83">
        <w:rPr>
          <w:rFonts w:ascii="Georgia" w:hAnsi="Georgia" w:cs="Arial"/>
          <w:u w:val="single"/>
        </w:rPr>
        <w:t>es viable la declaratoria de deserción</w:t>
      </w:r>
      <w:r w:rsidR="00DF6741" w:rsidRPr="00360B83">
        <w:rPr>
          <w:rFonts w:ascii="Georgia" w:hAnsi="Georgia" w:cs="Arial"/>
        </w:rPr>
        <w:t xml:space="preserve">. </w:t>
      </w:r>
      <w:r w:rsidR="00541D65" w:rsidRPr="00360B83">
        <w:rPr>
          <w:rFonts w:ascii="Georgia" w:hAnsi="Georgia" w:cs="Arial"/>
        </w:rPr>
        <w:t>De nuevo resultan útiles las palabras del profesor Rojas G.</w:t>
      </w:r>
      <w:r w:rsidR="00541D65" w:rsidRPr="00360B83">
        <w:rPr>
          <w:rStyle w:val="Refdenotaalpie"/>
          <w:rFonts w:ascii="Georgia" w:hAnsi="Georgia"/>
        </w:rPr>
        <w:t xml:space="preserve"> </w:t>
      </w:r>
      <w:r w:rsidR="00541D65" w:rsidRPr="00360B83">
        <w:rPr>
          <w:rStyle w:val="Refdenotaalpie"/>
          <w:rFonts w:ascii="Georgia" w:hAnsi="Georgia"/>
        </w:rPr>
        <w:footnoteReference w:id="26"/>
      </w:r>
      <w:r w:rsidR="00541D65" w:rsidRPr="00360B83">
        <w:rPr>
          <w:rFonts w:ascii="Georgia" w:hAnsi="Georgia" w:cs="Arial"/>
        </w:rPr>
        <w:t>:</w:t>
      </w:r>
    </w:p>
    <w:p w14:paraId="532C3D96" w14:textId="63439070" w:rsidR="00541D65" w:rsidRPr="00360B83" w:rsidRDefault="00541D65" w:rsidP="00360B83">
      <w:pPr>
        <w:pStyle w:val="Sinespaciado"/>
        <w:spacing w:line="276" w:lineRule="auto"/>
        <w:jc w:val="both"/>
        <w:rPr>
          <w:rFonts w:ascii="Georgia" w:hAnsi="Georgia" w:cs="Arial"/>
        </w:rPr>
      </w:pPr>
    </w:p>
    <w:p w14:paraId="1CE82FBC" w14:textId="77777777" w:rsidR="00541D65" w:rsidRPr="000A668B" w:rsidRDefault="00541D65" w:rsidP="000A668B">
      <w:pPr>
        <w:pStyle w:val="Sinespaciado"/>
        <w:ind w:left="426" w:right="418"/>
        <w:jc w:val="both"/>
        <w:rPr>
          <w:rFonts w:ascii="Georgia" w:hAnsi="Georgia" w:cs="Arial"/>
          <w:sz w:val="22"/>
          <w:u w:val="single"/>
        </w:rPr>
      </w:pPr>
      <w:r w:rsidRPr="000A668B">
        <w:rPr>
          <w:rFonts w:ascii="Georgia" w:hAnsi="Georgia" w:cs="Arial"/>
          <w:sz w:val="22"/>
        </w:rPr>
        <w:t xml:space="preserve">De entrada puede parecer odioso exigir al apelante que haga la sustentación en dos fases, porque el intérprete puede pensar que la segunda es repetición de la primera. Sin embargo, el examen detallado de la dinámica de la apelación en el modelo procesal escogido </w:t>
      </w:r>
      <w:r w:rsidRPr="000A668B">
        <w:rPr>
          <w:rFonts w:ascii="Georgia" w:hAnsi="Georgia" w:cs="Arial"/>
          <w:sz w:val="22"/>
          <w:u w:val="single"/>
        </w:rPr>
        <w:t>obliga a aceptar que las dos etapas de la sustentación son distintas y prescindir de alguna de ellas echaría a perder los objetivos del esquema diseñado.</w:t>
      </w:r>
      <w:r w:rsidRPr="000A668B">
        <w:rPr>
          <w:rFonts w:ascii="Georgia" w:hAnsi="Georgia" w:cs="Arial"/>
          <w:sz w:val="22"/>
        </w:rPr>
        <w:t xml:space="preserve"> </w:t>
      </w:r>
      <w:r w:rsidRPr="000A668B">
        <w:rPr>
          <w:rFonts w:ascii="Georgia" w:hAnsi="Georgia" w:cs="Arial"/>
          <w:sz w:val="22"/>
        </w:rPr>
        <w:lastRenderedPageBreak/>
        <w:t>(…)</w:t>
      </w:r>
    </w:p>
    <w:p w14:paraId="127BF9F8" w14:textId="77777777" w:rsidR="00541D65" w:rsidRPr="000A668B" w:rsidRDefault="00541D65" w:rsidP="000A668B">
      <w:pPr>
        <w:pStyle w:val="Sinespaciado"/>
        <w:ind w:left="426" w:right="418"/>
        <w:jc w:val="both"/>
        <w:rPr>
          <w:rFonts w:ascii="Georgia" w:hAnsi="Georgia" w:cs="Arial"/>
          <w:sz w:val="22"/>
          <w:u w:val="single"/>
        </w:rPr>
      </w:pPr>
    </w:p>
    <w:p w14:paraId="39315B30" w14:textId="77777777" w:rsidR="00541D65" w:rsidRPr="000A668B" w:rsidRDefault="00541D65" w:rsidP="000A668B">
      <w:pPr>
        <w:pStyle w:val="Sinespaciado"/>
        <w:ind w:left="426" w:right="418"/>
        <w:jc w:val="both"/>
        <w:rPr>
          <w:rFonts w:ascii="Georgia" w:hAnsi="Georgia" w:cs="Arial"/>
          <w:sz w:val="22"/>
        </w:rPr>
      </w:pPr>
      <w:r w:rsidRPr="000A668B">
        <w:rPr>
          <w:rFonts w:ascii="Georgia" w:hAnsi="Georgia" w:cs="Arial"/>
          <w:sz w:val="22"/>
          <w:u w:val="single"/>
        </w:rPr>
        <w:t>Por consiguiente, aunque aparezcan chocantes tales ritualidades, hay que reconocer que lucen necesarias para conquistar los objetivos que persiguen el sistema escogido</w:t>
      </w:r>
      <w:r w:rsidRPr="000A668B">
        <w:rPr>
          <w:rFonts w:ascii="Georgia" w:hAnsi="Georgia" w:cs="Arial"/>
          <w:sz w:val="22"/>
        </w:rPr>
        <w:t>. (</w:t>
      </w:r>
      <w:proofErr w:type="spellStart"/>
      <w:r w:rsidRPr="000A668B">
        <w:rPr>
          <w:rFonts w:ascii="Georgia" w:hAnsi="Georgia" w:cs="Arial"/>
          <w:sz w:val="22"/>
        </w:rPr>
        <w:t>Sublínea</w:t>
      </w:r>
      <w:proofErr w:type="spellEnd"/>
      <w:r w:rsidRPr="000A668B">
        <w:rPr>
          <w:rFonts w:ascii="Georgia" w:hAnsi="Georgia" w:cs="Arial"/>
          <w:sz w:val="22"/>
        </w:rPr>
        <w:t xml:space="preserve"> fuera de texto).</w:t>
      </w:r>
    </w:p>
    <w:p w14:paraId="3208F693" w14:textId="77777777" w:rsidR="00541D65" w:rsidRPr="00360B83" w:rsidRDefault="00541D65" w:rsidP="00360B83">
      <w:pPr>
        <w:pStyle w:val="Sinespaciado"/>
        <w:spacing w:line="276" w:lineRule="auto"/>
        <w:jc w:val="both"/>
        <w:rPr>
          <w:rFonts w:ascii="Georgia" w:hAnsi="Georgia" w:cs="Arial"/>
        </w:rPr>
      </w:pPr>
    </w:p>
    <w:p w14:paraId="153E9888" w14:textId="617DC289" w:rsidR="005C3A39" w:rsidRPr="00360B83" w:rsidRDefault="006A2C31" w:rsidP="00360B83">
      <w:pPr>
        <w:pStyle w:val="Sinespaciado"/>
        <w:spacing w:line="276" w:lineRule="auto"/>
        <w:jc w:val="both"/>
        <w:rPr>
          <w:rFonts w:ascii="Georgia" w:hAnsi="Georgia"/>
        </w:rPr>
      </w:pPr>
      <w:r w:rsidRPr="00360B83">
        <w:rPr>
          <w:rFonts w:ascii="Georgia" w:hAnsi="Georgia" w:cs="Arial"/>
        </w:rPr>
        <w:t>La forma en que deben sustentarse las apelaciones</w:t>
      </w:r>
      <w:r w:rsidR="005C3A39" w:rsidRPr="00360B83">
        <w:rPr>
          <w:rFonts w:ascii="Georgia" w:hAnsi="Georgia" w:cs="Arial"/>
        </w:rPr>
        <w:t>, no cambio con la expedición Decreto Presidencial No.</w:t>
      </w:r>
      <w:r w:rsidR="004E6277">
        <w:rPr>
          <w:rFonts w:ascii="Georgia" w:hAnsi="Georgia" w:cs="Arial"/>
        </w:rPr>
        <w:t xml:space="preserve"> </w:t>
      </w:r>
      <w:r w:rsidR="005C3A39" w:rsidRPr="00360B83">
        <w:rPr>
          <w:rFonts w:ascii="Georgia" w:hAnsi="Georgia" w:cs="Arial"/>
        </w:rPr>
        <w:t>806 de 2020</w:t>
      </w:r>
      <w:r w:rsidR="008F4505" w:rsidRPr="00360B83">
        <w:rPr>
          <w:rFonts w:ascii="Georgia" w:hAnsi="Georgia" w:cs="Arial"/>
        </w:rPr>
        <w:t xml:space="preserve">, pues </w:t>
      </w:r>
      <w:r w:rsidR="00F03D99" w:rsidRPr="00360B83">
        <w:rPr>
          <w:rFonts w:ascii="Georgia" w:hAnsi="Georgia" w:cs="Arial"/>
        </w:rPr>
        <w:t>puntualmente, el inciso segundo del artículo 14, consagró:</w:t>
      </w:r>
      <w:r w:rsidR="00F03D99" w:rsidRPr="00360B83">
        <w:rPr>
          <w:rFonts w:ascii="Georgia" w:hAnsi="Georgia" w:cs="Arial"/>
          <w:i/>
        </w:rPr>
        <w:t xml:space="preserve"> “</w:t>
      </w:r>
      <w:r w:rsidR="00F03D99" w:rsidRPr="000A668B">
        <w:rPr>
          <w:rFonts w:ascii="Georgia" w:hAnsi="Georgia" w:cs="Arial"/>
          <w:i/>
          <w:sz w:val="22"/>
        </w:rPr>
        <w:t xml:space="preserve">(…) </w:t>
      </w:r>
      <w:r w:rsidR="00F03D99" w:rsidRPr="000A668B">
        <w:rPr>
          <w:rFonts w:ascii="Georgia" w:hAnsi="Georgia"/>
          <w:i/>
          <w:sz w:val="22"/>
        </w:rPr>
        <w:t xml:space="preserve">Ejecutoriado el auto que admite el recurso o el que niega la solicitud de pruebas, </w:t>
      </w:r>
      <w:r w:rsidR="00F03D99" w:rsidRPr="000A668B">
        <w:rPr>
          <w:rFonts w:ascii="Georgia" w:hAnsi="Georgia"/>
          <w:i/>
          <w:sz w:val="22"/>
          <w:u w:val="single"/>
        </w:rPr>
        <w:t>el apelante deberá sustentar el recurso a más tardar dentro de los cinco (5) días siguientes</w:t>
      </w:r>
      <w:r w:rsidR="00F03D99" w:rsidRPr="000A668B">
        <w:rPr>
          <w:rFonts w:ascii="Georgia" w:hAnsi="Georgia"/>
          <w:i/>
          <w:sz w:val="22"/>
        </w:rPr>
        <w:t xml:space="preserve">. De la sustentación se correrá traslado a la parte contraria por el término de cinco (5) días. Vencido el término de traslado se proferirá sentencia escrita que se notificará por estado. </w:t>
      </w:r>
      <w:r w:rsidR="00F03D99" w:rsidRPr="000A668B">
        <w:rPr>
          <w:rFonts w:ascii="Georgia" w:hAnsi="Georgia"/>
          <w:i/>
          <w:sz w:val="22"/>
          <w:u w:val="single"/>
        </w:rPr>
        <w:t>Si no se sustenta oportunamente el recurso, se declarará desierto</w:t>
      </w:r>
      <w:r w:rsidR="00F03D99" w:rsidRPr="000A668B">
        <w:rPr>
          <w:rFonts w:ascii="Georgia" w:hAnsi="Georgia"/>
          <w:i/>
          <w:sz w:val="22"/>
        </w:rPr>
        <w:t>. (…)</w:t>
      </w:r>
      <w:r w:rsidR="00F03D99" w:rsidRPr="00360B83">
        <w:rPr>
          <w:rFonts w:ascii="Georgia" w:hAnsi="Georgia"/>
          <w:i/>
        </w:rPr>
        <w:t xml:space="preserve">” </w:t>
      </w:r>
      <w:r w:rsidR="00F03D99" w:rsidRPr="00360B83">
        <w:rPr>
          <w:rFonts w:ascii="Georgia" w:hAnsi="Georgia"/>
        </w:rPr>
        <w:t xml:space="preserve">(Resaltado </w:t>
      </w:r>
      <w:proofErr w:type="spellStart"/>
      <w:r w:rsidR="00F03D99" w:rsidRPr="00360B83">
        <w:rPr>
          <w:rFonts w:ascii="Georgia" w:hAnsi="Georgia"/>
        </w:rPr>
        <w:t>extratextual</w:t>
      </w:r>
      <w:proofErr w:type="spellEnd"/>
      <w:r w:rsidR="00F03D99" w:rsidRPr="00360B83">
        <w:rPr>
          <w:rFonts w:ascii="Georgia" w:hAnsi="Georgia"/>
        </w:rPr>
        <w:t xml:space="preserve">). </w:t>
      </w:r>
    </w:p>
    <w:p w14:paraId="315D52CF" w14:textId="643EA870" w:rsidR="007F1488" w:rsidRPr="00360B83" w:rsidRDefault="007F1488" w:rsidP="00360B83">
      <w:pPr>
        <w:pStyle w:val="Sinespaciado"/>
        <w:spacing w:line="276" w:lineRule="auto"/>
        <w:jc w:val="both"/>
        <w:rPr>
          <w:rFonts w:ascii="Georgia" w:hAnsi="Georgia"/>
        </w:rPr>
      </w:pPr>
    </w:p>
    <w:p w14:paraId="7F7D65EF" w14:textId="697DD07D" w:rsidR="00AD1446" w:rsidRPr="00360B83" w:rsidRDefault="007F1488" w:rsidP="00360B83">
      <w:pPr>
        <w:pStyle w:val="Sinespaciado"/>
        <w:spacing w:line="276" w:lineRule="auto"/>
        <w:jc w:val="both"/>
        <w:rPr>
          <w:rFonts w:ascii="Georgia" w:hAnsi="Georgia" w:cs="Arial"/>
        </w:rPr>
      </w:pPr>
      <w:r w:rsidRPr="00360B83">
        <w:rPr>
          <w:rFonts w:ascii="Georgia" w:hAnsi="Georgia" w:cs="Arial"/>
        </w:rPr>
        <w:t>Descendiendo e</w:t>
      </w:r>
      <w:r w:rsidR="00541D65" w:rsidRPr="00360B83">
        <w:rPr>
          <w:rFonts w:ascii="Georgia" w:hAnsi="Georgia" w:cs="Arial"/>
        </w:rPr>
        <w:t xml:space="preserve">n </w:t>
      </w:r>
      <w:r w:rsidRPr="00360B83">
        <w:rPr>
          <w:rFonts w:ascii="Georgia" w:hAnsi="Georgia" w:cs="Arial"/>
        </w:rPr>
        <w:t xml:space="preserve">autos, </w:t>
      </w:r>
      <w:r w:rsidR="006A2C31" w:rsidRPr="00360B83">
        <w:rPr>
          <w:rFonts w:ascii="Georgia" w:hAnsi="Georgia" w:cs="Arial"/>
        </w:rPr>
        <w:t xml:space="preserve">aquí </w:t>
      </w:r>
      <w:r w:rsidR="00541D65" w:rsidRPr="00360B83">
        <w:rPr>
          <w:rFonts w:ascii="Georgia" w:hAnsi="Georgia" w:cs="Arial"/>
        </w:rPr>
        <w:t xml:space="preserve">al emitir </w:t>
      </w:r>
      <w:r w:rsidR="00F03D99" w:rsidRPr="00360B83">
        <w:rPr>
          <w:rFonts w:ascii="Georgia" w:hAnsi="Georgia" w:cs="Arial"/>
        </w:rPr>
        <w:t xml:space="preserve">el </w:t>
      </w:r>
      <w:r w:rsidR="006A2C31" w:rsidRPr="00360B83">
        <w:rPr>
          <w:rFonts w:ascii="Georgia" w:hAnsi="Georgia" w:cs="Arial"/>
        </w:rPr>
        <w:t>proveído</w:t>
      </w:r>
      <w:r w:rsidR="00F03D99" w:rsidRPr="00360B83">
        <w:rPr>
          <w:rFonts w:ascii="Georgia" w:hAnsi="Georgia" w:cs="Arial"/>
        </w:rPr>
        <w:t xml:space="preserve"> admisorio</w:t>
      </w:r>
      <w:r w:rsidRPr="00360B83">
        <w:rPr>
          <w:rFonts w:ascii="Georgia" w:hAnsi="Georgia" w:cs="Arial"/>
        </w:rPr>
        <w:t xml:space="preserve"> (Fechado 07-07-2020, ubicado en la carpeta</w:t>
      </w:r>
      <w:r w:rsidRPr="00360B83">
        <w:rPr>
          <w:rFonts w:ascii="Georgia" w:hAnsi="Georgia" w:cs="Arial"/>
          <w:lang w:val="es-CO"/>
        </w:rPr>
        <w:t xml:space="preserve"> 2ª instancia, archivo 01</w:t>
      </w:r>
      <w:r w:rsidRPr="00360B83">
        <w:rPr>
          <w:rFonts w:ascii="Georgia" w:hAnsi="Georgia" w:cs="Arial"/>
        </w:rPr>
        <w:t>, folio 7),</w:t>
      </w:r>
      <w:r w:rsidR="00F03D99" w:rsidRPr="00360B83">
        <w:rPr>
          <w:rFonts w:ascii="Georgia" w:hAnsi="Georgia" w:cs="Arial"/>
        </w:rPr>
        <w:t xml:space="preserve"> </w:t>
      </w:r>
      <w:r w:rsidR="00541D65" w:rsidRPr="00360B83">
        <w:rPr>
          <w:rFonts w:ascii="Georgia" w:hAnsi="Georgia" w:cs="Arial"/>
        </w:rPr>
        <w:t>ya estaba en</w:t>
      </w:r>
      <w:r w:rsidR="00F03D99" w:rsidRPr="00360B83">
        <w:rPr>
          <w:rFonts w:ascii="Georgia" w:hAnsi="Georgia" w:cs="Arial"/>
        </w:rPr>
        <w:t xml:space="preserve"> vigencia esa normativa, </w:t>
      </w:r>
      <w:r w:rsidR="00AD1446" w:rsidRPr="00360B83">
        <w:rPr>
          <w:rFonts w:ascii="Georgia" w:hAnsi="Georgia" w:cs="Arial"/>
        </w:rPr>
        <w:t>de allí que</w:t>
      </w:r>
      <w:r w:rsidR="008B41DF" w:rsidRPr="00360B83">
        <w:rPr>
          <w:rFonts w:ascii="Georgia" w:hAnsi="Georgia" w:cs="Arial"/>
        </w:rPr>
        <w:t>,</w:t>
      </w:r>
      <w:r w:rsidR="00AD1446" w:rsidRPr="00360B83">
        <w:rPr>
          <w:rFonts w:ascii="Georgia" w:hAnsi="Georgia" w:cs="Arial"/>
        </w:rPr>
        <w:t xml:space="preserve"> hecha la </w:t>
      </w:r>
      <w:r w:rsidR="00F03D99" w:rsidRPr="00360B83">
        <w:rPr>
          <w:rFonts w:ascii="Georgia" w:hAnsi="Georgia" w:cs="Arial"/>
        </w:rPr>
        <w:t xml:space="preserve">precisa mención de que se </w:t>
      </w:r>
      <w:r w:rsidR="00541D65" w:rsidRPr="00360B83">
        <w:rPr>
          <w:rFonts w:ascii="Georgia" w:hAnsi="Georgia" w:cs="Arial"/>
        </w:rPr>
        <w:t xml:space="preserve">daría plena aplicación a </w:t>
      </w:r>
      <w:r w:rsidR="00AD1446" w:rsidRPr="00360B83">
        <w:rPr>
          <w:rFonts w:ascii="Georgia" w:hAnsi="Georgia" w:cs="Arial"/>
        </w:rPr>
        <w:t xml:space="preserve">los aludidos </w:t>
      </w:r>
      <w:r w:rsidR="00541D65" w:rsidRPr="00360B83">
        <w:rPr>
          <w:rFonts w:ascii="Georgia" w:hAnsi="Georgia" w:cs="Arial"/>
        </w:rPr>
        <w:t>términos,</w:t>
      </w:r>
      <w:r w:rsidR="00541D65" w:rsidRPr="00360B83">
        <w:rPr>
          <w:rFonts w:ascii="Georgia" w:hAnsi="Georgia" w:cs="Arial"/>
          <w:b/>
          <w:bCs/>
        </w:rPr>
        <w:t xml:space="preserve"> </w:t>
      </w:r>
      <w:r w:rsidR="008B41DF" w:rsidRPr="00360B83">
        <w:rPr>
          <w:rFonts w:ascii="Georgia" w:hAnsi="Georgia" w:cs="Arial"/>
          <w:b/>
          <w:bCs/>
        </w:rPr>
        <w:t xml:space="preserve">se imponía para </w:t>
      </w:r>
      <w:r w:rsidR="00541D65" w:rsidRPr="00360B83">
        <w:rPr>
          <w:rFonts w:ascii="Georgia" w:hAnsi="Georgia" w:cs="Arial"/>
          <w:b/>
          <w:bCs/>
        </w:rPr>
        <w:t xml:space="preserve">los recurrentes </w:t>
      </w:r>
      <w:r w:rsidR="008B41DF" w:rsidRPr="00360B83">
        <w:rPr>
          <w:rFonts w:ascii="Georgia" w:hAnsi="Georgia" w:cs="Arial"/>
          <w:b/>
          <w:bCs/>
        </w:rPr>
        <w:t xml:space="preserve">el deber de </w:t>
      </w:r>
      <w:r w:rsidR="00541D65" w:rsidRPr="00360B83">
        <w:rPr>
          <w:rFonts w:ascii="Georgia" w:hAnsi="Georgia" w:cs="Arial"/>
          <w:b/>
          <w:bCs/>
        </w:rPr>
        <w:t>sustentar sus</w:t>
      </w:r>
      <w:r w:rsidR="00AD1446" w:rsidRPr="00360B83">
        <w:rPr>
          <w:rFonts w:ascii="Georgia" w:hAnsi="Georgia" w:cs="Arial"/>
          <w:b/>
          <w:bCs/>
        </w:rPr>
        <w:t xml:space="preserve"> respectivos</w:t>
      </w:r>
      <w:r w:rsidR="00541D65" w:rsidRPr="00360B83">
        <w:rPr>
          <w:rFonts w:ascii="Georgia" w:hAnsi="Georgia" w:cs="Arial"/>
          <w:b/>
          <w:bCs/>
        </w:rPr>
        <w:t xml:space="preserve"> recursos</w:t>
      </w:r>
      <w:r w:rsidR="00541D65" w:rsidRPr="00360B83">
        <w:rPr>
          <w:rFonts w:ascii="Georgia" w:hAnsi="Georgia" w:cs="Arial"/>
        </w:rPr>
        <w:t>.</w:t>
      </w:r>
      <w:r w:rsidR="00AD1446" w:rsidRPr="00360B83">
        <w:rPr>
          <w:rFonts w:ascii="Georgia" w:hAnsi="Georgia" w:cs="Arial"/>
        </w:rPr>
        <w:t xml:space="preserve"> </w:t>
      </w:r>
    </w:p>
    <w:p w14:paraId="41B5A539" w14:textId="77777777" w:rsidR="00AD1446" w:rsidRPr="00360B83" w:rsidRDefault="00AD1446" w:rsidP="00360B83">
      <w:pPr>
        <w:pStyle w:val="Sinespaciado"/>
        <w:spacing w:line="276" w:lineRule="auto"/>
        <w:jc w:val="both"/>
        <w:rPr>
          <w:rFonts w:ascii="Georgia" w:hAnsi="Georgia" w:cs="Arial"/>
        </w:rPr>
      </w:pPr>
    </w:p>
    <w:p w14:paraId="0890F6B7" w14:textId="74944147" w:rsidR="007F1488" w:rsidRPr="00360B83" w:rsidRDefault="00AD1446" w:rsidP="00360B83">
      <w:pPr>
        <w:pStyle w:val="Sinespaciado"/>
        <w:spacing w:line="276" w:lineRule="auto"/>
        <w:jc w:val="both"/>
        <w:rPr>
          <w:rFonts w:ascii="Georgia" w:hAnsi="Georgia" w:cs="Arial"/>
        </w:rPr>
      </w:pPr>
      <w:r w:rsidRPr="00360B83">
        <w:rPr>
          <w:rFonts w:ascii="Georgia" w:hAnsi="Georgia" w:cs="Arial"/>
        </w:rPr>
        <w:t>Innecesario era, como mal entiende la apoderada de la parte actora, que se les indicar</w:t>
      </w:r>
      <w:r w:rsidR="008B41DF" w:rsidRPr="00360B83">
        <w:rPr>
          <w:rFonts w:ascii="Georgia" w:hAnsi="Georgia" w:cs="Arial"/>
        </w:rPr>
        <w:t>a</w:t>
      </w:r>
      <w:r w:rsidRPr="00360B83">
        <w:rPr>
          <w:rFonts w:ascii="Georgia" w:hAnsi="Georgia" w:cs="Arial"/>
        </w:rPr>
        <w:t xml:space="preserve"> expresamente que debían concurrir a cumplir con esa carga procesal, pues ello </w:t>
      </w:r>
      <w:r w:rsidR="00125389" w:rsidRPr="00360B83">
        <w:rPr>
          <w:rFonts w:ascii="Georgia" w:hAnsi="Georgia" w:cs="Arial"/>
        </w:rPr>
        <w:t xml:space="preserve">surge sin vacilaciones </w:t>
      </w:r>
      <w:r w:rsidRPr="00360B83">
        <w:rPr>
          <w:rFonts w:ascii="Georgia" w:hAnsi="Georgia" w:cs="Arial"/>
        </w:rPr>
        <w:t xml:space="preserve">de la misma norma, tanto es así que los </w:t>
      </w:r>
      <w:r w:rsidR="008B41DF" w:rsidRPr="00360B83">
        <w:rPr>
          <w:rFonts w:ascii="Georgia" w:hAnsi="Georgia" w:cs="Arial"/>
        </w:rPr>
        <w:t xml:space="preserve">mandatarios </w:t>
      </w:r>
      <w:r w:rsidRPr="00360B83">
        <w:rPr>
          <w:rFonts w:ascii="Georgia" w:hAnsi="Georgia" w:cs="Arial"/>
        </w:rPr>
        <w:t xml:space="preserve">judiciales de Coomeva </w:t>
      </w:r>
      <w:proofErr w:type="spellStart"/>
      <w:r w:rsidRPr="00360B83">
        <w:rPr>
          <w:rFonts w:ascii="Georgia" w:hAnsi="Georgia" w:cs="Arial"/>
        </w:rPr>
        <w:t>EPS</w:t>
      </w:r>
      <w:proofErr w:type="spellEnd"/>
      <w:r w:rsidRPr="00360B83">
        <w:rPr>
          <w:rFonts w:ascii="Georgia" w:hAnsi="Georgia" w:cs="Arial"/>
        </w:rPr>
        <w:t xml:space="preserve"> </w:t>
      </w:r>
      <w:proofErr w:type="spellStart"/>
      <w:r w:rsidRPr="00360B83">
        <w:rPr>
          <w:rFonts w:ascii="Georgia" w:hAnsi="Georgia" w:cs="Arial"/>
        </w:rPr>
        <w:t>SA</w:t>
      </w:r>
      <w:proofErr w:type="spellEnd"/>
      <w:r w:rsidRPr="00360B83">
        <w:rPr>
          <w:rFonts w:ascii="Georgia" w:hAnsi="Georgia" w:cs="Arial"/>
        </w:rPr>
        <w:t>, Seguros del Estado S</w:t>
      </w:r>
      <w:r w:rsidR="004E6277">
        <w:rPr>
          <w:rFonts w:ascii="Georgia" w:hAnsi="Georgia" w:cs="Arial"/>
        </w:rPr>
        <w:t>.</w:t>
      </w:r>
      <w:r w:rsidRPr="00360B83">
        <w:rPr>
          <w:rFonts w:ascii="Georgia" w:hAnsi="Georgia" w:cs="Arial"/>
        </w:rPr>
        <w:t>A</w:t>
      </w:r>
      <w:r w:rsidR="004E6277">
        <w:rPr>
          <w:rFonts w:ascii="Georgia" w:hAnsi="Georgia" w:cs="Arial"/>
        </w:rPr>
        <w:t>.</w:t>
      </w:r>
      <w:r w:rsidRPr="00360B83">
        <w:rPr>
          <w:rFonts w:ascii="Georgia" w:hAnsi="Georgia" w:cs="Arial"/>
        </w:rPr>
        <w:t xml:space="preserve"> y la Clínica Los Rosales S</w:t>
      </w:r>
      <w:r w:rsidR="004E6277">
        <w:rPr>
          <w:rFonts w:ascii="Georgia" w:hAnsi="Georgia" w:cs="Arial"/>
        </w:rPr>
        <w:t>.</w:t>
      </w:r>
      <w:r w:rsidRPr="00360B83">
        <w:rPr>
          <w:rFonts w:ascii="Georgia" w:hAnsi="Georgia" w:cs="Arial"/>
        </w:rPr>
        <w:t>A</w:t>
      </w:r>
      <w:r w:rsidR="004E6277">
        <w:rPr>
          <w:rFonts w:ascii="Georgia" w:hAnsi="Georgia" w:cs="Arial"/>
        </w:rPr>
        <w:t>.</w:t>
      </w:r>
      <w:r w:rsidRPr="00360B83">
        <w:rPr>
          <w:rFonts w:ascii="Georgia" w:hAnsi="Georgia" w:cs="Arial"/>
        </w:rPr>
        <w:t>, lo hicieron de manera oportuna (Carpeta</w:t>
      </w:r>
      <w:r w:rsidRPr="00360B83">
        <w:rPr>
          <w:rFonts w:ascii="Georgia" w:hAnsi="Georgia" w:cs="Arial"/>
          <w:lang w:val="es-CO"/>
        </w:rPr>
        <w:t xml:space="preserve"> 2ª instancia, archivo 03</w:t>
      </w:r>
      <w:r w:rsidRPr="00360B83">
        <w:rPr>
          <w:rFonts w:ascii="Georgia" w:hAnsi="Georgia" w:cs="Arial"/>
        </w:rPr>
        <w:t>).</w:t>
      </w:r>
      <w:r w:rsidR="007F1488" w:rsidRPr="00360B83">
        <w:rPr>
          <w:rFonts w:ascii="Georgia" w:hAnsi="Georgia" w:cs="Arial"/>
        </w:rPr>
        <w:t xml:space="preserve"> </w:t>
      </w:r>
    </w:p>
    <w:p w14:paraId="687EFB56" w14:textId="6A7CF405" w:rsidR="00125389" w:rsidRPr="00360B83" w:rsidRDefault="00125389" w:rsidP="00360B83">
      <w:pPr>
        <w:pStyle w:val="Sinespaciado"/>
        <w:spacing w:line="276" w:lineRule="auto"/>
        <w:jc w:val="both"/>
        <w:rPr>
          <w:rFonts w:ascii="Georgia" w:hAnsi="Georgia" w:cs="Arial"/>
        </w:rPr>
      </w:pPr>
    </w:p>
    <w:p w14:paraId="06AB0648" w14:textId="6CE15087" w:rsidR="004B145C" w:rsidRPr="00360B83" w:rsidRDefault="56FAEE4F" w:rsidP="00360B83">
      <w:pPr>
        <w:pStyle w:val="Sinespaciado"/>
        <w:spacing w:line="276" w:lineRule="auto"/>
        <w:jc w:val="both"/>
        <w:rPr>
          <w:rFonts w:ascii="Georgia" w:hAnsi="Georgia" w:cs="Arial"/>
          <w:u w:val="single"/>
        </w:rPr>
      </w:pPr>
      <w:r w:rsidRPr="00360B83">
        <w:rPr>
          <w:rFonts w:ascii="Georgia" w:hAnsi="Georgia" w:cs="Arial"/>
        </w:rPr>
        <w:t xml:space="preserve">Falaz y sesgada es la </w:t>
      </w:r>
      <w:r w:rsidR="004E6277" w:rsidRPr="00360B83">
        <w:rPr>
          <w:rFonts w:ascii="Georgia" w:hAnsi="Georgia" w:cs="Arial"/>
        </w:rPr>
        <w:t>aseveración</w:t>
      </w:r>
      <w:r w:rsidRPr="00360B83">
        <w:rPr>
          <w:rFonts w:ascii="Georgia" w:hAnsi="Georgia" w:cs="Arial"/>
        </w:rPr>
        <w:t xml:space="preserve"> de la </w:t>
      </w:r>
      <w:r w:rsidR="00310556" w:rsidRPr="00360B83">
        <w:rPr>
          <w:rFonts w:ascii="Georgia" w:hAnsi="Georgia" w:cs="Arial"/>
        </w:rPr>
        <w:t xml:space="preserve">recurrente en reposición, </w:t>
      </w:r>
      <w:r w:rsidR="14708719" w:rsidRPr="00360B83">
        <w:rPr>
          <w:rFonts w:ascii="Georgia" w:hAnsi="Georgia" w:cs="Arial"/>
        </w:rPr>
        <w:t xml:space="preserve">de </w:t>
      </w:r>
      <w:r w:rsidR="00310556" w:rsidRPr="00360B83">
        <w:rPr>
          <w:rFonts w:ascii="Georgia" w:hAnsi="Georgia" w:cs="Arial"/>
        </w:rPr>
        <w:t xml:space="preserve">que esta Sala se </w:t>
      </w:r>
      <w:r w:rsidR="3AB66394" w:rsidRPr="00360B83">
        <w:rPr>
          <w:rFonts w:ascii="Georgia" w:hAnsi="Georgia" w:cs="Arial"/>
        </w:rPr>
        <w:t xml:space="preserve">limitó </w:t>
      </w:r>
      <w:r w:rsidR="00310556" w:rsidRPr="00360B83">
        <w:rPr>
          <w:rFonts w:ascii="Georgia" w:hAnsi="Georgia" w:cs="Arial"/>
        </w:rPr>
        <w:t xml:space="preserve">a la anotación de la actuación, en el sistema de consulta de procesos, pues </w:t>
      </w:r>
      <w:r w:rsidR="00F1564B" w:rsidRPr="00360B83">
        <w:rPr>
          <w:rFonts w:ascii="Georgia" w:hAnsi="Georgia" w:cs="Arial"/>
        </w:rPr>
        <w:t xml:space="preserve">fue </w:t>
      </w:r>
      <w:r w:rsidR="00310556" w:rsidRPr="00360B83">
        <w:rPr>
          <w:rFonts w:ascii="Georgia" w:hAnsi="Georgia" w:cs="Arial"/>
        </w:rPr>
        <w:t>incorpor</w:t>
      </w:r>
      <w:r w:rsidR="00F1564B" w:rsidRPr="00360B83">
        <w:rPr>
          <w:rFonts w:ascii="Georgia" w:hAnsi="Georgia" w:cs="Arial"/>
        </w:rPr>
        <w:t xml:space="preserve">ada </w:t>
      </w:r>
      <w:r w:rsidR="00310556" w:rsidRPr="00360B83">
        <w:rPr>
          <w:rFonts w:ascii="Georgia" w:hAnsi="Georgia" w:cs="Arial"/>
        </w:rPr>
        <w:t xml:space="preserve">en el estado electrónico del día 08-07-2020, cuya publicación se hace en la página </w:t>
      </w:r>
      <w:r w:rsidR="00F1564B" w:rsidRPr="00360B83">
        <w:rPr>
          <w:rFonts w:ascii="Georgia" w:hAnsi="Georgia" w:cs="Arial"/>
        </w:rPr>
        <w:t xml:space="preserve">web de la Rama Judicial y con ello, </w:t>
      </w:r>
      <w:r w:rsidR="00F1564B" w:rsidRPr="00360B83">
        <w:rPr>
          <w:rFonts w:ascii="Georgia" w:hAnsi="Georgia" w:cs="Arial"/>
          <w:u w:val="single"/>
        </w:rPr>
        <w:t>se garantizó el acceso al servicio de justicia y la divulgación de esa decisión</w:t>
      </w:r>
      <w:r w:rsidR="004B145C" w:rsidRPr="00360B83">
        <w:rPr>
          <w:rFonts w:ascii="Georgia" w:hAnsi="Georgia" w:cs="Arial"/>
          <w:u w:val="single"/>
        </w:rPr>
        <w:t xml:space="preserve">. </w:t>
      </w:r>
    </w:p>
    <w:p w14:paraId="67E023CF" w14:textId="5A866717" w:rsidR="004B145C" w:rsidRPr="00360B83" w:rsidRDefault="004B145C" w:rsidP="00360B83">
      <w:pPr>
        <w:pStyle w:val="Sinespaciado"/>
        <w:spacing w:line="276" w:lineRule="auto"/>
        <w:jc w:val="both"/>
        <w:rPr>
          <w:rFonts w:ascii="Georgia" w:hAnsi="Georgia" w:cs="Arial"/>
        </w:rPr>
      </w:pPr>
    </w:p>
    <w:p w14:paraId="712DC833" w14:textId="1ADB342C" w:rsidR="00041C8C" w:rsidRPr="00360B83" w:rsidRDefault="00041C8C" w:rsidP="00360B83">
      <w:pPr>
        <w:pStyle w:val="Sinespaciado"/>
        <w:spacing w:line="276" w:lineRule="auto"/>
        <w:jc w:val="both"/>
        <w:rPr>
          <w:rFonts w:ascii="Georgia" w:hAnsi="Georgia" w:cs="Arial"/>
        </w:rPr>
      </w:pPr>
      <w:r w:rsidRPr="00360B83">
        <w:rPr>
          <w:rFonts w:ascii="Georgia" w:hAnsi="Georgia" w:cs="Arial"/>
        </w:rPr>
        <w:t xml:space="preserve">Menester es señalar que, </w:t>
      </w:r>
      <w:r w:rsidR="008B41DF" w:rsidRPr="00360B83">
        <w:rPr>
          <w:rFonts w:ascii="Georgia" w:hAnsi="Georgia" w:cs="Arial"/>
        </w:rPr>
        <w:t>de ninguna manera</w:t>
      </w:r>
      <w:r w:rsidRPr="00360B83">
        <w:rPr>
          <w:rFonts w:ascii="Georgia" w:hAnsi="Georgia" w:cs="Arial"/>
        </w:rPr>
        <w:t>, el aludido Decreto o los demás emitidos durante esta emergencia sanitaria, modificaron las formas de notificación estatuidas en el CGP (Artículos 289 y ss</w:t>
      </w:r>
      <w:r w:rsidR="004E6277">
        <w:rPr>
          <w:rFonts w:ascii="Georgia" w:hAnsi="Georgia" w:cs="Arial"/>
        </w:rPr>
        <w:t>.</w:t>
      </w:r>
      <w:bookmarkStart w:id="3" w:name="_GoBack"/>
      <w:bookmarkEnd w:id="3"/>
      <w:r w:rsidRPr="00360B83">
        <w:rPr>
          <w:rFonts w:ascii="Georgia" w:hAnsi="Georgia" w:cs="Arial"/>
        </w:rPr>
        <w:t>)</w:t>
      </w:r>
      <w:r w:rsidR="008B41DF" w:rsidRPr="00360B83">
        <w:rPr>
          <w:rFonts w:ascii="Georgia" w:hAnsi="Georgia" w:cs="Arial"/>
        </w:rPr>
        <w:t xml:space="preserve">; tampoco, </w:t>
      </w:r>
      <w:r w:rsidRPr="00360B83">
        <w:rPr>
          <w:rFonts w:ascii="Georgia" w:hAnsi="Georgia" w:cs="Arial"/>
        </w:rPr>
        <w:t>adicionaron</w:t>
      </w:r>
      <w:r w:rsidR="008B41DF" w:rsidRPr="00360B83">
        <w:rPr>
          <w:rFonts w:ascii="Georgia" w:hAnsi="Georgia" w:cs="Arial"/>
        </w:rPr>
        <w:t>,</w:t>
      </w:r>
      <w:r w:rsidRPr="00360B83">
        <w:rPr>
          <w:rFonts w:ascii="Georgia" w:hAnsi="Georgia" w:cs="Arial"/>
        </w:rPr>
        <w:t xml:space="preserve"> como una obligación para los diferentes estrados judiciales, que se remiti</w:t>
      </w:r>
      <w:r w:rsidR="008B41DF" w:rsidRPr="00360B83">
        <w:rPr>
          <w:rFonts w:ascii="Georgia" w:hAnsi="Georgia" w:cs="Arial"/>
        </w:rPr>
        <w:t>e</w:t>
      </w:r>
      <w:r w:rsidRPr="00360B83">
        <w:rPr>
          <w:rFonts w:ascii="Georgia" w:hAnsi="Georgia" w:cs="Arial"/>
        </w:rPr>
        <w:t>r</w:t>
      </w:r>
      <w:r w:rsidR="008B41DF" w:rsidRPr="00360B83">
        <w:rPr>
          <w:rFonts w:ascii="Georgia" w:hAnsi="Georgia" w:cs="Arial"/>
        </w:rPr>
        <w:t xml:space="preserve">an </w:t>
      </w:r>
      <w:r w:rsidR="00AD284A" w:rsidRPr="00360B83">
        <w:rPr>
          <w:rFonts w:ascii="Georgia" w:hAnsi="Georgia" w:cs="Arial"/>
        </w:rPr>
        <w:t xml:space="preserve">todas </w:t>
      </w:r>
      <w:r w:rsidR="008B41DF" w:rsidRPr="00360B83">
        <w:rPr>
          <w:rFonts w:ascii="Georgia" w:hAnsi="Georgia" w:cs="Arial"/>
        </w:rPr>
        <w:t xml:space="preserve">las diferentes actuaciones, </w:t>
      </w:r>
      <w:r w:rsidRPr="00360B83">
        <w:rPr>
          <w:rFonts w:ascii="Georgia" w:hAnsi="Georgia" w:cs="Arial"/>
        </w:rPr>
        <w:t>por correo a cada parte o litigante</w:t>
      </w:r>
      <w:r w:rsidR="00AD284A" w:rsidRPr="00360B83">
        <w:rPr>
          <w:rFonts w:ascii="Georgia" w:hAnsi="Georgia" w:cs="Arial"/>
        </w:rPr>
        <w:t>, menos aquellas cuya notificación se surte con la inserción en el estado (Artículos 295).</w:t>
      </w:r>
    </w:p>
    <w:p w14:paraId="0614DD7B" w14:textId="77777777" w:rsidR="00041C8C" w:rsidRPr="00360B83" w:rsidRDefault="00041C8C" w:rsidP="00360B83">
      <w:pPr>
        <w:pStyle w:val="Sinespaciado"/>
        <w:spacing w:line="276" w:lineRule="auto"/>
        <w:jc w:val="both"/>
        <w:rPr>
          <w:rFonts w:ascii="Georgia" w:hAnsi="Georgia" w:cs="Arial"/>
        </w:rPr>
      </w:pPr>
    </w:p>
    <w:p w14:paraId="6D5EE9AD" w14:textId="1E09163A" w:rsidR="00E53231" w:rsidRPr="00360B83" w:rsidRDefault="00041C8C" w:rsidP="00360B83">
      <w:pPr>
        <w:spacing w:line="276" w:lineRule="auto"/>
        <w:jc w:val="both"/>
        <w:rPr>
          <w:rFonts w:ascii="Georgia" w:hAnsi="Georgia" w:cs="Arial"/>
          <w:sz w:val="24"/>
          <w:szCs w:val="24"/>
        </w:rPr>
      </w:pPr>
      <w:r w:rsidRPr="00360B83">
        <w:rPr>
          <w:rFonts w:ascii="Georgia" w:hAnsi="Georgia" w:cs="Arial"/>
          <w:sz w:val="24"/>
          <w:szCs w:val="24"/>
        </w:rPr>
        <w:t>Además</w:t>
      </w:r>
      <w:r w:rsidR="00E05B40" w:rsidRPr="00360B83">
        <w:rPr>
          <w:rFonts w:ascii="Georgia" w:hAnsi="Georgia" w:cs="Arial"/>
          <w:sz w:val="24"/>
          <w:szCs w:val="24"/>
        </w:rPr>
        <w:t>,</w:t>
      </w:r>
      <w:r w:rsidR="00E53231" w:rsidRPr="00360B83">
        <w:rPr>
          <w:rFonts w:ascii="Georgia" w:hAnsi="Georgia" w:cs="Arial"/>
          <w:sz w:val="24"/>
          <w:szCs w:val="24"/>
        </w:rPr>
        <w:t xml:space="preserve"> en patrocinio de las directrices del CSJ, desde el levantamiento de la suspensión </w:t>
      </w:r>
      <w:r w:rsidR="00E05B40" w:rsidRPr="00360B83">
        <w:rPr>
          <w:rFonts w:ascii="Georgia" w:hAnsi="Georgia" w:cs="Arial"/>
          <w:sz w:val="24"/>
          <w:szCs w:val="24"/>
        </w:rPr>
        <w:t>de la mayoría de los términos aplicables a esta Sala Especializada (Acuerdo PCSJA20-11556)</w:t>
      </w:r>
      <w:r w:rsidR="00E53231" w:rsidRPr="00360B83">
        <w:rPr>
          <w:rFonts w:ascii="Georgia" w:hAnsi="Georgia" w:cs="Arial"/>
          <w:sz w:val="24"/>
          <w:szCs w:val="24"/>
        </w:rPr>
        <w:t xml:space="preserve">, </w:t>
      </w:r>
      <w:r w:rsidR="00E05B40" w:rsidRPr="00360B83">
        <w:rPr>
          <w:rFonts w:ascii="Georgia" w:hAnsi="Georgia" w:cs="Arial"/>
          <w:sz w:val="24"/>
          <w:szCs w:val="24"/>
        </w:rPr>
        <w:t xml:space="preserve">se </w:t>
      </w:r>
      <w:r w:rsidR="00E53231" w:rsidRPr="00360B83">
        <w:rPr>
          <w:rFonts w:ascii="Georgia" w:hAnsi="Georgia" w:cs="Arial"/>
          <w:sz w:val="24"/>
          <w:szCs w:val="24"/>
        </w:rPr>
        <w:t xml:space="preserve">difundió a través de diferentes canales (Portal de la Rama Judicial y Tribunal Superior de Pereira; y, oficio al Colegio de Abogados de Risaralda), información sobre la forma en que se publicarían las actuaciones judiciales de esta instancia y la forma de comunicarse con la Secretaría; también se fijó aviso en la puerta de entrada del edificio. El uso del portal para publicar los </w:t>
      </w:r>
      <w:r w:rsidR="00E53231" w:rsidRPr="00360B83">
        <w:rPr>
          <w:rFonts w:ascii="Georgia" w:hAnsi="Georgia" w:cs="Arial"/>
          <w:sz w:val="24"/>
          <w:szCs w:val="24"/>
        </w:rPr>
        <w:lastRenderedPageBreak/>
        <w:t>estados electrónicos se divulgó el 22-05-2020</w:t>
      </w:r>
      <w:r w:rsidR="00E53231" w:rsidRPr="00360B83">
        <w:rPr>
          <w:rStyle w:val="Refdenotaalpie"/>
          <w:rFonts w:ascii="Georgia" w:hAnsi="Georgia"/>
          <w:sz w:val="24"/>
          <w:szCs w:val="24"/>
        </w:rPr>
        <w:footnoteReference w:id="27"/>
      </w:r>
      <w:r w:rsidR="00E53231" w:rsidRPr="00360B83">
        <w:rPr>
          <w:rFonts w:ascii="Georgia" w:hAnsi="Georgia" w:cs="Arial"/>
          <w:sz w:val="24"/>
          <w:szCs w:val="24"/>
        </w:rPr>
        <w:t xml:space="preserve">; el 27-05-2020 se </w:t>
      </w:r>
      <w:proofErr w:type="gramStart"/>
      <w:r w:rsidR="00E53231" w:rsidRPr="00360B83">
        <w:rPr>
          <w:rFonts w:ascii="Georgia" w:hAnsi="Georgia" w:cs="Arial"/>
          <w:sz w:val="24"/>
          <w:szCs w:val="24"/>
        </w:rPr>
        <w:t>impartieron</w:t>
      </w:r>
      <w:proofErr w:type="gramEnd"/>
      <w:r w:rsidR="00E53231" w:rsidRPr="00360B83">
        <w:rPr>
          <w:rFonts w:ascii="Georgia" w:hAnsi="Georgia" w:cs="Arial"/>
          <w:sz w:val="24"/>
          <w:szCs w:val="24"/>
        </w:rPr>
        <w:t xml:space="preserve"> indicaciones sobre cómo los expedientes (Ruta de acceso), entre otros. </w:t>
      </w:r>
    </w:p>
    <w:p w14:paraId="5D8FD268" w14:textId="77777777" w:rsidR="007F1488" w:rsidRPr="00360B83" w:rsidRDefault="007F1488" w:rsidP="00360B83">
      <w:pPr>
        <w:spacing w:line="276" w:lineRule="auto"/>
        <w:jc w:val="both"/>
        <w:rPr>
          <w:rFonts w:ascii="Georgia" w:hAnsi="Georgia" w:cs="Arial"/>
          <w:sz w:val="24"/>
          <w:szCs w:val="24"/>
        </w:rPr>
      </w:pPr>
    </w:p>
    <w:p w14:paraId="63FAD33E" w14:textId="1994F115" w:rsidR="00310556" w:rsidRPr="00360B83" w:rsidRDefault="00310556" w:rsidP="00360B83">
      <w:pPr>
        <w:pStyle w:val="Sinespaciado"/>
        <w:spacing w:line="276" w:lineRule="auto"/>
        <w:jc w:val="both"/>
        <w:rPr>
          <w:rFonts w:ascii="Georgia" w:hAnsi="Georgia" w:cs="Arial"/>
        </w:rPr>
      </w:pPr>
      <w:r w:rsidRPr="00360B83">
        <w:rPr>
          <w:rFonts w:ascii="Georgia" w:hAnsi="Georgia" w:cs="Arial"/>
        </w:rPr>
        <w:t xml:space="preserve">Finalmente, </w:t>
      </w:r>
      <w:r w:rsidR="00DB4C49" w:rsidRPr="00360B83">
        <w:rPr>
          <w:rFonts w:ascii="Georgia" w:hAnsi="Georgia" w:cs="Arial"/>
        </w:rPr>
        <w:t xml:space="preserve">afirmó la apoderada de los demandantes </w:t>
      </w:r>
      <w:r w:rsidRPr="00360B83">
        <w:rPr>
          <w:rFonts w:ascii="Georgia" w:hAnsi="Georgia" w:cs="Arial"/>
        </w:rPr>
        <w:t>que se le exi</w:t>
      </w:r>
      <w:r w:rsidR="00DB4C49" w:rsidRPr="00360B83">
        <w:rPr>
          <w:rFonts w:ascii="Georgia" w:hAnsi="Georgia" w:cs="Arial"/>
        </w:rPr>
        <w:t xml:space="preserve">gía </w:t>
      </w:r>
      <w:r w:rsidRPr="00360B83">
        <w:rPr>
          <w:rFonts w:ascii="Georgia" w:hAnsi="Georgia" w:cs="Arial"/>
        </w:rPr>
        <w:t>lo imposible</w:t>
      </w:r>
      <w:r w:rsidR="00B81C8E" w:rsidRPr="00360B83">
        <w:rPr>
          <w:rFonts w:ascii="Georgia" w:hAnsi="Georgia" w:cs="Arial"/>
        </w:rPr>
        <w:t>,</w:t>
      </w:r>
      <w:r w:rsidRPr="00360B83">
        <w:rPr>
          <w:rFonts w:ascii="Georgia" w:hAnsi="Georgia" w:cs="Arial"/>
        </w:rPr>
        <w:t xml:space="preserve"> pues fue por dificultades tecnológicas</w:t>
      </w:r>
      <w:r w:rsidR="00DB4C49" w:rsidRPr="00360B83">
        <w:rPr>
          <w:rFonts w:ascii="Georgia" w:hAnsi="Georgia" w:cs="Arial"/>
        </w:rPr>
        <w:t xml:space="preserve"> que </w:t>
      </w:r>
      <w:r w:rsidRPr="00360B83">
        <w:rPr>
          <w:rFonts w:ascii="Georgia" w:hAnsi="Georgia" w:cs="Arial"/>
        </w:rPr>
        <w:t>no logró que</w:t>
      </w:r>
      <w:r w:rsidR="00DB4C49" w:rsidRPr="00360B83">
        <w:rPr>
          <w:rFonts w:ascii="Georgia" w:hAnsi="Georgia" w:cs="Arial"/>
        </w:rPr>
        <w:t xml:space="preserve"> se </w:t>
      </w:r>
      <w:r w:rsidRPr="00360B83">
        <w:rPr>
          <w:rFonts w:ascii="Georgia" w:hAnsi="Georgia" w:cs="Arial"/>
        </w:rPr>
        <w:t>recibiera su escrito</w:t>
      </w:r>
      <w:r w:rsidR="00DB4C49" w:rsidRPr="00360B83">
        <w:rPr>
          <w:rFonts w:ascii="Georgia" w:hAnsi="Georgia" w:cs="Arial"/>
        </w:rPr>
        <w:t xml:space="preserve"> </w:t>
      </w:r>
      <w:r w:rsidRPr="00360B83">
        <w:rPr>
          <w:rFonts w:ascii="Georgia" w:hAnsi="Georgia" w:cs="Arial"/>
        </w:rPr>
        <w:t>antes de las 4:00 p.m.</w:t>
      </w:r>
      <w:r w:rsidR="00B81C8E" w:rsidRPr="00360B83">
        <w:rPr>
          <w:rFonts w:ascii="Georgia" w:hAnsi="Georgia" w:cs="Arial"/>
        </w:rPr>
        <w:t xml:space="preserve">; empero, lo cierto es que se trata de un término </w:t>
      </w:r>
      <w:r w:rsidR="3371F11C" w:rsidRPr="00360B83">
        <w:rPr>
          <w:rFonts w:ascii="Georgia" w:hAnsi="Georgia" w:cs="Arial"/>
        </w:rPr>
        <w:t xml:space="preserve">suficiente </w:t>
      </w:r>
      <w:r w:rsidR="008B41DF" w:rsidRPr="00360B83">
        <w:rPr>
          <w:rFonts w:ascii="Georgia" w:hAnsi="Georgia" w:cs="Arial"/>
        </w:rPr>
        <w:t xml:space="preserve">(Cinco </w:t>
      </w:r>
      <w:r w:rsidR="00B81C8E" w:rsidRPr="00360B83">
        <w:rPr>
          <w:rFonts w:ascii="Georgia" w:hAnsi="Georgia" w:cs="Arial"/>
        </w:rPr>
        <w:t>días que corri</w:t>
      </w:r>
      <w:r w:rsidR="008B41DF" w:rsidRPr="00360B83">
        <w:rPr>
          <w:rFonts w:ascii="Georgia" w:hAnsi="Georgia" w:cs="Arial"/>
        </w:rPr>
        <w:t>eron</w:t>
      </w:r>
      <w:r w:rsidR="00B81C8E" w:rsidRPr="00360B83">
        <w:rPr>
          <w:rFonts w:ascii="Georgia" w:hAnsi="Georgia" w:cs="Arial"/>
        </w:rPr>
        <w:t xml:space="preserve"> desde el 14 hasta el 21 de julio de 2020</w:t>
      </w:r>
      <w:r w:rsidR="008B41DF" w:rsidRPr="00360B83">
        <w:rPr>
          <w:rFonts w:ascii="Georgia" w:hAnsi="Georgia" w:cs="Arial"/>
        </w:rPr>
        <w:t>)</w:t>
      </w:r>
      <w:r w:rsidR="00B81C8E" w:rsidRPr="00360B83">
        <w:rPr>
          <w:rFonts w:ascii="Georgia" w:hAnsi="Georgia" w:cs="Arial"/>
        </w:rPr>
        <w:t xml:space="preserve"> y cuando la peticionaria envió su misiva, nada indicó sobre ese tipo de problemas (Carpeta</w:t>
      </w:r>
      <w:r w:rsidR="00B81C8E" w:rsidRPr="00360B83">
        <w:rPr>
          <w:rFonts w:ascii="Georgia" w:hAnsi="Georgia" w:cs="Arial"/>
          <w:lang w:val="es-CO"/>
        </w:rPr>
        <w:t xml:space="preserve"> 2ª instancia, archivo 02</w:t>
      </w:r>
      <w:r w:rsidR="00B81C8E" w:rsidRPr="00360B83">
        <w:rPr>
          <w:rFonts w:ascii="Georgia" w:hAnsi="Georgia" w:cs="Arial"/>
        </w:rPr>
        <w:t xml:space="preserve">). </w:t>
      </w:r>
      <w:r w:rsidR="008B41DF" w:rsidRPr="00360B83">
        <w:rPr>
          <w:rFonts w:ascii="Georgia" w:hAnsi="Georgia" w:cs="Arial"/>
        </w:rPr>
        <w:t>Adicionalmente</w:t>
      </w:r>
      <w:r w:rsidR="00B81C8E" w:rsidRPr="00360B83">
        <w:rPr>
          <w:rFonts w:ascii="Georgia" w:hAnsi="Georgia" w:cs="Arial"/>
        </w:rPr>
        <w:t xml:space="preserve">, </w:t>
      </w:r>
      <w:r w:rsidR="0063289D" w:rsidRPr="00360B83">
        <w:rPr>
          <w:rFonts w:ascii="Georgia" w:hAnsi="Georgia" w:cs="Arial"/>
        </w:rPr>
        <w:t xml:space="preserve">revisado el expediente se constató que </w:t>
      </w:r>
      <w:r w:rsidR="00B81C8E" w:rsidRPr="00360B83">
        <w:rPr>
          <w:rFonts w:ascii="Georgia" w:hAnsi="Georgia" w:cs="Arial"/>
        </w:rPr>
        <w:t xml:space="preserve">en la misma data (21-07-2020), allegaron los escritos </w:t>
      </w:r>
      <w:r w:rsidR="00BF4F8B" w:rsidRPr="00360B83">
        <w:rPr>
          <w:rFonts w:ascii="Georgia" w:hAnsi="Georgia" w:cs="Arial"/>
        </w:rPr>
        <w:t xml:space="preserve">de sustentación, </w:t>
      </w:r>
      <w:r w:rsidR="0063289D" w:rsidRPr="00360B83">
        <w:rPr>
          <w:rFonts w:ascii="Georgia" w:hAnsi="Georgia" w:cs="Arial"/>
        </w:rPr>
        <w:t>tanto la aseguradora como la IPS demandada Seguros del Estado SA y la Clínica Los Rosales SA, sin que tampoco adujeran inconvenientes con el correo destinado para recibir los memoriales de esta Sala.</w:t>
      </w:r>
      <w:r w:rsidR="00B81C8E" w:rsidRPr="00360B83">
        <w:rPr>
          <w:rFonts w:ascii="Georgia" w:hAnsi="Georgia" w:cs="Arial"/>
        </w:rPr>
        <w:t xml:space="preserve"> </w:t>
      </w:r>
      <w:r w:rsidR="4FF9F02B" w:rsidRPr="00360B83">
        <w:rPr>
          <w:rFonts w:ascii="Georgia" w:hAnsi="Georgia" w:cs="Arial"/>
        </w:rPr>
        <w:t>Ninguno de los apoderados o partes, en los procesos notificados ese día, se quejó de dificultades en el acceso al portal.</w:t>
      </w:r>
    </w:p>
    <w:p w14:paraId="7C2AC019" w14:textId="77777777" w:rsidR="005776F2" w:rsidRPr="00360B83" w:rsidRDefault="005776F2" w:rsidP="00360B83">
      <w:pPr>
        <w:pStyle w:val="Sinespaciado"/>
        <w:spacing w:line="276" w:lineRule="auto"/>
        <w:jc w:val="both"/>
        <w:rPr>
          <w:rFonts w:ascii="Georgia" w:hAnsi="Georgia" w:cs="Arial"/>
        </w:rPr>
      </w:pPr>
    </w:p>
    <w:p w14:paraId="7C2AC01A" w14:textId="322E882F" w:rsidR="00C12249" w:rsidRPr="00360B83" w:rsidRDefault="00C12249" w:rsidP="00360B83">
      <w:pPr>
        <w:spacing w:line="276" w:lineRule="auto"/>
        <w:jc w:val="both"/>
        <w:rPr>
          <w:rFonts w:ascii="Georgia" w:hAnsi="Georgia" w:cs="Arial"/>
          <w:sz w:val="24"/>
          <w:szCs w:val="24"/>
        </w:rPr>
      </w:pPr>
      <w:r w:rsidRPr="00360B83">
        <w:rPr>
          <w:rFonts w:ascii="Georgia" w:hAnsi="Georgia" w:cs="Arial"/>
          <w:sz w:val="24"/>
          <w:szCs w:val="24"/>
        </w:rPr>
        <w:t xml:space="preserve">Así </w:t>
      </w:r>
      <w:r w:rsidR="00376B94" w:rsidRPr="00360B83">
        <w:rPr>
          <w:rFonts w:ascii="Georgia" w:hAnsi="Georgia" w:cs="Arial"/>
          <w:sz w:val="24"/>
          <w:szCs w:val="24"/>
        </w:rPr>
        <w:t>las cosas</w:t>
      </w:r>
      <w:r w:rsidRPr="00360B83">
        <w:rPr>
          <w:rFonts w:ascii="Georgia" w:hAnsi="Georgia" w:cs="Arial"/>
          <w:sz w:val="24"/>
          <w:szCs w:val="24"/>
        </w:rPr>
        <w:t xml:space="preserve">, sin vacilaciones lo razonado muestra </w:t>
      </w:r>
      <w:r w:rsidR="008B41DF" w:rsidRPr="00360B83">
        <w:rPr>
          <w:rFonts w:ascii="Georgia" w:hAnsi="Georgia" w:cs="Arial"/>
          <w:sz w:val="24"/>
          <w:szCs w:val="24"/>
        </w:rPr>
        <w:t xml:space="preserve">que no hay lugar a reponer la decisión </w:t>
      </w:r>
      <w:r w:rsidR="4736B496" w:rsidRPr="00360B83">
        <w:rPr>
          <w:rFonts w:ascii="Georgia" w:hAnsi="Georgia" w:cs="Arial"/>
          <w:sz w:val="24"/>
          <w:szCs w:val="24"/>
        </w:rPr>
        <w:t xml:space="preserve">para </w:t>
      </w:r>
      <w:r w:rsidR="008B41DF" w:rsidRPr="00360B83">
        <w:rPr>
          <w:rFonts w:ascii="Georgia" w:hAnsi="Georgia" w:cs="Arial"/>
          <w:sz w:val="24"/>
          <w:szCs w:val="24"/>
        </w:rPr>
        <w:t>declarar desierto el recurso de apelación form</w:t>
      </w:r>
      <w:r w:rsidR="00796803" w:rsidRPr="00360B83">
        <w:rPr>
          <w:rFonts w:ascii="Georgia" w:hAnsi="Georgia" w:cs="Arial"/>
          <w:sz w:val="24"/>
          <w:szCs w:val="24"/>
        </w:rPr>
        <w:t>ulado por la parte actora</w:t>
      </w:r>
      <w:r w:rsidRPr="00360B83">
        <w:rPr>
          <w:rFonts w:ascii="Georgia" w:hAnsi="Georgia" w:cs="Arial"/>
          <w:sz w:val="24"/>
          <w:szCs w:val="24"/>
        </w:rPr>
        <w:t xml:space="preserve">. </w:t>
      </w:r>
    </w:p>
    <w:p w14:paraId="7C2AC01B" w14:textId="77777777" w:rsidR="008C4F68" w:rsidRPr="00360B83" w:rsidRDefault="008C4F68" w:rsidP="00360B83">
      <w:pPr>
        <w:suppressAutoHyphens/>
        <w:spacing w:line="276" w:lineRule="auto"/>
        <w:jc w:val="both"/>
        <w:rPr>
          <w:rFonts w:ascii="Georgia" w:hAnsi="Georgia" w:cs="Arial"/>
          <w:sz w:val="24"/>
          <w:szCs w:val="24"/>
        </w:rPr>
      </w:pPr>
    </w:p>
    <w:p w14:paraId="7C2AC01C" w14:textId="23EF6CEE" w:rsidR="008C4F68" w:rsidRPr="00360B83" w:rsidRDefault="000A668B" w:rsidP="000A668B">
      <w:pPr>
        <w:pStyle w:val="Textoindependiente"/>
        <w:numPr>
          <w:ilvl w:val="0"/>
          <w:numId w:val="15"/>
        </w:numPr>
        <w:spacing w:line="276" w:lineRule="auto"/>
        <w:rPr>
          <w:rFonts w:ascii="Georgia" w:hAnsi="Georgia" w:cs="Arial"/>
          <w:smallCaps/>
          <w:szCs w:val="24"/>
        </w:rPr>
      </w:pPr>
      <w:r w:rsidRPr="00360B83">
        <w:rPr>
          <w:rFonts w:ascii="Georgia" w:hAnsi="Georgia" w:cs="Arial"/>
          <w:smallCaps/>
          <w:szCs w:val="24"/>
        </w:rPr>
        <w:t>LAS DECISIONES FINALES</w:t>
      </w:r>
    </w:p>
    <w:p w14:paraId="7C2AC01D" w14:textId="0187F181" w:rsidR="008C4F68" w:rsidRPr="00360B83" w:rsidRDefault="008C4F68" w:rsidP="00360B83">
      <w:pPr>
        <w:pStyle w:val="Textopredeterminado"/>
        <w:spacing w:line="276" w:lineRule="auto"/>
        <w:jc w:val="both"/>
        <w:rPr>
          <w:rFonts w:ascii="Georgia" w:hAnsi="Georgia" w:cs="Arial"/>
          <w:color w:val="auto"/>
          <w:szCs w:val="24"/>
        </w:rPr>
      </w:pPr>
    </w:p>
    <w:p w14:paraId="7C2AC01E" w14:textId="6BEF067D" w:rsidR="008C4F68" w:rsidRPr="00360B83" w:rsidRDefault="008C4F68" w:rsidP="00360B83">
      <w:pPr>
        <w:pStyle w:val="Textopredeterminado"/>
        <w:spacing w:line="276" w:lineRule="auto"/>
        <w:jc w:val="both"/>
        <w:rPr>
          <w:rFonts w:ascii="Georgia" w:hAnsi="Georgia" w:cs="Arial"/>
          <w:color w:val="auto"/>
          <w:szCs w:val="24"/>
        </w:rPr>
      </w:pPr>
      <w:r w:rsidRPr="00360B83">
        <w:rPr>
          <w:rFonts w:ascii="Georgia" w:hAnsi="Georgia" w:cs="Arial"/>
          <w:color w:val="auto"/>
          <w:szCs w:val="24"/>
        </w:rPr>
        <w:t xml:space="preserve">Con estribo en las premisas anteriores: (i) No se repondrá la decisión recurrida, </w:t>
      </w:r>
      <w:r w:rsidR="00FA0BC5" w:rsidRPr="00360B83">
        <w:rPr>
          <w:rFonts w:ascii="Georgia" w:hAnsi="Georgia" w:cs="Arial"/>
          <w:color w:val="auto"/>
          <w:szCs w:val="24"/>
        </w:rPr>
        <w:t xml:space="preserve">(ii) </w:t>
      </w:r>
      <w:r w:rsidRPr="00360B83">
        <w:rPr>
          <w:rFonts w:ascii="Georgia" w:hAnsi="Georgia" w:cs="Arial"/>
          <w:color w:val="auto"/>
          <w:szCs w:val="24"/>
        </w:rPr>
        <w:t>Se advertirá que esta decisión es irrecurrible (Artículo 318, CGP).</w:t>
      </w:r>
    </w:p>
    <w:p w14:paraId="7C2AC01F" w14:textId="77777777" w:rsidR="008C4F68" w:rsidRPr="00360B83" w:rsidRDefault="008C4F68" w:rsidP="00360B83">
      <w:pPr>
        <w:spacing w:line="276" w:lineRule="auto"/>
        <w:jc w:val="both"/>
        <w:rPr>
          <w:rFonts w:ascii="Georgia" w:hAnsi="Georgia" w:cs="Arial"/>
          <w:sz w:val="24"/>
          <w:szCs w:val="24"/>
        </w:rPr>
      </w:pPr>
    </w:p>
    <w:p w14:paraId="7C2AC020" w14:textId="1AC1519B" w:rsidR="008C4F68" w:rsidRPr="00360B83" w:rsidRDefault="008C4F68" w:rsidP="00360B83">
      <w:pPr>
        <w:tabs>
          <w:tab w:val="left" w:pos="-720"/>
        </w:tabs>
        <w:suppressAutoHyphens/>
        <w:spacing w:line="276" w:lineRule="auto"/>
        <w:jc w:val="both"/>
        <w:rPr>
          <w:rFonts w:ascii="Georgia" w:hAnsi="Georgia" w:cs="Arial"/>
          <w:spacing w:val="-3"/>
          <w:sz w:val="24"/>
          <w:szCs w:val="24"/>
        </w:rPr>
      </w:pPr>
      <w:r w:rsidRPr="00360B83">
        <w:rPr>
          <w:rFonts w:ascii="Georgia" w:hAnsi="Georgia" w:cs="Arial"/>
          <w:sz w:val="24"/>
          <w:szCs w:val="24"/>
        </w:rPr>
        <w:t xml:space="preserve">En mérito de lo discurrido en los acápites precedentes, el </w:t>
      </w:r>
      <w:r w:rsidRPr="00360B83">
        <w:rPr>
          <w:rFonts w:ascii="Georgia" w:hAnsi="Georgia" w:cs="Arial"/>
          <w:b/>
          <w:smallCaps/>
          <w:sz w:val="24"/>
          <w:szCs w:val="24"/>
        </w:rPr>
        <w:t>Tribunal Superior del Distrito Judicial de Pereira, Sala Unitaria de Decisión</w:t>
      </w:r>
      <w:r w:rsidRPr="00360B83">
        <w:rPr>
          <w:rFonts w:ascii="Georgia" w:hAnsi="Georgia" w:cs="Arial"/>
          <w:sz w:val="24"/>
          <w:szCs w:val="24"/>
        </w:rPr>
        <w:t>,</w:t>
      </w:r>
    </w:p>
    <w:p w14:paraId="7C2AC021" w14:textId="0C0222FF" w:rsidR="008C4F68" w:rsidRPr="00360B83" w:rsidRDefault="008C4F68" w:rsidP="00360B83">
      <w:pPr>
        <w:pStyle w:val="Sinespaciado"/>
        <w:spacing w:line="276" w:lineRule="auto"/>
        <w:jc w:val="center"/>
        <w:rPr>
          <w:rFonts w:ascii="Georgia" w:hAnsi="Georgia" w:cs="Arial"/>
        </w:rPr>
      </w:pPr>
    </w:p>
    <w:p w14:paraId="7C2AC022" w14:textId="77777777" w:rsidR="008C4F68" w:rsidRPr="00360B83" w:rsidRDefault="008C4F68" w:rsidP="00360B83">
      <w:pPr>
        <w:pStyle w:val="Sinespaciado"/>
        <w:spacing w:line="276" w:lineRule="auto"/>
        <w:jc w:val="center"/>
        <w:rPr>
          <w:rFonts w:ascii="Georgia" w:hAnsi="Georgia" w:cs="Arial"/>
        </w:rPr>
      </w:pPr>
      <w:r w:rsidRPr="00360B83">
        <w:rPr>
          <w:rFonts w:ascii="Georgia" w:hAnsi="Georgia" w:cs="Arial"/>
        </w:rPr>
        <w:t>R E S U E L V E,</w:t>
      </w:r>
    </w:p>
    <w:p w14:paraId="7C2AC023" w14:textId="44A6F541" w:rsidR="00C12249" w:rsidRPr="00360B83" w:rsidRDefault="00C12249" w:rsidP="00360B83">
      <w:pPr>
        <w:pStyle w:val="Sinespaciado"/>
        <w:spacing w:line="276" w:lineRule="auto"/>
        <w:jc w:val="center"/>
        <w:rPr>
          <w:rFonts w:ascii="Georgia" w:hAnsi="Georgia" w:cs="Arial"/>
        </w:rPr>
      </w:pPr>
    </w:p>
    <w:p w14:paraId="7C2AC024" w14:textId="0CF785CE" w:rsidR="008C4F68" w:rsidRPr="00360B83" w:rsidRDefault="008C4F68" w:rsidP="00360B83">
      <w:pPr>
        <w:pStyle w:val="Textopredeterminado"/>
        <w:numPr>
          <w:ilvl w:val="0"/>
          <w:numId w:val="13"/>
        </w:numPr>
        <w:spacing w:line="276" w:lineRule="auto"/>
        <w:jc w:val="both"/>
        <w:rPr>
          <w:rFonts w:ascii="Georgia" w:hAnsi="Georgia" w:cs="Arial"/>
          <w:color w:val="auto"/>
          <w:szCs w:val="24"/>
        </w:rPr>
      </w:pPr>
      <w:r w:rsidRPr="00360B83">
        <w:rPr>
          <w:rFonts w:ascii="Georgia" w:hAnsi="Georgia" w:cs="Arial"/>
          <w:b/>
          <w:color w:val="auto"/>
          <w:szCs w:val="24"/>
        </w:rPr>
        <w:t>NO REPONER</w:t>
      </w:r>
      <w:r w:rsidRPr="00360B83">
        <w:rPr>
          <w:rFonts w:ascii="Georgia" w:hAnsi="Georgia" w:cs="Arial"/>
          <w:color w:val="auto"/>
          <w:szCs w:val="24"/>
        </w:rPr>
        <w:t xml:space="preserve"> el auto emitido el </w:t>
      </w:r>
      <w:r w:rsidR="00796803" w:rsidRPr="00360B83">
        <w:rPr>
          <w:rFonts w:ascii="Georgia" w:hAnsi="Georgia" w:cs="Arial"/>
          <w:color w:val="auto"/>
          <w:szCs w:val="24"/>
        </w:rPr>
        <w:t>28-07-2020</w:t>
      </w:r>
      <w:r w:rsidRPr="00360B83">
        <w:rPr>
          <w:rFonts w:ascii="Georgia" w:hAnsi="Georgia" w:cs="Arial"/>
          <w:color w:val="auto"/>
          <w:szCs w:val="24"/>
        </w:rPr>
        <w:t xml:space="preserve"> que </w:t>
      </w:r>
      <w:r w:rsidR="00C12249" w:rsidRPr="00360B83">
        <w:rPr>
          <w:rFonts w:ascii="Georgia" w:hAnsi="Georgia" w:cs="Arial"/>
          <w:color w:val="auto"/>
          <w:szCs w:val="24"/>
        </w:rPr>
        <w:t>declaró desierto el recurso de apelación</w:t>
      </w:r>
      <w:r w:rsidR="00796803" w:rsidRPr="00360B83">
        <w:rPr>
          <w:rFonts w:ascii="Georgia" w:hAnsi="Georgia" w:cs="Arial"/>
          <w:color w:val="auto"/>
          <w:szCs w:val="24"/>
        </w:rPr>
        <w:t xml:space="preserve"> formulado por el extremo activo</w:t>
      </w:r>
      <w:r w:rsidRPr="00360B83">
        <w:rPr>
          <w:rFonts w:ascii="Georgia" w:hAnsi="Georgia" w:cs="Arial"/>
          <w:color w:val="auto"/>
          <w:szCs w:val="24"/>
        </w:rPr>
        <w:t xml:space="preserve">. </w:t>
      </w:r>
    </w:p>
    <w:p w14:paraId="7C2AC025" w14:textId="2354EF28" w:rsidR="00C12249" w:rsidRPr="00360B83" w:rsidRDefault="00C12249" w:rsidP="00360B83">
      <w:pPr>
        <w:pStyle w:val="Textopredeterminado"/>
        <w:spacing w:line="276" w:lineRule="auto"/>
        <w:ind w:left="360"/>
        <w:jc w:val="both"/>
        <w:rPr>
          <w:rFonts w:ascii="Georgia" w:hAnsi="Georgia" w:cs="Arial"/>
          <w:color w:val="auto"/>
          <w:szCs w:val="24"/>
        </w:rPr>
      </w:pPr>
    </w:p>
    <w:p w14:paraId="7C2AC026" w14:textId="0250EE6B" w:rsidR="000E1027" w:rsidRPr="00360B83" w:rsidRDefault="008C4F68" w:rsidP="00360B83">
      <w:pPr>
        <w:pStyle w:val="Textopredeterminado"/>
        <w:numPr>
          <w:ilvl w:val="0"/>
          <w:numId w:val="12"/>
        </w:numPr>
        <w:spacing w:line="276" w:lineRule="auto"/>
        <w:jc w:val="both"/>
        <w:textAlignment w:val="baseline"/>
        <w:rPr>
          <w:rFonts w:ascii="Georgia" w:hAnsi="Georgia" w:cs="Arial"/>
          <w:color w:val="auto"/>
          <w:szCs w:val="24"/>
        </w:rPr>
      </w:pPr>
      <w:r w:rsidRPr="00360B83">
        <w:rPr>
          <w:rFonts w:ascii="Georgia" w:hAnsi="Georgia" w:cs="Arial"/>
          <w:b/>
          <w:color w:val="auto"/>
          <w:szCs w:val="24"/>
        </w:rPr>
        <w:t>ADVERTIR</w:t>
      </w:r>
      <w:r w:rsidRPr="00360B83">
        <w:rPr>
          <w:rFonts w:ascii="Georgia" w:hAnsi="Georgia" w:cs="Arial"/>
          <w:color w:val="auto"/>
          <w:szCs w:val="24"/>
        </w:rPr>
        <w:t xml:space="preserve"> que esta decisión es irrecurrible.</w:t>
      </w:r>
    </w:p>
    <w:p w14:paraId="7C2AC027" w14:textId="6BE116F7" w:rsidR="005776F2" w:rsidRPr="00360B83" w:rsidRDefault="005776F2" w:rsidP="00360B83">
      <w:pPr>
        <w:spacing w:line="276" w:lineRule="auto"/>
        <w:jc w:val="center"/>
        <w:rPr>
          <w:rFonts w:ascii="Georgia" w:hAnsi="Georgia" w:cs="Arial"/>
          <w:smallCaps/>
          <w:sz w:val="24"/>
          <w:szCs w:val="24"/>
        </w:rPr>
      </w:pPr>
    </w:p>
    <w:p w14:paraId="7C2AC028" w14:textId="639CECE2" w:rsidR="007F2A96" w:rsidRDefault="007F2A96" w:rsidP="00360B83">
      <w:pPr>
        <w:spacing w:line="276" w:lineRule="auto"/>
        <w:jc w:val="center"/>
        <w:rPr>
          <w:rFonts w:ascii="Georgia" w:hAnsi="Georgia" w:cs="Arial"/>
          <w:smallCaps/>
          <w:sz w:val="24"/>
          <w:szCs w:val="24"/>
        </w:rPr>
      </w:pPr>
      <w:r w:rsidRPr="00360B83">
        <w:rPr>
          <w:rFonts w:ascii="Georgia" w:hAnsi="Georgia" w:cs="Arial"/>
          <w:b/>
          <w:smallCaps/>
          <w:sz w:val="24"/>
          <w:szCs w:val="24"/>
        </w:rPr>
        <w:t>Notifíquese</w:t>
      </w:r>
    </w:p>
    <w:p w14:paraId="16387FEF" w14:textId="77777777" w:rsidR="000A668B" w:rsidRPr="00360B83" w:rsidRDefault="000A668B" w:rsidP="00360B83">
      <w:pPr>
        <w:spacing w:line="276" w:lineRule="auto"/>
        <w:jc w:val="center"/>
        <w:rPr>
          <w:rFonts w:ascii="Georgia" w:hAnsi="Georgia" w:cs="Arial"/>
          <w:smallCaps/>
          <w:sz w:val="24"/>
          <w:szCs w:val="24"/>
        </w:rPr>
      </w:pPr>
    </w:p>
    <w:p w14:paraId="7C2AC02B" w14:textId="5D25F7C0" w:rsidR="007F2A96" w:rsidRDefault="007F2A96" w:rsidP="00360B83">
      <w:pPr>
        <w:pStyle w:val="Textopredeterminado"/>
        <w:spacing w:line="276" w:lineRule="auto"/>
        <w:jc w:val="center"/>
        <w:rPr>
          <w:rFonts w:ascii="Georgia" w:hAnsi="Georgia" w:cs="Arial"/>
          <w:caps/>
          <w:color w:val="auto"/>
          <w:spacing w:val="20"/>
          <w:w w:val="150"/>
          <w:szCs w:val="24"/>
          <w:lang w:val="es-MX"/>
        </w:rPr>
      </w:pPr>
    </w:p>
    <w:p w14:paraId="1090A189" w14:textId="77777777" w:rsidR="000A668B" w:rsidRPr="00360B83" w:rsidRDefault="000A668B" w:rsidP="00360B83">
      <w:pPr>
        <w:pStyle w:val="Textopredeterminado"/>
        <w:spacing w:line="276" w:lineRule="auto"/>
        <w:jc w:val="center"/>
        <w:rPr>
          <w:rFonts w:ascii="Georgia" w:hAnsi="Georgia" w:cs="Arial"/>
          <w:caps/>
          <w:color w:val="auto"/>
          <w:spacing w:val="20"/>
          <w:w w:val="150"/>
          <w:szCs w:val="24"/>
          <w:lang w:val="es-MX"/>
        </w:rPr>
      </w:pPr>
    </w:p>
    <w:p w14:paraId="4A6DB673" w14:textId="77777777" w:rsidR="00E13CE0" w:rsidRPr="00360B83" w:rsidRDefault="00E13CE0" w:rsidP="00360B83">
      <w:pPr>
        <w:pStyle w:val="Textopredeterminado"/>
        <w:spacing w:line="276" w:lineRule="auto"/>
        <w:jc w:val="center"/>
        <w:rPr>
          <w:rFonts w:ascii="Georgia" w:hAnsi="Georgia" w:cs="Arial"/>
          <w:b/>
          <w:caps/>
          <w:color w:val="auto"/>
          <w:spacing w:val="20"/>
          <w:w w:val="150"/>
          <w:szCs w:val="24"/>
          <w:lang w:val="es-MX"/>
        </w:rPr>
      </w:pPr>
      <w:r w:rsidRPr="00360B83">
        <w:rPr>
          <w:rFonts w:ascii="Georgia" w:hAnsi="Georgia" w:cs="Arial"/>
          <w:b/>
          <w:caps/>
          <w:color w:val="auto"/>
          <w:spacing w:val="20"/>
          <w:w w:val="150"/>
          <w:szCs w:val="24"/>
          <w:lang w:val="es-MX"/>
        </w:rPr>
        <w:t>DUBERNEY GRISALES HERRERA</w:t>
      </w:r>
    </w:p>
    <w:p w14:paraId="35F06006" w14:textId="5031124D" w:rsidR="00C6154F" w:rsidRPr="00360B83" w:rsidRDefault="000A668B" w:rsidP="00003D8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iCs/>
          <w:spacing w:val="20"/>
          <w:w w:val="150"/>
          <w:sz w:val="16"/>
          <w:szCs w:val="22"/>
          <w:lang w:val="en-US"/>
        </w:rPr>
      </w:pPr>
      <w:r w:rsidRPr="000A668B">
        <w:rPr>
          <w:rFonts w:ascii="Georgia" w:hAnsi="Georgia" w:cs="Arial"/>
          <w:spacing w:val="20"/>
          <w:w w:val="150"/>
          <w:sz w:val="24"/>
          <w:szCs w:val="24"/>
        </w:rPr>
        <w:t>Magistrado</w:t>
      </w:r>
    </w:p>
    <w:sectPr w:rsidR="00C6154F" w:rsidRPr="00360B83" w:rsidSect="000A668B">
      <w:headerReference w:type="default" r:id="rId13"/>
      <w:footerReference w:type="default" r:id="rId14"/>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943F2" w14:textId="77777777" w:rsidR="000C7789" w:rsidRDefault="000C7789" w:rsidP="009A1240">
      <w:r>
        <w:separator/>
      </w:r>
    </w:p>
  </w:endnote>
  <w:endnote w:type="continuationSeparator" w:id="0">
    <w:p w14:paraId="37640F6C" w14:textId="77777777" w:rsidR="000C7789" w:rsidRDefault="000C7789"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3C5098">
    <w:pPr>
      <w:pStyle w:val="Piedepgina"/>
      <w:spacing w:line="360" w:lineRule="auto"/>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045CE3">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E7E6A" w14:textId="77777777" w:rsidR="000C7789" w:rsidRDefault="000C7789" w:rsidP="009A1240">
      <w:r>
        <w:separator/>
      </w:r>
    </w:p>
  </w:footnote>
  <w:footnote w:type="continuationSeparator" w:id="0">
    <w:p w14:paraId="25C23DAE" w14:textId="77777777" w:rsidR="000C7789" w:rsidRDefault="000C7789" w:rsidP="009A1240">
      <w:r>
        <w:continuationSeparator/>
      </w:r>
    </w:p>
  </w:footnote>
  <w:footnote w:id="1">
    <w:p w14:paraId="27289DD6" w14:textId="07B72EBF" w:rsidR="00E620D1" w:rsidRPr="003E0E72" w:rsidRDefault="00E620D1"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00C127FF" w:rsidRPr="003E0E72">
        <w:rPr>
          <w:rFonts w:ascii="Century" w:hAnsi="Century"/>
          <w:szCs w:val="22"/>
          <w:lang w:val="es-CO"/>
        </w:rPr>
        <w:t>CSJ. Sala Civil. Sentencia del 27-06-2017; No. 2017-01328-00.</w:t>
      </w:r>
    </w:p>
  </w:footnote>
  <w:footnote w:id="2">
    <w:p w14:paraId="681B141C" w14:textId="46164825" w:rsidR="00C127FF" w:rsidRPr="003E0E72" w:rsidRDefault="00C127FF"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CC. T-449 de 2004.</w:t>
      </w:r>
    </w:p>
  </w:footnote>
  <w:footnote w:id="3">
    <w:p w14:paraId="05FD2CAA" w14:textId="77777777" w:rsidR="008C16FC" w:rsidRPr="003E0E72" w:rsidRDefault="008C16FC"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cs="Calibri"/>
          <w:szCs w:val="22"/>
          <w:lang w:val="es-CO"/>
        </w:rPr>
        <w:t>FORERO S., Jorge. Actividad probatoria en la segunda instancia. Memorias del XXIX Congreso de derecho Procesal, 2018, ICDP, p.307 ss.</w:t>
      </w:r>
    </w:p>
  </w:footnote>
  <w:footnote w:id="4">
    <w:p w14:paraId="5CA71AEC" w14:textId="77777777" w:rsidR="008C16FC" w:rsidRPr="003E0E72" w:rsidRDefault="008C16FC"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ESCOBAR V. Édgar G. Los recursos en el Código General del Proceso. Librería jurídica Sánchez R. Ltda. 2015, p.37.</w:t>
      </w:r>
    </w:p>
  </w:footnote>
  <w:footnote w:id="5">
    <w:p w14:paraId="11C0AD2C" w14:textId="77777777" w:rsidR="008C16FC" w:rsidRPr="003E0E72" w:rsidRDefault="008C16FC" w:rsidP="000A668B">
      <w:pPr>
        <w:pStyle w:val="Textonotapie"/>
        <w:jc w:val="both"/>
        <w:rPr>
          <w:rFonts w:ascii="Century" w:hAnsi="Century"/>
          <w:szCs w:val="22"/>
        </w:rPr>
      </w:pPr>
      <w:r w:rsidRPr="003E0E72">
        <w:rPr>
          <w:rFonts w:ascii="Century" w:hAnsi="Century"/>
          <w:szCs w:val="22"/>
          <w:vertAlign w:val="superscript"/>
        </w:rPr>
        <w:footnoteRef/>
      </w:r>
      <w:r w:rsidRPr="003E0E72">
        <w:rPr>
          <w:rFonts w:ascii="Century" w:hAnsi="Century"/>
          <w:szCs w:val="22"/>
        </w:rPr>
        <w:t xml:space="preserve"> </w:t>
      </w:r>
      <w:r w:rsidRPr="003E0E72">
        <w:rPr>
          <w:rFonts w:ascii="Century" w:hAnsi="Century"/>
          <w:szCs w:val="22"/>
          <w:lang w:val="es-CO"/>
        </w:rPr>
        <w:t>LÓPEZ B., Hernán F. Código General del Proceso, parte general, Bogotá DC, Dupre editores, 2016, p.769-776</w:t>
      </w:r>
      <w:r w:rsidRPr="003E0E72">
        <w:rPr>
          <w:rFonts w:ascii="Century" w:hAnsi="Century"/>
          <w:szCs w:val="22"/>
        </w:rPr>
        <w:t>.</w:t>
      </w:r>
    </w:p>
  </w:footnote>
  <w:footnote w:id="6">
    <w:p w14:paraId="27C037DE" w14:textId="77777777" w:rsidR="008C16FC" w:rsidRPr="003E0E72" w:rsidRDefault="008C16FC" w:rsidP="000A668B">
      <w:pPr>
        <w:pStyle w:val="Textonotapie"/>
        <w:jc w:val="both"/>
        <w:rPr>
          <w:rFonts w:ascii="Century" w:hAnsi="Century"/>
          <w:szCs w:val="22"/>
        </w:rPr>
      </w:pPr>
      <w:r w:rsidRPr="003E0E72">
        <w:rPr>
          <w:rFonts w:ascii="Century" w:hAnsi="Century"/>
          <w:szCs w:val="22"/>
          <w:vertAlign w:val="superscript"/>
        </w:rPr>
        <w:footnoteRef/>
      </w:r>
      <w:r w:rsidRPr="003E0E72">
        <w:rPr>
          <w:rFonts w:ascii="Century" w:hAnsi="Century"/>
          <w:szCs w:val="22"/>
        </w:rPr>
        <w:t xml:space="preserve"> PARRA Q., Jairo. Derecho procesal civil, tomo I, Santafé de Bogotá D.C., Temis, 1992, p.276.</w:t>
      </w:r>
    </w:p>
  </w:footnote>
  <w:footnote w:id="7">
    <w:p w14:paraId="142C130C" w14:textId="77777777" w:rsidR="008C16FC" w:rsidRPr="003E0E72" w:rsidRDefault="008C16FC" w:rsidP="000A668B">
      <w:pPr>
        <w:pStyle w:val="Sinespaciado"/>
        <w:jc w:val="both"/>
        <w:rPr>
          <w:rFonts w:ascii="Century" w:hAnsi="Century"/>
          <w:sz w:val="20"/>
          <w:szCs w:val="22"/>
        </w:rPr>
      </w:pPr>
      <w:r w:rsidRPr="003E0E72">
        <w:rPr>
          <w:rFonts w:ascii="Century" w:hAnsi="Century"/>
          <w:sz w:val="20"/>
          <w:szCs w:val="22"/>
          <w:vertAlign w:val="superscript"/>
        </w:rPr>
        <w:footnoteRef/>
      </w:r>
      <w:r w:rsidRPr="003E0E72">
        <w:rPr>
          <w:rFonts w:ascii="Century" w:hAnsi="Century"/>
          <w:sz w:val="20"/>
          <w:szCs w:val="22"/>
        </w:rPr>
        <w:t xml:space="preserve"> </w:t>
      </w:r>
      <w:r w:rsidRPr="003E0E72">
        <w:rPr>
          <w:rFonts w:ascii="Century" w:hAnsi="Century"/>
          <w:sz w:val="20"/>
          <w:szCs w:val="22"/>
          <w:lang w:val="es-CO"/>
        </w:rPr>
        <w:t xml:space="preserve">LÓPEZ B., Hernán F. </w:t>
      </w:r>
      <w:r w:rsidRPr="003E0E72">
        <w:rPr>
          <w:rFonts w:ascii="Century" w:hAnsi="Century"/>
          <w:sz w:val="20"/>
          <w:szCs w:val="22"/>
        </w:rPr>
        <w:t>Ob. cit., p.769.</w:t>
      </w:r>
    </w:p>
  </w:footnote>
  <w:footnote w:id="8">
    <w:p w14:paraId="79E36D33" w14:textId="4922A27D" w:rsidR="008C16FC" w:rsidRPr="003E0E72" w:rsidRDefault="008C16FC"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ROJAS G., Miguel E. Lecciones de derecho procesal, procedimiento civil, tomo II, ESAJU, 20</w:t>
      </w:r>
      <w:r w:rsidR="00164689" w:rsidRPr="003E0E72">
        <w:rPr>
          <w:rFonts w:ascii="Century" w:hAnsi="Century"/>
          <w:szCs w:val="22"/>
          <w:lang w:val="es-CO"/>
        </w:rPr>
        <w:t>20</w:t>
      </w:r>
      <w:r w:rsidRPr="003E0E72">
        <w:rPr>
          <w:rFonts w:ascii="Century" w:hAnsi="Century"/>
          <w:szCs w:val="22"/>
          <w:lang w:val="es-CO"/>
        </w:rPr>
        <w:t xml:space="preserve">, </w:t>
      </w:r>
      <w:r w:rsidR="00164689" w:rsidRPr="003E0E72">
        <w:rPr>
          <w:rFonts w:ascii="Century" w:hAnsi="Century"/>
          <w:szCs w:val="22"/>
          <w:lang w:val="es-CO"/>
        </w:rPr>
        <w:t>7</w:t>
      </w:r>
      <w:r w:rsidRPr="003E0E72">
        <w:rPr>
          <w:rFonts w:ascii="Century" w:hAnsi="Century"/>
          <w:szCs w:val="22"/>
          <w:lang w:val="es-CO"/>
        </w:rPr>
        <w:t>ª edición, Bogotá, p.4</w:t>
      </w:r>
      <w:r w:rsidR="00164689" w:rsidRPr="003E0E72">
        <w:rPr>
          <w:rFonts w:ascii="Century" w:hAnsi="Century"/>
          <w:szCs w:val="22"/>
          <w:lang w:val="es-CO"/>
        </w:rPr>
        <w:t>68</w:t>
      </w:r>
      <w:r w:rsidRPr="003E0E72">
        <w:rPr>
          <w:rFonts w:ascii="Century" w:hAnsi="Century"/>
          <w:szCs w:val="22"/>
          <w:lang w:val="es-CO"/>
        </w:rPr>
        <w:t>.</w:t>
      </w:r>
    </w:p>
  </w:footnote>
  <w:footnote w:id="9">
    <w:p w14:paraId="24E1466C" w14:textId="77777777" w:rsidR="008C16FC" w:rsidRPr="003E0E72" w:rsidRDefault="008C16FC"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CSJ. Sala Civil. Sentencia del 17-09-1992; MP: Ospina B.</w:t>
      </w:r>
    </w:p>
  </w:footnote>
  <w:footnote w:id="10">
    <w:p w14:paraId="715771AD" w14:textId="77777777" w:rsidR="008C16FC" w:rsidRPr="003E0E72" w:rsidRDefault="008C16FC"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CSJ. STC-12737-2017.</w:t>
      </w:r>
    </w:p>
  </w:footnote>
  <w:footnote w:id="11">
    <w:p w14:paraId="42B0EEE3" w14:textId="77777777" w:rsidR="008C16FC" w:rsidRPr="003E0E72" w:rsidRDefault="008C16FC"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LÓPEZ B., Hernán F.</w:t>
      </w:r>
      <w:r w:rsidRPr="003E0E72">
        <w:rPr>
          <w:rFonts w:ascii="Century" w:hAnsi="Century"/>
          <w:szCs w:val="22"/>
        </w:rPr>
        <w:t xml:space="preserve"> Ob. cit., p.776.</w:t>
      </w:r>
    </w:p>
  </w:footnote>
  <w:footnote w:id="12">
    <w:p w14:paraId="18C949D1" w14:textId="77777777" w:rsidR="008C16FC" w:rsidRPr="003E0E72" w:rsidRDefault="008C16FC"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ROJAS G., Miguel E. Código General del Proceso comentado, ESAJU, 2017, Bogotá DC, p.511.</w:t>
      </w:r>
    </w:p>
  </w:footnote>
  <w:footnote w:id="13">
    <w:p w14:paraId="73CEA2A7" w14:textId="36537FF8" w:rsidR="00D916C0" w:rsidRPr="003E0E72" w:rsidRDefault="00D916C0" w:rsidP="000A668B">
      <w:pPr>
        <w:pStyle w:val="Sinespaciado"/>
        <w:jc w:val="both"/>
        <w:rPr>
          <w:rFonts w:ascii="Century" w:hAnsi="Century"/>
          <w:sz w:val="20"/>
          <w:szCs w:val="22"/>
        </w:rPr>
      </w:pPr>
      <w:r w:rsidRPr="003E0E72">
        <w:rPr>
          <w:rFonts w:ascii="Century" w:hAnsi="Century" w:cs="Calibri"/>
          <w:sz w:val="20"/>
          <w:szCs w:val="22"/>
          <w:vertAlign w:val="superscript"/>
        </w:rPr>
        <w:footnoteRef/>
      </w:r>
      <w:r w:rsidRPr="003E0E72">
        <w:rPr>
          <w:rFonts w:ascii="Century" w:hAnsi="Century" w:cs="Calibri"/>
          <w:sz w:val="20"/>
          <w:szCs w:val="22"/>
        </w:rPr>
        <w:t xml:space="preserve"> LÓPEZ B</w:t>
      </w:r>
      <w:r w:rsidR="00D764CA" w:rsidRPr="003E0E72">
        <w:rPr>
          <w:rFonts w:ascii="Century" w:hAnsi="Century" w:cs="Calibri"/>
          <w:sz w:val="20"/>
          <w:szCs w:val="22"/>
        </w:rPr>
        <w:t>.</w:t>
      </w:r>
      <w:r w:rsidRPr="003E0E72">
        <w:rPr>
          <w:rFonts w:ascii="Century" w:hAnsi="Century" w:cs="Calibri"/>
          <w:sz w:val="20"/>
          <w:szCs w:val="22"/>
        </w:rPr>
        <w:t>, Hernán F. Ob. cit., p.778.</w:t>
      </w:r>
    </w:p>
  </w:footnote>
  <w:footnote w:id="14">
    <w:p w14:paraId="5942E24B" w14:textId="012F28E1" w:rsidR="00D916C0" w:rsidRPr="003E0E72" w:rsidRDefault="00D916C0" w:rsidP="000A668B">
      <w:pPr>
        <w:pStyle w:val="Textonotapie"/>
        <w:jc w:val="both"/>
        <w:rPr>
          <w:rFonts w:ascii="Century" w:hAnsi="Century"/>
          <w:szCs w:val="22"/>
        </w:rPr>
      </w:pPr>
      <w:r w:rsidRPr="003E0E72">
        <w:rPr>
          <w:rStyle w:val="Refdenotaalpie"/>
          <w:rFonts w:ascii="Century" w:hAnsi="Century" w:cs="Calibri"/>
          <w:szCs w:val="22"/>
        </w:rPr>
        <w:footnoteRef/>
      </w:r>
      <w:r w:rsidRPr="003E0E72">
        <w:rPr>
          <w:rFonts w:ascii="Century" w:hAnsi="Century" w:cs="Calibri"/>
          <w:szCs w:val="22"/>
        </w:rPr>
        <w:t xml:space="preserve"> ROJAS G</w:t>
      </w:r>
      <w:r w:rsidR="00D764CA" w:rsidRPr="003E0E72">
        <w:rPr>
          <w:rFonts w:ascii="Century" w:hAnsi="Century" w:cs="Calibri"/>
          <w:szCs w:val="22"/>
        </w:rPr>
        <w:t>.</w:t>
      </w:r>
      <w:r w:rsidRPr="003E0E72">
        <w:rPr>
          <w:rFonts w:ascii="Century" w:hAnsi="Century" w:cs="Calibri"/>
          <w:szCs w:val="22"/>
        </w:rPr>
        <w:t>, Miguel E. Lecciones de derecho procesal, Teoría del proceso, tomo I, Escuela de Actualización Jurídica, 3ª edición, 2013, Bogotá DC, p.204.</w:t>
      </w:r>
    </w:p>
  </w:footnote>
  <w:footnote w:id="15">
    <w:p w14:paraId="33A14BF7" w14:textId="1F9BA54E" w:rsidR="006F0BD4" w:rsidRPr="003E0E72" w:rsidRDefault="006F0BD4"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lang w:val="es-CO"/>
        </w:rPr>
        <w:t xml:space="preserve"> CC. C-365 de 1994.</w:t>
      </w:r>
    </w:p>
  </w:footnote>
  <w:footnote w:id="16">
    <w:p w14:paraId="29D32874" w14:textId="401FA4F8" w:rsidR="006F0BD4" w:rsidRPr="003E0E72" w:rsidRDefault="006F0BD4"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CSJ. Sala de Casación Civil.</w:t>
      </w:r>
      <w:r w:rsidRPr="003E0E72">
        <w:rPr>
          <w:rFonts w:ascii="Century" w:hAnsi="Century" w:cs="Calibri"/>
          <w:szCs w:val="22"/>
        </w:rPr>
        <w:t xml:space="preserve"> Auto del 30-08-1984; MP: Murcia B.</w:t>
      </w:r>
      <w:r w:rsidRPr="003E0E72">
        <w:rPr>
          <w:rFonts w:ascii="Century" w:hAnsi="Century"/>
          <w:szCs w:val="22"/>
          <w:lang w:val="es-CO"/>
        </w:rPr>
        <w:t xml:space="preserve"> </w:t>
      </w:r>
    </w:p>
  </w:footnote>
  <w:footnote w:id="17">
    <w:p w14:paraId="3B2D9FBD" w14:textId="0FC99A71" w:rsidR="00D916C0" w:rsidRPr="003E0E72" w:rsidRDefault="00D916C0"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00D764CA" w:rsidRPr="003E0E72">
        <w:rPr>
          <w:rFonts w:ascii="Century" w:hAnsi="Century"/>
          <w:szCs w:val="22"/>
          <w:lang w:val="es-CO"/>
        </w:rPr>
        <w:t>ESCOBAR V. Édgar G. Ob. Cit., p.75.</w:t>
      </w:r>
    </w:p>
  </w:footnote>
  <w:footnote w:id="18">
    <w:p w14:paraId="424AA58D" w14:textId="77777777" w:rsidR="00541D65" w:rsidRPr="003E0E72" w:rsidRDefault="00541D65" w:rsidP="000A668B">
      <w:pPr>
        <w:pStyle w:val="Textonotapie"/>
        <w:jc w:val="both"/>
        <w:rPr>
          <w:rFonts w:ascii="Century" w:hAnsi="Century"/>
          <w:szCs w:val="22"/>
        </w:rPr>
      </w:pPr>
      <w:r w:rsidRPr="003E0E72">
        <w:rPr>
          <w:rStyle w:val="Refdenotaalpie"/>
          <w:rFonts w:ascii="Century" w:hAnsi="Century" w:cs="Calibri"/>
          <w:szCs w:val="22"/>
        </w:rPr>
        <w:footnoteRef/>
      </w:r>
      <w:r w:rsidRPr="003E0E72">
        <w:rPr>
          <w:rFonts w:ascii="Century" w:hAnsi="Century" w:cs="Calibri"/>
          <w:szCs w:val="22"/>
        </w:rPr>
        <w:t xml:space="preserve"> ROJAS GÓMEZ, Miguel Enrique. Lecciones de derecho procesal, Procedimiento Civil, tomo II, Escuela de Actualización Jurídica, 5ª edición, 2013, Bogotá DC, p.353.</w:t>
      </w:r>
    </w:p>
  </w:footnote>
  <w:footnote w:id="19">
    <w:p w14:paraId="5D616132" w14:textId="38A61BDE" w:rsidR="00D916C0" w:rsidRPr="003E0E72" w:rsidRDefault="00D916C0"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PELÁEZ H</w:t>
      </w:r>
      <w:r w:rsidR="00D764CA" w:rsidRPr="003E0E72">
        <w:rPr>
          <w:rFonts w:ascii="Century" w:hAnsi="Century"/>
          <w:szCs w:val="22"/>
        </w:rPr>
        <w:t>.</w:t>
      </w:r>
      <w:r w:rsidRPr="003E0E72">
        <w:rPr>
          <w:rFonts w:ascii="Century" w:hAnsi="Century"/>
          <w:szCs w:val="22"/>
        </w:rPr>
        <w:t>, Ramón A. La oralidad en el proceso civil, Ediciones Nueva Jurídica, 2ª edición, 2015, Bogotá DC, P.71.</w:t>
      </w:r>
    </w:p>
  </w:footnote>
  <w:footnote w:id="20">
    <w:p w14:paraId="2EE84771" w14:textId="77777777" w:rsidR="00541D65" w:rsidRPr="003E0E72" w:rsidRDefault="00541D65"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ROJAS G., Miguel E. Lecciones de derecho procesal, procedimiento civil, tomo II, ESAJU, 2020, 7ª edición, Bogotá, p.496</w:t>
      </w:r>
      <w:r w:rsidRPr="003E0E72">
        <w:rPr>
          <w:rFonts w:ascii="Century" w:hAnsi="Century" w:cs="Calibri"/>
          <w:szCs w:val="22"/>
        </w:rPr>
        <w:t>.</w:t>
      </w:r>
    </w:p>
  </w:footnote>
  <w:footnote w:id="21">
    <w:p w14:paraId="39E5E585" w14:textId="4B993AB2" w:rsidR="00376273" w:rsidRPr="003E0E72" w:rsidRDefault="00376273"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cs="Arial"/>
          <w:bCs/>
          <w:iCs/>
          <w:szCs w:val="22"/>
        </w:rPr>
        <w:t>CSJ</w:t>
      </w:r>
      <w:bookmarkStart w:id="1" w:name="_Hlk485099566"/>
      <w:r w:rsidRPr="003E0E72">
        <w:rPr>
          <w:rFonts w:ascii="Century" w:hAnsi="Century" w:cs="Arial"/>
          <w:bCs/>
          <w:iCs/>
          <w:szCs w:val="22"/>
        </w:rPr>
        <w:t xml:space="preserve">. </w:t>
      </w:r>
      <w:r w:rsidR="00DF6741" w:rsidRPr="003E0E72">
        <w:rPr>
          <w:rFonts w:ascii="Century" w:hAnsi="Century" w:cs="Arial"/>
          <w:bCs/>
          <w:iCs/>
          <w:szCs w:val="22"/>
        </w:rPr>
        <w:t xml:space="preserve">STC248-2020, </w:t>
      </w:r>
      <w:r w:rsidR="00DF6741" w:rsidRPr="003E0E72">
        <w:rPr>
          <w:rFonts w:ascii="Century" w:hAnsi="Century"/>
          <w:color w:val="000000"/>
          <w:szCs w:val="22"/>
          <w:shd w:val="clear" w:color="auto" w:fill="FFFFFF"/>
        </w:rPr>
        <w:t>STC17303-2019</w:t>
      </w:r>
      <w:r w:rsidR="00DF6741" w:rsidRPr="003E0E72">
        <w:rPr>
          <w:rFonts w:ascii="Century" w:hAnsi="Century" w:cs="Arial"/>
          <w:bCs/>
          <w:iCs/>
          <w:szCs w:val="22"/>
        </w:rPr>
        <w:t xml:space="preserve">, </w:t>
      </w:r>
      <w:r w:rsidR="00DF6741" w:rsidRPr="003E0E72">
        <w:rPr>
          <w:rFonts w:ascii="Century" w:hAnsi="Century"/>
          <w:color w:val="000000"/>
          <w:szCs w:val="22"/>
          <w:shd w:val="clear" w:color="auto" w:fill="FFFFFF"/>
        </w:rPr>
        <w:t xml:space="preserve">STC13787-2019, STC11914-2018, </w:t>
      </w:r>
      <w:r w:rsidR="005C3A39" w:rsidRPr="003E0E72">
        <w:rPr>
          <w:rFonts w:ascii="Century" w:hAnsi="Century"/>
          <w:color w:val="000000"/>
          <w:szCs w:val="22"/>
          <w:shd w:val="clear" w:color="auto" w:fill="FFFFFF"/>
        </w:rPr>
        <w:t xml:space="preserve">STC21385-2017, </w:t>
      </w:r>
      <w:r w:rsidR="00DF6741" w:rsidRPr="003E0E72">
        <w:rPr>
          <w:rFonts w:ascii="Century" w:hAnsi="Century"/>
          <w:color w:val="000000"/>
          <w:szCs w:val="22"/>
          <w:shd w:val="clear" w:color="auto" w:fill="FFFFFF"/>
        </w:rPr>
        <w:t>STC18088-2017,</w:t>
      </w:r>
      <w:r w:rsidR="00DF6741" w:rsidRPr="003E0E72">
        <w:rPr>
          <w:rFonts w:ascii="Century" w:hAnsi="Century" w:cs="Arial"/>
          <w:bCs/>
          <w:iCs/>
          <w:szCs w:val="22"/>
        </w:rPr>
        <w:t xml:space="preserve"> </w:t>
      </w:r>
      <w:bookmarkEnd w:id="1"/>
      <w:r w:rsidRPr="003E0E72">
        <w:rPr>
          <w:rFonts w:ascii="Century" w:hAnsi="Century" w:cs="Arial"/>
          <w:bCs/>
          <w:iCs/>
          <w:szCs w:val="22"/>
        </w:rPr>
        <w:t xml:space="preserve">STC6055-2017, </w:t>
      </w:r>
      <w:r w:rsidR="004A3DC5" w:rsidRPr="003E0E72">
        <w:rPr>
          <w:rFonts w:ascii="Century" w:hAnsi="Century" w:cs="Arial"/>
          <w:szCs w:val="22"/>
        </w:rPr>
        <w:t>STC6481-2017</w:t>
      </w:r>
      <w:r w:rsidR="000C09F6" w:rsidRPr="003E0E72">
        <w:rPr>
          <w:rFonts w:ascii="Century" w:hAnsi="Century" w:cs="Arial"/>
          <w:szCs w:val="22"/>
        </w:rPr>
        <w:t xml:space="preserve">, </w:t>
      </w:r>
      <w:r w:rsidR="000C09F6" w:rsidRPr="003E0E72">
        <w:rPr>
          <w:rFonts w:ascii="Century" w:hAnsi="Century" w:cs="Arial"/>
          <w:bCs/>
          <w:iCs/>
          <w:szCs w:val="22"/>
          <w:lang w:val="es-ES_tradnl"/>
        </w:rPr>
        <w:t>CSJ S</w:t>
      </w:r>
      <w:r w:rsidR="000C09F6" w:rsidRPr="003E0E72">
        <w:rPr>
          <w:rFonts w:ascii="Century" w:eastAsia="Calibri" w:hAnsi="Century" w:cs="Arial"/>
          <w:szCs w:val="22"/>
        </w:rPr>
        <w:t>TC10405-2017</w:t>
      </w:r>
      <w:r w:rsidR="00DF6741" w:rsidRPr="003E0E72">
        <w:rPr>
          <w:rFonts w:ascii="Century" w:eastAsia="Calibri" w:hAnsi="Century" w:cs="Arial"/>
          <w:szCs w:val="22"/>
        </w:rPr>
        <w:t xml:space="preserve">, </w:t>
      </w:r>
      <w:r w:rsidR="00DF6741" w:rsidRPr="003E0E72">
        <w:rPr>
          <w:rFonts w:ascii="Century" w:hAnsi="Century" w:cs="Arial"/>
          <w:bCs/>
          <w:iCs/>
          <w:szCs w:val="22"/>
        </w:rPr>
        <w:t>STC11058-2016, entre otras</w:t>
      </w:r>
      <w:r w:rsidR="000C09F6" w:rsidRPr="003E0E72">
        <w:rPr>
          <w:rFonts w:ascii="Century" w:eastAsia="Calibri" w:hAnsi="Century" w:cs="Arial"/>
          <w:szCs w:val="22"/>
        </w:rPr>
        <w:t>.</w:t>
      </w:r>
    </w:p>
  </w:footnote>
  <w:footnote w:id="22">
    <w:p w14:paraId="06BAA5BA" w14:textId="6098A602" w:rsidR="008F3F1E" w:rsidRPr="003E0E72" w:rsidRDefault="008F3F1E"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cs="Arial"/>
          <w:bCs/>
          <w:iCs/>
          <w:szCs w:val="22"/>
        </w:rPr>
        <w:t>CSJ. STC640-2020.</w:t>
      </w:r>
    </w:p>
  </w:footnote>
  <w:footnote w:id="23">
    <w:p w14:paraId="7D4AD7B5" w14:textId="5961597F" w:rsidR="000C09F6" w:rsidRPr="003E0E72" w:rsidRDefault="000C09F6"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cs="Arial"/>
          <w:bCs/>
          <w:iCs/>
          <w:szCs w:val="22"/>
        </w:rPr>
        <w:t>CSJ. STC976-2020</w:t>
      </w:r>
    </w:p>
  </w:footnote>
  <w:footnote w:id="24">
    <w:p w14:paraId="489037C7" w14:textId="129BD10B" w:rsidR="000C09F6" w:rsidRPr="003E0E72" w:rsidRDefault="000C09F6"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cs="Arial"/>
          <w:bCs/>
          <w:iCs/>
          <w:szCs w:val="22"/>
        </w:rPr>
        <w:t>CSJ. Sala de Casación Civil, No. 2020-0168, MP: Tolosa V.</w:t>
      </w:r>
    </w:p>
  </w:footnote>
  <w:footnote w:id="25">
    <w:p w14:paraId="359AF439" w14:textId="77777777" w:rsidR="00C42B96" w:rsidRPr="003E0E72" w:rsidRDefault="00C42B96"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Ídem.</w:t>
      </w:r>
    </w:p>
  </w:footnote>
  <w:footnote w:id="26">
    <w:p w14:paraId="1E3FAA95" w14:textId="33429138" w:rsidR="00541D65" w:rsidRPr="003E0E72" w:rsidRDefault="00541D65" w:rsidP="000A668B">
      <w:pPr>
        <w:pStyle w:val="Textonotapie"/>
        <w:jc w:val="both"/>
        <w:rPr>
          <w:rFonts w:ascii="Century" w:hAnsi="Century"/>
          <w:szCs w:val="22"/>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ROJAS G., Miguel E. Ob. Cit., p.497</w:t>
      </w:r>
      <w:r w:rsidRPr="003E0E72">
        <w:rPr>
          <w:rFonts w:ascii="Century" w:hAnsi="Century" w:cs="Calibri"/>
          <w:szCs w:val="22"/>
        </w:rPr>
        <w:t>.</w:t>
      </w:r>
    </w:p>
  </w:footnote>
  <w:footnote w:id="27">
    <w:p w14:paraId="6D377307" w14:textId="77777777" w:rsidR="00E53231" w:rsidRPr="003C74C0" w:rsidRDefault="00E53231" w:rsidP="000A668B">
      <w:pPr>
        <w:pStyle w:val="Textonotapie"/>
        <w:jc w:val="both"/>
        <w:rPr>
          <w:lang w:val="es-CO"/>
        </w:rPr>
      </w:pPr>
      <w:r w:rsidRPr="003E0E72">
        <w:rPr>
          <w:rStyle w:val="Refdenotaalpie"/>
          <w:rFonts w:ascii="Century" w:hAnsi="Century"/>
          <w:szCs w:val="22"/>
        </w:rPr>
        <w:footnoteRef/>
      </w:r>
      <w:r w:rsidRPr="003E0E72">
        <w:rPr>
          <w:rFonts w:ascii="Century" w:hAnsi="Century"/>
          <w:szCs w:val="22"/>
        </w:rPr>
        <w:t xml:space="preserve"> </w:t>
      </w:r>
      <w:r w:rsidRPr="003E0E72">
        <w:rPr>
          <w:rFonts w:ascii="Century" w:hAnsi="Century"/>
          <w:szCs w:val="22"/>
          <w:lang w:val="es-CO"/>
        </w:rPr>
        <w:t>Se empezó su publicación desde el 27-05-2020.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C037" w14:textId="77777777" w:rsidR="00045CE3" w:rsidRPr="00360B83" w:rsidRDefault="00045CE3" w:rsidP="00045CE3">
    <w:pPr>
      <w:pStyle w:val="Encabezado"/>
      <w:pBdr>
        <w:bottom w:val="single" w:sz="4" w:space="1" w:color="D9D9D9" w:themeColor="background1" w:themeShade="D9"/>
      </w:pBdr>
      <w:jc w:val="right"/>
      <w:rPr>
        <w:rFonts w:ascii="Georgia" w:hAnsi="Georgia" w:cs="Calibri"/>
        <w:bCs/>
        <w:sz w:val="18"/>
        <w:szCs w:val="18"/>
      </w:rPr>
    </w:pPr>
    <w:r w:rsidRPr="00360B83">
      <w:rPr>
        <w:rFonts w:ascii="Georgia" w:hAnsi="Georgia" w:cs="Calibri"/>
        <w:spacing w:val="60"/>
        <w:sz w:val="18"/>
        <w:szCs w:val="18"/>
      </w:rPr>
      <w:t>Página</w:t>
    </w:r>
    <w:r w:rsidRPr="00360B83">
      <w:rPr>
        <w:rFonts w:ascii="Georgia" w:hAnsi="Georgia" w:cs="Calibri"/>
        <w:sz w:val="18"/>
        <w:szCs w:val="18"/>
      </w:rPr>
      <w:t xml:space="preserve"> | </w:t>
    </w:r>
    <w:r w:rsidRPr="00360B83">
      <w:rPr>
        <w:rFonts w:ascii="Georgia" w:hAnsi="Georgia" w:cs="Calibri"/>
        <w:sz w:val="18"/>
        <w:szCs w:val="18"/>
      </w:rPr>
      <w:fldChar w:fldCharType="begin"/>
    </w:r>
    <w:r w:rsidRPr="00360B83">
      <w:rPr>
        <w:rFonts w:ascii="Georgia" w:hAnsi="Georgia" w:cs="Calibri"/>
        <w:sz w:val="18"/>
        <w:szCs w:val="18"/>
      </w:rPr>
      <w:instrText>PAGE   \* MERGEFORMAT</w:instrText>
    </w:r>
    <w:r w:rsidRPr="00360B83">
      <w:rPr>
        <w:rFonts w:ascii="Georgia" w:hAnsi="Georgia" w:cs="Calibri"/>
        <w:sz w:val="18"/>
        <w:szCs w:val="18"/>
      </w:rPr>
      <w:fldChar w:fldCharType="separate"/>
    </w:r>
    <w:r w:rsidR="004E6277" w:rsidRPr="004E6277">
      <w:rPr>
        <w:rFonts w:ascii="Georgia" w:hAnsi="Georgia" w:cs="Calibri"/>
        <w:bCs/>
        <w:noProof/>
        <w:sz w:val="18"/>
        <w:szCs w:val="18"/>
      </w:rPr>
      <w:t>8</w:t>
    </w:r>
    <w:r w:rsidRPr="00360B83">
      <w:rPr>
        <w:rFonts w:ascii="Georgia" w:hAnsi="Georgia" w:cs="Calibri"/>
        <w:sz w:val="18"/>
        <w:szCs w:val="18"/>
      </w:rPr>
      <w:fldChar w:fldCharType="end"/>
    </w:r>
  </w:p>
  <w:p w14:paraId="7C2AC039" w14:textId="7980E1FF" w:rsidR="008D321B" w:rsidRPr="00360B83" w:rsidRDefault="00045CE3" w:rsidP="00045CE3">
    <w:pPr>
      <w:pStyle w:val="Encabezado"/>
      <w:rPr>
        <w:rFonts w:ascii="Georgia" w:hAnsi="Georgia" w:cs="Iskoola Pota"/>
        <w:i/>
        <w:sz w:val="18"/>
        <w:szCs w:val="18"/>
        <w:lang w:val="es-CO"/>
      </w:rPr>
    </w:pPr>
    <w:r w:rsidRPr="00360B83">
      <w:rPr>
        <w:rFonts w:ascii="Georgia" w:hAnsi="Georgia" w:cs="Iskoola Pota"/>
        <w:i/>
        <w:sz w:val="18"/>
        <w:szCs w:val="18"/>
        <w:lang w:val="es-CO"/>
      </w:rPr>
      <w:t>EXPEDIENTE No.</w:t>
    </w:r>
    <w:r w:rsidR="00360B83">
      <w:rPr>
        <w:rFonts w:ascii="Georgia" w:hAnsi="Georgia" w:cs="Iskoola Pota"/>
        <w:i/>
        <w:sz w:val="18"/>
        <w:szCs w:val="18"/>
        <w:lang w:val="es-CO"/>
      </w:rPr>
      <w:t xml:space="preserve"> </w:t>
    </w:r>
    <w:r w:rsidR="00B16D2A" w:rsidRPr="00360B83">
      <w:rPr>
        <w:rFonts w:ascii="Georgia" w:hAnsi="Georgia" w:cs="Iskoola Pota"/>
        <w:i/>
        <w:sz w:val="18"/>
        <w:szCs w:val="18"/>
        <w:lang w:val="es-CO"/>
      </w:rPr>
      <w:t>201</w:t>
    </w:r>
    <w:r w:rsidR="00AA4E6B" w:rsidRPr="00360B83">
      <w:rPr>
        <w:rFonts w:ascii="Georgia" w:hAnsi="Georgia" w:cs="Iskoola Pota"/>
        <w:i/>
        <w:sz w:val="18"/>
        <w:szCs w:val="18"/>
        <w:lang w:val="es-CO"/>
      </w:rPr>
      <w:t>2</w:t>
    </w:r>
    <w:r w:rsidR="005E24AC" w:rsidRPr="00360B83">
      <w:rPr>
        <w:rFonts w:ascii="Georgia" w:hAnsi="Georgia" w:cs="Iskoola Pota"/>
        <w:i/>
        <w:sz w:val="18"/>
        <w:szCs w:val="18"/>
        <w:lang w:val="es-CO"/>
      </w:rPr>
      <w:t>-</w:t>
    </w:r>
    <w:r w:rsidR="00B16D2A" w:rsidRPr="00360B83">
      <w:rPr>
        <w:rFonts w:ascii="Georgia" w:hAnsi="Georgia" w:cs="Iskoola Pota"/>
        <w:i/>
        <w:sz w:val="18"/>
        <w:szCs w:val="18"/>
        <w:lang w:val="es-CO"/>
      </w:rPr>
      <w:t>0</w:t>
    </w:r>
    <w:r w:rsidR="00842EC7" w:rsidRPr="00360B83">
      <w:rPr>
        <w:rFonts w:ascii="Georgia" w:hAnsi="Georgia" w:cs="Iskoola Pota"/>
        <w:i/>
        <w:sz w:val="18"/>
        <w:szCs w:val="18"/>
        <w:lang w:val="es-CO"/>
      </w:rPr>
      <w:t>0</w:t>
    </w:r>
    <w:r w:rsidR="00AA4E6B" w:rsidRPr="00360B83">
      <w:rPr>
        <w:rFonts w:ascii="Georgia" w:hAnsi="Georgia" w:cs="Iskoola Pota"/>
        <w:i/>
        <w:sz w:val="18"/>
        <w:szCs w:val="18"/>
        <w:lang w:val="es-CO"/>
      </w:rPr>
      <w:t>290</w:t>
    </w:r>
    <w:r w:rsidR="005E24AC" w:rsidRPr="00360B83">
      <w:rPr>
        <w:rFonts w:ascii="Georgia" w:hAnsi="Georgia" w:cs="Iskoola Pota"/>
        <w:i/>
        <w:sz w:val="18"/>
        <w:szCs w:val="18"/>
        <w:lang w:val="es-CO"/>
      </w:rPr>
      <w:t>-</w:t>
    </w:r>
    <w:r w:rsidR="0028371F" w:rsidRPr="00360B83">
      <w:rPr>
        <w:rFonts w:ascii="Georgia" w:hAnsi="Georgia" w:cs="Iskoola Pota"/>
        <w:i/>
        <w:sz w:val="18"/>
        <w:szCs w:val="18"/>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1">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319E3479"/>
    <w:multiLevelType w:val="multilevel"/>
    <w:tmpl w:val="FD6000A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7">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67334F69"/>
    <w:multiLevelType w:val="multilevel"/>
    <w:tmpl w:val="2CE817BC"/>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16">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1"/>
  </w:num>
  <w:num w:numId="2">
    <w:abstractNumId w:val="8"/>
  </w:num>
  <w:num w:numId="3">
    <w:abstractNumId w:val="16"/>
  </w:num>
  <w:num w:numId="4">
    <w:abstractNumId w:val="14"/>
  </w:num>
  <w:num w:numId="5">
    <w:abstractNumId w:val="7"/>
  </w:num>
  <w:num w:numId="6">
    <w:abstractNumId w:val="3"/>
  </w:num>
  <w:num w:numId="7">
    <w:abstractNumId w:val="10"/>
  </w:num>
  <w:num w:numId="8">
    <w:abstractNumId w:val="4"/>
  </w:num>
  <w:num w:numId="9">
    <w:abstractNumId w:val="2"/>
  </w:num>
  <w:num w:numId="10">
    <w:abstractNumId w:val="9"/>
  </w:num>
  <w:num w:numId="11">
    <w:abstractNumId w:val="5"/>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3D8B"/>
    <w:rsid w:val="0000570F"/>
    <w:rsid w:val="00007AB4"/>
    <w:rsid w:val="000111C6"/>
    <w:rsid w:val="000124CA"/>
    <w:rsid w:val="00032991"/>
    <w:rsid w:val="00041C8C"/>
    <w:rsid w:val="00045CE3"/>
    <w:rsid w:val="0004745A"/>
    <w:rsid w:val="00050E52"/>
    <w:rsid w:val="000521D3"/>
    <w:rsid w:val="00056AD1"/>
    <w:rsid w:val="00057483"/>
    <w:rsid w:val="00057617"/>
    <w:rsid w:val="00057B5C"/>
    <w:rsid w:val="00060A66"/>
    <w:rsid w:val="00061786"/>
    <w:rsid w:val="00063444"/>
    <w:rsid w:val="00063E12"/>
    <w:rsid w:val="000930EC"/>
    <w:rsid w:val="00095E19"/>
    <w:rsid w:val="000960ED"/>
    <w:rsid w:val="000979F2"/>
    <w:rsid w:val="000A3198"/>
    <w:rsid w:val="000A668B"/>
    <w:rsid w:val="000B2C44"/>
    <w:rsid w:val="000B4877"/>
    <w:rsid w:val="000C09F6"/>
    <w:rsid w:val="000C65EF"/>
    <w:rsid w:val="000C7789"/>
    <w:rsid w:val="000D03C3"/>
    <w:rsid w:val="000D106C"/>
    <w:rsid w:val="000D18ED"/>
    <w:rsid w:val="000D1C67"/>
    <w:rsid w:val="000D4106"/>
    <w:rsid w:val="000D51C5"/>
    <w:rsid w:val="000D579D"/>
    <w:rsid w:val="000D70EB"/>
    <w:rsid w:val="000E1027"/>
    <w:rsid w:val="000E1102"/>
    <w:rsid w:val="000F08E0"/>
    <w:rsid w:val="000F16E3"/>
    <w:rsid w:val="000F1B66"/>
    <w:rsid w:val="000F3C01"/>
    <w:rsid w:val="000F6932"/>
    <w:rsid w:val="00107E1A"/>
    <w:rsid w:val="00112D32"/>
    <w:rsid w:val="001130D4"/>
    <w:rsid w:val="00114608"/>
    <w:rsid w:val="00114FEE"/>
    <w:rsid w:val="00117C9A"/>
    <w:rsid w:val="0012018F"/>
    <w:rsid w:val="00121881"/>
    <w:rsid w:val="00122065"/>
    <w:rsid w:val="00122CE4"/>
    <w:rsid w:val="001249B0"/>
    <w:rsid w:val="00125389"/>
    <w:rsid w:val="00132BE5"/>
    <w:rsid w:val="0013679C"/>
    <w:rsid w:val="00137D6A"/>
    <w:rsid w:val="001403D4"/>
    <w:rsid w:val="00141432"/>
    <w:rsid w:val="001446B1"/>
    <w:rsid w:val="001452E0"/>
    <w:rsid w:val="0015481A"/>
    <w:rsid w:val="00157865"/>
    <w:rsid w:val="0016063E"/>
    <w:rsid w:val="001638CD"/>
    <w:rsid w:val="00163A34"/>
    <w:rsid w:val="00164689"/>
    <w:rsid w:val="00175940"/>
    <w:rsid w:val="00190036"/>
    <w:rsid w:val="00192621"/>
    <w:rsid w:val="00197EF3"/>
    <w:rsid w:val="001A46C4"/>
    <w:rsid w:val="001A5399"/>
    <w:rsid w:val="001A565D"/>
    <w:rsid w:val="001A643C"/>
    <w:rsid w:val="001A688F"/>
    <w:rsid w:val="001B2496"/>
    <w:rsid w:val="001B3230"/>
    <w:rsid w:val="001B4583"/>
    <w:rsid w:val="001B4B9B"/>
    <w:rsid w:val="001B5624"/>
    <w:rsid w:val="001C36DF"/>
    <w:rsid w:val="001C3F97"/>
    <w:rsid w:val="001C51D4"/>
    <w:rsid w:val="001C5578"/>
    <w:rsid w:val="001C5598"/>
    <w:rsid w:val="001D0AA3"/>
    <w:rsid w:val="001D37AB"/>
    <w:rsid w:val="001D60DE"/>
    <w:rsid w:val="001D7953"/>
    <w:rsid w:val="001D7E85"/>
    <w:rsid w:val="001E18FB"/>
    <w:rsid w:val="001E57DE"/>
    <w:rsid w:val="001F53B6"/>
    <w:rsid w:val="00200A45"/>
    <w:rsid w:val="00201848"/>
    <w:rsid w:val="00207C51"/>
    <w:rsid w:val="0021075B"/>
    <w:rsid w:val="00210850"/>
    <w:rsid w:val="0021633C"/>
    <w:rsid w:val="00216AE8"/>
    <w:rsid w:val="00227FA6"/>
    <w:rsid w:val="00230208"/>
    <w:rsid w:val="0023059E"/>
    <w:rsid w:val="00231A7F"/>
    <w:rsid w:val="00236089"/>
    <w:rsid w:val="0023681D"/>
    <w:rsid w:val="00236A9B"/>
    <w:rsid w:val="0023704F"/>
    <w:rsid w:val="00237B2C"/>
    <w:rsid w:val="00237BF5"/>
    <w:rsid w:val="002419D4"/>
    <w:rsid w:val="00243379"/>
    <w:rsid w:val="0024455A"/>
    <w:rsid w:val="00252760"/>
    <w:rsid w:val="00253E4F"/>
    <w:rsid w:val="00257943"/>
    <w:rsid w:val="002579E7"/>
    <w:rsid w:val="00257B1F"/>
    <w:rsid w:val="00260AA1"/>
    <w:rsid w:val="00265A2E"/>
    <w:rsid w:val="002711FB"/>
    <w:rsid w:val="002748B1"/>
    <w:rsid w:val="0027637D"/>
    <w:rsid w:val="00276704"/>
    <w:rsid w:val="00280589"/>
    <w:rsid w:val="002825A8"/>
    <w:rsid w:val="0028371F"/>
    <w:rsid w:val="002842F2"/>
    <w:rsid w:val="002860D6"/>
    <w:rsid w:val="002873EC"/>
    <w:rsid w:val="002912F2"/>
    <w:rsid w:val="00297096"/>
    <w:rsid w:val="002A0A88"/>
    <w:rsid w:val="002A18D8"/>
    <w:rsid w:val="002A74DD"/>
    <w:rsid w:val="002A7A4F"/>
    <w:rsid w:val="002B513B"/>
    <w:rsid w:val="002C4195"/>
    <w:rsid w:val="002C7A37"/>
    <w:rsid w:val="002D4917"/>
    <w:rsid w:val="002D605B"/>
    <w:rsid w:val="002E0BA3"/>
    <w:rsid w:val="002E21FB"/>
    <w:rsid w:val="002E5263"/>
    <w:rsid w:val="002E562C"/>
    <w:rsid w:val="002E660C"/>
    <w:rsid w:val="002F4DF5"/>
    <w:rsid w:val="002F7410"/>
    <w:rsid w:val="003013A2"/>
    <w:rsid w:val="00301E59"/>
    <w:rsid w:val="00305C99"/>
    <w:rsid w:val="00310556"/>
    <w:rsid w:val="00310EAB"/>
    <w:rsid w:val="00312D22"/>
    <w:rsid w:val="00323447"/>
    <w:rsid w:val="00326967"/>
    <w:rsid w:val="0033124D"/>
    <w:rsid w:val="003319C7"/>
    <w:rsid w:val="003336C3"/>
    <w:rsid w:val="00342E88"/>
    <w:rsid w:val="0034359F"/>
    <w:rsid w:val="003458B9"/>
    <w:rsid w:val="00352931"/>
    <w:rsid w:val="00360576"/>
    <w:rsid w:val="00360B83"/>
    <w:rsid w:val="00363D70"/>
    <w:rsid w:val="00370D1D"/>
    <w:rsid w:val="00376273"/>
    <w:rsid w:val="00376B94"/>
    <w:rsid w:val="0038158A"/>
    <w:rsid w:val="00384791"/>
    <w:rsid w:val="00385E87"/>
    <w:rsid w:val="00386111"/>
    <w:rsid w:val="00392869"/>
    <w:rsid w:val="00392F07"/>
    <w:rsid w:val="00392FC9"/>
    <w:rsid w:val="00393DD3"/>
    <w:rsid w:val="003972DC"/>
    <w:rsid w:val="003A1A5B"/>
    <w:rsid w:val="003B0EC2"/>
    <w:rsid w:val="003B19D8"/>
    <w:rsid w:val="003B445E"/>
    <w:rsid w:val="003C04BC"/>
    <w:rsid w:val="003C5098"/>
    <w:rsid w:val="003C77D5"/>
    <w:rsid w:val="003D081D"/>
    <w:rsid w:val="003D67D8"/>
    <w:rsid w:val="003D6C3D"/>
    <w:rsid w:val="003E0E72"/>
    <w:rsid w:val="003E236C"/>
    <w:rsid w:val="003E3CF7"/>
    <w:rsid w:val="003E4533"/>
    <w:rsid w:val="003E5ED3"/>
    <w:rsid w:val="003F3AD2"/>
    <w:rsid w:val="00400B90"/>
    <w:rsid w:val="00402132"/>
    <w:rsid w:val="00402319"/>
    <w:rsid w:val="00403F27"/>
    <w:rsid w:val="004058A0"/>
    <w:rsid w:val="00411AC5"/>
    <w:rsid w:val="00414421"/>
    <w:rsid w:val="004215F9"/>
    <w:rsid w:val="00427BE4"/>
    <w:rsid w:val="004335C7"/>
    <w:rsid w:val="00435CC2"/>
    <w:rsid w:val="00436669"/>
    <w:rsid w:val="0043753B"/>
    <w:rsid w:val="00451388"/>
    <w:rsid w:val="00455DE9"/>
    <w:rsid w:val="004614E4"/>
    <w:rsid w:val="00461F2C"/>
    <w:rsid w:val="00465107"/>
    <w:rsid w:val="00471F25"/>
    <w:rsid w:val="00482924"/>
    <w:rsid w:val="004838C6"/>
    <w:rsid w:val="004848E7"/>
    <w:rsid w:val="0048492D"/>
    <w:rsid w:val="00487703"/>
    <w:rsid w:val="004A1395"/>
    <w:rsid w:val="004A3DC5"/>
    <w:rsid w:val="004A7C24"/>
    <w:rsid w:val="004B0328"/>
    <w:rsid w:val="004B145C"/>
    <w:rsid w:val="004B6BF7"/>
    <w:rsid w:val="004C319B"/>
    <w:rsid w:val="004E1CAC"/>
    <w:rsid w:val="004E1EF9"/>
    <w:rsid w:val="004E2173"/>
    <w:rsid w:val="004E6277"/>
    <w:rsid w:val="004E6A80"/>
    <w:rsid w:val="004E75C5"/>
    <w:rsid w:val="004F229E"/>
    <w:rsid w:val="004F537C"/>
    <w:rsid w:val="004F7160"/>
    <w:rsid w:val="00500A43"/>
    <w:rsid w:val="00500DC5"/>
    <w:rsid w:val="005022A7"/>
    <w:rsid w:val="0050295B"/>
    <w:rsid w:val="005035D2"/>
    <w:rsid w:val="00506C08"/>
    <w:rsid w:val="0051191A"/>
    <w:rsid w:val="00515B6B"/>
    <w:rsid w:val="00516D6E"/>
    <w:rsid w:val="0052398B"/>
    <w:rsid w:val="0053073B"/>
    <w:rsid w:val="00531547"/>
    <w:rsid w:val="00541D65"/>
    <w:rsid w:val="0054427C"/>
    <w:rsid w:val="0055115B"/>
    <w:rsid w:val="00552815"/>
    <w:rsid w:val="00564C16"/>
    <w:rsid w:val="0056570B"/>
    <w:rsid w:val="00570A9B"/>
    <w:rsid w:val="00570C60"/>
    <w:rsid w:val="00572804"/>
    <w:rsid w:val="005768FC"/>
    <w:rsid w:val="005776F2"/>
    <w:rsid w:val="00582F12"/>
    <w:rsid w:val="0058709F"/>
    <w:rsid w:val="005938D9"/>
    <w:rsid w:val="00597D74"/>
    <w:rsid w:val="005B781D"/>
    <w:rsid w:val="005C2226"/>
    <w:rsid w:val="005C3A39"/>
    <w:rsid w:val="005C3D57"/>
    <w:rsid w:val="005C4919"/>
    <w:rsid w:val="005C4ABE"/>
    <w:rsid w:val="005D0B8F"/>
    <w:rsid w:val="005D0C4E"/>
    <w:rsid w:val="005D39F3"/>
    <w:rsid w:val="005D49DF"/>
    <w:rsid w:val="005E03C6"/>
    <w:rsid w:val="005E24AC"/>
    <w:rsid w:val="005E4584"/>
    <w:rsid w:val="005E604E"/>
    <w:rsid w:val="005F1FB2"/>
    <w:rsid w:val="005F5BA0"/>
    <w:rsid w:val="0060427D"/>
    <w:rsid w:val="00607310"/>
    <w:rsid w:val="00611CB0"/>
    <w:rsid w:val="006144B3"/>
    <w:rsid w:val="006148FC"/>
    <w:rsid w:val="00615B33"/>
    <w:rsid w:val="00617D63"/>
    <w:rsid w:val="00621644"/>
    <w:rsid w:val="00623497"/>
    <w:rsid w:val="006235A9"/>
    <w:rsid w:val="00623A6D"/>
    <w:rsid w:val="00631466"/>
    <w:rsid w:val="0063289D"/>
    <w:rsid w:val="0063755D"/>
    <w:rsid w:val="00651C7E"/>
    <w:rsid w:val="006527BF"/>
    <w:rsid w:val="00660E7E"/>
    <w:rsid w:val="00663341"/>
    <w:rsid w:val="00667BB2"/>
    <w:rsid w:val="00672632"/>
    <w:rsid w:val="0067785B"/>
    <w:rsid w:val="00681A45"/>
    <w:rsid w:val="00682BBB"/>
    <w:rsid w:val="006837D2"/>
    <w:rsid w:val="00686B69"/>
    <w:rsid w:val="006950C1"/>
    <w:rsid w:val="00695536"/>
    <w:rsid w:val="006A11EF"/>
    <w:rsid w:val="006A2C31"/>
    <w:rsid w:val="006A30E2"/>
    <w:rsid w:val="006A6085"/>
    <w:rsid w:val="006B2386"/>
    <w:rsid w:val="006B768E"/>
    <w:rsid w:val="006B7EB8"/>
    <w:rsid w:val="006C408D"/>
    <w:rsid w:val="006C4AB8"/>
    <w:rsid w:val="006C572F"/>
    <w:rsid w:val="006C6544"/>
    <w:rsid w:val="006D63F0"/>
    <w:rsid w:val="006E1121"/>
    <w:rsid w:val="006E221E"/>
    <w:rsid w:val="006F0BD4"/>
    <w:rsid w:val="006F310C"/>
    <w:rsid w:val="006F58F9"/>
    <w:rsid w:val="006F61F6"/>
    <w:rsid w:val="007031D1"/>
    <w:rsid w:val="00707F42"/>
    <w:rsid w:val="00712790"/>
    <w:rsid w:val="00715013"/>
    <w:rsid w:val="00725DA4"/>
    <w:rsid w:val="00726D6E"/>
    <w:rsid w:val="00727833"/>
    <w:rsid w:val="007326D4"/>
    <w:rsid w:val="00732EFA"/>
    <w:rsid w:val="007330E3"/>
    <w:rsid w:val="00734860"/>
    <w:rsid w:val="00737026"/>
    <w:rsid w:val="00740B86"/>
    <w:rsid w:val="00742351"/>
    <w:rsid w:val="00760989"/>
    <w:rsid w:val="007614C0"/>
    <w:rsid w:val="0076163D"/>
    <w:rsid w:val="007668A2"/>
    <w:rsid w:val="00774AD2"/>
    <w:rsid w:val="00776C17"/>
    <w:rsid w:val="00780839"/>
    <w:rsid w:val="00781593"/>
    <w:rsid w:val="00781928"/>
    <w:rsid w:val="00783BDB"/>
    <w:rsid w:val="007841FC"/>
    <w:rsid w:val="007853A8"/>
    <w:rsid w:val="007860C0"/>
    <w:rsid w:val="00796803"/>
    <w:rsid w:val="00797DB7"/>
    <w:rsid w:val="007A1804"/>
    <w:rsid w:val="007A476E"/>
    <w:rsid w:val="007A5022"/>
    <w:rsid w:val="007C03DB"/>
    <w:rsid w:val="007C4F9D"/>
    <w:rsid w:val="007C66B8"/>
    <w:rsid w:val="007C795D"/>
    <w:rsid w:val="007C7C3E"/>
    <w:rsid w:val="007D102F"/>
    <w:rsid w:val="007D3147"/>
    <w:rsid w:val="007D341B"/>
    <w:rsid w:val="007D7466"/>
    <w:rsid w:val="007E49B1"/>
    <w:rsid w:val="007E56B3"/>
    <w:rsid w:val="007F105A"/>
    <w:rsid w:val="007F1488"/>
    <w:rsid w:val="007F2975"/>
    <w:rsid w:val="007F2A96"/>
    <w:rsid w:val="007F3A25"/>
    <w:rsid w:val="008002FB"/>
    <w:rsid w:val="00804C59"/>
    <w:rsid w:val="00810D50"/>
    <w:rsid w:val="0081363A"/>
    <w:rsid w:val="00820AB4"/>
    <w:rsid w:val="00820BF6"/>
    <w:rsid w:val="0082292F"/>
    <w:rsid w:val="00827A6D"/>
    <w:rsid w:val="0083050E"/>
    <w:rsid w:val="00832731"/>
    <w:rsid w:val="00834347"/>
    <w:rsid w:val="00834976"/>
    <w:rsid w:val="00842EC7"/>
    <w:rsid w:val="008557A4"/>
    <w:rsid w:val="0086284C"/>
    <w:rsid w:val="00863948"/>
    <w:rsid w:val="00876E0A"/>
    <w:rsid w:val="00884D74"/>
    <w:rsid w:val="008872A2"/>
    <w:rsid w:val="008920B4"/>
    <w:rsid w:val="008930E1"/>
    <w:rsid w:val="00897EEA"/>
    <w:rsid w:val="008B14AB"/>
    <w:rsid w:val="008B18E2"/>
    <w:rsid w:val="008B3E9A"/>
    <w:rsid w:val="008B41DF"/>
    <w:rsid w:val="008B500B"/>
    <w:rsid w:val="008B7145"/>
    <w:rsid w:val="008B71AB"/>
    <w:rsid w:val="008C16FC"/>
    <w:rsid w:val="008C4F68"/>
    <w:rsid w:val="008D321B"/>
    <w:rsid w:val="008E0505"/>
    <w:rsid w:val="008E0D48"/>
    <w:rsid w:val="008E1174"/>
    <w:rsid w:val="008E4AFC"/>
    <w:rsid w:val="008E66DE"/>
    <w:rsid w:val="008F2168"/>
    <w:rsid w:val="008F3F1E"/>
    <w:rsid w:val="008F429B"/>
    <w:rsid w:val="008F4505"/>
    <w:rsid w:val="008F4BA2"/>
    <w:rsid w:val="00903782"/>
    <w:rsid w:val="00910B1E"/>
    <w:rsid w:val="00911C83"/>
    <w:rsid w:val="009147CB"/>
    <w:rsid w:val="00920CA1"/>
    <w:rsid w:val="00921C1B"/>
    <w:rsid w:val="009345DA"/>
    <w:rsid w:val="00937EFA"/>
    <w:rsid w:val="00944538"/>
    <w:rsid w:val="0094614E"/>
    <w:rsid w:val="00947E5C"/>
    <w:rsid w:val="00952E5E"/>
    <w:rsid w:val="00953227"/>
    <w:rsid w:val="00953B22"/>
    <w:rsid w:val="00953B8B"/>
    <w:rsid w:val="00954387"/>
    <w:rsid w:val="00954D5D"/>
    <w:rsid w:val="00956A70"/>
    <w:rsid w:val="0095728D"/>
    <w:rsid w:val="00963ECB"/>
    <w:rsid w:val="00967D6F"/>
    <w:rsid w:val="009759B2"/>
    <w:rsid w:val="00985FD1"/>
    <w:rsid w:val="0099309B"/>
    <w:rsid w:val="009969C3"/>
    <w:rsid w:val="009A1240"/>
    <w:rsid w:val="009A6C1F"/>
    <w:rsid w:val="009A6EE3"/>
    <w:rsid w:val="009A7A02"/>
    <w:rsid w:val="009C1009"/>
    <w:rsid w:val="009C1975"/>
    <w:rsid w:val="009C207D"/>
    <w:rsid w:val="009C7F1C"/>
    <w:rsid w:val="009E1072"/>
    <w:rsid w:val="009E2607"/>
    <w:rsid w:val="009E263C"/>
    <w:rsid w:val="009E2FC8"/>
    <w:rsid w:val="009E3076"/>
    <w:rsid w:val="009E3110"/>
    <w:rsid w:val="009F0E61"/>
    <w:rsid w:val="009F1786"/>
    <w:rsid w:val="009F2506"/>
    <w:rsid w:val="00A11F60"/>
    <w:rsid w:val="00A12284"/>
    <w:rsid w:val="00A164C0"/>
    <w:rsid w:val="00A22745"/>
    <w:rsid w:val="00A22F28"/>
    <w:rsid w:val="00A230D3"/>
    <w:rsid w:val="00A2585D"/>
    <w:rsid w:val="00A3039E"/>
    <w:rsid w:val="00A30781"/>
    <w:rsid w:val="00A35365"/>
    <w:rsid w:val="00A432C5"/>
    <w:rsid w:val="00A51E08"/>
    <w:rsid w:val="00A5572D"/>
    <w:rsid w:val="00A56277"/>
    <w:rsid w:val="00A57455"/>
    <w:rsid w:val="00A62541"/>
    <w:rsid w:val="00A62787"/>
    <w:rsid w:val="00A644D6"/>
    <w:rsid w:val="00A71D99"/>
    <w:rsid w:val="00A7420C"/>
    <w:rsid w:val="00A81263"/>
    <w:rsid w:val="00A837CE"/>
    <w:rsid w:val="00A909D6"/>
    <w:rsid w:val="00A96BBB"/>
    <w:rsid w:val="00A97E41"/>
    <w:rsid w:val="00AA0D85"/>
    <w:rsid w:val="00AA4E6B"/>
    <w:rsid w:val="00AB2D84"/>
    <w:rsid w:val="00AB3C1E"/>
    <w:rsid w:val="00AB6D90"/>
    <w:rsid w:val="00AC0533"/>
    <w:rsid w:val="00AC51E2"/>
    <w:rsid w:val="00AC71B8"/>
    <w:rsid w:val="00AC72E5"/>
    <w:rsid w:val="00AC7FEA"/>
    <w:rsid w:val="00AD1446"/>
    <w:rsid w:val="00AD1A3F"/>
    <w:rsid w:val="00AD284A"/>
    <w:rsid w:val="00AD410B"/>
    <w:rsid w:val="00AD42A0"/>
    <w:rsid w:val="00AE0641"/>
    <w:rsid w:val="00AE33C0"/>
    <w:rsid w:val="00AE38B2"/>
    <w:rsid w:val="00AF09DF"/>
    <w:rsid w:val="00AF4B72"/>
    <w:rsid w:val="00AF7A6F"/>
    <w:rsid w:val="00B008E4"/>
    <w:rsid w:val="00B01A99"/>
    <w:rsid w:val="00B07E4B"/>
    <w:rsid w:val="00B16D2A"/>
    <w:rsid w:val="00B21163"/>
    <w:rsid w:val="00B214D7"/>
    <w:rsid w:val="00B23D55"/>
    <w:rsid w:val="00B25249"/>
    <w:rsid w:val="00B262B1"/>
    <w:rsid w:val="00B27D74"/>
    <w:rsid w:val="00B307B1"/>
    <w:rsid w:val="00B37678"/>
    <w:rsid w:val="00B52EC6"/>
    <w:rsid w:val="00B55A68"/>
    <w:rsid w:val="00B60061"/>
    <w:rsid w:val="00B61365"/>
    <w:rsid w:val="00B62758"/>
    <w:rsid w:val="00B6380C"/>
    <w:rsid w:val="00B675CB"/>
    <w:rsid w:val="00B71EBD"/>
    <w:rsid w:val="00B724CE"/>
    <w:rsid w:val="00B74B6B"/>
    <w:rsid w:val="00B75A6A"/>
    <w:rsid w:val="00B75F84"/>
    <w:rsid w:val="00B81C8E"/>
    <w:rsid w:val="00B849B9"/>
    <w:rsid w:val="00B86552"/>
    <w:rsid w:val="00B87206"/>
    <w:rsid w:val="00B944D7"/>
    <w:rsid w:val="00B960FD"/>
    <w:rsid w:val="00BA0A2F"/>
    <w:rsid w:val="00BA2A6F"/>
    <w:rsid w:val="00BA457F"/>
    <w:rsid w:val="00BB455A"/>
    <w:rsid w:val="00BB55AE"/>
    <w:rsid w:val="00BC17D5"/>
    <w:rsid w:val="00BC1A36"/>
    <w:rsid w:val="00BC2578"/>
    <w:rsid w:val="00BC393F"/>
    <w:rsid w:val="00BC3D53"/>
    <w:rsid w:val="00BC3EC8"/>
    <w:rsid w:val="00BC589D"/>
    <w:rsid w:val="00BC77B9"/>
    <w:rsid w:val="00BD1343"/>
    <w:rsid w:val="00BD744D"/>
    <w:rsid w:val="00BE0E76"/>
    <w:rsid w:val="00BE16DB"/>
    <w:rsid w:val="00BE2F2A"/>
    <w:rsid w:val="00BE49F3"/>
    <w:rsid w:val="00BF0045"/>
    <w:rsid w:val="00BF4814"/>
    <w:rsid w:val="00BF4F8B"/>
    <w:rsid w:val="00BF73F6"/>
    <w:rsid w:val="00C022C2"/>
    <w:rsid w:val="00C02A44"/>
    <w:rsid w:val="00C04D9E"/>
    <w:rsid w:val="00C0547C"/>
    <w:rsid w:val="00C0586F"/>
    <w:rsid w:val="00C05C86"/>
    <w:rsid w:val="00C12249"/>
    <w:rsid w:val="00C127FF"/>
    <w:rsid w:val="00C12E58"/>
    <w:rsid w:val="00C15747"/>
    <w:rsid w:val="00C15ED5"/>
    <w:rsid w:val="00C20FB2"/>
    <w:rsid w:val="00C23440"/>
    <w:rsid w:val="00C26924"/>
    <w:rsid w:val="00C31D4B"/>
    <w:rsid w:val="00C32B52"/>
    <w:rsid w:val="00C34DDA"/>
    <w:rsid w:val="00C3595E"/>
    <w:rsid w:val="00C363C4"/>
    <w:rsid w:val="00C363D3"/>
    <w:rsid w:val="00C36400"/>
    <w:rsid w:val="00C36F80"/>
    <w:rsid w:val="00C40CD0"/>
    <w:rsid w:val="00C42B96"/>
    <w:rsid w:val="00C523D7"/>
    <w:rsid w:val="00C54FE1"/>
    <w:rsid w:val="00C6154F"/>
    <w:rsid w:val="00C647E5"/>
    <w:rsid w:val="00C65DA3"/>
    <w:rsid w:val="00C741D5"/>
    <w:rsid w:val="00C820E9"/>
    <w:rsid w:val="00C82245"/>
    <w:rsid w:val="00C8590E"/>
    <w:rsid w:val="00C903AF"/>
    <w:rsid w:val="00C91199"/>
    <w:rsid w:val="00C9127E"/>
    <w:rsid w:val="00C93852"/>
    <w:rsid w:val="00C9534A"/>
    <w:rsid w:val="00CA0F66"/>
    <w:rsid w:val="00CA33C5"/>
    <w:rsid w:val="00CA6C0B"/>
    <w:rsid w:val="00CB5412"/>
    <w:rsid w:val="00CB6B9A"/>
    <w:rsid w:val="00CC1093"/>
    <w:rsid w:val="00CC15CC"/>
    <w:rsid w:val="00CC1FB6"/>
    <w:rsid w:val="00CC75F4"/>
    <w:rsid w:val="00CD2257"/>
    <w:rsid w:val="00CD584C"/>
    <w:rsid w:val="00CD7AAA"/>
    <w:rsid w:val="00CE2176"/>
    <w:rsid w:val="00CF0EBE"/>
    <w:rsid w:val="00CF16F4"/>
    <w:rsid w:val="00CF3CF5"/>
    <w:rsid w:val="00CF6850"/>
    <w:rsid w:val="00CF7AA1"/>
    <w:rsid w:val="00D02CB4"/>
    <w:rsid w:val="00D06465"/>
    <w:rsid w:val="00D112E2"/>
    <w:rsid w:val="00D1698E"/>
    <w:rsid w:val="00D2108D"/>
    <w:rsid w:val="00D2440A"/>
    <w:rsid w:val="00D26844"/>
    <w:rsid w:val="00D4141F"/>
    <w:rsid w:val="00D46DD8"/>
    <w:rsid w:val="00D47ACB"/>
    <w:rsid w:val="00D5056C"/>
    <w:rsid w:val="00D51EAD"/>
    <w:rsid w:val="00D5369D"/>
    <w:rsid w:val="00D619AE"/>
    <w:rsid w:val="00D70FD2"/>
    <w:rsid w:val="00D71B92"/>
    <w:rsid w:val="00D73D69"/>
    <w:rsid w:val="00D764CA"/>
    <w:rsid w:val="00D812AB"/>
    <w:rsid w:val="00D83937"/>
    <w:rsid w:val="00D83E5D"/>
    <w:rsid w:val="00D84F31"/>
    <w:rsid w:val="00D851DA"/>
    <w:rsid w:val="00D9154D"/>
    <w:rsid w:val="00D915F4"/>
    <w:rsid w:val="00D916C0"/>
    <w:rsid w:val="00D93167"/>
    <w:rsid w:val="00D93DAF"/>
    <w:rsid w:val="00D94D58"/>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D00F5"/>
    <w:rsid w:val="00DD366D"/>
    <w:rsid w:val="00DE078F"/>
    <w:rsid w:val="00DE19D9"/>
    <w:rsid w:val="00DE429A"/>
    <w:rsid w:val="00DF5461"/>
    <w:rsid w:val="00DF6741"/>
    <w:rsid w:val="00DF73EF"/>
    <w:rsid w:val="00E018C6"/>
    <w:rsid w:val="00E036C8"/>
    <w:rsid w:val="00E04776"/>
    <w:rsid w:val="00E04CE6"/>
    <w:rsid w:val="00E05B40"/>
    <w:rsid w:val="00E10297"/>
    <w:rsid w:val="00E13879"/>
    <w:rsid w:val="00E13CE0"/>
    <w:rsid w:val="00E14DB5"/>
    <w:rsid w:val="00E16943"/>
    <w:rsid w:val="00E17508"/>
    <w:rsid w:val="00E2193F"/>
    <w:rsid w:val="00E23B32"/>
    <w:rsid w:val="00E253EE"/>
    <w:rsid w:val="00E2686D"/>
    <w:rsid w:val="00E316D9"/>
    <w:rsid w:val="00E34EB6"/>
    <w:rsid w:val="00E42B6A"/>
    <w:rsid w:val="00E4399D"/>
    <w:rsid w:val="00E44741"/>
    <w:rsid w:val="00E53231"/>
    <w:rsid w:val="00E54E75"/>
    <w:rsid w:val="00E55393"/>
    <w:rsid w:val="00E5643E"/>
    <w:rsid w:val="00E5720B"/>
    <w:rsid w:val="00E620D1"/>
    <w:rsid w:val="00E642EC"/>
    <w:rsid w:val="00E64F38"/>
    <w:rsid w:val="00E7400E"/>
    <w:rsid w:val="00E76EB6"/>
    <w:rsid w:val="00E8141D"/>
    <w:rsid w:val="00E856DA"/>
    <w:rsid w:val="00E86F07"/>
    <w:rsid w:val="00E87611"/>
    <w:rsid w:val="00E92773"/>
    <w:rsid w:val="00E9375D"/>
    <w:rsid w:val="00E9418E"/>
    <w:rsid w:val="00E96913"/>
    <w:rsid w:val="00EA12F0"/>
    <w:rsid w:val="00EA40EA"/>
    <w:rsid w:val="00EB07CB"/>
    <w:rsid w:val="00EB1F06"/>
    <w:rsid w:val="00EB2A8A"/>
    <w:rsid w:val="00EB7E37"/>
    <w:rsid w:val="00EC030C"/>
    <w:rsid w:val="00EC041C"/>
    <w:rsid w:val="00EC3FF2"/>
    <w:rsid w:val="00ED0720"/>
    <w:rsid w:val="00EE0413"/>
    <w:rsid w:val="00EE0973"/>
    <w:rsid w:val="00EE3AF2"/>
    <w:rsid w:val="00EE7051"/>
    <w:rsid w:val="00EE746B"/>
    <w:rsid w:val="00EF4827"/>
    <w:rsid w:val="00F00DDF"/>
    <w:rsid w:val="00F0240A"/>
    <w:rsid w:val="00F03D99"/>
    <w:rsid w:val="00F121C1"/>
    <w:rsid w:val="00F1564B"/>
    <w:rsid w:val="00F20247"/>
    <w:rsid w:val="00F2467F"/>
    <w:rsid w:val="00F25594"/>
    <w:rsid w:val="00F31348"/>
    <w:rsid w:val="00F32BA7"/>
    <w:rsid w:val="00F404F9"/>
    <w:rsid w:val="00F4425A"/>
    <w:rsid w:val="00F6163C"/>
    <w:rsid w:val="00F6458D"/>
    <w:rsid w:val="00F65EC8"/>
    <w:rsid w:val="00F71EBD"/>
    <w:rsid w:val="00F721E8"/>
    <w:rsid w:val="00F72723"/>
    <w:rsid w:val="00F82C94"/>
    <w:rsid w:val="00F91A2C"/>
    <w:rsid w:val="00F94637"/>
    <w:rsid w:val="00F96938"/>
    <w:rsid w:val="00F97534"/>
    <w:rsid w:val="00FA0BC5"/>
    <w:rsid w:val="00FA35FE"/>
    <w:rsid w:val="00FA5C15"/>
    <w:rsid w:val="00FA7ABF"/>
    <w:rsid w:val="00FB30C6"/>
    <w:rsid w:val="00FC0A1B"/>
    <w:rsid w:val="00FC0DD8"/>
    <w:rsid w:val="00FC31C3"/>
    <w:rsid w:val="00FC5390"/>
    <w:rsid w:val="00FC5EB6"/>
    <w:rsid w:val="00FC7BF7"/>
    <w:rsid w:val="00FD7D84"/>
    <w:rsid w:val="00FD7EDC"/>
    <w:rsid w:val="00FE0DE7"/>
    <w:rsid w:val="00FE34AA"/>
    <w:rsid w:val="00FE41FD"/>
    <w:rsid w:val="00FE5DF2"/>
    <w:rsid w:val="00FE74F1"/>
    <w:rsid w:val="00FF132F"/>
    <w:rsid w:val="00FF43FE"/>
    <w:rsid w:val="00FF54D4"/>
    <w:rsid w:val="00FF769E"/>
    <w:rsid w:val="06D6D279"/>
    <w:rsid w:val="073000D8"/>
    <w:rsid w:val="07A85B0C"/>
    <w:rsid w:val="0C81B343"/>
    <w:rsid w:val="1304D9DF"/>
    <w:rsid w:val="14708719"/>
    <w:rsid w:val="14FBBFC8"/>
    <w:rsid w:val="150D5A8C"/>
    <w:rsid w:val="152BD107"/>
    <w:rsid w:val="163F6C03"/>
    <w:rsid w:val="1C9D666D"/>
    <w:rsid w:val="1ED994A8"/>
    <w:rsid w:val="1FE63FEE"/>
    <w:rsid w:val="21AC437A"/>
    <w:rsid w:val="21E0E1B1"/>
    <w:rsid w:val="245C9541"/>
    <w:rsid w:val="27068A45"/>
    <w:rsid w:val="29885D7D"/>
    <w:rsid w:val="32A9C5A4"/>
    <w:rsid w:val="3371F11C"/>
    <w:rsid w:val="37E29D96"/>
    <w:rsid w:val="3AB66394"/>
    <w:rsid w:val="4086F161"/>
    <w:rsid w:val="419A52B5"/>
    <w:rsid w:val="44FDFEC2"/>
    <w:rsid w:val="4736B496"/>
    <w:rsid w:val="47F3F311"/>
    <w:rsid w:val="4CBBC78B"/>
    <w:rsid w:val="4FF9F02B"/>
    <w:rsid w:val="528541E8"/>
    <w:rsid w:val="54345DA7"/>
    <w:rsid w:val="557903BD"/>
    <w:rsid w:val="56FAEE4F"/>
    <w:rsid w:val="59EED339"/>
    <w:rsid w:val="5B37DE36"/>
    <w:rsid w:val="5BA0E760"/>
    <w:rsid w:val="5CD37EEC"/>
    <w:rsid w:val="5FF99F7A"/>
    <w:rsid w:val="626C2F68"/>
    <w:rsid w:val="68AEF37B"/>
    <w:rsid w:val="6B6D18DB"/>
    <w:rsid w:val="6C5613E2"/>
    <w:rsid w:val="6DA00273"/>
    <w:rsid w:val="71889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2.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3337E-9FE2-41DB-8B3E-8192EA5AD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D0674A-B357-4E1D-BADC-EB01334D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3311</Words>
  <Characters>18215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ALONSO</cp:lastModifiedBy>
  <cp:revision>10</cp:revision>
  <cp:lastPrinted>2019-10-31T14:43:00Z</cp:lastPrinted>
  <dcterms:created xsi:type="dcterms:W3CDTF">2020-08-21T22:10:00Z</dcterms:created>
  <dcterms:modified xsi:type="dcterms:W3CDTF">2020-10-07T12:57:00Z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