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6B03" w14:textId="77777777" w:rsidR="00F954A6" w:rsidRPr="00F954A6" w:rsidRDefault="00F954A6" w:rsidP="00F954A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954A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BD147A" w14:textId="77777777" w:rsidR="00F954A6" w:rsidRPr="00F954A6" w:rsidRDefault="00F954A6" w:rsidP="00F954A6">
      <w:pPr>
        <w:jc w:val="both"/>
        <w:rPr>
          <w:rFonts w:ascii="Arial" w:hAnsi="Arial" w:cs="Arial"/>
          <w:lang w:val="es-419"/>
        </w:rPr>
      </w:pPr>
    </w:p>
    <w:p w14:paraId="48C7639D" w14:textId="4364564A" w:rsidR="00F954A6" w:rsidRPr="00F954A6" w:rsidRDefault="00F954A6" w:rsidP="00F954A6">
      <w:pPr>
        <w:jc w:val="both"/>
        <w:rPr>
          <w:rFonts w:ascii="Arial" w:hAnsi="Arial" w:cs="Arial"/>
          <w:b/>
          <w:bCs/>
          <w:iCs/>
          <w:lang w:val="es-419" w:eastAsia="fr-FR"/>
        </w:rPr>
      </w:pPr>
      <w:r w:rsidRPr="00F954A6">
        <w:rPr>
          <w:rFonts w:ascii="Arial" w:hAnsi="Arial" w:cs="Arial"/>
          <w:b/>
          <w:bCs/>
          <w:iCs/>
          <w:u w:val="single"/>
          <w:lang w:val="es-419" w:eastAsia="fr-FR"/>
        </w:rPr>
        <w:t>TEMAS:</w:t>
      </w:r>
      <w:r w:rsidRPr="00F954A6">
        <w:rPr>
          <w:rFonts w:ascii="Arial" w:hAnsi="Arial" w:cs="Arial"/>
          <w:b/>
          <w:bCs/>
          <w:iCs/>
          <w:lang w:val="es-419" w:eastAsia="fr-FR"/>
        </w:rPr>
        <w:tab/>
      </w:r>
      <w:r w:rsidR="002701B1">
        <w:rPr>
          <w:rFonts w:ascii="Arial" w:hAnsi="Arial" w:cs="Arial"/>
          <w:b/>
          <w:bCs/>
          <w:iCs/>
          <w:lang w:val="es-419" w:eastAsia="fr-FR"/>
        </w:rPr>
        <w:t>DEBIDO PROCESO / TUTELA CONTRA DECISION JUDICIAL / VIDA DIGNA / RÉGIMEN DE PROPIEDAD HORIZONTAL / PROCEDENCIA EXCEPCIONAL DE LA TUTELA EN AMBOS CASOS</w:t>
      </w:r>
      <w:r w:rsidR="00A34999">
        <w:rPr>
          <w:rFonts w:ascii="Arial" w:hAnsi="Arial" w:cs="Arial"/>
          <w:b/>
          <w:bCs/>
          <w:iCs/>
          <w:lang w:val="es-419" w:eastAsia="fr-FR"/>
        </w:rPr>
        <w:t xml:space="preserve"> / </w:t>
      </w:r>
      <w:r w:rsidR="00A34999">
        <w:rPr>
          <w:rFonts w:ascii="Arial" w:hAnsi="Arial" w:cs="Arial"/>
          <w:b/>
          <w:bCs/>
          <w:iCs/>
          <w:lang w:val="es-419" w:eastAsia="fr-FR"/>
        </w:rPr>
        <w:t xml:space="preserve">PROHIBICIÓN </w:t>
      </w:r>
      <w:r w:rsidR="00A34999">
        <w:rPr>
          <w:rFonts w:ascii="Arial" w:hAnsi="Arial" w:cs="Arial"/>
          <w:b/>
          <w:bCs/>
          <w:iCs/>
          <w:lang w:val="es-419" w:eastAsia="fr-FR"/>
        </w:rPr>
        <w:t xml:space="preserve">AL PROPIETARIO DE </w:t>
      </w:r>
      <w:r w:rsidR="00A34999">
        <w:rPr>
          <w:rFonts w:ascii="Arial" w:hAnsi="Arial" w:cs="Arial"/>
          <w:b/>
          <w:bCs/>
          <w:iCs/>
          <w:lang w:val="es-419" w:eastAsia="fr-FR"/>
        </w:rPr>
        <w:t xml:space="preserve">INGRESAR </w:t>
      </w:r>
      <w:r w:rsidR="00A34999">
        <w:rPr>
          <w:rFonts w:ascii="Arial" w:hAnsi="Arial" w:cs="Arial"/>
          <w:b/>
          <w:bCs/>
          <w:iCs/>
          <w:lang w:val="es-419" w:eastAsia="fr-FR"/>
        </w:rPr>
        <w:t xml:space="preserve">SUS </w:t>
      </w:r>
      <w:r w:rsidR="00A34999">
        <w:rPr>
          <w:rFonts w:ascii="Arial" w:hAnsi="Arial" w:cs="Arial"/>
          <w:b/>
          <w:bCs/>
          <w:iCs/>
          <w:lang w:val="es-419" w:eastAsia="fr-FR"/>
        </w:rPr>
        <w:t>ARTÍCULOS DOMÉSTICOS /</w:t>
      </w:r>
      <w:r w:rsidR="00A34999">
        <w:rPr>
          <w:rFonts w:ascii="Arial" w:hAnsi="Arial" w:cs="Arial"/>
          <w:b/>
          <w:bCs/>
          <w:iCs/>
          <w:lang w:val="es-419" w:eastAsia="fr-FR"/>
        </w:rPr>
        <w:t xml:space="preserve"> SE CONCEDE EL AMPARO</w:t>
      </w:r>
      <w:r w:rsidR="002701B1">
        <w:rPr>
          <w:rFonts w:ascii="Arial" w:hAnsi="Arial" w:cs="Arial"/>
          <w:b/>
          <w:bCs/>
          <w:iCs/>
          <w:lang w:val="es-419" w:eastAsia="fr-FR"/>
        </w:rPr>
        <w:t>.</w:t>
      </w:r>
    </w:p>
    <w:p w14:paraId="244548F7" w14:textId="77777777" w:rsidR="00F954A6" w:rsidRPr="00F954A6" w:rsidRDefault="00F954A6" w:rsidP="00F954A6">
      <w:pPr>
        <w:jc w:val="both"/>
        <w:rPr>
          <w:rFonts w:ascii="Arial" w:hAnsi="Arial" w:cs="Arial"/>
          <w:lang w:val="es-419"/>
        </w:rPr>
      </w:pPr>
    </w:p>
    <w:p w14:paraId="2664FC6D" w14:textId="4D7A65EB" w:rsidR="002701B1" w:rsidRPr="002701B1" w:rsidRDefault="002701B1" w:rsidP="002701B1">
      <w:pPr>
        <w:jc w:val="both"/>
        <w:rPr>
          <w:rFonts w:ascii="Arial" w:hAnsi="Arial" w:cs="Arial"/>
          <w:lang w:val="es-419"/>
        </w:rPr>
      </w:pPr>
      <w:r>
        <w:rPr>
          <w:rFonts w:ascii="Arial" w:hAnsi="Arial" w:cs="Arial"/>
          <w:lang w:val="es-419"/>
        </w:rPr>
        <w:t xml:space="preserve">… </w:t>
      </w:r>
      <w:r w:rsidRPr="002701B1">
        <w:rPr>
          <w:rFonts w:ascii="Arial" w:hAnsi="Arial" w:cs="Arial"/>
          <w:lang w:val="es-419"/>
        </w:rPr>
        <w:t>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14:paraId="0B34A4E3" w14:textId="77777777" w:rsidR="002701B1" w:rsidRPr="002701B1" w:rsidRDefault="002701B1" w:rsidP="002701B1">
      <w:pPr>
        <w:jc w:val="both"/>
        <w:rPr>
          <w:rFonts w:ascii="Arial" w:hAnsi="Arial" w:cs="Arial"/>
          <w:lang w:val="es-419"/>
        </w:rPr>
      </w:pPr>
    </w:p>
    <w:p w14:paraId="110CF7C9" w14:textId="7454D194" w:rsidR="00F954A6" w:rsidRPr="00F954A6" w:rsidRDefault="002701B1" w:rsidP="002701B1">
      <w:pPr>
        <w:jc w:val="both"/>
        <w:rPr>
          <w:rFonts w:ascii="Arial" w:hAnsi="Arial" w:cs="Arial"/>
          <w:lang w:val="es-419"/>
        </w:rPr>
      </w:pPr>
      <w:r w:rsidRPr="002701B1">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hAnsi="Arial" w:cs="Arial"/>
          <w:lang w:val="es-419"/>
        </w:rPr>
        <w:t>…</w:t>
      </w:r>
    </w:p>
    <w:p w14:paraId="398A9B82" w14:textId="77777777" w:rsidR="00F954A6" w:rsidRPr="00F954A6" w:rsidRDefault="00F954A6" w:rsidP="00F954A6">
      <w:pPr>
        <w:jc w:val="both"/>
        <w:rPr>
          <w:rFonts w:ascii="Arial" w:hAnsi="Arial" w:cs="Arial"/>
          <w:lang w:val="es-419"/>
        </w:rPr>
      </w:pPr>
    </w:p>
    <w:p w14:paraId="157C9AA1" w14:textId="25784736" w:rsidR="00F954A6" w:rsidRDefault="002701B1" w:rsidP="00F954A6">
      <w:pPr>
        <w:jc w:val="both"/>
        <w:rPr>
          <w:rFonts w:ascii="Arial" w:hAnsi="Arial" w:cs="Arial"/>
          <w:lang w:val="es-419"/>
        </w:rPr>
      </w:pPr>
      <w:r w:rsidRPr="002701B1">
        <w:rPr>
          <w:rFonts w:ascii="Arial" w:hAnsi="Arial" w:cs="Arial"/>
          <w:lang w:val="es-419"/>
        </w:rPr>
        <w:t>Ahora bien, en asuntos relacionados con el régimen de propiedad horizontal, la Corte Constitucional ha establecido que, por regla general, debe acudirse a los mecanismos ordinarios de defensa judicial que ofrece aquella regulación, pero que excepcionalmente, la acción de tutela resultará procedente como vía principal cuando las decisiones de la administración de la unidad residencial “impidan la satisfacción mínima de las condiciones de existencia vital que los individuos no pueden asegurarse por sí mismos”</w:t>
      </w:r>
      <w:r>
        <w:rPr>
          <w:rFonts w:ascii="Arial" w:hAnsi="Arial" w:cs="Arial"/>
          <w:lang w:val="es-419"/>
        </w:rPr>
        <w:t xml:space="preserve"> (…)</w:t>
      </w:r>
    </w:p>
    <w:p w14:paraId="77530267" w14:textId="77777777" w:rsidR="002701B1" w:rsidRDefault="002701B1" w:rsidP="00F954A6">
      <w:pPr>
        <w:jc w:val="both"/>
        <w:rPr>
          <w:rFonts w:ascii="Arial" w:hAnsi="Arial" w:cs="Arial"/>
          <w:lang w:val="es-419"/>
        </w:rPr>
      </w:pPr>
    </w:p>
    <w:p w14:paraId="6844C224" w14:textId="33084634" w:rsidR="00F954A6" w:rsidRPr="00F954A6" w:rsidRDefault="002701B1" w:rsidP="00F954A6">
      <w:pPr>
        <w:jc w:val="both"/>
        <w:rPr>
          <w:rFonts w:ascii="Arial" w:hAnsi="Arial" w:cs="Arial"/>
          <w:lang w:val="es-ES"/>
        </w:rPr>
      </w:pPr>
      <w:r>
        <w:rPr>
          <w:rFonts w:ascii="Arial" w:hAnsi="Arial" w:cs="Arial"/>
          <w:lang w:val="es-419"/>
        </w:rPr>
        <w:t xml:space="preserve">… </w:t>
      </w:r>
      <w:r w:rsidRPr="002701B1">
        <w:rPr>
          <w:rFonts w:ascii="Arial" w:hAnsi="Arial" w:cs="Arial"/>
          <w:lang w:val="es-419"/>
        </w:rPr>
        <w:t>se encuentra que la decisión de la administración de la AGRUPACIÓN RESIDENCIAL VILLA ALICIA PH, afecta las necesidades básicas vitales de la propietaria del inmueble, estrechamente vinculadas con los derechos a la vivienda y vida dignas, los cuales resultan amenazados, al no contar con los elementos esenciales para habitar y subsistir al interior de su vivienda, impidiendo la satisfacción mínima de las condiciones de existencia vital.</w:t>
      </w:r>
    </w:p>
    <w:p w14:paraId="30D8CD00" w14:textId="77777777" w:rsidR="00F954A6" w:rsidRPr="00F954A6" w:rsidRDefault="00F954A6" w:rsidP="00F954A6">
      <w:pPr>
        <w:jc w:val="both"/>
        <w:rPr>
          <w:rFonts w:ascii="Arial" w:hAnsi="Arial" w:cs="Arial"/>
          <w:lang w:val="es-ES"/>
        </w:rPr>
      </w:pPr>
    </w:p>
    <w:p w14:paraId="083D3E63" w14:textId="77777777" w:rsidR="00F954A6" w:rsidRPr="00F954A6" w:rsidRDefault="00F954A6" w:rsidP="00F954A6">
      <w:pPr>
        <w:jc w:val="both"/>
        <w:rPr>
          <w:rFonts w:ascii="Arial" w:hAnsi="Arial" w:cs="Arial"/>
          <w:lang w:val="es-ES"/>
        </w:rPr>
      </w:pPr>
    </w:p>
    <w:p w14:paraId="308F1716" w14:textId="77777777" w:rsidR="00F954A6" w:rsidRPr="00F954A6" w:rsidRDefault="00F954A6" w:rsidP="00F954A6">
      <w:pPr>
        <w:jc w:val="both"/>
        <w:rPr>
          <w:rFonts w:ascii="Arial" w:hAnsi="Arial" w:cs="Arial"/>
          <w:lang w:val="es-ES"/>
        </w:rPr>
      </w:pPr>
    </w:p>
    <w:p w14:paraId="5220EA05" w14:textId="77777777" w:rsidR="002C74F5" w:rsidRPr="00F954A6" w:rsidRDefault="006215AE" w:rsidP="00F954A6">
      <w:pPr>
        <w:spacing w:line="276" w:lineRule="auto"/>
        <w:jc w:val="center"/>
        <w:rPr>
          <w:rFonts w:ascii="Arial" w:eastAsia="Arial" w:hAnsi="Arial" w:cs="Arial"/>
          <w:b/>
          <w:sz w:val="24"/>
          <w:szCs w:val="24"/>
        </w:rPr>
      </w:pPr>
      <w:r w:rsidRPr="00F954A6">
        <w:rPr>
          <w:rFonts w:ascii="Arial" w:eastAsia="Arial" w:hAnsi="Arial" w:cs="Arial"/>
          <w:b/>
          <w:sz w:val="24"/>
          <w:szCs w:val="24"/>
        </w:rPr>
        <w:t>TRIBUNAL SUPERIOR DE PEREIRA</w:t>
      </w:r>
    </w:p>
    <w:p w14:paraId="53BEAC83" w14:textId="77777777" w:rsidR="002C74F5" w:rsidRPr="00F954A6" w:rsidRDefault="006215AE" w:rsidP="00F954A6">
      <w:pPr>
        <w:spacing w:line="276" w:lineRule="auto"/>
        <w:jc w:val="center"/>
        <w:rPr>
          <w:rFonts w:ascii="Arial" w:eastAsia="Arial" w:hAnsi="Arial" w:cs="Arial"/>
          <w:sz w:val="24"/>
          <w:szCs w:val="24"/>
        </w:rPr>
      </w:pPr>
      <w:r w:rsidRPr="00F954A6">
        <w:rPr>
          <w:rFonts w:ascii="Arial" w:eastAsia="Arial" w:hAnsi="Arial" w:cs="Arial"/>
          <w:sz w:val="24"/>
          <w:szCs w:val="24"/>
        </w:rPr>
        <w:t>Sala de Decisión Civil Familia</w:t>
      </w:r>
    </w:p>
    <w:p w14:paraId="54ED109B" w14:textId="77777777" w:rsidR="002C74F5" w:rsidRPr="00F954A6" w:rsidRDefault="002C74F5" w:rsidP="00F954A6">
      <w:pPr>
        <w:spacing w:line="276" w:lineRule="auto"/>
        <w:jc w:val="center"/>
        <w:rPr>
          <w:rFonts w:ascii="Arial" w:eastAsia="Arial" w:hAnsi="Arial" w:cs="Arial"/>
          <w:sz w:val="24"/>
          <w:szCs w:val="24"/>
        </w:rPr>
      </w:pPr>
    </w:p>
    <w:p w14:paraId="25A2DD2E" w14:textId="77777777" w:rsidR="002C74F5" w:rsidRPr="00F954A6" w:rsidRDefault="006215AE" w:rsidP="00F954A6">
      <w:pPr>
        <w:spacing w:line="276" w:lineRule="auto"/>
        <w:jc w:val="center"/>
        <w:rPr>
          <w:rFonts w:ascii="Arial" w:eastAsia="Arial" w:hAnsi="Arial" w:cs="Arial"/>
          <w:sz w:val="24"/>
          <w:szCs w:val="24"/>
        </w:rPr>
      </w:pPr>
      <w:r w:rsidRPr="00F954A6">
        <w:rPr>
          <w:rFonts w:ascii="Arial" w:eastAsia="Arial" w:hAnsi="Arial" w:cs="Arial"/>
          <w:sz w:val="24"/>
          <w:szCs w:val="24"/>
        </w:rPr>
        <w:t xml:space="preserve">Magistrado Ponente: </w:t>
      </w:r>
    </w:p>
    <w:p w14:paraId="740C0380" w14:textId="77777777" w:rsidR="002C74F5" w:rsidRPr="00F954A6" w:rsidRDefault="006215AE" w:rsidP="00F954A6">
      <w:pPr>
        <w:spacing w:line="276" w:lineRule="auto"/>
        <w:jc w:val="center"/>
        <w:rPr>
          <w:rFonts w:ascii="Arial" w:eastAsia="Arial" w:hAnsi="Arial" w:cs="Arial"/>
          <w:b/>
          <w:sz w:val="24"/>
          <w:szCs w:val="24"/>
        </w:rPr>
      </w:pPr>
      <w:r w:rsidRPr="00F954A6">
        <w:rPr>
          <w:rFonts w:ascii="Arial" w:eastAsia="Arial" w:hAnsi="Arial" w:cs="Arial"/>
          <w:b/>
          <w:sz w:val="24"/>
          <w:szCs w:val="24"/>
        </w:rPr>
        <w:t>EDDER JIMMY SÁNCHEZ CALAMBÁS</w:t>
      </w:r>
    </w:p>
    <w:p w14:paraId="75323D7B" w14:textId="77777777" w:rsidR="002C74F5" w:rsidRPr="00F954A6" w:rsidRDefault="002C74F5" w:rsidP="00F954A6">
      <w:pPr>
        <w:spacing w:line="276" w:lineRule="auto"/>
        <w:jc w:val="center"/>
        <w:rPr>
          <w:rFonts w:ascii="Arial" w:eastAsia="Arial" w:hAnsi="Arial" w:cs="Arial"/>
          <w:sz w:val="24"/>
          <w:szCs w:val="24"/>
        </w:rPr>
      </w:pPr>
    </w:p>
    <w:p w14:paraId="236D9E68" w14:textId="6032A588" w:rsidR="002C74F5" w:rsidRPr="00F954A6" w:rsidRDefault="006215AE" w:rsidP="00F954A6">
      <w:pPr>
        <w:spacing w:line="276" w:lineRule="auto"/>
        <w:jc w:val="center"/>
        <w:rPr>
          <w:rFonts w:ascii="Arial" w:eastAsia="Arial" w:hAnsi="Arial" w:cs="Arial"/>
          <w:sz w:val="24"/>
          <w:szCs w:val="24"/>
        </w:rPr>
      </w:pPr>
      <w:r w:rsidRPr="00F954A6">
        <w:rPr>
          <w:rFonts w:ascii="Arial" w:eastAsia="Arial" w:hAnsi="Arial" w:cs="Arial"/>
          <w:sz w:val="24"/>
          <w:szCs w:val="24"/>
        </w:rPr>
        <w:t xml:space="preserve">Pereira, </w:t>
      </w:r>
      <w:r w:rsidR="00B83F42" w:rsidRPr="00F954A6">
        <w:rPr>
          <w:rFonts w:ascii="Arial" w:eastAsia="Arial" w:hAnsi="Arial" w:cs="Arial"/>
          <w:sz w:val="24"/>
          <w:szCs w:val="24"/>
        </w:rPr>
        <w:t>d</w:t>
      </w:r>
      <w:r w:rsidR="00096B13" w:rsidRPr="00F954A6">
        <w:rPr>
          <w:rFonts w:ascii="Arial" w:eastAsia="Arial" w:hAnsi="Arial" w:cs="Arial"/>
          <w:sz w:val="24"/>
          <w:szCs w:val="24"/>
        </w:rPr>
        <w:t>iecisi</w:t>
      </w:r>
      <w:r w:rsidR="00B83F42" w:rsidRPr="00F954A6">
        <w:rPr>
          <w:rFonts w:ascii="Arial" w:eastAsia="Arial" w:hAnsi="Arial" w:cs="Arial"/>
          <w:sz w:val="24"/>
          <w:szCs w:val="24"/>
        </w:rPr>
        <w:t>e</w:t>
      </w:r>
      <w:r w:rsidR="00096B13" w:rsidRPr="00F954A6">
        <w:rPr>
          <w:rFonts w:ascii="Arial" w:eastAsia="Arial" w:hAnsi="Arial" w:cs="Arial"/>
          <w:sz w:val="24"/>
          <w:szCs w:val="24"/>
        </w:rPr>
        <w:t>te</w:t>
      </w:r>
      <w:r w:rsidR="00434116" w:rsidRPr="00F954A6">
        <w:rPr>
          <w:rFonts w:ascii="Arial" w:eastAsia="Arial" w:hAnsi="Arial" w:cs="Arial"/>
          <w:sz w:val="24"/>
          <w:szCs w:val="24"/>
        </w:rPr>
        <w:t xml:space="preserve"> (</w:t>
      </w:r>
      <w:r w:rsidR="00B83F42" w:rsidRPr="00F954A6">
        <w:rPr>
          <w:rFonts w:ascii="Arial" w:eastAsia="Arial" w:hAnsi="Arial" w:cs="Arial"/>
          <w:sz w:val="24"/>
          <w:szCs w:val="24"/>
        </w:rPr>
        <w:t>1</w:t>
      </w:r>
      <w:r w:rsidR="00096B13" w:rsidRPr="00F954A6">
        <w:rPr>
          <w:rFonts w:ascii="Arial" w:eastAsia="Arial" w:hAnsi="Arial" w:cs="Arial"/>
          <w:sz w:val="24"/>
          <w:szCs w:val="24"/>
        </w:rPr>
        <w:t>7</w:t>
      </w:r>
      <w:r w:rsidRPr="00F954A6">
        <w:rPr>
          <w:rFonts w:ascii="Arial" w:eastAsia="Arial" w:hAnsi="Arial" w:cs="Arial"/>
          <w:sz w:val="24"/>
          <w:szCs w:val="24"/>
        </w:rPr>
        <w:t xml:space="preserve">) de </w:t>
      </w:r>
      <w:r w:rsidR="00096B13" w:rsidRPr="00F954A6">
        <w:rPr>
          <w:rFonts w:ascii="Arial" w:eastAsia="Arial" w:hAnsi="Arial" w:cs="Arial"/>
          <w:sz w:val="24"/>
          <w:szCs w:val="24"/>
        </w:rPr>
        <w:t xml:space="preserve">abril </w:t>
      </w:r>
      <w:r w:rsidRPr="00F954A6">
        <w:rPr>
          <w:rFonts w:ascii="Arial" w:eastAsia="Arial" w:hAnsi="Arial" w:cs="Arial"/>
          <w:sz w:val="24"/>
          <w:szCs w:val="24"/>
        </w:rPr>
        <w:t xml:space="preserve">de dos mil </w:t>
      </w:r>
      <w:r w:rsidR="00434116" w:rsidRPr="00F954A6">
        <w:rPr>
          <w:rFonts w:ascii="Arial" w:eastAsia="Arial" w:hAnsi="Arial" w:cs="Arial"/>
          <w:sz w:val="24"/>
          <w:szCs w:val="24"/>
        </w:rPr>
        <w:t>ve</w:t>
      </w:r>
      <w:r w:rsidR="00096B13" w:rsidRPr="00F954A6">
        <w:rPr>
          <w:rFonts w:ascii="Arial" w:eastAsia="Arial" w:hAnsi="Arial" w:cs="Arial"/>
          <w:sz w:val="24"/>
          <w:szCs w:val="24"/>
        </w:rPr>
        <w:t>inte</w:t>
      </w:r>
      <w:r w:rsidR="00434116" w:rsidRPr="00F954A6">
        <w:rPr>
          <w:rFonts w:ascii="Arial" w:eastAsia="Arial" w:hAnsi="Arial" w:cs="Arial"/>
          <w:sz w:val="24"/>
          <w:szCs w:val="24"/>
        </w:rPr>
        <w:t xml:space="preserve"> (20</w:t>
      </w:r>
      <w:r w:rsidR="00096B13" w:rsidRPr="00F954A6">
        <w:rPr>
          <w:rFonts w:ascii="Arial" w:eastAsia="Arial" w:hAnsi="Arial" w:cs="Arial"/>
          <w:sz w:val="24"/>
          <w:szCs w:val="24"/>
        </w:rPr>
        <w:t>20</w:t>
      </w:r>
      <w:r w:rsidRPr="00F954A6">
        <w:rPr>
          <w:rFonts w:ascii="Arial" w:eastAsia="Arial" w:hAnsi="Arial" w:cs="Arial"/>
          <w:sz w:val="24"/>
          <w:szCs w:val="24"/>
        </w:rPr>
        <w:t>)</w:t>
      </w:r>
    </w:p>
    <w:p w14:paraId="3F62C609" w14:textId="43B548E7" w:rsidR="002C74F5" w:rsidRPr="00F954A6" w:rsidRDefault="00D45B55" w:rsidP="00F954A6">
      <w:pPr>
        <w:spacing w:line="276" w:lineRule="auto"/>
        <w:jc w:val="center"/>
        <w:rPr>
          <w:rFonts w:ascii="Arial" w:eastAsia="Arial" w:hAnsi="Arial" w:cs="Arial"/>
          <w:sz w:val="24"/>
          <w:szCs w:val="24"/>
        </w:rPr>
      </w:pPr>
      <w:r w:rsidRPr="00F954A6">
        <w:rPr>
          <w:rFonts w:ascii="Arial" w:eastAsia="Arial" w:hAnsi="Arial" w:cs="Arial"/>
          <w:sz w:val="24"/>
          <w:szCs w:val="24"/>
        </w:rPr>
        <w:t xml:space="preserve">Acta N° </w:t>
      </w:r>
      <w:r w:rsidR="00AB5C7A" w:rsidRPr="00F954A6">
        <w:rPr>
          <w:rFonts w:ascii="Arial" w:eastAsia="Arial" w:hAnsi="Arial" w:cs="Arial"/>
          <w:sz w:val="24"/>
          <w:szCs w:val="24"/>
        </w:rPr>
        <w:t>143</w:t>
      </w:r>
      <w:r w:rsidR="006215AE" w:rsidRPr="00F954A6">
        <w:rPr>
          <w:rFonts w:ascii="Arial" w:eastAsia="Arial" w:hAnsi="Arial" w:cs="Arial"/>
          <w:sz w:val="24"/>
          <w:szCs w:val="24"/>
        </w:rPr>
        <w:t xml:space="preserve"> de </w:t>
      </w:r>
      <w:r w:rsidR="00B83F42" w:rsidRPr="00F954A6">
        <w:rPr>
          <w:rFonts w:ascii="Arial" w:eastAsia="Arial" w:hAnsi="Arial" w:cs="Arial"/>
          <w:sz w:val="24"/>
          <w:szCs w:val="24"/>
        </w:rPr>
        <w:t>1</w:t>
      </w:r>
      <w:r w:rsidR="00096B13" w:rsidRPr="00F954A6">
        <w:rPr>
          <w:rFonts w:ascii="Arial" w:eastAsia="Arial" w:hAnsi="Arial" w:cs="Arial"/>
          <w:sz w:val="24"/>
          <w:szCs w:val="24"/>
        </w:rPr>
        <w:t>7</w:t>
      </w:r>
      <w:r w:rsidR="00434116" w:rsidRPr="00F954A6">
        <w:rPr>
          <w:rFonts w:ascii="Arial" w:eastAsia="Arial" w:hAnsi="Arial" w:cs="Arial"/>
          <w:sz w:val="24"/>
          <w:szCs w:val="24"/>
        </w:rPr>
        <w:t>-</w:t>
      </w:r>
      <w:r w:rsidR="006215AE" w:rsidRPr="00F954A6">
        <w:rPr>
          <w:rFonts w:ascii="Arial" w:eastAsia="Arial" w:hAnsi="Arial" w:cs="Arial"/>
          <w:sz w:val="24"/>
          <w:szCs w:val="24"/>
        </w:rPr>
        <w:t>0</w:t>
      </w:r>
      <w:r w:rsidR="00096B13" w:rsidRPr="00F954A6">
        <w:rPr>
          <w:rFonts w:ascii="Arial" w:eastAsia="Arial" w:hAnsi="Arial" w:cs="Arial"/>
          <w:sz w:val="24"/>
          <w:szCs w:val="24"/>
        </w:rPr>
        <w:t>4</w:t>
      </w:r>
      <w:r w:rsidR="006215AE" w:rsidRPr="00F954A6">
        <w:rPr>
          <w:rFonts w:ascii="Arial" w:eastAsia="Arial" w:hAnsi="Arial" w:cs="Arial"/>
          <w:sz w:val="24"/>
          <w:szCs w:val="24"/>
        </w:rPr>
        <w:t>-20</w:t>
      </w:r>
      <w:r w:rsidR="00096B13" w:rsidRPr="00F954A6">
        <w:rPr>
          <w:rFonts w:ascii="Arial" w:eastAsia="Arial" w:hAnsi="Arial" w:cs="Arial"/>
          <w:sz w:val="24"/>
          <w:szCs w:val="24"/>
        </w:rPr>
        <w:t>20</w:t>
      </w:r>
    </w:p>
    <w:p w14:paraId="4B542155" w14:textId="275EC4DE" w:rsidR="002C74F5" w:rsidRPr="00F954A6" w:rsidRDefault="00B83F42" w:rsidP="00F954A6">
      <w:pPr>
        <w:spacing w:line="276" w:lineRule="auto"/>
        <w:jc w:val="center"/>
        <w:rPr>
          <w:rFonts w:ascii="Arial" w:eastAsia="Arial" w:hAnsi="Arial" w:cs="Arial"/>
          <w:sz w:val="24"/>
          <w:szCs w:val="24"/>
        </w:rPr>
      </w:pPr>
      <w:r w:rsidRPr="00F954A6">
        <w:rPr>
          <w:rFonts w:ascii="Arial" w:eastAsia="Arial" w:hAnsi="Arial" w:cs="Arial"/>
          <w:sz w:val="24"/>
          <w:szCs w:val="24"/>
        </w:rPr>
        <w:t>Expediente: 66001-31-03-002</w:t>
      </w:r>
      <w:r w:rsidR="006215AE" w:rsidRPr="00F954A6">
        <w:rPr>
          <w:rFonts w:ascii="Arial" w:eastAsia="Arial" w:hAnsi="Arial" w:cs="Arial"/>
          <w:sz w:val="24"/>
          <w:szCs w:val="24"/>
        </w:rPr>
        <w:t>-</w:t>
      </w:r>
      <w:r w:rsidRPr="00F954A6">
        <w:rPr>
          <w:rFonts w:ascii="Arial" w:eastAsia="Arial" w:hAnsi="Arial" w:cs="Arial"/>
          <w:b/>
          <w:sz w:val="24"/>
          <w:szCs w:val="24"/>
        </w:rPr>
        <w:t>20</w:t>
      </w:r>
      <w:r w:rsidR="00096B13" w:rsidRPr="00F954A6">
        <w:rPr>
          <w:rFonts w:ascii="Arial" w:eastAsia="Arial" w:hAnsi="Arial" w:cs="Arial"/>
          <w:b/>
          <w:sz w:val="24"/>
          <w:szCs w:val="24"/>
        </w:rPr>
        <w:t>20</w:t>
      </w:r>
      <w:r w:rsidR="006215AE" w:rsidRPr="00F954A6">
        <w:rPr>
          <w:rFonts w:ascii="Arial" w:eastAsia="Arial" w:hAnsi="Arial" w:cs="Arial"/>
          <w:b/>
          <w:sz w:val="24"/>
          <w:szCs w:val="24"/>
        </w:rPr>
        <w:t>-00</w:t>
      </w:r>
      <w:r w:rsidR="00096B13" w:rsidRPr="00F954A6">
        <w:rPr>
          <w:rFonts w:ascii="Arial" w:eastAsia="Arial" w:hAnsi="Arial" w:cs="Arial"/>
          <w:b/>
          <w:sz w:val="24"/>
          <w:szCs w:val="24"/>
        </w:rPr>
        <w:t>040</w:t>
      </w:r>
      <w:r w:rsidR="00434116" w:rsidRPr="00F954A6">
        <w:rPr>
          <w:rFonts w:ascii="Arial" w:eastAsia="Arial" w:hAnsi="Arial" w:cs="Arial"/>
          <w:b/>
          <w:sz w:val="24"/>
          <w:szCs w:val="24"/>
        </w:rPr>
        <w:t>-01</w:t>
      </w:r>
    </w:p>
    <w:p w14:paraId="220B7588" w14:textId="77777777" w:rsidR="002C74F5" w:rsidRPr="00F954A6" w:rsidRDefault="002C74F5" w:rsidP="00F954A6">
      <w:pPr>
        <w:pBdr>
          <w:top w:val="nil"/>
          <w:left w:val="nil"/>
          <w:bottom w:val="nil"/>
          <w:right w:val="nil"/>
          <w:between w:val="nil"/>
        </w:pBdr>
        <w:spacing w:line="276" w:lineRule="auto"/>
        <w:ind w:left="705" w:firstLine="2130"/>
        <w:rPr>
          <w:rFonts w:ascii="Arial" w:eastAsia="Arial" w:hAnsi="Arial" w:cs="Arial"/>
          <w:color w:val="000000"/>
          <w:sz w:val="24"/>
          <w:szCs w:val="24"/>
        </w:rPr>
      </w:pPr>
    </w:p>
    <w:p w14:paraId="2CA8B1C2" w14:textId="77777777" w:rsidR="002C74F5" w:rsidRPr="00F954A6" w:rsidRDefault="006215AE" w:rsidP="00F954A6">
      <w:pPr>
        <w:pBdr>
          <w:top w:val="nil"/>
          <w:left w:val="nil"/>
          <w:bottom w:val="nil"/>
          <w:right w:val="nil"/>
          <w:between w:val="nil"/>
        </w:pBdr>
        <w:spacing w:line="276" w:lineRule="auto"/>
        <w:ind w:left="1277" w:firstLine="1558"/>
        <w:rPr>
          <w:rFonts w:ascii="Arial" w:eastAsia="Arial" w:hAnsi="Arial" w:cs="Arial"/>
          <w:b/>
          <w:color w:val="000000"/>
          <w:sz w:val="24"/>
          <w:szCs w:val="24"/>
        </w:rPr>
      </w:pPr>
      <w:r w:rsidRPr="00F954A6">
        <w:rPr>
          <w:rFonts w:ascii="Arial" w:eastAsia="Arial" w:hAnsi="Arial" w:cs="Arial"/>
          <w:b/>
          <w:color w:val="000000"/>
          <w:sz w:val="24"/>
          <w:szCs w:val="24"/>
        </w:rPr>
        <w:t>I. ASUNTO</w:t>
      </w:r>
    </w:p>
    <w:p w14:paraId="5EB820AA" w14:textId="77777777" w:rsidR="002C74F5" w:rsidRPr="00F954A6" w:rsidRDefault="002C74F5" w:rsidP="00F954A6">
      <w:pPr>
        <w:pBdr>
          <w:top w:val="nil"/>
          <w:left w:val="nil"/>
          <w:bottom w:val="nil"/>
          <w:right w:val="nil"/>
          <w:between w:val="nil"/>
        </w:pBdr>
        <w:spacing w:line="276" w:lineRule="auto"/>
        <w:ind w:firstLine="2835"/>
        <w:rPr>
          <w:rFonts w:ascii="Arial" w:eastAsia="Arial" w:hAnsi="Arial" w:cs="Arial"/>
          <w:color w:val="000000"/>
          <w:sz w:val="24"/>
          <w:szCs w:val="24"/>
        </w:rPr>
      </w:pPr>
    </w:p>
    <w:p w14:paraId="58C9F4A5" w14:textId="416FE760"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Se decide la impugnación formulada por l</w:t>
      </w:r>
      <w:r w:rsidR="00BF1D4F" w:rsidRPr="00F954A6">
        <w:rPr>
          <w:rFonts w:ascii="Arial" w:eastAsia="Arial" w:hAnsi="Arial" w:cs="Arial"/>
          <w:color w:val="000000"/>
          <w:sz w:val="24"/>
          <w:szCs w:val="24"/>
        </w:rPr>
        <w:t>a</w:t>
      </w:r>
      <w:r w:rsidRPr="00F954A6">
        <w:rPr>
          <w:rFonts w:ascii="Arial" w:eastAsia="Arial" w:hAnsi="Arial" w:cs="Arial"/>
          <w:color w:val="000000"/>
          <w:sz w:val="24"/>
          <w:szCs w:val="24"/>
        </w:rPr>
        <w:t xml:space="preserve"> señor</w:t>
      </w:r>
      <w:r w:rsidR="00BF1D4F" w:rsidRPr="00F954A6">
        <w:rPr>
          <w:rFonts w:ascii="Arial" w:eastAsia="Arial" w:hAnsi="Arial" w:cs="Arial"/>
          <w:color w:val="000000"/>
          <w:sz w:val="24"/>
          <w:szCs w:val="24"/>
        </w:rPr>
        <w:t>a</w:t>
      </w:r>
      <w:r w:rsidRPr="00F954A6">
        <w:rPr>
          <w:rFonts w:ascii="Arial" w:eastAsia="Arial" w:hAnsi="Arial" w:cs="Arial"/>
          <w:color w:val="000000"/>
          <w:sz w:val="24"/>
          <w:szCs w:val="24"/>
        </w:rPr>
        <w:t xml:space="preserve"> </w:t>
      </w:r>
      <w:r w:rsidR="00BF1D4F" w:rsidRPr="00F954A6">
        <w:rPr>
          <w:rFonts w:ascii="Arial" w:eastAsia="Arial" w:hAnsi="Arial" w:cs="Arial"/>
          <w:color w:val="000000"/>
          <w:sz w:val="24"/>
          <w:szCs w:val="24"/>
        </w:rPr>
        <w:t>MARÍA LUISA FRANCO RESTREPO</w:t>
      </w:r>
      <w:r w:rsidR="00B83F42" w:rsidRPr="00F954A6">
        <w:rPr>
          <w:rFonts w:ascii="Arial" w:eastAsia="Arial" w:hAnsi="Arial" w:cs="Arial"/>
          <w:color w:val="000000"/>
          <w:sz w:val="24"/>
          <w:szCs w:val="24"/>
        </w:rPr>
        <w:t xml:space="preserve">, contra el fallo proferido el </w:t>
      </w:r>
      <w:r w:rsidR="00BF1D4F" w:rsidRPr="00F954A6">
        <w:rPr>
          <w:rFonts w:ascii="Arial" w:eastAsia="Arial" w:hAnsi="Arial" w:cs="Arial"/>
          <w:color w:val="000000"/>
          <w:sz w:val="24"/>
          <w:szCs w:val="24"/>
        </w:rPr>
        <w:t xml:space="preserve">2 </w:t>
      </w:r>
      <w:r w:rsidRPr="00F954A6">
        <w:rPr>
          <w:rFonts w:ascii="Arial" w:eastAsia="Arial" w:hAnsi="Arial" w:cs="Arial"/>
          <w:color w:val="000000"/>
          <w:sz w:val="24"/>
          <w:szCs w:val="24"/>
        </w:rPr>
        <w:t xml:space="preserve">de </w:t>
      </w:r>
      <w:r w:rsidR="00B83F42" w:rsidRPr="00F954A6">
        <w:rPr>
          <w:rFonts w:ascii="Arial" w:eastAsia="Arial" w:hAnsi="Arial" w:cs="Arial"/>
          <w:color w:val="000000"/>
          <w:sz w:val="24"/>
          <w:szCs w:val="24"/>
        </w:rPr>
        <w:t>ma</w:t>
      </w:r>
      <w:r w:rsidR="00BF1D4F" w:rsidRPr="00F954A6">
        <w:rPr>
          <w:rFonts w:ascii="Arial" w:eastAsia="Arial" w:hAnsi="Arial" w:cs="Arial"/>
          <w:color w:val="000000"/>
          <w:sz w:val="24"/>
          <w:szCs w:val="24"/>
        </w:rPr>
        <w:t>rz</w:t>
      </w:r>
      <w:r w:rsidR="00B83F42" w:rsidRPr="00F954A6">
        <w:rPr>
          <w:rFonts w:ascii="Arial" w:eastAsia="Arial" w:hAnsi="Arial" w:cs="Arial"/>
          <w:color w:val="000000"/>
          <w:sz w:val="24"/>
          <w:szCs w:val="24"/>
        </w:rPr>
        <w:t>o de 20</w:t>
      </w:r>
      <w:r w:rsidR="00BF1D4F" w:rsidRPr="00F954A6">
        <w:rPr>
          <w:rFonts w:ascii="Arial" w:eastAsia="Arial" w:hAnsi="Arial" w:cs="Arial"/>
          <w:color w:val="000000"/>
          <w:sz w:val="24"/>
          <w:szCs w:val="24"/>
        </w:rPr>
        <w:t>20</w:t>
      </w:r>
      <w:r w:rsidRPr="00F954A6">
        <w:rPr>
          <w:rFonts w:ascii="Arial" w:eastAsia="Arial" w:hAnsi="Arial" w:cs="Arial"/>
          <w:color w:val="000000"/>
          <w:sz w:val="24"/>
          <w:szCs w:val="24"/>
        </w:rPr>
        <w:t xml:space="preserve">, mediante la cual el Juzgado </w:t>
      </w:r>
      <w:r w:rsidR="00B83F42" w:rsidRPr="00F954A6">
        <w:rPr>
          <w:rFonts w:ascii="Arial" w:eastAsia="Arial" w:hAnsi="Arial" w:cs="Arial"/>
          <w:color w:val="000000"/>
          <w:sz w:val="24"/>
          <w:szCs w:val="24"/>
        </w:rPr>
        <w:t>Segundo</w:t>
      </w:r>
      <w:r w:rsidRPr="00F954A6">
        <w:rPr>
          <w:rFonts w:ascii="Arial" w:eastAsia="Arial" w:hAnsi="Arial" w:cs="Arial"/>
          <w:color w:val="000000"/>
          <w:sz w:val="24"/>
          <w:szCs w:val="24"/>
        </w:rPr>
        <w:t xml:space="preserve"> Civil del Circuito de Pereira resolvió la acción de tutela promovida por l</w:t>
      </w:r>
      <w:r w:rsidR="00BF1D4F" w:rsidRPr="00F954A6">
        <w:rPr>
          <w:rFonts w:ascii="Arial" w:eastAsia="Arial" w:hAnsi="Arial" w:cs="Arial"/>
          <w:color w:val="000000"/>
          <w:sz w:val="24"/>
          <w:szCs w:val="24"/>
        </w:rPr>
        <w:t>a</w:t>
      </w:r>
      <w:r w:rsidRPr="00F954A6">
        <w:rPr>
          <w:rFonts w:ascii="Arial" w:eastAsia="Arial" w:hAnsi="Arial" w:cs="Arial"/>
          <w:color w:val="000000"/>
          <w:sz w:val="24"/>
          <w:szCs w:val="24"/>
        </w:rPr>
        <w:t xml:space="preserve"> opugnante frente al JUZGADO S</w:t>
      </w:r>
      <w:r w:rsidR="00BF1D4F" w:rsidRPr="00F954A6">
        <w:rPr>
          <w:rFonts w:ascii="Arial" w:eastAsia="Arial" w:hAnsi="Arial" w:cs="Arial"/>
          <w:color w:val="000000"/>
          <w:sz w:val="24"/>
          <w:szCs w:val="24"/>
        </w:rPr>
        <w:t>ÉPTIMO</w:t>
      </w:r>
      <w:r w:rsidRPr="00F954A6">
        <w:rPr>
          <w:rFonts w:ascii="Arial" w:eastAsia="Arial" w:hAnsi="Arial" w:cs="Arial"/>
          <w:color w:val="000000"/>
          <w:sz w:val="24"/>
          <w:szCs w:val="24"/>
        </w:rPr>
        <w:t xml:space="preserve"> CIVIL MUNICIPAL DE PEREIRA</w:t>
      </w:r>
      <w:r w:rsidR="00B83F42" w:rsidRPr="00F954A6">
        <w:rPr>
          <w:rFonts w:ascii="Arial" w:eastAsia="Arial" w:hAnsi="Arial" w:cs="Arial"/>
          <w:color w:val="000000"/>
          <w:sz w:val="24"/>
          <w:szCs w:val="24"/>
        </w:rPr>
        <w:t xml:space="preserve"> y </w:t>
      </w:r>
      <w:r w:rsidR="001F4274" w:rsidRPr="00F954A6">
        <w:rPr>
          <w:rFonts w:ascii="Arial" w:eastAsia="Arial" w:hAnsi="Arial" w:cs="Arial"/>
          <w:color w:val="000000"/>
          <w:sz w:val="24"/>
          <w:szCs w:val="24"/>
        </w:rPr>
        <w:t>l</w:t>
      </w:r>
      <w:r w:rsidR="00BF1D4F" w:rsidRPr="00F954A6">
        <w:rPr>
          <w:rFonts w:ascii="Arial" w:eastAsia="Arial" w:hAnsi="Arial" w:cs="Arial"/>
          <w:color w:val="000000"/>
          <w:sz w:val="24"/>
          <w:szCs w:val="24"/>
        </w:rPr>
        <w:t>a representante legal de la</w:t>
      </w:r>
      <w:r w:rsidR="00B83F42" w:rsidRPr="00F954A6">
        <w:rPr>
          <w:rFonts w:ascii="Arial" w:eastAsia="Arial" w:hAnsi="Arial" w:cs="Arial"/>
          <w:color w:val="000000"/>
          <w:sz w:val="24"/>
          <w:szCs w:val="24"/>
        </w:rPr>
        <w:t xml:space="preserve"> </w:t>
      </w:r>
      <w:r w:rsidR="00BF1D4F" w:rsidRPr="00F954A6">
        <w:rPr>
          <w:rFonts w:ascii="Arial" w:eastAsia="Arial" w:hAnsi="Arial" w:cs="Arial"/>
          <w:color w:val="000000"/>
          <w:sz w:val="24"/>
          <w:szCs w:val="24"/>
        </w:rPr>
        <w:t>AGRUPACIÓN RESIDENCIAL VILLA ALICIA PH</w:t>
      </w:r>
      <w:r w:rsidRPr="00F954A6">
        <w:rPr>
          <w:rFonts w:ascii="Arial" w:eastAsia="Arial" w:hAnsi="Arial" w:cs="Arial"/>
          <w:color w:val="000000"/>
          <w:sz w:val="24"/>
          <w:szCs w:val="24"/>
        </w:rPr>
        <w:t>.</w:t>
      </w:r>
    </w:p>
    <w:p w14:paraId="56BB4471"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693D8F78" w14:textId="77777777"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b/>
          <w:color w:val="000000"/>
          <w:sz w:val="24"/>
          <w:szCs w:val="24"/>
        </w:rPr>
      </w:pPr>
      <w:r w:rsidRPr="00F954A6">
        <w:rPr>
          <w:rFonts w:ascii="Arial" w:eastAsia="Arial" w:hAnsi="Arial" w:cs="Arial"/>
          <w:b/>
          <w:color w:val="000000"/>
          <w:sz w:val="24"/>
          <w:szCs w:val="24"/>
        </w:rPr>
        <w:t>II. ANTECEDENTES</w:t>
      </w:r>
    </w:p>
    <w:p w14:paraId="79B5E86D"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52A284C6" w14:textId="133FA615" w:rsidR="002C74F5" w:rsidRPr="00F954A6" w:rsidRDefault="00EF0CE8"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1. </w:t>
      </w:r>
      <w:r w:rsidR="001F4274" w:rsidRPr="00F954A6">
        <w:rPr>
          <w:rFonts w:ascii="Arial" w:eastAsia="Arial" w:hAnsi="Arial" w:cs="Arial"/>
          <w:color w:val="000000"/>
          <w:sz w:val="24"/>
          <w:szCs w:val="24"/>
        </w:rPr>
        <w:t>La</w:t>
      </w:r>
      <w:r w:rsidRPr="00F954A6">
        <w:rPr>
          <w:rFonts w:ascii="Arial" w:eastAsia="Arial" w:hAnsi="Arial" w:cs="Arial"/>
          <w:color w:val="000000"/>
          <w:sz w:val="24"/>
          <w:szCs w:val="24"/>
        </w:rPr>
        <w:t xml:space="preserve"> accionante</w:t>
      </w:r>
      <w:r w:rsidR="001F4274" w:rsidRPr="00F954A6">
        <w:rPr>
          <w:rFonts w:ascii="Arial" w:eastAsia="Arial" w:hAnsi="Arial" w:cs="Arial"/>
          <w:color w:val="000000"/>
          <w:sz w:val="24"/>
          <w:szCs w:val="24"/>
        </w:rPr>
        <w:t>, por intermedio de apoderada judicial,</w:t>
      </w:r>
      <w:r w:rsidR="006215AE" w:rsidRPr="00F954A6">
        <w:rPr>
          <w:rFonts w:ascii="Arial" w:eastAsia="Arial" w:hAnsi="Arial" w:cs="Arial"/>
          <w:color w:val="000000"/>
          <w:sz w:val="24"/>
          <w:szCs w:val="24"/>
        </w:rPr>
        <w:t xml:space="preserve"> promovió el amparo constitucional por considerar que la</w:t>
      </w:r>
      <w:r w:rsidR="00AA6ED2" w:rsidRPr="00F954A6">
        <w:rPr>
          <w:rFonts w:ascii="Arial" w:eastAsia="Arial" w:hAnsi="Arial" w:cs="Arial"/>
          <w:color w:val="000000"/>
          <w:sz w:val="24"/>
          <w:szCs w:val="24"/>
        </w:rPr>
        <w:t>s</w:t>
      </w:r>
      <w:r w:rsidR="006215AE" w:rsidRPr="00F954A6">
        <w:rPr>
          <w:rFonts w:ascii="Arial" w:eastAsia="Arial" w:hAnsi="Arial" w:cs="Arial"/>
          <w:color w:val="000000"/>
          <w:sz w:val="24"/>
          <w:szCs w:val="24"/>
        </w:rPr>
        <w:t xml:space="preserve"> accionada</w:t>
      </w:r>
      <w:r w:rsidR="00AA6ED2" w:rsidRPr="00F954A6">
        <w:rPr>
          <w:rFonts w:ascii="Arial" w:eastAsia="Arial" w:hAnsi="Arial" w:cs="Arial"/>
          <w:color w:val="000000"/>
          <w:sz w:val="24"/>
          <w:szCs w:val="24"/>
        </w:rPr>
        <w:t>s</w:t>
      </w:r>
      <w:r w:rsidR="006215AE" w:rsidRPr="00F954A6">
        <w:rPr>
          <w:rFonts w:ascii="Arial" w:eastAsia="Arial" w:hAnsi="Arial" w:cs="Arial"/>
          <w:color w:val="000000"/>
          <w:sz w:val="24"/>
          <w:szCs w:val="24"/>
        </w:rPr>
        <w:t xml:space="preserve"> vulnera</w:t>
      </w:r>
      <w:r w:rsidR="00AA6ED2" w:rsidRPr="00F954A6">
        <w:rPr>
          <w:rFonts w:ascii="Arial" w:eastAsia="Arial" w:hAnsi="Arial" w:cs="Arial"/>
          <w:color w:val="000000"/>
          <w:sz w:val="24"/>
          <w:szCs w:val="24"/>
        </w:rPr>
        <w:t>n</w:t>
      </w:r>
      <w:r w:rsidR="006215AE" w:rsidRPr="00F954A6">
        <w:rPr>
          <w:rFonts w:ascii="Arial" w:eastAsia="Arial" w:hAnsi="Arial" w:cs="Arial"/>
          <w:color w:val="000000"/>
          <w:sz w:val="24"/>
          <w:szCs w:val="24"/>
        </w:rPr>
        <w:t xml:space="preserve"> sus </w:t>
      </w:r>
      <w:r w:rsidR="006215AE" w:rsidRPr="00F954A6">
        <w:rPr>
          <w:rFonts w:ascii="Arial" w:eastAsia="Arial" w:hAnsi="Arial" w:cs="Arial"/>
          <w:color w:val="000000"/>
          <w:sz w:val="24"/>
          <w:szCs w:val="24"/>
        </w:rPr>
        <w:lastRenderedPageBreak/>
        <w:t>derechos fundamentales a</w:t>
      </w:r>
      <w:r w:rsidR="001F4274" w:rsidRPr="00F954A6">
        <w:rPr>
          <w:rFonts w:ascii="Arial" w:eastAsia="Arial" w:hAnsi="Arial" w:cs="Arial"/>
          <w:color w:val="000000"/>
          <w:sz w:val="24"/>
          <w:szCs w:val="24"/>
        </w:rPr>
        <w:t xml:space="preserve"> </w:t>
      </w:r>
      <w:r w:rsidR="006215AE" w:rsidRPr="00F954A6">
        <w:rPr>
          <w:rFonts w:ascii="Arial" w:eastAsia="Arial" w:hAnsi="Arial" w:cs="Arial"/>
          <w:color w:val="000000"/>
          <w:sz w:val="24"/>
          <w:szCs w:val="24"/>
        </w:rPr>
        <w:t>l</w:t>
      </w:r>
      <w:r w:rsidR="001F4274" w:rsidRPr="00F954A6">
        <w:rPr>
          <w:rFonts w:ascii="Arial" w:eastAsia="Arial" w:hAnsi="Arial" w:cs="Arial"/>
          <w:color w:val="000000"/>
          <w:sz w:val="24"/>
          <w:szCs w:val="24"/>
        </w:rPr>
        <w:t>a propiedad privada, libre locomoción y a recibir una pronta justicia</w:t>
      </w:r>
      <w:r w:rsidR="006215AE" w:rsidRPr="00F954A6">
        <w:rPr>
          <w:rFonts w:ascii="Arial" w:eastAsia="Arial" w:hAnsi="Arial" w:cs="Arial"/>
          <w:color w:val="000000"/>
          <w:sz w:val="24"/>
          <w:szCs w:val="24"/>
        </w:rPr>
        <w:t>.</w:t>
      </w:r>
    </w:p>
    <w:p w14:paraId="3FCC7E6A"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231A8439" w14:textId="77777777"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2. Señaló como sustento de su reclamo, en síntesis, lo siguiente:</w:t>
      </w:r>
    </w:p>
    <w:p w14:paraId="4B4F3EC5"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3A27F105" w14:textId="6175F568" w:rsidR="002C74F5" w:rsidRPr="00F954A6" w:rsidRDefault="00754AE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2.1. E</w:t>
      </w:r>
      <w:r w:rsidR="001F4274" w:rsidRPr="00F954A6">
        <w:rPr>
          <w:rFonts w:ascii="Arial" w:eastAsia="Arial" w:hAnsi="Arial" w:cs="Arial"/>
          <w:color w:val="000000"/>
          <w:sz w:val="24"/>
          <w:szCs w:val="24"/>
        </w:rPr>
        <w:t>s propietaria de un inmueble ubicado en la</w:t>
      </w:r>
      <w:r w:rsidR="00512B66" w:rsidRPr="00F954A6">
        <w:rPr>
          <w:rFonts w:ascii="Arial" w:eastAsia="Arial" w:hAnsi="Arial" w:cs="Arial"/>
          <w:color w:val="000000"/>
          <w:sz w:val="24"/>
          <w:szCs w:val="24"/>
        </w:rPr>
        <w:t xml:space="preserve"> AGRUPACIÓN RESIDENCIAL VILLA ALICIA PH</w:t>
      </w:r>
      <w:r w:rsidRPr="00F954A6">
        <w:rPr>
          <w:rFonts w:ascii="Arial" w:eastAsia="Arial" w:hAnsi="Arial" w:cs="Arial"/>
          <w:color w:val="000000"/>
          <w:sz w:val="24"/>
          <w:szCs w:val="24"/>
        </w:rPr>
        <w:t xml:space="preserve">, </w:t>
      </w:r>
      <w:r w:rsidR="00512B66" w:rsidRPr="00F954A6">
        <w:rPr>
          <w:rFonts w:ascii="Arial" w:eastAsia="Arial" w:hAnsi="Arial" w:cs="Arial"/>
          <w:color w:val="000000"/>
          <w:sz w:val="24"/>
          <w:szCs w:val="24"/>
        </w:rPr>
        <w:t>bloque 8, apartamento 104 de esta ciudad</w:t>
      </w:r>
      <w:r w:rsidR="006215AE" w:rsidRPr="00F954A6">
        <w:rPr>
          <w:rFonts w:ascii="Arial" w:eastAsia="Arial" w:hAnsi="Arial" w:cs="Arial"/>
          <w:color w:val="000000"/>
          <w:sz w:val="24"/>
          <w:szCs w:val="24"/>
        </w:rPr>
        <w:t>.</w:t>
      </w:r>
    </w:p>
    <w:p w14:paraId="29562469"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68BF9095" w14:textId="2ACCCF19"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2.2. </w:t>
      </w:r>
      <w:r w:rsidR="00812B10" w:rsidRPr="00F954A6">
        <w:rPr>
          <w:rFonts w:ascii="Arial" w:eastAsia="Arial" w:hAnsi="Arial" w:cs="Arial"/>
          <w:color w:val="000000"/>
          <w:sz w:val="24"/>
          <w:szCs w:val="24"/>
        </w:rPr>
        <w:t>Por encontrase en mora en el pago de cuotas de administración del conjunto ya citado, le fue iniciada acción ejecutiva, de la cual conoció el Juzgado Séptimo Civil Municipal de Pereira, proceso radicado bajo el No. 00473 de 2017</w:t>
      </w:r>
      <w:r w:rsidRPr="00F954A6">
        <w:rPr>
          <w:rFonts w:ascii="Arial" w:eastAsia="Arial" w:hAnsi="Arial" w:cs="Arial"/>
          <w:color w:val="000000"/>
          <w:sz w:val="24"/>
          <w:szCs w:val="24"/>
        </w:rPr>
        <w:t>.</w:t>
      </w:r>
    </w:p>
    <w:p w14:paraId="181A8610"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4C95D6CC" w14:textId="59926575"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2.3. </w:t>
      </w:r>
      <w:r w:rsidR="00812B10" w:rsidRPr="00F954A6">
        <w:rPr>
          <w:rFonts w:ascii="Arial" w:eastAsia="Arial" w:hAnsi="Arial" w:cs="Arial"/>
          <w:color w:val="000000"/>
          <w:sz w:val="24"/>
          <w:szCs w:val="24"/>
        </w:rPr>
        <w:t>Luego de notificada la demanda y de haber emitido auto de seguir a delante la ejecución, presentó al despacho la liquidación del crédito, misma que fue puesta en conocimiento de la contra parte otorgándose el término legal para su contradicción y sin que esta propusiera ningún reparo</w:t>
      </w:r>
      <w:r w:rsidRPr="00F954A6">
        <w:rPr>
          <w:rFonts w:ascii="Arial" w:eastAsia="Arial" w:hAnsi="Arial" w:cs="Arial"/>
          <w:color w:val="000000"/>
          <w:sz w:val="24"/>
          <w:szCs w:val="24"/>
        </w:rPr>
        <w:t xml:space="preserve">. </w:t>
      </w:r>
    </w:p>
    <w:p w14:paraId="2B5E38C9"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58B54757" w14:textId="323EE019"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2.4. </w:t>
      </w:r>
      <w:r w:rsidR="00812B10" w:rsidRPr="00F954A6">
        <w:rPr>
          <w:rFonts w:ascii="Arial" w:eastAsia="Arial" w:hAnsi="Arial" w:cs="Arial"/>
          <w:color w:val="000000"/>
          <w:sz w:val="24"/>
          <w:szCs w:val="24"/>
        </w:rPr>
        <w:t xml:space="preserve">El </w:t>
      </w:r>
      <w:r w:rsidR="00594D69" w:rsidRPr="00F954A6">
        <w:rPr>
          <w:rFonts w:ascii="Arial" w:eastAsia="Arial" w:hAnsi="Arial" w:cs="Arial"/>
          <w:color w:val="000000"/>
          <w:sz w:val="24"/>
          <w:szCs w:val="24"/>
        </w:rPr>
        <w:t>j</w:t>
      </w:r>
      <w:r w:rsidR="00263411" w:rsidRPr="00F954A6">
        <w:rPr>
          <w:rFonts w:ascii="Arial" w:eastAsia="Arial" w:hAnsi="Arial" w:cs="Arial"/>
          <w:color w:val="000000"/>
          <w:sz w:val="24"/>
          <w:szCs w:val="24"/>
        </w:rPr>
        <w:t xml:space="preserve">uzgado </w:t>
      </w:r>
      <w:r w:rsidR="00812B10" w:rsidRPr="00F954A6">
        <w:rPr>
          <w:rFonts w:ascii="Arial" w:eastAsia="Arial" w:hAnsi="Arial" w:cs="Arial"/>
          <w:color w:val="000000"/>
          <w:sz w:val="24"/>
          <w:szCs w:val="24"/>
        </w:rPr>
        <w:t xml:space="preserve">dejó en firme la liquidación del crédito, por lo que realizó consignación de las sumas adeudadas; la parte demandante presentó recurso de reposición en el que anexó una liquidación extemporánea del crédito, razón por la cual el </w:t>
      </w:r>
      <w:r w:rsidR="00594D69" w:rsidRPr="00F954A6">
        <w:rPr>
          <w:rFonts w:ascii="Arial" w:eastAsia="Arial" w:hAnsi="Arial" w:cs="Arial"/>
          <w:color w:val="000000"/>
          <w:sz w:val="24"/>
          <w:szCs w:val="24"/>
        </w:rPr>
        <w:t>despach</w:t>
      </w:r>
      <w:r w:rsidR="00812B10" w:rsidRPr="00F954A6">
        <w:rPr>
          <w:rFonts w:ascii="Arial" w:eastAsia="Arial" w:hAnsi="Arial" w:cs="Arial"/>
          <w:color w:val="000000"/>
          <w:sz w:val="24"/>
          <w:szCs w:val="24"/>
        </w:rPr>
        <w:t>o mediante auto calendado 21 de octubre de 2019, se negó a reponer el auto impugnado</w:t>
      </w:r>
      <w:r w:rsidR="00E017E0" w:rsidRPr="00F954A6">
        <w:rPr>
          <w:rFonts w:ascii="Arial" w:eastAsia="Arial" w:hAnsi="Arial" w:cs="Arial"/>
          <w:color w:val="000000"/>
          <w:sz w:val="24"/>
          <w:szCs w:val="24"/>
        </w:rPr>
        <w:t>.</w:t>
      </w:r>
    </w:p>
    <w:p w14:paraId="3D7ECA05"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4418ED7E" w14:textId="23AC2A05"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2.5.</w:t>
      </w:r>
      <w:r w:rsidR="00921A8E" w:rsidRPr="00F954A6">
        <w:rPr>
          <w:rFonts w:ascii="Arial" w:eastAsia="Arial" w:hAnsi="Arial" w:cs="Arial"/>
          <w:color w:val="000000"/>
          <w:sz w:val="24"/>
          <w:szCs w:val="24"/>
        </w:rPr>
        <w:t xml:space="preserve"> </w:t>
      </w:r>
      <w:r w:rsidR="00812B10" w:rsidRPr="00F954A6">
        <w:rPr>
          <w:rFonts w:ascii="Arial" w:eastAsia="Arial" w:hAnsi="Arial" w:cs="Arial"/>
          <w:color w:val="000000"/>
          <w:sz w:val="24"/>
          <w:szCs w:val="24"/>
        </w:rPr>
        <w:t xml:space="preserve">Consignadas las sumas debidas por concepto de cuotas de administración de la AGRUPACIÓN RESIDENCIAL VILLA ALICIA PH, el 19 de diciembre de 2019, el juzgado dio por </w:t>
      </w:r>
      <w:r w:rsidR="00027A95" w:rsidRPr="00F954A6">
        <w:rPr>
          <w:rFonts w:ascii="Arial" w:eastAsia="Arial" w:hAnsi="Arial" w:cs="Arial"/>
          <w:color w:val="000000"/>
          <w:sz w:val="24"/>
          <w:szCs w:val="24"/>
        </w:rPr>
        <w:t>terminado el proceso por pago total de la obligación</w:t>
      </w:r>
      <w:r w:rsidR="00812B10" w:rsidRPr="00F954A6">
        <w:rPr>
          <w:rFonts w:ascii="Arial" w:eastAsia="Arial" w:hAnsi="Arial" w:cs="Arial"/>
          <w:color w:val="000000"/>
          <w:sz w:val="24"/>
          <w:szCs w:val="24"/>
        </w:rPr>
        <w:t>, ordenando la entrega de los dineros a</w:t>
      </w:r>
      <w:r w:rsidR="00027A95" w:rsidRPr="00F954A6">
        <w:rPr>
          <w:rFonts w:ascii="Arial" w:eastAsia="Arial" w:hAnsi="Arial" w:cs="Arial"/>
          <w:color w:val="000000"/>
          <w:sz w:val="24"/>
          <w:szCs w:val="24"/>
        </w:rPr>
        <w:t xml:space="preserve"> </w:t>
      </w:r>
      <w:r w:rsidR="00812B10" w:rsidRPr="00F954A6">
        <w:rPr>
          <w:rFonts w:ascii="Arial" w:eastAsia="Arial" w:hAnsi="Arial" w:cs="Arial"/>
          <w:color w:val="000000"/>
          <w:sz w:val="24"/>
          <w:szCs w:val="24"/>
        </w:rPr>
        <w:t>l</w:t>
      </w:r>
      <w:r w:rsidR="00027A95" w:rsidRPr="00F954A6">
        <w:rPr>
          <w:rFonts w:ascii="Arial" w:eastAsia="Arial" w:hAnsi="Arial" w:cs="Arial"/>
          <w:color w:val="000000"/>
          <w:sz w:val="24"/>
          <w:szCs w:val="24"/>
        </w:rPr>
        <w:t>a</w:t>
      </w:r>
      <w:r w:rsidR="00812B10" w:rsidRPr="00F954A6">
        <w:rPr>
          <w:rFonts w:ascii="Arial" w:eastAsia="Arial" w:hAnsi="Arial" w:cs="Arial"/>
          <w:color w:val="000000"/>
          <w:sz w:val="24"/>
          <w:szCs w:val="24"/>
        </w:rPr>
        <w:t xml:space="preserve"> ejecutante y el levantamiento de las medidas decretadas y prácticas</w:t>
      </w:r>
      <w:r w:rsidRPr="00F954A6">
        <w:rPr>
          <w:rFonts w:ascii="Arial" w:eastAsia="Arial" w:hAnsi="Arial" w:cs="Arial"/>
          <w:color w:val="000000"/>
          <w:sz w:val="24"/>
          <w:szCs w:val="24"/>
        </w:rPr>
        <w:t>.</w:t>
      </w:r>
    </w:p>
    <w:p w14:paraId="0B5BE626"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5F98FE71" w14:textId="28BC55C9"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2.6. </w:t>
      </w:r>
      <w:r w:rsidR="00027A95" w:rsidRPr="00F954A6">
        <w:rPr>
          <w:rFonts w:ascii="Arial" w:eastAsia="Arial" w:hAnsi="Arial" w:cs="Arial"/>
          <w:color w:val="000000"/>
          <w:sz w:val="24"/>
          <w:szCs w:val="24"/>
        </w:rPr>
        <w:t>No solo canceló las sumas debidas por cuotas atrasadas y exigidas ejecutivamente, sino todas y cada una de las que se estaban generando durante el trámite del proceso, hecho que realizó mediante las consignaciones en la cuenta bancaria de la administración de la AGRUPACIÓN RESIDENCIAL VILLA ALICIA PH</w:t>
      </w:r>
      <w:r w:rsidRPr="00F954A6">
        <w:rPr>
          <w:rFonts w:ascii="Arial" w:eastAsia="Arial" w:hAnsi="Arial" w:cs="Arial"/>
          <w:color w:val="000000"/>
          <w:sz w:val="24"/>
          <w:szCs w:val="24"/>
        </w:rPr>
        <w:t>.</w:t>
      </w:r>
    </w:p>
    <w:p w14:paraId="0B662F90"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6A3B5A1D" w14:textId="751DF8AE"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2.7. </w:t>
      </w:r>
      <w:r w:rsidR="00594D69" w:rsidRPr="00F954A6">
        <w:rPr>
          <w:rFonts w:ascii="Arial" w:eastAsia="Arial" w:hAnsi="Arial" w:cs="Arial"/>
          <w:color w:val="000000"/>
          <w:sz w:val="24"/>
          <w:szCs w:val="24"/>
        </w:rPr>
        <w:t>El 15 de enero de 2020 la apoderada judicial de la AGRUPACIÓN RESIDENCIAL VILLA ALICIA PH presentó escrito al juzgado en el cual pide aclaración y adición del auto de terminación del proceso; el cual, a la fecha de presentación del amparo, no había sido resu</w:t>
      </w:r>
      <w:r w:rsidR="00CA5F50">
        <w:rPr>
          <w:rFonts w:ascii="Arial" w:eastAsia="Arial" w:hAnsi="Arial" w:cs="Arial"/>
          <w:color w:val="000000"/>
          <w:sz w:val="24"/>
          <w:szCs w:val="24"/>
        </w:rPr>
        <w:t>e</w:t>
      </w:r>
      <w:r w:rsidR="00594D69" w:rsidRPr="00F954A6">
        <w:rPr>
          <w:rFonts w:ascii="Arial" w:eastAsia="Arial" w:hAnsi="Arial" w:cs="Arial"/>
          <w:color w:val="000000"/>
          <w:sz w:val="24"/>
          <w:szCs w:val="24"/>
        </w:rPr>
        <w:t>lto por el despacho</w:t>
      </w:r>
      <w:r w:rsidRPr="00F954A6">
        <w:rPr>
          <w:rFonts w:ascii="Arial" w:eastAsia="Arial" w:hAnsi="Arial" w:cs="Arial"/>
          <w:color w:val="000000"/>
          <w:sz w:val="24"/>
          <w:szCs w:val="24"/>
        </w:rPr>
        <w:t>.</w:t>
      </w:r>
    </w:p>
    <w:p w14:paraId="01FCEA39"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5EB23E75" w14:textId="58F91C22"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2.8. </w:t>
      </w:r>
      <w:r w:rsidR="005A5E5A" w:rsidRPr="00F954A6">
        <w:rPr>
          <w:rFonts w:ascii="Arial" w:eastAsia="Arial" w:hAnsi="Arial" w:cs="Arial"/>
          <w:color w:val="000000"/>
          <w:sz w:val="24"/>
          <w:szCs w:val="24"/>
        </w:rPr>
        <w:t>La accionante desocupó el inmueble el día 30 de diciembre de 2019 pues debió hacerle algunas reparaciones</w:t>
      </w:r>
      <w:r w:rsidRPr="00F954A6">
        <w:rPr>
          <w:rFonts w:ascii="Arial" w:eastAsia="Arial" w:hAnsi="Arial" w:cs="Arial"/>
          <w:color w:val="000000"/>
          <w:sz w:val="24"/>
          <w:szCs w:val="24"/>
        </w:rPr>
        <w:t>.</w:t>
      </w:r>
    </w:p>
    <w:p w14:paraId="7712FFB8"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2EE9384C" w14:textId="62208298"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2.9. </w:t>
      </w:r>
      <w:r w:rsidR="005A5E5A" w:rsidRPr="00F954A6">
        <w:rPr>
          <w:rFonts w:ascii="Arial" w:eastAsia="Arial" w:hAnsi="Arial" w:cs="Arial"/>
          <w:color w:val="000000"/>
          <w:sz w:val="24"/>
          <w:szCs w:val="24"/>
        </w:rPr>
        <w:t xml:space="preserve">El día 2 de enero de 2020 fue notificada por parte de la secretaria de la AGRUPACIÓN RESIDENCIAL VILLA ALICIA PH que </w:t>
      </w:r>
      <w:r w:rsidR="004E72D7" w:rsidRPr="00F954A6">
        <w:rPr>
          <w:rFonts w:ascii="Arial" w:eastAsia="Arial" w:hAnsi="Arial" w:cs="Arial"/>
          <w:color w:val="000000"/>
          <w:sz w:val="24"/>
          <w:szCs w:val="24"/>
        </w:rPr>
        <w:t xml:space="preserve">no podía </w:t>
      </w:r>
      <w:r w:rsidR="004E72D7" w:rsidRPr="00F954A6">
        <w:rPr>
          <w:rFonts w:ascii="Arial" w:eastAsia="Arial" w:hAnsi="Arial" w:cs="Arial"/>
          <w:color w:val="000000"/>
          <w:sz w:val="24"/>
          <w:szCs w:val="24"/>
        </w:rPr>
        <w:lastRenderedPageBreak/>
        <w:t>ingresar su</w:t>
      </w:r>
      <w:r w:rsidR="00D232BB" w:rsidRPr="00F954A6">
        <w:rPr>
          <w:rFonts w:ascii="Arial" w:eastAsia="Arial" w:hAnsi="Arial" w:cs="Arial"/>
          <w:color w:val="000000"/>
          <w:sz w:val="24"/>
          <w:szCs w:val="24"/>
        </w:rPr>
        <w:t xml:space="preserve">s pertenencias </w:t>
      </w:r>
      <w:r w:rsidR="005A5E5A" w:rsidRPr="00F954A6">
        <w:rPr>
          <w:rFonts w:ascii="Arial" w:eastAsia="Arial" w:hAnsi="Arial" w:cs="Arial"/>
          <w:color w:val="000000"/>
          <w:sz w:val="24"/>
          <w:szCs w:val="24"/>
        </w:rPr>
        <w:t>al apartamento de su propiedad</w:t>
      </w:r>
      <w:r w:rsidR="004E72D7" w:rsidRPr="00F954A6">
        <w:rPr>
          <w:rFonts w:ascii="Arial" w:eastAsia="Arial" w:hAnsi="Arial" w:cs="Arial"/>
          <w:color w:val="000000"/>
          <w:sz w:val="24"/>
          <w:szCs w:val="24"/>
        </w:rPr>
        <w:t>,</w:t>
      </w:r>
      <w:r w:rsidR="005A5E5A" w:rsidRPr="00F954A6">
        <w:rPr>
          <w:rFonts w:ascii="Arial" w:eastAsia="Arial" w:hAnsi="Arial" w:cs="Arial"/>
          <w:color w:val="000000"/>
          <w:sz w:val="24"/>
          <w:szCs w:val="24"/>
        </w:rPr>
        <w:t xml:space="preserve"> por orden estricta de la administración y porque se encontraba en mora de pagar cuotas de administración</w:t>
      </w:r>
      <w:r w:rsidR="00F37F94" w:rsidRPr="00F954A6">
        <w:rPr>
          <w:rFonts w:ascii="Arial" w:eastAsia="Arial" w:hAnsi="Arial" w:cs="Arial"/>
          <w:color w:val="000000"/>
          <w:sz w:val="24"/>
          <w:szCs w:val="24"/>
        </w:rPr>
        <w:t>.</w:t>
      </w:r>
    </w:p>
    <w:p w14:paraId="4421783A"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530E20E3" w14:textId="4EA5D7AA" w:rsidR="00E3693D"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2.10.</w:t>
      </w:r>
      <w:r w:rsidR="007F32DE" w:rsidRPr="00F954A6">
        <w:rPr>
          <w:rFonts w:ascii="Arial" w:eastAsia="Arial" w:hAnsi="Arial" w:cs="Arial"/>
          <w:color w:val="000000"/>
          <w:sz w:val="24"/>
          <w:szCs w:val="24"/>
        </w:rPr>
        <w:t xml:space="preserve"> </w:t>
      </w:r>
      <w:r w:rsidR="00D232BB" w:rsidRPr="00F954A6">
        <w:rPr>
          <w:rFonts w:ascii="Arial" w:eastAsia="Arial" w:hAnsi="Arial" w:cs="Arial"/>
          <w:color w:val="000000"/>
          <w:sz w:val="24"/>
          <w:szCs w:val="24"/>
        </w:rPr>
        <w:t>S</w:t>
      </w:r>
      <w:r w:rsidR="007F32DE" w:rsidRPr="00F954A6">
        <w:rPr>
          <w:rFonts w:ascii="Arial" w:eastAsia="Arial" w:hAnsi="Arial" w:cs="Arial"/>
          <w:color w:val="000000"/>
          <w:sz w:val="24"/>
          <w:szCs w:val="24"/>
        </w:rPr>
        <w:t>e le permite el ingreso a ella, pero no así a sus pertenencias</w:t>
      </w:r>
      <w:r w:rsidR="00D232BB" w:rsidRPr="00F954A6">
        <w:rPr>
          <w:rFonts w:ascii="Arial" w:eastAsia="Arial" w:hAnsi="Arial" w:cs="Arial"/>
          <w:color w:val="000000"/>
          <w:sz w:val="24"/>
          <w:szCs w:val="24"/>
        </w:rPr>
        <w:t>,</w:t>
      </w:r>
      <w:r w:rsidR="007F32DE" w:rsidRPr="00F954A6">
        <w:rPr>
          <w:rFonts w:ascii="Arial" w:eastAsia="Arial" w:hAnsi="Arial" w:cs="Arial"/>
          <w:color w:val="000000"/>
          <w:sz w:val="24"/>
          <w:szCs w:val="24"/>
        </w:rPr>
        <w:t xml:space="preserve"> </w:t>
      </w:r>
      <w:r w:rsidR="00D232BB" w:rsidRPr="00F954A6">
        <w:rPr>
          <w:rFonts w:ascii="Arial" w:eastAsia="Arial" w:hAnsi="Arial" w:cs="Arial"/>
          <w:color w:val="000000"/>
          <w:sz w:val="24"/>
          <w:szCs w:val="24"/>
        </w:rPr>
        <w:t>porque, según aduce</w:t>
      </w:r>
      <w:r w:rsidR="007F32DE" w:rsidRPr="00F954A6">
        <w:rPr>
          <w:rFonts w:ascii="Arial" w:eastAsia="Arial" w:hAnsi="Arial" w:cs="Arial"/>
          <w:color w:val="000000"/>
          <w:sz w:val="24"/>
          <w:szCs w:val="24"/>
        </w:rPr>
        <w:t xml:space="preserve"> la administradora del conjunto, </w:t>
      </w:r>
      <w:r w:rsidR="00D232BB" w:rsidRPr="00F954A6">
        <w:rPr>
          <w:rFonts w:ascii="Arial" w:eastAsia="Arial" w:hAnsi="Arial" w:cs="Arial"/>
          <w:color w:val="000000"/>
          <w:sz w:val="24"/>
          <w:szCs w:val="24"/>
        </w:rPr>
        <w:t>no le han entregado los títulos judiciales ni está en</w:t>
      </w:r>
      <w:r w:rsidR="007F32DE" w:rsidRPr="00F954A6">
        <w:rPr>
          <w:rFonts w:ascii="Arial" w:eastAsia="Arial" w:hAnsi="Arial" w:cs="Arial"/>
          <w:color w:val="000000"/>
          <w:sz w:val="24"/>
          <w:szCs w:val="24"/>
        </w:rPr>
        <w:t xml:space="preserve"> firme la terminación del proceso</w:t>
      </w:r>
      <w:r w:rsidR="00365642" w:rsidRPr="00F954A6">
        <w:rPr>
          <w:rFonts w:ascii="Arial" w:eastAsia="Arial" w:hAnsi="Arial" w:cs="Arial"/>
          <w:color w:val="000000"/>
          <w:sz w:val="24"/>
          <w:szCs w:val="24"/>
        </w:rPr>
        <w:t>.</w:t>
      </w:r>
    </w:p>
    <w:p w14:paraId="601079CE" w14:textId="77777777" w:rsidR="00E3693D" w:rsidRPr="00F954A6" w:rsidRDefault="00E3693D"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731DCFC4" w14:textId="498CCFC1" w:rsidR="00365642" w:rsidRPr="00F954A6" w:rsidRDefault="00365642"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2.1</w:t>
      </w:r>
      <w:r w:rsidR="006C3592" w:rsidRPr="00F954A6">
        <w:rPr>
          <w:rFonts w:ascii="Arial" w:eastAsia="Arial" w:hAnsi="Arial" w:cs="Arial"/>
          <w:color w:val="000000"/>
          <w:sz w:val="24"/>
          <w:szCs w:val="24"/>
        </w:rPr>
        <w:t>1</w:t>
      </w:r>
      <w:r w:rsidRPr="00F954A6">
        <w:rPr>
          <w:rFonts w:ascii="Arial" w:eastAsia="Arial" w:hAnsi="Arial" w:cs="Arial"/>
          <w:color w:val="000000"/>
          <w:sz w:val="24"/>
          <w:szCs w:val="24"/>
        </w:rPr>
        <w:t xml:space="preserve">. </w:t>
      </w:r>
      <w:r w:rsidR="00BD3CB4" w:rsidRPr="00F954A6">
        <w:rPr>
          <w:rFonts w:ascii="Arial" w:eastAsia="Arial" w:hAnsi="Arial" w:cs="Arial"/>
          <w:color w:val="000000"/>
          <w:sz w:val="24"/>
          <w:szCs w:val="24"/>
        </w:rPr>
        <w:t>Durante todo el trámite del proceso ejecutivo ni ella, ni su familia, pudieron utilizar el citófono (no se les anunciaban los visitantes), ni el uso del parqueadero para motos y vehículos en la AGRUPACIÓN RESIDENCIAL VILLA ALICIA PH, por orden de la administradora, siempre aduciendo mora en el pago de cuotas de administración</w:t>
      </w:r>
      <w:r w:rsidRPr="00F954A6">
        <w:rPr>
          <w:rFonts w:ascii="Arial" w:eastAsia="Arial" w:hAnsi="Arial" w:cs="Arial"/>
          <w:color w:val="000000"/>
          <w:sz w:val="24"/>
          <w:szCs w:val="24"/>
        </w:rPr>
        <w:t>.</w:t>
      </w:r>
    </w:p>
    <w:p w14:paraId="3A0B0ADC" w14:textId="54AC7B67" w:rsidR="00BD3CB4" w:rsidRPr="00F954A6" w:rsidRDefault="00BD3CB4"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78070451" w14:textId="1F5E99A7" w:rsidR="00BD3CB4" w:rsidRPr="00F954A6" w:rsidRDefault="00BD3CB4"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2.12. Las vías de hecho que están siendo utilizadas por la administradora de la AGRUPACIÓN RESIDENCIAL VILLA ALICIA PH, señora JULIANA CORREA CORREA, son violatorias no solo del derecho a la propiedad privada, sino también a la libre locomoción, toda vez que la ley ha señalado el trámite judicial como mecanismo ante el incumplimiento en el pago de expensas que por administración deban los copropietarios de una propiedad horizontal, mecanismo que ya se agotó.</w:t>
      </w:r>
    </w:p>
    <w:p w14:paraId="0B396840" w14:textId="346104CA" w:rsidR="00BD3CB4" w:rsidRPr="00F954A6" w:rsidRDefault="00BD3CB4"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0901934D" w14:textId="1EDFC5DB" w:rsidR="00BD3CB4" w:rsidRPr="00F954A6" w:rsidRDefault="00BD3CB4"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2.13. El Juzgado Séptimo Civil Municipal de Pereira con la tardanza en la decisión de la solicitud presentada, viola la pronta administración de justicia, escudo que utiliza la administradora de la AGRUPACIÓN RESIDENCIAL VILLA ALICIA PH para impedir el acceso.</w:t>
      </w:r>
    </w:p>
    <w:p w14:paraId="59B87CAD" w14:textId="77777777" w:rsidR="00365642" w:rsidRPr="00F954A6" w:rsidRDefault="00365642"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4C8409AA" w14:textId="77777777" w:rsidR="00BD3CB4" w:rsidRPr="00F954A6" w:rsidRDefault="00BD3CB4"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2.14. </w:t>
      </w:r>
      <w:r w:rsidRPr="00F954A6">
        <w:rPr>
          <w:rFonts w:ascii="Arial" w:eastAsia="Arial" w:hAnsi="Arial" w:cs="Arial"/>
          <w:sz w:val="24"/>
          <w:szCs w:val="24"/>
        </w:rPr>
        <w:t>Para la fecha de presentación del amparo,</w:t>
      </w:r>
      <w:r w:rsidRPr="00F954A6">
        <w:rPr>
          <w:rFonts w:ascii="Arial" w:eastAsia="Arial" w:hAnsi="Arial" w:cs="Arial"/>
          <w:color w:val="000000"/>
          <w:sz w:val="24"/>
          <w:szCs w:val="24"/>
        </w:rPr>
        <w:t xml:space="preserve"> el proceso ejecutivo radicado 2017-00473 aún se encontraba a despacho. </w:t>
      </w:r>
    </w:p>
    <w:p w14:paraId="6E9DACA6" w14:textId="77777777" w:rsidR="00BD3CB4" w:rsidRPr="00F954A6" w:rsidRDefault="00BD3CB4"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1593D709" w14:textId="00739EBF" w:rsidR="002C74F5" w:rsidRPr="00F954A6" w:rsidRDefault="00D217D6"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3. Solicita se ordene</w:t>
      </w:r>
      <w:r w:rsidR="006215AE" w:rsidRPr="00F954A6">
        <w:rPr>
          <w:rFonts w:ascii="Arial" w:eastAsia="Arial" w:hAnsi="Arial" w:cs="Arial"/>
          <w:color w:val="000000"/>
          <w:sz w:val="24"/>
          <w:szCs w:val="24"/>
        </w:rPr>
        <w:t xml:space="preserve"> </w:t>
      </w:r>
      <w:r w:rsidR="007D0B46" w:rsidRPr="00F954A6">
        <w:rPr>
          <w:rFonts w:ascii="Arial" w:eastAsia="Arial" w:hAnsi="Arial" w:cs="Arial"/>
          <w:color w:val="000000"/>
          <w:sz w:val="24"/>
          <w:szCs w:val="24"/>
        </w:rPr>
        <w:t xml:space="preserve">(i) </w:t>
      </w:r>
      <w:r w:rsidRPr="00F954A6">
        <w:rPr>
          <w:rFonts w:ascii="Arial" w:eastAsia="Arial" w:hAnsi="Arial" w:cs="Arial"/>
          <w:color w:val="000000"/>
          <w:sz w:val="24"/>
          <w:szCs w:val="24"/>
        </w:rPr>
        <w:t>a la Administra</w:t>
      </w:r>
      <w:r w:rsidR="001F18D3" w:rsidRPr="00F954A6">
        <w:rPr>
          <w:rFonts w:ascii="Arial" w:eastAsia="Arial" w:hAnsi="Arial" w:cs="Arial"/>
          <w:color w:val="000000"/>
          <w:sz w:val="24"/>
          <w:szCs w:val="24"/>
        </w:rPr>
        <w:t>dora de la AGRUPACIÓN RESIDENCIAL VILLA ALICIA PH</w:t>
      </w:r>
      <w:r w:rsidRPr="00F954A6">
        <w:rPr>
          <w:rFonts w:ascii="Arial" w:eastAsia="Arial" w:hAnsi="Arial" w:cs="Arial"/>
          <w:color w:val="000000"/>
          <w:sz w:val="24"/>
          <w:szCs w:val="24"/>
        </w:rPr>
        <w:t xml:space="preserve"> </w:t>
      </w:r>
      <w:r w:rsidR="001F18D3" w:rsidRPr="00F954A6">
        <w:rPr>
          <w:rFonts w:ascii="Arial" w:eastAsia="Arial" w:hAnsi="Arial" w:cs="Arial"/>
          <w:color w:val="000000"/>
          <w:sz w:val="24"/>
          <w:szCs w:val="24"/>
        </w:rPr>
        <w:t>c</w:t>
      </w:r>
      <w:r w:rsidRPr="00F954A6">
        <w:rPr>
          <w:rFonts w:ascii="Arial" w:eastAsia="Arial" w:hAnsi="Arial" w:cs="Arial"/>
          <w:color w:val="000000"/>
          <w:sz w:val="24"/>
          <w:szCs w:val="24"/>
        </w:rPr>
        <w:t>e</w:t>
      </w:r>
      <w:r w:rsidR="001F18D3" w:rsidRPr="00F954A6">
        <w:rPr>
          <w:rFonts w:ascii="Arial" w:eastAsia="Arial" w:hAnsi="Arial" w:cs="Arial"/>
          <w:color w:val="000000"/>
          <w:sz w:val="24"/>
          <w:szCs w:val="24"/>
        </w:rPr>
        <w:t>sar sus actos violatorios; y,</w:t>
      </w:r>
      <w:r w:rsidR="007D0B46" w:rsidRPr="00F954A6">
        <w:rPr>
          <w:rFonts w:ascii="Arial" w:eastAsia="Arial" w:hAnsi="Arial" w:cs="Arial"/>
          <w:color w:val="000000"/>
          <w:sz w:val="24"/>
          <w:szCs w:val="24"/>
        </w:rPr>
        <w:t xml:space="preserve"> (ii) </w:t>
      </w:r>
      <w:r w:rsidR="00FF7B76" w:rsidRPr="00F954A6">
        <w:rPr>
          <w:rFonts w:ascii="Arial" w:eastAsia="Arial" w:hAnsi="Arial" w:cs="Arial"/>
          <w:color w:val="000000"/>
          <w:sz w:val="24"/>
          <w:szCs w:val="24"/>
        </w:rPr>
        <w:t>al JUZGADO S</w:t>
      </w:r>
      <w:r w:rsidR="001F18D3" w:rsidRPr="00F954A6">
        <w:rPr>
          <w:rFonts w:ascii="Arial" w:eastAsia="Arial" w:hAnsi="Arial" w:cs="Arial"/>
          <w:color w:val="000000"/>
          <w:sz w:val="24"/>
          <w:szCs w:val="24"/>
        </w:rPr>
        <w:t>ÉPTIMO</w:t>
      </w:r>
      <w:r w:rsidR="00FF7B76" w:rsidRPr="00F954A6">
        <w:rPr>
          <w:rFonts w:ascii="Arial" w:eastAsia="Arial" w:hAnsi="Arial" w:cs="Arial"/>
          <w:color w:val="000000"/>
          <w:sz w:val="24"/>
          <w:szCs w:val="24"/>
        </w:rPr>
        <w:t xml:space="preserve"> CIVIL MUNICIPAL DE PEREIRA a</w:t>
      </w:r>
      <w:r w:rsidR="001F18D3" w:rsidRPr="00F954A6">
        <w:rPr>
          <w:rFonts w:ascii="Arial" w:eastAsia="Arial" w:hAnsi="Arial" w:cs="Arial"/>
          <w:color w:val="000000"/>
          <w:sz w:val="24"/>
          <w:szCs w:val="24"/>
        </w:rPr>
        <w:t>dministre prontamente justicia dando curso a la solicitud presentada el día 15 de enero de 2020 por la apoderada judicial de la AGRUPACIÓN RESIDENCIAL VILLA ALICIA PH</w:t>
      </w:r>
      <w:r w:rsidR="00FF7B76" w:rsidRPr="00F954A6">
        <w:rPr>
          <w:rFonts w:ascii="Arial" w:eastAsia="Arial" w:hAnsi="Arial" w:cs="Arial"/>
          <w:color w:val="000000"/>
          <w:sz w:val="24"/>
          <w:szCs w:val="24"/>
        </w:rPr>
        <w:t xml:space="preserve"> e</w:t>
      </w:r>
      <w:r w:rsidR="001F18D3" w:rsidRPr="00F954A6">
        <w:rPr>
          <w:rFonts w:ascii="Arial" w:eastAsia="Arial" w:hAnsi="Arial" w:cs="Arial"/>
          <w:color w:val="000000"/>
          <w:sz w:val="24"/>
          <w:szCs w:val="24"/>
        </w:rPr>
        <w:t>n el proceso ejecutivo radicado 2017-00473</w:t>
      </w:r>
      <w:r w:rsidR="006215AE" w:rsidRPr="00F954A6">
        <w:rPr>
          <w:rFonts w:ascii="Arial" w:eastAsia="Arial" w:hAnsi="Arial" w:cs="Arial"/>
          <w:color w:val="000000"/>
          <w:sz w:val="24"/>
          <w:szCs w:val="24"/>
        </w:rPr>
        <w:t>.</w:t>
      </w:r>
    </w:p>
    <w:p w14:paraId="63AD341B"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06B4E6B9" w14:textId="2DE1CA94"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4. Correspondió el conocimiento del amparo constitucional al Juzgado </w:t>
      </w:r>
      <w:r w:rsidR="00AA6ED2" w:rsidRPr="00F954A6">
        <w:rPr>
          <w:rFonts w:ascii="Arial" w:eastAsia="Arial" w:hAnsi="Arial" w:cs="Arial"/>
          <w:color w:val="000000"/>
          <w:sz w:val="24"/>
          <w:szCs w:val="24"/>
        </w:rPr>
        <w:t>Segund</w:t>
      </w:r>
      <w:r w:rsidRPr="00F954A6">
        <w:rPr>
          <w:rFonts w:ascii="Arial" w:eastAsia="Arial" w:hAnsi="Arial" w:cs="Arial"/>
          <w:color w:val="000000"/>
          <w:sz w:val="24"/>
          <w:szCs w:val="24"/>
        </w:rPr>
        <w:t>o Civil del Circuito de Pereira, quien</w:t>
      </w:r>
      <w:r w:rsidR="001F4274" w:rsidRPr="00F954A6">
        <w:rPr>
          <w:rFonts w:ascii="Arial" w:eastAsia="Arial" w:hAnsi="Arial" w:cs="Arial"/>
          <w:color w:val="000000"/>
          <w:sz w:val="24"/>
          <w:szCs w:val="24"/>
        </w:rPr>
        <w:t xml:space="preserve"> le</w:t>
      </w:r>
      <w:r w:rsidRPr="00F954A6">
        <w:rPr>
          <w:rFonts w:ascii="Arial" w:eastAsia="Arial" w:hAnsi="Arial" w:cs="Arial"/>
          <w:color w:val="000000"/>
          <w:sz w:val="24"/>
          <w:szCs w:val="24"/>
        </w:rPr>
        <w:t xml:space="preserve"> impartió el t</w:t>
      </w:r>
      <w:r w:rsidR="002657FE" w:rsidRPr="00F954A6">
        <w:rPr>
          <w:rFonts w:ascii="Arial" w:eastAsia="Arial" w:hAnsi="Arial" w:cs="Arial"/>
          <w:color w:val="000000"/>
          <w:sz w:val="24"/>
          <w:szCs w:val="24"/>
        </w:rPr>
        <w:t xml:space="preserve">rámite legal </w:t>
      </w:r>
      <w:r w:rsidR="009E00B1" w:rsidRPr="00F954A6">
        <w:rPr>
          <w:rFonts w:ascii="Arial" w:eastAsia="Arial" w:hAnsi="Arial" w:cs="Arial"/>
          <w:color w:val="000000"/>
          <w:sz w:val="24"/>
          <w:szCs w:val="24"/>
        </w:rPr>
        <w:t xml:space="preserve">y </w:t>
      </w:r>
      <w:r w:rsidRPr="00F954A6">
        <w:rPr>
          <w:rFonts w:ascii="Arial" w:eastAsia="Arial" w:hAnsi="Arial" w:cs="Arial"/>
          <w:color w:val="000000"/>
          <w:sz w:val="24"/>
          <w:szCs w:val="24"/>
        </w:rPr>
        <w:t>decretó la inspección judicial al proceso ejecutivo radicado 201</w:t>
      </w:r>
      <w:r w:rsidR="001F4274" w:rsidRPr="00F954A6">
        <w:rPr>
          <w:rFonts w:ascii="Arial" w:eastAsia="Arial" w:hAnsi="Arial" w:cs="Arial"/>
          <w:color w:val="000000"/>
          <w:sz w:val="24"/>
          <w:szCs w:val="24"/>
        </w:rPr>
        <w:t>7</w:t>
      </w:r>
      <w:r w:rsidRPr="00F954A6">
        <w:rPr>
          <w:rFonts w:ascii="Arial" w:eastAsia="Arial" w:hAnsi="Arial" w:cs="Arial"/>
          <w:color w:val="000000"/>
          <w:sz w:val="24"/>
          <w:szCs w:val="24"/>
        </w:rPr>
        <w:t>-00</w:t>
      </w:r>
      <w:r w:rsidR="001F4274" w:rsidRPr="00F954A6">
        <w:rPr>
          <w:rFonts w:ascii="Arial" w:eastAsia="Arial" w:hAnsi="Arial" w:cs="Arial"/>
          <w:color w:val="000000"/>
          <w:sz w:val="24"/>
          <w:szCs w:val="24"/>
        </w:rPr>
        <w:t>473</w:t>
      </w:r>
      <w:r w:rsidR="009E00B1" w:rsidRPr="00F954A6">
        <w:rPr>
          <w:rFonts w:ascii="Arial" w:eastAsia="Arial" w:hAnsi="Arial" w:cs="Arial"/>
          <w:color w:val="000000"/>
          <w:sz w:val="24"/>
          <w:szCs w:val="24"/>
        </w:rPr>
        <w:t xml:space="preserve"> </w:t>
      </w:r>
      <w:r w:rsidRPr="00F954A6">
        <w:rPr>
          <w:rFonts w:ascii="Arial" w:eastAsia="Arial" w:hAnsi="Arial" w:cs="Arial"/>
          <w:color w:val="000000"/>
          <w:sz w:val="24"/>
          <w:szCs w:val="24"/>
        </w:rPr>
        <w:t xml:space="preserve">(fl. </w:t>
      </w:r>
      <w:r w:rsidR="001F4274" w:rsidRPr="00F954A6">
        <w:rPr>
          <w:rFonts w:ascii="Arial" w:eastAsia="Arial" w:hAnsi="Arial" w:cs="Arial"/>
          <w:color w:val="000000"/>
          <w:sz w:val="24"/>
          <w:szCs w:val="24"/>
        </w:rPr>
        <w:t>65</w:t>
      </w:r>
      <w:r w:rsidRPr="00F954A6">
        <w:rPr>
          <w:rFonts w:ascii="Arial" w:eastAsia="Arial" w:hAnsi="Arial" w:cs="Arial"/>
          <w:color w:val="000000"/>
          <w:sz w:val="24"/>
          <w:szCs w:val="24"/>
        </w:rPr>
        <w:t xml:space="preserve"> Cd. </w:t>
      </w:r>
      <w:r w:rsidR="001F4274" w:rsidRPr="00F954A6">
        <w:rPr>
          <w:rFonts w:ascii="Arial" w:eastAsia="Arial" w:hAnsi="Arial" w:cs="Arial"/>
          <w:color w:val="000000"/>
          <w:sz w:val="24"/>
          <w:szCs w:val="24"/>
        </w:rPr>
        <w:t>Ppal.</w:t>
      </w:r>
      <w:r w:rsidRPr="00F954A6">
        <w:rPr>
          <w:rFonts w:ascii="Arial" w:eastAsia="Arial" w:hAnsi="Arial" w:cs="Arial"/>
          <w:color w:val="000000"/>
          <w:sz w:val="24"/>
          <w:szCs w:val="24"/>
        </w:rPr>
        <w:t>).</w:t>
      </w:r>
    </w:p>
    <w:p w14:paraId="650404CC"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4E02D589" w14:textId="2A7D0686" w:rsidR="002C74F5" w:rsidRPr="00F954A6" w:rsidRDefault="00914AEC"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4.1. </w:t>
      </w:r>
      <w:r w:rsidR="00DF6F19" w:rsidRPr="00F954A6">
        <w:rPr>
          <w:rFonts w:ascii="Arial" w:eastAsia="Arial" w:hAnsi="Arial" w:cs="Arial"/>
          <w:color w:val="000000"/>
          <w:sz w:val="24"/>
          <w:szCs w:val="24"/>
        </w:rPr>
        <w:t>La</w:t>
      </w:r>
      <w:r w:rsidR="006215AE" w:rsidRPr="00F954A6">
        <w:rPr>
          <w:rFonts w:ascii="Arial" w:eastAsia="Arial" w:hAnsi="Arial" w:cs="Arial"/>
          <w:color w:val="000000"/>
          <w:sz w:val="24"/>
          <w:szCs w:val="24"/>
        </w:rPr>
        <w:t xml:space="preserve"> </w:t>
      </w:r>
      <w:r w:rsidR="00DF6F19" w:rsidRPr="00F954A6">
        <w:rPr>
          <w:rFonts w:ascii="Arial" w:eastAsia="Arial" w:hAnsi="Arial" w:cs="Arial"/>
          <w:color w:val="000000"/>
          <w:sz w:val="24"/>
          <w:szCs w:val="24"/>
        </w:rPr>
        <w:t>AGRUPACIÓN RESIDENCIAL VILLA ALICIA PH</w:t>
      </w:r>
      <w:r w:rsidR="006215AE" w:rsidRPr="00F954A6">
        <w:rPr>
          <w:rFonts w:ascii="Arial" w:eastAsia="Arial" w:hAnsi="Arial" w:cs="Arial"/>
          <w:color w:val="000000"/>
          <w:sz w:val="24"/>
          <w:szCs w:val="24"/>
        </w:rPr>
        <w:t xml:space="preserve">, por intermedio de </w:t>
      </w:r>
      <w:r w:rsidR="00946438" w:rsidRPr="00F954A6">
        <w:rPr>
          <w:rFonts w:ascii="Arial" w:eastAsia="Arial" w:hAnsi="Arial" w:cs="Arial"/>
          <w:color w:val="000000"/>
          <w:sz w:val="24"/>
          <w:szCs w:val="24"/>
        </w:rPr>
        <w:t>su administradora</w:t>
      </w:r>
      <w:r w:rsidR="006215AE" w:rsidRPr="00F954A6">
        <w:rPr>
          <w:rFonts w:ascii="Arial" w:eastAsia="Arial" w:hAnsi="Arial" w:cs="Arial"/>
          <w:color w:val="000000"/>
          <w:sz w:val="24"/>
          <w:szCs w:val="24"/>
        </w:rPr>
        <w:t>, indicó que</w:t>
      </w:r>
      <w:r w:rsidR="00A522EC" w:rsidRPr="00F954A6">
        <w:rPr>
          <w:rFonts w:ascii="Arial" w:eastAsia="Arial" w:hAnsi="Arial" w:cs="Arial"/>
          <w:color w:val="000000"/>
          <w:sz w:val="24"/>
          <w:szCs w:val="24"/>
        </w:rPr>
        <w:t xml:space="preserve"> </w:t>
      </w:r>
      <w:r w:rsidR="00391CAE" w:rsidRPr="00F954A6">
        <w:rPr>
          <w:rFonts w:ascii="Arial" w:eastAsia="Arial" w:hAnsi="Arial" w:cs="Arial"/>
          <w:color w:val="000000"/>
          <w:sz w:val="24"/>
          <w:szCs w:val="24"/>
        </w:rPr>
        <w:t xml:space="preserve">nunca se ha restringido el acceso de los residentes y visitantes al inmueble de propiedad de la accionante; tan solo se restringió el uso de los parqueaderos comunales, nunca un bien privado como es el apartamento. Aclara que los parqueaderos restringidos son </w:t>
      </w:r>
      <w:r w:rsidR="001A3AD5" w:rsidRPr="00F954A6">
        <w:rPr>
          <w:rFonts w:ascii="Arial" w:eastAsia="Arial" w:hAnsi="Arial" w:cs="Arial"/>
          <w:color w:val="000000"/>
          <w:sz w:val="24"/>
          <w:szCs w:val="24"/>
        </w:rPr>
        <w:t>aquellos</w:t>
      </w:r>
      <w:r w:rsidR="00391CAE" w:rsidRPr="00F954A6">
        <w:rPr>
          <w:rFonts w:ascii="Arial" w:eastAsia="Arial" w:hAnsi="Arial" w:cs="Arial"/>
          <w:color w:val="000000"/>
          <w:sz w:val="24"/>
          <w:szCs w:val="24"/>
        </w:rPr>
        <w:t xml:space="preserve">, no los privados; y que, las medidas de restricción sobre </w:t>
      </w:r>
      <w:r w:rsidR="001A3AD5" w:rsidRPr="00F954A6">
        <w:rPr>
          <w:rFonts w:ascii="Arial" w:eastAsia="Arial" w:hAnsi="Arial" w:cs="Arial"/>
          <w:color w:val="000000"/>
          <w:sz w:val="24"/>
          <w:szCs w:val="24"/>
        </w:rPr>
        <w:t>estos</w:t>
      </w:r>
      <w:r w:rsidR="004C376A" w:rsidRPr="00F954A6">
        <w:rPr>
          <w:rFonts w:ascii="Arial" w:eastAsia="Arial" w:hAnsi="Arial" w:cs="Arial"/>
          <w:color w:val="000000"/>
          <w:sz w:val="24"/>
          <w:szCs w:val="24"/>
        </w:rPr>
        <w:t>,</w:t>
      </w:r>
      <w:r w:rsidR="001A3AD5" w:rsidRPr="00F954A6">
        <w:rPr>
          <w:rFonts w:ascii="Arial" w:eastAsia="Arial" w:hAnsi="Arial" w:cs="Arial"/>
          <w:color w:val="000000"/>
          <w:sz w:val="24"/>
          <w:szCs w:val="24"/>
        </w:rPr>
        <w:t xml:space="preserve"> </w:t>
      </w:r>
      <w:r w:rsidR="00391CAE" w:rsidRPr="00F954A6">
        <w:rPr>
          <w:rFonts w:ascii="Arial" w:eastAsia="Arial" w:hAnsi="Arial" w:cs="Arial"/>
          <w:color w:val="000000"/>
          <w:sz w:val="24"/>
          <w:szCs w:val="24"/>
        </w:rPr>
        <w:t xml:space="preserve">se encuentran cimentadas en la circular 03 de octubre de 2018, la </w:t>
      </w:r>
      <w:r w:rsidR="001A3AD5" w:rsidRPr="00F954A6">
        <w:rPr>
          <w:rFonts w:ascii="Arial" w:eastAsia="Arial" w:hAnsi="Arial" w:cs="Arial"/>
          <w:color w:val="000000"/>
          <w:sz w:val="24"/>
          <w:szCs w:val="24"/>
        </w:rPr>
        <w:t>L</w:t>
      </w:r>
      <w:r w:rsidR="00391CAE" w:rsidRPr="00F954A6">
        <w:rPr>
          <w:rFonts w:ascii="Arial" w:eastAsia="Arial" w:hAnsi="Arial" w:cs="Arial"/>
          <w:color w:val="000000"/>
          <w:sz w:val="24"/>
          <w:szCs w:val="24"/>
        </w:rPr>
        <w:t xml:space="preserve">ey 675 de 2001, el reglamento de propiedad horizontal de la copropiedad y los pronunciamientos de la Corte Constitucional </w:t>
      </w:r>
      <w:r w:rsidR="00391CAE" w:rsidRPr="00F954A6">
        <w:rPr>
          <w:rFonts w:ascii="Arial" w:eastAsia="Arial" w:hAnsi="Arial" w:cs="Arial"/>
          <w:color w:val="000000"/>
          <w:sz w:val="24"/>
          <w:szCs w:val="24"/>
        </w:rPr>
        <w:lastRenderedPageBreak/>
        <w:t>(Sentencias T-596 de 2003 y SU</w:t>
      </w:r>
      <w:r w:rsidR="004C376A" w:rsidRPr="00F954A6">
        <w:rPr>
          <w:rFonts w:ascii="Arial" w:eastAsia="Arial" w:hAnsi="Arial" w:cs="Arial"/>
          <w:color w:val="000000"/>
          <w:sz w:val="24"/>
          <w:szCs w:val="24"/>
        </w:rPr>
        <w:t>-</w:t>
      </w:r>
      <w:r w:rsidR="00391CAE" w:rsidRPr="00F954A6">
        <w:rPr>
          <w:rFonts w:ascii="Arial" w:eastAsia="Arial" w:hAnsi="Arial" w:cs="Arial"/>
          <w:color w:val="000000"/>
          <w:sz w:val="24"/>
          <w:szCs w:val="24"/>
        </w:rPr>
        <w:t>509 de 2001).</w:t>
      </w:r>
      <w:r w:rsidR="001A3AD5" w:rsidRPr="00F954A6">
        <w:rPr>
          <w:rFonts w:ascii="Arial" w:eastAsia="Arial" w:hAnsi="Arial" w:cs="Arial"/>
          <w:color w:val="000000"/>
          <w:sz w:val="24"/>
          <w:szCs w:val="24"/>
        </w:rPr>
        <w:t xml:space="preserve"> Argumenta la accionante que no se le deja ingresar el “menaje” a su propiedad, cuando lo cierto es que la tutelante </w:t>
      </w:r>
      <w:r w:rsidR="004C376A" w:rsidRPr="00F954A6">
        <w:rPr>
          <w:rFonts w:ascii="Arial" w:eastAsia="Arial" w:hAnsi="Arial" w:cs="Arial"/>
          <w:color w:val="000000"/>
          <w:sz w:val="24"/>
          <w:szCs w:val="24"/>
        </w:rPr>
        <w:t xml:space="preserve">lo </w:t>
      </w:r>
      <w:r w:rsidR="001A3AD5" w:rsidRPr="00F954A6">
        <w:rPr>
          <w:rFonts w:ascii="Arial" w:eastAsia="Arial" w:hAnsi="Arial" w:cs="Arial"/>
          <w:color w:val="000000"/>
          <w:sz w:val="24"/>
          <w:szCs w:val="24"/>
        </w:rPr>
        <w:t>puede</w:t>
      </w:r>
      <w:r w:rsidR="004C376A" w:rsidRPr="00F954A6">
        <w:rPr>
          <w:rFonts w:ascii="Arial" w:eastAsia="Arial" w:hAnsi="Arial" w:cs="Arial"/>
          <w:color w:val="000000"/>
          <w:sz w:val="24"/>
          <w:szCs w:val="24"/>
        </w:rPr>
        <w:t xml:space="preserve"> hacer</w:t>
      </w:r>
      <w:r w:rsidR="001A3AD5" w:rsidRPr="00F954A6">
        <w:rPr>
          <w:rFonts w:ascii="Arial" w:eastAsia="Arial" w:hAnsi="Arial" w:cs="Arial"/>
          <w:color w:val="000000"/>
          <w:sz w:val="24"/>
          <w:szCs w:val="24"/>
        </w:rPr>
        <w:t xml:space="preserve"> por las vías de circulación peatonal sin ningún problema, pero si se restringe el uso de los mencionados parqueaderos, lo que no afecta su derecho a la propiedad privada, ya que no tiene a su nombre ninguno de los parqueaderos privados de la unidad</w:t>
      </w:r>
      <w:r w:rsidR="004C376A" w:rsidRPr="00F954A6">
        <w:rPr>
          <w:rFonts w:ascii="Arial" w:eastAsia="Arial" w:hAnsi="Arial" w:cs="Arial"/>
          <w:color w:val="000000"/>
          <w:sz w:val="24"/>
          <w:szCs w:val="24"/>
        </w:rPr>
        <w:t>;</w:t>
      </w:r>
      <w:r w:rsidR="001A3AD5" w:rsidRPr="00F954A6">
        <w:rPr>
          <w:rFonts w:ascii="Arial" w:eastAsia="Arial" w:hAnsi="Arial" w:cs="Arial"/>
          <w:color w:val="000000"/>
          <w:sz w:val="24"/>
          <w:szCs w:val="24"/>
        </w:rPr>
        <w:t xml:space="preserve"> y, como lo dice la Corte Constitucional, es de resorte de la propiedad horizontal las medidas necesarias para compeler al pago de las expensas, siempre y cuando no impida el ejercicio de las condiciones y necesidades mínimas de existencia del residente en mora. </w:t>
      </w:r>
      <w:r w:rsidR="004C376A" w:rsidRPr="00F954A6">
        <w:rPr>
          <w:rFonts w:ascii="Arial" w:eastAsia="Arial" w:hAnsi="Arial" w:cs="Arial"/>
          <w:color w:val="000000"/>
          <w:sz w:val="24"/>
          <w:szCs w:val="24"/>
        </w:rPr>
        <w:t>Considera</w:t>
      </w:r>
      <w:r w:rsidR="001A3AD5" w:rsidRPr="00F954A6">
        <w:rPr>
          <w:rFonts w:ascii="Arial" w:eastAsia="Arial" w:hAnsi="Arial" w:cs="Arial"/>
          <w:color w:val="000000"/>
          <w:sz w:val="24"/>
          <w:szCs w:val="24"/>
        </w:rPr>
        <w:t xml:space="preserve"> que no ha viola</w:t>
      </w:r>
      <w:r w:rsidR="004C376A" w:rsidRPr="00F954A6">
        <w:rPr>
          <w:rFonts w:ascii="Arial" w:eastAsia="Arial" w:hAnsi="Arial" w:cs="Arial"/>
          <w:color w:val="000000"/>
          <w:sz w:val="24"/>
          <w:szCs w:val="24"/>
        </w:rPr>
        <w:t>do los</w:t>
      </w:r>
      <w:r w:rsidR="001A3AD5" w:rsidRPr="00F954A6">
        <w:rPr>
          <w:rFonts w:ascii="Arial" w:eastAsia="Arial" w:hAnsi="Arial" w:cs="Arial"/>
          <w:color w:val="000000"/>
          <w:sz w:val="24"/>
          <w:szCs w:val="24"/>
        </w:rPr>
        <w:t xml:space="preserve"> derechos fundamentales</w:t>
      </w:r>
      <w:r w:rsidR="004C376A" w:rsidRPr="00F954A6">
        <w:rPr>
          <w:rFonts w:ascii="Arial" w:eastAsia="Arial" w:hAnsi="Arial" w:cs="Arial"/>
          <w:color w:val="000000"/>
          <w:sz w:val="24"/>
          <w:szCs w:val="24"/>
        </w:rPr>
        <w:t xml:space="preserve"> invocados</w:t>
      </w:r>
      <w:r w:rsidR="00391CAE" w:rsidRPr="00F954A6">
        <w:rPr>
          <w:rFonts w:ascii="Arial" w:eastAsia="Arial" w:hAnsi="Arial" w:cs="Arial"/>
          <w:color w:val="000000"/>
          <w:sz w:val="24"/>
          <w:szCs w:val="24"/>
        </w:rPr>
        <w:t xml:space="preserve"> </w:t>
      </w:r>
      <w:r w:rsidR="002C4363" w:rsidRPr="00F954A6">
        <w:rPr>
          <w:rFonts w:ascii="Arial" w:eastAsia="Arial" w:hAnsi="Arial" w:cs="Arial"/>
          <w:color w:val="000000"/>
          <w:sz w:val="24"/>
          <w:szCs w:val="24"/>
        </w:rPr>
        <w:t xml:space="preserve">(fls. </w:t>
      </w:r>
      <w:r w:rsidR="002475FD" w:rsidRPr="00F954A6">
        <w:rPr>
          <w:rFonts w:ascii="Arial" w:eastAsia="Arial" w:hAnsi="Arial" w:cs="Arial"/>
          <w:color w:val="000000"/>
          <w:sz w:val="24"/>
          <w:szCs w:val="24"/>
        </w:rPr>
        <w:t>7</w:t>
      </w:r>
      <w:r w:rsidR="001F4274" w:rsidRPr="00F954A6">
        <w:rPr>
          <w:rFonts w:ascii="Arial" w:eastAsia="Arial" w:hAnsi="Arial" w:cs="Arial"/>
          <w:color w:val="000000"/>
          <w:sz w:val="24"/>
          <w:szCs w:val="24"/>
        </w:rPr>
        <w:t>3</w:t>
      </w:r>
      <w:r w:rsidR="006215AE" w:rsidRPr="00F954A6">
        <w:rPr>
          <w:rFonts w:ascii="Arial" w:eastAsia="Arial" w:hAnsi="Arial" w:cs="Arial"/>
          <w:color w:val="000000"/>
          <w:sz w:val="24"/>
          <w:szCs w:val="24"/>
        </w:rPr>
        <w:t>-</w:t>
      </w:r>
      <w:r w:rsidR="001F4274" w:rsidRPr="00F954A6">
        <w:rPr>
          <w:rFonts w:ascii="Arial" w:eastAsia="Arial" w:hAnsi="Arial" w:cs="Arial"/>
          <w:color w:val="000000"/>
          <w:sz w:val="24"/>
          <w:szCs w:val="24"/>
        </w:rPr>
        <w:t>77</w:t>
      </w:r>
      <w:r w:rsidR="006215AE" w:rsidRPr="00F954A6">
        <w:rPr>
          <w:rFonts w:ascii="Arial" w:eastAsia="Arial" w:hAnsi="Arial" w:cs="Arial"/>
          <w:color w:val="000000"/>
          <w:sz w:val="24"/>
          <w:szCs w:val="24"/>
        </w:rPr>
        <w:t xml:space="preserve"> id.).</w:t>
      </w:r>
    </w:p>
    <w:p w14:paraId="5DC6C7ED"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2DF0C32A" w14:textId="77777777" w:rsidR="002C74F5" w:rsidRPr="00F954A6" w:rsidRDefault="006215AE" w:rsidP="00F954A6">
      <w:pPr>
        <w:pBdr>
          <w:top w:val="nil"/>
          <w:left w:val="nil"/>
          <w:bottom w:val="nil"/>
          <w:right w:val="nil"/>
          <w:between w:val="nil"/>
        </w:pBdr>
        <w:spacing w:line="276" w:lineRule="auto"/>
        <w:ind w:firstLine="2835"/>
        <w:rPr>
          <w:rFonts w:ascii="Arial" w:eastAsia="Arial" w:hAnsi="Arial" w:cs="Arial"/>
          <w:b/>
          <w:color w:val="000000"/>
          <w:sz w:val="24"/>
          <w:szCs w:val="24"/>
        </w:rPr>
      </w:pPr>
      <w:r w:rsidRPr="00F954A6">
        <w:rPr>
          <w:rFonts w:ascii="Arial" w:eastAsia="Arial" w:hAnsi="Arial" w:cs="Arial"/>
          <w:b/>
          <w:color w:val="000000"/>
          <w:sz w:val="24"/>
          <w:szCs w:val="24"/>
        </w:rPr>
        <w:t>III. LA SENTENCIA IMPUGNADA</w:t>
      </w:r>
    </w:p>
    <w:p w14:paraId="087BE399"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13D7270C" w14:textId="19DA1ADB"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El </w:t>
      </w:r>
      <w:r w:rsidR="00CA039D" w:rsidRPr="00F954A6">
        <w:rPr>
          <w:rFonts w:ascii="Arial" w:eastAsia="Arial" w:hAnsi="Arial" w:cs="Arial"/>
          <w:color w:val="000000"/>
          <w:sz w:val="24"/>
          <w:szCs w:val="24"/>
        </w:rPr>
        <w:t>j</w:t>
      </w:r>
      <w:r w:rsidRPr="00F954A6">
        <w:rPr>
          <w:rFonts w:ascii="Arial" w:eastAsia="Arial" w:hAnsi="Arial" w:cs="Arial"/>
          <w:color w:val="000000"/>
          <w:sz w:val="24"/>
          <w:szCs w:val="24"/>
        </w:rPr>
        <w:t>uzgado de primera instancia</w:t>
      </w:r>
      <w:r w:rsidR="002473D4" w:rsidRPr="00F954A6">
        <w:rPr>
          <w:rFonts w:ascii="Arial" w:eastAsia="Arial" w:hAnsi="Arial" w:cs="Arial"/>
          <w:color w:val="000000"/>
          <w:sz w:val="24"/>
          <w:szCs w:val="24"/>
        </w:rPr>
        <w:t xml:space="preserve"> declaró</w:t>
      </w:r>
      <w:r w:rsidR="00CA039D" w:rsidRPr="00F954A6">
        <w:rPr>
          <w:rFonts w:ascii="Arial" w:eastAsia="Arial" w:hAnsi="Arial" w:cs="Arial"/>
          <w:color w:val="000000"/>
          <w:sz w:val="24"/>
          <w:szCs w:val="24"/>
        </w:rPr>
        <w:t xml:space="preserve"> que se configuró la carencia actual de objeto por hecho superado respecto del Juzgado Séptimo Civil Municipal de Pereira e</w:t>
      </w:r>
      <w:r w:rsidR="002473D4" w:rsidRPr="00F954A6">
        <w:rPr>
          <w:rFonts w:ascii="Arial" w:eastAsia="Arial" w:hAnsi="Arial" w:cs="Arial"/>
          <w:color w:val="000000"/>
          <w:sz w:val="24"/>
          <w:szCs w:val="24"/>
        </w:rPr>
        <w:t xml:space="preserve"> improcedente el amparo</w:t>
      </w:r>
      <w:r w:rsidR="00CA039D" w:rsidRPr="00F954A6">
        <w:rPr>
          <w:rFonts w:ascii="Arial" w:eastAsia="Arial" w:hAnsi="Arial" w:cs="Arial"/>
          <w:color w:val="000000"/>
          <w:sz w:val="24"/>
          <w:szCs w:val="24"/>
        </w:rPr>
        <w:t xml:space="preserve"> en cuanto a la AGRUPACIÓN RESIDENCIAL VILLA ALICIA PH, </w:t>
      </w:r>
      <w:r w:rsidR="001A2AB4" w:rsidRPr="00F954A6">
        <w:rPr>
          <w:rFonts w:ascii="Arial" w:eastAsia="Arial" w:hAnsi="Arial" w:cs="Arial"/>
          <w:color w:val="000000"/>
          <w:sz w:val="24"/>
          <w:szCs w:val="24"/>
        </w:rPr>
        <w:t>por ausencia del requisito de subsidiariedad</w:t>
      </w:r>
      <w:r w:rsidR="00CA039D" w:rsidRPr="00F954A6">
        <w:rPr>
          <w:rFonts w:ascii="Arial" w:eastAsia="Arial" w:hAnsi="Arial" w:cs="Arial"/>
          <w:color w:val="000000"/>
          <w:sz w:val="24"/>
          <w:szCs w:val="24"/>
        </w:rPr>
        <w:t>;</w:t>
      </w:r>
      <w:r w:rsidRPr="00F954A6">
        <w:rPr>
          <w:rFonts w:ascii="Arial" w:eastAsia="Arial" w:hAnsi="Arial" w:cs="Arial"/>
          <w:color w:val="000000"/>
          <w:sz w:val="24"/>
          <w:szCs w:val="24"/>
        </w:rPr>
        <w:t xml:space="preserve"> al considerar</w:t>
      </w:r>
      <w:r w:rsidR="00CA039D" w:rsidRPr="00F954A6">
        <w:rPr>
          <w:rFonts w:ascii="Arial" w:eastAsia="Arial" w:hAnsi="Arial" w:cs="Arial"/>
          <w:color w:val="000000"/>
          <w:sz w:val="24"/>
          <w:szCs w:val="24"/>
        </w:rPr>
        <w:t xml:space="preserve"> en primer lugar que, “</w:t>
      </w:r>
      <w:r w:rsidR="00CA039D" w:rsidRPr="00F954A6">
        <w:rPr>
          <w:rFonts w:ascii="Arial" w:eastAsia="Arial" w:hAnsi="Arial" w:cs="Arial"/>
          <w:i/>
          <w:iCs/>
          <w:color w:val="000000"/>
          <w:sz w:val="24"/>
          <w:szCs w:val="24"/>
        </w:rPr>
        <w:t>…</w:t>
      </w:r>
      <w:r w:rsidR="00CA5F50">
        <w:rPr>
          <w:rFonts w:ascii="Arial" w:eastAsia="Arial" w:hAnsi="Arial" w:cs="Arial"/>
          <w:i/>
          <w:iCs/>
          <w:color w:val="000000"/>
          <w:sz w:val="24"/>
          <w:szCs w:val="24"/>
        </w:rPr>
        <w:t xml:space="preserve"> </w:t>
      </w:r>
      <w:r w:rsidR="00CA039D" w:rsidRPr="00F954A6">
        <w:rPr>
          <w:rFonts w:ascii="Arial" w:eastAsia="Arial" w:hAnsi="Arial" w:cs="Arial"/>
          <w:i/>
          <w:iCs/>
          <w:color w:val="000000"/>
          <w:sz w:val="24"/>
          <w:szCs w:val="24"/>
        </w:rPr>
        <w:t>la providencia echada de menos por la accionante, es decir, aquella que resolviera sobre la petición de aclaración y adición elevada por la ejecutante el 15-01-2020, fue proferida el 24-02-2020, durante el curso de esta acción constitucional. De modo que carece de sentido emitir cualquier orden a ése respecto.</w:t>
      </w:r>
      <w:r w:rsidR="00CA039D" w:rsidRPr="00F954A6">
        <w:rPr>
          <w:rFonts w:ascii="Arial" w:eastAsia="Arial" w:hAnsi="Arial" w:cs="Arial"/>
          <w:color w:val="000000"/>
          <w:sz w:val="24"/>
          <w:szCs w:val="24"/>
        </w:rPr>
        <w:t>”; y en segundo lugar;</w:t>
      </w:r>
      <w:r w:rsidRPr="00F954A6">
        <w:rPr>
          <w:rFonts w:ascii="Arial" w:eastAsia="Arial" w:hAnsi="Arial" w:cs="Arial"/>
          <w:color w:val="000000"/>
          <w:sz w:val="24"/>
          <w:szCs w:val="24"/>
        </w:rPr>
        <w:t xml:space="preserve"> </w:t>
      </w:r>
      <w:r w:rsidR="00CA039D" w:rsidRPr="00F954A6">
        <w:rPr>
          <w:rFonts w:ascii="Arial" w:eastAsia="Arial" w:hAnsi="Arial" w:cs="Arial"/>
          <w:color w:val="000000"/>
          <w:sz w:val="24"/>
          <w:szCs w:val="24"/>
        </w:rPr>
        <w:t>por</w:t>
      </w:r>
      <w:r w:rsidRPr="00F954A6">
        <w:rPr>
          <w:rFonts w:ascii="Arial" w:eastAsia="Arial" w:hAnsi="Arial" w:cs="Arial"/>
          <w:color w:val="000000"/>
          <w:sz w:val="24"/>
          <w:szCs w:val="24"/>
        </w:rPr>
        <w:t>que</w:t>
      </w:r>
      <w:r w:rsidR="002473D4" w:rsidRPr="00F954A6">
        <w:rPr>
          <w:rFonts w:ascii="Arial" w:eastAsia="Arial" w:hAnsi="Arial" w:cs="Arial"/>
          <w:color w:val="000000"/>
          <w:sz w:val="24"/>
          <w:szCs w:val="24"/>
        </w:rPr>
        <w:t xml:space="preserve"> el asunto planteado comporta un conflicto entre un </w:t>
      </w:r>
      <w:r w:rsidR="00CA039D" w:rsidRPr="00F954A6">
        <w:rPr>
          <w:rFonts w:ascii="Arial" w:eastAsia="Arial" w:hAnsi="Arial" w:cs="Arial"/>
          <w:color w:val="000000"/>
          <w:sz w:val="24"/>
          <w:szCs w:val="24"/>
        </w:rPr>
        <w:t>copropietario</w:t>
      </w:r>
      <w:r w:rsidR="002473D4" w:rsidRPr="00F954A6">
        <w:rPr>
          <w:rFonts w:ascii="Arial" w:eastAsia="Arial" w:hAnsi="Arial" w:cs="Arial"/>
          <w:color w:val="000000"/>
          <w:sz w:val="24"/>
          <w:szCs w:val="24"/>
        </w:rPr>
        <w:t xml:space="preserve"> de un inmueble sometido al régimen de propiedad horizontal</w:t>
      </w:r>
      <w:r w:rsidR="00CA039D" w:rsidRPr="00F954A6">
        <w:rPr>
          <w:rFonts w:ascii="Arial" w:eastAsia="Arial" w:hAnsi="Arial" w:cs="Arial"/>
          <w:color w:val="000000"/>
          <w:sz w:val="24"/>
          <w:szCs w:val="24"/>
        </w:rPr>
        <w:t xml:space="preserve"> y</w:t>
      </w:r>
      <w:r w:rsidR="002473D4" w:rsidRPr="00F954A6">
        <w:rPr>
          <w:rFonts w:ascii="Arial" w:eastAsia="Arial" w:hAnsi="Arial" w:cs="Arial"/>
          <w:color w:val="000000"/>
          <w:sz w:val="24"/>
          <w:szCs w:val="24"/>
        </w:rPr>
        <w:t xml:space="preserve"> </w:t>
      </w:r>
      <w:r w:rsidR="00CA039D" w:rsidRPr="00F954A6">
        <w:rPr>
          <w:rFonts w:ascii="Arial" w:eastAsia="Arial" w:hAnsi="Arial" w:cs="Arial"/>
          <w:color w:val="000000"/>
          <w:sz w:val="24"/>
          <w:szCs w:val="24"/>
        </w:rPr>
        <w:t xml:space="preserve">la </w:t>
      </w:r>
      <w:r w:rsidR="002473D4" w:rsidRPr="00F954A6">
        <w:rPr>
          <w:rFonts w:ascii="Arial" w:eastAsia="Arial" w:hAnsi="Arial" w:cs="Arial"/>
          <w:color w:val="000000"/>
          <w:sz w:val="24"/>
          <w:szCs w:val="24"/>
        </w:rPr>
        <w:t>administración de la misma, para lo cual</w:t>
      </w:r>
      <w:r w:rsidR="001E71A6" w:rsidRPr="00F954A6">
        <w:rPr>
          <w:rFonts w:ascii="Arial" w:eastAsia="Arial" w:hAnsi="Arial" w:cs="Arial"/>
          <w:color w:val="000000"/>
          <w:sz w:val="24"/>
          <w:szCs w:val="24"/>
        </w:rPr>
        <w:t xml:space="preserve"> la Corte Constitucional ha establecido que la vía idónea componer litigios de ese talante es el proceso verbal sumario, ante la jurisdicción civil,</w:t>
      </w:r>
      <w:r w:rsidR="002473D4" w:rsidRPr="00F954A6">
        <w:rPr>
          <w:rFonts w:ascii="Arial" w:eastAsia="Arial" w:hAnsi="Arial" w:cs="Arial"/>
          <w:color w:val="000000"/>
          <w:sz w:val="24"/>
          <w:szCs w:val="24"/>
        </w:rPr>
        <w:t xml:space="preserve"> mecanismo ordinario de defensa para quienes estiman conculcados sus derechos por decisiones de los órganos de administración de un conjunto residencial</w:t>
      </w:r>
      <w:r w:rsidR="00D07B86" w:rsidRPr="00F954A6">
        <w:rPr>
          <w:rFonts w:ascii="Arial" w:eastAsia="Arial" w:hAnsi="Arial" w:cs="Arial"/>
          <w:color w:val="000000"/>
          <w:sz w:val="24"/>
          <w:szCs w:val="24"/>
        </w:rPr>
        <w:t xml:space="preserve">, el cual es idóneo y eficaz, analizadas las </w:t>
      </w:r>
      <w:r w:rsidR="00530A4B" w:rsidRPr="00F954A6">
        <w:rPr>
          <w:rFonts w:ascii="Arial" w:eastAsia="Arial" w:hAnsi="Arial" w:cs="Arial"/>
          <w:color w:val="000000"/>
          <w:sz w:val="24"/>
          <w:szCs w:val="24"/>
        </w:rPr>
        <w:t>circunstancias</w:t>
      </w:r>
      <w:r w:rsidR="00D07B86" w:rsidRPr="00F954A6">
        <w:rPr>
          <w:rFonts w:ascii="Arial" w:eastAsia="Arial" w:hAnsi="Arial" w:cs="Arial"/>
          <w:color w:val="000000"/>
          <w:sz w:val="24"/>
          <w:szCs w:val="24"/>
        </w:rPr>
        <w:t xml:space="preserve"> </w:t>
      </w:r>
      <w:r w:rsidR="00530A4B" w:rsidRPr="00F954A6">
        <w:rPr>
          <w:rFonts w:ascii="Arial" w:eastAsia="Arial" w:hAnsi="Arial" w:cs="Arial"/>
          <w:color w:val="000000"/>
          <w:sz w:val="24"/>
          <w:szCs w:val="24"/>
        </w:rPr>
        <w:t>particulares</w:t>
      </w:r>
      <w:r w:rsidR="00D07B86" w:rsidRPr="00F954A6">
        <w:rPr>
          <w:rFonts w:ascii="Arial" w:eastAsia="Arial" w:hAnsi="Arial" w:cs="Arial"/>
          <w:color w:val="000000"/>
          <w:sz w:val="24"/>
          <w:szCs w:val="24"/>
        </w:rPr>
        <w:t xml:space="preserve"> de</w:t>
      </w:r>
      <w:r w:rsidR="001E71A6" w:rsidRPr="00F954A6">
        <w:rPr>
          <w:rFonts w:ascii="Arial" w:eastAsia="Arial" w:hAnsi="Arial" w:cs="Arial"/>
          <w:color w:val="000000"/>
          <w:sz w:val="24"/>
          <w:szCs w:val="24"/>
        </w:rPr>
        <w:t xml:space="preserve"> </w:t>
      </w:r>
      <w:r w:rsidR="00D07B86" w:rsidRPr="00F954A6">
        <w:rPr>
          <w:rFonts w:ascii="Arial" w:eastAsia="Arial" w:hAnsi="Arial" w:cs="Arial"/>
          <w:color w:val="000000"/>
          <w:sz w:val="24"/>
          <w:szCs w:val="24"/>
        </w:rPr>
        <w:t>l</w:t>
      </w:r>
      <w:r w:rsidR="001E71A6" w:rsidRPr="00F954A6">
        <w:rPr>
          <w:rFonts w:ascii="Arial" w:eastAsia="Arial" w:hAnsi="Arial" w:cs="Arial"/>
          <w:color w:val="000000"/>
          <w:sz w:val="24"/>
          <w:szCs w:val="24"/>
        </w:rPr>
        <w:t>a</w:t>
      </w:r>
      <w:r w:rsidR="00D07B86" w:rsidRPr="00F954A6">
        <w:rPr>
          <w:rFonts w:ascii="Arial" w:eastAsia="Arial" w:hAnsi="Arial" w:cs="Arial"/>
          <w:color w:val="000000"/>
          <w:sz w:val="24"/>
          <w:szCs w:val="24"/>
        </w:rPr>
        <w:t xml:space="preserve"> actor</w:t>
      </w:r>
      <w:r w:rsidR="001E71A6" w:rsidRPr="00F954A6">
        <w:rPr>
          <w:rFonts w:ascii="Arial" w:eastAsia="Arial" w:hAnsi="Arial" w:cs="Arial"/>
          <w:color w:val="000000"/>
          <w:sz w:val="24"/>
          <w:szCs w:val="24"/>
        </w:rPr>
        <w:t>a</w:t>
      </w:r>
      <w:r w:rsidR="00D07B86" w:rsidRPr="00F954A6">
        <w:rPr>
          <w:rFonts w:ascii="Arial" w:eastAsia="Arial" w:hAnsi="Arial" w:cs="Arial"/>
          <w:color w:val="000000"/>
          <w:sz w:val="24"/>
          <w:szCs w:val="24"/>
        </w:rPr>
        <w:t xml:space="preserve"> a la luz de los parámetros determinados por la Corte Constitucional</w:t>
      </w:r>
      <w:r w:rsidR="001A2AB4" w:rsidRPr="00F954A6">
        <w:rPr>
          <w:rFonts w:ascii="Arial" w:eastAsia="Arial" w:hAnsi="Arial" w:cs="Arial"/>
          <w:color w:val="000000"/>
          <w:sz w:val="24"/>
          <w:szCs w:val="24"/>
        </w:rPr>
        <w:t xml:space="preserve"> como relevantes para ese propósito. Tampoco se observa la inminente materialización de un perjuicio grave que requiera medidas urgentes e inaplazables. </w:t>
      </w:r>
      <w:r w:rsidR="00114C97" w:rsidRPr="00F954A6">
        <w:rPr>
          <w:rFonts w:ascii="Arial" w:eastAsia="Arial" w:hAnsi="Arial" w:cs="Arial"/>
          <w:color w:val="000000"/>
          <w:sz w:val="24"/>
          <w:szCs w:val="24"/>
        </w:rPr>
        <w:t>(fls. 1</w:t>
      </w:r>
      <w:r w:rsidR="001F4274" w:rsidRPr="00F954A6">
        <w:rPr>
          <w:rFonts w:ascii="Arial" w:eastAsia="Arial" w:hAnsi="Arial" w:cs="Arial"/>
          <w:color w:val="000000"/>
          <w:sz w:val="24"/>
          <w:szCs w:val="24"/>
        </w:rPr>
        <w:t>04</w:t>
      </w:r>
      <w:r w:rsidRPr="00F954A6">
        <w:rPr>
          <w:rFonts w:ascii="Arial" w:eastAsia="Arial" w:hAnsi="Arial" w:cs="Arial"/>
          <w:color w:val="000000"/>
          <w:sz w:val="24"/>
          <w:szCs w:val="24"/>
        </w:rPr>
        <w:t>-</w:t>
      </w:r>
      <w:r w:rsidR="00114C97" w:rsidRPr="00F954A6">
        <w:rPr>
          <w:rFonts w:ascii="Arial" w:eastAsia="Arial" w:hAnsi="Arial" w:cs="Arial"/>
          <w:color w:val="000000"/>
          <w:sz w:val="24"/>
          <w:szCs w:val="24"/>
        </w:rPr>
        <w:t>1</w:t>
      </w:r>
      <w:r w:rsidR="001F4274" w:rsidRPr="00F954A6">
        <w:rPr>
          <w:rFonts w:ascii="Arial" w:eastAsia="Arial" w:hAnsi="Arial" w:cs="Arial"/>
          <w:color w:val="000000"/>
          <w:sz w:val="24"/>
          <w:szCs w:val="24"/>
        </w:rPr>
        <w:t>08</w:t>
      </w:r>
      <w:r w:rsidRPr="00F954A6">
        <w:rPr>
          <w:rFonts w:ascii="Arial" w:eastAsia="Arial" w:hAnsi="Arial" w:cs="Arial"/>
          <w:color w:val="000000"/>
          <w:sz w:val="24"/>
          <w:szCs w:val="24"/>
        </w:rPr>
        <w:t xml:space="preserve"> id.).</w:t>
      </w:r>
    </w:p>
    <w:p w14:paraId="4001AF42"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1BAD3DC9" w14:textId="77777777"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b/>
          <w:color w:val="000000"/>
          <w:sz w:val="24"/>
          <w:szCs w:val="24"/>
        </w:rPr>
      </w:pPr>
      <w:r w:rsidRPr="00F954A6">
        <w:rPr>
          <w:rFonts w:ascii="Arial" w:eastAsia="Arial" w:hAnsi="Arial" w:cs="Arial"/>
          <w:b/>
          <w:color w:val="000000"/>
          <w:sz w:val="24"/>
          <w:szCs w:val="24"/>
        </w:rPr>
        <w:t>IV. LA IMPUGNACIÓN</w:t>
      </w:r>
    </w:p>
    <w:p w14:paraId="60281472"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7CA53DBD" w14:textId="776DAE61"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La formuló l</w:t>
      </w:r>
      <w:r w:rsidR="00DF6F19" w:rsidRPr="00F954A6">
        <w:rPr>
          <w:rFonts w:ascii="Arial" w:eastAsia="Arial" w:hAnsi="Arial" w:cs="Arial"/>
          <w:color w:val="000000"/>
          <w:sz w:val="24"/>
          <w:szCs w:val="24"/>
        </w:rPr>
        <w:t>a</w:t>
      </w:r>
      <w:r w:rsidRPr="00F954A6">
        <w:rPr>
          <w:rFonts w:ascii="Arial" w:eastAsia="Arial" w:hAnsi="Arial" w:cs="Arial"/>
          <w:color w:val="000000"/>
          <w:sz w:val="24"/>
          <w:szCs w:val="24"/>
        </w:rPr>
        <w:t xml:space="preserve"> accionante a</w:t>
      </w:r>
      <w:r w:rsidR="006C628E" w:rsidRPr="00F954A6">
        <w:rPr>
          <w:rFonts w:ascii="Arial" w:eastAsia="Arial" w:hAnsi="Arial" w:cs="Arial"/>
          <w:color w:val="000000"/>
          <w:sz w:val="24"/>
          <w:szCs w:val="24"/>
        </w:rPr>
        <w:t>ceptando que el Juzgado Séptimo Civil Municipal de Pereira ya emitió el pronunciamiento en relación con la solicitud presentada por la AGRUPACIÓN RESIDENCIAL VILLA ALICIA PH;</w:t>
      </w:r>
      <w:r w:rsidRPr="00F954A6">
        <w:rPr>
          <w:rFonts w:ascii="Arial" w:eastAsia="Arial" w:hAnsi="Arial" w:cs="Arial"/>
          <w:color w:val="000000"/>
          <w:sz w:val="24"/>
          <w:szCs w:val="24"/>
        </w:rPr>
        <w:t xml:space="preserve"> y quejándose de que </w:t>
      </w:r>
      <w:r w:rsidR="0031798F" w:rsidRPr="00F954A6">
        <w:rPr>
          <w:rFonts w:ascii="Arial" w:eastAsia="Arial" w:hAnsi="Arial" w:cs="Arial"/>
          <w:color w:val="000000"/>
          <w:sz w:val="24"/>
          <w:szCs w:val="24"/>
        </w:rPr>
        <w:t xml:space="preserve">en </w:t>
      </w:r>
      <w:r w:rsidR="00DA629A" w:rsidRPr="00F954A6">
        <w:rPr>
          <w:rFonts w:ascii="Arial" w:eastAsia="Arial" w:hAnsi="Arial" w:cs="Arial"/>
          <w:color w:val="000000"/>
          <w:sz w:val="24"/>
          <w:szCs w:val="24"/>
        </w:rPr>
        <w:t>la demanda</w:t>
      </w:r>
      <w:r w:rsidR="006C628E" w:rsidRPr="00F954A6">
        <w:rPr>
          <w:rFonts w:ascii="Arial" w:eastAsia="Arial" w:hAnsi="Arial" w:cs="Arial"/>
          <w:color w:val="000000"/>
          <w:sz w:val="24"/>
          <w:szCs w:val="24"/>
        </w:rPr>
        <w:t xml:space="preserve"> de tutela</w:t>
      </w:r>
      <w:r w:rsidR="00DA629A" w:rsidRPr="00F954A6">
        <w:rPr>
          <w:rFonts w:ascii="Arial" w:eastAsia="Arial" w:hAnsi="Arial" w:cs="Arial"/>
          <w:color w:val="000000"/>
          <w:sz w:val="24"/>
          <w:szCs w:val="24"/>
        </w:rPr>
        <w:t xml:space="preserve"> nunca se dijo que se le impedía a ella o a cualquier otra persona ingresar a la AGRUPACIÓN RESIDENCIAL VILLA ALICIA PH, pues lo puede hacer a pie o en vehículo, más no así lo esencial para habitar y vivir en su apartamento, elementos mínimos como son camas, colchones, ropas, lavadora, nevera, enseres de cocina y demás</w:t>
      </w:r>
      <w:r w:rsidR="00BA6589" w:rsidRPr="00F954A6">
        <w:rPr>
          <w:rFonts w:ascii="Arial" w:eastAsia="Arial" w:hAnsi="Arial" w:cs="Arial"/>
          <w:color w:val="000000"/>
          <w:sz w:val="24"/>
          <w:szCs w:val="24"/>
        </w:rPr>
        <w:t xml:space="preserve">. </w:t>
      </w:r>
      <w:r w:rsidR="006C628E" w:rsidRPr="00F954A6">
        <w:rPr>
          <w:rFonts w:ascii="Arial" w:eastAsia="Arial" w:hAnsi="Arial" w:cs="Arial"/>
          <w:color w:val="000000"/>
          <w:sz w:val="24"/>
          <w:szCs w:val="24"/>
        </w:rPr>
        <w:t>Afirma que c</w:t>
      </w:r>
      <w:r w:rsidR="00BA6589" w:rsidRPr="00F954A6">
        <w:rPr>
          <w:rFonts w:ascii="Arial" w:eastAsia="Arial" w:hAnsi="Arial" w:cs="Arial"/>
          <w:color w:val="000000"/>
          <w:sz w:val="24"/>
          <w:szCs w:val="24"/>
        </w:rPr>
        <w:t>onsiderar improcedente el amparo solicitado, es autorizar que se utilicen medios coercitivos y mecanismos de presión de las administraciones de los conjuntos habitacionales</w:t>
      </w:r>
      <w:r w:rsidR="006C628E" w:rsidRPr="00F954A6">
        <w:rPr>
          <w:rFonts w:ascii="Arial" w:eastAsia="Arial" w:hAnsi="Arial" w:cs="Arial"/>
          <w:color w:val="000000"/>
          <w:sz w:val="24"/>
          <w:szCs w:val="24"/>
        </w:rPr>
        <w:t xml:space="preserve"> en </w:t>
      </w:r>
      <w:r w:rsidR="00BA6589" w:rsidRPr="00F954A6">
        <w:rPr>
          <w:rFonts w:ascii="Arial" w:eastAsia="Arial" w:hAnsi="Arial" w:cs="Arial"/>
          <w:color w:val="000000"/>
          <w:sz w:val="24"/>
          <w:szCs w:val="24"/>
        </w:rPr>
        <w:t>defensa</w:t>
      </w:r>
      <w:r w:rsidR="006C628E" w:rsidRPr="00F954A6">
        <w:rPr>
          <w:rFonts w:ascii="Arial" w:eastAsia="Arial" w:hAnsi="Arial" w:cs="Arial"/>
          <w:color w:val="000000"/>
          <w:sz w:val="24"/>
          <w:szCs w:val="24"/>
        </w:rPr>
        <w:t xml:space="preserve"> de su</w:t>
      </w:r>
      <w:r w:rsidR="00BA6589" w:rsidRPr="00F954A6">
        <w:rPr>
          <w:rFonts w:ascii="Arial" w:eastAsia="Arial" w:hAnsi="Arial" w:cs="Arial"/>
          <w:color w:val="000000"/>
          <w:sz w:val="24"/>
          <w:szCs w:val="24"/>
        </w:rPr>
        <w:t xml:space="preserve"> patrimoni</w:t>
      </w:r>
      <w:r w:rsidR="006C628E" w:rsidRPr="00F954A6">
        <w:rPr>
          <w:rFonts w:ascii="Arial" w:eastAsia="Arial" w:hAnsi="Arial" w:cs="Arial"/>
          <w:color w:val="000000"/>
          <w:sz w:val="24"/>
          <w:szCs w:val="24"/>
        </w:rPr>
        <w:t>o,</w:t>
      </w:r>
      <w:r w:rsidR="00BA6589" w:rsidRPr="00F954A6">
        <w:rPr>
          <w:rFonts w:ascii="Arial" w:eastAsia="Arial" w:hAnsi="Arial" w:cs="Arial"/>
          <w:color w:val="000000"/>
          <w:sz w:val="24"/>
          <w:szCs w:val="24"/>
        </w:rPr>
        <w:t xml:space="preserve"> </w:t>
      </w:r>
      <w:r w:rsidR="006C628E" w:rsidRPr="00F954A6">
        <w:rPr>
          <w:rFonts w:ascii="Arial" w:eastAsia="Arial" w:hAnsi="Arial" w:cs="Arial"/>
          <w:color w:val="000000"/>
          <w:sz w:val="24"/>
          <w:szCs w:val="24"/>
        </w:rPr>
        <w:t>lo cual</w:t>
      </w:r>
      <w:r w:rsidR="00BA6589" w:rsidRPr="00F954A6">
        <w:rPr>
          <w:rFonts w:ascii="Arial" w:eastAsia="Arial" w:hAnsi="Arial" w:cs="Arial"/>
          <w:color w:val="000000"/>
          <w:sz w:val="24"/>
          <w:szCs w:val="24"/>
        </w:rPr>
        <w:t xml:space="preserve"> atenta contra los derechos constitucionales invocados; sin que se pretenda burlar o pasar por alto los mecanismos jurídicos con que se cuenta y de los cuales la AGRUPACIÓN RESIDENCIAL VILLA ALICIA PH ya hizo uso, obteniendo su pago, sino que ces</w:t>
      </w:r>
      <w:r w:rsidR="006C628E" w:rsidRPr="00F954A6">
        <w:rPr>
          <w:rFonts w:ascii="Arial" w:eastAsia="Arial" w:hAnsi="Arial" w:cs="Arial"/>
          <w:color w:val="000000"/>
          <w:sz w:val="24"/>
          <w:szCs w:val="24"/>
        </w:rPr>
        <w:t>e</w:t>
      </w:r>
      <w:r w:rsidR="00BA6589" w:rsidRPr="00F954A6">
        <w:rPr>
          <w:rFonts w:ascii="Arial" w:eastAsia="Arial" w:hAnsi="Arial" w:cs="Arial"/>
          <w:color w:val="000000"/>
          <w:sz w:val="24"/>
          <w:szCs w:val="24"/>
        </w:rPr>
        <w:t xml:space="preserve"> el abuso del que está siendo víctima.</w:t>
      </w:r>
      <w:r w:rsidRPr="00F954A6">
        <w:rPr>
          <w:rFonts w:ascii="Arial" w:eastAsia="Arial" w:hAnsi="Arial" w:cs="Arial"/>
          <w:color w:val="000000"/>
          <w:sz w:val="24"/>
          <w:szCs w:val="24"/>
        </w:rPr>
        <w:t xml:space="preserve"> (fls. </w:t>
      </w:r>
      <w:r w:rsidR="00114C97" w:rsidRPr="00F954A6">
        <w:rPr>
          <w:rFonts w:ascii="Arial" w:eastAsia="Arial" w:hAnsi="Arial" w:cs="Arial"/>
          <w:color w:val="000000"/>
          <w:sz w:val="24"/>
          <w:szCs w:val="24"/>
        </w:rPr>
        <w:t>1</w:t>
      </w:r>
      <w:r w:rsidR="001F4274" w:rsidRPr="00F954A6">
        <w:rPr>
          <w:rFonts w:ascii="Arial" w:eastAsia="Arial" w:hAnsi="Arial" w:cs="Arial"/>
          <w:color w:val="000000"/>
          <w:sz w:val="24"/>
          <w:szCs w:val="24"/>
        </w:rPr>
        <w:t>10</w:t>
      </w:r>
      <w:r w:rsidRPr="00F954A6">
        <w:rPr>
          <w:rFonts w:ascii="Arial" w:eastAsia="Arial" w:hAnsi="Arial" w:cs="Arial"/>
          <w:color w:val="000000"/>
          <w:sz w:val="24"/>
          <w:szCs w:val="24"/>
        </w:rPr>
        <w:t>-</w:t>
      </w:r>
      <w:r w:rsidR="002473D4" w:rsidRPr="00F954A6">
        <w:rPr>
          <w:rFonts w:ascii="Arial" w:eastAsia="Arial" w:hAnsi="Arial" w:cs="Arial"/>
          <w:color w:val="000000"/>
          <w:sz w:val="24"/>
          <w:szCs w:val="24"/>
        </w:rPr>
        <w:t>1</w:t>
      </w:r>
      <w:r w:rsidR="001F4274" w:rsidRPr="00F954A6">
        <w:rPr>
          <w:rFonts w:ascii="Arial" w:eastAsia="Arial" w:hAnsi="Arial" w:cs="Arial"/>
          <w:color w:val="000000"/>
          <w:sz w:val="24"/>
          <w:szCs w:val="24"/>
        </w:rPr>
        <w:t>1</w:t>
      </w:r>
      <w:r w:rsidR="002473D4" w:rsidRPr="00F954A6">
        <w:rPr>
          <w:rFonts w:ascii="Arial" w:eastAsia="Arial" w:hAnsi="Arial" w:cs="Arial"/>
          <w:color w:val="000000"/>
          <w:sz w:val="24"/>
          <w:szCs w:val="24"/>
        </w:rPr>
        <w:t>1</w:t>
      </w:r>
      <w:r w:rsidRPr="00F954A6">
        <w:rPr>
          <w:rFonts w:ascii="Arial" w:eastAsia="Arial" w:hAnsi="Arial" w:cs="Arial"/>
          <w:color w:val="000000"/>
          <w:sz w:val="24"/>
          <w:szCs w:val="24"/>
        </w:rPr>
        <w:t xml:space="preserve"> id.).</w:t>
      </w:r>
    </w:p>
    <w:p w14:paraId="657E9874" w14:textId="77777777" w:rsidR="00263411" w:rsidRPr="00F954A6" w:rsidRDefault="00263411"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7B61B0C0" w14:textId="77777777" w:rsidR="002C74F5" w:rsidRPr="00F954A6" w:rsidRDefault="006215AE" w:rsidP="00F954A6">
      <w:pPr>
        <w:pBdr>
          <w:top w:val="nil"/>
          <w:left w:val="nil"/>
          <w:bottom w:val="nil"/>
          <w:right w:val="nil"/>
          <w:between w:val="nil"/>
        </w:pBdr>
        <w:spacing w:line="276" w:lineRule="auto"/>
        <w:ind w:firstLine="2835"/>
        <w:rPr>
          <w:rFonts w:ascii="Arial" w:eastAsia="Arial" w:hAnsi="Arial" w:cs="Arial"/>
          <w:b/>
          <w:color w:val="000000"/>
          <w:sz w:val="24"/>
          <w:szCs w:val="24"/>
        </w:rPr>
      </w:pPr>
      <w:r w:rsidRPr="00F954A6">
        <w:rPr>
          <w:rFonts w:ascii="Arial" w:eastAsia="Arial" w:hAnsi="Arial" w:cs="Arial"/>
          <w:b/>
          <w:color w:val="000000"/>
          <w:sz w:val="24"/>
          <w:szCs w:val="24"/>
        </w:rPr>
        <w:t>V. CONSIDERACIONES DE LA SALA</w:t>
      </w:r>
    </w:p>
    <w:p w14:paraId="6DC69FFF"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77F4E95A" w14:textId="77777777"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1. Esta Corporación es competente para resolver la impugnación, toda vez que es el superior funcional de la autoridad judicial que profirió la sentencia de primera instancia.</w:t>
      </w:r>
    </w:p>
    <w:p w14:paraId="09A91B4F"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378951AF" w14:textId="10E6D2CC" w:rsidR="002C74F5" w:rsidRPr="00F954A6" w:rsidRDefault="006215AE"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eastAsia="Arial" w:hAnsi="Arial" w:cs="Arial"/>
          <w:color w:val="000000"/>
          <w:sz w:val="24"/>
          <w:szCs w:val="24"/>
        </w:rPr>
        <w:t xml:space="preserve">2. </w:t>
      </w:r>
      <w:r w:rsidR="00B6408F" w:rsidRPr="00F954A6">
        <w:rPr>
          <w:rFonts w:ascii="Arial" w:hAnsi="Arial" w:cs="Arial"/>
          <w:sz w:val="24"/>
          <w:szCs w:val="24"/>
        </w:rPr>
        <w:t>De conformidad con lo expuesto en el acápite de antecedentes, la decisión adoptada en primera instancia y la impugnación, corresponde a la Sala resolver si</w:t>
      </w:r>
      <w:r w:rsidR="00B6408F" w:rsidRPr="00F954A6">
        <w:rPr>
          <w:rFonts w:ascii="Arial" w:eastAsia="Arial" w:hAnsi="Arial" w:cs="Arial"/>
          <w:color w:val="000000"/>
          <w:sz w:val="24"/>
          <w:szCs w:val="24"/>
        </w:rPr>
        <w:t xml:space="preserve"> </w:t>
      </w:r>
      <w:r w:rsidRPr="00F954A6">
        <w:rPr>
          <w:rFonts w:ascii="Arial" w:eastAsia="Arial" w:hAnsi="Arial" w:cs="Arial"/>
          <w:color w:val="000000"/>
          <w:sz w:val="24"/>
          <w:szCs w:val="24"/>
        </w:rPr>
        <w:t xml:space="preserve">el </w:t>
      </w:r>
      <w:r w:rsidR="009E2F98" w:rsidRPr="00F954A6">
        <w:rPr>
          <w:rFonts w:ascii="Arial" w:eastAsia="Arial" w:hAnsi="Arial" w:cs="Arial"/>
          <w:color w:val="000000"/>
          <w:sz w:val="24"/>
          <w:szCs w:val="24"/>
        </w:rPr>
        <w:t>JUZGADO</w:t>
      </w:r>
      <w:r w:rsidRPr="00F954A6">
        <w:rPr>
          <w:rFonts w:ascii="Arial" w:eastAsia="Arial" w:hAnsi="Arial" w:cs="Arial"/>
          <w:color w:val="000000"/>
          <w:sz w:val="24"/>
          <w:szCs w:val="24"/>
        </w:rPr>
        <w:t xml:space="preserve"> </w:t>
      </w:r>
      <w:r w:rsidR="009E2F98" w:rsidRPr="00F954A6">
        <w:rPr>
          <w:rFonts w:ascii="Arial" w:eastAsia="Arial" w:hAnsi="Arial" w:cs="Arial"/>
          <w:color w:val="000000"/>
          <w:sz w:val="24"/>
          <w:szCs w:val="24"/>
        </w:rPr>
        <w:t>S</w:t>
      </w:r>
      <w:r w:rsidR="00DF6F19" w:rsidRPr="00F954A6">
        <w:rPr>
          <w:rFonts w:ascii="Arial" w:eastAsia="Arial" w:hAnsi="Arial" w:cs="Arial"/>
          <w:color w:val="000000"/>
          <w:sz w:val="24"/>
          <w:szCs w:val="24"/>
        </w:rPr>
        <w:t>ÉPTIMO</w:t>
      </w:r>
      <w:r w:rsidR="009E2F98" w:rsidRPr="00F954A6">
        <w:rPr>
          <w:rFonts w:ascii="Arial" w:eastAsia="Arial" w:hAnsi="Arial" w:cs="Arial"/>
          <w:color w:val="000000"/>
          <w:sz w:val="24"/>
          <w:szCs w:val="24"/>
        </w:rPr>
        <w:t xml:space="preserve"> CIVIL MUNICIPAL DE PEREIRA</w:t>
      </w:r>
      <w:r w:rsidR="00B6408F" w:rsidRPr="00F954A6">
        <w:rPr>
          <w:rFonts w:ascii="Arial" w:eastAsia="Arial" w:hAnsi="Arial" w:cs="Arial"/>
          <w:color w:val="000000"/>
          <w:sz w:val="24"/>
          <w:szCs w:val="24"/>
        </w:rPr>
        <w:t xml:space="preserve"> y l</w:t>
      </w:r>
      <w:r w:rsidR="00DF6F19" w:rsidRPr="00F954A6">
        <w:rPr>
          <w:rFonts w:ascii="Arial" w:eastAsia="Arial" w:hAnsi="Arial" w:cs="Arial"/>
          <w:color w:val="000000"/>
          <w:sz w:val="24"/>
          <w:szCs w:val="24"/>
        </w:rPr>
        <w:t>a AGRUPACIÓN RESIDENCIAL VILLA ALICIA PH</w:t>
      </w:r>
      <w:r w:rsidR="00B6408F" w:rsidRPr="00F954A6">
        <w:rPr>
          <w:rFonts w:ascii="Arial" w:eastAsia="Arial" w:hAnsi="Arial" w:cs="Arial"/>
          <w:color w:val="000000"/>
          <w:sz w:val="24"/>
          <w:szCs w:val="24"/>
        </w:rPr>
        <w:t xml:space="preserve">, </w:t>
      </w:r>
      <w:r w:rsidR="00B6408F" w:rsidRPr="00F954A6">
        <w:rPr>
          <w:rFonts w:ascii="Arial" w:hAnsi="Arial" w:cs="Arial"/>
          <w:sz w:val="24"/>
          <w:szCs w:val="24"/>
        </w:rPr>
        <w:t>vulneran los derechos</w:t>
      </w:r>
      <w:r w:rsidR="001F4274" w:rsidRPr="00F954A6">
        <w:rPr>
          <w:rFonts w:ascii="Arial" w:hAnsi="Arial" w:cs="Arial"/>
          <w:sz w:val="24"/>
          <w:szCs w:val="24"/>
        </w:rPr>
        <w:t xml:space="preserve"> </w:t>
      </w:r>
      <w:r w:rsidR="001F4274" w:rsidRPr="00F954A6">
        <w:rPr>
          <w:rFonts w:ascii="Arial" w:eastAsia="Arial" w:hAnsi="Arial" w:cs="Arial"/>
          <w:color w:val="000000"/>
          <w:sz w:val="24"/>
          <w:szCs w:val="24"/>
        </w:rPr>
        <w:t>a la propiedad privada, libre locomoción y a recibir una pronta justicia</w:t>
      </w:r>
      <w:r w:rsidR="00B6408F" w:rsidRPr="00F954A6">
        <w:rPr>
          <w:rFonts w:ascii="Arial" w:hAnsi="Arial" w:cs="Arial"/>
          <w:sz w:val="24"/>
          <w:szCs w:val="24"/>
        </w:rPr>
        <w:t>, invocados por l</w:t>
      </w:r>
      <w:r w:rsidR="00DF6F19" w:rsidRPr="00F954A6">
        <w:rPr>
          <w:rFonts w:ascii="Arial" w:hAnsi="Arial" w:cs="Arial"/>
          <w:sz w:val="24"/>
          <w:szCs w:val="24"/>
        </w:rPr>
        <w:t>a</w:t>
      </w:r>
      <w:r w:rsidR="00B6408F" w:rsidRPr="00F954A6">
        <w:rPr>
          <w:rFonts w:ascii="Arial" w:hAnsi="Arial" w:cs="Arial"/>
          <w:sz w:val="24"/>
          <w:szCs w:val="24"/>
        </w:rPr>
        <w:t xml:space="preserve"> accionante; </w:t>
      </w:r>
      <w:r w:rsidR="00A27943" w:rsidRPr="00F954A6">
        <w:rPr>
          <w:rFonts w:ascii="Arial" w:hAnsi="Arial" w:cs="Arial"/>
          <w:sz w:val="24"/>
          <w:szCs w:val="24"/>
        </w:rPr>
        <w:t>y si la acción de tutela es el mecanismo procedente para su protección</w:t>
      </w:r>
      <w:r w:rsidR="00C01666" w:rsidRPr="00F954A6">
        <w:rPr>
          <w:rFonts w:ascii="Arial" w:eastAsia="Arial" w:hAnsi="Arial" w:cs="Arial"/>
          <w:color w:val="000000"/>
          <w:sz w:val="24"/>
          <w:szCs w:val="24"/>
        </w:rPr>
        <w:t>.</w:t>
      </w:r>
    </w:p>
    <w:p w14:paraId="2A0F71F4"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2D936D24" w14:textId="77777777" w:rsidR="008246AB" w:rsidRPr="00F954A6" w:rsidRDefault="008246AB" w:rsidP="00F954A6">
      <w:pPr>
        <w:pStyle w:val="Sinespaciado1"/>
        <w:spacing w:line="276" w:lineRule="auto"/>
        <w:ind w:firstLine="2832"/>
        <w:jc w:val="both"/>
        <w:rPr>
          <w:rFonts w:ascii="Arial" w:hAnsi="Arial" w:cs="Arial"/>
          <w:sz w:val="24"/>
          <w:szCs w:val="24"/>
        </w:rPr>
      </w:pPr>
      <w:r w:rsidRPr="00F954A6">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14:paraId="0BCECD35" w14:textId="77777777" w:rsidR="008246AB" w:rsidRPr="00F954A6" w:rsidRDefault="008246AB" w:rsidP="00F954A6">
      <w:pPr>
        <w:spacing w:line="276" w:lineRule="auto"/>
        <w:ind w:firstLine="2835"/>
        <w:jc w:val="both"/>
        <w:rPr>
          <w:rFonts w:ascii="Arial" w:hAnsi="Arial" w:cs="Arial"/>
          <w:sz w:val="24"/>
          <w:szCs w:val="24"/>
        </w:rPr>
      </w:pPr>
    </w:p>
    <w:p w14:paraId="17A3168A" w14:textId="77777777" w:rsidR="008246AB" w:rsidRPr="00F954A6" w:rsidRDefault="008246AB" w:rsidP="00F954A6">
      <w:pPr>
        <w:spacing w:line="276" w:lineRule="auto"/>
        <w:ind w:firstLine="2835"/>
        <w:jc w:val="both"/>
        <w:rPr>
          <w:rFonts w:ascii="Arial" w:hAnsi="Arial" w:cs="Arial"/>
          <w:sz w:val="24"/>
          <w:szCs w:val="24"/>
        </w:rPr>
      </w:pPr>
      <w:r w:rsidRPr="00F954A6">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F954A6">
        <w:rPr>
          <w:rStyle w:val="Refdenotaalpie"/>
          <w:rFonts w:ascii="Arial" w:hAnsi="Arial" w:cs="Arial"/>
          <w:sz w:val="24"/>
          <w:szCs w:val="24"/>
        </w:rPr>
        <w:footnoteReference w:id="1"/>
      </w:r>
      <w:r w:rsidRPr="00F954A6">
        <w:rPr>
          <w:rFonts w:ascii="Arial" w:hAnsi="Arial" w:cs="Arial"/>
          <w:sz w:val="24"/>
          <w:szCs w:val="24"/>
        </w:rPr>
        <w:t>.</w:t>
      </w:r>
    </w:p>
    <w:p w14:paraId="00CF5E59" w14:textId="77777777" w:rsidR="00263411" w:rsidRPr="00F954A6" w:rsidRDefault="00263411" w:rsidP="00F954A6">
      <w:pPr>
        <w:pStyle w:val="Sinespaciado1"/>
        <w:spacing w:line="276" w:lineRule="auto"/>
        <w:ind w:firstLine="2832"/>
        <w:jc w:val="both"/>
        <w:rPr>
          <w:rFonts w:ascii="Arial" w:hAnsi="Arial" w:cs="Arial"/>
          <w:sz w:val="24"/>
          <w:szCs w:val="24"/>
          <w:lang w:val="es-ES"/>
        </w:rPr>
      </w:pPr>
    </w:p>
    <w:p w14:paraId="4CF73E32" w14:textId="77777777" w:rsidR="008246AB" w:rsidRPr="00F954A6" w:rsidRDefault="008246AB" w:rsidP="00F954A6">
      <w:pPr>
        <w:pStyle w:val="Sinespaciado1"/>
        <w:spacing w:line="276" w:lineRule="auto"/>
        <w:ind w:firstLine="2835"/>
        <w:jc w:val="both"/>
        <w:rPr>
          <w:rFonts w:ascii="Arial" w:hAnsi="Arial" w:cs="Arial"/>
          <w:b/>
          <w:sz w:val="24"/>
          <w:szCs w:val="24"/>
        </w:rPr>
      </w:pPr>
      <w:r w:rsidRPr="00F954A6">
        <w:rPr>
          <w:rFonts w:ascii="Arial" w:hAnsi="Arial" w:cs="Arial"/>
          <w:b/>
          <w:spacing w:val="-3"/>
          <w:sz w:val="24"/>
          <w:szCs w:val="24"/>
        </w:rPr>
        <w:t>VI. EL CASO CONCRETO</w:t>
      </w:r>
    </w:p>
    <w:p w14:paraId="4419D4C9" w14:textId="77777777" w:rsidR="008246AB" w:rsidRPr="00F954A6" w:rsidRDefault="008246AB" w:rsidP="00F954A6">
      <w:pPr>
        <w:pStyle w:val="Sinespaciado1"/>
        <w:spacing w:line="276" w:lineRule="auto"/>
        <w:ind w:firstLine="2835"/>
        <w:jc w:val="both"/>
        <w:rPr>
          <w:rFonts w:ascii="Arial" w:hAnsi="Arial" w:cs="Arial"/>
          <w:sz w:val="24"/>
          <w:szCs w:val="24"/>
        </w:rPr>
      </w:pPr>
    </w:p>
    <w:p w14:paraId="2E050DF2" w14:textId="17365356" w:rsidR="002C74F5" w:rsidRPr="00F954A6" w:rsidRDefault="008246AB"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hAnsi="Arial" w:cs="Arial"/>
          <w:spacing w:val="-3"/>
          <w:sz w:val="24"/>
          <w:szCs w:val="24"/>
        </w:rPr>
        <w:t xml:space="preserve">1. Se recuerda que, en el presente caso, </w:t>
      </w:r>
      <w:r w:rsidRPr="00F954A6">
        <w:rPr>
          <w:rFonts w:ascii="Arial" w:hAnsi="Arial" w:cs="Arial"/>
          <w:sz w:val="24"/>
          <w:szCs w:val="24"/>
          <w:lang w:val="es-ES"/>
        </w:rPr>
        <w:t>l</w:t>
      </w:r>
      <w:r w:rsidR="00DF6F19" w:rsidRPr="00F954A6">
        <w:rPr>
          <w:rFonts w:ascii="Arial" w:hAnsi="Arial" w:cs="Arial"/>
          <w:sz w:val="24"/>
          <w:szCs w:val="24"/>
          <w:lang w:val="es-ES"/>
        </w:rPr>
        <w:t>a</w:t>
      </w:r>
      <w:r w:rsidRPr="00F954A6">
        <w:rPr>
          <w:rFonts w:ascii="Arial" w:hAnsi="Arial" w:cs="Arial"/>
          <w:sz w:val="24"/>
          <w:szCs w:val="24"/>
          <w:lang w:val="es-ES"/>
        </w:rPr>
        <w:t xml:space="preserve"> señor</w:t>
      </w:r>
      <w:r w:rsidR="00DF6F19" w:rsidRPr="00F954A6">
        <w:rPr>
          <w:rFonts w:ascii="Arial" w:hAnsi="Arial" w:cs="Arial"/>
          <w:sz w:val="24"/>
          <w:szCs w:val="24"/>
          <w:lang w:val="es-ES"/>
        </w:rPr>
        <w:t>a</w:t>
      </w:r>
      <w:r w:rsidRPr="00F954A6">
        <w:rPr>
          <w:rFonts w:ascii="Arial" w:hAnsi="Arial" w:cs="Arial"/>
          <w:sz w:val="24"/>
          <w:szCs w:val="24"/>
          <w:lang w:val="es-ES"/>
        </w:rPr>
        <w:t xml:space="preserve"> </w:t>
      </w:r>
      <w:r w:rsidR="001B261B" w:rsidRPr="00F954A6">
        <w:rPr>
          <w:rFonts w:ascii="Arial" w:eastAsia="Arial" w:hAnsi="Arial" w:cs="Arial"/>
          <w:color w:val="000000"/>
          <w:sz w:val="24"/>
          <w:szCs w:val="24"/>
        </w:rPr>
        <w:t>MARÍA LUISA FRANCO RESTREPO</w:t>
      </w:r>
      <w:r w:rsidRPr="00F954A6">
        <w:rPr>
          <w:rFonts w:ascii="Arial" w:hAnsi="Arial" w:cs="Arial"/>
          <w:spacing w:val="-3"/>
          <w:sz w:val="24"/>
          <w:szCs w:val="24"/>
        </w:rPr>
        <w:t xml:space="preserve">, pretende </w:t>
      </w:r>
      <w:r w:rsidRPr="00F954A6">
        <w:rPr>
          <w:rFonts w:ascii="Arial" w:hAnsi="Arial" w:cs="Arial"/>
          <w:sz w:val="24"/>
          <w:szCs w:val="24"/>
        </w:rPr>
        <w:t>que por este mecanismo excepcional se</w:t>
      </w:r>
      <w:r w:rsidRPr="00F954A6">
        <w:rPr>
          <w:rFonts w:ascii="Arial" w:eastAsia="Arial" w:hAnsi="Arial" w:cs="Arial"/>
          <w:color w:val="000000"/>
          <w:sz w:val="24"/>
          <w:szCs w:val="24"/>
        </w:rPr>
        <w:t xml:space="preserve"> </w:t>
      </w:r>
      <w:r w:rsidR="006215AE" w:rsidRPr="00F954A6">
        <w:rPr>
          <w:rFonts w:ascii="Arial" w:eastAsia="Arial" w:hAnsi="Arial" w:cs="Arial"/>
          <w:color w:val="000000"/>
          <w:sz w:val="24"/>
          <w:szCs w:val="24"/>
        </w:rPr>
        <w:t xml:space="preserve">disponga ordenar </w:t>
      </w:r>
      <w:r w:rsidR="001B261B" w:rsidRPr="00F954A6">
        <w:rPr>
          <w:rFonts w:ascii="Arial" w:eastAsia="Arial" w:hAnsi="Arial" w:cs="Arial"/>
          <w:color w:val="000000"/>
          <w:sz w:val="24"/>
          <w:szCs w:val="24"/>
        </w:rPr>
        <w:t>a la Administradora de la AGRUPACIÓN RESIDENCIAL VILLA ALICIA PH cesar sus actos violatorios; y, al JUZGADO SÉPTIMO CIVIL MUNICIPAL DE PEREIRA administre prontamente justicia dando curso a la solicitud presentada el día 15 de enero de 2020 por la apoderada judicial de la AGRUPACIÓN RESIDENCIAL VILLA ALICIA PH en el proceso ejecutivo radicado 2017-00473</w:t>
      </w:r>
      <w:r w:rsidR="006215AE" w:rsidRPr="00F954A6">
        <w:rPr>
          <w:rFonts w:ascii="Arial" w:eastAsia="Arial" w:hAnsi="Arial" w:cs="Arial"/>
          <w:color w:val="000000"/>
          <w:sz w:val="24"/>
          <w:szCs w:val="24"/>
        </w:rPr>
        <w:t>.</w:t>
      </w:r>
    </w:p>
    <w:p w14:paraId="12F4B81C"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03927667" w14:textId="7782C089" w:rsidR="00931D61" w:rsidRPr="00F954A6" w:rsidRDefault="00DC3E38" w:rsidP="00F954A6">
      <w:pPr>
        <w:pStyle w:val="Sinespaciado2"/>
        <w:spacing w:line="276" w:lineRule="auto"/>
        <w:ind w:firstLine="2835"/>
        <w:jc w:val="both"/>
        <w:rPr>
          <w:rFonts w:ascii="Arial" w:hAnsi="Arial" w:cs="Arial"/>
          <w:sz w:val="24"/>
          <w:szCs w:val="24"/>
        </w:rPr>
      </w:pPr>
      <w:r w:rsidRPr="00F954A6">
        <w:rPr>
          <w:rFonts w:ascii="Arial" w:hAnsi="Arial" w:cs="Arial"/>
          <w:sz w:val="24"/>
          <w:szCs w:val="24"/>
        </w:rPr>
        <w:t xml:space="preserve">2. </w:t>
      </w:r>
      <w:r w:rsidR="00124FAD" w:rsidRPr="00F954A6">
        <w:rPr>
          <w:rFonts w:ascii="Arial" w:hAnsi="Arial" w:cs="Arial"/>
          <w:sz w:val="24"/>
          <w:szCs w:val="24"/>
        </w:rPr>
        <w:t xml:space="preserve">Vistas así las cosas la Sala considera que, </w:t>
      </w:r>
      <w:r w:rsidR="00931D61" w:rsidRPr="00F954A6">
        <w:rPr>
          <w:rFonts w:ascii="Arial" w:hAnsi="Arial" w:cs="Arial"/>
          <w:sz w:val="24"/>
          <w:szCs w:val="24"/>
        </w:rPr>
        <w:t>si bien es cierto podría aducirse que es un hecho superado la expedición del auto por parte d</w:t>
      </w:r>
      <w:r w:rsidR="00931D61" w:rsidRPr="00F954A6">
        <w:rPr>
          <w:rFonts w:ascii="Arial" w:eastAsia="Arial" w:hAnsi="Arial" w:cs="Arial"/>
          <w:color w:val="000000"/>
          <w:sz w:val="24"/>
          <w:szCs w:val="24"/>
        </w:rPr>
        <w:t>el Juzgado Séptimo Civil Municipal de Pereira, en relación con la solicitud presentada por la AGRUPACIÓN RESIDENCIAL VILLA ALICIA PH</w:t>
      </w:r>
      <w:r w:rsidR="00931D61" w:rsidRPr="00F954A6">
        <w:rPr>
          <w:rFonts w:ascii="Arial" w:hAnsi="Arial" w:cs="Arial"/>
          <w:sz w:val="24"/>
          <w:szCs w:val="24"/>
        </w:rPr>
        <w:t xml:space="preserve">, tal como lo dijo el juez de primera instancia en la sentencia, y así lo confirmó la propia accionante en su escrito de impugnación (fl. 110 id.); la verdad es que tampoco se evidencia que la actora le </w:t>
      </w:r>
      <w:r w:rsidR="00931D61" w:rsidRPr="00F954A6">
        <w:rPr>
          <w:rFonts w:ascii="Arial" w:hAnsi="Arial" w:cs="Arial"/>
          <w:sz w:val="24"/>
          <w:szCs w:val="24"/>
        </w:rPr>
        <w:lastRenderedPageBreak/>
        <w:t>haya pedido expresamente a la autoridad judicial accionada que se pronunciara en tal sentido, de manera que hubiese obligado un pronunciamiento explícito de la titular del juzgado sobre el particular. Solo a partir de allí, podría analizarse si la aparente omisión del despacho resultaba lesiva de los derechos fundamentales de la accionante.</w:t>
      </w:r>
    </w:p>
    <w:p w14:paraId="24D5095D" w14:textId="77777777" w:rsidR="00931D61" w:rsidRPr="00F954A6" w:rsidRDefault="00931D61" w:rsidP="00F954A6">
      <w:pPr>
        <w:pStyle w:val="Sinespaciado2"/>
        <w:spacing w:line="276" w:lineRule="auto"/>
        <w:ind w:firstLine="2835"/>
        <w:jc w:val="both"/>
        <w:rPr>
          <w:rFonts w:ascii="Arial" w:hAnsi="Arial" w:cs="Arial"/>
          <w:sz w:val="24"/>
          <w:szCs w:val="24"/>
        </w:rPr>
      </w:pPr>
    </w:p>
    <w:p w14:paraId="5147D0AE" w14:textId="2488D68B" w:rsidR="00DC3E38" w:rsidRPr="00F954A6" w:rsidRDefault="00931D61" w:rsidP="00F954A6">
      <w:pPr>
        <w:pStyle w:val="Sinespaciado1"/>
        <w:spacing w:line="276" w:lineRule="auto"/>
        <w:ind w:firstLine="2835"/>
        <w:jc w:val="both"/>
        <w:rPr>
          <w:rFonts w:ascii="Arial" w:hAnsi="Arial" w:cs="Arial"/>
          <w:sz w:val="24"/>
          <w:szCs w:val="24"/>
        </w:rPr>
      </w:pPr>
      <w:r w:rsidRPr="00F954A6">
        <w:rPr>
          <w:rFonts w:ascii="Arial" w:hAnsi="Arial" w:cs="Arial"/>
          <w:sz w:val="24"/>
          <w:szCs w:val="24"/>
        </w:rPr>
        <w:t xml:space="preserve">3. Ahora bien, </w:t>
      </w:r>
      <w:r w:rsidR="00A7221D" w:rsidRPr="00F954A6">
        <w:rPr>
          <w:rFonts w:ascii="Arial" w:hAnsi="Arial" w:cs="Arial"/>
          <w:sz w:val="24"/>
          <w:szCs w:val="24"/>
        </w:rPr>
        <w:t>en asuntos relacionados con el régimen de propiedad horizontal, la Corte Constitucional ha establecido que, por regla general, debe acudirse a los mecanismos ordinarios de defensa judicial que ofrece aquella regulación</w:t>
      </w:r>
      <w:r w:rsidRPr="00F954A6">
        <w:rPr>
          <w:rFonts w:ascii="Arial" w:hAnsi="Arial" w:cs="Arial"/>
          <w:sz w:val="24"/>
          <w:szCs w:val="24"/>
        </w:rPr>
        <w:t>, pero que excepcionalmente, la acción de tutela resultará procedente como vía principal cuando las decisiones de la administración de la unidad residencial “</w:t>
      </w:r>
      <w:r w:rsidRPr="00F954A6">
        <w:rPr>
          <w:rFonts w:ascii="Arial" w:hAnsi="Arial" w:cs="Arial"/>
          <w:i/>
          <w:iCs/>
          <w:szCs w:val="24"/>
        </w:rPr>
        <w:t>impidan la satisfacción mínima de las condiciones de existencia vital que los individuos no pueden asegurarse por sí mismos</w:t>
      </w:r>
      <w:r w:rsidRPr="00F954A6">
        <w:rPr>
          <w:rFonts w:ascii="Arial" w:hAnsi="Arial" w:cs="Arial"/>
          <w:sz w:val="24"/>
          <w:szCs w:val="24"/>
        </w:rPr>
        <w:t>”</w:t>
      </w:r>
      <w:r w:rsidR="00DC3E38" w:rsidRPr="00F954A6">
        <w:rPr>
          <w:rStyle w:val="Refdenotaalpie"/>
          <w:rFonts w:ascii="Arial" w:hAnsi="Arial" w:cs="Arial"/>
          <w:sz w:val="24"/>
          <w:szCs w:val="24"/>
        </w:rPr>
        <w:footnoteReference w:id="2"/>
      </w:r>
      <w:r w:rsidR="00DC3E38" w:rsidRPr="00F954A6">
        <w:rPr>
          <w:rFonts w:ascii="Arial" w:hAnsi="Arial" w:cs="Arial"/>
          <w:sz w:val="24"/>
          <w:szCs w:val="24"/>
        </w:rPr>
        <w:t>:</w:t>
      </w:r>
    </w:p>
    <w:p w14:paraId="4B1D7A21" w14:textId="77777777" w:rsidR="00DC3E38" w:rsidRPr="00F954A6" w:rsidRDefault="00DC3E38" w:rsidP="00F954A6">
      <w:pPr>
        <w:spacing w:line="276" w:lineRule="auto"/>
        <w:ind w:firstLine="2835"/>
        <w:jc w:val="both"/>
        <w:rPr>
          <w:rFonts w:ascii="Arial" w:hAnsi="Arial" w:cs="Arial"/>
          <w:sz w:val="24"/>
          <w:szCs w:val="24"/>
        </w:rPr>
      </w:pPr>
    </w:p>
    <w:p w14:paraId="44E31270" w14:textId="77777777" w:rsidR="00F41A33" w:rsidRPr="00F954A6" w:rsidRDefault="00DC3E38" w:rsidP="00F954A6">
      <w:pPr>
        <w:ind w:left="426" w:right="418"/>
        <w:jc w:val="both"/>
        <w:rPr>
          <w:rFonts w:ascii="Arial" w:hAnsi="Arial" w:cs="Arial"/>
          <w:sz w:val="22"/>
          <w:szCs w:val="24"/>
        </w:rPr>
      </w:pPr>
      <w:r w:rsidRPr="00F954A6">
        <w:rPr>
          <w:rFonts w:ascii="Arial" w:hAnsi="Arial" w:cs="Arial"/>
          <w:sz w:val="22"/>
          <w:szCs w:val="24"/>
        </w:rPr>
        <w:t>“</w:t>
      </w:r>
      <w:r w:rsidR="00F41A33" w:rsidRPr="00F954A6">
        <w:rPr>
          <w:rFonts w:ascii="Arial" w:hAnsi="Arial" w:cs="Arial"/>
          <w:b/>
          <w:sz w:val="22"/>
          <w:szCs w:val="24"/>
        </w:rPr>
        <w:t>4. El requisito de subsidiariedad en asuntos de Propiedad Horizontal</w:t>
      </w:r>
    </w:p>
    <w:p w14:paraId="56473358" w14:textId="77777777" w:rsidR="00F41A33" w:rsidRPr="00F954A6" w:rsidRDefault="00F41A33" w:rsidP="00F954A6">
      <w:pPr>
        <w:ind w:left="426" w:right="418"/>
        <w:jc w:val="both"/>
        <w:rPr>
          <w:rFonts w:ascii="Arial" w:hAnsi="Arial" w:cs="Arial"/>
          <w:sz w:val="22"/>
          <w:szCs w:val="24"/>
        </w:rPr>
      </w:pPr>
    </w:p>
    <w:p w14:paraId="48D47C43" w14:textId="4F447B7D" w:rsidR="00821F00" w:rsidRPr="00F954A6" w:rsidRDefault="00F41A33" w:rsidP="00F954A6">
      <w:pPr>
        <w:ind w:left="426" w:right="418"/>
        <w:jc w:val="both"/>
        <w:rPr>
          <w:rFonts w:ascii="Arial" w:hAnsi="Arial" w:cs="Arial"/>
          <w:bCs/>
          <w:color w:val="000000"/>
          <w:sz w:val="22"/>
          <w:szCs w:val="24"/>
          <w:lang w:val="es-ES_tradnl" w:eastAsia="es-CO"/>
        </w:rPr>
      </w:pPr>
      <w:r w:rsidRPr="00F954A6">
        <w:rPr>
          <w:rFonts w:ascii="Arial" w:hAnsi="Arial" w:cs="Arial"/>
          <w:sz w:val="22"/>
          <w:szCs w:val="24"/>
        </w:rPr>
        <w:t xml:space="preserve">4.1. La jurisprudencia inicial de la Corte Constitucional estableció que tratándose de conflictos generados por las relaciones entre los habitantes de un conjunto residencial y la administración en el marco del régimen de propiedad horizontal, el recurso adecuado y efectivo que es procedente es el proceso verbal sumario civil. </w:t>
      </w:r>
      <w:r w:rsidR="00821F00" w:rsidRPr="00F954A6">
        <w:rPr>
          <w:rFonts w:ascii="Arial" w:hAnsi="Arial" w:cs="Arial"/>
          <w:bCs/>
          <w:color w:val="000000"/>
          <w:sz w:val="22"/>
          <w:szCs w:val="24"/>
          <w:lang w:val="es-ES_tradnl" w:eastAsia="es-CO"/>
        </w:rPr>
        <w:t>En la sentencia T-210 de 1993,</w:t>
      </w:r>
      <w:r w:rsidR="00821F00" w:rsidRPr="00F954A6">
        <w:rPr>
          <w:rStyle w:val="Refdenotaalpie"/>
          <w:rFonts w:ascii="Arial" w:eastAsia="Calibri" w:hAnsi="Arial" w:cs="Arial"/>
          <w:bCs/>
          <w:color w:val="000000"/>
          <w:sz w:val="22"/>
          <w:szCs w:val="24"/>
          <w:lang w:val="es-ES_tradnl" w:eastAsia="es-CO"/>
        </w:rPr>
        <w:footnoteReference w:id="3"/>
      </w:r>
      <w:r w:rsidR="00821F00" w:rsidRPr="00F954A6">
        <w:rPr>
          <w:rFonts w:ascii="Arial" w:hAnsi="Arial" w:cs="Arial"/>
          <w:bCs/>
          <w:color w:val="000000"/>
          <w:sz w:val="22"/>
          <w:szCs w:val="24"/>
          <w:lang w:val="es-ES_tradnl" w:eastAsia="es-CO"/>
        </w:rPr>
        <w:t xml:space="preserve"> la Corte revisó la acción de tutela interpuesta por un habitante de un conjunto residencial en la ciudad de Bogotá, a quien la administración y el consejo de administración le prohibieron parquear su taxi en el parqueadero de la unidad residencia. Al respecto la Corte afirmó que la acción de tutela no era el recurso procedente para resolver controversias del régimen de propiedad horizontal:</w:t>
      </w:r>
    </w:p>
    <w:p w14:paraId="1AAFE16C" w14:textId="77777777" w:rsidR="00821F00" w:rsidRPr="00F954A6" w:rsidRDefault="00821F00" w:rsidP="00F954A6">
      <w:pPr>
        <w:widowControl w:val="0"/>
        <w:tabs>
          <w:tab w:val="left" w:pos="426"/>
        </w:tabs>
        <w:adjustRightInd w:val="0"/>
        <w:ind w:left="426" w:right="418"/>
        <w:contextualSpacing/>
        <w:jc w:val="both"/>
        <w:rPr>
          <w:rFonts w:ascii="Arial" w:hAnsi="Arial" w:cs="Arial"/>
          <w:bCs/>
          <w:color w:val="000000"/>
          <w:sz w:val="22"/>
          <w:szCs w:val="24"/>
          <w:lang w:val="es-ES_tradnl" w:eastAsia="es-CO"/>
        </w:rPr>
      </w:pPr>
    </w:p>
    <w:p w14:paraId="68679FDC" w14:textId="77777777" w:rsidR="00821F00" w:rsidRPr="00F954A6" w:rsidRDefault="00821F00" w:rsidP="00F954A6">
      <w:pPr>
        <w:widowControl w:val="0"/>
        <w:adjustRightInd w:val="0"/>
        <w:ind w:left="851" w:right="843"/>
        <w:contextualSpacing/>
        <w:jc w:val="both"/>
        <w:rPr>
          <w:rFonts w:ascii="Arial" w:hAnsi="Arial" w:cs="Arial"/>
          <w:bCs/>
          <w:iCs/>
          <w:color w:val="000000"/>
          <w:sz w:val="22"/>
          <w:szCs w:val="24"/>
          <w:lang w:eastAsia="es-CO"/>
        </w:rPr>
      </w:pPr>
      <w:r w:rsidRPr="00F954A6">
        <w:rPr>
          <w:rFonts w:ascii="Arial" w:hAnsi="Arial" w:cs="Arial"/>
          <w:bCs/>
          <w:iCs/>
          <w:color w:val="000000"/>
          <w:sz w:val="22"/>
          <w:szCs w:val="24"/>
          <w:lang w:eastAsia="es-CO"/>
        </w:rPr>
        <w:t>“En los regímenes que reglamentan la propiedad horizontal, se ordena que las diferencias que surjan entre propietarios y entre éstos y la administración, con motivo del ejercicio de sus derechos o el cumplimiento de sus obligaciones, como propietarios de los bienes de dominio exclusivo o particular, al igual que las diferencias que surjan sobre la legalidad del reglamento y de las decisiones de la asamblea general, deben someterse a decisión judicial, para que mediante el trámite del proceso verbal, regulado en el Código de Procedimiento Civil, se definan. La acción de tutela no es la vía judicial idónea. (…)</w:t>
      </w:r>
    </w:p>
    <w:p w14:paraId="6A6C9A87" w14:textId="77777777" w:rsidR="00821F00" w:rsidRPr="00F954A6" w:rsidRDefault="00821F00" w:rsidP="00F954A6">
      <w:pPr>
        <w:widowControl w:val="0"/>
        <w:adjustRightInd w:val="0"/>
        <w:ind w:left="851" w:right="843"/>
        <w:contextualSpacing/>
        <w:jc w:val="both"/>
        <w:rPr>
          <w:rFonts w:ascii="Arial" w:hAnsi="Arial" w:cs="Arial"/>
          <w:bCs/>
          <w:iCs/>
          <w:color w:val="000000"/>
          <w:sz w:val="22"/>
          <w:szCs w:val="24"/>
          <w:lang w:eastAsia="es-CO"/>
        </w:rPr>
      </w:pPr>
    </w:p>
    <w:p w14:paraId="6371248D" w14:textId="77777777" w:rsidR="00821F00" w:rsidRPr="00F954A6" w:rsidRDefault="00821F00" w:rsidP="00F954A6">
      <w:pPr>
        <w:widowControl w:val="0"/>
        <w:adjustRightInd w:val="0"/>
        <w:ind w:left="851" w:right="843"/>
        <w:contextualSpacing/>
        <w:jc w:val="both"/>
        <w:rPr>
          <w:rFonts w:ascii="Arial" w:hAnsi="Arial" w:cs="Arial"/>
          <w:bCs/>
          <w:color w:val="000000"/>
          <w:sz w:val="22"/>
          <w:szCs w:val="24"/>
          <w:lang w:val="es-ES_tradnl" w:eastAsia="es-CO"/>
        </w:rPr>
      </w:pPr>
      <w:r w:rsidRPr="00F954A6">
        <w:rPr>
          <w:rFonts w:ascii="Arial" w:hAnsi="Arial" w:cs="Arial"/>
          <w:bCs/>
          <w:iCs/>
          <w:color w:val="000000"/>
          <w:sz w:val="22"/>
          <w:szCs w:val="24"/>
          <w:lang w:eastAsia="es-CO"/>
        </w:rPr>
        <w:t>El proceso verbal sumario que, como se acabó de anotar, es de única instancia, es breve, expedito y por tanto eficaz e idóneo, para que los accionantes recurran a él, con el fin de definir las diferencias que hoy afrontan con la administración del edificio del conjunto residencial en donde está ubicado el inmueble de propiedad de uno de ellos, y que actualmente ocupa, en calidad de arrendatario, el otro peticionario.” </w:t>
      </w:r>
    </w:p>
    <w:p w14:paraId="06942A90" w14:textId="77777777" w:rsidR="00821F00" w:rsidRPr="00F954A6" w:rsidRDefault="00821F00" w:rsidP="00F954A6">
      <w:pPr>
        <w:widowControl w:val="0"/>
        <w:adjustRightInd w:val="0"/>
        <w:ind w:left="426" w:right="418"/>
        <w:contextualSpacing/>
        <w:jc w:val="both"/>
        <w:rPr>
          <w:rFonts w:ascii="Arial" w:hAnsi="Arial" w:cs="Arial"/>
          <w:bCs/>
          <w:color w:val="000000"/>
          <w:szCs w:val="24"/>
          <w:lang w:val="es-ES_tradnl" w:eastAsia="es-CO"/>
        </w:rPr>
      </w:pPr>
    </w:p>
    <w:p w14:paraId="7D319B05"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r w:rsidRPr="00F954A6">
        <w:rPr>
          <w:rFonts w:ascii="Arial" w:hAnsi="Arial" w:cs="Arial"/>
          <w:bCs/>
          <w:color w:val="000000"/>
          <w:sz w:val="22"/>
          <w:szCs w:val="24"/>
          <w:lang w:val="es-ES_tradnl" w:eastAsia="es-CO"/>
        </w:rPr>
        <w:t>4.2. Este criterio lo reiteró posteriormente en las sentencias T-019 de 1995,</w:t>
      </w:r>
      <w:r w:rsidRPr="00F954A6">
        <w:rPr>
          <w:rStyle w:val="Refdenotaalpie"/>
          <w:rFonts w:ascii="Arial" w:eastAsia="Calibri" w:hAnsi="Arial" w:cs="Arial"/>
          <w:bCs/>
          <w:color w:val="000000"/>
          <w:sz w:val="22"/>
          <w:szCs w:val="24"/>
          <w:lang w:val="es-ES_tradnl" w:eastAsia="es-CO"/>
        </w:rPr>
        <w:footnoteReference w:id="4"/>
      </w:r>
      <w:r w:rsidRPr="00F954A6">
        <w:rPr>
          <w:rFonts w:ascii="Arial" w:hAnsi="Arial" w:cs="Arial"/>
          <w:bCs/>
          <w:color w:val="000000"/>
          <w:sz w:val="22"/>
          <w:szCs w:val="24"/>
          <w:lang w:val="es-ES_tradnl" w:eastAsia="es-CO"/>
        </w:rPr>
        <w:t xml:space="preserve"> T-345 de 1996,</w:t>
      </w:r>
      <w:r w:rsidRPr="00F954A6">
        <w:rPr>
          <w:rStyle w:val="Refdenotaalpie"/>
          <w:rFonts w:ascii="Arial" w:eastAsia="Calibri" w:hAnsi="Arial" w:cs="Arial"/>
          <w:bCs/>
          <w:color w:val="000000"/>
          <w:sz w:val="22"/>
          <w:szCs w:val="24"/>
          <w:lang w:val="es-ES_tradnl" w:eastAsia="es-CO"/>
        </w:rPr>
        <w:footnoteReference w:id="5"/>
      </w:r>
      <w:r w:rsidRPr="00F954A6">
        <w:rPr>
          <w:rFonts w:ascii="Arial" w:hAnsi="Arial" w:cs="Arial"/>
          <w:bCs/>
          <w:color w:val="000000"/>
          <w:sz w:val="22"/>
          <w:szCs w:val="24"/>
          <w:lang w:val="es-ES_tradnl" w:eastAsia="es-CO"/>
        </w:rPr>
        <w:t xml:space="preserve"> T-440 de 1997</w:t>
      </w:r>
      <w:r w:rsidRPr="00F954A6">
        <w:rPr>
          <w:rStyle w:val="Refdenotaalpie"/>
          <w:rFonts w:ascii="Arial" w:eastAsia="Calibri" w:hAnsi="Arial" w:cs="Arial"/>
          <w:bCs/>
          <w:color w:val="000000"/>
          <w:sz w:val="22"/>
          <w:szCs w:val="24"/>
          <w:lang w:val="es-ES_tradnl" w:eastAsia="es-CO"/>
        </w:rPr>
        <w:footnoteReference w:id="6"/>
      </w:r>
      <w:r w:rsidRPr="00F954A6">
        <w:rPr>
          <w:rFonts w:ascii="Arial" w:hAnsi="Arial" w:cs="Arial"/>
          <w:bCs/>
          <w:color w:val="000000"/>
          <w:sz w:val="22"/>
          <w:szCs w:val="24"/>
          <w:lang w:val="es-ES_tradnl" w:eastAsia="es-CO"/>
        </w:rPr>
        <w:t>, T-752 de 1999</w:t>
      </w:r>
      <w:r w:rsidRPr="00F954A6">
        <w:rPr>
          <w:rStyle w:val="Refdenotaalpie"/>
          <w:rFonts w:ascii="Arial" w:eastAsia="Calibri" w:hAnsi="Arial" w:cs="Arial"/>
          <w:bCs/>
          <w:color w:val="000000"/>
          <w:sz w:val="22"/>
          <w:szCs w:val="24"/>
          <w:lang w:val="es-ES_tradnl" w:eastAsia="es-CO"/>
        </w:rPr>
        <w:footnoteReference w:id="7"/>
      </w:r>
      <w:r w:rsidRPr="00F954A6">
        <w:rPr>
          <w:rFonts w:ascii="Arial" w:hAnsi="Arial" w:cs="Arial"/>
          <w:bCs/>
          <w:color w:val="000000"/>
          <w:sz w:val="22"/>
          <w:szCs w:val="24"/>
          <w:lang w:val="es-ES_tradnl" w:eastAsia="es-CO"/>
        </w:rPr>
        <w:t xml:space="preserve"> y T-633 de 2003.</w:t>
      </w:r>
      <w:r w:rsidRPr="00F954A6">
        <w:rPr>
          <w:rStyle w:val="Refdenotaalpie"/>
          <w:rFonts w:ascii="Arial" w:eastAsia="Calibri" w:hAnsi="Arial" w:cs="Arial"/>
          <w:bCs/>
          <w:color w:val="000000"/>
          <w:sz w:val="22"/>
          <w:szCs w:val="24"/>
          <w:lang w:val="es-ES_tradnl" w:eastAsia="es-CO"/>
        </w:rPr>
        <w:footnoteReference w:id="8"/>
      </w:r>
      <w:r w:rsidRPr="00F954A6">
        <w:rPr>
          <w:rFonts w:ascii="Arial" w:hAnsi="Arial" w:cs="Arial"/>
          <w:bCs/>
          <w:color w:val="000000"/>
          <w:sz w:val="22"/>
          <w:szCs w:val="24"/>
          <w:lang w:val="es-ES_tradnl" w:eastAsia="es-CO"/>
        </w:rPr>
        <w:t xml:space="preserve"> En estas providencias la Corte afirmó que el proceso verbal sumario del régimen de propiedad horizontal vigente para la época, es decir, el consagrado en la Ley 16 de 1985 –modificado luego por la Ley 675 de 2001-, era el recurso adecuado y efectivo para resolver las controversias entre los propietarios y la administración y los demás órganos de dirección. </w:t>
      </w:r>
    </w:p>
    <w:p w14:paraId="7314FE4F"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p>
    <w:p w14:paraId="55C6DB36" w14:textId="5C2ADF43" w:rsidR="00821F00" w:rsidRPr="00F954A6" w:rsidRDefault="00821F00" w:rsidP="00F954A6">
      <w:pPr>
        <w:ind w:left="426" w:right="418"/>
        <w:jc w:val="both"/>
        <w:rPr>
          <w:rFonts w:ascii="Arial" w:hAnsi="Arial" w:cs="Arial"/>
          <w:sz w:val="22"/>
          <w:szCs w:val="24"/>
        </w:rPr>
      </w:pPr>
      <w:r w:rsidRPr="00F954A6">
        <w:rPr>
          <w:rFonts w:ascii="Arial" w:hAnsi="Arial" w:cs="Arial"/>
          <w:bCs/>
          <w:color w:val="000000"/>
          <w:sz w:val="22"/>
          <w:szCs w:val="24"/>
          <w:lang w:val="es-ES_tradnl" w:eastAsia="es-CO"/>
        </w:rPr>
        <w:t xml:space="preserve">4.3. </w:t>
      </w:r>
      <w:r w:rsidRPr="00F954A6">
        <w:rPr>
          <w:rFonts w:ascii="Arial" w:hAnsi="Arial" w:cs="Arial"/>
          <w:b/>
          <w:color w:val="000000"/>
          <w:sz w:val="22"/>
          <w:szCs w:val="24"/>
          <w:u w:val="single"/>
          <w:lang w:val="es-ES_tradnl" w:eastAsia="es-CO"/>
        </w:rPr>
        <w:t>Sin embargo, paralelamente a esta posición, la Corte declaró excepcionalmente la procedencia de la acción de tutela cuando encontró que el proceso verbal sumario no era eficaz para salvaguardar los derechos fundamentales amenazados, bien porque requerían de un mecanismo de defensa urgente y expedito, o bien porque la Corte encontró que las decisiones de los órganos de la administración afectaban “necesidades vitales” de los propietarios o residentes</w:t>
      </w:r>
      <w:r w:rsidRPr="00F954A6">
        <w:rPr>
          <w:rFonts w:ascii="Arial" w:hAnsi="Arial" w:cs="Arial"/>
          <w:bCs/>
          <w:color w:val="000000"/>
          <w:sz w:val="22"/>
          <w:szCs w:val="24"/>
          <w:lang w:val="es-ES_tradnl" w:eastAsia="es-CO"/>
        </w:rPr>
        <w:t>. (…)</w:t>
      </w:r>
    </w:p>
    <w:p w14:paraId="2E56D1EC" w14:textId="77777777" w:rsidR="006038C2" w:rsidRPr="00F954A6" w:rsidRDefault="006038C2" w:rsidP="00F954A6">
      <w:pPr>
        <w:ind w:left="426" w:right="418"/>
        <w:jc w:val="both"/>
        <w:rPr>
          <w:rFonts w:ascii="Arial" w:hAnsi="Arial" w:cs="Arial"/>
          <w:sz w:val="22"/>
          <w:szCs w:val="24"/>
        </w:rPr>
      </w:pPr>
    </w:p>
    <w:p w14:paraId="53C014B0" w14:textId="153C3F92" w:rsidR="006038C2" w:rsidRPr="00F954A6" w:rsidRDefault="006038C2" w:rsidP="00F954A6">
      <w:pPr>
        <w:ind w:left="426" w:right="418"/>
        <w:jc w:val="both"/>
        <w:rPr>
          <w:rFonts w:ascii="Arial" w:hAnsi="Arial" w:cs="Arial"/>
          <w:sz w:val="22"/>
          <w:szCs w:val="24"/>
        </w:rPr>
      </w:pPr>
      <w:r w:rsidRPr="00F954A6">
        <w:rPr>
          <w:rFonts w:ascii="Arial" w:hAnsi="Arial" w:cs="Arial"/>
          <w:sz w:val="22"/>
          <w:szCs w:val="24"/>
        </w:rPr>
        <w:t>(...)</w:t>
      </w:r>
    </w:p>
    <w:p w14:paraId="435F7F75" w14:textId="41A986EB" w:rsidR="00821F00" w:rsidRPr="00F954A6" w:rsidRDefault="00821F00" w:rsidP="00F954A6">
      <w:pPr>
        <w:ind w:left="426" w:right="418"/>
        <w:jc w:val="both"/>
        <w:rPr>
          <w:rFonts w:ascii="Arial" w:hAnsi="Arial" w:cs="Arial"/>
          <w:sz w:val="22"/>
          <w:szCs w:val="24"/>
        </w:rPr>
      </w:pPr>
    </w:p>
    <w:p w14:paraId="4BCEE6AC"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eastAsia="es-CO"/>
        </w:rPr>
      </w:pPr>
      <w:r w:rsidRPr="00F954A6">
        <w:rPr>
          <w:rFonts w:ascii="Arial" w:hAnsi="Arial" w:cs="Arial"/>
          <w:bCs/>
          <w:color w:val="000000"/>
          <w:sz w:val="22"/>
          <w:szCs w:val="24"/>
          <w:lang w:eastAsia="es-CO"/>
        </w:rPr>
        <w:t xml:space="preserve">4.7. Así, al juez constitucional le corresponde analizar cada caso concreto con detenimiento para verificar en qué situación debe proceder la acción de tutela. Como puede verse, en los primeros años la jurisprudencia consideró excepcionalmente procedente la acción de tutela ante violaciones a los derechos fundamentales al libre desarrollo de la personalidad, a la intimidad, a la participación y la libertad de los accionantes, debido a decisiones de los órganos de la administración. </w:t>
      </w:r>
    </w:p>
    <w:p w14:paraId="5B742A93"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eastAsia="es-CO"/>
        </w:rPr>
      </w:pPr>
    </w:p>
    <w:p w14:paraId="12923E4B"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r w:rsidRPr="00F954A6">
        <w:rPr>
          <w:rFonts w:ascii="Arial" w:hAnsi="Arial" w:cs="Arial"/>
          <w:bCs/>
          <w:color w:val="000000"/>
          <w:sz w:val="22"/>
          <w:szCs w:val="24"/>
          <w:lang w:val="es-ES_tradnl" w:eastAsia="es-CO"/>
        </w:rPr>
        <w:t xml:space="preserve">4.8. Igualmente existe una línea jurisprudencial consolidada referente a la procedencia de la acción de tutela cuando los órganos de la administración han impuesto sanciones o restricciones al no pago de las cuotas mensuales. Sobre esto, </w:t>
      </w:r>
      <w:r w:rsidRPr="00F954A6">
        <w:rPr>
          <w:rFonts w:ascii="Arial" w:hAnsi="Arial" w:cs="Arial"/>
          <w:b/>
          <w:color w:val="000000"/>
          <w:sz w:val="22"/>
          <w:szCs w:val="24"/>
          <w:u w:val="single"/>
          <w:lang w:val="es-ES_tradnl" w:eastAsia="es-CO"/>
        </w:rPr>
        <w:t>la Corte ha establecido que las medidas de cobro no pueden afectar las necesidades vitales del propietario o residente del inmueble, pues éstas violan derechos fundamentales</w:t>
      </w:r>
      <w:r w:rsidRPr="00F954A6">
        <w:rPr>
          <w:rFonts w:ascii="Arial" w:hAnsi="Arial" w:cs="Arial"/>
          <w:bCs/>
          <w:color w:val="000000"/>
          <w:sz w:val="22"/>
          <w:szCs w:val="24"/>
          <w:lang w:val="es-ES_tradnl" w:eastAsia="es-CO"/>
        </w:rPr>
        <w:t xml:space="preserve">. </w:t>
      </w:r>
    </w:p>
    <w:p w14:paraId="0F6C8483"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p>
    <w:p w14:paraId="51245115"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r w:rsidRPr="00F954A6">
        <w:rPr>
          <w:rFonts w:ascii="Arial" w:hAnsi="Arial" w:cs="Arial"/>
          <w:bCs/>
          <w:color w:val="000000"/>
          <w:sz w:val="22"/>
          <w:szCs w:val="24"/>
          <w:lang w:val="es-ES_tradnl" w:eastAsia="es-CO"/>
        </w:rPr>
        <w:t>4.9. Al respecto, en la sentencia SU-501 de 2001,</w:t>
      </w:r>
      <w:r w:rsidRPr="00F954A6">
        <w:rPr>
          <w:rStyle w:val="Refdenotaalpie"/>
          <w:rFonts w:ascii="Arial" w:eastAsia="Calibri" w:hAnsi="Arial" w:cs="Arial"/>
          <w:bCs/>
          <w:color w:val="000000"/>
          <w:sz w:val="22"/>
          <w:szCs w:val="24"/>
          <w:lang w:val="es-ES_tradnl" w:eastAsia="es-CO"/>
        </w:rPr>
        <w:footnoteReference w:id="9"/>
      </w:r>
      <w:r w:rsidRPr="00F954A6">
        <w:rPr>
          <w:rFonts w:ascii="Arial" w:hAnsi="Arial" w:cs="Arial"/>
          <w:bCs/>
          <w:color w:val="000000"/>
          <w:sz w:val="22"/>
          <w:szCs w:val="24"/>
          <w:lang w:val="es-ES_tradnl" w:eastAsia="es-CO"/>
        </w:rPr>
        <w:t xml:space="preserve"> la Corte revisó cinco expedientes en los que los accionantes solicitaban la protección de sus derechos fundamentales a la intimidad, circulación, vida privada y comunicación, debido a las decisiones de la administración de restringirles servicios esenciales a los residentes en mora. La Corte consideró que la tutela no era la vía adecuada para solucionar conflictos económicos derivados de la aplicación del reglamento de propiedad horizontal, pues para ello procedía el proceso verbal sumario de la ley civil. </w:t>
      </w:r>
      <w:r w:rsidRPr="00F954A6">
        <w:rPr>
          <w:rFonts w:ascii="Arial" w:hAnsi="Arial" w:cs="Arial"/>
          <w:b/>
          <w:color w:val="000000"/>
          <w:sz w:val="22"/>
          <w:szCs w:val="24"/>
          <w:u w:val="single"/>
          <w:lang w:val="es-ES_tradnl" w:eastAsia="es-CO"/>
        </w:rPr>
        <w:t>De la misma manera, señaló que la restricción del uso de ciertos bienes comunes por el no pago de cuotas, podía ser procedente, siempre y cuando no afectara necesidades vitales de quienes se encontraban en mora. Por ejemplo, estableció que la restricción de los servicios de citofonía o correspondencia era desproporcional y afectaba los derechos fundamentales de los actores, haciendo procedente la acción de tutela para solicitar su protección. En igual sentido, la expulsión de una persona de su vivienda por haber incurrido en mora, también desconoce derechos fundamentales que hacen procedente la acción constitucional</w:t>
      </w:r>
      <w:r w:rsidRPr="00F954A6">
        <w:rPr>
          <w:rFonts w:ascii="Arial" w:hAnsi="Arial" w:cs="Arial"/>
          <w:bCs/>
          <w:color w:val="000000"/>
          <w:sz w:val="22"/>
          <w:szCs w:val="24"/>
          <w:lang w:val="es-ES_tradnl" w:eastAsia="es-CO"/>
        </w:rPr>
        <w:t>.</w:t>
      </w:r>
    </w:p>
    <w:p w14:paraId="79477502"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p>
    <w:p w14:paraId="4560BA86"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r w:rsidRPr="00F954A6">
        <w:rPr>
          <w:rFonts w:ascii="Arial" w:hAnsi="Arial" w:cs="Arial"/>
          <w:bCs/>
          <w:color w:val="000000"/>
          <w:sz w:val="22"/>
          <w:szCs w:val="24"/>
          <w:lang w:val="es-ES_tradnl" w:eastAsia="es-CO"/>
        </w:rPr>
        <w:t xml:space="preserve">4.10. </w:t>
      </w:r>
      <w:r w:rsidRPr="00F954A6">
        <w:rPr>
          <w:rFonts w:ascii="Arial" w:hAnsi="Arial" w:cs="Arial"/>
          <w:b/>
          <w:color w:val="000000"/>
          <w:sz w:val="22"/>
          <w:szCs w:val="24"/>
          <w:u w:val="single"/>
          <w:lang w:val="es-ES_tradnl" w:eastAsia="es-CO"/>
        </w:rPr>
        <w:t>Estas reglas jurisprudenciales han sido reiteradas en distintos casos en los que las administraciones o juntas de administración han impuesto sanciones que afectan intereses vitales de los propietarios y residentes: T-106 de 2002,</w:t>
      </w:r>
      <w:r w:rsidRPr="00F954A6">
        <w:rPr>
          <w:rStyle w:val="Refdenotaalpie"/>
          <w:rFonts w:ascii="Arial" w:eastAsia="Calibri" w:hAnsi="Arial" w:cs="Arial"/>
          <w:b/>
          <w:color w:val="000000"/>
          <w:sz w:val="22"/>
          <w:szCs w:val="24"/>
          <w:u w:val="single"/>
          <w:lang w:val="es-ES_tradnl" w:eastAsia="es-CO"/>
        </w:rPr>
        <w:footnoteReference w:id="10"/>
      </w:r>
      <w:r w:rsidRPr="00F954A6">
        <w:rPr>
          <w:rFonts w:ascii="Arial" w:hAnsi="Arial" w:cs="Arial"/>
          <w:b/>
          <w:color w:val="000000"/>
          <w:sz w:val="22"/>
          <w:szCs w:val="24"/>
          <w:u w:val="single"/>
          <w:lang w:val="es-ES_tradnl" w:eastAsia="es-CO"/>
        </w:rPr>
        <w:t xml:space="preserve"> T-146 de 2003,</w:t>
      </w:r>
      <w:r w:rsidRPr="00F954A6">
        <w:rPr>
          <w:rStyle w:val="Refdenotaalpie"/>
          <w:rFonts w:ascii="Arial" w:eastAsia="Calibri" w:hAnsi="Arial" w:cs="Arial"/>
          <w:b/>
          <w:color w:val="000000"/>
          <w:sz w:val="22"/>
          <w:szCs w:val="24"/>
          <w:u w:val="single"/>
          <w:lang w:val="es-ES_tradnl" w:eastAsia="es-CO"/>
        </w:rPr>
        <w:footnoteReference w:id="11"/>
      </w:r>
      <w:r w:rsidRPr="00F954A6">
        <w:rPr>
          <w:rFonts w:ascii="Arial" w:hAnsi="Arial" w:cs="Arial"/>
          <w:b/>
          <w:color w:val="000000"/>
          <w:sz w:val="22"/>
          <w:szCs w:val="24"/>
          <w:u w:val="single"/>
          <w:lang w:val="es-ES_tradnl" w:eastAsia="es-CO"/>
        </w:rPr>
        <w:t xml:space="preserve"> T-468 de 2004,</w:t>
      </w:r>
      <w:r w:rsidRPr="00F954A6">
        <w:rPr>
          <w:rStyle w:val="Refdenotaalpie"/>
          <w:rFonts w:ascii="Arial" w:eastAsia="Calibri" w:hAnsi="Arial" w:cs="Arial"/>
          <w:b/>
          <w:color w:val="000000"/>
          <w:sz w:val="22"/>
          <w:szCs w:val="24"/>
          <w:u w:val="single"/>
          <w:lang w:val="es-ES_tradnl" w:eastAsia="es-CO"/>
        </w:rPr>
        <w:footnoteReference w:id="12"/>
      </w:r>
      <w:r w:rsidRPr="00F954A6">
        <w:rPr>
          <w:rFonts w:ascii="Arial" w:hAnsi="Arial" w:cs="Arial"/>
          <w:b/>
          <w:color w:val="000000"/>
          <w:sz w:val="22"/>
          <w:szCs w:val="24"/>
          <w:u w:val="single"/>
          <w:lang w:val="es-ES_tradnl" w:eastAsia="es-CO"/>
        </w:rPr>
        <w:t xml:space="preserve"> T-612 de 2009,</w:t>
      </w:r>
      <w:r w:rsidRPr="00F954A6">
        <w:rPr>
          <w:rStyle w:val="Refdenotaalpie"/>
          <w:rFonts w:ascii="Arial" w:eastAsia="Calibri" w:hAnsi="Arial" w:cs="Arial"/>
          <w:b/>
          <w:color w:val="000000"/>
          <w:sz w:val="22"/>
          <w:szCs w:val="24"/>
          <w:u w:val="single"/>
          <w:lang w:val="es-ES_tradnl" w:eastAsia="es-CO"/>
        </w:rPr>
        <w:footnoteReference w:id="13"/>
      </w:r>
      <w:r w:rsidRPr="00F954A6">
        <w:rPr>
          <w:rFonts w:ascii="Arial" w:hAnsi="Arial" w:cs="Arial"/>
          <w:b/>
          <w:color w:val="000000"/>
          <w:sz w:val="22"/>
          <w:szCs w:val="24"/>
          <w:u w:val="single"/>
          <w:lang w:val="es-ES_tradnl" w:eastAsia="es-CO"/>
        </w:rPr>
        <w:t xml:space="preserve"> T-155 de 2012,</w:t>
      </w:r>
      <w:r w:rsidRPr="00F954A6">
        <w:rPr>
          <w:rStyle w:val="Refdenotaalpie"/>
          <w:rFonts w:ascii="Arial" w:eastAsia="Calibri" w:hAnsi="Arial" w:cs="Arial"/>
          <w:b/>
          <w:color w:val="000000"/>
          <w:sz w:val="22"/>
          <w:szCs w:val="24"/>
          <w:u w:val="single"/>
          <w:lang w:val="es-ES_tradnl" w:eastAsia="es-CO"/>
        </w:rPr>
        <w:footnoteReference w:id="14"/>
      </w:r>
      <w:r w:rsidRPr="00F954A6">
        <w:rPr>
          <w:rFonts w:ascii="Arial" w:hAnsi="Arial" w:cs="Arial"/>
          <w:b/>
          <w:color w:val="000000"/>
          <w:sz w:val="22"/>
          <w:szCs w:val="24"/>
          <w:u w:val="single"/>
          <w:lang w:val="es-ES_tradnl" w:eastAsia="es-CO"/>
        </w:rPr>
        <w:t xml:space="preserve"> </w:t>
      </w:r>
      <w:r w:rsidRPr="00F954A6">
        <w:rPr>
          <w:rFonts w:ascii="Arial" w:hAnsi="Arial" w:cs="Arial"/>
          <w:b/>
          <w:color w:val="000000"/>
          <w:sz w:val="22"/>
          <w:szCs w:val="24"/>
          <w:u w:val="single"/>
          <w:lang w:val="es-ES_tradnl" w:eastAsia="es-CO"/>
        </w:rPr>
        <w:lastRenderedPageBreak/>
        <w:t>entre otras</w:t>
      </w:r>
      <w:r w:rsidRPr="00F954A6">
        <w:rPr>
          <w:rFonts w:ascii="Arial" w:hAnsi="Arial" w:cs="Arial"/>
          <w:bCs/>
          <w:color w:val="000000"/>
          <w:sz w:val="22"/>
          <w:szCs w:val="24"/>
          <w:lang w:val="es-ES_tradnl" w:eastAsia="es-CO"/>
        </w:rPr>
        <w:t xml:space="preserve">. </w:t>
      </w:r>
    </w:p>
    <w:p w14:paraId="2AE076A1"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p>
    <w:p w14:paraId="0033D110"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r w:rsidRPr="00F954A6">
        <w:rPr>
          <w:rFonts w:ascii="Arial" w:hAnsi="Arial" w:cs="Arial"/>
          <w:bCs/>
          <w:color w:val="000000"/>
          <w:sz w:val="22"/>
          <w:szCs w:val="24"/>
          <w:lang w:val="es-ES_tradnl" w:eastAsia="es-CO"/>
        </w:rPr>
        <w:t>4.11. Cabe mencionar la sentencia T-386 de 2002,</w:t>
      </w:r>
      <w:r w:rsidRPr="00F954A6">
        <w:rPr>
          <w:rStyle w:val="Refdenotaalpie"/>
          <w:rFonts w:ascii="Arial" w:eastAsia="Calibri" w:hAnsi="Arial" w:cs="Arial"/>
          <w:bCs/>
          <w:color w:val="000000"/>
          <w:sz w:val="22"/>
          <w:szCs w:val="24"/>
          <w:lang w:val="es-ES_tradnl" w:eastAsia="es-CO"/>
        </w:rPr>
        <w:footnoteReference w:id="15"/>
      </w:r>
      <w:r w:rsidRPr="00F954A6">
        <w:rPr>
          <w:rFonts w:ascii="Arial" w:hAnsi="Arial" w:cs="Arial"/>
          <w:bCs/>
          <w:color w:val="000000"/>
          <w:sz w:val="22"/>
          <w:szCs w:val="24"/>
          <w:lang w:val="es-ES_tradnl" w:eastAsia="es-CO"/>
        </w:rPr>
        <w:t xml:space="preserve"> providencia en la que se establecieron reglas concretas en relación con la procedencia de la acción de tutela en términos generales, y en particular, los casos en los que debe acudirse al proceso verbal sumario. De esa forma, la Corte estableció las siguientes reglas de procedencia:</w:t>
      </w:r>
    </w:p>
    <w:p w14:paraId="5EE80CBB"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p>
    <w:p w14:paraId="073D4B70" w14:textId="77777777" w:rsidR="00821F00" w:rsidRPr="00F954A6" w:rsidRDefault="00821F00" w:rsidP="00F954A6">
      <w:pPr>
        <w:autoSpaceDE w:val="0"/>
        <w:autoSpaceDN w:val="0"/>
        <w:ind w:left="851" w:right="843"/>
        <w:jc w:val="both"/>
        <w:rPr>
          <w:rFonts w:ascii="Arial" w:hAnsi="Arial" w:cs="Arial"/>
          <w:sz w:val="22"/>
          <w:szCs w:val="24"/>
          <w:lang w:val="es-ES_tradnl" w:eastAsia="es-CO"/>
        </w:rPr>
      </w:pPr>
      <w:r w:rsidRPr="00F954A6">
        <w:rPr>
          <w:rFonts w:ascii="Arial" w:hAnsi="Arial" w:cs="Arial"/>
          <w:sz w:val="22"/>
          <w:szCs w:val="24"/>
          <w:lang w:val="es-ES_tradnl" w:eastAsia="es-CO"/>
        </w:rPr>
        <w:t>“El artículo 435 del Código de Procedimiento Civil establece que las controversias sobre propiedad horizontal se tramitan en única instancia mediante el proceso verbal sumario. La Corte ha señalado que esto es así, cuando se trata de conflictos sobre temas como: a) La modificación de los bienes de uso común, las alteraciones en su uso, la organización en general del edificio</w:t>
      </w:r>
      <w:r w:rsidRPr="00F954A6">
        <w:rPr>
          <w:rFonts w:ascii="Arial" w:hAnsi="Arial" w:cs="Arial"/>
          <w:position w:val="6"/>
          <w:sz w:val="22"/>
          <w:szCs w:val="24"/>
          <w:vertAlign w:val="superscript"/>
          <w:lang w:val="es-ES_tradnl" w:eastAsia="es-CO"/>
        </w:rPr>
        <w:footnoteReference w:id="16"/>
      </w:r>
      <w:r w:rsidRPr="00F954A6">
        <w:rPr>
          <w:rFonts w:ascii="Arial" w:hAnsi="Arial" w:cs="Arial"/>
          <w:sz w:val="22"/>
          <w:szCs w:val="24"/>
          <w:lang w:val="es-ES_tradnl" w:eastAsia="es-CO"/>
        </w:rPr>
        <w:t>; b) La definición acerca de la legalidad de la norma aprobada en tal sentido por la Asamblea de copropietarios</w:t>
      </w:r>
      <w:r w:rsidRPr="00F954A6">
        <w:rPr>
          <w:rFonts w:ascii="Arial" w:hAnsi="Arial" w:cs="Arial"/>
          <w:position w:val="6"/>
          <w:sz w:val="22"/>
          <w:szCs w:val="24"/>
          <w:vertAlign w:val="superscript"/>
          <w:lang w:val="es-ES_tradnl" w:eastAsia="es-CO"/>
        </w:rPr>
        <w:footnoteReference w:id="17"/>
      </w:r>
      <w:r w:rsidRPr="00F954A6">
        <w:rPr>
          <w:rFonts w:ascii="Arial" w:hAnsi="Arial" w:cs="Arial"/>
          <w:sz w:val="22"/>
          <w:szCs w:val="24"/>
          <w:lang w:val="es-ES_tradnl" w:eastAsia="es-CO"/>
        </w:rPr>
        <w:t>; c) Los conflictos económicos que se derivan de la aplicación del reglamento de propiedad horizontal, tales como el pago de una determinada cuota de administración</w:t>
      </w:r>
      <w:r w:rsidRPr="00F954A6">
        <w:rPr>
          <w:rFonts w:ascii="Arial" w:hAnsi="Arial" w:cs="Arial"/>
          <w:position w:val="6"/>
          <w:sz w:val="22"/>
          <w:szCs w:val="24"/>
          <w:vertAlign w:val="superscript"/>
          <w:lang w:val="es-ES_tradnl" w:eastAsia="es-CO"/>
        </w:rPr>
        <w:footnoteReference w:id="18"/>
      </w:r>
      <w:r w:rsidRPr="00F954A6">
        <w:rPr>
          <w:rFonts w:ascii="Arial" w:hAnsi="Arial" w:cs="Arial"/>
          <w:sz w:val="22"/>
          <w:szCs w:val="24"/>
          <w:lang w:val="es-ES_tradnl" w:eastAsia="es-CO"/>
        </w:rPr>
        <w:t xml:space="preserve">. </w:t>
      </w:r>
    </w:p>
    <w:p w14:paraId="5583BFF5" w14:textId="77777777" w:rsidR="00821F00" w:rsidRPr="00F954A6" w:rsidRDefault="00821F00" w:rsidP="00F954A6">
      <w:pPr>
        <w:autoSpaceDE w:val="0"/>
        <w:autoSpaceDN w:val="0"/>
        <w:ind w:left="851" w:right="843"/>
        <w:jc w:val="both"/>
        <w:rPr>
          <w:rFonts w:ascii="Arial" w:hAnsi="Arial" w:cs="Arial"/>
          <w:sz w:val="22"/>
          <w:szCs w:val="24"/>
          <w:lang w:val="es-ES_tradnl" w:eastAsia="es-CO"/>
        </w:rPr>
      </w:pPr>
    </w:p>
    <w:p w14:paraId="3A6803A7" w14:textId="77777777" w:rsidR="00821F00" w:rsidRPr="00F954A6" w:rsidRDefault="00821F00" w:rsidP="00F954A6">
      <w:pPr>
        <w:autoSpaceDE w:val="0"/>
        <w:autoSpaceDN w:val="0"/>
        <w:ind w:left="851" w:right="843"/>
        <w:jc w:val="both"/>
        <w:rPr>
          <w:rFonts w:ascii="Arial" w:hAnsi="Arial" w:cs="Arial"/>
          <w:sz w:val="22"/>
          <w:szCs w:val="24"/>
          <w:lang w:val="es-ES_tradnl" w:eastAsia="es-CO"/>
        </w:rPr>
      </w:pPr>
      <w:r w:rsidRPr="00F954A6">
        <w:rPr>
          <w:rFonts w:ascii="Arial" w:hAnsi="Arial" w:cs="Arial"/>
          <w:b/>
          <w:bCs/>
          <w:sz w:val="22"/>
          <w:szCs w:val="24"/>
          <w:u w:val="single"/>
          <w:lang w:val="es-ES_tradnl" w:eastAsia="es-CO"/>
        </w:rPr>
        <w:t xml:space="preserve">Ahora bien, esta Corporación ha sostenido que la acción de tutela resulta procedente en los siguientes eventos: a) Cuando </w:t>
      </w:r>
      <w:r w:rsidRPr="00F954A6">
        <w:rPr>
          <w:rFonts w:ascii="Arial" w:hAnsi="Arial" w:cs="Arial"/>
          <w:b/>
          <w:bCs/>
          <w:i/>
          <w:iCs/>
          <w:sz w:val="22"/>
          <w:szCs w:val="24"/>
          <w:u w:val="single"/>
          <w:lang w:val="es-ES_tradnl" w:eastAsia="es-CO"/>
        </w:rPr>
        <w:t>prima facie</w:t>
      </w:r>
      <w:r w:rsidRPr="00F954A6">
        <w:rPr>
          <w:rFonts w:ascii="Arial" w:hAnsi="Arial" w:cs="Arial"/>
          <w:b/>
          <w:bCs/>
          <w:sz w:val="22"/>
          <w:szCs w:val="24"/>
          <w:u w:val="single"/>
          <w:lang w:val="es-ES_tradnl" w:eastAsia="es-CO"/>
        </w:rPr>
        <w:t xml:space="preserve"> existe una vulneración de derechos fundamentales o una limitación arbitraria de estos derechos</w:t>
      </w:r>
      <w:r w:rsidRPr="00F954A6">
        <w:rPr>
          <w:rFonts w:ascii="Arial" w:hAnsi="Arial" w:cs="Arial"/>
          <w:sz w:val="22"/>
          <w:szCs w:val="24"/>
          <w:lang w:val="es-ES_tradnl" w:eastAsia="es-CO"/>
        </w:rPr>
        <w:t xml:space="preserve">; b) Cuando el proceso verbal sumario </w:t>
      </w:r>
      <w:r w:rsidRPr="00F954A6">
        <w:rPr>
          <w:rFonts w:ascii="Arial" w:hAnsi="Arial" w:cs="Arial"/>
          <w:i/>
          <w:iCs/>
          <w:sz w:val="22"/>
          <w:szCs w:val="24"/>
          <w:lang w:val="es-ES_tradnl" w:eastAsia="es-CO"/>
        </w:rPr>
        <w:t>"no resulta idóneo y efectivo para lograr el amparo inmediato de derechos fundamentales conculcados o amenazados en razón de actos expedidos por dicha junta o asamblea"</w:t>
      </w:r>
      <w:r w:rsidRPr="00F954A6">
        <w:rPr>
          <w:rFonts w:ascii="Arial" w:hAnsi="Arial" w:cs="Arial"/>
          <w:position w:val="6"/>
          <w:sz w:val="22"/>
          <w:szCs w:val="24"/>
          <w:vertAlign w:val="superscript"/>
          <w:lang w:val="es-ES_tradnl" w:eastAsia="es-CO"/>
        </w:rPr>
        <w:footnoteReference w:id="19"/>
      </w:r>
      <w:r w:rsidRPr="00F954A6">
        <w:rPr>
          <w:rFonts w:ascii="Arial" w:hAnsi="Arial" w:cs="Arial"/>
          <w:i/>
          <w:iCs/>
          <w:sz w:val="22"/>
          <w:szCs w:val="24"/>
          <w:lang w:val="es-ES_tradnl" w:eastAsia="es-CO"/>
        </w:rPr>
        <w:t>;</w:t>
      </w:r>
      <w:r w:rsidRPr="00F954A6">
        <w:rPr>
          <w:rFonts w:ascii="Arial" w:hAnsi="Arial" w:cs="Arial"/>
          <w:sz w:val="22"/>
          <w:szCs w:val="24"/>
          <w:lang w:val="es-ES_tradnl" w:eastAsia="es-CO"/>
        </w:rPr>
        <w:t xml:space="preserve"> </w:t>
      </w:r>
      <w:r w:rsidRPr="00F954A6">
        <w:rPr>
          <w:rFonts w:ascii="Arial" w:hAnsi="Arial" w:cs="Arial"/>
          <w:b/>
          <w:bCs/>
          <w:sz w:val="22"/>
          <w:szCs w:val="24"/>
          <w:u w:val="single"/>
          <w:lang w:val="es-ES_tradnl" w:eastAsia="es-CO"/>
        </w:rPr>
        <w:t>c) Cuando las decisiones de la administración o asamblea impiden las satisfacción mínima de las condiciones de existencia vital que los individuos no pueden asegurarse por sí mismos</w:t>
      </w:r>
      <w:r w:rsidRPr="00F954A6">
        <w:rPr>
          <w:rFonts w:ascii="Arial" w:hAnsi="Arial" w:cs="Arial"/>
          <w:b/>
          <w:bCs/>
          <w:position w:val="6"/>
          <w:sz w:val="22"/>
          <w:szCs w:val="24"/>
          <w:u w:val="single"/>
          <w:vertAlign w:val="superscript"/>
          <w:lang w:val="es-ES_tradnl" w:eastAsia="es-CO"/>
        </w:rPr>
        <w:footnoteReference w:id="20"/>
      </w:r>
      <w:r w:rsidRPr="00F954A6">
        <w:rPr>
          <w:rFonts w:ascii="Arial" w:hAnsi="Arial" w:cs="Arial"/>
          <w:b/>
          <w:bCs/>
          <w:sz w:val="22"/>
          <w:szCs w:val="24"/>
          <w:u w:val="single"/>
          <w:vertAlign w:val="superscript"/>
          <w:lang w:val="es-ES_tradnl" w:eastAsia="es-CO"/>
        </w:rPr>
        <w:t>.</w:t>
      </w:r>
      <w:r w:rsidRPr="00F954A6">
        <w:rPr>
          <w:rFonts w:ascii="Arial" w:hAnsi="Arial" w:cs="Arial"/>
          <w:b/>
          <w:bCs/>
          <w:sz w:val="22"/>
          <w:szCs w:val="24"/>
          <w:u w:val="single"/>
          <w:lang w:val="es-ES_tradnl" w:eastAsia="es-CO"/>
        </w:rPr>
        <w:t xml:space="preserve"> En tales casos, la acción de tutela se constituye en una vía expedita y prevalente para proteger los derechos vulnerados.</w:t>
      </w:r>
      <w:r w:rsidRPr="00F954A6">
        <w:rPr>
          <w:rFonts w:ascii="Arial" w:hAnsi="Arial" w:cs="Arial"/>
          <w:sz w:val="22"/>
          <w:szCs w:val="24"/>
          <w:lang w:val="es-ES_tradnl" w:eastAsia="es-CO"/>
        </w:rPr>
        <w:t>”</w:t>
      </w:r>
    </w:p>
    <w:p w14:paraId="4360FBDA" w14:textId="77777777" w:rsidR="00821F00" w:rsidRPr="00F954A6" w:rsidRDefault="00821F00" w:rsidP="00F954A6">
      <w:pPr>
        <w:widowControl w:val="0"/>
        <w:adjustRightInd w:val="0"/>
        <w:ind w:left="426" w:right="418"/>
        <w:contextualSpacing/>
        <w:jc w:val="both"/>
        <w:rPr>
          <w:rFonts w:ascii="Arial" w:hAnsi="Arial" w:cs="Arial"/>
          <w:bCs/>
          <w:color w:val="000000"/>
          <w:sz w:val="22"/>
          <w:szCs w:val="24"/>
          <w:lang w:val="es-ES_tradnl" w:eastAsia="es-CO"/>
        </w:rPr>
      </w:pPr>
    </w:p>
    <w:p w14:paraId="6C775383" w14:textId="2D79736C" w:rsidR="00F41A33" w:rsidRPr="00F954A6" w:rsidRDefault="006038C2" w:rsidP="00F954A6">
      <w:pPr>
        <w:ind w:left="426" w:right="418"/>
        <w:jc w:val="both"/>
        <w:rPr>
          <w:rFonts w:ascii="Arial" w:hAnsi="Arial" w:cs="Arial"/>
          <w:sz w:val="22"/>
          <w:szCs w:val="24"/>
        </w:rPr>
      </w:pPr>
      <w:r w:rsidRPr="00F954A6">
        <w:rPr>
          <w:rFonts w:ascii="Arial" w:hAnsi="Arial" w:cs="Arial"/>
          <w:sz w:val="22"/>
          <w:szCs w:val="24"/>
        </w:rPr>
        <w:lastRenderedPageBreak/>
        <w:t>(...)</w:t>
      </w:r>
    </w:p>
    <w:p w14:paraId="38CBC413" w14:textId="77777777" w:rsidR="006038C2" w:rsidRPr="00F954A6" w:rsidRDefault="006038C2" w:rsidP="00F954A6">
      <w:pPr>
        <w:ind w:left="426" w:right="418"/>
        <w:jc w:val="both"/>
        <w:rPr>
          <w:rFonts w:ascii="Arial" w:hAnsi="Arial" w:cs="Arial"/>
          <w:sz w:val="22"/>
          <w:szCs w:val="24"/>
        </w:rPr>
      </w:pPr>
    </w:p>
    <w:p w14:paraId="5A9002F0" w14:textId="27487089" w:rsidR="00DC3E38" w:rsidRPr="00F954A6" w:rsidRDefault="006038C2" w:rsidP="00F954A6">
      <w:pPr>
        <w:widowControl w:val="0"/>
        <w:adjustRightInd w:val="0"/>
        <w:ind w:left="426" w:right="418"/>
        <w:contextualSpacing/>
        <w:jc w:val="both"/>
        <w:rPr>
          <w:rFonts w:ascii="Arial" w:hAnsi="Arial" w:cs="Arial"/>
          <w:sz w:val="24"/>
          <w:szCs w:val="24"/>
        </w:rPr>
      </w:pPr>
      <w:r w:rsidRPr="00F954A6">
        <w:rPr>
          <w:rFonts w:ascii="Arial" w:hAnsi="Arial" w:cs="Arial"/>
          <w:bCs/>
          <w:color w:val="000000"/>
          <w:sz w:val="22"/>
          <w:szCs w:val="24"/>
          <w:lang w:val="es-ES_tradnl" w:eastAsia="es-CO"/>
        </w:rPr>
        <w:t xml:space="preserve">4.14. En suma, la Sala encuentra que la jurisprudencia de la Corte ha establecido reglas muy claras sobre el principio de subsidiariedad de la acción de tutela cuando se trata de conflictos entre propietarios y órganos de la administración del régimen de propiedad horizontal. Por regla general, debe acudirse a los mecanismos ordinarios de defensa judicial que ofrece aquella regulación, entiéndase: la vía extrajudicial a través de la conformación de (a) un Comité de Convivencia y (b) mecanismos alternativos de solución de controversias (artículo 58 de la Ley 675 de 2001), (c) la vía jurisdiccional a través del proceso verbal sumario de única instancia, y (d) el proceso policivo cuando la controversia se trata de la tenencia o posesión de un bien o la tenencia de mascotas que perturban la convivencia. Excepcionalmente, la acción de tutela resultará procedente como vía principal cuando existe una amenaza o violación a un derecho fundamental que requiere de la intervención expedita del juez constitucional para evitar un perjuicio irremediable. </w:t>
      </w:r>
      <w:r w:rsidRPr="00F954A6">
        <w:rPr>
          <w:rFonts w:ascii="Arial" w:hAnsi="Arial" w:cs="Arial"/>
          <w:b/>
          <w:color w:val="000000"/>
          <w:sz w:val="22"/>
          <w:szCs w:val="24"/>
          <w:u w:val="single"/>
          <w:lang w:val="es-ES_tradnl" w:eastAsia="es-CO"/>
        </w:rPr>
        <w:t xml:space="preserve">Adicionalmente, procederá la acción de tutela cuando las decisiones de la administración de la unidad residencial </w:t>
      </w:r>
      <w:r w:rsidRPr="00F954A6">
        <w:rPr>
          <w:rFonts w:ascii="Arial" w:hAnsi="Arial" w:cs="Arial"/>
          <w:b/>
          <w:i/>
          <w:color w:val="000000"/>
          <w:sz w:val="22"/>
          <w:szCs w:val="24"/>
          <w:u w:val="single"/>
          <w:lang w:val="es-ES_tradnl" w:eastAsia="es-CO"/>
        </w:rPr>
        <w:t>“[impidan]</w:t>
      </w:r>
      <w:r w:rsidRPr="00F954A6">
        <w:rPr>
          <w:rFonts w:ascii="Arial" w:hAnsi="Arial" w:cs="Arial"/>
          <w:b/>
          <w:i/>
          <w:color w:val="000000"/>
          <w:sz w:val="22"/>
          <w:szCs w:val="24"/>
          <w:u w:val="single"/>
          <w:lang w:val="es-ES" w:eastAsia="es-CO"/>
        </w:rPr>
        <w:t xml:space="preserve"> la satisfacción mínima de las condiciones de existencia vital que los individuos no pueden asegurarse por sí mismos”</w:t>
      </w:r>
      <w:r w:rsidRPr="00F954A6">
        <w:rPr>
          <w:rFonts w:ascii="Arial" w:hAnsi="Arial" w:cs="Arial"/>
          <w:bCs/>
          <w:color w:val="000000"/>
          <w:sz w:val="22"/>
          <w:szCs w:val="24"/>
          <w:lang w:val="es-ES" w:eastAsia="es-CO"/>
        </w:rPr>
        <w:t>.</w:t>
      </w:r>
      <w:r w:rsidRPr="00F954A6">
        <w:rPr>
          <w:rStyle w:val="Refdenotaalpie"/>
          <w:rFonts w:ascii="Arial" w:eastAsia="Calibri" w:hAnsi="Arial" w:cs="Arial"/>
          <w:bCs/>
          <w:color w:val="000000"/>
          <w:sz w:val="22"/>
          <w:szCs w:val="24"/>
          <w:lang w:eastAsia="es-CO"/>
        </w:rPr>
        <w:footnoteReference w:id="21"/>
      </w:r>
      <w:r w:rsidRPr="00F954A6">
        <w:rPr>
          <w:rFonts w:ascii="Arial" w:hAnsi="Arial" w:cs="Arial"/>
          <w:bCs/>
          <w:color w:val="000000"/>
          <w:sz w:val="22"/>
          <w:szCs w:val="24"/>
          <w:lang w:val="es-ES" w:eastAsia="es-CO"/>
        </w:rPr>
        <w:t xml:space="preserve"> </w:t>
      </w:r>
      <w:r w:rsidR="00DC3E38" w:rsidRPr="00F954A6">
        <w:rPr>
          <w:rFonts w:ascii="Arial" w:hAnsi="Arial" w:cs="Arial"/>
          <w:sz w:val="24"/>
          <w:szCs w:val="24"/>
        </w:rPr>
        <w:t>(Subrayas y negrillas de esta Sala).</w:t>
      </w:r>
    </w:p>
    <w:p w14:paraId="61CDA8EC" w14:textId="77777777" w:rsidR="00DC3E38" w:rsidRPr="00F954A6" w:rsidRDefault="00DC3E38" w:rsidP="00F954A6">
      <w:pPr>
        <w:spacing w:line="276" w:lineRule="auto"/>
        <w:ind w:right="51" w:firstLine="2835"/>
        <w:jc w:val="both"/>
        <w:rPr>
          <w:rFonts w:ascii="Arial" w:hAnsi="Arial" w:cs="Arial"/>
          <w:sz w:val="24"/>
          <w:szCs w:val="24"/>
        </w:rPr>
      </w:pPr>
    </w:p>
    <w:p w14:paraId="5FBF025C" w14:textId="1250998B" w:rsidR="00FD168F" w:rsidRPr="00F954A6" w:rsidRDefault="00FD168F" w:rsidP="00F954A6">
      <w:pPr>
        <w:pStyle w:val="Sinespaciado1"/>
        <w:spacing w:line="276" w:lineRule="auto"/>
        <w:ind w:firstLine="2835"/>
        <w:jc w:val="both"/>
        <w:rPr>
          <w:rFonts w:ascii="Arial" w:hAnsi="Arial" w:cs="Arial"/>
          <w:sz w:val="24"/>
          <w:szCs w:val="24"/>
        </w:rPr>
      </w:pPr>
      <w:r w:rsidRPr="00F954A6">
        <w:rPr>
          <w:rFonts w:ascii="Arial" w:hAnsi="Arial" w:cs="Arial"/>
          <w:spacing w:val="-3"/>
          <w:sz w:val="24"/>
          <w:szCs w:val="24"/>
        </w:rPr>
        <w:t>4. Descendiendo al asunto que se decide, la jurisprudencia en cita se ajusta al caso concreto, como quiera que de lo informado por la accionante</w:t>
      </w:r>
      <w:r w:rsidR="00990652" w:rsidRPr="00F954A6">
        <w:rPr>
          <w:rFonts w:ascii="Arial" w:hAnsi="Arial" w:cs="Arial"/>
          <w:spacing w:val="-3"/>
          <w:sz w:val="24"/>
          <w:szCs w:val="24"/>
        </w:rPr>
        <w:t xml:space="preserve"> y la accionada</w:t>
      </w:r>
      <w:r w:rsidRPr="00F954A6">
        <w:rPr>
          <w:rFonts w:ascii="Arial" w:hAnsi="Arial" w:cs="Arial"/>
          <w:spacing w:val="-3"/>
          <w:sz w:val="24"/>
          <w:szCs w:val="24"/>
        </w:rPr>
        <w:t xml:space="preserve"> se tiene que </w:t>
      </w:r>
      <w:r w:rsidR="00F55AC6" w:rsidRPr="00F954A6">
        <w:rPr>
          <w:rFonts w:ascii="Arial" w:hAnsi="Arial" w:cs="Arial"/>
          <w:spacing w:val="-3"/>
          <w:sz w:val="24"/>
          <w:szCs w:val="24"/>
        </w:rPr>
        <w:t>se le ha impedido que pueda ingresar un vehículo</w:t>
      </w:r>
      <w:r w:rsidR="00990652" w:rsidRPr="00F954A6">
        <w:rPr>
          <w:rFonts w:ascii="Arial" w:hAnsi="Arial" w:cs="Arial"/>
          <w:spacing w:val="-3"/>
          <w:sz w:val="24"/>
          <w:szCs w:val="24"/>
        </w:rPr>
        <w:t xml:space="preserve"> </w:t>
      </w:r>
      <w:r w:rsidR="00F55AC6" w:rsidRPr="00F954A6">
        <w:rPr>
          <w:rFonts w:ascii="Arial" w:hAnsi="Arial" w:cs="Arial"/>
          <w:spacing w:val="-3"/>
          <w:sz w:val="24"/>
          <w:szCs w:val="24"/>
        </w:rPr>
        <w:t>a</w:t>
      </w:r>
      <w:r w:rsidR="00990652" w:rsidRPr="00F954A6">
        <w:rPr>
          <w:rFonts w:ascii="Arial" w:hAnsi="Arial" w:cs="Arial"/>
          <w:spacing w:val="-3"/>
          <w:sz w:val="24"/>
          <w:szCs w:val="24"/>
        </w:rPr>
        <w:t xml:space="preserve"> los </w:t>
      </w:r>
      <w:r w:rsidR="00990652" w:rsidRPr="00F954A6">
        <w:rPr>
          <w:rFonts w:ascii="Arial" w:eastAsia="Arial" w:hAnsi="Arial" w:cs="Arial"/>
          <w:color w:val="000000"/>
          <w:sz w:val="24"/>
          <w:szCs w:val="24"/>
        </w:rPr>
        <w:t>parqueaderos comunales de</w:t>
      </w:r>
      <w:r w:rsidR="00F55AC6" w:rsidRPr="00F954A6">
        <w:rPr>
          <w:rFonts w:ascii="Arial" w:hAnsi="Arial" w:cs="Arial"/>
          <w:spacing w:val="-3"/>
          <w:sz w:val="24"/>
          <w:szCs w:val="24"/>
        </w:rPr>
        <w:t xml:space="preserve"> </w:t>
      </w:r>
      <w:r w:rsidR="00F55AC6" w:rsidRPr="00F954A6">
        <w:rPr>
          <w:rFonts w:ascii="Arial" w:eastAsia="Arial" w:hAnsi="Arial" w:cs="Arial"/>
          <w:color w:val="000000"/>
          <w:sz w:val="24"/>
          <w:szCs w:val="24"/>
        </w:rPr>
        <w:t xml:space="preserve">la AGRUPACIÓN RESIDENCIAL VILLA ALICIA PH, </w:t>
      </w:r>
      <w:r w:rsidR="00F55AC6" w:rsidRPr="00F954A6">
        <w:rPr>
          <w:rFonts w:ascii="Arial" w:hAnsi="Arial" w:cs="Arial"/>
          <w:spacing w:val="-3"/>
          <w:sz w:val="24"/>
          <w:szCs w:val="24"/>
        </w:rPr>
        <w:t xml:space="preserve">en el cual pueda transportar </w:t>
      </w:r>
      <w:r w:rsidR="00F55AC6" w:rsidRPr="00F954A6">
        <w:rPr>
          <w:rFonts w:ascii="Arial" w:eastAsia="Arial" w:hAnsi="Arial" w:cs="Arial"/>
          <w:color w:val="000000"/>
          <w:sz w:val="24"/>
          <w:szCs w:val="24"/>
        </w:rPr>
        <w:t>lo esencial para habitar y vivir en su apartamento, es decir, elementos mínimos como son camas, colchones, ropa, nevera, enseres de cocina y demás</w:t>
      </w:r>
      <w:r w:rsidRPr="00F954A6">
        <w:rPr>
          <w:rFonts w:ascii="Arial" w:hAnsi="Arial" w:cs="Arial"/>
          <w:sz w:val="24"/>
          <w:szCs w:val="24"/>
        </w:rPr>
        <w:t xml:space="preserve">. </w:t>
      </w:r>
    </w:p>
    <w:p w14:paraId="3DCA6967" w14:textId="77777777" w:rsidR="00FD168F" w:rsidRPr="00F954A6" w:rsidRDefault="00FD168F" w:rsidP="00F954A6">
      <w:pPr>
        <w:spacing w:line="276" w:lineRule="auto"/>
        <w:jc w:val="both"/>
        <w:rPr>
          <w:rFonts w:ascii="Arial" w:hAnsi="Arial" w:cs="Arial"/>
          <w:sz w:val="24"/>
          <w:szCs w:val="24"/>
        </w:rPr>
      </w:pPr>
    </w:p>
    <w:p w14:paraId="193A5B87" w14:textId="309B6B96" w:rsidR="00FD168F" w:rsidRPr="00F954A6" w:rsidRDefault="00FD168F" w:rsidP="00F954A6">
      <w:pPr>
        <w:pStyle w:val="Sinespaciado1"/>
        <w:spacing w:line="276" w:lineRule="auto"/>
        <w:ind w:firstLine="2835"/>
        <w:jc w:val="both"/>
        <w:rPr>
          <w:rFonts w:ascii="Arial" w:hAnsi="Arial" w:cs="Arial"/>
          <w:sz w:val="24"/>
          <w:szCs w:val="24"/>
        </w:rPr>
      </w:pPr>
      <w:r w:rsidRPr="00F954A6">
        <w:rPr>
          <w:rFonts w:ascii="Arial" w:hAnsi="Arial" w:cs="Arial"/>
          <w:sz w:val="24"/>
          <w:szCs w:val="24"/>
        </w:rPr>
        <w:t>En esas condiciones se encuentra que</w:t>
      </w:r>
      <w:r w:rsidR="00016995" w:rsidRPr="00F954A6">
        <w:rPr>
          <w:rFonts w:ascii="Arial" w:hAnsi="Arial" w:cs="Arial"/>
          <w:sz w:val="24"/>
          <w:szCs w:val="24"/>
        </w:rPr>
        <w:t xml:space="preserve"> la </w:t>
      </w:r>
      <w:r w:rsidR="0051454E" w:rsidRPr="00F954A6">
        <w:rPr>
          <w:rFonts w:ascii="Arial" w:hAnsi="Arial" w:cs="Arial"/>
          <w:sz w:val="24"/>
          <w:szCs w:val="24"/>
        </w:rPr>
        <w:t xml:space="preserve">decisión </w:t>
      </w:r>
      <w:r w:rsidR="00016995" w:rsidRPr="00F954A6">
        <w:rPr>
          <w:rFonts w:ascii="Arial" w:hAnsi="Arial" w:cs="Arial"/>
          <w:sz w:val="24"/>
          <w:szCs w:val="24"/>
        </w:rPr>
        <w:t xml:space="preserve">de la administración de la </w:t>
      </w:r>
      <w:r w:rsidR="00016995" w:rsidRPr="00F954A6">
        <w:rPr>
          <w:rFonts w:ascii="Arial" w:eastAsia="Arial" w:hAnsi="Arial" w:cs="Arial"/>
          <w:color w:val="000000"/>
          <w:sz w:val="24"/>
          <w:szCs w:val="24"/>
        </w:rPr>
        <w:t xml:space="preserve">AGRUPACIÓN RESIDENCIAL VILLA ALICIA PH, </w:t>
      </w:r>
      <w:r w:rsidR="00016995" w:rsidRPr="00F954A6">
        <w:rPr>
          <w:rFonts w:ascii="Arial" w:hAnsi="Arial" w:cs="Arial"/>
          <w:sz w:val="24"/>
          <w:szCs w:val="24"/>
        </w:rPr>
        <w:t>afecta las necesidades</w:t>
      </w:r>
      <w:r w:rsidR="00990652" w:rsidRPr="00F954A6">
        <w:rPr>
          <w:rFonts w:ascii="Arial" w:hAnsi="Arial" w:cs="Arial"/>
          <w:sz w:val="24"/>
          <w:szCs w:val="24"/>
        </w:rPr>
        <w:t xml:space="preserve"> básicas</w:t>
      </w:r>
      <w:r w:rsidR="00016995" w:rsidRPr="00F954A6">
        <w:rPr>
          <w:rFonts w:ascii="Arial" w:hAnsi="Arial" w:cs="Arial"/>
          <w:sz w:val="24"/>
          <w:szCs w:val="24"/>
        </w:rPr>
        <w:t xml:space="preserve"> vitales de la propietaria del inmueble, </w:t>
      </w:r>
      <w:r w:rsidRPr="00F954A6">
        <w:rPr>
          <w:rFonts w:ascii="Arial" w:hAnsi="Arial" w:cs="Arial"/>
          <w:sz w:val="24"/>
          <w:szCs w:val="24"/>
        </w:rPr>
        <w:t>estrechamente vinculad</w:t>
      </w:r>
      <w:r w:rsidR="00016995" w:rsidRPr="00F954A6">
        <w:rPr>
          <w:rFonts w:ascii="Arial" w:hAnsi="Arial" w:cs="Arial"/>
          <w:sz w:val="24"/>
          <w:szCs w:val="24"/>
        </w:rPr>
        <w:t>as</w:t>
      </w:r>
      <w:r w:rsidRPr="00F954A6">
        <w:rPr>
          <w:rFonts w:ascii="Arial" w:hAnsi="Arial" w:cs="Arial"/>
          <w:sz w:val="24"/>
          <w:szCs w:val="24"/>
        </w:rPr>
        <w:t xml:space="preserve"> con l</w:t>
      </w:r>
      <w:r w:rsidR="0051454E" w:rsidRPr="00F954A6">
        <w:rPr>
          <w:rFonts w:ascii="Arial" w:hAnsi="Arial" w:cs="Arial"/>
          <w:sz w:val="24"/>
          <w:szCs w:val="24"/>
        </w:rPr>
        <w:t>os</w:t>
      </w:r>
      <w:r w:rsidRPr="00F954A6">
        <w:rPr>
          <w:rFonts w:ascii="Arial" w:hAnsi="Arial" w:cs="Arial"/>
          <w:sz w:val="24"/>
          <w:szCs w:val="24"/>
        </w:rPr>
        <w:t xml:space="preserve"> derecho</w:t>
      </w:r>
      <w:r w:rsidR="0051454E" w:rsidRPr="00F954A6">
        <w:rPr>
          <w:rFonts w:ascii="Arial" w:hAnsi="Arial" w:cs="Arial"/>
          <w:sz w:val="24"/>
          <w:szCs w:val="24"/>
        </w:rPr>
        <w:t>s</w:t>
      </w:r>
      <w:r w:rsidRPr="00F954A6">
        <w:rPr>
          <w:rFonts w:ascii="Arial" w:hAnsi="Arial" w:cs="Arial"/>
          <w:sz w:val="24"/>
          <w:szCs w:val="24"/>
        </w:rPr>
        <w:t xml:space="preserve"> a la vivienda y vida digna</w:t>
      </w:r>
      <w:r w:rsidR="00BC5DD5" w:rsidRPr="00F954A6">
        <w:rPr>
          <w:rFonts w:ascii="Arial" w:hAnsi="Arial" w:cs="Arial"/>
          <w:sz w:val="24"/>
          <w:szCs w:val="24"/>
        </w:rPr>
        <w:t>s</w:t>
      </w:r>
      <w:r w:rsidRPr="00F954A6">
        <w:rPr>
          <w:rFonts w:ascii="Arial" w:hAnsi="Arial" w:cs="Arial"/>
          <w:sz w:val="24"/>
          <w:szCs w:val="24"/>
        </w:rPr>
        <w:t xml:space="preserve">, </w:t>
      </w:r>
      <w:r w:rsidR="00016995" w:rsidRPr="00F954A6">
        <w:rPr>
          <w:rFonts w:ascii="Arial" w:hAnsi="Arial" w:cs="Arial"/>
          <w:sz w:val="24"/>
          <w:szCs w:val="24"/>
        </w:rPr>
        <w:t xml:space="preserve">los cuales </w:t>
      </w:r>
      <w:r w:rsidRPr="00F954A6">
        <w:rPr>
          <w:rFonts w:ascii="Arial" w:hAnsi="Arial" w:cs="Arial"/>
          <w:sz w:val="24"/>
          <w:szCs w:val="24"/>
        </w:rPr>
        <w:t xml:space="preserve">resultan amenazados, al no contar con </w:t>
      </w:r>
      <w:r w:rsidR="00016995" w:rsidRPr="00F954A6">
        <w:rPr>
          <w:rFonts w:ascii="Arial" w:hAnsi="Arial" w:cs="Arial"/>
          <w:sz w:val="24"/>
          <w:szCs w:val="24"/>
        </w:rPr>
        <w:t xml:space="preserve">los elementos </w:t>
      </w:r>
      <w:r w:rsidR="0051454E" w:rsidRPr="00F954A6">
        <w:rPr>
          <w:rFonts w:ascii="Arial" w:hAnsi="Arial" w:cs="Arial"/>
          <w:sz w:val="24"/>
          <w:szCs w:val="24"/>
        </w:rPr>
        <w:t>esenciales</w:t>
      </w:r>
      <w:r w:rsidR="00016995" w:rsidRPr="00F954A6">
        <w:rPr>
          <w:rFonts w:ascii="Arial" w:hAnsi="Arial" w:cs="Arial"/>
          <w:sz w:val="24"/>
          <w:szCs w:val="24"/>
        </w:rPr>
        <w:t xml:space="preserve"> para habitar</w:t>
      </w:r>
      <w:r w:rsidR="00D974D5" w:rsidRPr="00F954A6">
        <w:rPr>
          <w:rFonts w:ascii="Arial" w:hAnsi="Arial" w:cs="Arial"/>
          <w:sz w:val="24"/>
          <w:szCs w:val="24"/>
        </w:rPr>
        <w:t xml:space="preserve"> y </w:t>
      </w:r>
      <w:r w:rsidR="0051454E" w:rsidRPr="00F954A6">
        <w:rPr>
          <w:rFonts w:ascii="Arial" w:hAnsi="Arial" w:cs="Arial"/>
          <w:sz w:val="24"/>
          <w:szCs w:val="24"/>
        </w:rPr>
        <w:t>subsistir al interior de su vivienda, impidiendo la satisfacción mínima de las condiciones de existencia vital</w:t>
      </w:r>
      <w:r w:rsidRPr="00F954A6">
        <w:rPr>
          <w:rFonts w:ascii="Arial" w:hAnsi="Arial" w:cs="Arial"/>
          <w:sz w:val="24"/>
          <w:szCs w:val="24"/>
        </w:rPr>
        <w:t>.</w:t>
      </w:r>
    </w:p>
    <w:p w14:paraId="6ED60BFA" w14:textId="77777777" w:rsidR="00FD168F" w:rsidRPr="00F954A6" w:rsidRDefault="00FD168F" w:rsidP="00F954A6">
      <w:pPr>
        <w:pStyle w:val="Sinespaciado1"/>
        <w:spacing w:line="276" w:lineRule="auto"/>
        <w:ind w:firstLine="2835"/>
        <w:jc w:val="both"/>
        <w:rPr>
          <w:rFonts w:ascii="Arial" w:hAnsi="Arial" w:cs="Arial"/>
          <w:sz w:val="24"/>
          <w:szCs w:val="24"/>
        </w:rPr>
      </w:pPr>
    </w:p>
    <w:p w14:paraId="4D701647" w14:textId="4DA80CFA" w:rsidR="00FD168F" w:rsidRPr="00F954A6" w:rsidRDefault="00FD168F" w:rsidP="00F954A6">
      <w:pPr>
        <w:pStyle w:val="Sinespaciado1"/>
        <w:spacing w:line="276" w:lineRule="auto"/>
        <w:ind w:firstLine="2835"/>
        <w:jc w:val="both"/>
        <w:rPr>
          <w:rFonts w:ascii="Arial" w:hAnsi="Arial" w:cs="Arial"/>
          <w:sz w:val="24"/>
          <w:szCs w:val="24"/>
        </w:rPr>
      </w:pPr>
      <w:r w:rsidRPr="00F954A6">
        <w:rPr>
          <w:rFonts w:ascii="Arial" w:hAnsi="Arial" w:cs="Arial"/>
          <w:spacing w:val="-3"/>
          <w:sz w:val="24"/>
          <w:szCs w:val="24"/>
        </w:rPr>
        <w:t xml:space="preserve">5. </w:t>
      </w:r>
      <w:r w:rsidR="00990652" w:rsidRPr="00F954A6">
        <w:rPr>
          <w:rFonts w:ascii="Arial" w:hAnsi="Arial" w:cs="Arial"/>
          <w:sz w:val="24"/>
          <w:szCs w:val="24"/>
        </w:rPr>
        <w:t xml:space="preserve">En consecuencia, la Sala revocará la decisión de primer grado y en su lugar declarará improcedente la acción de tutela frente al </w:t>
      </w:r>
      <w:r w:rsidR="00990652" w:rsidRPr="00F954A6">
        <w:rPr>
          <w:rFonts w:ascii="Arial" w:eastAsia="Arial" w:hAnsi="Arial" w:cs="Arial"/>
          <w:color w:val="000000"/>
          <w:sz w:val="24"/>
          <w:szCs w:val="24"/>
        </w:rPr>
        <w:t xml:space="preserve">Juzgado Séptimo Civil Municipal de Pereira y </w:t>
      </w:r>
      <w:r w:rsidR="00990652" w:rsidRPr="00F954A6">
        <w:rPr>
          <w:rFonts w:ascii="Arial" w:hAnsi="Arial" w:cs="Arial"/>
          <w:sz w:val="24"/>
          <w:szCs w:val="24"/>
        </w:rPr>
        <w:t xml:space="preserve">concederá el amparo deprecado respecto de la </w:t>
      </w:r>
      <w:r w:rsidR="00990652" w:rsidRPr="00F954A6">
        <w:rPr>
          <w:rFonts w:ascii="Arial" w:eastAsia="Arial" w:hAnsi="Arial" w:cs="Arial"/>
          <w:color w:val="000000"/>
          <w:sz w:val="24"/>
          <w:szCs w:val="24"/>
        </w:rPr>
        <w:t>AGRUPACIÓN RESIDENCIAL VILLA ALICIA PH</w:t>
      </w:r>
      <w:r w:rsidRPr="00F954A6">
        <w:rPr>
          <w:rFonts w:ascii="Arial" w:hAnsi="Arial" w:cs="Arial"/>
          <w:sz w:val="24"/>
          <w:szCs w:val="24"/>
        </w:rPr>
        <w:t>.</w:t>
      </w:r>
    </w:p>
    <w:p w14:paraId="60138F69" w14:textId="77777777" w:rsidR="00FD168F" w:rsidRPr="00F954A6" w:rsidRDefault="00FD168F" w:rsidP="00F954A6">
      <w:pPr>
        <w:pStyle w:val="Sinespaciado1"/>
        <w:spacing w:line="276" w:lineRule="auto"/>
        <w:ind w:firstLine="2835"/>
        <w:jc w:val="both"/>
        <w:rPr>
          <w:rFonts w:ascii="Arial" w:hAnsi="Arial" w:cs="Arial"/>
          <w:sz w:val="24"/>
          <w:szCs w:val="24"/>
        </w:rPr>
      </w:pPr>
    </w:p>
    <w:p w14:paraId="59EB4116" w14:textId="1B06D25B" w:rsidR="000914F8" w:rsidRPr="00F954A6" w:rsidRDefault="00221903" w:rsidP="00F954A6">
      <w:pPr>
        <w:pStyle w:val="Sinespaciado1"/>
        <w:spacing w:line="276" w:lineRule="auto"/>
        <w:ind w:firstLine="2835"/>
        <w:jc w:val="both"/>
        <w:rPr>
          <w:rFonts w:ascii="Arial" w:hAnsi="Arial" w:cs="Arial"/>
          <w:spacing w:val="-3"/>
          <w:sz w:val="24"/>
          <w:szCs w:val="24"/>
        </w:rPr>
      </w:pPr>
      <w:r w:rsidRPr="00F954A6">
        <w:rPr>
          <w:rFonts w:ascii="Arial" w:hAnsi="Arial" w:cs="Arial"/>
          <w:sz w:val="24"/>
          <w:szCs w:val="24"/>
        </w:rPr>
        <w:t>6</w:t>
      </w:r>
      <w:r w:rsidR="00FD168F" w:rsidRPr="00F954A6">
        <w:rPr>
          <w:rFonts w:ascii="Arial" w:hAnsi="Arial" w:cs="Arial"/>
          <w:sz w:val="24"/>
          <w:szCs w:val="24"/>
        </w:rPr>
        <w:t xml:space="preserve">. </w:t>
      </w:r>
      <w:r w:rsidR="00990652" w:rsidRPr="00F954A6">
        <w:rPr>
          <w:rFonts w:ascii="Arial" w:hAnsi="Arial" w:cs="Arial"/>
          <w:sz w:val="24"/>
          <w:szCs w:val="24"/>
        </w:rPr>
        <w:t>S</w:t>
      </w:r>
      <w:r w:rsidR="00FD168F" w:rsidRPr="00F954A6">
        <w:rPr>
          <w:rFonts w:ascii="Arial" w:hAnsi="Arial" w:cs="Arial"/>
          <w:sz w:val="24"/>
          <w:szCs w:val="24"/>
        </w:rPr>
        <w:t>e ordenará a</w:t>
      </w:r>
      <w:r w:rsidRPr="00F954A6">
        <w:rPr>
          <w:rFonts w:ascii="Arial" w:hAnsi="Arial" w:cs="Arial"/>
          <w:sz w:val="24"/>
          <w:szCs w:val="24"/>
        </w:rPr>
        <w:t xml:space="preserve"> </w:t>
      </w:r>
      <w:r w:rsidR="00FD168F" w:rsidRPr="00F954A6">
        <w:rPr>
          <w:rFonts w:ascii="Arial" w:hAnsi="Arial" w:cs="Arial"/>
          <w:sz w:val="24"/>
          <w:szCs w:val="24"/>
        </w:rPr>
        <w:t>l</w:t>
      </w:r>
      <w:r w:rsidRPr="00F954A6">
        <w:rPr>
          <w:rFonts w:ascii="Arial" w:hAnsi="Arial" w:cs="Arial"/>
          <w:sz w:val="24"/>
          <w:szCs w:val="24"/>
        </w:rPr>
        <w:t xml:space="preserve">a Administradora </w:t>
      </w:r>
      <w:r w:rsidRPr="00F954A6">
        <w:rPr>
          <w:rFonts w:ascii="Arial" w:eastAsia="Arial" w:hAnsi="Arial" w:cs="Arial"/>
          <w:color w:val="000000"/>
          <w:sz w:val="24"/>
          <w:szCs w:val="24"/>
        </w:rPr>
        <w:t xml:space="preserve">de la AGRUPACIÓN RESIDENCIAL VILLA ALICIA PH, señora JULIANA CORREA CORREA, o quien haga sus veces, </w:t>
      </w:r>
      <w:r w:rsidR="00FD168F" w:rsidRPr="00F954A6">
        <w:rPr>
          <w:rFonts w:ascii="Arial" w:hAnsi="Arial" w:cs="Arial"/>
          <w:sz w:val="24"/>
          <w:szCs w:val="24"/>
        </w:rPr>
        <w:t xml:space="preserve">que en el término de </w:t>
      </w:r>
      <w:r w:rsidRPr="00F954A6">
        <w:rPr>
          <w:rFonts w:ascii="Arial" w:hAnsi="Arial" w:cs="Arial"/>
          <w:sz w:val="24"/>
          <w:szCs w:val="24"/>
        </w:rPr>
        <w:t>cuarenta y ocho (48) horas</w:t>
      </w:r>
      <w:r w:rsidR="00FD168F" w:rsidRPr="00F954A6">
        <w:rPr>
          <w:rFonts w:ascii="Arial" w:hAnsi="Arial" w:cs="Arial"/>
          <w:sz w:val="24"/>
          <w:szCs w:val="24"/>
        </w:rPr>
        <w:t xml:space="preserve"> contad</w:t>
      </w:r>
      <w:r w:rsidRPr="00F954A6">
        <w:rPr>
          <w:rFonts w:ascii="Arial" w:hAnsi="Arial" w:cs="Arial"/>
          <w:sz w:val="24"/>
          <w:szCs w:val="24"/>
        </w:rPr>
        <w:t>a</w:t>
      </w:r>
      <w:r w:rsidR="00FD168F" w:rsidRPr="00F954A6">
        <w:rPr>
          <w:rFonts w:ascii="Arial" w:hAnsi="Arial" w:cs="Arial"/>
          <w:sz w:val="24"/>
          <w:szCs w:val="24"/>
        </w:rPr>
        <w:t>s a partir de la notificación de la presente sentencia,</w:t>
      </w:r>
      <w:r w:rsidR="00A7047A" w:rsidRPr="00F954A6">
        <w:rPr>
          <w:rFonts w:ascii="Arial" w:hAnsi="Arial" w:cs="Arial"/>
          <w:sz w:val="24"/>
          <w:szCs w:val="24"/>
        </w:rPr>
        <w:t xml:space="preserve"> se le permita a la accionante el acceso al conjunto de un </w:t>
      </w:r>
      <w:r w:rsidR="00A7047A" w:rsidRPr="00F954A6">
        <w:rPr>
          <w:rFonts w:ascii="Arial" w:hAnsi="Arial" w:cs="Arial"/>
          <w:spacing w:val="-3"/>
          <w:sz w:val="24"/>
          <w:szCs w:val="24"/>
        </w:rPr>
        <w:t xml:space="preserve">vehículo en el cual pueda transportar </w:t>
      </w:r>
      <w:r w:rsidR="00A7047A" w:rsidRPr="00F954A6">
        <w:rPr>
          <w:rFonts w:ascii="Arial" w:eastAsia="Arial" w:hAnsi="Arial" w:cs="Arial"/>
          <w:color w:val="000000"/>
          <w:sz w:val="24"/>
          <w:szCs w:val="24"/>
        </w:rPr>
        <w:t>los elementos para habitar y vivir en su apartamento, es decir, camas, colchones, ropa, muebles, lavadora, nevera, enseres de cocina y demás</w:t>
      </w:r>
      <w:r w:rsidR="000914F8" w:rsidRPr="00F954A6">
        <w:rPr>
          <w:rFonts w:ascii="Arial" w:hAnsi="Arial" w:cs="Arial"/>
          <w:spacing w:val="-3"/>
          <w:sz w:val="24"/>
          <w:szCs w:val="24"/>
        </w:rPr>
        <w:t>.</w:t>
      </w:r>
    </w:p>
    <w:p w14:paraId="1D274173" w14:textId="77777777" w:rsidR="00BE4CE0" w:rsidRPr="00F954A6" w:rsidRDefault="00BE4CE0" w:rsidP="00F954A6">
      <w:pPr>
        <w:pStyle w:val="Sinespaciado1"/>
        <w:spacing w:line="276" w:lineRule="auto"/>
        <w:ind w:firstLine="2835"/>
        <w:jc w:val="both"/>
        <w:rPr>
          <w:rFonts w:ascii="Arial" w:hAnsi="Arial" w:cs="Arial"/>
          <w:spacing w:val="-3"/>
          <w:sz w:val="24"/>
          <w:szCs w:val="24"/>
        </w:rPr>
      </w:pPr>
    </w:p>
    <w:p w14:paraId="1D8033F3" w14:textId="77777777" w:rsidR="000914F8" w:rsidRPr="00F954A6" w:rsidRDefault="000914F8" w:rsidP="00F954A6">
      <w:pPr>
        <w:pStyle w:val="Sinespaciado1"/>
        <w:spacing w:line="276" w:lineRule="auto"/>
        <w:ind w:firstLine="2835"/>
        <w:jc w:val="both"/>
        <w:rPr>
          <w:rFonts w:ascii="Arial" w:hAnsi="Arial" w:cs="Arial"/>
          <w:b/>
          <w:bCs/>
          <w:sz w:val="24"/>
          <w:szCs w:val="24"/>
        </w:rPr>
      </w:pPr>
      <w:r w:rsidRPr="00F954A6">
        <w:rPr>
          <w:rFonts w:ascii="Arial" w:hAnsi="Arial" w:cs="Arial"/>
          <w:b/>
          <w:bCs/>
          <w:sz w:val="24"/>
          <w:szCs w:val="24"/>
        </w:rPr>
        <w:t>VII. DECISIÓN</w:t>
      </w:r>
    </w:p>
    <w:p w14:paraId="5A55B47D" w14:textId="77777777" w:rsidR="000914F8" w:rsidRPr="00F954A6" w:rsidRDefault="000914F8" w:rsidP="00F954A6">
      <w:pPr>
        <w:pStyle w:val="Sinespaciado1"/>
        <w:spacing w:line="276" w:lineRule="auto"/>
        <w:ind w:firstLine="2835"/>
        <w:jc w:val="both"/>
        <w:rPr>
          <w:rFonts w:ascii="Arial" w:hAnsi="Arial" w:cs="Arial"/>
          <w:bCs/>
          <w:sz w:val="24"/>
          <w:szCs w:val="24"/>
        </w:rPr>
      </w:pPr>
    </w:p>
    <w:p w14:paraId="24F9F6A1" w14:textId="77777777" w:rsidR="000914F8" w:rsidRPr="00F954A6" w:rsidRDefault="000914F8" w:rsidP="00F954A6">
      <w:pPr>
        <w:pStyle w:val="Sinespaciado2"/>
        <w:spacing w:line="276" w:lineRule="auto"/>
        <w:ind w:firstLine="2880"/>
        <w:jc w:val="both"/>
        <w:rPr>
          <w:rFonts w:ascii="Arial" w:hAnsi="Arial" w:cs="Arial"/>
          <w:sz w:val="24"/>
          <w:szCs w:val="24"/>
        </w:rPr>
      </w:pPr>
      <w:r w:rsidRPr="00F954A6">
        <w:rPr>
          <w:rFonts w:ascii="Arial" w:hAnsi="Arial" w:cs="Arial"/>
          <w:sz w:val="24"/>
          <w:szCs w:val="24"/>
        </w:rPr>
        <w:lastRenderedPageBreak/>
        <w:t>En mérito de lo expuesto, la Sala de Decisión Civil Familia del Tribunal Superior de Pereira, administrando justicia en nombre de la República y por autoridad de la ley,</w:t>
      </w:r>
    </w:p>
    <w:p w14:paraId="24774273" w14:textId="77777777" w:rsidR="000914F8" w:rsidRPr="00F954A6" w:rsidRDefault="000914F8" w:rsidP="00F954A6">
      <w:pPr>
        <w:pStyle w:val="Sinespaciado1"/>
        <w:spacing w:line="276" w:lineRule="auto"/>
        <w:ind w:firstLine="2835"/>
        <w:jc w:val="both"/>
        <w:rPr>
          <w:rFonts w:ascii="Arial" w:hAnsi="Arial" w:cs="Arial"/>
          <w:sz w:val="24"/>
          <w:szCs w:val="24"/>
        </w:rPr>
      </w:pPr>
    </w:p>
    <w:p w14:paraId="0E3D05F4" w14:textId="77777777" w:rsidR="000914F8" w:rsidRPr="00F954A6" w:rsidRDefault="000914F8" w:rsidP="00F954A6">
      <w:pPr>
        <w:pStyle w:val="Sinespaciado1"/>
        <w:spacing w:line="276" w:lineRule="auto"/>
        <w:ind w:firstLine="2835"/>
        <w:jc w:val="both"/>
        <w:rPr>
          <w:rFonts w:ascii="Arial" w:hAnsi="Arial" w:cs="Arial"/>
          <w:b/>
          <w:sz w:val="24"/>
          <w:szCs w:val="24"/>
        </w:rPr>
      </w:pPr>
      <w:r w:rsidRPr="00F954A6">
        <w:rPr>
          <w:rFonts w:ascii="Arial" w:hAnsi="Arial" w:cs="Arial"/>
          <w:b/>
          <w:spacing w:val="-3"/>
          <w:sz w:val="24"/>
          <w:szCs w:val="24"/>
        </w:rPr>
        <w:t>RESUELVE:</w:t>
      </w:r>
    </w:p>
    <w:p w14:paraId="561A22C1" w14:textId="77777777" w:rsidR="000914F8" w:rsidRPr="00F954A6" w:rsidRDefault="000914F8" w:rsidP="00F954A6">
      <w:pPr>
        <w:pStyle w:val="Sinespaciado1"/>
        <w:spacing w:line="276" w:lineRule="auto"/>
        <w:ind w:firstLine="2835"/>
        <w:jc w:val="both"/>
        <w:rPr>
          <w:rFonts w:ascii="Arial" w:hAnsi="Arial" w:cs="Arial"/>
          <w:sz w:val="24"/>
          <w:szCs w:val="24"/>
        </w:rPr>
      </w:pPr>
    </w:p>
    <w:p w14:paraId="43B41A08" w14:textId="074D3B5E" w:rsidR="002C74F5" w:rsidRPr="00F954A6" w:rsidRDefault="000914F8"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r w:rsidRPr="00F954A6">
        <w:rPr>
          <w:rFonts w:ascii="Arial" w:hAnsi="Arial" w:cs="Arial"/>
          <w:b/>
          <w:spacing w:val="-3"/>
          <w:sz w:val="24"/>
          <w:szCs w:val="24"/>
        </w:rPr>
        <w:t>Primero:</w:t>
      </w:r>
      <w:r w:rsidRPr="00F954A6">
        <w:rPr>
          <w:rFonts w:ascii="Arial" w:hAnsi="Arial" w:cs="Arial"/>
          <w:spacing w:val="-3"/>
          <w:sz w:val="24"/>
          <w:szCs w:val="24"/>
        </w:rPr>
        <w:t xml:space="preserve"> </w:t>
      </w:r>
      <w:r w:rsidR="00A7047A" w:rsidRPr="00F954A6">
        <w:rPr>
          <w:rFonts w:ascii="Arial" w:hAnsi="Arial" w:cs="Arial"/>
          <w:spacing w:val="-3"/>
          <w:sz w:val="24"/>
          <w:szCs w:val="24"/>
        </w:rPr>
        <w:t>REVOC</w:t>
      </w:r>
      <w:r w:rsidRPr="00F954A6">
        <w:rPr>
          <w:rFonts w:ascii="Arial" w:hAnsi="Arial" w:cs="Arial"/>
          <w:spacing w:val="-3"/>
          <w:sz w:val="24"/>
          <w:szCs w:val="24"/>
        </w:rPr>
        <w:t>AR</w:t>
      </w:r>
      <w:r w:rsidRPr="00F954A6">
        <w:rPr>
          <w:rFonts w:ascii="Arial" w:eastAsia="Arial" w:hAnsi="Arial" w:cs="Arial"/>
          <w:color w:val="000000"/>
          <w:sz w:val="24"/>
          <w:szCs w:val="24"/>
        </w:rPr>
        <w:t xml:space="preserve"> </w:t>
      </w:r>
      <w:r w:rsidR="006215AE" w:rsidRPr="00F954A6">
        <w:rPr>
          <w:rFonts w:ascii="Arial" w:eastAsia="Arial" w:hAnsi="Arial" w:cs="Arial"/>
          <w:color w:val="000000"/>
          <w:sz w:val="24"/>
          <w:szCs w:val="24"/>
        </w:rPr>
        <w:t xml:space="preserve">el fallo de tutela proferido el </w:t>
      </w:r>
      <w:r w:rsidR="00BF1D4F" w:rsidRPr="00F954A6">
        <w:rPr>
          <w:rFonts w:ascii="Arial" w:eastAsia="Arial" w:hAnsi="Arial" w:cs="Arial"/>
          <w:color w:val="000000"/>
          <w:sz w:val="24"/>
          <w:szCs w:val="24"/>
        </w:rPr>
        <w:t>2</w:t>
      </w:r>
      <w:r w:rsidR="006215AE" w:rsidRPr="00F954A6">
        <w:rPr>
          <w:rFonts w:ascii="Arial" w:eastAsia="Arial" w:hAnsi="Arial" w:cs="Arial"/>
          <w:color w:val="000000"/>
          <w:sz w:val="24"/>
          <w:szCs w:val="24"/>
        </w:rPr>
        <w:t xml:space="preserve"> de </w:t>
      </w:r>
      <w:r w:rsidR="00AA6ED2" w:rsidRPr="00F954A6">
        <w:rPr>
          <w:rFonts w:ascii="Arial" w:eastAsia="Arial" w:hAnsi="Arial" w:cs="Arial"/>
          <w:color w:val="000000"/>
          <w:sz w:val="24"/>
          <w:szCs w:val="24"/>
        </w:rPr>
        <w:t>ma</w:t>
      </w:r>
      <w:r w:rsidR="00BF1D4F" w:rsidRPr="00F954A6">
        <w:rPr>
          <w:rFonts w:ascii="Arial" w:eastAsia="Arial" w:hAnsi="Arial" w:cs="Arial"/>
          <w:color w:val="000000"/>
          <w:sz w:val="24"/>
          <w:szCs w:val="24"/>
        </w:rPr>
        <w:t>rz</w:t>
      </w:r>
      <w:r w:rsidR="00AA6ED2" w:rsidRPr="00F954A6">
        <w:rPr>
          <w:rFonts w:ascii="Arial" w:eastAsia="Arial" w:hAnsi="Arial" w:cs="Arial"/>
          <w:color w:val="000000"/>
          <w:sz w:val="24"/>
          <w:szCs w:val="24"/>
        </w:rPr>
        <w:t>o de 20</w:t>
      </w:r>
      <w:r w:rsidR="00BF1D4F" w:rsidRPr="00F954A6">
        <w:rPr>
          <w:rFonts w:ascii="Arial" w:eastAsia="Arial" w:hAnsi="Arial" w:cs="Arial"/>
          <w:color w:val="000000"/>
          <w:sz w:val="24"/>
          <w:szCs w:val="24"/>
        </w:rPr>
        <w:t>20</w:t>
      </w:r>
      <w:r w:rsidR="006215AE" w:rsidRPr="00F954A6">
        <w:rPr>
          <w:rFonts w:ascii="Arial" w:eastAsia="Arial" w:hAnsi="Arial" w:cs="Arial"/>
          <w:color w:val="000000"/>
          <w:sz w:val="24"/>
          <w:szCs w:val="24"/>
        </w:rPr>
        <w:t xml:space="preserve">, por el Juzgado </w:t>
      </w:r>
      <w:r w:rsidR="00AA6ED2" w:rsidRPr="00F954A6">
        <w:rPr>
          <w:rFonts w:ascii="Arial" w:eastAsia="Arial" w:hAnsi="Arial" w:cs="Arial"/>
          <w:color w:val="000000"/>
          <w:sz w:val="24"/>
          <w:szCs w:val="24"/>
        </w:rPr>
        <w:t>Segund</w:t>
      </w:r>
      <w:r w:rsidR="006215AE" w:rsidRPr="00F954A6">
        <w:rPr>
          <w:rFonts w:ascii="Arial" w:eastAsia="Arial" w:hAnsi="Arial" w:cs="Arial"/>
          <w:color w:val="000000"/>
          <w:sz w:val="24"/>
          <w:szCs w:val="24"/>
        </w:rPr>
        <w:t>o Civil del Circuito de Pereira</w:t>
      </w:r>
      <w:r w:rsidR="002602CB" w:rsidRPr="00F954A6">
        <w:rPr>
          <w:rFonts w:ascii="Arial" w:eastAsia="Arial" w:hAnsi="Arial" w:cs="Arial"/>
          <w:color w:val="000000"/>
          <w:sz w:val="24"/>
          <w:szCs w:val="24"/>
        </w:rPr>
        <w:t xml:space="preserve">, </w:t>
      </w:r>
      <w:r w:rsidR="002602CB" w:rsidRPr="00F954A6">
        <w:rPr>
          <w:rFonts w:ascii="Arial" w:hAnsi="Arial" w:cs="Arial"/>
          <w:sz w:val="24"/>
          <w:szCs w:val="24"/>
          <w:lang w:val="es-ES"/>
        </w:rPr>
        <w:t>por lo indicado en la parte motiva</w:t>
      </w:r>
      <w:r w:rsidR="006215AE" w:rsidRPr="00F954A6">
        <w:rPr>
          <w:rFonts w:ascii="Arial" w:eastAsia="Arial" w:hAnsi="Arial" w:cs="Arial"/>
          <w:color w:val="000000"/>
          <w:sz w:val="24"/>
          <w:szCs w:val="24"/>
        </w:rPr>
        <w:t>.</w:t>
      </w:r>
    </w:p>
    <w:p w14:paraId="6F578F87" w14:textId="77777777" w:rsidR="002C74F5" w:rsidRPr="00F954A6" w:rsidRDefault="002C74F5" w:rsidP="00F954A6">
      <w:pPr>
        <w:pBdr>
          <w:top w:val="nil"/>
          <w:left w:val="nil"/>
          <w:bottom w:val="nil"/>
          <w:right w:val="nil"/>
          <w:between w:val="nil"/>
        </w:pBdr>
        <w:spacing w:line="276" w:lineRule="auto"/>
        <w:ind w:firstLine="2835"/>
        <w:jc w:val="both"/>
        <w:rPr>
          <w:rFonts w:ascii="Arial" w:eastAsia="Arial" w:hAnsi="Arial" w:cs="Arial"/>
          <w:color w:val="000000"/>
          <w:sz w:val="24"/>
          <w:szCs w:val="24"/>
        </w:rPr>
      </w:pPr>
    </w:p>
    <w:p w14:paraId="5F01B970" w14:textId="5F7A065D" w:rsidR="00A7047A" w:rsidRPr="00F954A6" w:rsidRDefault="00A7047A" w:rsidP="00F954A6">
      <w:pPr>
        <w:pStyle w:val="Sinespaciado1"/>
        <w:spacing w:line="276" w:lineRule="auto"/>
        <w:ind w:firstLine="2835"/>
        <w:jc w:val="both"/>
        <w:rPr>
          <w:rFonts w:ascii="Arial" w:hAnsi="Arial" w:cs="Arial"/>
          <w:sz w:val="24"/>
          <w:szCs w:val="24"/>
          <w:lang w:val="es-ES" w:eastAsia="es-ES"/>
        </w:rPr>
      </w:pPr>
      <w:r w:rsidRPr="00F954A6">
        <w:rPr>
          <w:rFonts w:ascii="Arial" w:hAnsi="Arial" w:cs="Arial"/>
          <w:b/>
          <w:spacing w:val="-3"/>
          <w:sz w:val="24"/>
          <w:szCs w:val="24"/>
        </w:rPr>
        <w:t>Segundo:</w:t>
      </w:r>
      <w:r w:rsidRPr="00F954A6">
        <w:rPr>
          <w:rFonts w:ascii="Arial" w:hAnsi="Arial" w:cs="Arial"/>
          <w:spacing w:val="-3"/>
          <w:sz w:val="24"/>
          <w:szCs w:val="24"/>
        </w:rPr>
        <w:t xml:space="preserve"> CONCEDER</w:t>
      </w:r>
      <w:r w:rsidRPr="00F954A6">
        <w:rPr>
          <w:rFonts w:ascii="Arial" w:hAnsi="Arial" w:cs="Arial"/>
          <w:b/>
          <w:spacing w:val="-3"/>
          <w:sz w:val="24"/>
          <w:szCs w:val="24"/>
        </w:rPr>
        <w:t xml:space="preserve"> </w:t>
      </w:r>
      <w:r w:rsidRPr="00F954A6">
        <w:rPr>
          <w:rFonts w:ascii="Arial" w:hAnsi="Arial" w:cs="Arial"/>
          <w:bCs/>
          <w:spacing w:val="-3"/>
          <w:sz w:val="24"/>
          <w:szCs w:val="24"/>
        </w:rPr>
        <w:t xml:space="preserve">el amparo constitucional impetrado </w:t>
      </w:r>
      <w:r w:rsidRPr="00F954A6">
        <w:rPr>
          <w:rFonts w:ascii="Arial" w:hAnsi="Arial" w:cs="Arial"/>
          <w:sz w:val="24"/>
          <w:szCs w:val="24"/>
          <w:lang w:val="es-ES" w:eastAsia="es-ES"/>
        </w:rPr>
        <w:t xml:space="preserve">por la señora </w:t>
      </w:r>
      <w:r w:rsidRPr="00F954A6">
        <w:rPr>
          <w:rFonts w:ascii="Arial" w:eastAsia="Arial" w:hAnsi="Arial" w:cs="Arial"/>
          <w:color w:val="000000"/>
          <w:sz w:val="24"/>
          <w:szCs w:val="24"/>
        </w:rPr>
        <w:t>MARÍA LUISA FRANCO RESTREPO</w:t>
      </w:r>
      <w:r w:rsidRPr="00F954A6">
        <w:rPr>
          <w:rFonts w:ascii="Arial" w:hAnsi="Arial" w:cs="Arial"/>
          <w:sz w:val="24"/>
          <w:szCs w:val="24"/>
          <w:lang w:val="es-ES" w:eastAsia="es-ES"/>
        </w:rPr>
        <w:t xml:space="preserve"> </w:t>
      </w:r>
      <w:r w:rsidRPr="00F954A6">
        <w:rPr>
          <w:rFonts w:ascii="Arial" w:eastAsia="Arial" w:hAnsi="Arial" w:cs="Arial"/>
          <w:sz w:val="24"/>
          <w:szCs w:val="24"/>
        </w:rPr>
        <w:t xml:space="preserve">contra </w:t>
      </w:r>
      <w:r w:rsidRPr="00F954A6">
        <w:rPr>
          <w:rFonts w:ascii="Arial" w:hAnsi="Arial" w:cs="Arial"/>
          <w:sz w:val="24"/>
          <w:szCs w:val="24"/>
          <w:lang w:val="es-ES" w:eastAsia="es-ES"/>
        </w:rPr>
        <w:t xml:space="preserve">la </w:t>
      </w:r>
      <w:r w:rsidRPr="00F954A6">
        <w:rPr>
          <w:rFonts w:ascii="Arial" w:eastAsia="Arial" w:hAnsi="Arial" w:cs="Arial"/>
          <w:color w:val="000000"/>
          <w:sz w:val="24"/>
          <w:szCs w:val="24"/>
        </w:rPr>
        <w:t>AGRUPACIÓN RESIDENCIAL VILLA ALICIA PH</w:t>
      </w:r>
      <w:r w:rsidRPr="00F954A6">
        <w:rPr>
          <w:rFonts w:ascii="Arial" w:hAnsi="Arial" w:cs="Arial"/>
          <w:spacing w:val="-3"/>
          <w:sz w:val="24"/>
          <w:szCs w:val="24"/>
        </w:rPr>
        <w:t>.</w:t>
      </w:r>
    </w:p>
    <w:p w14:paraId="6033E9A8" w14:textId="77777777" w:rsidR="00A7047A" w:rsidRPr="00F954A6" w:rsidRDefault="00A7047A" w:rsidP="00F954A6">
      <w:pPr>
        <w:pStyle w:val="Sinespaciado1"/>
        <w:spacing w:line="276" w:lineRule="auto"/>
        <w:ind w:firstLine="2835"/>
        <w:jc w:val="both"/>
        <w:rPr>
          <w:rFonts w:ascii="Arial" w:hAnsi="Arial" w:cs="Arial"/>
          <w:sz w:val="24"/>
          <w:szCs w:val="24"/>
          <w:lang w:val="es-ES" w:eastAsia="es-ES"/>
        </w:rPr>
      </w:pPr>
    </w:p>
    <w:p w14:paraId="4297C86B" w14:textId="2CADA649" w:rsidR="00A7047A" w:rsidRPr="00F954A6" w:rsidRDefault="00A7047A" w:rsidP="00F954A6">
      <w:pPr>
        <w:pStyle w:val="Sinespaciado1"/>
        <w:spacing w:line="276" w:lineRule="auto"/>
        <w:ind w:firstLine="2835"/>
        <w:jc w:val="both"/>
        <w:rPr>
          <w:rFonts w:ascii="Arial" w:hAnsi="Arial" w:cs="Arial"/>
          <w:spacing w:val="-3"/>
          <w:sz w:val="24"/>
          <w:szCs w:val="24"/>
        </w:rPr>
      </w:pPr>
      <w:r w:rsidRPr="00F954A6">
        <w:rPr>
          <w:rFonts w:ascii="Arial" w:hAnsi="Arial" w:cs="Arial"/>
          <w:b/>
          <w:spacing w:val="-3"/>
          <w:sz w:val="24"/>
          <w:szCs w:val="24"/>
        </w:rPr>
        <w:t>Tercero:</w:t>
      </w:r>
      <w:r w:rsidRPr="00F954A6">
        <w:rPr>
          <w:rFonts w:ascii="Arial" w:hAnsi="Arial" w:cs="Arial"/>
          <w:spacing w:val="-3"/>
          <w:sz w:val="24"/>
          <w:szCs w:val="24"/>
        </w:rPr>
        <w:t xml:space="preserve"> </w:t>
      </w:r>
      <w:r w:rsidRPr="00F954A6">
        <w:rPr>
          <w:rFonts w:ascii="Arial" w:hAnsi="Arial" w:cs="Arial"/>
          <w:bCs/>
          <w:sz w:val="24"/>
          <w:szCs w:val="24"/>
        </w:rPr>
        <w:t xml:space="preserve">ORDENAR </w:t>
      </w:r>
      <w:r w:rsidRPr="00F954A6">
        <w:rPr>
          <w:rFonts w:ascii="Arial" w:hAnsi="Arial" w:cs="Arial"/>
          <w:sz w:val="24"/>
          <w:szCs w:val="24"/>
        </w:rPr>
        <w:t xml:space="preserve">a la Administradora </w:t>
      </w:r>
      <w:r w:rsidRPr="00F954A6">
        <w:rPr>
          <w:rFonts w:ascii="Arial" w:eastAsia="Arial" w:hAnsi="Arial" w:cs="Arial"/>
          <w:color w:val="000000"/>
          <w:sz w:val="24"/>
          <w:szCs w:val="24"/>
        </w:rPr>
        <w:t xml:space="preserve">de la AGRUPACIÓN RESIDENCIAL VILLA ALICIA PH, señora JULIANA CORREA CORREA, o quien haga sus veces, </w:t>
      </w:r>
      <w:r w:rsidRPr="00F954A6">
        <w:rPr>
          <w:rFonts w:ascii="Arial" w:hAnsi="Arial" w:cs="Arial"/>
          <w:sz w:val="24"/>
          <w:szCs w:val="24"/>
        </w:rPr>
        <w:t xml:space="preserve">que en el término de cuarenta y ocho (48) horas contadas a partir de la notificación de la presente sentencia, se le permita a la accionante el acceso al conjunto de un </w:t>
      </w:r>
      <w:r w:rsidRPr="00F954A6">
        <w:rPr>
          <w:rFonts w:ascii="Arial" w:hAnsi="Arial" w:cs="Arial"/>
          <w:spacing w:val="-3"/>
          <w:sz w:val="24"/>
          <w:szCs w:val="24"/>
        </w:rPr>
        <w:t xml:space="preserve">vehículo en el cual pueda transportar </w:t>
      </w:r>
      <w:r w:rsidRPr="00F954A6">
        <w:rPr>
          <w:rFonts w:ascii="Arial" w:eastAsia="Arial" w:hAnsi="Arial" w:cs="Arial"/>
          <w:color w:val="000000"/>
          <w:sz w:val="24"/>
          <w:szCs w:val="24"/>
        </w:rPr>
        <w:t>los elementos para habitar y vivir en su apartamento, es decir, camas, colchones, ropa, lavadora, nevera, enseres de cocina y demás</w:t>
      </w:r>
      <w:r w:rsidRPr="00F954A6">
        <w:rPr>
          <w:rFonts w:ascii="Arial" w:hAnsi="Arial" w:cs="Arial"/>
          <w:sz w:val="24"/>
          <w:szCs w:val="24"/>
        </w:rPr>
        <w:t>.</w:t>
      </w:r>
    </w:p>
    <w:p w14:paraId="53F08A69" w14:textId="77777777" w:rsidR="00A7047A" w:rsidRPr="00F954A6" w:rsidRDefault="00A7047A" w:rsidP="00F954A6">
      <w:pPr>
        <w:pStyle w:val="Sinespaciado1"/>
        <w:spacing w:line="276" w:lineRule="auto"/>
        <w:ind w:firstLine="2835"/>
        <w:jc w:val="both"/>
        <w:rPr>
          <w:rFonts w:ascii="Arial" w:hAnsi="Arial" w:cs="Arial"/>
          <w:spacing w:val="-3"/>
          <w:sz w:val="24"/>
          <w:szCs w:val="24"/>
        </w:rPr>
      </w:pPr>
    </w:p>
    <w:p w14:paraId="4DFABA4E" w14:textId="13620ED9" w:rsidR="00A7047A" w:rsidRPr="00F954A6" w:rsidRDefault="00A7047A" w:rsidP="00F954A6">
      <w:pPr>
        <w:pStyle w:val="Sinespaciado1"/>
        <w:spacing w:line="276" w:lineRule="auto"/>
        <w:ind w:firstLine="2835"/>
        <w:jc w:val="both"/>
        <w:rPr>
          <w:rFonts w:ascii="Arial" w:hAnsi="Arial" w:cs="Arial"/>
          <w:spacing w:val="-3"/>
          <w:sz w:val="24"/>
          <w:szCs w:val="24"/>
        </w:rPr>
      </w:pPr>
      <w:r w:rsidRPr="00F954A6">
        <w:rPr>
          <w:rFonts w:ascii="Arial" w:hAnsi="Arial" w:cs="Arial"/>
          <w:b/>
          <w:spacing w:val="-3"/>
          <w:sz w:val="24"/>
          <w:szCs w:val="24"/>
        </w:rPr>
        <w:t>Cuarto:</w:t>
      </w:r>
      <w:r w:rsidRPr="00F954A6">
        <w:rPr>
          <w:rFonts w:ascii="Arial" w:hAnsi="Arial" w:cs="Arial"/>
          <w:spacing w:val="-3"/>
          <w:sz w:val="24"/>
          <w:szCs w:val="24"/>
        </w:rPr>
        <w:t xml:space="preserve"> </w:t>
      </w:r>
      <w:r w:rsidRPr="00F954A6">
        <w:rPr>
          <w:rFonts w:ascii="Arial" w:hAnsi="Arial" w:cs="Arial"/>
          <w:sz w:val="24"/>
          <w:szCs w:val="24"/>
        </w:rPr>
        <w:t xml:space="preserve">DECLARARAR IMPROCEDENTE la acción de tutela frente al </w:t>
      </w:r>
      <w:r w:rsidRPr="00F954A6">
        <w:rPr>
          <w:rFonts w:ascii="Arial" w:eastAsia="Arial" w:hAnsi="Arial" w:cs="Arial"/>
          <w:color w:val="000000"/>
          <w:sz w:val="24"/>
          <w:szCs w:val="24"/>
        </w:rPr>
        <w:t>JUZGADO SÉPTIMO CIVIL MUNICIPAL DE PEREIRA</w:t>
      </w:r>
      <w:r w:rsidRPr="00F954A6">
        <w:rPr>
          <w:rFonts w:ascii="Arial" w:hAnsi="Arial" w:cs="Arial"/>
          <w:spacing w:val="-3"/>
          <w:sz w:val="24"/>
          <w:szCs w:val="24"/>
        </w:rPr>
        <w:t>.</w:t>
      </w:r>
    </w:p>
    <w:p w14:paraId="26CA2C36" w14:textId="77777777" w:rsidR="00A7047A" w:rsidRPr="00F954A6" w:rsidRDefault="00A7047A" w:rsidP="00F954A6">
      <w:pPr>
        <w:pStyle w:val="Sinespaciado1"/>
        <w:spacing w:line="276" w:lineRule="auto"/>
        <w:ind w:firstLine="2835"/>
        <w:jc w:val="both"/>
        <w:rPr>
          <w:rFonts w:ascii="Arial" w:hAnsi="Arial" w:cs="Arial"/>
          <w:spacing w:val="-3"/>
          <w:sz w:val="24"/>
          <w:szCs w:val="24"/>
        </w:rPr>
      </w:pPr>
    </w:p>
    <w:p w14:paraId="350EE058" w14:textId="77777777" w:rsidR="00A7047A" w:rsidRPr="00F954A6" w:rsidRDefault="00A7047A" w:rsidP="00F954A6">
      <w:pPr>
        <w:pStyle w:val="Sinespaciado1"/>
        <w:spacing w:line="276" w:lineRule="auto"/>
        <w:ind w:firstLine="2835"/>
        <w:jc w:val="both"/>
        <w:rPr>
          <w:rFonts w:ascii="Arial" w:hAnsi="Arial" w:cs="Arial"/>
          <w:spacing w:val="-3"/>
          <w:sz w:val="24"/>
          <w:szCs w:val="24"/>
        </w:rPr>
      </w:pPr>
      <w:r w:rsidRPr="00F954A6">
        <w:rPr>
          <w:rFonts w:ascii="Arial" w:hAnsi="Arial" w:cs="Arial"/>
          <w:b/>
          <w:spacing w:val="-3"/>
          <w:sz w:val="24"/>
          <w:szCs w:val="24"/>
        </w:rPr>
        <w:t>Quinto:</w:t>
      </w:r>
      <w:r w:rsidRPr="00F954A6">
        <w:rPr>
          <w:rFonts w:ascii="Arial" w:hAnsi="Arial" w:cs="Arial"/>
          <w:spacing w:val="-3"/>
          <w:sz w:val="24"/>
          <w:szCs w:val="24"/>
        </w:rPr>
        <w:t xml:space="preserve"> Notifíquese esta decisión a los interesados por el medio más expedito posible (Art. 5o., Dto. 306 de 1992).</w:t>
      </w:r>
    </w:p>
    <w:p w14:paraId="16C169D0" w14:textId="77777777" w:rsidR="00A7047A" w:rsidRPr="00F954A6" w:rsidRDefault="00A7047A" w:rsidP="00F954A6">
      <w:pPr>
        <w:pStyle w:val="Sinespaciado1"/>
        <w:spacing w:line="276" w:lineRule="auto"/>
        <w:ind w:firstLine="2835"/>
        <w:jc w:val="both"/>
        <w:rPr>
          <w:rFonts w:ascii="Arial" w:hAnsi="Arial" w:cs="Arial"/>
          <w:spacing w:val="-3"/>
          <w:sz w:val="24"/>
          <w:szCs w:val="24"/>
        </w:rPr>
      </w:pPr>
    </w:p>
    <w:p w14:paraId="1504FBE0" w14:textId="77777777" w:rsidR="00A7047A" w:rsidRPr="00F954A6" w:rsidRDefault="00A7047A" w:rsidP="00F954A6">
      <w:pPr>
        <w:pStyle w:val="Sinespaciado1"/>
        <w:spacing w:line="276" w:lineRule="auto"/>
        <w:ind w:firstLine="2835"/>
        <w:jc w:val="both"/>
        <w:rPr>
          <w:rFonts w:ascii="Arial" w:hAnsi="Arial" w:cs="Arial"/>
          <w:spacing w:val="-3"/>
          <w:sz w:val="24"/>
          <w:szCs w:val="24"/>
        </w:rPr>
      </w:pPr>
      <w:r w:rsidRPr="00F954A6">
        <w:rPr>
          <w:rFonts w:ascii="Arial" w:hAnsi="Arial" w:cs="Arial"/>
          <w:b/>
          <w:spacing w:val="-3"/>
          <w:sz w:val="24"/>
          <w:szCs w:val="24"/>
        </w:rPr>
        <w:t>Sexto:</w:t>
      </w:r>
      <w:r w:rsidRPr="00F954A6">
        <w:rPr>
          <w:rFonts w:ascii="Arial" w:hAnsi="Arial" w:cs="Arial"/>
          <w:spacing w:val="-3"/>
          <w:sz w:val="24"/>
          <w:szCs w:val="24"/>
        </w:rPr>
        <w:t xml:space="preserve"> Remítase el expediente a la Honorable Corte Constitucional para su eventual revisión.</w:t>
      </w:r>
    </w:p>
    <w:p w14:paraId="7B3F7366" w14:textId="77777777" w:rsidR="00A7047A" w:rsidRPr="00F954A6" w:rsidRDefault="00A7047A" w:rsidP="00F954A6">
      <w:pPr>
        <w:pStyle w:val="Sinespaciado1"/>
        <w:spacing w:line="276" w:lineRule="auto"/>
        <w:ind w:firstLine="2835"/>
        <w:jc w:val="both"/>
        <w:rPr>
          <w:rFonts w:ascii="Arial" w:hAnsi="Arial" w:cs="Arial"/>
          <w:spacing w:val="-3"/>
          <w:sz w:val="24"/>
          <w:szCs w:val="24"/>
        </w:rPr>
      </w:pPr>
    </w:p>
    <w:p w14:paraId="3755BB47" w14:textId="4C3B04A5" w:rsidR="000914F8" w:rsidRPr="00F954A6" w:rsidRDefault="00A7047A" w:rsidP="00F954A6">
      <w:pPr>
        <w:pStyle w:val="Sinespaciado1"/>
        <w:spacing w:line="276" w:lineRule="auto"/>
        <w:ind w:firstLine="2835"/>
        <w:jc w:val="both"/>
        <w:rPr>
          <w:rFonts w:ascii="Arial" w:hAnsi="Arial" w:cs="Arial"/>
          <w:spacing w:val="-3"/>
          <w:sz w:val="24"/>
          <w:szCs w:val="24"/>
        </w:rPr>
      </w:pPr>
      <w:r w:rsidRPr="00F954A6">
        <w:rPr>
          <w:rFonts w:ascii="Arial" w:hAnsi="Arial" w:cs="Arial"/>
          <w:spacing w:val="-3"/>
          <w:sz w:val="24"/>
          <w:szCs w:val="24"/>
        </w:rPr>
        <w:t>Notifíquese y cúmplase</w:t>
      </w:r>
    </w:p>
    <w:p w14:paraId="6EFE6A3B" w14:textId="77777777" w:rsidR="000914F8" w:rsidRPr="00F954A6" w:rsidRDefault="000914F8" w:rsidP="00F954A6">
      <w:pPr>
        <w:pStyle w:val="Sinespaciado1"/>
        <w:spacing w:line="276" w:lineRule="auto"/>
        <w:ind w:firstLine="2835"/>
        <w:jc w:val="both"/>
        <w:rPr>
          <w:rFonts w:ascii="Arial" w:hAnsi="Arial" w:cs="Arial"/>
          <w:spacing w:val="-3"/>
          <w:sz w:val="24"/>
          <w:szCs w:val="24"/>
        </w:rPr>
      </w:pPr>
    </w:p>
    <w:p w14:paraId="03E15371" w14:textId="77777777" w:rsidR="00CD207A" w:rsidRPr="00F954A6" w:rsidRDefault="00CD207A" w:rsidP="00F954A6">
      <w:pPr>
        <w:pStyle w:val="Sinespaciado1"/>
        <w:spacing w:line="276" w:lineRule="auto"/>
        <w:ind w:firstLine="2835"/>
        <w:jc w:val="both"/>
        <w:rPr>
          <w:rFonts w:ascii="Arial" w:hAnsi="Arial" w:cs="Arial"/>
          <w:spacing w:val="-3"/>
          <w:sz w:val="24"/>
          <w:szCs w:val="24"/>
        </w:rPr>
      </w:pPr>
      <w:r w:rsidRPr="00F954A6">
        <w:rPr>
          <w:rFonts w:ascii="Arial" w:hAnsi="Arial" w:cs="Arial"/>
          <w:spacing w:val="-3"/>
          <w:sz w:val="24"/>
          <w:szCs w:val="24"/>
        </w:rPr>
        <w:t>Los Magistrados,</w:t>
      </w:r>
    </w:p>
    <w:p w14:paraId="764AD836" w14:textId="77777777" w:rsidR="00CD207A" w:rsidRDefault="00CD207A" w:rsidP="00F954A6">
      <w:pPr>
        <w:pStyle w:val="Sinespaciado1"/>
        <w:spacing w:line="276" w:lineRule="auto"/>
        <w:ind w:firstLine="2835"/>
        <w:jc w:val="both"/>
        <w:rPr>
          <w:rFonts w:ascii="Arial" w:hAnsi="Arial" w:cs="Arial"/>
          <w:spacing w:val="-3"/>
          <w:sz w:val="24"/>
          <w:szCs w:val="24"/>
        </w:rPr>
      </w:pPr>
    </w:p>
    <w:p w14:paraId="6C1BABC9" w14:textId="77777777" w:rsidR="00F954A6" w:rsidRPr="00F954A6" w:rsidRDefault="00F954A6" w:rsidP="00F954A6">
      <w:pPr>
        <w:pStyle w:val="Sinespaciado1"/>
        <w:spacing w:line="276" w:lineRule="auto"/>
        <w:ind w:firstLine="2835"/>
        <w:jc w:val="both"/>
        <w:rPr>
          <w:rFonts w:ascii="Arial" w:hAnsi="Arial" w:cs="Arial"/>
          <w:spacing w:val="-3"/>
          <w:sz w:val="24"/>
          <w:szCs w:val="24"/>
        </w:rPr>
      </w:pPr>
    </w:p>
    <w:p w14:paraId="3055785E" w14:textId="7642EFA5" w:rsidR="00CD207A" w:rsidRPr="00F954A6" w:rsidRDefault="00CD207A" w:rsidP="00F954A6">
      <w:pPr>
        <w:pStyle w:val="Sinespaciado1"/>
        <w:spacing w:line="276" w:lineRule="auto"/>
        <w:ind w:firstLine="2835"/>
        <w:jc w:val="both"/>
        <w:rPr>
          <w:rFonts w:ascii="Arial" w:hAnsi="Arial" w:cs="Arial"/>
          <w:b/>
          <w:spacing w:val="-3"/>
          <w:sz w:val="24"/>
          <w:szCs w:val="24"/>
        </w:rPr>
      </w:pPr>
    </w:p>
    <w:p w14:paraId="37E0DD5D" w14:textId="59F78597" w:rsidR="000914F8" w:rsidRPr="00F954A6" w:rsidRDefault="00CD207A" w:rsidP="00F954A6">
      <w:pPr>
        <w:pStyle w:val="Sinespaciado1"/>
        <w:spacing w:line="276" w:lineRule="auto"/>
        <w:ind w:firstLine="2835"/>
        <w:jc w:val="both"/>
        <w:rPr>
          <w:rFonts w:ascii="Arial" w:hAnsi="Arial" w:cs="Arial"/>
          <w:b/>
          <w:spacing w:val="-3"/>
          <w:sz w:val="24"/>
          <w:szCs w:val="24"/>
        </w:rPr>
      </w:pPr>
      <w:r w:rsidRPr="00F954A6">
        <w:rPr>
          <w:rFonts w:ascii="Arial" w:hAnsi="Arial" w:cs="Arial"/>
          <w:b/>
          <w:spacing w:val="-3"/>
          <w:sz w:val="24"/>
          <w:szCs w:val="24"/>
        </w:rPr>
        <w:t>EDDER JIMMY SÁNCHEZ CALAMBÁS</w:t>
      </w:r>
    </w:p>
    <w:p w14:paraId="499FF387" w14:textId="5169184C" w:rsidR="000914F8" w:rsidRPr="00F954A6" w:rsidRDefault="000914F8" w:rsidP="00F954A6">
      <w:pPr>
        <w:pStyle w:val="Sinespaciado1"/>
        <w:spacing w:line="276" w:lineRule="auto"/>
        <w:ind w:firstLine="2835"/>
        <w:jc w:val="both"/>
        <w:rPr>
          <w:rFonts w:ascii="Arial" w:hAnsi="Arial" w:cs="Arial"/>
          <w:b/>
          <w:spacing w:val="-3"/>
          <w:sz w:val="24"/>
          <w:szCs w:val="24"/>
        </w:rPr>
      </w:pPr>
    </w:p>
    <w:p w14:paraId="47D6063B" w14:textId="77777777" w:rsidR="00AB5C7A" w:rsidRPr="00F954A6" w:rsidRDefault="00AB5C7A" w:rsidP="00F954A6">
      <w:pPr>
        <w:pStyle w:val="Sinespaciado1"/>
        <w:spacing w:line="276" w:lineRule="auto"/>
        <w:ind w:firstLine="2835"/>
        <w:jc w:val="both"/>
        <w:rPr>
          <w:rFonts w:ascii="Arial" w:hAnsi="Arial" w:cs="Arial"/>
          <w:b/>
          <w:spacing w:val="-3"/>
          <w:sz w:val="24"/>
          <w:szCs w:val="24"/>
        </w:rPr>
      </w:pPr>
    </w:p>
    <w:p w14:paraId="184E4D59" w14:textId="00F079F7" w:rsidR="00340B4D" w:rsidRPr="00F954A6" w:rsidRDefault="00340B4D" w:rsidP="00F954A6">
      <w:pPr>
        <w:pStyle w:val="Sinespaciado1"/>
        <w:spacing w:line="276" w:lineRule="auto"/>
        <w:ind w:firstLine="2835"/>
        <w:jc w:val="both"/>
        <w:rPr>
          <w:rFonts w:ascii="Arial" w:hAnsi="Arial" w:cs="Arial"/>
          <w:b/>
          <w:spacing w:val="-3"/>
          <w:sz w:val="24"/>
          <w:szCs w:val="24"/>
        </w:rPr>
      </w:pPr>
    </w:p>
    <w:p w14:paraId="1490B0E9" w14:textId="77777777" w:rsidR="00AB5C7A" w:rsidRPr="00F954A6" w:rsidRDefault="00AB5C7A" w:rsidP="00F954A6">
      <w:pPr>
        <w:pStyle w:val="Sinespaciado1"/>
        <w:spacing w:line="276" w:lineRule="auto"/>
        <w:ind w:firstLine="2835"/>
        <w:jc w:val="both"/>
        <w:rPr>
          <w:rFonts w:ascii="Arial" w:hAnsi="Arial" w:cs="Arial"/>
          <w:b/>
          <w:spacing w:val="-3"/>
          <w:sz w:val="24"/>
          <w:szCs w:val="24"/>
        </w:rPr>
      </w:pPr>
      <w:r w:rsidRPr="00F954A6">
        <w:rPr>
          <w:rFonts w:ascii="Arial" w:hAnsi="Arial" w:cs="Arial"/>
          <w:b/>
          <w:spacing w:val="-3"/>
          <w:sz w:val="24"/>
          <w:szCs w:val="24"/>
        </w:rPr>
        <w:t xml:space="preserve">JAIME ALBERTO SARAZA NARANJO                                 </w:t>
      </w:r>
    </w:p>
    <w:p w14:paraId="405DF07E" w14:textId="77777777" w:rsidR="00AB5C7A" w:rsidRPr="00F954A6" w:rsidRDefault="00AB5C7A" w:rsidP="00F954A6">
      <w:pPr>
        <w:pStyle w:val="Sinespaciado1"/>
        <w:spacing w:line="276" w:lineRule="auto"/>
        <w:ind w:firstLine="2835"/>
        <w:jc w:val="both"/>
        <w:rPr>
          <w:rFonts w:ascii="Arial" w:hAnsi="Arial" w:cs="Arial"/>
          <w:b/>
          <w:spacing w:val="-3"/>
          <w:sz w:val="24"/>
          <w:szCs w:val="24"/>
        </w:rPr>
      </w:pPr>
    </w:p>
    <w:p w14:paraId="6EDFE371" w14:textId="77777777" w:rsidR="00AB5C7A" w:rsidRPr="00F954A6" w:rsidRDefault="00AB5C7A" w:rsidP="00F954A6">
      <w:pPr>
        <w:pStyle w:val="Sinespaciado1"/>
        <w:spacing w:line="276" w:lineRule="auto"/>
        <w:ind w:firstLine="2835"/>
        <w:jc w:val="both"/>
        <w:rPr>
          <w:rFonts w:ascii="Arial" w:hAnsi="Arial" w:cs="Arial"/>
          <w:b/>
          <w:spacing w:val="-3"/>
          <w:sz w:val="24"/>
          <w:szCs w:val="24"/>
        </w:rPr>
      </w:pPr>
    </w:p>
    <w:p w14:paraId="1E2565CE" w14:textId="77777777" w:rsidR="00AB5C7A" w:rsidRPr="00F954A6" w:rsidRDefault="00AB5C7A" w:rsidP="00F954A6">
      <w:pPr>
        <w:pStyle w:val="Sinespaciado1"/>
        <w:spacing w:line="276" w:lineRule="auto"/>
        <w:ind w:firstLine="2835"/>
        <w:jc w:val="both"/>
        <w:rPr>
          <w:rFonts w:ascii="Arial" w:hAnsi="Arial" w:cs="Arial"/>
          <w:b/>
          <w:sz w:val="24"/>
          <w:szCs w:val="24"/>
        </w:rPr>
      </w:pPr>
    </w:p>
    <w:p w14:paraId="2E0518C8" w14:textId="1BBF5E23" w:rsidR="00340B4D" w:rsidRPr="00F954A6" w:rsidRDefault="00AB5C7A" w:rsidP="00F954A6">
      <w:pPr>
        <w:pStyle w:val="Sinespaciado1"/>
        <w:spacing w:line="276" w:lineRule="auto"/>
        <w:ind w:firstLine="2835"/>
        <w:jc w:val="both"/>
        <w:rPr>
          <w:rFonts w:ascii="Arial" w:hAnsi="Arial" w:cs="Arial"/>
          <w:b/>
          <w:sz w:val="24"/>
          <w:szCs w:val="24"/>
        </w:rPr>
      </w:pPr>
      <w:r w:rsidRPr="00F954A6">
        <w:rPr>
          <w:rFonts w:ascii="Arial" w:hAnsi="Arial" w:cs="Arial"/>
          <w:b/>
          <w:sz w:val="24"/>
          <w:szCs w:val="24"/>
        </w:rPr>
        <w:t>CLAUDIA MARÍA ARCILA RÍOS</w:t>
      </w:r>
    </w:p>
    <w:sectPr w:rsidR="00340B4D" w:rsidRPr="00F954A6" w:rsidSect="00F954A6">
      <w:headerReference w:type="default" r:id="rId8"/>
      <w:footerReference w:type="default" r:id="rId9"/>
      <w:pgSz w:w="12240" w:h="18720"/>
      <w:pgMar w:top="1871" w:right="1304" w:bottom="1304" w:left="187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267D8" w14:textId="77777777" w:rsidR="000248B2" w:rsidRDefault="000248B2">
      <w:r>
        <w:separator/>
      </w:r>
    </w:p>
  </w:endnote>
  <w:endnote w:type="continuationSeparator" w:id="0">
    <w:p w14:paraId="5BC3D938" w14:textId="77777777" w:rsidR="000248B2" w:rsidRDefault="0002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5BB4B" w14:textId="77777777" w:rsidR="00213A02" w:rsidRPr="00F954A6" w:rsidRDefault="00213A02">
    <w:pPr>
      <w:pBdr>
        <w:top w:val="nil"/>
        <w:left w:val="nil"/>
        <w:bottom w:val="nil"/>
        <w:right w:val="nil"/>
        <w:between w:val="nil"/>
      </w:pBdr>
      <w:tabs>
        <w:tab w:val="center" w:pos="4419"/>
        <w:tab w:val="right" w:pos="8838"/>
      </w:tabs>
      <w:jc w:val="right"/>
      <w:rPr>
        <w:rFonts w:ascii="Arial" w:eastAsia="Arial" w:hAnsi="Arial" w:cs="Arial"/>
        <w:color w:val="000000"/>
        <w:sz w:val="18"/>
        <w:szCs w:val="22"/>
      </w:rPr>
    </w:pPr>
    <w:r w:rsidRPr="00F954A6">
      <w:rPr>
        <w:rFonts w:ascii="Arial" w:eastAsia="Arial" w:hAnsi="Arial" w:cs="Arial"/>
        <w:color w:val="000000"/>
        <w:sz w:val="18"/>
        <w:szCs w:val="22"/>
      </w:rPr>
      <w:fldChar w:fldCharType="begin"/>
    </w:r>
    <w:r w:rsidRPr="00F954A6">
      <w:rPr>
        <w:rFonts w:ascii="Arial" w:eastAsia="Arial" w:hAnsi="Arial" w:cs="Arial"/>
        <w:color w:val="000000"/>
        <w:sz w:val="18"/>
        <w:szCs w:val="22"/>
      </w:rPr>
      <w:instrText>PAGE</w:instrText>
    </w:r>
    <w:r w:rsidRPr="00F954A6">
      <w:rPr>
        <w:rFonts w:ascii="Arial" w:eastAsia="Arial" w:hAnsi="Arial" w:cs="Arial"/>
        <w:color w:val="000000"/>
        <w:sz w:val="18"/>
        <w:szCs w:val="22"/>
      </w:rPr>
      <w:fldChar w:fldCharType="separate"/>
    </w:r>
    <w:r w:rsidR="00A34999">
      <w:rPr>
        <w:rFonts w:ascii="Arial" w:eastAsia="Arial" w:hAnsi="Arial" w:cs="Arial"/>
        <w:noProof/>
        <w:color w:val="000000"/>
        <w:sz w:val="18"/>
        <w:szCs w:val="22"/>
      </w:rPr>
      <w:t>7</w:t>
    </w:r>
    <w:r w:rsidRPr="00F954A6">
      <w:rPr>
        <w:rFonts w:ascii="Arial" w:eastAsia="Arial" w:hAnsi="Arial" w:cs="Arial"/>
        <w:color w:val="000000"/>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9A133" w14:textId="77777777" w:rsidR="000248B2" w:rsidRDefault="000248B2">
      <w:r>
        <w:separator/>
      </w:r>
    </w:p>
  </w:footnote>
  <w:footnote w:type="continuationSeparator" w:id="0">
    <w:p w14:paraId="1167C90F" w14:textId="77777777" w:rsidR="000248B2" w:rsidRDefault="000248B2">
      <w:r>
        <w:continuationSeparator/>
      </w:r>
    </w:p>
  </w:footnote>
  <w:footnote w:id="1">
    <w:p w14:paraId="3E6DC363" w14:textId="716E6BDA" w:rsidR="00213A02" w:rsidRPr="00F954A6" w:rsidRDefault="00213A02" w:rsidP="00F954A6">
      <w:pPr>
        <w:pStyle w:val="Textonotapie"/>
        <w:jc w:val="both"/>
        <w:rPr>
          <w:rFonts w:ascii="Arial" w:hAnsi="Arial" w:cs="Arial"/>
          <w:sz w:val="18"/>
          <w:szCs w:val="18"/>
          <w:lang w:val="es-CO"/>
        </w:rPr>
      </w:pPr>
      <w:r w:rsidRPr="00F954A6">
        <w:rPr>
          <w:rStyle w:val="Refdenotaalpie"/>
          <w:rFonts w:ascii="Arial" w:hAnsi="Arial" w:cs="Arial"/>
          <w:sz w:val="18"/>
          <w:szCs w:val="18"/>
        </w:rPr>
        <w:footnoteRef/>
      </w:r>
      <w:r w:rsidR="00F954A6" w:rsidRPr="00F954A6">
        <w:rPr>
          <w:rFonts w:ascii="Arial" w:hAnsi="Arial" w:cs="Arial"/>
          <w:sz w:val="18"/>
          <w:szCs w:val="18"/>
        </w:rPr>
        <w:t xml:space="preserve"> Corte Suprema de Justicia Sala de Casación Civil</w:t>
      </w:r>
      <w:r w:rsidRPr="00F954A6">
        <w:rPr>
          <w:rFonts w:ascii="Arial" w:hAnsi="Arial" w:cs="Arial"/>
          <w:sz w:val="18"/>
          <w:szCs w:val="18"/>
        </w:rPr>
        <w:t xml:space="preserve">, sentencia </w:t>
      </w:r>
      <w:proofErr w:type="spellStart"/>
      <w:r w:rsidRPr="00F954A6">
        <w:rPr>
          <w:rFonts w:ascii="Arial" w:hAnsi="Arial" w:cs="Arial"/>
          <w:sz w:val="18"/>
          <w:szCs w:val="18"/>
        </w:rPr>
        <w:t>STC7208</w:t>
      </w:r>
      <w:proofErr w:type="spellEnd"/>
      <w:r w:rsidRPr="00F954A6">
        <w:rPr>
          <w:rFonts w:ascii="Arial" w:hAnsi="Arial" w:cs="Arial"/>
          <w:sz w:val="18"/>
          <w:szCs w:val="18"/>
        </w:rPr>
        <w:t xml:space="preserve"> de 2016.</w:t>
      </w:r>
    </w:p>
  </w:footnote>
  <w:footnote w:id="2">
    <w:p w14:paraId="13ED7FFD" w14:textId="71C9F726" w:rsidR="00213A02" w:rsidRPr="00F954A6" w:rsidRDefault="00213A02" w:rsidP="00F954A6">
      <w:pPr>
        <w:pStyle w:val="Textonotapie"/>
        <w:jc w:val="both"/>
        <w:rPr>
          <w:rFonts w:ascii="Arial" w:hAnsi="Arial" w:cs="Arial"/>
          <w:sz w:val="18"/>
          <w:szCs w:val="18"/>
          <w:lang w:val="es-MX"/>
        </w:rPr>
      </w:pPr>
      <w:r w:rsidRPr="00F954A6">
        <w:rPr>
          <w:rStyle w:val="Refdenotaalpie"/>
          <w:rFonts w:ascii="Arial" w:hAnsi="Arial" w:cs="Arial"/>
          <w:sz w:val="18"/>
          <w:szCs w:val="18"/>
        </w:rPr>
        <w:footnoteRef/>
      </w:r>
      <w:r w:rsidR="006038C2" w:rsidRPr="00F954A6">
        <w:rPr>
          <w:rFonts w:ascii="Arial" w:hAnsi="Arial" w:cs="Arial"/>
          <w:sz w:val="18"/>
          <w:szCs w:val="18"/>
        </w:rPr>
        <w:t xml:space="preserve"> Corte Constitucional, sentencia </w:t>
      </w:r>
      <w:r w:rsidR="00A7221D" w:rsidRPr="00F954A6">
        <w:rPr>
          <w:rFonts w:ascii="Arial" w:hAnsi="Arial" w:cs="Arial"/>
          <w:sz w:val="18"/>
          <w:szCs w:val="18"/>
        </w:rPr>
        <w:t>T-45</w:t>
      </w:r>
      <w:r w:rsidR="006A6129" w:rsidRPr="00F954A6">
        <w:rPr>
          <w:rFonts w:ascii="Arial" w:hAnsi="Arial" w:cs="Arial"/>
          <w:sz w:val="18"/>
          <w:szCs w:val="18"/>
        </w:rPr>
        <w:t>4 de 20</w:t>
      </w:r>
      <w:r w:rsidR="00A7221D" w:rsidRPr="00F954A6">
        <w:rPr>
          <w:rFonts w:ascii="Arial" w:hAnsi="Arial" w:cs="Arial"/>
          <w:sz w:val="18"/>
          <w:szCs w:val="18"/>
        </w:rPr>
        <w:t>17</w:t>
      </w:r>
      <w:r w:rsidR="006A6129" w:rsidRPr="00F954A6">
        <w:rPr>
          <w:rFonts w:ascii="Arial" w:hAnsi="Arial" w:cs="Arial"/>
          <w:sz w:val="18"/>
          <w:szCs w:val="18"/>
        </w:rPr>
        <w:t xml:space="preserve"> (MP C</w:t>
      </w:r>
      <w:r w:rsidR="006A6129" w:rsidRPr="00F954A6">
        <w:rPr>
          <w:rFonts w:ascii="Arial" w:hAnsi="Arial" w:cs="Arial"/>
          <w:color w:val="000000"/>
          <w:sz w:val="18"/>
          <w:szCs w:val="18"/>
        </w:rPr>
        <w:t>ristina Pardo Schlesinger</w:t>
      </w:r>
      <w:r w:rsidR="006A6129" w:rsidRPr="00F954A6">
        <w:rPr>
          <w:rFonts w:ascii="Arial" w:hAnsi="Arial" w:cs="Arial"/>
          <w:sz w:val="18"/>
          <w:szCs w:val="18"/>
        </w:rPr>
        <w:t>)</w:t>
      </w:r>
      <w:r w:rsidR="006038C2" w:rsidRPr="00F954A6">
        <w:rPr>
          <w:rFonts w:ascii="Arial" w:hAnsi="Arial" w:cs="Arial"/>
          <w:sz w:val="18"/>
          <w:szCs w:val="18"/>
        </w:rPr>
        <w:t>.</w:t>
      </w:r>
    </w:p>
  </w:footnote>
  <w:footnote w:id="3">
    <w:p w14:paraId="7BD8CB41"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T-210 de 1993 (MP Carlos Gaviria Díaz). </w:t>
      </w:r>
    </w:p>
  </w:footnote>
  <w:footnote w:id="4">
    <w:p w14:paraId="46FA715A"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T-019 de 1995 (MP Eduardo Cifuentes Muñoz).</w:t>
      </w:r>
    </w:p>
  </w:footnote>
  <w:footnote w:id="5">
    <w:p w14:paraId="10DB638A"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T-345 de 1996 (MP Eduardo Cifuentes Muñoz). </w:t>
      </w:r>
    </w:p>
  </w:footnote>
  <w:footnote w:id="6">
    <w:p w14:paraId="4B865071"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T-440 de 1997 (MP Jorge Arango Mejía). </w:t>
      </w:r>
    </w:p>
  </w:footnote>
  <w:footnote w:id="7">
    <w:p w14:paraId="7AC8D870"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T-752 de 1999 (MP Alejandro Martínez Caballero). </w:t>
      </w:r>
    </w:p>
  </w:footnote>
  <w:footnote w:id="8">
    <w:p w14:paraId="06243548"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T-633 de 2003 (MP Jaime Araujo Rentería). </w:t>
      </w:r>
    </w:p>
  </w:footnote>
  <w:footnote w:id="9">
    <w:p w14:paraId="7AAAC065"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SU-501 de 2001 (MP Marco Gerardo Monroy Cabra). </w:t>
      </w:r>
    </w:p>
  </w:footnote>
  <w:footnote w:id="10">
    <w:p w14:paraId="03A3D99B"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T-106 de 2002 (MP Marco Gerardo Monroy Cabra). En esta sentencia se estudió la acción de tutela interpuesta por una propietaria de un conjunto residencia que alegaba la vulneración de su derecho fundamental a la integridad física por cuanto la administración le había restringido la entrada de su vehículo por encontrarse en mora. La Corte separó las pretensiones invocadas por la actora y afirmó que las relativas a las controversias sobre la interpretación del reglamento de la unidad residencial y el cerramiento del conjunto, debían ser ventiladas en el marco del comité de convivencia dispuesto en la Ley 675 de 2001 y la vía ordinaria civil. Sin embargo, en relación con la pretensión de su derecho a la integridad personal, sobre la restricción de entrada a su vehículo, la Corte afirmó lo siguiente, “Solicita la ac</w:t>
      </w:r>
      <w:bookmarkStart w:id="0" w:name="_GoBack"/>
      <w:bookmarkEnd w:id="0"/>
      <w:r w:rsidRPr="00F954A6">
        <w:rPr>
          <w:rFonts w:ascii="Arial" w:hAnsi="Arial" w:cs="Arial"/>
          <w:sz w:val="18"/>
          <w:szCs w:val="18"/>
        </w:rPr>
        <w:t xml:space="preserve">cionante que no se le obligue a bajarse de su carro para abrir y cerrar la puerta metálica que da acceso a la urbanización, por cuanto corre peligro y se estaría atentado contra su integridad personal. // La Corte ha manifestado en casos similares, que prospera la tutela, por cuanto se están vulnerando derechos fundamentales como son la integridad personal, derecho a la vida y la libertad de locomoción. Es evidente que se coloca a la persona en real peligro de ser asaltado o agredido e inclusive secuestrado en el instante en que efectúa una labor que no es solamente mecánica sino que es parte integral de medidas preventivas de seguridad. Por tanto, en este punto prospera la tutela, ya que este servicio no puede ser obstaculizado ni prohibido por la Junta Administradora de la Urbanización Campestre donde reside la accionante y su familia, menos aún cuando es precisamente el tema de la seguridad de la comunidad lo que se invocó para el cerramiento”. Esta regla fue reiterada en la sentencia T-568 de 2002 (MP Álvaro Tafur Galvis). Sentencia que analizó la acción de tutela interpuesta por una residente que le fue suspendido el uso del ascensor por encontrarse en mora con la administración. La Corte consideró que esta medida era desproporcionada pues “afectaba las necesidades vitales de existencia de los accionantes”. </w:t>
      </w:r>
    </w:p>
  </w:footnote>
  <w:footnote w:id="11">
    <w:p w14:paraId="3FDFCCFA"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T-146 de 2003 (MP Rodrigo Escobar Gil). En esta providencia la Corte analizó la acción de tutela interpuesta por una familia que alegaba la violación de sus derechos fundamentales al libre desarrollo de la personalidad, entre otros, por la decisión de la administración de suspenderles el servicio de piscina y otros bienes comunes, así como el servicio de citófono por encontrarse en mora. La Corte consideró que la acción de tutela era procedente en relación con la restricción del servicio del citófono. Las demás pretensiones debían ser alegadas en el marco de un proceso verbal sumario. En palabras de la Corte: “Según esta Corporación, el proceso verbal sumario previsto en la legislación civil, resulta idóneo y efectivo para cuestionar la validez y amparar los derechos conculcados por las decisiones de las asambleas de copropietarios relativas al uso y goce de los bienes de dominio común. Por ello, de conformidad con la cláusula general de procedencia de la acción de tutela, según la cual el amparo constitucional no procede cuando el actor puede invocar un medio alternativo de defensa, las medidas que adopten las asambleas de propietarios no son susceptibles de ser controvertidas ante el juez constitucional.”</w:t>
      </w:r>
    </w:p>
  </w:footnote>
  <w:footnote w:id="12">
    <w:p w14:paraId="07C7591B"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T-468 de 2004 (MP Marco Gerardo Monroy Cabra). </w:t>
      </w:r>
    </w:p>
  </w:footnote>
  <w:footnote w:id="13">
    <w:p w14:paraId="05B222D3"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T-612 de 2009 (MP Humberto Antonio Sierra Porto).   </w:t>
      </w:r>
    </w:p>
  </w:footnote>
  <w:footnote w:id="14">
    <w:p w14:paraId="1DEEAD1B"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T-155 de 2012 (MP María Victoria Calle Correa; SPV Mauricio González Cuervo).  </w:t>
      </w:r>
    </w:p>
  </w:footnote>
  <w:footnote w:id="15">
    <w:p w14:paraId="68739DFA"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T-386 de 2002 (MP Rodrigo Escobar Gil). En este caso, la Corte conoció la de la acción de tutela interpuesta por un propietario contra la Asociación de Copropietarios de su conjunto residencial, la cual había emitido una Resolución declarándolo “`persona no grata”. El actor alegaba la vulneración de sus derechos fundamentales a la honra, buen nombre y debido proceso. La Corte concedió el amparo y ordenó anular la resolución.</w:t>
      </w:r>
    </w:p>
  </w:footnote>
  <w:footnote w:id="16">
    <w:p w14:paraId="3680705D"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Ver las sentencias T-233 de 1994 M.P. José Gregorio Hernández Galindo y T-070 de 1997. M.P. Antonio Barrera Carbonell</w:t>
      </w:r>
    </w:p>
  </w:footnote>
  <w:footnote w:id="17">
    <w:p w14:paraId="786372E1"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Sentencia T-228 de 1994. M.P. José Gregorio Hernández Galindo.</w:t>
      </w:r>
    </w:p>
  </w:footnote>
  <w:footnote w:id="18">
    <w:p w14:paraId="1A3B0C70"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Sentencias T-228 de 1994 M.P. José Gregorio Hernández Galindo, T-630 de 1997 M.P. Alejandro Martínez Caballero.</w:t>
      </w:r>
    </w:p>
  </w:footnote>
  <w:footnote w:id="19">
    <w:p w14:paraId="6658F156"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Sentencia T-333 de 1995. M.P. Antonio Barrera Carbonell.</w:t>
      </w:r>
    </w:p>
  </w:footnote>
  <w:footnote w:id="20">
    <w:p w14:paraId="7D2F6979" w14:textId="77777777" w:rsidR="00821F00" w:rsidRPr="00F954A6" w:rsidRDefault="00821F00"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Sentencia T-454 de 1998, M.P. Alejandro Martínez Caballero.</w:t>
      </w:r>
    </w:p>
  </w:footnote>
  <w:footnote w:id="21">
    <w:p w14:paraId="3E83D691" w14:textId="77777777" w:rsidR="006038C2" w:rsidRPr="00F954A6" w:rsidRDefault="006038C2" w:rsidP="00F954A6">
      <w:pPr>
        <w:pStyle w:val="Textonotapie"/>
        <w:jc w:val="both"/>
        <w:rPr>
          <w:rFonts w:ascii="Arial" w:hAnsi="Arial" w:cs="Arial"/>
          <w:sz w:val="18"/>
          <w:szCs w:val="18"/>
        </w:rPr>
      </w:pPr>
      <w:r w:rsidRPr="00F954A6">
        <w:rPr>
          <w:rStyle w:val="Refdenotaalpie"/>
          <w:rFonts w:ascii="Arial" w:hAnsi="Arial" w:cs="Arial"/>
          <w:sz w:val="18"/>
          <w:szCs w:val="18"/>
        </w:rPr>
        <w:footnoteRef/>
      </w:r>
      <w:r w:rsidRPr="00F954A6">
        <w:rPr>
          <w:rFonts w:ascii="Arial" w:hAnsi="Arial" w:cs="Arial"/>
          <w:sz w:val="18"/>
          <w:szCs w:val="18"/>
        </w:rPr>
        <w:t xml:space="preserve"> Corte Constitucional, sentencia T-386 de 2002 (MP Rodrigo Escobar Gil).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614C" w14:textId="77777777" w:rsidR="00213A02" w:rsidRDefault="00213A0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REPÚBLICA DE COLOMBIA</w:t>
    </w:r>
  </w:p>
  <w:p w14:paraId="2FC68CE2" w14:textId="77777777" w:rsidR="00213A02" w:rsidRDefault="00213A02">
    <w:pPr>
      <w:jc w:val="center"/>
      <w:rPr>
        <w:rFonts w:ascii="Arial" w:eastAsia="Arial" w:hAnsi="Arial" w:cs="Arial"/>
        <w:b/>
        <w:sz w:val="16"/>
        <w:szCs w:val="16"/>
      </w:rPr>
    </w:pPr>
    <w:r>
      <w:rPr>
        <w:noProof/>
        <w:lang w:val="es-ES"/>
      </w:rPr>
      <w:drawing>
        <wp:anchor distT="0" distB="0" distL="0" distR="0" simplePos="0" relativeHeight="251658240" behindDoc="0" locked="0" layoutInCell="1" hidden="0" allowOverlap="1" wp14:anchorId="25DCE57A" wp14:editId="265C4FCA">
          <wp:simplePos x="0" y="0"/>
          <wp:positionH relativeFrom="margin">
            <wp:posOffset>685800</wp:posOffset>
          </wp:positionH>
          <wp:positionV relativeFrom="paragraph">
            <wp:posOffset>19685</wp:posOffset>
          </wp:positionV>
          <wp:extent cx="407670" cy="394335"/>
          <wp:effectExtent l="0" t="0" r="0" b="0"/>
          <wp:wrapSquare wrapText="bothSides" distT="0" distB="0" distL="0" distR="0"/>
          <wp:docPr id="1" name="image2.jpg" descr="http://tbn0.google.com/images?q=tbn:Y0dilTYxeT5N3M:http://enciclopedia.us.es/images/thumb/9/99/143px-Escudo_de_Colombia.png"/>
          <wp:cNvGraphicFramePr/>
          <a:graphic xmlns:a="http://schemas.openxmlformats.org/drawingml/2006/main">
            <a:graphicData uri="http://schemas.openxmlformats.org/drawingml/2006/picture">
              <pic:pic xmlns:pic="http://schemas.openxmlformats.org/drawingml/2006/picture">
                <pic:nvPicPr>
                  <pic:cNvPr id="0" name="image2.jpg" descr="http://tbn0.google.com/images?q=tbn:Y0dilTYxeT5N3M:http://enciclopedia.us.es/images/thumb/9/99/143px-Escudo_de_Colombia.png"/>
                  <pic:cNvPicPr preferRelativeResize="0"/>
                </pic:nvPicPr>
                <pic:blipFill>
                  <a:blip r:embed="rId1"/>
                  <a:srcRect/>
                  <a:stretch>
                    <a:fillRect/>
                  </a:stretch>
                </pic:blipFill>
                <pic:spPr>
                  <a:xfrm>
                    <a:off x="0" y="0"/>
                    <a:ext cx="407670" cy="394335"/>
                  </a:xfrm>
                  <a:prstGeom prst="rect">
                    <a:avLst/>
                  </a:prstGeom>
                  <a:ln/>
                </pic:spPr>
              </pic:pic>
            </a:graphicData>
          </a:graphic>
        </wp:anchor>
      </w:drawing>
    </w:r>
  </w:p>
  <w:p w14:paraId="6F177FA2" w14:textId="77777777" w:rsidR="00213A02" w:rsidRDefault="00213A02">
    <w:pPr>
      <w:pBdr>
        <w:top w:val="nil"/>
        <w:left w:val="nil"/>
        <w:bottom w:val="nil"/>
        <w:right w:val="nil"/>
        <w:between w:val="nil"/>
      </w:pBdr>
      <w:rPr>
        <w:rFonts w:ascii="Arial" w:eastAsia="Arial" w:hAnsi="Arial" w:cs="Arial"/>
        <w:color w:val="000000"/>
        <w:sz w:val="16"/>
        <w:szCs w:val="16"/>
      </w:rPr>
    </w:pPr>
  </w:p>
  <w:p w14:paraId="73885944" w14:textId="77777777" w:rsidR="00213A02" w:rsidRDefault="00213A02">
    <w:pPr>
      <w:pBdr>
        <w:top w:val="nil"/>
        <w:left w:val="nil"/>
        <w:bottom w:val="nil"/>
        <w:right w:val="nil"/>
        <w:between w:val="nil"/>
      </w:pBdr>
      <w:rPr>
        <w:rFonts w:ascii="Arial" w:eastAsia="Arial" w:hAnsi="Arial" w:cs="Arial"/>
        <w:color w:val="000000"/>
        <w:sz w:val="16"/>
        <w:szCs w:val="16"/>
      </w:rPr>
    </w:pPr>
  </w:p>
  <w:p w14:paraId="50D589CD" w14:textId="77777777" w:rsidR="00213A02" w:rsidRDefault="00213A0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14:paraId="2B14604E" w14:textId="12EB0D37" w:rsidR="00213A02" w:rsidRDefault="00213A0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TRIBUNAL SUPERIOR DE PEREIRA</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EXPEDIENTE. T-2a. 66001-31-03-002-20</w:t>
    </w:r>
    <w:r w:rsidR="00096B13">
      <w:rPr>
        <w:rFonts w:ascii="Arial" w:eastAsia="Arial" w:hAnsi="Arial" w:cs="Arial"/>
        <w:color w:val="000000"/>
        <w:sz w:val="16"/>
        <w:szCs w:val="16"/>
      </w:rPr>
      <w:t>20</w:t>
    </w:r>
    <w:r>
      <w:rPr>
        <w:rFonts w:ascii="Arial" w:eastAsia="Arial" w:hAnsi="Arial" w:cs="Arial"/>
        <w:color w:val="000000"/>
        <w:sz w:val="16"/>
        <w:szCs w:val="16"/>
      </w:rPr>
      <w:t>-00</w:t>
    </w:r>
    <w:r w:rsidR="00096B13">
      <w:rPr>
        <w:rFonts w:ascii="Arial" w:eastAsia="Arial" w:hAnsi="Arial" w:cs="Arial"/>
        <w:color w:val="000000"/>
        <w:sz w:val="16"/>
        <w:szCs w:val="16"/>
      </w:rPr>
      <w:t>040</w:t>
    </w:r>
    <w:r>
      <w:rPr>
        <w:rFonts w:ascii="Arial" w:eastAsia="Arial" w:hAnsi="Arial" w:cs="Arial"/>
        <w:color w:val="000000"/>
        <w:sz w:val="16"/>
        <w:szCs w:val="16"/>
      </w:rPr>
      <w:t>-01</w:t>
    </w:r>
  </w:p>
  <w:p w14:paraId="12F4CD92" w14:textId="77777777" w:rsidR="00213A02" w:rsidRDefault="00213A02">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F5"/>
    <w:rsid w:val="00004FE3"/>
    <w:rsid w:val="00006A70"/>
    <w:rsid w:val="00016995"/>
    <w:rsid w:val="000248B2"/>
    <w:rsid w:val="00027A95"/>
    <w:rsid w:val="000459EE"/>
    <w:rsid w:val="00066648"/>
    <w:rsid w:val="00070370"/>
    <w:rsid w:val="00081AF7"/>
    <w:rsid w:val="000914F8"/>
    <w:rsid w:val="00096B13"/>
    <w:rsid w:val="000A04F5"/>
    <w:rsid w:val="0010178E"/>
    <w:rsid w:val="00114C97"/>
    <w:rsid w:val="00124FAD"/>
    <w:rsid w:val="001A2AB4"/>
    <w:rsid w:val="001A3234"/>
    <w:rsid w:val="001A3AD5"/>
    <w:rsid w:val="001B261B"/>
    <w:rsid w:val="001B286C"/>
    <w:rsid w:val="001D2DB1"/>
    <w:rsid w:val="001E2BB7"/>
    <w:rsid w:val="001E71A6"/>
    <w:rsid w:val="001F18D3"/>
    <w:rsid w:val="001F4274"/>
    <w:rsid w:val="00213A02"/>
    <w:rsid w:val="00221903"/>
    <w:rsid w:val="00234515"/>
    <w:rsid w:val="002473D4"/>
    <w:rsid w:val="002475FD"/>
    <w:rsid w:val="00256260"/>
    <w:rsid w:val="002602CB"/>
    <w:rsid w:val="00263411"/>
    <w:rsid w:val="002657FE"/>
    <w:rsid w:val="002701B1"/>
    <w:rsid w:val="002726F7"/>
    <w:rsid w:val="00274F6B"/>
    <w:rsid w:val="00294E1A"/>
    <w:rsid w:val="002C4363"/>
    <w:rsid w:val="002C74F5"/>
    <w:rsid w:val="00300E46"/>
    <w:rsid w:val="0031798F"/>
    <w:rsid w:val="0032292D"/>
    <w:rsid w:val="00324E25"/>
    <w:rsid w:val="00340B4D"/>
    <w:rsid w:val="003419D2"/>
    <w:rsid w:val="0036295D"/>
    <w:rsid w:val="00365642"/>
    <w:rsid w:val="00376C3C"/>
    <w:rsid w:val="00377C7A"/>
    <w:rsid w:val="00380054"/>
    <w:rsid w:val="00391CAE"/>
    <w:rsid w:val="003E0B1F"/>
    <w:rsid w:val="003E2736"/>
    <w:rsid w:val="00402625"/>
    <w:rsid w:val="00405D77"/>
    <w:rsid w:val="00407685"/>
    <w:rsid w:val="00420C9A"/>
    <w:rsid w:val="0042411F"/>
    <w:rsid w:val="00434116"/>
    <w:rsid w:val="00444167"/>
    <w:rsid w:val="00494448"/>
    <w:rsid w:val="004953D7"/>
    <w:rsid w:val="004A7602"/>
    <w:rsid w:val="004B61E0"/>
    <w:rsid w:val="004B7B39"/>
    <w:rsid w:val="004C376A"/>
    <w:rsid w:val="004D59EF"/>
    <w:rsid w:val="004D60A6"/>
    <w:rsid w:val="004E72D7"/>
    <w:rsid w:val="004F1AAF"/>
    <w:rsid w:val="00503DFD"/>
    <w:rsid w:val="005050F2"/>
    <w:rsid w:val="00512B66"/>
    <w:rsid w:val="0051454E"/>
    <w:rsid w:val="00520E9C"/>
    <w:rsid w:val="00530A4B"/>
    <w:rsid w:val="00533DC4"/>
    <w:rsid w:val="005467A7"/>
    <w:rsid w:val="00551C54"/>
    <w:rsid w:val="00560A6C"/>
    <w:rsid w:val="00573EDB"/>
    <w:rsid w:val="00586288"/>
    <w:rsid w:val="00594D69"/>
    <w:rsid w:val="005A5E5A"/>
    <w:rsid w:val="005B021A"/>
    <w:rsid w:val="005B169B"/>
    <w:rsid w:val="005E454F"/>
    <w:rsid w:val="00600B8C"/>
    <w:rsid w:val="006038C2"/>
    <w:rsid w:val="00607551"/>
    <w:rsid w:val="00611026"/>
    <w:rsid w:val="006215AE"/>
    <w:rsid w:val="006252C7"/>
    <w:rsid w:val="00631B52"/>
    <w:rsid w:val="00636DDA"/>
    <w:rsid w:val="006967EC"/>
    <w:rsid w:val="006A6129"/>
    <w:rsid w:val="006C3592"/>
    <w:rsid w:val="006C4FDE"/>
    <w:rsid w:val="006C532E"/>
    <w:rsid w:val="006C628E"/>
    <w:rsid w:val="006E0256"/>
    <w:rsid w:val="006E6FC1"/>
    <w:rsid w:val="00701A15"/>
    <w:rsid w:val="00706BF9"/>
    <w:rsid w:val="00715208"/>
    <w:rsid w:val="007174D6"/>
    <w:rsid w:val="00721292"/>
    <w:rsid w:val="00754AE5"/>
    <w:rsid w:val="0078017E"/>
    <w:rsid w:val="00781A82"/>
    <w:rsid w:val="00793C7E"/>
    <w:rsid w:val="00796B39"/>
    <w:rsid w:val="007A578C"/>
    <w:rsid w:val="007C5512"/>
    <w:rsid w:val="007C67C0"/>
    <w:rsid w:val="007D0B46"/>
    <w:rsid w:val="007F14FD"/>
    <w:rsid w:val="007F32DE"/>
    <w:rsid w:val="0080101F"/>
    <w:rsid w:val="00812B10"/>
    <w:rsid w:val="00820B79"/>
    <w:rsid w:val="00821F00"/>
    <w:rsid w:val="008246AB"/>
    <w:rsid w:val="0083438F"/>
    <w:rsid w:val="00844E6C"/>
    <w:rsid w:val="00857432"/>
    <w:rsid w:val="00892AF9"/>
    <w:rsid w:val="008B0ED2"/>
    <w:rsid w:val="008E029A"/>
    <w:rsid w:val="0091324E"/>
    <w:rsid w:val="00914AEC"/>
    <w:rsid w:val="00921266"/>
    <w:rsid w:val="00921A8E"/>
    <w:rsid w:val="00931D61"/>
    <w:rsid w:val="0094527E"/>
    <w:rsid w:val="00946438"/>
    <w:rsid w:val="0096007E"/>
    <w:rsid w:val="00971BE3"/>
    <w:rsid w:val="00990652"/>
    <w:rsid w:val="009B1C6A"/>
    <w:rsid w:val="009C1EC2"/>
    <w:rsid w:val="009D3397"/>
    <w:rsid w:val="009E00B1"/>
    <w:rsid w:val="009E0EBD"/>
    <w:rsid w:val="009E2F98"/>
    <w:rsid w:val="009F3D07"/>
    <w:rsid w:val="00A27943"/>
    <w:rsid w:val="00A34999"/>
    <w:rsid w:val="00A522EC"/>
    <w:rsid w:val="00A7047A"/>
    <w:rsid w:val="00A7221D"/>
    <w:rsid w:val="00AA6ED2"/>
    <w:rsid w:val="00AB5C7A"/>
    <w:rsid w:val="00AC3B8C"/>
    <w:rsid w:val="00AD05DE"/>
    <w:rsid w:val="00AE79F4"/>
    <w:rsid w:val="00B25114"/>
    <w:rsid w:val="00B47235"/>
    <w:rsid w:val="00B5008E"/>
    <w:rsid w:val="00B57B63"/>
    <w:rsid w:val="00B6408F"/>
    <w:rsid w:val="00B64890"/>
    <w:rsid w:val="00B83F42"/>
    <w:rsid w:val="00B8679D"/>
    <w:rsid w:val="00B869D3"/>
    <w:rsid w:val="00B94B8A"/>
    <w:rsid w:val="00BA4781"/>
    <w:rsid w:val="00BA6589"/>
    <w:rsid w:val="00BA7F25"/>
    <w:rsid w:val="00BB3268"/>
    <w:rsid w:val="00BB6A30"/>
    <w:rsid w:val="00BC5DD5"/>
    <w:rsid w:val="00BD3CB4"/>
    <w:rsid w:val="00BE4CE0"/>
    <w:rsid w:val="00BF1D4F"/>
    <w:rsid w:val="00C01666"/>
    <w:rsid w:val="00C03479"/>
    <w:rsid w:val="00C07B72"/>
    <w:rsid w:val="00C31924"/>
    <w:rsid w:val="00C361EE"/>
    <w:rsid w:val="00C6346D"/>
    <w:rsid w:val="00C66B37"/>
    <w:rsid w:val="00C859D0"/>
    <w:rsid w:val="00C93D88"/>
    <w:rsid w:val="00C96E45"/>
    <w:rsid w:val="00CA039D"/>
    <w:rsid w:val="00CA5F50"/>
    <w:rsid w:val="00CD10CE"/>
    <w:rsid w:val="00CD207A"/>
    <w:rsid w:val="00CD22D1"/>
    <w:rsid w:val="00CD430E"/>
    <w:rsid w:val="00CE0D3C"/>
    <w:rsid w:val="00CE4EAF"/>
    <w:rsid w:val="00CE5A41"/>
    <w:rsid w:val="00D036A8"/>
    <w:rsid w:val="00D061A1"/>
    <w:rsid w:val="00D07B86"/>
    <w:rsid w:val="00D12701"/>
    <w:rsid w:val="00D13A41"/>
    <w:rsid w:val="00D217D6"/>
    <w:rsid w:val="00D232BB"/>
    <w:rsid w:val="00D246D7"/>
    <w:rsid w:val="00D24A10"/>
    <w:rsid w:val="00D40740"/>
    <w:rsid w:val="00D40D55"/>
    <w:rsid w:val="00D45B55"/>
    <w:rsid w:val="00D61951"/>
    <w:rsid w:val="00D84151"/>
    <w:rsid w:val="00D962EB"/>
    <w:rsid w:val="00D974D5"/>
    <w:rsid w:val="00DA2CFE"/>
    <w:rsid w:val="00DA5878"/>
    <w:rsid w:val="00DA629A"/>
    <w:rsid w:val="00DB0A29"/>
    <w:rsid w:val="00DC0F5C"/>
    <w:rsid w:val="00DC3E38"/>
    <w:rsid w:val="00DD392A"/>
    <w:rsid w:val="00DF0F95"/>
    <w:rsid w:val="00DF6F19"/>
    <w:rsid w:val="00E017E0"/>
    <w:rsid w:val="00E13353"/>
    <w:rsid w:val="00E3693D"/>
    <w:rsid w:val="00E84AF4"/>
    <w:rsid w:val="00E86028"/>
    <w:rsid w:val="00EC3B3E"/>
    <w:rsid w:val="00EF0CE8"/>
    <w:rsid w:val="00F1073F"/>
    <w:rsid w:val="00F379FD"/>
    <w:rsid w:val="00F37F94"/>
    <w:rsid w:val="00F41640"/>
    <w:rsid w:val="00F41A33"/>
    <w:rsid w:val="00F46DDC"/>
    <w:rsid w:val="00F55AC6"/>
    <w:rsid w:val="00F6477D"/>
    <w:rsid w:val="00F70C41"/>
    <w:rsid w:val="00F70D48"/>
    <w:rsid w:val="00F80D1E"/>
    <w:rsid w:val="00F834B9"/>
    <w:rsid w:val="00F8601E"/>
    <w:rsid w:val="00F954A6"/>
    <w:rsid w:val="00FD168F"/>
    <w:rsid w:val="00FE48BB"/>
    <w:rsid w:val="00FF7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F70D48"/>
    <w:rPr>
      <w:rFonts w:cs="Times New Roman"/>
      <w:vertAlign w:val="superscript"/>
    </w:rPr>
  </w:style>
  <w:style w:type="paragraph" w:customStyle="1" w:styleId="Sinespaciado1">
    <w:name w:val="Sin espaciado1"/>
    <w:link w:val="NoSpacingChar"/>
    <w:qFormat/>
    <w:rsid w:val="00F70D48"/>
    <w:rPr>
      <w:rFonts w:ascii="Calibri" w:eastAsia="Calibri" w:hAnsi="Calibri"/>
      <w:sz w:val="22"/>
      <w:szCs w:val="22"/>
      <w:lang w:eastAsia="en-US"/>
    </w:rPr>
  </w:style>
  <w:style w:type="character" w:customStyle="1" w:styleId="NoSpacingChar">
    <w:name w:val="No Spacing Char"/>
    <w:link w:val="Sinespaciado1"/>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uiPriority w:val="99"/>
    <w:rsid w:val="005467A7"/>
    <w:rPr>
      <w:rFonts w:eastAsia="Calibri"/>
      <w:lang w:val="es-ES"/>
    </w:rPr>
  </w:style>
  <w:style w:type="paragraph" w:customStyle="1" w:styleId="Sinespaciado3">
    <w:name w:val="Sin espaciado3"/>
    <w:rsid w:val="005467A7"/>
    <w:rPr>
      <w:rFonts w:eastAsia="Calibri"/>
      <w:lang w:val="es-ES"/>
    </w:rPr>
  </w:style>
  <w:style w:type="paragraph" w:styleId="Encabezado">
    <w:name w:val="header"/>
    <w:basedOn w:val="Normal"/>
    <w:link w:val="EncabezadoCar"/>
    <w:uiPriority w:val="99"/>
    <w:unhideWhenUsed/>
    <w:rsid w:val="00434116"/>
    <w:pPr>
      <w:tabs>
        <w:tab w:val="center" w:pos="4252"/>
        <w:tab w:val="right" w:pos="8504"/>
      </w:tabs>
    </w:pPr>
  </w:style>
  <w:style w:type="character" w:customStyle="1" w:styleId="EncabezadoCar">
    <w:name w:val="Encabezado Car"/>
    <w:basedOn w:val="Fuentedeprrafopredeter"/>
    <w:link w:val="Encabezado"/>
    <w:uiPriority w:val="99"/>
    <w:rsid w:val="00434116"/>
  </w:style>
  <w:style w:type="paragraph" w:styleId="Piedepgina">
    <w:name w:val="footer"/>
    <w:basedOn w:val="Normal"/>
    <w:link w:val="PiedepginaCar"/>
    <w:uiPriority w:val="99"/>
    <w:unhideWhenUsed/>
    <w:rsid w:val="00434116"/>
    <w:pPr>
      <w:tabs>
        <w:tab w:val="center" w:pos="4252"/>
        <w:tab w:val="right" w:pos="8504"/>
      </w:tabs>
    </w:pPr>
  </w:style>
  <w:style w:type="character" w:customStyle="1" w:styleId="PiedepginaCar">
    <w:name w:val="Pie de página Car"/>
    <w:basedOn w:val="Fuentedeprrafopredeter"/>
    <w:link w:val="Piedepgina"/>
    <w:uiPriority w:val="99"/>
    <w:rsid w:val="0043411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C3E38"/>
    <w:pPr>
      <w:jc w:val="both"/>
    </w:pPr>
    <w:rPr>
      <w:vertAlign w:val="superscript"/>
    </w:rPr>
  </w:style>
  <w:style w:type="paragraph" w:styleId="Prrafodelista">
    <w:name w:val="List Paragraph"/>
    <w:basedOn w:val="Normal"/>
    <w:uiPriority w:val="34"/>
    <w:qFormat/>
    <w:rsid w:val="00FD168F"/>
    <w:pPr>
      <w:overflowPunct w:val="0"/>
      <w:autoSpaceDE w:val="0"/>
      <w:autoSpaceDN w:val="0"/>
      <w:adjustRightInd w:val="0"/>
      <w:ind w:left="708"/>
    </w:pPr>
    <w:rPr>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F70D48"/>
    <w:rPr>
      <w:rFonts w:cs="Times New Roman"/>
      <w:vertAlign w:val="superscript"/>
    </w:rPr>
  </w:style>
  <w:style w:type="paragraph" w:customStyle="1" w:styleId="Sinespaciado1">
    <w:name w:val="Sin espaciado1"/>
    <w:link w:val="NoSpacingChar"/>
    <w:qFormat/>
    <w:rsid w:val="00F70D48"/>
    <w:rPr>
      <w:rFonts w:ascii="Calibri" w:eastAsia="Calibri" w:hAnsi="Calibri"/>
      <w:sz w:val="22"/>
      <w:szCs w:val="22"/>
      <w:lang w:eastAsia="en-US"/>
    </w:rPr>
  </w:style>
  <w:style w:type="character" w:customStyle="1" w:styleId="NoSpacingChar">
    <w:name w:val="No Spacing Char"/>
    <w:link w:val="Sinespaciado1"/>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uiPriority w:val="99"/>
    <w:rsid w:val="005467A7"/>
    <w:rPr>
      <w:rFonts w:eastAsia="Calibri"/>
      <w:lang w:val="es-ES"/>
    </w:rPr>
  </w:style>
  <w:style w:type="paragraph" w:customStyle="1" w:styleId="Sinespaciado3">
    <w:name w:val="Sin espaciado3"/>
    <w:rsid w:val="005467A7"/>
    <w:rPr>
      <w:rFonts w:eastAsia="Calibri"/>
      <w:lang w:val="es-ES"/>
    </w:rPr>
  </w:style>
  <w:style w:type="paragraph" w:styleId="Encabezado">
    <w:name w:val="header"/>
    <w:basedOn w:val="Normal"/>
    <w:link w:val="EncabezadoCar"/>
    <w:uiPriority w:val="99"/>
    <w:unhideWhenUsed/>
    <w:rsid w:val="00434116"/>
    <w:pPr>
      <w:tabs>
        <w:tab w:val="center" w:pos="4252"/>
        <w:tab w:val="right" w:pos="8504"/>
      </w:tabs>
    </w:pPr>
  </w:style>
  <w:style w:type="character" w:customStyle="1" w:styleId="EncabezadoCar">
    <w:name w:val="Encabezado Car"/>
    <w:basedOn w:val="Fuentedeprrafopredeter"/>
    <w:link w:val="Encabezado"/>
    <w:uiPriority w:val="99"/>
    <w:rsid w:val="00434116"/>
  </w:style>
  <w:style w:type="paragraph" w:styleId="Piedepgina">
    <w:name w:val="footer"/>
    <w:basedOn w:val="Normal"/>
    <w:link w:val="PiedepginaCar"/>
    <w:uiPriority w:val="99"/>
    <w:unhideWhenUsed/>
    <w:rsid w:val="00434116"/>
    <w:pPr>
      <w:tabs>
        <w:tab w:val="center" w:pos="4252"/>
        <w:tab w:val="right" w:pos="8504"/>
      </w:tabs>
    </w:pPr>
  </w:style>
  <w:style w:type="character" w:customStyle="1" w:styleId="PiedepginaCar">
    <w:name w:val="Pie de página Car"/>
    <w:basedOn w:val="Fuentedeprrafopredeter"/>
    <w:link w:val="Piedepgina"/>
    <w:uiPriority w:val="99"/>
    <w:rsid w:val="0043411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C3E38"/>
    <w:pPr>
      <w:jc w:val="both"/>
    </w:pPr>
    <w:rPr>
      <w:vertAlign w:val="superscript"/>
    </w:rPr>
  </w:style>
  <w:style w:type="paragraph" w:styleId="Prrafodelista">
    <w:name w:val="List Paragraph"/>
    <w:basedOn w:val="Normal"/>
    <w:uiPriority w:val="34"/>
    <w:qFormat/>
    <w:rsid w:val="00FD168F"/>
    <w:pPr>
      <w:overflowPunct w:val="0"/>
      <w:autoSpaceDE w:val="0"/>
      <w:autoSpaceDN w:val="0"/>
      <w:adjustRightInd w:val="0"/>
      <w:ind w:left="708"/>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1780-245B-4931-8F36-F0D7C953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4114</Words>
  <Characters>22629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ALONSO</cp:lastModifiedBy>
  <cp:revision>17</cp:revision>
  <cp:lastPrinted>2019-07-12T14:04:00Z</cp:lastPrinted>
  <dcterms:created xsi:type="dcterms:W3CDTF">2020-04-16T22:25:00Z</dcterms:created>
  <dcterms:modified xsi:type="dcterms:W3CDTF">2020-06-24T14:00:00Z</dcterms:modified>
</cp:coreProperties>
</file>