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1729" w14:textId="77777777" w:rsidR="00A377CF" w:rsidRPr="00A377CF" w:rsidRDefault="00A377CF" w:rsidP="00A377C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377C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2E2775" w14:textId="77777777" w:rsidR="00A377CF" w:rsidRPr="00A377CF" w:rsidRDefault="00A377CF" w:rsidP="00A377CF">
      <w:pPr>
        <w:overflowPunct/>
        <w:autoSpaceDE/>
        <w:autoSpaceDN/>
        <w:adjustRightInd/>
        <w:jc w:val="both"/>
        <w:textAlignment w:val="auto"/>
        <w:rPr>
          <w:rFonts w:ascii="Arial" w:hAnsi="Arial" w:cs="Arial"/>
          <w:lang w:val="es-419"/>
        </w:rPr>
      </w:pPr>
    </w:p>
    <w:p w14:paraId="5AAC89BF" w14:textId="4E232331" w:rsidR="00A377CF" w:rsidRPr="00A377CF" w:rsidRDefault="00A377CF" w:rsidP="00A377CF">
      <w:pPr>
        <w:overflowPunct/>
        <w:autoSpaceDE/>
        <w:autoSpaceDN/>
        <w:adjustRightInd/>
        <w:jc w:val="both"/>
        <w:textAlignment w:val="auto"/>
        <w:rPr>
          <w:rFonts w:ascii="Arial" w:hAnsi="Arial" w:cs="Arial"/>
          <w:b/>
          <w:bCs/>
          <w:iCs/>
          <w:lang w:val="es-419" w:eastAsia="fr-FR"/>
        </w:rPr>
      </w:pPr>
      <w:r w:rsidRPr="00A377CF">
        <w:rPr>
          <w:rFonts w:ascii="Arial" w:hAnsi="Arial" w:cs="Arial"/>
          <w:b/>
          <w:bCs/>
          <w:iCs/>
          <w:u w:val="single"/>
          <w:lang w:val="es-419" w:eastAsia="fr-FR"/>
        </w:rPr>
        <w:t>TEMAS:</w:t>
      </w:r>
      <w:r w:rsidRPr="00A377CF">
        <w:rPr>
          <w:rFonts w:ascii="Arial" w:hAnsi="Arial" w:cs="Arial"/>
          <w:b/>
          <w:bCs/>
          <w:iCs/>
          <w:lang w:val="es-419" w:eastAsia="fr-FR"/>
        </w:rPr>
        <w:tab/>
      </w:r>
      <w:r w:rsidR="00973AAA" w:rsidRPr="00973AAA">
        <w:rPr>
          <w:rFonts w:ascii="Arial" w:hAnsi="Arial" w:cs="Arial"/>
          <w:b/>
          <w:lang w:val="es-419"/>
        </w:rPr>
        <w:t>DEBIDO PROCESO / TUTELA CONTRA DECISIÓN JUDICIAL / REQUISITOS DE PROCEDIBILIDAD / SUBSIDIARIEDAD / NO INTERPUSO EL ACCIONANTE RECURSO CONTRA LA PROVIDENCIA AHORA IMPUGNADA</w:t>
      </w:r>
      <w:r w:rsidR="00973AAA">
        <w:rPr>
          <w:rFonts w:ascii="Arial" w:hAnsi="Arial" w:cs="Arial"/>
          <w:b/>
          <w:lang w:val="es-419"/>
        </w:rPr>
        <w:t>.</w:t>
      </w:r>
    </w:p>
    <w:p w14:paraId="282D40DA" w14:textId="77777777" w:rsidR="00A377CF" w:rsidRPr="00A377CF" w:rsidRDefault="00A377CF" w:rsidP="00A377CF">
      <w:pPr>
        <w:overflowPunct/>
        <w:autoSpaceDE/>
        <w:autoSpaceDN/>
        <w:adjustRightInd/>
        <w:jc w:val="both"/>
        <w:textAlignment w:val="auto"/>
        <w:rPr>
          <w:rFonts w:ascii="Arial" w:hAnsi="Arial" w:cs="Arial"/>
          <w:lang w:val="es-419"/>
        </w:rPr>
      </w:pPr>
    </w:p>
    <w:p w14:paraId="6B1DA437" w14:textId="541CBBA4" w:rsidR="00A377CF" w:rsidRPr="00A377CF" w:rsidRDefault="00A377CF" w:rsidP="00A377CF">
      <w:pPr>
        <w:overflowPunct/>
        <w:autoSpaceDE/>
        <w:autoSpaceDN/>
        <w:adjustRightInd/>
        <w:jc w:val="both"/>
        <w:textAlignment w:val="auto"/>
        <w:rPr>
          <w:rFonts w:ascii="Arial" w:hAnsi="Arial" w:cs="Arial"/>
          <w:lang w:val="es-419"/>
        </w:rPr>
      </w:pPr>
      <w:r w:rsidRPr="00A377CF">
        <w:rPr>
          <w:rFonts w:ascii="Arial" w:hAnsi="Arial" w:cs="Arial"/>
          <w:lang w:val="es-419"/>
        </w:rPr>
        <w:t>Acude en esta oportunidad el señor Arias Idárraga, en procura de la protección de su derecho fundamental al debido proceso bajo la premisa de que el juzgado se abstiene de liquidar las costas del proceso</w:t>
      </w:r>
      <w:r>
        <w:rPr>
          <w:rFonts w:ascii="Arial" w:hAnsi="Arial" w:cs="Arial"/>
          <w:lang w:val="es-419"/>
        </w:rPr>
        <w:t>…</w:t>
      </w:r>
    </w:p>
    <w:p w14:paraId="6B31B495" w14:textId="77777777" w:rsidR="00A377CF" w:rsidRPr="00A377CF" w:rsidRDefault="00A377CF" w:rsidP="00A377CF">
      <w:pPr>
        <w:overflowPunct/>
        <w:autoSpaceDE/>
        <w:autoSpaceDN/>
        <w:adjustRightInd/>
        <w:jc w:val="both"/>
        <w:textAlignment w:val="auto"/>
        <w:rPr>
          <w:rFonts w:ascii="Arial" w:hAnsi="Arial" w:cs="Arial"/>
          <w:lang w:val="es-419"/>
        </w:rPr>
      </w:pPr>
    </w:p>
    <w:p w14:paraId="6CE9B9D4" w14:textId="10A67545" w:rsidR="00A377CF" w:rsidRPr="00A377CF" w:rsidRDefault="00A377CF" w:rsidP="00A377CF">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A377CF">
        <w:rPr>
          <w:rFonts w:ascii="Arial" w:hAnsi="Arial" w:cs="Arial"/>
          <w:lang w:val="es-419"/>
        </w:rPr>
        <w:t>Reiteradamente se ha expuesto que a pesar de la inexequibilidad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5D8AE40A" w14:textId="77777777" w:rsidR="00A377CF" w:rsidRPr="00A377CF" w:rsidRDefault="00A377CF" w:rsidP="00A377CF">
      <w:pPr>
        <w:overflowPunct/>
        <w:autoSpaceDE/>
        <w:autoSpaceDN/>
        <w:adjustRightInd/>
        <w:jc w:val="both"/>
        <w:textAlignment w:val="auto"/>
        <w:rPr>
          <w:rFonts w:ascii="Arial" w:hAnsi="Arial" w:cs="Arial"/>
          <w:lang w:val="es-ES"/>
        </w:rPr>
      </w:pPr>
    </w:p>
    <w:p w14:paraId="087AF3B8" w14:textId="1BF03EF0" w:rsidR="00A377CF" w:rsidRPr="00A377CF" w:rsidRDefault="00A377CF" w:rsidP="00A377CF">
      <w:pPr>
        <w:overflowPunct/>
        <w:autoSpaceDE/>
        <w:autoSpaceDN/>
        <w:adjustRightInd/>
        <w:jc w:val="both"/>
        <w:textAlignment w:val="auto"/>
        <w:rPr>
          <w:rFonts w:ascii="Arial" w:hAnsi="Arial" w:cs="Arial"/>
          <w:lang w:val="es-ES"/>
        </w:rPr>
      </w:pPr>
      <w:r w:rsidRPr="00A377CF">
        <w:rPr>
          <w:rFonts w:ascii="Arial" w:hAnsi="Arial" w:cs="Arial"/>
          <w:lang w:val="es-ES"/>
        </w:rPr>
        <w:t>Dentro de la acción popular que en concreto se analiza</w:t>
      </w:r>
      <w:r>
        <w:rPr>
          <w:rFonts w:ascii="Arial" w:hAnsi="Arial" w:cs="Arial"/>
          <w:lang w:val="es-ES"/>
        </w:rPr>
        <w:t xml:space="preserve">… </w:t>
      </w:r>
      <w:r w:rsidRPr="00A377CF">
        <w:rPr>
          <w:rFonts w:ascii="Arial" w:hAnsi="Arial" w:cs="Arial"/>
          <w:lang w:val="es-ES"/>
        </w:rPr>
        <w:t>se profirió la sentencia de primera instancia, favorable a las pretensiones del actor popular</w:t>
      </w:r>
      <w:r>
        <w:rPr>
          <w:rFonts w:ascii="Arial" w:hAnsi="Arial" w:cs="Arial"/>
          <w:lang w:val="es-ES"/>
        </w:rPr>
        <w:t>…</w:t>
      </w:r>
    </w:p>
    <w:p w14:paraId="6FE486A6" w14:textId="77777777" w:rsidR="00A377CF" w:rsidRPr="00A377CF" w:rsidRDefault="00A377CF" w:rsidP="00A377CF">
      <w:pPr>
        <w:overflowPunct/>
        <w:autoSpaceDE/>
        <w:autoSpaceDN/>
        <w:adjustRightInd/>
        <w:jc w:val="both"/>
        <w:textAlignment w:val="auto"/>
        <w:rPr>
          <w:rFonts w:ascii="Arial" w:hAnsi="Arial" w:cs="Arial"/>
          <w:lang w:val="es-ES"/>
        </w:rPr>
      </w:pPr>
    </w:p>
    <w:p w14:paraId="2D0E7FF9" w14:textId="6EE1FBF0" w:rsidR="00A377CF" w:rsidRPr="00A377CF" w:rsidRDefault="00A377CF" w:rsidP="00A377CF">
      <w:pPr>
        <w:overflowPunct/>
        <w:autoSpaceDE/>
        <w:autoSpaceDN/>
        <w:adjustRightInd/>
        <w:jc w:val="both"/>
        <w:textAlignment w:val="auto"/>
        <w:rPr>
          <w:rFonts w:ascii="Arial" w:hAnsi="Arial" w:cs="Arial"/>
          <w:lang w:val="es-ES"/>
        </w:rPr>
      </w:pPr>
      <w:r w:rsidRPr="00A377CF">
        <w:rPr>
          <w:rFonts w:ascii="Arial" w:hAnsi="Arial" w:cs="Arial"/>
          <w:lang w:val="es-ES"/>
        </w:rPr>
        <w:t>La decisión fue recurrida por el extremo actor, quien luego presentó una solicitud para que se procediera a la liquidación de las costas impuestas a su favor</w:t>
      </w:r>
      <w:r>
        <w:rPr>
          <w:rFonts w:ascii="Arial" w:hAnsi="Arial" w:cs="Arial"/>
          <w:lang w:val="es-ES"/>
        </w:rPr>
        <w:t xml:space="preserve">… </w:t>
      </w:r>
    </w:p>
    <w:p w14:paraId="20503C11" w14:textId="77777777" w:rsidR="00A377CF" w:rsidRPr="00A377CF" w:rsidRDefault="00A377CF" w:rsidP="00A377CF">
      <w:pPr>
        <w:overflowPunct/>
        <w:autoSpaceDE/>
        <w:autoSpaceDN/>
        <w:adjustRightInd/>
        <w:jc w:val="both"/>
        <w:textAlignment w:val="auto"/>
        <w:rPr>
          <w:rFonts w:ascii="Arial" w:hAnsi="Arial" w:cs="Arial"/>
          <w:lang w:val="es-ES"/>
        </w:rPr>
      </w:pPr>
    </w:p>
    <w:p w14:paraId="411D0C07" w14:textId="313A4C19" w:rsidR="00A377CF" w:rsidRPr="00A377CF" w:rsidRDefault="00A377CF" w:rsidP="00A377CF">
      <w:pPr>
        <w:overflowPunct/>
        <w:autoSpaceDE/>
        <w:autoSpaceDN/>
        <w:adjustRightInd/>
        <w:jc w:val="both"/>
        <w:textAlignment w:val="auto"/>
        <w:rPr>
          <w:rFonts w:ascii="Arial" w:hAnsi="Arial" w:cs="Arial"/>
          <w:lang w:val="es-ES"/>
        </w:rPr>
      </w:pPr>
      <w:r w:rsidRPr="00A377CF">
        <w:rPr>
          <w:rFonts w:ascii="Arial" w:hAnsi="Arial" w:cs="Arial"/>
          <w:lang w:val="es-ES"/>
        </w:rPr>
        <w:t>El 31 de agosto pasado, se profirió un auto en el que</w:t>
      </w:r>
      <w:r>
        <w:rPr>
          <w:rFonts w:ascii="Arial" w:hAnsi="Arial" w:cs="Arial"/>
          <w:lang w:val="es-ES"/>
        </w:rPr>
        <w:t>…</w:t>
      </w:r>
      <w:r w:rsidRPr="00A377CF">
        <w:rPr>
          <w:rFonts w:ascii="Arial" w:hAnsi="Arial" w:cs="Arial"/>
          <w:lang w:val="es-ES"/>
        </w:rPr>
        <w:t xml:space="preserve"> se concedió el recurso de apelación que el mismo actor propuso; y, además, se le informó que a la liquidación de costas se procedería una vez llegara el momento procesal oportuno. Contra esa decisión, ningún recurso se interpuso. </w:t>
      </w:r>
    </w:p>
    <w:p w14:paraId="126336B2" w14:textId="77777777" w:rsidR="00A377CF" w:rsidRPr="00A377CF" w:rsidRDefault="00A377CF" w:rsidP="00A377CF">
      <w:pPr>
        <w:overflowPunct/>
        <w:autoSpaceDE/>
        <w:autoSpaceDN/>
        <w:adjustRightInd/>
        <w:jc w:val="both"/>
        <w:textAlignment w:val="auto"/>
        <w:rPr>
          <w:rFonts w:ascii="Arial" w:hAnsi="Arial" w:cs="Arial"/>
          <w:lang w:val="es-ES"/>
        </w:rPr>
      </w:pPr>
    </w:p>
    <w:p w14:paraId="345B2E5F" w14:textId="6EE6E9E3" w:rsidR="00A377CF" w:rsidRPr="00A377CF" w:rsidRDefault="00A377CF" w:rsidP="00A377CF">
      <w:pPr>
        <w:overflowPunct/>
        <w:autoSpaceDE/>
        <w:autoSpaceDN/>
        <w:adjustRightInd/>
        <w:jc w:val="both"/>
        <w:textAlignment w:val="auto"/>
        <w:rPr>
          <w:rFonts w:ascii="Arial" w:hAnsi="Arial" w:cs="Arial"/>
          <w:lang w:val="es-ES"/>
        </w:rPr>
      </w:pPr>
      <w:r w:rsidRPr="00A377CF">
        <w:rPr>
          <w:rFonts w:ascii="Arial" w:hAnsi="Arial" w:cs="Arial"/>
          <w:lang w:val="es-ES"/>
        </w:rPr>
        <w:t>Claro es, entonces, que el demandante, para obtener lo que pretende, eligió acudir a esta acción de tutela sin tener en cuenta el carácter residual y subsidiario que la reviste, de conformidad con el numeral 1º del artículo 6º del Decreto 2591 de 1991</w:t>
      </w:r>
      <w:r>
        <w:rPr>
          <w:rFonts w:ascii="Arial" w:hAnsi="Arial" w:cs="Arial"/>
          <w:lang w:val="es-ES"/>
        </w:rPr>
        <w:t>…</w:t>
      </w:r>
    </w:p>
    <w:p w14:paraId="290ECB14" w14:textId="77777777" w:rsidR="00A377CF" w:rsidRPr="00A377CF" w:rsidRDefault="00A377CF" w:rsidP="00A377CF">
      <w:pPr>
        <w:overflowPunct/>
        <w:autoSpaceDE/>
        <w:autoSpaceDN/>
        <w:adjustRightInd/>
        <w:jc w:val="both"/>
        <w:textAlignment w:val="auto"/>
        <w:rPr>
          <w:rFonts w:ascii="Arial" w:hAnsi="Arial" w:cs="Arial"/>
          <w:lang w:val="es-ES"/>
        </w:rPr>
      </w:pPr>
    </w:p>
    <w:p w14:paraId="37918C91" w14:textId="77777777" w:rsidR="00A377CF" w:rsidRPr="00A377CF" w:rsidRDefault="00A377CF" w:rsidP="00A377CF">
      <w:pPr>
        <w:overflowPunct/>
        <w:autoSpaceDE/>
        <w:autoSpaceDN/>
        <w:adjustRightInd/>
        <w:jc w:val="both"/>
        <w:textAlignment w:val="auto"/>
        <w:rPr>
          <w:rFonts w:ascii="Arial" w:hAnsi="Arial" w:cs="Arial"/>
          <w:lang w:val="es-ES"/>
        </w:rPr>
      </w:pPr>
    </w:p>
    <w:p w14:paraId="65CA6965" w14:textId="77777777" w:rsidR="00A377CF" w:rsidRPr="00A377CF" w:rsidRDefault="00A377CF" w:rsidP="00A377CF">
      <w:pPr>
        <w:overflowPunct/>
        <w:autoSpaceDE/>
        <w:autoSpaceDN/>
        <w:adjustRightInd/>
        <w:jc w:val="both"/>
        <w:textAlignment w:val="auto"/>
        <w:rPr>
          <w:rFonts w:ascii="Arial" w:hAnsi="Arial" w:cs="Arial"/>
          <w:lang w:val="es-ES"/>
        </w:rPr>
      </w:pPr>
    </w:p>
    <w:p w14:paraId="57A77BAA" w14:textId="298AA2E1" w:rsidR="00CD73E5" w:rsidRPr="00A377CF" w:rsidRDefault="5FC52665" w:rsidP="00A377CF">
      <w:pPr>
        <w:spacing w:line="276" w:lineRule="auto"/>
        <w:ind w:firstLine="2835"/>
        <w:jc w:val="both"/>
        <w:rPr>
          <w:rFonts w:ascii="Gadugi" w:hAnsi="Gadugi"/>
          <w:b/>
          <w:bCs/>
          <w:sz w:val="24"/>
          <w:szCs w:val="24"/>
        </w:rPr>
      </w:pPr>
      <w:r w:rsidRPr="00A377CF">
        <w:rPr>
          <w:rFonts w:ascii="Gadugi" w:hAnsi="Gadugi"/>
          <w:b/>
          <w:bCs/>
          <w:sz w:val="24"/>
          <w:szCs w:val="24"/>
        </w:rPr>
        <w:t>T</w:t>
      </w:r>
      <w:r w:rsidR="00CD73E5" w:rsidRPr="00A377CF">
        <w:rPr>
          <w:rFonts w:ascii="Gadugi" w:hAnsi="Gadugi"/>
          <w:b/>
          <w:bCs/>
          <w:sz w:val="24"/>
          <w:szCs w:val="24"/>
        </w:rPr>
        <w:t xml:space="preserve">RIBUNAL SUPERIOR DEL DISTRITO JUDICIAL </w:t>
      </w:r>
    </w:p>
    <w:p w14:paraId="57A77BAB" w14:textId="7998AD6D" w:rsidR="00CD73E5" w:rsidRPr="00A377CF" w:rsidRDefault="00CD73E5" w:rsidP="00A377CF">
      <w:pPr>
        <w:spacing w:line="276" w:lineRule="auto"/>
        <w:ind w:firstLine="2835"/>
        <w:jc w:val="both"/>
        <w:rPr>
          <w:rFonts w:ascii="Gadugi" w:hAnsi="Gadugi"/>
          <w:b/>
          <w:sz w:val="24"/>
          <w:szCs w:val="24"/>
        </w:rPr>
      </w:pPr>
      <w:r w:rsidRPr="00A377CF">
        <w:rPr>
          <w:rFonts w:ascii="Gadugi" w:hAnsi="Gadugi"/>
          <w:b/>
          <w:sz w:val="24"/>
          <w:szCs w:val="24"/>
        </w:rPr>
        <w:t xml:space="preserve">    </w:t>
      </w:r>
      <w:r w:rsidR="00E57925" w:rsidRPr="00A377CF">
        <w:rPr>
          <w:rFonts w:ascii="Gadugi" w:hAnsi="Gadugi"/>
          <w:b/>
          <w:sz w:val="24"/>
          <w:szCs w:val="24"/>
        </w:rPr>
        <w:t xml:space="preserve">   </w:t>
      </w:r>
      <w:r w:rsidRPr="00A377CF">
        <w:rPr>
          <w:rFonts w:ascii="Gadugi" w:hAnsi="Gadugi"/>
          <w:b/>
          <w:sz w:val="24"/>
          <w:szCs w:val="24"/>
        </w:rPr>
        <w:t xml:space="preserve"> SALA DE DECISIÓN CIVIL FAMILIA </w:t>
      </w:r>
    </w:p>
    <w:p w14:paraId="57A77BAC" w14:textId="77777777" w:rsidR="00496CF1" w:rsidRPr="00A377CF" w:rsidRDefault="00496CF1" w:rsidP="00A377CF">
      <w:pPr>
        <w:spacing w:line="276" w:lineRule="auto"/>
        <w:ind w:firstLine="2835"/>
        <w:jc w:val="both"/>
        <w:rPr>
          <w:rFonts w:ascii="Gadugi" w:hAnsi="Gadugi"/>
          <w:sz w:val="24"/>
          <w:szCs w:val="24"/>
        </w:rPr>
      </w:pPr>
    </w:p>
    <w:p w14:paraId="57A77BAD" w14:textId="77777777" w:rsidR="00285265" w:rsidRPr="00A377CF" w:rsidRDefault="00285265" w:rsidP="00A377CF">
      <w:pPr>
        <w:spacing w:line="276" w:lineRule="auto"/>
        <w:ind w:firstLine="2835"/>
        <w:jc w:val="both"/>
        <w:rPr>
          <w:rFonts w:ascii="Gadugi" w:hAnsi="Gadugi"/>
          <w:sz w:val="24"/>
          <w:szCs w:val="24"/>
        </w:rPr>
      </w:pPr>
    </w:p>
    <w:p w14:paraId="57A77BAE" w14:textId="77777777" w:rsidR="00CD73E5" w:rsidRPr="00A377CF" w:rsidRDefault="00CD73E5" w:rsidP="00A377CF">
      <w:pPr>
        <w:spacing w:line="276" w:lineRule="auto"/>
        <w:ind w:firstLine="2835"/>
        <w:jc w:val="both"/>
        <w:rPr>
          <w:rFonts w:ascii="Gadugi" w:hAnsi="Gadugi"/>
          <w:sz w:val="24"/>
          <w:szCs w:val="24"/>
        </w:rPr>
      </w:pPr>
      <w:r w:rsidRPr="00A377CF">
        <w:rPr>
          <w:rFonts w:ascii="Gadugi" w:hAnsi="Gadugi"/>
          <w:sz w:val="24"/>
          <w:szCs w:val="24"/>
        </w:rPr>
        <w:t>Magistrado: Jaime Alberto Saraza Naranjo</w:t>
      </w:r>
    </w:p>
    <w:p w14:paraId="57A77BAF" w14:textId="3A09A4E1" w:rsidR="00CD73E5" w:rsidRPr="00A377CF" w:rsidRDefault="00CD73E5" w:rsidP="00A377CF">
      <w:pPr>
        <w:spacing w:line="276" w:lineRule="auto"/>
        <w:ind w:firstLine="2835"/>
        <w:jc w:val="both"/>
        <w:rPr>
          <w:rFonts w:ascii="Gadugi" w:hAnsi="Gadugi"/>
          <w:sz w:val="24"/>
          <w:szCs w:val="24"/>
        </w:rPr>
      </w:pPr>
      <w:r w:rsidRPr="00A377CF">
        <w:rPr>
          <w:rFonts w:ascii="Gadugi" w:hAnsi="Gadugi"/>
          <w:sz w:val="24"/>
          <w:szCs w:val="24"/>
        </w:rPr>
        <w:t>Pereira,</w:t>
      </w:r>
      <w:r w:rsidR="005F1C24" w:rsidRPr="00A377CF">
        <w:rPr>
          <w:rFonts w:ascii="Gadugi" w:hAnsi="Gadugi"/>
          <w:sz w:val="24"/>
          <w:szCs w:val="24"/>
        </w:rPr>
        <w:t xml:space="preserve"> </w:t>
      </w:r>
      <w:r w:rsidR="00E57925" w:rsidRPr="00A377CF">
        <w:rPr>
          <w:rFonts w:ascii="Gadugi" w:hAnsi="Gadugi"/>
          <w:sz w:val="24"/>
          <w:szCs w:val="24"/>
        </w:rPr>
        <w:t>septiembre veintiocho del dos mil veinte</w:t>
      </w:r>
      <w:r w:rsidR="00A734BF" w:rsidRPr="00A377CF">
        <w:rPr>
          <w:rFonts w:ascii="Gadugi" w:hAnsi="Gadugi"/>
          <w:sz w:val="24"/>
          <w:szCs w:val="24"/>
        </w:rPr>
        <w:t xml:space="preserve"> </w:t>
      </w:r>
      <w:r w:rsidR="00A8400C" w:rsidRPr="00A377CF">
        <w:rPr>
          <w:rFonts w:ascii="Gadugi" w:hAnsi="Gadugi"/>
          <w:sz w:val="24"/>
          <w:szCs w:val="24"/>
        </w:rPr>
        <w:t xml:space="preserve"> </w:t>
      </w:r>
      <w:r w:rsidR="00B632F4" w:rsidRPr="00A377CF">
        <w:rPr>
          <w:rFonts w:ascii="Gadugi" w:hAnsi="Gadugi"/>
          <w:sz w:val="24"/>
          <w:szCs w:val="24"/>
        </w:rPr>
        <w:t xml:space="preserve"> </w:t>
      </w:r>
      <w:r w:rsidRPr="00A377CF">
        <w:rPr>
          <w:rFonts w:ascii="Gadugi" w:hAnsi="Gadugi"/>
          <w:sz w:val="24"/>
          <w:szCs w:val="24"/>
        </w:rPr>
        <w:t xml:space="preserve"> </w:t>
      </w:r>
    </w:p>
    <w:p w14:paraId="57A77BB0" w14:textId="306374A6" w:rsidR="003538FF" w:rsidRPr="00A377CF" w:rsidRDefault="00CD73E5" w:rsidP="00A377CF">
      <w:pPr>
        <w:spacing w:line="276" w:lineRule="auto"/>
        <w:ind w:firstLine="2835"/>
        <w:jc w:val="both"/>
        <w:rPr>
          <w:rFonts w:ascii="Gadugi" w:hAnsi="Gadugi"/>
          <w:sz w:val="24"/>
          <w:szCs w:val="24"/>
        </w:rPr>
      </w:pPr>
      <w:r w:rsidRPr="00A377CF">
        <w:rPr>
          <w:rFonts w:ascii="Gadugi" w:hAnsi="Gadugi"/>
          <w:sz w:val="24"/>
          <w:szCs w:val="24"/>
        </w:rPr>
        <w:t>Expediente</w:t>
      </w:r>
      <w:r w:rsidR="002D1F05" w:rsidRPr="00A377CF">
        <w:rPr>
          <w:rFonts w:ascii="Gadugi" w:hAnsi="Gadugi"/>
          <w:sz w:val="24"/>
          <w:szCs w:val="24"/>
        </w:rPr>
        <w:t xml:space="preserve">: </w:t>
      </w:r>
      <w:r w:rsidR="006E55AF" w:rsidRPr="00A377CF">
        <w:rPr>
          <w:rFonts w:ascii="Gadugi" w:hAnsi="Gadugi" w:cs="Arial"/>
          <w:sz w:val="24"/>
          <w:szCs w:val="24"/>
          <w:shd w:val="clear" w:color="auto" w:fill="FAF9F8"/>
        </w:rPr>
        <w:t>66001221300020200014600</w:t>
      </w:r>
    </w:p>
    <w:p w14:paraId="57A77BB1" w14:textId="1CBCD2BC" w:rsidR="00CD73E5" w:rsidRPr="00A377CF" w:rsidRDefault="00CD73E5" w:rsidP="00A377CF">
      <w:pPr>
        <w:spacing w:line="276" w:lineRule="auto"/>
        <w:ind w:firstLine="2835"/>
        <w:jc w:val="both"/>
        <w:rPr>
          <w:rFonts w:ascii="Gadugi" w:hAnsi="Gadugi"/>
          <w:sz w:val="24"/>
          <w:szCs w:val="24"/>
        </w:rPr>
      </w:pPr>
      <w:r w:rsidRPr="00A377CF">
        <w:rPr>
          <w:rFonts w:ascii="Gadugi" w:hAnsi="Gadugi"/>
          <w:sz w:val="24"/>
          <w:szCs w:val="24"/>
        </w:rPr>
        <w:t>Acta N°</w:t>
      </w:r>
      <w:r w:rsidR="00E57925" w:rsidRPr="00A377CF">
        <w:rPr>
          <w:rFonts w:ascii="Gadugi" w:hAnsi="Gadugi"/>
          <w:sz w:val="24"/>
          <w:szCs w:val="24"/>
        </w:rPr>
        <w:t xml:space="preserve"> 330 del 28 de septiembre del 2020</w:t>
      </w:r>
      <w:r w:rsidR="005F1C24" w:rsidRPr="00A377CF">
        <w:rPr>
          <w:rFonts w:ascii="Gadugi" w:hAnsi="Gadugi"/>
          <w:sz w:val="24"/>
          <w:szCs w:val="24"/>
        </w:rPr>
        <w:t xml:space="preserve"> </w:t>
      </w:r>
      <w:r w:rsidR="00A734BF" w:rsidRPr="00A377CF">
        <w:rPr>
          <w:rFonts w:ascii="Gadugi" w:hAnsi="Gadugi"/>
          <w:sz w:val="24"/>
          <w:szCs w:val="24"/>
        </w:rPr>
        <w:t xml:space="preserve"> </w:t>
      </w:r>
      <w:r w:rsidR="00A8400C" w:rsidRPr="00A377CF">
        <w:rPr>
          <w:rFonts w:ascii="Gadugi" w:hAnsi="Gadugi"/>
          <w:sz w:val="24"/>
          <w:szCs w:val="24"/>
        </w:rPr>
        <w:t xml:space="preserve"> </w:t>
      </w:r>
      <w:r w:rsidR="00B632F4" w:rsidRPr="00A377CF">
        <w:rPr>
          <w:rFonts w:ascii="Gadugi" w:hAnsi="Gadugi"/>
          <w:sz w:val="24"/>
          <w:szCs w:val="24"/>
        </w:rPr>
        <w:t xml:space="preserve"> </w:t>
      </w:r>
      <w:r w:rsidR="0089683B" w:rsidRPr="00A377CF">
        <w:rPr>
          <w:rFonts w:ascii="Gadugi" w:hAnsi="Gadugi"/>
          <w:sz w:val="24"/>
          <w:szCs w:val="24"/>
        </w:rPr>
        <w:t xml:space="preserve"> </w:t>
      </w:r>
    </w:p>
    <w:p w14:paraId="57A77BB2" w14:textId="77777777" w:rsidR="00285265" w:rsidRPr="00A377CF" w:rsidRDefault="00285265" w:rsidP="00A377CF">
      <w:pPr>
        <w:spacing w:line="276" w:lineRule="auto"/>
        <w:ind w:firstLine="2835"/>
        <w:jc w:val="both"/>
        <w:rPr>
          <w:rFonts w:ascii="Gadugi" w:hAnsi="Gadugi"/>
          <w:sz w:val="24"/>
          <w:szCs w:val="24"/>
        </w:rPr>
      </w:pPr>
    </w:p>
    <w:p w14:paraId="57A77BB3" w14:textId="77777777" w:rsidR="0035768F" w:rsidRPr="00A377CF" w:rsidRDefault="0035768F" w:rsidP="00A377CF">
      <w:pPr>
        <w:spacing w:line="276" w:lineRule="auto"/>
        <w:ind w:firstLine="2835"/>
        <w:jc w:val="both"/>
        <w:rPr>
          <w:rFonts w:ascii="Gadugi" w:hAnsi="Gadugi"/>
          <w:sz w:val="24"/>
          <w:szCs w:val="24"/>
        </w:rPr>
      </w:pPr>
    </w:p>
    <w:p w14:paraId="57A77BB4" w14:textId="517B186F" w:rsidR="00B632F4" w:rsidRPr="00A377CF" w:rsidRDefault="00CD73E5" w:rsidP="00A377CF">
      <w:pPr>
        <w:spacing w:line="276" w:lineRule="auto"/>
        <w:ind w:firstLine="2835"/>
        <w:jc w:val="both"/>
        <w:rPr>
          <w:rFonts w:ascii="Gadugi" w:hAnsi="Gadugi" w:cs="Century Gothic"/>
          <w:b/>
          <w:sz w:val="24"/>
          <w:szCs w:val="24"/>
        </w:rPr>
      </w:pPr>
      <w:r w:rsidRPr="00A377CF">
        <w:rPr>
          <w:rFonts w:ascii="Gadugi" w:hAnsi="Gadugi" w:cs="Century Gothic"/>
          <w:sz w:val="24"/>
          <w:szCs w:val="24"/>
        </w:rPr>
        <w:t>Decide la Sala la</w:t>
      </w:r>
      <w:r w:rsidR="00654459" w:rsidRPr="00A377CF">
        <w:rPr>
          <w:rFonts w:ascii="Gadugi" w:hAnsi="Gadugi" w:cs="Century Gothic"/>
          <w:sz w:val="24"/>
          <w:szCs w:val="24"/>
        </w:rPr>
        <w:t xml:space="preserve"> acción</w:t>
      </w:r>
      <w:r w:rsidRPr="00A377CF">
        <w:rPr>
          <w:rFonts w:ascii="Gadugi" w:hAnsi="Gadugi" w:cs="Century Gothic"/>
          <w:sz w:val="24"/>
          <w:szCs w:val="24"/>
        </w:rPr>
        <w:t xml:space="preserve"> de tutela </w:t>
      </w:r>
      <w:r w:rsidR="006B3724" w:rsidRPr="00A377CF">
        <w:rPr>
          <w:rFonts w:ascii="Gadugi" w:hAnsi="Gadugi" w:cs="Century Gothic"/>
          <w:sz w:val="24"/>
          <w:szCs w:val="24"/>
        </w:rPr>
        <w:t xml:space="preserve">de la referencia </w:t>
      </w:r>
      <w:r w:rsidRPr="00A377CF">
        <w:rPr>
          <w:rFonts w:ascii="Gadugi" w:hAnsi="Gadugi" w:cs="Century Gothic"/>
          <w:sz w:val="24"/>
          <w:szCs w:val="24"/>
        </w:rPr>
        <w:t>promovida</w:t>
      </w:r>
      <w:r w:rsidR="006B3724" w:rsidRPr="00A377CF">
        <w:rPr>
          <w:rFonts w:ascii="Gadugi" w:hAnsi="Gadugi" w:cs="Century Gothic"/>
          <w:sz w:val="24"/>
          <w:szCs w:val="24"/>
        </w:rPr>
        <w:t xml:space="preserve"> por</w:t>
      </w:r>
      <w:r w:rsidRPr="00A377CF">
        <w:rPr>
          <w:rFonts w:ascii="Gadugi" w:hAnsi="Gadugi" w:cs="Century Gothic"/>
          <w:sz w:val="24"/>
          <w:szCs w:val="24"/>
        </w:rPr>
        <w:t xml:space="preserve"> </w:t>
      </w:r>
      <w:r w:rsidR="00313F89" w:rsidRPr="00A377CF">
        <w:rPr>
          <w:rFonts w:ascii="Gadugi" w:hAnsi="Gadugi" w:cs="Century Gothic"/>
          <w:b/>
          <w:bCs/>
          <w:sz w:val="24"/>
          <w:szCs w:val="24"/>
        </w:rPr>
        <w:t xml:space="preserve">Javier Elías Arias </w:t>
      </w:r>
      <w:proofErr w:type="spellStart"/>
      <w:r w:rsidR="00313F89" w:rsidRPr="00A377CF">
        <w:rPr>
          <w:rFonts w:ascii="Gadugi" w:hAnsi="Gadugi" w:cs="Century Gothic"/>
          <w:b/>
          <w:bCs/>
          <w:sz w:val="24"/>
          <w:szCs w:val="24"/>
        </w:rPr>
        <w:t>Idárraga</w:t>
      </w:r>
      <w:proofErr w:type="spellEnd"/>
      <w:r w:rsidR="00E41FFB" w:rsidRPr="00A377CF">
        <w:rPr>
          <w:rFonts w:ascii="Gadugi" w:hAnsi="Gadugi" w:cs="Century Gothic"/>
          <w:b/>
          <w:bCs/>
          <w:sz w:val="24"/>
          <w:szCs w:val="24"/>
        </w:rPr>
        <w:t xml:space="preserve">, </w:t>
      </w:r>
      <w:r w:rsidR="00E41FFB" w:rsidRPr="00A377CF">
        <w:rPr>
          <w:rFonts w:ascii="Gadugi" w:hAnsi="Gadugi" w:cs="Century Gothic"/>
          <w:bCs/>
          <w:sz w:val="24"/>
          <w:szCs w:val="24"/>
        </w:rPr>
        <w:t xml:space="preserve">en procura de la protección de su derecho fundamental al debido proceso, </w:t>
      </w:r>
      <w:r w:rsidRPr="00A377CF">
        <w:rPr>
          <w:rFonts w:ascii="Gadugi" w:hAnsi="Gadugi" w:cs="Century Gothic"/>
          <w:sz w:val="24"/>
          <w:szCs w:val="24"/>
        </w:rPr>
        <w:t xml:space="preserve">contra el </w:t>
      </w:r>
      <w:r w:rsidR="00AC7344" w:rsidRPr="00A377CF">
        <w:rPr>
          <w:rFonts w:ascii="Gadugi" w:hAnsi="Gadugi" w:cs="Century Gothic"/>
          <w:b/>
          <w:bCs/>
          <w:sz w:val="24"/>
          <w:szCs w:val="24"/>
        </w:rPr>
        <w:t xml:space="preserve">Juzgado </w:t>
      </w:r>
      <w:r w:rsidR="006E55AF" w:rsidRPr="00A377CF">
        <w:rPr>
          <w:rFonts w:ascii="Gadugi" w:hAnsi="Gadugi" w:cs="Century Gothic"/>
          <w:b/>
          <w:bCs/>
          <w:sz w:val="24"/>
          <w:szCs w:val="24"/>
        </w:rPr>
        <w:t xml:space="preserve">Quinto </w:t>
      </w:r>
      <w:r w:rsidR="006B3724" w:rsidRPr="00A377CF">
        <w:rPr>
          <w:rFonts w:ascii="Gadugi" w:hAnsi="Gadugi" w:cs="Century Gothic"/>
          <w:b/>
          <w:bCs/>
          <w:sz w:val="24"/>
          <w:szCs w:val="24"/>
        </w:rPr>
        <w:t xml:space="preserve">Civil del Circuito de </w:t>
      </w:r>
      <w:r w:rsidR="00313F89" w:rsidRPr="00A377CF">
        <w:rPr>
          <w:rFonts w:ascii="Gadugi" w:hAnsi="Gadugi" w:cs="Century Gothic"/>
          <w:b/>
          <w:bCs/>
          <w:sz w:val="24"/>
          <w:szCs w:val="24"/>
        </w:rPr>
        <w:t>Pereira</w:t>
      </w:r>
      <w:r w:rsidR="00B632F4" w:rsidRPr="00A377CF">
        <w:rPr>
          <w:rFonts w:ascii="Gadugi" w:hAnsi="Gadugi" w:cs="Century Gothic"/>
          <w:b/>
          <w:bCs/>
          <w:sz w:val="24"/>
          <w:szCs w:val="24"/>
        </w:rPr>
        <w:t xml:space="preserve">, </w:t>
      </w:r>
      <w:r w:rsidR="00B632F4" w:rsidRPr="00A377CF">
        <w:rPr>
          <w:rFonts w:ascii="Gadugi" w:hAnsi="Gadugi" w:cs="Century Gothic"/>
          <w:sz w:val="24"/>
          <w:szCs w:val="24"/>
        </w:rPr>
        <w:t xml:space="preserve">a la que fueron vinculados los </w:t>
      </w:r>
      <w:r w:rsidR="006F2F50" w:rsidRPr="00A377CF">
        <w:rPr>
          <w:rFonts w:ascii="Gadugi" w:hAnsi="Gadugi" w:cs="Century Gothic"/>
          <w:b/>
          <w:sz w:val="24"/>
          <w:szCs w:val="24"/>
        </w:rPr>
        <w:t xml:space="preserve">demás </w:t>
      </w:r>
      <w:r w:rsidR="00B632F4" w:rsidRPr="00A377CF">
        <w:rPr>
          <w:rFonts w:ascii="Gadugi" w:hAnsi="Gadugi" w:cs="Century Gothic"/>
          <w:b/>
          <w:sz w:val="24"/>
          <w:szCs w:val="24"/>
        </w:rPr>
        <w:t>intervinientes</w:t>
      </w:r>
      <w:r w:rsidR="00B632F4" w:rsidRPr="00A377CF">
        <w:rPr>
          <w:rFonts w:ascii="Gadugi" w:hAnsi="Gadugi" w:cs="Century Gothic"/>
          <w:sz w:val="24"/>
          <w:szCs w:val="24"/>
        </w:rPr>
        <w:t xml:space="preserve"> en la acción popular con radicado </w:t>
      </w:r>
      <w:r w:rsidR="002D1F05" w:rsidRPr="00A377CF">
        <w:rPr>
          <w:rFonts w:ascii="Gadugi" w:hAnsi="Gadugi" w:cs="Century Gothic"/>
          <w:bCs/>
          <w:sz w:val="24"/>
          <w:szCs w:val="24"/>
        </w:rPr>
        <w:t>201</w:t>
      </w:r>
      <w:r w:rsidR="004654D3" w:rsidRPr="00A377CF">
        <w:rPr>
          <w:rFonts w:ascii="Gadugi" w:hAnsi="Gadugi" w:cs="Century Gothic"/>
          <w:bCs/>
          <w:sz w:val="24"/>
          <w:szCs w:val="24"/>
        </w:rPr>
        <w:t>9</w:t>
      </w:r>
      <w:r w:rsidR="002D1F05" w:rsidRPr="00A377CF">
        <w:rPr>
          <w:rFonts w:ascii="Gadugi" w:hAnsi="Gadugi" w:cs="Century Gothic"/>
          <w:bCs/>
          <w:sz w:val="24"/>
          <w:szCs w:val="24"/>
        </w:rPr>
        <w:t>-</w:t>
      </w:r>
      <w:r w:rsidR="00FA0A60" w:rsidRPr="00A377CF">
        <w:rPr>
          <w:rFonts w:ascii="Gadugi" w:hAnsi="Gadugi" w:cs="Century Gothic"/>
          <w:bCs/>
          <w:sz w:val="24"/>
          <w:szCs w:val="24"/>
        </w:rPr>
        <w:t>00</w:t>
      </w:r>
      <w:r w:rsidR="004654D3" w:rsidRPr="00A377CF">
        <w:rPr>
          <w:rFonts w:ascii="Gadugi" w:hAnsi="Gadugi" w:cs="Century Gothic"/>
          <w:bCs/>
          <w:sz w:val="24"/>
          <w:szCs w:val="24"/>
        </w:rPr>
        <w:t>181</w:t>
      </w:r>
      <w:r w:rsidR="00FA0A60" w:rsidRPr="00A377CF">
        <w:rPr>
          <w:rFonts w:ascii="Gadugi" w:hAnsi="Gadugi" w:cs="Century Gothic"/>
          <w:bCs/>
          <w:sz w:val="24"/>
          <w:szCs w:val="24"/>
        </w:rPr>
        <w:t>-00</w:t>
      </w:r>
      <w:r w:rsidR="006F2F50" w:rsidRPr="00A377CF">
        <w:rPr>
          <w:rFonts w:ascii="Gadugi" w:hAnsi="Gadugi" w:cs="Century Gothic"/>
          <w:bCs/>
          <w:i/>
          <w:iCs/>
          <w:sz w:val="24"/>
          <w:szCs w:val="24"/>
        </w:rPr>
        <w:t>.</w:t>
      </w:r>
      <w:r w:rsidR="006F2F50" w:rsidRPr="00A377CF">
        <w:rPr>
          <w:rFonts w:ascii="Gadugi" w:hAnsi="Gadugi" w:cs="Century Gothic"/>
          <w:b/>
          <w:iCs/>
          <w:sz w:val="24"/>
          <w:szCs w:val="24"/>
        </w:rPr>
        <w:t xml:space="preserve"> </w:t>
      </w:r>
    </w:p>
    <w:p w14:paraId="57A77BB5" w14:textId="1E5D0515" w:rsidR="00B01CB1" w:rsidRPr="00A377CF" w:rsidRDefault="00E41FFB" w:rsidP="00A377CF">
      <w:pPr>
        <w:spacing w:line="276" w:lineRule="auto"/>
        <w:jc w:val="both"/>
        <w:rPr>
          <w:rFonts w:ascii="Gadugi" w:hAnsi="Gadugi"/>
          <w:b/>
          <w:sz w:val="24"/>
          <w:szCs w:val="24"/>
          <w:lang w:val="es-MX"/>
        </w:rPr>
      </w:pPr>
      <w:r w:rsidRPr="00A377CF">
        <w:rPr>
          <w:rFonts w:ascii="Gadugi" w:hAnsi="Gadugi"/>
          <w:b/>
          <w:sz w:val="24"/>
          <w:szCs w:val="24"/>
          <w:lang w:val="es-MX"/>
        </w:rPr>
        <w:tab/>
      </w:r>
      <w:r w:rsidRPr="00A377CF">
        <w:rPr>
          <w:rFonts w:ascii="Gadugi" w:hAnsi="Gadugi"/>
          <w:b/>
          <w:sz w:val="24"/>
          <w:szCs w:val="24"/>
          <w:lang w:val="es-MX"/>
        </w:rPr>
        <w:tab/>
      </w:r>
      <w:r w:rsidRPr="00A377CF">
        <w:rPr>
          <w:rFonts w:ascii="Gadugi" w:hAnsi="Gadugi"/>
          <w:b/>
          <w:sz w:val="24"/>
          <w:szCs w:val="24"/>
          <w:lang w:val="es-MX"/>
        </w:rPr>
        <w:tab/>
      </w:r>
      <w:r w:rsidRPr="00A377CF">
        <w:rPr>
          <w:rFonts w:ascii="Gadugi" w:hAnsi="Gadugi"/>
          <w:b/>
          <w:sz w:val="24"/>
          <w:szCs w:val="24"/>
          <w:lang w:val="es-MX"/>
        </w:rPr>
        <w:tab/>
      </w:r>
    </w:p>
    <w:p w14:paraId="57A77BB6" w14:textId="4B9FBDA0" w:rsidR="00B632F4" w:rsidRPr="00A377CF" w:rsidRDefault="00E41FFB" w:rsidP="00A377CF">
      <w:pPr>
        <w:spacing w:line="276" w:lineRule="auto"/>
        <w:jc w:val="both"/>
        <w:rPr>
          <w:rFonts w:ascii="Gadugi" w:hAnsi="Gadugi"/>
          <w:b/>
          <w:sz w:val="24"/>
          <w:szCs w:val="24"/>
          <w:lang w:val="es-MX"/>
        </w:rPr>
      </w:pPr>
      <w:r w:rsidRPr="00A377CF">
        <w:rPr>
          <w:rFonts w:ascii="Gadugi" w:hAnsi="Gadugi"/>
          <w:b/>
          <w:sz w:val="24"/>
          <w:szCs w:val="24"/>
          <w:lang w:val="es-MX"/>
        </w:rPr>
        <w:tab/>
      </w:r>
      <w:r w:rsidRPr="00A377CF">
        <w:rPr>
          <w:rFonts w:ascii="Gadugi" w:hAnsi="Gadugi"/>
          <w:b/>
          <w:sz w:val="24"/>
          <w:szCs w:val="24"/>
          <w:lang w:val="es-MX"/>
        </w:rPr>
        <w:tab/>
      </w:r>
      <w:r w:rsidRPr="00A377CF">
        <w:rPr>
          <w:rFonts w:ascii="Gadugi" w:hAnsi="Gadugi"/>
          <w:b/>
          <w:sz w:val="24"/>
          <w:szCs w:val="24"/>
          <w:lang w:val="es-MX"/>
        </w:rPr>
        <w:tab/>
      </w:r>
      <w:r w:rsidRPr="00A377CF">
        <w:rPr>
          <w:rFonts w:ascii="Gadugi" w:hAnsi="Gadugi"/>
          <w:b/>
          <w:sz w:val="24"/>
          <w:szCs w:val="24"/>
          <w:lang w:val="es-MX"/>
        </w:rPr>
        <w:tab/>
      </w:r>
    </w:p>
    <w:p w14:paraId="57A77BB7" w14:textId="77777777" w:rsidR="00CD73E5" w:rsidRPr="00A377CF" w:rsidRDefault="00CD73E5" w:rsidP="00A377CF">
      <w:pPr>
        <w:pStyle w:val="Ttulo4"/>
        <w:spacing w:line="276" w:lineRule="auto"/>
        <w:rPr>
          <w:rFonts w:ascii="Gadugi" w:hAnsi="Gadugi"/>
          <w:b/>
          <w:sz w:val="24"/>
          <w:szCs w:val="24"/>
        </w:rPr>
      </w:pPr>
      <w:r w:rsidRPr="00A377CF">
        <w:rPr>
          <w:rFonts w:ascii="Gadugi" w:hAnsi="Gadugi"/>
          <w:b/>
          <w:sz w:val="24"/>
          <w:szCs w:val="24"/>
        </w:rPr>
        <w:t>ANTECEDENTES</w:t>
      </w:r>
    </w:p>
    <w:p w14:paraId="57A77BB8" w14:textId="77777777" w:rsidR="00CD73E5" w:rsidRPr="00A377CF" w:rsidRDefault="00CD73E5" w:rsidP="00A377CF">
      <w:pPr>
        <w:spacing w:line="276" w:lineRule="auto"/>
        <w:ind w:firstLine="2835"/>
        <w:jc w:val="both"/>
        <w:rPr>
          <w:rFonts w:ascii="Gadugi" w:hAnsi="Gadugi" w:cs="Century Gothic"/>
          <w:sz w:val="24"/>
          <w:szCs w:val="24"/>
        </w:rPr>
      </w:pPr>
    </w:p>
    <w:p w14:paraId="57A77BBB" w14:textId="77777777" w:rsidR="006B3724" w:rsidRPr="00A377CF" w:rsidRDefault="006B3724" w:rsidP="00A377CF">
      <w:pPr>
        <w:pStyle w:val="Textoindependiente21"/>
        <w:spacing w:line="276" w:lineRule="auto"/>
        <w:rPr>
          <w:rFonts w:ascii="Gadugi" w:hAnsi="Gadugi" w:cs="Century Gothic"/>
          <w:szCs w:val="24"/>
        </w:rPr>
      </w:pPr>
    </w:p>
    <w:p w14:paraId="7F3219ED" w14:textId="77777777" w:rsidR="004654D3" w:rsidRPr="00A377CF" w:rsidRDefault="00CD73E5" w:rsidP="00A377CF">
      <w:pPr>
        <w:spacing w:line="276" w:lineRule="auto"/>
        <w:jc w:val="both"/>
        <w:rPr>
          <w:rFonts w:ascii="Gadugi" w:hAnsi="Gadugi" w:cs="Century Gothic"/>
          <w:sz w:val="24"/>
          <w:szCs w:val="24"/>
        </w:rPr>
      </w:pPr>
      <w:r w:rsidRPr="00A377CF">
        <w:rPr>
          <w:rFonts w:ascii="Gadugi" w:hAnsi="Gadugi" w:cs="Century Gothic"/>
          <w:sz w:val="24"/>
          <w:szCs w:val="24"/>
        </w:rPr>
        <w:lastRenderedPageBreak/>
        <w:t xml:space="preserve"> </w:t>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00F1637D" w:rsidRPr="00A377CF">
        <w:rPr>
          <w:rFonts w:ascii="Gadugi" w:hAnsi="Gadugi" w:cs="Century Gothic"/>
          <w:sz w:val="24"/>
          <w:szCs w:val="24"/>
        </w:rPr>
        <w:t>Narr</w:t>
      </w:r>
      <w:r w:rsidR="00147AF4" w:rsidRPr="00A377CF">
        <w:rPr>
          <w:rFonts w:ascii="Gadugi" w:hAnsi="Gadugi" w:cs="Century Gothic"/>
          <w:sz w:val="24"/>
          <w:szCs w:val="24"/>
        </w:rPr>
        <w:t>ó</w:t>
      </w:r>
      <w:r w:rsidR="00E41FFB" w:rsidRPr="00A377CF">
        <w:rPr>
          <w:rFonts w:ascii="Gadugi" w:hAnsi="Gadugi" w:cs="Century Gothic"/>
          <w:sz w:val="24"/>
          <w:szCs w:val="24"/>
        </w:rPr>
        <w:t xml:space="preserve"> que </w:t>
      </w:r>
      <w:r w:rsidR="002D1F05" w:rsidRPr="00A377CF">
        <w:rPr>
          <w:rFonts w:ascii="Gadugi" w:hAnsi="Gadugi" w:cs="Century Gothic"/>
          <w:sz w:val="24"/>
          <w:szCs w:val="24"/>
        </w:rPr>
        <w:t xml:space="preserve">el Juzgado accionado, en la citada acción popular, </w:t>
      </w:r>
      <w:r w:rsidR="004654D3" w:rsidRPr="00A377CF">
        <w:rPr>
          <w:rFonts w:ascii="Gadugi" w:hAnsi="Gadugi" w:cs="Century Gothic"/>
          <w:sz w:val="24"/>
          <w:szCs w:val="24"/>
        </w:rPr>
        <w:t xml:space="preserve">no liquida las costas. </w:t>
      </w:r>
    </w:p>
    <w:p w14:paraId="3206A61E" w14:textId="77777777" w:rsidR="004654D3" w:rsidRPr="00A377CF" w:rsidRDefault="004654D3" w:rsidP="00A377CF">
      <w:pPr>
        <w:spacing w:line="276" w:lineRule="auto"/>
        <w:jc w:val="both"/>
        <w:rPr>
          <w:rFonts w:ascii="Gadugi" w:hAnsi="Gadugi" w:cs="Century Gothic"/>
          <w:sz w:val="24"/>
          <w:szCs w:val="24"/>
        </w:rPr>
      </w:pPr>
    </w:p>
    <w:p w14:paraId="1175B49A" w14:textId="613CF5E6" w:rsidR="002D1F05" w:rsidRPr="00A377CF" w:rsidRDefault="00DA1D30" w:rsidP="00A377CF">
      <w:pPr>
        <w:spacing w:line="276" w:lineRule="auto"/>
        <w:jc w:val="both"/>
        <w:rPr>
          <w:rFonts w:ascii="Gadugi" w:hAnsi="Gadugi" w:cs="Century Gothic"/>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t xml:space="preserve">Pidió, entonces, </w:t>
      </w:r>
      <w:r w:rsidR="006F2F50" w:rsidRPr="00A377CF">
        <w:rPr>
          <w:rFonts w:ascii="Gadugi" w:hAnsi="Gadugi" w:cs="Century Gothic"/>
          <w:sz w:val="24"/>
          <w:szCs w:val="24"/>
        </w:rPr>
        <w:t>que se le ordene a la funcionaria accionada</w:t>
      </w:r>
      <w:r w:rsidR="002D1F05" w:rsidRPr="00A377CF">
        <w:rPr>
          <w:rFonts w:ascii="Gadugi" w:hAnsi="Gadugi" w:cs="Century Gothic"/>
          <w:sz w:val="24"/>
          <w:szCs w:val="24"/>
        </w:rPr>
        <w:t xml:space="preserve"> </w:t>
      </w:r>
      <w:r w:rsidR="004654D3" w:rsidRPr="00A377CF">
        <w:rPr>
          <w:rFonts w:ascii="Gadugi" w:hAnsi="Gadugi" w:cs="Century Gothic"/>
          <w:sz w:val="24"/>
          <w:szCs w:val="24"/>
        </w:rPr>
        <w:t>proceder de esa manera y digitalizar completamente la acción popular.</w:t>
      </w:r>
      <w:r w:rsidR="00A026AD" w:rsidRPr="00A377CF">
        <w:rPr>
          <w:rStyle w:val="Refdenotaalpie"/>
          <w:rFonts w:ascii="Gadugi" w:hAnsi="Gadugi"/>
          <w:sz w:val="24"/>
          <w:szCs w:val="24"/>
        </w:rPr>
        <w:footnoteReference w:id="1"/>
      </w:r>
      <w:r w:rsidR="00005B50" w:rsidRPr="00A377CF">
        <w:rPr>
          <w:rFonts w:ascii="Gadugi" w:hAnsi="Gadugi" w:cs="Century Gothic"/>
          <w:sz w:val="24"/>
          <w:szCs w:val="24"/>
        </w:rPr>
        <w:t xml:space="preserve"> </w:t>
      </w:r>
    </w:p>
    <w:p w14:paraId="5719F501" w14:textId="77777777" w:rsidR="00005B50" w:rsidRPr="00A377CF" w:rsidRDefault="00005B50" w:rsidP="00A377CF">
      <w:pPr>
        <w:spacing w:line="276" w:lineRule="auto"/>
        <w:jc w:val="both"/>
        <w:rPr>
          <w:rFonts w:ascii="Gadugi" w:hAnsi="Gadugi" w:cs="Century Gothic"/>
          <w:sz w:val="24"/>
          <w:szCs w:val="24"/>
        </w:rPr>
      </w:pPr>
    </w:p>
    <w:p w14:paraId="57A77BC0" w14:textId="2429C5B4" w:rsidR="00DA1D30" w:rsidRPr="00A377CF" w:rsidRDefault="00CE68E9" w:rsidP="00A377CF">
      <w:pPr>
        <w:spacing w:line="276" w:lineRule="auto"/>
        <w:jc w:val="both"/>
        <w:rPr>
          <w:rFonts w:ascii="Gadugi" w:hAnsi="Gadugi" w:cs="Century Gothic"/>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t xml:space="preserve">Con auto del </w:t>
      </w:r>
      <w:r w:rsidR="00005B50" w:rsidRPr="00A377CF">
        <w:rPr>
          <w:rFonts w:ascii="Gadugi" w:hAnsi="Gadugi" w:cs="Century Gothic"/>
          <w:sz w:val="24"/>
          <w:szCs w:val="24"/>
        </w:rPr>
        <w:t>14</w:t>
      </w:r>
      <w:r w:rsidR="00DA1D30" w:rsidRPr="00A377CF">
        <w:rPr>
          <w:rFonts w:ascii="Gadugi" w:hAnsi="Gadugi" w:cs="Century Gothic"/>
          <w:sz w:val="24"/>
          <w:szCs w:val="24"/>
        </w:rPr>
        <w:t xml:space="preserve"> de </w:t>
      </w:r>
      <w:r w:rsidR="00005B50" w:rsidRPr="00A377CF">
        <w:rPr>
          <w:rFonts w:ascii="Gadugi" w:hAnsi="Gadugi" w:cs="Century Gothic"/>
          <w:sz w:val="24"/>
          <w:szCs w:val="24"/>
        </w:rPr>
        <w:t>septiembre</w:t>
      </w:r>
      <w:r w:rsidR="00DA1D30" w:rsidRPr="00A377CF">
        <w:rPr>
          <w:rFonts w:ascii="Gadugi" w:hAnsi="Gadugi" w:cs="Century Gothic"/>
          <w:sz w:val="24"/>
          <w:szCs w:val="24"/>
        </w:rPr>
        <w:t>, se dio trámite a la demanda, con las vinculaciones ya refer</w:t>
      </w:r>
      <w:r w:rsidR="00005B50" w:rsidRPr="00A377CF">
        <w:rPr>
          <w:rFonts w:ascii="Gadugi" w:hAnsi="Gadugi" w:cs="Century Gothic"/>
          <w:sz w:val="24"/>
          <w:szCs w:val="24"/>
        </w:rPr>
        <w:t>idas</w:t>
      </w:r>
      <w:r w:rsidR="004654D3" w:rsidRPr="00A377CF">
        <w:rPr>
          <w:rFonts w:ascii="Gadugi" w:hAnsi="Gadugi" w:cs="Century Gothic"/>
          <w:sz w:val="24"/>
          <w:szCs w:val="24"/>
        </w:rPr>
        <w:t xml:space="preserve">, luego de aceptar el impedimento que manifestara el Magistrado </w:t>
      </w:r>
      <w:proofErr w:type="spellStart"/>
      <w:r w:rsidR="004654D3" w:rsidRPr="00A377CF">
        <w:rPr>
          <w:rFonts w:ascii="Gadugi" w:hAnsi="Gadugi" w:cs="Century Gothic"/>
          <w:sz w:val="24"/>
          <w:szCs w:val="24"/>
        </w:rPr>
        <w:t>Edder</w:t>
      </w:r>
      <w:proofErr w:type="spellEnd"/>
      <w:r w:rsidR="004654D3" w:rsidRPr="00A377CF">
        <w:rPr>
          <w:rFonts w:ascii="Gadugi" w:hAnsi="Gadugi" w:cs="Century Gothic"/>
          <w:sz w:val="24"/>
          <w:szCs w:val="24"/>
        </w:rPr>
        <w:t xml:space="preserve"> Jimmy Sánchez </w:t>
      </w:r>
      <w:proofErr w:type="spellStart"/>
      <w:r w:rsidR="004654D3" w:rsidRPr="00A377CF">
        <w:rPr>
          <w:rFonts w:ascii="Gadugi" w:hAnsi="Gadugi" w:cs="Century Gothic"/>
          <w:sz w:val="24"/>
          <w:szCs w:val="24"/>
        </w:rPr>
        <w:t>Calambás</w:t>
      </w:r>
      <w:proofErr w:type="spellEnd"/>
      <w:r w:rsidR="00A026AD" w:rsidRPr="00A377CF">
        <w:rPr>
          <w:rStyle w:val="Refdenotaalpie"/>
          <w:rFonts w:ascii="Gadugi" w:hAnsi="Gadugi"/>
          <w:sz w:val="24"/>
          <w:szCs w:val="24"/>
        </w:rPr>
        <w:footnoteReference w:id="2"/>
      </w:r>
      <w:r w:rsidR="004654D3" w:rsidRPr="00A377CF">
        <w:rPr>
          <w:rFonts w:ascii="Gadugi" w:hAnsi="Gadugi" w:cs="Century Gothic"/>
          <w:sz w:val="24"/>
          <w:szCs w:val="24"/>
        </w:rPr>
        <w:t>.</w:t>
      </w:r>
      <w:r w:rsidR="00005B50" w:rsidRPr="00A377CF">
        <w:rPr>
          <w:rFonts w:ascii="Gadugi" w:hAnsi="Gadugi" w:cs="Century Gothic"/>
          <w:sz w:val="24"/>
          <w:szCs w:val="24"/>
        </w:rPr>
        <w:t xml:space="preserve"> </w:t>
      </w:r>
    </w:p>
    <w:p w14:paraId="6F9BC63D" w14:textId="77777777" w:rsidR="00FA0A60" w:rsidRPr="00A377CF" w:rsidRDefault="00FA0A60" w:rsidP="00A377CF">
      <w:pPr>
        <w:spacing w:line="276" w:lineRule="auto"/>
        <w:jc w:val="both"/>
        <w:rPr>
          <w:rFonts w:ascii="Gadugi" w:hAnsi="Gadugi" w:cs="Century Gothic"/>
          <w:sz w:val="24"/>
          <w:szCs w:val="24"/>
        </w:rPr>
      </w:pPr>
    </w:p>
    <w:p w14:paraId="3B2993F7" w14:textId="578979E1" w:rsidR="00B9767B" w:rsidRPr="00A377CF" w:rsidRDefault="00B9767B" w:rsidP="00A377CF">
      <w:pPr>
        <w:spacing w:line="276" w:lineRule="auto"/>
        <w:jc w:val="both"/>
        <w:rPr>
          <w:rFonts w:ascii="Gadugi" w:hAnsi="Gadugi" w:cs="Century Gothic"/>
          <w:sz w:val="24"/>
          <w:szCs w:val="24"/>
        </w:rPr>
      </w:pPr>
      <w:r w:rsidRPr="00A377CF">
        <w:rPr>
          <w:rFonts w:ascii="Gadugi" w:hAnsi="Gadugi" w:cs="Century Gothic"/>
          <w:sz w:val="24"/>
          <w:szCs w:val="24"/>
        </w:rPr>
        <w:t xml:space="preserve">  </w:t>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t>El Juzgado contestó que el 13 de julio de 2020 se profirió sentencia en la acción popular; fue apelada por la parte demandada y concedida la alzada; está pendiente de ser remitida la actuación a la Sala Civil Familia; y sobre las costas se le respondió al accionante el 31 de julio que era imposible proceder a su liquidación, pues todavía no era el momento oportuno para ello. También informó que al actor popular se le ha dado acceso sin restricción, por vía electrónica, al expediente escaneado</w:t>
      </w:r>
      <w:r w:rsidRPr="00A377CF">
        <w:rPr>
          <w:rStyle w:val="Refdenotaalpie"/>
          <w:rFonts w:ascii="Gadugi" w:hAnsi="Gadugi"/>
          <w:sz w:val="24"/>
          <w:szCs w:val="24"/>
        </w:rPr>
        <w:footnoteReference w:id="3"/>
      </w:r>
      <w:r w:rsidRPr="00A377CF">
        <w:rPr>
          <w:rFonts w:ascii="Gadugi" w:hAnsi="Gadugi" w:cs="Century Gothic"/>
          <w:sz w:val="24"/>
          <w:szCs w:val="24"/>
        </w:rPr>
        <w:t xml:space="preserve">. </w:t>
      </w:r>
    </w:p>
    <w:p w14:paraId="317F11A6" w14:textId="77777777" w:rsidR="00B9767B" w:rsidRPr="00A377CF" w:rsidRDefault="00B9767B" w:rsidP="00A377CF">
      <w:pPr>
        <w:spacing w:line="276" w:lineRule="auto"/>
        <w:jc w:val="both"/>
        <w:rPr>
          <w:rFonts w:ascii="Gadugi" w:hAnsi="Gadugi" w:cs="Century Gothic"/>
          <w:sz w:val="24"/>
          <w:szCs w:val="24"/>
        </w:rPr>
      </w:pPr>
    </w:p>
    <w:p w14:paraId="0B08ADB2" w14:textId="2E8C3C71" w:rsidR="00005B50" w:rsidRPr="00A377CF" w:rsidRDefault="00B9767B" w:rsidP="00A377CF">
      <w:pPr>
        <w:spacing w:line="276" w:lineRule="auto"/>
        <w:jc w:val="both"/>
        <w:rPr>
          <w:rFonts w:ascii="Gadugi" w:hAnsi="Gadugi" w:cs="Century Gothic"/>
          <w:sz w:val="24"/>
          <w:szCs w:val="24"/>
        </w:rPr>
      </w:pPr>
      <w:r w:rsidRPr="00A377CF">
        <w:rPr>
          <w:rFonts w:ascii="Gadugi" w:hAnsi="Gadugi" w:cs="Century Gothic"/>
          <w:sz w:val="24"/>
          <w:szCs w:val="24"/>
        </w:rPr>
        <w:t xml:space="preserve">  </w:t>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004654D3" w:rsidRPr="00A377CF">
        <w:rPr>
          <w:rFonts w:ascii="Gadugi" w:hAnsi="Gadugi" w:cs="Century Gothic"/>
          <w:sz w:val="24"/>
          <w:szCs w:val="24"/>
        </w:rPr>
        <w:t>El Defensor del Pueblo, regional Risaralda, aludió a su falta de competencia y, por ello, debe ser desvinculado</w:t>
      </w:r>
      <w:r w:rsidR="00A026AD" w:rsidRPr="00A377CF">
        <w:rPr>
          <w:rStyle w:val="Refdenotaalpie"/>
          <w:rFonts w:ascii="Gadugi" w:hAnsi="Gadugi"/>
          <w:sz w:val="24"/>
          <w:szCs w:val="24"/>
        </w:rPr>
        <w:footnoteReference w:id="4"/>
      </w:r>
      <w:r w:rsidR="004654D3" w:rsidRPr="00A377CF">
        <w:rPr>
          <w:rFonts w:ascii="Gadugi" w:hAnsi="Gadugi" w:cs="Century Gothic"/>
          <w:sz w:val="24"/>
          <w:szCs w:val="24"/>
        </w:rPr>
        <w:t>.</w:t>
      </w:r>
      <w:r w:rsidR="00005B50" w:rsidRPr="00A377CF">
        <w:rPr>
          <w:rFonts w:ascii="Gadugi" w:hAnsi="Gadugi" w:cs="Century Gothic"/>
          <w:sz w:val="24"/>
          <w:szCs w:val="24"/>
        </w:rPr>
        <w:t xml:space="preserve"> </w:t>
      </w:r>
    </w:p>
    <w:p w14:paraId="3E178FD3" w14:textId="4276F1CE" w:rsidR="00005B50" w:rsidRPr="00A377CF" w:rsidRDefault="00005B50" w:rsidP="00A377CF">
      <w:pPr>
        <w:spacing w:line="276" w:lineRule="auto"/>
        <w:jc w:val="both"/>
        <w:rPr>
          <w:rFonts w:ascii="Gadugi" w:hAnsi="Gadugi" w:cs="Century Gothic"/>
          <w:sz w:val="24"/>
          <w:szCs w:val="24"/>
        </w:rPr>
      </w:pPr>
    </w:p>
    <w:p w14:paraId="222827D2" w14:textId="48BC061A" w:rsidR="00005B50" w:rsidRPr="00A377CF" w:rsidRDefault="00005B50" w:rsidP="00A377CF">
      <w:pPr>
        <w:spacing w:line="276" w:lineRule="auto"/>
        <w:jc w:val="both"/>
        <w:rPr>
          <w:rFonts w:ascii="Gadugi" w:hAnsi="Gadugi" w:cs="Century Gothic"/>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004654D3" w:rsidRPr="00A377CF">
        <w:rPr>
          <w:rFonts w:ascii="Gadugi" w:hAnsi="Gadugi" w:cs="Century Gothic"/>
          <w:sz w:val="24"/>
          <w:szCs w:val="24"/>
        </w:rPr>
        <w:t xml:space="preserve">Confiar Cooperativa Financiera, señaló igualmente su falta de competencia para pronunciarse sobre lo pedido y dijo que, en todo caso, el Juzgado </w:t>
      </w:r>
      <w:r w:rsidR="00B9767B" w:rsidRPr="00A377CF">
        <w:rPr>
          <w:rFonts w:ascii="Gadugi" w:hAnsi="Gadugi" w:cs="Century Gothic"/>
          <w:sz w:val="24"/>
          <w:szCs w:val="24"/>
        </w:rPr>
        <w:t>ya dijo cuándo se liquidarían las costas</w:t>
      </w:r>
      <w:r w:rsidR="00A026AD" w:rsidRPr="00A377CF">
        <w:rPr>
          <w:rStyle w:val="Refdenotaalpie"/>
          <w:rFonts w:ascii="Gadugi" w:hAnsi="Gadugi"/>
          <w:sz w:val="24"/>
          <w:szCs w:val="24"/>
        </w:rPr>
        <w:footnoteReference w:id="5"/>
      </w:r>
      <w:r w:rsidR="00B9767B" w:rsidRPr="00A377CF">
        <w:rPr>
          <w:rFonts w:ascii="Gadugi" w:hAnsi="Gadugi" w:cs="Century Gothic"/>
          <w:sz w:val="24"/>
          <w:szCs w:val="24"/>
        </w:rPr>
        <w:t>.</w:t>
      </w:r>
      <w:r w:rsidRPr="00A377CF">
        <w:rPr>
          <w:rFonts w:ascii="Gadugi" w:hAnsi="Gadugi" w:cs="Century Gothic"/>
          <w:sz w:val="24"/>
          <w:szCs w:val="24"/>
        </w:rPr>
        <w:t xml:space="preserve"> </w:t>
      </w:r>
    </w:p>
    <w:p w14:paraId="2B095116" w14:textId="77777777" w:rsidR="00005B50" w:rsidRPr="00A377CF" w:rsidRDefault="00005B50" w:rsidP="00A377CF">
      <w:pPr>
        <w:spacing w:line="276" w:lineRule="auto"/>
        <w:jc w:val="both"/>
        <w:rPr>
          <w:rFonts w:ascii="Gadugi" w:hAnsi="Gadugi" w:cs="Century Gothic"/>
          <w:sz w:val="24"/>
          <w:szCs w:val="24"/>
        </w:rPr>
      </w:pPr>
    </w:p>
    <w:p w14:paraId="40BEC28C" w14:textId="7B3227B6" w:rsidR="00005B50" w:rsidRPr="00A377CF" w:rsidRDefault="00005B50" w:rsidP="00A377CF">
      <w:pPr>
        <w:spacing w:line="276" w:lineRule="auto"/>
        <w:jc w:val="both"/>
        <w:rPr>
          <w:rFonts w:ascii="Gadugi" w:hAnsi="Gadugi" w:cs="Century Gothic"/>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00B9767B" w:rsidRPr="00A377CF">
        <w:rPr>
          <w:rFonts w:ascii="Gadugi" w:hAnsi="Gadugi" w:cs="Century Gothic"/>
          <w:sz w:val="24"/>
          <w:szCs w:val="24"/>
        </w:rPr>
        <w:t>El municipio de Pereira, dijo atenerse a lo que resultara probado</w:t>
      </w:r>
      <w:r w:rsidR="00A026AD" w:rsidRPr="00A377CF">
        <w:rPr>
          <w:rStyle w:val="Refdenotaalpie"/>
          <w:rFonts w:ascii="Gadugi" w:hAnsi="Gadugi"/>
          <w:sz w:val="24"/>
          <w:szCs w:val="24"/>
        </w:rPr>
        <w:footnoteReference w:id="6"/>
      </w:r>
      <w:r w:rsidR="00B9767B" w:rsidRPr="00A377CF">
        <w:rPr>
          <w:rFonts w:ascii="Gadugi" w:hAnsi="Gadugi" w:cs="Century Gothic"/>
          <w:sz w:val="24"/>
          <w:szCs w:val="24"/>
        </w:rPr>
        <w:t>.</w:t>
      </w:r>
    </w:p>
    <w:p w14:paraId="377A0142" w14:textId="1C30E8F6" w:rsidR="00005B50" w:rsidRPr="00A377CF" w:rsidRDefault="00005B50" w:rsidP="00A377CF">
      <w:pPr>
        <w:spacing w:line="276" w:lineRule="auto"/>
        <w:jc w:val="both"/>
        <w:rPr>
          <w:rFonts w:ascii="Gadugi" w:hAnsi="Gadugi" w:cs="Century Gothic"/>
          <w:sz w:val="24"/>
          <w:szCs w:val="24"/>
        </w:rPr>
      </w:pPr>
    </w:p>
    <w:p w14:paraId="30479FC8" w14:textId="77777777" w:rsidR="00B9767B" w:rsidRPr="00A377CF" w:rsidRDefault="00005B50" w:rsidP="00A377CF">
      <w:pPr>
        <w:spacing w:line="276" w:lineRule="auto"/>
        <w:jc w:val="both"/>
        <w:rPr>
          <w:rFonts w:ascii="Gadugi" w:hAnsi="Gadugi" w:cs="Century Gothic"/>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p>
    <w:p w14:paraId="57A77BCD" w14:textId="249CD943" w:rsidR="00DF5E59" w:rsidRPr="00A377CF" w:rsidRDefault="0056018F" w:rsidP="00A377CF">
      <w:pPr>
        <w:spacing w:line="276" w:lineRule="auto"/>
        <w:jc w:val="both"/>
        <w:rPr>
          <w:rFonts w:ascii="Gadugi" w:hAnsi="Gadugi" w:cs="Arial"/>
          <w:b/>
          <w:sz w:val="24"/>
          <w:szCs w:val="24"/>
        </w:rPr>
      </w:pPr>
      <w:r w:rsidRPr="00A377CF">
        <w:rPr>
          <w:rFonts w:ascii="Gadugi" w:hAnsi="Gadugi" w:cs="Arial"/>
          <w:b/>
          <w:sz w:val="24"/>
          <w:szCs w:val="24"/>
        </w:rPr>
        <w:tab/>
      </w:r>
      <w:r w:rsidRPr="00A377CF">
        <w:rPr>
          <w:rFonts w:ascii="Gadugi" w:hAnsi="Gadugi" w:cs="Arial"/>
          <w:b/>
          <w:sz w:val="24"/>
          <w:szCs w:val="24"/>
        </w:rPr>
        <w:tab/>
      </w:r>
      <w:r w:rsidRPr="00A377CF">
        <w:rPr>
          <w:rFonts w:ascii="Gadugi" w:hAnsi="Gadugi" w:cs="Arial"/>
          <w:b/>
          <w:sz w:val="24"/>
          <w:szCs w:val="24"/>
        </w:rPr>
        <w:tab/>
      </w:r>
      <w:r w:rsidRPr="00A377CF">
        <w:rPr>
          <w:rFonts w:ascii="Gadugi" w:hAnsi="Gadugi" w:cs="Arial"/>
          <w:b/>
          <w:sz w:val="24"/>
          <w:szCs w:val="24"/>
        </w:rPr>
        <w:tab/>
      </w:r>
      <w:r w:rsidR="00DF5E59" w:rsidRPr="00A377CF">
        <w:rPr>
          <w:rFonts w:ascii="Gadugi" w:hAnsi="Gadugi" w:cs="Arial"/>
          <w:b/>
          <w:sz w:val="24"/>
          <w:szCs w:val="24"/>
        </w:rPr>
        <w:t>CONSIDERACIONES</w:t>
      </w:r>
    </w:p>
    <w:p w14:paraId="57A77BCE" w14:textId="77777777" w:rsidR="00DF5E59" w:rsidRPr="00A377CF" w:rsidRDefault="00DF5E59" w:rsidP="00A377CF">
      <w:pPr>
        <w:pStyle w:val="Textoindependiente22"/>
        <w:spacing w:line="276" w:lineRule="auto"/>
        <w:rPr>
          <w:rFonts w:ascii="Gadugi" w:hAnsi="Gadugi"/>
          <w:szCs w:val="24"/>
        </w:rPr>
      </w:pPr>
    </w:p>
    <w:p w14:paraId="57A77BCF" w14:textId="77777777" w:rsidR="0035768F" w:rsidRPr="00A377CF" w:rsidRDefault="0035768F" w:rsidP="00A377CF">
      <w:pPr>
        <w:pStyle w:val="Textoindependiente22"/>
        <w:spacing w:line="276" w:lineRule="auto"/>
        <w:rPr>
          <w:rFonts w:ascii="Gadugi" w:hAnsi="Gadugi"/>
          <w:szCs w:val="24"/>
        </w:rPr>
      </w:pPr>
    </w:p>
    <w:p w14:paraId="57A77BD0" w14:textId="4CCE4B01" w:rsidR="00DF5E59" w:rsidRPr="00A377CF" w:rsidRDefault="00DF5E59" w:rsidP="00A377CF">
      <w:pPr>
        <w:pStyle w:val="Textoindependiente22"/>
        <w:spacing w:line="276" w:lineRule="auto"/>
        <w:rPr>
          <w:rFonts w:ascii="Gadugi" w:hAnsi="Gadugi"/>
          <w:szCs w:val="24"/>
        </w:rPr>
      </w:pPr>
      <w:r w:rsidRPr="00A377CF">
        <w:rPr>
          <w:rFonts w:ascii="Gadugi" w:hAnsi="Gadugi"/>
          <w:szCs w:val="24"/>
        </w:rPr>
        <w:t>La acción de tutela se constituye en un medio ágil y expedito</w:t>
      </w:r>
      <w:r w:rsidR="00A026AD" w:rsidRPr="00A377CF">
        <w:rPr>
          <w:rFonts w:ascii="Gadugi" w:hAnsi="Gadugi"/>
          <w:szCs w:val="24"/>
        </w:rPr>
        <w:t xml:space="preserve"> </w:t>
      </w:r>
      <w:r w:rsidRPr="00A377CF">
        <w:rPr>
          <w:rFonts w:ascii="Gadugi" w:hAnsi="Gadugi"/>
          <w:szCs w:val="24"/>
        </w:rPr>
        <w:t>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7A77BD1" w14:textId="77777777" w:rsidR="00DF5E59" w:rsidRPr="00A377CF" w:rsidRDefault="00DF5E59" w:rsidP="00A377CF">
      <w:pPr>
        <w:spacing w:line="276" w:lineRule="auto"/>
        <w:ind w:firstLine="2835"/>
        <w:jc w:val="both"/>
        <w:rPr>
          <w:rFonts w:ascii="Gadugi" w:hAnsi="Gadugi"/>
          <w:sz w:val="24"/>
          <w:szCs w:val="24"/>
        </w:rPr>
      </w:pPr>
      <w:r w:rsidRPr="00A377CF">
        <w:rPr>
          <w:rFonts w:ascii="Gadugi" w:hAnsi="Gadugi"/>
          <w:sz w:val="24"/>
          <w:szCs w:val="24"/>
        </w:rPr>
        <w:lastRenderedPageBreak/>
        <w:t xml:space="preserve">  </w:t>
      </w: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p>
    <w:p w14:paraId="0C0F46DD" w14:textId="46AFF59D" w:rsidR="00561C0C" w:rsidRPr="00A377CF" w:rsidRDefault="00DF5E59" w:rsidP="00A377CF">
      <w:pPr>
        <w:spacing w:line="276" w:lineRule="auto"/>
        <w:ind w:firstLine="2835"/>
        <w:jc w:val="both"/>
        <w:rPr>
          <w:rFonts w:ascii="Gadugi" w:hAnsi="Gadugi" w:cs="Century Gothic"/>
          <w:bCs/>
          <w:sz w:val="24"/>
          <w:szCs w:val="24"/>
        </w:rPr>
      </w:pPr>
      <w:r w:rsidRPr="00A377CF">
        <w:rPr>
          <w:rFonts w:ascii="Gadugi" w:hAnsi="Gadugi"/>
          <w:sz w:val="24"/>
          <w:szCs w:val="24"/>
        </w:rPr>
        <w:t xml:space="preserve">Acude en esta oportunidad el </w:t>
      </w:r>
      <w:r w:rsidR="004A2C5A" w:rsidRPr="00A377CF">
        <w:rPr>
          <w:rFonts w:ascii="Gadugi" w:hAnsi="Gadugi"/>
          <w:sz w:val="24"/>
          <w:szCs w:val="24"/>
        </w:rPr>
        <w:t xml:space="preserve">señor Arias </w:t>
      </w:r>
      <w:proofErr w:type="spellStart"/>
      <w:r w:rsidR="004A2C5A" w:rsidRPr="00A377CF">
        <w:rPr>
          <w:rFonts w:ascii="Gadugi" w:hAnsi="Gadugi"/>
          <w:sz w:val="24"/>
          <w:szCs w:val="24"/>
        </w:rPr>
        <w:t>Idárraga</w:t>
      </w:r>
      <w:proofErr w:type="spellEnd"/>
      <w:r w:rsidRPr="00A377CF">
        <w:rPr>
          <w:rFonts w:ascii="Gadugi" w:hAnsi="Gadugi"/>
          <w:sz w:val="24"/>
          <w:szCs w:val="24"/>
        </w:rPr>
        <w:t>, en procura de la protección de su derecho fundamental al debido proceso</w:t>
      </w:r>
      <w:r w:rsidR="001B3777" w:rsidRPr="00A377CF">
        <w:rPr>
          <w:rFonts w:ascii="Gadugi" w:hAnsi="Gadugi"/>
          <w:sz w:val="24"/>
          <w:szCs w:val="24"/>
        </w:rPr>
        <w:t xml:space="preserve"> </w:t>
      </w:r>
      <w:r w:rsidR="00FA0A60" w:rsidRPr="00A377CF">
        <w:rPr>
          <w:rFonts w:ascii="Gadugi" w:hAnsi="Gadugi"/>
          <w:sz w:val="24"/>
          <w:szCs w:val="24"/>
        </w:rPr>
        <w:t>bajo la premisa de que</w:t>
      </w:r>
      <w:r w:rsidR="00B9767B" w:rsidRPr="00A377CF">
        <w:rPr>
          <w:rFonts w:ascii="Gadugi" w:hAnsi="Gadugi"/>
          <w:sz w:val="24"/>
          <w:szCs w:val="24"/>
        </w:rPr>
        <w:t xml:space="preserve"> el juzgado se abstiene de liquidar las costas del proceso, en la mencionada acción popular </w:t>
      </w:r>
      <w:r w:rsidR="00B9767B" w:rsidRPr="00A377CF">
        <w:rPr>
          <w:rFonts w:ascii="Gadugi" w:hAnsi="Gadugi" w:cs="Century Gothic"/>
          <w:bCs/>
          <w:sz w:val="24"/>
          <w:szCs w:val="24"/>
        </w:rPr>
        <w:t>2019-00181-00.</w:t>
      </w:r>
    </w:p>
    <w:p w14:paraId="676E5E0D" w14:textId="77777777" w:rsidR="00B9767B" w:rsidRPr="00A377CF" w:rsidRDefault="00B9767B" w:rsidP="00A377CF">
      <w:pPr>
        <w:spacing w:line="276" w:lineRule="auto"/>
        <w:ind w:firstLine="2835"/>
        <w:jc w:val="both"/>
        <w:rPr>
          <w:rFonts w:ascii="Gadugi" w:hAnsi="Gadugi" w:cs="Century Gothic"/>
          <w:sz w:val="24"/>
          <w:szCs w:val="24"/>
        </w:rPr>
      </w:pPr>
    </w:p>
    <w:p w14:paraId="3A44817A" w14:textId="1672313E" w:rsidR="00A210FF" w:rsidRPr="00A377CF" w:rsidRDefault="00FA0A60" w:rsidP="00A377CF">
      <w:pPr>
        <w:spacing w:line="276" w:lineRule="auto"/>
        <w:ind w:firstLine="2835"/>
        <w:jc w:val="both"/>
        <w:rPr>
          <w:rFonts w:ascii="Gadugi" w:hAnsi="Gadugi" w:cs="Century Gothic"/>
          <w:sz w:val="24"/>
          <w:szCs w:val="24"/>
        </w:rPr>
      </w:pPr>
      <w:r w:rsidRPr="00A377CF">
        <w:rPr>
          <w:rFonts w:ascii="Gadugi" w:hAnsi="Gadugi" w:cs="Arial"/>
          <w:sz w:val="24"/>
          <w:szCs w:val="24"/>
        </w:rPr>
        <w:t xml:space="preserve">La legitimación por activa es clara, pues el accionante es demandante en el proceso en el que, según afirma, se violentaron sus garantías fundamentales; también lo es por pasiva, ya que en el Juzgado accionado se tramita la acción popular que se pone bajo el análisis del juez constitucional; </w:t>
      </w:r>
      <w:r w:rsidR="00A210FF" w:rsidRPr="00A377CF">
        <w:rPr>
          <w:rFonts w:ascii="Gadugi" w:hAnsi="Gadugi" w:cs="Arial"/>
          <w:sz w:val="24"/>
          <w:szCs w:val="24"/>
        </w:rPr>
        <w:t xml:space="preserve">además </w:t>
      </w:r>
      <w:r w:rsidR="003E11C3" w:rsidRPr="00A377CF">
        <w:rPr>
          <w:rFonts w:ascii="Gadugi" w:hAnsi="Gadugi" w:cs="Arial"/>
          <w:sz w:val="24"/>
          <w:szCs w:val="24"/>
        </w:rPr>
        <w:t xml:space="preserve">los otros intervinientes también lo son dentro de ese trámite constitucional. </w:t>
      </w:r>
    </w:p>
    <w:p w14:paraId="1E81F044" w14:textId="77777777" w:rsidR="00A210FF" w:rsidRPr="00A377CF" w:rsidRDefault="00A210FF" w:rsidP="00A377CF">
      <w:pPr>
        <w:shd w:val="clear" w:color="auto" w:fill="FFFFFF"/>
        <w:spacing w:line="276" w:lineRule="auto"/>
        <w:jc w:val="both"/>
        <w:rPr>
          <w:rFonts w:ascii="Gadugi" w:hAnsi="Gadugi" w:cs="Century Gothic"/>
          <w:sz w:val="24"/>
          <w:szCs w:val="24"/>
        </w:rPr>
      </w:pPr>
    </w:p>
    <w:p w14:paraId="57A77BD4" w14:textId="1F04892D" w:rsidR="004F2A55" w:rsidRPr="00A377CF" w:rsidRDefault="00DF5E59" w:rsidP="00A377CF">
      <w:pPr>
        <w:shd w:val="clear" w:color="auto" w:fill="FFFFFF"/>
        <w:spacing w:line="276" w:lineRule="auto"/>
        <w:jc w:val="both"/>
        <w:rPr>
          <w:rFonts w:ascii="Gadugi" w:hAnsi="Gadugi" w:cs="Arial"/>
          <w:sz w:val="24"/>
          <w:szCs w:val="24"/>
        </w:rPr>
      </w:pP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Pr="00A377CF">
        <w:rPr>
          <w:rFonts w:ascii="Gadugi" w:hAnsi="Gadugi" w:cs="Century Gothic"/>
          <w:sz w:val="24"/>
          <w:szCs w:val="24"/>
        </w:rPr>
        <w:tab/>
      </w:r>
      <w:r w:rsidR="004F2A55" w:rsidRPr="00A377CF">
        <w:rPr>
          <w:rFonts w:ascii="Gadugi" w:hAnsi="Gadugi" w:cs="Arial"/>
          <w:sz w:val="24"/>
          <w:szCs w:val="24"/>
        </w:rPr>
        <w:t xml:space="preserve">Reiteradamente se ha expuesto que a pesar de la </w:t>
      </w:r>
      <w:proofErr w:type="spellStart"/>
      <w:r w:rsidR="004F2A55" w:rsidRPr="00A377CF">
        <w:rPr>
          <w:rFonts w:ascii="Gadugi" w:hAnsi="Gadugi" w:cs="Arial"/>
          <w:sz w:val="24"/>
          <w:szCs w:val="24"/>
        </w:rPr>
        <w:t>inexequibilidad</w:t>
      </w:r>
      <w:proofErr w:type="spellEnd"/>
      <w:r w:rsidR="004F2A55" w:rsidRPr="00A377CF">
        <w:rPr>
          <w:rFonts w:ascii="Gadugi" w:hAnsi="Gadugi" w:cs="Arial"/>
          <w:sz w:val="24"/>
          <w:szCs w:val="24"/>
        </w:rPr>
        <w:t xml:space="preserve">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Así, por ejemplo, en las sentencias SU-222 de 2016, </w:t>
      </w:r>
      <w:proofErr w:type="spellStart"/>
      <w:r w:rsidR="004F2A55" w:rsidRPr="00A377CF">
        <w:rPr>
          <w:rFonts w:ascii="Gadugi" w:hAnsi="Gadugi" w:cs="Arial"/>
          <w:sz w:val="24"/>
          <w:szCs w:val="24"/>
        </w:rPr>
        <w:t>SU573</w:t>
      </w:r>
      <w:proofErr w:type="spellEnd"/>
      <w:r w:rsidR="004F2A55" w:rsidRPr="00A377CF">
        <w:rPr>
          <w:rFonts w:ascii="Gadugi" w:hAnsi="Gadugi" w:cs="Arial"/>
          <w:sz w:val="24"/>
          <w:szCs w:val="24"/>
        </w:rPr>
        <w:t xml:space="preserve"> de 2017 y </w:t>
      </w:r>
      <w:proofErr w:type="spellStart"/>
      <w:r w:rsidR="004F2A55" w:rsidRPr="00A377CF">
        <w:rPr>
          <w:rFonts w:ascii="Gadugi" w:hAnsi="Gadugi" w:cs="Arial"/>
          <w:sz w:val="24"/>
          <w:szCs w:val="24"/>
        </w:rPr>
        <w:t>SU004</w:t>
      </w:r>
      <w:proofErr w:type="spellEnd"/>
      <w:r w:rsidR="004F2A55" w:rsidRPr="00A377CF">
        <w:rPr>
          <w:rFonts w:ascii="Gadugi" w:hAnsi="Gadugi" w:cs="Arial"/>
          <w:sz w:val="24"/>
          <w:szCs w:val="24"/>
        </w:rPr>
        <w:t xml:space="preserve"> de 2018, reiteradas en múltiples providencias, entre las recientes, las sentencias  T-049-19, T-075-19, T-008-20, T-053-20, todas aludiendo a la C-590 de 2005, recordó que 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 Y 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p>
    <w:p w14:paraId="79D6E1EA" w14:textId="77777777" w:rsidR="004A2C5A" w:rsidRPr="00A377CF" w:rsidRDefault="004A2C5A" w:rsidP="00A377CF">
      <w:pPr>
        <w:spacing w:line="276" w:lineRule="auto"/>
        <w:jc w:val="both"/>
        <w:rPr>
          <w:rFonts w:ascii="Gadugi" w:hAnsi="Gadugi"/>
          <w:sz w:val="24"/>
          <w:szCs w:val="24"/>
        </w:rPr>
      </w:pPr>
    </w:p>
    <w:p w14:paraId="1D27E8F4" w14:textId="77777777" w:rsidR="003E11C3" w:rsidRPr="00A377CF" w:rsidRDefault="004A2C5A" w:rsidP="00A377CF">
      <w:pPr>
        <w:spacing w:line="276" w:lineRule="auto"/>
        <w:jc w:val="both"/>
        <w:rPr>
          <w:rFonts w:ascii="Gadugi" w:hAnsi="Gadugi" w:cs="Century Gothic"/>
          <w:bCs/>
          <w:sz w:val="24"/>
          <w:szCs w:val="24"/>
        </w:rPr>
      </w:pP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r w:rsidR="005F308F" w:rsidRPr="00A377CF">
        <w:rPr>
          <w:rFonts w:ascii="Gadugi" w:hAnsi="Gadugi"/>
          <w:sz w:val="24"/>
          <w:szCs w:val="24"/>
        </w:rPr>
        <w:t>Dentro de l</w:t>
      </w:r>
      <w:r w:rsidRPr="00A377CF">
        <w:rPr>
          <w:rFonts w:ascii="Gadugi" w:hAnsi="Gadugi"/>
          <w:sz w:val="24"/>
          <w:szCs w:val="24"/>
        </w:rPr>
        <w:t>a acción popular que en concreto se analiza</w:t>
      </w:r>
      <w:r w:rsidR="003E11C3" w:rsidRPr="00A377CF">
        <w:rPr>
          <w:rFonts w:ascii="Gadugi" w:hAnsi="Gadugi"/>
          <w:sz w:val="24"/>
          <w:szCs w:val="24"/>
        </w:rPr>
        <w:t xml:space="preserve"> -</w:t>
      </w:r>
      <w:r w:rsidR="003E11C3" w:rsidRPr="00A377CF">
        <w:rPr>
          <w:rFonts w:ascii="Gadugi" w:hAnsi="Gadugi" w:cs="Century Gothic"/>
          <w:bCs/>
          <w:sz w:val="24"/>
          <w:szCs w:val="24"/>
        </w:rPr>
        <w:t xml:space="preserve">2019-00181-00- el 13 de julio de 2020 se profirió la sentencia de primera instancia, favorable a las pretensiones del actor popular y contraria a los de Confiar Cooperativa Financiera. </w:t>
      </w:r>
    </w:p>
    <w:p w14:paraId="3FEE1E16" w14:textId="77777777" w:rsidR="003E11C3" w:rsidRPr="00A377CF" w:rsidRDefault="003E11C3" w:rsidP="00A377CF">
      <w:pPr>
        <w:spacing w:line="276" w:lineRule="auto"/>
        <w:jc w:val="both"/>
        <w:rPr>
          <w:rFonts w:ascii="Gadugi" w:hAnsi="Gadugi" w:cs="Century Gothic"/>
          <w:bCs/>
          <w:sz w:val="24"/>
          <w:szCs w:val="24"/>
        </w:rPr>
      </w:pPr>
    </w:p>
    <w:p w14:paraId="3C9CB1F3" w14:textId="1E0A8E7A" w:rsidR="003E11C3" w:rsidRPr="00A377CF" w:rsidRDefault="003E11C3" w:rsidP="00A377CF">
      <w:pPr>
        <w:spacing w:line="276" w:lineRule="auto"/>
        <w:jc w:val="both"/>
        <w:rPr>
          <w:rFonts w:ascii="Gadugi" w:hAnsi="Gadugi" w:cs="Century Gothic"/>
          <w:bCs/>
          <w:sz w:val="24"/>
          <w:szCs w:val="24"/>
        </w:rPr>
      </w:pPr>
      <w:r w:rsidRPr="00A377CF">
        <w:rPr>
          <w:rFonts w:ascii="Gadugi" w:hAnsi="Gadugi" w:cs="Century Gothic"/>
          <w:bCs/>
          <w:sz w:val="24"/>
          <w:szCs w:val="24"/>
        </w:rPr>
        <w:lastRenderedPageBreak/>
        <w:t xml:space="preserve">  </w:t>
      </w:r>
      <w:r w:rsidRPr="00A377CF">
        <w:rPr>
          <w:rFonts w:ascii="Gadugi" w:hAnsi="Gadugi" w:cs="Century Gothic"/>
          <w:bCs/>
          <w:sz w:val="24"/>
          <w:szCs w:val="24"/>
        </w:rPr>
        <w:tab/>
      </w:r>
      <w:r w:rsidRPr="00A377CF">
        <w:rPr>
          <w:rFonts w:ascii="Gadugi" w:hAnsi="Gadugi" w:cs="Century Gothic"/>
          <w:bCs/>
          <w:sz w:val="24"/>
          <w:szCs w:val="24"/>
        </w:rPr>
        <w:tab/>
      </w:r>
      <w:r w:rsidRPr="00A377CF">
        <w:rPr>
          <w:rFonts w:ascii="Gadugi" w:hAnsi="Gadugi" w:cs="Century Gothic"/>
          <w:bCs/>
          <w:sz w:val="24"/>
          <w:szCs w:val="24"/>
        </w:rPr>
        <w:tab/>
      </w:r>
      <w:r w:rsidRPr="00A377CF">
        <w:rPr>
          <w:rFonts w:ascii="Gadugi" w:hAnsi="Gadugi" w:cs="Century Gothic"/>
          <w:bCs/>
          <w:sz w:val="24"/>
          <w:szCs w:val="24"/>
        </w:rPr>
        <w:tab/>
        <w:t>La decisión fue recurrida por el extremo actor</w:t>
      </w:r>
      <w:r w:rsidRPr="00A377CF">
        <w:rPr>
          <w:rStyle w:val="Refdenotaalpie"/>
          <w:rFonts w:ascii="Gadugi" w:hAnsi="Gadugi"/>
          <w:bCs/>
          <w:sz w:val="24"/>
          <w:szCs w:val="24"/>
        </w:rPr>
        <w:footnoteReference w:id="7"/>
      </w:r>
      <w:r w:rsidRPr="00A377CF">
        <w:rPr>
          <w:rFonts w:ascii="Gadugi" w:hAnsi="Gadugi" w:cs="Century Gothic"/>
          <w:bCs/>
          <w:sz w:val="24"/>
          <w:szCs w:val="24"/>
        </w:rPr>
        <w:t>, quien luego presentó una solicitud para que se procediera a la liquidación de las costas impuestas a su favor y se aceptara una cesión de las mismas</w:t>
      </w:r>
      <w:r w:rsidR="003B0FF2" w:rsidRPr="00A377CF">
        <w:rPr>
          <w:rStyle w:val="Refdenotaalpie"/>
          <w:rFonts w:ascii="Gadugi" w:hAnsi="Gadugi"/>
          <w:bCs/>
          <w:sz w:val="24"/>
          <w:szCs w:val="24"/>
        </w:rPr>
        <w:footnoteReference w:id="8"/>
      </w:r>
      <w:r w:rsidRPr="00A377CF">
        <w:rPr>
          <w:rFonts w:ascii="Gadugi" w:hAnsi="Gadugi" w:cs="Century Gothic"/>
          <w:bCs/>
          <w:sz w:val="24"/>
          <w:szCs w:val="24"/>
        </w:rPr>
        <w:t xml:space="preserve">. </w:t>
      </w:r>
    </w:p>
    <w:p w14:paraId="1608928D" w14:textId="61EAE67D" w:rsidR="003B0FF2" w:rsidRPr="00A377CF" w:rsidRDefault="003B0FF2" w:rsidP="00A377CF">
      <w:pPr>
        <w:spacing w:line="276" w:lineRule="auto"/>
        <w:jc w:val="both"/>
        <w:rPr>
          <w:rFonts w:ascii="Gadugi" w:hAnsi="Gadugi" w:cs="Century Gothic"/>
          <w:bCs/>
          <w:sz w:val="24"/>
          <w:szCs w:val="24"/>
        </w:rPr>
      </w:pPr>
    </w:p>
    <w:p w14:paraId="0B993D41" w14:textId="26B01E0D" w:rsidR="003B0FF2" w:rsidRPr="00A377CF" w:rsidRDefault="003B0FF2" w:rsidP="00A377CF">
      <w:pPr>
        <w:spacing w:line="276" w:lineRule="auto"/>
        <w:jc w:val="both"/>
        <w:rPr>
          <w:rFonts w:ascii="Gadugi" w:hAnsi="Gadugi" w:cs="Century Gothic"/>
          <w:bCs/>
          <w:sz w:val="24"/>
          <w:szCs w:val="24"/>
        </w:rPr>
      </w:pPr>
      <w:r w:rsidRPr="00A377CF">
        <w:rPr>
          <w:rFonts w:ascii="Gadugi" w:hAnsi="Gadugi" w:cs="Century Gothic"/>
          <w:bCs/>
          <w:sz w:val="24"/>
          <w:szCs w:val="24"/>
        </w:rPr>
        <w:t xml:space="preserve">  </w:t>
      </w:r>
      <w:r w:rsidRPr="00A377CF">
        <w:rPr>
          <w:rFonts w:ascii="Gadugi" w:hAnsi="Gadugi" w:cs="Century Gothic"/>
          <w:bCs/>
          <w:sz w:val="24"/>
          <w:szCs w:val="24"/>
        </w:rPr>
        <w:tab/>
      </w:r>
      <w:r w:rsidRPr="00A377CF">
        <w:rPr>
          <w:rFonts w:ascii="Gadugi" w:hAnsi="Gadugi" w:cs="Century Gothic"/>
          <w:bCs/>
          <w:sz w:val="24"/>
          <w:szCs w:val="24"/>
        </w:rPr>
        <w:tab/>
      </w:r>
      <w:r w:rsidRPr="00A377CF">
        <w:rPr>
          <w:rFonts w:ascii="Gadugi" w:hAnsi="Gadugi" w:cs="Century Gothic"/>
          <w:bCs/>
          <w:sz w:val="24"/>
          <w:szCs w:val="24"/>
        </w:rPr>
        <w:tab/>
      </w:r>
      <w:r w:rsidRPr="00A377CF">
        <w:rPr>
          <w:rFonts w:ascii="Gadugi" w:hAnsi="Gadugi" w:cs="Century Gothic"/>
          <w:bCs/>
          <w:sz w:val="24"/>
          <w:szCs w:val="24"/>
        </w:rPr>
        <w:tab/>
        <w:t xml:space="preserve">El 31 de agosto pasado, se profirió un auto en el que, por una parte, se reiteró que al demandante ya se le había resuelto una petición de digitalización del expediente; por la otra, se concedió el recurso de apelación que el mismo actor propuso; y, además, se le informó que a la liquidación de costas se procedería una vez llegara el momento procesal oportuno. Contra esa decisión, ningún recurso se interpuso. </w:t>
      </w:r>
    </w:p>
    <w:p w14:paraId="516FC97A" w14:textId="489137CB" w:rsidR="003E11C3" w:rsidRPr="00A377CF" w:rsidRDefault="003E11C3" w:rsidP="00A377CF">
      <w:pPr>
        <w:spacing w:line="276" w:lineRule="auto"/>
        <w:jc w:val="both"/>
        <w:rPr>
          <w:rFonts w:ascii="Gadugi" w:hAnsi="Gadugi" w:cs="Century Gothic"/>
          <w:bCs/>
          <w:sz w:val="24"/>
          <w:szCs w:val="24"/>
        </w:rPr>
      </w:pPr>
    </w:p>
    <w:p w14:paraId="52801898" w14:textId="68468F73" w:rsidR="003B0FF2" w:rsidRPr="00A377CF" w:rsidRDefault="003B0FF2" w:rsidP="00A377CF">
      <w:pPr>
        <w:pStyle w:val="Sinespaciado4"/>
        <w:spacing w:line="276" w:lineRule="auto"/>
        <w:ind w:right="51"/>
        <w:jc w:val="both"/>
        <w:rPr>
          <w:rFonts w:ascii="Gadugi" w:hAnsi="Gadugi" w:cs="Arial"/>
          <w:i/>
          <w:shd w:val="clear" w:color="auto" w:fill="FFFFFF"/>
        </w:rPr>
      </w:pPr>
      <w:r w:rsidRPr="00A377CF">
        <w:rPr>
          <w:rFonts w:ascii="Gadugi" w:hAnsi="Gadugi"/>
          <w:lang w:val="es-CO"/>
        </w:rPr>
        <w:t xml:space="preserve">  </w:t>
      </w:r>
      <w:r w:rsidRPr="00A377CF">
        <w:rPr>
          <w:rFonts w:ascii="Gadugi" w:hAnsi="Gadugi"/>
          <w:lang w:val="es-CO"/>
        </w:rPr>
        <w:tab/>
      </w:r>
      <w:r w:rsidRPr="00A377CF">
        <w:rPr>
          <w:rFonts w:ascii="Gadugi" w:hAnsi="Gadugi"/>
          <w:lang w:val="es-CO"/>
        </w:rPr>
        <w:tab/>
      </w:r>
      <w:r w:rsidRPr="00A377CF">
        <w:rPr>
          <w:rFonts w:ascii="Gadugi" w:hAnsi="Gadugi"/>
          <w:lang w:val="es-CO"/>
        </w:rPr>
        <w:tab/>
      </w:r>
      <w:r w:rsidRPr="00A377CF">
        <w:rPr>
          <w:rFonts w:ascii="Gadugi" w:hAnsi="Gadugi"/>
          <w:lang w:val="es-CO"/>
        </w:rPr>
        <w:tab/>
      </w:r>
      <w:r w:rsidRPr="00A377CF">
        <w:rPr>
          <w:rFonts w:ascii="Gadugi" w:hAnsi="Gadugi"/>
        </w:rPr>
        <w:t xml:space="preserve">Claro es, entonces, que el demandante, para obtener lo que pretende, eligió acudir a esta acción de tutela sin tener en cuenta el carácter residual y subsidiario que la reviste, de conformidad con </w:t>
      </w:r>
      <w:r w:rsidRPr="00A377CF">
        <w:rPr>
          <w:rFonts w:ascii="Gadugi" w:hAnsi="Gadugi" w:cs="Arial"/>
          <w:lang w:val="es-CO"/>
        </w:rPr>
        <w:t xml:space="preserve">el numeral 1º del artículo 6º del Decreto 2591 de 1991, que dispone que el amparo no puede abrirse paso </w:t>
      </w:r>
      <w:r w:rsidRPr="00A377CF">
        <w:rPr>
          <w:rFonts w:ascii="Gadugi" w:hAnsi="Gadugi" w:cs="Arial"/>
          <w:i/>
          <w:shd w:val="clear" w:color="auto" w:fill="FFFFFF"/>
        </w:rPr>
        <w:t>“</w:t>
      </w:r>
      <w:r w:rsidRPr="00A377CF">
        <w:rPr>
          <w:rFonts w:ascii="Gadugi" w:hAnsi="Gadugi" w:cs="Arial"/>
          <w:i/>
          <w:sz w:val="22"/>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A377CF">
        <w:rPr>
          <w:rFonts w:ascii="Gadugi" w:hAnsi="Gadugi" w:cs="Arial"/>
          <w:i/>
          <w:shd w:val="clear" w:color="auto" w:fill="FFFFFF"/>
        </w:rPr>
        <w:t>”.</w:t>
      </w:r>
    </w:p>
    <w:p w14:paraId="173C6426" w14:textId="77777777" w:rsidR="003B0FF2" w:rsidRPr="00A377CF" w:rsidRDefault="003B0FF2" w:rsidP="00A377CF">
      <w:pPr>
        <w:pStyle w:val="Sinespaciado4"/>
        <w:spacing w:line="276" w:lineRule="auto"/>
        <w:ind w:right="51"/>
        <w:jc w:val="both"/>
        <w:rPr>
          <w:rFonts w:ascii="Gadugi" w:hAnsi="Gadugi" w:cs="Arial"/>
          <w:i/>
          <w:shd w:val="clear" w:color="auto" w:fill="FFFFFF"/>
        </w:rPr>
      </w:pPr>
    </w:p>
    <w:p w14:paraId="02DAD2FC" w14:textId="2D21E6AD" w:rsidR="003B0FF2" w:rsidRPr="00A377CF" w:rsidRDefault="003B0FF2" w:rsidP="00A377CF">
      <w:pPr>
        <w:pStyle w:val="Sinespaciado4"/>
        <w:spacing w:line="276" w:lineRule="auto"/>
        <w:ind w:right="51"/>
        <w:jc w:val="both"/>
        <w:rPr>
          <w:rFonts w:ascii="Gadugi" w:hAnsi="Gadugi" w:cs="Arial"/>
          <w:shd w:val="clear" w:color="auto" w:fill="FFFFFF"/>
        </w:rPr>
      </w:pPr>
      <w:r w:rsidRPr="00A377CF">
        <w:rPr>
          <w:rFonts w:ascii="Gadugi" w:hAnsi="Gadugi" w:cs="Arial"/>
          <w:i/>
          <w:shd w:val="clear" w:color="auto" w:fill="FFFFFF"/>
        </w:rPr>
        <w:tab/>
      </w:r>
      <w:r w:rsidRPr="00A377CF">
        <w:rPr>
          <w:rFonts w:ascii="Gadugi" w:hAnsi="Gadugi" w:cs="Arial"/>
          <w:i/>
          <w:shd w:val="clear" w:color="auto" w:fill="FFFFFF"/>
        </w:rPr>
        <w:tab/>
      </w:r>
      <w:r w:rsidRPr="00A377CF">
        <w:rPr>
          <w:rFonts w:ascii="Gadugi" w:hAnsi="Gadugi" w:cs="Arial"/>
          <w:i/>
          <w:shd w:val="clear" w:color="auto" w:fill="FFFFFF"/>
        </w:rPr>
        <w:tab/>
      </w:r>
      <w:r w:rsidRPr="00A377CF">
        <w:rPr>
          <w:rFonts w:ascii="Gadugi" w:hAnsi="Gadugi" w:cs="Arial"/>
          <w:i/>
          <w:shd w:val="clear" w:color="auto" w:fill="FFFFFF"/>
        </w:rPr>
        <w:tab/>
      </w:r>
      <w:r w:rsidRPr="00A377CF">
        <w:rPr>
          <w:rFonts w:ascii="Gadugi" w:hAnsi="Gadugi" w:cs="Arial"/>
          <w:shd w:val="clear" w:color="auto" w:fill="FFFFFF"/>
        </w:rPr>
        <w:t xml:space="preserve">Y es que, contra la providencia que pospuso la liquidación de costas a otra fase del proceso, omitió interponer el recurso de reposición que frente a ella cabía, idóneo para discutir la posición del despacho sobre el particular. </w:t>
      </w:r>
    </w:p>
    <w:p w14:paraId="1FDCC479" w14:textId="77777777" w:rsidR="003B0FF2" w:rsidRPr="00A377CF" w:rsidRDefault="003B0FF2" w:rsidP="00A377CF">
      <w:pPr>
        <w:pStyle w:val="Sinespaciado4"/>
        <w:spacing w:line="276" w:lineRule="auto"/>
        <w:ind w:right="51"/>
        <w:jc w:val="both"/>
        <w:rPr>
          <w:rFonts w:ascii="Gadugi" w:hAnsi="Gadugi" w:cs="Arial"/>
          <w:shd w:val="clear" w:color="auto" w:fill="FFFFFF"/>
        </w:rPr>
      </w:pPr>
    </w:p>
    <w:p w14:paraId="6764927D" w14:textId="5E437309" w:rsidR="003B0FF2" w:rsidRPr="00A377CF" w:rsidRDefault="003B0FF2" w:rsidP="00A377CF">
      <w:pPr>
        <w:pStyle w:val="Sinespaciado4"/>
        <w:spacing w:line="276" w:lineRule="auto"/>
        <w:ind w:right="51"/>
        <w:jc w:val="both"/>
        <w:rPr>
          <w:rFonts w:ascii="Gadugi" w:hAnsi="Gadugi" w:cs="Arial"/>
        </w:rPr>
      </w:pPr>
      <w:r w:rsidRPr="00A377CF">
        <w:rPr>
          <w:rFonts w:ascii="Gadugi" w:hAnsi="Gadugi" w:cs="Arial"/>
          <w:shd w:val="clear" w:color="auto" w:fill="FFFFFF"/>
        </w:rPr>
        <w:t xml:space="preserve">  </w:t>
      </w:r>
      <w:r w:rsidRPr="00A377CF">
        <w:rPr>
          <w:rFonts w:ascii="Gadugi" w:hAnsi="Gadugi" w:cs="Arial"/>
          <w:shd w:val="clear" w:color="auto" w:fill="FFFFFF"/>
        </w:rPr>
        <w:tab/>
      </w:r>
      <w:r w:rsidRPr="00A377CF">
        <w:rPr>
          <w:rFonts w:ascii="Gadugi" w:hAnsi="Gadugi" w:cs="Arial"/>
          <w:shd w:val="clear" w:color="auto" w:fill="FFFFFF"/>
        </w:rPr>
        <w:tab/>
      </w:r>
      <w:r w:rsidRPr="00A377CF">
        <w:rPr>
          <w:rFonts w:ascii="Gadugi" w:hAnsi="Gadugi" w:cs="Arial"/>
          <w:shd w:val="clear" w:color="auto" w:fill="FFFFFF"/>
        </w:rPr>
        <w:tab/>
      </w:r>
      <w:r w:rsidRPr="00A377CF">
        <w:rPr>
          <w:rFonts w:ascii="Gadugi" w:hAnsi="Gadugi" w:cs="Arial"/>
          <w:shd w:val="clear" w:color="auto" w:fill="FFFFFF"/>
        </w:rPr>
        <w:tab/>
      </w:r>
      <w:r w:rsidRPr="00A377CF">
        <w:rPr>
          <w:rFonts w:ascii="Gadugi" w:hAnsi="Gadugi"/>
        </w:rPr>
        <w:t xml:space="preserve">Suficiente lo dicho para declarar la improcedencia del amparo por este aspecto. </w:t>
      </w:r>
    </w:p>
    <w:p w14:paraId="188C91C8" w14:textId="77777777" w:rsidR="00CB0BE3" w:rsidRPr="00A377CF" w:rsidRDefault="00CB0BE3" w:rsidP="00A377CF">
      <w:pPr>
        <w:pStyle w:val="Sinespaciado4"/>
        <w:spacing w:line="276" w:lineRule="auto"/>
        <w:ind w:right="51"/>
        <w:jc w:val="both"/>
        <w:rPr>
          <w:rFonts w:ascii="Gadugi" w:hAnsi="Gadugi" w:cs="Arial"/>
        </w:rPr>
      </w:pPr>
    </w:p>
    <w:p w14:paraId="0600174A" w14:textId="32A5762E" w:rsidR="003B0FF2" w:rsidRPr="00A377CF" w:rsidRDefault="003B0FF2" w:rsidP="00A377CF">
      <w:pPr>
        <w:pStyle w:val="Sinespaciado4"/>
        <w:spacing w:line="276" w:lineRule="auto"/>
        <w:ind w:right="51"/>
        <w:jc w:val="both"/>
        <w:rPr>
          <w:rFonts w:ascii="Gadugi" w:hAnsi="Gadugi"/>
        </w:rPr>
      </w:pPr>
      <w:r w:rsidRPr="00A377CF">
        <w:rPr>
          <w:rFonts w:ascii="Gadugi" w:hAnsi="Gadugi" w:cs="Arial"/>
        </w:rPr>
        <w:tab/>
      </w:r>
      <w:r w:rsidRPr="00A377CF">
        <w:rPr>
          <w:rFonts w:ascii="Gadugi" w:hAnsi="Gadugi" w:cs="Arial"/>
        </w:rPr>
        <w:tab/>
      </w:r>
      <w:r w:rsidRPr="00A377CF">
        <w:rPr>
          <w:rFonts w:ascii="Gadugi" w:hAnsi="Gadugi" w:cs="Arial"/>
        </w:rPr>
        <w:tab/>
      </w:r>
      <w:r w:rsidRPr="00A377CF">
        <w:rPr>
          <w:rFonts w:ascii="Gadugi" w:hAnsi="Gadugi" w:cs="Arial"/>
        </w:rPr>
        <w:tab/>
      </w:r>
      <w:r w:rsidR="00864333" w:rsidRPr="00A377CF">
        <w:rPr>
          <w:rFonts w:ascii="Gadugi" w:hAnsi="Gadugi" w:cs="Arial"/>
        </w:rPr>
        <w:t>También es improcedente lo que tiene que ver con la digitalización del expediente</w:t>
      </w:r>
      <w:r w:rsidRPr="00A377CF">
        <w:rPr>
          <w:rFonts w:ascii="Gadugi" w:hAnsi="Gadugi" w:cs="Arial"/>
        </w:rPr>
        <w:t xml:space="preserve">, en la medida en que, </w:t>
      </w:r>
      <w:r w:rsidR="0015581E" w:rsidRPr="00A377CF">
        <w:rPr>
          <w:rFonts w:ascii="Gadugi" w:hAnsi="Gadugi" w:cs="Arial"/>
        </w:rPr>
        <w:t xml:space="preserve">en el mismo auto se le recordó que desde tiempo atrás se había procedido de esa manera; de hecho, reposa en la página 175 </w:t>
      </w:r>
      <w:r w:rsidRPr="00A377CF">
        <w:rPr>
          <w:rFonts w:ascii="Gadugi" w:hAnsi="Gadugi" w:cs="Arial"/>
        </w:rPr>
        <w:t>d</w:t>
      </w:r>
      <w:r w:rsidR="0015581E" w:rsidRPr="00A377CF">
        <w:rPr>
          <w:rFonts w:ascii="Gadugi" w:hAnsi="Gadugi" w:cs="Arial"/>
        </w:rPr>
        <w:t xml:space="preserve">el expediente escaneado, un oficio que la secretaría le envió </w:t>
      </w:r>
      <w:r w:rsidRPr="00A377CF">
        <w:rPr>
          <w:rFonts w:ascii="Gadugi" w:hAnsi="Gadugi" w:cs="Arial"/>
        </w:rPr>
        <w:t>el 10 de agosto del presente año, es</w:t>
      </w:r>
      <w:r w:rsidR="0015581E" w:rsidRPr="00A377CF">
        <w:rPr>
          <w:rFonts w:ascii="Gadugi" w:hAnsi="Gadugi" w:cs="Arial"/>
        </w:rPr>
        <w:t>to es,</w:t>
      </w:r>
      <w:r w:rsidRPr="00A377CF">
        <w:rPr>
          <w:rFonts w:ascii="Gadugi" w:hAnsi="Gadugi" w:cs="Arial"/>
        </w:rPr>
        <w:t xml:space="preserve"> antes de que promoviera </w:t>
      </w:r>
      <w:r w:rsidR="0015581E" w:rsidRPr="00A377CF">
        <w:rPr>
          <w:rFonts w:ascii="Gadugi" w:hAnsi="Gadugi" w:cs="Arial"/>
        </w:rPr>
        <w:t xml:space="preserve">la presente </w:t>
      </w:r>
      <w:r w:rsidRPr="00A377CF">
        <w:rPr>
          <w:rFonts w:ascii="Gadugi" w:hAnsi="Gadugi" w:cs="Arial"/>
        </w:rPr>
        <w:t xml:space="preserve">acción, </w:t>
      </w:r>
      <w:r w:rsidR="0015581E" w:rsidRPr="00A377CF">
        <w:rPr>
          <w:rFonts w:ascii="Gadugi" w:hAnsi="Gadugi" w:cs="Arial"/>
        </w:rPr>
        <w:t xml:space="preserve">en el que se le </w:t>
      </w:r>
      <w:r w:rsidRPr="00A377CF">
        <w:rPr>
          <w:rFonts w:ascii="Gadugi" w:hAnsi="Gadugi" w:cs="Arial"/>
        </w:rPr>
        <w:t>informó cuál era vínculo para acceder y se le re</w:t>
      </w:r>
      <w:r w:rsidR="0015581E" w:rsidRPr="00A377CF">
        <w:rPr>
          <w:rFonts w:ascii="Gadugi" w:hAnsi="Gadugi" w:cs="Arial"/>
        </w:rPr>
        <w:t xml:space="preserve">iteró que </w:t>
      </w:r>
      <w:r w:rsidRPr="00A377CF">
        <w:rPr>
          <w:rFonts w:ascii="Gadugi" w:hAnsi="Gadugi" w:cs="Arial"/>
        </w:rPr>
        <w:t xml:space="preserve">desde el </w:t>
      </w:r>
      <w:r w:rsidR="0015581E" w:rsidRPr="00A377CF">
        <w:rPr>
          <w:rFonts w:ascii="Gadugi" w:hAnsi="Gadugi" w:cs="Arial"/>
        </w:rPr>
        <w:t xml:space="preserve">14 de </w:t>
      </w:r>
      <w:r w:rsidRPr="00A377CF">
        <w:rPr>
          <w:rFonts w:ascii="Gadugi" w:hAnsi="Gadugi" w:cs="Arial"/>
        </w:rPr>
        <w:t xml:space="preserve">julio, por correo electrónico, se le había enviado </w:t>
      </w:r>
      <w:r w:rsidR="0015581E" w:rsidRPr="00A377CF">
        <w:rPr>
          <w:rFonts w:ascii="Gadugi" w:hAnsi="Gadugi" w:cs="Arial"/>
        </w:rPr>
        <w:t xml:space="preserve">el </w:t>
      </w:r>
      <w:r w:rsidRPr="00A377CF">
        <w:rPr>
          <w:rFonts w:ascii="Gadugi" w:hAnsi="Gadugi" w:cs="Arial"/>
        </w:rPr>
        <w:t xml:space="preserve">enlace. </w:t>
      </w:r>
    </w:p>
    <w:p w14:paraId="29B27849" w14:textId="02EA51FD" w:rsidR="004A2C5A" w:rsidRPr="00A377CF" w:rsidRDefault="004A2C5A" w:rsidP="00A377CF">
      <w:pPr>
        <w:spacing w:line="276" w:lineRule="auto"/>
        <w:jc w:val="both"/>
        <w:rPr>
          <w:rFonts w:ascii="Gadugi" w:hAnsi="Gadugi"/>
          <w:sz w:val="24"/>
          <w:szCs w:val="24"/>
        </w:rPr>
      </w:pPr>
    </w:p>
    <w:p w14:paraId="4C989784" w14:textId="405E28ED" w:rsidR="00CB0BE3" w:rsidRPr="00A377CF" w:rsidRDefault="00864333" w:rsidP="00A377CF">
      <w:pPr>
        <w:shd w:val="clear" w:color="auto" w:fill="FFFFFF"/>
        <w:spacing w:line="276" w:lineRule="auto"/>
        <w:jc w:val="both"/>
        <w:rPr>
          <w:rFonts w:ascii="Gadugi" w:hAnsi="Gadugi"/>
          <w:sz w:val="24"/>
          <w:szCs w:val="24"/>
        </w:rPr>
      </w:pP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r w:rsidR="00CB0BE3" w:rsidRPr="00A377CF">
        <w:rPr>
          <w:rFonts w:ascii="Gadugi" w:hAnsi="Gadugi"/>
          <w:sz w:val="24"/>
          <w:szCs w:val="24"/>
        </w:rPr>
        <w:t>Y se dice que es improcedente esto último, porque</w:t>
      </w:r>
      <w:r w:rsidRPr="00A377CF">
        <w:rPr>
          <w:rFonts w:ascii="Gadugi" w:hAnsi="Gadugi"/>
          <w:sz w:val="24"/>
          <w:szCs w:val="24"/>
        </w:rPr>
        <w:t xml:space="preserve"> tiene dicho </w:t>
      </w:r>
      <w:r w:rsidR="00CB0BE3" w:rsidRPr="00A377CF">
        <w:rPr>
          <w:rFonts w:ascii="Gadugi" w:hAnsi="Gadugi"/>
          <w:sz w:val="24"/>
          <w:szCs w:val="24"/>
        </w:rPr>
        <w:t>la Corte Constitucional</w:t>
      </w:r>
      <w:r w:rsidR="00CB0BE3" w:rsidRPr="00A377CF">
        <w:rPr>
          <w:rStyle w:val="Refdenotaalpie"/>
          <w:rFonts w:ascii="Gadugi" w:hAnsi="Gadugi"/>
          <w:sz w:val="24"/>
          <w:szCs w:val="24"/>
        </w:rPr>
        <w:footnoteReference w:id="9"/>
      </w:r>
      <w:r w:rsidR="00CB0BE3" w:rsidRPr="00A377CF">
        <w:rPr>
          <w:rFonts w:ascii="Gadugi" w:hAnsi="Gadugi"/>
          <w:sz w:val="24"/>
          <w:szCs w:val="24"/>
        </w:rPr>
        <w:t>, la Sala de Casación Civil de la Corte Suprema de Justicia</w:t>
      </w:r>
      <w:r w:rsidR="00CB0BE3" w:rsidRPr="00A377CF">
        <w:rPr>
          <w:rStyle w:val="Refdenotaalpie"/>
          <w:rFonts w:ascii="Gadugi" w:hAnsi="Gadugi"/>
          <w:sz w:val="24"/>
          <w:szCs w:val="24"/>
        </w:rPr>
        <w:footnoteReference w:id="10"/>
      </w:r>
      <w:r w:rsidR="00CB0BE3" w:rsidRPr="00A377CF">
        <w:rPr>
          <w:rFonts w:ascii="Gadugi" w:hAnsi="Gadugi"/>
          <w:sz w:val="24"/>
          <w:szCs w:val="24"/>
        </w:rPr>
        <w:t>, y ahora esta Corporación</w:t>
      </w:r>
      <w:r w:rsidR="00CB0BE3" w:rsidRPr="00A377CF">
        <w:rPr>
          <w:rStyle w:val="Refdenotaalpie"/>
          <w:rFonts w:ascii="Gadugi" w:hAnsi="Gadugi"/>
          <w:sz w:val="24"/>
          <w:szCs w:val="24"/>
        </w:rPr>
        <w:footnoteReference w:id="11"/>
      </w:r>
      <w:r w:rsidR="00CB0BE3" w:rsidRPr="00A377CF">
        <w:rPr>
          <w:rFonts w:ascii="Gadugi" w:hAnsi="Gadugi"/>
          <w:sz w:val="24"/>
          <w:szCs w:val="24"/>
        </w:rPr>
        <w:t xml:space="preserve">, que </w:t>
      </w:r>
      <w:r w:rsidR="00CB0BE3" w:rsidRPr="00A377CF">
        <w:rPr>
          <w:rFonts w:ascii="Gadugi" w:hAnsi="Gadugi"/>
          <w:i/>
          <w:sz w:val="24"/>
          <w:szCs w:val="24"/>
        </w:rPr>
        <w:t>“</w:t>
      </w:r>
      <w:r w:rsidR="00CB0BE3" w:rsidRPr="00A377CF">
        <w:rPr>
          <w:rFonts w:ascii="Gadugi" w:hAnsi="Gadugi"/>
          <w:i/>
          <w:sz w:val="22"/>
          <w:szCs w:val="24"/>
        </w:rPr>
        <w:t xml:space="preserve">(…) la improcedencia por falta de acción u </w:t>
      </w:r>
      <w:r w:rsidR="00CB0BE3" w:rsidRPr="00A377CF">
        <w:rPr>
          <w:rFonts w:ascii="Gadugi" w:hAnsi="Gadugi"/>
          <w:i/>
          <w:sz w:val="22"/>
          <w:szCs w:val="24"/>
        </w:rPr>
        <w:lastRenderedPageBreak/>
        <w:t xml:space="preserve">omisión </w:t>
      </w:r>
      <w:r w:rsidR="00CB0BE3" w:rsidRPr="00A377CF">
        <w:rPr>
          <w:rFonts w:ascii="Gadugi" w:hAnsi="Gadugi"/>
          <w:sz w:val="22"/>
          <w:szCs w:val="24"/>
        </w:rPr>
        <w:t xml:space="preserve">(de una acción de tutela) </w:t>
      </w:r>
      <w:r w:rsidR="00CB0BE3" w:rsidRPr="00A377CF">
        <w:rPr>
          <w:rFonts w:ascii="Gadugi" w:hAnsi="Gadugi"/>
          <w:i/>
          <w:sz w:val="22"/>
          <w:szCs w:val="24"/>
        </w:rPr>
        <w:t xml:space="preserve">ocurre cuando: (i) No hay petición o </w:t>
      </w:r>
      <w:r w:rsidR="00CB0BE3" w:rsidRPr="00A377CF">
        <w:rPr>
          <w:rFonts w:ascii="Gadugi" w:hAnsi="Gadugi"/>
          <w:i/>
          <w:sz w:val="22"/>
          <w:szCs w:val="24"/>
          <w:u w:val="single"/>
        </w:rPr>
        <w:t>se resolvió antes de presentar el amparo</w:t>
      </w:r>
      <w:r w:rsidR="00CB0BE3" w:rsidRPr="00A377CF">
        <w:rPr>
          <w:rFonts w:ascii="Gadugi" w:hAnsi="Gadugi"/>
          <w:i/>
          <w:sz w:val="22"/>
          <w:szCs w:val="24"/>
        </w:rPr>
        <w:t>; y, (ii) La decisión cuestionada es inexistente. Criterio que aplica en amparos contra despachos judiciales</w:t>
      </w:r>
      <w:r w:rsidR="00CB0BE3" w:rsidRPr="00A377CF">
        <w:rPr>
          <w:rFonts w:ascii="Gadugi" w:hAnsi="Gadugi"/>
          <w:i/>
          <w:sz w:val="24"/>
          <w:szCs w:val="24"/>
        </w:rPr>
        <w:t>.”</w:t>
      </w:r>
      <w:r w:rsidR="00CB0BE3" w:rsidRPr="00A377CF">
        <w:rPr>
          <w:rStyle w:val="Refdenotaalpie"/>
          <w:rFonts w:ascii="Gadugi" w:hAnsi="Gadugi"/>
          <w:i/>
          <w:sz w:val="24"/>
          <w:szCs w:val="24"/>
        </w:rPr>
        <w:footnoteReference w:id="12"/>
      </w:r>
      <w:r w:rsidR="00CB0BE3" w:rsidRPr="00A377CF">
        <w:rPr>
          <w:rFonts w:ascii="Gadugi" w:hAnsi="Gadugi"/>
          <w:i/>
          <w:sz w:val="24"/>
          <w:szCs w:val="24"/>
        </w:rPr>
        <w:t xml:space="preserve"> </w:t>
      </w:r>
      <w:r w:rsidR="00CB0BE3" w:rsidRPr="00A377CF">
        <w:rPr>
          <w:rFonts w:ascii="Gadugi" w:hAnsi="Gadugi"/>
          <w:sz w:val="24"/>
          <w:szCs w:val="24"/>
        </w:rPr>
        <w:t>(Se destaca).</w:t>
      </w:r>
    </w:p>
    <w:p w14:paraId="0DCFF21A" w14:textId="285B2B4B" w:rsidR="00864333" w:rsidRPr="00A377CF" w:rsidRDefault="00864333" w:rsidP="00A377CF">
      <w:pPr>
        <w:spacing w:line="276" w:lineRule="auto"/>
        <w:jc w:val="both"/>
        <w:rPr>
          <w:rFonts w:ascii="Gadugi" w:hAnsi="Gadugi"/>
          <w:sz w:val="24"/>
          <w:szCs w:val="24"/>
        </w:rPr>
      </w:pPr>
    </w:p>
    <w:p w14:paraId="703B947A" w14:textId="77777777" w:rsidR="00864333" w:rsidRPr="00A377CF" w:rsidRDefault="00864333" w:rsidP="00A377CF">
      <w:pPr>
        <w:shd w:val="clear" w:color="auto" w:fill="FFFFFF"/>
        <w:spacing w:line="276" w:lineRule="auto"/>
        <w:jc w:val="both"/>
        <w:rPr>
          <w:rFonts w:ascii="Gadugi" w:hAnsi="Gadugi"/>
          <w:sz w:val="24"/>
          <w:szCs w:val="24"/>
        </w:rPr>
      </w:pPr>
    </w:p>
    <w:p w14:paraId="57A77BE1" w14:textId="183BB87C" w:rsidR="00DF5E59" w:rsidRPr="00A377CF" w:rsidRDefault="00DF5E59" w:rsidP="00A377CF">
      <w:pPr>
        <w:shd w:val="clear" w:color="auto" w:fill="FFFFFF"/>
        <w:spacing w:line="276" w:lineRule="auto"/>
        <w:jc w:val="both"/>
        <w:rPr>
          <w:rFonts w:ascii="Gadugi" w:hAnsi="Gadugi" w:cs="Arial"/>
          <w:b/>
          <w:sz w:val="24"/>
          <w:szCs w:val="24"/>
        </w:rPr>
      </w:pPr>
      <w:r w:rsidRPr="00A377CF">
        <w:rPr>
          <w:rFonts w:ascii="Gadugi" w:hAnsi="Gadugi"/>
          <w:sz w:val="24"/>
          <w:szCs w:val="24"/>
          <w:lang w:val="es-MX"/>
        </w:rPr>
        <w:tab/>
      </w:r>
      <w:r w:rsidRPr="00A377CF">
        <w:rPr>
          <w:rFonts w:ascii="Gadugi" w:hAnsi="Gadugi"/>
          <w:sz w:val="24"/>
          <w:szCs w:val="24"/>
          <w:lang w:val="es-MX"/>
        </w:rPr>
        <w:tab/>
      </w:r>
      <w:r w:rsidRPr="00A377CF">
        <w:rPr>
          <w:rFonts w:ascii="Gadugi" w:hAnsi="Gadugi"/>
          <w:sz w:val="24"/>
          <w:szCs w:val="24"/>
          <w:lang w:val="es-MX"/>
        </w:rPr>
        <w:tab/>
      </w:r>
      <w:r w:rsidRPr="00A377CF">
        <w:rPr>
          <w:rFonts w:ascii="Gadugi" w:hAnsi="Gadugi"/>
          <w:sz w:val="24"/>
          <w:szCs w:val="24"/>
          <w:lang w:val="es-MX"/>
        </w:rPr>
        <w:tab/>
      </w:r>
      <w:r w:rsidRPr="00A377CF">
        <w:rPr>
          <w:rFonts w:ascii="Gadugi" w:hAnsi="Gadugi" w:cs="Arial"/>
          <w:b/>
          <w:sz w:val="24"/>
          <w:szCs w:val="24"/>
        </w:rPr>
        <w:t>DECISIÓN</w:t>
      </w:r>
    </w:p>
    <w:p w14:paraId="57A77BE2" w14:textId="77777777" w:rsidR="00DF5E59" w:rsidRPr="00A377CF" w:rsidRDefault="00DF5E59" w:rsidP="00A377CF">
      <w:pPr>
        <w:spacing w:line="276" w:lineRule="auto"/>
        <w:jc w:val="both"/>
        <w:rPr>
          <w:rFonts w:ascii="Gadugi" w:hAnsi="Gadugi"/>
          <w:sz w:val="24"/>
          <w:szCs w:val="24"/>
        </w:rPr>
      </w:pPr>
      <w:r w:rsidRPr="00A377CF">
        <w:rPr>
          <w:rFonts w:ascii="Gadugi" w:hAnsi="Gadugi"/>
          <w:sz w:val="24"/>
          <w:szCs w:val="24"/>
        </w:rPr>
        <w:t xml:space="preserve">  </w:t>
      </w: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r w:rsidRPr="00A377CF">
        <w:rPr>
          <w:rFonts w:ascii="Gadugi" w:hAnsi="Gadugi"/>
          <w:sz w:val="24"/>
          <w:szCs w:val="24"/>
        </w:rPr>
        <w:tab/>
      </w:r>
    </w:p>
    <w:p w14:paraId="57A77BE3" w14:textId="77777777" w:rsidR="00D1609F" w:rsidRPr="00A377CF" w:rsidRDefault="00D1609F" w:rsidP="00A377CF">
      <w:pPr>
        <w:spacing w:line="276" w:lineRule="auto"/>
        <w:jc w:val="both"/>
        <w:rPr>
          <w:rFonts w:ascii="Gadugi" w:hAnsi="Gadugi"/>
          <w:sz w:val="24"/>
          <w:szCs w:val="24"/>
        </w:rPr>
      </w:pPr>
    </w:p>
    <w:p w14:paraId="7BEC5DBA" w14:textId="77777777" w:rsidR="00A377CF" w:rsidRDefault="00DF5E59" w:rsidP="00A377CF">
      <w:pPr>
        <w:spacing w:line="276" w:lineRule="auto"/>
        <w:ind w:firstLine="2835"/>
        <w:jc w:val="both"/>
        <w:rPr>
          <w:rFonts w:ascii="Gadugi" w:hAnsi="Gadugi" w:cs="Century Gothic"/>
          <w:bCs/>
          <w:sz w:val="24"/>
          <w:szCs w:val="24"/>
        </w:rPr>
      </w:pPr>
      <w:r w:rsidRPr="00A377CF">
        <w:rPr>
          <w:rFonts w:ascii="Gadugi" w:hAnsi="Gadugi" w:cs="Arial"/>
          <w:sz w:val="24"/>
          <w:szCs w:val="24"/>
        </w:rPr>
        <w:t xml:space="preserve">En armonía con lo dicho, la Sala Civil Familia del Tribunal Superior de Pereira, administrando justicia en nombre de la República y por autoridad de la Ley, </w:t>
      </w:r>
      <w:r w:rsidRPr="00A377CF">
        <w:rPr>
          <w:rFonts w:ascii="Gadugi" w:hAnsi="Gadugi" w:cs="Arial"/>
          <w:b/>
          <w:sz w:val="24"/>
          <w:szCs w:val="24"/>
        </w:rPr>
        <w:t>DECLARA IMPROCEDENTE</w:t>
      </w:r>
      <w:r w:rsidRPr="00A377CF">
        <w:rPr>
          <w:rFonts w:ascii="Gadugi" w:hAnsi="Gadugi" w:cs="Arial"/>
          <w:sz w:val="24"/>
          <w:szCs w:val="24"/>
        </w:rPr>
        <w:t xml:space="preserve"> el amparo impetrado por</w:t>
      </w:r>
      <w:r w:rsidRPr="00A377CF">
        <w:rPr>
          <w:rFonts w:ascii="Gadugi" w:hAnsi="Gadugi" w:cs="Century Gothic"/>
          <w:b/>
          <w:sz w:val="24"/>
          <w:szCs w:val="24"/>
        </w:rPr>
        <w:t xml:space="preserve"> </w:t>
      </w:r>
      <w:r w:rsidR="00A026AD" w:rsidRPr="00A377CF">
        <w:rPr>
          <w:rFonts w:ascii="Gadugi" w:hAnsi="Gadugi" w:cs="Century Gothic"/>
          <w:b/>
          <w:bCs/>
          <w:sz w:val="24"/>
          <w:szCs w:val="24"/>
        </w:rPr>
        <w:t xml:space="preserve">Javier Elías Arias </w:t>
      </w:r>
      <w:proofErr w:type="spellStart"/>
      <w:r w:rsidR="00A026AD" w:rsidRPr="00A377CF">
        <w:rPr>
          <w:rFonts w:ascii="Gadugi" w:hAnsi="Gadugi" w:cs="Century Gothic"/>
          <w:b/>
          <w:bCs/>
          <w:sz w:val="24"/>
          <w:szCs w:val="24"/>
        </w:rPr>
        <w:t>Idárraga</w:t>
      </w:r>
      <w:proofErr w:type="spellEnd"/>
      <w:r w:rsidR="00A026AD" w:rsidRPr="00A377CF">
        <w:rPr>
          <w:rFonts w:ascii="Gadugi" w:hAnsi="Gadugi" w:cs="Century Gothic"/>
          <w:b/>
          <w:bCs/>
          <w:sz w:val="24"/>
          <w:szCs w:val="24"/>
        </w:rPr>
        <w:t xml:space="preserve">, </w:t>
      </w:r>
      <w:r w:rsidR="00A026AD" w:rsidRPr="00A377CF">
        <w:rPr>
          <w:rFonts w:ascii="Gadugi" w:hAnsi="Gadugi" w:cs="Century Gothic"/>
          <w:bCs/>
          <w:sz w:val="24"/>
          <w:szCs w:val="24"/>
        </w:rPr>
        <w:t xml:space="preserve">en procura de la protección de su derecho fundamental al debido proceso, </w:t>
      </w:r>
      <w:r w:rsidR="0015581E" w:rsidRPr="00A377CF">
        <w:rPr>
          <w:rFonts w:ascii="Gadugi" w:hAnsi="Gadugi" w:cs="Century Gothic"/>
          <w:bCs/>
          <w:sz w:val="24"/>
          <w:szCs w:val="24"/>
        </w:rPr>
        <w:t>en contra d</w:t>
      </w:r>
      <w:r w:rsidR="0015581E" w:rsidRPr="00A377CF">
        <w:rPr>
          <w:rFonts w:ascii="Gadugi" w:hAnsi="Gadugi" w:cs="Century Gothic"/>
          <w:sz w:val="24"/>
          <w:szCs w:val="24"/>
        </w:rPr>
        <w:t xml:space="preserve">el </w:t>
      </w:r>
      <w:r w:rsidR="0015581E" w:rsidRPr="00A377CF">
        <w:rPr>
          <w:rFonts w:ascii="Gadugi" w:hAnsi="Gadugi" w:cs="Century Gothic"/>
          <w:b/>
          <w:bCs/>
          <w:sz w:val="24"/>
          <w:szCs w:val="24"/>
        </w:rPr>
        <w:t xml:space="preserve">Juzgado Quinto Civil del Circuito de Pereira, </w:t>
      </w:r>
      <w:r w:rsidR="0015581E" w:rsidRPr="00A377CF">
        <w:rPr>
          <w:rFonts w:ascii="Gadugi" w:hAnsi="Gadugi" w:cs="Century Gothic"/>
          <w:sz w:val="24"/>
          <w:szCs w:val="24"/>
        </w:rPr>
        <w:t xml:space="preserve">a la que fueron vinculados los </w:t>
      </w:r>
      <w:r w:rsidR="0015581E" w:rsidRPr="00A377CF">
        <w:rPr>
          <w:rFonts w:ascii="Gadugi" w:hAnsi="Gadugi" w:cs="Century Gothic"/>
          <w:b/>
          <w:sz w:val="24"/>
          <w:szCs w:val="24"/>
        </w:rPr>
        <w:t>demás intervinientes</w:t>
      </w:r>
      <w:r w:rsidR="0015581E" w:rsidRPr="00A377CF">
        <w:rPr>
          <w:rFonts w:ascii="Gadugi" w:hAnsi="Gadugi" w:cs="Century Gothic"/>
          <w:sz w:val="24"/>
          <w:szCs w:val="24"/>
        </w:rPr>
        <w:t xml:space="preserve"> en la acción popular con radicado </w:t>
      </w:r>
      <w:r w:rsidR="0015581E" w:rsidRPr="00A377CF">
        <w:rPr>
          <w:rFonts w:ascii="Gadugi" w:hAnsi="Gadugi" w:cs="Century Gothic"/>
          <w:bCs/>
          <w:sz w:val="24"/>
          <w:szCs w:val="24"/>
        </w:rPr>
        <w:t>2019-00181-00, en cuanto se refi</w:t>
      </w:r>
      <w:r w:rsidR="00A377CF">
        <w:rPr>
          <w:rFonts w:ascii="Gadugi" w:hAnsi="Gadugi" w:cs="Century Gothic"/>
          <w:bCs/>
          <w:sz w:val="24"/>
          <w:szCs w:val="24"/>
        </w:rPr>
        <w:t>ere a la liquidación de costas.</w:t>
      </w:r>
    </w:p>
    <w:p w14:paraId="4488278B" w14:textId="35D4B044" w:rsidR="0015581E" w:rsidRPr="00A377CF" w:rsidRDefault="00DF5E59" w:rsidP="00A377CF">
      <w:pPr>
        <w:spacing w:line="276" w:lineRule="auto"/>
        <w:ind w:firstLine="2835"/>
        <w:jc w:val="both"/>
        <w:rPr>
          <w:rFonts w:ascii="Gadugi" w:eastAsia="Dotum" w:hAnsi="Gadugi"/>
          <w:sz w:val="24"/>
          <w:szCs w:val="24"/>
        </w:rPr>
      </w:pPr>
      <w:r w:rsidRPr="00A377CF">
        <w:rPr>
          <w:rFonts w:ascii="Gadugi" w:eastAsia="Dotum" w:hAnsi="Gadugi"/>
          <w:sz w:val="24"/>
          <w:szCs w:val="24"/>
        </w:rPr>
        <w:tab/>
      </w:r>
    </w:p>
    <w:p w14:paraId="57A77BE8" w14:textId="00717105" w:rsidR="00DF5E59" w:rsidRPr="00A377CF" w:rsidRDefault="0015581E" w:rsidP="00A377CF">
      <w:pPr>
        <w:spacing w:line="276" w:lineRule="auto"/>
        <w:jc w:val="both"/>
        <w:rPr>
          <w:rFonts w:ascii="Gadugi" w:hAnsi="Gadugi" w:cs="Arial"/>
          <w:sz w:val="24"/>
          <w:szCs w:val="24"/>
        </w:rPr>
      </w:pPr>
      <w:r w:rsidRPr="00A377CF">
        <w:rPr>
          <w:rFonts w:ascii="Gadugi" w:hAnsi="Gadugi" w:cs="Arial"/>
          <w:sz w:val="24"/>
          <w:szCs w:val="24"/>
        </w:rPr>
        <w:t xml:space="preserve">  </w:t>
      </w:r>
      <w:r w:rsidRPr="00A377CF">
        <w:rPr>
          <w:rFonts w:ascii="Gadugi" w:hAnsi="Gadugi" w:cs="Arial"/>
          <w:sz w:val="24"/>
          <w:szCs w:val="24"/>
        </w:rPr>
        <w:tab/>
      </w:r>
      <w:r w:rsidRPr="00A377CF">
        <w:rPr>
          <w:rFonts w:ascii="Gadugi" w:hAnsi="Gadugi" w:cs="Arial"/>
          <w:sz w:val="24"/>
          <w:szCs w:val="24"/>
        </w:rPr>
        <w:tab/>
      </w:r>
      <w:r w:rsidRPr="00A377CF">
        <w:rPr>
          <w:rFonts w:ascii="Gadugi" w:hAnsi="Gadugi" w:cs="Arial"/>
          <w:sz w:val="24"/>
          <w:szCs w:val="24"/>
        </w:rPr>
        <w:tab/>
      </w:r>
      <w:r w:rsidRPr="00A377CF">
        <w:rPr>
          <w:rFonts w:ascii="Gadugi" w:hAnsi="Gadugi" w:cs="Arial"/>
          <w:sz w:val="24"/>
          <w:szCs w:val="24"/>
        </w:rPr>
        <w:tab/>
      </w:r>
      <w:r w:rsidR="00DF5E59" w:rsidRPr="00A377CF">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A su regreso, archívese el expediente. </w:t>
      </w:r>
    </w:p>
    <w:p w14:paraId="57A77BE9" w14:textId="77777777" w:rsidR="00DF5E59" w:rsidRPr="00A377CF" w:rsidRDefault="00DF5E59" w:rsidP="00A377CF">
      <w:pPr>
        <w:spacing w:line="276" w:lineRule="auto"/>
        <w:ind w:firstLine="2835"/>
        <w:jc w:val="both"/>
        <w:rPr>
          <w:rFonts w:ascii="Gadugi" w:hAnsi="Gadugi" w:cs="Arial"/>
          <w:sz w:val="24"/>
          <w:szCs w:val="24"/>
        </w:rPr>
      </w:pPr>
    </w:p>
    <w:p w14:paraId="6F367DE9" w14:textId="77777777" w:rsidR="00A377CF" w:rsidRPr="00A377CF" w:rsidRDefault="00A377CF" w:rsidP="00A377CF">
      <w:pPr>
        <w:spacing w:line="276" w:lineRule="auto"/>
        <w:ind w:firstLine="2835"/>
        <w:jc w:val="both"/>
        <w:rPr>
          <w:rFonts w:ascii="Gadugi" w:hAnsi="Gadugi" w:cs="Adobe Devanagari"/>
          <w:bCs/>
          <w:sz w:val="24"/>
          <w:szCs w:val="24"/>
          <w:lang w:val="es-419"/>
        </w:rPr>
      </w:pPr>
      <w:r w:rsidRPr="00A377CF">
        <w:rPr>
          <w:rFonts w:ascii="Gadugi" w:hAnsi="Gadugi" w:cs="Adobe Devanagari"/>
          <w:bCs/>
          <w:sz w:val="24"/>
          <w:szCs w:val="24"/>
          <w:lang w:val="es-419"/>
        </w:rPr>
        <w:t>Los Magistrados,</w:t>
      </w:r>
    </w:p>
    <w:p w14:paraId="188946AA" w14:textId="77777777" w:rsidR="00A377CF" w:rsidRPr="00A377CF" w:rsidRDefault="00A377CF" w:rsidP="00A377CF">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65689457" w14:textId="77777777" w:rsidR="00A377CF" w:rsidRPr="00A377CF" w:rsidRDefault="00A377CF" w:rsidP="00A377CF">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780FAA5D" w14:textId="77777777" w:rsidR="00A377CF" w:rsidRPr="00A377CF" w:rsidRDefault="00A377CF" w:rsidP="00A377CF">
      <w:pPr>
        <w:spacing w:line="276" w:lineRule="auto"/>
        <w:ind w:firstLine="2835"/>
        <w:jc w:val="both"/>
        <w:rPr>
          <w:rFonts w:ascii="Gadugi" w:hAnsi="Gadugi" w:cs="Adobe Devanagari"/>
          <w:b/>
          <w:bCs/>
          <w:sz w:val="24"/>
          <w:szCs w:val="24"/>
          <w:lang w:val="es-419"/>
        </w:rPr>
      </w:pPr>
      <w:r w:rsidRPr="00A377CF">
        <w:rPr>
          <w:rFonts w:ascii="Gadugi" w:hAnsi="Gadugi" w:cs="Adobe Devanagari"/>
          <w:b/>
          <w:bCs/>
          <w:sz w:val="24"/>
          <w:szCs w:val="24"/>
          <w:lang w:val="es-419"/>
        </w:rPr>
        <w:t>JAIME ALBERTO SARAZA NARANJO</w:t>
      </w:r>
    </w:p>
    <w:p w14:paraId="0C07AD0C" w14:textId="77777777" w:rsidR="00A377CF" w:rsidRPr="00A377CF" w:rsidRDefault="00A377CF" w:rsidP="00A377CF">
      <w:pPr>
        <w:spacing w:line="276" w:lineRule="auto"/>
        <w:ind w:firstLine="2835"/>
        <w:jc w:val="both"/>
        <w:rPr>
          <w:rFonts w:ascii="Gadugi" w:hAnsi="Gadugi" w:cs="Adobe Devanagari"/>
          <w:bCs/>
          <w:sz w:val="24"/>
          <w:szCs w:val="24"/>
          <w:lang w:val="es-419"/>
        </w:rPr>
      </w:pPr>
    </w:p>
    <w:p w14:paraId="1D865132" w14:textId="77777777" w:rsidR="00A377CF" w:rsidRPr="00A377CF" w:rsidRDefault="00A377CF" w:rsidP="00A377CF">
      <w:pPr>
        <w:spacing w:line="276" w:lineRule="auto"/>
        <w:ind w:firstLine="2835"/>
        <w:jc w:val="both"/>
        <w:rPr>
          <w:rFonts w:ascii="Gadugi" w:hAnsi="Gadugi" w:cs="Adobe Devanagari"/>
          <w:bCs/>
          <w:sz w:val="24"/>
          <w:szCs w:val="24"/>
          <w:lang w:val="es-419"/>
        </w:rPr>
      </w:pPr>
    </w:p>
    <w:p w14:paraId="44E5A89B" w14:textId="77777777" w:rsidR="00A377CF" w:rsidRPr="00A377CF" w:rsidRDefault="00A377CF" w:rsidP="00A377CF">
      <w:pPr>
        <w:spacing w:line="276" w:lineRule="auto"/>
        <w:ind w:firstLine="2835"/>
        <w:jc w:val="both"/>
        <w:rPr>
          <w:rFonts w:ascii="Gadugi" w:hAnsi="Gadugi" w:cs="Adobe Devanagari"/>
          <w:b/>
          <w:bCs/>
          <w:sz w:val="24"/>
          <w:szCs w:val="24"/>
          <w:lang w:val="es-419"/>
        </w:rPr>
      </w:pPr>
      <w:r w:rsidRPr="00A377CF">
        <w:rPr>
          <w:rFonts w:ascii="Gadugi" w:hAnsi="Gadugi" w:cs="Adobe Devanagari"/>
          <w:b/>
          <w:bCs/>
          <w:sz w:val="24"/>
          <w:szCs w:val="24"/>
          <w:lang w:val="es-419"/>
        </w:rPr>
        <w:t>CLAUDIA MARÍA ARCILA RÍOS</w:t>
      </w:r>
    </w:p>
    <w:p w14:paraId="39821A0D" w14:textId="77777777" w:rsidR="00A377CF" w:rsidRPr="00A377CF" w:rsidRDefault="00A377CF" w:rsidP="00A377CF">
      <w:pPr>
        <w:spacing w:line="276" w:lineRule="auto"/>
        <w:ind w:firstLine="2835"/>
        <w:jc w:val="both"/>
        <w:rPr>
          <w:rFonts w:ascii="Gadugi" w:hAnsi="Gadugi" w:cs="Adobe Devanagari"/>
          <w:bCs/>
          <w:sz w:val="24"/>
          <w:szCs w:val="24"/>
          <w:lang w:val="es-419"/>
        </w:rPr>
      </w:pPr>
    </w:p>
    <w:p w14:paraId="4F2E3319" w14:textId="77777777" w:rsidR="00A377CF" w:rsidRPr="00A377CF" w:rsidRDefault="00A377CF" w:rsidP="00A377CF">
      <w:pPr>
        <w:spacing w:line="276" w:lineRule="auto"/>
        <w:ind w:firstLine="2835"/>
        <w:jc w:val="both"/>
        <w:rPr>
          <w:rFonts w:ascii="Gadugi" w:hAnsi="Gadugi" w:cs="Adobe Devanagari"/>
          <w:bCs/>
          <w:sz w:val="24"/>
          <w:szCs w:val="24"/>
          <w:lang w:val="es-419"/>
        </w:rPr>
      </w:pPr>
    </w:p>
    <w:p w14:paraId="57A77BF4" w14:textId="1A5D2DE5" w:rsidR="00AC5562" w:rsidRPr="00A377CF" w:rsidRDefault="00A377CF" w:rsidP="00A377CF">
      <w:pPr>
        <w:spacing w:line="276" w:lineRule="auto"/>
        <w:ind w:firstLine="2835"/>
        <w:jc w:val="both"/>
        <w:rPr>
          <w:rFonts w:ascii="Gadugi" w:hAnsi="Gadugi" w:cs="Adobe Devanagari"/>
          <w:b/>
          <w:bCs/>
          <w:sz w:val="24"/>
          <w:szCs w:val="24"/>
          <w:lang w:val="es-419"/>
        </w:rPr>
      </w:pPr>
      <w:r w:rsidRPr="00A377CF">
        <w:rPr>
          <w:rFonts w:ascii="Gadugi" w:hAnsi="Gadugi" w:cs="Adobe Devanagari"/>
          <w:b/>
          <w:bCs/>
          <w:sz w:val="24"/>
          <w:szCs w:val="24"/>
          <w:lang w:val="es-419"/>
        </w:rPr>
        <w:t>DUBERNEY GRISALES HERRERA</w:t>
      </w:r>
      <w:bookmarkStart w:id="0" w:name="_GoBack"/>
      <w:bookmarkEnd w:id="0"/>
    </w:p>
    <w:sectPr w:rsidR="00AC5562" w:rsidRPr="00A377CF" w:rsidSect="00A377CF">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31E73D" w16cex:dateUtc="2020-09-24T19:23:04.185Z"/>
  <w16cex:commentExtensible w16cex:durableId="53789812" w16cex:dateUtc="2020-09-24T19:23:24.758Z"/>
</w16cex:commentsExtensible>
</file>

<file path=word/commentsIds.xml><?xml version="1.0" encoding="utf-8"?>
<w16cid:commentsIds xmlns:mc="http://schemas.openxmlformats.org/markup-compatibility/2006" xmlns:w16cid="http://schemas.microsoft.com/office/word/2016/wordml/cid" mc:Ignorable="w16cid">
  <w16cid:commentId w16cid:paraId="0C30984B" w16cid:durableId="2931E73D"/>
  <w16cid:commentId w16cid:paraId="5F91055E" w16cid:durableId="53789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0EC7F" w14:textId="77777777" w:rsidR="00FF0B61" w:rsidRDefault="00FF0B61" w:rsidP="00CD73E5">
      <w:r>
        <w:separator/>
      </w:r>
    </w:p>
  </w:endnote>
  <w:endnote w:type="continuationSeparator" w:id="0">
    <w:p w14:paraId="03F7BA38" w14:textId="77777777" w:rsidR="00FF0B61" w:rsidRDefault="00FF0B61"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A" w14:textId="537CA6A9" w:rsidR="003B0FF2" w:rsidRPr="00A377CF" w:rsidRDefault="003B0FF2">
    <w:pPr>
      <w:pStyle w:val="Piedepgina"/>
      <w:framePr w:wrap="auto" w:vAnchor="text" w:hAnchor="margin" w:xAlign="right" w:y="1"/>
      <w:rPr>
        <w:rStyle w:val="Nmerodepgina"/>
        <w:rFonts w:ascii="Arial" w:hAnsi="Arial" w:cs="Arial"/>
        <w:sz w:val="18"/>
      </w:rPr>
    </w:pPr>
    <w:r w:rsidRPr="00A377CF">
      <w:rPr>
        <w:rStyle w:val="Nmerodepgina"/>
        <w:rFonts w:ascii="Arial" w:hAnsi="Arial" w:cs="Arial"/>
        <w:sz w:val="18"/>
      </w:rPr>
      <w:fldChar w:fldCharType="begin"/>
    </w:r>
    <w:r w:rsidRPr="00A377CF">
      <w:rPr>
        <w:rStyle w:val="Nmerodepgina"/>
        <w:rFonts w:ascii="Arial" w:hAnsi="Arial" w:cs="Arial"/>
        <w:sz w:val="18"/>
      </w:rPr>
      <w:instrText xml:space="preserve">PAGE  </w:instrText>
    </w:r>
    <w:r w:rsidRPr="00A377CF">
      <w:rPr>
        <w:rStyle w:val="Nmerodepgina"/>
        <w:rFonts w:ascii="Arial" w:hAnsi="Arial" w:cs="Arial"/>
        <w:sz w:val="18"/>
      </w:rPr>
      <w:fldChar w:fldCharType="separate"/>
    </w:r>
    <w:r w:rsidR="00973AAA">
      <w:rPr>
        <w:rStyle w:val="Nmerodepgina"/>
        <w:rFonts w:ascii="Arial" w:hAnsi="Arial" w:cs="Arial"/>
        <w:noProof/>
        <w:sz w:val="18"/>
      </w:rPr>
      <w:t>5</w:t>
    </w:r>
    <w:r w:rsidRPr="00A377CF">
      <w:rPr>
        <w:rStyle w:val="Nmerodepgina"/>
        <w:rFonts w:ascii="Arial" w:hAnsi="Arial" w:cs="Arial"/>
        <w:sz w:val="18"/>
      </w:rPr>
      <w:fldChar w:fldCharType="end"/>
    </w:r>
  </w:p>
  <w:p w14:paraId="57A77BFB" w14:textId="77777777" w:rsidR="003B0FF2" w:rsidRDefault="003B0F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49D6D" w14:textId="77777777" w:rsidR="00FF0B61" w:rsidRDefault="00FF0B61" w:rsidP="00CD73E5">
      <w:r>
        <w:separator/>
      </w:r>
    </w:p>
  </w:footnote>
  <w:footnote w:type="continuationSeparator" w:id="0">
    <w:p w14:paraId="055BE3E1" w14:textId="77777777" w:rsidR="00FF0B61" w:rsidRDefault="00FF0B61" w:rsidP="00CD73E5">
      <w:r>
        <w:continuationSeparator/>
      </w:r>
    </w:p>
  </w:footnote>
  <w:footnote w:id="1">
    <w:p w14:paraId="5B246130" w14:textId="2AA1A9BB"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05.</w:t>
      </w:r>
    </w:p>
  </w:footnote>
  <w:footnote w:id="2">
    <w:p w14:paraId="0F94B410" w14:textId="73DB246B"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11.</w:t>
      </w:r>
    </w:p>
  </w:footnote>
  <w:footnote w:id="3">
    <w:p w14:paraId="5015896D" w14:textId="2C44EB79"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12</w:t>
      </w:r>
      <w:r w:rsidR="00E57925" w:rsidRPr="00A377CF">
        <w:rPr>
          <w:rFonts w:ascii="Agency FB" w:hAnsi="Agency FB"/>
        </w:rPr>
        <w:t>.</w:t>
      </w:r>
    </w:p>
  </w:footnote>
  <w:footnote w:id="4">
    <w:p w14:paraId="1241C8A0" w14:textId="1CD76E3A"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14</w:t>
      </w:r>
      <w:r w:rsidR="00E57925" w:rsidRPr="00A377CF">
        <w:rPr>
          <w:rFonts w:ascii="Agency FB" w:hAnsi="Agency FB"/>
        </w:rPr>
        <w:t>.</w:t>
      </w:r>
    </w:p>
  </w:footnote>
  <w:footnote w:id="5">
    <w:p w14:paraId="13BDB9C3" w14:textId="2203D07D"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16</w:t>
      </w:r>
      <w:r w:rsidR="00E57925" w:rsidRPr="00A377CF">
        <w:rPr>
          <w:rFonts w:ascii="Agency FB" w:hAnsi="Agency FB"/>
        </w:rPr>
        <w:t>.</w:t>
      </w:r>
    </w:p>
  </w:footnote>
  <w:footnote w:id="6">
    <w:p w14:paraId="2C509C50" w14:textId="11DD1F40"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Archivo 17</w:t>
      </w:r>
      <w:r w:rsidR="00E57925" w:rsidRPr="00A377CF">
        <w:rPr>
          <w:rFonts w:ascii="Agency FB" w:hAnsi="Agency FB"/>
        </w:rPr>
        <w:t>.</w:t>
      </w:r>
    </w:p>
  </w:footnote>
  <w:footnote w:id="7">
    <w:p w14:paraId="258B9C43" w14:textId="449256B6"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Pág. 180, cuaderno acción popular.</w:t>
      </w:r>
    </w:p>
  </w:footnote>
  <w:footnote w:id="8">
    <w:p w14:paraId="029EB821" w14:textId="37AFA480" w:rsidR="003B0FF2" w:rsidRPr="00A377CF" w:rsidRDefault="003B0FF2" w:rsidP="00A377CF">
      <w:pPr>
        <w:pStyle w:val="Textonotapie"/>
        <w:jc w:val="both"/>
        <w:rPr>
          <w:rFonts w:ascii="Agency FB" w:hAnsi="Agency FB"/>
        </w:rPr>
      </w:pPr>
      <w:r w:rsidRPr="00A377CF">
        <w:rPr>
          <w:rStyle w:val="Refdenotaalpie"/>
          <w:rFonts w:ascii="Agency FB" w:hAnsi="Agency FB"/>
        </w:rPr>
        <w:footnoteRef/>
      </w:r>
      <w:r w:rsidR="00A377CF">
        <w:rPr>
          <w:rFonts w:ascii="Agency FB" w:hAnsi="Agency FB"/>
        </w:rPr>
        <w:t xml:space="preserve"> Pág. 183, ib.</w:t>
      </w:r>
    </w:p>
  </w:footnote>
  <w:footnote w:id="9">
    <w:p w14:paraId="14F9706F" w14:textId="77777777" w:rsidR="00CB0BE3" w:rsidRPr="00A377CF" w:rsidRDefault="00CB0BE3"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CC. T-230 de 2014, reitera las SU-975 de 2003 y T-883 de 2008</w:t>
      </w:r>
    </w:p>
  </w:footnote>
  <w:footnote w:id="10">
    <w:p w14:paraId="405AFEC2" w14:textId="77777777" w:rsidR="00CB0BE3" w:rsidRPr="00A377CF" w:rsidRDefault="00CB0BE3"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CSJ. </w:t>
      </w:r>
      <w:proofErr w:type="spellStart"/>
      <w:r w:rsidRPr="00A377CF">
        <w:rPr>
          <w:rFonts w:ascii="Agency FB" w:hAnsi="Agency FB"/>
        </w:rPr>
        <w:t>STC12717</w:t>
      </w:r>
      <w:proofErr w:type="spellEnd"/>
      <w:r w:rsidRPr="00A377CF">
        <w:rPr>
          <w:rFonts w:ascii="Agency FB" w:hAnsi="Agency FB"/>
        </w:rPr>
        <w:t xml:space="preserve">-2019 y </w:t>
      </w:r>
      <w:proofErr w:type="spellStart"/>
      <w:r w:rsidRPr="00A377CF">
        <w:rPr>
          <w:rFonts w:ascii="Agency FB" w:hAnsi="Agency FB"/>
        </w:rPr>
        <w:t>STC13358</w:t>
      </w:r>
      <w:proofErr w:type="spellEnd"/>
      <w:r w:rsidRPr="00A377CF">
        <w:rPr>
          <w:rFonts w:ascii="Agency FB" w:hAnsi="Agency FB"/>
        </w:rPr>
        <w:t>-2019.</w:t>
      </w:r>
    </w:p>
  </w:footnote>
  <w:footnote w:id="11">
    <w:p w14:paraId="7DEC274C" w14:textId="77777777" w:rsidR="00CB0BE3" w:rsidRPr="00A377CF" w:rsidRDefault="00CB0BE3" w:rsidP="00A377CF">
      <w:pPr>
        <w:pStyle w:val="Textonotapie"/>
        <w:jc w:val="both"/>
        <w:rPr>
          <w:rFonts w:ascii="Agency FB" w:hAnsi="Agency FB"/>
        </w:rPr>
      </w:pPr>
      <w:r w:rsidRPr="00A377CF">
        <w:rPr>
          <w:rStyle w:val="Refdenotaalpie"/>
          <w:rFonts w:ascii="Agency FB" w:hAnsi="Agency FB"/>
        </w:rPr>
        <w:footnoteRef/>
      </w:r>
      <w:r w:rsidRPr="00A377CF">
        <w:rPr>
          <w:rFonts w:ascii="Agency FB" w:hAnsi="Agency FB"/>
        </w:rPr>
        <w:t xml:space="preserve"> </w:t>
      </w:r>
      <w:proofErr w:type="spellStart"/>
      <w:r w:rsidRPr="00A377CF">
        <w:rPr>
          <w:rFonts w:ascii="Agency FB" w:hAnsi="Agency FB"/>
        </w:rPr>
        <w:t>TSP</w:t>
      </w:r>
      <w:proofErr w:type="spellEnd"/>
      <w:r w:rsidRPr="00A377CF">
        <w:rPr>
          <w:rFonts w:ascii="Agency FB" w:hAnsi="Agency FB"/>
        </w:rPr>
        <w:t xml:space="preserve">, </w:t>
      </w:r>
      <w:proofErr w:type="spellStart"/>
      <w:r w:rsidRPr="00A377CF">
        <w:rPr>
          <w:rFonts w:ascii="Agency FB" w:hAnsi="Agency FB"/>
        </w:rPr>
        <w:t>SCF</w:t>
      </w:r>
      <w:proofErr w:type="spellEnd"/>
      <w:r w:rsidRPr="00A377CF">
        <w:rPr>
          <w:rFonts w:ascii="Agency FB" w:hAnsi="Agency FB"/>
        </w:rPr>
        <w:t xml:space="preserve">. Sentencia 25/09/20 Rad. 66001-22-13-000-2020-00129-00, </w:t>
      </w:r>
      <w:proofErr w:type="spellStart"/>
      <w:r w:rsidRPr="00A377CF">
        <w:rPr>
          <w:rFonts w:ascii="Agency FB" w:hAnsi="Agency FB"/>
        </w:rPr>
        <w:t>M.P</w:t>
      </w:r>
      <w:proofErr w:type="spellEnd"/>
      <w:r w:rsidRPr="00A377CF">
        <w:rPr>
          <w:rFonts w:ascii="Agency FB" w:hAnsi="Agency FB"/>
        </w:rPr>
        <w:t xml:space="preserve">. </w:t>
      </w:r>
      <w:proofErr w:type="spellStart"/>
      <w:r w:rsidRPr="00A377CF">
        <w:rPr>
          <w:rFonts w:ascii="Agency FB" w:hAnsi="Agency FB"/>
        </w:rPr>
        <w:t>Duberney</w:t>
      </w:r>
      <w:proofErr w:type="spellEnd"/>
      <w:r w:rsidRPr="00A377CF">
        <w:rPr>
          <w:rFonts w:ascii="Agency FB" w:hAnsi="Agency FB"/>
        </w:rPr>
        <w:t xml:space="preserve"> Grisales Herrera.</w:t>
      </w:r>
    </w:p>
  </w:footnote>
  <w:footnote w:id="12">
    <w:p w14:paraId="67AC921B" w14:textId="77777777" w:rsidR="00CB0BE3" w:rsidRPr="005311DF" w:rsidRDefault="00CB0BE3" w:rsidP="00A377CF">
      <w:pPr>
        <w:pStyle w:val="Textonotapie"/>
        <w:jc w:val="both"/>
        <w:rPr>
          <w:rFonts w:ascii="Agency FB" w:hAnsi="Agency FB"/>
          <w:sz w:val="26"/>
          <w:szCs w:val="26"/>
        </w:rPr>
      </w:pPr>
      <w:r w:rsidRPr="00A377CF">
        <w:rPr>
          <w:rStyle w:val="Refdenotaalpie"/>
          <w:rFonts w:ascii="Agency FB" w:hAnsi="Agency FB"/>
        </w:rPr>
        <w:footnoteRef/>
      </w:r>
      <w:r w:rsidRPr="00A377CF">
        <w:rPr>
          <w:rFonts w:ascii="Agency FB" w:hAnsi="Agency FB"/>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9" w14:textId="77777777" w:rsidR="003B0FF2" w:rsidRDefault="003B0FF2"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05B50"/>
    <w:rsid w:val="000334CF"/>
    <w:rsid w:val="00042088"/>
    <w:rsid w:val="00065074"/>
    <w:rsid w:val="00095C04"/>
    <w:rsid w:val="000B6EBC"/>
    <w:rsid w:val="000C0169"/>
    <w:rsid w:val="000C2955"/>
    <w:rsid w:val="000F189F"/>
    <w:rsid w:val="000F5B38"/>
    <w:rsid w:val="0010676D"/>
    <w:rsid w:val="00121845"/>
    <w:rsid w:val="00122A4C"/>
    <w:rsid w:val="00123442"/>
    <w:rsid w:val="001247B9"/>
    <w:rsid w:val="001355B9"/>
    <w:rsid w:val="00144607"/>
    <w:rsid w:val="00147AF4"/>
    <w:rsid w:val="0015581E"/>
    <w:rsid w:val="0017328F"/>
    <w:rsid w:val="00190582"/>
    <w:rsid w:val="001920FD"/>
    <w:rsid w:val="001924A5"/>
    <w:rsid w:val="001A46A3"/>
    <w:rsid w:val="001A6E73"/>
    <w:rsid w:val="001B3777"/>
    <w:rsid w:val="001C1144"/>
    <w:rsid w:val="001C401E"/>
    <w:rsid w:val="001C4FAC"/>
    <w:rsid w:val="001C62C3"/>
    <w:rsid w:val="001E0739"/>
    <w:rsid w:val="001E1A7B"/>
    <w:rsid w:val="001E6B2D"/>
    <w:rsid w:val="00227E21"/>
    <w:rsid w:val="002452B5"/>
    <w:rsid w:val="00254CA3"/>
    <w:rsid w:val="00254ECB"/>
    <w:rsid w:val="00266981"/>
    <w:rsid w:val="00285265"/>
    <w:rsid w:val="002A13BB"/>
    <w:rsid w:val="002A1824"/>
    <w:rsid w:val="002B2D36"/>
    <w:rsid w:val="002C4C8A"/>
    <w:rsid w:val="002D1F05"/>
    <w:rsid w:val="002D2DB6"/>
    <w:rsid w:val="002E0E95"/>
    <w:rsid w:val="002E1D71"/>
    <w:rsid w:val="00300E4C"/>
    <w:rsid w:val="0030149B"/>
    <w:rsid w:val="003049BB"/>
    <w:rsid w:val="003127B8"/>
    <w:rsid w:val="00313F89"/>
    <w:rsid w:val="003538FF"/>
    <w:rsid w:val="0035768F"/>
    <w:rsid w:val="003661C1"/>
    <w:rsid w:val="00385FFE"/>
    <w:rsid w:val="00387AE2"/>
    <w:rsid w:val="003969EA"/>
    <w:rsid w:val="003B0FF2"/>
    <w:rsid w:val="003B1101"/>
    <w:rsid w:val="003C252A"/>
    <w:rsid w:val="003C422B"/>
    <w:rsid w:val="003D5AB5"/>
    <w:rsid w:val="003E11C3"/>
    <w:rsid w:val="003E5B22"/>
    <w:rsid w:val="0040594D"/>
    <w:rsid w:val="00407377"/>
    <w:rsid w:val="00424BF8"/>
    <w:rsid w:val="004301A9"/>
    <w:rsid w:val="00436A51"/>
    <w:rsid w:val="004654D3"/>
    <w:rsid w:val="004659D1"/>
    <w:rsid w:val="00486C68"/>
    <w:rsid w:val="00496CF1"/>
    <w:rsid w:val="004A2C5A"/>
    <w:rsid w:val="004A6EA8"/>
    <w:rsid w:val="004D526F"/>
    <w:rsid w:val="004E35A9"/>
    <w:rsid w:val="004F2A55"/>
    <w:rsid w:val="00514505"/>
    <w:rsid w:val="00526F23"/>
    <w:rsid w:val="005519D6"/>
    <w:rsid w:val="0056018F"/>
    <w:rsid w:val="00561C0C"/>
    <w:rsid w:val="005729AD"/>
    <w:rsid w:val="005930DD"/>
    <w:rsid w:val="005A1133"/>
    <w:rsid w:val="005A7048"/>
    <w:rsid w:val="005B3B79"/>
    <w:rsid w:val="005B4AFA"/>
    <w:rsid w:val="005D5FC7"/>
    <w:rsid w:val="005D6060"/>
    <w:rsid w:val="005E2B2E"/>
    <w:rsid w:val="005F1C24"/>
    <w:rsid w:val="005F308F"/>
    <w:rsid w:val="006039FA"/>
    <w:rsid w:val="00610BDF"/>
    <w:rsid w:val="006143D6"/>
    <w:rsid w:val="006264E5"/>
    <w:rsid w:val="00654459"/>
    <w:rsid w:val="00682FC9"/>
    <w:rsid w:val="00686973"/>
    <w:rsid w:val="006A212D"/>
    <w:rsid w:val="006B16B9"/>
    <w:rsid w:val="006B3724"/>
    <w:rsid w:val="006C4696"/>
    <w:rsid w:val="006C5346"/>
    <w:rsid w:val="006C57D3"/>
    <w:rsid w:val="006C7A26"/>
    <w:rsid w:val="006E55AF"/>
    <w:rsid w:val="006F2F50"/>
    <w:rsid w:val="006F640A"/>
    <w:rsid w:val="006F7900"/>
    <w:rsid w:val="00713293"/>
    <w:rsid w:val="007227F4"/>
    <w:rsid w:val="00726021"/>
    <w:rsid w:val="00772119"/>
    <w:rsid w:val="00772A5D"/>
    <w:rsid w:val="0079179A"/>
    <w:rsid w:val="007A1BFF"/>
    <w:rsid w:val="007B3A0F"/>
    <w:rsid w:val="007B47FE"/>
    <w:rsid w:val="007D0DB4"/>
    <w:rsid w:val="00813B3F"/>
    <w:rsid w:val="00834573"/>
    <w:rsid w:val="00850350"/>
    <w:rsid w:val="00850B1A"/>
    <w:rsid w:val="00864333"/>
    <w:rsid w:val="00864C42"/>
    <w:rsid w:val="008718AA"/>
    <w:rsid w:val="0089683B"/>
    <w:rsid w:val="008A0096"/>
    <w:rsid w:val="008C2D90"/>
    <w:rsid w:val="008C590D"/>
    <w:rsid w:val="008D5404"/>
    <w:rsid w:val="008D5A2B"/>
    <w:rsid w:val="009022F5"/>
    <w:rsid w:val="00943FF1"/>
    <w:rsid w:val="00946420"/>
    <w:rsid w:val="00965768"/>
    <w:rsid w:val="00966586"/>
    <w:rsid w:val="00973AAA"/>
    <w:rsid w:val="009878F9"/>
    <w:rsid w:val="009A2618"/>
    <w:rsid w:val="009B4568"/>
    <w:rsid w:val="009C75F4"/>
    <w:rsid w:val="009D0F3B"/>
    <w:rsid w:val="009D23F0"/>
    <w:rsid w:val="009D4C7B"/>
    <w:rsid w:val="009D5349"/>
    <w:rsid w:val="009E0FD8"/>
    <w:rsid w:val="009E4741"/>
    <w:rsid w:val="00A006BB"/>
    <w:rsid w:val="00A026AD"/>
    <w:rsid w:val="00A0360C"/>
    <w:rsid w:val="00A14545"/>
    <w:rsid w:val="00A16252"/>
    <w:rsid w:val="00A210FF"/>
    <w:rsid w:val="00A219F4"/>
    <w:rsid w:val="00A27193"/>
    <w:rsid w:val="00A33F4E"/>
    <w:rsid w:val="00A35114"/>
    <w:rsid w:val="00A377CF"/>
    <w:rsid w:val="00A37894"/>
    <w:rsid w:val="00A4037B"/>
    <w:rsid w:val="00A42D85"/>
    <w:rsid w:val="00A54986"/>
    <w:rsid w:val="00A734BF"/>
    <w:rsid w:val="00A80E46"/>
    <w:rsid w:val="00A8218F"/>
    <w:rsid w:val="00A8400C"/>
    <w:rsid w:val="00AA76D0"/>
    <w:rsid w:val="00AC4FDF"/>
    <w:rsid w:val="00AC5562"/>
    <w:rsid w:val="00AC5A7D"/>
    <w:rsid w:val="00AC5EE5"/>
    <w:rsid w:val="00AC7344"/>
    <w:rsid w:val="00AD5A79"/>
    <w:rsid w:val="00AE6090"/>
    <w:rsid w:val="00AF4AD3"/>
    <w:rsid w:val="00AF5B39"/>
    <w:rsid w:val="00B009FB"/>
    <w:rsid w:val="00B01CB1"/>
    <w:rsid w:val="00B02BE9"/>
    <w:rsid w:val="00B34201"/>
    <w:rsid w:val="00B40BCA"/>
    <w:rsid w:val="00B42B6E"/>
    <w:rsid w:val="00B519AC"/>
    <w:rsid w:val="00B632F4"/>
    <w:rsid w:val="00B9767B"/>
    <w:rsid w:val="00BC3321"/>
    <w:rsid w:val="00BE3D4C"/>
    <w:rsid w:val="00BF426C"/>
    <w:rsid w:val="00C1466B"/>
    <w:rsid w:val="00C26DAB"/>
    <w:rsid w:val="00C46A3A"/>
    <w:rsid w:val="00C54BA0"/>
    <w:rsid w:val="00C71F28"/>
    <w:rsid w:val="00C805F6"/>
    <w:rsid w:val="00C82097"/>
    <w:rsid w:val="00CB0BE3"/>
    <w:rsid w:val="00CB75FF"/>
    <w:rsid w:val="00CB7F71"/>
    <w:rsid w:val="00CD34E9"/>
    <w:rsid w:val="00CD73E5"/>
    <w:rsid w:val="00CE68E9"/>
    <w:rsid w:val="00CF7999"/>
    <w:rsid w:val="00D07982"/>
    <w:rsid w:val="00D1609F"/>
    <w:rsid w:val="00D16A63"/>
    <w:rsid w:val="00D325A2"/>
    <w:rsid w:val="00D46456"/>
    <w:rsid w:val="00D622C1"/>
    <w:rsid w:val="00D8186A"/>
    <w:rsid w:val="00D842EC"/>
    <w:rsid w:val="00DA007F"/>
    <w:rsid w:val="00DA1D30"/>
    <w:rsid w:val="00DB285E"/>
    <w:rsid w:val="00DB2B97"/>
    <w:rsid w:val="00DD7802"/>
    <w:rsid w:val="00DE700F"/>
    <w:rsid w:val="00DF5E59"/>
    <w:rsid w:val="00DF6578"/>
    <w:rsid w:val="00E00E45"/>
    <w:rsid w:val="00E03443"/>
    <w:rsid w:val="00E03D5E"/>
    <w:rsid w:val="00E040C3"/>
    <w:rsid w:val="00E31BED"/>
    <w:rsid w:val="00E41FFB"/>
    <w:rsid w:val="00E451B1"/>
    <w:rsid w:val="00E57925"/>
    <w:rsid w:val="00E6002C"/>
    <w:rsid w:val="00E60AAF"/>
    <w:rsid w:val="00E64FFE"/>
    <w:rsid w:val="00EE3EC5"/>
    <w:rsid w:val="00EE4976"/>
    <w:rsid w:val="00F111E5"/>
    <w:rsid w:val="00F1637D"/>
    <w:rsid w:val="00F20A47"/>
    <w:rsid w:val="00F34452"/>
    <w:rsid w:val="00F44381"/>
    <w:rsid w:val="00F52C02"/>
    <w:rsid w:val="00F611DC"/>
    <w:rsid w:val="00F66464"/>
    <w:rsid w:val="00F90CD5"/>
    <w:rsid w:val="00FA0A60"/>
    <w:rsid w:val="00FB7F2B"/>
    <w:rsid w:val="00FC513B"/>
    <w:rsid w:val="00FD6F14"/>
    <w:rsid w:val="00FF0520"/>
    <w:rsid w:val="00FF0B61"/>
    <w:rsid w:val="00FF5E79"/>
    <w:rsid w:val="0A3D1F3B"/>
    <w:rsid w:val="0C50B5C7"/>
    <w:rsid w:val="0C86AFFB"/>
    <w:rsid w:val="0DFED7A1"/>
    <w:rsid w:val="13ED5414"/>
    <w:rsid w:val="174FF54E"/>
    <w:rsid w:val="1DBF4477"/>
    <w:rsid w:val="25E8F9B0"/>
    <w:rsid w:val="2D073117"/>
    <w:rsid w:val="2D852232"/>
    <w:rsid w:val="337765E1"/>
    <w:rsid w:val="36E7611D"/>
    <w:rsid w:val="38EFA0A3"/>
    <w:rsid w:val="3A1A74EC"/>
    <w:rsid w:val="3E29419B"/>
    <w:rsid w:val="42B66760"/>
    <w:rsid w:val="4336642D"/>
    <w:rsid w:val="4E0EA874"/>
    <w:rsid w:val="53DF8212"/>
    <w:rsid w:val="5896A87F"/>
    <w:rsid w:val="5B8212CB"/>
    <w:rsid w:val="5FC52665"/>
    <w:rsid w:val="612CD55A"/>
    <w:rsid w:val="6960E82C"/>
    <w:rsid w:val="6D9C0BD4"/>
    <w:rsid w:val="6FA94340"/>
    <w:rsid w:val="75C5775E"/>
    <w:rsid w:val="76B94AB4"/>
    <w:rsid w:val="79F31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A377CF"/>
    <w:pPr>
      <w:tabs>
        <w:tab w:val="center" w:pos="4252"/>
        <w:tab w:val="right" w:pos="8504"/>
      </w:tabs>
    </w:pPr>
  </w:style>
  <w:style w:type="character" w:customStyle="1" w:styleId="EncabezadoCar">
    <w:name w:val="Encabezado Car"/>
    <w:basedOn w:val="Fuentedeprrafopredeter"/>
    <w:link w:val="Encabezado"/>
    <w:uiPriority w:val="99"/>
    <w:rsid w:val="00A377CF"/>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A377CF"/>
    <w:pPr>
      <w:tabs>
        <w:tab w:val="center" w:pos="4252"/>
        <w:tab w:val="right" w:pos="8504"/>
      </w:tabs>
    </w:pPr>
  </w:style>
  <w:style w:type="character" w:customStyle="1" w:styleId="EncabezadoCar">
    <w:name w:val="Encabezado Car"/>
    <w:basedOn w:val="Fuentedeprrafopredeter"/>
    <w:link w:val="Encabezado"/>
    <w:uiPriority w:val="99"/>
    <w:rsid w:val="00A377C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9ac65b5f88134c7b"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1731053c0d684c7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004A-B9D8-4507-A2B8-311718AC8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B914B-08F3-4140-BEF8-26C047956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D871-C539-4D5F-A266-2DB0B8256964}">
  <ds:schemaRefs>
    <ds:schemaRef ds:uri="http://schemas.microsoft.com/sharepoint/v3/contenttype/forms"/>
  </ds:schemaRefs>
</ds:datastoreItem>
</file>

<file path=customXml/itemProps4.xml><?xml version="1.0" encoding="utf-8"?>
<ds:datastoreItem xmlns:ds="http://schemas.openxmlformats.org/officeDocument/2006/customXml" ds:itemID="{4E874EA0-09F0-4F58-B2AF-CCEECF52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4</cp:revision>
  <cp:lastPrinted>2020-08-27T13:06:00Z</cp:lastPrinted>
  <dcterms:created xsi:type="dcterms:W3CDTF">2020-09-28T18:57:00Z</dcterms:created>
  <dcterms:modified xsi:type="dcterms:W3CDTF">2020-11-01T00:10:00Z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