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D9C27" w14:textId="77777777" w:rsidR="007F1030" w:rsidRPr="007F1030" w:rsidRDefault="007F1030" w:rsidP="007F103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7F103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CC3339" w14:textId="77777777" w:rsidR="007F1030" w:rsidRPr="007F1030" w:rsidRDefault="007F1030" w:rsidP="007F1030">
      <w:pPr>
        <w:jc w:val="both"/>
        <w:rPr>
          <w:rFonts w:ascii="Arial" w:hAnsi="Arial" w:cs="Arial"/>
          <w:sz w:val="20"/>
          <w:szCs w:val="20"/>
          <w:lang w:val="es-419"/>
        </w:rPr>
      </w:pPr>
    </w:p>
    <w:p w14:paraId="76D5EE3E" w14:textId="41E76C9D" w:rsidR="007F1030" w:rsidRPr="007F1030" w:rsidRDefault="007F1030" w:rsidP="007F1030">
      <w:pPr>
        <w:jc w:val="both"/>
        <w:rPr>
          <w:rFonts w:ascii="Arial" w:hAnsi="Arial" w:cs="Arial"/>
          <w:b/>
          <w:bCs/>
          <w:iCs/>
          <w:sz w:val="20"/>
          <w:szCs w:val="20"/>
          <w:lang w:val="es-419" w:eastAsia="fr-FR"/>
        </w:rPr>
      </w:pPr>
      <w:r w:rsidRPr="007F1030">
        <w:rPr>
          <w:rFonts w:ascii="Arial" w:hAnsi="Arial" w:cs="Arial"/>
          <w:b/>
          <w:bCs/>
          <w:iCs/>
          <w:sz w:val="20"/>
          <w:szCs w:val="20"/>
          <w:u w:val="single"/>
          <w:lang w:val="es-419" w:eastAsia="fr-FR"/>
        </w:rPr>
        <w:t>TEMAS:</w:t>
      </w:r>
      <w:r w:rsidRPr="007F1030">
        <w:rPr>
          <w:rFonts w:ascii="Arial" w:hAnsi="Arial" w:cs="Arial"/>
          <w:b/>
          <w:bCs/>
          <w:iCs/>
          <w:sz w:val="20"/>
          <w:szCs w:val="20"/>
          <w:lang w:val="es-419" w:eastAsia="fr-FR"/>
        </w:rPr>
        <w:tab/>
      </w:r>
      <w:r w:rsidR="00641CDD">
        <w:rPr>
          <w:rFonts w:ascii="Arial" w:hAnsi="Arial" w:cs="Arial"/>
          <w:b/>
          <w:bCs/>
          <w:iCs/>
          <w:sz w:val="20"/>
          <w:szCs w:val="20"/>
          <w:lang w:val="es-419" w:eastAsia="fr-FR"/>
        </w:rPr>
        <w:t xml:space="preserve">PENSIÓN DE SOBREVIVIENTES / RÉGIMEN APLICABLE / CONDICIÓN MÁS BENEFICIOSA / SUSTENTO CONSTITUCIONAL </w:t>
      </w:r>
      <w:r w:rsidRPr="007F1030">
        <w:rPr>
          <w:rFonts w:ascii="Arial" w:hAnsi="Arial" w:cs="Arial"/>
          <w:b/>
          <w:bCs/>
          <w:iCs/>
          <w:sz w:val="20"/>
          <w:szCs w:val="20"/>
          <w:lang w:val="es-419" w:eastAsia="fr-FR"/>
        </w:rPr>
        <w:t xml:space="preserve">/ </w:t>
      </w:r>
      <w:r w:rsidR="00641CDD">
        <w:rPr>
          <w:rFonts w:ascii="Arial" w:hAnsi="Arial" w:cs="Arial"/>
          <w:b/>
          <w:bCs/>
          <w:iCs/>
          <w:sz w:val="20"/>
          <w:szCs w:val="20"/>
          <w:lang w:val="es-419" w:eastAsia="fr-FR"/>
        </w:rPr>
        <w:t>DE LEY 100 DE 1993 A ACUERDO 049 DE 1990 / REQUISITOS.</w:t>
      </w:r>
    </w:p>
    <w:p w14:paraId="0821BDE2" w14:textId="77777777" w:rsidR="007F1030" w:rsidRPr="007F1030" w:rsidRDefault="007F1030" w:rsidP="007F1030">
      <w:pPr>
        <w:jc w:val="both"/>
        <w:rPr>
          <w:rFonts w:ascii="Arial" w:hAnsi="Arial" w:cs="Arial"/>
          <w:sz w:val="20"/>
          <w:szCs w:val="20"/>
          <w:lang w:val="es-419"/>
        </w:rPr>
      </w:pPr>
    </w:p>
    <w:p w14:paraId="05E464D9" w14:textId="77777777" w:rsidR="00CA26BB" w:rsidRPr="00CA26BB" w:rsidRDefault="00CA26BB" w:rsidP="00CA26BB">
      <w:pPr>
        <w:jc w:val="both"/>
        <w:rPr>
          <w:rFonts w:ascii="Arial" w:hAnsi="Arial" w:cs="Arial"/>
          <w:sz w:val="20"/>
          <w:szCs w:val="20"/>
          <w:lang w:val="es-419"/>
        </w:rPr>
      </w:pPr>
      <w:r>
        <w:rPr>
          <w:rFonts w:ascii="Arial" w:hAnsi="Arial" w:cs="Arial"/>
          <w:sz w:val="20"/>
          <w:szCs w:val="20"/>
          <w:lang w:val="es-419"/>
        </w:rPr>
        <w:t xml:space="preserve">… </w:t>
      </w:r>
      <w:r w:rsidRPr="00CA26BB">
        <w:rPr>
          <w:rFonts w:ascii="Arial" w:hAnsi="Arial" w:cs="Arial"/>
          <w:sz w:val="20"/>
          <w:szCs w:val="20"/>
          <w:lang w:val="es-419"/>
        </w:rPr>
        <w:t xml:space="preserve">el artículo 11 de la Ley 100 de 1993, dispuso su aplicación a todos los habitantes del territorio, dejando a salvo los derechos adquiridos y establecidos conforme reglas anteriores para quienes a la fecha de su entrada en vigencia, hubieren cumplido los requisitos para acceder a una pensión o se encontraren pensionados. </w:t>
      </w:r>
    </w:p>
    <w:p w14:paraId="25FD9347" w14:textId="77777777" w:rsidR="00CA26BB" w:rsidRPr="00CA26BB" w:rsidRDefault="00CA26BB" w:rsidP="00CA26BB">
      <w:pPr>
        <w:jc w:val="both"/>
        <w:rPr>
          <w:rFonts w:ascii="Arial" w:hAnsi="Arial" w:cs="Arial"/>
          <w:sz w:val="20"/>
          <w:szCs w:val="20"/>
          <w:lang w:val="es-419"/>
        </w:rPr>
      </w:pPr>
    </w:p>
    <w:p w14:paraId="117E363C" w14:textId="0348BB1F" w:rsidR="007F1030" w:rsidRPr="007F1030" w:rsidRDefault="00CA26BB" w:rsidP="00CA26BB">
      <w:pPr>
        <w:jc w:val="both"/>
        <w:rPr>
          <w:rFonts w:ascii="Arial" w:hAnsi="Arial" w:cs="Arial"/>
          <w:sz w:val="20"/>
          <w:szCs w:val="20"/>
          <w:lang w:val="es-419"/>
        </w:rPr>
      </w:pPr>
      <w:r w:rsidRPr="00CA26BB">
        <w:rPr>
          <w:rFonts w:ascii="Arial" w:hAnsi="Arial" w:cs="Arial"/>
          <w:sz w:val="20"/>
          <w:szCs w:val="20"/>
          <w:lang w:val="es-419"/>
        </w:rPr>
        <w:t>Acorde con lo anterior, en materia de pensión de sobrevivientes, la nueva ley se aplica de manera inmediata a los casos de los afiliados que no han fallecido, y consecuentemente, la norma que regula el derecho, no es otra que la vigente al mo</w:t>
      </w:r>
      <w:r>
        <w:rPr>
          <w:rFonts w:ascii="Arial" w:hAnsi="Arial" w:cs="Arial"/>
          <w:sz w:val="20"/>
          <w:szCs w:val="20"/>
          <w:lang w:val="es-419"/>
        </w:rPr>
        <w:t>mento en que ocurre el deceso. (…)</w:t>
      </w:r>
    </w:p>
    <w:p w14:paraId="31F358F1" w14:textId="77777777" w:rsidR="007F1030" w:rsidRPr="007F1030" w:rsidRDefault="007F1030" w:rsidP="007F1030">
      <w:pPr>
        <w:jc w:val="both"/>
        <w:rPr>
          <w:rFonts w:ascii="Arial" w:hAnsi="Arial" w:cs="Arial"/>
          <w:sz w:val="20"/>
          <w:szCs w:val="20"/>
          <w:lang w:val="es-419"/>
        </w:rPr>
      </w:pPr>
    </w:p>
    <w:p w14:paraId="2BA2F51A" w14:textId="77777777" w:rsidR="00CA26BB" w:rsidRPr="00CA26BB" w:rsidRDefault="00CA26BB" w:rsidP="00CA26BB">
      <w:pPr>
        <w:jc w:val="both"/>
        <w:rPr>
          <w:rFonts w:ascii="Arial" w:hAnsi="Arial" w:cs="Arial"/>
          <w:sz w:val="20"/>
          <w:szCs w:val="20"/>
          <w:lang w:val="es-419"/>
        </w:rPr>
      </w:pPr>
      <w:r w:rsidRPr="00CA26BB">
        <w:rPr>
          <w:rFonts w:ascii="Arial" w:hAnsi="Arial" w:cs="Arial"/>
          <w:sz w:val="20"/>
          <w:szCs w:val="20"/>
          <w:lang w:val="es-419"/>
        </w:rPr>
        <w:t xml:space="preserve">No obstante, como los cambios legislativos en el sistema pensional no pueden desconocer las expectativas legítimas y en relación con la prestación de sobrevivientes el legislador no ha previsto disposiciones que las amparen, a partir de la interpretación de los artículos 48 y 53 Superiores, cuando el afiliado no alcanza a cotizar la densidad de semanas exigidas en esta normativa para que su grupo familiar pueda acceder a la pensión, de manera excepcional se ha admitido que es dable acudir a un régimen anterior, en virtud del principio de la condición más beneficiosa. </w:t>
      </w:r>
    </w:p>
    <w:p w14:paraId="25A1A430" w14:textId="77777777" w:rsidR="00CA26BB" w:rsidRPr="00CA26BB" w:rsidRDefault="00CA26BB" w:rsidP="00CA26BB">
      <w:pPr>
        <w:jc w:val="both"/>
        <w:rPr>
          <w:rFonts w:ascii="Arial" w:hAnsi="Arial" w:cs="Arial"/>
          <w:sz w:val="20"/>
          <w:szCs w:val="20"/>
          <w:lang w:val="es-419"/>
        </w:rPr>
      </w:pPr>
    </w:p>
    <w:p w14:paraId="452492B0" w14:textId="77777777" w:rsidR="00CA26BB" w:rsidRPr="00CA26BB" w:rsidRDefault="00CA26BB" w:rsidP="00CA26BB">
      <w:pPr>
        <w:jc w:val="both"/>
        <w:rPr>
          <w:rFonts w:ascii="Arial" w:hAnsi="Arial" w:cs="Arial"/>
          <w:sz w:val="20"/>
          <w:szCs w:val="20"/>
          <w:lang w:val="es-419"/>
        </w:rPr>
      </w:pPr>
      <w:r w:rsidRPr="00CA26BB">
        <w:rPr>
          <w:rFonts w:ascii="Arial" w:hAnsi="Arial" w:cs="Arial"/>
          <w:sz w:val="20"/>
          <w:szCs w:val="20"/>
          <w:lang w:val="es-419"/>
        </w:rPr>
        <w:t xml:space="preserve">Conforme con lo anterior y concretamente cuando el afiliado fallece en vigencia del artículo 46 la Ley 100 de 1993, antes de ser modificado por la Ley 797 de 2003, debe acreditar 26 semanas de cotizaciones al momento de la muerte, si estaba aportando, o igual número de semanas dentro del año inmediatamente anterior, en el evento de haber dejado de cotizar. </w:t>
      </w:r>
    </w:p>
    <w:p w14:paraId="271C4E32" w14:textId="77777777" w:rsidR="00CA26BB" w:rsidRPr="00CA26BB" w:rsidRDefault="00CA26BB" w:rsidP="00CA26BB">
      <w:pPr>
        <w:jc w:val="both"/>
        <w:rPr>
          <w:rFonts w:ascii="Arial" w:hAnsi="Arial" w:cs="Arial"/>
          <w:sz w:val="20"/>
          <w:szCs w:val="20"/>
          <w:lang w:val="es-419"/>
        </w:rPr>
      </w:pPr>
    </w:p>
    <w:p w14:paraId="5FA7D16B" w14:textId="134EAC27" w:rsidR="007F1030" w:rsidRPr="007F1030" w:rsidRDefault="00CA26BB" w:rsidP="00CA26BB">
      <w:pPr>
        <w:jc w:val="both"/>
        <w:rPr>
          <w:rFonts w:ascii="Arial" w:hAnsi="Arial" w:cs="Arial"/>
          <w:sz w:val="20"/>
          <w:szCs w:val="20"/>
          <w:lang w:val="es-419"/>
        </w:rPr>
      </w:pPr>
      <w:r w:rsidRPr="00CA26BB">
        <w:rPr>
          <w:rFonts w:ascii="Arial" w:hAnsi="Arial" w:cs="Arial"/>
          <w:sz w:val="20"/>
          <w:szCs w:val="20"/>
          <w:lang w:val="es-419"/>
        </w:rPr>
        <w:t>Sin embargo, cuando el afiliado fallece sin reunir estos requisitos, se ha establecido de manera reiterada por vía jurisprudencial que es viable acudir a las previsiones del Acuerdo 049 de 1990, aprobado p</w:t>
      </w:r>
      <w:r>
        <w:rPr>
          <w:rFonts w:ascii="Arial" w:hAnsi="Arial" w:cs="Arial"/>
          <w:sz w:val="20"/>
          <w:szCs w:val="20"/>
          <w:lang w:val="es-419"/>
        </w:rPr>
        <w:t>or el Decreto 758 del mismo año…</w:t>
      </w:r>
    </w:p>
    <w:p w14:paraId="4419D4BB" w14:textId="77777777" w:rsidR="007F1030" w:rsidRDefault="007F1030" w:rsidP="007F1030">
      <w:pPr>
        <w:jc w:val="both"/>
        <w:rPr>
          <w:rFonts w:ascii="Arial" w:hAnsi="Arial" w:cs="Arial"/>
          <w:sz w:val="20"/>
          <w:szCs w:val="20"/>
        </w:rPr>
      </w:pPr>
    </w:p>
    <w:p w14:paraId="458B18A8" w14:textId="33F814F8" w:rsidR="00641CDD" w:rsidRDefault="00641CDD" w:rsidP="007F1030">
      <w:pPr>
        <w:jc w:val="both"/>
        <w:rPr>
          <w:rFonts w:ascii="Arial" w:hAnsi="Arial" w:cs="Arial"/>
          <w:sz w:val="20"/>
          <w:szCs w:val="20"/>
        </w:rPr>
      </w:pPr>
      <w:r>
        <w:rPr>
          <w:rFonts w:ascii="Arial" w:hAnsi="Arial" w:cs="Arial"/>
          <w:sz w:val="20"/>
          <w:szCs w:val="20"/>
        </w:rPr>
        <w:t xml:space="preserve">… </w:t>
      </w:r>
      <w:r w:rsidRPr="00641CDD">
        <w:rPr>
          <w:rFonts w:ascii="Arial" w:hAnsi="Arial" w:cs="Arial"/>
          <w:sz w:val="20"/>
          <w:szCs w:val="20"/>
        </w:rPr>
        <w:t>en lo que respecta a los requisitos subjetivos, en lo pertinente, el artículo 47 de la Ley 100 de 1993, en su redacción primigenia, incluye como beneficiarios: (i) al cónyuge o compañero (a) permanente del afiliado o pensionado,  si acredita convivencia con el fallecido por espacio no menor de dos años continuos con anterioridad a su muerte, o también si prueba la procreación de uno o más hijos con el causante</w:t>
      </w:r>
      <w:r>
        <w:rPr>
          <w:rFonts w:ascii="Arial" w:hAnsi="Arial" w:cs="Arial"/>
          <w:sz w:val="20"/>
          <w:szCs w:val="20"/>
        </w:rPr>
        <w:t>…</w:t>
      </w:r>
    </w:p>
    <w:p w14:paraId="043DB642" w14:textId="77777777" w:rsidR="00641CDD" w:rsidRPr="007F1030" w:rsidRDefault="00641CDD" w:rsidP="007F1030">
      <w:pPr>
        <w:jc w:val="both"/>
        <w:rPr>
          <w:rFonts w:ascii="Arial" w:hAnsi="Arial" w:cs="Arial"/>
          <w:sz w:val="20"/>
          <w:szCs w:val="20"/>
        </w:rPr>
      </w:pPr>
    </w:p>
    <w:p w14:paraId="2E02E220" w14:textId="77777777" w:rsidR="007F1030" w:rsidRPr="007F1030" w:rsidRDefault="007F1030" w:rsidP="007F1030">
      <w:pPr>
        <w:jc w:val="both"/>
        <w:rPr>
          <w:rFonts w:ascii="Arial" w:hAnsi="Arial" w:cs="Arial"/>
          <w:sz w:val="20"/>
          <w:szCs w:val="20"/>
        </w:rPr>
      </w:pPr>
    </w:p>
    <w:p w14:paraId="3FA9B772" w14:textId="77777777" w:rsidR="007F1030" w:rsidRPr="007F1030" w:rsidRDefault="007F1030" w:rsidP="007F1030">
      <w:pPr>
        <w:jc w:val="both"/>
        <w:rPr>
          <w:rFonts w:ascii="Arial" w:hAnsi="Arial" w:cs="Arial"/>
          <w:sz w:val="20"/>
          <w:szCs w:val="20"/>
        </w:rPr>
      </w:pPr>
    </w:p>
    <w:p w14:paraId="1261A147" w14:textId="77777777" w:rsidR="007F1030" w:rsidRPr="007F1030" w:rsidRDefault="007F1030" w:rsidP="007F1030">
      <w:pPr>
        <w:tabs>
          <w:tab w:val="center" w:pos="4252"/>
          <w:tab w:val="right" w:pos="8504"/>
        </w:tabs>
        <w:spacing w:line="276" w:lineRule="auto"/>
        <w:ind w:right="-7"/>
        <w:jc w:val="center"/>
        <w:rPr>
          <w:rFonts w:ascii="Arial" w:hAnsi="Arial" w:cs="Arial"/>
          <w:b/>
          <w:bCs/>
          <w:spacing w:val="12"/>
          <w:lang w:val="es-ES_tradnl"/>
        </w:rPr>
      </w:pPr>
      <w:r w:rsidRPr="007F1030">
        <w:rPr>
          <w:rFonts w:ascii="Arial" w:hAnsi="Arial" w:cs="Arial"/>
          <w:b/>
          <w:bCs/>
          <w:spacing w:val="12"/>
          <w:lang w:val="es-ES_tradnl"/>
        </w:rPr>
        <w:t>TRIBUNAL SUPERIOR DEL DISTRITO</w:t>
      </w:r>
    </w:p>
    <w:p w14:paraId="4674D9D0" w14:textId="77777777" w:rsidR="007F1030" w:rsidRPr="007F1030" w:rsidRDefault="007F1030" w:rsidP="007F1030">
      <w:pPr>
        <w:tabs>
          <w:tab w:val="center" w:pos="4252"/>
          <w:tab w:val="right" w:pos="8504"/>
        </w:tabs>
        <w:spacing w:line="276" w:lineRule="auto"/>
        <w:ind w:right="-7"/>
        <w:jc w:val="center"/>
        <w:rPr>
          <w:rFonts w:ascii="Arial" w:hAnsi="Arial" w:cs="Arial"/>
          <w:b/>
          <w:bCs/>
          <w:spacing w:val="12"/>
          <w:lang w:val="es-ES_tradnl"/>
        </w:rPr>
      </w:pPr>
      <w:r w:rsidRPr="007F1030">
        <w:rPr>
          <w:rFonts w:ascii="Arial" w:hAnsi="Arial" w:cs="Arial"/>
          <w:b/>
          <w:bCs/>
          <w:spacing w:val="12"/>
          <w:lang w:val="es-ES_tradnl"/>
        </w:rPr>
        <w:object w:dxaOrig="3090" w:dyaOrig="3285" w14:anchorId="7E620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2" o:title=""/>
          </v:shape>
          <o:OLEObject Type="Embed" ProgID="PBrush" ShapeID="_x0000_i1025" DrawAspect="Content" ObjectID="_1663590031" r:id="rId13"/>
        </w:object>
      </w:r>
    </w:p>
    <w:p w14:paraId="0BD4E32C" w14:textId="77777777" w:rsidR="007F1030" w:rsidRPr="007F1030" w:rsidRDefault="007F1030" w:rsidP="007F1030">
      <w:pPr>
        <w:tabs>
          <w:tab w:val="center" w:pos="4252"/>
          <w:tab w:val="right" w:pos="8504"/>
        </w:tabs>
        <w:spacing w:line="276" w:lineRule="auto"/>
        <w:ind w:right="-7"/>
        <w:jc w:val="center"/>
        <w:rPr>
          <w:rFonts w:ascii="Arial" w:hAnsi="Arial" w:cs="Arial"/>
          <w:b/>
          <w:bCs/>
          <w:spacing w:val="12"/>
          <w:lang w:val="es-ES_tradnl"/>
        </w:rPr>
      </w:pPr>
      <w:r w:rsidRPr="007F1030">
        <w:rPr>
          <w:rFonts w:ascii="Arial" w:hAnsi="Arial" w:cs="Arial"/>
          <w:b/>
          <w:bCs/>
          <w:spacing w:val="12"/>
          <w:lang w:val="es-ES_tradnl"/>
        </w:rPr>
        <w:t>PEREIRA RISARALDA</w:t>
      </w:r>
    </w:p>
    <w:p w14:paraId="011BC3F6" w14:textId="77777777" w:rsidR="007F1030" w:rsidRPr="007F1030" w:rsidRDefault="007F1030" w:rsidP="007F1030">
      <w:pPr>
        <w:tabs>
          <w:tab w:val="center" w:pos="4252"/>
          <w:tab w:val="right" w:pos="8504"/>
        </w:tabs>
        <w:spacing w:line="276" w:lineRule="auto"/>
        <w:ind w:right="-7"/>
        <w:jc w:val="center"/>
        <w:rPr>
          <w:rFonts w:ascii="Arial" w:hAnsi="Arial" w:cs="Arial"/>
          <w:spacing w:val="12"/>
          <w:lang w:val="es-ES_tradnl"/>
        </w:rPr>
      </w:pPr>
    </w:p>
    <w:p w14:paraId="213977F4" w14:textId="77777777" w:rsidR="007F1030" w:rsidRPr="007F1030" w:rsidRDefault="007F1030" w:rsidP="007F1030">
      <w:pPr>
        <w:spacing w:line="276" w:lineRule="auto"/>
        <w:jc w:val="center"/>
        <w:rPr>
          <w:rFonts w:ascii="Arial" w:hAnsi="Arial" w:cs="Arial"/>
          <w:spacing w:val="12"/>
          <w:lang w:val="es-ES_tradnl"/>
        </w:rPr>
      </w:pPr>
      <w:r w:rsidRPr="007F1030">
        <w:rPr>
          <w:rFonts w:ascii="Arial" w:hAnsi="Arial" w:cs="Arial"/>
          <w:spacing w:val="12"/>
          <w:lang w:val="es-ES_tradnl"/>
        </w:rPr>
        <w:t>Magistrada Ponente</w:t>
      </w:r>
    </w:p>
    <w:p w14:paraId="34BB9F56" w14:textId="77777777" w:rsidR="007F1030" w:rsidRPr="007F1030" w:rsidRDefault="007F1030" w:rsidP="007F1030">
      <w:pPr>
        <w:spacing w:line="276" w:lineRule="auto"/>
        <w:jc w:val="center"/>
        <w:rPr>
          <w:rFonts w:ascii="Arial" w:hAnsi="Arial" w:cs="Arial"/>
          <w:b/>
          <w:bCs/>
          <w:spacing w:val="12"/>
          <w:lang w:val="es-ES_tradnl"/>
        </w:rPr>
      </w:pPr>
      <w:r w:rsidRPr="007F1030">
        <w:rPr>
          <w:rFonts w:ascii="Arial" w:hAnsi="Arial" w:cs="Arial"/>
          <w:b/>
          <w:bCs/>
          <w:spacing w:val="12"/>
          <w:lang w:val="es-ES_tradnl"/>
        </w:rPr>
        <w:t>ALEJANDRA MARÍA HENAO PALACIO</w:t>
      </w:r>
    </w:p>
    <w:p w14:paraId="1CDC8777" w14:textId="77777777" w:rsidR="007F1030" w:rsidRPr="007F1030" w:rsidRDefault="007F1030" w:rsidP="007F1030">
      <w:pPr>
        <w:spacing w:line="276" w:lineRule="auto"/>
        <w:jc w:val="both"/>
        <w:rPr>
          <w:rFonts w:ascii="Arial" w:hAnsi="Arial" w:cs="Arial"/>
          <w:spacing w:val="12"/>
          <w:lang w:val="es-ES_tradnl"/>
        </w:rPr>
      </w:pPr>
    </w:p>
    <w:tbl>
      <w:tblPr>
        <w:tblStyle w:val="Tablaconcuadrcula"/>
        <w:tblW w:w="90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590"/>
        <w:gridCol w:w="7482"/>
      </w:tblGrid>
      <w:tr w:rsidR="007F1030" w:rsidRPr="00BF5121" w14:paraId="07D8474D" w14:textId="77777777" w:rsidTr="00787674">
        <w:trPr>
          <w:trHeight w:val="86"/>
        </w:trPr>
        <w:tc>
          <w:tcPr>
            <w:tcW w:w="1590" w:type="dxa"/>
          </w:tcPr>
          <w:p w14:paraId="0AEB3E36" w14:textId="4616E94D" w:rsidR="00C931D1" w:rsidRPr="00BF5121" w:rsidRDefault="00C931D1" w:rsidP="00BF5121">
            <w:pPr>
              <w:rPr>
                <w:rFonts w:ascii="Arial" w:eastAsia="Arial Narrow" w:hAnsi="Arial" w:cs="Arial"/>
                <w:sz w:val="22"/>
              </w:rPr>
            </w:pPr>
            <w:r w:rsidRPr="00BF5121">
              <w:rPr>
                <w:rFonts w:ascii="Arial" w:eastAsia="Arial Narrow" w:hAnsi="Arial" w:cs="Arial"/>
                <w:sz w:val="22"/>
              </w:rPr>
              <w:t>Demandante</w:t>
            </w:r>
          </w:p>
        </w:tc>
        <w:tc>
          <w:tcPr>
            <w:tcW w:w="7482" w:type="dxa"/>
          </w:tcPr>
          <w:p w14:paraId="7DBE47E0" w14:textId="20C1450D" w:rsidR="00C931D1" w:rsidRPr="00BF5121" w:rsidRDefault="00BF5121" w:rsidP="00BF5121">
            <w:pPr>
              <w:rPr>
                <w:rFonts w:ascii="Arial" w:eastAsia="Arial" w:hAnsi="Arial" w:cs="Arial"/>
                <w:sz w:val="22"/>
              </w:rPr>
            </w:pPr>
            <w:r w:rsidRPr="00BF5121">
              <w:rPr>
                <w:rFonts w:ascii="Arial" w:eastAsia="Arial" w:hAnsi="Arial" w:cs="Arial"/>
                <w:sz w:val="22"/>
              </w:rPr>
              <w:t xml:space="preserve">María </w:t>
            </w:r>
            <w:proofErr w:type="spellStart"/>
            <w:r w:rsidRPr="00BF5121">
              <w:rPr>
                <w:rFonts w:ascii="Arial" w:eastAsia="Arial" w:hAnsi="Arial" w:cs="Arial"/>
                <w:sz w:val="22"/>
              </w:rPr>
              <w:t>Cenelia</w:t>
            </w:r>
            <w:proofErr w:type="spellEnd"/>
            <w:r w:rsidRPr="00BF5121">
              <w:rPr>
                <w:rFonts w:ascii="Arial" w:eastAsia="Arial" w:hAnsi="Arial" w:cs="Arial"/>
                <w:sz w:val="22"/>
              </w:rPr>
              <w:t xml:space="preserve"> Velásquez Bedoya</w:t>
            </w:r>
          </w:p>
        </w:tc>
      </w:tr>
      <w:tr w:rsidR="007F1030" w:rsidRPr="00BF5121" w14:paraId="09541ACD" w14:textId="77777777" w:rsidTr="2AD7B484">
        <w:tc>
          <w:tcPr>
            <w:tcW w:w="1590" w:type="dxa"/>
          </w:tcPr>
          <w:p w14:paraId="0F34103F" w14:textId="77777777" w:rsidR="00274FCB" w:rsidRPr="00BF5121" w:rsidRDefault="00274FCB" w:rsidP="00BF5121">
            <w:pPr>
              <w:rPr>
                <w:rFonts w:ascii="Arial" w:eastAsia="Arial Narrow" w:hAnsi="Arial" w:cs="Arial"/>
                <w:sz w:val="22"/>
              </w:rPr>
            </w:pPr>
            <w:r w:rsidRPr="00BF5121">
              <w:rPr>
                <w:rFonts w:ascii="Arial" w:eastAsia="Arial Narrow" w:hAnsi="Arial" w:cs="Arial"/>
                <w:sz w:val="22"/>
              </w:rPr>
              <w:t>Demandado</w:t>
            </w:r>
          </w:p>
        </w:tc>
        <w:tc>
          <w:tcPr>
            <w:tcW w:w="7482" w:type="dxa"/>
          </w:tcPr>
          <w:p w14:paraId="5B5FE7FF" w14:textId="4E506CA0" w:rsidR="00274FCB" w:rsidRPr="00BF5121" w:rsidRDefault="00BF5121" w:rsidP="00BF5121">
            <w:pPr>
              <w:rPr>
                <w:rFonts w:ascii="Arial" w:eastAsia="Arial" w:hAnsi="Arial" w:cs="Arial"/>
                <w:sz w:val="22"/>
              </w:rPr>
            </w:pPr>
            <w:r w:rsidRPr="00BF5121">
              <w:rPr>
                <w:rFonts w:ascii="Arial" w:eastAsia="Arial" w:hAnsi="Arial" w:cs="Arial"/>
                <w:sz w:val="22"/>
              </w:rPr>
              <w:t>Colpensiones</w:t>
            </w:r>
          </w:p>
        </w:tc>
      </w:tr>
      <w:tr w:rsidR="007F1030" w:rsidRPr="00BF5121" w14:paraId="6EBA98B6" w14:textId="77777777" w:rsidTr="2AD7B484">
        <w:tc>
          <w:tcPr>
            <w:tcW w:w="1590" w:type="dxa"/>
          </w:tcPr>
          <w:p w14:paraId="11A4DBE5" w14:textId="3D9AEC6D" w:rsidR="00C931D1" w:rsidRPr="00BF5121" w:rsidRDefault="00C931D1" w:rsidP="00BF5121">
            <w:pPr>
              <w:rPr>
                <w:rFonts w:ascii="Arial" w:eastAsia="Arial Narrow" w:hAnsi="Arial" w:cs="Arial"/>
                <w:sz w:val="22"/>
              </w:rPr>
            </w:pPr>
            <w:r w:rsidRPr="00BF5121">
              <w:rPr>
                <w:rFonts w:ascii="Arial" w:eastAsia="Arial Narrow" w:hAnsi="Arial" w:cs="Arial"/>
                <w:sz w:val="22"/>
              </w:rPr>
              <w:t>Vinculada</w:t>
            </w:r>
          </w:p>
        </w:tc>
        <w:tc>
          <w:tcPr>
            <w:tcW w:w="7482" w:type="dxa"/>
          </w:tcPr>
          <w:p w14:paraId="7C94ACEA" w14:textId="0516987B" w:rsidR="00C931D1" w:rsidRPr="00BF5121" w:rsidRDefault="00BF5121" w:rsidP="00BF5121">
            <w:pPr>
              <w:rPr>
                <w:rFonts w:ascii="Arial" w:eastAsia="Arial" w:hAnsi="Arial" w:cs="Arial"/>
                <w:sz w:val="22"/>
              </w:rPr>
            </w:pPr>
            <w:proofErr w:type="spellStart"/>
            <w:r w:rsidRPr="00BF5121">
              <w:rPr>
                <w:rFonts w:ascii="Arial" w:eastAsia="Arial" w:hAnsi="Arial" w:cs="Arial"/>
                <w:sz w:val="22"/>
              </w:rPr>
              <w:t>Mallerly</w:t>
            </w:r>
            <w:proofErr w:type="spellEnd"/>
            <w:r w:rsidRPr="00BF5121">
              <w:rPr>
                <w:rFonts w:ascii="Arial" w:eastAsia="Arial" w:hAnsi="Arial" w:cs="Arial"/>
                <w:sz w:val="22"/>
              </w:rPr>
              <w:t xml:space="preserve"> Hernández Velásquez</w:t>
            </w:r>
          </w:p>
        </w:tc>
      </w:tr>
      <w:tr w:rsidR="007F1030" w:rsidRPr="00BF5121" w14:paraId="017169D2" w14:textId="77777777" w:rsidTr="2AD7B484">
        <w:tc>
          <w:tcPr>
            <w:tcW w:w="1590" w:type="dxa"/>
          </w:tcPr>
          <w:p w14:paraId="7A94D2EE" w14:textId="77777777" w:rsidR="00274FCB" w:rsidRPr="00BF5121" w:rsidRDefault="00274FCB" w:rsidP="00BF5121">
            <w:pPr>
              <w:rPr>
                <w:rFonts w:ascii="Arial" w:eastAsia="Arial Narrow" w:hAnsi="Arial" w:cs="Arial"/>
                <w:sz w:val="22"/>
              </w:rPr>
            </w:pPr>
            <w:r w:rsidRPr="00BF5121">
              <w:rPr>
                <w:rFonts w:ascii="Arial" w:eastAsia="Arial Narrow" w:hAnsi="Arial" w:cs="Arial"/>
                <w:sz w:val="22"/>
              </w:rPr>
              <w:t>Radicado</w:t>
            </w:r>
          </w:p>
        </w:tc>
        <w:tc>
          <w:tcPr>
            <w:tcW w:w="7482" w:type="dxa"/>
          </w:tcPr>
          <w:p w14:paraId="3A6CF7F6" w14:textId="1EE585E2" w:rsidR="00274FCB" w:rsidRPr="00BF5121" w:rsidRDefault="00C931D1" w:rsidP="00BF5121">
            <w:pPr>
              <w:rPr>
                <w:rFonts w:ascii="Arial" w:eastAsia="Arial" w:hAnsi="Arial" w:cs="Arial"/>
                <w:sz w:val="22"/>
              </w:rPr>
            </w:pPr>
            <w:r w:rsidRPr="00BF5121">
              <w:rPr>
                <w:rFonts w:ascii="Arial" w:eastAsia="Arial" w:hAnsi="Arial" w:cs="Arial"/>
                <w:sz w:val="22"/>
              </w:rPr>
              <w:t>66001-31-05-005-2017-00296-01</w:t>
            </w:r>
          </w:p>
        </w:tc>
      </w:tr>
      <w:tr w:rsidR="007F1030" w:rsidRPr="00BF5121" w14:paraId="2AE9D38A" w14:textId="77777777" w:rsidTr="2AD7B484">
        <w:tc>
          <w:tcPr>
            <w:tcW w:w="1590" w:type="dxa"/>
          </w:tcPr>
          <w:p w14:paraId="76F53B68" w14:textId="77777777" w:rsidR="00274FCB" w:rsidRPr="00BF5121" w:rsidRDefault="00274FCB" w:rsidP="00BF5121">
            <w:pPr>
              <w:rPr>
                <w:rFonts w:ascii="Arial" w:eastAsia="Arial Narrow" w:hAnsi="Arial" w:cs="Arial"/>
                <w:sz w:val="22"/>
              </w:rPr>
            </w:pPr>
            <w:r w:rsidRPr="00BF5121">
              <w:rPr>
                <w:rFonts w:ascii="Arial" w:eastAsia="Arial Narrow" w:hAnsi="Arial" w:cs="Arial"/>
                <w:sz w:val="22"/>
              </w:rPr>
              <w:t>Procedencia</w:t>
            </w:r>
          </w:p>
        </w:tc>
        <w:tc>
          <w:tcPr>
            <w:tcW w:w="7482" w:type="dxa"/>
          </w:tcPr>
          <w:p w14:paraId="38F505BC" w14:textId="5F9DC365" w:rsidR="00274FCB" w:rsidRPr="00BF5121" w:rsidRDefault="00BF5121" w:rsidP="00BF5121">
            <w:pPr>
              <w:jc w:val="both"/>
              <w:rPr>
                <w:rFonts w:ascii="Arial" w:eastAsia="Arial" w:hAnsi="Arial" w:cs="Arial"/>
                <w:sz w:val="22"/>
                <w:lang w:eastAsia="zh-CN"/>
              </w:rPr>
            </w:pPr>
            <w:r w:rsidRPr="00BF5121">
              <w:rPr>
                <w:rFonts w:ascii="Arial" w:eastAsia="Arial" w:hAnsi="Arial" w:cs="Arial"/>
                <w:sz w:val="22"/>
              </w:rPr>
              <w:t>Juzgado Quinto Laboral del Circuito de Pereira</w:t>
            </w:r>
          </w:p>
        </w:tc>
      </w:tr>
      <w:tr w:rsidR="007F1030" w:rsidRPr="00BF5121" w14:paraId="345BBD8D" w14:textId="77777777" w:rsidTr="2AD7B484">
        <w:tc>
          <w:tcPr>
            <w:tcW w:w="1590" w:type="dxa"/>
          </w:tcPr>
          <w:p w14:paraId="67653198" w14:textId="77777777" w:rsidR="00274FCB" w:rsidRPr="00BF5121" w:rsidRDefault="00274FCB" w:rsidP="00BF5121">
            <w:pPr>
              <w:rPr>
                <w:rFonts w:ascii="Arial" w:eastAsia="Arial Narrow" w:hAnsi="Arial" w:cs="Arial"/>
                <w:sz w:val="22"/>
              </w:rPr>
            </w:pPr>
            <w:r w:rsidRPr="00BF5121">
              <w:rPr>
                <w:rFonts w:ascii="Arial" w:eastAsia="Arial Narrow" w:hAnsi="Arial" w:cs="Arial"/>
                <w:sz w:val="22"/>
              </w:rPr>
              <w:t>Tipo proceso</w:t>
            </w:r>
          </w:p>
        </w:tc>
        <w:tc>
          <w:tcPr>
            <w:tcW w:w="7482" w:type="dxa"/>
          </w:tcPr>
          <w:p w14:paraId="302C739B" w14:textId="77AFCFB2" w:rsidR="00274FCB" w:rsidRPr="00BF5121" w:rsidRDefault="00BF5121" w:rsidP="00BF5121">
            <w:pPr>
              <w:rPr>
                <w:rFonts w:ascii="Arial" w:eastAsia="Arial Narrow" w:hAnsi="Arial" w:cs="Arial"/>
                <w:sz w:val="22"/>
              </w:rPr>
            </w:pPr>
            <w:r w:rsidRPr="00BF5121">
              <w:rPr>
                <w:rFonts w:ascii="Arial" w:eastAsia="Arial Narrow" w:hAnsi="Arial" w:cs="Arial"/>
                <w:sz w:val="22"/>
              </w:rPr>
              <w:t xml:space="preserve">Ordinario laboral </w:t>
            </w:r>
          </w:p>
        </w:tc>
      </w:tr>
      <w:tr w:rsidR="007F1030" w:rsidRPr="00BF5121" w14:paraId="70C0733F" w14:textId="77777777" w:rsidTr="2AD7B484">
        <w:tc>
          <w:tcPr>
            <w:tcW w:w="1590" w:type="dxa"/>
          </w:tcPr>
          <w:p w14:paraId="3E83A590" w14:textId="77777777" w:rsidR="00274FCB" w:rsidRPr="00BF5121" w:rsidRDefault="00274FCB" w:rsidP="00BF5121">
            <w:pPr>
              <w:rPr>
                <w:rFonts w:ascii="Arial" w:eastAsia="Arial Narrow" w:hAnsi="Arial" w:cs="Arial"/>
                <w:sz w:val="22"/>
              </w:rPr>
            </w:pPr>
            <w:r w:rsidRPr="00BF5121">
              <w:rPr>
                <w:rFonts w:ascii="Arial" w:eastAsia="Arial Narrow" w:hAnsi="Arial" w:cs="Arial"/>
                <w:sz w:val="22"/>
              </w:rPr>
              <w:t>Providencia</w:t>
            </w:r>
          </w:p>
        </w:tc>
        <w:tc>
          <w:tcPr>
            <w:tcW w:w="7482" w:type="dxa"/>
          </w:tcPr>
          <w:p w14:paraId="5B7348E5" w14:textId="52D319E8" w:rsidR="00274FCB" w:rsidRPr="00BF5121" w:rsidRDefault="00BF5121" w:rsidP="00BF5121">
            <w:pPr>
              <w:rPr>
                <w:rFonts w:ascii="Arial" w:eastAsia="Arial Narrow" w:hAnsi="Arial" w:cs="Arial"/>
                <w:sz w:val="22"/>
              </w:rPr>
            </w:pPr>
            <w:r w:rsidRPr="00BF5121">
              <w:rPr>
                <w:rFonts w:ascii="Arial" w:eastAsia="Arial Narrow" w:hAnsi="Arial" w:cs="Arial"/>
                <w:sz w:val="22"/>
              </w:rPr>
              <w:t>Sentencia de segunda instancia</w:t>
            </w:r>
          </w:p>
        </w:tc>
      </w:tr>
      <w:tr w:rsidR="007F1030" w:rsidRPr="00BF5121" w14:paraId="2493D1F3" w14:textId="77777777" w:rsidTr="2AD7B484">
        <w:tc>
          <w:tcPr>
            <w:tcW w:w="1590" w:type="dxa"/>
          </w:tcPr>
          <w:p w14:paraId="221233F8" w14:textId="77777777" w:rsidR="00274FCB" w:rsidRPr="00BF5121" w:rsidRDefault="00274FCB" w:rsidP="00BF5121">
            <w:pPr>
              <w:rPr>
                <w:rFonts w:ascii="Arial" w:eastAsia="Arial Narrow" w:hAnsi="Arial" w:cs="Arial"/>
                <w:sz w:val="22"/>
              </w:rPr>
            </w:pPr>
            <w:r w:rsidRPr="00BF5121">
              <w:rPr>
                <w:rFonts w:ascii="Arial" w:eastAsia="Arial Narrow" w:hAnsi="Arial" w:cs="Arial"/>
                <w:sz w:val="22"/>
              </w:rPr>
              <w:t xml:space="preserve">Decisión </w:t>
            </w:r>
          </w:p>
        </w:tc>
        <w:tc>
          <w:tcPr>
            <w:tcW w:w="7482" w:type="dxa"/>
          </w:tcPr>
          <w:p w14:paraId="2F608324" w14:textId="246A6BB8" w:rsidR="00274FCB" w:rsidRPr="00BF5121" w:rsidRDefault="00C931D1" w:rsidP="00BF5121">
            <w:pPr>
              <w:rPr>
                <w:rFonts w:ascii="Arial" w:eastAsia="Arial Narrow" w:hAnsi="Arial" w:cs="Arial"/>
                <w:sz w:val="22"/>
              </w:rPr>
            </w:pPr>
            <w:r w:rsidRPr="00BF5121">
              <w:rPr>
                <w:rFonts w:ascii="Arial" w:eastAsia="Arial Narrow" w:hAnsi="Arial" w:cs="Arial"/>
                <w:sz w:val="22"/>
              </w:rPr>
              <w:t>M</w:t>
            </w:r>
            <w:r w:rsidR="00274FCB" w:rsidRPr="00BF5121">
              <w:rPr>
                <w:rFonts w:ascii="Arial" w:eastAsia="Arial Narrow" w:hAnsi="Arial" w:cs="Arial"/>
                <w:sz w:val="22"/>
              </w:rPr>
              <w:t xml:space="preserve">ODIFICA SENTENCIA </w:t>
            </w:r>
          </w:p>
        </w:tc>
      </w:tr>
    </w:tbl>
    <w:p w14:paraId="57967757" w14:textId="77777777" w:rsidR="00787674" w:rsidRPr="007F1030" w:rsidRDefault="00787674" w:rsidP="007F1030">
      <w:pPr>
        <w:pStyle w:val="Sinespaciado"/>
        <w:spacing w:line="276" w:lineRule="auto"/>
        <w:jc w:val="center"/>
        <w:rPr>
          <w:rFonts w:ascii="Arial" w:eastAsia="Arial Narrow" w:hAnsi="Arial" w:cs="Arial"/>
        </w:rPr>
      </w:pPr>
    </w:p>
    <w:p w14:paraId="0E315C89" w14:textId="107E47D5" w:rsidR="3CDCC0D7" w:rsidRPr="007F1030" w:rsidRDefault="3CDCC0D7" w:rsidP="007F1030">
      <w:pPr>
        <w:pStyle w:val="Sinespaciado"/>
        <w:spacing w:line="276" w:lineRule="auto"/>
        <w:jc w:val="center"/>
        <w:rPr>
          <w:rFonts w:ascii="Arial" w:eastAsia="Arial Narrow" w:hAnsi="Arial" w:cs="Arial"/>
        </w:rPr>
      </w:pPr>
      <w:r w:rsidRPr="007F1030">
        <w:rPr>
          <w:rFonts w:ascii="Arial" w:eastAsia="Arial Narrow" w:hAnsi="Arial" w:cs="Arial"/>
        </w:rPr>
        <w:t>Registro del proyecto: treinta (30) de julio de dos mil veinte (2020)</w:t>
      </w:r>
    </w:p>
    <w:p w14:paraId="13B11C02" w14:textId="1D19B93D" w:rsidR="3CDCC0D7" w:rsidRPr="007F1030" w:rsidRDefault="3CDCC0D7" w:rsidP="007F1030">
      <w:pPr>
        <w:pStyle w:val="Sinespaciado"/>
        <w:spacing w:line="276" w:lineRule="auto"/>
        <w:jc w:val="center"/>
        <w:rPr>
          <w:rFonts w:ascii="Arial" w:eastAsia="Arial Narrow" w:hAnsi="Arial" w:cs="Arial"/>
        </w:rPr>
      </w:pPr>
      <w:r w:rsidRPr="007F1030">
        <w:rPr>
          <w:rFonts w:ascii="Arial" w:eastAsia="Arial Narrow" w:hAnsi="Arial" w:cs="Arial"/>
        </w:rPr>
        <w:t xml:space="preserve">Acta de discusión No. </w:t>
      </w:r>
      <w:r w:rsidR="524B57AC" w:rsidRPr="007F1030">
        <w:rPr>
          <w:rFonts w:ascii="Arial" w:eastAsia="Arial Narrow" w:hAnsi="Arial" w:cs="Arial"/>
        </w:rPr>
        <w:t>101</w:t>
      </w:r>
      <w:r w:rsidRPr="007F1030">
        <w:rPr>
          <w:rFonts w:ascii="Arial" w:eastAsia="Arial Narrow" w:hAnsi="Arial" w:cs="Arial"/>
        </w:rPr>
        <w:t xml:space="preserve"> de 04 de agosto de 2020</w:t>
      </w:r>
    </w:p>
    <w:p w14:paraId="57050D1B" w14:textId="172F34FD" w:rsidR="2AD7B484" w:rsidRPr="007F1030" w:rsidRDefault="2AD7B484" w:rsidP="007F1030">
      <w:pPr>
        <w:spacing w:line="276" w:lineRule="auto"/>
        <w:jc w:val="center"/>
        <w:rPr>
          <w:rFonts w:ascii="Arial" w:eastAsia="Arial Narrow" w:hAnsi="Arial" w:cs="Arial"/>
        </w:rPr>
      </w:pPr>
    </w:p>
    <w:p w14:paraId="626CFE8A" w14:textId="3C57C397" w:rsidR="3CDCC0D7" w:rsidRPr="007F1030" w:rsidRDefault="3CDCC0D7" w:rsidP="007F1030">
      <w:pPr>
        <w:spacing w:after="160" w:line="276" w:lineRule="auto"/>
        <w:jc w:val="center"/>
        <w:rPr>
          <w:rFonts w:ascii="Arial" w:eastAsia="Arial Narrow" w:hAnsi="Arial" w:cs="Arial"/>
        </w:rPr>
      </w:pPr>
      <w:r w:rsidRPr="007F1030">
        <w:rPr>
          <w:rFonts w:ascii="Arial" w:eastAsia="Arial Narrow" w:hAnsi="Arial" w:cs="Arial"/>
        </w:rPr>
        <w:t xml:space="preserve">Pereira, Risaralda, </w:t>
      </w:r>
      <w:r w:rsidR="00787674" w:rsidRPr="007F1030">
        <w:rPr>
          <w:rFonts w:ascii="Arial" w:eastAsia="Arial Narrow" w:hAnsi="Arial" w:cs="Arial"/>
        </w:rPr>
        <w:t>diez</w:t>
      </w:r>
      <w:r w:rsidRPr="007F1030">
        <w:rPr>
          <w:rFonts w:ascii="Arial" w:eastAsia="Arial Narrow" w:hAnsi="Arial" w:cs="Arial"/>
        </w:rPr>
        <w:t xml:space="preserve"> (1</w:t>
      </w:r>
      <w:r w:rsidR="00787674" w:rsidRPr="007F1030">
        <w:rPr>
          <w:rFonts w:ascii="Arial" w:eastAsia="Arial Narrow" w:hAnsi="Arial" w:cs="Arial"/>
        </w:rPr>
        <w:t>0</w:t>
      </w:r>
      <w:r w:rsidRPr="007F1030">
        <w:rPr>
          <w:rFonts w:ascii="Arial" w:eastAsia="Arial Narrow" w:hAnsi="Arial" w:cs="Arial"/>
        </w:rPr>
        <w:t>) de agosto de dos mil veinte (2020)</w:t>
      </w:r>
    </w:p>
    <w:p w14:paraId="47DD1402" w14:textId="77777777" w:rsidR="00274FCB" w:rsidRPr="007F1030" w:rsidRDefault="00274FCB" w:rsidP="007F1030">
      <w:pPr>
        <w:autoSpaceDE w:val="0"/>
        <w:autoSpaceDN w:val="0"/>
        <w:adjustRightInd w:val="0"/>
        <w:spacing w:line="276" w:lineRule="auto"/>
        <w:jc w:val="center"/>
        <w:rPr>
          <w:rFonts w:ascii="Arial" w:eastAsia="SimSun" w:hAnsi="Arial" w:cs="Arial"/>
          <w:bCs/>
          <w:spacing w:val="12"/>
          <w:lang w:eastAsia="zh-CN"/>
        </w:rPr>
      </w:pPr>
    </w:p>
    <w:p w14:paraId="480563F6" w14:textId="6FCE46A1" w:rsidR="00224CF6" w:rsidRPr="007F1030" w:rsidRDefault="00C931D1" w:rsidP="007F1030">
      <w:pPr>
        <w:autoSpaceDE w:val="0"/>
        <w:autoSpaceDN w:val="0"/>
        <w:adjustRightInd w:val="0"/>
        <w:spacing w:line="276" w:lineRule="auto"/>
        <w:jc w:val="both"/>
        <w:rPr>
          <w:rFonts w:ascii="Arial" w:hAnsi="Arial" w:cs="Arial"/>
          <w:spacing w:val="12"/>
        </w:rPr>
      </w:pPr>
      <w:r w:rsidRPr="007F1030">
        <w:rPr>
          <w:rFonts w:ascii="Arial" w:eastAsia="Arial Narrow" w:hAnsi="Arial" w:cs="Arial"/>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659E4AED" w:rsidRPr="007F1030">
        <w:rPr>
          <w:rFonts w:ascii="Arial" w:eastAsia="Arial Narrow" w:hAnsi="Arial" w:cs="Arial"/>
          <w:b/>
          <w:bCs/>
        </w:rPr>
        <w:t>ALEJANDRA MARÍA HENAO PALACIO</w:t>
      </w:r>
      <w:r w:rsidR="4A7EDB6B" w:rsidRPr="007F1030">
        <w:rPr>
          <w:rFonts w:ascii="Arial" w:eastAsia="Arial Narrow" w:hAnsi="Arial" w:cs="Arial"/>
          <w:b/>
          <w:bCs/>
        </w:rPr>
        <w:t xml:space="preserve"> </w:t>
      </w:r>
      <w:r w:rsidR="4A7EDB6B" w:rsidRPr="007F1030">
        <w:rPr>
          <w:rFonts w:ascii="Arial" w:eastAsia="Arial Narrow" w:hAnsi="Arial" w:cs="Arial"/>
        </w:rPr>
        <w:t>(ponente)</w:t>
      </w:r>
      <w:r w:rsidR="659E4AED" w:rsidRPr="007F1030">
        <w:rPr>
          <w:rFonts w:ascii="Arial" w:eastAsia="Arial Narrow" w:hAnsi="Arial" w:cs="Arial"/>
        </w:rPr>
        <w:t xml:space="preserve">, </w:t>
      </w:r>
      <w:r w:rsidRPr="007F1030">
        <w:rPr>
          <w:rFonts w:ascii="Arial" w:eastAsia="Arial Narrow" w:hAnsi="Arial" w:cs="Arial"/>
          <w:b/>
          <w:bCs/>
        </w:rPr>
        <w:t>ANA LUCÍA CAICEDO CALDERÓN</w:t>
      </w:r>
      <w:r w:rsidR="17606C39" w:rsidRPr="007F1030">
        <w:rPr>
          <w:rFonts w:ascii="Arial" w:eastAsia="Arial Narrow" w:hAnsi="Arial" w:cs="Arial"/>
        </w:rPr>
        <w:t xml:space="preserve"> y</w:t>
      </w:r>
      <w:r w:rsidRPr="007F1030">
        <w:rPr>
          <w:rFonts w:ascii="Arial" w:eastAsia="Arial Narrow" w:hAnsi="Arial" w:cs="Arial"/>
        </w:rPr>
        <w:t xml:space="preserve"> </w:t>
      </w:r>
      <w:r w:rsidRPr="007F1030">
        <w:rPr>
          <w:rFonts w:ascii="Arial" w:eastAsia="Arial Narrow" w:hAnsi="Arial" w:cs="Arial"/>
          <w:b/>
          <w:bCs/>
        </w:rPr>
        <w:t>OLGA LUCÍA HOYOS SEPÚLVEDA</w:t>
      </w:r>
      <w:r w:rsidRPr="007F1030">
        <w:rPr>
          <w:rFonts w:ascii="Arial" w:eastAsia="Arial Narrow" w:hAnsi="Arial" w:cs="Arial"/>
        </w:rPr>
        <w:t xml:space="preserve">, quien actúa como ponente, a </w:t>
      </w:r>
      <w:r w:rsidR="00224CF6" w:rsidRPr="007F1030">
        <w:rPr>
          <w:rFonts w:ascii="Arial" w:eastAsia="Arial Narrow" w:hAnsi="Arial" w:cs="Arial"/>
        </w:rPr>
        <w:t xml:space="preserve">resolver </w:t>
      </w:r>
      <w:r w:rsidR="003D175A" w:rsidRPr="007F1030">
        <w:rPr>
          <w:rFonts w:ascii="Arial" w:eastAsia="Arial Narrow" w:hAnsi="Arial" w:cs="Arial"/>
        </w:rPr>
        <w:t xml:space="preserve">el </w:t>
      </w:r>
      <w:r w:rsidR="00AF199F" w:rsidRPr="007F1030">
        <w:rPr>
          <w:rFonts w:ascii="Arial" w:eastAsia="Arial Narrow" w:hAnsi="Arial" w:cs="Arial"/>
        </w:rPr>
        <w:t>grado jurisdiccional de consulta</w:t>
      </w:r>
      <w:r w:rsidR="00224CF6" w:rsidRPr="007F1030">
        <w:rPr>
          <w:rFonts w:ascii="Arial" w:eastAsia="Arial Narrow" w:hAnsi="Arial" w:cs="Arial"/>
        </w:rPr>
        <w:t xml:space="preserve"> frente a la sentencia proferida </w:t>
      </w:r>
      <w:r w:rsidR="00A04CDA" w:rsidRPr="007F1030">
        <w:rPr>
          <w:rFonts w:ascii="Arial" w:eastAsia="Arial Narrow" w:hAnsi="Arial" w:cs="Arial"/>
        </w:rPr>
        <w:t xml:space="preserve">el </w:t>
      </w:r>
      <w:r w:rsidR="00C3072E" w:rsidRPr="007F1030">
        <w:rPr>
          <w:rFonts w:ascii="Arial" w:eastAsia="Arial Narrow" w:hAnsi="Arial" w:cs="Arial"/>
        </w:rPr>
        <w:t>08 de julio de</w:t>
      </w:r>
      <w:r w:rsidR="00E91415" w:rsidRPr="007F1030">
        <w:rPr>
          <w:rFonts w:ascii="Arial" w:eastAsia="Arial Narrow" w:hAnsi="Arial" w:cs="Arial"/>
        </w:rPr>
        <w:t xml:space="preserve"> 2019</w:t>
      </w:r>
      <w:r w:rsidR="00A04CDA" w:rsidRPr="007F1030">
        <w:rPr>
          <w:rFonts w:ascii="Arial" w:eastAsia="Arial Narrow" w:hAnsi="Arial" w:cs="Arial"/>
        </w:rPr>
        <w:t xml:space="preserve"> por el Juzgado </w:t>
      </w:r>
      <w:r w:rsidR="00AF199F" w:rsidRPr="007F1030">
        <w:rPr>
          <w:rFonts w:ascii="Arial" w:eastAsia="Arial Narrow" w:hAnsi="Arial" w:cs="Arial"/>
        </w:rPr>
        <w:t>Quinto</w:t>
      </w:r>
      <w:r w:rsidR="00A04CDA" w:rsidRPr="007F1030">
        <w:rPr>
          <w:rFonts w:ascii="Arial" w:eastAsia="Arial Narrow" w:hAnsi="Arial" w:cs="Arial"/>
        </w:rPr>
        <w:t xml:space="preserve"> Laboral del Circuito de Pereira, promovido por </w:t>
      </w:r>
      <w:r w:rsidR="00C3072E" w:rsidRPr="007F1030">
        <w:rPr>
          <w:rFonts w:ascii="Arial" w:eastAsia="Arial Narrow" w:hAnsi="Arial" w:cs="Arial"/>
          <w:b/>
          <w:bCs/>
        </w:rPr>
        <w:t xml:space="preserve">MARÍA </w:t>
      </w:r>
      <w:proofErr w:type="spellStart"/>
      <w:r w:rsidR="00C3072E" w:rsidRPr="007F1030">
        <w:rPr>
          <w:rFonts w:ascii="Arial" w:eastAsia="Arial Narrow" w:hAnsi="Arial" w:cs="Arial"/>
          <w:b/>
          <w:bCs/>
        </w:rPr>
        <w:t>CENELIA</w:t>
      </w:r>
      <w:proofErr w:type="spellEnd"/>
      <w:r w:rsidR="00C3072E" w:rsidRPr="007F1030">
        <w:rPr>
          <w:rFonts w:ascii="Arial" w:eastAsia="Arial Narrow" w:hAnsi="Arial" w:cs="Arial"/>
          <w:b/>
          <w:bCs/>
        </w:rPr>
        <w:t xml:space="preserve"> VELÁSQUEZ BEDOYA</w:t>
      </w:r>
      <w:r w:rsidR="00A04CDA" w:rsidRPr="007F1030">
        <w:rPr>
          <w:rFonts w:ascii="Arial" w:eastAsia="Arial Narrow" w:hAnsi="Arial" w:cs="Arial"/>
        </w:rPr>
        <w:t xml:space="preserve"> en contra de la </w:t>
      </w:r>
      <w:r w:rsidR="00A04CDA" w:rsidRPr="007F1030">
        <w:rPr>
          <w:rFonts w:ascii="Arial" w:eastAsia="Arial Narrow" w:hAnsi="Arial" w:cs="Arial"/>
          <w:b/>
          <w:bCs/>
        </w:rPr>
        <w:t xml:space="preserve">ADMINISTRADORA COLOMBIANA DE PENSIONES </w:t>
      </w:r>
      <w:r w:rsidR="00591DF7" w:rsidRPr="007F1030">
        <w:rPr>
          <w:rFonts w:ascii="Arial" w:eastAsia="Arial Narrow" w:hAnsi="Arial" w:cs="Arial"/>
          <w:b/>
          <w:bCs/>
        </w:rPr>
        <w:t>–</w:t>
      </w:r>
      <w:r w:rsidR="00A04CDA" w:rsidRPr="007F1030">
        <w:rPr>
          <w:rFonts w:ascii="Arial" w:eastAsia="Arial Narrow" w:hAnsi="Arial" w:cs="Arial"/>
          <w:b/>
          <w:bCs/>
        </w:rPr>
        <w:t xml:space="preserve"> COLPENSIONES</w:t>
      </w:r>
      <w:r w:rsidR="00591DF7" w:rsidRPr="007F1030">
        <w:rPr>
          <w:rFonts w:ascii="Arial" w:eastAsia="Arial Narrow" w:hAnsi="Arial" w:cs="Arial"/>
        </w:rPr>
        <w:t>, y al que fue vinculada como litisconsorte necesario</w:t>
      </w:r>
      <w:r w:rsidR="00502570" w:rsidRPr="007F1030">
        <w:rPr>
          <w:rFonts w:ascii="Arial" w:eastAsia="Arial Narrow" w:hAnsi="Arial" w:cs="Arial"/>
        </w:rPr>
        <w:t xml:space="preserve"> la señora</w:t>
      </w:r>
      <w:r w:rsidR="00591DF7" w:rsidRPr="007F1030">
        <w:rPr>
          <w:rFonts w:ascii="Arial" w:eastAsia="Arial Narrow" w:hAnsi="Arial" w:cs="Arial"/>
        </w:rPr>
        <w:t xml:space="preserve"> </w:t>
      </w:r>
      <w:proofErr w:type="spellStart"/>
      <w:r w:rsidR="00591DF7" w:rsidRPr="007F1030">
        <w:rPr>
          <w:rFonts w:ascii="Arial" w:eastAsia="Arial Narrow" w:hAnsi="Arial" w:cs="Arial"/>
          <w:b/>
          <w:bCs/>
        </w:rPr>
        <w:t>MALLERLY</w:t>
      </w:r>
      <w:proofErr w:type="spellEnd"/>
      <w:r w:rsidR="00591DF7" w:rsidRPr="007F1030">
        <w:rPr>
          <w:rFonts w:ascii="Arial" w:eastAsia="Arial Narrow" w:hAnsi="Arial" w:cs="Arial"/>
          <w:b/>
          <w:bCs/>
          <w:spacing w:val="12"/>
        </w:rPr>
        <w:t xml:space="preserve"> HERNÁNDEZ VELÁSQUEZ</w:t>
      </w:r>
      <w:r w:rsidR="00591DF7" w:rsidRPr="007F1030">
        <w:rPr>
          <w:rFonts w:ascii="Arial" w:eastAsia="Arial Narrow" w:hAnsi="Arial" w:cs="Arial"/>
          <w:spacing w:val="12"/>
        </w:rPr>
        <w:t>.</w:t>
      </w:r>
      <w:r w:rsidR="00591DF7" w:rsidRPr="007F1030">
        <w:rPr>
          <w:rFonts w:ascii="Arial" w:hAnsi="Arial" w:cs="Arial"/>
        </w:rPr>
        <w:t xml:space="preserve"> </w:t>
      </w:r>
    </w:p>
    <w:p w14:paraId="2E600E4B" w14:textId="77777777" w:rsidR="008B69A2" w:rsidRPr="007F1030" w:rsidRDefault="008B69A2" w:rsidP="007F1030">
      <w:pPr>
        <w:spacing w:line="276" w:lineRule="auto"/>
        <w:jc w:val="both"/>
        <w:rPr>
          <w:rFonts w:ascii="Arial" w:hAnsi="Arial" w:cs="Arial"/>
          <w:b/>
        </w:rPr>
      </w:pPr>
    </w:p>
    <w:p w14:paraId="0E016518" w14:textId="77777777" w:rsidR="008B69A2" w:rsidRPr="007F1030" w:rsidRDefault="008B69A2" w:rsidP="007F1030">
      <w:pPr>
        <w:pStyle w:val="Ttulo1"/>
        <w:numPr>
          <w:ilvl w:val="0"/>
          <w:numId w:val="25"/>
        </w:numPr>
        <w:spacing w:before="0" w:line="276" w:lineRule="auto"/>
        <w:jc w:val="both"/>
        <w:rPr>
          <w:rFonts w:ascii="Arial" w:eastAsia="Arial" w:hAnsi="Arial" w:cs="Arial"/>
          <w:b/>
          <w:bCs/>
          <w:color w:val="auto"/>
          <w:sz w:val="24"/>
          <w:szCs w:val="24"/>
        </w:rPr>
      </w:pPr>
      <w:r w:rsidRPr="007F1030">
        <w:rPr>
          <w:rFonts w:ascii="Arial" w:eastAsia="Arial" w:hAnsi="Arial" w:cs="Arial"/>
          <w:b/>
          <w:bCs/>
          <w:color w:val="auto"/>
          <w:sz w:val="24"/>
          <w:szCs w:val="24"/>
        </w:rPr>
        <w:t>ANTECEDENTES</w:t>
      </w:r>
    </w:p>
    <w:p w14:paraId="6690091B" w14:textId="77777777" w:rsidR="008B69A2" w:rsidRPr="007F1030" w:rsidRDefault="008B69A2" w:rsidP="007F1030">
      <w:pPr>
        <w:autoSpaceDE w:val="0"/>
        <w:autoSpaceDN w:val="0"/>
        <w:adjustRightInd w:val="0"/>
        <w:spacing w:line="276" w:lineRule="auto"/>
        <w:jc w:val="both"/>
        <w:rPr>
          <w:rFonts w:ascii="Arial" w:eastAsia="Arial" w:hAnsi="Arial" w:cs="Arial"/>
          <w:spacing w:val="12"/>
        </w:rPr>
      </w:pPr>
    </w:p>
    <w:p w14:paraId="3EBA4446" w14:textId="77777777" w:rsidR="008B69A2" w:rsidRPr="007F1030" w:rsidRDefault="008B69A2" w:rsidP="007F1030">
      <w:pPr>
        <w:pStyle w:val="Ttulo1"/>
        <w:spacing w:before="0" w:line="276" w:lineRule="auto"/>
        <w:ind w:left="720"/>
        <w:jc w:val="both"/>
        <w:rPr>
          <w:rFonts w:ascii="Arial" w:eastAsia="Arial" w:hAnsi="Arial" w:cs="Arial"/>
          <w:b/>
          <w:bCs/>
          <w:color w:val="auto"/>
          <w:sz w:val="24"/>
          <w:szCs w:val="24"/>
        </w:rPr>
      </w:pPr>
      <w:r w:rsidRPr="007F1030">
        <w:rPr>
          <w:rFonts w:ascii="Arial" w:eastAsia="Arial" w:hAnsi="Arial" w:cs="Arial"/>
          <w:b/>
          <w:bCs/>
          <w:color w:val="auto"/>
          <w:sz w:val="24"/>
          <w:szCs w:val="24"/>
        </w:rPr>
        <w:t>1.1.  Demanda</w:t>
      </w:r>
    </w:p>
    <w:p w14:paraId="21D7B9C6" w14:textId="77777777" w:rsidR="000C631D" w:rsidRPr="007F1030" w:rsidRDefault="000C631D" w:rsidP="007F1030">
      <w:pPr>
        <w:autoSpaceDE w:val="0"/>
        <w:autoSpaceDN w:val="0"/>
        <w:adjustRightInd w:val="0"/>
        <w:spacing w:line="276" w:lineRule="auto"/>
        <w:jc w:val="both"/>
        <w:rPr>
          <w:rFonts w:ascii="Arial" w:hAnsi="Arial" w:cs="Arial"/>
          <w:spacing w:val="12"/>
          <w:lang w:val="es-ES_tradnl"/>
        </w:rPr>
      </w:pPr>
    </w:p>
    <w:p w14:paraId="76AD5772" w14:textId="54A38010" w:rsidR="00FA7E28" w:rsidRPr="007F1030" w:rsidRDefault="00C3072E"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María </w:t>
      </w:r>
      <w:proofErr w:type="spellStart"/>
      <w:r w:rsidRPr="007F1030">
        <w:rPr>
          <w:rFonts w:ascii="Arial" w:eastAsia="Arial" w:hAnsi="Arial" w:cs="Arial"/>
          <w:lang w:eastAsia="es-ES_tradnl"/>
        </w:rPr>
        <w:t>Cenelia</w:t>
      </w:r>
      <w:proofErr w:type="spellEnd"/>
      <w:r w:rsidRPr="007F1030">
        <w:rPr>
          <w:rFonts w:ascii="Arial" w:eastAsia="Arial" w:hAnsi="Arial" w:cs="Arial"/>
          <w:lang w:eastAsia="es-ES_tradnl"/>
        </w:rPr>
        <w:t xml:space="preserve"> Velásquez Bedoya</w:t>
      </w:r>
      <w:r w:rsidR="00782FEA" w:rsidRPr="007F1030">
        <w:rPr>
          <w:rFonts w:ascii="Arial" w:eastAsia="Arial" w:hAnsi="Arial" w:cs="Arial"/>
          <w:lang w:eastAsia="es-ES_tradnl"/>
        </w:rPr>
        <w:t xml:space="preserve"> </w:t>
      </w:r>
      <w:r w:rsidR="0072383C" w:rsidRPr="007F1030">
        <w:rPr>
          <w:rFonts w:ascii="Arial" w:eastAsia="Arial" w:hAnsi="Arial" w:cs="Arial"/>
          <w:lang w:eastAsia="es-ES_tradnl"/>
        </w:rPr>
        <w:t>demandó a</w:t>
      </w:r>
      <w:r w:rsidR="00782FEA" w:rsidRPr="007F1030">
        <w:rPr>
          <w:rFonts w:ascii="Arial" w:eastAsia="Arial" w:hAnsi="Arial" w:cs="Arial"/>
          <w:lang w:eastAsia="es-ES_tradnl"/>
        </w:rPr>
        <w:t xml:space="preserve"> </w:t>
      </w:r>
      <w:r w:rsidR="00EE78B1" w:rsidRPr="007F1030">
        <w:rPr>
          <w:rFonts w:ascii="Arial" w:eastAsia="Arial" w:hAnsi="Arial" w:cs="Arial"/>
          <w:lang w:eastAsia="es-ES_tradnl"/>
        </w:rPr>
        <w:t>la Administradora Colombiana de Pensiones – Colpensiones</w:t>
      </w:r>
      <w:r w:rsidR="00AB5015" w:rsidRPr="007F1030">
        <w:rPr>
          <w:rFonts w:ascii="Arial" w:eastAsia="Arial" w:hAnsi="Arial" w:cs="Arial"/>
          <w:lang w:eastAsia="es-ES_tradnl"/>
        </w:rPr>
        <w:t xml:space="preserve">, </w:t>
      </w:r>
      <w:r w:rsidR="0072383C" w:rsidRPr="007F1030">
        <w:rPr>
          <w:rFonts w:ascii="Arial" w:eastAsia="Arial" w:hAnsi="Arial" w:cs="Arial"/>
          <w:lang w:eastAsia="es-ES_tradnl"/>
        </w:rPr>
        <w:t xml:space="preserve">con la finalidad de obtener el reconocimiento a la pensión de </w:t>
      </w:r>
      <w:r w:rsidR="00026A4E" w:rsidRPr="007F1030">
        <w:rPr>
          <w:rFonts w:ascii="Arial" w:eastAsia="Arial" w:hAnsi="Arial" w:cs="Arial"/>
          <w:lang w:eastAsia="es-ES_tradnl"/>
        </w:rPr>
        <w:t>sobrevivientes</w:t>
      </w:r>
      <w:r w:rsidR="0072383C" w:rsidRPr="007F1030">
        <w:rPr>
          <w:rFonts w:ascii="Arial" w:eastAsia="Arial" w:hAnsi="Arial" w:cs="Arial"/>
          <w:lang w:eastAsia="es-ES_tradnl"/>
        </w:rPr>
        <w:t xml:space="preserve">, bajo </w:t>
      </w:r>
      <w:r w:rsidR="00E447B2" w:rsidRPr="007F1030">
        <w:rPr>
          <w:rFonts w:ascii="Arial" w:eastAsia="Arial" w:hAnsi="Arial" w:cs="Arial"/>
          <w:lang w:eastAsia="es-ES_tradnl"/>
        </w:rPr>
        <w:t>las reglas</w:t>
      </w:r>
      <w:r w:rsidR="0072383C" w:rsidRPr="007F1030">
        <w:rPr>
          <w:rFonts w:ascii="Arial" w:eastAsia="Arial" w:hAnsi="Arial" w:cs="Arial"/>
          <w:lang w:eastAsia="es-ES_tradnl"/>
        </w:rPr>
        <w:t xml:space="preserve"> del Acuerdo 049 de 1990, en aplicación del principio de la condición </w:t>
      </w:r>
      <w:r w:rsidR="00CA26BB" w:rsidRPr="007F1030">
        <w:rPr>
          <w:rFonts w:ascii="Arial" w:eastAsia="Arial" w:hAnsi="Arial" w:cs="Arial"/>
          <w:lang w:eastAsia="es-ES_tradnl"/>
        </w:rPr>
        <w:t>más</w:t>
      </w:r>
      <w:r w:rsidR="0072383C" w:rsidRPr="007F1030">
        <w:rPr>
          <w:rFonts w:ascii="Arial" w:eastAsia="Arial" w:hAnsi="Arial" w:cs="Arial"/>
          <w:lang w:eastAsia="es-ES_tradnl"/>
        </w:rPr>
        <w:t xml:space="preserve"> beneficiosa, a partir del </w:t>
      </w:r>
      <w:r w:rsidR="00026A4E" w:rsidRPr="007F1030">
        <w:rPr>
          <w:rFonts w:ascii="Arial" w:eastAsia="Arial" w:hAnsi="Arial" w:cs="Arial"/>
          <w:lang w:eastAsia="es-ES_tradnl"/>
        </w:rPr>
        <w:t>22 de marzo de 2013</w:t>
      </w:r>
      <w:r w:rsidR="0072383C" w:rsidRPr="007F1030">
        <w:rPr>
          <w:rFonts w:ascii="Arial" w:eastAsia="Arial" w:hAnsi="Arial" w:cs="Arial"/>
          <w:lang w:eastAsia="es-ES_tradnl"/>
        </w:rPr>
        <w:t xml:space="preserve">, </w:t>
      </w:r>
      <w:r w:rsidR="00E447B2" w:rsidRPr="007F1030">
        <w:rPr>
          <w:rFonts w:ascii="Arial" w:eastAsia="Arial" w:hAnsi="Arial" w:cs="Arial"/>
          <w:lang w:eastAsia="es-ES_tradnl"/>
        </w:rPr>
        <w:t xml:space="preserve">con las correspondientes </w:t>
      </w:r>
      <w:r w:rsidR="0072383C" w:rsidRPr="007F1030">
        <w:rPr>
          <w:rFonts w:ascii="Arial" w:eastAsia="Arial" w:hAnsi="Arial" w:cs="Arial"/>
          <w:lang w:eastAsia="es-ES_tradnl"/>
        </w:rPr>
        <w:t xml:space="preserve">costas procesales.  </w:t>
      </w:r>
    </w:p>
    <w:p w14:paraId="5192FCED" w14:textId="77777777" w:rsidR="0094718A" w:rsidRPr="007F1030" w:rsidRDefault="0094718A" w:rsidP="007F1030">
      <w:pPr>
        <w:autoSpaceDE w:val="0"/>
        <w:autoSpaceDN w:val="0"/>
        <w:adjustRightInd w:val="0"/>
        <w:spacing w:line="276" w:lineRule="auto"/>
        <w:ind w:firstLine="708"/>
        <w:jc w:val="both"/>
        <w:rPr>
          <w:rFonts w:ascii="Arial" w:eastAsia="Arial" w:hAnsi="Arial" w:cs="Arial"/>
          <w:lang w:eastAsia="es-ES_tradnl"/>
        </w:rPr>
      </w:pPr>
    </w:p>
    <w:p w14:paraId="6A2F02A7" w14:textId="5E4B16C9" w:rsidR="00535BB3" w:rsidRPr="007F1030" w:rsidRDefault="00E919F6"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Como fundamento </w:t>
      </w:r>
      <w:r w:rsidR="00E447B2" w:rsidRPr="007F1030">
        <w:rPr>
          <w:rFonts w:ascii="Arial" w:eastAsia="Arial" w:hAnsi="Arial" w:cs="Arial"/>
          <w:lang w:eastAsia="es-ES_tradnl"/>
        </w:rPr>
        <w:t>fáctico de lo pretendido</w:t>
      </w:r>
      <w:r w:rsidRPr="007F1030">
        <w:rPr>
          <w:rFonts w:ascii="Arial" w:eastAsia="Arial" w:hAnsi="Arial" w:cs="Arial"/>
          <w:lang w:eastAsia="es-ES_tradnl"/>
        </w:rPr>
        <w:t xml:space="preserve">, </w:t>
      </w:r>
      <w:r w:rsidR="0072383C" w:rsidRPr="007F1030">
        <w:rPr>
          <w:rFonts w:ascii="Arial" w:eastAsia="Arial" w:hAnsi="Arial" w:cs="Arial"/>
          <w:lang w:eastAsia="es-ES_tradnl"/>
        </w:rPr>
        <w:t>expuso</w:t>
      </w:r>
      <w:r w:rsidR="00323B22" w:rsidRPr="007F1030">
        <w:rPr>
          <w:rFonts w:ascii="Arial" w:eastAsia="Arial" w:hAnsi="Arial" w:cs="Arial"/>
          <w:lang w:eastAsia="es-ES_tradnl"/>
        </w:rPr>
        <w:t>, en síntesis,</w:t>
      </w:r>
      <w:r w:rsidR="0072383C" w:rsidRPr="007F1030">
        <w:rPr>
          <w:rFonts w:ascii="Arial" w:eastAsia="Arial" w:hAnsi="Arial" w:cs="Arial"/>
          <w:lang w:eastAsia="es-ES_tradnl"/>
        </w:rPr>
        <w:t xml:space="preserve"> que</w:t>
      </w:r>
      <w:r w:rsidR="00803C74" w:rsidRPr="007F1030">
        <w:rPr>
          <w:rFonts w:ascii="Arial" w:eastAsia="Arial" w:hAnsi="Arial" w:cs="Arial"/>
          <w:lang w:eastAsia="es-ES_tradnl"/>
        </w:rPr>
        <w:t xml:space="preserve"> convivió con Arturo Hernández Londoño desde el 03 de enero de 1986 hasta el 7 de noviembre de 1995, cuando él falleció; que procrearon dos hijos de nombre </w:t>
      </w:r>
      <w:proofErr w:type="spellStart"/>
      <w:r w:rsidR="00803C74" w:rsidRPr="007F1030">
        <w:rPr>
          <w:rFonts w:ascii="Arial" w:eastAsia="Arial" w:hAnsi="Arial" w:cs="Arial"/>
          <w:lang w:eastAsia="es-ES_tradnl"/>
        </w:rPr>
        <w:t>M</w:t>
      </w:r>
      <w:r w:rsidR="00CA26BB">
        <w:rPr>
          <w:rFonts w:ascii="Arial" w:eastAsia="Arial" w:hAnsi="Arial" w:cs="Arial"/>
          <w:lang w:eastAsia="es-ES_tradnl"/>
        </w:rPr>
        <w:t>allerly</w:t>
      </w:r>
      <w:proofErr w:type="spellEnd"/>
      <w:r w:rsidR="00CA26BB">
        <w:rPr>
          <w:rFonts w:ascii="Arial" w:eastAsia="Arial" w:hAnsi="Arial" w:cs="Arial"/>
          <w:lang w:eastAsia="es-ES_tradnl"/>
        </w:rPr>
        <w:t xml:space="preserve"> y Geovanny, nacidos el </w:t>
      </w:r>
      <w:r w:rsidR="00803C74" w:rsidRPr="007F1030">
        <w:rPr>
          <w:rFonts w:ascii="Arial" w:eastAsia="Arial" w:hAnsi="Arial" w:cs="Arial"/>
          <w:lang w:eastAsia="es-ES_tradnl"/>
        </w:rPr>
        <w:t xml:space="preserve">3 de julio de 1990 y el 28 de mayo de 1994, respectivamente; que Arturo Hernández Londoño cotizó 318 semanas en pensiones desde el 11 de febrero de 1987 y el 8 de agosto de 1994; </w:t>
      </w:r>
      <w:r w:rsidR="00A501CE" w:rsidRPr="007F1030">
        <w:rPr>
          <w:rFonts w:ascii="Arial" w:eastAsia="Arial" w:hAnsi="Arial" w:cs="Arial"/>
          <w:lang w:eastAsia="es-ES_tradnl"/>
        </w:rPr>
        <w:t xml:space="preserve">que Geovanny Hernández Velásquez pereció el 22 de mayo de 2013; que el 22 de marzo de 2016 reclamó a Colpensiones la indemnización sustitutiva de la pensión de sobrevivientes, que le fue negada mediante la mediante la Resolución </w:t>
      </w:r>
      <w:proofErr w:type="spellStart"/>
      <w:r w:rsidR="00A501CE" w:rsidRPr="007F1030">
        <w:rPr>
          <w:rFonts w:ascii="Arial" w:eastAsia="Arial" w:hAnsi="Arial" w:cs="Arial"/>
          <w:lang w:eastAsia="es-ES_tradnl"/>
        </w:rPr>
        <w:t>GNR168245</w:t>
      </w:r>
      <w:proofErr w:type="spellEnd"/>
      <w:r w:rsidR="00A501CE" w:rsidRPr="007F1030">
        <w:rPr>
          <w:rFonts w:ascii="Arial" w:eastAsia="Arial" w:hAnsi="Arial" w:cs="Arial"/>
          <w:lang w:eastAsia="es-ES_tradnl"/>
        </w:rPr>
        <w:t xml:space="preserve"> de 2016; y que el 27 de marzo de 2017</w:t>
      </w:r>
      <w:r w:rsidR="00535BB3" w:rsidRPr="007F1030">
        <w:rPr>
          <w:rFonts w:ascii="Arial" w:eastAsia="Arial" w:hAnsi="Arial" w:cs="Arial"/>
          <w:lang w:eastAsia="es-ES_tradnl"/>
        </w:rPr>
        <w:t xml:space="preserve"> presentó ante Colpensiones la solicitud de reconocimiento de pensión de sobrevivientes que fue decidida desfavorablemente mediante la Resolución </w:t>
      </w:r>
      <w:proofErr w:type="spellStart"/>
      <w:r w:rsidR="00535BB3" w:rsidRPr="007F1030">
        <w:rPr>
          <w:rFonts w:ascii="Arial" w:eastAsia="Arial" w:hAnsi="Arial" w:cs="Arial"/>
          <w:lang w:eastAsia="es-ES_tradnl"/>
        </w:rPr>
        <w:t>SUB58862</w:t>
      </w:r>
      <w:proofErr w:type="spellEnd"/>
      <w:r w:rsidR="00535BB3" w:rsidRPr="007F1030">
        <w:rPr>
          <w:rFonts w:ascii="Arial" w:eastAsia="Arial" w:hAnsi="Arial" w:cs="Arial"/>
          <w:lang w:eastAsia="es-ES_tradnl"/>
        </w:rPr>
        <w:t xml:space="preserve"> del 11 de mayo de 2017 (f</w:t>
      </w:r>
      <w:r w:rsidR="008B69A2" w:rsidRPr="007F1030">
        <w:rPr>
          <w:rFonts w:ascii="Arial" w:eastAsia="Arial" w:hAnsi="Arial" w:cs="Arial"/>
          <w:lang w:eastAsia="es-ES_tradnl"/>
        </w:rPr>
        <w:t>s</w:t>
      </w:r>
      <w:r w:rsidR="00535BB3" w:rsidRPr="007F1030">
        <w:rPr>
          <w:rFonts w:ascii="Arial" w:eastAsia="Arial" w:hAnsi="Arial" w:cs="Arial"/>
          <w:lang w:eastAsia="es-ES_tradnl"/>
        </w:rPr>
        <w:t xml:space="preserve">. 40 a 56) </w:t>
      </w:r>
    </w:p>
    <w:p w14:paraId="555AA959" w14:textId="77777777" w:rsidR="008B69A2" w:rsidRPr="007F1030" w:rsidRDefault="008B69A2" w:rsidP="007F1030">
      <w:pPr>
        <w:autoSpaceDE w:val="0"/>
        <w:autoSpaceDN w:val="0"/>
        <w:adjustRightInd w:val="0"/>
        <w:spacing w:line="276" w:lineRule="auto"/>
        <w:ind w:firstLine="708"/>
        <w:jc w:val="both"/>
        <w:rPr>
          <w:rFonts w:ascii="Arial" w:eastAsia="Arial" w:hAnsi="Arial" w:cs="Arial"/>
          <w:lang w:eastAsia="es-ES_tradnl"/>
        </w:rPr>
      </w:pPr>
    </w:p>
    <w:p w14:paraId="121F904E" w14:textId="2AA5F48A" w:rsidR="008B69A2" w:rsidRPr="007F1030" w:rsidRDefault="008B69A2" w:rsidP="007F1030">
      <w:pPr>
        <w:autoSpaceDE w:val="0"/>
        <w:autoSpaceDN w:val="0"/>
        <w:adjustRightInd w:val="0"/>
        <w:spacing w:line="276" w:lineRule="auto"/>
        <w:ind w:left="709"/>
        <w:jc w:val="both"/>
        <w:rPr>
          <w:rFonts w:ascii="Arial" w:eastAsia="Arial" w:hAnsi="Arial" w:cs="Arial"/>
          <w:b/>
          <w:bCs/>
          <w:lang w:eastAsia="es-ES_tradnl"/>
        </w:rPr>
      </w:pPr>
      <w:r w:rsidRPr="007F1030">
        <w:rPr>
          <w:rFonts w:ascii="Arial" w:eastAsia="Arial" w:hAnsi="Arial" w:cs="Arial"/>
          <w:b/>
          <w:bCs/>
          <w:lang w:eastAsia="es-ES_tradnl"/>
        </w:rPr>
        <w:t xml:space="preserve">1.2. Respuesta a la demanda </w:t>
      </w:r>
    </w:p>
    <w:p w14:paraId="4DCB1CA2" w14:textId="77777777" w:rsidR="008B69A2" w:rsidRPr="007F1030" w:rsidRDefault="008B69A2" w:rsidP="007F1030">
      <w:pPr>
        <w:pStyle w:val="Prrafodelista"/>
        <w:autoSpaceDE w:val="0"/>
        <w:autoSpaceDN w:val="0"/>
        <w:adjustRightInd w:val="0"/>
        <w:spacing w:line="276" w:lineRule="auto"/>
        <w:ind w:left="1440"/>
        <w:jc w:val="both"/>
        <w:rPr>
          <w:rFonts w:ascii="Arial" w:eastAsia="Arial" w:hAnsi="Arial" w:cs="Arial"/>
          <w:b/>
          <w:bCs/>
          <w:lang w:eastAsia="es-ES_tradnl"/>
        </w:rPr>
      </w:pPr>
    </w:p>
    <w:p w14:paraId="0246E178" w14:textId="3BD8F709" w:rsidR="00591DF7" w:rsidRPr="007F1030" w:rsidRDefault="00D218D8"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Al dar contestación a la demanda, la Administradora Colombiana de Pensiones – Colpensiones, </w:t>
      </w:r>
      <w:r w:rsidR="00535BB3" w:rsidRPr="007F1030">
        <w:rPr>
          <w:rFonts w:ascii="Arial" w:eastAsia="Arial" w:hAnsi="Arial" w:cs="Arial"/>
          <w:lang w:eastAsia="es-ES_tradnl"/>
        </w:rPr>
        <w:t>se opuso a las pretensiones de la demanda señalando que la demandante no acreditó la calidad de compañera permanente, ni la convivencia con el causante</w:t>
      </w:r>
      <w:r w:rsidR="001A4F57" w:rsidRPr="007F1030">
        <w:rPr>
          <w:rFonts w:ascii="Arial" w:eastAsia="Arial" w:hAnsi="Arial" w:cs="Arial"/>
          <w:lang w:eastAsia="es-ES_tradnl"/>
        </w:rPr>
        <w:t xml:space="preserve"> que exige la legislación</w:t>
      </w:r>
      <w:r w:rsidR="00535BB3" w:rsidRPr="007F1030">
        <w:rPr>
          <w:rFonts w:ascii="Arial" w:eastAsia="Arial" w:hAnsi="Arial" w:cs="Arial"/>
          <w:lang w:eastAsia="es-ES_tradnl"/>
        </w:rPr>
        <w:t>; frente a los hechos</w:t>
      </w:r>
      <w:r w:rsidR="001A4F57" w:rsidRPr="007F1030">
        <w:rPr>
          <w:rFonts w:ascii="Arial" w:eastAsia="Arial" w:hAnsi="Arial" w:cs="Arial"/>
          <w:lang w:eastAsia="es-ES_tradnl"/>
        </w:rPr>
        <w:t xml:space="preserve">, calificó como ciertos </w:t>
      </w:r>
      <w:r w:rsidR="00535BB3" w:rsidRPr="007F1030">
        <w:rPr>
          <w:rFonts w:ascii="Arial" w:eastAsia="Arial" w:hAnsi="Arial" w:cs="Arial"/>
          <w:lang w:eastAsia="es-ES_tradnl"/>
        </w:rPr>
        <w:t xml:space="preserve">los relativos al deceso del afiliado, </w:t>
      </w:r>
      <w:r w:rsidR="001A4F57" w:rsidRPr="007F1030">
        <w:rPr>
          <w:rFonts w:ascii="Arial" w:eastAsia="Arial" w:hAnsi="Arial" w:cs="Arial"/>
          <w:lang w:eastAsia="es-ES_tradnl"/>
        </w:rPr>
        <w:t>las semanas cotizadas en pensiones, la procreación de</w:t>
      </w:r>
      <w:r w:rsidR="000B1360" w:rsidRPr="007F1030">
        <w:rPr>
          <w:rFonts w:ascii="Arial" w:eastAsia="Arial" w:hAnsi="Arial" w:cs="Arial"/>
          <w:lang w:eastAsia="es-ES_tradnl"/>
        </w:rPr>
        <w:t xml:space="preserve"> </w:t>
      </w:r>
      <w:r w:rsidR="001A4F57" w:rsidRPr="007F1030">
        <w:rPr>
          <w:rFonts w:ascii="Arial" w:eastAsia="Arial" w:hAnsi="Arial" w:cs="Arial"/>
          <w:lang w:eastAsia="es-ES_tradnl"/>
        </w:rPr>
        <w:t xml:space="preserve">hijos entre el </w:t>
      </w:r>
      <w:r w:rsidR="000B1360" w:rsidRPr="007F1030">
        <w:rPr>
          <w:rFonts w:ascii="Arial" w:eastAsia="Arial" w:hAnsi="Arial" w:cs="Arial"/>
          <w:lang w:eastAsia="es-ES_tradnl"/>
        </w:rPr>
        <w:t xml:space="preserve">interfecto y la reclamante, el óbito del menor de ellos, las reclamaciones y las negativas al reconocimiento de lo pedido; como excepciones, invocó las de inexistencia de la obligación y cobro de lo no </w:t>
      </w:r>
      <w:r w:rsidR="000B1360" w:rsidRPr="007F1030">
        <w:rPr>
          <w:rFonts w:ascii="Arial" w:eastAsia="Arial" w:hAnsi="Arial" w:cs="Arial"/>
          <w:lang w:eastAsia="es-ES_tradnl"/>
        </w:rPr>
        <w:lastRenderedPageBreak/>
        <w:t>debido, buena fe, imposibilidad jurídica para cumplir con las obligaciones pretendidas y prescripción (</w:t>
      </w:r>
      <w:r w:rsidR="007170DC" w:rsidRPr="007F1030">
        <w:rPr>
          <w:rFonts w:ascii="Arial" w:eastAsia="Arial" w:hAnsi="Arial" w:cs="Arial"/>
          <w:lang w:eastAsia="es-ES_tradnl"/>
        </w:rPr>
        <w:t>f</w:t>
      </w:r>
      <w:r w:rsidR="00434567">
        <w:rPr>
          <w:rFonts w:ascii="Arial" w:eastAsia="Arial" w:hAnsi="Arial" w:cs="Arial"/>
          <w:lang w:eastAsia="es-ES_tradnl"/>
        </w:rPr>
        <w:t>s</w:t>
      </w:r>
      <w:r w:rsidR="007170DC" w:rsidRPr="007F1030">
        <w:rPr>
          <w:rFonts w:ascii="Arial" w:eastAsia="Arial" w:hAnsi="Arial" w:cs="Arial"/>
          <w:lang w:eastAsia="es-ES_tradnl"/>
        </w:rPr>
        <w:t xml:space="preserve">. </w:t>
      </w:r>
      <w:r w:rsidR="000B1360" w:rsidRPr="007F1030">
        <w:rPr>
          <w:rFonts w:ascii="Arial" w:eastAsia="Arial" w:hAnsi="Arial" w:cs="Arial"/>
          <w:lang w:eastAsia="es-ES_tradnl"/>
        </w:rPr>
        <w:t>66 a 70</w:t>
      </w:r>
      <w:r w:rsidR="007170DC" w:rsidRPr="007F1030">
        <w:rPr>
          <w:rFonts w:ascii="Arial" w:eastAsia="Arial" w:hAnsi="Arial" w:cs="Arial"/>
          <w:lang w:eastAsia="es-ES_tradnl"/>
        </w:rPr>
        <w:t xml:space="preserve">). </w:t>
      </w:r>
    </w:p>
    <w:p w14:paraId="022EC67B" w14:textId="77777777" w:rsidR="00591DF7" w:rsidRPr="007F1030" w:rsidRDefault="00591DF7" w:rsidP="007F1030">
      <w:pPr>
        <w:autoSpaceDE w:val="0"/>
        <w:autoSpaceDN w:val="0"/>
        <w:adjustRightInd w:val="0"/>
        <w:spacing w:line="276" w:lineRule="auto"/>
        <w:ind w:firstLine="708"/>
        <w:jc w:val="both"/>
        <w:rPr>
          <w:rFonts w:ascii="Arial" w:eastAsia="Arial" w:hAnsi="Arial" w:cs="Arial"/>
          <w:lang w:eastAsia="es-ES_tradnl"/>
        </w:rPr>
      </w:pPr>
    </w:p>
    <w:p w14:paraId="1C120B9D" w14:textId="11604478" w:rsidR="00591DF7" w:rsidRPr="007F1030" w:rsidRDefault="00591DF7"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Por su parte, </w:t>
      </w:r>
      <w:proofErr w:type="spellStart"/>
      <w:r w:rsidRPr="007F1030">
        <w:rPr>
          <w:rFonts w:ascii="Arial" w:eastAsia="Arial" w:hAnsi="Arial" w:cs="Arial"/>
          <w:lang w:eastAsia="es-ES_tradnl"/>
        </w:rPr>
        <w:t>Mallerly</w:t>
      </w:r>
      <w:proofErr w:type="spellEnd"/>
      <w:r w:rsidRPr="007F1030">
        <w:rPr>
          <w:rFonts w:ascii="Arial" w:eastAsia="Arial" w:hAnsi="Arial" w:cs="Arial"/>
          <w:lang w:eastAsia="es-ES_tradnl"/>
        </w:rPr>
        <w:t xml:space="preserve"> Hernández Velásquez, notificada personalmente de la demanda (f</w:t>
      </w:r>
      <w:r w:rsidR="00AE506C" w:rsidRPr="007F1030">
        <w:rPr>
          <w:rFonts w:ascii="Arial" w:eastAsia="Arial" w:hAnsi="Arial" w:cs="Arial"/>
          <w:lang w:eastAsia="es-ES_tradnl"/>
        </w:rPr>
        <w:t>ol.</w:t>
      </w:r>
      <w:r w:rsidRPr="007F1030">
        <w:rPr>
          <w:rFonts w:ascii="Arial" w:eastAsia="Arial" w:hAnsi="Arial" w:cs="Arial"/>
          <w:lang w:eastAsia="es-ES_tradnl"/>
        </w:rPr>
        <w:t xml:space="preserve"> 107), asumió una actitud silente (f</w:t>
      </w:r>
      <w:r w:rsidR="00AE506C" w:rsidRPr="007F1030">
        <w:rPr>
          <w:rFonts w:ascii="Arial" w:eastAsia="Arial" w:hAnsi="Arial" w:cs="Arial"/>
          <w:lang w:eastAsia="es-ES_tradnl"/>
        </w:rPr>
        <w:t>ol.</w:t>
      </w:r>
      <w:r w:rsidRPr="007F1030">
        <w:rPr>
          <w:rFonts w:ascii="Arial" w:eastAsia="Arial" w:hAnsi="Arial" w:cs="Arial"/>
          <w:lang w:eastAsia="es-ES_tradnl"/>
        </w:rPr>
        <w:t xml:space="preserve"> 110). </w:t>
      </w:r>
    </w:p>
    <w:p w14:paraId="006C1F08" w14:textId="77777777" w:rsidR="00C82583" w:rsidRPr="007F1030" w:rsidRDefault="00C82583" w:rsidP="007F1030">
      <w:pPr>
        <w:autoSpaceDE w:val="0"/>
        <w:autoSpaceDN w:val="0"/>
        <w:adjustRightInd w:val="0"/>
        <w:spacing w:line="276" w:lineRule="auto"/>
        <w:jc w:val="both"/>
        <w:rPr>
          <w:rFonts w:ascii="Arial" w:hAnsi="Arial" w:cs="Arial"/>
          <w:b/>
          <w:bCs/>
          <w:spacing w:val="12"/>
          <w:lang w:val="es-ES_tradnl"/>
        </w:rPr>
      </w:pPr>
    </w:p>
    <w:p w14:paraId="7745EC35" w14:textId="150AABA4" w:rsidR="00AE506C" w:rsidRPr="007F1030" w:rsidRDefault="00AE506C" w:rsidP="007F1030">
      <w:pPr>
        <w:pStyle w:val="Ttulo1"/>
        <w:spacing w:before="0" w:line="276" w:lineRule="auto"/>
        <w:ind w:left="709"/>
        <w:jc w:val="both"/>
        <w:rPr>
          <w:rFonts w:ascii="Arial" w:eastAsia="Arial" w:hAnsi="Arial" w:cs="Arial"/>
          <w:b/>
          <w:bCs/>
          <w:color w:val="auto"/>
          <w:sz w:val="24"/>
          <w:szCs w:val="24"/>
        </w:rPr>
      </w:pPr>
      <w:r w:rsidRPr="007F1030">
        <w:rPr>
          <w:rFonts w:ascii="Arial" w:eastAsia="Arial" w:hAnsi="Arial" w:cs="Arial"/>
          <w:b/>
          <w:bCs/>
          <w:color w:val="auto"/>
          <w:sz w:val="24"/>
          <w:szCs w:val="24"/>
        </w:rPr>
        <w:t>II. SENTENCIA DE PRIMERA INSTANCIA</w:t>
      </w:r>
    </w:p>
    <w:p w14:paraId="5C98F041" w14:textId="77777777" w:rsidR="000C631D" w:rsidRPr="007F1030" w:rsidRDefault="000C631D" w:rsidP="007F1030">
      <w:pPr>
        <w:autoSpaceDE w:val="0"/>
        <w:autoSpaceDN w:val="0"/>
        <w:adjustRightInd w:val="0"/>
        <w:spacing w:line="276" w:lineRule="auto"/>
        <w:jc w:val="both"/>
        <w:rPr>
          <w:rFonts w:ascii="Arial" w:hAnsi="Arial" w:cs="Arial"/>
          <w:spacing w:val="12"/>
          <w:lang w:val="es-ES_tradnl"/>
        </w:rPr>
      </w:pPr>
    </w:p>
    <w:p w14:paraId="55E528FF" w14:textId="01B60194" w:rsidR="00CF35F0" w:rsidRPr="007F1030" w:rsidRDefault="00452E10"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El Juzgado </w:t>
      </w:r>
      <w:r w:rsidR="000B1360" w:rsidRPr="007F1030">
        <w:rPr>
          <w:rFonts w:ascii="Arial" w:eastAsia="Arial" w:hAnsi="Arial" w:cs="Arial"/>
          <w:lang w:eastAsia="es-ES_tradnl"/>
        </w:rPr>
        <w:t>Quinto</w:t>
      </w:r>
      <w:r w:rsidRPr="007F1030">
        <w:rPr>
          <w:rFonts w:ascii="Arial" w:eastAsia="Arial" w:hAnsi="Arial" w:cs="Arial"/>
          <w:lang w:eastAsia="es-ES_tradnl"/>
        </w:rPr>
        <w:t xml:space="preserve"> Laboral del Circuito de </w:t>
      </w:r>
      <w:r w:rsidR="00C30373" w:rsidRPr="007F1030">
        <w:rPr>
          <w:rFonts w:ascii="Arial" w:eastAsia="Arial" w:hAnsi="Arial" w:cs="Arial"/>
          <w:lang w:eastAsia="es-ES_tradnl"/>
        </w:rPr>
        <w:t>esta ciudad,</w:t>
      </w:r>
      <w:r w:rsidRPr="007F1030">
        <w:rPr>
          <w:rFonts w:ascii="Arial" w:eastAsia="Arial" w:hAnsi="Arial" w:cs="Arial"/>
          <w:lang w:eastAsia="es-ES_tradnl"/>
        </w:rPr>
        <w:t xml:space="preserve"> puso fin a la primera instancia</w:t>
      </w:r>
      <w:r w:rsidR="00C02016" w:rsidRPr="007F1030">
        <w:rPr>
          <w:rFonts w:ascii="Arial" w:eastAsia="Arial" w:hAnsi="Arial" w:cs="Arial"/>
          <w:lang w:eastAsia="es-ES_tradnl"/>
        </w:rPr>
        <w:t xml:space="preserve"> en sentencia del </w:t>
      </w:r>
      <w:r w:rsidR="000B1360" w:rsidRPr="007F1030">
        <w:rPr>
          <w:rFonts w:ascii="Arial" w:eastAsia="Arial" w:hAnsi="Arial" w:cs="Arial"/>
          <w:lang w:eastAsia="es-ES_tradnl"/>
        </w:rPr>
        <w:t>8 de julio de</w:t>
      </w:r>
      <w:r w:rsidR="00C82583" w:rsidRPr="007F1030">
        <w:rPr>
          <w:rFonts w:ascii="Arial" w:eastAsia="Arial" w:hAnsi="Arial" w:cs="Arial"/>
          <w:lang w:eastAsia="es-ES_tradnl"/>
        </w:rPr>
        <w:t xml:space="preserve"> 2019</w:t>
      </w:r>
      <w:r w:rsidR="00C02016" w:rsidRPr="007F1030">
        <w:rPr>
          <w:rFonts w:ascii="Arial" w:eastAsia="Arial" w:hAnsi="Arial" w:cs="Arial"/>
          <w:lang w:eastAsia="es-ES_tradnl"/>
        </w:rPr>
        <w:t xml:space="preserve">, </w:t>
      </w:r>
      <w:r w:rsidR="000B1360" w:rsidRPr="007F1030">
        <w:rPr>
          <w:rFonts w:ascii="Arial" w:eastAsia="Arial" w:hAnsi="Arial" w:cs="Arial"/>
          <w:lang w:eastAsia="es-ES_tradnl"/>
        </w:rPr>
        <w:t xml:space="preserve">en la que declaró que María </w:t>
      </w:r>
      <w:proofErr w:type="spellStart"/>
      <w:r w:rsidR="000B1360" w:rsidRPr="007F1030">
        <w:rPr>
          <w:rFonts w:ascii="Arial" w:eastAsia="Arial" w:hAnsi="Arial" w:cs="Arial"/>
          <w:lang w:eastAsia="es-ES_tradnl"/>
        </w:rPr>
        <w:t>Cenelia</w:t>
      </w:r>
      <w:proofErr w:type="spellEnd"/>
      <w:r w:rsidR="000B1360" w:rsidRPr="007F1030">
        <w:rPr>
          <w:rFonts w:ascii="Arial" w:eastAsia="Arial" w:hAnsi="Arial" w:cs="Arial"/>
          <w:lang w:eastAsia="es-ES_tradnl"/>
        </w:rPr>
        <w:t xml:space="preserve"> Velásquez Bedoya </w:t>
      </w:r>
      <w:r w:rsidR="00F710E1" w:rsidRPr="007F1030">
        <w:rPr>
          <w:rFonts w:ascii="Arial" w:eastAsia="Arial" w:hAnsi="Arial" w:cs="Arial"/>
          <w:lang w:eastAsia="es-ES_tradnl"/>
        </w:rPr>
        <w:t>tiene derecho</w:t>
      </w:r>
      <w:r w:rsidR="00963EAF" w:rsidRPr="007F1030">
        <w:rPr>
          <w:rFonts w:ascii="Arial" w:eastAsia="Arial" w:hAnsi="Arial" w:cs="Arial"/>
          <w:lang w:eastAsia="es-ES_tradnl"/>
        </w:rPr>
        <w:t xml:space="preserve"> vitalicio</w:t>
      </w:r>
      <w:r w:rsidR="00F710E1" w:rsidRPr="007F1030">
        <w:rPr>
          <w:rFonts w:ascii="Arial" w:eastAsia="Arial" w:hAnsi="Arial" w:cs="Arial"/>
          <w:lang w:eastAsia="es-ES_tradnl"/>
        </w:rPr>
        <w:t xml:space="preserve"> </w:t>
      </w:r>
      <w:r w:rsidR="00F36F64" w:rsidRPr="007F1030">
        <w:rPr>
          <w:rFonts w:ascii="Arial" w:eastAsia="Arial" w:hAnsi="Arial" w:cs="Arial"/>
          <w:lang w:eastAsia="es-ES_tradnl"/>
        </w:rPr>
        <w:t xml:space="preserve">a </w:t>
      </w:r>
      <w:r w:rsidR="00F710E1" w:rsidRPr="007F1030">
        <w:rPr>
          <w:rFonts w:ascii="Arial" w:eastAsia="Arial" w:hAnsi="Arial" w:cs="Arial"/>
          <w:lang w:eastAsia="es-ES_tradnl"/>
        </w:rPr>
        <w:t xml:space="preserve">la pensión de sobrevivientes causada </w:t>
      </w:r>
      <w:r w:rsidR="00107F55" w:rsidRPr="007F1030">
        <w:rPr>
          <w:rFonts w:ascii="Arial" w:eastAsia="Arial" w:hAnsi="Arial" w:cs="Arial"/>
          <w:lang w:eastAsia="es-ES_tradnl"/>
        </w:rPr>
        <w:t>con</w:t>
      </w:r>
      <w:r w:rsidR="00F710E1" w:rsidRPr="007F1030">
        <w:rPr>
          <w:rFonts w:ascii="Arial" w:eastAsia="Arial" w:hAnsi="Arial" w:cs="Arial"/>
          <w:lang w:eastAsia="es-ES_tradnl"/>
        </w:rPr>
        <w:t xml:space="preserve"> la defunción de Arturo Hernández Londoño; condenó al Colpensiones al pago de la suma de $49.791.588 por concepto del retroactivo pensional causado entre el 27 de marzo de 201</w:t>
      </w:r>
      <w:r w:rsidR="0052069F" w:rsidRPr="007F1030">
        <w:rPr>
          <w:rFonts w:ascii="Arial" w:eastAsia="Arial" w:hAnsi="Arial" w:cs="Arial"/>
          <w:lang w:eastAsia="es-ES_tradnl"/>
        </w:rPr>
        <w:t>4</w:t>
      </w:r>
      <w:r w:rsidR="00F710E1" w:rsidRPr="007F1030">
        <w:rPr>
          <w:rFonts w:ascii="Arial" w:eastAsia="Arial" w:hAnsi="Arial" w:cs="Arial"/>
          <w:lang w:eastAsia="es-ES_tradnl"/>
        </w:rPr>
        <w:t xml:space="preserve"> hasta el 30 de marzo de 2019, sin perjuicio de las mesadas que se continuaran causando; dispuso que frente al retroactivo procedían las deducciones de ley; y condenó en costas en un 90% a la entidad demandada. </w:t>
      </w:r>
    </w:p>
    <w:p w14:paraId="6099B994" w14:textId="6932376E" w:rsidR="00591DF7" w:rsidRPr="007F1030" w:rsidRDefault="00591DF7" w:rsidP="007F1030">
      <w:pPr>
        <w:autoSpaceDE w:val="0"/>
        <w:autoSpaceDN w:val="0"/>
        <w:adjustRightInd w:val="0"/>
        <w:spacing w:line="276" w:lineRule="auto"/>
        <w:ind w:firstLine="708"/>
        <w:jc w:val="both"/>
        <w:rPr>
          <w:rFonts w:ascii="Arial" w:eastAsia="Arial" w:hAnsi="Arial" w:cs="Arial"/>
          <w:lang w:eastAsia="es-ES_tradnl"/>
        </w:rPr>
      </w:pPr>
    </w:p>
    <w:p w14:paraId="5D46C0F1" w14:textId="5BF234CE" w:rsidR="00365ACF" w:rsidRPr="007F1030" w:rsidRDefault="004E14AB"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En sustento de las anteriores decisiones,</w:t>
      </w:r>
      <w:r w:rsidR="00C60DA2" w:rsidRPr="007F1030">
        <w:rPr>
          <w:rFonts w:ascii="Arial" w:eastAsia="Arial" w:hAnsi="Arial" w:cs="Arial"/>
          <w:lang w:eastAsia="es-ES_tradnl"/>
        </w:rPr>
        <w:t xml:space="preserve"> considerando la fecha del deceso de Arturo Hernández Londoño, indicó que la normatividad llamada a regular la prestación pretendida, corresponde a la Ley 100 de 1993; no obstante, al encontrar que bajo </w:t>
      </w:r>
      <w:r w:rsidR="00B908EC" w:rsidRPr="007F1030">
        <w:rPr>
          <w:rFonts w:ascii="Arial" w:eastAsia="Arial" w:hAnsi="Arial" w:cs="Arial"/>
          <w:lang w:eastAsia="es-ES_tradnl"/>
        </w:rPr>
        <w:t>la versión original de estas reglas</w:t>
      </w:r>
      <w:r w:rsidR="00C60DA2" w:rsidRPr="007F1030">
        <w:rPr>
          <w:rFonts w:ascii="Arial" w:eastAsia="Arial" w:hAnsi="Arial" w:cs="Arial"/>
          <w:lang w:eastAsia="es-ES_tradnl"/>
        </w:rPr>
        <w:t xml:space="preserve"> los requisitos para la causación del beneficio pensional no se cumplían, en aplicación del principio de la condición</w:t>
      </w:r>
      <w:r w:rsidR="00235DA0" w:rsidRPr="007F1030">
        <w:rPr>
          <w:rFonts w:ascii="Arial" w:eastAsia="Arial" w:hAnsi="Arial" w:cs="Arial"/>
          <w:lang w:eastAsia="es-ES_tradnl"/>
        </w:rPr>
        <w:t xml:space="preserve"> más beneficiosa, acudió a las previsiones del Acuerdo 049 de 1990</w:t>
      </w:r>
      <w:r w:rsidR="00E74EB3" w:rsidRPr="007F1030">
        <w:rPr>
          <w:rFonts w:ascii="Arial" w:eastAsia="Arial" w:hAnsi="Arial" w:cs="Arial"/>
          <w:lang w:eastAsia="es-ES_tradnl"/>
        </w:rPr>
        <w:t xml:space="preserve">, concluyendo que el afiliado </w:t>
      </w:r>
      <w:r w:rsidR="00365ACF" w:rsidRPr="007F1030">
        <w:rPr>
          <w:rFonts w:ascii="Arial" w:eastAsia="Arial" w:hAnsi="Arial" w:cs="Arial"/>
          <w:lang w:eastAsia="es-ES_tradnl"/>
        </w:rPr>
        <w:t xml:space="preserve">consolidó el derecho en favor de su grupo familiar, por acreditar más de 150 semanas de cotizaciones dentro los anteriores, tanto al 01 de abril de 1994 y como al momento del óbito.  </w:t>
      </w:r>
    </w:p>
    <w:p w14:paraId="75E0BCF7" w14:textId="49BE52C8" w:rsidR="00BE2580" w:rsidRPr="007F1030" w:rsidRDefault="00BE2580" w:rsidP="007F1030">
      <w:pPr>
        <w:autoSpaceDE w:val="0"/>
        <w:autoSpaceDN w:val="0"/>
        <w:adjustRightInd w:val="0"/>
        <w:spacing w:line="276" w:lineRule="auto"/>
        <w:ind w:firstLine="708"/>
        <w:jc w:val="both"/>
        <w:rPr>
          <w:rFonts w:ascii="Arial" w:eastAsia="Arial" w:hAnsi="Arial" w:cs="Arial"/>
          <w:lang w:eastAsia="es-ES_tradnl"/>
        </w:rPr>
      </w:pPr>
    </w:p>
    <w:p w14:paraId="6A0C5A3D" w14:textId="7908337F" w:rsidR="00BE2580" w:rsidRPr="007F1030" w:rsidRDefault="00BE2580"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Así, en relación con María </w:t>
      </w:r>
      <w:proofErr w:type="spellStart"/>
      <w:r w:rsidRPr="007F1030">
        <w:rPr>
          <w:rFonts w:ascii="Arial" w:eastAsia="Arial" w:hAnsi="Arial" w:cs="Arial"/>
          <w:lang w:eastAsia="es-ES_tradnl"/>
        </w:rPr>
        <w:t>Cenelia</w:t>
      </w:r>
      <w:proofErr w:type="spellEnd"/>
      <w:r w:rsidRPr="007F1030">
        <w:rPr>
          <w:rFonts w:ascii="Arial" w:eastAsia="Arial" w:hAnsi="Arial" w:cs="Arial"/>
          <w:lang w:eastAsia="es-ES_tradnl"/>
        </w:rPr>
        <w:t xml:space="preserve"> Velásquez Bedoya, valiéndose de los testimonios rendidos por </w:t>
      </w:r>
      <w:proofErr w:type="spellStart"/>
      <w:r w:rsidRPr="007F1030">
        <w:rPr>
          <w:rFonts w:ascii="Arial" w:eastAsia="Arial" w:hAnsi="Arial" w:cs="Arial"/>
          <w:lang w:eastAsia="es-ES_tradnl"/>
        </w:rPr>
        <w:t>Derian</w:t>
      </w:r>
      <w:proofErr w:type="spellEnd"/>
      <w:r w:rsidRPr="007F1030">
        <w:rPr>
          <w:rFonts w:ascii="Arial" w:eastAsia="Arial" w:hAnsi="Arial" w:cs="Arial"/>
          <w:lang w:eastAsia="es-ES_tradnl"/>
        </w:rPr>
        <w:t xml:space="preserve"> de Jesús </w:t>
      </w:r>
      <w:proofErr w:type="spellStart"/>
      <w:r w:rsidRPr="007F1030">
        <w:rPr>
          <w:rFonts w:ascii="Arial" w:eastAsia="Arial" w:hAnsi="Arial" w:cs="Arial"/>
          <w:lang w:eastAsia="es-ES_tradnl"/>
        </w:rPr>
        <w:t>Pulgarín</w:t>
      </w:r>
      <w:proofErr w:type="spellEnd"/>
      <w:r w:rsidRPr="007F1030">
        <w:rPr>
          <w:rFonts w:ascii="Arial" w:eastAsia="Arial" w:hAnsi="Arial" w:cs="Arial"/>
          <w:lang w:eastAsia="es-ES_tradnl"/>
        </w:rPr>
        <w:t xml:space="preserve"> y </w:t>
      </w:r>
      <w:proofErr w:type="spellStart"/>
      <w:r w:rsidRPr="007F1030">
        <w:rPr>
          <w:rFonts w:ascii="Arial" w:eastAsia="Arial" w:hAnsi="Arial" w:cs="Arial"/>
          <w:lang w:eastAsia="es-ES_tradnl"/>
        </w:rPr>
        <w:t>Virgelina</w:t>
      </w:r>
      <w:proofErr w:type="spellEnd"/>
      <w:r w:rsidRPr="007F1030">
        <w:rPr>
          <w:rFonts w:ascii="Arial" w:eastAsia="Arial" w:hAnsi="Arial" w:cs="Arial"/>
          <w:lang w:eastAsia="es-ES_tradnl"/>
        </w:rPr>
        <w:t xml:space="preserve"> Velásquez, estimó justificado que, por razones laborales, la pareja no conviviera bajo el mismo techo al momento del fallecimiento del afiliado, e igualmente, al encontrar acreditados más de 5 años de convivencia, concluyó que se consolidó en su cabeza el derecho a la pensión en calidad de compañera permanente.  El testimonio de Alba Denis Velásquez Bedoya lo desestimó, por encontrarlo incoherente y evasivo. </w:t>
      </w:r>
    </w:p>
    <w:p w14:paraId="76EED4DC" w14:textId="77777777" w:rsidR="00BE2580" w:rsidRPr="007F1030" w:rsidRDefault="00BE2580" w:rsidP="007F1030">
      <w:pPr>
        <w:autoSpaceDE w:val="0"/>
        <w:autoSpaceDN w:val="0"/>
        <w:adjustRightInd w:val="0"/>
        <w:spacing w:line="276" w:lineRule="auto"/>
        <w:ind w:firstLine="708"/>
        <w:jc w:val="both"/>
        <w:rPr>
          <w:rFonts w:ascii="Arial" w:eastAsia="Arial" w:hAnsi="Arial" w:cs="Arial"/>
          <w:lang w:eastAsia="es-ES_tradnl"/>
        </w:rPr>
      </w:pPr>
    </w:p>
    <w:p w14:paraId="4369020B" w14:textId="287379B3" w:rsidR="00BE2580" w:rsidRPr="007F1030" w:rsidRDefault="00BE2580"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En consecuencia, advirtiendo que el término prescriptivo fue interrumpido con la solicitud de pensión elevada el 27 de marzo de 2017, que la negativa al reconocimiento se le notificó el 18 de mayo del mismo año y que la demanda fue presentada 29 de junio siguiente, indicó que las mesadas causadas con anterioridad al 27 de marzo de 2014 quedaron prescritas, calculó el retroactivo pensional a partir de esta fecha, con una mesada equivalente al salario mínimo y 14 mesadas anuales. Finalmente, dispuso que la condena en costas resultaba procedente, dadas las resultas del proceso (f</w:t>
      </w:r>
      <w:bookmarkStart w:id="0" w:name="_GoBack"/>
      <w:bookmarkEnd w:id="0"/>
      <w:r w:rsidR="000E4A33" w:rsidRPr="007F1030">
        <w:rPr>
          <w:rFonts w:ascii="Arial" w:eastAsia="Arial" w:hAnsi="Arial" w:cs="Arial"/>
          <w:lang w:eastAsia="es-ES_tradnl"/>
        </w:rPr>
        <w:t>s</w:t>
      </w:r>
      <w:r w:rsidRPr="007F1030">
        <w:rPr>
          <w:rFonts w:ascii="Arial" w:eastAsia="Arial" w:hAnsi="Arial" w:cs="Arial"/>
          <w:lang w:eastAsia="es-ES_tradnl"/>
        </w:rPr>
        <w:t xml:space="preserve">. 116 a 118).  </w:t>
      </w:r>
    </w:p>
    <w:p w14:paraId="257A90A9" w14:textId="77777777" w:rsidR="00BE2580" w:rsidRPr="007F1030" w:rsidRDefault="00BE2580" w:rsidP="007F1030">
      <w:pPr>
        <w:autoSpaceDE w:val="0"/>
        <w:autoSpaceDN w:val="0"/>
        <w:adjustRightInd w:val="0"/>
        <w:spacing w:line="276" w:lineRule="auto"/>
        <w:ind w:firstLine="708"/>
        <w:jc w:val="both"/>
        <w:rPr>
          <w:rFonts w:ascii="Arial" w:eastAsia="Arial" w:hAnsi="Arial" w:cs="Arial"/>
          <w:lang w:eastAsia="es-ES_tradnl"/>
        </w:rPr>
      </w:pPr>
    </w:p>
    <w:p w14:paraId="08E8E25F" w14:textId="7443822D" w:rsidR="00851895" w:rsidRPr="007F1030" w:rsidRDefault="00BE2580"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A renglón seguido y </w:t>
      </w:r>
      <w:r w:rsidR="00E74EB3" w:rsidRPr="007F1030">
        <w:rPr>
          <w:rFonts w:ascii="Arial" w:eastAsia="Arial" w:hAnsi="Arial" w:cs="Arial"/>
          <w:lang w:eastAsia="es-ES_tradnl"/>
        </w:rPr>
        <w:t>con fundamento en los cánones del artículo 4</w:t>
      </w:r>
      <w:r w:rsidR="00851895" w:rsidRPr="007F1030">
        <w:rPr>
          <w:rFonts w:ascii="Arial" w:eastAsia="Arial" w:hAnsi="Arial" w:cs="Arial"/>
          <w:lang w:eastAsia="es-ES_tradnl"/>
        </w:rPr>
        <w:t>7</w:t>
      </w:r>
      <w:r w:rsidR="00E74EB3" w:rsidRPr="007F1030">
        <w:rPr>
          <w:rFonts w:ascii="Arial" w:eastAsia="Arial" w:hAnsi="Arial" w:cs="Arial"/>
          <w:lang w:eastAsia="es-ES_tradnl"/>
        </w:rPr>
        <w:t xml:space="preserve"> de la Ley</w:t>
      </w:r>
      <w:r w:rsidR="00851895" w:rsidRPr="007F1030">
        <w:rPr>
          <w:rFonts w:ascii="Arial" w:eastAsia="Arial" w:hAnsi="Arial" w:cs="Arial"/>
          <w:lang w:eastAsia="es-ES_tradnl"/>
        </w:rPr>
        <w:t xml:space="preserve"> 100 de 1993, modificado por la Ley 797 de 2003, es</w:t>
      </w:r>
      <w:r w:rsidR="00E74EB3" w:rsidRPr="007F1030">
        <w:rPr>
          <w:rFonts w:ascii="Arial" w:eastAsia="Arial" w:hAnsi="Arial" w:cs="Arial"/>
          <w:lang w:eastAsia="es-ES_tradnl"/>
        </w:rPr>
        <w:t xml:space="preserve">tableció que </w:t>
      </w:r>
      <w:proofErr w:type="spellStart"/>
      <w:r w:rsidR="00E74EB3" w:rsidRPr="007F1030">
        <w:rPr>
          <w:rFonts w:ascii="Arial" w:eastAsia="Arial" w:hAnsi="Arial" w:cs="Arial"/>
          <w:lang w:eastAsia="es-ES_tradnl"/>
        </w:rPr>
        <w:t>Mallerly</w:t>
      </w:r>
      <w:proofErr w:type="spellEnd"/>
      <w:r w:rsidR="00E74EB3" w:rsidRPr="007F1030">
        <w:rPr>
          <w:rFonts w:ascii="Arial" w:eastAsia="Arial" w:hAnsi="Arial" w:cs="Arial"/>
          <w:lang w:eastAsia="es-ES_tradnl"/>
        </w:rPr>
        <w:t xml:space="preserve"> Hernández Velásquez</w:t>
      </w:r>
      <w:r w:rsidR="00851895" w:rsidRPr="007F1030">
        <w:rPr>
          <w:rFonts w:ascii="Arial" w:eastAsia="Arial" w:hAnsi="Arial" w:cs="Arial"/>
          <w:lang w:eastAsia="es-ES_tradnl"/>
        </w:rPr>
        <w:t>, en calidad de hija menor</w:t>
      </w:r>
      <w:r w:rsidRPr="007F1030">
        <w:rPr>
          <w:rFonts w:ascii="Arial" w:eastAsia="Arial" w:hAnsi="Arial" w:cs="Arial"/>
          <w:lang w:eastAsia="es-ES_tradnl"/>
        </w:rPr>
        <w:t xml:space="preserve"> del causante</w:t>
      </w:r>
      <w:r w:rsidR="00851895" w:rsidRPr="007F1030">
        <w:rPr>
          <w:rFonts w:ascii="Arial" w:eastAsia="Arial" w:hAnsi="Arial" w:cs="Arial"/>
          <w:lang w:eastAsia="es-ES_tradnl"/>
        </w:rPr>
        <w:t xml:space="preserve">, tuvo derecho a la gracia pensional hasta el 03 de julio de 2008, cuando alcanzó la mayoría de edad, </w:t>
      </w:r>
      <w:r w:rsidR="00851895" w:rsidRPr="007F1030">
        <w:rPr>
          <w:rFonts w:ascii="Arial" w:eastAsia="Arial" w:hAnsi="Arial" w:cs="Arial"/>
          <w:lang w:eastAsia="es-ES_tradnl"/>
        </w:rPr>
        <w:lastRenderedPageBreak/>
        <w:t xml:space="preserve">quedando prescritas las mesadas causadas, por no haberlas reclamado </w:t>
      </w:r>
      <w:r w:rsidR="00B6671D" w:rsidRPr="007F1030">
        <w:rPr>
          <w:rFonts w:ascii="Arial" w:eastAsia="Arial" w:hAnsi="Arial" w:cs="Arial"/>
          <w:lang w:eastAsia="es-ES_tradnl"/>
        </w:rPr>
        <w:t xml:space="preserve">dentro los 3 años siguientes al cumplimiento de los 18 años. </w:t>
      </w:r>
      <w:r w:rsidR="00851895" w:rsidRPr="007F1030">
        <w:rPr>
          <w:rFonts w:ascii="Arial" w:eastAsia="Arial" w:hAnsi="Arial" w:cs="Arial"/>
          <w:lang w:eastAsia="es-ES_tradnl"/>
        </w:rPr>
        <w:t xml:space="preserve"> </w:t>
      </w:r>
    </w:p>
    <w:p w14:paraId="7B6F0539" w14:textId="1D5E52E0" w:rsidR="00B6671D" w:rsidRPr="007F1030" w:rsidRDefault="00B6671D" w:rsidP="007F1030">
      <w:pPr>
        <w:autoSpaceDE w:val="0"/>
        <w:autoSpaceDN w:val="0"/>
        <w:adjustRightInd w:val="0"/>
        <w:spacing w:line="276" w:lineRule="auto"/>
        <w:jc w:val="both"/>
        <w:rPr>
          <w:rFonts w:ascii="Arial" w:hAnsi="Arial" w:cs="Arial"/>
          <w:spacing w:val="12"/>
          <w:lang w:val="es-ES_tradnl"/>
        </w:rPr>
      </w:pPr>
    </w:p>
    <w:p w14:paraId="5C551B7B" w14:textId="7BD0C1BB" w:rsidR="00452E10" w:rsidRPr="007F1030" w:rsidRDefault="00AE506C" w:rsidP="007F1030">
      <w:pPr>
        <w:pStyle w:val="Ttulo1"/>
        <w:spacing w:before="0" w:line="276" w:lineRule="auto"/>
        <w:ind w:left="709"/>
        <w:jc w:val="both"/>
        <w:rPr>
          <w:rFonts w:ascii="Arial" w:eastAsia="Arial" w:hAnsi="Arial" w:cs="Arial"/>
          <w:b/>
          <w:bCs/>
          <w:color w:val="auto"/>
          <w:sz w:val="24"/>
          <w:szCs w:val="24"/>
        </w:rPr>
      </w:pPr>
      <w:r w:rsidRPr="007F1030">
        <w:rPr>
          <w:rFonts w:ascii="Arial" w:eastAsia="Arial" w:hAnsi="Arial" w:cs="Arial"/>
          <w:b/>
          <w:bCs/>
          <w:color w:val="auto"/>
          <w:sz w:val="24"/>
          <w:szCs w:val="24"/>
        </w:rPr>
        <w:t xml:space="preserve">III. </w:t>
      </w:r>
      <w:r w:rsidR="00F710E1" w:rsidRPr="007F1030">
        <w:rPr>
          <w:rFonts w:ascii="Arial" w:eastAsia="Arial" w:hAnsi="Arial" w:cs="Arial"/>
          <w:b/>
          <w:bCs/>
          <w:color w:val="auto"/>
          <w:sz w:val="24"/>
          <w:szCs w:val="24"/>
        </w:rPr>
        <w:t>CONSULTA</w:t>
      </w:r>
      <w:r w:rsidR="00C82583" w:rsidRPr="007F1030">
        <w:rPr>
          <w:rFonts w:ascii="Arial" w:eastAsia="Arial" w:hAnsi="Arial" w:cs="Arial"/>
          <w:b/>
          <w:bCs/>
          <w:color w:val="auto"/>
          <w:sz w:val="24"/>
          <w:szCs w:val="24"/>
        </w:rPr>
        <w:t xml:space="preserve"> </w:t>
      </w:r>
    </w:p>
    <w:p w14:paraId="140EB46C" w14:textId="140593EF" w:rsidR="00452E10" w:rsidRPr="007F1030" w:rsidRDefault="00452E10" w:rsidP="007F1030">
      <w:pPr>
        <w:autoSpaceDE w:val="0"/>
        <w:autoSpaceDN w:val="0"/>
        <w:adjustRightInd w:val="0"/>
        <w:spacing w:line="276" w:lineRule="auto"/>
        <w:jc w:val="both"/>
        <w:rPr>
          <w:rFonts w:ascii="Arial" w:hAnsi="Arial" w:cs="Arial"/>
          <w:spacing w:val="12"/>
          <w:lang w:val="es-ES_tradnl"/>
        </w:rPr>
      </w:pPr>
    </w:p>
    <w:p w14:paraId="260BB57F" w14:textId="5A8C35D7" w:rsidR="00452E10" w:rsidRPr="007F1030" w:rsidRDefault="00A31AB4"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En cumplimiento del precepto contenido en el inciso segundo del artículo 69 del Código Procesal del Trabajo y de la Seguridad Social, el </w:t>
      </w:r>
      <w:r w:rsidRPr="007F1030">
        <w:rPr>
          <w:rFonts w:ascii="Arial" w:eastAsia="Arial" w:hAnsi="Arial" w:cs="Arial"/>
          <w:i/>
          <w:iCs/>
          <w:lang w:eastAsia="es-ES_tradnl"/>
        </w:rPr>
        <w:t>a quo</w:t>
      </w:r>
      <w:r w:rsidRPr="007F1030">
        <w:rPr>
          <w:rFonts w:ascii="Arial" w:eastAsia="Arial" w:hAnsi="Arial" w:cs="Arial"/>
          <w:lang w:eastAsia="es-ES_tradnl"/>
        </w:rPr>
        <w:t xml:space="preserve"> dispuso la remisión de las diligencias a esta Colegiatura para que se surtiera el grado jurisdiccional de consulta. </w:t>
      </w:r>
    </w:p>
    <w:p w14:paraId="18AB3626" w14:textId="77777777" w:rsidR="00F710E1" w:rsidRPr="007F1030" w:rsidRDefault="00F710E1" w:rsidP="007F1030">
      <w:pPr>
        <w:autoSpaceDE w:val="0"/>
        <w:autoSpaceDN w:val="0"/>
        <w:adjustRightInd w:val="0"/>
        <w:spacing w:line="276" w:lineRule="auto"/>
        <w:ind w:firstLine="708"/>
        <w:jc w:val="both"/>
        <w:rPr>
          <w:rFonts w:ascii="Arial" w:eastAsia="Arial" w:hAnsi="Arial" w:cs="Arial"/>
          <w:lang w:eastAsia="es-ES_tradnl"/>
        </w:rPr>
      </w:pPr>
    </w:p>
    <w:p w14:paraId="40CAC86B" w14:textId="2D209E13" w:rsidR="00AE506C" w:rsidRPr="007F1030" w:rsidRDefault="00AE506C" w:rsidP="007F1030">
      <w:pPr>
        <w:autoSpaceDE w:val="0"/>
        <w:autoSpaceDN w:val="0"/>
        <w:adjustRightInd w:val="0"/>
        <w:spacing w:line="276" w:lineRule="auto"/>
        <w:ind w:left="709"/>
        <w:jc w:val="both"/>
        <w:rPr>
          <w:rFonts w:ascii="Arial" w:eastAsia="Arial" w:hAnsi="Arial" w:cs="Arial"/>
          <w:b/>
          <w:bCs/>
          <w:lang w:eastAsia="es-ES_tradnl"/>
        </w:rPr>
      </w:pPr>
      <w:r w:rsidRPr="007F1030">
        <w:rPr>
          <w:rFonts w:ascii="Arial" w:eastAsia="Arial" w:hAnsi="Arial" w:cs="Arial"/>
          <w:b/>
          <w:bCs/>
          <w:lang w:eastAsia="es-ES_tradnl"/>
        </w:rPr>
        <w:t>IV. ALEGATOS</w:t>
      </w:r>
    </w:p>
    <w:p w14:paraId="3E778431" w14:textId="77777777" w:rsidR="00AE506C" w:rsidRPr="007F1030" w:rsidRDefault="00AE506C" w:rsidP="007F1030">
      <w:pPr>
        <w:autoSpaceDE w:val="0"/>
        <w:autoSpaceDN w:val="0"/>
        <w:adjustRightInd w:val="0"/>
        <w:spacing w:line="276" w:lineRule="auto"/>
        <w:jc w:val="both"/>
        <w:rPr>
          <w:rFonts w:ascii="Arial" w:hAnsi="Arial" w:cs="Arial"/>
          <w:spacing w:val="12"/>
        </w:rPr>
      </w:pPr>
    </w:p>
    <w:p w14:paraId="38A48173" w14:textId="1EBD35BF" w:rsidR="1E6AA8C0" w:rsidRPr="007F1030" w:rsidRDefault="1E6AA8C0" w:rsidP="007F1030">
      <w:pPr>
        <w:spacing w:line="276" w:lineRule="auto"/>
        <w:ind w:firstLine="708"/>
        <w:jc w:val="both"/>
        <w:rPr>
          <w:rFonts w:ascii="Arial" w:eastAsia="Arial" w:hAnsi="Arial" w:cs="Arial"/>
        </w:rPr>
      </w:pPr>
      <w:r w:rsidRPr="007F1030">
        <w:rPr>
          <w:rFonts w:ascii="Arial" w:eastAsia="Arial" w:hAnsi="Arial" w:cs="Arial"/>
        </w:rPr>
        <w:t xml:space="preserve">Dentro del término otorgado a las partes para descorrer el traslado, la vinculada </w:t>
      </w:r>
      <w:proofErr w:type="spellStart"/>
      <w:r w:rsidRPr="007F1030">
        <w:rPr>
          <w:rFonts w:ascii="Arial" w:eastAsia="Arial" w:hAnsi="Arial" w:cs="Arial"/>
        </w:rPr>
        <w:t>Mallerly</w:t>
      </w:r>
      <w:proofErr w:type="spellEnd"/>
      <w:r w:rsidRPr="007F1030">
        <w:rPr>
          <w:rFonts w:ascii="Arial" w:eastAsia="Arial" w:hAnsi="Arial" w:cs="Arial"/>
        </w:rPr>
        <w:t xml:space="preserve"> Hernández Velásquez guard</w:t>
      </w:r>
      <w:r w:rsidR="3C4EB5EC" w:rsidRPr="007F1030">
        <w:rPr>
          <w:rFonts w:ascii="Arial" w:eastAsia="Arial" w:hAnsi="Arial" w:cs="Arial"/>
        </w:rPr>
        <w:t xml:space="preserve">ó silencio, </w:t>
      </w:r>
      <w:r w:rsidRPr="007F1030">
        <w:rPr>
          <w:rFonts w:ascii="Arial" w:eastAsia="Arial" w:hAnsi="Arial" w:cs="Arial"/>
        </w:rPr>
        <w:t xml:space="preserve">al paso que, tanto la parte activa como la entidad que </w:t>
      </w:r>
      <w:r w:rsidR="4D849525" w:rsidRPr="007F1030">
        <w:rPr>
          <w:rFonts w:ascii="Arial" w:eastAsia="Arial" w:hAnsi="Arial" w:cs="Arial"/>
        </w:rPr>
        <w:t xml:space="preserve">también </w:t>
      </w:r>
      <w:r w:rsidRPr="007F1030">
        <w:rPr>
          <w:rFonts w:ascii="Arial" w:eastAsia="Arial" w:hAnsi="Arial" w:cs="Arial"/>
        </w:rPr>
        <w:t xml:space="preserve">integra la parte pasiva, esto es, </w:t>
      </w:r>
      <w:r w:rsidR="1C20F50B" w:rsidRPr="007F1030">
        <w:rPr>
          <w:rFonts w:ascii="Arial" w:eastAsia="Arial" w:hAnsi="Arial" w:cs="Arial"/>
        </w:rPr>
        <w:t xml:space="preserve">María </w:t>
      </w:r>
      <w:proofErr w:type="spellStart"/>
      <w:r w:rsidR="1C20F50B" w:rsidRPr="007F1030">
        <w:rPr>
          <w:rFonts w:ascii="Arial" w:eastAsia="Arial" w:hAnsi="Arial" w:cs="Arial"/>
        </w:rPr>
        <w:t>Cenelia</w:t>
      </w:r>
      <w:proofErr w:type="spellEnd"/>
      <w:r w:rsidR="1C20F50B" w:rsidRPr="007F1030">
        <w:rPr>
          <w:rFonts w:ascii="Arial" w:eastAsia="Arial" w:hAnsi="Arial" w:cs="Arial"/>
        </w:rPr>
        <w:t xml:space="preserve"> Velásquez Bedoya y la Administradora Colombiana de Pensiones – Colpensiones,</w:t>
      </w:r>
      <w:r w:rsidRPr="007F1030">
        <w:rPr>
          <w:rFonts w:ascii="Arial" w:eastAsia="Arial" w:hAnsi="Arial" w:cs="Arial"/>
        </w:rPr>
        <w:t xml:space="preserve"> allegaron por escrito sus alegatos de conclusión, los cuales reflejan los puntos debatidos al interior de la Sala, por lo que se procede a decidir de fondo previa las siguientes:  </w:t>
      </w:r>
    </w:p>
    <w:p w14:paraId="34F4D749" w14:textId="77777777" w:rsidR="00AE506C" w:rsidRPr="007F1030" w:rsidRDefault="00AE506C" w:rsidP="007F1030">
      <w:pPr>
        <w:pStyle w:val="Sinespaciado"/>
        <w:spacing w:line="276" w:lineRule="auto"/>
        <w:rPr>
          <w:rFonts w:ascii="Arial" w:hAnsi="Arial" w:cs="Arial"/>
          <w:lang w:eastAsia="es-CO"/>
        </w:rPr>
      </w:pPr>
    </w:p>
    <w:p w14:paraId="2FF3DF84" w14:textId="2BCD66FE" w:rsidR="00AE506C" w:rsidRPr="007F1030" w:rsidRDefault="00AE506C" w:rsidP="007F1030">
      <w:pPr>
        <w:autoSpaceDE w:val="0"/>
        <w:autoSpaceDN w:val="0"/>
        <w:adjustRightInd w:val="0"/>
        <w:spacing w:line="276" w:lineRule="auto"/>
        <w:ind w:firstLine="708"/>
        <w:jc w:val="both"/>
        <w:rPr>
          <w:rFonts w:ascii="Arial" w:eastAsia="Arial" w:hAnsi="Arial" w:cs="Arial"/>
          <w:b/>
          <w:bCs/>
          <w:lang w:eastAsia="es-ES_tradnl"/>
        </w:rPr>
      </w:pPr>
      <w:r w:rsidRPr="007F1030">
        <w:rPr>
          <w:rFonts w:ascii="Arial" w:eastAsia="Arial" w:hAnsi="Arial" w:cs="Arial"/>
          <w:b/>
          <w:bCs/>
          <w:lang w:eastAsia="es-ES_tradnl"/>
        </w:rPr>
        <w:t>V. CONSIDERACIONES</w:t>
      </w:r>
    </w:p>
    <w:p w14:paraId="5E482222" w14:textId="77777777" w:rsidR="00A04CDA" w:rsidRPr="007F1030" w:rsidRDefault="00A04CDA" w:rsidP="007F1030">
      <w:pPr>
        <w:autoSpaceDE w:val="0"/>
        <w:autoSpaceDN w:val="0"/>
        <w:adjustRightInd w:val="0"/>
        <w:spacing w:line="276" w:lineRule="auto"/>
        <w:jc w:val="both"/>
        <w:rPr>
          <w:rFonts w:ascii="Arial" w:hAnsi="Arial" w:cs="Arial"/>
          <w:spacing w:val="12"/>
          <w:lang w:val="es-ES_tradnl"/>
        </w:rPr>
      </w:pPr>
    </w:p>
    <w:p w14:paraId="43A48E95" w14:textId="77777777" w:rsidR="00AE506C" w:rsidRPr="007F1030" w:rsidRDefault="00A31AB4"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Teniendo en cuenta que lo resuelto en la sentencia de primera instancia resultó adverso a los intereses de la pasiva y que ésta no la apeló, la Sala en atención a la jurisprudencia de la C</w:t>
      </w:r>
      <w:r w:rsidR="00AE506C" w:rsidRPr="007F1030">
        <w:rPr>
          <w:rFonts w:ascii="Arial" w:eastAsia="Arial" w:hAnsi="Arial" w:cs="Arial"/>
          <w:lang w:eastAsia="es-ES_tradnl"/>
        </w:rPr>
        <w:t xml:space="preserve">orte Suprema de Justicia </w:t>
      </w:r>
      <w:r w:rsidRPr="007F1030">
        <w:rPr>
          <w:rFonts w:ascii="Arial" w:eastAsia="Arial" w:hAnsi="Arial" w:cs="Arial"/>
          <w:lang w:eastAsia="es-ES_tradnl"/>
        </w:rPr>
        <w:t xml:space="preserve">y a lo dispuesto por el artículo 69 del Código Procesal del Trabajo y de la Seguridad Social, conocerá del proceso en el grado jurisdiccional de consulta a favor de </w:t>
      </w:r>
      <w:r w:rsidR="00AE506C" w:rsidRPr="007F1030">
        <w:rPr>
          <w:rFonts w:ascii="Arial" w:eastAsia="Arial" w:hAnsi="Arial" w:cs="Arial"/>
          <w:lang w:eastAsia="es-ES_tradnl"/>
        </w:rPr>
        <w:t xml:space="preserve">la Administradora Colombiana de Pensiones - </w:t>
      </w:r>
      <w:r w:rsidRPr="007F1030">
        <w:rPr>
          <w:rFonts w:ascii="Arial" w:eastAsia="Arial" w:hAnsi="Arial" w:cs="Arial"/>
          <w:lang w:eastAsia="es-ES_tradnl"/>
        </w:rPr>
        <w:t>Colpensiones, entidad respecto de la cual el estado es garante de sus obligaciones</w:t>
      </w:r>
      <w:r w:rsidR="00AE506C" w:rsidRPr="007F1030">
        <w:rPr>
          <w:rFonts w:ascii="Arial" w:eastAsia="Arial" w:hAnsi="Arial" w:cs="Arial"/>
          <w:lang w:eastAsia="es-ES_tradnl"/>
        </w:rPr>
        <w:t xml:space="preserve">. </w:t>
      </w:r>
    </w:p>
    <w:p w14:paraId="3CBEDB19" w14:textId="4D419D24" w:rsidR="00AE506C" w:rsidRPr="007F1030" w:rsidRDefault="00AE506C" w:rsidP="007F1030">
      <w:pPr>
        <w:autoSpaceDE w:val="0"/>
        <w:autoSpaceDN w:val="0"/>
        <w:adjustRightInd w:val="0"/>
        <w:spacing w:line="276" w:lineRule="auto"/>
        <w:ind w:firstLine="708"/>
        <w:jc w:val="both"/>
        <w:rPr>
          <w:rFonts w:ascii="Arial" w:eastAsia="Arial" w:hAnsi="Arial" w:cs="Arial"/>
          <w:lang w:eastAsia="es-ES_tradnl"/>
        </w:rPr>
      </w:pPr>
    </w:p>
    <w:p w14:paraId="642100A4" w14:textId="4F44EB26" w:rsidR="000E4A33" w:rsidRPr="007F1030" w:rsidRDefault="000E4A33" w:rsidP="007F1030">
      <w:pPr>
        <w:suppressAutoHyphens/>
        <w:spacing w:line="276" w:lineRule="auto"/>
        <w:ind w:left="709"/>
        <w:jc w:val="both"/>
        <w:rPr>
          <w:rFonts w:ascii="Arial" w:eastAsia="Arial" w:hAnsi="Arial" w:cs="Arial"/>
          <w:b/>
          <w:bCs/>
          <w:lang w:eastAsia="es-ES_tradnl"/>
        </w:rPr>
      </w:pPr>
      <w:r w:rsidRPr="007F1030">
        <w:rPr>
          <w:rFonts w:ascii="Arial" w:eastAsia="Arial" w:hAnsi="Arial" w:cs="Arial"/>
          <w:b/>
          <w:bCs/>
          <w:lang w:eastAsia="es-ES_tradnl"/>
        </w:rPr>
        <w:t>5.1. Problema jurídico</w:t>
      </w:r>
    </w:p>
    <w:p w14:paraId="4434B0AF" w14:textId="77777777" w:rsidR="00046899" w:rsidRPr="007F1030" w:rsidRDefault="00046899" w:rsidP="007F1030">
      <w:pPr>
        <w:autoSpaceDE w:val="0"/>
        <w:autoSpaceDN w:val="0"/>
        <w:adjustRightInd w:val="0"/>
        <w:spacing w:line="276" w:lineRule="auto"/>
        <w:jc w:val="both"/>
        <w:rPr>
          <w:rFonts w:ascii="Arial" w:eastAsia="Arial" w:hAnsi="Arial" w:cs="Arial"/>
          <w:lang w:eastAsia="es-ES_tradnl"/>
        </w:rPr>
      </w:pPr>
    </w:p>
    <w:p w14:paraId="6C5385A8" w14:textId="635B2C72" w:rsidR="004D63E1" w:rsidRPr="007F1030" w:rsidRDefault="00452E10"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w:t>
      </w:r>
      <w:r w:rsidR="00026402" w:rsidRPr="007F1030">
        <w:rPr>
          <w:rFonts w:ascii="Arial" w:eastAsia="Arial" w:hAnsi="Arial" w:cs="Arial"/>
          <w:lang w:eastAsia="es-ES_tradnl"/>
        </w:rPr>
        <w:t>E</w:t>
      </w:r>
      <w:r w:rsidR="00046899" w:rsidRPr="007F1030">
        <w:rPr>
          <w:rFonts w:ascii="Arial" w:eastAsia="Arial" w:hAnsi="Arial" w:cs="Arial"/>
          <w:lang w:eastAsia="es-ES_tradnl"/>
        </w:rPr>
        <w:t>s procedente el reconocimiento y pago de la pensión de</w:t>
      </w:r>
      <w:r w:rsidR="00963EAF" w:rsidRPr="007F1030">
        <w:rPr>
          <w:rFonts w:ascii="Arial" w:eastAsia="Arial" w:hAnsi="Arial" w:cs="Arial"/>
          <w:lang w:eastAsia="es-ES_tradnl"/>
        </w:rPr>
        <w:t xml:space="preserve"> </w:t>
      </w:r>
      <w:r w:rsidR="00107F55" w:rsidRPr="007F1030">
        <w:rPr>
          <w:rFonts w:ascii="Arial" w:eastAsia="Arial" w:hAnsi="Arial" w:cs="Arial"/>
          <w:lang w:eastAsia="es-ES_tradnl"/>
        </w:rPr>
        <w:t>sobrevivientes</w:t>
      </w:r>
      <w:r w:rsidR="00046899" w:rsidRPr="007F1030">
        <w:rPr>
          <w:rFonts w:ascii="Arial" w:eastAsia="Arial" w:hAnsi="Arial" w:cs="Arial"/>
          <w:lang w:eastAsia="es-ES_tradnl"/>
        </w:rPr>
        <w:t xml:space="preserve"> a</w:t>
      </w:r>
      <w:r w:rsidR="00963EAF" w:rsidRPr="007F1030">
        <w:rPr>
          <w:rFonts w:ascii="Arial" w:eastAsia="Arial" w:hAnsi="Arial" w:cs="Arial"/>
          <w:lang w:eastAsia="es-ES_tradnl"/>
        </w:rPr>
        <w:t xml:space="preserve"> </w:t>
      </w:r>
      <w:r w:rsidR="00046899" w:rsidRPr="007F1030">
        <w:rPr>
          <w:rFonts w:ascii="Arial" w:eastAsia="Arial" w:hAnsi="Arial" w:cs="Arial"/>
          <w:lang w:eastAsia="es-ES_tradnl"/>
        </w:rPr>
        <w:t>l</w:t>
      </w:r>
      <w:r w:rsidR="00963EAF" w:rsidRPr="007F1030">
        <w:rPr>
          <w:rFonts w:ascii="Arial" w:eastAsia="Arial" w:hAnsi="Arial" w:cs="Arial"/>
          <w:lang w:eastAsia="es-ES_tradnl"/>
        </w:rPr>
        <w:t>a</w:t>
      </w:r>
      <w:r w:rsidR="00046899" w:rsidRPr="007F1030">
        <w:rPr>
          <w:rFonts w:ascii="Arial" w:eastAsia="Arial" w:hAnsi="Arial" w:cs="Arial"/>
          <w:lang w:eastAsia="es-ES_tradnl"/>
        </w:rPr>
        <w:t xml:space="preserve"> demandante </w:t>
      </w:r>
      <w:r w:rsidR="00026402" w:rsidRPr="007F1030">
        <w:rPr>
          <w:rFonts w:ascii="Arial" w:eastAsia="Arial" w:hAnsi="Arial" w:cs="Arial"/>
          <w:lang w:eastAsia="es-ES_tradnl"/>
        </w:rPr>
        <w:t>en aplicación del principio de la condición más beneficiosa</w:t>
      </w:r>
      <w:r w:rsidR="009B07AC" w:rsidRPr="007F1030">
        <w:rPr>
          <w:rFonts w:ascii="Arial" w:eastAsia="Arial" w:hAnsi="Arial" w:cs="Arial"/>
          <w:lang w:eastAsia="es-ES_tradnl"/>
        </w:rPr>
        <w:t>?</w:t>
      </w:r>
    </w:p>
    <w:p w14:paraId="62CE3EAA" w14:textId="77777777" w:rsidR="00452E10" w:rsidRPr="007F1030" w:rsidRDefault="00452E10"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ab/>
      </w:r>
      <w:r w:rsidRPr="007F1030">
        <w:rPr>
          <w:rFonts w:ascii="Arial" w:eastAsia="Arial" w:hAnsi="Arial" w:cs="Arial"/>
          <w:lang w:eastAsia="es-ES_tradnl"/>
        </w:rPr>
        <w:tab/>
      </w:r>
    </w:p>
    <w:p w14:paraId="1D46E43D" w14:textId="21FDECE5" w:rsidR="00452E10" w:rsidRPr="007F1030" w:rsidRDefault="00AE506C" w:rsidP="007F1030">
      <w:pPr>
        <w:pStyle w:val="Textoindependiente"/>
        <w:spacing w:after="0" w:line="276" w:lineRule="auto"/>
        <w:ind w:left="709"/>
        <w:rPr>
          <w:rFonts w:ascii="Arial" w:eastAsia="Arial" w:hAnsi="Arial" w:cs="Arial"/>
          <w:b/>
          <w:bCs/>
          <w:lang w:val="es-ES" w:eastAsia="es-ES_tradnl"/>
        </w:rPr>
      </w:pPr>
      <w:r w:rsidRPr="007F1030">
        <w:rPr>
          <w:rFonts w:ascii="Arial" w:eastAsia="Arial" w:hAnsi="Arial" w:cs="Arial"/>
          <w:b/>
          <w:bCs/>
          <w:lang w:val="es-ES" w:eastAsia="es-ES_tradnl"/>
        </w:rPr>
        <w:t xml:space="preserve">5.2. </w:t>
      </w:r>
      <w:r w:rsidR="00452E10" w:rsidRPr="007F1030">
        <w:rPr>
          <w:rFonts w:ascii="Arial" w:eastAsia="Arial" w:hAnsi="Arial" w:cs="Arial"/>
          <w:b/>
          <w:bCs/>
          <w:lang w:val="es-ES" w:eastAsia="es-ES_tradnl"/>
        </w:rPr>
        <w:t>Desenvolvimiento de la problemática planteada</w:t>
      </w:r>
    </w:p>
    <w:p w14:paraId="5DEC127E" w14:textId="315A5CC9" w:rsidR="00D72BCB" w:rsidRPr="007F1030" w:rsidRDefault="00D72BCB" w:rsidP="007F1030">
      <w:pPr>
        <w:autoSpaceDE w:val="0"/>
        <w:autoSpaceDN w:val="0"/>
        <w:adjustRightInd w:val="0"/>
        <w:spacing w:line="276" w:lineRule="auto"/>
        <w:jc w:val="both"/>
        <w:rPr>
          <w:rFonts w:ascii="Arial" w:hAnsi="Arial" w:cs="Arial"/>
          <w:spacing w:val="12"/>
          <w:lang w:val="es-ES_tradnl"/>
        </w:rPr>
      </w:pPr>
    </w:p>
    <w:p w14:paraId="13F2F3FC" w14:textId="705904D0" w:rsidR="00556D44" w:rsidRPr="007F1030" w:rsidRDefault="00684D3B"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Con fundamento en </w:t>
      </w:r>
      <w:r w:rsidR="00917B3E" w:rsidRPr="007F1030">
        <w:rPr>
          <w:rFonts w:ascii="Arial" w:eastAsia="Arial" w:hAnsi="Arial" w:cs="Arial"/>
          <w:lang w:eastAsia="es-ES_tradnl"/>
        </w:rPr>
        <w:t>las</w:t>
      </w:r>
      <w:r w:rsidRPr="007F1030">
        <w:rPr>
          <w:rFonts w:ascii="Arial" w:eastAsia="Arial" w:hAnsi="Arial" w:cs="Arial"/>
          <w:lang w:eastAsia="es-ES_tradnl"/>
        </w:rPr>
        <w:t xml:space="preserve"> </w:t>
      </w:r>
      <w:r w:rsidR="00917B3E" w:rsidRPr="007F1030">
        <w:rPr>
          <w:rFonts w:ascii="Arial" w:eastAsia="Arial" w:hAnsi="Arial" w:cs="Arial"/>
          <w:lang w:eastAsia="es-ES_tradnl"/>
        </w:rPr>
        <w:t>disposiciones contenidas en los artículos 29 y 58 de la Constitución Política</w:t>
      </w:r>
      <w:r w:rsidRPr="007F1030">
        <w:rPr>
          <w:rFonts w:ascii="Arial" w:eastAsia="Arial" w:hAnsi="Arial" w:cs="Arial"/>
          <w:lang w:eastAsia="es-ES_tradnl"/>
        </w:rPr>
        <w:t>, y que delimitan la liberta</w:t>
      </w:r>
      <w:r w:rsidR="007168F3" w:rsidRPr="007F1030">
        <w:rPr>
          <w:rFonts w:ascii="Arial" w:eastAsia="Arial" w:hAnsi="Arial" w:cs="Arial"/>
          <w:lang w:eastAsia="es-ES_tradnl"/>
        </w:rPr>
        <w:t>d</w:t>
      </w:r>
      <w:r w:rsidRPr="007F1030">
        <w:rPr>
          <w:rFonts w:ascii="Arial" w:eastAsia="Arial" w:hAnsi="Arial" w:cs="Arial"/>
          <w:lang w:eastAsia="es-ES_tradnl"/>
        </w:rPr>
        <w:t xml:space="preserve"> de configuración normativa, en materia laboral</w:t>
      </w:r>
      <w:r w:rsidR="00EC2895" w:rsidRPr="007F1030">
        <w:rPr>
          <w:rFonts w:ascii="Arial" w:eastAsia="Arial" w:hAnsi="Arial" w:cs="Arial"/>
          <w:lang w:eastAsia="es-ES_tradnl"/>
        </w:rPr>
        <w:t xml:space="preserve">, el régimen de los efectos de la ley se estatuyó en el artículo 16 del Código Sustantivo, </w:t>
      </w:r>
      <w:r w:rsidR="005922EA" w:rsidRPr="007F1030">
        <w:rPr>
          <w:rFonts w:ascii="Arial" w:eastAsia="Arial" w:hAnsi="Arial" w:cs="Arial"/>
          <w:lang w:eastAsia="es-ES_tradnl"/>
        </w:rPr>
        <w:t>prescribiendo</w:t>
      </w:r>
      <w:r w:rsidR="00EC2895" w:rsidRPr="007F1030">
        <w:rPr>
          <w:rFonts w:ascii="Arial" w:eastAsia="Arial" w:hAnsi="Arial" w:cs="Arial"/>
          <w:lang w:eastAsia="es-ES_tradnl"/>
        </w:rPr>
        <w:t xml:space="preserve"> que las normas </w:t>
      </w:r>
      <w:r w:rsidR="00917B3E" w:rsidRPr="007F1030">
        <w:rPr>
          <w:rFonts w:ascii="Arial" w:eastAsia="Arial" w:hAnsi="Arial" w:cs="Arial"/>
          <w:lang w:eastAsia="es-ES_tradnl"/>
        </w:rPr>
        <w:t>del</w:t>
      </w:r>
      <w:r w:rsidR="00EC2895" w:rsidRPr="007F1030">
        <w:rPr>
          <w:rFonts w:ascii="Arial" w:eastAsia="Arial" w:hAnsi="Arial" w:cs="Arial"/>
          <w:lang w:eastAsia="es-ES_tradnl"/>
        </w:rPr>
        <w:t xml:space="preserve"> trabajo, por ser de orden público, </w:t>
      </w:r>
      <w:r w:rsidR="00556D44" w:rsidRPr="007F1030">
        <w:rPr>
          <w:rFonts w:ascii="Arial" w:eastAsia="Arial" w:hAnsi="Arial" w:cs="Arial"/>
          <w:lang w:eastAsia="es-ES_tradnl"/>
        </w:rPr>
        <w:t xml:space="preserve">producen efecto general inmediato, y por tanto, </w:t>
      </w:r>
      <w:r w:rsidR="00C067EB" w:rsidRPr="007F1030">
        <w:rPr>
          <w:rFonts w:ascii="Arial" w:eastAsia="Arial" w:hAnsi="Arial" w:cs="Arial"/>
          <w:lang w:eastAsia="es-ES_tradnl"/>
        </w:rPr>
        <w:t xml:space="preserve">incluso </w:t>
      </w:r>
      <w:r w:rsidR="00556D44" w:rsidRPr="007F1030">
        <w:rPr>
          <w:rFonts w:ascii="Arial" w:eastAsia="Arial" w:hAnsi="Arial" w:cs="Arial"/>
          <w:lang w:eastAsia="es-ES_tradnl"/>
        </w:rPr>
        <w:t>se aplican a las relaciones</w:t>
      </w:r>
      <w:r w:rsidR="00917B3E" w:rsidRPr="007F1030">
        <w:rPr>
          <w:rFonts w:ascii="Arial" w:eastAsia="Arial" w:hAnsi="Arial" w:cs="Arial"/>
          <w:lang w:eastAsia="es-ES_tradnl"/>
        </w:rPr>
        <w:t xml:space="preserve"> vigentes o</w:t>
      </w:r>
      <w:r w:rsidR="00556D44" w:rsidRPr="007F1030">
        <w:rPr>
          <w:rFonts w:ascii="Arial" w:eastAsia="Arial" w:hAnsi="Arial" w:cs="Arial"/>
          <w:lang w:eastAsia="es-ES_tradnl"/>
        </w:rPr>
        <w:t xml:space="preserve"> en curso en el momento en que dichas normas empiezan a regir, pero no tienen efecto retroactivo</w:t>
      </w:r>
      <w:r w:rsidR="00AC4790" w:rsidRPr="007F1030">
        <w:rPr>
          <w:rFonts w:ascii="Arial" w:eastAsia="Arial" w:hAnsi="Arial" w:cs="Arial"/>
          <w:lang w:eastAsia="es-ES_tradnl"/>
        </w:rPr>
        <w:t xml:space="preserve">, sobre situaciones definidas o consumadas bajo leyes anteriores. </w:t>
      </w:r>
    </w:p>
    <w:p w14:paraId="1389896D" w14:textId="1E69D39F" w:rsidR="00556D44" w:rsidRPr="007F1030" w:rsidRDefault="00556D44" w:rsidP="007F1030">
      <w:pPr>
        <w:autoSpaceDE w:val="0"/>
        <w:autoSpaceDN w:val="0"/>
        <w:adjustRightInd w:val="0"/>
        <w:spacing w:line="276" w:lineRule="auto"/>
        <w:ind w:firstLine="708"/>
        <w:jc w:val="both"/>
        <w:rPr>
          <w:rFonts w:ascii="Arial" w:eastAsia="Arial" w:hAnsi="Arial" w:cs="Arial"/>
          <w:lang w:eastAsia="es-ES_tradnl"/>
        </w:rPr>
      </w:pPr>
    </w:p>
    <w:p w14:paraId="7E9D78B1" w14:textId="77777777" w:rsidR="002E29D9" w:rsidRPr="007F1030" w:rsidRDefault="00917B3E"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En </w:t>
      </w:r>
      <w:r w:rsidR="00556D44" w:rsidRPr="007F1030">
        <w:rPr>
          <w:rFonts w:ascii="Arial" w:eastAsia="Arial" w:hAnsi="Arial" w:cs="Arial"/>
          <w:lang w:eastAsia="es-ES_tradnl"/>
        </w:rPr>
        <w:t xml:space="preserve">lo que tiene que ver concretamente con el sistema general de pensiones, el artículo 11 de la Ley 100 de 1993, dispuso </w:t>
      </w:r>
      <w:r w:rsidR="00E85460" w:rsidRPr="007F1030">
        <w:rPr>
          <w:rFonts w:ascii="Arial" w:eastAsia="Arial" w:hAnsi="Arial" w:cs="Arial"/>
          <w:lang w:eastAsia="es-ES_tradnl"/>
        </w:rPr>
        <w:t>su aplicación a todos los habitante</w:t>
      </w:r>
      <w:r w:rsidRPr="007F1030">
        <w:rPr>
          <w:rFonts w:ascii="Arial" w:eastAsia="Arial" w:hAnsi="Arial" w:cs="Arial"/>
          <w:lang w:eastAsia="es-ES_tradnl"/>
        </w:rPr>
        <w:t>s</w:t>
      </w:r>
      <w:r w:rsidR="00E85460" w:rsidRPr="007F1030">
        <w:rPr>
          <w:rFonts w:ascii="Arial" w:eastAsia="Arial" w:hAnsi="Arial" w:cs="Arial"/>
          <w:lang w:eastAsia="es-ES_tradnl"/>
        </w:rPr>
        <w:t xml:space="preserve"> del territorio, </w:t>
      </w:r>
      <w:r w:rsidRPr="007F1030">
        <w:rPr>
          <w:rFonts w:ascii="Arial" w:eastAsia="Arial" w:hAnsi="Arial" w:cs="Arial"/>
          <w:lang w:eastAsia="es-ES_tradnl"/>
        </w:rPr>
        <w:t>dejando a salvo</w:t>
      </w:r>
      <w:r w:rsidR="00E85460" w:rsidRPr="007F1030">
        <w:rPr>
          <w:rFonts w:ascii="Arial" w:eastAsia="Arial" w:hAnsi="Arial" w:cs="Arial"/>
          <w:lang w:eastAsia="es-ES_tradnl"/>
        </w:rPr>
        <w:t xml:space="preserve"> los derechos adquiridos y establecidos conforme reglas </w:t>
      </w:r>
      <w:r w:rsidR="00E85460" w:rsidRPr="007F1030">
        <w:rPr>
          <w:rFonts w:ascii="Arial" w:eastAsia="Arial" w:hAnsi="Arial" w:cs="Arial"/>
          <w:lang w:eastAsia="es-ES_tradnl"/>
        </w:rPr>
        <w:lastRenderedPageBreak/>
        <w:t>anteriores para quienes a la fecha de su entrada en vigencia</w:t>
      </w:r>
      <w:r w:rsidRPr="007F1030">
        <w:rPr>
          <w:rFonts w:ascii="Arial" w:eastAsia="Arial" w:hAnsi="Arial" w:cs="Arial"/>
          <w:lang w:eastAsia="es-ES_tradnl"/>
        </w:rPr>
        <w:t>,</w:t>
      </w:r>
      <w:r w:rsidR="00E85460" w:rsidRPr="007F1030">
        <w:rPr>
          <w:rFonts w:ascii="Arial" w:eastAsia="Arial" w:hAnsi="Arial" w:cs="Arial"/>
          <w:lang w:eastAsia="es-ES_tradnl"/>
        </w:rPr>
        <w:t xml:space="preserve"> hubieren cumplido los requisitos para acceder a una pensión o se encontraren pensionados. </w:t>
      </w:r>
    </w:p>
    <w:p w14:paraId="06A14EF6" w14:textId="77777777" w:rsidR="002E29D9" w:rsidRPr="007F1030" w:rsidRDefault="002E29D9" w:rsidP="007F1030">
      <w:pPr>
        <w:autoSpaceDE w:val="0"/>
        <w:autoSpaceDN w:val="0"/>
        <w:adjustRightInd w:val="0"/>
        <w:spacing w:line="276" w:lineRule="auto"/>
        <w:ind w:firstLine="708"/>
        <w:jc w:val="both"/>
        <w:rPr>
          <w:rFonts w:ascii="Arial" w:eastAsia="Arial" w:hAnsi="Arial" w:cs="Arial"/>
          <w:lang w:eastAsia="es-ES_tradnl"/>
        </w:rPr>
      </w:pPr>
    </w:p>
    <w:p w14:paraId="18B47D99" w14:textId="6A8CBABB" w:rsidR="00490C2F" w:rsidRPr="007F1030" w:rsidRDefault="00AC4790"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Acorde con lo anterior, en materia de pensión de sobrevivientes, la nueva ley se aplica de manera inmediata a los casos de los afiliados que no han fallecido</w:t>
      </w:r>
      <w:r w:rsidR="00472A4C" w:rsidRPr="007F1030">
        <w:rPr>
          <w:rFonts w:ascii="Arial" w:eastAsia="Arial" w:hAnsi="Arial" w:cs="Arial"/>
          <w:lang w:eastAsia="es-ES_tradnl"/>
        </w:rPr>
        <w:t>,</w:t>
      </w:r>
      <w:r w:rsidRPr="007F1030">
        <w:rPr>
          <w:rFonts w:ascii="Arial" w:eastAsia="Arial" w:hAnsi="Arial" w:cs="Arial"/>
          <w:lang w:eastAsia="es-ES_tradnl"/>
        </w:rPr>
        <w:t xml:space="preserve"> y</w:t>
      </w:r>
      <w:r w:rsidR="00017668" w:rsidRPr="007F1030">
        <w:rPr>
          <w:rFonts w:ascii="Arial" w:eastAsia="Arial" w:hAnsi="Arial" w:cs="Arial"/>
          <w:lang w:eastAsia="es-ES_tradnl"/>
        </w:rPr>
        <w:t xml:space="preserve"> consecuentemente,</w:t>
      </w:r>
      <w:r w:rsidRPr="007F1030">
        <w:rPr>
          <w:rFonts w:ascii="Arial" w:eastAsia="Arial" w:hAnsi="Arial" w:cs="Arial"/>
          <w:lang w:eastAsia="es-ES_tradnl"/>
        </w:rPr>
        <w:t xml:space="preserve"> </w:t>
      </w:r>
      <w:r w:rsidR="00017668" w:rsidRPr="007F1030">
        <w:rPr>
          <w:rFonts w:ascii="Arial" w:eastAsia="Arial" w:hAnsi="Arial" w:cs="Arial"/>
          <w:lang w:eastAsia="es-ES_tradnl"/>
        </w:rPr>
        <w:t>la norma</w:t>
      </w:r>
      <w:r w:rsidR="005922EA" w:rsidRPr="007F1030">
        <w:rPr>
          <w:rFonts w:ascii="Arial" w:eastAsia="Arial" w:hAnsi="Arial" w:cs="Arial"/>
          <w:lang w:eastAsia="es-ES_tradnl"/>
        </w:rPr>
        <w:t xml:space="preserve"> que</w:t>
      </w:r>
      <w:r w:rsidR="00017668" w:rsidRPr="007F1030">
        <w:rPr>
          <w:rFonts w:ascii="Arial" w:eastAsia="Arial" w:hAnsi="Arial" w:cs="Arial"/>
          <w:lang w:eastAsia="es-ES_tradnl"/>
        </w:rPr>
        <w:t xml:space="preserve"> regula el derecho, no es otra que la vigente al momento en que ocurre el deceso</w:t>
      </w:r>
      <w:r w:rsidR="00490C2F" w:rsidRPr="007F1030">
        <w:rPr>
          <w:rFonts w:ascii="Arial" w:eastAsia="Arial" w:hAnsi="Arial" w:cs="Arial"/>
          <w:lang w:eastAsia="es-ES_tradnl"/>
        </w:rPr>
        <w:t>.</w:t>
      </w:r>
      <w:r w:rsidR="00017668" w:rsidRPr="007F1030">
        <w:rPr>
          <w:rFonts w:ascii="Arial" w:eastAsia="Arial" w:hAnsi="Arial" w:cs="Arial"/>
          <w:lang w:eastAsia="es-ES_tradnl"/>
        </w:rPr>
        <w:t xml:space="preserve"> </w:t>
      </w:r>
      <w:r w:rsidR="00490C2F" w:rsidRPr="007F1030">
        <w:rPr>
          <w:rFonts w:ascii="Arial" w:eastAsia="Arial" w:hAnsi="Arial" w:cs="Arial"/>
          <w:lang w:eastAsia="es-ES_tradnl"/>
        </w:rPr>
        <w:t xml:space="preserve"> Al respecto</w:t>
      </w:r>
      <w:r w:rsidR="00017668" w:rsidRPr="007F1030">
        <w:rPr>
          <w:rFonts w:ascii="Arial" w:eastAsia="Arial" w:hAnsi="Arial" w:cs="Arial"/>
          <w:lang w:eastAsia="es-ES_tradnl"/>
        </w:rPr>
        <w:t>,</w:t>
      </w:r>
      <w:r w:rsidR="00490C2F" w:rsidRPr="007F1030">
        <w:rPr>
          <w:rFonts w:ascii="Arial" w:eastAsia="Arial" w:hAnsi="Arial" w:cs="Arial"/>
          <w:lang w:eastAsia="es-ES_tradnl"/>
        </w:rPr>
        <w:t xml:space="preserve"> la Sala Laboral de la Corte Suprema de Justicia </w:t>
      </w:r>
      <w:r w:rsidR="00D05274" w:rsidRPr="007F1030">
        <w:rPr>
          <w:rFonts w:ascii="Arial" w:eastAsia="Arial" w:hAnsi="Arial" w:cs="Arial"/>
          <w:lang w:eastAsia="es-ES_tradnl"/>
        </w:rPr>
        <w:t xml:space="preserve">desde </w:t>
      </w:r>
      <w:r w:rsidR="002E29D9" w:rsidRPr="007F1030">
        <w:rPr>
          <w:rFonts w:ascii="Arial" w:eastAsia="Arial" w:hAnsi="Arial" w:cs="Arial"/>
          <w:lang w:eastAsia="es-ES_tradnl"/>
        </w:rPr>
        <w:t xml:space="preserve">antes de </w:t>
      </w:r>
      <w:r w:rsidR="00D05274" w:rsidRPr="007F1030">
        <w:rPr>
          <w:rFonts w:ascii="Arial" w:eastAsia="Arial" w:hAnsi="Arial" w:cs="Arial"/>
          <w:lang w:eastAsia="es-ES_tradnl"/>
        </w:rPr>
        <w:t>la</w:t>
      </w:r>
      <w:r w:rsidR="00490C2F" w:rsidRPr="007F1030">
        <w:rPr>
          <w:rFonts w:ascii="Arial" w:eastAsia="Arial" w:hAnsi="Arial" w:cs="Arial"/>
          <w:lang w:eastAsia="es-ES_tradnl"/>
        </w:rPr>
        <w:t xml:space="preserve"> sentencia del </w:t>
      </w:r>
      <w:r w:rsidR="002E29D9" w:rsidRPr="007F1030">
        <w:rPr>
          <w:rFonts w:ascii="Arial" w:eastAsia="Arial" w:hAnsi="Arial" w:cs="Arial"/>
          <w:lang w:eastAsia="es-ES_tradnl"/>
        </w:rPr>
        <w:t>25 de abril de 2007</w:t>
      </w:r>
      <w:r w:rsidR="00490C2F" w:rsidRPr="007F1030">
        <w:rPr>
          <w:rFonts w:ascii="Arial" w:eastAsia="Arial" w:hAnsi="Arial" w:cs="Arial"/>
          <w:lang w:eastAsia="es-ES_tradnl"/>
        </w:rPr>
        <w:t xml:space="preserve">, radicado Nº </w:t>
      </w:r>
      <w:r w:rsidR="002E29D9" w:rsidRPr="007F1030">
        <w:rPr>
          <w:rFonts w:ascii="Arial" w:eastAsia="Arial" w:hAnsi="Arial" w:cs="Arial"/>
          <w:lang w:eastAsia="es-ES_tradnl"/>
        </w:rPr>
        <w:t>29121</w:t>
      </w:r>
      <w:r w:rsidR="00490C2F" w:rsidRPr="007F1030">
        <w:rPr>
          <w:rFonts w:ascii="Arial" w:eastAsia="Arial" w:hAnsi="Arial" w:cs="Arial"/>
          <w:lang w:eastAsia="es-ES_tradnl"/>
        </w:rPr>
        <w:t xml:space="preserve">, </w:t>
      </w:r>
      <w:proofErr w:type="spellStart"/>
      <w:r w:rsidR="00490C2F" w:rsidRPr="007F1030">
        <w:rPr>
          <w:rFonts w:ascii="Arial" w:eastAsia="Arial" w:hAnsi="Arial" w:cs="Arial"/>
          <w:lang w:eastAsia="es-ES_tradnl"/>
        </w:rPr>
        <w:t>M.P</w:t>
      </w:r>
      <w:proofErr w:type="spellEnd"/>
      <w:r w:rsidR="00490C2F" w:rsidRPr="007F1030">
        <w:rPr>
          <w:rFonts w:ascii="Arial" w:eastAsia="Arial" w:hAnsi="Arial" w:cs="Arial"/>
          <w:lang w:eastAsia="es-ES_tradnl"/>
        </w:rPr>
        <w:t xml:space="preserve">. </w:t>
      </w:r>
      <w:r w:rsidR="002E29D9" w:rsidRPr="007F1030">
        <w:rPr>
          <w:rFonts w:ascii="Arial" w:eastAsia="Arial" w:hAnsi="Arial" w:cs="Arial"/>
          <w:lang w:eastAsia="es-ES_tradnl"/>
        </w:rPr>
        <w:t>Camilo Tarquino Gallego</w:t>
      </w:r>
      <w:r w:rsidR="00490C2F" w:rsidRPr="007F1030">
        <w:rPr>
          <w:rFonts w:ascii="Arial" w:eastAsia="Arial" w:hAnsi="Arial" w:cs="Arial"/>
          <w:lang w:eastAsia="es-ES_tradnl"/>
        </w:rPr>
        <w:t xml:space="preserve">, </w:t>
      </w:r>
      <w:r w:rsidR="00D05274" w:rsidRPr="007F1030">
        <w:rPr>
          <w:rFonts w:ascii="Arial" w:eastAsia="Arial" w:hAnsi="Arial" w:cs="Arial"/>
          <w:lang w:eastAsia="es-ES_tradnl"/>
        </w:rPr>
        <w:t>ha venido afirmando</w:t>
      </w:r>
      <w:r w:rsidR="0012126E" w:rsidRPr="007F1030">
        <w:rPr>
          <w:rFonts w:ascii="Arial" w:eastAsia="Arial" w:hAnsi="Arial" w:cs="Arial"/>
          <w:lang w:eastAsia="es-ES_tradnl"/>
        </w:rPr>
        <w:t xml:space="preserve"> que</w:t>
      </w:r>
      <w:r w:rsidR="00490C2F" w:rsidRPr="007F1030">
        <w:rPr>
          <w:rFonts w:ascii="Arial" w:eastAsia="Arial" w:hAnsi="Arial" w:cs="Arial"/>
          <w:lang w:eastAsia="es-ES_tradnl"/>
        </w:rPr>
        <w:t xml:space="preserve"> “</w:t>
      </w:r>
      <w:r w:rsidR="002E29D9" w:rsidRPr="00BF5121">
        <w:rPr>
          <w:rFonts w:ascii="Arial" w:eastAsia="Arial" w:hAnsi="Arial" w:cs="Arial"/>
          <w:sz w:val="22"/>
          <w:lang w:eastAsia="es-ES_tradnl"/>
        </w:rPr>
        <w:t>[f]rente la pensión de sobrevivientes, (…) es la fecha del fallecimiento la que determina la normatividad que gobierna el caso</w:t>
      </w:r>
      <w:r w:rsidR="00490C2F" w:rsidRPr="007F1030">
        <w:rPr>
          <w:rFonts w:ascii="Arial" w:eastAsia="Arial" w:hAnsi="Arial" w:cs="Arial"/>
          <w:lang w:eastAsia="es-ES_tradnl"/>
        </w:rPr>
        <w:t xml:space="preserve">”. </w:t>
      </w:r>
    </w:p>
    <w:p w14:paraId="4ACD89E6" w14:textId="53B038AA" w:rsidR="00B2117D" w:rsidRPr="007F1030" w:rsidRDefault="00B2117D" w:rsidP="007F1030">
      <w:pPr>
        <w:autoSpaceDE w:val="0"/>
        <w:autoSpaceDN w:val="0"/>
        <w:adjustRightInd w:val="0"/>
        <w:spacing w:line="276" w:lineRule="auto"/>
        <w:ind w:firstLine="708"/>
        <w:jc w:val="both"/>
        <w:rPr>
          <w:rFonts w:ascii="Arial" w:eastAsia="Arial" w:hAnsi="Arial" w:cs="Arial"/>
          <w:lang w:eastAsia="es-ES_tradnl"/>
        </w:rPr>
      </w:pPr>
    </w:p>
    <w:p w14:paraId="3030BE13" w14:textId="6B7EEB01" w:rsidR="00BC3B78" w:rsidRPr="007F1030" w:rsidRDefault="002E29D9"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No obstante, como los cambios legislativos en </w:t>
      </w:r>
      <w:r w:rsidR="00C57B4D" w:rsidRPr="007F1030">
        <w:rPr>
          <w:rFonts w:ascii="Arial" w:eastAsia="Arial" w:hAnsi="Arial" w:cs="Arial"/>
          <w:lang w:eastAsia="es-ES_tradnl"/>
        </w:rPr>
        <w:t xml:space="preserve">el </w:t>
      </w:r>
      <w:r w:rsidRPr="007F1030">
        <w:rPr>
          <w:rFonts w:ascii="Arial" w:eastAsia="Arial" w:hAnsi="Arial" w:cs="Arial"/>
          <w:lang w:eastAsia="es-ES_tradnl"/>
        </w:rPr>
        <w:t>sistema pensional no pueden desconocer las expectativas legítimas</w:t>
      </w:r>
      <w:r w:rsidR="00BC3B78" w:rsidRPr="007F1030">
        <w:rPr>
          <w:rFonts w:ascii="Arial" w:eastAsia="Arial" w:hAnsi="Arial" w:cs="Arial"/>
          <w:lang w:eastAsia="es-ES_tradnl"/>
        </w:rPr>
        <w:t xml:space="preserve"> y en relación con la prestación de sobrevivientes el legislador no ha previsto disposiciones que las amparen, </w:t>
      </w:r>
      <w:r w:rsidR="00123B5D" w:rsidRPr="007F1030">
        <w:rPr>
          <w:rFonts w:ascii="Arial" w:eastAsia="Arial" w:hAnsi="Arial" w:cs="Arial"/>
          <w:lang w:eastAsia="es-ES_tradnl"/>
        </w:rPr>
        <w:t>a partir de la interpretación</w:t>
      </w:r>
      <w:r w:rsidR="00BC3B78" w:rsidRPr="007F1030">
        <w:rPr>
          <w:rFonts w:ascii="Arial" w:eastAsia="Arial" w:hAnsi="Arial" w:cs="Arial"/>
          <w:lang w:eastAsia="es-ES_tradnl"/>
        </w:rPr>
        <w:t xml:space="preserve"> de</w:t>
      </w:r>
      <w:r w:rsidR="00123B5D" w:rsidRPr="007F1030">
        <w:rPr>
          <w:rFonts w:ascii="Arial" w:eastAsia="Arial" w:hAnsi="Arial" w:cs="Arial"/>
          <w:lang w:eastAsia="es-ES_tradnl"/>
        </w:rPr>
        <w:t xml:space="preserve"> </w:t>
      </w:r>
      <w:r w:rsidR="00BC3B78" w:rsidRPr="007F1030">
        <w:rPr>
          <w:rFonts w:ascii="Arial" w:eastAsia="Arial" w:hAnsi="Arial" w:cs="Arial"/>
          <w:lang w:eastAsia="es-ES_tradnl"/>
        </w:rPr>
        <w:t>l</w:t>
      </w:r>
      <w:r w:rsidR="00123B5D" w:rsidRPr="007F1030">
        <w:rPr>
          <w:rFonts w:ascii="Arial" w:eastAsia="Arial" w:hAnsi="Arial" w:cs="Arial"/>
          <w:lang w:eastAsia="es-ES_tradnl"/>
        </w:rPr>
        <w:t>os</w:t>
      </w:r>
      <w:r w:rsidR="00BC3B78" w:rsidRPr="007F1030">
        <w:rPr>
          <w:rFonts w:ascii="Arial" w:eastAsia="Arial" w:hAnsi="Arial" w:cs="Arial"/>
          <w:lang w:eastAsia="es-ES_tradnl"/>
        </w:rPr>
        <w:t xml:space="preserve"> artículo</w:t>
      </w:r>
      <w:r w:rsidR="00123B5D" w:rsidRPr="007F1030">
        <w:rPr>
          <w:rFonts w:ascii="Arial" w:eastAsia="Arial" w:hAnsi="Arial" w:cs="Arial"/>
          <w:lang w:eastAsia="es-ES_tradnl"/>
        </w:rPr>
        <w:t>s</w:t>
      </w:r>
      <w:r w:rsidR="00BC3B78" w:rsidRPr="007F1030">
        <w:rPr>
          <w:rFonts w:ascii="Arial" w:eastAsia="Arial" w:hAnsi="Arial" w:cs="Arial"/>
          <w:lang w:eastAsia="es-ES_tradnl"/>
        </w:rPr>
        <w:t xml:space="preserve"> 48 </w:t>
      </w:r>
      <w:r w:rsidR="00123B5D" w:rsidRPr="007F1030">
        <w:rPr>
          <w:rFonts w:ascii="Arial" w:eastAsia="Arial" w:hAnsi="Arial" w:cs="Arial"/>
          <w:lang w:eastAsia="es-ES_tradnl"/>
        </w:rPr>
        <w:t xml:space="preserve">y 53 </w:t>
      </w:r>
      <w:r w:rsidR="00BC3B78" w:rsidRPr="007F1030">
        <w:rPr>
          <w:rFonts w:ascii="Arial" w:eastAsia="Arial" w:hAnsi="Arial" w:cs="Arial"/>
          <w:lang w:eastAsia="es-ES_tradnl"/>
        </w:rPr>
        <w:t>Superior</w:t>
      </w:r>
      <w:r w:rsidR="00123B5D" w:rsidRPr="007F1030">
        <w:rPr>
          <w:rFonts w:ascii="Arial" w:eastAsia="Arial" w:hAnsi="Arial" w:cs="Arial"/>
          <w:lang w:eastAsia="es-ES_tradnl"/>
        </w:rPr>
        <w:t>es</w:t>
      </w:r>
      <w:r w:rsidR="00BC3B78" w:rsidRPr="007F1030">
        <w:rPr>
          <w:rFonts w:ascii="Arial" w:eastAsia="Arial" w:hAnsi="Arial" w:cs="Arial"/>
          <w:lang w:eastAsia="es-ES_tradnl"/>
        </w:rPr>
        <w:t xml:space="preserve">, </w:t>
      </w:r>
      <w:r w:rsidR="00D80CE7" w:rsidRPr="007F1030">
        <w:rPr>
          <w:rFonts w:ascii="Arial" w:eastAsia="Arial" w:hAnsi="Arial" w:cs="Arial"/>
          <w:lang w:eastAsia="es-ES_tradnl"/>
        </w:rPr>
        <w:t>cuando el afiliado no alcanza a cotizar la densidad de semanas exigidas en</w:t>
      </w:r>
      <w:r w:rsidR="00905EA6" w:rsidRPr="007F1030">
        <w:rPr>
          <w:rFonts w:ascii="Arial" w:eastAsia="Arial" w:hAnsi="Arial" w:cs="Arial"/>
          <w:lang w:eastAsia="es-ES_tradnl"/>
        </w:rPr>
        <w:t xml:space="preserve"> esta</w:t>
      </w:r>
      <w:r w:rsidR="00D80CE7" w:rsidRPr="007F1030">
        <w:rPr>
          <w:rFonts w:ascii="Arial" w:eastAsia="Arial" w:hAnsi="Arial" w:cs="Arial"/>
          <w:lang w:eastAsia="es-ES_tradnl"/>
        </w:rPr>
        <w:t xml:space="preserve"> normativa para que su grupo familiar pueda acceder a la pensión, de manera excepcional se ha admitido que es dable acudir a un régimen anterior, en virtud del principio de la condición más beneficiosa. </w:t>
      </w:r>
    </w:p>
    <w:p w14:paraId="08BA4409" w14:textId="0BD4629A" w:rsidR="00936BFC" w:rsidRPr="007F1030" w:rsidRDefault="00936BFC" w:rsidP="007F1030">
      <w:pPr>
        <w:autoSpaceDE w:val="0"/>
        <w:autoSpaceDN w:val="0"/>
        <w:adjustRightInd w:val="0"/>
        <w:spacing w:line="276" w:lineRule="auto"/>
        <w:ind w:firstLine="708"/>
        <w:jc w:val="both"/>
        <w:rPr>
          <w:rFonts w:ascii="Arial" w:eastAsia="Arial" w:hAnsi="Arial" w:cs="Arial"/>
          <w:lang w:eastAsia="es-ES_tradnl"/>
        </w:rPr>
      </w:pPr>
    </w:p>
    <w:p w14:paraId="7368465C" w14:textId="6EACFF32" w:rsidR="009F25DA" w:rsidRPr="007F1030" w:rsidRDefault="009F25DA" w:rsidP="007F1030">
      <w:pPr>
        <w:autoSpaceDE w:val="0"/>
        <w:autoSpaceDN w:val="0"/>
        <w:adjustRightInd w:val="0"/>
        <w:spacing w:line="276" w:lineRule="auto"/>
        <w:ind w:firstLine="708"/>
        <w:jc w:val="both"/>
        <w:rPr>
          <w:rFonts w:ascii="Arial" w:eastAsia="Arial" w:hAnsi="Arial" w:cs="Arial"/>
        </w:rPr>
      </w:pPr>
      <w:r w:rsidRPr="007F1030">
        <w:rPr>
          <w:rFonts w:ascii="Arial" w:eastAsia="Arial" w:hAnsi="Arial" w:cs="Arial"/>
        </w:rPr>
        <w:t>Conforme con lo anterior</w:t>
      </w:r>
      <w:r w:rsidR="00BE2580" w:rsidRPr="007F1030">
        <w:rPr>
          <w:rFonts w:ascii="Arial" w:eastAsia="Arial" w:hAnsi="Arial" w:cs="Arial"/>
        </w:rPr>
        <w:t xml:space="preserve"> y concretamente </w:t>
      </w:r>
      <w:r w:rsidRPr="007F1030">
        <w:rPr>
          <w:rFonts w:ascii="Arial" w:eastAsia="Arial" w:hAnsi="Arial" w:cs="Arial"/>
        </w:rPr>
        <w:t xml:space="preserve">cuando el afiliado fallece en vigencia del artículo 46 la Ley 100 de 1993, antes de ser modificado por la Ley 797 de 2003, debe acreditar 26 semanas de cotizaciones al momento de la muerte, si estaba </w:t>
      </w:r>
      <w:r w:rsidR="005C49A6" w:rsidRPr="007F1030">
        <w:rPr>
          <w:rFonts w:ascii="Arial" w:eastAsia="Arial" w:hAnsi="Arial" w:cs="Arial"/>
        </w:rPr>
        <w:t>aportando</w:t>
      </w:r>
      <w:r w:rsidRPr="007F1030">
        <w:rPr>
          <w:rFonts w:ascii="Arial" w:eastAsia="Arial" w:hAnsi="Arial" w:cs="Arial"/>
        </w:rPr>
        <w:t xml:space="preserve">, o igual número de semanas dentro del año inmediatamente anterior, en el evento de haber dejado de cotizar. </w:t>
      </w:r>
    </w:p>
    <w:p w14:paraId="3DA7E4E0" w14:textId="77777777" w:rsidR="009F25DA" w:rsidRPr="007F1030" w:rsidRDefault="009F25DA" w:rsidP="007F1030">
      <w:pPr>
        <w:autoSpaceDE w:val="0"/>
        <w:autoSpaceDN w:val="0"/>
        <w:adjustRightInd w:val="0"/>
        <w:spacing w:line="276" w:lineRule="auto"/>
        <w:ind w:firstLine="708"/>
        <w:jc w:val="both"/>
        <w:rPr>
          <w:rFonts w:ascii="Arial" w:eastAsia="Arial" w:hAnsi="Arial" w:cs="Arial"/>
        </w:rPr>
      </w:pPr>
    </w:p>
    <w:p w14:paraId="0CB1E762" w14:textId="4C03D282" w:rsidR="6E1C46B3" w:rsidRPr="007F1030" w:rsidRDefault="6E1C46B3" w:rsidP="007F1030">
      <w:pPr>
        <w:spacing w:line="276" w:lineRule="auto"/>
        <w:ind w:firstLine="708"/>
        <w:jc w:val="both"/>
        <w:rPr>
          <w:rFonts w:ascii="Arial" w:eastAsia="Arial" w:hAnsi="Arial" w:cs="Arial"/>
        </w:rPr>
      </w:pPr>
      <w:r w:rsidRPr="007F1030">
        <w:rPr>
          <w:rFonts w:ascii="Arial" w:eastAsia="Arial" w:hAnsi="Arial" w:cs="Arial"/>
        </w:rPr>
        <w:t xml:space="preserve">Sin embargo, </w:t>
      </w:r>
      <w:r w:rsidR="150074B5" w:rsidRPr="007F1030">
        <w:rPr>
          <w:rFonts w:ascii="Arial" w:eastAsia="Arial" w:hAnsi="Arial" w:cs="Arial"/>
        </w:rPr>
        <w:t xml:space="preserve">cuando </w:t>
      </w:r>
      <w:r w:rsidR="5E9B5664" w:rsidRPr="007F1030">
        <w:rPr>
          <w:rFonts w:ascii="Arial" w:eastAsia="Arial" w:hAnsi="Arial" w:cs="Arial"/>
        </w:rPr>
        <w:t xml:space="preserve">el </w:t>
      </w:r>
      <w:r w:rsidR="150074B5" w:rsidRPr="007F1030">
        <w:rPr>
          <w:rFonts w:ascii="Arial" w:eastAsia="Arial" w:hAnsi="Arial" w:cs="Arial"/>
        </w:rPr>
        <w:t xml:space="preserve">afiliado fallece </w:t>
      </w:r>
      <w:r w:rsidR="0021BAC0" w:rsidRPr="007F1030">
        <w:rPr>
          <w:rFonts w:ascii="Arial" w:eastAsia="Arial" w:hAnsi="Arial" w:cs="Arial"/>
        </w:rPr>
        <w:t xml:space="preserve">sin reunir </w:t>
      </w:r>
      <w:r w:rsidR="150074B5" w:rsidRPr="007F1030">
        <w:rPr>
          <w:rFonts w:ascii="Arial" w:eastAsia="Arial" w:hAnsi="Arial" w:cs="Arial"/>
        </w:rPr>
        <w:t xml:space="preserve">estos requisitos, se ha establecido de manera reiterada </w:t>
      </w:r>
      <w:r w:rsidRPr="007F1030">
        <w:rPr>
          <w:rFonts w:ascii="Arial" w:eastAsia="Arial" w:hAnsi="Arial" w:cs="Arial"/>
        </w:rPr>
        <w:t xml:space="preserve">por vía jurisprudencial </w:t>
      </w:r>
      <w:r w:rsidR="150074B5" w:rsidRPr="007F1030">
        <w:rPr>
          <w:rFonts w:ascii="Arial" w:eastAsia="Arial" w:hAnsi="Arial" w:cs="Arial"/>
        </w:rPr>
        <w:t xml:space="preserve">que es viable acudir a las previsiones del Acuerdo 049 de 1990, aprobado por el Decreto 758 del mismo año, que en sus artículos 6º y 25, plantean dos alternativas para acceder a esta prestación: la primera, </w:t>
      </w:r>
      <w:r w:rsidR="694CFF64" w:rsidRPr="007F1030">
        <w:rPr>
          <w:rFonts w:ascii="Arial" w:eastAsia="Arial" w:hAnsi="Arial" w:cs="Arial"/>
        </w:rPr>
        <w:t>“</w:t>
      </w:r>
      <w:r w:rsidR="150074B5" w:rsidRPr="00BF5121">
        <w:rPr>
          <w:rFonts w:ascii="Arial" w:eastAsia="Arial" w:hAnsi="Arial" w:cs="Arial"/>
          <w:sz w:val="22"/>
        </w:rPr>
        <w:t>que el causante hubier</w:t>
      </w:r>
      <w:r w:rsidR="0021BAC0" w:rsidRPr="00BF5121">
        <w:rPr>
          <w:rFonts w:ascii="Arial" w:eastAsia="Arial" w:hAnsi="Arial" w:cs="Arial"/>
          <w:sz w:val="22"/>
        </w:rPr>
        <w:t>e</w:t>
      </w:r>
      <w:r w:rsidR="150074B5" w:rsidRPr="00BF5121">
        <w:rPr>
          <w:rFonts w:ascii="Arial" w:eastAsia="Arial" w:hAnsi="Arial" w:cs="Arial"/>
          <w:sz w:val="22"/>
        </w:rPr>
        <w:t xml:space="preserve"> cotizado 300 semanas en cualquier tiempo</w:t>
      </w:r>
      <w:r w:rsidR="78B981B2" w:rsidRPr="007F1030">
        <w:rPr>
          <w:rFonts w:ascii="Arial" w:eastAsia="Arial" w:hAnsi="Arial" w:cs="Arial"/>
        </w:rPr>
        <w:t xml:space="preserve">”, hipótesis en la cual, </w:t>
      </w:r>
      <w:r w:rsidR="31996F67" w:rsidRPr="007F1030">
        <w:rPr>
          <w:rFonts w:ascii="Arial" w:eastAsia="Arial" w:hAnsi="Arial" w:cs="Arial"/>
        </w:rPr>
        <w:t xml:space="preserve">éste </w:t>
      </w:r>
      <w:r w:rsidR="2528C1F4" w:rsidRPr="007F1030">
        <w:rPr>
          <w:rFonts w:ascii="Arial" w:eastAsia="Arial" w:hAnsi="Arial" w:cs="Arial"/>
        </w:rPr>
        <w:t>número</w:t>
      </w:r>
      <w:r w:rsidR="31996F67" w:rsidRPr="007F1030">
        <w:rPr>
          <w:rFonts w:ascii="Arial" w:eastAsia="Arial" w:hAnsi="Arial" w:cs="Arial"/>
        </w:rPr>
        <w:t xml:space="preserve"> de semanas </w:t>
      </w:r>
      <w:r w:rsidR="78B981B2" w:rsidRPr="007F1030">
        <w:rPr>
          <w:rFonts w:ascii="Arial" w:eastAsia="Arial" w:hAnsi="Arial" w:cs="Arial"/>
        </w:rPr>
        <w:t>debe estar acreditad</w:t>
      </w:r>
      <w:r w:rsidR="395350FD" w:rsidRPr="007F1030">
        <w:rPr>
          <w:rFonts w:ascii="Arial" w:eastAsia="Arial" w:hAnsi="Arial" w:cs="Arial"/>
        </w:rPr>
        <w:t>o</w:t>
      </w:r>
      <w:r w:rsidR="78B981B2" w:rsidRPr="007F1030">
        <w:rPr>
          <w:rFonts w:ascii="Arial" w:eastAsia="Arial" w:hAnsi="Arial" w:cs="Arial"/>
        </w:rPr>
        <w:t xml:space="preserve"> al 1º de abril de 1994</w:t>
      </w:r>
      <w:r w:rsidR="3BD8CA14" w:rsidRPr="007F1030">
        <w:rPr>
          <w:rFonts w:ascii="Arial" w:eastAsia="Arial" w:hAnsi="Arial" w:cs="Arial"/>
        </w:rPr>
        <w:t xml:space="preserve">; y </w:t>
      </w:r>
      <w:r w:rsidR="51516F43" w:rsidRPr="007F1030">
        <w:rPr>
          <w:rFonts w:ascii="Arial" w:eastAsia="Arial" w:hAnsi="Arial" w:cs="Arial"/>
        </w:rPr>
        <w:t>la segunda, “</w:t>
      </w:r>
      <w:r w:rsidR="150074B5" w:rsidRPr="00BF5121">
        <w:rPr>
          <w:rFonts w:ascii="Arial" w:eastAsia="Arial" w:hAnsi="Arial" w:cs="Arial"/>
          <w:sz w:val="22"/>
        </w:rPr>
        <w:t xml:space="preserve">que </w:t>
      </w:r>
      <w:r w:rsidR="5E9B5664" w:rsidRPr="00BF5121">
        <w:rPr>
          <w:rFonts w:ascii="Arial" w:eastAsia="Arial" w:hAnsi="Arial" w:cs="Arial"/>
          <w:sz w:val="22"/>
        </w:rPr>
        <w:t>acreditare</w:t>
      </w:r>
      <w:r w:rsidR="150074B5" w:rsidRPr="00BF5121">
        <w:rPr>
          <w:rFonts w:ascii="Arial" w:eastAsia="Arial" w:hAnsi="Arial" w:cs="Arial"/>
          <w:sz w:val="22"/>
        </w:rPr>
        <w:t xml:space="preserve"> 150 semanas</w:t>
      </w:r>
      <w:r w:rsidR="5E9B5664" w:rsidRPr="00BF5121">
        <w:rPr>
          <w:rFonts w:ascii="Arial" w:eastAsia="Arial" w:hAnsi="Arial" w:cs="Arial"/>
          <w:sz w:val="22"/>
        </w:rPr>
        <w:t xml:space="preserve"> de aportes</w:t>
      </w:r>
      <w:r w:rsidR="150074B5" w:rsidRPr="00BF5121">
        <w:rPr>
          <w:rFonts w:ascii="Arial" w:eastAsia="Arial" w:hAnsi="Arial" w:cs="Arial"/>
          <w:sz w:val="22"/>
        </w:rPr>
        <w:t xml:space="preserve"> en los últimos 6 años anteriores a la muerte</w:t>
      </w:r>
      <w:r w:rsidR="33ABC78D" w:rsidRPr="007F1030">
        <w:rPr>
          <w:rFonts w:ascii="Arial" w:eastAsia="Arial" w:hAnsi="Arial" w:cs="Arial"/>
        </w:rPr>
        <w:t xml:space="preserve">”, </w:t>
      </w:r>
      <w:r w:rsidR="68D18505" w:rsidRPr="007F1030">
        <w:rPr>
          <w:rFonts w:ascii="Arial" w:eastAsia="Arial" w:hAnsi="Arial" w:cs="Arial"/>
        </w:rPr>
        <w:t>n</w:t>
      </w:r>
      <w:r w:rsidR="33ABC78D" w:rsidRPr="007F1030">
        <w:rPr>
          <w:rFonts w:ascii="Arial" w:eastAsia="Arial" w:hAnsi="Arial" w:cs="Arial"/>
        </w:rPr>
        <w:t xml:space="preserve">úmero </w:t>
      </w:r>
      <w:r w:rsidR="5B9E390D" w:rsidRPr="007F1030">
        <w:rPr>
          <w:rFonts w:ascii="Arial" w:eastAsia="Arial" w:hAnsi="Arial" w:cs="Arial"/>
        </w:rPr>
        <w:t xml:space="preserve">que </w:t>
      </w:r>
      <w:r w:rsidR="33ABC78D" w:rsidRPr="007F1030">
        <w:rPr>
          <w:rFonts w:ascii="Arial" w:eastAsia="Arial" w:hAnsi="Arial" w:cs="Arial"/>
        </w:rPr>
        <w:t>debe verificarse</w:t>
      </w:r>
      <w:r w:rsidR="311F2FE4" w:rsidRPr="007F1030">
        <w:rPr>
          <w:rFonts w:ascii="Arial" w:eastAsia="Arial" w:hAnsi="Arial" w:cs="Arial"/>
        </w:rPr>
        <w:t xml:space="preserve"> dentro de los 6 años anteriores al 1º de abril de 1994, esto es,</w:t>
      </w:r>
      <w:r w:rsidR="33ABC78D" w:rsidRPr="007F1030">
        <w:rPr>
          <w:rFonts w:ascii="Arial" w:eastAsia="Arial" w:hAnsi="Arial" w:cs="Arial"/>
        </w:rPr>
        <w:t xml:space="preserve"> desde el 1º de abril de 1988 hasta el 1º de abril de 1994 y además </w:t>
      </w:r>
      <w:r w:rsidR="001F5BD9" w:rsidRPr="007F1030">
        <w:rPr>
          <w:rFonts w:ascii="Arial" w:eastAsia="Arial" w:hAnsi="Arial" w:cs="Arial"/>
        </w:rPr>
        <w:t xml:space="preserve">150 semanas </w:t>
      </w:r>
      <w:r w:rsidR="33ABC78D" w:rsidRPr="007F1030">
        <w:rPr>
          <w:rFonts w:ascii="Arial" w:eastAsia="Arial" w:hAnsi="Arial" w:cs="Arial"/>
        </w:rPr>
        <w:t xml:space="preserve">en los 6 años anteriores al fallecimiento; según lo dejó sentando el órgano de cierre de esta especialidad, desde el 26 de septiembre de 2006, en sentencia con radicado 29042, reiterada de manera reciente en la sentencia </w:t>
      </w:r>
      <w:proofErr w:type="spellStart"/>
      <w:r w:rsidR="33ABC78D" w:rsidRPr="007F1030">
        <w:rPr>
          <w:rFonts w:ascii="Arial" w:eastAsia="Arial" w:hAnsi="Arial" w:cs="Arial"/>
        </w:rPr>
        <w:t>SL4995</w:t>
      </w:r>
      <w:proofErr w:type="spellEnd"/>
      <w:r w:rsidR="33ABC78D" w:rsidRPr="007F1030">
        <w:rPr>
          <w:rFonts w:ascii="Arial" w:eastAsia="Arial" w:hAnsi="Arial" w:cs="Arial"/>
        </w:rPr>
        <w:t xml:space="preserve"> de 2019.  </w:t>
      </w:r>
    </w:p>
    <w:p w14:paraId="72A648FC" w14:textId="49112948" w:rsidR="009544AC" w:rsidRPr="007F1030" w:rsidRDefault="009544AC" w:rsidP="007F1030">
      <w:pPr>
        <w:autoSpaceDE w:val="0"/>
        <w:autoSpaceDN w:val="0"/>
        <w:adjustRightInd w:val="0"/>
        <w:spacing w:line="276" w:lineRule="auto"/>
        <w:ind w:firstLine="708"/>
        <w:jc w:val="both"/>
        <w:rPr>
          <w:rFonts w:ascii="Arial" w:eastAsia="Arial" w:hAnsi="Arial" w:cs="Arial"/>
        </w:rPr>
      </w:pPr>
    </w:p>
    <w:p w14:paraId="1C7F7C30" w14:textId="7F1A6233" w:rsidR="00B372A4" w:rsidRPr="007F1030" w:rsidRDefault="00B372A4"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De otro lado, en lo que respecta a los requisitos subjetivos, en lo pertinente</w:t>
      </w:r>
      <w:r w:rsidR="00310943" w:rsidRPr="007F1030">
        <w:rPr>
          <w:rFonts w:ascii="Arial" w:eastAsia="Arial" w:hAnsi="Arial" w:cs="Arial"/>
          <w:lang w:eastAsia="es-ES_tradnl"/>
        </w:rPr>
        <w:t>,</w:t>
      </w:r>
      <w:r w:rsidRPr="007F1030">
        <w:rPr>
          <w:rFonts w:ascii="Arial" w:eastAsia="Arial" w:hAnsi="Arial" w:cs="Arial"/>
          <w:lang w:eastAsia="es-ES_tradnl"/>
        </w:rPr>
        <w:t xml:space="preserve"> el artículo 47 de la Ley 100 de 1993, en su redacción primigenia, incluye como beneficiarios</w:t>
      </w:r>
      <w:r w:rsidR="000F6BFE" w:rsidRPr="007F1030">
        <w:rPr>
          <w:rFonts w:ascii="Arial" w:eastAsia="Arial" w:hAnsi="Arial" w:cs="Arial"/>
          <w:lang w:eastAsia="es-ES_tradnl"/>
        </w:rPr>
        <w:t>:</w:t>
      </w:r>
      <w:r w:rsidRPr="007F1030">
        <w:rPr>
          <w:rFonts w:ascii="Arial" w:eastAsia="Arial" w:hAnsi="Arial" w:cs="Arial"/>
          <w:lang w:eastAsia="es-ES_tradnl"/>
        </w:rPr>
        <w:t xml:space="preserve"> (i) al cónyuge o compañero (a) permanente de</w:t>
      </w:r>
      <w:r w:rsidR="00D91380" w:rsidRPr="007F1030">
        <w:rPr>
          <w:rFonts w:ascii="Arial" w:eastAsia="Arial" w:hAnsi="Arial" w:cs="Arial"/>
          <w:lang w:eastAsia="es-ES_tradnl"/>
        </w:rPr>
        <w:t>l afiliado o pensionado</w:t>
      </w:r>
      <w:r w:rsidR="00310943" w:rsidRPr="007F1030">
        <w:rPr>
          <w:rFonts w:ascii="Arial" w:eastAsia="Arial" w:hAnsi="Arial" w:cs="Arial"/>
          <w:lang w:eastAsia="es-ES_tradnl"/>
        </w:rPr>
        <w:t xml:space="preserve">, </w:t>
      </w:r>
      <w:r w:rsidR="00D91380" w:rsidRPr="007F1030">
        <w:rPr>
          <w:rFonts w:ascii="Arial" w:eastAsia="Arial" w:hAnsi="Arial" w:cs="Arial"/>
          <w:lang w:eastAsia="es-ES_tradnl"/>
        </w:rPr>
        <w:t xml:space="preserve"> </w:t>
      </w:r>
      <w:r w:rsidR="00310943" w:rsidRPr="007F1030">
        <w:rPr>
          <w:rFonts w:ascii="Arial" w:eastAsia="Arial" w:hAnsi="Arial" w:cs="Arial"/>
          <w:lang w:eastAsia="es-ES_tradnl"/>
        </w:rPr>
        <w:t>si acredita convivencia con el fallecido por espacio no menor de dos años continuos con anterioridad a su muerte, o también si prueba la procreación de uno o más hijos con el causante</w:t>
      </w:r>
      <w:r w:rsidR="000F6BFE" w:rsidRPr="007F1030">
        <w:rPr>
          <w:rFonts w:ascii="Arial" w:eastAsia="Arial" w:hAnsi="Arial" w:cs="Arial"/>
          <w:lang w:eastAsia="es-ES_tradnl"/>
        </w:rPr>
        <w:t xml:space="preserve">, y (ii) a los hijos menores de 18 años o mayores de esta edad hasta los 25 años, siempre y cuando, estos últimos hubieren dependido económicamente del afiliado o pensionado y se encontraren estudiando al momento de su óbito. </w:t>
      </w:r>
    </w:p>
    <w:p w14:paraId="6632071E" w14:textId="2847EADB" w:rsidR="000F6BFE" w:rsidRPr="007F1030" w:rsidRDefault="000F6BFE" w:rsidP="007F1030">
      <w:pPr>
        <w:autoSpaceDE w:val="0"/>
        <w:autoSpaceDN w:val="0"/>
        <w:adjustRightInd w:val="0"/>
        <w:spacing w:line="276" w:lineRule="auto"/>
        <w:ind w:firstLine="708"/>
        <w:jc w:val="both"/>
        <w:rPr>
          <w:rFonts w:ascii="Arial" w:eastAsia="Arial" w:hAnsi="Arial" w:cs="Arial"/>
          <w:lang w:eastAsia="es-ES_tradnl"/>
        </w:rPr>
      </w:pPr>
    </w:p>
    <w:p w14:paraId="1D36B559" w14:textId="24BF9EC7" w:rsidR="00F33033" w:rsidRPr="007F1030" w:rsidRDefault="00B33FB7" w:rsidP="007F1030">
      <w:pPr>
        <w:autoSpaceDE w:val="0"/>
        <w:autoSpaceDN w:val="0"/>
        <w:adjustRightInd w:val="0"/>
        <w:spacing w:line="276" w:lineRule="auto"/>
        <w:ind w:firstLine="708"/>
        <w:jc w:val="both"/>
        <w:rPr>
          <w:rFonts w:ascii="Arial" w:hAnsi="Arial" w:cs="Arial"/>
          <w:b/>
          <w:bCs/>
          <w:spacing w:val="12"/>
        </w:rPr>
      </w:pPr>
      <w:r w:rsidRPr="007F1030">
        <w:rPr>
          <w:rFonts w:ascii="Arial" w:eastAsia="Arial" w:hAnsi="Arial" w:cs="Arial"/>
          <w:lang w:eastAsia="es-ES_tradnl"/>
        </w:rPr>
        <w:t xml:space="preserve">Con todo, frente a la circunstancia de haber engendrado hijos como eximente del requisito de convivencia, </w:t>
      </w:r>
      <w:r w:rsidR="002D0358" w:rsidRPr="007F1030">
        <w:rPr>
          <w:rFonts w:ascii="Arial" w:eastAsia="Arial" w:hAnsi="Arial" w:cs="Arial"/>
          <w:lang w:eastAsia="es-ES_tradnl"/>
        </w:rPr>
        <w:t>de conformidad con lo adoctrinado en sentencia</w:t>
      </w:r>
      <w:r w:rsidR="00F33033" w:rsidRPr="007F1030">
        <w:rPr>
          <w:rFonts w:ascii="Arial" w:eastAsia="Arial" w:hAnsi="Arial" w:cs="Arial"/>
          <w:lang w:eastAsia="es-ES_tradnl"/>
        </w:rPr>
        <w:t xml:space="preserve"> CSJ </w:t>
      </w:r>
      <w:proofErr w:type="spellStart"/>
      <w:r w:rsidR="00F33033" w:rsidRPr="007F1030">
        <w:rPr>
          <w:rFonts w:ascii="Arial" w:eastAsia="Arial" w:hAnsi="Arial" w:cs="Arial"/>
          <w:lang w:eastAsia="es-ES_tradnl"/>
        </w:rPr>
        <w:t>SL5504</w:t>
      </w:r>
      <w:proofErr w:type="spellEnd"/>
      <w:r w:rsidR="00F33033" w:rsidRPr="007F1030">
        <w:rPr>
          <w:rFonts w:ascii="Arial" w:eastAsia="Arial" w:hAnsi="Arial" w:cs="Arial"/>
          <w:lang w:eastAsia="es-ES_tradnl"/>
        </w:rPr>
        <w:t xml:space="preserve"> de 2019, en la que se reitera el criterio expuesto en la sentencia del 5 de mayo de 2011, radicado 38640, en verdad son dos los requisitos que consagra esta hipótesis para el reconocimiento de la pensión de sobrevivientes: (i) que el grupo familiar exista al momento de la muerte y (ii) y que la procreación del hijo común sea dentro los dos años anteriores al fallecimiento del afiliado o pensionado y no en cualquier tiempo.</w:t>
      </w:r>
      <w:r w:rsidR="00F33033" w:rsidRPr="007F1030">
        <w:rPr>
          <w:rFonts w:ascii="Arial" w:hAnsi="Arial" w:cs="Arial"/>
          <w:spacing w:val="12"/>
        </w:rPr>
        <w:t xml:space="preserve">  </w:t>
      </w:r>
    </w:p>
    <w:p w14:paraId="4729DB01" w14:textId="77777777" w:rsidR="00C96E41" w:rsidRPr="007F1030" w:rsidRDefault="00C96E41" w:rsidP="007F1030">
      <w:pPr>
        <w:spacing w:line="276" w:lineRule="auto"/>
        <w:jc w:val="both"/>
        <w:rPr>
          <w:rFonts w:ascii="Arial" w:hAnsi="Arial" w:cs="Arial"/>
          <w:spacing w:val="12"/>
          <w:lang w:val="es-ES_tradnl"/>
        </w:rPr>
      </w:pPr>
    </w:p>
    <w:p w14:paraId="5719F1CE" w14:textId="0A839BA3" w:rsidR="00055187" w:rsidRPr="007F1030" w:rsidRDefault="000E4A33" w:rsidP="007F1030">
      <w:pPr>
        <w:pStyle w:val="Textoindependiente"/>
        <w:spacing w:after="0" w:line="276" w:lineRule="auto"/>
        <w:ind w:left="709"/>
        <w:rPr>
          <w:rFonts w:ascii="Arial" w:eastAsia="Arial" w:hAnsi="Arial" w:cs="Arial"/>
          <w:b/>
          <w:bCs/>
          <w:lang w:val="es-ES" w:eastAsia="es-ES_tradnl"/>
        </w:rPr>
      </w:pPr>
      <w:r w:rsidRPr="007F1030">
        <w:rPr>
          <w:rFonts w:ascii="Arial" w:eastAsia="Arial" w:hAnsi="Arial" w:cs="Arial"/>
          <w:b/>
          <w:bCs/>
          <w:lang w:val="es-ES" w:eastAsia="es-ES_tradnl"/>
        </w:rPr>
        <w:t xml:space="preserve">5.3. </w:t>
      </w:r>
      <w:r w:rsidR="00055187" w:rsidRPr="007F1030">
        <w:rPr>
          <w:rFonts w:ascii="Arial" w:eastAsia="Arial" w:hAnsi="Arial" w:cs="Arial"/>
          <w:b/>
          <w:bCs/>
          <w:lang w:val="es-ES" w:eastAsia="es-ES_tradnl"/>
        </w:rPr>
        <w:t>Caso concreto</w:t>
      </w:r>
    </w:p>
    <w:p w14:paraId="2BB6FE53" w14:textId="1452ACFD" w:rsidR="00055187" w:rsidRPr="007F1030" w:rsidRDefault="00055187" w:rsidP="007F1030">
      <w:pPr>
        <w:spacing w:line="276" w:lineRule="auto"/>
        <w:jc w:val="both"/>
        <w:rPr>
          <w:rFonts w:ascii="Arial" w:hAnsi="Arial" w:cs="Arial"/>
          <w:spacing w:val="12"/>
          <w:lang w:val="es-ES_tradnl"/>
        </w:rPr>
      </w:pPr>
    </w:p>
    <w:p w14:paraId="42C31710" w14:textId="4C082230" w:rsidR="00055187" w:rsidRPr="007F1030" w:rsidRDefault="00F331E3"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Fuera de toda discusión, por existir plena prueba de ello, está que </w:t>
      </w:r>
      <w:r w:rsidR="00055187" w:rsidRPr="007F1030">
        <w:rPr>
          <w:rFonts w:ascii="Arial" w:eastAsia="Arial" w:hAnsi="Arial" w:cs="Arial"/>
          <w:lang w:eastAsia="es-ES_tradnl"/>
        </w:rPr>
        <w:t>(i)</w:t>
      </w:r>
      <w:r w:rsidR="00B7622D" w:rsidRPr="007F1030">
        <w:rPr>
          <w:rFonts w:ascii="Arial" w:eastAsia="Arial" w:hAnsi="Arial" w:cs="Arial"/>
          <w:lang w:eastAsia="es-ES_tradnl"/>
        </w:rPr>
        <w:t xml:space="preserve"> el señor Arturo Hernández Londoño falleció el 7 de noviembre de 1995, en el municipio de </w:t>
      </w:r>
      <w:proofErr w:type="spellStart"/>
      <w:r w:rsidR="00B7622D" w:rsidRPr="007F1030">
        <w:rPr>
          <w:rFonts w:ascii="Arial" w:eastAsia="Arial" w:hAnsi="Arial" w:cs="Arial"/>
          <w:lang w:eastAsia="es-ES_tradnl"/>
        </w:rPr>
        <w:t>Tocancipá</w:t>
      </w:r>
      <w:proofErr w:type="spellEnd"/>
      <w:r w:rsidR="00B7622D" w:rsidRPr="007F1030">
        <w:rPr>
          <w:rFonts w:ascii="Arial" w:eastAsia="Arial" w:hAnsi="Arial" w:cs="Arial"/>
          <w:lang w:eastAsia="es-ES_tradnl"/>
        </w:rPr>
        <w:t xml:space="preserve"> – Cundinamarca, según certificado de defunción visible a folio 19; (ii) que sufragó un total de 314,14 semanas de aportes al régimen de prima media entre el 11 de febrero de 1987 y el 08 de agosto de 1994, según se extracta de la historia laboral de folio 25; (iii) y que la pareja conformada por de </w:t>
      </w:r>
      <w:proofErr w:type="spellStart"/>
      <w:r w:rsidR="00B7622D" w:rsidRPr="007F1030">
        <w:rPr>
          <w:rFonts w:ascii="Arial" w:eastAsia="Arial" w:hAnsi="Arial" w:cs="Arial"/>
          <w:lang w:eastAsia="es-ES_tradnl"/>
        </w:rPr>
        <w:t>cujus</w:t>
      </w:r>
      <w:proofErr w:type="spellEnd"/>
      <w:r w:rsidR="00B7622D" w:rsidRPr="007F1030">
        <w:rPr>
          <w:rFonts w:ascii="Arial" w:eastAsia="Arial" w:hAnsi="Arial" w:cs="Arial"/>
          <w:lang w:eastAsia="es-ES_tradnl"/>
        </w:rPr>
        <w:t xml:space="preserve"> y la demandante</w:t>
      </w:r>
      <w:r w:rsidR="00B908EC" w:rsidRPr="007F1030">
        <w:rPr>
          <w:rFonts w:ascii="Arial" w:eastAsia="Arial" w:hAnsi="Arial" w:cs="Arial"/>
          <w:lang w:eastAsia="es-ES_tradnl"/>
        </w:rPr>
        <w:t xml:space="preserve"> procreó a </w:t>
      </w:r>
      <w:proofErr w:type="spellStart"/>
      <w:r w:rsidR="00B908EC" w:rsidRPr="007F1030">
        <w:rPr>
          <w:rFonts w:ascii="Arial" w:eastAsia="Arial" w:hAnsi="Arial" w:cs="Arial"/>
          <w:lang w:eastAsia="es-ES_tradnl"/>
        </w:rPr>
        <w:t>Mallerly</w:t>
      </w:r>
      <w:proofErr w:type="spellEnd"/>
      <w:r w:rsidR="00B908EC" w:rsidRPr="007F1030">
        <w:rPr>
          <w:rFonts w:ascii="Arial" w:eastAsia="Arial" w:hAnsi="Arial" w:cs="Arial"/>
          <w:lang w:eastAsia="es-ES_tradnl"/>
        </w:rPr>
        <w:t xml:space="preserve"> y Geovanny Hernández Velásquez, nacidos el 03 de julio de 1990 y el 28 de mayo de 1994, respectivamente, según los registros civiles de nacimiento obrantes a folios 22 y 21.  </w:t>
      </w:r>
    </w:p>
    <w:p w14:paraId="20666C3A" w14:textId="77777777" w:rsidR="00055187" w:rsidRPr="007F1030" w:rsidRDefault="00055187" w:rsidP="007F1030">
      <w:pPr>
        <w:autoSpaceDE w:val="0"/>
        <w:autoSpaceDN w:val="0"/>
        <w:adjustRightInd w:val="0"/>
        <w:spacing w:line="276" w:lineRule="auto"/>
        <w:ind w:firstLine="708"/>
        <w:jc w:val="both"/>
        <w:rPr>
          <w:rFonts w:ascii="Arial" w:eastAsia="Arial" w:hAnsi="Arial" w:cs="Arial"/>
          <w:lang w:eastAsia="es-ES_tradnl"/>
        </w:rPr>
      </w:pPr>
    </w:p>
    <w:p w14:paraId="28081B42" w14:textId="3C6484EB" w:rsidR="008E7A16" w:rsidRPr="007F1030" w:rsidRDefault="000A4999"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Atendiendo a las fechas</w:t>
      </w:r>
      <w:r w:rsidR="008E7A16" w:rsidRPr="007F1030">
        <w:rPr>
          <w:rFonts w:ascii="Arial" w:eastAsia="Arial" w:hAnsi="Arial" w:cs="Arial"/>
          <w:lang w:eastAsia="es-ES_tradnl"/>
        </w:rPr>
        <w:t xml:space="preserve"> de la última cotización y </w:t>
      </w:r>
      <w:r w:rsidRPr="007F1030">
        <w:rPr>
          <w:rFonts w:ascii="Arial" w:eastAsia="Arial" w:hAnsi="Arial" w:cs="Arial"/>
          <w:lang w:eastAsia="es-ES_tradnl"/>
        </w:rPr>
        <w:t>del óbito, en este caso se colige sin hesitación que</w:t>
      </w:r>
      <w:r w:rsidR="008E7A16" w:rsidRPr="007F1030">
        <w:rPr>
          <w:rFonts w:ascii="Arial" w:eastAsia="Arial" w:hAnsi="Arial" w:cs="Arial"/>
          <w:lang w:eastAsia="es-ES_tradnl"/>
        </w:rPr>
        <w:t xml:space="preserve"> el afiliado no se encontraba aportando al momento de su deceso y dentro del año anterior, no cotizó ninguna de las 26 semanas exigidas por</w:t>
      </w:r>
      <w:r w:rsidR="0075022E" w:rsidRPr="007F1030">
        <w:rPr>
          <w:rFonts w:ascii="Arial" w:eastAsia="Arial" w:hAnsi="Arial" w:cs="Arial"/>
          <w:lang w:eastAsia="es-ES_tradnl"/>
        </w:rPr>
        <w:t xml:space="preserve"> la Ley 100 de 1993 como requisito objetivo para la causación de la pensión de sobrevivientes</w:t>
      </w:r>
      <w:r w:rsidR="008D4DD9" w:rsidRPr="007F1030">
        <w:rPr>
          <w:rFonts w:ascii="Arial" w:eastAsia="Arial" w:hAnsi="Arial" w:cs="Arial"/>
          <w:lang w:eastAsia="es-ES_tradnl"/>
        </w:rPr>
        <w:t xml:space="preserve"> y dicho hecho no es motivo de controversia en el proceso.</w:t>
      </w:r>
      <w:r w:rsidR="0075022E" w:rsidRPr="007F1030">
        <w:rPr>
          <w:rFonts w:ascii="Arial" w:eastAsia="Arial" w:hAnsi="Arial" w:cs="Arial"/>
          <w:lang w:eastAsia="es-ES_tradnl"/>
        </w:rPr>
        <w:t xml:space="preserve"> </w:t>
      </w:r>
    </w:p>
    <w:p w14:paraId="61DA3ED2" w14:textId="25E679ED" w:rsidR="008E7A16" w:rsidRPr="007F1030" w:rsidRDefault="008E7A16" w:rsidP="007F1030">
      <w:pPr>
        <w:autoSpaceDE w:val="0"/>
        <w:autoSpaceDN w:val="0"/>
        <w:adjustRightInd w:val="0"/>
        <w:spacing w:line="276" w:lineRule="auto"/>
        <w:ind w:firstLine="708"/>
        <w:jc w:val="both"/>
        <w:rPr>
          <w:rFonts w:ascii="Arial" w:eastAsia="Arial" w:hAnsi="Arial" w:cs="Arial"/>
          <w:lang w:eastAsia="es-ES_tradnl"/>
        </w:rPr>
      </w:pPr>
    </w:p>
    <w:p w14:paraId="7E5EC6A2" w14:textId="4C2F0A0A" w:rsidR="00CE7976" w:rsidRPr="007F1030" w:rsidRDefault="0075022E"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En estas circunstancias</w:t>
      </w:r>
      <w:r w:rsidR="00B908EC" w:rsidRPr="007F1030">
        <w:rPr>
          <w:rFonts w:ascii="Arial" w:eastAsia="Arial" w:hAnsi="Arial" w:cs="Arial"/>
          <w:lang w:eastAsia="es-ES_tradnl"/>
        </w:rPr>
        <w:t xml:space="preserve">, </w:t>
      </w:r>
      <w:r w:rsidRPr="007F1030">
        <w:rPr>
          <w:rFonts w:ascii="Arial" w:eastAsia="Arial" w:hAnsi="Arial" w:cs="Arial"/>
          <w:lang w:eastAsia="es-ES_tradnl"/>
        </w:rPr>
        <w:t>con apego</w:t>
      </w:r>
      <w:r w:rsidR="00B908EC" w:rsidRPr="007F1030">
        <w:rPr>
          <w:rFonts w:ascii="Arial" w:eastAsia="Arial" w:hAnsi="Arial" w:cs="Arial"/>
          <w:lang w:eastAsia="es-ES_tradnl"/>
        </w:rPr>
        <w:t xml:space="preserve"> al breve recuent</w:t>
      </w:r>
      <w:r w:rsidR="00B92F0C" w:rsidRPr="007F1030">
        <w:rPr>
          <w:rFonts w:ascii="Arial" w:eastAsia="Arial" w:hAnsi="Arial" w:cs="Arial"/>
          <w:lang w:eastAsia="es-ES_tradnl"/>
        </w:rPr>
        <w:t>o</w:t>
      </w:r>
      <w:r w:rsidR="00B908EC" w:rsidRPr="007F1030">
        <w:rPr>
          <w:rFonts w:ascii="Arial" w:eastAsia="Arial" w:hAnsi="Arial" w:cs="Arial"/>
          <w:lang w:eastAsia="es-ES_tradnl"/>
        </w:rPr>
        <w:t xml:space="preserve"> normativo y jurisprudencial efectuado, </w:t>
      </w:r>
      <w:r w:rsidRPr="007F1030">
        <w:rPr>
          <w:rFonts w:ascii="Arial" w:eastAsia="Arial" w:hAnsi="Arial" w:cs="Arial"/>
          <w:lang w:eastAsia="es-ES_tradnl"/>
        </w:rPr>
        <w:t>en virtud del principio de la condición más beneficiosa</w:t>
      </w:r>
      <w:r w:rsidR="008D4DD9" w:rsidRPr="007F1030">
        <w:rPr>
          <w:rFonts w:ascii="Arial" w:eastAsia="Arial" w:hAnsi="Arial" w:cs="Arial"/>
          <w:lang w:eastAsia="es-ES_tradnl"/>
        </w:rPr>
        <w:t xml:space="preserve">, resulta viable efectuar el análisis pensional con base en las disposiciones del </w:t>
      </w:r>
      <w:r w:rsidRPr="007F1030">
        <w:rPr>
          <w:rFonts w:ascii="Arial" w:eastAsia="Arial" w:hAnsi="Arial" w:cs="Arial"/>
          <w:lang w:eastAsia="es-ES_tradnl"/>
        </w:rPr>
        <w:t>Acuerdo 049 de 1990</w:t>
      </w:r>
      <w:r w:rsidR="00007692" w:rsidRPr="007F1030">
        <w:rPr>
          <w:rFonts w:ascii="Arial" w:eastAsia="Arial" w:hAnsi="Arial" w:cs="Arial"/>
          <w:lang w:eastAsia="es-ES_tradnl"/>
        </w:rPr>
        <w:t xml:space="preserve"> y al examinar el reporte de semanas aportadas en pensiones (f</w:t>
      </w:r>
      <w:r w:rsidR="000E4A33" w:rsidRPr="007F1030">
        <w:rPr>
          <w:rFonts w:ascii="Arial" w:eastAsia="Arial" w:hAnsi="Arial" w:cs="Arial"/>
          <w:lang w:eastAsia="es-ES_tradnl"/>
        </w:rPr>
        <w:t>ol</w:t>
      </w:r>
      <w:r w:rsidR="00007692" w:rsidRPr="007F1030">
        <w:rPr>
          <w:rFonts w:ascii="Arial" w:eastAsia="Arial" w:hAnsi="Arial" w:cs="Arial"/>
          <w:lang w:eastAsia="es-ES_tradnl"/>
        </w:rPr>
        <w:t xml:space="preserve">. 25), se </w:t>
      </w:r>
      <w:r w:rsidR="008D4DD9" w:rsidRPr="007F1030">
        <w:rPr>
          <w:rFonts w:ascii="Arial" w:eastAsia="Arial" w:hAnsi="Arial" w:cs="Arial"/>
          <w:lang w:eastAsia="es-ES_tradnl"/>
        </w:rPr>
        <w:t xml:space="preserve">encuentra probado </w:t>
      </w:r>
      <w:r w:rsidR="00007692" w:rsidRPr="007F1030">
        <w:rPr>
          <w:rFonts w:ascii="Arial" w:eastAsia="Arial" w:hAnsi="Arial" w:cs="Arial"/>
          <w:lang w:eastAsia="es-ES_tradnl"/>
        </w:rPr>
        <w:t>que el actor, antes del 1º de abril de 1994, cotizó 295,85 semanas</w:t>
      </w:r>
      <w:r w:rsidR="008D4DD9" w:rsidRPr="007F1030">
        <w:rPr>
          <w:rFonts w:ascii="Arial" w:eastAsia="Arial" w:hAnsi="Arial" w:cs="Arial"/>
          <w:lang w:eastAsia="es-ES_tradnl"/>
        </w:rPr>
        <w:t xml:space="preserve">; concretamente </w:t>
      </w:r>
      <w:r w:rsidR="00007692" w:rsidRPr="007F1030">
        <w:rPr>
          <w:rFonts w:ascii="Arial" w:eastAsia="Arial" w:hAnsi="Arial" w:cs="Arial"/>
          <w:lang w:eastAsia="es-ES_tradnl"/>
        </w:rPr>
        <w:t xml:space="preserve"> 255,86 semanas entre el 1 de abril de 1988 y 1 de abril de 1994; y 227,29</w:t>
      </w:r>
      <w:r w:rsidR="00E60620" w:rsidRPr="007F1030">
        <w:rPr>
          <w:rFonts w:ascii="Arial" w:eastAsia="Arial" w:hAnsi="Arial" w:cs="Arial"/>
          <w:lang w:eastAsia="es-ES_tradnl"/>
        </w:rPr>
        <w:t xml:space="preserve"> semanas</w:t>
      </w:r>
      <w:r w:rsidR="00007692" w:rsidRPr="007F1030">
        <w:rPr>
          <w:rFonts w:ascii="Arial" w:eastAsia="Arial" w:hAnsi="Arial" w:cs="Arial"/>
          <w:lang w:eastAsia="es-ES_tradnl"/>
        </w:rPr>
        <w:t xml:space="preserve"> entre el 7 de noviembre de 1989 y el 7 de noviembre de 1995. </w:t>
      </w:r>
    </w:p>
    <w:p w14:paraId="071B6D39" w14:textId="4239DEAD" w:rsidR="00007692" w:rsidRPr="007F1030" w:rsidRDefault="00007692" w:rsidP="007F1030">
      <w:pPr>
        <w:autoSpaceDE w:val="0"/>
        <w:autoSpaceDN w:val="0"/>
        <w:adjustRightInd w:val="0"/>
        <w:spacing w:line="276" w:lineRule="auto"/>
        <w:ind w:firstLine="708"/>
        <w:jc w:val="both"/>
        <w:rPr>
          <w:rFonts w:ascii="Arial" w:eastAsia="Arial" w:hAnsi="Arial" w:cs="Arial"/>
          <w:lang w:eastAsia="es-ES_tradnl"/>
        </w:rPr>
      </w:pPr>
    </w:p>
    <w:p w14:paraId="7474EEC5" w14:textId="24AB70F8" w:rsidR="00CE7976" w:rsidRPr="007F1030" w:rsidRDefault="00E60620"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En consecuencia, aunque no se cumple </w:t>
      </w:r>
      <w:r w:rsidR="00C07939" w:rsidRPr="007F1030">
        <w:rPr>
          <w:rFonts w:ascii="Arial" w:eastAsia="Arial" w:hAnsi="Arial" w:cs="Arial"/>
          <w:lang w:eastAsia="es-ES_tradnl"/>
        </w:rPr>
        <w:t>la</w:t>
      </w:r>
      <w:r w:rsidRPr="007F1030">
        <w:rPr>
          <w:rFonts w:ascii="Arial" w:eastAsia="Arial" w:hAnsi="Arial" w:cs="Arial"/>
          <w:lang w:eastAsia="es-ES_tradnl"/>
        </w:rPr>
        <w:t xml:space="preserve"> hipótesis de las 300 semanas de cotizaciones realizadas durante toda la vida laboral, sí se satisface la segunda alternativa, toda vez que Arturo Hernández Londoño acredita más de 150 semanas de cotizaciones dentro de los 6 años anteriores a su muerte y al momento de entrar en vigencia el sistema general de pensiones</w:t>
      </w:r>
      <w:r w:rsidR="00A924CC" w:rsidRPr="007F1030">
        <w:rPr>
          <w:rFonts w:ascii="Arial" w:eastAsia="Arial" w:hAnsi="Arial" w:cs="Arial"/>
          <w:lang w:eastAsia="es-ES_tradnl"/>
        </w:rPr>
        <w:t xml:space="preserve">, tal como lo exige la normativa en análisis y la jurisprudencia de la Sala Laboral de la CSJ, razones por las cuales el fallo de primera instancia se encuentra en este punto ajustado a derecho. </w:t>
      </w:r>
    </w:p>
    <w:p w14:paraId="05B93338" w14:textId="2CEE8BDD" w:rsidR="00E60620" w:rsidRPr="007F1030" w:rsidRDefault="00E60620" w:rsidP="007F1030">
      <w:pPr>
        <w:autoSpaceDE w:val="0"/>
        <w:autoSpaceDN w:val="0"/>
        <w:adjustRightInd w:val="0"/>
        <w:spacing w:line="276" w:lineRule="auto"/>
        <w:ind w:firstLine="708"/>
        <w:jc w:val="both"/>
        <w:rPr>
          <w:rFonts w:ascii="Arial" w:eastAsia="Arial" w:hAnsi="Arial" w:cs="Arial"/>
          <w:lang w:eastAsia="es-ES_tradnl"/>
        </w:rPr>
      </w:pPr>
    </w:p>
    <w:p w14:paraId="29913AA3" w14:textId="25C3D68D" w:rsidR="00C07939" w:rsidRPr="007F1030" w:rsidRDefault="00A924CC"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Pese a lo anterior, </w:t>
      </w:r>
      <w:r w:rsidR="00C07939" w:rsidRPr="007F1030">
        <w:rPr>
          <w:rFonts w:ascii="Arial" w:eastAsia="Arial" w:hAnsi="Arial" w:cs="Arial"/>
          <w:lang w:eastAsia="es-ES_tradnl"/>
        </w:rPr>
        <w:t>conviene señalar que en la sentencia consultada, luce desacertada</w:t>
      </w:r>
      <w:r w:rsidR="00D639DF" w:rsidRPr="007F1030">
        <w:rPr>
          <w:rFonts w:ascii="Arial" w:eastAsia="Arial" w:hAnsi="Arial" w:cs="Arial"/>
          <w:lang w:eastAsia="es-ES_tradnl"/>
        </w:rPr>
        <w:t xml:space="preserve"> la</w:t>
      </w:r>
      <w:r w:rsidR="00C07939" w:rsidRPr="007F1030">
        <w:rPr>
          <w:rFonts w:ascii="Arial" w:eastAsia="Arial" w:hAnsi="Arial" w:cs="Arial"/>
          <w:lang w:eastAsia="es-ES_tradnl"/>
        </w:rPr>
        <w:t xml:space="preserve"> aplicación retroactiva y parcial que hizo </w:t>
      </w:r>
      <w:r w:rsidRPr="007F1030">
        <w:rPr>
          <w:rFonts w:ascii="Arial" w:eastAsia="Arial" w:hAnsi="Arial" w:cs="Arial"/>
          <w:lang w:eastAsia="es-ES_tradnl"/>
        </w:rPr>
        <w:t xml:space="preserve">el fallador de primer grado respecto </w:t>
      </w:r>
      <w:r w:rsidR="00C07939" w:rsidRPr="007F1030">
        <w:rPr>
          <w:rFonts w:ascii="Arial" w:eastAsia="Arial" w:hAnsi="Arial" w:cs="Arial"/>
          <w:lang w:eastAsia="es-ES_tradnl"/>
        </w:rPr>
        <w:t xml:space="preserve">de la Ley 797 de </w:t>
      </w:r>
      <w:r w:rsidR="00D639DF" w:rsidRPr="007F1030">
        <w:rPr>
          <w:rFonts w:ascii="Arial" w:eastAsia="Arial" w:hAnsi="Arial" w:cs="Arial"/>
          <w:lang w:eastAsia="es-ES_tradnl"/>
        </w:rPr>
        <w:t>2003</w:t>
      </w:r>
      <w:r w:rsidR="004C0A85" w:rsidRPr="007F1030">
        <w:rPr>
          <w:rFonts w:ascii="Arial" w:eastAsia="Arial" w:hAnsi="Arial" w:cs="Arial"/>
          <w:lang w:eastAsia="es-ES_tradnl"/>
        </w:rPr>
        <w:t>,</w:t>
      </w:r>
      <w:r w:rsidR="00C07939" w:rsidRPr="007F1030">
        <w:rPr>
          <w:rFonts w:ascii="Arial" w:eastAsia="Arial" w:hAnsi="Arial" w:cs="Arial"/>
          <w:lang w:eastAsia="es-ES_tradnl"/>
        </w:rPr>
        <w:t xml:space="preserve"> a efectos de verificar los requisitos subjetivos de la prestación</w:t>
      </w:r>
      <w:r w:rsidR="00D639DF" w:rsidRPr="007F1030">
        <w:rPr>
          <w:rFonts w:ascii="Arial" w:eastAsia="Arial" w:hAnsi="Arial" w:cs="Arial"/>
          <w:lang w:eastAsia="es-ES_tradnl"/>
        </w:rPr>
        <w:t>.</w:t>
      </w:r>
      <w:r w:rsidRPr="007F1030">
        <w:rPr>
          <w:rFonts w:ascii="Arial" w:eastAsia="Arial" w:hAnsi="Arial" w:cs="Arial"/>
          <w:lang w:eastAsia="es-ES_tradnl"/>
        </w:rPr>
        <w:t xml:space="preserve"> Lo anterior, pues </w:t>
      </w:r>
      <w:r w:rsidR="00D639DF" w:rsidRPr="007F1030">
        <w:rPr>
          <w:rFonts w:ascii="Arial" w:eastAsia="Arial" w:hAnsi="Arial" w:cs="Arial"/>
          <w:lang w:eastAsia="es-ES_tradnl"/>
        </w:rPr>
        <w:t xml:space="preserve">debe </w:t>
      </w:r>
      <w:r w:rsidRPr="007F1030">
        <w:rPr>
          <w:rFonts w:ascii="Arial" w:eastAsia="Arial" w:hAnsi="Arial" w:cs="Arial"/>
          <w:lang w:eastAsia="es-ES_tradnl"/>
        </w:rPr>
        <w:t xml:space="preserve">recordarse </w:t>
      </w:r>
      <w:r w:rsidR="00D639DF" w:rsidRPr="007F1030">
        <w:rPr>
          <w:rFonts w:ascii="Arial" w:eastAsia="Arial" w:hAnsi="Arial" w:cs="Arial"/>
          <w:lang w:eastAsia="es-ES_tradnl"/>
        </w:rPr>
        <w:t xml:space="preserve">que la situación jurídica quedó </w:t>
      </w:r>
      <w:r w:rsidR="00D639DF" w:rsidRPr="007F1030">
        <w:rPr>
          <w:rFonts w:ascii="Arial" w:eastAsia="Arial" w:hAnsi="Arial" w:cs="Arial"/>
          <w:lang w:eastAsia="es-ES_tradnl"/>
        </w:rPr>
        <w:lastRenderedPageBreak/>
        <w:t xml:space="preserve">consolidada al amparo de la Ley 100 de 1993 en su redacción inicial, que el principio de </w:t>
      </w:r>
      <w:proofErr w:type="spellStart"/>
      <w:r w:rsidR="00D639DF" w:rsidRPr="007F1030">
        <w:rPr>
          <w:rFonts w:ascii="Arial" w:eastAsia="Arial" w:hAnsi="Arial" w:cs="Arial"/>
          <w:lang w:eastAsia="es-ES_tradnl"/>
        </w:rPr>
        <w:t>inescindibilidad</w:t>
      </w:r>
      <w:proofErr w:type="spellEnd"/>
      <w:r w:rsidR="00D639DF" w:rsidRPr="007F1030">
        <w:rPr>
          <w:rFonts w:ascii="Arial" w:eastAsia="Arial" w:hAnsi="Arial" w:cs="Arial"/>
          <w:lang w:eastAsia="es-ES_tradnl"/>
        </w:rPr>
        <w:t xml:space="preserve"> de la norma obliga a su aplicación </w:t>
      </w:r>
      <w:r w:rsidRPr="007F1030">
        <w:rPr>
          <w:rFonts w:ascii="Arial" w:eastAsia="Arial" w:hAnsi="Arial" w:cs="Arial"/>
          <w:lang w:eastAsia="es-ES_tradnl"/>
        </w:rPr>
        <w:t>origina</w:t>
      </w:r>
      <w:r w:rsidR="00D639DF" w:rsidRPr="007F1030">
        <w:rPr>
          <w:rFonts w:ascii="Arial" w:eastAsia="Arial" w:hAnsi="Arial" w:cs="Arial"/>
          <w:lang w:eastAsia="es-ES_tradnl"/>
        </w:rPr>
        <w:t>l y que el principio</w:t>
      </w:r>
      <w:r w:rsidR="004C0A85" w:rsidRPr="007F1030">
        <w:rPr>
          <w:rFonts w:ascii="Arial" w:eastAsia="Arial" w:hAnsi="Arial" w:cs="Arial"/>
          <w:lang w:eastAsia="es-ES_tradnl"/>
        </w:rPr>
        <w:t xml:space="preserve"> de</w:t>
      </w:r>
      <w:r w:rsidR="00D639DF" w:rsidRPr="007F1030">
        <w:rPr>
          <w:rFonts w:ascii="Arial" w:eastAsia="Arial" w:hAnsi="Arial" w:cs="Arial"/>
          <w:lang w:eastAsia="es-ES_tradnl"/>
        </w:rPr>
        <w:t xml:space="preserve"> irretroactividad de la ley imposibilita la modificación de beneficios consumados bajo la una </w:t>
      </w:r>
      <w:r w:rsidR="004C0A85" w:rsidRPr="007F1030">
        <w:rPr>
          <w:rFonts w:ascii="Arial" w:eastAsia="Arial" w:hAnsi="Arial" w:cs="Arial"/>
          <w:lang w:eastAsia="es-ES_tradnl"/>
        </w:rPr>
        <w:t>norma</w:t>
      </w:r>
      <w:r w:rsidR="00D639DF" w:rsidRPr="007F1030">
        <w:rPr>
          <w:rFonts w:ascii="Arial" w:eastAsia="Arial" w:hAnsi="Arial" w:cs="Arial"/>
          <w:lang w:eastAsia="es-ES_tradnl"/>
        </w:rPr>
        <w:t xml:space="preserve"> anterior</w:t>
      </w:r>
      <w:r w:rsidRPr="007F1030">
        <w:rPr>
          <w:rFonts w:ascii="Arial" w:eastAsia="Arial" w:hAnsi="Arial" w:cs="Arial"/>
          <w:lang w:eastAsia="es-ES_tradnl"/>
        </w:rPr>
        <w:t>; lo que imponía que dichos requisitos subjetivos fuer</w:t>
      </w:r>
      <w:r w:rsidR="001B48FF" w:rsidRPr="007F1030">
        <w:rPr>
          <w:rFonts w:ascii="Arial" w:eastAsia="Arial" w:hAnsi="Arial" w:cs="Arial"/>
          <w:lang w:eastAsia="es-ES_tradnl"/>
        </w:rPr>
        <w:t>a</w:t>
      </w:r>
      <w:r w:rsidRPr="007F1030">
        <w:rPr>
          <w:rFonts w:ascii="Arial" w:eastAsia="Arial" w:hAnsi="Arial" w:cs="Arial"/>
          <w:lang w:eastAsia="es-ES_tradnl"/>
        </w:rPr>
        <w:t>n igualmente estudiados a la luz del artículo 47 original de la ley 100 de 1993</w:t>
      </w:r>
      <w:r w:rsidR="001B48FF" w:rsidRPr="007F1030">
        <w:rPr>
          <w:rFonts w:ascii="Arial" w:eastAsia="Arial" w:hAnsi="Arial" w:cs="Arial"/>
          <w:lang w:eastAsia="es-ES_tradnl"/>
        </w:rPr>
        <w:t>.</w:t>
      </w:r>
    </w:p>
    <w:p w14:paraId="36777875" w14:textId="00E7AA54" w:rsidR="00C07939" w:rsidRPr="007F1030" w:rsidRDefault="00C07939" w:rsidP="007F1030">
      <w:pPr>
        <w:autoSpaceDE w:val="0"/>
        <w:autoSpaceDN w:val="0"/>
        <w:adjustRightInd w:val="0"/>
        <w:spacing w:line="276" w:lineRule="auto"/>
        <w:ind w:firstLine="708"/>
        <w:jc w:val="both"/>
        <w:rPr>
          <w:rFonts w:ascii="Arial" w:eastAsia="Arial" w:hAnsi="Arial" w:cs="Arial"/>
          <w:lang w:eastAsia="es-ES_tradnl"/>
        </w:rPr>
      </w:pPr>
    </w:p>
    <w:p w14:paraId="0628D9A2" w14:textId="26A7E3BC" w:rsidR="002A40DA" w:rsidRPr="007F1030" w:rsidRDefault="001B48FF"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Dilucidado lo anterior, se</w:t>
      </w:r>
      <w:r w:rsidR="00D639DF" w:rsidRPr="007F1030">
        <w:rPr>
          <w:rFonts w:ascii="Arial" w:eastAsia="Arial" w:hAnsi="Arial" w:cs="Arial"/>
          <w:lang w:eastAsia="es-ES_tradnl"/>
        </w:rPr>
        <w:t xml:space="preserve"> acude al artículo 47 de la Ley de 100 de 1993</w:t>
      </w:r>
      <w:r w:rsidR="00710EE8" w:rsidRPr="007F1030">
        <w:rPr>
          <w:rFonts w:ascii="Arial" w:eastAsia="Arial" w:hAnsi="Arial" w:cs="Arial"/>
          <w:lang w:eastAsia="es-ES_tradnl"/>
        </w:rPr>
        <w:t>,</w:t>
      </w:r>
      <w:r w:rsidR="00D639DF" w:rsidRPr="007F1030">
        <w:rPr>
          <w:rFonts w:ascii="Arial" w:eastAsia="Arial" w:hAnsi="Arial" w:cs="Arial"/>
          <w:lang w:eastAsia="es-ES_tradnl"/>
        </w:rPr>
        <w:t xml:space="preserve"> antes de ser modificad</w:t>
      </w:r>
      <w:r w:rsidR="00710EE8" w:rsidRPr="007F1030">
        <w:rPr>
          <w:rFonts w:ascii="Arial" w:eastAsia="Arial" w:hAnsi="Arial" w:cs="Arial"/>
          <w:lang w:eastAsia="es-ES_tradnl"/>
        </w:rPr>
        <w:t xml:space="preserve">o, y estando probado con el registro civil de folio 22 que </w:t>
      </w:r>
      <w:proofErr w:type="spellStart"/>
      <w:r w:rsidR="00710EE8" w:rsidRPr="007F1030">
        <w:rPr>
          <w:rFonts w:ascii="Arial" w:eastAsia="Arial" w:hAnsi="Arial" w:cs="Arial"/>
          <w:lang w:eastAsia="es-ES_tradnl"/>
        </w:rPr>
        <w:t>Mallerly</w:t>
      </w:r>
      <w:proofErr w:type="spellEnd"/>
      <w:r w:rsidR="00710EE8" w:rsidRPr="007F1030">
        <w:rPr>
          <w:rFonts w:ascii="Arial" w:eastAsia="Arial" w:hAnsi="Arial" w:cs="Arial"/>
          <w:lang w:eastAsia="es-ES_tradnl"/>
        </w:rPr>
        <w:t xml:space="preserve"> Hernández Velásquez es hija del afiliado y contaba con 5 años de edad al momento</w:t>
      </w:r>
      <w:r w:rsidR="00BE19B4" w:rsidRPr="007F1030">
        <w:rPr>
          <w:rFonts w:ascii="Arial" w:eastAsia="Arial" w:hAnsi="Arial" w:cs="Arial"/>
          <w:lang w:eastAsia="es-ES_tradnl"/>
        </w:rPr>
        <w:t xml:space="preserve"> de </w:t>
      </w:r>
      <w:r w:rsidRPr="007F1030">
        <w:rPr>
          <w:rFonts w:ascii="Arial" w:eastAsia="Arial" w:hAnsi="Arial" w:cs="Arial"/>
          <w:lang w:eastAsia="es-ES_tradnl"/>
        </w:rPr>
        <w:t>éste</w:t>
      </w:r>
      <w:r w:rsidR="00710EE8" w:rsidRPr="007F1030">
        <w:rPr>
          <w:rFonts w:ascii="Arial" w:eastAsia="Arial" w:hAnsi="Arial" w:cs="Arial"/>
          <w:lang w:eastAsia="es-ES_tradnl"/>
        </w:rPr>
        <w:t xml:space="preserve"> fallec</w:t>
      </w:r>
      <w:r w:rsidR="00BE19B4" w:rsidRPr="007F1030">
        <w:rPr>
          <w:rFonts w:ascii="Arial" w:eastAsia="Arial" w:hAnsi="Arial" w:cs="Arial"/>
          <w:lang w:eastAsia="es-ES_tradnl"/>
        </w:rPr>
        <w:t>er</w:t>
      </w:r>
      <w:r w:rsidR="00710EE8" w:rsidRPr="007F1030">
        <w:rPr>
          <w:rFonts w:ascii="Arial" w:eastAsia="Arial" w:hAnsi="Arial" w:cs="Arial"/>
          <w:lang w:eastAsia="es-ES_tradnl"/>
        </w:rPr>
        <w:t xml:space="preserve">, se encuentra </w:t>
      </w:r>
      <w:r w:rsidRPr="007F1030">
        <w:rPr>
          <w:rFonts w:ascii="Arial" w:eastAsia="Arial" w:hAnsi="Arial" w:cs="Arial"/>
          <w:lang w:eastAsia="es-ES_tradnl"/>
        </w:rPr>
        <w:t xml:space="preserve">acertado </w:t>
      </w:r>
      <w:r w:rsidR="00710EE8" w:rsidRPr="007F1030">
        <w:rPr>
          <w:rFonts w:ascii="Arial" w:eastAsia="Arial" w:hAnsi="Arial" w:cs="Arial"/>
          <w:lang w:eastAsia="es-ES_tradnl"/>
        </w:rPr>
        <w:t>que la sentenciadora de primer grado hubiere concluido que ella tenía derecho a la prestació</w:t>
      </w:r>
      <w:r w:rsidRPr="007F1030">
        <w:rPr>
          <w:rFonts w:ascii="Arial" w:eastAsia="Arial" w:hAnsi="Arial" w:cs="Arial"/>
          <w:lang w:eastAsia="es-ES_tradnl"/>
        </w:rPr>
        <w:t xml:space="preserve">n; sin embargo, </w:t>
      </w:r>
      <w:r w:rsidR="00710EE8" w:rsidRPr="007F1030">
        <w:rPr>
          <w:rFonts w:ascii="Arial" w:eastAsia="Arial" w:hAnsi="Arial" w:cs="Arial"/>
          <w:lang w:eastAsia="es-ES_tradnl"/>
        </w:rPr>
        <w:t xml:space="preserve">como no acreditó la calidad de estudiante con posterioridad al cumplimiento de la mayoría de edad, el 03 de julio de 2008, en ese </w:t>
      </w:r>
      <w:r w:rsidR="00BE19B4" w:rsidRPr="007F1030">
        <w:rPr>
          <w:rFonts w:ascii="Arial" w:eastAsia="Arial" w:hAnsi="Arial" w:cs="Arial"/>
          <w:lang w:eastAsia="es-ES_tradnl"/>
        </w:rPr>
        <w:t>instante</w:t>
      </w:r>
      <w:r w:rsidR="00710EE8" w:rsidRPr="007F1030">
        <w:rPr>
          <w:rFonts w:ascii="Arial" w:eastAsia="Arial" w:hAnsi="Arial" w:cs="Arial"/>
          <w:lang w:eastAsia="es-ES_tradnl"/>
        </w:rPr>
        <w:t xml:space="preserve"> cesó el </w:t>
      </w:r>
      <w:r w:rsidR="00BE19B4" w:rsidRPr="007F1030">
        <w:rPr>
          <w:rFonts w:ascii="Arial" w:eastAsia="Arial" w:hAnsi="Arial" w:cs="Arial"/>
          <w:lang w:eastAsia="es-ES_tradnl"/>
        </w:rPr>
        <w:t>beneficio</w:t>
      </w:r>
      <w:r w:rsidR="002A40DA" w:rsidRPr="007F1030">
        <w:rPr>
          <w:rFonts w:ascii="Arial" w:eastAsia="Arial" w:hAnsi="Arial" w:cs="Arial"/>
          <w:lang w:eastAsia="es-ES_tradnl"/>
        </w:rPr>
        <w:t xml:space="preserve"> a su favor</w:t>
      </w:r>
      <w:r w:rsidR="00710EE8" w:rsidRPr="007F1030">
        <w:rPr>
          <w:rFonts w:ascii="Arial" w:eastAsia="Arial" w:hAnsi="Arial" w:cs="Arial"/>
          <w:lang w:eastAsia="es-ES_tradnl"/>
        </w:rPr>
        <w:t xml:space="preserve"> y </w:t>
      </w:r>
      <w:r w:rsidR="002A40DA" w:rsidRPr="007F1030">
        <w:rPr>
          <w:rFonts w:ascii="Arial" w:eastAsia="Arial" w:hAnsi="Arial" w:cs="Arial"/>
          <w:lang w:eastAsia="es-ES_tradnl"/>
        </w:rPr>
        <w:t xml:space="preserve">de manera concomitante, inició a correr el término prescriptivo que hasta ese entonces había estado suspendido en salvaguarda de sus derechos como menor de edad; de modo que, habiéndose completado el </w:t>
      </w:r>
      <w:r w:rsidR="00BE19B4" w:rsidRPr="007F1030">
        <w:rPr>
          <w:rFonts w:ascii="Arial" w:eastAsia="Arial" w:hAnsi="Arial" w:cs="Arial"/>
          <w:lang w:eastAsia="es-ES_tradnl"/>
        </w:rPr>
        <w:t>lapso</w:t>
      </w:r>
      <w:r w:rsidR="002A40DA" w:rsidRPr="007F1030">
        <w:rPr>
          <w:rFonts w:ascii="Arial" w:eastAsia="Arial" w:hAnsi="Arial" w:cs="Arial"/>
          <w:lang w:eastAsia="es-ES_tradnl"/>
        </w:rPr>
        <w:t xml:space="preserve"> trienal el </w:t>
      </w:r>
      <w:r w:rsidR="004C0A85" w:rsidRPr="007F1030">
        <w:rPr>
          <w:rFonts w:ascii="Arial" w:eastAsia="Arial" w:hAnsi="Arial" w:cs="Arial"/>
          <w:lang w:eastAsia="es-ES_tradnl"/>
        </w:rPr>
        <w:t>0</w:t>
      </w:r>
      <w:r w:rsidR="002A40DA" w:rsidRPr="007F1030">
        <w:rPr>
          <w:rFonts w:ascii="Arial" w:eastAsia="Arial" w:hAnsi="Arial" w:cs="Arial"/>
          <w:lang w:eastAsia="es-ES_tradnl"/>
        </w:rPr>
        <w:t>3 de julio de 2011</w:t>
      </w:r>
      <w:r w:rsidR="00BE19B4" w:rsidRPr="007F1030">
        <w:rPr>
          <w:rFonts w:ascii="Arial" w:eastAsia="Arial" w:hAnsi="Arial" w:cs="Arial"/>
          <w:lang w:eastAsia="es-ES_tradnl"/>
        </w:rPr>
        <w:t>,</w:t>
      </w:r>
      <w:r w:rsidR="002A40DA" w:rsidRPr="007F1030">
        <w:rPr>
          <w:rFonts w:ascii="Arial" w:eastAsia="Arial" w:hAnsi="Arial" w:cs="Arial"/>
          <w:lang w:eastAsia="es-ES_tradnl"/>
        </w:rPr>
        <w:t xml:space="preserve"> sin que la interesada hiciere alguna reclamación</w:t>
      </w:r>
      <w:r w:rsidR="004C0A85" w:rsidRPr="007F1030">
        <w:rPr>
          <w:rFonts w:ascii="Arial" w:eastAsia="Arial" w:hAnsi="Arial" w:cs="Arial"/>
          <w:lang w:eastAsia="es-ES_tradnl"/>
        </w:rPr>
        <w:t xml:space="preserve"> que interrumpiera la prescripción</w:t>
      </w:r>
      <w:r w:rsidR="002A40DA" w:rsidRPr="007F1030">
        <w:rPr>
          <w:rFonts w:ascii="Arial" w:eastAsia="Arial" w:hAnsi="Arial" w:cs="Arial"/>
          <w:lang w:eastAsia="es-ES_tradnl"/>
        </w:rPr>
        <w:t xml:space="preserve">, </w:t>
      </w:r>
      <w:r w:rsidR="00BE19B4" w:rsidRPr="007F1030">
        <w:rPr>
          <w:rFonts w:ascii="Arial" w:eastAsia="Arial" w:hAnsi="Arial" w:cs="Arial"/>
          <w:lang w:eastAsia="es-ES_tradnl"/>
        </w:rPr>
        <w:t>l</w:t>
      </w:r>
      <w:r w:rsidR="00A74D55" w:rsidRPr="007F1030">
        <w:rPr>
          <w:rFonts w:ascii="Arial" w:eastAsia="Arial" w:hAnsi="Arial" w:cs="Arial"/>
          <w:lang w:eastAsia="es-ES_tradnl"/>
        </w:rPr>
        <w:t>a</w:t>
      </w:r>
      <w:r w:rsidR="00BE19B4" w:rsidRPr="007F1030">
        <w:rPr>
          <w:rFonts w:ascii="Arial" w:eastAsia="Arial" w:hAnsi="Arial" w:cs="Arial"/>
          <w:lang w:eastAsia="es-ES_tradnl"/>
        </w:rPr>
        <w:t xml:space="preserve"> posibilidad de exigir </w:t>
      </w:r>
      <w:r w:rsidR="00A74D55" w:rsidRPr="007F1030">
        <w:rPr>
          <w:rFonts w:ascii="Arial" w:eastAsia="Arial" w:hAnsi="Arial" w:cs="Arial"/>
          <w:lang w:eastAsia="es-ES_tradnl"/>
        </w:rPr>
        <w:t>el</w:t>
      </w:r>
      <w:r w:rsidR="00BE19B4" w:rsidRPr="007F1030">
        <w:rPr>
          <w:rFonts w:ascii="Arial" w:eastAsia="Arial" w:hAnsi="Arial" w:cs="Arial"/>
          <w:lang w:eastAsia="es-ES_tradnl"/>
        </w:rPr>
        <w:t xml:space="preserve"> pago </w:t>
      </w:r>
      <w:r w:rsidR="00A74D55" w:rsidRPr="007F1030">
        <w:rPr>
          <w:rFonts w:ascii="Arial" w:eastAsia="Arial" w:hAnsi="Arial" w:cs="Arial"/>
          <w:lang w:eastAsia="es-ES_tradnl"/>
        </w:rPr>
        <w:t xml:space="preserve">de </w:t>
      </w:r>
      <w:r w:rsidR="009408C9" w:rsidRPr="007F1030">
        <w:rPr>
          <w:rFonts w:ascii="Arial" w:eastAsia="Arial" w:hAnsi="Arial" w:cs="Arial"/>
          <w:lang w:eastAsia="es-ES_tradnl"/>
        </w:rPr>
        <w:t>alguna de las</w:t>
      </w:r>
      <w:r w:rsidR="00A74D55" w:rsidRPr="007F1030">
        <w:rPr>
          <w:rFonts w:ascii="Arial" w:eastAsia="Arial" w:hAnsi="Arial" w:cs="Arial"/>
          <w:lang w:eastAsia="es-ES_tradnl"/>
        </w:rPr>
        <w:t xml:space="preserve"> mesadas</w:t>
      </w:r>
      <w:r w:rsidR="007E410E" w:rsidRPr="007F1030">
        <w:rPr>
          <w:rFonts w:ascii="Arial" w:eastAsia="Arial" w:hAnsi="Arial" w:cs="Arial"/>
          <w:lang w:eastAsia="es-ES_tradnl"/>
        </w:rPr>
        <w:t xml:space="preserve"> causadas</w:t>
      </w:r>
      <w:r w:rsidR="009408C9" w:rsidRPr="007F1030">
        <w:rPr>
          <w:rFonts w:ascii="Arial" w:eastAsia="Arial" w:hAnsi="Arial" w:cs="Arial"/>
          <w:lang w:eastAsia="es-ES_tradnl"/>
        </w:rPr>
        <w:t>,</w:t>
      </w:r>
      <w:r w:rsidR="00A74D55" w:rsidRPr="007F1030">
        <w:rPr>
          <w:rFonts w:ascii="Arial" w:eastAsia="Arial" w:hAnsi="Arial" w:cs="Arial"/>
          <w:lang w:eastAsia="es-ES_tradnl"/>
        </w:rPr>
        <w:t xml:space="preserve"> </w:t>
      </w:r>
      <w:r w:rsidR="00BE19B4" w:rsidRPr="007F1030">
        <w:rPr>
          <w:rFonts w:ascii="Arial" w:eastAsia="Arial" w:hAnsi="Arial" w:cs="Arial"/>
          <w:lang w:eastAsia="es-ES_tradnl"/>
        </w:rPr>
        <w:t>quedó extinta</w:t>
      </w:r>
      <w:r w:rsidR="00A74D55" w:rsidRPr="007F1030">
        <w:rPr>
          <w:rFonts w:ascii="Arial" w:eastAsia="Arial" w:hAnsi="Arial" w:cs="Arial"/>
          <w:lang w:eastAsia="es-ES_tradnl"/>
        </w:rPr>
        <w:t xml:space="preserve"> completamente. </w:t>
      </w:r>
    </w:p>
    <w:p w14:paraId="207FF9EB" w14:textId="68A36923" w:rsidR="007E410E" w:rsidRPr="007F1030" w:rsidRDefault="007E410E" w:rsidP="007F1030">
      <w:pPr>
        <w:autoSpaceDE w:val="0"/>
        <w:autoSpaceDN w:val="0"/>
        <w:adjustRightInd w:val="0"/>
        <w:spacing w:line="276" w:lineRule="auto"/>
        <w:ind w:firstLine="708"/>
        <w:jc w:val="both"/>
        <w:rPr>
          <w:rFonts w:ascii="Arial" w:eastAsia="Arial" w:hAnsi="Arial" w:cs="Arial"/>
          <w:lang w:eastAsia="es-ES_tradnl"/>
        </w:rPr>
      </w:pPr>
    </w:p>
    <w:p w14:paraId="60054977" w14:textId="1007AED7" w:rsidR="007E410E" w:rsidRPr="007F1030" w:rsidRDefault="001B48FF"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En cuanto a la convivencia de la demandante con el causante, </w:t>
      </w:r>
      <w:r w:rsidR="007E410E" w:rsidRPr="007F1030">
        <w:rPr>
          <w:rFonts w:ascii="Arial" w:eastAsia="Arial" w:hAnsi="Arial" w:cs="Arial"/>
          <w:lang w:eastAsia="es-ES_tradnl"/>
        </w:rPr>
        <w:t>se tiene que para acreditar la calidad de compañera permanente y el requisito mínimo de los dos años de convivencia con anterioridad a</w:t>
      </w:r>
      <w:r w:rsidRPr="007F1030">
        <w:rPr>
          <w:rFonts w:ascii="Arial" w:eastAsia="Arial" w:hAnsi="Arial" w:cs="Arial"/>
          <w:lang w:eastAsia="es-ES_tradnl"/>
        </w:rPr>
        <w:t xml:space="preserve">l deceso </w:t>
      </w:r>
      <w:r w:rsidR="007E410E" w:rsidRPr="007F1030">
        <w:rPr>
          <w:rFonts w:ascii="Arial" w:eastAsia="Arial" w:hAnsi="Arial" w:cs="Arial"/>
          <w:lang w:eastAsia="es-ES_tradnl"/>
        </w:rPr>
        <w:t xml:space="preserve">del señor Hernández Londoño, la actora </w:t>
      </w:r>
      <w:r w:rsidRPr="007F1030">
        <w:rPr>
          <w:rFonts w:ascii="Arial" w:eastAsia="Arial" w:hAnsi="Arial" w:cs="Arial"/>
          <w:lang w:eastAsia="es-ES_tradnl"/>
        </w:rPr>
        <w:t xml:space="preserve">arrimó al proceso </w:t>
      </w:r>
      <w:r w:rsidR="007E410E" w:rsidRPr="007F1030">
        <w:rPr>
          <w:rFonts w:ascii="Arial" w:eastAsia="Arial" w:hAnsi="Arial" w:cs="Arial"/>
          <w:lang w:eastAsia="es-ES_tradnl"/>
        </w:rPr>
        <w:t xml:space="preserve">las declaraciones de </w:t>
      </w:r>
      <w:proofErr w:type="spellStart"/>
      <w:r w:rsidR="007E410E" w:rsidRPr="007F1030">
        <w:rPr>
          <w:rFonts w:ascii="Arial" w:eastAsia="Arial" w:hAnsi="Arial" w:cs="Arial"/>
          <w:lang w:eastAsia="es-ES_tradnl"/>
        </w:rPr>
        <w:t>Derian</w:t>
      </w:r>
      <w:proofErr w:type="spellEnd"/>
      <w:r w:rsidR="007E410E" w:rsidRPr="007F1030">
        <w:rPr>
          <w:rFonts w:ascii="Arial" w:eastAsia="Arial" w:hAnsi="Arial" w:cs="Arial"/>
          <w:lang w:eastAsia="es-ES_tradnl"/>
        </w:rPr>
        <w:t xml:space="preserve"> de Jesús </w:t>
      </w:r>
      <w:proofErr w:type="spellStart"/>
      <w:r w:rsidR="007E410E" w:rsidRPr="007F1030">
        <w:rPr>
          <w:rFonts w:ascii="Arial" w:eastAsia="Arial" w:hAnsi="Arial" w:cs="Arial"/>
          <w:lang w:eastAsia="es-ES_tradnl"/>
        </w:rPr>
        <w:t>Pulgarín</w:t>
      </w:r>
      <w:proofErr w:type="spellEnd"/>
      <w:r w:rsidR="007E410E" w:rsidRPr="007F1030">
        <w:rPr>
          <w:rFonts w:ascii="Arial" w:eastAsia="Arial" w:hAnsi="Arial" w:cs="Arial"/>
          <w:lang w:eastAsia="es-ES_tradnl"/>
        </w:rPr>
        <w:t xml:space="preserve"> </w:t>
      </w:r>
      <w:r w:rsidR="001E5493" w:rsidRPr="007F1030">
        <w:rPr>
          <w:rFonts w:ascii="Arial" w:eastAsia="Arial" w:hAnsi="Arial" w:cs="Arial"/>
          <w:lang w:eastAsia="es-ES_tradnl"/>
        </w:rPr>
        <w:t xml:space="preserve">Betancur, </w:t>
      </w:r>
      <w:proofErr w:type="spellStart"/>
      <w:r w:rsidR="000646A3" w:rsidRPr="007F1030">
        <w:rPr>
          <w:rFonts w:ascii="Arial" w:eastAsia="Arial" w:hAnsi="Arial" w:cs="Arial"/>
          <w:lang w:eastAsia="es-ES_tradnl"/>
        </w:rPr>
        <w:t>Virgelina</w:t>
      </w:r>
      <w:proofErr w:type="spellEnd"/>
      <w:r w:rsidR="000646A3" w:rsidRPr="007F1030">
        <w:rPr>
          <w:rFonts w:ascii="Arial" w:eastAsia="Arial" w:hAnsi="Arial" w:cs="Arial"/>
          <w:lang w:eastAsia="es-ES_tradnl"/>
        </w:rPr>
        <w:t xml:space="preserve"> Velásquez Bedoya y </w:t>
      </w:r>
      <w:r w:rsidR="001E5493" w:rsidRPr="007F1030">
        <w:rPr>
          <w:rFonts w:ascii="Arial" w:eastAsia="Arial" w:hAnsi="Arial" w:cs="Arial"/>
          <w:lang w:eastAsia="es-ES_tradnl"/>
        </w:rPr>
        <w:t>Alba Denis</w:t>
      </w:r>
      <w:r w:rsidR="0041437D" w:rsidRPr="007F1030">
        <w:rPr>
          <w:rFonts w:ascii="Arial" w:eastAsia="Arial" w:hAnsi="Arial" w:cs="Arial"/>
          <w:lang w:eastAsia="es-ES_tradnl"/>
        </w:rPr>
        <w:t xml:space="preserve"> Velásquez Bedoya. </w:t>
      </w:r>
    </w:p>
    <w:p w14:paraId="53541CC0" w14:textId="07BD7239" w:rsidR="00E65190" w:rsidRPr="007F1030" w:rsidRDefault="00E65190" w:rsidP="007F1030">
      <w:pPr>
        <w:autoSpaceDE w:val="0"/>
        <w:autoSpaceDN w:val="0"/>
        <w:adjustRightInd w:val="0"/>
        <w:spacing w:line="276" w:lineRule="auto"/>
        <w:ind w:firstLine="708"/>
        <w:jc w:val="both"/>
        <w:rPr>
          <w:rFonts w:ascii="Arial" w:eastAsia="Arial" w:hAnsi="Arial" w:cs="Arial"/>
          <w:lang w:eastAsia="es-ES_tradnl"/>
        </w:rPr>
      </w:pPr>
    </w:p>
    <w:p w14:paraId="44E27131" w14:textId="6C81CB8C" w:rsidR="00696ABA" w:rsidRPr="007F1030" w:rsidRDefault="001B48FF"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En el análisis de dichos testimonios se encuentra respecto de la señora </w:t>
      </w:r>
      <w:r w:rsidR="00FE66EC" w:rsidRPr="007F1030">
        <w:rPr>
          <w:rFonts w:ascii="Arial" w:eastAsia="Arial" w:hAnsi="Arial" w:cs="Arial"/>
          <w:lang w:eastAsia="es-ES_tradnl"/>
        </w:rPr>
        <w:t xml:space="preserve">Alba Denis Velásquez </w:t>
      </w:r>
      <w:r w:rsidRPr="007F1030">
        <w:rPr>
          <w:rFonts w:ascii="Arial" w:eastAsia="Arial" w:hAnsi="Arial" w:cs="Arial"/>
          <w:lang w:eastAsia="es-ES_tradnl"/>
        </w:rPr>
        <w:t xml:space="preserve">que dicha testigo no atinó a ilustrar de forma nítida y convincente respecto de la convivencia de la demandante con el de </w:t>
      </w:r>
      <w:proofErr w:type="spellStart"/>
      <w:r w:rsidRPr="007F1030">
        <w:rPr>
          <w:rFonts w:ascii="Arial" w:eastAsia="Arial" w:hAnsi="Arial" w:cs="Arial"/>
          <w:lang w:eastAsia="es-ES_tradnl"/>
        </w:rPr>
        <w:t>cujus</w:t>
      </w:r>
      <w:proofErr w:type="spellEnd"/>
      <w:r w:rsidRPr="007F1030">
        <w:rPr>
          <w:rFonts w:ascii="Arial" w:eastAsia="Arial" w:hAnsi="Arial" w:cs="Arial"/>
          <w:lang w:eastAsia="es-ES_tradnl"/>
        </w:rPr>
        <w:t xml:space="preserve"> y menos respecto del tiempo en que aquella </w:t>
      </w:r>
      <w:r w:rsidR="00D73D5E" w:rsidRPr="007F1030">
        <w:rPr>
          <w:rFonts w:ascii="Arial" w:eastAsia="Arial" w:hAnsi="Arial" w:cs="Arial"/>
          <w:lang w:eastAsia="es-ES_tradnl"/>
        </w:rPr>
        <w:t>existió</w:t>
      </w:r>
      <w:r w:rsidRPr="007F1030">
        <w:rPr>
          <w:rFonts w:ascii="Arial" w:eastAsia="Arial" w:hAnsi="Arial" w:cs="Arial"/>
          <w:lang w:eastAsia="es-ES_tradnl"/>
        </w:rPr>
        <w:t xml:space="preserve">. La declarante </w:t>
      </w:r>
      <w:r w:rsidR="00FE66EC" w:rsidRPr="007F1030">
        <w:rPr>
          <w:rFonts w:ascii="Arial" w:eastAsia="Arial" w:hAnsi="Arial" w:cs="Arial"/>
          <w:lang w:eastAsia="es-ES_tradnl"/>
        </w:rPr>
        <w:t xml:space="preserve">mostró estar desorientada en el tiempo y no comprender lo que se le preguntaba, </w:t>
      </w:r>
      <w:r w:rsidRPr="007F1030">
        <w:rPr>
          <w:rFonts w:ascii="Arial" w:eastAsia="Arial" w:hAnsi="Arial" w:cs="Arial"/>
          <w:lang w:eastAsia="es-ES_tradnl"/>
        </w:rPr>
        <w:t xml:space="preserve">por lo que, </w:t>
      </w:r>
      <w:r w:rsidR="00FE66EC" w:rsidRPr="007F1030">
        <w:rPr>
          <w:rFonts w:ascii="Arial" w:eastAsia="Arial" w:hAnsi="Arial" w:cs="Arial"/>
          <w:lang w:eastAsia="es-ES_tradnl"/>
        </w:rPr>
        <w:t xml:space="preserve">a criterio de </w:t>
      </w:r>
      <w:r w:rsidRPr="007F1030">
        <w:rPr>
          <w:rFonts w:ascii="Arial" w:eastAsia="Arial" w:hAnsi="Arial" w:cs="Arial"/>
          <w:lang w:eastAsia="es-ES_tradnl"/>
        </w:rPr>
        <w:t>la Sala</w:t>
      </w:r>
      <w:r w:rsidR="00FE66EC" w:rsidRPr="007F1030">
        <w:rPr>
          <w:rFonts w:ascii="Arial" w:eastAsia="Arial" w:hAnsi="Arial" w:cs="Arial"/>
          <w:lang w:eastAsia="es-ES_tradnl"/>
        </w:rPr>
        <w:t xml:space="preserve">, su declaración </w:t>
      </w:r>
      <w:r w:rsidR="00696ABA" w:rsidRPr="007F1030">
        <w:rPr>
          <w:rFonts w:ascii="Arial" w:eastAsia="Arial" w:hAnsi="Arial" w:cs="Arial"/>
          <w:lang w:eastAsia="es-ES_tradnl"/>
        </w:rPr>
        <w:t xml:space="preserve">no </w:t>
      </w:r>
      <w:r w:rsidR="00FE66EC" w:rsidRPr="007F1030">
        <w:rPr>
          <w:rFonts w:ascii="Arial" w:eastAsia="Arial" w:hAnsi="Arial" w:cs="Arial"/>
          <w:lang w:eastAsia="es-ES_tradnl"/>
        </w:rPr>
        <w:t>merece credibilidad</w:t>
      </w:r>
      <w:r w:rsidR="00696ABA" w:rsidRPr="007F1030">
        <w:rPr>
          <w:rFonts w:ascii="Arial" w:eastAsia="Arial" w:hAnsi="Arial" w:cs="Arial"/>
          <w:lang w:eastAsia="es-ES_tradnl"/>
        </w:rPr>
        <w:t>, bastando señalar, para ejemplificar lo anterior, que primero afirmó conocer al causante hace 10</w:t>
      </w:r>
      <w:r w:rsidRPr="007F1030">
        <w:rPr>
          <w:rFonts w:ascii="Arial" w:eastAsia="Arial" w:hAnsi="Arial" w:cs="Arial"/>
          <w:lang w:eastAsia="es-ES_tradnl"/>
        </w:rPr>
        <w:t xml:space="preserve"> años</w:t>
      </w:r>
      <w:r w:rsidR="00696ABA" w:rsidRPr="007F1030">
        <w:rPr>
          <w:rFonts w:ascii="Arial" w:eastAsia="Arial" w:hAnsi="Arial" w:cs="Arial"/>
          <w:lang w:eastAsia="es-ES_tradnl"/>
        </w:rPr>
        <w:t>, seguidamente indicó que él había fallecido hace 25 años</w:t>
      </w:r>
      <w:r w:rsidR="003A3EF3" w:rsidRPr="007F1030">
        <w:rPr>
          <w:rFonts w:ascii="Arial" w:eastAsia="Arial" w:hAnsi="Arial" w:cs="Arial"/>
          <w:lang w:eastAsia="es-ES_tradnl"/>
        </w:rPr>
        <w:t>. Seguidamente, i</w:t>
      </w:r>
      <w:r w:rsidR="00696ABA" w:rsidRPr="007F1030">
        <w:rPr>
          <w:rFonts w:ascii="Arial" w:eastAsia="Arial" w:hAnsi="Arial" w:cs="Arial"/>
          <w:lang w:eastAsia="es-ES_tradnl"/>
        </w:rPr>
        <w:t>nterrogada por las razones de</w:t>
      </w:r>
      <w:r w:rsidR="003A3EF3" w:rsidRPr="007F1030">
        <w:rPr>
          <w:rFonts w:ascii="Arial" w:eastAsia="Arial" w:hAnsi="Arial" w:cs="Arial"/>
          <w:lang w:eastAsia="es-ES_tradnl"/>
        </w:rPr>
        <w:t xml:space="preserve"> </w:t>
      </w:r>
      <w:r w:rsidR="00696ABA" w:rsidRPr="007F1030">
        <w:rPr>
          <w:rFonts w:ascii="Arial" w:eastAsia="Arial" w:hAnsi="Arial" w:cs="Arial"/>
          <w:lang w:eastAsia="es-ES_tradnl"/>
        </w:rPr>
        <w:t>l</w:t>
      </w:r>
      <w:r w:rsidR="003A3EF3" w:rsidRPr="007F1030">
        <w:rPr>
          <w:rFonts w:ascii="Arial" w:eastAsia="Arial" w:hAnsi="Arial" w:cs="Arial"/>
          <w:lang w:eastAsia="es-ES_tradnl"/>
        </w:rPr>
        <w:t xml:space="preserve">a incoherencia afirmó que </w:t>
      </w:r>
      <w:r w:rsidR="00696ABA" w:rsidRPr="007F1030">
        <w:rPr>
          <w:rFonts w:ascii="Arial" w:eastAsia="Arial" w:hAnsi="Arial" w:cs="Arial"/>
          <w:lang w:eastAsia="es-ES_tradnl"/>
        </w:rPr>
        <w:t xml:space="preserve">lo había conocido hace 9 años y más adelante </w:t>
      </w:r>
      <w:r w:rsidR="003A3EF3" w:rsidRPr="007F1030">
        <w:rPr>
          <w:rFonts w:ascii="Arial" w:eastAsia="Arial" w:hAnsi="Arial" w:cs="Arial"/>
          <w:lang w:eastAsia="es-ES_tradnl"/>
        </w:rPr>
        <w:t xml:space="preserve">afirmó que en realidad </w:t>
      </w:r>
      <w:r w:rsidR="00696ABA" w:rsidRPr="007F1030">
        <w:rPr>
          <w:rFonts w:ascii="Arial" w:eastAsia="Arial" w:hAnsi="Arial" w:cs="Arial"/>
          <w:lang w:eastAsia="es-ES_tradnl"/>
        </w:rPr>
        <w:t xml:space="preserve">no recordaba cuándo ocurrió el deceso. </w:t>
      </w:r>
    </w:p>
    <w:p w14:paraId="13483531" w14:textId="77777777" w:rsidR="00696ABA" w:rsidRPr="007F1030" w:rsidRDefault="00696ABA" w:rsidP="007F1030">
      <w:pPr>
        <w:autoSpaceDE w:val="0"/>
        <w:autoSpaceDN w:val="0"/>
        <w:adjustRightInd w:val="0"/>
        <w:spacing w:line="276" w:lineRule="auto"/>
        <w:ind w:firstLine="708"/>
        <w:jc w:val="both"/>
        <w:rPr>
          <w:rFonts w:ascii="Arial" w:eastAsia="Arial" w:hAnsi="Arial" w:cs="Arial"/>
          <w:lang w:eastAsia="es-ES_tradnl"/>
        </w:rPr>
      </w:pPr>
    </w:p>
    <w:p w14:paraId="0200B315" w14:textId="127191C5" w:rsidR="000F6FBA" w:rsidRPr="007F1030" w:rsidRDefault="00696ABA"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En contraste, </w:t>
      </w:r>
      <w:proofErr w:type="spellStart"/>
      <w:r w:rsidR="00FE66EC" w:rsidRPr="007F1030">
        <w:rPr>
          <w:rFonts w:ascii="Arial" w:eastAsia="Arial" w:hAnsi="Arial" w:cs="Arial"/>
          <w:lang w:eastAsia="es-ES_tradnl"/>
        </w:rPr>
        <w:t>Derian</w:t>
      </w:r>
      <w:proofErr w:type="spellEnd"/>
      <w:r w:rsidR="00FE66EC" w:rsidRPr="007F1030">
        <w:rPr>
          <w:rFonts w:ascii="Arial" w:eastAsia="Arial" w:hAnsi="Arial" w:cs="Arial"/>
          <w:lang w:eastAsia="es-ES_tradnl"/>
        </w:rPr>
        <w:t xml:space="preserve"> de Jesús</w:t>
      </w:r>
      <w:r w:rsidRPr="007F1030">
        <w:rPr>
          <w:rFonts w:ascii="Arial" w:eastAsia="Arial" w:hAnsi="Arial" w:cs="Arial"/>
          <w:lang w:eastAsia="es-ES_tradnl"/>
        </w:rPr>
        <w:t xml:space="preserve"> </w:t>
      </w:r>
      <w:proofErr w:type="spellStart"/>
      <w:r w:rsidRPr="007F1030">
        <w:rPr>
          <w:rFonts w:ascii="Arial" w:eastAsia="Arial" w:hAnsi="Arial" w:cs="Arial"/>
          <w:lang w:eastAsia="es-ES_tradnl"/>
        </w:rPr>
        <w:t>Pulgarín</w:t>
      </w:r>
      <w:proofErr w:type="spellEnd"/>
      <w:r w:rsidR="00FE66EC" w:rsidRPr="007F1030">
        <w:rPr>
          <w:rFonts w:ascii="Arial" w:eastAsia="Arial" w:hAnsi="Arial" w:cs="Arial"/>
          <w:lang w:eastAsia="es-ES_tradnl"/>
        </w:rPr>
        <w:t xml:space="preserve"> y </w:t>
      </w:r>
      <w:proofErr w:type="spellStart"/>
      <w:r w:rsidR="00FE66EC" w:rsidRPr="007F1030">
        <w:rPr>
          <w:rFonts w:ascii="Arial" w:eastAsia="Arial" w:hAnsi="Arial" w:cs="Arial"/>
          <w:lang w:eastAsia="es-ES_tradnl"/>
        </w:rPr>
        <w:t>Virgelina</w:t>
      </w:r>
      <w:proofErr w:type="spellEnd"/>
      <w:r w:rsidRPr="007F1030">
        <w:rPr>
          <w:rFonts w:ascii="Arial" w:eastAsia="Arial" w:hAnsi="Arial" w:cs="Arial"/>
          <w:lang w:eastAsia="es-ES_tradnl"/>
        </w:rPr>
        <w:t xml:space="preserve"> Velásquez, a cuyas declaraciones se concederá valor probatorio por encontrarlas coherentes, espontáneas y armónicas con los restantes medios de prueba, relataron que la pareja había iniciado la convivencia 4 o 5 años antes de tener el primer hijo, que </w:t>
      </w:r>
      <w:r w:rsidR="000F6FBA" w:rsidRPr="007F1030">
        <w:rPr>
          <w:rFonts w:ascii="Arial" w:eastAsia="Arial" w:hAnsi="Arial" w:cs="Arial"/>
          <w:lang w:eastAsia="es-ES_tradnl"/>
        </w:rPr>
        <w:t xml:space="preserve">residieron </w:t>
      </w:r>
      <w:r w:rsidRPr="007F1030">
        <w:rPr>
          <w:rFonts w:ascii="Arial" w:eastAsia="Arial" w:hAnsi="Arial" w:cs="Arial"/>
          <w:lang w:eastAsia="es-ES_tradnl"/>
        </w:rPr>
        <w:t>juntos en varios lugares</w:t>
      </w:r>
      <w:r w:rsidR="000F6FBA" w:rsidRPr="007F1030">
        <w:rPr>
          <w:rFonts w:ascii="Arial" w:eastAsia="Arial" w:hAnsi="Arial" w:cs="Arial"/>
          <w:lang w:eastAsia="es-ES_tradnl"/>
        </w:rPr>
        <w:t xml:space="preserve"> de la ciudad (la casa de mamá de la demandante, la florida, el dorado), que procrearon dos hijos, que nunca se separaron, que 15 días o un mes antes de fallecer</w:t>
      </w:r>
      <w:r w:rsidR="003A3EF3" w:rsidRPr="007F1030">
        <w:rPr>
          <w:rFonts w:ascii="Arial" w:eastAsia="Arial" w:hAnsi="Arial" w:cs="Arial"/>
          <w:lang w:eastAsia="es-ES_tradnl"/>
        </w:rPr>
        <w:t xml:space="preserve"> el afiliado </w:t>
      </w:r>
      <w:r w:rsidR="000F6FBA" w:rsidRPr="007F1030">
        <w:rPr>
          <w:rFonts w:ascii="Arial" w:eastAsia="Arial" w:hAnsi="Arial" w:cs="Arial"/>
          <w:lang w:eastAsia="es-ES_tradnl"/>
        </w:rPr>
        <w:t xml:space="preserve"> se había</w:t>
      </w:r>
      <w:r w:rsidR="003A3EF3" w:rsidRPr="007F1030">
        <w:rPr>
          <w:rFonts w:ascii="Arial" w:eastAsia="Arial" w:hAnsi="Arial" w:cs="Arial"/>
          <w:lang w:eastAsia="es-ES_tradnl"/>
        </w:rPr>
        <w:t xml:space="preserve"> trasladado a la ciudad de Bogotá a trabajar, </w:t>
      </w:r>
      <w:r w:rsidR="000F6FBA" w:rsidRPr="007F1030">
        <w:rPr>
          <w:rFonts w:ascii="Arial" w:eastAsia="Arial" w:hAnsi="Arial" w:cs="Arial"/>
          <w:lang w:eastAsia="es-ES_tradnl"/>
        </w:rPr>
        <w:t xml:space="preserve">porque no conseguía trabajo en </w:t>
      </w:r>
      <w:r w:rsidR="003A3EF3" w:rsidRPr="007F1030">
        <w:rPr>
          <w:rFonts w:ascii="Arial" w:eastAsia="Arial" w:hAnsi="Arial" w:cs="Arial"/>
          <w:lang w:eastAsia="es-ES_tradnl"/>
        </w:rPr>
        <w:t xml:space="preserve">su ciudad ; </w:t>
      </w:r>
      <w:r w:rsidR="000F6FBA" w:rsidRPr="007F1030">
        <w:rPr>
          <w:rFonts w:ascii="Arial" w:eastAsia="Arial" w:hAnsi="Arial" w:cs="Arial"/>
          <w:lang w:eastAsia="es-ES_tradnl"/>
        </w:rPr>
        <w:t>que a pesar de</w:t>
      </w:r>
      <w:r w:rsidR="003A3EF3" w:rsidRPr="007F1030">
        <w:rPr>
          <w:rFonts w:ascii="Arial" w:eastAsia="Arial" w:hAnsi="Arial" w:cs="Arial"/>
          <w:lang w:eastAsia="es-ES_tradnl"/>
        </w:rPr>
        <w:t xml:space="preserve"> lo anterior, </w:t>
      </w:r>
      <w:r w:rsidR="000F6FBA" w:rsidRPr="007F1030">
        <w:rPr>
          <w:rFonts w:ascii="Arial" w:eastAsia="Arial" w:hAnsi="Arial" w:cs="Arial"/>
          <w:lang w:eastAsia="es-ES_tradnl"/>
        </w:rPr>
        <w:t>la relación persist</w:t>
      </w:r>
      <w:r w:rsidR="003A3EF3" w:rsidRPr="007F1030">
        <w:rPr>
          <w:rFonts w:ascii="Arial" w:eastAsia="Arial" w:hAnsi="Arial" w:cs="Arial"/>
          <w:lang w:eastAsia="es-ES_tradnl"/>
        </w:rPr>
        <w:t>ió</w:t>
      </w:r>
      <w:r w:rsidR="000F6FBA" w:rsidRPr="007F1030">
        <w:rPr>
          <w:rFonts w:ascii="Arial" w:eastAsia="Arial" w:hAnsi="Arial" w:cs="Arial"/>
          <w:lang w:eastAsia="es-ES_tradnl"/>
        </w:rPr>
        <w:t xml:space="preserve">, que </w:t>
      </w:r>
      <w:r w:rsidR="003A3EF3" w:rsidRPr="007F1030">
        <w:rPr>
          <w:rFonts w:ascii="Arial" w:eastAsia="Arial" w:hAnsi="Arial" w:cs="Arial"/>
          <w:lang w:eastAsia="es-ES_tradnl"/>
        </w:rPr>
        <w:t>e</w:t>
      </w:r>
      <w:r w:rsidR="000F6FBA" w:rsidRPr="007F1030">
        <w:rPr>
          <w:rFonts w:ascii="Arial" w:eastAsia="Arial" w:hAnsi="Arial" w:cs="Arial"/>
          <w:lang w:eastAsia="es-ES_tradnl"/>
        </w:rPr>
        <w:t>l</w:t>
      </w:r>
      <w:r w:rsidR="003A3EF3" w:rsidRPr="007F1030">
        <w:rPr>
          <w:rFonts w:ascii="Arial" w:eastAsia="Arial" w:hAnsi="Arial" w:cs="Arial"/>
          <w:lang w:eastAsia="es-ES_tradnl"/>
        </w:rPr>
        <w:t xml:space="preserve"> causante </w:t>
      </w:r>
      <w:r w:rsidR="000F6FBA" w:rsidRPr="007F1030">
        <w:rPr>
          <w:rFonts w:ascii="Arial" w:eastAsia="Arial" w:hAnsi="Arial" w:cs="Arial"/>
          <w:lang w:eastAsia="es-ES_tradnl"/>
        </w:rPr>
        <w:t xml:space="preserve">falleció en la capital y que el último lugar de residencia común fue en el barrio El </w:t>
      </w:r>
      <w:r w:rsidR="00CA26BB" w:rsidRPr="007F1030">
        <w:rPr>
          <w:rFonts w:ascii="Arial" w:eastAsia="Arial" w:hAnsi="Arial" w:cs="Arial"/>
          <w:lang w:eastAsia="es-ES_tradnl"/>
        </w:rPr>
        <w:t>Dorado</w:t>
      </w:r>
      <w:r w:rsidR="000F6FBA" w:rsidRPr="007F1030">
        <w:rPr>
          <w:rFonts w:ascii="Arial" w:eastAsia="Arial" w:hAnsi="Arial" w:cs="Arial"/>
          <w:lang w:eastAsia="es-ES_tradnl"/>
        </w:rPr>
        <w:t xml:space="preserve">. </w:t>
      </w:r>
      <w:r w:rsidR="003A3EF3" w:rsidRPr="007F1030">
        <w:rPr>
          <w:rFonts w:ascii="Arial" w:eastAsia="Arial" w:hAnsi="Arial" w:cs="Arial"/>
          <w:lang w:eastAsia="es-ES_tradnl"/>
        </w:rPr>
        <w:t xml:space="preserve">Dichos testimonios en asocio con la demás prueba documental, entre ella los registros civiles de nacimiento de los dos hijos comunes del causante y la demandante, que acreditan el nacimiento de uno de </w:t>
      </w:r>
      <w:r w:rsidR="003A3EF3" w:rsidRPr="007F1030">
        <w:rPr>
          <w:rFonts w:ascii="Arial" w:eastAsia="Arial" w:hAnsi="Arial" w:cs="Arial"/>
          <w:lang w:eastAsia="es-ES_tradnl"/>
        </w:rPr>
        <w:lastRenderedPageBreak/>
        <w:t xml:space="preserve">ellos en </w:t>
      </w:r>
      <w:r w:rsidR="00363D6C" w:rsidRPr="007F1030">
        <w:rPr>
          <w:rFonts w:ascii="Arial" w:eastAsia="Arial" w:hAnsi="Arial" w:cs="Arial"/>
          <w:lang w:eastAsia="es-ES_tradnl"/>
        </w:rPr>
        <w:t xml:space="preserve">julio de </w:t>
      </w:r>
      <w:r w:rsidR="000F6FBA" w:rsidRPr="007F1030">
        <w:rPr>
          <w:rFonts w:ascii="Arial" w:eastAsia="Arial" w:hAnsi="Arial" w:cs="Arial"/>
          <w:lang w:eastAsia="es-ES_tradnl"/>
        </w:rPr>
        <w:t xml:space="preserve">1990 y </w:t>
      </w:r>
      <w:r w:rsidR="003A3EF3" w:rsidRPr="007F1030">
        <w:rPr>
          <w:rFonts w:ascii="Arial" w:eastAsia="Arial" w:hAnsi="Arial" w:cs="Arial"/>
          <w:lang w:eastAsia="es-ES_tradnl"/>
        </w:rPr>
        <w:t xml:space="preserve">del otro en </w:t>
      </w:r>
      <w:r w:rsidR="00363D6C" w:rsidRPr="007F1030">
        <w:rPr>
          <w:rFonts w:ascii="Arial" w:eastAsia="Arial" w:hAnsi="Arial" w:cs="Arial"/>
          <w:lang w:eastAsia="es-ES_tradnl"/>
        </w:rPr>
        <w:t>mayo de 1994,</w:t>
      </w:r>
      <w:r w:rsidR="003A3EF3" w:rsidRPr="007F1030">
        <w:rPr>
          <w:rFonts w:ascii="Arial" w:eastAsia="Arial" w:hAnsi="Arial" w:cs="Arial"/>
          <w:lang w:eastAsia="es-ES_tradnl"/>
        </w:rPr>
        <w:t xml:space="preserve"> permiten formar el convencimiento de la Sala respecto de la relación que como compañeros permanentes tuvieron María </w:t>
      </w:r>
      <w:proofErr w:type="spellStart"/>
      <w:r w:rsidR="003A3EF3" w:rsidRPr="007F1030">
        <w:rPr>
          <w:rFonts w:ascii="Arial" w:eastAsia="Arial" w:hAnsi="Arial" w:cs="Arial"/>
          <w:lang w:eastAsia="es-ES_tradnl"/>
        </w:rPr>
        <w:t>Cenelia</w:t>
      </w:r>
      <w:proofErr w:type="spellEnd"/>
      <w:r w:rsidR="003A3EF3" w:rsidRPr="007F1030">
        <w:rPr>
          <w:rFonts w:ascii="Arial" w:eastAsia="Arial" w:hAnsi="Arial" w:cs="Arial"/>
          <w:lang w:eastAsia="es-ES_tradnl"/>
        </w:rPr>
        <w:t xml:space="preserve"> y Arturo </w:t>
      </w:r>
      <w:r w:rsidR="000E4A33" w:rsidRPr="007F1030">
        <w:rPr>
          <w:rFonts w:ascii="Arial" w:eastAsia="Arial" w:hAnsi="Arial" w:cs="Arial"/>
          <w:lang w:eastAsia="es-ES_tradnl"/>
        </w:rPr>
        <w:t>Hernández</w:t>
      </w:r>
      <w:r w:rsidR="003A3EF3" w:rsidRPr="007F1030">
        <w:rPr>
          <w:rFonts w:ascii="Arial" w:eastAsia="Arial" w:hAnsi="Arial" w:cs="Arial"/>
          <w:lang w:eastAsia="es-ES_tradnl"/>
        </w:rPr>
        <w:t xml:space="preserve"> por espacio muy superior a los 2 años exigido en la normativa aplicable</w:t>
      </w:r>
      <w:r w:rsidR="005269E4" w:rsidRPr="007F1030">
        <w:rPr>
          <w:rFonts w:ascii="Arial" w:eastAsia="Arial" w:hAnsi="Arial" w:cs="Arial"/>
          <w:lang w:eastAsia="es-ES_tradnl"/>
        </w:rPr>
        <w:t>, razón por la que se CONFIRMARÁ en este punto la sentencia de primer grado.</w:t>
      </w:r>
    </w:p>
    <w:p w14:paraId="62269EB4" w14:textId="7EA35241" w:rsidR="00363D6C" w:rsidRPr="007F1030" w:rsidRDefault="00363D6C" w:rsidP="007F1030">
      <w:pPr>
        <w:autoSpaceDE w:val="0"/>
        <w:autoSpaceDN w:val="0"/>
        <w:adjustRightInd w:val="0"/>
        <w:spacing w:line="276" w:lineRule="auto"/>
        <w:ind w:firstLine="708"/>
        <w:jc w:val="both"/>
        <w:rPr>
          <w:rFonts w:ascii="Arial" w:eastAsia="Arial" w:hAnsi="Arial" w:cs="Arial"/>
          <w:lang w:eastAsia="es-ES_tradnl"/>
        </w:rPr>
      </w:pPr>
    </w:p>
    <w:p w14:paraId="7AE5D4CC" w14:textId="71491728" w:rsidR="004103A8" w:rsidRPr="007F1030" w:rsidRDefault="005269E4"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 xml:space="preserve">Así las cosas el derecho de la demandante </w:t>
      </w:r>
      <w:r w:rsidR="00363D6C" w:rsidRPr="007F1030">
        <w:rPr>
          <w:rFonts w:ascii="Arial" w:eastAsia="Arial" w:hAnsi="Arial" w:cs="Arial"/>
          <w:lang w:eastAsia="es-ES_tradnl"/>
        </w:rPr>
        <w:t>se consolidó al momento de</w:t>
      </w:r>
      <w:r w:rsidRPr="007F1030">
        <w:rPr>
          <w:rFonts w:ascii="Arial" w:eastAsia="Arial" w:hAnsi="Arial" w:cs="Arial"/>
          <w:lang w:eastAsia="es-ES_tradnl"/>
        </w:rPr>
        <w:t xml:space="preserve">l fallecimiento de su compañero permanente, esto es el día </w:t>
      </w:r>
      <w:r w:rsidR="00363D6C" w:rsidRPr="007F1030">
        <w:rPr>
          <w:rFonts w:ascii="Arial" w:eastAsia="Arial" w:hAnsi="Arial" w:cs="Arial"/>
          <w:lang w:eastAsia="es-ES_tradnl"/>
        </w:rPr>
        <w:t>07 de noviembre de 1995; luego, como la reclamación con la que interrumpió el término prescriptivo la presentó el 27 de marzo de 2017 (f</w:t>
      </w:r>
      <w:r w:rsidR="000E4A33" w:rsidRPr="007F1030">
        <w:rPr>
          <w:rFonts w:ascii="Arial" w:eastAsia="Arial" w:hAnsi="Arial" w:cs="Arial"/>
          <w:lang w:eastAsia="es-ES_tradnl"/>
        </w:rPr>
        <w:t>ol</w:t>
      </w:r>
      <w:r w:rsidR="00363D6C" w:rsidRPr="007F1030">
        <w:rPr>
          <w:rFonts w:ascii="Arial" w:eastAsia="Arial" w:hAnsi="Arial" w:cs="Arial"/>
          <w:lang w:eastAsia="es-ES_tradnl"/>
        </w:rPr>
        <w:t>. 32),</w:t>
      </w:r>
      <w:r w:rsidRPr="007F1030">
        <w:rPr>
          <w:rFonts w:ascii="Arial" w:eastAsia="Arial" w:hAnsi="Arial" w:cs="Arial"/>
          <w:lang w:eastAsia="es-ES_tradnl"/>
        </w:rPr>
        <w:t xml:space="preserve"> </w:t>
      </w:r>
      <w:r w:rsidR="00363D6C" w:rsidRPr="007F1030">
        <w:rPr>
          <w:rFonts w:ascii="Arial" w:eastAsia="Arial" w:hAnsi="Arial" w:cs="Arial"/>
          <w:lang w:eastAsia="es-ES_tradnl"/>
        </w:rPr>
        <w:t>y la demanda la presentó dentro del término trienal a continuación, el 29 de junio de 2017</w:t>
      </w:r>
      <w:r w:rsidR="004103A8" w:rsidRPr="007F1030">
        <w:rPr>
          <w:rFonts w:ascii="Arial" w:eastAsia="Arial" w:hAnsi="Arial" w:cs="Arial"/>
          <w:lang w:eastAsia="es-ES_tradnl"/>
        </w:rPr>
        <w:t xml:space="preserve"> (f</w:t>
      </w:r>
      <w:r w:rsidR="000E4A33" w:rsidRPr="007F1030">
        <w:rPr>
          <w:rFonts w:ascii="Arial" w:eastAsia="Arial" w:hAnsi="Arial" w:cs="Arial"/>
          <w:lang w:eastAsia="es-ES_tradnl"/>
        </w:rPr>
        <w:t>ol</w:t>
      </w:r>
      <w:r w:rsidR="004103A8" w:rsidRPr="007F1030">
        <w:rPr>
          <w:rFonts w:ascii="Arial" w:eastAsia="Arial" w:hAnsi="Arial" w:cs="Arial"/>
          <w:lang w:eastAsia="es-ES_tradnl"/>
        </w:rPr>
        <w:t>. 37) las mesadas causadas con anterioridad al 27 de marzo quedaron prescritas</w:t>
      </w:r>
      <w:r w:rsidRPr="007F1030">
        <w:rPr>
          <w:rFonts w:ascii="Arial" w:eastAsia="Arial" w:hAnsi="Arial" w:cs="Arial"/>
          <w:lang w:eastAsia="es-ES_tradnl"/>
        </w:rPr>
        <w:t>, advirtiendo que, como l</w:t>
      </w:r>
      <w:r w:rsidR="004103A8" w:rsidRPr="007F1030">
        <w:rPr>
          <w:rFonts w:ascii="Arial" w:eastAsia="Arial" w:hAnsi="Arial" w:cs="Arial"/>
          <w:lang w:eastAsia="es-ES_tradnl"/>
        </w:rPr>
        <w:t xml:space="preserve">a prestación fue causada el 07 de noviembre de 1995, esto es, antes del Acto Legislativos 01 de 2005, la señora Velásquez Bedoya tiene derecho a 14 mesadas anuales, en cuantía equivalente a un salario mínimo, considerando que el de </w:t>
      </w:r>
      <w:proofErr w:type="spellStart"/>
      <w:r w:rsidR="004103A8" w:rsidRPr="007F1030">
        <w:rPr>
          <w:rFonts w:ascii="Arial" w:eastAsia="Arial" w:hAnsi="Arial" w:cs="Arial"/>
          <w:lang w:eastAsia="es-ES_tradnl"/>
        </w:rPr>
        <w:t>cujus</w:t>
      </w:r>
      <w:proofErr w:type="spellEnd"/>
      <w:r w:rsidR="004103A8" w:rsidRPr="007F1030">
        <w:rPr>
          <w:rFonts w:ascii="Arial" w:eastAsia="Arial" w:hAnsi="Arial" w:cs="Arial"/>
          <w:lang w:eastAsia="es-ES_tradnl"/>
        </w:rPr>
        <w:t xml:space="preserve"> cotizó al sistema con este valor y que el monto de la prestación no puede ser inferior a esta cifra. </w:t>
      </w:r>
    </w:p>
    <w:p w14:paraId="605BB908" w14:textId="39D65347" w:rsidR="00CC218A" w:rsidRPr="007F1030" w:rsidRDefault="00CC218A" w:rsidP="007F1030">
      <w:pPr>
        <w:autoSpaceDE w:val="0"/>
        <w:autoSpaceDN w:val="0"/>
        <w:adjustRightInd w:val="0"/>
        <w:spacing w:line="276" w:lineRule="auto"/>
        <w:ind w:firstLine="708"/>
        <w:jc w:val="both"/>
        <w:rPr>
          <w:rFonts w:ascii="Arial" w:eastAsia="Arial" w:hAnsi="Arial" w:cs="Arial"/>
          <w:lang w:eastAsia="es-ES_tradnl"/>
        </w:rPr>
      </w:pPr>
    </w:p>
    <w:p w14:paraId="6CBD75EB" w14:textId="3C7797AA" w:rsidR="2AD7B484" w:rsidRDefault="4D874FBB" w:rsidP="007F1030">
      <w:pPr>
        <w:spacing w:line="276" w:lineRule="auto"/>
        <w:ind w:firstLine="708"/>
        <w:jc w:val="both"/>
        <w:rPr>
          <w:rFonts w:ascii="Arial" w:eastAsia="Arial" w:hAnsi="Arial" w:cs="Arial"/>
        </w:rPr>
      </w:pPr>
      <w:r w:rsidRPr="007F1030">
        <w:rPr>
          <w:rFonts w:ascii="Arial" w:eastAsia="Arial" w:hAnsi="Arial" w:cs="Arial"/>
        </w:rPr>
        <w:t>Verificado como corresponde e</w:t>
      </w:r>
      <w:r w:rsidR="1824EE58" w:rsidRPr="007F1030">
        <w:rPr>
          <w:rFonts w:ascii="Arial" w:eastAsia="Arial" w:hAnsi="Arial" w:cs="Arial"/>
        </w:rPr>
        <w:t xml:space="preserve">l </w:t>
      </w:r>
      <w:r w:rsidR="434B586B" w:rsidRPr="007F1030">
        <w:rPr>
          <w:rFonts w:ascii="Arial" w:eastAsia="Arial" w:hAnsi="Arial" w:cs="Arial"/>
        </w:rPr>
        <w:t>guarismo</w:t>
      </w:r>
      <w:r w:rsidR="1824EE58" w:rsidRPr="007F1030">
        <w:rPr>
          <w:rFonts w:ascii="Arial" w:eastAsia="Arial" w:hAnsi="Arial" w:cs="Arial"/>
        </w:rPr>
        <w:t xml:space="preserve"> del retroactivo pensional realizado en primera instancia por el periodo </w:t>
      </w:r>
      <w:r w:rsidRPr="007F1030">
        <w:rPr>
          <w:rFonts w:ascii="Arial" w:eastAsia="Arial" w:hAnsi="Arial" w:cs="Arial"/>
        </w:rPr>
        <w:t xml:space="preserve">comprendido entre </w:t>
      </w:r>
      <w:r w:rsidR="1824EE58" w:rsidRPr="007F1030">
        <w:rPr>
          <w:rFonts w:ascii="Arial" w:eastAsia="Arial" w:hAnsi="Arial" w:cs="Arial"/>
        </w:rPr>
        <w:t xml:space="preserve">el 27 de marzo de 2014 </w:t>
      </w:r>
      <w:r w:rsidRPr="007F1030">
        <w:rPr>
          <w:rFonts w:ascii="Arial" w:eastAsia="Arial" w:hAnsi="Arial" w:cs="Arial"/>
        </w:rPr>
        <w:t xml:space="preserve">y el </w:t>
      </w:r>
      <w:r w:rsidR="1824EE58" w:rsidRPr="007F1030">
        <w:rPr>
          <w:rFonts w:ascii="Arial" w:eastAsia="Arial" w:hAnsi="Arial" w:cs="Arial"/>
        </w:rPr>
        <w:t xml:space="preserve">30 de marzo de 2019, se encuentra que </w:t>
      </w:r>
      <w:r w:rsidRPr="007F1030">
        <w:rPr>
          <w:rFonts w:ascii="Arial" w:eastAsia="Arial" w:hAnsi="Arial" w:cs="Arial"/>
        </w:rPr>
        <w:t xml:space="preserve">el </w:t>
      </w:r>
      <w:r w:rsidRPr="007F1030">
        <w:rPr>
          <w:rFonts w:ascii="Arial" w:eastAsia="Arial" w:hAnsi="Arial" w:cs="Arial"/>
          <w:i/>
          <w:iCs/>
        </w:rPr>
        <w:t>a</w:t>
      </w:r>
      <w:r w:rsidR="69F87B9C" w:rsidRPr="007F1030">
        <w:rPr>
          <w:rFonts w:ascii="Arial" w:eastAsia="Arial" w:hAnsi="Arial" w:cs="Arial"/>
          <w:i/>
          <w:iCs/>
        </w:rPr>
        <w:t xml:space="preserve"> </w:t>
      </w:r>
      <w:r w:rsidRPr="007F1030">
        <w:rPr>
          <w:rFonts w:ascii="Arial" w:eastAsia="Arial" w:hAnsi="Arial" w:cs="Arial"/>
          <w:i/>
          <w:iCs/>
        </w:rPr>
        <w:t>quo</w:t>
      </w:r>
      <w:r w:rsidRPr="007F1030">
        <w:rPr>
          <w:rFonts w:ascii="Arial" w:eastAsia="Arial" w:hAnsi="Arial" w:cs="Arial"/>
        </w:rPr>
        <w:t xml:space="preserve"> incurrió en un error en el cálculo, pues la suma de las mesadas arrojó un valor de </w:t>
      </w:r>
      <w:r w:rsidR="1824EE58" w:rsidRPr="007F1030">
        <w:rPr>
          <w:rFonts w:ascii="Arial" w:eastAsia="Arial" w:hAnsi="Arial" w:cs="Arial"/>
        </w:rPr>
        <w:t>$49.791.588 cuando el valor correcto asciende $49.260.644,</w:t>
      </w:r>
      <w:r w:rsidRPr="007F1030">
        <w:rPr>
          <w:rFonts w:ascii="Arial" w:eastAsia="Arial" w:hAnsi="Arial" w:cs="Arial"/>
        </w:rPr>
        <w:t xml:space="preserve"> </w:t>
      </w:r>
      <w:r w:rsidR="12F27C53" w:rsidRPr="007F1030">
        <w:rPr>
          <w:rFonts w:ascii="Arial" w:eastAsia="Arial" w:hAnsi="Arial" w:cs="Arial"/>
        </w:rPr>
        <w:t>como se detalla a continuación</w:t>
      </w:r>
      <w:r w:rsidR="00BF5121">
        <w:rPr>
          <w:rFonts w:ascii="Arial" w:eastAsia="Arial" w:hAnsi="Arial" w:cs="Arial"/>
        </w:rPr>
        <w:t>.</w:t>
      </w:r>
    </w:p>
    <w:p w14:paraId="5302283A" w14:textId="77777777" w:rsidR="00BF5121" w:rsidRPr="007F1030" w:rsidRDefault="00BF5121" w:rsidP="007F1030">
      <w:pPr>
        <w:spacing w:line="276" w:lineRule="auto"/>
        <w:ind w:firstLine="708"/>
        <w:jc w:val="both"/>
        <w:rPr>
          <w:rFonts w:ascii="Arial" w:eastAsia="Arial" w:hAnsi="Arial" w:cs="Arial"/>
        </w:rPr>
      </w:pPr>
    </w:p>
    <w:tbl>
      <w:tblPr>
        <w:tblW w:w="0" w:type="auto"/>
        <w:jc w:val="center"/>
        <w:tblLook w:val="04A0" w:firstRow="1" w:lastRow="0" w:firstColumn="1" w:lastColumn="0" w:noHBand="0" w:noVBand="1"/>
      </w:tblPr>
      <w:tblGrid>
        <w:gridCol w:w="1220"/>
        <w:gridCol w:w="1633"/>
        <w:gridCol w:w="1417"/>
        <w:gridCol w:w="1713"/>
      </w:tblGrid>
      <w:tr w:rsidR="007F1030" w:rsidRPr="007F1030" w14:paraId="789D8BCA" w14:textId="77777777" w:rsidTr="00BF5121">
        <w:trPr>
          <w:trHeight w:val="916"/>
          <w:jc w:val="center"/>
        </w:trPr>
        <w:tc>
          <w:tcPr>
            <w:tcW w:w="1220" w:type="dxa"/>
            <w:tcBorders>
              <w:top w:val="single" w:sz="4" w:space="0" w:color="auto"/>
              <w:left w:val="single" w:sz="4" w:space="0" w:color="auto"/>
              <w:bottom w:val="single" w:sz="4" w:space="0" w:color="auto"/>
              <w:right w:val="single" w:sz="4" w:space="0" w:color="auto"/>
            </w:tcBorders>
            <w:shd w:val="clear" w:color="auto" w:fill="CCCCCC"/>
            <w:vAlign w:val="center"/>
          </w:tcPr>
          <w:p w14:paraId="1145D9D9" w14:textId="77777777" w:rsidR="2AD7B484" w:rsidRPr="007F1030" w:rsidRDefault="2AD7B484" w:rsidP="00BF5121">
            <w:pPr>
              <w:jc w:val="center"/>
              <w:rPr>
                <w:rFonts w:ascii="Arial" w:hAnsi="Arial" w:cs="Arial"/>
                <w:b/>
                <w:bCs/>
                <w:lang w:val="es-CO"/>
              </w:rPr>
            </w:pPr>
            <w:r w:rsidRPr="007F1030">
              <w:rPr>
                <w:rFonts w:ascii="Arial" w:hAnsi="Arial" w:cs="Arial"/>
                <w:b/>
                <w:bCs/>
                <w:lang w:val="es-CO"/>
              </w:rPr>
              <w:t xml:space="preserve">Periodo </w:t>
            </w:r>
          </w:p>
        </w:tc>
        <w:tc>
          <w:tcPr>
            <w:tcW w:w="1633" w:type="dxa"/>
            <w:tcBorders>
              <w:top w:val="single" w:sz="4" w:space="0" w:color="auto"/>
              <w:left w:val="single" w:sz="4" w:space="0" w:color="auto"/>
              <w:bottom w:val="single" w:sz="4" w:space="0" w:color="000000" w:themeColor="text1"/>
              <w:right w:val="single" w:sz="4" w:space="0" w:color="auto"/>
            </w:tcBorders>
            <w:shd w:val="clear" w:color="auto" w:fill="CCCCCC"/>
            <w:vAlign w:val="center"/>
          </w:tcPr>
          <w:p w14:paraId="06BCD2D3" w14:textId="77777777" w:rsidR="2AD7B484" w:rsidRPr="007F1030" w:rsidRDefault="2AD7B484" w:rsidP="00BF5121">
            <w:pPr>
              <w:jc w:val="center"/>
              <w:rPr>
                <w:rFonts w:ascii="Arial" w:hAnsi="Arial" w:cs="Arial"/>
                <w:b/>
                <w:bCs/>
                <w:lang w:val="es-CO"/>
              </w:rPr>
            </w:pPr>
            <w:r w:rsidRPr="007F1030">
              <w:rPr>
                <w:rFonts w:ascii="Arial" w:hAnsi="Arial" w:cs="Arial"/>
                <w:b/>
                <w:bCs/>
                <w:lang w:val="es-CO"/>
              </w:rPr>
              <w:t>Mesada Anterior</w:t>
            </w:r>
          </w:p>
        </w:tc>
        <w:tc>
          <w:tcPr>
            <w:tcW w:w="1417" w:type="dxa"/>
            <w:tcBorders>
              <w:top w:val="single" w:sz="4" w:space="0" w:color="auto"/>
              <w:left w:val="single" w:sz="4" w:space="0" w:color="auto"/>
              <w:bottom w:val="single" w:sz="4" w:space="0" w:color="000000" w:themeColor="text1"/>
              <w:right w:val="single" w:sz="4" w:space="0" w:color="auto"/>
            </w:tcBorders>
            <w:shd w:val="clear" w:color="auto" w:fill="CCCCCC"/>
            <w:vAlign w:val="center"/>
          </w:tcPr>
          <w:p w14:paraId="01FA8270" w14:textId="77777777" w:rsidR="2AD7B484" w:rsidRPr="007F1030" w:rsidRDefault="2AD7B484" w:rsidP="00BF5121">
            <w:pPr>
              <w:jc w:val="center"/>
              <w:rPr>
                <w:rFonts w:ascii="Arial" w:hAnsi="Arial" w:cs="Arial"/>
                <w:b/>
                <w:bCs/>
                <w:lang w:val="es-CO"/>
              </w:rPr>
            </w:pPr>
            <w:r w:rsidRPr="007F1030">
              <w:rPr>
                <w:rFonts w:ascii="Arial" w:hAnsi="Arial" w:cs="Arial"/>
                <w:b/>
                <w:bCs/>
                <w:lang w:val="es-CO"/>
              </w:rPr>
              <w:t xml:space="preserve">Nº Mesadas </w:t>
            </w:r>
          </w:p>
        </w:tc>
        <w:tc>
          <w:tcPr>
            <w:tcW w:w="1713" w:type="dxa"/>
            <w:tcBorders>
              <w:top w:val="single" w:sz="4" w:space="0" w:color="auto"/>
              <w:left w:val="single" w:sz="4" w:space="0" w:color="auto"/>
              <w:bottom w:val="single" w:sz="4" w:space="0" w:color="auto"/>
              <w:right w:val="single" w:sz="4" w:space="0" w:color="auto"/>
            </w:tcBorders>
            <w:shd w:val="clear" w:color="auto" w:fill="CCCCCC"/>
            <w:vAlign w:val="center"/>
          </w:tcPr>
          <w:p w14:paraId="39B060F7" w14:textId="77777777" w:rsidR="2AD7B484" w:rsidRPr="007F1030" w:rsidRDefault="2AD7B484" w:rsidP="00BF5121">
            <w:pPr>
              <w:jc w:val="center"/>
              <w:rPr>
                <w:rFonts w:ascii="Arial" w:hAnsi="Arial" w:cs="Arial"/>
                <w:b/>
                <w:bCs/>
                <w:lang w:val="es-CO"/>
              </w:rPr>
            </w:pPr>
            <w:r w:rsidRPr="007F1030">
              <w:rPr>
                <w:rFonts w:ascii="Arial" w:hAnsi="Arial" w:cs="Arial"/>
                <w:b/>
                <w:bCs/>
                <w:lang w:val="es-CO"/>
              </w:rPr>
              <w:t xml:space="preserve">Total </w:t>
            </w:r>
          </w:p>
        </w:tc>
      </w:tr>
      <w:tr w:rsidR="007F1030" w:rsidRPr="007F1030" w14:paraId="3A9D09AB" w14:textId="77777777" w:rsidTr="00BF5121">
        <w:trPr>
          <w:trHeight w:val="300"/>
          <w:jc w:val="center"/>
        </w:trPr>
        <w:tc>
          <w:tcPr>
            <w:tcW w:w="1220" w:type="dxa"/>
            <w:tcBorders>
              <w:top w:val="nil"/>
              <w:left w:val="single" w:sz="4" w:space="0" w:color="auto"/>
              <w:bottom w:val="single" w:sz="4" w:space="0" w:color="auto"/>
              <w:right w:val="single" w:sz="4" w:space="0" w:color="auto"/>
            </w:tcBorders>
            <w:shd w:val="clear" w:color="auto" w:fill="auto"/>
          </w:tcPr>
          <w:p w14:paraId="34493D72" w14:textId="77777777" w:rsidR="2AD7B484" w:rsidRPr="007F1030" w:rsidRDefault="2AD7B484" w:rsidP="00BF5121">
            <w:pPr>
              <w:jc w:val="center"/>
              <w:rPr>
                <w:rFonts w:ascii="Arial" w:hAnsi="Arial" w:cs="Arial"/>
                <w:lang w:val="es-CO"/>
              </w:rPr>
            </w:pPr>
            <w:r w:rsidRPr="007F1030">
              <w:rPr>
                <w:rFonts w:ascii="Arial" w:hAnsi="Arial" w:cs="Arial"/>
                <w:lang w:val="es-CO"/>
              </w:rPr>
              <w:t>2014</w:t>
            </w:r>
          </w:p>
        </w:tc>
        <w:tc>
          <w:tcPr>
            <w:tcW w:w="1633" w:type="dxa"/>
            <w:tcBorders>
              <w:top w:val="nil"/>
              <w:left w:val="nil"/>
              <w:bottom w:val="single" w:sz="4" w:space="0" w:color="auto"/>
              <w:right w:val="single" w:sz="4" w:space="0" w:color="auto"/>
            </w:tcBorders>
            <w:shd w:val="clear" w:color="auto" w:fill="auto"/>
          </w:tcPr>
          <w:p w14:paraId="5F011417" w14:textId="77777777" w:rsidR="2AD7B484" w:rsidRPr="007F1030" w:rsidRDefault="2AD7B484" w:rsidP="00BF5121">
            <w:pPr>
              <w:jc w:val="right"/>
              <w:rPr>
                <w:rFonts w:ascii="Arial" w:hAnsi="Arial" w:cs="Arial"/>
                <w:lang w:val="es-CO"/>
              </w:rPr>
            </w:pPr>
            <w:r w:rsidRPr="007F1030">
              <w:rPr>
                <w:rFonts w:ascii="Arial" w:hAnsi="Arial" w:cs="Arial"/>
                <w:lang w:val="es-CO"/>
              </w:rPr>
              <w:t>$ 616.000,00</w:t>
            </w:r>
          </w:p>
        </w:tc>
        <w:tc>
          <w:tcPr>
            <w:tcW w:w="1417" w:type="dxa"/>
            <w:tcBorders>
              <w:top w:val="nil"/>
              <w:left w:val="nil"/>
              <w:bottom w:val="single" w:sz="4" w:space="0" w:color="auto"/>
              <w:right w:val="single" w:sz="4" w:space="0" w:color="auto"/>
            </w:tcBorders>
            <w:shd w:val="clear" w:color="auto" w:fill="auto"/>
          </w:tcPr>
          <w:p w14:paraId="5F9949BD" w14:textId="77777777" w:rsidR="2AD7B484" w:rsidRPr="007F1030" w:rsidRDefault="2AD7B484" w:rsidP="00BF5121">
            <w:pPr>
              <w:jc w:val="center"/>
              <w:rPr>
                <w:rFonts w:ascii="Arial" w:hAnsi="Arial" w:cs="Arial"/>
                <w:lang w:val="es-CO"/>
              </w:rPr>
            </w:pPr>
            <w:r w:rsidRPr="007F1030">
              <w:rPr>
                <w:rFonts w:ascii="Arial" w:hAnsi="Arial" w:cs="Arial"/>
                <w:lang w:val="es-CO"/>
              </w:rPr>
              <w:t>11,10</w:t>
            </w:r>
          </w:p>
        </w:tc>
        <w:tc>
          <w:tcPr>
            <w:tcW w:w="1713" w:type="dxa"/>
            <w:tcBorders>
              <w:top w:val="nil"/>
              <w:left w:val="nil"/>
              <w:bottom w:val="single" w:sz="4" w:space="0" w:color="auto"/>
              <w:right w:val="single" w:sz="4" w:space="0" w:color="auto"/>
            </w:tcBorders>
            <w:shd w:val="clear" w:color="auto" w:fill="auto"/>
          </w:tcPr>
          <w:p w14:paraId="788AAD74" w14:textId="77777777" w:rsidR="2AD7B484" w:rsidRPr="007F1030" w:rsidRDefault="2AD7B484" w:rsidP="00BF5121">
            <w:pPr>
              <w:jc w:val="right"/>
              <w:rPr>
                <w:rFonts w:ascii="Arial" w:hAnsi="Arial" w:cs="Arial"/>
                <w:lang w:val="es-CO"/>
              </w:rPr>
            </w:pPr>
            <w:r w:rsidRPr="007F1030">
              <w:rPr>
                <w:rFonts w:ascii="Arial" w:hAnsi="Arial" w:cs="Arial"/>
                <w:lang w:val="es-CO"/>
              </w:rPr>
              <w:t>$ 6.837.600</w:t>
            </w:r>
          </w:p>
        </w:tc>
      </w:tr>
      <w:tr w:rsidR="007F1030" w:rsidRPr="007F1030" w14:paraId="13848082" w14:textId="77777777" w:rsidTr="00BF5121">
        <w:trPr>
          <w:trHeight w:val="300"/>
          <w:jc w:val="center"/>
        </w:trPr>
        <w:tc>
          <w:tcPr>
            <w:tcW w:w="1220" w:type="dxa"/>
            <w:tcBorders>
              <w:top w:val="nil"/>
              <w:left w:val="single" w:sz="4" w:space="0" w:color="auto"/>
              <w:bottom w:val="single" w:sz="4" w:space="0" w:color="auto"/>
              <w:right w:val="single" w:sz="4" w:space="0" w:color="auto"/>
            </w:tcBorders>
            <w:shd w:val="clear" w:color="auto" w:fill="auto"/>
          </w:tcPr>
          <w:p w14:paraId="683B2F87" w14:textId="77777777" w:rsidR="2AD7B484" w:rsidRPr="007F1030" w:rsidRDefault="2AD7B484" w:rsidP="00BF5121">
            <w:pPr>
              <w:jc w:val="center"/>
              <w:rPr>
                <w:rFonts w:ascii="Arial" w:hAnsi="Arial" w:cs="Arial"/>
                <w:lang w:val="es-CO"/>
              </w:rPr>
            </w:pPr>
            <w:r w:rsidRPr="007F1030">
              <w:rPr>
                <w:rFonts w:ascii="Arial" w:hAnsi="Arial" w:cs="Arial"/>
                <w:lang w:val="es-CO"/>
              </w:rPr>
              <w:t>2015</w:t>
            </w:r>
          </w:p>
        </w:tc>
        <w:tc>
          <w:tcPr>
            <w:tcW w:w="1633" w:type="dxa"/>
            <w:tcBorders>
              <w:top w:val="nil"/>
              <w:left w:val="nil"/>
              <w:bottom w:val="single" w:sz="4" w:space="0" w:color="auto"/>
              <w:right w:val="single" w:sz="4" w:space="0" w:color="auto"/>
            </w:tcBorders>
            <w:shd w:val="clear" w:color="auto" w:fill="auto"/>
          </w:tcPr>
          <w:p w14:paraId="51F0E26B" w14:textId="77777777" w:rsidR="2AD7B484" w:rsidRPr="007F1030" w:rsidRDefault="2AD7B484" w:rsidP="00BF5121">
            <w:pPr>
              <w:jc w:val="right"/>
              <w:rPr>
                <w:rFonts w:ascii="Arial" w:hAnsi="Arial" w:cs="Arial"/>
                <w:lang w:val="es-CO"/>
              </w:rPr>
            </w:pPr>
            <w:r w:rsidRPr="007F1030">
              <w:rPr>
                <w:rFonts w:ascii="Arial" w:hAnsi="Arial" w:cs="Arial"/>
                <w:lang w:val="es-CO"/>
              </w:rPr>
              <w:t>$ 644.350,00</w:t>
            </w:r>
          </w:p>
        </w:tc>
        <w:tc>
          <w:tcPr>
            <w:tcW w:w="1417" w:type="dxa"/>
            <w:tcBorders>
              <w:top w:val="nil"/>
              <w:left w:val="nil"/>
              <w:bottom w:val="single" w:sz="4" w:space="0" w:color="auto"/>
              <w:right w:val="single" w:sz="4" w:space="0" w:color="auto"/>
            </w:tcBorders>
            <w:shd w:val="clear" w:color="auto" w:fill="auto"/>
          </w:tcPr>
          <w:p w14:paraId="4E9DF046" w14:textId="77777777" w:rsidR="2AD7B484" w:rsidRPr="007F1030" w:rsidRDefault="2AD7B484" w:rsidP="00BF5121">
            <w:pPr>
              <w:jc w:val="center"/>
              <w:rPr>
                <w:rFonts w:ascii="Arial" w:hAnsi="Arial" w:cs="Arial"/>
                <w:lang w:val="es-CO"/>
              </w:rPr>
            </w:pPr>
            <w:r w:rsidRPr="007F1030">
              <w:rPr>
                <w:rFonts w:ascii="Arial" w:hAnsi="Arial" w:cs="Arial"/>
                <w:lang w:val="es-CO"/>
              </w:rPr>
              <w:t>14</w:t>
            </w:r>
          </w:p>
        </w:tc>
        <w:tc>
          <w:tcPr>
            <w:tcW w:w="1713" w:type="dxa"/>
            <w:tcBorders>
              <w:top w:val="nil"/>
              <w:left w:val="nil"/>
              <w:bottom w:val="single" w:sz="4" w:space="0" w:color="auto"/>
              <w:right w:val="single" w:sz="4" w:space="0" w:color="auto"/>
            </w:tcBorders>
            <w:shd w:val="clear" w:color="auto" w:fill="auto"/>
          </w:tcPr>
          <w:p w14:paraId="2DB08365" w14:textId="77777777" w:rsidR="2AD7B484" w:rsidRPr="007F1030" w:rsidRDefault="2AD7B484" w:rsidP="00BF5121">
            <w:pPr>
              <w:jc w:val="right"/>
              <w:rPr>
                <w:rFonts w:ascii="Arial" w:hAnsi="Arial" w:cs="Arial"/>
                <w:lang w:val="es-CO"/>
              </w:rPr>
            </w:pPr>
            <w:r w:rsidRPr="007F1030">
              <w:rPr>
                <w:rFonts w:ascii="Arial" w:hAnsi="Arial" w:cs="Arial"/>
                <w:lang w:val="es-CO"/>
              </w:rPr>
              <w:t>$ 9.020.900</w:t>
            </w:r>
          </w:p>
        </w:tc>
      </w:tr>
      <w:tr w:rsidR="007F1030" w:rsidRPr="007F1030" w14:paraId="41B5D950" w14:textId="77777777" w:rsidTr="00BF5121">
        <w:trPr>
          <w:trHeight w:val="300"/>
          <w:jc w:val="center"/>
        </w:trPr>
        <w:tc>
          <w:tcPr>
            <w:tcW w:w="1220" w:type="dxa"/>
            <w:tcBorders>
              <w:top w:val="nil"/>
              <w:left w:val="single" w:sz="4" w:space="0" w:color="auto"/>
              <w:bottom w:val="single" w:sz="4" w:space="0" w:color="auto"/>
              <w:right w:val="single" w:sz="4" w:space="0" w:color="auto"/>
            </w:tcBorders>
            <w:shd w:val="clear" w:color="auto" w:fill="auto"/>
          </w:tcPr>
          <w:p w14:paraId="3B5F738D" w14:textId="77777777" w:rsidR="2AD7B484" w:rsidRPr="007F1030" w:rsidRDefault="2AD7B484" w:rsidP="00BF5121">
            <w:pPr>
              <w:jc w:val="center"/>
              <w:rPr>
                <w:rFonts w:ascii="Arial" w:hAnsi="Arial" w:cs="Arial"/>
                <w:lang w:val="es-CO"/>
              </w:rPr>
            </w:pPr>
            <w:r w:rsidRPr="007F1030">
              <w:rPr>
                <w:rFonts w:ascii="Arial" w:hAnsi="Arial" w:cs="Arial"/>
                <w:lang w:val="es-CO"/>
              </w:rPr>
              <w:t>2016</w:t>
            </w:r>
          </w:p>
        </w:tc>
        <w:tc>
          <w:tcPr>
            <w:tcW w:w="1633" w:type="dxa"/>
            <w:tcBorders>
              <w:top w:val="nil"/>
              <w:left w:val="nil"/>
              <w:bottom w:val="single" w:sz="4" w:space="0" w:color="auto"/>
              <w:right w:val="single" w:sz="4" w:space="0" w:color="auto"/>
            </w:tcBorders>
            <w:shd w:val="clear" w:color="auto" w:fill="auto"/>
          </w:tcPr>
          <w:p w14:paraId="2CD24522" w14:textId="77777777" w:rsidR="2AD7B484" w:rsidRPr="007F1030" w:rsidRDefault="2AD7B484" w:rsidP="00BF5121">
            <w:pPr>
              <w:jc w:val="right"/>
              <w:rPr>
                <w:rFonts w:ascii="Arial" w:hAnsi="Arial" w:cs="Arial"/>
                <w:lang w:val="es-CO"/>
              </w:rPr>
            </w:pPr>
            <w:r w:rsidRPr="007F1030">
              <w:rPr>
                <w:rFonts w:ascii="Arial" w:hAnsi="Arial" w:cs="Arial"/>
                <w:lang w:val="es-CO"/>
              </w:rPr>
              <w:t>$ 689.455,00</w:t>
            </w:r>
          </w:p>
        </w:tc>
        <w:tc>
          <w:tcPr>
            <w:tcW w:w="1417" w:type="dxa"/>
            <w:tcBorders>
              <w:top w:val="nil"/>
              <w:left w:val="nil"/>
              <w:bottom w:val="single" w:sz="4" w:space="0" w:color="auto"/>
              <w:right w:val="single" w:sz="4" w:space="0" w:color="auto"/>
            </w:tcBorders>
            <w:shd w:val="clear" w:color="auto" w:fill="auto"/>
          </w:tcPr>
          <w:p w14:paraId="54899E9E" w14:textId="77777777" w:rsidR="2AD7B484" w:rsidRPr="007F1030" w:rsidRDefault="2AD7B484" w:rsidP="00BF5121">
            <w:pPr>
              <w:jc w:val="center"/>
              <w:rPr>
                <w:rFonts w:ascii="Arial" w:hAnsi="Arial" w:cs="Arial"/>
                <w:lang w:val="es-CO"/>
              </w:rPr>
            </w:pPr>
            <w:r w:rsidRPr="007F1030">
              <w:rPr>
                <w:rFonts w:ascii="Arial" w:hAnsi="Arial" w:cs="Arial"/>
                <w:lang w:val="es-CO"/>
              </w:rPr>
              <w:t>14</w:t>
            </w:r>
          </w:p>
        </w:tc>
        <w:tc>
          <w:tcPr>
            <w:tcW w:w="1713" w:type="dxa"/>
            <w:tcBorders>
              <w:top w:val="nil"/>
              <w:left w:val="nil"/>
              <w:bottom w:val="single" w:sz="4" w:space="0" w:color="auto"/>
              <w:right w:val="single" w:sz="4" w:space="0" w:color="auto"/>
            </w:tcBorders>
            <w:shd w:val="clear" w:color="auto" w:fill="auto"/>
          </w:tcPr>
          <w:p w14:paraId="132C3AB5" w14:textId="77777777" w:rsidR="2AD7B484" w:rsidRPr="007F1030" w:rsidRDefault="2AD7B484" w:rsidP="00BF5121">
            <w:pPr>
              <w:jc w:val="right"/>
              <w:rPr>
                <w:rFonts w:ascii="Arial" w:hAnsi="Arial" w:cs="Arial"/>
                <w:lang w:val="es-CO"/>
              </w:rPr>
            </w:pPr>
            <w:r w:rsidRPr="007F1030">
              <w:rPr>
                <w:rFonts w:ascii="Arial" w:hAnsi="Arial" w:cs="Arial"/>
                <w:lang w:val="es-CO"/>
              </w:rPr>
              <w:t>$ 9.652.370</w:t>
            </w:r>
          </w:p>
        </w:tc>
      </w:tr>
      <w:tr w:rsidR="007F1030" w:rsidRPr="007F1030" w14:paraId="660F7828" w14:textId="77777777" w:rsidTr="00BF5121">
        <w:trPr>
          <w:trHeight w:val="300"/>
          <w:jc w:val="center"/>
        </w:trPr>
        <w:tc>
          <w:tcPr>
            <w:tcW w:w="1220" w:type="dxa"/>
            <w:tcBorders>
              <w:top w:val="nil"/>
              <w:left w:val="single" w:sz="4" w:space="0" w:color="auto"/>
              <w:bottom w:val="single" w:sz="4" w:space="0" w:color="auto"/>
              <w:right w:val="single" w:sz="4" w:space="0" w:color="auto"/>
            </w:tcBorders>
            <w:shd w:val="clear" w:color="auto" w:fill="auto"/>
          </w:tcPr>
          <w:p w14:paraId="205C43F3" w14:textId="77777777" w:rsidR="2AD7B484" w:rsidRPr="007F1030" w:rsidRDefault="2AD7B484" w:rsidP="00BF5121">
            <w:pPr>
              <w:jc w:val="center"/>
              <w:rPr>
                <w:rFonts w:ascii="Arial" w:hAnsi="Arial" w:cs="Arial"/>
                <w:lang w:val="es-CO"/>
              </w:rPr>
            </w:pPr>
            <w:r w:rsidRPr="007F1030">
              <w:rPr>
                <w:rFonts w:ascii="Arial" w:hAnsi="Arial" w:cs="Arial"/>
                <w:lang w:val="es-CO"/>
              </w:rPr>
              <w:t>2017</w:t>
            </w:r>
          </w:p>
        </w:tc>
        <w:tc>
          <w:tcPr>
            <w:tcW w:w="1633" w:type="dxa"/>
            <w:tcBorders>
              <w:top w:val="nil"/>
              <w:left w:val="nil"/>
              <w:bottom w:val="single" w:sz="4" w:space="0" w:color="auto"/>
              <w:right w:val="single" w:sz="4" w:space="0" w:color="auto"/>
            </w:tcBorders>
            <w:shd w:val="clear" w:color="auto" w:fill="auto"/>
          </w:tcPr>
          <w:p w14:paraId="1856C3E3" w14:textId="77777777" w:rsidR="2AD7B484" w:rsidRPr="007F1030" w:rsidRDefault="2AD7B484" w:rsidP="00BF5121">
            <w:pPr>
              <w:jc w:val="right"/>
              <w:rPr>
                <w:rFonts w:ascii="Arial" w:hAnsi="Arial" w:cs="Arial"/>
                <w:lang w:val="es-CO"/>
              </w:rPr>
            </w:pPr>
            <w:r w:rsidRPr="007F1030">
              <w:rPr>
                <w:rFonts w:ascii="Arial" w:hAnsi="Arial" w:cs="Arial"/>
                <w:lang w:val="es-CO"/>
              </w:rPr>
              <w:t>$ 737.717,00</w:t>
            </w:r>
          </w:p>
        </w:tc>
        <w:tc>
          <w:tcPr>
            <w:tcW w:w="1417" w:type="dxa"/>
            <w:tcBorders>
              <w:top w:val="nil"/>
              <w:left w:val="nil"/>
              <w:bottom w:val="single" w:sz="4" w:space="0" w:color="auto"/>
              <w:right w:val="single" w:sz="4" w:space="0" w:color="auto"/>
            </w:tcBorders>
            <w:shd w:val="clear" w:color="auto" w:fill="auto"/>
          </w:tcPr>
          <w:p w14:paraId="0CF91B9A" w14:textId="77777777" w:rsidR="2AD7B484" w:rsidRPr="007F1030" w:rsidRDefault="2AD7B484" w:rsidP="00BF5121">
            <w:pPr>
              <w:jc w:val="center"/>
              <w:rPr>
                <w:rFonts w:ascii="Arial" w:hAnsi="Arial" w:cs="Arial"/>
                <w:lang w:val="es-CO"/>
              </w:rPr>
            </w:pPr>
            <w:r w:rsidRPr="007F1030">
              <w:rPr>
                <w:rFonts w:ascii="Arial" w:hAnsi="Arial" w:cs="Arial"/>
                <w:lang w:val="es-CO"/>
              </w:rPr>
              <w:t>14</w:t>
            </w:r>
          </w:p>
        </w:tc>
        <w:tc>
          <w:tcPr>
            <w:tcW w:w="1713" w:type="dxa"/>
            <w:tcBorders>
              <w:top w:val="nil"/>
              <w:left w:val="nil"/>
              <w:bottom w:val="single" w:sz="4" w:space="0" w:color="auto"/>
              <w:right w:val="single" w:sz="4" w:space="0" w:color="auto"/>
            </w:tcBorders>
            <w:shd w:val="clear" w:color="auto" w:fill="auto"/>
          </w:tcPr>
          <w:p w14:paraId="6496E4D3" w14:textId="77777777" w:rsidR="2AD7B484" w:rsidRPr="007F1030" w:rsidRDefault="2AD7B484" w:rsidP="00BF5121">
            <w:pPr>
              <w:jc w:val="right"/>
              <w:rPr>
                <w:rFonts w:ascii="Arial" w:hAnsi="Arial" w:cs="Arial"/>
                <w:lang w:val="es-CO"/>
              </w:rPr>
            </w:pPr>
            <w:r w:rsidRPr="007F1030">
              <w:rPr>
                <w:rFonts w:ascii="Arial" w:hAnsi="Arial" w:cs="Arial"/>
                <w:lang w:val="es-CO"/>
              </w:rPr>
              <w:t>$ 10.328.038</w:t>
            </w:r>
          </w:p>
        </w:tc>
      </w:tr>
      <w:tr w:rsidR="007F1030" w:rsidRPr="007F1030" w14:paraId="7A8C4191" w14:textId="77777777" w:rsidTr="00BF5121">
        <w:trPr>
          <w:trHeight w:val="300"/>
          <w:jc w:val="center"/>
        </w:trPr>
        <w:tc>
          <w:tcPr>
            <w:tcW w:w="1220" w:type="dxa"/>
            <w:tcBorders>
              <w:top w:val="nil"/>
              <w:left w:val="single" w:sz="4" w:space="0" w:color="auto"/>
              <w:bottom w:val="single" w:sz="4" w:space="0" w:color="auto"/>
              <w:right w:val="single" w:sz="4" w:space="0" w:color="auto"/>
            </w:tcBorders>
            <w:shd w:val="clear" w:color="auto" w:fill="auto"/>
          </w:tcPr>
          <w:p w14:paraId="46B3D874" w14:textId="77777777" w:rsidR="2AD7B484" w:rsidRPr="007F1030" w:rsidRDefault="2AD7B484" w:rsidP="00BF5121">
            <w:pPr>
              <w:jc w:val="center"/>
              <w:rPr>
                <w:rFonts w:ascii="Arial" w:hAnsi="Arial" w:cs="Arial"/>
                <w:lang w:val="es-CO"/>
              </w:rPr>
            </w:pPr>
            <w:r w:rsidRPr="007F1030">
              <w:rPr>
                <w:rFonts w:ascii="Arial" w:hAnsi="Arial" w:cs="Arial"/>
                <w:lang w:val="es-CO"/>
              </w:rPr>
              <w:t>2018</w:t>
            </w:r>
          </w:p>
        </w:tc>
        <w:tc>
          <w:tcPr>
            <w:tcW w:w="1633" w:type="dxa"/>
            <w:tcBorders>
              <w:top w:val="nil"/>
              <w:left w:val="nil"/>
              <w:bottom w:val="single" w:sz="4" w:space="0" w:color="auto"/>
              <w:right w:val="single" w:sz="4" w:space="0" w:color="auto"/>
            </w:tcBorders>
            <w:shd w:val="clear" w:color="auto" w:fill="auto"/>
          </w:tcPr>
          <w:p w14:paraId="3B7900EA" w14:textId="77777777" w:rsidR="2AD7B484" w:rsidRPr="007F1030" w:rsidRDefault="2AD7B484" w:rsidP="00BF5121">
            <w:pPr>
              <w:jc w:val="right"/>
              <w:rPr>
                <w:rFonts w:ascii="Arial" w:hAnsi="Arial" w:cs="Arial"/>
                <w:lang w:val="es-CO"/>
              </w:rPr>
            </w:pPr>
            <w:r w:rsidRPr="007F1030">
              <w:rPr>
                <w:rFonts w:ascii="Arial" w:hAnsi="Arial" w:cs="Arial"/>
                <w:lang w:val="es-CO"/>
              </w:rPr>
              <w:t>$ 781.242,00</w:t>
            </w:r>
          </w:p>
        </w:tc>
        <w:tc>
          <w:tcPr>
            <w:tcW w:w="1417" w:type="dxa"/>
            <w:tcBorders>
              <w:top w:val="nil"/>
              <w:left w:val="nil"/>
              <w:bottom w:val="single" w:sz="4" w:space="0" w:color="auto"/>
              <w:right w:val="single" w:sz="4" w:space="0" w:color="auto"/>
            </w:tcBorders>
            <w:shd w:val="clear" w:color="auto" w:fill="auto"/>
          </w:tcPr>
          <w:p w14:paraId="4EFE347B" w14:textId="77777777" w:rsidR="2AD7B484" w:rsidRPr="007F1030" w:rsidRDefault="2AD7B484" w:rsidP="00BF5121">
            <w:pPr>
              <w:jc w:val="center"/>
              <w:rPr>
                <w:rFonts w:ascii="Arial" w:hAnsi="Arial" w:cs="Arial"/>
                <w:lang w:val="es-CO"/>
              </w:rPr>
            </w:pPr>
            <w:r w:rsidRPr="007F1030">
              <w:rPr>
                <w:rFonts w:ascii="Arial" w:hAnsi="Arial" w:cs="Arial"/>
                <w:lang w:val="es-CO"/>
              </w:rPr>
              <w:t>14</w:t>
            </w:r>
          </w:p>
        </w:tc>
        <w:tc>
          <w:tcPr>
            <w:tcW w:w="1713" w:type="dxa"/>
            <w:tcBorders>
              <w:top w:val="nil"/>
              <w:left w:val="nil"/>
              <w:bottom w:val="single" w:sz="4" w:space="0" w:color="auto"/>
              <w:right w:val="single" w:sz="4" w:space="0" w:color="auto"/>
            </w:tcBorders>
            <w:shd w:val="clear" w:color="auto" w:fill="auto"/>
          </w:tcPr>
          <w:p w14:paraId="0869A2A6" w14:textId="77777777" w:rsidR="2AD7B484" w:rsidRPr="007F1030" w:rsidRDefault="2AD7B484" w:rsidP="00BF5121">
            <w:pPr>
              <w:jc w:val="right"/>
              <w:rPr>
                <w:rFonts w:ascii="Arial" w:hAnsi="Arial" w:cs="Arial"/>
                <w:lang w:val="es-CO"/>
              </w:rPr>
            </w:pPr>
            <w:r w:rsidRPr="007F1030">
              <w:rPr>
                <w:rFonts w:ascii="Arial" w:hAnsi="Arial" w:cs="Arial"/>
                <w:lang w:val="es-CO"/>
              </w:rPr>
              <w:t>$ 10.937.388</w:t>
            </w:r>
          </w:p>
        </w:tc>
      </w:tr>
      <w:tr w:rsidR="007F1030" w:rsidRPr="007F1030" w14:paraId="36CF5221" w14:textId="77777777" w:rsidTr="00BF5121">
        <w:trPr>
          <w:trHeight w:val="300"/>
          <w:jc w:val="center"/>
        </w:trPr>
        <w:tc>
          <w:tcPr>
            <w:tcW w:w="1220" w:type="dxa"/>
            <w:tcBorders>
              <w:top w:val="nil"/>
              <w:left w:val="single" w:sz="4" w:space="0" w:color="auto"/>
              <w:bottom w:val="single" w:sz="4" w:space="0" w:color="auto"/>
              <w:right w:val="single" w:sz="4" w:space="0" w:color="auto"/>
            </w:tcBorders>
            <w:shd w:val="clear" w:color="auto" w:fill="auto"/>
          </w:tcPr>
          <w:p w14:paraId="1F1ABD16" w14:textId="77777777" w:rsidR="2AD7B484" w:rsidRPr="007F1030" w:rsidRDefault="2AD7B484" w:rsidP="00BF5121">
            <w:pPr>
              <w:jc w:val="center"/>
              <w:rPr>
                <w:rFonts w:ascii="Arial" w:hAnsi="Arial" w:cs="Arial"/>
                <w:lang w:val="es-CO"/>
              </w:rPr>
            </w:pPr>
            <w:r w:rsidRPr="007F1030">
              <w:rPr>
                <w:rFonts w:ascii="Arial" w:hAnsi="Arial" w:cs="Arial"/>
                <w:lang w:val="es-CO"/>
              </w:rPr>
              <w:t>2019</w:t>
            </w:r>
          </w:p>
        </w:tc>
        <w:tc>
          <w:tcPr>
            <w:tcW w:w="1633" w:type="dxa"/>
            <w:tcBorders>
              <w:top w:val="nil"/>
              <w:left w:val="nil"/>
              <w:bottom w:val="single" w:sz="4" w:space="0" w:color="auto"/>
              <w:right w:val="single" w:sz="4" w:space="0" w:color="auto"/>
            </w:tcBorders>
            <w:shd w:val="clear" w:color="auto" w:fill="auto"/>
          </w:tcPr>
          <w:p w14:paraId="35400D9C" w14:textId="77777777" w:rsidR="2AD7B484" w:rsidRPr="007F1030" w:rsidRDefault="2AD7B484" w:rsidP="00BF5121">
            <w:pPr>
              <w:jc w:val="right"/>
              <w:rPr>
                <w:rFonts w:ascii="Arial" w:hAnsi="Arial" w:cs="Arial"/>
                <w:lang w:val="es-CO"/>
              </w:rPr>
            </w:pPr>
            <w:r w:rsidRPr="007F1030">
              <w:rPr>
                <w:rFonts w:ascii="Arial" w:hAnsi="Arial" w:cs="Arial"/>
                <w:lang w:val="es-CO"/>
              </w:rPr>
              <w:t>$ 828.116,00</w:t>
            </w:r>
          </w:p>
        </w:tc>
        <w:tc>
          <w:tcPr>
            <w:tcW w:w="1417" w:type="dxa"/>
            <w:tcBorders>
              <w:top w:val="nil"/>
              <w:left w:val="nil"/>
              <w:bottom w:val="single" w:sz="4" w:space="0" w:color="auto"/>
              <w:right w:val="single" w:sz="4" w:space="0" w:color="auto"/>
            </w:tcBorders>
            <w:shd w:val="clear" w:color="auto" w:fill="auto"/>
          </w:tcPr>
          <w:p w14:paraId="5470A3E5" w14:textId="77777777" w:rsidR="2AD7B484" w:rsidRPr="007F1030" w:rsidRDefault="2AD7B484" w:rsidP="00BF5121">
            <w:pPr>
              <w:jc w:val="center"/>
              <w:rPr>
                <w:rFonts w:ascii="Arial" w:hAnsi="Arial" w:cs="Arial"/>
                <w:lang w:val="es-CO"/>
              </w:rPr>
            </w:pPr>
            <w:r w:rsidRPr="007F1030">
              <w:rPr>
                <w:rFonts w:ascii="Arial" w:hAnsi="Arial" w:cs="Arial"/>
                <w:lang w:val="es-CO"/>
              </w:rPr>
              <w:t>3</w:t>
            </w:r>
          </w:p>
        </w:tc>
        <w:tc>
          <w:tcPr>
            <w:tcW w:w="1713" w:type="dxa"/>
            <w:tcBorders>
              <w:top w:val="nil"/>
              <w:left w:val="nil"/>
              <w:bottom w:val="single" w:sz="4" w:space="0" w:color="auto"/>
              <w:right w:val="single" w:sz="4" w:space="0" w:color="auto"/>
            </w:tcBorders>
            <w:shd w:val="clear" w:color="auto" w:fill="auto"/>
          </w:tcPr>
          <w:p w14:paraId="26F4701F" w14:textId="77777777" w:rsidR="2AD7B484" w:rsidRPr="007F1030" w:rsidRDefault="2AD7B484" w:rsidP="00BF5121">
            <w:pPr>
              <w:jc w:val="right"/>
              <w:rPr>
                <w:rFonts w:ascii="Arial" w:hAnsi="Arial" w:cs="Arial"/>
                <w:lang w:val="es-CO"/>
              </w:rPr>
            </w:pPr>
            <w:r w:rsidRPr="007F1030">
              <w:rPr>
                <w:rFonts w:ascii="Arial" w:hAnsi="Arial" w:cs="Arial"/>
                <w:lang w:val="es-CO"/>
              </w:rPr>
              <w:t>$ 2.484.348</w:t>
            </w:r>
          </w:p>
        </w:tc>
      </w:tr>
      <w:tr w:rsidR="007F1030" w:rsidRPr="007F1030" w14:paraId="4B8C7DA2" w14:textId="77777777" w:rsidTr="00BF5121">
        <w:trPr>
          <w:trHeight w:val="300"/>
          <w:jc w:val="center"/>
        </w:trPr>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14:paraId="7CC199A8" w14:textId="77777777" w:rsidR="2AD7B484" w:rsidRPr="007F1030" w:rsidRDefault="2AD7B484" w:rsidP="00BF5121">
            <w:pPr>
              <w:jc w:val="center"/>
              <w:rPr>
                <w:rFonts w:ascii="Arial" w:hAnsi="Arial" w:cs="Arial"/>
                <w:b/>
                <w:bCs/>
                <w:lang w:val="es-CO"/>
              </w:rPr>
            </w:pPr>
            <w:r w:rsidRPr="007F1030">
              <w:rPr>
                <w:rFonts w:ascii="Arial" w:hAnsi="Arial" w:cs="Arial"/>
                <w:b/>
                <w:bCs/>
                <w:lang w:val="es-CO"/>
              </w:rPr>
              <w:t xml:space="preserve">Total </w:t>
            </w:r>
          </w:p>
        </w:tc>
        <w:tc>
          <w:tcPr>
            <w:tcW w:w="3130" w:type="dxa"/>
            <w:gridSpan w:val="2"/>
            <w:tcBorders>
              <w:top w:val="single" w:sz="4" w:space="0" w:color="auto"/>
              <w:left w:val="nil"/>
              <w:bottom w:val="single" w:sz="4" w:space="0" w:color="auto"/>
              <w:right w:val="single" w:sz="4" w:space="0" w:color="000000" w:themeColor="text1"/>
            </w:tcBorders>
            <w:shd w:val="clear" w:color="auto" w:fill="auto"/>
          </w:tcPr>
          <w:p w14:paraId="20F01E3E" w14:textId="77777777" w:rsidR="2AD7B484" w:rsidRPr="007F1030" w:rsidRDefault="2AD7B484" w:rsidP="00BF5121">
            <w:pPr>
              <w:jc w:val="center"/>
              <w:rPr>
                <w:rFonts w:ascii="Arial" w:hAnsi="Arial" w:cs="Arial"/>
                <w:b/>
                <w:bCs/>
                <w:lang w:val="es-CO"/>
              </w:rPr>
            </w:pPr>
            <w:r w:rsidRPr="007F1030">
              <w:rPr>
                <w:rFonts w:ascii="Arial" w:hAnsi="Arial" w:cs="Arial"/>
                <w:b/>
                <w:bCs/>
                <w:lang w:val="es-CO"/>
              </w:rPr>
              <w:t>$ 49.260.644</w:t>
            </w:r>
          </w:p>
        </w:tc>
      </w:tr>
    </w:tbl>
    <w:p w14:paraId="012757D4" w14:textId="1DD67D68" w:rsidR="2AD7B484" w:rsidRPr="007F1030" w:rsidRDefault="2AD7B484" w:rsidP="007F1030">
      <w:pPr>
        <w:spacing w:line="276" w:lineRule="auto"/>
        <w:ind w:firstLine="708"/>
        <w:jc w:val="both"/>
        <w:rPr>
          <w:rFonts w:ascii="Arial" w:eastAsia="Arial" w:hAnsi="Arial" w:cs="Arial"/>
        </w:rPr>
      </w:pPr>
    </w:p>
    <w:p w14:paraId="5563AB25" w14:textId="4A7FDD10" w:rsidR="07344CE5" w:rsidRPr="007F1030" w:rsidRDefault="07344CE5" w:rsidP="007F1030">
      <w:pPr>
        <w:spacing w:line="276" w:lineRule="auto"/>
        <w:ind w:firstLine="708"/>
        <w:jc w:val="both"/>
        <w:rPr>
          <w:rFonts w:ascii="Arial" w:eastAsia="Arial" w:hAnsi="Arial" w:cs="Arial"/>
        </w:rPr>
      </w:pPr>
      <w:r w:rsidRPr="007F1030">
        <w:rPr>
          <w:rFonts w:ascii="Arial" w:eastAsia="Arial" w:hAnsi="Arial" w:cs="Arial"/>
        </w:rPr>
        <w:t xml:space="preserve">Ahora, al actualizar el valor del retroactivo por hasta el 31 de julio de la presente anualidad, </w:t>
      </w:r>
      <w:r w:rsidR="29FB3AFF" w:rsidRPr="007F1030">
        <w:rPr>
          <w:rFonts w:ascii="Arial" w:eastAsia="Arial" w:hAnsi="Arial" w:cs="Arial"/>
        </w:rPr>
        <w:t>asciende a un total de $65.392.344, suma de la que deberá</w:t>
      </w:r>
      <w:r w:rsidR="7B417820" w:rsidRPr="007F1030">
        <w:rPr>
          <w:rFonts w:ascii="Arial" w:eastAsia="Arial" w:hAnsi="Arial" w:cs="Arial"/>
        </w:rPr>
        <w:t>n</w:t>
      </w:r>
      <w:r w:rsidR="29FB3AFF" w:rsidRPr="007F1030">
        <w:rPr>
          <w:rFonts w:ascii="Arial" w:eastAsia="Arial" w:hAnsi="Arial" w:cs="Arial"/>
        </w:rPr>
        <w:t xml:space="preserve"> realizarse los descuentos de ley y que </w:t>
      </w:r>
      <w:r w:rsidR="172B4F8B" w:rsidRPr="007F1030">
        <w:rPr>
          <w:rFonts w:ascii="Arial" w:eastAsia="Arial" w:hAnsi="Arial" w:cs="Arial"/>
        </w:rPr>
        <w:t xml:space="preserve">se especifica en el siguiente cuadro: </w:t>
      </w:r>
    </w:p>
    <w:p w14:paraId="22C34E5B" w14:textId="5FF3A640" w:rsidR="0FFB5EB8" w:rsidRPr="007F1030" w:rsidRDefault="0FFB5EB8" w:rsidP="007F1030">
      <w:pPr>
        <w:spacing w:line="276" w:lineRule="auto"/>
        <w:ind w:firstLine="708"/>
        <w:jc w:val="both"/>
        <w:rPr>
          <w:rFonts w:ascii="Arial" w:eastAsia="Arial" w:hAnsi="Arial" w:cs="Arial"/>
        </w:rPr>
      </w:pPr>
    </w:p>
    <w:tbl>
      <w:tblPr>
        <w:tblStyle w:val="Tablaconcuadrcula"/>
        <w:tblW w:w="0" w:type="auto"/>
        <w:jc w:val="center"/>
        <w:tblLayout w:type="fixed"/>
        <w:tblLook w:val="06A0" w:firstRow="1" w:lastRow="0" w:firstColumn="1" w:lastColumn="0" w:noHBand="1" w:noVBand="1"/>
      </w:tblPr>
      <w:tblGrid>
        <w:gridCol w:w="1215"/>
        <w:gridCol w:w="1365"/>
        <w:gridCol w:w="1650"/>
        <w:gridCol w:w="1890"/>
      </w:tblGrid>
      <w:tr w:rsidR="007F1030" w:rsidRPr="007F1030" w14:paraId="2332A085" w14:textId="77777777" w:rsidTr="0FFB5EB8">
        <w:trPr>
          <w:trHeight w:val="660"/>
          <w:jc w:val="center"/>
        </w:trPr>
        <w:tc>
          <w:tcPr>
            <w:tcW w:w="121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3F1258D3" w14:textId="51E77610" w:rsidR="0FFB5EB8" w:rsidRPr="007F1030" w:rsidRDefault="0FFB5EB8" w:rsidP="00BF5121">
            <w:pPr>
              <w:jc w:val="center"/>
              <w:rPr>
                <w:rFonts w:ascii="Arial" w:eastAsia="Arial" w:hAnsi="Arial" w:cs="Arial"/>
                <w:b/>
                <w:bCs/>
              </w:rPr>
            </w:pPr>
            <w:r w:rsidRPr="007F1030">
              <w:rPr>
                <w:rFonts w:ascii="Arial" w:eastAsia="Arial" w:hAnsi="Arial" w:cs="Arial"/>
                <w:b/>
                <w:bCs/>
              </w:rPr>
              <w:t xml:space="preserve">Periodo </w:t>
            </w:r>
          </w:p>
        </w:tc>
        <w:tc>
          <w:tcPr>
            <w:tcW w:w="1365" w:type="dxa"/>
            <w:vMerge w:val="restart"/>
            <w:tcBorders>
              <w:top w:val="single" w:sz="4" w:space="0" w:color="auto"/>
              <w:left w:val="single" w:sz="4" w:space="0" w:color="auto"/>
              <w:bottom w:val="single" w:sz="4" w:space="0" w:color="000000" w:themeColor="text1"/>
              <w:right w:val="single" w:sz="4" w:space="0" w:color="auto"/>
            </w:tcBorders>
            <w:shd w:val="clear" w:color="auto" w:fill="CCCCCC"/>
            <w:vAlign w:val="center"/>
          </w:tcPr>
          <w:p w14:paraId="77FB0A52" w14:textId="638B92E7" w:rsidR="0FFB5EB8" w:rsidRPr="007F1030" w:rsidRDefault="0FFB5EB8" w:rsidP="00BF5121">
            <w:pPr>
              <w:jc w:val="center"/>
              <w:rPr>
                <w:rFonts w:ascii="Arial" w:eastAsia="Arial" w:hAnsi="Arial" w:cs="Arial"/>
                <w:b/>
                <w:bCs/>
              </w:rPr>
            </w:pPr>
            <w:r w:rsidRPr="007F1030">
              <w:rPr>
                <w:rFonts w:ascii="Arial" w:eastAsia="Arial" w:hAnsi="Arial" w:cs="Arial"/>
                <w:b/>
                <w:bCs/>
              </w:rPr>
              <w:t>Mesada</w:t>
            </w:r>
          </w:p>
        </w:tc>
        <w:tc>
          <w:tcPr>
            <w:tcW w:w="1650" w:type="dxa"/>
            <w:vMerge w:val="restart"/>
            <w:tcBorders>
              <w:top w:val="single" w:sz="4" w:space="0" w:color="auto"/>
              <w:left w:val="single" w:sz="4" w:space="0" w:color="auto"/>
              <w:bottom w:val="single" w:sz="4" w:space="0" w:color="000000" w:themeColor="text1"/>
              <w:right w:val="single" w:sz="4" w:space="0" w:color="auto"/>
            </w:tcBorders>
            <w:shd w:val="clear" w:color="auto" w:fill="CCCCCC"/>
            <w:vAlign w:val="center"/>
          </w:tcPr>
          <w:p w14:paraId="04017137" w14:textId="6B8EA27B" w:rsidR="0FFB5EB8" w:rsidRPr="007F1030" w:rsidRDefault="0FFB5EB8" w:rsidP="00BF5121">
            <w:pPr>
              <w:jc w:val="center"/>
              <w:rPr>
                <w:rFonts w:ascii="Arial" w:eastAsia="Arial" w:hAnsi="Arial" w:cs="Arial"/>
                <w:b/>
                <w:bCs/>
              </w:rPr>
            </w:pPr>
            <w:r w:rsidRPr="007F1030">
              <w:rPr>
                <w:rFonts w:ascii="Arial" w:eastAsia="Arial" w:hAnsi="Arial" w:cs="Arial"/>
                <w:b/>
                <w:bCs/>
              </w:rPr>
              <w:t xml:space="preserve">Nº Mesadas </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572F77CC" w14:textId="7DD8C9A7" w:rsidR="0FFB5EB8" w:rsidRPr="007F1030" w:rsidRDefault="0FFB5EB8" w:rsidP="00BF5121">
            <w:pPr>
              <w:jc w:val="center"/>
              <w:rPr>
                <w:rFonts w:ascii="Arial" w:eastAsia="Arial" w:hAnsi="Arial" w:cs="Arial"/>
                <w:b/>
                <w:bCs/>
              </w:rPr>
            </w:pPr>
            <w:r w:rsidRPr="007F1030">
              <w:rPr>
                <w:rFonts w:ascii="Arial" w:eastAsia="Arial" w:hAnsi="Arial" w:cs="Arial"/>
                <w:b/>
                <w:bCs/>
              </w:rPr>
              <w:t xml:space="preserve">Total </w:t>
            </w:r>
          </w:p>
        </w:tc>
      </w:tr>
      <w:tr w:rsidR="007F1030" w:rsidRPr="007F1030" w14:paraId="021B77F9" w14:textId="77777777" w:rsidTr="0FFB5EB8">
        <w:trPr>
          <w:trHeight w:val="405"/>
          <w:jc w:val="center"/>
        </w:trPr>
        <w:tc>
          <w:tcPr>
            <w:tcW w:w="1215" w:type="dxa"/>
            <w:vMerge/>
            <w:tcBorders>
              <w:left w:val="single" w:sz="0" w:space="0" w:color="auto"/>
              <w:bottom w:val="single" w:sz="0" w:space="0" w:color="auto"/>
              <w:right w:val="single" w:sz="0" w:space="0" w:color="auto"/>
            </w:tcBorders>
            <w:vAlign w:val="center"/>
          </w:tcPr>
          <w:p w14:paraId="1261601B" w14:textId="77777777" w:rsidR="00E07364" w:rsidRPr="007F1030" w:rsidRDefault="00E07364" w:rsidP="00BF5121">
            <w:pPr>
              <w:rPr>
                <w:rFonts w:ascii="Arial" w:hAnsi="Arial" w:cs="Arial"/>
              </w:rPr>
            </w:pPr>
          </w:p>
        </w:tc>
        <w:tc>
          <w:tcPr>
            <w:tcW w:w="1365" w:type="dxa"/>
            <w:vMerge/>
            <w:tcBorders>
              <w:left w:val="single" w:sz="0" w:space="0" w:color="auto"/>
              <w:bottom w:val="single" w:sz="0" w:space="0" w:color="000000" w:themeColor="text1"/>
              <w:right w:val="single" w:sz="0" w:space="0" w:color="auto"/>
            </w:tcBorders>
            <w:vAlign w:val="center"/>
          </w:tcPr>
          <w:p w14:paraId="42E196F0" w14:textId="77777777" w:rsidR="00E07364" w:rsidRPr="007F1030" w:rsidRDefault="00E07364" w:rsidP="00BF5121">
            <w:pPr>
              <w:rPr>
                <w:rFonts w:ascii="Arial" w:hAnsi="Arial" w:cs="Arial"/>
              </w:rPr>
            </w:pPr>
          </w:p>
        </w:tc>
        <w:tc>
          <w:tcPr>
            <w:tcW w:w="1650" w:type="dxa"/>
            <w:vMerge/>
            <w:tcBorders>
              <w:left w:val="single" w:sz="0" w:space="0" w:color="auto"/>
              <w:bottom w:val="single" w:sz="0" w:space="0" w:color="000000" w:themeColor="text1"/>
              <w:right w:val="single" w:sz="0" w:space="0" w:color="auto"/>
            </w:tcBorders>
            <w:vAlign w:val="center"/>
          </w:tcPr>
          <w:p w14:paraId="3B8882CF" w14:textId="77777777" w:rsidR="00E07364" w:rsidRPr="007F1030" w:rsidRDefault="00E07364" w:rsidP="00BF5121">
            <w:pPr>
              <w:rPr>
                <w:rFonts w:ascii="Arial" w:hAnsi="Arial" w:cs="Arial"/>
              </w:rPr>
            </w:pPr>
          </w:p>
        </w:tc>
        <w:tc>
          <w:tcPr>
            <w:tcW w:w="1890" w:type="dxa"/>
            <w:vMerge/>
            <w:tcBorders>
              <w:left w:val="single" w:sz="0" w:space="0" w:color="auto"/>
              <w:bottom w:val="single" w:sz="0" w:space="0" w:color="auto"/>
              <w:right w:val="single" w:sz="0" w:space="0" w:color="auto"/>
            </w:tcBorders>
            <w:vAlign w:val="center"/>
          </w:tcPr>
          <w:p w14:paraId="4F040323" w14:textId="77777777" w:rsidR="00E07364" w:rsidRPr="007F1030" w:rsidRDefault="00E07364" w:rsidP="00BF5121">
            <w:pPr>
              <w:rPr>
                <w:rFonts w:ascii="Arial" w:hAnsi="Arial" w:cs="Arial"/>
              </w:rPr>
            </w:pPr>
          </w:p>
        </w:tc>
      </w:tr>
      <w:tr w:rsidR="007F1030" w:rsidRPr="007F1030" w14:paraId="20CCBDA6" w14:textId="77777777" w:rsidTr="0FFB5EB8">
        <w:trPr>
          <w:trHeight w:val="255"/>
          <w:jc w:val="center"/>
        </w:trPr>
        <w:tc>
          <w:tcPr>
            <w:tcW w:w="1215" w:type="dxa"/>
            <w:tcBorders>
              <w:top w:val="nil"/>
              <w:left w:val="single" w:sz="4" w:space="0" w:color="auto"/>
              <w:bottom w:val="single" w:sz="4" w:space="0" w:color="auto"/>
              <w:right w:val="single" w:sz="4" w:space="0" w:color="auto"/>
            </w:tcBorders>
          </w:tcPr>
          <w:p w14:paraId="34583064" w14:textId="5AC9E914" w:rsidR="0FFB5EB8" w:rsidRPr="007F1030" w:rsidRDefault="0FFB5EB8" w:rsidP="00BF5121">
            <w:pPr>
              <w:jc w:val="center"/>
              <w:rPr>
                <w:rFonts w:ascii="Arial" w:eastAsia="Arial" w:hAnsi="Arial" w:cs="Arial"/>
              </w:rPr>
            </w:pPr>
            <w:r w:rsidRPr="007F1030">
              <w:rPr>
                <w:rFonts w:ascii="Arial" w:eastAsia="Arial" w:hAnsi="Arial" w:cs="Arial"/>
              </w:rPr>
              <w:t>2014</w:t>
            </w:r>
          </w:p>
        </w:tc>
        <w:tc>
          <w:tcPr>
            <w:tcW w:w="1365" w:type="dxa"/>
            <w:tcBorders>
              <w:top w:val="nil"/>
              <w:left w:val="single" w:sz="4" w:space="0" w:color="auto"/>
              <w:bottom w:val="single" w:sz="4" w:space="0" w:color="auto"/>
              <w:right w:val="single" w:sz="4" w:space="0" w:color="auto"/>
            </w:tcBorders>
          </w:tcPr>
          <w:p w14:paraId="0E7B2B1D" w14:textId="2027B153" w:rsidR="0FFB5EB8" w:rsidRPr="007F1030" w:rsidRDefault="0FFB5EB8" w:rsidP="00BF5121">
            <w:pPr>
              <w:jc w:val="right"/>
              <w:rPr>
                <w:rFonts w:ascii="Arial" w:eastAsia="Arial" w:hAnsi="Arial" w:cs="Arial"/>
              </w:rPr>
            </w:pPr>
            <w:r w:rsidRPr="007F1030">
              <w:rPr>
                <w:rFonts w:ascii="Arial" w:eastAsia="Arial" w:hAnsi="Arial" w:cs="Arial"/>
              </w:rPr>
              <w:t>$ 616.000</w:t>
            </w:r>
          </w:p>
        </w:tc>
        <w:tc>
          <w:tcPr>
            <w:tcW w:w="1650" w:type="dxa"/>
            <w:tcBorders>
              <w:top w:val="nil"/>
              <w:left w:val="single" w:sz="4" w:space="0" w:color="auto"/>
              <w:bottom w:val="single" w:sz="4" w:space="0" w:color="auto"/>
              <w:right w:val="single" w:sz="4" w:space="0" w:color="auto"/>
            </w:tcBorders>
          </w:tcPr>
          <w:p w14:paraId="5D0F3AEC" w14:textId="17577B80" w:rsidR="0FFB5EB8" w:rsidRPr="007F1030" w:rsidRDefault="0FFB5EB8" w:rsidP="00BF5121">
            <w:pPr>
              <w:jc w:val="center"/>
              <w:rPr>
                <w:rFonts w:ascii="Arial" w:eastAsia="Arial" w:hAnsi="Arial" w:cs="Arial"/>
              </w:rPr>
            </w:pPr>
            <w:r w:rsidRPr="007F1030">
              <w:rPr>
                <w:rFonts w:ascii="Arial" w:eastAsia="Arial" w:hAnsi="Arial" w:cs="Arial"/>
              </w:rPr>
              <w:t>11,10</w:t>
            </w:r>
          </w:p>
        </w:tc>
        <w:tc>
          <w:tcPr>
            <w:tcW w:w="1890" w:type="dxa"/>
            <w:tcBorders>
              <w:top w:val="nil"/>
              <w:left w:val="single" w:sz="4" w:space="0" w:color="auto"/>
              <w:bottom w:val="single" w:sz="4" w:space="0" w:color="auto"/>
              <w:right w:val="single" w:sz="4" w:space="0" w:color="auto"/>
            </w:tcBorders>
          </w:tcPr>
          <w:p w14:paraId="36EF6E45" w14:textId="3B9A4FB8" w:rsidR="0FFB5EB8" w:rsidRPr="007F1030" w:rsidRDefault="0FFB5EB8" w:rsidP="00BF5121">
            <w:pPr>
              <w:jc w:val="right"/>
              <w:rPr>
                <w:rFonts w:ascii="Arial" w:eastAsia="Arial" w:hAnsi="Arial" w:cs="Arial"/>
              </w:rPr>
            </w:pPr>
            <w:r w:rsidRPr="007F1030">
              <w:rPr>
                <w:rFonts w:ascii="Arial" w:eastAsia="Arial" w:hAnsi="Arial" w:cs="Arial"/>
              </w:rPr>
              <w:t>$ 6.837.600</w:t>
            </w:r>
          </w:p>
        </w:tc>
      </w:tr>
      <w:tr w:rsidR="007F1030" w:rsidRPr="007F1030" w14:paraId="2A5C4AAE" w14:textId="77777777" w:rsidTr="0FFB5EB8">
        <w:trPr>
          <w:trHeight w:val="255"/>
          <w:jc w:val="center"/>
        </w:trPr>
        <w:tc>
          <w:tcPr>
            <w:tcW w:w="1215" w:type="dxa"/>
            <w:tcBorders>
              <w:top w:val="single" w:sz="4" w:space="0" w:color="auto"/>
              <w:left w:val="single" w:sz="4" w:space="0" w:color="auto"/>
              <w:bottom w:val="single" w:sz="4" w:space="0" w:color="auto"/>
              <w:right w:val="single" w:sz="4" w:space="0" w:color="auto"/>
            </w:tcBorders>
          </w:tcPr>
          <w:p w14:paraId="1EE17178" w14:textId="6A4ABE7C" w:rsidR="0FFB5EB8" w:rsidRPr="007F1030" w:rsidRDefault="0FFB5EB8" w:rsidP="00BF5121">
            <w:pPr>
              <w:jc w:val="center"/>
              <w:rPr>
                <w:rFonts w:ascii="Arial" w:eastAsia="Arial" w:hAnsi="Arial" w:cs="Arial"/>
              </w:rPr>
            </w:pPr>
            <w:r w:rsidRPr="007F1030">
              <w:rPr>
                <w:rFonts w:ascii="Arial" w:eastAsia="Arial" w:hAnsi="Arial" w:cs="Arial"/>
              </w:rPr>
              <w:t>2015</w:t>
            </w:r>
          </w:p>
        </w:tc>
        <w:tc>
          <w:tcPr>
            <w:tcW w:w="1365" w:type="dxa"/>
            <w:tcBorders>
              <w:top w:val="single" w:sz="4" w:space="0" w:color="auto"/>
              <w:left w:val="single" w:sz="4" w:space="0" w:color="auto"/>
              <w:bottom w:val="single" w:sz="4" w:space="0" w:color="000000" w:themeColor="text1"/>
              <w:right w:val="single" w:sz="4" w:space="0" w:color="auto"/>
            </w:tcBorders>
          </w:tcPr>
          <w:p w14:paraId="326D43D8" w14:textId="1ED43585" w:rsidR="0FFB5EB8" w:rsidRPr="007F1030" w:rsidRDefault="0FFB5EB8" w:rsidP="00BF5121">
            <w:pPr>
              <w:jc w:val="right"/>
              <w:rPr>
                <w:rFonts w:ascii="Arial" w:eastAsia="Arial" w:hAnsi="Arial" w:cs="Arial"/>
              </w:rPr>
            </w:pPr>
            <w:r w:rsidRPr="007F1030">
              <w:rPr>
                <w:rFonts w:ascii="Arial" w:eastAsia="Arial" w:hAnsi="Arial" w:cs="Arial"/>
              </w:rPr>
              <w:t>$ 644.350</w:t>
            </w:r>
          </w:p>
        </w:tc>
        <w:tc>
          <w:tcPr>
            <w:tcW w:w="1650" w:type="dxa"/>
            <w:tcBorders>
              <w:top w:val="single" w:sz="4" w:space="0" w:color="auto"/>
              <w:left w:val="single" w:sz="4" w:space="0" w:color="auto"/>
              <w:bottom w:val="single" w:sz="4" w:space="0" w:color="000000" w:themeColor="text1"/>
              <w:right w:val="single" w:sz="4" w:space="0" w:color="auto"/>
            </w:tcBorders>
          </w:tcPr>
          <w:p w14:paraId="20D83C4B" w14:textId="32E746A0" w:rsidR="0FFB5EB8" w:rsidRPr="007F1030" w:rsidRDefault="0FFB5EB8" w:rsidP="00BF5121">
            <w:pPr>
              <w:jc w:val="center"/>
              <w:rPr>
                <w:rFonts w:ascii="Arial" w:eastAsia="Arial" w:hAnsi="Arial" w:cs="Arial"/>
              </w:rPr>
            </w:pPr>
            <w:r w:rsidRPr="007F1030">
              <w:rPr>
                <w:rFonts w:ascii="Arial" w:eastAsia="Arial" w:hAnsi="Arial" w:cs="Arial"/>
              </w:rPr>
              <w:t>14</w:t>
            </w:r>
          </w:p>
        </w:tc>
        <w:tc>
          <w:tcPr>
            <w:tcW w:w="1890" w:type="dxa"/>
            <w:tcBorders>
              <w:top w:val="single" w:sz="4" w:space="0" w:color="auto"/>
              <w:left w:val="single" w:sz="4" w:space="0" w:color="auto"/>
              <w:bottom w:val="single" w:sz="4" w:space="0" w:color="auto"/>
              <w:right w:val="single" w:sz="4" w:space="0" w:color="auto"/>
            </w:tcBorders>
          </w:tcPr>
          <w:p w14:paraId="32F03966" w14:textId="2008A447" w:rsidR="0FFB5EB8" w:rsidRPr="007F1030" w:rsidRDefault="0FFB5EB8" w:rsidP="00BF5121">
            <w:pPr>
              <w:jc w:val="right"/>
              <w:rPr>
                <w:rFonts w:ascii="Arial" w:eastAsia="Arial" w:hAnsi="Arial" w:cs="Arial"/>
              </w:rPr>
            </w:pPr>
            <w:r w:rsidRPr="007F1030">
              <w:rPr>
                <w:rFonts w:ascii="Arial" w:eastAsia="Arial" w:hAnsi="Arial" w:cs="Arial"/>
              </w:rPr>
              <w:t>$ 9.020.900</w:t>
            </w:r>
          </w:p>
        </w:tc>
      </w:tr>
      <w:tr w:rsidR="007F1030" w:rsidRPr="007F1030" w14:paraId="7C2654B2" w14:textId="77777777" w:rsidTr="0FFB5EB8">
        <w:trPr>
          <w:trHeight w:val="255"/>
          <w:jc w:val="center"/>
        </w:trPr>
        <w:tc>
          <w:tcPr>
            <w:tcW w:w="1215" w:type="dxa"/>
            <w:tcBorders>
              <w:top w:val="single" w:sz="4" w:space="0" w:color="auto"/>
              <w:left w:val="single" w:sz="4" w:space="0" w:color="auto"/>
              <w:bottom w:val="single" w:sz="4" w:space="0" w:color="auto"/>
              <w:right w:val="single" w:sz="4" w:space="0" w:color="auto"/>
            </w:tcBorders>
          </w:tcPr>
          <w:p w14:paraId="5251A065" w14:textId="22847059" w:rsidR="0FFB5EB8" w:rsidRPr="007F1030" w:rsidRDefault="0FFB5EB8" w:rsidP="00BF5121">
            <w:pPr>
              <w:jc w:val="center"/>
              <w:rPr>
                <w:rFonts w:ascii="Arial" w:eastAsia="Arial" w:hAnsi="Arial" w:cs="Arial"/>
              </w:rPr>
            </w:pPr>
            <w:r w:rsidRPr="007F1030">
              <w:rPr>
                <w:rFonts w:ascii="Arial" w:eastAsia="Arial" w:hAnsi="Arial" w:cs="Arial"/>
              </w:rPr>
              <w:t>2016</w:t>
            </w:r>
          </w:p>
        </w:tc>
        <w:tc>
          <w:tcPr>
            <w:tcW w:w="1365" w:type="dxa"/>
            <w:tcBorders>
              <w:top w:val="single" w:sz="4" w:space="0" w:color="auto"/>
              <w:left w:val="single" w:sz="4" w:space="0" w:color="auto"/>
              <w:bottom w:val="single" w:sz="4" w:space="0" w:color="auto"/>
              <w:right w:val="single" w:sz="4" w:space="0" w:color="auto"/>
            </w:tcBorders>
          </w:tcPr>
          <w:p w14:paraId="40FB7EE5" w14:textId="261FB01E" w:rsidR="0FFB5EB8" w:rsidRPr="007F1030" w:rsidRDefault="0FFB5EB8" w:rsidP="00BF5121">
            <w:pPr>
              <w:jc w:val="right"/>
              <w:rPr>
                <w:rFonts w:ascii="Arial" w:eastAsia="Arial" w:hAnsi="Arial" w:cs="Arial"/>
              </w:rPr>
            </w:pPr>
            <w:r w:rsidRPr="007F1030">
              <w:rPr>
                <w:rFonts w:ascii="Arial" w:eastAsia="Arial" w:hAnsi="Arial" w:cs="Arial"/>
              </w:rPr>
              <w:t>$ 689.455</w:t>
            </w:r>
          </w:p>
        </w:tc>
        <w:tc>
          <w:tcPr>
            <w:tcW w:w="1650" w:type="dxa"/>
            <w:tcBorders>
              <w:top w:val="single" w:sz="4" w:space="0" w:color="auto"/>
              <w:left w:val="single" w:sz="4" w:space="0" w:color="auto"/>
              <w:bottom w:val="single" w:sz="4" w:space="0" w:color="auto"/>
              <w:right w:val="single" w:sz="4" w:space="0" w:color="auto"/>
            </w:tcBorders>
          </w:tcPr>
          <w:p w14:paraId="45DD2B7F" w14:textId="7612DE37" w:rsidR="0FFB5EB8" w:rsidRPr="007F1030" w:rsidRDefault="0FFB5EB8" w:rsidP="00BF5121">
            <w:pPr>
              <w:jc w:val="center"/>
              <w:rPr>
                <w:rFonts w:ascii="Arial" w:eastAsia="Arial" w:hAnsi="Arial" w:cs="Arial"/>
              </w:rPr>
            </w:pPr>
            <w:r w:rsidRPr="007F1030">
              <w:rPr>
                <w:rFonts w:ascii="Arial" w:eastAsia="Arial" w:hAnsi="Arial" w:cs="Arial"/>
              </w:rPr>
              <w:t>14</w:t>
            </w:r>
          </w:p>
        </w:tc>
        <w:tc>
          <w:tcPr>
            <w:tcW w:w="1890" w:type="dxa"/>
            <w:tcBorders>
              <w:top w:val="single" w:sz="4" w:space="0" w:color="auto"/>
              <w:left w:val="single" w:sz="4" w:space="0" w:color="auto"/>
              <w:bottom w:val="single" w:sz="4" w:space="0" w:color="auto"/>
              <w:right w:val="single" w:sz="4" w:space="0" w:color="auto"/>
            </w:tcBorders>
          </w:tcPr>
          <w:p w14:paraId="0CE590AF" w14:textId="44001BA9" w:rsidR="0FFB5EB8" w:rsidRPr="007F1030" w:rsidRDefault="0FFB5EB8" w:rsidP="00BF5121">
            <w:pPr>
              <w:jc w:val="right"/>
              <w:rPr>
                <w:rFonts w:ascii="Arial" w:eastAsia="Arial" w:hAnsi="Arial" w:cs="Arial"/>
              </w:rPr>
            </w:pPr>
            <w:r w:rsidRPr="007F1030">
              <w:rPr>
                <w:rFonts w:ascii="Arial" w:eastAsia="Arial" w:hAnsi="Arial" w:cs="Arial"/>
              </w:rPr>
              <w:t>$ 9.652.370</w:t>
            </w:r>
          </w:p>
        </w:tc>
      </w:tr>
      <w:tr w:rsidR="007F1030" w:rsidRPr="007F1030" w14:paraId="28D075A0" w14:textId="77777777" w:rsidTr="0FFB5EB8">
        <w:trPr>
          <w:trHeight w:val="255"/>
          <w:jc w:val="center"/>
        </w:trPr>
        <w:tc>
          <w:tcPr>
            <w:tcW w:w="1215" w:type="dxa"/>
            <w:tcBorders>
              <w:top w:val="single" w:sz="4" w:space="0" w:color="auto"/>
              <w:left w:val="single" w:sz="4" w:space="0" w:color="auto"/>
              <w:bottom w:val="single" w:sz="4" w:space="0" w:color="auto"/>
              <w:right w:val="single" w:sz="4" w:space="0" w:color="auto"/>
            </w:tcBorders>
          </w:tcPr>
          <w:p w14:paraId="5F26875F" w14:textId="16FB57A3" w:rsidR="0FFB5EB8" w:rsidRPr="007F1030" w:rsidRDefault="0FFB5EB8" w:rsidP="00BF5121">
            <w:pPr>
              <w:jc w:val="center"/>
              <w:rPr>
                <w:rFonts w:ascii="Arial" w:eastAsia="Arial" w:hAnsi="Arial" w:cs="Arial"/>
              </w:rPr>
            </w:pPr>
            <w:r w:rsidRPr="007F1030">
              <w:rPr>
                <w:rFonts w:ascii="Arial" w:eastAsia="Arial" w:hAnsi="Arial" w:cs="Arial"/>
              </w:rPr>
              <w:t>2017</w:t>
            </w:r>
          </w:p>
        </w:tc>
        <w:tc>
          <w:tcPr>
            <w:tcW w:w="1365" w:type="dxa"/>
            <w:tcBorders>
              <w:top w:val="single" w:sz="4" w:space="0" w:color="auto"/>
              <w:left w:val="single" w:sz="4" w:space="0" w:color="auto"/>
              <w:bottom w:val="single" w:sz="4" w:space="0" w:color="auto"/>
              <w:right w:val="single" w:sz="4" w:space="0" w:color="auto"/>
            </w:tcBorders>
          </w:tcPr>
          <w:p w14:paraId="06905379" w14:textId="76B436CB" w:rsidR="0FFB5EB8" w:rsidRPr="007F1030" w:rsidRDefault="0FFB5EB8" w:rsidP="00BF5121">
            <w:pPr>
              <w:jc w:val="right"/>
              <w:rPr>
                <w:rFonts w:ascii="Arial" w:eastAsia="Arial" w:hAnsi="Arial" w:cs="Arial"/>
              </w:rPr>
            </w:pPr>
            <w:r w:rsidRPr="007F1030">
              <w:rPr>
                <w:rFonts w:ascii="Arial" w:eastAsia="Arial" w:hAnsi="Arial" w:cs="Arial"/>
              </w:rPr>
              <w:t>$ 737.717</w:t>
            </w:r>
          </w:p>
        </w:tc>
        <w:tc>
          <w:tcPr>
            <w:tcW w:w="1650" w:type="dxa"/>
            <w:tcBorders>
              <w:top w:val="single" w:sz="4" w:space="0" w:color="auto"/>
              <w:left w:val="single" w:sz="4" w:space="0" w:color="auto"/>
              <w:bottom w:val="single" w:sz="4" w:space="0" w:color="auto"/>
              <w:right w:val="single" w:sz="4" w:space="0" w:color="auto"/>
            </w:tcBorders>
          </w:tcPr>
          <w:p w14:paraId="2B06B875" w14:textId="7DB165C0" w:rsidR="0FFB5EB8" w:rsidRPr="007F1030" w:rsidRDefault="0FFB5EB8" w:rsidP="00BF5121">
            <w:pPr>
              <w:jc w:val="center"/>
              <w:rPr>
                <w:rFonts w:ascii="Arial" w:eastAsia="Arial" w:hAnsi="Arial" w:cs="Arial"/>
              </w:rPr>
            </w:pPr>
            <w:r w:rsidRPr="007F1030">
              <w:rPr>
                <w:rFonts w:ascii="Arial" w:eastAsia="Arial" w:hAnsi="Arial" w:cs="Arial"/>
              </w:rPr>
              <w:t>14</w:t>
            </w:r>
          </w:p>
        </w:tc>
        <w:tc>
          <w:tcPr>
            <w:tcW w:w="1890" w:type="dxa"/>
            <w:tcBorders>
              <w:top w:val="single" w:sz="4" w:space="0" w:color="auto"/>
              <w:left w:val="single" w:sz="4" w:space="0" w:color="auto"/>
              <w:bottom w:val="single" w:sz="4" w:space="0" w:color="auto"/>
              <w:right w:val="single" w:sz="4" w:space="0" w:color="auto"/>
            </w:tcBorders>
          </w:tcPr>
          <w:p w14:paraId="44343FE4" w14:textId="6D7B4DCE" w:rsidR="0FFB5EB8" w:rsidRPr="007F1030" w:rsidRDefault="0FFB5EB8" w:rsidP="00BF5121">
            <w:pPr>
              <w:jc w:val="right"/>
              <w:rPr>
                <w:rFonts w:ascii="Arial" w:eastAsia="Arial" w:hAnsi="Arial" w:cs="Arial"/>
              </w:rPr>
            </w:pPr>
            <w:r w:rsidRPr="007F1030">
              <w:rPr>
                <w:rFonts w:ascii="Arial" w:eastAsia="Arial" w:hAnsi="Arial" w:cs="Arial"/>
              </w:rPr>
              <w:t>$ 10.328.038</w:t>
            </w:r>
          </w:p>
        </w:tc>
      </w:tr>
      <w:tr w:rsidR="007F1030" w:rsidRPr="007F1030" w14:paraId="6FC32133" w14:textId="77777777" w:rsidTr="0FFB5EB8">
        <w:trPr>
          <w:trHeight w:val="255"/>
          <w:jc w:val="center"/>
        </w:trPr>
        <w:tc>
          <w:tcPr>
            <w:tcW w:w="1215" w:type="dxa"/>
            <w:tcBorders>
              <w:top w:val="single" w:sz="4" w:space="0" w:color="auto"/>
              <w:left w:val="single" w:sz="4" w:space="0" w:color="auto"/>
              <w:bottom w:val="single" w:sz="4" w:space="0" w:color="auto"/>
              <w:right w:val="single" w:sz="4" w:space="0" w:color="auto"/>
            </w:tcBorders>
          </w:tcPr>
          <w:p w14:paraId="6106822F" w14:textId="39707349" w:rsidR="0FFB5EB8" w:rsidRPr="007F1030" w:rsidRDefault="0FFB5EB8" w:rsidP="00BF5121">
            <w:pPr>
              <w:jc w:val="center"/>
              <w:rPr>
                <w:rFonts w:ascii="Arial" w:eastAsia="Arial" w:hAnsi="Arial" w:cs="Arial"/>
              </w:rPr>
            </w:pPr>
            <w:r w:rsidRPr="007F1030">
              <w:rPr>
                <w:rFonts w:ascii="Arial" w:eastAsia="Arial" w:hAnsi="Arial" w:cs="Arial"/>
              </w:rPr>
              <w:t>2018</w:t>
            </w:r>
          </w:p>
        </w:tc>
        <w:tc>
          <w:tcPr>
            <w:tcW w:w="1365" w:type="dxa"/>
            <w:tcBorders>
              <w:top w:val="single" w:sz="4" w:space="0" w:color="auto"/>
              <w:left w:val="single" w:sz="4" w:space="0" w:color="auto"/>
              <w:bottom w:val="single" w:sz="4" w:space="0" w:color="auto"/>
              <w:right w:val="single" w:sz="4" w:space="0" w:color="auto"/>
            </w:tcBorders>
          </w:tcPr>
          <w:p w14:paraId="66E1FBB6" w14:textId="52F98745" w:rsidR="0FFB5EB8" w:rsidRPr="007F1030" w:rsidRDefault="0FFB5EB8" w:rsidP="00BF5121">
            <w:pPr>
              <w:jc w:val="right"/>
              <w:rPr>
                <w:rFonts w:ascii="Arial" w:eastAsia="Arial" w:hAnsi="Arial" w:cs="Arial"/>
              </w:rPr>
            </w:pPr>
            <w:r w:rsidRPr="007F1030">
              <w:rPr>
                <w:rFonts w:ascii="Arial" w:eastAsia="Arial" w:hAnsi="Arial" w:cs="Arial"/>
              </w:rPr>
              <w:t>$ 781.242</w:t>
            </w:r>
          </w:p>
        </w:tc>
        <w:tc>
          <w:tcPr>
            <w:tcW w:w="1650" w:type="dxa"/>
            <w:tcBorders>
              <w:top w:val="single" w:sz="4" w:space="0" w:color="auto"/>
              <w:left w:val="single" w:sz="4" w:space="0" w:color="auto"/>
              <w:bottom w:val="single" w:sz="4" w:space="0" w:color="auto"/>
              <w:right w:val="single" w:sz="4" w:space="0" w:color="auto"/>
            </w:tcBorders>
          </w:tcPr>
          <w:p w14:paraId="7EE12E12" w14:textId="3F0E1E94" w:rsidR="0FFB5EB8" w:rsidRPr="007F1030" w:rsidRDefault="0FFB5EB8" w:rsidP="00BF5121">
            <w:pPr>
              <w:jc w:val="center"/>
              <w:rPr>
                <w:rFonts w:ascii="Arial" w:eastAsia="Arial" w:hAnsi="Arial" w:cs="Arial"/>
              </w:rPr>
            </w:pPr>
            <w:r w:rsidRPr="007F1030">
              <w:rPr>
                <w:rFonts w:ascii="Arial" w:eastAsia="Arial" w:hAnsi="Arial" w:cs="Arial"/>
              </w:rPr>
              <w:t>14</w:t>
            </w:r>
          </w:p>
        </w:tc>
        <w:tc>
          <w:tcPr>
            <w:tcW w:w="1890" w:type="dxa"/>
            <w:tcBorders>
              <w:top w:val="single" w:sz="4" w:space="0" w:color="auto"/>
              <w:left w:val="single" w:sz="4" w:space="0" w:color="auto"/>
              <w:bottom w:val="single" w:sz="4" w:space="0" w:color="auto"/>
              <w:right w:val="single" w:sz="4" w:space="0" w:color="auto"/>
            </w:tcBorders>
          </w:tcPr>
          <w:p w14:paraId="3741A9DC" w14:textId="48F9FF57" w:rsidR="0FFB5EB8" w:rsidRPr="007F1030" w:rsidRDefault="0FFB5EB8" w:rsidP="00BF5121">
            <w:pPr>
              <w:jc w:val="right"/>
              <w:rPr>
                <w:rFonts w:ascii="Arial" w:eastAsia="Arial" w:hAnsi="Arial" w:cs="Arial"/>
              </w:rPr>
            </w:pPr>
            <w:r w:rsidRPr="007F1030">
              <w:rPr>
                <w:rFonts w:ascii="Arial" w:eastAsia="Arial" w:hAnsi="Arial" w:cs="Arial"/>
              </w:rPr>
              <w:t>$ 10.937.388</w:t>
            </w:r>
          </w:p>
        </w:tc>
      </w:tr>
      <w:tr w:rsidR="007F1030" w:rsidRPr="007F1030" w14:paraId="13631ECF" w14:textId="77777777" w:rsidTr="0FFB5EB8">
        <w:trPr>
          <w:trHeight w:val="255"/>
          <w:jc w:val="center"/>
        </w:trPr>
        <w:tc>
          <w:tcPr>
            <w:tcW w:w="1215" w:type="dxa"/>
            <w:tcBorders>
              <w:top w:val="single" w:sz="4" w:space="0" w:color="auto"/>
              <w:left w:val="single" w:sz="4" w:space="0" w:color="auto"/>
              <w:bottom w:val="single" w:sz="4" w:space="0" w:color="auto"/>
              <w:right w:val="single" w:sz="4" w:space="0" w:color="auto"/>
            </w:tcBorders>
          </w:tcPr>
          <w:p w14:paraId="30BFBC94" w14:textId="434785F3" w:rsidR="0FFB5EB8" w:rsidRPr="007F1030" w:rsidRDefault="0FFB5EB8" w:rsidP="00BF5121">
            <w:pPr>
              <w:jc w:val="center"/>
              <w:rPr>
                <w:rFonts w:ascii="Arial" w:eastAsia="Arial" w:hAnsi="Arial" w:cs="Arial"/>
              </w:rPr>
            </w:pPr>
            <w:r w:rsidRPr="007F1030">
              <w:rPr>
                <w:rFonts w:ascii="Arial" w:eastAsia="Arial" w:hAnsi="Arial" w:cs="Arial"/>
              </w:rPr>
              <w:t>2019</w:t>
            </w:r>
          </w:p>
        </w:tc>
        <w:tc>
          <w:tcPr>
            <w:tcW w:w="1365" w:type="dxa"/>
            <w:tcBorders>
              <w:top w:val="single" w:sz="4" w:space="0" w:color="auto"/>
              <w:left w:val="single" w:sz="4" w:space="0" w:color="auto"/>
              <w:bottom w:val="single" w:sz="4" w:space="0" w:color="auto"/>
              <w:right w:val="single" w:sz="4" w:space="0" w:color="auto"/>
            </w:tcBorders>
          </w:tcPr>
          <w:p w14:paraId="6E779CD0" w14:textId="34269F42" w:rsidR="0FFB5EB8" w:rsidRPr="007F1030" w:rsidRDefault="0FFB5EB8" w:rsidP="00BF5121">
            <w:pPr>
              <w:jc w:val="right"/>
              <w:rPr>
                <w:rFonts w:ascii="Arial" w:eastAsia="Arial" w:hAnsi="Arial" w:cs="Arial"/>
              </w:rPr>
            </w:pPr>
            <w:r w:rsidRPr="007F1030">
              <w:rPr>
                <w:rFonts w:ascii="Arial" w:eastAsia="Arial" w:hAnsi="Arial" w:cs="Arial"/>
              </w:rPr>
              <w:t>$ 828.116</w:t>
            </w:r>
          </w:p>
        </w:tc>
        <w:tc>
          <w:tcPr>
            <w:tcW w:w="1650" w:type="dxa"/>
            <w:tcBorders>
              <w:top w:val="single" w:sz="4" w:space="0" w:color="auto"/>
              <w:left w:val="single" w:sz="4" w:space="0" w:color="auto"/>
              <w:bottom w:val="single" w:sz="4" w:space="0" w:color="auto"/>
              <w:right w:val="single" w:sz="4" w:space="0" w:color="auto"/>
            </w:tcBorders>
          </w:tcPr>
          <w:p w14:paraId="17035927" w14:textId="5B941DED" w:rsidR="0FFB5EB8" w:rsidRPr="007F1030" w:rsidRDefault="0FFB5EB8" w:rsidP="00BF5121">
            <w:pPr>
              <w:jc w:val="center"/>
              <w:rPr>
                <w:rFonts w:ascii="Arial" w:eastAsia="Arial" w:hAnsi="Arial" w:cs="Arial"/>
              </w:rPr>
            </w:pPr>
            <w:r w:rsidRPr="007F1030">
              <w:rPr>
                <w:rFonts w:ascii="Arial" w:eastAsia="Arial" w:hAnsi="Arial" w:cs="Arial"/>
              </w:rPr>
              <w:t>14</w:t>
            </w:r>
          </w:p>
        </w:tc>
        <w:tc>
          <w:tcPr>
            <w:tcW w:w="1890" w:type="dxa"/>
            <w:tcBorders>
              <w:top w:val="single" w:sz="4" w:space="0" w:color="auto"/>
              <w:left w:val="single" w:sz="4" w:space="0" w:color="auto"/>
              <w:bottom w:val="single" w:sz="4" w:space="0" w:color="auto"/>
              <w:right w:val="single" w:sz="4" w:space="0" w:color="auto"/>
            </w:tcBorders>
          </w:tcPr>
          <w:p w14:paraId="740FBBC1" w14:textId="31E30AB1" w:rsidR="0FFB5EB8" w:rsidRPr="007F1030" w:rsidRDefault="0FFB5EB8" w:rsidP="00BF5121">
            <w:pPr>
              <w:jc w:val="right"/>
              <w:rPr>
                <w:rFonts w:ascii="Arial" w:eastAsia="Arial" w:hAnsi="Arial" w:cs="Arial"/>
              </w:rPr>
            </w:pPr>
            <w:r w:rsidRPr="007F1030">
              <w:rPr>
                <w:rFonts w:ascii="Arial" w:eastAsia="Arial" w:hAnsi="Arial" w:cs="Arial"/>
              </w:rPr>
              <w:t>$ 11.593.624</w:t>
            </w:r>
          </w:p>
        </w:tc>
      </w:tr>
      <w:tr w:rsidR="007F1030" w:rsidRPr="007F1030" w14:paraId="1A8645AE" w14:textId="77777777" w:rsidTr="0FFB5EB8">
        <w:trPr>
          <w:trHeight w:val="255"/>
          <w:jc w:val="center"/>
        </w:trPr>
        <w:tc>
          <w:tcPr>
            <w:tcW w:w="1215" w:type="dxa"/>
            <w:tcBorders>
              <w:top w:val="single" w:sz="4" w:space="0" w:color="auto"/>
              <w:left w:val="single" w:sz="4" w:space="0" w:color="auto"/>
              <w:bottom w:val="single" w:sz="4" w:space="0" w:color="auto"/>
              <w:right w:val="single" w:sz="4" w:space="0" w:color="auto"/>
            </w:tcBorders>
          </w:tcPr>
          <w:p w14:paraId="58E745E1" w14:textId="302456D1" w:rsidR="0FFB5EB8" w:rsidRPr="007F1030" w:rsidRDefault="0FFB5EB8" w:rsidP="00BF5121">
            <w:pPr>
              <w:jc w:val="center"/>
              <w:rPr>
                <w:rFonts w:ascii="Arial" w:eastAsia="Arial" w:hAnsi="Arial" w:cs="Arial"/>
              </w:rPr>
            </w:pPr>
            <w:r w:rsidRPr="007F1030">
              <w:rPr>
                <w:rFonts w:ascii="Arial" w:eastAsia="Arial" w:hAnsi="Arial" w:cs="Arial"/>
              </w:rPr>
              <w:t>2020</w:t>
            </w:r>
          </w:p>
        </w:tc>
        <w:tc>
          <w:tcPr>
            <w:tcW w:w="1365" w:type="dxa"/>
            <w:tcBorders>
              <w:top w:val="single" w:sz="4" w:space="0" w:color="auto"/>
              <w:left w:val="single" w:sz="4" w:space="0" w:color="auto"/>
              <w:bottom w:val="single" w:sz="4" w:space="0" w:color="auto"/>
              <w:right w:val="single" w:sz="4" w:space="0" w:color="auto"/>
            </w:tcBorders>
          </w:tcPr>
          <w:p w14:paraId="369D256E" w14:textId="67534036" w:rsidR="0FFB5EB8" w:rsidRPr="007F1030" w:rsidRDefault="0FFB5EB8" w:rsidP="00BF5121">
            <w:pPr>
              <w:jc w:val="right"/>
              <w:rPr>
                <w:rFonts w:ascii="Arial" w:eastAsia="Arial" w:hAnsi="Arial" w:cs="Arial"/>
              </w:rPr>
            </w:pPr>
            <w:r w:rsidRPr="007F1030">
              <w:rPr>
                <w:rFonts w:ascii="Arial" w:eastAsia="Arial" w:hAnsi="Arial" w:cs="Arial"/>
              </w:rPr>
              <w:t>$ 877.803</w:t>
            </w:r>
          </w:p>
        </w:tc>
        <w:tc>
          <w:tcPr>
            <w:tcW w:w="1650" w:type="dxa"/>
            <w:tcBorders>
              <w:top w:val="single" w:sz="4" w:space="0" w:color="auto"/>
              <w:left w:val="single" w:sz="4" w:space="0" w:color="auto"/>
              <w:bottom w:val="single" w:sz="4" w:space="0" w:color="auto"/>
              <w:right w:val="single" w:sz="4" w:space="0" w:color="auto"/>
            </w:tcBorders>
          </w:tcPr>
          <w:p w14:paraId="01A9A640" w14:textId="448D1997" w:rsidR="0FFB5EB8" w:rsidRPr="007F1030" w:rsidRDefault="0FFB5EB8" w:rsidP="00BF5121">
            <w:pPr>
              <w:jc w:val="center"/>
              <w:rPr>
                <w:rFonts w:ascii="Arial" w:eastAsia="Arial" w:hAnsi="Arial" w:cs="Arial"/>
              </w:rPr>
            </w:pPr>
            <w:r w:rsidRPr="007F1030">
              <w:rPr>
                <w:rFonts w:ascii="Arial" w:eastAsia="Arial" w:hAnsi="Arial" w:cs="Arial"/>
              </w:rPr>
              <w:t>8</w:t>
            </w:r>
          </w:p>
        </w:tc>
        <w:tc>
          <w:tcPr>
            <w:tcW w:w="1890" w:type="dxa"/>
            <w:tcBorders>
              <w:top w:val="single" w:sz="4" w:space="0" w:color="auto"/>
              <w:left w:val="single" w:sz="4" w:space="0" w:color="auto"/>
              <w:bottom w:val="single" w:sz="4" w:space="0" w:color="auto"/>
              <w:right w:val="single" w:sz="4" w:space="0" w:color="auto"/>
            </w:tcBorders>
          </w:tcPr>
          <w:p w14:paraId="1D48DC91" w14:textId="7E5E7C92" w:rsidR="0FFB5EB8" w:rsidRPr="007F1030" w:rsidRDefault="0FFB5EB8" w:rsidP="00BF5121">
            <w:pPr>
              <w:jc w:val="right"/>
              <w:rPr>
                <w:rFonts w:ascii="Arial" w:eastAsia="Arial" w:hAnsi="Arial" w:cs="Arial"/>
              </w:rPr>
            </w:pPr>
            <w:r w:rsidRPr="007F1030">
              <w:rPr>
                <w:rFonts w:ascii="Arial" w:eastAsia="Arial" w:hAnsi="Arial" w:cs="Arial"/>
              </w:rPr>
              <w:t>$ 7.022.424</w:t>
            </w:r>
          </w:p>
        </w:tc>
      </w:tr>
      <w:tr w:rsidR="00BF5121" w:rsidRPr="007F1030" w14:paraId="3B5A4BC2" w14:textId="77777777" w:rsidTr="0FFB5EB8">
        <w:trPr>
          <w:trHeight w:val="255"/>
          <w:jc w:val="center"/>
        </w:trPr>
        <w:tc>
          <w:tcPr>
            <w:tcW w:w="2580" w:type="dxa"/>
            <w:gridSpan w:val="2"/>
            <w:tcBorders>
              <w:top w:val="single" w:sz="4" w:space="0" w:color="auto"/>
              <w:left w:val="single" w:sz="4" w:space="0" w:color="auto"/>
              <w:bottom w:val="single" w:sz="4" w:space="0" w:color="auto"/>
              <w:right w:val="single" w:sz="4" w:space="0" w:color="auto"/>
            </w:tcBorders>
          </w:tcPr>
          <w:p w14:paraId="48E8AEFA" w14:textId="3986EF14" w:rsidR="0FFB5EB8" w:rsidRPr="007F1030" w:rsidRDefault="0FFB5EB8" w:rsidP="00BF5121">
            <w:pPr>
              <w:jc w:val="center"/>
              <w:rPr>
                <w:rFonts w:ascii="Arial" w:eastAsia="Arial" w:hAnsi="Arial" w:cs="Arial"/>
                <w:b/>
                <w:bCs/>
              </w:rPr>
            </w:pPr>
            <w:r w:rsidRPr="007F1030">
              <w:rPr>
                <w:rFonts w:ascii="Arial" w:eastAsia="Arial" w:hAnsi="Arial" w:cs="Arial"/>
                <w:b/>
                <w:bCs/>
              </w:rPr>
              <w:t xml:space="preserve">Total </w:t>
            </w:r>
          </w:p>
        </w:tc>
        <w:tc>
          <w:tcPr>
            <w:tcW w:w="3540" w:type="dxa"/>
            <w:gridSpan w:val="2"/>
            <w:tcBorders>
              <w:top w:val="single" w:sz="4" w:space="0" w:color="auto"/>
              <w:left w:val="nil"/>
              <w:bottom w:val="single" w:sz="4" w:space="0" w:color="auto"/>
              <w:right w:val="single" w:sz="4" w:space="0" w:color="000000" w:themeColor="text1"/>
            </w:tcBorders>
          </w:tcPr>
          <w:p w14:paraId="063A40F1" w14:textId="1C07C1F2" w:rsidR="0FFB5EB8" w:rsidRPr="007F1030" w:rsidRDefault="0FFB5EB8" w:rsidP="00BF5121">
            <w:pPr>
              <w:jc w:val="center"/>
              <w:rPr>
                <w:rFonts w:ascii="Arial" w:eastAsia="Arial" w:hAnsi="Arial" w:cs="Arial"/>
                <w:b/>
                <w:bCs/>
              </w:rPr>
            </w:pPr>
            <w:r w:rsidRPr="007F1030">
              <w:rPr>
                <w:rFonts w:ascii="Arial" w:eastAsia="Arial" w:hAnsi="Arial" w:cs="Arial"/>
                <w:b/>
                <w:bCs/>
              </w:rPr>
              <w:t>$ 65.392.344</w:t>
            </w:r>
          </w:p>
        </w:tc>
      </w:tr>
    </w:tbl>
    <w:p w14:paraId="0109C268" w14:textId="6350D6AA" w:rsidR="0FFB5EB8" w:rsidRPr="007F1030" w:rsidRDefault="0FFB5EB8" w:rsidP="007F1030">
      <w:pPr>
        <w:spacing w:line="276" w:lineRule="auto"/>
        <w:ind w:firstLine="708"/>
        <w:jc w:val="both"/>
        <w:rPr>
          <w:rFonts w:ascii="Arial" w:eastAsia="Arial" w:hAnsi="Arial" w:cs="Arial"/>
        </w:rPr>
      </w:pPr>
    </w:p>
    <w:p w14:paraId="2D435D04" w14:textId="0F8EAD0D" w:rsidR="00CC218A" w:rsidRPr="007F1030" w:rsidRDefault="00C7170A" w:rsidP="007F1030">
      <w:pPr>
        <w:autoSpaceDE w:val="0"/>
        <w:autoSpaceDN w:val="0"/>
        <w:adjustRightInd w:val="0"/>
        <w:spacing w:line="276" w:lineRule="auto"/>
        <w:ind w:firstLine="708"/>
        <w:jc w:val="both"/>
        <w:rPr>
          <w:rFonts w:ascii="Arial" w:eastAsia="Arial" w:hAnsi="Arial" w:cs="Arial"/>
        </w:rPr>
      </w:pPr>
      <w:r w:rsidRPr="007F1030">
        <w:rPr>
          <w:rFonts w:ascii="Arial" w:eastAsia="Arial" w:hAnsi="Arial" w:cs="Arial"/>
        </w:rPr>
        <w:t xml:space="preserve">En conclusión, se ordenará </w:t>
      </w:r>
      <w:r w:rsidR="005269E4" w:rsidRPr="007F1030">
        <w:rPr>
          <w:rFonts w:ascii="Arial" w:eastAsia="Arial" w:hAnsi="Arial" w:cs="Arial"/>
        </w:rPr>
        <w:t xml:space="preserve">MODIFICAR </w:t>
      </w:r>
      <w:r w:rsidRPr="007F1030">
        <w:rPr>
          <w:rFonts w:ascii="Arial" w:eastAsia="Arial" w:hAnsi="Arial" w:cs="Arial"/>
        </w:rPr>
        <w:t>el ordina</w:t>
      </w:r>
      <w:r w:rsidR="5C6ACEE0" w:rsidRPr="007F1030">
        <w:rPr>
          <w:rFonts w:ascii="Arial" w:eastAsia="Arial" w:hAnsi="Arial" w:cs="Arial"/>
        </w:rPr>
        <w:t>l</w:t>
      </w:r>
      <w:r w:rsidRPr="007F1030">
        <w:rPr>
          <w:rFonts w:ascii="Arial" w:eastAsia="Arial" w:hAnsi="Arial" w:cs="Arial"/>
        </w:rPr>
        <w:t xml:space="preserve"> primero de la sentencia para corregir </w:t>
      </w:r>
      <w:r w:rsidR="53285B54" w:rsidRPr="007F1030">
        <w:rPr>
          <w:rFonts w:ascii="Arial" w:eastAsia="Arial" w:hAnsi="Arial" w:cs="Arial"/>
        </w:rPr>
        <w:t xml:space="preserve">y actualizar </w:t>
      </w:r>
      <w:r w:rsidRPr="007F1030">
        <w:rPr>
          <w:rFonts w:ascii="Arial" w:eastAsia="Arial" w:hAnsi="Arial" w:cs="Arial"/>
        </w:rPr>
        <w:t>el valor del retroactivo pensional y en lo restante se confirmará la sentencia consulta</w:t>
      </w:r>
      <w:r w:rsidR="736E87FE" w:rsidRPr="007F1030">
        <w:rPr>
          <w:rFonts w:ascii="Arial" w:eastAsia="Arial" w:hAnsi="Arial" w:cs="Arial"/>
        </w:rPr>
        <w:t>da</w:t>
      </w:r>
      <w:r w:rsidRPr="007F1030">
        <w:rPr>
          <w:rFonts w:ascii="Arial" w:eastAsia="Arial" w:hAnsi="Arial" w:cs="Arial"/>
        </w:rPr>
        <w:t xml:space="preserve"> pero por las razones aquí expuestas, toda vez que las disposiciones de la Ley 797 de 2003, no resultan aplicables a este caso en relación con los requisitos subjetivos para la pensión de sobrevivientes.</w:t>
      </w:r>
    </w:p>
    <w:p w14:paraId="640DF642" w14:textId="06AD361F" w:rsidR="00C7170A" w:rsidRPr="007F1030" w:rsidRDefault="00C7170A" w:rsidP="007F1030">
      <w:pPr>
        <w:autoSpaceDE w:val="0"/>
        <w:autoSpaceDN w:val="0"/>
        <w:adjustRightInd w:val="0"/>
        <w:spacing w:line="276" w:lineRule="auto"/>
        <w:ind w:firstLine="708"/>
        <w:jc w:val="both"/>
        <w:rPr>
          <w:rFonts w:ascii="Arial" w:eastAsia="Arial" w:hAnsi="Arial" w:cs="Arial"/>
          <w:lang w:eastAsia="es-ES_tradnl"/>
        </w:rPr>
      </w:pPr>
    </w:p>
    <w:p w14:paraId="028D9071" w14:textId="77777777" w:rsidR="008B69A2" w:rsidRPr="007F1030" w:rsidRDefault="00C7170A"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Sin costas en esta instancia por haberse conocido en el grado jurisdicciona</w:t>
      </w:r>
      <w:r w:rsidR="00F70BD2" w:rsidRPr="007F1030">
        <w:rPr>
          <w:rFonts w:ascii="Arial" w:eastAsia="Arial" w:hAnsi="Arial" w:cs="Arial"/>
          <w:lang w:eastAsia="es-ES_tradnl"/>
        </w:rPr>
        <w:t>l</w:t>
      </w:r>
      <w:r w:rsidRPr="007F1030">
        <w:rPr>
          <w:rFonts w:ascii="Arial" w:eastAsia="Arial" w:hAnsi="Arial" w:cs="Arial"/>
          <w:lang w:eastAsia="es-ES_tradnl"/>
        </w:rPr>
        <w:t xml:space="preserve"> de consulta. </w:t>
      </w:r>
    </w:p>
    <w:p w14:paraId="4DBD89DB" w14:textId="77777777" w:rsidR="008B69A2" w:rsidRPr="007F1030" w:rsidRDefault="008B69A2" w:rsidP="007F1030">
      <w:pPr>
        <w:autoSpaceDE w:val="0"/>
        <w:autoSpaceDN w:val="0"/>
        <w:adjustRightInd w:val="0"/>
        <w:spacing w:line="276" w:lineRule="auto"/>
        <w:ind w:firstLine="708"/>
        <w:jc w:val="both"/>
        <w:rPr>
          <w:rFonts w:ascii="Arial" w:eastAsia="Arial" w:hAnsi="Arial" w:cs="Arial"/>
          <w:lang w:eastAsia="es-ES_tradnl"/>
        </w:rPr>
      </w:pPr>
    </w:p>
    <w:p w14:paraId="70A34571" w14:textId="0BEAE771" w:rsidR="008D30D8" w:rsidRPr="007F1030" w:rsidRDefault="008D30D8" w:rsidP="007F1030">
      <w:pPr>
        <w:autoSpaceDE w:val="0"/>
        <w:autoSpaceDN w:val="0"/>
        <w:adjustRightInd w:val="0"/>
        <w:spacing w:line="276" w:lineRule="auto"/>
        <w:ind w:firstLine="708"/>
        <w:jc w:val="both"/>
        <w:rPr>
          <w:rFonts w:ascii="Arial" w:eastAsia="Arial" w:hAnsi="Arial" w:cs="Arial"/>
          <w:lang w:eastAsia="es-ES_tradnl"/>
        </w:rPr>
      </w:pPr>
      <w:r w:rsidRPr="007F1030">
        <w:rPr>
          <w:rFonts w:ascii="Arial" w:eastAsia="Arial" w:hAnsi="Arial" w:cs="Arial"/>
          <w:lang w:eastAsia="es-ES_tradnl"/>
        </w:rPr>
        <w:t>En mérito de lo expuesto, el Tribunal Superior del Distrito Judicial de Pereira - Risaralda, Sala Cuarta de Decisión Laboral, administrando justicia en nombre de la República y por autoridad de la ley,</w:t>
      </w:r>
    </w:p>
    <w:p w14:paraId="42AC00B4" w14:textId="77777777" w:rsidR="008D30D8" w:rsidRPr="007F1030" w:rsidRDefault="008D30D8" w:rsidP="007F1030">
      <w:pPr>
        <w:autoSpaceDE w:val="0"/>
        <w:autoSpaceDN w:val="0"/>
        <w:adjustRightInd w:val="0"/>
        <w:spacing w:line="276" w:lineRule="auto"/>
        <w:jc w:val="both"/>
        <w:rPr>
          <w:rFonts w:ascii="Arial" w:eastAsia="Arial" w:hAnsi="Arial" w:cs="Arial"/>
          <w:b/>
          <w:bCs/>
          <w:lang w:eastAsia="es-ES_tradnl"/>
        </w:rPr>
      </w:pPr>
    </w:p>
    <w:p w14:paraId="5BA3CE95" w14:textId="71A130C9" w:rsidR="008D30D8" w:rsidRPr="007F1030" w:rsidRDefault="002D0686" w:rsidP="007F1030">
      <w:pPr>
        <w:autoSpaceDE w:val="0"/>
        <w:autoSpaceDN w:val="0"/>
        <w:adjustRightInd w:val="0"/>
        <w:spacing w:line="276" w:lineRule="auto"/>
        <w:jc w:val="center"/>
        <w:rPr>
          <w:rFonts w:ascii="Arial" w:eastAsia="Arial" w:hAnsi="Arial" w:cs="Arial"/>
          <w:b/>
          <w:bCs/>
          <w:lang w:eastAsia="es-ES_tradnl"/>
        </w:rPr>
      </w:pPr>
      <w:r w:rsidRPr="007F1030">
        <w:rPr>
          <w:rFonts w:ascii="Arial" w:eastAsia="Arial" w:hAnsi="Arial" w:cs="Arial"/>
          <w:b/>
          <w:bCs/>
          <w:lang w:eastAsia="es-ES_tradnl"/>
        </w:rPr>
        <w:t>RESUELVE:</w:t>
      </w:r>
    </w:p>
    <w:p w14:paraId="36391820" w14:textId="77777777" w:rsidR="008D30D8" w:rsidRPr="007F1030" w:rsidRDefault="008D30D8" w:rsidP="007F1030">
      <w:pPr>
        <w:autoSpaceDE w:val="0"/>
        <w:autoSpaceDN w:val="0"/>
        <w:adjustRightInd w:val="0"/>
        <w:spacing w:line="276" w:lineRule="auto"/>
        <w:jc w:val="both"/>
        <w:rPr>
          <w:rFonts w:ascii="Arial" w:hAnsi="Arial" w:cs="Arial"/>
          <w:spacing w:val="12"/>
          <w:lang w:val="es-ES_tradnl"/>
        </w:rPr>
      </w:pPr>
    </w:p>
    <w:p w14:paraId="72418120" w14:textId="6D04912F" w:rsidR="004D2587" w:rsidRPr="007F1030" w:rsidRDefault="00C931D1" w:rsidP="007F1030">
      <w:pPr>
        <w:autoSpaceDE w:val="0"/>
        <w:autoSpaceDN w:val="0"/>
        <w:adjustRightInd w:val="0"/>
        <w:spacing w:line="276" w:lineRule="auto"/>
        <w:jc w:val="both"/>
        <w:rPr>
          <w:rFonts w:ascii="Arial" w:eastAsia="Arial" w:hAnsi="Arial" w:cs="Arial"/>
          <w:spacing w:val="12"/>
        </w:rPr>
      </w:pPr>
      <w:r w:rsidRPr="007F1030">
        <w:rPr>
          <w:rFonts w:ascii="Arial" w:eastAsia="Arial" w:hAnsi="Arial" w:cs="Arial"/>
          <w:b/>
          <w:bCs/>
        </w:rPr>
        <w:t xml:space="preserve">PRIMERO: </w:t>
      </w:r>
      <w:r w:rsidR="00C7170A" w:rsidRPr="007F1030">
        <w:rPr>
          <w:rFonts w:ascii="Arial" w:eastAsia="Arial" w:hAnsi="Arial" w:cs="Arial"/>
          <w:b/>
          <w:bCs/>
        </w:rPr>
        <w:t>MODIFICAR</w:t>
      </w:r>
      <w:r w:rsidR="00C7170A" w:rsidRPr="007F1030">
        <w:rPr>
          <w:rFonts w:ascii="Arial" w:hAnsi="Arial" w:cs="Arial"/>
          <w:b/>
          <w:bCs/>
          <w:spacing w:val="12"/>
        </w:rPr>
        <w:t xml:space="preserve"> </w:t>
      </w:r>
      <w:r w:rsidR="00C7170A" w:rsidRPr="007F1030">
        <w:rPr>
          <w:rFonts w:ascii="Arial" w:eastAsia="Arial" w:hAnsi="Arial" w:cs="Arial"/>
        </w:rPr>
        <w:t xml:space="preserve">el numeral primero de </w:t>
      </w:r>
      <w:r w:rsidR="00007CE3" w:rsidRPr="007F1030">
        <w:rPr>
          <w:rFonts w:ascii="Arial" w:eastAsia="Arial" w:hAnsi="Arial" w:cs="Arial"/>
        </w:rPr>
        <w:t xml:space="preserve">la sentencia proferida por el Juzgado </w:t>
      </w:r>
      <w:r w:rsidR="00C7170A" w:rsidRPr="007F1030">
        <w:rPr>
          <w:rFonts w:ascii="Arial" w:eastAsia="Arial" w:hAnsi="Arial" w:cs="Arial"/>
        </w:rPr>
        <w:t>Quinto</w:t>
      </w:r>
      <w:r w:rsidR="00007CE3" w:rsidRPr="007F1030">
        <w:rPr>
          <w:rFonts w:ascii="Arial" w:eastAsia="Arial" w:hAnsi="Arial" w:cs="Arial"/>
        </w:rPr>
        <w:t xml:space="preserve"> Laboral del Circuito de Pereira, el </w:t>
      </w:r>
      <w:r w:rsidR="00C7170A" w:rsidRPr="007F1030">
        <w:rPr>
          <w:rFonts w:ascii="Arial" w:eastAsia="Arial" w:hAnsi="Arial" w:cs="Arial"/>
        </w:rPr>
        <w:t>08 de julio de 2019</w:t>
      </w:r>
      <w:r w:rsidR="00007CE3" w:rsidRPr="007F1030">
        <w:rPr>
          <w:rFonts w:ascii="Arial" w:eastAsia="Arial" w:hAnsi="Arial" w:cs="Arial"/>
        </w:rPr>
        <w:t xml:space="preserve">, dentro del proceso promovido por </w:t>
      </w:r>
      <w:r w:rsidR="00C3072E" w:rsidRPr="007F1030">
        <w:rPr>
          <w:rFonts w:ascii="Arial" w:eastAsia="Arial" w:hAnsi="Arial" w:cs="Arial"/>
        </w:rPr>
        <w:t xml:space="preserve">María </w:t>
      </w:r>
      <w:proofErr w:type="spellStart"/>
      <w:r w:rsidR="00C3072E" w:rsidRPr="007F1030">
        <w:rPr>
          <w:rFonts w:ascii="Arial" w:eastAsia="Arial" w:hAnsi="Arial" w:cs="Arial"/>
        </w:rPr>
        <w:t>Cenelia</w:t>
      </w:r>
      <w:proofErr w:type="spellEnd"/>
      <w:r w:rsidR="00C3072E" w:rsidRPr="007F1030">
        <w:rPr>
          <w:rFonts w:ascii="Arial" w:eastAsia="Arial" w:hAnsi="Arial" w:cs="Arial"/>
        </w:rPr>
        <w:t xml:space="preserve"> Velásquez Bedoya</w:t>
      </w:r>
      <w:r w:rsidR="00007CE3" w:rsidRPr="007F1030">
        <w:rPr>
          <w:rFonts w:ascii="Arial" w:eastAsia="Arial" w:hAnsi="Arial" w:cs="Arial"/>
        </w:rPr>
        <w:t xml:space="preserve"> en contra de la Administradora Colombiana de Pensiones – Colpensiones</w:t>
      </w:r>
      <w:r w:rsidR="00C7170A" w:rsidRPr="007F1030">
        <w:rPr>
          <w:rFonts w:ascii="Arial" w:eastAsia="Arial" w:hAnsi="Arial" w:cs="Arial"/>
        </w:rPr>
        <w:t xml:space="preserve">, en sentido de indicar que el valor del retroactivo pensional causado entre el 27 de marzo de 2014 y el </w:t>
      </w:r>
      <w:r w:rsidR="48607694" w:rsidRPr="007F1030">
        <w:rPr>
          <w:rFonts w:ascii="Arial" w:eastAsia="Arial" w:hAnsi="Arial" w:cs="Arial"/>
        </w:rPr>
        <w:t>31</w:t>
      </w:r>
      <w:r w:rsidR="00C7170A" w:rsidRPr="007F1030">
        <w:rPr>
          <w:rFonts w:ascii="Arial" w:eastAsia="Arial" w:hAnsi="Arial" w:cs="Arial"/>
        </w:rPr>
        <w:t xml:space="preserve"> de </w:t>
      </w:r>
      <w:r w:rsidR="2ABDD537" w:rsidRPr="007F1030">
        <w:rPr>
          <w:rFonts w:ascii="Arial" w:eastAsia="Arial" w:hAnsi="Arial" w:cs="Arial"/>
        </w:rPr>
        <w:t>julio de 2020</w:t>
      </w:r>
      <w:r w:rsidR="00C7170A" w:rsidRPr="007F1030">
        <w:rPr>
          <w:rFonts w:ascii="Arial" w:eastAsia="Arial" w:hAnsi="Arial" w:cs="Arial"/>
        </w:rPr>
        <w:t xml:space="preserve"> asciende a </w:t>
      </w:r>
      <w:r w:rsidR="61A7AB3F" w:rsidRPr="007F1030">
        <w:rPr>
          <w:rFonts w:ascii="Arial" w:eastAsia="Arial" w:hAnsi="Arial" w:cs="Arial"/>
        </w:rPr>
        <w:t>$65.392.344</w:t>
      </w:r>
      <w:r w:rsidR="53A397BF" w:rsidRPr="007F1030">
        <w:rPr>
          <w:rFonts w:ascii="Arial" w:eastAsia="Arial" w:hAnsi="Arial" w:cs="Arial"/>
        </w:rPr>
        <w:t>, de</w:t>
      </w:r>
      <w:r w:rsidR="00787674" w:rsidRPr="007F1030">
        <w:rPr>
          <w:rFonts w:ascii="Arial" w:eastAsia="Arial" w:hAnsi="Arial" w:cs="Arial"/>
        </w:rPr>
        <w:t>l</w:t>
      </w:r>
      <w:r w:rsidR="53A397BF" w:rsidRPr="007F1030">
        <w:rPr>
          <w:rFonts w:ascii="Arial" w:eastAsia="Arial" w:hAnsi="Arial" w:cs="Arial"/>
        </w:rPr>
        <w:t xml:space="preserve"> cual deberán efectuarse los descuentos de ley.</w:t>
      </w:r>
    </w:p>
    <w:p w14:paraId="6B55DB95" w14:textId="77777777" w:rsidR="00290CF6" w:rsidRPr="007F1030" w:rsidRDefault="00290CF6" w:rsidP="007F1030">
      <w:pPr>
        <w:autoSpaceDE w:val="0"/>
        <w:autoSpaceDN w:val="0"/>
        <w:adjustRightInd w:val="0"/>
        <w:spacing w:line="276" w:lineRule="auto"/>
        <w:ind w:left="700"/>
        <w:jc w:val="both"/>
        <w:rPr>
          <w:rFonts w:ascii="Arial" w:hAnsi="Arial" w:cs="Arial"/>
          <w:spacing w:val="12"/>
          <w:lang w:val="es-ES_tradnl"/>
        </w:rPr>
      </w:pPr>
    </w:p>
    <w:p w14:paraId="3B5A6249" w14:textId="60C919A3" w:rsidR="00C7170A" w:rsidRPr="007F1030" w:rsidRDefault="00C931D1" w:rsidP="007F1030">
      <w:pPr>
        <w:spacing w:line="276" w:lineRule="auto"/>
        <w:jc w:val="both"/>
        <w:rPr>
          <w:rFonts w:ascii="Arial" w:eastAsia="Arial" w:hAnsi="Arial" w:cs="Arial"/>
          <w:lang w:eastAsia="es-ES_tradnl"/>
        </w:rPr>
      </w:pPr>
      <w:r w:rsidRPr="007F1030">
        <w:rPr>
          <w:rFonts w:ascii="Arial" w:eastAsia="Arial" w:hAnsi="Arial" w:cs="Arial"/>
          <w:b/>
          <w:bCs/>
          <w:lang w:eastAsia="es-ES_tradnl"/>
        </w:rPr>
        <w:t>SEGUNDO:</w:t>
      </w:r>
      <w:r w:rsidRPr="007F1030">
        <w:rPr>
          <w:rFonts w:ascii="Arial" w:eastAsia="Arial" w:hAnsi="Arial" w:cs="Arial"/>
          <w:lang w:eastAsia="es-ES_tradnl"/>
        </w:rPr>
        <w:t xml:space="preserve"> </w:t>
      </w:r>
      <w:r w:rsidR="00C7170A" w:rsidRPr="007F1030">
        <w:rPr>
          <w:rFonts w:ascii="Arial" w:eastAsia="Arial" w:hAnsi="Arial" w:cs="Arial"/>
          <w:lang w:eastAsia="es-ES_tradnl"/>
        </w:rPr>
        <w:t xml:space="preserve">Confirmar la sentencia en lo restante. </w:t>
      </w:r>
    </w:p>
    <w:p w14:paraId="0E5CBE48" w14:textId="77777777" w:rsidR="00C7170A" w:rsidRPr="007F1030" w:rsidRDefault="00C7170A" w:rsidP="007F1030">
      <w:pPr>
        <w:spacing w:line="276" w:lineRule="auto"/>
        <w:jc w:val="both"/>
        <w:rPr>
          <w:rFonts w:ascii="Arial" w:eastAsia="Arial" w:hAnsi="Arial" w:cs="Arial"/>
          <w:lang w:eastAsia="es-ES_tradnl"/>
        </w:rPr>
      </w:pPr>
    </w:p>
    <w:p w14:paraId="35BEE774" w14:textId="7BC51886" w:rsidR="008D30D8" w:rsidRPr="007F1030" w:rsidRDefault="00C931D1" w:rsidP="007F1030">
      <w:pPr>
        <w:spacing w:line="276" w:lineRule="auto"/>
        <w:jc w:val="both"/>
        <w:rPr>
          <w:rFonts w:ascii="Arial" w:eastAsia="Arial" w:hAnsi="Arial" w:cs="Arial"/>
          <w:lang w:eastAsia="es-ES_tradnl"/>
        </w:rPr>
      </w:pPr>
      <w:r w:rsidRPr="007F1030">
        <w:rPr>
          <w:rFonts w:ascii="Arial" w:eastAsia="Arial" w:hAnsi="Arial" w:cs="Arial"/>
          <w:b/>
          <w:bCs/>
          <w:lang w:eastAsia="es-ES_tradnl"/>
        </w:rPr>
        <w:t>TERCERO:</w:t>
      </w:r>
      <w:r w:rsidRPr="007F1030">
        <w:rPr>
          <w:rFonts w:ascii="Arial" w:eastAsia="Arial" w:hAnsi="Arial" w:cs="Arial"/>
          <w:lang w:eastAsia="es-ES_tradnl"/>
        </w:rPr>
        <w:t xml:space="preserve"> </w:t>
      </w:r>
      <w:r w:rsidR="00C7170A" w:rsidRPr="007F1030">
        <w:rPr>
          <w:rFonts w:ascii="Arial" w:eastAsia="Arial" w:hAnsi="Arial" w:cs="Arial"/>
          <w:lang w:eastAsia="es-ES_tradnl"/>
        </w:rPr>
        <w:t>Sin costas</w:t>
      </w:r>
      <w:r w:rsidRPr="007F1030">
        <w:rPr>
          <w:rFonts w:ascii="Arial" w:eastAsia="Arial" w:hAnsi="Arial" w:cs="Arial"/>
          <w:lang w:eastAsia="es-ES_tradnl"/>
        </w:rPr>
        <w:t xml:space="preserve"> en esta instancia. </w:t>
      </w:r>
      <w:r w:rsidR="00C7170A" w:rsidRPr="007F1030">
        <w:rPr>
          <w:rFonts w:ascii="Arial" w:eastAsia="Arial" w:hAnsi="Arial" w:cs="Arial"/>
          <w:lang w:eastAsia="es-ES_tradnl"/>
        </w:rPr>
        <w:t xml:space="preserve"> </w:t>
      </w:r>
    </w:p>
    <w:p w14:paraId="39FB8EA9" w14:textId="77777777" w:rsidR="008D30D8" w:rsidRPr="007F1030" w:rsidRDefault="008D30D8" w:rsidP="007F1030">
      <w:pPr>
        <w:autoSpaceDE w:val="0"/>
        <w:autoSpaceDN w:val="0"/>
        <w:adjustRightInd w:val="0"/>
        <w:spacing w:line="276" w:lineRule="auto"/>
        <w:jc w:val="both"/>
        <w:rPr>
          <w:rFonts w:ascii="Arial" w:hAnsi="Arial" w:cs="Arial"/>
          <w:spacing w:val="12"/>
          <w:lang w:val="es-ES_tradnl"/>
        </w:rPr>
      </w:pPr>
    </w:p>
    <w:p w14:paraId="7141661B" w14:textId="36CACC7E" w:rsidR="008D30D8" w:rsidRPr="007F1030" w:rsidRDefault="00BF5121" w:rsidP="007F1030">
      <w:pPr>
        <w:autoSpaceDE w:val="0"/>
        <w:autoSpaceDN w:val="0"/>
        <w:adjustRightInd w:val="0"/>
        <w:spacing w:line="276" w:lineRule="auto"/>
        <w:jc w:val="both"/>
        <w:rPr>
          <w:rFonts w:ascii="Arial" w:eastAsia="Arial" w:hAnsi="Arial" w:cs="Arial"/>
          <w:lang w:eastAsia="es-ES_tradnl"/>
        </w:rPr>
      </w:pPr>
      <w:r>
        <w:rPr>
          <w:rFonts w:ascii="Arial" w:eastAsia="Arial" w:hAnsi="Arial" w:cs="Arial"/>
          <w:lang w:eastAsia="es-ES_tradnl"/>
        </w:rPr>
        <w:t>(…)</w:t>
      </w:r>
    </w:p>
    <w:p w14:paraId="00AF45EA" w14:textId="68AB00CA" w:rsidR="00787674" w:rsidRPr="007F1030" w:rsidRDefault="00787674" w:rsidP="007F1030">
      <w:pPr>
        <w:autoSpaceDE w:val="0"/>
        <w:autoSpaceDN w:val="0"/>
        <w:adjustRightInd w:val="0"/>
        <w:spacing w:line="276" w:lineRule="auto"/>
        <w:jc w:val="both"/>
        <w:rPr>
          <w:rFonts w:ascii="Arial" w:eastAsia="Arial" w:hAnsi="Arial" w:cs="Arial"/>
          <w:lang w:eastAsia="es-ES_tradnl"/>
        </w:rPr>
      </w:pPr>
    </w:p>
    <w:p w14:paraId="45C501C9" w14:textId="77777777" w:rsidR="007F1030" w:rsidRPr="007F1030" w:rsidRDefault="007F1030" w:rsidP="007F1030">
      <w:pPr>
        <w:spacing w:line="276" w:lineRule="auto"/>
        <w:rPr>
          <w:rFonts w:ascii="Arial" w:hAnsi="Arial" w:cs="Arial"/>
          <w:spacing w:val="6"/>
          <w:lang w:val="es-ES_tradnl"/>
        </w:rPr>
      </w:pPr>
      <w:r w:rsidRPr="007F1030">
        <w:rPr>
          <w:rFonts w:ascii="Arial" w:hAnsi="Arial" w:cs="Arial"/>
          <w:spacing w:val="6"/>
          <w:lang w:val="es-ES_tradnl"/>
        </w:rPr>
        <w:t xml:space="preserve">Los integrantes de la Sala, </w:t>
      </w:r>
    </w:p>
    <w:p w14:paraId="31E267EB" w14:textId="77777777" w:rsidR="007F1030" w:rsidRPr="007F1030" w:rsidRDefault="007F1030" w:rsidP="007F1030">
      <w:pPr>
        <w:spacing w:line="276" w:lineRule="auto"/>
        <w:jc w:val="both"/>
        <w:rPr>
          <w:rFonts w:ascii="Arial" w:hAnsi="Arial" w:cs="Arial"/>
          <w:lang w:val="es-ES_tradnl"/>
        </w:rPr>
      </w:pPr>
    </w:p>
    <w:p w14:paraId="55B9826E" w14:textId="77777777" w:rsidR="007F1030" w:rsidRPr="007F1030" w:rsidRDefault="007F1030" w:rsidP="007F1030">
      <w:pPr>
        <w:spacing w:line="276" w:lineRule="auto"/>
        <w:jc w:val="both"/>
        <w:rPr>
          <w:rFonts w:ascii="Arial" w:hAnsi="Arial" w:cs="Arial"/>
          <w:lang w:val="es-ES_tradnl"/>
        </w:rPr>
      </w:pPr>
    </w:p>
    <w:p w14:paraId="48CD8A8E" w14:textId="77777777" w:rsidR="007F1030" w:rsidRPr="007F1030" w:rsidRDefault="007F1030" w:rsidP="007F1030">
      <w:pPr>
        <w:spacing w:line="276" w:lineRule="auto"/>
        <w:jc w:val="both"/>
        <w:rPr>
          <w:rFonts w:ascii="Arial" w:hAnsi="Arial" w:cs="Arial"/>
          <w:lang w:val="es-ES_tradnl"/>
        </w:rPr>
      </w:pPr>
    </w:p>
    <w:p w14:paraId="10494633" w14:textId="77777777" w:rsidR="007F1030" w:rsidRPr="007F1030" w:rsidRDefault="007F1030" w:rsidP="007F1030">
      <w:pPr>
        <w:spacing w:line="276" w:lineRule="auto"/>
        <w:jc w:val="both"/>
        <w:rPr>
          <w:rFonts w:ascii="Arial" w:hAnsi="Arial" w:cs="Arial"/>
          <w:lang w:val="es-ES_tradnl"/>
        </w:rPr>
      </w:pPr>
    </w:p>
    <w:p w14:paraId="6616D97C" w14:textId="77777777" w:rsidR="007F1030" w:rsidRPr="007F1030" w:rsidRDefault="007F1030" w:rsidP="007F1030">
      <w:pPr>
        <w:spacing w:line="276" w:lineRule="auto"/>
        <w:jc w:val="center"/>
        <w:rPr>
          <w:rFonts w:ascii="Arial" w:hAnsi="Arial" w:cs="Arial"/>
          <w:b/>
          <w:bCs/>
          <w:iCs/>
        </w:rPr>
      </w:pPr>
      <w:r w:rsidRPr="007F1030">
        <w:rPr>
          <w:rFonts w:ascii="Arial" w:hAnsi="Arial" w:cs="Arial"/>
          <w:b/>
          <w:bCs/>
          <w:iCs/>
        </w:rPr>
        <w:t>ALEJANDRA MARÍA HENAO PALACIO</w:t>
      </w:r>
    </w:p>
    <w:p w14:paraId="15A2446A" w14:textId="77777777" w:rsidR="007F1030" w:rsidRPr="007F1030" w:rsidRDefault="007F1030" w:rsidP="007F1030">
      <w:pPr>
        <w:spacing w:line="276" w:lineRule="auto"/>
        <w:jc w:val="center"/>
        <w:rPr>
          <w:rFonts w:ascii="Arial" w:hAnsi="Arial" w:cs="Arial"/>
          <w:bCs/>
          <w:iCs/>
        </w:rPr>
      </w:pPr>
      <w:r w:rsidRPr="007F1030">
        <w:rPr>
          <w:rFonts w:ascii="Arial" w:hAnsi="Arial" w:cs="Arial"/>
          <w:bCs/>
          <w:iCs/>
        </w:rPr>
        <w:t>Magistrada Ponente</w:t>
      </w:r>
    </w:p>
    <w:p w14:paraId="0D274C3C" w14:textId="77777777" w:rsidR="007F1030" w:rsidRPr="007F1030" w:rsidRDefault="007F1030" w:rsidP="007F1030">
      <w:pPr>
        <w:spacing w:line="276" w:lineRule="auto"/>
        <w:jc w:val="both"/>
        <w:rPr>
          <w:rFonts w:ascii="Arial" w:hAnsi="Arial" w:cs="Arial"/>
          <w:lang w:val="es-ES_tradnl"/>
        </w:rPr>
      </w:pPr>
    </w:p>
    <w:p w14:paraId="37A45657" w14:textId="77777777" w:rsidR="007F1030" w:rsidRPr="007F1030" w:rsidRDefault="007F1030" w:rsidP="007F1030">
      <w:pPr>
        <w:spacing w:line="276" w:lineRule="auto"/>
        <w:jc w:val="both"/>
        <w:rPr>
          <w:rFonts w:ascii="Arial" w:hAnsi="Arial" w:cs="Arial"/>
          <w:lang w:val="es-ES_tradnl"/>
        </w:rPr>
      </w:pPr>
    </w:p>
    <w:p w14:paraId="36911874" w14:textId="77777777" w:rsidR="007F1030" w:rsidRPr="007F1030" w:rsidRDefault="007F1030" w:rsidP="007F1030">
      <w:pPr>
        <w:spacing w:line="276" w:lineRule="auto"/>
        <w:jc w:val="both"/>
        <w:rPr>
          <w:rFonts w:ascii="Arial" w:hAnsi="Arial" w:cs="Arial"/>
          <w:lang w:val="es-ES_tradnl"/>
        </w:rPr>
      </w:pPr>
    </w:p>
    <w:p w14:paraId="7763F39A" w14:textId="77777777" w:rsidR="007F1030" w:rsidRPr="007F1030" w:rsidRDefault="007F1030" w:rsidP="007F1030">
      <w:pPr>
        <w:spacing w:line="276" w:lineRule="auto"/>
        <w:jc w:val="both"/>
        <w:rPr>
          <w:rFonts w:ascii="Arial" w:hAnsi="Arial" w:cs="Arial"/>
          <w:lang w:val="es-ES_tradnl"/>
        </w:rPr>
      </w:pPr>
    </w:p>
    <w:p w14:paraId="50855680" w14:textId="77777777" w:rsidR="007F1030" w:rsidRPr="007F1030" w:rsidRDefault="007F1030" w:rsidP="007F1030">
      <w:pPr>
        <w:spacing w:line="276" w:lineRule="auto"/>
        <w:jc w:val="both"/>
        <w:rPr>
          <w:rFonts w:ascii="Arial" w:hAnsi="Arial" w:cs="Arial"/>
          <w:b/>
          <w:bCs/>
          <w:iCs/>
        </w:rPr>
      </w:pPr>
      <w:r w:rsidRPr="007F1030">
        <w:rPr>
          <w:rFonts w:ascii="Arial" w:hAnsi="Arial" w:cs="Arial"/>
          <w:b/>
          <w:bCs/>
          <w:iCs/>
        </w:rPr>
        <w:t>ANA LUCÍA CAICEDO CALDERÓN</w:t>
      </w:r>
      <w:r w:rsidRPr="007F1030">
        <w:rPr>
          <w:rFonts w:ascii="Arial" w:hAnsi="Arial" w:cs="Arial"/>
          <w:b/>
          <w:bCs/>
          <w:iCs/>
        </w:rPr>
        <w:tab/>
        <w:t xml:space="preserve">      OLGA LUCIA HOYOS SEPÚLVEDA</w:t>
      </w:r>
    </w:p>
    <w:p w14:paraId="26CE870A" w14:textId="5C1F5BDB" w:rsidR="00BF5121" w:rsidRPr="00BF5121" w:rsidRDefault="007F1030" w:rsidP="007F1030">
      <w:pPr>
        <w:spacing w:line="276" w:lineRule="auto"/>
        <w:jc w:val="both"/>
        <w:rPr>
          <w:rFonts w:ascii="Arial" w:hAnsi="Arial" w:cs="Arial"/>
          <w:bCs/>
          <w:iCs/>
        </w:rPr>
      </w:pPr>
      <w:r w:rsidRPr="007F1030">
        <w:rPr>
          <w:rFonts w:ascii="Arial" w:hAnsi="Arial" w:cs="Arial"/>
          <w:bCs/>
          <w:iCs/>
        </w:rPr>
        <w:t xml:space="preserve">                Magistrada</w:t>
      </w:r>
      <w:r w:rsidRPr="007F1030">
        <w:rPr>
          <w:rFonts w:ascii="Arial" w:hAnsi="Arial" w:cs="Arial"/>
          <w:bCs/>
          <w:iCs/>
        </w:rPr>
        <w:tab/>
      </w:r>
      <w:r w:rsidRPr="007F1030">
        <w:rPr>
          <w:rFonts w:ascii="Arial" w:hAnsi="Arial" w:cs="Arial"/>
          <w:bCs/>
          <w:iCs/>
        </w:rPr>
        <w:tab/>
      </w:r>
      <w:r w:rsidRPr="007F1030">
        <w:rPr>
          <w:rFonts w:ascii="Arial" w:hAnsi="Arial" w:cs="Arial"/>
          <w:bCs/>
          <w:iCs/>
        </w:rPr>
        <w:tab/>
      </w:r>
      <w:r w:rsidRPr="007F1030">
        <w:rPr>
          <w:rFonts w:ascii="Arial" w:hAnsi="Arial" w:cs="Arial"/>
          <w:bCs/>
          <w:iCs/>
        </w:rPr>
        <w:tab/>
      </w:r>
      <w:r w:rsidRPr="007F1030">
        <w:rPr>
          <w:rFonts w:ascii="Arial" w:hAnsi="Arial" w:cs="Arial"/>
          <w:bCs/>
          <w:iCs/>
        </w:rPr>
        <w:tab/>
        <w:t xml:space="preserve">      Magistrada</w:t>
      </w:r>
    </w:p>
    <w:sectPr w:rsidR="00BF5121" w:rsidRPr="00BF5121" w:rsidSect="007F1030">
      <w:headerReference w:type="even" r:id="rId14"/>
      <w:headerReference w:type="defaul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20D08" w14:textId="77777777" w:rsidR="007A2589" w:rsidRDefault="007A2589" w:rsidP="0015708F">
      <w:r>
        <w:separator/>
      </w:r>
    </w:p>
  </w:endnote>
  <w:endnote w:type="continuationSeparator" w:id="0">
    <w:p w14:paraId="1FECCC56" w14:textId="77777777" w:rsidR="007A2589" w:rsidRDefault="007A2589"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altName w:val=" 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ì??????"/>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9A607" w14:textId="77777777" w:rsidR="007A2589" w:rsidRDefault="007A2589" w:rsidP="0015708F">
      <w:r>
        <w:separator/>
      </w:r>
    </w:p>
  </w:footnote>
  <w:footnote w:type="continuationSeparator" w:id="0">
    <w:p w14:paraId="7AE98CA4" w14:textId="77777777" w:rsidR="007A2589" w:rsidRDefault="007A2589"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0A4999" w:rsidRDefault="000A4999"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0A4999" w:rsidRDefault="000A4999"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0A4999" w:rsidRPr="00BF5121" w:rsidRDefault="000A4999" w:rsidP="00BF5121">
    <w:pPr>
      <w:pStyle w:val="Encabezado"/>
      <w:framePr w:wrap="around" w:vAnchor="text" w:hAnchor="margin" w:xAlign="right" w:y="1"/>
      <w:ind w:right="178"/>
      <w:rPr>
        <w:rFonts w:ascii="Arial" w:hAnsi="Arial" w:cs="Arial"/>
        <w:sz w:val="18"/>
        <w:szCs w:val="16"/>
      </w:rPr>
    </w:pPr>
    <w:r w:rsidRPr="00BF5121">
      <w:rPr>
        <w:rFonts w:ascii="Arial" w:hAnsi="Arial" w:cs="Arial"/>
        <w:sz w:val="18"/>
        <w:szCs w:val="16"/>
      </w:rPr>
      <w:fldChar w:fldCharType="begin"/>
    </w:r>
    <w:r w:rsidRPr="00BF5121">
      <w:rPr>
        <w:rFonts w:ascii="Arial" w:hAnsi="Arial" w:cs="Arial"/>
        <w:sz w:val="18"/>
        <w:szCs w:val="16"/>
      </w:rPr>
      <w:instrText xml:space="preserve">PAGE  </w:instrText>
    </w:r>
    <w:r w:rsidRPr="00BF5121">
      <w:rPr>
        <w:rFonts w:ascii="Arial" w:hAnsi="Arial" w:cs="Arial"/>
        <w:sz w:val="18"/>
        <w:szCs w:val="16"/>
      </w:rPr>
      <w:fldChar w:fldCharType="separate"/>
    </w:r>
    <w:r w:rsidR="00434567">
      <w:rPr>
        <w:rFonts w:ascii="Arial" w:hAnsi="Arial" w:cs="Arial"/>
        <w:noProof/>
        <w:sz w:val="18"/>
        <w:szCs w:val="16"/>
      </w:rPr>
      <w:t>9</w:t>
    </w:r>
    <w:r w:rsidRPr="00BF5121">
      <w:rPr>
        <w:rFonts w:ascii="Arial" w:hAnsi="Arial" w:cs="Arial"/>
        <w:sz w:val="18"/>
        <w:szCs w:val="16"/>
      </w:rPr>
      <w:fldChar w:fldCharType="end"/>
    </w:r>
  </w:p>
  <w:p w14:paraId="28523288" w14:textId="12EA3991" w:rsidR="000A4999" w:rsidRPr="00BF5121" w:rsidRDefault="000A4999" w:rsidP="00C8501E">
    <w:pPr>
      <w:pStyle w:val="Encabezado"/>
      <w:ind w:right="360"/>
      <w:rPr>
        <w:rFonts w:ascii="Arial" w:hAnsi="Arial" w:cs="Arial"/>
        <w:color w:val="595959" w:themeColor="text1" w:themeTint="A6"/>
        <w:sz w:val="18"/>
        <w:szCs w:val="16"/>
        <w:lang w:val="es-ES"/>
      </w:rPr>
    </w:pPr>
    <w:r w:rsidRPr="00BF5121">
      <w:rPr>
        <w:rFonts w:ascii="Arial" w:hAnsi="Arial" w:cs="Arial"/>
        <w:color w:val="595959" w:themeColor="text1" w:themeTint="A6"/>
        <w:sz w:val="18"/>
        <w:szCs w:val="16"/>
      </w:rPr>
      <w:t>Radicado No. 66001</w:t>
    </w:r>
    <w:r w:rsidRPr="00BF5121">
      <w:rPr>
        <w:rFonts w:ascii="Arial" w:hAnsi="Arial" w:cs="Arial"/>
        <w:color w:val="595959" w:themeColor="text1" w:themeTint="A6"/>
        <w:sz w:val="18"/>
        <w:szCs w:val="16"/>
        <w:lang w:val="es-ES"/>
      </w:rPr>
      <w:t>-31-05-005-2017-00296-01</w:t>
    </w:r>
  </w:p>
  <w:p w14:paraId="144A5D23" w14:textId="582362F4" w:rsidR="000A4999" w:rsidRPr="00BF5121" w:rsidRDefault="000A4999">
    <w:pPr>
      <w:pStyle w:val="Encabezado"/>
      <w:rPr>
        <w:rFonts w:ascii="Arial" w:hAnsi="Arial" w:cs="Arial"/>
        <w:color w:val="595959" w:themeColor="text1" w:themeTint="A6"/>
        <w:sz w:val="18"/>
        <w:szCs w:val="16"/>
        <w:lang w:val="es-ES"/>
      </w:rPr>
    </w:pPr>
    <w:r w:rsidRPr="00BF5121">
      <w:rPr>
        <w:rFonts w:ascii="Arial" w:hAnsi="Arial" w:cs="Arial"/>
        <w:color w:val="595959" w:themeColor="text1" w:themeTint="A6"/>
        <w:sz w:val="18"/>
        <w:szCs w:val="16"/>
        <w:lang w:val="es-ES"/>
      </w:rPr>
      <w:t xml:space="preserve">María </w:t>
    </w:r>
    <w:proofErr w:type="spellStart"/>
    <w:r w:rsidRPr="00BF5121">
      <w:rPr>
        <w:rFonts w:ascii="Arial" w:hAnsi="Arial" w:cs="Arial"/>
        <w:color w:val="595959" w:themeColor="text1" w:themeTint="A6"/>
        <w:sz w:val="18"/>
        <w:szCs w:val="16"/>
        <w:lang w:val="es-ES"/>
      </w:rPr>
      <w:t>Cenelia</w:t>
    </w:r>
    <w:proofErr w:type="spellEnd"/>
    <w:r w:rsidRPr="00BF5121">
      <w:rPr>
        <w:rFonts w:ascii="Arial" w:hAnsi="Arial" w:cs="Arial"/>
        <w:color w:val="595959" w:themeColor="text1" w:themeTint="A6"/>
        <w:sz w:val="18"/>
        <w:szCs w:val="16"/>
        <w:lang w:val="es-ES"/>
      </w:rPr>
      <w:t xml:space="preserve"> Velásquez Bedoya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DA93F7E"/>
    <w:multiLevelType w:val="hybridMultilevel"/>
    <w:tmpl w:val="FB6275B6"/>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2">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48A7976"/>
    <w:multiLevelType w:val="multilevel"/>
    <w:tmpl w:val="FAA8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2AB35C38"/>
    <w:multiLevelType w:val="multilevel"/>
    <w:tmpl w:val="D7F20F42"/>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7211914"/>
    <w:multiLevelType w:val="hybridMultilevel"/>
    <w:tmpl w:val="B8788A36"/>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9">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39040BD4"/>
    <w:multiLevelType w:val="multilevel"/>
    <w:tmpl w:val="D7F20F42"/>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90A0B43"/>
    <w:multiLevelType w:val="multilevel"/>
    <w:tmpl w:val="D7F20F42"/>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5C4F14C2"/>
    <w:multiLevelType w:val="hybridMultilevel"/>
    <w:tmpl w:val="C0BA271A"/>
    <w:lvl w:ilvl="0" w:tplc="C0D2E840">
      <w:start w:val="1"/>
      <w:numFmt w:val="upperRoman"/>
      <w:pStyle w:val="Yo"/>
      <w:lvlText w:val="%1."/>
      <w:lvlJc w:val="left"/>
      <w:pPr>
        <w:tabs>
          <w:tab w:val="num" w:pos="1077"/>
        </w:tabs>
        <w:ind w:left="1077" w:hanging="720"/>
      </w:pPr>
      <w:rPr>
        <w:rFonts w:hint="default"/>
      </w:r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17">
    <w:nsid w:val="5DAB23FF"/>
    <w:multiLevelType w:val="multilevel"/>
    <w:tmpl w:val="BB123032"/>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63CA093F"/>
    <w:multiLevelType w:val="multilevel"/>
    <w:tmpl w:val="027471C4"/>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8"/>
  </w:num>
  <w:num w:numId="2">
    <w:abstractNumId w:val="20"/>
  </w:num>
  <w:num w:numId="3">
    <w:abstractNumId w:val="11"/>
  </w:num>
  <w:num w:numId="4">
    <w:abstractNumId w:val="19"/>
  </w:num>
  <w:num w:numId="5">
    <w:abstractNumId w:val="4"/>
  </w:num>
  <w:num w:numId="6">
    <w:abstractNumId w:val="0"/>
  </w:num>
  <w:num w:numId="7">
    <w:abstractNumId w:val="7"/>
  </w:num>
  <w:num w:numId="8">
    <w:abstractNumId w:val="14"/>
  </w:num>
  <w:num w:numId="9">
    <w:abstractNumId w:val="9"/>
  </w:num>
  <w:num w:numId="10">
    <w:abstractNumId w:val="2"/>
  </w:num>
  <w:num w:numId="11">
    <w:abstractNumId w:val="17"/>
  </w:num>
  <w:num w:numId="12">
    <w:abstractNumId w:val="12"/>
  </w:num>
  <w:num w:numId="13">
    <w:abstractNumId w:val="6"/>
  </w:num>
  <w:num w:numId="14">
    <w:abstractNumId w:val="15"/>
  </w:num>
  <w:num w:numId="15">
    <w:abstractNumId w:val="16"/>
  </w:num>
  <w:num w:numId="16">
    <w:abstractNumId w:val="16"/>
  </w:num>
  <w:num w:numId="17">
    <w:abstractNumId w:val="1"/>
  </w:num>
  <w:num w:numId="18">
    <w:abstractNumId w:val="16"/>
  </w:num>
  <w:num w:numId="19">
    <w:abstractNumId w:val="16"/>
  </w:num>
  <w:num w:numId="20">
    <w:abstractNumId w:val="16"/>
  </w:num>
  <w:num w:numId="21">
    <w:abstractNumId w:val="16"/>
  </w:num>
  <w:num w:numId="22">
    <w:abstractNumId w:val="3"/>
  </w:num>
  <w:num w:numId="23">
    <w:abstractNumId w:val="16"/>
  </w:num>
  <w:num w:numId="24">
    <w:abstractNumId w:val="8"/>
  </w:num>
  <w:num w:numId="25">
    <w:abstractNumId w:val="13"/>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07692"/>
    <w:rsid w:val="00007CE3"/>
    <w:rsid w:val="000147D6"/>
    <w:rsid w:val="00015957"/>
    <w:rsid w:val="00016136"/>
    <w:rsid w:val="00017668"/>
    <w:rsid w:val="000213A8"/>
    <w:rsid w:val="0002295A"/>
    <w:rsid w:val="0002493D"/>
    <w:rsid w:val="00024A59"/>
    <w:rsid w:val="00025128"/>
    <w:rsid w:val="00025C52"/>
    <w:rsid w:val="00026042"/>
    <w:rsid w:val="00026402"/>
    <w:rsid w:val="000268D6"/>
    <w:rsid w:val="00026A4E"/>
    <w:rsid w:val="00027010"/>
    <w:rsid w:val="0003013B"/>
    <w:rsid w:val="000318D6"/>
    <w:rsid w:val="00031AD5"/>
    <w:rsid w:val="000348FB"/>
    <w:rsid w:val="00035CF6"/>
    <w:rsid w:val="00036C4C"/>
    <w:rsid w:val="00037DAF"/>
    <w:rsid w:val="00046899"/>
    <w:rsid w:val="00046A0F"/>
    <w:rsid w:val="0005017A"/>
    <w:rsid w:val="00051FC4"/>
    <w:rsid w:val="00052618"/>
    <w:rsid w:val="00053164"/>
    <w:rsid w:val="00053F63"/>
    <w:rsid w:val="0005498E"/>
    <w:rsid w:val="00055187"/>
    <w:rsid w:val="000636BA"/>
    <w:rsid w:val="000646A3"/>
    <w:rsid w:val="00065A1A"/>
    <w:rsid w:val="000749AA"/>
    <w:rsid w:val="00086EBB"/>
    <w:rsid w:val="000918C3"/>
    <w:rsid w:val="00092E11"/>
    <w:rsid w:val="000A075C"/>
    <w:rsid w:val="000A1727"/>
    <w:rsid w:val="000A2B82"/>
    <w:rsid w:val="000A31F9"/>
    <w:rsid w:val="000A4999"/>
    <w:rsid w:val="000A74D1"/>
    <w:rsid w:val="000B1360"/>
    <w:rsid w:val="000B690D"/>
    <w:rsid w:val="000C631D"/>
    <w:rsid w:val="000C7860"/>
    <w:rsid w:val="000C7E18"/>
    <w:rsid w:val="000D2AB1"/>
    <w:rsid w:val="000D2C30"/>
    <w:rsid w:val="000D6054"/>
    <w:rsid w:val="000E3464"/>
    <w:rsid w:val="000E3688"/>
    <w:rsid w:val="000E4A33"/>
    <w:rsid w:val="000E4D09"/>
    <w:rsid w:val="000E59C1"/>
    <w:rsid w:val="000F2075"/>
    <w:rsid w:val="000F36FA"/>
    <w:rsid w:val="000F6BFE"/>
    <w:rsid w:val="000F6FBA"/>
    <w:rsid w:val="001026AC"/>
    <w:rsid w:val="00107F55"/>
    <w:rsid w:val="0011003C"/>
    <w:rsid w:val="00112A88"/>
    <w:rsid w:val="001151F8"/>
    <w:rsid w:val="001205B1"/>
    <w:rsid w:val="0012126E"/>
    <w:rsid w:val="00121A1C"/>
    <w:rsid w:val="00122BF3"/>
    <w:rsid w:val="00122D2A"/>
    <w:rsid w:val="00123B5D"/>
    <w:rsid w:val="0012432E"/>
    <w:rsid w:val="00124BAC"/>
    <w:rsid w:val="00130BFF"/>
    <w:rsid w:val="00130DD2"/>
    <w:rsid w:val="001329E3"/>
    <w:rsid w:val="001421A8"/>
    <w:rsid w:val="0015708F"/>
    <w:rsid w:val="00162323"/>
    <w:rsid w:val="001657B7"/>
    <w:rsid w:val="00167ACE"/>
    <w:rsid w:val="0017179D"/>
    <w:rsid w:val="001740B2"/>
    <w:rsid w:val="00174A33"/>
    <w:rsid w:val="00176EC1"/>
    <w:rsid w:val="0017717E"/>
    <w:rsid w:val="0017795F"/>
    <w:rsid w:val="0018007E"/>
    <w:rsid w:val="00180801"/>
    <w:rsid w:val="00184625"/>
    <w:rsid w:val="001915E5"/>
    <w:rsid w:val="00193881"/>
    <w:rsid w:val="00195FAA"/>
    <w:rsid w:val="00197E5A"/>
    <w:rsid w:val="001A12A8"/>
    <w:rsid w:val="001A2B92"/>
    <w:rsid w:val="001A3C63"/>
    <w:rsid w:val="001A42F2"/>
    <w:rsid w:val="001A4996"/>
    <w:rsid w:val="001A4F57"/>
    <w:rsid w:val="001A5FC0"/>
    <w:rsid w:val="001B0DF0"/>
    <w:rsid w:val="001B0EFA"/>
    <w:rsid w:val="001B1E9E"/>
    <w:rsid w:val="001B2394"/>
    <w:rsid w:val="001B37BF"/>
    <w:rsid w:val="001B415D"/>
    <w:rsid w:val="001B48FF"/>
    <w:rsid w:val="001B54E2"/>
    <w:rsid w:val="001B67DC"/>
    <w:rsid w:val="001B691A"/>
    <w:rsid w:val="001C1D44"/>
    <w:rsid w:val="001D0D22"/>
    <w:rsid w:val="001D20CC"/>
    <w:rsid w:val="001D2A8F"/>
    <w:rsid w:val="001D3FE2"/>
    <w:rsid w:val="001D4250"/>
    <w:rsid w:val="001D546D"/>
    <w:rsid w:val="001D58A2"/>
    <w:rsid w:val="001D61F2"/>
    <w:rsid w:val="001D6A03"/>
    <w:rsid w:val="001D762A"/>
    <w:rsid w:val="001E02DD"/>
    <w:rsid w:val="001E09F6"/>
    <w:rsid w:val="001E1AD1"/>
    <w:rsid w:val="001E363A"/>
    <w:rsid w:val="001E5493"/>
    <w:rsid w:val="001E6C02"/>
    <w:rsid w:val="001E716F"/>
    <w:rsid w:val="001F3FBA"/>
    <w:rsid w:val="001F5BD9"/>
    <w:rsid w:val="001F7F8F"/>
    <w:rsid w:val="00207B67"/>
    <w:rsid w:val="0021059F"/>
    <w:rsid w:val="00213677"/>
    <w:rsid w:val="0021551E"/>
    <w:rsid w:val="002178BC"/>
    <w:rsid w:val="0021BAC0"/>
    <w:rsid w:val="00220C08"/>
    <w:rsid w:val="00224CF6"/>
    <w:rsid w:val="00227A70"/>
    <w:rsid w:val="00230F52"/>
    <w:rsid w:val="002348E6"/>
    <w:rsid w:val="00235DA0"/>
    <w:rsid w:val="00235F05"/>
    <w:rsid w:val="00245122"/>
    <w:rsid w:val="0024564C"/>
    <w:rsid w:val="0025560E"/>
    <w:rsid w:val="0025588E"/>
    <w:rsid w:val="0025614D"/>
    <w:rsid w:val="00257101"/>
    <w:rsid w:val="00267A18"/>
    <w:rsid w:val="00271AA8"/>
    <w:rsid w:val="00274080"/>
    <w:rsid w:val="00274FCB"/>
    <w:rsid w:val="002775F4"/>
    <w:rsid w:val="00280D09"/>
    <w:rsid w:val="002830AF"/>
    <w:rsid w:val="002868C7"/>
    <w:rsid w:val="002874C9"/>
    <w:rsid w:val="00290CF6"/>
    <w:rsid w:val="002929D7"/>
    <w:rsid w:val="00293333"/>
    <w:rsid w:val="00293B0C"/>
    <w:rsid w:val="002A314D"/>
    <w:rsid w:val="002A40DA"/>
    <w:rsid w:val="002A5840"/>
    <w:rsid w:val="002A5B7C"/>
    <w:rsid w:val="002A6EBE"/>
    <w:rsid w:val="002B0C06"/>
    <w:rsid w:val="002B2F01"/>
    <w:rsid w:val="002B6B87"/>
    <w:rsid w:val="002B7B83"/>
    <w:rsid w:val="002C02EE"/>
    <w:rsid w:val="002C07E8"/>
    <w:rsid w:val="002C23AF"/>
    <w:rsid w:val="002C3F1F"/>
    <w:rsid w:val="002C492F"/>
    <w:rsid w:val="002C56AB"/>
    <w:rsid w:val="002C57BD"/>
    <w:rsid w:val="002D0358"/>
    <w:rsid w:val="002D0686"/>
    <w:rsid w:val="002D1576"/>
    <w:rsid w:val="002D2FD8"/>
    <w:rsid w:val="002D50C2"/>
    <w:rsid w:val="002D6719"/>
    <w:rsid w:val="002D73AE"/>
    <w:rsid w:val="002E1642"/>
    <w:rsid w:val="002E29D9"/>
    <w:rsid w:val="002F35A1"/>
    <w:rsid w:val="002F368B"/>
    <w:rsid w:val="002F3A9C"/>
    <w:rsid w:val="002F44BE"/>
    <w:rsid w:val="002F79BC"/>
    <w:rsid w:val="00300584"/>
    <w:rsid w:val="003006AA"/>
    <w:rsid w:val="00300923"/>
    <w:rsid w:val="0030108B"/>
    <w:rsid w:val="00302AF2"/>
    <w:rsid w:val="00307B0A"/>
    <w:rsid w:val="003100B2"/>
    <w:rsid w:val="00310943"/>
    <w:rsid w:val="003146BE"/>
    <w:rsid w:val="003147BB"/>
    <w:rsid w:val="00317919"/>
    <w:rsid w:val="003223BD"/>
    <w:rsid w:val="00323283"/>
    <w:rsid w:val="00323B22"/>
    <w:rsid w:val="003261A5"/>
    <w:rsid w:val="003319ED"/>
    <w:rsid w:val="003340A0"/>
    <w:rsid w:val="0033457E"/>
    <w:rsid w:val="00335607"/>
    <w:rsid w:val="0033642E"/>
    <w:rsid w:val="00340929"/>
    <w:rsid w:val="00342ECF"/>
    <w:rsid w:val="00343FE7"/>
    <w:rsid w:val="00345C73"/>
    <w:rsid w:val="00351072"/>
    <w:rsid w:val="00351C22"/>
    <w:rsid w:val="003530F1"/>
    <w:rsid w:val="003547BD"/>
    <w:rsid w:val="003551B4"/>
    <w:rsid w:val="00355E5A"/>
    <w:rsid w:val="00357323"/>
    <w:rsid w:val="00357A4A"/>
    <w:rsid w:val="00361B8E"/>
    <w:rsid w:val="00362A65"/>
    <w:rsid w:val="00363D6C"/>
    <w:rsid w:val="00364AE3"/>
    <w:rsid w:val="00365ACF"/>
    <w:rsid w:val="003722B6"/>
    <w:rsid w:val="00373857"/>
    <w:rsid w:val="00373CFB"/>
    <w:rsid w:val="00377E58"/>
    <w:rsid w:val="0039562A"/>
    <w:rsid w:val="003966F2"/>
    <w:rsid w:val="00396AB4"/>
    <w:rsid w:val="00396AD7"/>
    <w:rsid w:val="003A3EF3"/>
    <w:rsid w:val="003A4AF2"/>
    <w:rsid w:val="003B29C8"/>
    <w:rsid w:val="003B37A9"/>
    <w:rsid w:val="003B4312"/>
    <w:rsid w:val="003B72C5"/>
    <w:rsid w:val="003B74BC"/>
    <w:rsid w:val="003B7DEA"/>
    <w:rsid w:val="003C00B3"/>
    <w:rsid w:val="003C03F1"/>
    <w:rsid w:val="003C2D22"/>
    <w:rsid w:val="003D03C2"/>
    <w:rsid w:val="003D175A"/>
    <w:rsid w:val="003D3ADE"/>
    <w:rsid w:val="003D7AC6"/>
    <w:rsid w:val="003E05A0"/>
    <w:rsid w:val="003E0657"/>
    <w:rsid w:val="003F0B79"/>
    <w:rsid w:val="003F3695"/>
    <w:rsid w:val="003F5B3B"/>
    <w:rsid w:val="00407C16"/>
    <w:rsid w:val="004103A8"/>
    <w:rsid w:val="0041051F"/>
    <w:rsid w:val="00411200"/>
    <w:rsid w:val="0041437D"/>
    <w:rsid w:val="00417C68"/>
    <w:rsid w:val="004227C6"/>
    <w:rsid w:val="00423B3B"/>
    <w:rsid w:val="00424786"/>
    <w:rsid w:val="0042565D"/>
    <w:rsid w:val="00427473"/>
    <w:rsid w:val="00427C14"/>
    <w:rsid w:val="00430D47"/>
    <w:rsid w:val="004324A8"/>
    <w:rsid w:val="0043366E"/>
    <w:rsid w:val="0043374C"/>
    <w:rsid w:val="00434567"/>
    <w:rsid w:val="00440EA8"/>
    <w:rsid w:val="00441500"/>
    <w:rsid w:val="00452E10"/>
    <w:rsid w:val="004538E2"/>
    <w:rsid w:val="0046107D"/>
    <w:rsid w:val="004623AA"/>
    <w:rsid w:val="00463195"/>
    <w:rsid w:val="0046361E"/>
    <w:rsid w:val="00465B9F"/>
    <w:rsid w:val="004723DA"/>
    <w:rsid w:val="00472808"/>
    <w:rsid w:val="00472A4C"/>
    <w:rsid w:val="00474C6F"/>
    <w:rsid w:val="0047718F"/>
    <w:rsid w:val="00481270"/>
    <w:rsid w:val="0048307C"/>
    <w:rsid w:val="00483D48"/>
    <w:rsid w:val="00483DB9"/>
    <w:rsid w:val="00484665"/>
    <w:rsid w:val="0049070E"/>
    <w:rsid w:val="00490BEF"/>
    <w:rsid w:val="00490C2F"/>
    <w:rsid w:val="00493D64"/>
    <w:rsid w:val="00494B90"/>
    <w:rsid w:val="00495D47"/>
    <w:rsid w:val="004B0C91"/>
    <w:rsid w:val="004B10B5"/>
    <w:rsid w:val="004B1FFB"/>
    <w:rsid w:val="004B60C8"/>
    <w:rsid w:val="004C0A85"/>
    <w:rsid w:val="004C27AF"/>
    <w:rsid w:val="004C6828"/>
    <w:rsid w:val="004D2587"/>
    <w:rsid w:val="004D55BC"/>
    <w:rsid w:val="004D60EF"/>
    <w:rsid w:val="004D63E1"/>
    <w:rsid w:val="004E04B7"/>
    <w:rsid w:val="004E14AB"/>
    <w:rsid w:val="004E2C49"/>
    <w:rsid w:val="004E49B3"/>
    <w:rsid w:val="004F4D6A"/>
    <w:rsid w:val="004F4DD4"/>
    <w:rsid w:val="004F73D4"/>
    <w:rsid w:val="004F758C"/>
    <w:rsid w:val="005005D2"/>
    <w:rsid w:val="00502570"/>
    <w:rsid w:val="005049BD"/>
    <w:rsid w:val="0050662B"/>
    <w:rsid w:val="00512E03"/>
    <w:rsid w:val="005132E2"/>
    <w:rsid w:val="00513CC4"/>
    <w:rsid w:val="0051727F"/>
    <w:rsid w:val="00517DF6"/>
    <w:rsid w:val="0052069F"/>
    <w:rsid w:val="005223F7"/>
    <w:rsid w:val="005269E4"/>
    <w:rsid w:val="00527402"/>
    <w:rsid w:val="00534BA0"/>
    <w:rsid w:val="00535BB3"/>
    <w:rsid w:val="005401F9"/>
    <w:rsid w:val="005414B6"/>
    <w:rsid w:val="00544149"/>
    <w:rsid w:val="00545E6A"/>
    <w:rsid w:val="005464A4"/>
    <w:rsid w:val="00553A6B"/>
    <w:rsid w:val="00555D41"/>
    <w:rsid w:val="00556D44"/>
    <w:rsid w:val="00557E36"/>
    <w:rsid w:val="0056279F"/>
    <w:rsid w:val="005631FD"/>
    <w:rsid w:val="005653D0"/>
    <w:rsid w:val="0056596C"/>
    <w:rsid w:val="00570B05"/>
    <w:rsid w:val="00571677"/>
    <w:rsid w:val="0057182A"/>
    <w:rsid w:val="005743AA"/>
    <w:rsid w:val="005751AC"/>
    <w:rsid w:val="00577C1A"/>
    <w:rsid w:val="00583CC3"/>
    <w:rsid w:val="00586658"/>
    <w:rsid w:val="00587F42"/>
    <w:rsid w:val="00591442"/>
    <w:rsid w:val="00591DF7"/>
    <w:rsid w:val="005922EA"/>
    <w:rsid w:val="005927D1"/>
    <w:rsid w:val="005934BA"/>
    <w:rsid w:val="00594362"/>
    <w:rsid w:val="00595B94"/>
    <w:rsid w:val="00596534"/>
    <w:rsid w:val="005970F7"/>
    <w:rsid w:val="00597201"/>
    <w:rsid w:val="005B35AC"/>
    <w:rsid w:val="005B4A5C"/>
    <w:rsid w:val="005B5525"/>
    <w:rsid w:val="005B5E46"/>
    <w:rsid w:val="005B6EB4"/>
    <w:rsid w:val="005C0095"/>
    <w:rsid w:val="005C2BAB"/>
    <w:rsid w:val="005C36B7"/>
    <w:rsid w:val="005C49A6"/>
    <w:rsid w:val="005C5CDF"/>
    <w:rsid w:val="005D1F37"/>
    <w:rsid w:val="005D4E32"/>
    <w:rsid w:val="005E3003"/>
    <w:rsid w:val="005F134C"/>
    <w:rsid w:val="005F185A"/>
    <w:rsid w:val="005F2011"/>
    <w:rsid w:val="005F7E33"/>
    <w:rsid w:val="00600CC0"/>
    <w:rsid w:val="0060356A"/>
    <w:rsid w:val="00610747"/>
    <w:rsid w:val="00610D3E"/>
    <w:rsid w:val="00611F19"/>
    <w:rsid w:val="006161A7"/>
    <w:rsid w:val="0061625B"/>
    <w:rsid w:val="006165FB"/>
    <w:rsid w:val="00617D9B"/>
    <w:rsid w:val="00623CF2"/>
    <w:rsid w:val="006263E1"/>
    <w:rsid w:val="00626532"/>
    <w:rsid w:val="00632BB3"/>
    <w:rsid w:val="00633CA3"/>
    <w:rsid w:val="00636BE0"/>
    <w:rsid w:val="006408C3"/>
    <w:rsid w:val="00641CDD"/>
    <w:rsid w:val="00650568"/>
    <w:rsid w:val="0065311E"/>
    <w:rsid w:val="00653855"/>
    <w:rsid w:val="00653FE8"/>
    <w:rsid w:val="00654BBC"/>
    <w:rsid w:val="0065529E"/>
    <w:rsid w:val="006573E6"/>
    <w:rsid w:val="006623D3"/>
    <w:rsid w:val="00672ABD"/>
    <w:rsid w:val="006800AE"/>
    <w:rsid w:val="00681C76"/>
    <w:rsid w:val="00681D9E"/>
    <w:rsid w:val="00682175"/>
    <w:rsid w:val="00683D05"/>
    <w:rsid w:val="00684D3B"/>
    <w:rsid w:val="00687876"/>
    <w:rsid w:val="0069259F"/>
    <w:rsid w:val="00692C3F"/>
    <w:rsid w:val="00696ABA"/>
    <w:rsid w:val="006971E2"/>
    <w:rsid w:val="006A08E3"/>
    <w:rsid w:val="006A66AC"/>
    <w:rsid w:val="006B00DA"/>
    <w:rsid w:val="006B0F03"/>
    <w:rsid w:val="006B14CC"/>
    <w:rsid w:val="006C2FEA"/>
    <w:rsid w:val="006C519F"/>
    <w:rsid w:val="006D3DBE"/>
    <w:rsid w:val="006D46D5"/>
    <w:rsid w:val="006D5B7B"/>
    <w:rsid w:val="006D69BB"/>
    <w:rsid w:val="006D7CE2"/>
    <w:rsid w:val="006E1083"/>
    <w:rsid w:val="006E4425"/>
    <w:rsid w:val="006E60BC"/>
    <w:rsid w:val="006E7031"/>
    <w:rsid w:val="006F0F27"/>
    <w:rsid w:val="006F4023"/>
    <w:rsid w:val="006F764A"/>
    <w:rsid w:val="00701548"/>
    <w:rsid w:val="00701B7A"/>
    <w:rsid w:val="007034DA"/>
    <w:rsid w:val="00704130"/>
    <w:rsid w:val="0070417E"/>
    <w:rsid w:val="00704CE5"/>
    <w:rsid w:val="00706154"/>
    <w:rsid w:val="00710EE8"/>
    <w:rsid w:val="00711C3B"/>
    <w:rsid w:val="0071368C"/>
    <w:rsid w:val="00714128"/>
    <w:rsid w:val="00715DBF"/>
    <w:rsid w:val="007168F3"/>
    <w:rsid w:val="00716E74"/>
    <w:rsid w:val="007170DC"/>
    <w:rsid w:val="00717235"/>
    <w:rsid w:val="00722518"/>
    <w:rsid w:val="0072383C"/>
    <w:rsid w:val="0073476E"/>
    <w:rsid w:val="007419F2"/>
    <w:rsid w:val="007420AE"/>
    <w:rsid w:val="007438C4"/>
    <w:rsid w:val="0074610E"/>
    <w:rsid w:val="0075022E"/>
    <w:rsid w:val="00751B6C"/>
    <w:rsid w:val="00752592"/>
    <w:rsid w:val="00753EEB"/>
    <w:rsid w:val="00756D13"/>
    <w:rsid w:val="0076018C"/>
    <w:rsid w:val="00761C87"/>
    <w:rsid w:val="00762955"/>
    <w:rsid w:val="007658A1"/>
    <w:rsid w:val="00767B23"/>
    <w:rsid w:val="00772917"/>
    <w:rsid w:val="0078032C"/>
    <w:rsid w:val="00780493"/>
    <w:rsid w:val="00782FEA"/>
    <w:rsid w:val="00787674"/>
    <w:rsid w:val="0079174C"/>
    <w:rsid w:val="00791B00"/>
    <w:rsid w:val="00796CB1"/>
    <w:rsid w:val="007A22CB"/>
    <w:rsid w:val="007A2589"/>
    <w:rsid w:val="007A3437"/>
    <w:rsid w:val="007A6F07"/>
    <w:rsid w:val="007A7128"/>
    <w:rsid w:val="007B1CAD"/>
    <w:rsid w:val="007B62AC"/>
    <w:rsid w:val="007C1472"/>
    <w:rsid w:val="007C5E5B"/>
    <w:rsid w:val="007C61BC"/>
    <w:rsid w:val="007C7463"/>
    <w:rsid w:val="007D01B1"/>
    <w:rsid w:val="007D1364"/>
    <w:rsid w:val="007D257B"/>
    <w:rsid w:val="007D7615"/>
    <w:rsid w:val="007E11D5"/>
    <w:rsid w:val="007E19DC"/>
    <w:rsid w:val="007E2F2D"/>
    <w:rsid w:val="007E410E"/>
    <w:rsid w:val="007E6DBE"/>
    <w:rsid w:val="007F1030"/>
    <w:rsid w:val="007F18EF"/>
    <w:rsid w:val="007F37F4"/>
    <w:rsid w:val="007F69D0"/>
    <w:rsid w:val="008006CB"/>
    <w:rsid w:val="00800BDC"/>
    <w:rsid w:val="008019FB"/>
    <w:rsid w:val="00802459"/>
    <w:rsid w:val="00803C74"/>
    <w:rsid w:val="00804DC9"/>
    <w:rsid w:val="00814041"/>
    <w:rsid w:val="0081557E"/>
    <w:rsid w:val="008217E0"/>
    <w:rsid w:val="008224F7"/>
    <w:rsid w:val="00823C9B"/>
    <w:rsid w:val="00830B2C"/>
    <w:rsid w:val="00840603"/>
    <w:rsid w:val="00841DED"/>
    <w:rsid w:val="00846BAD"/>
    <w:rsid w:val="00850249"/>
    <w:rsid w:val="00851895"/>
    <w:rsid w:val="00856577"/>
    <w:rsid w:val="00860208"/>
    <w:rsid w:val="00860456"/>
    <w:rsid w:val="008645F5"/>
    <w:rsid w:val="00867D29"/>
    <w:rsid w:val="00882EEE"/>
    <w:rsid w:val="00897188"/>
    <w:rsid w:val="008A1BAA"/>
    <w:rsid w:val="008A639C"/>
    <w:rsid w:val="008B1AC7"/>
    <w:rsid w:val="008B4940"/>
    <w:rsid w:val="008B69A2"/>
    <w:rsid w:val="008B7AD3"/>
    <w:rsid w:val="008B7F31"/>
    <w:rsid w:val="008C569B"/>
    <w:rsid w:val="008C5EBD"/>
    <w:rsid w:val="008C62BA"/>
    <w:rsid w:val="008D23B1"/>
    <w:rsid w:val="008D30D8"/>
    <w:rsid w:val="008D4DD9"/>
    <w:rsid w:val="008E4180"/>
    <w:rsid w:val="008E72CE"/>
    <w:rsid w:val="008E7A16"/>
    <w:rsid w:val="00903D6A"/>
    <w:rsid w:val="00905EA6"/>
    <w:rsid w:val="00914808"/>
    <w:rsid w:val="00914D16"/>
    <w:rsid w:val="00916DAC"/>
    <w:rsid w:val="00917B3E"/>
    <w:rsid w:val="009211D7"/>
    <w:rsid w:val="00923996"/>
    <w:rsid w:val="00925058"/>
    <w:rsid w:val="00936BFC"/>
    <w:rsid w:val="009408C9"/>
    <w:rsid w:val="00945195"/>
    <w:rsid w:val="0094718A"/>
    <w:rsid w:val="0094786A"/>
    <w:rsid w:val="00950AFC"/>
    <w:rsid w:val="009544AC"/>
    <w:rsid w:val="00954FA3"/>
    <w:rsid w:val="00956312"/>
    <w:rsid w:val="00961D32"/>
    <w:rsid w:val="00963CAB"/>
    <w:rsid w:val="00963EAF"/>
    <w:rsid w:val="0096497C"/>
    <w:rsid w:val="00967742"/>
    <w:rsid w:val="0097069F"/>
    <w:rsid w:val="0097175A"/>
    <w:rsid w:val="009718B9"/>
    <w:rsid w:val="0097745B"/>
    <w:rsid w:val="009801D3"/>
    <w:rsid w:val="00981D74"/>
    <w:rsid w:val="00982EA1"/>
    <w:rsid w:val="00987AED"/>
    <w:rsid w:val="00993DD9"/>
    <w:rsid w:val="00994953"/>
    <w:rsid w:val="00996187"/>
    <w:rsid w:val="00996F81"/>
    <w:rsid w:val="00997AC0"/>
    <w:rsid w:val="009A686C"/>
    <w:rsid w:val="009B02FF"/>
    <w:rsid w:val="009B07AC"/>
    <w:rsid w:val="009B1191"/>
    <w:rsid w:val="009B2589"/>
    <w:rsid w:val="009B2D98"/>
    <w:rsid w:val="009B4886"/>
    <w:rsid w:val="009B4AE3"/>
    <w:rsid w:val="009B70F1"/>
    <w:rsid w:val="009C19DC"/>
    <w:rsid w:val="009D1D8A"/>
    <w:rsid w:val="009D25A9"/>
    <w:rsid w:val="009D2FB1"/>
    <w:rsid w:val="009D376A"/>
    <w:rsid w:val="009D4FB0"/>
    <w:rsid w:val="009E4B82"/>
    <w:rsid w:val="009E4E1E"/>
    <w:rsid w:val="009E5356"/>
    <w:rsid w:val="009E7F60"/>
    <w:rsid w:val="009F0715"/>
    <w:rsid w:val="009F111C"/>
    <w:rsid w:val="009F13E7"/>
    <w:rsid w:val="009F25DA"/>
    <w:rsid w:val="009F7883"/>
    <w:rsid w:val="009F7946"/>
    <w:rsid w:val="00A04CDA"/>
    <w:rsid w:val="00A07895"/>
    <w:rsid w:val="00A123B5"/>
    <w:rsid w:val="00A20309"/>
    <w:rsid w:val="00A20D79"/>
    <w:rsid w:val="00A21F22"/>
    <w:rsid w:val="00A30296"/>
    <w:rsid w:val="00A31AB4"/>
    <w:rsid w:val="00A32145"/>
    <w:rsid w:val="00A32B9A"/>
    <w:rsid w:val="00A34226"/>
    <w:rsid w:val="00A35FE8"/>
    <w:rsid w:val="00A363C8"/>
    <w:rsid w:val="00A366A7"/>
    <w:rsid w:val="00A37E8D"/>
    <w:rsid w:val="00A40086"/>
    <w:rsid w:val="00A4079D"/>
    <w:rsid w:val="00A42F92"/>
    <w:rsid w:val="00A43252"/>
    <w:rsid w:val="00A43818"/>
    <w:rsid w:val="00A473A1"/>
    <w:rsid w:val="00A501CE"/>
    <w:rsid w:val="00A50C59"/>
    <w:rsid w:val="00A50EDC"/>
    <w:rsid w:val="00A5177F"/>
    <w:rsid w:val="00A62CD0"/>
    <w:rsid w:val="00A65689"/>
    <w:rsid w:val="00A66326"/>
    <w:rsid w:val="00A675BB"/>
    <w:rsid w:val="00A677C2"/>
    <w:rsid w:val="00A72BC8"/>
    <w:rsid w:val="00A74D55"/>
    <w:rsid w:val="00A75277"/>
    <w:rsid w:val="00A82BE9"/>
    <w:rsid w:val="00A82FAE"/>
    <w:rsid w:val="00A83125"/>
    <w:rsid w:val="00A83DD6"/>
    <w:rsid w:val="00A84CE8"/>
    <w:rsid w:val="00A90E1C"/>
    <w:rsid w:val="00A924CC"/>
    <w:rsid w:val="00A93872"/>
    <w:rsid w:val="00A95982"/>
    <w:rsid w:val="00A96C25"/>
    <w:rsid w:val="00AA11E4"/>
    <w:rsid w:val="00AA36B0"/>
    <w:rsid w:val="00AA668A"/>
    <w:rsid w:val="00AA73DF"/>
    <w:rsid w:val="00AB3AF4"/>
    <w:rsid w:val="00AB46F1"/>
    <w:rsid w:val="00AB49F9"/>
    <w:rsid w:val="00AB5015"/>
    <w:rsid w:val="00AB56C0"/>
    <w:rsid w:val="00AB591A"/>
    <w:rsid w:val="00AC29FD"/>
    <w:rsid w:val="00AC2F52"/>
    <w:rsid w:val="00AC4608"/>
    <w:rsid w:val="00AC4790"/>
    <w:rsid w:val="00AD3BB0"/>
    <w:rsid w:val="00AE506C"/>
    <w:rsid w:val="00AE6844"/>
    <w:rsid w:val="00AE694B"/>
    <w:rsid w:val="00AF142B"/>
    <w:rsid w:val="00AF199F"/>
    <w:rsid w:val="00AF6B4D"/>
    <w:rsid w:val="00AF70FD"/>
    <w:rsid w:val="00B00E2C"/>
    <w:rsid w:val="00B018B0"/>
    <w:rsid w:val="00B04418"/>
    <w:rsid w:val="00B04FC3"/>
    <w:rsid w:val="00B05CD6"/>
    <w:rsid w:val="00B069EA"/>
    <w:rsid w:val="00B11290"/>
    <w:rsid w:val="00B12698"/>
    <w:rsid w:val="00B13B30"/>
    <w:rsid w:val="00B143AA"/>
    <w:rsid w:val="00B1463E"/>
    <w:rsid w:val="00B15498"/>
    <w:rsid w:val="00B17F97"/>
    <w:rsid w:val="00B2117D"/>
    <w:rsid w:val="00B2184E"/>
    <w:rsid w:val="00B22136"/>
    <w:rsid w:val="00B26342"/>
    <w:rsid w:val="00B308A2"/>
    <w:rsid w:val="00B33FB7"/>
    <w:rsid w:val="00B372A4"/>
    <w:rsid w:val="00B46911"/>
    <w:rsid w:val="00B50165"/>
    <w:rsid w:val="00B50D4A"/>
    <w:rsid w:val="00B53A2F"/>
    <w:rsid w:val="00B53FA8"/>
    <w:rsid w:val="00B55F45"/>
    <w:rsid w:val="00B623AD"/>
    <w:rsid w:val="00B65AF6"/>
    <w:rsid w:val="00B65B94"/>
    <w:rsid w:val="00B6671D"/>
    <w:rsid w:val="00B7019C"/>
    <w:rsid w:val="00B72BB2"/>
    <w:rsid w:val="00B7622D"/>
    <w:rsid w:val="00B87EE8"/>
    <w:rsid w:val="00B908EC"/>
    <w:rsid w:val="00B9263C"/>
    <w:rsid w:val="00B92F0C"/>
    <w:rsid w:val="00B9357B"/>
    <w:rsid w:val="00B94487"/>
    <w:rsid w:val="00B94700"/>
    <w:rsid w:val="00B94A94"/>
    <w:rsid w:val="00B95C74"/>
    <w:rsid w:val="00B95FFF"/>
    <w:rsid w:val="00BA2D8B"/>
    <w:rsid w:val="00BA5681"/>
    <w:rsid w:val="00BA5BD3"/>
    <w:rsid w:val="00BB2FEA"/>
    <w:rsid w:val="00BB422F"/>
    <w:rsid w:val="00BC1A10"/>
    <w:rsid w:val="00BC20B9"/>
    <w:rsid w:val="00BC22C7"/>
    <w:rsid w:val="00BC299A"/>
    <w:rsid w:val="00BC3B78"/>
    <w:rsid w:val="00BC3D23"/>
    <w:rsid w:val="00BC470C"/>
    <w:rsid w:val="00BC50D8"/>
    <w:rsid w:val="00BC542C"/>
    <w:rsid w:val="00BC7C30"/>
    <w:rsid w:val="00BD0227"/>
    <w:rsid w:val="00BD29DD"/>
    <w:rsid w:val="00BD75D0"/>
    <w:rsid w:val="00BE19B4"/>
    <w:rsid w:val="00BE2580"/>
    <w:rsid w:val="00BE3931"/>
    <w:rsid w:val="00BE7496"/>
    <w:rsid w:val="00BF0A13"/>
    <w:rsid w:val="00BF13B0"/>
    <w:rsid w:val="00BF3037"/>
    <w:rsid w:val="00BF5121"/>
    <w:rsid w:val="00C02016"/>
    <w:rsid w:val="00C067EB"/>
    <w:rsid w:val="00C07939"/>
    <w:rsid w:val="00C235C8"/>
    <w:rsid w:val="00C30373"/>
    <w:rsid w:val="00C3072E"/>
    <w:rsid w:val="00C3289B"/>
    <w:rsid w:val="00C35AE8"/>
    <w:rsid w:val="00C378B8"/>
    <w:rsid w:val="00C45A9A"/>
    <w:rsid w:val="00C515D5"/>
    <w:rsid w:val="00C5614C"/>
    <w:rsid w:val="00C572BE"/>
    <w:rsid w:val="00C57B4D"/>
    <w:rsid w:val="00C60DA2"/>
    <w:rsid w:val="00C6545F"/>
    <w:rsid w:val="00C67D28"/>
    <w:rsid w:val="00C7170A"/>
    <w:rsid w:val="00C75FC8"/>
    <w:rsid w:val="00C82583"/>
    <w:rsid w:val="00C8501E"/>
    <w:rsid w:val="00C8532C"/>
    <w:rsid w:val="00C87665"/>
    <w:rsid w:val="00C87BEA"/>
    <w:rsid w:val="00C87E59"/>
    <w:rsid w:val="00C931D1"/>
    <w:rsid w:val="00C96E41"/>
    <w:rsid w:val="00C978CC"/>
    <w:rsid w:val="00CA0F51"/>
    <w:rsid w:val="00CA26BB"/>
    <w:rsid w:val="00CA4F00"/>
    <w:rsid w:val="00CA5C54"/>
    <w:rsid w:val="00CB003B"/>
    <w:rsid w:val="00CB0C7A"/>
    <w:rsid w:val="00CB15D1"/>
    <w:rsid w:val="00CC062C"/>
    <w:rsid w:val="00CC218A"/>
    <w:rsid w:val="00CC4AF3"/>
    <w:rsid w:val="00CC5B01"/>
    <w:rsid w:val="00CC5BD8"/>
    <w:rsid w:val="00CE24C2"/>
    <w:rsid w:val="00CE38EF"/>
    <w:rsid w:val="00CE6A80"/>
    <w:rsid w:val="00CE70DA"/>
    <w:rsid w:val="00CE7281"/>
    <w:rsid w:val="00CE7976"/>
    <w:rsid w:val="00CF0CBE"/>
    <w:rsid w:val="00CF259C"/>
    <w:rsid w:val="00CF35F0"/>
    <w:rsid w:val="00CF6DC7"/>
    <w:rsid w:val="00D000F1"/>
    <w:rsid w:val="00D03350"/>
    <w:rsid w:val="00D05274"/>
    <w:rsid w:val="00D07948"/>
    <w:rsid w:val="00D17965"/>
    <w:rsid w:val="00D17D03"/>
    <w:rsid w:val="00D218D8"/>
    <w:rsid w:val="00D30A7B"/>
    <w:rsid w:val="00D31F93"/>
    <w:rsid w:val="00D32941"/>
    <w:rsid w:val="00D35468"/>
    <w:rsid w:val="00D36E0D"/>
    <w:rsid w:val="00D407AF"/>
    <w:rsid w:val="00D40BDC"/>
    <w:rsid w:val="00D42432"/>
    <w:rsid w:val="00D42991"/>
    <w:rsid w:val="00D458FA"/>
    <w:rsid w:val="00D45DEC"/>
    <w:rsid w:val="00D51FF7"/>
    <w:rsid w:val="00D5268A"/>
    <w:rsid w:val="00D56BD1"/>
    <w:rsid w:val="00D57142"/>
    <w:rsid w:val="00D604D3"/>
    <w:rsid w:val="00D62476"/>
    <w:rsid w:val="00D62794"/>
    <w:rsid w:val="00D639DF"/>
    <w:rsid w:val="00D70B81"/>
    <w:rsid w:val="00D71DF0"/>
    <w:rsid w:val="00D7262D"/>
    <w:rsid w:val="00D72BCB"/>
    <w:rsid w:val="00D73A1C"/>
    <w:rsid w:val="00D73D5E"/>
    <w:rsid w:val="00D80035"/>
    <w:rsid w:val="00D8084D"/>
    <w:rsid w:val="00D80893"/>
    <w:rsid w:val="00D808C8"/>
    <w:rsid w:val="00D80CE7"/>
    <w:rsid w:val="00D80E52"/>
    <w:rsid w:val="00D91380"/>
    <w:rsid w:val="00D91F66"/>
    <w:rsid w:val="00D9372C"/>
    <w:rsid w:val="00D93FBD"/>
    <w:rsid w:val="00D97C8D"/>
    <w:rsid w:val="00DA1CBF"/>
    <w:rsid w:val="00DA74EA"/>
    <w:rsid w:val="00DB150D"/>
    <w:rsid w:val="00DB2900"/>
    <w:rsid w:val="00DB4A39"/>
    <w:rsid w:val="00DB56E1"/>
    <w:rsid w:val="00DC1BD6"/>
    <w:rsid w:val="00DC2A50"/>
    <w:rsid w:val="00DC3D53"/>
    <w:rsid w:val="00DC4A9B"/>
    <w:rsid w:val="00DC4E9E"/>
    <w:rsid w:val="00DC5E66"/>
    <w:rsid w:val="00DC79C9"/>
    <w:rsid w:val="00DD2BB4"/>
    <w:rsid w:val="00DD3C43"/>
    <w:rsid w:val="00DD51BE"/>
    <w:rsid w:val="00DD52DD"/>
    <w:rsid w:val="00DD5CE5"/>
    <w:rsid w:val="00DD6566"/>
    <w:rsid w:val="00DE433C"/>
    <w:rsid w:val="00DE5E18"/>
    <w:rsid w:val="00DF1067"/>
    <w:rsid w:val="00DF2E82"/>
    <w:rsid w:val="00DF755F"/>
    <w:rsid w:val="00E00CC6"/>
    <w:rsid w:val="00E0421F"/>
    <w:rsid w:val="00E07364"/>
    <w:rsid w:val="00E17076"/>
    <w:rsid w:val="00E176B6"/>
    <w:rsid w:val="00E17A98"/>
    <w:rsid w:val="00E20554"/>
    <w:rsid w:val="00E21079"/>
    <w:rsid w:val="00E307E9"/>
    <w:rsid w:val="00E32760"/>
    <w:rsid w:val="00E364BC"/>
    <w:rsid w:val="00E36E25"/>
    <w:rsid w:val="00E37372"/>
    <w:rsid w:val="00E37BBC"/>
    <w:rsid w:val="00E447B2"/>
    <w:rsid w:val="00E51D9F"/>
    <w:rsid w:val="00E55F4D"/>
    <w:rsid w:val="00E60620"/>
    <w:rsid w:val="00E61721"/>
    <w:rsid w:val="00E621F7"/>
    <w:rsid w:val="00E647D2"/>
    <w:rsid w:val="00E65190"/>
    <w:rsid w:val="00E65C81"/>
    <w:rsid w:val="00E74EB3"/>
    <w:rsid w:val="00E754E2"/>
    <w:rsid w:val="00E771F5"/>
    <w:rsid w:val="00E82A61"/>
    <w:rsid w:val="00E834F2"/>
    <w:rsid w:val="00E85460"/>
    <w:rsid w:val="00E869EE"/>
    <w:rsid w:val="00E90A71"/>
    <w:rsid w:val="00E91415"/>
    <w:rsid w:val="00E919F6"/>
    <w:rsid w:val="00E928B6"/>
    <w:rsid w:val="00E9478D"/>
    <w:rsid w:val="00E975E4"/>
    <w:rsid w:val="00EB362F"/>
    <w:rsid w:val="00EB4B30"/>
    <w:rsid w:val="00EB5DDE"/>
    <w:rsid w:val="00EB6314"/>
    <w:rsid w:val="00EC064D"/>
    <w:rsid w:val="00EC22EA"/>
    <w:rsid w:val="00EC2895"/>
    <w:rsid w:val="00EC5D40"/>
    <w:rsid w:val="00EC6A87"/>
    <w:rsid w:val="00ED77AF"/>
    <w:rsid w:val="00EE2CC7"/>
    <w:rsid w:val="00EE3317"/>
    <w:rsid w:val="00EE3DAC"/>
    <w:rsid w:val="00EE78B1"/>
    <w:rsid w:val="00EF069A"/>
    <w:rsid w:val="00EF0BB5"/>
    <w:rsid w:val="00EF1375"/>
    <w:rsid w:val="00EF185A"/>
    <w:rsid w:val="00EF4A68"/>
    <w:rsid w:val="00EF6120"/>
    <w:rsid w:val="00EF6FA7"/>
    <w:rsid w:val="00F032AA"/>
    <w:rsid w:val="00F05BC7"/>
    <w:rsid w:val="00F062CC"/>
    <w:rsid w:val="00F070F0"/>
    <w:rsid w:val="00F0795A"/>
    <w:rsid w:val="00F129F8"/>
    <w:rsid w:val="00F15BB8"/>
    <w:rsid w:val="00F1637D"/>
    <w:rsid w:val="00F16C03"/>
    <w:rsid w:val="00F21711"/>
    <w:rsid w:val="00F21E06"/>
    <w:rsid w:val="00F22663"/>
    <w:rsid w:val="00F24440"/>
    <w:rsid w:val="00F25E90"/>
    <w:rsid w:val="00F260B9"/>
    <w:rsid w:val="00F33033"/>
    <w:rsid w:val="00F331E3"/>
    <w:rsid w:val="00F34448"/>
    <w:rsid w:val="00F35174"/>
    <w:rsid w:val="00F367CF"/>
    <w:rsid w:val="00F36F64"/>
    <w:rsid w:val="00F40E36"/>
    <w:rsid w:val="00F42CF4"/>
    <w:rsid w:val="00F43207"/>
    <w:rsid w:val="00F43BA1"/>
    <w:rsid w:val="00F4447F"/>
    <w:rsid w:val="00F445EE"/>
    <w:rsid w:val="00F46D72"/>
    <w:rsid w:val="00F476A1"/>
    <w:rsid w:val="00F516D8"/>
    <w:rsid w:val="00F51923"/>
    <w:rsid w:val="00F51F9A"/>
    <w:rsid w:val="00F56807"/>
    <w:rsid w:val="00F60D83"/>
    <w:rsid w:val="00F63EB3"/>
    <w:rsid w:val="00F6430E"/>
    <w:rsid w:val="00F65DE8"/>
    <w:rsid w:val="00F70BD2"/>
    <w:rsid w:val="00F710E1"/>
    <w:rsid w:val="00F73325"/>
    <w:rsid w:val="00F77115"/>
    <w:rsid w:val="00F77EC4"/>
    <w:rsid w:val="00F825DC"/>
    <w:rsid w:val="00F86D80"/>
    <w:rsid w:val="00F87F3E"/>
    <w:rsid w:val="00F93844"/>
    <w:rsid w:val="00F94284"/>
    <w:rsid w:val="00F94413"/>
    <w:rsid w:val="00F95FC4"/>
    <w:rsid w:val="00FA3102"/>
    <w:rsid w:val="00FA50FF"/>
    <w:rsid w:val="00FA7BE6"/>
    <w:rsid w:val="00FA7E28"/>
    <w:rsid w:val="00FB0BA7"/>
    <w:rsid w:val="00FB1792"/>
    <w:rsid w:val="00FB5892"/>
    <w:rsid w:val="00FB7C87"/>
    <w:rsid w:val="00FC34E3"/>
    <w:rsid w:val="00FC51F7"/>
    <w:rsid w:val="00FC6737"/>
    <w:rsid w:val="00FD1B3B"/>
    <w:rsid w:val="00FE5A22"/>
    <w:rsid w:val="00FE66EC"/>
    <w:rsid w:val="01E63DE5"/>
    <w:rsid w:val="029066B2"/>
    <w:rsid w:val="02AA72A5"/>
    <w:rsid w:val="0440D303"/>
    <w:rsid w:val="0445BB81"/>
    <w:rsid w:val="07344CE5"/>
    <w:rsid w:val="07458776"/>
    <w:rsid w:val="0A39F837"/>
    <w:rsid w:val="0AEB4CF0"/>
    <w:rsid w:val="0C8F9B35"/>
    <w:rsid w:val="0CBC7F16"/>
    <w:rsid w:val="0CC37A2C"/>
    <w:rsid w:val="0FFB5EB8"/>
    <w:rsid w:val="1191FB9D"/>
    <w:rsid w:val="12F27C53"/>
    <w:rsid w:val="150074B5"/>
    <w:rsid w:val="15196889"/>
    <w:rsid w:val="172B4F8B"/>
    <w:rsid w:val="17606C39"/>
    <w:rsid w:val="18028536"/>
    <w:rsid w:val="1824EE58"/>
    <w:rsid w:val="18308E89"/>
    <w:rsid w:val="1A48E72B"/>
    <w:rsid w:val="1A9F5508"/>
    <w:rsid w:val="1B410E52"/>
    <w:rsid w:val="1C20F50B"/>
    <w:rsid w:val="1D12C00F"/>
    <w:rsid w:val="1DF44020"/>
    <w:rsid w:val="1E6AA8C0"/>
    <w:rsid w:val="20F15B45"/>
    <w:rsid w:val="2116A638"/>
    <w:rsid w:val="2253CCBA"/>
    <w:rsid w:val="22C4B4C2"/>
    <w:rsid w:val="23AC772C"/>
    <w:rsid w:val="2528C1F4"/>
    <w:rsid w:val="26D2F55D"/>
    <w:rsid w:val="27AF565B"/>
    <w:rsid w:val="2914BD39"/>
    <w:rsid w:val="29FB3AFF"/>
    <w:rsid w:val="2A0D6BA0"/>
    <w:rsid w:val="2ABDD537"/>
    <w:rsid w:val="2AD7B484"/>
    <w:rsid w:val="2ADDC184"/>
    <w:rsid w:val="2C92D14A"/>
    <w:rsid w:val="2E0B1EDC"/>
    <w:rsid w:val="2E99501A"/>
    <w:rsid w:val="300099D0"/>
    <w:rsid w:val="311F2FE4"/>
    <w:rsid w:val="314CB981"/>
    <w:rsid w:val="31996F67"/>
    <w:rsid w:val="31C61A8C"/>
    <w:rsid w:val="32349DAD"/>
    <w:rsid w:val="33ABC78D"/>
    <w:rsid w:val="34561D1F"/>
    <w:rsid w:val="35D363D5"/>
    <w:rsid w:val="37F8DAE8"/>
    <w:rsid w:val="395350FD"/>
    <w:rsid w:val="3A0716BA"/>
    <w:rsid w:val="3BD8CA14"/>
    <w:rsid w:val="3C1034D7"/>
    <w:rsid w:val="3C4EB5EC"/>
    <w:rsid w:val="3CDCC0D7"/>
    <w:rsid w:val="3DDD3E4D"/>
    <w:rsid w:val="3E31BA80"/>
    <w:rsid w:val="41B29B83"/>
    <w:rsid w:val="434B586B"/>
    <w:rsid w:val="440B9D7A"/>
    <w:rsid w:val="452FCB03"/>
    <w:rsid w:val="45EDDEC9"/>
    <w:rsid w:val="4679C91B"/>
    <w:rsid w:val="48607694"/>
    <w:rsid w:val="4A7EDB6B"/>
    <w:rsid w:val="4D22F7A4"/>
    <w:rsid w:val="4D849525"/>
    <w:rsid w:val="4D874FBB"/>
    <w:rsid w:val="4E98E0AD"/>
    <w:rsid w:val="51516F43"/>
    <w:rsid w:val="524B57AC"/>
    <w:rsid w:val="52D4EC3E"/>
    <w:rsid w:val="53285B54"/>
    <w:rsid w:val="537C6234"/>
    <w:rsid w:val="53A397BF"/>
    <w:rsid w:val="58835525"/>
    <w:rsid w:val="5958D676"/>
    <w:rsid w:val="59F6288F"/>
    <w:rsid w:val="5AA93228"/>
    <w:rsid w:val="5B9E390D"/>
    <w:rsid w:val="5C4EC56F"/>
    <w:rsid w:val="5C581765"/>
    <w:rsid w:val="5C6ACEE0"/>
    <w:rsid w:val="5E709B96"/>
    <w:rsid w:val="5E9B5664"/>
    <w:rsid w:val="6048C174"/>
    <w:rsid w:val="60DD8AD3"/>
    <w:rsid w:val="61A7AB3F"/>
    <w:rsid w:val="61DDB27C"/>
    <w:rsid w:val="62BD81F6"/>
    <w:rsid w:val="653E3CBA"/>
    <w:rsid w:val="65773F49"/>
    <w:rsid w:val="659E4AED"/>
    <w:rsid w:val="66A81E4F"/>
    <w:rsid w:val="68D18505"/>
    <w:rsid w:val="694CFF64"/>
    <w:rsid w:val="69F87B9C"/>
    <w:rsid w:val="6BE1E9C5"/>
    <w:rsid w:val="6E1C46B3"/>
    <w:rsid w:val="6E3F80EE"/>
    <w:rsid w:val="70394BC8"/>
    <w:rsid w:val="72D1FDD6"/>
    <w:rsid w:val="736E87FE"/>
    <w:rsid w:val="73EDBC0B"/>
    <w:rsid w:val="7563C8C3"/>
    <w:rsid w:val="756AC236"/>
    <w:rsid w:val="7753455B"/>
    <w:rsid w:val="78B981B2"/>
    <w:rsid w:val="7AA2F4D5"/>
    <w:rsid w:val="7B417820"/>
    <w:rsid w:val="7B8D7DE1"/>
    <w:rsid w:val="7CDC9395"/>
    <w:rsid w:val="7EF2DC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B69A2"/>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Ttulo1Car">
    <w:name w:val="Título 1 Car"/>
    <w:basedOn w:val="Fuentedeprrafopredeter"/>
    <w:link w:val="Ttulo1"/>
    <w:uiPriority w:val="9"/>
    <w:rsid w:val="008B69A2"/>
    <w:rPr>
      <w:rFonts w:asciiTheme="majorHAnsi" w:eastAsiaTheme="majorEastAsia" w:hAnsiTheme="majorHAnsi" w:cstheme="majorBidi"/>
      <w:color w:val="2E74B5" w:themeColor="accent1" w:themeShade="BF"/>
      <w:sz w:val="32"/>
      <w:szCs w:val="3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B69A2"/>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Ttulo1Car">
    <w:name w:val="Título 1 Car"/>
    <w:basedOn w:val="Fuentedeprrafopredeter"/>
    <w:link w:val="Ttulo1"/>
    <w:uiPriority w:val="9"/>
    <w:rsid w:val="008B69A2"/>
    <w:rPr>
      <w:rFonts w:asciiTheme="majorHAnsi" w:eastAsiaTheme="majorEastAsia" w:hAnsiTheme="majorHAnsi" w:cstheme="majorBidi"/>
      <w:color w:val="2E74B5" w:themeColor="accent1" w:themeShade="BF"/>
      <w:sz w:val="32"/>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205795204">
      <w:bodyDiv w:val="1"/>
      <w:marLeft w:val="0"/>
      <w:marRight w:val="0"/>
      <w:marTop w:val="0"/>
      <w:marBottom w:val="0"/>
      <w:divBdr>
        <w:top w:val="none" w:sz="0" w:space="0" w:color="auto"/>
        <w:left w:val="none" w:sz="0" w:space="0" w:color="auto"/>
        <w:bottom w:val="none" w:sz="0" w:space="0" w:color="auto"/>
        <w:right w:val="none" w:sz="0" w:space="0" w:color="auto"/>
      </w:divBdr>
    </w:div>
    <w:div w:id="217087351">
      <w:bodyDiv w:val="1"/>
      <w:marLeft w:val="0"/>
      <w:marRight w:val="0"/>
      <w:marTop w:val="0"/>
      <w:marBottom w:val="0"/>
      <w:divBdr>
        <w:top w:val="none" w:sz="0" w:space="0" w:color="auto"/>
        <w:left w:val="none" w:sz="0" w:space="0" w:color="auto"/>
        <w:bottom w:val="none" w:sz="0" w:space="0" w:color="auto"/>
        <w:right w:val="none" w:sz="0" w:space="0" w:color="auto"/>
      </w:divBdr>
    </w:div>
    <w:div w:id="296298510">
      <w:bodyDiv w:val="1"/>
      <w:marLeft w:val="0"/>
      <w:marRight w:val="0"/>
      <w:marTop w:val="0"/>
      <w:marBottom w:val="0"/>
      <w:divBdr>
        <w:top w:val="none" w:sz="0" w:space="0" w:color="auto"/>
        <w:left w:val="none" w:sz="0" w:space="0" w:color="auto"/>
        <w:bottom w:val="none" w:sz="0" w:space="0" w:color="auto"/>
        <w:right w:val="none" w:sz="0" w:space="0" w:color="auto"/>
      </w:divBdr>
    </w:div>
    <w:div w:id="332145564">
      <w:bodyDiv w:val="1"/>
      <w:marLeft w:val="0"/>
      <w:marRight w:val="0"/>
      <w:marTop w:val="0"/>
      <w:marBottom w:val="0"/>
      <w:divBdr>
        <w:top w:val="none" w:sz="0" w:space="0" w:color="auto"/>
        <w:left w:val="none" w:sz="0" w:space="0" w:color="auto"/>
        <w:bottom w:val="none" w:sz="0" w:space="0" w:color="auto"/>
        <w:right w:val="none" w:sz="0" w:space="0" w:color="auto"/>
      </w:divBdr>
    </w:div>
    <w:div w:id="364911474">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721103974">
      <w:bodyDiv w:val="1"/>
      <w:marLeft w:val="0"/>
      <w:marRight w:val="0"/>
      <w:marTop w:val="0"/>
      <w:marBottom w:val="0"/>
      <w:divBdr>
        <w:top w:val="none" w:sz="0" w:space="0" w:color="auto"/>
        <w:left w:val="none" w:sz="0" w:space="0" w:color="auto"/>
        <w:bottom w:val="none" w:sz="0" w:space="0" w:color="auto"/>
        <w:right w:val="none" w:sz="0" w:space="0" w:color="auto"/>
      </w:divBdr>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45790685">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25">
      <w:bodyDiv w:val="1"/>
      <w:marLeft w:val="0"/>
      <w:marRight w:val="0"/>
      <w:marTop w:val="0"/>
      <w:marBottom w:val="0"/>
      <w:divBdr>
        <w:top w:val="none" w:sz="0" w:space="0" w:color="auto"/>
        <w:left w:val="none" w:sz="0" w:space="0" w:color="auto"/>
        <w:bottom w:val="none" w:sz="0" w:space="0" w:color="auto"/>
        <w:right w:val="none" w:sz="0" w:space="0" w:color="auto"/>
      </w:divBdr>
    </w:div>
    <w:div w:id="1147748756">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967592832">
          <w:marLeft w:val="0"/>
          <w:marRight w:val="0"/>
          <w:marTop w:val="0"/>
          <w:marBottom w:val="0"/>
          <w:divBdr>
            <w:top w:val="none" w:sz="0" w:space="0" w:color="auto"/>
            <w:left w:val="none" w:sz="0" w:space="0" w:color="auto"/>
            <w:bottom w:val="none" w:sz="0" w:space="0" w:color="auto"/>
            <w:right w:val="none" w:sz="0" w:space="0" w:color="auto"/>
          </w:divBdr>
        </w:div>
        <w:div w:id="32389906">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2442">
      <w:bodyDiv w:val="1"/>
      <w:marLeft w:val="0"/>
      <w:marRight w:val="0"/>
      <w:marTop w:val="0"/>
      <w:marBottom w:val="0"/>
      <w:divBdr>
        <w:top w:val="none" w:sz="0" w:space="0" w:color="auto"/>
        <w:left w:val="none" w:sz="0" w:space="0" w:color="auto"/>
        <w:bottom w:val="none" w:sz="0" w:space="0" w:color="auto"/>
        <w:right w:val="none" w:sz="0" w:space="0" w:color="auto"/>
      </w:divBdr>
    </w:div>
    <w:div w:id="1386217905">
      <w:bodyDiv w:val="1"/>
      <w:marLeft w:val="0"/>
      <w:marRight w:val="0"/>
      <w:marTop w:val="0"/>
      <w:marBottom w:val="0"/>
      <w:divBdr>
        <w:top w:val="none" w:sz="0" w:space="0" w:color="auto"/>
        <w:left w:val="none" w:sz="0" w:space="0" w:color="auto"/>
        <w:bottom w:val="none" w:sz="0" w:space="0" w:color="auto"/>
        <w:right w:val="none" w:sz="0" w:space="0" w:color="auto"/>
      </w:divBdr>
    </w:div>
    <w:div w:id="1461262465">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848208729">
      <w:bodyDiv w:val="1"/>
      <w:marLeft w:val="0"/>
      <w:marRight w:val="0"/>
      <w:marTop w:val="0"/>
      <w:marBottom w:val="0"/>
      <w:divBdr>
        <w:top w:val="none" w:sz="0" w:space="0" w:color="auto"/>
        <w:left w:val="none" w:sz="0" w:space="0" w:color="auto"/>
        <w:bottom w:val="none" w:sz="0" w:space="0" w:color="auto"/>
        <w:right w:val="none" w:sz="0" w:space="0" w:color="auto"/>
      </w:divBdr>
    </w:div>
    <w:div w:id="1873374857">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032">
      <w:bodyDiv w:val="1"/>
      <w:marLeft w:val="0"/>
      <w:marRight w:val="0"/>
      <w:marTop w:val="0"/>
      <w:marBottom w:val="0"/>
      <w:divBdr>
        <w:top w:val="none" w:sz="0" w:space="0" w:color="auto"/>
        <w:left w:val="none" w:sz="0" w:space="0" w:color="auto"/>
        <w:bottom w:val="none" w:sz="0" w:space="0" w:color="auto"/>
        <w:right w:val="none" w:sz="0" w:space="0" w:color="auto"/>
      </w:divBdr>
    </w:div>
    <w:div w:id="1971278144">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1199702090">
          <w:marLeft w:val="0"/>
          <w:marRight w:val="0"/>
          <w:marTop w:val="0"/>
          <w:marBottom w:val="0"/>
          <w:divBdr>
            <w:top w:val="none" w:sz="0" w:space="0" w:color="auto"/>
            <w:left w:val="none" w:sz="0" w:space="0" w:color="auto"/>
            <w:bottom w:val="none" w:sz="0" w:space="0" w:color="auto"/>
            <w:right w:val="none" w:sz="0" w:space="0" w:color="auto"/>
          </w:divBdr>
        </w:div>
        <w:div w:id="672798467">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F24D-B48B-466D-9C05-B0131A5A5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0ACAA-80DD-43BE-AA84-716D3C05FC70}">
  <ds:schemaRefs>
    <ds:schemaRef ds:uri="http://schemas.microsoft.com/sharepoint/v3/contenttype/forms"/>
  </ds:schemaRefs>
</ds:datastoreItem>
</file>

<file path=customXml/itemProps3.xml><?xml version="1.0" encoding="utf-8"?>
<ds:datastoreItem xmlns:ds="http://schemas.openxmlformats.org/officeDocument/2006/customXml" ds:itemID="{9C599659-B040-4E64-AC13-94990CD455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768851-119B-41EE-ACA3-1C6A06BF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3899</Words>
  <Characters>21448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Simoes Piedrahita</dc:creator>
  <cp:lastModifiedBy>ALONSO</cp:lastModifiedBy>
  <cp:revision>6</cp:revision>
  <dcterms:created xsi:type="dcterms:W3CDTF">2020-08-10T12:26:00Z</dcterms:created>
  <dcterms:modified xsi:type="dcterms:W3CDTF">2020-10-07T20:33:00Z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