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9AFCF" w14:textId="77777777" w:rsidR="00EB3AF9" w:rsidRPr="00EB3AF9" w:rsidRDefault="00EB3AF9" w:rsidP="00EB3AF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EB3AF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8A4289" w14:textId="77777777" w:rsidR="00EB3AF9" w:rsidRPr="00EB3AF9" w:rsidRDefault="00EB3AF9" w:rsidP="00EB3AF9">
      <w:pPr>
        <w:jc w:val="both"/>
        <w:rPr>
          <w:rFonts w:ascii="Arial" w:hAnsi="Arial" w:cs="Arial"/>
          <w:sz w:val="20"/>
          <w:lang w:val="es-419"/>
        </w:rPr>
      </w:pPr>
    </w:p>
    <w:p w14:paraId="4D274D4C" w14:textId="24D5EF47" w:rsidR="00EB3AF9" w:rsidRPr="00EB3AF9" w:rsidRDefault="00EB3AF9" w:rsidP="00EB3AF9">
      <w:pPr>
        <w:jc w:val="both"/>
        <w:rPr>
          <w:rFonts w:ascii="Arial" w:hAnsi="Arial" w:cs="Arial"/>
          <w:b/>
          <w:bCs/>
          <w:iCs/>
          <w:sz w:val="20"/>
          <w:lang w:val="es-419" w:eastAsia="fr-FR"/>
        </w:rPr>
      </w:pPr>
      <w:r w:rsidRPr="00EB3AF9">
        <w:rPr>
          <w:rFonts w:ascii="Arial" w:hAnsi="Arial" w:cs="Arial"/>
          <w:b/>
          <w:bCs/>
          <w:iCs/>
          <w:sz w:val="20"/>
          <w:u w:val="single"/>
          <w:lang w:val="es-419" w:eastAsia="fr-FR"/>
        </w:rPr>
        <w:t>TEMAS:</w:t>
      </w:r>
      <w:r w:rsidRPr="00EB3AF9">
        <w:rPr>
          <w:rFonts w:ascii="Arial" w:hAnsi="Arial" w:cs="Arial"/>
          <w:b/>
          <w:bCs/>
          <w:iCs/>
          <w:sz w:val="20"/>
          <w:lang w:val="es-419" w:eastAsia="fr-FR"/>
        </w:rPr>
        <w:tab/>
      </w:r>
      <w:r w:rsidR="00C06C71">
        <w:rPr>
          <w:rFonts w:ascii="Arial" w:hAnsi="Arial" w:cs="Arial"/>
          <w:b/>
          <w:bCs/>
          <w:iCs/>
          <w:sz w:val="20"/>
          <w:lang w:val="es-419" w:eastAsia="fr-FR"/>
        </w:rPr>
        <w:t>RELIQUIDACIÓN PENSI</w:t>
      </w:r>
      <w:r w:rsidR="00C30C7D">
        <w:rPr>
          <w:rFonts w:ascii="Arial" w:hAnsi="Arial" w:cs="Arial"/>
          <w:b/>
          <w:bCs/>
          <w:iCs/>
          <w:sz w:val="20"/>
          <w:lang w:val="es-419" w:eastAsia="fr-FR"/>
        </w:rPr>
        <w:t xml:space="preserve">ÓN DE VEJEZ / ACUERDO 049 DE 1990 </w:t>
      </w:r>
      <w:r w:rsidR="00C06C71">
        <w:rPr>
          <w:rFonts w:ascii="Arial" w:hAnsi="Arial" w:cs="Arial"/>
          <w:b/>
          <w:bCs/>
          <w:iCs/>
          <w:sz w:val="20"/>
          <w:lang w:val="es-419" w:eastAsia="fr-FR"/>
        </w:rPr>
        <w:t xml:space="preserve">/ </w:t>
      </w:r>
      <w:r w:rsidR="00C30C7D">
        <w:rPr>
          <w:rFonts w:ascii="Arial" w:hAnsi="Arial" w:cs="Arial"/>
          <w:b/>
          <w:bCs/>
          <w:iCs/>
          <w:sz w:val="20"/>
          <w:lang w:val="es-419" w:eastAsia="fr-FR"/>
        </w:rPr>
        <w:t xml:space="preserve">APLICACIÓN DIRECTA </w:t>
      </w:r>
      <w:r w:rsidRPr="00EB3AF9">
        <w:rPr>
          <w:rFonts w:ascii="Arial" w:hAnsi="Arial" w:cs="Arial"/>
          <w:b/>
          <w:bCs/>
          <w:iCs/>
          <w:sz w:val="20"/>
          <w:lang w:val="es-419" w:eastAsia="fr-FR"/>
        </w:rPr>
        <w:t xml:space="preserve">/ </w:t>
      </w:r>
      <w:r w:rsidR="00C30C7D">
        <w:rPr>
          <w:rFonts w:ascii="Arial" w:hAnsi="Arial" w:cs="Arial"/>
          <w:b/>
          <w:bCs/>
          <w:iCs/>
          <w:sz w:val="20"/>
          <w:lang w:val="es-419" w:eastAsia="fr-FR"/>
        </w:rPr>
        <w:t>REGLAS PARA OBTENER EL SALARIO MENSUAL DE BASE O INGRESO BASE DE LIQUIDACIÓN / VALORACIÓN PROBATORIA / SE DENIEGAN PRETENSIONES.</w:t>
      </w:r>
    </w:p>
    <w:p w14:paraId="77CD3A0B" w14:textId="77777777" w:rsidR="00EB3AF9" w:rsidRPr="00EB3AF9" w:rsidRDefault="00EB3AF9" w:rsidP="00EB3AF9">
      <w:pPr>
        <w:jc w:val="both"/>
        <w:rPr>
          <w:rFonts w:ascii="Arial" w:hAnsi="Arial" w:cs="Arial"/>
          <w:sz w:val="20"/>
          <w:lang w:val="es-419"/>
        </w:rPr>
      </w:pPr>
    </w:p>
    <w:p w14:paraId="08F580B1" w14:textId="77777777" w:rsidR="00C06C71" w:rsidRPr="00C06C71" w:rsidRDefault="00C06C71" w:rsidP="00C06C71">
      <w:pPr>
        <w:jc w:val="both"/>
        <w:rPr>
          <w:rFonts w:ascii="Arial" w:hAnsi="Arial" w:cs="Arial"/>
          <w:sz w:val="20"/>
          <w:lang w:val="es-419"/>
        </w:rPr>
      </w:pPr>
      <w:r w:rsidRPr="00C06C71">
        <w:rPr>
          <w:rFonts w:ascii="Arial" w:hAnsi="Arial" w:cs="Arial"/>
          <w:sz w:val="20"/>
          <w:lang w:val="es-419"/>
        </w:rPr>
        <w:t>El artículo 20 del Acuerdo 049 de 1990 dispuso la integración de las pensiones de invalidez por riesgo común y de vejez, estableciendo en el parágrafo 1º la forma cómo se obtiene el salario mensual de base, indicando al respecto:</w:t>
      </w:r>
    </w:p>
    <w:p w14:paraId="4D56B0B6" w14:textId="77777777" w:rsidR="00C06C71" w:rsidRPr="00C06C71" w:rsidRDefault="00C06C71" w:rsidP="00C06C71">
      <w:pPr>
        <w:jc w:val="both"/>
        <w:rPr>
          <w:rFonts w:ascii="Arial" w:hAnsi="Arial" w:cs="Arial"/>
          <w:sz w:val="20"/>
          <w:lang w:val="es-419"/>
        </w:rPr>
      </w:pPr>
    </w:p>
    <w:p w14:paraId="1738A53F" w14:textId="4B3B3F97" w:rsidR="00EB3AF9" w:rsidRPr="00EB3AF9" w:rsidRDefault="00C06C71" w:rsidP="00C06C71">
      <w:pPr>
        <w:jc w:val="both"/>
        <w:rPr>
          <w:rFonts w:ascii="Arial" w:hAnsi="Arial" w:cs="Arial"/>
          <w:sz w:val="20"/>
          <w:lang w:val="es-419"/>
        </w:rPr>
      </w:pPr>
      <w:r w:rsidRPr="00C06C71">
        <w:rPr>
          <w:rFonts w:ascii="Arial" w:hAnsi="Arial" w:cs="Arial"/>
          <w:sz w:val="20"/>
          <w:lang w:val="es-419"/>
        </w:rPr>
        <w:t>“PARÁGRAFO 1o. El salario mensual de base se obtiene multiplicando por el factor 4.33, la centésima parte de la suma de los salarios semanales sobre los cuales cotizó el trabajador en las últimas cien (100) semanas. El factor 4.33 resulta de dividir el número de semanas de un año por el número de meses”.</w:t>
      </w:r>
      <w:r>
        <w:rPr>
          <w:rFonts w:ascii="Arial" w:hAnsi="Arial" w:cs="Arial"/>
          <w:sz w:val="20"/>
          <w:lang w:val="es-419"/>
        </w:rPr>
        <w:t xml:space="preserve"> (…)</w:t>
      </w:r>
    </w:p>
    <w:p w14:paraId="73280F11" w14:textId="77777777" w:rsidR="00EB3AF9" w:rsidRPr="00EB3AF9" w:rsidRDefault="00EB3AF9" w:rsidP="00EB3AF9">
      <w:pPr>
        <w:jc w:val="both"/>
        <w:rPr>
          <w:rFonts w:ascii="Arial" w:hAnsi="Arial" w:cs="Arial"/>
          <w:sz w:val="20"/>
          <w:lang w:val="es-419"/>
        </w:rPr>
      </w:pPr>
    </w:p>
    <w:p w14:paraId="62D6ED52" w14:textId="0D2DF651" w:rsidR="00EB3AF9" w:rsidRPr="00EB3AF9" w:rsidRDefault="00C06C71" w:rsidP="00EB3AF9">
      <w:pPr>
        <w:jc w:val="both"/>
        <w:rPr>
          <w:rFonts w:ascii="Arial" w:hAnsi="Arial" w:cs="Arial"/>
          <w:sz w:val="20"/>
          <w:lang w:val="es-419"/>
        </w:rPr>
      </w:pPr>
      <w:r>
        <w:rPr>
          <w:rFonts w:ascii="Arial" w:hAnsi="Arial" w:cs="Arial"/>
          <w:sz w:val="20"/>
          <w:lang w:val="es-419"/>
        </w:rPr>
        <w:t xml:space="preserve">… </w:t>
      </w:r>
      <w:r w:rsidRPr="00C06C71">
        <w:rPr>
          <w:rFonts w:ascii="Arial" w:hAnsi="Arial" w:cs="Arial"/>
          <w:sz w:val="20"/>
          <w:lang w:val="es-419"/>
        </w:rPr>
        <w:t>razón le asistió a la entidad demandada al liquidar la pensión de vejez tomando en cuenta las últimas 100 semanas de cotización y el factor 4.33 contemplado en el parágrafo 1° del artículo 20 del referido Acuerdo 049 de 1990, si se tiene en cuenta que la prestación pensional fue concedida por la aplicación directa de dicha disposición normativa y no por aplicación del régimen de transición.</w:t>
      </w:r>
      <w:r>
        <w:rPr>
          <w:rFonts w:ascii="Arial" w:hAnsi="Arial" w:cs="Arial"/>
          <w:sz w:val="20"/>
          <w:lang w:val="es-419"/>
        </w:rPr>
        <w:t xml:space="preserve"> (…)</w:t>
      </w:r>
    </w:p>
    <w:p w14:paraId="6A5B3D3A" w14:textId="77777777" w:rsidR="00EB3AF9" w:rsidRPr="00EB3AF9" w:rsidRDefault="00EB3AF9" w:rsidP="00EB3AF9">
      <w:pPr>
        <w:jc w:val="both"/>
        <w:rPr>
          <w:rFonts w:ascii="Arial" w:hAnsi="Arial" w:cs="Arial"/>
          <w:sz w:val="20"/>
          <w:lang w:val="es-ES"/>
        </w:rPr>
      </w:pPr>
    </w:p>
    <w:p w14:paraId="4948BD20" w14:textId="2C74AFF0" w:rsidR="00EB3AF9" w:rsidRPr="00EB3AF9" w:rsidRDefault="00C06C71" w:rsidP="00EB3AF9">
      <w:pPr>
        <w:jc w:val="both"/>
        <w:rPr>
          <w:rFonts w:ascii="Arial" w:hAnsi="Arial" w:cs="Arial"/>
          <w:sz w:val="20"/>
          <w:lang w:val="es-ES"/>
        </w:rPr>
      </w:pPr>
      <w:r>
        <w:rPr>
          <w:rFonts w:ascii="Arial" w:hAnsi="Arial" w:cs="Arial"/>
          <w:sz w:val="20"/>
          <w:lang w:val="es-ES"/>
        </w:rPr>
        <w:t xml:space="preserve">… </w:t>
      </w:r>
      <w:r w:rsidRPr="00C06C71">
        <w:rPr>
          <w:rFonts w:ascii="Arial" w:hAnsi="Arial" w:cs="Arial"/>
          <w:sz w:val="20"/>
          <w:lang w:val="es-ES"/>
        </w:rPr>
        <w:t>teniendo en cuenta los periodos que fueron efectivamente cotizados, esto es, del 01 de junio de 1971 al 30 de septiembre de 1977; del 26 de diciembre de 1977 al 15 de junio de 1978 y, del 18 de junio de 1978 al 11 de octubre de 1990, se colige con claridad que en realidad el actor cotizó al sistema un total de 997.71 semanas de aportes, sin embargo, en uno u otro evento, la tasa de liquidación sería del 72% sobre el salario base.</w:t>
      </w:r>
    </w:p>
    <w:p w14:paraId="068C536A" w14:textId="77777777" w:rsidR="00EB3AF9" w:rsidRPr="00EB3AF9" w:rsidRDefault="00EB3AF9" w:rsidP="00EB3AF9">
      <w:pPr>
        <w:jc w:val="both"/>
        <w:rPr>
          <w:rFonts w:ascii="Arial" w:hAnsi="Arial" w:cs="Arial"/>
          <w:sz w:val="20"/>
          <w:lang w:val="es-ES"/>
        </w:rPr>
      </w:pPr>
    </w:p>
    <w:p w14:paraId="5068B45E" w14:textId="77777777" w:rsidR="00EB3AF9" w:rsidRPr="00EB3AF9" w:rsidRDefault="00EB3AF9" w:rsidP="00EB3AF9">
      <w:pPr>
        <w:jc w:val="both"/>
        <w:rPr>
          <w:rFonts w:ascii="Arial" w:hAnsi="Arial" w:cs="Arial"/>
          <w:sz w:val="20"/>
          <w:lang w:val="es-ES"/>
        </w:rPr>
      </w:pPr>
    </w:p>
    <w:p w14:paraId="5BDC5017" w14:textId="77777777" w:rsidR="00EB3AF9" w:rsidRPr="00EB3AF9" w:rsidRDefault="00EB3AF9" w:rsidP="00EB3AF9">
      <w:pPr>
        <w:jc w:val="both"/>
        <w:rPr>
          <w:rFonts w:ascii="Arial" w:hAnsi="Arial" w:cs="Arial"/>
          <w:sz w:val="20"/>
          <w:lang w:val="es-ES"/>
        </w:rPr>
      </w:pPr>
    </w:p>
    <w:p w14:paraId="445F5EC8" w14:textId="0F6C6DB2" w:rsidR="003E4E6F" w:rsidRPr="00EB3AF9" w:rsidRDefault="003E4E6F" w:rsidP="00EB3AF9">
      <w:pPr>
        <w:pStyle w:val="Sinespaciado"/>
        <w:spacing w:line="276" w:lineRule="auto"/>
        <w:ind w:firstLine="708"/>
        <w:jc w:val="center"/>
        <w:rPr>
          <w:rFonts w:ascii="Arial" w:hAnsi="Arial" w:cs="Arial"/>
          <w:b/>
          <w:bCs/>
          <w:spacing w:val="12"/>
          <w:szCs w:val="24"/>
        </w:rPr>
      </w:pPr>
      <w:r w:rsidRPr="00EB3AF9">
        <w:rPr>
          <w:rFonts w:ascii="Arial" w:hAnsi="Arial" w:cs="Arial"/>
          <w:b/>
          <w:bCs/>
          <w:spacing w:val="12"/>
          <w:szCs w:val="24"/>
        </w:rPr>
        <w:t>REPÚBLICA DE COLOMBIA</w:t>
      </w:r>
    </w:p>
    <w:p w14:paraId="4762826B" w14:textId="77777777" w:rsidR="003E4E6F" w:rsidRPr="00C30C7D" w:rsidRDefault="003E4E6F" w:rsidP="00EB3AF9">
      <w:pPr>
        <w:pStyle w:val="Sinespaciado"/>
        <w:spacing w:line="276" w:lineRule="auto"/>
        <w:ind w:firstLine="708"/>
        <w:jc w:val="center"/>
        <w:rPr>
          <w:rFonts w:ascii="Arial" w:hAnsi="Arial" w:cs="Arial"/>
          <w:b/>
          <w:bCs/>
          <w:spacing w:val="12"/>
          <w:szCs w:val="24"/>
        </w:rPr>
      </w:pPr>
      <w:r w:rsidRPr="00C30C7D">
        <w:rPr>
          <w:rFonts w:ascii="Arial" w:hAnsi="Arial" w:cs="Arial"/>
          <w:b/>
          <w:bCs/>
          <w:noProof/>
          <w:spacing w:val="12"/>
          <w:szCs w:val="24"/>
          <w:lang w:val="es-ES"/>
        </w:rPr>
        <w:drawing>
          <wp:inline distT="0" distB="0" distL="0" distR="0" wp14:anchorId="2FE95B93" wp14:editId="266AD126">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14:paraId="19C3F8FC" w14:textId="77777777" w:rsidR="003E4E6F" w:rsidRPr="00C30C7D" w:rsidRDefault="003E4E6F" w:rsidP="00EB3AF9">
      <w:pPr>
        <w:pStyle w:val="Sinespaciado"/>
        <w:spacing w:line="276" w:lineRule="auto"/>
        <w:ind w:firstLine="708"/>
        <w:jc w:val="center"/>
        <w:rPr>
          <w:rFonts w:ascii="Arial" w:hAnsi="Arial" w:cs="Arial"/>
          <w:b/>
          <w:bCs/>
          <w:spacing w:val="12"/>
          <w:szCs w:val="24"/>
        </w:rPr>
      </w:pPr>
      <w:r w:rsidRPr="00C30C7D">
        <w:rPr>
          <w:rFonts w:ascii="Arial" w:hAnsi="Arial" w:cs="Arial"/>
          <w:b/>
          <w:bCs/>
          <w:spacing w:val="12"/>
          <w:szCs w:val="24"/>
        </w:rPr>
        <w:t>TRIBUNAL SUPERIOR DE DISTRITO JUDICIAL DE PEREIRA</w:t>
      </w:r>
    </w:p>
    <w:p w14:paraId="0E33A0EF" w14:textId="77777777" w:rsidR="003E4E6F" w:rsidRPr="00C30C7D" w:rsidRDefault="003E4E6F" w:rsidP="00EB3AF9">
      <w:pPr>
        <w:pStyle w:val="Sinespaciado"/>
        <w:spacing w:line="276" w:lineRule="auto"/>
        <w:ind w:firstLine="708"/>
        <w:jc w:val="center"/>
        <w:rPr>
          <w:rFonts w:ascii="Arial" w:hAnsi="Arial" w:cs="Arial"/>
          <w:b/>
          <w:bCs/>
          <w:spacing w:val="12"/>
          <w:szCs w:val="24"/>
        </w:rPr>
      </w:pPr>
      <w:r w:rsidRPr="00C30C7D">
        <w:rPr>
          <w:rFonts w:ascii="Arial" w:hAnsi="Arial" w:cs="Arial"/>
          <w:b/>
          <w:bCs/>
          <w:spacing w:val="12"/>
          <w:szCs w:val="24"/>
        </w:rPr>
        <w:t>SALA CUARTA DE DECISIÓN LABORAL</w:t>
      </w:r>
    </w:p>
    <w:p w14:paraId="6DB1ABF1" w14:textId="77777777" w:rsidR="003E4E6F" w:rsidRPr="00C30C7D" w:rsidRDefault="003E4E6F" w:rsidP="00EB3AF9">
      <w:pPr>
        <w:pStyle w:val="Sinespaciado"/>
        <w:spacing w:line="276" w:lineRule="auto"/>
        <w:ind w:firstLine="708"/>
        <w:jc w:val="center"/>
        <w:rPr>
          <w:rFonts w:ascii="Arial" w:hAnsi="Arial" w:cs="Arial"/>
          <w:b/>
          <w:bCs/>
          <w:spacing w:val="12"/>
          <w:szCs w:val="24"/>
        </w:rPr>
      </w:pPr>
    </w:p>
    <w:p w14:paraId="77DA8A25" w14:textId="77777777" w:rsidR="00093F1D" w:rsidRPr="00C30C7D" w:rsidRDefault="003E4E6F" w:rsidP="00EB3AF9">
      <w:pPr>
        <w:pStyle w:val="Sinespaciado"/>
        <w:spacing w:line="276" w:lineRule="auto"/>
        <w:ind w:firstLine="708"/>
        <w:jc w:val="center"/>
        <w:rPr>
          <w:rFonts w:ascii="Arial" w:hAnsi="Arial" w:cs="Arial"/>
          <w:spacing w:val="12"/>
          <w:szCs w:val="24"/>
        </w:rPr>
      </w:pPr>
      <w:r w:rsidRPr="00C30C7D">
        <w:rPr>
          <w:rFonts w:ascii="Arial" w:hAnsi="Arial" w:cs="Arial"/>
          <w:spacing w:val="12"/>
          <w:szCs w:val="24"/>
        </w:rPr>
        <w:t xml:space="preserve">MAGISTRADA PONENTE: </w:t>
      </w:r>
    </w:p>
    <w:p w14:paraId="541E2274" w14:textId="6803E0F8" w:rsidR="003E4E6F" w:rsidRPr="00C30C7D" w:rsidRDefault="003E4E6F" w:rsidP="00EB3AF9">
      <w:pPr>
        <w:pStyle w:val="Sinespaciado"/>
        <w:spacing w:line="276" w:lineRule="auto"/>
        <w:ind w:firstLine="708"/>
        <w:jc w:val="center"/>
        <w:rPr>
          <w:rFonts w:ascii="Arial" w:hAnsi="Arial" w:cs="Arial"/>
          <w:b/>
          <w:bCs/>
          <w:spacing w:val="12"/>
          <w:szCs w:val="24"/>
        </w:rPr>
      </w:pPr>
      <w:r w:rsidRPr="00C30C7D">
        <w:rPr>
          <w:rFonts w:ascii="Arial" w:hAnsi="Arial" w:cs="Arial"/>
          <w:b/>
          <w:bCs/>
          <w:spacing w:val="12"/>
          <w:szCs w:val="24"/>
        </w:rPr>
        <w:t>ALEJANDRA MARÍA HENAO PALACIO</w:t>
      </w:r>
    </w:p>
    <w:p w14:paraId="231C972E" w14:textId="77777777" w:rsidR="003E4E6F" w:rsidRPr="00C30C7D" w:rsidRDefault="003E4E6F" w:rsidP="00EB3AF9">
      <w:pPr>
        <w:pStyle w:val="Sinespaciado"/>
        <w:spacing w:line="276" w:lineRule="auto"/>
        <w:ind w:firstLine="709"/>
        <w:jc w:val="both"/>
        <w:rPr>
          <w:rFonts w:ascii="Arial" w:hAnsi="Arial" w:cs="Arial"/>
          <w:spacing w:val="12"/>
          <w:szCs w:val="24"/>
        </w:rPr>
      </w:pPr>
    </w:p>
    <w:tbl>
      <w:tblPr>
        <w:tblStyle w:val="Tablaconcuadrcula"/>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5387"/>
      </w:tblGrid>
      <w:tr w:rsidR="00C30C7D" w:rsidRPr="00C30C7D" w14:paraId="1C0BBC7B" w14:textId="77777777" w:rsidTr="00C06C71">
        <w:tc>
          <w:tcPr>
            <w:tcW w:w="2410" w:type="dxa"/>
          </w:tcPr>
          <w:p w14:paraId="663D70D5" w14:textId="14F99EF9" w:rsidR="3D7AE0B9" w:rsidRPr="00C30C7D" w:rsidRDefault="3D7AE0B9" w:rsidP="00362286">
            <w:pPr>
              <w:jc w:val="both"/>
              <w:rPr>
                <w:rFonts w:ascii="Arial" w:hAnsi="Arial" w:cs="Arial"/>
                <w:sz w:val="22"/>
                <w:szCs w:val="24"/>
              </w:rPr>
            </w:pPr>
            <w:r w:rsidRPr="00C30C7D">
              <w:rPr>
                <w:rFonts w:ascii="Arial" w:eastAsia="Arial Narrow" w:hAnsi="Arial" w:cs="Arial"/>
                <w:sz w:val="22"/>
                <w:szCs w:val="24"/>
              </w:rPr>
              <w:t>Demandante:</w:t>
            </w:r>
          </w:p>
        </w:tc>
        <w:tc>
          <w:tcPr>
            <w:tcW w:w="5387" w:type="dxa"/>
          </w:tcPr>
          <w:p w14:paraId="5E8394E9" w14:textId="5A59B420" w:rsidR="03BC05BA" w:rsidRPr="00C30C7D" w:rsidRDefault="00C06C71" w:rsidP="00362286">
            <w:pPr>
              <w:jc w:val="both"/>
              <w:rPr>
                <w:rFonts w:ascii="Arial" w:eastAsia="Arial Narrow" w:hAnsi="Arial" w:cs="Arial"/>
                <w:sz w:val="22"/>
                <w:szCs w:val="24"/>
              </w:rPr>
            </w:pPr>
            <w:r w:rsidRPr="00C30C7D">
              <w:rPr>
                <w:rFonts w:ascii="Arial" w:eastAsia="Arial Narrow" w:hAnsi="Arial" w:cs="Arial"/>
                <w:sz w:val="22"/>
                <w:szCs w:val="24"/>
              </w:rPr>
              <w:t>Isaías</w:t>
            </w:r>
            <w:r w:rsidR="00362286" w:rsidRPr="00C30C7D">
              <w:rPr>
                <w:rFonts w:ascii="Arial" w:eastAsia="Arial Narrow" w:hAnsi="Arial" w:cs="Arial"/>
                <w:sz w:val="22"/>
                <w:szCs w:val="24"/>
              </w:rPr>
              <w:t xml:space="preserve"> Betancur Becerra</w:t>
            </w:r>
          </w:p>
        </w:tc>
      </w:tr>
      <w:tr w:rsidR="00C30C7D" w:rsidRPr="00C30C7D" w14:paraId="0A4B4014" w14:textId="77777777" w:rsidTr="00C06C71">
        <w:tc>
          <w:tcPr>
            <w:tcW w:w="2410" w:type="dxa"/>
          </w:tcPr>
          <w:p w14:paraId="4689426A" w14:textId="35CC0114" w:rsidR="3D7AE0B9" w:rsidRPr="00C30C7D" w:rsidRDefault="3D7AE0B9" w:rsidP="00362286">
            <w:pPr>
              <w:jc w:val="both"/>
              <w:rPr>
                <w:rFonts w:ascii="Arial" w:hAnsi="Arial" w:cs="Arial"/>
                <w:sz w:val="22"/>
                <w:szCs w:val="24"/>
              </w:rPr>
            </w:pPr>
            <w:r w:rsidRPr="00C30C7D">
              <w:rPr>
                <w:rFonts w:ascii="Arial" w:eastAsia="Arial Narrow" w:hAnsi="Arial" w:cs="Arial"/>
                <w:sz w:val="22"/>
                <w:szCs w:val="24"/>
              </w:rPr>
              <w:t>Demandado:</w:t>
            </w:r>
          </w:p>
        </w:tc>
        <w:tc>
          <w:tcPr>
            <w:tcW w:w="5387" w:type="dxa"/>
          </w:tcPr>
          <w:p w14:paraId="727B3AE4" w14:textId="3C480B04" w:rsidR="5A96EB91" w:rsidRPr="00C30C7D" w:rsidRDefault="00362286" w:rsidP="00362286">
            <w:pPr>
              <w:jc w:val="both"/>
              <w:rPr>
                <w:rFonts w:ascii="Arial" w:hAnsi="Arial" w:cs="Arial"/>
                <w:sz w:val="22"/>
                <w:szCs w:val="24"/>
              </w:rPr>
            </w:pPr>
            <w:r w:rsidRPr="00C30C7D">
              <w:rPr>
                <w:rFonts w:ascii="Arial" w:eastAsia="Arial Narrow" w:hAnsi="Arial" w:cs="Arial"/>
                <w:sz w:val="22"/>
                <w:szCs w:val="24"/>
              </w:rPr>
              <w:t>Colpensiones</w:t>
            </w:r>
          </w:p>
        </w:tc>
      </w:tr>
      <w:tr w:rsidR="00C30C7D" w:rsidRPr="00C30C7D" w14:paraId="22297E69" w14:textId="77777777" w:rsidTr="00C06C71">
        <w:tc>
          <w:tcPr>
            <w:tcW w:w="2410" w:type="dxa"/>
          </w:tcPr>
          <w:p w14:paraId="57350988" w14:textId="73287065" w:rsidR="3D7AE0B9" w:rsidRPr="00C30C7D" w:rsidRDefault="3D7AE0B9" w:rsidP="00362286">
            <w:pPr>
              <w:jc w:val="both"/>
              <w:rPr>
                <w:rFonts w:ascii="Arial" w:hAnsi="Arial" w:cs="Arial"/>
                <w:sz w:val="22"/>
                <w:szCs w:val="24"/>
              </w:rPr>
            </w:pPr>
            <w:r w:rsidRPr="00C30C7D">
              <w:rPr>
                <w:rFonts w:ascii="Arial" w:eastAsia="Arial Narrow" w:hAnsi="Arial" w:cs="Arial"/>
                <w:sz w:val="22"/>
                <w:szCs w:val="24"/>
              </w:rPr>
              <w:t>Radicación No.</w:t>
            </w:r>
          </w:p>
        </w:tc>
        <w:tc>
          <w:tcPr>
            <w:tcW w:w="5387" w:type="dxa"/>
          </w:tcPr>
          <w:p w14:paraId="54C86DE0" w14:textId="15AD290F" w:rsidR="3D7AE0B9" w:rsidRPr="00C30C7D" w:rsidRDefault="3D7AE0B9" w:rsidP="00362286">
            <w:pPr>
              <w:jc w:val="both"/>
              <w:rPr>
                <w:rFonts w:ascii="Arial" w:eastAsia="Arial Narrow" w:hAnsi="Arial" w:cs="Arial"/>
                <w:sz w:val="22"/>
                <w:szCs w:val="24"/>
              </w:rPr>
            </w:pPr>
            <w:r w:rsidRPr="00C30C7D">
              <w:rPr>
                <w:rFonts w:ascii="Arial" w:eastAsia="Arial Narrow" w:hAnsi="Arial" w:cs="Arial"/>
                <w:sz w:val="22"/>
                <w:szCs w:val="24"/>
              </w:rPr>
              <w:t>66001–31-05-004-2018-002</w:t>
            </w:r>
            <w:r w:rsidR="3C821EB4" w:rsidRPr="00C30C7D">
              <w:rPr>
                <w:rFonts w:ascii="Arial" w:eastAsia="Arial Narrow" w:hAnsi="Arial" w:cs="Arial"/>
                <w:sz w:val="22"/>
                <w:szCs w:val="24"/>
              </w:rPr>
              <w:t>14</w:t>
            </w:r>
            <w:r w:rsidRPr="00C30C7D">
              <w:rPr>
                <w:rFonts w:ascii="Arial" w:eastAsia="Arial Narrow" w:hAnsi="Arial" w:cs="Arial"/>
                <w:sz w:val="22"/>
                <w:szCs w:val="24"/>
              </w:rPr>
              <w:t>-01</w:t>
            </w:r>
          </w:p>
        </w:tc>
      </w:tr>
      <w:tr w:rsidR="00C30C7D" w:rsidRPr="00C30C7D" w14:paraId="5DA445EB" w14:textId="77777777" w:rsidTr="00C06C71">
        <w:tc>
          <w:tcPr>
            <w:tcW w:w="2410" w:type="dxa"/>
          </w:tcPr>
          <w:p w14:paraId="06D23DF8" w14:textId="1E35A733" w:rsidR="3D7AE0B9" w:rsidRPr="00C30C7D" w:rsidRDefault="3D7AE0B9" w:rsidP="00362286">
            <w:pPr>
              <w:jc w:val="both"/>
              <w:rPr>
                <w:rFonts w:ascii="Arial" w:hAnsi="Arial" w:cs="Arial"/>
                <w:sz w:val="22"/>
                <w:szCs w:val="24"/>
              </w:rPr>
            </w:pPr>
            <w:r w:rsidRPr="00C30C7D">
              <w:rPr>
                <w:rFonts w:ascii="Arial" w:eastAsia="Arial Narrow" w:hAnsi="Arial" w:cs="Arial"/>
                <w:sz w:val="22"/>
                <w:szCs w:val="24"/>
              </w:rPr>
              <w:t>Juzgado origen:</w:t>
            </w:r>
          </w:p>
        </w:tc>
        <w:tc>
          <w:tcPr>
            <w:tcW w:w="5387" w:type="dxa"/>
          </w:tcPr>
          <w:p w14:paraId="42BBF348" w14:textId="6053D5D7" w:rsidR="3D7AE0B9" w:rsidRPr="00C30C7D" w:rsidRDefault="00362286" w:rsidP="00362286">
            <w:pPr>
              <w:jc w:val="both"/>
              <w:rPr>
                <w:rFonts w:ascii="Arial" w:hAnsi="Arial" w:cs="Arial"/>
                <w:sz w:val="22"/>
                <w:szCs w:val="24"/>
              </w:rPr>
            </w:pPr>
            <w:r w:rsidRPr="00C30C7D">
              <w:rPr>
                <w:rFonts w:ascii="Arial" w:eastAsia="Arial Narrow" w:hAnsi="Arial" w:cs="Arial"/>
                <w:sz w:val="22"/>
                <w:szCs w:val="24"/>
              </w:rPr>
              <w:t>Cuarto Laboral del Circuito de Pereira</w:t>
            </w:r>
          </w:p>
        </w:tc>
      </w:tr>
      <w:tr w:rsidR="00C30C7D" w:rsidRPr="00C30C7D" w14:paraId="1B15DEC9" w14:textId="77777777" w:rsidTr="00C06C71">
        <w:tc>
          <w:tcPr>
            <w:tcW w:w="2410" w:type="dxa"/>
          </w:tcPr>
          <w:p w14:paraId="0D96E8EF" w14:textId="2667234F" w:rsidR="3D7AE0B9" w:rsidRPr="00C30C7D" w:rsidRDefault="3D7AE0B9" w:rsidP="00362286">
            <w:pPr>
              <w:jc w:val="both"/>
              <w:rPr>
                <w:rFonts w:ascii="Arial" w:hAnsi="Arial" w:cs="Arial"/>
                <w:sz w:val="22"/>
                <w:szCs w:val="24"/>
              </w:rPr>
            </w:pPr>
            <w:r w:rsidRPr="00C30C7D">
              <w:rPr>
                <w:rFonts w:ascii="Arial" w:eastAsia="Arial Narrow" w:hAnsi="Arial" w:cs="Arial"/>
                <w:sz w:val="22"/>
                <w:szCs w:val="24"/>
              </w:rPr>
              <w:t>Tipo de proceso:</w:t>
            </w:r>
          </w:p>
        </w:tc>
        <w:tc>
          <w:tcPr>
            <w:tcW w:w="5387" w:type="dxa"/>
          </w:tcPr>
          <w:p w14:paraId="2EE2B3AE" w14:textId="38CEA1DE" w:rsidR="3D7AE0B9" w:rsidRPr="00C30C7D" w:rsidRDefault="00362286" w:rsidP="00362286">
            <w:pPr>
              <w:jc w:val="both"/>
              <w:rPr>
                <w:rFonts w:ascii="Arial" w:hAnsi="Arial" w:cs="Arial"/>
                <w:sz w:val="22"/>
                <w:szCs w:val="24"/>
              </w:rPr>
            </w:pPr>
            <w:r w:rsidRPr="00C30C7D">
              <w:rPr>
                <w:rFonts w:ascii="Arial" w:eastAsia="Arial Narrow" w:hAnsi="Arial" w:cs="Arial"/>
                <w:sz w:val="22"/>
                <w:szCs w:val="24"/>
              </w:rPr>
              <w:t xml:space="preserve">Ordinario Laboral </w:t>
            </w:r>
          </w:p>
        </w:tc>
      </w:tr>
      <w:tr w:rsidR="00C30C7D" w:rsidRPr="00C30C7D" w14:paraId="1991A9BF" w14:textId="77777777" w:rsidTr="00C06C71">
        <w:tc>
          <w:tcPr>
            <w:tcW w:w="2410" w:type="dxa"/>
          </w:tcPr>
          <w:p w14:paraId="1EFA7AEE" w14:textId="1655D77D" w:rsidR="3D7AE0B9" w:rsidRPr="00C30C7D" w:rsidRDefault="3D7AE0B9" w:rsidP="00362286">
            <w:pPr>
              <w:jc w:val="both"/>
              <w:rPr>
                <w:rFonts w:ascii="Arial" w:hAnsi="Arial" w:cs="Arial"/>
                <w:sz w:val="22"/>
                <w:szCs w:val="24"/>
              </w:rPr>
            </w:pPr>
            <w:r w:rsidRPr="00C30C7D">
              <w:rPr>
                <w:rFonts w:ascii="Arial" w:eastAsia="Arial Narrow" w:hAnsi="Arial" w:cs="Arial"/>
                <w:sz w:val="22"/>
                <w:szCs w:val="24"/>
              </w:rPr>
              <w:t>Providencia:</w:t>
            </w:r>
          </w:p>
        </w:tc>
        <w:tc>
          <w:tcPr>
            <w:tcW w:w="5387" w:type="dxa"/>
          </w:tcPr>
          <w:p w14:paraId="2DBD39A4" w14:textId="55597D25" w:rsidR="3D7AE0B9" w:rsidRPr="00C30C7D" w:rsidRDefault="00362286" w:rsidP="00362286">
            <w:pPr>
              <w:jc w:val="both"/>
              <w:rPr>
                <w:rFonts w:ascii="Arial" w:hAnsi="Arial" w:cs="Arial"/>
                <w:sz w:val="22"/>
                <w:szCs w:val="24"/>
              </w:rPr>
            </w:pPr>
            <w:r w:rsidRPr="00C30C7D">
              <w:rPr>
                <w:rFonts w:ascii="Arial" w:eastAsia="Arial Narrow" w:hAnsi="Arial" w:cs="Arial"/>
                <w:sz w:val="22"/>
                <w:szCs w:val="24"/>
              </w:rPr>
              <w:t>Sentencia de septiembre de 202</w:t>
            </w:r>
            <w:r w:rsidR="002A7CA8" w:rsidRPr="00C30C7D">
              <w:rPr>
                <w:rFonts w:ascii="Arial" w:eastAsia="Arial Narrow" w:hAnsi="Arial" w:cs="Arial"/>
                <w:sz w:val="22"/>
                <w:szCs w:val="24"/>
              </w:rPr>
              <w:t xml:space="preserve">0 </w:t>
            </w:r>
          </w:p>
        </w:tc>
      </w:tr>
      <w:tr w:rsidR="00C30C7D" w:rsidRPr="00C30C7D" w14:paraId="499B0496" w14:textId="77777777" w:rsidTr="00C06C71">
        <w:tc>
          <w:tcPr>
            <w:tcW w:w="2410" w:type="dxa"/>
          </w:tcPr>
          <w:p w14:paraId="555F6C08" w14:textId="3D8217EE" w:rsidR="3D7AE0B9" w:rsidRPr="00C30C7D" w:rsidRDefault="3D7AE0B9" w:rsidP="00362286">
            <w:pPr>
              <w:jc w:val="both"/>
              <w:rPr>
                <w:rFonts w:ascii="Arial" w:hAnsi="Arial" w:cs="Arial"/>
                <w:sz w:val="22"/>
                <w:szCs w:val="24"/>
              </w:rPr>
            </w:pPr>
            <w:r w:rsidRPr="00C30C7D">
              <w:rPr>
                <w:rFonts w:ascii="Arial" w:eastAsia="Arial Narrow" w:hAnsi="Arial" w:cs="Arial"/>
                <w:sz w:val="22"/>
                <w:szCs w:val="24"/>
              </w:rPr>
              <w:t>Decisión:</w:t>
            </w:r>
          </w:p>
        </w:tc>
        <w:tc>
          <w:tcPr>
            <w:tcW w:w="5387" w:type="dxa"/>
          </w:tcPr>
          <w:p w14:paraId="4543C637" w14:textId="2A5583CC" w:rsidR="3D7AE0B9" w:rsidRPr="00C30C7D" w:rsidRDefault="3D7AE0B9" w:rsidP="00362286">
            <w:pPr>
              <w:jc w:val="both"/>
              <w:rPr>
                <w:rFonts w:ascii="Arial" w:hAnsi="Arial" w:cs="Arial"/>
                <w:sz w:val="22"/>
                <w:szCs w:val="24"/>
              </w:rPr>
            </w:pPr>
            <w:r w:rsidRPr="00C30C7D">
              <w:rPr>
                <w:rFonts w:ascii="Arial" w:eastAsia="Arial Narrow" w:hAnsi="Arial" w:cs="Arial"/>
                <w:b/>
                <w:bCs/>
                <w:sz w:val="22"/>
                <w:szCs w:val="24"/>
              </w:rPr>
              <w:t>CONFIRMA</w:t>
            </w:r>
            <w:r w:rsidRPr="00C30C7D">
              <w:rPr>
                <w:rFonts w:ascii="Arial" w:hAnsi="Arial" w:cs="Arial"/>
                <w:sz w:val="22"/>
                <w:szCs w:val="24"/>
              </w:rPr>
              <w:t xml:space="preserve"> </w:t>
            </w:r>
          </w:p>
        </w:tc>
      </w:tr>
    </w:tbl>
    <w:p w14:paraId="44B33036" w14:textId="77777777" w:rsidR="002A7CA8" w:rsidRPr="00C30C7D" w:rsidRDefault="002A7CA8" w:rsidP="00EB3AF9">
      <w:pPr>
        <w:spacing w:line="276" w:lineRule="auto"/>
        <w:jc w:val="center"/>
        <w:rPr>
          <w:rFonts w:ascii="Arial" w:hAnsi="Arial" w:cs="Arial"/>
          <w:spacing w:val="12"/>
          <w:szCs w:val="24"/>
        </w:rPr>
      </w:pPr>
    </w:p>
    <w:p w14:paraId="58205499" w14:textId="34EB5F48" w:rsidR="002A7CA8" w:rsidRPr="00C30C7D" w:rsidRDefault="002A7CA8" w:rsidP="00EB3AF9">
      <w:pPr>
        <w:spacing w:line="276" w:lineRule="auto"/>
        <w:jc w:val="center"/>
        <w:rPr>
          <w:rFonts w:ascii="Arial" w:hAnsi="Arial" w:cs="Arial"/>
          <w:spacing w:val="12"/>
          <w:szCs w:val="24"/>
        </w:rPr>
      </w:pPr>
      <w:r w:rsidRPr="00C30C7D">
        <w:rPr>
          <w:rFonts w:ascii="Arial" w:hAnsi="Arial" w:cs="Arial"/>
          <w:spacing w:val="12"/>
          <w:szCs w:val="24"/>
        </w:rPr>
        <w:t>Registro del proyecto: diecisiete (17) de septiembre de 2020</w:t>
      </w:r>
    </w:p>
    <w:p w14:paraId="6B5A5F6D" w14:textId="77777777" w:rsidR="002A7CA8" w:rsidRPr="00C30C7D" w:rsidRDefault="002A7CA8" w:rsidP="00EB3AF9">
      <w:pPr>
        <w:spacing w:line="276" w:lineRule="auto"/>
        <w:jc w:val="center"/>
        <w:rPr>
          <w:rFonts w:ascii="Arial" w:hAnsi="Arial" w:cs="Arial"/>
          <w:spacing w:val="12"/>
          <w:szCs w:val="24"/>
        </w:rPr>
      </w:pPr>
      <w:r w:rsidRPr="00C30C7D">
        <w:rPr>
          <w:rFonts w:ascii="Arial" w:hAnsi="Arial" w:cs="Arial"/>
          <w:spacing w:val="12"/>
          <w:szCs w:val="24"/>
        </w:rPr>
        <w:t>Acta de discusión No. 137 del 22 de septiembre de 2020</w:t>
      </w:r>
    </w:p>
    <w:p w14:paraId="6522E5CE" w14:textId="77777777" w:rsidR="00362286" w:rsidRPr="00C30C7D" w:rsidRDefault="00362286" w:rsidP="00EB3AF9">
      <w:pPr>
        <w:spacing w:line="276" w:lineRule="auto"/>
        <w:jc w:val="center"/>
        <w:rPr>
          <w:rFonts w:ascii="Arial" w:hAnsi="Arial" w:cs="Arial"/>
          <w:spacing w:val="12"/>
          <w:szCs w:val="24"/>
        </w:rPr>
      </w:pPr>
    </w:p>
    <w:p w14:paraId="050BBD61" w14:textId="77777777" w:rsidR="002A7CA8" w:rsidRPr="00C30C7D" w:rsidRDefault="002A7CA8" w:rsidP="00EB3AF9">
      <w:pPr>
        <w:spacing w:line="276" w:lineRule="auto"/>
        <w:jc w:val="center"/>
        <w:rPr>
          <w:rFonts w:ascii="Arial" w:hAnsi="Arial" w:cs="Arial"/>
          <w:spacing w:val="12"/>
          <w:szCs w:val="24"/>
        </w:rPr>
      </w:pPr>
      <w:r w:rsidRPr="00C30C7D">
        <w:rPr>
          <w:rFonts w:ascii="Arial" w:hAnsi="Arial" w:cs="Arial"/>
          <w:spacing w:val="12"/>
          <w:szCs w:val="24"/>
        </w:rPr>
        <w:t>Pereira, Risaralda, veintiocho (28) de septiembre de dos mil veinte (2020)</w:t>
      </w:r>
    </w:p>
    <w:p w14:paraId="66DB7B80" w14:textId="71412B4E" w:rsidR="00093F1D" w:rsidRPr="00C30C7D" w:rsidRDefault="00093F1D" w:rsidP="00EB3AF9">
      <w:pPr>
        <w:pStyle w:val="Sinespaciado"/>
        <w:spacing w:line="276" w:lineRule="auto"/>
        <w:ind w:firstLine="708"/>
        <w:jc w:val="both"/>
        <w:rPr>
          <w:rFonts w:ascii="Arial" w:hAnsi="Arial" w:cs="Arial"/>
          <w:spacing w:val="12"/>
          <w:szCs w:val="24"/>
        </w:rPr>
      </w:pPr>
    </w:p>
    <w:p w14:paraId="5E74F6A1" w14:textId="5401E235" w:rsidR="00093F1D" w:rsidRPr="00C30C7D" w:rsidRDefault="00093F1D" w:rsidP="00EB3AF9">
      <w:pPr>
        <w:pStyle w:val="Sinespaciado"/>
        <w:spacing w:line="276" w:lineRule="auto"/>
        <w:ind w:firstLine="708"/>
        <w:jc w:val="both"/>
        <w:rPr>
          <w:rFonts w:ascii="Arial" w:hAnsi="Arial" w:cs="Arial"/>
          <w:spacing w:val="12"/>
          <w:szCs w:val="24"/>
        </w:rPr>
      </w:pPr>
      <w:r w:rsidRPr="00C30C7D">
        <w:rPr>
          <w:rFonts w:ascii="Arial" w:hAnsi="Arial" w:cs="Arial"/>
          <w:spacing w:val="12"/>
          <w:szCs w:val="24"/>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C30C7D">
        <w:rPr>
          <w:rFonts w:ascii="Arial" w:hAnsi="Arial" w:cs="Arial"/>
          <w:b/>
          <w:bCs/>
          <w:spacing w:val="12"/>
          <w:szCs w:val="24"/>
        </w:rPr>
        <w:t>ALEJANDRA MARÍA HENAO PALACIO,</w:t>
      </w:r>
      <w:r w:rsidRPr="00C30C7D">
        <w:rPr>
          <w:rFonts w:ascii="Arial" w:hAnsi="Arial" w:cs="Arial"/>
          <w:spacing w:val="12"/>
          <w:szCs w:val="24"/>
        </w:rPr>
        <w:t xml:space="preserve"> (ponente),  </w:t>
      </w:r>
      <w:r w:rsidRPr="00C30C7D">
        <w:rPr>
          <w:rFonts w:ascii="Arial" w:hAnsi="Arial" w:cs="Arial"/>
          <w:b/>
          <w:bCs/>
          <w:spacing w:val="12"/>
          <w:szCs w:val="24"/>
        </w:rPr>
        <w:lastRenderedPageBreak/>
        <w:t>ANA LUCÍA CAICEDO CALDERÓN y OLGA LUCÍA HOYOS SEPÚLVEDA, a</w:t>
      </w:r>
      <w:r w:rsidRPr="00C30C7D">
        <w:rPr>
          <w:rFonts w:ascii="Arial" w:hAnsi="Arial" w:cs="Arial"/>
          <w:spacing w:val="12"/>
          <w:szCs w:val="24"/>
        </w:rPr>
        <w:t xml:space="preserve"> resolver el recurso de apelación interpuesto por la parte actora contra la sentencia proferida el 25 de junio de 2019 por el Juzgado Cuarto Laboral del Circuito de Pereira, dentro del proceso ordinario laboral de la referencia. </w:t>
      </w:r>
    </w:p>
    <w:p w14:paraId="4990E15E" w14:textId="43D2CD94" w:rsidR="3D7AE0B9" w:rsidRPr="00C30C7D" w:rsidRDefault="3D7AE0B9" w:rsidP="00EB3AF9">
      <w:pPr>
        <w:pStyle w:val="Sinespaciado"/>
        <w:spacing w:line="276" w:lineRule="auto"/>
        <w:ind w:firstLine="708"/>
        <w:jc w:val="both"/>
        <w:rPr>
          <w:rFonts w:ascii="Arial" w:hAnsi="Arial" w:cs="Arial"/>
          <w:szCs w:val="24"/>
        </w:rPr>
      </w:pPr>
    </w:p>
    <w:p w14:paraId="5954261A" w14:textId="31FED3AD" w:rsidR="048CACD4" w:rsidRPr="00C30C7D" w:rsidRDefault="048CACD4" w:rsidP="00EB3AF9">
      <w:pPr>
        <w:pStyle w:val="Sinespaciado"/>
        <w:spacing w:line="276" w:lineRule="auto"/>
        <w:ind w:firstLine="708"/>
        <w:jc w:val="both"/>
        <w:rPr>
          <w:rFonts w:ascii="Arial" w:eastAsia="Arial Narrow" w:hAnsi="Arial" w:cs="Arial"/>
          <w:szCs w:val="24"/>
          <w:lang w:val="es-ES"/>
        </w:rPr>
      </w:pPr>
      <w:r w:rsidRPr="00C30C7D">
        <w:rPr>
          <w:rFonts w:ascii="Arial" w:eastAsia="Arial Narrow" w:hAnsi="Arial" w:cs="Arial"/>
          <w:b/>
          <w:bCs/>
          <w:szCs w:val="24"/>
          <w:lang w:val="es-ES"/>
        </w:rPr>
        <w:t>Cuestión previa</w:t>
      </w:r>
    </w:p>
    <w:p w14:paraId="401462F3" w14:textId="62291E0A" w:rsidR="3D7AE0B9" w:rsidRPr="00C30C7D" w:rsidRDefault="3D7AE0B9" w:rsidP="00EB3AF9">
      <w:pPr>
        <w:spacing w:line="276" w:lineRule="auto"/>
        <w:jc w:val="both"/>
        <w:rPr>
          <w:rFonts w:ascii="Arial" w:eastAsia="Arial Narrow" w:hAnsi="Arial" w:cs="Arial"/>
          <w:szCs w:val="24"/>
          <w:lang w:val="es-ES"/>
        </w:rPr>
      </w:pPr>
    </w:p>
    <w:p w14:paraId="7B56AFE5" w14:textId="5A21D613" w:rsidR="048CACD4" w:rsidRPr="00C30C7D" w:rsidRDefault="00362286" w:rsidP="00EB3AF9">
      <w:pPr>
        <w:spacing w:line="276" w:lineRule="auto"/>
        <w:ind w:firstLine="708"/>
        <w:jc w:val="both"/>
        <w:rPr>
          <w:rFonts w:ascii="Arial" w:eastAsia="Arial Narrow" w:hAnsi="Arial" w:cs="Arial"/>
          <w:szCs w:val="24"/>
          <w:lang w:val="es-ES"/>
        </w:rPr>
      </w:pPr>
      <w:r w:rsidRPr="00C30C7D">
        <w:rPr>
          <w:rFonts w:ascii="Arial" w:eastAsia="Arial Narrow" w:hAnsi="Arial" w:cs="Arial"/>
          <w:szCs w:val="24"/>
          <w:lang w:val="es-ES"/>
        </w:rPr>
        <w:t>(…)</w:t>
      </w:r>
    </w:p>
    <w:p w14:paraId="4826716E" w14:textId="77777777" w:rsidR="00093F1D" w:rsidRPr="00C30C7D" w:rsidRDefault="00093F1D" w:rsidP="00EB3AF9">
      <w:pPr>
        <w:spacing w:line="276" w:lineRule="auto"/>
        <w:jc w:val="both"/>
        <w:rPr>
          <w:rFonts w:ascii="Arial" w:hAnsi="Arial" w:cs="Arial"/>
          <w:spacing w:val="12"/>
          <w:szCs w:val="24"/>
        </w:rPr>
      </w:pPr>
      <w:r w:rsidRPr="00C30C7D">
        <w:rPr>
          <w:rFonts w:ascii="Arial" w:hAnsi="Arial" w:cs="Arial"/>
          <w:spacing w:val="12"/>
          <w:szCs w:val="24"/>
        </w:rPr>
        <w:t> </w:t>
      </w:r>
    </w:p>
    <w:p w14:paraId="05DA54DE" w14:textId="77777777" w:rsidR="00093F1D" w:rsidRPr="00C30C7D" w:rsidRDefault="00093F1D" w:rsidP="00EB3AF9">
      <w:pPr>
        <w:spacing w:line="276" w:lineRule="auto"/>
        <w:ind w:firstLine="708"/>
        <w:jc w:val="both"/>
        <w:rPr>
          <w:rFonts w:ascii="Arial" w:hAnsi="Arial" w:cs="Arial"/>
          <w:spacing w:val="12"/>
          <w:szCs w:val="24"/>
        </w:rPr>
      </w:pPr>
      <w:r w:rsidRPr="00C30C7D">
        <w:rPr>
          <w:rFonts w:ascii="Arial" w:hAnsi="Arial" w:cs="Arial"/>
          <w:spacing w:val="12"/>
          <w:szCs w:val="24"/>
        </w:rPr>
        <w:t xml:space="preserve">Previamente se revisó, discutió y aprobó el proyecto elaborado por la Magistrada ponente el cual alude a la siguiente: </w:t>
      </w:r>
    </w:p>
    <w:p w14:paraId="23F67C33" w14:textId="77777777" w:rsidR="00093F1D" w:rsidRPr="00C30C7D" w:rsidRDefault="00093F1D" w:rsidP="00EB3AF9">
      <w:pPr>
        <w:spacing w:line="276" w:lineRule="auto"/>
        <w:jc w:val="both"/>
        <w:rPr>
          <w:rFonts w:ascii="Arial" w:hAnsi="Arial" w:cs="Arial"/>
          <w:spacing w:val="12"/>
          <w:szCs w:val="24"/>
        </w:rPr>
      </w:pPr>
    </w:p>
    <w:p w14:paraId="4207892B" w14:textId="17C9ED30" w:rsidR="00093F1D" w:rsidRPr="00C30C7D" w:rsidRDefault="00093F1D" w:rsidP="00EB3AF9">
      <w:pPr>
        <w:spacing w:line="276" w:lineRule="auto"/>
        <w:jc w:val="center"/>
        <w:rPr>
          <w:rFonts w:ascii="Arial" w:hAnsi="Arial" w:cs="Arial"/>
          <w:b/>
          <w:bCs/>
          <w:spacing w:val="12"/>
          <w:szCs w:val="24"/>
        </w:rPr>
      </w:pPr>
      <w:r w:rsidRPr="00C30C7D">
        <w:rPr>
          <w:rFonts w:ascii="Arial" w:hAnsi="Arial" w:cs="Arial"/>
          <w:b/>
          <w:bCs/>
          <w:spacing w:val="12"/>
          <w:szCs w:val="24"/>
        </w:rPr>
        <w:t>SENTENCIA</w:t>
      </w:r>
    </w:p>
    <w:p w14:paraId="389D1358" w14:textId="77777777" w:rsidR="002A7CA8" w:rsidRPr="00C30C7D" w:rsidRDefault="002A7CA8" w:rsidP="00EB3AF9">
      <w:pPr>
        <w:spacing w:line="276" w:lineRule="auto"/>
        <w:jc w:val="center"/>
        <w:rPr>
          <w:rFonts w:ascii="Arial" w:hAnsi="Arial" w:cs="Arial"/>
          <w:b/>
          <w:bCs/>
          <w:spacing w:val="12"/>
          <w:szCs w:val="24"/>
        </w:rPr>
      </w:pPr>
    </w:p>
    <w:p w14:paraId="36260BE4" w14:textId="77777777" w:rsidR="00093F1D" w:rsidRPr="00C30C7D" w:rsidRDefault="00093F1D" w:rsidP="00EB3AF9">
      <w:pPr>
        <w:pStyle w:val="Prrafodelista"/>
        <w:numPr>
          <w:ilvl w:val="0"/>
          <w:numId w:val="1"/>
        </w:numPr>
        <w:spacing w:line="276" w:lineRule="auto"/>
        <w:ind w:left="1418"/>
        <w:jc w:val="both"/>
        <w:rPr>
          <w:rFonts w:ascii="Arial" w:hAnsi="Arial" w:cs="Arial"/>
          <w:b/>
          <w:bCs/>
          <w:spacing w:val="12"/>
          <w:szCs w:val="24"/>
        </w:rPr>
      </w:pPr>
      <w:r w:rsidRPr="00C30C7D">
        <w:rPr>
          <w:rFonts w:ascii="Arial" w:hAnsi="Arial" w:cs="Arial"/>
          <w:b/>
          <w:bCs/>
          <w:spacing w:val="12"/>
          <w:szCs w:val="24"/>
        </w:rPr>
        <w:t xml:space="preserve">ANTECEDENTES </w:t>
      </w:r>
    </w:p>
    <w:p w14:paraId="6CA2F86D" w14:textId="77777777" w:rsidR="00093F1D" w:rsidRPr="00C30C7D" w:rsidRDefault="00093F1D" w:rsidP="00EB3AF9">
      <w:pPr>
        <w:spacing w:line="276" w:lineRule="auto"/>
        <w:jc w:val="both"/>
        <w:rPr>
          <w:rFonts w:ascii="Arial" w:hAnsi="Arial" w:cs="Arial"/>
          <w:b/>
          <w:bCs/>
          <w:spacing w:val="12"/>
          <w:szCs w:val="24"/>
        </w:rPr>
      </w:pPr>
    </w:p>
    <w:p w14:paraId="43215C31" w14:textId="1DD6FD09" w:rsidR="00093F1D" w:rsidRPr="00C30C7D" w:rsidRDefault="00093F1D" w:rsidP="00EB3AF9">
      <w:pPr>
        <w:pStyle w:val="Prrafodelista"/>
        <w:numPr>
          <w:ilvl w:val="1"/>
          <w:numId w:val="4"/>
        </w:numPr>
        <w:spacing w:line="276" w:lineRule="auto"/>
        <w:ind w:left="1418"/>
        <w:jc w:val="both"/>
        <w:rPr>
          <w:rFonts w:ascii="Arial" w:hAnsi="Arial" w:cs="Arial"/>
          <w:b/>
          <w:bCs/>
          <w:spacing w:val="12"/>
          <w:szCs w:val="24"/>
        </w:rPr>
      </w:pPr>
      <w:r w:rsidRPr="00C30C7D">
        <w:rPr>
          <w:rFonts w:ascii="Arial" w:hAnsi="Arial" w:cs="Arial"/>
          <w:b/>
          <w:bCs/>
          <w:spacing w:val="12"/>
          <w:szCs w:val="24"/>
        </w:rPr>
        <w:t>Demanda</w:t>
      </w:r>
    </w:p>
    <w:p w14:paraId="57EF38B6" w14:textId="77777777" w:rsidR="003E4E6F" w:rsidRPr="00C30C7D" w:rsidRDefault="003E4E6F" w:rsidP="00EB3AF9">
      <w:pPr>
        <w:pStyle w:val="Sinespaciado"/>
        <w:spacing w:line="276" w:lineRule="auto"/>
        <w:ind w:firstLine="708"/>
        <w:jc w:val="both"/>
        <w:rPr>
          <w:rFonts w:ascii="Arial" w:hAnsi="Arial" w:cs="Arial"/>
          <w:spacing w:val="12"/>
          <w:szCs w:val="24"/>
        </w:rPr>
      </w:pPr>
    </w:p>
    <w:p w14:paraId="0F5F805A" w14:textId="77777777" w:rsidR="003E4E6F" w:rsidRPr="00C30C7D" w:rsidRDefault="003E4E6F" w:rsidP="00EB3AF9">
      <w:pPr>
        <w:pStyle w:val="Sinespaciado"/>
        <w:spacing w:line="276" w:lineRule="auto"/>
        <w:ind w:firstLine="708"/>
        <w:jc w:val="both"/>
        <w:rPr>
          <w:rFonts w:ascii="Arial" w:hAnsi="Arial" w:cs="Arial"/>
          <w:spacing w:val="12"/>
          <w:szCs w:val="24"/>
        </w:rPr>
      </w:pPr>
      <w:r w:rsidRPr="00C30C7D">
        <w:rPr>
          <w:rFonts w:ascii="Arial" w:hAnsi="Arial" w:cs="Arial"/>
          <w:spacing w:val="12"/>
          <w:szCs w:val="24"/>
        </w:rPr>
        <w:t xml:space="preserve">Pretende el demandante se declare que le asiste derecho a la reliquidación de su pensión de vejez, teniendo en cuenta el promedio de los salarios cotizados dentro de los 10 años anteriores, y una tasa de remplazo del 75%, con fundamento en el inciso 3° del artículo 36 de la Ley 100 de 1993 y el Acuerdo 049 de 1990. En consecuencia, solicita que se condene a la entidad demandada a reconocer y pagar la diferencia existente a partir del 16 de junio de 1992, junto con los intereses moratorios de que trata el artículo 141 de la Ley 100 de 1993 o en subsidio la indexación, más las costas del proceso a su favor. </w:t>
      </w:r>
    </w:p>
    <w:p w14:paraId="5DCBB531" w14:textId="77777777" w:rsidR="003E4E6F" w:rsidRPr="00C30C7D" w:rsidRDefault="003E4E6F" w:rsidP="00EB3AF9">
      <w:pPr>
        <w:pStyle w:val="Sinespaciado"/>
        <w:spacing w:line="276" w:lineRule="auto"/>
        <w:ind w:firstLine="708"/>
        <w:jc w:val="both"/>
        <w:rPr>
          <w:rFonts w:ascii="Arial" w:hAnsi="Arial" w:cs="Arial"/>
          <w:spacing w:val="12"/>
          <w:szCs w:val="24"/>
        </w:rPr>
      </w:pPr>
    </w:p>
    <w:p w14:paraId="6AF2F0FD" w14:textId="60F949CC" w:rsidR="003E4E6F" w:rsidRPr="00C30C7D" w:rsidRDefault="003E4E6F" w:rsidP="00EB3AF9">
      <w:pPr>
        <w:pStyle w:val="Sinespaciado"/>
        <w:spacing w:line="276" w:lineRule="auto"/>
        <w:ind w:firstLine="708"/>
        <w:jc w:val="both"/>
        <w:rPr>
          <w:rFonts w:ascii="Arial" w:hAnsi="Arial" w:cs="Arial"/>
          <w:spacing w:val="12"/>
          <w:szCs w:val="24"/>
        </w:rPr>
      </w:pPr>
      <w:r w:rsidRPr="00C30C7D">
        <w:rPr>
          <w:rFonts w:ascii="Arial" w:hAnsi="Arial" w:cs="Arial"/>
          <w:spacing w:val="12"/>
          <w:szCs w:val="24"/>
        </w:rPr>
        <w:t>Como fundamento a sus pretensiones, expuso que nació el 16 de junio de 1932; que estuvo afiliado al régimen de prima media para cubrir los riesgos de invalidez, vejez y muerte, razón por la que el ISS mediante Resolución No. 03788 del 15 de octubre de 1992, le reconoció la pensión de vejez</w:t>
      </w:r>
      <w:r w:rsidR="00414716" w:rsidRPr="00C30C7D">
        <w:rPr>
          <w:rFonts w:ascii="Arial" w:hAnsi="Arial" w:cs="Arial"/>
          <w:spacing w:val="12"/>
          <w:szCs w:val="24"/>
        </w:rPr>
        <w:t xml:space="preserve"> </w:t>
      </w:r>
      <w:r w:rsidR="00E25B5A" w:rsidRPr="00C30C7D">
        <w:rPr>
          <w:rFonts w:ascii="Arial" w:hAnsi="Arial" w:cs="Arial"/>
          <w:spacing w:val="12"/>
          <w:szCs w:val="24"/>
        </w:rPr>
        <w:t xml:space="preserve">con fundamento en el artículo 12 del Acuerdo 049 de 1990, </w:t>
      </w:r>
      <w:r w:rsidRPr="00C30C7D">
        <w:rPr>
          <w:rFonts w:ascii="Arial" w:hAnsi="Arial" w:cs="Arial"/>
          <w:spacing w:val="12"/>
          <w:szCs w:val="24"/>
        </w:rPr>
        <w:t>en cuantía de $69.282, liquidación que se basó en 999 semanas y una tasa de remplazo del 72%. Aduce que</w:t>
      </w:r>
      <w:r w:rsidR="00F72F54" w:rsidRPr="00C30C7D">
        <w:rPr>
          <w:rFonts w:ascii="Arial" w:hAnsi="Arial" w:cs="Arial"/>
          <w:spacing w:val="12"/>
          <w:szCs w:val="24"/>
        </w:rPr>
        <w:t xml:space="preserve"> en la liquidación la entidad desconoció los ingresos bases de cotización para los años 1989 y 1990, y que según la historia laboral registra un total de 1000 semanas cotizadas al sistema pensional al 30 de octubre de 1990; que por tal motivo, el 28 de noviembre de 2017 solicitó la reliquidación de la pensión, sin embargo, fue resuelta desfavorablemente a través de la Resolución SUB 2915557 del 18 de diciembre de esa anualidad. </w:t>
      </w:r>
    </w:p>
    <w:p w14:paraId="05141219" w14:textId="674FE863" w:rsidR="003E4E6F" w:rsidRPr="00C30C7D" w:rsidRDefault="003E4E6F" w:rsidP="00EB3AF9">
      <w:pPr>
        <w:pStyle w:val="Sinespaciado"/>
        <w:spacing w:line="276" w:lineRule="auto"/>
        <w:ind w:firstLine="708"/>
        <w:jc w:val="both"/>
        <w:rPr>
          <w:rFonts w:ascii="Arial" w:hAnsi="Arial" w:cs="Arial"/>
          <w:b/>
          <w:bCs/>
          <w:spacing w:val="12"/>
          <w:szCs w:val="24"/>
        </w:rPr>
      </w:pPr>
    </w:p>
    <w:p w14:paraId="7F9315B2" w14:textId="069005AB" w:rsidR="00093F1D" w:rsidRPr="00C30C7D" w:rsidRDefault="00093F1D" w:rsidP="00EB3AF9">
      <w:pPr>
        <w:pStyle w:val="Sinespaciado"/>
        <w:numPr>
          <w:ilvl w:val="1"/>
          <w:numId w:val="4"/>
        </w:numPr>
        <w:spacing w:line="276" w:lineRule="auto"/>
        <w:ind w:left="1418"/>
        <w:jc w:val="both"/>
        <w:rPr>
          <w:rFonts w:ascii="Arial" w:hAnsi="Arial" w:cs="Arial"/>
          <w:b/>
          <w:bCs/>
          <w:spacing w:val="12"/>
          <w:szCs w:val="24"/>
        </w:rPr>
      </w:pPr>
      <w:r w:rsidRPr="00C30C7D">
        <w:rPr>
          <w:rFonts w:ascii="Arial" w:hAnsi="Arial" w:cs="Arial"/>
          <w:b/>
          <w:bCs/>
          <w:spacing w:val="12"/>
          <w:szCs w:val="24"/>
        </w:rPr>
        <w:t xml:space="preserve">Respuesta a la demanda </w:t>
      </w:r>
    </w:p>
    <w:p w14:paraId="49CB6B65" w14:textId="77777777" w:rsidR="00093F1D" w:rsidRPr="00C30C7D" w:rsidRDefault="00093F1D" w:rsidP="00EB3AF9">
      <w:pPr>
        <w:pStyle w:val="Sinespaciado"/>
        <w:spacing w:line="276" w:lineRule="auto"/>
        <w:ind w:left="1080"/>
        <w:jc w:val="both"/>
        <w:rPr>
          <w:rFonts w:ascii="Arial" w:hAnsi="Arial" w:cs="Arial"/>
          <w:b/>
          <w:bCs/>
          <w:spacing w:val="12"/>
          <w:szCs w:val="24"/>
        </w:rPr>
      </w:pPr>
    </w:p>
    <w:p w14:paraId="6E070A0B" w14:textId="4D494E04" w:rsidR="003E4E6F" w:rsidRPr="00C30C7D" w:rsidRDefault="00F72F54" w:rsidP="00EB3AF9">
      <w:pPr>
        <w:pStyle w:val="Sinespaciado"/>
        <w:spacing w:line="276" w:lineRule="auto"/>
        <w:ind w:firstLine="708"/>
        <w:jc w:val="both"/>
        <w:rPr>
          <w:rFonts w:ascii="Arial" w:hAnsi="Arial" w:cs="Arial"/>
          <w:spacing w:val="12"/>
          <w:szCs w:val="24"/>
        </w:rPr>
      </w:pPr>
      <w:r w:rsidRPr="00C30C7D">
        <w:rPr>
          <w:rFonts w:ascii="Arial" w:hAnsi="Arial" w:cs="Arial"/>
          <w:spacing w:val="12"/>
          <w:szCs w:val="24"/>
        </w:rPr>
        <w:t>Trabada la Litis</w:t>
      </w:r>
      <w:r w:rsidR="003E4E6F" w:rsidRPr="00C30C7D">
        <w:rPr>
          <w:rFonts w:ascii="Arial" w:hAnsi="Arial" w:cs="Arial"/>
          <w:spacing w:val="12"/>
          <w:szCs w:val="24"/>
        </w:rPr>
        <w:t>, Colpensiones</w:t>
      </w:r>
      <w:r w:rsidR="00093F1D" w:rsidRPr="00C30C7D">
        <w:rPr>
          <w:rFonts w:ascii="Arial" w:hAnsi="Arial" w:cs="Arial"/>
          <w:spacing w:val="12"/>
          <w:szCs w:val="24"/>
        </w:rPr>
        <w:t xml:space="preserve"> replicó el líbelo genitor de la litis a</w:t>
      </w:r>
      <w:r w:rsidR="003E4E6F" w:rsidRPr="00C30C7D">
        <w:rPr>
          <w:rFonts w:ascii="Arial" w:hAnsi="Arial" w:cs="Arial"/>
          <w:spacing w:val="12"/>
          <w:szCs w:val="24"/>
        </w:rPr>
        <w:t xml:space="preserve"> través de apoderado judicial, </w:t>
      </w:r>
      <w:r w:rsidRPr="00C30C7D">
        <w:rPr>
          <w:rFonts w:ascii="Arial" w:hAnsi="Arial" w:cs="Arial"/>
          <w:spacing w:val="12"/>
          <w:szCs w:val="24"/>
        </w:rPr>
        <w:t xml:space="preserve">en la que se opuso a las pretensiones </w:t>
      </w:r>
      <w:r w:rsidR="00216112" w:rsidRPr="00C30C7D">
        <w:rPr>
          <w:rFonts w:ascii="Arial" w:hAnsi="Arial" w:cs="Arial"/>
          <w:spacing w:val="12"/>
          <w:szCs w:val="24"/>
        </w:rPr>
        <w:t xml:space="preserve">por carecer </w:t>
      </w:r>
      <w:r w:rsidRPr="00C30C7D">
        <w:rPr>
          <w:rFonts w:ascii="Arial" w:hAnsi="Arial" w:cs="Arial"/>
          <w:spacing w:val="12"/>
          <w:szCs w:val="24"/>
        </w:rPr>
        <w:t xml:space="preserve">de sustento fáctico y jurídico. En su defensa, propuso como excepciones de fondo “Inexistencia de la obligación”, “Cobro de lo no debido” y “Prescripción”, ver folios 86 a 89. </w:t>
      </w:r>
      <w:r w:rsidR="003E4E6F" w:rsidRPr="00C30C7D">
        <w:rPr>
          <w:rFonts w:ascii="Arial" w:hAnsi="Arial" w:cs="Arial"/>
          <w:spacing w:val="12"/>
          <w:szCs w:val="24"/>
        </w:rPr>
        <w:t xml:space="preserve"> </w:t>
      </w:r>
    </w:p>
    <w:p w14:paraId="1F193458" w14:textId="77777777" w:rsidR="00F72F54" w:rsidRPr="00C30C7D" w:rsidRDefault="00F72F54" w:rsidP="00EB3AF9">
      <w:pPr>
        <w:pStyle w:val="Sinespaciado"/>
        <w:spacing w:line="276" w:lineRule="auto"/>
        <w:ind w:firstLine="708"/>
        <w:jc w:val="both"/>
        <w:rPr>
          <w:rFonts w:ascii="Arial" w:hAnsi="Arial" w:cs="Arial"/>
          <w:spacing w:val="12"/>
          <w:szCs w:val="24"/>
        </w:rPr>
      </w:pPr>
    </w:p>
    <w:p w14:paraId="24F9E09F" w14:textId="77777777" w:rsidR="003E4E6F" w:rsidRPr="00C30C7D" w:rsidRDefault="003E4E6F" w:rsidP="00EB3AF9">
      <w:pPr>
        <w:pStyle w:val="Sinespaciado"/>
        <w:spacing w:line="276" w:lineRule="auto"/>
        <w:ind w:firstLine="708"/>
        <w:jc w:val="both"/>
        <w:rPr>
          <w:rFonts w:ascii="Arial" w:hAnsi="Arial" w:cs="Arial"/>
          <w:b/>
          <w:bCs/>
          <w:spacing w:val="12"/>
          <w:szCs w:val="24"/>
        </w:rPr>
      </w:pPr>
      <w:r w:rsidRPr="00C30C7D">
        <w:rPr>
          <w:rFonts w:ascii="Arial" w:hAnsi="Arial" w:cs="Arial"/>
          <w:b/>
          <w:bCs/>
          <w:spacing w:val="12"/>
          <w:szCs w:val="24"/>
        </w:rPr>
        <w:t xml:space="preserve">II. SENTENCIA DE PRIMERA INSTANCIA </w:t>
      </w:r>
    </w:p>
    <w:p w14:paraId="212B06A2" w14:textId="77777777" w:rsidR="003E4E6F" w:rsidRPr="00C30C7D" w:rsidRDefault="003E4E6F" w:rsidP="00EB3AF9">
      <w:pPr>
        <w:pStyle w:val="Sinespaciado"/>
        <w:spacing w:line="276" w:lineRule="auto"/>
        <w:ind w:firstLine="708"/>
        <w:jc w:val="both"/>
        <w:rPr>
          <w:rFonts w:ascii="Arial" w:hAnsi="Arial" w:cs="Arial"/>
          <w:spacing w:val="12"/>
          <w:szCs w:val="24"/>
        </w:rPr>
      </w:pPr>
    </w:p>
    <w:p w14:paraId="0AAA4AA6" w14:textId="79A88300" w:rsidR="006132C5" w:rsidRPr="00C30C7D" w:rsidRDefault="003E4E6F" w:rsidP="00EB3AF9">
      <w:pPr>
        <w:pStyle w:val="Sinespaciado"/>
        <w:spacing w:line="276" w:lineRule="auto"/>
        <w:ind w:firstLine="708"/>
        <w:jc w:val="both"/>
        <w:rPr>
          <w:rFonts w:ascii="Arial" w:hAnsi="Arial" w:cs="Arial"/>
          <w:spacing w:val="12"/>
          <w:szCs w:val="24"/>
        </w:rPr>
      </w:pPr>
      <w:r w:rsidRPr="00C30C7D">
        <w:rPr>
          <w:rFonts w:ascii="Arial" w:hAnsi="Arial" w:cs="Arial"/>
          <w:spacing w:val="12"/>
          <w:szCs w:val="24"/>
        </w:rPr>
        <w:t>El juzgado de conocimiento dictó sentencia el</w:t>
      </w:r>
      <w:r w:rsidR="00F72F54" w:rsidRPr="00C30C7D">
        <w:rPr>
          <w:rFonts w:ascii="Arial" w:hAnsi="Arial" w:cs="Arial"/>
          <w:spacing w:val="12"/>
          <w:szCs w:val="24"/>
        </w:rPr>
        <w:t xml:space="preserve"> 25 de junio de </w:t>
      </w:r>
      <w:r w:rsidRPr="00C30C7D">
        <w:rPr>
          <w:rFonts w:ascii="Arial" w:hAnsi="Arial" w:cs="Arial"/>
          <w:spacing w:val="12"/>
          <w:szCs w:val="24"/>
        </w:rPr>
        <w:t xml:space="preserve">2019, en la que </w:t>
      </w:r>
      <w:r w:rsidR="005E09AA" w:rsidRPr="00C30C7D">
        <w:rPr>
          <w:rFonts w:ascii="Arial" w:hAnsi="Arial" w:cs="Arial"/>
          <w:spacing w:val="12"/>
          <w:szCs w:val="24"/>
        </w:rPr>
        <w:t xml:space="preserve">declaró probadas las excepciones de </w:t>
      </w:r>
      <w:r w:rsidR="00216112" w:rsidRPr="00C30C7D">
        <w:rPr>
          <w:rFonts w:ascii="Arial" w:hAnsi="Arial" w:cs="Arial"/>
          <w:spacing w:val="12"/>
          <w:szCs w:val="24"/>
        </w:rPr>
        <w:t>inexistencia de la obligación y cobro de lo no debido</w:t>
      </w:r>
      <w:r w:rsidR="006132C5" w:rsidRPr="00C30C7D">
        <w:rPr>
          <w:rFonts w:ascii="Arial" w:hAnsi="Arial" w:cs="Arial"/>
          <w:spacing w:val="12"/>
          <w:szCs w:val="24"/>
        </w:rPr>
        <w:t>, y en consecuencia, y condenó en costas a la parte vencida en juicio. Para arribar a esa conclusión, estimó en primer lugar que, l</w:t>
      </w:r>
      <w:r w:rsidR="00216112" w:rsidRPr="00C30C7D">
        <w:rPr>
          <w:rFonts w:ascii="Arial" w:hAnsi="Arial" w:cs="Arial"/>
          <w:spacing w:val="12"/>
          <w:szCs w:val="24"/>
        </w:rPr>
        <w:t xml:space="preserve">a entidad demandada liquidó en debida forma la prestación pensional del actor, </w:t>
      </w:r>
      <w:r w:rsidR="006132C5" w:rsidRPr="00C30C7D">
        <w:rPr>
          <w:rFonts w:ascii="Arial" w:hAnsi="Arial" w:cs="Arial"/>
          <w:spacing w:val="12"/>
          <w:szCs w:val="24"/>
        </w:rPr>
        <w:t>al emplear</w:t>
      </w:r>
      <w:r w:rsidR="007555C8" w:rsidRPr="00C30C7D">
        <w:rPr>
          <w:rFonts w:ascii="Arial" w:hAnsi="Arial" w:cs="Arial"/>
          <w:spacing w:val="12"/>
          <w:szCs w:val="24"/>
        </w:rPr>
        <w:t xml:space="preserve"> </w:t>
      </w:r>
      <w:r w:rsidR="00216112" w:rsidRPr="00C30C7D">
        <w:rPr>
          <w:rFonts w:ascii="Arial" w:hAnsi="Arial" w:cs="Arial"/>
          <w:spacing w:val="12"/>
          <w:szCs w:val="24"/>
        </w:rPr>
        <w:t xml:space="preserve">la fórmula establecida en el parágrafo 1 del artículo 20 del Acuerdo 049 de 1990, dado que la </w:t>
      </w:r>
      <w:r w:rsidR="007555C8" w:rsidRPr="00C30C7D">
        <w:rPr>
          <w:rFonts w:ascii="Arial" w:hAnsi="Arial" w:cs="Arial"/>
          <w:spacing w:val="12"/>
          <w:szCs w:val="24"/>
        </w:rPr>
        <w:t xml:space="preserve">pensión </w:t>
      </w:r>
      <w:r w:rsidR="00216112" w:rsidRPr="00C30C7D">
        <w:rPr>
          <w:rFonts w:ascii="Arial" w:hAnsi="Arial" w:cs="Arial"/>
          <w:spacing w:val="12"/>
          <w:szCs w:val="24"/>
        </w:rPr>
        <w:t xml:space="preserve">fue reconocida por aplicación directa de </w:t>
      </w:r>
      <w:r w:rsidR="007555C8" w:rsidRPr="00C30C7D">
        <w:rPr>
          <w:rFonts w:ascii="Arial" w:hAnsi="Arial" w:cs="Arial"/>
          <w:spacing w:val="12"/>
          <w:szCs w:val="24"/>
        </w:rPr>
        <w:t xml:space="preserve">dicha </w:t>
      </w:r>
      <w:r w:rsidR="00216112" w:rsidRPr="00C30C7D">
        <w:rPr>
          <w:rFonts w:ascii="Arial" w:hAnsi="Arial" w:cs="Arial"/>
          <w:spacing w:val="12"/>
          <w:szCs w:val="24"/>
        </w:rPr>
        <w:t xml:space="preserve">normativa y no por virtud del régimen de transición. </w:t>
      </w:r>
    </w:p>
    <w:p w14:paraId="41FE74F5" w14:textId="77777777" w:rsidR="006132C5" w:rsidRPr="00C30C7D" w:rsidRDefault="006132C5" w:rsidP="00EB3AF9">
      <w:pPr>
        <w:pStyle w:val="Sinespaciado"/>
        <w:spacing w:line="276" w:lineRule="auto"/>
        <w:ind w:firstLine="708"/>
        <w:jc w:val="both"/>
        <w:rPr>
          <w:rFonts w:ascii="Arial" w:hAnsi="Arial" w:cs="Arial"/>
          <w:spacing w:val="12"/>
          <w:szCs w:val="24"/>
        </w:rPr>
      </w:pPr>
    </w:p>
    <w:p w14:paraId="59D9ACC0" w14:textId="07AE1966" w:rsidR="007555C8" w:rsidRPr="00C30C7D" w:rsidRDefault="00216112" w:rsidP="00EB3AF9">
      <w:pPr>
        <w:pStyle w:val="Sinespaciado"/>
        <w:spacing w:line="276" w:lineRule="auto"/>
        <w:ind w:firstLine="708"/>
        <w:jc w:val="both"/>
        <w:rPr>
          <w:rFonts w:ascii="Arial" w:hAnsi="Arial" w:cs="Arial"/>
          <w:spacing w:val="12"/>
          <w:szCs w:val="24"/>
        </w:rPr>
      </w:pPr>
      <w:r w:rsidRPr="00C30C7D">
        <w:rPr>
          <w:rFonts w:ascii="Arial" w:hAnsi="Arial" w:cs="Arial"/>
          <w:spacing w:val="12"/>
          <w:szCs w:val="24"/>
        </w:rPr>
        <w:t xml:space="preserve">Estimó además </w:t>
      </w:r>
      <w:r w:rsidR="007555C8" w:rsidRPr="00C30C7D">
        <w:rPr>
          <w:rFonts w:ascii="Arial" w:hAnsi="Arial" w:cs="Arial"/>
          <w:spacing w:val="12"/>
          <w:szCs w:val="24"/>
        </w:rPr>
        <w:t>con base en la prueba documental, que el actor cotizó un total de 997 semanas de aportes, por lo que la tasa de remplazo</w:t>
      </w:r>
      <w:r w:rsidR="006132C5" w:rsidRPr="00C30C7D">
        <w:rPr>
          <w:rFonts w:ascii="Arial" w:hAnsi="Arial" w:cs="Arial"/>
          <w:spacing w:val="12"/>
          <w:szCs w:val="24"/>
        </w:rPr>
        <w:t xml:space="preserve"> a aplicar era del </w:t>
      </w:r>
      <w:r w:rsidR="007555C8" w:rsidRPr="00C30C7D">
        <w:rPr>
          <w:rFonts w:ascii="Arial" w:hAnsi="Arial" w:cs="Arial"/>
          <w:spacing w:val="12"/>
          <w:szCs w:val="24"/>
        </w:rPr>
        <w:t>72</w:t>
      </w:r>
      <w:r w:rsidR="006132C5" w:rsidRPr="00C30C7D">
        <w:rPr>
          <w:rFonts w:ascii="Arial" w:hAnsi="Arial" w:cs="Arial"/>
          <w:spacing w:val="12"/>
          <w:szCs w:val="24"/>
        </w:rPr>
        <w:t xml:space="preserve">%. Al </w:t>
      </w:r>
      <w:r w:rsidR="007555C8" w:rsidRPr="00C30C7D">
        <w:rPr>
          <w:rFonts w:ascii="Arial" w:hAnsi="Arial" w:cs="Arial"/>
          <w:spacing w:val="12"/>
          <w:szCs w:val="24"/>
        </w:rPr>
        <w:t>efectuar la liquidación, obtuvo como IBL la suma de $69.0016, monto</w:t>
      </w:r>
      <w:r w:rsidR="006132C5" w:rsidRPr="00C30C7D">
        <w:rPr>
          <w:rFonts w:ascii="Arial" w:hAnsi="Arial" w:cs="Arial"/>
          <w:spacing w:val="12"/>
          <w:szCs w:val="24"/>
        </w:rPr>
        <w:t xml:space="preserve"> que resultaba </w:t>
      </w:r>
      <w:r w:rsidR="007555C8" w:rsidRPr="00C30C7D">
        <w:rPr>
          <w:rFonts w:ascii="Arial" w:hAnsi="Arial" w:cs="Arial"/>
          <w:spacing w:val="12"/>
          <w:szCs w:val="24"/>
        </w:rPr>
        <w:t xml:space="preserve">levemente inferior al </w:t>
      </w:r>
      <w:r w:rsidR="006132C5" w:rsidRPr="00C30C7D">
        <w:rPr>
          <w:rFonts w:ascii="Arial" w:hAnsi="Arial" w:cs="Arial"/>
          <w:spacing w:val="12"/>
          <w:szCs w:val="24"/>
        </w:rPr>
        <w:t xml:space="preserve">calculado por la entidad demandada. </w:t>
      </w:r>
    </w:p>
    <w:p w14:paraId="20A8ECF5" w14:textId="77777777" w:rsidR="00607E5E" w:rsidRPr="00C30C7D" w:rsidRDefault="00607E5E" w:rsidP="00EB3AF9">
      <w:pPr>
        <w:pStyle w:val="Sinespaciado"/>
        <w:spacing w:line="276" w:lineRule="auto"/>
        <w:ind w:firstLine="708"/>
        <w:jc w:val="both"/>
        <w:rPr>
          <w:rFonts w:ascii="Arial" w:hAnsi="Arial" w:cs="Arial"/>
          <w:spacing w:val="12"/>
          <w:szCs w:val="24"/>
        </w:rPr>
      </w:pPr>
    </w:p>
    <w:p w14:paraId="3BBA5647" w14:textId="77777777" w:rsidR="003E4E6F" w:rsidRPr="00C30C7D" w:rsidRDefault="003E4E6F" w:rsidP="00EB3AF9">
      <w:pPr>
        <w:pStyle w:val="Sinespaciado"/>
        <w:spacing w:line="276" w:lineRule="auto"/>
        <w:ind w:firstLine="708"/>
        <w:jc w:val="both"/>
        <w:rPr>
          <w:rFonts w:ascii="Arial" w:hAnsi="Arial" w:cs="Arial"/>
          <w:b/>
          <w:bCs/>
          <w:spacing w:val="12"/>
          <w:szCs w:val="24"/>
        </w:rPr>
      </w:pPr>
      <w:r w:rsidRPr="00C30C7D">
        <w:rPr>
          <w:rFonts w:ascii="Arial" w:hAnsi="Arial" w:cs="Arial"/>
          <w:b/>
          <w:bCs/>
          <w:spacing w:val="12"/>
          <w:szCs w:val="24"/>
        </w:rPr>
        <w:t>III. RECURSO DE APELACIÓN</w:t>
      </w:r>
    </w:p>
    <w:p w14:paraId="768CADEB" w14:textId="77777777" w:rsidR="003E4E6F" w:rsidRPr="00C30C7D" w:rsidRDefault="003E4E6F" w:rsidP="00EB3AF9">
      <w:pPr>
        <w:pStyle w:val="Sinespaciado"/>
        <w:spacing w:line="276" w:lineRule="auto"/>
        <w:ind w:firstLine="708"/>
        <w:jc w:val="both"/>
        <w:rPr>
          <w:rFonts w:ascii="Arial" w:hAnsi="Arial" w:cs="Arial"/>
          <w:spacing w:val="12"/>
          <w:szCs w:val="24"/>
        </w:rPr>
      </w:pPr>
    </w:p>
    <w:p w14:paraId="0DF8FF32" w14:textId="07528440" w:rsidR="006132C5" w:rsidRPr="00C30C7D" w:rsidRDefault="003E4E6F" w:rsidP="00EB3AF9">
      <w:pPr>
        <w:pStyle w:val="Sinespaciado"/>
        <w:spacing w:line="276" w:lineRule="auto"/>
        <w:ind w:firstLine="708"/>
        <w:jc w:val="both"/>
        <w:rPr>
          <w:rFonts w:ascii="Arial" w:hAnsi="Arial" w:cs="Arial"/>
          <w:spacing w:val="12"/>
          <w:szCs w:val="24"/>
        </w:rPr>
      </w:pPr>
      <w:r w:rsidRPr="00C30C7D">
        <w:rPr>
          <w:rFonts w:ascii="Arial" w:hAnsi="Arial" w:cs="Arial"/>
          <w:spacing w:val="12"/>
          <w:szCs w:val="24"/>
        </w:rPr>
        <w:t xml:space="preserve">Inconforme con lo decidido, </w:t>
      </w:r>
      <w:r w:rsidR="006132C5" w:rsidRPr="00C30C7D">
        <w:rPr>
          <w:rFonts w:ascii="Arial" w:hAnsi="Arial" w:cs="Arial"/>
          <w:spacing w:val="12"/>
          <w:szCs w:val="24"/>
        </w:rPr>
        <w:t xml:space="preserve">la parte actora interpuso recurso de apelación indicando que una vez efectuada la liquidación de la pensión, se obtiene un IBL y una tasa de remplazo superior a la calculada por la entidad.  </w:t>
      </w:r>
    </w:p>
    <w:p w14:paraId="03A8392F" w14:textId="77777777" w:rsidR="00426EBC" w:rsidRPr="00C30C7D" w:rsidRDefault="00426EBC" w:rsidP="00EB3AF9">
      <w:pPr>
        <w:pStyle w:val="Sinespaciado"/>
        <w:spacing w:line="276" w:lineRule="auto"/>
        <w:ind w:firstLine="708"/>
        <w:jc w:val="both"/>
        <w:rPr>
          <w:rFonts w:ascii="Arial" w:hAnsi="Arial" w:cs="Arial"/>
          <w:spacing w:val="12"/>
          <w:szCs w:val="24"/>
        </w:rPr>
      </w:pPr>
    </w:p>
    <w:p w14:paraId="2F391EB2" w14:textId="3336EA32" w:rsidR="00426EBC" w:rsidRPr="00C30C7D" w:rsidRDefault="00426EBC" w:rsidP="00EB3AF9">
      <w:pPr>
        <w:pStyle w:val="Sinespaciado"/>
        <w:spacing w:line="276" w:lineRule="auto"/>
        <w:ind w:firstLine="708"/>
        <w:jc w:val="both"/>
        <w:rPr>
          <w:rFonts w:ascii="Arial" w:hAnsi="Arial" w:cs="Arial"/>
          <w:b/>
          <w:bCs/>
          <w:spacing w:val="12"/>
          <w:szCs w:val="24"/>
        </w:rPr>
      </w:pPr>
      <w:r w:rsidRPr="00C30C7D">
        <w:rPr>
          <w:rFonts w:ascii="Arial" w:hAnsi="Arial" w:cs="Arial"/>
          <w:b/>
          <w:bCs/>
          <w:spacing w:val="12"/>
          <w:szCs w:val="24"/>
        </w:rPr>
        <w:t>IV. ALEGATOS</w:t>
      </w:r>
      <w:r w:rsidR="00635841" w:rsidRPr="00C30C7D">
        <w:rPr>
          <w:rFonts w:ascii="Arial" w:hAnsi="Arial" w:cs="Arial"/>
          <w:b/>
          <w:bCs/>
          <w:spacing w:val="12"/>
          <w:szCs w:val="24"/>
        </w:rPr>
        <w:t xml:space="preserve"> DE INSTANCIA</w:t>
      </w:r>
    </w:p>
    <w:p w14:paraId="09637C79" w14:textId="6D0D4827" w:rsidR="00426EBC" w:rsidRPr="00C30C7D" w:rsidRDefault="00426EBC" w:rsidP="00EB3AF9">
      <w:pPr>
        <w:pStyle w:val="Sinespaciado"/>
        <w:spacing w:line="276" w:lineRule="auto"/>
        <w:jc w:val="both"/>
        <w:rPr>
          <w:rFonts w:ascii="Arial" w:hAnsi="Arial" w:cs="Arial"/>
          <w:b/>
          <w:bCs/>
          <w:spacing w:val="12"/>
          <w:szCs w:val="24"/>
        </w:rPr>
      </w:pPr>
    </w:p>
    <w:p w14:paraId="53390D75" w14:textId="4D4DD6D9" w:rsidR="00426EBC" w:rsidRPr="00C30C7D" w:rsidRDefault="6FEA1E90" w:rsidP="00EB3AF9">
      <w:pPr>
        <w:pStyle w:val="Sinespaciado"/>
        <w:spacing w:line="276" w:lineRule="auto"/>
        <w:ind w:firstLine="708"/>
        <w:jc w:val="both"/>
        <w:rPr>
          <w:rFonts w:ascii="Arial" w:eastAsia="Arial Narrow" w:hAnsi="Arial" w:cs="Arial"/>
          <w:szCs w:val="24"/>
          <w:lang w:val="es-ES"/>
        </w:rPr>
      </w:pPr>
      <w:r w:rsidRPr="00C30C7D">
        <w:rPr>
          <w:rFonts w:ascii="Arial" w:eastAsia="Arial Narrow" w:hAnsi="Arial" w:cs="Arial"/>
          <w:szCs w:val="24"/>
          <w:lang w:val="es-ES"/>
        </w:rPr>
        <w:t xml:space="preserve">Dentro del término otorgado para descorrer el traslado, allegaron escrito de alegaciones tanto la parte actora como la Administradora Colombiana de Pensiones Colpensiones, por lo que se procede a decidir de fondo previas las siguientes: </w:t>
      </w:r>
    </w:p>
    <w:p w14:paraId="3195E95E" w14:textId="1210CF1F" w:rsidR="00426EBC" w:rsidRPr="00C30C7D" w:rsidRDefault="6FEA1E90" w:rsidP="00EB3AF9">
      <w:pPr>
        <w:pStyle w:val="Sinespaciado"/>
        <w:spacing w:line="276" w:lineRule="auto"/>
        <w:ind w:firstLine="708"/>
        <w:jc w:val="both"/>
        <w:rPr>
          <w:rFonts w:ascii="Arial" w:eastAsia="Arial Narrow" w:hAnsi="Arial" w:cs="Arial"/>
          <w:szCs w:val="24"/>
          <w:lang w:val="es-ES"/>
        </w:rPr>
      </w:pPr>
      <w:r w:rsidRPr="00C30C7D">
        <w:rPr>
          <w:rFonts w:ascii="Arial" w:eastAsia="Arial Narrow" w:hAnsi="Arial" w:cs="Arial"/>
          <w:szCs w:val="24"/>
          <w:lang w:val="es-ES"/>
        </w:rPr>
        <w:t> </w:t>
      </w:r>
    </w:p>
    <w:p w14:paraId="2D1CFB68" w14:textId="77777777" w:rsidR="00635841" w:rsidRPr="00C30C7D" w:rsidRDefault="00635841" w:rsidP="00EB3AF9">
      <w:pPr>
        <w:pStyle w:val="Sinespaciado"/>
        <w:spacing w:line="276" w:lineRule="auto"/>
        <w:ind w:firstLine="708"/>
        <w:jc w:val="both"/>
        <w:rPr>
          <w:rFonts w:ascii="Arial" w:hAnsi="Arial" w:cs="Arial"/>
          <w:b/>
          <w:bCs/>
          <w:spacing w:val="12"/>
          <w:szCs w:val="24"/>
        </w:rPr>
      </w:pPr>
      <w:r w:rsidRPr="00C30C7D">
        <w:rPr>
          <w:rFonts w:ascii="Arial" w:hAnsi="Arial" w:cs="Arial"/>
          <w:b/>
          <w:bCs/>
          <w:spacing w:val="12"/>
          <w:szCs w:val="24"/>
        </w:rPr>
        <w:t>V.</w:t>
      </w:r>
      <w:r w:rsidRPr="00C30C7D">
        <w:rPr>
          <w:rFonts w:ascii="Arial" w:hAnsi="Arial" w:cs="Arial"/>
          <w:b/>
          <w:bCs/>
          <w:spacing w:val="12"/>
          <w:szCs w:val="24"/>
        </w:rPr>
        <w:tab/>
        <w:t>CONSIDERACIONES</w:t>
      </w:r>
    </w:p>
    <w:p w14:paraId="40FDA2B6" w14:textId="198531D5" w:rsidR="00635841" w:rsidRPr="00C30C7D" w:rsidRDefault="00635841" w:rsidP="00EB3AF9">
      <w:pPr>
        <w:pStyle w:val="Sinespaciado"/>
        <w:spacing w:line="276" w:lineRule="auto"/>
        <w:ind w:firstLine="708"/>
        <w:jc w:val="both"/>
        <w:rPr>
          <w:rFonts w:ascii="Arial" w:hAnsi="Arial" w:cs="Arial"/>
          <w:spacing w:val="12"/>
          <w:szCs w:val="24"/>
        </w:rPr>
      </w:pPr>
    </w:p>
    <w:p w14:paraId="0860B92E" w14:textId="1AF238A6" w:rsidR="00635841" w:rsidRPr="00C30C7D" w:rsidRDefault="00635841" w:rsidP="00EB3AF9">
      <w:pPr>
        <w:pStyle w:val="Prrafodelista"/>
        <w:numPr>
          <w:ilvl w:val="1"/>
          <w:numId w:val="2"/>
        </w:numPr>
        <w:spacing w:line="276" w:lineRule="auto"/>
        <w:ind w:left="1418"/>
        <w:jc w:val="both"/>
        <w:rPr>
          <w:rFonts w:ascii="Arial" w:hAnsi="Arial" w:cs="Arial"/>
          <w:b/>
          <w:bCs/>
          <w:spacing w:val="12"/>
          <w:szCs w:val="24"/>
        </w:rPr>
      </w:pPr>
      <w:r w:rsidRPr="00C30C7D">
        <w:rPr>
          <w:rFonts w:ascii="Arial" w:hAnsi="Arial" w:cs="Arial"/>
          <w:b/>
          <w:bCs/>
          <w:spacing w:val="12"/>
          <w:szCs w:val="24"/>
        </w:rPr>
        <w:t xml:space="preserve">Presupuestos Procesales. </w:t>
      </w:r>
    </w:p>
    <w:p w14:paraId="01ACDF2C" w14:textId="77777777" w:rsidR="00635841" w:rsidRPr="00C30C7D" w:rsidRDefault="00635841" w:rsidP="00EB3AF9">
      <w:pPr>
        <w:spacing w:line="276" w:lineRule="auto"/>
        <w:jc w:val="both"/>
        <w:rPr>
          <w:rFonts w:ascii="Arial" w:hAnsi="Arial" w:cs="Arial"/>
          <w:spacing w:val="12"/>
          <w:szCs w:val="24"/>
        </w:rPr>
      </w:pPr>
    </w:p>
    <w:p w14:paraId="5FFA5D12" w14:textId="77777777" w:rsidR="00635841" w:rsidRPr="00C30C7D" w:rsidRDefault="00635841" w:rsidP="00EB3AF9">
      <w:pPr>
        <w:spacing w:line="276" w:lineRule="auto"/>
        <w:ind w:firstLine="698"/>
        <w:jc w:val="both"/>
        <w:rPr>
          <w:rFonts w:ascii="Arial" w:hAnsi="Arial" w:cs="Arial"/>
          <w:spacing w:val="12"/>
          <w:szCs w:val="24"/>
        </w:rPr>
      </w:pPr>
      <w:r w:rsidRPr="00C30C7D">
        <w:rPr>
          <w:rFonts w:ascii="Arial" w:hAnsi="Arial" w:cs="Arial"/>
          <w:spacing w:val="12"/>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22D15D53" w14:textId="77777777" w:rsidR="00635841" w:rsidRPr="00C30C7D" w:rsidRDefault="00635841" w:rsidP="00EB3AF9">
      <w:pPr>
        <w:spacing w:line="276" w:lineRule="auto"/>
        <w:jc w:val="both"/>
        <w:rPr>
          <w:rFonts w:ascii="Arial" w:hAnsi="Arial" w:cs="Arial"/>
          <w:b/>
          <w:bCs/>
          <w:spacing w:val="12"/>
          <w:szCs w:val="24"/>
        </w:rPr>
      </w:pPr>
    </w:p>
    <w:p w14:paraId="54F60534" w14:textId="1422D7AF" w:rsidR="00635841" w:rsidRPr="00C30C7D" w:rsidRDefault="00635841" w:rsidP="00EB3AF9">
      <w:pPr>
        <w:pStyle w:val="Prrafodelista"/>
        <w:numPr>
          <w:ilvl w:val="1"/>
          <w:numId w:val="2"/>
        </w:numPr>
        <w:spacing w:line="276" w:lineRule="auto"/>
        <w:ind w:left="1418"/>
        <w:jc w:val="both"/>
        <w:rPr>
          <w:rFonts w:ascii="Arial" w:hAnsi="Arial" w:cs="Arial"/>
          <w:b/>
          <w:bCs/>
          <w:spacing w:val="12"/>
          <w:szCs w:val="24"/>
        </w:rPr>
      </w:pPr>
      <w:r w:rsidRPr="00C30C7D">
        <w:rPr>
          <w:rFonts w:ascii="Arial" w:hAnsi="Arial" w:cs="Arial"/>
          <w:b/>
          <w:bCs/>
          <w:spacing w:val="12"/>
          <w:szCs w:val="24"/>
        </w:rPr>
        <w:t>Problemas jurídicos por resolver.</w:t>
      </w:r>
    </w:p>
    <w:p w14:paraId="25D5711A" w14:textId="77777777" w:rsidR="00635841" w:rsidRPr="00C30C7D" w:rsidRDefault="00635841" w:rsidP="00EB3AF9">
      <w:pPr>
        <w:pStyle w:val="Sinespaciado"/>
        <w:spacing w:line="276" w:lineRule="auto"/>
        <w:ind w:firstLine="708"/>
        <w:jc w:val="both"/>
        <w:rPr>
          <w:rFonts w:ascii="Arial" w:hAnsi="Arial" w:cs="Arial"/>
          <w:spacing w:val="12"/>
          <w:szCs w:val="24"/>
        </w:rPr>
      </w:pPr>
    </w:p>
    <w:p w14:paraId="2B457C12" w14:textId="42503EFA" w:rsidR="006132C5" w:rsidRPr="00C30C7D" w:rsidRDefault="00635841" w:rsidP="00EB3AF9">
      <w:pPr>
        <w:pStyle w:val="Sinespaciado"/>
        <w:spacing w:line="276" w:lineRule="auto"/>
        <w:ind w:firstLine="708"/>
        <w:jc w:val="both"/>
        <w:rPr>
          <w:rFonts w:ascii="Arial" w:hAnsi="Arial" w:cs="Arial"/>
          <w:b/>
          <w:bCs/>
          <w:spacing w:val="12"/>
          <w:szCs w:val="24"/>
        </w:rPr>
      </w:pPr>
      <w:r w:rsidRPr="00C30C7D">
        <w:rPr>
          <w:rFonts w:ascii="Arial" w:hAnsi="Arial" w:cs="Arial"/>
          <w:spacing w:val="12"/>
          <w:szCs w:val="24"/>
        </w:rPr>
        <w:t xml:space="preserve">De conformidad con los puntos de apelación de la sentencia de primera instancia a los cuales está atada la Sala, se encuentra que los problemas jurídicos a resolver se circunscriben a </w:t>
      </w:r>
      <w:r w:rsidRPr="00C30C7D">
        <w:rPr>
          <w:rFonts w:ascii="Arial" w:hAnsi="Arial" w:cs="Arial"/>
          <w:i/>
          <w:iCs/>
          <w:spacing w:val="12"/>
          <w:szCs w:val="24"/>
        </w:rPr>
        <w:t>(i)</w:t>
      </w:r>
      <w:r w:rsidRPr="00C30C7D">
        <w:rPr>
          <w:rFonts w:ascii="Arial" w:hAnsi="Arial" w:cs="Arial"/>
          <w:spacing w:val="12"/>
          <w:szCs w:val="24"/>
        </w:rPr>
        <w:t xml:space="preserve"> determinar si el demandante tiene</w:t>
      </w:r>
      <w:r w:rsidR="006132C5" w:rsidRPr="00C30C7D">
        <w:rPr>
          <w:rFonts w:ascii="Arial" w:hAnsi="Arial" w:cs="Arial"/>
          <w:spacing w:val="12"/>
          <w:szCs w:val="24"/>
        </w:rPr>
        <w:t xml:space="preserve"> derecho a la reliquidación de la pensión de vejez</w:t>
      </w:r>
      <w:r w:rsidRPr="00C30C7D">
        <w:rPr>
          <w:rFonts w:ascii="Arial" w:hAnsi="Arial" w:cs="Arial"/>
          <w:spacing w:val="12"/>
          <w:szCs w:val="24"/>
        </w:rPr>
        <w:t xml:space="preserve">; </w:t>
      </w:r>
      <w:r w:rsidRPr="00C30C7D">
        <w:rPr>
          <w:rFonts w:ascii="Arial" w:hAnsi="Arial" w:cs="Arial"/>
          <w:i/>
          <w:iCs/>
          <w:spacing w:val="12"/>
          <w:szCs w:val="24"/>
        </w:rPr>
        <w:t>(ii)</w:t>
      </w:r>
      <w:r w:rsidRPr="00C30C7D">
        <w:rPr>
          <w:rFonts w:ascii="Arial" w:hAnsi="Arial" w:cs="Arial"/>
          <w:spacing w:val="12"/>
          <w:szCs w:val="24"/>
        </w:rPr>
        <w:t xml:space="preserve"> </w:t>
      </w:r>
      <w:r w:rsidR="006132C5" w:rsidRPr="00C30C7D">
        <w:rPr>
          <w:rFonts w:ascii="Arial" w:hAnsi="Arial" w:cs="Arial"/>
          <w:spacing w:val="12"/>
          <w:szCs w:val="24"/>
        </w:rPr>
        <w:t xml:space="preserve">En caso positivo ¿Hay lugar a reconocer alguna diferencia pensional en favor del actor, al igual que intereses de mora o indexación? </w:t>
      </w:r>
    </w:p>
    <w:p w14:paraId="4E94D321" w14:textId="77777777" w:rsidR="003E4E6F" w:rsidRPr="00C30C7D" w:rsidRDefault="003E4E6F" w:rsidP="00EB3AF9">
      <w:pPr>
        <w:pStyle w:val="Sinespaciado"/>
        <w:spacing w:line="276" w:lineRule="auto"/>
        <w:ind w:firstLine="708"/>
        <w:jc w:val="both"/>
        <w:rPr>
          <w:rFonts w:ascii="Arial" w:hAnsi="Arial" w:cs="Arial"/>
          <w:b/>
          <w:bCs/>
          <w:spacing w:val="12"/>
          <w:szCs w:val="24"/>
        </w:rPr>
      </w:pPr>
    </w:p>
    <w:p w14:paraId="236D2673" w14:textId="2D68C7AB" w:rsidR="00635841" w:rsidRPr="00C30C7D" w:rsidRDefault="00635841" w:rsidP="00EB3AF9">
      <w:pPr>
        <w:pStyle w:val="Sinespaciado"/>
        <w:numPr>
          <w:ilvl w:val="1"/>
          <w:numId w:val="2"/>
        </w:numPr>
        <w:spacing w:line="276" w:lineRule="auto"/>
        <w:ind w:left="1418"/>
        <w:jc w:val="both"/>
        <w:rPr>
          <w:rFonts w:ascii="Arial" w:hAnsi="Arial" w:cs="Arial"/>
          <w:spacing w:val="12"/>
          <w:szCs w:val="24"/>
        </w:rPr>
      </w:pPr>
      <w:r w:rsidRPr="00C30C7D">
        <w:rPr>
          <w:rFonts w:ascii="Arial" w:hAnsi="Arial" w:cs="Arial"/>
          <w:b/>
          <w:bCs/>
          <w:spacing w:val="12"/>
          <w:szCs w:val="24"/>
        </w:rPr>
        <w:lastRenderedPageBreak/>
        <w:t>Desenvolvimiento de la problemática planteada</w:t>
      </w:r>
      <w:r w:rsidRPr="00C30C7D">
        <w:rPr>
          <w:rFonts w:ascii="Arial" w:hAnsi="Arial" w:cs="Arial"/>
          <w:spacing w:val="12"/>
          <w:szCs w:val="24"/>
        </w:rPr>
        <w:t xml:space="preserve"> </w:t>
      </w:r>
    </w:p>
    <w:p w14:paraId="50F0E80E" w14:textId="77777777" w:rsidR="00635841" w:rsidRPr="00C30C7D" w:rsidRDefault="00635841" w:rsidP="00EB3AF9">
      <w:pPr>
        <w:pStyle w:val="Sinespaciado"/>
        <w:spacing w:line="276" w:lineRule="auto"/>
        <w:ind w:left="360"/>
        <w:jc w:val="both"/>
        <w:rPr>
          <w:rFonts w:ascii="Arial" w:hAnsi="Arial" w:cs="Arial"/>
          <w:spacing w:val="12"/>
          <w:szCs w:val="24"/>
        </w:rPr>
      </w:pPr>
    </w:p>
    <w:p w14:paraId="3E74711B" w14:textId="34B19599" w:rsidR="0016143E" w:rsidRPr="00C30C7D" w:rsidRDefault="0016143E" w:rsidP="00EB3AF9">
      <w:pPr>
        <w:pStyle w:val="Sinespaciado"/>
        <w:numPr>
          <w:ilvl w:val="2"/>
          <w:numId w:val="3"/>
        </w:numPr>
        <w:spacing w:line="276" w:lineRule="auto"/>
        <w:ind w:left="1418"/>
        <w:jc w:val="both"/>
        <w:rPr>
          <w:rFonts w:ascii="Arial" w:hAnsi="Arial" w:cs="Arial"/>
          <w:b/>
          <w:bCs/>
          <w:spacing w:val="12"/>
          <w:szCs w:val="24"/>
        </w:rPr>
      </w:pPr>
      <w:r w:rsidRPr="00C30C7D">
        <w:rPr>
          <w:rFonts w:ascii="Arial" w:hAnsi="Arial" w:cs="Arial"/>
          <w:b/>
          <w:bCs/>
          <w:spacing w:val="12"/>
          <w:szCs w:val="24"/>
        </w:rPr>
        <w:t xml:space="preserve">Liquidación de la pensión de vejez </w:t>
      </w:r>
      <w:r w:rsidR="00362286" w:rsidRPr="00C30C7D">
        <w:rPr>
          <w:rFonts w:ascii="Arial" w:hAnsi="Arial" w:cs="Arial"/>
          <w:b/>
          <w:bCs/>
          <w:spacing w:val="12"/>
          <w:szCs w:val="24"/>
        </w:rPr>
        <w:t>–</w:t>
      </w:r>
      <w:r w:rsidRPr="00C30C7D">
        <w:rPr>
          <w:rFonts w:ascii="Arial" w:hAnsi="Arial" w:cs="Arial"/>
          <w:b/>
          <w:bCs/>
          <w:spacing w:val="12"/>
          <w:szCs w:val="24"/>
        </w:rPr>
        <w:t xml:space="preserve"> previsiones del Acuerdo 049 de 1990.</w:t>
      </w:r>
    </w:p>
    <w:p w14:paraId="1423E3AA" w14:textId="77777777" w:rsidR="0016143E" w:rsidRPr="00C30C7D" w:rsidRDefault="0016143E" w:rsidP="00EB3AF9">
      <w:pPr>
        <w:pStyle w:val="Sinespaciado"/>
        <w:spacing w:line="276" w:lineRule="auto"/>
        <w:ind w:firstLine="708"/>
        <w:jc w:val="both"/>
        <w:rPr>
          <w:rFonts w:ascii="Arial" w:hAnsi="Arial" w:cs="Arial"/>
          <w:spacing w:val="12"/>
          <w:szCs w:val="24"/>
        </w:rPr>
      </w:pPr>
    </w:p>
    <w:p w14:paraId="3FE1B5D8" w14:textId="4DEEEC8F" w:rsidR="0016143E" w:rsidRPr="00C30C7D" w:rsidRDefault="0016143E" w:rsidP="00EB3AF9">
      <w:pPr>
        <w:pStyle w:val="Sinespaciado"/>
        <w:spacing w:line="276" w:lineRule="auto"/>
        <w:ind w:firstLine="708"/>
        <w:jc w:val="both"/>
        <w:rPr>
          <w:rFonts w:ascii="Arial" w:hAnsi="Arial" w:cs="Arial"/>
          <w:spacing w:val="12"/>
          <w:szCs w:val="24"/>
        </w:rPr>
      </w:pPr>
      <w:bookmarkStart w:id="0" w:name="20"/>
      <w:r w:rsidRPr="00C30C7D">
        <w:rPr>
          <w:rFonts w:ascii="Arial" w:hAnsi="Arial" w:cs="Arial"/>
          <w:spacing w:val="12"/>
          <w:szCs w:val="24"/>
        </w:rPr>
        <w:t>El artículo 20 del Acuerdo 049 de 1990 dispuso la integración de las pensiones de invalidez por riesgo común y de vejez, estableciendo en el parágrafo 1º la forma cómo se obtiene el salario mensual de base, indicando al respecto:</w:t>
      </w:r>
    </w:p>
    <w:p w14:paraId="61F618FE" w14:textId="77777777" w:rsidR="00635841" w:rsidRPr="00C30C7D" w:rsidRDefault="00635841" w:rsidP="00EB3AF9">
      <w:pPr>
        <w:pStyle w:val="Sinespaciado"/>
        <w:spacing w:line="276" w:lineRule="auto"/>
        <w:ind w:firstLine="708"/>
        <w:jc w:val="both"/>
        <w:rPr>
          <w:rFonts w:ascii="Arial" w:hAnsi="Arial" w:cs="Arial"/>
          <w:spacing w:val="12"/>
          <w:szCs w:val="24"/>
        </w:rPr>
      </w:pPr>
    </w:p>
    <w:bookmarkEnd w:id="0"/>
    <w:p w14:paraId="03A6004B" w14:textId="77777777" w:rsidR="0016143E" w:rsidRPr="00C30C7D" w:rsidRDefault="0016143E" w:rsidP="00C06C71">
      <w:pPr>
        <w:pStyle w:val="Sinespaciado"/>
        <w:ind w:left="426" w:right="420"/>
        <w:jc w:val="both"/>
        <w:rPr>
          <w:rFonts w:ascii="Arial" w:hAnsi="Arial" w:cs="Arial"/>
          <w:spacing w:val="12"/>
          <w:sz w:val="22"/>
          <w:szCs w:val="24"/>
        </w:rPr>
      </w:pPr>
      <w:r w:rsidRPr="00C30C7D">
        <w:rPr>
          <w:rFonts w:ascii="Arial" w:hAnsi="Arial" w:cs="Arial"/>
          <w:spacing w:val="12"/>
          <w:sz w:val="22"/>
          <w:szCs w:val="24"/>
        </w:rPr>
        <w:t>“PARÁGRAFO 1o. El salario mensual de base se obtiene multiplicando por el factor 4.33, la centésima parte de la suma de los salarios semanales sobre los cuales cotizó el trabajador en las últimas cien (100) semanas.</w:t>
      </w:r>
      <w:r w:rsidR="00044438" w:rsidRPr="00C30C7D">
        <w:rPr>
          <w:rFonts w:ascii="Arial" w:hAnsi="Arial" w:cs="Arial"/>
          <w:spacing w:val="12"/>
          <w:sz w:val="22"/>
          <w:szCs w:val="24"/>
        </w:rPr>
        <w:t xml:space="preserve"> </w:t>
      </w:r>
      <w:r w:rsidRPr="00C30C7D">
        <w:rPr>
          <w:rFonts w:ascii="Arial" w:hAnsi="Arial" w:cs="Arial"/>
          <w:spacing w:val="12"/>
          <w:sz w:val="22"/>
          <w:szCs w:val="24"/>
        </w:rPr>
        <w:t>El factor 4.33 resulta de dividir el número de semanas de un año por el número de meses”.</w:t>
      </w:r>
    </w:p>
    <w:p w14:paraId="6DE87A67" w14:textId="77777777" w:rsidR="00607E5E" w:rsidRPr="00C30C7D" w:rsidRDefault="00607E5E" w:rsidP="00EB3AF9">
      <w:pPr>
        <w:pStyle w:val="Sinespaciado"/>
        <w:spacing w:line="276" w:lineRule="auto"/>
        <w:ind w:firstLine="708"/>
        <w:jc w:val="both"/>
        <w:rPr>
          <w:rFonts w:ascii="Arial" w:hAnsi="Arial" w:cs="Arial"/>
          <w:spacing w:val="12"/>
          <w:szCs w:val="24"/>
        </w:rPr>
      </w:pPr>
    </w:p>
    <w:p w14:paraId="1265F06D" w14:textId="77777777" w:rsidR="0016143E" w:rsidRPr="00C30C7D" w:rsidRDefault="0016143E" w:rsidP="00EB3AF9">
      <w:pPr>
        <w:pStyle w:val="Sinespaciado"/>
        <w:spacing w:line="276" w:lineRule="auto"/>
        <w:ind w:firstLine="708"/>
        <w:jc w:val="both"/>
        <w:rPr>
          <w:rFonts w:ascii="Arial" w:hAnsi="Arial" w:cs="Arial"/>
          <w:spacing w:val="12"/>
          <w:szCs w:val="24"/>
        </w:rPr>
      </w:pPr>
      <w:r w:rsidRPr="00C30C7D">
        <w:rPr>
          <w:rFonts w:ascii="Arial" w:hAnsi="Arial" w:cs="Arial"/>
          <w:spacing w:val="12"/>
          <w:szCs w:val="24"/>
        </w:rPr>
        <w:t xml:space="preserve">Por su parte, la Sala de Casación Laboral de la Corte Suprema de Justicia, en la sentencia SL 11162 de 12 de julio de 2017, Radicación 54408, M.P. Luís Gabriel Miranda </w:t>
      </w:r>
      <w:proofErr w:type="spellStart"/>
      <w:r w:rsidRPr="00C30C7D">
        <w:rPr>
          <w:rFonts w:ascii="Arial" w:hAnsi="Arial" w:cs="Arial"/>
          <w:spacing w:val="12"/>
          <w:szCs w:val="24"/>
        </w:rPr>
        <w:t>Buelvas</w:t>
      </w:r>
      <w:proofErr w:type="spellEnd"/>
      <w:r w:rsidRPr="00C30C7D">
        <w:rPr>
          <w:rFonts w:ascii="Arial" w:hAnsi="Arial" w:cs="Arial"/>
          <w:spacing w:val="12"/>
          <w:szCs w:val="24"/>
        </w:rPr>
        <w:t xml:space="preserve">, sobre el aparte acabado de transcribir, refiere lo siguiente: </w:t>
      </w:r>
    </w:p>
    <w:p w14:paraId="6BC53B65" w14:textId="77777777" w:rsidR="0016143E" w:rsidRPr="00C30C7D" w:rsidRDefault="0016143E" w:rsidP="00EB3AF9">
      <w:pPr>
        <w:pStyle w:val="Sinespaciado"/>
        <w:spacing w:line="276" w:lineRule="auto"/>
        <w:ind w:firstLine="708"/>
        <w:jc w:val="both"/>
        <w:rPr>
          <w:rFonts w:ascii="Arial" w:hAnsi="Arial" w:cs="Arial"/>
          <w:spacing w:val="12"/>
          <w:szCs w:val="24"/>
        </w:rPr>
      </w:pPr>
    </w:p>
    <w:p w14:paraId="08847B92" w14:textId="3190E715" w:rsidR="0016143E" w:rsidRPr="00C30C7D" w:rsidRDefault="0016143E" w:rsidP="00362286">
      <w:pPr>
        <w:pStyle w:val="Sinespaciado"/>
        <w:ind w:left="426" w:right="420"/>
        <w:jc w:val="both"/>
        <w:rPr>
          <w:rFonts w:ascii="Arial" w:hAnsi="Arial" w:cs="Arial"/>
          <w:spacing w:val="12"/>
          <w:sz w:val="22"/>
          <w:szCs w:val="24"/>
        </w:rPr>
      </w:pPr>
      <w:r w:rsidRPr="00C30C7D">
        <w:rPr>
          <w:rFonts w:ascii="Arial" w:hAnsi="Arial" w:cs="Arial"/>
          <w:spacing w:val="12"/>
          <w:sz w:val="22"/>
          <w:szCs w:val="24"/>
        </w:rPr>
        <w:t>“De allí solo surge un concepto jurídico --salario mensual de base-- que se obtiene aplicando dos premisas: 1ª) la centésima parte de la suma de los salarios semanales sobre los cuales cotizó el trabajador en la últimas cien semanas; y 2ª) el producto obtenido de multiplicar ese resultado por el factor 4.33. El factor 4.33 es igualmente otro concepto: la consecuencia de dividir el número de semanas de un año por el número de meses (52/12 = 4.33333333).</w:t>
      </w:r>
    </w:p>
    <w:p w14:paraId="1EFDDD0F" w14:textId="77777777" w:rsidR="002A7CA8" w:rsidRPr="00C30C7D" w:rsidRDefault="002A7CA8" w:rsidP="00362286">
      <w:pPr>
        <w:pStyle w:val="Sinespaciado"/>
        <w:ind w:left="426" w:right="420"/>
        <w:jc w:val="both"/>
        <w:rPr>
          <w:rFonts w:ascii="Arial" w:hAnsi="Arial" w:cs="Arial"/>
          <w:spacing w:val="12"/>
          <w:sz w:val="22"/>
          <w:szCs w:val="24"/>
        </w:rPr>
      </w:pPr>
    </w:p>
    <w:p w14:paraId="5D85367A" w14:textId="4DB0C56E" w:rsidR="0016143E" w:rsidRPr="00C30C7D" w:rsidRDefault="0016143E" w:rsidP="00362286">
      <w:pPr>
        <w:pStyle w:val="Sinespaciado"/>
        <w:ind w:left="426" w:right="420"/>
        <w:jc w:val="both"/>
        <w:rPr>
          <w:rFonts w:ascii="Arial" w:hAnsi="Arial" w:cs="Arial"/>
          <w:spacing w:val="12"/>
          <w:sz w:val="22"/>
          <w:szCs w:val="24"/>
        </w:rPr>
      </w:pPr>
      <w:r w:rsidRPr="00C30C7D">
        <w:rPr>
          <w:rFonts w:ascii="Arial" w:hAnsi="Arial" w:cs="Arial"/>
          <w:spacing w:val="12"/>
          <w:sz w:val="22"/>
          <w:szCs w:val="24"/>
        </w:rPr>
        <w:t>Así se obtiene el primer concepto --el salario mensual de base de liquidación de la pensión--, simplemente, multiplicando los valores de las anotadas premisas. Y al salario mensual de base que allí resulta se le aplica el porcentaje deducido de la cuantía básica, adicionado con los aumentos pertinentes al monto de las cotizaciones sufragadas (3% por cada 50 semanas de cotización cuando se superen las primeras 500) --tasa de reemplazo--, para obtener finalmente el v</w:t>
      </w:r>
      <w:r w:rsidR="00362286" w:rsidRPr="00C30C7D">
        <w:rPr>
          <w:rFonts w:ascii="Arial" w:hAnsi="Arial" w:cs="Arial"/>
          <w:spacing w:val="12"/>
          <w:sz w:val="22"/>
          <w:szCs w:val="24"/>
        </w:rPr>
        <w:t>alor mensual de la pensión”.</w:t>
      </w:r>
    </w:p>
    <w:p w14:paraId="5A87C720" w14:textId="77777777" w:rsidR="0016143E" w:rsidRPr="00C30C7D" w:rsidRDefault="0016143E" w:rsidP="00EB3AF9">
      <w:pPr>
        <w:pStyle w:val="Sinespaciado"/>
        <w:spacing w:line="276" w:lineRule="auto"/>
        <w:ind w:firstLine="708"/>
        <w:jc w:val="both"/>
        <w:rPr>
          <w:rFonts w:ascii="Arial" w:hAnsi="Arial" w:cs="Arial"/>
          <w:spacing w:val="12"/>
          <w:szCs w:val="24"/>
        </w:rPr>
      </w:pPr>
    </w:p>
    <w:p w14:paraId="25EF0A8A" w14:textId="14D8A6FC" w:rsidR="0016143E" w:rsidRPr="00C30C7D" w:rsidRDefault="0016143E" w:rsidP="00EB3AF9">
      <w:pPr>
        <w:pStyle w:val="Sinespaciado"/>
        <w:numPr>
          <w:ilvl w:val="1"/>
          <w:numId w:val="2"/>
        </w:numPr>
        <w:spacing w:line="276" w:lineRule="auto"/>
        <w:ind w:left="1418"/>
        <w:jc w:val="both"/>
        <w:rPr>
          <w:rFonts w:ascii="Arial" w:hAnsi="Arial" w:cs="Arial"/>
          <w:b/>
          <w:bCs/>
          <w:spacing w:val="12"/>
          <w:szCs w:val="24"/>
        </w:rPr>
      </w:pPr>
      <w:r w:rsidRPr="00C30C7D">
        <w:rPr>
          <w:rFonts w:ascii="Arial" w:hAnsi="Arial" w:cs="Arial"/>
          <w:b/>
          <w:bCs/>
          <w:spacing w:val="12"/>
          <w:szCs w:val="24"/>
        </w:rPr>
        <w:t xml:space="preserve">Caso concreto </w:t>
      </w:r>
    </w:p>
    <w:p w14:paraId="5E7429E5" w14:textId="77777777" w:rsidR="003E4E6F" w:rsidRPr="00C30C7D" w:rsidRDefault="003E4E6F" w:rsidP="00EB3AF9">
      <w:pPr>
        <w:pStyle w:val="Sinespaciado"/>
        <w:spacing w:line="276" w:lineRule="auto"/>
        <w:ind w:firstLine="708"/>
        <w:jc w:val="both"/>
        <w:rPr>
          <w:rFonts w:ascii="Arial" w:hAnsi="Arial" w:cs="Arial"/>
          <w:spacing w:val="12"/>
          <w:szCs w:val="24"/>
        </w:rPr>
      </w:pPr>
    </w:p>
    <w:p w14:paraId="29782743" w14:textId="77AF944B" w:rsidR="008914C9" w:rsidRPr="00C30C7D" w:rsidRDefault="001A0A58" w:rsidP="00EB3AF9">
      <w:pPr>
        <w:pStyle w:val="Sinespaciado"/>
        <w:spacing w:line="276" w:lineRule="auto"/>
        <w:ind w:firstLine="708"/>
        <w:jc w:val="both"/>
        <w:rPr>
          <w:rFonts w:ascii="Arial" w:hAnsi="Arial" w:cs="Arial"/>
          <w:spacing w:val="12"/>
          <w:szCs w:val="24"/>
        </w:rPr>
      </w:pPr>
      <w:r w:rsidRPr="00C30C7D">
        <w:rPr>
          <w:rFonts w:ascii="Arial" w:hAnsi="Arial" w:cs="Arial"/>
          <w:spacing w:val="12"/>
          <w:szCs w:val="24"/>
        </w:rPr>
        <w:t>Conforme la competencia en segunda instancia, circunscrita a los puntos de apelación del demandante e</w:t>
      </w:r>
      <w:r w:rsidR="001E1865" w:rsidRPr="00C30C7D">
        <w:rPr>
          <w:rFonts w:ascii="Arial" w:hAnsi="Arial" w:cs="Arial"/>
          <w:spacing w:val="12"/>
          <w:szCs w:val="24"/>
        </w:rPr>
        <w:t xml:space="preserve">ncuentra la Sala que, el tema sometido a su </w:t>
      </w:r>
      <w:r w:rsidRPr="00C30C7D">
        <w:rPr>
          <w:rFonts w:ascii="Arial" w:hAnsi="Arial" w:cs="Arial"/>
          <w:spacing w:val="12"/>
          <w:szCs w:val="24"/>
        </w:rPr>
        <w:t>análisis</w:t>
      </w:r>
      <w:r w:rsidR="001E1865" w:rsidRPr="00C30C7D">
        <w:rPr>
          <w:rFonts w:ascii="Arial" w:hAnsi="Arial" w:cs="Arial"/>
          <w:spacing w:val="12"/>
          <w:szCs w:val="24"/>
        </w:rPr>
        <w:t xml:space="preserve">, consiste en determinar si el actor tiene o no derecho a la reliquidación de su pensión de vejez con el </w:t>
      </w:r>
      <w:r w:rsidR="006071FF" w:rsidRPr="00C30C7D">
        <w:rPr>
          <w:rFonts w:ascii="Arial" w:hAnsi="Arial" w:cs="Arial"/>
          <w:spacing w:val="12"/>
          <w:szCs w:val="24"/>
        </w:rPr>
        <w:t>promedio</w:t>
      </w:r>
      <w:r w:rsidR="001E1865" w:rsidRPr="00C30C7D">
        <w:rPr>
          <w:rFonts w:ascii="Arial" w:hAnsi="Arial" w:cs="Arial"/>
          <w:spacing w:val="12"/>
          <w:szCs w:val="24"/>
        </w:rPr>
        <w:t xml:space="preserve"> de los salarios devengados durante los últimos 10 años y, con una tasa de remplazo del 75%. </w:t>
      </w:r>
    </w:p>
    <w:p w14:paraId="0186EC7E" w14:textId="77777777" w:rsidR="008914C9" w:rsidRPr="00C30C7D" w:rsidRDefault="008914C9" w:rsidP="00EB3AF9">
      <w:pPr>
        <w:pStyle w:val="Sinespaciado"/>
        <w:spacing w:line="276" w:lineRule="auto"/>
        <w:ind w:firstLine="708"/>
        <w:jc w:val="both"/>
        <w:rPr>
          <w:rFonts w:ascii="Arial" w:hAnsi="Arial" w:cs="Arial"/>
          <w:spacing w:val="12"/>
          <w:szCs w:val="24"/>
        </w:rPr>
      </w:pPr>
    </w:p>
    <w:p w14:paraId="302B4543" w14:textId="7BFDE045" w:rsidR="00AD1C01" w:rsidRPr="00C30C7D" w:rsidRDefault="00635841" w:rsidP="00EB3AF9">
      <w:pPr>
        <w:pStyle w:val="Sinespaciado"/>
        <w:spacing w:line="276" w:lineRule="auto"/>
        <w:ind w:firstLine="708"/>
        <w:jc w:val="both"/>
        <w:rPr>
          <w:rFonts w:ascii="Arial" w:hAnsi="Arial" w:cs="Arial"/>
          <w:spacing w:val="12"/>
          <w:szCs w:val="24"/>
        </w:rPr>
      </w:pPr>
      <w:r w:rsidRPr="00C30C7D">
        <w:rPr>
          <w:rFonts w:ascii="Arial" w:hAnsi="Arial" w:cs="Arial"/>
          <w:spacing w:val="12"/>
          <w:szCs w:val="24"/>
        </w:rPr>
        <w:t>Para resolver se tiene que, c</w:t>
      </w:r>
      <w:r w:rsidR="001E1865" w:rsidRPr="00C30C7D">
        <w:rPr>
          <w:rFonts w:ascii="Arial" w:hAnsi="Arial" w:cs="Arial"/>
          <w:spacing w:val="12"/>
          <w:szCs w:val="24"/>
        </w:rPr>
        <w:t xml:space="preserve">onforme a las pruebas documentales </w:t>
      </w:r>
      <w:r w:rsidR="0023791D" w:rsidRPr="00C30C7D">
        <w:rPr>
          <w:rFonts w:ascii="Arial" w:hAnsi="Arial" w:cs="Arial"/>
          <w:spacing w:val="12"/>
          <w:szCs w:val="24"/>
        </w:rPr>
        <w:t xml:space="preserve">aportadas, </w:t>
      </w:r>
      <w:r w:rsidR="001E1865" w:rsidRPr="00C30C7D">
        <w:rPr>
          <w:rFonts w:ascii="Arial" w:hAnsi="Arial" w:cs="Arial"/>
          <w:spacing w:val="12"/>
          <w:szCs w:val="24"/>
        </w:rPr>
        <w:t xml:space="preserve">se tiene acreditado que el Instituto de Seguros Sociales a través de la Resolución No. 03788 de 1992, </w:t>
      </w:r>
      <w:r w:rsidR="0023791D" w:rsidRPr="00C30C7D">
        <w:rPr>
          <w:rFonts w:ascii="Arial" w:hAnsi="Arial" w:cs="Arial"/>
          <w:spacing w:val="12"/>
          <w:szCs w:val="24"/>
        </w:rPr>
        <w:t xml:space="preserve">le concedió al demandante la pensión de vejez, </w:t>
      </w:r>
      <w:r w:rsidR="001E1865" w:rsidRPr="00C30C7D">
        <w:rPr>
          <w:rFonts w:ascii="Arial" w:hAnsi="Arial" w:cs="Arial"/>
          <w:spacing w:val="12"/>
          <w:szCs w:val="24"/>
        </w:rPr>
        <w:t>con fundamento en el Acuerdo 049 de 1990</w:t>
      </w:r>
      <w:r w:rsidR="0023791D" w:rsidRPr="00C30C7D">
        <w:rPr>
          <w:rFonts w:ascii="Arial" w:hAnsi="Arial" w:cs="Arial"/>
          <w:spacing w:val="12"/>
          <w:szCs w:val="24"/>
        </w:rPr>
        <w:t>, a partir del 16 de junio de ese año y en cuantía de $69.282, cuya liquidación se basó en 999 semanas cotizadas</w:t>
      </w:r>
      <w:r w:rsidR="0086689B" w:rsidRPr="00C30C7D">
        <w:rPr>
          <w:rFonts w:ascii="Arial" w:hAnsi="Arial" w:cs="Arial"/>
          <w:spacing w:val="12"/>
          <w:szCs w:val="24"/>
        </w:rPr>
        <w:t xml:space="preserve">, un salario base de $96.225 sobre el cual se aplicó </w:t>
      </w:r>
      <w:r w:rsidR="0023791D" w:rsidRPr="00C30C7D">
        <w:rPr>
          <w:rFonts w:ascii="Arial" w:hAnsi="Arial" w:cs="Arial"/>
          <w:spacing w:val="12"/>
          <w:szCs w:val="24"/>
        </w:rPr>
        <w:t>una tasa de remplazo del 72%</w:t>
      </w:r>
      <w:r w:rsidR="000D62E0" w:rsidRPr="00C30C7D">
        <w:rPr>
          <w:rFonts w:ascii="Arial" w:hAnsi="Arial" w:cs="Arial"/>
          <w:spacing w:val="12"/>
          <w:szCs w:val="24"/>
        </w:rPr>
        <w:t xml:space="preserve">. </w:t>
      </w:r>
    </w:p>
    <w:p w14:paraId="070CEA9E" w14:textId="77777777" w:rsidR="000D62E0" w:rsidRPr="00C30C7D" w:rsidRDefault="000D62E0" w:rsidP="00EB3AF9">
      <w:pPr>
        <w:pStyle w:val="Sinespaciado"/>
        <w:spacing w:line="276" w:lineRule="auto"/>
        <w:ind w:firstLine="708"/>
        <w:jc w:val="both"/>
        <w:rPr>
          <w:rFonts w:ascii="Arial" w:hAnsi="Arial" w:cs="Arial"/>
          <w:spacing w:val="12"/>
          <w:szCs w:val="24"/>
        </w:rPr>
      </w:pPr>
    </w:p>
    <w:p w14:paraId="1591751F" w14:textId="77777777" w:rsidR="0086689B" w:rsidRPr="00C30C7D" w:rsidRDefault="0086689B" w:rsidP="00EB3AF9">
      <w:pPr>
        <w:pStyle w:val="Sinespaciado"/>
        <w:spacing w:line="276" w:lineRule="auto"/>
        <w:ind w:firstLine="708"/>
        <w:jc w:val="both"/>
        <w:rPr>
          <w:rFonts w:ascii="Arial" w:hAnsi="Arial" w:cs="Arial"/>
          <w:spacing w:val="12"/>
          <w:szCs w:val="24"/>
        </w:rPr>
      </w:pPr>
      <w:r w:rsidRPr="00C30C7D">
        <w:rPr>
          <w:rFonts w:ascii="Arial" w:hAnsi="Arial" w:cs="Arial"/>
          <w:spacing w:val="12"/>
          <w:szCs w:val="24"/>
        </w:rPr>
        <w:t xml:space="preserve">Pues bien, para despachar los reproches del recurrente, debe empezar la Sala por precisar que, </w:t>
      </w:r>
      <w:r w:rsidR="00AD1C01" w:rsidRPr="00C30C7D">
        <w:rPr>
          <w:rFonts w:ascii="Arial" w:hAnsi="Arial" w:cs="Arial"/>
          <w:spacing w:val="12"/>
          <w:szCs w:val="24"/>
        </w:rPr>
        <w:t xml:space="preserve">razón le asistió a la entidad </w:t>
      </w:r>
      <w:r w:rsidRPr="00C30C7D">
        <w:rPr>
          <w:rFonts w:ascii="Arial" w:hAnsi="Arial" w:cs="Arial"/>
          <w:spacing w:val="12"/>
          <w:szCs w:val="24"/>
        </w:rPr>
        <w:t xml:space="preserve">demandada </w:t>
      </w:r>
      <w:r w:rsidR="00AD1C01" w:rsidRPr="00C30C7D">
        <w:rPr>
          <w:rFonts w:ascii="Arial" w:hAnsi="Arial" w:cs="Arial"/>
          <w:spacing w:val="12"/>
          <w:szCs w:val="24"/>
        </w:rPr>
        <w:t>al liquidar la pensión de vejez tomando en cuenta las</w:t>
      </w:r>
      <w:r w:rsidRPr="00C30C7D">
        <w:rPr>
          <w:rFonts w:ascii="Arial" w:hAnsi="Arial" w:cs="Arial"/>
          <w:spacing w:val="12"/>
          <w:szCs w:val="24"/>
        </w:rPr>
        <w:t xml:space="preserve"> </w:t>
      </w:r>
      <w:r w:rsidR="00AD1C01" w:rsidRPr="00C30C7D">
        <w:rPr>
          <w:rFonts w:ascii="Arial" w:hAnsi="Arial" w:cs="Arial"/>
          <w:spacing w:val="12"/>
          <w:szCs w:val="24"/>
        </w:rPr>
        <w:t xml:space="preserve">últimas 100 semanas de cotización y el factor 4.33 contemplado en el parágrafo 1° del artículo 20 del referido Acuerdo 049 de 1990, </w:t>
      </w:r>
      <w:r w:rsidRPr="00C30C7D">
        <w:rPr>
          <w:rFonts w:ascii="Arial" w:hAnsi="Arial" w:cs="Arial"/>
          <w:spacing w:val="12"/>
          <w:szCs w:val="24"/>
        </w:rPr>
        <w:t xml:space="preserve">si se tiene en cuenta que la prestación pensional fue concedida por la aplicación directa de dicha disposición normativa y no por aplicación </w:t>
      </w:r>
      <w:r w:rsidR="00044438" w:rsidRPr="00C30C7D">
        <w:rPr>
          <w:rFonts w:ascii="Arial" w:hAnsi="Arial" w:cs="Arial"/>
          <w:spacing w:val="12"/>
          <w:szCs w:val="24"/>
        </w:rPr>
        <w:t xml:space="preserve">del régimen de transición. </w:t>
      </w:r>
    </w:p>
    <w:p w14:paraId="0846ED8F" w14:textId="77777777" w:rsidR="00044438" w:rsidRPr="00C30C7D" w:rsidRDefault="00044438" w:rsidP="00EB3AF9">
      <w:pPr>
        <w:pStyle w:val="Sinespaciado"/>
        <w:spacing w:line="276" w:lineRule="auto"/>
        <w:ind w:firstLine="708"/>
        <w:jc w:val="both"/>
        <w:rPr>
          <w:rFonts w:ascii="Arial" w:hAnsi="Arial" w:cs="Arial"/>
          <w:spacing w:val="12"/>
          <w:szCs w:val="24"/>
        </w:rPr>
      </w:pPr>
    </w:p>
    <w:p w14:paraId="24144721" w14:textId="3D14C347" w:rsidR="00C3716A" w:rsidRPr="00C30C7D" w:rsidRDefault="00044438" w:rsidP="00EB3AF9">
      <w:pPr>
        <w:pStyle w:val="Sinespaciado"/>
        <w:spacing w:line="276" w:lineRule="auto"/>
        <w:ind w:firstLine="708"/>
        <w:jc w:val="both"/>
        <w:rPr>
          <w:rFonts w:ascii="Arial" w:hAnsi="Arial" w:cs="Arial"/>
          <w:spacing w:val="12"/>
          <w:szCs w:val="24"/>
        </w:rPr>
      </w:pPr>
      <w:r w:rsidRPr="00C30C7D">
        <w:rPr>
          <w:rFonts w:ascii="Arial" w:hAnsi="Arial" w:cs="Arial"/>
          <w:spacing w:val="12"/>
          <w:szCs w:val="24"/>
        </w:rPr>
        <w:t xml:space="preserve">De otra parte, </w:t>
      </w:r>
      <w:r w:rsidR="00CE50CD" w:rsidRPr="00C30C7D">
        <w:rPr>
          <w:rFonts w:ascii="Arial" w:hAnsi="Arial" w:cs="Arial"/>
          <w:spacing w:val="12"/>
          <w:szCs w:val="24"/>
        </w:rPr>
        <w:t xml:space="preserve">se </w:t>
      </w:r>
      <w:r w:rsidR="006B604F" w:rsidRPr="00C30C7D">
        <w:rPr>
          <w:rFonts w:ascii="Arial" w:hAnsi="Arial" w:cs="Arial"/>
          <w:spacing w:val="12"/>
          <w:szCs w:val="24"/>
        </w:rPr>
        <w:t xml:space="preserve">tiene según </w:t>
      </w:r>
      <w:r w:rsidR="00CE50CD" w:rsidRPr="00C30C7D">
        <w:rPr>
          <w:rFonts w:ascii="Arial" w:hAnsi="Arial" w:cs="Arial"/>
          <w:spacing w:val="12"/>
          <w:szCs w:val="24"/>
        </w:rPr>
        <w:t xml:space="preserve">el acto administrativo que le reconoció el derecho pensional al actor, que este cotizó </w:t>
      </w:r>
      <w:r w:rsidR="006B604F" w:rsidRPr="00C30C7D">
        <w:rPr>
          <w:rFonts w:ascii="Arial" w:hAnsi="Arial" w:cs="Arial"/>
          <w:spacing w:val="12"/>
          <w:szCs w:val="24"/>
        </w:rPr>
        <w:t xml:space="preserve">al sistema </w:t>
      </w:r>
      <w:r w:rsidR="00CE50CD" w:rsidRPr="00C30C7D">
        <w:rPr>
          <w:rFonts w:ascii="Arial" w:hAnsi="Arial" w:cs="Arial"/>
          <w:spacing w:val="12"/>
          <w:szCs w:val="24"/>
        </w:rPr>
        <w:t xml:space="preserve">un total de 999 semanas </w:t>
      </w:r>
      <w:r w:rsidR="006B604F" w:rsidRPr="00C30C7D">
        <w:rPr>
          <w:rFonts w:ascii="Arial" w:hAnsi="Arial" w:cs="Arial"/>
          <w:spacing w:val="12"/>
          <w:szCs w:val="24"/>
        </w:rPr>
        <w:t xml:space="preserve">de aportes, sin embargo, </w:t>
      </w:r>
      <w:r w:rsidR="00CE50CD" w:rsidRPr="00C30C7D">
        <w:rPr>
          <w:rFonts w:ascii="Arial" w:hAnsi="Arial" w:cs="Arial"/>
          <w:spacing w:val="12"/>
          <w:szCs w:val="24"/>
        </w:rPr>
        <w:t xml:space="preserve">situación distinta se ofrece </w:t>
      </w:r>
      <w:r w:rsidR="006B604F" w:rsidRPr="00C30C7D">
        <w:rPr>
          <w:rFonts w:ascii="Arial" w:hAnsi="Arial" w:cs="Arial"/>
          <w:spacing w:val="12"/>
          <w:szCs w:val="24"/>
        </w:rPr>
        <w:t>de</w:t>
      </w:r>
      <w:r w:rsidR="00CE50CD" w:rsidRPr="00C30C7D">
        <w:rPr>
          <w:rFonts w:ascii="Arial" w:hAnsi="Arial" w:cs="Arial"/>
          <w:spacing w:val="12"/>
          <w:szCs w:val="24"/>
        </w:rPr>
        <w:t xml:space="preserve"> los reportes de semanas cotizadas o historia laboral que obran en físico </w:t>
      </w:r>
      <w:r w:rsidR="00362286" w:rsidRPr="00C30C7D">
        <w:rPr>
          <w:rFonts w:ascii="Arial" w:hAnsi="Arial" w:cs="Arial"/>
          <w:spacing w:val="12"/>
          <w:szCs w:val="24"/>
        </w:rPr>
        <w:t>y en medio magnético -</w:t>
      </w:r>
      <w:r w:rsidR="00844F94" w:rsidRPr="00C30C7D">
        <w:rPr>
          <w:rFonts w:ascii="Arial" w:hAnsi="Arial" w:cs="Arial"/>
          <w:spacing w:val="12"/>
          <w:szCs w:val="24"/>
        </w:rPr>
        <w:t>CD</w:t>
      </w:r>
      <w:r w:rsidR="00C3716A" w:rsidRPr="00C30C7D">
        <w:rPr>
          <w:rFonts w:ascii="Arial" w:hAnsi="Arial" w:cs="Arial"/>
          <w:spacing w:val="12"/>
          <w:szCs w:val="24"/>
        </w:rPr>
        <w:t>-</w:t>
      </w:r>
      <w:r w:rsidR="00844F94" w:rsidRPr="00C30C7D">
        <w:rPr>
          <w:rFonts w:ascii="Arial" w:hAnsi="Arial" w:cs="Arial"/>
          <w:spacing w:val="12"/>
          <w:szCs w:val="24"/>
        </w:rPr>
        <w:t xml:space="preserve"> </w:t>
      </w:r>
      <w:r w:rsidR="00CE50CD" w:rsidRPr="00C30C7D">
        <w:rPr>
          <w:rFonts w:ascii="Arial" w:hAnsi="Arial" w:cs="Arial"/>
          <w:spacing w:val="12"/>
          <w:szCs w:val="24"/>
        </w:rPr>
        <w:t xml:space="preserve">dentro del expediente, ver folios 17, 18 y 89 vto.-, </w:t>
      </w:r>
      <w:r w:rsidR="00844F94" w:rsidRPr="00C30C7D">
        <w:rPr>
          <w:rFonts w:ascii="Arial" w:hAnsi="Arial" w:cs="Arial"/>
          <w:spacing w:val="12"/>
          <w:szCs w:val="24"/>
        </w:rPr>
        <w:t>de los cuales s</w:t>
      </w:r>
      <w:r w:rsidR="00CE50CD" w:rsidRPr="00C30C7D">
        <w:rPr>
          <w:rFonts w:ascii="Arial" w:hAnsi="Arial" w:cs="Arial"/>
          <w:spacing w:val="12"/>
          <w:szCs w:val="24"/>
        </w:rPr>
        <w:t xml:space="preserve">e extrae que el demandante cotizó </w:t>
      </w:r>
      <w:r w:rsidR="00844F94" w:rsidRPr="00C30C7D">
        <w:rPr>
          <w:rFonts w:ascii="Arial" w:hAnsi="Arial" w:cs="Arial"/>
          <w:spacing w:val="12"/>
          <w:szCs w:val="24"/>
        </w:rPr>
        <w:t xml:space="preserve">un total de </w:t>
      </w:r>
      <w:r w:rsidR="00CE50CD" w:rsidRPr="00C30C7D">
        <w:rPr>
          <w:rFonts w:ascii="Arial" w:hAnsi="Arial" w:cs="Arial"/>
          <w:spacing w:val="12"/>
          <w:szCs w:val="24"/>
        </w:rPr>
        <w:t xml:space="preserve">997,71 semanas </w:t>
      </w:r>
      <w:r w:rsidR="00844F94" w:rsidRPr="00C30C7D">
        <w:rPr>
          <w:rFonts w:ascii="Arial" w:hAnsi="Arial" w:cs="Arial"/>
          <w:spacing w:val="12"/>
          <w:szCs w:val="24"/>
        </w:rPr>
        <w:t xml:space="preserve">en toda su vida laboral. </w:t>
      </w:r>
    </w:p>
    <w:p w14:paraId="38F97359" w14:textId="77777777" w:rsidR="00C3716A" w:rsidRPr="00C30C7D" w:rsidRDefault="00C3716A" w:rsidP="00EB3AF9">
      <w:pPr>
        <w:pStyle w:val="Sinespaciado"/>
        <w:spacing w:line="276" w:lineRule="auto"/>
        <w:ind w:firstLine="708"/>
        <w:jc w:val="both"/>
        <w:rPr>
          <w:rFonts w:ascii="Arial" w:hAnsi="Arial" w:cs="Arial"/>
          <w:spacing w:val="12"/>
          <w:szCs w:val="24"/>
        </w:rPr>
      </w:pPr>
    </w:p>
    <w:p w14:paraId="54CB01EC" w14:textId="1959D28E" w:rsidR="00C3716A" w:rsidRPr="00C30C7D" w:rsidRDefault="001A0A58" w:rsidP="00EB3AF9">
      <w:pPr>
        <w:pStyle w:val="Sinespaciado"/>
        <w:spacing w:line="276" w:lineRule="auto"/>
        <w:ind w:firstLine="708"/>
        <w:jc w:val="both"/>
        <w:rPr>
          <w:rFonts w:ascii="Arial" w:hAnsi="Arial" w:cs="Arial"/>
          <w:spacing w:val="12"/>
          <w:szCs w:val="24"/>
        </w:rPr>
      </w:pPr>
      <w:r w:rsidRPr="00C30C7D">
        <w:rPr>
          <w:rFonts w:ascii="Arial" w:hAnsi="Arial" w:cs="Arial"/>
          <w:spacing w:val="12"/>
          <w:szCs w:val="24"/>
        </w:rPr>
        <w:t>Así las cosas</w:t>
      </w:r>
      <w:r w:rsidR="00C3716A" w:rsidRPr="00C30C7D">
        <w:rPr>
          <w:rFonts w:ascii="Arial" w:hAnsi="Arial" w:cs="Arial"/>
          <w:spacing w:val="12"/>
          <w:szCs w:val="24"/>
        </w:rPr>
        <w:t xml:space="preserve">, </w:t>
      </w:r>
      <w:r w:rsidRPr="00C30C7D">
        <w:rPr>
          <w:rFonts w:ascii="Arial" w:hAnsi="Arial" w:cs="Arial"/>
          <w:spacing w:val="12"/>
          <w:szCs w:val="24"/>
        </w:rPr>
        <w:t xml:space="preserve">teniendo en cuenta </w:t>
      </w:r>
      <w:r w:rsidR="00844F94" w:rsidRPr="00C30C7D">
        <w:rPr>
          <w:rFonts w:ascii="Arial" w:hAnsi="Arial" w:cs="Arial"/>
          <w:spacing w:val="12"/>
          <w:szCs w:val="24"/>
        </w:rPr>
        <w:t xml:space="preserve">los periodos que </w:t>
      </w:r>
      <w:r w:rsidR="00C3716A" w:rsidRPr="00C30C7D">
        <w:rPr>
          <w:rFonts w:ascii="Arial" w:hAnsi="Arial" w:cs="Arial"/>
          <w:spacing w:val="12"/>
          <w:szCs w:val="24"/>
        </w:rPr>
        <w:t>fueron efectivamente cotizados</w:t>
      </w:r>
      <w:r w:rsidR="006B604F" w:rsidRPr="00C30C7D">
        <w:rPr>
          <w:rFonts w:ascii="Arial" w:hAnsi="Arial" w:cs="Arial"/>
          <w:spacing w:val="12"/>
          <w:szCs w:val="24"/>
        </w:rPr>
        <w:t>,</w:t>
      </w:r>
      <w:r w:rsidR="00C3716A" w:rsidRPr="00C30C7D">
        <w:rPr>
          <w:rFonts w:ascii="Arial" w:hAnsi="Arial" w:cs="Arial"/>
          <w:spacing w:val="12"/>
          <w:szCs w:val="24"/>
        </w:rPr>
        <w:t xml:space="preserve"> </w:t>
      </w:r>
      <w:r w:rsidR="006B604F" w:rsidRPr="00C30C7D">
        <w:rPr>
          <w:rFonts w:ascii="Arial" w:hAnsi="Arial" w:cs="Arial"/>
          <w:spacing w:val="12"/>
          <w:szCs w:val="24"/>
        </w:rPr>
        <w:t xml:space="preserve">esto es, </w:t>
      </w:r>
      <w:r w:rsidR="00C3716A" w:rsidRPr="00C30C7D">
        <w:rPr>
          <w:rFonts w:ascii="Arial" w:hAnsi="Arial" w:cs="Arial"/>
          <w:spacing w:val="12"/>
          <w:szCs w:val="24"/>
        </w:rPr>
        <w:t xml:space="preserve">del 01 de junio de 1971 al 30 de septiembre de 1977; del 26 de diciembre de 1977 al 15 de junio de 1978 y, del 18 de junio de 1978 al 11 de octubre de 1990, </w:t>
      </w:r>
      <w:r w:rsidR="006B604F" w:rsidRPr="00C30C7D">
        <w:rPr>
          <w:rFonts w:ascii="Arial" w:hAnsi="Arial" w:cs="Arial"/>
          <w:spacing w:val="12"/>
          <w:szCs w:val="24"/>
        </w:rPr>
        <w:t>se colige con claridad que en realidad el actor cotizó al sistema un total de 997.71 semanas de aportes, sin embargo, en uno u otro evento, la tasa de liquidación sería del 72% sobre el salario base.</w:t>
      </w:r>
    </w:p>
    <w:p w14:paraId="0B15A224" w14:textId="77777777" w:rsidR="00C3716A" w:rsidRPr="00C30C7D" w:rsidRDefault="00C3716A" w:rsidP="00EB3AF9">
      <w:pPr>
        <w:pStyle w:val="Sinespaciado"/>
        <w:spacing w:line="276" w:lineRule="auto"/>
        <w:ind w:firstLine="708"/>
        <w:jc w:val="both"/>
        <w:rPr>
          <w:rFonts w:ascii="Arial" w:hAnsi="Arial" w:cs="Arial"/>
          <w:spacing w:val="12"/>
          <w:szCs w:val="24"/>
        </w:rPr>
      </w:pPr>
    </w:p>
    <w:p w14:paraId="57F9E5AA" w14:textId="3F5C4690" w:rsidR="00D21AA2" w:rsidRPr="00C30C7D" w:rsidRDefault="006B604F" w:rsidP="00EB3AF9">
      <w:pPr>
        <w:pStyle w:val="Sinespaciado"/>
        <w:spacing w:line="276" w:lineRule="auto"/>
        <w:ind w:firstLine="708"/>
        <w:jc w:val="both"/>
        <w:rPr>
          <w:rFonts w:ascii="Arial" w:hAnsi="Arial" w:cs="Arial"/>
          <w:spacing w:val="12"/>
          <w:szCs w:val="24"/>
        </w:rPr>
      </w:pPr>
      <w:r w:rsidRPr="00C30C7D">
        <w:rPr>
          <w:rFonts w:ascii="Arial" w:hAnsi="Arial" w:cs="Arial"/>
          <w:spacing w:val="12"/>
          <w:szCs w:val="24"/>
        </w:rPr>
        <w:t>Aclarado lo anterior, se procederá a verificar si la liquidación efectuada con base en lo establecido en el parágrafo 1º del artículo 20 del Acuerdo 049 de 1990, fue correctamente realizada por el juzgado de conocimiento. Al respecto, según se evidencia en la tabla que se pone de presente a los asistentes y que hará parte integrante del acta que se levante con ocasión de esta audiencia</w:t>
      </w:r>
      <w:r w:rsidR="00F7511F" w:rsidRPr="00C30C7D">
        <w:rPr>
          <w:rFonts w:ascii="Arial" w:hAnsi="Arial" w:cs="Arial"/>
          <w:spacing w:val="12"/>
          <w:szCs w:val="24"/>
        </w:rPr>
        <w:t xml:space="preserve">, el valor de la primera mesada pensional del actor para el año 1992 asciende a </w:t>
      </w:r>
      <w:r w:rsidR="00D21AA2" w:rsidRPr="00C30C7D">
        <w:rPr>
          <w:rFonts w:ascii="Arial" w:hAnsi="Arial" w:cs="Arial"/>
          <w:spacing w:val="12"/>
          <w:szCs w:val="24"/>
        </w:rPr>
        <w:t xml:space="preserve">$69.209, suma </w:t>
      </w:r>
      <w:r w:rsidR="4C1F4494" w:rsidRPr="00C30C7D">
        <w:rPr>
          <w:rFonts w:ascii="Arial" w:hAnsi="Arial" w:cs="Arial"/>
          <w:spacing w:val="12"/>
          <w:szCs w:val="24"/>
        </w:rPr>
        <w:t xml:space="preserve">inferior </w:t>
      </w:r>
      <w:r w:rsidR="00D21AA2" w:rsidRPr="00C30C7D">
        <w:rPr>
          <w:rFonts w:ascii="Arial" w:hAnsi="Arial" w:cs="Arial"/>
          <w:spacing w:val="12"/>
          <w:szCs w:val="24"/>
        </w:rPr>
        <w:t>a la reconocida por la entidad demandada en la Resolución 03788 de 1992 por valor de $69.282.</w:t>
      </w:r>
    </w:p>
    <w:p w14:paraId="28EC9981" w14:textId="77777777" w:rsidR="00D21AA2" w:rsidRPr="00C30C7D" w:rsidRDefault="00D21AA2" w:rsidP="00EB3AF9">
      <w:pPr>
        <w:pStyle w:val="Sinespaciado"/>
        <w:spacing w:line="276" w:lineRule="auto"/>
        <w:ind w:firstLine="708"/>
        <w:jc w:val="both"/>
        <w:rPr>
          <w:rFonts w:ascii="Arial" w:hAnsi="Arial" w:cs="Arial"/>
          <w:spacing w:val="12"/>
          <w:szCs w:val="24"/>
        </w:rPr>
      </w:pPr>
    </w:p>
    <w:p w14:paraId="17C9AF2D" w14:textId="5352F6AD" w:rsidR="00D21AA2" w:rsidRPr="00C30C7D" w:rsidRDefault="00301737" w:rsidP="00EB3AF9">
      <w:pPr>
        <w:pStyle w:val="Sinespaciado"/>
        <w:spacing w:line="276" w:lineRule="auto"/>
        <w:ind w:firstLine="708"/>
        <w:jc w:val="both"/>
        <w:rPr>
          <w:rFonts w:ascii="Arial" w:hAnsi="Arial" w:cs="Arial"/>
          <w:spacing w:val="12"/>
          <w:szCs w:val="24"/>
        </w:rPr>
      </w:pPr>
      <w:r w:rsidRPr="00C30C7D">
        <w:rPr>
          <w:rFonts w:ascii="Arial" w:hAnsi="Arial" w:cs="Arial"/>
          <w:spacing w:val="12"/>
          <w:szCs w:val="24"/>
        </w:rPr>
        <w:t>En ese orden de ideas, se colige que la sentenciadora de primer grado no se equivocó al concluir que la pensión de vejez del actor fue liquidada en forma correcta, según las voces del parágrafo 1° del artículo 20 del Acuerdo 049 de 1990, y que por ende, no procede la reliquidación pretendida</w:t>
      </w:r>
      <w:r w:rsidR="001A0A58" w:rsidRPr="00C30C7D">
        <w:rPr>
          <w:rFonts w:ascii="Arial" w:hAnsi="Arial" w:cs="Arial"/>
          <w:spacing w:val="12"/>
          <w:szCs w:val="24"/>
        </w:rPr>
        <w:t>; adicionalmente porque al revisar los argumentos de la alzada,</w:t>
      </w:r>
      <w:r w:rsidR="007E0342" w:rsidRPr="00C30C7D">
        <w:rPr>
          <w:rFonts w:ascii="Arial" w:hAnsi="Arial" w:cs="Arial"/>
          <w:spacing w:val="12"/>
          <w:szCs w:val="24"/>
        </w:rPr>
        <w:t xml:space="preserve"> y siendo suya la carga de la prueba, se observa que </w:t>
      </w:r>
      <w:r w:rsidR="001A0A58" w:rsidRPr="00C30C7D">
        <w:rPr>
          <w:rFonts w:ascii="Arial" w:hAnsi="Arial" w:cs="Arial"/>
          <w:spacing w:val="12"/>
          <w:szCs w:val="24"/>
        </w:rPr>
        <w:t>la activa se limit</w:t>
      </w:r>
      <w:r w:rsidR="007E0342" w:rsidRPr="00C30C7D">
        <w:rPr>
          <w:rFonts w:ascii="Arial" w:hAnsi="Arial" w:cs="Arial"/>
          <w:spacing w:val="12"/>
          <w:szCs w:val="24"/>
        </w:rPr>
        <w:t>ó</w:t>
      </w:r>
      <w:r w:rsidR="001A0A58" w:rsidRPr="00C30C7D">
        <w:rPr>
          <w:rFonts w:ascii="Arial" w:hAnsi="Arial" w:cs="Arial"/>
          <w:spacing w:val="12"/>
          <w:szCs w:val="24"/>
        </w:rPr>
        <w:t xml:space="preserve"> a afirmar </w:t>
      </w:r>
      <w:r w:rsidR="004422E0" w:rsidRPr="00C30C7D">
        <w:rPr>
          <w:rFonts w:ascii="Arial" w:hAnsi="Arial" w:cs="Arial"/>
          <w:spacing w:val="12"/>
          <w:szCs w:val="24"/>
        </w:rPr>
        <w:t xml:space="preserve">genéricamente que la pensión fue deficitariamente liquidada </w:t>
      </w:r>
      <w:r w:rsidR="001A0A58" w:rsidRPr="00C30C7D">
        <w:rPr>
          <w:rFonts w:ascii="Arial" w:hAnsi="Arial" w:cs="Arial"/>
          <w:spacing w:val="12"/>
          <w:szCs w:val="24"/>
        </w:rPr>
        <w:t xml:space="preserve">sin </w:t>
      </w:r>
      <w:r w:rsidR="00F04124" w:rsidRPr="00C30C7D">
        <w:rPr>
          <w:rFonts w:ascii="Arial" w:hAnsi="Arial" w:cs="Arial"/>
          <w:spacing w:val="12"/>
          <w:szCs w:val="24"/>
        </w:rPr>
        <w:t xml:space="preserve">ocuparse de manera por lo menos sumaria de indicar cuáles son los elementos fácticos o jurídicos que llevaron </w:t>
      </w:r>
      <w:r w:rsidR="007E0342" w:rsidRPr="00C30C7D">
        <w:rPr>
          <w:rFonts w:ascii="Arial" w:hAnsi="Arial" w:cs="Arial"/>
          <w:spacing w:val="12"/>
          <w:szCs w:val="24"/>
        </w:rPr>
        <w:t xml:space="preserve">a un cálculo errático que deban ser corregidos en sede de instancia, razones por las que sin más consideraciones la </w:t>
      </w:r>
      <w:r w:rsidR="00635841" w:rsidRPr="00C30C7D">
        <w:rPr>
          <w:rFonts w:ascii="Arial" w:hAnsi="Arial" w:cs="Arial"/>
          <w:spacing w:val="12"/>
          <w:szCs w:val="24"/>
        </w:rPr>
        <w:t>S</w:t>
      </w:r>
      <w:r w:rsidR="007E0342" w:rsidRPr="00C30C7D">
        <w:rPr>
          <w:rFonts w:ascii="Arial" w:hAnsi="Arial" w:cs="Arial"/>
          <w:spacing w:val="12"/>
          <w:szCs w:val="24"/>
        </w:rPr>
        <w:t xml:space="preserve">ala </w:t>
      </w:r>
      <w:r w:rsidR="007E0342" w:rsidRPr="00C30C7D">
        <w:rPr>
          <w:rFonts w:ascii="Arial" w:hAnsi="Arial" w:cs="Arial"/>
          <w:b/>
          <w:bCs/>
          <w:spacing w:val="12"/>
          <w:szCs w:val="24"/>
        </w:rPr>
        <w:t xml:space="preserve">CONFIRMARÁ </w:t>
      </w:r>
      <w:r w:rsidR="007E0342" w:rsidRPr="00C30C7D">
        <w:rPr>
          <w:rFonts w:ascii="Arial" w:hAnsi="Arial" w:cs="Arial"/>
          <w:spacing w:val="12"/>
          <w:szCs w:val="24"/>
        </w:rPr>
        <w:t xml:space="preserve">en su integridad la sentencia venida en apelación </w:t>
      </w:r>
    </w:p>
    <w:p w14:paraId="23B0D68F" w14:textId="77777777" w:rsidR="00301737" w:rsidRPr="00C30C7D" w:rsidRDefault="00301737" w:rsidP="00EB3AF9">
      <w:pPr>
        <w:pStyle w:val="Sinespaciado"/>
        <w:spacing w:line="276" w:lineRule="auto"/>
        <w:ind w:firstLine="708"/>
        <w:jc w:val="both"/>
        <w:rPr>
          <w:rFonts w:ascii="Arial" w:hAnsi="Arial" w:cs="Arial"/>
          <w:spacing w:val="12"/>
          <w:szCs w:val="24"/>
        </w:rPr>
      </w:pPr>
    </w:p>
    <w:p w14:paraId="5223FDB2" w14:textId="77777777" w:rsidR="007861EB" w:rsidRPr="00C30C7D" w:rsidRDefault="00301737" w:rsidP="00EB3AF9">
      <w:pPr>
        <w:pStyle w:val="Sinespaciado"/>
        <w:spacing w:line="276" w:lineRule="auto"/>
        <w:ind w:firstLine="708"/>
        <w:jc w:val="both"/>
        <w:rPr>
          <w:rFonts w:ascii="Arial" w:hAnsi="Arial" w:cs="Arial"/>
          <w:spacing w:val="12"/>
          <w:szCs w:val="24"/>
        </w:rPr>
      </w:pPr>
      <w:r w:rsidRPr="00C30C7D">
        <w:rPr>
          <w:rFonts w:ascii="Arial" w:hAnsi="Arial" w:cs="Arial"/>
          <w:spacing w:val="12"/>
          <w:szCs w:val="24"/>
        </w:rPr>
        <w:t xml:space="preserve">Costas en esta instancia a cargo de la parte actora, dada la </w:t>
      </w:r>
      <w:proofErr w:type="spellStart"/>
      <w:r w:rsidRPr="00C30C7D">
        <w:rPr>
          <w:rFonts w:ascii="Arial" w:hAnsi="Arial" w:cs="Arial"/>
          <w:spacing w:val="12"/>
          <w:szCs w:val="24"/>
        </w:rPr>
        <w:t>improsperidad</w:t>
      </w:r>
      <w:proofErr w:type="spellEnd"/>
      <w:r w:rsidRPr="00C30C7D">
        <w:rPr>
          <w:rFonts w:ascii="Arial" w:hAnsi="Arial" w:cs="Arial"/>
          <w:spacing w:val="12"/>
          <w:szCs w:val="24"/>
        </w:rPr>
        <w:t xml:space="preserve"> </w:t>
      </w:r>
      <w:r w:rsidR="00C27707" w:rsidRPr="00C30C7D">
        <w:rPr>
          <w:rFonts w:ascii="Arial" w:hAnsi="Arial" w:cs="Arial"/>
          <w:spacing w:val="12"/>
          <w:szCs w:val="24"/>
        </w:rPr>
        <w:t>del recurso</w:t>
      </w:r>
      <w:r w:rsidRPr="00C30C7D">
        <w:rPr>
          <w:rFonts w:ascii="Arial" w:hAnsi="Arial" w:cs="Arial"/>
          <w:spacing w:val="12"/>
          <w:szCs w:val="24"/>
        </w:rPr>
        <w:t xml:space="preserve">. </w:t>
      </w:r>
    </w:p>
    <w:p w14:paraId="49C87606" w14:textId="77777777" w:rsidR="007861EB" w:rsidRPr="00C30C7D" w:rsidRDefault="007861EB" w:rsidP="00EB3AF9">
      <w:pPr>
        <w:pStyle w:val="Sinespaciado"/>
        <w:spacing w:line="276" w:lineRule="auto"/>
        <w:ind w:firstLine="708"/>
        <w:jc w:val="both"/>
        <w:rPr>
          <w:rFonts w:ascii="Arial" w:hAnsi="Arial" w:cs="Arial"/>
          <w:spacing w:val="12"/>
          <w:szCs w:val="24"/>
        </w:rPr>
      </w:pPr>
    </w:p>
    <w:p w14:paraId="54953D86" w14:textId="77777777" w:rsidR="00635841" w:rsidRPr="00C30C7D" w:rsidRDefault="00635841" w:rsidP="00EB3AF9">
      <w:pPr>
        <w:pStyle w:val="Sinespaciado"/>
        <w:spacing w:line="276" w:lineRule="auto"/>
        <w:ind w:firstLine="708"/>
        <w:jc w:val="both"/>
        <w:rPr>
          <w:rFonts w:ascii="Arial" w:hAnsi="Arial" w:cs="Arial"/>
          <w:b/>
          <w:bCs/>
          <w:spacing w:val="12"/>
          <w:szCs w:val="24"/>
        </w:rPr>
      </w:pPr>
      <w:r w:rsidRPr="00C30C7D">
        <w:rPr>
          <w:rFonts w:ascii="Arial" w:hAnsi="Arial" w:cs="Arial"/>
          <w:b/>
          <w:bCs/>
          <w:spacing w:val="12"/>
          <w:szCs w:val="24"/>
        </w:rPr>
        <w:lastRenderedPageBreak/>
        <w:t>VI. DECISIÓN.</w:t>
      </w:r>
      <w:r w:rsidRPr="00C30C7D">
        <w:rPr>
          <w:rFonts w:ascii="Arial" w:hAnsi="Arial" w:cs="Arial"/>
          <w:b/>
          <w:bCs/>
          <w:spacing w:val="12"/>
          <w:szCs w:val="24"/>
        </w:rPr>
        <w:tab/>
      </w:r>
    </w:p>
    <w:p w14:paraId="76027F91" w14:textId="77777777" w:rsidR="00635841" w:rsidRPr="00C30C7D" w:rsidRDefault="00635841" w:rsidP="00EB3AF9">
      <w:pPr>
        <w:pStyle w:val="Sinespaciado"/>
        <w:spacing w:line="276" w:lineRule="auto"/>
        <w:ind w:firstLine="708"/>
        <w:jc w:val="both"/>
        <w:rPr>
          <w:rFonts w:ascii="Arial" w:hAnsi="Arial" w:cs="Arial"/>
          <w:spacing w:val="12"/>
          <w:szCs w:val="24"/>
        </w:rPr>
      </w:pPr>
    </w:p>
    <w:p w14:paraId="2A648E49" w14:textId="7C662766" w:rsidR="003E4E6F" w:rsidRPr="00C30C7D" w:rsidRDefault="003E4E6F" w:rsidP="00EB3AF9">
      <w:pPr>
        <w:pStyle w:val="Sinespaciado"/>
        <w:spacing w:line="276" w:lineRule="auto"/>
        <w:ind w:firstLine="708"/>
        <w:jc w:val="both"/>
        <w:rPr>
          <w:rFonts w:ascii="Arial" w:hAnsi="Arial" w:cs="Arial"/>
          <w:spacing w:val="12"/>
          <w:szCs w:val="24"/>
        </w:rPr>
      </w:pPr>
      <w:r w:rsidRPr="00C30C7D">
        <w:rPr>
          <w:rFonts w:ascii="Arial" w:hAnsi="Arial" w:cs="Arial"/>
          <w:spacing w:val="12"/>
          <w:szCs w:val="24"/>
        </w:rPr>
        <w:t>En mérito de lo expuesto, la Sala Cuarta de Decisión Laboral del Tribunal Superior del Distrito Judicial de Pereira - Risaralda, administrando justicia en nombre de la República y por autoridad de la ley,</w:t>
      </w:r>
    </w:p>
    <w:p w14:paraId="6EB352A5" w14:textId="77777777" w:rsidR="003E4E6F" w:rsidRPr="00C30C7D" w:rsidRDefault="003E4E6F" w:rsidP="00EB3AF9">
      <w:pPr>
        <w:pStyle w:val="Sinespaciado"/>
        <w:spacing w:line="276" w:lineRule="auto"/>
        <w:ind w:firstLine="708"/>
        <w:jc w:val="both"/>
        <w:rPr>
          <w:rFonts w:ascii="Arial" w:hAnsi="Arial" w:cs="Arial"/>
          <w:b/>
          <w:bCs/>
          <w:spacing w:val="12"/>
          <w:szCs w:val="24"/>
        </w:rPr>
      </w:pPr>
    </w:p>
    <w:p w14:paraId="0B1D6F32" w14:textId="58E4E645" w:rsidR="003E4E6F" w:rsidRPr="00C30C7D" w:rsidRDefault="001A0A58" w:rsidP="00EB3AF9">
      <w:pPr>
        <w:pStyle w:val="Sinespaciado"/>
        <w:spacing w:line="276" w:lineRule="auto"/>
        <w:ind w:left="2832" w:firstLine="708"/>
        <w:jc w:val="both"/>
        <w:rPr>
          <w:rFonts w:ascii="Arial" w:hAnsi="Arial" w:cs="Arial"/>
          <w:b/>
          <w:bCs/>
          <w:spacing w:val="12"/>
          <w:szCs w:val="24"/>
        </w:rPr>
      </w:pPr>
      <w:r w:rsidRPr="00C30C7D">
        <w:rPr>
          <w:rFonts w:ascii="Arial" w:hAnsi="Arial" w:cs="Arial"/>
          <w:b/>
          <w:bCs/>
          <w:spacing w:val="12"/>
          <w:szCs w:val="24"/>
        </w:rPr>
        <w:t>RESUELVE</w:t>
      </w:r>
      <w:r w:rsidR="00635841" w:rsidRPr="00C30C7D">
        <w:rPr>
          <w:rFonts w:ascii="Arial" w:hAnsi="Arial" w:cs="Arial"/>
          <w:b/>
          <w:bCs/>
          <w:spacing w:val="12"/>
          <w:szCs w:val="24"/>
        </w:rPr>
        <w:t>:</w:t>
      </w:r>
    </w:p>
    <w:p w14:paraId="4F325FBE" w14:textId="77777777" w:rsidR="001A0A58" w:rsidRPr="00C30C7D" w:rsidRDefault="001A0A58" w:rsidP="00EB3AF9">
      <w:pPr>
        <w:pStyle w:val="Sinespaciado"/>
        <w:spacing w:line="276" w:lineRule="auto"/>
        <w:ind w:firstLine="708"/>
        <w:jc w:val="both"/>
        <w:rPr>
          <w:rFonts w:ascii="Arial" w:hAnsi="Arial" w:cs="Arial"/>
          <w:b/>
          <w:bCs/>
          <w:spacing w:val="12"/>
          <w:szCs w:val="24"/>
        </w:rPr>
      </w:pPr>
    </w:p>
    <w:p w14:paraId="033F883E" w14:textId="5DC0AAEF" w:rsidR="003E4E6F" w:rsidRPr="00C30C7D" w:rsidRDefault="00635841" w:rsidP="00EB3AF9">
      <w:pPr>
        <w:pStyle w:val="Sinespaciado"/>
        <w:spacing w:line="276" w:lineRule="auto"/>
        <w:ind w:firstLine="708"/>
        <w:jc w:val="both"/>
        <w:rPr>
          <w:rFonts w:ascii="Arial" w:hAnsi="Arial" w:cs="Arial"/>
          <w:spacing w:val="12"/>
          <w:szCs w:val="24"/>
        </w:rPr>
      </w:pPr>
      <w:r w:rsidRPr="00C30C7D">
        <w:rPr>
          <w:rFonts w:ascii="Arial" w:hAnsi="Arial" w:cs="Arial"/>
          <w:b/>
          <w:bCs/>
          <w:spacing w:val="12"/>
          <w:szCs w:val="24"/>
        </w:rPr>
        <w:t>PRIMERO:</w:t>
      </w:r>
      <w:r w:rsidR="003E4E6F" w:rsidRPr="00C30C7D">
        <w:rPr>
          <w:rFonts w:ascii="Arial" w:hAnsi="Arial" w:cs="Arial"/>
          <w:b/>
          <w:bCs/>
          <w:spacing w:val="12"/>
          <w:szCs w:val="24"/>
        </w:rPr>
        <w:t xml:space="preserve"> </w:t>
      </w:r>
      <w:r w:rsidR="005C5687" w:rsidRPr="00C30C7D">
        <w:rPr>
          <w:rFonts w:ascii="Arial" w:hAnsi="Arial" w:cs="Arial"/>
          <w:b/>
          <w:bCs/>
          <w:spacing w:val="12"/>
          <w:szCs w:val="24"/>
        </w:rPr>
        <w:t xml:space="preserve">CONFIRMAR </w:t>
      </w:r>
      <w:r w:rsidR="003E4E6F" w:rsidRPr="00C30C7D">
        <w:rPr>
          <w:rFonts w:ascii="Arial" w:hAnsi="Arial" w:cs="Arial"/>
          <w:spacing w:val="12"/>
          <w:szCs w:val="24"/>
        </w:rPr>
        <w:t xml:space="preserve">la sentencia proferida el </w:t>
      </w:r>
      <w:r w:rsidR="00301737" w:rsidRPr="00C30C7D">
        <w:rPr>
          <w:rFonts w:ascii="Arial" w:hAnsi="Arial" w:cs="Arial"/>
          <w:spacing w:val="12"/>
          <w:szCs w:val="24"/>
        </w:rPr>
        <w:t xml:space="preserve">25 de junio de </w:t>
      </w:r>
      <w:r w:rsidR="003E4E6F" w:rsidRPr="00C30C7D">
        <w:rPr>
          <w:rFonts w:ascii="Arial" w:hAnsi="Arial" w:cs="Arial"/>
          <w:spacing w:val="12"/>
          <w:szCs w:val="24"/>
        </w:rPr>
        <w:t xml:space="preserve">2019 por el Juzgado </w:t>
      </w:r>
      <w:r w:rsidR="00301737" w:rsidRPr="00C30C7D">
        <w:rPr>
          <w:rFonts w:ascii="Arial" w:hAnsi="Arial" w:cs="Arial"/>
          <w:spacing w:val="12"/>
          <w:szCs w:val="24"/>
        </w:rPr>
        <w:t>Cuarto</w:t>
      </w:r>
      <w:r w:rsidR="003E4E6F" w:rsidRPr="00C30C7D">
        <w:rPr>
          <w:rFonts w:ascii="Arial" w:hAnsi="Arial" w:cs="Arial"/>
          <w:spacing w:val="12"/>
          <w:szCs w:val="24"/>
        </w:rPr>
        <w:t xml:space="preserve"> Laboral del Circuito de Pereira, dentro del proceso ordinario laboral de la referencia, por lo expuesto en la parte considerativa. </w:t>
      </w:r>
    </w:p>
    <w:p w14:paraId="375A530B" w14:textId="77777777" w:rsidR="003E4E6F" w:rsidRPr="00C30C7D" w:rsidRDefault="003E4E6F" w:rsidP="00EB3AF9">
      <w:pPr>
        <w:pStyle w:val="Sinespaciado"/>
        <w:spacing w:line="276" w:lineRule="auto"/>
        <w:ind w:firstLine="708"/>
        <w:jc w:val="both"/>
        <w:rPr>
          <w:rFonts w:ascii="Arial" w:hAnsi="Arial" w:cs="Arial"/>
          <w:spacing w:val="12"/>
          <w:szCs w:val="24"/>
        </w:rPr>
      </w:pPr>
    </w:p>
    <w:p w14:paraId="1F30A065" w14:textId="25717F8D" w:rsidR="003E4E6F" w:rsidRPr="00C30C7D" w:rsidRDefault="00635841" w:rsidP="00EB3AF9">
      <w:pPr>
        <w:pStyle w:val="Sinespaciado"/>
        <w:spacing w:line="276" w:lineRule="auto"/>
        <w:ind w:firstLine="708"/>
        <w:jc w:val="both"/>
        <w:rPr>
          <w:rFonts w:ascii="Arial" w:hAnsi="Arial" w:cs="Arial"/>
          <w:spacing w:val="12"/>
          <w:szCs w:val="24"/>
        </w:rPr>
      </w:pPr>
      <w:r w:rsidRPr="00C30C7D">
        <w:rPr>
          <w:rFonts w:ascii="Arial" w:hAnsi="Arial" w:cs="Arial"/>
          <w:b/>
          <w:bCs/>
          <w:spacing w:val="12"/>
          <w:szCs w:val="24"/>
        </w:rPr>
        <w:t>SEGUNDO:</w:t>
      </w:r>
      <w:r w:rsidRPr="00C30C7D">
        <w:rPr>
          <w:rFonts w:ascii="Arial" w:hAnsi="Arial" w:cs="Arial"/>
          <w:spacing w:val="12"/>
          <w:szCs w:val="24"/>
        </w:rPr>
        <w:t xml:space="preserve"> </w:t>
      </w:r>
      <w:r w:rsidR="003E4E6F" w:rsidRPr="00C30C7D">
        <w:rPr>
          <w:rFonts w:ascii="Arial" w:hAnsi="Arial" w:cs="Arial"/>
          <w:spacing w:val="12"/>
          <w:szCs w:val="24"/>
        </w:rPr>
        <w:t>Costas</w:t>
      </w:r>
      <w:r w:rsidR="00301737" w:rsidRPr="00C30C7D">
        <w:rPr>
          <w:rFonts w:ascii="Arial" w:hAnsi="Arial" w:cs="Arial"/>
          <w:spacing w:val="12"/>
          <w:szCs w:val="24"/>
        </w:rPr>
        <w:t xml:space="preserve"> en esta instancia a cargo del </w:t>
      </w:r>
      <w:r w:rsidR="003E4E6F" w:rsidRPr="00C30C7D">
        <w:rPr>
          <w:rFonts w:ascii="Arial" w:hAnsi="Arial" w:cs="Arial"/>
          <w:spacing w:val="12"/>
          <w:szCs w:val="24"/>
        </w:rPr>
        <w:t xml:space="preserve">apelante.  </w:t>
      </w:r>
    </w:p>
    <w:p w14:paraId="2786138A" w14:textId="77777777" w:rsidR="003E4E6F" w:rsidRPr="00C30C7D" w:rsidRDefault="003E4E6F" w:rsidP="00EB3AF9">
      <w:pPr>
        <w:pStyle w:val="Sinespaciado"/>
        <w:spacing w:line="276" w:lineRule="auto"/>
        <w:ind w:firstLine="708"/>
        <w:jc w:val="both"/>
        <w:rPr>
          <w:rFonts w:ascii="Arial" w:hAnsi="Arial" w:cs="Arial"/>
          <w:spacing w:val="12"/>
          <w:szCs w:val="24"/>
        </w:rPr>
      </w:pPr>
    </w:p>
    <w:p w14:paraId="5DA86E99" w14:textId="71AC5619" w:rsidR="003E4E6F" w:rsidRPr="00C30C7D" w:rsidRDefault="003E4E6F" w:rsidP="00EB3AF9">
      <w:pPr>
        <w:pStyle w:val="Sinespaciado"/>
        <w:spacing w:line="276" w:lineRule="auto"/>
        <w:ind w:firstLine="708"/>
        <w:jc w:val="both"/>
        <w:rPr>
          <w:rFonts w:ascii="Arial" w:hAnsi="Arial" w:cs="Arial"/>
          <w:b/>
          <w:bCs/>
          <w:spacing w:val="12"/>
          <w:szCs w:val="24"/>
        </w:rPr>
      </w:pPr>
      <w:r w:rsidRPr="00C30C7D">
        <w:rPr>
          <w:rFonts w:ascii="Arial" w:hAnsi="Arial" w:cs="Arial"/>
          <w:b/>
          <w:bCs/>
          <w:spacing w:val="12"/>
          <w:szCs w:val="24"/>
        </w:rPr>
        <w:t>NOTIFÍQUESE, CÚMPLASE Y DEVUÉLVASE</w:t>
      </w:r>
    </w:p>
    <w:p w14:paraId="01554127" w14:textId="77777777" w:rsidR="00362286" w:rsidRPr="00C30C7D" w:rsidRDefault="00362286" w:rsidP="00362286">
      <w:pPr>
        <w:spacing w:line="276" w:lineRule="auto"/>
        <w:jc w:val="both"/>
        <w:rPr>
          <w:rFonts w:ascii="Arial" w:hAnsi="Arial" w:cs="Arial"/>
          <w:szCs w:val="24"/>
        </w:rPr>
      </w:pPr>
    </w:p>
    <w:p w14:paraId="3EB1256C" w14:textId="77777777" w:rsidR="00362286" w:rsidRPr="00C30C7D" w:rsidRDefault="00362286" w:rsidP="00362286">
      <w:pPr>
        <w:spacing w:line="276" w:lineRule="auto"/>
        <w:jc w:val="both"/>
        <w:rPr>
          <w:rFonts w:ascii="Arial" w:hAnsi="Arial" w:cs="Arial"/>
          <w:szCs w:val="24"/>
        </w:rPr>
      </w:pPr>
    </w:p>
    <w:p w14:paraId="2CF5792D" w14:textId="77777777" w:rsidR="00362286" w:rsidRPr="00C30C7D" w:rsidRDefault="00362286" w:rsidP="00362286">
      <w:pPr>
        <w:spacing w:line="276" w:lineRule="auto"/>
        <w:jc w:val="both"/>
        <w:rPr>
          <w:rFonts w:ascii="Arial" w:hAnsi="Arial" w:cs="Arial"/>
          <w:szCs w:val="24"/>
        </w:rPr>
      </w:pPr>
    </w:p>
    <w:p w14:paraId="60368997" w14:textId="77777777" w:rsidR="00362286" w:rsidRPr="00C30C7D" w:rsidRDefault="00362286" w:rsidP="00362286">
      <w:pPr>
        <w:spacing w:line="276" w:lineRule="auto"/>
        <w:jc w:val="center"/>
        <w:rPr>
          <w:rFonts w:ascii="Arial" w:hAnsi="Arial" w:cs="Arial"/>
          <w:b/>
          <w:bCs/>
          <w:iCs/>
          <w:szCs w:val="24"/>
          <w:lang w:val="es-ES"/>
        </w:rPr>
      </w:pPr>
      <w:r w:rsidRPr="00C30C7D">
        <w:rPr>
          <w:rFonts w:ascii="Arial" w:hAnsi="Arial" w:cs="Arial"/>
          <w:b/>
          <w:bCs/>
          <w:iCs/>
          <w:szCs w:val="24"/>
          <w:lang w:val="es-ES"/>
        </w:rPr>
        <w:t>ALEJANDRA MARÍA HENAO PALACIO</w:t>
      </w:r>
    </w:p>
    <w:p w14:paraId="27494252" w14:textId="77777777" w:rsidR="00362286" w:rsidRPr="00C30C7D" w:rsidRDefault="00362286" w:rsidP="00362286">
      <w:pPr>
        <w:spacing w:line="276" w:lineRule="auto"/>
        <w:jc w:val="center"/>
        <w:rPr>
          <w:rFonts w:ascii="Arial" w:hAnsi="Arial" w:cs="Arial"/>
          <w:bCs/>
          <w:iCs/>
          <w:szCs w:val="24"/>
          <w:lang w:val="es-ES"/>
        </w:rPr>
      </w:pPr>
      <w:r w:rsidRPr="00C30C7D">
        <w:rPr>
          <w:rFonts w:ascii="Arial" w:hAnsi="Arial" w:cs="Arial"/>
          <w:bCs/>
          <w:iCs/>
          <w:szCs w:val="24"/>
          <w:lang w:val="es-ES"/>
        </w:rPr>
        <w:t>Magistrada Ponente</w:t>
      </w:r>
    </w:p>
    <w:p w14:paraId="4081FCCF" w14:textId="77777777" w:rsidR="00362286" w:rsidRPr="00C30C7D" w:rsidRDefault="00362286" w:rsidP="00362286">
      <w:pPr>
        <w:spacing w:line="276" w:lineRule="auto"/>
        <w:jc w:val="both"/>
        <w:rPr>
          <w:rFonts w:ascii="Arial" w:hAnsi="Arial" w:cs="Arial"/>
          <w:szCs w:val="24"/>
        </w:rPr>
      </w:pPr>
    </w:p>
    <w:p w14:paraId="55CC73CE" w14:textId="77777777" w:rsidR="00362286" w:rsidRPr="00C30C7D" w:rsidRDefault="00362286" w:rsidP="00362286">
      <w:pPr>
        <w:spacing w:line="276" w:lineRule="auto"/>
        <w:jc w:val="both"/>
        <w:rPr>
          <w:rFonts w:ascii="Arial" w:hAnsi="Arial" w:cs="Arial"/>
          <w:szCs w:val="24"/>
        </w:rPr>
      </w:pPr>
    </w:p>
    <w:p w14:paraId="1F83812D" w14:textId="77777777" w:rsidR="00362286" w:rsidRPr="00C30C7D" w:rsidRDefault="00362286" w:rsidP="00362286">
      <w:pPr>
        <w:spacing w:line="276" w:lineRule="auto"/>
        <w:jc w:val="both"/>
        <w:rPr>
          <w:rFonts w:ascii="Arial" w:hAnsi="Arial" w:cs="Arial"/>
          <w:szCs w:val="24"/>
        </w:rPr>
      </w:pPr>
    </w:p>
    <w:p w14:paraId="12FF5EF0" w14:textId="77777777" w:rsidR="00362286" w:rsidRPr="00C30C7D" w:rsidRDefault="00362286" w:rsidP="00362286">
      <w:pPr>
        <w:spacing w:line="276" w:lineRule="auto"/>
        <w:jc w:val="both"/>
        <w:rPr>
          <w:rFonts w:ascii="Arial" w:hAnsi="Arial" w:cs="Arial"/>
          <w:b/>
          <w:bCs/>
          <w:iCs/>
          <w:szCs w:val="24"/>
          <w:lang w:val="es-ES"/>
        </w:rPr>
      </w:pPr>
      <w:r w:rsidRPr="00C30C7D">
        <w:rPr>
          <w:rFonts w:ascii="Arial" w:hAnsi="Arial" w:cs="Arial"/>
          <w:b/>
          <w:bCs/>
          <w:iCs/>
          <w:szCs w:val="24"/>
          <w:lang w:val="es-ES"/>
        </w:rPr>
        <w:t>ANA LUCÍA CAICEDO CALDERÓN</w:t>
      </w:r>
      <w:r w:rsidRPr="00C30C7D">
        <w:rPr>
          <w:rFonts w:ascii="Arial" w:hAnsi="Arial" w:cs="Arial"/>
          <w:b/>
          <w:bCs/>
          <w:iCs/>
          <w:szCs w:val="24"/>
          <w:lang w:val="es-ES"/>
        </w:rPr>
        <w:tab/>
        <w:t xml:space="preserve">      OLGA LUCIA HOYOS SEPÚLVEDA</w:t>
      </w:r>
    </w:p>
    <w:p w14:paraId="69E9CA84" w14:textId="77777777" w:rsidR="00362286" w:rsidRPr="00C30C7D" w:rsidRDefault="00362286" w:rsidP="00362286">
      <w:pPr>
        <w:spacing w:line="276" w:lineRule="auto"/>
        <w:jc w:val="both"/>
        <w:rPr>
          <w:rFonts w:ascii="Arial" w:hAnsi="Arial" w:cs="Arial"/>
          <w:bCs/>
          <w:iCs/>
          <w:szCs w:val="24"/>
          <w:lang w:val="es-ES"/>
        </w:rPr>
      </w:pPr>
      <w:r w:rsidRPr="00C30C7D">
        <w:rPr>
          <w:rFonts w:ascii="Arial" w:hAnsi="Arial" w:cs="Arial"/>
          <w:bCs/>
          <w:iCs/>
          <w:szCs w:val="24"/>
          <w:lang w:val="es-ES"/>
        </w:rPr>
        <w:t xml:space="preserve">                Magistrada</w:t>
      </w:r>
      <w:r w:rsidRPr="00C30C7D">
        <w:rPr>
          <w:rFonts w:ascii="Arial" w:hAnsi="Arial" w:cs="Arial"/>
          <w:bCs/>
          <w:iCs/>
          <w:szCs w:val="24"/>
          <w:lang w:val="es-ES"/>
        </w:rPr>
        <w:tab/>
      </w:r>
      <w:r w:rsidRPr="00C30C7D">
        <w:rPr>
          <w:rFonts w:ascii="Arial" w:hAnsi="Arial" w:cs="Arial"/>
          <w:bCs/>
          <w:iCs/>
          <w:szCs w:val="24"/>
          <w:lang w:val="es-ES"/>
        </w:rPr>
        <w:tab/>
      </w:r>
      <w:r w:rsidRPr="00C30C7D">
        <w:rPr>
          <w:rFonts w:ascii="Arial" w:hAnsi="Arial" w:cs="Arial"/>
          <w:bCs/>
          <w:iCs/>
          <w:szCs w:val="24"/>
          <w:lang w:val="es-ES"/>
        </w:rPr>
        <w:tab/>
      </w:r>
      <w:r w:rsidRPr="00C30C7D">
        <w:rPr>
          <w:rFonts w:ascii="Arial" w:hAnsi="Arial" w:cs="Arial"/>
          <w:bCs/>
          <w:iCs/>
          <w:szCs w:val="24"/>
          <w:lang w:val="es-ES"/>
        </w:rPr>
        <w:tab/>
      </w:r>
      <w:r w:rsidRPr="00C30C7D">
        <w:rPr>
          <w:rFonts w:ascii="Arial" w:hAnsi="Arial" w:cs="Arial"/>
          <w:bCs/>
          <w:iCs/>
          <w:szCs w:val="24"/>
          <w:lang w:val="es-ES"/>
        </w:rPr>
        <w:tab/>
        <w:t xml:space="preserve">      Magistrada</w:t>
      </w:r>
    </w:p>
    <w:p w14:paraId="3338A011" w14:textId="78D5CF96" w:rsidR="003E4E6F" w:rsidRPr="00C30C7D" w:rsidRDefault="003E4E6F" w:rsidP="00C30C7D">
      <w:pPr>
        <w:pStyle w:val="Sinespaciado"/>
        <w:spacing w:line="276" w:lineRule="auto"/>
        <w:rPr>
          <w:rFonts w:ascii="Arial" w:eastAsia="Calibri" w:hAnsi="Arial" w:cs="Arial"/>
          <w:spacing w:val="6"/>
          <w:sz w:val="22"/>
          <w:szCs w:val="24"/>
          <w:lang w:val="es-CO" w:eastAsia="en-US"/>
        </w:rPr>
      </w:pPr>
      <w:bookmarkStart w:id="1" w:name="_GoBack"/>
      <w:bookmarkEnd w:id="1"/>
    </w:p>
    <w:p w14:paraId="07AAB92B" w14:textId="77777777" w:rsidR="00C30C7D" w:rsidRPr="00C30C7D" w:rsidRDefault="00C30C7D" w:rsidP="00C30C7D">
      <w:pPr>
        <w:pStyle w:val="Sinespaciado"/>
        <w:spacing w:line="276" w:lineRule="auto"/>
        <w:rPr>
          <w:rFonts w:ascii="Arial" w:eastAsia="Calibri" w:hAnsi="Arial" w:cs="Arial"/>
          <w:spacing w:val="6"/>
          <w:sz w:val="22"/>
          <w:szCs w:val="24"/>
          <w:lang w:val="es-CO" w:eastAsia="en-US"/>
        </w:rPr>
      </w:pPr>
    </w:p>
    <w:p w14:paraId="3B8E6569" w14:textId="77777777" w:rsidR="00C30C7D" w:rsidRPr="00C30C7D" w:rsidRDefault="00C30C7D" w:rsidP="00C30C7D">
      <w:pPr>
        <w:pStyle w:val="Sinespaciado"/>
        <w:spacing w:line="276" w:lineRule="auto"/>
        <w:rPr>
          <w:rFonts w:ascii="Arial" w:eastAsia="Calibri" w:hAnsi="Arial" w:cs="Arial"/>
          <w:spacing w:val="6"/>
          <w:sz w:val="22"/>
          <w:szCs w:val="24"/>
          <w:lang w:val="es-CO" w:eastAsia="en-US"/>
        </w:rPr>
      </w:pPr>
    </w:p>
    <w:p w14:paraId="1E616CD7" w14:textId="77777777" w:rsidR="00301737" w:rsidRPr="00C30C7D" w:rsidRDefault="00301737" w:rsidP="00C06C71">
      <w:pPr>
        <w:pStyle w:val="Sinespaciado"/>
        <w:jc w:val="center"/>
        <w:rPr>
          <w:rFonts w:ascii="Arial" w:eastAsia="Calibri" w:hAnsi="Arial" w:cs="Arial"/>
          <w:b/>
          <w:bCs/>
          <w:spacing w:val="6"/>
          <w:lang w:val="es-CO" w:eastAsia="en-US"/>
        </w:rPr>
      </w:pPr>
      <w:r w:rsidRPr="00C30C7D">
        <w:rPr>
          <w:rFonts w:ascii="Arial" w:eastAsia="Calibri" w:hAnsi="Arial" w:cs="Arial"/>
          <w:b/>
          <w:bCs/>
          <w:spacing w:val="6"/>
          <w:lang w:val="es-CO" w:eastAsia="en-US"/>
        </w:rPr>
        <w:t>ANEXO</w:t>
      </w:r>
    </w:p>
    <w:p w14:paraId="1A994495" w14:textId="77777777" w:rsidR="00301737" w:rsidRPr="00C30C7D" w:rsidRDefault="00301737" w:rsidP="00C06C71">
      <w:pPr>
        <w:pStyle w:val="Sinespaciado"/>
        <w:jc w:val="both"/>
        <w:rPr>
          <w:rFonts w:ascii="Arial" w:eastAsia="Calibri" w:hAnsi="Arial" w:cs="Arial"/>
          <w:b/>
          <w:bCs/>
          <w:spacing w:val="6"/>
          <w:lang w:val="es-CO" w:eastAsia="en-US"/>
        </w:rPr>
      </w:pPr>
    </w:p>
    <w:p w14:paraId="264699FF" w14:textId="77777777" w:rsidR="00362286" w:rsidRPr="00C30C7D" w:rsidRDefault="00301737" w:rsidP="00C06C71">
      <w:pPr>
        <w:pStyle w:val="Sinespaciado"/>
        <w:jc w:val="center"/>
        <w:rPr>
          <w:rFonts w:ascii="Arial" w:eastAsia="Calibri" w:hAnsi="Arial" w:cs="Arial"/>
          <w:b/>
          <w:bCs/>
          <w:spacing w:val="6"/>
          <w:lang w:val="es-CO" w:eastAsia="en-US"/>
        </w:rPr>
      </w:pPr>
      <w:r w:rsidRPr="00C30C7D">
        <w:rPr>
          <w:rFonts w:ascii="Arial" w:eastAsia="Calibri" w:hAnsi="Arial" w:cs="Arial"/>
          <w:b/>
          <w:bCs/>
          <w:spacing w:val="6"/>
          <w:lang w:val="es-CO" w:eastAsia="en-US"/>
        </w:rPr>
        <w:t>LIQUIDACIÓN PENSIÓN DE VEJEZ</w:t>
      </w:r>
    </w:p>
    <w:p w14:paraId="04E8BEC1" w14:textId="7D8E8B79" w:rsidR="00301737" w:rsidRPr="00C30C7D" w:rsidRDefault="00301737" w:rsidP="00C06C71">
      <w:pPr>
        <w:pStyle w:val="Sinespaciado"/>
        <w:jc w:val="center"/>
        <w:rPr>
          <w:rFonts w:ascii="Arial" w:eastAsia="Calibri" w:hAnsi="Arial" w:cs="Arial"/>
          <w:b/>
          <w:bCs/>
          <w:spacing w:val="6"/>
          <w:lang w:val="es-CO" w:eastAsia="en-US"/>
        </w:rPr>
      </w:pPr>
      <w:r w:rsidRPr="00C30C7D">
        <w:rPr>
          <w:rFonts w:ascii="Arial" w:eastAsia="Calibri" w:hAnsi="Arial" w:cs="Arial"/>
          <w:b/>
          <w:bCs/>
          <w:spacing w:val="6"/>
          <w:lang w:val="es-CO" w:eastAsia="en-US"/>
        </w:rPr>
        <w:t>P</w:t>
      </w:r>
      <w:r w:rsidR="00362286" w:rsidRPr="00C30C7D">
        <w:rPr>
          <w:rFonts w:ascii="Arial" w:eastAsia="Calibri" w:hAnsi="Arial" w:cs="Arial"/>
          <w:b/>
          <w:bCs/>
          <w:spacing w:val="6"/>
          <w:lang w:val="es-CO" w:eastAsia="en-US"/>
        </w:rPr>
        <w:t>A</w:t>
      </w:r>
      <w:r w:rsidRPr="00C30C7D">
        <w:rPr>
          <w:rFonts w:ascii="Arial" w:eastAsia="Calibri" w:hAnsi="Arial" w:cs="Arial"/>
          <w:b/>
          <w:bCs/>
          <w:spacing w:val="6"/>
          <w:lang w:val="es-CO" w:eastAsia="en-US"/>
        </w:rPr>
        <w:t>R.</w:t>
      </w:r>
      <w:r w:rsidR="00362286" w:rsidRPr="00C30C7D">
        <w:rPr>
          <w:rFonts w:ascii="Arial" w:eastAsia="Calibri" w:hAnsi="Arial" w:cs="Arial"/>
          <w:b/>
          <w:bCs/>
          <w:spacing w:val="6"/>
          <w:lang w:val="es-CO" w:eastAsia="en-US"/>
        </w:rPr>
        <w:t xml:space="preserve"> </w:t>
      </w:r>
      <w:r w:rsidRPr="00C30C7D">
        <w:rPr>
          <w:rFonts w:ascii="Arial" w:eastAsia="Calibri" w:hAnsi="Arial" w:cs="Arial"/>
          <w:b/>
          <w:bCs/>
          <w:spacing w:val="6"/>
          <w:lang w:val="es-CO" w:eastAsia="en-US"/>
        </w:rPr>
        <w:t>1° ART.</w:t>
      </w:r>
      <w:r w:rsidR="00362286" w:rsidRPr="00C30C7D">
        <w:rPr>
          <w:rFonts w:ascii="Arial" w:eastAsia="Calibri" w:hAnsi="Arial" w:cs="Arial"/>
          <w:b/>
          <w:bCs/>
          <w:spacing w:val="6"/>
          <w:lang w:val="es-CO" w:eastAsia="en-US"/>
        </w:rPr>
        <w:t xml:space="preserve"> </w:t>
      </w:r>
      <w:r w:rsidRPr="00C30C7D">
        <w:rPr>
          <w:rFonts w:ascii="Arial" w:eastAsia="Calibri" w:hAnsi="Arial" w:cs="Arial"/>
          <w:b/>
          <w:bCs/>
          <w:spacing w:val="6"/>
          <w:lang w:val="es-CO" w:eastAsia="en-US"/>
        </w:rPr>
        <w:t xml:space="preserve">20 </w:t>
      </w:r>
      <w:r w:rsidR="00362286" w:rsidRPr="00C30C7D">
        <w:rPr>
          <w:rFonts w:ascii="Arial" w:eastAsia="Calibri" w:hAnsi="Arial" w:cs="Arial"/>
          <w:b/>
          <w:bCs/>
          <w:spacing w:val="6"/>
          <w:lang w:val="es-CO" w:eastAsia="en-US"/>
        </w:rPr>
        <w:t>ACUERDO 049 DE 1990</w:t>
      </w:r>
    </w:p>
    <w:p w14:paraId="6FEAB58C" w14:textId="77777777" w:rsidR="00301737" w:rsidRPr="00C30C7D" w:rsidRDefault="00301737" w:rsidP="00C06C71">
      <w:pPr>
        <w:pStyle w:val="Sinespaciado"/>
        <w:jc w:val="both"/>
        <w:rPr>
          <w:rFonts w:ascii="Arial" w:eastAsia="Calibri" w:hAnsi="Arial" w:cs="Arial"/>
          <w:spacing w:val="6"/>
          <w:szCs w:val="24"/>
          <w:lang w:val="es-CO" w:eastAsia="en-US"/>
        </w:rPr>
      </w:pPr>
    </w:p>
    <w:p w14:paraId="1A43A7FC" w14:textId="77777777" w:rsidR="00301737" w:rsidRPr="00C30C7D" w:rsidRDefault="00301737" w:rsidP="00C06C71">
      <w:pPr>
        <w:pStyle w:val="Sinespaciado"/>
        <w:jc w:val="both"/>
        <w:rPr>
          <w:rFonts w:ascii="Arial" w:eastAsia="Calibri" w:hAnsi="Arial" w:cs="Arial"/>
          <w:spacing w:val="6"/>
          <w:szCs w:val="24"/>
          <w:lang w:val="es-CO"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747"/>
        <w:gridCol w:w="1741"/>
        <w:gridCol w:w="1741"/>
        <w:gridCol w:w="1750"/>
      </w:tblGrid>
      <w:tr w:rsidR="00C30C7D" w:rsidRPr="00C30C7D" w14:paraId="283A7F66" w14:textId="77777777" w:rsidTr="004F4A02">
        <w:tc>
          <w:tcPr>
            <w:tcW w:w="1743" w:type="dxa"/>
            <w:shd w:val="clear" w:color="auto" w:fill="auto"/>
          </w:tcPr>
          <w:p w14:paraId="30902638" w14:textId="77777777" w:rsidR="00301737" w:rsidRPr="00C30C7D" w:rsidRDefault="00301737" w:rsidP="004F4A02">
            <w:pPr>
              <w:spacing w:line="360" w:lineRule="auto"/>
              <w:jc w:val="center"/>
              <w:rPr>
                <w:rFonts w:ascii="Arial Narrow" w:hAnsi="Arial Narrow"/>
                <w:b/>
                <w:sz w:val="20"/>
              </w:rPr>
            </w:pPr>
            <w:r w:rsidRPr="00C30C7D">
              <w:rPr>
                <w:rFonts w:ascii="Arial Narrow" w:hAnsi="Arial Narrow"/>
                <w:b/>
                <w:sz w:val="20"/>
              </w:rPr>
              <w:t>Periodo</w:t>
            </w:r>
          </w:p>
        </w:tc>
        <w:tc>
          <w:tcPr>
            <w:tcW w:w="1747" w:type="dxa"/>
            <w:shd w:val="clear" w:color="auto" w:fill="auto"/>
          </w:tcPr>
          <w:p w14:paraId="25170A9C" w14:textId="77777777" w:rsidR="00301737" w:rsidRPr="00C30C7D" w:rsidRDefault="00301737" w:rsidP="004F4A02">
            <w:pPr>
              <w:spacing w:line="360" w:lineRule="auto"/>
              <w:jc w:val="center"/>
              <w:rPr>
                <w:rFonts w:ascii="Arial Narrow" w:hAnsi="Arial Narrow"/>
                <w:b/>
                <w:sz w:val="20"/>
              </w:rPr>
            </w:pPr>
            <w:r w:rsidRPr="00C30C7D">
              <w:rPr>
                <w:rFonts w:ascii="Arial Narrow" w:hAnsi="Arial Narrow"/>
                <w:b/>
                <w:sz w:val="20"/>
              </w:rPr>
              <w:t>Semanas Cotizadas</w:t>
            </w:r>
          </w:p>
        </w:tc>
        <w:tc>
          <w:tcPr>
            <w:tcW w:w="1741" w:type="dxa"/>
            <w:shd w:val="clear" w:color="auto" w:fill="auto"/>
          </w:tcPr>
          <w:p w14:paraId="7FFEDB75" w14:textId="77777777" w:rsidR="00301737" w:rsidRPr="00C30C7D" w:rsidRDefault="00301737" w:rsidP="00301737">
            <w:pPr>
              <w:spacing w:line="360" w:lineRule="auto"/>
              <w:jc w:val="center"/>
              <w:rPr>
                <w:rFonts w:ascii="Arial Narrow" w:hAnsi="Arial Narrow"/>
                <w:b/>
                <w:sz w:val="20"/>
              </w:rPr>
            </w:pPr>
            <w:r w:rsidRPr="00C30C7D">
              <w:rPr>
                <w:rFonts w:ascii="Arial Narrow" w:hAnsi="Arial Narrow"/>
                <w:b/>
                <w:sz w:val="20"/>
              </w:rPr>
              <w:t xml:space="preserve">Salario Base de Cotización </w:t>
            </w:r>
          </w:p>
        </w:tc>
        <w:tc>
          <w:tcPr>
            <w:tcW w:w="1741" w:type="dxa"/>
            <w:shd w:val="clear" w:color="auto" w:fill="auto"/>
          </w:tcPr>
          <w:p w14:paraId="6F362112" w14:textId="77777777" w:rsidR="00301737" w:rsidRPr="00C30C7D" w:rsidRDefault="00301737" w:rsidP="004F4A02">
            <w:pPr>
              <w:spacing w:line="360" w:lineRule="auto"/>
              <w:jc w:val="center"/>
              <w:rPr>
                <w:rFonts w:ascii="Arial Narrow" w:hAnsi="Arial Narrow"/>
                <w:b/>
                <w:sz w:val="20"/>
              </w:rPr>
            </w:pPr>
            <w:r w:rsidRPr="00C30C7D">
              <w:rPr>
                <w:rFonts w:ascii="Arial Narrow" w:hAnsi="Arial Narrow"/>
                <w:b/>
                <w:sz w:val="20"/>
              </w:rPr>
              <w:t>Salario Semanal</w:t>
            </w:r>
          </w:p>
        </w:tc>
        <w:tc>
          <w:tcPr>
            <w:tcW w:w="1750" w:type="dxa"/>
            <w:shd w:val="clear" w:color="auto" w:fill="auto"/>
          </w:tcPr>
          <w:p w14:paraId="0A9F9C43" w14:textId="77777777" w:rsidR="00301737" w:rsidRPr="00C30C7D" w:rsidRDefault="00301737" w:rsidP="004F4A02">
            <w:pPr>
              <w:spacing w:line="360" w:lineRule="auto"/>
              <w:jc w:val="center"/>
              <w:rPr>
                <w:rFonts w:ascii="Arial Narrow" w:hAnsi="Arial Narrow"/>
                <w:b/>
                <w:sz w:val="20"/>
              </w:rPr>
            </w:pPr>
            <w:r w:rsidRPr="00C30C7D">
              <w:rPr>
                <w:rFonts w:ascii="Arial Narrow" w:hAnsi="Arial Narrow"/>
                <w:b/>
                <w:sz w:val="20"/>
              </w:rPr>
              <w:t>Total</w:t>
            </w:r>
          </w:p>
        </w:tc>
      </w:tr>
      <w:tr w:rsidR="00C30C7D" w:rsidRPr="00C30C7D" w14:paraId="0C713A03" w14:textId="77777777" w:rsidTr="004F4A02">
        <w:tc>
          <w:tcPr>
            <w:tcW w:w="1743" w:type="dxa"/>
            <w:shd w:val="clear" w:color="auto" w:fill="auto"/>
          </w:tcPr>
          <w:p w14:paraId="6736235A"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01/07/90 – 11/10/90</w:t>
            </w:r>
          </w:p>
        </w:tc>
        <w:tc>
          <w:tcPr>
            <w:tcW w:w="1747" w:type="dxa"/>
            <w:shd w:val="clear" w:color="auto" w:fill="auto"/>
          </w:tcPr>
          <w:p w14:paraId="22F70F7C"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14,71</w:t>
            </w:r>
          </w:p>
        </w:tc>
        <w:tc>
          <w:tcPr>
            <w:tcW w:w="1741" w:type="dxa"/>
            <w:shd w:val="clear" w:color="auto" w:fill="auto"/>
          </w:tcPr>
          <w:p w14:paraId="7B19CF13"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$123.210</w:t>
            </w:r>
          </w:p>
        </w:tc>
        <w:tc>
          <w:tcPr>
            <w:tcW w:w="1741" w:type="dxa"/>
            <w:shd w:val="clear" w:color="auto" w:fill="auto"/>
          </w:tcPr>
          <w:p w14:paraId="282A1399"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$28.749</w:t>
            </w:r>
          </w:p>
        </w:tc>
        <w:tc>
          <w:tcPr>
            <w:tcW w:w="1750" w:type="dxa"/>
            <w:shd w:val="clear" w:color="auto" w:fill="auto"/>
          </w:tcPr>
          <w:p w14:paraId="713EAC9F"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$422.898</w:t>
            </w:r>
          </w:p>
        </w:tc>
      </w:tr>
      <w:tr w:rsidR="00C30C7D" w:rsidRPr="00C30C7D" w14:paraId="0BD4C068" w14:textId="77777777" w:rsidTr="004F4A02">
        <w:tc>
          <w:tcPr>
            <w:tcW w:w="1743" w:type="dxa"/>
            <w:shd w:val="clear" w:color="auto" w:fill="auto"/>
          </w:tcPr>
          <w:p w14:paraId="6ECB4E71"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01/07/89– 30/06/90</w:t>
            </w:r>
          </w:p>
        </w:tc>
        <w:tc>
          <w:tcPr>
            <w:tcW w:w="1747" w:type="dxa"/>
            <w:shd w:val="clear" w:color="auto" w:fill="auto"/>
          </w:tcPr>
          <w:p w14:paraId="088D3E97"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52.14</w:t>
            </w:r>
          </w:p>
        </w:tc>
        <w:tc>
          <w:tcPr>
            <w:tcW w:w="1741" w:type="dxa"/>
            <w:shd w:val="clear" w:color="auto" w:fill="auto"/>
          </w:tcPr>
          <w:p w14:paraId="2DA6CBF2"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$99.630</w:t>
            </w:r>
          </w:p>
        </w:tc>
        <w:tc>
          <w:tcPr>
            <w:tcW w:w="1741" w:type="dxa"/>
            <w:shd w:val="clear" w:color="auto" w:fill="auto"/>
          </w:tcPr>
          <w:p w14:paraId="72EAD961"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$23.247</w:t>
            </w:r>
          </w:p>
        </w:tc>
        <w:tc>
          <w:tcPr>
            <w:tcW w:w="1750" w:type="dxa"/>
            <w:shd w:val="clear" w:color="auto" w:fill="auto"/>
          </w:tcPr>
          <w:p w14:paraId="36A24F9B"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$1´212.098</w:t>
            </w:r>
          </w:p>
        </w:tc>
      </w:tr>
      <w:tr w:rsidR="00C30C7D" w:rsidRPr="00C30C7D" w14:paraId="32281D42" w14:textId="77777777" w:rsidTr="004F4A02">
        <w:tc>
          <w:tcPr>
            <w:tcW w:w="1743" w:type="dxa"/>
            <w:shd w:val="clear" w:color="auto" w:fill="auto"/>
          </w:tcPr>
          <w:p w14:paraId="7BE61A1D"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01/01/89 – 30/06/89</w:t>
            </w:r>
          </w:p>
        </w:tc>
        <w:tc>
          <w:tcPr>
            <w:tcW w:w="1747" w:type="dxa"/>
            <w:shd w:val="clear" w:color="auto" w:fill="auto"/>
          </w:tcPr>
          <w:p w14:paraId="4584BD8D"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26.14</w:t>
            </w:r>
          </w:p>
        </w:tc>
        <w:tc>
          <w:tcPr>
            <w:tcW w:w="1741" w:type="dxa"/>
            <w:shd w:val="clear" w:color="auto" w:fill="auto"/>
          </w:tcPr>
          <w:p w14:paraId="10689D2C"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$79.290</w:t>
            </w:r>
          </w:p>
        </w:tc>
        <w:tc>
          <w:tcPr>
            <w:tcW w:w="1741" w:type="dxa"/>
            <w:shd w:val="clear" w:color="auto" w:fill="auto"/>
          </w:tcPr>
          <w:p w14:paraId="18625763"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$18.501</w:t>
            </w:r>
          </w:p>
        </w:tc>
        <w:tc>
          <w:tcPr>
            <w:tcW w:w="1750" w:type="dxa"/>
            <w:shd w:val="clear" w:color="auto" w:fill="auto"/>
          </w:tcPr>
          <w:p w14:paraId="0FBF1F80"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$483.616</w:t>
            </w:r>
          </w:p>
        </w:tc>
      </w:tr>
      <w:tr w:rsidR="00C30C7D" w:rsidRPr="00C30C7D" w14:paraId="0698DEA5" w14:textId="77777777" w:rsidTr="004F4A02">
        <w:tc>
          <w:tcPr>
            <w:tcW w:w="1743" w:type="dxa"/>
            <w:shd w:val="clear" w:color="auto" w:fill="auto"/>
          </w:tcPr>
          <w:p w14:paraId="47F749D0"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12/11/88 – 31/12/88</w:t>
            </w:r>
          </w:p>
        </w:tc>
        <w:tc>
          <w:tcPr>
            <w:tcW w:w="1747" w:type="dxa"/>
            <w:shd w:val="clear" w:color="auto" w:fill="auto"/>
          </w:tcPr>
          <w:p w14:paraId="74D78C6C"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7.01</w:t>
            </w:r>
          </w:p>
        </w:tc>
        <w:tc>
          <w:tcPr>
            <w:tcW w:w="1741" w:type="dxa"/>
            <w:shd w:val="clear" w:color="auto" w:fill="auto"/>
          </w:tcPr>
          <w:p w14:paraId="0C32FF9A"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$61.950</w:t>
            </w:r>
          </w:p>
        </w:tc>
        <w:tc>
          <w:tcPr>
            <w:tcW w:w="1741" w:type="dxa"/>
            <w:shd w:val="clear" w:color="auto" w:fill="auto"/>
          </w:tcPr>
          <w:p w14:paraId="1B846DDF"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$14.455</w:t>
            </w:r>
          </w:p>
        </w:tc>
        <w:tc>
          <w:tcPr>
            <w:tcW w:w="1750" w:type="dxa"/>
            <w:shd w:val="clear" w:color="auto" w:fill="auto"/>
          </w:tcPr>
          <w:p w14:paraId="4277BCF5"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$101.330</w:t>
            </w:r>
          </w:p>
        </w:tc>
      </w:tr>
      <w:tr w:rsidR="00C30C7D" w:rsidRPr="00C30C7D" w14:paraId="6A5A1D0B" w14:textId="77777777" w:rsidTr="00C06C71">
        <w:trPr>
          <w:trHeight w:val="237"/>
        </w:trPr>
        <w:tc>
          <w:tcPr>
            <w:tcW w:w="1743" w:type="dxa"/>
            <w:shd w:val="clear" w:color="auto" w:fill="auto"/>
          </w:tcPr>
          <w:p w14:paraId="31A2190A" w14:textId="77777777" w:rsidR="00301737" w:rsidRPr="00C30C7D" w:rsidRDefault="00301737" w:rsidP="004F4A02">
            <w:pPr>
              <w:spacing w:line="360" w:lineRule="auto"/>
              <w:jc w:val="center"/>
              <w:rPr>
                <w:rFonts w:ascii="Arial Narrow" w:hAnsi="Arial Narrow"/>
                <w:b/>
                <w:sz w:val="20"/>
              </w:rPr>
            </w:pPr>
            <w:r w:rsidRPr="00C30C7D">
              <w:rPr>
                <w:rFonts w:ascii="Arial Narrow" w:hAnsi="Arial Narrow"/>
                <w:b/>
                <w:sz w:val="20"/>
              </w:rPr>
              <w:t>TOTAL</w:t>
            </w:r>
          </w:p>
        </w:tc>
        <w:tc>
          <w:tcPr>
            <w:tcW w:w="1747" w:type="dxa"/>
            <w:shd w:val="clear" w:color="auto" w:fill="auto"/>
          </w:tcPr>
          <w:p w14:paraId="32A757D8" w14:textId="77777777" w:rsidR="00301737" w:rsidRPr="00C30C7D" w:rsidRDefault="00301737" w:rsidP="004F4A02">
            <w:pPr>
              <w:spacing w:line="360" w:lineRule="auto"/>
              <w:jc w:val="center"/>
              <w:rPr>
                <w:rFonts w:ascii="Arial Narrow" w:hAnsi="Arial Narrow"/>
                <w:b/>
                <w:sz w:val="20"/>
              </w:rPr>
            </w:pPr>
            <w:r w:rsidRPr="00C30C7D">
              <w:rPr>
                <w:rFonts w:ascii="Arial Narrow" w:hAnsi="Arial Narrow"/>
                <w:b/>
                <w:sz w:val="20"/>
              </w:rPr>
              <w:t>100</w:t>
            </w:r>
          </w:p>
        </w:tc>
        <w:tc>
          <w:tcPr>
            <w:tcW w:w="1741" w:type="dxa"/>
            <w:shd w:val="clear" w:color="auto" w:fill="auto"/>
          </w:tcPr>
          <w:p w14:paraId="58E1D0AF" w14:textId="77777777" w:rsidR="00301737" w:rsidRPr="00C30C7D" w:rsidRDefault="00301737" w:rsidP="004F4A02">
            <w:pPr>
              <w:spacing w:line="360" w:lineRule="auto"/>
              <w:jc w:val="center"/>
              <w:rPr>
                <w:rFonts w:ascii="Arial Narrow" w:hAnsi="Arial Narrow"/>
                <w:sz w:val="20"/>
              </w:rPr>
            </w:pPr>
          </w:p>
        </w:tc>
        <w:tc>
          <w:tcPr>
            <w:tcW w:w="1741" w:type="dxa"/>
            <w:shd w:val="clear" w:color="auto" w:fill="auto"/>
          </w:tcPr>
          <w:p w14:paraId="6A0FB3E5" w14:textId="77777777" w:rsidR="00301737" w:rsidRPr="00C30C7D" w:rsidRDefault="00301737" w:rsidP="004F4A02">
            <w:pPr>
              <w:spacing w:line="360" w:lineRule="auto"/>
              <w:jc w:val="center"/>
              <w:rPr>
                <w:rFonts w:ascii="Arial Narrow" w:hAnsi="Arial Narrow"/>
                <w:sz w:val="20"/>
              </w:rPr>
            </w:pPr>
          </w:p>
        </w:tc>
        <w:tc>
          <w:tcPr>
            <w:tcW w:w="1750" w:type="dxa"/>
            <w:shd w:val="clear" w:color="auto" w:fill="auto"/>
          </w:tcPr>
          <w:p w14:paraId="77754EBA" w14:textId="77777777" w:rsidR="00301737" w:rsidRPr="00C30C7D" w:rsidRDefault="00301737" w:rsidP="004F4A02">
            <w:pPr>
              <w:spacing w:line="360" w:lineRule="auto"/>
              <w:jc w:val="center"/>
              <w:rPr>
                <w:rFonts w:ascii="Arial Narrow" w:hAnsi="Arial Narrow"/>
                <w:sz w:val="20"/>
              </w:rPr>
            </w:pPr>
            <w:r w:rsidRPr="00C30C7D">
              <w:rPr>
                <w:rFonts w:ascii="Arial Narrow" w:hAnsi="Arial Narrow"/>
                <w:sz w:val="20"/>
              </w:rPr>
              <w:t>$2.219.942</w:t>
            </w:r>
          </w:p>
        </w:tc>
      </w:tr>
    </w:tbl>
    <w:p w14:paraId="1E19295B" w14:textId="77777777" w:rsidR="00301737" w:rsidRPr="00C30C7D" w:rsidRDefault="00301737" w:rsidP="00362286">
      <w:pPr>
        <w:spacing w:line="276" w:lineRule="auto"/>
        <w:jc w:val="both"/>
        <w:rPr>
          <w:rFonts w:ascii="Arial" w:hAnsi="Arial" w:cs="Arial"/>
          <w:szCs w:val="24"/>
        </w:rPr>
      </w:pPr>
    </w:p>
    <w:p w14:paraId="2C0BFF72" w14:textId="77777777" w:rsidR="00301737" w:rsidRPr="00C30C7D" w:rsidRDefault="00301737" w:rsidP="00C06C71">
      <w:pPr>
        <w:jc w:val="both"/>
        <w:rPr>
          <w:rFonts w:ascii="Arial" w:hAnsi="Arial"/>
          <w:szCs w:val="24"/>
        </w:rPr>
      </w:pPr>
      <w:proofErr w:type="spellStart"/>
      <w:r w:rsidRPr="00C30C7D">
        <w:rPr>
          <w:rFonts w:ascii="Arial" w:hAnsi="Arial"/>
          <w:szCs w:val="24"/>
        </w:rPr>
        <w:t>IBL</w:t>
      </w:r>
      <w:proofErr w:type="spellEnd"/>
      <w:r w:rsidRPr="00C30C7D">
        <w:rPr>
          <w:rFonts w:ascii="Arial" w:hAnsi="Arial"/>
          <w:szCs w:val="24"/>
        </w:rPr>
        <w:t xml:space="preserve"> = $2.219.942 / 100 * 4.33</w:t>
      </w:r>
    </w:p>
    <w:p w14:paraId="63538FC7" w14:textId="77777777" w:rsidR="00301737" w:rsidRPr="00C30C7D" w:rsidRDefault="00301737" w:rsidP="00C06C71">
      <w:pPr>
        <w:jc w:val="both"/>
        <w:rPr>
          <w:rFonts w:ascii="Arial" w:hAnsi="Arial"/>
          <w:szCs w:val="24"/>
        </w:rPr>
      </w:pPr>
      <w:r w:rsidRPr="00C30C7D">
        <w:rPr>
          <w:rFonts w:ascii="Arial" w:hAnsi="Arial"/>
          <w:szCs w:val="24"/>
        </w:rPr>
        <w:t>IBL = $96.123 * 72% % (tasa de remplazo)</w:t>
      </w:r>
    </w:p>
    <w:p w14:paraId="45217745" w14:textId="05AB8EBB" w:rsidR="006F136D" w:rsidRPr="00C30C7D" w:rsidRDefault="00301737" w:rsidP="00C06C71">
      <w:pPr>
        <w:jc w:val="both"/>
        <w:rPr>
          <w:rFonts w:ascii="Arial" w:hAnsi="Arial"/>
          <w:szCs w:val="24"/>
        </w:rPr>
      </w:pPr>
      <w:proofErr w:type="spellStart"/>
      <w:r w:rsidRPr="00C30C7D">
        <w:rPr>
          <w:rFonts w:ascii="Arial" w:hAnsi="Arial"/>
          <w:szCs w:val="24"/>
        </w:rPr>
        <w:t>Vr</w:t>
      </w:r>
      <w:proofErr w:type="spellEnd"/>
      <w:r w:rsidRPr="00C30C7D">
        <w:rPr>
          <w:rFonts w:ascii="Arial" w:hAnsi="Arial"/>
          <w:szCs w:val="24"/>
        </w:rPr>
        <w:t xml:space="preserve"> = $69.209</w:t>
      </w:r>
    </w:p>
    <w:sectPr w:rsidR="006F136D" w:rsidRPr="00C30C7D" w:rsidSect="00C30C7D">
      <w:headerReference w:type="default" r:id="rId13"/>
      <w:footerReference w:type="even" r:id="rId14"/>
      <w:footerReference w:type="default" r:id="rId15"/>
      <w:headerReference w:type="first" r:id="rId16"/>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083AC" w14:textId="77777777" w:rsidR="005F6600" w:rsidRDefault="005F6600" w:rsidP="003E4E6F">
      <w:r>
        <w:separator/>
      </w:r>
    </w:p>
  </w:endnote>
  <w:endnote w:type="continuationSeparator" w:id="0">
    <w:p w14:paraId="4FA26950" w14:textId="77777777" w:rsidR="005F6600" w:rsidRDefault="005F6600" w:rsidP="003E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BC142" w14:textId="77777777" w:rsidR="00206207" w:rsidRDefault="00915AFD" w:rsidP="00D476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A1B38E" w14:textId="77777777" w:rsidR="00206207" w:rsidRDefault="005F6600" w:rsidP="00D476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78782"/>
      <w:docPartObj>
        <w:docPartGallery w:val="Page Numbers (Bottom of Page)"/>
        <w:docPartUnique/>
      </w:docPartObj>
    </w:sdtPr>
    <w:sdtEndPr>
      <w:rPr>
        <w:rFonts w:ascii="Arial" w:hAnsi="Arial" w:cs="Arial"/>
        <w:color w:val="595959" w:themeColor="text1" w:themeTint="A6"/>
        <w:sz w:val="18"/>
        <w:szCs w:val="18"/>
      </w:rPr>
    </w:sdtEndPr>
    <w:sdtContent>
      <w:p w14:paraId="4643E944" w14:textId="77777777" w:rsidR="00206207" w:rsidRPr="0083521C" w:rsidRDefault="00915AFD">
        <w:pPr>
          <w:pStyle w:val="Piedepgina"/>
          <w:jc w:val="right"/>
          <w:rPr>
            <w:rFonts w:ascii="Arial" w:hAnsi="Arial" w:cs="Arial"/>
            <w:color w:val="595959" w:themeColor="text1" w:themeTint="A6"/>
            <w:sz w:val="18"/>
            <w:szCs w:val="18"/>
          </w:rPr>
        </w:pPr>
        <w:r w:rsidRPr="0083521C">
          <w:rPr>
            <w:rFonts w:ascii="Arial" w:hAnsi="Arial" w:cs="Arial"/>
            <w:color w:val="595959" w:themeColor="text1" w:themeTint="A6"/>
            <w:sz w:val="18"/>
            <w:szCs w:val="18"/>
          </w:rPr>
          <w:fldChar w:fldCharType="begin"/>
        </w:r>
        <w:r w:rsidRPr="0083521C">
          <w:rPr>
            <w:rFonts w:ascii="Arial" w:hAnsi="Arial" w:cs="Arial"/>
            <w:color w:val="595959" w:themeColor="text1" w:themeTint="A6"/>
            <w:sz w:val="18"/>
            <w:szCs w:val="18"/>
          </w:rPr>
          <w:instrText>PAGE   \* MERGEFORMAT</w:instrText>
        </w:r>
        <w:r w:rsidRPr="0083521C">
          <w:rPr>
            <w:rFonts w:ascii="Arial" w:hAnsi="Arial" w:cs="Arial"/>
            <w:color w:val="595959" w:themeColor="text1" w:themeTint="A6"/>
            <w:sz w:val="18"/>
            <w:szCs w:val="18"/>
          </w:rPr>
          <w:fldChar w:fldCharType="separate"/>
        </w:r>
        <w:r w:rsidR="002D7B79" w:rsidRPr="002D7B79">
          <w:rPr>
            <w:rFonts w:ascii="Arial" w:hAnsi="Arial" w:cs="Arial"/>
            <w:noProof/>
            <w:color w:val="595959" w:themeColor="text1" w:themeTint="A6"/>
            <w:sz w:val="18"/>
            <w:szCs w:val="18"/>
            <w:lang w:val="es-ES"/>
          </w:rPr>
          <w:t>6</w:t>
        </w:r>
        <w:r w:rsidRPr="0083521C">
          <w:rPr>
            <w:rFonts w:ascii="Arial" w:hAnsi="Arial" w:cs="Arial"/>
            <w:noProof/>
            <w:color w:val="595959" w:themeColor="text1" w:themeTint="A6"/>
            <w:sz w:val="18"/>
            <w:szCs w:val="18"/>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261A0" w14:textId="77777777" w:rsidR="005F6600" w:rsidRDefault="005F6600" w:rsidP="003E4E6F">
      <w:r>
        <w:separator/>
      </w:r>
    </w:p>
  </w:footnote>
  <w:footnote w:type="continuationSeparator" w:id="0">
    <w:p w14:paraId="323D2B35" w14:textId="77777777" w:rsidR="005F6600" w:rsidRDefault="005F6600" w:rsidP="003E4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D7A1E" w14:textId="77777777" w:rsidR="00206207" w:rsidRPr="00EB3AF9" w:rsidRDefault="00915AFD" w:rsidP="00D476E8">
    <w:pPr>
      <w:jc w:val="both"/>
      <w:rPr>
        <w:rFonts w:ascii="Arial" w:hAnsi="Arial" w:cs="Arial"/>
        <w:bCs/>
        <w:sz w:val="18"/>
      </w:rPr>
    </w:pPr>
    <w:r w:rsidRPr="00EB3AF9">
      <w:rPr>
        <w:rFonts w:ascii="Arial" w:hAnsi="Arial" w:cs="Arial"/>
        <w:bCs/>
        <w:sz w:val="18"/>
      </w:rPr>
      <w:t>Radicación No: 66001-31-05-00</w:t>
    </w:r>
    <w:r w:rsidR="003E4E6F" w:rsidRPr="00EB3AF9">
      <w:rPr>
        <w:rFonts w:ascii="Arial" w:hAnsi="Arial" w:cs="Arial"/>
        <w:bCs/>
        <w:sz w:val="18"/>
      </w:rPr>
      <w:t>4-2018-00214</w:t>
    </w:r>
  </w:p>
  <w:p w14:paraId="21427E62" w14:textId="77777777" w:rsidR="00206207" w:rsidRPr="00EB3AF9" w:rsidRDefault="003E4E6F" w:rsidP="00D476E8">
    <w:pPr>
      <w:jc w:val="both"/>
      <w:rPr>
        <w:rFonts w:ascii="Arial" w:hAnsi="Arial" w:cs="Arial"/>
        <w:bCs/>
        <w:sz w:val="18"/>
      </w:rPr>
    </w:pPr>
    <w:r w:rsidRPr="00EB3AF9">
      <w:rPr>
        <w:rFonts w:ascii="Arial" w:hAnsi="Arial" w:cs="Arial"/>
        <w:bCs/>
        <w:sz w:val="18"/>
      </w:rPr>
      <w:t xml:space="preserve">Isaías Betancur Becerra </w:t>
    </w:r>
    <w:r w:rsidR="00915AFD" w:rsidRPr="00EB3AF9">
      <w:rPr>
        <w:rFonts w:ascii="Arial" w:hAnsi="Arial" w:cs="Arial"/>
        <w:bCs/>
        <w:sz w:val="18"/>
      </w:rPr>
      <w:t>vs Colpensiones</w:t>
    </w:r>
  </w:p>
  <w:p w14:paraId="0EF732E5" w14:textId="77777777" w:rsidR="00206207" w:rsidRPr="009E2D3C" w:rsidRDefault="005F6600" w:rsidP="00D476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21185" w14:textId="33324068" w:rsidR="00206207" w:rsidRPr="00EB3AF9" w:rsidRDefault="00915AFD" w:rsidP="00EB3AF9">
    <w:pPr>
      <w:pStyle w:val="Encabezado"/>
    </w:pPr>
    <w:r w:rsidRPr="00EB3AF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65A2"/>
    <w:multiLevelType w:val="multilevel"/>
    <w:tmpl w:val="E29C2592"/>
    <w:lvl w:ilvl="0">
      <w:start w:val="1"/>
      <w:numFmt w:val="upperRoman"/>
      <w:lvlText w:val="%1."/>
      <w:lvlJc w:val="left"/>
      <w:pPr>
        <w:ind w:left="1080" w:hanging="72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70B5CE9"/>
    <w:multiLevelType w:val="multilevel"/>
    <w:tmpl w:val="1F8CA0EA"/>
    <w:lvl w:ilvl="0">
      <w:start w:val="5"/>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5973523F"/>
    <w:multiLevelType w:val="multilevel"/>
    <w:tmpl w:val="72D24B7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5BB5707D"/>
    <w:multiLevelType w:val="multilevel"/>
    <w:tmpl w:val="8892D940"/>
    <w:lvl w:ilvl="0">
      <w:start w:val="1"/>
      <w:numFmt w:val="decimal"/>
      <w:lvlText w:val="%1."/>
      <w:lvlJc w:val="left"/>
      <w:pPr>
        <w:ind w:left="440" w:hanging="4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6F"/>
    <w:rsid w:val="00044438"/>
    <w:rsid w:val="000600BE"/>
    <w:rsid w:val="000909ED"/>
    <w:rsid w:val="00093F1D"/>
    <w:rsid w:val="000D62E0"/>
    <w:rsid w:val="000E430E"/>
    <w:rsid w:val="0016143E"/>
    <w:rsid w:val="001A0A58"/>
    <w:rsid w:val="001C0C3A"/>
    <w:rsid w:val="001C7F3F"/>
    <w:rsid w:val="001E1865"/>
    <w:rsid w:val="001E1C27"/>
    <w:rsid w:val="001E3128"/>
    <w:rsid w:val="00216112"/>
    <w:rsid w:val="0023791D"/>
    <w:rsid w:val="00284374"/>
    <w:rsid w:val="00292686"/>
    <w:rsid w:val="002A7CA8"/>
    <w:rsid w:val="002D7B79"/>
    <w:rsid w:val="00301737"/>
    <w:rsid w:val="00362286"/>
    <w:rsid w:val="00383927"/>
    <w:rsid w:val="003E4E6F"/>
    <w:rsid w:val="00414716"/>
    <w:rsid w:val="004236A0"/>
    <w:rsid w:val="00426EBC"/>
    <w:rsid w:val="004422E0"/>
    <w:rsid w:val="004567F4"/>
    <w:rsid w:val="00494201"/>
    <w:rsid w:val="005664C2"/>
    <w:rsid w:val="005C5687"/>
    <w:rsid w:val="005E09AA"/>
    <w:rsid w:val="005F6600"/>
    <w:rsid w:val="006071FF"/>
    <w:rsid w:val="00607E5E"/>
    <w:rsid w:val="006132C5"/>
    <w:rsid w:val="00631744"/>
    <w:rsid w:val="00635841"/>
    <w:rsid w:val="006B604F"/>
    <w:rsid w:val="006F136D"/>
    <w:rsid w:val="006F769D"/>
    <w:rsid w:val="007555C8"/>
    <w:rsid w:val="00773514"/>
    <w:rsid w:val="007861EB"/>
    <w:rsid w:val="007B4506"/>
    <w:rsid w:val="007D052E"/>
    <w:rsid w:val="007E0342"/>
    <w:rsid w:val="007E55A0"/>
    <w:rsid w:val="0083521C"/>
    <w:rsid w:val="00844F94"/>
    <w:rsid w:val="0086689B"/>
    <w:rsid w:val="00876E7E"/>
    <w:rsid w:val="008914C9"/>
    <w:rsid w:val="00915AFD"/>
    <w:rsid w:val="00947B4E"/>
    <w:rsid w:val="00983637"/>
    <w:rsid w:val="009D55EB"/>
    <w:rsid w:val="00A018AD"/>
    <w:rsid w:val="00A1686E"/>
    <w:rsid w:val="00AB0A6D"/>
    <w:rsid w:val="00AD1C01"/>
    <w:rsid w:val="00AD2101"/>
    <w:rsid w:val="00B24C9E"/>
    <w:rsid w:val="00C06C71"/>
    <w:rsid w:val="00C27707"/>
    <w:rsid w:val="00C30C7D"/>
    <w:rsid w:val="00C3716A"/>
    <w:rsid w:val="00CB095B"/>
    <w:rsid w:val="00CB7D52"/>
    <w:rsid w:val="00CC2C1B"/>
    <w:rsid w:val="00CE50CD"/>
    <w:rsid w:val="00CF1D21"/>
    <w:rsid w:val="00D21AA2"/>
    <w:rsid w:val="00D31C18"/>
    <w:rsid w:val="00D420CA"/>
    <w:rsid w:val="00E25B5A"/>
    <w:rsid w:val="00E77DBA"/>
    <w:rsid w:val="00E93477"/>
    <w:rsid w:val="00EB3AF9"/>
    <w:rsid w:val="00F04124"/>
    <w:rsid w:val="00F72F54"/>
    <w:rsid w:val="00F7511F"/>
    <w:rsid w:val="03BC05BA"/>
    <w:rsid w:val="048CACD4"/>
    <w:rsid w:val="04A3B77E"/>
    <w:rsid w:val="078C100D"/>
    <w:rsid w:val="09E59B25"/>
    <w:rsid w:val="12EFBF4B"/>
    <w:rsid w:val="1AEB4FC5"/>
    <w:rsid w:val="1E935E7F"/>
    <w:rsid w:val="226C7126"/>
    <w:rsid w:val="22FFDEE0"/>
    <w:rsid w:val="23BCBAB9"/>
    <w:rsid w:val="333C2B59"/>
    <w:rsid w:val="3A56DB7E"/>
    <w:rsid w:val="3B2D1B24"/>
    <w:rsid w:val="3C821EB4"/>
    <w:rsid w:val="3D7AE0B9"/>
    <w:rsid w:val="3EA3C3B6"/>
    <w:rsid w:val="3EC2719D"/>
    <w:rsid w:val="3FF11FA5"/>
    <w:rsid w:val="489620A1"/>
    <w:rsid w:val="4C1E936D"/>
    <w:rsid w:val="4C1F4494"/>
    <w:rsid w:val="5268AAC9"/>
    <w:rsid w:val="56BB44F4"/>
    <w:rsid w:val="5766FD7E"/>
    <w:rsid w:val="5A96EB91"/>
    <w:rsid w:val="5AF8320F"/>
    <w:rsid w:val="5BE926E8"/>
    <w:rsid w:val="5EBA366E"/>
    <w:rsid w:val="634152F3"/>
    <w:rsid w:val="6B1BD688"/>
    <w:rsid w:val="6D5BA192"/>
    <w:rsid w:val="6F83CFE9"/>
    <w:rsid w:val="6FD8139A"/>
    <w:rsid w:val="6FEA1E90"/>
    <w:rsid w:val="730F4491"/>
    <w:rsid w:val="75D7367F"/>
    <w:rsid w:val="7878BEFD"/>
    <w:rsid w:val="7AFF75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6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E4E6F"/>
    <w:pPr>
      <w:tabs>
        <w:tab w:val="center" w:pos="4252"/>
        <w:tab w:val="right" w:pos="8504"/>
      </w:tabs>
    </w:pPr>
  </w:style>
  <w:style w:type="character" w:customStyle="1" w:styleId="PiedepginaCar">
    <w:name w:val="Pie de página Car"/>
    <w:basedOn w:val="Fuentedeprrafopredeter"/>
    <w:link w:val="Piedepgina"/>
    <w:uiPriority w:val="99"/>
    <w:rsid w:val="003E4E6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E4E6F"/>
  </w:style>
  <w:style w:type="paragraph" w:customStyle="1" w:styleId="Prrafodelista1">
    <w:name w:val="Párrafo de lista1"/>
    <w:basedOn w:val="Normal"/>
    <w:rsid w:val="003E4E6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3E4E6F"/>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3E4E6F"/>
    <w:pPr>
      <w:tabs>
        <w:tab w:val="center" w:pos="4252"/>
        <w:tab w:val="right" w:pos="8504"/>
      </w:tabs>
    </w:pPr>
  </w:style>
  <w:style w:type="character" w:customStyle="1" w:styleId="EncabezadoCar">
    <w:name w:val="Encabezado Car"/>
    <w:basedOn w:val="Fuentedeprrafopredeter"/>
    <w:link w:val="Encabezado"/>
    <w:uiPriority w:val="99"/>
    <w:rsid w:val="003E4E6F"/>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3E4E6F"/>
    <w:rPr>
      <w:rFonts w:ascii="Times New Roman" w:eastAsia="Times New Roman" w:hAnsi="Times New Roman" w:cs="Times New Roman"/>
      <w:sz w:val="24"/>
      <w:szCs w:val="20"/>
      <w:lang w:val="es-ES_tradnl" w:eastAsia="es-ES"/>
    </w:rPr>
  </w:style>
  <w:style w:type="paragraph" w:styleId="Textonotapie">
    <w:name w:val="footnote text"/>
    <w:aliases w:val="Ref. de nota al pie1,referencia nota al pie,Texto de nota al pie,Footnote Text Char,Footnote Text Char Char Char Char,Footnote Text Char Char Char Char Char Char Char Char,Footnote Text Char Char Char Char Char Char1,Footnote referenc"/>
    <w:basedOn w:val="Normal"/>
    <w:link w:val="TextonotapieCar"/>
    <w:uiPriority w:val="99"/>
    <w:unhideWhenUsed/>
    <w:qFormat/>
    <w:rsid w:val="003E4E6F"/>
    <w:rPr>
      <w:sz w:val="20"/>
    </w:rPr>
  </w:style>
  <w:style w:type="character" w:customStyle="1" w:styleId="TextonotapieCar">
    <w:name w:val="Texto nota pie Car"/>
    <w:aliases w:val="Ref. de nota al pie1 Car,referencia nota al pie Car,Texto de nota al pie Car,Footnote Text Char Car,Footnote Text Char Char Char Char Car,Footnote Text Char Char Char Char Char Char Char Char Car,Footnote referenc Car"/>
    <w:basedOn w:val="Fuentedeprrafopredeter"/>
    <w:link w:val="Textonotapie"/>
    <w:uiPriority w:val="99"/>
    <w:rsid w:val="003E4E6F"/>
    <w:rPr>
      <w:rFonts w:ascii="Times New Roman" w:eastAsia="Times New Roman" w:hAnsi="Times New Roman" w:cs="Times New Roman"/>
      <w:sz w:val="20"/>
      <w:szCs w:val="20"/>
      <w:lang w:val="es-ES_tradnl" w:eastAsia="es-ES"/>
    </w:rPr>
  </w:style>
  <w:style w:type="character" w:styleId="Refdenotaalpie">
    <w:name w:val="footnote reference"/>
    <w:aliases w:val="Pie de Página,FC,Nota de pie,Texto nota al pie,Footnote number,BVI fnr,f,4_G,16 Point,Superscript 6 Point,Texto de nota al pi,Footnotes refss,Appel note de bas de page,Fago Fußnotenzeichen,Ref. de nota al pie 2,Footnote symbol,Ref"/>
    <w:basedOn w:val="Fuentedeprrafopredeter"/>
    <w:uiPriority w:val="99"/>
    <w:unhideWhenUsed/>
    <w:rsid w:val="003E4E6F"/>
    <w:rPr>
      <w:vertAlign w:val="superscript"/>
    </w:rPr>
  </w:style>
  <w:style w:type="paragraph" w:styleId="NormalWeb">
    <w:name w:val="Normal (Web)"/>
    <w:basedOn w:val="Normal"/>
    <w:link w:val="NormalWebCar"/>
    <w:uiPriority w:val="99"/>
    <w:unhideWhenUsed/>
    <w:rsid w:val="003E4E6F"/>
    <w:pPr>
      <w:spacing w:before="100" w:beforeAutospacing="1" w:after="100" w:afterAutospacing="1"/>
    </w:pPr>
    <w:rPr>
      <w:szCs w:val="24"/>
      <w:lang w:val="es-CO" w:eastAsia="es-CO"/>
    </w:rPr>
  </w:style>
  <w:style w:type="character" w:customStyle="1" w:styleId="NormalWebCar">
    <w:name w:val="Normal (Web) Car"/>
    <w:link w:val="NormalWeb"/>
    <w:uiPriority w:val="99"/>
    <w:rsid w:val="003E4E6F"/>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CB09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95B"/>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CB095B"/>
    <w:rPr>
      <w:sz w:val="16"/>
      <w:szCs w:val="16"/>
    </w:rPr>
  </w:style>
  <w:style w:type="paragraph" w:styleId="Textocomentario">
    <w:name w:val="annotation text"/>
    <w:basedOn w:val="Normal"/>
    <w:link w:val="TextocomentarioCar"/>
    <w:uiPriority w:val="99"/>
    <w:semiHidden/>
    <w:unhideWhenUsed/>
    <w:rsid w:val="00CB095B"/>
    <w:rPr>
      <w:sz w:val="20"/>
    </w:rPr>
  </w:style>
  <w:style w:type="character" w:customStyle="1" w:styleId="TextocomentarioCar">
    <w:name w:val="Texto comentario Car"/>
    <w:basedOn w:val="Fuentedeprrafopredeter"/>
    <w:link w:val="Textocomentario"/>
    <w:uiPriority w:val="99"/>
    <w:semiHidden/>
    <w:rsid w:val="00CB095B"/>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B095B"/>
    <w:rPr>
      <w:b/>
      <w:bCs/>
    </w:rPr>
  </w:style>
  <w:style w:type="character" w:customStyle="1" w:styleId="AsuntodelcomentarioCar">
    <w:name w:val="Asunto del comentario Car"/>
    <w:basedOn w:val="TextocomentarioCar"/>
    <w:link w:val="Asuntodelcomentario"/>
    <w:uiPriority w:val="99"/>
    <w:semiHidden/>
    <w:rsid w:val="00CB095B"/>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093F1D"/>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E6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E4E6F"/>
    <w:pPr>
      <w:tabs>
        <w:tab w:val="center" w:pos="4252"/>
        <w:tab w:val="right" w:pos="8504"/>
      </w:tabs>
    </w:pPr>
  </w:style>
  <w:style w:type="character" w:customStyle="1" w:styleId="PiedepginaCar">
    <w:name w:val="Pie de página Car"/>
    <w:basedOn w:val="Fuentedeprrafopredeter"/>
    <w:link w:val="Piedepgina"/>
    <w:uiPriority w:val="99"/>
    <w:rsid w:val="003E4E6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E4E6F"/>
  </w:style>
  <w:style w:type="paragraph" w:customStyle="1" w:styleId="Prrafodelista1">
    <w:name w:val="Párrafo de lista1"/>
    <w:basedOn w:val="Normal"/>
    <w:rsid w:val="003E4E6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3E4E6F"/>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3E4E6F"/>
    <w:pPr>
      <w:tabs>
        <w:tab w:val="center" w:pos="4252"/>
        <w:tab w:val="right" w:pos="8504"/>
      </w:tabs>
    </w:pPr>
  </w:style>
  <w:style w:type="character" w:customStyle="1" w:styleId="EncabezadoCar">
    <w:name w:val="Encabezado Car"/>
    <w:basedOn w:val="Fuentedeprrafopredeter"/>
    <w:link w:val="Encabezado"/>
    <w:uiPriority w:val="99"/>
    <w:rsid w:val="003E4E6F"/>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3E4E6F"/>
    <w:rPr>
      <w:rFonts w:ascii="Times New Roman" w:eastAsia="Times New Roman" w:hAnsi="Times New Roman" w:cs="Times New Roman"/>
      <w:sz w:val="24"/>
      <w:szCs w:val="20"/>
      <w:lang w:val="es-ES_tradnl" w:eastAsia="es-ES"/>
    </w:rPr>
  </w:style>
  <w:style w:type="paragraph" w:styleId="Textonotapie">
    <w:name w:val="footnote text"/>
    <w:aliases w:val="Ref. de nota al pie1,referencia nota al pie,Texto de nota al pie,Footnote Text Char,Footnote Text Char Char Char Char,Footnote Text Char Char Char Char Char Char Char Char,Footnote Text Char Char Char Char Char Char1,Footnote referenc"/>
    <w:basedOn w:val="Normal"/>
    <w:link w:val="TextonotapieCar"/>
    <w:uiPriority w:val="99"/>
    <w:unhideWhenUsed/>
    <w:qFormat/>
    <w:rsid w:val="003E4E6F"/>
    <w:rPr>
      <w:sz w:val="20"/>
    </w:rPr>
  </w:style>
  <w:style w:type="character" w:customStyle="1" w:styleId="TextonotapieCar">
    <w:name w:val="Texto nota pie Car"/>
    <w:aliases w:val="Ref. de nota al pie1 Car,referencia nota al pie Car,Texto de nota al pie Car,Footnote Text Char Car,Footnote Text Char Char Char Char Car,Footnote Text Char Char Char Char Char Char Char Char Car,Footnote referenc Car"/>
    <w:basedOn w:val="Fuentedeprrafopredeter"/>
    <w:link w:val="Textonotapie"/>
    <w:uiPriority w:val="99"/>
    <w:rsid w:val="003E4E6F"/>
    <w:rPr>
      <w:rFonts w:ascii="Times New Roman" w:eastAsia="Times New Roman" w:hAnsi="Times New Roman" w:cs="Times New Roman"/>
      <w:sz w:val="20"/>
      <w:szCs w:val="20"/>
      <w:lang w:val="es-ES_tradnl" w:eastAsia="es-ES"/>
    </w:rPr>
  </w:style>
  <w:style w:type="character" w:styleId="Refdenotaalpie">
    <w:name w:val="footnote reference"/>
    <w:aliases w:val="Pie de Página,FC,Nota de pie,Texto nota al pie,Footnote number,BVI fnr,f,4_G,16 Point,Superscript 6 Point,Texto de nota al pi,Footnotes refss,Appel note de bas de page,Fago Fußnotenzeichen,Ref. de nota al pie 2,Footnote symbol,Ref"/>
    <w:basedOn w:val="Fuentedeprrafopredeter"/>
    <w:uiPriority w:val="99"/>
    <w:unhideWhenUsed/>
    <w:rsid w:val="003E4E6F"/>
    <w:rPr>
      <w:vertAlign w:val="superscript"/>
    </w:rPr>
  </w:style>
  <w:style w:type="paragraph" w:styleId="NormalWeb">
    <w:name w:val="Normal (Web)"/>
    <w:basedOn w:val="Normal"/>
    <w:link w:val="NormalWebCar"/>
    <w:uiPriority w:val="99"/>
    <w:unhideWhenUsed/>
    <w:rsid w:val="003E4E6F"/>
    <w:pPr>
      <w:spacing w:before="100" w:beforeAutospacing="1" w:after="100" w:afterAutospacing="1"/>
    </w:pPr>
    <w:rPr>
      <w:szCs w:val="24"/>
      <w:lang w:val="es-CO" w:eastAsia="es-CO"/>
    </w:rPr>
  </w:style>
  <w:style w:type="character" w:customStyle="1" w:styleId="NormalWebCar">
    <w:name w:val="Normal (Web) Car"/>
    <w:link w:val="NormalWeb"/>
    <w:uiPriority w:val="99"/>
    <w:rsid w:val="003E4E6F"/>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CB09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95B"/>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CB095B"/>
    <w:rPr>
      <w:sz w:val="16"/>
      <w:szCs w:val="16"/>
    </w:rPr>
  </w:style>
  <w:style w:type="paragraph" w:styleId="Textocomentario">
    <w:name w:val="annotation text"/>
    <w:basedOn w:val="Normal"/>
    <w:link w:val="TextocomentarioCar"/>
    <w:uiPriority w:val="99"/>
    <w:semiHidden/>
    <w:unhideWhenUsed/>
    <w:rsid w:val="00CB095B"/>
    <w:rPr>
      <w:sz w:val="20"/>
    </w:rPr>
  </w:style>
  <w:style w:type="character" w:customStyle="1" w:styleId="TextocomentarioCar">
    <w:name w:val="Texto comentario Car"/>
    <w:basedOn w:val="Fuentedeprrafopredeter"/>
    <w:link w:val="Textocomentario"/>
    <w:uiPriority w:val="99"/>
    <w:semiHidden/>
    <w:rsid w:val="00CB095B"/>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B095B"/>
    <w:rPr>
      <w:b/>
      <w:bCs/>
    </w:rPr>
  </w:style>
  <w:style w:type="character" w:customStyle="1" w:styleId="AsuntodelcomentarioCar">
    <w:name w:val="Asunto del comentario Car"/>
    <w:basedOn w:val="TextocomentarioCar"/>
    <w:link w:val="Asuntodelcomentario"/>
    <w:uiPriority w:val="99"/>
    <w:semiHidden/>
    <w:rsid w:val="00CB095B"/>
    <w:rPr>
      <w:rFonts w:ascii="Times New Roman" w:eastAsia="Times New Roman" w:hAnsi="Times New Roman" w:cs="Times New Roman"/>
      <w:b/>
      <w:bCs/>
      <w:sz w:val="20"/>
      <w:szCs w:val="20"/>
      <w:lang w:val="es-ES_tradnl" w:eastAsia="es-ES"/>
    </w:rPr>
  </w:style>
  <w:style w:type="paragraph" w:styleId="Prrafodelista">
    <w:name w:val="List Paragraph"/>
    <w:basedOn w:val="Normal"/>
    <w:uiPriority w:val="34"/>
    <w:qFormat/>
    <w:rsid w:val="00093F1D"/>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C4A0-0D16-421D-B429-E2E76CDD8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ED619-102A-481F-B873-F00520E7CD7A}">
  <ds:schemaRefs>
    <ds:schemaRef ds:uri="http://schemas.microsoft.com/sharepoint/v3/contenttype/forms"/>
  </ds:schemaRefs>
</ds:datastoreItem>
</file>

<file path=customXml/itemProps3.xml><?xml version="1.0" encoding="utf-8"?>
<ds:datastoreItem xmlns:ds="http://schemas.openxmlformats.org/officeDocument/2006/customXml" ds:itemID="{4867E617-DE61-48C5-AF26-D6AA3DAFDA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CA7460-D397-4128-ABFE-D9B9BF87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2172</Words>
  <Characters>11948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ALONSO</cp:lastModifiedBy>
  <cp:revision>2</cp:revision>
  <cp:lastPrinted>2020-09-28T03:57:00Z</cp:lastPrinted>
  <dcterms:created xsi:type="dcterms:W3CDTF">2020-11-16T15:40:00Z</dcterms:created>
  <dcterms:modified xsi:type="dcterms:W3CDTF">2020-11-16T15:40:00Z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