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B9D6" w14:textId="77777777" w:rsidR="00A653F0" w:rsidRPr="00A653F0" w:rsidRDefault="00A653F0" w:rsidP="00A653F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653F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414A04" w14:textId="77777777" w:rsidR="00A653F0" w:rsidRPr="00A653F0" w:rsidRDefault="00A653F0" w:rsidP="00A653F0">
      <w:pPr>
        <w:jc w:val="both"/>
        <w:rPr>
          <w:rFonts w:ascii="Arial" w:hAnsi="Arial" w:cs="Arial"/>
          <w:sz w:val="20"/>
          <w:szCs w:val="20"/>
          <w:lang w:val="es-419" w:eastAsia="es-ES"/>
        </w:rPr>
      </w:pPr>
    </w:p>
    <w:p w14:paraId="24C15E49" w14:textId="49BB75F8" w:rsidR="00A653F0" w:rsidRPr="00A653F0" w:rsidRDefault="00A653F0" w:rsidP="00A653F0">
      <w:pPr>
        <w:jc w:val="both"/>
        <w:rPr>
          <w:rFonts w:ascii="Arial" w:hAnsi="Arial" w:cs="Arial"/>
          <w:b/>
          <w:bCs/>
          <w:iCs/>
          <w:sz w:val="20"/>
          <w:szCs w:val="20"/>
          <w:lang w:val="es-419" w:eastAsia="fr-FR"/>
        </w:rPr>
      </w:pPr>
      <w:r w:rsidRPr="00A653F0">
        <w:rPr>
          <w:rFonts w:ascii="Arial" w:hAnsi="Arial" w:cs="Arial"/>
          <w:b/>
          <w:bCs/>
          <w:iCs/>
          <w:sz w:val="20"/>
          <w:szCs w:val="20"/>
          <w:u w:val="single"/>
          <w:lang w:val="es-419" w:eastAsia="fr-FR"/>
        </w:rPr>
        <w:t>TEMAS:</w:t>
      </w:r>
      <w:r w:rsidRPr="00A653F0">
        <w:rPr>
          <w:rFonts w:ascii="Arial" w:hAnsi="Arial" w:cs="Arial"/>
          <w:b/>
          <w:bCs/>
          <w:iCs/>
          <w:sz w:val="20"/>
          <w:szCs w:val="20"/>
          <w:lang w:val="es-419" w:eastAsia="fr-FR"/>
        </w:rPr>
        <w:tab/>
      </w:r>
      <w:r w:rsidR="005D05AB">
        <w:rPr>
          <w:rFonts w:ascii="Arial" w:hAnsi="Arial" w:cs="Arial"/>
          <w:b/>
          <w:bCs/>
          <w:iCs/>
          <w:sz w:val="20"/>
          <w:szCs w:val="20"/>
          <w:lang w:val="es-419" w:eastAsia="fr-FR"/>
        </w:rPr>
        <w:t>SEGURIDAD SOCIAL / PAGO INCAPACIDADES MÉDICAS /</w:t>
      </w:r>
      <w:r w:rsidRPr="00A653F0">
        <w:rPr>
          <w:rFonts w:ascii="Arial" w:hAnsi="Arial" w:cs="Arial"/>
          <w:b/>
          <w:sz w:val="20"/>
          <w:szCs w:val="20"/>
          <w:lang w:val="es-419" w:eastAsia="es-ES"/>
        </w:rPr>
        <w:t xml:space="preserve"> </w:t>
      </w:r>
      <w:r w:rsidR="005D05AB">
        <w:rPr>
          <w:rFonts w:ascii="Arial" w:hAnsi="Arial" w:cs="Arial"/>
          <w:b/>
          <w:sz w:val="20"/>
          <w:szCs w:val="20"/>
          <w:lang w:val="es-419" w:eastAsia="es-ES"/>
        </w:rPr>
        <w:t xml:space="preserve">DISTRIBUCIÓN PAGO </w:t>
      </w:r>
      <w:r w:rsidRPr="00A653F0">
        <w:rPr>
          <w:rFonts w:ascii="Arial" w:hAnsi="Arial" w:cs="Arial"/>
          <w:b/>
          <w:bCs/>
          <w:iCs/>
          <w:sz w:val="20"/>
          <w:szCs w:val="20"/>
          <w:lang w:val="es-419" w:eastAsia="fr-FR"/>
        </w:rPr>
        <w:t xml:space="preserve">/ </w:t>
      </w:r>
      <w:r w:rsidR="005D05AB">
        <w:rPr>
          <w:rFonts w:ascii="Arial" w:hAnsi="Arial" w:cs="Arial"/>
          <w:b/>
          <w:bCs/>
          <w:iCs/>
          <w:sz w:val="20"/>
          <w:szCs w:val="20"/>
          <w:lang w:val="es-419" w:eastAsia="fr-FR"/>
        </w:rPr>
        <w:t>SUPERIOR A 540 DÍAS CORRESPONDE A EPS / SUSTENTO LEGAL Y JURISPRUDENCIAL.</w:t>
      </w:r>
    </w:p>
    <w:p w14:paraId="294AE067" w14:textId="77777777" w:rsidR="00A653F0" w:rsidRPr="00A653F0" w:rsidRDefault="00A653F0" w:rsidP="00A653F0">
      <w:pPr>
        <w:jc w:val="both"/>
        <w:rPr>
          <w:rFonts w:ascii="Arial" w:hAnsi="Arial" w:cs="Arial"/>
          <w:sz w:val="20"/>
          <w:szCs w:val="20"/>
          <w:lang w:val="es-419" w:eastAsia="es-ES"/>
        </w:rPr>
      </w:pPr>
    </w:p>
    <w:p w14:paraId="5672FACF" w14:textId="77777777"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En lo correspondiente a la responsabilidad frente al reconocimiento y pago de incapacidades, la misma se encuentra distribuida así:</w:t>
      </w:r>
    </w:p>
    <w:p w14:paraId="140CB589" w14:textId="77777777"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 xml:space="preserve">  </w:t>
      </w:r>
    </w:p>
    <w:p w14:paraId="469D168C" w14:textId="3E4F2020"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i.  Entre el día 1 y 2 el empleador es el encargado de asumir su desembolso</w:t>
      </w:r>
      <w:r>
        <w:rPr>
          <w:rFonts w:ascii="Arial" w:hAnsi="Arial" w:cs="Arial"/>
          <w:sz w:val="20"/>
          <w:szCs w:val="20"/>
          <w:lang w:val="es-419" w:eastAsia="es-ES"/>
        </w:rPr>
        <w:t>…</w:t>
      </w:r>
    </w:p>
    <w:p w14:paraId="1376C12B" w14:textId="77777777"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 xml:space="preserve"> </w:t>
      </w:r>
    </w:p>
    <w:p w14:paraId="74B4E3B7" w14:textId="77777777" w:rsid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ii.  Si pasado el día 2, el empleado continúa incapacitado</w:t>
      </w:r>
      <w:r>
        <w:rPr>
          <w:rFonts w:ascii="Arial" w:hAnsi="Arial" w:cs="Arial"/>
          <w:sz w:val="20"/>
          <w:szCs w:val="20"/>
          <w:lang w:val="es-419" w:eastAsia="es-ES"/>
        </w:rPr>
        <w:t>…</w:t>
      </w:r>
      <w:r w:rsidRPr="00A653F0">
        <w:rPr>
          <w:rFonts w:ascii="Arial" w:hAnsi="Arial" w:cs="Arial"/>
          <w:sz w:val="20"/>
          <w:szCs w:val="20"/>
          <w:lang w:val="es-419" w:eastAsia="es-ES"/>
        </w:rPr>
        <w:t>, a partir del día 3 hasta el día número 180, la obligación de cancelar el auxilio económico recae en la EPS a la que se encuentre afiliado</w:t>
      </w:r>
      <w:r>
        <w:rPr>
          <w:rFonts w:ascii="Arial" w:hAnsi="Arial" w:cs="Arial"/>
          <w:sz w:val="20"/>
          <w:szCs w:val="20"/>
          <w:lang w:val="es-419" w:eastAsia="es-ES"/>
        </w:rPr>
        <w:t>…</w:t>
      </w:r>
    </w:p>
    <w:p w14:paraId="3DDE5801" w14:textId="5A90D3B9"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 xml:space="preserve"> </w:t>
      </w:r>
    </w:p>
    <w:p w14:paraId="15E2E1A7" w14:textId="719F9388"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iii. Durante 360 días, contados desde el día 181 y hasta un plazo de 540 días, el pago de incapacidades está a cargo del fondo de pensiones</w:t>
      </w:r>
      <w:r>
        <w:rPr>
          <w:rFonts w:ascii="Arial" w:hAnsi="Arial" w:cs="Arial"/>
          <w:sz w:val="20"/>
          <w:szCs w:val="20"/>
          <w:lang w:val="es-419" w:eastAsia="es-ES"/>
        </w:rPr>
        <w:t>…</w:t>
      </w:r>
      <w:r w:rsidRPr="00A653F0">
        <w:rPr>
          <w:rFonts w:ascii="Arial" w:hAnsi="Arial" w:cs="Arial"/>
          <w:sz w:val="20"/>
          <w:szCs w:val="20"/>
          <w:lang w:val="es-419" w:eastAsia="es-ES"/>
        </w:rPr>
        <w:t>, cuando haya concepto favorable de rehabilitación por parte de la EPS.</w:t>
      </w:r>
      <w:r>
        <w:rPr>
          <w:rFonts w:ascii="Arial" w:hAnsi="Arial" w:cs="Arial"/>
          <w:sz w:val="20"/>
          <w:szCs w:val="20"/>
          <w:lang w:val="es-419" w:eastAsia="es-ES"/>
        </w:rPr>
        <w:t xml:space="preserve"> (…)</w:t>
      </w:r>
    </w:p>
    <w:p w14:paraId="3BF77B7D" w14:textId="77777777"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 xml:space="preserve"> </w:t>
      </w:r>
    </w:p>
    <w:p w14:paraId="05E0A316" w14:textId="77777777"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 xml:space="preserve">Así las cosas, es claro que las AFP por regla general, deben asumir el pago de incapacidades desde el día 181 al 540, a menos que la EPS haya inobservado sus obligaciones. Caso en el cual, los 360 días a su cargo empezarán a contar una vez recibido el concepto de rehabilitación. </w:t>
      </w:r>
    </w:p>
    <w:p w14:paraId="15DD424F" w14:textId="77777777"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 xml:space="preserve"> </w:t>
      </w:r>
    </w:p>
    <w:p w14:paraId="644596D5" w14:textId="4B34E41E" w:rsidR="00A653F0" w:rsidRPr="00A653F0" w:rsidRDefault="00A653F0" w:rsidP="00A653F0">
      <w:pPr>
        <w:jc w:val="both"/>
        <w:rPr>
          <w:rFonts w:ascii="Arial" w:hAnsi="Arial" w:cs="Arial"/>
          <w:sz w:val="20"/>
          <w:szCs w:val="20"/>
          <w:lang w:val="es-419" w:eastAsia="es-ES"/>
        </w:rPr>
      </w:pPr>
      <w:r w:rsidRPr="00A653F0">
        <w:rPr>
          <w:rFonts w:ascii="Arial" w:hAnsi="Arial" w:cs="Arial"/>
          <w:sz w:val="20"/>
          <w:szCs w:val="20"/>
          <w:lang w:val="es-419" w:eastAsia="es-ES"/>
        </w:rPr>
        <w:t>iv. Ahora bien, en cuanto al pago de las incapacidades que superan los 540 días</w:t>
      </w:r>
      <w:r>
        <w:rPr>
          <w:rFonts w:ascii="Arial" w:hAnsi="Arial" w:cs="Arial"/>
          <w:sz w:val="20"/>
          <w:szCs w:val="20"/>
          <w:lang w:val="es-419" w:eastAsia="es-ES"/>
        </w:rPr>
        <w:t>…</w:t>
      </w:r>
      <w:r w:rsidRPr="00A653F0">
        <w:rPr>
          <w:rFonts w:ascii="Arial" w:hAnsi="Arial" w:cs="Arial"/>
          <w:sz w:val="20"/>
          <w:szCs w:val="20"/>
          <w:lang w:val="es-419" w:eastAsia="es-ES"/>
        </w:rPr>
        <w:t xml:space="preserve"> </w:t>
      </w:r>
    </w:p>
    <w:p w14:paraId="5CB843D1" w14:textId="77777777" w:rsidR="00A653F0" w:rsidRPr="00A653F0" w:rsidRDefault="00A653F0" w:rsidP="00A653F0">
      <w:pPr>
        <w:jc w:val="both"/>
        <w:rPr>
          <w:rFonts w:ascii="Arial" w:hAnsi="Arial" w:cs="Arial"/>
          <w:sz w:val="20"/>
          <w:szCs w:val="20"/>
          <w:lang w:val="es-419" w:eastAsia="es-ES"/>
        </w:rPr>
      </w:pPr>
    </w:p>
    <w:p w14:paraId="388F86A4" w14:textId="1C4591B8" w:rsidR="00A653F0" w:rsidRPr="00A653F0" w:rsidRDefault="00A653F0" w:rsidP="00A653F0">
      <w:pPr>
        <w:jc w:val="both"/>
        <w:rPr>
          <w:rFonts w:ascii="Arial" w:hAnsi="Arial" w:cs="Arial"/>
          <w:sz w:val="20"/>
          <w:szCs w:val="20"/>
          <w:lang w:val="es-419" w:eastAsia="es-ES"/>
        </w:rPr>
      </w:pPr>
      <w:r>
        <w:rPr>
          <w:rFonts w:ascii="Arial" w:hAnsi="Arial" w:cs="Arial"/>
          <w:sz w:val="20"/>
          <w:szCs w:val="20"/>
          <w:lang w:val="es-419" w:eastAsia="es-ES"/>
        </w:rPr>
        <w:t>…</w:t>
      </w:r>
      <w:r w:rsidRPr="00A653F0">
        <w:rPr>
          <w:rFonts w:ascii="Arial" w:hAnsi="Arial" w:cs="Arial"/>
          <w:sz w:val="20"/>
          <w:szCs w:val="20"/>
          <w:lang w:val="es-419" w:eastAsia="es-ES"/>
        </w:rPr>
        <w:t xml:space="preserve"> todo vacío al respecto fue superado con la expedición de la Ley 1753 de 2015, la cual dispone en el artículo 67 que los recursos del Sistema General de Seguridad Social en Salud estarán destinados, entre otras cosas “[al]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Esto es, se le atribuyó la responsabilidad del pago de incapacidades superiores a 540 días a las EPS.</w:t>
      </w:r>
      <w:bookmarkStart w:id="0" w:name="_GoBack"/>
      <w:bookmarkEnd w:id="0"/>
    </w:p>
    <w:p w14:paraId="752D1665" w14:textId="77777777" w:rsidR="00A653F0" w:rsidRPr="00A653F0" w:rsidRDefault="00A653F0" w:rsidP="00A653F0">
      <w:pPr>
        <w:jc w:val="both"/>
        <w:rPr>
          <w:rFonts w:ascii="Arial" w:hAnsi="Arial" w:cs="Arial"/>
          <w:sz w:val="20"/>
          <w:szCs w:val="20"/>
          <w:lang w:val="es-419" w:eastAsia="es-ES"/>
        </w:rPr>
      </w:pPr>
    </w:p>
    <w:p w14:paraId="5DC11235" w14:textId="77777777" w:rsidR="00A653F0" w:rsidRPr="00A653F0" w:rsidRDefault="00A653F0" w:rsidP="00A653F0">
      <w:pPr>
        <w:jc w:val="both"/>
        <w:rPr>
          <w:rFonts w:ascii="Arial" w:hAnsi="Arial" w:cs="Arial"/>
          <w:sz w:val="20"/>
          <w:szCs w:val="20"/>
          <w:lang w:val="es-419" w:eastAsia="es-ES"/>
        </w:rPr>
      </w:pPr>
    </w:p>
    <w:p w14:paraId="52E45C49" w14:textId="77777777" w:rsidR="00A653F0" w:rsidRPr="00A653F0" w:rsidRDefault="00A653F0" w:rsidP="00A653F0">
      <w:pPr>
        <w:jc w:val="both"/>
        <w:rPr>
          <w:rFonts w:ascii="Arial" w:hAnsi="Arial" w:cs="Arial"/>
          <w:sz w:val="20"/>
          <w:szCs w:val="20"/>
          <w:lang w:eastAsia="es-ES"/>
        </w:rPr>
      </w:pPr>
    </w:p>
    <w:p w14:paraId="3AC46881" w14:textId="77777777" w:rsidR="00FF232E" w:rsidRPr="005F5549" w:rsidRDefault="00FF232E" w:rsidP="005F5549">
      <w:pPr>
        <w:pStyle w:val="Ttulo"/>
        <w:spacing w:line="276" w:lineRule="auto"/>
        <w:rPr>
          <w:rFonts w:ascii="Arial" w:hAnsi="Arial"/>
          <w:spacing w:val="12"/>
          <w:lang w:val="es-ES_tradnl"/>
        </w:rPr>
      </w:pPr>
      <w:r w:rsidRPr="005F5549">
        <w:rPr>
          <w:rFonts w:ascii="Arial" w:hAnsi="Arial"/>
          <w:spacing w:val="12"/>
          <w:lang w:val="es-ES_tradnl"/>
        </w:rPr>
        <w:t>REPÚBLICA DE COLOMBIA</w:t>
      </w:r>
    </w:p>
    <w:p w14:paraId="1BE9FCED" w14:textId="77777777" w:rsidR="00FF232E" w:rsidRPr="005F5549" w:rsidRDefault="00FF232E" w:rsidP="005F5549">
      <w:pPr>
        <w:tabs>
          <w:tab w:val="left" w:pos="3060"/>
        </w:tabs>
        <w:spacing w:line="276" w:lineRule="auto"/>
        <w:jc w:val="center"/>
        <w:rPr>
          <w:rFonts w:ascii="Arial" w:hAnsi="Arial" w:cs="Arial"/>
          <w:b/>
          <w:spacing w:val="12"/>
          <w:lang w:val="es-ES_tradnl" w:eastAsia="es-ES"/>
        </w:rPr>
      </w:pPr>
      <w:r w:rsidRPr="005F5549">
        <w:rPr>
          <w:rFonts w:ascii="Arial" w:hAnsi="Arial" w:cs="Arial"/>
          <w:b/>
          <w:spacing w:val="12"/>
          <w:lang w:val="es-ES_tradnl" w:eastAsia="es-ES"/>
        </w:rPr>
        <w:object w:dxaOrig="2289" w:dyaOrig="1470" w14:anchorId="373EA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4.55pt;mso-width-percent:0;mso-height-percent:0;mso-width-percent:0;mso-height-percent:0" o:ole="" fillcolor="window">
            <v:imagedata r:id="rId12" o:title=""/>
          </v:shape>
          <o:OLEObject Type="Embed" ProgID="Word.Picture.8" ShapeID="_x0000_i1025" DrawAspect="Content" ObjectID="_1665902774" r:id="rId13"/>
        </w:object>
      </w:r>
    </w:p>
    <w:p w14:paraId="7A98BE53" w14:textId="77777777" w:rsidR="00FF232E" w:rsidRPr="005F5549" w:rsidRDefault="00FF232E" w:rsidP="005F5549">
      <w:pPr>
        <w:tabs>
          <w:tab w:val="left" w:pos="3060"/>
        </w:tabs>
        <w:spacing w:line="276" w:lineRule="auto"/>
        <w:jc w:val="center"/>
        <w:rPr>
          <w:rFonts w:ascii="Arial" w:hAnsi="Arial" w:cs="Arial"/>
          <w:b/>
          <w:spacing w:val="12"/>
          <w:lang w:val="es-ES_tradnl" w:eastAsia="es-ES"/>
        </w:rPr>
      </w:pPr>
      <w:r w:rsidRPr="005F5549">
        <w:rPr>
          <w:rFonts w:ascii="Arial" w:hAnsi="Arial" w:cs="Arial"/>
          <w:b/>
          <w:spacing w:val="12"/>
          <w:lang w:val="es-ES_tradnl" w:eastAsia="es-ES"/>
        </w:rPr>
        <w:t>TRIBUNAL SUPERIOR DE DISTRITO JUDICIAL DE PEREIRA</w:t>
      </w:r>
    </w:p>
    <w:p w14:paraId="50CA7920" w14:textId="77777777" w:rsidR="00FF232E" w:rsidRPr="005F5549" w:rsidRDefault="00FF232E" w:rsidP="005F5549">
      <w:pPr>
        <w:pStyle w:val="Ttulo1"/>
        <w:spacing w:before="0" w:line="276" w:lineRule="auto"/>
        <w:jc w:val="center"/>
        <w:rPr>
          <w:rFonts w:ascii="Arial" w:eastAsia="Times New Roman" w:hAnsi="Arial" w:cs="Arial"/>
          <w:b/>
          <w:color w:val="auto"/>
          <w:spacing w:val="12"/>
          <w:sz w:val="24"/>
          <w:szCs w:val="24"/>
        </w:rPr>
      </w:pPr>
      <w:r w:rsidRPr="005F5549">
        <w:rPr>
          <w:rFonts w:ascii="Arial" w:eastAsia="Times New Roman" w:hAnsi="Arial" w:cs="Arial"/>
          <w:b/>
          <w:color w:val="auto"/>
          <w:spacing w:val="12"/>
          <w:sz w:val="24"/>
          <w:szCs w:val="24"/>
        </w:rPr>
        <w:t xml:space="preserve">SALA CUARTA DE DECISIÓN LABORAL </w:t>
      </w:r>
    </w:p>
    <w:p w14:paraId="0295ADF3" w14:textId="77777777" w:rsidR="00FF232E" w:rsidRPr="005F5549" w:rsidRDefault="00FF232E" w:rsidP="005F5549">
      <w:pPr>
        <w:pStyle w:val="Sinespaciado"/>
        <w:spacing w:line="276" w:lineRule="auto"/>
        <w:rPr>
          <w:rFonts w:ascii="Arial" w:hAnsi="Arial" w:cs="Arial"/>
          <w:spacing w:val="12"/>
          <w:sz w:val="24"/>
          <w:szCs w:val="24"/>
          <w:lang w:val="es-ES_tradnl"/>
        </w:rPr>
      </w:pPr>
    </w:p>
    <w:p w14:paraId="433EF747" w14:textId="4993BF3B" w:rsidR="00FF232E" w:rsidRPr="005F5549" w:rsidRDefault="005F5549" w:rsidP="005F5549">
      <w:pPr>
        <w:spacing w:line="276" w:lineRule="auto"/>
        <w:jc w:val="center"/>
        <w:rPr>
          <w:rFonts w:ascii="Arial" w:hAnsi="Arial" w:cs="Arial"/>
          <w:spacing w:val="12"/>
          <w:lang w:val="es-ES_tradnl" w:eastAsia="es-ES"/>
        </w:rPr>
      </w:pPr>
      <w:r w:rsidRPr="005F5549">
        <w:rPr>
          <w:rFonts w:ascii="Arial" w:hAnsi="Arial" w:cs="Arial"/>
          <w:spacing w:val="12"/>
          <w:lang w:val="es-ES_tradnl" w:eastAsia="es-ES"/>
        </w:rPr>
        <w:t>Magistrada ponente</w:t>
      </w:r>
      <w:r w:rsidR="00FF232E" w:rsidRPr="005F5549">
        <w:rPr>
          <w:rFonts w:ascii="Arial" w:hAnsi="Arial" w:cs="Arial"/>
          <w:spacing w:val="12"/>
          <w:lang w:val="es-ES_tradnl" w:eastAsia="es-ES"/>
        </w:rPr>
        <w:t xml:space="preserve">: </w:t>
      </w:r>
    </w:p>
    <w:p w14:paraId="61A13AE1" w14:textId="77777777" w:rsidR="00FF232E" w:rsidRPr="005F5549" w:rsidRDefault="00FF232E" w:rsidP="005F5549">
      <w:pPr>
        <w:spacing w:line="276" w:lineRule="auto"/>
        <w:jc w:val="center"/>
        <w:rPr>
          <w:rFonts w:ascii="Arial" w:hAnsi="Arial" w:cs="Arial"/>
          <w:b/>
          <w:spacing w:val="12"/>
          <w:lang w:val="es-ES_tradnl" w:eastAsia="es-ES"/>
        </w:rPr>
      </w:pPr>
      <w:r w:rsidRPr="005F5549">
        <w:rPr>
          <w:rFonts w:ascii="Arial" w:hAnsi="Arial" w:cs="Arial"/>
          <w:b/>
          <w:spacing w:val="12"/>
          <w:lang w:val="es-ES_tradnl" w:eastAsia="es-ES"/>
        </w:rPr>
        <w:t>ALEJANDRA MARÍA HENAO PALACIO</w:t>
      </w:r>
    </w:p>
    <w:p w14:paraId="015CC3A7" w14:textId="77777777" w:rsidR="00FF232E" w:rsidRPr="005F5549" w:rsidRDefault="00FF232E" w:rsidP="005F5549">
      <w:pPr>
        <w:pStyle w:val="Sinespaciado"/>
        <w:spacing w:line="276" w:lineRule="auto"/>
        <w:rPr>
          <w:rFonts w:ascii="Arial" w:hAnsi="Arial" w:cs="Arial"/>
          <w:spacing w:val="12"/>
          <w:sz w:val="24"/>
          <w:szCs w:val="24"/>
          <w:lang w:val="es-ES_tradnl"/>
        </w:rPr>
      </w:pPr>
    </w:p>
    <w:tbl>
      <w:tblPr>
        <w:tblStyle w:val="Tablaconcuadrcula"/>
        <w:tblW w:w="7513" w:type="dxa"/>
        <w:tblInd w:w="250" w:type="dxa"/>
        <w:tblLook w:val="04A0" w:firstRow="1" w:lastRow="0" w:firstColumn="1" w:lastColumn="0" w:noHBand="0" w:noVBand="1"/>
      </w:tblPr>
      <w:tblGrid>
        <w:gridCol w:w="2410"/>
        <w:gridCol w:w="5103"/>
      </w:tblGrid>
      <w:tr w:rsidR="005F5549" w:rsidRPr="005F5549" w14:paraId="035A2FBE" w14:textId="77777777" w:rsidTr="005F5549">
        <w:tc>
          <w:tcPr>
            <w:tcW w:w="2410" w:type="dxa"/>
            <w:vAlign w:val="center"/>
          </w:tcPr>
          <w:p w14:paraId="5ECA7F16" w14:textId="77777777" w:rsidR="00FF232E" w:rsidRPr="005F5549" w:rsidRDefault="00FF232E" w:rsidP="005F5549">
            <w:pPr>
              <w:rPr>
                <w:rFonts w:ascii="Arial" w:hAnsi="Arial" w:cs="Arial"/>
                <w:spacing w:val="12"/>
                <w:sz w:val="22"/>
                <w:lang w:val="es-ES_tradnl" w:eastAsia="es-ES"/>
              </w:rPr>
            </w:pPr>
            <w:r w:rsidRPr="005F5549">
              <w:rPr>
                <w:rFonts w:ascii="Arial" w:hAnsi="Arial" w:cs="Arial"/>
                <w:spacing w:val="12"/>
                <w:sz w:val="22"/>
                <w:lang w:val="es-ES_tradnl" w:eastAsia="es-ES"/>
              </w:rPr>
              <w:t>Accionante:</w:t>
            </w:r>
          </w:p>
        </w:tc>
        <w:tc>
          <w:tcPr>
            <w:tcW w:w="5103" w:type="dxa"/>
          </w:tcPr>
          <w:p w14:paraId="197A4949" w14:textId="77BCD975" w:rsidR="00FF232E" w:rsidRPr="005F5549" w:rsidRDefault="005F5549" w:rsidP="005F5549">
            <w:pPr>
              <w:jc w:val="both"/>
              <w:rPr>
                <w:rFonts w:ascii="Arial" w:hAnsi="Arial" w:cs="Arial"/>
                <w:spacing w:val="12"/>
                <w:sz w:val="22"/>
                <w:lang w:val="es-ES_tradnl" w:eastAsia="es-ES"/>
              </w:rPr>
            </w:pPr>
            <w:r w:rsidRPr="005F5549">
              <w:rPr>
                <w:rFonts w:ascii="Arial" w:hAnsi="Arial" w:cs="Arial"/>
                <w:spacing w:val="12"/>
                <w:sz w:val="22"/>
                <w:lang w:val="es-ES_tradnl" w:eastAsia="es-ES"/>
              </w:rPr>
              <w:t>Alba Marina Castrillón de Zuluaga</w:t>
            </w:r>
          </w:p>
        </w:tc>
      </w:tr>
      <w:tr w:rsidR="005F5549" w:rsidRPr="005F5549" w14:paraId="3DF872D4" w14:textId="77777777" w:rsidTr="005F5549">
        <w:tc>
          <w:tcPr>
            <w:tcW w:w="2410" w:type="dxa"/>
            <w:vAlign w:val="center"/>
          </w:tcPr>
          <w:p w14:paraId="35E644AC" w14:textId="77777777" w:rsidR="00FF232E" w:rsidRPr="005F5549" w:rsidRDefault="00FF232E" w:rsidP="005F5549">
            <w:pPr>
              <w:rPr>
                <w:rFonts w:ascii="Arial" w:hAnsi="Arial" w:cs="Arial"/>
                <w:spacing w:val="12"/>
                <w:sz w:val="22"/>
                <w:lang w:val="es-ES_tradnl" w:eastAsia="es-ES"/>
              </w:rPr>
            </w:pPr>
            <w:r w:rsidRPr="005F5549">
              <w:rPr>
                <w:rFonts w:ascii="Arial" w:hAnsi="Arial" w:cs="Arial"/>
                <w:spacing w:val="12"/>
                <w:sz w:val="22"/>
                <w:lang w:val="es-ES_tradnl" w:eastAsia="es-ES"/>
              </w:rPr>
              <w:t>Accionados:</w:t>
            </w:r>
          </w:p>
        </w:tc>
        <w:tc>
          <w:tcPr>
            <w:tcW w:w="5103" w:type="dxa"/>
          </w:tcPr>
          <w:p w14:paraId="5DE53A3F" w14:textId="0F46A4BB" w:rsidR="00FF232E" w:rsidRPr="005F5549" w:rsidRDefault="005F5549" w:rsidP="005F5549">
            <w:pPr>
              <w:jc w:val="both"/>
              <w:rPr>
                <w:rFonts w:ascii="Arial" w:hAnsi="Arial" w:cs="Arial"/>
                <w:spacing w:val="12"/>
                <w:sz w:val="22"/>
                <w:lang w:val="es-ES_tradnl" w:eastAsia="es-ES"/>
              </w:rPr>
            </w:pPr>
            <w:r w:rsidRPr="005F5549">
              <w:rPr>
                <w:rFonts w:ascii="Arial" w:hAnsi="Arial" w:cs="Arial"/>
                <w:spacing w:val="12"/>
                <w:sz w:val="22"/>
                <w:lang w:val="es-ES_tradnl" w:eastAsia="es-ES"/>
              </w:rPr>
              <w:t xml:space="preserve">Nueva </w:t>
            </w:r>
            <w:proofErr w:type="spellStart"/>
            <w:r w:rsidR="00FF232E" w:rsidRPr="005F5549">
              <w:rPr>
                <w:rFonts w:ascii="Arial" w:hAnsi="Arial" w:cs="Arial"/>
                <w:spacing w:val="12"/>
                <w:sz w:val="22"/>
                <w:lang w:val="es-ES_tradnl" w:eastAsia="es-ES"/>
              </w:rPr>
              <w:t>E.P.S</w:t>
            </w:r>
            <w:proofErr w:type="spellEnd"/>
            <w:r w:rsidR="00FF232E" w:rsidRPr="005F5549">
              <w:rPr>
                <w:rFonts w:ascii="Arial" w:hAnsi="Arial" w:cs="Arial"/>
                <w:spacing w:val="12"/>
                <w:sz w:val="22"/>
                <w:lang w:val="es-ES_tradnl" w:eastAsia="es-ES"/>
              </w:rPr>
              <w:t>. S.A.</w:t>
            </w:r>
          </w:p>
        </w:tc>
      </w:tr>
      <w:tr w:rsidR="005F5549" w:rsidRPr="005F5549" w14:paraId="06B6C70E" w14:textId="77777777" w:rsidTr="005F5549">
        <w:tc>
          <w:tcPr>
            <w:tcW w:w="2410" w:type="dxa"/>
            <w:vAlign w:val="center"/>
          </w:tcPr>
          <w:p w14:paraId="7F5A1716" w14:textId="77777777" w:rsidR="00FF232E" w:rsidRPr="005F5549" w:rsidRDefault="00FF232E" w:rsidP="005F5549">
            <w:pPr>
              <w:rPr>
                <w:rFonts w:ascii="Arial" w:hAnsi="Arial" w:cs="Arial"/>
                <w:spacing w:val="12"/>
                <w:sz w:val="22"/>
                <w:lang w:val="es-ES_tradnl" w:eastAsia="es-ES"/>
              </w:rPr>
            </w:pPr>
            <w:r w:rsidRPr="005F5549">
              <w:rPr>
                <w:rFonts w:ascii="Arial" w:hAnsi="Arial" w:cs="Arial"/>
                <w:spacing w:val="12"/>
                <w:sz w:val="22"/>
                <w:lang w:val="es-ES_tradnl" w:eastAsia="es-ES"/>
              </w:rPr>
              <w:t>Radicación No.</w:t>
            </w:r>
          </w:p>
        </w:tc>
        <w:tc>
          <w:tcPr>
            <w:tcW w:w="5103" w:type="dxa"/>
          </w:tcPr>
          <w:p w14:paraId="3E34B2A9" w14:textId="77777777" w:rsidR="00FF232E" w:rsidRPr="005F5549" w:rsidRDefault="00FF232E" w:rsidP="005F5549">
            <w:pPr>
              <w:jc w:val="both"/>
              <w:rPr>
                <w:rFonts w:ascii="Arial" w:hAnsi="Arial" w:cs="Arial"/>
                <w:spacing w:val="12"/>
                <w:sz w:val="22"/>
                <w:lang w:val="es-ES_tradnl" w:eastAsia="es-ES"/>
              </w:rPr>
            </w:pPr>
            <w:r w:rsidRPr="005F5549">
              <w:rPr>
                <w:rFonts w:ascii="Arial" w:hAnsi="Arial" w:cs="Arial"/>
                <w:spacing w:val="12"/>
                <w:sz w:val="22"/>
                <w:lang w:val="es-ES_tradnl" w:eastAsia="es-ES"/>
              </w:rPr>
              <w:t>66001–31-05-00</w:t>
            </w:r>
            <w:r w:rsidR="009F4550" w:rsidRPr="005F5549">
              <w:rPr>
                <w:rFonts w:ascii="Arial" w:hAnsi="Arial" w:cs="Arial"/>
                <w:spacing w:val="12"/>
                <w:sz w:val="22"/>
                <w:lang w:val="es-ES_tradnl" w:eastAsia="es-ES"/>
              </w:rPr>
              <w:t>3</w:t>
            </w:r>
            <w:r w:rsidRPr="005F5549">
              <w:rPr>
                <w:rFonts w:ascii="Arial" w:hAnsi="Arial" w:cs="Arial"/>
                <w:spacing w:val="12"/>
                <w:sz w:val="22"/>
                <w:lang w:val="es-ES_tradnl" w:eastAsia="es-ES"/>
              </w:rPr>
              <w:t>-2020-001</w:t>
            </w:r>
            <w:r w:rsidR="009F4550" w:rsidRPr="005F5549">
              <w:rPr>
                <w:rFonts w:ascii="Arial" w:hAnsi="Arial" w:cs="Arial"/>
                <w:spacing w:val="12"/>
                <w:sz w:val="22"/>
                <w:lang w:val="es-ES_tradnl" w:eastAsia="es-ES"/>
              </w:rPr>
              <w:t>63</w:t>
            </w:r>
            <w:r w:rsidRPr="005F5549">
              <w:rPr>
                <w:rFonts w:ascii="Arial" w:hAnsi="Arial" w:cs="Arial"/>
                <w:spacing w:val="12"/>
                <w:sz w:val="22"/>
                <w:lang w:val="es-ES_tradnl" w:eastAsia="es-ES"/>
              </w:rPr>
              <w:t>-01</w:t>
            </w:r>
          </w:p>
        </w:tc>
      </w:tr>
      <w:tr w:rsidR="005F5549" w:rsidRPr="005F5549" w14:paraId="3DF6A3FA" w14:textId="77777777" w:rsidTr="005F5549">
        <w:tc>
          <w:tcPr>
            <w:tcW w:w="2410" w:type="dxa"/>
            <w:vAlign w:val="center"/>
          </w:tcPr>
          <w:p w14:paraId="2CFF0668" w14:textId="77777777" w:rsidR="00FF232E" w:rsidRPr="005F5549" w:rsidRDefault="00FF232E" w:rsidP="005F5549">
            <w:pPr>
              <w:rPr>
                <w:rFonts w:ascii="Arial" w:hAnsi="Arial" w:cs="Arial"/>
                <w:spacing w:val="12"/>
                <w:sz w:val="22"/>
                <w:lang w:val="es-ES_tradnl" w:eastAsia="es-ES"/>
              </w:rPr>
            </w:pPr>
            <w:r w:rsidRPr="005F5549">
              <w:rPr>
                <w:rFonts w:ascii="Arial" w:hAnsi="Arial" w:cs="Arial"/>
                <w:spacing w:val="12"/>
                <w:sz w:val="22"/>
                <w:lang w:val="es-ES_tradnl" w:eastAsia="es-ES"/>
              </w:rPr>
              <w:t>Juzgado origen:</w:t>
            </w:r>
          </w:p>
        </w:tc>
        <w:tc>
          <w:tcPr>
            <w:tcW w:w="5103" w:type="dxa"/>
          </w:tcPr>
          <w:p w14:paraId="4EA57E99" w14:textId="369D82DC" w:rsidR="00FF232E" w:rsidRPr="005F5549" w:rsidRDefault="005F5549" w:rsidP="005F5549">
            <w:pPr>
              <w:jc w:val="both"/>
              <w:rPr>
                <w:rFonts w:ascii="Arial" w:hAnsi="Arial" w:cs="Arial"/>
                <w:spacing w:val="12"/>
                <w:sz w:val="22"/>
                <w:lang w:val="es-ES_tradnl" w:eastAsia="es-ES"/>
              </w:rPr>
            </w:pPr>
            <w:r w:rsidRPr="005F5549">
              <w:rPr>
                <w:rFonts w:ascii="Arial" w:hAnsi="Arial" w:cs="Arial"/>
                <w:spacing w:val="12"/>
                <w:sz w:val="22"/>
                <w:lang w:val="es-ES_tradnl" w:eastAsia="es-ES"/>
              </w:rPr>
              <w:t>Tercero Laboral del Circuito de Pereira</w:t>
            </w:r>
          </w:p>
        </w:tc>
      </w:tr>
      <w:tr w:rsidR="005F5549" w:rsidRPr="005F5549" w14:paraId="2B38ABBE" w14:textId="77777777" w:rsidTr="005F5549">
        <w:tc>
          <w:tcPr>
            <w:tcW w:w="2410" w:type="dxa"/>
            <w:vAlign w:val="center"/>
          </w:tcPr>
          <w:p w14:paraId="39FD72FB" w14:textId="77777777" w:rsidR="00FF232E" w:rsidRPr="005F5549" w:rsidRDefault="00FF232E" w:rsidP="005F5549">
            <w:pPr>
              <w:rPr>
                <w:rFonts w:ascii="Arial" w:hAnsi="Arial" w:cs="Arial"/>
                <w:spacing w:val="12"/>
                <w:sz w:val="22"/>
                <w:lang w:val="es-ES_tradnl" w:eastAsia="es-ES"/>
              </w:rPr>
            </w:pPr>
            <w:r w:rsidRPr="005F5549">
              <w:rPr>
                <w:rFonts w:ascii="Arial" w:hAnsi="Arial" w:cs="Arial"/>
                <w:spacing w:val="12"/>
                <w:sz w:val="22"/>
                <w:lang w:val="es-ES_tradnl" w:eastAsia="es-ES"/>
              </w:rPr>
              <w:t>Tipo de proceso:</w:t>
            </w:r>
          </w:p>
        </w:tc>
        <w:tc>
          <w:tcPr>
            <w:tcW w:w="5103" w:type="dxa"/>
          </w:tcPr>
          <w:p w14:paraId="4B30D3C3" w14:textId="1055C685" w:rsidR="00FF232E" w:rsidRPr="005F5549" w:rsidRDefault="005F5549" w:rsidP="005F5549">
            <w:pPr>
              <w:jc w:val="both"/>
              <w:rPr>
                <w:rFonts w:ascii="Arial" w:hAnsi="Arial" w:cs="Arial"/>
                <w:spacing w:val="12"/>
                <w:sz w:val="22"/>
                <w:lang w:val="es-ES_tradnl" w:eastAsia="es-ES"/>
              </w:rPr>
            </w:pPr>
            <w:r>
              <w:rPr>
                <w:rFonts w:ascii="Arial" w:hAnsi="Arial" w:cs="Arial"/>
                <w:spacing w:val="12"/>
                <w:sz w:val="22"/>
                <w:lang w:val="es-ES_tradnl" w:eastAsia="es-ES"/>
              </w:rPr>
              <w:t xml:space="preserve">Acción de </w:t>
            </w:r>
            <w:r w:rsidRPr="005F5549">
              <w:rPr>
                <w:rFonts w:ascii="Arial" w:hAnsi="Arial" w:cs="Arial"/>
                <w:spacing w:val="12"/>
                <w:sz w:val="22"/>
                <w:lang w:val="es-ES_tradnl" w:eastAsia="es-ES"/>
              </w:rPr>
              <w:t xml:space="preserve">tutela  </w:t>
            </w:r>
          </w:p>
        </w:tc>
      </w:tr>
      <w:tr w:rsidR="005F5549" w:rsidRPr="005F5549" w14:paraId="4C508649" w14:textId="77777777" w:rsidTr="005F5549">
        <w:tc>
          <w:tcPr>
            <w:tcW w:w="2410" w:type="dxa"/>
            <w:vAlign w:val="center"/>
          </w:tcPr>
          <w:p w14:paraId="382171F0" w14:textId="77777777" w:rsidR="00FF232E" w:rsidRPr="005F5549" w:rsidRDefault="00FF232E" w:rsidP="005F5549">
            <w:pPr>
              <w:rPr>
                <w:rFonts w:ascii="Arial" w:hAnsi="Arial" w:cs="Arial"/>
                <w:spacing w:val="12"/>
                <w:sz w:val="22"/>
                <w:lang w:val="es-ES_tradnl" w:eastAsia="es-ES"/>
              </w:rPr>
            </w:pPr>
            <w:r w:rsidRPr="005F5549">
              <w:rPr>
                <w:rFonts w:ascii="Arial" w:hAnsi="Arial" w:cs="Arial"/>
                <w:spacing w:val="12"/>
                <w:sz w:val="22"/>
                <w:lang w:val="es-ES_tradnl" w:eastAsia="es-ES"/>
              </w:rPr>
              <w:t>Providencia:</w:t>
            </w:r>
          </w:p>
        </w:tc>
        <w:tc>
          <w:tcPr>
            <w:tcW w:w="5103" w:type="dxa"/>
          </w:tcPr>
          <w:p w14:paraId="761CDCD3" w14:textId="54F65EAA" w:rsidR="00FF232E" w:rsidRPr="005F5549" w:rsidRDefault="005F5549" w:rsidP="005F5549">
            <w:pPr>
              <w:jc w:val="both"/>
              <w:rPr>
                <w:rFonts w:ascii="Arial" w:hAnsi="Arial" w:cs="Arial"/>
                <w:spacing w:val="12"/>
                <w:sz w:val="22"/>
                <w:lang w:val="es-ES_tradnl" w:eastAsia="es-ES"/>
              </w:rPr>
            </w:pPr>
            <w:r w:rsidRPr="005F5549">
              <w:rPr>
                <w:rFonts w:ascii="Arial" w:hAnsi="Arial" w:cs="Arial"/>
                <w:spacing w:val="12"/>
                <w:sz w:val="22"/>
                <w:lang w:val="es-ES_tradnl" w:eastAsia="es-ES"/>
              </w:rPr>
              <w:t>Sentencia de segunda instancia</w:t>
            </w:r>
          </w:p>
        </w:tc>
      </w:tr>
      <w:tr w:rsidR="005F5549" w:rsidRPr="005F5549" w14:paraId="0A19C14B" w14:textId="77777777" w:rsidTr="005F5549">
        <w:trPr>
          <w:trHeight w:val="77"/>
        </w:trPr>
        <w:tc>
          <w:tcPr>
            <w:tcW w:w="2410" w:type="dxa"/>
            <w:vAlign w:val="center"/>
          </w:tcPr>
          <w:p w14:paraId="483C6D45" w14:textId="77777777" w:rsidR="00FF232E" w:rsidRPr="005F5549" w:rsidRDefault="00FF232E" w:rsidP="005F5549">
            <w:pPr>
              <w:rPr>
                <w:rFonts w:ascii="Arial" w:hAnsi="Arial" w:cs="Arial"/>
                <w:spacing w:val="12"/>
                <w:sz w:val="22"/>
                <w:lang w:val="es-ES_tradnl" w:eastAsia="es-ES"/>
              </w:rPr>
            </w:pPr>
            <w:r w:rsidRPr="005F5549">
              <w:rPr>
                <w:rFonts w:ascii="Arial" w:hAnsi="Arial" w:cs="Arial"/>
                <w:spacing w:val="12"/>
                <w:sz w:val="22"/>
                <w:lang w:val="es-ES_tradnl" w:eastAsia="es-ES"/>
              </w:rPr>
              <w:t>Decisión:</w:t>
            </w:r>
          </w:p>
        </w:tc>
        <w:tc>
          <w:tcPr>
            <w:tcW w:w="5103" w:type="dxa"/>
          </w:tcPr>
          <w:p w14:paraId="5138C63C" w14:textId="77777777" w:rsidR="00FF232E" w:rsidRPr="005F5549" w:rsidRDefault="00FF232E" w:rsidP="005F5549">
            <w:pPr>
              <w:jc w:val="both"/>
              <w:rPr>
                <w:rFonts w:ascii="Arial" w:hAnsi="Arial" w:cs="Arial"/>
                <w:spacing w:val="12"/>
                <w:sz w:val="22"/>
                <w:lang w:val="es-ES_tradnl" w:eastAsia="es-ES"/>
              </w:rPr>
            </w:pPr>
            <w:r w:rsidRPr="005F5549">
              <w:rPr>
                <w:rFonts w:ascii="Arial" w:hAnsi="Arial" w:cs="Arial"/>
                <w:spacing w:val="12"/>
                <w:sz w:val="22"/>
                <w:lang w:val="es-ES_tradnl" w:eastAsia="es-ES"/>
              </w:rPr>
              <w:t>CONFIRMA</w:t>
            </w:r>
          </w:p>
        </w:tc>
      </w:tr>
    </w:tbl>
    <w:p w14:paraId="19191764" w14:textId="77777777" w:rsidR="00FF232E" w:rsidRPr="005F5549" w:rsidRDefault="00FF232E" w:rsidP="005F5549">
      <w:pPr>
        <w:spacing w:line="276" w:lineRule="auto"/>
        <w:rPr>
          <w:rFonts w:ascii="Arial" w:hAnsi="Arial" w:cs="Arial"/>
          <w:spacing w:val="12"/>
          <w:lang w:val="es-ES_tradnl" w:eastAsia="es-ES"/>
        </w:rPr>
      </w:pPr>
    </w:p>
    <w:p w14:paraId="72A31331" w14:textId="57C6D094" w:rsidR="00FF232E" w:rsidRPr="005F5549" w:rsidRDefault="00FF232E" w:rsidP="005F5549">
      <w:pPr>
        <w:spacing w:line="276" w:lineRule="auto"/>
        <w:jc w:val="center"/>
        <w:rPr>
          <w:rFonts w:ascii="Arial" w:hAnsi="Arial" w:cs="Arial"/>
          <w:spacing w:val="12"/>
          <w:lang w:val="es-ES_tradnl" w:eastAsia="es-ES"/>
        </w:rPr>
      </w:pPr>
      <w:r w:rsidRPr="005F5549">
        <w:rPr>
          <w:rFonts w:ascii="Arial" w:hAnsi="Arial" w:cs="Arial"/>
          <w:spacing w:val="12"/>
          <w:lang w:val="es-ES_tradnl" w:eastAsia="es-ES"/>
        </w:rPr>
        <w:t xml:space="preserve">Pereira, Risaralda, </w:t>
      </w:r>
      <w:r w:rsidR="00CF4C30" w:rsidRPr="005F5549">
        <w:rPr>
          <w:rFonts w:ascii="Arial" w:hAnsi="Arial" w:cs="Arial"/>
          <w:spacing w:val="12"/>
          <w:lang w:val="es-ES_tradnl" w:eastAsia="es-ES"/>
        </w:rPr>
        <w:t>veintidós</w:t>
      </w:r>
      <w:r w:rsidRPr="005F5549">
        <w:rPr>
          <w:rFonts w:ascii="Arial" w:hAnsi="Arial" w:cs="Arial"/>
          <w:spacing w:val="12"/>
          <w:lang w:val="es-ES_tradnl" w:eastAsia="es-ES"/>
        </w:rPr>
        <w:t xml:space="preserve"> (</w:t>
      </w:r>
      <w:r w:rsidR="009F4550" w:rsidRPr="005F5549">
        <w:rPr>
          <w:rFonts w:ascii="Arial" w:hAnsi="Arial" w:cs="Arial"/>
          <w:spacing w:val="12"/>
          <w:lang w:val="es-ES_tradnl" w:eastAsia="es-ES"/>
        </w:rPr>
        <w:t>2</w:t>
      </w:r>
      <w:r w:rsidR="00CF4C30" w:rsidRPr="005F5549">
        <w:rPr>
          <w:rFonts w:ascii="Arial" w:hAnsi="Arial" w:cs="Arial"/>
          <w:spacing w:val="12"/>
          <w:lang w:val="es-ES_tradnl" w:eastAsia="es-ES"/>
        </w:rPr>
        <w:t>2</w:t>
      </w:r>
      <w:r w:rsidRPr="005F5549">
        <w:rPr>
          <w:rFonts w:ascii="Arial" w:hAnsi="Arial" w:cs="Arial"/>
          <w:spacing w:val="12"/>
          <w:lang w:val="es-ES_tradnl" w:eastAsia="es-ES"/>
        </w:rPr>
        <w:t xml:space="preserve">) de </w:t>
      </w:r>
      <w:r w:rsidR="009F4550" w:rsidRPr="005F5549">
        <w:rPr>
          <w:rFonts w:ascii="Arial" w:hAnsi="Arial" w:cs="Arial"/>
          <w:spacing w:val="12"/>
          <w:lang w:val="es-ES_tradnl" w:eastAsia="es-ES"/>
        </w:rPr>
        <w:t xml:space="preserve">septiembre </w:t>
      </w:r>
      <w:r w:rsidRPr="005F5549">
        <w:rPr>
          <w:rFonts w:ascii="Arial" w:hAnsi="Arial" w:cs="Arial"/>
          <w:spacing w:val="12"/>
          <w:lang w:val="es-ES_tradnl" w:eastAsia="es-ES"/>
        </w:rPr>
        <w:t>de dos mil veinte (2020)</w:t>
      </w:r>
    </w:p>
    <w:p w14:paraId="75244405" w14:textId="247C28B2" w:rsidR="00FF232E" w:rsidRPr="005F5549" w:rsidRDefault="00FF232E" w:rsidP="005F5549">
      <w:pPr>
        <w:spacing w:line="276" w:lineRule="auto"/>
        <w:jc w:val="center"/>
        <w:rPr>
          <w:rFonts w:ascii="Arial" w:hAnsi="Arial" w:cs="Arial"/>
          <w:spacing w:val="12"/>
          <w:lang w:val="es-ES_tradnl" w:eastAsia="es-ES"/>
        </w:rPr>
      </w:pPr>
      <w:r w:rsidRPr="005F5549">
        <w:rPr>
          <w:rFonts w:ascii="Arial" w:hAnsi="Arial" w:cs="Arial"/>
          <w:spacing w:val="12"/>
          <w:lang w:val="es-ES_tradnl" w:eastAsia="es-ES"/>
        </w:rPr>
        <w:t xml:space="preserve">Acta número </w:t>
      </w:r>
      <w:r w:rsidR="00CF4C30" w:rsidRPr="005F5549">
        <w:rPr>
          <w:rFonts w:ascii="Arial" w:hAnsi="Arial" w:cs="Arial"/>
          <w:spacing w:val="12"/>
          <w:lang w:val="es-ES_tradnl" w:eastAsia="es-ES"/>
        </w:rPr>
        <w:t>114</w:t>
      </w:r>
      <w:r w:rsidRPr="005F5549">
        <w:rPr>
          <w:rFonts w:ascii="Arial" w:hAnsi="Arial" w:cs="Arial"/>
          <w:spacing w:val="12"/>
          <w:lang w:val="es-ES_tradnl" w:eastAsia="es-ES"/>
        </w:rPr>
        <w:t xml:space="preserve"> del</w:t>
      </w:r>
      <w:r w:rsidR="00CF4C30" w:rsidRPr="005F5549">
        <w:rPr>
          <w:rFonts w:ascii="Arial" w:hAnsi="Arial" w:cs="Arial"/>
          <w:spacing w:val="12"/>
          <w:lang w:val="es-ES_tradnl" w:eastAsia="es-ES"/>
        </w:rPr>
        <w:t xml:space="preserve"> 22-09-2020</w:t>
      </w:r>
    </w:p>
    <w:p w14:paraId="0B527286" w14:textId="77777777" w:rsidR="00FF232E" w:rsidRPr="005F5549" w:rsidRDefault="00FF232E" w:rsidP="005F5549">
      <w:pPr>
        <w:pStyle w:val="Sinespaciado"/>
        <w:spacing w:line="276" w:lineRule="auto"/>
        <w:rPr>
          <w:rFonts w:ascii="Arial" w:hAnsi="Arial" w:cs="Arial"/>
          <w:spacing w:val="12"/>
          <w:sz w:val="24"/>
          <w:szCs w:val="24"/>
          <w:lang w:val="es-ES_tradnl"/>
        </w:rPr>
      </w:pPr>
    </w:p>
    <w:p w14:paraId="75003826" w14:textId="77777777" w:rsidR="00FF232E" w:rsidRPr="005D05AB" w:rsidRDefault="00FF232E" w:rsidP="005F5549">
      <w:pPr>
        <w:spacing w:line="276" w:lineRule="auto"/>
        <w:ind w:firstLine="851"/>
        <w:jc w:val="both"/>
        <w:rPr>
          <w:rFonts w:ascii="Arial" w:hAnsi="Arial" w:cs="Arial"/>
          <w:b/>
          <w:bCs/>
          <w:spacing w:val="8"/>
          <w:lang w:val="es-ES_tradnl"/>
        </w:rPr>
      </w:pPr>
      <w:r w:rsidRPr="005D05AB">
        <w:rPr>
          <w:rFonts w:ascii="Arial" w:hAnsi="Arial" w:cs="Arial"/>
          <w:spacing w:val="8"/>
          <w:lang w:val="es-ES_tradnl" w:eastAsia="es-ES"/>
        </w:rPr>
        <w:t xml:space="preserve">Procede la Sala Cuarta de Decisión Laboral de este Tribunal, </w:t>
      </w:r>
      <w:r w:rsidRPr="005D05AB">
        <w:rPr>
          <w:rFonts w:ascii="Arial" w:hAnsi="Arial" w:cs="Arial"/>
          <w:spacing w:val="8"/>
        </w:rPr>
        <w:t xml:space="preserve">integrada por las Magistradas </w:t>
      </w:r>
      <w:r w:rsidRPr="005D05AB">
        <w:rPr>
          <w:rFonts w:ascii="Arial" w:hAnsi="Arial" w:cs="Arial"/>
          <w:b/>
          <w:bCs/>
          <w:spacing w:val="8"/>
        </w:rPr>
        <w:t xml:space="preserve">ALEJANDRA MARÍA HENAO PALACIO, (ponente) ANA </w:t>
      </w:r>
      <w:r w:rsidRPr="005D05AB">
        <w:rPr>
          <w:rFonts w:ascii="Arial" w:hAnsi="Arial" w:cs="Arial"/>
          <w:b/>
          <w:bCs/>
          <w:spacing w:val="8"/>
        </w:rPr>
        <w:lastRenderedPageBreak/>
        <w:t>LUCIA CAICEDO CALDERÓN y OLGA LUCÍA HOYOS SEPÚLVEDA</w:t>
      </w:r>
      <w:r w:rsidRPr="005D05AB">
        <w:rPr>
          <w:rFonts w:ascii="Arial" w:hAnsi="Arial" w:cs="Arial"/>
          <w:spacing w:val="8"/>
        </w:rPr>
        <w:t xml:space="preserve">  </w:t>
      </w:r>
      <w:r w:rsidRPr="005D05AB">
        <w:rPr>
          <w:rFonts w:ascii="Arial" w:hAnsi="Arial" w:cs="Arial"/>
          <w:spacing w:val="8"/>
          <w:lang w:val="es-ES_tradnl" w:eastAsia="es-ES"/>
        </w:rPr>
        <w:t xml:space="preserve"> a resolver la impugnación, contra la sentencia dictada por el Juzgado </w:t>
      </w:r>
      <w:r w:rsidR="009F4550" w:rsidRPr="005D05AB">
        <w:rPr>
          <w:rFonts w:ascii="Arial" w:hAnsi="Arial" w:cs="Arial"/>
          <w:spacing w:val="8"/>
          <w:lang w:val="es-ES_tradnl" w:eastAsia="es-ES"/>
        </w:rPr>
        <w:t>Tercero</w:t>
      </w:r>
      <w:r w:rsidRPr="005D05AB">
        <w:rPr>
          <w:rFonts w:ascii="Arial" w:hAnsi="Arial" w:cs="Arial"/>
          <w:spacing w:val="8"/>
          <w:lang w:val="es-ES_tradnl" w:eastAsia="es-ES"/>
        </w:rPr>
        <w:t xml:space="preserve"> Laboral del Circuito de Pereira (Risaralda), el </w:t>
      </w:r>
      <w:r w:rsidR="009F4550" w:rsidRPr="005D05AB">
        <w:rPr>
          <w:rFonts w:ascii="Arial" w:hAnsi="Arial" w:cs="Arial"/>
          <w:spacing w:val="8"/>
          <w:lang w:val="es-ES_tradnl" w:eastAsia="es-ES"/>
        </w:rPr>
        <w:t>treinta</w:t>
      </w:r>
      <w:r w:rsidRPr="005D05AB">
        <w:rPr>
          <w:rFonts w:ascii="Arial" w:hAnsi="Arial" w:cs="Arial"/>
          <w:spacing w:val="8"/>
          <w:lang w:val="es-ES_tradnl" w:eastAsia="es-ES"/>
        </w:rPr>
        <w:t xml:space="preserve"> (</w:t>
      </w:r>
      <w:r w:rsidR="009F4550" w:rsidRPr="005D05AB">
        <w:rPr>
          <w:rFonts w:ascii="Arial" w:hAnsi="Arial" w:cs="Arial"/>
          <w:spacing w:val="8"/>
          <w:lang w:val="es-ES_tradnl" w:eastAsia="es-ES"/>
        </w:rPr>
        <w:t>30</w:t>
      </w:r>
      <w:r w:rsidRPr="005D05AB">
        <w:rPr>
          <w:rFonts w:ascii="Arial" w:hAnsi="Arial" w:cs="Arial"/>
          <w:spacing w:val="8"/>
          <w:lang w:val="es-ES_tradnl" w:eastAsia="es-ES"/>
        </w:rPr>
        <w:t xml:space="preserve">) de </w:t>
      </w:r>
      <w:r w:rsidR="009F4550" w:rsidRPr="005D05AB">
        <w:rPr>
          <w:rFonts w:ascii="Arial" w:hAnsi="Arial" w:cs="Arial"/>
          <w:spacing w:val="8"/>
          <w:lang w:val="es-ES_tradnl" w:eastAsia="es-ES"/>
        </w:rPr>
        <w:t xml:space="preserve">julio </w:t>
      </w:r>
      <w:r w:rsidRPr="005D05AB">
        <w:rPr>
          <w:rFonts w:ascii="Arial" w:hAnsi="Arial" w:cs="Arial"/>
          <w:spacing w:val="8"/>
          <w:lang w:val="es-ES_tradnl" w:eastAsia="es-ES"/>
        </w:rPr>
        <w:t>de dos mil veinte (2020), dentro de la acción de tutela arriba referenciada</w:t>
      </w:r>
      <w:r w:rsidR="009F4550" w:rsidRPr="005D05AB">
        <w:rPr>
          <w:rFonts w:ascii="Arial" w:hAnsi="Arial" w:cs="Arial"/>
          <w:spacing w:val="8"/>
          <w:lang w:val="es-ES_tradnl" w:eastAsia="es-ES"/>
        </w:rPr>
        <w:t>.</w:t>
      </w:r>
    </w:p>
    <w:p w14:paraId="2476EFDC" w14:textId="77777777" w:rsidR="00FF232E" w:rsidRPr="005D05AB" w:rsidRDefault="00FF232E" w:rsidP="005F5549">
      <w:pPr>
        <w:pStyle w:val="Sinespaciado"/>
        <w:spacing w:line="276" w:lineRule="auto"/>
        <w:rPr>
          <w:rFonts w:ascii="Arial" w:hAnsi="Arial" w:cs="Arial"/>
          <w:b/>
          <w:bCs/>
          <w:spacing w:val="8"/>
          <w:sz w:val="24"/>
          <w:szCs w:val="24"/>
          <w:lang w:val="es-ES_tradnl"/>
        </w:rPr>
      </w:pPr>
    </w:p>
    <w:p w14:paraId="01DC8DB0" w14:textId="77777777" w:rsidR="00FF232E" w:rsidRPr="005D05AB" w:rsidRDefault="00FF232E" w:rsidP="005F5549">
      <w:pPr>
        <w:pStyle w:val="Prrafodelista"/>
        <w:numPr>
          <w:ilvl w:val="0"/>
          <w:numId w:val="1"/>
        </w:numPr>
        <w:spacing w:line="276" w:lineRule="auto"/>
        <w:rPr>
          <w:rFonts w:ascii="Arial" w:hAnsi="Arial" w:cs="Arial"/>
          <w:b/>
          <w:bCs/>
          <w:spacing w:val="8"/>
          <w:lang w:val="es-ES_tradnl" w:eastAsia="es-ES"/>
        </w:rPr>
      </w:pPr>
      <w:r w:rsidRPr="005D05AB">
        <w:rPr>
          <w:rFonts w:ascii="Arial" w:hAnsi="Arial" w:cs="Arial"/>
          <w:b/>
          <w:bCs/>
          <w:spacing w:val="8"/>
          <w:lang w:val="es-ES_tradnl" w:eastAsia="es-ES"/>
        </w:rPr>
        <w:t xml:space="preserve">ANTECEDENTES </w:t>
      </w:r>
    </w:p>
    <w:p w14:paraId="05344659" w14:textId="77777777" w:rsidR="00FF232E" w:rsidRPr="005D05AB" w:rsidRDefault="00FF232E" w:rsidP="005F5549">
      <w:pPr>
        <w:pStyle w:val="Textoindependiente21"/>
        <w:spacing w:line="276" w:lineRule="auto"/>
        <w:ind w:firstLine="851"/>
        <w:rPr>
          <w:rFonts w:cs="Arial"/>
          <w:b w:val="0"/>
          <w:spacing w:val="8"/>
          <w:sz w:val="24"/>
          <w:lang w:eastAsia="es-ES"/>
        </w:rPr>
      </w:pPr>
    </w:p>
    <w:p w14:paraId="417B7AA8" w14:textId="51739F32" w:rsidR="009F4550" w:rsidRPr="005D05AB" w:rsidRDefault="00FF232E"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La accionante relata que</w:t>
      </w:r>
      <w:r w:rsidR="00392FD5" w:rsidRPr="005D05AB">
        <w:rPr>
          <w:rFonts w:cs="Arial"/>
          <w:b w:val="0"/>
          <w:spacing w:val="8"/>
          <w:sz w:val="24"/>
          <w:lang w:eastAsia="es-ES"/>
        </w:rPr>
        <w:t xml:space="preserve"> </w:t>
      </w:r>
      <w:r w:rsidR="009F4550" w:rsidRPr="005D05AB">
        <w:rPr>
          <w:rFonts w:cs="Arial"/>
          <w:b w:val="0"/>
          <w:spacing w:val="8"/>
          <w:sz w:val="24"/>
          <w:lang w:eastAsia="es-ES"/>
        </w:rPr>
        <w:t xml:space="preserve">con ocasión a un trauma de caída, sufrió una fractura de </w:t>
      </w:r>
      <w:r w:rsidR="00392FD5" w:rsidRPr="005D05AB">
        <w:rPr>
          <w:rFonts w:cs="Arial"/>
          <w:b w:val="0"/>
          <w:spacing w:val="8"/>
          <w:sz w:val="24"/>
          <w:lang w:eastAsia="es-ES"/>
        </w:rPr>
        <w:t>vértebra</w:t>
      </w:r>
      <w:r w:rsidR="009F4550" w:rsidRPr="005D05AB">
        <w:rPr>
          <w:rFonts w:cs="Arial"/>
          <w:b w:val="0"/>
          <w:spacing w:val="8"/>
          <w:sz w:val="24"/>
          <w:lang w:eastAsia="es-ES"/>
        </w:rPr>
        <w:t xml:space="preserve"> lumbar con </w:t>
      </w:r>
      <w:r w:rsidR="00392FD5" w:rsidRPr="005D05AB">
        <w:rPr>
          <w:rFonts w:cs="Arial"/>
          <w:b w:val="0"/>
          <w:spacing w:val="8"/>
          <w:sz w:val="24"/>
          <w:lang w:eastAsia="es-ES"/>
        </w:rPr>
        <w:t>diagnóstico</w:t>
      </w:r>
      <w:r w:rsidR="009F4550" w:rsidRPr="005D05AB">
        <w:rPr>
          <w:rFonts w:cs="Arial"/>
          <w:b w:val="0"/>
          <w:spacing w:val="8"/>
          <w:sz w:val="24"/>
          <w:lang w:eastAsia="es-ES"/>
        </w:rPr>
        <w:t xml:space="preserve"> de “estenosis ósea del canal neural, esguinces torceduras de la columna lumbar y </w:t>
      </w:r>
      <w:r w:rsidR="00392FD5" w:rsidRPr="005D05AB">
        <w:rPr>
          <w:rFonts w:cs="Arial"/>
          <w:b w:val="0"/>
          <w:spacing w:val="8"/>
          <w:sz w:val="24"/>
          <w:lang w:eastAsia="es-ES"/>
        </w:rPr>
        <w:t>trastorno</w:t>
      </w:r>
      <w:r w:rsidR="009F4550" w:rsidRPr="005D05AB">
        <w:rPr>
          <w:rFonts w:cs="Arial"/>
          <w:b w:val="0"/>
          <w:spacing w:val="8"/>
          <w:sz w:val="24"/>
          <w:lang w:eastAsia="es-ES"/>
        </w:rPr>
        <w:t xml:space="preserve"> depresivo recurrente”; que con ocasión a lo anterior, </w:t>
      </w:r>
      <w:r w:rsidR="72A15BB3" w:rsidRPr="005D05AB">
        <w:rPr>
          <w:rFonts w:cs="Arial"/>
          <w:b w:val="0"/>
          <w:spacing w:val="8"/>
          <w:sz w:val="24"/>
          <w:lang w:eastAsia="es-ES"/>
        </w:rPr>
        <w:t xml:space="preserve">LA NUEVA </w:t>
      </w:r>
      <w:r w:rsidR="009F4550" w:rsidRPr="005D05AB">
        <w:rPr>
          <w:rFonts w:cs="Arial"/>
          <w:b w:val="0"/>
          <w:spacing w:val="8"/>
          <w:sz w:val="24"/>
          <w:lang w:eastAsia="es-ES"/>
        </w:rPr>
        <w:t>EPS le gener</w:t>
      </w:r>
      <w:r w:rsidR="7AACA1EC" w:rsidRPr="005D05AB">
        <w:rPr>
          <w:rFonts w:cs="Arial"/>
          <w:b w:val="0"/>
          <w:spacing w:val="8"/>
          <w:sz w:val="24"/>
          <w:lang w:eastAsia="es-ES"/>
        </w:rPr>
        <w:t>ó</w:t>
      </w:r>
      <w:r w:rsidR="009F4550" w:rsidRPr="005D05AB">
        <w:rPr>
          <w:rFonts w:cs="Arial"/>
          <w:b w:val="0"/>
          <w:spacing w:val="8"/>
          <w:sz w:val="24"/>
          <w:lang w:eastAsia="es-ES"/>
        </w:rPr>
        <w:t xml:space="preserve"> incapacidades continuas e ininterrumpidas desde el 3 de </w:t>
      </w:r>
      <w:r w:rsidR="003A0863" w:rsidRPr="005D05AB">
        <w:rPr>
          <w:rFonts w:cs="Arial"/>
          <w:b w:val="0"/>
          <w:spacing w:val="8"/>
          <w:sz w:val="24"/>
          <w:lang w:eastAsia="es-ES"/>
        </w:rPr>
        <w:t>septiembre</w:t>
      </w:r>
      <w:r w:rsidR="009F4550" w:rsidRPr="005D05AB">
        <w:rPr>
          <w:rFonts w:cs="Arial"/>
          <w:b w:val="0"/>
          <w:spacing w:val="8"/>
          <w:sz w:val="24"/>
          <w:lang w:eastAsia="es-ES"/>
        </w:rPr>
        <w:t xml:space="preserve"> de 2015, realizando el pago de las correspondientes a los primeros ciento ochenta (180) días, contados hasta el 7 de marzo de 2016. </w:t>
      </w:r>
    </w:p>
    <w:p w14:paraId="391D63F3" w14:textId="77777777" w:rsidR="009F4550" w:rsidRPr="005D05AB" w:rsidRDefault="009F4550" w:rsidP="005F5549">
      <w:pPr>
        <w:pStyle w:val="Textoindependiente21"/>
        <w:spacing w:line="276" w:lineRule="auto"/>
        <w:ind w:firstLine="851"/>
        <w:rPr>
          <w:rFonts w:cs="Arial"/>
          <w:b w:val="0"/>
          <w:spacing w:val="8"/>
          <w:sz w:val="24"/>
          <w:lang w:eastAsia="es-ES"/>
        </w:rPr>
      </w:pPr>
    </w:p>
    <w:p w14:paraId="37904588" w14:textId="15CE4D41" w:rsidR="009F4550" w:rsidRPr="005D05AB" w:rsidRDefault="009F4550"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Refiere que la Administradora Colombiana de Pensiones Colpensiones con ocasión al fallo de tutela proferido el 8 de agosto de 2016 por el Juzgado Primero Administrativo Oral</w:t>
      </w:r>
      <w:r w:rsidR="00433A6C" w:rsidRPr="005D05AB">
        <w:rPr>
          <w:rFonts w:cs="Arial"/>
          <w:b w:val="0"/>
          <w:spacing w:val="8"/>
          <w:sz w:val="24"/>
          <w:lang w:eastAsia="es-ES"/>
        </w:rPr>
        <w:t xml:space="preserve"> de esta ciudad</w:t>
      </w:r>
      <w:r w:rsidRPr="005D05AB">
        <w:rPr>
          <w:rFonts w:cs="Arial"/>
          <w:b w:val="0"/>
          <w:spacing w:val="8"/>
          <w:sz w:val="24"/>
          <w:lang w:eastAsia="es-ES"/>
        </w:rPr>
        <w:t>, canceló las incapacidades generadas con posterioridad a los ciento ochenta (180) días de incapacidad</w:t>
      </w:r>
      <w:r w:rsidR="00392FD5" w:rsidRPr="005D05AB">
        <w:rPr>
          <w:rFonts w:cs="Arial"/>
          <w:b w:val="0"/>
          <w:spacing w:val="8"/>
          <w:sz w:val="24"/>
          <w:lang w:eastAsia="es-ES"/>
        </w:rPr>
        <w:t xml:space="preserve"> hasta el mes de septiembre de 2017, fecha en que la Junta de Calificación de Invalidez profirió el dictamen de </w:t>
      </w:r>
      <w:r w:rsidR="00A77FAD" w:rsidRPr="005D05AB">
        <w:rPr>
          <w:rFonts w:cs="Arial"/>
          <w:b w:val="0"/>
          <w:spacing w:val="8"/>
          <w:sz w:val="24"/>
          <w:lang w:eastAsia="es-ES"/>
        </w:rPr>
        <w:t>pérdida</w:t>
      </w:r>
      <w:r w:rsidR="00392FD5" w:rsidRPr="005D05AB">
        <w:rPr>
          <w:rFonts w:cs="Arial"/>
          <w:b w:val="0"/>
          <w:spacing w:val="8"/>
          <w:sz w:val="24"/>
          <w:lang w:eastAsia="es-ES"/>
        </w:rPr>
        <w:t xml:space="preserve"> de capacidad, determinando un porcentaje inferior al 50%, pese a que se continuaron generando incapacidades con posterioridad, las cuales fueron canceladas hasta el 3 de junio de 201</w:t>
      </w:r>
      <w:r w:rsidR="00433A6C" w:rsidRPr="005D05AB">
        <w:rPr>
          <w:rFonts w:cs="Arial"/>
          <w:b w:val="0"/>
          <w:spacing w:val="8"/>
          <w:sz w:val="24"/>
          <w:lang w:eastAsia="es-ES"/>
        </w:rPr>
        <w:t>9 por la Nueva EPS, en acatamiento de la sentencia de tutela preferida por el Juzgado Tercero Administrativo de esta ciudad el 2</w:t>
      </w:r>
      <w:r w:rsidR="006616C9" w:rsidRPr="005D05AB">
        <w:rPr>
          <w:rFonts w:cs="Arial"/>
          <w:b w:val="0"/>
          <w:spacing w:val="8"/>
          <w:sz w:val="24"/>
          <w:lang w:eastAsia="es-ES"/>
        </w:rPr>
        <w:t>0</w:t>
      </w:r>
      <w:r w:rsidR="00433A6C" w:rsidRPr="005D05AB">
        <w:rPr>
          <w:rFonts w:cs="Arial"/>
          <w:b w:val="0"/>
          <w:spacing w:val="8"/>
          <w:sz w:val="24"/>
          <w:lang w:eastAsia="es-ES"/>
        </w:rPr>
        <w:t xml:space="preserve"> de junio de 2018</w:t>
      </w:r>
      <w:r w:rsidR="006616C9" w:rsidRPr="005D05AB">
        <w:rPr>
          <w:rFonts w:cs="Arial"/>
          <w:b w:val="0"/>
          <w:spacing w:val="8"/>
          <w:sz w:val="24"/>
          <w:lang w:eastAsia="es-ES"/>
        </w:rPr>
        <w:t xml:space="preserve">, sin que dicho amparo fuese dado de manera integral y frente a incapacidades futuras, quedando pendientes de pago las generadas inmediatamente. </w:t>
      </w:r>
    </w:p>
    <w:p w14:paraId="34C84D98" w14:textId="77777777" w:rsidR="009F4550" w:rsidRPr="005D05AB" w:rsidRDefault="009F4550" w:rsidP="005F5549">
      <w:pPr>
        <w:pStyle w:val="Textoindependiente21"/>
        <w:spacing w:line="276" w:lineRule="auto"/>
        <w:ind w:firstLine="851"/>
        <w:rPr>
          <w:rFonts w:cs="Arial"/>
          <w:b w:val="0"/>
          <w:spacing w:val="8"/>
          <w:sz w:val="24"/>
          <w:lang w:eastAsia="es-ES"/>
        </w:rPr>
      </w:pPr>
    </w:p>
    <w:p w14:paraId="03559C3C" w14:textId="77777777" w:rsidR="00FF232E" w:rsidRPr="005D05AB" w:rsidRDefault="00FF232E"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 xml:space="preserve">Con fundamento en lo anterior, solicita que se amparen sus derechos fundamentales al mínimo vital, </w:t>
      </w:r>
      <w:r w:rsidR="00EC7357" w:rsidRPr="005D05AB">
        <w:rPr>
          <w:rFonts w:cs="Arial"/>
          <w:b w:val="0"/>
          <w:spacing w:val="8"/>
          <w:sz w:val="24"/>
          <w:lang w:eastAsia="es-ES"/>
        </w:rPr>
        <w:t xml:space="preserve">seguridad social y vida digna, y en consecuencia, se ordene a </w:t>
      </w:r>
      <w:r w:rsidRPr="005D05AB">
        <w:rPr>
          <w:rFonts w:cs="Arial"/>
          <w:b w:val="0"/>
          <w:spacing w:val="8"/>
          <w:sz w:val="24"/>
          <w:lang w:eastAsia="es-ES"/>
        </w:rPr>
        <w:t>LA NUEVA EPS S.A. que en el término de</w:t>
      </w:r>
      <w:r w:rsidR="00EC7357" w:rsidRPr="005D05AB">
        <w:rPr>
          <w:rFonts w:cs="Arial"/>
          <w:b w:val="0"/>
          <w:spacing w:val="8"/>
          <w:sz w:val="24"/>
          <w:lang w:eastAsia="es-ES"/>
        </w:rPr>
        <w:t xml:space="preserve"> 48 horas siguientes re</w:t>
      </w:r>
      <w:r w:rsidRPr="005D05AB">
        <w:rPr>
          <w:rFonts w:cs="Arial"/>
          <w:b w:val="0"/>
          <w:spacing w:val="8"/>
          <w:sz w:val="24"/>
          <w:lang w:eastAsia="es-ES"/>
        </w:rPr>
        <w:t xml:space="preserve">alice le pago de las incapacidades médicas que le adeuda, del </w:t>
      </w:r>
      <w:r w:rsidR="00EC7357" w:rsidRPr="005D05AB">
        <w:rPr>
          <w:rFonts w:cs="Arial"/>
          <w:b w:val="0"/>
          <w:spacing w:val="8"/>
          <w:sz w:val="24"/>
          <w:lang w:eastAsia="es-ES"/>
        </w:rPr>
        <w:t xml:space="preserve">12 de junio de 2019 al 26 de marzo de 2020 </w:t>
      </w:r>
      <w:r w:rsidRPr="005D05AB">
        <w:rPr>
          <w:rFonts w:cs="Arial"/>
          <w:b w:val="0"/>
          <w:spacing w:val="8"/>
          <w:sz w:val="24"/>
          <w:lang w:eastAsia="es-ES"/>
        </w:rPr>
        <w:t>(pág.</w:t>
      </w:r>
      <w:r w:rsidR="00EC7357" w:rsidRPr="005D05AB">
        <w:rPr>
          <w:rFonts w:cs="Arial"/>
          <w:b w:val="0"/>
          <w:spacing w:val="8"/>
          <w:sz w:val="24"/>
          <w:lang w:eastAsia="es-ES"/>
        </w:rPr>
        <w:t>2 a 7 archivo digital 01</w:t>
      </w:r>
      <w:r w:rsidRPr="005D05AB">
        <w:rPr>
          <w:rFonts w:cs="Arial"/>
          <w:b w:val="0"/>
          <w:spacing w:val="8"/>
          <w:sz w:val="24"/>
          <w:lang w:eastAsia="es-ES"/>
        </w:rPr>
        <w:t xml:space="preserve">). </w:t>
      </w:r>
    </w:p>
    <w:p w14:paraId="06575F60" w14:textId="77777777" w:rsidR="00FF232E" w:rsidRPr="005D05AB" w:rsidRDefault="00FF232E" w:rsidP="005F5549">
      <w:pPr>
        <w:pStyle w:val="Textoindependiente21"/>
        <w:spacing w:line="276" w:lineRule="auto"/>
        <w:ind w:firstLine="851"/>
        <w:rPr>
          <w:rFonts w:cs="Arial"/>
          <w:bCs/>
          <w:spacing w:val="8"/>
          <w:sz w:val="24"/>
          <w:lang w:eastAsia="es-ES"/>
        </w:rPr>
      </w:pPr>
    </w:p>
    <w:p w14:paraId="60F2947B" w14:textId="77777777" w:rsidR="00FF232E" w:rsidRPr="005D05AB" w:rsidRDefault="00FF232E" w:rsidP="005F5549">
      <w:pPr>
        <w:pStyle w:val="Textoindependiente21"/>
        <w:numPr>
          <w:ilvl w:val="0"/>
          <w:numId w:val="1"/>
        </w:numPr>
        <w:spacing w:line="276" w:lineRule="auto"/>
        <w:rPr>
          <w:rFonts w:cs="Arial"/>
          <w:bCs/>
          <w:spacing w:val="8"/>
          <w:sz w:val="24"/>
          <w:lang w:eastAsia="es-ES"/>
        </w:rPr>
      </w:pPr>
      <w:r w:rsidRPr="005D05AB">
        <w:rPr>
          <w:rFonts w:cs="Arial"/>
          <w:bCs/>
          <w:spacing w:val="8"/>
          <w:sz w:val="24"/>
          <w:lang w:eastAsia="es-ES"/>
        </w:rPr>
        <w:t>TRÁMITE DE INSTANCIA</w:t>
      </w:r>
    </w:p>
    <w:p w14:paraId="55370BC6" w14:textId="77777777" w:rsidR="00FF232E" w:rsidRPr="005D05AB" w:rsidRDefault="00FF232E" w:rsidP="005F5549">
      <w:pPr>
        <w:pStyle w:val="Sinespaciado"/>
        <w:spacing w:line="276" w:lineRule="auto"/>
        <w:rPr>
          <w:rFonts w:ascii="Arial" w:hAnsi="Arial" w:cs="Arial"/>
          <w:spacing w:val="8"/>
          <w:sz w:val="24"/>
          <w:szCs w:val="24"/>
          <w:lang w:val="es-ES_tradnl"/>
        </w:rPr>
      </w:pPr>
    </w:p>
    <w:p w14:paraId="3BCB83A5" w14:textId="77777777" w:rsidR="00FF232E" w:rsidRPr="005D05AB" w:rsidRDefault="00FF232E"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 xml:space="preserve">Mediante proveído del </w:t>
      </w:r>
      <w:r w:rsidR="00EC7357" w:rsidRPr="005D05AB">
        <w:rPr>
          <w:rFonts w:cs="Arial"/>
          <w:b w:val="0"/>
          <w:spacing w:val="8"/>
          <w:sz w:val="24"/>
          <w:lang w:eastAsia="es-ES"/>
        </w:rPr>
        <w:t xml:space="preserve">21 de julio </w:t>
      </w:r>
      <w:r w:rsidRPr="005D05AB">
        <w:rPr>
          <w:rFonts w:cs="Arial"/>
          <w:b w:val="0"/>
          <w:spacing w:val="8"/>
          <w:sz w:val="24"/>
          <w:lang w:eastAsia="es-ES"/>
        </w:rPr>
        <w:t xml:space="preserve">de 2020, el Juzgado </w:t>
      </w:r>
      <w:r w:rsidR="00EC7357" w:rsidRPr="005D05AB">
        <w:rPr>
          <w:rFonts w:cs="Arial"/>
          <w:b w:val="0"/>
          <w:spacing w:val="8"/>
          <w:sz w:val="24"/>
          <w:lang w:eastAsia="es-ES"/>
        </w:rPr>
        <w:t>Tercero</w:t>
      </w:r>
      <w:r w:rsidRPr="005D05AB">
        <w:rPr>
          <w:rFonts w:cs="Arial"/>
          <w:b w:val="0"/>
          <w:spacing w:val="8"/>
          <w:sz w:val="24"/>
          <w:lang w:eastAsia="es-ES"/>
        </w:rPr>
        <w:t xml:space="preserve"> Laboral del Circuito de Pereira, admitió la acción de tutela, dispuso vincular al trámite a</w:t>
      </w:r>
      <w:r w:rsidR="00EC7357" w:rsidRPr="005D05AB">
        <w:rPr>
          <w:rFonts w:cs="Arial"/>
          <w:b w:val="0"/>
          <w:spacing w:val="8"/>
          <w:sz w:val="24"/>
          <w:lang w:eastAsia="es-ES"/>
        </w:rPr>
        <w:t xml:space="preserve"> la Administradora Colombiana de Pensiones Colpensiones</w:t>
      </w:r>
      <w:r w:rsidRPr="005D05AB">
        <w:rPr>
          <w:rFonts w:cs="Arial"/>
          <w:b w:val="0"/>
          <w:spacing w:val="8"/>
          <w:sz w:val="24"/>
          <w:lang w:eastAsia="es-ES"/>
        </w:rPr>
        <w:t xml:space="preserve">, </w:t>
      </w:r>
      <w:r w:rsidR="00EC7357" w:rsidRPr="005D05AB">
        <w:rPr>
          <w:rFonts w:cs="Arial"/>
          <w:b w:val="0"/>
          <w:spacing w:val="8"/>
          <w:sz w:val="24"/>
          <w:lang w:eastAsia="es-ES"/>
        </w:rPr>
        <w:t xml:space="preserve">y </w:t>
      </w:r>
      <w:r w:rsidRPr="005D05AB">
        <w:rPr>
          <w:rFonts w:cs="Arial"/>
          <w:b w:val="0"/>
          <w:spacing w:val="8"/>
          <w:sz w:val="24"/>
          <w:lang w:eastAsia="es-ES"/>
        </w:rPr>
        <w:t xml:space="preserve">ordenó notificar a la accionada y </w:t>
      </w:r>
      <w:r w:rsidR="00EC7357" w:rsidRPr="005D05AB">
        <w:rPr>
          <w:rFonts w:cs="Arial"/>
          <w:b w:val="0"/>
          <w:spacing w:val="8"/>
          <w:sz w:val="24"/>
          <w:lang w:eastAsia="es-ES"/>
        </w:rPr>
        <w:t>la vinculad</w:t>
      </w:r>
      <w:r w:rsidR="00B342C4" w:rsidRPr="005D05AB">
        <w:rPr>
          <w:rFonts w:cs="Arial"/>
          <w:b w:val="0"/>
          <w:spacing w:val="8"/>
          <w:sz w:val="24"/>
          <w:lang w:eastAsia="es-ES"/>
        </w:rPr>
        <w:t>a</w:t>
      </w:r>
      <w:r w:rsidR="00EC7357" w:rsidRPr="005D05AB">
        <w:rPr>
          <w:rFonts w:cs="Arial"/>
          <w:b w:val="0"/>
          <w:spacing w:val="8"/>
          <w:sz w:val="24"/>
          <w:lang w:eastAsia="es-ES"/>
        </w:rPr>
        <w:t>, concediéndole</w:t>
      </w:r>
      <w:r w:rsidR="00B342C4" w:rsidRPr="005D05AB">
        <w:rPr>
          <w:rFonts w:cs="Arial"/>
          <w:b w:val="0"/>
          <w:spacing w:val="8"/>
          <w:sz w:val="24"/>
          <w:lang w:eastAsia="es-ES"/>
        </w:rPr>
        <w:t>s</w:t>
      </w:r>
      <w:r w:rsidR="00EC7357" w:rsidRPr="005D05AB">
        <w:rPr>
          <w:rFonts w:cs="Arial"/>
          <w:b w:val="0"/>
          <w:spacing w:val="8"/>
          <w:sz w:val="24"/>
          <w:lang w:eastAsia="es-ES"/>
        </w:rPr>
        <w:t xml:space="preserve"> </w:t>
      </w:r>
      <w:r w:rsidRPr="005D05AB">
        <w:rPr>
          <w:rFonts w:cs="Arial"/>
          <w:b w:val="0"/>
          <w:spacing w:val="8"/>
          <w:sz w:val="24"/>
          <w:lang w:eastAsia="es-ES"/>
        </w:rPr>
        <w:t xml:space="preserve">el término de </w:t>
      </w:r>
      <w:r w:rsidR="00EC7357" w:rsidRPr="005D05AB">
        <w:rPr>
          <w:rFonts w:cs="Arial"/>
          <w:b w:val="0"/>
          <w:spacing w:val="8"/>
          <w:sz w:val="24"/>
          <w:lang w:eastAsia="es-ES"/>
        </w:rPr>
        <w:t>dos</w:t>
      </w:r>
      <w:r w:rsidRPr="005D05AB">
        <w:rPr>
          <w:rFonts w:cs="Arial"/>
          <w:b w:val="0"/>
          <w:spacing w:val="8"/>
          <w:sz w:val="24"/>
          <w:lang w:eastAsia="es-ES"/>
        </w:rPr>
        <w:t xml:space="preserve"> (</w:t>
      </w:r>
      <w:r w:rsidR="00EC7357" w:rsidRPr="005D05AB">
        <w:rPr>
          <w:rFonts w:cs="Arial"/>
          <w:b w:val="0"/>
          <w:spacing w:val="8"/>
          <w:sz w:val="24"/>
          <w:lang w:eastAsia="es-ES"/>
        </w:rPr>
        <w:t>2</w:t>
      </w:r>
      <w:r w:rsidRPr="005D05AB">
        <w:rPr>
          <w:rFonts w:cs="Arial"/>
          <w:b w:val="0"/>
          <w:spacing w:val="8"/>
          <w:sz w:val="24"/>
          <w:lang w:eastAsia="es-ES"/>
        </w:rPr>
        <w:t xml:space="preserve">) días a fin de que ejerciera su derecho de defensa (pág. </w:t>
      </w:r>
      <w:r w:rsidR="00EC7357" w:rsidRPr="005D05AB">
        <w:rPr>
          <w:rFonts w:cs="Arial"/>
          <w:b w:val="0"/>
          <w:spacing w:val="8"/>
          <w:sz w:val="24"/>
          <w:lang w:eastAsia="es-ES"/>
        </w:rPr>
        <w:t>57 y 58</w:t>
      </w:r>
      <w:r w:rsidRPr="005D05AB">
        <w:rPr>
          <w:rFonts w:cs="Arial"/>
          <w:b w:val="0"/>
          <w:spacing w:val="8"/>
          <w:sz w:val="24"/>
          <w:lang w:eastAsia="es-ES"/>
        </w:rPr>
        <w:t xml:space="preserve">). </w:t>
      </w:r>
    </w:p>
    <w:p w14:paraId="09862D2F" w14:textId="77777777" w:rsidR="00FF232E" w:rsidRPr="005D05AB" w:rsidRDefault="00FF232E" w:rsidP="005F5549">
      <w:pPr>
        <w:pStyle w:val="Textoindependiente21"/>
        <w:spacing w:line="276" w:lineRule="auto"/>
        <w:ind w:firstLine="851"/>
        <w:rPr>
          <w:rFonts w:cs="Arial"/>
          <w:b w:val="0"/>
          <w:spacing w:val="8"/>
          <w:sz w:val="24"/>
          <w:lang w:eastAsia="es-ES"/>
        </w:rPr>
      </w:pPr>
    </w:p>
    <w:p w14:paraId="7B800830" w14:textId="440CE25D" w:rsidR="00B342C4" w:rsidRPr="005D05AB" w:rsidRDefault="00FF232E"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 xml:space="preserve">Surtida la notificación a las partes en debida forma (pág. </w:t>
      </w:r>
      <w:r w:rsidR="00B342C4" w:rsidRPr="005D05AB">
        <w:rPr>
          <w:rFonts w:cs="Arial"/>
          <w:b w:val="0"/>
          <w:spacing w:val="8"/>
          <w:sz w:val="24"/>
          <w:lang w:eastAsia="es-ES"/>
        </w:rPr>
        <w:t>59 a 62</w:t>
      </w:r>
      <w:r w:rsidRPr="005D05AB">
        <w:rPr>
          <w:rFonts w:cs="Arial"/>
          <w:b w:val="0"/>
          <w:spacing w:val="8"/>
          <w:sz w:val="24"/>
          <w:lang w:eastAsia="es-ES"/>
        </w:rPr>
        <w:t xml:space="preserve">), la </w:t>
      </w:r>
      <w:r w:rsidR="00391B1F" w:rsidRPr="005D05AB">
        <w:rPr>
          <w:rFonts w:cs="Arial"/>
          <w:spacing w:val="8"/>
          <w:sz w:val="24"/>
          <w:lang w:eastAsia="es-ES"/>
        </w:rPr>
        <w:t>ADMINISTRADORA COLOMBIANA DE PENSIONES COLPENSIONES</w:t>
      </w:r>
      <w:r w:rsidR="00391B1F" w:rsidRPr="005D05AB">
        <w:rPr>
          <w:rFonts w:cs="Arial"/>
          <w:b w:val="0"/>
          <w:spacing w:val="8"/>
          <w:sz w:val="24"/>
          <w:lang w:eastAsia="es-ES"/>
        </w:rPr>
        <w:t xml:space="preserve"> </w:t>
      </w:r>
      <w:r w:rsidR="00B342C4" w:rsidRPr="005D05AB">
        <w:rPr>
          <w:rFonts w:cs="Arial"/>
          <w:b w:val="0"/>
          <w:spacing w:val="8"/>
          <w:sz w:val="24"/>
          <w:lang w:eastAsia="es-ES"/>
        </w:rPr>
        <w:t>allegó escrito de contestación, indicando que la accionante cuenta con pronóstico médico de recuperación desfavorable de fecha 7 de ju</w:t>
      </w:r>
      <w:r w:rsidR="00391B1F" w:rsidRPr="005D05AB">
        <w:rPr>
          <w:rFonts w:cs="Arial"/>
          <w:b w:val="0"/>
          <w:spacing w:val="8"/>
          <w:sz w:val="24"/>
          <w:lang w:eastAsia="es-ES"/>
        </w:rPr>
        <w:t>l</w:t>
      </w:r>
      <w:r w:rsidR="00B342C4" w:rsidRPr="005D05AB">
        <w:rPr>
          <w:rFonts w:cs="Arial"/>
          <w:b w:val="0"/>
          <w:spacing w:val="8"/>
          <w:sz w:val="24"/>
          <w:lang w:eastAsia="es-ES"/>
        </w:rPr>
        <w:t>io de 2020, motivo por el cual no procede el pago de las incapacidades médicas</w:t>
      </w:r>
      <w:r w:rsidR="00E517BB" w:rsidRPr="005D05AB">
        <w:rPr>
          <w:rFonts w:cs="Arial"/>
          <w:b w:val="0"/>
          <w:spacing w:val="8"/>
          <w:sz w:val="24"/>
          <w:lang w:eastAsia="es-ES"/>
        </w:rPr>
        <w:t>, pues corresponde es la calificación de su p</w:t>
      </w:r>
      <w:r w:rsidR="3EA6B942" w:rsidRPr="005D05AB">
        <w:rPr>
          <w:rFonts w:cs="Arial"/>
          <w:b w:val="0"/>
          <w:spacing w:val="8"/>
          <w:sz w:val="24"/>
          <w:lang w:eastAsia="es-ES"/>
        </w:rPr>
        <w:t>é</w:t>
      </w:r>
      <w:r w:rsidR="00E517BB" w:rsidRPr="005D05AB">
        <w:rPr>
          <w:rFonts w:cs="Arial"/>
          <w:b w:val="0"/>
          <w:spacing w:val="8"/>
          <w:sz w:val="24"/>
          <w:lang w:eastAsia="es-ES"/>
        </w:rPr>
        <w:t xml:space="preserve">rdida de capacidad laboral de manera inmediata. Por lo </w:t>
      </w:r>
      <w:r w:rsidR="00E517BB" w:rsidRPr="005D05AB">
        <w:rPr>
          <w:rFonts w:cs="Arial"/>
          <w:b w:val="0"/>
          <w:spacing w:val="8"/>
          <w:sz w:val="24"/>
          <w:lang w:eastAsia="es-ES"/>
        </w:rPr>
        <w:lastRenderedPageBreak/>
        <w:t>anterior, solicita se desestimen las pretensiones y se declare la improcedencia de las mismas.</w:t>
      </w:r>
    </w:p>
    <w:p w14:paraId="79C70867" w14:textId="77777777" w:rsidR="00E517BB" w:rsidRPr="005D05AB" w:rsidRDefault="00E517BB" w:rsidP="005F5549">
      <w:pPr>
        <w:pStyle w:val="Textoindependiente21"/>
        <w:spacing w:line="276" w:lineRule="auto"/>
        <w:ind w:firstLine="851"/>
        <w:rPr>
          <w:rFonts w:cs="Arial"/>
          <w:b w:val="0"/>
          <w:spacing w:val="8"/>
          <w:sz w:val="24"/>
          <w:lang w:eastAsia="es-ES"/>
        </w:rPr>
      </w:pPr>
    </w:p>
    <w:p w14:paraId="639A5811" w14:textId="58EEAE7E" w:rsidR="00E517BB" w:rsidRPr="005D05AB" w:rsidRDefault="00E517BB"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 xml:space="preserve">Por su parte, </w:t>
      </w:r>
      <w:r w:rsidR="4B21EF67" w:rsidRPr="005D05AB">
        <w:rPr>
          <w:rFonts w:cs="Arial"/>
          <w:bCs/>
          <w:spacing w:val="8"/>
          <w:sz w:val="24"/>
          <w:lang w:eastAsia="es-ES"/>
        </w:rPr>
        <w:t>LA</w:t>
      </w:r>
      <w:r w:rsidR="0037716E" w:rsidRPr="005D05AB">
        <w:rPr>
          <w:rFonts w:cs="Arial"/>
          <w:bCs/>
          <w:spacing w:val="8"/>
          <w:sz w:val="24"/>
          <w:lang w:eastAsia="es-ES"/>
        </w:rPr>
        <w:t xml:space="preserve"> </w:t>
      </w:r>
      <w:r w:rsidR="00391B1F" w:rsidRPr="005D05AB">
        <w:rPr>
          <w:rFonts w:cs="Arial"/>
          <w:spacing w:val="8"/>
          <w:sz w:val="24"/>
          <w:lang w:eastAsia="es-ES"/>
        </w:rPr>
        <w:t>NUEVA EPS</w:t>
      </w:r>
      <w:r w:rsidR="00391B1F" w:rsidRPr="005D05AB">
        <w:rPr>
          <w:rFonts w:cs="Arial"/>
          <w:b w:val="0"/>
          <w:spacing w:val="8"/>
          <w:sz w:val="24"/>
          <w:lang w:eastAsia="es-ES"/>
        </w:rPr>
        <w:t xml:space="preserve"> </w:t>
      </w:r>
      <w:r w:rsidRPr="005D05AB">
        <w:rPr>
          <w:rFonts w:cs="Arial"/>
          <w:b w:val="0"/>
          <w:spacing w:val="8"/>
          <w:sz w:val="24"/>
          <w:lang w:eastAsia="es-ES"/>
        </w:rPr>
        <w:t xml:space="preserve">dio respuesta indicando que </w:t>
      </w:r>
      <w:r w:rsidR="00391B1F" w:rsidRPr="005D05AB">
        <w:rPr>
          <w:rFonts w:cs="Arial"/>
          <w:b w:val="0"/>
          <w:spacing w:val="8"/>
          <w:sz w:val="24"/>
          <w:lang w:eastAsia="es-ES"/>
        </w:rPr>
        <w:t xml:space="preserve">es el Fondo de Pensiones quien debe asumir el valor de las prestaciones económicas hasta tanto realice la calificación de </w:t>
      </w:r>
      <w:r w:rsidR="00E142DE" w:rsidRPr="005D05AB">
        <w:rPr>
          <w:rFonts w:cs="Arial"/>
          <w:b w:val="0"/>
          <w:spacing w:val="8"/>
          <w:sz w:val="24"/>
          <w:lang w:eastAsia="es-ES"/>
        </w:rPr>
        <w:t>pérdida</w:t>
      </w:r>
      <w:r w:rsidR="00391B1F" w:rsidRPr="005D05AB">
        <w:rPr>
          <w:rFonts w:cs="Arial"/>
          <w:b w:val="0"/>
          <w:spacing w:val="8"/>
          <w:sz w:val="24"/>
          <w:lang w:eastAsia="es-ES"/>
        </w:rPr>
        <w:t xml:space="preserve"> de capacidad laboral, y que en vista de que presenta una PCL inferior al 50 %, adquiere el status de afiliado incapacitado </w:t>
      </w:r>
      <w:r w:rsidR="003D7642" w:rsidRPr="005D05AB">
        <w:rPr>
          <w:rFonts w:cs="Arial"/>
          <w:b w:val="0"/>
          <w:spacing w:val="8"/>
          <w:sz w:val="24"/>
          <w:lang w:eastAsia="es-ES"/>
        </w:rPr>
        <w:t>p</w:t>
      </w:r>
      <w:r w:rsidR="00391B1F" w:rsidRPr="005D05AB">
        <w:rPr>
          <w:rFonts w:cs="Arial"/>
          <w:b w:val="0"/>
          <w:spacing w:val="8"/>
          <w:sz w:val="24"/>
          <w:lang w:eastAsia="es-ES"/>
        </w:rPr>
        <w:t>ermanente parcial de acuerdo a lo establecido en el artículo 2° del Decreto 917 de 1999. Indicó además que la accionante cuenta con otro mecanismo idóneo y eficaz para la protección efectiva de sus derechos (Jurisdicción laboral), motivo por el cual debe denegarse por improcedente la presente acción.</w:t>
      </w:r>
    </w:p>
    <w:p w14:paraId="048868EA" w14:textId="22C5466A" w:rsidR="794FB5A8" w:rsidRPr="005D05AB" w:rsidRDefault="794FB5A8" w:rsidP="005F5549">
      <w:pPr>
        <w:pStyle w:val="Textoindependiente21"/>
        <w:spacing w:line="276" w:lineRule="auto"/>
        <w:ind w:firstLine="851"/>
        <w:rPr>
          <w:rFonts w:cs="Arial"/>
          <w:b w:val="0"/>
          <w:spacing w:val="8"/>
          <w:sz w:val="24"/>
          <w:lang w:eastAsia="es-ES"/>
        </w:rPr>
      </w:pPr>
    </w:p>
    <w:p w14:paraId="33317FBC" w14:textId="77777777" w:rsidR="00FF232E" w:rsidRPr="005D05AB" w:rsidRDefault="00FF232E" w:rsidP="005F5549">
      <w:pPr>
        <w:pStyle w:val="Textoindependiente21"/>
        <w:numPr>
          <w:ilvl w:val="0"/>
          <w:numId w:val="1"/>
        </w:numPr>
        <w:spacing w:line="276" w:lineRule="auto"/>
        <w:rPr>
          <w:rFonts w:cs="Arial"/>
          <w:bCs/>
          <w:spacing w:val="8"/>
          <w:sz w:val="24"/>
          <w:lang w:eastAsia="es-ES"/>
        </w:rPr>
      </w:pPr>
      <w:r w:rsidRPr="005D05AB">
        <w:rPr>
          <w:rFonts w:cs="Arial"/>
          <w:bCs/>
          <w:spacing w:val="8"/>
          <w:sz w:val="24"/>
          <w:lang w:eastAsia="es-ES"/>
        </w:rPr>
        <w:t>DECISIÓN DE PRIMERA INSTANCIA</w:t>
      </w:r>
    </w:p>
    <w:p w14:paraId="0CFE16EF" w14:textId="77777777" w:rsidR="00FF232E" w:rsidRPr="005D05AB" w:rsidRDefault="00FF232E" w:rsidP="005F5549">
      <w:pPr>
        <w:pStyle w:val="Textoindependiente21"/>
        <w:spacing w:line="276" w:lineRule="auto"/>
        <w:ind w:firstLine="851"/>
        <w:rPr>
          <w:rFonts w:cs="Arial"/>
          <w:b w:val="0"/>
          <w:spacing w:val="8"/>
          <w:sz w:val="24"/>
          <w:lang w:eastAsia="es-ES"/>
        </w:rPr>
      </w:pPr>
    </w:p>
    <w:p w14:paraId="0AC274D1" w14:textId="4F0B129D" w:rsidR="00391B1F" w:rsidRPr="005D05AB" w:rsidRDefault="00FF232E"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 xml:space="preserve">El Juzgado cognoscente del asunto en primer grado, mediante sentencia del </w:t>
      </w:r>
      <w:r w:rsidR="00391B1F" w:rsidRPr="005D05AB">
        <w:rPr>
          <w:rFonts w:cs="Arial"/>
          <w:b w:val="0"/>
          <w:spacing w:val="8"/>
          <w:sz w:val="24"/>
          <w:lang w:eastAsia="es-ES"/>
        </w:rPr>
        <w:t>30</w:t>
      </w:r>
      <w:r w:rsidRPr="005D05AB">
        <w:rPr>
          <w:rFonts w:cs="Arial"/>
          <w:b w:val="0"/>
          <w:spacing w:val="8"/>
          <w:sz w:val="24"/>
          <w:lang w:eastAsia="es-ES"/>
        </w:rPr>
        <w:t xml:space="preserve"> de ju</w:t>
      </w:r>
      <w:r w:rsidR="00391B1F" w:rsidRPr="005D05AB">
        <w:rPr>
          <w:rFonts w:cs="Arial"/>
          <w:b w:val="0"/>
          <w:spacing w:val="8"/>
          <w:sz w:val="24"/>
          <w:lang w:eastAsia="es-ES"/>
        </w:rPr>
        <w:t>l</w:t>
      </w:r>
      <w:r w:rsidRPr="005D05AB">
        <w:rPr>
          <w:rFonts w:cs="Arial"/>
          <w:b w:val="0"/>
          <w:spacing w:val="8"/>
          <w:sz w:val="24"/>
          <w:lang w:eastAsia="es-ES"/>
        </w:rPr>
        <w:t>io de 2020, tuteló del derecho fundamental</w:t>
      </w:r>
      <w:r w:rsidR="00391B1F" w:rsidRPr="005D05AB">
        <w:rPr>
          <w:rFonts w:cs="Arial"/>
          <w:b w:val="0"/>
          <w:spacing w:val="8"/>
          <w:sz w:val="24"/>
          <w:lang w:eastAsia="es-ES"/>
        </w:rPr>
        <w:t xml:space="preserve"> a la seguridad social de </w:t>
      </w:r>
      <w:r w:rsidRPr="005D05AB">
        <w:rPr>
          <w:rFonts w:cs="Arial"/>
          <w:b w:val="0"/>
          <w:spacing w:val="8"/>
          <w:sz w:val="24"/>
          <w:lang w:eastAsia="es-ES"/>
        </w:rPr>
        <w:t xml:space="preserve"> </w:t>
      </w:r>
      <w:r w:rsidR="00391B1F" w:rsidRPr="005D05AB">
        <w:rPr>
          <w:rFonts w:cs="Arial"/>
          <w:b w:val="0"/>
          <w:spacing w:val="8"/>
          <w:sz w:val="24"/>
          <w:lang w:eastAsia="es-ES"/>
        </w:rPr>
        <w:t>la señora ALBA MARINA CASTRILLÓN DE ZULUAGA, y en consecuencia</w:t>
      </w:r>
      <w:r w:rsidRPr="005D05AB">
        <w:rPr>
          <w:rFonts w:cs="Arial"/>
          <w:b w:val="0"/>
          <w:spacing w:val="8"/>
          <w:sz w:val="24"/>
          <w:lang w:eastAsia="es-ES"/>
        </w:rPr>
        <w:t xml:space="preserve">, ordenó a </w:t>
      </w:r>
      <w:r w:rsidRPr="005D05AB">
        <w:rPr>
          <w:rFonts w:cs="Arial"/>
          <w:bCs/>
          <w:spacing w:val="8"/>
          <w:sz w:val="24"/>
          <w:lang w:eastAsia="es-ES"/>
        </w:rPr>
        <w:t>LA NUEVA EPS S.A.,</w:t>
      </w:r>
      <w:r w:rsidR="00391B1F" w:rsidRPr="005D05AB">
        <w:rPr>
          <w:rFonts w:cs="Arial"/>
          <w:b w:val="0"/>
          <w:spacing w:val="8"/>
          <w:sz w:val="24"/>
          <w:lang w:eastAsia="es-ES"/>
        </w:rPr>
        <w:t xml:space="preserve"> a través de la Gerencia Regional – Eje Cafetero, Dra. María Lorena Serna Montoya o quien haga sus veces, </w:t>
      </w:r>
      <w:r w:rsidRPr="005D05AB">
        <w:rPr>
          <w:rFonts w:cs="Arial"/>
          <w:b w:val="0"/>
          <w:spacing w:val="8"/>
          <w:sz w:val="24"/>
          <w:lang w:eastAsia="es-ES"/>
        </w:rPr>
        <w:t xml:space="preserve">que en el término de 48 horas siguientes a la notificación de la sentencia, </w:t>
      </w:r>
      <w:r w:rsidR="00391B1F" w:rsidRPr="005D05AB">
        <w:rPr>
          <w:rFonts w:cs="Arial"/>
          <w:b w:val="0"/>
          <w:spacing w:val="8"/>
          <w:sz w:val="24"/>
          <w:lang w:eastAsia="es-ES"/>
        </w:rPr>
        <w:t>dispusiera lo necesario para reconocer y</w:t>
      </w:r>
      <w:r w:rsidRPr="005D05AB">
        <w:rPr>
          <w:rFonts w:cs="Arial"/>
          <w:b w:val="0"/>
          <w:spacing w:val="8"/>
          <w:sz w:val="24"/>
          <w:lang w:eastAsia="es-ES"/>
        </w:rPr>
        <w:t xml:space="preserve"> pagar las incapacidades reclamadas por la accionante, </w:t>
      </w:r>
      <w:r w:rsidR="00391B1F" w:rsidRPr="005D05AB">
        <w:rPr>
          <w:rFonts w:cs="Arial"/>
          <w:b w:val="0"/>
          <w:spacing w:val="8"/>
          <w:sz w:val="24"/>
          <w:lang w:eastAsia="es-ES"/>
        </w:rPr>
        <w:t>radicadas baj</w:t>
      </w:r>
      <w:r w:rsidR="005F5549" w:rsidRPr="005D05AB">
        <w:rPr>
          <w:rFonts w:cs="Arial"/>
          <w:b w:val="0"/>
          <w:spacing w:val="8"/>
          <w:sz w:val="24"/>
          <w:lang w:eastAsia="es-ES"/>
        </w:rPr>
        <w:t>o los números 5236715, 304696,</w:t>
      </w:r>
      <w:r w:rsidR="00391B1F" w:rsidRPr="005D05AB">
        <w:rPr>
          <w:rFonts w:cs="Arial"/>
          <w:b w:val="0"/>
          <w:spacing w:val="8"/>
          <w:sz w:val="24"/>
          <w:lang w:eastAsia="es-ES"/>
        </w:rPr>
        <w:t xml:space="preserve"> 5388579, 5396300, 5477480, 553066, 5553080, 5564095, 5611618, 5831111, 5726063, 5831119, 5831123, 5802647, 5873507, 5950217, 5968</w:t>
      </w:r>
      <w:r w:rsidR="005F5549" w:rsidRPr="005D05AB">
        <w:rPr>
          <w:rFonts w:cs="Arial"/>
          <w:b w:val="0"/>
          <w:spacing w:val="8"/>
          <w:sz w:val="24"/>
          <w:lang w:eastAsia="es-ES"/>
        </w:rPr>
        <w:t>819, 6061966, 6002956, 6061962,</w:t>
      </w:r>
      <w:r w:rsidR="00391B1F" w:rsidRPr="005D05AB">
        <w:rPr>
          <w:rFonts w:cs="Arial"/>
          <w:b w:val="0"/>
          <w:spacing w:val="8"/>
          <w:sz w:val="24"/>
          <w:lang w:eastAsia="es-ES"/>
        </w:rPr>
        <w:t xml:space="preserve"> 6061955</w:t>
      </w:r>
      <w:r w:rsidR="005F5549" w:rsidRPr="005D05AB">
        <w:rPr>
          <w:rFonts w:cs="Arial"/>
          <w:b w:val="0"/>
          <w:spacing w:val="8"/>
          <w:sz w:val="24"/>
          <w:lang w:eastAsia="es-ES"/>
        </w:rPr>
        <w:t>, 6049461, 6063324 y 6082207.</w:t>
      </w:r>
    </w:p>
    <w:p w14:paraId="61082CEC" w14:textId="77777777" w:rsidR="00391B1F" w:rsidRPr="005D05AB" w:rsidRDefault="00391B1F" w:rsidP="005F5549">
      <w:pPr>
        <w:pStyle w:val="Textoindependiente21"/>
        <w:spacing w:line="276" w:lineRule="auto"/>
        <w:ind w:firstLine="851"/>
        <w:rPr>
          <w:rFonts w:cs="Arial"/>
          <w:b w:val="0"/>
          <w:spacing w:val="8"/>
          <w:sz w:val="24"/>
          <w:lang w:eastAsia="es-ES"/>
        </w:rPr>
      </w:pPr>
    </w:p>
    <w:p w14:paraId="11B04004" w14:textId="77777777" w:rsidR="00391B1F" w:rsidRPr="005D05AB" w:rsidRDefault="00391B1F"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 xml:space="preserve">Exoneró de responsabilidad a la Administradora Colombiana de Pensiones Colpensiones y negó la solicitud de pagos de incapacidad futuras. </w:t>
      </w:r>
    </w:p>
    <w:p w14:paraId="31948A9B" w14:textId="77777777" w:rsidR="00391B1F" w:rsidRPr="005D05AB" w:rsidRDefault="00391B1F" w:rsidP="005F5549">
      <w:pPr>
        <w:pStyle w:val="Textoindependiente21"/>
        <w:spacing w:line="276" w:lineRule="auto"/>
        <w:ind w:firstLine="851"/>
        <w:rPr>
          <w:rFonts w:cs="Arial"/>
          <w:b w:val="0"/>
          <w:spacing w:val="8"/>
          <w:sz w:val="24"/>
          <w:lang w:eastAsia="es-ES"/>
        </w:rPr>
      </w:pPr>
    </w:p>
    <w:p w14:paraId="2A963C25" w14:textId="77777777" w:rsidR="00003488" w:rsidRPr="005D05AB" w:rsidRDefault="00FF232E" w:rsidP="005F5549">
      <w:pPr>
        <w:pStyle w:val="Textoindependiente21"/>
        <w:spacing w:line="276" w:lineRule="auto"/>
        <w:ind w:firstLine="708"/>
        <w:rPr>
          <w:rFonts w:cs="Arial"/>
          <w:b w:val="0"/>
          <w:spacing w:val="8"/>
          <w:sz w:val="24"/>
          <w:lang w:eastAsia="es-ES"/>
        </w:rPr>
      </w:pPr>
      <w:r w:rsidRPr="005D05AB">
        <w:rPr>
          <w:rFonts w:cs="Arial"/>
          <w:b w:val="0"/>
          <w:spacing w:val="8"/>
          <w:sz w:val="24"/>
          <w:lang w:eastAsia="es-ES"/>
        </w:rPr>
        <w:t>Como sustento de la decisión invocó</w:t>
      </w:r>
      <w:r w:rsidR="002F170D" w:rsidRPr="005D05AB">
        <w:rPr>
          <w:rFonts w:cs="Arial"/>
          <w:b w:val="0"/>
          <w:spacing w:val="8"/>
          <w:sz w:val="24"/>
          <w:lang w:eastAsia="es-ES"/>
        </w:rPr>
        <w:t xml:space="preserve"> el artículo 48 de la Carta Política y varias sentencias de tutela emitidas por la Corte Constitucional, entre ellas, la   T– 200 de 2017 para referirse a la responsabilidad que recae en cabeza de las entidades promotoras de salud del régimen contributivo, de prestar los servicios de salud requeridos para garantizar bienestar a sus usuarios, y de cubrir las contingencias económicas que son de su responsabilidad, como es el caso de incapacidades </w:t>
      </w:r>
      <w:r w:rsidRPr="005D05AB">
        <w:rPr>
          <w:rFonts w:cs="Arial"/>
          <w:b w:val="0"/>
          <w:spacing w:val="8"/>
          <w:sz w:val="24"/>
          <w:lang w:eastAsia="es-ES"/>
        </w:rPr>
        <w:t>superiores a 540 días</w:t>
      </w:r>
      <w:r w:rsidR="00003488" w:rsidRPr="005D05AB">
        <w:rPr>
          <w:rFonts w:cs="Arial"/>
          <w:b w:val="0"/>
          <w:spacing w:val="8"/>
          <w:sz w:val="24"/>
          <w:lang w:eastAsia="es-ES"/>
        </w:rPr>
        <w:t>, de conformidad con el Decreto 1333.</w:t>
      </w:r>
    </w:p>
    <w:p w14:paraId="608E1721" w14:textId="77777777" w:rsidR="00003488" w:rsidRPr="005D05AB" w:rsidRDefault="00003488" w:rsidP="005F5549">
      <w:pPr>
        <w:pStyle w:val="Textoindependiente21"/>
        <w:spacing w:line="276" w:lineRule="auto"/>
        <w:ind w:firstLine="708"/>
        <w:rPr>
          <w:rFonts w:cs="Arial"/>
          <w:b w:val="0"/>
          <w:spacing w:val="8"/>
          <w:sz w:val="24"/>
          <w:lang w:eastAsia="es-ES"/>
        </w:rPr>
      </w:pPr>
    </w:p>
    <w:p w14:paraId="461A35F6" w14:textId="77777777" w:rsidR="00FF232E" w:rsidRPr="005D05AB" w:rsidRDefault="00FF232E"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t xml:space="preserve">En consecuencia, al descender al caso concreto, estableció que es la NUEVA EPS quien debe hacerse cargo de las incapacidades laborales generadas con posterioridad al día 540 a la </w:t>
      </w:r>
      <w:r w:rsidR="00003488" w:rsidRPr="005D05AB">
        <w:rPr>
          <w:rFonts w:cs="Arial"/>
          <w:b w:val="0"/>
          <w:spacing w:val="8"/>
          <w:sz w:val="24"/>
          <w:lang w:eastAsia="es-ES"/>
        </w:rPr>
        <w:t>accionante</w:t>
      </w:r>
      <w:r w:rsidRPr="005D05AB">
        <w:rPr>
          <w:rFonts w:cs="Arial"/>
          <w:b w:val="0"/>
          <w:spacing w:val="8"/>
          <w:sz w:val="24"/>
          <w:lang w:eastAsia="es-ES"/>
        </w:rPr>
        <w:t>, desde el 1</w:t>
      </w:r>
      <w:r w:rsidR="00003488" w:rsidRPr="005D05AB">
        <w:rPr>
          <w:rFonts w:cs="Arial"/>
          <w:b w:val="0"/>
          <w:spacing w:val="8"/>
          <w:sz w:val="24"/>
          <w:lang w:eastAsia="es-ES"/>
        </w:rPr>
        <w:t xml:space="preserve">2 de junio de 2019 al 10 de julio de 2020, sin incluir las que se generen con posterioridad, </w:t>
      </w:r>
      <w:r w:rsidRPr="005D05AB">
        <w:rPr>
          <w:rFonts w:cs="Arial"/>
          <w:b w:val="0"/>
          <w:spacing w:val="8"/>
          <w:sz w:val="24"/>
          <w:lang w:eastAsia="es-ES"/>
        </w:rPr>
        <w:t xml:space="preserve">en tanto, </w:t>
      </w:r>
      <w:r w:rsidR="00003488" w:rsidRPr="005D05AB">
        <w:rPr>
          <w:rFonts w:cs="Arial"/>
          <w:b w:val="0"/>
          <w:spacing w:val="8"/>
          <w:sz w:val="24"/>
          <w:lang w:eastAsia="es-ES"/>
        </w:rPr>
        <w:t xml:space="preserve">que el juez constitucional se encuentra vedado para la protección de derechos futuros e inciertos, (pág. 141 a 150). </w:t>
      </w:r>
    </w:p>
    <w:p w14:paraId="76950A90" w14:textId="77777777" w:rsidR="00FF232E" w:rsidRPr="005D05AB" w:rsidRDefault="00FF232E" w:rsidP="005F5549">
      <w:pPr>
        <w:pStyle w:val="Textoindependiente21"/>
        <w:spacing w:line="276" w:lineRule="auto"/>
        <w:ind w:firstLine="851"/>
        <w:rPr>
          <w:rFonts w:cs="Arial"/>
          <w:b w:val="0"/>
          <w:spacing w:val="8"/>
          <w:sz w:val="24"/>
          <w:lang w:eastAsia="es-ES"/>
        </w:rPr>
      </w:pPr>
    </w:p>
    <w:p w14:paraId="4EC31B3E" w14:textId="77777777" w:rsidR="00FF232E" w:rsidRPr="005D05AB" w:rsidRDefault="00FF232E" w:rsidP="005F5549">
      <w:pPr>
        <w:pStyle w:val="Textoindependiente21"/>
        <w:numPr>
          <w:ilvl w:val="0"/>
          <w:numId w:val="1"/>
        </w:numPr>
        <w:spacing w:line="276" w:lineRule="auto"/>
        <w:rPr>
          <w:rFonts w:cs="Arial"/>
          <w:bCs/>
          <w:spacing w:val="8"/>
          <w:sz w:val="24"/>
          <w:lang w:eastAsia="es-ES"/>
        </w:rPr>
      </w:pPr>
      <w:r w:rsidRPr="005D05AB">
        <w:rPr>
          <w:rFonts w:cs="Arial"/>
          <w:bCs/>
          <w:spacing w:val="8"/>
          <w:sz w:val="24"/>
          <w:lang w:eastAsia="es-ES"/>
        </w:rPr>
        <w:t xml:space="preserve">IMPUGNACIÓN </w:t>
      </w:r>
    </w:p>
    <w:p w14:paraId="2DF8E6C7" w14:textId="77777777" w:rsidR="00FF232E" w:rsidRPr="005D05AB" w:rsidRDefault="00FF232E" w:rsidP="005F5549">
      <w:pPr>
        <w:pStyle w:val="Sinespaciado"/>
        <w:spacing w:line="276" w:lineRule="auto"/>
        <w:rPr>
          <w:rFonts w:ascii="Arial" w:hAnsi="Arial" w:cs="Arial"/>
          <w:spacing w:val="8"/>
          <w:sz w:val="24"/>
          <w:szCs w:val="24"/>
          <w:lang w:val="es-ES_tradnl"/>
        </w:rPr>
      </w:pPr>
    </w:p>
    <w:p w14:paraId="40BA1E2F" w14:textId="77777777" w:rsidR="00FF232E" w:rsidRPr="005D05AB" w:rsidRDefault="00FF232E" w:rsidP="005F5549">
      <w:pPr>
        <w:pStyle w:val="Textoindependiente21"/>
        <w:spacing w:line="276" w:lineRule="auto"/>
        <w:ind w:firstLine="851"/>
        <w:rPr>
          <w:rFonts w:cs="Arial"/>
          <w:b w:val="0"/>
          <w:spacing w:val="8"/>
          <w:sz w:val="24"/>
          <w:lang w:eastAsia="es-ES"/>
        </w:rPr>
      </w:pPr>
      <w:r w:rsidRPr="005D05AB">
        <w:rPr>
          <w:rFonts w:cs="Arial"/>
          <w:b w:val="0"/>
          <w:spacing w:val="8"/>
          <w:sz w:val="24"/>
          <w:lang w:eastAsia="es-ES"/>
        </w:rPr>
        <w:lastRenderedPageBreak/>
        <w:t xml:space="preserve">Inconforme con la decisión, </w:t>
      </w:r>
      <w:r w:rsidRPr="005D05AB">
        <w:rPr>
          <w:rFonts w:cs="Arial"/>
          <w:bCs/>
          <w:spacing w:val="8"/>
          <w:sz w:val="24"/>
          <w:lang w:eastAsia="es-ES"/>
        </w:rPr>
        <w:t>LA NUEVA EPS S.A.</w:t>
      </w:r>
      <w:r w:rsidRPr="005D05AB">
        <w:rPr>
          <w:rFonts w:cs="Arial"/>
          <w:b w:val="0"/>
          <w:spacing w:val="8"/>
          <w:sz w:val="24"/>
          <w:lang w:eastAsia="es-ES"/>
        </w:rPr>
        <w:t xml:space="preserve"> impugnó la sentencia con el fin de que se revoque y en su lugar, </w:t>
      </w:r>
      <w:r w:rsidR="00003488" w:rsidRPr="005D05AB">
        <w:rPr>
          <w:rFonts w:cs="Arial"/>
          <w:b w:val="0"/>
          <w:spacing w:val="8"/>
          <w:sz w:val="24"/>
          <w:lang w:eastAsia="es-ES"/>
        </w:rPr>
        <w:t>la judicatura se abstenga de ordenar el pago de las incapacidades médicas que superan el día 540, para lo cual alegó que la responsabilidad recae en el fondo de pensiones hasta tanto emita la respectiva calificación de pérdida de capacidad laboral, en los términos señalados en el Decreto Ley 019 de 201</w:t>
      </w:r>
      <w:r w:rsidR="007061BA" w:rsidRPr="005D05AB">
        <w:rPr>
          <w:rFonts w:cs="Arial"/>
          <w:b w:val="0"/>
          <w:spacing w:val="8"/>
          <w:sz w:val="24"/>
          <w:lang w:eastAsia="es-ES"/>
        </w:rPr>
        <w:t xml:space="preserve">2 y, el Decreto 2463 de 2001. </w:t>
      </w:r>
    </w:p>
    <w:p w14:paraId="3F24CC43" w14:textId="77777777" w:rsidR="00FF232E" w:rsidRPr="005D05AB" w:rsidRDefault="00FF232E" w:rsidP="005F5549">
      <w:pPr>
        <w:pStyle w:val="Textoindependiente21"/>
        <w:spacing w:line="276" w:lineRule="auto"/>
        <w:ind w:firstLine="851"/>
        <w:rPr>
          <w:rFonts w:cs="Arial"/>
          <w:b w:val="0"/>
          <w:spacing w:val="8"/>
          <w:sz w:val="24"/>
          <w:lang w:eastAsia="es-ES"/>
        </w:rPr>
      </w:pPr>
    </w:p>
    <w:p w14:paraId="01BD025B" w14:textId="77777777" w:rsidR="00FF232E" w:rsidRPr="005D05AB" w:rsidRDefault="00FF232E" w:rsidP="005F5549">
      <w:pPr>
        <w:pStyle w:val="Textoindependiente21"/>
        <w:numPr>
          <w:ilvl w:val="0"/>
          <w:numId w:val="1"/>
        </w:numPr>
        <w:spacing w:line="276" w:lineRule="auto"/>
        <w:rPr>
          <w:rFonts w:cs="Arial"/>
          <w:bCs/>
          <w:spacing w:val="8"/>
          <w:sz w:val="24"/>
          <w:lang w:eastAsia="es-ES"/>
        </w:rPr>
      </w:pPr>
      <w:r w:rsidRPr="005D05AB">
        <w:rPr>
          <w:rFonts w:cs="Arial"/>
          <w:bCs/>
          <w:spacing w:val="8"/>
          <w:sz w:val="24"/>
          <w:lang w:eastAsia="es-ES"/>
        </w:rPr>
        <w:t>CONSIDERACIONES</w:t>
      </w:r>
    </w:p>
    <w:p w14:paraId="4B1012A2" w14:textId="77777777" w:rsidR="00FF232E" w:rsidRPr="005D05AB" w:rsidRDefault="00FF232E" w:rsidP="005F5549">
      <w:pPr>
        <w:pStyle w:val="Textoindependiente21"/>
        <w:spacing w:line="276" w:lineRule="auto"/>
        <w:ind w:firstLine="851"/>
        <w:rPr>
          <w:rFonts w:cs="Arial"/>
          <w:b w:val="0"/>
          <w:spacing w:val="8"/>
          <w:sz w:val="24"/>
          <w:lang w:eastAsia="es-ES"/>
        </w:rPr>
      </w:pPr>
    </w:p>
    <w:p w14:paraId="42A7A5D3" w14:textId="77777777" w:rsidR="00FF232E" w:rsidRPr="005D05AB" w:rsidRDefault="00FF232E" w:rsidP="005F5549">
      <w:pPr>
        <w:tabs>
          <w:tab w:val="left" w:pos="-720"/>
        </w:tabs>
        <w:suppressAutoHyphens/>
        <w:spacing w:line="276" w:lineRule="auto"/>
        <w:ind w:left="851" w:right="-7"/>
        <w:jc w:val="both"/>
        <w:rPr>
          <w:rFonts w:ascii="Arial" w:hAnsi="Arial" w:cs="Arial"/>
          <w:b/>
          <w:bCs/>
          <w:spacing w:val="8"/>
          <w:lang w:val="es-ES_tradnl" w:eastAsia="es-ES"/>
        </w:rPr>
      </w:pPr>
      <w:r w:rsidRPr="005D05AB">
        <w:rPr>
          <w:rFonts w:ascii="Arial" w:hAnsi="Arial" w:cs="Arial"/>
          <w:b/>
          <w:bCs/>
          <w:spacing w:val="8"/>
          <w:lang w:val="es-ES_tradnl" w:eastAsia="es-ES"/>
        </w:rPr>
        <w:t>5.1. Problema jurídico a resolver</w:t>
      </w:r>
    </w:p>
    <w:p w14:paraId="34915962" w14:textId="77777777" w:rsidR="00FF232E" w:rsidRPr="005D05AB" w:rsidRDefault="00FF232E" w:rsidP="005F5549">
      <w:pPr>
        <w:tabs>
          <w:tab w:val="left" w:pos="-720"/>
        </w:tabs>
        <w:suppressAutoHyphens/>
        <w:spacing w:line="276" w:lineRule="auto"/>
        <w:ind w:right="-7" w:firstLine="851"/>
        <w:jc w:val="both"/>
        <w:rPr>
          <w:rFonts w:ascii="Arial" w:hAnsi="Arial" w:cs="Arial"/>
          <w:spacing w:val="8"/>
          <w:lang w:val="es-ES_tradnl" w:eastAsia="es-ES"/>
        </w:rPr>
      </w:pPr>
    </w:p>
    <w:p w14:paraId="471ED440" w14:textId="77777777" w:rsidR="00FF232E" w:rsidRPr="005D05AB" w:rsidRDefault="00FF232E" w:rsidP="005F5549">
      <w:pPr>
        <w:tabs>
          <w:tab w:val="left" w:pos="-720"/>
        </w:tabs>
        <w:suppressAutoHyphens/>
        <w:spacing w:line="276" w:lineRule="auto"/>
        <w:ind w:right="-7" w:firstLine="851"/>
        <w:jc w:val="both"/>
        <w:rPr>
          <w:rFonts w:ascii="Arial" w:hAnsi="Arial" w:cs="Arial"/>
          <w:spacing w:val="8"/>
          <w:lang w:val="es-ES_tradnl" w:eastAsia="es-ES"/>
        </w:rPr>
      </w:pPr>
      <w:r w:rsidRPr="005D05AB">
        <w:rPr>
          <w:rFonts w:ascii="Arial" w:hAnsi="Arial" w:cs="Arial"/>
          <w:spacing w:val="8"/>
          <w:lang w:val="es-ES_tradnl" w:eastAsia="es-ES"/>
        </w:rPr>
        <w:t xml:space="preserve">En el presente asunto corresponde establecer si LA NUEVA EPS está o no en la obligación de reconocer y pagar las incapacidades que le fueron ordenadas a </w:t>
      </w:r>
      <w:r w:rsidR="004A2D11" w:rsidRPr="005D05AB">
        <w:rPr>
          <w:rFonts w:ascii="Arial" w:hAnsi="Arial" w:cs="Arial"/>
          <w:spacing w:val="8"/>
          <w:lang w:val="es-ES_tradnl" w:eastAsia="es-ES"/>
        </w:rPr>
        <w:t>la accionante</w:t>
      </w:r>
      <w:r w:rsidRPr="005D05AB">
        <w:rPr>
          <w:rFonts w:ascii="Arial" w:hAnsi="Arial" w:cs="Arial"/>
          <w:spacing w:val="8"/>
          <w:lang w:val="es-ES_tradnl" w:eastAsia="es-ES"/>
        </w:rPr>
        <w:t xml:space="preserve"> a partir del día 541. </w:t>
      </w:r>
    </w:p>
    <w:p w14:paraId="04C17851" w14:textId="77777777" w:rsidR="00FF232E" w:rsidRPr="005D05AB" w:rsidRDefault="00FF232E" w:rsidP="005F5549">
      <w:pPr>
        <w:tabs>
          <w:tab w:val="left" w:pos="-720"/>
        </w:tabs>
        <w:suppressAutoHyphens/>
        <w:spacing w:line="276" w:lineRule="auto"/>
        <w:ind w:right="-7" w:firstLine="851"/>
        <w:jc w:val="both"/>
        <w:rPr>
          <w:rFonts w:ascii="Arial" w:hAnsi="Arial" w:cs="Arial"/>
          <w:spacing w:val="8"/>
          <w:lang w:val="es-ES_tradnl" w:eastAsia="es-ES"/>
        </w:rPr>
      </w:pPr>
    </w:p>
    <w:p w14:paraId="0D315F78" w14:textId="77777777" w:rsidR="00FF232E" w:rsidRPr="005D05AB" w:rsidRDefault="00FF232E" w:rsidP="005F5549">
      <w:pPr>
        <w:spacing w:line="276" w:lineRule="auto"/>
        <w:ind w:left="851"/>
        <w:jc w:val="both"/>
        <w:rPr>
          <w:rFonts w:ascii="Arial" w:hAnsi="Arial" w:cs="Arial"/>
          <w:b/>
          <w:bCs/>
          <w:spacing w:val="8"/>
          <w:lang w:val="es-ES_tradnl" w:eastAsia="es-ES"/>
        </w:rPr>
      </w:pPr>
      <w:r w:rsidRPr="005D05AB">
        <w:rPr>
          <w:rFonts w:ascii="Arial" w:hAnsi="Arial" w:cs="Arial"/>
          <w:b/>
          <w:bCs/>
          <w:spacing w:val="8"/>
          <w:lang w:val="es-ES_tradnl" w:eastAsia="es-ES"/>
        </w:rPr>
        <w:t>5.2. Fundamentos jurídicos</w:t>
      </w:r>
    </w:p>
    <w:p w14:paraId="3A28403B" w14:textId="77777777" w:rsidR="00FF232E" w:rsidRPr="005D05AB" w:rsidRDefault="00FF232E" w:rsidP="005F5549">
      <w:pPr>
        <w:spacing w:line="276" w:lineRule="auto"/>
        <w:jc w:val="both"/>
        <w:rPr>
          <w:rFonts w:ascii="Arial" w:hAnsi="Arial" w:cs="Arial"/>
          <w:spacing w:val="8"/>
          <w:lang w:val="es-ES_tradnl" w:eastAsia="es-ES"/>
        </w:rPr>
      </w:pPr>
    </w:p>
    <w:p w14:paraId="3534F5C5" w14:textId="77777777" w:rsidR="00FF232E" w:rsidRPr="005D05AB" w:rsidRDefault="00FF232E" w:rsidP="005F5549">
      <w:pPr>
        <w:spacing w:line="276" w:lineRule="auto"/>
        <w:ind w:firstLine="851"/>
        <w:jc w:val="both"/>
        <w:rPr>
          <w:rFonts w:ascii="Arial" w:hAnsi="Arial" w:cs="Arial"/>
          <w:b/>
          <w:bCs/>
          <w:spacing w:val="8"/>
          <w:lang w:val="es-ES_tradnl" w:eastAsia="es-ES"/>
        </w:rPr>
      </w:pPr>
      <w:r w:rsidRPr="005D05AB">
        <w:rPr>
          <w:rFonts w:ascii="Arial" w:hAnsi="Arial" w:cs="Arial"/>
          <w:b/>
          <w:bCs/>
          <w:spacing w:val="8"/>
          <w:lang w:val="es-ES_tradnl" w:eastAsia="es-ES"/>
        </w:rPr>
        <w:t>5.2.1. Régimen de reconocimiento y pago de incapacidades por enfermedad general o accidente de origen común</w:t>
      </w:r>
    </w:p>
    <w:p w14:paraId="4BC55457" w14:textId="77777777" w:rsidR="00FF232E" w:rsidRPr="005D05AB" w:rsidRDefault="00FF232E" w:rsidP="005F5549">
      <w:pPr>
        <w:spacing w:line="276" w:lineRule="auto"/>
        <w:ind w:firstLine="851"/>
        <w:jc w:val="both"/>
        <w:rPr>
          <w:rFonts w:ascii="Arial" w:hAnsi="Arial" w:cs="Arial"/>
          <w:spacing w:val="8"/>
          <w:lang w:val="es-ES_tradnl" w:eastAsia="es-ES"/>
        </w:rPr>
      </w:pPr>
    </w:p>
    <w:p w14:paraId="6C417C46"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En relación con el reconocimiento y pago de las incapacidades que se generan por afecciones de origen común, es preciso empezar por señalar que, de acuerdo con lo previsto en el artículo 227 del Código Sustantivo del Trabajo y el artículo 23 del Decreto 2463 de 2001, su tiempo de duración es un factor determinante para establecer la denominación de la remuneración que el trabador percibirá durante ese lapso y de paso, el responsable de su pago. Así, cuando se trata de los primeros 180 días contados a partir del hecho generador de la misma, se reconoce a título de “auxilio económico” y cuando se trata del día 181 en adelante se estará frente al pago de un “subsidio de incapacidad”.</w:t>
      </w:r>
    </w:p>
    <w:p w14:paraId="27496E23"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4712ECFC"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En lo correspondiente a la responsabilidad frente al reconocimiento y pago de incapacidades, la misma se encuentra distribuida así:</w:t>
      </w:r>
    </w:p>
    <w:p w14:paraId="3C1A6932"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5C428159"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i.  Entre el día 1 y 2 el empleador es el encargado de asumir su desembolso, según lo establecido en el artículo 1° del Decreto 2943 de 2013.</w:t>
      </w:r>
    </w:p>
    <w:p w14:paraId="7E691988"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21056D52"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ii.  Si pasado el día 2, el empleado continúa incapacitado con ocasión a su estado de salud, es decir, a partir del día 3 hasta el día número 180, la obligación de cancelar el auxilio económico recae en la EPS a la que se encuentre afiliado. Esto, de conformidad con lo previsto en el referido artículo 1° del Decreto 2943 de 2013.</w:t>
      </w:r>
    </w:p>
    <w:p w14:paraId="683FA074"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6BFB6EC9"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iii. Durante 360 días, </w:t>
      </w:r>
      <w:r w:rsidR="002F179B" w:rsidRPr="005D05AB">
        <w:rPr>
          <w:rFonts w:ascii="Arial" w:hAnsi="Arial" w:cs="Arial"/>
          <w:spacing w:val="8"/>
          <w:lang w:val="es-ES_tradnl" w:eastAsia="es-ES"/>
        </w:rPr>
        <w:t xml:space="preserve">contados </w:t>
      </w:r>
      <w:r w:rsidRPr="005D05AB">
        <w:rPr>
          <w:rFonts w:ascii="Arial" w:hAnsi="Arial" w:cs="Arial"/>
          <w:spacing w:val="8"/>
          <w:lang w:val="es-ES_tradnl" w:eastAsia="es-ES"/>
        </w:rPr>
        <w:t>desde el día 181 y hasta un plazo de 540 días, el pago de incapacidades está a cargo del fondo de pensiones, de acuerdo con la facultad que le concede el artículo 52 de la Ley 962 de 2005 para postergar la calificación de invalidez, cuando haya concepto favorable de rehabilitación por parte de la EPS.</w:t>
      </w:r>
    </w:p>
    <w:p w14:paraId="27D5FD65"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5766E694"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lastRenderedPageBreak/>
        <w:t>No obstante, existe una excepción a la regla anterior que se concreta en el hecho de que el concepto de rehabilitación debe ser emitido por las entidades promotoras de salud antes del día 120 de incapacidad y debe ser enviado a la AFP antes del día 150. Si después de los 180 días iniciales la EPS no ha expedido el concepto de rehabilitación, es responsable del pago de un subsidio equivalente a la incapacidad temporal, con cargo a sus propios recursos hasta tanto sea emitido dicho concepto.</w:t>
      </w:r>
    </w:p>
    <w:p w14:paraId="21A8A245"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5D65F71F"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Así las cosas, es claro que las AFP por regla general, deben asumir el pago de incapacidades desde el día 181 al 540, a menos que la EPS haya inobservado sus obligaciones. Caso en el cual, los 360 días a su cargo empezarán a contar una vez recibido el concepto de rehabilitación. </w:t>
      </w:r>
    </w:p>
    <w:p w14:paraId="2BC65A19"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737B31E4"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iv. Ahora bien, en cuanto al pago de las incapacidades que superan los 540 días, cabe mencionar que hasta antes del año 2015, la Corte Constitucional reconocía la existencia de un déficit de protección respecto de las personas que tuvieran concepto favorable de rehabilitación, calificación de pérdida de capacidad laboral inferior al 50%, y siguieran siendo incapacitadas por la misma causa más allá de los 540 días (T-468 de 2010). </w:t>
      </w:r>
    </w:p>
    <w:p w14:paraId="5835FC9A" w14:textId="77777777" w:rsidR="00FF232E" w:rsidRPr="005D05AB" w:rsidRDefault="00FF232E" w:rsidP="005F5549">
      <w:pPr>
        <w:spacing w:line="276" w:lineRule="auto"/>
        <w:ind w:firstLine="851"/>
        <w:jc w:val="both"/>
        <w:rPr>
          <w:rFonts w:ascii="Arial" w:hAnsi="Arial" w:cs="Arial"/>
          <w:spacing w:val="8"/>
          <w:lang w:val="es-ES_tradnl" w:eastAsia="es-ES"/>
        </w:rPr>
      </w:pPr>
    </w:p>
    <w:p w14:paraId="2A2874B1"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Sin embargo, todo vacío al respecto fue superado con la expedición de </w:t>
      </w:r>
      <w:r w:rsidR="002F179B" w:rsidRPr="005D05AB">
        <w:rPr>
          <w:rFonts w:ascii="Arial" w:hAnsi="Arial" w:cs="Arial"/>
          <w:spacing w:val="8"/>
          <w:lang w:val="es-ES_tradnl" w:eastAsia="es-ES"/>
        </w:rPr>
        <w:t>l</w:t>
      </w:r>
      <w:r w:rsidRPr="005D05AB">
        <w:rPr>
          <w:rFonts w:ascii="Arial" w:hAnsi="Arial" w:cs="Arial"/>
          <w:spacing w:val="8"/>
          <w:lang w:val="es-ES_tradnl" w:eastAsia="es-ES"/>
        </w:rPr>
        <w:t>a Ley 1753 de 2015, la cual dispone en el artículo 67 que los recursos del Sistema General de Seguridad Social en Salud estarán destinados, entre otras cosas “[al]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Esto es, se le atribuyó la responsabilidad del pago de incapacidades superiores a 540 días a las EPS.</w:t>
      </w:r>
    </w:p>
    <w:p w14:paraId="6D116E7C"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 xml:space="preserve"> </w:t>
      </w:r>
    </w:p>
    <w:p w14:paraId="50C87020" w14:textId="38CDD58D" w:rsidR="00FF232E" w:rsidRPr="005D05AB" w:rsidRDefault="00FF232E" w:rsidP="005F5549">
      <w:pPr>
        <w:spacing w:line="276" w:lineRule="auto"/>
        <w:ind w:firstLine="851"/>
        <w:jc w:val="both"/>
        <w:rPr>
          <w:rFonts w:ascii="Arial" w:hAnsi="Arial" w:cs="Arial"/>
          <w:spacing w:val="8"/>
          <w:lang w:eastAsia="es-ES"/>
        </w:rPr>
      </w:pPr>
      <w:r w:rsidRPr="005D05AB">
        <w:rPr>
          <w:rFonts w:ascii="Arial" w:hAnsi="Arial" w:cs="Arial"/>
          <w:spacing w:val="8"/>
          <w:lang w:eastAsia="es-ES"/>
        </w:rPr>
        <w:t>Con fundamento en lo anterior, la jurisprudencia del órgano de cierre constitucional, verificable entre otras, en las sentencias T-</w:t>
      </w:r>
      <w:r w:rsidR="4BA3738D" w:rsidRPr="005D05AB">
        <w:rPr>
          <w:rFonts w:ascii="Arial" w:hAnsi="Arial" w:cs="Arial"/>
          <w:spacing w:val="8"/>
          <w:lang w:eastAsia="es-ES"/>
        </w:rPr>
        <w:t xml:space="preserve">161 de 2019, T-246 de 2018, </w:t>
      </w:r>
      <w:r w:rsidR="62D0ED84" w:rsidRPr="005D05AB">
        <w:rPr>
          <w:rFonts w:ascii="Arial" w:hAnsi="Arial" w:cs="Arial"/>
          <w:spacing w:val="8"/>
          <w:lang w:eastAsia="es-ES"/>
        </w:rPr>
        <w:t xml:space="preserve">T-008 de 2018, </w:t>
      </w:r>
      <w:r w:rsidRPr="005D05AB">
        <w:rPr>
          <w:rFonts w:ascii="Arial" w:hAnsi="Arial" w:cs="Arial"/>
          <w:spacing w:val="8"/>
          <w:lang w:eastAsia="es-ES"/>
        </w:rPr>
        <w:t>T-200 de 2017</w:t>
      </w:r>
      <w:r w:rsidR="11C8B9F6" w:rsidRPr="005D05AB">
        <w:rPr>
          <w:rFonts w:ascii="Arial" w:hAnsi="Arial" w:cs="Arial"/>
          <w:spacing w:val="8"/>
          <w:lang w:eastAsia="es-ES"/>
        </w:rPr>
        <w:t>, T-401 de 2017</w:t>
      </w:r>
      <w:r w:rsidRPr="005D05AB">
        <w:rPr>
          <w:rFonts w:ascii="Arial" w:hAnsi="Arial" w:cs="Arial"/>
          <w:spacing w:val="8"/>
          <w:lang w:eastAsia="es-ES"/>
        </w:rPr>
        <w:t>, ha reiterado pacíficamente que, a partir de la vigencia del precitado artículo 67 de Ley 1753 de 2015, en todos los casos en que se solicite el reconocimiento y pago del subsidio de incapacidad superior a 540 días, el juez constitucional y las entidades que integran el Sistema de Seguridad Social están en la obligación de cumplir tal precepto legal, con el fin de salvaguardar los derec</w:t>
      </w:r>
      <w:r w:rsidR="005F5549" w:rsidRPr="005D05AB">
        <w:rPr>
          <w:rFonts w:ascii="Arial" w:hAnsi="Arial" w:cs="Arial"/>
          <w:spacing w:val="8"/>
          <w:lang w:eastAsia="es-ES"/>
        </w:rPr>
        <w:t>hos fundamentales del afiliado.</w:t>
      </w:r>
    </w:p>
    <w:p w14:paraId="4B86491B" w14:textId="77777777" w:rsidR="005F5549" w:rsidRPr="005D05AB" w:rsidRDefault="005F5549" w:rsidP="005F5549">
      <w:pPr>
        <w:spacing w:line="276" w:lineRule="auto"/>
        <w:ind w:firstLine="851"/>
        <w:jc w:val="both"/>
        <w:rPr>
          <w:rFonts w:ascii="Arial" w:hAnsi="Arial" w:cs="Arial"/>
          <w:spacing w:val="8"/>
          <w:lang w:eastAsia="es-ES"/>
        </w:rPr>
      </w:pPr>
    </w:p>
    <w:p w14:paraId="20FEF457" w14:textId="77777777" w:rsidR="00FF232E" w:rsidRPr="005D05AB" w:rsidRDefault="00FF232E" w:rsidP="005F5549">
      <w:pPr>
        <w:tabs>
          <w:tab w:val="left" w:pos="1134"/>
        </w:tabs>
        <w:spacing w:line="276" w:lineRule="auto"/>
        <w:ind w:left="709"/>
        <w:jc w:val="both"/>
        <w:rPr>
          <w:rFonts w:ascii="Arial" w:hAnsi="Arial" w:cs="Arial"/>
          <w:b/>
          <w:bCs/>
          <w:spacing w:val="8"/>
          <w:lang w:val="es-ES_tradnl" w:eastAsia="es-ES"/>
        </w:rPr>
      </w:pPr>
      <w:r w:rsidRPr="005D05AB">
        <w:rPr>
          <w:rFonts w:ascii="Arial" w:hAnsi="Arial" w:cs="Arial"/>
          <w:b/>
          <w:bCs/>
          <w:spacing w:val="8"/>
          <w:lang w:val="es-ES_tradnl" w:eastAsia="es-ES"/>
        </w:rPr>
        <w:t>5.3. Caso concreto</w:t>
      </w:r>
    </w:p>
    <w:p w14:paraId="6FF08292" w14:textId="77777777" w:rsidR="00FF232E" w:rsidRPr="005D05AB" w:rsidRDefault="00FF232E" w:rsidP="005F5549">
      <w:pPr>
        <w:tabs>
          <w:tab w:val="left" w:pos="1134"/>
        </w:tabs>
        <w:spacing w:line="276" w:lineRule="auto"/>
        <w:ind w:left="709"/>
        <w:jc w:val="both"/>
        <w:rPr>
          <w:rFonts w:ascii="Arial" w:hAnsi="Arial" w:cs="Arial"/>
          <w:b/>
          <w:bCs/>
          <w:spacing w:val="8"/>
          <w:lang w:val="es-ES_tradnl" w:eastAsia="es-ES"/>
        </w:rPr>
      </w:pPr>
    </w:p>
    <w:p w14:paraId="78CE1A7D" w14:textId="77777777" w:rsidR="00FF232E" w:rsidRPr="005D05AB" w:rsidRDefault="00FF232E" w:rsidP="005F5549">
      <w:pPr>
        <w:tabs>
          <w:tab w:val="left" w:pos="1134"/>
        </w:tabs>
        <w:spacing w:line="276" w:lineRule="auto"/>
        <w:ind w:left="709"/>
        <w:jc w:val="both"/>
        <w:rPr>
          <w:rFonts w:ascii="Arial" w:hAnsi="Arial" w:cs="Arial"/>
          <w:b/>
          <w:bCs/>
          <w:spacing w:val="8"/>
          <w:lang w:val="es-ES_tradnl" w:eastAsia="es-ES"/>
        </w:rPr>
      </w:pPr>
      <w:r w:rsidRPr="005D05AB">
        <w:rPr>
          <w:rFonts w:ascii="Arial" w:hAnsi="Arial" w:cs="Arial"/>
          <w:b/>
          <w:bCs/>
          <w:spacing w:val="8"/>
          <w:lang w:val="es-ES_tradnl" w:eastAsia="es-ES"/>
        </w:rPr>
        <w:t xml:space="preserve">5.3.1. Examen de procedencia de la acción de tutela </w:t>
      </w:r>
    </w:p>
    <w:p w14:paraId="15DB2C91" w14:textId="77777777" w:rsidR="00FF232E" w:rsidRPr="005D05AB" w:rsidRDefault="00FF232E" w:rsidP="005F5549">
      <w:pPr>
        <w:tabs>
          <w:tab w:val="left" w:pos="1134"/>
        </w:tabs>
        <w:spacing w:line="276" w:lineRule="auto"/>
        <w:ind w:left="709"/>
        <w:jc w:val="both"/>
        <w:rPr>
          <w:rFonts w:ascii="Arial" w:hAnsi="Arial" w:cs="Arial"/>
          <w:spacing w:val="8"/>
          <w:lang w:val="es-ES_tradnl" w:eastAsia="es-ES"/>
        </w:rPr>
      </w:pPr>
    </w:p>
    <w:p w14:paraId="14497398" w14:textId="3D8E310B"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b/>
          <w:bCs/>
          <w:spacing w:val="8"/>
          <w:lang w:val="es-ES_tradnl" w:eastAsia="es-ES"/>
        </w:rPr>
        <w:t>Legitimación.</w:t>
      </w:r>
      <w:r w:rsidRPr="005D05AB">
        <w:rPr>
          <w:rFonts w:ascii="Arial" w:hAnsi="Arial" w:cs="Arial"/>
          <w:spacing w:val="8"/>
          <w:lang w:val="es-ES_tradnl" w:eastAsia="es-ES"/>
        </w:rPr>
        <w:t xml:space="preserve"> Este requisito se encuentra satisfecho por activa, toda vez que </w:t>
      </w:r>
      <w:r w:rsidR="00886D8A" w:rsidRPr="005D05AB">
        <w:rPr>
          <w:rFonts w:ascii="Arial" w:hAnsi="Arial" w:cs="Arial"/>
          <w:spacing w:val="8"/>
          <w:lang w:val="es-ES_tradnl" w:eastAsia="es-ES"/>
        </w:rPr>
        <w:t>Alba Marina Castrillón de Zuluaga</w:t>
      </w:r>
      <w:r w:rsidRPr="005D05AB">
        <w:rPr>
          <w:rFonts w:ascii="Arial" w:hAnsi="Arial" w:cs="Arial"/>
          <w:spacing w:val="8"/>
          <w:lang w:val="es-ES_tradnl" w:eastAsia="es-ES"/>
        </w:rPr>
        <w:t xml:space="preserve"> actúa </w:t>
      </w:r>
      <w:r w:rsidR="00886D8A" w:rsidRPr="005D05AB">
        <w:rPr>
          <w:rFonts w:ascii="Arial" w:hAnsi="Arial" w:cs="Arial"/>
          <w:spacing w:val="8"/>
          <w:lang w:val="es-ES_tradnl" w:eastAsia="es-ES"/>
        </w:rPr>
        <w:t>en nombre propio</w:t>
      </w:r>
      <w:r w:rsidRPr="005D05AB">
        <w:rPr>
          <w:rFonts w:ascii="Arial" w:hAnsi="Arial" w:cs="Arial"/>
          <w:spacing w:val="8"/>
          <w:lang w:val="es-ES_tradnl" w:eastAsia="es-ES"/>
        </w:rPr>
        <w:t xml:space="preserve"> en procura de salvaguardar los derechos que establecen las normas sociales a su favor y que estarían siendo vulnerados por la NUEVA EPS S.A. por negarse al reconocimiento de las incapacidades que le ha sido generadas. </w:t>
      </w:r>
    </w:p>
    <w:p w14:paraId="60E45B8B"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3398CEB8" w14:textId="19F254A0"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xml:space="preserve">Por la parte pasiva, tanto la accionada como </w:t>
      </w:r>
      <w:r w:rsidR="00886D8A" w:rsidRPr="005D05AB">
        <w:rPr>
          <w:rFonts w:ascii="Arial" w:hAnsi="Arial" w:cs="Arial"/>
          <w:spacing w:val="8"/>
          <w:lang w:val="es-ES_tradnl" w:eastAsia="es-ES"/>
        </w:rPr>
        <w:t xml:space="preserve">la entidad </w:t>
      </w:r>
      <w:r w:rsidRPr="005D05AB">
        <w:rPr>
          <w:rFonts w:ascii="Arial" w:hAnsi="Arial" w:cs="Arial"/>
          <w:spacing w:val="8"/>
          <w:lang w:val="es-ES_tradnl" w:eastAsia="es-ES"/>
        </w:rPr>
        <w:t>que fue vinculad</w:t>
      </w:r>
      <w:r w:rsidR="00886D8A" w:rsidRPr="005D05AB">
        <w:rPr>
          <w:rFonts w:ascii="Arial" w:hAnsi="Arial" w:cs="Arial"/>
          <w:spacing w:val="8"/>
          <w:lang w:val="es-ES_tradnl" w:eastAsia="es-ES"/>
        </w:rPr>
        <w:t>a</w:t>
      </w:r>
      <w:r w:rsidRPr="005D05AB">
        <w:rPr>
          <w:rFonts w:ascii="Arial" w:hAnsi="Arial" w:cs="Arial"/>
          <w:spacing w:val="8"/>
          <w:lang w:val="es-ES_tradnl" w:eastAsia="es-ES"/>
        </w:rPr>
        <w:t xml:space="preserve">, forman parte del sistema general de seguridad social y guardan relación directa con los hechos aducidos por la accionante como marco fáctico de la vulneración o amenaza de sus derechos fundamentales. </w:t>
      </w:r>
    </w:p>
    <w:p w14:paraId="083F3FEA"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7D83AA07" w14:textId="3E9F7C78"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b/>
          <w:bCs/>
          <w:spacing w:val="8"/>
          <w:lang w:val="es-ES_tradnl" w:eastAsia="es-ES"/>
        </w:rPr>
        <w:t>Inmediatez</w:t>
      </w:r>
      <w:r w:rsidRPr="005D05AB">
        <w:rPr>
          <w:rFonts w:ascii="Arial" w:hAnsi="Arial" w:cs="Arial"/>
          <w:spacing w:val="8"/>
          <w:lang w:val="es-ES_tradnl" w:eastAsia="es-ES"/>
        </w:rPr>
        <w:t>. El requisito de inmediatez también se encuentra satisfecho, toda vez que la tutela fue presentada el</w:t>
      </w:r>
      <w:r w:rsidR="0073773E" w:rsidRPr="005D05AB">
        <w:rPr>
          <w:rFonts w:ascii="Arial" w:hAnsi="Arial" w:cs="Arial"/>
          <w:spacing w:val="8"/>
          <w:lang w:val="es-ES_tradnl" w:eastAsia="es-ES"/>
        </w:rPr>
        <w:t xml:space="preserve"> 16 de julio </w:t>
      </w:r>
      <w:r w:rsidRPr="005D05AB">
        <w:rPr>
          <w:rFonts w:ascii="Arial" w:hAnsi="Arial" w:cs="Arial"/>
          <w:spacing w:val="8"/>
          <w:lang w:val="es-ES_tradnl" w:eastAsia="es-ES"/>
        </w:rPr>
        <w:t xml:space="preserve">de la presente anualidad, reclamando el pago de incapacidades desde el </w:t>
      </w:r>
      <w:r w:rsidR="0073773E" w:rsidRPr="005D05AB">
        <w:rPr>
          <w:rFonts w:ascii="Arial" w:hAnsi="Arial" w:cs="Arial"/>
          <w:spacing w:val="8"/>
          <w:lang w:val="es-ES_tradnl" w:eastAsia="es-ES"/>
        </w:rPr>
        <w:t>12 de junio de 2019,</w:t>
      </w:r>
      <w:r w:rsidRPr="005D05AB">
        <w:rPr>
          <w:rFonts w:ascii="Arial" w:hAnsi="Arial" w:cs="Arial"/>
          <w:spacing w:val="8"/>
          <w:lang w:val="es-ES_tradnl" w:eastAsia="es-ES"/>
        </w:rPr>
        <w:t xml:space="preserve"> previo agotamiento ante la NUEVA EPS de los medios para cumplir con tal finalidad, a la vez que la vulneración de los derechos invocados es continuada y persiste, ya que se ha prologando en el tiempo y a la fecha la demandante sigue sin percibir, por parte de la accionada o las vinculadas, el pago de las incapacidades médicas superiores a los 540 días</w:t>
      </w:r>
    </w:p>
    <w:p w14:paraId="3F1ECD52"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1BB7A985"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b/>
          <w:bCs/>
          <w:spacing w:val="8"/>
          <w:lang w:val="es-ES_tradnl" w:eastAsia="es-ES"/>
        </w:rPr>
        <w:t>Subsidiariedad.</w:t>
      </w:r>
      <w:r w:rsidRPr="005D05AB">
        <w:rPr>
          <w:rFonts w:ascii="Arial" w:hAnsi="Arial" w:cs="Arial"/>
          <w:spacing w:val="8"/>
          <w:lang w:val="es-ES_tradnl" w:eastAsia="es-ES"/>
        </w:rPr>
        <w:t xml:space="preserve"> En cuanto al requisito de subsidiariedad debe considerarse que la Corte Constitucional, entre otras, en las sentencias T-311 de 1996, T-972 de 2013 y T-693 de 2017, ha reconocido que en lo que se relaciona específicamente con el reconocimiento de incapacidades, la acción de tutela es procedente por considerar que el no pago de dicha prestación económica desconoce no sólo un derecho de índole laboral, sino también, supone la vulneración de otros derechos fundamentales habida cuenta de que en muchos casos, dicho ingreso constituye la única fuente de subsistencia para una persona y su núcleo familiar, siendo el amparo constitucional el medio más idóneo y eficaz para lograr una protección real e inmediata.</w:t>
      </w:r>
    </w:p>
    <w:p w14:paraId="6FEF07EA"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400F897A" w14:textId="3057C010"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xml:space="preserve">En línea con esto, debe iterarse que la </w:t>
      </w:r>
      <w:r w:rsidR="0073773E" w:rsidRPr="005D05AB">
        <w:rPr>
          <w:rFonts w:ascii="Arial" w:hAnsi="Arial" w:cs="Arial"/>
          <w:spacing w:val="8"/>
          <w:lang w:val="es-ES_tradnl" w:eastAsia="es-ES"/>
        </w:rPr>
        <w:t>accionante</w:t>
      </w:r>
      <w:r w:rsidRPr="005D05AB">
        <w:rPr>
          <w:rFonts w:ascii="Arial" w:hAnsi="Arial" w:cs="Arial"/>
          <w:spacing w:val="8"/>
          <w:lang w:val="es-ES_tradnl" w:eastAsia="es-ES"/>
        </w:rPr>
        <w:t xml:space="preserve"> ha manifestado no contar los recursos necesarios para su asegurar su subsistencia, al tiempo que se le ha dictaminado una discapacidad moderada que hace aún </w:t>
      </w:r>
      <w:r w:rsidR="003D7642" w:rsidRPr="005D05AB">
        <w:rPr>
          <w:rFonts w:ascii="Arial" w:hAnsi="Arial" w:cs="Arial"/>
          <w:spacing w:val="8"/>
          <w:lang w:val="es-ES_tradnl" w:eastAsia="es-ES"/>
        </w:rPr>
        <w:t>más</w:t>
      </w:r>
      <w:r w:rsidRPr="005D05AB">
        <w:rPr>
          <w:rFonts w:ascii="Arial" w:hAnsi="Arial" w:cs="Arial"/>
          <w:spacing w:val="8"/>
          <w:lang w:val="es-ES_tradnl" w:eastAsia="es-ES"/>
        </w:rPr>
        <w:t xml:space="preserve"> visible que los mecanismos ordinarios no son suficientes para asegurar el amparo de sus garantías superiores. </w:t>
      </w:r>
    </w:p>
    <w:p w14:paraId="2F19F5B2"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11F3887B" w14:textId="5D113E88" w:rsidR="00FF232E" w:rsidRPr="005D05AB" w:rsidRDefault="00FF232E" w:rsidP="005F5549">
      <w:pPr>
        <w:tabs>
          <w:tab w:val="left" w:pos="1134"/>
        </w:tabs>
        <w:spacing w:line="276" w:lineRule="auto"/>
        <w:ind w:firstLine="709"/>
        <w:jc w:val="both"/>
        <w:rPr>
          <w:rFonts w:ascii="Arial" w:hAnsi="Arial" w:cs="Arial"/>
          <w:b/>
          <w:bCs/>
          <w:spacing w:val="8"/>
          <w:lang w:val="es-ES_tradnl" w:eastAsia="es-ES"/>
        </w:rPr>
      </w:pPr>
      <w:r w:rsidRPr="005D05AB">
        <w:rPr>
          <w:rFonts w:ascii="Arial" w:hAnsi="Arial" w:cs="Arial"/>
          <w:b/>
          <w:bCs/>
          <w:spacing w:val="8"/>
          <w:lang w:val="es-ES_tradnl" w:eastAsia="es-ES"/>
        </w:rPr>
        <w:t>5.3.2. Examen material de las vul</w:t>
      </w:r>
      <w:r w:rsidR="005D05AB" w:rsidRPr="005D05AB">
        <w:rPr>
          <w:rFonts w:ascii="Arial" w:hAnsi="Arial" w:cs="Arial"/>
          <w:b/>
          <w:bCs/>
          <w:spacing w:val="8"/>
          <w:lang w:val="es-ES_tradnl" w:eastAsia="es-ES"/>
        </w:rPr>
        <w:t>neraciones a los derechos funda</w:t>
      </w:r>
      <w:r w:rsidRPr="005D05AB">
        <w:rPr>
          <w:rFonts w:ascii="Arial" w:hAnsi="Arial" w:cs="Arial"/>
          <w:b/>
          <w:bCs/>
          <w:spacing w:val="8"/>
          <w:lang w:val="es-ES_tradnl" w:eastAsia="es-ES"/>
        </w:rPr>
        <w:t>mentales</w:t>
      </w:r>
    </w:p>
    <w:p w14:paraId="46C78FDB"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70E68EBC" w14:textId="3414E8DB"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xml:space="preserve">En el asunto bajo examen, se encuentra libre de toda discusión </w:t>
      </w:r>
      <w:r w:rsidR="003D7642" w:rsidRPr="005D05AB">
        <w:rPr>
          <w:rFonts w:ascii="Arial" w:hAnsi="Arial" w:cs="Arial"/>
          <w:spacing w:val="8"/>
          <w:lang w:val="es-ES_tradnl" w:eastAsia="es-ES"/>
        </w:rPr>
        <w:t>que,</w:t>
      </w:r>
      <w:r w:rsidRPr="005D05AB">
        <w:rPr>
          <w:rFonts w:ascii="Arial" w:hAnsi="Arial" w:cs="Arial"/>
          <w:spacing w:val="8"/>
          <w:lang w:val="es-ES_tradnl" w:eastAsia="es-ES"/>
        </w:rPr>
        <w:t xml:space="preserve"> en razón de su estado de salud, los médicos tratantes de la señora </w:t>
      </w:r>
      <w:r w:rsidR="004A588E" w:rsidRPr="005D05AB">
        <w:rPr>
          <w:rFonts w:ascii="Arial" w:hAnsi="Arial" w:cs="Arial"/>
          <w:spacing w:val="8"/>
          <w:lang w:val="es-ES_tradnl" w:eastAsia="es-ES"/>
        </w:rPr>
        <w:t>Alba Marina Castrillón de Zuluaga</w:t>
      </w:r>
      <w:r w:rsidRPr="005D05AB">
        <w:rPr>
          <w:rFonts w:ascii="Arial" w:hAnsi="Arial" w:cs="Arial"/>
          <w:spacing w:val="8"/>
          <w:lang w:val="es-ES_tradnl" w:eastAsia="es-ES"/>
        </w:rPr>
        <w:t xml:space="preserve"> le prescribieron incapacidades </w:t>
      </w:r>
      <w:r w:rsidRPr="005D05AB">
        <w:rPr>
          <w:rFonts w:ascii="Arial" w:hAnsi="Arial" w:cs="Arial"/>
          <w:b/>
          <w:bCs/>
          <w:spacing w:val="8"/>
          <w:lang w:val="es-ES_tradnl" w:eastAsia="es-ES"/>
        </w:rPr>
        <w:t>continuas</w:t>
      </w:r>
      <w:r w:rsidRPr="005D05AB">
        <w:rPr>
          <w:rFonts w:ascii="Arial" w:hAnsi="Arial" w:cs="Arial"/>
          <w:spacing w:val="8"/>
          <w:lang w:val="es-ES_tradnl" w:eastAsia="es-ES"/>
        </w:rPr>
        <w:t xml:space="preserve"> desde el </w:t>
      </w:r>
      <w:r w:rsidR="009C4BB4" w:rsidRPr="005D05AB">
        <w:rPr>
          <w:rFonts w:ascii="Arial" w:hAnsi="Arial" w:cs="Arial"/>
          <w:spacing w:val="8"/>
          <w:lang w:val="es-ES_tradnl" w:eastAsia="es-ES"/>
        </w:rPr>
        <w:t>3 de septiembre de 2015 hasta el 10 de ju</w:t>
      </w:r>
      <w:r w:rsidR="00FB4861" w:rsidRPr="005D05AB">
        <w:rPr>
          <w:rFonts w:ascii="Arial" w:hAnsi="Arial" w:cs="Arial"/>
          <w:spacing w:val="8"/>
          <w:lang w:val="es-ES_tradnl" w:eastAsia="es-ES"/>
        </w:rPr>
        <w:t>l</w:t>
      </w:r>
      <w:r w:rsidR="009C4BB4" w:rsidRPr="005D05AB">
        <w:rPr>
          <w:rFonts w:ascii="Arial" w:hAnsi="Arial" w:cs="Arial"/>
          <w:spacing w:val="8"/>
          <w:lang w:val="es-ES_tradnl" w:eastAsia="es-ES"/>
        </w:rPr>
        <w:t>io de 2020</w:t>
      </w:r>
      <w:r w:rsidRPr="005D05AB">
        <w:rPr>
          <w:rFonts w:ascii="Arial" w:hAnsi="Arial" w:cs="Arial"/>
          <w:spacing w:val="8"/>
          <w:lang w:val="es-ES_tradnl" w:eastAsia="es-ES"/>
        </w:rPr>
        <w:t xml:space="preserve"> (pág. 17 a </w:t>
      </w:r>
      <w:r w:rsidR="00B12F16" w:rsidRPr="005D05AB">
        <w:rPr>
          <w:rFonts w:ascii="Arial" w:hAnsi="Arial" w:cs="Arial"/>
          <w:spacing w:val="8"/>
          <w:lang w:val="es-ES_tradnl" w:eastAsia="es-ES"/>
        </w:rPr>
        <w:t>4</w:t>
      </w:r>
      <w:r w:rsidRPr="005D05AB">
        <w:rPr>
          <w:rFonts w:ascii="Arial" w:hAnsi="Arial" w:cs="Arial"/>
          <w:spacing w:val="8"/>
          <w:lang w:val="es-ES_tradnl" w:eastAsia="es-ES"/>
        </w:rPr>
        <w:t>3).  Tampoco existe controversia en cuanto a que la NUEVA EPS le reconoció y pagó las incapacidades hasta el día 180</w:t>
      </w:r>
      <w:r w:rsidR="00D36C58" w:rsidRPr="005D05AB">
        <w:rPr>
          <w:rFonts w:ascii="Arial" w:hAnsi="Arial" w:cs="Arial"/>
          <w:spacing w:val="8"/>
          <w:lang w:val="es-ES_tradnl" w:eastAsia="es-ES"/>
        </w:rPr>
        <w:t xml:space="preserve"> </w:t>
      </w:r>
      <w:r w:rsidRPr="005D05AB">
        <w:rPr>
          <w:rFonts w:ascii="Arial" w:hAnsi="Arial" w:cs="Arial"/>
          <w:spacing w:val="8"/>
          <w:lang w:val="es-ES_tradnl" w:eastAsia="es-ES"/>
        </w:rPr>
        <w:t xml:space="preserve">(pág. </w:t>
      </w:r>
      <w:r w:rsidR="00D36C58" w:rsidRPr="005D05AB">
        <w:rPr>
          <w:rFonts w:ascii="Arial" w:hAnsi="Arial" w:cs="Arial"/>
          <w:spacing w:val="8"/>
          <w:lang w:val="es-ES_tradnl" w:eastAsia="es-ES"/>
        </w:rPr>
        <w:t xml:space="preserve">33 y </w:t>
      </w:r>
      <w:r w:rsidR="003A0863" w:rsidRPr="005D05AB">
        <w:rPr>
          <w:rFonts w:ascii="Arial" w:hAnsi="Arial" w:cs="Arial"/>
          <w:spacing w:val="8"/>
          <w:lang w:val="es-ES_tradnl" w:eastAsia="es-ES"/>
        </w:rPr>
        <w:t>34</w:t>
      </w:r>
      <w:r w:rsidRPr="005D05AB">
        <w:rPr>
          <w:rFonts w:ascii="Arial" w:hAnsi="Arial" w:cs="Arial"/>
          <w:spacing w:val="8"/>
          <w:lang w:val="es-ES_tradnl" w:eastAsia="es-ES"/>
        </w:rPr>
        <w:t xml:space="preserve">) y que lo propio hizo </w:t>
      </w:r>
      <w:r w:rsidR="003A0863" w:rsidRPr="005D05AB">
        <w:rPr>
          <w:rFonts w:ascii="Arial" w:hAnsi="Arial" w:cs="Arial"/>
          <w:spacing w:val="8"/>
          <w:lang w:val="es-ES_tradnl" w:eastAsia="es-ES"/>
        </w:rPr>
        <w:t xml:space="preserve">COLPENSIONES </w:t>
      </w:r>
      <w:r w:rsidRPr="005D05AB">
        <w:rPr>
          <w:rFonts w:ascii="Arial" w:hAnsi="Arial" w:cs="Arial"/>
          <w:spacing w:val="8"/>
          <w:lang w:val="es-ES_tradnl" w:eastAsia="es-ES"/>
        </w:rPr>
        <w:t xml:space="preserve">durante 360 días (pág. </w:t>
      </w:r>
      <w:r w:rsidR="00B12F16" w:rsidRPr="005D05AB">
        <w:rPr>
          <w:rFonts w:ascii="Arial" w:hAnsi="Arial" w:cs="Arial"/>
          <w:spacing w:val="8"/>
          <w:lang w:val="es-ES_tradnl" w:eastAsia="es-ES"/>
        </w:rPr>
        <w:t>35 a 37</w:t>
      </w:r>
      <w:r w:rsidRPr="005D05AB">
        <w:rPr>
          <w:rFonts w:ascii="Arial" w:hAnsi="Arial" w:cs="Arial"/>
          <w:spacing w:val="8"/>
          <w:lang w:val="es-ES_tradnl" w:eastAsia="es-ES"/>
        </w:rPr>
        <w:t>), para un total de 540 días</w:t>
      </w:r>
      <w:r w:rsidR="00694F72" w:rsidRPr="005D05AB">
        <w:rPr>
          <w:rFonts w:ascii="Arial" w:hAnsi="Arial" w:cs="Arial"/>
          <w:spacing w:val="8"/>
          <w:lang w:val="es-ES_tradnl" w:eastAsia="es-ES"/>
        </w:rPr>
        <w:t xml:space="preserve">. Así mismo, que la accionante fue calificada en segunda instancia por la Junta Nacional de Calificación de Invalidez, quien mediante dictamen emitido el 20 de septiembre de 2017, le dictaminó una </w:t>
      </w:r>
      <w:r w:rsidR="00B26D97" w:rsidRPr="005D05AB">
        <w:rPr>
          <w:rFonts w:ascii="Arial" w:hAnsi="Arial" w:cs="Arial"/>
          <w:spacing w:val="8"/>
          <w:lang w:val="es-ES_tradnl" w:eastAsia="es-ES"/>
        </w:rPr>
        <w:t>pérdida</w:t>
      </w:r>
      <w:r w:rsidR="00694F72" w:rsidRPr="005D05AB">
        <w:rPr>
          <w:rFonts w:ascii="Arial" w:hAnsi="Arial" w:cs="Arial"/>
          <w:spacing w:val="8"/>
          <w:lang w:val="es-ES_tradnl" w:eastAsia="es-ES"/>
        </w:rPr>
        <w:t xml:space="preserve"> de capacidad laboral del 38.49% (Pág. 16 archivo 01). </w:t>
      </w:r>
    </w:p>
    <w:p w14:paraId="0660B2D1" w14:textId="46B8ABCE" w:rsidR="006B4132" w:rsidRPr="005D05AB" w:rsidRDefault="006B4132" w:rsidP="005F5549">
      <w:pPr>
        <w:tabs>
          <w:tab w:val="left" w:pos="1134"/>
        </w:tabs>
        <w:spacing w:line="276" w:lineRule="auto"/>
        <w:ind w:firstLine="709"/>
        <w:jc w:val="both"/>
        <w:rPr>
          <w:rFonts w:ascii="Arial" w:hAnsi="Arial" w:cs="Arial"/>
          <w:spacing w:val="8"/>
          <w:lang w:val="es-ES_tradnl" w:eastAsia="es-ES"/>
        </w:rPr>
      </w:pPr>
    </w:p>
    <w:p w14:paraId="640DB900" w14:textId="5D8DA2C3" w:rsidR="00922047" w:rsidRPr="005D05AB" w:rsidRDefault="006B4132"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Se encuentra acreditado igualmente que</w:t>
      </w:r>
      <w:r w:rsidR="00B12F16" w:rsidRPr="005D05AB">
        <w:rPr>
          <w:rFonts w:ascii="Arial" w:hAnsi="Arial" w:cs="Arial"/>
          <w:spacing w:val="8"/>
          <w:lang w:val="es-ES_tradnl" w:eastAsia="es-ES"/>
        </w:rPr>
        <w:t xml:space="preserve"> la NUEVA EPS en cumplimiento a las sentencias de tutela proferidas el </w:t>
      </w:r>
      <w:r w:rsidRPr="005D05AB">
        <w:rPr>
          <w:rFonts w:ascii="Arial" w:hAnsi="Arial" w:cs="Arial"/>
          <w:spacing w:val="8"/>
          <w:lang w:val="es-ES_tradnl" w:eastAsia="es-ES"/>
        </w:rPr>
        <w:t>22 de junio de 2018</w:t>
      </w:r>
      <w:r w:rsidR="00B12F16" w:rsidRPr="005D05AB">
        <w:rPr>
          <w:rFonts w:ascii="Arial" w:hAnsi="Arial" w:cs="Arial"/>
          <w:spacing w:val="8"/>
          <w:lang w:val="es-ES_tradnl" w:eastAsia="es-ES"/>
        </w:rPr>
        <w:t xml:space="preserve"> y el </w:t>
      </w:r>
      <w:r w:rsidR="00B12F16" w:rsidRPr="005D05AB">
        <w:rPr>
          <w:rFonts w:ascii="Arial" w:hAnsi="Arial" w:cs="Arial"/>
          <w:spacing w:val="8"/>
          <w:lang w:val="es-ES_tradnl" w:eastAsia="es-ES"/>
        </w:rPr>
        <w:lastRenderedPageBreak/>
        <w:t>25 de junio de 2019</w:t>
      </w:r>
      <w:r w:rsidRPr="005D05AB">
        <w:rPr>
          <w:rFonts w:ascii="Arial" w:hAnsi="Arial" w:cs="Arial"/>
          <w:spacing w:val="8"/>
          <w:lang w:val="es-ES_tradnl" w:eastAsia="es-ES"/>
        </w:rPr>
        <w:t>,</w:t>
      </w:r>
      <w:r w:rsidR="00B12F16" w:rsidRPr="005D05AB">
        <w:rPr>
          <w:rFonts w:ascii="Arial" w:hAnsi="Arial" w:cs="Arial"/>
          <w:spacing w:val="8"/>
          <w:lang w:val="es-ES_tradnl" w:eastAsia="es-ES"/>
        </w:rPr>
        <w:t xml:space="preserve"> por </w:t>
      </w:r>
      <w:r w:rsidRPr="005D05AB">
        <w:rPr>
          <w:rFonts w:ascii="Arial" w:hAnsi="Arial" w:cs="Arial"/>
          <w:spacing w:val="8"/>
          <w:lang w:val="es-ES_tradnl" w:eastAsia="es-ES"/>
        </w:rPr>
        <w:t xml:space="preserve">el Juzgado Tercero Administrativo </w:t>
      </w:r>
      <w:r w:rsidR="00B12F16" w:rsidRPr="005D05AB">
        <w:rPr>
          <w:rFonts w:ascii="Arial" w:hAnsi="Arial" w:cs="Arial"/>
          <w:spacing w:val="8"/>
          <w:lang w:val="es-ES_tradnl" w:eastAsia="es-ES"/>
        </w:rPr>
        <w:t xml:space="preserve">de Pereira y Juzgado Primero Administrativo del Circuito de Pereira, </w:t>
      </w:r>
      <w:r w:rsidR="00D437B1" w:rsidRPr="005D05AB">
        <w:rPr>
          <w:rFonts w:ascii="Arial" w:hAnsi="Arial" w:cs="Arial"/>
          <w:spacing w:val="8"/>
          <w:lang w:val="es-ES_tradnl" w:eastAsia="es-ES"/>
        </w:rPr>
        <w:t xml:space="preserve">en su orden, canceló </w:t>
      </w:r>
      <w:r w:rsidR="00B12F16" w:rsidRPr="005D05AB">
        <w:rPr>
          <w:rFonts w:ascii="Arial" w:hAnsi="Arial" w:cs="Arial"/>
          <w:spacing w:val="8"/>
          <w:lang w:val="es-ES_tradnl" w:eastAsia="es-ES"/>
        </w:rPr>
        <w:t xml:space="preserve">las incapacidades </w:t>
      </w:r>
      <w:r w:rsidR="00D437B1" w:rsidRPr="005D05AB">
        <w:rPr>
          <w:rFonts w:ascii="Arial" w:hAnsi="Arial" w:cs="Arial"/>
          <w:spacing w:val="8"/>
          <w:lang w:val="es-ES_tradnl" w:eastAsia="es-ES"/>
        </w:rPr>
        <w:t xml:space="preserve">médicas </w:t>
      </w:r>
      <w:r w:rsidRPr="005D05AB">
        <w:rPr>
          <w:rFonts w:ascii="Arial" w:hAnsi="Arial" w:cs="Arial"/>
          <w:spacing w:val="8"/>
          <w:lang w:val="es-ES_tradnl" w:eastAsia="es-ES"/>
        </w:rPr>
        <w:t xml:space="preserve">generadas </w:t>
      </w:r>
      <w:r w:rsidR="00D437B1" w:rsidRPr="005D05AB">
        <w:rPr>
          <w:rFonts w:ascii="Arial" w:hAnsi="Arial" w:cs="Arial"/>
          <w:spacing w:val="8"/>
          <w:lang w:val="es-ES_tradnl" w:eastAsia="es-ES"/>
        </w:rPr>
        <w:t xml:space="preserve">entre el mes de octubre de 2017 y el 3 de junio de 2019, </w:t>
      </w:r>
      <w:r w:rsidR="003D7642" w:rsidRPr="005D05AB">
        <w:rPr>
          <w:rFonts w:ascii="Arial" w:hAnsi="Arial" w:cs="Arial"/>
          <w:spacing w:val="8"/>
          <w:lang w:val="es-ES_tradnl" w:eastAsia="es-ES"/>
        </w:rPr>
        <w:t>por ser posteriores a los 540 días de incapacidad, las cuales quedaron debidamente relacionadas e identificadas en las providencias en comento,</w:t>
      </w:r>
      <w:r w:rsidR="00FB4861" w:rsidRPr="005D05AB">
        <w:rPr>
          <w:rFonts w:ascii="Arial" w:hAnsi="Arial" w:cs="Arial"/>
          <w:spacing w:val="8"/>
          <w:lang w:val="es-ES_tradnl" w:eastAsia="es-ES"/>
        </w:rPr>
        <w:t xml:space="preserve"> y que en nada interfiere en las resultas de la presente acción tutelar </w:t>
      </w:r>
      <w:r w:rsidR="00D437B1" w:rsidRPr="005D05AB">
        <w:rPr>
          <w:rFonts w:ascii="Arial" w:hAnsi="Arial" w:cs="Arial"/>
          <w:spacing w:val="8"/>
          <w:lang w:val="es-ES_tradnl" w:eastAsia="es-ES"/>
        </w:rPr>
        <w:t xml:space="preserve">(pág. 22 y 192 archivo 01). </w:t>
      </w:r>
    </w:p>
    <w:p w14:paraId="57FEBBC1" w14:textId="77777777" w:rsidR="00FF232E" w:rsidRPr="005D05AB" w:rsidRDefault="00FF232E" w:rsidP="005F5549">
      <w:pPr>
        <w:tabs>
          <w:tab w:val="left" w:pos="1134"/>
        </w:tabs>
        <w:spacing w:line="276" w:lineRule="auto"/>
        <w:jc w:val="both"/>
        <w:rPr>
          <w:rFonts w:ascii="Arial" w:hAnsi="Arial" w:cs="Arial"/>
          <w:spacing w:val="8"/>
          <w:lang w:val="es-ES_tradnl" w:eastAsia="es-ES"/>
        </w:rPr>
      </w:pPr>
    </w:p>
    <w:p w14:paraId="6275C5E2" w14:textId="3F80E48A"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xml:space="preserve">El aspecto que motiva la diferencia entre las partes tiene que ver con el pago de las incapacidades generadas </w:t>
      </w:r>
      <w:r w:rsidR="003D7642" w:rsidRPr="005D05AB">
        <w:rPr>
          <w:rFonts w:ascii="Arial" w:hAnsi="Arial" w:cs="Arial"/>
          <w:spacing w:val="8"/>
          <w:lang w:val="es-ES_tradnl" w:eastAsia="es-ES"/>
        </w:rPr>
        <w:t>con posterioridad al 3 de junio de 2019 y hasta el 10 de ju</w:t>
      </w:r>
      <w:r w:rsidR="00FB4861" w:rsidRPr="005D05AB">
        <w:rPr>
          <w:rFonts w:ascii="Arial" w:hAnsi="Arial" w:cs="Arial"/>
          <w:spacing w:val="8"/>
          <w:lang w:val="es-ES_tradnl" w:eastAsia="es-ES"/>
        </w:rPr>
        <w:t>l</w:t>
      </w:r>
      <w:r w:rsidR="003D7642" w:rsidRPr="005D05AB">
        <w:rPr>
          <w:rFonts w:ascii="Arial" w:hAnsi="Arial" w:cs="Arial"/>
          <w:spacing w:val="8"/>
          <w:lang w:val="es-ES_tradnl" w:eastAsia="es-ES"/>
        </w:rPr>
        <w:t>io de 2020</w:t>
      </w:r>
      <w:r w:rsidRPr="005D05AB">
        <w:rPr>
          <w:rFonts w:ascii="Arial" w:hAnsi="Arial" w:cs="Arial"/>
          <w:spacing w:val="8"/>
          <w:lang w:val="es-ES_tradnl" w:eastAsia="es-ES"/>
        </w:rPr>
        <w:t>, en relación con las cuales la accionante afirma que no le han sido pagadas por LA NUEVA EPS y esta, a su vez, manifiesta no tener esta obligación</w:t>
      </w:r>
      <w:r w:rsidR="003D7642" w:rsidRPr="005D05AB">
        <w:rPr>
          <w:rFonts w:ascii="Arial" w:hAnsi="Arial" w:cs="Arial"/>
          <w:spacing w:val="8"/>
          <w:lang w:val="es-ES_tradnl" w:eastAsia="es-ES"/>
        </w:rPr>
        <w:t>, pues le corresponde a la administradora de pensiones proceder al pago de las mismas, en consideración a que no ha emitido la calificación de pérdida de capacidad laboral,</w:t>
      </w:r>
      <w:r w:rsidR="00694F72" w:rsidRPr="005D05AB">
        <w:rPr>
          <w:rFonts w:ascii="Arial" w:hAnsi="Arial" w:cs="Arial"/>
          <w:spacing w:val="8"/>
          <w:lang w:val="es-ES_tradnl" w:eastAsia="es-ES"/>
        </w:rPr>
        <w:t xml:space="preserve"> situación que carece de sustento probatorio, pues </w:t>
      </w:r>
      <w:r w:rsidR="00FB4861" w:rsidRPr="005D05AB">
        <w:rPr>
          <w:rFonts w:ascii="Arial" w:hAnsi="Arial" w:cs="Arial"/>
          <w:spacing w:val="8"/>
          <w:lang w:val="es-ES_tradnl" w:eastAsia="es-ES"/>
        </w:rPr>
        <w:t xml:space="preserve">Colpensiones emitió el 25 de abril de 2016 dictamen de calificación en primera oportunidad, al paso que la Junta Nacional de Calificación resolvió la segunda instancia, tal como se indicó precedentemente. </w:t>
      </w:r>
    </w:p>
    <w:p w14:paraId="5B356915"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2B0D3FBE" w14:textId="283C3F64"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xml:space="preserve">Así las cosas y conforme fue expuesto, le corresponde a la Sala determinar si la NUEVA EPS está o no, obligada a reconocer y pagar a </w:t>
      </w:r>
      <w:r w:rsidR="003D7642" w:rsidRPr="005D05AB">
        <w:rPr>
          <w:rFonts w:ascii="Arial" w:hAnsi="Arial" w:cs="Arial"/>
          <w:spacing w:val="8"/>
          <w:lang w:val="es-ES_tradnl" w:eastAsia="es-ES"/>
        </w:rPr>
        <w:t xml:space="preserve">la accionante las incapacidades que por esta vía reclama. </w:t>
      </w:r>
      <w:r w:rsidRPr="005D05AB">
        <w:rPr>
          <w:rFonts w:ascii="Arial" w:hAnsi="Arial" w:cs="Arial"/>
          <w:spacing w:val="8"/>
          <w:lang w:val="es-ES_tradnl" w:eastAsia="es-ES"/>
        </w:rPr>
        <w:t xml:space="preserve"> </w:t>
      </w:r>
    </w:p>
    <w:p w14:paraId="36533231"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71E2B24D" w14:textId="61AE1744" w:rsidR="00FF232E" w:rsidRPr="005D05AB" w:rsidRDefault="00694F72"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xml:space="preserve">Conforme se anunció previamente, es la Ley </w:t>
      </w:r>
      <w:r w:rsidR="00FF232E" w:rsidRPr="005D05AB">
        <w:rPr>
          <w:rFonts w:ascii="Arial" w:hAnsi="Arial" w:cs="Arial"/>
          <w:spacing w:val="8"/>
          <w:lang w:val="es-ES_tradnl" w:eastAsia="es-ES"/>
        </w:rPr>
        <w:t xml:space="preserve">1753 de 2015 y el Decreto 1333 de 2018 que la desarrolla, las disposiciones que claramente imponen a las EPS la obligación de reconocer y pagar al afiliado las incapacidades que excedan de 540 días, bien sea, porque el proceso de rehabilitación no ha concluido o porque no se ha producido el restablecimiento del estado de salud, como ocurre en este caso y concretamente lo estatuye el numeral 2 del artículo 2.2.3.3.1 el prenombrado decreto. </w:t>
      </w:r>
    </w:p>
    <w:p w14:paraId="20DF2052"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2AE7B671" w14:textId="57A900E6" w:rsidR="00FF232E" w:rsidRPr="005D05AB" w:rsidRDefault="00FF232E" w:rsidP="005F5549">
      <w:pPr>
        <w:tabs>
          <w:tab w:val="left" w:pos="1134"/>
        </w:tabs>
        <w:spacing w:line="276" w:lineRule="auto"/>
        <w:ind w:firstLine="709"/>
        <w:jc w:val="both"/>
        <w:rPr>
          <w:rFonts w:ascii="Arial" w:hAnsi="Arial" w:cs="Arial"/>
          <w:spacing w:val="8"/>
          <w:lang w:eastAsia="es-ES"/>
        </w:rPr>
      </w:pPr>
      <w:r w:rsidRPr="005D05AB">
        <w:rPr>
          <w:rFonts w:ascii="Arial" w:hAnsi="Arial" w:cs="Arial"/>
          <w:spacing w:val="8"/>
          <w:lang w:eastAsia="es-ES"/>
        </w:rPr>
        <w:t xml:space="preserve">Bajo estas reglas, mientras el médico tratante de la señora </w:t>
      </w:r>
      <w:r w:rsidR="00694F72" w:rsidRPr="005D05AB">
        <w:rPr>
          <w:rFonts w:ascii="Arial" w:hAnsi="Arial" w:cs="Arial"/>
          <w:spacing w:val="8"/>
          <w:lang w:eastAsia="es-ES"/>
        </w:rPr>
        <w:t xml:space="preserve">CASTRILLÓN DE ZULUAGA </w:t>
      </w:r>
      <w:r w:rsidRPr="005D05AB">
        <w:rPr>
          <w:rFonts w:ascii="Arial" w:hAnsi="Arial" w:cs="Arial"/>
          <w:spacing w:val="8"/>
          <w:lang w:eastAsia="es-ES"/>
        </w:rPr>
        <w:t xml:space="preserve">estime que ella no se encuentra con las condiciones de salud necesarias para laborar, </w:t>
      </w:r>
      <w:r w:rsidR="776F36AF" w:rsidRPr="005D05AB">
        <w:rPr>
          <w:rFonts w:ascii="Arial" w:hAnsi="Arial" w:cs="Arial"/>
          <w:bCs/>
          <w:spacing w:val="8"/>
          <w:lang w:eastAsia="es-ES"/>
        </w:rPr>
        <w:t>es su</w:t>
      </w:r>
      <w:r w:rsidR="62EF1A2A" w:rsidRPr="005D05AB">
        <w:rPr>
          <w:rFonts w:ascii="Arial" w:hAnsi="Arial" w:cs="Arial"/>
          <w:b/>
          <w:bCs/>
          <w:spacing w:val="8"/>
          <w:lang w:eastAsia="es-ES"/>
        </w:rPr>
        <w:t xml:space="preserve"> </w:t>
      </w:r>
      <w:r w:rsidRPr="005D05AB">
        <w:rPr>
          <w:rFonts w:ascii="Arial" w:hAnsi="Arial" w:cs="Arial"/>
          <w:b/>
          <w:bCs/>
          <w:spacing w:val="8"/>
          <w:lang w:eastAsia="es-ES"/>
        </w:rPr>
        <w:t>EPS</w:t>
      </w:r>
      <w:r w:rsidRPr="005D05AB">
        <w:rPr>
          <w:rFonts w:ascii="Arial" w:hAnsi="Arial" w:cs="Arial"/>
          <w:spacing w:val="8"/>
          <w:lang w:eastAsia="es-ES"/>
        </w:rPr>
        <w:t xml:space="preserve"> </w:t>
      </w:r>
      <w:r w:rsidR="291C1018" w:rsidRPr="005D05AB">
        <w:rPr>
          <w:rFonts w:ascii="Arial" w:hAnsi="Arial" w:cs="Arial"/>
          <w:spacing w:val="8"/>
          <w:lang w:eastAsia="es-ES"/>
        </w:rPr>
        <w:t xml:space="preserve">quien </w:t>
      </w:r>
      <w:r w:rsidRPr="005D05AB">
        <w:rPr>
          <w:rFonts w:ascii="Arial" w:hAnsi="Arial" w:cs="Arial"/>
          <w:spacing w:val="8"/>
          <w:lang w:eastAsia="es-ES"/>
        </w:rPr>
        <w:t xml:space="preserve">está en la obligación de reconocerle y pagarle las incapacidades que le sean otorgadas; claro está, sin perjuicio del procedimiento establecido para las situaciones de abuso del derecho consagrado en el artículo 2.2.3.4.1 del Decreto 1333 de 2018, en el evento que así se establezca. </w:t>
      </w:r>
    </w:p>
    <w:p w14:paraId="164EDFED"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p>
    <w:p w14:paraId="7BC8D7C8" w14:textId="5517AA12"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xml:space="preserve">Luego, ninguna incidencia tiene en el sub examine que la actora cuente con el dictamen que en primera oportunidad emitió </w:t>
      </w:r>
      <w:r w:rsidR="00694F72" w:rsidRPr="005D05AB">
        <w:rPr>
          <w:rFonts w:ascii="Arial" w:hAnsi="Arial" w:cs="Arial"/>
          <w:spacing w:val="8"/>
          <w:lang w:val="es-ES_tradnl" w:eastAsia="es-ES"/>
        </w:rPr>
        <w:t>Colpensiones</w:t>
      </w:r>
      <w:r w:rsidRPr="005D05AB">
        <w:rPr>
          <w:rFonts w:ascii="Arial" w:hAnsi="Arial" w:cs="Arial"/>
          <w:spacing w:val="8"/>
          <w:lang w:val="es-ES_tradnl" w:eastAsia="es-ES"/>
        </w:rPr>
        <w:t xml:space="preserve"> o con el dictamen que </w:t>
      </w:r>
      <w:r w:rsidR="00694F72" w:rsidRPr="005D05AB">
        <w:rPr>
          <w:rFonts w:ascii="Arial" w:hAnsi="Arial" w:cs="Arial"/>
          <w:spacing w:val="8"/>
          <w:lang w:val="es-ES_tradnl" w:eastAsia="es-ES"/>
        </w:rPr>
        <w:t>posteriormente expidieron las respectivas Juntas de Calificación Regional de Risaralda y Nacional de Invalidez</w:t>
      </w:r>
      <w:r w:rsidR="00FB4861" w:rsidRPr="005D05AB">
        <w:rPr>
          <w:rFonts w:ascii="Arial" w:hAnsi="Arial" w:cs="Arial"/>
          <w:spacing w:val="8"/>
          <w:lang w:val="es-ES_tradnl" w:eastAsia="es-ES"/>
        </w:rPr>
        <w:t xml:space="preserve">, por cuanto este último determinó un porcentaje de </w:t>
      </w:r>
      <w:r w:rsidRPr="005D05AB">
        <w:rPr>
          <w:rFonts w:ascii="Arial" w:hAnsi="Arial" w:cs="Arial"/>
          <w:spacing w:val="8"/>
          <w:lang w:val="es-ES_tradnl" w:eastAsia="es-ES"/>
        </w:rPr>
        <w:t xml:space="preserve">pérdida de capacidad laboral </w:t>
      </w:r>
      <w:r w:rsidR="00FB4861" w:rsidRPr="005D05AB">
        <w:rPr>
          <w:rFonts w:ascii="Arial" w:hAnsi="Arial" w:cs="Arial"/>
          <w:spacing w:val="8"/>
          <w:lang w:val="es-ES_tradnl" w:eastAsia="es-ES"/>
        </w:rPr>
        <w:t>del 38.49%, el cual</w:t>
      </w:r>
      <w:r w:rsidRPr="005D05AB">
        <w:rPr>
          <w:rFonts w:ascii="Arial" w:hAnsi="Arial" w:cs="Arial"/>
          <w:spacing w:val="8"/>
          <w:lang w:val="es-ES_tradnl" w:eastAsia="es-ES"/>
        </w:rPr>
        <w:t xml:space="preserve"> es insuficiente para generar una obligación a cargo de </w:t>
      </w:r>
      <w:r w:rsidR="00FB4861" w:rsidRPr="005D05AB">
        <w:rPr>
          <w:rFonts w:ascii="Arial" w:hAnsi="Arial" w:cs="Arial"/>
          <w:spacing w:val="8"/>
          <w:lang w:val="es-ES_tradnl" w:eastAsia="es-ES"/>
        </w:rPr>
        <w:t>COLPENSIONES.</w:t>
      </w:r>
    </w:p>
    <w:p w14:paraId="630B0625" w14:textId="77777777"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t> </w:t>
      </w:r>
    </w:p>
    <w:p w14:paraId="38F7A843" w14:textId="77777777" w:rsidR="00FF232E" w:rsidRPr="005D05AB" w:rsidRDefault="00FF232E" w:rsidP="005F5549">
      <w:pPr>
        <w:spacing w:line="276" w:lineRule="auto"/>
        <w:ind w:firstLine="708"/>
        <w:jc w:val="both"/>
        <w:rPr>
          <w:rFonts w:ascii="Arial" w:hAnsi="Arial" w:cs="Arial"/>
          <w:b/>
          <w:bCs/>
          <w:spacing w:val="8"/>
          <w:lang w:val="es-ES_tradnl" w:eastAsia="es-ES"/>
        </w:rPr>
      </w:pPr>
      <w:r w:rsidRPr="005D05AB">
        <w:rPr>
          <w:rFonts w:ascii="Arial" w:hAnsi="Arial" w:cs="Arial"/>
          <w:b/>
          <w:bCs/>
          <w:spacing w:val="8"/>
          <w:lang w:val="es-ES_tradnl" w:eastAsia="es-ES"/>
        </w:rPr>
        <w:t>5.4. Conclusiones</w:t>
      </w:r>
    </w:p>
    <w:p w14:paraId="0FFEDE9F" w14:textId="77777777" w:rsidR="00FF232E" w:rsidRPr="005D05AB" w:rsidRDefault="00FF232E" w:rsidP="005F5549">
      <w:pPr>
        <w:spacing w:line="276" w:lineRule="auto"/>
        <w:ind w:left="851"/>
        <w:jc w:val="both"/>
        <w:rPr>
          <w:rFonts w:ascii="Arial" w:hAnsi="Arial" w:cs="Arial"/>
          <w:spacing w:val="8"/>
          <w:lang w:val="es-ES_tradnl" w:eastAsia="es-ES"/>
        </w:rPr>
      </w:pPr>
    </w:p>
    <w:p w14:paraId="3FAF29CB" w14:textId="586102BB" w:rsidR="00FF232E" w:rsidRPr="005D05AB" w:rsidRDefault="00FF232E" w:rsidP="005F5549">
      <w:pPr>
        <w:tabs>
          <w:tab w:val="left" w:pos="1134"/>
        </w:tabs>
        <w:spacing w:line="276" w:lineRule="auto"/>
        <w:ind w:firstLine="709"/>
        <w:jc w:val="both"/>
        <w:rPr>
          <w:rFonts w:ascii="Arial" w:hAnsi="Arial" w:cs="Arial"/>
          <w:spacing w:val="8"/>
          <w:lang w:val="es-ES_tradnl" w:eastAsia="es-ES"/>
        </w:rPr>
      </w:pPr>
      <w:r w:rsidRPr="005D05AB">
        <w:rPr>
          <w:rFonts w:ascii="Arial" w:hAnsi="Arial" w:cs="Arial"/>
          <w:spacing w:val="8"/>
          <w:lang w:val="es-ES_tradnl" w:eastAsia="es-ES"/>
        </w:rPr>
        <w:lastRenderedPageBreak/>
        <w:t xml:space="preserve">Acorde con lo brevemente expuesto, se concluye que la NUEVA EPS S.A. está obligada al reconocimiento y pago de las incapacidades prescritas a la </w:t>
      </w:r>
      <w:r w:rsidR="00DA0626" w:rsidRPr="005D05AB">
        <w:rPr>
          <w:rFonts w:ascii="Arial" w:hAnsi="Arial" w:cs="Arial"/>
          <w:spacing w:val="8"/>
          <w:lang w:val="es-ES_tradnl" w:eastAsia="es-ES"/>
        </w:rPr>
        <w:t xml:space="preserve">accionante </w:t>
      </w:r>
      <w:r w:rsidRPr="005D05AB">
        <w:rPr>
          <w:rFonts w:ascii="Arial" w:hAnsi="Arial" w:cs="Arial"/>
          <w:spacing w:val="8"/>
          <w:lang w:val="es-ES_tradnl" w:eastAsia="es-ES"/>
        </w:rPr>
        <w:t xml:space="preserve">por su médico tratante, superiores a los 540 días, </w:t>
      </w:r>
      <w:r w:rsidR="005025E4" w:rsidRPr="005D05AB">
        <w:rPr>
          <w:rFonts w:ascii="Arial" w:hAnsi="Arial" w:cs="Arial"/>
          <w:spacing w:val="8"/>
          <w:lang w:val="es-ES_tradnl" w:eastAsia="es-ES"/>
        </w:rPr>
        <w:t xml:space="preserve">generadas entre el 3 de junio de 2019 y el 10 de julio de 2020, </w:t>
      </w:r>
      <w:r w:rsidRPr="005D05AB">
        <w:rPr>
          <w:rFonts w:ascii="Arial" w:hAnsi="Arial" w:cs="Arial"/>
          <w:spacing w:val="8"/>
          <w:lang w:val="es-ES_tradnl" w:eastAsia="es-ES"/>
        </w:rPr>
        <w:t xml:space="preserve">de conformidad con las previsiones del artículo 67 de la Ley 1753 de 2015 y el numeral 2, artículo 2.2.3.3.1 del Decreto 1333 de 2018, tal y como fue determinado por la a quo en la sentencia impugnada que será confirmada en su totalidad. </w:t>
      </w:r>
    </w:p>
    <w:p w14:paraId="3DE314C8" w14:textId="77777777" w:rsidR="00FF232E" w:rsidRPr="005D05AB" w:rsidRDefault="00FF232E" w:rsidP="005F5549">
      <w:pPr>
        <w:spacing w:line="276" w:lineRule="auto"/>
        <w:ind w:firstLine="851"/>
        <w:jc w:val="both"/>
        <w:rPr>
          <w:rFonts w:ascii="Arial" w:hAnsi="Arial" w:cs="Arial"/>
          <w:spacing w:val="8"/>
          <w:lang w:val="es-ES_tradnl" w:eastAsia="es-ES"/>
        </w:rPr>
      </w:pPr>
    </w:p>
    <w:p w14:paraId="4BA113CC" w14:textId="77777777" w:rsidR="00FF232E" w:rsidRPr="005D05AB" w:rsidRDefault="00FF232E" w:rsidP="005F5549">
      <w:pPr>
        <w:pStyle w:val="Prrafodelista"/>
        <w:numPr>
          <w:ilvl w:val="0"/>
          <w:numId w:val="1"/>
        </w:numPr>
        <w:spacing w:line="276" w:lineRule="auto"/>
        <w:jc w:val="both"/>
        <w:rPr>
          <w:rFonts w:ascii="Arial" w:hAnsi="Arial" w:cs="Arial"/>
          <w:b/>
          <w:bCs/>
          <w:spacing w:val="8"/>
          <w:lang w:val="es-ES_tradnl" w:eastAsia="es-ES"/>
        </w:rPr>
      </w:pPr>
      <w:r w:rsidRPr="005D05AB">
        <w:rPr>
          <w:rFonts w:ascii="Arial" w:hAnsi="Arial" w:cs="Arial"/>
          <w:b/>
          <w:bCs/>
          <w:spacing w:val="8"/>
          <w:lang w:val="es-ES_tradnl" w:eastAsia="es-ES"/>
        </w:rPr>
        <w:t xml:space="preserve">DECISIÓN </w:t>
      </w:r>
    </w:p>
    <w:p w14:paraId="7D815C76" w14:textId="77777777" w:rsidR="00FF232E" w:rsidRPr="005D05AB" w:rsidRDefault="00FF232E" w:rsidP="005F5549">
      <w:pPr>
        <w:spacing w:line="276" w:lineRule="auto"/>
        <w:ind w:left="851"/>
        <w:jc w:val="both"/>
        <w:rPr>
          <w:rFonts w:ascii="Arial" w:hAnsi="Arial" w:cs="Arial"/>
          <w:spacing w:val="8"/>
          <w:lang w:val="es-ES_tradnl" w:eastAsia="es-ES"/>
        </w:rPr>
      </w:pPr>
    </w:p>
    <w:p w14:paraId="66C51586" w14:textId="77777777" w:rsidR="00FF232E" w:rsidRPr="005D05AB" w:rsidRDefault="00FF232E" w:rsidP="005F5549">
      <w:pPr>
        <w:spacing w:line="276" w:lineRule="auto"/>
        <w:ind w:firstLine="851"/>
        <w:jc w:val="both"/>
        <w:rPr>
          <w:rFonts w:ascii="Arial" w:hAnsi="Arial" w:cs="Arial"/>
          <w:spacing w:val="8"/>
          <w:lang w:val="es-ES_tradnl" w:eastAsia="es-ES"/>
        </w:rPr>
      </w:pPr>
      <w:r w:rsidRPr="005D05AB">
        <w:rPr>
          <w:rFonts w:ascii="Arial" w:hAnsi="Arial" w:cs="Arial"/>
          <w:spacing w:val="8"/>
          <w:lang w:val="es-ES_tradnl" w:eastAsia="es-ES"/>
        </w:rPr>
        <w:t>En mérito de lo expuesto, el Tribunal Superior del Distrito Judicial de Pereira – Sala Laboral, administrando justicia en nombre del pueblo y por mandato de la Constitución,</w:t>
      </w:r>
    </w:p>
    <w:p w14:paraId="31D79CDB" w14:textId="77777777" w:rsidR="00FF232E" w:rsidRPr="005D05AB" w:rsidRDefault="00FF232E" w:rsidP="005F5549">
      <w:pPr>
        <w:spacing w:line="276" w:lineRule="auto"/>
        <w:rPr>
          <w:rFonts w:ascii="Arial" w:hAnsi="Arial" w:cs="Arial"/>
          <w:spacing w:val="8"/>
          <w:lang w:val="es-ES_tradnl" w:eastAsia="es-ES"/>
        </w:rPr>
      </w:pPr>
    </w:p>
    <w:p w14:paraId="37A95BF8" w14:textId="77777777" w:rsidR="00FF232E" w:rsidRPr="005D05AB" w:rsidRDefault="00FF232E" w:rsidP="005F5549">
      <w:pPr>
        <w:spacing w:line="276" w:lineRule="auto"/>
        <w:jc w:val="center"/>
        <w:rPr>
          <w:rFonts w:ascii="Arial" w:hAnsi="Arial" w:cs="Arial"/>
          <w:b/>
          <w:bCs/>
          <w:spacing w:val="8"/>
          <w:lang w:val="es-ES_tradnl" w:eastAsia="es-ES"/>
        </w:rPr>
      </w:pPr>
      <w:r w:rsidRPr="005D05AB">
        <w:rPr>
          <w:rFonts w:ascii="Arial" w:hAnsi="Arial" w:cs="Arial"/>
          <w:b/>
          <w:bCs/>
          <w:spacing w:val="8"/>
          <w:lang w:val="es-ES_tradnl" w:eastAsia="es-ES"/>
        </w:rPr>
        <w:t>RESUELVE:</w:t>
      </w:r>
    </w:p>
    <w:p w14:paraId="773A0DD6" w14:textId="77777777" w:rsidR="00FF232E" w:rsidRPr="005D05AB" w:rsidRDefault="00FF232E" w:rsidP="005F5549">
      <w:pPr>
        <w:pStyle w:val="Sinespaciado"/>
        <w:spacing w:line="276" w:lineRule="auto"/>
        <w:rPr>
          <w:rFonts w:ascii="Arial" w:hAnsi="Arial" w:cs="Arial"/>
          <w:spacing w:val="8"/>
          <w:sz w:val="24"/>
          <w:szCs w:val="24"/>
          <w:lang w:val="es-ES_tradnl"/>
        </w:rPr>
      </w:pPr>
    </w:p>
    <w:p w14:paraId="0931B54B" w14:textId="551B0F67" w:rsidR="00FF232E" w:rsidRPr="005D05AB" w:rsidRDefault="00FF232E" w:rsidP="005F5549">
      <w:pPr>
        <w:tabs>
          <w:tab w:val="left" w:pos="-720"/>
        </w:tabs>
        <w:suppressAutoHyphens/>
        <w:spacing w:line="276" w:lineRule="auto"/>
        <w:ind w:right="-7" w:firstLine="851"/>
        <w:jc w:val="both"/>
        <w:rPr>
          <w:rFonts w:ascii="Arial" w:hAnsi="Arial" w:cs="Arial"/>
          <w:spacing w:val="8"/>
          <w:lang w:val="es-ES_tradnl" w:eastAsia="es-ES"/>
        </w:rPr>
      </w:pPr>
      <w:r w:rsidRPr="005D05AB">
        <w:rPr>
          <w:rFonts w:ascii="Arial" w:hAnsi="Arial" w:cs="Arial"/>
          <w:b/>
          <w:bCs/>
          <w:spacing w:val="8"/>
          <w:lang w:val="es-ES_tradnl" w:eastAsia="es-ES"/>
        </w:rPr>
        <w:t>PRIMERO: CONFIRMAR</w:t>
      </w:r>
      <w:r w:rsidRPr="005D05AB">
        <w:rPr>
          <w:rFonts w:ascii="Arial" w:hAnsi="Arial" w:cs="Arial"/>
          <w:spacing w:val="8"/>
          <w:lang w:val="es-ES_tradnl" w:eastAsia="es-ES"/>
        </w:rPr>
        <w:t xml:space="preserve"> el fallo proferido el </w:t>
      </w:r>
      <w:r w:rsidR="005025E4" w:rsidRPr="005D05AB">
        <w:rPr>
          <w:rFonts w:ascii="Arial" w:hAnsi="Arial" w:cs="Arial"/>
          <w:spacing w:val="8"/>
          <w:lang w:val="es-ES_tradnl" w:eastAsia="es-ES"/>
        </w:rPr>
        <w:t>30</w:t>
      </w:r>
      <w:r w:rsidRPr="005D05AB">
        <w:rPr>
          <w:rFonts w:ascii="Arial" w:hAnsi="Arial" w:cs="Arial"/>
          <w:spacing w:val="8"/>
          <w:lang w:val="es-ES_tradnl" w:eastAsia="es-ES"/>
        </w:rPr>
        <w:t xml:space="preserve"> de ju</w:t>
      </w:r>
      <w:r w:rsidR="005025E4" w:rsidRPr="005D05AB">
        <w:rPr>
          <w:rFonts w:ascii="Arial" w:hAnsi="Arial" w:cs="Arial"/>
          <w:spacing w:val="8"/>
          <w:lang w:val="es-ES_tradnl" w:eastAsia="es-ES"/>
        </w:rPr>
        <w:t>l</w:t>
      </w:r>
      <w:r w:rsidRPr="005D05AB">
        <w:rPr>
          <w:rFonts w:ascii="Arial" w:hAnsi="Arial" w:cs="Arial"/>
          <w:spacing w:val="8"/>
          <w:lang w:val="es-ES_tradnl" w:eastAsia="es-ES"/>
        </w:rPr>
        <w:t xml:space="preserve">io de 2020, por el Juzgado </w:t>
      </w:r>
      <w:r w:rsidR="005025E4" w:rsidRPr="005D05AB">
        <w:rPr>
          <w:rFonts w:ascii="Arial" w:hAnsi="Arial" w:cs="Arial"/>
          <w:spacing w:val="8"/>
          <w:lang w:val="es-ES_tradnl" w:eastAsia="es-ES"/>
        </w:rPr>
        <w:t>Tercero</w:t>
      </w:r>
      <w:r w:rsidRPr="005D05AB">
        <w:rPr>
          <w:rFonts w:ascii="Arial" w:hAnsi="Arial" w:cs="Arial"/>
          <w:spacing w:val="8"/>
          <w:lang w:val="es-ES_tradnl" w:eastAsia="es-ES"/>
        </w:rPr>
        <w:t xml:space="preserve"> La</w:t>
      </w:r>
      <w:r w:rsidR="005F5549" w:rsidRPr="005D05AB">
        <w:rPr>
          <w:rFonts w:ascii="Arial" w:hAnsi="Arial" w:cs="Arial"/>
          <w:spacing w:val="8"/>
          <w:lang w:val="es-ES_tradnl" w:eastAsia="es-ES"/>
        </w:rPr>
        <w:t>boral del Circuito de Pereira.</w:t>
      </w:r>
    </w:p>
    <w:p w14:paraId="0A2AD07E" w14:textId="77777777" w:rsidR="005F5549" w:rsidRPr="005D05AB" w:rsidRDefault="005F5549" w:rsidP="005F5549">
      <w:pPr>
        <w:tabs>
          <w:tab w:val="left" w:pos="-720"/>
        </w:tabs>
        <w:suppressAutoHyphens/>
        <w:spacing w:line="276" w:lineRule="auto"/>
        <w:ind w:right="-7" w:firstLine="851"/>
        <w:jc w:val="both"/>
        <w:rPr>
          <w:rFonts w:ascii="Arial" w:hAnsi="Arial" w:cs="Arial"/>
          <w:spacing w:val="8"/>
          <w:lang w:val="es-ES_tradnl" w:eastAsia="es-ES"/>
        </w:rPr>
      </w:pPr>
    </w:p>
    <w:p w14:paraId="77D7C438" w14:textId="77777777" w:rsidR="00FF232E" w:rsidRPr="005D05AB" w:rsidRDefault="00FF232E" w:rsidP="005F5549">
      <w:pPr>
        <w:spacing w:line="276" w:lineRule="auto"/>
        <w:ind w:firstLine="852"/>
        <w:jc w:val="both"/>
        <w:rPr>
          <w:rFonts w:ascii="Arial" w:hAnsi="Arial" w:cs="Arial"/>
          <w:spacing w:val="8"/>
          <w:lang w:val="es-ES_tradnl" w:eastAsia="es-ES"/>
        </w:rPr>
      </w:pPr>
      <w:r w:rsidRPr="005D05AB">
        <w:rPr>
          <w:rFonts w:ascii="Arial" w:hAnsi="Arial" w:cs="Arial"/>
          <w:b/>
          <w:bCs/>
          <w:spacing w:val="8"/>
          <w:lang w:val="es-ES_tradnl" w:eastAsia="es-ES"/>
        </w:rPr>
        <w:t>SEGUNDO:</w:t>
      </w:r>
      <w:r w:rsidRPr="005D05AB">
        <w:rPr>
          <w:rFonts w:ascii="Arial" w:hAnsi="Arial" w:cs="Arial"/>
          <w:spacing w:val="8"/>
          <w:lang w:val="es-ES_tradnl" w:eastAsia="es-ES"/>
        </w:rPr>
        <w:t xml:space="preserve"> Notificar la decisión por el medio más eficaz. </w:t>
      </w:r>
    </w:p>
    <w:p w14:paraId="2B8F8B83" w14:textId="77777777" w:rsidR="00FF232E" w:rsidRPr="005D05AB" w:rsidRDefault="00FF232E" w:rsidP="005F5549">
      <w:pPr>
        <w:spacing w:line="276" w:lineRule="auto"/>
        <w:ind w:firstLine="852"/>
        <w:jc w:val="both"/>
        <w:rPr>
          <w:rFonts w:ascii="Arial" w:hAnsi="Arial" w:cs="Arial"/>
          <w:iCs/>
          <w:spacing w:val="8"/>
        </w:rPr>
      </w:pPr>
    </w:p>
    <w:p w14:paraId="3CE7DB1C" w14:textId="77777777" w:rsidR="00FF232E" w:rsidRPr="005D05AB" w:rsidRDefault="00FF232E" w:rsidP="005F5549">
      <w:pPr>
        <w:spacing w:line="276" w:lineRule="auto"/>
        <w:ind w:firstLine="852"/>
        <w:jc w:val="both"/>
        <w:rPr>
          <w:rFonts w:ascii="Arial" w:hAnsi="Arial" w:cs="Arial"/>
          <w:iCs/>
          <w:spacing w:val="8"/>
        </w:rPr>
      </w:pPr>
      <w:r w:rsidRPr="005D05AB">
        <w:rPr>
          <w:rFonts w:ascii="Arial" w:hAnsi="Arial" w:cs="Arial"/>
          <w:b/>
          <w:bCs/>
          <w:iCs/>
          <w:spacing w:val="8"/>
        </w:rPr>
        <w:t>TERCERO.</w:t>
      </w:r>
      <w:r w:rsidRPr="005D05AB">
        <w:rPr>
          <w:rFonts w:ascii="Arial" w:hAnsi="Arial" w:cs="Arial"/>
          <w:b/>
          <w:i/>
          <w:spacing w:val="8"/>
        </w:rPr>
        <w:t xml:space="preserve"> </w:t>
      </w:r>
      <w:r w:rsidRPr="005D05AB">
        <w:rPr>
          <w:rFonts w:ascii="Arial" w:hAnsi="Arial" w:cs="Arial"/>
          <w:spacing w:val="8"/>
        </w:rPr>
        <w:t xml:space="preserve">Remitir el expediente a la Corte Constitucional para su eventual revisión. </w:t>
      </w:r>
    </w:p>
    <w:p w14:paraId="5AF47CF1" w14:textId="77777777" w:rsidR="00FF232E" w:rsidRPr="005D05AB" w:rsidRDefault="00FF232E" w:rsidP="005F5549">
      <w:pPr>
        <w:pStyle w:val="Prrafodelista1"/>
        <w:spacing w:line="276" w:lineRule="auto"/>
        <w:ind w:left="0"/>
        <w:jc w:val="center"/>
        <w:rPr>
          <w:rFonts w:ascii="Arial" w:hAnsi="Arial" w:cs="Arial"/>
          <w:b/>
          <w:bCs/>
          <w:spacing w:val="8"/>
        </w:rPr>
      </w:pPr>
    </w:p>
    <w:p w14:paraId="319A5C43" w14:textId="5AE0DD19" w:rsidR="00FF232E" w:rsidRPr="005D05AB" w:rsidRDefault="00FF232E" w:rsidP="005F5549">
      <w:pPr>
        <w:pStyle w:val="Prrafodelista1"/>
        <w:spacing w:line="276" w:lineRule="auto"/>
        <w:ind w:left="0"/>
        <w:jc w:val="center"/>
        <w:rPr>
          <w:rFonts w:ascii="Arial" w:hAnsi="Arial" w:cs="Arial"/>
          <w:b/>
          <w:spacing w:val="8"/>
        </w:rPr>
      </w:pPr>
      <w:r w:rsidRPr="005D05AB">
        <w:rPr>
          <w:rFonts w:ascii="Arial" w:hAnsi="Arial" w:cs="Arial"/>
          <w:b/>
          <w:bCs/>
          <w:spacing w:val="8"/>
        </w:rPr>
        <w:t>CÓPIESE, NOTIFÍQUESE Y CÚMPLASE.</w:t>
      </w:r>
    </w:p>
    <w:p w14:paraId="33F4071A" w14:textId="77777777" w:rsidR="00A653F0" w:rsidRPr="005D05AB" w:rsidRDefault="00A653F0" w:rsidP="005F5549">
      <w:pPr>
        <w:spacing w:line="276" w:lineRule="auto"/>
        <w:jc w:val="both"/>
        <w:rPr>
          <w:rFonts w:ascii="Arial" w:hAnsi="Arial" w:cs="Arial"/>
          <w:spacing w:val="8"/>
          <w:lang w:val="es-ES_tradnl" w:eastAsia="es-ES"/>
        </w:rPr>
      </w:pPr>
    </w:p>
    <w:p w14:paraId="4636616C" w14:textId="77777777" w:rsidR="005F5549" w:rsidRPr="005D05AB" w:rsidRDefault="005F5549" w:rsidP="005F5549">
      <w:pPr>
        <w:spacing w:line="276" w:lineRule="auto"/>
        <w:jc w:val="both"/>
        <w:rPr>
          <w:rFonts w:ascii="Arial" w:hAnsi="Arial" w:cs="Arial"/>
          <w:spacing w:val="8"/>
          <w:lang w:val="es-ES_tradnl" w:eastAsia="es-ES"/>
        </w:rPr>
      </w:pPr>
      <w:r w:rsidRPr="005D05AB">
        <w:rPr>
          <w:rFonts w:ascii="Arial" w:hAnsi="Arial" w:cs="Arial"/>
          <w:spacing w:val="8"/>
          <w:lang w:val="es-ES_tradnl" w:eastAsia="es-ES"/>
        </w:rPr>
        <w:t>NOTIFÍQUESE, CÚMPLASE Y DEVUÉLVASE.</w:t>
      </w:r>
    </w:p>
    <w:p w14:paraId="2F444972" w14:textId="77777777" w:rsidR="005F5549" w:rsidRPr="005F5549" w:rsidRDefault="005F5549" w:rsidP="005F5549">
      <w:pPr>
        <w:spacing w:line="276" w:lineRule="auto"/>
        <w:jc w:val="both"/>
        <w:rPr>
          <w:rFonts w:ascii="Arial" w:hAnsi="Arial" w:cs="Arial"/>
          <w:lang w:val="es-ES_tradnl" w:eastAsia="es-ES"/>
        </w:rPr>
      </w:pPr>
    </w:p>
    <w:p w14:paraId="69C272C1" w14:textId="77777777" w:rsidR="005F5549" w:rsidRPr="005F5549" w:rsidRDefault="005F5549" w:rsidP="005F5549">
      <w:pPr>
        <w:spacing w:line="276" w:lineRule="auto"/>
        <w:jc w:val="both"/>
        <w:rPr>
          <w:rFonts w:ascii="Arial" w:hAnsi="Arial" w:cs="Arial"/>
          <w:lang w:val="es-ES_tradnl" w:eastAsia="es-ES"/>
        </w:rPr>
      </w:pPr>
    </w:p>
    <w:p w14:paraId="63B935DF" w14:textId="77777777" w:rsidR="005F5549" w:rsidRPr="005F5549" w:rsidRDefault="005F5549" w:rsidP="005F5549">
      <w:pPr>
        <w:spacing w:line="276" w:lineRule="auto"/>
        <w:jc w:val="both"/>
        <w:rPr>
          <w:rFonts w:ascii="Arial" w:hAnsi="Arial" w:cs="Arial"/>
          <w:lang w:val="es-ES_tradnl" w:eastAsia="es-ES"/>
        </w:rPr>
      </w:pPr>
    </w:p>
    <w:p w14:paraId="53548B18" w14:textId="77777777" w:rsidR="005F5549" w:rsidRPr="005F5549" w:rsidRDefault="005F5549" w:rsidP="005F5549">
      <w:pPr>
        <w:spacing w:line="276" w:lineRule="auto"/>
        <w:jc w:val="center"/>
        <w:rPr>
          <w:rFonts w:ascii="Arial" w:hAnsi="Arial" w:cs="Arial"/>
          <w:b/>
          <w:bCs/>
          <w:iCs/>
          <w:lang w:eastAsia="es-ES"/>
        </w:rPr>
      </w:pPr>
      <w:r w:rsidRPr="005F5549">
        <w:rPr>
          <w:rFonts w:ascii="Arial" w:hAnsi="Arial" w:cs="Arial"/>
          <w:b/>
          <w:bCs/>
          <w:iCs/>
          <w:lang w:eastAsia="es-ES"/>
        </w:rPr>
        <w:t>ALEJANDRA MARÍA HENAO PALACIO</w:t>
      </w:r>
    </w:p>
    <w:p w14:paraId="6D6904D0" w14:textId="77777777" w:rsidR="005F5549" w:rsidRPr="005F5549" w:rsidRDefault="005F5549" w:rsidP="005F5549">
      <w:pPr>
        <w:spacing w:line="276" w:lineRule="auto"/>
        <w:jc w:val="center"/>
        <w:rPr>
          <w:rFonts w:ascii="Arial" w:hAnsi="Arial" w:cs="Arial"/>
          <w:bCs/>
          <w:iCs/>
          <w:lang w:eastAsia="es-ES"/>
        </w:rPr>
      </w:pPr>
      <w:r w:rsidRPr="005F5549">
        <w:rPr>
          <w:rFonts w:ascii="Arial" w:hAnsi="Arial" w:cs="Arial"/>
          <w:bCs/>
          <w:iCs/>
          <w:lang w:eastAsia="es-ES"/>
        </w:rPr>
        <w:t>Magistrada Ponente</w:t>
      </w:r>
    </w:p>
    <w:p w14:paraId="70EA8B62" w14:textId="77777777" w:rsidR="005F5549" w:rsidRPr="005F5549" w:rsidRDefault="005F5549" w:rsidP="005F5549">
      <w:pPr>
        <w:spacing w:line="276" w:lineRule="auto"/>
        <w:jc w:val="both"/>
        <w:rPr>
          <w:rFonts w:ascii="Arial" w:hAnsi="Arial" w:cs="Arial"/>
          <w:lang w:val="es-ES_tradnl" w:eastAsia="es-ES"/>
        </w:rPr>
      </w:pPr>
    </w:p>
    <w:p w14:paraId="70F21720" w14:textId="77777777" w:rsidR="005F5549" w:rsidRPr="005F5549" w:rsidRDefault="005F5549" w:rsidP="005F5549">
      <w:pPr>
        <w:spacing w:line="276" w:lineRule="auto"/>
        <w:jc w:val="both"/>
        <w:rPr>
          <w:rFonts w:ascii="Arial" w:hAnsi="Arial" w:cs="Arial"/>
          <w:lang w:val="es-ES_tradnl" w:eastAsia="es-ES"/>
        </w:rPr>
      </w:pPr>
    </w:p>
    <w:p w14:paraId="126E0F74" w14:textId="77777777" w:rsidR="005F5549" w:rsidRPr="005F5549" w:rsidRDefault="005F5549" w:rsidP="005F5549">
      <w:pPr>
        <w:spacing w:line="276" w:lineRule="auto"/>
        <w:jc w:val="both"/>
        <w:rPr>
          <w:rFonts w:ascii="Arial" w:hAnsi="Arial" w:cs="Arial"/>
          <w:lang w:val="es-ES_tradnl" w:eastAsia="es-ES"/>
        </w:rPr>
      </w:pPr>
    </w:p>
    <w:p w14:paraId="23538D1D" w14:textId="77777777" w:rsidR="005F5549" w:rsidRPr="005F5549" w:rsidRDefault="005F5549" w:rsidP="005F5549">
      <w:pPr>
        <w:spacing w:line="276" w:lineRule="auto"/>
        <w:jc w:val="both"/>
        <w:rPr>
          <w:rFonts w:ascii="Arial" w:hAnsi="Arial" w:cs="Arial"/>
          <w:b/>
          <w:bCs/>
          <w:iCs/>
          <w:lang w:eastAsia="es-ES"/>
        </w:rPr>
      </w:pPr>
      <w:r w:rsidRPr="005F5549">
        <w:rPr>
          <w:rFonts w:ascii="Arial" w:hAnsi="Arial" w:cs="Arial"/>
          <w:b/>
          <w:bCs/>
          <w:iCs/>
          <w:lang w:eastAsia="es-ES"/>
        </w:rPr>
        <w:t>ANA LUCÍA CAICEDO CALDERÓN</w:t>
      </w:r>
      <w:r w:rsidRPr="005F5549">
        <w:rPr>
          <w:rFonts w:ascii="Arial" w:hAnsi="Arial" w:cs="Arial"/>
          <w:b/>
          <w:bCs/>
          <w:iCs/>
          <w:lang w:eastAsia="es-ES"/>
        </w:rPr>
        <w:tab/>
        <w:t xml:space="preserve">      OLGA LUCIA HOYOS SEPÚLVEDA</w:t>
      </w:r>
    </w:p>
    <w:p w14:paraId="3144CB79" w14:textId="1AAA485F" w:rsidR="008C3278" w:rsidRPr="005F5549" w:rsidRDefault="005F5549" w:rsidP="005F5549">
      <w:pPr>
        <w:spacing w:line="276" w:lineRule="auto"/>
        <w:jc w:val="both"/>
        <w:rPr>
          <w:rFonts w:ascii="Arial" w:hAnsi="Arial" w:cs="Arial"/>
          <w:bCs/>
          <w:iCs/>
          <w:lang w:eastAsia="es-ES"/>
        </w:rPr>
      </w:pPr>
      <w:r w:rsidRPr="005F5549">
        <w:rPr>
          <w:rFonts w:ascii="Arial" w:hAnsi="Arial" w:cs="Arial"/>
          <w:bCs/>
          <w:iCs/>
          <w:lang w:eastAsia="es-ES"/>
        </w:rPr>
        <w:t xml:space="preserve">                Magistrada</w:t>
      </w:r>
      <w:r w:rsidRPr="005F5549">
        <w:rPr>
          <w:rFonts w:ascii="Arial" w:hAnsi="Arial" w:cs="Arial"/>
          <w:bCs/>
          <w:iCs/>
          <w:lang w:eastAsia="es-ES"/>
        </w:rPr>
        <w:tab/>
      </w:r>
      <w:r w:rsidRPr="005F5549">
        <w:rPr>
          <w:rFonts w:ascii="Arial" w:hAnsi="Arial" w:cs="Arial"/>
          <w:bCs/>
          <w:iCs/>
          <w:lang w:eastAsia="es-ES"/>
        </w:rPr>
        <w:tab/>
      </w:r>
      <w:r w:rsidRPr="005F5549">
        <w:rPr>
          <w:rFonts w:ascii="Arial" w:hAnsi="Arial" w:cs="Arial"/>
          <w:bCs/>
          <w:iCs/>
          <w:lang w:eastAsia="es-ES"/>
        </w:rPr>
        <w:tab/>
      </w:r>
      <w:r w:rsidRPr="005F5549">
        <w:rPr>
          <w:rFonts w:ascii="Arial" w:hAnsi="Arial" w:cs="Arial"/>
          <w:bCs/>
          <w:iCs/>
          <w:lang w:eastAsia="es-ES"/>
        </w:rPr>
        <w:tab/>
      </w:r>
      <w:r w:rsidRPr="005F5549">
        <w:rPr>
          <w:rFonts w:ascii="Arial" w:hAnsi="Arial" w:cs="Arial"/>
          <w:bCs/>
          <w:iCs/>
          <w:lang w:eastAsia="es-ES"/>
        </w:rPr>
        <w:tab/>
        <w:t xml:space="preserve">      Magistrada</w:t>
      </w:r>
    </w:p>
    <w:sectPr w:rsidR="008C3278" w:rsidRPr="005F5549" w:rsidSect="00A7787E">
      <w:headerReference w:type="even" r:id="rId14"/>
      <w:headerReference w:type="default" r:id="rId15"/>
      <w:footerReference w:type="even" r:id="rId16"/>
      <w:footerReference w:type="default" r:id="rId17"/>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D6DA03" w16cex:dateUtc="2020-09-22T14:08:47.518Z"/>
  <w16cex:commentExtensible w16cex:durableId="64ECADDF" w16cex:dateUtc="2020-09-22T18:26:40.6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0A34C" w14:textId="77777777" w:rsidR="00FE59C3" w:rsidRDefault="00FE59C3" w:rsidP="00433A6C">
      <w:r>
        <w:separator/>
      </w:r>
    </w:p>
  </w:endnote>
  <w:endnote w:type="continuationSeparator" w:id="0">
    <w:p w14:paraId="76339F57" w14:textId="77777777" w:rsidR="00FE59C3" w:rsidRDefault="00FE59C3" w:rsidP="00433A6C">
      <w:r>
        <w:continuationSeparator/>
      </w:r>
    </w:p>
  </w:endnote>
  <w:endnote w:type="continuationNotice" w:id="1">
    <w:p w14:paraId="5C97364F" w14:textId="77777777" w:rsidR="00FE59C3" w:rsidRDefault="00FE5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6361D" w14:textId="77777777" w:rsidR="005F5549" w:rsidRDefault="005F5549" w:rsidP="003D76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C6DE9C" w14:textId="77777777" w:rsidR="005F5549" w:rsidRDefault="005F5549" w:rsidP="003D76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1421"/>
      <w:docPartObj>
        <w:docPartGallery w:val="Page Numbers (Bottom of Page)"/>
        <w:docPartUnique/>
      </w:docPartObj>
    </w:sdtPr>
    <w:sdtEndPr>
      <w:rPr>
        <w:rFonts w:ascii="Arial" w:hAnsi="Arial" w:cs="Arial"/>
        <w:sz w:val="18"/>
      </w:rPr>
    </w:sdtEndPr>
    <w:sdtContent>
      <w:p w14:paraId="5AAA7F58" w14:textId="77777777" w:rsidR="005F5549" w:rsidRPr="00025088" w:rsidRDefault="005F5549">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4A30F1">
          <w:rPr>
            <w:rFonts w:ascii="Arial" w:hAnsi="Arial" w:cs="Arial"/>
            <w:noProof/>
            <w:sz w:val="18"/>
          </w:rPr>
          <w:t>2</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CE0D7" w14:textId="77777777" w:rsidR="00FE59C3" w:rsidRDefault="00FE59C3" w:rsidP="00433A6C">
      <w:r>
        <w:separator/>
      </w:r>
    </w:p>
  </w:footnote>
  <w:footnote w:type="continuationSeparator" w:id="0">
    <w:p w14:paraId="30003553" w14:textId="77777777" w:rsidR="00FE59C3" w:rsidRDefault="00FE59C3" w:rsidP="00433A6C">
      <w:r>
        <w:continuationSeparator/>
      </w:r>
    </w:p>
  </w:footnote>
  <w:footnote w:type="continuationNotice" w:id="1">
    <w:p w14:paraId="13022C4C" w14:textId="77777777" w:rsidR="00FE59C3" w:rsidRDefault="00FE59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F8A4E" w14:textId="77777777" w:rsidR="005F5549" w:rsidRDefault="005F554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AF9A02F" w14:textId="77777777" w:rsidR="005F5549" w:rsidRDefault="005F554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C6DA" w14:textId="77777777" w:rsidR="005F5549" w:rsidRPr="003D6C74" w:rsidRDefault="005F5549" w:rsidP="003D7642">
    <w:pPr>
      <w:widowControl w:val="0"/>
      <w:tabs>
        <w:tab w:val="center" w:pos="4419"/>
      </w:tabs>
      <w:autoSpaceDE w:val="0"/>
      <w:autoSpaceDN w:val="0"/>
      <w:adjustRightInd w:val="0"/>
      <w:jc w:val="both"/>
      <w:rPr>
        <w:rFonts w:ascii="Arial" w:hAnsi="Arial" w:cs="Arial"/>
        <w:bCs/>
        <w:iCs/>
        <w:color w:val="595959" w:themeColor="text1" w:themeTint="A6"/>
        <w:sz w:val="18"/>
        <w:lang w:eastAsia="es-MX"/>
      </w:rPr>
    </w:pPr>
    <w:r w:rsidRPr="003D6C74">
      <w:rPr>
        <w:rFonts w:ascii="Arial" w:hAnsi="Arial" w:cs="Arial"/>
        <w:color w:val="595959" w:themeColor="text1" w:themeTint="A6"/>
        <w:sz w:val="18"/>
        <w:lang w:val="es-MX" w:eastAsia="es-MX"/>
      </w:rPr>
      <w:t xml:space="preserve">Radicación No. </w:t>
    </w:r>
    <w:r w:rsidRPr="003D6C74">
      <w:rPr>
        <w:rFonts w:ascii="Arial" w:hAnsi="Arial" w:cs="Arial"/>
        <w:bCs/>
        <w:iCs/>
        <w:color w:val="595959" w:themeColor="text1" w:themeTint="A6"/>
        <w:sz w:val="18"/>
        <w:lang w:eastAsia="es-MX"/>
      </w:rPr>
      <w:t>66</w:t>
    </w:r>
    <w:r>
      <w:rPr>
        <w:rFonts w:ascii="Arial" w:hAnsi="Arial" w:cs="Arial"/>
        <w:bCs/>
        <w:iCs/>
        <w:color w:val="595959" w:themeColor="text1" w:themeTint="A6"/>
        <w:sz w:val="18"/>
        <w:lang w:eastAsia="es-MX"/>
      </w:rPr>
      <w:t>001</w:t>
    </w:r>
    <w:r w:rsidRPr="003D6C74">
      <w:rPr>
        <w:rFonts w:ascii="Arial" w:hAnsi="Arial" w:cs="Arial"/>
        <w:bCs/>
        <w:iCs/>
        <w:color w:val="595959" w:themeColor="text1" w:themeTint="A6"/>
        <w:sz w:val="18"/>
        <w:lang w:eastAsia="es-MX"/>
      </w:rPr>
      <w:t>-31-05-</w:t>
    </w:r>
    <w:r>
      <w:rPr>
        <w:rFonts w:ascii="Arial" w:hAnsi="Arial" w:cs="Arial"/>
        <w:bCs/>
        <w:iCs/>
        <w:color w:val="595959" w:themeColor="text1" w:themeTint="A6"/>
        <w:sz w:val="18"/>
        <w:lang w:eastAsia="es-MX"/>
      </w:rPr>
      <w:t>003-2020-00163</w:t>
    </w:r>
    <w:r w:rsidRPr="003D6C74">
      <w:rPr>
        <w:rFonts w:ascii="Arial" w:hAnsi="Arial" w:cs="Arial"/>
        <w:bCs/>
        <w:iCs/>
        <w:color w:val="595959" w:themeColor="text1" w:themeTint="A6"/>
        <w:sz w:val="18"/>
        <w:lang w:eastAsia="es-MX"/>
      </w:rPr>
      <w:t>-01</w:t>
    </w:r>
  </w:p>
  <w:p w14:paraId="70FB5FC6" w14:textId="77777777" w:rsidR="005F5549" w:rsidRPr="003D6C74" w:rsidRDefault="005F5549" w:rsidP="003D7642">
    <w:pPr>
      <w:pStyle w:val="Encabezado"/>
      <w:jc w:val="both"/>
      <w:rPr>
        <w:rFonts w:ascii="Arial" w:hAnsi="Arial" w:cs="Arial"/>
        <w:color w:val="595959" w:themeColor="text1" w:themeTint="A6"/>
        <w:sz w:val="18"/>
      </w:rPr>
    </w:pPr>
    <w:r>
      <w:rPr>
        <w:rFonts w:ascii="Arial" w:hAnsi="Arial" w:cs="Arial"/>
        <w:color w:val="595959" w:themeColor="text1" w:themeTint="A6"/>
        <w:sz w:val="18"/>
      </w:rPr>
      <w:t xml:space="preserve">Alba Marina Castrillón de Zuluaga </w:t>
    </w:r>
    <w:r w:rsidRPr="003D6C74">
      <w:rPr>
        <w:rFonts w:ascii="Arial" w:hAnsi="Arial" w:cs="Arial"/>
        <w:color w:val="595959" w:themeColor="text1" w:themeTint="A6"/>
        <w:sz w:val="18"/>
      </w:rPr>
      <w:t xml:space="preserve">Vs </w:t>
    </w:r>
    <w:r>
      <w:rPr>
        <w:rFonts w:ascii="Arial" w:hAnsi="Arial" w:cs="Arial"/>
        <w:color w:val="595959" w:themeColor="text1" w:themeTint="A6"/>
        <w:sz w:val="18"/>
      </w:rPr>
      <w:t xml:space="preserve">Nueva </w:t>
    </w:r>
    <w:proofErr w:type="spellStart"/>
    <w:r>
      <w:rPr>
        <w:rFonts w:ascii="Arial" w:hAnsi="Arial" w:cs="Arial"/>
        <w:color w:val="595959" w:themeColor="text1" w:themeTint="A6"/>
        <w:sz w:val="18"/>
      </w:rPr>
      <w:t>EPS</w:t>
    </w:r>
    <w:proofErr w:type="spellEnd"/>
    <w:r>
      <w:rPr>
        <w:rFonts w:ascii="Arial" w:hAnsi="Arial" w:cs="Arial"/>
        <w:color w:val="595959" w:themeColor="text1" w:themeTint="A6"/>
        <w:sz w:val="18"/>
      </w:rPr>
      <w:t xml:space="preserve"> S.A. y otro </w:t>
    </w:r>
    <w:r w:rsidRPr="003D6C74">
      <w:rPr>
        <w:rFonts w:ascii="Arial" w:hAnsi="Arial" w:cs="Arial"/>
        <w:color w:val="595959" w:themeColor="text1" w:themeTint="A6"/>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B1F"/>
    <w:multiLevelType w:val="multilevel"/>
    <w:tmpl w:val="D9B232B4"/>
    <w:lvl w:ilvl="0">
      <w:start w:val="1"/>
      <w:numFmt w:val="upperRoman"/>
      <w:lvlText w:val="%1."/>
      <w:lvlJc w:val="left"/>
      <w:pPr>
        <w:ind w:left="1571" w:hanging="720"/>
      </w:pPr>
      <w:rPr>
        <w:b/>
        <w:bCs/>
      </w:rPr>
    </w:lvl>
    <w:lvl w:ilvl="1">
      <w:start w:val="1"/>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2E"/>
    <w:rsid w:val="00003488"/>
    <w:rsid w:val="002152E1"/>
    <w:rsid w:val="002C53A0"/>
    <w:rsid w:val="002F170D"/>
    <w:rsid w:val="002F179B"/>
    <w:rsid w:val="0032383C"/>
    <w:rsid w:val="0037716E"/>
    <w:rsid w:val="00391B1F"/>
    <w:rsid w:val="00392FD5"/>
    <w:rsid w:val="003A0863"/>
    <w:rsid w:val="003A530D"/>
    <w:rsid w:val="003D7642"/>
    <w:rsid w:val="00433A6C"/>
    <w:rsid w:val="00434758"/>
    <w:rsid w:val="004A2D11"/>
    <w:rsid w:val="004A30F1"/>
    <w:rsid w:val="004A588E"/>
    <w:rsid w:val="004E672C"/>
    <w:rsid w:val="004F1A64"/>
    <w:rsid w:val="005025E4"/>
    <w:rsid w:val="005365A8"/>
    <w:rsid w:val="005D05AB"/>
    <w:rsid w:val="005F5549"/>
    <w:rsid w:val="005F7116"/>
    <w:rsid w:val="006616C9"/>
    <w:rsid w:val="00694F72"/>
    <w:rsid w:val="006B4132"/>
    <w:rsid w:val="007061BA"/>
    <w:rsid w:val="0073773E"/>
    <w:rsid w:val="00805E48"/>
    <w:rsid w:val="00811DEF"/>
    <w:rsid w:val="00876B39"/>
    <w:rsid w:val="00886D8A"/>
    <w:rsid w:val="008C3278"/>
    <w:rsid w:val="00922047"/>
    <w:rsid w:val="00971239"/>
    <w:rsid w:val="009C4BB4"/>
    <w:rsid w:val="009F4550"/>
    <w:rsid w:val="00A04E54"/>
    <w:rsid w:val="00A653F0"/>
    <w:rsid w:val="00A7787E"/>
    <w:rsid w:val="00A77FAD"/>
    <w:rsid w:val="00AB67B0"/>
    <w:rsid w:val="00B12F16"/>
    <w:rsid w:val="00B26D97"/>
    <w:rsid w:val="00B342C4"/>
    <w:rsid w:val="00B731B2"/>
    <w:rsid w:val="00BC5893"/>
    <w:rsid w:val="00C57E5F"/>
    <w:rsid w:val="00CF4C30"/>
    <w:rsid w:val="00D36C58"/>
    <w:rsid w:val="00D437B1"/>
    <w:rsid w:val="00DA0626"/>
    <w:rsid w:val="00DA54B1"/>
    <w:rsid w:val="00DB2788"/>
    <w:rsid w:val="00DD1D2E"/>
    <w:rsid w:val="00E142DE"/>
    <w:rsid w:val="00E2364F"/>
    <w:rsid w:val="00E40863"/>
    <w:rsid w:val="00E517BB"/>
    <w:rsid w:val="00EC7357"/>
    <w:rsid w:val="00EE7B56"/>
    <w:rsid w:val="00F332FD"/>
    <w:rsid w:val="00F70E9B"/>
    <w:rsid w:val="00F80752"/>
    <w:rsid w:val="00FB4861"/>
    <w:rsid w:val="00FE59C3"/>
    <w:rsid w:val="00FF232E"/>
    <w:rsid w:val="0DC68B30"/>
    <w:rsid w:val="11C8B9F6"/>
    <w:rsid w:val="1C1A3F49"/>
    <w:rsid w:val="1C995C01"/>
    <w:rsid w:val="20AC8182"/>
    <w:rsid w:val="26A3DA61"/>
    <w:rsid w:val="291C1018"/>
    <w:rsid w:val="2AD6CE77"/>
    <w:rsid w:val="2CC97D5F"/>
    <w:rsid w:val="2EDEAC36"/>
    <w:rsid w:val="3195C863"/>
    <w:rsid w:val="36580E87"/>
    <w:rsid w:val="3EA6B942"/>
    <w:rsid w:val="4B21EF67"/>
    <w:rsid w:val="4BA3738D"/>
    <w:rsid w:val="62D0ED84"/>
    <w:rsid w:val="62EF1A2A"/>
    <w:rsid w:val="661CCFEE"/>
    <w:rsid w:val="67DCF5D1"/>
    <w:rsid w:val="6C6E4ED0"/>
    <w:rsid w:val="6F958321"/>
    <w:rsid w:val="72A15BB3"/>
    <w:rsid w:val="776F36AF"/>
    <w:rsid w:val="7863A766"/>
    <w:rsid w:val="794FB5A8"/>
    <w:rsid w:val="7AACA1EC"/>
    <w:rsid w:val="7F803D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2E"/>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FF232E"/>
    <w:pPr>
      <w:keepNext/>
      <w:keepLines/>
      <w:spacing w:before="240"/>
      <w:outlineLvl w:val="0"/>
    </w:pPr>
    <w:rPr>
      <w:rFonts w:asciiTheme="majorHAnsi" w:eastAsiaTheme="majorEastAsia" w:hAnsiTheme="majorHAnsi" w:cstheme="majorBidi"/>
      <w:color w:val="2F5496" w:themeColor="accent1" w:themeShade="BF"/>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32E"/>
    <w:rPr>
      <w:rFonts w:asciiTheme="majorHAnsi" w:eastAsiaTheme="majorEastAsia" w:hAnsiTheme="majorHAnsi" w:cstheme="majorBidi"/>
      <w:color w:val="2F5496" w:themeColor="accent1" w:themeShade="BF"/>
      <w:sz w:val="32"/>
      <w:szCs w:val="32"/>
      <w:lang w:val="es-ES_tradnl" w:eastAsia="es-ES"/>
    </w:rPr>
  </w:style>
  <w:style w:type="paragraph" w:styleId="Encabezado">
    <w:name w:val="header"/>
    <w:basedOn w:val="Normal"/>
    <w:link w:val="EncabezadoCar"/>
    <w:uiPriority w:val="99"/>
    <w:rsid w:val="00FF232E"/>
    <w:pPr>
      <w:tabs>
        <w:tab w:val="center" w:pos="4252"/>
        <w:tab w:val="right" w:pos="8504"/>
      </w:tabs>
    </w:pPr>
  </w:style>
  <w:style w:type="character" w:customStyle="1" w:styleId="EncabezadoCar">
    <w:name w:val="Encabezado Car"/>
    <w:basedOn w:val="Fuentedeprrafopredeter"/>
    <w:link w:val="Encabezado"/>
    <w:uiPriority w:val="99"/>
    <w:rsid w:val="00FF232E"/>
    <w:rPr>
      <w:rFonts w:ascii="Times New Roman" w:eastAsia="Times New Roman" w:hAnsi="Times New Roman" w:cs="Times New Roman"/>
      <w:sz w:val="24"/>
      <w:szCs w:val="24"/>
      <w:lang w:val="es-ES" w:eastAsia="es-ES_tradnl"/>
    </w:rPr>
  </w:style>
  <w:style w:type="character" w:styleId="Nmerodepgina">
    <w:name w:val="page number"/>
    <w:basedOn w:val="Fuentedeprrafopredeter"/>
    <w:rsid w:val="00FF232E"/>
  </w:style>
  <w:style w:type="paragraph" w:styleId="Piedepgina">
    <w:name w:val="footer"/>
    <w:basedOn w:val="Normal"/>
    <w:link w:val="PiedepginaCar"/>
    <w:uiPriority w:val="99"/>
    <w:rsid w:val="00FF232E"/>
    <w:pPr>
      <w:tabs>
        <w:tab w:val="center" w:pos="4252"/>
        <w:tab w:val="right" w:pos="8504"/>
      </w:tabs>
    </w:pPr>
  </w:style>
  <w:style w:type="character" w:customStyle="1" w:styleId="PiedepginaCar">
    <w:name w:val="Pie de página Car"/>
    <w:basedOn w:val="Fuentedeprrafopredeter"/>
    <w:link w:val="Piedepgina"/>
    <w:uiPriority w:val="99"/>
    <w:rsid w:val="00FF232E"/>
    <w:rPr>
      <w:rFonts w:ascii="Times New Roman" w:eastAsia="Times New Roman" w:hAnsi="Times New Roman" w:cs="Times New Roman"/>
      <w:sz w:val="24"/>
      <w:szCs w:val="24"/>
      <w:lang w:val="es-ES" w:eastAsia="es-ES_tradnl"/>
    </w:rPr>
  </w:style>
  <w:style w:type="paragraph" w:customStyle="1" w:styleId="Textoindependiente21">
    <w:name w:val="Texto independiente 21"/>
    <w:basedOn w:val="Normal"/>
    <w:rsid w:val="00FF232E"/>
    <w:pPr>
      <w:spacing w:line="360" w:lineRule="auto"/>
      <w:jc w:val="both"/>
    </w:pPr>
    <w:rPr>
      <w:rFonts w:ascii="Arial" w:hAnsi="Arial"/>
      <w:b/>
      <w:sz w:val="28"/>
      <w:lang w:val="es-ES_tradnl"/>
    </w:rPr>
  </w:style>
  <w:style w:type="paragraph" w:customStyle="1" w:styleId="Prrafodelista1">
    <w:name w:val="Párrafo de lista1"/>
    <w:basedOn w:val="Normal"/>
    <w:rsid w:val="00FF232E"/>
    <w:pPr>
      <w:ind w:left="720"/>
      <w:contextualSpacing/>
    </w:pPr>
  </w:style>
  <w:style w:type="paragraph" w:styleId="Sinespaciado">
    <w:name w:val="No Spacing"/>
    <w:link w:val="SinespaciadoCar"/>
    <w:uiPriority w:val="1"/>
    <w:qFormat/>
    <w:rsid w:val="00FF232E"/>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FF232E"/>
    <w:pPr>
      <w:ind w:left="720"/>
      <w:contextualSpacing/>
    </w:pPr>
  </w:style>
  <w:style w:type="table" w:styleId="Tablaconcuadrcula">
    <w:name w:val="Table Grid"/>
    <w:basedOn w:val="Tablanormal"/>
    <w:uiPriority w:val="39"/>
    <w:rsid w:val="00FF232E"/>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F232E"/>
    <w:rPr>
      <w:sz w:val="16"/>
      <w:szCs w:val="16"/>
    </w:rPr>
  </w:style>
  <w:style w:type="paragraph" w:styleId="Textocomentario">
    <w:name w:val="annotation text"/>
    <w:basedOn w:val="Normal"/>
    <w:link w:val="TextocomentarioCar"/>
    <w:uiPriority w:val="99"/>
    <w:semiHidden/>
    <w:unhideWhenUsed/>
    <w:rsid w:val="00FF232E"/>
  </w:style>
  <w:style w:type="character" w:customStyle="1" w:styleId="TextocomentarioCar">
    <w:name w:val="Texto comentario Car"/>
    <w:basedOn w:val="Fuentedeprrafopredeter"/>
    <w:link w:val="Textocomentario"/>
    <w:uiPriority w:val="99"/>
    <w:semiHidden/>
    <w:rsid w:val="00FF232E"/>
    <w:rPr>
      <w:rFonts w:ascii="Times New Roman" w:eastAsia="Times New Roman" w:hAnsi="Times New Roman" w:cs="Times New Roman"/>
      <w:sz w:val="24"/>
      <w:szCs w:val="24"/>
      <w:lang w:val="es-ES" w:eastAsia="es-ES_tradnl"/>
    </w:rPr>
  </w:style>
  <w:style w:type="paragraph" w:styleId="Ttulo">
    <w:name w:val="Title"/>
    <w:basedOn w:val="Normal"/>
    <w:link w:val="TtuloCar"/>
    <w:uiPriority w:val="99"/>
    <w:qFormat/>
    <w:rsid w:val="00FF232E"/>
    <w:pPr>
      <w:spacing w:line="360" w:lineRule="auto"/>
      <w:jc w:val="center"/>
    </w:pPr>
    <w:rPr>
      <w:rFonts w:ascii="Arial Narrow" w:hAnsi="Arial Narrow" w:cs="Arial"/>
      <w:b/>
      <w:lang w:eastAsia="es-ES"/>
    </w:rPr>
  </w:style>
  <w:style w:type="character" w:customStyle="1" w:styleId="TtuloCar">
    <w:name w:val="Título Car"/>
    <w:basedOn w:val="Fuentedeprrafopredeter"/>
    <w:link w:val="Ttulo"/>
    <w:uiPriority w:val="99"/>
    <w:rsid w:val="00FF232E"/>
    <w:rPr>
      <w:rFonts w:ascii="Arial Narrow" w:eastAsia="Times New Roman" w:hAnsi="Arial Narrow" w:cs="Arial"/>
      <w:b/>
      <w:sz w:val="24"/>
      <w:szCs w:val="24"/>
      <w:lang w:val="es-ES" w:eastAsia="es-ES"/>
    </w:rPr>
  </w:style>
  <w:style w:type="character" w:customStyle="1" w:styleId="SinespaciadoCar">
    <w:name w:val="Sin espaciado Car"/>
    <w:link w:val="Sinespaciado"/>
    <w:uiPriority w:val="1"/>
    <w:locked/>
    <w:rsid w:val="00FF232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F23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32E"/>
    <w:rPr>
      <w:rFonts w:ascii="Segoe UI" w:eastAsia="Times New Roman" w:hAnsi="Segoe UI" w:cs="Segoe UI"/>
      <w:sz w:val="18"/>
      <w:szCs w:val="18"/>
      <w:lang w:val="es-ES" w:eastAsia="es-ES_tradnl"/>
    </w:rPr>
  </w:style>
  <w:style w:type="paragraph" w:styleId="Textonotapie">
    <w:name w:val="footnote text"/>
    <w:basedOn w:val="Normal"/>
    <w:link w:val="TextonotapieCar"/>
    <w:uiPriority w:val="99"/>
    <w:semiHidden/>
    <w:unhideWhenUsed/>
    <w:rsid w:val="00433A6C"/>
    <w:rPr>
      <w:sz w:val="20"/>
      <w:szCs w:val="20"/>
    </w:rPr>
  </w:style>
  <w:style w:type="character" w:customStyle="1" w:styleId="TextonotapieCar">
    <w:name w:val="Texto nota pie Car"/>
    <w:basedOn w:val="Fuentedeprrafopredeter"/>
    <w:link w:val="Textonotapie"/>
    <w:uiPriority w:val="99"/>
    <w:semiHidden/>
    <w:rsid w:val="00433A6C"/>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semiHidden/>
    <w:unhideWhenUsed/>
    <w:rsid w:val="00433A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2E"/>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FF232E"/>
    <w:pPr>
      <w:keepNext/>
      <w:keepLines/>
      <w:spacing w:before="240"/>
      <w:outlineLvl w:val="0"/>
    </w:pPr>
    <w:rPr>
      <w:rFonts w:asciiTheme="majorHAnsi" w:eastAsiaTheme="majorEastAsia" w:hAnsiTheme="majorHAnsi" w:cstheme="majorBidi"/>
      <w:color w:val="2F5496" w:themeColor="accent1" w:themeShade="BF"/>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32E"/>
    <w:rPr>
      <w:rFonts w:asciiTheme="majorHAnsi" w:eastAsiaTheme="majorEastAsia" w:hAnsiTheme="majorHAnsi" w:cstheme="majorBidi"/>
      <w:color w:val="2F5496" w:themeColor="accent1" w:themeShade="BF"/>
      <w:sz w:val="32"/>
      <w:szCs w:val="32"/>
      <w:lang w:val="es-ES_tradnl" w:eastAsia="es-ES"/>
    </w:rPr>
  </w:style>
  <w:style w:type="paragraph" w:styleId="Encabezado">
    <w:name w:val="header"/>
    <w:basedOn w:val="Normal"/>
    <w:link w:val="EncabezadoCar"/>
    <w:uiPriority w:val="99"/>
    <w:rsid w:val="00FF232E"/>
    <w:pPr>
      <w:tabs>
        <w:tab w:val="center" w:pos="4252"/>
        <w:tab w:val="right" w:pos="8504"/>
      </w:tabs>
    </w:pPr>
  </w:style>
  <w:style w:type="character" w:customStyle="1" w:styleId="EncabezadoCar">
    <w:name w:val="Encabezado Car"/>
    <w:basedOn w:val="Fuentedeprrafopredeter"/>
    <w:link w:val="Encabezado"/>
    <w:uiPriority w:val="99"/>
    <w:rsid w:val="00FF232E"/>
    <w:rPr>
      <w:rFonts w:ascii="Times New Roman" w:eastAsia="Times New Roman" w:hAnsi="Times New Roman" w:cs="Times New Roman"/>
      <w:sz w:val="24"/>
      <w:szCs w:val="24"/>
      <w:lang w:val="es-ES" w:eastAsia="es-ES_tradnl"/>
    </w:rPr>
  </w:style>
  <w:style w:type="character" w:styleId="Nmerodepgina">
    <w:name w:val="page number"/>
    <w:basedOn w:val="Fuentedeprrafopredeter"/>
    <w:rsid w:val="00FF232E"/>
  </w:style>
  <w:style w:type="paragraph" w:styleId="Piedepgina">
    <w:name w:val="footer"/>
    <w:basedOn w:val="Normal"/>
    <w:link w:val="PiedepginaCar"/>
    <w:uiPriority w:val="99"/>
    <w:rsid w:val="00FF232E"/>
    <w:pPr>
      <w:tabs>
        <w:tab w:val="center" w:pos="4252"/>
        <w:tab w:val="right" w:pos="8504"/>
      </w:tabs>
    </w:pPr>
  </w:style>
  <w:style w:type="character" w:customStyle="1" w:styleId="PiedepginaCar">
    <w:name w:val="Pie de página Car"/>
    <w:basedOn w:val="Fuentedeprrafopredeter"/>
    <w:link w:val="Piedepgina"/>
    <w:uiPriority w:val="99"/>
    <w:rsid w:val="00FF232E"/>
    <w:rPr>
      <w:rFonts w:ascii="Times New Roman" w:eastAsia="Times New Roman" w:hAnsi="Times New Roman" w:cs="Times New Roman"/>
      <w:sz w:val="24"/>
      <w:szCs w:val="24"/>
      <w:lang w:val="es-ES" w:eastAsia="es-ES_tradnl"/>
    </w:rPr>
  </w:style>
  <w:style w:type="paragraph" w:customStyle="1" w:styleId="Textoindependiente21">
    <w:name w:val="Texto independiente 21"/>
    <w:basedOn w:val="Normal"/>
    <w:rsid w:val="00FF232E"/>
    <w:pPr>
      <w:spacing w:line="360" w:lineRule="auto"/>
      <w:jc w:val="both"/>
    </w:pPr>
    <w:rPr>
      <w:rFonts w:ascii="Arial" w:hAnsi="Arial"/>
      <w:b/>
      <w:sz w:val="28"/>
      <w:lang w:val="es-ES_tradnl"/>
    </w:rPr>
  </w:style>
  <w:style w:type="paragraph" w:customStyle="1" w:styleId="Prrafodelista1">
    <w:name w:val="Párrafo de lista1"/>
    <w:basedOn w:val="Normal"/>
    <w:rsid w:val="00FF232E"/>
    <w:pPr>
      <w:ind w:left="720"/>
      <w:contextualSpacing/>
    </w:pPr>
  </w:style>
  <w:style w:type="paragraph" w:styleId="Sinespaciado">
    <w:name w:val="No Spacing"/>
    <w:link w:val="SinespaciadoCar"/>
    <w:uiPriority w:val="1"/>
    <w:qFormat/>
    <w:rsid w:val="00FF232E"/>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FF232E"/>
    <w:pPr>
      <w:ind w:left="720"/>
      <w:contextualSpacing/>
    </w:pPr>
  </w:style>
  <w:style w:type="table" w:styleId="Tablaconcuadrcula">
    <w:name w:val="Table Grid"/>
    <w:basedOn w:val="Tablanormal"/>
    <w:uiPriority w:val="39"/>
    <w:rsid w:val="00FF232E"/>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FF232E"/>
    <w:rPr>
      <w:sz w:val="16"/>
      <w:szCs w:val="16"/>
    </w:rPr>
  </w:style>
  <w:style w:type="paragraph" w:styleId="Textocomentario">
    <w:name w:val="annotation text"/>
    <w:basedOn w:val="Normal"/>
    <w:link w:val="TextocomentarioCar"/>
    <w:uiPriority w:val="99"/>
    <w:semiHidden/>
    <w:unhideWhenUsed/>
    <w:rsid w:val="00FF232E"/>
  </w:style>
  <w:style w:type="character" w:customStyle="1" w:styleId="TextocomentarioCar">
    <w:name w:val="Texto comentario Car"/>
    <w:basedOn w:val="Fuentedeprrafopredeter"/>
    <w:link w:val="Textocomentario"/>
    <w:uiPriority w:val="99"/>
    <w:semiHidden/>
    <w:rsid w:val="00FF232E"/>
    <w:rPr>
      <w:rFonts w:ascii="Times New Roman" w:eastAsia="Times New Roman" w:hAnsi="Times New Roman" w:cs="Times New Roman"/>
      <w:sz w:val="24"/>
      <w:szCs w:val="24"/>
      <w:lang w:val="es-ES" w:eastAsia="es-ES_tradnl"/>
    </w:rPr>
  </w:style>
  <w:style w:type="paragraph" w:styleId="Ttulo">
    <w:name w:val="Title"/>
    <w:basedOn w:val="Normal"/>
    <w:link w:val="TtuloCar"/>
    <w:uiPriority w:val="99"/>
    <w:qFormat/>
    <w:rsid w:val="00FF232E"/>
    <w:pPr>
      <w:spacing w:line="360" w:lineRule="auto"/>
      <w:jc w:val="center"/>
    </w:pPr>
    <w:rPr>
      <w:rFonts w:ascii="Arial Narrow" w:hAnsi="Arial Narrow" w:cs="Arial"/>
      <w:b/>
      <w:lang w:eastAsia="es-ES"/>
    </w:rPr>
  </w:style>
  <w:style w:type="character" w:customStyle="1" w:styleId="TtuloCar">
    <w:name w:val="Título Car"/>
    <w:basedOn w:val="Fuentedeprrafopredeter"/>
    <w:link w:val="Ttulo"/>
    <w:uiPriority w:val="99"/>
    <w:rsid w:val="00FF232E"/>
    <w:rPr>
      <w:rFonts w:ascii="Arial Narrow" w:eastAsia="Times New Roman" w:hAnsi="Arial Narrow" w:cs="Arial"/>
      <w:b/>
      <w:sz w:val="24"/>
      <w:szCs w:val="24"/>
      <w:lang w:val="es-ES" w:eastAsia="es-ES"/>
    </w:rPr>
  </w:style>
  <w:style w:type="character" w:customStyle="1" w:styleId="SinespaciadoCar">
    <w:name w:val="Sin espaciado Car"/>
    <w:link w:val="Sinespaciado"/>
    <w:uiPriority w:val="1"/>
    <w:locked/>
    <w:rsid w:val="00FF232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F23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32E"/>
    <w:rPr>
      <w:rFonts w:ascii="Segoe UI" w:eastAsia="Times New Roman" w:hAnsi="Segoe UI" w:cs="Segoe UI"/>
      <w:sz w:val="18"/>
      <w:szCs w:val="18"/>
      <w:lang w:val="es-ES" w:eastAsia="es-ES_tradnl"/>
    </w:rPr>
  </w:style>
  <w:style w:type="paragraph" w:styleId="Textonotapie">
    <w:name w:val="footnote text"/>
    <w:basedOn w:val="Normal"/>
    <w:link w:val="TextonotapieCar"/>
    <w:uiPriority w:val="99"/>
    <w:semiHidden/>
    <w:unhideWhenUsed/>
    <w:rsid w:val="00433A6C"/>
    <w:rPr>
      <w:sz w:val="20"/>
      <w:szCs w:val="20"/>
    </w:rPr>
  </w:style>
  <w:style w:type="character" w:customStyle="1" w:styleId="TextonotapieCar">
    <w:name w:val="Texto nota pie Car"/>
    <w:basedOn w:val="Fuentedeprrafopredeter"/>
    <w:link w:val="Textonotapie"/>
    <w:uiPriority w:val="99"/>
    <w:semiHidden/>
    <w:rsid w:val="00433A6C"/>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semiHidden/>
    <w:unhideWhenUsed/>
    <w:rsid w:val="00433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9b73a6f29d44482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3EE60-AD4C-4ABB-BA0B-D344DB09A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B6365-6D1E-4E14-8442-DBFEFEC02DDC}">
  <ds:schemaRefs>
    <ds:schemaRef ds:uri="http://schemas.microsoft.com/sharepoint/v3/contenttype/forms"/>
  </ds:schemaRefs>
</ds:datastoreItem>
</file>

<file path=customXml/itemProps3.xml><?xml version="1.0" encoding="utf-8"?>
<ds:datastoreItem xmlns:ds="http://schemas.openxmlformats.org/officeDocument/2006/customXml" ds:itemID="{5BC0B312-42A7-4045-8BED-F06C7E6AB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AA4C4-9E76-426F-9149-115FD406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3157</Words>
  <Characters>17364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cp:lastPrinted>2020-09-21T22:49:00Z</cp:lastPrinted>
  <dcterms:created xsi:type="dcterms:W3CDTF">2020-09-22T19:22:00Z</dcterms:created>
  <dcterms:modified xsi:type="dcterms:W3CDTF">2020-11-03T14:59:00Z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