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05FB" w14:textId="77777777" w:rsidR="002C3E64" w:rsidRPr="002C3E64" w:rsidRDefault="002C3E64" w:rsidP="002C3E64">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bookmarkStart w:id="0" w:name="_GoBack"/>
      <w:r w:rsidRPr="002C3E6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44671E" w14:textId="77777777" w:rsidR="002C3E64" w:rsidRPr="002C3E64" w:rsidRDefault="002C3E64" w:rsidP="002C3E64">
      <w:pPr>
        <w:suppressAutoHyphens w:val="0"/>
        <w:jc w:val="both"/>
        <w:rPr>
          <w:rFonts w:ascii="Arial" w:hAnsi="Arial" w:cs="Arial"/>
          <w:lang w:val="es-419" w:eastAsia="es-ES"/>
        </w:rPr>
      </w:pPr>
    </w:p>
    <w:p w14:paraId="633D3035" w14:textId="4ED652D6" w:rsidR="002C3E64" w:rsidRPr="002C3E64" w:rsidRDefault="002C3E64" w:rsidP="002C3E64">
      <w:pPr>
        <w:suppressAutoHyphens w:val="0"/>
        <w:jc w:val="both"/>
        <w:rPr>
          <w:rFonts w:ascii="Arial" w:hAnsi="Arial" w:cs="Arial"/>
          <w:lang w:val="es-419" w:eastAsia="es-ES"/>
        </w:rPr>
      </w:pPr>
      <w:r w:rsidRPr="002C3E64">
        <w:rPr>
          <w:rFonts w:ascii="Arial" w:hAnsi="Arial" w:cs="Arial"/>
          <w:b/>
          <w:bCs/>
          <w:iCs/>
          <w:u w:val="single"/>
          <w:lang w:val="es-419" w:eastAsia="fr-FR"/>
        </w:rPr>
        <w:t>TEMAS:</w:t>
      </w:r>
      <w:r w:rsidRPr="002C3E64">
        <w:rPr>
          <w:rFonts w:ascii="Arial" w:hAnsi="Arial" w:cs="Arial"/>
          <w:b/>
          <w:bCs/>
          <w:iCs/>
          <w:lang w:val="es-419" w:eastAsia="fr-FR"/>
        </w:rPr>
        <w:tab/>
      </w:r>
      <w:r w:rsidR="008620C8" w:rsidRPr="008620C8">
        <w:rPr>
          <w:rFonts w:ascii="Arial" w:hAnsi="Arial" w:cs="Arial"/>
          <w:b/>
          <w:lang w:val="es-419" w:eastAsia="es-ES"/>
        </w:rPr>
        <w:t>NULIDAD PROCESAL / NOTIFICACIÓN EN DEBIDA FORMA / EMPLAZAMIENTO / REQUISITOS DE LA PUBLICACIÓN / INCLUIR LA IDENTIFICACIÓN CORRECTA DE LA PERSONA EMPLAZADA / SER DE NATURALEZA PÚBLICA.</w:t>
      </w:r>
    </w:p>
    <w:p w14:paraId="0F34C253" w14:textId="77777777" w:rsidR="008620C8" w:rsidRDefault="008620C8" w:rsidP="008620C8">
      <w:pPr>
        <w:suppressAutoHyphens w:val="0"/>
        <w:jc w:val="both"/>
        <w:rPr>
          <w:rFonts w:ascii="Arial" w:hAnsi="Arial" w:cs="Arial"/>
          <w:lang w:val="es-419" w:eastAsia="es-ES"/>
        </w:rPr>
      </w:pPr>
    </w:p>
    <w:p w14:paraId="231D4576" w14:textId="3350771D" w:rsidR="008620C8" w:rsidRPr="008620C8" w:rsidRDefault="008620C8" w:rsidP="008620C8">
      <w:pPr>
        <w:suppressAutoHyphens w:val="0"/>
        <w:jc w:val="both"/>
        <w:rPr>
          <w:rFonts w:ascii="Arial" w:hAnsi="Arial" w:cs="Arial"/>
          <w:lang w:val="es-419" w:eastAsia="es-ES"/>
        </w:rPr>
      </w:pPr>
      <w:r>
        <w:rPr>
          <w:rFonts w:ascii="Arial" w:hAnsi="Arial" w:cs="Arial"/>
          <w:lang w:val="es-419" w:eastAsia="es-ES"/>
        </w:rPr>
        <w:t xml:space="preserve">… </w:t>
      </w:r>
      <w:r w:rsidRPr="008620C8">
        <w:rPr>
          <w:rFonts w:ascii="Arial" w:hAnsi="Arial" w:cs="Arial"/>
          <w:lang w:val="es-419" w:eastAsia="es-ES"/>
        </w:rPr>
        <w:t>la notificación, entendida como el acto mediante el cual se pone en conocimiento de los sujetos procesales el contenido de las providencias que se producen dentro del proceso, resulta trascendental; de un lado, para garantizar los derechos de defensa y contradicción, y por el otro, como presupuesto de la tutela judicial efectiva</w:t>
      </w:r>
      <w:r>
        <w:rPr>
          <w:rFonts w:ascii="Arial" w:hAnsi="Arial" w:cs="Arial"/>
          <w:lang w:val="es-419" w:eastAsia="es-ES"/>
        </w:rPr>
        <w:t>…</w:t>
      </w:r>
    </w:p>
    <w:p w14:paraId="34FE9151" w14:textId="77777777" w:rsidR="008620C8" w:rsidRPr="008620C8" w:rsidRDefault="008620C8" w:rsidP="008620C8">
      <w:pPr>
        <w:suppressAutoHyphens w:val="0"/>
        <w:jc w:val="both"/>
        <w:rPr>
          <w:rFonts w:ascii="Arial" w:hAnsi="Arial" w:cs="Arial"/>
          <w:lang w:val="es-419" w:eastAsia="es-ES"/>
        </w:rPr>
      </w:pPr>
    </w:p>
    <w:p w14:paraId="3D6F57DE" w14:textId="048D0866" w:rsidR="002C3E64" w:rsidRPr="002C3E64" w:rsidRDefault="008620C8" w:rsidP="008620C8">
      <w:pPr>
        <w:suppressAutoHyphens w:val="0"/>
        <w:jc w:val="both"/>
        <w:rPr>
          <w:rFonts w:ascii="Arial" w:hAnsi="Arial" w:cs="Arial"/>
          <w:lang w:val="es-419" w:eastAsia="es-ES"/>
        </w:rPr>
      </w:pPr>
      <w:r w:rsidRPr="008620C8">
        <w:rPr>
          <w:rFonts w:ascii="Arial" w:hAnsi="Arial" w:cs="Arial"/>
          <w:lang w:val="es-419" w:eastAsia="es-ES"/>
        </w:rPr>
        <w:t>Acorde con lo anterior, si la notificación deber surtirse frente a ciertos sujetos procesales, la certeza sobre su identidad y su correcta identificación, son requisitos sine qua non para que esta pueda considerarse surtida cabalmente y desatar los efectos que la ley o la decisión que se comunica, en sí misma, pueda contener.</w:t>
      </w:r>
      <w:r>
        <w:rPr>
          <w:rFonts w:ascii="Arial" w:hAnsi="Arial" w:cs="Arial"/>
          <w:lang w:val="es-419" w:eastAsia="es-ES"/>
        </w:rPr>
        <w:t xml:space="preserve"> (…)</w:t>
      </w:r>
    </w:p>
    <w:p w14:paraId="738AA7BA" w14:textId="77777777" w:rsidR="002C3E64" w:rsidRPr="002C3E64" w:rsidRDefault="002C3E64" w:rsidP="002C3E64">
      <w:pPr>
        <w:suppressAutoHyphens w:val="0"/>
        <w:jc w:val="both"/>
        <w:rPr>
          <w:rFonts w:ascii="Arial" w:hAnsi="Arial" w:cs="Arial"/>
          <w:lang w:val="es-419" w:eastAsia="es-ES"/>
        </w:rPr>
      </w:pPr>
    </w:p>
    <w:p w14:paraId="295180BC" w14:textId="634CCD12" w:rsidR="002C3E64" w:rsidRPr="002C3E64" w:rsidRDefault="008620C8" w:rsidP="002C3E64">
      <w:pPr>
        <w:suppressAutoHyphens w:val="0"/>
        <w:jc w:val="both"/>
        <w:rPr>
          <w:rFonts w:ascii="Arial" w:hAnsi="Arial" w:cs="Arial"/>
          <w:lang w:val="es-419" w:eastAsia="es-ES"/>
        </w:rPr>
      </w:pPr>
      <w:r>
        <w:rPr>
          <w:rFonts w:ascii="Arial" w:hAnsi="Arial" w:cs="Arial"/>
          <w:lang w:val="es-419" w:eastAsia="es-ES"/>
        </w:rPr>
        <w:t xml:space="preserve">… </w:t>
      </w:r>
      <w:r w:rsidRPr="008620C8">
        <w:rPr>
          <w:rFonts w:ascii="Arial" w:hAnsi="Arial" w:cs="Arial"/>
          <w:lang w:val="es-419" w:eastAsia="es-ES"/>
        </w:rPr>
        <w:t>para que el emplazamiento se realice válidamente, es preciso cumplir con dos actividades en relación con el Registro Nacional de Personas Emplazadas. La primera, comunicar o incluir en el mismo (i) los datos (nombre e identificación) de las personas emplazadas; (ii) los datos de las partes</w:t>
      </w:r>
      <w:r>
        <w:rPr>
          <w:rFonts w:ascii="Arial" w:hAnsi="Arial" w:cs="Arial"/>
          <w:lang w:val="es-419" w:eastAsia="es-ES"/>
        </w:rPr>
        <w:t>…</w:t>
      </w:r>
      <w:r w:rsidRPr="008620C8">
        <w:rPr>
          <w:rFonts w:ascii="Arial" w:hAnsi="Arial" w:cs="Arial"/>
          <w:lang w:val="es-419" w:eastAsia="es-ES"/>
        </w:rPr>
        <w:t>; (iii) la naturaleza del proceso; y (iv) el juzgado que requiere a quienes se emplaza.  La segunda, publicar o si se quiere, hacer de conocimiento público dicha información.</w:t>
      </w:r>
    </w:p>
    <w:p w14:paraId="36C47102" w14:textId="77777777" w:rsidR="002C3E64" w:rsidRPr="002C3E64" w:rsidRDefault="002C3E64" w:rsidP="002C3E64">
      <w:pPr>
        <w:suppressAutoHyphens w:val="0"/>
        <w:jc w:val="both"/>
        <w:rPr>
          <w:rFonts w:ascii="Arial" w:hAnsi="Arial" w:cs="Arial"/>
          <w:lang w:eastAsia="es-ES"/>
        </w:rPr>
      </w:pPr>
    </w:p>
    <w:p w14:paraId="293022DC" w14:textId="69B47408" w:rsidR="002C3E64" w:rsidRPr="002C3E64" w:rsidRDefault="008620C8" w:rsidP="002C3E64">
      <w:pPr>
        <w:suppressAutoHyphens w:val="0"/>
        <w:jc w:val="both"/>
        <w:rPr>
          <w:rFonts w:ascii="Arial" w:hAnsi="Arial" w:cs="Arial"/>
          <w:lang w:eastAsia="es-ES"/>
        </w:rPr>
      </w:pPr>
      <w:r w:rsidRPr="008620C8">
        <w:rPr>
          <w:rFonts w:ascii="Arial" w:hAnsi="Arial" w:cs="Arial"/>
          <w:lang w:eastAsia="es-ES"/>
        </w:rPr>
        <w:t xml:space="preserve">De la primera de las anteriores actividades, se observa en la copia impresa del registro obrante a folio 180, que si bien se incluyeron los nombres de las personas que están determinadas en el proceso, demandante y demandado, no se involucró como tal a los herederos indeterminados del señor Alberto </w:t>
      </w:r>
      <w:proofErr w:type="spellStart"/>
      <w:r w:rsidRPr="008620C8">
        <w:rPr>
          <w:rFonts w:ascii="Arial" w:hAnsi="Arial" w:cs="Arial"/>
          <w:lang w:eastAsia="es-ES"/>
        </w:rPr>
        <w:t>Buriticá</w:t>
      </w:r>
      <w:proofErr w:type="spellEnd"/>
      <w:r w:rsidRPr="008620C8">
        <w:rPr>
          <w:rFonts w:ascii="Arial" w:hAnsi="Arial" w:cs="Arial"/>
          <w:lang w:eastAsia="es-ES"/>
        </w:rPr>
        <w:t xml:space="preserve"> Salgado, quienes debían ser emplazados dentro del trámite. Aunado a ello, este mismo documento da cuenta que la segunda labor tampoco se cumplió, en razón a que se marcó el registro como “privado”, cerrándose con ello cualquier posibilidad de alcanzar la publicidad que se necesita</w:t>
      </w:r>
      <w:r>
        <w:rPr>
          <w:rFonts w:ascii="Arial" w:hAnsi="Arial" w:cs="Arial"/>
          <w:lang w:eastAsia="es-ES"/>
        </w:rPr>
        <w:t>...</w:t>
      </w:r>
    </w:p>
    <w:p w14:paraId="36B61030" w14:textId="77777777" w:rsidR="002C3E64" w:rsidRPr="002C3E64" w:rsidRDefault="002C3E64" w:rsidP="002C3E64">
      <w:pPr>
        <w:suppressAutoHyphens w:val="0"/>
        <w:jc w:val="both"/>
        <w:rPr>
          <w:rFonts w:ascii="Arial" w:hAnsi="Arial" w:cs="Arial"/>
          <w:lang w:eastAsia="es-ES"/>
        </w:rPr>
      </w:pPr>
    </w:p>
    <w:p w14:paraId="0197D91C" w14:textId="77777777" w:rsidR="002C3E64" w:rsidRPr="002C3E64" w:rsidRDefault="002C3E64" w:rsidP="002C3E64">
      <w:pPr>
        <w:suppressAutoHyphens w:val="0"/>
        <w:jc w:val="both"/>
        <w:rPr>
          <w:rFonts w:ascii="Arial" w:hAnsi="Arial" w:cs="Arial"/>
          <w:lang w:eastAsia="es-ES"/>
        </w:rPr>
      </w:pPr>
    </w:p>
    <w:p w14:paraId="3970A837" w14:textId="77777777" w:rsidR="002C3E64" w:rsidRPr="002C3E64" w:rsidRDefault="002C3E64" w:rsidP="002C3E64">
      <w:pPr>
        <w:suppressAutoHyphens w:val="0"/>
        <w:jc w:val="both"/>
        <w:rPr>
          <w:rFonts w:ascii="Arial" w:hAnsi="Arial" w:cs="Arial"/>
          <w:lang w:eastAsia="es-ES"/>
        </w:rPr>
      </w:pPr>
    </w:p>
    <w:p w14:paraId="76D1DAE7" w14:textId="77777777" w:rsidR="00A0693D" w:rsidRPr="002C3E64" w:rsidRDefault="00A0693D" w:rsidP="002C3E64">
      <w:pPr>
        <w:autoSpaceDE w:val="0"/>
        <w:autoSpaceDN w:val="0"/>
        <w:adjustRightInd w:val="0"/>
        <w:spacing w:line="276" w:lineRule="auto"/>
        <w:jc w:val="center"/>
        <w:rPr>
          <w:rFonts w:ascii="Arial" w:eastAsia="Arial Narrow" w:hAnsi="Arial" w:cs="Arial"/>
          <w:b/>
          <w:bCs/>
          <w:spacing w:val="12"/>
          <w:sz w:val="24"/>
          <w:szCs w:val="24"/>
        </w:rPr>
      </w:pPr>
      <w:r w:rsidRPr="002C3E64">
        <w:rPr>
          <w:rFonts w:ascii="Arial" w:eastAsia="Arial Narrow" w:hAnsi="Arial" w:cs="Arial"/>
          <w:b/>
          <w:bCs/>
          <w:spacing w:val="12"/>
          <w:sz w:val="24"/>
          <w:szCs w:val="24"/>
        </w:rPr>
        <w:t>REPÚBLICA DE COLOMBIA</w:t>
      </w:r>
    </w:p>
    <w:p w14:paraId="3BA12EFD" w14:textId="2A2B6A68" w:rsidR="00A0693D" w:rsidRPr="002C3E64" w:rsidRDefault="00AD4B7D" w:rsidP="002C3E64">
      <w:pPr>
        <w:spacing w:line="276" w:lineRule="auto"/>
        <w:jc w:val="center"/>
        <w:rPr>
          <w:rFonts w:ascii="Arial" w:hAnsi="Arial" w:cs="Arial"/>
          <w:b/>
          <w:bCs/>
          <w:sz w:val="24"/>
          <w:szCs w:val="24"/>
        </w:rPr>
      </w:pPr>
      <w:r w:rsidRPr="002C3E64">
        <w:rPr>
          <w:rFonts w:ascii="Arial" w:hAnsi="Arial" w:cs="Arial"/>
          <w:b/>
          <w:noProof/>
          <w:sz w:val="24"/>
          <w:szCs w:val="24"/>
        </w:rPr>
        <w:object w:dxaOrig="3090" w:dyaOrig="3285" w14:anchorId="47E39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in;mso-width-percent:0;mso-height-percent:0;mso-width-percent:0;mso-height-percent:0" o:ole="" fillcolor="window">
            <v:imagedata r:id="rId12" o:title=""/>
          </v:shape>
          <o:OLEObject Type="Embed" ProgID="PBrush" ShapeID="_x0000_i1025" DrawAspect="Content" ObjectID="_1668843877" r:id="rId13"/>
        </w:object>
      </w:r>
    </w:p>
    <w:p w14:paraId="2460B6D8" w14:textId="11AF31D2" w:rsidR="00A0693D" w:rsidRPr="002C3E64" w:rsidRDefault="00A0693D" w:rsidP="002C3E64">
      <w:pPr>
        <w:spacing w:line="276" w:lineRule="auto"/>
        <w:rPr>
          <w:rFonts w:ascii="Arial" w:hAnsi="Arial" w:cs="Arial"/>
          <w:b/>
          <w:bCs/>
          <w:sz w:val="24"/>
          <w:szCs w:val="24"/>
        </w:rPr>
      </w:pPr>
      <w:r w:rsidRPr="002C3E64">
        <w:rPr>
          <w:rFonts w:ascii="Arial" w:hAnsi="Arial" w:cs="Arial"/>
          <w:b/>
          <w:sz w:val="24"/>
          <w:szCs w:val="24"/>
        </w:rPr>
        <w:tab/>
      </w:r>
    </w:p>
    <w:p w14:paraId="1CD16390" w14:textId="77777777" w:rsidR="00A0693D" w:rsidRPr="002C3E64" w:rsidRDefault="00A0693D" w:rsidP="002C3E64">
      <w:pPr>
        <w:autoSpaceDE w:val="0"/>
        <w:autoSpaceDN w:val="0"/>
        <w:adjustRightInd w:val="0"/>
        <w:spacing w:line="276" w:lineRule="auto"/>
        <w:jc w:val="center"/>
        <w:rPr>
          <w:rFonts w:ascii="Arial" w:eastAsia="Arial Narrow" w:hAnsi="Arial" w:cs="Arial"/>
          <w:b/>
          <w:bCs/>
          <w:spacing w:val="12"/>
          <w:sz w:val="24"/>
          <w:szCs w:val="24"/>
        </w:rPr>
      </w:pPr>
      <w:r w:rsidRPr="002C3E64">
        <w:rPr>
          <w:rFonts w:ascii="Arial" w:eastAsia="Arial Narrow" w:hAnsi="Arial" w:cs="Arial"/>
          <w:b/>
          <w:bCs/>
          <w:spacing w:val="12"/>
          <w:sz w:val="24"/>
          <w:szCs w:val="24"/>
        </w:rPr>
        <w:t>TRIBUNAL SUPERIOR DEL DISTRITO JUDICIAL DE PEREIRA</w:t>
      </w:r>
    </w:p>
    <w:p w14:paraId="27E53F2A" w14:textId="77777777" w:rsidR="00A0693D" w:rsidRPr="002C3E64" w:rsidRDefault="00A0693D" w:rsidP="002C3E64">
      <w:pPr>
        <w:autoSpaceDE w:val="0"/>
        <w:autoSpaceDN w:val="0"/>
        <w:adjustRightInd w:val="0"/>
        <w:spacing w:line="276" w:lineRule="auto"/>
        <w:jc w:val="center"/>
        <w:rPr>
          <w:rFonts w:ascii="Arial" w:eastAsia="Arial Narrow" w:hAnsi="Arial" w:cs="Arial"/>
          <w:b/>
          <w:bCs/>
          <w:spacing w:val="12"/>
          <w:sz w:val="24"/>
          <w:szCs w:val="24"/>
        </w:rPr>
      </w:pPr>
      <w:r w:rsidRPr="002C3E64">
        <w:rPr>
          <w:rFonts w:ascii="Arial" w:eastAsia="Arial Narrow" w:hAnsi="Arial" w:cs="Arial"/>
          <w:b/>
          <w:bCs/>
          <w:spacing w:val="12"/>
          <w:sz w:val="24"/>
          <w:szCs w:val="24"/>
        </w:rPr>
        <w:t>SALA CUARTA DE DECISIÓN LABORAL</w:t>
      </w:r>
    </w:p>
    <w:p w14:paraId="20B4FC69" w14:textId="77777777" w:rsidR="00A0693D" w:rsidRPr="002C3E64" w:rsidRDefault="00A0693D" w:rsidP="002C3E64">
      <w:pPr>
        <w:autoSpaceDE w:val="0"/>
        <w:autoSpaceDN w:val="0"/>
        <w:adjustRightInd w:val="0"/>
        <w:spacing w:line="276" w:lineRule="auto"/>
        <w:jc w:val="center"/>
        <w:rPr>
          <w:rFonts w:ascii="Arial" w:eastAsia="Arial Narrow" w:hAnsi="Arial" w:cs="Arial"/>
          <w:spacing w:val="12"/>
          <w:sz w:val="24"/>
          <w:szCs w:val="24"/>
        </w:rPr>
      </w:pPr>
      <w:r w:rsidRPr="002C3E64">
        <w:rPr>
          <w:rFonts w:ascii="Arial" w:eastAsia="Arial Narrow" w:hAnsi="Arial" w:cs="Arial"/>
          <w:spacing w:val="12"/>
          <w:sz w:val="24"/>
          <w:szCs w:val="24"/>
        </w:rPr>
        <w:t xml:space="preserve"> </w:t>
      </w:r>
    </w:p>
    <w:p w14:paraId="5A440CED" w14:textId="5E5F70FC" w:rsidR="00A0693D" w:rsidRPr="002C3E64" w:rsidRDefault="002C3E64" w:rsidP="002C3E64">
      <w:pPr>
        <w:autoSpaceDE w:val="0"/>
        <w:autoSpaceDN w:val="0"/>
        <w:adjustRightInd w:val="0"/>
        <w:spacing w:line="276" w:lineRule="auto"/>
        <w:jc w:val="center"/>
        <w:rPr>
          <w:rFonts w:ascii="Arial" w:eastAsia="Arial Narrow" w:hAnsi="Arial" w:cs="Arial"/>
          <w:b/>
          <w:bCs/>
          <w:spacing w:val="12"/>
          <w:sz w:val="24"/>
          <w:szCs w:val="24"/>
        </w:rPr>
      </w:pPr>
      <w:r w:rsidRPr="002C3E64">
        <w:rPr>
          <w:rFonts w:ascii="Arial" w:eastAsia="Arial Narrow" w:hAnsi="Arial" w:cs="Arial"/>
          <w:bCs/>
          <w:spacing w:val="12"/>
          <w:sz w:val="24"/>
          <w:szCs w:val="24"/>
        </w:rPr>
        <w:t>Magistrada Ponente</w:t>
      </w:r>
      <w:r>
        <w:rPr>
          <w:rFonts w:ascii="Arial" w:eastAsia="Arial Narrow" w:hAnsi="Arial" w:cs="Arial"/>
          <w:bCs/>
          <w:spacing w:val="12"/>
          <w:sz w:val="24"/>
          <w:szCs w:val="24"/>
        </w:rPr>
        <w:t>:</w:t>
      </w:r>
      <w:r w:rsidR="00A0693D" w:rsidRPr="002C3E64">
        <w:rPr>
          <w:rFonts w:ascii="Arial" w:eastAsia="Arial Narrow" w:hAnsi="Arial" w:cs="Arial"/>
          <w:b/>
          <w:bCs/>
          <w:spacing w:val="12"/>
          <w:sz w:val="24"/>
          <w:szCs w:val="24"/>
        </w:rPr>
        <w:t xml:space="preserve"> </w:t>
      </w:r>
    </w:p>
    <w:p w14:paraId="7FB0D68E" w14:textId="60E644D7" w:rsidR="00A0693D" w:rsidRPr="002C3E64" w:rsidRDefault="00A0693D" w:rsidP="002C3E64">
      <w:pPr>
        <w:autoSpaceDE w:val="0"/>
        <w:autoSpaceDN w:val="0"/>
        <w:adjustRightInd w:val="0"/>
        <w:spacing w:line="276" w:lineRule="auto"/>
        <w:jc w:val="center"/>
        <w:rPr>
          <w:rFonts w:ascii="Arial" w:eastAsia="Arial Narrow" w:hAnsi="Arial" w:cs="Arial"/>
          <w:b/>
          <w:bCs/>
          <w:spacing w:val="12"/>
          <w:sz w:val="24"/>
          <w:szCs w:val="24"/>
        </w:rPr>
      </w:pPr>
      <w:r w:rsidRPr="002C3E64">
        <w:rPr>
          <w:rFonts w:ascii="Arial" w:eastAsia="Arial Narrow" w:hAnsi="Arial" w:cs="Arial"/>
          <w:b/>
          <w:bCs/>
          <w:spacing w:val="12"/>
          <w:sz w:val="24"/>
          <w:szCs w:val="24"/>
        </w:rPr>
        <w:t>ALEJANDRA MARÍA HENAO PALACIO</w:t>
      </w:r>
    </w:p>
    <w:p w14:paraId="7CEBE63C" w14:textId="77777777" w:rsidR="00A0693D" w:rsidRPr="002C3E64" w:rsidRDefault="00A0693D" w:rsidP="002C3E64">
      <w:pPr>
        <w:autoSpaceDE w:val="0"/>
        <w:autoSpaceDN w:val="0"/>
        <w:adjustRightInd w:val="0"/>
        <w:spacing w:line="276" w:lineRule="auto"/>
        <w:jc w:val="center"/>
        <w:rPr>
          <w:rFonts w:ascii="Arial" w:eastAsia="Arial Narrow" w:hAnsi="Arial" w:cs="Arial"/>
          <w:b/>
          <w:bCs/>
          <w:sz w:val="24"/>
          <w:szCs w:val="24"/>
        </w:rPr>
      </w:pPr>
    </w:p>
    <w:tbl>
      <w:tblPr>
        <w:tblStyle w:val="Tablaconcuadrcula"/>
        <w:tblW w:w="8315" w:type="dxa"/>
        <w:tblInd w:w="72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555"/>
        <w:gridCol w:w="6760"/>
      </w:tblGrid>
      <w:tr w:rsidR="002C3E64" w:rsidRPr="002C3E64" w14:paraId="146D0A98" w14:textId="77777777" w:rsidTr="002C3E64">
        <w:tc>
          <w:tcPr>
            <w:tcW w:w="1555" w:type="dxa"/>
          </w:tcPr>
          <w:p w14:paraId="07FEBC8C" w14:textId="63021E98" w:rsidR="00A0693D" w:rsidRPr="002C3E64" w:rsidRDefault="00A0693D" w:rsidP="002C3E64">
            <w:pPr>
              <w:rPr>
                <w:rFonts w:ascii="Arial" w:eastAsia="Arial Narrow" w:hAnsi="Arial" w:cs="Arial"/>
                <w:sz w:val="22"/>
                <w:szCs w:val="24"/>
              </w:rPr>
            </w:pPr>
            <w:r w:rsidRPr="002C3E64">
              <w:rPr>
                <w:rFonts w:ascii="Arial" w:eastAsia="Arial Narrow" w:hAnsi="Arial" w:cs="Arial"/>
                <w:sz w:val="22"/>
                <w:szCs w:val="24"/>
              </w:rPr>
              <w:t>Demandante</w:t>
            </w:r>
          </w:p>
        </w:tc>
        <w:tc>
          <w:tcPr>
            <w:tcW w:w="6760" w:type="dxa"/>
          </w:tcPr>
          <w:p w14:paraId="52940ABE" w14:textId="3179826A" w:rsidR="00A0693D" w:rsidRPr="002C3E64" w:rsidRDefault="002C3E64" w:rsidP="002C3E64">
            <w:pPr>
              <w:jc w:val="both"/>
              <w:rPr>
                <w:rFonts w:ascii="Arial" w:eastAsia="Arial" w:hAnsi="Arial" w:cs="Arial"/>
                <w:sz w:val="22"/>
                <w:szCs w:val="24"/>
              </w:rPr>
            </w:pPr>
            <w:r w:rsidRPr="002C3E64">
              <w:rPr>
                <w:rFonts w:ascii="Arial" w:eastAsia="Arial" w:hAnsi="Arial" w:cs="Arial"/>
                <w:sz w:val="22"/>
                <w:szCs w:val="24"/>
              </w:rPr>
              <w:t xml:space="preserve">María </w:t>
            </w:r>
            <w:proofErr w:type="spellStart"/>
            <w:r w:rsidRPr="002C3E64">
              <w:rPr>
                <w:rFonts w:ascii="Arial" w:eastAsia="Arial" w:hAnsi="Arial" w:cs="Arial"/>
                <w:sz w:val="22"/>
                <w:szCs w:val="24"/>
              </w:rPr>
              <w:t>Esneda</w:t>
            </w:r>
            <w:proofErr w:type="spellEnd"/>
            <w:r w:rsidRPr="002C3E64">
              <w:rPr>
                <w:rFonts w:ascii="Arial" w:eastAsia="Arial" w:hAnsi="Arial" w:cs="Arial"/>
                <w:sz w:val="22"/>
                <w:szCs w:val="24"/>
              </w:rPr>
              <w:t xml:space="preserve"> García Marín</w:t>
            </w:r>
          </w:p>
        </w:tc>
      </w:tr>
      <w:tr w:rsidR="002C3E64" w:rsidRPr="002C3E64" w14:paraId="463486B8" w14:textId="77777777" w:rsidTr="002C3E64">
        <w:tc>
          <w:tcPr>
            <w:tcW w:w="1555" w:type="dxa"/>
          </w:tcPr>
          <w:p w14:paraId="363C2E74" w14:textId="5CADC5EA" w:rsidR="00A0693D" w:rsidRPr="002C3E64" w:rsidRDefault="00A0693D" w:rsidP="002C3E64">
            <w:pPr>
              <w:rPr>
                <w:rFonts w:ascii="Arial" w:eastAsia="Arial Narrow" w:hAnsi="Arial" w:cs="Arial"/>
                <w:sz w:val="22"/>
                <w:szCs w:val="24"/>
              </w:rPr>
            </w:pPr>
            <w:r w:rsidRPr="002C3E64">
              <w:rPr>
                <w:rFonts w:ascii="Arial" w:eastAsia="Arial Narrow" w:hAnsi="Arial" w:cs="Arial"/>
                <w:sz w:val="22"/>
                <w:szCs w:val="24"/>
              </w:rPr>
              <w:t>Demandado</w:t>
            </w:r>
            <w:r w:rsidR="00886704" w:rsidRPr="002C3E64">
              <w:rPr>
                <w:rFonts w:ascii="Arial" w:eastAsia="Arial Narrow" w:hAnsi="Arial" w:cs="Arial"/>
                <w:sz w:val="22"/>
                <w:szCs w:val="24"/>
              </w:rPr>
              <w:t>s</w:t>
            </w:r>
          </w:p>
        </w:tc>
        <w:tc>
          <w:tcPr>
            <w:tcW w:w="6760" w:type="dxa"/>
          </w:tcPr>
          <w:p w14:paraId="3DCEEBB0" w14:textId="18E1F8C5" w:rsidR="00886704" w:rsidRPr="002C3E64" w:rsidRDefault="002C3E64" w:rsidP="002C3E64">
            <w:pPr>
              <w:jc w:val="both"/>
              <w:rPr>
                <w:rFonts w:ascii="Arial" w:eastAsia="Arial" w:hAnsi="Arial" w:cs="Arial"/>
                <w:sz w:val="22"/>
                <w:szCs w:val="24"/>
              </w:rPr>
            </w:pPr>
            <w:r w:rsidRPr="002C3E64">
              <w:rPr>
                <w:rFonts w:ascii="Arial" w:eastAsia="Arial" w:hAnsi="Arial" w:cs="Arial"/>
                <w:sz w:val="22"/>
                <w:szCs w:val="24"/>
              </w:rPr>
              <w:t>Luz Mery Pico Zabala</w:t>
            </w:r>
            <w:r>
              <w:rPr>
                <w:rFonts w:ascii="Arial" w:eastAsia="Arial" w:hAnsi="Arial" w:cs="Arial"/>
                <w:sz w:val="22"/>
                <w:szCs w:val="24"/>
              </w:rPr>
              <w:t xml:space="preserve"> y otros</w:t>
            </w:r>
            <w:r w:rsidR="00877327" w:rsidRPr="002C3E64">
              <w:rPr>
                <w:rFonts w:ascii="Arial" w:eastAsia="Arial" w:hAnsi="Arial" w:cs="Arial"/>
                <w:sz w:val="22"/>
                <w:szCs w:val="24"/>
              </w:rPr>
              <w:t xml:space="preserve"> </w:t>
            </w:r>
          </w:p>
        </w:tc>
      </w:tr>
      <w:tr w:rsidR="002C3E64" w:rsidRPr="002C3E64" w14:paraId="71BD2E9E" w14:textId="77777777" w:rsidTr="002C3E64">
        <w:tc>
          <w:tcPr>
            <w:tcW w:w="1555" w:type="dxa"/>
          </w:tcPr>
          <w:p w14:paraId="68211B21" w14:textId="77777777" w:rsidR="00A0693D" w:rsidRPr="002C3E64" w:rsidRDefault="00A0693D" w:rsidP="002C3E64">
            <w:pPr>
              <w:rPr>
                <w:rFonts w:ascii="Arial" w:eastAsia="Arial Narrow" w:hAnsi="Arial" w:cs="Arial"/>
                <w:sz w:val="22"/>
                <w:szCs w:val="24"/>
              </w:rPr>
            </w:pPr>
            <w:r w:rsidRPr="002C3E64">
              <w:rPr>
                <w:rFonts w:ascii="Arial" w:eastAsia="Arial Narrow" w:hAnsi="Arial" w:cs="Arial"/>
                <w:sz w:val="22"/>
                <w:szCs w:val="24"/>
              </w:rPr>
              <w:t>Radicado</w:t>
            </w:r>
          </w:p>
        </w:tc>
        <w:tc>
          <w:tcPr>
            <w:tcW w:w="6760" w:type="dxa"/>
          </w:tcPr>
          <w:p w14:paraId="591ABC78" w14:textId="6039C800" w:rsidR="00A0693D" w:rsidRPr="002C3E64" w:rsidRDefault="00A0693D" w:rsidP="002C3E64">
            <w:pPr>
              <w:jc w:val="both"/>
              <w:rPr>
                <w:rFonts w:ascii="Arial" w:eastAsia="Arial" w:hAnsi="Arial" w:cs="Arial"/>
                <w:sz w:val="22"/>
                <w:szCs w:val="24"/>
              </w:rPr>
            </w:pPr>
            <w:r w:rsidRPr="002C3E64">
              <w:rPr>
                <w:rFonts w:ascii="Arial" w:eastAsia="Arial" w:hAnsi="Arial" w:cs="Arial"/>
                <w:sz w:val="22"/>
                <w:szCs w:val="24"/>
              </w:rPr>
              <w:t>66</w:t>
            </w:r>
            <w:r w:rsidR="0081512F" w:rsidRPr="002C3E64">
              <w:rPr>
                <w:rFonts w:ascii="Arial" w:eastAsia="Arial" w:hAnsi="Arial" w:cs="Arial"/>
                <w:sz w:val="22"/>
                <w:szCs w:val="24"/>
              </w:rPr>
              <w:t>170-</w:t>
            </w:r>
            <w:r w:rsidRPr="002C3E64">
              <w:rPr>
                <w:rFonts w:ascii="Arial" w:eastAsia="Arial" w:hAnsi="Arial" w:cs="Arial"/>
                <w:sz w:val="22"/>
                <w:szCs w:val="24"/>
              </w:rPr>
              <w:t>31-05-00</w:t>
            </w:r>
            <w:r w:rsidR="0081512F" w:rsidRPr="002C3E64">
              <w:rPr>
                <w:rFonts w:ascii="Arial" w:eastAsia="Arial" w:hAnsi="Arial" w:cs="Arial"/>
                <w:sz w:val="22"/>
                <w:szCs w:val="24"/>
              </w:rPr>
              <w:t>1</w:t>
            </w:r>
            <w:r w:rsidRPr="002C3E64">
              <w:rPr>
                <w:rFonts w:ascii="Arial" w:eastAsia="Arial" w:hAnsi="Arial" w:cs="Arial"/>
                <w:sz w:val="22"/>
                <w:szCs w:val="24"/>
              </w:rPr>
              <w:t>-201</w:t>
            </w:r>
            <w:r w:rsidR="0081512F" w:rsidRPr="002C3E64">
              <w:rPr>
                <w:rFonts w:ascii="Arial" w:eastAsia="Arial" w:hAnsi="Arial" w:cs="Arial"/>
                <w:sz w:val="22"/>
                <w:szCs w:val="24"/>
              </w:rPr>
              <w:t>6-00011-01</w:t>
            </w:r>
          </w:p>
        </w:tc>
      </w:tr>
      <w:tr w:rsidR="002C3E64" w:rsidRPr="002C3E64" w14:paraId="57F77E33" w14:textId="77777777" w:rsidTr="002C3E64">
        <w:tc>
          <w:tcPr>
            <w:tcW w:w="1555" w:type="dxa"/>
          </w:tcPr>
          <w:p w14:paraId="01B25A3D" w14:textId="77777777" w:rsidR="00A0693D" w:rsidRPr="002C3E64" w:rsidRDefault="00A0693D" w:rsidP="002C3E64">
            <w:pPr>
              <w:rPr>
                <w:rFonts w:ascii="Arial" w:eastAsia="Arial Narrow" w:hAnsi="Arial" w:cs="Arial"/>
                <w:sz w:val="22"/>
                <w:szCs w:val="24"/>
              </w:rPr>
            </w:pPr>
            <w:r w:rsidRPr="002C3E64">
              <w:rPr>
                <w:rFonts w:ascii="Arial" w:eastAsia="Arial Narrow" w:hAnsi="Arial" w:cs="Arial"/>
                <w:sz w:val="22"/>
                <w:szCs w:val="24"/>
              </w:rPr>
              <w:t>Procedencia</w:t>
            </w:r>
          </w:p>
        </w:tc>
        <w:tc>
          <w:tcPr>
            <w:tcW w:w="6760" w:type="dxa"/>
          </w:tcPr>
          <w:p w14:paraId="323C8CEF" w14:textId="6C25A76F" w:rsidR="00A0693D" w:rsidRPr="002C3E64" w:rsidRDefault="002C3E64" w:rsidP="002C3E64">
            <w:pPr>
              <w:jc w:val="both"/>
              <w:rPr>
                <w:rFonts w:ascii="Arial" w:eastAsia="Arial" w:hAnsi="Arial" w:cs="Arial"/>
                <w:sz w:val="22"/>
                <w:szCs w:val="24"/>
                <w:lang w:eastAsia="zh-CN"/>
              </w:rPr>
            </w:pPr>
            <w:r w:rsidRPr="002C3E64">
              <w:rPr>
                <w:rFonts w:ascii="Arial" w:eastAsia="Arial" w:hAnsi="Arial" w:cs="Arial"/>
                <w:sz w:val="22"/>
                <w:szCs w:val="24"/>
              </w:rPr>
              <w:t>Juzgado Laboral del Circuito de Dosquebradas</w:t>
            </w:r>
          </w:p>
        </w:tc>
      </w:tr>
      <w:tr w:rsidR="002C3E64" w:rsidRPr="002C3E64" w14:paraId="2F174271" w14:textId="77777777" w:rsidTr="002C3E64">
        <w:tc>
          <w:tcPr>
            <w:tcW w:w="1555" w:type="dxa"/>
          </w:tcPr>
          <w:p w14:paraId="4CB13F0C" w14:textId="77777777" w:rsidR="00A0693D" w:rsidRPr="002C3E64" w:rsidRDefault="00A0693D" w:rsidP="002C3E64">
            <w:pPr>
              <w:rPr>
                <w:rFonts w:ascii="Arial" w:eastAsia="Arial Narrow" w:hAnsi="Arial" w:cs="Arial"/>
                <w:sz w:val="22"/>
                <w:szCs w:val="24"/>
              </w:rPr>
            </w:pPr>
            <w:r w:rsidRPr="002C3E64">
              <w:rPr>
                <w:rFonts w:ascii="Arial" w:eastAsia="Arial Narrow" w:hAnsi="Arial" w:cs="Arial"/>
                <w:sz w:val="22"/>
                <w:szCs w:val="24"/>
              </w:rPr>
              <w:t>Tipo proceso</w:t>
            </w:r>
          </w:p>
        </w:tc>
        <w:tc>
          <w:tcPr>
            <w:tcW w:w="6760" w:type="dxa"/>
          </w:tcPr>
          <w:p w14:paraId="46CC8501" w14:textId="2D4D0F42" w:rsidR="00A0693D" w:rsidRPr="002C3E64" w:rsidRDefault="002C3E64" w:rsidP="002C3E64">
            <w:pPr>
              <w:jc w:val="both"/>
              <w:rPr>
                <w:rFonts w:ascii="Arial" w:eastAsia="Arial Narrow" w:hAnsi="Arial" w:cs="Arial"/>
                <w:sz w:val="22"/>
                <w:szCs w:val="24"/>
              </w:rPr>
            </w:pPr>
            <w:r w:rsidRPr="002C3E64">
              <w:rPr>
                <w:rFonts w:ascii="Arial" w:eastAsia="Arial Narrow" w:hAnsi="Arial" w:cs="Arial"/>
                <w:sz w:val="22"/>
                <w:szCs w:val="24"/>
              </w:rPr>
              <w:t xml:space="preserve">Ordinario Laboral </w:t>
            </w:r>
          </w:p>
        </w:tc>
      </w:tr>
      <w:tr w:rsidR="002C3E64" w:rsidRPr="002C3E64" w14:paraId="4D34B9AC" w14:textId="77777777" w:rsidTr="002C3E64">
        <w:tc>
          <w:tcPr>
            <w:tcW w:w="1555" w:type="dxa"/>
          </w:tcPr>
          <w:p w14:paraId="2A5CC30B" w14:textId="77777777" w:rsidR="00A0693D" w:rsidRPr="002C3E64" w:rsidRDefault="00A0693D" w:rsidP="002C3E64">
            <w:pPr>
              <w:rPr>
                <w:rFonts w:ascii="Arial" w:eastAsia="Arial Narrow" w:hAnsi="Arial" w:cs="Arial"/>
                <w:sz w:val="22"/>
                <w:szCs w:val="24"/>
              </w:rPr>
            </w:pPr>
            <w:r w:rsidRPr="002C3E64">
              <w:rPr>
                <w:rFonts w:ascii="Arial" w:eastAsia="Arial Narrow" w:hAnsi="Arial" w:cs="Arial"/>
                <w:sz w:val="22"/>
                <w:szCs w:val="24"/>
              </w:rPr>
              <w:t>Providencia</w:t>
            </w:r>
          </w:p>
        </w:tc>
        <w:tc>
          <w:tcPr>
            <w:tcW w:w="6760" w:type="dxa"/>
          </w:tcPr>
          <w:p w14:paraId="43B3363E" w14:textId="14B8B7AF" w:rsidR="00A0693D" w:rsidRPr="002C3E64" w:rsidRDefault="002C3E64" w:rsidP="002C3E64">
            <w:pPr>
              <w:jc w:val="both"/>
              <w:rPr>
                <w:rFonts w:ascii="Arial" w:eastAsia="Arial Narrow" w:hAnsi="Arial" w:cs="Arial"/>
                <w:sz w:val="22"/>
                <w:szCs w:val="24"/>
              </w:rPr>
            </w:pPr>
            <w:r w:rsidRPr="002C3E64">
              <w:rPr>
                <w:rFonts w:ascii="Arial" w:eastAsia="Arial Narrow" w:hAnsi="Arial" w:cs="Arial"/>
                <w:sz w:val="22"/>
                <w:szCs w:val="24"/>
              </w:rPr>
              <w:t xml:space="preserve">Auto Interlocutorio </w:t>
            </w:r>
          </w:p>
        </w:tc>
      </w:tr>
      <w:tr w:rsidR="002C3E64" w:rsidRPr="002C3E64" w14:paraId="202057F9" w14:textId="77777777" w:rsidTr="002C3E64">
        <w:tc>
          <w:tcPr>
            <w:tcW w:w="1555" w:type="dxa"/>
          </w:tcPr>
          <w:p w14:paraId="7AC3CA75" w14:textId="48916B82" w:rsidR="00A0693D" w:rsidRPr="002C3E64" w:rsidRDefault="00A0693D" w:rsidP="002C3E64">
            <w:pPr>
              <w:rPr>
                <w:rFonts w:ascii="Arial" w:eastAsia="Arial Narrow" w:hAnsi="Arial" w:cs="Arial"/>
                <w:sz w:val="22"/>
                <w:szCs w:val="24"/>
              </w:rPr>
            </w:pPr>
            <w:r w:rsidRPr="002C3E64">
              <w:rPr>
                <w:rFonts w:ascii="Arial" w:eastAsia="Arial Narrow" w:hAnsi="Arial" w:cs="Arial"/>
                <w:sz w:val="22"/>
                <w:szCs w:val="24"/>
              </w:rPr>
              <w:t>Decisión</w:t>
            </w:r>
          </w:p>
        </w:tc>
        <w:tc>
          <w:tcPr>
            <w:tcW w:w="6760" w:type="dxa"/>
          </w:tcPr>
          <w:p w14:paraId="443AD594" w14:textId="4A8675ED" w:rsidR="00A0693D" w:rsidRPr="002C3E64" w:rsidRDefault="00A0693D" w:rsidP="002C3E64">
            <w:pPr>
              <w:rPr>
                <w:rFonts w:ascii="Arial" w:eastAsia="Arial Narrow" w:hAnsi="Arial" w:cs="Arial"/>
                <w:b/>
                <w:sz w:val="22"/>
                <w:szCs w:val="24"/>
              </w:rPr>
            </w:pPr>
            <w:r w:rsidRPr="002C3E64">
              <w:rPr>
                <w:rFonts w:ascii="Arial" w:eastAsia="Arial Narrow" w:hAnsi="Arial" w:cs="Arial"/>
                <w:b/>
                <w:sz w:val="22"/>
                <w:szCs w:val="24"/>
              </w:rPr>
              <w:t xml:space="preserve">DECLARA NULIDAD </w:t>
            </w:r>
          </w:p>
        </w:tc>
      </w:tr>
    </w:tbl>
    <w:p w14:paraId="49D6C2CE" w14:textId="70B477FE" w:rsidR="00A0693D" w:rsidRPr="002C3E64" w:rsidRDefault="00A0693D" w:rsidP="002C3E64">
      <w:pPr>
        <w:pStyle w:val="Sinespaciado"/>
        <w:spacing w:line="276" w:lineRule="auto"/>
        <w:jc w:val="right"/>
        <w:rPr>
          <w:rFonts w:ascii="Arial" w:hAnsi="Arial" w:cs="Arial"/>
          <w:sz w:val="24"/>
          <w:szCs w:val="24"/>
        </w:rPr>
      </w:pPr>
    </w:p>
    <w:p w14:paraId="566C4D33" w14:textId="77777777" w:rsidR="006045BC" w:rsidRPr="002C3E64" w:rsidRDefault="006045BC" w:rsidP="002C3E64">
      <w:pPr>
        <w:pStyle w:val="Sinespaciado"/>
        <w:spacing w:line="276" w:lineRule="auto"/>
        <w:jc w:val="right"/>
        <w:rPr>
          <w:rFonts w:ascii="Arial" w:hAnsi="Arial" w:cs="Arial"/>
          <w:sz w:val="24"/>
          <w:szCs w:val="24"/>
        </w:rPr>
      </w:pPr>
    </w:p>
    <w:p w14:paraId="36581A3A" w14:textId="77777777" w:rsidR="006045BC" w:rsidRPr="008620C8" w:rsidRDefault="006045BC" w:rsidP="002C3E64">
      <w:pPr>
        <w:pStyle w:val="Sinespaciado"/>
        <w:spacing w:line="276" w:lineRule="auto"/>
        <w:jc w:val="center"/>
        <w:rPr>
          <w:rFonts w:ascii="Arial" w:hAnsi="Arial" w:cs="Arial"/>
          <w:spacing w:val="4"/>
          <w:sz w:val="24"/>
          <w:szCs w:val="24"/>
        </w:rPr>
      </w:pPr>
      <w:r w:rsidRPr="008620C8">
        <w:rPr>
          <w:rFonts w:ascii="Arial" w:hAnsi="Arial" w:cs="Arial"/>
          <w:spacing w:val="4"/>
          <w:sz w:val="24"/>
          <w:szCs w:val="24"/>
        </w:rPr>
        <w:t>Registro del proyecto: veinticuatro (24) de noviembre de 2020</w:t>
      </w:r>
    </w:p>
    <w:p w14:paraId="6CF2FA5C" w14:textId="77777777" w:rsidR="006045BC" w:rsidRPr="008620C8" w:rsidRDefault="006045BC" w:rsidP="002C3E64">
      <w:pPr>
        <w:pStyle w:val="Sinespaciado"/>
        <w:spacing w:line="276" w:lineRule="auto"/>
        <w:jc w:val="center"/>
        <w:rPr>
          <w:rFonts w:ascii="Arial" w:hAnsi="Arial" w:cs="Arial"/>
          <w:spacing w:val="4"/>
          <w:sz w:val="24"/>
          <w:szCs w:val="24"/>
        </w:rPr>
      </w:pPr>
      <w:r w:rsidRPr="008620C8">
        <w:rPr>
          <w:rFonts w:ascii="Arial" w:hAnsi="Arial" w:cs="Arial"/>
          <w:spacing w:val="4"/>
          <w:sz w:val="24"/>
          <w:szCs w:val="24"/>
        </w:rPr>
        <w:t>Acta de discusión No. 178 del 24 de noviembre de 2020</w:t>
      </w:r>
    </w:p>
    <w:p w14:paraId="2980D36A" w14:textId="77777777" w:rsidR="006045BC" w:rsidRPr="008620C8" w:rsidRDefault="006045BC" w:rsidP="002C3E64">
      <w:pPr>
        <w:pStyle w:val="Sinespaciado"/>
        <w:spacing w:line="276" w:lineRule="auto"/>
        <w:rPr>
          <w:rFonts w:ascii="Arial" w:hAnsi="Arial" w:cs="Arial"/>
          <w:spacing w:val="4"/>
          <w:sz w:val="24"/>
          <w:szCs w:val="24"/>
        </w:rPr>
      </w:pPr>
    </w:p>
    <w:p w14:paraId="5ED21488" w14:textId="034C846C" w:rsidR="006045BC" w:rsidRPr="008620C8" w:rsidRDefault="006045BC" w:rsidP="002C3E64">
      <w:pPr>
        <w:pStyle w:val="Sinespaciado"/>
        <w:spacing w:line="276" w:lineRule="auto"/>
        <w:jc w:val="center"/>
        <w:rPr>
          <w:rFonts w:ascii="Arial" w:hAnsi="Arial" w:cs="Arial"/>
          <w:spacing w:val="4"/>
          <w:sz w:val="24"/>
          <w:szCs w:val="24"/>
        </w:rPr>
      </w:pPr>
      <w:r w:rsidRPr="008620C8">
        <w:rPr>
          <w:rFonts w:ascii="Arial" w:hAnsi="Arial" w:cs="Arial"/>
          <w:spacing w:val="4"/>
          <w:sz w:val="24"/>
          <w:szCs w:val="24"/>
        </w:rPr>
        <w:t>Pereira, Risaralda, treinta (30) de noviembre de dos mil veinte (2020)</w:t>
      </w:r>
    </w:p>
    <w:p w14:paraId="78BD6FA4" w14:textId="77777777" w:rsidR="006045BC" w:rsidRPr="008620C8" w:rsidRDefault="006045BC" w:rsidP="002C3E64">
      <w:pPr>
        <w:pStyle w:val="Sinespaciado"/>
        <w:spacing w:line="276" w:lineRule="auto"/>
        <w:rPr>
          <w:rFonts w:ascii="Arial" w:hAnsi="Arial" w:cs="Arial"/>
          <w:spacing w:val="4"/>
          <w:sz w:val="24"/>
          <w:szCs w:val="24"/>
        </w:rPr>
      </w:pPr>
    </w:p>
    <w:p w14:paraId="7273CB62" w14:textId="195853AC" w:rsidR="00C441F4" w:rsidRPr="008620C8" w:rsidRDefault="00751F2C" w:rsidP="002C3E64">
      <w:pPr>
        <w:spacing w:line="276" w:lineRule="auto"/>
        <w:jc w:val="both"/>
        <w:rPr>
          <w:rFonts w:ascii="Arial" w:hAnsi="Arial" w:cs="Arial"/>
          <w:spacing w:val="4"/>
          <w:sz w:val="24"/>
          <w:szCs w:val="24"/>
        </w:rPr>
      </w:pPr>
      <w:r w:rsidRPr="008620C8">
        <w:rPr>
          <w:rFonts w:ascii="Arial" w:hAnsi="Arial" w:cs="Arial"/>
          <w:spacing w:val="4"/>
          <w:sz w:val="24"/>
          <w:szCs w:val="24"/>
        </w:rPr>
        <w:t>Efectuado el examen preliminar de que trata el artículo 325 del Código General del Proceso, advierte la Sala la presen</w:t>
      </w:r>
      <w:r w:rsidR="00725670" w:rsidRPr="008620C8">
        <w:rPr>
          <w:rFonts w:ascii="Arial" w:hAnsi="Arial" w:cs="Arial"/>
          <w:spacing w:val="4"/>
          <w:sz w:val="24"/>
          <w:szCs w:val="24"/>
        </w:rPr>
        <w:t>cia</w:t>
      </w:r>
      <w:r w:rsidR="00C0730C" w:rsidRPr="008620C8">
        <w:rPr>
          <w:rFonts w:ascii="Arial" w:hAnsi="Arial" w:cs="Arial"/>
          <w:spacing w:val="4"/>
          <w:sz w:val="24"/>
          <w:szCs w:val="24"/>
        </w:rPr>
        <w:t xml:space="preserve"> </w:t>
      </w:r>
      <w:r w:rsidR="00724437" w:rsidRPr="008620C8">
        <w:rPr>
          <w:rFonts w:ascii="Arial" w:hAnsi="Arial" w:cs="Arial"/>
          <w:spacing w:val="4"/>
          <w:sz w:val="24"/>
          <w:szCs w:val="24"/>
        </w:rPr>
        <w:t xml:space="preserve">de </w:t>
      </w:r>
      <w:r w:rsidR="0081512F" w:rsidRPr="008620C8">
        <w:rPr>
          <w:rFonts w:ascii="Arial" w:hAnsi="Arial" w:cs="Arial"/>
          <w:spacing w:val="4"/>
          <w:sz w:val="24"/>
          <w:szCs w:val="24"/>
        </w:rPr>
        <w:t>una irregularidad procesal que estructura una n</w:t>
      </w:r>
      <w:r w:rsidR="00C0730C" w:rsidRPr="008620C8">
        <w:rPr>
          <w:rFonts w:ascii="Arial" w:hAnsi="Arial" w:cs="Arial"/>
          <w:spacing w:val="4"/>
          <w:sz w:val="24"/>
          <w:szCs w:val="24"/>
        </w:rPr>
        <w:t xml:space="preserve">ulidad </w:t>
      </w:r>
      <w:proofErr w:type="spellStart"/>
      <w:r w:rsidR="0081512F" w:rsidRPr="008620C8">
        <w:rPr>
          <w:rFonts w:ascii="Arial" w:hAnsi="Arial" w:cs="Arial"/>
          <w:spacing w:val="4"/>
          <w:sz w:val="24"/>
          <w:szCs w:val="24"/>
        </w:rPr>
        <w:t>insaneable</w:t>
      </w:r>
      <w:proofErr w:type="spellEnd"/>
      <w:r w:rsidR="0081512F" w:rsidRPr="008620C8">
        <w:rPr>
          <w:rFonts w:ascii="Arial" w:hAnsi="Arial" w:cs="Arial"/>
          <w:spacing w:val="4"/>
          <w:sz w:val="24"/>
          <w:szCs w:val="24"/>
        </w:rPr>
        <w:t xml:space="preserve"> en el proceso, que debe d</w:t>
      </w:r>
      <w:r w:rsidR="00877327" w:rsidRPr="008620C8">
        <w:rPr>
          <w:rFonts w:ascii="Arial" w:hAnsi="Arial" w:cs="Arial"/>
          <w:spacing w:val="4"/>
          <w:sz w:val="24"/>
          <w:szCs w:val="24"/>
        </w:rPr>
        <w:t>eclararse de oficio</w:t>
      </w:r>
      <w:r w:rsidR="00A52E85" w:rsidRPr="008620C8">
        <w:rPr>
          <w:rFonts w:ascii="Arial" w:hAnsi="Arial" w:cs="Arial"/>
          <w:spacing w:val="4"/>
          <w:sz w:val="24"/>
          <w:szCs w:val="24"/>
        </w:rPr>
        <w:t>.</w:t>
      </w:r>
    </w:p>
    <w:p w14:paraId="5F59A271" w14:textId="77777777" w:rsidR="00C441F4" w:rsidRPr="008620C8" w:rsidRDefault="00C441F4" w:rsidP="002C3E64">
      <w:pPr>
        <w:spacing w:line="276" w:lineRule="auto"/>
        <w:jc w:val="both"/>
        <w:rPr>
          <w:rFonts w:ascii="Arial" w:hAnsi="Arial" w:cs="Arial"/>
          <w:spacing w:val="4"/>
          <w:sz w:val="24"/>
          <w:szCs w:val="24"/>
        </w:rPr>
      </w:pPr>
    </w:p>
    <w:p w14:paraId="4C5958F3" w14:textId="091970CC" w:rsidR="00A0693D" w:rsidRPr="008620C8" w:rsidRDefault="004D5BB9" w:rsidP="002C3E64">
      <w:pPr>
        <w:spacing w:line="276" w:lineRule="auto"/>
        <w:jc w:val="center"/>
        <w:rPr>
          <w:rFonts w:ascii="Arial" w:hAnsi="Arial" w:cs="Arial"/>
          <w:b/>
          <w:bCs/>
          <w:spacing w:val="4"/>
          <w:sz w:val="24"/>
          <w:szCs w:val="24"/>
        </w:rPr>
      </w:pPr>
      <w:r w:rsidRPr="008620C8">
        <w:rPr>
          <w:rFonts w:ascii="Arial" w:hAnsi="Arial" w:cs="Arial"/>
          <w:b/>
          <w:bCs/>
          <w:spacing w:val="4"/>
          <w:sz w:val="24"/>
          <w:szCs w:val="24"/>
        </w:rPr>
        <w:t xml:space="preserve">I.  </w:t>
      </w:r>
      <w:r w:rsidR="00A0693D" w:rsidRPr="008620C8">
        <w:rPr>
          <w:rFonts w:ascii="Arial" w:hAnsi="Arial" w:cs="Arial"/>
          <w:b/>
          <w:bCs/>
          <w:spacing w:val="4"/>
          <w:sz w:val="24"/>
          <w:szCs w:val="24"/>
        </w:rPr>
        <w:t>ANTECEDENTES</w:t>
      </w:r>
    </w:p>
    <w:p w14:paraId="734B2CD5" w14:textId="0C73EB00" w:rsidR="00A0693D" w:rsidRPr="008620C8" w:rsidRDefault="00A0693D" w:rsidP="002C3E64">
      <w:pPr>
        <w:pStyle w:val="Sinespaciado"/>
        <w:spacing w:line="276" w:lineRule="auto"/>
        <w:rPr>
          <w:rFonts w:ascii="Arial" w:hAnsi="Arial" w:cs="Arial"/>
          <w:spacing w:val="4"/>
          <w:sz w:val="24"/>
          <w:szCs w:val="24"/>
        </w:rPr>
      </w:pPr>
    </w:p>
    <w:p w14:paraId="742EFECF" w14:textId="7D1BCE58" w:rsidR="0081512F" w:rsidRPr="008620C8" w:rsidRDefault="00C441F4" w:rsidP="002C3E64">
      <w:pPr>
        <w:tabs>
          <w:tab w:val="left" w:pos="851"/>
        </w:tabs>
        <w:spacing w:line="276" w:lineRule="auto"/>
        <w:jc w:val="both"/>
        <w:rPr>
          <w:rFonts w:ascii="Arial" w:hAnsi="Arial" w:cs="Arial"/>
          <w:spacing w:val="4"/>
          <w:sz w:val="24"/>
          <w:szCs w:val="24"/>
        </w:rPr>
      </w:pPr>
      <w:r w:rsidRPr="008620C8">
        <w:rPr>
          <w:rFonts w:ascii="Arial" w:hAnsi="Arial" w:cs="Arial"/>
          <w:spacing w:val="4"/>
          <w:sz w:val="24"/>
          <w:szCs w:val="24"/>
        </w:rPr>
        <w:t xml:space="preserve">En </w:t>
      </w:r>
      <w:r w:rsidR="00013A28" w:rsidRPr="008620C8">
        <w:rPr>
          <w:rFonts w:ascii="Arial" w:hAnsi="Arial" w:cs="Arial"/>
          <w:spacing w:val="4"/>
          <w:sz w:val="24"/>
          <w:szCs w:val="24"/>
        </w:rPr>
        <w:t>lo que interesa a esta decisión, se tiene que</w:t>
      </w:r>
      <w:r w:rsidR="0081512F" w:rsidRPr="008620C8">
        <w:rPr>
          <w:rFonts w:ascii="Arial" w:hAnsi="Arial" w:cs="Arial"/>
          <w:spacing w:val="4"/>
          <w:sz w:val="24"/>
          <w:szCs w:val="24"/>
        </w:rPr>
        <w:t xml:space="preserve"> la señora María </w:t>
      </w:r>
      <w:proofErr w:type="spellStart"/>
      <w:r w:rsidR="0081512F" w:rsidRPr="008620C8">
        <w:rPr>
          <w:rFonts w:ascii="Arial" w:hAnsi="Arial" w:cs="Arial"/>
          <w:spacing w:val="4"/>
          <w:sz w:val="24"/>
          <w:szCs w:val="24"/>
        </w:rPr>
        <w:t>Esneda</w:t>
      </w:r>
      <w:proofErr w:type="spellEnd"/>
      <w:r w:rsidR="0081512F" w:rsidRPr="008620C8">
        <w:rPr>
          <w:rFonts w:ascii="Arial" w:hAnsi="Arial" w:cs="Arial"/>
          <w:spacing w:val="4"/>
          <w:sz w:val="24"/>
          <w:szCs w:val="24"/>
        </w:rPr>
        <w:t xml:space="preserve"> García Marín pretende que se declare que entre ella y los señores Luz Mery Pico Zabala, Zoraida Victoria Adarve y Alberto Buriticá Salgado, existió un contrato de trabajo a término indefinido entre el 2 de junio de 1997 y el 3 de octubre de 2015 y, con ello, se condene al pago de salarios entre el 1 de enero de 2007 y el 3 de octubre de 2015, con los respectivos reajustes por festivos y dominicales desde el 2 de junio de 1997, prestaciones sociales, vacaciones, dotación por calzado y vestido de labor y las indemnizaciones por falta de pago y despido injusto.</w:t>
      </w:r>
    </w:p>
    <w:p w14:paraId="48E3D767" w14:textId="59B4B139" w:rsidR="00767E1B" w:rsidRPr="008620C8" w:rsidRDefault="00767E1B" w:rsidP="002C3E64">
      <w:pPr>
        <w:spacing w:line="276" w:lineRule="auto"/>
        <w:jc w:val="both"/>
        <w:rPr>
          <w:rFonts w:ascii="Arial" w:hAnsi="Arial" w:cs="Arial"/>
          <w:spacing w:val="4"/>
          <w:sz w:val="24"/>
          <w:szCs w:val="24"/>
        </w:rPr>
      </w:pPr>
    </w:p>
    <w:p w14:paraId="03FFB96B" w14:textId="6F57B330" w:rsidR="00EC63F8" w:rsidRPr="008620C8" w:rsidRDefault="00EC63F8" w:rsidP="002C3E64">
      <w:pPr>
        <w:spacing w:line="276" w:lineRule="auto"/>
        <w:jc w:val="both"/>
        <w:rPr>
          <w:rFonts w:ascii="Arial" w:hAnsi="Arial" w:cs="Arial"/>
          <w:spacing w:val="4"/>
          <w:sz w:val="24"/>
          <w:szCs w:val="24"/>
        </w:rPr>
      </w:pPr>
      <w:r w:rsidRPr="008620C8">
        <w:rPr>
          <w:rFonts w:ascii="Arial" w:hAnsi="Arial" w:cs="Arial"/>
          <w:spacing w:val="4"/>
          <w:sz w:val="24"/>
          <w:szCs w:val="24"/>
        </w:rPr>
        <w:t>Admitida la demand</w:t>
      </w:r>
      <w:r w:rsidR="00FF15DF" w:rsidRPr="008620C8">
        <w:rPr>
          <w:rFonts w:ascii="Arial" w:hAnsi="Arial" w:cs="Arial"/>
          <w:spacing w:val="4"/>
          <w:sz w:val="24"/>
          <w:szCs w:val="24"/>
        </w:rPr>
        <w:t xml:space="preserve">a (fol.45), se remitió citación para la notificación personal al señor Alberto Buriticá Salgado (fol.50), misma que </w:t>
      </w:r>
      <w:r w:rsidR="007E19E7" w:rsidRPr="008620C8">
        <w:rPr>
          <w:rFonts w:ascii="Arial" w:hAnsi="Arial" w:cs="Arial"/>
          <w:spacing w:val="4"/>
          <w:sz w:val="24"/>
          <w:szCs w:val="24"/>
        </w:rPr>
        <w:t>según la empresa de mensajería fue recibida de conformidad por la señora Nelly García, quien manifestó que le entregaría el documento a su destinatario (fol. 51 vto</w:t>
      </w:r>
      <w:r w:rsidR="002C3E64" w:rsidRPr="008620C8">
        <w:rPr>
          <w:rFonts w:ascii="Arial" w:hAnsi="Arial" w:cs="Arial"/>
          <w:spacing w:val="4"/>
          <w:sz w:val="24"/>
          <w:szCs w:val="24"/>
        </w:rPr>
        <w:t>.</w:t>
      </w:r>
      <w:r w:rsidR="007E19E7" w:rsidRPr="008620C8">
        <w:rPr>
          <w:rFonts w:ascii="Arial" w:hAnsi="Arial" w:cs="Arial"/>
          <w:spacing w:val="4"/>
          <w:sz w:val="24"/>
          <w:szCs w:val="24"/>
        </w:rPr>
        <w:t xml:space="preserve">). </w:t>
      </w:r>
    </w:p>
    <w:p w14:paraId="1B9F2EBF" w14:textId="44D11AB2" w:rsidR="00AF4B50" w:rsidRPr="008620C8" w:rsidRDefault="00AF4B50" w:rsidP="002C3E64">
      <w:pPr>
        <w:spacing w:line="276" w:lineRule="auto"/>
        <w:jc w:val="both"/>
        <w:rPr>
          <w:rFonts w:ascii="Arial" w:hAnsi="Arial" w:cs="Arial"/>
          <w:spacing w:val="4"/>
          <w:sz w:val="24"/>
          <w:szCs w:val="24"/>
        </w:rPr>
      </w:pPr>
    </w:p>
    <w:p w14:paraId="5CBD581C" w14:textId="77777777" w:rsidR="007E19E7" w:rsidRPr="008620C8" w:rsidRDefault="00843101"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Posteriormente, </w:t>
      </w:r>
      <w:r w:rsidR="007E19E7" w:rsidRPr="008620C8">
        <w:rPr>
          <w:rFonts w:ascii="Arial" w:hAnsi="Arial" w:cs="Arial"/>
          <w:spacing w:val="4"/>
          <w:sz w:val="24"/>
          <w:szCs w:val="24"/>
        </w:rPr>
        <w:t xml:space="preserve">aunque se remitió a la misma dirección una comunicación por aviso, lo cierto es que la codemandada Luz Mery Pico Zabala puso en conocimiento que el señor Alberto Buriticá Salgado falleció, aportando el correspondiente registro de defunción (fol.72 y 73). </w:t>
      </w:r>
    </w:p>
    <w:p w14:paraId="3E7CECA9" w14:textId="77777777" w:rsidR="007E19E7" w:rsidRPr="008620C8" w:rsidRDefault="007E19E7" w:rsidP="002C3E64">
      <w:pPr>
        <w:spacing w:line="276" w:lineRule="auto"/>
        <w:jc w:val="both"/>
        <w:rPr>
          <w:rFonts w:ascii="Arial" w:hAnsi="Arial" w:cs="Arial"/>
          <w:spacing w:val="4"/>
          <w:sz w:val="24"/>
          <w:szCs w:val="24"/>
        </w:rPr>
      </w:pPr>
    </w:p>
    <w:p w14:paraId="6FC70B36" w14:textId="090898C3" w:rsidR="007E19E7" w:rsidRPr="008620C8" w:rsidRDefault="007E19E7"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Por ende, mediante auto del 24 de junio de 2016 (fol.74), el juzgado cognoscente ordenó la interrupción del proceso y requirió a la parte actora a fin de que indique el nombre y dirección </w:t>
      </w:r>
      <w:proofErr w:type="gramStart"/>
      <w:r w:rsidRPr="008620C8">
        <w:rPr>
          <w:rFonts w:ascii="Arial" w:hAnsi="Arial" w:cs="Arial"/>
          <w:spacing w:val="4"/>
          <w:sz w:val="24"/>
          <w:szCs w:val="24"/>
        </w:rPr>
        <w:t>de la</w:t>
      </w:r>
      <w:proofErr w:type="gramEnd"/>
      <w:r w:rsidRPr="008620C8">
        <w:rPr>
          <w:rFonts w:ascii="Arial" w:hAnsi="Arial" w:cs="Arial"/>
          <w:spacing w:val="4"/>
          <w:sz w:val="24"/>
          <w:szCs w:val="24"/>
        </w:rPr>
        <w:t xml:space="preserve"> cónyuge, compañera permanente, de los herederos o el curador de la herencia yacente del codemandado fallecido Buriticá Salgado.  </w:t>
      </w:r>
    </w:p>
    <w:p w14:paraId="29D931E1" w14:textId="0C5B51B1" w:rsidR="007E19E7" w:rsidRPr="008620C8" w:rsidRDefault="007E19E7" w:rsidP="002C3E64">
      <w:pPr>
        <w:spacing w:line="276" w:lineRule="auto"/>
        <w:jc w:val="both"/>
        <w:rPr>
          <w:rFonts w:ascii="Arial" w:hAnsi="Arial" w:cs="Arial"/>
          <w:spacing w:val="4"/>
          <w:sz w:val="24"/>
          <w:szCs w:val="24"/>
        </w:rPr>
      </w:pPr>
    </w:p>
    <w:p w14:paraId="64647CCB" w14:textId="079A3841" w:rsidR="00D31123" w:rsidRPr="008620C8" w:rsidRDefault="007E19E7" w:rsidP="002C3E64">
      <w:pPr>
        <w:spacing w:line="276" w:lineRule="auto"/>
        <w:jc w:val="both"/>
        <w:rPr>
          <w:rFonts w:ascii="Arial" w:hAnsi="Arial" w:cs="Arial"/>
          <w:spacing w:val="4"/>
          <w:sz w:val="24"/>
          <w:szCs w:val="24"/>
        </w:rPr>
      </w:pPr>
      <w:r w:rsidRPr="008620C8">
        <w:rPr>
          <w:rFonts w:ascii="Arial" w:hAnsi="Arial" w:cs="Arial"/>
          <w:spacing w:val="4"/>
          <w:sz w:val="24"/>
          <w:szCs w:val="24"/>
        </w:rPr>
        <w:t>En respuesta al requerimiento anterior, la parte actora informó a través de su vocero judicial el nombre de los hijos del causante,</w:t>
      </w:r>
      <w:r w:rsidR="009523EF" w:rsidRPr="008620C8">
        <w:rPr>
          <w:rFonts w:ascii="Arial" w:hAnsi="Arial" w:cs="Arial"/>
          <w:spacing w:val="4"/>
          <w:sz w:val="24"/>
          <w:szCs w:val="24"/>
        </w:rPr>
        <w:t xml:space="preserve"> Estefanía Buriticá Pico, Alejandro Alberto, María Helena y Martha Lucía Buriticá Vélez,</w:t>
      </w:r>
      <w:r w:rsidRPr="008620C8">
        <w:rPr>
          <w:rFonts w:ascii="Arial" w:hAnsi="Arial" w:cs="Arial"/>
          <w:spacing w:val="4"/>
          <w:sz w:val="24"/>
          <w:szCs w:val="24"/>
        </w:rPr>
        <w:t xml:space="preserve"> aportando los respectivos registros civiles (fol.75</w:t>
      </w:r>
      <w:r w:rsidR="009523EF" w:rsidRPr="008620C8">
        <w:rPr>
          <w:rFonts w:ascii="Arial" w:hAnsi="Arial" w:cs="Arial"/>
          <w:spacing w:val="4"/>
          <w:sz w:val="24"/>
          <w:szCs w:val="24"/>
        </w:rPr>
        <w:t xml:space="preserve">), ante lo cual el juzgado de conocimiento ordenó la integración de éstos al contradictorio, y dispuso </w:t>
      </w:r>
      <w:r w:rsidR="008A1950" w:rsidRPr="008620C8">
        <w:rPr>
          <w:rFonts w:ascii="Arial" w:hAnsi="Arial" w:cs="Arial"/>
          <w:spacing w:val="4"/>
          <w:sz w:val="24"/>
          <w:szCs w:val="24"/>
        </w:rPr>
        <w:t xml:space="preserve">un curador para la litis a los herederos indeterminados </w:t>
      </w:r>
      <w:r w:rsidR="009523EF" w:rsidRPr="008620C8">
        <w:rPr>
          <w:rFonts w:ascii="Arial" w:hAnsi="Arial" w:cs="Arial"/>
          <w:spacing w:val="4"/>
          <w:sz w:val="24"/>
          <w:szCs w:val="24"/>
        </w:rPr>
        <w:t xml:space="preserve">del señor Buriticá Salgado, en aplicación de lo previsto en el artículo 87 del C.G.P., </w:t>
      </w:r>
      <w:r w:rsidR="00B96AD5" w:rsidRPr="008620C8">
        <w:rPr>
          <w:rFonts w:ascii="Arial" w:hAnsi="Arial" w:cs="Arial"/>
          <w:spacing w:val="4"/>
          <w:sz w:val="24"/>
          <w:szCs w:val="24"/>
        </w:rPr>
        <w:t xml:space="preserve">a fin de que represente sus intereses dentro del proceso, </w:t>
      </w:r>
      <w:r w:rsidR="009523EF" w:rsidRPr="008620C8">
        <w:rPr>
          <w:rFonts w:ascii="Arial" w:hAnsi="Arial" w:cs="Arial"/>
          <w:spacing w:val="4"/>
          <w:sz w:val="24"/>
          <w:szCs w:val="24"/>
        </w:rPr>
        <w:t xml:space="preserve">ante la inexistencia de proceso sucesorio y </w:t>
      </w:r>
      <w:r w:rsidR="00B96AD5" w:rsidRPr="008620C8">
        <w:rPr>
          <w:rFonts w:ascii="Arial" w:hAnsi="Arial" w:cs="Arial"/>
          <w:spacing w:val="4"/>
          <w:sz w:val="24"/>
          <w:szCs w:val="24"/>
        </w:rPr>
        <w:t>ordenó efectuar su emplazamiento en la forma indicada en el artículo 108 del C.G.P. (fol. 90).</w:t>
      </w:r>
    </w:p>
    <w:p w14:paraId="458608A7" w14:textId="77777777" w:rsidR="00B96AD5" w:rsidRPr="008620C8" w:rsidRDefault="00B96AD5" w:rsidP="002C3E64">
      <w:pPr>
        <w:spacing w:line="276" w:lineRule="auto"/>
        <w:jc w:val="both"/>
        <w:rPr>
          <w:rFonts w:ascii="Arial" w:hAnsi="Arial" w:cs="Arial"/>
          <w:spacing w:val="4"/>
          <w:sz w:val="24"/>
          <w:szCs w:val="24"/>
        </w:rPr>
      </w:pPr>
    </w:p>
    <w:p w14:paraId="2FC7C281" w14:textId="7E89D82E" w:rsidR="00997659" w:rsidRPr="008620C8" w:rsidRDefault="00DF3F18"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Al dar respuesta a la demanda, </w:t>
      </w:r>
      <w:r w:rsidR="00867119" w:rsidRPr="008620C8">
        <w:rPr>
          <w:rFonts w:ascii="Arial" w:hAnsi="Arial" w:cs="Arial"/>
          <w:spacing w:val="4"/>
          <w:sz w:val="24"/>
          <w:szCs w:val="24"/>
        </w:rPr>
        <w:t>el curador ad-</w:t>
      </w:r>
      <w:proofErr w:type="spellStart"/>
      <w:r w:rsidR="00867119" w:rsidRPr="008620C8">
        <w:rPr>
          <w:rFonts w:ascii="Arial" w:hAnsi="Arial" w:cs="Arial"/>
          <w:spacing w:val="4"/>
          <w:sz w:val="24"/>
          <w:szCs w:val="24"/>
        </w:rPr>
        <w:t>litem</w:t>
      </w:r>
      <w:proofErr w:type="spellEnd"/>
      <w:r w:rsidR="00867119" w:rsidRPr="008620C8">
        <w:rPr>
          <w:rFonts w:ascii="Arial" w:hAnsi="Arial" w:cs="Arial"/>
          <w:spacing w:val="4"/>
          <w:sz w:val="24"/>
          <w:szCs w:val="24"/>
        </w:rPr>
        <w:t xml:space="preserve"> contestó la demanda indicando que no le constan los hechos de la demanda, y en tal sentido, ni acepta ni se opone a las pretensiones. Formuló como excepciones las de “Buena fe” y “Prescripción”, (fol.98 a 101).</w:t>
      </w:r>
    </w:p>
    <w:p w14:paraId="2B6F6600" w14:textId="77777777" w:rsidR="00867119" w:rsidRPr="008620C8" w:rsidRDefault="00867119" w:rsidP="002C3E64">
      <w:pPr>
        <w:spacing w:line="276" w:lineRule="auto"/>
        <w:jc w:val="both"/>
        <w:rPr>
          <w:rFonts w:ascii="Arial" w:hAnsi="Arial" w:cs="Arial"/>
          <w:spacing w:val="4"/>
          <w:sz w:val="24"/>
          <w:szCs w:val="24"/>
        </w:rPr>
      </w:pPr>
    </w:p>
    <w:p w14:paraId="3F404E00" w14:textId="4ABACB08" w:rsidR="00BA2961" w:rsidRPr="008620C8" w:rsidRDefault="00867119"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Posteriormente, el Despacho procedió a incluir la información pertinente en el Registro Nacional de Personas Emplazadas, asentando el proceso como “privado”, (fol.180), y la demandante allegó copia de la publicación del </w:t>
      </w:r>
      <w:r w:rsidRPr="008620C8">
        <w:rPr>
          <w:rFonts w:ascii="Arial" w:hAnsi="Arial" w:cs="Arial"/>
          <w:spacing w:val="4"/>
          <w:sz w:val="24"/>
          <w:szCs w:val="24"/>
        </w:rPr>
        <w:lastRenderedPageBreak/>
        <w:t xml:space="preserve">emplazamiento de los herederos indeterminados del señor Alberto Buriticá Salgado, conforme las exigencias legales expuestas por el a-quo mediante auto del 22 de agosto de 2018, (fol.183 y 185). </w:t>
      </w:r>
    </w:p>
    <w:p w14:paraId="31094F67" w14:textId="4D37FDD4" w:rsidR="00BA2961" w:rsidRPr="008620C8" w:rsidRDefault="00BA2961" w:rsidP="002C3E64">
      <w:pPr>
        <w:spacing w:line="276" w:lineRule="auto"/>
        <w:jc w:val="both"/>
        <w:rPr>
          <w:rFonts w:ascii="Arial" w:hAnsi="Arial" w:cs="Arial"/>
          <w:spacing w:val="4"/>
          <w:sz w:val="24"/>
          <w:szCs w:val="24"/>
        </w:rPr>
      </w:pPr>
    </w:p>
    <w:p w14:paraId="78119EEE" w14:textId="66EE6B6E" w:rsidR="00BA2961" w:rsidRPr="008620C8" w:rsidRDefault="00BA2961"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En esas condiciones, </w:t>
      </w:r>
      <w:r w:rsidR="00B84C8C" w:rsidRPr="008620C8">
        <w:rPr>
          <w:rFonts w:ascii="Arial" w:hAnsi="Arial" w:cs="Arial"/>
          <w:spacing w:val="4"/>
          <w:sz w:val="24"/>
          <w:szCs w:val="24"/>
        </w:rPr>
        <w:t xml:space="preserve">concluida la audiencia de que trata el artículo 77 del C.P.T.S.S, </w:t>
      </w:r>
      <w:r w:rsidRPr="008620C8">
        <w:rPr>
          <w:rFonts w:ascii="Arial" w:hAnsi="Arial" w:cs="Arial"/>
          <w:spacing w:val="4"/>
          <w:sz w:val="24"/>
          <w:szCs w:val="24"/>
        </w:rPr>
        <w:t xml:space="preserve">el </w:t>
      </w:r>
      <w:r w:rsidR="00867119" w:rsidRPr="008620C8">
        <w:rPr>
          <w:rFonts w:ascii="Arial" w:hAnsi="Arial" w:cs="Arial"/>
          <w:spacing w:val="4"/>
          <w:sz w:val="24"/>
          <w:szCs w:val="24"/>
        </w:rPr>
        <w:t xml:space="preserve">18 de marzo de </w:t>
      </w:r>
      <w:r w:rsidRPr="008620C8">
        <w:rPr>
          <w:rFonts w:ascii="Arial" w:hAnsi="Arial" w:cs="Arial"/>
          <w:spacing w:val="4"/>
          <w:sz w:val="24"/>
          <w:szCs w:val="24"/>
        </w:rPr>
        <w:t>2019 se agotó la audiencia</w:t>
      </w:r>
      <w:r w:rsidR="00B84C8C" w:rsidRPr="008620C8">
        <w:rPr>
          <w:rFonts w:ascii="Arial" w:hAnsi="Arial" w:cs="Arial"/>
          <w:spacing w:val="4"/>
          <w:sz w:val="24"/>
          <w:szCs w:val="24"/>
        </w:rPr>
        <w:t xml:space="preserve"> consagrada en el artículo</w:t>
      </w:r>
      <w:r w:rsidR="00504399" w:rsidRPr="008620C8">
        <w:rPr>
          <w:rFonts w:ascii="Arial" w:hAnsi="Arial" w:cs="Arial"/>
          <w:spacing w:val="4"/>
          <w:sz w:val="24"/>
          <w:szCs w:val="24"/>
        </w:rPr>
        <w:t xml:space="preserve"> 80 </w:t>
      </w:r>
      <w:r w:rsidR="00B84C8C" w:rsidRPr="008620C8">
        <w:rPr>
          <w:rFonts w:ascii="Arial" w:hAnsi="Arial" w:cs="Arial"/>
          <w:spacing w:val="4"/>
          <w:sz w:val="24"/>
          <w:szCs w:val="24"/>
        </w:rPr>
        <w:t>ibidem</w:t>
      </w:r>
      <w:r w:rsidR="00504399" w:rsidRPr="008620C8">
        <w:rPr>
          <w:rFonts w:ascii="Arial" w:hAnsi="Arial" w:cs="Arial"/>
          <w:spacing w:val="4"/>
          <w:sz w:val="24"/>
          <w:szCs w:val="24"/>
        </w:rPr>
        <w:t>, la cual concluyó con fallo absolutorio</w:t>
      </w:r>
      <w:r w:rsidR="00A86E8C" w:rsidRPr="008620C8">
        <w:rPr>
          <w:rFonts w:ascii="Arial" w:hAnsi="Arial" w:cs="Arial"/>
          <w:spacing w:val="4"/>
          <w:sz w:val="24"/>
          <w:szCs w:val="24"/>
        </w:rPr>
        <w:t xml:space="preserve"> por no</w:t>
      </w:r>
      <w:r w:rsidR="009A3C7F" w:rsidRPr="008620C8">
        <w:rPr>
          <w:rFonts w:ascii="Arial" w:hAnsi="Arial" w:cs="Arial"/>
          <w:spacing w:val="4"/>
          <w:sz w:val="24"/>
          <w:szCs w:val="24"/>
        </w:rPr>
        <w:t xml:space="preserve"> encontrarse probados l</w:t>
      </w:r>
      <w:r w:rsidR="00B84C8C" w:rsidRPr="008620C8">
        <w:rPr>
          <w:rFonts w:ascii="Arial" w:hAnsi="Arial" w:cs="Arial"/>
          <w:spacing w:val="4"/>
          <w:sz w:val="24"/>
          <w:szCs w:val="24"/>
        </w:rPr>
        <w:t xml:space="preserve">os elementos del contrato de trabajo, </w:t>
      </w:r>
      <w:r w:rsidR="00A07D82" w:rsidRPr="008620C8">
        <w:rPr>
          <w:rFonts w:ascii="Arial" w:hAnsi="Arial" w:cs="Arial"/>
          <w:spacing w:val="4"/>
          <w:sz w:val="24"/>
          <w:szCs w:val="24"/>
        </w:rPr>
        <w:t xml:space="preserve">disponiéndose en consecuencia </w:t>
      </w:r>
      <w:r w:rsidR="00504399" w:rsidRPr="008620C8">
        <w:rPr>
          <w:rFonts w:ascii="Arial" w:hAnsi="Arial" w:cs="Arial"/>
          <w:spacing w:val="4"/>
          <w:sz w:val="24"/>
          <w:szCs w:val="24"/>
        </w:rPr>
        <w:t>el grado jurisdiccional de consulta</w:t>
      </w:r>
      <w:r w:rsidR="00A07D82" w:rsidRPr="008620C8">
        <w:rPr>
          <w:rFonts w:ascii="Arial" w:hAnsi="Arial" w:cs="Arial"/>
          <w:spacing w:val="4"/>
          <w:sz w:val="24"/>
          <w:szCs w:val="24"/>
        </w:rPr>
        <w:t xml:space="preserve"> en favor de la activa</w:t>
      </w:r>
      <w:r w:rsidR="00504399" w:rsidRPr="008620C8">
        <w:rPr>
          <w:rFonts w:ascii="Arial" w:hAnsi="Arial" w:cs="Arial"/>
          <w:spacing w:val="4"/>
          <w:sz w:val="24"/>
          <w:szCs w:val="24"/>
        </w:rPr>
        <w:t xml:space="preserve"> (fol. </w:t>
      </w:r>
      <w:r w:rsidR="00B84C8C" w:rsidRPr="008620C8">
        <w:rPr>
          <w:rFonts w:ascii="Arial" w:hAnsi="Arial" w:cs="Arial"/>
          <w:spacing w:val="4"/>
          <w:sz w:val="24"/>
          <w:szCs w:val="24"/>
        </w:rPr>
        <w:t>196</w:t>
      </w:r>
      <w:r w:rsidR="00504399" w:rsidRPr="008620C8">
        <w:rPr>
          <w:rFonts w:ascii="Arial" w:hAnsi="Arial" w:cs="Arial"/>
          <w:spacing w:val="4"/>
          <w:sz w:val="24"/>
          <w:szCs w:val="24"/>
        </w:rPr>
        <w:t xml:space="preserve">). </w:t>
      </w:r>
    </w:p>
    <w:p w14:paraId="789594DF" w14:textId="77777777" w:rsidR="00997659" w:rsidRPr="008620C8" w:rsidRDefault="00997659" w:rsidP="002C3E64">
      <w:pPr>
        <w:spacing w:line="276" w:lineRule="auto"/>
        <w:jc w:val="both"/>
        <w:rPr>
          <w:rFonts w:ascii="Arial" w:hAnsi="Arial" w:cs="Arial"/>
          <w:spacing w:val="4"/>
          <w:sz w:val="24"/>
          <w:szCs w:val="24"/>
        </w:rPr>
      </w:pPr>
    </w:p>
    <w:p w14:paraId="2A124116" w14:textId="51A1D26A" w:rsidR="00B55DA9" w:rsidRPr="008620C8" w:rsidRDefault="004D5BB9" w:rsidP="002C3E64">
      <w:pPr>
        <w:pStyle w:val="Prrafodelista"/>
        <w:spacing w:line="276" w:lineRule="auto"/>
        <w:ind w:left="0"/>
        <w:jc w:val="center"/>
        <w:rPr>
          <w:rFonts w:ascii="Arial" w:hAnsi="Arial" w:cs="Arial"/>
          <w:b/>
          <w:bCs/>
          <w:spacing w:val="4"/>
          <w:sz w:val="24"/>
          <w:szCs w:val="24"/>
        </w:rPr>
      </w:pPr>
      <w:r w:rsidRPr="008620C8">
        <w:rPr>
          <w:rFonts w:ascii="Arial" w:hAnsi="Arial" w:cs="Arial"/>
          <w:b/>
          <w:bCs/>
          <w:spacing w:val="4"/>
          <w:sz w:val="24"/>
          <w:szCs w:val="24"/>
        </w:rPr>
        <w:t xml:space="preserve">II. </w:t>
      </w:r>
      <w:r w:rsidR="00B55DA9" w:rsidRPr="008620C8">
        <w:rPr>
          <w:rFonts w:ascii="Arial" w:hAnsi="Arial" w:cs="Arial"/>
          <w:b/>
          <w:bCs/>
          <w:spacing w:val="4"/>
          <w:sz w:val="24"/>
          <w:szCs w:val="24"/>
        </w:rPr>
        <w:t xml:space="preserve">CONSIDERACIONES </w:t>
      </w:r>
    </w:p>
    <w:p w14:paraId="7E187FA9" w14:textId="77777777" w:rsidR="00C85283" w:rsidRPr="008620C8" w:rsidRDefault="00C85283" w:rsidP="002C3E64">
      <w:pPr>
        <w:pStyle w:val="Prrafodelista"/>
        <w:spacing w:line="276" w:lineRule="auto"/>
        <w:ind w:left="0"/>
        <w:jc w:val="both"/>
        <w:rPr>
          <w:rFonts w:ascii="Arial" w:hAnsi="Arial" w:cs="Arial"/>
          <w:spacing w:val="4"/>
          <w:sz w:val="24"/>
          <w:szCs w:val="24"/>
        </w:rPr>
      </w:pPr>
    </w:p>
    <w:p w14:paraId="61E9D0A4" w14:textId="122788FA" w:rsidR="0048590D" w:rsidRPr="008620C8" w:rsidRDefault="007A4F1A" w:rsidP="002C3E64">
      <w:pPr>
        <w:spacing w:line="276" w:lineRule="auto"/>
        <w:jc w:val="both"/>
        <w:rPr>
          <w:rFonts w:ascii="Arial" w:hAnsi="Arial" w:cs="Arial"/>
          <w:spacing w:val="4"/>
          <w:sz w:val="24"/>
          <w:szCs w:val="24"/>
        </w:rPr>
      </w:pPr>
      <w:r w:rsidRPr="008620C8">
        <w:rPr>
          <w:rFonts w:ascii="Arial" w:hAnsi="Arial" w:cs="Arial"/>
          <w:spacing w:val="4"/>
          <w:sz w:val="24"/>
          <w:szCs w:val="24"/>
        </w:rPr>
        <w:t>E</w:t>
      </w:r>
      <w:r w:rsidR="0048590D" w:rsidRPr="008620C8">
        <w:rPr>
          <w:rFonts w:ascii="Arial" w:hAnsi="Arial" w:cs="Arial"/>
          <w:spacing w:val="4"/>
          <w:sz w:val="24"/>
          <w:szCs w:val="24"/>
        </w:rPr>
        <w:t>s importante destacar que de conformidad con lo previsto por el artículo 29 de la Constitución Nacional, “</w:t>
      </w:r>
      <w:r w:rsidR="0048590D" w:rsidRPr="008620C8">
        <w:rPr>
          <w:rFonts w:ascii="Arial" w:hAnsi="Arial" w:cs="Arial"/>
          <w:spacing w:val="4"/>
          <w:sz w:val="22"/>
          <w:szCs w:val="24"/>
        </w:rPr>
        <w:t>nadie podrá ser juzgado sino conforme a leyes preexistentes al acto que se le imputa, ante juez o tribunal competente y con observancia de la plenitud de las formas propias de cada juicio</w:t>
      </w:r>
      <w:r w:rsidR="0048590D" w:rsidRPr="008620C8">
        <w:rPr>
          <w:rFonts w:ascii="Arial" w:hAnsi="Arial" w:cs="Arial"/>
          <w:spacing w:val="4"/>
          <w:sz w:val="24"/>
          <w:szCs w:val="24"/>
        </w:rPr>
        <w:t>”</w:t>
      </w:r>
      <w:r w:rsidR="00A86E8C" w:rsidRPr="008620C8">
        <w:rPr>
          <w:rFonts w:ascii="Arial" w:hAnsi="Arial" w:cs="Arial"/>
          <w:spacing w:val="4"/>
          <w:sz w:val="24"/>
          <w:szCs w:val="24"/>
        </w:rPr>
        <w:t xml:space="preserve">. </w:t>
      </w:r>
      <w:r w:rsidR="00BF0D0C" w:rsidRPr="008620C8">
        <w:rPr>
          <w:rFonts w:ascii="Arial" w:hAnsi="Arial" w:cs="Arial"/>
          <w:spacing w:val="4"/>
          <w:sz w:val="24"/>
          <w:szCs w:val="24"/>
        </w:rPr>
        <w:t xml:space="preserve"> P</w:t>
      </w:r>
      <w:r w:rsidR="0048590D" w:rsidRPr="008620C8">
        <w:rPr>
          <w:rFonts w:ascii="Arial" w:hAnsi="Arial" w:cs="Arial"/>
          <w:spacing w:val="4"/>
          <w:sz w:val="24"/>
          <w:szCs w:val="24"/>
        </w:rPr>
        <w:t xml:space="preserve">recepto </w:t>
      </w:r>
      <w:r w:rsidR="00BF0D0C" w:rsidRPr="008620C8">
        <w:rPr>
          <w:rFonts w:ascii="Arial" w:hAnsi="Arial" w:cs="Arial"/>
          <w:spacing w:val="4"/>
          <w:sz w:val="24"/>
          <w:szCs w:val="24"/>
        </w:rPr>
        <w:t xml:space="preserve">que </w:t>
      </w:r>
      <w:r w:rsidR="0048590D" w:rsidRPr="008620C8">
        <w:rPr>
          <w:rFonts w:ascii="Arial" w:hAnsi="Arial" w:cs="Arial"/>
          <w:spacing w:val="4"/>
          <w:sz w:val="24"/>
          <w:szCs w:val="24"/>
        </w:rPr>
        <w:t>contiene una garantía para toda persona que interviene en un proceso judicial</w:t>
      </w:r>
      <w:r w:rsidR="00156F5F" w:rsidRPr="008620C8">
        <w:rPr>
          <w:rFonts w:ascii="Arial" w:hAnsi="Arial" w:cs="Arial"/>
          <w:spacing w:val="4"/>
          <w:sz w:val="24"/>
          <w:szCs w:val="24"/>
        </w:rPr>
        <w:t>,</w:t>
      </w:r>
      <w:r w:rsidR="0048590D" w:rsidRPr="008620C8">
        <w:rPr>
          <w:rFonts w:ascii="Arial" w:hAnsi="Arial" w:cs="Arial"/>
          <w:spacing w:val="4"/>
          <w:sz w:val="24"/>
          <w:szCs w:val="24"/>
        </w:rPr>
        <w:t xml:space="preserve"> en cuanto le reconoce el derecho a exigir que se cumplan las ritualidades propias del mismo antes de proferirse sentencia, de tal forma que se tenga la certeza de que ha gozado de todas las oportunidades previstas en la ley procesal para hacer valer sus derechos sustanciales y cumplir sus cargas procesales.</w:t>
      </w:r>
    </w:p>
    <w:p w14:paraId="77C20923" w14:textId="69E57B26" w:rsidR="009B117D" w:rsidRPr="008620C8" w:rsidRDefault="009B117D" w:rsidP="002C3E64">
      <w:pPr>
        <w:spacing w:line="276" w:lineRule="auto"/>
        <w:jc w:val="both"/>
        <w:rPr>
          <w:rFonts w:ascii="Arial" w:hAnsi="Arial" w:cs="Arial"/>
          <w:spacing w:val="4"/>
          <w:sz w:val="24"/>
          <w:szCs w:val="24"/>
        </w:rPr>
      </w:pPr>
    </w:p>
    <w:p w14:paraId="23B24F53" w14:textId="4FC0EBED" w:rsidR="009B117D" w:rsidRPr="008620C8" w:rsidRDefault="00BF0D0C"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En este escenario, la notificación, entendida como el acto mediante el cual se pone en conocimiento de los sujetos procesales el contenido de las providencias que se producen dentro del proceso, </w:t>
      </w:r>
      <w:r w:rsidR="00927CA4" w:rsidRPr="008620C8">
        <w:rPr>
          <w:rFonts w:ascii="Arial" w:hAnsi="Arial" w:cs="Arial"/>
          <w:spacing w:val="4"/>
          <w:sz w:val="24"/>
          <w:szCs w:val="24"/>
        </w:rPr>
        <w:t>resulta trascendental</w:t>
      </w:r>
      <w:r w:rsidR="003C60D0" w:rsidRPr="008620C8">
        <w:rPr>
          <w:rFonts w:ascii="Arial" w:hAnsi="Arial" w:cs="Arial"/>
          <w:spacing w:val="4"/>
          <w:sz w:val="24"/>
          <w:szCs w:val="24"/>
        </w:rPr>
        <w:t xml:space="preserve">; </w:t>
      </w:r>
      <w:r w:rsidR="00927CA4" w:rsidRPr="008620C8">
        <w:rPr>
          <w:rFonts w:ascii="Arial" w:hAnsi="Arial" w:cs="Arial"/>
          <w:spacing w:val="4"/>
          <w:sz w:val="24"/>
          <w:szCs w:val="24"/>
        </w:rPr>
        <w:t xml:space="preserve">de un lado, para garantizar los derechos de defensa y contradicción, y por el otro, </w:t>
      </w:r>
      <w:r w:rsidR="003C60D0" w:rsidRPr="008620C8">
        <w:rPr>
          <w:rFonts w:ascii="Arial" w:hAnsi="Arial" w:cs="Arial"/>
          <w:spacing w:val="4"/>
          <w:sz w:val="24"/>
          <w:szCs w:val="24"/>
        </w:rPr>
        <w:t xml:space="preserve">como presupuesto de </w:t>
      </w:r>
      <w:r w:rsidR="00927CA4" w:rsidRPr="008620C8">
        <w:rPr>
          <w:rFonts w:ascii="Arial" w:hAnsi="Arial" w:cs="Arial"/>
          <w:spacing w:val="4"/>
          <w:sz w:val="24"/>
          <w:szCs w:val="24"/>
        </w:rPr>
        <w:t>la tutela judicial efectiva</w:t>
      </w:r>
      <w:r w:rsidR="00551379" w:rsidRPr="008620C8">
        <w:rPr>
          <w:rFonts w:ascii="Arial" w:hAnsi="Arial" w:cs="Arial"/>
          <w:spacing w:val="4"/>
          <w:sz w:val="24"/>
          <w:szCs w:val="24"/>
        </w:rPr>
        <w:t>, el esclarecimiento de la verdad</w:t>
      </w:r>
      <w:r w:rsidR="00927CA4" w:rsidRPr="008620C8">
        <w:rPr>
          <w:rFonts w:ascii="Arial" w:hAnsi="Arial" w:cs="Arial"/>
          <w:spacing w:val="4"/>
          <w:sz w:val="24"/>
          <w:szCs w:val="24"/>
        </w:rPr>
        <w:t xml:space="preserve"> y </w:t>
      </w:r>
      <w:r w:rsidR="003C60D0" w:rsidRPr="008620C8">
        <w:rPr>
          <w:rFonts w:ascii="Arial" w:hAnsi="Arial" w:cs="Arial"/>
          <w:spacing w:val="4"/>
          <w:sz w:val="24"/>
          <w:szCs w:val="24"/>
        </w:rPr>
        <w:t xml:space="preserve">el </w:t>
      </w:r>
      <w:r w:rsidR="00927CA4" w:rsidRPr="008620C8">
        <w:rPr>
          <w:rFonts w:ascii="Arial" w:hAnsi="Arial" w:cs="Arial"/>
          <w:spacing w:val="4"/>
          <w:sz w:val="24"/>
          <w:szCs w:val="24"/>
        </w:rPr>
        <w:t>desarrollo de los principios de celeridad</w:t>
      </w:r>
      <w:r w:rsidR="00754AED" w:rsidRPr="008620C8">
        <w:rPr>
          <w:rFonts w:ascii="Arial" w:hAnsi="Arial" w:cs="Arial"/>
          <w:spacing w:val="4"/>
          <w:sz w:val="24"/>
          <w:szCs w:val="24"/>
        </w:rPr>
        <w:t xml:space="preserve"> y eficacia de la función judicial. </w:t>
      </w:r>
    </w:p>
    <w:p w14:paraId="121C7C9C" w14:textId="69E51C79" w:rsidR="00B63478" w:rsidRPr="008620C8" w:rsidRDefault="00B63478" w:rsidP="002C3E64">
      <w:pPr>
        <w:spacing w:line="276" w:lineRule="auto"/>
        <w:jc w:val="both"/>
        <w:rPr>
          <w:rFonts w:ascii="Arial" w:hAnsi="Arial" w:cs="Arial"/>
          <w:spacing w:val="4"/>
          <w:sz w:val="24"/>
          <w:szCs w:val="24"/>
        </w:rPr>
      </w:pPr>
    </w:p>
    <w:p w14:paraId="274E618D" w14:textId="6C8EB065" w:rsidR="009700D7" w:rsidRPr="008620C8" w:rsidRDefault="009700D7" w:rsidP="002C3E64">
      <w:pPr>
        <w:spacing w:line="276" w:lineRule="auto"/>
        <w:jc w:val="both"/>
        <w:rPr>
          <w:rFonts w:ascii="Arial" w:hAnsi="Arial" w:cs="Arial"/>
          <w:spacing w:val="4"/>
          <w:sz w:val="24"/>
          <w:szCs w:val="24"/>
        </w:rPr>
      </w:pPr>
      <w:r w:rsidRPr="008620C8">
        <w:rPr>
          <w:rFonts w:ascii="Arial" w:hAnsi="Arial" w:cs="Arial"/>
          <w:spacing w:val="4"/>
          <w:sz w:val="24"/>
          <w:szCs w:val="24"/>
        </w:rPr>
        <w:t>Acorde con lo anterior,</w:t>
      </w:r>
      <w:r w:rsidR="00B63478" w:rsidRPr="008620C8">
        <w:rPr>
          <w:rFonts w:ascii="Arial" w:hAnsi="Arial" w:cs="Arial"/>
          <w:spacing w:val="4"/>
          <w:sz w:val="24"/>
          <w:szCs w:val="24"/>
        </w:rPr>
        <w:t xml:space="preserve"> </w:t>
      </w:r>
      <w:r w:rsidR="001C7829" w:rsidRPr="008620C8">
        <w:rPr>
          <w:rFonts w:ascii="Arial" w:hAnsi="Arial" w:cs="Arial"/>
          <w:spacing w:val="4"/>
          <w:sz w:val="24"/>
          <w:szCs w:val="24"/>
        </w:rPr>
        <w:t>si la notificación deber surtirse frente a ciertos sujetos procesales</w:t>
      </w:r>
      <w:r w:rsidRPr="008620C8">
        <w:rPr>
          <w:rFonts w:ascii="Arial" w:hAnsi="Arial" w:cs="Arial"/>
          <w:spacing w:val="4"/>
          <w:sz w:val="24"/>
          <w:szCs w:val="24"/>
        </w:rPr>
        <w:t xml:space="preserve">, </w:t>
      </w:r>
      <w:r w:rsidR="001C7829" w:rsidRPr="008620C8">
        <w:rPr>
          <w:rFonts w:ascii="Arial" w:hAnsi="Arial" w:cs="Arial"/>
          <w:spacing w:val="4"/>
          <w:sz w:val="24"/>
          <w:szCs w:val="24"/>
        </w:rPr>
        <w:t xml:space="preserve">la certeza sobre su identidad y </w:t>
      </w:r>
      <w:r w:rsidR="0049296D" w:rsidRPr="008620C8">
        <w:rPr>
          <w:rFonts w:ascii="Arial" w:hAnsi="Arial" w:cs="Arial"/>
          <w:spacing w:val="4"/>
          <w:sz w:val="24"/>
          <w:szCs w:val="24"/>
        </w:rPr>
        <w:t xml:space="preserve">su </w:t>
      </w:r>
      <w:r w:rsidR="001C7829" w:rsidRPr="008620C8">
        <w:rPr>
          <w:rFonts w:ascii="Arial" w:hAnsi="Arial" w:cs="Arial"/>
          <w:spacing w:val="4"/>
          <w:sz w:val="24"/>
          <w:szCs w:val="24"/>
        </w:rPr>
        <w:t xml:space="preserve">correcta identificación, </w:t>
      </w:r>
      <w:r w:rsidR="0049296D" w:rsidRPr="008620C8">
        <w:rPr>
          <w:rFonts w:ascii="Arial" w:hAnsi="Arial" w:cs="Arial"/>
          <w:spacing w:val="4"/>
          <w:sz w:val="24"/>
          <w:szCs w:val="24"/>
        </w:rPr>
        <w:t>son</w:t>
      </w:r>
      <w:r w:rsidR="001C7829" w:rsidRPr="008620C8">
        <w:rPr>
          <w:rFonts w:ascii="Arial" w:hAnsi="Arial" w:cs="Arial"/>
          <w:spacing w:val="4"/>
          <w:sz w:val="24"/>
          <w:szCs w:val="24"/>
        </w:rPr>
        <w:t xml:space="preserve"> requisito</w:t>
      </w:r>
      <w:r w:rsidR="0049296D" w:rsidRPr="008620C8">
        <w:rPr>
          <w:rFonts w:ascii="Arial" w:hAnsi="Arial" w:cs="Arial"/>
          <w:spacing w:val="4"/>
          <w:sz w:val="24"/>
          <w:szCs w:val="24"/>
        </w:rPr>
        <w:t>s</w:t>
      </w:r>
      <w:r w:rsidR="001C7829" w:rsidRPr="008620C8">
        <w:rPr>
          <w:rFonts w:ascii="Arial" w:hAnsi="Arial" w:cs="Arial"/>
          <w:spacing w:val="4"/>
          <w:sz w:val="24"/>
          <w:szCs w:val="24"/>
        </w:rPr>
        <w:t xml:space="preserve"> </w:t>
      </w:r>
      <w:r w:rsidR="001C7829" w:rsidRPr="008620C8">
        <w:rPr>
          <w:rFonts w:ascii="Arial" w:hAnsi="Arial" w:cs="Arial"/>
          <w:i/>
          <w:iCs/>
          <w:spacing w:val="4"/>
          <w:sz w:val="24"/>
          <w:szCs w:val="24"/>
        </w:rPr>
        <w:t xml:space="preserve">sine qua non </w:t>
      </w:r>
      <w:r w:rsidR="001C7829" w:rsidRPr="008620C8">
        <w:rPr>
          <w:rFonts w:ascii="Arial" w:hAnsi="Arial" w:cs="Arial"/>
          <w:spacing w:val="4"/>
          <w:sz w:val="24"/>
          <w:szCs w:val="24"/>
        </w:rPr>
        <w:t>para</w:t>
      </w:r>
      <w:r w:rsidR="0049296D" w:rsidRPr="008620C8">
        <w:rPr>
          <w:rFonts w:ascii="Arial" w:hAnsi="Arial" w:cs="Arial"/>
          <w:spacing w:val="4"/>
          <w:sz w:val="24"/>
          <w:szCs w:val="24"/>
        </w:rPr>
        <w:t xml:space="preserve"> que esta pueda considerarse surtida cabalmente y desatar </w:t>
      </w:r>
      <w:r w:rsidR="00551379" w:rsidRPr="008620C8">
        <w:rPr>
          <w:rFonts w:ascii="Arial" w:hAnsi="Arial" w:cs="Arial"/>
          <w:spacing w:val="4"/>
          <w:sz w:val="24"/>
          <w:szCs w:val="24"/>
        </w:rPr>
        <w:t>los efectos que la ley o la decisión que se comunica, en sí misma</w:t>
      </w:r>
      <w:r w:rsidR="0091568B" w:rsidRPr="008620C8">
        <w:rPr>
          <w:rFonts w:ascii="Arial" w:hAnsi="Arial" w:cs="Arial"/>
          <w:spacing w:val="4"/>
          <w:sz w:val="24"/>
          <w:szCs w:val="24"/>
        </w:rPr>
        <w:t>,</w:t>
      </w:r>
      <w:r w:rsidR="00551379" w:rsidRPr="008620C8">
        <w:rPr>
          <w:rFonts w:ascii="Arial" w:hAnsi="Arial" w:cs="Arial"/>
          <w:spacing w:val="4"/>
          <w:sz w:val="24"/>
          <w:szCs w:val="24"/>
        </w:rPr>
        <w:t xml:space="preserve"> pueda contener. </w:t>
      </w:r>
    </w:p>
    <w:p w14:paraId="3911F466" w14:textId="77777777" w:rsidR="00A52E85" w:rsidRPr="008620C8" w:rsidRDefault="00A52E85" w:rsidP="002C3E64">
      <w:pPr>
        <w:spacing w:line="276" w:lineRule="auto"/>
        <w:jc w:val="both"/>
        <w:rPr>
          <w:rFonts w:ascii="Arial" w:hAnsi="Arial" w:cs="Arial"/>
          <w:spacing w:val="4"/>
          <w:sz w:val="24"/>
          <w:szCs w:val="24"/>
        </w:rPr>
      </w:pPr>
    </w:p>
    <w:p w14:paraId="7B975775" w14:textId="4A843112" w:rsidR="007A4F1A" w:rsidRPr="008620C8" w:rsidRDefault="009700D7" w:rsidP="002C3E64">
      <w:pPr>
        <w:spacing w:line="276" w:lineRule="auto"/>
        <w:jc w:val="both"/>
        <w:rPr>
          <w:rFonts w:ascii="Arial" w:hAnsi="Arial" w:cs="Arial"/>
          <w:spacing w:val="4"/>
          <w:sz w:val="24"/>
          <w:szCs w:val="24"/>
        </w:rPr>
      </w:pPr>
      <w:r w:rsidRPr="008620C8">
        <w:rPr>
          <w:rFonts w:ascii="Arial" w:hAnsi="Arial" w:cs="Arial"/>
          <w:spacing w:val="4"/>
          <w:sz w:val="24"/>
          <w:szCs w:val="24"/>
        </w:rPr>
        <w:t>P</w:t>
      </w:r>
      <w:r w:rsidR="00FB6BF8" w:rsidRPr="008620C8">
        <w:rPr>
          <w:rFonts w:ascii="Arial" w:hAnsi="Arial" w:cs="Arial"/>
          <w:spacing w:val="4"/>
          <w:sz w:val="24"/>
          <w:szCs w:val="24"/>
        </w:rPr>
        <w:t xml:space="preserve">ara abordar </w:t>
      </w:r>
      <w:r w:rsidR="004926E8" w:rsidRPr="008620C8">
        <w:rPr>
          <w:rFonts w:ascii="Arial" w:hAnsi="Arial" w:cs="Arial"/>
          <w:spacing w:val="4"/>
          <w:sz w:val="24"/>
          <w:szCs w:val="24"/>
        </w:rPr>
        <w:t>adecuadamente</w:t>
      </w:r>
      <w:r w:rsidR="00FB6BF8" w:rsidRPr="008620C8">
        <w:rPr>
          <w:rFonts w:ascii="Arial" w:hAnsi="Arial" w:cs="Arial"/>
          <w:spacing w:val="4"/>
          <w:sz w:val="24"/>
          <w:szCs w:val="24"/>
        </w:rPr>
        <w:t xml:space="preserve"> el estudio de</w:t>
      </w:r>
      <w:r w:rsidR="004926E8" w:rsidRPr="008620C8">
        <w:rPr>
          <w:rFonts w:ascii="Arial" w:hAnsi="Arial" w:cs="Arial"/>
          <w:spacing w:val="4"/>
          <w:sz w:val="24"/>
          <w:szCs w:val="24"/>
        </w:rPr>
        <w:t xml:space="preserve"> </w:t>
      </w:r>
      <w:r w:rsidR="000B1A0D" w:rsidRPr="008620C8">
        <w:rPr>
          <w:rFonts w:ascii="Arial" w:hAnsi="Arial" w:cs="Arial"/>
          <w:spacing w:val="4"/>
          <w:sz w:val="24"/>
          <w:szCs w:val="24"/>
        </w:rPr>
        <w:t>la form</w:t>
      </w:r>
      <w:r w:rsidR="00F31130" w:rsidRPr="008620C8">
        <w:rPr>
          <w:rFonts w:ascii="Arial" w:hAnsi="Arial" w:cs="Arial"/>
          <w:spacing w:val="4"/>
          <w:sz w:val="24"/>
          <w:szCs w:val="24"/>
        </w:rPr>
        <w:t>a</w:t>
      </w:r>
      <w:r w:rsidR="000B1A0D" w:rsidRPr="008620C8">
        <w:rPr>
          <w:rFonts w:ascii="Arial" w:hAnsi="Arial" w:cs="Arial"/>
          <w:spacing w:val="4"/>
          <w:sz w:val="24"/>
          <w:szCs w:val="24"/>
        </w:rPr>
        <w:t xml:space="preserve"> como se surtió el emplazamiento y en particular </w:t>
      </w:r>
      <w:r w:rsidR="00F31130" w:rsidRPr="008620C8">
        <w:rPr>
          <w:rFonts w:ascii="Arial" w:hAnsi="Arial" w:cs="Arial"/>
          <w:spacing w:val="4"/>
          <w:sz w:val="24"/>
          <w:szCs w:val="24"/>
        </w:rPr>
        <w:t xml:space="preserve">la publicación en el </w:t>
      </w:r>
      <w:r w:rsidR="00A07D82" w:rsidRPr="008620C8">
        <w:rPr>
          <w:rFonts w:ascii="Arial" w:hAnsi="Arial" w:cs="Arial"/>
          <w:spacing w:val="4"/>
          <w:sz w:val="24"/>
          <w:szCs w:val="24"/>
        </w:rPr>
        <w:t>R</w:t>
      </w:r>
      <w:r w:rsidR="00F31130" w:rsidRPr="008620C8">
        <w:rPr>
          <w:rFonts w:ascii="Arial" w:hAnsi="Arial" w:cs="Arial"/>
          <w:spacing w:val="4"/>
          <w:sz w:val="24"/>
          <w:szCs w:val="24"/>
        </w:rPr>
        <w:t xml:space="preserve">egistro </w:t>
      </w:r>
      <w:r w:rsidR="00A07D82" w:rsidRPr="008620C8">
        <w:rPr>
          <w:rFonts w:ascii="Arial" w:hAnsi="Arial" w:cs="Arial"/>
          <w:spacing w:val="4"/>
          <w:sz w:val="24"/>
          <w:szCs w:val="24"/>
        </w:rPr>
        <w:t>N</w:t>
      </w:r>
      <w:r w:rsidR="00F31130" w:rsidRPr="008620C8">
        <w:rPr>
          <w:rFonts w:ascii="Arial" w:hAnsi="Arial" w:cs="Arial"/>
          <w:spacing w:val="4"/>
          <w:sz w:val="24"/>
          <w:szCs w:val="24"/>
        </w:rPr>
        <w:t xml:space="preserve">acional de </w:t>
      </w:r>
      <w:r w:rsidR="00A07D82" w:rsidRPr="008620C8">
        <w:rPr>
          <w:rFonts w:ascii="Arial" w:hAnsi="Arial" w:cs="Arial"/>
          <w:spacing w:val="4"/>
          <w:sz w:val="24"/>
          <w:szCs w:val="24"/>
        </w:rPr>
        <w:t>P</w:t>
      </w:r>
      <w:r w:rsidR="00F31130" w:rsidRPr="008620C8">
        <w:rPr>
          <w:rFonts w:ascii="Arial" w:hAnsi="Arial" w:cs="Arial"/>
          <w:spacing w:val="4"/>
          <w:sz w:val="24"/>
          <w:szCs w:val="24"/>
        </w:rPr>
        <w:t xml:space="preserve">ersonas </w:t>
      </w:r>
      <w:r w:rsidR="00A07D82" w:rsidRPr="008620C8">
        <w:rPr>
          <w:rFonts w:ascii="Arial" w:hAnsi="Arial" w:cs="Arial"/>
          <w:spacing w:val="4"/>
          <w:sz w:val="24"/>
          <w:szCs w:val="24"/>
        </w:rPr>
        <w:t>Em</w:t>
      </w:r>
      <w:r w:rsidR="00F31130" w:rsidRPr="008620C8">
        <w:rPr>
          <w:rFonts w:ascii="Arial" w:hAnsi="Arial" w:cs="Arial"/>
          <w:spacing w:val="4"/>
          <w:sz w:val="24"/>
          <w:szCs w:val="24"/>
        </w:rPr>
        <w:t>plazadas, conviene recordar que</w:t>
      </w:r>
      <w:r w:rsidR="0093683E" w:rsidRPr="008620C8">
        <w:rPr>
          <w:rFonts w:ascii="Arial" w:hAnsi="Arial" w:cs="Arial"/>
          <w:spacing w:val="4"/>
          <w:sz w:val="24"/>
          <w:szCs w:val="24"/>
        </w:rPr>
        <w:t>,</w:t>
      </w:r>
      <w:r w:rsidR="009B2B76" w:rsidRPr="008620C8">
        <w:rPr>
          <w:rFonts w:ascii="Arial" w:hAnsi="Arial" w:cs="Arial"/>
          <w:spacing w:val="4"/>
          <w:sz w:val="24"/>
          <w:szCs w:val="24"/>
        </w:rPr>
        <w:t xml:space="preserve"> en lo pertinente,</w:t>
      </w:r>
      <w:r w:rsidR="00F31130" w:rsidRPr="008620C8">
        <w:rPr>
          <w:rFonts w:ascii="Arial" w:hAnsi="Arial" w:cs="Arial"/>
          <w:spacing w:val="4"/>
          <w:sz w:val="24"/>
          <w:szCs w:val="24"/>
        </w:rPr>
        <w:t xml:space="preserve"> el </w:t>
      </w:r>
      <w:r w:rsidR="003F5D33" w:rsidRPr="008620C8">
        <w:rPr>
          <w:rFonts w:ascii="Arial" w:hAnsi="Arial" w:cs="Arial"/>
          <w:spacing w:val="4"/>
          <w:sz w:val="24"/>
          <w:szCs w:val="24"/>
        </w:rPr>
        <w:t xml:space="preserve">artículo 108 de Código General del Proceso dispone que: </w:t>
      </w:r>
    </w:p>
    <w:p w14:paraId="64C58FD9" w14:textId="0A2C5652" w:rsidR="003F5D33" w:rsidRPr="008620C8" w:rsidRDefault="003F5D33" w:rsidP="002C3E64">
      <w:pPr>
        <w:spacing w:line="276" w:lineRule="auto"/>
        <w:jc w:val="both"/>
        <w:rPr>
          <w:rFonts w:ascii="Arial" w:hAnsi="Arial" w:cs="Arial"/>
          <w:spacing w:val="4"/>
          <w:sz w:val="24"/>
          <w:szCs w:val="24"/>
        </w:rPr>
      </w:pPr>
    </w:p>
    <w:p w14:paraId="2A07846A" w14:textId="3D4FFC2A" w:rsidR="003F5D33" w:rsidRPr="008620C8" w:rsidRDefault="003F5D33" w:rsidP="002C3E64">
      <w:pPr>
        <w:ind w:left="426" w:right="420"/>
        <w:jc w:val="both"/>
        <w:rPr>
          <w:rFonts w:ascii="Arial" w:hAnsi="Arial" w:cs="Arial"/>
          <w:i/>
          <w:spacing w:val="4"/>
          <w:sz w:val="22"/>
          <w:szCs w:val="24"/>
        </w:rPr>
      </w:pPr>
      <w:r w:rsidRPr="008620C8">
        <w:rPr>
          <w:rFonts w:ascii="Arial" w:hAnsi="Arial" w:cs="Arial"/>
          <w:i/>
          <w:spacing w:val="4"/>
          <w:sz w:val="22"/>
          <w:szCs w:val="24"/>
        </w:rPr>
        <w:t xml:space="preserve">“Efectuada la publicación de que tratan los incisos anteriores, la parte interesada remitirá una comunicación al Registro Nacional de Personas Emplazadas incluyendo el nombre del sujeto emplazado, su número de identificación, si se conoce, las partes del proceso, su naturaleza y el juzgado que lo requiere. </w:t>
      </w:r>
    </w:p>
    <w:p w14:paraId="3D99DCDD" w14:textId="77777777" w:rsidR="003F5D33" w:rsidRPr="008620C8" w:rsidRDefault="003F5D33" w:rsidP="002C3E64">
      <w:pPr>
        <w:ind w:left="426" w:right="420"/>
        <w:jc w:val="both"/>
        <w:rPr>
          <w:rFonts w:ascii="Arial" w:hAnsi="Arial" w:cs="Arial"/>
          <w:i/>
          <w:spacing w:val="4"/>
          <w:sz w:val="22"/>
          <w:szCs w:val="24"/>
        </w:rPr>
      </w:pPr>
      <w:r w:rsidRPr="008620C8">
        <w:rPr>
          <w:rFonts w:ascii="Arial" w:hAnsi="Arial" w:cs="Arial"/>
          <w:i/>
          <w:spacing w:val="4"/>
          <w:sz w:val="22"/>
          <w:szCs w:val="24"/>
        </w:rPr>
        <w:t xml:space="preserve">  </w:t>
      </w:r>
    </w:p>
    <w:p w14:paraId="52BAD4FD" w14:textId="49197FD5" w:rsidR="003F5D33" w:rsidRPr="008620C8" w:rsidRDefault="003F5D33" w:rsidP="002C3E64">
      <w:pPr>
        <w:ind w:left="426" w:right="420"/>
        <w:jc w:val="both"/>
        <w:rPr>
          <w:rFonts w:ascii="Arial" w:hAnsi="Arial" w:cs="Arial"/>
          <w:i/>
          <w:spacing w:val="4"/>
          <w:sz w:val="22"/>
          <w:szCs w:val="24"/>
        </w:rPr>
      </w:pPr>
      <w:r w:rsidRPr="008620C8">
        <w:rPr>
          <w:rFonts w:ascii="Arial" w:hAnsi="Arial" w:cs="Arial"/>
          <w:i/>
          <w:spacing w:val="4"/>
          <w:sz w:val="22"/>
          <w:szCs w:val="24"/>
        </w:rPr>
        <w:t>El Registro Nacional de Personas Emplazadas publicará la información remitida y el emplazamiento se entenderá surtido quince (15) días después de publicada la información de dicho registro.”</w:t>
      </w:r>
    </w:p>
    <w:p w14:paraId="6489CB6B" w14:textId="14017241" w:rsidR="003F5D33" w:rsidRPr="008620C8" w:rsidRDefault="003F5D33" w:rsidP="002C3E64">
      <w:pPr>
        <w:spacing w:line="276" w:lineRule="auto"/>
        <w:jc w:val="both"/>
        <w:rPr>
          <w:rFonts w:ascii="Arial" w:hAnsi="Arial" w:cs="Arial"/>
          <w:spacing w:val="4"/>
          <w:sz w:val="24"/>
          <w:szCs w:val="24"/>
        </w:rPr>
      </w:pPr>
    </w:p>
    <w:p w14:paraId="4EAABBD5" w14:textId="69FEB6D0" w:rsidR="006571BD" w:rsidRPr="008620C8" w:rsidRDefault="00F31130" w:rsidP="002C3E64">
      <w:pPr>
        <w:spacing w:line="276" w:lineRule="auto"/>
        <w:jc w:val="both"/>
        <w:rPr>
          <w:rFonts w:ascii="Arial" w:hAnsi="Arial" w:cs="Arial"/>
          <w:spacing w:val="4"/>
          <w:sz w:val="24"/>
          <w:szCs w:val="24"/>
        </w:rPr>
      </w:pPr>
      <w:r w:rsidRPr="008620C8">
        <w:rPr>
          <w:rFonts w:ascii="Arial" w:hAnsi="Arial" w:cs="Arial"/>
          <w:spacing w:val="4"/>
          <w:sz w:val="24"/>
          <w:szCs w:val="24"/>
        </w:rPr>
        <w:lastRenderedPageBreak/>
        <w:t xml:space="preserve">Así pues, </w:t>
      </w:r>
      <w:r w:rsidR="009B2B76" w:rsidRPr="008620C8">
        <w:rPr>
          <w:rFonts w:ascii="Arial" w:hAnsi="Arial" w:cs="Arial"/>
          <w:spacing w:val="4"/>
          <w:sz w:val="24"/>
          <w:szCs w:val="24"/>
        </w:rPr>
        <w:t xml:space="preserve">para </w:t>
      </w:r>
      <w:r w:rsidR="1AEDDF95" w:rsidRPr="008620C8">
        <w:rPr>
          <w:rFonts w:ascii="Arial" w:hAnsi="Arial" w:cs="Arial"/>
          <w:spacing w:val="4"/>
          <w:sz w:val="24"/>
          <w:szCs w:val="24"/>
        </w:rPr>
        <w:t xml:space="preserve">que </w:t>
      </w:r>
      <w:r w:rsidR="006571BD" w:rsidRPr="008620C8">
        <w:rPr>
          <w:rFonts w:ascii="Arial" w:hAnsi="Arial" w:cs="Arial"/>
          <w:spacing w:val="4"/>
          <w:sz w:val="24"/>
          <w:szCs w:val="24"/>
        </w:rPr>
        <w:t xml:space="preserve">el emplazamiento se realice válidamente, es preciso cumplir con dos actividades en relación con el Registro Nacional de Personas Emplazadas. </w:t>
      </w:r>
      <w:r w:rsidR="006571BD" w:rsidRPr="008620C8">
        <w:rPr>
          <w:rFonts w:ascii="Arial" w:hAnsi="Arial" w:cs="Arial"/>
          <w:i/>
          <w:iCs/>
          <w:spacing w:val="4"/>
          <w:sz w:val="24"/>
          <w:szCs w:val="24"/>
        </w:rPr>
        <w:t>La primera</w:t>
      </w:r>
      <w:r w:rsidR="006571BD" w:rsidRPr="008620C8">
        <w:rPr>
          <w:rFonts w:ascii="Arial" w:hAnsi="Arial" w:cs="Arial"/>
          <w:spacing w:val="4"/>
          <w:sz w:val="24"/>
          <w:szCs w:val="24"/>
        </w:rPr>
        <w:t xml:space="preserve">, comunicar o incluir en el mismo </w:t>
      </w:r>
      <w:r w:rsidR="004237BB" w:rsidRPr="008620C8">
        <w:rPr>
          <w:rFonts w:ascii="Arial" w:hAnsi="Arial" w:cs="Arial"/>
          <w:spacing w:val="4"/>
          <w:sz w:val="24"/>
          <w:szCs w:val="24"/>
        </w:rPr>
        <w:t xml:space="preserve">(i) </w:t>
      </w:r>
      <w:r w:rsidR="006571BD" w:rsidRPr="008620C8">
        <w:rPr>
          <w:rFonts w:ascii="Arial" w:hAnsi="Arial" w:cs="Arial"/>
          <w:spacing w:val="4"/>
          <w:sz w:val="24"/>
          <w:szCs w:val="24"/>
        </w:rPr>
        <w:t xml:space="preserve">los datos </w:t>
      </w:r>
      <w:r w:rsidR="003F192E" w:rsidRPr="008620C8">
        <w:rPr>
          <w:rFonts w:ascii="Arial" w:hAnsi="Arial" w:cs="Arial"/>
          <w:spacing w:val="4"/>
          <w:sz w:val="24"/>
          <w:szCs w:val="24"/>
        </w:rPr>
        <w:t xml:space="preserve">(nombre e identificación) </w:t>
      </w:r>
      <w:r w:rsidR="006571BD" w:rsidRPr="008620C8">
        <w:rPr>
          <w:rFonts w:ascii="Arial" w:hAnsi="Arial" w:cs="Arial"/>
          <w:spacing w:val="4"/>
          <w:sz w:val="24"/>
          <w:szCs w:val="24"/>
        </w:rPr>
        <w:t>de las personas emplazadas</w:t>
      </w:r>
      <w:r w:rsidR="004237BB" w:rsidRPr="008620C8">
        <w:rPr>
          <w:rFonts w:ascii="Arial" w:hAnsi="Arial" w:cs="Arial"/>
          <w:spacing w:val="4"/>
          <w:sz w:val="24"/>
          <w:szCs w:val="24"/>
        </w:rPr>
        <w:t>; (ii) l</w:t>
      </w:r>
      <w:r w:rsidR="006571BD" w:rsidRPr="008620C8">
        <w:rPr>
          <w:rFonts w:ascii="Arial" w:hAnsi="Arial" w:cs="Arial"/>
          <w:spacing w:val="4"/>
          <w:sz w:val="24"/>
          <w:szCs w:val="24"/>
        </w:rPr>
        <w:t xml:space="preserve">os datos de las partes, </w:t>
      </w:r>
      <w:r w:rsidR="004237BB" w:rsidRPr="008620C8">
        <w:rPr>
          <w:rFonts w:ascii="Arial" w:hAnsi="Arial" w:cs="Arial"/>
          <w:spacing w:val="4"/>
          <w:sz w:val="24"/>
          <w:szCs w:val="24"/>
        </w:rPr>
        <w:t>que</w:t>
      </w:r>
      <w:r w:rsidR="0093683E" w:rsidRPr="008620C8">
        <w:rPr>
          <w:rFonts w:ascii="Arial" w:hAnsi="Arial" w:cs="Arial"/>
          <w:spacing w:val="4"/>
          <w:sz w:val="24"/>
          <w:szCs w:val="24"/>
        </w:rPr>
        <w:t>,</w:t>
      </w:r>
      <w:r w:rsidR="004237BB" w:rsidRPr="008620C8">
        <w:rPr>
          <w:rFonts w:ascii="Arial" w:hAnsi="Arial" w:cs="Arial"/>
          <w:spacing w:val="4"/>
          <w:sz w:val="24"/>
          <w:szCs w:val="24"/>
        </w:rPr>
        <w:t xml:space="preserve"> de </w:t>
      </w:r>
      <w:r w:rsidR="006571BD" w:rsidRPr="008620C8">
        <w:rPr>
          <w:rFonts w:ascii="Arial" w:hAnsi="Arial" w:cs="Arial"/>
          <w:spacing w:val="4"/>
          <w:sz w:val="24"/>
          <w:szCs w:val="24"/>
        </w:rPr>
        <w:t>ser plurales</w:t>
      </w:r>
      <w:r w:rsidR="004237BB" w:rsidRPr="008620C8">
        <w:rPr>
          <w:rFonts w:ascii="Arial" w:hAnsi="Arial" w:cs="Arial"/>
          <w:spacing w:val="4"/>
          <w:sz w:val="24"/>
          <w:szCs w:val="24"/>
        </w:rPr>
        <w:t>,</w:t>
      </w:r>
      <w:r w:rsidR="006571BD" w:rsidRPr="008620C8">
        <w:rPr>
          <w:rFonts w:ascii="Arial" w:hAnsi="Arial" w:cs="Arial"/>
          <w:spacing w:val="4"/>
          <w:sz w:val="24"/>
          <w:szCs w:val="24"/>
        </w:rPr>
        <w:t xml:space="preserve"> lógicamente debe</w:t>
      </w:r>
      <w:r w:rsidR="004237BB" w:rsidRPr="008620C8">
        <w:rPr>
          <w:rFonts w:ascii="Arial" w:hAnsi="Arial" w:cs="Arial"/>
          <w:spacing w:val="4"/>
          <w:sz w:val="24"/>
          <w:szCs w:val="24"/>
        </w:rPr>
        <w:t>n</w:t>
      </w:r>
      <w:r w:rsidR="006571BD" w:rsidRPr="008620C8">
        <w:rPr>
          <w:rFonts w:ascii="Arial" w:hAnsi="Arial" w:cs="Arial"/>
          <w:spacing w:val="4"/>
          <w:sz w:val="24"/>
          <w:szCs w:val="24"/>
        </w:rPr>
        <w:t xml:space="preserve"> incluir a todos los sujetos que las integran;</w:t>
      </w:r>
      <w:r w:rsidR="004237BB" w:rsidRPr="008620C8">
        <w:rPr>
          <w:rFonts w:ascii="Arial" w:hAnsi="Arial" w:cs="Arial"/>
          <w:spacing w:val="4"/>
          <w:sz w:val="24"/>
          <w:szCs w:val="24"/>
        </w:rPr>
        <w:t xml:space="preserve"> (iii)</w:t>
      </w:r>
      <w:r w:rsidR="006571BD" w:rsidRPr="008620C8">
        <w:rPr>
          <w:rFonts w:ascii="Arial" w:hAnsi="Arial" w:cs="Arial"/>
          <w:spacing w:val="4"/>
          <w:sz w:val="24"/>
          <w:szCs w:val="24"/>
        </w:rPr>
        <w:t xml:space="preserve"> la naturaleza del proceso; y </w:t>
      </w:r>
      <w:r w:rsidR="004237BB" w:rsidRPr="008620C8">
        <w:rPr>
          <w:rFonts w:ascii="Arial" w:hAnsi="Arial" w:cs="Arial"/>
          <w:spacing w:val="4"/>
          <w:sz w:val="24"/>
          <w:szCs w:val="24"/>
        </w:rPr>
        <w:t xml:space="preserve">(iv) </w:t>
      </w:r>
      <w:r w:rsidR="006571BD" w:rsidRPr="008620C8">
        <w:rPr>
          <w:rFonts w:ascii="Arial" w:hAnsi="Arial" w:cs="Arial"/>
          <w:spacing w:val="4"/>
          <w:sz w:val="24"/>
          <w:szCs w:val="24"/>
        </w:rPr>
        <w:t xml:space="preserve">el juzgado que requiere a quienes se emplaza.  </w:t>
      </w:r>
      <w:r w:rsidR="006571BD" w:rsidRPr="008620C8">
        <w:rPr>
          <w:rFonts w:ascii="Arial" w:hAnsi="Arial" w:cs="Arial"/>
          <w:i/>
          <w:iCs/>
          <w:spacing w:val="4"/>
          <w:sz w:val="24"/>
          <w:szCs w:val="24"/>
        </w:rPr>
        <w:t>La segunda</w:t>
      </w:r>
      <w:r w:rsidR="006571BD" w:rsidRPr="008620C8">
        <w:rPr>
          <w:rFonts w:ascii="Arial" w:hAnsi="Arial" w:cs="Arial"/>
          <w:spacing w:val="4"/>
          <w:sz w:val="24"/>
          <w:szCs w:val="24"/>
        </w:rPr>
        <w:t xml:space="preserve">, publicar o si se quiere, hacer de conocimiento </w:t>
      </w:r>
      <w:r w:rsidR="003F192E" w:rsidRPr="008620C8">
        <w:rPr>
          <w:rFonts w:ascii="Arial" w:hAnsi="Arial" w:cs="Arial"/>
          <w:spacing w:val="4"/>
          <w:sz w:val="24"/>
          <w:szCs w:val="24"/>
        </w:rPr>
        <w:t xml:space="preserve">público </w:t>
      </w:r>
      <w:r w:rsidR="006571BD" w:rsidRPr="008620C8">
        <w:rPr>
          <w:rFonts w:ascii="Arial" w:hAnsi="Arial" w:cs="Arial"/>
          <w:spacing w:val="4"/>
          <w:sz w:val="24"/>
          <w:szCs w:val="24"/>
        </w:rPr>
        <w:t>dicha informació</w:t>
      </w:r>
      <w:r w:rsidR="003F192E" w:rsidRPr="008620C8">
        <w:rPr>
          <w:rFonts w:ascii="Arial" w:hAnsi="Arial" w:cs="Arial"/>
          <w:spacing w:val="4"/>
          <w:sz w:val="24"/>
          <w:szCs w:val="24"/>
        </w:rPr>
        <w:t>n</w:t>
      </w:r>
      <w:r w:rsidR="006571BD" w:rsidRPr="008620C8">
        <w:rPr>
          <w:rFonts w:ascii="Arial" w:hAnsi="Arial" w:cs="Arial"/>
          <w:spacing w:val="4"/>
          <w:sz w:val="24"/>
          <w:szCs w:val="24"/>
        </w:rPr>
        <w:t xml:space="preserve">. </w:t>
      </w:r>
    </w:p>
    <w:p w14:paraId="07A7F207" w14:textId="0BE4474A" w:rsidR="003F192E" w:rsidRPr="008620C8" w:rsidRDefault="003F192E" w:rsidP="002C3E64">
      <w:pPr>
        <w:spacing w:line="276" w:lineRule="auto"/>
        <w:jc w:val="both"/>
        <w:rPr>
          <w:rFonts w:ascii="Arial" w:hAnsi="Arial" w:cs="Arial"/>
          <w:spacing w:val="4"/>
          <w:sz w:val="24"/>
          <w:szCs w:val="24"/>
        </w:rPr>
      </w:pPr>
    </w:p>
    <w:p w14:paraId="1A0AA631" w14:textId="762F79F2" w:rsidR="008857DA" w:rsidRPr="008620C8" w:rsidRDefault="009700D7" w:rsidP="002C3E64">
      <w:pPr>
        <w:spacing w:line="276" w:lineRule="auto"/>
        <w:jc w:val="both"/>
        <w:rPr>
          <w:rFonts w:ascii="Arial" w:hAnsi="Arial" w:cs="Arial"/>
          <w:spacing w:val="4"/>
          <w:sz w:val="24"/>
          <w:szCs w:val="24"/>
        </w:rPr>
      </w:pPr>
      <w:r w:rsidRPr="008620C8">
        <w:rPr>
          <w:rFonts w:ascii="Arial" w:hAnsi="Arial" w:cs="Arial"/>
          <w:spacing w:val="4"/>
          <w:sz w:val="24"/>
          <w:szCs w:val="24"/>
        </w:rPr>
        <w:t>De l</w:t>
      </w:r>
      <w:r w:rsidR="004237BB" w:rsidRPr="008620C8">
        <w:rPr>
          <w:rFonts w:ascii="Arial" w:hAnsi="Arial" w:cs="Arial"/>
          <w:spacing w:val="4"/>
          <w:sz w:val="24"/>
          <w:szCs w:val="24"/>
        </w:rPr>
        <w:t>a primera de las anteriores actividades,</w:t>
      </w:r>
      <w:r w:rsidRPr="008620C8">
        <w:rPr>
          <w:rFonts w:ascii="Arial" w:hAnsi="Arial" w:cs="Arial"/>
          <w:spacing w:val="4"/>
          <w:sz w:val="24"/>
          <w:szCs w:val="24"/>
        </w:rPr>
        <w:t xml:space="preserve"> se observa en la copia impresa del registro obrante a folio 180, que si bien se incluyeron los nombres de las personas que están determinadas en el proceso, demandante y demandado, no se involucró como tal a los herederos indeterminados del señor Alberto Buriticá Salgado, quien</w:t>
      </w:r>
      <w:r w:rsidR="00340AFC" w:rsidRPr="008620C8">
        <w:rPr>
          <w:rFonts w:ascii="Arial" w:hAnsi="Arial" w:cs="Arial"/>
          <w:spacing w:val="4"/>
          <w:sz w:val="24"/>
          <w:szCs w:val="24"/>
        </w:rPr>
        <w:t>es</w:t>
      </w:r>
      <w:r w:rsidRPr="008620C8">
        <w:rPr>
          <w:rFonts w:ascii="Arial" w:hAnsi="Arial" w:cs="Arial"/>
          <w:spacing w:val="4"/>
          <w:sz w:val="24"/>
          <w:szCs w:val="24"/>
        </w:rPr>
        <w:t xml:space="preserve"> debían ser emplazados dentro del trámite. Aunado a ello, </w:t>
      </w:r>
      <w:r w:rsidR="004237BB" w:rsidRPr="008620C8">
        <w:rPr>
          <w:rFonts w:ascii="Arial" w:hAnsi="Arial" w:cs="Arial"/>
          <w:spacing w:val="4"/>
          <w:sz w:val="24"/>
          <w:szCs w:val="24"/>
        </w:rPr>
        <w:t xml:space="preserve">este mismo documento da cuenta que la segunda labor </w:t>
      </w:r>
      <w:r w:rsidRPr="008620C8">
        <w:rPr>
          <w:rFonts w:ascii="Arial" w:hAnsi="Arial" w:cs="Arial"/>
          <w:spacing w:val="4"/>
          <w:sz w:val="24"/>
          <w:szCs w:val="24"/>
        </w:rPr>
        <w:t xml:space="preserve">tampoco </w:t>
      </w:r>
      <w:r w:rsidR="004237BB" w:rsidRPr="008620C8">
        <w:rPr>
          <w:rFonts w:ascii="Arial" w:hAnsi="Arial" w:cs="Arial"/>
          <w:spacing w:val="4"/>
          <w:sz w:val="24"/>
          <w:szCs w:val="24"/>
        </w:rPr>
        <w:t>se cumplió, en razón a que se marcó</w:t>
      </w:r>
      <w:r w:rsidRPr="008620C8">
        <w:rPr>
          <w:rFonts w:ascii="Arial" w:hAnsi="Arial" w:cs="Arial"/>
          <w:spacing w:val="4"/>
          <w:sz w:val="24"/>
          <w:szCs w:val="24"/>
        </w:rPr>
        <w:t xml:space="preserve"> el registro </w:t>
      </w:r>
      <w:r w:rsidR="004237BB" w:rsidRPr="008620C8">
        <w:rPr>
          <w:rFonts w:ascii="Arial" w:hAnsi="Arial" w:cs="Arial"/>
          <w:spacing w:val="4"/>
          <w:sz w:val="24"/>
          <w:szCs w:val="24"/>
        </w:rPr>
        <w:t xml:space="preserve">como </w:t>
      </w:r>
      <w:r w:rsidR="004237BB" w:rsidRPr="008620C8">
        <w:rPr>
          <w:rFonts w:ascii="Arial" w:hAnsi="Arial" w:cs="Arial"/>
          <w:i/>
          <w:iCs/>
          <w:spacing w:val="4"/>
          <w:sz w:val="24"/>
          <w:szCs w:val="24"/>
        </w:rPr>
        <w:t>“privado”</w:t>
      </w:r>
      <w:r w:rsidRPr="008620C8">
        <w:rPr>
          <w:rFonts w:ascii="Arial" w:hAnsi="Arial" w:cs="Arial"/>
          <w:i/>
          <w:iCs/>
          <w:spacing w:val="4"/>
          <w:sz w:val="24"/>
          <w:szCs w:val="24"/>
        </w:rPr>
        <w:t xml:space="preserve">, </w:t>
      </w:r>
      <w:r w:rsidRPr="008620C8">
        <w:rPr>
          <w:rFonts w:ascii="Arial" w:hAnsi="Arial" w:cs="Arial"/>
          <w:iCs/>
          <w:spacing w:val="4"/>
          <w:sz w:val="24"/>
          <w:szCs w:val="24"/>
        </w:rPr>
        <w:t xml:space="preserve">cerrándose con ello </w:t>
      </w:r>
      <w:r w:rsidR="004237BB" w:rsidRPr="008620C8">
        <w:rPr>
          <w:rFonts w:ascii="Arial" w:hAnsi="Arial" w:cs="Arial"/>
          <w:spacing w:val="4"/>
          <w:sz w:val="24"/>
          <w:szCs w:val="24"/>
        </w:rPr>
        <w:t xml:space="preserve">cualquier posibilidad de </w:t>
      </w:r>
      <w:r w:rsidR="00DE2577" w:rsidRPr="008620C8">
        <w:rPr>
          <w:rFonts w:ascii="Arial" w:hAnsi="Arial" w:cs="Arial"/>
          <w:spacing w:val="4"/>
          <w:sz w:val="24"/>
          <w:szCs w:val="24"/>
        </w:rPr>
        <w:t xml:space="preserve">alcanzar la publicidad que se necesita </w:t>
      </w:r>
      <w:r w:rsidR="00902321" w:rsidRPr="008620C8">
        <w:rPr>
          <w:rFonts w:ascii="Arial" w:hAnsi="Arial" w:cs="Arial"/>
          <w:spacing w:val="4"/>
          <w:sz w:val="24"/>
          <w:szCs w:val="24"/>
        </w:rPr>
        <w:t xml:space="preserve">pues, </w:t>
      </w:r>
      <w:r w:rsidRPr="008620C8">
        <w:rPr>
          <w:rFonts w:ascii="Arial" w:hAnsi="Arial" w:cs="Arial"/>
          <w:spacing w:val="4"/>
          <w:sz w:val="24"/>
          <w:szCs w:val="24"/>
        </w:rPr>
        <w:t>como se constata en la verificación de l</w:t>
      </w:r>
      <w:r w:rsidR="008857DA" w:rsidRPr="008620C8">
        <w:rPr>
          <w:rFonts w:ascii="Arial" w:hAnsi="Arial" w:cs="Arial"/>
          <w:spacing w:val="4"/>
          <w:sz w:val="24"/>
          <w:szCs w:val="24"/>
        </w:rPr>
        <w:t xml:space="preserve">os registros correspondientes en la </w:t>
      </w:r>
      <w:r w:rsidR="00DE2577" w:rsidRPr="008620C8">
        <w:rPr>
          <w:rFonts w:ascii="Arial" w:hAnsi="Arial" w:cs="Arial"/>
          <w:spacing w:val="4"/>
          <w:sz w:val="24"/>
          <w:szCs w:val="24"/>
        </w:rPr>
        <w:t>portal web establecido para ese propósito</w:t>
      </w:r>
      <w:r w:rsidR="00DE2577" w:rsidRPr="008620C8">
        <w:rPr>
          <w:rStyle w:val="Refdenotaalpie"/>
          <w:rFonts w:ascii="Arial" w:hAnsi="Arial" w:cs="Arial"/>
          <w:spacing w:val="4"/>
          <w:sz w:val="24"/>
          <w:szCs w:val="24"/>
        </w:rPr>
        <w:footnoteReference w:id="1"/>
      </w:r>
      <w:r w:rsidR="00DE2577" w:rsidRPr="008620C8">
        <w:rPr>
          <w:rFonts w:ascii="Arial" w:hAnsi="Arial" w:cs="Arial"/>
          <w:spacing w:val="4"/>
          <w:sz w:val="24"/>
          <w:szCs w:val="24"/>
        </w:rPr>
        <w:t xml:space="preserve">, </w:t>
      </w:r>
      <w:r w:rsidRPr="008620C8">
        <w:rPr>
          <w:rFonts w:ascii="Arial" w:hAnsi="Arial" w:cs="Arial"/>
          <w:spacing w:val="4"/>
          <w:sz w:val="24"/>
          <w:szCs w:val="24"/>
        </w:rPr>
        <w:t xml:space="preserve">pues </w:t>
      </w:r>
      <w:r w:rsidR="008857DA" w:rsidRPr="008620C8">
        <w:rPr>
          <w:rFonts w:ascii="Arial" w:hAnsi="Arial" w:cs="Arial"/>
          <w:spacing w:val="4"/>
          <w:sz w:val="24"/>
          <w:szCs w:val="24"/>
        </w:rPr>
        <w:t xml:space="preserve">se observa que la información incluida por el despacho no es consultable, como quiera que al plasmar los números de identificación </w:t>
      </w:r>
      <w:r w:rsidR="00DE2577" w:rsidRPr="008620C8">
        <w:rPr>
          <w:rFonts w:ascii="Arial" w:hAnsi="Arial" w:cs="Arial"/>
          <w:spacing w:val="4"/>
          <w:sz w:val="24"/>
          <w:szCs w:val="24"/>
        </w:rPr>
        <w:t>del proceso</w:t>
      </w:r>
      <w:r w:rsidR="008857DA" w:rsidRPr="008620C8">
        <w:rPr>
          <w:rFonts w:ascii="Arial" w:hAnsi="Arial" w:cs="Arial"/>
          <w:spacing w:val="4"/>
          <w:sz w:val="24"/>
          <w:szCs w:val="24"/>
        </w:rPr>
        <w:t>, la página arroja como resultado que “</w:t>
      </w:r>
      <w:r w:rsidR="008857DA" w:rsidRPr="008620C8">
        <w:rPr>
          <w:rFonts w:ascii="Arial" w:hAnsi="Arial" w:cs="Arial"/>
          <w:spacing w:val="4"/>
          <w:sz w:val="22"/>
          <w:szCs w:val="24"/>
        </w:rPr>
        <w:t>Se visualizan proceso(s) no disponible(s) para consulta, diríjase al despacho judicial correspondiente</w:t>
      </w:r>
      <w:r w:rsidR="008857DA" w:rsidRPr="008620C8">
        <w:rPr>
          <w:rFonts w:ascii="Arial" w:hAnsi="Arial" w:cs="Arial"/>
          <w:spacing w:val="4"/>
          <w:sz w:val="24"/>
          <w:szCs w:val="24"/>
        </w:rPr>
        <w:t>”.</w:t>
      </w:r>
    </w:p>
    <w:p w14:paraId="12822623" w14:textId="77777777" w:rsidR="002C3E64" w:rsidRPr="008620C8" w:rsidRDefault="002C3E64" w:rsidP="002C3E64">
      <w:pPr>
        <w:spacing w:line="276" w:lineRule="auto"/>
        <w:jc w:val="both"/>
        <w:rPr>
          <w:rFonts w:ascii="Arial" w:hAnsi="Arial" w:cs="Arial"/>
          <w:spacing w:val="4"/>
          <w:sz w:val="24"/>
          <w:szCs w:val="24"/>
        </w:rPr>
      </w:pPr>
    </w:p>
    <w:p w14:paraId="34049298" w14:textId="09F2AE98" w:rsidR="00902321" w:rsidRPr="008620C8" w:rsidRDefault="008857DA" w:rsidP="002C3E64">
      <w:pPr>
        <w:pStyle w:val="Textoindependiente"/>
        <w:spacing w:line="276" w:lineRule="auto"/>
        <w:rPr>
          <w:rFonts w:cs="Arial"/>
          <w:spacing w:val="4"/>
          <w:sz w:val="24"/>
          <w:szCs w:val="24"/>
          <w:lang w:val="es-CO"/>
        </w:rPr>
      </w:pPr>
      <w:r w:rsidRPr="008620C8">
        <w:rPr>
          <w:rFonts w:cs="Arial"/>
          <w:spacing w:val="4"/>
          <w:sz w:val="24"/>
          <w:szCs w:val="24"/>
          <w:lang w:val="es-CO"/>
        </w:rPr>
        <w:t xml:space="preserve">En las condiciones expuestas, se concluye que el </w:t>
      </w:r>
      <w:r w:rsidRPr="008620C8">
        <w:rPr>
          <w:rFonts w:cs="Arial"/>
          <w:i/>
          <w:spacing w:val="4"/>
          <w:sz w:val="24"/>
          <w:szCs w:val="24"/>
          <w:lang w:val="es-CO"/>
        </w:rPr>
        <w:t>a</w:t>
      </w:r>
      <w:r w:rsidR="009700D7" w:rsidRPr="008620C8">
        <w:rPr>
          <w:rFonts w:cs="Arial"/>
          <w:i/>
          <w:spacing w:val="4"/>
          <w:sz w:val="24"/>
          <w:szCs w:val="24"/>
          <w:lang w:val="es-CO"/>
        </w:rPr>
        <w:t>-</w:t>
      </w:r>
      <w:r w:rsidRPr="008620C8">
        <w:rPr>
          <w:rFonts w:cs="Arial"/>
          <w:i/>
          <w:spacing w:val="4"/>
          <w:sz w:val="24"/>
          <w:szCs w:val="24"/>
          <w:lang w:val="es-CO"/>
        </w:rPr>
        <w:t>quo</w:t>
      </w:r>
      <w:r w:rsidRPr="008620C8">
        <w:rPr>
          <w:rFonts w:cs="Arial"/>
          <w:spacing w:val="4"/>
          <w:sz w:val="24"/>
          <w:szCs w:val="24"/>
          <w:lang w:val="es-CO"/>
        </w:rPr>
        <w:t xml:space="preserve"> incurrió en un error en el trámite de publicación de los registros correspondientes, </w:t>
      </w:r>
      <w:r w:rsidR="00DE2577" w:rsidRPr="008620C8">
        <w:rPr>
          <w:rFonts w:cs="Arial"/>
          <w:spacing w:val="4"/>
          <w:sz w:val="24"/>
          <w:szCs w:val="24"/>
          <w:lang w:val="es-CO"/>
        </w:rPr>
        <w:t xml:space="preserve">al activarlo como privado </w:t>
      </w:r>
      <w:r w:rsidR="00902321" w:rsidRPr="008620C8">
        <w:rPr>
          <w:rFonts w:cs="Arial"/>
          <w:spacing w:val="4"/>
          <w:sz w:val="24"/>
          <w:szCs w:val="24"/>
          <w:lang w:val="es-CO"/>
        </w:rPr>
        <w:t xml:space="preserve">y no cumplir con la publicidad, por no hacer consultable el proceso. </w:t>
      </w:r>
    </w:p>
    <w:p w14:paraId="6607F2F7" w14:textId="77777777" w:rsidR="00902321" w:rsidRPr="008620C8" w:rsidRDefault="00902321" w:rsidP="002C3E64">
      <w:pPr>
        <w:pStyle w:val="Textoindependiente"/>
        <w:spacing w:line="276" w:lineRule="auto"/>
        <w:rPr>
          <w:rFonts w:cs="Arial"/>
          <w:spacing w:val="4"/>
          <w:sz w:val="24"/>
          <w:szCs w:val="24"/>
          <w:lang w:val="es-CO"/>
        </w:rPr>
      </w:pPr>
    </w:p>
    <w:p w14:paraId="34EE6E79" w14:textId="4ACF2123" w:rsidR="0048590D" w:rsidRPr="008620C8" w:rsidRDefault="00902321" w:rsidP="002C3E64">
      <w:pPr>
        <w:spacing w:line="276" w:lineRule="auto"/>
        <w:jc w:val="both"/>
        <w:rPr>
          <w:rFonts w:ascii="Arial" w:hAnsi="Arial" w:cs="Arial"/>
          <w:spacing w:val="4"/>
          <w:sz w:val="24"/>
          <w:szCs w:val="24"/>
        </w:rPr>
      </w:pPr>
      <w:r w:rsidRPr="008620C8">
        <w:rPr>
          <w:rFonts w:ascii="Arial" w:hAnsi="Arial" w:cs="Arial"/>
          <w:spacing w:val="4"/>
          <w:sz w:val="24"/>
          <w:szCs w:val="24"/>
        </w:rPr>
        <w:t>Así las cosas</w:t>
      </w:r>
      <w:r w:rsidR="002501AC" w:rsidRPr="008620C8">
        <w:rPr>
          <w:rFonts w:ascii="Arial" w:hAnsi="Arial" w:cs="Arial"/>
          <w:spacing w:val="4"/>
          <w:sz w:val="24"/>
          <w:szCs w:val="24"/>
        </w:rPr>
        <w:t>, debe tenerse en cuenta</w:t>
      </w:r>
      <w:r w:rsidR="00824DC6" w:rsidRPr="008620C8">
        <w:rPr>
          <w:rFonts w:ascii="Arial" w:hAnsi="Arial" w:cs="Arial"/>
          <w:spacing w:val="4"/>
          <w:sz w:val="24"/>
          <w:szCs w:val="24"/>
        </w:rPr>
        <w:t xml:space="preserve"> que</w:t>
      </w:r>
      <w:r w:rsidR="0048590D" w:rsidRPr="008620C8">
        <w:rPr>
          <w:rFonts w:ascii="Arial" w:hAnsi="Arial" w:cs="Arial"/>
          <w:spacing w:val="4"/>
          <w:sz w:val="24"/>
          <w:szCs w:val="24"/>
        </w:rPr>
        <w:t xml:space="preserve"> el artículo </w:t>
      </w:r>
      <w:r w:rsidR="007D7BA7" w:rsidRPr="008620C8">
        <w:rPr>
          <w:rFonts w:ascii="Arial" w:hAnsi="Arial" w:cs="Arial"/>
          <w:spacing w:val="4"/>
          <w:sz w:val="24"/>
          <w:szCs w:val="24"/>
        </w:rPr>
        <w:t>133</w:t>
      </w:r>
      <w:r w:rsidR="0048590D" w:rsidRPr="008620C8">
        <w:rPr>
          <w:rFonts w:ascii="Arial" w:hAnsi="Arial" w:cs="Arial"/>
          <w:spacing w:val="4"/>
          <w:sz w:val="24"/>
          <w:szCs w:val="24"/>
        </w:rPr>
        <w:t xml:space="preserve"> del </w:t>
      </w:r>
      <w:r w:rsidR="007D7BA7" w:rsidRPr="008620C8">
        <w:rPr>
          <w:rFonts w:ascii="Arial" w:hAnsi="Arial" w:cs="Arial"/>
          <w:spacing w:val="4"/>
          <w:sz w:val="24"/>
          <w:szCs w:val="24"/>
        </w:rPr>
        <w:t>Código General del Proceso</w:t>
      </w:r>
      <w:r w:rsidR="0048590D" w:rsidRPr="008620C8">
        <w:rPr>
          <w:rFonts w:ascii="Arial" w:hAnsi="Arial" w:cs="Arial"/>
          <w:spacing w:val="4"/>
          <w:sz w:val="24"/>
          <w:szCs w:val="24"/>
        </w:rPr>
        <w:t>, aplicable en materia laboral por expresa remisión del artículo 145 del Código Procesal del Trabajo y de la Seguridad Social</w:t>
      </w:r>
      <w:r w:rsidR="007D7BA7" w:rsidRPr="008620C8">
        <w:rPr>
          <w:rFonts w:ascii="Arial" w:hAnsi="Arial" w:cs="Arial"/>
          <w:spacing w:val="4"/>
          <w:sz w:val="24"/>
          <w:szCs w:val="24"/>
        </w:rPr>
        <w:t xml:space="preserve"> en concordancia con el artículo 1º del primer estatuto,</w:t>
      </w:r>
      <w:r w:rsidR="006D5D6D" w:rsidRPr="008620C8">
        <w:rPr>
          <w:rFonts w:ascii="Arial" w:hAnsi="Arial" w:cs="Arial"/>
          <w:spacing w:val="4"/>
          <w:sz w:val="24"/>
          <w:szCs w:val="24"/>
        </w:rPr>
        <w:t xml:space="preserve"> </w:t>
      </w:r>
      <w:r w:rsidR="0048590D" w:rsidRPr="008620C8">
        <w:rPr>
          <w:rFonts w:ascii="Arial" w:hAnsi="Arial" w:cs="Arial"/>
          <w:spacing w:val="4"/>
          <w:sz w:val="24"/>
          <w:szCs w:val="24"/>
        </w:rPr>
        <w:t>preceptúa en su numeral 8:</w:t>
      </w:r>
    </w:p>
    <w:p w14:paraId="5A39BBE3" w14:textId="77777777" w:rsidR="0048590D" w:rsidRPr="008620C8" w:rsidRDefault="0048590D" w:rsidP="002C3E64">
      <w:pPr>
        <w:spacing w:line="276" w:lineRule="auto"/>
        <w:ind w:left="1418"/>
        <w:jc w:val="both"/>
        <w:rPr>
          <w:rFonts w:ascii="Arial" w:hAnsi="Arial" w:cs="Arial"/>
          <w:spacing w:val="4"/>
          <w:sz w:val="24"/>
          <w:szCs w:val="24"/>
        </w:rPr>
      </w:pPr>
    </w:p>
    <w:p w14:paraId="0803E10C" w14:textId="77777777" w:rsidR="0048590D" w:rsidRPr="008620C8" w:rsidRDefault="0048590D" w:rsidP="002C3E64">
      <w:pPr>
        <w:ind w:left="426" w:right="420"/>
        <w:jc w:val="both"/>
        <w:rPr>
          <w:rFonts w:ascii="Arial" w:hAnsi="Arial" w:cs="Arial"/>
          <w:i/>
          <w:spacing w:val="4"/>
          <w:sz w:val="22"/>
          <w:szCs w:val="24"/>
        </w:rPr>
      </w:pPr>
      <w:r w:rsidRPr="008620C8">
        <w:rPr>
          <w:rFonts w:ascii="Arial" w:hAnsi="Arial" w:cs="Arial"/>
          <w:i/>
          <w:spacing w:val="4"/>
          <w:sz w:val="22"/>
          <w:szCs w:val="24"/>
        </w:rPr>
        <w:t>“El proceso es nulo en todo o en parte, sol</w:t>
      </w:r>
      <w:r w:rsidR="00785045" w:rsidRPr="008620C8">
        <w:rPr>
          <w:rFonts w:ascii="Arial" w:hAnsi="Arial" w:cs="Arial"/>
          <w:i/>
          <w:spacing w:val="4"/>
          <w:sz w:val="22"/>
          <w:szCs w:val="24"/>
        </w:rPr>
        <w:t>amente en los siguientes casos:</w:t>
      </w:r>
    </w:p>
    <w:p w14:paraId="41C8F396" w14:textId="77777777" w:rsidR="0048590D" w:rsidRPr="008620C8" w:rsidRDefault="0048590D" w:rsidP="002C3E64">
      <w:pPr>
        <w:ind w:left="426" w:right="420"/>
        <w:jc w:val="both"/>
        <w:rPr>
          <w:rFonts w:ascii="Arial" w:hAnsi="Arial" w:cs="Arial"/>
          <w:i/>
          <w:spacing w:val="4"/>
          <w:sz w:val="22"/>
          <w:szCs w:val="24"/>
        </w:rPr>
      </w:pPr>
    </w:p>
    <w:p w14:paraId="72A3D3EC" w14:textId="43D5E2B1" w:rsidR="0048590D" w:rsidRPr="008620C8" w:rsidRDefault="0048590D" w:rsidP="002C3E64">
      <w:pPr>
        <w:ind w:left="426" w:right="420"/>
        <w:jc w:val="both"/>
        <w:rPr>
          <w:rFonts w:ascii="Arial" w:hAnsi="Arial" w:cs="Arial"/>
          <w:i/>
          <w:spacing w:val="4"/>
          <w:sz w:val="22"/>
          <w:szCs w:val="24"/>
        </w:rPr>
      </w:pPr>
      <w:r w:rsidRPr="008620C8">
        <w:rPr>
          <w:rFonts w:ascii="Arial" w:hAnsi="Arial" w:cs="Arial"/>
          <w:i/>
          <w:spacing w:val="4"/>
          <w:sz w:val="22"/>
          <w:szCs w:val="24"/>
        </w:rPr>
        <w:t xml:space="preserve">“8. </w:t>
      </w:r>
      <w:r w:rsidR="007D7BA7" w:rsidRPr="008620C8">
        <w:rPr>
          <w:rFonts w:ascii="Arial" w:hAnsi="Arial" w:cs="Arial"/>
          <w:i/>
          <w:spacing w:val="4"/>
          <w:sz w:val="22"/>
          <w:szCs w:val="24"/>
        </w:rPr>
        <w:t xml:space="preserve">Cuando no se practica en legal forma la notificación del auto admisorio de la demanda a personas determinadas, o el emplazamiento de las demás </w:t>
      </w:r>
      <w:r w:rsidR="009700D7" w:rsidRPr="008620C8">
        <w:rPr>
          <w:rFonts w:ascii="Arial" w:hAnsi="Arial" w:cs="Arial"/>
          <w:i/>
          <w:spacing w:val="4"/>
          <w:sz w:val="22"/>
          <w:szCs w:val="24"/>
        </w:rPr>
        <w:t>personas,</w:t>
      </w:r>
      <w:r w:rsidR="007D7BA7" w:rsidRPr="008620C8">
        <w:rPr>
          <w:rFonts w:ascii="Arial" w:hAnsi="Arial" w:cs="Arial"/>
          <w:i/>
          <w:spacing w:val="4"/>
          <w:sz w:val="22"/>
          <w:szCs w:val="24"/>
        </w:rPr>
        <w:t xml:space="preserve"> aunque sean indeterminadas, que deban ser citadas como partes, o de aquellas que deban suceder en el proceso a cualquiera de las partes, cuando la ley así lo ordena</w:t>
      </w:r>
      <w:r w:rsidRPr="008620C8">
        <w:rPr>
          <w:rFonts w:ascii="Arial" w:hAnsi="Arial" w:cs="Arial"/>
          <w:i/>
          <w:spacing w:val="4"/>
          <w:sz w:val="22"/>
          <w:szCs w:val="24"/>
        </w:rPr>
        <w:t>…”.</w:t>
      </w:r>
    </w:p>
    <w:p w14:paraId="0D0B940D" w14:textId="5DD42E22" w:rsidR="009E02E7" w:rsidRPr="008620C8" w:rsidRDefault="009E02E7" w:rsidP="002C3E64">
      <w:pPr>
        <w:spacing w:line="276" w:lineRule="auto"/>
        <w:jc w:val="both"/>
        <w:rPr>
          <w:rFonts w:ascii="Arial" w:hAnsi="Arial" w:cs="Arial"/>
          <w:spacing w:val="4"/>
          <w:sz w:val="24"/>
          <w:szCs w:val="24"/>
        </w:rPr>
      </w:pPr>
    </w:p>
    <w:p w14:paraId="4AA442E3" w14:textId="5312D1A3" w:rsidR="00902321" w:rsidRPr="008620C8" w:rsidRDefault="00902321"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En las condiciones expuestas puede concluirse sin lugar a mayores disquisiciones que </w:t>
      </w:r>
      <w:r w:rsidR="00DE2577" w:rsidRPr="008620C8">
        <w:rPr>
          <w:rFonts w:ascii="Arial" w:hAnsi="Arial" w:cs="Arial"/>
          <w:spacing w:val="4"/>
          <w:sz w:val="24"/>
          <w:szCs w:val="24"/>
        </w:rPr>
        <w:t xml:space="preserve">el </w:t>
      </w:r>
      <w:r w:rsidRPr="008620C8">
        <w:rPr>
          <w:rFonts w:ascii="Arial" w:hAnsi="Arial" w:cs="Arial"/>
          <w:spacing w:val="4"/>
          <w:sz w:val="24"/>
          <w:szCs w:val="24"/>
        </w:rPr>
        <w:t>emplazamiento de</w:t>
      </w:r>
      <w:r w:rsidR="00DE2577" w:rsidRPr="008620C8">
        <w:rPr>
          <w:rFonts w:ascii="Arial" w:hAnsi="Arial" w:cs="Arial"/>
          <w:spacing w:val="4"/>
          <w:sz w:val="24"/>
          <w:szCs w:val="24"/>
        </w:rPr>
        <w:t xml:space="preserve"> </w:t>
      </w:r>
      <w:r w:rsidR="009700D7" w:rsidRPr="008620C8">
        <w:rPr>
          <w:rFonts w:ascii="Arial" w:hAnsi="Arial" w:cs="Arial"/>
          <w:spacing w:val="4"/>
          <w:sz w:val="24"/>
          <w:szCs w:val="24"/>
        </w:rPr>
        <w:t>los herederos indeterminados del señor Alberto Buriticá Salgado, no f</w:t>
      </w:r>
      <w:r w:rsidRPr="008620C8">
        <w:rPr>
          <w:rFonts w:ascii="Arial" w:hAnsi="Arial" w:cs="Arial"/>
          <w:spacing w:val="4"/>
          <w:sz w:val="24"/>
          <w:szCs w:val="24"/>
        </w:rPr>
        <w:t xml:space="preserve">ue </w:t>
      </w:r>
      <w:r w:rsidR="00432356" w:rsidRPr="008620C8">
        <w:rPr>
          <w:rFonts w:ascii="Arial" w:hAnsi="Arial" w:cs="Arial"/>
          <w:spacing w:val="4"/>
          <w:sz w:val="24"/>
          <w:szCs w:val="24"/>
        </w:rPr>
        <w:t>practicad</w:t>
      </w:r>
      <w:r w:rsidR="00DE2577" w:rsidRPr="008620C8">
        <w:rPr>
          <w:rFonts w:ascii="Arial" w:hAnsi="Arial" w:cs="Arial"/>
          <w:spacing w:val="4"/>
          <w:sz w:val="24"/>
          <w:szCs w:val="24"/>
        </w:rPr>
        <w:t>o</w:t>
      </w:r>
      <w:r w:rsidRPr="008620C8">
        <w:rPr>
          <w:rFonts w:ascii="Arial" w:hAnsi="Arial" w:cs="Arial"/>
          <w:spacing w:val="4"/>
          <w:sz w:val="24"/>
          <w:szCs w:val="24"/>
        </w:rPr>
        <w:t xml:space="preserve"> </w:t>
      </w:r>
      <w:r w:rsidRPr="008620C8">
        <w:rPr>
          <w:rFonts w:ascii="Arial" w:hAnsi="Arial" w:cs="Arial"/>
          <w:i/>
          <w:iCs/>
          <w:spacing w:val="4"/>
          <w:sz w:val="24"/>
          <w:szCs w:val="24"/>
        </w:rPr>
        <w:t>en forma legal</w:t>
      </w:r>
      <w:r w:rsidR="15544A1F" w:rsidRPr="008620C8">
        <w:rPr>
          <w:rFonts w:ascii="Arial" w:hAnsi="Arial" w:cs="Arial"/>
          <w:i/>
          <w:iCs/>
          <w:spacing w:val="4"/>
          <w:sz w:val="24"/>
          <w:szCs w:val="24"/>
        </w:rPr>
        <w:t xml:space="preserve">, </w:t>
      </w:r>
      <w:r w:rsidR="15544A1F" w:rsidRPr="008620C8">
        <w:rPr>
          <w:rFonts w:ascii="Arial" w:hAnsi="Arial" w:cs="Arial"/>
          <w:spacing w:val="4"/>
          <w:sz w:val="24"/>
          <w:szCs w:val="24"/>
        </w:rPr>
        <w:t xml:space="preserve">toda vez que no se dio publicidad a la información incluida en el </w:t>
      </w:r>
      <w:r w:rsidR="58916C17" w:rsidRPr="008620C8">
        <w:rPr>
          <w:rFonts w:ascii="Arial" w:hAnsi="Arial" w:cs="Arial"/>
          <w:spacing w:val="4"/>
          <w:sz w:val="24"/>
          <w:szCs w:val="24"/>
        </w:rPr>
        <w:t>Registro Nacional de Personas Emplazadas</w:t>
      </w:r>
      <w:r w:rsidR="1C8FC868" w:rsidRPr="008620C8">
        <w:rPr>
          <w:rFonts w:ascii="Arial" w:hAnsi="Arial" w:cs="Arial"/>
          <w:spacing w:val="4"/>
          <w:sz w:val="24"/>
          <w:szCs w:val="24"/>
        </w:rPr>
        <w:t>,</w:t>
      </w:r>
      <w:r w:rsidR="663C2946" w:rsidRPr="008620C8">
        <w:rPr>
          <w:rFonts w:ascii="Arial" w:hAnsi="Arial" w:cs="Arial"/>
          <w:spacing w:val="4"/>
          <w:sz w:val="24"/>
          <w:szCs w:val="24"/>
        </w:rPr>
        <w:t xml:space="preserve"> instrumento</w:t>
      </w:r>
      <w:r w:rsidR="1C8FC868" w:rsidRPr="008620C8">
        <w:rPr>
          <w:rFonts w:ascii="Arial" w:hAnsi="Arial" w:cs="Arial"/>
          <w:spacing w:val="4"/>
          <w:sz w:val="24"/>
          <w:szCs w:val="24"/>
        </w:rPr>
        <w:t xml:space="preserve"> que</w:t>
      </w:r>
      <w:r w:rsidR="7DA2450C" w:rsidRPr="008620C8">
        <w:rPr>
          <w:rFonts w:ascii="Arial" w:hAnsi="Arial" w:cs="Arial"/>
          <w:spacing w:val="4"/>
          <w:sz w:val="24"/>
          <w:szCs w:val="24"/>
        </w:rPr>
        <w:t>,</w:t>
      </w:r>
      <w:r w:rsidR="1C8FC868" w:rsidRPr="008620C8">
        <w:rPr>
          <w:rFonts w:ascii="Arial" w:hAnsi="Arial" w:cs="Arial"/>
          <w:spacing w:val="4"/>
          <w:sz w:val="24"/>
          <w:szCs w:val="24"/>
        </w:rPr>
        <w:t xml:space="preserve"> dicho sea de paso, </w:t>
      </w:r>
      <w:r w:rsidR="043EB226" w:rsidRPr="008620C8">
        <w:rPr>
          <w:rFonts w:ascii="Arial" w:hAnsi="Arial" w:cs="Arial"/>
          <w:spacing w:val="4"/>
          <w:sz w:val="24"/>
          <w:szCs w:val="24"/>
        </w:rPr>
        <w:t xml:space="preserve">de acuerdo con el artículo 10 del Decreto 806 de 2020, en la actualidad es el único instrumento para cumplir </w:t>
      </w:r>
      <w:r w:rsidR="02F0E5D5" w:rsidRPr="008620C8">
        <w:rPr>
          <w:rFonts w:ascii="Arial" w:hAnsi="Arial" w:cs="Arial"/>
          <w:spacing w:val="4"/>
          <w:sz w:val="24"/>
          <w:szCs w:val="24"/>
        </w:rPr>
        <w:t xml:space="preserve">con ese cometido. </w:t>
      </w:r>
      <w:r w:rsidR="00432356" w:rsidRPr="008620C8">
        <w:rPr>
          <w:rFonts w:ascii="Arial" w:hAnsi="Arial" w:cs="Arial"/>
          <w:spacing w:val="4"/>
          <w:sz w:val="24"/>
          <w:szCs w:val="24"/>
        </w:rPr>
        <w:t>Raz</w:t>
      </w:r>
      <w:r w:rsidR="00DE2577" w:rsidRPr="008620C8">
        <w:rPr>
          <w:rFonts w:ascii="Arial" w:hAnsi="Arial" w:cs="Arial"/>
          <w:spacing w:val="4"/>
          <w:sz w:val="24"/>
          <w:szCs w:val="24"/>
        </w:rPr>
        <w:t>ón</w:t>
      </w:r>
      <w:r w:rsidR="00432356" w:rsidRPr="008620C8">
        <w:rPr>
          <w:rFonts w:ascii="Arial" w:hAnsi="Arial" w:cs="Arial"/>
          <w:spacing w:val="4"/>
          <w:sz w:val="24"/>
          <w:szCs w:val="24"/>
        </w:rPr>
        <w:t xml:space="preserve"> que obliga a declarar la nulidad de lo actuado con posterioridad al motivo que la genera</w:t>
      </w:r>
      <w:r w:rsidR="009700D7" w:rsidRPr="008620C8">
        <w:rPr>
          <w:rFonts w:ascii="Arial" w:hAnsi="Arial" w:cs="Arial"/>
          <w:spacing w:val="4"/>
          <w:sz w:val="24"/>
          <w:szCs w:val="24"/>
        </w:rPr>
        <w:t>.</w:t>
      </w:r>
    </w:p>
    <w:p w14:paraId="000A3331" w14:textId="597A7E85" w:rsidR="00BB635D" w:rsidRPr="008620C8" w:rsidRDefault="00BB635D" w:rsidP="002C3E64">
      <w:pPr>
        <w:spacing w:line="276" w:lineRule="auto"/>
        <w:jc w:val="both"/>
        <w:rPr>
          <w:rFonts w:ascii="Arial" w:hAnsi="Arial" w:cs="Arial"/>
          <w:spacing w:val="4"/>
          <w:sz w:val="24"/>
          <w:szCs w:val="24"/>
        </w:rPr>
      </w:pPr>
    </w:p>
    <w:p w14:paraId="020E97F4" w14:textId="74CC1FCF" w:rsidR="00103659" w:rsidRPr="008620C8" w:rsidRDefault="00A466B8" w:rsidP="002C3E64">
      <w:pPr>
        <w:spacing w:line="276" w:lineRule="auto"/>
        <w:jc w:val="both"/>
        <w:rPr>
          <w:rFonts w:ascii="Arial" w:hAnsi="Arial" w:cs="Arial"/>
          <w:spacing w:val="4"/>
          <w:sz w:val="24"/>
          <w:szCs w:val="24"/>
        </w:rPr>
      </w:pPr>
      <w:r w:rsidRPr="008620C8">
        <w:rPr>
          <w:rFonts w:ascii="Arial" w:hAnsi="Arial" w:cs="Arial"/>
          <w:spacing w:val="4"/>
          <w:sz w:val="24"/>
          <w:szCs w:val="24"/>
        </w:rPr>
        <w:lastRenderedPageBreak/>
        <w:t xml:space="preserve">En conclusión, </w:t>
      </w:r>
      <w:r w:rsidR="007C24DE" w:rsidRPr="008620C8">
        <w:rPr>
          <w:rFonts w:ascii="Arial" w:hAnsi="Arial" w:cs="Arial"/>
          <w:spacing w:val="4"/>
          <w:sz w:val="24"/>
          <w:szCs w:val="24"/>
        </w:rPr>
        <w:t>se de</w:t>
      </w:r>
      <w:r w:rsidR="00EA3D5B" w:rsidRPr="008620C8">
        <w:rPr>
          <w:rFonts w:ascii="Arial" w:hAnsi="Arial" w:cs="Arial"/>
          <w:spacing w:val="4"/>
          <w:sz w:val="24"/>
          <w:szCs w:val="24"/>
        </w:rPr>
        <w:t xml:space="preserve">jará sin efecto </w:t>
      </w:r>
      <w:r w:rsidR="00FB2B5B" w:rsidRPr="008620C8">
        <w:rPr>
          <w:rFonts w:ascii="Arial" w:hAnsi="Arial" w:cs="Arial"/>
          <w:spacing w:val="4"/>
          <w:sz w:val="24"/>
          <w:szCs w:val="24"/>
        </w:rPr>
        <w:t xml:space="preserve">el auto dictado el 23 de mayo de 2019 por medio del cual se admitió el grado jurisdiccional de consulta, </w:t>
      </w:r>
      <w:r w:rsidR="006045BC" w:rsidRPr="008620C8">
        <w:rPr>
          <w:rFonts w:ascii="Arial" w:hAnsi="Arial" w:cs="Arial"/>
          <w:spacing w:val="4"/>
          <w:sz w:val="24"/>
          <w:szCs w:val="24"/>
        </w:rPr>
        <w:t xml:space="preserve">así como los actuaciones posteriores en esta instancia; </w:t>
      </w:r>
      <w:r w:rsidR="00FB2B5B" w:rsidRPr="008620C8">
        <w:rPr>
          <w:rFonts w:ascii="Arial" w:hAnsi="Arial" w:cs="Arial"/>
          <w:spacing w:val="4"/>
          <w:sz w:val="24"/>
          <w:szCs w:val="24"/>
        </w:rPr>
        <w:t>se declarará la nulidad d</w:t>
      </w:r>
      <w:r w:rsidR="009700D7" w:rsidRPr="008620C8">
        <w:rPr>
          <w:rFonts w:ascii="Arial" w:hAnsi="Arial" w:cs="Arial"/>
          <w:spacing w:val="4"/>
          <w:sz w:val="24"/>
          <w:szCs w:val="24"/>
        </w:rPr>
        <w:t xml:space="preserve">e </w:t>
      </w:r>
      <w:r w:rsidRPr="008620C8">
        <w:rPr>
          <w:rFonts w:ascii="Arial" w:hAnsi="Arial" w:cs="Arial"/>
          <w:spacing w:val="4"/>
          <w:sz w:val="24"/>
          <w:szCs w:val="24"/>
        </w:rPr>
        <w:t xml:space="preserve">la sentencia proferida el </w:t>
      </w:r>
      <w:r w:rsidR="00FB2B5B" w:rsidRPr="008620C8">
        <w:rPr>
          <w:rFonts w:ascii="Arial" w:hAnsi="Arial" w:cs="Arial"/>
          <w:spacing w:val="4"/>
          <w:sz w:val="24"/>
          <w:szCs w:val="24"/>
        </w:rPr>
        <w:t xml:space="preserve">18 de marzo </w:t>
      </w:r>
      <w:r w:rsidRPr="008620C8">
        <w:rPr>
          <w:rFonts w:ascii="Arial" w:hAnsi="Arial" w:cs="Arial"/>
          <w:spacing w:val="4"/>
          <w:sz w:val="24"/>
          <w:szCs w:val="24"/>
        </w:rPr>
        <w:t>de 2019 y se ordenará devolver el expediente al Juzgado de origen para que</w:t>
      </w:r>
      <w:r w:rsidR="00FB2B5B" w:rsidRPr="008620C8">
        <w:rPr>
          <w:rFonts w:ascii="Arial" w:hAnsi="Arial" w:cs="Arial"/>
          <w:spacing w:val="4"/>
          <w:sz w:val="24"/>
          <w:szCs w:val="24"/>
        </w:rPr>
        <w:t xml:space="preserve"> c</w:t>
      </w:r>
      <w:r w:rsidR="00CF6F76" w:rsidRPr="008620C8">
        <w:rPr>
          <w:rFonts w:ascii="Arial" w:hAnsi="Arial" w:cs="Arial"/>
          <w:spacing w:val="4"/>
          <w:sz w:val="24"/>
          <w:szCs w:val="24"/>
        </w:rPr>
        <w:t>umpla adecuadamente con la inscripción de la información pertinente en el Registro Nacional de Personas Emplazadas,</w:t>
      </w:r>
      <w:r w:rsidR="383846BD" w:rsidRPr="008620C8">
        <w:rPr>
          <w:rFonts w:ascii="Arial" w:hAnsi="Arial" w:cs="Arial"/>
          <w:spacing w:val="4"/>
          <w:sz w:val="24"/>
          <w:szCs w:val="24"/>
        </w:rPr>
        <w:t xml:space="preserve"> con apego a lo previsto en el artículo 10 del Decreto 806 de 2020,</w:t>
      </w:r>
      <w:r w:rsidR="00CF6F76" w:rsidRPr="008620C8">
        <w:rPr>
          <w:rFonts w:ascii="Arial" w:hAnsi="Arial" w:cs="Arial"/>
          <w:spacing w:val="4"/>
          <w:sz w:val="24"/>
          <w:szCs w:val="24"/>
        </w:rPr>
        <w:t xml:space="preserve"> asegurándose de </w:t>
      </w:r>
      <w:r w:rsidR="4B9D6628" w:rsidRPr="008620C8">
        <w:rPr>
          <w:rFonts w:ascii="Arial" w:hAnsi="Arial" w:cs="Arial"/>
          <w:spacing w:val="4"/>
          <w:sz w:val="24"/>
          <w:szCs w:val="24"/>
        </w:rPr>
        <w:t xml:space="preserve">ingresar de manera correcta y completa la información requerida y que ésta </w:t>
      </w:r>
      <w:r w:rsidR="00CF6F76" w:rsidRPr="008620C8">
        <w:rPr>
          <w:rFonts w:ascii="Arial" w:hAnsi="Arial" w:cs="Arial"/>
          <w:spacing w:val="4"/>
          <w:sz w:val="24"/>
          <w:szCs w:val="24"/>
        </w:rPr>
        <w:t>quede disponible para la consulta pública</w:t>
      </w:r>
      <w:r w:rsidR="00154230" w:rsidRPr="008620C8">
        <w:rPr>
          <w:rFonts w:ascii="Arial" w:hAnsi="Arial" w:cs="Arial"/>
          <w:spacing w:val="4"/>
          <w:sz w:val="24"/>
          <w:szCs w:val="24"/>
        </w:rPr>
        <w:t xml:space="preserve">. </w:t>
      </w:r>
    </w:p>
    <w:p w14:paraId="7AE793F4" w14:textId="0B3046E5" w:rsidR="00432356" w:rsidRPr="008620C8" w:rsidRDefault="00432356"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En cuanto a las pruebas practicadas, éstas conservarán su validez y tendrán eficacia respecto de quienes tuvieron oportunidad de controvertirlas, como dispone el artículo 138 </w:t>
      </w:r>
      <w:r w:rsidR="006045BC" w:rsidRPr="008620C8">
        <w:rPr>
          <w:rFonts w:ascii="Arial" w:hAnsi="Arial" w:cs="Arial"/>
          <w:spacing w:val="4"/>
          <w:sz w:val="24"/>
          <w:szCs w:val="24"/>
        </w:rPr>
        <w:t>ibidem</w:t>
      </w:r>
      <w:r w:rsidRPr="008620C8">
        <w:rPr>
          <w:rFonts w:ascii="Arial" w:hAnsi="Arial" w:cs="Arial"/>
          <w:spacing w:val="4"/>
          <w:sz w:val="24"/>
          <w:szCs w:val="24"/>
        </w:rPr>
        <w:t>.</w:t>
      </w:r>
    </w:p>
    <w:p w14:paraId="21D1F6DF" w14:textId="77777777" w:rsidR="006045BC" w:rsidRPr="008620C8" w:rsidRDefault="006045BC" w:rsidP="002C3E64">
      <w:pPr>
        <w:spacing w:line="276" w:lineRule="auto"/>
        <w:jc w:val="both"/>
        <w:rPr>
          <w:rFonts w:ascii="Arial" w:hAnsi="Arial" w:cs="Arial"/>
          <w:spacing w:val="4"/>
          <w:sz w:val="24"/>
          <w:szCs w:val="24"/>
        </w:rPr>
      </w:pPr>
    </w:p>
    <w:p w14:paraId="6424B648" w14:textId="77777777" w:rsidR="007C67B5" w:rsidRPr="008620C8" w:rsidRDefault="00EF3584" w:rsidP="002C3E64">
      <w:pPr>
        <w:spacing w:line="276" w:lineRule="auto"/>
        <w:jc w:val="both"/>
        <w:rPr>
          <w:rFonts w:ascii="Arial" w:hAnsi="Arial" w:cs="Arial"/>
          <w:spacing w:val="4"/>
          <w:sz w:val="24"/>
          <w:szCs w:val="24"/>
        </w:rPr>
      </w:pPr>
      <w:r w:rsidRPr="008620C8">
        <w:rPr>
          <w:rFonts w:ascii="Arial" w:hAnsi="Arial" w:cs="Arial"/>
          <w:spacing w:val="4"/>
          <w:sz w:val="24"/>
          <w:szCs w:val="24"/>
        </w:rPr>
        <w:t xml:space="preserve">Por lo expuesto, la Sala de Decisión Laboral Nº 4 del </w:t>
      </w:r>
      <w:r w:rsidR="00885E6D" w:rsidRPr="008620C8">
        <w:rPr>
          <w:rFonts w:ascii="Arial" w:hAnsi="Arial" w:cs="Arial"/>
          <w:spacing w:val="4"/>
          <w:sz w:val="24"/>
          <w:szCs w:val="24"/>
        </w:rPr>
        <w:t>Tribunal Superior del Distrito Judicial de Pereira</w:t>
      </w:r>
    </w:p>
    <w:p w14:paraId="5CEFA836" w14:textId="77777777" w:rsidR="00534D89" w:rsidRPr="008620C8" w:rsidRDefault="00534D89" w:rsidP="002C3E64">
      <w:pPr>
        <w:spacing w:line="276" w:lineRule="auto"/>
        <w:jc w:val="both"/>
        <w:rPr>
          <w:rFonts w:ascii="Arial" w:hAnsi="Arial" w:cs="Arial"/>
          <w:spacing w:val="4"/>
          <w:sz w:val="24"/>
          <w:szCs w:val="24"/>
        </w:rPr>
      </w:pPr>
    </w:p>
    <w:p w14:paraId="23A75B80" w14:textId="77777777" w:rsidR="00885E6D" w:rsidRPr="008620C8" w:rsidRDefault="00885E6D" w:rsidP="002C3E64">
      <w:pPr>
        <w:spacing w:line="276" w:lineRule="auto"/>
        <w:jc w:val="center"/>
        <w:rPr>
          <w:rFonts w:ascii="Arial" w:hAnsi="Arial" w:cs="Arial"/>
          <w:b/>
          <w:bCs/>
          <w:spacing w:val="4"/>
          <w:sz w:val="24"/>
          <w:szCs w:val="24"/>
        </w:rPr>
      </w:pPr>
      <w:r w:rsidRPr="008620C8">
        <w:rPr>
          <w:rFonts w:ascii="Arial" w:hAnsi="Arial" w:cs="Arial"/>
          <w:b/>
          <w:bCs/>
          <w:spacing w:val="4"/>
          <w:sz w:val="24"/>
          <w:szCs w:val="24"/>
        </w:rPr>
        <w:t>RESUELVE:</w:t>
      </w:r>
    </w:p>
    <w:p w14:paraId="2DBF0D7D" w14:textId="77777777" w:rsidR="008D0014" w:rsidRPr="008620C8" w:rsidRDefault="008D0014" w:rsidP="002C3E64">
      <w:pPr>
        <w:spacing w:line="276" w:lineRule="auto"/>
        <w:jc w:val="both"/>
        <w:rPr>
          <w:rFonts w:ascii="Arial" w:hAnsi="Arial" w:cs="Arial"/>
          <w:spacing w:val="4"/>
          <w:sz w:val="24"/>
          <w:szCs w:val="24"/>
        </w:rPr>
      </w:pPr>
    </w:p>
    <w:p w14:paraId="4DD020D0" w14:textId="3FA03A68" w:rsidR="00FB2B5B" w:rsidRPr="008620C8" w:rsidRDefault="00103659" w:rsidP="002C3E64">
      <w:pPr>
        <w:spacing w:line="276" w:lineRule="auto"/>
        <w:contextualSpacing/>
        <w:jc w:val="both"/>
        <w:rPr>
          <w:rFonts w:ascii="Arial" w:hAnsi="Arial" w:cs="Arial"/>
          <w:spacing w:val="4"/>
          <w:sz w:val="24"/>
          <w:szCs w:val="24"/>
        </w:rPr>
      </w:pPr>
      <w:r w:rsidRPr="008620C8">
        <w:rPr>
          <w:rFonts w:ascii="Arial" w:hAnsi="Arial" w:cs="Arial"/>
          <w:b/>
          <w:bCs/>
          <w:spacing w:val="4"/>
          <w:sz w:val="24"/>
          <w:szCs w:val="24"/>
        </w:rPr>
        <w:t>PRIMERO:</w:t>
      </w:r>
      <w:r w:rsidRPr="008620C8">
        <w:rPr>
          <w:rFonts w:ascii="Arial" w:hAnsi="Arial" w:cs="Arial"/>
          <w:spacing w:val="4"/>
          <w:sz w:val="24"/>
          <w:szCs w:val="24"/>
        </w:rPr>
        <w:t xml:space="preserve"> </w:t>
      </w:r>
      <w:r w:rsidR="00FB2B5B" w:rsidRPr="008620C8">
        <w:rPr>
          <w:rFonts w:ascii="Arial" w:hAnsi="Arial" w:cs="Arial"/>
          <w:b/>
          <w:bCs/>
          <w:spacing w:val="4"/>
          <w:sz w:val="24"/>
          <w:szCs w:val="24"/>
        </w:rPr>
        <w:t>DEJAR SIN EFECTO</w:t>
      </w:r>
      <w:r w:rsidR="00FB2B5B" w:rsidRPr="008620C8">
        <w:rPr>
          <w:rFonts w:ascii="Arial" w:hAnsi="Arial" w:cs="Arial"/>
          <w:spacing w:val="4"/>
          <w:sz w:val="24"/>
          <w:szCs w:val="24"/>
        </w:rPr>
        <w:t xml:space="preserve"> el auto del 23 de mayo de 2019, por medio del cual se admitió el grado jurisdiccional de consulta de la sentencia de primera instancia, conforme las consideraciones vertidas en esta decisión, al igual que las actuaciones posteriores en esta sede.</w:t>
      </w:r>
    </w:p>
    <w:p w14:paraId="20D609A1" w14:textId="77777777" w:rsidR="00FB2B5B" w:rsidRPr="008620C8" w:rsidRDefault="00FB2B5B" w:rsidP="002C3E64">
      <w:pPr>
        <w:pStyle w:val="Sinespaciado"/>
        <w:spacing w:line="276" w:lineRule="auto"/>
        <w:rPr>
          <w:rFonts w:ascii="Arial" w:hAnsi="Arial" w:cs="Arial"/>
          <w:spacing w:val="4"/>
          <w:sz w:val="24"/>
          <w:szCs w:val="24"/>
        </w:rPr>
      </w:pPr>
    </w:p>
    <w:p w14:paraId="10219180" w14:textId="5979E97E" w:rsidR="006C667B" w:rsidRPr="008620C8" w:rsidRDefault="00FB2B5B" w:rsidP="002C3E64">
      <w:pPr>
        <w:spacing w:line="276" w:lineRule="auto"/>
        <w:contextualSpacing/>
        <w:jc w:val="both"/>
        <w:rPr>
          <w:rFonts w:ascii="Arial" w:hAnsi="Arial" w:cs="Arial"/>
          <w:spacing w:val="4"/>
          <w:sz w:val="24"/>
          <w:szCs w:val="24"/>
        </w:rPr>
      </w:pPr>
      <w:r w:rsidRPr="008620C8">
        <w:rPr>
          <w:rFonts w:ascii="Arial" w:hAnsi="Arial" w:cs="Arial"/>
          <w:b/>
          <w:spacing w:val="4"/>
          <w:sz w:val="24"/>
          <w:szCs w:val="24"/>
        </w:rPr>
        <w:t>SEGUNDO:</w:t>
      </w:r>
      <w:r w:rsidRPr="008620C8">
        <w:rPr>
          <w:rFonts w:ascii="Arial" w:hAnsi="Arial" w:cs="Arial"/>
          <w:spacing w:val="4"/>
          <w:sz w:val="24"/>
          <w:szCs w:val="24"/>
        </w:rPr>
        <w:t xml:space="preserve"> </w:t>
      </w:r>
      <w:r w:rsidR="008D0014" w:rsidRPr="008620C8">
        <w:rPr>
          <w:rFonts w:ascii="Arial" w:hAnsi="Arial" w:cs="Arial"/>
          <w:b/>
          <w:bCs/>
          <w:spacing w:val="4"/>
          <w:sz w:val="24"/>
          <w:szCs w:val="24"/>
        </w:rPr>
        <w:t>DECLARAR LA NULIDAD</w:t>
      </w:r>
      <w:r w:rsidR="008D0014" w:rsidRPr="008620C8">
        <w:rPr>
          <w:rFonts w:ascii="Arial" w:hAnsi="Arial" w:cs="Arial"/>
          <w:spacing w:val="4"/>
          <w:sz w:val="24"/>
          <w:szCs w:val="24"/>
        </w:rPr>
        <w:t xml:space="preserve"> </w:t>
      </w:r>
      <w:r w:rsidR="006C667B" w:rsidRPr="008620C8">
        <w:rPr>
          <w:rFonts w:ascii="Arial" w:hAnsi="Arial" w:cs="Arial"/>
          <w:spacing w:val="4"/>
          <w:sz w:val="24"/>
          <w:szCs w:val="24"/>
        </w:rPr>
        <w:t xml:space="preserve">de la sentencia proferida el </w:t>
      </w:r>
      <w:r w:rsidRPr="008620C8">
        <w:rPr>
          <w:rFonts w:ascii="Arial" w:hAnsi="Arial" w:cs="Arial"/>
          <w:spacing w:val="4"/>
          <w:sz w:val="24"/>
          <w:szCs w:val="24"/>
        </w:rPr>
        <w:t xml:space="preserve">18 de marzo de </w:t>
      </w:r>
      <w:r w:rsidR="00154230" w:rsidRPr="008620C8">
        <w:rPr>
          <w:rFonts w:ascii="Arial" w:hAnsi="Arial" w:cs="Arial"/>
          <w:spacing w:val="4"/>
          <w:sz w:val="24"/>
          <w:szCs w:val="24"/>
        </w:rPr>
        <w:t>2019</w:t>
      </w:r>
      <w:r w:rsidR="008D0014" w:rsidRPr="008620C8">
        <w:rPr>
          <w:rFonts w:ascii="Arial" w:hAnsi="Arial" w:cs="Arial"/>
          <w:spacing w:val="4"/>
          <w:sz w:val="24"/>
          <w:szCs w:val="24"/>
        </w:rPr>
        <w:t xml:space="preserve">, inclusive, </w:t>
      </w:r>
      <w:r w:rsidR="006C667B" w:rsidRPr="008620C8">
        <w:rPr>
          <w:rFonts w:ascii="Arial" w:hAnsi="Arial" w:cs="Arial"/>
          <w:spacing w:val="4"/>
          <w:sz w:val="24"/>
          <w:szCs w:val="24"/>
        </w:rPr>
        <w:t xml:space="preserve">proferida por el Juzgado Laboral del Circuito de </w:t>
      </w:r>
      <w:r w:rsidRPr="008620C8">
        <w:rPr>
          <w:rFonts w:ascii="Arial" w:hAnsi="Arial" w:cs="Arial"/>
          <w:spacing w:val="4"/>
          <w:sz w:val="24"/>
          <w:szCs w:val="24"/>
        </w:rPr>
        <w:t>Dosquebradas</w:t>
      </w:r>
      <w:r w:rsidR="006C667B" w:rsidRPr="008620C8">
        <w:rPr>
          <w:rFonts w:ascii="Arial" w:hAnsi="Arial" w:cs="Arial"/>
          <w:spacing w:val="4"/>
          <w:sz w:val="24"/>
          <w:szCs w:val="24"/>
        </w:rPr>
        <w:t xml:space="preserve">, dentro del proceso de la referencia. </w:t>
      </w:r>
    </w:p>
    <w:p w14:paraId="25876FCF" w14:textId="2428D481" w:rsidR="008D0014" w:rsidRPr="008620C8" w:rsidRDefault="008D0014" w:rsidP="002C3E64">
      <w:pPr>
        <w:pStyle w:val="Sinespaciado"/>
        <w:spacing w:line="276" w:lineRule="auto"/>
        <w:rPr>
          <w:rFonts w:ascii="Arial" w:hAnsi="Arial" w:cs="Arial"/>
          <w:spacing w:val="4"/>
          <w:sz w:val="24"/>
          <w:szCs w:val="24"/>
        </w:rPr>
      </w:pPr>
    </w:p>
    <w:p w14:paraId="596FE419" w14:textId="3E7059EB" w:rsidR="006C667B" w:rsidRPr="008620C8" w:rsidRDefault="006C667B" w:rsidP="002C3E64">
      <w:pPr>
        <w:spacing w:line="276" w:lineRule="auto"/>
        <w:jc w:val="both"/>
        <w:rPr>
          <w:rFonts w:ascii="Arial" w:hAnsi="Arial" w:cs="Arial"/>
          <w:spacing w:val="4"/>
          <w:sz w:val="24"/>
          <w:szCs w:val="24"/>
        </w:rPr>
      </w:pPr>
      <w:r w:rsidRPr="008620C8">
        <w:rPr>
          <w:rFonts w:ascii="Arial" w:hAnsi="Arial" w:cs="Arial"/>
          <w:b/>
          <w:bCs/>
          <w:spacing w:val="4"/>
          <w:sz w:val="24"/>
          <w:szCs w:val="24"/>
        </w:rPr>
        <w:t>SEGUNDO:</w:t>
      </w:r>
      <w:r w:rsidR="008D0014" w:rsidRPr="008620C8">
        <w:rPr>
          <w:rFonts w:ascii="Arial" w:hAnsi="Arial" w:cs="Arial"/>
          <w:b/>
          <w:bCs/>
          <w:spacing w:val="4"/>
          <w:sz w:val="24"/>
          <w:szCs w:val="24"/>
        </w:rPr>
        <w:t xml:space="preserve"> ORDENAR</w:t>
      </w:r>
      <w:r w:rsidRPr="008620C8">
        <w:rPr>
          <w:rFonts w:ascii="Arial" w:hAnsi="Arial" w:cs="Arial"/>
          <w:b/>
          <w:bCs/>
          <w:spacing w:val="4"/>
          <w:sz w:val="24"/>
          <w:szCs w:val="24"/>
        </w:rPr>
        <w:t xml:space="preserve"> </w:t>
      </w:r>
      <w:r w:rsidRPr="008620C8">
        <w:rPr>
          <w:rFonts w:ascii="Arial" w:hAnsi="Arial" w:cs="Arial"/>
          <w:spacing w:val="4"/>
          <w:sz w:val="24"/>
          <w:szCs w:val="24"/>
        </w:rPr>
        <w:t xml:space="preserve">al Juzgado </w:t>
      </w:r>
      <w:r w:rsidR="00FB2B5B" w:rsidRPr="008620C8">
        <w:rPr>
          <w:rFonts w:ascii="Arial" w:hAnsi="Arial" w:cs="Arial"/>
          <w:spacing w:val="4"/>
          <w:sz w:val="24"/>
          <w:szCs w:val="24"/>
        </w:rPr>
        <w:t xml:space="preserve">cognoscente </w:t>
      </w:r>
      <w:r w:rsidRPr="008620C8">
        <w:rPr>
          <w:rFonts w:ascii="Arial" w:hAnsi="Arial" w:cs="Arial"/>
          <w:spacing w:val="4"/>
          <w:sz w:val="24"/>
          <w:szCs w:val="24"/>
        </w:rPr>
        <w:t xml:space="preserve">que </w:t>
      </w:r>
      <w:r w:rsidR="00FB2B5B" w:rsidRPr="008620C8">
        <w:rPr>
          <w:rFonts w:ascii="Arial" w:hAnsi="Arial" w:cs="Arial"/>
          <w:spacing w:val="4"/>
          <w:sz w:val="24"/>
          <w:szCs w:val="24"/>
        </w:rPr>
        <w:t>corr</w:t>
      </w:r>
      <w:r w:rsidRPr="008620C8">
        <w:rPr>
          <w:rFonts w:ascii="Arial" w:hAnsi="Arial" w:cs="Arial"/>
          <w:spacing w:val="4"/>
          <w:sz w:val="24"/>
          <w:szCs w:val="24"/>
        </w:rPr>
        <w:t>ija la inscripción de la información pertinente en el Registro Nacional de Personas Emplazadas,</w:t>
      </w:r>
      <w:r w:rsidR="2857B18D" w:rsidRPr="008620C8">
        <w:rPr>
          <w:rFonts w:ascii="Arial" w:hAnsi="Arial" w:cs="Arial"/>
          <w:spacing w:val="4"/>
          <w:sz w:val="24"/>
          <w:szCs w:val="24"/>
        </w:rPr>
        <w:t xml:space="preserve"> con apego a lo previsto en el artículo 10 del Decreto 806 de 2020, asegurándose de ingresar de manera correcta y completa la información requerida y que ésta quede disponible para la consulta pública.</w:t>
      </w:r>
      <w:r w:rsidRPr="008620C8">
        <w:rPr>
          <w:rFonts w:ascii="Arial" w:hAnsi="Arial" w:cs="Arial"/>
          <w:spacing w:val="4"/>
          <w:sz w:val="24"/>
          <w:szCs w:val="24"/>
        </w:rPr>
        <w:t xml:space="preserve">  </w:t>
      </w:r>
    </w:p>
    <w:p w14:paraId="358BAAFB" w14:textId="77777777" w:rsidR="008D7304" w:rsidRPr="008620C8" w:rsidRDefault="008D7304" w:rsidP="002C3E64">
      <w:pPr>
        <w:pStyle w:val="Sinespaciado"/>
        <w:spacing w:line="276" w:lineRule="auto"/>
        <w:rPr>
          <w:rFonts w:ascii="Arial" w:eastAsia="Arial" w:hAnsi="Arial" w:cs="Arial"/>
          <w:spacing w:val="4"/>
          <w:sz w:val="24"/>
          <w:szCs w:val="24"/>
        </w:rPr>
      </w:pPr>
    </w:p>
    <w:p w14:paraId="35FE3A18" w14:textId="77777777" w:rsidR="002C3E64" w:rsidRPr="008620C8" w:rsidRDefault="002C3E64" w:rsidP="002C3E64">
      <w:pPr>
        <w:spacing w:line="276" w:lineRule="auto"/>
        <w:contextualSpacing/>
        <w:jc w:val="center"/>
        <w:rPr>
          <w:rFonts w:ascii="Arial" w:hAnsi="Arial" w:cs="Arial"/>
          <w:b/>
          <w:bCs/>
          <w:spacing w:val="4"/>
          <w:sz w:val="24"/>
          <w:szCs w:val="24"/>
          <w:lang w:val="es-ES_tradnl" w:eastAsia="es-ES"/>
        </w:rPr>
      </w:pPr>
      <w:r w:rsidRPr="008620C8">
        <w:rPr>
          <w:rFonts w:ascii="Arial" w:hAnsi="Arial" w:cs="Arial"/>
          <w:b/>
          <w:bCs/>
          <w:spacing w:val="4"/>
          <w:sz w:val="24"/>
          <w:szCs w:val="24"/>
          <w:lang w:val="es-ES_tradnl" w:eastAsia="es-ES"/>
        </w:rPr>
        <w:t>NOTIFÍQUESE, CÚMPLASE Y DEVUÉLVASE</w:t>
      </w:r>
    </w:p>
    <w:p w14:paraId="75078574" w14:textId="77777777" w:rsidR="002C3E64" w:rsidRPr="002C3E64" w:rsidRDefault="002C3E64" w:rsidP="002C3E64">
      <w:pPr>
        <w:suppressAutoHyphens w:val="0"/>
        <w:spacing w:line="276" w:lineRule="auto"/>
        <w:jc w:val="both"/>
        <w:rPr>
          <w:rFonts w:ascii="Arial" w:hAnsi="Arial" w:cs="Arial"/>
          <w:sz w:val="24"/>
          <w:szCs w:val="24"/>
          <w:lang w:val="es-ES_tradnl" w:eastAsia="es-ES"/>
        </w:rPr>
      </w:pPr>
    </w:p>
    <w:p w14:paraId="3C97B212" w14:textId="77777777" w:rsidR="002C3E64" w:rsidRPr="002C3E64" w:rsidRDefault="002C3E64" w:rsidP="002C3E64">
      <w:pPr>
        <w:suppressAutoHyphens w:val="0"/>
        <w:spacing w:line="276" w:lineRule="auto"/>
        <w:jc w:val="both"/>
        <w:rPr>
          <w:rFonts w:ascii="Arial" w:hAnsi="Arial" w:cs="Arial"/>
          <w:sz w:val="24"/>
          <w:szCs w:val="24"/>
          <w:lang w:val="es-ES_tradnl" w:eastAsia="es-ES"/>
        </w:rPr>
      </w:pPr>
    </w:p>
    <w:p w14:paraId="22972AFE" w14:textId="77777777" w:rsidR="002C3E64" w:rsidRPr="002C3E64" w:rsidRDefault="002C3E64" w:rsidP="002C3E64">
      <w:pPr>
        <w:suppressAutoHyphens w:val="0"/>
        <w:spacing w:line="276" w:lineRule="auto"/>
        <w:jc w:val="both"/>
        <w:rPr>
          <w:rFonts w:ascii="Arial" w:hAnsi="Arial" w:cs="Arial"/>
          <w:sz w:val="24"/>
          <w:szCs w:val="24"/>
          <w:lang w:val="es-ES_tradnl" w:eastAsia="es-ES"/>
        </w:rPr>
      </w:pPr>
    </w:p>
    <w:p w14:paraId="1C590C92" w14:textId="77777777" w:rsidR="002C3E64" w:rsidRPr="002C3E64" w:rsidRDefault="002C3E64" w:rsidP="002C3E64">
      <w:pPr>
        <w:suppressAutoHyphens w:val="0"/>
        <w:spacing w:line="276" w:lineRule="auto"/>
        <w:jc w:val="center"/>
        <w:rPr>
          <w:rFonts w:ascii="Arial" w:hAnsi="Arial" w:cs="Arial"/>
          <w:b/>
          <w:bCs/>
          <w:iCs/>
          <w:sz w:val="24"/>
          <w:szCs w:val="24"/>
          <w:lang w:eastAsia="es-ES"/>
        </w:rPr>
      </w:pPr>
      <w:r w:rsidRPr="002C3E64">
        <w:rPr>
          <w:rFonts w:ascii="Arial" w:hAnsi="Arial" w:cs="Arial"/>
          <w:b/>
          <w:bCs/>
          <w:iCs/>
          <w:sz w:val="24"/>
          <w:szCs w:val="24"/>
          <w:lang w:eastAsia="es-ES"/>
        </w:rPr>
        <w:t>ALEJANDRA MARÍA HENAO PALACIO</w:t>
      </w:r>
    </w:p>
    <w:p w14:paraId="1F43FCA8" w14:textId="77777777" w:rsidR="002C3E64" w:rsidRPr="002C3E64" w:rsidRDefault="002C3E64" w:rsidP="002C3E64">
      <w:pPr>
        <w:suppressAutoHyphens w:val="0"/>
        <w:spacing w:line="276" w:lineRule="auto"/>
        <w:jc w:val="center"/>
        <w:rPr>
          <w:rFonts w:ascii="Arial" w:hAnsi="Arial" w:cs="Arial"/>
          <w:bCs/>
          <w:iCs/>
          <w:sz w:val="24"/>
          <w:szCs w:val="24"/>
          <w:lang w:eastAsia="es-ES"/>
        </w:rPr>
      </w:pPr>
      <w:r w:rsidRPr="002C3E64">
        <w:rPr>
          <w:rFonts w:ascii="Arial" w:hAnsi="Arial" w:cs="Arial"/>
          <w:bCs/>
          <w:iCs/>
          <w:sz w:val="24"/>
          <w:szCs w:val="24"/>
          <w:lang w:eastAsia="es-ES"/>
        </w:rPr>
        <w:t>Magistrada Ponente</w:t>
      </w:r>
    </w:p>
    <w:p w14:paraId="0E4074AD" w14:textId="77777777" w:rsidR="002C3E64" w:rsidRPr="002C3E64" w:rsidRDefault="002C3E64" w:rsidP="002C3E64">
      <w:pPr>
        <w:suppressAutoHyphens w:val="0"/>
        <w:spacing w:line="276" w:lineRule="auto"/>
        <w:jc w:val="both"/>
        <w:rPr>
          <w:rFonts w:ascii="Arial" w:hAnsi="Arial" w:cs="Arial"/>
          <w:sz w:val="24"/>
          <w:szCs w:val="24"/>
          <w:lang w:val="es-ES_tradnl" w:eastAsia="es-ES"/>
        </w:rPr>
      </w:pPr>
    </w:p>
    <w:p w14:paraId="59C8DACD" w14:textId="77777777" w:rsidR="002C3E64" w:rsidRPr="002C3E64" w:rsidRDefault="002C3E64" w:rsidP="002C3E64">
      <w:pPr>
        <w:suppressAutoHyphens w:val="0"/>
        <w:spacing w:line="276" w:lineRule="auto"/>
        <w:jc w:val="both"/>
        <w:rPr>
          <w:rFonts w:ascii="Arial" w:hAnsi="Arial" w:cs="Arial"/>
          <w:sz w:val="24"/>
          <w:szCs w:val="24"/>
          <w:lang w:val="es-ES_tradnl" w:eastAsia="es-ES"/>
        </w:rPr>
      </w:pPr>
    </w:p>
    <w:p w14:paraId="097ECF08" w14:textId="77777777" w:rsidR="002C3E64" w:rsidRPr="002C3E64" w:rsidRDefault="002C3E64" w:rsidP="002C3E64">
      <w:pPr>
        <w:suppressAutoHyphens w:val="0"/>
        <w:spacing w:line="276" w:lineRule="auto"/>
        <w:jc w:val="both"/>
        <w:rPr>
          <w:rFonts w:ascii="Arial" w:hAnsi="Arial" w:cs="Arial"/>
          <w:sz w:val="24"/>
          <w:szCs w:val="24"/>
          <w:lang w:val="es-ES_tradnl" w:eastAsia="es-ES"/>
        </w:rPr>
      </w:pPr>
    </w:p>
    <w:p w14:paraId="60D9103D" w14:textId="77777777" w:rsidR="002C3E64" w:rsidRPr="002C3E64" w:rsidRDefault="002C3E64" w:rsidP="002C3E64">
      <w:pPr>
        <w:suppressAutoHyphens w:val="0"/>
        <w:spacing w:line="276" w:lineRule="auto"/>
        <w:jc w:val="both"/>
        <w:rPr>
          <w:rFonts w:ascii="Arial" w:hAnsi="Arial" w:cs="Arial"/>
          <w:b/>
          <w:bCs/>
          <w:iCs/>
          <w:sz w:val="24"/>
          <w:szCs w:val="24"/>
          <w:lang w:eastAsia="es-ES"/>
        </w:rPr>
      </w:pPr>
      <w:r w:rsidRPr="002C3E64">
        <w:rPr>
          <w:rFonts w:ascii="Arial" w:hAnsi="Arial" w:cs="Arial"/>
          <w:b/>
          <w:bCs/>
          <w:iCs/>
          <w:sz w:val="24"/>
          <w:szCs w:val="24"/>
          <w:lang w:eastAsia="es-ES"/>
        </w:rPr>
        <w:t>ANA LUCÍA CAICEDO CALDERÓN</w:t>
      </w:r>
      <w:r w:rsidRPr="002C3E64">
        <w:rPr>
          <w:rFonts w:ascii="Arial" w:hAnsi="Arial" w:cs="Arial"/>
          <w:b/>
          <w:bCs/>
          <w:iCs/>
          <w:sz w:val="24"/>
          <w:szCs w:val="24"/>
          <w:lang w:eastAsia="es-ES"/>
        </w:rPr>
        <w:tab/>
        <w:t xml:space="preserve">      OLGA LUCIA HOYOS SEPÚLVEDA</w:t>
      </w:r>
    </w:p>
    <w:p w14:paraId="74121E5F" w14:textId="74965E28" w:rsidR="00A0693D" w:rsidRPr="002C3E64" w:rsidRDefault="002C3E64" w:rsidP="002C3E64">
      <w:pPr>
        <w:suppressAutoHyphens w:val="0"/>
        <w:spacing w:line="276" w:lineRule="auto"/>
        <w:jc w:val="both"/>
        <w:rPr>
          <w:rFonts w:ascii="Arial" w:hAnsi="Arial" w:cs="Arial"/>
          <w:bCs/>
          <w:iCs/>
          <w:sz w:val="24"/>
          <w:szCs w:val="24"/>
          <w:lang w:eastAsia="es-ES"/>
        </w:rPr>
      </w:pPr>
      <w:r w:rsidRPr="002C3E64">
        <w:rPr>
          <w:rFonts w:ascii="Arial" w:hAnsi="Arial" w:cs="Arial"/>
          <w:bCs/>
          <w:iCs/>
          <w:sz w:val="24"/>
          <w:szCs w:val="24"/>
          <w:lang w:eastAsia="es-ES"/>
        </w:rPr>
        <w:t xml:space="preserve">                Magistrada</w:t>
      </w:r>
      <w:r w:rsidRPr="002C3E64">
        <w:rPr>
          <w:rFonts w:ascii="Arial" w:hAnsi="Arial" w:cs="Arial"/>
          <w:bCs/>
          <w:iCs/>
          <w:sz w:val="24"/>
          <w:szCs w:val="24"/>
          <w:lang w:eastAsia="es-ES"/>
        </w:rPr>
        <w:tab/>
      </w:r>
      <w:r w:rsidRPr="002C3E64">
        <w:rPr>
          <w:rFonts w:ascii="Arial" w:hAnsi="Arial" w:cs="Arial"/>
          <w:bCs/>
          <w:iCs/>
          <w:sz w:val="24"/>
          <w:szCs w:val="24"/>
          <w:lang w:eastAsia="es-ES"/>
        </w:rPr>
        <w:tab/>
      </w:r>
      <w:r w:rsidRPr="002C3E64">
        <w:rPr>
          <w:rFonts w:ascii="Arial" w:hAnsi="Arial" w:cs="Arial"/>
          <w:bCs/>
          <w:iCs/>
          <w:sz w:val="24"/>
          <w:szCs w:val="24"/>
          <w:lang w:eastAsia="es-ES"/>
        </w:rPr>
        <w:tab/>
      </w:r>
      <w:r w:rsidRPr="002C3E64">
        <w:rPr>
          <w:rFonts w:ascii="Arial" w:hAnsi="Arial" w:cs="Arial"/>
          <w:bCs/>
          <w:iCs/>
          <w:sz w:val="24"/>
          <w:szCs w:val="24"/>
          <w:lang w:eastAsia="es-ES"/>
        </w:rPr>
        <w:tab/>
      </w:r>
      <w:r w:rsidRPr="002C3E64">
        <w:rPr>
          <w:rFonts w:ascii="Arial" w:hAnsi="Arial" w:cs="Arial"/>
          <w:bCs/>
          <w:iCs/>
          <w:sz w:val="24"/>
          <w:szCs w:val="24"/>
          <w:lang w:eastAsia="es-ES"/>
        </w:rPr>
        <w:tab/>
        <w:t xml:space="preserve">      Magistrada</w:t>
      </w:r>
      <w:bookmarkEnd w:id="0"/>
    </w:p>
    <w:sectPr w:rsidR="00A0693D" w:rsidRPr="002C3E64" w:rsidSect="002C3E64">
      <w:headerReference w:type="even" r:id="rId14"/>
      <w:headerReference w:type="default" r:id="rId15"/>
      <w:footerReference w:type="even" r:id="rId16"/>
      <w:footerReference w:type="default" r:id="rId17"/>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A828F3" w16cex:dateUtc="2020-11-25T20:57:40.26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1E614" w14:textId="77777777" w:rsidR="000603B9" w:rsidRDefault="000603B9">
      <w:r>
        <w:separator/>
      </w:r>
    </w:p>
  </w:endnote>
  <w:endnote w:type="continuationSeparator" w:id="0">
    <w:p w14:paraId="28358C08" w14:textId="77777777" w:rsidR="000603B9" w:rsidRDefault="0006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15864595"/>
      <w:docPartObj>
        <w:docPartGallery w:val="Page Numbers (Bottom of Page)"/>
        <w:docPartUnique/>
      </w:docPartObj>
    </w:sdtPr>
    <w:sdtEndPr>
      <w:rPr>
        <w:rStyle w:val="Nmerodepgina"/>
      </w:rPr>
    </w:sdtEndPr>
    <w:sdtContent>
      <w:p w14:paraId="1065F29E" w14:textId="0DE495DD" w:rsidR="00BF5137" w:rsidRDefault="00BF5137" w:rsidP="00BF513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3D99D2" w14:textId="77777777" w:rsidR="00BF5137" w:rsidRDefault="00BF51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30293338"/>
      <w:docPartObj>
        <w:docPartGallery w:val="Page Numbers (Bottom of Page)"/>
        <w:docPartUnique/>
      </w:docPartObj>
    </w:sdtPr>
    <w:sdtEndPr>
      <w:rPr>
        <w:rStyle w:val="Nmerodepgina"/>
        <w:color w:val="595959" w:themeColor="text1" w:themeTint="A6"/>
      </w:rPr>
    </w:sdtEndPr>
    <w:sdtContent>
      <w:p w14:paraId="226D319B" w14:textId="1B74E636" w:rsidR="00BF5137" w:rsidRPr="00B63478" w:rsidRDefault="00BF5137" w:rsidP="00BF5137">
        <w:pPr>
          <w:pStyle w:val="Piedepgina"/>
          <w:framePr w:wrap="none" w:vAnchor="text" w:hAnchor="margin" w:xAlign="center" w:y="1"/>
          <w:rPr>
            <w:rStyle w:val="Nmerodepgina"/>
            <w:color w:val="595959" w:themeColor="text1" w:themeTint="A6"/>
          </w:rPr>
        </w:pPr>
        <w:r w:rsidRPr="00B63478">
          <w:rPr>
            <w:rStyle w:val="Nmerodepgina"/>
            <w:color w:val="595959" w:themeColor="text1" w:themeTint="A6"/>
          </w:rPr>
          <w:fldChar w:fldCharType="begin"/>
        </w:r>
        <w:r w:rsidRPr="00B63478">
          <w:rPr>
            <w:rStyle w:val="Nmerodepgina"/>
            <w:color w:val="595959" w:themeColor="text1" w:themeTint="A6"/>
          </w:rPr>
          <w:instrText xml:space="preserve"> PAGE </w:instrText>
        </w:r>
        <w:r w:rsidRPr="00B63478">
          <w:rPr>
            <w:rStyle w:val="Nmerodepgina"/>
            <w:color w:val="595959" w:themeColor="text1" w:themeTint="A6"/>
          </w:rPr>
          <w:fldChar w:fldCharType="separate"/>
        </w:r>
        <w:r w:rsidR="008620C8">
          <w:rPr>
            <w:rStyle w:val="Nmerodepgina"/>
            <w:noProof/>
            <w:color w:val="595959" w:themeColor="text1" w:themeTint="A6"/>
          </w:rPr>
          <w:t>2</w:t>
        </w:r>
        <w:r w:rsidRPr="00B63478">
          <w:rPr>
            <w:rStyle w:val="Nmerodepgina"/>
            <w:color w:val="595959" w:themeColor="text1" w:themeTint="A6"/>
          </w:rPr>
          <w:fldChar w:fldCharType="end"/>
        </w:r>
      </w:p>
    </w:sdtContent>
  </w:sdt>
  <w:p w14:paraId="44CEB5F5" w14:textId="77777777" w:rsidR="00BF5137" w:rsidRPr="00B63478" w:rsidRDefault="00BF5137">
    <w:pPr>
      <w:pStyle w:val="Piedepgina"/>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D659F" w14:textId="77777777" w:rsidR="000603B9" w:rsidRDefault="000603B9">
      <w:r>
        <w:separator/>
      </w:r>
    </w:p>
  </w:footnote>
  <w:footnote w:type="continuationSeparator" w:id="0">
    <w:p w14:paraId="47D85C51" w14:textId="77777777" w:rsidR="000603B9" w:rsidRDefault="000603B9">
      <w:r>
        <w:continuationSeparator/>
      </w:r>
    </w:p>
  </w:footnote>
  <w:footnote w:id="1">
    <w:p w14:paraId="0A4E89FB" w14:textId="5CCE0E24" w:rsidR="00DE2577" w:rsidRPr="002C3E64" w:rsidRDefault="00DE2577" w:rsidP="002C3E64">
      <w:pPr>
        <w:pStyle w:val="Textonotapie"/>
        <w:jc w:val="both"/>
        <w:rPr>
          <w:rFonts w:ascii="Arial" w:hAnsi="Arial" w:cs="Arial"/>
          <w:sz w:val="18"/>
          <w:szCs w:val="18"/>
        </w:rPr>
      </w:pPr>
      <w:r w:rsidRPr="002C3E64">
        <w:rPr>
          <w:rStyle w:val="Refdenotaalpie"/>
          <w:rFonts w:ascii="Arial" w:hAnsi="Arial" w:cs="Arial"/>
          <w:sz w:val="18"/>
          <w:szCs w:val="18"/>
        </w:rPr>
        <w:footnoteRef/>
      </w:r>
      <w:r w:rsidRPr="002C3E64">
        <w:rPr>
          <w:rFonts w:ascii="Arial" w:hAnsi="Arial" w:cs="Arial"/>
          <w:sz w:val="18"/>
          <w:szCs w:val="18"/>
        </w:rPr>
        <w:t xml:space="preserve"> https://procesojudicial.ramajudicial.gov.co/Justicia21/Administracion/Ciudadanos/frmConsulta.aspx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51058893"/>
      <w:docPartObj>
        <w:docPartGallery w:val="Page Numbers (Top of Page)"/>
        <w:docPartUnique/>
      </w:docPartObj>
    </w:sdtPr>
    <w:sdtEndPr>
      <w:rPr>
        <w:rStyle w:val="Nmerodepgina"/>
      </w:rPr>
    </w:sdtEndPr>
    <w:sdtContent>
      <w:p w14:paraId="363E79E2" w14:textId="655126C4" w:rsidR="00BF5137" w:rsidRDefault="00BF5137" w:rsidP="00BF513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48C871" w14:textId="77777777" w:rsidR="00BF5137" w:rsidRDefault="00BF5137" w:rsidP="000D42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7269" w14:textId="7B389019" w:rsidR="00BF5137" w:rsidRPr="002C3E64" w:rsidRDefault="00BF5137" w:rsidP="002C3E64">
    <w:pPr>
      <w:pStyle w:val="Encabezado"/>
      <w:ind w:right="360"/>
      <w:jc w:val="both"/>
      <w:rPr>
        <w:rFonts w:ascii="Arial" w:hAnsi="Arial" w:cs="Arial"/>
        <w:sz w:val="18"/>
        <w:szCs w:val="16"/>
      </w:rPr>
    </w:pPr>
    <w:r w:rsidRPr="002C3E64">
      <w:rPr>
        <w:rFonts w:ascii="Arial" w:hAnsi="Arial" w:cs="Arial"/>
        <w:sz w:val="18"/>
        <w:szCs w:val="16"/>
      </w:rPr>
      <w:t>Radicado No. 66</w:t>
    </w:r>
    <w:r w:rsidR="00B96AD5" w:rsidRPr="002C3E64">
      <w:rPr>
        <w:rFonts w:ascii="Arial" w:hAnsi="Arial" w:cs="Arial"/>
        <w:sz w:val="18"/>
        <w:szCs w:val="16"/>
      </w:rPr>
      <w:t>170-31-05-001-2016-00011-01</w:t>
    </w:r>
  </w:p>
  <w:p w14:paraId="703F16C2" w14:textId="4BFB1C00" w:rsidR="00BF5137" w:rsidRPr="002C3E64" w:rsidRDefault="00B96AD5" w:rsidP="002C3E64">
    <w:pPr>
      <w:pStyle w:val="Encabezado"/>
      <w:jc w:val="both"/>
      <w:rPr>
        <w:rFonts w:ascii="Arial" w:hAnsi="Arial" w:cs="Arial"/>
        <w:sz w:val="18"/>
        <w:szCs w:val="16"/>
      </w:rPr>
    </w:pPr>
    <w:r w:rsidRPr="002C3E64">
      <w:rPr>
        <w:rFonts w:ascii="Arial" w:hAnsi="Arial" w:cs="Arial"/>
        <w:sz w:val="18"/>
        <w:szCs w:val="16"/>
      </w:rPr>
      <w:t xml:space="preserve">María </w:t>
    </w:r>
    <w:proofErr w:type="spellStart"/>
    <w:r w:rsidRPr="002C3E64">
      <w:rPr>
        <w:rFonts w:ascii="Arial" w:hAnsi="Arial" w:cs="Arial"/>
        <w:sz w:val="18"/>
        <w:szCs w:val="16"/>
      </w:rPr>
      <w:t>Esneda</w:t>
    </w:r>
    <w:proofErr w:type="spellEnd"/>
    <w:r w:rsidRPr="002C3E64">
      <w:rPr>
        <w:rFonts w:ascii="Arial" w:hAnsi="Arial" w:cs="Arial"/>
        <w:sz w:val="18"/>
        <w:szCs w:val="16"/>
      </w:rPr>
      <w:t xml:space="preserve"> García Marín </w:t>
    </w:r>
    <w:r w:rsidR="00BF5137" w:rsidRPr="002C3E64">
      <w:rPr>
        <w:rFonts w:ascii="Arial" w:hAnsi="Arial" w:cs="Arial"/>
        <w:sz w:val="18"/>
        <w:szCs w:val="16"/>
      </w:rPr>
      <w:t xml:space="preserve">Vs. </w:t>
    </w:r>
    <w:r w:rsidRPr="002C3E64">
      <w:rPr>
        <w:rFonts w:ascii="Arial" w:hAnsi="Arial" w:cs="Arial"/>
        <w:sz w:val="18"/>
        <w:szCs w:val="16"/>
      </w:rPr>
      <w:t>Luz Mery Pico Zabala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nsid w:val="03F57CA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C3D269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D894792"/>
    <w:multiLevelType w:val="hybridMultilevel"/>
    <w:tmpl w:val="43AEED90"/>
    <w:lvl w:ilvl="0" w:tplc="3CE23CEA">
      <w:start w:val="1"/>
      <w:numFmt w:val="ordinalText"/>
      <w:lvlText w:val="%1."/>
      <w:lvlJc w:val="left"/>
      <w:pPr>
        <w:ind w:left="6598" w:hanging="360"/>
      </w:pPr>
      <w:rPr>
        <w:rFonts w:hint="default"/>
        <w:b/>
        <w:caps/>
      </w:r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4">
    <w:nsid w:val="21CF4AFA"/>
    <w:multiLevelType w:val="hybridMultilevel"/>
    <w:tmpl w:val="A5EE3390"/>
    <w:lvl w:ilvl="0" w:tplc="942E0B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464339A0"/>
    <w:multiLevelType w:val="hybridMultilevel"/>
    <w:tmpl w:val="EC2AA374"/>
    <w:lvl w:ilvl="0" w:tplc="3AA8B7A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57331A33"/>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BB84D9E"/>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56451BD"/>
    <w:multiLevelType w:val="hybridMultilevel"/>
    <w:tmpl w:val="C4463B12"/>
    <w:lvl w:ilvl="0" w:tplc="79C88C8E">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7B217448"/>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8"/>
  </w:num>
  <w:num w:numId="6">
    <w:abstractNumId w:val="9"/>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13A28"/>
    <w:rsid w:val="000306B2"/>
    <w:rsid w:val="00032DC4"/>
    <w:rsid w:val="00034C90"/>
    <w:rsid w:val="000359AE"/>
    <w:rsid w:val="000462CB"/>
    <w:rsid w:val="00052021"/>
    <w:rsid w:val="00052445"/>
    <w:rsid w:val="0005786A"/>
    <w:rsid w:val="000603B9"/>
    <w:rsid w:val="000606A3"/>
    <w:rsid w:val="00070791"/>
    <w:rsid w:val="00071D83"/>
    <w:rsid w:val="0007434D"/>
    <w:rsid w:val="00080974"/>
    <w:rsid w:val="00082A14"/>
    <w:rsid w:val="000847F4"/>
    <w:rsid w:val="00086AA8"/>
    <w:rsid w:val="00087656"/>
    <w:rsid w:val="00091255"/>
    <w:rsid w:val="00092039"/>
    <w:rsid w:val="0009415D"/>
    <w:rsid w:val="000A5055"/>
    <w:rsid w:val="000A5611"/>
    <w:rsid w:val="000B1A0D"/>
    <w:rsid w:val="000B5F04"/>
    <w:rsid w:val="000B7D2F"/>
    <w:rsid w:val="000C2C14"/>
    <w:rsid w:val="000C3EAC"/>
    <w:rsid w:val="000C4810"/>
    <w:rsid w:val="000C6AE5"/>
    <w:rsid w:val="000D4224"/>
    <w:rsid w:val="000D4835"/>
    <w:rsid w:val="000D5F39"/>
    <w:rsid w:val="000D6CCC"/>
    <w:rsid w:val="000E091F"/>
    <w:rsid w:val="000E6DDD"/>
    <w:rsid w:val="000F1335"/>
    <w:rsid w:val="000F611F"/>
    <w:rsid w:val="00102DEE"/>
    <w:rsid w:val="001034F9"/>
    <w:rsid w:val="00103659"/>
    <w:rsid w:val="00103D0D"/>
    <w:rsid w:val="00106EA0"/>
    <w:rsid w:val="0010712D"/>
    <w:rsid w:val="00126DA8"/>
    <w:rsid w:val="001325BA"/>
    <w:rsid w:val="001337E6"/>
    <w:rsid w:val="00134DD4"/>
    <w:rsid w:val="0015197B"/>
    <w:rsid w:val="00151DE7"/>
    <w:rsid w:val="00153972"/>
    <w:rsid w:val="00154230"/>
    <w:rsid w:val="00155E9B"/>
    <w:rsid w:val="00156F5F"/>
    <w:rsid w:val="00166125"/>
    <w:rsid w:val="00171B64"/>
    <w:rsid w:val="00176012"/>
    <w:rsid w:val="00185ABF"/>
    <w:rsid w:val="001A1B28"/>
    <w:rsid w:val="001A53EB"/>
    <w:rsid w:val="001A5DE0"/>
    <w:rsid w:val="001B167F"/>
    <w:rsid w:val="001B1B97"/>
    <w:rsid w:val="001B25AA"/>
    <w:rsid w:val="001B4763"/>
    <w:rsid w:val="001C327E"/>
    <w:rsid w:val="001C7829"/>
    <w:rsid w:val="001D41EF"/>
    <w:rsid w:val="001D6E2F"/>
    <w:rsid w:val="001E5907"/>
    <w:rsid w:val="001F1566"/>
    <w:rsid w:val="001F3F57"/>
    <w:rsid w:val="001F452A"/>
    <w:rsid w:val="001F498B"/>
    <w:rsid w:val="001F72A2"/>
    <w:rsid w:val="001F7C88"/>
    <w:rsid w:val="0020203D"/>
    <w:rsid w:val="0021648C"/>
    <w:rsid w:val="00222664"/>
    <w:rsid w:val="00231128"/>
    <w:rsid w:val="002316D7"/>
    <w:rsid w:val="00231E8F"/>
    <w:rsid w:val="00231F1C"/>
    <w:rsid w:val="00233BC5"/>
    <w:rsid w:val="00240208"/>
    <w:rsid w:val="002462AE"/>
    <w:rsid w:val="002501AC"/>
    <w:rsid w:val="002518FF"/>
    <w:rsid w:val="00252C15"/>
    <w:rsid w:val="00255321"/>
    <w:rsid w:val="0026609F"/>
    <w:rsid w:val="00277653"/>
    <w:rsid w:val="00281219"/>
    <w:rsid w:val="0028212F"/>
    <w:rsid w:val="0028440D"/>
    <w:rsid w:val="00284D87"/>
    <w:rsid w:val="002875A4"/>
    <w:rsid w:val="00292CD0"/>
    <w:rsid w:val="00293CC8"/>
    <w:rsid w:val="002A2204"/>
    <w:rsid w:val="002B3653"/>
    <w:rsid w:val="002B5078"/>
    <w:rsid w:val="002C3E64"/>
    <w:rsid w:val="002C558C"/>
    <w:rsid w:val="002C5D5D"/>
    <w:rsid w:val="002D3C0C"/>
    <w:rsid w:val="002D413F"/>
    <w:rsid w:val="002D7885"/>
    <w:rsid w:val="002E0173"/>
    <w:rsid w:val="002E5B3B"/>
    <w:rsid w:val="002F02EF"/>
    <w:rsid w:val="002F1EE2"/>
    <w:rsid w:val="002F5813"/>
    <w:rsid w:val="002F5A3D"/>
    <w:rsid w:val="002F6BD5"/>
    <w:rsid w:val="00300D80"/>
    <w:rsid w:val="00300F7E"/>
    <w:rsid w:val="0030190F"/>
    <w:rsid w:val="0030339A"/>
    <w:rsid w:val="003138F7"/>
    <w:rsid w:val="003161BB"/>
    <w:rsid w:val="003177BB"/>
    <w:rsid w:val="003208B2"/>
    <w:rsid w:val="00320CE1"/>
    <w:rsid w:val="00321E1F"/>
    <w:rsid w:val="0032698F"/>
    <w:rsid w:val="00340AFC"/>
    <w:rsid w:val="00347A74"/>
    <w:rsid w:val="0035321D"/>
    <w:rsid w:val="00354663"/>
    <w:rsid w:val="00355033"/>
    <w:rsid w:val="003671C1"/>
    <w:rsid w:val="0037159B"/>
    <w:rsid w:val="00382CC1"/>
    <w:rsid w:val="003853DF"/>
    <w:rsid w:val="00387BD6"/>
    <w:rsid w:val="00387C8A"/>
    <w:rsid w:val="0039518D"/>
    <w:rsid w:val="003975DD"/>
    <w:rsid w:val="003A015C"/>
    <w:rsid w:val="003A4E80"/>
    <w:rsid w:val="003A7001"/>
    <w:rsid w:val="003A722B"/>
    <w:rsid w:val="003B48CA"/>
    <w:rsid w:val="003B4C7F"/>
    <w:rsid w:val="003B7603"/>
    <w:rsid w:val="003C0B0F"/>
    <w:rsid w:val="003C1B76"/>
    <w:rsid w:val="003C3ECA"/>
    <w:rsid w:val="003C5225"/>
    <w:rsid w:val="003C60D0"/>
    <w:rsid w:val="003E4FB1"/>
    <w:rsid w:val="003F192E"/>
    <w:rsid w:val="003F2932"/>
    <w:rsid w:val="003F37A9"/>
    <w:rsid w:val="003F5D33"/>
    <w:rsid w:val="004114DE"/>
    <w:rsid w:val="00422FC8"/>
    <w:rsid w:val="00423393"/>
    <w:rsid w:val="004237BB"/>
    <w:rsid w:val="00426E1A"/>
    <w:rsid w:val="00430A28"/>
    <w:rsid w:val="00430EB2"/>
    <w:rsid w:val="00432356"/>
    <w:rsid w:val="00442F4E"/>
    <w:rsid w:val="00445236"/>
    <w:rsid w:val="00447766"/>
    <w:rsid w:val="00457737"/>
    <w:rsid w:val="0046333A"/>
    <w:rsid w:val="00467E0B"/>
    <w:rsid w:val="004739FE"/>
    <w:rsid w:val="00482D20"/>
    <w:rsid w:val="0048590D"/>
    <w:rsid w:val="00486439"/>
    <w:rsid w:val="00490C07"/>
    <w:rsid w:val="004926E8"/>
    <w:rsid w:val="0049296D"/>
    <w:rsid w:val="00492B06"/>
    <w:rsid w:val="004A36E8"/>
    <w:rsid w:val="004A3EB9"/>
    <w:rsid w:val="004B7398"/>
    <w:rsid w:val="004B7960"/>
    <w:rsid w:val="004C1D1F"/>
    <w:rsid w:val="004D5BB9"/>
    <w:rsid w:val="004D6A6A"/>
    <w:rsid w:val="004D7867"/>
    <w:rsid w:val="004F4387"/>
    <w:rsid w:val="005019B2"/>
    <w:rsid w:val="00501D1C"/>
    <w:rsid w:val="00504399"/>
    <w:rsid w:val="00504D29"/>
    <w:rsid w:val="00506C89"/>
    <w:rsid w:val="00510411"/>
    <w:rsid w:val="0051150B"/>
    <w:rsid w:val="005116BD"/>
    <w:rsid w:val="005116F4"/>
    <w:rsid w:val="00512CC0"/>
    <w:rsid w:val="00512EF5"/>
    <w:rsid w:val="00522413"/>
    <w:rsid w:val="00525BE5"/>
    <w:rsid w:val="00527589"/>
    <w:rsid w:val="00527B38"/>
    <w:rsid w:val="005331F3"/>
    <w:rsid w:val="00534D89"/>
    <w:rsid w:val="005371F8"/>
    <w:rsid w:val="00541EF1"/>
    <w:rsid w:val="00551379"/>
    <w:rsid w:val="005528B4"/>
    <w:rsid w:val="00560DBE"/>
    <w:rsid w:val="0056412A"/>
    <w:rsid w:val="00566B06"/>
    <w:rsid w:val="0057046F"/>
    <w:rsid w:val="005769DB"/>
    <w:rsid w:val="00580084"/>
    <w:rsid w:val="00584156"/>
    <w:rsid w:val="0058641C"/>
    <w:rsid w:val="00587BC9"/>
    <w:rsid w:val="00590DC3"/>
    <w:rsid w:val="0059236B"/>
    <w:rsid w:val="00594C92"/>
    <w:rsid w:val="005958AC"/>
    <w:rsid w:val="00595C5A"/>
    <w:rsid w:val="005A23D3"/>
    <w:rsid w:val="005A24CE"/>
    <w:rsid w:val="005A3379"/>
    <w:rsid w:val="005A625B"/>
    <w:rsid w:val="005B78AF"/>
    <w:rsid w:val="005C0584"/>
    <w:rsid w:val="005C6D8B"/>
    <w:rsid w:val="005D5595"/>
    <w:rsid w:val="005E54A3"/>
    <w:rsid w:val="005F1C3A"/>
    <w:rsid w:val="005F6D24"/>
    <w:rsid w:val="00600448"/>
    <w:rsid w:val="006004BC"/>
    <w:rsid w:val="00603E70"/>
    <w:rsid w:val="006045BC"/>
    <w:rsid w:val="006054CC"/>
    <w:rsid w:val="00621BFE"/>
    <w:rsid w:val="00626079"/>
    <w:rsid w:val="00627E8D"/>
    <w:rsid w:val="0063293D"/>
    <w:rsid w:val="00632B55"/>
    <w:rsid w:val="00641567"/>
    <w:rsid w:val="00641C45"/>
    <w:rsid w:val="00643446"/>
    <w:rsid w:val="00645447"/>
    <w:rsid w:val="00645557"/>
    <w:rsid w:val="0065133E"/>
    <w:rsid w:val="006544D1"/>
    <w:rsid w:val="006571BD"/>
    <w:rsid w:val="00666EE8"/>
    <w:rsid w:val="006863F8"/>
    <w:rsid w:val="00695BAC"/>
    <w:rsid w:val="006A4397"/>
    <w:rsid w:val="006A4F48"/>
    <w:rsid w:val="006A5505"/>
    <w:rsid w:val="006A6C75"/>
    <w:rsid w:val="006B16E3"/>
    <w:rsid w:val="006B7B4D"/>
    <w:rsid w:val="006C01AD"/>
    <w:rsid w:val="006C2755"/>
    <w:rsid w:val="006C5329"/>
    <w:rsid w:val="006C667B"/>
    <w:rsid w:val="006D5359"/>
    <w:rsid w:val="006D586A"/>
    <w:rsid w:val="006D5D6D"/>
    <w:rsid w:val="006E05AA"/>
    <w:rsid w:val="006E10FC"/>
    <w:rsid w:val="006E21EF"/>
    <w:rsid w:val="006F733D"/>
    <w:rsid w:val="006F79BC"/>
    <w:rsid w:val="007133D9"/>
    <w:rsid w:val="00721932"/>
    <w:rsid w:val="00724437"/>
    <w:rsid w:val="00725670"/>
    <w:rsid w:val="00725EEC"/>
    <w:rsid w:val="007261B0"/>
    <w:rsid w:val="00730D7B"/>
    <w:rsid w:val="007328CE"/>
    <w:rsid w:val="007334C9"/>
    <w:rsid w:val="00741E5B"/>
    <w:rsid w:val="00751284"/>
    <w:rsid w:val="00751F2C"/>
    <w:rsid w:val="00754AED"/>
    <w:rsid w:val="00767E1B"/>
    <w:rsid w:val="007750F1"/>
    <w:rsid w:val="00775BF9"/>
    <w:rsid w:val="00780E3D"/>
    <w:rsid w:val="00785045"/>
    <w:rsid w:val="00786E53"/>
    <w:rsid w:val="00793BF1"/>
    <w:rsid w:val="00793F9E"/>
    <w:rsid w:val="007A4F1A"/>
    <w:rsid w:val="007A6875"/>
    <w:rsid w:val="007A779C"/>
    <w:rsid w:val="007A7D8D"/>
    <w:rsid w:val="007B2A1A"/>
    <w:rsid w:val="007B52DB"/>
    <w:rsid w:val="007B705E"/>
    <w:rsid w:val="007B7F32"/>
    <w:rsid w:val="007C0BDA"/>
    <w:rsid w:val="007C24DE"/>
    <w:rsid w:val="007C5E1F"/>
    <w:rsid w:val="007C67B5"/>
    <w:rsid w:val="007C7C53"/>
    <w:rsid w:val="007D06FB"/>
    <w:rsid w:val="007D7BA7"/>
    <w:rsid w:val="007E19E7"/>
    <w:rsid w:val="007F14A9"/>
    <w:rsid w:val="00803FD6"/>
    <w:rsid w:val="00804FA1"/>
    <w:rsid w:val="0081512F"/>
    <w:rsid w:val="0082006E"/>
    <w:rsid w:val="00824DC6"/>
    <w:rsid w:val="008301D2"/>
    <w:rsid w:val="00831B29"/>
    <w:rsid w:val="00843101"/>
    <w:rsid w:val="008620C8"/>
    <w:rsid w:val="00865C15"/>
    <w:rsid w:val="00866BD8"/>
    <w:rsid w:val="00867119"/>
    <w:rsid w:val="00871218"/>
    <w:rsid w:val="008742B9"/>
    <w:rsid w:val="00874561"/>
    <w:rsid w:val="00877327"/>
    <w:rsid w:val="00882C03"/>
    <w:rsid w:val="008857DA"/>
    <w:rsid w:val="00885E6D"/>
    <w:rsid w:val="00886704"/>
    <w:rsid w:val="008876C5"/>
    <w:rsid w:val="0088799B"/>
    <w:rsid w:val="008913D1"/>
    <w:rsid w:val="008927FB"/>
    <w:rsid w:val="00894425"/>
    <w:rsid w:val="008951E9"/>
    <w:rsid w:val="008958BE"/>
    <w:rsid w:val="008966BC"/>
    <w:rsid w:val="00896991"/>
    <w:rsid w:val="008A1950"/>
    <w:rsid w:val="008A455E"/>
    <w:rsid w:val="008A5462"/>
    <w:rsid w:val="008A5472"/>
    <w:rsid w:val="008B4283"/>
    <w:rsid w:val="008B7FC6"/>
    <w:rsid w:val="008C16EC"/>
    <w:rsid w:val="008C5E79"/>
    <w:rsid w:val="008D0014"/>
    <w:rsid w:val="008D17DA"/>
    <w:rsid w:val="008D1B23"/>
    <w:rsid w:val="008D4500"/>
    <w:rsid w:val="008D7304"/>
    <w:rsid w:val="008D7F57"/>
    <w:rsid w:val="008E314B"/>
    <w:rsid w:val="008F5BD5"/>
    <w:rsid w:val="008F6082"/>
    <w:rsid w:val="008F7901"/>
    <w:rsid w:val="00902321"/>
    <w:rsid w:val="0091568B"/>
    <w:rsid w:val="00927CA4"/>
    <w:rsid w:val="009314CC"/>
    <w:rsid w:val="009351AC"/>
    <w:rsid w:val="009366C8"/>
    <w:rsid w:val="0093683E"/>
    <w:rsid w:val="009430BA"/>
    <w:rsid w:val="00943C9E"/>
    <w:rsid w:val="00947085"/>
    <w:rsid w:val="009523EF"/>
    <w:rsid w:val="0095697B"/>
    <w:rsid w:val="00960303"/>
    <w:rsid w:val="00960B54"/>
    <w:rsid w:val="00964280"/>
    <w:rsid w:val="00964F7D"/>
    <w:rsid w:val="00965856"/>
    <w:rsid w:val="009700D7"/>
    <w:rsid w:val="009776B2"/>
    <w:rsid w:val="0098715D"/>
    <w:rsid w:val="0099184A"/>
    <w:rsid w:val="00992528"/>
    <w:rsid w:val="00995AD7"/>
    <w:rsid w:val="00995BB6"/>
    <w:rsid w:val="00996129"/>
    <w:rsid w:val="00997659"/>
    <w:rsid w:val="009A3C7F"/>
    <w:rsid w:val="009B117D"/>
    <w:rsid w:val="009B234F"/>
    <w:rsid w:val="009B2B76"/>
    <w:rsid w:val="009B5938"/>
    <w:rsid w:val="009B5AEF"/>
    <w:rsid w:val="009C0443"/>
    <w:rsid w:val="009C119E"/>
    <w:rsid w:val="009D08FF"/>
    <w:rsid w:val="009D1AFB"/>
    <w:rsid w:val="009D7A34"/>
    <w:rsid w:val="009E02E7"/>
    <w:rsid w:val="009E6C51"/>
    <w:rsid w:val="009E7308"/>
    <w:rsid w:val="009F2252"/>
    <w:rsid w:val="009F50BE"/>
    <w:rsid w:val="00A0693D"/>
    <w:rsid w:val="00A07CAE"/>
    <w:rsid w:val="00A07D82"/>
    <w:rsid w:val="00A22C9B"/>
    <w:rsid w:val="00A2646B"/>
    <w:rsid w:val="00A4231C"/>
    <w:rsid w:val="00A42FF8"/>
    <w:rsid w:val="00A440DF"/>
    <w:rsid w:val="00A466B8"/>
    <w:rsid w:val="00A47012"/>
    <w:rsid w:val="00A50943"/>
    <w:rsid w:val="00A52E85"/>
    <w:rsid w:val="00A532D6"/>
    <w:rsid w:val="00A62E31"/>
    <w:rsid w:val="00A63DFF"/>
    <w:rsid w:val="00A654B1"/>
    <w:rsid w:val="00A675DE"/>
    <w:rsid w:val="00A75476"/>
    <w:rsid w:val="00A86E8C"/>
    <w:rsid w:val="00A90B58"/>
    <w:rsid w:val="00AA0A33"/>
    <w:rsid w:val="00AA364F"/>
    <w:rsid w:val="00AB282B"/>
    <w:rsid w:val="00AB3938"/>
    <w:rsid w:val="00AB600B"/>
    <w:rsid w:val="00AB750F"/>
    <w:rsid w:val="00AD4B7D"/>
    <w:rsid w:val="00AD6EE1"/>
    <w:rsid w:val="00AE5964"/>
    <w:rsid w:val="00AE7A43"/>
    <w:rsid w:val="00AF0D2E"/>
    <w:rsid w:val="00AF1F0E"/>
    <w:rsid w:val="00AF360F"/>
    <w:rsid w:val="00AF4B50"/>
    <w:rsid w:val="00B04F9B"/>
    <w:rsid w:val="00B11E8C"/>
    <w:rsid w:val="00B146A0"/>
    <w:rsid w:val="00B168BB"/>
    <w:rsid w:val="00B176EC"/>
    <w:rsid w:val="00B201D8"/>
    <w:rsid w:val="00B2288C"/>
    <w:rsid w:val="00B22944"/>
    <w:rsid w:val="00B24C21"/>
    <w:rsid w:val="00B308E5"/>
    <w:rsid w:val="00B55248"/>
    <w:rsid w:val="00B55DA9"/>
    <w:rsid w:val="00B63478"/>
    <w:rsid w:val="00B657F2"/>
    <w:rsid w:val="00B66B22"/>
    <w:rsid w:val="00B77E5C"/>
    <w:rsid w:val="00B82423"/>
    <w:rsid w:val="00B846A8"/>
    <w:rsid w:val="00B84C8C"/>
    <w:rsid w:val="00B903C8"/>
    <w:rsid w:val="00B93B15"/>
    <w:rsid w:val="00B96AD5"/>
    <w:rsid w:val="00BA2961"/>
    <w:rsid w:val="00BB581B"/>
    <w:rsid w:val="00BB635D"/>
    <w:rsid w:val="00BD165D"/>
    <w:rsid w:val="00BD3425"/>
    <w:rsid w:val="00BD5211"/>
    <w:rsid w:val="00BD5FF5"/>
    <w:rsid w:val="00BE230E"/>
    <w:rsid w:val="00BE5944"/>
    <w:rsid w:val="00BF0D0C"/>
    <w:rsid w:val="00BF5137"/>
    <w:rsid w:val="00BF7D29"/>
    <w:rsid w:val="00C0730C"/>
    <w:rsid w:val="00C12658"/>
    <w:rsid w:val="00C17A0A"/>
    <w:rsid w:val="00C20BCC"/>
    <w:rsid w:val="00C22506"/>
    <w:rsid w:val="00C244C4"/>
    <w:rsid w:val="00C31335"/>
    <w:rsid w:val="00C33DF9"/>
    <w:rsid w:val="00C34995"/>
    <w:rsid w:val="00C43C7F"/>
    <w:rsid w:val="00C441F4"/>
    <w:rsid w:val="00C462B1"/>
    <w:rsid w:val="00C85283"/>
    <w:rsid w:val="00C91AD7"/>
    <w:rsid w:val="00C9396B"/>
    <w:rsid w:val="00C96A98"/>
    <w:rsid w:val="00CA1E9E"/>
    <w:rsid w:val="00CA60B4"/>
    <w:rsid w:val="00CA6716"/>
    <w:rsid w:val="00CB0166"/>
    <w:rsid w:val="00CC70D5"/>
    <w:rsid w:val="00CD1FD2"/>
    <w:rsid w:val="00CD3F03"/>
    <w:rsid w:val="00CE7352"/>
    <w:rsid w:val="00CF28F7"/>
    <w:rsid w:val="00CF6F76"/>
    <w:rsid w:val="00D0195A"/>
    <w:rsid w:val="00D021F9"/>
    <w:rsid w:val="00D0309E"/>
    <w:rsid w:val="00D06949"/>
    <w:rsid w:val="00D149D3"/>
    <w:rsid w:val="00D14B96"/>
    <w:rsid w:val="00D16423"/>
    <w:rsid w:val="00D24D9F"/>
    <w:rsid w:val="00D31123"/>
    <w:rsid w:val="00D323A6"/>
    <w:rsid w:val="00D33239"/>
    <w:rsid w:val="00D354F3"/>
    <w:rsid w:val="00D35AE8"/>
    <w:rsid w:val="00D4296B"/>
    <w:rsid w:val="00D622CF"/>
    <w:rsid w:val="00D651FF"/>
    <w:rsid w:val="00D80FCE"/>
    <w:rsid w:val="00D84086"/>
    <w:rsid w:val="00D917C4"/>
    <w:rsid w:val="00D9338B"/>
    <w:rsid w:val="00DA3E18"/>
    <w:rsid w:val="00DA522F"/>
    <w:rsid w:val="00DC1B37"/>
    <w:rsid w:val="00DC25D2"/>
    <w:rsid w:val="00DC44BF"/>
    <w:rsid w:val="00DC4CC0"/>
    <w:rsid w:val="00DD0FD7"/>
    <w:rsid w:val="00DD158C"/>
    <w:rsid w:val="00DD2136"/>
    <w:rsid w:val="00DE2577"/>
    <w:rsid w:val="00DE63AA"/>
    <w:rsid w:val="00DF3F18"/>
    <w:rsid w:val="00DF7EAE"/>
    <w:rsid w:val="00E029AD"/>
    <w:rsid w:val="00E104E7"/>
    <w:rsid w:val="00E20B13"/>
    <w:rsid w:val="00E25754"/>
    <w:rsid w:val="00E27FEA"/>
    <w:rsid w:val="00E348DE"/>
    <w:rsid w:val="00E37378"/>
    <w:rsid w:val="00E40225"/>
    <w:rsid w:val="00E64016"/>
    <w:rsid w:val="00E67553"/>
    <w:rsid w:val="00E73B94"/>
    <w:rsid w:val="00E76FD5"/>
    <w:rsid w:val="00E81A52"/>
    <w:rsid w:val="00E86CDE"/>
    <w:rsid w:val="00E93C7A"/>
    <w:rsid w:val="00EA3D5B"/>
    <w:rsid w:val="00EA5BAB"/>
    <w:rsid w:val="00EB124D"/>
    <w:rsid w:val="00EB1CA9"/>
    <w:rsid w:val="00EB1E36"/>
    <w:rsid w:val="00EB4497"/>
    <w:rsid w:val="00EC0F5A"/>
    <w:rsid w:val="00EC5134"/>
    <w:rsid w:val="00EC63F8"/>
    <w:rsid w:val="00ED4120"/>
    <w:rsid w:val="00EE1525"/>
    <w:rsid w:val="00EE5B75"/>
    <w:rsid w:val="00EF1464"/>
    <w:rsid w:val="00EF3584"/>
    <w:rsid w:val="00EF6F0E"/>
    <w:rsid w:val="00F01767"/>
    <w:rsid w:val="00F0331C"/>
    <w:rsid w:val="00F049CE"/>
    <w:rsid w:val="00F05B18"/>
    <w:rsid w:val="00F0754D"/>
    <w:rsid w:val="00F122C0"/>
    <w:rsid w:val="00F13D1F"/>
    <w:rsid w:val="00F14E82"/>
    <w:rsid w:val="00F30AAC"/>
    <w:rsid w:val="00F31130"/>
    <w:rsid w:val="00F51995"/>
    <w:rsid w:val="00F63A10"/>
    <w:rsid w:val="00F66116"/>
    <w:rsid w:val="00F74634"/>
    <w:rsid w:val="00F76ED4"/>
    <w:rsid w:val="00F81DBE"/>
    <w:rsid w:val="00F85E1C"/>
    <w:rsid w:val="00F90DCC"/>
    <w:rsid w:val="00F91BEE"/>
    <w:rsid w:val="00F933CA"/>
    <w:rsid w:val="00F935AC"/>
    <w:rsid w:val="00FA036D"/>
    <w:rsid w:val="00FA2103"/>
    <w:rsid w:val="00FA3760"/>
    <w:rsid w:val="00FA75B6"/>
    <w:rsid w:val="00FB2B5B"/>
    <w:rsid w:val="00FB357A"/>
    <w:rsid w:val="00FB45B6"/>
    <w:rsid w:val="00FB6BF8"/>
    <w:rsid w:val="00FB6EB1"/>
    <w:rsid w:val="00FC415F"/>
    <w:rsid w:val="00FC5914"/>
    <w:rsid w:val="00FD187D"/>
    <w:rsid w:val="00FD4762"/>
    <w:rsid w:val="00FD4ACB"/>
    <w:rsid w:val="00FE29F0"/>
    <w:rsid w:val="00FE2B64"/>
    <w:rsid w:val="00FE60C3"/>
    <w:rsid w:val="00FF00FF"/>
    <w:rsid w:val="00FF1550"/>
    <w:rsid w:val="00FF15DF"/>
    <w:rsid w:val="00FF1E04"/>
    <w:rsid w:val="00FF6BCE"/>
    <w:rsid w:val="014D1AD3"/>
    <w:rsid w:val="0193C301"/>
    <w:rsid w:val="02F0E5D5"/>
    <w:rsid w:val="043EB226"/>
    <w:rsid w:val="05B79C0F"/>
    <w:rsid w:val="084B1EC0"/>
    <w:rsid w:val="08E1DC94"/>
    <w:rsid w:val="0932EA02"/>
    <w:rsid w:val="0949907C"/>
    <w:rsid w:val="0F9C3C1A"/>
    <w:rsid w:val="10D3F95C"/>
    <w:rsid w:val="13EE1B76"/>
    <w:rsid w:val="14AAA359"/>
    <w:rsid w:val="15544A1F"/>
    <w:rsid w:val="1578CBFB"/>
    <w:rsid w:val="16B2735B"/>
    <w:rsid w:val="17191717"/>
    <w:rsid w:val="1726B235"/>
    <w:rsid w:val="17A5F158"/>
    <w:rsid w:val="181A0665"/>
    <w:rsid w:val="186E41AD"/>
    <w:rsid w:val="1AEDDF95"/>
    <w:rsid w:val="1C8FC868"/>
    <w:rsid w:val="1D9E512B"/>
    <w:rsid w:val="1E4FAFB2"/>
    <w:rsid w:val="1EADF9F3"/>
    <w:rsid w:val="254D80A4"/>
    <w:rsid w:val="256B7A5E"/>
    <w:rsid w:val="26DA5F62"/>
    <w:rsid w:val="2857B18D"/>
    <w:rsid w:val="2A3FE000"/>
    <w:rsid w:val="2A54888D"/>
    <w:rsid w:val="2D462152"/>
    <w:rsid w:val="2DF0E265"/>
    <w:rsid w:val="300D3FBC"/>
    <w:rsid w:val="30EDBC9E"/>
    <w:rsid w:val="316A39EC"/>
    <w:rsid w:val="329C1E71"/>
    <w:rsid w:val="335AE821"/>
    <w:rsid w:val="34C436E3"/>
    <w:rsid w:val="34FB2797"/>
    <w:rsid w:val="3598693E"/>
    <w:rsid w:val="37888BF7"/>
    <w:rsid w:val="379B83A8"/>
    <w:rsid w:val="383846BD"/>
    <w:rsid w:val="3C7155B4"/>
    <w:rsid w:val="3F049D85"/>
    <w:rsid w:val="3F97DD1E"/>
    <w:rsid w:val="3FD4D8F3"/>
    <w:rsid w:val="417C5CAB"/>
    <w:rsid w:val="48B96E94"/>
    <w:rsid w:val="48F5F670"/>
    <w:rsid w:val="49415E99"/>
    <w:rsid w:val="4A039B96"/>
    <w:rsid w:val="4AF75D88"/>
    <w:rsid w:val="4B9D6628"/>
    <w:rsid w:val="4EB3AFFD"/>
    <w:rsid w:val="5019FFEA"/>
    <w:rsid w:val="53E09581"/>
    <w:rsid w:val="564CBB91"/>
    <w:rsid w:val="571033A1"/>
    <w:rsid w:val="57D5414B"/>
    <w:rsid w:val="58009F36"/>
    <w:rsid w:val="58916C17"/>
    <w:rsid w:val="5999B6E4"/>
    <w:rsid w:val="5B9E2D6A"/>
    <w:rsid w:val="5D259872"/>
    <w:rsid w:val="5D985E17"/>
    <w:rsid w:val="5D99EE28"/>
    <w:rsid w:val="5E8DF274"/>
    <w:rsid w:val="609B3A6D"/>
    <w:rsid w:val="61118310"/>
    <w:rsid w:val="619B697B"/>
    <w:rsid w:val="620B92CD"/>
    <w:rsid w:val="6469E80D"/>
    <w:rsid w:val="65825CC4"/>
    <w:rsid w:val="65D32604"/>
    <w:rsid w:val="663C2946"/>
    <w:rsid w:val="680AB0E0"/>
    <w:rsid w:val="6DB13BB9"/>
    <w:rsid w:val="6F721FD9"/>
    <w:rsid w:val="6FD505D7"/>
    <w:rsid w:val="71685A55"/>
    <w:rsid w:val="75FCF28C"/>
    <w:rsid w:val="7698F69D"/>
    <w:rsid w:val="77C49B25"/>
    <w:rsid w:val="77D5A3AF"/>
    <w:rsid w:val="7859CFA2"/>
    <w:rsid w:val="79C1679D"/>
    <w:rsid w:val="7B81E8C2"/>
    <w:rsid w:val="7CB0EB94"/>
    <w:rsid w:val="7DA245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59">
      <w:bodyDiv w:val="1"/>
      <w:marLeft w:val="0"/>
      <w:marRight w:val="0"/>
      <w:marTop w:val="0"/>
      <w:marBottom w:val="0"/>
      <w:divBdr>
        <w:top w:val="none" w:sz="0" w:space="0" w:color="auto"/>
        <w:left w:val="none" w:sz="0" w:space="0" w:color="auto"/>
        <w:bottom w:val="none" w:sz="0" w:space="0" w:color="auto"/>
        <w:right w:val="none" w:sz="0" w:space="0" w:color="auto"/>
      </w:divBdr>
    </w:div>
    <w:div w:id="201947621">
      <w:bodyDiv w:val="1"/>
      <w:marLeft w:val="0"/>
      <w:marRight w:val="0"/>
      <w:marTop w:val="0"/>
      <w:marBottom w:val="0"/>
      <w:divBdr>
        <w:top w:val="none" w:sz="0" w:space="0" w:color="auto"/>
        <w:left w:val="none" w:sz="0" w:space="0" w:color="auto"/>
        <w:bottom w:val="none" w:sz="0" w:space="0" w:color="auto"/>
        <w:right w:val="none" w:sz="0" w:space="0" w:color="auto"/>
      </w:divBdr>
    </w:div>
    <w:div w:id="232277673">
      <w:bodyDiv w:val="1"/>
      <w:marLeft w:val="0"/>
      <w:marRight w:val="0"/>
      <w:marTop w:val="0"/>
      <w:marBottom w:val="0"/>
      <w:divBdr>
        <w:top w:val="none" w:sz="0" w:space="0" w:color="auto"/>
        <w:left w:val="none" w:sz="0" w:space="0" w:color="auto"/>
        <w:bottom w:val="none" w:sz="0" w:space="0" w:color="auto"/>
        <w:right w:val="none" w:sz="0" w:space="0" w:color="auto"/>
      </w:divBdr>
    </w:div>
    <w:div w:id="594677382">
      <w:bodyDiv w:val="1"/>
      <w:marLeft w:val="0"/>
      <w:marRight w:val="0"/>
      <w:marTop w:val="0"/>
      <w:marBottom w:val="0"/>
      <w:divBdr>
        <w:top w:val="none" w:sz="0" w:space="0" w:color="auto"/>
        <w:left w:val="none" w:sz="0" w:space="0" w:color="auto"/>
        <w:bottom w:val="none" w:sz="0" w:space="0" w:color="auto"/>
        <w:right w:val="none" w:sz="0" w:space="0" w:color="auto"/>
      </w:divBdr>
    </w:div>
    <w:div w:id="1091199870">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667512423">
      <w:bodyDiv w:val="1"/>
      <w:marLeft w:val="0"/>
      <w:marRight w:val="0"/>
      <w:marTop w:val="0"/>
      <w:marBottom w:val="0"/>
      <w:divBdr>
        <w:top w:val="none" w:sz="0" w:space="0" w:color="auto"/>
        <w:left w:val="none" w:sz="0" w:space="0" w:color="auto"/>
        <w:bottom w:val="none" w:sz="0" w:space="0" w:color="auto"/>
        <w:right w:val="none" w:sz="0" w:space="0" w:color="auto"/>
      </w:divBdr>
    </w:div>
    <w:div w:id="1712874437">
      <w:bodyDiv w:val="1"/>
      <w:marLeft w:val="0"/>
      <w:marRight w:val="0"/>
      <w:marTop w:val="0"/>
      <w:marBottom w:val="0"/>
      <w:divBdr>
        <w:top w:val="none" w:sz="0" w:space="0" w:color="auto"/>
        <w:left w:val="none" w:sz="0" w:space="0" w:color="auto"/>
        <w:bottom w:val="none" w:sz="0" w:space="0" w:color="auto"/>
        <w:right w:val="none" w:sz="0" w:space="0" w:color="auto"/>
      </w:divBdr>
    </w:div>
    <w:div w:id="1931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0e611cacb26640f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C66E-F8A5-4553-8344-5A17EDFBA833}">
  <ds:schemaRefs>
    <ds:schemaRef ds:uri="http://schemas.microsoft.com/sharepoint/v3/contenttype/forms"/>
  </ds:schemaRefs>
</ds:datastoreItem>
</file>

<file path=customXml/itemProps2.xml><?xml version="1.0" encoding="utf-8"?>
<ds:datastoreItem xmlns:ds="http://schemas.openxmlformats.org/officeDocument/2006/customXml" ds:itemID="{B962C1C2-5AEE-4CA8-B5F4-08E08913C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465B9-DF6D-4CC5-8BF5-96CE4033F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D6EE3-FE47-4BC0-9FD8-7C53201E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2108</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ALONSO</cp:lastModifiedBy>
  <cp:revision>5</cp:revision>
  <cp:lastPrinted>2020-07-27T13:10:00Z</cp:lastPrinted>
  <dcterms:created xsi:type="dcterms:W3CDTF">2020-11-27T13:03:00Z</dcterms:created>
  <dcterms:modified xsi:type="dcterms:W3CDTF">2020-12-07T15:56:00Z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