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371B408" w14:textId="77777777" w:rsidR="00A71BD5" w:rsidRPr="00A71BD5" w:rsidRDefault="00A71BD5" w:rsidP="00A71BD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71BD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1473AC" w14:textId="77777777" w:rsidR="00A71BD5" w:rsidRPr="00A71BD5" w:rsidRDefault="00A71BD5" w:rsidP="00A71BD5">
      <w:pPr>
        <w:jc w:val="both"/>
        <w:rPr>
          <w:rFonts w:ascii="Arial" w:hAnsi="Arial" w:cs="Arial"/>
          <w:sz w:val="20"/>
          <w:lang w:val="es-419"/>
        </w:rPr>
      </w:pPr>
    </w:p>
    <w:p w14:paraId="57A63C04" w14:textId="2B939C32" w:rsidR="00A71BD5" w:rsidRPr="00A71BD5" w:rsidRDefault="00A71BD5" w:rsidP="00A71BD5">
      <w:pPr>
        <w:jc w:val="both"/>
        <w:rPr>
          <w:rFonts w:ascii="Arial" w:hAnsi="Arial" w:cs="Arial"/>
          <w:b/>
          <w:bCs/>
          <w:iCs/>
          <w:sz w:val="20"/>
          <w:lang w:val="es-419" w:eastAsia="fr-FR"/>
        </w:rPr>
      </w:pPr>
      <w:r w:rsidRPr="00A71BD5">
        <w:rPr>
          <w:rFonts w:ascii="Arial" w:hAnsi="Arial" w:cs="Arial"/>
          <w:b/>
          <w:bCs/>
          <w:iCs/>
          <w:sz w:val="20"/>
          <w:u w:val="single"/>
          <w:lang w:val="es-419" w:eastAsia="fr-FR"/>
        </w:rPr>
        <w:t>TEMAS:</w:t>
      </w:r>
      <w:r w:rsidRPr="00A71BD5">
        <w:rPr>
          <w:rFonts w:ascii="Arial" w:hAnsi="Arial" w:cs="Arial"/>
          <w:b/>
          <w:bCs/>
          <w:iCs/>
          <w:sz w:val="20"/>
          <w:lang w:val="es-419" w:eastAsia="fr-FR"/>
        </w:rPr>
        <w:tab/>
      </w:r>
      <w:r w:rsidRPr="00A71BD5">
        <w:rPr>
          <w:rFonts w:ascii="Arial" w:hAnsi="Arial" w:cs="Arial"/>
          <w:b/>
          <w:sz w:val="20"/>
          <w:lang w:val="es-419"/>
        </w:rPr>
        <w:t xml:space="preserve">INEFICACIA TRASLADO DE RÉGIMEN PENSIONAL / DEBER DE INFORMACIÓN DE LAS AFP / ES CARGA DE LA ENTIDAD DEMOSTRAR QUE CUMPLIÓ DICHA OBLIGACIÓN / </w:t>
      </w:r>
      <w:r w:rsidR="00CC1633">
        <w:rPr>
          <w:rFonts w:ascii="Arial" w:hAnsi="Arial" w:cs="Arial"/>
          <w:b/>
          <w:sz w:val="20"/>
          <w:lang w:val="es-419"/>
        </w:rPr>
        <w:t xml:space="preserve">PRINCIPIO DE CONGRUENCIA / </w:t>
      </w:r>
      <w:r w:rsidR="00CC1633">
        <w:rPr>
          <w:rFonts w:ascii="Arial" w:hAnsi="Arial" w:cs="Arial"/>
          <w:b/>
          <w:sz w:val="20"/>
          <w:lang w:val="es-419"/>
        </w:rPr>
        <w:t>CONFESIÓN FICTA /</w:t>
      </w:r>
      <w:r w:rsidR="00CC1633">
        <w:rPr>
          <w:rFonts w:ascii="Arial" w:hAnsi="Arial" w:cs="Arial"/>
          <w:b/>
          <w:sz w:val="20"/>
          <w:lang w:val="es-419"/>
        </w:rPr>
        <w:t xml:space="preserve"> VALORACIÓN PROBATORIA</w:t>
      </w:r>
      <w:r w:rsidRPr="00A71BD5">
        <w:rPr>
          <w:rFonts w:ascii="Arial" w:hAnsi="Arial" w:cs="Arial"/>
          <w:b/>
          <w:sz w:val="20"/>
          <w:lang w:val="es-419"/>
        </w:rPr>
        <w:t>.</w:t>
      </w:r>
    </w:p>
    <w:p w14:paraId="1F593794" w14:textId="77777777" w:rsidR="00A71BD5" w:rsidRPr="00A71BD5" w:rsidRDefault="00A71BD5" w:rsidP="00A71BD5">
      <w:pPr>
        <w:jc w:val="both"/>
        <w:rPr>
          <w:rFonts w:ascii="Arial" w:hAnsi="Arial" w:cs="Arial"/>
          <w:sz w:val="20"/>
          <w:lang w:val="es-419"/>
        </w:rPr>
      </w:pPr>
    </w:p>
    <w:p w14:paraId="3CB5DF3D" w14:textId="77777777" w:rsidR="00A71BD5" w:rsidRPr="00A71BD5" w:rsidRDefault="00A71BD5" w:rsidP="00A71BD5">
      <w:pPr>
        <w:jc w:val="both"/>
        <w:rPr>
          <w:rFonts w:ascii="Arial" w:hAnsi="Arial" w:cs="Arial"/>
          <w:sz w:val="20"/>
          <w:lang w:val="es-419"/>
        </w:rPr>
      </w:pPr>
      <w:r w:rsidRPr="00A71BD5">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28420306" w14:textId="77777777" w:rsidR="00A71BD5" w:rsidRPr="00A71BD5" w:rsidRDefault="00A71BD5" w:rsidP="00A71BD5">
      <w:pPr>
        <w:jc w:val="both"/>
        <w:rPr>
          <w:rFonts w:ascii="Arial" w:hAnsi="Arial" w:cs="Arial"/>
          <w:sz w:val="20"/>
          <w:lang w:val="es-419"/>
        </w:rPr>
      </w:pPr>
    </w:p>
    <w:p w14:paraId="077ACB2F" w14:textId="77777777" w:rsidR="00A71BD5" w:rsidRPr="00A71BD5" w:rsidRDefault="00A71BD5" w:rsidP="00A71BD5">
      <w:pPr>
        <w:jc w:val="both"/>
        <w:rPr>
          <w:rFonts w:ascii="Arial" w:hAnsi="Arial" w:cs="Arial"/>
          <w:sz w:val="20"/>
          <w:lang w:val="es-419"/>
        </w:rPr>
      </w:pPr>
      <w:r w:rsidRPr="00A71BD5">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0CD180ED" w14:textId="77777777" w:rsidR="00A71BD5" w:rsidRPr="00A71BD5" w:rsidRDefault="00A71BD5" w:rsidP="00A71BD5">
      <w:pPr>
        <w:jc w:val="both"/>
        <w:rPr>
          <w:rFonts w:ascii="Arial" w:hAnsi="Arial" w:cs="Arial"/>
          <w:sz w:val="20"/>
          <w:lang w:val="es-419"/>
        </w:rPr>
      </w:pPr>
    </w:p>
    <w:p w14:paraId="5C4BB613" w14:textId="56D528EA" w:rsidR="00A71BD5" w:rsidRPr="00A71BD5" w:rsidRDefault="00A71BD5" w:rsidP="00A71BD5">
      <w:pPr>
        <w:jc w:val="both"/>
        <w:rPr>
          <w:rFonts w:ascii="Arial" w:hAnsi="Arial" w:cs="Arial"/>
          <w:sz w:val="20"/>
          <w:lang w:val="es-419"/>
        </w:rPr>
      </w:pPr>
      <w:r w:rsidRPr="00A71BD5">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w:t>
      </w:r>
      <w:r w:rsidR="00CC1633">
        <w:rPr>
          <w:rFonts w:ascii="Arial" w:hAnsi="Arial" w:cs="Arial"/>
          <w:sz w:val="20"/>
          <w:lang w:val="es-419"/>
        </w:rPr>
        <w:t>…”</w:t>
      </w:r>
    </w:p>
    <w:p w14:paraId="5F94D6A9" w14:textId="77777777" w:rsidR="00A71BD5" w:rsidRPr="00A71BD5" w:rsidRDefault="00A71BD5" w:rsidP="00A71BD5">
      <w:pPr>
        <w:jc w:val="both"/>
        <w:rPr>
          <w:rFonts w:ascii="Arial" w:hAnsi="Arial" w:cs="Arial"/>
          <w:sz w:val="20"/>
          <w:lang w:val="es-419"/>
        </w:rPr>
      </w:pPr>
    </w:p>
    <w:p w14:paraId="6BFBF07A" w14:textId="77777777" w:rsidR="00A71BD5" w:rsidRPr="00A71BD5" w:rsidRDefault="00A71BD5" w:rsidP="00A71BD5">
      <w:pPr>
        <w:jc w:val="both"/>
        <w:rPr>
          <w:rFonts w:ascii="Arial" w:hAnsi="Arial" w:cs="Arial"/>
          <w:sz w:val="20"/>
          <w:lang w:val="es-419"/>
        </w:rPr>
      </w:pPr>
      <w:r w:rsidRPr="00A71BD5">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3B45656B" w14:textId="77777777" w:rsidR="00A71BD5" w:rsidRPr="00A71BD5" w:rsidRDefault="00A71BD5" w:rsidP="00A71BD5">
      <w:pPr>
        <w:jc w:val="both"/>
        <w:rPr>
          <w:rFonts w:ascii="Arial" w:hAnsi="Arial" w:cs="Arial"/>
          <w:sz w:val="20"/>
          <w:lang w:val="es-419"/>
        </w:rPr>
      </w:pPr>
    </w:p>
    <w:p w14:paraId="70507F54" w14:textId="2B8BBEB4" w:rsidR="00A71BD5" w:rsidRPr="00A71BD5" w:rsidRDefault="00A71BD5" w:rsidP="00A71BD5">
      <w:pPr>
        <w:jc w:val="both"/>
        <w:rPr>
          <w:rFonts w:ascii="Arial" w:hAnsi="Arial" w:cs="Arial"/>
          <w:sz w:val="20"/>
          <w:lang w:val="es-419"/>
        </w:rPr>
      </w:pPr>
      <w:r w:rsidRPr="00A71BD5">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w:t>
      </w:r>
      <w:r w:rsidR="00CC1633">
        <w:rPr>
          <w:rFonts w:ascii="Arial" w:hAnsi="Arial" w:cs="Arial"/>
          <w:sz w:val="20"/>
          <w:lang w:val="es-419"/>
        </w:rPr>
        <w:t>…</w:t>
      </w:r>
      <w:r w:rsidRPr="00A71BD5">
        <w:rPr>
          <w:rFonts w:ascii="Arial" w:hAnsi="Arial" w:cs="Arial"/>
          <w:sz w:val="20"/>
          <w:lang w:val="es-419"/>
        </w:rPr>
        <w:t>”.</w:t>
      </w:r>
    </w:p>
    <w:p w14:paraId="5B31A1F7" w14:textId="77777777" w:rsidR="00A71BD5" w:rsidRPr="00A71BD5" w:rsidRDefault="00A71BD5" w:rsidP="00A71BD5">
      <w:pPr>
        <w:jc w:val="both"/>
        <w:rPr>
          <w:rFonts w:ascii="Arial" w:hAnsi="Arial" w:cs="Arial"/>
          <w:sz w:val="20"/>
          <w:lang w:val="es-419"/>
        </w:rPr>
      </w:pPr>
    </w:p>
    <w:p w14:paraId="58E9E17E" w14:textId="7603840B" w:rsidR="00CC1633" w:rsidRPr="00CC1633" w:rsidRDefault="00CC1633" w:rsidP="00CC1633">
      <w:pPr>
        <w:jc w:val="both"/>
        <w:rPr>
          <w:rFonts w:ascii="Arial" w:hAnsi="Arial" w:cs="Arial"/>
          <w:sz w:val="20"/>
          <w:lang w:val="es-ES"/>
        </w:rPr>
      </w:pPr>
      <w:r>
        <w:rPr>
          <w:rFonts w:ascii="Arial" w:hAnsi="Arial" w:cs="Arial"/>
          <w:sz w:val="20"/>
          <w:lang w:val="es-ES"/>
        </w:rPr>
        <w:t xml:space="preserve">… </w:t>
      </w:r>
      <w:r w:rsidRPr="00CC1633">
        <w:rPr>
          <w:rFonts w:ascii="Arial" w:hAnsi="Arial" w:cs="Arial"/>
          <w:sz w:val="20"/>
          <w:lang w:val="es-ES"/>
        </w:rPr>
        <w:t xml:space="preserve">la Sala deberá determinar en primer lugar si la operadora judicial de primera instancia erró al negar la ineficacia del traslado de régimen, al efectuar una aplicación equivocada de la institución de la confesión ficta y de los principios del derecho probatorio, para lo cual se hace necesario acudir a lo lineado en sentencia CSJ </w:t>
      </w:r>
      <w:proofErr w:type="spellStart"/>
      <w:r w:rsidRPr="00CC1633">
        <w:rPr>
          <w:rFonts w:ascii="Arial" w:hAnsi="Arial" w:cs="Arial"/>
          <w:sz w:val="20"/>
          <w:lang w:val="es-ES"/>
        </w:rPr>
        <w:t>SL</w:t>
      </w:r>
      <w:proofErr w:type="spellEnd"/>
      <w:r w:rsidRPr="00CC1633">
        <w:rPr>
          <w:rFonts w:ascii="Arial" w:hAnsi="Arial" w:cs="Arial"/>
          <w:sz w:val="20"/>
          <w:lang w:val="es-ES"/>
        </w:rPr>
        <w:t>, del 24 de abril de 2013, radicación 42192</w:t>
      </w:r>
      <w:r>
        <w:rPr>
          <w:rFonts w:ascii="Arial" w:hAnsi="Arial" w:cs="Arial"/>
          <w:sz w:val="20"/>
          <w:lang w:val="es-ES"/>
        </w:rPr>
        <w:t>…</w:t>
      </w:r>
      <w:r w:rsidRPr="00CC1633">
        <w:rPr>
          <w:rFonts w:ascii="Arial" w:hAnsi="Arial" w:cs="Arial"/>
          <w:sz w:val="20"/>
          <w:lang w:val="es-ES"/>
        </w:rPr>
        <w:t>:</w:t>
      </w:r>
    </w:p>
    <w:p w14:paraId="1F7C7DEF" w14:textId="77777777" w:rsidR="00CC1633" w:rsidRPr="00CC1633" w:rsidRDefault="00CC1633" w:rsidP="00CC1633">
      <w:pPr>
        <w:jc w:val="both"/>
        <w:rPr>
          <w:rFonts w:ascii="Arial" w:hAnsi="Arial" w:cs="Arial"/>
          <w:sz w:val="20"/>
          <w:lang w:val="es-ES"/>
        </w:rPr>
      </w:pPr>
    </w:p>
    <w:p w14:paraId="05F80787" w14:textId="77777777" w:rsidR="00CC1633" w:rsidRPr="00CC1633" w:rsidRDefault="00CC1633" w:rsidP="00CC1633">
      <w:pPr>
        <w:jc w:val="both"/>
        <w:rPr>
          <w:rFonts w:ascii="Arial" w:hAnsi="Arial" w:cs="Arial"/>
          <w:sz w:val="20"/>
          <w:lang w:val="es-ES"/>
        </w:rPr>
      </w:pPr>
      <w:r w:rsidRPr="00CC1633">
        <w:rPr>
          <w:rFonts w:ascii="Arial" w:hAnsi="Arial" w:cs="Arial"/>
          <w:sz w:val="20"/>
          <w:lang w:val="es-ES"/>
        </w:rPr>
        <w:t xml:space="preserve">“(…) conforme al principio de consonancia que contempla el artículo 66 A del </w:t>
      </w:r>
      <w:proofErr w:type="spellStart"/>
      <w:r w:rsidRPr="00CC1633">
        <w:rPr>
          <w:rFonts w:ascii="Arial" w:hAnsi="Arial" w:cs="Arial"/>
          <w:sz w:val="20"/>
          <w:lang w:val="es-ES"/>
        </w:rPr>
        <w:t>CPTSS</w:t>
      </w:r>
      <w:proofErr w:type="spellEnd"/>
      <w:r w:rsidRPr="00CC1633">
        <w:rPr>
          <w:rFonts w:ascii="Arial" w:hAnsi="Arial" w:cs="Arial"/>
          <w:sz w:val="20"/>
          <w:lang w:val="es-ES"/>
        </w:rPr>
        <w:t>, la competencia del Tribunal se encuentra circunscrita a las materias objeto del recurso, sin que, por tal motivo, se vea éste limitado por los argumentos que al respecto le presenten las partes, pues en la valoración de las pruebas y calificación jurídica de los hechos el juez es autónomo, estando sometido tan solo a la libre formación del convencimiento conforme a los principios científicos que informan la crítica de las pruebas, para lo primero, y a la ley, para lo segundo (…)</w:t>
      </w:r>
      <w:r w:rsidRPr="00CC1633">
        <w:rPr>
          <w:rFonts w:ascii="Arial" w:hAnsi="Arial" w:cs="Arial"/>
          <w:sz w:val="20"/>
          <w:lang w:val="es-ES"/>
        </w:rPr>
        <w:tab/>
        <w:t>.</w:t>
      </w:r>
    </w:p>
    <w:p w14:paraId="17458762" w14:textId="77777777" w:rsidR="00CC1633" w:rsidRPr="00CC1633" w:rsidRDefault="00CC1633" w:rsidP="00CC1633">
      <w:pPr>
        <w:jc w:val="both"/>
        <w:rPr>
          <w:rFonts w:ascii="Arial" w:hAnsi="Arial" w:cs="Arial"/>
          <w:sz w:val="20"/>
          <w:lang w:val="es-ES"/>
        </w:rPr>
      </w:pPr>
    </w:p>
    <w:p w14:paraId="764C7E64" w14:textId="521A7762" w:rsidR="00CC1633" w:rsidRPr="00A71BD5" w:rsidRDefault="00CC1633" w:rsidP="00CC1633">
      <w:pPr>
        <w:jc w:val="both"/>
        <w:rPr>
          <w:rFonts w:ascii="Arial" w:hAnsi="Arial" w:cs="Arial"/>
          <w:sz w:val="20"/>
          <w:lang w:val="es-ES"/>
        </w:rPr>
      </w:pPr>
      <w:r w:rsidRPr="00CC1633">
        <w:rPr>
          <w:rFonts w:ascii="Arial" w:hAnsi="Arial" w:cs="Arial"/>
          <w:sz w:val="20"/>
          <w:lang w:val="es-ES"/>
        </w:rPr>
        <w:t>Así pues, supeditada la colegiatura a la temática planteada y no a los pedimentos, razonamientos y alegaciones jurídicas y fácticas del apelante, ni a las del juzgado, la figura empleada por la jueza a quo invita a recordar, siquiera someramente, que el artículo 77 del Código Procesal del Trabajo y de la Seguridad Social, consagra que “si el demandante o el demandado, no concurren a la audiencia de conciliación, el juez la declarará clausurada” y como consecuencias procesales, si se trata del demandante, “se presumirán ciertos los hechos susceptibles de confesión contenidos en la demanda y en las excepciones de mérito”; y si se trata del demandado, “se presumirán ciertos los hechos de la demanda susceptibles de confesión”</w:t>
      </w:r>
      <w:r>
        <w:rPr>
          <w:rFonts w:ascii="Arial" w:hAnsi="Arial" w:cs="Arial"/>
          <w:sz w:val="20"/>
          <w:lang w:val="es-ES"/>
        </w:rPr>
        <w:t>…</w:t>
      </w:r>
    </w:p>
    <w:p w14:paraId="4118D6BE" w14:textId="77777777" w:rsidR="00A71BD5" w:rsidRPr="00A71BD5" w:rsidRDefault="00A71BD5" w:rsidP="00A71BD5">
      <w:pPr>
        <w:jc w:val="both"/>
        <w:rPr>
          <w:rFonts w:ascii="Arial" w:hAnsi="Arial" w:cs="Arial"/>
          <w:sz w:val="20"/>
          <w:lang w:val="es-ES"/>
        </w:rPr>
      </w:pPr>
    </w:p>
    <w:p w14:paraId="70F31FB2" w14:textId="77777777" w:rsidR="00A71BD5" w:rsidRPr="00A71BD5" w:rsidRDefault="00A71BD5" w:rsidP="00A71BD5">
      <w:pPr>
        <w:jc w:val="both"/>
        <w:rPr>
          <w:rFonts w:ascii="Arial" w:hAnsi="Arial" w:cs="Arial"/>
          <w:sz w:val="20"/>
          <w:lang w:val="es-ES"/>
        </w:rPr>
      </w:pPr>
    </w:p>
    <w:p w14:paraId="3A13E65A" w14:textId="77777777" w:rsidR="00A71BD5" w:rsidRPr="00A71BD5" w:rsidRDefault="00A71BD5" w:rsidP="00A71BD5">
      <w:pPr>
        <w:jc w:val="both"/>
        <w:rPr>
          <w:rFonts w:ascii="Arial" w:hAnsi="Arial" w:cs="Arial"/>
          <w:sz w:val="20"/>
          <w:lang w:val="es-ES"/>
        </w:rPr>
      </w:pPr>
    </w:p>
    <w:p w14:paraId="29AE56EE" w14:textId="6914EF02" w:rsidR="00116DDD" w:rsidRPr="00A71BD5" w:rsidRDefault="00116DDD" w:rsidP="00A71BD5">
      <w:pPr>
        <w:spacing w:line="276" w:lineRule="auto"/>
        <w:jc w:val="center"/>
        <w:rPr>
          <w:rFonts w:ascii="Arial" w:hAnsi="Arial" w:cs="Arial"/>
          <w:b/>
          <w:bCs/>
          <w:spacing w:val="12"/>
          <w:szCs w:val="24"/>
        </w:rPr>
      </w:pPr>
      <w:r w:rsidRPr="00A71BD5">
        <w:rPr>
          <w:rFonts w:ascii="Arial" w:hAnsi="Arial" w:cs="Arial"/>
          <w:b/>
          <w:bCs/>
          <w:spacing w:val="12"/>
          <w:szCs w:val="24"/>
        </w:rPr>
        <w:t>REPÚBLICA DE</w:t>
      </w:r>
      <w:bookmarkStart w:id="0" w:name="_GoBack"/>
      <w:bookmarkEnd w:id="0"/>
      <w:r w:rsidRPr="00A71BD5">
        <w:rPr>
          <w:rFonts w:ascii="Arial" w:hAnsi="Arial" w:cs="Arial"/>
          <w:b/>
          <w:bCs/>
          <w:spacing w:val="12"/>
          <w:szCs w:val="24"/>
        </w:rPr>
        <w:t xml:space="preserve"> COLOMBIA</w:t>
      </w:r>
    </w:p>
    <w:p w14:paraId="2049A7B4" w14:textId="77777777" w:rsidR="00116DDD" w:rsidRPr="00A71BD5" w:rsidRDefault="004F7AE3" w:rsidP="00A71BD5">
      <w:pPr>
        <w:spacing w:line="276" w:lineRule="auto"/>
        <w:jc w:val="center"/>
        <w:rPr>
          <w:rFonts w:ascii="Arial" w:hAnsi="Arial" w:cs="Arial"/>
          <w:b/>
          <w:bCs/>
          <w:spacing w:val="12"/>
          <w:szCs w:val="24"/>
        </w:rPr>
      </w:pPr>
      <w:r w:rsidRPr="00A71BD5">
        <w:rPr>
          <w:rFonts w:ascii="Arial" w:hAnsi="Arial" w:cs="Arial"/>
          <w:b/>
          <w:bCs/>
          <w:noProof/>
          <w:spacing w:val="12"/>
          <w:szCs w:val="24"/>
        </w:rPr>
        <w:object w:dxaOrig="2289" w:dyaOrig="1470" w14:anchorId="7A20B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5pt;height:64.55pt;mso-width-percent:0;mso-height-percent:0;mso-width-percent:0;mso-height-percent:0" o:ole="" fillcolor="window">
            <v:imagedata r:id="rId11" o:title=""/>
          </v:shape>
          <o:OLEObject Type="Embed" ProgID="Word.Picture.8" ShapeID="_x0000_i1025" DrawAspect="Content" ObjectID="_1668778291" r:id="rId12"/>
        </w:object>
      </w:r>
    </w:p>
    <w:p w14:paraId="44B3638E" w14:textId="77777777" w:rsidR="00116DDD" w:rsidRPr="00A71BD5" w:rsidRDefault="00116DDD" w:rsidP="00A71BD5">
      <w:pPr>
        <w:spacing w:line="276" w:lineRule="auto"/>
        <w:jc w:val="center"/>
        <w:rPr>
          <w:rFonts w:ascii="Arial" w:hAnsi="Arial" w:cs="Arial"/>
          <w:b/>
          <w:bCs/>
          <w:spacing w:val="12"/>
          <w:szCs w:val="24"/>
        </w:rPr>
      </w:pPr>
      <w:r w:rsidRPr="00A71BD5">
        <w:rPr>
          <w:rFonts w:ascii="Arial" w:hAnsi="Arial" w:cs="Arial"/>
          <w:b/>
          <w:bCs/>
          <w:spacing w:val="12"/>
          <w:szCs w:val="24"/>
        </w:rPr>
        <w:t>TRIBUNAL SUPERIOR DE DISTRITO JUDICIAL DE PEREIRA</w:t>
      </w:r>
    </w:p>
    <w:p w14:paraId="30FF1D26" w14:textId="2C8E7F89" w:rsidR="00116DDD" w:rsidRPr="00A71BD5" w:rsidRDefault="00116DDD" w:rsidP="00A71BD5">
      <w:pPr>
        <w:spacing w:line="276" w:lineRule="auto"/>
        <w:jc w:val="center"/>
        <w:rPr>
          <w:rFonts w:ascii="Arial" w:hAnsi="Arial" w:cs="Arial"/>
          <w:b/>
          <w:bCs/>
          <w:spacing w:val="12"/>
          <w:szCs w:val="24"/>
        </w:rPr>
      </w:pPr>
      <w:r w:rsidRPr="00A71BD5">
        <w:rPr>
          <w:rFonts w:ascii="Arial" w:hAnsi="Arial" w:cs="Arial"/>
          <w:b/>
          <w:bCs/>
          <w:spacing w:val="12"/>
          <w:szCs w:val="24"/>
        </w:rPr>
        <w:t>SALA CUARTA DE DECISIÓN LABORAL</w:t>
      </w:r>
    </w:p>
    <w:p w14:paraId="3CA9D26B" w14:textId="77777777" w:rsidR="001A5890" w:rsidRPr="00A71BD5" w:rsidRDefault="001A5890" w:rsidP="00A71BD5">
      <w:pPr>
        <w:spacing w:line="276" w:lineRule="auto"/>
        <w:jc w:val="center"/>
        <w:rPr>
          <w:rFonts w:ascii="Arial" w:hAnsi="Arial" w:cs="Arial"/>
          <w:b/>
          <w:bCs/>
          <w:spacing w:val="12"/>
          <w:szCs w:val="24"/>
        </w:rPr>
      </w:pPr>
    </w:p>
    <w:p w14:paraId="1CA4B582" w14:textId="63066B5D" w:rsidR="00A71BD5" w:rsidRPr="00A71BD5" w:rsidRDefault="00A71BD5" w:rsidP="00A71BD5">
      <w:pPr>
        <w:spacing w:line="276" w:lineRule="auto"/>
        <w:jc w:val="center"/>
        <w:rPr>
          <w:rFonts w:ascii="Arial" w:hAnsi="Arial" w:cs="Arial"/>
          <w:spacing w:val="12"/>
          <w:szCs w:val="24"/>
        </w:rPr>
      </w:pPr>
      <w:r w:rsidRPr="00A71BD5">
        <w:rPr>
          <w:rFonts w:ascii="Arial" w:hAnsi="Arial" w:cs="Arial"/>
          <w:spacing w:val="12"/>
          <w:szCs w:val="24"/>
        </w:rPr>
        <w:t>Magistrada ponente</w:t>
      </w:r>
      <w:r>
        <w:rPr>
          <w:rFonts w:ascii="Arial" w:hAnsi="Arial" w:cs="Arial"/>
          <w:spacing w:val="12"/>
          <w:szCs w:val="24"/>
        </w:rPr>
        <w:t>:</w:t>
      </w:r>
    </w:p>
    <w:p w14:paraId="20CE4292" w14:textId="7F781425" w:rsidR="00116DDD" w:rsidRPr="00A71BD5" w:rsidRDefault="00116DDD" w:rsidP="00A71BD5">
      <w:pPr>
        <w:spacing w:line="276" w:lineRule="auto"/>
        <w:jc w:val="center"/>
        <w:rPr>
          <w:rFonts w:ascii="Arial" w:hAnsi="Arial" w:cs="Arial"/>
          <w:b/>
          <w:bCs/>
          <w:spacing w:val="12"/>
          <w:szCs w:val="24"/>
        </w:rPr>
      </w:pPr>
      <w:r w:rsidRPr="00A71BD5">
        <w:rPr>
          <w:rFonts w:ascii="Arial" w:hAnsi="Arial" w:cs="Arial"/>
          <w:b/>
          <w:bCs/>
          <w:spacing w:val="12"/>
          <w:szCs w:val="24"/>
        </w:rPr>
        <w:t>ALEJANDRA MARÍA HENAO PALACIO</w:t>
      </w:r>
    </w:p>
    <w:p w14:paraId="729737BF" w14:textId="77777777" w:rsidR="001A5890" w:rsidRPr="00A71BD5" w:rsidRDefault="001A5890" w:rsidP="00A71BD5">
      <w:pPr>
        <w:pStyle w:val="Sinespaciado"/>
        <w:spacing w:line="276" w:lineRule="auto"/>
        <w:rPr>
          <w:rFonts w:ascii="Arial" w:hAnsi="Arial" w:cs="Arial"/>
          <w:szCs w:val="24"/>
        </w:rPr>
      </w:pPr>
    </w:p>
    <w:tbl>
      <w:tblPr>
        <w:tblStyle w:val="Tablaconcuadrcula"/>
        <w:tblW w:w="8505" w:type="dxa"/>
        <w:tblInd w:w="-5" w:type="dxa"/>
        <w:tblLook w:val="04A0" w:firstRow="1" w:lastRow="0" w:firstColumn="1" w:lastColumn="0" w:noHBand="0" w:noVBand="1"/>
      </w:tblPr>
      <w:tblGrid>
        <w:gridCol w:w="2127"/>
        <w:gridCol w:w="6378"/>
      </w:tblGrid>
      <w:tr w:rsidR="00A71BD5" w:rsidRPr="00A71BD5" w14:paraId="0F5144A0" w14:textId="77777777" w:rsidTr="004F263C">
        <w:trPr>
          <w:trHeight w:val="266"/>
        </w:trPr>
        <w:tc>
          <w:tcPr>
            <w:tcW w:w="2127" w:type="dxa"/>
            <w:vAlign w:val="center"/>
          </w:tcPr>
          <w:p w14:paraId="61201AEE" w14:textId="77777777" w:rsidR="00116DDD" w:rsidRPr="00A71BD5" w:rsidRDefault="00116DDD" w:rsidP="00A71BD5">
            <w:pPr>
              <w:jc w:val="both"/>
              <w:rPr>
                <w:rFonts w:ascii="Arial" w:hAnsi="Arial" w:cs="Arial"/>
                <w:spacing w:val="12"/>
                <w:sz w:val="22"/>
                <w:szCs w:val="24"/>
              </w:rPr>
            </w:pPr>
            <w:r w:rsidRPr="00A71BD5">
              <w:rPr>
                <w:rFonts w:ascii="Arial" w:hAnsi="Arial" w:cs="Arial"/>
                <w:spacing w:val="12"/>
                <w:sz w:val="22"/>
                <w:szCs w:val="24"/>
              </w:rPr>
              <w:t>Demandante:</w:t>
            </w:r>
          </w:p>
        </w:tc>
        <w:tc>
          <w:tcPr>
            <w:tcW w:w="6378" w:type="dxa"/>
          </w:tcPr>
          <w:p w14:paraId="27B61506" w14:textId="02CDF86A" w:rsidR="00116DDD" w:rsidRPr="00A71BD5" w:rsidRDefault="00A71BD5" w:rsidP="00A71BD5">
            <w:pPr>
              <w:jc w:val="both"/>
              <w:rPr>
                <w:rFonts w:ascii="Arial" w:hAnsi="Arial" w:cs="Arial"/>
                <w:spacing w:val="12"/>
                <w:sz w:val="22"/>
                <w:szCs w:val="24"/>
              </w:rPr>
            </w:pPr>
            <w:r w:rsidRPr="00A71BD5">
              <w:rPr>
                <w:rFonts w:ascii="Arial" w:hAnsi="Arial" w:cs="Arial"/>
                <w:spacing w:val="12"/>
                <w:sz w:val="22"/>
                <w:szCs w:val="24"/>
              </w:rPr>
              <w:t xml:space="preserve">Fabiola Gutiérrez Suarez </w:t>
            </w:r>
          </w:p>
        </w:tc>
      </w:tr>
      <w:tr w:rsidR="00A71BD5" w:rsidRPr="00A71BD5" w14:paraId="07B44BDA" w14:textId="77777777" w:rsidTr="00E272CC">
        <w:tc>
          <w:tcPr>
            <w:tcW w:w="2127" w:type="dxa"/>
            <w:vAlign w:val="center"/>
          </w:tcPr>
          <w:p w14:paraId="3BC25F81" w14:textId="77777777" w:rsidR="00116DDD" w:rsidRPr="00A71BD5" w:rsidRDefault="00116DDD" w:rsidP="00A71BD5">
            <w:pPr>
              <w:jc w:val="both"/>
              <w:rPr>
                <w:rFonts w:ascii="Arial" w:hAnsi="Arial" w:cs="Arial"/>
                <w:spacing w:val="12"/>
                <w:sz w:val="22"/>
                <w:szCs w:val="24"/>
              </w:rPr>
            </w:pPr>
            <w:r w:rsidRPr="00A71BD5">
              <w:rPr>
                <w:rFonts w:ascii="Arial" w:hAnsi="Arial" w:cs="Arial"/>
                <w:spacing w:val="12"/>
                <w:sz w:val="22"/>
                <w:szCs w:val="24"/>
              </w:rPr>
              <w:t>Demandado:</w:t>
            </w:r>
          </w:p>
        </w:tc>
        <w:tc>
          <w:tcPr>
            <w:tcW w:w="6378" w:type="dxa"/>
          </w:tcPr>
          <w:p w14:paraId="2AD6A63D" w14:textId="020D2201" w:rsidR="00116DDD" w:rsidRPr="00A71BD5" w:rsidRDefault="00A71BD5" w:rsidP="00A71BD5">
            <w:pPr>
              <w:jc w:val="both"/>
              <w:rPr>
                <w:rFonts w:ascii="Arial" w:hAnsi="Arial" w:cs="Arial"/>
                <w:spacing w:val="12"/>
                <w:sz w:val="22"/>
                <w:szCs w:val="24"/>
              </w:rPr>
            </w:pPr>
            <w:r w:rsidRPr="00A71BD5">
              <w:rPr>
                <w:rFonts w:ascii="Arial" w:hAnsi="Arial" w:cs="Arial"/>
                <w:spacing w:val="12"/>
                <w:sz w:val="22"/>
                <w:szCs w:val="24"/>
              </w:rPr>
              <w:t xml:space="preserve">Colpensiones y Protección </w:t>
            </w:r>
          </w:p>
        </w:tc>
      </w:tr>
      <w:tr w:rsidR="00A71BD5" w:rsidRPr="00A71BD5" w14:paraId="757A1731" w14:textId="77777777" w:rsidTr="00E272CC">
        <w:tc>
          <w:tcPr>
            <w:tcW w:w="2127" w:type="dxa"/>
            <w:vAlign w:val="center"/>
          </w:tcPr>
          <w:p w14:paraId="2ACEADEF" w14:textId="77777777" w:rsidR="00116DDD" w:rsidRPr="00A71BD5" w:rsidRDefault="00116DDD" w:rsidP="00A71BD5">
            <w:pPr>
              <w:jc w:val="both"/>
              <w:rPr>
                <w:rFonts w:ascii="Arial" w:hAnsi="Arial" w:cs="Arial"/>
                <w:bCs/>
                <w:spacing w:val="12"/>
                <w:sz w:val="22"/>
                <w:szCs w:val="24"/>
              </w:rPr>
            </w:pPr>
            <w:r w:rsidRPr="00A71BD5">
              <w:rPr>
                <w:rFonts w:ascii="Arial" w:hAnsi="Arial" w:cs="Arial"/>
                <w:bCs/>
                <w:spacing w:val="12"/>
                <w:sz w:val="22"/>
                <w:szCs w:val="24"/>
              </w:rPr>
              <w:t>Radicación No.</w:t>
            </w:r>
          </w:p>
        </w:tc>
        <w:tc>
          <w:tcPr>
            <w:tcW w:w="6378" w:type="dxa"/>
          </w:tcPr>
          <w:p w14:paraId="55F36517" w14:textId="29F1D8E7" w:rsidR="00116DDD" w:rsidRPr="00A71BD5" w:rsidRDefault="00BA3B1D" w:rsidP="00A71BD5">
            <w:pPr>
              <w:jc w:val="both"/>
              <w:rPr>
                <w:rFonts w:ascii="Arial" w:hAnsi="Arial" w:cs="Arial"/>
                <w:bCs/>
                <w:spacing w:val="12"/>
                <w:sz w:val="22"/>
                <w:szCs w:val="24"/>
              </w:rPr>
            </w:pPr>
            <w:r w:rsidRPr="00A71BD5">
              <w:rPr>
                <w:rFonts w:ascii="Arial" w:hAnsi="Arial" w:cs="Arial"/>
                <w:bCs/>
                <w:spacing w:val="12"/>
                <w:sz w:val="22"/>
                <w:szCs w:val="24"/>
              </w:rPr>
              <w:t>66001–31-05-</w:t>
            </w:r>
            <w:r w:rsidR="00734FBC" w:rsidRPr="00A71BD5">
              <w:rPr>
                <w:rFonts w:ascii="Arial" w:hAnsi="Arial" w:cs="Arial"/>
                <w:bCs/>
                <w:spacing w:val="12"/>
                <w:sz w:val="22"/>
                <w:szCs w:val="24"/>
              </w:rPr>
              <w:t>00</w:t>
            </w:r>
            <w:r w:rsidR="00E86DCF" w:rsidRPr="00A71BD5">
              <w:rPr>
                <w:rFonts w:ascii="Arial" w:hAnsi="Arial" w:cs="Arial"/>
                <w:bCs/>
                <w:spacing w:val="12"/>
                <w:sz w:val="22"/>
                <w:szCs w:val="24"/>
              </w:rPr>
              <w:t>5</w:t>
            </w:r>
            <w:r w:rsidR="00734FBC" w:rsidRPr="00A71BD5">
              <w:rPr>
                <w:rFonts w:ascii="Arial" w:hAnsi="Arial" w:cs="Arial"/>
                <w:bCs/>
                <w:spacing w:val="12"/>
                <w:sz w:val="22"/>
                <w:szCs w:val="24"/>
              </w:rPr>
              <w:t>-201</w:t>
            </w:r>
            <w:r w:rsidR="00E86DCF" w:rsidRPr="00A71BD5">
              <w:rPr>
                <w:rFonts w:ascii="Arial" w:hAnsi="Arial" w:cs="Arial"/>
                <w:bCs/>
                <w:spacing w:val="12"/>
                <w:sz w:val="22"/>
                <w:szCs w:val="24"/>
              </w:rPr>
              <w:t>7</w:t>
            </w:r>
            <w:r w:rsidR="00734FBC" w:rsidRPr="00A71BD5">
              <w:rPr>
                <w:rFonts w:ascii="Arial" w:hAnsi="Arial" w:cs="Arial"/>
                <w:bCs/>
                <w:spacing w:val="12"/>
                <w:sz w:val="22"/>
                <w:szCs w:val="24"/>
              </w:rPr>
              <w:t>-</w:t>
            </w:r>
            <w:r w:rsidR="00563C16" w:rsidRPr="00A71BD5">
              <w:rPr>
                <w:rFonts w:ascii="Arial" w:hAnsi="Arial" w:cs="Arial"/>
                <w:bCs/>
                <w:spacing w:val="12"/>
                <w:sz w:val="22"/>
                <w:szCs w:val="24"/>
              </w:rPr>
              <w:t>00</w:t>
            </w:r>
            <w:r w:rsidR="00E86DCF" w:rsidRPr="00A71BD5">
              <w:rPr>
                <w:rFonts w:ascii="Arial" w:hAnsi="Arial" w:cs="Arial"/>
                <w:bCs/>
                <w:spacing w:val="12"/>
                <w:sz w:val="22"/>
                <w:szCs w:val="24"/>
              </w:rPr>
              <w:t>582</w:t>
            </w:r>
            <w:r w:rsidRPr="00A71BD5">
              <w:rPr>
                <w:rFonts w:ascii="Arial" w:hAnsi="Arial" w:cs="Arial"/>
                <w:bCs/>
                <w:spacing w:val="12"/>
                <w:sz w:val="22"/>
                <w:szCs w:val="24"/>
              </w:rPr>
              <w:t>-01</w:t>
            </w:r>
          </w:p>
        </w:tc>
      </w:tr>
      <w:tr w:rsidR="00A71BD5" w:rsidRPr="00A71BD5" w14:paraId="7007D3CE" w14:textId="77777777" w:rsidTr="00E272CC">
        <w:tc>
          <w:tcPr>
            <w:tcW w:w="2127" w:type="dxa"/>
            <w:vAlign w:val="center"/>
          </w:tcPr>
          <w:p w14:paraId="67D8ABF5" w14:textId="77777777" w:rsidR="00116DDD" w:rsidRPr="00A71BD5" w:rsidRDefault="00116DDD" w:rsidP="00A71BD5">
            <w:pPr>
              <w:jc w:val="both"/>
              <w:rPr>
                <w:rFonts w:ascii="Arial" w:hAnsi="Arial" w:cs="Arial"/>
                <w:spacing w:val="12"/>
                <w:sz w:val="22"/>
                <w:szCs w:val="24"/>
              </w:rPr>
            </w:pPr>
            <w:r w:rsidRPr="00A71BD5">
              <w:rPr>
                <w:rFonts w:ascii="Arial" w:hAnsi="Arial" w:cs="Arial"/>
                <w:spacing w:val="12"/>
                <w:sz w:val="22"/>
                <w:szCs w:val="24"/>
              </w:rPr>
              <w:t>Juzgado origen:</w:t>
            </w:r>
          </w:p>
        </w:tc>
        <w:tc>
          <w:tcPr>
            <w:tcW w:w="6378" w:type="dxa"/>
          </w:tcPr>
          <w:p w14:paraId="7E49CB43" w14:textId="5F834F2C" w:rsidR="00116DDD" w:rsidRPr="00A71BD5" w:rsidRDefault="00A71BD5" w:rsidP="00A71BD5">
            <w:pPr>
              <w:jc w:val="both"/>
              <w:rPr>
                <w:rFonts w:ascii="Arial" w:hAnsi="Arial" w:cs="Arial"/>
                <w:spacing w:val="12"/>
                <w:sz w:val="22"/>
                <w:szCs w:val="24"/>
              </w:rPr>
            </w:pPr>
            <w:r w:rsidRPr="00A71BD5">
              <w:rPr>
                <w:rFonts w:ascii="Arial" w:hAnsi="Arial" w:cs="Arial"/>
                <w:spacing w:val="12"/>
                <w:sz w:val="22"/>
                <w:szCs w:val="24"/>
              </w:rPr>
              <w:t>Quinto Laboral del Circuito de Pereira</w:t>
            </w:r>
          </w:p>
        </w:tc>
      </w:tr>
      <w:tr w:rsidR="00A71BD5" w:rsidRPr="00A71BD5" w14:paraId="01338F0B" w14:textId="77777777" w:rsidTr="00E272CC">
        <w:tc>
          <w:tcPr>
            <w:tcW w:w="2127" w:type="dxa"/>
            <w:vAlign w:val="center"/>
          </w:tcPr>
          <w:p w14:paraId="77557972" w14:textId="77777777" w:rsidR="00116DDD" w:rsidRPr="00A71BD5" w:rsidRDefault="00116DDD" w:rsidP="00A71BD5">
            <w:pPr>
              <w:jc w:val="both"/>
              <w:rPr>
                <w:rFonts w:ascii="Arial" w:hAnsi="Arial" w:cs="Arial"/>
                <w:spacing w:val="12"/>
                <w:sz w:val="22"/>
                <w:szCs w:val="24"/>
              </w:rPr>
            </w:pPr>
            <w:r w:rsidRPr="00A71BD5">
              <w:rPr>
                <w:rFonts w:ascii="Arial" w:hAnsi="Arial" w:cs="Arial"/>
                <w:spacing w:val="12"/>
                <w:sz w:val="22"/>
                <w:szCs w:val="24"/>
              </w:rPr>
              <w:t>Tipo de proceso:</w:t>
            </w:r>
          </w:p>
        </w:tc>
        <w:tc>
          <w:tcPr>
            <w:tcW w:w="6378" w:type="dxa"/>
          </w:tcPr>
          <w:p w14:paraId="2521151C" w14:textId="058A7509" w:rsidR="00116DDD" w:rsidRPr="00A71BD5" w:rsidRDefault="00A71BD5" w:rsidP="00A71BD5">
            <w:pPr>
              <w:jc w:val="both"/>
              <w:rPr>
                <w:rFonts w:ascii="Arial" w:hAnsi="Arial" w:cs="Arial"/>
                <w:spacing w:val="12"/>
                <w:sz w:val="22"/>
                <w:szCs w:val="24"/>
              </w:rPr>
            </w:pPr>
            <w:r w:rsidRPr="00A71BD5">
              <w:rPr>
                <w:rFonts w:ascii="Arial" w:hAnsi="Arial" w:cs="Arial"/>
                <w:spacing w:val="12"/>
                <w:sz w:val="22"/>
                <w:szCs w:val="24"/>
              </w:rPr>
              <w:t xml:space="preserve">Ordinario Laboral </w:t>
            </w:r>
          </w:p>
        </w:tc>
      </w:tr>
      <w:tr w:rsidR="00A71BD5" w:rsidRPr="00A71BD5" w14:paraId="5195AF0E" w14:textId="77777777" w:rsidTr="00E272CC">
        <w:tc>
          <w:tcPr>
            <w:tcW w:w="2127" w:type="dxa"/>
            <w:vAlign w:val="center"/>
          </w:tcPr>
          <w:p w14:paraId="3203517E" w14:textId="77777777" w:rsidR="00116DDD" w:rsidRPr="00A71BD5" w:rsidRDefault="00116DDD" w:rsidP="00A71BD5">
            <w:pPr>
              <w:jc w:val="both"/>
              <w:rPr>
                <w:rFonts w:ascii="Arial" w:hAnsi="Arial" w:cs="Arial"/>
                <w:spacing w:val="12"/>
                <w:sz w:val="22"/>
                <w:szCs w:val="24"/>
              </w:rPr>
            </w:pPr>
            <w:r w:rsidRPr="00A71BD5">
              <w:rPr>
                <w:rFonts w:ascii="Arial" w:hAnsi="Arial" w:cs="Arial"/>
                <w:spacing w:val="12"/>
                <w:sz w:val="22"/>
                <w:szCs w:val="24"/>
              </w:rPr>
              <w:t>Providencia:</w:t>
            </w:r>
          </w:p>
        </w:tc>
        <w:tc>
          <w:tcPr>
            <w:tcW w:w="6378" w:type="dxa"/>
          </w:tcPr>
          <w:p w14:paraId="445A26F7" w14:textId="49063C2A" w:rsidR="00116DDD" w:rsidRPr="00A71BD5" w:rsidRDefault="00A71BD5" w:rsidP="00A71BD5">
            <w:pPr>
              <w:jc w:val="both"/>
              <w:rPr>
                <w:rFonts w:ascii="Arial" w:hAnsi="Arial" w:cs="Arial"/>
                <w:spacing w:val="12"/>
                <w:sz w:val="22"/>
                <w:szCs w:val="24"/>
              </w:rPr>
            </w:pPr>
            <w:r w:rsidRPr="00A71BD5">
              <w:rPr>
                <w:rFonts w:ascii="Arial" w:hAnsi="Arial" w:cs="Arial"/>
                <w:spacing w:val="12"/>
                <w:sz w:val="22"/>
                <w:szCs w:val="24"/>
              </w:rPr>
              <w:t>Sentencia de segunda instancia</w:t>
            </w:r>
          </w:p>
        </w:tc>
      </w:tr>
      <w:tr w:rsidR="00A71BD5" w:rsidRPr="00A71BD5" w14:paraId="3FB30203" w14:textId="77777777" w:rsidTr="00E272CC">
        <w:trPr>
          <w:trHeight w:val="77"/>
        </w:trPr>
        <w:tc>
          <w:tcPr>
            <w:tcW w:w="2127" w:type="dxa"/>
            <w:vAlign w:val="center"/>
          </w:tcPr>
          <w:p w14:paraId="76697BA8" w14:textId="77777777" w:rsidR="00116DDD" w:rsidRPr="00A71BD5" w:rsidRDefault="00116DDD" w:rsidP="00A71BD5">
            <w:pPr>
              <w:jc w:val="both"/>
              <w:rPr>
                <w:rFonts w:ascii="Arial" w:hAnsi="Arial" w:cs="Arial"/>
                <w:spacing w:val="12"/>
                <w:sz w:val="22"/>
                <w:szCs w:val="24"/>
              </w:rPr>
            </w:pPr>
            <w:r w:rsidRPr="00A71BD5">
              <w:rPr>
                <w:rFonts w:ascii="Arial" w:hAnsi="Arial" w:cs="Arial"/>
                <w:spacing w:val="12"/>
                <w:sz w:val="22"/>
                <w:szCs w:val="24"/>
              </w:rPr>
              <w:t>Decisión:</w:t>
            </w:r>
          </w:p>
        </w:tc>
        <w:tc>
          <w:tcPr>
            <w:tcW w:w="6378" w:type="dxa"/>
          </w:tcPr>
          <w:p w14:paraId="47B9D87D" w14:textId="52DA2E2B" w:rsidR="00116DDD" w:rsidRPr="00A71BD5" w:rsidRDefault="001A5890" w:rsidP="00A71BD5">
            <w:pPr>
              <w:jc w:val="both"/>
              <w:rPr>
                <w:rFonts w:ascii="Arial" w:hAnsi="Arial" w:cs="Arial"/>
                <w:b/>
                <w:bCs/>
                <w:spacing w:val="12"/>
                <w:sz w:val="22"/>
                <w:szCs w:val="24"/>
              </w:rPr>
            </w:pPr>
            <w:r w:rsidRPr="00A71BD5">
              <w:rPr>
                <w:rFonts w:ascii="Arial" w:hAnsi="Arial" w:cs="Arial"/>
                <w:b/>
                <w:bCs/>
                <w:spacing w:val="12"/>
                <w:sz w:val="22"/>
                <w:szCs w:val="24"/>
              </w:rPr>
              <w:t>REVOCA Y CONCEDE</w:t>
            </w:r>
          </w:p>
        </w:tc>
      </w:tr>
    </w:tbl>
    <w:p w14:paraId="5160F552" w14:textId="77777777" w:rsidR="00116DDD" w:rsidRPr="00A71BD5" w:rsidRDefault="00116DDD" w:rsidP="00A71BD5">
      <w:pPr>
        <w:spacing w:line="276" w:lineRule="auto"/>
        <w:jc w:val="both"/>
        <w:rPr>
          <w:rFonts w:ascii="Arial" w:hAnsi="Arial" w:cs="Arial"/>
          <w:spacing w:val="12"/>
          <w:szCs w:val="24"/>
        </w:rPr>
      </w:pPr>
    </w:p>
    <w:p w14:paraId="40DA703F" w14:textId="13B52164" w:rsidR="00B62BDD" w:rsidRPr="00CC1633" w:rsidRDefault="00B62BDD" w:rsidP="00A71BD5">
      <w:pPr>
        <w:spacing w:line="276" w:lineRule="auto"/>
        <w:jc w:val="center"/>
        <w:rPr>
          <w:rFonts w:ascii="Arial" w:hAnsi="Arial" w:cs="Arial"/>
          <w:szCs w:val="24"/>
        </w:rPr>
      </w:pPr>
      <w:r w:rsidRPr="00CC1633">
        <w:rPr>
          <w:rFonts w:ascii="Arial" w:hAnsi="Arial" w:cs="Arial"/>
          <w:szCs w:val="24"/>
        </w:rPr>
        <w:t>Registro del proyecto:</w:t>
      </w:r>
      <w:r w:rsidR="00F05DFA" w:rsidRPr="00CC1633">
        <w:rPr>
          <w:rFonts w:ascii="Arial" w:hAnsi="Arial" w:cs="Arial"/>
          <w:szCs w:val="24"/>
        </w:rPr>
        <w:t xml:space="preserve"> doce </w:t>
      </w:r>
      <w:r w:rsidRPr="00CC1633">
        <w:rPr>
          <w:rFonts w:ascii="Arial" w:hAnsi="Arial" w:cs="Arial"/>
          <w:szCs w:val="24"/>
        </w:rPr>
        <w:t>(</w:t>
      </w:r>
      <w:r w:rsidR="00F05DFA" w:rsidRPr="00CC1633">
        <w:rPr>
          <w:rFonts w:ascii="Arial" w:hAnsi="Arial" w:cs="Arial"/>
          <w:szCs w:val="24"/>
        </w:rPr>
        <w:t>12</w:t>
      </w:r>
      <w:r w:rsidRPr="00CC1633">
        <w:rPr>
          <w:rFonts w:ascii="Arial" w:hAnsi="Arial" w:cs="Arial"/>
          <w:szCs w:val="24"/>
        </w:rPr>
        <w:t xml:space="preserve">) de </w:t>
      </w:r>
      <w:r w:rsidR="00F05DFA" w:rsidRPr="00CC1633">
        <w:rPr>
          <w:rFonts w:ascii="Arial" w:hAnsi="Arial" w:cs="Arial"/>
          <w:szCs w:val="24"/>
        </w:rPr>
        <w:t>noviembre</w:t>
      </w:r>
      <w:r w:rsidRPr="00CC1633">
        <w:rPr>
          <w:rFonts w:ascii="Arial" w:hAnsi="Arial" w:cs="Arial"/>
          <w:szCs w:val="24"/>
        </w:rPr>
        <w:t xml:space="preserve"> de</w:t>
      </w:r>
      <w:r w:rsidR="00F05DFA" w:rsidRPr="00CC1633">
        <w:rPr>
          <w:rFonts w:ascii="Arial" w:hAnsi="Arial" w:cs="Arial"/>
          <w:szCs w:val="24"/>
        </w:rPr>
        <w:t xml:space="preserve"> dos mil veinte (</w:t>
      </w:r>
      <w:r w:rsidRPr="00CC1633">
        <w:rPr>
          <w:rFonts w:ascii="Arial" w:hAnsi="Arial" w:cs="Arial"/>
          <w:szCs w:val="24"/>
        </w:rPr>
        <w:t>2020</w:t>
      </w:r>
      <w:r w:rsidR="00F05DFA" w:rsidRPr="00CC1633">
        <w:rPr>
          <w:rFonts w:ascii="Arial" w:hAnsi="Arial" w:cs="Arial"/>
          <w:szCs w:val="24"/>
        </w:rPr>
        <w:t>)</w:t>
      </w:r>
    </w:p>
    <w:p w14:paraId="1710FACE" w14:textId="7D1391BC" w:rsidR="00B62BDD" w:rsidRPr="00CC1633" w:rsidRDefault="00B62BDD" w:rsidP="00A71BD5">
      <w:pPr>
        <w:spacing w:line="276" w:lineRule="auto"/>
        <w:jc w:val="center"/>
        <w:rPr>
          <w:rFonts w:ascii="Arial" w:hAnsi="Arial" w:cs="Arial"/>
          <w:szCs w:val="24"/>
        </w:rPr>
      </w:pPr>
      <w:r w:rsidRPr="00CC1633">
        <w:rPr>
          <w:rFonts w:ascii="Arial" w:hAnsi="Arial" w:cs="Arial"/>
          <w:szCs w:val="24"/>
        </w:rPr>
        <w:t xml:space="preserve">Acta de discusión No. </w:t>
      </w:r>
      <w:r w:rsidR="00F05DFA" w:rsidRPr="00CC1633">
        <w:rPr>
          <w:rFonts w:ascii="Arial" w:hAnsi="Arial" w:cs="Arial"/>
          <w:szCs w:val="24"/>
        </w:rPr>
        <w:t>178</w:t>
      </w:r>
      <w:r w:rsidRPr="00CC1633">
        <w:rPr>
          <w:rFonts w:ascii="Arial" w:hAnsi="Arial" w:cs="Arial"/>
          <w:szCs w:val="24"/>
        </w:rPr>
        <w:t xml:space="preserve"> del </w:t>
      </w:r>
      <w:r w:rsidR="00F05DFA" w:rsidRPr="00CC1633">
        <w:rPr>
          <w:rFonts w:ascii="Arial" w:hAnsi="Arial" w:cs="Arial"/>
          <w:szCs w:val="24"/>
        </w:rPr>
        <w:t xml:space="preserve">24 de noviembre </w:t>
      </w:r>
      <w:r w:rsidRPr="00CC1633">
        <w:rPr>
          <w:rFonts w:ascii="Arial" w:hAnsi="Arial" w:cs="Arial"/>
          <w:szCs w:val="24"/>
        </w:rPr>
        <w:t>de 2020</w:t>
      </w:r>
    </w:p>
    <w:p w14:paraId="0172631E" w14:textId="77777777" w:rsidR="00B62BDD" w:rsidRPr="00CC1633" w:rsidRDefault="00B62BDD" w:rsidP="00A71BD5">
      <w:pPr>
        <w:pStyle w:val="Sinespaciado"/>
        <w:spacing w:line="276" w:lineRule="auto"/>
        <w:rPr>
          <w:rFonts w:ascii="Arial" w:hAnsi="Arial" w:cs="Arial"/>
          <w:szCs w:val="24"/>
        </w:rPr>
      </w:pPr>
    </w:p>
    <w:p w14:paraId="1C5124CE" w14:textId="716CA9A2" w:rsidR="00B62BDD" w:rsidRPr="00CC1633" w:rsidRDefault="00B62BDD" w:rsidP="00A71BD5">
      <w:pPr>
        <w:spacing w:line="276" w:lineRule="auto"/>
        <w:jc w:val="center"/>
        <w:rPr>
          <w:rFonts w:ascii="Arial" w:hAnsi="Arial" w:cs="Arial"/>
          <w:szCs w:val="24"/>
        </w:rPr>
      </w:pPr>
      <w:r w:rsidRPr="00CC1633">
        <w:rPr>
          <w:rFonts w:ascii="Arial" w:hAnsi="Arial" w:cs="Arial"/>
          <w:szCs w:val="24"/>
        </w:rPr>
        <w:t xml:space="preserve">Pereira, Risaralda, </w:t>
      </w:r>
      <w:r w:rsidR="00F05DFA" w:rsidRPr="00CC1633">
        <w:rPr>
          <w:rFonts w:ascii="Arial" w:hAnsi="Arial" w:cs="Arial"/>
          <w:szCs w:val="24"/>
        </w:rPr>
        <w:t xml:space="preserve">treinta </w:t>
      </w:r>
      <w:r w:rsidRPr="00CC1633">
        <w:rPr>
          <w:rFonts w:ascii="Arial" w:hAnsi="Arial" w:cs="Arial"/>
          <w:szCs w:val="24"/>
        </w:rPr>
        <w:t>(</w:t>
      </w:r>
      <w:r w:rsidR="00F05DFA" w:rsidRPr="00CC1633">
        <w:rPr>
          <w:rFonts w:ascii="Arial" w:hAnsi="Arial" w:cs="Arial"/>
          <w:szCs w:val="24"/>
        </w:rPr>
        <w:t>30)</w:t>
      </w:r>
      <w:r w:rsidRPr="00CC1633">
        <w:rPr>
          <w:rFonts w:ascii="Arial" w:hAnsi="Arial" w:cs="Arial"/>
          <w:szCs w:val="24"/>
        </w:rPr>
        <w:t xml:space="preserve"> de </w:t>
      </w:r>
      <w:r w:rsidR="00E86DCF" w:rsidRPr="00CC1633">
        <w:rPr>
          <w:rFonts w:ascii="Arial" w:hAnsi="Arial" w:cs="Arial"/>
          <w:szCs w:val="24"/>
        </w:rPr>
        <w:t>noviembre</w:t>
      </w:r>
      <w:r w:rsidRPr="00CC1633">
        <w:rPr>
          <w:rFonts w:ascii="Arial" w:hAnsi="Arial" w:cs="Arial"/>
          <w:szCs w:val="24"/>
        </w:rPr>
        <w:t xml:space="preserve"> de dos mil veinte (2020)</w:t>
      </w:r>
    </w:p>
    <w:p w14:paraId="0FB02887" w14:textId="77777777" w:rsidR="00116DDD" w:rsidRPr="00CC1633" w:rsidRDefault="00116DDD" w:rsidP="00A71BD5">
      <w:pPr>
        <w:spacing w:line="276" w:lineRule="auto"/>
        <w:jc w:val="both"/>
        <w:rPr>
          <w:rFonts w:ascii="Arial" w:hAnsi="Arial" w:cs="Arial"/>
          <w:szCs w:val="24"/>
        </w:rPr>
      </w:pPr>
    </w:p>
    <w:p w14:paraId="27CE1B15" w14:textId="19EBCC85" w:rsidR="00116DDD" w:rsidRPr="00CC1633" w:rsidRDefault="00B62BDD" w:rsidP="00A71BD5">
      <w:pPr>
        <w:spacing w:line="276" w:lineRule="auto"/>
        <w:jc w:val="both"/>
        <w:rPr>
          <w:rFonts w:ascii="Arial" w:hAnsi="Arial" w:cs="Arial"/>
          <w:szCs w:val="24"/>
        </w:rPr>
      </w:pPr>
      <w:r w:rsidRPr="00CC1633">
        <w:rPr>
          <w:rFonts w:ascii="Arial" w:hAnsi="Arial" w:cs="Arial"/>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CC1633">
        <w:rPr>
          <w:rFonts w:ascii="Arial" w:hAnsi="Arial" w:cs="Arial"/>
          <w:b/>
          <w:bCs/>
          <w:szCs w:val="24"/>
        </w:rPr>
        <w:t xml:space="preserve">ALEJANDRA MARÍA HENAO PALACIO (ponente), ANA LUCÍA CAICEDO CALDERÓN </w:t>
      </w:r>
      <w:r w:rsidRPr="00CC1633">
        <w:rPr>
          <w:rFonts w:ascii="Arial" w:hAnsi="Arial" w:cs="Arial"/>
          <w:szCs w:val="24"/>
        </w:rPr>
        <w:t>y</w:t>
      </w:r>
      <w:r w:rsidRPr="00CC1633">
        <w:rPr>
          <w:rFonts w:ascii="Arial" w:hAnsi="Arial" w:cs="Arial"/>
          <w:b/>
          <w:bCs/>
          <w:szCs w:val="24"/>
        </w:rPr>
        <w:t xml:space="preserve"> OLGA LUCÍA HOYOS SEPÚLVEDA</w:t>
      </w:r>
      <w:r w:rsidR="00E272CC" w:rsidRPr="00CC1633">
        <w:rPr>
          <w:rFonts w:ascii="Arial" w:hAnsi="Arial" w:cs="Arial"/>
          <w:b/>
          <w:bCs/>
          <w:szCs w:val="24"/>
        </w:rPr>
        <w:t>,</w:t>
      </w:r>
      <w:r w:rsidR="00E272CC" w:rsidRPr="00CC1633">
        <w:rPr>
          <w:rFonts w:ascii="Arial" w:hAnsi="Arial" w:cs="Arial"/>
          <w:szCs w:val="24"/>
        </w:rPr>
        <w:t xml:space="preserve"> </w:t>
      </w:r>
      <w:r w:rsidR="00116DDD" w:rsidRPr="00CC1633">
        <w:rPr>
          <w:rFonts w:ascii="Arial" w:hAnsi="Arial" w:cs="Arial"/>
          <w:szCs w:val="24"/>
        </w:rPr>
        <w:t xml:space="preserve">a resolver </w:t>
      </w:r>
      <w:r w:rsidR="0077710F" w:rsidRPr="00CC1633">
        <w:rPr>
          <w:rFonts w:ascii="Arial" w:hAnsi="Arial" w:cs="Arial"/>
          <w:szCs w:val="24"/>
        </w:rPr>
        <w:t>el</w:t>
      </w:r>
      <w:r w:rsidR="00116DDD" w:rsidRPr="00CC1633">
        <w:rPr>
          <w:rFonts w:ascii="Arial" w:hAnsi="Arial" w:cs="Arial"/>
          <w:szCs w:val="24"/>
        </w:rPr>
        <w:t xml:space="preserve"> recurso de apelación </w:t>
      </w:r>
      <w:r w:rsidR="002918CD" w:rsidRPr="00CC1633">
        <w:rPr>
          <w:rFonts w:ascii="Arial" w:hAnsi="Arial" w:cs="Arial"/>
          <w:szCs w:val="24"/>
        </w:rPr>
        <w:t xml:space="preserve">interpuesto por la parte demandante </w:t>
      </w:r>
      <w:r w:rsidR="00116DDD" w:rsidRPr="00CC1633">
        <w:rPr>
          <w:rFonts w:ascii="Arial" w:hAnsi="Arial" w:cs="Arial"/>
          <w:szCs w:val="24"/>
        </w:rPr>
        <w:t xml:space="preserve">contra la sentencia proferida el </w:t>
      </w:r>
      <w:r w:rsidR="0077710F" w:rsidRPr="00CC1633">
        <w:rPr>
          <w:rFonts w:ascii="Arial" w:hAnsi="Arial" w:cs="Arial"/>
          <w:szCs w:val="24"/>
        </w:rPr>
        <w:t>1</w:t>
      </w:r>
      <w:r w:rsidR="002918CD" w:rsidRPr="00CC1633">
        <w:rPr>
          <w:rFonts w:ascii="Arial" w:hAnsi="Arial" w:cs="Arial"/>
          <w:szCs w:val="24"/>
        </w:rPr>
        <w:t>0 de marzo de 20</w:t>
      </w:r>
      <w:r w:rsidR="00306954" w:rsidRPr="00CC1633">
        <w:rPr>
          <w:rFonts w:ascii="Arial" w:hAnsi="Arial" w:cs="Arial"/>
          <w:szCs w:val="24"/>
        </w:rPr>
        <w:t>19</w:t>
      </w:r>
      <w:r w:rsidR="00116DDD" w:rsidRPr="00CC1633">
        <w:rPr>
          <w:rFonts w:ascii="Arial" w:hAnsi="Arial" w:cs="Arial"/>
          <w:szCs w:val="24"/>
        </w:rPr>
        <w:t xml:space="preserve"> por el Juzgado </w:t>
      </w:r>
      <w:r w:rsidR="00F05DFA" w:rsidRPr="00CC1633">
        <w:rPr>
          <w:rFonts w:ascii="Arial" w:hAnsi="Arial" w:cs="Arial"/>
          <w:szCs w:val="24"/>
        </w:rPr>
        <w:t>Quinto</w:t>
      </w:r>
      <w:r w:rsidR="00A156AF" w:rsidRPr="00CC1633">
        <w:rPr>
          <w:rFonts w:ascii="Arial" w:hAnsi="Arial" w:cs="Arial"/>
          <w:szCs w:val="24"/>
        </w:rPr>
        <w:t xml:space="preserve"> Laboral </w:t>
      </w:r>
      <w:r w:rsidR="00116DDD" w:rsidRPr="00CC1633">
        <w:rPr>
          <w:rFonts w:ascii="Arial" w:hAnsi="Arial" w:cs="Arial"/>
          <w:szCs w:val="24"/>
        </w:rPr>
        <w:t xml:space="preserve">del Circuito de Pereira, dentro del proceso ordinario laboral </w:t>
      </w:r>
      <w:r w:rsidR="00B55D19" w:rsidRPr="00CC1633">
        <w:rPr>
          <w:rFonts w:ascii="Arial" w:hAnsi="Arial" w:cs="Arial"/>
          <w:szCs w:val="24"/>
        </w:rPr>
        <w:t>de la referencia.</w:t>
      </w:r>
    </w:p>
    <w:p w14:paraId="20DCCF68" w14:textId="520D85D9" w:rsidR="00E31A9F" w:rsidRPr="00CC1633" w:rsidRDefault="00E31A9F" w:rsidP="00A71BD5">
      <w:pPr>
        <w:spacing w:line="276" w:lineRule="auto"/>
        <w:jc w:val="both"/>
        <w:rPr>
          <w:rFonts w:ascii="Arial" w:hAnsi="Arial" w:cs="Arial"/>
          <w:szCs w:val="24"/>
        </w:rPr>
      </w:pPr>
    </w:p>
    <w:p w14:paraId="6BD4B118" w14:textId="7BBD7C4D" w:rsidR="00E31A9F" w:rsidRPr="00CC1633" w:rsidRDefault="00E31A9F" w:rsidP="00A71BD5">
      <w:pPr>
        <w:spacing w:line="276" w:lineRule="auto"/>
        <w:jc w:val="both"/>
        <w:rPr>
          <w:rFonts w:ascii="Arial" w:hAnsi="Arial" w:cs="Arial"/>
          <w:b/>
          <w:szCs w:val="24"/>
        </w:rPr>
      </w:pPr>
      <w:r w:rsidRPr="00CC1633">
        <w:rPr>
          <w:rFonts w:ascii="Arial" w:hAnsi="Arial" w:cs="Arial"/>
          <w:b/>
          <w:szCs w:val="24"/>
        </w:rPr>
        <w:t>Cuestión previa</w:t>
      </w:r>
    </w:p>
    <w:p w14:paraId="2F56950D" w14:textId="77777777" w:rsidR="00E31A9F" w:rsidRPr="00CC1633" w:rsidRDefault="00E31A9F" w:rsidP="00A71BD5">
      <w:pPr>
        <w:pStyle w:val="Sinespaciado"/>
        <w:spacing w:line="276" w:lineRule="auto"/>
        <w:rPr>
          <w:rFonts w:ascii="Arial" w:hAnsi="Arial" w:cs="Arial"/>
          <w:szCs w:val="24"/>
        </w:rPr>
      </w:pPr>
    </w:p>
    <w:p w14:paraId="75B2D7FD" w14:textId="09392AFF" w:rsidR="00F05DFA" w:rsidRPr="00CC1633" w:rsidRDefault="00C3351D" w:rsidP="00A71BD5">
      <w:pPr>
        <w:spacing w:line="276" w:lineRule="auto"/>
        <w:jc w:val="both"/>
        <w:rPr>
          <w:rFonts w:ascii="Arial" w:eastAsia="Arial Narrow" w:hAnsi="Arial" w:cs="Arial"/>
          <w:szCs w:val="24"/>
        </w:rPr>
      </w:pPr>
      <w:r w:rsidRPr="00CC1633">
        <w:rPr>
          <w:rFonts w:ascii="Arial" w:eastAsia="Arial Narrow" w:hAnsi="Arial" w:cs="Arial"/>
          <w:szCs w:val="24"/>
        </w:rPr>
        <w:t>(…)</w:t>
      </w:r>
    </w:p>
    <w:p w14:paraId="2F0D0E23" w14:textId="77777777" w:rsidR="00B62BDD" w:rsidRPr="00CC1633" w:rsidRDefault="00B62BDD" w:rsidP="00A71BD5">
      <w:pPr>
        <w:spacing w:line="276" w:lineRule="auto"/>
        <w:jc w:val="both"/>
        <w:rPr>
          <w:rFonts w:ascii="Arial" w:hAnsi="Arial" w:cs="Arial"/>
          <w:szCs w:val="24"/>
        </w:rPr>
      </w:pPr>
    </w:p>
    <w:p w14:paraId="22E41C6C" w14:textId="77777777" w:rsidR="00B62BDD" w:rsidRPr="00CC1633" w:rsidRDefault="00B62BDD" w:rsidP="00A71BD5">
      <w:pPr>
        <w:spacing w:line="276" w:lineRule="auto"/>
        <w:jc w:val="both"/>
        <w:rPr>
          <w:rFonts w:ascii="Arial" w:hAnsi="Arial" w:cs="Arial"/>
          <w:szCs w:val="24"/>
        </w:rPr>
      </w:pPr>
      <w:r w:rsidRPr="00CC1633">
        <w:rPr>
          <w:rFonts w:ascii="Arial" w:hAnsi="Arial" w:cs="Arial"/>
          <w:szCs w:val="24"/>
        </w:rPr>
        <w:t xml:space="preserve">Previamente se revisó, discutió y aprobó el proyecto elaborado por la Magistrada ponente el cual alude a la siguiente:  </w:t>
      </w:r>
    </w:p>
    <w:p w14:paraId="24232E8F" w14:textId="77777777" w:rsidR="00B62BDD" w:rsidRPr="00CC1633" w:rsidRDefault="00B62BDD" w:rsidP="00A71BD5">
      <w:pPr>
        <w:spacing w:line="276" w:lineRule="auto"/>
        <w:jc w:val="both"/>
        <w:rPr>
          <w:rFonts w:ascii="Arial" w:hAnsi="Arial" w:cs="Arial"/>
          <w:szCs w:val="24"/>
        </w:rPr>
      </w:pPr>
    </w:p>
    <w:p w14:paraId="4BA235E6" w14:textId="37CCFA25" w:rsidR="00B62BDD" w:rsidRPr="00CC1633" w:rsidRDefault="00B62BDD" w:rsidP="00A71BD5">
      <w:pPr>
        <w:spacing w:line="276" w:lineRule="auto"/>
        <w:jc w:val="center"/>
        <w:rPr>
          <w:rFonts w:ascii="Arial" w:hAnsi="Arial" w:cs="Arial"/>
          <w:b/>
          <w:bCs/>
          <w:szCs w:val="24"/>
        </w:rPr>
      </w:pPr>
      <w:r w:rsidRPr="00CC1633">
        <w:rPr>
          <w:rFonts w:ascii="Arial" w:hAnsi="Arial" w:cs="Arial"/>
          <w:b/>
          <w:bCs/>
          <w:szCs w:val="24"/>
        </w:rPr>
        <w:t>SENTENCIA</w:t>
      </w:r>
    </w:p>
    <w:p w14:paraId="5E00D4FB" w14:textId="77777777" w:rsidR="00116DDD" w:rsidRPr="00CC1633" w:rsidRDefault="00116DDD" w:rsidP="00A71BD5">
      <w:pPr>
        <w:pStyle w:val="Sinespaciado"/>
        <w:spacing w:line="276" w:lineRule="auto"/>
        <w:rPr>
          <w:rFonts w:ascii="Arial" w:hAnsi="Arial" w:cs="Arial"/>
          <w:szCs w:val="24"/>
        </w:rPr>
      </w:pPr>
    </w:p>
    <w:p w14:paraId="1545182B" w14:textId="5953F572" w:rsidR="00116DDD" w:rsidRPr="00CC1633" w:rsidRDefault="00162D9D" w:rsidP="00A71BD5">
      <w:pPr>
        <w:spacing w:line="276" w:lineRule="auto"/>
        <w:jc w:val="both"/>
        <w:rPr>
          <w:rFonts w:ascii="Arial" w:hAnsi="Arial" w:cs="Arial"/>
          <w:b/>
          <w:bCs/>
          <w:szCs w:val="24"/>
        </w:rPr>
      </w:pPr>
      <w:r w:rsidRPr="00CC1633">
        <w:rPr>
          <w:rFonts w:ascii="Arial" w:hAnsi="Arial" w:cs="Arial"/>
          <w:b/>
          <w:bCs/>
          <w:szCs w:val="24"/>
        </w:rPr>
        <w:t xml:space="preserve">I.  </w:t>
      </w:r>
      <w:r w:rsidR="00116DDD" w:rsidRPr="00CC1633">
        <w:rPr>
          <w:rFonts w:ascii="Arial" w:hAnsi="Arial" w:cs="Arial"/>
          <w:b/>
          <w:bCs/>
          <w:szCs w:val="24"/>
        </w:rPr>
        <w:t xml:space="preserve">ANTECEDENTES </w:t>
      </w:r>
    </w:p>
    <w:p w14:paraId="16BCE51E" w14:textId="77777777" w:rsidR="00116DDD" w:rsidRPr="00CC1633" w:rsidRDefault="00116DDD" w:rsidP="00A71BD5">
      <w:pPr>
        <w:pStyle w:val="Sinespaciado"/>
        <w:spacing w:line="276" w:lineRule="auto"/>
        <w:rPr>
          <w:rFonts w:ascii="Arial" w:hAnsi="Arial" w:cs="Arial"/>
          <w:szCs w:val="24"/>
        </w:rPr>
      </w:pPr>
    </w:p>
    <w:p w14:paraId="67AE6BEA" w14:textId="0A763E08" w:rsidR="00116DDD" w:rsidRPr="00CC1633" w:rsidRDefault="00AD30D2" w:rsidP="00A71BD5">
      <w:pPr>
        <w:spacing w:line="276" w:lineRule="auto"/>
        <w:jc w:val="both"/>
        <w:rPr>
          <w:rFonts w:ascii="Arial" w:hAnsi="Arial" w:cs="Arial"/>
          <w:b/>
          <w:bCs/>
          <w:szCs w:val="24"/>
        </w:rPr>
      </w:pPr>
      <w:r w:rsidRPr="00CC1633">
        <w:rPr>
          <w:rFonts w:ascii="Arial" w:hAnsi="Arial" w:cs="Arial"/>
          <w:b/>
          <w:bCs/>
          <w:szCs w:val="24"/>
        </w:rPr>
        <w:t xml:space="preserve">1.1.   </w:t>
      </w:r>
      <w:r w:rsidR="00116DDD" w:rsidRPr="00CC1633">
        <w:rPr>
          <w:rFonts w:ascii="Arial" w:hAnsi="Arial" w:cs="Arial"/>
          <w:b/>
          <w:bCs/>
          <w:szCs w:val="24"/>
        </w:rPr>
        <w:t>Demanda</w:t>
      </w:r>
    </w:p>
    <w:p w14:paraId="296EDCCE" w14:textId="77777777" w:rsidR="00116DDD" w:rsidRPr="00CC1633" w:rsidRDefault="00116DDD" w:rsidP="00A71BD5">
      <w:pPr>
        <w:spacing w:line="276" w:lineRule="auto"/>
        <w:jc w:val="both"/>
        <w:rPr>
          <w:rFonts w:ascii="Arial" w:hAnsi="Arial" w:cs="Arial"/>
          <w:szCs w:val="24"/>
        </w:rPr>
      </w:pPr>
    </w:p>
    <w:p w14:paraId="5C406593" w14:textId="5F582498" w:rsidR="0053721F" w:rsidRPr="00CC1633" w:rsidRDefault="00116DDD" w:rsidP="00A71BD5">
      <w:pPr>
        <w:spacing w:line="276" w:lineRule="auto"/>
        <w:jc w:val="both"/>
        <w:rPr>
          <w:rFonts w:ascii="Arial" w:hAnsi="Arial" w:cs="Arial"/>
          <w:szCs w:val="24"/>
        </w:rPr>
      </w:pPr>
      <w:r w:rsidRPr="00CC1633">
        <w:rPr>
          <w:rFonts w:ascii="Arial" w:hAnsi="Arial" w:cs="Arial"/>
          <w:szCs w:val="24"/>
        </w:rPr>
        <w:t xml:space="preserve">Pretende </w:t>
      </w:r>
      <w:r w:rsidR="002918CD" w:rsidRPr="00CC1633">
        <w:rPr>
          <w:rFonts w:ascii="Arial" w:hAnsi="Arial" w:cs="Arial"/>
          <w:szCs w:val="24"/>
        </w:rPr>
        <w:t>la</w:t>
      </w:r>
      <w:r w:rsidRPr="00CC1633">
        <w:rPr>
          <w:rFonts w:ascii="Arial" w:hAnsi="Arial" w:cs="Arial"/>
          <w:szCs w:val="24"/>
        </w:rPr>
        <w:t xml:space="preserve"> demandante que la justicia ordinaria laboral declare la nulidad</w:t>
      </w:r>
      <w:r w:rsidR="0053721F" w:rsidRPr="00CC1633">
        <w:rPr>
          <w:rFonts w:ascii="Arial" w:hAnsi="Arial" w:cs="Arial"/>
          <w:szCs w:val="24"/>
        </w:rPr>
        <w:t xml:space="preserve"> </w:t>
      </w:r>
      <w:r w:rsidRPr="00CC1633">
        <w:rPr>
          <w:rFonts w:ascii="Arial" w:hAnsi="Arial" w:cs="Arial"/>
          <w:szCs w:val="24"/>
        </w:rPr>
        <w:t xml:space="preserve">del traslado </w:t>
      </w:r>
      <w:r w:rsidR="00566F3D" w:rsidRPr="00CC1633">
        <w:rPr>
          <w:rFonts w:ascii="Arial" w:hAnsi="Arial" w:cs="Arial"/>
          <w:szCs w:val="24"/>
        </w:rPr>
        <w:t>efectuado</w:t>
      </w:r>
      <w:r w:rsidR="00504959" w:rsidRPr="00CC1633">
        <w:rPr>
          <w:rFonts w:ascii="Arial" w:hAnsi="Arial" w:cs="Arial"/>
          <w:szCs w:val="24"/>
        </w:rPr>
        <w:t xml:space="preserve"> de</w:t>
      </w:r>
      <w:r w:rsidRPr="00CC1633">
        <w:rPr>
          <w:rFonts w:ascii="Arial" w:hAnsi="Arial" w:cs="Arial"/>
          <w:szCs w:val="24"/>
        </w:rPr>
        <w:t>l régimen de prima media con prestación definida al régimen de ahorro individual con solidaridad</w:t>
      </w:r>
      <w:r w:rsidR="00566F3D" w:rsidRPr="00CC1633">
        <w:rPr>
          <w:rFonts w:ascii="Arial" w:hAnsi="Arial" w:cs="Arial"/>
          <w:szCs w:val="24"/>
        </w:rPr>
        <w:t>,</w:t>
      </w:r>
      <w:r w:rsidRPr="00CC1633">
        <w:rPr>
          <w:rFonts w:ascii="Arial" w:hAnsi="Arial" w:cs="Arial"/>
          <w:szCs w:val="24"/>
        </w:rPr>
        <w:t xml:space="preserve"> a través de la </w:t>
      </w:r>
      <w:r w:rsidR="0007029E" w:rsidRPr="00CC1633">
        <w:rPr>
          <w:rFonts w:ascii="Arial" w:hAnsi="Arial" w:cs="Arial"/>
          <w:szCs w:val="24"/>
        </w:rPr>
        <w:t>administradora de fondos de pensione</w:t>
      </w:r>
      <w:r w:rsidR="00B55D19" w:rsidRPr="00CC1633">
        <w:rPr>
          <w:rFonts w:ascii="Arial" w:hAnsi="Arial" w:cs="Arial"/>
          <w:szCs w:val="24"/>
        </w:rPr>
        <w:t>s</w:t>
      </w:r>
      <w:r w:rsidR="0007029E" w:rsidRPr="00CC1633">
        <w:rPr>
          <w:rFonts w:ascii="Arial" w:hAnsi="Arial" w:cs="Arial"/>
          <w:szCs w:val="24"/>
        </w:rPr>
        <w:t xml:space="preserve"> </w:t>
      </w:r>
      <w:r w:rsidR="00504959" w:rsidRPr="00CC1633">
        <w:rPr>
          <w:rFonts w:ascii="Arial" w:hAnsi="Arial" w:cs="Arial"/>
          <w:b/>
          <w:bCs/>
          <w:szCs w:val="24"/>
        </w:rPr>
        <w:t>Protección</w:t>
      </w:r>
      <w:r w:rsidR="00697F72" w:rsidRPr="00CC1633">
        <w:rPr>
          <w:rFonts w:ascii="Arial" w:hAnsi="Arial" w:cs="Arial"/>
          <w:b/>
          <w:bCs/>
          <w:szCs w:val="24"/>
        </w:rPr>
        <w:t xml:space="preserve"> S.A.</w:t>
      </w:r>
      <w:r w:rsidR="00504959" w:rsidRPr="00CC1633">
        <w:rPr>
          <w:rFonts w:ascii="Arial" w:hAnsi="Arial" w:cs="Arial"/>
          <w:szCs w:val="24"/>
        </w:rPr>
        <w:t xml:space="preserve">, así como la validez y vigencia de la afiliación a </w:t>
      </w:r>
      <w:r w:rsidR="00504959" w:rsidRPr="00CC1633">
        <w:rPr>
          <w:rFonts w:ascii="Arial" w:hAnsi="Arial" w:cs="Arial"/>
          <w:b/>
          <w:bCs/>
          <w:szCs w:val="24"/>
        </w:rPr>
        <w:lastRenderedPageBreak/>
        <w:t>Colpensiones</w:t>
      </w:r>
      <w:r w:rsidR="00504959" w:rsidRPr="00CC1633">
        <w:rPr>
          <w:rFonts w:ascii="Arial" w:hAnsi="Arial" w:cs="Arial"/>
          <w:szCs w:val="24"/>
        </w:rPr>
        <w:t>.</w:t>
      </w:r>
      <w:r w:rsidR="0053721F" w:rsidRPr="00CC1633">
        <w:rPr>
          <w:rFonts w:ascii="Arial" w:hAnsi="Arial" w:cs="Arial"/>
          <w:b/>
          <w:bCs/>
          <w:szCs w:val="24"/>
        </w:rPr>
        <w:t xml:space="preserve"> </w:t>
      </w:r>
      <w:r w:rsidR="0053721F" w:rsidRPr="00CC1633">
        <w:rPr>
          <w:rFonts w:ascii="Arial" w:hAnsi="Arial" w:cs="Arial"/>
          <w:szCs w:val="24"/>
        </w:rPr>
        <w:t>Consecuentemente, solicita que se</w:t>
      </w:r>
      <w:r w:rsidR="00504959" w:rsidRPr="00CC1633">
        <w:rPr>
          <w:rFonts w:ascii="Arial" w:hAnsi="Arial" w:cs="Arial"/>
          <w:szCs w:val="24"/>
        </w:rPr>
        <w:t xml:space="preserve"> condena </w:t>
      </w:r>
      <w:r w:rsidR="00504959" w:rsidRPr="00CC1633">
        <w:rPr>
          <w:rFonts w:ascii="Arial" w:hAnsi="Arial" w:cs="Arial"/>
          <w:b/>
          <w:bCs/>
          <w:szCs w:val="24"/>
        </w:rPr>
        <w:t xml:space="preserve">Colpensiones </w:t>
      </w:r>
      <w:r w:rsidR="00504959" w:rsidRPr="00CC1633">
        <w:rPr>
          <w:rFonts w:ascii="Arial" w:hAnsi="Arial" w:cs="Arial"/>
          <w:szCs w:val="24"/>
        </w:rPr>
        <w:t>a recibirl</w:t>
      </w:r>
      <w:r w:rsidR="00697F72" w:rsidRPr="00CC1633">
        <w:rPr>
          <w:rFonts w:ascii="Arial" w:hAnsi="Arial" w:cs="Arial"/>
          <w:szCs w:val="24"/>
        </w:rPr>
        <w:t xml:space="preserve">a nuevamente como su afiliada, </w:t>
      </w:r>
      <w:r w:rsidR="00504959" w:rsidRPr="00CC1633">
        <w:rPr>
          <w:rFonts w:ascii="Arial" w:hAnsi="Arial" w:cs="Arial"/>
          <w:szCs w:val="24"/>
        </w:rPr>
        <w:t xml:space="preserve">y a </w:t>
      </w:r>
      <w:r w:rsidR="00504959" w:rsidRPr="00CC1633">
        <w:rPr>
          <w:rFonts w:ascii="Arial" w:hAnsi="Arial" w:cs="Arial"/>
          <w:b/>
          <w:bCs/>
          <w:szCs w:val="24"/>
        </w:rPr>
        <w:t xml:space="preserve">Protección </w:t>
      </w:r>
      <w:r w:rsidR="00697F72" w:rsidRPr="00CC1633">
        <w:rPr>
          <w:rFonts w:ascii="Arial" w:hAnsi="Arial" w:cs="Arial"/>
          <w:b/>
          <w:bCs/>
          <w:szCs w:val="24"/>
        </w:rPr>
        <w:t xml:space="preserve">S.A. </w:t>
      </w:r>
      <w:r w:rsidR="00504959" w:rsidRPr="00CC1633">
        <w:rPr>
          <w:rFonts w:ascii="Arial" w:hAnsi="Arial" w:cs="Arial"/>
          <w:szCs w:val="24"/>
        </w:rPr>
        <w:t>a liberarl</w:t>
      </w:r>
      <w:r w:rsidR="00697F72" w:rsidRPr="00CC1633">
        <w:rPr>
          <w:rFonts w:ascii="Arial" w:hAnsi="Arial" w:cs="Arial"/>
          <w:szCs w:val="24"/>
        </w:rPr>
        <w:t xml:space="preserve">a </w:t>
      </w:r>
      <w:r w:rsidR="00504959" w:rsidRPr="00CC1633">
        <w:rPr>
          <w:rFonts w:ascii="Arial" w:hAnsi="Arial" w:cs="Arial"/>
          <w:szCs w:val="24"/>
        </w:rPr>
        <w:t xml:space="preserve">de sus bases de datos y trasladar al régimen de prima media todos los valores recibidos con motivo de su vinculación a la entidad, tales como cotizaciones, frutos e intereses. Lo anterior, aunado a la condena en costas a ambas demandadas. </w:t>
      </w:r>
      <w:r w:rsidR="0053721F" w:rsidRPr="00CC1633">
        <w:rPr>
          <w:rFonts w:ascii="Arial" w:hAnsi="Arial" w:cs="Arial"/>
          <w:szCs w:val="24"/>
        </w:rPr>
        <w:t xml:space="preserve"> </w:t>
      </w:r>
    </w:p>
    <w:p w14:paraId="7A53E396" w14:textId="622EFDA9" w:rsidR="00116DDD" w:rsidRPr="00CC1633" w:rsidRDefault="00116DDD" w:rsidP="00A71BD5">
      <w:pPr>
        <w:spacing w:line="276" w:lineRule="auto"/>
        <w:jc w:val="both"/>
        <w:rPr>
          <w:rFonts w:ascii="Arial" w:hAnsi="Arial" w:cs="Arial"/>
          <w:szCs w:val="24"/>
        </w:rPr>
      </w:pPr>
    </w:p>
    <w:p w14:paraId="4B4E8A28" w14:textId="5BD1FDA3" w:rsidR="007B7476" w:rsidRPr="00CC1633" w:rsidRDefault="00116DDD" w:rsidP="00A71BD5">
      <w:pPr>
        <w:spacing w:line="276" w:lineRule="auto"/>
        <w:jc w:val="both"/>
        <w:rPr>
          <w:rFonts w:ascii="Arial" w:hAnsi="Arial" w:cs="Arial"/>
          <w:szCs w:val="24"/>
        </w:rPr>
      </w:pPr>
      <w:r w:rsidRPr="00CC1633">
        <w:rPr>
          <w:rFonts w:ascii="Arial" w:hAnsi="Arial" w:cs="Arial"/>
          <w:szCs w:val="24"/>
        </w:rPr>
        <w:t>Como sustento de sus pretensiones</w:t>
      </w:r>
      <w:r w:rsidR="00577170" w:rsidRPr="00CC1633">
        <w:rPr>
          <w:rFonts w:ascii="Arial" w:hAnsi="Arial" w:cs="Arial"/>
          <w:szCs w:val="24"/>
        </w:rPr>
        <w:t xml:space="preserve"> </w:t>
      </w:r>
      <w:r w:rsidR="00A57CFE" w:rsidRPr="00CC1633">
        <w:rPr>
          <w:rFonts w:ascii="Arial" w:hAnsi="Arial" w:cs="Arial"/>
          <w:szCs w:val="24"/>
        </w:rPr>
        <w:t>exp</w:t>
      </w:r>
      <w:r w:rsidR="0085332B" w:rsidRPr="00CC1633">
        <w:rPr>
          <w:rFonts w:ascii="Arial" w:hAnsi="Arial" w:cs="Arial"/>
          <w:szCs w:val="24"/>
        </w:rPr>
        <w:t>uso</w:t>
      </w:r>
      <w:r w:rsidR="00B55D19" w:rsidRPr="00CC1633">
        <w:rPr>
          <w:rFonts w:ascii="Arial" w:hAnsi="Arial" w:cs="Arial"/>
          <w:szCs w:val="24"/>
        </w:rPr>
        <w:t xml:space="preserve">, en síntesis, </w:t>
      </w:r>
      <w:r w:rsidR="00A57CFE" w:rsidRPr="00CC1633">
        <w:rPr>
          <w:rFonts w:ascii="Arial" w:hAnsi="Arial" w:cs="Arial"/>
          <w:szCs w:val="24"/>
        </w:rPr>
        <w:t>que</w:t>
      </w:r>
      <w:r w:rsidR="00436A8A" w:rsidRPr="00CC1633">
        <w:rPr>
          <w:rFonts w:ascii="Arial" w:hAnsi="Arial" w:cs="Arial"/>
          <w:szCs w:val="24"/>
        </w:rPr>
        <w:t xml:space="preserve"> </w:t>
      </w:r>
      <w:r w:rsidR="00504959" w:rsidRPr="00CC1633">
        <w:rPr>
          <w:rFonts w:ascii="Arial" w:hAnsi="Arial" w:cs="Arial"/>
          <w:szCs w:val="24"/>
        </w:rPr>
        <w:t xml:space="preserve">se afilió al régimen de </w:t>
      </w:r>
      <w:r w:rsidR="00697F72" w:rsidRPr="00CC1633">
        <w:rPr>
          <w:rFonts w:ascii="Arial" w:hAnsi="Arial" w:cs="Arial"/>
          <w:szCs w:val="24"/>
        </w:rPr>
        <w:t xml:space="preserve">prima media con prestación definida el 21 de marzo de 1985; que en el mes de septiembre de 1999 se trasladó al régimen de ahorro individual con solidaridad, en virtud a que asesores comerciales de Protección S.A. la visitaron a su lugar de trabajo </w:t>
      </w:r>
      <w:r w:rsidR="0001607B" w:rsidRPr="00CC1633">
        <w:rPr>
          <w:rFonts w:ascii="Arial" w:hAnsi="Arial" w:cs="Arial"/>
          <w:szCs w:val="24"/>
        </w:rPr>
        <w:t xml:space="preserve">ofreciéndole servicios pensionales, tales como una pensión </w:t>
      </w:r>
      <w:r w:rsidR="0061714E" w:rsidRPr="00CC1633">
        <w:rPr>
          <w:rFonts w:ascii="Arial" w:hAnsi="Arial" w:cs="Arial"/>
          <w:szCs w:val="24"/>
        </w:rPr>
        <w:t xml:space="preserve">más temprana edad, que su mesada pensional sería más alta, que podría heredarla hasta el quinto grado de consanguinidad, que de no querer pensionarse podría optar por la devolución de los saldos y que el ISS estaba próximo a desaparecer, omitiendo informarle que la posibilidad de heredar la pensión estaba condicionada a la elección de la modalidad de retiro programado, los beneficios, las consecuencias del traslado y en general, obtener un consentimiento informado. </w:t>
      </w:r>
    </w:p>
    <w:p w14:paraId="09B23A16" w14:textId="77777777" w:rsidR="00E642FD" w:rsidRPr="00CC1633" w:rsidRDefault="00E642FD" w:rsidP="00A71BD5">
      <w:pPr>
        <w:spacing w:line="276" w:lineRule="auto"/>
        <w:jc w:val="both"/>
        <w:rPr>
          <w:rFonts w:ascii="Arial" w:hAnsi="Arial" w:cs="Arial"/>
          <w:szCs w:val="24"/>
        </w:rPr>
      </w:pPr>
    </w:p>
    <w:p w14:paraId="289944D5" w14:textId="438537F1" w:rsidR="00597AE5" w:rsidRPr="00CC1633" w:rsidRDefault="0001607B" w:rsidP="00A71BD5">
      <w:pPr>
        <w:spacing w:line="276" w:lineRule="auto"/>
        <w:jc w:val="both"/>
        <w:rPr>
          <w:rFonts w:ascii="Arial" w:hAnsi="Arial" w:cs="Arial"/>
          <w:szCs w:val="24"/>
        </w:rPr>
      </w:pPr>
      <w:r w:rsidRPr="00CC1633">
        <w:rPr>
          <w:rFonts w:ascii="Arial" w:hAnsi="Arial" w:cs="Arial"/>
          <w:szCs w:val="24"/>
        </w:rPr>
        <w:t xml:space="preserve">Relató además que de conformidad con el historial emitido por el fondo privado accionado, reporta en su cuenta de ahorro individual </w:t>
      </w:r>
      <w:r w:rsidR="00597AE5" w:rsidRPr="00CC1633">
        <w:rPr>
          <w:rFonts w:ascii="Arial" w:hAnsi="Arial" w:cs="Arial"/>
          <w:szCs w:val="24"/>
        </w:rPr>
        <w:t>una suma de $1</w:t>
      </w:r>
      <w:r w:rsidRPr="00CC1633">
        <w:rPr>
          <w:rFonts w:ascii="Arial" w:hAnsi="Arial" w:cs="Arial"/>
          <w:szCs w:val="24"/>
        </w:rPr>
        <w:t>18´414.340</w:t>
      </w:r>
      <w:r w:rsidR="00597AE5" w:rsidRPr="00CC1633">
        <w:rPr>
          <w:rFonts w:ascii="Arial" w:hAnsi="Arial" w:cs="Arial"/>
          <w:szCs w:val="24"/>
        </w:rPr>
        <w:t xml:space="preserve"> y un total de 1.330 semanas cotizadas; que Porvenir </w:t>
      </w:r>
      <w:r w:rsidR="00E31A9F" w:rsidRPr="00CC1633">
        <w:rPr>
          <w:rFonts w:ascii="Arial" w:hAnsi="Arial" w:cs="Arial"/>
          <w:szCs w:val="24"/>
        </w:rPr>
        <w:t xml:space="preserve">(sic) </w:t>
      </w:r>
      <w:r w:rsidR="00597AE5" w:rsidRPr="00CC1633">
        <w:rPr>
          <w:rFonts w:ascii="Arial" w:hAnsi="Arial" w:cs="Arial"/>
          <w:szCs w:val="24"/>
        </w:rPr>
        <w:t xml:space="preserve">le informó de manera verbal que su mesada pensional al cumplimiento de 57 años, seria de otorgada a través de la figura de garantía mínima; que de haber permanecido en el régimen de prima media con prestación definida, su mesada pensional para aquel momento ascendería a la suma de $1´509.208; y que el 3 de noviembre de 2017 radicó derecho de petición ante Protección, del cual no obtuvo respuesta. </w:t>
      </w:r>
    </w:p>
    <w:p w14:paraId="1392404B" w14:textId="77777777" w:rsidR="001F104B" w:rsidRPr="00CC1633" w:rsidRDefault="001F104B" w:rsidP="00A71BD5">
      <w:pPr>
        <w:spacing w:line="276" w:lineRule="auto"/>
        <w:jc w:val="both"/>
        <w:rPr>
          <w:rFonts w:ascii="Arial" w:hAnsi="Arial" w:cs="Arial"/>
          <w:b/>
          <w:bCs/>
          <w:szCs w:val="24"/>
        </w:rPr>
      </w:pPr>
    </w:p>
    <w:p w14:paraId="6CB92E2C" w14:textId="2F72D843" w:rsidR="00116DDD" w:rsidRPr="00CC1633" w:rsidRDefault="00116DDD" w:rsidP="00A71BD5">
      <w:pPr>
        <w:spacing w:line="276" w:lineRule="auto"/>
        <w:jc w:val="both"/>
        <w:rPr>
          <w:rFonts w:ascii="Arial" w:hAnsi="Arial" w:cs="Arial"/>
          <w:b/>
          <w:bCs/>
          <w:szCs w:val="24"/>
        </w:rPr>
      </w:pPr>
      <w:r w:rsidRPr="00CC1633">
        <w:rPr>
          <w:rFonts w:ascii="Arial" w:hAnsi="Arial" w:cs="Arial"/>
          <w:b/>
          <w:bCs/>
          <w:szCs w:val="24"/>
        </w:rPr>
        <w:t xml:space="preserve">1.2.     Respuesta a la demanda. </w:t>
      </w:r>
    </w:p>
    <w:p w14:paraId="172D3F47" w14:textId="77777777" w:rsidR="00116DDD" w:rsidRPr="00CC1633" w:rsidRDefault="00116DDD" w:rsidP="00A71BD5">
      <w:pPr>
        <w:spacing w:line="276" w:lineRule="auto"/>
        <w:jc w:val="both"/>
        <w:rPr>
          <w:rFonts w:ascii="Arial" w:hAnsi="Arial" w:cs="Arial"/>
          <w:b/>
          <w:bCs/>
          <w:szCs w:val="24"/>
        </w:rPr>
      </w:pPr>
    </w:p>
    <w:p w14:paraId="3DE152D8" w14:textId="27A6AC58" w:rsidR="00116DDD" w:rsidRPr="00CC1633" w:rsidRDefault="00116DDD" w:rsidP="00A71BD5">
      <w:pPr>
        <w:spacing w:line="276" w:lineRule="auto"/>
        <w:jc w:val="both"/>
        <w:rPr>
          <w:rFonts w:ascii="Arial" w:hAnsi="Arial" w:cs="Arial"/>
          <w:b/>
          <w:bCs/>
          <w:szCs w:val="24"/>
        </w:rPr>
      </w:pPr>
      <w:r w:rsidRPr="00CC1633">
        <w:rPr>
          <w:rFonts w:ascii="Arial" w:hAnsi="Arial" w:cs="Arial"/>
          <w:b/>
          <w:bCs/>
          <w:szCs w:val="24"/>
        </w:rPr>
        <w:t xml:space="preserve">1.2.1.   </w:t>
      </w:r>
      <w:r w:rsidR="006B457C" w:rsidRPr="00CC1633">
        <w:rPr>
          <w:rFonts w:ascii="Arial" w:hAnsi="Arial" w:cs="Arial"/>
          <w:b/>
          <w:bCs/>
          <w:szCs w:val="24"/>
        </w:rPr>
        <w:t>Colpensiones</w:t>
      </w:r>
    </w:p>
    <w:p w14:paraId="08341053" w14:textId="77777777" w:rsidR="00116DDD" w:rsidRPr="00CC1633" w:rsidRDefault="00116DDD" w:rsidP="00A71BD5">
      <w:pPr>
        <w:spacing w:line="276" w:lineRule="auto"/>
        <w:jc w:val="both"/>
        <w:rPr>
          <w:rFonts w:ascii="Arial" w:hAnsi="Arial" w:cs="Arial"/>
          <w:szCs w:val="24"/>
        </w:rPr>
      </w:pPr>
    </w:p>
    <w:p w14:paraId="7DBF0974" w14:textId="6B97ACD5" w:rsidR="00116DDD" w:rsidRPr="00CC1633" w:rsidRDefault="00116DDD" w:rsidP="00A71BD5">
      <w:pPr>
        <w:spacing w:line="276" w:lineRule="auto"/>
        <w:jc w:val="both"/>
        <w:rPr>
          <w:rFonts w:ascii="Arial" w:hAnsi="Arial" w:cs="Arial"/>
          <w:szCs w:val="24"/>
        </w:rPr>
      </w:pPr>
      <w:r w:rsidRPr="00CC1633">
        <w:rPr>
          <w:rFonts w:ascii="Arial" w:hAnsi="Arial" w:cs="Arial"/>
          <w:szCs w:val="24"/>
        </w:rPr>
        <w:t xml:space="preserve">Dentro del término de ley, a través de su portavoz judicial, </w:t>
      </w:r>
      <w:r w:rsidR="006A701B" w:rsidRPr="00CC1633">
        <w:rPr>
          <w:rFonts w:ascii="Arial" w:hAnsi="Arial" w:cs="Arial"/>
          <w:szCs w:val="24"/>
        </w:rPr>
        <w:t>contestó la demanda indicando que no le constan los hechos</w:t>
      </w:r>
      <w:r w:rsidR="00484C66" w:rsidRPr="00CC1633">
        <w:rPr>
          <w:rFonts w:ascii="Arial" w:hAnsi="Arial" w:cs="Arial"/>
          <w:szCs w:val="24"/>
        </w:rPr>
        <w:t xml:space="preserve">, por no ser imputables a ella debiéndose acreditar dentro del proceso. Se opuso a la prosperidad de las pretensiones, indicando que carecen de sustento fáctico y legal, en razón a que el acto por medio del cual se trasladó de régimen se hizo conforme a derecho. En su </w:t>
      </w:r>
      <w:r w:rsidR="00B57580" w:rsidRPr="00CC1633">
        <w:rPr>
          <w:rFonts w:ascii="Arial" w:hAnsi="Arial" w:cs="Arial"/>
          <w:szCs w:val="24"/>
        </w:rPr>
        <w:t>defen</w:t>
      </w:r>
      <w:r w:rsidR="00141E8F" w:rsidRPr="00CC1633">
        <w:rPr>
          <w:rFonts w:ascii="Arial" w:hAnsi="Arial" w:cs="Arial"/>
          <w:szCs w:val="24"/>
        </w:rPr>
        <w:t xml:space="preserve">sa enlistó los </w:t>
      </w:r>
      <w:r w:rsidRPr="00CC1633">
        <w:rPr>
          <w:rFonts w:ascii="Arial" w:hAnsi="Arial" w:cs="Arial"/>
          <w:szCs w:val="24"/>
        </w:rPr>
        <w:t>medios exceptivos que denominó “</w:t>
      </w:r>
      <w:r w:rsidR="00484C66" w:rsidRPr="00CC1633">
        <w:rPr>
          <w:rFonts w:ascii="Arial" w:hAnsi="Arial" w:cs="Arial"/>
          <w:szCs w:val="24"/>
        </w:rPr>
        <w:t>I</w:t>
      </w:r>
      <w:r w:rsidR="006B457C" w:rsidRPr="00CC1633">
        <w:rPr>
          <w:rFonts w:ascii="Arial" w:hAnsi="Arial" w:cs="Arial"/>
          <w:szCs w:val="24"/>
        </w:rPr>
        <w:t>nexistencia de la obligación</w:t>
      </w:r>
      <w:r w:rsidR="00F17333" w:rsidRPr="00CC1633">
        <w:rPr>
          <w:rFonts w:ascii="Arial" w:hAnsi="Arial" w:cs="Arial"/>
          <w:szCs w:val="24"/>
        </w:rPr>
        <w:t>”</w:t>
      </w:r>
      <w:r w:rsidR="006B457C" w:rsidRPr="00CC1633">
        <w:rPr>
          <w:rFonts w:ascii="Arial" w:hAnsi="Arial" w:cs="Arial"/>
          <w:szCs w:val="24"/>
        </w:rPr>
        <w:t>, “</w:t>
      </w:r>
      <w:r w:rsidR="00484C66" w:rsidRPr="00CC1633">
        <w:rPr>
          <w:rFonts w:ascii="Arial" w:hAnsi="Arial" w:cs="Arial"/>
          <w:szCs w:val="24"/>
        </w:rPr>
        <w:t>I</w:t>
      </w:r>
      <w:r w:rsidR="006B457C" w:rsidRPr="00CC1633">
        <w:rPr>
          <w:rFonts w:ascii="Arial" w:hAnsi="Arial" w:cs="Arial"/>
          <w:szCs w:val="24"/>
        </w:rPr>
        <w:t>mposibilidad jurídica para reconocer y pagar derechos por fuera del ordenamiento legal”, “</w:t>
      </w:r>
      <w:r w:rsidR="00484C66" w:rsidRPr="00CC1633">
        <w:rPr>
          <w:rFonts w:ascii="Arial" w:hAnsi="Arial" w:cs="Arial"/>
          <w:szCs w:val="24"/>
        </w:rPr>
        <w:t>B</w:t>
      </w:r>
      <w:r w:rsidR="006B457C" w:rsidRPr="00CC1633">
        <w:rPr>
          <w:rFonts w:ascii="Arial" w:hAnsi="Arial" w:cs="Arial"/>
          <w:szCs w:val="24"/>
        </w:rPr>
        <w:t>uena fe” e “</w:t>
      </w:r>
      <w:r w:rsidR="00484C66" w:rsidRPr="00CC1633">
        <w:rPr>
          <w:rFonts w:ascii="Arial" w:hAnsi="Arial" w:cs="Arial"/>
          <w:szCs w:val="24"/>
        </w:rPr>
        <w:t>I</w:t>
      </w:r>
      <w:r w:rsidR="006B457C" w:rsidRPr="00CC1633">
        <w:rPr>
          <w:rFonts w:ascii="Arial" w:hAnsi="Arial" w:cs="Arial"/>
          <w:szCs w:val="24"/>
        </w:rPr>
        <w:t>mposibilidad de condena en costas”</w:t>
      </w:r>
      <w:r w:rsidR="00C81ADC" w:rsidRPr="00CC1633">
        <w:rPr>
          <w:rFonts w:ascii="Arial" w:hAnsi="Arial" w:cs="Arial"/>
          <w:szCs w:val="24"/>
        </w:rPr>
        <w:t xml:space="preserve"> </w:t>
      </w:r>
      <w:r w:rsidR="002C5D5C" w:rsidRPr="00CC1633">
        <w:rPr>
          <w:rFonts w:ascii="Arial" w:hAnsi="Arial" w:cs="Arial"/>
          <w:szCs w:val="24"/>
        </w:rPr>
        <w:t>(fls.</w:t>
      </w:r>
      <w:r w:rsidR="00484C66" w:rsidRPr="00CC1633">
        <w:rPr>
          <w:rFonts w:ascii="Arial" w:hAnsi="Arial" w:cs="Arial"/>
          <w:szCs w:val="24"/>
        </w:rPr>
        <w:t>60 a 71</w:t>
      </w:r>
      <w:r w:rsidR="002C5D5C" w:rsidRPr="00CC1633">
        <w:rPr>
          <w:rFonts w:ascii="Arial" w:hAnsi="Arial" w:cs="Arial"/>
          <w:szCs w:val="24"/>
        </w:rPr>
        <w:t>)</w:t>
      </w:r>
      <w:r w:rsidR="00C81ADC" w:rsidRPr="00CC1633">
        <w:rPr>
          <w:rFonts w:ascii="Arial" w:hAnsi="Arial" w:cs="Arial"/>
          <w:szCs w:val="24"/>
        </w:rPr>
        <w:t>.</w:t>
      </w:r>
    </w:p>
    <w:p w14:paraId="34CE47AA" w14:textId="77777777" w:rsidR="00484C66" w:rsidRPr="00CC1633" w:rsidRDefault="00484C66" w:rsidP="00A71BD5">
      <w:pPr>
        <w:spacing w:line="276" w:lineRule="auto"/>
        <w:jc w:val="both"/>
        <w:rPr>
          <w:rFonts w:ascii="Arial" w:hAnsi="Arial" w:cs="Arial"/>
          <w:szCs w:val="24"/>
        </w:rPr>
      </w:pPr>
    </w:p>
    <w:p w14:paraId="24DA9510" w14:textId="25D31E33" w:rsidR="00116DDD" w:rsidRPr="00CC1633" w:rsidRDefault="00AB367A" w:rsidP="00A71BD5">
      <w:pPr>
        <w:spacing w:line="276" w:lineRule="auto"/>
        <w:jc w:val="both"/>
        <w:rPr>
          <w:rFonts w:ascii="Arial" w:hAnsi="Arial" w:cs="Arial"/>
          <w:b/>
          <w:bCs/>
          <w:szCs w:val="24"/>
        </w:rPr>
      </w:pPr>
      <w:r w:rsidRPr="00CC1633">
        <w:rPr>
          <w:rFonts w:ascii="Arial" w:hAnsi="Arial" w:cs="Arial"/>
          <w:b/>
          <w:bCs/>
          <w:szCs w:val="24"/>
        </w:rPr>
        <w:t>1.2.2</w:t>
      </w:r>
      <w:r w:rsidR="00116DDD" w:rsidRPr="00CC1633">
        <w:rPr>
          <w:rFonts w:ascii="Arial" w:hAnsi="Arial" w:cs="Arial"/>
          <w:b/>
          <w:bCs/>
          <w:szCs w:val="24"/>
        </w:rPr>
        <w:t xml:space="preserve">.  </w:t>
      </w:r>
      <w:r w:rsidR="00484C66" w:rsidRPr="00CC1633">
        <w:rPr>
          <w:rFonts w:ascii="Arial" w:hAnsi="Arial" w:cs="Arial"/>
          <w:b/>
          <w:bCs/>
          <w:szCs w:val="24"/>
        </w:rPr>
        <w:t xml:space="preserve">AFP </w:t>
      </w:r>
      <w:r w:rsidR="006B457C" w:rsidRPr="00CC1633">
        <w:rPr>
          <w:rFonts w:ascii="Arial" w:hAnsi="Arial" w:cs="Arial"/>
          <w:b/>
          <w:bCs/>
          <w:szCs w:val="24"/>
        </w:rPr>
        <w:t>Protección</w:t>
      </w:r>
      <w:r w:rsidR="004E70BD" w:rsidRPr="00CC1633">
        <w:rPr>
          <w:rFonts w:ascii="Arial" w:hAnsi="Arial" w:cs="Arial"/>
          <w:b/>
          <w:bCs/>
          <w:szCs w:val="24"/>
        </w:rPr>
        <w:t xml:space="preserve"> </w:t>
      </w:r>
      <w:r w:rsidR="00484C66" w:rsidRPr="00CC1633">
        <w:rPr>
          <w:rFonts w:ascii="Arial" w:hAnsi="Arial" w:cs="Arial"/>
          <w:b/>
          <w:bCs/>
          <w:szCs w:val="24"/>
        </w:rPr>
        <w:t>S.A</w:t>
      </w:r>
    </w:p>
    <w:p w14:paraId="70954C45" w14:textId="77777777" w:rsidR="00116DDD" w:rsidRPr="00CC1633" w:rsidRDefault="00116DDD" w:rsidP="00A71BD5">
      <w:pPr>
        <w:spacing w:line="276" w:lineRule="auto"/>
        <w:jc w:val="both"/>
        <w:rPr>
          <w:rFonts w:ascii="Arial" w:hAnsi="Arial" w:cs="Arial"/>
          <w:szCs w:val="24"/>
        </w:rPr>
      </w:pPr>
    </w:p>
    <w:p w14:paraId="2A9BDB85" w14:textId="65EA0477" w:rsidR="00116DDD" w:rsidRPr="00CC1633" w:rsidRDefault="00CE674D" w:rsidP="00A71BD5">
      <w:pPr>
        <w:spacing w:line="276" w:lineRule="auto"/>
        <w:jc w:val="both"/>
        <w:rPr>
          <w:rFonts w:ascii="Arial" w:hAnsi="Arial" w:cs="Arial"/>
          <w:szCs w:val="24"/>
        </w:rPr>
      </w:pPr>
      <w:r w:rsidRPr="00CC1633">
        <w:rPr>
          <w:rFonts w:ascii="Arial" w:hAnsi="Arial" w:cs="Arial"/>
          <w:szCs w:val="24"/>
        </w:rPr>
        <w:t>A</w:t>
      </w:r>
      <w:r w:rsidR="00116DDD" w:rsidRPr="00CC1633">
        <w:rPr>
          <w:rFonts w:ascii="Arial" w:hAnsi="Arial" w:cs="Arial"/>
          <w:szCs w:val="24"/>
        </w:rPr>
        <w:t xml:space="preserve"> través de apoderado judicial</w:t>
      </w:r>
      <w:r w:rsidR="00C014DD" w:rsidRPr="00CC1633">
        <w:rPr>
          <w:rFonts w:ascii="Arial" w:hAnsi="Arial" w:cs="Arial"/>
          <w:szCs w:val="24"/>
        </w:rPr>
        <w:t>,</w:t>
      </w:r>
      <w:r w:rsidRPr="00CC1633">
        <w:rPr>
          <w:rFonts w:ascii="Arial" w:hAnsi="Arial" w:cs="Arial"/>
          <w:szCs w:val="24"/>
        </w:rPr>
        <w:t xml:space="preserve"> respondió la demanda</w:t>
      </w:r>
      <w:r w:rsidR="00993BBF" w:rsidRPr="00CC1633">
        <w:rPr>
          <w:rFonts w:ascii="Arial" w:hAnsi="Arial" w:cs="Arial"/>
          <w:szCs w:val="24"/>
        </w:rPr>
        <w:t xml:space="preserve"> aceptando </w:t>
      </w:r>
      <w:r w:rsidR="000F0B74" w:rsidRPr="00CC1633">
        <w:rPr>
          <w:rFonts w:ascii="Arial" w:hAnsi="Arial" w:cs="Arial"/>
          <w:szCs w:val="24"/>
        </w:rPr>
        <w:t xml:space="preserve">los hechos relativos </w:t>
      </w:r>
      <w:r w:rsidR="00927178" w:rsidRPr="00CC1633">
        <w:rPr>
          <w:rFonts w:ascii="Arial" w:hAnsi="Arial" w:cs="Arial"/>
          <w:szCs w:val="24"/>
        </w:rPr>
        <w:t xml:space="preserve">a la </w:t>
      </w:r>
      <w:r w:rsidR="003C51DA" w:rsidRPr="00CC1633">
        <w:rPr>
          <w:rFonts w:ascii="Arial" w:hAnsi="Arial" w:cs="Arial"/>
          <w:szCs w:val="24"/>
        </w:rPr>
        <w:t>vinculación de</w:t>
      </w:r>
      <w:r w:rsidR="00484C66" w:rsidRPr="00CC1633">
        <w:rPr>
          <w:rFonts w:ascii="Arial" w:hAnsi="Arial" w:cs="Arial"/>
          <w:szCs w:val="24"/>
        </w:rPr>
        <w:t xml:space="preserve"> la</w:t>
      </w:r>
      <w:r w:rsidR="005949B7" w:rsidRPr="00CC1633">
        <w:rPr>
          <w:rFonts w:ascii="Arial" w:hAnsi="Arial" w:cs="Arial"/>
          <w:szCs w:val="24"/>
        </w:rPr>
        <w:t xml:space="preserve"> demandante </w:t>
      </w:r>
      <w:r w:rsidR="00484C66" w:rsidRPr="00CC1633">
        <w:rPr>
          <w:rFonts w:ascii="Arial" w:hAnsi="Arial" w:cs="Arial"/>
          <w:szCs w:val="24"/>
        </w:rPr>
        <w:t>al RPMPD y su posterior traslado a la entidad</w:t>
      </w:r>
      <w:r w:rsidR="005B1E09" w:rsidRPr="00CC1633">
        <w:rPr>
          <w:rFonts w:ascii="Arial" w:hAnsi="Arial" w:cs="Arial"/>
          <w:szCs w:val="24"/>
        </w:rPr>
        <w:t xml:space="preserve">. Frente a los demás dijo que no eran ciertos o no le constaban. </w:t>
      </w:r>
      <w:r w:rsidR="00116DDD" w:rsidRPr="00CC1633">
        <w:rPr>
          <w:rFonts w:ascii="Arial" w:hAnsi="Arial" w:cs="Arial"/>
          <w:szCs w:val="24"/>
        </w:rPr>
        <w:t xml:space="preserve">Se opuso a las pretensiones </w:t>
      </w:r>
      <w:r w:rsidR="005949B7" w:rsidRPr="00CC1633">
        <w:rPr>
          <w:rFonts w:ascii="Arial" w:hAnsi="Arial" w:cs="Arial"/>
          <w:szCs w:val="24"/>
        </w:rPr>
        <w:t xml:space="preserve">aduciendo que la afiliación se realizó de manera libre y voluntaria, con el lleno de los requisitos legales existentes al momento, Como </w:t>
      </w:r>
      <w:r w:rsidR="00116DDD" w:rsidRPr="00CC1633">
        <w:rPr>
          <w:rFonts w:ascii="Arial" w:hAnsi="Arial" w:cs="Arial"/>
          <w:szCs w:val="24"/>
        </w:rPr>
        <w:t xml:space="preserve">excepciones </w:t>
      </w:r>
      <w:r w:rsidR="005949B7" w:rsidRPr="00CC1633">
        <w:rPr>
          <w:rFonts w:ascii="Arial" w:hAnsi="Arial" w:cs="Arial"/>
          <w:szCs w:val="24"/>
        </w:rPr>
        <w:t xml:space="preserve">formuló </w:t>
      </w:r>
      <w:r w:rsidR="00214A89" w:rsidRPr="00CC1633">
        <w:rPr>
          <w:rFonts w:ascii="Arial" w:hAnsi="Arial" w:cs="Arial"/>
          <w:szCs w:val="24"/>
        </w:rPr>
        <w:t xml:space="preserve">las </w:t>
      </w:r>
      <w:r w:rsidR="00116DDD" w:rsidRPr="00CC1633">
        <w:rPr>
          <w:rFonts w:ascii="Arial" w:hAnsi="Arial" w:cs="Arial"/>
          <w:szCs w:val="24"/>
        </w:rPr>
        <w:t xml:space="preserve">que denominó </w:t>
      </w:r>
      <w:r w:rsidR="005949B7" w:rsidRPr="00CC1633">
        <w:rPr>
          <w:rFonts w:ascii="Arial" w:hAnsi="Arial" w:cs="Arial"/>
          <w:szCs w:val="24"/>
        </w:rPr>
        <w:t>“</w:t>
      </w:r>
      <w:r w:rsidR="005B1E09" w:rsidRPr="00CC1633">
        <w:rPr>
          <w:rFonts w:ascii="Arial" w:hAnsi="Arial" w:cs="Arial"/>
          <w:szCs w:val="24"/>
        </w:rPr>
        <w:t>V</w:t>
      </w:r>
      <w:r w:rsidR="005949B7" w:rsidRPr="00CC1633">
        <w:rPr>
          <w:rFonts w:ascii="Arial" w:hAnsi="Arial" w:cs="Arial"/>
          <w:szCs w:val="24"/>
        </w:rPr>
        <w:t>alidez</w:t>
      </w:r>
      <w:r w:rsidR="005B1E09" w:rsidRPr="00CC1633">
        <w:rPr>
          <w:rFonts w:ascii="Arial" w:hAnsi="Arial" w:cs="Arial"/>
          <w:szCs w:val="24"/>
        </w:rPr>
        <w:t xml:space="preserve"> de la afiliación a Protección e inexistencia de </w:t>
      </w:r>
      <w:r w:rsidR="005B1E09" w:rsidRPr="00CC1633">
        <w:rPr>
          <w:rFonts w:ascii="Arial" w:hAnsi="Arial" w:cs="Arial"/>
          <w:szCs w:val="24"/>
        </w:rPr>
        <w:lastRenderedPageBreak/>
        <w:t xml:space="preserve">vicios en el consentimiento”, “Subsanación de una eventual nulidad relativa”, “Prescripción” </w:t>
      </w:r>
      <w:r w:rsidR="005949B7" w:rsidRPr="00CC1633">
        <w:rPr>
          <w:rFonts w:ascii="Arial" w:hAnsi="Arial" w:cs="Arial"/>
          <w:szCs w:val="24"/>
        </w:rPr>
        <w:t>y “</w:t>
      </w:r>
      <w:r w:rsidR="005B1E09" w:rsidRPr="00CC1633">
        <w:rPr>
          <w:rFonts w:ascii="Arial" w:hAnsi="Arial" w:cs="Arial"/>
          <w:szCs w:val="24"/>
        </w:rPr>
        <w:t>B</w:t>
      </w:r>
      <w:r w:rsidR="005949B7" w:rsidRPr="00CC1633">
        <w:rPr>
          <w:rFonts w:ascii="Arial" w:hAnsi="Arial" w:cs="Arial"/>
          <w:szCs w:val="24"/>
        </w:rPr>
        <w:t>uena fe</w:t>
      </w:r>
      <w:r w:rsidR="005B1E09" w:rsidRPr="00CC1633">
        <w:rPr>
          <w:rFonts w:ascii="Arial" w:hAnsi="Arial" w:cs="Arial"/>
          <w:szCs w:val="24"/>
        </w:rPr>
        <w:t xml:space="preserve">” </w:t>
      </w:r>
      <w:r w:rsidR="008F2797" w:rsidRPr="00CC1633">
        <w:rPr>
          <w:rFonts w:ascii="Arial" w:hAnsi="Arial" w:cs="Arial"/>
          <w:szCs w:val="24"/>
        </w:rPr>
        <w:t>(fls.</w:t>
      </w:r>
      <w:r w:rsidR="008835DC" w:rsidRPr="00CC1633">
        <w:rPr>
          <w:rFonts w:ascii="Arial" w:hAnsi="Arial" w:cs="Arial"/>
          <w:szCs w:val="24"/>
        </w:rPr>
        <w:t>92 a 111</w:t>
      </w:r>
      <w:r w:rsidR="008F2797" w:rsidRPr="00CC1633">
        <w:rPr>
          <w:rFonts w:ascii="Arial" w:hAnsi="Arial" w:cs="Arial"/>
          <w:szCs w:val="24"/>
        </w:rPr>
        <w:t>)</w:t>
      </w:r>
      <w:r w:rsidR="00116DDD" w:rsidRPr="00CC1633">
        <w:rPr>
          <w:rFonts w:ascii="Arial" w:hAnsi="Arial" w:cs="Arial"/>
          <w:szCs w:val="24"/>
        </w:rPr>
        <w:t>.</w:t>
      </w:r>
    </w:p>
    <w:p w14:paraId="1AE9AD48" w14:textId="77777777" w:rsidR="00116DDD" w:rsidRPr="00CC1633" w:rsidRDefault="00116DDD" w:rsidP="00A71BD5">
      <w:pPr>
        <w:pStyle w:val="Sinespaciado"/>
        <w:spacing w:line="276" w:lineRule="auto"/>
        <w:rPr>
          <w:rFonts w:ascii="Arial" w:hAnsi="Arial" w:cs="Arial"/>
          <w:b/>
          <w:bCs/>
          <w:szCs w:val="24"/>
        </w:rPr>
      </w:pPr>
    </w:p>
    <w:p w14:paraId="11A96EE9" w14:textId="31A60430" w:rsidR="00116DDD" w:rsidRPr="00CC1633" w:rsidRDefault="00162D9D" w:rsidP="00A71BD5">
      <w:pPr>
        <w:spacing w:line="276" w:lineRule="auto"/>
        <w:jc w:val="both"/>
        <w:rPr>
          <w:rFonts w:ascii="Arial" w:hAnsi="Arial" w:cs="Arial"/>
          <w:b/>
          <w:bCs/>
          <w:szCs w:val="24"/>
        </w:rPr>
      </w:pPr>
      <w:r w:rsidRPr="00CC1633">
        <w:rPr>
          <w:rFonts w:ascii="Arial" w:hAnsi="Arial" w:cs="Arial"/>
          <w:b/>
          <w:bCs/>
          <w:szCs w:val="24"/>
        </w:rPr>
        <w:t xml:space="preserve">II. </w:t>
      </w:r>
      <w:r w:rsidR="00116DDD" w:rsidRPr="00CC1633">
        <w:rPr>
          <w:rFonts w:ascii="Arial" w:hAnsi="Arial" w:cs="Arial"/>
          <w:b/>
          <w:bCs/>
          <w:szCs w:val="24"/>
        </w:rPr>
        <w:t>SENTENCIA DE PRIMERA INSTANCIA</w:t>
      </w:r>
    </w:p>
    <w:p w14:paraId="2C10ACA0" w14:textId="77777777" w:rsidR="00116DDD" w:rsidRPr="00CC1633" w:rsidRDefault="00116DDD" w:rsidP="00A71BD5">
      <w:pPr>
        <w:pStyle w:val="Sinespaciado"/>
        <w:spacing w:line="276" w:lineRule="auto"/>
        <w:rPr>
          <w:rFonts w:ascii="Arial" w:hAnsi="Arial" w:cs="Arial"/>
          <w:szCs w:val="24"/>
        </w:rPr>
      </w:pPr>
    </w:p>
    <w:p w14:paraId="69703A41" w14:textId="7F107658" w:rsidR="00B66571" w:rsidRPr="00CC1633" w:rsidRDefault="00B66571" w:rsidP="00A71BD5">
      <w:pPr>
        <w:spacing w:line="276" w:lineRule="auto"/>
        <w:jc w:val="both"/>
        <w:rPr>
          <w:rFonts w:ascii="Arial" w:hAnsi="Arial" w:cs="Arial"/>
          <w:szCs w:val="24"/>
        </w:rPr>
      </w:pPr>
      <w:r w:rsidRPr="00CC1633">
        <w:rPr>
          <w:rFonts w:ascii="Arial" w:hAnsi="Arial" w:cs="Arial"/>
          <w:szCs w:val="24"/>
        </w:rPr>
        <w:t xml:space="preserve">El juzgado de conocimiento puso fin a la primera instancia mediante sentencia dictada el </w:t>
      </w:r>
      <w:r w:rsidR="0077710F" w:rsidRPr="00CC1633">
        <w:rPr>
          <w:rFonts w:ascii="Arial" w:hAnsi="Arial" w:cs="Arial"/>
          <w:szCs w:val="24"/>
        </w:rPr>
        <w:t>1</w:t>
      </w:r>
      <w:r w:rsidR="008835DC" w:rsidRPr="00CC1633">
        <w:rPr>
          <w:rFonts w:ascii="Arial" w:hAnsi="Arial" w:cs="Arial"/>
          <w:szCs w:val="24"/>
        </w:rPr>
        <w:t>0 de marzo de 2020</w:t>
      </w:r>
      <w:r w:rsidRPr="00CC1633">
        <w:rPr>
          <w:rFonts w:ascii="Arial" w:hAnsi="Arial" w:cs="Arial"/>
          <w:szCs w:val="24"/>
        </w:rPr>
        <w:t xml:space="preserve">, en la que </w:t>
      </w:r>
      <w:r w:rsidR="008835DC" w:rsidRPr="00CC1633">
        <w:rPr>
          <w:rFonts w:ascii="Arial" w:hAnsi="Arial" w:cs="Arial"/>
          <w:szCs w:val="24"/>
        </w:rPr>
        <w:t xml:space="preserve">declaró probadas las excepciones de validez de la afiliación a Protección S.A. e inexistencia de la obligación, formuladas por dicho fondo privado, y en consecuencia, negó las pretensiones </w:t>
      </w:r>
      <w:r w:rsidR="00B34681" w:rsidRPr="00CC1633">
        <w:rPr>
          <w:rFonts w:ascii="Arial" w:hAnsi="Arial" w:cs="Arial"/>
          <w:szCs w:val="24"/>
        </w:rPr>
        <w:t>de la demanda y condenó en costas procesales</w:t>
      </w:r>
      <w:r w:rsidR="008835DC" w:rsidRPr="00CC1633">
        <w:rPr>
          <w:rFonts w:ascii="Arial" w:hAnsi="Arial" w:cs="Arial"/>
          <w:szCs w:val="24"/>
        </w:rPr>
        <w:t xml:space="preserve"> a la demandante </w:t>
      </w:r>
      <w:r w:rsidR="00B34681" w:rsidRPr="00CC1633">
        <w:rPr>
          <w:rFonts w:ascii="Arial" w:hAnsi="Arial" w:cs="Arial"/>
          <w:szCs w:val="24"/>
        </w:rPr>
        <w:t xml:space="preserve">en un </w:t>
      </w:r>
      <w:r w:rsidR="008835DC" w:rsidRPr="00CC1633">
        <w:rPr>
          <w:rFonts w:ascii="Arial" w:hAnsi="Arial" w:cs="Arial"/>
          <w:szCs w:val="24"/>
        </w:rPr>
        <w:t xml:space="preserve">100% de las causadas en favor de las demandadas. </w:t>
      </w:r>
      <w:r w:rsidR="00B34681" w:rsidRPr="00CC1633">
        <w:rPr>
          <w:rFonts w:ascii="Arial" w:hAnsi="Arial" w:cs="Arial"/>
          <w:szCs w:val="24"/>
        </w:rPr>
        <w:t xml:space="preserve"> </w:t>
      </w:r>
    </w:p>
    <w:p w14:paraId="1177B8AA" w14:textId="77777777" w:rsidR="00B66571" w:rsidRPr="00CC1633" w:rsidRDefault="00B66571" w:rsidP="00A71BD5">
      <w:pPr>
        <w:spacing w:line="276" w:lineRule="auto"/>
        <w:jc w:val="both"/>
        <w:rPr>
          <w:rFonts w:ascii="Arial" w:hAnsi="Arial" w:cs="Arial"/>
          <w:szCs w:val="24"/>
        </w:rPr>
      </w:pPr>
    </w:p>
    <w:p w14:paraId="36F647AE" w14:textId="43472E1A" w:rsidR="00C567EF" w:rsidRPr="00CC1633" w:rsidRDefault="00B66571" w:rsidP="00A71BD5">
      <w:pPr>
        <w:spacing w:line="276" w:lineRule="auto"/>
        <w:jc w:val="both"/>
        <w:rPr>
          <w:rFonts w:ascii="Arial" w:hAnsi="Arial" w:cs="Arial"/>
          <w:szCs w:val="24"/>
        </w:rPr>
      </w:pPr>
      <w:r w:rsidRPr="00CC1633">
        <w:rPr>
          <w:rFonts w:ascii="Arial" w:hAnsi="Arial" w:cs="Arial"/>
          <w:szCs w:val="24"/>
        </w:rPr>
        <w:t>Para arribar a esa determinación,</w:t>
      </w:r>
      <w:r w:rsidR="00EC5D90" w:rsidRPr="00CC1633">
        <w:rPr>
          <w:rFonts w:ascii="Arial" w:hAnsi="Arial" w:cs="Arial"/>
          <w:szCs w:val="24"/>
        </w:rPr>
        <w:t xml:space="preserve"> </w:t>
      </w:r>
      <w:r w:rsidR="008835DC" w:rsidRPr="00CC1633">
        <w:rPr>
          <w:rFonts w:ascii="Arial" w:hAnsi="Arial" w:cs="Arial"/>
          <w:szCs w:val="24"/>
        </w:rPr>
        <w:t xml:space="preserve">la a-quo indicó que a las entidades </w:t>
      </w:r>
      <w:r w:rsidR="00486EB8" w:rsidRPr="00CC1633">
        <w:rPr>
          <w:rFonts w:ascii="Arial" w:hAnsi="Arial" w:cs="Arial"/>
          <w:szCs w:val="24"/>
        </w:rPr>
        <w:t>administradoras de pensiones</w:t>
      </w:r>
      <w:r w:rsidR="008835DC" w:rsidRPr="00CC1633">
        <w:rPr>
          <w:rFonts w:ascii="Arial" w:hAnsi="Arial" w:cs="Arial"/>
          <w:szCs w:val="24"/>
        </w:rPr>
        <w:t xml:space="preserve"> les corresponde</w:t>
      </w:r>
      <w:r w:rsidR="00486EB8" w:rsidRPr="00CC1633">
        <w:rPr>
          <w:rFonts w:ascii="Arial" w:hAnsi="Arial" w:cs="Arial"/>
          <w:szCs w:val="24"/>
        </w:rPr>
        <w:t xml:space="preserve"> la carga de probar el cumplimiento del deber de información de acuerdo con el Decreto 663 de 1993, artículo 12, el Decreto 720 de 1994, artículo 12 y los desarrollos jurisprudenciales logrados en la materia. </w:t>
      </w:r>
    </w:p>
    <w:p w14:paraId="3001B53A" w14:textId="77777777" w:rsidR="00C567EF" w:rsidRPr="00CC1633" w:rsidRDefault="00C567EF" w:rsidP="00A71BD5">
      <w:pPr>
        <w:spacing w:line="276" w:lineRule="auto"/>
        <w:jc w:val="both"/>
        <w:rPr>
          <w:rFonts w:ascii="Arial" w:hAnsi="Arial" w:cs="Arial"/>
          <w:szCs w:val="24"/>
        </w:rPr>
      </w:pPr>
    </w:p>
    <w:p w14:paraId="709624B6" w14:textId="3CC8FD07" w:rsidR="00DA0885" w:rsidRPr="00CC1633" w:rsidRDefault="00486EB8" w:rsidP="00A71BD5">
      <w:pPr>
        <w:spacing w:line="276" w:lineRule="auto"/>
        <w:jc w:val="both"/>
        <w:rPr>
          <w:rFonts w:ascii="Arial" w:hAnsi="Arial" w:cs="Arial"/>
          <w:szCs w:val="24"/>
        </w:rPr>
      </w:pPr>
      <w:r w:rsidRPr="00CC1633">
        <w:rPr>
          <w:rFonts w:ascii="Arial" w:hAnsi="Arial" w:cs="Arial"/>
          <w:szCs w:val="24"/>
        </w:rPr>
        <w:t xml:space="preserve">No obstante, </w:t>
      </w:r>
      <w:r w:rsidR="005E6FEC" w:rsidRPr="00CC1633">
        <w:rPr>
          <w:rFonts w:ascii="Arial" w:hAnsi="Arial" w:cs="Arial"/>
          <w:szCs w:val="24"/>
        </w:rPr>
        <w:t xml:space="preserve">la </w:t>
      </w:r>
      <w:r w:rsidR="005E6FEC" w:rsidRPr="00CC1633">
        <w:rPr>
          <w:rFonts w:ascii="Arial" w:hAnsi="Arial" w:cs="Arial"/>
          <w:i/>
          <w:szCs w:val="24"/>
        </w:rPr>
        <w:t>a-quo</w:t>
      </w:r>
      <w:r w:rsidR="005E6FEC" w:rsidRPr="00CC1633">
        <w:rPr>
          <w:rFonts w:ascii="Arial" w:hAnsi="Arial" w:cs="Arial"/>
          <w:szCs w:val="24"/>
        </w:rPr>
        <w:t xml:space="preserve"> dio aplicación a la sanción procesal contenida en el nu</w:t>
      </w:r>
      <w:r w:rsidR="00C567EF" w:rsidRPr="00CC1633">
        <w:rPr>
          <w:rFonts w:ascii="Arial" w:hAnsi="Arial" w:cs="Arial"/>
          <w:szCs w:val="24"/>
        </w:rPr>
        <w:t>meral 1º del</w:t>
      </w:r>
      <w:r w:rsidR="005E6FEC" w:rsidRPr="00CC1633">
        <w:rPr>
          <w:rFonts w:ascii="Arial" w:hAnsi="Arial" w:cs="Arial"/>
          <w:szCs w:val="24"/>
        </w:rPr>
        <w:t xml:space="preserve"> artículo 77 del Código Procesal del Trabajo y de la Seguridad Social, en consideración a que la demandante no asistió a dicha audiencia, motivo por </w:t>
      </w:r>
      <w:r w:rsidR="007A2B23" w:rsidRPr="00CC1633">
        <w:rPr>
          <w:rFonts w:ascii="Arial" w:hAnsi="Arial" w:cs="Arial"/>
          <w:szCs w:val="24"/>
        </w:rPr>
        <w:t xml:space="preserve">el cual </w:t>
      </w:r>
      <w:r w:rsidR="00A012D9" w:rsidRPr="00CC1633">
        <w:rPr>
          <w:rFonts w:ascii="Arial" w:hAnsi="Arial" w:cs="Arial"/>
          <w:szCs w:val="24"/>
        </w:rPr>
        <w:t xml:space="preserve">declaró como </w:t>
      </w:r>
      <w:r w:rsidR="00A012D9" w:rsidRPr="00CC1633">
        <w:rPr>
          <w:rFonts w:ascii="Arial" w:hAnsi="Arial" w:cs="Arial"/>
          <w:bCs/>
          <w:szCs w:val="24"/>
        </w:rPr>
        <w:t>presuntamente ciertos los hechos</w:t>
      </w:r>
      <w:r w:rsidR="00C567EF" w:rsidRPr="00CC1633">
        <w:rPr>
          <w:rFonts w:ascii="Arial" w:hAnsi="Arial" w:cs="Arial"/>
          <w:bCs/>
          <w:szCs w:val="24"/>
        </w:rPr>
        <w:t xml:space="preserve"> </w:t>
      </w:r>
      <w:r w:rsidR="005E6FEC" w:rsidRPr="00CC1633">
        <w:rPr>
          <w:rFonts w:ascii="Arial" w:hAnsi="Arial" w:cs="Arial"/>
          <w:bCs/>
          <w:szCs w:val="24"/>
        </w:rPr>
        <w:t xml:space="preserve">susceptibles de confesión </w:t>
      </w:r>
      <w:r w:rsidR="00C567EF" w:rsidRPr="00CC1633">
        <w:rPr>
          <w:rFonts w:ascii="Arial" w:hAnsi="Arial" w:cs="Arial"/>
          <w:bCs/>
          <w:szCs w:val="24"/>
        </w:rPr>
        <w:t xml:space="preserve">aducidos por </w:t>
      </w:r>
      <w:r w:rsidR="005E6FEC" w:rsidRPr="00CC1633">
        <w:rPr>
          <w:rFonts w:ascii="Arial" w:hAnsi="Arial" w:cs="Arial"/>
          <w:bCs/>
          <w:szCs w:val="24"/>
        </w:rPr>
        <w:t xml:space="preserve">la AFP </w:t>
      </w:r>
      <w:r w:rsidR="00C567EF" w:rsidRPr="00CC1633">
        <w:rPr>
          <w:rFonts w:ascii="Arial" w:hAnsi="Arial" w:cs="Arial"/>
          <w:bCs/>
          <w:szCs w:val="24"/>
        </w:rPr>
        <w:t>Protección</w:t>
      </w:r>
      <w:r w:rsidR="005E6FEC" w:rsidRPr="00CC1633">
        <w:rPr>
          <w:rFonts w:ascii="Arial" w:hAnsi="Arial" w:cs="Arial"/>
          <w:bCs/>
          <w:szCs w:val="24"/>
        </w:rPr>
        <w:t xml:space="preserve"> S.A. en la contestación de la demanda, consistentes entre otros, en la debida información suficiente, veraz y fidedigna que los asesores de dicho fondo privado brindaron a la demandante respecto al régimen de ahorro individual, las características propias de dicho régimen, sus diferencias con el RPMPD, ilustrando sobre todos os aspectos y, las consecuencias de la migración de régimen pensional. </w:t>
      </w:r>
    </w:p>
    <w:p w14:paraId="2BBDEDFF" w14:textId="77777777" w:rsidR="005E6FEC" w:rsidRPr="00CC1633" w:rsidRDefault="005E6FEC" w:rsidP="00A71BD5">
      <w:pPr>
        <w:pStyle w:val="Sinespaciado"/>
        <w:spacing w:line="276" w:lineRule="auto"/>
        <w:rPr>
          <w:rFonts w:ascii="Arial" w:hAnsi="Arial" w:cs="Arial"/>
          <w:szCs w:val="24"/>
        </w:rPr>
      </w:pPr>
    </w:p>
    <w:p w14:paraId="06AC2358" w14:textId="797905F5" w:rsidR="009624D3" w:rsidRPr="00CC1633" w:rsidRDefault="009624D3" w:rsidP="00A71BD5">
      <w:pPr>
        <w:spacing w:line="276" w:lineRule="auto"/>
        <w:jc w:val="both"/>
        <w:rPr>
          <w:rFonts w:ascii="Arial" w:hAnsi="Arial" w:cs="Arial"/>
          <w:szCs w:val="24"/>
        </w:rPr>
      </w:pPr>
      <w:r w:rsidRPr="00CC1633">
        <w:rPr>
          <w:rFonts w:ascii="Arial" w:hAnsi="Arial" w:cs="Arial"/>
          <w:szCs w:val="24"/>
        </w:rPr>
        <w:t xml:space="preserve">De lo anterior, previa advertencia de que </w:t>
      </w:r>
      <w:r w:rsidR="008835DC" w:rsidRPr="00CC1633">
        <w:rPr>
          <w:rFonts w:ascii="Arial" w:hAnsi="Arial" w:cs="Arial"/>
          <w:szCs w:val="24"/>
        </w:rPr>
        <w:t>la</w:t>
      </w:r>
      <w:r w:rsidRPr="00CC1633">
        <w:rPr>
          <w:rFonts w:ascii="Arial" w:hAnsi="Arial" w:cs="Arial"/>
          <w:szCs w:val="24"/>
        </w:rPr>
        <w:t xml:space="preserve"> demandante no aportó ninguna prueba que desvirtuara la confesión ficta, coligió que la administradora de pensiones cumplió con el deber de información necesaria que le asistía, de acuerdo con la normatividad vigente al momento en que se dio el acto de traslado y por tal motivo, debían negarse las pretensiones de la demanda. </w:t>
      </w:r>
    </w:p>
    <w:p w14:paraId="4A0E162E" w14:textId="1975C0AC" w:rsidR="00776C31" w:rsidRPr="00CC1633" w:rsidRDefault="00776C31" w:rsidP="00A71BD5">
      <w:pPr>
        <w:spacing w:line="276" w:lineRule="auto"/>
        <w:jc w:val="both"/>
        <w:rPr>
          <w:rFonts w:ascii="Arial" w:hAnsi="Arial" w:cs="Arial"/>
          <w:szCs w:val="24"/>
        </w:rPr>
      </w:pPr>
    </w:p>
    <w:p w14:paraId="7C87C6CD" w14:textId="693C284B" w:rsidR="00116DDD" w:rsidRPr="00CC1633" w:rsidRDefault="00162D9D" w:rsidP="00A71BD5">
      <w:pPr>
        <w:spacing w:line="276" w:lineRule="auto"/>
        <w:jc w:val="both"/>
        <w:rPr>
          <w:rFonts w:ascii="Arial" w:hAnsi="Arial" w:cs="Arial"/>
          <w:b/>
          <w:bCs/>
          <w:szCs w:val="24"/>
        </w:rPr>
      </w:pPr>
      <w:r w:rsidRPr="00CC1633">
        <w:rPr>
          <w:rFonts w:ascii="Arial" w:hAnsi="Arial" w:cs="Arial"/>
          <w:b/>
          <w:bCs/>
          <w:szCs w:val="24"/>
        </w:rPr>
        <w:t xml:space="preserve">III. </w:t>
      </w:r>
      <w:r w:rsidR="00116DDD" w:rsidRPr="00CC1633">
        <w:rPr>
          <w:rFonts w:ascii="Arial" w:hAnsi="Arial" w:cs="Arial"/>
          <w:b/>
          <w:bCs/>
          <w:szCs w:val="24"/>
        </w:rPr>
        <w:t>RECURSO DE APELACIÓN</w:t>
      </w:r>
    </w:p>
    <w:p w14:paraId="064C3F2F" w14:textId="36208F58" w:rsidR="005240A6" w:rsidRPr="00CC1633" w:rsidRDefault="005240A6" w:rsidP="00A71BD5">
      <w:pPr>
        <w:spacing w:line="276" w:lineRule="auto"/>
        <w:jc w:val="both"/>
        <w:rPr>
          <w:rFonts w:ascii="Arial" w:hAnsi="Arial" w:cs="Arial"/>
          <w:b/>
          <w:bCs/>
          <w:szCs w:val="24"/>
        </w:rPr>
      </w:pPr>
    </w:p>
    <w:p w14:paraId="53E7D484" w14:textId="01BB1F61" w:rsidR="005240A6" w:rsidRPr="00CC1633" w:rsidRDefault="005240A6" w:rsidP="00A71BD5">
      <w:pPr>
        <w:spacing w:line="276" w:lineRule="auto"/>
        <w:jc w:val="both"/>
        <w:rPr>
          <w:rFonts w:ascii="Arial" w:hAnsi="Arial" w:cs="Arial"/>
          <w:szCs w:val="24"/>
        </w:rPr>
      </w:pPr>
      <w:r w:rsidRPr="00CC1633">
        <w:rPr>
          <w:rFonts w:ascii="Arial" w:hAnsi="Arial" w:cs="Arial"/>
          <w:szCs w:val="24"/>
        </w:rPr>
        <w:t xml:space="preserve">Inconforme con la decisión, </w:t>
      </w:r>
      <w:r w:rsidR="009A71D4" w:rsidRPr="00CC1633">
        <w:rPr>
          <w:rFonts w:ascii="Arial" w:hAnsi="Arial" w:cs="Arial"/>
          <w:szCs w:val="24"/>
        </w:rPr>
        <w:t xml:space="preserve">la parte demandante interpuso recurso de apelación argumentando </w:t>
      </w:r>
      <w:r w:rsidR="005E6FEC" w:rsidRPr="00CC1633">
        <w:rPr>
          <w:rFonts w:ascii="Arial" w:hAnsi="Arial" w:cs="Arial"/>
          <w:szCs w:val="24"/>
        </w:rPr>
        <w:t xml:space="preserve">que la entidad administradora de fondo de pensiones no aportó al proceso prueba alguna que diera cuenta de haber informado a la afiliada sobre las consecuencias del traslado, de manera cierta, transparente y veraz, según </w:t>
      </w:r>
      <w:r w:rsidR="00574BED" w:rsidRPr="00CC1633">
        <w:rPr>
          <w:rFonts w:ascii="Arial" w:hAnsi="Arial" w:cs="Arial"/>
          <w:szCs w:val="24"/>
        </w:rPr>
        <w:t>múltiples</w:t>
      </w:r>
      <w:r w:rsidR="005E6FEC" w:rsidRPr="00CC1633">
        <w:rPr>
          <w:rFonts w:ascii="Arial" w:hAnsi="Arial" w:cs="Arial"/>
          <w:szCs w:val="24"/>
        </w:rPr>
        <w:t xml:space="preserve"> pronunciamientos del </w:t>
      </w:r>
      <w:r w:rsidR="00574BED" w:rsidRPr="00CC1633">
        <w:rPr>
          <w:rFonts w:ascii="Arial" w:hAnsi="Arial" w:cs="Arial"/>
          <w:szCs w:val="24"/>
        </w:rPr>
        <w:t>órgano</w:t>
      </w:r>
      <w:r w:rsidR="005E6FEC" w:rsidRPr="00CC1633">
        <w:rPr>
          <w:rFonts w:ascii="Arial" w:hAnsi="Arial" w:cs="Arial"/>
          <w:szCs w:val="24"/>
        </w:rPr>
        <w:t xml:space="preserve"> de cierre de la especialidad laboral, cuyos apartes </w:t>
      </w:r>
      <w:r w:rsidR="00574BED" w:rsidRPr="00CC1633">
        <w:rPr>
          <w:rFonts w:ascii="Arial" w:hAnsi="Arial" w:cs="Arial"/>
          <w:szCs w:val="24"/>
        </w:rPr>
        <w:t xml:space="preserve">citó y </w:t>
      </w:r>
      <w:r w:rsidR="005E6FEC" w:rsidRPr="00CC1633">
        <w:rPr>
          <w:rFonts w:ascii="Arial" w:hAnsi="Arial" w:cs="Arial"/>
          <w:szCs w:val="24"/>
        </w:rPr>
        <w:t xml:space="preserve">trajo a </w:t>
      </w:r>
      <w:r w:rsidR="00574BED" w:rsidRPr="00CC1633">
        <w:rPr>
          <w:rFonts w:ascii="Arial" w:hAnsi="Arial" w:cs="Arial"/>
          <w:szCs w:val="24"/>
        </w:rPr>
        <w:t>colación</w:t>
      </w:r>
      <w:r w:rsidR="005E6FEC" w:rsidRPr="00CC1633">
        <w:rPr>
          <w:rFonts w:ascii="Arial" w:hAnsi="Arial" w:cs="Arial"/>
          <w:szCs w:val="24"/>
        </w:rPr>
        <w:t xml:space="preserve">. </w:t>
      </w:r>
      <w:r w:rsidR="00574BED" w:rsidRPr="00CC1633">
        <w:rPr>
          <w:rFonts w:ascii="Arial" w:hAnsi="Arial" w:cs="Arial"/>
          <w:szCs w:val="24"/>
        </w:rPr>
        <w:t xml:space="preserve">Indicó además que </w:t>
      </w:r>
      <w:r w:rsidR="005E6FEC" w:rsidRPr="00CC1633">
        <w:rPr>
          <w:rFonts w:ascii="Arial" w:hAnsi="Arial" w:cs="Arial"/>
          <w:szCs w:val="24"/>
        </w:rPr>
        <w:t>la carga de la prueba en este tipo de asuntos es de las AFP´S, de modo que, no es posible invertirla</w:t>
      </w:r>
      <w:r w:rsidR="00574BED" w:rsidRPr="00CC1633">
        <w:rPr>
          <w:rFonts w:ascii="Arial" w:hAnsi="Arial" w:cs="Arial"/>
          <w:szCs w:val="24"/>
        </w:rPr>
        <w:t xml:space="preserve"> en disfavor de la parte activa, advirtiendo que no basta la simple afirmación del formulario para colegir que se brindó la debida información al usuario, pues es necesario que se acredite un debido asesoramiento, en los términos del Decreto 663 de 1993. Por lo anterior, solicita que se revoque la decisión y se acceda a las pretensiones contenidas en la demanda. </w:t>
      </w:r>
    </w:p>
    <w:p w14:paraId="0A8C99EF" w14:textId="77777777" w:rsidR="00FC0F3A" w:rsidRPr="00CC1633" w:rsidRDefault="00FC0F3A" w:rsidP="00A71BD5">
      <w:pPr>
        <w:pStyle w:val="Sinespaciado"/>
        <w:spacing w:line="276" w:lineRule="auto"/>
        <w:rPr>
          <w:rFonts w:ascii="Arial" w:hAnsi="Arial" w:cs="Arial"/>
          <w:b/>
          <w:bCs/>
          <w:szCs w:val="24"/>
        </w:rPr>
      </w:pPr>
    </w:p>
    <w:p w14:paraId="79CF68AB" w14:textId="1D67EAED" w:rsidR="00116DDD" w:rsidRPr="00CC1633" w:rsidRDefault="00162D9D" w:rsidP="00A71BD5">
      <w:pPr>
        <w:autoSpaceDE w:val="0"/>
        <w:autoSpaceDN w:val="0"/>
        <w:adjustRightInd w:val="0"/>
        <w:spacing w:line="276" w:lineRule="auto"/>
        <w:jc w:val="both"/>
        <w:rPr>
          <w:rFonts w:ascii="Arial" w:hAnsi="Arial" w:cs="Arial"/>
          <w:b/>
          <w:bCs/>
          <w:szCs w:val="24"/>
        </w:rPr>
      </w:pPr>
      <w:r w:rsidRPr="00CC1633">
        <w:rPr>
          <w:rFonts w:ascii="Arial" w:hAnsi="Arial" w:cs="Arial"/>
          <w:b/>
          <w:bCs/>
          <w:szCs w:val="24"/>
        </w:rPr>
        <w:lastRenderedPageBreak/>
        <w:t>IV.</w:t>
      </w:r>
      <w:r w:rsidR="005255D7" w:rsidRPr="00CC1633">
        <w:rPr>
          <w:rFonts w:ascii="Arial" w:hAnsi="Arial" w:cs="Arial"/>
          <w:b/>
          <w:bCs/>
          <w:szCs w:val="24"/>
        </w:rPr>
        <w:t xml:space="preserve"> </w:t>
      </w:r>
      <w:r w:rsidRPr="00CC1633">
        <w:rPr>
          <w:rFonts w:ascii="Arial" w:hAnsi="Arial" w:cs="Arial"/>
          <w:b/>
          <w:bCs/>
          <w:szCs w:val="24"/>
        </w:rPr>
        <w:t xml:space="preserve"> </w:t>
      </w:r>
      <w:r w:rsidR="00116DDD" w:rsidRPr="00CC1633">
        <w:rPr>
          <w:rFonts w:ascii="Arial" w:hAnsi="Arial" w:cs="Arial"/>
          <w:b/>
          <w:bCs/>
          <w:szCs w:val="24"/>
        </w:rPr>
        <w:t xml:space="preserve">ALEGATOS DE INSTANCIA </w:t>
      </w:r>
    </w:p>
    <w:p w14:paraId="24EF65ED" w14:textId="77777777" w:rsidR="00116DDD" w:rsidRPr="00CC1633" w:rsidRDefault="00116DDD" w:rsidP="00A71BD5">
      <w:pPr>
        <w:pStyle w:val="Sinespaciado"/>
        <w:spacing w:line="276" w:lineRule="auto"/>
        <w:rPr>
          <w:rFonts w:ascii="Arial" w:hAnsi="Arial" w:cs="Arial"/>
          <w:szCs w:val="24"/>
        </w:rPr>
      </w:pPr>
    </w:p>
    <w:p w14:paraId="35B6491D" w14:textId="12F6F858" w:rsidR="00116DDD" w:rsidRPr="00CC1633" w:rsidRDefault="4E07F7FA" w:rsidP="00A71BD5">
      <w:pPr>
        <w:spacing w:line="276" w:lineRule="auto"/>
        <w:jc w:val="both"/>
        <w:textAlignment w:val="baseline"/>
        <w:rPr>
          <w:rFonts w:ascii="Arial" w:hAnsi="Arial" w:cs="Arial"/>
          <w:szCs w:val="24"/>
        </w:rPr>
      </w:pPr>
      <w:r w:rsidRPr="00CC1633">
        <w:rPr>
          <w:rFonts w:ascii="Arial" w:hAnsi="Arial" w:cs="Arial"/>
          <w:szCs w:val="24"/>
        </w:rPr>
        <w:t xml:space="preserve">Dentro del término procesal otorgado para descorrer el traslado, </w:t>
      </w:r>
      <w:r w:rsidR="00F05DFA" w:rsidRPr="00CC1633">
        <w:rPr>
          <w:rFonts w:ascii="Arial" w:hAnsi="Arial" w:cs="Arial"/>
          <w:szCs w:val="24"/>
        </w:rPr>
        <w:t>la parte actora y Colpensiones</w:t>
      </w:r>
      <w:r w:rsidRPr="00CC1633">
        <w:rPr>
          <w:rFonts w:ascii="Arial" w:hAnsi="Arial" w:cs="Arial"/>
          <w:szCs w:val="24"/>
        </w:rPr>
        <w:t xml:space="preserve"> allegaron los escritos de alegaciones, los cuales en síntesis reflejan los puntos debatidos al interior de la Sala, por lo que se procede a resolver de fondo, previas las siguientes:</w:t>
      </w:r>
    </w:p>
    <w:p w14:paraId="47AF4C3B" w14:textId="77777777" w:rsidR="00574BED" w:rsidRPr="00CC1633" w:rsidRDefault="00574BED" w:rsidP="00A71BD5">
      <w:pPr>
        <w:pStyle w:val="Sinespaciado"/>
        <w:spacing w:line="276" w:lineRule="auto"/>
        <w:rPr>
          <w:rFonts w:ascii="Arial" w:hAnsi="Arial" w:cs="Arial"/>
          <w:szCs w:val="24"/>
        </w:rPr>
      </w:pPr>
    </w:p>
    <w:p w14:paraId="54DEF835" w14:textId="36AC5419" w:rsidR="00116DDD" w:rsidRPr="00CC1633" w:rsidRDefault="005126AA" w:rsidP="00A71BD5">
      <w:pPr>
        <w:spacing w:line="276" w:lineRule="auto"/>
        <w:jc w:val="both"/>
        <w:rPr>
          <w:rFonts w:ascii="Arial" w:hAnsi="Arial" w:cs="Arial"/>
          <w:b/>
          <w:bCs/>
          <w:szCs w:val="24"/>
        </w:rPr>
      </w:pPr>
      <w:r w:rsidRPr="00CC1633">
        <w:rPr>
          <w:rFonts w:ascii="Arial" w:hAnsi="Arial" w:cs="Arial"/>
          <w:b/>
          <w:bCs/>
          <w:szCs w:val="24"/>
        </w:rPr>
        <w:t xml:space="preserve">V. </w:t>
      </w:r>
      <w:r w:rsidR="005255D7" w:rsidRPr="00CC1633">
        <w:rPr>
          <w:rFonts w:ascii="Arial" w:hAnsi="Arial" w:cs="Arial"/>
          <w:b/>
          <w:bCs/>
          <w:szCs w:val="24"/>
        </w:rPr>
        <w:t xml:space="preserve"> </w:t>
      </w:r>
      <w:r w:rsidR="00116DDD" w:rsidRPr="00CC1633">
        <w:rPr>
          <w:rFonts w:ascii="Arial" w:hAnsi="Arial" w:cs="Arial"/>
          <w:b/>
          <w:bCs/>
          <w:szCs w:val="24"/>
        </w:rPr>
        <w:t xml:space="preserve">CONSIDERACIONES </w:t>
      </w:r>
    </w:p>
    <w:p w14:paraId="08E4E652" w14:textId="77777777" w:rsidR="00116DDD" w:rsidRPr="00CC1633" w:rsidRDefault="00116DDD" w:rsidP="00A71BD5">
      <w:pPr>
        <w:pStyle w:val="Sinespaciado"/>
        <w:spacing w:line="276" w:lineRule="auto"/>
        <w:rPr>
          <w:rFonts w:ascii="Arial" w:hAnsi="Arial" w:cs="Arial"/>
          <w:b/>
          <w:bCs/>
          <w:szCs w:val="24"/>
        </w:rPr>
      </w:pPr>
    </w:p>
    <w:p w14:paraId="50647BD4" w14:textId="0C23204C" w:rsidR="00116DDD" w:rsidRPr="00CC1633" w:rsidRDefault="00116DDD" w:rsidP="00A71BD5">
      <w:pPr>
        <w:spacing w:line="276" w:lineRule="auto"/>
        <w:jc w:val="both"/>
        <w:rPr>
          <w:rFonts w:ascii="Arial" w:hAnsi="Arial" w:cs="Arial"/>
          <w:b/>
          <w:bCs/>
          <w:szCs w:val="24"/>
        </w:rPr>
      </w:pPr>
      <w:r w:rsidRPr="00CC1633">
        <w:rPr>
          <w:rFonts w:ascii="Arial" w:hAnsi="Arial" w:cs="Arial"/>
          <w:b/>
          <w:bCs/>
          <w:szCs w:val="24"/>
        </w:rPr>
        <w:t xml:space="preserve">5.1. </w:t>
      </w:r>
      <w:r w:rsidR="005255D7" w:rsidRPr="00CC1633">
        <w:rPr>
          <w:rFonts w:ascii="Arial" w:hAnsi="Arial" w:cs="Arial"/>
          <w:b/>
          <w:bCs/>
          <w:szCs w:val="24"/>
        </w:rPr>
        <w:t xml:space="preserve"> </w:t>
      </w:r>
      <w:r w:rsidRPr="00CC1633">
        <w:rPr>
          <w:rFonts w:ascii="Arial" w:hAnsi="Arial" w:cs="Arial"/>
          <w:b/>
          <w:bCs/>
          <w:szCs w:val="24"/>
        </w:rPr>
        <w:t xml:space="preserve">Presupuestos Procesales. </w:t>
      </w:r>
    </w:p>
    <w:p w14:paraId="39EF5C04" w14:textId="77777777" w:rsidR="00116DDD" w:rsidRPr="00CC1633" w:rsidRDefault="00116DDD" w:rsidP="00A71BD5">
      <w:pPr>
        <w:pStyle w:val="Sinespaciado"/>
        <w:spacing w:line="276" w:lineRule="auto"/>
        <w:rPr>
          <w:rFonts w:ascii="Arial" w:hAnsi="Arial" w:cs="Arial"/>
          <w:szCs w:val="24"/>
        </w:rPr>
      </w:pPr>
    </w:p>
    <w:p w14:paraId="2EA9E3CA" w14:textId="77777777" w:rsidR="00116DDD" w:rsidRPr="00CC1633" w:rsidRDefault="00116DDD" w:rsidP="00A71BD5">
      <w:pPr>
        <w:spacing w:line="276" w:lineRule="auto"/>
        <w:jc w:val="both"/>
        <w:rPr>
          <w:rFonts w:ascii="Arial" w:hAnsi="Arial" w:cs="Arial"/>
          <w:szCs w:val="24"/>
        </w:rPr>
      </w:pPr>
      <w:r w:rsidRPr="00CC1633">
        <w:rPr>
          <w:rFonts w:ascii="Arial" w:hAnsi="Arial" w:cs="Arial"/>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CC1633" w:rsidRDefault="00116DDD" w:rsidP="00A71BD5">
      <w:pPr>
        <w:spacing w:line="276" w:lineRule="auto"/>
        <w:ind w:firstLine="708"/>
        <w:jc w:val="both"/>
        <w:rPr>
          <w:rFonts w:ascii="Arial" w:hAnsi="Arial" w:cs="Arial"/>
          <w:szCs w:val="24"/>
        </w:rPr>
      </w:pPr>
    </w:p>
    <w:p w14:paraId="4B850F33" w14:textId="77777777" w:rsidR="00116DDD" w:rsidRPr="00CC1633" w:rsidRDefault="00116DDD" w:rsidP="00A71BD5">
      <w:pPr>
        <w:spacing w:line="276" w:lineRule="auto"/>
        <w:jc w:val="both"/>
        <w:rPr>
          <w:rFonts w:ascii="Arial" w:hAnsi="Arial" w:cs="Arial"/>
          <w:b/>
          <w:bCs/>
          <w:szCs w:val="24"/>
        </w:rPr>
      </w:pPr>
      <w:r w:rsidRPr="00CC1633">
        <w:rPr>
          <w:rFonts w:ascii="Arial" w:hAnsi="Arial" w:cs="Arial"/>
          <w:b/>
          <w:bCs/>
          <w:szCs w:val="24"/>
        </w:rPr>
        <w:t>5.2. Problemas jurídicos por resolver.</w:t>
      </w:r>
    </w:p>
    <w:p w14:paraId="4AA4FC3B" w14:textId="77777777" w:rsidR="00116DDD" w:rsidRPr="00CC1633" w:rsidRDefault="00116DDD" w:rsidP="00A71BD5">
      <w:pPr>
        <w:pStyle w:val="Sinespaciado"/>
        <w:spacing w:line="276" w:lineRule="auto"/>
        <w:rPr>
          <w:rFonts w:ascii="Arial" w:hAnsi="Arial" w:cs="Arial"/>
          <w:szCs w:val="24"/>
        </w:rPr>
      </w:pPr>
    </w:p>
    <w:p w14:paraId="48F8186E" w14:textId="510155C7" w:rsidR="006D1742" w:rsidRPr="00CC1633" w:rsidRDefault="00116DDD" w:rsidP="00A71BD5">
      <w:pPr>
        <w:shd w:val="clear" w:color="auto" w:fill="FFFFFF" w:themeFill="background1"/>
        <w:tabs>
          <w:tab w:val="left" w:pos="709"/>
        </w:tabs>
        <w:spacing w:line="276" w:lineRule="auto"/>
        <w:jc w:val="both"/>
        <w:rPr>
          <w:rFonts w:ascii="Arial" w:hAnsi="Arial" w:cs="Arial"/>
          <w:szCs w:val="24"/>
        </w:rPr>
      </w:pPr>
      <w:r w:rsidRPr="00CC1633">
        <w:rPr>
          <w:rFonts w:ascii="Arial" w:hAnsi="Arial" w:cs="Arial"/>
          <w:szCs w:val="24"/>
        </w:rPr>
        <w:t xml:space="preserve">De conformidad con los puntos de apelación de la sentencia de primera instancia, se encuentra que los problemas jurídicos a resolver se circunscriben a </w:t>
      </w:r>
      <w:r w:rsidRPr="00CC1633">
        <w:rPr>
          <w:rFonts w:ascii="Arial" w:hAnsi="Arial" w:cs="Arial"/>
          <w:b/>
          <w:bCs/>
          <w:i/>
          <w:iCs/>
          <w:szCs w:val="24"/>
        </w:rPr>
        <w:t>(i)</w:t>
      </w:r>
      <w:r w:rsidRPr="00CC1633">
        <w:rPr>
          <w:rFonts w:ascii="Arial" w:hAnsi="Arial" w:cs="Arial"/>
          <w:szCs w:val="24"/>
        </w:rPr>
        <w:t xml:space="preserve"> </w:t>
      </w:r>
      <w:r w:rsidR="00376F39" w:rsidRPr="00CC1633">
        <w:rPr>
          <w:rFonts w:ascii="Arial" w:hAnsi="Arial" w:cs="Arial"/>
          <w:szCs w:val="24"/>
        </w:rPr>
        <w:t xml:space="preserve">determinar cuáles eran las obligaciones de </w:t>
      </w:r>
      <w:r w:rsidR="001A5890" w:rsidRPr="00CC1633">
        <w:rPr>
          <w:rFonts w:ascii="Arial" w:hAnsi="Arial" w:cs="Arial"/>
          <w:szCs w:val="24"/>
        </w:rPr>
        <w:t xml:space="preserve">la A.F.P </w:t>
      </w:r>
      <w:r w:rsidR="00376F39" w:rsidRPr="00CC1633">
        <w:rPr>
          <w:rFonts w:ascii="Arial" w:hAnsi="Arial" w:cs="Arial"/>
          <w:szCs w:val="24"/>
        </w:rPr>
        <w:t>Protección en materia de información fre</w:t>
      </w:r>
      <w:r w:rsidR="006D1742" w:rsidRPr="00CC1633">
        <w:rPr>
          <w:rFonts w:ascii="Arial" w:hAnsi="Arial" w:cs="Arial"/>
          <w:szCs w:val="24"/>
        </w:rPr>
        <w:t>n</w:t>
      </w:r>
      <w:r w:rsidR="00376F39" w:rsidRPr="00CC1633">
        <w:rPr>
          <w:rFonts w:ascii="Arial" w:hAnsi="Arial" w:cs="Arial"/>
          <w:szCs w:val="24"/>
        </w:rPr>
        <w:t>te al potencial afiliado</w:t>
      </w:r>
      <w:r w:rsidR="00574BED" w:rsidRPr="00CC1633">
        <w:rPr>
          <w:rFonts w:ascii="Arial" w:hAnsi="Arial" w:cs="Arial"/>
          <w:szCs w:val="24"/>
        </w:rPr>
        <w:t xml:space="preserve"> (a)</w:t>
      </w:r>
      <w:r w:rsidR="00376F39" w:rsidRPr="00CC1633">
        <w:rPr>
          <w:rFonts w:ascii="Arial" w:hAnsi="Arial" w:cs="Arial"/>
          <w:szCs w:val="24"/>
        </w:rPr>
        <w:t xml:space="preserve">, para el momento en que </w:t>
      </w:r>
      <w:r w:rsidR="00574BED" w:rsidRPr="00CC1633">
        <w:rPr>
          <w:rFonts w:ascii="Arial" w:hAnsi="Arial" w:cs="Arial"/>
          <w:szCs w:val="24"/>
        </w:rPr>
        <w:t>la demandante</w:t>
      </w:r>
      <w:r w:rsidR="00376F39" w:rsidRPr="00CC1633">
        <w:rPr>
          <w:rFonts w:ascii="Arial" w:hAnsi="Arial" w:cs="Arial"/>
          <w:szCs w:val="24"/>
        </w:rPr>
        <w:t xml:space="preserve"> efectuó el traslado al régimen de ahorro individual con solidaridad</w:t>
      </w:r>
      <w:r w:rsidR="001142B2" w:rsidRPr="00CC1633">
        <w:rPr>
          <w:rFonts w:ascii="Arial" w:hAnsi="Arial" w:cs="Arial"/>
          <w:szCs w:val="24"/>
        </w:rPr>
        <w:t>,</w:t>
      </w:r>
      <w:r w:rsidR="00376F39" w:rsidRPr="00CC1633">
        <w:rPr>
          <w:rFonts w:ascii="Arial" w:hAnsi="Arial" w:cs="Arial"/>
          <w:szCs w:val="24"/>
        </w:rPr>
        <w:t xml:space="preserve"> </w:t>
      </w:r>
      <w:r w:rsidR="00376F39" w:rsidRPr="00CC1633">
        <w:rPr>
          <w:rFonts w:ascii="Arial" w:hAnsi="Arial" w:cs="Arial"/>
          <w:b/>
          <w:bCs/>
          <w:i/>
          <w:iCs/>
          <w:szCs w:val="24"/>
        </w:rPr>
        <w:t xml:space="preserve">(ii) </w:t>
      </w:r>
      <w:r w:rsidR="00376F39" w:rsidRPr="00CC1633">
        <w:rPr>
          <w:rFonts w:ascii="Arial" w:hAnsi="Arial" w:cs="Arial"/>
          <w:szCs w:val="24"/>
        </w:rPr>
        <w:t>establecer cuáles son los deberes probatorios que le asisten a las partes cuando está en discusión</w:t>
      </w:r>
      <w:r w:rsidR="00A25965" w:rsidRPr="00CC1633">
        <w:rPr>
          <w:rFonts w:ascii="Arial" w:hAnsi="Arial" w:cs="Arial"/>
          <w:szCs w:val="24"/>
        </w:rPr>
        <w:t xml:space="preserve"> judicial </w:t>
      </w:r>
      <w:r w:rsidR="00376F39" w:rsidRPr="00CC1633">
        <w:rPr>
          <w:rFonts w:ascii="Arial" w:hAnsi="Arial" w:cs="Arial"/>
          <w:szCs w:val="24"/>
        </w:rPr>
        <w:t xml:space="preserve"> la eficacia del traslado entre regímenes</w:t>
      </w:r>
      <w:r w:rsidR="001142B2" w:rsidRPr="00CC1633">
        <w:rPr>
          <w:rFonts w:ascii="Arial" w:hAnsi="Arial" w:cs="Arial"/>
          <w:szCs w:val="24"/>
        </w:rPr>
        <w:t xml:space="preserve">, </w:t>
      </w:r>
      <w:r w:rsidR="001142B2" w:rsidRPr="00CC1633">
        <w:rPr>
          <w:rFonts w:ascii="Arial" w:hAnsi="Arial" w:cs="Arial"/>
          <w:b/>
          <w:bCs/>
          <w:i/>
          <w:iCs/>
          <w:szCs w:val="24"/>
        </w:rPr>
        <w:t>(iii)</w:t>
      </w:r>
      <w:r w:rsidR="006D1742" w:rsidRPr="00CC1633">
        <w:rPr>
          <w:rFonts w:ascii="Arial" w:hAnsi="Arial" w:cs="Arial"/>
          <w:szCs w:val="24"/>
        </w:rPr>
        <w:t xml:space="preserve"> </w:t>
      </w:r>
      <w:r w:rsidR="00A25965" w:rsidRPr="00CC1633">
        <w:rPr>
          <w:rFonts w:ascii="Arial" w:hAnsi="Arial" w:cs="Arial"/>
          <w:szCs w:val="24"/>
        </w:rPr>
        <w:t>determinar si la falladora de primera instancia erró al negar la ineficacia del traslado de régimen, por efectuar una aplicación equivocada de la institución de la confesión ficta y de los principios del derecho probatorio</w:t>
      </w:r>
      <w:r w:rsidR="006D1742" w:rsidRPr="00CC1633">
        <w:rPr>
          <w:rFonts w:ascii="Arial" w:hAnsi="Arial" w:cs="Arial"/>
          <w:szCs w:val="24"/>
        </w:rPr>
        <w:t xml:space="preserve">, </w:t>
      </w:r>
      <w:r w:rsidR="006D1742" w:rsidRPr="00CC1633">
        <w:rPr>
          <w:rFonts w:ascii="Arial" w:hAnsi="Arial" w:cs="Arial"/>
          <w:b/>
          <w:bCs/>
          <w:i/>
          <w:iCs/>
          <w:szCs w:val="24"/>
        </w:rPr>
        <w:t>(v)</w:t>
      </w:r>
      <w:r w:rsidR="006D1742" w:rsidRPr="00CC1633">
        <w:rPr>
          <w:rFonts w:ascii="Arial" w:hAnsi="Arial" w:cs="Arial"/>
          <w:szCs w:val="24"/>
        </w:rPr>
        <w:t xml:space="preserve"> constatar si el traslado de régimen realizado por </w:t>
      </w:r>
      <w:r w:rsidR="00574BED" w:rsidRPr="00CC1633">
        <w:rPr>
          <w:rFonts w:ascii="Arial" w:hAnsi="Arial" w:cs="Arial"/>
          <w:szCs w:val="24"/>
        </w:rPr>
        <w:t>la demandante</w:t>
      </w:r>
      <w:r w:rsidR="006D1742" w:rsidRPr="00CC1633">
        <w:rPr>
          <w:rFonts w:ascii="Arial" w:hAnsi="Arial" w:cs="Arial"/>
          <w:szCs w:val="24"/>
        </w:rPr>
        <w:t xml:space="preserve"> fue o no eficaz y </w:t>
      </w:r>
      <w:r w:rsidR="006D1742" w:rsidRPr="00CC1633">
        <w:rPr>
          <w:rFonts w:ascii="Arial" w:hAnsi="Arial" w:cs="Arial"/>
          <w:b/>
          <w:bCs/>
          <w:i/>
          <w:iCs/>
          <w:szCs w:val="24"/>
        </w:rPr>
        <w:t xml:space="preserve">(vi) </w:t>
      </w:r>
      <w:r w:rsidR="006D1742" w:rsidRPr="00CC1633">
        <w:rPr>
          <w:rFonts w:ascii="Arial" w:hAnsi="Arial" w:cs="Arial"/>
          <w:szCs w:val="24"/>
        </w:rPr>
        <w:t xml:space="preserve">en caso de no serlo, cuáles son los efectos de ello. </w:t>
      </w:r>
    </w:p>
    <w:p w14:paraId="188C6FD4" w14:textId="77777777" w:rsidR="00116DDD" w:rsidRPr="00CC1633" w:rsidRDefault="00116DDD" w:rsidP="00A71BD5">
      <w:pPr>
        <w:shd w:val="clear" w:color="auto" w:fill="FFFFFF"/>
        <w:tabs>
          <w:tab w:val="left" w:pos="5197"/>
        </w:tabs>
        <w:spacing w:line="276" w:lineRule="auto"/>
        <w:jc w:val="both"/>
        <w:rPr>
          <w:rFonts w:ascii="Arial" w:hAnsi="Arial" w:cs="Arial"/>
          <w:b/>
          <w:bCs/>
          <w:szCs w:val="24"/>
        </w:rPr>
      </w:pPr>
    </w:p>
    <w:p w14:paraId="5EAACFD6" w14:textId="48C1609A" w:rsidR="00116DDD" w:rsidRPr="00CC1633" w:rsidRDefault="00116DDD" w:rsidP="00A71BD5">
      <w:pPr>
        <w:shd w:val="clear" w:color="auto" w:fill="FFFFFF"/>
        <w:tabs>
          <w:tab w:val="left" w:pos="709"/>
        </w:tabs>
        <w:spacing w:line="276" w:lineRule="auto"/>
        <w:jc w:val="both"/>
        <w:rPr>
          <w:rFonts w:ascii="Arial" w:hAnsi="Arial" w:cs="Arial"/>
          <w:b/>
          <w:bCs/>
          <w:szCs w:val="24"/>
        </w:rPr>
      </w:pPr>
      <w:r w:rsidRPr="00CC1633">
        <w:rPr>
          <w:rFonts w:ascii="Arial" w:hAnsi="Arial" w:cs="Arial"/>
          <w:b/>
          <w:bCs/>
          <w:szCs w:val="24"/>
        </w:rPr>
        <w:t>5.3. Desenvolvimiento de la problemática planteada</w:t>
      </w:r>
    </w:p>
    <w:p w14:paraId="59F42AF1" w14:textId="77777777" w:rsidR="00116DDD" w:rsidRPr="00CC1633" w:rsidRDefault="00116DDD" w:rsidP="00A71BD5">
      <w:pPr>
        <w:pStyle w:val="Sinespaciado"/>
        <w:spacing w:line="276" w:lineRule="auto"/>
        <w:rPr>
          <w:rFonts w:ascii="Arial" w:hAnsi="Arial" w:cs="Arial"/>
          <w:szCs w:val="24"/>
        </w:rPr>
      </w:pPr>
    </w:p>
    <w:p w14:paraId="07205677" w14:textId="77777777" w:rsidR="00116DDD" w:rsidRPr="00CC1633" w:rsidRDefault="00116DDD" w:rsidP="00A71BD5">
      <w:pPr>
        <w:spacing w:line="276" w:lineRule="auto"/>
        <w:jc w:val="both"/>
        <w:rPr>
          <w:rFonts w:ascii="Arial" w:hAnsi="Arial" w:cs="Arial"/>
          <w:szCs w:val="24"/>
        </w:rPr>
      </w:pPr>
      <w:r w:rsidRPr="00CC1633">
        <w:rPr>
          <w:rFonts w:ascii="Arial" w:hAnsi="Arial" w:cs="Arial"/>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CC1633">
        <w:rPr>
          <w:rFonts w:ascii="Arial" w:hAnsi="Arial" w:cs="Arial"/>
          <w:i/>
          <w:iCs/>
          <w:szCs w:val="24"/>
        </w:rPr>
        <w:t>corpus argumentativo</w:t>
      </w:r>
      <w:r w:rsidRPr="00CC1633">
        <w:rPr>
          <w:rFonts w:ascii="Arial" w:hAnsi="Arial" w:cs="Arial"/>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CC1633" w:rsidRDefault="00116DDD" w:rsidP="00A71BD5">
      <w:pPr>
        <w:spacing w:line="276" w:lineRule="auto"/>
        <w:ind w:firstLine="708"/>
        <w:jc w:val="both"/>
        <w:rPr>
          <w:rFonts w:ascii="Arial" w:hAnsi="Arial" w:cs="Arial"/>
          <w:szCs w:val="24"/>
        </w:rPr>
      </w:pPr>
    </w:p>
    <w:p w14:paraId="20D4EDF8" w14:textId="4F3D49A9" w:rsidR="00116DDD" w:rsidRPr="00CC1633" w:rsidRDefault="00116DDD" w:rsidP="00A71BD5">
      <w:pPr>
        <w:spacing w:line="276" w:lineRule="auto"/>
        <w:jc w:val="both"/>
        <w:rPr>
          <w:rFonts w:ascii="Arial" w:hAnsi="Arial" w:cs="Arial"/>
          <w:szCs w:val="24"/>
        </w:rPr>
      </w:pPr>
      <w:r w:rsidRPr="00CC1633">
        <w:rPr>
          <w:rFonts w:ascii="Arial" w:hAnsi="Arial" w:cs="Arial"/>
          <w:szCs w:val="24"/>
        </w:rPr>
        <w:lastRenderedPageBreak/>
        <w:t>De igual manera, atendiendo a las consecuencias que la Sala Laboral ha derivado de la ineficacia de los traslados al R</w:t>
      </w:r>
      <w:r w:rsidR="00305245" w:rsidRPr="00CC1633">
        <w:rPr>
          <w:rFonts w:ascii="Arial" w:hAnsi="Arial" w:cs="Arial"/>
          <w:szCs w:val="24"/>
        </w:rPr>
        <w:t xml:space="preserve">égimen de </w:t>
      </w:r>
      <w:r w:rsidRPr="00CC1633">
        <w:rPr>
          <w:rFonts w:ascii="Arial" w:hAnsi="Arial" w:cs="Arial"/>
          <w:szCs w:val="24"/>
        </w:rPr>
        <w:t>A</w:t>
      </w:r>
      <w:r w:rsidR="00305245" w:rsidRPr="00CC1633">
        <w:rPr>
          <w:rFonts w:ascii="Arial" w:hAnsi="Arial" w:cs="Arial"/>
          <w:szCs w:val="24"/>
        </w:rPr>
        <w:t xml:space="preserve">horro </w:t>
      </w:r>
      <w:r w:rsidRPr="00CC1633">
        <w:rPr>
          <w:rFonts w:ascii="Arial" w:hAnsi="Arial" w:cs="Arial"/>
          <w:szCs w:val="24"/>
        </w:rPr>
        <w:t>I</w:t>
      </w:r>
      <w:r w:rsidR="00305245" w:rsidRPr="00CC1633">
        <w:rPr>
          <w:rFonts w:ascii="Arial" w:hAnsi="Arial" w:cs="Arial"/>
          <w:szCs w:val="24"/>
        </w:rPr>
        <w:t>ndividual,</w:t>
      </w:r>
      <w:r w:rsidRPr="00CC1633">
        <w:rPr>
          <w:rFonts w:ascii="Arial" w:hAnsi="Arial" w:cs="Arial"/>
          <w:szCs w:val="24"/>
        </w:rPr>
        <w:t xml:space="preserve"> resulta claro que el Alto Tribunal ha optado</w:t>
      </w:r>
      <w:r w:rsidR="00E230A7" w:rsidRPr="00CC1633">
        <w:rPr>
          <w:rFonts w:ascii="Arial" w:hAnsi="Arial" w:cs="Arial"/>
          <w:szCs w:val="24"/>
        </w:rPr>
        <w:t>, con</w:t>
      </w:r>
      <w:r w:rsidRPr="00CC1633">
        <w:rPr>
          <w:rFonts w:ascii="Arial" w:hAnsi="Arial" w:cs="Arial"/>
          <w:szCs w:val="24"/>
        </w:rPr>
        <w:t xml:space="preserve"> inmodificable persistencia, 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CC1633" w:rsidRDefault="00116DDD" w:rsidP="00A71BD5">
      <w:pPr>
        <w:spacing w:line="276" w:lineRule="auto"/>
        <w:jc w:val="both"/>
        <w:rPr>
          <w:rFonts w:ascii="Arial" w:hAnsi="Arial" w:cs="Arial"/>
          <w:szCs w:val="24"/>
        </w:rPr>
      </w:pPr>
    </w:p>
    <w:p w14:paraId="3303B061" w14:textId="77777777" w:rsidR="00116DDD" w:rsidRPr="00CC1633" w:rsidRDefault="00116DDD" w:rsidP="00A71BD5">
      <w:pPr>
        <w:spacing w:line="276" w:lineRule="auto"/>
        <w:jc w:val="both"/>
        <w:rPr>
          <w:rFonts w:ascii="Arial" w:hAnsi="Arial" w:cs="Arial"/>
          <w:szCs w:val="24"/>
        </w:rPr>
      </w:pPr>
      <w:r w:rsidRPr="00CC1633">
        <w:rPr>
          <w:rFonts w:ascii="Arial" w:hAnsi="Arial" w:cs="Arial"/>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CC1633">
        <w:rPr>
          <w:rFonts w:ascii="Arial" w:hAnsi="Arial" w:cs="Arial"/>
          <w:szCs w:val="24"/>
        </w:rPr>
        <w:t>co han llegado los doctrinantes;</w:t>
      </w:r>
      <w:r w:rsidRPr="00CC1633">
        <w:rPr>
          <w:rFonts w:ascii="Arial" w:hAnsi="Arial" w:cs="Arial"/>
          <w:szCs w:val="24"/>
        </w:rPr>
        <w:t xml:space="preserve">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2F92582C" w14:textId="77777777" w:rsidR="00116DDD" w:rsidRPr="00CC1633" w:rsidRDefault="00116DDD" w:rsidP="00A71BD5">
      <w:pPr>
        <w:spacing w:line="276" w:lineRule="auto"/>
        <w:jc w:val="both"/>
        <w:rPr>
          <w:rFonts w:ascii="Arial" w:hAnsi="Arial" w:cs="Arial"/>
          <w:szCs w:val="24"/>
        </w:rPr>
      </w:pPr>
    </w:p>
    <w:p w14:paraId="1C4D6F25" w14:textId="002F3C92" w:rsidR="00116DDD" w:rsidRPr="00CC1633" w:rsidRDefault="00116DDD" w:rsidP="00A71BD5">
      <w:pPr>
        <w:spacing w:line="276" w:lineRule="auto"/>
        <w:jc w:val="both"/>
        <w:rPr>
          <w:rFonts w:ascii="Arial" w:hAnsi="Arial" w:cs="Arial"/>
          <w:szCs w:val="24"/>
        </w:rPr>
      </w:pPr>
      <w:r w:rsidRPr="00CC1633">
        <w:rPr>
          <w:rFonts w:ascii="Arial" w:hAnsi="Arial" w:cs="Arial"/>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CC1633">
        <w:rPr>
          <w:rFonts w:ascii="Arial" w:hAnsi="Arial" w:cs="Arial"/>
          <w:b/>
          <w:bCs/>
          <w:szCs w:val="24"/>
        </w:rPr>
        <w:t>sentencia del 8 de mayo de 2019, (SL1688-2019, Rad. 68838),</w:t>
      </w:r>
      <w:r w:rsidRPr="00CC1633">
        <w:rPr>
          <w:rFonts w:ascii="Arial" w:hAnsi="Arial" w:cs="Arial"/>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CC1633">
        <w:rPr>
          <w:rFonts w:ascii="Arial" w:hAnsi="Arial" w:cs="Arial"/>
          <w:szCs w:val="24"/>
        </w:rPr>
        <w:t>égimen, la carga de la prueba,</w:t>
      </w:r>
      <w:r w:rsidRPr="00CC1633">
        <w:rPr>
          <w:rFonts w:ascii="Arial" w:hAnsi="Arial" w:cs="Arial"/>
          <w:szCs w:val="24"/>
        </w:rPr>
        <w:t xml:space="preserve"> los alcances de la ineficacia y las </w:t>
      </w:r>
      <w:proofErr w:type="spellStart"/>
      <w:r w:rsidRPr="00CC1633">
        <w:rPr>
          <w:rFonts w:ascii="Arial" w:hAnsi="Arial" w:cs="Arial"/>
          <w:szCs w:val="24"/>
        </w:rPr>
        <w:t>reasesorías</w:t>
      </w:r>
      <w:proofErr w:type="spellEnd"/>
      <w:r w:rsidRPr="00CC1633">
        <w:rPr>
          <w:rFonts w:ascii="Arial" w:hAnsi="Arial" w:cs="Arial"/>
          <w:szCs w:val="24"/>
        </w:rPr>
        <w:t xml:space="preserve"> que se realizan con posterioridad al traslado inicial, entre otros. </w:t>
      </w:r>
    </w:p>
    <w:p w14:paraId="61ADAC24" w14:textId="77777777" w:rsidR="00116DDD" w:rsidRPr="00CC1633" w:rsidRDefault="00116DDD" w:rsidP="00A71BD5">
      <w:pPr>
        <w:spacing w:line="276" w:lineRule="auto"/>
        <w:jc w:val="both"/>
        <w:rPr>
          <w:rFonts w:ascii="Arial" w:hAnsi="Arial" w:cs="Arial"/>
          <w:szCs w:val="24"/>
        </w:rPr>
      </w:pPr>
    </w:p>
    <w:p w14:paraId="5EB1C8C7" w14:textId="3AA39394" w:rsidR="00116DDD" w:rsidRPr="00CC1633" w:rsidRDefault="00116DDD" w:rsidP="00A71BD5">
      <w:pPr>
        <w:spacing w:line="276" w:lineRule="auto"/>
        <w:jc w:val="both"/>
        <w:rPr>
          <w:rFonts w:ascii="Arial" w:hAnsi="Arial" w:cs="Arial"/>
          <w:szCs w:val="24"/>
        </w:rPr>
      </w:pPr>
      <w:r w:rsidRPr="00CC1633">
        <w:rPr>
          <w:rFonts w:ascii="Arial" w:hAnsi="Arial" w:cs="Arial"/>
          <w:b/>
          <w:bCs/>
          <w:szCs w:val="24"/>
        </w:rPr>
        <w:t>a) Sobre el deber de información,</w:t>
      </w:r>
      <w:r w:rsidRPr="00CC1633">
        <w:rPr>
          <w:rFonts w:ascii="Arial" w:hAnsi="Arial" w:cs="Arial"/>
          <w:szCs w:val="24"/>
        </w:rPr>
        <w:t xml:space="preserve"> en</w:t>
      </w:r>
      <w:r w:rsidR="00455725" w:rsidRPr="00CC1633">
        <w:rPr>
          <w:rFonts w:ascii="Arial" w:hAnsi="Arial" w:cs="Arial"/>
          <w:szCs w:val="24"/>
        </w:rPr>
        <w:t xml:space="preserve"> la sentencia citada </w:t>
      </w:r>
      <w:r w:rsidRPr="00CC1633">
        <w:rPr>
          <w:rFonts w:ascii="Arial" w:hAnsi="Arial" w:cs="Arial"/>
          <w:szCs w:val="24"/>
        </w:rPr>
        <w:t>quedó dicho:</w:t>
      </w:r>
    </w:p>
    <w:p w14:paraId="6570631E" w14:textId="77777777" w:rsidR="00116DDD" w:rsidRPr="00CC1633" w:rsidRDefault="00116DDD" w:rsidP="00A71BD5">
      <w:pPr>
        <w:spacing w:line="276" w:lineRule="auto"/>
        <w:jc w:val="both"/>
        <w:rPr>
          <w:rFonts w:ascii="Arial" w:hAnsi="Arial" w:cs="Arial"/>
          <w:szCs w:val="24"/>
        </w:rPr>
      </w:pPr>
      <w:r w:rsidRPr="00CC1633">
        <w:rPr>
          <w:rFonts w:ascii="Arial" w:hAnsi="Arial" w:cs="Arial"/>
          <w:szCs w:val="24"/>
        </w:rPr>
        <w:t xml:space="preserve"> </w:t>
      </w:r>
    </w:p>
    <w:p w14:paraId="785BEBAD"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“El anterior recuento sobre la evolución normativa del deber de información a cargo de las administradoras de pensiones podría, a grandes rasgos, sintetizarse así: </w:t>
      </w:r>
    </w:p>
    <w:p w14:paraId="796D4BAC" w14:textId="77777777" w:rsidR="00A71BD5" w:rsidRPr="00CC1633" w:rsidRDefault="00A71BD5" w:rsidP="00A71BD5">
      <w:pPr>
        <w:ind w:left="426" w:right="420"/>
        <w:jc w:val="both"/>
        <w:rPr>
          <w:rFonts w:ascii="Arial" w:hAnsi="Arial" w:cs="Arial"/>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A71BD5" w:rsidRPr="00CC1633" w14:paraId="500655A2"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0FD0130"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b/>
                <w:bCs/>
                <w:i/>
                <w:iCs/>
                <w:sz w:val="20"/>
                <w:szCs w:val="24"/>
                <w:lang w:val="es-CO"/>
              </w:rPr>
              <w:t>Etapa acumulativa</w:t>
            </w:r>
            <w:r w:rsidRPr="00CC1633">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5238A72"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b/>
                <w:bCs/>
                <w:i/>
                <w:iCs/>
                <w:sz w:val="20"/>
                <w:szCs w:val="24"/>
                <w:lang w:val="es-CO"/>
              </w:rPr>
              <w:t>Normas que obligan a las administradoras de pensiones a dar información</w:t>
            </w:r>
            <w:r w:rsidRPr="00CC1633">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F830292"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b/>
                <w:bCs/>
                <w:i/>
                <w:iCs/>
                <w:sz w:val="20"/>
                <w:szCs w:val="24"/>
                <w:lang w:val="es-CO"/>
              </w:rPr>
              <w:t>Contenido mínimo y alcance del deber de información</w:t>
            </w:r>
            <w:r w:rsidRPr="00CC1633">
              <w:rPr>
                <w:rFonts w:ascii="Arial" w:hAnsi="Arial" w:cs="Arial"/>
                <w:sz w:val="20"/>
                <w:szCs w:val="24"/>
                <w:lang w:val="es-ES"/>
              </w:rPr>
              <w:t> </w:t>
            </w:r>
          </w:p>
        </w:tc>
      </w:tr>
      <w:tr w:rsidR="00A71BD5" w:rsidRPr="00CC1633" w14:paraId="4389018D"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E100357"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Deber de información </w:t>
            </w:r>
            <w:r w:rsidRPr="00CC1633">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75CF220"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Arts. 13 literal b), 271 y 272 de la Ley 100 de 1993</w:t>
            </w:r>
            <w:r w:rsidRPr="00CC1633">
              <w:rPr>
                <w:rFonts w:ascii="Arial" w:hAnsi="Arial" w:cs="Arial"/>
                <w:sz w:val="20"/>
                <w:szCs w:val="24"/>
                <w:lang w:val="es-ES"/>
              </w:rPr>
              <w:t> </w:t>
            </w:r>
          </w:p>
          <w:p w14:paraId="73C1A770"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ES"/>
              </w:rPr>
              <w:t>Art. 97, numeral 1 del Decreto 663 de 1993, modificado por el artículo 23 de la Ley 797 de 2003</w:t>
            </w:r>
            <w:r w:rsidRPr="00CC1633">
              <w:rPr>
                <w:rFonts w:ascii="Arial" w:hAnsi="Arial" w:cs="Arial"/>
                <w:sz w:val="20"/>
                <w:szCs w:val="24"/>
                <w:lang w:val="es-ES"/>
              </w:rPr>
              <w:t> </w:t>
            </w:r>
          </w:p>
          <w:p w14:paraId="67417084"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ES"/>
              </w:rPr>
              <w:t xml:space="preserve">Disposiciones constitucionales relativas al derecho a la información, no menoscabo de </w:t>
            </w:r>
            <w:r w:rsidRPr="00CC1633">
              <w:rPr>
                <w:rFonts w:ascii="Arial" w:hAnsi="Arial" w:cs="Arial"/>
                <w:i/>
                <w:iCs/>
                <w:sz w:val="20"/>
                <w:szCs w:val="24"/>
                <w:lang w:val="es-ES"/>
              </w:rPr>
              <w:lastRenderedPageBreak/>
              <w:t>derechos laborales y autonomía personal</w:t>
            </w:r>
            <w:r w:rsidRPr="00CC1633">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4866978"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CC1633">
              <w:rPr>
                <w:rFonts w:ascii="Arial" w:hAnsi="Arial" w:cs="Arial"/>
                <w:sz w:val="20"/>
                <w:szCs w:val="24"/>
                <w:lang w:val="es-ES"/>
              </w:rPr>
              <w:t> </w:t>
            </w:r>
          </w:p>
        </w:tc>
      </w:tr>
      <w:tr w:rsidR="00A71BD5" w:rsidRPr="00CC1633" w14:paraId="3F7D05C0"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A0D59B5"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lastRenderedPageBreak/>
              <w:t>Deber de información, asesoría y buen consejo</w:t>
            </w:r>
            <w:r w:rsidRPr="00CC1633">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D376CA3"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Artículo 3, literal c) de la Ley 1328 de 2009</w:t>
            </w:r>
            <w:r w:rsidRPr="00CC1633">
              <w:rPr>
                <w:rFonts w:ascii="Arial" w:hAnsi="Arial" w:cs="Arial"/>
                <w:sz w:val="20"/>
                <w:szCs w:val="24"/>
                <w:lang w:val="es-ES"/>
              </w:rPr>
              <w:t> </w:t>
            </w:r>
          </w:p>
          <w:p w14:paraId="024F9B09"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Decreto 2241 de 2010</w:t>
            </w:r>
            <w:r w:rsidRPr="00CC1633">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2FB5873"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C1633">
              <w:rPr>
                <w:rFonts w:ascii="Arial" w:hAnsi="Arial" w:cs="Arial"/>
                <w:sz w:val="20"/>
                <w:szCs w:val="24"/>
                <w:lang w:val="es-ES"/>
              </w:rPr>
              <w:t> </w:t>
            </w:r>
          </w:p>
        </w:tc>
      </w:tr>
      <w:tr w:rsidR="00A71BD5" w:rsidRPr="00CC1633" w14:paraId="4C4F28BC"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A527CA7"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Deber de información, asesoría, buen consejo y doble asesoría. </w:t>
            </w:r>
            <w:r w:rsidRPr="00CC1633">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984EDB6"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Ley 1748 de 2014</w:t>
            </w:r>
            <w:r w:rsidRPr="00CC1633">
              <w:rPr>
                <w:rFonts w:ascii="Arial" w:hAnsi="Arial" w:cs="Arial"/>
                <w:sz w:val="20"/>
                <w:szCs w:val="24"/>
                <w:lang w:val="es-ES"/>
              </w:rPr>
              <w:t> </w:t>
            </w:r>
          </w:p>
          <w:p w14:paraId="4BA006D4"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Artículo 3 del Decreto 2071 de 2015</w:t>
            </w:r>
            <w:r w:rsidRPr="00CC1633">
              <w:rPr>
                <w:rFonts w:ascii="Arial" w:hAnsi="Arial" w:cs="Arial"/>
                <w:sz w:val="20"/>
                <w:szCs w:val="24"/>
                <w:lang w:val="es-ES"/>
              </w:rPr>
              <w:t> </w:t>
            </w:r>
          </w:p>
          <w:p w14:paraId="5532D732"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Circular Externa n. 016 de 2016</w:t>
            </w:r>
            <w:r w:rsidRPr="00CC1633">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A766D63" w14:textId="77777777" w:rsidR="00A71BD5" w:rsidRPr="00CC1633" w:rsidRDefault="00A71BD5" w:rsidP="00A71BD5">
            <w:pPr>
              <w:spacing w:line="276" w:lineRule="auto"/>
              <w:jc w:val="both"/>
              <w:textAlignment w:val="baseline"/>
              <w:rPr>
                <w:rFonts w:ascii="Arial" w:hAnsi="Arial" w:cs="Arial"/>
                <w:sz w:val="20"/>
                <w:szCs w:val="24"/>
                <w:lang w:val="es-ES"/>
              </w:rPr>
            </w:pPr>
            <w:r w:rsidRPr="00CC1633">
              <w:rPr>
                <w:rFonts w:ascii="Arial" w:hAnsi="Arial" w:cs="Arial"/>
                <w:i/>
                <w:iCs/>
                <w:sz w:val="20"/>
                <w:szCs w:val="24"/>
                <w:lang w:val="es-CO"/>
              </w:rPr>
              <w:t>Junto con lo anterior, lleva inmerso el derecho a obtener asesoría de los representantes de ambos regímenes pensionales.</w:t>
            </w:r>
            <w:r w:rsidRPr="00CC1633">
              <w:rPr>
                <w:rFonts w:ascii="Arial" w:hAnsi="Arial" w:cs="Arial"/>
                <w:sz w:val="20"/>
                <w:szCs w:val="24"/>
                <w:lang w:val="es-ES"/>
              </w:rPr>
              <w:t> </w:t>
            </w:r>
          </w:p>
        </w:tc>
      </w:tr>
    </w:tbl>
    <w:p w14:paraId="13DA8FDD" w14:textId="77777777" w:rsidR="00A71BD5" w:rsidRPr="00CC1633" w:rsidRDefault="00A71BD5" w:rsidP="00A71BD5">
      <w:pPr>
        <w:ind w:left="426" w:right="420"/>
        <w:jc w:val="both"/>
        <w:rPr>
          <w:rFonts w:ascii="Arial" w:hAnsi="Arial" w:cs="Arial"/>
          <w:i/>
          <w:iCs/>
          <w:sz w:val="22"/>
          <w:szCs w:val="24"/>
        </w:rPr>
      </w:pPr>
    </w:p>
    <w:p w14:paraId="42CDC36A"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1.4 Conclusión: La constatación del deber de información es ineludible.</w:t>
      </w:r>
    </w:p>
    <w:p w14:paraId="6ACE80D6" w14:textId="77777777" w:rsidR="00A71BD5" w:rsidRPr="00CC1633" w:rsidRDefault="00A71BD5" w:rsidP="00A71BD5">
      <w:pPr>
        <w:ind w:left="426" w:right="420"/>
        <w:jc w:val="both"/>
        <w:rPr>
          <w:rFonts w:ascii="Arial" w:hAnsi="Arial" w:cs="Arial"/>
          <w:i/>
          <w:iCs/>
          <w:sz w:val="22"/>
          <w:szCs w:val="24"/>
        </w:rPr>
      </w:pPr>
    </w:p>
    <w:p w14:paraId="0F318EF3"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7B45C7D5" w14:textId="77777777" w:rsidR="00A71BD5" w:rsidRPr="00CC1633" w:rsidRDefault="00A71BD5" w:rsidP="00A71BD5">
      <w:pPr>
        <w:ind w:left="426" w:right="420"/>
        <w:jc w:val="both"/>
        <w:rPr>
          <w:rFonts w:ascii="Arial" w:hAnsi="Arial" w:cs="Arial"/>
          <w:i/>
          <w:iCs/>
          <w:sz w:val="22"/>
          <w:szCs w:val="24"/>
        </w:rPr>
      </w:pPr>
    </w:p>
    <w:p w14:paraId="3F102220"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68FA0741" w14:textId="77777777" w:rsidR="00A71BD5" w:rsidRPr="00CC1633" w:rsidRDefault="00A71BD5" w:rsidP="00A71BD5">
      <w:pPr>
        <w:ind w:left="426" w:right="420"/>
        <w:jc w:val="both"/>
        <w:rPr>
          <w:rFonts w:ascii="Arial" w:hAnsi="Arial" w:cs="Arial"/>
          <w:i/>
          <w:iCs/>
          <w:sz w:val="22"/>
          <w:szCs w:val="24"/>
        </w:rPr>
      </w:pPr>
    </w:p>
    <w:p w14:paraId="5AF53C73"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0D1D00F1" w14:textId="77777777" w:rsidR="00A71BD5" w:rsidRPr="00CC1633" w:rsidRDefault="00A71BD5" w:rsidP="00A71BD5">
      <w:pPr>
        <w:spacing w:line="276" w:lineRule="auto"/>
        <w:jc w:val="both"/>
        <w:rPr>
          <w:rFonts w:ascii="Arial" w:hAnsi="Arial" w:cs="Arial"/>
          <w:szCs w:val="24"/>
        </w:rPr>
      </w:pPr>
      <w:r w:rsidRPr="00CC1633">
        <w:rPr>
          <w:rFonts w:ascii="Arial" w:eastAsia="Arial Narrow" w:hAnsi="Arial" w:cs="Arial"/>
          <w:szCs w:val="24"/>
          <w:lang w:val="es"/>
        </w:rPr>
        <w:t xml:space="preserve"> </w:t>
      </w:r>
    </w:p>
    <w:p w14:paraId="2CB9C603" w14:textId="77777777" w:rsidR="00A71BD5" w:rsidRPr="00CC1633" w:rsidRDefault="00A71BD5" w:rsidP="00A71BD5">
      <w:pPr>
        <w:spacing w:line="276" w:lineRule="auto"/>
        <w:jc w:val="both"/>
        <w:rPr>
          <w:rFonts w:ascii="Arial" w:hAnsi="Arial" w:cs="Arial"/>
          <w:szCs w:val="24"/>
        </w:rPr>
      </w:pPr>
      <w:bookmarkStart w:id="1" w:name="_Hlk46831651"/>
      <w:r w:rsidRPr="00CC1633">
        <w:rPr>
          <w:rFonts w:ascii="Arial" w:hAnsi="Arial" w:cs="Arial"/>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6DEE3E39" w14:textId="77777777" w:rsidR="00A71BD5" w:rsidRPr="00CC1633" w:rsidRDefault="00A71BD5" w:rsidP="00A71BD5">
      <w:pPr>
        <w:spacing w:line="276" w:lineRule="auto"/>
        <w:ind w:firstLine="708"/>
        <w:jc w:val="both"/>
        <w:rPr>
          <w:rFonts w:ascii="Arial" w:hAnsi="Arial" w:cs="Arial"/>
          <w:szCs w:val="24"/>
        </w:rPr>
      </w:pPr>
    </w:p>
    <w:p w14:paraId="67D60871" w14:textId="77777777" w:rsidR="00A71BD5" w:rsidRPr="00CC1633" w:rsidRDefault="00A71BD5" w:rsidP="00A71BD5">
      <w:pPr>
        <w:spacing w:line="276" w:lineRule="auto"/>
        <w:ind w:firstLine="555"/>
        <w:jc w:val="both"/>
        <w:textAlignment w:val="baseline"/>
        <w:rPr>
          <w:rFonts w:ascii="Arial" w:hAnsi="Arial" w:cs="Arial"/>
          <w:szCs w:val="24"/>
        </w:rPr>
      </w:pPr>
      <w:r w:rsidRPr="00CC1633">
        <w:rPr>
          <w:rFonts w:ascii="Arial" w:hAnsi="Arial" w:cs="Arial"/>
          <w:b/>
          <w:bCs/>
          <w:szCs w:val="24"/>
        </w:rPr>
        <w:t xml:space="preserve"> b) </w:t>
      </w:r>
      <w:r w:rsidRPr="00CC1633">
        <w:rPr>
          <w:rFonts w:ascii="Arial" w:hAnsi="Arial" w:cs="Arial"/>
          <w:b/>
          <w:bCs/>
          <w:szCs w:val="24"/>
        </w:rPr>
        <w:tab/>
        <w:t xml:space="preserve">En cuanto a las consecuencias de las constancias que se registran en los formularios de afiliación o traslado, </w:t>
      </w:r>
      <w:r w:rsidRPr="00CC1633">
        <w:rPr>
          <w:rFonts w:ascii="Arial" w:hAnsi="Arial" w:cs="Arial"/>
          <w:szCs w:val="24"/>
        </w:rPr>
        <w:t xml:space="preserve">la ya referida </w:t>
      </w:r>
      <w:proofErr w:type="spellStart"/>
      <w:r w:rsidRPr="00CC1633">
        <w:rPr>
          <w:rFonts w:ascii="Arial" w:hAnsi="Arial" w:cs="Arial"/>
          <w:szCs w:val="24"/>
        </w:rPr>
        <w:t>SL1688</w:t>
      </w:r>
      <w:proofErr w:type="spellEnd"/>
      <w:r w:rsidRPr="00CC1633">
        <w:rPr>
          <w:rFonts w:ascii="Arial" w:hAnsi="Arial" w:cs="Arial"/>
          <w:szCs w:val="24"/>
        </w:rPr>
        <w:t xml:space="preserve">-2019, Rad. 68838 explicó: </w:t>
      </w:r>
    </w:p>
    <w:p w14:paraId="190EBB15" w14:textId="77777777" w:rsidR="00A71BD5" w:rsidRPr="00CC1633" w:rsidRDefault="00A71BD5" w:rsidP="00A71BD5">
      <w:pPr>
        <w:spacing w:line="276" w:lineRule="auto"/>
        <w:ind w:firstLine="720"/>
        <w:jc w:val="both"/>
        <w:rPr>
          <w:rFonts w:ascii="Arial" w:hAnsi="Arial" w:cs="Arial"/>
          <w:szCs w:val="24"/>
        </w:rPr>
      </w:pPr>
      <w:r w:rsidRPr="00CC1633">
        <w:rPr>
          <w:rFonts w:ascii="Arial" w:eastAsia="Arial Narrow" w:hAnsi="Arial" w:cs="Arial"/>
          <w:szCs w:val="24"/>
          <w:lang w:val="es"/>
        </w:rPr>
        <w:lastRenderedPageBreak/>
        <w:t xml:space="preserve"> </w:t>
      </w:r>
    </w:p>
    <w:p w14:paraId="652BDAE9"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2. </w:t>
      </w:r>
      <w:r w:rsidRPr="00CC1633">
        <w:rPr>
          <w:rFonts w:ascii="Arial" w:hAnsi="Arial" w:cs="Arial"/>
          <w:b/>
          <w:i/>
          <w:iCs/>
          <w:sz w:val="22"/>
          <w:szCs w:val="24"/>
        </w:rPr>
        <w:t>El simple consentimiento vertido en el formulario de afiliación es insuficiente. Necesidad de un consentimiento informado</w:t>
      </w:r>
    </w:p>
    <w:p w14:paraId="5E7A0505"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0A1F6BA2"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Para el Tribunal el consentimiento informado no es predicable del acto jurídico de traslado, pues basta la consignación en el formulario de que la afiliación se hizo de manera libre y voluntaria.</w:t>
      </w:r>
    </w:p>
    <w:p w14:paraId="7270DF05"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6F28B35B"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La Sala considera desacertada esta tesis, en la medida que la firma del formulario, al igual que las afirmaciones consignadas en los formatos </w:t>
      </w:r>
      <w:proofErr w:type="spellStart"/>
      <w:r w:rsidRPr="00CC1633">
        <w:rPr>
          <w:rFonts w:ascii="Arial" w:hAnsi="Arial" w:cs="Arial"/>
          <w:i/>
          <w:iCs/>
          <w:sz w:val="22"/>
          <w:szCs w:val="24"/>
        </w:rPr>
        <w:t>preimpresos</w:t>
      </w:r>
      <w:proofErr w:type="spellEnd"/>
      <w:r w:rsidRPr="00CC1633">
        <w:rPr>
          <w:rFonts w:ascii="Arial" w:hAnsi="Arial" w:cs="Arial"/>
          <w:i/>
          <w:iCs/>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0775A3AC"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4714A978"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Sobre el particular, en la sentencia CSJ SI. 19447-2017 la Sala explicó:</w:t>
      </w:r>
    </w:p>
    <w:p w14:paraId="7EB62BF8"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2DC1BEF5"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7CC78C33"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0E5A8082"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4100B7FE"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539F7106"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26BFE6A5" w14:textId="77777777" w:rsidR="00A71BD5" w:rsidRPr="00CC1633" w:rsidRDefault="00A71BD5" w:rsidP="00A71BD5">
      <w:pPr>
        <w:spacing w:line="276" w:lineRule="auto"/>
        <w:ind w:firstLine="708"/>
        <w:jc w:val="both"/>
        <w:rPr>
          <w:rFonts w:ascii="Arial" w:hAnsi="Arial" w:cs="Arial"/>
          <w:szCs w:val="24"/>
        </w:rPr>
      </w:pPr>
      <w:r w:rsidRPr="00CC1633">
        <w:rPr>
          <w:rFonts w:ascii="Arial" w:eastAsia="Arial Narrow" w:hAnsi="Arial" w:cs="Arial"/>
          <w:szCs w:val="24"/>
          <w:lang w:val="es"/>
        </w:rPr>
        <w:t xml:space="preserve"> </w:t>
      </w:r>
      <w:r w:rsidRPr="00CC1633">
        <w:rPr>
          <w:rFonts w:ascii="Arial" w:hAnsi="Arial" w:cs="Arial"/>
          <w:szCs w:val="24"/>
        </w:rPr>
        <w:t xml:space="preserve"> </w:t>
      </w:r>
    </w:p>
    <w:p w14:paraId="2B001E43" w14:textId="77777777" w:rsidR="00A71BD5" w:rsidRPr="00CC1633" w:rsidRDefault="00A71BD5" w:rsidP="00A71BD5">
      <w:pPr>
        <w:spacing w:line="276" w:lineRule="auto"/>
        <w:ind w:firstLine="708"/>
        <w:jc w:val="both"/>
        <w:rPr>
          <w:rFonts w:ascii="Arial" w:hAnsi="Arial" w:cs="Arial"/>
          <w:szCs w:val="24"/>
        </w:rPr>
      </w:pPr>
      <w:r w:rsidRPr="00CC1633">
        <w:rPr>
          <w:rFonts w:ascii="Arial" w:hAnsi="Arial" w:cs="Arial"/>
          <w:b/>
          <w:bCs/>
          <w:szCs w:val="24"/>
        </w:rPr>
        <w:t xml:space="preserve">c) </w:t>
      </w:r>
      <w:r w:rsidRPr="00CC1633">
        <w:rPr>
          <w:rFonts w:ascii="Arial" w:hAnsi="Arial" w:cs="Arial"/>
          <w:b/>
          <w:bCs/>
          <w:szCs w:val="24"/>
        </w:rPr>
        <w:tab/>
        <w:t>En cuanto a la carga de la prueba:</w:t>
      </w:r>
      <w:r w:rsidRPr="00CC1633">
        <w:rPr>
          <w:rFonts w:ascii="Arial" w:hAnsi="Arial" w:cs="Arial"/>
          <w:szCs w:val="24"/>
        </w:rPr>
        <w:t xml:space="preserve"> También procesalmente, la Corte realiza un enfoque especialísimo, pues invierte la carga de la prueba respecto a ese debido asesoramiento. En la sentencia con radicado 68.838 de 2019 ya mencionada, lo explícita así:</w:t>
      </w:r>
    </w:p>
    <w:p w14:paraId="3E95AD68" w14:textId="77777777" w:rsidR="00A71BD5" w:rsidRPr="00CC1633" w:rsidRDefault="00A71BD5" w:rsidP="00A71BD5">
      <w:pPr>
        <w:spacing w:line="276" w:lineRule="auto"/>
        <w:jc w:val="both"/>
        <w:rPr>
          <w:rFonts w:ascii="Arial" w:eastAsia="Arial Narrow" w:hAnsi="Arial" w:cs="Arial"/>
          <w:i/>
          <w:szCs w:val="24"/>
          <w:lang w:val="es"/>
        </w:rPr>
      </w:pPr>
    </w:p>
    <w:p w14:paraId="0F2A4A0C"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4676AF9" w14:textId="77777777" w:rsidR="00A71BD5" w:rsidRPr="00CC1633" w:rsidRDefault="00A71BD5" w:rsidP="00A71BD5">
      <w:pPr>
        <w:ind w:left="426" w:right="420"/>
        <w:jc w:val="both"/>
        <w:rPr>
          <w:rFonts w:ascii="Arial" w:hAnsi="Arial" w:cs="Arial"/>
          <w:i/>
          <w:iCs/>
          <w:sz w:val="22"/>
          <w:szCs w:val="24"/>
        </w:rPr>
      </w:pPr>
    </w:p>
    <w:p w14:paraId="6E7FD0A2"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w:t>
      </w:r>
      <w:r w:rsidRPr="00CC1633">
        <w:rPr>
          <w:rFonts w:ascii="Arial" w:hAnsi="Arial" w:cs="Arial"/>
          <w:i/>
          <w:iCs/>
          <w:sz w:val="22"/>
          <w:szCs w:val="24"/>
        </w:rPr>
        <w:lastRenderedPageBreak/>
        <w:t xml:space="preserve">obligación de brindar información y, más aún, probar ante las autoridades administrativas y judiciales su pleno cumplimiento. </w:t>
      </w:r>
    </w:p>
    <w:p w14:paraId="3873D28F"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4E618D97"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0F81CB4D" w14:textId="77777777" w:rsidR="00A71BD5" w:rsidRPr="00CC1633" w:rsidRDefault="00A71BD5" w:rsidP="00A71BD5">
      <w:pPr>
        <w:spacing w:line="276" w:lineRule="auto"/>
        <w:jc w:val="both"/>
        <w:rPr>
          <w:rFonts w:ascii="Arial" w:eastAsia="Arial Narrow" w:hAnsi="Arial" w:cs="Arial"/>
          <w:szCs w:val="24"/>
          <w:lang w:val="es"/>
        </w:rPr>
      </w:pPr>
    </w:p>
    <w:p w14:paraId="0160FC9A" w14:textId="77777777" w:rsidR="00A71BD5" w:rsidRPr="00CC1633" w:rsidRDefault="00A71BD5" w:rsidP="00A71BD5">
      <w:pPr>
        <w:spacing w:line="276" w:lineRule="auto"/>
        <w:ind w:firstLine="708"/>
        <w:jc w:val="both"/>
        <w:rPr>
          <w:rFonts w:ascii="Arial" w:hAnsi="Arial" w:cs="Arial"/>
          <w:szCs w:val="24"/>
        </w:rPr>
      </w:pPr>
      <w:r w:rsidRPr="00CC1633">
        <w:rPr>
          <w:rFonts w:ascii="Arial" w:hAnsi="Arial" w:cs="Arial"/>
          <w:b/>
          <w:bCs/>
          <w:szCs w:val="24"/>
        </w:rPr>
        <w:t xml:space="preserve">d) </w:t>
      </w:r>
      <w:r w:rsidRPr="00CC1633">
        <w:rPr>
          <w:rFonts w:ascii="Arial" w:hAnsi="Arial" w:cs="Arial"/>
          <w:b/>
          <w:bCs/>
          <w:szCs w:val="24"/>
        </w:rPr>
        <w:tab/>
        <w:t xml:space="preserve">En cuanto al alcance de la ausencia del deber de información y de los nulos efectos que pueden generar las </w:t>
      </w:r>
      <w:proofErr w:type="spellStart"/>
      <w:r w:rsidRPr="00CC1633">
        <w:rPr>
          <w:rFonts w:ascii="Arial" w:hAnsi="Arial" w:cs="Arial"/>
          <w:b/>
          <w:bCs/>
          <w:szCs w:val="24"/>
        </w:rPr>
        <w:t>reasesorías</w:t>
      </w:r>
      <w:proofErr w:type="spellEnd"/>
      <w:r w:rsidRPr="00CC1633">
        <w:rPr>
          <w:rFonts w:ascii="Arial" w:hAnsi="Arial" w:cs="Arial"/>
          <w:b/>
          <w:bCs/>
          <w:szCs w:val="24"/>
        </w:rPr>
        <w:t xml:space="preserve"> posteriores</w:t>
      </w:r>
      <w:r w:rsidRPr="00CC1633">
        <w:rPr>
          <w:rFonts w:ascii="Arial" w:hAnsi="Arial" w:cs="Arial"/>
          <w:szCs w:val="24"/>
        </w:rPr>
        <w:t>, quedó dicho en la sentencia </w:t>
      </w:r>
      <w:proofErr w:type="spellStart"/>
      <w:r w:rsidRPr="00CC1633">
        <w:rPr>
          <w:rFonts w:ascii="Arial" w:hAnsi="Arial" w:cs="Arial"/>
          <w:szCs w:val="24"/>
        </w:rPr>
        <w:t>SL1688</w:t>
      </w:r>
      <w:proofErr w:type="spellEnd"/>
      <w:r w:rsidRPr="00CC1633">
        <w:rPr>
          <w:rFonts w:ascii="Arial" w:hAnsi="Arial" w:cs="Arial"/>
          <w:szCs w:val="24"/>
        </w:rPr>
        <w:t>-2019, Rad. 68838, la cual se viene citando in-extenso que:</w:t>
      </w:r>
    </w:p>
    <w:p w14:paraId="00C75932" w14:textId="77777777" w:rsidR="00A71BD5" w:rsidRPr="00CC1633" w:rsidRDefault="00A71BD5" w:rsidP="00A71BD5">
      <w:pPr>
        <w:spacing w:line="276" w:lineRule="auto"/>
        <w:rPr>
          <w:rFonts w:ascii="Arial" w:hAnsi="Arial" w:cs="Arial"/>
          <w:szCs w:val="24"/>
        </w:rPr>
      </w:pPr>
      <w:r w:rsidRPr="00CC1633">
        <w:rPr>
          <w:rFonts w:ascii="Arial" w:eastAsia="Arial Narrow" w:hAnsi="Arial" w:cs="Arial"/>
          <w:szCs w:val="24"/>
          <w:lang w:val="es"/>
        </w:rPr>
        <w:t xml:space="preserve">  </w:t>
      </w:r>
    </w:p>
    <w:p w14:paraId="7AB57DF2"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Ahora, si bien la AFP brindó a la actora una </w:t>
      </w:r>
      <w:proofErr w:type="spellStart"/>
      <w:r w:rsidRPr="00CC1633">
        <w:rPr>
          <w:rFonts w:ascii="Arial" w:hAnsi="Arial" w:cs="Arial"/>
          <w:i/>
          <w:iCs/>
          <w:sz w:val="22"/>
          <w:szCs w:val="24"/>
        </w:rPr>
        <w:t>reasesoría</w:t>
      </w:r>
      <w:proofErr w:type="spellEnd"/>
      <w:r w:rsidRPr="00CC1633">
        <w:rPr>
          <w:rFonts w:ascii="Arial" w:hAnsi="Arial" w:cs="Arial"/>
          <w:i/>
          <w:iCs/>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FADADC1"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64EF8194"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En primer término, porque el traslado al </w:t>
      </w:r>
      <w:proofErr w:type="spellStart"/>
      <w:r w:rsidRPr="00CC1633">
        <w:rPr>
          <w:rFonts w:ascii="Arial" w:hAnsi="Arial" w:cs="Arial"/>
          <w:i/>
          <w:iCs/>
          <w:sz w:val="22"/>
          <w:szCs w:val="24"/>
        </w:rPr>
        <w:t>RAIS</w:t>
      </w:r>
      <w:proofErr w:type="spellEnd"/>
      <w:r w:rsidRPr="00CC1633">
        <w:rPr>
          <w:rFonts w:ascii="Arial" w:hAnsi="Arial" w:cs="Arial"/>
          <w:i/>
          <w:iCs/>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CC1633">
        <w:rPr>
          <w:rFonts w:ascii="Arial" w:hAnsi="Arial" w:cs="Arial"/>
          <w:i/>
          <w:iCs/>
          <w:sz w:val="22"/>
          <w:szCs w:val="24"/>
        </w:rPr>
        <w:t>reasesoría</w:t>
      </w:r>
      <w:proofErr w:type="spellEnd"/>
      <w:r w:rsidRPr="00CC1633">
        <w:rPr>
          <w:rFonts w:ascii="Arial" w:hAnsi="Arial" w:cs="Arial"/>
          <w:i/>
          <w:iCs/>
          <w:sz w:val="22"/>
          <w:szCs w:val="24"/>
        </w:rPr>
        <w:t>, de todas formas ya había perdido la transición.</w:t>
      </w:r>
    </w:p>
    <w:p w14:paraId="534AFB02"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7E8C594F"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94B26E1"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031F7742"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Por otro lado, no es de recibo el planteo de Protección S.A., cuando sostiene que una vez realizó la </w:t>
      </w:r>
      <w:proofErr w:type="spellStart"/>
      <w:r w:rsidRPr="00CC1633">
        <w:rPr>
          <w:rFonts w:ascii="Arial" w:hAnsi="Arial" w:cs="Arial"/>
          <w:i/>
          <w:iCs/>
          <w:sz w:val="22"/>
          <w:szCs w:val="24"/>
        </w:rPr>
        <w:t>reasesoría</w:t>
      </w:r>
      <w:proofErr w:type="spellEnd"/>
      <w:r w:rsidRPr="00CC1633">
        <w:rPr>
          <w:rFonts w:ascii="Arial" w:hAnsi="Arial" w:cs="Arial"/>
          <w:i/>
          <w:iCs/>
          <w:sz w:val="22"/>
          <w:szCs w:val="24"/>
        </w:rPr>
        <w:t xml:space="preserve">, Myriam Arroyave Henao no mostró interés en la ineficacia de la vinculación al </w:t>
      </w:r>
      <w:proofErr w:type="spellStart"/>
      <w:r w:rsidRPr="00CC1633">
        <w:rPr>
          <w:rFonts w:ascii="Arial" w:hAnsi="Arial" w:cs="Arial"/>
          <w:i/>
          <w:iCs/>
          <w:sz w:val="22"/>
          <w:szCs w:val="24"/>
        </w:rPr>
        <w:t>RAIS</w:t>
      </w:r>
      <w:proofErr w:type="spellEnd"/>
      <w:r w:rsidRPr="00CC1633">
        <w:rPr>
          <w:rFonts w:ascii="Arial" w:hAnsi="Arial" w:cs="Arial"/>
          <w:i/>
          <w:iCs/>
          <w:sz w:val="22"/>
          <w:szCs w:val="24"/>
        </w:rPr>
        <w:t xml:space="preserve">, al conservar su status de afiliada durante un tiempo, Se dice lo anterior ya que la sugerencia de Protección S.A. de regresar al </w:t>
      </w:r>
      <w:proofErr w:type="spellStart"/>
      <w:r w:rsidRPr="00CC1633">
        <w:rPr>
          <w:rFonts w:ascii="Arial" w:hAnsi="Arial" w:cs="Arial"/>
          <w:i/>
          <w:iCs/>
          <w:sz w:val="22"/>
          <w:szCs w:val="24"/>
        </w:rPr>
        <w:t>RPMPD</w:t>
      </w:r>
      <w:proofErr w:type="spellEnd"/>
      <w:r w:rsidRPr="00CC1633">
        <w:rPr>
          <w:rFonts w:ascii="Arial" w:hAnsi="Arial" w:cs="Arial"/>
          <w:i/>
          <w:iCs/>
          <w:sz w:val="22"/>
          <w:szCs w:val="24"/>
        </w:rPr>
        <w:t xml:space="preserve">, se produjo el 26 de noviembre de 2003, y el formulario para la nueva afiliación al </w:t>
      </w:r>
      <w:proofErr w:type="spellStart"/>
      <w:r w:rsidRPr="00CC1633">
        <w:rPr>
          <w:rFonts w:ascii="Arial" w:hAnsi="Arial" w:cs="Arial"/>
          <w:i/>
          <w:iCs/>
          <w:sz w:val="22"/>
          <w:szCs w:val="24"/>
        </w:rPr>
        <w:t>ISS</w:t>
      </w:r>
      <w:proofErr w:type="spellEnd"/>
      <w:r w:rsidRPr="00CC1633">
        <w:rPr>
          <w:rFonts w:ascii="Arial" w:hAnsi="Arial" w:cs="Arial"/>
          <w:i/>
          <w:iCs/>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92ED991" w14:textId="77777777" w:rsidR="00A71BD5" w:rsidRPr="00CC1633" w:rsidRDefault="00A71BD5" w:rsidP="00A71BD5">
      <w:pPr>
        <w:spacing w:line="276" w:lineRule="auto"/>
        <w:ind w:firstLine="708"/>
        <w:jc w:val="both"/>
        <w:rPr>
          <w:rFonts w:ascii="Arial" w:hAnsi="Arial" w:cs="Arial"/>
          <w:szCs w:val="24"/>
        </w:rPr>
      </w:pPr>
    </w:p>
    <w:p w14:paraId="455D9187" w14:textId="77777777" w:rsidR="00A71BD5" w:rsidRPr="00CC1633" w:rsidRDefault="00A71BD5" w:rsidP="00A71BD5">
      <w:pPr>
        <w:spacing w:line="276" w:lineRule="auto"/>
        <w:jc w:val="both"/>
        <w:rPr>
          <w:rFonts w:ascii="Arial" w:hAnsi="Arial" w:cs="Arial"/>
          <w:szCs w:val="24"/>
        </w:rPr>
      </w:pPr>
      <w:r w:rsidRPr="00CC1633">
        <w:rPr>
          <w:rFonts w:ascii="Arial" w:hAnsi="Arial" w:cs="Arial"/>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CC1633">
        <w:rPr>
          <w:rFonts w:ascii="Arial" w:hAnsi="Arial" w:cs="Arial"/>
          <w:szCs w:val="24"/>
        </w:rPr>
        <w:t>A.F.P</w:t>
      </w:r>
      <w:proofErr w:type="spellEnd"/>
      <w:r w:rsidRPr="00CC1633">
        <w:rPr>
          <w:rFonts w:ascii="Arial" w:hAnsi="Arial" w:cs="Arial"/>
          <w:szCs w:val="24"/>
        </w:rPr>
        <w:t>, que devendrá en la ineficacia del traslado de régimen pensional.</w:t>
      </w:r>
    </w:p>
    <w:bookmarkEnd w:id="1"/>
    <w:p w14:paraId="74B59E1D" w14:textId="77777777" w:rsidR="00116DDD" w:rsidRPr="00CC1633" w:rsidRDefault="00116DDD" w:rsidP="00A71BD5">
      <w:pPr>
        <w:pStyle w:val="Sinespaciado"/>
        <w:spacing w:line="276" w:lineRule="auto"/>
        <w:rPr>
          <w:rFonts w:ascii="Arial" w:hAnsi="Arial" w:cs="Arial"/>
          <w:szCs w:val="24"/>
        </w:rPr>
      </w:pPr>
    </w:p>
    <w:p w14:paraId="767FBF09" w14:textId="0C6C924F" w:rsidR="00116DDD" w:rsidRPr="00CC1633" w:rsidRDefault="00116DDD" w:rsidP="00A71BD5">
      <w:pPr>
        <w:pStyle w:val="Sinespaciado"/>
        <w:spacing w:line="276" w:lineRule="auto"/>
        <w:rPr>
          <w:rFonts w:ascii="Arial" w:hAnsi="Arial" w:cs="Arial"/>
          <w:b/>
          <w:bCs/>
          <w:szCs w:val="24"/>
        </w:rPr>
      </w:pPr>
      <w:r w:rsidRPr="00CC1633">
        <w:rPr>
          <w:rFonts w:ascii="Arial" w:hAnsi="Arial" w:cs="Arial"/>
          <w:b/>
          <w:bCs/>
          <w:szCs w:val="24"/>
        </w:rPr>
        <w:t>5.4.</w:t>
      </w:r>
      <w:r w:rsidR="7DD397E9" w:rsidRPr="00CC1633">
        <w:rPr>
          <w:rFonts w:ascii="Arial" w:hAnsi="Arial" w:cs="Arial"/>
          <w:b/>
          <w:bCs/>
          <w:szCs w:val="24"/>
        </w:rPr>
        <w:t xml:space="preserve"> </w:t>
      </w:r>
      <w:r w:rsidRPr="00CC1633">
        <w:rPr>
          <w:rFonts w:ascii="Arial" w:hAnsi="Arial" w:cs="Arial"/>
          <w:b/>
          <w:bCs/>
          <w:szCs w:val="24"/>
        </w:rPr>
        <w:tab/>
        <w:t>Caso concreto</w:t>
      </w:r>
    </w:p>
    <w:p w14:paraId="1DD0A9E4" w14:textId="2A2532FD" w:rsidR="00116DDD" w:rsidRPr="00CC1633" w:rsidRDefault="00116DDD" w:rsidP="00A71BD5">
      <w:pPr>
        <w:pStyle w:val="Sinespaciado"/>
        <w:spacing w:line="276" w:lineRule="auto"/>
        <w:rPr>
          <w:rFonts w:ascii="Arial" w:hAnsi="Arial" w:cs="Arial"/>
          <w:szCs w:val="24"/>
        </w:rPr>
      </w:pPr>
    </w:p>
    <w:p w14:paraId="1783C281" w14:textId="37539BE9" w:rsidR="00483884" w:rsidRPr="00CC1633" w:rsidRDefault="00116DDD" w:rsidP="00A71BD5">
      <w:pPr>
        <w:spacing w:line="276" w:lineRule="auto"/>
        <w:jc w:val="both"/>
        <w:rPr>
          <w:rFonts w:ascii="Arial" w:hAnsi="Arial" w:cs="Arial"/>
          <w:szCs w:val="24"/>
        </w:rPr>
      </w:pPr>
      <w:r w:rsidRPr="00CC1633">
        <w:rPr>
          <w:rFonts w:ascii="Arial" w:hAnsi="Arial" w:cs="Arial"/>
          <w:szCs w:val="24"/>
        </w:rPr>
        <w:lastRenderedPageBreak/>
        <w:t xml:space="preserve">Fuera de toda discusión, por existir plena prueba de ello, está que (i) </w:t>
      </w:r>
      <w:r w:rsidR="00907D77" w:rsidRPr="00CC1633">
        <w:rPr>
          <w:rFonts w:ascii="Arial" w:hAnsi="Arial" w:cs="Arial"/>
          <w:szCs w:val="24"/>
        </w:rPr>
        <w:t>la</w:t>
      </w:r>
      <w:r w:rsidRPr="00CC1633">
        <w:rPr>
          <w:rFonts w:ascii="Arial" w:hAnsi="Arial" w:cs="Arial"/>
          <w:szCs w:val="24"/>
        </w:rPr>
        <w:t xml:space="preserve"> demandante nació </w:t>
      </w:r>
      <w:r w:rsidR="00113276" w:rsidRPr="00CC1633">
        <w:rPr>
          <w:rFonts w:ascii="Arial" w:hAnsi="Arial" w:cs="Arial"/>
          <w:szCs w:val="24"/>
        </w:rPr>
        <w:t xml:space="preserve">el </w:t>
      </w:r>
      <w:r w:rsidR="000141C3" w:rsidRPr="00CC1633">
        <w:rPr>
          <w:rFonts w:ascii="Arial" w:hAnsi="Arial" w:cs="Arial"/>
          <w:szCs w:val="24"/>
        </w:rPr>
        <w:t>13 de noviembre de 1966</w:t>
      </w:r>
      <w:r w:rsidR="00E927D7" w:rsidRPr="00CC1633">
        <w:rPr>
          <w:rFonts w:ascii="Arial" w:hAnsi="Arial" w:cs="Arial"/>
          <w:szCs w:val="24"/>
        </w:rPr>
        <w:t xml:space="preserve"> </w:t>
      </w:r>
      <w:r w:rsidRPr="00CC1633">
        <w:rPr>
          <w:rFonts w:ascii="Arial" w:hAnsi="Arial" w:cs="Arial"/>
          <w:szCs w:val="24"/>
        </w:rPr>
        <w:t>(fl.</w:t>
      </w:r>
      <w:r w:rsidR="000141C3" w:rsidRPr="00CC1633">
        <w:rPr>
          <w:rFonts w:ascii="Arial" w:hAnsi="Arial" w:cs="Arial"/>
          <w:szCs w:val="24"/>
        </w:rPr>
        <w:t>33 y 34</w:t>
      </w:r>
      <w:r w:rsidRPr="00CC1633">
        <w:rPr>
          <w:rFonts w:ascii="Arial" w:hAnsi="Arial" w:cs="Arial"/>
          <w:szCs w:val="24"/>
        </w:rPr>
        <w:t>); (ii) que estando afiliad</w:t>
      </w:r>
      <w:r w:rsidR="00EA1375" w:rsidRPr="00CC1633">
        <w:rPr>
          <w:rFonts w:ascii="Arial" w:hAnsi="Arial" w:cs="Arial"/>
          <w:szCs w:val="24"/>
        </w:rPr>
        <w:t>a</w:t>
      </w:r>
      <w:r w:rsidR="008B0CFC" w:rsidRPr="00CC1633">
        <w:rPr>
          <w:rFonts w:ascii="Arial" w:hAnsi="Arial" w:cs="Arial"/>
          <w:szCs w:val="24"/>
        </w:rPr>
        <w:t xml:space="preserve"> al ISS (hoy </w:t>
      </w:r>
      <w:r w:rsidR="00DD5207" w:rsidRPr="00CC1633">
        <w:rPr>
          <w:rFonts w:ascii="Arial" w:hAnsi="Arial" w:cs="Arial"/>
          <w:szCs w:val="24"/>
        </w:rPr>
        <w:t>C</w:t>
      </w:r>
      <w:r w:rsidR="00483884" w:rsidRPr="00CC1633">
        <w:rPr>
          <w:rFonts w:ascii="Arial" w:hAnsi="Arial" w:cs="Arial"/>
          <w:szCs w:val="24"/>
        </w:rPr>
        <w:t>olpensiones</w:t>
      </w:r>
      <w:r w:rsidR="008B0CFC" w:rsidRPr="00CC1633">
        <w:rPr>
          <w:rFonts w:ascii="Arial" w:hAnsi="Arial" w:cs="Arial"/>
          <w:szCs w:val="24"/>
        </w:rPr>
        <w:t xml:space="preserve">), el </w:t>
      </w:r>
      <w:r w:rsidR="000141C3" w:rsidRPr="00CC1633">
        <w:rPr>
          <w:rFonts w:ascii="Arial" w:hAnsi="Arial" w:cs="Arial"/>
          <w:szCs w:val="24"/>
        </w:rPr>
        <w:t>6 de julio de 1999</w:t>
      </w:r>
      <w:r w:rsidR="00E927D7" w:rsidRPr="00CC1633">
        <w:rPr>
          <w:rFonts w:ascii="Arial" w:hAnsi="Arial" w:cs="Arial"/>
          <w:szCs w:val="24"/>
        </w:rPr>
        <w:t xml:space="preserve"> </w:t>
      </w:r>
      <w:r w:rsidR="000D01B1" w:rsidRPr="00CC1633">
        <w:rPr>
          <w:rFonts w:ascii="Arial" w:hAnsi="Arial" w:cs="Arial"/>
          <w:szCs w:val="24"/>
        </w:rPr>
        <w:t>suscribió solicitud de vinculación al</w:t>
      </w:r>
      <w:r w:rsidRPr="00CC1633">
        <w:rPr>
          <w:rFonts w:ascii="Arial" w:hAnsi="Arial" w:cs="Arial"/>
          <w:szCs w:val="24"/>
        </w:rPr>
        <w:t xml:space="preserve"> Régimen de Ahorro Individual </w:t>
      </w:r>
      <w:r w:rsidR="000D01B1" w:rsidRPr="00CC1633">
        <w:rPr>
          <w:rFonts w:ascii="Arial" w:hAnsi="Arial" w:cs="Arial"/>
          <w:szCs w:val="24"/>
        </w:rPr>
        <w:t xml:space="preserve">a través de </w:t>
      </w:r>
      <w:r w:rsidR="00227DC8" w:rsidRPr="00CC1633">
        <w:rPr>
          <w:rFonts w:ascii="Arial" w:hAnsi="Arial" w:cs="Arial"/>
          <w:szCs w:val="24"/>
        </w:rPr>
        <w:t xml:space="preserve">la AFP </w:t>
      </w:r>
      <w:r w:rsidR="00483884" w:rsidRPr="00CC1633">
        <w:rPr>
          <w:rFonts w:ascii="Arial" w:hAnsi="Arial" w:cs="Arial"/>
          <w:szCs w:val="24"/>
        </w:rPr>
        <w:t>Protección (fl.</w:t>
      </w:r>
      <w:r w:rsidR="00227DC8" w:rsidRPr="00CC1633">
        <w:rPr>
          <w:rFonts w:ascii="Arial" w:hAnsi="Arial" w:cs="Arial"/>
          <w:szCs w:val="24"/>
        </w:rPr>
        <w:t>38</w:t>
      </w:r>
      <w:r w:rsidR="00483884" w:rsidRPr="00CC1633">
        <w:rPr>
          <w:rFonts w:ascii="Arial" w:hAnsi="Arial" w:cs="Arial"/>
          <w:szCs w:val="24"/>
        </w:rPr>
        <w:t xml:space="preserve">), efectiva a partir del 01 de </w:t>
      </w:r>
      <w:r w:rsidR="00227DC8" w:rsidRPr="00CC1633">
        <w:rPr>
          <w:rFonts w:ascii="Arial" w:hAnsi="Arial" w:cs="Arial"/>
          <w:szCs w:val="24"/>
        </w:rPr>
        <w:t>septiembre de ese mismo año</w:t>
      </w:r>
      <w:r w:rsidR="00483884" w:rsidRPr="00CC1633">
        <w:rPr>
          <w:rFonts w:ascii="Arial" w:hAnsi="Arial" w:cs="Arial"/>
          <w:szCs w:val="24"/>
        </w:rPr>
        <w:t>;</w:t>
      </w:r>
      <w:r w:rsidR="00227DC8" w:rsidRPr="00CC1633">
        <w:rPr>
          <w:rFonts w:ascii="Arial" w:hAnsi="Arial" w:cs="Arial"/>
          <w:szCs w:val="24"/>
        </w:rPr>
        <w:t xml:space="preserve"> y (iii)</w:t>
      </w:r>
      <w:r w:rsidR="00483884" w:rsidRPr="00CC1633">
        <w:rPr>
          <w:rFonts w:ascii="Arial" w:hAnsi="Arial" w:cs="Arial"/>
          <w:szCs w:val="24"/>
        </w:rPr>
        <w:t xml:space="preserve"> </w:t>
      </w:r>
      <w:r w:rsidR="00F012F6" w:rsidRPr="00CC1633">
        <w:rPr>
          <w:rFonts w:ascii="Arial" w:hAnsi="Arial" w:cs="Arial"/>
          <w:szCs w:val="24"/>
        </w:rPr>
        <w:t xml:space="preserve">que </w:t>
      </w:r>
      <w:r w:rsidR="00483884" w:rsidRPr="00CC1633">
        <w:rPr>
          <w:rFonts w:ascii="Arial" w:hAnsi="Arial" w:cs="Arial"/>
          <w:szCs w:val="24"/>
        </w:rPr>
        <w:t xml:space="preserve">al </w:t>
      </w:r>
      <w:r w:rsidR="008E5D10" w:rsidRPr="00CC1633">
        <w:rPr>
          <w:rFonts w:ascii="Arial" w:hAnsi="Arial" w:cs="Arial"/>
          <w:szCs w:val="24"/>
        </w:rPr>
        <w:t xml:space="preserve">13 de diciembre de 2017 contaba con 1.595,42 semanas </w:t>
      </w:r>
      <w:r w:rsidR="00483884" w:rsidRPr="00CC1633">
        <w:rPr>
          <w:rFonts w:ascii="Arial" w:hAnsi="Arial" w:cs="Arial"/>
          <w:szCs w:val="24"/>
        </w:rPr>
        <w:t>de cotizaci</w:t>
      </w:r>
      <w:r w:rsidR="008E5D10" w:rsidRPr="00CC1633">
        <w:rPr>
          <w:rFonts w:ascii="Arial" w:hAnsi="Arial" w:cs="Arial"/>
          <w:szCs w:val="24"/>
        </w:rPr>
        <w:t>ón</w:t>
      </w:r>
      <w:r w:rsidR="00483884" w:rsidRPr="00CC1633">
        <w:rPr>
          <w:rFonts w:ascii="Arial" w:hAnsi="Arial" w:cs="Arial"/>
          <w:szCs w:val="24"/>
        </w:rPr>
        <w:t xml:space="preserve"> al sistema de pensiones, de las cuales </w:t>
      </w:r>
      <w:r w:rsidR="008E5D10" w:rsidRPr="00CC1633">
        <w:rPr>
          <w:rFonts w:ascii="Arial" w:hAnsi="Arial" w:cs="Arial"/>
          <w:szCs w:val="24"/>
        </w:rPr>
        <w:t>663.71</w:t>
      </w:r>
      <w:r w:rsidR="00483884" w:rsidRPr="00CC1633">
        <w:rPr>
          <w:rFonts w:ascii="Arial" w:hAnsi="Arial" w:cs="Arial"/>
          <w:szCs w:val="24"/>
        </w:rPr>
        <w:t xml:space="preserve"> fueron al régimen de prima media y </w:t>
      </w:r>
      <w:r w:rsidR="008E5D10" w:rsidRPr="00CC1633">
        <w:rPr>
          <w:rFonts w:ascii="Arial" w:hAnsi="Arial" w:cs="Arial"/>
          <w:szCs w:val="24"/>
        </w:rPr>
        <w:t>931.71</w:t>
      </w:r>
      <w:r w:rsidR="00483884" w:rsidRPr="00CC1633">
        <w:rPr>
          <w:rFonts w:ascii="Arial" w:hAnsi="Arial" w:cs="Arial"/>
          <w:szCs w:val="24"/>
        </w:rPr>
        <w:t xml:space="preserve"> al régimen de ahorro individual (fl</w:t>
      </w:r>
      <w:r w:rsidR="008E5D10" w:rsidRPr="00CC1633">
        <w:rPr>
          <w:rFonts w:ascii="Arial" w:hAnsi="Arial" w:cs="Arial"/>
          <w:szCs w:val="24"/>
        </w:rPr>
        <w:t>.39</w:t>
      </w:r>
      <w:r w:rsidR="00483884" w:rsidRPr="00CC1633">
        <w:rPr>
          <w:rFonts w:ascii="Arial" w:hAnsi="Arial" w:cs="Arial"/>
          <w:szCs w:val="24"/>
        </w:rPr>
        <w:t>)</w:t>
      </w:r>
      <w:r w:rsidR="00F012F6" w:rsidRPr="00CC1633">
        <w:rPr>
          <w:rFonts w:ascii="Arial" w:hAnsi="Arial" w:cs="Arial"/>
          <w:szCs w:val="24"/>
        </w:rPr>
        <w:t xml:space="preserve">. </w:t>
      </w:r>
    </w:p>
    <w:p w14:paraId="66DEFBCD" w14:textId="136EC390" w:rsidR="00F012F6" w:rsidRPr="00CC1633" w:rsidRDefault="00F012F6" w:rsidP="00A71BD5">
      <w:pPr>
        <w:spacing w:line="276" w:lineRule="auto"/>
        <w:jc w:val="both"/>
        <w:rPr>
          <w:rFonts w:ascii="Arial" w:hAnsi="Arial" w:cs="Arial"/>
          <w:szCs w:val="24"/>
        </w:rPr>
      </w:pPr>
    </w:p>
    <w:p w14:paraId="6194BA20" w14:textId="68CAC482" w:rsidR="00DC1B82" w:rsidRPr="00CC1633" w:rsidRDefault="00DC1B82" w:rsidP="00A71BD5">
      <w:pPr>
        <w:spacing w:line="276" w:lineRule="auto"/>
        <w:jc w:val="both"/>
        <w:rPr>
          <w:rFonts w:ascii="Arial" w:hAnsi="Arial" w:cs="Arial"/>
          <w:szCs w:val="24"/>
        </w:rPr>
      </w:pPr>
      <w:r w:rsidRPr="00CC1633">
        <w:rPr>
          <w:rFonts w:ascii="Arial" w:hAnsi="Arial" w:cs="Arial"/>
          <w:szCs w:val="24"/>
        </w:rPr>
        <w:t>En este escenario</w:t>
      </w:r>
      <w:r w:rsidR="00966046" w:rsidRPr="00CC1633">
        <w:rPr>
          <w:rFonts w:ascii="Arial" w:hAnsi="Arial" w:cs="Arial"/>
          <w:szCs w:val="24"/>
        </w:rPr>
        <w:t xml:space="preserve">, la sentenciadora de primer grado concluyó que el traslado de régimen que se materializó con la </w:t>
      </w:r>
      <w:r w:rsidR="008E5D10" w:rsidRPr="00CC1633">
        <w:rPr>
          <w:rFonts w:ascii="Arial" w:hAnsi="Arial" w:cs="Arial"/>
          <w:szCs w:val="24"/>
        </w:rPr>
        <w:t>suscripción del formulario de afiliación del 6 de julio de 1999</w:t>
      </w:r>
      <w:r w:rsidR="00966046" w:rsidRPr="00CC1633">
        <w:rPr>
          <w:rFonts w:ascii="Arial" w:hAnsi="Arial" w:cs="Arial"/>
          <w:szCs w:val="24"/>
        </w:rPr>
        <w:t xml:space="preserve"> es eficaz</w:t>
      </w:r>
      <w:r w:rsidRPr="00CC1633">
        <w:rPr>
          <w:rFonts w:ascii="Arial" w:hAnsi="Arial" w:cs="Arial"/>
          <w:szCs w:val="24"/>
        </w:rPr>
        <w:t xml:space="preserve">, </w:t>
      </w:r>
      <w:r w:rsidR="00FC783F" w:rsidRPr="00CC1633">
        <w:rPr>
          <w:rFonts w:ascii="Arial" w:hAnsi="Arial" w:cs="Arial"/>
          <w:szCs w:val="24"/>
        </w:rPr>
        <w:t>considerando para el efecto</w:t>
      </w:r>
      <w:r w:rsidRPr="00CC1633">
        <w:rPr>
          <w:rFonts w:ascii="Arial" w:hAnsi="Arial" w:cs="Arial"/>
          <w:szCs w:val="24"/>
        </w:rPr>
        <w:t xml:space="preserve"> el indicio grave y la confesión ficta de algunos supuestos </w:t>
      </w:r>
      <w:r w:rsidR="00FB3CA4" w:rsidRPr="00CC1633">
        <w:rPr>
          <w:rFonts w:ascii="Arial" w:hAnsi="Arial" w:cs="Arial"/>
          <w:szCs w:val="24"/>
        </w:rPr>
        <w:t xml:space="preserve">fácticos </w:t>
      </w:r>
      <w:r w:rsidRPr="00CC1633">
        <w:rPr>
          <w:rFonts w:ascii="Arial" w:hAnsi="Arial" w:cs="Arial"/>
          <w:szCs w:val="24"/>
        </w:rPr>
        <w:t>contenido</w:t>
      </w:r>
      <w:r w:rsidR="00FC783F" w:rsidRPr="00CC1633">
        <w:rPr>
          <w:rFonts w:ascii="Arial" w:hAnsi="Arial" w:cs="Arial"/>
          <w:szCs w:val="24"/>
        </w:rPr>
        <w:t>s</w:t>
      </w:r>
      <w:r w:rsidRPr="00CC1633">
        <w:rPr>
          <w:rFonts w:ascii="Arial" w:hAnsi="Arial" w:cs="Arial"/>
          <w:szCs w:val="24"/>
        </w:rPr>
        <w:t xml:space="preserve"> en la contestación de la demanda hecha por Protección</w:t>
      </w:r>
      <w:r w:rsidR="00DC1F8B" w:rsidRPr="00CC1633">
        <w:rPr>
          <w:rFonts w:ascii="Arial" w:hAnsi="Arial" w:cs="Arial"/>
          <w:szCs w:val="24"/>
        </w:rPr>
        <w:t>, los cuales, a pesar de admitir prueba en contrario no habrían sido desvirtuados po</w:t>
      </w:r>
      <w:r w:rsidR="00AA0A98" w:rsidRPr="00CC1633">
        <w:rPr>
          <w:rFonts w:ascii="Arial" w:hAnsi="Arial" w:cs="Arial"/>
          <w:szCs w:val="24"/>
        </w:rPr>
        <w:t>r la actora</w:t>
      </w:r>
      <w:r w:rsidR="00DC1F8B" w:rsidRPr="00CC1633">
        <w:rPr>
          <w:rFonts w:ascii="Arial" w:hAnsi="Arial" w:cs="Arial"/>
          <w:szCs w:val="24"/>
        </w:rPr>
        <w:t xml:space="preserve">. </w:t>
      </w:r>
    </w:p>
    <w:p w14:paraId="34A9A02E" w14:textId="2D849198" w:rsidR="00CE1D09" w:rsidRPr="00CC1633" w:rsidRDefault="00CE1D09" w:rsidP="00A71BD5">
      <w:pPr>
        <w:spacing w:line="276" w:lineRule="auto"/>
        <w:jc w:val="both"/>
        <w:rPr>
          <w:rFonts w:ascii="Arial" w:hAnsi="Arial" w:cs="Arial"/>
          <w:szCs w:val="24"/>
        </w:rPr>
      </w:pPr>
    </w:p>
    <w:p w14:paraId="51D22DB0" w14:textId="3D5085CB" w:rsidR="00291024" w:rsidRPr="00CC1633" w:rsidRDefault="00016DF8" w:rsidP="00A71BD5">
      <w:pPr>
        <w:spacing w:line="276" w:lineRule="auto"/>
        <w:jc w:val="both"/>
        <w:rPr>
          <w:rFonts w:ascii="Arial" w:hAnsi="Arial" w:cs="Arial"/>
          <w:szCs w:val="24"/>
        </w:rPr>
      </w:pPr>
      <w:r w:rsidRPr="00CC1633">
        <w:rPr>
          <w:rFonts w:ascii="Arial" w:hAnsi="Arial" w:cs="Arial"/>
          <w:szCs w:val="24"/>
        </w:rPr>
        <w:t xml:space="preserve">Esta decisión es cuestionada por </w:t>
      </w:r>
      <w:r w:rsidR="008E5D10" w:rsidRPr="00CC1633">
        <w:rPr>
          <w:rFonts w:ascii="Arial" w:hAnsi="Arial" w:cs="Arial"/>
          <w:szCs w:val="24"/>
        </w:rPr>
        <w:t>la</w:t>
      </w:r>
      <w:r w:rsidRPr="00CC1633">
        <w:rPr>
          <w:rFonts w:ascii="Arial" w:hAnsi="Arial" w:cs="Arial"/>
          <w:szCs w:val="24"/>
        </w:rPr>
        <w:t xml:space="preserve"> demandante, quien argumenta que Protección</w:t>
      </w:r>
      <w:r w:rsidR="00020E6D" w:rsidRPr="00CC1633">
        <w:rPr>
          <w:rFonts w:ascii="Arial" w:hAnsi="Arial" w:cs="Arial"/>
          <w:szCs w:val="24"/>
        </w:rPr>
        <w:t xml:space="preserve"> no </w:t>
      </w:r>
      <w:r w:rsidRPr="00CC1633">
        <w:rPr>
          <w:rFonts w:ascii="Arial" w:hAnsi="Arial" w:cs="Arial"/>
          <w:szCs w:val="24"/>
        </w:rPr>
        <w:t>cumpli</w:t>
      </w:r>
      <w:r w:rsidR="00020E6D" w:rsidRPr="00CC1633">
        <w:rPr>
          <w:rFonts w:ascii="Arial" w:hAnsi="Arial" w:cs="Arial"/>
          <w:szCs w:val="24"/>
        </w:rPr>
        <w:t>ó</w:t>
      </w:r>
      <w:r w:rsidRPr="00CC1633">
        <w:rPr>
          <w:rFonts w:ascii="Arial" w:hAnsi="Arial" w:cs="Arial"/>
          <w:szCs w:val="24"/>
        </w:rPr>
        <w:t xml:space="preserve"> con las obligaciones que le asistían</w:t>
      </w:r>
      <w:r w:rsidR="00E60672" w:rsidRPr="00CC1633">
        <w:rPr>
          <w:rFonts w:ascii="Arial" w:hAnsi="Arial" w:cs="Arial"/>
          <w:szCs w:val="24"/>
        </w:rPr>
        <w:t xml:space="preserve"> de brindarle </w:t>
      </w:r>
      <w:r w:rsidRPr="00CC1633">
        <w:rPr>
          <w:rFonts w:ascii="Arial" w:hAnsi="Arial" w:cs="Arial"/>
          <w:szCs w:val="24"/>
        </w:rPr>
        <w:t>información</w:t>
      </w:r>
      <w:r w:rsidR="00AA0A98" w:rsidRPr="00CC1633">
        <w:rPr>
          <w:rFonts w:ascii="Arial" w:hAnsi="Arial" w:cs="Arial"/>
          <w:szCs w:val="24"/>
        </w:rPr>
        <w:t xml:space="preserve"> </w:t>
      </w:r>
      <w:r w:rsidR="008E5D10" w:rsidRPr="00CC1633">
        <w:rPr>
          <w:rFonts w:ascii="Arial" w:hAnsi="Arial" w:cs="Arial"/>
          <w:szCs w:val="24"/>
        </w:rPr>
        <w:t xml:space="preserve">cierta, completa y veraz que le permitiera tomar una decisión </w:t>
      </w:r>
      <w:r w:rsidR="00AA0A98" w:rsidRPr="00CC1633">
        <w:rPr>
          <w:rFonts w:ascii="Arial" w:hAnsi="Arial" w:cs="Arial"/>
          <w:szCs w:val="24"/>
        </w:rPr>
        <w:t>libre</w:t>
      </w:r>
      <w:r w:rsidR="00E60672" w:rsidRPr="00CC1633">
        <w:rPr>
          <w:rFonts w:ascii="Arial" w:hAnsi="Arial" w:cs="Arial"/>
          <w:szCs w:val="24"/>
        </w:rPr>
        <w:t xml:space="preserve">, espontanea y sin presiones, y conocer las </w:t>
      </w:r>
      <w:r w:rsidR="00AA0A98" w:rsidRPr="00CC1633">
        <w:rPr>
          <w:rFonts w:ascii="Arial" w:hAnsi="Arial" w:cs="Arial"/>
          <w:szCs w:val="24"/>
        </w:rPr>
        <w:t xml:space="preserve">consecuencias </w:t>
      </w:r>
      <w:r w:rsidR="00E60672" w:rsidRPr="00CC1633">
        <w:rPr>
          <w:rFonts w:ascii="Arial" w:hAnsi="Arial" w:cs="Arial"/>
          <w:szCs w:val="24"/>
        </w:rPr>
        <w:t xml:space="preserve">jurídicas </w:t>
      </w:r>
      <w:r w:rsidR="00AA0A98" w:rsidRPr="00CC1633">
        <w:rPr>
          <w:rFonts w:ascii="Arial" w:hAnsi="Arial" w:cs="Arial"/>
          <w:szCs w:val="24"/>
        </w:rPr>
        <w:t>del traslado</w:t>
      </w:r>
      <w:r w:rsidR="00E60672" w:rsidRPr="00CC1633">
        <w:rPr>
          <w:rFonts w:ascii="Arial" w:hAnsi="Arial" w:cs="Arial"/>
          <w:szCs w:val="24"/>
        </w:rPr>
        <w:t xml:space="preserve"> de régimen.</w:t>
      </w:r>
    </w:p>
    <w:p w14:paraId="0084FA4E" w14:textId="7B1ECCDD" w:rsidR="00020E6D" w:rsidRPr="00CC1633" w:rsidRDefault="00020E6D" w:rsidP="00A71BD5">
      <w:pPr>
        <w:spacing w:line="276" w:lineRule="auto"/>
        <w:jc w:val="both"/>
        <w:rPr>
          <w:rFonts w:ascii="Arial" w:hAnsi="Arial" w:cs="Arial"/>
          <w:szCs w:val="24"/>
        </w:rPr>
      </w:pPr>
    </w:p>
    <w:p w14:paraId="67A6443A" w14:textId="7ADADBFA" w:rsidR="00020E6D" w:rsidRPr="00CC1633" w:rsidRDefault="008E5D10" w:rsidP="00A71BD5">
      <w:pPr>
        <w:spacing w:line="276" w:lineRule="auto"/>
        <w:jc w:val="both"/>
        <w:rPr>
          <w:rFonts w:ascii="Arial" w:hAnsi="Arial" w:cs="Arial"/>
          <w:szCs w:val="24"/>
        </w:rPr>
      </w:pPr>
      <w:r w:rsidRPr="00CC1633">
        <w:rPr>
          <w:rFonts w:ascii="Arial" w:hAnsi="Arial" w:cs="Arial"/>
          <w:szCs w:val="24"/>
        </w:rPr>
        <w:t xml:space="preserve">Para resolver, la Sala deberá determinar en primer lugar </w:t>
      </w:r>
      <w:r w:rsidR="006C70AF" w:rsidRPr="00CC1633">
        <w:rPr>
          <w:rFonts w:ascii="Arial" w:hAnsi="Arial" w:cs="Arial"/>
          <w:szCs w:val="24"/>
        </w:rPr>
        <w:t xml:space="preserve">si </w:t>
      </w:r>
      <w:r w:rsidR="0043719E" w:rsidRPr="00CC1633">
        <w:rPr>
          <w:rFonts w:ascii="Arial" w:hAnsi="Arial" w:cs="Arial"/>
          <w:szCs w:val="24"/>
        </w:rPr>
        <w:t xml:space="preserve">la operadora judicial de </w:t>
      </w:r>
      <w:r w:rsidR="006C70AF" w:rsidRPr="00CC1633">
        <w:rPr>
          <w:rFonts w:ascii="Arial" w:hAnsi="Arial" w:cs="Arial"/>
          <w:szCs w:val="24"/>
        </w:rPr>
        <w:t xml:space="preserve">primera instancia erró </w:t>
      </w:r>
      <w:r w:rsidR="00E60672" w:rsidRPr="00CC1633">
        <w:rPr>
          <w:rFonts w:ascii="Arial" w:hAnsi="Arial" w:cs="Arial"/>
          <w:szCs w:val="24"/>
        </w:rPr>
        <w:t xml:space="preserve">al </w:t>
      </w:r>
      <w:r w:rsidR="006C70AF" w:rsidRPr="00CC1633">
        <w:rPr>
          <w:rFonts w:ascii="Arial" w:hAnsi="Arial" w:cs="Arial"/>
          <w:szCs w:val="24"/>
        </w:rPr>
        <w:t>negar la ineficacia del traslado</w:t>
      </w:r>
      <w:r w:rsidR="00E539DE" w:rsidRPr="00CC1633">
        <w:rPr>
          <w:rFonts w:ascii="Arial" w:hAnsi="Arial" w:cs="Arial"/>
          <w:szCs w:val="24"/>
        </w:rPr>
        <w:t xml:space="preserve"> de régimen,</w:t>
      </w:r>
      <w:r w:rsidR="006C70AF" w:rsidRPr="00CC1633">
        <w:rPr>
          <w:rFonts w:ascii="Arial" w:hAnsi="Arial" w:cs="Arial"/>
          <w:szCs w:val="24"/>
        </w:rPr>
        <w:t xml:space="preserve"> al efectuar una aplicación equivocada de la institución de la confesión ficta y de los principios del derecho probatorio, </w:t>
      </w:r>
      <w:r w:rsidRPr="00CC1633">
        <w:rPr>
          <w:rFonts w:ascii="Arial" w:hAnsi="Arial" w:cs="Arial"/>
          <w:szCs w:val="24"/>
        </w:rPr>
        <w:t xml:space="preserve">para lo cual se hace necesario acudir a </w:t>
      </w:r>
      <w:r w:rsidR="006C70AF" w:rsidRPr="00CC1633">
        <w:rPr>
          <w:rFonts w:ascii="Arial" w:hAnsi="Arial" w:cs="Arial"/>
          <w:szCs w:val="24"/>
        </w:rPr>
        <w:t>lo lineado en sentencia CSJ SL, del 24 de abril de 2013, radicación 42192, reiterada en sentencia SL16082 de 2015 y 2190 de 2019</w:t>
      </w:r>
      <w:r w:rsidRPr="00CC1633">
        <w:rPr>
          <w:rFonts w:ascii="Arial" w:hAnsi="Arial" w:cs="Arial"/>
          <w:szCs w:val="24"/>
        </w:rPr>
        <w:t>, en la que se preceptuó lo siguiente</w:t>
      </w:r>
      <w:r w:rsidR="006C70AF" w:rsidRPr="00CC1633">
        <w:rPr>
          <w:rFonts w:ascii="Arial" w:hAnsi="Arial" w:cs="Arial"/>
          <w:szCs w:val="24"/>
        </w:rPr>
        <w:t>:</w:t>
      </w:r>
    </w:p>
    <w:p w14:paraId="74EF40C2" w14:textId="19944678" w:rsidR="006C70AF" w:rsidRPr="00CC1633" w:rsidRDefault="006C70AF" w:rsidP="00A71BD5">
      <w:pPr>
        <w:spacing w:line="276" w:lineRule="auto"/>
        <w:jc w:val="both"/>
        <w:rPr>
          <w:rFonts w:ascii="Arial" w:hAnsi="Arial" w:cs="Arial"/>
          <w:szCs w:val="24"/>
        </w:rPr>
      </w:pPr>
    </w:p>
    <w:p w14:paraId="0BC05D5B" w14:textId="4A83135B" w:rsidR="006C70AF" w:rsidRPr="00CC1633" w:rsidRDefault="006C70AF" w:rsidP="00A71BD5">
      <w:pPr>
        <w:overflowPunct w:val="0"/>
        <w:autoSpaceDE w:val="0"/>
        <w:autoSpaceDN w:val="0"/>
        <w:adjustRightInd w:val="0"/>
        <w:ind w:left="426" w:right="420"/>
        <w:jc w:val="both"/>
        <w:textAlignment w:val="baseline"/>
        <w:rPr>
          <w:rFonts w:ascii="Arial" w:hAnsi="Arial" w:cs="Arial"/>
          <w:sz w:val="22"/>
          <w:szCs w:val="24"/>
        </w:rPr>
      </w:pPr>
      <w:r w:rsidRPr="00CC1633">
        <w:rPr>
          <w:rFonts w:ascii="Arial" w:hAnsi="Arial" w:cs="Arial"/>
          <w:sz w:val="22"/>
          <w:szCs w:val="24"/>
        </w:rPr>
        <w:t>“(…) conforme al principio de consonancia que contempla el artículo 66 A del CPTSS, la competencia del Tribunal se encuentra circunscrita a las materias objeto del recurso, sin que, por tal motivo, se vea éste limitado por los argumentos que al respecto le presenten las partes, pues en la valoración de las pruebas y calificación jurídica de los hechos el juez es autónomo, estando sometido tan solo a la libre formación del convencimiento conforme a los principios científicos que informan la crítica de las pruebas, para lo primero, y a la ley, para lo segundo (…)</w:t>
      </w:r>
      <w:r w:rsidR="00E539DE" w:rsidRPr="00CC1633">
        <w:rPr>
          <w:rFonts w:ascii="Arial" w:hAnsi="Arial" w:cs="Arial"/>
          <w:sz w:val="22"/>
          <w:szCs w:val="24"/>
        </w:rPr>
        <w:tab/>
      </w:r>
      <w:r w:rsidRPr="00CC1633">
        <w:rPr>
          <w:rFonts w:ascii="Arial" w:hAnsi="Arial" w:cs="Arial"/>
          <w:sz w:val="22"/>
          <w:szCs w:val="24"/>
        </w:rPr>
        <w:t>.</w:t>
      </w:r>
    </w:p>
    <w:p w14:paraId="6DCA2D18" w14:textId="77777777" w:rsidR="006C70AF" w:rsidRPr="00CC1633" w:rsidRDefault="006C70AF" w:rsidP="00A71BD5">
      <w:pPr>
        <w:tabs>
          <w:tab w:val="left" w:pos="-1440"/>
          <w:tab w:val="left" w:pos="-720"/>
          <w:tab w:val="left" w:pos="2160"/>
        </w:tabs>
        <w:suppressAutoHyphens/>
        <w:ind w:left="426" w:right="420" w:firstLine="709"/>
        <w:jc w:val="both"/>
        <w:rPr>
          <w:rFonts w:ascii="Arial" w:hAnsi="Arial" w:cs="Arial"/>
          <w:sz w:val="22"/>
          <w:szCs w:val="24"/>
        </w:rPr>
      </w:pPr>
    </w:p>
    <w:p w14:paraId="0030E50A" w14:textId="752E890F" w:rsidR="006C70AF" w:rsidRPr="00CC1633" w:rsidRDefault="006C70AF" w:rsidP="00A71BD5">
      <w:pPr>
        <w:tabs>
          <w:tab w:val="left" w:pos="-1440"/>
          <w:tab w:val="left" w:pos="-720"/>
          <w:tab w:val="left" w:pos="2160"/>
        </w:tabs>
        <w:suppressAutoHyphens/>
        <w:ind w:left="426" w:right="420" w:firstLine="1"/>
        <w:jc w:val="both"/>
        <w:rPr>
          <w:rFonts w:ascii="Arial" w:hAnsi="Arial" w:cs="Arial"/>
          <w:sz w:val="22"/>
          <w:szCs w:val="24"/>
        </w:rPr>
      </w:pPr>
      <w:r w:rsidRPr="00CC1633">
        <w:rPr>
          <w:rFonts w:ascii="Arial" w:hAnsi="Arial" w:cs="Arial"/>
          <w:sz w:val="22"/>
          <w:szCs w:val="24"/>
        </w:rPr>
        <w:t xml:space="preserve">De modo que ni los razonamientos fácticos ni los jurídicos, constituyen limitaciones para el Tribunal a efectos de resolver la apelación, pues lo que le compromete del fallo de la primera instancia y de la impugnación, salvo razones de </w:t>
      </w:r>
      <w:proofErr w:type="spellStart"/>
      <w:r w:rsidRPr="00CC1633">
        <w:rPr>
          <w:rFonts w:ascii="Arial" w:hAnsi="Arial" w:cs="Arial"/>
          <w:sz w:val="22"/>
          <w:szCs w:val="24"/>
        </w:rPr>
        <w:t>inescindibilidad</w:t>
      </w:r>
      <w:proofErr w:type="spellEnd"/>
      <w:r w:rsidRPr="00CC1633">
        <w:rPr>
          <w:rFonts w:ascii="Arial" w:hAnsi="Arial" w:cs="Arial"/>
          <w:sz w:val="22"/>
          <w:szCs w:val="24"/>
        </w:rPr>
        <w:t xml:space="preserve"> o de orden superior como la protección de los derechos laborales mínimos legales o los ciertos e indiscutibles, son las materias que hubieren sido objeto del recurso.”</w:t>
      </w:r>
    </w:p>
    <w:p w14:paraId="6ECF52B9" w14:textId="77777777" w:rsidR="006C70AF" w:rsidRPr="00CC1633" w:rsidRDefault="006C70AF" w:rsidP="00A71BD5">
      <w:pPr>
        <w:spacing w:line="276" w:lineRule="auto"/>
        <w:ind w:firstLine="708"/>
        <w:jc w:val="both"/>
        <w:rPr>
          <w:rFonts w:ascii="Arial" w:hAnsi="Arial" w:cs="Arial"/>
          <w:szCs w:val="24"/>
        </w:rPr>
      </w:pPr>
    </w:p>
    <w:p w14:paraId="6D037CC4" w14:textId="65086E96" w:rsidR="00524634" w:rsidRPr="00CC1633" w:rsidRDefault="00E539DE" w:rsidP="00A71BD5">
      <w:pPr>
        <w:spacing w:line="276" w:lineRule="auto"/>
        <w:jc w:val="both"/>
        <w:rPr>
          <w:rFonts w:ascii="Arial" w:hAnsi="Arial" w:cs="Arial"/>
          <w:szCs w:val="24"/>
        </w:rPr>
      </w:pPr>
      <w:r w:rsidRPr="00CC1633">
        <w:rPr>
          <w:rFonts w:ascii="Arial" w:hAnsi="Arial" w:cs="Arial"/>
          <w:szCs w:val="24"/>
        </w:rPr>
        <w:t xml:space="preserve">Así pues, </w:t>
      </w:r>
      <w:r w:rsidR="00507177" w:rsidRPr="00CC1633">
        <w:rPr>
          <w:rFonts w:ascii="Arial" w:hAnsi="Arial" w:cs="Arial"/>
          <w:szCs w:val="24"/>
        </w:rPr>
        <w:t xml:space="preserve">supeditada </w:t>
      </w:r>
      <w:r w:rsidR="0043719E" w:rsidRPr="00CC1633">
        <w:rPr>
          <w:rFonts w:ascii="Arial" w:hAnsi="Arial" w:cs="Arial"/>
          <w:szCs w:val="24"/>
        </w:rPr>
        <w:t>l</w:t>
      </w:r>
      <w:r w:rsidR="00507177" w:rsidRPr="00CC1633">
        <w:rPr>
          <w:rFonts w:ascii="Arial" w:hAnsi="Arial" w:cs="Arial"/>
          <w:szCs w:val="24"/>
        </w:rPr>
        <w:t xml:space="preserve">a colegiatura a la temática planteada y no a los pedimentos, razonamientos y alegaciones jurídicas y fácticas del apelante, ni a las del juzgado, la figura empleada por la jueza </w:t>
      </w:r>
      <w:r w:rsidR="00507177" w:rsidRPr="00CC1633">
        <w:rPr>
          <w:rFonts w:ascii="Arial" w:hAnsi="Arial" w:cs="Arial"/>
          <w:i/>
          <w:iCs/>
          <w:szCs w:val="24"/>
        </w:rPr>
        <w:t xml:space="preserve">a quo </w:t>
      </w:r>
      <w:r w:rsidR="00507177" w:rsidRPr="00CC1633">
        <w:rPr>
          <w:rFonts w:ascii="Arial" w:hAnsi="Arial" w:cs="Arial"/>
          <w:szCs w:val="24"/>
        </w:rPr>
        <w:t xml:space="preserve">invita a recordar, siquiera someramente, que el artículo 77 del Código Procesal del Trabajo y de la Seguridad Social, consagra que </w:t>
      </w:r>
      <w:r w:rsidR="00524634" w:rsidRPr="00CC1633">
        <w:rPr>
          <w:rFonts w:ascii="Arial" w:hAnsi="Arial" w:cs="Arial"/>
          <w:i/>
          <w:iCs/>
          <w:szCs w:val="24"/>
        </w:rPr>
        <w:t>“</w:t>
      </w:r>
      <w:r w:rsidR="00524634" w:rsidRPr="00CC1633">
        <w:rPr>
          <w:rFonts w:ascii="Arial" w:hAnsi="Arial" w:cs="Arial"/>
          <w:i/>
          <w:iCs/>
          <w:sz w:val="22"/>
          <w:szCs w:val="24"/>
        </w:rPr>
        <w:t>si el demandante o el demandado, no concurren a la audiencia de conciliación, el juez la declarará clausurada</w:t>
      </w:r>
      <w:r w:rsidR="00524634" w:rsidRPr="00CC1633">
        <w:rPr>
          <w:rFonts w:ascii="Arial" w:hAnsi="Arial" w:cs="Arial"/>
          <w:i/>
          <w:iCs/>
          <w:szCs w:val="24"/>
        </w:rPr>
        <w:t xml:space="preserve">” </w:t>
      </w:r>
      <w:r w:rsidR="00524634" w:rsidRPr="00CC1633">
        <w:rPr>
          <w:rFonts w:ascii="Arial" w:hAnsi="Arial" w:cs="Arial"/>
          <w:szCs w:val="24"/>
        </w:rPr>
        <w:t xml:space="preserve">y como consecuencias procesales, si se trata del demandante, </w:t>
      </w:r>
      <w:r w:rsidR="00524634" w:rsidRPr="00CC1633">
        <w:rPr>
          <w:rFonts w:ascii="Arial" w:hAnsi="Arial" w:cs="Arial"/>
          <w:i/>
          <w:iCs/>
          <w:szCs w:val="24"/>
        </w:rPr>
        <w:t>“</w:t>
      </w:r>
      <w:r w:rsidR="00524634" w:rsidRPr="00CC1633">
        <w:rPr>
          <w:rFonts w:ascii="Arial" w:hAnsi="Arial" w:cs="Arial"/>
          <w:i/>
          <w:iCs/>
          <w:sz w:val="22"/>
          <w:szCs w:val="24"/>
        </w:rPr>
        <w:t xml:space="preserve">se presumirán ciertos </w:t>
      </w:r>
      <w:r w:rsidR="00524634" w:rsidRPr="00CC1633">
        <w:rPr>
          <w:rFonts w:ascii="Arial" w:hAnsi="Arial" w:cs="Arial"/>
          <w:b/>
          <w:bCs/>
          <w:i/>
          <w:iCs/>
          <w:sz w:val="22"/>
          <w:szCs w:val="24"/>
        </w:rPr>
        <w:t>los hechos susceptibles de confesión</w:t>
      </w:r>
      <w:r w:rsidR="00524634" w:rsidRPr="00CC1633">
        <w:rPr>
          <w:rFonts w:ascii="Arial" w:hAnsi="Arial" w:cs="Arial"/>
          <w:i/>
          <w:iCs/>
          <w:sz w:val="22"/>
          <w:szCs w:val="24"/>
        </w:rPr>
        <w:t xml:space="preserve"> contenidos en la demanda y en las excepciones de mérito</w:t>
      </w:r>
      <w:r w:rsidR="00524634" w:rsidRPr="00CC1633">
        <w:rPr>
          <w:rFonts w:ascii="Arial" w:hAnsi="Arial" w:cs="Arial"/>
          <w:szCs w:val="24"/>
        </w:rPr>
        <w:t>”</w:t>
      </w:r>
      <w:r w:rsidR="00827764" w:rsidRPr="00CC1633">
        <w:rPr>
          <w:rFonts w:ascii="Arial" w:hAnsi="Arial" w:cs="Arial"/>
          <w:szCs w:val="24"/>
        </w:rPr>
        <w:t>;</w:t>
      </w:r>
      <w:r w:rsidR="00524634" w:rsidRPr="00CC1633">
        <w:rPr>
          <w:rFonts w:ascii="Arial" w:hAnsi="Arial" w:cs="Arial"/>
          <w:szCs w:val="24"/>
        </w:rPr>
        <w:t xml:space="preserve"> </w:t>
      </w:r>
      <w:r w:rsidR="00E60672" w:rsidRPr="00CC1633">
        <w:rPr>
          <w:rFonts w:ascii="Arial" w:hAnsi="Arial" w:cs="Arial"/>
          <w:szCs w:val="24"/>
        </w:rPr>
        <w:t xml:space="preserve">y </w:t>
      </w:r>
      <w:r w:rsidR="00524634" w:rsidRPr="00CC1633">
        <w:rPr>
          <w:rFonts w:ascii="Arial" w:hAnsi="Arial" w:cs="Arial"/>
          <w:szCs w:val="24"/>
        </w:rPr>
        <w:t xml:space="preserve">si se trata del demandado, </w:t>
      </w:r>
      <w:r w:rsidR="00524634" w:rsidRPr="00CC1633">
        <w:rPr>
          <w:rFonts w:ascii="Arial" w:hAnsi="Arial" w:cs="Arial"/>
          <w:i/>
          <w:iCs/>
          <w:szCs w:val="24"/>
        </w:rPr>
        <w:t>“</w:t>
      </w:r>
      <w:r w:rsidR="00524634" w:rsidRPr="00CC1633">
        <w:rPr>
          <w:rFonts w:ascii="Arial" w:hAnsi="Arial" w:cs="Arial"/>
          <w:i/>
          <w:iCs/>
          <w:sz w:val="22"/>
          <w:szCs w:val="24"/>
        </w:rPr>
        <w:t xml:space="preserve">se presumirán ciertos </w:t>
      </w:r>
      <w:r w:rsidR="00524634" w:rsidRPr="00CC1633">
        <w:rPr>
          <w:rFonts w:ascii="Arial" w:hAnsi="Arial" w:cs="Arial"/>
          <w:bCs/>
          <w:i/>
          <w:iCs/>
          <w:sz w:val="22"/>
          <w:szCs w:val="24"/>
        </w:rPr>
        <w:t>los hecho</w:t>
      </w:r>
      <w:r w:rsidR="00524634" w:rsidRPr="00CC1633">
        <w:rPr>
          <w:rFonts w:ascii="Arial" w:hAnsi="Arial" w:cs="Arial"/>
          <w:i/>
          <w:iCs/>
          <w:sz w:val="22"/>
          <w:szCs w:val="24"/>
        </w:rPr>
        <w:t xml:space="preserve">s de la demanda </w:t>
      </w:r>
      <w:r w:rsidR="00524634" w:rsidRPr="00CC1633">
        <w:rPr>
          <w:rFonts w:ascii="Arial" w:hAnsi="Arial" w:cs="Arial"/>
          <w:bCs/>
          <w:i/>
          <w:iCs/>
          <w:sz w:val="22"/>
          <w:szCs w:val="24"/>
        </w:rPr>
        <w:t>susceptibles de confesión</w:t>
      </w:r>
      <w:r w:rsidR="00524634" w:rsidRPr="00CC1633">
        <w:rPr>
          <w:rFonts w:ascii="Arial" w:hAnsi="Arial" w:cs="Arial"/>
          <w:i/>
          <w:iCs/>
          <w:szCs w:val="24"/>
        </w:rPr>
        <w:t>”</w:t>
      </w:r>
      <w:r w:rsidR="00524634" w:rsidRPr="00CC1633">
        <w:rPr>
          <w:rFonts w:ascii="Arial" w:hAnsi="Arial" w:cs="Arial"/>
          <w:szCs w:val="24"/>
        </w:rPr>
        <w:t xml:space="preserve">, y cuando los hechos no admitan confesión, la no comparecencia debe apreciarse como indicio grave en su contra. </w:t>
      </w:r>
    </w:p>
    <w:p w14:paraId="72679781" w14:textId="7FE6E79F" w:rsidR="00524634" w:rsidRPr="00CC1633" w:rsidRDefault="00524634" w:rsidP="00A71BD5">
      <w:pPr>
        <w:spacing w:line="276" w:lineRule="auto"/>
        <w:jc w:val="both"/>
        <w:rPr>
          <w:rFonts w:ascii="Arial" w:hAnsi="Arial" w:cs="Arial"/>
          <w:szCs w:val="24"/>
        </w:rPr>
      </w:pPr>
    </w:p>
    <w:p w14:paraId="104E5FEF" w14:textId="01DFB1C8" w:rsidR="00827764" w:rsidRPr="00CC1633" w:rsidRDefault="00827764" w:rsidP="00A71BD5">
      <w:pPr>
        <w:spacing w:line="276" w:lineRule="auto"/>
        <w:jc w:val="both"/>
        <w:rPr>
          <w:rFonts w:ascii="Arial" w:hAnsi="Arial" w:cs="Arial"/>
          <w:szCs w:val="24"/>
        </w:rPr>
      </w:pPr>
      <w:r w:rsidRPr="00CC1633">
        <w:rPr>
          <w:rFonts w:ascii="Arial" w:hAnsi="Arial" w:cs="Arial"/>
          <w:szCs w:val="24"/>
        </w:rPr>
        <w:t xml:space="preserve">En lo que interesa a esta causa, son entonces dos los aspectos que conviene resaltar de la norma en cita. En primer lugar, debe tenerse en cuenta que la aplicación de la sanción procesal en comento tiene como presupuesto la comparecencia de una de </w:t>
      </w:r>
      <w:r w:rsidR="00E60672" w:rsidRPr="00CC1633">
        <w:rPr>
          <w:rFonts w:ascii="Arial" w:hAnsi="Arial" w:cs="Arial"/>
          <w:szCs w:val="24"/>
        </w:rPr>
        <w:t xml:space="preserve">las </w:t>
      </w:r>
      <w:r w:rsidRPr="00CC1633">
        <w:rPr>
          <w:rFonts w:ascii="Arial" w:hAnsi="Arial" w:cs="Arial"/>
          <w:szCs w:val="24"/>
        </w:rPr>
        <w:t>partes a la audiencia y la inasistencia de la otra</w:t>
      </w:r>
      <w:r w:rsidR="00054D4B" w:rsidRPr="00CC1633">
        <w:rPr>
          <w:rFonts w:ascii="Arial" w:hAnsi="Arial" w:cs="Arial"/>
          <w:szCs w:val="24"/>
        </w:rPr>
        <w:t xml:space="preserve">; de manera que, tanto cuando ambas asisten </w:t>
      </w:r>
      <w:r w:rsidR="00E60672" w:rsidRPr="00CC1633">
        <w:rPr>
          <w:rFonts w:ascii="Arial" w:hAnsi="Arial" w:cs="Arial"/>
          <w:szCs w:val="24"/>
        </w:rPr>
        <w:t xml:space="preserve">conjuntamente </w:t>
      </w:r>
      <w:r w:rsidR="00054D4B" w:rsidRPr="00CC1633">
        <w:rPr>
          <w:rFonts w:ascii="Arial" w:hAnsi="Arial" w:cs="Arial"/>
          <w:szCs w:val="24"/>
        </w:rPr>
        <w:t xml:space="preserve">como cuando no lo hacen, la medida es improcedente. </w:t>
      </w:r>
    </w:p>
    <w:p w14:paraId="792E7B0E" w14:textId="0733C273" w:rsidR="00054D4B" w:rsidRPr="00CC1633" w:rsidRDefault="00054D4B" w:rsidP="00A71BD5">
      <w:pPr>
        <w:spacing w:line="276" w:lineRule="auto"/>
        <w:jc w:val="both"/>
        <w:rPr>
          <w:rFonts w:ascii="Arial" w:hAnsi="Arial" w:cs="Arial"/>
          <w:szCs w:val="24"/>
        </w:rPr>
      </w:pPr>
    </w:p>
    <w:p w14:paraId="7F937583" w14:textId="5A623EB9" w:rsidR="00763553" w:rsidRPr="00CC1633" w:rsidRDefault="00054D4B" w:rsidP="00A71BD5">
      <w:pPr>
        <w:spacing w:line="276" w:lineRule="auto"/>
        <w:jc w:val="both"/>
        <w:rPr>
          <w:rFonts w:ascii="Arial" w:hAnsi="Arial" w:cs="Arial"/>
          <w:szCs w:val="24"/>
        </w:rPr>
      </w:pPr>
      <w:r w:rsidRPr="00CC1633">
        <w:rPr>
          <w:rFonts w:ascii="Arial" w:hAnsi="Arial" w:cs="Arial"/>
          <w:szCs w:val="24"/>
        </w:rPr>
        <w:t>En segundo lugar, debe destacarse que aquello sobre lo que opera la confesión ficta, es sobre hechos</w:t>
      </w:r>
      <w:r w:rsidRPr="00CC1633">
        <w:rPr>
          <w:rFonts w:ascii="Arial" w:hAnsi="Arial" w:cs="Arial"/>
          <w:i/>
          <w:iCs/>
          <w:szCs w:val="24"/>
        </w:rPr>
        <w:t xml:space="preserve"> </w:t>
      </w:r>
      <w:r w:rsidRPr="00CC1633">
        <w:rPr>
          <w:rFonts w:ascii="Arial" w:hAnsi="Arial" w:cs="Arial"/>
          <w:szCs w:val="24"/>
        </w:rPr>
        <w:t xml:space="preserve">susceptibles de confesión. </w:t>
      </w:r>
      <w:r w:rsidR="00CC511D" w:rsidRPr="00CC1633">
        <w:rPr>
          <w:rFonts w:ascii="Arial" w:hAnsi="Arial" w:cs="Arial"/>
          <w:szCs w:val="24"/>
        </w:rPr>
        <w:t xml:space="preserve"> </w:t>
      </w:r>
      <w:r w:rsidR="00763553" w:rsidRPr="00CC1633">
        <w:rPr>
          <w:rFonts w:ascii="Arial" w:hAnsi="Arial" w:cs="Arial"/>
          <w:szCs w:val="24"/>
        </w:rPr>
        <w:t>Esto significa</w:t>
      </w:r>
      <w:r w:rsidRPr="00CC1633">
        <w:rPr>
          <w:rFonts w:ascii="Arial" w:hAnsi="Arial" w:cs="Arial"/>
          <w:szCs w:val="24"/>
        </w:rPr>
        <w:t>, de una parte, que debe circunscribirse a acciones, omisiones o si se quiere a sucesos acaecidos en la realidad</w:t>
      </w:r>
      <w:r w:rsidR="0007228C" w:rsidRPr="00CC1633">
        <w:rPr>
          <w:rFonts w:ascii="Arial" w:hAnsi="Arial" w:cs="Arial"/>
          <w:szCs w:val="24"/>
        </w:rPr>
        <w:t xml:space="preserve"> capaces de producir efectos jurídicos</w:t>
      </w:r>
      <w:r w:rsidRPr="00CC1633">
        <w:rPr>
          <w:rFonts w:ascii="Arial" w:hAnsi="Arial" w:cs="Arial"/>
          <w:szCs w:val="24"/>
        </w:rPr>
        <w:t xml:space="preserve"> </w:t>
      </w:r>
      <w:r w:rsidR="00C24FFB" w:rsidRPr="00CC1633">
        <w:rPr>
          <w:rFonts w:ascii="Arial" w:hAnsi="Arial" w:cs="Arial"/>
          <w:szCs w:val="24"/>
        </w:rPr>
        <w:t>y no</w:t>
      </w:r>
      <w:r w:rsidR="32108CC0" w:rsidRPr="00CC1633">
        <w:rPr>
          <w:rFonts w:ascii="Arial" w:hAnsi="Arial" w:cs="Arial"/>
          <w:szCs w:val="24"/>
        </w:rPr>
        <w:t>,</w:t>
      </w:r>
      <w:r w:rsidR="00C24FFB" w:rsidRPr="00CC1633">
        <w:rPr>
          <w:rFonts w:ascii="Arial" w:hAnsi="Arial" w:cs="Arial"/>
          <w:szCs w:val="24"/>
        </w:rPr>
        <w:t xml:space="preserve"> a su calificación jurídica</w:t>
      </w:r>
      <w:r w:rsidR="00763553" w:rsidRPr="00CC1633">
        <w:rPr>
          <w:rFonts w:ascii="Arial" w:hAnsi="Arial" w:cs="Arial"/>
          <w:szCs w:val="24"/>
        </w:rPr>
        <w:t>. Es al juez a quien le corresponde hacerl</w:t>
      </w:r>
      <w:r w:rsidR="13A4EE8B" w:rsidRPr="00CC1633">
        <w:rPr>
          <w:rFonts w:ascii="Arial" w:hAnsi="Arial" w:cs="Arial"/>
          <w:szCs w:val="24"/>
        </w:rPr>
        <w:t>a</w:t>
      </w:r>
      <w:r w:rsidR="00763553" w:rsidRPr="00CC1633">
        <w:rPr>
          <w:rFonts w:ascii="Arial" w:hAnsi="Arial" w:cs="Arial"/>
          <w:szCs w:val="24"/>
        </w:rPr>
        <w:t>. “</w:t>
      </w:r>
      <w:r w:rsidR="00763553" w:rsidRPr="00CC1633">
        <w:rPr>
          <w:rFonts w:ascii="Arial" w:hAnsi="Arial" w:cs="Arial"/>
          <w:i/>
          <w:sz w:val="22"/>
          <w:szCs w:val="24"/>
        </w:rPr>
        <w:t>La gestión de las partes termina con la demostración de los hechos, pues con ella comienza la función jurisdiccional de enfrentarlos con los preceptos en orden a decidir las situaciones jurídicas concretas</w:t>
      </w:r>
      <w:r w:rsidR="00763553" w:rsidRPr="00CC1633">
        <w:rPr>
          <w:rFonts w:ascii="Arial" w:hAnsi="Arial" w:cs="Arial"/>
          <w:i/>
          <w:szCs w:val="24"/>
        </w:rPr>
        <w:t>.</w:t>
      </w:r>
      <w:r w:rsidR="00763553" w:rsidRPr="00CC1633">
        <w:rPr>
          <w:rFonts w:ascii="Arial" w:hAnsi="Arial" w:cs="Arial"/>
          <w:szCs w:val="24"/>
        </w:rPr>
        <w:t>” (CSJ SC Sentencia de 14 de abril de 1947</w:t>
      </w:r>
      <w:r w:rsidR="00CC511D" w:rsidRPr="00CC1633">
        <w:rPr>
          <w:rFonts w:ascii="Arial" w:hAnsi="Arial" w:cs="Arial"/>
          <w:szCs w:val="24"/>
        </w:rPr>
        <w:t xml:space="preserve">) </w:t>
      </w:r>
    </w:p>
    <w:p w14:paraId="22164BDB" w14:textId="77777777" w:rsidR="00763553" w:rsidRPr="00CC1633" w:rsidRDefault="00763553" w:rsidP="00A71BD5">
      <w:pPr>
        <w:spacing w:line="276" w:lineRule="auto"/>
        <w:jc w:val="both"/>
        <w:rPr>
          <w:rFonts w:ascii="Arial" w:hAnsi="Arial" w:cs="Arial"/>
          <w:szCs w:val="24"/>
        </w:rPr>
      </w:pPr>
    </w:p>
    <w:p w14:paraId="67B75AB7" w14:textId="38D1BC43" w:rsidR="00054D4B" w:rsidRPr="00CC1633" w:rsidRDefault="00C24FFB" w:rsidP="00A71BD5">
      <w:pPr>
        <w:spacing w:line="276" w:lineRule="auto"/>
        <w:jc w:val="both"/>
        <w:rPr>
          <w:rFonts w:ascii="Arial" w:hAnsi="Arial" w:cs="Arial"/>
          <w:szCs w:val="24"/>
        </w:rPr>
      </w:pPr>
      <w:r w:rsidRPr="00CC1633">
        <w:rPr>
          <w:rFonts w:ascii="Arial" w:hAnsi="Arial" w:cs="Arial"/>
          <w:szCs w:val="24"/>
        </w:rPr>
        <w:t xml:space="preserve">De otra parte, </w:t>
      </w:r>
      <w:r w:rsidR="00E60672" w:rsidRPr="00CC1633">
        <w:rPr>
          <w:rFonts w:ascii="Arial" w:hAnsi="Arial" w:cs="Arial"/>
          <w:szCs w:val="24"/>
        </w:rPr>
        <w:t xml:space="preserve">es preciso indicar </w:t>
      </w:r>
      <w:r w:rsidRPr="00CC1633">
        <w:rPr>
          <w:rFonts w:ascii="Arial" w:hAnsi="Arial" w:cs="Arial"/>
          <w:szCs w:val="24"/>
        </w:rPr>
        <w:t xml:space="preserve">que los hechos que pueden presumirse ciertos, necesariamente deben reunir los requisitos </w:t>
      </w:r>
      <w:r w:rsidR="00EF6BEF" w:rsidRPr="00CC1633">
        <w:rPr>
          <w:rFonts w:ascii="Arial" w:hAnsi="Arial" w:cs="Arial"/>
          <w:szCs w:val="24"/>
        </w:rPr>
        <w:t xml:space="preserve">de la confesión establecidos en el artículo 191 del Código General del proceso, </w:t>
      </w:r>
      <w:r w:rsidR="00E60672" w:rsidRPr="00CC1633">
        <w:rPr>
          <w:rFonts w:ascii="Arial" w:hAnsi="Arial" w:cs="Arial"/>
          <w:szCs w:val="24"/>
        </w:rPr>
        <w:t>a saber</w:t>
      </w:r>
      <w:r w:rsidR="00EF6BEF" w:rsidRPr="00CC1633">
        <w:rPr>
          <w:rFonts w:ascii="Arial" w:hAnsi="Arial" w:cs="Arial"/>
          <w:szCs w:val="24"/>
        </w:rPr>
        <w:t xml:space="preserve">: (1) el confesante debe tener capacidad para confesar y poder dispositivo sobre el hecho que resulte confesado, (2) los hechos deben ser adversos al confesante o favorables a la contraparte, (3) debe recaer sobre hechos </w:t>
      </w:r>
      <w:r w:rsidR="00DF767E" w:rsidRPr="00CC1633">
        <w:rPr>
          <w:rFonts w:ascii="Arial" w:hAnsi="Arial" w:cs="Arial"/>
          <w:szCs w:val="24"/>
        </w:rPr>
        <w:t>c</w:t>
      </w:r>
      <w:r w:rsidR="00EF6BEF" w:rsidRPr="00CC1633">
        <w:rPr>
          <w:rFonts w:ascii="Arial" w:hAnsi="Arial" w:cs="Arial"/>
          <w:szCs w:val="24"/>
        </w:rPr>
        <w:t xml:space="preserve">uya demostración no exija otro medio de prueba, (4) </w:t>
      </w:r>
      <w:r w:rsidR="00763553" w:rsidRPr="00CC1633">
        <w:rPr>
          <w:rFonts w:ascii="Arial" w:hAnsi="Arial" w:cs="Arial"/>
          <w:szCs w:val="24"/>
        </w:rPr>
        <w:t xml:space="preserve">deber ser expresa consciente y libre, </w:t>
      </w:r>
      <w:r w:rsidR="007A2B23" w:rsidRPr="00CC1633">
        <w:rPr>
          <w:rFonts w:ascii="Arial" w:hAnsi="Arial" w:cs="Arial"/>
          <w:szCs w:val="24"/>
        </w:rPr>
        <w:t xml:space="preserve">y </w:t>
      </w:r>
      <w:r w:rsidR="00763553" w:rsidRPr="00CC1633">
        <w:rPr>
          <w:rFonts w:ascii="Arial" w:hAnsi="Arial" w:cs="Arial"/>
          <w:szCs w:val="24"/>
        </w:rPr>
        <w:t xml:space="preserve">(5) </w:t>
      </w:r>
      <w:r w:rsidR="00EF6BEF" w:rsidRPr="00CC1633">
        <w:rPr>
          <w:rFonts w:ascii="Arial" w:hAnsi="Arial" w:cs="Arial"/>
          <w:szCs w:val="24"/>
        </w:rPr>
        <w:t xml:space="preserve">debe </w:t>
      </w:r>
      <w:r w:rsidR="00763553" w:rsidRPr="00CC1633">
        <w:rPr>
          <w:rFonts w:ascii="Arial" w:hAnsi="Arial" w:cs="Arial"/>
          <w:szCs w:val="24"/>
        </w:rPr>
        <w:t>versar sobre hechos personales del confesante o sobre los que tenga o deba tener conocimiento. Luego, como se regla en el inciso final del art</w:t>
      </w:r>
      <w:r w:rsidR="00DF767E" w:rsidRPr="00CC1633">
        <w:rPr>
          <w:rFonts w:ascii="Arial" w:hAnsi="Arial" w:cs="Arial"/>
          <w:szCs w:val="24"/>
        </w:rPr>
        <w:t>í</w:t>
      </w:r>
      <w:r w:rsidR="00763553" w:rsidRPr="00CC1633">
        <w:rPr>
          <w:rFonts w:ascii="Arial" w:hAnsi="Arial" w:cs="Arial"/>
          <w:szCs w:val="24"/>
        </w:rPr>
        <w:t>culo en comento</w:t>
      </w:r>
      <w:r w:rsidR="00A025DC" w:rsidRPr="00CC1633">
        <w:rPr>
          <w:rFonts w:ascii="Arial" w:hAnsi="Arial" w:cs="Arial"/>
          <w:szCs w:val="24"/>
        </w:rPr>
        <w:t>.</w:t>
      </w:r>
    </w:p>
    <w:p w14:paraId="686023F6" w14:textId="5FF6BD73" w:rsidR="006C70AF" w:rsidRPr="00CC1633" w:rsidRDefault="00524634" w:rsidP="00A71BD5">
      <w:pPr>
        <w:spacing w:line="276" w:lineRule="auto"/>
        <w:jc w:val="both"/>
        <w:rPr>
          <w:rFonts w:ascii="Arial" w:hAnsi="Arial" w:cs="Arial"/>
          <w:i/>
          <w:iCs/>
          <w:szCs w:val="24"/>
        </w:rPr>
      </w:pPr>
      <w:r w:rsidRPr="00CC1633">
        <w:rPr>
          <w:rFonts w:ascii="Arial" w:hAnsi="Arial" w:cs="Arial"/>
          <w:szCs w:val="24"/>
        </w:rPr>
        <w:t xml:space="preserve"> </w:t>
      </w:r>
      <w:r w:rsidR="00507177" w:rsidRPr="00CC1633">
        <w:rPr>
          <w:rFonts w:ascii="Arial" w:hAnsi="Arial" w:cs="Arial"/>
          <w:i/>
          <w:iCs/>
          <w:szCs w:val="24"/>
        </w:rPr>
        <w:t xml:space="preserve"> </w:t>
      </w:r>
    </w:p>
    <w:p w14:paraId="7FCA9B92" w14:textId="08750452" w:rsidR="0007228C" w:rsidRPr="00CC1633" w:rsidRDefault="00CC511D" w:rsidP="00A71BD5">
      <w:pPr>
        <w:spacing w:line="276" w:lineRule="auto"/>
        <w:jc w:val="both"/>
        <w:rPr>
          <w:rFonts w:ascii="Arial" w:hAnsi="Arial" w:cs="Arial"/>
          <w:szCs w:val="24"/>
        </w:rPr>
      </w:pPr>
      <w:r w:rsidRPr="00CC1633">
        <w:rPr>
          <w:rFonts w:ascii="Arial" w:hAnsi="Arial" w:cs="Arial"/>
          <w:szCs w:val="24"/>
        </w:rPr>
        <w:t xml:space="preserve">Así las cosas, siguiendo el orden de lo expuesto, </w:t>
      </w:r>
      <w:r w:rsidR="002F3DE2" w:rsidRPr="00CC1633">
        <w:rPr>
          <w:rFonts w:ascii="Arial" w:hAnsi="Arial" w:cs="Arial"/>
          <w:szCs w:val="24"/>
        </w:rPr>
        <w:t xml:space="preserve">observa la Sala que tal y como fueron mencionados en la sentencia, clausurada la etapa de conciliación, la jueza declaró como presuntamente ciertas las premisas postuladas por Protección en la contestación al hecho </w:t>
      </w:r>
      <w:r w:rsidR="00F235C5" w:rsidRPr="00CC1633">
        <w:rPr>
          <w:rFonts w:ascii="Arial" w:hAnsi="Arial" w:cs="Arial"/>
          <w:szCs w:val="24"/>
        </w:rPr>
        <w:t>cuarto</w:t>
      </w:r>
      <w:r w:rsidR="002F3DE2" w:rsidRPr="00CC1633">
        <w:rPr>
          <w:rFonts w:ascii="Arial" w:hAnsi="Arial" w:cs="Arial"/>
          <w:szCs w:val="24"/>
        </w:rPr>
        <w:t xml:space="preserve"> de la demanda, en el acápite de los hechos de la defensa</w:t>
      </w:r>
      <w:r w:rsidR="0007228C" w:rsidRPr="00CC1633">
        <w:rPr>
          <w:rFonts w:ascii="Arial" w:hAnsi="Arial" w:cs="Arial"/>
          <w:szCs w:val="24"/>
        </w:rPr>
        <w:t xml:space="preserve">; algunas de las cuales son hechos y otras que en verdad no lo son. </w:t>
      </w:r>
    </w:p>
    <w:p w14:paraId="353A1A5F" w14:textId="4CA3CC02" w:rsidR="0007228C" w:rsidRPr="00CC1633" w:rsidRDefault="0007228C" w:rsidP="00A71BD5">
      <w:pPr>
        <w:spacing w:line="276" w:lineRule="auto"/>
        <w:jc w:val="both"/>
        <w:rPr>
          <w:rFonts w:ascii="Arial" w:hAnsi="Arial" w:cs="Arial"/>
          <w:szCs w:val="24"/>
        </w:rPr>
      </w:pPr>
    </w:p>
    <w:p w14:paraId="42D635D4" w14:textId="2BBF83F6" w:rsidR="001C4451" w:rsidRPr="00CC1633" w:rsidRDefault="00B302BB" w:rsidP="00A71BD5">
      <w:pPr>
        <w:spacing w:line="276" w:lineRule="auto"/>
        <w:jc w:val="both"/>
        <w:rPr>
          <w:rFonts w:ascii="Arial" w:hAnsi="Arial" w:cs="Arial"/>
          <w:szCs w:val="24"/>
        </w:rPr>
      </w:pPr>
      <w:r w:rsidRPr="00CC1633">
        <w:rPr>
          <w:rFonts w:ascii="Arial" w:hAnsi="Arial" w:cs="Arial"/>
          <w:szCs w:val="24"/>
        </w:rPr>
        <w:t xml:space="preserve">En el hecho </w:t>
      </w:r>
      <w:r w:rsidR="00F235C5" w:rsidRPr="00CC1633">
        <w:rPr>
          <w:rFonts w:ascii="Arial" w:hAnsi="Arial" w:cs="Arial"/>
          <w:szCs w:val="24"/>
        </w:rPr>
        <w:t>cuarto</w:t>
      </w:r>
      <w:r w:rsidRPr="00CC1633">
        <w:rPr>
          <w:rFonts w:ascii="Arial" w:hAnsi="Arial" w:cs="Arial"/>
          <w:szCs w:val="24"/>
        </w:rPr>
        <w:t xml:space="preserve"> de la demanda, la activa afirmó que: </w:t>
      </w:r>
    </w:p>
    <w:p w14:paraId="263C3787" w14:textId="6018F946" w:rsidR="00B302BB" w:rsidRPr="00CC1633" w:rsidRDefault="00B302BB" w:rsidP="00A71BD5">
      <w:pPr>
        <w:spacing w:line="276" w:lineRule="auto"/>
        <w:jc w:val="both"/>
        <w:rPr>
          <w:rFonts w:ascii="Arial" w:hAnsi="Arial" w:cs="Arial"/>
          <w:szCs w:val="24"/>
        </w:rPr>
      </w:pPr>
      <w:r w:rsidRPr="00CC1633">
        <w:rPr>
          <w:rFonts w:ascii="Arial" w:hAnsi="Arial" w:cs="Arial"/>
          <w:szCs w:val="24"/>
        </w:rPr>
        <w:tab/>
      </w:r>
    </w:p>
    <w:p w14:paraId="391FE658" w14:textId="3E335379" w:rsidR="00B302BB" w:rsidRPr="00CC1633" w:rsidRDefault="00B302BB" w:rsidP="00A71BD5">
      <w:pPr>
        <w:ind w:left="426" w:right="420"/>
        <w:jc w:val="both"/>
        <w:rPr>
          <w:rFonts w:ascii="Arial" w:hAnsi="Arial" w:cs="Arial"/>
          <w:sz w:val="22"/>
          <w:szCs w:val="24"/>
        </w:rPr>
      </w:pPr>
      <w:r w:rsidRPr="00CC1633">
        <w:rPr>
          <w:rFonts w:ascii="Arial" w:hAnsi="Arial" w:cs="Arial"/>
          <w:sz w:val="22"/>
          <w:szCs w:val="24"/>
        </w:rPr>
        <w:t xml:space="preserve">“El agente comercial </w:t>
      </w:r>
      <w:r w:rsidR="00F235C5" w:rsidRPr="00CC1633">
        <w:rPr>
          <w:rFonts w:ascii="Arial" w:hAnsi="Arial" w:cs="Arial"/>
          <w:sz w:val="22"/>
          <w:szCs w:val="24"/>
        </w:rPr>
        <w:t xml:space="preserve">de la </w:t>
      </w:r>
      <w:r w:rsidR="00F235C5" w:rsidRPr="00CC1633">
        <w:rPr>
          <w:rFonts w:ascii="Arial" w:hAnsi="Arial" w:cs="Arial"/>
          <w:b/>
          <w:sz w:val="22"/>
          <w:szCs w:val="24"/>
        </w:rPr>
        <w:t xml:space="preserve">ADMINISTRADORA DE FONDOS DE PENSIONES Y CESANTÍAS PROTECCIÓN S.A., </w:t>
      </w:r>
      <w:r w:rsidR="00F235C5" w:rsidRPr="00CC1633">
        <w:rPr>
          <w:rFonts w:ascii="Arial" w:hAnsi="Arial" w:cs="Arial"/>
          <w:sz w:val="22"/>
          <w:szCs w:val="24"/>
        </w:rPr>
        <w:t xml:space="preserve">indicó a la Señora </w:t>
      </w:r>
      <w:r w:rsidR="00F235C5" w:rsidRPr="00CC1633">
        <w:rPr>
          <w:rFonts w:ascii="Arial" w:hAnsi="Arial" w:cs="Arial"/>
          <w:b/>
          <w:sz w:val="22"/>
          <w:szCs w:val="24"/>
        </w:rPr>
        <w:t xml:space="preserve">FABIOLA GUTIERREZ SUAREZ, </w:t>
      </w:r>
      <w:r w:rsidR="00F235C5" w:rsidRPr="00CC1633">
        <w:rPr>
          <w:rFonts w:ascii="Arial" w:hAnsi="Arial" w:cs="Arial"/>
          <w:sz w:val="22"/>
          <w:szCs w:val="24"/>
        </w:rPr>
        <w:t>que debía trasladarse al régimen de ahorro individual con solidaridad administrado por ese fondo ya que el régimen solidario de prima media con prestación definida, administrado por el Instituto de Seguros Sociales, estaba próximo a desaparecer y sus aportes estarían en riesgo.”</w:t>
      </w:r>
    </w:p>
    <w:p w14:paraId="5002CD50" w14:textId="1FC6E525" w:rsidR="00EB5A28" w:rsidRPr="00CC1633" w:rsidRDefault="002F3DE2" w:rsidP="00A71BD5">
      <w:pPr>
        <w:spacing w:line="276" w:lineRule="auto"/>
        <w:jc w:val="both"/>
        <w:rPr>
          <w:rFonts w:ascii="Arial" w:hAnsi="Arial" w:cs="Arial"/>
          <w:szCs w:val="24"/>
        </w:rPr>
      </w:pPr>
      <w:r w:rsidRPr="00CC1633">
        <w:rPr>
          <w:rFonts w:ascii="Arial" w:hAnsi="Arial" w:cs="Arial"/>
          <w:szCs w:val="24"/>
        </w:rPr>
        <w:t xml:space="preserve"> </w:t>
      </w:r>
    </w:p>
    <w:p w14:paraId="28E60472" w14:textId="7FD0C4B1" w:rsidR="002F3DE2" w:rsidRPr="00CC1633" w:rsidRDefault="00B302BB" w:rsidP="00A71BD5">
      <w:pPr>
        <w:spacing w:line="276" w:lineRule="auto"/>
        <w:jc w:val="both"/>
        <w:rPr>
          <w:rFonts w:ascii="Arial" w:hAnsi="Arial" w:cs="Arial"/>
          <w:szCs w:val="24"/>
        </w:rPr>
      </w:pPr>
      <w:r w:rsidRPr="00CC1633">
        <w:rPr>
          <w:rFonts w:ascii="Arial" w:hAnsi="Arial" w:cs="Arial"/>
          <w:szCs w:val="24"/>
        </w:rPr>
        <w:t xml:space="preserve">En los términos de la contestación de </w:t>
      </w:r>
      <w:r w:rsidR="00DF767E" w:rsidRPr="00CC1633">
        <w:rPr>
          <w:rFonts w:ascii="Arial" w:hAnsi="Arial" w:cs="Arial"/>
          <w:szCs w:val="24"/>
        </w:rPr>
        <w:t xml:space="preserve">la A.F.P. </w:t>
      </w:r>
      <w:r w:rsidRPr="00CC1633">
        <w:rPr>
          <w:rFonts w:ascii="Arial" w:hAnsi="Arial" w:cs="Arial"/>
          <w:szCs w:val="24"/>
        </w:rPr>
        <w:t xml:space="preserve">Protección, la jueza declaró como presuntamente cierto que: </w:t>
      </w:r>
    </w:p>
    <w:p w14:paraId="14648DFE" w14:textId="77777777" w:rsidR="00B302BB" w:rsidRPr="00CC1633" w:rsidRDefault="00B302BB" w:rsidP="00A71BD5">
      <w:pPr>
        <w:spacing w:line="276" w:lineRule="auto"/>
        <w:jc w:val="both"/>
        <w:rPr>
          <w:rFonts w:ascii="Arial" w:hAnsi="Arial" w:cs="Arial"/>
          <w:szCs w:val="24"/>
        </w:rPr>
      </w:pPr>
    </w:p>
    <w:p w14:paraId="1B45523F" w14:textId="6DF31A06" w:rsidR="002F3DE2" w:rsidRPr="00CC1633" w:rsidRDefault="002F3DE2" w:rsidP="00A71BD5">
      <w:pPr>
        <w:ind w:left="426" w:right="420"/>
        <w:jc w:val="both"/>
        <w:rPr>
          <w:rFonts w:ascii="Arial" w:hAnsi="Arial" w:cs="Arial"/>
          <w:sz w:val="22"/>
          <w:szCs w:val="24"/>
        </w:rPr>
      </w:pPr>
      <w:r w:rsidRPr="00CC1633">
        <w:rPr>
          <w:rFonts w:ascii="Arial" w:hAnsi="Arial" w:cs="Arial"/>
          <w:sz w:val="22"/>
          <w:szCs w:val="24"/>
        </w:rPr>
        <w:t xml:space="preserve">“Protección, </w:t>
      </w:r>
      <w:r w:rsidR="00F235C5" w:rsidRPr="00CC1633">
        <w:rPr>
          <w:rFonts w:ascii="Arial" w:hAnsi="Arial" w:cs="Arial"/>
          <w:sz w:val="22"/>
          <w:szCs w:val="24"/>
        </w:rPr>
        <w:t>brindó a la demandante información cierta, veraz y fidedigna acerca de las características propias del RAIS, sus diferencias frente al RPM y las consecuencias jurídicas derivadas del traslado. Con base en dicha información, la demandante de forma libre, espontánea y sin presiones, decidió vincularse a dicha AFP y trasladarse de régimen, tal y como lo hizo constar en el respectivo formulario de afiliación</w:t>
      </w:r>
      <w:r w:rsidRPr="00CC1633">
        <w:rPr>
          <w:rFonts w:ascii="Arial" w:hAnsi="Arial" w:cs="Arial"/>
          <w:sz w:val="22"/>
          <w:szCs w:val="24"/>
        </w:rPr>
        <w:t xml:space="preserve">”. </w:t>
      </w:r>
    </w:p>
    <w:p w14:paraId="4D7103A4" w14:textId="77777777" w:rsidR="002F3DE2" w:rsidRPr="00CC1633" w:rsidRDefault="002F3DE2" w:rsidP="00A71BD5">
      <w:pPr>
        <w:spacing w:line="276" w:lineRule="auto"/>
        <w:jc w:val="both"/>
        <w:rPr>
          <w:rFonts w:ascii="Arial" w:hAnsi="Arial" w:cs="Arial"/>
          <w:i/>
          <w:iCs/>
          <w:szCs w:val="24"/>
        </w:rPr>
      </w:pPr>
    </w:p>
    <w:p w14:paraId="3D622D6A" w14:textId="3AF62966" w:rsidR="00B302BB" w:rsidRPr="00CC1633" w:rsidRDefault="001D2122" w:rsidP="00A71BD5">
      <w:pPr>
        <w:spacing w:line="276" w:lineRule="auto"/>
        <w:jc w:val="both"/>
        <w:rPr>
          <w:rFonts w:ascii="Arial" w:hAnsi="Arial" w:cs="Arial"/>
          <w:szCs w:val="24"/>
        </w:rPr>
      </w:pPr>
      <w:r w:rsidRPr="00CC1633">
        <w:rPr>
          <w:rFonts w:ascii="Arial" w:hAnsi="Arial" w:cs="Arial"/>
          <w:szCs w:val="24"/>
        </w:rPr>
        <w:t xml:space="preserve">Ora, la afirmación de que </w:t>
      </w:r>
      <w:r w:rsidRPr="00CC1633">
        <w:rPr>
          <w:rFonts w:ascii="Arial" w:hAnsi="Arial" w:cs="Arial"/>
          <w:i/>
          <w:iCs/>
          <w:szCs w:val="24"/>
        </w:rPr>
        <w:t>“</w:t>
      </w:r>
      <w:r w:rsidRPr="00CC1633">
        <w:rPr>
          <w:rFonts w:ascii="Arial" w:hAnsi="Arial" w:cs="Arial"/>
          <w:i/>
          <w:iCs/>
          <w:sz w:val="22"/>
          <w:szCs w:val="24"/>
        </w:rPr>
        <w:t xml:space="preserve">Protección, </w:t>
      </w:r>
      <w:r w:rsidR="0065483A" w:rsidRPr="00CC1633">
        <w:rPr>
          <w:rFonts w:ascii="Arial" w:hAnsi="Arial" w:cs="Arial"/>
          <w:i/>
          <w:sz w:val="22"/>
          <w:szCs w:val="24"/>
        </w:rPr>
        <w:t>brindó a la demandante información cierta, veraz y fidedigna acerca de las características propias del RAIS, sus diferencias frente al RPM y las consecuencias jurídicas derivadas del traslado</w:t>
      </w:r>
      <w:r w:rsidR="0065483A" w:rsidRPr="00CC1633">
        <w:rPr>
          <w:rFonts w:ascii="Arial" w:hAnsi="Arial" w:cs="Arial"/>
          <w:szCs w:val="24"/>
        </w:rPr>
        <w:t>.</w:t>
      </w:r>
      <w:r w:rsidRPr="00CC1633">
        <w:rPr>
          <w:rFonts w:ascii="Arial" w:hAnsi="Arial" w:cs="Arial"/>
          <w:i/>
          <w:iCs/>
          <w:szCs w:val="24"/>
        </w:rPr>
        <w:t xml:space="preserve">” </w:t>
      </w:r>
      <w:r w:rsidRPr="00CC1633">
        <w:rPr>
          <w:rFonts w:ascii="Arial" w:hAnsi="Arial" w:cs="Arial"/>
          <w:szCs w:val="24"/>
        </w:rPr>
        <w:t xml:space="preserve">no es un hecho, sino </w:t>
      </w:r>
      <w:r w:rsidR="000407F5" w:rsidRPr="00CC1633">
        <w:rPr>
          <w:rFonts w:ascii="Arial" w:hAnsi="Arial" w:cs="Arial"/>
          <w:szCs w:val="24"/>
        </w:rPr>
        <w:t xml:space="preserve">un juicio </w:t>
      </w:r>
      <w:r w:rsidR="00A95A3C" w:rsidRPr="00CC1633">
        <w:rPr>
          <w:rFonts w:ascii="Arial" w:hAnsi="Arial" w:cs="Arial"/>
          <w:szCs w:val="24"/>
        </w:rPr>
        <w:t xml:space="preserve">de valor </w:t>
      </w:r>
      <w:r w:rsidR="000407F5" w:rsidRPr="00CC1633">
        <w:rPr>
          <w:rFonts w:ascii="Arial" w:hAnsi="Arial" w:cs="Arial"/>
          <w:szCs w:val="24"/>
        </w:rPr>
        <w:t xml:space="preserve">o </w:t>
      </w:r>
      <w:r w:rsidRPr="00CC1633">
        <w:rPr>
          <w:rFonts w:ascii="Arial" w:hAnsi="Arial" w:cs="Arial"/>
          <w:szCs w:val="24"/>
        </w:rPr>
        <w:t xml:space="preserve">una calificación de hechos </w:t>
      </w:r>
      <w:r w:rsidR="000407F5" w:rsidRPr="00CC1633">
        <w:rPr>
          <w:rFonts w:ascii="Arial" w:hAnsi="Arial" w:cs="Arial"/>
          <w:szCs w:val="24"/>
        </w:rPr>
        <w:t>que no se exponen</w:t>
      </w:r>
      <w:r w:rsidR="0065483A" w:rsidRPr="00CC1633">
        <w:rPr>
          <w:rFonts w:ascii="Arial" w:hAnsi="Arial" w:cs="Arial"/>
          <w:szCs w:val="24"/>
        </w:rPr>
        <w:t xml:space="preserve">, </w:t>
      </w:r>
      <w:r w:rsidR="00971610" w:rsidRPr="00CC1633">
        <w:rPr>
          <w:rFonts w:ascii="Arial" w:hAnsi="Arial" w:cs="Arial"/>
          <w:szCs w:val="24"/>
        </w:rPr>
        <w:t>pues ni siquiera devela un razonamiento</w:t>
      </w:r>
      <w:r w:rsidR="004369F0" w:rsidRPr="00CC1633">
        <w:rPr>
          <w:rFonts w:ascii="Arial" w:hAnsi="Arial" w:cs="Arial"/>
          <w:szCs w:val="24"/>
        </w:rPr>
        <w:t xml:space="preserve"> juicioso</w:t>
      </w:r>
      <w:r w:rsidR="00971610" w:rsidRPr="00CC1633">
        <w:rPr>
          <w:rFonts w:ascii="Arial" w:hAnsi="Arial" w:cs="Arial"/>
          <w:szCs w:val="24"/>
        </w:rPr>
        <w:t xml:space="preserve"> indicando las razones que motivan su hipótesis, </w:t>
      </w:r>
      <w:r w:rsidR="0065483A" w:rsidRPr="00CC1633">
        <w:rPr>
          <w:rFonts w:ascii="Arial" w:hAnsi="Arial" w:cs="Arial"/>
          <w:szCs w:val="24"/>
        </w:rPr>
        <w:t xml:space="preserve">de manera que no puede </w:t>
      </w:r>
      <w:r w:rsidR="00D72404" w:rsidRPr="00CC1633">
        <w:rPr>
          <w:rFonts w:ascii="Arial" w:hAnsi="Arial" w:cs="Arial"/>
          <w:szCs w:val="24"/>
        </w:rPr>
        <w:t>considerarse una genuina confesión ficta de hechos, pues nada se postuló como tal, s</w:t>
      </w:r>
      <w:r w:rsidR="00971610" w:rsidRPr="00CC1633">
        <w:rPr>
          <w:rFonts w:ascii="Arial" w:hAnsi="Arial" w:cs="Arial"/>
          <w:szCs w:val="24"/>
        </w:rPr>
        <w:t xml:space="preserve">iendo una mera </w:t>
      </w:r>
      <w:r w:rsidR="00C82E83" w:rsidRPr="00CC1633">
        <w:rPr>
          <w:rFonts w:ascii="Arial" w:hAnsi="Arial" w:cs="Arial"/>
          <w:szCs w:val="24"/>
        </w:rPr>
        <w:t xml:space="preserve">enunciación de algo, </w:t>
      </w:r>
      <w:r w:rsidR="00D72404" w:rsidRPr="00CC1633">
        <w:rPr>
          <w:rFonts w:ascii="Arial" w:hAnsi="Arial" w:cs="Arial"/>
          <w:szCs w:val="24"/>
        </w:rPr>
        <w:t xml:space="preserve">que, como tal, deja abierta la posibilidad de que pasara </w:t>
      </w:r>
      <w:r w:rsidR="00C82E83" w:rsidRPr="00CC1633">
        <w:rPr>
          <w:rFonts w:ascii="Arial" w:hAnsi="Arial" w:cs="Arial"/>
          <w:szCs w:val="24"/>
        </w:rPr>
        <w:t xml:space="preserve">o no </w:t>
      </w:r>
      <w:r w:rsidR="00D72404" w:rsidRPr="00CC1633">
        <w:rPr>
          <w:rFonts w:ascii="Arial" w:hAnsi="Arial" w:cs="Arial"/>
          <w:szCs w:val="24"/>
        </w:rPr>
        <w:t xml:space="preserve">de ese modo. </w:t>
      </w:r>
    </w:p>
    <w:p w14:paraId="3FE7D3DD" w14:textId="77777777" w:rsidR="00C82E83" w:rsidRPr="00CC1633" w:rsidRDefault="00C82E83" w:rsidP="00A71BD5">
      <w:pPr>
        <w:spacing w:line="276" w:lineRule="auto"/>
        <w:jc w:val="both"/>
        <w:rPr>
          <w:rFonts w:ascii="Arial" w:hAnsi="Arial" w:cs="Arial"/>
          <w:szCs w:val="24"/>
        </w:rPr>
      </w:pPr>
    </w:p>
    <w:p w14:paraId="0532ED25" w14:textId="3EEE79BA" w:rsidR="00C82E83" w:rsidRPr="00CC1633" w:rsidRDefault="00971610" w:rsidP="00A71BD5">
      <w:pPr>
        <w:spacing w:line="276" w:lineRule="auto"/>
        <w:jc w:val="both"/>
        <w:rPr>
          <w:rFonts w:ascii="Arial" w:hAnsi="Arial" w:cs="Arial"/>
          <w:szCs w:val="24"/>
        </w:rPr>
      </w:pPr>
      <w:r w:rsidRPr="00CC1633">
        <w:rPr>
          <w:rFonts w:ascii="Arial" w:hAnsi="Arial" w:cs="Arial"/>
          <w:szCs w:val="24"/>
        </w:rPr>
        <w:t xml:space="preserve">Luego entonces, al no ser hechos, sino calificaciones que, por comportar el objeto de la litis, </w:t>
      </w:r>
      <w:r w:rsidR="004369F0" w:rsidRPr="00CC1633">
        <w:rPr>
          <w:rFonts w:ascii="Arial" w:hAnsi="Arial" w:cs="Arial"/>
          <w:szCs w:val="24"/>
        </w:rPr>
        <w:t xml:space="preserve">le </w:t>
      </w:r>
      <w:r w:rsidRPr="00CC1633">
        <w:rPr>
          <w:rFonts w:ascii="Arial" w:hAnsi="Arial" w:cs="Arial"/>
          <w:szCs w:val="24"/>
        </w:rPr>
        <w:t xml:space="preserve">corresponden al juez y no a las partes, </w:t>
      </w:r>
      <w:r w:rsidR="004369F0" w:rsidRPr="00CC1633">
        <w:rPr>
          <w:rFonts w:ascii="Arial" w:hAnsi="Arial" w:cs="Arial"/>
          <w:szCs w:val="24"/>
        </w:rPr>
        <w:t xml:space="preserve">verificar a través de los distintos medios de prueba </w:t>
      </w:r>
      <w:r w:rsidRPr="00CC1633">
        <w:rPr>
          <w:rFonts w:ascii="Arial" w:hAnsi="Arial" w:cs="Arial"/>
          <w:szCs w:val="24"/>
        </w:rPr>
        <w:t xml:space="preserve">si lo actuado se apegó o no </w:t>
      </w:r>
      <w:r w:rsidR="004369F0" w:rsidRPr="00CC1633">
        <w:rPr>
          <w:rFonts w:ascii="Arial" w:hAnsi="Arial" w:cs="Arial"/>
          <w:szCs w:val="24"/>
        </w:rPr>
        <w:t xml:space="preserve">a lo establecido en el </w:t>
      </w:r>
      <w:r w:rsidRPr="00CC1633">
        <w:rPr>
          <w:rFonts w:ascii="Arial" w:hAnsi="Arial" w:cs="Arial"/>
          <w:szCs w:val="24"/>
        </w:rPr>
        <w:t>ordenamiento</w:t>
      </w:r>
      <w:r w:rsidR="004369F0" w:rsidRPr="00CC1633">
        <w:rPr>
          <w:rFonts w:ascii="Arial" w:hAnsi="Arial" w:cs="Arial"/>
          <w:szCs w:val="24"/>
        </w:rPr>
        <w:t xml:space="preserve"> jurídico. </w:t>
      </w:r>
    </w:p>
    <w:p w14:paraId="60C2A75A" w14:textId="77777777" w:rsidR="00971610" w:rsidRPr="00CC1633" w:rsidRDefault="00971610" w:rsidP="00A71BD5">
      <w:pPr>
        <w:pStyle w:val="Sinespaciado"/>
        <w:spacing w:line="276" w:lineRule="auto"/>
        <w:rPr>
          <w:rFonts w:ascii="Arial" w:hAnsi="Arial" w:cs="Arial"/>
          <w:szCs w:val="24"/>
        </w:rPr>
      </w:pPr>
    </w:p>
    <w:p w14:paraId="27A75686" w14:textId="1D029FEF" w:rsidR="0065483A" w:rsidRPr="00CC1633" w:rsidRDefault="00F8417B" w:rsidP="00A71BD5">
      <w:pPr>
        <w:spacing w:line="276" w:lineRule="auto"/>
        <w:jc w:val="both"/>
        <w:rPr>
          <w:rFonts w:ascii="Arial" w:hAnsi="Arial" w:cs="Arial"/>
          <w:szCs w:val="24"/>
        </w:rPr>
      </w:pPr>
      <w:r w:rsidRPr="00CC1633">
        <w:rPr>
          <w:rFonts w:ascii="Arial" w:hAnsi="Arial" w:cs="Arial"/>
          <w:szCs w:val="24"/>
        </w:rPr>
        <w:t xml:space="preserve">Continuando, presentados por Protección como </w:t>
      </w:r>
      <w:r w:rsidRPr="00CC1633">
        <w:rPr>
          <w:rFonts w:ascii="Arial" w:hAnsi="Arial" w:cs="Arial"/>
          <w:i/>
          <w:iCs/>
          <w:szCs w:val="24"/>
        </w:rPr>
        <w:t>“</w:t>
      </w:r>
      <w:r w:rsidRPr="00CC1633">
        <w:rPr>
          <w:rFonts w:ascii="Arial" w:hAnsi="Arial" w:cs="Arial"/>
          <w:i/>
          <w:iCs/>
          <w:sz w:val="22"/>
          <w:szCs w:val="24"/>
        </w:rPr>
        <w:t>HECHOS DE LA DEFENSA</w:t>
      </w:r>
      <w:r w:rsidRPr="00CC1633">
        <w:rPr>
          <w:rFonts w:ascii="Arial" w:hAnsi="Arial" w:cs="Arial"/>
          <w:i/>
          <w:iCs/>
          <w:szCs w:val="24"/>
        </w:rPr>
        <w:t xml:space="preserve">”, </w:t>
      </w:r>
      <w:r w:rsidRPr="00CC1633">
        <w:rPr>
          <w:rFonts w:ascii="Arial" w:hAnsi="Arial" w:cs="Arial"/>
          <w:szCs w:val="24"/>
        </w:rPr>
        <w:t xml:space="preserve">la juzgadora de primera instancia declaró </w:t>
      </w:r>
      <w:r w:rsidR="0065483A" w:rsidRPr="00CC1633">
        <w:rPr>
          <w:rFonts w:ascii="Arial" w:hAnsi="Arial" w:cs="Arial"/>
          <w:szCs w:val="24"/>
        </w:rPr>
        <w:t xml:space="preserve">además </w:t>
      </w:r>
      <w:r w:rsidRPr="00CC1633">
        <w:rPr>
          <w:rFonts w:ascii="Arial" w:hAnsi="Arial" w:cs="Arial"/>
          <w:szCs w:val="24"/>
        </w:rPr>
        <w:t xml:space="preserve">como presuntamente cierto, </w:t>
      </w:r>
      <w:r w:rsidRPr="00CC1633">
        <w:rPr>
          <w:rFonts w:ascii="Arial" w:hAnsi="Arial" w:cs="Arial"/>
          <w:bCs/>
          <w:szCs w:val="24"/>
        </w:rPr>
        <w:t>primero</w:t>
      </w:r>
      <w:r w:rsidRPr="00CC1633">
        <w:rPr>
          <w:rFonts w:ascii="Arial" w:hAnsi="Arial" w:cs="Arial"/>
          <w:szCs w:val="24"/>
        </w:rPr>
        <w:t xml:space="preserve">, que </w:t>
      </w:r>
      <w:r w:rsidR="00971610" w:rsidRPr="00CC1633">
        <w:rPr>
          <w:rFonts w:ascii="Arial" w:hAnsi="Arial" w:cs="Arial"/>
          <w:szCs w:val="24"/>
        </w:rPr>
        <w:t xml:space="preserve">no es cierto que el agente comercial no hubiese advertido que en caso de fallecimiento podrían heredar el capital ahorrado familiares de hasta el 5° grado de consanguinidad, solo si se encontraban en la modalidad de retiro programado y no de renta vitalicia; segundo, que </w:t>
      </w:r>
      <w:r w:rsidR="0065483A" w:rsidRPr="00CC1633">
        <w:rPr>
          <w:rFonts w:ascii="Arial" w:hAnsi="Arial" w:cs="Arial"/>
          <w:szCs w:val="24"/>
        </w:rPr>
        <w:t>la demandante suscribió formulario de solicitud de vinculación a Protección S.A. el 6 de julio de 1999, como traslado de régimen; y segundo, que antes de cumplir la demandante los 47 años de edad, Protección S.A. se comunicó a los números telefónicos de la demandante</w:t>
      </w:r>
      <w:r w:rsidR="00971610" w:rsidRPr="00CC1633">
        <w:rPr>
          <w:rFonts w:ascii="Arial" w:hAnsi="Arial" w:cs="Arial"/>
          <w:szCs w:val="24"/>
        </w:rPr>
        <w:t xml:space="preserve"> suministrados a la entidad</w:t>
      </w:r>
      <w:r w:rsidR="0065483A" w:rsidRPr="00CC1633">
        <w:rPr>
          <w:rFonts w:ascii="Arial" w:hAnsi="Arial" w:cs="Arial"/>
          <w:szCs w:val="24"/>
        </w:rPr>
        <w:t xml:space="preserve">, sin que hubiere sido posible entablar conversación, debido a que se encontraban desactualizados. </w:t>
      </w:r>
    </w:p>
    <w:p w14:paraId="0AF6909D" w14:textId="77777777" w:rsidR="00F8417B" w:rsidRPr="00CC1633" w:rsidRDefault="00F8417B" w:rsidP="00A71BD5">
      <w:pPr>
        <w:spacing w:line="276" w:lineRule="auto"/>
        <w:jc w:val="both"/>
        <w:rPr>
          <w:rFonts w:ascii="Arial" w:hAnsi="Arial" w:cs="Arial"/>
          <w:szCs w:val="24"/>
        </w:rPr>
      </w:pPr>
    </w:p>
    <w:p w14:paraId="65BF7258" w14:textId="226845A7" w:rsidR="00020E6D" w:rsidRPr="00CC1633" w:rsidRDefault="00971610" w:rsidP="00A71BD5">
      <w:pPr>
        <w:spacing w:line="276" w:lineRule="auto"/>
        <w:jc w:val="both"/>
        <w:rPr>
          <w:rFonts w:ascii="Arial" w:hAnsi="Arial" w:cs="Arial"/>
          <w:szCs w:val="24"/>
        </w:rPr>
      </w:pPr>
      <w:r w:rsidRPr="00CC1633">
        <w:rPr>
          <w:rFonts w:ascii="Arial" w:hAnsi="Arial" w:cs="Arial"/>
          <w:szCs w:val="24"/>
        </w:rPr>
        <w:t>Así las cosas</w:t>
      </w:r>
      <w:r w:rsidR="00F8417B" w:rsidRPr="00CC1633">
        <w:rPr>
          <w:rFonts w:ascii="Arial" w:hAnsi="Arial" w:cs="Arial"/>
          <w:szCs w:val="24"/>
        </w:rPr>
        <w:t xml:space="preserve">, aunque </w:t>
      </w:r>
      <w:r w:rsidR="0065483A" w:rsidRPr="00CC1633">
        <w:rPr>
          <w:rFonts w:ascii="Arial" w:hAnsi="Arial" w:cs="Arial"/>
          <w:szCs w:val="24"/>
        </w:rPr>
        <w:t xml:space="preserve">estas afirmaciones </w:t>
      </w:r>
      <w:r w:rsidR="00F8417B" w:rsidRPr="00CC1633">
        <w:rPr>
          <w:rFonts w:ascii="Arial" w:hAnsi="Arial" w:cs="Arial"/>
          <w:szCs w:val="24"/>
        </w:rPr>
        <w:t xml:space="preserve">pueden calificarse como hechos, </w:t>
      </w:r>
      <w:r w:rsidR="00DF767E" w:rsidRPr="00CC1633">
        <w:rPr>
          <w:rFonts w:ascii="Arial" w:hAnsi="Arial" w:cs="Arial"/>
          <w:szCs w:val="24"/>
        </w:rPr>
        <w:t xml:space="preserve">lo cierto es que </w:t>
      </w:r>
      <w:r w:rsidR="00F8417B" w:rsidRPr="00CC1633">
        <w:rPr>
          <w:rFonts w:ascii="Arial" w:hAnsi="Arial" w:cs="Arial"/>
          <w:szCs w:val="24"/>
        </w:rPr>
        <w:t xml:space="preserve">no guardan relación con el cumplimiento del deber de información que al que estaba obligado Protección en el acto de traslado, que es el verdadero objeto de la causa. </w:t>
      </w:r>
      <w:r w:rsidR="0061115D" w:rsidRPr="00CC1633">
        <w:rPr>
          <w:rFonts w:ascii="Arial" w:hAnsi="Arial" w:cs="Arial"/>
          <w:szCs w:val="24"/>
        </w:rPr>
        <w:t xml:space="preserve">De modo que, </w:t>
      </w:r>
      <w:r w:rsidR="00C66D92" w:rsidRPr="00CC1633">
        <w:rPr>
          <w:rFonts w:ascii="Arial" w:hAnsi="Arial" w:cs="Arial"/>
          <w:szCs w:val="24"/>
        </w:rPr>
        <w:t xml:space="preserve">son insuficientes para predicar la eficacia del </w:t>
      </w:r>
      <w:r w:rsidR="004369F0" w:rsidRPr="00CC1633">
        <w:rPr>
          <w:rFonts w:ascii="Arial" w:hAnsi="Arial" w:cs="Arial"/>
          <w:szCs w:val="24"/>
        </w:rPr>
        <w:t>traslado del mismo.</w:t>
      </w:r>
      <w:r w:rsidR="00C66D92" w:rsidRPr="00CC1633">
        <w:rPr>
          <w:rFonts w:ascii="Arial" w:hAnsi="Arial" w:cs="Arial"/>
          <w:szCs w:val="24"/>
        </w:rPr>
        <w:t xml:space="preserve"> </w:t>
      </w:r>
    </w:p>
    <w:p w14:paraId="10AD0F96" w14:textId="29D08363" w:rsidR="00966046" w:rsidRPr="00CC1633" w:rsidRDefault="00966046" w:rsidP="00A71BD5">
      <w:pPr>
        <w:spacing w:line="276" w:lineRule="auto"/>
        <w:jc w:val="both"/>
        <w:rPr>
          <w:rFonts w:ascii="Arial" w:hAnsi="Arial" w:cs="Arial"/>
          <w:szCs w:val="24"/>
        </w:rPr>
      </w:pPr>
    </w:p>
    <w:p w14:paraId="1953A016" w14:textId="1B258E0D" w:rsidR="006E6413" w:rsidRPr="00CC1633" w:rsidRDefault="007C65A8" w:rsidP="00A71BD5">
      <w:pPr>
        <w:pStyle w:val="Sinespaciado"/>
        <w:spacing w:line="276" w:lineRule="auto"/>
        <w:jc w:val="both"/>
        <w:rPr>
          <w:rFonts w:ascii="Arial" w:hAnsi="Arial" w:cs="Arial"/>
          <w:szCs w:val="24"/>
        </w:rPr>
      </w:pPr>
      <w:r w:rsidRPr="00CC1633">
        <w:rPr>
          <w:rFonts w:ascii="Arial" w:hAnsi="Arial" w:cs="Arial"/>
          <w:szCs w:val="24"/>
        </w:rPr>
        <w:t>Así las cosas, c</w:t>
      </w:r>
      <w:r w:rsidR="00615004" w:rsidRPr="00CC1633">
        <w:rPr>
          <w:rFonts w:ascii="Arial" w:hAnsi="Arial" w:cs="Arial"/>
          <w:szCs w:val="24"/>
        </w:rPr>
        <w:t>omo se mencionó en el recuento normativo y jurisprudencial, para la época en que ocurrió el traslado de</w:t>
      </w:r>
      <w:r w:rsidRPr="00CC1633">
        <w:rPr>
          <w:rFonts w:ascii="Arial" w:hAnsi="Arial" w:cs="Arial"/>
          <w:szCs w:val="24"/>
        </w:rPr>
        <w:t xml:space="preserve"> la </w:t>
      </w:r>
      <w:r w:rsidR="00615004" w:rsidRPr="00CC1633">
        <w:rPr>
          <w:rFonts w:ascii="Arial" w:hAnsi="Arial" w:cs="Arial"/>
          <w:szCs w:val="24"/>
        </w:rPr>
        <w:t xml:space="preserve">demandante estaban en vigor los cánones de los artículos 13, literal b), 271 y 272 de la Ley 100 de 1993, el artículo 97 del Decreto 663 de 1993 y diversas disposiciones constitucionales relativas al derecho a la información, </w:t>
      </w:r>
      <w:r w:rsidR="007C4407" w:rsidRPr="00CC1633">
        <w:rPr>
          <w:rFonts w:ascii="Arial" w:hAnsi="Arial" w:cs="Arial"/>
          <w:szCs w:val="24"/>
        </w:rPr>
        <w:t xml:space="preserve">al </w:t>
      </w:r>
      <w:r w:rsidR="00615004" w:rsidRPr="00CC1633">
        <w:rPr>
          <w:rFonts w:ascii="Arial" w:hAnsi="Arial" w:cs="Arial"/>
          <w:szCs w:val="24"/>
        </w:rPr>
        <w:t>no menoscabo de los derechos laborales y</w:t>
      </w:r>
      <w:r w:rsidR="007C4407" w:rsidRPr="00CC1633">
        <w:rPr>
          <w:rFonts w:ascii="Arial" w:hAnsi="Arial" w:cs="Arial"/>
          <w:szCs w:val="24"/>
        </w:rPr>
        <w:t xml:space="preserve"> a la</w:t>
      </w:r>
      <w:r w:rsidR="00615004" w:rsidRPr="00CC1633">
        <w:rPr>
          <w:rFonts w:ascii="Arial" w:hAnsi="Arial" w:cs="Arial"/>
          <w:szCs w:val="24"/>
        </w:rPr>
        <w:t xml:space="preserve"> autonomía personal, conforme a los cuales, como mínimo, debió ilustrarse a</w:t>
      </w:r>
      <w:r w:rsidRPr="00CC1633">
        <w:rPr>
          <w:rFonts w:ascii="Arial" w:hAnsi="Arial" w:cs="Arial"/>
          <w:szCs w:val="24"/>
        </w:rPr>
        <w:t xml:space="preserve"> la</w:t>
      </w:r>
      <w:r w:rsidR="00625F45" w:rsidRPr="00CC1633">
        <w:rPr>
          <w:rFonts w:ascii="Arial" w:hAnsi="Arial" w:cs="Arial"/>
          <w:szCs w:val="24"/>
        </w:rPr>
        <w:t xml:space="preserve"> </w:t>
      </w:r>
      <w:r w:rsidR="00615004" w:rsidRPr="00CC1633">
        <w:rPr>
          <w:rFonts w:ascii="Arial" w:hAnsi="Arial" w:cs="Arial"/>
          <w:szCs w:val="24"/>
        </w:rPr>
        <w:t>potencial</w:t>
      </w:r>
      <w:r w:rsidR="00667334" w:rsidRPr="00CC1633">
        <w:rPr>
          <w:rFonts w:ascii="Arial" w:hAnsi="Arial" w:cs="Arial"/>
          <w:szCs w:val="24"/>
        </w:rPr>
        <w:t xml:space="preserve"> </w:t>
      </w:r>
      <w:r w:rsidR="00615004" w:rsidRPr="00CC1633">
        <w:rPr>
          <w:rFonts w:ascii="Arial" w:hAnsi="Arial" w:cs="Arial"/>
          <w:szCs w:val="24"/>
        </w:rPr>
        <w:t>afiliad</w:t>
      </w:r>
      <w:r w:rsidRPr="00CC1633">
        <w:rPr>
          <w:rFonts w:ascii="Arial" w:hAnsi="Arial" w:cs="Arial"/>
          <w:szCs w:val="24"/>
        </w:rPr>
        <w:t>a</w:t>
      </w:r>
      <w:r w:rsidR="00615004" w:rsidRPr="00CC1633">
        <w:rPr>
          <w:rFonts w:ascii="Arial" w:hAnsi="Arial" w:cs="Arial"/>
          <w:szCs w:val="24"/>
        </w:rPr>
        <w:t xml:space="preserve"> sobre las características, condiciones</w:t>
      </w:r>
      <w:r w:rsidR="006A133A" w:rsidRPr="00CC1633">
        <w:rPr>
          <w:rFonts w:ascii="Arial" w:hAnsi="Arial" w:cs="Arial"/>
          <w:szCs w:val="24"/>
        </w:rPr>
        <w:t xml:space="preserve"> de</w:t>
      </w:r>
      <w:r w:rsidR="00615004" w:rsidRPr="00CC1633">
        <w:rPr>
          <w:rFonts w:ascii="Arial" w:hAnsi="Arial" w:cs="Arial"/>
          <w:szCs w:val="24"/>
        </w:rPr>
        <w:t xml:space="preserve"> acceso, efectos y riesgos de cada uno de los regímenes pensionales, incluyendo la eventual pérdida de beneficios pensionales</w:t>
      </w:r>
      <w:r w:rsidR="00F71333" w:rsidRPr="00CC1633">
        <w:rPr>
          <w:rFonts w:ascii="Arial" w:hAnsi="Arial" w:cs="Arial"/>
          <w:szCs w:val="24"/>
        </w:rPr>
        <w:t xml:space="preserve"> y del régimen de transición pensional. </w:t>
      </w:r>
      <w:r w:rsidR="006E6413" w:rsidRPr="00CC1633">
        <w:rPr>
          <w:rFonts w:ascii="Arial" w:hAnsi="Arial" w:cs="Arial"/>
          <w:szCs w:val="24"/>
        </w:rPr>
        <w:t xml:space="preserve"> </w:t>
      </w:r>
    </w:p>
    <w:p w14:paraId="4E889C2A" w14:textId="77777777" w:rsidR="006E6413" w:rsidRPr="00CC1633" w:rsidRDefault="006E6413" w:rsidP="00A71BD5">
      <w:pPr>
        <w:pStyle w:val="Sinespaciado"/>
        <w:spacing w:line="276" w:lineRule="auto"/>
        <w:jc w:val="both"/>
        <w:rPr>
          <w:rFonts w:ascii="Arial" w:hAnsi="Arial" w:cs="Arial"/>
          <w:szCs w:val="24"/>
        </w:rPr>
      </w:pPr>
    </w:p>
    <w:p w14:paraId="570AF582" w14:textId="63642429" w:rsidR="00E3512F" w:rsidRPr="00CC1633" w:rsidRDefault="00625F45" w:rsidP="00A71BD5">
      <w:pPr>
        <w:pStyle w:val="Sinespaciado"/>
        <w:spacing w:line="276" w:lineRule="auto"/>
        <w:jc w:val="both"/>
        <w:rPr>
          <w:rFonts w:ascii="Arial" w:hAnsi="Arial" w:cs="Arial"/>
          <w:szCs w:val="24"/>
        </w:rPr>
      </w:pPr>
      <w:r w:rsidRPr="00CC1633">
        <w:rPr>
          <w:rFonts w:ascii="Arial" w:hAnsi="Arial" w:cs="Arial"/>
          <w:szCs w:val="24"/>
        </w:rPr>
        <w:t>Empero</w:t>
      </w:r>
      <w:r w:rsidR="006E6413" w:rsidRPr="00CC1633">
        <w:rPr>
          <w:rFonts w:ascii="Arial" w:hAnsi="Arial" w:cs="Arial"/>
          <w:szCs w:val="24"/>
        </w:rPr>
        <w:t>, analizad</w:t>
      </w:r>
      <w:r w:rsidR="00324964" w:rsidRPr="00CC1633">
        <w:rPr>
          <w:rFonts w:ascii="Arial" w:hAnsi="Arial" w:cs="Arial"/>
          <w:szCs w:val="24"/>
        </w:rPr>
        <w:t>o</w:t>
      </w:r>
      <w:r w:rsidR="006E6413" w:rsidRPr="00CC1633">
        <w:rPr>
          <w:rFonts w:ascii="Arial" w:hAnsi="Arial" w:cs="Arial"/>
          <w:szCs w:val="24"/>
        </w:rPr>
        <w:t xml:space="preserve"> </w:t>
      </w:r>
      <w:r w:rsidR="00324964" w:rsidRPr="00CC1633">
        <w:rPr>
          <w:rFonts w:ascii="Arial" w:hAnsi="Arial" w:cs="Arial"/>
          <w:szCs w:val="24"/>
        </w:rPr>
        <w:t>caudal probatorio bajo estos parámetros</w:t>
      </w:r>
      <w:r w:rsidR="007A1831" w:rsidRPr="00CC1633">
        <w:rPr>
          <w:rFonts w:ascii="Arial" w:hAnsi="Arial" w:cs="Arial"/>
          <w:szCs w:val="24"/>
        </w:rPr>
        <w:t>,</w:t>
      </w:r>
      <w:r w:rsidR="00324964" w:rsidRPr="00CC1633">
        <w:rPr>
          <w:rFonts w:ascii="Arial" w:hAnsi="Arial" w:cs="Arial"/>
          <w:szCs w:val="24"/>
        </w:rPr>
        <w:t xml:space="preserve"> </w:t>
      </w:r>
      <w:r w:rsidRPr="00CC1633">
        <w:rPr>
          <w:rFonts w:ascii="Arial" w:hAnsi="Arial" w:cs="Arial"/>
          <w:szCs w:val="24"/>
        </w:rPr>
        <w:t>tal y como lo reconoció la representante legal de Protección durante el interrogatorio de parte rendido por cuenta de</w:t>
      </w:r>
      <w:r w:rsidR="007C65A8" w:rsidRPr="00CC1633">
        <w:rPr>
          <w:rFonts w:ascii="Arial" w:hAnsi="Arial" w:cs="Arial"/>
          <w:szCs w:val="24"/>
        </w:rPr>
        <w:t xml:space="preserve"> la vocera judicial que representa los intereses de la demandante</w:t>
      </w:r>
      <w:r w:rsidRPr="00CC1633">
        <w:rPr>
          <w:rFonts w:ascii="Arial" w:hAnsi="Arial" w:cs="Arial"/>
          <w:szCs w:val="24"/>
        </w:rPr>
        <w:t xml:space="preserve">, </w:t>
      </w:r>
      <w:r w:rsidR="007C65A8" w:rsidRPr="00CC1633">
        <w:rPr>
          <w:rFonts w:ascii="Arial" w:hAnsi="Arial" w:cs="Arial"/>
          <w:szCs w:val="24"/>
        </w:rPr>
        <w:t xml:space="preserve">desconoce si el asesor comercial que brindó asesoría a la </w:t>
      </w:r>
      <w:r w:rsidR="007F2066" w:rsidRPr="00CC1633">
        <w:rPr>
          <w:rFonts w:ascii="Arial" w:hAnsi="Arial" w:cs="Arial"/>
          <w:szCs w:val="24"/>
        </w:rPr>
        <w:t>demandante</w:t>
      </w:r>
      <w:r w:rsidR="007C65A8" w:rsidRPr="00CC1633">
        <w:rPr>
          <w:rFonts w:ascii="Arial" w:hAnsi="Arial" w:cs="Arial"/>
          <w:szCs w:val="24"/>
        </w:rPr>
        <w:t xml:space="preserve"> al momento del traslado de régimen pensional, le hizo el respectivo comparativo entre los regímenes pensionales existentes, si le enviaron </w:t>
      </w:r>
      <w:r w:rsidR="007F2066" w:rsidRPr="00CC1633">
        <w:rPr>
          <w:rFonts w:ascii="Arial" w:hAnsi="Arial" w:cs="Arial"/>
          <w:szCs w:val="24"/>
        </w:rPr>
        <w:t>algún</w:t>
      </w:r>
      <w:r w:rsidR="007C65A8" w:rsidRPr="00CC1633">
        <w:rPr>
          <w:rFonts w:ascii="Arial" w:hAnsi="Arial" w:cs="Arial"/>
          <w:szCs w:val="24"/>
        </w:rPr>
        <w:t xml:space="preserve"> tipo de comunicado para </w:t>
      </w:r>
      <w:r w:rsidR="007C65A8" w:rsidRPr="00CC1633">
        <w:rPr>
          <w:rFonts w:ascii="Arial" w:hAnsi="Arial" w:cs="Arial"/>
          <w:szCs w:val="24"/>
        </w:rPr>
        <w:lastRenderedPageBreak/>
        <w:t xml:space="preserve">informarle sobre el periodo de gracia para retornar al RPMPD, si se le entregó algún folleto </w:t>
      </w:r>
      <w:r w:rsidR="007F2066" w:rsidRPr="00CC1633">
        <w:rPr>
          <w:rFonts w:ascii="Arial" w:hAnsi="Arial" w:cs="Arial"/>
          <w:szCs w:val="24"/>
        </w:rPr>
        <w:t>contentivo de información adicional sobre las diferencias existentes entre uno y otro régimen, sin que los documentos allegados a esta Corporación en atención al decreto de pruebas efectuado en primera instancia, consistentes en la hoja de vida de la asesora comercial, marquen diferencia alguna respecto a lo que en realidad fue lo informado a la señora Fabiola Gutiérrez Suárez, en tanto que, l</w:t>
      </w:r>
      <w:r w:rsidRPr="00CC1633">
        <w:rPr>
          <w:rFonts w:ascii="Arial" w:hAnsi="Arial" w:cs="Arial"/>
          <w:szCs w:val="24"/>
        </w:rPr>
        <w:t xml:space="preserve">a única prueba que existe en relación con el acto de afiliación, corresponde al formulario suscrito por </w:t>
      </w:r>
      <w:r w:rsidR="007F2066" w:rsidRPr="00CC1633">
        <w:rPr>
          <w:rFonts w:ascii="Arial" w:hAnsi="Arial" w:cs="Arial"/>
          <w:szCs w:val="24"/>
        </w:rPr>
        <w:t>aquella.</w:t>
      </w:r>
    </w:p>
    <w:p w14:paraId="7B802080" w14:textId="77777777" w:rsidR="00E3512F" w:rsidRPr="00CC1633" w:rsidRDefault="00E3512F" w:rsidP="00A71BD5">
      <w:pPr>
        <w:pStyle w:val="Sinespaciado"/>
        <w:spacing w:line="276" w:lineRule="auto"/>
        <w:jc w:val="both"/>
        <w:rPr>
          <w:rFonts w:ascii="Arial" w:hAnsi="Arial" w:cs="Arial"/>
          <w:szCs w:val="24"/>
        </w:rPr>
      </w:pPr>
    </w:p>
    <w:p w14:paraId="3FAB4BC0" w14:textId="3F66EC27" w:rsidR="006A133A" w:rsidRPr="00CC1633" w:rsidRDefault="00E3512F" w:rsidP="00A71BD5">
      <w:pPr>
        <w:pStyle w:val="Sinespaciado"/>
        <w:spacing w:line="276" w:lineRule="auto"/>
        <w:jc w:val="both"/>
        <w:rPr>
          <w:rFonts w:ascii="Arial" w:hAnsi="Arial" w:cs="Arial"/>
          <w:szCs w:val="24"/>
        </w:rPr>
      </w:pPr>
      <w:r w:rsidRPr="00CC1633">
        <w:rPr>
          <w:rFonts w:ascii="Arial" w:hAnsi="Arial" w:cs="Arial"/>
          <w:szCs w:val="24"/>
        </w:rPr>
        <w:t>Precisamente</w:t>
      </w:r>
      <w:r w:rsidR="006A133A" w:rsidRPr="00CC1633">
        <w:rPr>
          <w:rFonts w:ascii="Arial" w:hAnsi="Arial" w:cs="Arial"/>
          <w:szCs w:val="24"/>
        </w:rPr>
        <w:t xml:space="preserve">, </w:t>
      </w:r>
      <w:r w:rsidR="007A1831" w:rsidRPr="00CC1633">
        <w:rPr>
          <w:rFonts w:ascii="Arial" w:hAnsi="Arial" w:cs="Arial"/>
          <w:szCs w:val="24"/>
        </w:rPr>
        <w:t xml:space="preserve">como </w:t>
      </w:r>
      <w:r w:rsidR="00667334" w:rsidRPr="00CC1633">
        <w:rPr>
          <w:rFonts w:ascii="Arial" w:hAnsi="Arial" w:cs="Arial"/>
          <w:szCs w:val="24"/>
        </w:rPr>
        <w:t>el único documento relacionado con el acto de traslado</w:t>
      </w:r>
      <w:r w:rsidR="007A1831" w:rsidRPr="00CC1633">
        <w:rPr>
          <w:rFonts w:ascii="Arial" w:hAnsi="Arial" w:cs="Arial"/>
          <w:szCs w:val="24"/>
        </w:rPr>
        <w:t xml:space="preserve"> que obra en el proceso</w:t>
      </w:r>
      <w:r w:rsidR="00667334" w:rsidRPr="00CC1633">
        <w:rPr>
          <w:rFonts w:ascii="Arial" w:hAnsi="Arial" w:cs="Arial"/>
          <w:szCs w:val="24"/>
        </w:rPr>
        <w:t xml:space="preserve"> es el formulario de afiliación</w:t>
      </w:r>
      <w:r w:rsidR="00E25D8A" w:rsidRPr="00CC1633">
        <w:rPr>
          <w:rFonts w:ascii="Arial" w:hAnsi="Arial" w:cs="Arial"/>
          <w:szCs w:val="24"/>
        </w:rPr>
        <w:t xml:space="preserve">, impera anotar que </w:t>
      </w:r>
      <w:r w:rsidR="0038540F" w:rsidRPr="00CC1633">
        <w:rPr>
          <w:rFonts w:ascii="Arial" w:hAnsi="Arial" w:cs="Arial"/>
          <w:szCs w:val="24"/>
        </w:rPr>
        <w:t xml:space="preserve">es evidente que lo consignado en </w:t>
      </w:r>
      <w:r w:rsidR="00E25D8A" w:rsidRPr="00CC1633">
        <w:rPr>
          <w:rFonts w:ascii="Arial" w:hAnsi="Arial" w:cs="Arial"/>
          <w:szCs w:val="24"/>
        </w:rPr>
        <w:t>mismo, visible a folio</w:t>
      </w:r>
      <w:r w:rsidR="00013202" w:rsidRPr="00CC1633">
        <w:rPr>
          <w:rFonts w:ascii="Arial" w:hAnsi="Arial" w:cs="Arial"/>
          <w:szCs w:val="24"/>
        </w:rPr>
        <w:t xml:space="preserve"> 112</w:t>
      </w:r>
      <w:r w:rsidR="0038540F" w:rsidRPr="00CC1633">
        <w:rPr>
          <w:rFonts w:ascii="Arial" w:hAnsi="Arial" w:cs="Arial"/>
          <w:szCs w:val="24"/>
        </w:rPr>
        <w:t xml:space="preserve">, no </w:t>
      </w:r>
      <w:r w:rsidR="00E25D8A" w:rsidRPr="00CC1633">
        <w:rPr>
          <w:rFonts w:ascii="Arial" w:hAnsi="Arial" w:cs="Arial"/>
          <w:szCs w:val="24"/>
        </w:rPr>
        <w:t>es</w:t>
      </w:r>
      <w:r w:rsidR="0038540F" w:rsidRPr="00CC1633">
        <w:rPr>
          <w:rFonts w:ascii="Arial" w:hAnsi="Arial" w:cs="Arial"/>
          <w:szCs w:val="24"/>
        </w:rPr>
        <w:t xml:space="preserve"> m</w:t>
      </w:r>
      <w:r w:rsidR="0028776D" w:rsidRPr="00CC1633">
        <w:rPr>
          <w:rFonts w:ascii="Arial" w:hAnsi="Arial" w:cs="Arial"/>
          <w:szCs w:val="24"/>
        </w:rPr>
        <w:t>á</w:t>
      </w:r>
      <w:r w:rsidR="0038540F" w:rsidRPr="00CC1633">
        <w:rPr>
          <w:rFonts w:ascii="Arial" w:hAnsi="Arial" w:cs="Arial"/>
          <w:szCs w:val="24"/>
        </w:rPr>
        <w:t xml:space="preserve">s que un formalismo </w:t>
      </w:r>
      <w:r w:rsidR="00CE1571" w:rsidRPr="00CC1633">
        <w:rPr>
          <w:rFonts w:ascii="Arial" w:hAnsi="Arial" w:cs="Arial"/>
          <w:szCs w:val="24"/>
        </w:rPr>
        <w:t xml:space="preserve">del cual no es posible inferir </w:t>
      </w:r>
      <w:r w:rsidRPr="00CC1633">
        <w:rPr>
          <w:rFonts w:ascii="Arial" w:hAnsi="Arial" w:cs="Arial"/>
          <w:szCs w:val="24"/>
        </w:rPr>
        <w:t xml:space="preserve"> que </w:t>
      </w:r>
      <w:r w:rsidR="00CE1571" w:rsidRPr="00CC1633">
        <w:rPr>
          <w:rFonts w:ascii="Arial" w:hAnsi="Arial" w:cs="Arial"/>
          <w:szCs w:val="24"/>
        </w:rPr>
        <w:t xml:space="preserve">hubiere existido algún tipo de asesoría para </w:t>
      </w:r>
      <w:r w:rsidR="00013202" w:rsidRPr="00CC1633">
        <w:rPr>
          <w:rFonts w:ascii="Arial" w:hAnsi="Arial" w:cs="Arial"/>
          <w:szCs w:val="24"/>
        </w:rPr>
        <w:t>la</w:t>
      </w:r>
      <w:r w:rsidRPr="00CC1633">
        <w:rPr>
          <w:rFonts w:ascii="Arial" w:hAnsi="Arial" w:cs="Arial"/>
          <w:szCs w:val="24"/>
        </w:rPr>
        <w:t xml:space="preserve"> trabajador</w:t>
      </w:r>
      <w:r w:rsidR="00CE1571" w:rsidRPr="00CC1633">
        <w:rPr>
          <w:rFonts w:ascii="Arial" w:hAnsi="Arial" w:cs="Arial"/>
          <w:szCs w:val="24"/>
        </w:rPr>
        <w:t xml:space="preserve"> que l</w:t>
      </w:r>
      <w:r w:rsidR="00013202" w:rsidRPr="00CC1633">
        <w:rPr>
          <w:rFonts w:ascii="Arial" w:hAnsi="Arial" w:cs="Arial"/>
          <w:szCs w:val="24"/>
        </w:rPr>
        <w:t>o</w:t>
      </w:r>
      <w:r w:rsidR="00CE1571" w:rsidRPr="00CC1633">
        <w:rPr>
          <w:rFonts w:ascii="Arial" w:hAnsi="Arial" w:cs="Arial"/>
          <w:szCs w:val="24"/>
        </w:rPr>
        <w:t xml:space="preserve"> suscribió</w:t>
      </w:r>
      <w:r w:rsidR="006A133A" w:rsidRPr="00CC1633">
        <w:rPr>
          <w:rFonts w:ascii="Arial" w:hAnsi="Arial" w:cs="Arial"/>
          <w:szCs w:val="24"/>
        </w:rPr>
        <w:t xml:space="preserve">; pues este </w:t>
      </w:r>
      <w:r w:rsidR="0038540F" w:rsidRPr="00CC1633">
        <w:rPr>
          <w:rFonts w:ascii="Arial" w:hAnsi="Arial" w:cs="Arial"/>
          <w:szCs w:val="24"/>
        </w:rPr>
        <w:t>documento</w:t>
      </w:r>
      <w:r w:rsidR="00BC170D" w:rsidRPr="00CC1633">
        <w:rPr>
          <w:rFonts w:ascii="Arial" w:hAnsi="Arial" w:cs="Arial"/>
          <w:szCs w:val="24"/>
        </w:rPr>
        <w:t xml:space="preserve"> no evidencia </w:t>
      </w:r>
      <w:r w:rsidR="0038540F" w:rsidRPr="00CC1633">
        <w:rPr>
          <w:rFonts w:ascii="Arial" w:hAnsi="Arial" w:cs="Arial"/>
          <w:szCs w:val="24"/>
        </w:rPr>
        <w:t>algún</w:t>
      </w:r>
      <w:r w:rsidR="00BC170D" w:rsidRPr="00CC1633">
        <w:rPr>
          <w:rFonts w:ascii="Arial" w:hAnsi="Arial" w:cs="Arial"/>
          <w:szCs w:val="24"/>
        </w:rPr>
        <w:t xml:space="preserve">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w:t>
      </w:r>
      <w:r w:rsidR="006A133A" w:rsidRPr="00CC1633">
        <w:rPr>
          <w:rFonts w:ascii="Arial" w:hAnsi="Arial" w:cs="Arial"/>
          <w:szCs w:val="24"/>
        </w:rPr>
        <w:t xml:space="preserve">. </w:t>
      </w:r>
    </w:p>
    <w:p w14:paraId="4504A96B" w14:textId="5EE43F77" w:rsidR="00BC170D" w:rsidRPr="00CC1633" w:rsidRDefault="00BC170D" w:rsidP="00A71BD5">
      <w:pPr>
        <w:pStyle w:val="Sinespaciado"/>
        <w:spacing w:line="276" w:lineRule="auto"/>
        <w:jc w:val="both"/>
        <w:rPr>
          <w:rFonts w:ascii="Arial" w:hAnsi="Arial" w:cs="Arial"/>
          <w:szCs w:val="24"/>
        </w:rPr>
      </w:pPr>
    </w:p>
    <w:p w14:paraId="5A47D1C6" w14:textId="5D3FD629" w:rsidR="0038540F" w:rsidRPr="00CC1633" w:rsidRDefault="00CC69ED" w:rsidP="00A71BD5">
      <w:pPr>
        <w:pStyle w:val="Sinespaciado"/>
        <w:spacing w:line="276" w:lineRule="auto"/>
        <w:jc w:val="both"/>
        <w:rPr>
          <w:rFonts w:ascii="Arial" w:hAnsi="Arial" w:cs="Arial"/>
          <w:szCs w:val="24"/>
        </w:rPr>
      </w:pPr>
      <w:r w:rsidRPr="00CC1633">
        <w:rPr>
          <w:rFonts w:ascii="Arial" w:hAnsi="Arial" w:cs="Arial"/>
          <w:szCs w:val="24"/>
        </w:rPr>
        <w:t>Agregando a lo anterior</w:t>
      </w:r>
      <w:r w:rsidR="0038540F" w:rsidRPr="00CC1633">
        <w:rPr>
          <w:rFonts w:ascii="Arial" w:hAnsi="Arial" w:cs="Arial"/>
          <w:szCs w:val="24"/>
        </w:rPr>
        <w:t>, la simple firma del formulario, a lo sumo, acredita un consentimiento sin vicios, pero no una decisión debidamente informada, habida consideración de que no acredita que efectivamente el acto de traslado estuvo precedido de la ilustración suficiente al afiliad</w:t>
      </w:r>
      <w:r w:rsidR="006A133A" w:rsidRPr="00CC1633">
        <w:rPr>
          <w:rFonts w:ascii="Arial" w:hAnsi="Arial" w:cs="Arial"/>
          <w:szCs w:val="24"/>
        </w:rPr>
        <w:t>o;</w:t>
      </w:r>
      <w:r w:rsidR="0038540F" w:rsidRPr="00CC1633">
        <w:rPr>
          <w:rFonts w:ascii="Arial" w:hAnsi="Arial" w:cs="Arial"/>
          <w:szCs w:val="24"/>
        </w:rPr>
        <w:t xml:space="preserve">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14:paraId="145B1F5F" w14:textId="06CF2E32" w:rsidR="009B5C4C" w:rsidRPr="00CC1633" w:rsidRDefault="009B5C4C" w:rsidP="00A71BD5">
      <w:pPr>
        <w:pStyle w:val="Sinespaciado"/>
        <w:spacing w:line="276" w:lineRule="auto"/>
        <w:jc w:val="both"/>
        <w:rPr>
          <w:rFonts w:ascii="Arial" w:hAnsi="Arial" w:cs="Arial"/>
          <w:szCs w:val="24"/>
        </w:rPr>
      </w:pPr>
    </w:p>
    <w:p w14:paraId="157C4533" w14:textId="22BF4757" w:rsidR="00943CE8" w:rsidRPr="00CC1633" w:rsidRDefault="006A133A" w:rsidP="00A71BD5">
      <w:pPr>
        <w:pStyle w:val="Sinespaciado"/>
        <w:spacing w:line="276" w:lineRule="auto"/>
        <w:jc w:val="both"/>
        <w:rPr>
          <w:rFonts w:ascii="Arial" w:hAnsi="Arial" w:cs="Arial"/>
          <w:szCs w:val="24"/>
        </w:rPr>
      </w:pPr>
      <w:r w:rsidRPr="00CC1633">
        <w:rPr>
          <w:rFonts w:ascii="Arial" w:hAnsi="Arial" w:cs="Arial"/>
          <w:szCs w:val="24"/>
        </w:rPr>
        <w:t xml:space="preserve">Así las cosas, </w:t>
      </w:r>
      <w:r w:rsidR="00472AEF" w:rsidRPr="00CC1633">
        <w:rPr>
          <w:rFonts w:ascii="Arial" w:hAnsi="Arial" w:cs="Arial"/>
          <w:szCs w:val="24"/>
        </w:rPr>
        <w:t xml:space="preserve">visto que en lo declarado como confesión ficta no existen hechos de los que pueda colegirse que el traslado </w:t>
      </w:r>
      <w:r w:rsidR="00013202" w:rsidRPr="00CC1633">
        <w:rPr>
          <w:rFonts w:ascii="Arial" w:hAnsi="Arial" w:cs="Arial"/>
          <w:szCs w:val="24"/>
        </w:rPr>
        <w:t xml:space="preserve">y </w:t>
      </w:r>
      <w:r w:rsidRPr="00CC1633">
        <w:rPr>
          <w:rFonts w:ascii="Arial" w:hAnsi="Arial" w:cs="Arial"/>
          <w:szCs w:val="24"/>
        </w:rPr>
        <w:t>no existiendo en el plenario otros medios de prueba relacionados con el acto de traslado</w:t>
      </w:r>
      <w:r w:rsidR="00D825A2" w:rsidRPr="00CC1633">
        <w:rPr>
          <w:rFonts w:ascii="Arial" w:hAnsi="Arial" w:cs="Arial"/>
          <w:szCs w:val="24"/>
        </w:rPr>
        <w:t xml:space="preserve">, la Sala </w:t>
      </w:r>
      <w:r w:rsidR="00943CE8" w:rsidRPr="00CC1633">
        <w:rPr>
          <w:rFonts w:ascii="Arial" w:hAnsi="Arial" w:cs="Arial"/>
          <w:szCs w:val="24"/>
        </w:rPr>
        <w:t xml:space="preserve">concluye que hay lugar a declarar la ineficacia del traslado de régimen pensional, pues como se dijo, basta la mera ausencia de información clara, precisa y completa al afiliado, para que se produzca la irregularidad del acto de cambio de régimen pensional. Situación que fue exactamente la que ocurrió en el presente caso. Por ello, en el sub lite, al no haberse arrimado al proceso prueba idónea y completa de la información que le debió brindar la A.F.P. PROTECCIÓN a la demandante en el traslado que esta realizó el 6 de julio de 1999 cuando suscribió solicitud de vinculación a dicho fondo, con efectividad a partir del 01 de septiembre de ese mismo año, -carga probatoria que como quedó visto era de la AFP-.   </w:t>
      </w:r>
    </w:p>
    <w:p w14:paraId="04B06667" w14:textId="77777777" w:rsidR="00575AA7" w:rsidRPr="00CC1633" w:rsidRDefault="00575AA7" w:rsidP="00A71BD5">
      <w:pPr>
        <w:pStyle w:val="Sinespaciado"/>
        <w:spacing w:line="276" w:lineRule="auto"/>
        <w:jc w:val="both"/>
        <w:rPr>
          <w:rFonts w:ascii="Arial" w:hAnsi="Arial" w:cs="Arial"/>
          <w:szCs w:val="24"/>
        </w:rPr>
      </w:pPr>
    </w:p>
    <w:p w14:paraId="59B13658" w14:textId="19CD2061" w:rsidR="00056EE1" w:rsidRPr="00CC1633" w:rsidRDefault="00116DDD" w:rsidP="00A71BD5">
      <w:pPr>
        <w:pStyle w:val="Sinespaciado"/>
        <w:spacing w:line="276" w:lineRule="auto"/>
        <w:jc w:val="both"/>
        <w:rPr>
          <w:rFonts w:ascii="Arial" w:hAnsi="Arial" w:cs="Arial"/>
          <w:szCs w:val="24"/>
        </w:rPr>
      </w:pPr>
      <w:r w:rsidRPr="00CC1633">
        <w:rPr>
          <w:rFonts w:ascii="Arial" w:hAnsi="Arial" w:cs="Arial"/>
          <w:szCs w:val="24"/>
        </w:rPr>
        <w:t xml:space="preserve">Esto que se dice conlleva entonces a que las partes deben ser restituidas al estado anterior (art. 1746 del CCC), esto es, que la afiliación de la demandante con </w:t>
      </w:r>
      <w:r w:rsidR="00472AEF" w:rsidRPr="00CC1633">
        <w:rPr>
          <w:rFonts w:ascii="Arial" w:hAnsi="Arial" w:cs="Arial"/>
          <w:szCs w:val="24"/>
        </w:rPr>
        <w:t>Colpensiones</w:t>
      </w:r>
      <w:r w:rsidR="002C4502" w:rsidRPr="00CC1633">
        <w:rPr>
          <w:rFonts w:ascii="Arial" w:hAnsi="Arial" w:cs="Arial"/>
          <w:b/>
          <w:bCs/>
          <w:szCs w:val="24"/>
        </w:rPr>
        <w:t>,</w:t>
      </w:r>
      <w:r w:rsidRPr="00CC1633">
        <w:rPr>
          <w:rFonts w:ascii="Arial" w:hAnsi="Arial" w:cs="Arial"/>
          <w:szCs w:val="24"/>
        </w:rPr>
        <w:t xml:space="preserve"> no solo nunca sufrió alteración alguna, sino que la entidad demandada </w:t>
      </w:r>
      <w:r w:rsidR="00943CE8" w:rsidRPr="00CC1633">
        <w:rPr>
          <w:rFonts w:ascii="Arial" w:hAnsi="Arial" w:cs="Arial"/>
          <w:szCs w:val="24"/>
        </w:rPr>
        <w:t xml:space="preserve">PROTECCIÓN S.A., </w:t>
      </w:r>
      <w:r w:rsidRPr="00CC1633">
        <w:rPr>
          <w:rFonts w:ascii="Arial" w:hAnsi="Arial" w:cs="Arial"/>
          <w:szCs w:val="24"/>
        </w:rPr>
        <w:t>debe devolver a la administradora del R</w:t>
      </w:r>
      <w:r w:rsidR="00730E22" w:rsidRPr="00CC1633">
        <w:rPr>
          <w:rFonts w:ascii="Arial" w:hAnsi="Arial" w:cs="Arial"/>
          <w:szCs w:val="24"/>
        </w:rPr>
        <w:t xml:space="preserve">égimen de </w:t>
      </w:r>
      <w:r w:rsidRPr="00CC1633">
        <w:rPr>
          <w:rFonts w:ascii="Arial" w:hAnsi="Arial" w:cs="Arial"/>
          <w:szCs w:val="24"/>
        </w:rPr>
        <w:t>P</w:t>
      </w:r>
      <w:r w:rsidR="00730E22" w:rsidRPr="00CC1633">
        <w:rPr>
          <w:rFonts w:ascii="Arial" w:hAnsi="Arial" w:cs="Arial"/>
          <w:szCs w:val="24"/>
        </w:rPr>
        <w:t xml:space="preserve">rima </w:t>
      </w:r>
      <w:r w:rsidRPr="00CC1633">
        <w:rPr>
          <w:rFonts w:ascii="Arial" w:hAnsi="Arial" w:cs="Arial"/>
          <w:szCs w:val="24"/>
        </w:rPr>
        <w:t>M</w:t>
      </w:r>
      <w:r w:rsidR="00730E22" w:rsidRPr="00CC1633">
        <w:rPr>
          <w:rFonts w:ascii="Arial" w:hAnsi="Arial" w:cs="Arial"/>
          <w:szCs w:val="24"/>
        </w:rPr>
        <w:t xml:space="preserve">edia </w:t>
      </w:r>
      <w:r w:rsidR="0096625C" w:rsidRPr="00CC1633">
        <w:rPr>
          <w:rFonts w:ascii="Arial" w:hAnsi="Arial" w:cs="Arial"/>
          <w:szCs w:val="24"/>
        </w:rPr>
        <w:t xml:space="preserve">– </w:t>
      </w:r>
      <w:r w:rsidR="00472AEF" w:rsidRPr="00CC1633">
        <w:rPr>
          <w:rFonts w:ascii="Arial" w:hAnsi="Arial" w:cs="Arial"/>
          <w:szCs w:val="24"/>
        </w:rPr>
        <w:t>Colpensiones</w:t>
      </w:r>
      <w:r w:rsidR="005F0E5B" w:rsidRPr="00CC1633">
        <w:rPr>
          <w:rFonts w:ascii="Arial" w:hAnsi="Arial" w:cs="Arial"/>
          <w:szCs w:val="24"/>
        </w:rPr>
        <w:t xml:space="preserve"> los saldos de la cuenta individual, incluyendo los aportes, rendimientos, bonos pensionales, entre otros, y además los gastos de administración, comisiones, seguros previsionales y sumas retenidas para el fondo </w:t>
      </w:r>
      <w:r w:rsidR="005F0E5B" w:rsidRPr="00CC1633">
        <w:rPr>
          <w:rFonts w:ascii="Arial" w:hAnsi="Arial" w:cs="Arial"/>
          <w:szCs w:val="24"/>
        </w:rPr>
        <w:lastRenderedPageBreak/>
        <w:t xml:space="preserve">de garantía de pensión mínima, debidamente indexadas, percibidas desde </w:t>
      </w:r>
      <w:r w:rsidR="00943CE8" w:rsidRPr="00CC1633">
        <w:rPr>
          <w:rFonts w:ascii="Arial" w:hAnsi="Arial" w:cs="Arial"/>
          <w:szCs w:val="24"/>
        </w:rPr>
        <w:t>septiembre de 1999</w:t>
      </w:r>
      <w:r w:rsidR="005F0E5B" w:rsidRPr="00CC1633">
        <w:rPr>
          <w:rFonts w:ascii="Arial" w:hAnsi="Arial" w:cs="Arial"/>
          <w:szCs w:val="24"/>
        </w:rPr>
        <w:t xml:space="preserve"> </w:t>
      </w:r>
      <w:r w:rsidR="00943CE8" w:rsidRPr="00CC1633">
        <w:rPr>
          <w:rFonts w:ascii="Arial" w:hAnsi="Arial" w:cs="Arial"/>
          <w:szCs w:val="24"/>
        </w:rPr>
        <w:t>a la fecha.</w:t>
      </w:r>
      <w:r w:rsidR="005F0E5B" w:rsidRPr="00CC1633">
        <w:rPr>
          <w:rFonts w:ascii="Arial" w:hAnsi="Arial" w:cs="Arial"/>
          <w:szCs w:val="24"/>
        </w:rPr>
        <w:t xml:space="preserve"> </w:t>
      </w:r>
    </w:p>
    <w:p w14:paraId="19A1D8D4" w14:textId="77777777" w:rsidR="00472AEF" w:rsidRPr="00CC1633" w:rsidRDefault="00472AEF" w:rsidP="00A71BD5">
      <w:pPr>
        <w:pStyle w:val="Sinespaciado"/>
        <w:spacing w:line="276" w:lineRule="auto"/>
        <w:jc w:val="both"/>
        <w:rPr>
          <w:rFonts w:ascii="Arial" w:hAnsi="Arial" w:cs="Arial"/>
          <w:szCs w:val="24"/>
        </w:rPr>
      </w:pPr>
    </w:p>
    <w:p w14:paraId="7E5541D3" w14:textId="3BF94119" w:rsidR="00116DDD" w:rsidRPr="00CC1633" w:rsidRDefault="00116DDD" w:rsidP="00A71BD5">
      <w:pPr>
        <w:pStyle w:val="Textoindependiente"/>
        <w:spacing w:line="276" w:lineRule="auto"/>
        <w:rPr>
          <w:rFonts w:cs="Arial"/>
          <w:sz w:val="24"/>
          <w:szCs w:val="24"/>
        </w:rPr>
      </w:pPr>
      <w:r w:rsidRPr="00CC1633">
        <w:rPr>
          <w:rFonts w:cs="Arial"/>
          <w:sz w:val="24"/>
          <w:szCs w:val="24"/>
        </w:rPr>
        <w:t xml:space="preserve">Ratifica lo anterior, y en especial sobre los gastos de administración, lo que sostiene la Sala de Casación Laboral de la H. Corte Suprema en la sentencia SL1421-2019, Rad. 56174 en la cual se dice lo siguiente: </w:t>
      </w:r>
    </w:p>
    <w:p w14:paraId="27CB35A3" w14:textId="77777777" w:rsidR="00116DDD" w:rsidRPr="00CC1633" w:rsidRDefault="00116DDD" w:rsidP="00A71BD5">
      <w:pPr>
        <w:spacing w:line="276" w:lineRule="auto"/>
        <w:jc w:val="both"/>
        <w:rPr>
          <w:rFonts w:ascii="Arial" w:hAnsi="Arial" w:cs="Arial"/>
          <w:szCs w:val="24"/>
        </w:rPr>
      </w:pPr>
      <w:r w:rsidRPr="00CC1633">
        <w:rPr>
          <w:rFonts w:ascii="Arial" w:hAnsi="Arial" w:cs="Arial"/>
          <w:szCs w:val="24"/>
        </w:rPr>
        <w:t xml:space="preserve"> </w:t>
      </w:r>
    </w:p>
    <w:p w14:paraId="7190FCC1"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CC1633">
        <w:rPr>
          <w:rFonts w:ascii="Arial" w:hAnsi="Arial" w:cs="Arial"/>
          <w:i/>
          <w:iCs/>
          <w:sz w:val="22"/>
          <w:szCs w:val="24"/>
        </w:rPr>
        <w:t>SL17595</w:t>
      </w:r>
      <w:proofErr w:type="spellEnd"/>
      <w:r w:rsidRPr="00CC1633">
        <w:rPr>
          <w:rFonts w:ascii="Arial" w:hAnsi="Arial" w:cs="Arial"/>
          <w:i/>
          <w:iCs/>
          <w:sz w:val="22"/>
          <w:szCs w:val="24"/>
        </w:rPr>
        <w:t xml:space="preserve">-2017 y </w:t>
      </w:r>
      <w:proofErr w:type="spellStart"/>
      <w:r w:rsidRPr="00CC1633">
        <w:rPr>
          <w:rFonts w:ascii="Arial" w:hAnsi="Arial" w:cs="Arial"/>
          <w:i/>
          <w:iCs/>
          <w:sz w:val="22"/>
          <w:szCs w:val="24"/>
        </w:rPr>
        <w:t>CSJSL4989</w:t>
      </w:r>
      <w:proofErr w:type="spellEnd"/>
      <w:r w:rsidRPr="00CC1633">
        <w:rPr>
          <w:rFonts w:ascii="Arial" w:hAnsi="Arial" w:cs="Arial"/>
          <w:i/>
          <w:iCs/>
          <w:sz w:val="22"/>
          <w:szCs w:val="24"/>
        </w:rPr>
        <w:t xml:space="preserve">-2018, donde se rememoró la CSJ </w:t>
      </w:r>
      <w:proofErr w:type="spellStart"/>
      <w:r w:rsidRPr="00CC1633">
        <w:rPr>
          <w:rFonts w:ascii="Arial" w:hAnsi="Arial" w:cs="Arial"/>
          <w:i/>
          <w:iCs/>
          <w:sz w:val="22"/>
          <w:szCs w:val="24"/>
        </w:rPr>
        <w:t>SL</w:t>
      </w:r>
      <w:proofErr w:type="spellEnd"/>
      <w:r w:rsidRPr="00CC1633">
        <w:rPr>
          <w:rFonts w:ascii="Arial" w:hAnsi="Arial" w:cs="Arial"/>
          <w:i/>
          <w:iCs/>
          <w:sz w:val="22"/>
          <w:szCs w:val="24"/>
        </w:rPr>
        <w:t>, 8 sep. 2008, rad. 31989...”</w:t>
      </w:r>
    </w:p>
    <w:p w14:paraId="48820D87" w14:textId="77777777" w:rsidR="00F05DFA" w:rsidRPr="00CC1633" w:rsidRDefault="00F05DFA" w:rsidP="00A71BD5">
      <w:pPr>
        <w:pStyle w:val="Sinespaciado"/>
        <w:spacing w:line="276" w:lineRule="auto"/>
        <w:jc w:val="both"/>
        <w:rPr>
          <w:rFonts w:ascii="Arial" w:hAnsi="Arial" w:cs="Arial"/>
          <w:szCs w:val="24"/>
        </w:rPr>
      </w:pPr>
    </w:p>
    <w:p w14:paraId="66508297" w14:textId="4BE17642" w:rsidR="005F0E5B" w:rsidRPr="00CC1633" w:rsidRDefault="008719AC" w:rsidP="00A71BD5">
      <w:pPr>
        <w:spacing w:line="276" w:lineRule="auto"/>
        <w:jc w:val="both"/>
        <w:rPr>
          <w:rFonts w:ascii="Arial" w:hAnsi="Arial" w:cs="Arial"/>
          <w:szCs w:val="24"/>
        </w:rPr>
      </w:pPr>
      <w:r w:rsidRPr="00CC1633">
        <w:rPr>
          <w:rFonts w:ascii="Arial" w:hAnsi="Arial" w:cs="Arial"/>
          <w:b/>
          <w:bCs/>
          <w:szCs w:val="24"/>
        </w:rPr>
        <w:t xml:space="preserve">Frente a las excepciones propuestas, </w:t>
      </w:r>
      <w:r w:rsidRPr="00CC1633">
        <w:rPr>
          <w:rFonts w:ascii="Arial" w:hAnsi="Arial" w:cs="Arial"/>
          <w:szCs w:val="24"/>
        </w:rPr>
        <w:t>la mismas no tienen vocación de prosperidad: unas por no envolver hechos extintivos o modificativos de los derechos reconocidos, entre ellas la</w:t>
      </w:r>
      <w:r w:rsidR="000776B8" w:rsidRPr="00CC1633">
        <w:rPr>
          <w:rFonts w:ascii="Arial" w:hAnsi="Arial" w:cs="Arial"/>
          <w:szCs w:val="24"/>
        </w:rPr>
        <w:t>s de</w:t>
      </w:r>
      <w:r w:rsidR="005F0E5B" w:rsidRPr="00CC1633">
        <w:rPr>
          <w:rFonts w:ascii="Arial" w:hAnsi="Arial" w:cs="Arial"/>
          <w:szCs w:val="24"/>
        </w:rPr>
        <w:t xml:space="preserve"> </w:t>
      </w:r>
      <w:r w:rsidR="005F0E5B" w:rsidRPr="00CC1633">
        <w:rPr>
          <w:rFonts w:ascii="Arial" w:hAnsi="Arial" w:cs="Arial"/>
          <w:i/>
          <w:iCs/>
          <w:szCs w:val="24"/>
        </w:rPr>
        <w:t xml:space="preserve">“inexistencia de la obligación”, “imposibilidad jurídica para reconocer y pagar derechos por fuera del ordenamiento legal” </w:t>
      </w:r>
      <w:r w:rsidR="005F0E5B" w:rsidRPr="00CC1633">
        <w:rPr>
          <w:rFonts w:ascii="Arial" w:hAnsi="Arial" w:cs="Arial"/>
          <w:szCs w:val="24"/>
        </w:rPr>
        <w:t>y</w:t>
      </w:r>
      <w:r w:rsidR="005F0E5B" w:rsidRPr="00CC1633">
        <w:rPr>
          <w:rFonts w:ascii="Arial" w:hAnsi="Arial" w:cs="Arial"/>
          <w:i/>
          <w:iCs/>
          <w:szCs w:val="24"/>
        </w:rPr>
        <w:t xml:space="preserve"> “buena fe” </w:t>
      </w:r>
      <w:r w:rsidR="008C0626" w:rsidRPr="00CC1633">
        <w:rPr>
          <w:rFonts w:ascii="Arial" w:hAnsi="Arial" w:cs="Arial"/>
          <w:szCs w:val="24"/>
        </w:rPr>
        <w:t xml:space="preserve">propuestas por Colpensiones, y las de </w:t>
      </w:r>
      <w:r w:rsidR="008C0626" w:rsidRPr="00CC1633">
        <w:rPr>
          <w:rFonts w:ascii="Arial" w:hAnsi="Arial" w:cs="Arial"/>
          <w:i/>
          <w:iCs/>
          <w:szCs w:val="24"/>
        </w:rPr>
        <w:t>“validez y eficacia del traslado al régimen de ahorro individual con solidaridad”</w:t>
      </w:r>
      <w:r w:rsidR="008C0626" w:rsidRPr="00CC1633">
        <w:rPr>
          <w:rFonts w:ascii="Arial" w:hAnsi="Arial" w:cs="Arial"/>
          <w:szCs w:val="24"/>
        </w:rPr>
        <w:t xml:space="preserve"> y </w:t>
      </w:r>
      <w:r w:rsidR="008C0626" w:rsidRPr="00CC1633">
        <w:rPr>
          <w:rFonts w:ascii="Arial" w:hAnsi="Arial" w:cs="Arial"/>
          <w:i/>
          <w:iCs/>
          <w:szCs w:val="24"/>
        </w:rPr>
        <w:t xml:space="preserve">“buena fe y confianza legítima” </w:t>
      </w:r>
      <w:r w:rsidR="008C0626" w:rsidRPr="00CC1633">
        <w:rPr>
          <w:rFonts w:ascii="Arial" w:hAnsi="Arial" w:cs="Arial"/>
          <w:szCs w:val="24"/>
        </w:rPr>
        <w:t xml:space="preserve">formuladas por Protección. </w:t>
      </w:r>
    </w:p>
    <w:p w14:paraId="23828EB5" w14:textId="62A9693A" w:rsidR="008C0626" w:rsidRPr="00CC1633" w:rsidRDefault="008C0626" w:rsidP="00A71BD5">
      <w:pPr>
        <w:spacing w:line="276" w:lineRule="auto"/>
        <w:jc w:val="both"/>
        <w:rPr>
          <w:rFonts w:ascii="Arial" w:hAnsi="Arial" w:cs="Arial"/>
          <w:szCs w:val="24"/>
        </w:rPr>
      </w:pPr>
    </w:p>
    <w:p w14:paraId="499B6780" w14:textId="2383BBBB" w:rsidR="008719AC" w:rsidRPr="00CC1633" w:rsidRDefault="008C0626" w:rsidP="00A71BD5">
      <w:pPr>
        <w:spacing w:line="276" w:lineRule="auto"/>
        <w:jc w:val="both"/>
        <w:rPr>
          <w:rFonts w:ascii="Arial" w:hAnsi="Arial" w:cs="Arial"/>
          <w:szCs w:val="24"/>
        </w:rPr>
      </w:pPr>
      <w:r w:rsidRPr="00CC1633">
        <w:rPr>
          <w:rFonts w:ascii="Arial" w:hAnsi="Arial" w:cs="Arial"/>
          <w:szCs w:val="24"/>
        </w:rPr>
        <w:t xml:space="preserve">La otra de </w:t>
      </w:r>
      <w:r w:rsidRPr="00CC1633">
        <w:rPr>
          <w:rFonts w:ascii="Arial" w:hAnsi="Arial" w:cs="Arial"/>
          <w:i/>
          <w:iCs/>
          <w:szCs w:val="24"/>
        </w:rPr>
        <w:t xml:space="preserve">“prescripción”, </w:t>
      </w:r>
      <w:r w:rsidRPr="00CC1633">
        <w:rPr>
          <w:rFonts w:ascii="Arial" w:hAnsi="Arial" w:cs="Arial"/>
          <w:szCs w:val="24"/>
        </w:rPr>
        <w:t xml:space="preserve">invocada por </w:t>
      </w:r>
      <w:r w:rsidR="00306954" w:rsidRPr="00CC1633">
        <w:rPr>
          <w:rFonts w:ascii="Arial" w:hAnsi="Arial" w:cs="Arial"/>
          <w:szCs w:val="24"/>
        </w:rPr>
        <w:t>el fondo privado accionado,</w:t>
      </w:r>
      <w:r w:rsidR="008719AC" w:rsidRPr="00CC1633">
        <w:rPr>
          <w:rFonts w:ascii="Arial" w:hAnsi="Arial" w:cs="Arial"/>
          <w:szCs w:val="24"/>
        </w:rPr>
        <w:t xml:space="preserve"> estar comprometido un derecho pensional, que como bien lo ha dicho la jurisprudencia laboral, no puede verse afectado por este medio exceptivo. </w:t>
      </w:r>
    </w:p>
    <w:p w14:paraId="70B46D3C" w14:textId="77777777" w:rsidR="005F0E5B" w:rsidRPr="00CC1633" w:rsidRDefault="005F0E5B" w:rsidP="00A71BD5">
      <w:pPr>
        <w:pStyle w:val="Sinespaciado"/>
        <w:spacing w:line="276" w:lineRule="auto"/>
        <w:rPr>
          <w:rFonts w:ascii="Arial" w:hAnsi="Arial" w:cs="Arial"/>
          <w:szCs w:val="24"/>
        </w:rPr>
      </w:pPr>
    </w:p>
    <w:p w14:paraId="14EA8E91" w14:textId="77777777" w:rsidR="008719AC" w:rsidRPr="00CC1633" w:rsidRDefault="008719AC" w:rsidP="00A71BD5">
      <w:pPr>
        <w:spacing w:line="276" w:lineRule="auto"/>
        <w:jc w:val="both"/>
        <w:rPr>
          <w:rFonts w:ascii="Arial" w:hAnsi="Arial" w:cs="Arial"/>
          <w:szCs w:val="24"/>
        </w:rPr>
      </w:pPr>
      <w:r w:rsidRPr="00CC1633">
        <w:rPr>
          <w:rFonts w:ascii="Arial" w:hAnsi="Arial" w:cs="Arial"/>
          <w:szCs w:val="24"/>
        </w:rPr>
        <w:t xml:space="preserve">En la sentencia inicialmente citada, se anotó:  </w:t>
      </w:r>
    </w:p>
    <w:p w14:paraId="056C0B93" w14:textId="77777777" w:rsidR="008719AC" w:rsidRPr="00CC1633" w:rsidRDefault="008719AC" w:rsidP="00A71BD5">
      <w:pPr>
        <w:spacing w:line="276" w:lineRule="auto"/>
        <w:ind w:left="1416"/>
        <w:jc w:val="both"/>
        <w:rPr>
          <w:rFonts w:ascii="Arial" w:hAnsi="Arial" w:cs="Arial"/>
          <w:szCs w:val="24"/>
        </w:rPr>
      </w:pPr>
    </w:p>
    <w:p w14:paraId="4D8FA1C3"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CC1633">
        <w:rPr>
          <w:rFonts w:ascii="Arial" w:hAnsi="Arial" w:cs="Arial"/>
          <w:i/>
          <w:iCs/>
          <w:sz w:val="22"/>
          <w:szCs w:val="24"/>
        </w:rPr>
        <w:t>RPMPD</w:t>
      </w:r>
      <w:proofErr w:type="spellEnd"/>
      <w:r w:rsidRPr="00CC1633">
        <w:rPr>
          <w:rFonts w:ascii="Arial" w:hAnsi="Arial" w:cs="Arial"/>
          <w:i/>
          <w:iCs/>
          <w:sz w:val="22"/>
          <w:szCs w:val="24"/>
        </w:rPr>
        <w:t xml:space="preserve"> o </w:t>
      </w:r>
      <w:proofErr w:type="spellStart"/>
      <w:r w:rsidRPr="00CC1633">
        <w:rPr>
          <w:rFonts w:ascii="Arial" w:hAnsi="Arial" w:cs="Arial"/>
          <w:i/>
          <w:iCs/>
          <w:sz w:val="22"/>
          <w:szCs w:val="24"/>
        </w:rPr>
        <w:t>RAIS</w:t>
      </w:r>
      <w:proofErr w:type="spellEnd"/>
      <w:r w:rsidRPr="00CC1633">
        <w:rPr>
          <w:rFonts w:ascii="Arial" w:hAnsi="Arial" w:cs="Arial"/>
          <w:i/>
          <w:iCs/>
          <w:sz w:val="22"/>
          <w:szCs w:val="24"/>
        </w:rPr>
        <w:t xml:space="preserve">) se encuentran afiliados. Lo expuesto no es algo nuevo en la jurisprudencia del trabajo, pues incluso desde la sentencia CSJ </w:t>
      </w:r>
      <w:proofErr w:type="spellStart"/>
      <w:r w:rsidRPr="00CC1633">
        <w:rPr>
          <w:rFonts w:ascii="Arial" w:hAnsi="Arial" w:cs="Arial"/>
          <w:i/>
          <w:iCs/>
          <w:sz w:val="22"/>
          <w:szCs w:val="24"/>
        </w:rPr>
        <w:t>SL795</w:t>
      </w:r>
      <w:proofErr w:type="spellEnd"/>
      <w:r w:rsidRPr="00CC1633">
        <w:rPr>
          <w:rFonts w:ascii="Arial" w:hAnsi="Arial" w:cs="Arial"/>
          <w:i/>
          <w:iCs/>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1A3DA436"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 </w:t>
      </w:r>
    </w:p>
    <w:p w14:paraId="49D17472" w14:textId="77777777" w:rsidR="00A71BD5" w:rsidRPr="00CC1633" w:rsidRDefault="00A71BD5" w:rsidP="00A71BD5">
      <w:pPr>
        <w:ind w:left="426" w:right="420"/>
        <w:jc w:val="both"/>
        <w:rPr>
          <w:rFonts w:ascii="Arial" w:hAnsi="Arial" w:cs="Arial"/>
          <w:i/>
          <w:iCs/>
          <w:sz w:val="22"/>
          <w:szCs w:val="24"/>
        </w:rPr>
      </w:pPr>
      <w:r w:rsidRPr="00CC1633">
        <w:rPr>
          <w:rFonts w:ascii="Arial" w:hAnsi="Arial" w:cs="Arial"/>
          <w:i/>
          <w:iCs/>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CC1633">
        <w:rPr>
          <w:rFonts w:ascii="Arial" w:hAnsi="Arial" w:cs="Arial"/>
          <w:i/>
          <w:iCs/>
          <w:sz w:val="22"/>
          <w:szCs w:val="24"/>
        </w:rPr>
        <w:t>SL8544</w:t>
      </w:r>
      <w:proofErr w:type="spellEnd"/>
      <w:r w:rsidRPr="00CC1633">
        <w:rPr>
          <w:rFonts w:ascii="Arial" w:hAnsi="Arial" w:cs="Arial"/>
          <w:i/>
          <w:iCs/>
          <w:sz w:val="22"/>
          <w:szCs w:val="24"/>
        </w:rPr>
        <w:t>-2016)”.</w:t>
      </w:r>
    </w:p>
    <w:p w14:paraId="5827056E" w14:textId="77777777" w:rsidR="008719AC" w:rsidRPr="00CC1633" w:rsidRDefault="008719AC" w:rsidP="00A71BD5">
      <w:pPr>
        <w:pStyle w:val="Textoindependiente"/>
        <w:spacing w:line="276" w:lineRule="auto"/>
        <w:rPr>
          <w:rFonts w:cs="Arial"/>
          <w:sz w:val="24"/>
          <w:szCs w:val="24"/>
        </w:rPr>
      </w:pPr>
    </w:p>
    <w:p w14:paraId="7FE5B7D9" w14:textId="6A1699ED" w:rsidR="00011B8C" w:rsidRPr="00CC1633" w:rsidRDefault="008719AC" w:rsidP="00A71BD5">
      <w:pPr>
        <w:pStyle w:val="Textoindependiente"/>
        <w:spacing w:line="276" w:lineRule="auto"/>
        <w:rPr>
          <w:rFonts w:cs="Arial"/>
          <w:sz w:val="24"/>
          <w:szCs w:val="24"/>
        </w:rPr>
      </w:pPr>
      <w:r w:rsidRPr="00CC1633">
        <w:rPr>
          <w:rFonts w:cs="Arial"/>
          <w:sz w:val="24"/>
          <w:szCs w:val="24"/>
        </w:rPr>
        <w:t xml:space="preserve">Con base en lo anterior, se </w:t>
      </w:r>
      <w:r w:rsidR="008C0626" w:rsidRPr="00CC1633">
        <w:rPr>
          <w:rFonts w:cs="Arial"/>
          <w:b/>
          <w:bCs/>
          <w:sz w:val="24"/>
          <w:szCs w:val="24"/>
        </w:rPr>
        <w:t>REVOCARÁ</w:t>
      </w:r>
      <w:r w:rsidRPr="00CC1633">
        <w:rPr>
          <w:rFonts w:cs="Arial"/>
          <w:sz w:val="24"/>
          <w:szCs w:val="24"/>
        </w:rPr>
        <w:t xml:space="preserve"> la sentencia apelada y se</w:t>
      </w:r>
      <w:r w:rsidR="008C0626" w:rsidRPr="00CC1633">
        <w:rPr>
          <w:rFonts w:cs="Arial"/>
          <w:sz w:val="24"/>
          <w:szCs w:val="24"/>
        </w:rPr>
        <w:t xml:space="preserve"> declarará la ineficacia del traslado del régimen pensional efectuado por</w:t>
      </w:r>
      <w:r w:rsidR="00857E8D" w:rsidRPr="00CC1633">
        <w:rPr>
          <w:rFonts w:cs="Arial"/>
          <w:sz w:val="24"/>
          <w:szCs w:val="24"/>
        </w:rPr>
        <w:t xml:space="preserve"> Fabiola Gutiérrez Suárez </w:t>
      </w:r>
      <w:r w:rsidR="00011B8C" w:rsidRPr="00CC1633">
        <w:rPr>
          <w:rFonts w:cs="Arial"/>
          <w:sz w:val="24"/>
          <w:szCs w:val="24"/>
        </w:rPr>
        <w:lastRenderedPageBreak/>
        <w:t xml:space="preserve">del régimen de prima media al régimen de ahorro individual con solidaridad, a través de Protección S.A., mediante solicitud del </w:t>
      </w:r>
      <w:r w:rsidR="00857E8D" w:rsidRPr="00CC1633">
        <w:rPr>
          <w:rFonts w:cs="Arial"/>
          <w:sz w:val="24"/>
          <w:szCs w:val="24"/>
        </w:rPr>
        <w:t>6 de julio de 1999</w:t>
      </w:r>
      <w:r w:rsidR="00011B8C" w:rsidRPr="00CC1633">
        <w:rPr>
          <w:rFonts w:cs="Arial"/>
          <w:sz w:val="24"/>
          <w:szCs w:val="24"/>
        </w:rPr>
        <w:t xml:space="preserve">, efectiva a partir del 01 de </w:t>
      </w:r>
      <w:r w:rsidR="00857E8D" w:rsidRPr="00CC1633">
        <w:rPr>
          <w:rFonts w:cs="Arial"/>
          <w:sz w:val="24"/>
          <w:szCs w:val="24"/>
        </w:rPr>
        <w:t>septiembre</w:t>
      </w:r>
      <w:r w:rsidR="00011B8C" w:rsidRPr="00CC1633">
        <w:rPr>
          <w:rFonts w:cs="Arial"/>
          <w:sz w:val="24"/>
          <w:szCs w:val="24"/>
        </w:rPr>
        <w:t xml:space="preserve"> de ese mismo año.</w:t>
      </w:r>
    </w:p>
    <w:p w14:paraId="4B0091AB" w14:textId="77777777" w:rsidR="00011B8C" w:rsidRPr="00CC1633" w:rsidRDefault="00011B8C" w:rsidP="00A71BD5">
      <w:pPr>
        <w:pStyle w:val="Textoindependiente"/>
        <w:spacing w:line="276" w:lineRule="auto"/>
        <w:rPr>
          <w:rFonts w:cs="Arial"/>
          <w:sz w:val="24"/>
          <w:szCs w:val="24"/>
        </w:rPr>
      </w:pPr>
    </w:p>
    <w:p w14:paraId="73BF3576" w14:textId="0AF1C43C" w:rsidR="008C0626" w:rsidRPr="00CC1633" w:rsidRDefault="00011B8C" w:rsidP="00A71BD5">
      <w:pPr>
        <w:pStyle w:val="Textoindependiente"/>
        <w:spacing w:line="276" w:lineRule="auto"/>
        <w:rPr>
          <w:rFonts w:cs="Arial"/>
          <w:sz w:val="24"/>
          <w:szCs w:val="24"/>
        </w:rPr>
      </w:pPr>
      <w:r w:rsidRPr="00CC1633">
        <w:rPr>
          <w:rFonts w:cs="Arial"/>
          <w:sz w:val="24"/>
          <w:szCs w:val="24"/>
        </w:rPr>
        <w:t xml:space="preserve">Asimismo, se declarará que </w:t>
      </w:r>
      <w:r w:rsidR="00857E8D" w:rsidRPr="00CC1633">
        <w:rPr>
          <w:rFonts w:cs="Arial"/>
          <w:sz w:val="24"/>
          <w:szCs w:val="24"/>
        </w:rPr>
        <w:t>la demandante</w:t>
      </w:r>
      <w:r w:rsidRPr="00CC1633">
        <w:rPr>
          <w:rFonts w:cs="Arial"/>
          <w:sz w:val="24"/>
          <w:szCs w:val="24"/>
        </w:rPr>
        <w:t xml:space="preserve"> siempre ha estado afiliad</w:t>
      </w:r>
      <w:r w:rsidR="00857E8D" w:rsidRPr="00CC1633">
        <w:rPr>
          <w:rFonts w:cs="Arial"/>
          <w:sz w:val="24"/>
          <w:szCs w:val="24"/>
        </w:rPr>
        <w:t>a</w:t>
      </w:r>
      <w:r w:rsidRPr="00CC1633">
        <w:rPr>
          <w:rFonts w:cs="Arial"/>
          <w:sz w:val="24"/>
          <w:szCs w:val="24"/>
        </w:rPr>
        <w:t xml:space="preserve"> al régimen de prima media, sin solución de continuidad, como si nunca hubiere estado afiliad</w:t>
      </w:r>
      <w:r w:rsidR="00857E8D" w:rsidRPr="00CC1633">
        <w:rPr>
          <w:rFonts w:cs="Arial"/>
          <w:sz w:val="24"/>
          <w:szCs w:val="24"/>
        </w:rPr>
        <w:t>a</w:t>
      </w:r>
      <w:r w:rsidRPr="00CC1633">
        <w:rPr>
          <w:rFonts w:cs="Arial"/>
          <w:sz w:val="24"/>
          <w:szCs w:val="24"/>
        </w:rPr>
        <w:t xml:space="preserve"> al régimen de ahorro individual. </w:t>
      </w:r>
    </w:p>
    <w:p w14:paraId="5F0E2712" w14:textId="77777777" w:rsidR="00011B8C" w:rsidRPr="00CC1633" w:rsidRDefault="00011B8C" w:rsidP="00A71BD5">
      <w:pPr>
        <w:pStyle w:val="Textoindependiente"/>
        <w:spacing w:line="276" w:lineRule="auto"/>
        <w:rPr>
          <w:rFonts w:cs="Arial"/>
          <w:sz w:val="24"/>
          <w:szCs w:val="24"/>
        </w:rPr>
      </w:pPr>
    </w:p>
    <w:p w14:paraId="7FD0A503" w14:textId="17C0B754" w:rsidR="008719AC" w:rsidRPr="00CC1633" w:rsidRDefault="00011B8C" w:rsidP="00A71BD5">
      <w:pPr>
        <w:pStyle w:val="Textoindependiente"/>
        <w:spacing w:line="276" w:lineRule="auto"/>
        <w:rPr>
          <w:rFonts w:cs="Arial"/>
          <w:sz w:val="24"/>
          <w:szCs w:val="24"/>
        </w:rPr>
      </w:pPr>
      <w:r w:rsidRPr="00CC1633">
        <w:rPr>
          <w:rFonts w:cs="Arial"/>
          <w:sz w:val="24"/>
          <w:szCs w:val="24"/>
        </w:rPr>
        <w:t>Consecuentemente, se</w:t>
      </w:r>
      <w:r w:rsidR="008719AC" w:rsidRPr="00CC1633">
        <w:rPr>
          <w:rFonts w:cs="Arial"/>
          <w:sz w:val="24"/>
          <w:szCs w:val="24"/>
        </w:rPr>
        <w:t xml:space="preserve"> ordenar</w:t>
      </w:r>
      <w:r w:rsidRPr="00CC1633">
        <w:rPr>
          <w:rFonts w:cs="Arial"/>
          <w:sz w:val="24"/>
          <w:szCs w:val="24"/>
        </w:rPr>
        <w:t>á</w:t>
      </w:r>
      <w:r w:rsidR="008719AC" w:rsidRPr="00CC1633">
        <w:rPr>
          <w:rFonts w:cs="Arial"/>
          <w:sz w:val="24"/>
          <w:szCs w:val="24"/>
        </w:rPr>
        <w:t xml:space="preserve"> a </w:t>
      </w:r>
      <w:r w:rsidR="00857E8D" w:rsidRPr="00CC1633">
        <w:rPr>
          <w:rFonts w:cs="Arial"/>
          <w:sz w:val="24"/>
          <w:szCs w:val="24"/>
        </w:rPr>
        <w:t xml:space="preserve">la AFP </w:t>
      </w:r>
      <w:r w:rsidRPr="00CC1633">
        <w:rPr>
          <w:rFonts w:cs="Arial"/>
          <w:sz w:val="24"/>
          <w:szCs w:val="24"/>
        </w:rPr>
        <w:t>Protección</w:t>
      </w:r>
      <w:r w:rsidR="00857E8D" w:rsidRPr="00CC1633">
        <w:rPr>
          <w:rFonts w:cs="Arial"/>
          <w:sz w:val="24"/>
          <w:szCs w:val="24"/>
        </w:rPr>
        <w:t xml:space="preserve"> S.A</w:t>
      </w:r>
      <w:r w:rsidR="008719AC" w:rsidRPr="00CC1633">
        <w:rPr>
          <w:rFonts w:cs="Arial"/>
          <w:sz w:val="24"/>
          <w:szCs w:val="24"/>
        </w:rPr>
        <w:t>, que</w:t>
      </w:r>
      <w:r w:rsidR="00960CBE" w:rsidRPr="00CC1633">
        <w:rPr>
          <w:rFonts w:cs="Arial"/>
          <w:sz w:val="24"/>
          <w:szCs w:val="24"/>
        </w:rPr>
        <w:t xml:space="preserve"> le</w:t>
      </w:r>
      <w:r w:rsidR="008719AC" w:rsidRPr="00CC1633">
        <w:rPr>
          <w:rFonts w:cs="Arial"/>
          <w:sz w:val="24"/>
          <w:szCs w:val="24"/>
        </w:rPr>
        <w:t xml:space="preserve"> traslade</w:t>
      </w:r>
      <w:r w:rsidR="00960CBE" w:rsidRPr="00CC1633">
        <w:rPr>
          <w:rFonts w:cs="Arial"/>
          <w:sz w:val="24"/>
          <w:szCs w:val="24"/>
        </w:rPr>
        <w:t xml:space="preserve"> </w:t>
      </w:r>
      <w:r w:rsidR="008719AC" w:rsidRPr="00CC1633">
        <w:rPr>
          <w:rFonts w:cs="Arial"/>
          <w:sz w:val="24"/>
          <w:szCs w:val="24"/>
        </w:rPr>
        <w:t xml:space="preserve">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con cargo a sus propios recursos y debidamente indexados, tal como lo ha reiterado la Sala de Casación Laboral de la Corte Suprema en sentencias SL1421 y SL 1688, ambas de 2019. </w:t>
      </w:r>
    </w:p>
    <w:p w14:paraId="3C83C6ED" w14:textId="57AAE8E2" w:rsidR="004D5363" w:rsidRPr="00CC1633" w:rsidRDefault="004D5363" w:rsidP="00A71BD5">
      <w:pPr>
        <w:pStyle w:val="Sinespaciado"/>
        <w:spacing w:line="276" w:lineRule="auto"/>
        <w:jc w:val="both"/>
        <w:rPr>
          <w:rFonts w:ascii="Arial" w:hAnsi="Arial" w:cs="Arial"/>
          <w:szCs w:val="24"/>
        </w:rPr>
      </w:pPr>
    </w:p>
    <w:p w14:paraId="05E10B29" w14:textId="0DB8D18F" w:rsidR="00011B8C" w:rsidRPr="00CC1633" w:rsidRDefault="00011B8C" w:rsidP="00A71BD5">
      <w:pPr>
        <w:pStyle w:val="Sinespaciado"/>
        <w:spacing w:line="276" w:lineRule="auto"/>
        <w:jc w:val="both"/>
        <w:rPr>
          <w:rFonts w:ascii="Arial" w:hAnsi="Arial" w:cs="Arial"/>
          <w:i/>
          <w:iCs/>
          <w:szCs w:val="24"/>
        </w:rPr>
      </w:pPr>
      <w:r w:rsidRPr="00CC1633">
        <w:rPr>
          <w:rFonts w:ascii="Arial" w:hAnsi="Arial" w:cs="Arial"/>
          <w:szCs w:val="24"/>
        </w:rPr>
        <w:t>Las costas por la primera instancia quedarán a cargo de Protección y en favor de</w:t>
      </w:r>
      <w:r w:rsidR="00D66F9A" w:rsidRPr="00CC1633">
        <w:rPr>
          <w:rFonts w:ascii="Arial" w:hAnsi="Arial" w:cs="Arial"/>
          <w:szCs w:val="24"/>
        </w:rPr>
        <w:t xml:space="preserve"> la</w:t>
      </w:r>
      <w:r w:rsidRPr="00CC1633">
        <w:rPr>
          <w:rFonts w:ascii="Arial" w:hAnsi="Arial" w:cs="Arial"/>
          <w:szCs w:val="24"/>
        </w:rPr>
        <w:t xml:space="preserve"> demandante, en un </w:t>
      </w:r>
      <w:r w:rsidR="000D46D3" w:rsidRPr="00CC1633">
        <w:rPr>
          <w:rFonts w:ascii="Arial" w:hAnsi="Arial" w:cs="Arial"/>
          <w:szCs w:val="24"/>
        </w:rPr>
        <w:t>100</w:t>
      </w:r>
      <w:r w:rsidRPr="00CC1633">
        <w:rPr>
          <w:rFonts w:ascii="Arial" w:hAnsi="Arial" w:cs="Arial"/>
          <w:szCs w:val="24"/>
        </w:rPr>
        <w:t>% de las causadas, en consideración</w:t>
      </w:r>
      <w:r w:rsidR="00306954" w:rsidRPr="00CC1633">
        <w:rPr>
          <w:rFonts w:ascii="Arial" w:hAnsi="Arial" w:cs="Arial"/>
          <w:szCs w:val="24"/>
        </w:rPr>
        <w:t xml:space="preserve"> a</w:t>
      </w:r>
      <w:r w:rsidRPr="00CC1633">
        <w:rPr>
          <w:rFonts w:ascii="Arial" w:hAnsi="Arial" w:cs="Arial"/>
          <w:szCs w:val="24"/>
        </w:rPr>
        <w:t xml:space="preserve"> que es </w:t>
      </w:r>
      <w:r w:rsidR="000D46D3" w:rsidRPr="00CC1633">
        <w:rPr>
          <w:rFonts w:ascii="Arial" w:hAnsi="Arial" w:cs="Arial"/>
          <w:szCs w:val="24"/>
        </w:rPr>
        <w:t>la</w:t>
      </w:r>
      <w:r w:rsidRPr="00CC1633">
        <w:rPr>
          <w:rFonts w:ascii="Arial" w:hAnsi="Arial" w:cs="Arial"/>
          <w:szCs w:val="24"/>
        </w:rPr>
        <w:t xml:space="preserve"> responsable de los hechos que conducen a la declaración de la ineficacia y</w:t>
      </w:r>
      <w:r w:rsidR="000D46D3" w:rsidRPr="00CC1633">
        <w:rPr>
          <w:rFonts w:ascii="Arial" w:hAnsi="Arial" w:cs="Arial"/>
          <w:szCs w:val="24"/>
        </w:rPr>
        <w:t xml:space="preserve"> resultó vencida en juicio. De otro lado, </w:t>
      </w:r>
      <w:r w:rsidRPr="00CC1633">
        <w:rPr>
          <w:rFonts w:ascii="Arial" w:hAnsi="Arial" w:cs="Arial"/>
          <w:szCs w:val="24"/>
        </w:rPr>
        <w:t>dado que Colpensiones no tuvo participac</w:t>
      </w:r>
      <w:r w:rsidR="00A71BD5" w:rsidRPr="00CC1633">
        <w:rPr>
          <w:rFonts w:ascii="Arial" w:hAnsi="Arial" w:cs="Arial"/>
          <w:szCs w:val="24"/>
        </w:rPr>
        <w:t>ión en ello, se absolverá de la</w:t>
      </w:r>
      <w:r w:rsidRPr="00CC1633">
        <w:rPr>
          <w:rFonts w:ascii="Arial" w:hAnsi="Arial" w:cs="Arial"/>
          <w:szCs w:val="24"/>
        </w:rPr>
        <w:t xml:space="preserve"> misma</w:t>
      </w:r>
      <w:r w:rsidR="00FD0204" w:rsidRPr="00CC1633">
        <w:rPr>
          <w:rFonts w:ascii="Arial" w:hAnsi="Arial" w:cs="Arial"/>
          <w:szCs w:val="24"/>
        </w:rPr>
        <w:t xml:space="preserve"> y por lo mismo se declarará probada la excepción de </w:t>
      </w:r>
      <w:r w:rsidR="00FD0204" w:rsidRPr="00CC1633">
        <w:rPr>
          <w:rFonts w:ascii="Arial" w:hAnsi="Arial" w:cs="Arial"/>
          <w:i/>
          <w:iCs/>
          <w:szCs w:val="24"/>
        </w:rPr>
        <w:t xml:space="preserve">“imposibilidad de condena en costas”. </w:t>
      </w:r>
    </w:p>
    <w:p w14:paraId="20F27CA1" w14:textId="77777777" w:rsidR="001F5F34" w:rsidRPr="00CC1633" w:rsidRDefault="001F5F34" w:rsidP="00A71BD5">
      <w:pPr>
        <w:shd w:val="clear" w:color="auto" w:fill="FFFFFF"/>
        <w:spacing w:line="276" w:lineRule="auto"/>
        <w:jc w:val="both"/>
        <w:rPr>
          <w:rFonts w:ascii="Arial" w:hAnsi="Arial" w:cs="Arial"/>
          <w:szCs w:val="24"/>
        </w:rPr>
      </w:pPr>
    </w:p>
    <w:p w14:paraId="206A0E0B" w14:textId="0FA755C5" w:rsidR="00116DDD" w:rsidRPr="00CC1633" w:rsidRDefault="00116DDD" w:rsidP="00A71BD5">
      <w:pPr>
        <w:shd w:val="clear" w:color="auto" w:fill="FFFFFF" w:themeFill="background1"/>
        <w:spacing w:line="276" w:lineRule="auto"/>
        <w:jc w:val="both"/>
        <w:rPr>
          <w:rFonts w:ascii="Arial" w:hAnsi="Arial" w:cs="Arial"/>
          <w:szCs w:val="24"/>
        </w:rPr>
      </w:pPr>
      <w:r w:rsidRPr="00CC1633">
        <w:rPr>
          <w:rFonts w:ascii="Arial" w:hAnsi="Arial" w:cs="Arial"/>
          <w:szCs w:val="24"/>
        </w:rPr>
        <w:t>Con lo anterior, quedan resueltos los puntos de inconformidad de</w:t>
      </w:r>
      <w:r w:rsidR="00A548AB" w:rsidRPr="00CC1633">
        <w:rPr>
          <w:rFonts w:ascii="Arial" w:hAnsi="Arial" w:cs="Arial"/>
          <w:szCs w:val="24"/>
        </w:rPr>
        <w:t xml:space="preserve"> la recurrente</w:t>
      </w:r>
      <w:r w:rsidR="007F7387" w:rsidRPr="00CC1633">
        <w:rPr>
          <w:rFonts w:ascii="Arial" w:hAnsi="Arial" w:cs="Arial"/>
          <w:szCs w:val="24"/>
        </w:rPr>
        <w:t xml:space="preserve"> y resultas la totalidad de las pretensiones y medio</w:t>
      </w:r>
      <w:r w:rsidR="2883A093" w:rsidRPr="00CC1633">
        <w:rPr>
          <w:rFonts w:ascii="Arial" w:hAnsi="Arial" w:cs="Arial"/>
          <w:szCs w:val="24"/>
        </w:rPr>
        <w:t>s</w:t>
      </w:r>
      <w:r w:rsidR="007F7387" w:rsidRPr="00CC1633">
        <w:rPr>
          <w:rFonts w:ascii="Arial" w:hAnsi="Arial" w:cs="Arial"/>
          <w:szCs w:val="24"/>
        </w:rPr>
        <w:t xml:space="preserve"> exceptivos. </w:t>
      </w:r>
      <w:r w:rsidRPr="00CC1633">
        <w:rPr>
          <w:rFonts w:ascii="Arial" w:hAnsi="Arial" w:cs="Arial"/>
          <w:szCs w:val="24"/>
        </w:rPr>
        <w:t xml:space="preserve"> </w:t>
      </w:r>
    </w:p>
    <w:p w14:paraId="1FA96F2D" w14:textId="77777777" w:rsidR="00116DDD" w:rsidRPr="00CC1633" w:rsidRDefault="00116DDD" w:rsidP="00A71BD5">
      <w:pPr>
        <w:shd w:val="clear" w:color="auto" w:fill="FFFFFF"/>
        <w:spacing w:line="276" w:lineRule="auto"/>
        <w:ind w:firstLine="708"/>
        <w:jc w:val="both"/>
        <w:rPr>
          <w:rFonts w:ascii="Arial" w:hAnsi="Arial" w:cs="Arial"/>
          <w:szCs w:val="24"/>
        </w:rPr>
      </w:pPr>
    </w:p>
    <w:p w14:paraId="421AC725" w14:textId="75642F34" w:rsidR="00116DDD" w:rsidRPr="00CC1633" w:rsidRDefault="00FD0204" w:rsidP="00A71BD5">
      <w:pPr>
        <w:pStyle w:val="Textoindependiente31"/>
        <w:spacing w:line="276" w:lineRule="auto"/>
        <w:rPr>
          <w:rFonts w:cs="Arial"/>
          <w:sz w:val="24"/>
          <w:szCs w:val="24"/>
        </w:rPr>
      </w:pPr>
      <w:r w:rsidRPr="00CC1633">
        <w:rPr>
          <w:rFonts w:cs="Arial"/>
          <w:sz w:val="24"/>
          <w:szCs w:val="24"/>
        </w:rPr>
        <w:t>Sin costas en esta instancia, dada la prosperidad del recurso</w:t>
      </w:r>
      <w:r w:rsidR="008719AC" w:rsidRPr="00CC1633">
        <w:rPr>
          <w:rFonts w:cs="Arial"/>
          <w:sz w:val="24"/>
          <w:szCs w:val="24"/>
        </w:rPr>
        <w:t xml:space="preserve">. </w:t>
      </w:r>
      <w:r w:rsidR="00116DDD" w:rsidRPr="00CC1633">
        <w:rPr>
          <w:rFonts w:cs="Arial"/>
          <w:sz w:val="24"/>
          <w:szCs w:val="24"/>
        </w:rPr>
        <w:t xml:space="preserve"> </w:t>
      </w:r>
    </w:p>
    <w:p w14:paraId="1856C051" w14:textId="77777777" w:rsidR="00116DDD" w:rsidRPr="00CC1633" w:rsidRDefault="00116DDD" w:rsidP="00A71BD5">
      <w:pPr>
        <w:pStyle w:val="Sinespaciado"/>
        <w:spacing w:line="276" w:lineRule="auto"/>
        <w:rPr>
          <w:rFonts w:ascii="Arial" w:hAnsi="Arial" w:cs="Arial"/>
          <w:szCs w:val="24"/>
        </w:rPr>
      </w:pPr>
    </w:p>
    <w:p w14:paraId="0E9EA203" w14:textId="582AC1CB" w:rsidR="00116DDD" w:rsidRPr="00CC1633" w:rsidRDefault="001943D6" w:rsidP="00A71BD5">
      <w:pPr>
        <w:pStyle w:val="Textoindependiente31"/>
        <w:spacing w:line="276" w:lineRule="auto"/>
        <w:rPr>
          <w:rFonts w:cs="Arial"/>
          <w:b/>
          <w:bCs/>
          <w:sz w:val="24"/>
          <w:szCs w:val="24"/>
        </w:rPr>
      </w:pPr>
      <w:r w:rsidRPr="00CC1633">
        <w:rPr>
          <w:rFonts w:cs="Arial"/>
          <w:b/>
          <w:bCs/>
          <w:sz w:val="24"/>
          <w:szCs w:val="24"/>
        </w:rPr>
        <w:t xml:space="preserve">VI. </w:t>
      </w:r>
      <w:r w:rsidR="00116DDD" w:rsidRPr="00CC1633">
        <w:rPr>
          <w:rFonts w:cs="Arial"/>
          <w:b/>
          <w:bCs/>
          <w:sz w:val="24"/>
          <w:szCs w:val="24"/>
        </w:rPr>
        <w:t>DECISIÓN</w:t>
      </w:r>
    </w:p>
    <w:p w14:paraId="76B9F865" w14:textId="77777777" w:rsidR="00116DDD" w:rsidRPr="00CC1633" w:rsidRDefault="00116DDD" w:rsidP="00A71BD5">
      <w:pPr>
        <w:pStyle w:val="Textoindependiente31"/>
        <w:spacing w:line="276" w:lineRule="auto"/>
        <w:ind w:left="1004"/>
        <w:rPr>
          <w:rFonts w:cs="Arial"/>
          <w:sz w:val="24"/>
          <w:szCs w:val="24"/>
        </w:rPr>
      </w:pPr>
    </w:p>
    <w:p w14:paraId="577B3A71" w14:textId="77777777" w:rsidR="00116DDD" w:rsidRPr="00CC1633" w:rsidRDefault="00116DDD" w:rsidP="00A71BD5">
      <w:pPr>
        <w:pStyle w:val="Textoindependiente31"/>
        <w:spacing w:line="276" w:lineRule="auto"/>
        <w:rPr>
          <w:rFonts w:cs="Arial"/>
          <w:sz w:val="24"/>
          <w:szCs w:val="24"/>
        </w:rPr>
      </w:pPr>
      <w:r w:rsidRPr="00CC1633">
        <w:rPr>
          <w:rFonts w:cs="Arial"/>
          <w:sz w:val="24"/>
          <w:szCs w:val="24"/>
        </w:rPr>
        <w:t xml:space="preserve">En mérito de lo expuesto, el Tribunal Superior del Distrito Judicial de Pereira - Risaralda, Sala </w:t>
      </w:r>
      <w:r w:rsidR="00A548AB" w:rsidRPr="00CC1633">
        <w:rPr>
          <w:rFonts w:cs="Arial"/>
          <w:sz w:val="24"/>
          <w:szCs w:val="24"/>
        </w:rPr>
        <w:t>Cuarta</w:t>
      </w:r>
      <w:r w:rsidRPr="00CC1633">
        <w:rPr>
          <w:rFonts w:cs="Arial"/>
          <w:sz w:val="24"/>
          <w:szCs w:val="24"/>
        </w:rPr>
        <w:t xml:space="preserve"> de Decisión Laboral, administrando justicia en nombre de la República y por autoridad de la ley,</w:t>
      </w:r>
    </w:p>
    <w:p w14:paraId="2D7DF5B7" w14:textId="77777777" w:rsidR="00116DDD" w:rsidRPr="00CC1633" w:rsidRDefault="00116DDD" w:rsidP="00A71BD5">
      <w:pPr>
        <w:pStyle w:val="Sinespaciado"/>
        <w:spacing w:line="276" w:lineRule="auto"/>
        <w:rPr>
          <w:rFonts w:ascii="Arial" w:hAnsi="Arial" w:cs="Arial"/>
          <w:b/>
          <w:bCs/>
          <w:szCs w:val="24"/>
        </w:rPr>
      </w:pPr>
    </w:p>
    <w:p w14:paraId="54484033" w14:textId="77777777" w:rsidR="00116DDD" w:rsidRPr="00CC1633" w:rsidRDefault="00A548AB" w:rsidP="00A71BD5">
      <w:pPr>
        <w:pStyle w:val="Sinespaciado"/>
        <w:tabs>
          <w:tab w:val="left" w:pos="3143"/>
        </w:tabs>
        <w:spacing w:line="276" w:lineRule="auto"/>
        <w:jc w:val="center"/>
        <w:rPr>
          <w:rFonts w:ascii="Arial" w:hAnsi="Arial" w:cs="Arial"/>
          <w:b/>
          <w:bCs/>
          <w:szCs w:val="24"/>
        </w:rPr>
      </w:pPr>
      <w:r w:rsidRPr="00CC1633">
        <w:rPr>
          <w:rFonts w:ascii="Arial" w:hAnsi="Arial" w:cs="Arial"/>
          <w:b/>
          <w:bCs/>
          <w:szCs w:val="24"/>
        </w:rPr>
        <w:t>RESUELVE</w:t>
      </w:r>
      <w:r w:rsidR="00116DDD" w:rsidRPr="00CC1633">
        <w:rPr>
          <w:rFonts w:ascii="Arial" w:hAnsi="Arial" w:cs="Arial"/>
          <w:b/>
          <w:bCs/>
          <w:szCs w:val="24"/>
        </w:rPr>
        <w:t>:</w:t>
      </w:r>
    </w:p>
    <w:p w14:paraId="74C73B26" w14:textId="77777777" w:rsidR="00E27395" w:rsidRPr="00CC1633" w:rsidRDefault="00E27395" w:rsidP="00A71BD5">
      <w:pPr>
        <w:pStyle w:val="Sinespaciado"/>
        <w:spacing w:line="276" w:lineRule="auto"/>
        <w:rPr>
          <w:rFonts w:ascii="Arial" w:hAnsi="Arial" w:cs="Arial"/>
          <w:szCs w:val="24"/>
        </w:rPr>
      </w:pPr>
    </w:p>
    <w:p w14:paraId="64C98C89" w14:textId="2047B50A" w:rsidR="002975D1" w:rsidRPr="00CC1633" w:rsidRDefault="00E27395" w:rsidP="00A71BD5">
      <w:pPr>
        <w:spacing w:line="276" w:lineRule="auto"/>
        <w:jc w:val="both"/>
        <w:rPr>
          <w:rFonts w:ascii="Arial" w:hAnsi="Arial" w:cs="Arial"/>
          <w:szCs w:val="24"/>
        </w:rPr>
      </w:pPr>
      <w:r w:rsidRPr="00CC1633">
        <w:rPr>
          <w:rFonts w:ascii="Arial" w:hAnsi="Arial" w:cs="Arial"/>
          <w:b/>
          <w:bCs/>
          <w:szCs w:val="24"/>
        </w:rPr>
        <w:t xml:space="preserve">PRIMERO: </w:t>
      </w:r>
      <w:r w:rsidR="00FD0204" w:rsidRPr="00CC1633">
        <w:rPr>
          <w:rFonts w:ascii="Arial" w:hAnsi="Arial" w:cs="Arial"/>
          <w:b/>
          <w:bCs/>
          <w:szCs w:val="24"/>
        </w:rPr>
        <w:t xml:space="preserve">REVOCAR </w:t>
      </w:r>
      <w:r w:rsidR="00FD0204" w:rsidRPr="00CC1633">
        <w:rPr>
          <w:rFonts w:ascii="Arial" w:hAnsi="Arial" w:cs="Arial"/>
          <w:szCs w:val="24"/>
        </w:rPr>
        <w:t xml:space="preserve">la sentencia </w:t>
      </w:r>
      <w:r w:rsidR="004036BC" w:rsidRPr="00CC1633">
        <w:rPr>
          <w:rFonts w:ascii="Arial" w:hAnsi="Arial" w:cs="Arial"/>
          <w:szCs w:val="24"/>
        </w:rPr>
        <w:t xml:space="preserve">a sentencia </w:t>
      </w:r>
      <w:r w:rsidRPr="00CC1633">
        <w:rPr>
          <w:rFonts w:ascii="Arial" w:hAnsi="Arial" w:cs="Arial"/>
          <w:szCs w:val="24"/>
        </w:rPr>
        <w:t xml:space="preserve">proferida el </w:t>
      </w:r>
      <w:r w:rsidR="0077710F" w:rsidRPr="00CC1633">
        <w:rPr>
          <w:rFonts w:ascii="Arial" w:hAnsi="Arial" w:cs="Arial"/>
          <w:szCs w:val="24"/>
        </w:rPr>
        <w:t>1</w:t>
      </w:r>
      <w:r w:rsidR="00306954" w:rsidRPr="00CC1633">
        <w:rPr>
          <w:rFonts w:ascii="Arial" w:hAnsi="Arial" w:cs="Arial"/>
          <w:szCs w:val="24"/>
        </w:rPr>
        <w:t>0 de marzo de 2020</w:t>
      </w:r>
      <w:r w:rsidRPr="00CC1633">
        <w:rPr>
          <w:rFonts w:ascii="Arial" w:hAnsi="Arial" w:cs="Arial"/>
          <w:szCs w:val="24"/>
        </w:rPr>
        <w:t xml:space="preserve"> por el Juzgado </w:t>
      </w:r>
      <w:r w:rsidR="00306954" w:rsidRPr="00CC1633">
        <w:rPr>
          <w:rFonts w:ascii="Arial" w:hAnsi="Arial" w:cs="Arial"/>
          <w:szCs w:val="24"/>
        </w:rPr>
        <w:t>Quinto</w:t>
      </w:r>
      <w:r w:rsidR="00292799" w:rsidRPr="00CC1633">
        <w:rPr>
          <w:rFonts w:ascii="Arial" w:hAnsi="Arial" w:cs="Arial"/>
          <w:szCs w:val="24"/>
        </w:rPr>
        <w:t xml:space="preserve"> Laboral </w:t>
      </w:r>
      <w:r w:rsidRPr="00CC1633">
        <w:rPr>
          <w:rFonts w:ascii="Arial" w:hAnsi="Arial" w:cs="Arial"/>
          <w:szCs w:val="24"/>
        </w:rPr>
        <w:t>del Circuito de esta ciudad</w:t>
      </w:r>
      <w:r w:rsidR="006F6EA0" w:rsidRPr="00CC1633">
        <w:rPr>
          <w:rFonts w:ascii="Arial" w:hAnsi="Arial" w:cs="Arial"/>
          <w:szCs w:val="24"/>
        </w:rPr>
        <w:t>, conforme lo expuesto en la parte motiva de esta sentencia.</w:t>
      </w:r>
    </w:p>
    <w:p w14:paraId="6E6CFEED" w14:textId="77777777" w:rsidR="002B0F4F" w:rsidRPr="00CC1633" w:rsidRDefault="002B0F4F" w:rsidP="00A71BD5">
      <w:pPr>
        <w:spacing w:line="276" w:lineRule="auto"/>
        <w:jc w:val="both"/>
        <w:rPr>
          <w:rFonts w:ascii="Arial" w:hAnsi="Arial" w:cs="Arial"/>
          <w:szCs w:val="24"/>
        </w:rPr>
      </w:pPr>
    </w:p>
    <w:p w14:paraId="4F9CC154" w14:textId="5F1A0D2D" w:rsidR="002975D1" w:rsidRPr="00CC1633" w:rsidRDefault="002B0F4F" w:rsidP="00A71BD5">
      <w:pPr>
        <w:spacing w:line="276" w:lineRule="auto"/>
        <w:jc w:val="both"/>
        <w:rPr>
          <w:rFonts w:ascii="Arial" w:hAnsi="Arial" w:cs="Arial"/>
          <w:szCs w:val="24"/>
        </w:rPr>
      </w:pPr>
      <w:r w:rsidRPr="00CC1633">
        <w:rPr>
          <w:rFonts w:ascii="Arial" w:hAnsi="Arial" w:cs="Arial"/>
          <w:b/>
          <w:bCs/>
          <w:szCs w:val="24"/>
        </w:rPr>
        <w:t xml:space="preserve">SEGUNDO: </w:t>
      </w:r>
      <w:r w:rsidR="00FD0204" w:rsidRPr="00CC1633">
        <w:rPr>
          <w:rFonts w:ascii="Arial" w:hAnsi="Arial" w:cs="Arial"/>
          <w:b/>
          <w:bCs/>
          <w:szCs w:val="24"/>
        </w:rPr>
        <w:t xml:space="preserve">DECLARAR </w:t>
      </w:r>
      <w:r w:rsidR="00FD0204" w:rsidRPr="00CC1633">
        <w:rPr>
          <w:rFonts w:ascii="Arial" w:hAnsi="Arial" w:cs="Arial"/>
          <w:szCs w:val="24"/>
        </w:rPr>
        <w:t xml:space="preserve">la ineficacia del traslado realizado por </w:t>
      </w:r>
      <w:r w:rsidR="00306954" w:rsidRPr="00CC1633">
        <w:rPr>
          <w:rFonts w:ascii="Arial" w:hAnsi="Arial" w:cs="Arial"/>
          <w:b/>
          <w:bCs/>
          <w:szCs w:val="24"/>
        </w:rPr>
        <w:t xml:space="preserve">FABIOLA GUTIÉRREZ SUÁREZ </w:t>
      </w:r>
      <w:r w:rsidR="00FD0204" w:rsidRPr="00CC1633">
        <w:rPr>
          <w:rFonts w:ascii="Arial" w:hAnsi="Arial" w:cs="Arial"/>
          <w:szCs w:val="24"/>
        </w:rPr>
        <w:t xml:space="preserve">del régimen solidario de prima media con prestación definida al régimen de ahorro individual a través de la </w:t>
      </w:r>
      <w:r w:rsidR="00FD0204" w:rsidRPr="00CC1633">
        <w:rPr>
          <w:rFonts w:ascii="Arial" w:hAnsi="Arial" w:cs="Arial"/>
          <w:b/>
          <w:bCs/>
          <w:szCs w:val="24"/>
        </w:rPr>
        <w:t>ADMINISTRADORA DE FONDOS DE PENSIONES Y CESANTÍAS PROTECCIÓN S.A.</w:t>
      </w:r>
      <w:r w:rsidR="00FD0204" w:rsidRPr="00CC1633">
        <w:rPr>
          <w:rFonts w:ascii="Arial" w:hAnsi="Arial" w:cs="Arial"/>
          <w:szCs w:val="24"/>
        </w:rPr>
        <w:t xml:space="preserve">, mediante solicitud del </w:t>
      </w:r>
      <w:r w:rsidR="00306954" w:rsidRPr="00CC1633">
        <w:rPr>
          <w:rFonts w:ascii="Arial" w:hAnsi="Arial" w:cs="Arial"/>
          <w:szCs w:val="24"/>
        </w:rPr>
        <w:t>6 de julio de 1999</w:t>
      </w:r>
      <w:r w:rsidR="00FD0204" w:rsidRPr="00CC1633">
        <w:rPr>
          <w:rFonts w:ascii="Arial" w:hAnsi="Arial" w:cs="Arial"/>
          <w:szCs w:val="24"/>
        </w:rPr>
        <w:t xml:space="preserve">, efectiva a partir del 01 de </w:t>
      </w:r>
      <w:r w:rsidR="00306954" w:rsidRPr="00CC1633">
        <w:rPr>
          <w:rFonts w:ascii="Arial" w:hAnsi="Arial" w:cs="Arial"/>
          <w:szCs w:val="24"/>
        </w:rPr>
        <w:t>septiembre</w:t>
      </w:r>
      <w:r w:rsidR="00FD0204" w:rsidRPr="00CC1633">
        <w:rPr>
          <w:rFonts w:ascii="Arial" w:hAnsi="Arial" w:cs="Arial"/>
          <w:szCs w:val="24"/>
        </w:rPr>
        <w:t xml:space="preserve"> de esa misma anualidad. </w:t>
      </w:r>
    </w:p>
    <w:p w14:paraId="0D2F297C" w14:textId="655728CD" w:rsidR="00FD0204" w:rsidRPr="00CC1633" w:rsidRDefault="00FD0204" w:rsidP="00A71BD5">
      <w:pPr>
        <w:spacing w:line="276" w:lineRule="auto"/>
        <w:jc w:val="both"/>
        <w:rPr>
          <w:rFonts w:ascii="Arial" w:hAnsi="Arial" w:cs="Arial"/>
          <w:szCs w:val="24"/>
        </w:rPr>
      </w:pPr>
    </w:p>
    <w:p w14:paraId="5BC5277F" w14:textId="2724F05A" w:rsidR="00FD0204" w:rsidRPr="00CC1633" w:rsidRDefault="00FD0204" w:rsidP="00A71BD5">
      <w:pPr>
        <w:spacing w:line="276" w:lineRule="auto"/>
        <w:jc w:val="both"/>
        <w:rPr>
          <w:rFonts w:ascii="Arial" w:hAnsi="Arial" w:cs="Arial"/>
          <w:szCs w:val="24"/>
        </w:rPr>
      </w:pPr>
      <w:r w:rsidRPr="00CC1633">
        <w:rPr>
          <w:rFonts w:ascii="Arial" w:hAnsi="Arial" w:cs="Arial"/>
          <w:b/>
          <w:bCs/>
          <w:szCs w:val="24"/>
        </w:rPr>
        <w:t xml:space="preserve">TERCERO: DECLARAR </w:t>
      </w:r>
      <w:r w:rsidRPr="00CC1633">
        <w:rPr>
          <w:rFonts w:ascii="Arial" w:hAnsi="Arial" w:cs="Arial"/>
          <w:szCs w:val="24"/>
        </w:rPr>
        <w:t xml:space="preserve">que </w:t>
      </w:r>
      <w:r w:rsidR="00306954" w:rsidRPr="00CC1633">
        <w:rPr>
          <w:rFonts w:ascii="Arial" w:hAnsi="Arial" w:cs="Arial"/>
          <w:b/>
          <w:bCs/>
          <w:szCs w:val="24"/>
        </w:rPr>
        <w:t>FABIOLA GUTIÉRREZ SUÁREZ</w:t>
      </w:r>
      <w:r w:rsidR="00306954" w:rsidRPr="00CC1633">
        <w:rPr>
          <w:rFonts w:ascii="Arial" w:hAnsi="Arial" w:cs="Arial"/>
          <w:szCs w:val="24"/>
        </w:rPr>
        <w:t xml:space="preserve"> </w:t>
      </w:r>
      <w:r w:rsidRPr="00CC1633">
        <w:rPr>
          <w:rFonts w:ascii="Arial" w:hAnsi="Arial" w:cs="Arial"/>
          <w:szCs w:val="24"/>
        </w:rPr>
        <w:t>se encuentra afiliad</w:t>
      </w:r>
      <w:r w:rsidR="00306954" w:rsidRPr="00CC1633">
        <w:rPr>
          <w:rFonts w:ascii="Arial" w:hAnsi="Arial" w:cs="Arial"/>
          <w:szCs w:val="24"/>
        </w:rPr>
        <w:t xml:space="preserve">a </w:t>
      </w:r>
      <w:r w:rsidRPr="00CC1633">
        <w:rPr>
          <w:rFonts w:ascii="Arial" w:hAnsi="Arial" w:cs="Arial"/>
          <w:szCs w:val="24"/>
        </w:rPr>
        <w:t xml:space="preserve">al régimen solidario de prima media con prestación definida a través de la </w:t>
      </w:r>
      <w:r w:rsidRPr="00CC1633">
        <w:rPr>
          <w:rFonts w:ascii="Arial" w:hAnsi="Arial" w:cs="Arial"/>
          <w:b/>
          <w:bCs/>
          <w:szCs w:val="24"/>
        </w:rPr>
        <w:lastRenderedPageBreak/>
        <w:t>ADMINISTRADORA COLOMBIANA DE PENSIONES “COLPENSIONES”</w:t>
      </w:r>
      <w:r w:rsidRPr="00CC1633">
        <w:rPr>
          <w:rFonts w:ascii="Arial" w:hAnsi="Arial" w:cs="Arial"/>
          <w:szCs w:val="24"/>
        </w:rPr>
        <w:t xml:space="preserve">, sin solución de continuidad, como si nunca hubiere pertenecido al régimen de ahorro individual. </w:t>
      </w:r>
    </w:p>
    <w:p w14:paraId="4C259A41" w14:textId="77777777" w:rsidR="002B0F4F" w:rsidRPr="00CC1633" w:rsidRDefault="002B0F4F" w:rsidP="00A71BD5">
      <w:pPr>
        <w:spacing w:line="276" w:lineRule="auto"/>
        <w:jc w:val="both"/>
        <w:rPr>
          <w:rFonts w:ascii="Arial" w:hAnsi="Arial" w:cs="Arial"/>
          <w:szCs w:val="24"/>
          <w:highlight w:val="yellow"/>
        </w:rPr>
      </w:pPr>
    </w:p>
    <w:p w14:paraId="2A267342" w14:textId="718BEC00" w:rsidR="00FD0204" w:rsidRPr="00CC1633" w:rsidRDefault="00FD0204" w:rsidP="00A71BD5">
      <w:pPr>
        <w:spacing w:line="276" w:lineRule="auto"/>
        <w:jc w:val="both"/>
        <w:rPr>
          <w:rFonts w:ascii="Arial" w:hAnsi="Arial" w:cs="Arial"/>
          <w:b/>
          <w:bCs/>
          <w:szCs w:val="24"/>
        </w:rPr>
      </w:pPr>
      <w:r w:rsidRPr="00CC1633">
        <w:rPr>
          <w:rFonts w:ascii="Arial" w:hAnsi="Arial" w:cs="Arial"/>
          <w:b/>
          <w:bCs/>
          <w:szCs w:val="24"/>
        </w:rPr>
        <w:t>CUARTO</w:t>
      </w:r>
      <w:r w:rsidR="004036BC" w:rsidRPr="00CC1633">
        <w:rPr>
          <w:rFonts w:ascii="Arial" w:hAnsi="Arial" w:cs="Arial"/>
          <w:b/>
          <w:bCs/>
          <w:szCs w:val="24"/>
        </w:rPr>
        <w:t>:</w:t>
      </w:r>
      <w:r w:rsidR="004036BC" w:rsidRPr="00CC1633">
        <w:rPr>
          <w:rFonts w:ascii="Arial" w:hAnsi="Arial" w:cs="Arial"/>
          <w:szCs w:val="24"/>
        </w:rPr>
        <w:t xml:space="preserve"> </w:t>
      </w:r>
      <w:r w:rsidRPr="00CC1633">
        <w:rPr>
          <w:rFonts w:ascii="Arial" w:hAnsi="Arial" w:cs="Arial"/>
          <w:b/>
          <w:bCs/>
          <w:szCs w:val="24"/>
        </w:rPr>
        <w:t xml:space="preserve">ORDENAR </w:t>
      </w:r>
      <w:r w:rsidRPr="00CC1633">
        <w:rPr>
          <w:rFonts w:ascii="Arial" w:hAnsi="Arial" w:cs="Arial"/>
          <w:szCs w:val="24"/>
        </w:rPr>
        <w:t xml:space="preserve">a la </w:t>
      </w:r>
      <w:r w:rsidRPr="00CC1633">
        <w:rPr>
          <w:rFonts w:ascii="Arial" w:hAnsi="Arial" w:cs="Arial"/>
          <w:b/>
          <w:bCs/>
          <w:szCs w:val="24"/>
        </w:rPr>
        <w:t>ADMINISTRADORA DE FONDOS DE PENSIONES Y CESANTÍAS PROTECCIÓN S.A.</w:t>
      </w:r>
      <w:r w:rsidRPr="00CC1633">
        <w:rPr>
          <w:rFonts w:ascii="Arial" w:hAnsi="Arial" w:cs="Arial"/>
          <w:szCs w:val="24"/>
        </w:rPr>
        <w:t>, que le traslade 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w:t>
      </w:r>
      <w:r w:rsidR="00306954" w:rsidRPr="00CC1633">
        <w:rPr>
          <w:rFonts w:ascii="Arial" w:hAnsi="Arial" w:cs="Arial"/>
          <w:szCs w:val="24"/>
        </w:rPr>
        <w:t>e la</w:t>
      </w:r>
      <w:r w:rsidRPr="00CC1633">
        <w:rPr>
          <w:rFonts w:ascii="Arial" w:hAnsi="Arial" w:cs="Arial"/>
          <w:szCs w:val="24"/>
        </w:rPr>
        <w:t xml:space="preserve"> demandante, con cargo a sus propios recursos y debidamente indexados</w:t>
      </w:r>
      <w:r w:rsidR="00306954" w:rsidRPr="00CC1633">
        <w:rPr>
          <w:rFonts w:ascii="Arial" w:hAnsi="Arial" w:cs="Arial"/>
          <w:szCs w:val="24"/>
        </w:rPr>
        <w:t>.</w:t>
      </w:r>
    </w:p>
    <w:p w14:paraId="15A35081" w14:textId="66FA2E80" w:rsidR="00FD0204" w:rsidRPr="00CC1633" w:rsidRDefault="00FD0204" w:rsidP="00A71BD5">
      <w:pPr>
        <w:spacing w:line="276" w:lineRule="auto"/>
        <w:jc w:val="both"/>
        <w:rPr>
          <w:rFonts w:ascii="Arial" w:hAnsi="Arial" w:cs="Arial"/>
          <w:b/>
          <w:bCs/>
          <w:szCs w:val="24"/>
        </w:rPr>
      </w:pPr>
    </w:p>
    <w:p w14:paraId="7163BC8F" w14:textId="064C20DC" w:rsidR="008D26F2" w:rsidRPr="00CC1633" w:rsidRDefault="005529A4" w:rsidP="00A71BD5">
      <w:pPr>
        <w:spacing w:line="276" w:lineRule="auto"/>
        <w:jc w:val="both"/>
        <w:rPr>
          <w:rFonts w:ascii="Arial" w:hAnsi="Arial" w:cs="Arial"/>
          <w:szCs w:val="24"/>
        </w:rPr>
      </w:pPr>
      <w:r w:rsidRPr="00CC1633">
        <w:rPr>
          <w:rFonts w:ascii="Arial" w:hAnsi="Arial" w:cs="Arial"/>
          <w:b/>
          <w:bCs/>
          <w:szCs w:val="24"/>
        </w:rPr>
        <w:t xml:space="preserve">QUINTO: </w:t>
      </w:r>
      <w:r w:rsidR="008D26F2" w:rsidRPr="00CC1633">
        <w:rPr>
          <w:rFonts w:ascii="Arial" w:hAnsi="Arial" w:cs="Arial"/>
          <w:b/>
          <w:bCs/>
          <w:szCs w:val="24"/>
        </w:rPr>
        <w:t xml:space="preserve">ORDENAR </w:t>
      </w:r>
      <w:r w:rsidR="008D26F2" w:rsidRPr="00CC1633">
        <w:rPr>
          <w:rFonts w:ascii="Arial" w:hAnsi="Arial" w:cs="Arial"/>
          <w:szCs w:val="24"/>
        </w:rPr>
        <w:t xml:space="preserve">a la </w:t>
      </w:r>
      <w:r w:rsidR="008D26F2" w:rsidRPr="00CC1633">
        <w:rPr>
          <w:rFonts w:ascii="Arial" w:hAnsi="Arial" w:cs="Arial"/>
          <w:b/>
          <w:bCs/>
          <w:szCs w:val="24"/>
        </w:rPr>
        <w:t xml:space="preserve">ADMINISTRADORA COLOMBIANA DE PENSIONES “COLPENSIONES” </w:t>
      </w:r>
      <w:r w:rsidR="008D26F2" w:rsidRPr="00CC1633">
        <w:rPr>
          <w:rFonts w:ascii="Arial" w:hAnsi="Arial" w:cs="Arial"/>
          <w:szCs w:val="24"/>
        </w:rPr>
        <w:t>que procede a activar la afiliación de</w:t>
      </w:r>
      <w:r w:rsidR="00306954" w:rsidRPr="00CC1633">
        <w:rPr>
          <w:rFonts w:ascii="Arial" w:hAnsi="Arial" w:cs="Arial"/>
          <w:szCs w:val="24"/>
        </w:rPr>
        <w:t xml:space="preserve"> la señora </w:t>
      </w:r>
      <w:r w:rsidR="00306954" w:rsidRPr="00CC1633">
        <w:rPr>
          <w:rFonts w:ascii="Arial" w:hAnsi="Arial" w:cs="Arial"/>
          <w:b/>
          <w:bCs/>
          <w:szCs w:val="24"/>
        </w:rPr>
        <w:t>FABIOLA GUTIÉRREZ SUÁREZ</w:t>
      </w:r>
      <w:r w:rsidR="008D26F2" w:rsidRPr="00CC1633">
        <w:rPr>
          <w:rFonts w:ascii="Arial" w:hAnsi="Arial" w:cs="Arial"/>
          <w:b/>
          <w:bCs/>
          <w:szCs w:val="24"/>
        </w:rPr>
        <w:t xml:space="preserve"> </w:t>
      </w:r>
      <w:r w:rsidR="008D26F2" w:rsidRPr="00CC1633">
        <w:rPr>
          <w:rFonts w:ascii="Arial" w:hAnsi="Arial" w:cs="Arial"/>
          <w:szCs w:val="24"/>
        </w:rPr>
        <w:t xml:space="preserve">en la entidad y a recibir las sumas trasladas por la </w:t>
      </w:r>
      <w:r w:rsidR="008D26F2" w:rsidRPr="00CC1633">
        <w:rPr>
          <w:rFonts w:ascii="Arial" w:hAnsi="Arial" w:cs="Arial"/>
          <w:b/>
          <w:bCs/>
          <w:szCs w:val="24"/>
        </w:rPr>
        <w:t>ADMINISTRADORA DE FONDOS DE PENSIONES Y CESANTÍAS PROTECCIÓN S.A.</w:t>
      </w:r>
    </w:p>
    <w:p w14:paraId="7B74306B" w14:textId="77777777" w:rsidR="008D26F2" w:rsidRPr="00CC1633" w:rsidRDefault="008D26F2" w:rsidP="00A71BD5">
      <w:pPr>
        <w:spacing w:line="276" w:lineRule="auto"/>
        <w:jc w:val="both"/>
        <w:rPr>
          <w:rFonts w:ascii="Arial" w:hAnsi="Arial" w:cs="Arial"/>
          <w:b/>
          <w:bCs/>
          <w:szCs w:val="24"/>
        </w:rPr>
      </w:pPr>
    </w:p>
    <w:p w14:paraId="26D6D50B" w14:textId="25BCA592" w:rsidR="005529A4" w:rsidRPr="00CC1633" w:rsidRDefault="008D26F2" w:rsidP="00A71BD5">
      <w:pPr>
        <w:spacing w:line="276" w:lineRule="auto"/>
        <w:jc w:val="both"/>
        <w:rPr>
          <w:rFonts w:ascii="Arial" w:hAnsi="Arial" w:cs="Arial"/>
          <w:b/>
          <w:bCs/>
          <w:szCs w:val="24"/>
        </w:rPr>
      </w:pPr>
      <w:r w:rsidRPr="00CC1633">
        <w:rPr>
          <w:rFonts w:ascii="Arial" w:hAnsi="Arial" w:cs="Arial"/>
          <w:b/>
          <w:bCs/>
          <w:szCs w:val="24"/>
        </w:rPr>
        <w:t xml:space="preserve">SEXTO: </w:t>
      </w:r>
      <w:r w:rsidR="005529A4" w:rsidRPr="00CC1633">
        <w:rPr>
          <w:rFonts w:ascii="Arial" w:hAnsi="Arial" w:cs="Arial"/>
          <w:b/>
          <w:bCs/>
          <w:szCs w:val="24"/>
        </w:rPr>
        <w:t xml:space="preserve">DECLARAR </w:t>
      </w:r>
      <w:r w:rsidR="005529A4" w:rsidRPr="00CC1633">
        <w:rPr>
          <w:rFonts w:ascii="Arial" w:hAnsi="Arial" w:cs="Arial"/>
          <w:szCs w:val="24"/>
        </w:rPr>
        <w:t xml:space="preserve">probada la excepción de “IMPOSIBILIDAD DE CONDENA EN COSTAS” propuesta por </w:t>
      </w:r>
      <w:r w:rsidR="005529A4" w:rsidRPr="00CC1633">
        <w:rPr>
          <w:rFonts w:ascii="Arial" w:hAnsi="Arial" w:cs="Arial"/>
          <w:b/>
          <w:bCs/>
          <w:szCs w:val="24"/>
        </w:rPr>
        <w:t xml:space="preserve">COLPENSIONES. </w:t>
      </w:r>
    </w:p>
    <w:p w14:paraId="4D548E78" w14:textId="3FEA6DC2" w:rsidR="005529A4" w:rsidRPr="00CC1633" w:rsidRDefault="005529A4" w:rsidP="00A71BD5">
      <w:pPr>
        <w:spacing w:line="276" w:lineRule="auto"/>
        <w:jc w:val="both"/>
        <w:rPr>
          <w:rFonts w:ascii="Arial" w:hAnsi="Arial" w:cs="Arial"/>
          <w:b/>
          <w:bCs/>
          <w:szCs w:val="24"/>
        </w:rPr>
      </w:pPr>
    </w:p>
    <w:p w14:paraId="1F816EFD" w14:textId="43977E60" w:rsidR="005529A4" w:rsidRPr="00CC1633" w:rsidRDefault="008D26F2" w:rsidP="00A71BD5">
      <w:pPr>
        <w:spacing w:line="276" w:lineRule="auto"/>
        <w:jc w:val="both"/>
        <w:rPr>
          <w:rFonts w:ascii="Arial" w:hAnsi="Arial" w:cs="Arial"/>
          <w:b/>
          <w:bCs/>
          <w:szCs w:val="24"/>
        </w:rPr>
      </w:pPr>
      <w:r w:rsidRPr="00CC1633">
        <w:rPr>
          <w:rFonts w:ascii="Arial" w:hAnsi="Arial" w:cs="Arial"/>
          <w:b/>
          <w:bCs/>
          <w:szCs w:val="24"/>
        </w:rPr>
        <w:t>SEPTIMO</w:t>
      </w:r>
      <w:r w:rsidR="005529A4" w:rsidRPr="00CC1633">
        <w:rPr>
          <w:rFonts w:ascii="Arial" w:hAnsi="Arial" w:cs="Arial"/>
          <w:b/>
          <w:bCs/>
          <w:szCs w:val="24"/>
        </w:rPr>
        <w:t xml:space="preserve">: DECLARAR </w:t>
      </w:r>
      <w:r w:rsidR="005529A4" w:rsidRPr="00CC1633">
        <w:rPr>
          <w:rFonts w:ascii="Arial" w:hAnsi="Arial" w:cs="Arial"/>
          <w:szCs w:val="24"/>
        </w:rPr>
        <w:t xml:space="preserve">no probados los restantes medios exceptivos propuestos por </w:t>
      </w:r>
      <w:r w:rsidR="005529A4" w:rsidRPr="00CC1633">
        <w:rPr>
          <w:rFonts w:ascii="Arial" w:hAnsi="Arial" w:cs="Arial"/>
          <w:b/>
          <w:bCs/>
          <w:szCs w:val="24"/>
        </w:rPr>
        <w:t xml:space="preserve">COLPENSIONES </w:t>
      </w:r>
      <w:r w:rsidR="005529A4" w:rsidRPr="00CC1633">
        <w:rPr>
          <w:rFonts w:ascii="Arial" w:hAnsi="Arial" w:cs="Arial"/>
          <w:szCs w:val="24"/>
        </w:rPr>
        <w:t>y la</w:t>
      </w:r>
      <w:r w:rsidRPr="00CC1633">
        <w:rPr>
          <w:rFonts w:ascii="Arial" w:hAnsi="Arial" w:cs="Arial"/>
          <w:szCs w:val="24"/>
        </w:rPr>
        <w:t xml:space="preserve"> totalidad de las</w:t>
      </w:r>
      <w:r w:rsidR="005529A4" w:rsidRPr="00CC1633">
        <w:rPr>
          <w:rFonts w:ascii="Arial" w:hAnsi="Arial" w:cs="Arial"/>
          <w:szCs w:val="24"/>
        </w:rPr>
        <w:t xml:space="preserve"> excepciones </w:t>
      </w:r>
      <w:r w:rsidRPr="00CC1633">
        <w:rPr>
          <w:rFonts w:ascii="Arial" w:hAnsi="Arial" w:cs="Arial"/>
          <w:szCs w:val="24"/>
        </w:rPr>
        <w:t xml:space="preserve">invocadas </w:t>
      </w:r>
      <w:r w:rsidRPr="00CC1633">
        <w:rPr>
          <w:rFonts w:ascii="Arial" w:hAnsi="Arial" w:cs="Arial"/>
          <w:b/>
          <w:bCs/>
          <w:szCs w:val="24"/>
        </w:rPr>
        <w:t>PROTECCIÓN S.A.</w:t>
      </w:r>
    </w:p>
    <w:p w14:paraId="3348A8F0" w14:textId="0585DD00" w:rsidR="008D26F2" w:rsidRPr="00CC1633" w:rsidRDefault="008D26F2" w:rsidP="00A71BD5">
      <w:pPr>
        <w:spacing w:line="276" w:lineRule="auto"/>
        <w:jc w:val="both"/>
        <w:rPr>
          <w:rFonts w:ascii="Arial" w:hAnsi="Arial" w:cs="Arial"/>
          <w:b/>
          <w:bCs/>
          <w:szCs w:val="24"/>
        </w:rPr>
      </w:pPr>
    </w:p>
    <w:p w14:paraId="7B7C0C5B" w14:textId="547B99A8" w:rsidR="008D26F2" w:rsidRPr="00CC1633" w:rsidRDefault="008D26F2" w:rsidP="00A71BD5">
      <w:pPr>
        <w:spacing w:line="276" w:lineRule="auto"/>
        <w:jc w:val="both"/>
        <w:rPr>
          <w:rFonts w:ascii="Arial" w:hAnsi="Arial" w:cs="Arial"/>
          <w:szCs w:val="24"/>
        </w:rPr>
      </w:pPr>
      <w:r w:rsidRPr="00CC1633">
        <w:rPr>
          <w:rFonts w:ascii="Arial" w:hAnsi="Arial" w:cs="Arial"/>
          <w:b/>
          <w:bCs/>
          <w:szCs w:val="24"/>
        </w:rPr>
        <w:t xml:space="preserve">OCTAVO: CONDENAR </w:t>
      </w:r>
      <w:r w:rsidRPr="00CC1633">
        <w:rPr>
          <w:rFonts w:ascii="Arial" w:hAnsi="Arial" w:cs="Arial"/>
          <w:szCs w:val="24"/>
        </w:rPr>
        <w:t>en cos</w:t>
      </w:r>
      <w:r w:rsidR="00F3724B" w:rsidRPr="00CC1633">
        <w:rPr>
          <w:rFonts w:ascii="Arial" w:hAnsi="Arial" w:cs="Arial"/>
          <w:szCs w:val="24"/>
        </w:rPr>
        <w:t>t</w:t>
      </w:r>
      <w:r w:rsidRPr="00CC1633">
        <w:rPr>
          <w:rFonts w:ascii="Arial" w:hAnsi="Arial" w:cs="Arial"/>
          <w:szCs w:val="24"/>
        </w:rPr>
        <w:t xml:space="preserve">as </w:t>
      </w:r>
      <w:r w:rsidR="00F3724B" w:rsidRPr="00CC1633">
        <w:rPr>
          <w:rFonts w:ascii="Arial" w:hAnsi="Arial" w:cs="Arial"/>
          <w:szCs w:val="24"/>
        </w:rPr>
        <w:t xml:space="preserve">de primera instancia </w:t>
      </w:r>
      <w:r w:rsidRPr="00CC1633">
        <w:rPr>
          <w:rFonts w:ascii="Arial" w:hAnsi="Arial" w:cs="Arial"/>
          <w:szCs w:val="24"/>
        </w:rPr>
        <w:t xml:space="preserve">a PROTECCIÓN S.A., en un </w:t>
      </w:r>
      <w:r w:rsidR="000D46D3" w:rsidRPr="00CC1633">
        <w:rPr>
          <w:rFonts w:ascii="Arial" w:hAnsi="Arial" w:cs="Arial"/>
          <w:szCs w:val="24"/>
        </w:rPr>
        <w:t>cien</w:t>
      </w:r>
      <w:r w:rsidRPr="00CC1633">
        <w:rPr>
          <w:rFonts w:ascii="Arial" w:hAnsi="Arial" w:cs="Arial"/>
          <w:szCs w:val="24"/>
        </w:rPr>
        <w:t xml:space="preserve"> </w:t>
      </w:r>
      <w:r w:rsidR="00306954" w:rsidRPr="00CC1633">
        <w:rPr>
          <w:rFonts w:ascii="Arial" w:hAnsi="Arial" w:cs="Arial"/>
          <w:szCs w:val="24"/>
        </w:rPr>
        <w:t>por ciento</w:t>
      </w:r>
      <w:r w:rsidRPr="00CC1633">
        <w:rPr>
          <w:rFonts w:ascii="Arial" w:hAnsi="Arial" w:cs="Arial"/>
          <w:szCs w:val="24"/>
        </w:rPr>
        <w:t xml:space="preserve"> </w:t>
      </w:r>
      <w:r w:rsidR="000D46D3" w:rsidRPr="00CC1633">
        <w:rPr>
          <w:rFonts w:ascii="Arial" w:hAnsi="Arial" w:cs="Arial"/>
          <w:szCs w:val="24"/>
        </w:rPr>
        <w:t>(10</w:t>
      </w:r>
      <w:r w:rsidRPr="00CC1633">
        <w:rPr>
          <w:rFonts w:ascii="Arial" w:hAnsi="Arial" w:cs="Arial"/>
          <w:szCs w:val="24"/>
        </w:rPr>
        <w:t>0%), en favor de</w:t>
      </w:r>
      <w:r w:rsidR="00306954" w:rsidRPr="00CC1633">
        <w:rPr>
          <w:rFonts w:ascii="Arial" w:hAnsi="Arial" w:cs="Arial"/>
          <w:szCs w:val="24"/>
        </w:rPr>
        <w:t xml:space="preserve"> la </w:t>
      </w:r>
      <w:r w:rsidRPr="00CC1633">
        <w:rPr>
          <w:rFonts w:ascii="Arial" w:hAnsi="Arial" w:cs="Arial"/>
          <w:szCs w:val="24"/>
        </w:rPr>
        <w:t xml:space="preserve">demandante. </w:t>
      </w:r>
    </w:p>
    <w:p w14:paraId="49060133" w14:textId="0668DE98" w:rsidR="008D26F2" w:rsidRPr="00CC1633" w:rsidRDefault="008D26F2" w:rsidP="00A71BD5">
      <w:pPr>
        <w:spacing w:line="276" w:lineRule="auto"/>
        <w:jc w:val="both"/>
        <w:rPr>
          <w:rFonts w:ascii="Arial" w:hAnsi="Arial" w:cs="Arial"/>
          <w:szCs w:val="24"/>
        </w:rPr>
      </w:pPr>
    </w:p>
    <w:p w14:paraId="5F51F281" w14:textId="5FA5ACC9" w:rsidR="008A380A" w:rsidRPr="00CC1633" w:rsidRDefault="008D26F2" w:rsidP="00A71BD5">
      <w:pPr>
        <w:spacing w:line="276" w:lineRule="auto"/>
        <w:jc w:val="both"/>
        <w:rPr>
          <w:rFonts w:ascii="Arial" w:hAnsi="Arial" w:cs="Arial"/>
          <w:szCs w:val="24"/>
        </w:rPr>
      </w:pPr>
      <w:r w:rsidRPr="00CC1633">
        <w:rPr>
          <w:rFonts w:ascii="Arial" w:hAnsi="Arial" w:cs="Arial"/>
          <w:b/>
          <w:bCs/>
          <w:szCs w:val="24"/>
        </w:rPr>
        <w:t xml:space="preserve">NOVENO: SIN COSTAS </w:t>
      </w:r>
      <w:r w:rsidR="00F3724B" w:rsidRPr="00CC1633">
        <w:rPr>
          <w:rFonts w:ascii="Arial" w:hAnsi="Arial" w:cs="Arial"/>
          <w:szCs w:val="24"/>
        </w:rPr>
        <w:t>en</w:t>
      </w:r>
      <w:r w:rsidR="00A71BD5" w:rsidRPr="00CC1633">
        <w:rPr>
          <w:rFonts w:ascii="Arial" w:hAnsi="Arial" w:cs="Arial"/>
          <w:szCs w:val="24"/>
        </w:rPr>
        <w:t xml:space="preserve"> esta instancia.</w:t>
      </w:r>
    </w:p>
    <w:p w14:paraId="71E29526" w14:textId="77777777" w:rsidR="00A71BD5" w:rsidRDefault="00A71BD5" w:rsidP="00A71BD5">
      <w:pPr>
        <w:spacing w:line="276" w:lineRule="auto"/>
        <w:jc w:val="both"/>
        <w:rPr>
          <w:rFonts w:ascii="Arial" w:hAnsi="Arial" w:cs="Arial"/>
          <w:szCs w:val="24"/>
        </w:rPr>
      </w:pPr>
    </w:p>
    <w:p w14:paraId="2732D4BC" w14:textId="77777777" w:rsidR="00CC1633" w:rsidRPr="00CC1633" w:rsidRDefault="00CC1633" w:rsidP="00A71BD5">
      <w:pPr>
        <w:spacing w:line="276" w:lineRule="auto"/>
        <w:jc w:val="both"/>
        <w:rPr>
          <w:rFonts w:ascii="Arial" w:hAnsi="Arial" w:cs="Arial"/>
          <w:szCs w:val="24"/>
        </w:rPr>
      </w:pPr>
    </w:p>
    <w:p w14:paraId="121E9F15" w14:textId="77777777" w:rsidR="00A71BD5" w:rsidRPr="00CC1633" w:rsidRDefault="00A71BD5" w:rsidP="00A71BD5">
      <w:pPr>
        <w:suppressAutoHyphens/>
        <w:spacing w:line="276" w:lineRule="auto"/>
        <w:contextualSpacing/>
        <w:jc w:val="center"/>
        <w:rPr>
          <w:rFonts w:ascii="Arial" w:hAnsi="Arial" w:cs="Arial"/>
          <w:b/>
          <w:bCs/>
          <w:szCs w:val="24"/>
        </w:rPr>
      </w:pPr>
      <w:r w:rsidRPr="00CC1633">
        <w:rPr>
          <w:rFonts w:ascii="Arial" w:hAnsi="Arial" w:cs="Arial"/>
          <w:b/>
          <w:bCs/>
          <w:szCs w:val="24"/>
        </w:rPr>
        <w:t>NOTIFÍQUESE, CÚMPLASE Y DEVUÉLVASE</w:t>
      </w:r>
    </w:p>
    <w:p w14:paraId="3BC9A732" w14:textId="77777777" w:rsidR="00A71BD5" w:rsidRPr="00A71BD5" w:rsidRDefault="00A71BD5" w:rsidP="00A71BD5">
      <w:pPr>
        <w:spacing w:line="276" w:lineRule="auto"/>
        <w:jc w:val="both"/>
        <w:rPr>
          <w:rFonts w:ascii="Arial" w:hAnsi="Arial" w:cs="Arial"/>
          <w:szCs w:val="24"/>
        </w:rPr>
      </w:pPr>
    </w:p>
    <w:p w14:paraId="421FF657" w14:textId="77777777" w:rsidR="00A71BD5" w:rsidRPr="00A71BD5" w:rsidRDefault="00A71BD5" w:rsidP="00A71BD5">
      <w:pPr>
        <w:spacing w:line="276" w:lineRule="auto"/>
        <w:jc w:val="both"/>
        <w:rPr>
          <w:rFonts w:ascii="Arial" w:hAnsi="Arial" w:cs="Arial"/>
          <w:szCs w:val="24"/>
        </w:rPr>
      </w:pPr>
    </w:p>
    <w:p w14:paraId="5F3A44E4" w14:textId="77777777" w:rsidR="00A71BD5" w:rsidRPr="00A71BD5" w:rsidRDefault="00A71BD5" w:rsidP="00A71BD5">
      <w:pPr>
        <w:spacing w:line="276" w:lineRule="auto"/>
        <w:jc w:val="both"/>
        <w:rPr>
          <w:rFonts w:ascii="Arial" w:hAnsi="Arial" w:cs="Arial"/>
          <w:szCs w:val="24"/>
        </w:rPr>
      </w:pPr>
    </w:p>
    <w:p w14:paraId="5971BE23" w14:textId="77777777" w:rsidR="00A71BD5" w:rsidRPr="00A71BD5" w:rsidRDefault="00A71BD5" w:rsidP="00A71BD5">
      <w:pPr>
        <w:spacing w:line="276" w:lineRule="auto"/>
        <w:jc w:val="center"/>
        <w:rPr>
          <w:rFonts w:ascii="Arial" w:hAnsi="Arial" w:cs="Arial"/>
          <w:b/>
          <w:bCs/>
          <w:iCs/>
          <w:szCs w:val="24"/>
          <w:lang w:val="es-ES"/>
        </w:rPr>
      </w:pPr>
      <w:r w:rsidRPr="00A71BD5">
        <w:rPr>
          <w:rFonts w:ascii="Arial" w:hAnsi="Arial" w:cs="Arial"/>
          <w:b/>
          <w:bCs/>
          <w:iCs/>
          <w:szCs w:val="24"/>
          <w:lang w:val="es-ES"/>
        </w:rPr>
        <w:t>ALEJANDRA MARÍA HENAO PALACIO</w:t>
      </w:r>
    </w:p>
    <w:p w14:paraId="7B982059" w14:textId="77777777" w:rsidR="00A71BD5" w:rsidRPr="00A71BD5" w:rsidRDefault="00A71BD5" w:rsidP="00A71BD5">
      <w:pPr>
        <w:spacing w:line="276" w:lineRule="auto"/>
        <w:jc w:val="center"/>
        <w:rPr>
          <w:rFonts w:ascii="Arial" w:hAnsi="Arial" w:cs="Arial"/>
          <w:bCs/>
          <w:iCs/>
          <w:szCs w:val="24"/>
          <w:lang w:val="es-ES"/>
        </w:rPr>
      </w:pPr>
      <w:r w:rsidRPr="00A71BD5">
        <w:rPr>
          <w:rFonts w:ascii="Arial" w:hAnsi="Arial" w:cs="Arial"/>
          <w:bCs/>
          <w:iCs/>
          <w:szCs w:val="24"/>
          <w:lang w:val="es-ES"/>
        </w:rPr>
        <w:t>Magistrada Ponente</w:t>
      </w:r>
    </w:p>
    <w:p w14:paraId="161DFC28" w14:textId="77777777" w:rsidR="00A71BD5" w:rsidRPr="00A71BD5" w:rsidRDefault="00A71BD5" w:rsidP="00A71BD5">
      <w:pPr>
        <w:spacing w:line="276" w:lineRule="auto"/>
        <w:jc w:val="both"/>
        <w:rPr>
          <w:rFonts w:ascii="Arial" w:hAnsi="Arial" w:cs="Arial"/>
          <w:szCs w:val="24"/>
        </w:rPr>
      </w:pPr>
    </w:p>
    <w:p w14:paraId="175F4DE5" w14:textId="77777777" w:rsidR="00A71BD5" w:rsidRPr="00A71BD5" w:rsidRDefault="00A71BD5" w:rsidP="00A71BD5">
      <w:pPr>
        <w:spacing w:line="276" w:lineRule="auto"/>
        <w:jc w:val="both"/>
        <w:rPr>
          <w:rFonts w:ascii="Arial" w:hAnsi="Arial" w:cs="Arial"/>
          <w:szCs w:val="24"/>
        </w:rPr>
      </w:pPr>
    </w:p>
    <w:p w14:paraId="3E3C08FB" w14:textId="77777777" w:rsidR="00A71BD5" w:rsidRPr="00A71BD5" w:rsidRDefault="00A71BD5" w:rsidP="00A71BD5">
      <w:pPr>
        <w:spacing w:line="276" w:lineRule="auto"/>
        <w:jc w:val="both"/>
        <w:rPr>
          <w:rFonts w:ascii="Arial" w:hAnsi="Arial" w:cs="Arial"/>
          <w:szCs w:val="24"/>
        </w:rPr>
      </w:pPr>
    </w:p>
    <w:p w14:paraId="20316744" w14:textId="77777777" w:rsidR="00A71BD5" w:rsidRPr="00A71BD5" w:rsidRDefault="00A71BD5" w:rsidP="00A71BD5">
      <w:pPr>
        <w:spacing w:line="276" w:lineRule="auto"/>
        <w:jc w:val="both"/>
        <w:rPr>
          <w:rFonts w:ascii="Arial" w:hAnsi="Arial" w:cs="Arial"/>
          <w:b/>
          <w:bCs/>
          <w:iCs/>
          <w:szCs w:val="24"/>
          <w:lang w:val="es-ES"/>
        </w:rPr>
      </w:pPr>
      <w:r w:rsidRPr="00A71BD5">
        <w:rPr>
          <w:rFonts w:ascii="Arial" w:hAnsi="Arial" w:cs="Arial"/>
          <w:b/>
          <w:bCs/>
          <w:iCs/>
          <w:szCs w:val="24"/>
          <w:lang w:val="es-ES"/>
        </w:rPr>
        <w:t>ANA LUCÍA CAICEDO CALDERÓN</w:t>
      </w:r>
      <w:r w:rsidRPr="00A71BD5">
        <w:rPr>
          <w:rFonts w:ascii="Arial" w:hAnsi="Arial" w:cs="Arial"/>
          <w:b/>
          <w:bCs/>
          <w:iCs/>
          <w:szCs w:val="24"/>
          <w:lang w:val="es-ES"/>
        </w:rPr>
        <w:tab/>
        <w:t xml:space="preserve">      OLGA LUCIA HOYOS SEPÚLVEDA</w:t>
      </w:r>
    </w:p>
    <w:p w14:paraId="0E1D3D06" w14:textId="77777777" w:rsidR="00A71BD5" w:rsidRDefault="00A71BD5" w:rsidP="00A71BD5">
      <w:pPr>
        <w:spacing w:line="276" w:lineRule="auto"/>
        <w:jc w:val="both"/>
        <w:rPr>
          <w:rFonts w:ascii="Arial" w:hAnsi="Arial" w:cs="Arial"/>
          <w:bCs/>
          <w:iCs/>
          <w:szCs w:val="24"/>
          <w:lang w:val="es-ES"/>
        </w:rPr>
      </w:pPr>
      <w:r w:rsidRPr="00A71BD5">
        <w:rPr>
          <w:rFonts w:ascii="Arial" w:hAnsi="Arial" w:cs="Arial"/>
          <w:bCs/>
          <w:iCs/>
          <w:szCs w:val="24"/>
          <w:lang w:val="es-ES"/>
        </w:rPr>
        <w:t xml:space="preserve">                Magistrada</w:t>
      </w:r>
      <w:r w:rsidRPr="00A71BD5">
        <w:rPr>
          <w:rFonts w:ascii="Arial" w:hAnsi="Arial" w:cs="Arial"/>
          <w:bCs/>
          <w:iCs/>
          <w:szCs w:val="24"/>
          <w:lang w:val="es-ES"/>
        </w:rPr>
        <w:tab/>
      </w:r>
      <w:r w:rsidRPr="00A71BD5">
        <w:rPr>
          <w:rFonts w:ascii="Arial" w:hAnsi="Arial" w:cs="Arial"/>
          <w:bCs/>
          <w:iCs/>
          <w:szCs w:val="24"/>
          <w:lang w:val="es-ES"/>
        </w:rPr>
        <w:tab/>
      </w:r>
      <w:r w:rsidRPr="00A71BD5">
        <w:rPr>
          <w:rFonts w:ascii="Arial" w:hAnsi="Arial" w:cs="Arial"/>
          <w:bCs/>
          <w:iCs/>
          <w:szCs w:val="24"/>
          <w:lang w:val="es-ES"/>
        </w:rPr>
        <w:tab/>
      </w:r>
      <w:r w:rsidRPr="00A71BD5">
        <w:rPr>
          <w:rFonts w:ascii="Arial" w:hAnsi="Arial" w:cs="Arial"/>
          <w:bCs/>
          <w:iCs/>
          <w:szCs w:val="24"/>
          <w:lang w:val="es-ES"/>
        </w:rPr>
        <w:tab/>
      </w:r>
      <w:r w:rsidRPr="00A71BD5">
        <w:rPr>
          <w:rFonts w:ascii="Arial" w:hAnsi="Arial" w:cs="Arial"/>
          <w:bCs/>
          <w:iCs/>
          <w:szCs w:val="24"/>
          <w:lang w:val="es-ES"/>
        </w:rPr>
        <w:tab/>
        <w:t xml:space="preserve">      </w:t>
      </w:r>
      <w:proofErr w:type="spellStart"/>
      <w:r w:rsidRPr="00A71BD5">
        <w:rPr>
          <w:rFonts w:ascii="Arial" w:hAnsi="Arial" w:cs="Arial"/>
          <w:bCs/>
          <w:iCs/>
          <w:szCs w:val="24"/>
          <w:lang w:val="es-ES"/>
        </w:rPr>
        <w:t>Magistrada</w:t>
      </w:r>
      <w:proofErr w:type="spellEnd"/>
    </w:p>
    <w:p w14:paraId="74D51A4F" w14:textId="7AA4C0D7" w:rsidR="006522D2" w:rsidRPr="00A71BD5" w:rsidRDefault="00A71BD5" w:rsidP="00A71BD5">
      <w:pPr>
        <w:spacing w:line="276" w:lineRule="auto"/>
        <w:ind w:left="4956" w:firstLine="708"/>
        <w:jc w:val="both"/>
        <w:rPr>
          <w:rFonts w:ascii="Arial" w:hAnsi="Arial" w:cs="Arial"/>
          <w:bCs/>
          <w:iCs/>
          <w:szCs w:val="24"/>
          <w:lang w:val="es-ES"/>
        </w:rPr>
      </w:pPr>
      <w:r w:rsidRPr="00A71BD5">
        <w:rPr>
          <w:rFonts w:ascii="Arial" w:hAnsi="Arial" w:cs="Arial"/>
          <w:bCs/>
          <w:iCs/>
          <w:szCs w:val="24"/>
          <w:lang w:val="es-ES"/>
        </w:rPr>
        <w:t xml:space="preserve">      </w:t>
      </w:r>
      <w:r w:rsidR="00F05DFA" w:rsidRPr="00CC1633">
        <w:rPr>
          <w:rFonts w:ascii="Arial" w:hAnsi="Arial" w:cs="Arial"/>
          <w:szCs w:val="24"/>
        </w:rPr>
        <w:t>Salva voto</w:t>
      </w:r>
    </w:p>
    <w:sectPr w:rsidR="006522D2" w:rsidRPr="00A71BD5" w:rsidSect="00A71BD5">
      <w:headerReference w:type="even" r:id="rId13"/>
      <w:head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468C63" w16cex:dateUtc="2020-11-24T15:40:08.23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BC2A7" w14:textId="77777777" w:rsidR="00F57E80" w:rsidRDefault="00F57E80" w:rsidP="00116DDD">
      <w:r>
        <w:separator/>
      </w:r>
    </w:p>
  </w:endnote>
  <w:endnote w:type="continuationSeparator" w:id="0">
    <w:p w14:paraId="07DD4697" w14:textId="77777777" w:rsidR="00F57E80" w:rsidRDefault="00F57E80"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3EBAD" w14:textId="77777777" w:rsidR="00F57E80" w:rsidRDefault="00F57E80" w:rsidP="00116DDD">
      <w:r>
        <w:separator/>
      </w:r>
    </w:p>
  </w:footnote>
  <w:footnote w:type="continuationSeparator" w:id="0">
    <w:p w14:paraId="57157304" w14:textId="77777777" w:rsidR="00F57E80" w:rsidRDefault="00F57E80"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99523694"/>
      <w:docPartObj>
        <w:docPartGallery w:val="Page Numbers (Top of Page)"/>
        <w:docPartUnique/>
      </w:docPartObj>
    </w:sdtPr>
    <w:sdtEndPr>
      <w:rPr>
        <w:rStyle w:val="Nmerodepgina"/>
      </w:rPr>
    </w:sdtEndPr>
    <w:sdtContent>
      <w:p w14:paraId="54007579" w14:textId="23D316A3" w:rsidR="000141C3" w:rsidRDefault="000141C3"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0141C3" w:rsidRDefault="000141C3"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uto"/>
        <w:sz w:val="18"/>
        <w:szCs w:val="18"/>
      </w:rPr>
      <w:id w:val="612863764"/>
      <w:docPartObj>
        <w:docPartGallery w:val="Page Numbers (Top of Page)"/>
        <w:docPartUnique/>
      </w:docPartObj>
    </w:sdtPr>
    <w:sdtEndPr/>
    <w:sdtContent>
      <w:p w14:paraId="7C7AAEC2" w14:textId="24A02014" w:rsidR="000141C3" w:rsidRPr="00A71BD5" w:rsidRDefault="000141C3" w:rsidP="00A71BD5">
        <w:pPr>
          <w:pStyle w:val="Ttulo2"/>
          <w:framePr w:wrap="none" w:vAnchor="text" w:hAnchor="margin" w:xAlign="right" w:y="1"/>
          <w:tabs>
            <w:tab w:val="right" w:pos="8931"/>
          </w:tabs>
          <w:spacing w:before="0"/>
          <w:ind w:right="178"/>
          <w:rPr>
            <w:rFonts w:ascii="Arial" w:hAnsi="Arial" w:cs="Arial"/>
            <w:color w:val="auto"/>
            <w:sz w:val="18"/>
            <w:szCs w:val="18"/>
          </w:rPr>
        </w:pPr>
        <w:r w:rsidRPr="00A71BD5">
          <w:rPr>
            <w:rFonts w:ascii="Arial" w:hAnsi="Arial" w:cs="Arial"/>
            <w:color w:val="auto"/>
            <w:sz w:val="18"/>
            <w:szCs w:val="18"/>
          </w:rPr>
          <w:fldChar w:fldCharType="begin"/>
        </w:r>
        <w:r w:rsidRPr="00A71BD5">
          <w:rPr>
            <w:rFonts w:ascii="Arial" w:hAnsi="Arial" w:cs="Arial"/>
            <w:color w:val="auto"/>
            <w:sz w:val="18"/>
            <w:szCs w:val="18"/>
          </w:rPr>
          <w:instrText xml:space="preserve"> PAGE </w:instrText>
        </w:r>
        <w:r w:rsidRPr="00A71BD5">
          <w:rPr>
            <w:rFonts w:ascii="Arial" w:hAnsi="Arial" w:cs="Arial"/>
            <w:color w:val="auto"/>
            <w:sz w:val="18"/>
            <w:szCs w:val="18"/>
          </w:rPr>
          <w:fldChar w:fldCharType="separate"/>
        </w:r>
        <w:r w:rsidR="00CC1633">
          <w:rPr>
            <w:rFonts w:ascii="Arial" w:hAnsi="Arial" w:cs="Arial"/>
            <w:noProof/>
            <w:color w:val="auto"/>
            <w:sz w:val="18"/>
            <w:szCs w:val="18"/>
          </w:rPr>
          <w:t>2</w:t>
        </w:r>
        <w:r w:rsidRPr="00A71BD5">
          <w:rPr>
            <w:rFonts w:ascii="Arial" w:hAnsi="Arial" w:cs="Arial"/>
            <w:color w:val="auto"/>
            <w:sz w:val="18"/>
            <w:szCs w:val="18"/>
          </w:rPr>
          <w:fldChar w:fldCharType="end"/>
        </w:r>
      </w:p>
    </w:sdtContent>
  </w:sdt>
  <w:p w14:paraId="5C746383" w14:textId="412D45EC" w:rsidR="000141C3" w:rsidRPr="00A71BD5" w:rsidRDefault="000141C3" w:rsidP="00A71BD5">
    <w:pPr>
      <w:pStyle w:val="Ttulo2"/>
      <w:tabs>
        <w:tab w:val="right" w:pos="8931"/>
      </w:tabs>
      <w:spacing w:before="0"/>
      <w:ind w:right="360"/>
      <w:rPr>
        <w:rFonts w:ascii="Arial" w:hAnsi="Arial" w:cs="Arial"/>
        <w:bCs/>
        <w:color w:val="auto"/>
        <w:sz w:val="18"/>
        <w:szCs w:val="18"/>
      </w:rPr>
    </w:pPr>
    <w:r w:rsidRPr="00A71BD5">
      <w:rPr>
        <w:rFonts w:ascii="Arial" w:hAnsi="Arial" w:cs="Arial"/>
        <w:color w:val="auto"/>
        <w:sz w:val="18"/>
        <w:szCs w:val="18"/>
      </w:rPr>
      <w:t xml:space="preserve">Radicación No. </w:t>
    </w:r>
    <w:r w:rsidRPr="00A71BD5">
      <w:rPr>
        <w:rFonts w:ascii="Arial" w:hAnsi="Arial" w:cs="Arial"/>
        <w:bCs/>
        <w:color w:val="auto"/>
        <w:sz w:val="18"/>
        <w:szCs w:val="18"/>
      </w:rPr>
      <w:t>66001–31-05–00</w:t>
    </w:r>
    <w:r w:rsidR="008706EB" w:rsidRPr="00A71BD5">
      <w:rPr>
        <w:rFonts w:ascii="Arial" w:hAnsi="Arial" w:cs="Arial"/>
        <w:bCs/>
        <w:color w:val="auto"/>
        <w:sz w:val="18"/>
        <w:szCs w:val="18"/>
      </w:rPr>
      <w:t>5-2017-00582</w:t>
    </w:r>
    <w:r w:rsidRPr="00A71BD5">
      <w:rPr>
        <w:rFonts w:ascii="Arial" w:hAnsi="Arial" w:cs="Arial"/>
        <w:bCs/>
        <w:color w:val="auto"/>
        <w:sz w:val="18"/>
        <w:szCs w:val="18"/>
      </w:rPr>
      <w:t>-01</w:t>
    </w:r>
  </w:p>
  <w:p w14:paraId="781A877B" w14:textId="6313FD99" w:rsidR="000141C3" w:rsidRPr="00A71BD5" w:rsidRDefault="008706EB" w:rsidP="00A71BD5">
    <w:pPr>
      <w:pStyle w:val="Ttulo2"/>
      <w:tabs>
        <w:tab w:val="right" w:pos="8931"/>
      </w:tabs>
      <w:spacing w:before="0"/>
      <w:ind w:right="-92"/>
      <w:rPr>
        <w:rFonts w:ascii="Arial" w:hAnsi="Arial" w:cs="Arial"/>
        <w:color w:val="auto"/>
        <w:sz w:val="18"/>
        <w:szCs w:val="18"/>
        <w:lang w:val="es-ES"/>
      </w:rPr>
    </w:pPr>
    <w:r w:rsidRPr="00A71BD5">
      <w:rPr>
        <w:rFonts w:ascii="Arial" w:hAnsi="Arial" w:cs="Arial"/>
        <w:bCs/>
        <w:color w:val="auto"/>
        <w:sz w:val="18"/>
        <w:szCs w:val="18"/>
      </w:rPr>
      <w:t>Fabiola Gutiérrez Suárez</w:t>
    </w:r>
    <w:r w:rsidR="000141C3" w:rsidRPr="00A71BD5">
      <w:rPr>
        <w:rFonts w:ascii="Arial" w:hAnsi="Arial" w:cs="Arial"/>
        <w:bCs/>
        <w:color w:val="auto"/>
        <w:sz w:val="18"/>
        <w:szCs w:val="18"/>
      </w:rPr>
      <w:t xml:space="preserve"> vs Colpensiones y otro </w:t>
    </w:r>
  </w:p>
  <w:p w14:paraId="2CCC734B" w14:textId="77777777" w:rsidR="000141C3" w:rsidRDefault="000141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8296B42"/>
    <w:multiLevelType w:val="hybridMultilevel"/>
    <w:tmpl w:val="677A4D32"/>
    <w:lvl w:ilvl="0" w:tplc="456A4D1A">
      <w:start w:val="1"/>
      <w:numFmt w:val="bullet"/>
      <w:lvlText w:val="-"/>
      <w:lvlJc w:val="left"/>
      <w:pPr>
        <w:ind w:left="720" w:hanging="360"/>
      </w:pPr>
      <w:rPr>
        <w:rFonts w:ascii="Arial Narrow" w:eastAsia="Times New Roman" w:hAnsi="Arial Narrow" w:cs="Arial" w:hint="default"/>
        <w:i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5C5F"/>
    <w:rsid w:val="00005FC4"/>
    <w:rsid w:val="0000602E"/>
    <w:rsid w:val="00007B57"/>
    <w:rsid w:val="0001031C"/>
    <w:rsid w:val="00011B8C"/>
    <w:rsid w:val="00013202"/>
    <w:rsid w:val="00013F09"/>
    <w:rsid w:val="000141C3"/>
    <w:rsid w:val="0001607B"/>
    <w:rsid w:val="00016DF8"/>
    <w:rsid w:val="00020E6D"/>
    <w:rsid w:val="00025CD1"/>
    <w:rsid w:val="00026907"/>
    <w:rsid w:val="000269C3"/>
    <w:rsid w:val="00027135"/>
    <w:rsid w:val="00034AE9"/>
    <w:rsid w:val="00036361"/>
    <w:rsid w:val="000407F5"/>
    <w:rsid w:val="00041D05"/>
    <w:rsid w:val="0004207F"/>
    <w:rsid w:val="0004389D"/>
    <w:rsid w:val="000468BD"/>
    <w:rsid w:val="00054421"/>
    <w:rsid w:val="00054C39"/>
    <w:rsid w:val="00054D4B"/>
    <w:rsid w:val="00056EE1"/>
    <w:rsid w:val="000621E7"/>
    <w:rsid w:val="0007029E"/>
    <w:rsid w:val="000717F2"/>
    <w:rsid w:val="0007228C"/>
    <w:rsid w:val="000776B8"/>
    <w:rsid w:val="00077D68"/>
    <w:rsid w:val="0008069E"/>
    <w:rsid w:val="00087767"/>
    <w:rsid w:val="000961B0"/>
    <w:rsid w:val="00096E06"/>
    <w:rsid w:val="000B260A"/>
    <w:rsid w:val="000B2A06"/>
    <w:rsid w:val="000B5D27"/>
    <w:rsid w:val="000C5ABD"/>
    <w:rsid w:val="000D01B1"/>
    <w:rsid w:val="000D46D3"/>
    <w:rsid w:val="000D72A3"/>
    <w:rsid w:val="000E0383"/>
    <w:rsid w:val="000E3F00"/>
    <w:rsid w:val="000F0469"/>
    <w:rsid w:val="000F0B74"/>
    <w:rsid w:val="00113276"/>
    <w:rsid w:val="001142B2"/>
    <w:rsid w:val="00116DDD"/>
    <w:rsid w:val="001201A3"/>
    <w:rsid w:val="00141E8F"/>
    <w:rsid w:val="00145060"/>
    <w:rsid w:val="00147302"/>
    <w:rsid w:val="00150E34"/>
    <w:rsid w:val="00162D9D"/>
    <w:rsid w:val="00180522"/>
    <w:rsid w:val="0018526C"/>
    <w:rsid w:val="00187B6C"/>
    <w:rsid w:val="00191288"/>
    <w:rsid w:val="001935E4"/>
    <w:rsid w:val="001943D6"/>
    <w:rsid w:val="001977EA"/>
    <w:rsid w:val="001A0AA0"/>
    <w:rsid w:val="001A0E0C"/>
    <w:rsid w:val="001A5890"/>
    <w:rsid w:val="001B04BC"/>
    <w:rsid w:val="001B7C8D"/>
    <w:rsid w:val="001C0C48"/>
    <w:rsid w:val="001C4451"/>
    <w:rsid w:val="001D20B8"/>
    <w:rsid w:val="001D2122"/>
    <w:rsid w:val="001D4BCB"/>
    <w:rsid w:val="001D77E8"/>
    <w:rsid w:val="001E580D"/>
    <w:rsid w:val="001E64D9"/>
    <w:rsid w:val="001F104B"/>
    <w:rsid w:val="001F1090"/>
    <w:rsid w:val="001F5740"/>
    <w:rsid w:val="001F5F34"/>
    <w:rsid w:val="001F6FC6"/>
    <w:rsid w:val="001F7663"/>
    <w:rsid w:val="0021262B"/>
    <w:rsid w:val="00214A89"/>
    <w:rsid w:val="002217A7"/>
    <w:rsid w:val="00221E09"/>
    <w:rsid w:val="00227DC8"/>
    <w:rsid w:val="002338CD"/>
    <w:rsid w:val="002372EE"/>
    <w:rsid w:val="00252599"/>
    <w:rsid w:val="00260F33"/>
    <w:rsid w:val="002706F2"/>
    <w:rsid w:val="00276845"/>
    <w:rsid w:val="002777E9"/>
    <w:rsid w:val="00283FCF"/>
    <w:rsid w:val="00285F02"/>
    <w:rsid w:val="0028776D"/>
    <w:rsid w:val="00291024"/>
    <w:rsid w:val="002918CD"/>
    <w:rsid w:val="00292799"/>
    <w:rsid w:val="002975D1"/>
    <w:rsid w:val="002A2FE1"/>
    <w:rsid w:val="002A4D32"/>
    <w:rsid w:val="002B0F4F"/>
    <w:rsid w:val="002B245D"/>
    <w:rsid w:val="002C2314"/>
    <w:rsid w:val="002C2F2F"/>
    <w:rsid w:val="002C4502"/>
    <w:rsid w:val="002C545F"/>
    <w:rsid w:val="002C5A88"/>
    <w:rsid w:val="002C5D5C"/>
    <w:rsid w:val="002C6DEF"/>
    <w:rsid w:val="002D4C89"/>
    <w:rsid w:val="002D5A09"/>
    <w:rsid w:val="002E1451"/>
    <w:rsid w:val="002E5F87"/>
    <w:rsid w:val="002E75C2"/>
    <w:rsid w:val="002F07C6"/>
    <w:rsid w:val="002F1483"/>
    <w:rsid w:val="002F3802"/>
    <w:rsid w:val="002F3A2F"/>
    <w:rsid w:val="002F3DE2"/>
    <w:rsid w:val="002F57A1"/>
    <w:rsid w:val="002F5B53"/>
    <w:rsid w:val="002F6D5D"/>
    <w:rsid w:val="00303339"/>
    <w:rsid w:val="00305245"/>
    <w:rsid w:val="00306954"/>
    <w:rsid w:val="00306EFA"/>
    <w:rsid w:val="003159E5"/>
    <w:rsid w:val="00324964"/>
    <w:rsid w:val="003266C2"/>
    <w:rsid w:val="00330DCB"/>
    <w:rsid w:val="00336BB8"/>
    <w:rsid w:val="00343425"/>
    <w:rsid w:val="0034739A"/>
    <w:rsid w:val="003603DA"/>
    <w:rsid w:val="003625A4"/>
    <w:rsid w:val="0036374A"/>
    <w:rsid w:val="00376F39"/>
    <w:rsid w:val="0038540F"/>
    <w:rsid w:val="003946A4"/>
    <w:rsid w:val="00396C39"/>
    <w:rsid w:val="003A1222"/>
    <w:rsid w:val="003A7B39"/>
    <w:rsid w:val="003B34B7"/>
    <w:rsid w:val="003B6D14"/>
    <w:rsid w:val="003C51DA"/>
    <w:rsid w:val="003E0701"/>
    <w:rsid w:val="003F3DAE"/>
    <w:rsid w:val="003F4823"/>
    <w:rsid w:val="0040078C"/>
    <w:rsid w:val="004036BC"/>
    <w:rsid w:val="00403DBA"/>
    <w:rsid w:val="004062BC"/>
    <w:rsid w:val="0041008F"/>
    <w:rsid w:val="0041511C"/>
    <w:rsid w:val="004177B7"/>
    <w:rsid w:val="00436071"/>
    <w:rsid w:val="004369F0"/>
    <w:rsid w:val="00436A8A"/>
    <w:rsid w:val="0043719E"/>
    <w:rsid w:val="00443294"/>
    <w:rsid w:val="0044676E"/>
    <w:rsid w:val="00450D91"/>
    <w:rsid w:val="00455725"/>
    <w:rsid w:val="00462BB7"/>
    <w:rsid w:val="00472AEF"/>
    <w:rsid w:val="00483884"/>
    <w:rsid w:val="00484001"/>
    <w:rsid w:val="00484C66"/>
    <w:rsid w:val="00486EB8"/>
    <w:rsid w:val="004A4E4E"/>
    <w:rsid w:val="004B19BC"/>
    <w:rsid w:val="004B41DA"/>
    <w:rsid w:val="004BAAD8"/>
    <w:rsid w:val="004C1C96"/>
    <w:rsid w:val="004C4407"/>
    <w:rsid w:val="004C4C28"/>
    <w:rsid w:val="004D5363"/>
    <w:rsid w:val="004D5D83"/>
    <w:rsid w:val="004E2FF8"/>
    <w:rsid w:val="004E70BD"/>
    <w:rsid w:val="004E77B5"/>
    <w:rsid w:val="004F0BE3"/>
    <w:rsid w:val="004F263C"/>
    <w:rsid w:val="004F2CFC"/>
    <w:rsid w:val="004F349B"/>
    <w:rsid w:val="004F7AE3"/>
    <w:rsid w:val="00504959"/>
    <w:rsid w:val="00507177"/>
    <w:rsid w:val="005126AA"/>
    <w:rsid w:val="00517E84"/>
    <w:rsid w:val="00523FE5"/>
    <w:rsid w:val="005240A6"/>
    <w:rsid w:val="00524634"/>
    <w:rsid w:val="005255D7"/>
    <w:rsid w:val="0053051C"/>
    <w:rsid w:val="0053721F"/>
    <w:rsid w:val="00547225"/>
    <w:rsid w:val="005529A4"/>
    <w:rsid w:val="00553255"/>
    <w:rsid w:val="00554A9A"/>
    <w:rsid w:val="00560DE2"/>
    <w:rsid w:val="0056202B"/>
    <w:rsid w:val="00563C16"/>
    <w:rsid w:val="00566F3D"/>
    <w:rsid w:val="00574BED"/>
    <w:rsid w:val="00575AA7"/>
    <w:rsid w:val="00577170"/>
    <w:rsid w:val="005949B7"/>
    <w:rsid w:val="00597AE5"/>
    <w:rsid w:val="005A7308"/>
    <w:rsid w:val="005B1E09"/>
    <w:rsid w:val="005B6AB7"/>
    <w:rsid w:val="005C0D93"/>
    <w:rsid w:val="005C4E0B"/>
    <w:rsid w:val="005D13E8"/>
    <w:rsid w:val="005D692F"/>
    <w:rsid w:val="005E033D"/>
    <w:rsid w:val="005E1575"/>
    <w:rsid w:val="005E4312"/>
    <w:rsid w:val="005E56F7"/>
    <w:rsid w:val="005E6FEC"/>
    <w:rsid w:val="005E787A"/>
    <w:rsid w:val="005F03D7"/>
    <w:rsid w:val="005F0E5B"/>
    <w:rsid w:val="005F1C90"/>
    <w:rsid w:val="005F59B0"/>
    <w:rsid w:val="0061081E"/>
    <w:rsid w:val="00610E42"/>
    <w:rsid w:val="0061115D"/>
    <w:rsid w:val="00611D08"/>
    <w:rsid w:val="00615004"/>
    <w:rsid w:val="0061714E"/>
    <w:rsid w:val="0062191A"/>
    <w:rsid w:val="006225CF"/>
    <w:rsid w:val="00625F45"/>
    <w:rsid w:val="006509B7"/>
    <w:rsid w:val="006522D2"/>
    <w:rsid w:val="00653E07"/>
    <w:rsid w:val="006546E4"/>
    <w:rsid w:val="0065483A"/>
    <w:rsid w:val="006627A0"/>
    <w:rsid w:val="00667334"/>
    <w:rsid w:val="006727FD"/>
    <w:rsid w:val="00677A60"/>
    <w:rsid w:val="0069028C"/>
    <w:rsid w:val="0069185A"/>
    <w:rsid w:val="00691C0E"/>
    <w:rsid w:val="0069394A"/>
    <w:rsid w:val="00697F72"/>
    <w:rsid w:val="006A133A"/>
    <w:rsid w:val="006A2693"/>
    <w:rsid w:val="006A701B"/>
    <w:rsid w:val="006B457C"/>
    <w:rsid w:val="006C1510"/>
    <w:rsid w:val="006C3DF0"/>
    <w:rsid w:val="006C41D4"/>
    <w:rsid w:val="006C70AF"/>
    <w:rsid w:val="006C7133"/>
    <w:rsid w:val="006D1742"/>
    <w:rsid w:val="006D17FB"/>
    <w:rsid w:val="006D7455"/>
    <w:rsid w:val="006D7A5A"/>
    <w:rsid w:val="006E6413"/>
    <w:rsid w:val="006E6606"/>
    <w:rsid w:val="006E7BAC"/>
    <w:rsid w:val="006F6EA0"/>
    <w:rsid w:val="006F7F8B"/>
    <w:rsid w:val="0070072A"/>
    <w:rsid w:val="00703EA0"/>
    <w:rsid w:val="007046D9"/>
    <w:rsid w:val="00704BDA"/>
    <w:rsid w:val="00710308"/>
    <w:rsid w:val="0071215F"/>
    <w:rsid w:val="007201AC"/>
    <w:rsid w:val="00722E45"/>
    <w:rsid w:val="00725306"/>
    <w:rsid w:val="00730E22"/>
    <w:rsid w:val="00731ADB"/>
    <w:rsid w:val="00732032"/>
    <w:rsid w:val="00732CBE"/>
    <w:rsid w:val="00733D92"/>
    <w:rsid w:val="00734FBC"/>
    <w:rsid w:val="0073727F"/>
    <w:rsid w:val="00743E0E"/>
    <w:rsid w:val="00747824"/>
    <w:rsid w:val="0075455C"/>
    <w:rsid w:val="00755D38"/>
    <w:rsid w:val="00763553"/>
    <w:rsid w:val="00766677"/>
    <w:rsid w:val="007729C7"/>
    <w:rsid w:val="007748E4"/>
    <w:rsid w:val="00776C31"/>
    <w:rsid w:val="0077710F"/>
    <w:rsid w:val="007945F2"/>
    <w:rsid w:val="00796A41"/>
    <w:rsid w:val="007A1831"/>
    <w:rsid w:val="007A2B23"/>
    <w:rsid w:val="007A501E"/>
    <w:rsid w:val="007B0D7B"/>
    <w:rsid w:val="007B6E9C"/>
    <w:rsid w:val="007B7476"/>
    <w:rsid w:val="007C4407"/>
    <w:rsid w:val="007C65A8"/>
    <w:rsid w:val="007C74DC"/>
    <w:rsid w:val="007D359D"/>
    <w:rsid w:val="007E1B00"/>
    <w:rsid w:val="007EC78C"/>
    <w:rsid w:val="007F0C1E"/>
    <w:rsid w:val="007F2066"/>
    <w:rsid w:val="007F7008"/>
    <w:rsid w:val="007F7387"/>
    <w:rsid w:val="008000FF"/>
    <w:rsid w:val="00810222"/>
    <w:rsid w:val="00811981"/>
    <w:rsid w:val="0081342B"/>
    <w:rsid w:val="0081D88F"/>
    <w:rsid w:val="00827764"/>
    <w:rsid w:val="00834CE9"/>
    <w:rsid w:val="00835433"/>
    <w:rsid w:val="00835ECB"/>
    <w:rsid w:val="0083707D"/>
    <w:rsid w:val="0083781D"/>
    <w:rsid w:val="00842FA0"/>
    <w:rsid w:val="008465CB"/>
    <w:rsid w:val="00851ED9"/>
    <w:rsid w:val="0085332B"/>
    <w:rsid w:val="00857E8D"/>
    <w:rsid w:val="008633D9"/>
    <w:rsid w:val="008706EB"/>
    <w:rsid w:val="008719AC"/>
    <w:rsid w:val="008835DC"/>
    <w:rsid w:val="008904C5"/>
    <w:rsid w:val="00893D31"/>
    <w:rsid w:val="008A1D45"/>
    <w:rsid w:val="008A2D23"/>
    <w:rsid w:val="008A380A"/>
    <w:rsid w:val="008B0CFC"/>
    <w:rsid w:val="008B2016"/>
    <w:rsid w:val="008B2E61"/>
    <w:rsid w:val="008B3736"/>
    <w:rsid w:val="008C0626"/>
    <w:rsid w:val="008C24C7"/>
    <w:rsid w:val="008C308C"/>
    <w:rsid w:val="008D26F2"/>
    <w:rsid w:val="008D5B85"/>
    <w:rsid w:val="008D62ED"/>
    <w:rsid w:val="008E5D10"/>
    <w:rsid w:val="008F0030"/>
    <w:rsid w:val="008F2797"/>
    <w:rsid w:val="008F49FC"/>
    <w:rsid w:val="00902A6F"/>
    <w:rsid w:val="0090365F"/>
    <w:rsid w:val="00907BF1"/>
    <w:rsid w:val="00907D77"/>
    <w:rsid w:val="00907F59"/>
    <w:rsid w:val="00910666"/>
    <w:rsid w:val="00915137"/>
    <w:rsid w:val="00915C47"/>
    <w:rsid w:val="00927178"/>
    <w:rsid w:val="00943CE8"/>
    <w:rsid w:val="00951FF7"/>
    <w:rsid w:val="00953809"/>
    <w:rsid w:val="00960CBE"/>
    <w:rsid w:val="00961D8F"/>
    <w:rsid w:val="009624D3"/>
    <w:rsid w:val="00966046"/>
    <w:rsid w:val="0096625C"/>
    <w:rsid w:val="009679F6"/>
    <w:rsid w:val="00970163"/>
    <w:rsid w:val="00971610"/>
    <w:rsid w:val="0097379F"/>
    <w:rsid w:val="00974688"/>
    <w:rsid w:val="00974B25"/>
    <w:rsid w:val="00991D75"/>
    <w:rsid w:val="00993BBF"/>
    <w:rsid w:val="009946C9"/>
    <w:rsid w:val="00995CD9"/>
    <w:rsid w:val="009A325A"/>
    <w:rsid w:val="009A71D4"/>
    <w:rsid w:val="009B5C4C"/>
    <w:rsid w:val="009C0B4D"/>
    <w:rsid w:val="009D20AB"/>
    <w:rsid w:val="009D7370"/>
    <w:rsid w:val="009E4106"/>
    <w:rsid w:val="009E5F78"/>
    <w:rsid w:val="009F47B9"/>
    <w:rsid w:val="00A000C8"/>
    <w:rsid w:val="00A00A83"/>
    <w:rsid w:val="00A012D9"/>
    <w:rsid w:val="00A025DC"/>
    <w:rsid w:val="00A155C9"/>
    <w:rsid w:val="00A156AF"/>
    <w:rsid w:val="00A23D8C"/>
    <w:rsid w:val="00A25965"/>
    <w:rsid w:val="00A25D2B"/>
    <w:rsid w:val="00A31182"/>
    <w:rsid w:val="00A34C5F"/>
    <w:rsid w:val="00A41F11"/>
    <w:rsid w:val="00A451FD"/>
    <w:rsid w:val="00A47D97"/>
    <w:rsid w:val="00A548AB"/>
    <w:rsid w:val="00A57CFE"/>
    <w:rsid w:val="00A60D4B"/>
    <w:rsid w:val="00A62C95"/>
    <w:rsid w:val="00A66210"/>
    <w:rsid w:val="00A71BD5"/>
    <w:rsid w:val="00A77C1F"/>
    <w:rsid w:val="00A83448"/>
    <w:rsid w:val="00A95A3C"/>
    <w:rsid w:val="00AA0A98"/>
    <w:rsid w:val="00AA117C"/>
    <w:rsid w:val="00AA5A32"/>
    <w:rsid w:val="00AA733E"/>
    <w:rsid w:val="00AB367A"/>
    <w:rsid w:val="00AB6173"/>
    <w:rsid w:val="00AB666A"/>
    <w:rsid w:val="00AD30D2"/>
    <w:rsid w:val="00AE2717"/>
    <w:rsid w:val="00AE34EB"/>
    <w:rsid w:val="00AF6E07"/>
    <w:rsid w:val="00B0506D"/>
    <w:rsid w:val="00B10698"/>
    <w:rsid w:val="00B222EA"/>
    <w:rsid w:val="00B24372"/>
    <w:rsid w:val="00B25CAA"/>
    <w:rsid w:val="00B276CB"/>
    <w:rsid w:val="00B302BB"/>
    <w:rsid w:val="00B34681"/>
    <w:rsid w:val="00B36A75"/>
    <w:rsid w:val="00B41037"/>
    <w:rsid w:val="00B4519B"/>
    <w:rsid w:val="00B55D19"/>
    <w:rsid w:val="00B57580"/>
    <w:rsid w:val="00B62BDD"/>
    <w:rsid w:val="00B64CE2"/>
    <w:rsid w:val="00B66571"/>
    <w:rsid w:val="00B72020"/>
    <w:rsid w:val="00B734AC"/>
    <w:rsid w:val="00B945BD"/>
    <w:rsid w:val="00BA3B1D"/>
    <w:rsid w:val="00BA7161"/>
    <w:rsid w:val="00BB4775"/>
    <w:rsid w:val="00BB47F6"/>
    <w:rsid w:val="00BC099D"/>
    <w:rsid w:val="00BC170D"/>
    <w:rsid w:val="00BC2026"/>
    <w:rsid w:val="00BC5ADD"/>
    <w:rsid w:val="00BC67FA"/>
    <w:rsid w:val="00BD2308"/>
    <w:rsid w:val="00BD73C8"/>
    <w:rsid w:val="00BE1DAE"/>
    <w:rsid w:val="00C014DD"/>
    <w:rsid w:val="00C021CE"/>
    <w:rsid w:val="00C06447"/>
    <w:rsid w:val="00C2037E"/>
    <w:rsid w:val="00C2202E"/>
    <w:rsid w:val="00C2478B"/>
    <w:rsid w:val="00C24FFB"/>
    <w:rsid w:val="00C31C09"/>
    <w:rsid w:val="00C3351D"/>
    <w:rsid w:val="00C40459"/>
    <w:rsid w:val="00C42340"/>
    <w:rsid w:val="00C455B6"/>
    <w:rsid w:val="00C53D66"/>
    <w:rsid w:val="00C567EF"/>
    <w:rsid w:val="00C61F88"/>
    <w:rsid w:val="00C66D92"/>
    <w:rsid w:val="00C756B2"/>
    <w:rsid w:val="00C77603"/>
    <w:rsid w:val="00C81ADC"/>
    <w:rsid w:val="00C82E83"/>
    <w:rsid w:val="00C918E0"/>
    <w:rsid w:val="00C955D2"/>
    <w:rsid w:val="00C95843"/>
    <w:rsid w:val="00CA7390"/>
    <w:rsid w:val="00CAE0BD"/>
    <w:rsid w:val="00CB277F"/>
    <w:rsid w:val="00CC0051"/>
    <w:rsid w:val="00CC1633"/>
    <w:rsid w:val="00CC511D"/>
    <w:rsid w:val="00CC69ED"/>
    <w:rsid w:val="00CD333C"/>
    <w:rsid w:val="00CD3845"/>
    <w:rsid w:val="00CD6712"/>
    <w:rsid w:val="00CE084C"/>
    <w:rsid w:val="00CE1571"/>
    <w:rsid w:val="00CE1D09"/>
    <w:rsid w:val="00CE2784"/>
    <w:rsid w:val="00CE35BA"/>
    <w:rsid w:val="00CE674D"/>
    <w:rsid w:val="00CF355F"/>
    <w:rsid w:val="00CF386F"/>
    <w:rsid w:val="00D054FA"/>
    <w:rsid w:val="00D07898"/>
    <w:rsid w:val="00D12D50"/>
    <w:rsid w:val="00D14D1D"/>
    <w:rsid w:val="00D178C6"/>
    <w:rsid w:val="00D17FB7"/>
    <w:rsid w:val="00D2184F"/>
    <w:rsid w:val="00D24040"/>
    <w:rsid w:val="00D26782"/>
    <w:rsid w:val="00D30CD5"/>
    <w:rsid w:val="00D51A0F"/>
    <w:rsid w:val="00D63580"/>
    <w:rsid w:val="00D64FE7"/>
    <w:rsid w:val="00D66F9A"/>
    <w:rsid w:val="00D70A86"/>
    <w:rsid w:val="00D72404"/>
    <w:rsid w:val="00D7268A"/>
    <w:rsid w:val="00D75DE2"/>
    <w:rsid w:val="00D825A2"/>
    <w:rsid w:val="00D8712D"/>
    <w:rsid w:val="00D9036F"/>
    <w:rsid w:val="00D91C75"/>
    <w:rsid w:val="00DA0885"/>
    <w:rsid w:val="00DC0750"/>
    <w:rsid w:val="00DC1140"/>
    <w:rsid w:val="00DC1B82"/>
    <w:rsid w:val="00DC1F8B"/>
    <w:rsid w:val="00DC1F8E"/>
    <w:rsid w:val="00DC3407"/>
    <w:rsid w:val="00DD133C"/>
    <w:rsid w:val="00DD248C"/>
    <w:rsid w:val="00DD5207"/>
    <w:rsid w:val="00DE72CE"/>
    <w:rsid w:val="00DF767E"/>
    <w:rsid w:val="00E00B1A"/>
    <w:rsid w:val="00E02E3D"/>
    <w:rsid w:val="00E12383"/>
    <w:rsid w:val="00E13158"/>
    <w:rsid w:val="00E13BF3"/>
    <w:rsid w:val="00E1724A"/>
    <w:rsid w:val="00E211C5"/>
    <w:rsid w:val="00E230A7"/>
    <w:rsid w:val="00E25D8A"/>
    <w:rsid w:val="00E272CC"/>
    <w:rsid w:val="00E27395"/>
    <w:rsid w:val="00E31A9F"/>
    <w:rsid w:val="00E34252"/>
    <w:rsid w:val="00E3512F"/>
    <w:rsid w:val="00E3760D"/>
    <w:rsid w:val="00E4205F"/>
    <w:rsid w:val="00E423EA"/>
    <w:rsid w:val="00E52D85"/>
    <w:rsid w:val="00E539DE"/>
    <w:rsid w:val="00E60672"/>
    <w:rsid w:val="00E642FD"/>
    <w:rsid w:val="00E64B1A"/>
    <w:rsid w:val="00E65FE9"/>
    <w:rsid w:val="00E70B23"/>
    <w:rsid w:val="00E738BD"/>
    <w:rsid w:val="00E7591B"/>
    <w:rsid w:val="00E857CD"/>
    <w:rsid w:val="00E86DCF"/>
    <w:rsid w:val="00E908B7"/>
    <w:rsid w:val="00E927D7"/>
    <w:rsid w:val="00E944DD"/>
    <w:rsid w:val="00EA1375"/>
    <w:rsid w:val="00EA351E"/>
    <w:rsid w:val="00EA54A4"/>
    <w:rsid w:val="00EB5A28"/>
    <w:rsid w:val="00EB60A3"/>
    <w:rsid w:val="00EC5D90"/>
    <w:rsid w:val="00ED4DE8"/>
    <w:rsid w:val="00ED5210"/>
    <w:rsid w:val="00EE47BA"/>
    <w:rsid w:val="00EF4EDC"/>
    <w:rsid w:val="00EF5872"/>
    <w:rsid w:val="00EF6BEF"/>
    <w:rsid w:val="00F012F6"/>
    <w:rsid w:val="00F05DFA"/>
    <w:rsid w:val="00F112C0"/>
    <w:rsid w:val="00F17333"/>
    <w:rsid w:val="00F210B4"/>
    <w:rsid w:val="00F235C5"/>
    <w:rsid w:val="00F3506A"/>
    <w:rsid w:val="00F3724B"/>
    <w:rsid w:val="00F45A37"/>
    <w:rsid w:val="00F57E80"/>
    <w:rsid w:val="00F67331"/>
    <w:rsid w:val="00F71333"/>
    <w:rsid w:val="00F7145D"/>
    <w:rsid w:val="00F72B32"/>
    <w:rsid w:val="00F828A3"/>
    <w:rsid w:val="00F82D2F"/>
    <w:rsid w:val="00F8417B"/>
    <w:rsid w:val="00F91814"/>
    <w:rsid w:val="00F96395"/>
    <w:rsid w:val="00FA1734"/>
    <w:rsid w:val="00FA3840"/>
    <w:rsid w:val="00FA5C63"/>
    <w:rsid w:val="00FB1A6C"/>
    <w:rsid w:val="00FB3CA4"/>
    <w:rsid w:val="00FC0F3A"/>
    <w:rsid w:val="00FC1DF3"/>
    <w:rsid w:val="00FC431B"/>
    <w:rsid w:val="00FC53DE"/>
    <w:rsid w:val="00FC6B2C"/>
    <w:rsid w:val="00FC783F"/>
    <w:rsid w:val="00FD0204"/>
    <w:rsid w:val="00FD6FEB"/>
    <w:rsid w:val="00FE5F64"/>
    <w:rsid w:val="00FE7B63"/>
    <w:rsid w:val="00FF29E6"/>
    <w:rsid w:val="00FF34D9"/>
    <w:rsid w:val="0171C036"/>
    <w:rsid w:val="017A93B0"/>
    <w:rsid w:val="01BCF9EE"/>
    <w:rsid w:val="03295BAE"/>
    <w:rsid w:val="041EC65C"/>
    <w:rsid w:val="0474164B"/>
    <w:rsid w:val="04903021"/>
    <w:rsid w:val="0498FDBD"/>
    <w:rsid w:val="04BA7B79"/>
    <w:rsid w:val="04DAEBA9"/>
    <w:rsid w:val="051213A4"/>
    <w:rsid w:val="05502A46"/>
    <w:rsid w:val="05584744"/>
    <w:rsid w:val="056248CC"/>
    <w:rsid w:val="057F739A"/>
    <w:rsid w:val="05AD927B"/>
    <w:rsid w:val="05B6187C"/>
    <w:rsid w:val="05BAE96C"/>
    <w:rsid w:val="06286D37"/>
    <w:rsid w:val="0647EFBA"/>
    <w:rsid w:val="066CA5B0"/>
    <w:rsid w:val="068EABDF"/>
    <w:rsid w:val="06A00075"/>
    <w:rsid w:val="06FE8044"/>
    <w:rsid w:val="071164B2"/>
    <w:rsid w:val="0712925C"/>
    <w:rsid w:val="075E3D94"/>
    <w:rsid w:val="07B4B0E0"/>
    <w:rsid w:val="0811145C"/>
    <w:rsid w:val="081250DE"/>
    <w:rsid w:val="08BC5F23"/>
    <w:rsid w:val="08FAA83F"/>
    <w:rsid w:val="09519672"/>
    <w:rsid w:val="098BFE89"/>
    <w:rsid w:val="099A937F"/>
    <w:rsid w:val="09DC6DD8"/>
    <w:rsid w:val="09F5BD73"/>
    <w:rsid w:val="09FE8E8F"/>
    <w:rsid w:val="0A141535"/>
    <w:rsid w:val="0A17B311"/>
    <w:rsid w:val="0AEA80A2"/>
    <w:rsid w:val="0B32AA3C"/>
    <w:rsid w:val="0B84BFC1"/>
    <w:rsid w:val="0B8B1770"/>
    <w:rsid w:val="0B966F93"/>
    <w:rsid w:val="0BCACBBA"/>
    <w:rsid w:val="0C2D230B"/>
    <w:rsid w:val="0CF8F317"/>
    <w:rsid w:val="0D408ACF"/>
    <w:rsid w:val="0D96EF66"/>
    <w:rsid w:val="0E554822"/>
    <w:rsid w:val="0EDD3A03"/>
    <w:rsid w:val="0F0D1998"/>
    <w:rsid w:val="0F36D9D7"/>
    <w:rsid w:val="0F49689F"/>
    <w:rsid w:val="0F4A809B"/>
    <w:rsid w:val="0FA59F44"/>
    <w:rsid w:val="0FBDA9C4"/>
    <w:rsid w:val="0FBE1A6D"/>
    <w:rsid w:val="0FCD4547"/>
    <w:rsid w:val="0FFA19B4"/>
    <w:rsid w:val="10B062A7"/>
    <w:rsid w:val="10B59421"/>
    <w:rsid w:val="10FAB8C9"/>
    <w:rsid w:val="1120BB47"/>
    <w:rsid w:val="11B8DA97"/>
    <w:rsid w:val="11CECCB2"/>
    <w:rsid w:val="11CEE373"/>
    <w:rsid w:val="1228E8D8"/>
    <w:rsid w:val="128A9F7F"/>
    <w:rsid w:val="12A66F47"/>
    <w:rsid w:val="12F67CD0"/>
    <w:rsid w:val="1302A2E8"/>
    <w:rsid w:val="134CD461"/>
    <w:rsid w:val="135AC97D"/>
    <w:rsid w:val="139E0F14"/>
    <w:rsid w:val="13A4EE8B"/>
    <w:rsid w:val="13BA28CC"/>
    <w:rsid w:val="140D9CEC"/>
    <w:rsid w:val="146B0756"/>
    <w:rsid w:val="146B4B3A"/>
    <w:rsid w:val="146E8893"/>
    <w:rsid w:val="1478AC7A"/>
    <w:rsid w:val="161E2625"/>
    <w:rsid w:val="1649EB98"/>
    <w:rsid w:val="16B7ED86"/>
    <w:rsid w:val="175FC50F"/>
    <w:rsid w:val="17626D7A"/>
    <w:rsid w:val="17C0E485"/>
    <w:rsid w:val="181BA8BD"/>
    <w:rsid w:val="186A9761"/>
    <w:rsid w:val="187E07DF"/>
    <w:rsid w:val="18F4E42F"/>
    <w:rsid w:val="195372EA"/>
    <w:rsid w:val="1A5DC61A"/>
    <w:rsid w:val="1A65AA6B"/>
    <w:rsid w:val="1A8009F2"/>
    <w:rsid w:val="1A8BFD83"/>
    <w:rsid w:val="1B3A362C"/>
    <w:rsid w:val="1B678FBC"/>
    <w:rsid w:val="1B6FDF75"/>
    <w:rsid w:val="1BC33948"/>
    <w:rsid w:val="1BC84C36"/>
    <w:rsid w:val="1BDFE1CD"/>
    <w:rsid w:val="1C82B5F3"/>
    <w:rsid w:val="1CF10864"/>
    <w:rsid w:val="1D2E1E0C"/>
    <w:rsid w:val="1DCC6EBE"/>
    <w:rsid w:val="1E32AF6C"/>
    <w:rsid w:val="1E8E46C7"/>
    <w:rsid w:val="1EA8B816"/>
    <w:rsid w:val="1F087591"/>
    <w:rsid w:val="20A7F9E7"/>
    <w:rsid w:val="2140B6E4"/>
    <w:rsid w:val="215ABB69"/>
    <w:rsid w:val="21E7897B"/>
    <w:rsid w:val="22043ADF"/>
    <w:rsid w:val="22390FBC"/>
    <w:rsid w:val="2261327F"/>
    <w:rsid w:val="2276AA22"/>
    <w:rsid w:val="22830971"/>
    <w:rsid w:val="22C0F34E"/>
    <w:rsid w:val="22DF4C2A"/>
    <w:rsid w:val="22EEC1FD"/>
    <w:rsid w:val="236E0F15"/>
    <w:rsid w:val="23F5C80E"/>
    <w:rsid w:val="242725DB"/>
    <w:rsid w:val="2439730B"/>
    <w:rsid w:val="24442F18"/>
    <w:rsid w:val="24AF5375"/>
    <w:rsid w:val="2544A4A3"/>
    <w:rsid w:val="25B4E90E"/>
    <w:rsid w:val="2608DD60"/>
    <w:rsid w:val="26AD6574"/>
    <w:rsid w:val="26B561AF"/>
    <w:rsid w:val="26CD47D8"/>
    <w:rsid w:val="270C8245"/>
    <w:rsid w:val="27120F8A"/>
    <w:rsid w:val="2715F5F0"/>
    <w:rsid w:val="27291372"/>
    <w:rsid w:val="27B7B31D"/>
    <w:rsid w:val="2803FF1F"/>
    <w:rsid w:val="2883A093"/>
    <w:rsid w:val="289B3240"/>
    <w:rsid w:val="28B2F995"/>
    <w:rsid w:val="28D079FB"/>
    <w:rsid w:val="28DAD4AD"/>
    <w:rsid w:val="28E2AE4D"/>
    <w:rsid w:val="292A59D2"/>
    <w:rsid w:val="2934F6C1"/>
    <w:rsid w:val="29DCBF9C"/>
    <w:rsid w:val="29E4947E"/>
    <w:rsid w:val="2AB65EDF"/>
    <w:rsid w:val="2AF2CDD5"/>
    <w:rsid w:val="2B942AEB"/>
    <w:rsid w:val="2BCA85ED"/>
    <w:rsid w:val="2C427526"/>
    <w:rsid w:val="2C522E74"/>
    <w:rsid w:val="2CB23A6B"/>
    <w:rsid w:val="2CD67006"/>
    <w:rsid w:val="2D15068B"/>
    <w:rsid w:val="2D9D895C"/>
    <w:rsid w:val="2DA9A6BD"/>
    <w:rsid w:val="2DBE92FA"/>
    <w:rsid w:val="2F02D452"/>
    <w:rsid w:val="2FAEEC7D"/>
    <w:rsid w:val="2FD8BA9E"/>
    <w:rsid w:val="2FD9A808"/>
    <w:rsid w:val="306DAD80"/>
    <w:rsid w:val="3116F476"/>
    <w:rsid w:val="315B2E71"/>
    <w:rsid w:val="32108CC0"/>
    <w:rsid w:val="3247021C"/>
    <w:rsid w:val="32B76713"/>
    <w:rsid w:val="32CBB9FD"/>
    <w:rsid w:val="33078593"/>
    <w:rsid w:val="33358EAF"/>
    <w:rsid w:val="3344554A"/>
    <w:rsid w:val="33572734"/>
    <w:rsid w:val="33C86E39"/>
    <w:rsid w:val="33D89E3D"/>
    <w:rsid w:val="3409F50C"/>
    <w:rsid w:val="346712CE"/>
    <w:rsid w:val="34AE2A16"/>
    <w:rsid w:val="351A7DCF"/>
    <w:rsid w:val="3584A252"/>
    <w:rsid w:val="360F2DDA"/>
    <w:rsid w:val="36A8346F"/>
    <w:rsid w:val="36C3E76A"/>
    <w:rsid w:val="37021FC3"/>
    <w:rsid w:val="3721408A"/>
    <w:rsid w:val="3728F722"/>
    <w:rsid w:val="37CD9FF9"/>
    <w:rsid w:val="385099B6"/>
    <w:rsid w:val="38B21454"/>
    <w:rsid w:val="38F7EC23"/>
    <w:rsid w:val="396958B8"/>
    <w:rsid w:val="39899B7C"/>
    <w:rsid w:val="39EFF326"/>
    <w:rsid w:val="3A125F7C"/>
    <w:rsid w:val="3A164978"/>
    <w:rsid w:val="3A1BE146"/>
    <w:rsid w:val="3A1DDD93"/>
    <w:rsid w:val="3A3ED68A"/>
    <w:rsid w:val="3A5CE3D6"/>
    <w:rsid w:val="3B425A76"/>
    <w:rsid w:val="3B4D69C3"/>
    <w:rsid w:val="3B6E0F19"/>
    <w:rsid w:val="3BB9453A"/>
    <w:rsid w:val="3BBC2C1B"/>
    <w:rsid w:val="3BC5D7BC"/>
    <w:rsid w:val="3C271FC1"/>
    <w:rsid w:val="3CE00BF4"/>
    <w:rsid w:val="3CFF7DD5"/>
    <w:rsid w:val="3D00280A"/>
    <w:rsid w:val="3D1A3EF5"/>
    <w:rsid w:val="3D1A771C"/>
    <w:rsid w:val="3D7611E4"/>
    <w:rsid w:val="3DB0FD7F"/>
    <w:rsid w:val="3DDF3A65"/>
    <w:rsid w:val="3E11E3C2"/>
    <w:rsid w:val="3E411918"/>
    <w:rsid w:val="3F2418CB"/>
    <w:rsid w:val="3F5DC2B5"/>
    <w:rsid w:val="4032C988"/>
    <w:rsid w:val="4032F0C6"/>
    <w:rsid w:val="406919D1"/>
    <w:rsid w:val="40AE814F"/>
    <w:rsid w:val="41030509"/>
    <w:rsid w:val="41233781"/>
    <w:rsid w:val="41554F40"/>
    <w:rsid w:val="41D38B9C"/>
    <w:rsid w:val="4240F4D2"/>
    <w:rsid w:val="4247B5B4"/>
    <w:rsid w:val="424E3C02"/>
    <w:rsid w:val="426024A7"/>
    <w:rsid w:val="426BDE2B"/>
    <w:rsid w:val="4271DB7F"/>
    <w:rsid w:val="42BE1260"/>
    <w:rsid w:val="42E9D4EA"/>
    <w:rsid w:val="43A3E884"/>
    <w:rsid w:val="43F005DB"/>
    <w:rsid w:val="453CF692"/>
    <w:rsid w:val="458A0184"/>
    <w:rsid w:val="45F8EC20"/>
    <w:rsid w:val="46012CE6"/>
    <w:rsid w:val="47070320"/>
    <w:rsid w:val="47B873FE"/>
    <w:rsid w:val="47F22395"/>
    <w:rsid w:val="48573BDB"/>
    <w:rsid w:val="48E765B0"/>
    <w:rsid w:val="49162428"/>
    <w:rsid w:val="49A1FF3A"/>
    <w:rsid w:val="49E1CCA0"/>
    <w:rsid w:val="4A765563"/>
    <w:rsid w:val="4AAFBE00"/>
    <w:rsid w:val="4B4C4D03"/>
    <w:rsid w:val="4B8F29F6"/>
    <w:rsid w:val="4B9198E9"/>
    <w:rsid w:val="4BF348B0"/>
    <w:rsid w:val="4C203921"/>
    <w:rsid w:val="4C2DB80E"/>
    <w:rsid w:val="4C36B49E"/>
    <w:rsid w:val="4CA0BF62"/>
    <w:rsid w:val="4D461477"/>
    <w:rsid w:val="4DA059DA"/>
    <w:rsid w:val="4DE6EFDD"/>
    <w:rsid w:val="4E05DFF3"/>
    <w:rsid w:val="4E07F7FA"/>
    <w:rsid w:val="4E2A413D"/>
    <w:rsid w:val="4E6415DE"/>
    <w:rsid w:val="4E6A06B2"/>
    <w:rsid w:val="4ED74FF8"/>
    <w:rsid w:val="4F05D3D5"/>
    <w:rsid w:val="4F9856A8"/>
    <w:rsid w:val="508B0C3A"/>
    <w:rsid w:val="50940CC6"/>
    <w:rsid w:val="50D687C8"/>
    <w:rsid w:val="5100CFFA"/>
    <w:rsid w:val="510A7DB5"/>
    <w:rsid w:val="51BF837F"/>
    <w:rsid w:val="52500979"/>
    <w:rsid w:val="5257CDD7"/>
    <w:rsid w:val="526FEDDE"/>
    <w:rsid w:val="532359D4"/>
    <w:rsid w:val="535367EC"/>
    <w:rsid w:val="535D59EB"/>
    <w:rsid w:val="535F792C"/>
    <w:rsid w:val="55449AB7"/>
    <w:rsid w:val="55525034"/>
    <w:rsid w:val="5553081D"/>
    <w:rsid w:val="55787C1F"/>
    <w:rsid w:val="557E9BB6"/>
    <w:rsid w:val="558AA3F0"/>
    <w:rsid w:val="559A8720"/>
    <w:rsid w:val="56105909"/>
    <w:rsid w:val="56423160"/>
    <w:rsid w:val="565010FA"/>
    <w:rsid w:val="566CE310"/>
    <w:rsid w:val="56EEEEFB"/>
    <w:rsid w:val="572F9647"/>
    <w:rsid w:val="5792EF31"/>
    <w:rsid w:val="57D3A8E1"/>
    <w:rsid w:val="5877FB86"/>
    <w:rsid w:val="589A45D9"/>
    <w:rsid w:val="58D8FF7F"/>
    <w:rsid w:val="591F0FFF"/>
    <w:rsid w:val="5965E881"/>
    <w:rsid w:val="59772F91"/>
    <w:rsid w:val="59CF2C3F"/>
    <w:rsid w:val="59D3A040"/>
    <w:rsid w:val="59DACB67"/>
    <w:rsid w:val="5AA0356E"/>
    <w:rsid w:val="5B18FC82"/>
    <w:rsid w:val="5B41E7CA"/>
    <w:rsid w:val="5B929065"/>
    <w:rsid w:val="5C23412E"/>
    <w:rsid w:val="5C3E2FA5"/>
    <w:rsid w:val="5C66507E"/>
    <w:rsid w:val="5C719B61"/>
    <w:rsid w:val="5CC2AFE9"/>
    <w:rsid w:val="5CD55961"/>
    <w:rsid w:val="5D1F03D3"/>
    <w:rsid w:val="5DF2C1DC"/>
    <w:rsid w:val="5E0E503D"/>
    <w:rsid w:val="5E479D43"/>
    <w:rsid w:val="5E4C3861"/>
    <w:rsid w:val="5E67957A"/>
    <w:rsid w:val="5E9A7993"/>
    <w:rsid w:val="5EDF56F6"/>
    <w:rsid w:val="5F75C907"/>
    <w:rsid w:val="5FB9F80B"/>
    <w:rsid w:val="5FCCE2FA"/>
    <w:rsid w:val="6063E6CC"/>
    <w:rsid w:val="606A1E73"/>
    <w:rsid w:val="60B9DA9F"/>
    <w:rsid w:val="610C5C5B"/>
    <w:rsid w:val="61266C9D"/>
    <w:rsid w:val="6156FC4C"/>
    <w:rsid w:val="61A63F49"/>
    <w:rsid w:val="6207987D"/>
    <w:rsid w:val="625DC13D"/>
    <w:rsid w:val="62C621EC"/>
    <w:rsid w:val="631D3F58"/>
    <w:rsid w:val="63983869"/>
    <w:rsid w:val="645A9B51"/>
    <w:rsid w:val="649D7610"/>
    <w:rsid w:val="64D3ECF0"/>
    <w:rsid w:val="65011414"/>
    <w:rsid w:val="657E4460"/>
    <w:rsid w:val="65ABEA80"/>
    <w:rsid w:val="65CB1F1B"/>
    <w:rsid w:val="6614C781"/>
    <w:rsid w:val="66180E68"/>
    <w:rsid w:val="6621507F"/>
    <w:rsid w:val="6689C08A"/>
    <w:rsid w:val="66C106CC"/>
    <w:rsid w:val="66E05BDD"/>
    <w:rsid w:val="66F0941A"/>
    <w:rsid w:val="67B2E925"/>
    <w:rsid w:val="685E0E9A"/>
    <w:rsid w:val="689BD0B0"/>
    <w:rsid w:val="68C04853"/>
    <w:rsid w:val="68D786F3"/>
    <w:rsid w:val="695CD45A"/>
    <w:rsid w:val="69C2FB4A"/>
    <w:rsid w:val="69D94FEF"/>
    <w:rsid w:val="6A292663"/>
    <w:rsid w:val="6A4BB7EB"/>
    <w:rsid w:val="6AB17F8B"/>
    <w:rsid w:val="6ADC109C"/>
    <w:rsid w:val="6AF8B3BB"/>
    <w:rsid w:val="6B06B556"/>
    <w:rsid w:val="6B0C475A"/>
    <w:rsid w:val="6B360894"/>
    <w:rsid w:val="6C0906DC"/>
    <w:rsid w:val="6CDBE288"/>
    <w:rsid w:val="6D6CA00F"/>
    <w:rsid w:val="6DB33616"/>
    <w:rsid w:val="6DDD95F5"/>
    <w:rsid w:val="6E22F12C"/>
    <w:rsid w:val="6EDE9228"/>
    <w:rsid w:val="6F60C803"/>
    <w:rsid w:val="6F74BDAD"/>
    <w:rsid w:val="6F7A7054"/>
    <w:rsid w:val="6F7E97DE"/>
    <w:rsid w:val="707388F5"/>
    <w:rsid w:val="70E5F4E3"/>
    <w:rsid w:val="7113AC07"/>
    <w:rsid w:val="71656B98"/>
    <w:rsid w:val="71AB4689"/>
    <w:rsid w:val="721E5815"/>
    <w:rsid w:val="72293B46"/>
    <w:rsid w:val="72522354"/>
    <w:rsid w:val="72619654"/>
    <w:rsid w:val="73368081"/>
    <w:rsid w:val="734A1E05"/>
    <w:rsid w:val="73A3FA64"/>
    <w:rsid w:val="74015816"/>
    <w:rsid w:val="74457284"/>
    <w:rsid w:val="74E86741"/>
    <w:rsid w:val="756424D0"/>
    <w:rsid w:val="75B00C7C"/>
    <w:rsid w:val="75D004E2"/>
    <w:rsid w:val="75F3F70B"/>
    <w:rsid w:val="75F89E9F"/>
    <w:rsid w:val="7617B631"/>
    <w:rsid w:val="764AF0FC"/>
    <w:rsid w:val="767A46EF"/>
    <w:rsid w:val="76BA87AD"/>
    <w:rsid w:val="777075A4"/>
    <w:rsid w:val="777F5F71"/>
    <w:rsid w:val="77D741BE"/>
    <w:rsid w:val="78B696B6"/>
    <w:rsid w:val="7917C705"/>
    <w:rsid w:val="793A0C00"/>
    <w:rsid w:val="795F05A9"/>
    <w:rsid w:val="79716DAC"/>
    <w:rsid w:val="799DEFC2"/>
    <w:rsid w:val="79BFFA16"/>
    <w:rsid w:val="79CFEECB"/>
    <w:rsid w:val="7A488B39"/>
    <w:rsid w:val="7A685AA7"/>
    <w:rsid w:val="7A8A520F"/>
    <w:rsid w:val="7A953A3E"/>
    <w:rsid w:val="7AB31619"/>
    <w:rsid w:val="7BABA27F"/>
    <w:rsid w:val="7C3B7501"/>
    <w:rsid w:val="7C8871B7"/>
    <w:rsid w:val="7D963FEA"/>
    <w:rsid w:val="7DBB1378"/>
    <w:rsid w:val="7DD397E9"/>
    <w:rsid w:val="7EC01AB6"/>
    <w:rsid w:val="7F393E75"/>
    <w:rsid w:val="7F9BA630"/>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F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semiHidden/>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paragraph" w:customStyle="1" w:styleId="Textoindependiente25">
    <w:name w:val="Texto independiente 25"/>
    <w:basedOn w:val="Normal"/>
    <w:rsid w:val="006C70AF"/>
    <w:pPr>
      <w:overflowPunct w:val="0"/>
      <w:autoSpaceDE w:val="0"/>
      <w:autoSpaceDN w:val="0"/>
      <w:adjustRightInd w:val="0"/>
      <w:spacing w:line="360" w:lineRule="auto"/>
      <w:ind w:firstLine="709"/>
      <w:jc w:val="both"/>
    </w:pPr>
    <w:rPr>
      <w:rFonts w:ascii="Arial Narrow" w:eastAsia="Calibri" w:hAnsi="Arial Narrow"/>
      <w:sz w:val="30"/>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F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semiHidden/>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paragraph" w:customStyle="1" w:styleId="Textoindependiente25">
    <w:name w:val="Texto independiente 25"/>
    <w:basedOn w:val="Normal"/>
    <w:rsid w:val="006C70AF"/>
    <w:pPr>
      <w:overflowPunct w:val="0"/>
      <w:autoSpaceDE w:val="0"/>
      <w:autoSpaceDN w:val="0"/>
      <w:adjustRightInd w:val="0"/>
      <w:spacing w:line="360" w:lineRule="auto"/>
      <w:ind w:firstLine="709"/>
      <w:jc w:val="both"/>
    </w:pPr>
    <w:rPr>
      <w:rFonts w:ascii="Arial Narrow" w:eastAsia="Calibri" w:hAnsi="Arial Narrow"/>
      <w:sz w:val="30"/>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627">
      <w:bodyDiv w:val="1"/>
      <w:marLeft w:val="0"/>
      <w:marRight w:val="0"/>
      <w:marTop w:val="0"/>
      <w:marBottom w:val="0"/>
      <w:divBdr>
        <w:top w:val="none" w:sz="0" w:space="0" w:color="auto"/>
        <w:left w:val="none" w:sz="0" w:space="0" w:color="auto"/>
        <w:bottom w:val="none" w:sz="0" w:space="0" w:color="auto"/>
        <w:right w:val="none" w:sz="0" w:space="0" w:color="auto"/>
      </w:divBdr>
      <w:divsChild>
        <w:div w:id="532615664">
          <w:marLeft w:val="0"/>
          <w:marRight w:val="0"/>
          <w:marTop w:val="0"/>
          <w:marBottom w:val="0"/>
          <w:divBdr>
            <w:top w:val="none" w:sz="0" w:space="0" w:color="auto"/>
            <w:left w:val="none" w:sz="0" w:space="0" w:color="auto"/>
            <w:bottom w:val="none" w:sz="0" w:space="0" w:color="auto"/>
            <w:right w:val="none" w:sz="0" w:space="0" w:color="auto"/>
          </w:divBdr>
        </w:div>
        <w:div w:id="875771204">
          <w:marLeft w:val="0"/>
          <w:marRight w:val="0"/>
          <w:marTop w:val="0"/>
          <w:marBottom w:val="0"/>
          <w:divBdr>
            <w:top w:val="none" w:sz="0" w:space="0" w:color="auto"/>
            <w:left w:val="none" w:sz="0" w:space="0" w:color="auto"/>
            <w:bottom w:val="none" w:sz="0" w:space="0" w:color="auto"/>
            <w:right w:val="none" w:sz="0" w:space="0" w:color="auto"/>
          </w:divBdr>
        </w:div>
        <w:div w:id="1022438277">
          <w:marLeft w:val="0"/>
          <w:marRight w:val="0"/>
          <w:marTop w:val="0"/>
          <w:marBottom w:val="0"/>
          <w:divBdr>
            <w:top w:val="none" w:sz="0" w:space="0" w:color="auto"/>
            <w:left w:val="none" w:sz="0" w:space="0" w:color="auto"/>
            <w:bottom w:val="none" w:sz="0" w:space="0" w:color="auto"/>
            <w:right w:val="none" w:sz="0" w:space="0" w:color="auto"/>
          </w:divBdr>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192303948">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2073195416">
          <w:marLeft w:val="0"/>
          <w:marRight w:val="0"/>
          <w:marTop w:val="0"/>
          <w:marBottom w:val="0"/>
          <w:divBdr>
            <w:top w:val="none" w:sz="0" w:space="0" w:color="auto"/>
            <w:left w:val="none" w:sz="0" w:space="0" w:color="auto"/>
            <w:bottom w:val="none" w:sz="0" w:space="0" w:color="auto"/>
            <w:right w:val="none" w:sz="0" w:space="0" w:color="auto"/>
          </w:divBdr>
        </w:div>
      </w:divsChild>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90225884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790">
      <w:bodyDiv w:val="1"/>
      <w:marLeft w:val="0"/>
      <w:marRight w:val="0"/>
      <w:marTop w:val="0"/>
      <w:marBottom w:val="0"/>
      <w:divBdr>
        <w:top w:val="none" w:sz="0" w:space="0" w:color="auto"/>
        <w:left w:val="none" w:sz="0" w:space="0" w:color="auto"/>
        <w:bottom w:val="none" w:sz="0" w:space="0" w:color="auto"/>
        <w:right w:val="none" w:sz="0" w:space="0" w:color="auto"/>
      </w:divBdr>
      <w:divsChild>
        <w:div w:id="634213577">
          <w:marLeft w:val="0"/>
          <w:marRight w:val="0"/>
          <w:marTop w:val="0"/>
          <w:marBottom w:val="0"/>
          <w:divBdr>
            <w:top w:val="none" w:sz="0" w:space="0" w:color="auto"/>
            <w:left w:val="none" w:sz="0" w:space="0" w:color="auto"/>
            <w:bottom w:val="none" w:sz="0" w:space="0" w:color="auto"/>
            <w:right w:val="none" w:sz="0" w:space="0" w:color="auto"/>
          </w:divBdr>
          <w:divsChild>
            <w:div w:id="2071997891">
              <w:marLeft w:val="0"/>
              <w:marRight w:val="0"/>
              <w:marTop w:val="0"/>
              <w:marBottom w:val="0"/>
              <w:divBdr>
                <w:top w:val="none" w:sz="0" w:space="0" w:color="auto"/>
                <w:left w:val="none" w:sz="0" w:space="0" w:color="auto"/>
                <w:bottom w:val="none" w:sz="0" w:space="0" w:color="auto"/>
                <w:right w:val="none" w:sz="0" w:space="0" w:color="auto"/>
              </w:divBdr>
              <w:divsChild>
                <w:div w:id="1490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943">
      <w:bodyDiv w:val="1"/>
      <w:marLeft w:val="0"/>
      <w:marRight w:val="0"/>
      <w:marTop w:val="0"/>
      <w:marBottom w:val="0"/>
      <w:divBdr>
        <w:top w:val="none" w:sz="0" w:space="0" w:color="auto"/>
        <w:left w:val="none" w:sz="0" w:space="0" w:color="auto"/>
        <w:bottom w:val="none" w:sz="0" w:space="0" w:color="auto"/>
        <w:right w:val="none" w:sz="0" w:space="0" w:color="auto"/>
      </w:divBdr>
      <w:divsChild>
        <w:div w:id="211774684">
          <w:marLeft w:val="0"/>
          <w:marRight w:val="0"/>
          <w:marTop w:val="0"/>
          <w:marBottom w:val="0"/>
          <w:divBdr>
            <w:top w:val="none" w:sz="0" w:space="0" w:color="auto"/>
            <w:left w:val="none" w:sz="0" w:space="0" w:color="auto"/>
            <w:bottom w:val="none" w:sz="0" w:space="0" w:color="auto"/>
            <w:right w:val="none" w:sz="0" w:space="0" w:color="auto"/>
          </w:divBdr>
          <w:divsChild>
            <w:div w:id="852720345">
              <w:marLeft w:val="0"/>
              <w:marRight w:val="0"/>
              <w:marTop w:val="0"/>
              <w:marBottom w:val="0"/>
              <w:divBdr>
                <w:top w:val="none" w:sz="0" w:space="0" w:color="auto"/>
                <w:left w:val="none" w:sz="0" w:space="0" w:color="auto"/>
                <w:bottom w:val="none" w:sz="0" w:space="0" w:color="auto"/>
                <w:right w:val="none" w:sz="0" w:space="0" w:color="auto"/>
              </w:divBdr>
              <w:divsChild>
                <w:div w:id="90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1f46f74a6ab7453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F91A4-1F59-4574-BF83-8885BB624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5481CF-947F-4B54-95D8-A7B6F882A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7745</Words>
  <Characters>42600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cp:lastPrinted>2020-11-30T19:45:00Z</cp:lastPrinted>
  <dcterms:created xsi:type="dcterms:W3CDTF">2020-11-27T15:30:00Z</dcterms:created>
  <dcterms:modified xsi:type="dcterms:W3CDTF">2020-12-06T21:43:00Z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