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95223" w14:textId="77777777" w:rsidR="00BC1D34" w:rsidRPr="00BC1D34" w:rsidRDefault="00BC1D34" w:rsidP="00BC1D34">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r w:rsidRPr="00BC1D34">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CC0FE6C" w14:textId="77777777" w:rsidR="00BC1D34" w:rsidRPr="00BC1D34" w:rsidRDefault="00BC1D34" w:rsidP="00BC1D34">
      <w:pPr>
        <w:spacing w:line="240" w:lineRule="auto"/>
        <w:ind w:firstLine="0"/>
        <w:rPr>
          <w:rFonts w:ascii="Arial" w:eastAsia="Times New Roman" w:hAnsi="Arial" w:cs="Arial"/>
          <w:sz w:val="20"/>
          <w:szCs w:val="20"/>
          <w:lang w:val="es-419" w:eastAsia="es-ES"/>
        </w:rPr>
      </w:pPr>
    </w:p>
    <w:p w14:paraId="4B69A192" w14:textId="77777777" w:rsidR="00BC1D34" w:rsidRPr="00BC1D34" w:rsidRDefault="00BC1D34" w:rsidP="00BC1D34">
      <w:pPr>
        <w:spacing w:line="240" w:lineRule="auto"/>
        <w:ind w:firstLine="0"/>
        <w:rPr>
          <w:rFonts w:ascii="Arial" w:eastAsia="Times New Roman" w:hAnsi="Arial" w:cs="Arial"/>
          <w:sz w:val="20"/>
          <w:szCs w:val="20"/>
          <w:lang w:val="es-419" w:eastAsia="es-ES"/>
        </w:rPr>
      </w:pPr>
      <w:r w:rsidRPr="00BC1D34">
        <w:rPr>
          <w:rFonts w:ascii="Arial" w:eastAsia="Times New Roman" w:hAnsi="Arial" w:cs="Arial"/>
          <w:sz w:val="20"/>
          <w:szCs w:val="20"/>
          <w:lang w:val="es-419" w:eastAsia="es-ES"/>
        </w:rPr>
        <w:t xml:space="preserve">Providencia: </w:t>
      </w:r>
      <w:r w:rsidRPr="00BC1D34">
        <w:rPr>
          <w:rFonts w:ascii="Arial" w:eastAsia="Times New Roman" w:hAnsi="Arial" w:cs="Arial"/>
          <w:sz w:val="20"/>
          <w:szCs w:val="20"/>
          <w:lang w:val="es-419" w:eastAsia="es-ES"/>
        </w:rPr>
        <w:tab/>
      </w:r>
      <w:r w:rsidRPr="00BC1D34">
        <w:rPr>
          <w:rFonts w:ascii="Arial" w:eastAsia="Times New Roman" w:hAnsi="Arial" w:cs="Arial"/>
          <w:sz w:val="20"/>
          <w:szCs w:val="20"/>
          <w:lang w:val="es-419" w:eastAsia="es-ES"/>
        </w:rPr>
        <w:tab/>
        <w:t>Sentencia del 29 de mayo de 2020</w:t>
      </w:r>
    </w:p>
    <w:p w14:paraId="2E683A81" w14:textId="77777777" w:rsidR="00BC1D34" w:rsidRPr="00BC1D34" w:rsidRDefault="00BC1D34" w:rsidP="00BC1D34">
      <w:pPr>
        <w:spacing w:line="240" w:lineRule="auto"/>
        <w:ind w:firstLine="0"/>
        <w:rPr>
          <w:rFonts w:ascii="Arial" w:eastAsia="Times New Roman" w:hAnsi="Arial" w:cs="Arial"/>
          <w:sz w:val="20"/>
          <w:szCs w:val="20"/>
          <w:lang w:val="es-419" w:eastAsia="es-ES"/>
        </w:rPr>
      </w:pPr>
      <w:r w:rsidRPr="00BC1D34">
        <w:rPr>
          <w:rFonts w:ascii="Arial" w:eastAsia="Times New Roman" w:hAnsi="Arial" w:cs="Arial"/>
          <w:sz w:val="20"/>
          <w:szCs w:val="20"/>
          <w:lang w:val="es-419" w:eastAsia="es-ES"/>
        </w:rPr>
        <w:t xml:space="preserve">Radicación No.: </w:t>
      </w:r>
      <w:r w:rsidRPr="00BC1D34">
        <w:rPr>
          <w:rFonts w:ascii="Arial" w:eastAsia="Times New Roman" w:hAnsi="Arial" w:cs="Arial"/>
          <w:sz w:val="20"/>
          <w:szCs w:val="20"/>
          <w:lang w:val="es-419" w:eastAsia="es-ES"/>
        </w:rPr>
        <w:tab/>
        <w:t>66001-31-05-005-2018-00037-01</w:t>
      </w:r>
    </w:p>
    <w:p w14:paraId="6F991FE2" w14:textId="77777777" w:rsidR="00BC1D34" w:rsidRPr="00BC1D34" w:rsidRDefault="00BC1D34" w:rsidP="00BC1D34">
      <w:pPr>
        <w:spacing w:line="240" w:lineRule="auto"/>
        <w:ind w:firstLine="0"/>
        <w:rPr>
          <w:rFonts w:ascii="Arial" w:eastAsia="Times New Roman" w:hAnsi="Arial" w:cs="Arial"/>
          <w:sz w:val="20"/>
          <w:szCs w:val="20"/>
          <w:lang w:val="es-419" w:eastAsia="es-ES"/>
        </w:rPr>
      </w:pPr>
      <w:r w:rsidRPr="00BC1D34">
        <w:rPr>
          <w:rFonts w:ascii="Arial" w:eastAsia="Times New Roman" w:hAnsi="Arial" w:cs="Arial"/>
          <w:sz w:val="20"/>
          <w:szCs w:val="20"/>
          <w:lang w:val="es-419" w:eastAsia="es-ES"/>
        </w:rPr>
        <w:t xml:space="preserve">Proceso: </w:t>
      </w:r>
      <w:r w:rsidRPr="00BC1D34">
        <w:rPr>
          <w:rFonts w:ascii="Arial" w:eastAsia="Times New Roman" w:hAnsi="Arial" w:cs="Arial"/>
          <w:sz w:val="20"/>
          <w:szCs w:val="20"/>
          <w:lang w:val="es-419" w:eastAsia="es-ES"/>
        </w:rPr>
        <w:tab/>
      </w:r>
      <w:r w:rsidRPr="00BC1D34">
        <w:rPr>
          <w:rFonts w:ascii="Arial" w:eastAsia="Times New Roman" w:hAnsi="Arial" w:cs="Arial"/>
          <w:sz w:val="20"/>
          <w:szCs w:val="20"/>
          <w:lang w:val="es-419" w:eastAsia="es-ES"/>
        </w:rPr>
        <w:tab/>
        <w:t xml:space="preserve">Ordinario Laboral </w:t>
      </w:r>
    </w:p>
    <w:p w14:paraId="606903B5" w14:textId="77777777" w:rsidR="00BC1D34" w:rsidRPr="00BC1D34" w:rsidRDefault="00BC1D34" w:rsidP="00BC1D34">
      <w:pPr>
        <w:spacing w:line="240" w:lineRule="auto"/>
        <w:ind w:firstLine="0"/>
        <w:rPr>
          <w:rFonts w:ascii="Arial" w:eastAsia="Times New Roman" w:hAnsi="Arial" w:cs="Arial"/>
          <w:sz w:val="20"/>
          <w:szCs w:val="20"/>
          <w:lang w:val="es-419" w:eastAsia="es-ES"/>
        </w:rPr>
      </w:pPr>
      <w:r w:rsidRPr="00BC1D34">
        <w:rPr>
          <w:rFonts w:ascii="Arial" w:eastAsia="Times New Roman" w:hAnsi="Arial" w:cs="Arial"/>
          <w:sz w:val="20"/>
          <w:szCs w:val="20"/>
          <w:lang w:val="es-419" w:eastAsia="es-ES"/>
        </w:rPr>
        <w:t xml:space="preserve">Demandante: </w:t>
      </w:r>
      <w:r w:rsidRPr="00BC1D34">
        <w:rPr>
          <w:rFonts w:ascii="Arial" w:eastAsia="Times New Roman" w:hAnsi="Arial" w:cs="Arial"/>
          <w:sz w:val="20"/>
          <w:szCs w:val="20"/>
          <w:lang w:val="es-419" w:eastAsia="es-ES"/>
        </w:rPr>
        <w:tab/>
      </w:r>
      <w:r w:rsidRPr="00BC1D34">
        <w:rPr>
          <w:rFonts w:ascii="Arial" w:eastAsia="Times New Roman" w:hAnsi="Arial" w:cs="Arial"/>
          <w:sz w:val="20"/>
          <w:szCs w:val="20"/>
          <w:lang w:val="es-419" w:eastAsia="es-ES"/>
        </w:rPr>
        <w:tab/>
        <w:t xml:space="preserve">Deida Rosa Parra de Soto  </w:t>
      </w:r>
    </w:p>
    <w:p w14:paraId="37C01218" w14:textId="77777777" w:rsidR="00BC1D34" w:rsidRPr="00BC1D34" w:rsidRDefault="00BC1D34" w:rsidP="00BC1D34">
      <w:pPr>
        <w:spacing w:line="240" w:lineRule="auto"/>
        <w:ind w:firstLine="0"/>
        <w:rPr>
          <w:rFonts w:ascii="Arial" w:eastAsia="Times New Roman" w:hAnsi="Arial" w:cs="Arial"/>
          <w:sz w:val="20"/>
          <w:szCs w:val="20"/>
          <w:lang w:val="es-419" w:eastAsia="es-ES"/>
        </w:rPr>
      </w:pPr>
      <w:r w:rsidRPr="00BC1D34">
        <w:rPr>
          <w:rFonts w:ascii="Arial" w:eastAsia="Times New Roman" w:hAnsi="Arial" w:cs="Arial"/>
          <w:sz w:val="20"/>
          <w:szCs w:val="20"/>
          <w:lang w:val="es-419" w:eastAsia="es-ES"/>
        </w:rPr>
        <w:t xml:space="preserve">Demandado: </w:t>
      </w:r>
      <w:r w:rsidRPr="00BC1D34">
        <w:rPr>
          <w:rFonts w:ascii="Arial" w:eastAsia="Times New Roman" w:hAnsi="Arial" w:cs="Arial"/>
          <w:sz w:val="20"/>
          <w:szCs w:val="20"/>
          <w:lang w:val="es-419" w:eastAsia="es-ES"/>
        </w:rPr>
        <w:tab/>
      </w:r>
      <w:r w:rsidRPr="00BC1D34">
        <w:rPr>
          <w:rFonts w:ascii="Arial" w:eastAsia="Times New Roman" w:hAnsi="Arial" w:cs="Arial"/>
          <w:sz w:val="20"/>
          <w:szCs w:val="20"/>
          <w:lang w:val="es-419" w:eastAsia="es-ES"/>
        </w:rPr>
        <w:tab/>
        <w:t>Colpensiones</w:t>
      </w:r>
    </w:p>
    <w:p w14:paraId="12ED8327" w14:textId="5E82E64D" w:rsidR="00BC1D34" w:rsidRPr="00BC1D34" w:rsidRDefault="00BC1D34" w:rsidP="00BC1D34">
      <w:pPr>
        <w:spacing w:line="240" w:lineRule="auto"/>
        <w:ind w:firstLine="0"/>
        <w:rPr>
          <w:rFonts w:ascii="Arial" w:eastAsia="Times New Roman" w:hAnsi="Arial" w:cs="Arial"/>
          <w:sz w:val="20"/>
          <w:szCs w:val="20"/>
          <w:lang w:val="es-419" w:eastAsia="es-ES"/>
        </w:rPr>
      </w:pPr>
      <w:r w:rsidRPr="00BC1D34">
        <w:rPr>
          <w:rFonts w:ascii="Arial" w:eastAsia="Times New Roman" w:hAnsi="Arial" w:cs="Arial"/>
          <w:sz w:val="20"/>
          <w:szCs w:val="20"/>
          <w:lang w:val="es-419" w:eastAsia="es-ES"/>
        </w:rPr>
        <w:t xml:space="preserve">Juzgado: </w:t>
      </w:r>
      <w:r w:rsidRPr="00BC1D34">
        <w:rPr>
          <w:rFonts w:ascii="Arial" w:eastAsia="Times New Roman" w:hAnsi="Arial" w:cs="Arial"/>
          <w:sz w:val="20"/>
          <w:szCs w:val="20"/>
          <w:lang w:val="es-419" w:eastAsia="es-ES"/>
        </w:rPr>
        <w:tab/>
      </w:r>
      <w:r w:rsidRPr="00BC1D34">
        <w:rPr>
          <w:rFonts w:ascii="Arial" w:eastAsia="Times New Roman" w:hAnsi="Arial" w:cs="Arial"/>
          <w:sz w:val="20"/>
          <w:szCs w:val="20"/>
          <w:lang w:val="es-419" w:eastAsia="es-ES"/>
        </w:rPr>
        <w:tab/>
        <w:t>Quinto Laboral del Circuito de Pereira</w:t>
      </w:r>
    </w:p>
    <w:p w14:paraId="3CCD23D8" w14:textId="77777777" w:rsidR="00BC1D34" w:rsidRPr="00BC1D34" w:rsidRDefault="00BC1D34" w:rsidP="00BC1D34">
      <w:pPr>
        <w:spacing w:line="240" w:lineRule="auto"/>
        <w:ind w:firstLine="0"/>
        <w:rPr>
          <w:rFonts w:ascii="Arial" w:eastAsia="Times New Roman" w:hAnsi="Arial" w:cs="Arial"/>
          <w:sz w:val="20"/>
          <w:szCs w:val="20"/>
          <w:lang w:val="es-419" w:eastAsia="es-ES"/>
        </w:rPr>
      </w:pPr>
    </w:p>
    <w:p w14:paraId="24E4E38C" w14:textId="3AD44DE8" w:rsidR="00BC1D34" w:rsidRPr="00BC1D34" w:rsidRDefault="00BC1D34" w:rsidP="00BC1D34">
      <w:pPr>
        <w:spacing w:line="240" w:lineRule="auto"/>
        <w:ind w:firstLine="0"/>
        <w:rPr>
          <w:rFonts w:ascii="Arial" w:eastAsia="Times New Roman" w:hAnsi="Arial" w:cs="Arial"/>
          <w:b/>
          <w:bCs/>
          <w:iCs/>
          <w:sz w:val="20"/>
          <w:szCs w:val="20"/>
          <w:lang w:val="es-419" w:eastAsia="fr-FR"/>
        </w:rPr>
      </w:pPr>
      <w:r w:rsidRPr="00BC1D34">
        <w:rPr>
          <w:rFonts w:ascii="Arial" w:eastAsia="Times New Roman" w:hAnsi="Arial" w:cs="Arial"/>
          <w:b/>
          <w:bCs/>
          <w:iCs/>
          <w:sz w:val="20"/>
          <w:szCs w:val="20"/>
          <w:u w:val="single"/>
          <w:lang w:val="es-419" w:eastAsia="fr-FR"/>
        </w:rPr>
        <w:t>TEMAS:</w:t>
      </w:r>
      <w:r w:rsidRPr="00BC1D34">
        <w:rPr>
          <w:rFonts w:ascii="Arial" w:eastAsia="Times New Roman" w:hAnsi="Arial" w:cs="Arial"/>
          <w:b/>
          <w:bCs/>
          <w:iCs/>
          <w:sz w:val="20"/>
          <w:szCs w:val="20"/>
          <w:lang w:val="es-419" w:eastAsia="fr-FR"/>
        </w:rPr>
        <w:tab/>
      </w:r>
      <w:r w:rsidR="004A06C9" w:rsidRPr="004A06C9">
        <w:rPr>
          <w:rFonts w:ascii="Arial" w:eastAsia="Times New Roman" w:hAnsi="Arial" w:cs="Arial"/>
          <w:b/>
          <w:sz w:val="20"/>
          <w:szCs w:val="20"/>
          <w:lang w:val="es-419" w:eastAsia="es-ES"/>
        </w:rPr>
        <w:t>PENSIÓN DE SOBREVIVIENTES / CONDICIÓN MÁS BENEFICIOSA / SÓLO PERMITE APLICACIÓN DE LA NORMA INMEDIATAMENTE ANTERIOR AL FALLECIMIENTO / SIEMPRE QUE</w:t>
      </w:r>
      <w:r w:rsidR="00702E2D">
        <w:rPr>
          <w:rFonts w:ascii="Arial" w:eastAsia="Times New Roman" w:hAnsi="Arial" w:cs="Arial"/>
          <w:b/>
          <w:sz w:val="20"/>
          <w:szCs w:val="20"/>
          <w:lang w:val="es-419" w:eastAsia="es-ES"/>
        </w:rPr>
        <w:t xml:space="preserve"> SE CUMPLAN LOS REQUISITOS DE DICHA NORMA Y LA </w:t>
      </w:r>
      <w:r w:rsidR="004A06C9" w:rsidRPr="004A06C9">
        <w:rPr>
          <w:rFonts w:ascii="Arial" w:eastAsia="Times New Roman" w:hAnsi="Arial" w:cs="Arial"/>
          <w:b/>
          <w:sz w:val="20"/>
          <w:szCs w:val="20"/>
          <w:lang w:val="es-419" w:eastAsia="es-ES"/>
        </w:rPr>
        <w:t xml:space="preserve">MUERTE HAYA OCURRIDO DENTRO DE LOS TRES AÑOS SIGUIENTES A LA ENTRADA EN VIGENCIA DE </w:t>
      </w:r>
      <w:r w:rsidR="00702E2D">
        <w:rPr>
          <w:rFonts w:ascii="Arial" w:eastAsia="Times New Roman" w:hAnsi="Arial" w:cs="Arial"/>
          <w:b/>
          <w:sz w:val="20"/>
          <w:szCs w:val="20"/>
          <w:lang w:val="es-419" w:eastAsia="es-ES"/>
        </w:rPr>
        <w:t xml:space="preserve">LA NUEVA LEY </w:t>
      </w:r>
      <w:r w:rsidR="004A06C9" w:rsidRPr="004A06C9">
        <w:rPr>
          <w:rFonts w:ascii="Arial" w:eastAsia="Times New Roman" w:hAnsi="Arial" w:cs="Arial"/>
          <w:b/>
          <w:sz w:val="20"/>
          <w:szCs w:val="20"/>
          <w:lang w:val="es-419" w:eastAsia="es-ES"/>
        </w:rPr>
        <w:t>/ REQUISITO DE TEMPORALIDAD.</w:t>
      </w:r>
    </w:p>
    <w:p w14:paraId="7BFA2FAC" w14:textId="77777777" w:rsidR="00BC1D34" w:rsidRPr="00BC1D34" w:rsidRDefault="00BC1D34" w:rsidP="00BC1D34">
      <w:pPr>
        <w:spacing w:line="240" w:lineRule="auto"/>
        <w:ind w:firstLine="0"/>
        <w:rPr>
          <w:rFonts w:ascii="Arial" w:eastAsia="Times New Roman" w:hAnsi="Arial" w:cs="Arial"/>
          <w:sz w:val="20"/>
          <w:szCs w:val="20"/>
          <w:lang w:val="es-419" w:eastAsia="es-ES"/>
        </w:rPr>
      </w:pPr>
    </w:p>
    <w:p w14:paraId="57558575" w14:textId="77777777" w:rsidR="004A06C9" w:rsidRPr="004A06C9" w:rsidRDefault="004A06C9" w:rsidP="004A06C9">
      <w:pPr>
        <w:spacing w:line="240" w:lineRule="auto"/>
        <w:ind w:firstLine="0"/>
        <w:rPr>
          <w:rFonts w:ascii="Arial" w:eastAsia="Times New Roman" w:hAnsi="Arial" w:cs="Arial"/>
          <w:sz w:val="20"/>
          <w:szCs w:val="20"/>
          <w:lang w:val="es-419" w:eastAsia="es-ES"/>
        </w:rPr>
      </w:pPr>
      <w:r w:rsidRPr="004A06C9">
        <w:rPr>
          <w:rFonts w:ascii="Arial" w:eastAsia="Times New Roman" w:hAnsi="Arial" w:cs="Arial"/>
          <w:sz w:val="20"/>
          <w:szCs w:val="20"/>
          <w:lang w:val="es-419" w:eastAsia="es-ES"/>
        </w:rPr>
        <w:t xml:space="preserve">Se encuentra acreditado con el certificado de defunción que el señor Ramiro Soto Gálvez falleció el 28-06-2004 (fl. 19 c.1); por lo tanto, la normativa aplicable en esta actuación es el artículo 12 de la Ley 797 de 2003, que es la vigente para la fecha del óbito. Disposición que exige haber cotizado 50 semanas dentro de los 3 años anteriores a la fecha del deceso. </w:t>
      </w:r>
    </w:p>
    <w:p w14:paraId="06EDACE7" w14:textId="77777777" w:rsidR="004A06C9" w:rsidRPr="004A06C9" w:rsidRDefault="004A06C9" w:rsidP="004A06C9">
      <w:pPr>
        <w:spacing w:line="240" w:lineRule="auto"/>
        <w:ind w:firstLine="0"/>
        <w:rPr>
          <w:rFonts w:ascii="Arial" w:eastAsia="Times New Roman" w:hAnsi="Arial" w:cs="Arial"/>
          <w:sz w:val="20"/>
          <w:szCs w:val="20"/>
          <w:lang w:val="es-419" w:eastAsia="es-ES"/>
        </w:rPr>
      </w:pPr>
    </w:p>
    <w:p w14:paraId="670ED3C3" w14:textId="77777777" w:rsidR="004A06C9" w:rsidRPr="004A06C9" w:rsidRDefault="004A06C9" w:rsidP="004A06C9">
      <w:pPr>
        <w:spacing w:line="240" w:lineRule="auto"/>
        <w:ind w:firstLine="0"/>
        <w:rPr>
          <w:rFonts w:ascii="Arial" w:eastAsia="Times New Roman" w:hAnsi="Arial" w:cs="Arial"/>
          <w:sz w:val="20"/>
          <w:szCs w:val="20"/>
          <w:lang w:val="es-419" w:eastAsia="es-ES"/>
        </w:rPr>
      </w:pPr>
      <w:r w:rsidRPr="004A06C9">
        <w:rPr>
          <w:rFonts w:ascii="Arial" w:eastAsia="Times New Roman" w:hAnsi="Arial" w:cs="Arial"/>
          <w:sz w:val="20"/>
          <w:szCs w:val="20"/>
          <w:lang w:val="es-419" w:eastAsia="es-ES"/>
        </w:rPr>
        <w:t>Al revisar la historia laboral del señor Soto Gálvez (fl. 52 c. 1) se advierte que entre la fecha de la muerte 28-06-2004 y la misma data de 2001 (3 años) cotizó 0 semanas, con lo cual resulta fácil colegir que no satisfizo la exigencia del aludido artículo, esto es, 50 semanas.</w:t>
      </w:r>
    </w:p>
    <w:p w14:paraId="3EDEC25F" w14:textId="77777777" w:rsidR="004A06C9" w:rsidRPr="004A06C9" w:rsidRDefault="004A06C9" w:rsidP="004A06C9">
      <w:pPr>
        <w:spacing w:line="240" w:lineRule="auto"/>
        <w:ind w:firstLine="0"/>
        <w:rPr>
          <w:rFonts w:ascii="Arial" w:eastAsia="Times New Roman" w:hAnsi="Arial" w:cs="Arial"/>
          <w:sz w:val="20"/>
          <w:szCs w:val="20"/>
          <w:lang w:val="es-419" w:eastAsia="es-ES"/>
        </w:rPr>
      </w:pPr>
    </w:p>
    <w:p w14:paraId="02D38AE3" w14:textId="77777777" w:rsidR="004A06C9" w:rsidRPr="004A06C9" w:rsidRDefault="004A06C9" w:rsidP="004A06C9">
      <w:pPr>
        <w:spacing w:line="240" w:lineRule="auto"/>
        <w:ind w:firstLine="0"/>
        <w:rPr>
          <w:rFonts w:ascii="Arial" w:eastAsia="Times New Roman" w:hAnsi="Arial" w:cs="Arial"/>
          <w:sz w:val="20"/>
          <w:szCs w:val="20"/>
          <w:lang w:val="es-419" w:eastAsia="es-ES"/>
        </w:rPr>
      </w:pPr>
      <w:r w:rsidRPr="004A06C9">
        <w:rPr>
          <w:rFonts w:ascii="Arial" w:eastAsia="Times New Roman" w:hAnsi="Arial" w:cs="Arial"/>
          <w:sz w:val="20"/>
          <w:szCs w:val="20"/>
          <w:lang w:val="es-419" w:eastAsia="es-ES"/>
        </w:rPr>
        <w:t>Sin embargo, atendiendo lo solicitado en libelo introductorio, consistente en la aplicación del principio de la condición más beneficiosa, se analizará su procedencia.</w:t>
      </w:r>
    </w:p>
    <w:p w14:paraId="0883C7D0" w14:textId="77777777" w:rsidR="004A06C9" w:rsidRPr="004A06C9" w:rsidRDefault="004A06C9" w:rsidP="004A06C9">
      <w:pPr>
        <w:spacing w:line="240" w:lineRule="auto"/>
        <w:ind w:firstLine="0"/>
        <w:rPr>
          <w:rFonts w:ascii="Arial" w:eastAsia="Times New Roman" w:hAnsi="Arial" w:cs="Arial"/>
          <w:sz w:val="20"/>
          <w:szCs w:val="20"/>
          <w:lang w:val="es-419" w:eastAsia="es-ES"/>
        </w:rPr>
      </w:pPr>
    </w:p>
    <w:p w14:paraId="4803D411" w14:textId="315CA963" w:rsidR="00BC1D34" w:rsidRPr="00BC1D34" w:rsidRDefault="004A06C9" w:rsidP="004A06C9">
      <w:pPr>
        <w:spacing w:line="240" w:lineRule="auto"/>
        <w:ind w:firstLine="0"/>
        <w:rPr>
          <w:rFonts w:ascii="Arial" w:eastAsia="Times New Roman" w:hAnsi="Arial" w:cs="Arial"/>
          <w:sz w:val="20"/>
          <w:szCs w:val="20"/>
          <w:lang w:val="es-419" w:eastAsia="es-ES"/>
        </w:rPr>
      </w:pPr>
      <w:r w:rsidRPr="004A06C9">
        <w:rPr>
          <w:rFonts w:ascii="Arial" w:eastAsia="Times New Roman" w:hAnsi="Arial" w:cs="Arial"/>
          <w:sz w:val="20"/>
          <w:szCs w:val="20"/>
          <w:lang w:val="es-419" w:eastAsia="es-ES"/>
        </w:rPr>
        <w:t>Frente al referido principio ha sostenido reiteradamente la Sala de Casación Laboral de Corte Suprema de Justicia, entre otras , en la SL379-2020, que el mismo no le permite al juzgador aplicar a un caso en particular cualquier norma legal que en el pasado haya regulado el asunto, sino que de darse las condiciones necesarias para su aplicación, ello sería respecto a la norma inmediatamente anterior a la vigente en el momento en que ocurrió el hecho. Tesis que comparte la Sala Mayoritaria al ser aquel el órgano de cierre de esta especialidad</w:t>
      </w:r>
      <w:r>
        <w:rPr>
          <w:rFonts w:ascii="Arial" w:eastAsia="Times New Roman" w:hAnsi="Arial" w:cs="Arial"/>
          <w:sz w:val="20"/>
          <w:szCs w:val="20"/>
          <w:lang w:val="es-419" w:eastAsia="es-ES"/>
        </w:rPr>
        <w:t>…</w:t>
      </w:r>
    </w:p>
    <w:p w14:paraId="55EB704F" w14:textId="77777777" w:rsidR="00BC1D34" w:rsidRPr="00BC1D34" w:rsidRDefault="00BC1D34" w:rsidP="00BC1D34">
      <w:pPr>
        <w:spacing w:line="240" w:lineRule="auto"/>
        <w:ind w:firstLine="0"/>
        <w:rPr>
          <w:rFonts w:ascii="Arial" w:eastAsia="Times New Roman" w:hAnsi="Arial" w:cs="Arial"/>
          <w:sz w:val="20"/>
          <w:szCs w:val="20"/>
          <w:lang w:val="es-419" w:eastAsia="es-ES"/>
        </w:rPr>
      </w:pPr>
    </w:p>
    <w:p w14:paraId="3F276C87" w14:textId="23386065" w:rsidR="004A06C9" w:rsidRPr="004A06C9" w:rsidRDefault="004A06C9" w:rsidP="004A06C9">
      <w:pPr>
        <w:spacing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4A06C9">
        <w:rPr>
          <w:rFonts w:ascii="Arial" w:eastAsia="Times New Roman" w:hAnsi="Arial" w:cs="Arial"/>
          <w:sz w:val="20"/>
          <w:szCs w:val="20"/>
          <w:lang w:val="es-419" w:eastAsia="es-ES"/>
        </w:rPr>
        <w:t>como el deceso del señor Ramiro Soto Gálvez se dio en el año 2004, momento para el cual regía la Ley 797 de 2003, en aplicación de la condición más beneficiosa y al tenor de la tesis acogida por la Sala Mayoritaria, la norma que puede escrutarse para verificar si se causó la pensión de invalidez es la Ley 100 de 1993 en su versión original.</w:t>
      </w:r>
    </w:p>
    <w:p w14:paraId="667B48CA" w14:textId="77777777" w:rsidR="004A06C9" w:rsidRPr="004A06C9" w:rsidRDefault="004A06C9" w:rsidP="004A06C9">
      <w:pPr>
        <w:spacing w:line="240" w:lineRule="auto"/>
        <w:ind w:firstLine="0"/>
        <w:rPr>
          <w:rFonts w:ascii="Arial" w:eastAsia="Times New Roman" w:hAnsi="Arial" w:cs="Arial"/>
          <w:sz w:val="20"/>
          <w:szCs w:val="20"/>
          <w:lang w:val="es-419" w:eastAsia="es-ES"/>
        </w:rPr>
      </w:pPr>
    </w:p>
    <w:p w14:paraId="22A44DBE" w14:textId="77777777" w:rsidR="004A06C9" w:rsidRPr="004A06C9" w:rsidRDefault="004A06C9" w:rsidP="004A06C9">
      <w:pPr>
        <w:spacing w:line="240" w:lineRule="auto"/>
        <w:ind w:firstLine="0"/>
        <w:rPr>
          <w:rFonts w:ascii="Arial" w:eastAsia="Times New Roman" w:hAnsi="Arial" w:cs="Arial"/>
          <w:sz w:val="20"/>
          <w:szCs w:val="20"/>
          <w:lang w:val="es-419" w:eastAsia="es-ES"/>
        </w:rPr>
      </w:pPr>
      <w:r w:rsidRPr="004A06C9">
        <w:rPr>
          <w:rFonts w:ascii="Arial" w:eastAsia="Times New Roman" w:hAnsi="Arial" w:cs="Arial"/>
          <w:sz w:val="20"/>
          <w:szCs w:val="20"/>
          <w:lang w:val="es-419" w:eastAsia="es-ES"/>
        </w:rPr>
        <w:t>Pero esta última normativa tampoco puede gobernar la situación del causante, en tanto que el órgano de cierre de esta especialidad precisó en sentencia SL4650 de 2017 que el principio de la condición más beneficiosa no es ilimitado, sino temporal, pues su finalidad es la de proteger a aquellas personas que tenían una situación jurídica concreta al momento de presentarse el cambio legislativo, entendida esta como la acumulación de las semanas necesarias para acceder a la prestación.</w:t>
      </w:r>
    </w:p>
    <w:p w14:paraId="14473C21" w14:textId="77777777" w:rsidR="004A06C9" w:rsidRPr="004A06C9" w:rsidRDefault="004A06C9" w:rsidP="004A06C9">
      <w:pPr>
        <w:spacing w:line="240" w:lineRule="auto"/>
        <w:ind w:firstLine="0"/>
        <w:rPr>
          <w:rFonts w:ascii="Arial" w:eastAsia="Times New Roman" w:hAnsi="Arial" w:cs="Arial"/>
          <w:sz w:val="20"/>
          <w:szCs w:val="20"/>
          <w:lang w:val="es-419" w:eastAsia="es-ES"/>
        </w:rPr>
      </w:pPr>
    </w:p>
    <w:p w14:paraId="44406243" w14:textId="0BDA8A1E" w:rsidR="00BC1D34" w:rsidRDefault="004A06C9" w:rsidP="004A06C9">
      <w:pPr>
        <w:spacing w:line="240" w:lineRule="auto"/>
        <w:ind w:firstLine="0"/>
        <w:rPr>
          <w:rFonts w:ascii="Arial" w:eastAsia="Times New Roman" w:hAnsi="Arial" w:cs="Arial"/>
          <w:sz w:val="20"/>
          <w:szCs w:val="20"/>
          <w:lang w:val="es-419" w:eastAsia="es-ES"/>
        </w:rPr>
      </w:pPr>
      <w:r w:rsidRPr="004A06C9">
        <w:rPr>
          <w:rFonts w:ascii="Arial" w:eastAsia="Times New Roman" w:hAnsi="Arial" w:cs="Arial"/>
          <w:sz w:val="20"/>
          <w:szCs w:val="20"/>
          <w:lang w:val="es-419" w:eastAsia="es-ES"/>
        </w:rPr>
        <w:t>Por lo que, se permite que en vigencia de la Ley 797 de 2003 acrediten los requisitos de la Ley 100 de 1993 original, para lo cual se planteó 4 eventos diferentes en los que podría estar incurso el afiliado fallecido, cada uno de ellos con reglas específicas, aunque en todos se exige inexorablemente que la contingencia – muerte – se presente dentro de los 3 años siguientes a la entrada en vigencia de aquella ley, esto es, entre el 29/01/2003 y el 29/01/2006.</w:t>
      </w:r>
    </w:p>
    <w:p w14:paraId="0E2FB9EA" w14:textId="77777777" w:rsidR="008E1FE2" w:rsidRDefault="008E1FE2" w:rsidP="004A06C9">
      <w:pPr>
        <w:spacing w:line="240" w:lineRule="auto"/>
        <w:ind w:firstLine="0"/>
        <w:rPr>
          <w:rFonts w:ascii="Arial" w:eastAsia="Times New Roman" w:hAnsi="Arial" w:cs="Arial"/>
          <w:sz w:val="20"/>
          <w:szCs w:val="20"/>
          <w:lang w:val="es-419" w:eastAsia="es-ES"/>
        </w:rPr>
      </w:pPr>
    </w:p>
    <w:p w14:paraId="57FBF835" w14:textId="52A820E8" w:rsidR="008E1FE2" w:rsidRPr="008E1FE2" w:rsidRDefault="008E1FE2" w:rsidP="004A06C9">
      <w:pPr>
        <w:spacing w:line="240" w:lineRule="auto"/>
        <w:ind w:firstLine="0"/>
        <w:rPr>
          <w:rFonts w:ascii="Arial" w:eastAsia="Times New Roman" w:hAnsi="Arial" w:cs="Arial"/>
          <w:b/>
          <w:color w:val="FF0000"/>
          <w:sz w:val="20"/>
          <w:szCs w:val="20"/>
          <w:lang w:val="es-419" w:eastAsia="es-ES"/>
        </w:rPr>
      </w:pPr>
      <w:r w:rsidRPr="008E1FE2">
        <w:rPr>
          <w:rFonts w:ascii="Arial" w:eastAsia="Times New Roman" w:hAnsi="Arial" w:cs="Arial"/>
          <w:b/>
          <w:color w:val="FF0000"/>
          <w:sz w:val="20"/>
          <w:szCs w:val="20"/>
          <w:lang w:val="es-419" w:eastAsia="es-ES"/>
        </w:rPr>
        <w:t>SALVAMENTO DE VOTO: DOCTORA ANA LUCÍA CAICEDO CALDERÓN</w:t>
      </w:r>
    </w:p>
    <w:p w14:paraId="75067CD4" w14:textId="77777777" w:rsidR="00BC1D34" w:rsidRPr="00BC1D34" w:rsidRDefault="00BC1D34" w:rsidP="00BC1D34">
      <w:pPr>
        <w:spacing w:line="240" w:lineRule="auto"/>
        <w:ind w:firstLine="0"/>
        <w:rPr>
          <w:rFonts w:ascii="Arial" w:eastAsia="Times New Roman" w:hAnsi="Arial" w:cs="Arial"/>
          <w:sz w:val="20"/>
          <w:szCs w:val="20"/>
          <w:lang w:eastAsia="es-ES"/>
        </w:rPr>
      </w:pPr>
    </w:p>
    <w:p w14:paraId="01C4DC0B" w14:textId="5F158E8F" w:rsidR="008E1FE2" w:rsidRPr="008E1FE2" w:rsidRDefault="008E1FE2" w:rsidP="008E1FE2">
      <w:pPr>
        <w:spacing w:line="240" w:lineRule="auto"/>
        <w:ind w:firstLine="0"/>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8E1FE2">
        <w:rPr>
          <w:rFonts w:ascii="Arial" w:eastAsia="Times New Roman" w:hAnsi="Arial" w:cs="Arial"/>
          <w:sz w:val="20"/>
          <w:szCs w:val="20"/>
          <w:lang w:eastAsia="es-ES"/>
        </w:rPr>
        <w:t>manifiesto mi inconformidad frente a la sentencia mayoritaria por cuanto considero que en el presente caso había lugar a aplicar el principio de condición más beneficiosa a efectos de conceder la pensión de sobrevivientes deprecada en la demanda por las siguientes razones:</w:t>
      </w:r>
    </w:p>
    <w:p w14:paraId="783A50A2" w14:textId="77777777" w:rsidR="008E1FE2" w:rsidRPr="008E1FE2" w:rsidRDefault="008E1FE2" w:rsidP="008E1FE2">
      <w:pPr>
        <w:spacing w:line="240" w:lineRule="auto"/>
        <w:ind w:firstLine="0"/>
        <w:rPr>
          <w:rFonts w:ascii="Arial" w:eastAsia="Times New Roman" w:hAnsi="Arial" w:cs="Arial"/>
          <w:sz w:val="20"/>
          <w:szCs w:val="20"/>
          <w:lang w:eastAsia="es-ES"/>
        </w:rPr>
      </w:pPr>
      <w:r w:rsidRPr="008E1FE2">
        <w:rPr>
          <w:rFonts w:ascii="Arial" w:eastAsia="Times New Roman" w:hAnsi="Arial" w:cs="Arial"/>
          <w:sz w:val="20"/>
          <w:szCs w:val="20"/>
          <w:lang w:eastAsia="es-ES"/>
        </w:rPr>
        <w:t xml:space="preserve"> </w:t>
      </w:r>
    </w:p>
    <w:p w14:paraId="14EFBEB7" w14:textId="5DA2CEA0" w:rsidR="00BC1D34" w:rsidRDefault="008E1FE2" w:rsidP="008E1FE2">
      <w:pPr>
        <w:spacing w:line="240" w:lineRule="auto"/>
        <w:ind w:firstLine="0"/>
        <w:rPr>
          <w:rFonts w:ascii="Arial" w:eastAsia="Times New Roman" w:hAnsi="Arial" w:cs="Arial"/>
          <w:sz w:val="20"/>
          <w:szCs w:val="20"/>
          <w:lang w:eastAsia="es-ES"/>
        </w:rPr>
      </w:pPr>
      <w:r w:rsidRPr="008E1FE2">
        <w:rPr>
          <w:rFonts w:ascii="Arial" w:eastAsia="Times New Roman" w:hAnsi="Arial" w:cs="Arial"/>
          <w:sz w:val="20"/>
          <w:szCs w:val="20"/>
          <w:lang w:eastAsia="es-ES"/>
        </w:rPr>
        <w:t>Respecto a la aplicación del principio de la condición más beneficiosa existen dos interpretaciones: una de la Sala de Casación Laboral de la Corte Suprema de Justicia que es restrictiva, y otra de la Corte Constitucional que es mucho más amplia. La primera aduce que sólo es posible acudir a la norma inmediatamente anterior, mientras la segunda asevera que puede acudirse a una norma anterior, independientemente si es inmediata o no, bajo la tesis de que el artículo 53 de la Constitución Política no restringe la aplicación de la condición más beneficiosa a sólo dos normas aplicables al caso, apartándose de la interpretación de la Corte Suprema de Justicia por considerarla menos favorable que la asumida por esa Colegiatura.</w:t>
      </w:r>
      <w:r>
        <w:rPr>
          <w:rFonts w:ascii="Arial" w:eastAsia="Times New Roman" w:hAnsi="Arial" w:cs="Arial"/>
          <w:sz w:val="20"/>
          <w:szCs w:val="20"/>
          <w:lang w:eastAsia="es-ES"/>
        </w:rPr>
        <w:t xml:space="preserve"> (…)</w:t>
      </w:r>
    </w:p>
    <w:p w14:paraId="49DDBD4C" w14:textId="77777777" w:rsidR="008E1FE2" w:rsidRDefault="008E1FE2" w:rsidP="008E1FE2">
      <w:pPr>
        <w:spacing w:line="240" w:lineRule="auto"/>
        <w:ind w:firstLine="0"/>
        <w:rPr>
          <w:rFonts w:ascii="Arial" w:eastAsia="Times New Roman" w:hAnsi="Arial" w:cs="Arial"/>
          <w:sz w:val="20"/>
          <w:szCs w:val="20"/>
          <w:lang w:eastAsia="es-ES"/>
        </w:rPr>
      </w:pPr>
    </w:p>
    <w:p w14:paraId="5AB3D909" w14:textId="4C46E475" w:rsidR="008E1FE2" w:rsidRDefault="008E1FE2" w:rsidP="008E1FE2">
      <w:pPr>
        <w:spacing w:line="240" w:lineRule="auto"/>
        <w:ind w:firstLine="0"/>
        <w:rPr>
          <w:rFonts w:ascii="Arial" w:eastAsia="Times New Roman" w:hAnsi="Arial" w:cs="Arial"/>
          <w:sz w:val="20"/>
          <w:szCs w:val="20"/>
          <w:lang w:eastAsia="es-ES"/>
        </w:rPr>
      </w:pPr>
      <w:r w:rsidRPr="008E1FE2">
        <w:rPr>
          <w:rFonts w:ascii="Arial" w:eastAsia="Times New Roman" w:hAnsi="Arial" w:cs="Arial"/>
          <w:sz w:val="20"/>
          <w:szCs w:val="20"/>
          <w:lang w:eastAsia="es-ES"/>
        </w:rPr>
        <w:lastRenderedPageBreak/>
        <w:t>Finalmente, debo poner de relieve que los precedentes de la Corte Suprema de Justicia invocados por las mayorías para sustentar su tesis son posteriores a la muerte del causante, de modo que no podían aplicarse retroactivamente al caso concreto.</w:t>
      </w:r>
    </w:p>
    <w:p w14:paraId="17033C8D" w14:textId="77777777" w:rsidR="008E1FE2" w:rsidRDefault="008E1FE2" w:rsidP="00BC1D34">
      <w:pPr>
        <w:spacing w:line="240" w:lineRule="auto"/>
        <w:ind w:firstLine="0"/>
        <w:rPr>
          <w:rFonts w:ascii="Arial" w:eastAsia="Times New Roman" w:hAnsi="Arial" w:cs="Arial"/>
          <w:sz w:val="20"/>
          <w:szCs w:val="20"/>
          <w:lang w:eastAsia="es-ES"/>
        </w:rPr>
      </w:pPr>
    </w:p>
    <w:p w14:paraId="72369FA6" w14:textId="77777777" w:rsidR="008E1FE2" w:rsidRPr="00BC1D34" w:rsidRDefault="008E1FE2" w:rsidP="00BC1D34">
      <w:pPr>
        <w:spacing w:line="240" w:lineRule="auto"/>
        <w:ind w:firstLine="0"/>
        <w:rPr>
          <w:rFonts w:ascii="Arial" w:eastAsia="Times New Roman" w:hAnsi="Arial" w:cs="Arial"/>
          <w:sz w:val="20"/>
          <w:szCs w:val="20"/>
          <w:lang w:eastAsia="es-ES"/>
        </w:rPr>
      </w:pPr>
    </w:p>
    <w:p w14:paraId="4C7422F5" w14:textId="77777777" w:rsidR="00BC1D34" w:rsidRPr="00BC1D34" w:rsidRDefault="00BC1D34" w:rsidP="00BC1D34">
      <w:pPr>
        <w:spacing w:line="240" w:lineRule="auto"/>
        <w:ind w:firstLine="0"/>
        <w:rPr>
          <w:rFonts w:ascii="Arial" w:eastAsia="Times New Roman" w:hAnsi="Arial" w:cs="Arial"/>
          <w:sz w:val="20"/>
          <w:szCs w:val="20"/>
          <w:lang w:eastAsia="es-ES"/>
        </w:rPr>
      </w:pPr>
    </w:p>
    <w:p w14:paraId="1D52BECF" w14:textId="77777777" w:rsidR="00DF65ED" w:rsidRPr="00BC1D34" w:rsidRDefault="00DF65ED" w:rsidP="00BC1D34">
      <w:pPr>
        <w:pStyle w:val="Ttulo4"/>
        <w:widowControl w:val="0"/>
        <w:tabs>
          <w:tab w:val="clear" w:pos="0"/>
        </w:tabs>
        <w:spacing w:line="276" w:lineRule="auto"/>
        <w:rPr>
          <w:rFonts w:ascii="Tahoma" w:hAnsi="Tahoma" w:cs="Tahoma"/>
          <w:bCs/>
          <w:szCs w:val="24"/>
          <w:lang w:eastAsia="es-MX"/>
        </w:rPr>
      </w:pPr>
      <w:r w:rsidRPr="00BC1D34">
        <w:rPr>
          <w:rFonts w:ascii="Tahoma" w:hAnsi="Tahoma" w:cs="Tahoma"/>
          <w:bCs/>
          <w:szCs w:val="24"/>
          <w:lang w:eastAsia="es-MX"/>
        </w:rPr>
        <w:t>TRIBUNAL SUPERIOR DEL DISTRITO JUDICIAL DE PEREIRA</w:t>
      </w:r>
    </w:p>
    <w:p w14:paraId="0A6EBA2F" w14:textId="77777777" w:rsidR="00DF65ED" w:rsidRPr="00BC1D34" w:rsidRDefault="00DF65ED" w:rsidP="00BC1D34">
      <w:pPr>
        <w:pStyle w:val="Ttulo4"/>
        <w:widowControl w:val="0"/>
        <w:tabs>
          <w:tab w:val="clear" w:pos="0"/>
          <w:tab w:val="left" w:pos="708"/>
        </w:tabs>
        <w:spacing w:line="276" w:lineRule="auto"/>
        <w:rPr>
          <w:rFonts w:ascii="Tahoma" w:hAnsi="Tahoma" w:cs="Tahoma"/>
          <w:bCs/>
          <w:szCs w:val="24"/>
          <w:lang w:eastAsia="es-MX"/>
        </w:rPr>
      </w:pPr>
      <w:r w:rsidRPr="00BC1D34">
        <w:rPr>
          <w:rFonts w:ascii="Tahoma" w:hAnsi="Tahoma" w:cs="Tahoma"/>
          <w:bCs/>
          <w:szCs w:val="24"/>
          <w:lang w:eastAsia="es-MX"/>
        </w:rPr>
        <w:t>SALA LABORAL</w:t>
      </w:r>
    </w:p>
    <w:p w14:paraId="54E94C47" w14:textId="77777777" w:rsidR="00DF65ED" w:rsidRPr="00BC1D34" w:rsidRDefault="00DF65ED" w:rsidP="00BC1D34">
      <w:pPr>
        <w:spacing w:line="276" w:lineRule="auto"/>
        <w:rPr>
          <w:rFonts w:ascii="Tahoma" w:hAnsi="Tahoma" w:cs="Tahoma"/>
          <w:sz w:val="24"/>
          <w:szCs w:val="24"/>
          <w:lang w:eastAsia="es-MX"/>
        </w:rPr>
      </w:pPr>
    </w:p>
    <w:p w14:paraId="15202A45" w14:textId="77777777" w:rsidR="00DF65ED" w:rsidRPr="00BC1D34" w:rsidRDefault="00DF65ED" w:rsidP="00BC1D34">
      <w:pPr>
        <w:spacing w:line="276" w:lineRule="auto"/>
        <w:ind w:firstLine="0"/>
        <w:jc w:val="center"/>
        <w:rPr>
          <w:rFonts w:ascii="Tahoma" w:hAnsi="Tahoma" w:cs="Tahoma"/>
          <w:b/>
          <w:bCs/>
          <w:sz w:val="24"/>
          <w:szCs w:val="24"/>
        </w:rPr>
      </w:pPr>
      <w:r w:rsidRPr="00BC1D34">
        <w:rPr>
          <w:rFonts w:ascii="Tahoma" w:hAnsi="Tahoma" w:cs="Tahoma"/>
          <w:bCs/>
          <w:sz w:val="24"/>
          <w:szCs w:val="24"/>
        </w:rPr>
        <w:t>Magistrada Ponente:</w:t>
      </w:r>
      <w:r w:rsidRPr="00BC1D34">
        <w:rPr>
          <w:rFonts w:ascii="Tahoma" w:hAnsi="Tahoma" w:cs="Tahoma"/>
          <w:b/>
          <w:bCs/>
          <w:sz w:val="24"/>
          <w:szCs w:val="24"/>
        </w:rPr>
        <w:t xml:space="preserve"> Ana Lucía Caicedo Calderón</w:t>
      </w:r>
    </w:p>
    <w:p w14:paraId="0E0250D1" w14:textId="77777777" w:rsidR="00DF65ED" w:rsidRPr="00BC1D34" w:rsidRDefault="00DF65ED" w:rsidP="00BC1D34">
      <w:pPr>
        <w:spacing w:line="276" w:lineRule="auto"/>
        <w:jc w:val="center"/>
        <w:rPr>
          <w:rFonts w:ascii="Tahoma" w:hAnsi="Tahoma" w:cs="Tahoma"/>
          <w:b/>
          <w:sz w:val="24"/>
          <w:szCs w:val="24"/>
        </w:rPr>
      </w:pPr>
    </w:p>
    <w:p w14:paraId="09E31ACD" w14:textId="0E44BCEE" w:rsidR="00DF65ED" w:rsidRPr="00BC1D34" w:rsidRDefault="00C56687" w:rsidP="00BC1D34">
      <w:pPr>
        <w:spacing w:line="276" w:lineRule="auto"/>
        <w:ind w:firstLine="0"/>
        <w:jc w:val="center"/>
        <w:rPr>
          <w:rFonts w:ascii="Tahoma" w:hAnsi="Tahoma" w:cs="Tahoma"/>
          <w:b/>
          <w:sz w:val="24"/>
          <w:szCs w:val="24"/>
        </w:rPr>
      </w:pPr>
      <w:r w:rsidRPr="00BC1D34">
        <w:rPr>
          <w:rFonts w:ascii="Tahoma" w:hAnsi="Tahoma" w:cs="Tahoma"/>
          <w:b/>
          <w:sz w:val="24"/>
          <w:szCs w:val="24"/>
        </w:rPr>
        <w:t>29 de mayo</w:t>
      </w:r>
      <w:r w:rsidR="0008659D" w:rsidRPr="00BC1D34">
        <w:rPr>
          <w:rFonts w:ascii="Tahoma" w:hAnsi="Tahoma" w:cs="Tahoma"/>
          <w:b/>
          <w:sz w:val="24"/>
          <w:szCs w:val="24"/>
        </w:rPr>
        <w:t xml:space="preserve"> </w:t>
      </w:r>
      <w:r w:rsidR="00B52FE0" w:rsidRPr="00BC1D34">
        <w:rPr>
          <w:rFonts w:ascii="Tahoma" w:hAnsi="Tahoma" w:cs="Tahoma"/>
          <w:b/>
          <w:sz w:val="24"/>
          <w:szCs w:val="24"/>
        </w:rPr>
        <w:t>de 2020</w:t>
      </w:r>
    </w:p>
    <w:p w14:paraId="6887D8C7" w14:textId="77777777" w:rsidR="00DF65ED" w:rsidRPr="00BC1D34" w:rsidRDefault="00DF65ED" w:rsidP="00BC1D34">
      <w:pPr>
        <w:spacing w:line="276" w:lineRule="auto"/>
        <w:ind w:firstLine="0"/>
        <w:jc w:val="center"/>
        <w:rPr>
          <w:rFonts w:ascii="Tahoma" w:hAnsi="Tahoma" w:cs="Tahoma"/>
          <w:b/>
          <w:sz w:val="24"/>
          <w:szCs w:val="24"/>
        </w:rPr>
      </w:pPr>
    </w:p>
    <w:p w14:paraId="41C3D5CF" w14:textId="77777777" w:rsidR="00C56687" w:rsidRPr="00BC1D34" w:rsidRDefault="00C56687" w:rsidP="00BC1D34">
      <w:pPr>
        <w:spacing w:line="276" w:lineRule="auto"/>
        <w:jc w:val="center"/>
        <w:rPr>
          <w:rFonts w:ascii="Tahoma" w:hAnsi="Tahoma" w:cs="Tahoma"/>
          <w:b/>
          <w:sz w:val="24"/>
          <w:szCs w:val="24"/>
        </w:rPr>
      </w:pPr>
    </w:p>
    <w:p w14:paraId="10EE4B6E" w14:textId="77777777" w:rsidR="00C56687" w:rsidRPr="00BC1D34" w:rsidRDefault="00C56687" w:rsidP="00BC1D34">
      <w:pPr>
        <w:shd w:val="clear" w:color="auto" w:fill="FFFFFF"/>
        <w:tabs>
          <w:tab w:val="left" w:pos="5197"/>
        </w:tabs>
        <w:spacing w:line="276" w:lineRule="auto"/>
        <w:ind w:firstLine="0"/>
        <w:jc w:val="center"/>
        <w:rPr>
          <w:rFonts w:ascii="Tahoma" w:hAnsi="Tahoma" w:cs="Tahoma"/>
          <w:b/>
          <w:color w:val="000000" w:themeColor="text1"/>
          <w:sz w:val="24"/>
          <w:szCs w:val="24"/>
          <w:lang w:eastAsia="es-CO"/>
        </w:rPr>
      </w:pPr>
      <w:r w:rsidRPr="00BC1D34">
        <w:rPr>
          <w:rFonts w:ascii="Tahoma" w:hAnsi="Tahoma" w:cs="Tahoma"/>
          <w:b/>
          <w:color w:val="000000" w:themeColor="text1"/>
          <w:sz w:val="24"/>
          <w:szCs w:val="24"/>
          <w:lang w:eastAsia="es-CO"/>
        </w:rPr>
        <w:t xml:space="preserve">Sistema oral - Audiencia VIRTUAL de juzgamiento </w:t>
      </w:r>
    </w:p>
    <w:p w14:paraId="20D07DA6" w14:textId="77777777" w:rsidR="00C56687" w:rsidRPr="00BC1D34" w:rsidRDefault="00C56687" w:rsidP="00BC1D34">
      <w:pPr>
        <w:spacing w:line="276" w:lineRule="auto"/>
        <w:jc w:val="center"/>
        <w:rPr>
          <w:rFonts w:ascii="Tahoma" w:hAnsi="Tahoma" w:cs="Tahoma"/>
          <w:b/>
          <w:sz w:val="24"/>
          <w:szCs w:val="24"/>
        </w:rPr>
      </w:pPr>
    </w:p>
    <w:p w14:paraId="7971161A" w14:textId="2B3BA7BC" w:rsidR="00C56687" w:rsidRPr="00BC1D34" w:rsidRDefault="00C56687" w:rsidP="00BC1D34">
      <w:pPr>
        <w:spacing w:line="276" w:lineRule="auto"/>
        <w:ind w:firstLine="708"/>
        <w:rPr>
          <w:rFonts w:ascii="Tahoma" w:hAnsi="Tahoma" w:cs="Tahoma"/>
          <w:b/>
          <w:sz w:val="24"/>
          <w:szCs w:val="24"/>
        </w:rPr>
      </w:pPr>
      <w:r w:rsidRPr="00BC1D34">
        <w:rPr>
          <w:rFonts w:ascii="Tahoma" w:hAnsi="Tahoma" w:cs="Tahoma"/>
          <w:sz w:val="24"/>
          <w:szCs w:val="24"/>
        </w:rPr>
        <w:t xml:space="preserve">Siendo las </w:t>
      </w:r>
      <w:r w:rsidR="00C3633A">
        <w:rPr>
          <w:rFonts w:ascii="Tahoma" w:hAnsi="Tahoma" w:cs="Tahoma"/>
          <w:sz w:val="24"/>
          <w:szCs w:val="24"/>
        </w:rPr>
        <w:t>_____</w:t>
      </w:r>
      <w:r w:rsidRPr="00BC1D34">
        <w:rPr>
          <w:rFonts w:ascii="Tahoma" w:hAnsi="Tahoma" w:cs="Tahoma"/>
          <w:sz w:val="24"/>
          <w:szCs w:val="24"/>
        </w:rPr>
        <w:t xml:space="preserve"> de hoy, 29 de mayo de 2020, la Sala de Decisión Laboral No. 1 del Tribunal Superior de Pereira integradas por la Magistradas y el Magistrado que a continuación se presentan: Dra. OLGA LUCÍA HOYOS SEPÚLVEDA, Dr. JULIO CÉSAR SALAZAR MUÑOZ, y quien les habla ANA LUCÍA CAICEDO CALDERÓN, en calidad de Magistrada Ponente, se constituyen en </w:t>
      </w:r>
      <w:r w:rsidRPr="00BC1D34">
        <w:rPr>
          <w:rFonts w:ascii="Tahoma" w:hAnsi="Tahoma" w:cs="Tahoma"/>
          <w:b/>
          <w:sz w:val="24"/>
          <w:szCs w:val="24"/>
        </w:rPr>
        <w:t>audiencia pública de juzgamiento virtual</w:t>
      </w:r>
      <w:r w:rsidRPr="00BC1D34">
        <w:rPr>
          <w:rFonts w:ascii="Tahoma" w:hAnsi="Tahoma" w:cs="Tahoma"/>
          <w:sz w:val="24"/>
          <w:szCs w:val="24"/>
        </w:rPr>
        <w:t xml:space="preserve"> en los términos del Acuerdo </w:t>
      </w:r>
      <w:proofErr w:type="spellStart"/>
      <w:r w:rsidRPr="00BC1D34">
        <w:rPr>
          <w:rFonts w:ascii="Tahoma" w:hAnsi="Tahoma" w:cs="Tahoma"/>
          <w:sz w:val="24"/>
          <w:szCs w:val="24"/>
        </w:rPr>
        <w:t>PCSJA</w:t>
      </w:r>
      <w:proofErr w:type="spellEnd"/>
      <w:r w:rsidRPr="00BC1D34">
        <w:rPr>
          <w:rFonts w:ascii="Tahoma" w:hAnsi="Tahoma" w:cs="Tahoma"/>
          <w:sz w:val="24"/>
          <w:szCs w:val="24"/>
        </w:rPr>
        <w:t xml:space="preserve"> 20-11549 del 7 de mayo de 2020, expedido por el Consejo Superior de la Judicatura, en el proceso ordinario laboral instaurado por </w:t>
      </w:r>
      <w:proofErr w:type="spellStart"/>
      <w:r w:rsidRPr="00BC1D34">
        <w:rPr>
          <w:rFonts w:ascii="Tahoma" w:hAnsi="Tahoma" w:cs="Tahoma"/>
          <w:b/>
          <w:bCs/>
          <w:sz w:val="24"/>
          <w:szCs w:val="24"/>
          <w:lang w:val="es-ES_tradnl"/>
        </w:rPr>
        <w:t>Deida</w:t>
      </w:r>
      <w:proofErr w:type="spellEnd"/>
      <w:r w:rsidRPr="00BC1D34">
        <w:rPr>
          <w:rFonts w:ascii="Tahoma" w:hAnsi="Tahoma" w:cs="Tahoma"/>
          <w:b/>
          <w:bCs/>
          <w:sz w:val="24"/>
          <w:szCs w:val="24"/>
          <w:lang w:val="es-ES_tradnl"/>
        </w:rPr>
        <w:t xml:space="preserve"> Rosa Parra de Soto</w:t>
      </w:r>
      <w:r w:rsidRPr="00BC1D34">
        <w:rPr>
          <w:rFonts w:ascii="Tahoma" w:hAnsi="Tahoma" w:cs="Tahoma"/>
          <w:b/>
          <w:sz w:val="24"/>
          <w:szCs w:val="24"/>
          <w:lang w:val="es-ES_tradnl"/>
        </w:rPr>
        <w:t xml:space="preserve"> </w:t>
      </w:r>
      <w:r w:rsidRPr="00BC1D34">
        <w:rPr>
          <w:rFonts w:ascii="Tahoma" w:hAnsi="Tahoma" w:cs="Tahoma"/>
          <w:sz w:val="24"/>
          <w:szCs w:val="24"/>
          <w:lang w:val="es-ES_tradnl"/>
        </w:rPr>
        <w:t xml:space="preserve">en contra de la </w:t>
      </w:r>
      <w:r w:rsidRPr="00BC1D34">
        <w:rPr>
          <w:rFonts w:ascii="Tahoma" w:hAnsi="Tahoma" w:cs="Tahoma"/>
          <w:b/>
          <w:sz w:val="24"/>
          <w:szCs w:val="24"/>
          <w:lang w:val="es-ES_tradnl"/>
        </w:rPr>
        <w:t>Administradora Colombiana de Pensiones - Colpensiones</w:t>
      </w:r>
      <w:r w:rsidRPr="00BC1D34">
        <w:rPr>
          <w:rFonts w:ascii="Tahoma" w:hAnsi="Tahoma" w:cs="Tahoma"/>
          <w:b/>
          <w:sz w:val="24"/>
          <w:szCs w:val="24"/>
          <w:lang w:val="es-CO"/>
        </w:rPr>
        <w:t>.</w:t>
      </w:r>
      <w:r w:rsidRPr="00BC1D34">
        <w:rPr>
          <w:rFonts w:ascii="Tahoma" w:hAnsi="Tahoma" w:cs="Tahoma"/>
          <w:b/>
          <w:sz w:val="24"/>
          <w:szCs w:val="24"/>
        </w:rPr>
        <w:t xml:space="preserve"> </w:t>
      </w:r>
    </w:p>
    <w:p w14:paraId="0269EA9F" w14:textId="77777777" w:rsidR="00C56687" w:rsidRPr="00BC1D34" w:rsidRDefault="00C56687" w:rsidP="00BC1D34">
      <w:pPr>
        <w:spacing w:line="276" w:lineRule="auto"/>
        <w:ind w:firstLine="708"/>
        <w:rPr>
          <w:rFonts w:ascii="Tahoma" w:hAnsi="Tahoma" w:cs="Tahoma"/>
          <w:b/>
          <w:sz w:val="24"/>
          <w:szCs w:val="24"/>
        </w:rPr>
      </w:pPr>
    </w:p>
    <w:p w14:paraId="0E78500C" w14:textId="77777777" w:rsidR="00C56687" w:rsidRPr="00BC1D34" w:rsidRDefault="00C56687" w:rsidP="00C3633A">
      <w:pPr>
        <w:shd w:val="clear" w:color="auto" w:fill="FFFFFF"/>
        <w:spacing w:line="276" w:lineRule="auto"/>
        <w:ind w:firstLine="708"/>
        <w:rPr>
          <w:rFonts w:ascii="Tahoma" w:hAnsi="Tahoma" w:cs="Tahoma"/>
          <w:b/>
          <w:color w:val="000000" w:themeColor="text1"/>
          <w:sz w:val="24"/>
          <w:szCs w:val="24"/>
          <w:lang w:eastAsia="es-CO"/>
        </w:rPr>
      </w:pPr>
      <w:r w:rsidRPr="00BC1D34">
        <w:rPr>
          <w:rFonts w:ascii="Tahoma" w:hAnsi="Tahoma" w:cs="Tahoma"/>
          <w:b/>
          <w:color w:val="000000" w:themeColor="text1"/>
          <w:sz w:val="24"/>
          <w:szCs w:val="24"/>
          <w:lang w:eastAsia="es-CO"/>
        </w:rPr>
        <w:t>PROTOCOLO PARA LA REALIZACIÓN DE LA AUDIENCIA VIRTUAL:</w:t>
      </w:r>
    </w:p>
    <w:p w14:paraId="38A397B4" w14:textId="77777777" w:rsidR="00C56687" w:rsidRPr="00BC1D34" w:rsidRDefault="00C56687" w:rsidP="00BC1D34">
      <w:pPr>
        <w:spacing w:line="276" w:lineRule="auto"/>
        <w:ind w:firstLine="708"/>
        <w:rPr>
          <w:rFonts w:ascii="Tahoma" w:hAnsi="Tahoma" w:cs="Tahoma"/>
          <w:b/>
          <w:sz w:val="24"/>
          <w:szCs w:val="24"/>
        </w:rPr>
      </w:pPr>
    </w:p>
    <w:p w14:paraId="119F0696" w14:textId="77777777" w:rsidR="00C3633A" w:rsidRDefault="00C3633A" w:rsidP="00C3633A">
      <w:pPr>
        <w:widowControl w:val="0"/>
        <w:autoSpaceDE w:val="0"/>
        <w:autoSpaceDN w:val="0"/>
        <w:adjustRightInd w:val="0"/>
        <w:spacing w:line="276" w:lineRule="auto"/>
        <w:ind w:firstLine="708"/>
        <w:rPr>
          <w:rFonts w:ascii="Tahoma" w:hAnsi="Tahoma" w:cs="Tahoma"/>
        </w:rPr>
      </w:pPr>
      <w:r>
        <w:rPr>
          <w:rFonts w:ascii="Tahoma" w:hAnsi="Tahoma" w:cs="Tahoma"/>
        </w:rPr>
        <w:t>… … … …</w:t>
      </w:r>
    </w:p>
    <w:p w14:paraId="030EC6CF" w14:textId="69890CE4" w:rsidR="00C56687" w:rsidRPr="00BC1D34" w:rsidRDefault="00C3633A" w:rsidP="00C3633A">
      <w:pPr>
        <w:spacing w:line="276" w:lineRule="auto"/>
        <w:ind w:firstLine="708"/>
        <w:rPr>
          <w:rFonts w:ascii="Tahoma" w:hAnsi="Tahoma" w:cs="Tahoma"/>
          <w:sz w:val="24"/>
          <w:szCs w:val="24"/>
        </w:rPr>
      </w:pPr>
      <w:r>
        <w:rPr>
          <w:rFonts w:ascii="Tahoma" w:hAnsi="Tahoma" w:cs="Tahoma"/>
        </w:rPr>
        <w:t>… … … …</w:t>
      </w:r>
      <w:r w:rsidR="00C56687" w:rsidRPr="00BC1D34">
        <w:rPr>
          <w:rFonts w:ascii="Tahoma" w:hAnsi="Tahoma" w:cs="Tahoma"/>
          <w:sz w:val="24"/>
          <w:szCs w:val="24"/>
        </w:rPr>
        <w:t xml:space="preserve"> </w:t>
      </w:r>
    </w:p>
    <w:p w14:paraId="68EDA446" w14:textId="77777777" w:rsidR="00C56687" w:rsidRPr="00BC1D34" w:rsidRDefault="00C56687" w:rsidP="00BC1D34">
      <w:pPr>
        <w:spacing w:line="276" w:lineRule="auto"/>
        <w:rPr>
          <w:rFonts w:ascii="Tahoma" w:hAnsi="Tahoma" w:cs="Tahoma"/>
          <w:b/>
          <w:sz w:val="24"/>
          <w:szCs w:val="24"/>
        </w:rPr>
      </w:pPr>
    </w:p>
    <w:p w14:paraId="3DA13F54" w14:textId="77777777" w:rsidR="00C56687" w:rsidRPr="00BC1D34" w:rsidRDefault="00C56687" w:rsidP="00BC1D34">
      <w:pPr>
        <w:shd w:val="clear" w:color="auto" w:fill="FFFFFF"/>
        <w:tabs>
          <w:tab w:val="left" w:pos="5197"/>
        </w:tabs>
        <w:spacing w:line="276" w:lineRule="auto"/>
        <w:ind w:firstLine="0"/>
        <w:jc w:val="center"/>
        <w:rPr>
          <w:rFonts w:ascii="Tahoma" w:hAnsi="Tahoma" w:cs="Tahoma"/>
          <w:b/>
          <w:color w:val="000000" w:themeColor="text1"/>
          <w:sz w:val="24"/>
          <w:szCs w:val="24"/>
          <w:lang w:eastAsia="es-CO"/>
        </w:rPr>
      </w:pPr>
      <w:r w:rsidRPr="00BC1D34">
        <w:rPr>
          <w:rFonts w:ascii="Tahoma" w:hAnsi="Tahoma" w:cs="Tahoma"/>
          <w:b/>
          <w:color w:val="000000" w:themeColor="text1"/>
          <w:sz w:val="24"/>
          <w:szCs w:val="24"/>
          <w:lang w:eastAsia="es-CO"/>
        </w:rPr>
        <w:t>SENTENCIA</w:t>
      </w:r>
    </w:p>
    <w:p w14:paraId="6E075287" w14:textId="77777777" w:rsidR="00C56687" w:rsidRPr="00BC1D34" w:rsidRDefault="00C56687" w:rsidP="00BC1D34">
      <w:pPr>
        <w:widowControl w:val="0"/>
        <w:autoSpaceDE w:val="0"/>
        <w:autoSpaceDN w:val="0"/>
        <w:adjustRightInd w:val="0"/>
        <w:spacing w:line="276" w:lineRule="auto"/>
        <w:rPr>
          <w:rFonts w:ascii="Tahoma" w:hAnsi="Tahoma" w:cs="Tahoma"/>
          <w:b/>
          <w:color w:val="000000" w:themeColor="text1"/>
          <w:sz w:val="24"/>
          <w:szCs w:val="24"/>
        </w:rPr>
      </w:pPr>
    </w:p>
    <w:p w14:paraId="1777D3AA" w14:textId="12C71DC5" w:rsidR="000F54ED" w:rsidRPr="00BC1D34" w:rsidRDefault="000F54ED" w:rsidP="00BC1D34">
      <w:pPr>
        <w:widowControl w:val="0"/>
        <w:autoSpaceDE w:val="0"/>
        <w:autoSpaceDN w:val="0"/>
        <w:adjustRightInd w:val="0"/>
        <w:spacing w:line="276" w:lineRule="auto"/>
        <w:ind w:firstLine="708"/>
        <w:rPr>
          <w:rFonts w:ascii="Tahoma" w:hAnsi="Tahoma" w:cs="Tahoma"/>
          <w:sz w:val="24"/>
          <w:szCs w:val="24"/>
          <w:lang w:val="es-CO"/>
        </w:rPr>
      </w:pPr>
      <w:r w:rsidRPr="00BC1D34">
        <w:rPr>
          <w:rFonts w:ascii="Tahoma" w:hAnsi="Tahoma" w:cs="Tahoma"/>
          <w:sz w:val="24"/>
          <w:szCs w:val="24"/>
          <w:lang w:val="es-CO"/>
        </w:rPr>
        <w:t xml:space="preserve">Antes de concederles el uso de la palabra a las partes para que expresen sus alegatos de conclusión, me permito hacer un resumen de los antecedentes procesales de este asunto, en el que la </w:t>
      </w:r>
      <w:r w:rsidRPr="00BC1D34">
        <w:rPr>
          <w:rFonts w:ascii="Tahoma" w:hAnsi="Tahoma" w:cs="Tahoma"/>
          <w:sz w:val="24"/>
          <w:szCs w:val="24"/>
        </w:rPr>
        <w:t xml:space="preserve">Sala </w:t>
      </w:r>
      <w:r w:rsidRPr="00BC1D34">
        <w:rPr>
          <w:rFonts w:ascii="Tahoma" w:hAnsi="Tahoma" w:cs="Tahoma"/>
          <w:sz w:val="24"/>
          <w:szCs w:val="24"/>
          <w:lang w:val="es-CO"/>
        </w:rPr>
        <w:t xml:space="preserve">revisará en sede de consulta la sentencia proferida el 17 de julio de 2019 por el por el Juzgado Quinto Laboral del Circuito de Pereira, la cual fue desfavorable a los intereses de la parte actora. </w:t>
      </w:r>
      <w:r w:rsidR="00C3633A">
        <w:rPr>
          <w:rFonts w:ascii="Tahoma" w:hAnsi="Tahoma" w:cs="Tahoma"/>
          <w:sz w:val="24"/>
          <w:szCs w:val="24"/>
          <w:lang w:val="es-CO"/>
        </w:rPr>
        <w:t>(…)</w:t>
      </w:r>
      <w:r w:rsidRPr="00BC1D34">
        <w:rPr>
          <w:rFonts w:ascii="Tahoma" w:hAnsi="Tahoma" w:cs="Tahoma"/>
          <w:sz w:val="24"/>
          <w:szCs w:val="24"/>
          <w:lang w:val="es-CO"/>
        </w:rPr>
        <w:t xml:space="preserve"> </w:t>
      </w:r>
    </w:p>
    <w:p w14:paraId="5AD1D258" w14:textId="5E32386E" w:rsidR="00DF65ED" w:rsidRPr="00BC1D34" w:rsidRDefault="00DF65ED" w:rsidP="00BC1D3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3E7F620B" w14:textId="0B58C0F3" w:rsidR="00DF65ED" w:rsidRPr="00BC1D34" w:rsidRDefault="00C56687" w:rsidP="00BC1D34">
      <w:pPr>
        <w:pStyle w:val="Prrafodelista"/>
        <w:numPr>
          <w:ilvl w:val="0"/>
          <w:numId w:val="6"/>
        </w:numPr>
        <w:spacing w:line="276" w:lineRule="auto"/>
        <w:jc w:val="center"/>
        <w:rPr>
          <w:rFonts w:ascii="Tahoma" w:hAnsi="Tahoma" w:cs="Tahoma"/>
          <w:b/>
          <w:lang w:val="es-CO"/>
        </w:rPr>
      </w:pPr>
      <w:r w:rsidRPr="00BC1D34">
        <w:rPr>
          <w:rFonts w:ascii="Tahoma" w:hAnsi="Tahoma" w:cs="Tahoma"/>
          <w:b/>
          <w:lang w:val="es-CO"/>
        </w:rPr>
        <w:t>DE LA DEMANDA Y SU CONTESTACIÓN</w:t>
      </w:r>
    </w:p>
    <w:p w14:paraId="37E1254D" w14:textId="77777777" w:rsidR="00DF65ED" w:rsidRPr="00BC1D34" w:rsidRDefault="00DF65ED" w:rsidP="00BC1D34">
      <w:pPr>
        <w:spacing w:line="276" w:lineRule="auto"/>
        <w:rPr>
          <w:rFonts w:ascii="Tahoma" w:hAnsi="Tahoma" w:cs="Tahoma"/>
          <w:sz w:val="24"/>
          <w:szCs w:val="24"/>
          <w:lang w:val="es-CO"/>
        </w:rPr>
      </w:pPr>
    </w:p>
    <w:p w14:paraId="5360C4A0" w14:textId="7876F99F" w:rsidR="0008659D" w:rsidRPr="00BC1D34" w:rsidRDefault="00D578A4" w:rsidP="00BC1D34">
      <w:pPr>
        <w:spacing w:line="276" w:lineRule="auto"/>
        <w:rPr>
          <w:rFonts w:ascii="Tahoma" w:hAnsi="Tahoma" w:cs="Tahoma"/>
          <w:sz w:val="24"/>
          <w:szCs w:val="24"/>
          <w:lang w:val="es-CO"/>
        </w:rPr>
      </w:pPr>
      <w:r w:rsidRPr="00BC1D34">
        <w:rPr>
          <w:rFonts w:ascii="Tahoma" w:hAnsi="Tahoma" w:cs="Tahoma"/>
          <w:sz w:val="24"/>
          <w:szCs w:val="24"/>
          <w:lang w:val="es-CO"/>
        </w:rPr>
        <w:t>Solicita la demandante</w:t>
      </w:r>
      <w:r w:rsidR="00B52FE0" w:rsidRPr="00BC1D34">
        <w:rPr>
          <w:rFonts w:ascii="Tahoma" w:hAnsi="Tahoma" w:cs="Tahoma"/>
          <w:sz w:val="24"/>
          <w:szCs w:val="24"/>
          <w:lang w:val="es-CO"/>
        </w:rPr>
        <w:t xml:space="preserve"> </w:t>
      </w:r>
      <w:r w:rsidR="00E762FA" w:rsidRPr="00BC1D34">
        <w:rPr>
          <w:rFonts w:ascii="Tahoma" w:hAnsi="Tahoma" w:cs="Tahoma"/>
          <w:sz w:val="24"/>
          <w:szCs w:val="24"/>
          <w:lang w:val="es-CO"/>
        </w:rPr>
        <w:t>que</w:t>
      </w:r>
      <w:r w:rsidR="0008659D" w:rsidRPr="00BC1D34">
        <w:rPr>
          <w:rFonts w:ascii="Tahoma" w:hAnsi="Tahoma" w:cs="Tahoma"/>
          <w:sz w:val="24"/>
          <w:szCs w:val="24"/>
          <w:lang w:val="es-CO"/>
        </w:rPr>
        <w:t xml:space="preserve"> se condene a Colpensiones, previa declaración del derecho, a que le reconozca y pague la pensión de sobrevivientes causada por el fallecimiento de su cónyuge </w:t>
      </w:r>
      <w:r w:rsidR="00C3633A" w:rsidRPr="00BC1D34">
        <w:rPr>
          <w:rFonts w:ascii="Tahoma" w:hAnsi="Tahoma" w:cs="Tahoma"/>
          <w:sz w:val="24"/>
          <w:szCs w:val="24"/>
          <w:lang w:val="es-CO"/>
        </w:rPr>
        <w:t>Ramiro</w:t>
      </w:r>
      <w:r w:rsidR="0008659D" w:rsidRPr="00BC1D34">
        <w:rPr>
          <w:rFonts w:ascii="Tahoma" w:hAnsi="Tahoma" w:cs="Tahoma"/>
          <w:sz w:val="24"/>
          <w:szCs w:val="24"/>
          <w:lang w:val="es-CO"/>
        </w:rPr>
        <w:t xml:space="preserve"> Soto </w:t>
      </w:r>
      <w:r w:rsidR="00C3633A" w:rsidRPr="00BC1D34">
        <w:rPr>
          <w:rFonts w:ascii="Tahoma" w:hAnsi="Tahoma" w:cs="Tahoma"/>
          <w:sz w:val="24"/>
          <w:szCs w:val="24"/>
          <w:lang w:val="es-CO"/>
        </w:rPr>
        <w:t>Gálvez</w:t>
      </w:r>
      <w:r w:rsidR="0008659D" w:rsidRPr="00BC1D34">
        <w:rPr>
          <w:rFonts w:ascii="Tahoma" w:hAnsi="Tahoma" w:cs="Tahoma"/>
          <w:sz w:val="24"/>
          <w:szCs w:val="24"/>
          <w:lang w:val="es-CO"/>
        </w:rPr>
        <w:t xml:space="preserve">, </w:t>
      </w:r>
      <w:r w:rsidR="00A105A6" w:rsidRPr="00BC1D34">
        <w:rPr>
          <w:rFonts w:ascii="Tahoma" w:hAnsi="Tahoma" w:cs="Tahoma"/>
          <w:sz w:val="24"/>
          <w:szCs w:val="24"/>
          <w:lang w:val="es-CO"/>
        </w:rPr>
        <w:t xml:space="preserve">a partir del </w:t>
      </w:r>
      <w:r w:rsidR="00A105A6" w:rsidRPr="00BC1D34">
        <w:rPr>
          <w:rFonts w:ascii="Tahoma" w:hAnsi="Tahoma" w:cs="Tahoma"/>
          <w:b/>
          <w:sz w:val="24"/>
          <w:szCs w:val="24"/>
          <w:lang w:val="es-CO"/>
        </w:rPr>
        <w:t>28 de junio de 2004</w:t>
      </w:r>
      <w:r w:rsidR="00E47535" w:rsidRPr="00BC1D34">
        <w:rPr>
          <w:rFonts w:ascii="Tahoma" w:hAnsi="Tahoma" w:cs="Tahoma"/>
          <w:sz w:val="24"/>
          <w:szCs w:val="24"/>
          <w:lang w:val="es-CO"/>
        </w:rPr>
        <w:t>,</w:t>
      </w:r>
      <w:r w:rsidR="00A105A6" w:rsidRPr="00BC1D34">
        <w:rPr>
          <w:rFonts w:ascii="Tahoma" w:hAnsi="Tahoma" w:cs="Tahoma"/>
          <w:sz w:val="24"/>
          <w:szCs w:val="24"/>
          <w:lang w:val="es-CO"/>
        </w:rPr>
        <w:t xml:space="preserve"> </w:t>
      </w:r>
      <w:r w:rsidR="0008659D" w:rsidRPr="00BC1D34">
        <w:rPr>
          <w:rFonts w:ascii="Tahoma" w:hAnsi="Tahoma" w:cs="Tahoma"/>
          <w:sz w:val="24"/>
          <w:szCs w:val="24"/>
          <w:lang w:val="es-CO"/>
        </w:rPr>
        <w:t>en aplicación del Decreto 758 de 1990</w:t>
      </w:r>
      <w:r w:rsidR="00A105A6" w:rsidRPr="00BC1D34">
        <w:rPr>
          <w:rFonts w:ascii="Tahoma" w:hAnsi="Tahoma" w:cs="Tahoma"/>
          <w:sz w:val="24"/>
          <w:szCs w:val="24"/>
          <w:lang w:val="es-CO"/>
        </w:rPr>
        <w:t xml:space="preserve"> y el </w:t>
      </w:r>
      <w:r w:rsidR="0008659D" w:rsidRPr="00BC1D34">
        <w:rPr>
          <w:rFonts w:ascii="Tahoma" w:hAnsi="Tahoma" w:cs="Tahoma"/>
          <w:sz w:val="24"/>
          <w:szCs w:val="24"/>
          <w:lang w:val="es-CO"/>
        </w:rPr>
        <w:t>principio de la condición más beneficiosa.</w:t>
      </w:r>
    </w:p>
    <w:p w14:paraId="42641D2B" w14:textId="77777777" w:rsidR="00A105A6" w:rsidRPr="00BC1D34" w:rsidRDefault="00A105A6" w:rsidP="00BC1D34">
      <w:pPr>
        <w:spacing w:line="276" w:lineRule="auto"/>
        <w:rPr>
          <w:rFonts w:ascii="Tahoma" w:hAnsi="Tahoma" w:cs="Tahoma"/>
          <w:sz w:val="24"/>
          <w:szCs w:val="24"/>
          <w:lang w:val="es-CO"/>
        </w:rPr>
      </w:pPr>
    </w:p>
    <w:p w14:paraId="15BFDBCE" w14:textId="77777777" w:rsidR="00A105A6" w:rsidRPr="00BC1D34" w:rsidRDefault="00A105A6" w:rsidP="00BC1D34">
      <w:pPr>
        <w:spacing w:line="276" w:lineRule="auto"/>
        <w:rPr>
          <w:rFonts w:ascii="Tahoma" w:hAnsi="Tahoma" w:cs="Tahoma"/>
          <w:sz w:val="24"/>
          <w:szCs w:val="24"/>
          <w:lang w:val="es-CO"/>
        </w:rPr>
      </w:pPr>
      <w:r w:rsidRPr="00BC1D34">
        <w:rPr>
          <w:rFonts w:ascii="Tahoma" w:hAnsi="Tahoma" w:cs="Tahoma"/>
          <w:sz w:val="24"/>
          <w:szCs w:val="24"/>
          <w:lang w:val="es-CO"/>
        </w:rPr>
        <w:t>Asimismo, procura que se condene a la demandada a pagar los intereses moratorios  y las costas procesales.</w:t>
      </w:r>
    </w:p>
    <w:p w14:paraId="7C6037DD" w14:textId="77777777" w:rsidR="009E5C78" w:rsidRPr="00BC1D34" w:rsidRDefault="009E5C78" w:rsidP="00BC1D34">
      <w:pPr>
        <w:spacing w:line="276" w:lineRule="auto"/>
        <w:ind w:firstLine="0"/>
        <w:rPr>
          <w:rFonts w:ascii="Tahoma" w:hAnsi="Tahoma" w:cs="Tahoma"/>
          <w:sz w:val="24"/>
          <w:szCs w:val="24"/>
          <w:lang w:val="es-CO"/>
        </w:rPr>
      </w:pPr>
    </w:p>
    <w:p w14:paraId="124C04CF" w14:textId="15EBF6FF" w:rsidR="00A105A6" w:rsidRPr="00BC1D34" w:rsidRDefault="009E5C78" w:rsidP="00BC1D34">
      <w:pPr>
        <w:spacing w:line="276" w:lineRule="auto"/>
        <w:rPr>
          <w:rFonts w:ascii="Tahoma" w:hAnsi="Tahoma" w:cs="Tahoma"/>
          <w:sz w:val="24"/>
          <w:szCs w:val="24"/>
          <w:lang w:val="es-CO"/>
        </w:rPr>
      </w:pPr>
      <w:r w:rsidRPr="00BC1D34">
        <w:rPr>
          <w:rFonts w:ascii="Tahoma" w:hAnsi="Tahoma" w:cs="Tahoma"/>
          <w:sz w:val="24"/>
          <w:szCs w:val="24"/>
          <w:lang w:val="es-CO"/>
        </w:rPr>
        <w:t>Para fundar esos pedidos manifiesta que</w:t>
      </w:r>
      <w:r w:rsidR="00A105A6" w:rsidRPr="00BC1D34">
        <w:rPr>
          <w:rFonts w:ascii="Tahoma" w:hAnsi="Tahoma" w:cs="Tahoma"/>
          <w:sz w:val="24"/>
          <w:szCs w:val="24"/>
          <w:lang w:val="es-CO"/>
        </w:rPr>
        <w:t xml:space="preserve"> convivió de manera permanente e ininterrumpida durante más de 31 años con su cónyuge, señor </w:t>
      </w:r>
      <w:r w:rsidR="00C3633A" w:rsidRPr="00BC1D34">
        <w:rPr>
          <w:rFonts w:ascii="Tahoma" w:hAnsi="Tahoma" w:cs="Tahoma"/>
          <w:sz w:val="24"/>
          <w:szCs w:val="24"/>
          <w:lang w:val="es-CO"/>
        </w:rPr>
        <w:t>Ramiro</w:t>
      </w:r>
      <w:r w:rsidR="00A105A6" w:rsidRPr="00BC1D34">
        <w:rPr>
          <w:rFonts w:ascii="Tahoma" w:hAnsi="Tahoma" w:cs="Tahoma"/>
          <w:sz w:val="24"/>
          <w:szCs w:val="24"/>
          <w:lang w:val="es-CO"/>
        </w:rPr>
        <w:t xml:space="preserve"> Soto </w:t>
      </w:r>
      <w:r w:rsidR="00C3633A" w:rsidRPr="00BC1D34">
        <w:rPr>
          <w:rFonts w:ascii="Tahoma" w:hAnsi="Tahoma" w:cs="Tahoma"/>
          <w:sz w:val="24"/>
          <w:szCs w:val="24"/>
          <w:lang w:val="es-CO"/>
        </w:rPr>
        <w:t>Gálvez</w:t>
      </w:r>
      <w:r w:rsidR="00A105A6" w:rsidRPr="00BC1D34">
        <w:rPr>
          <w:rFonts w:ascii="Tahoma" w:hAnsi="Tahoma" w:cs="Tahoma"/>
          <w:sz w:val="24"/>
          <w:szCs w:val="24"/>
          <w:lang w:val="es-CO"/>
        </w:rPr>
        <w:t>, quien cotizó al I.S.S. un total de 453 semanas entre el 1º de marzo de 1976 y el 30 de mayo de 1994, y quien falleció el 28 de junio de 2004.</w:t>
      </w:r>
    </w:p>
    <w:p w14:paraId="096145DB" w14:textId="77777777" w:rsidR="00A105A6" w:rsidRPr="00BC1D34" w:rsidRDefault="00A105A6" w:rsidP="00BC1D34">
      <w:pPr>
        <w:spacing w:line="276" w:lineRule="auto"/>
        <w:rPr>
          <w:rFonts w:ascii="Tahoma" w:hAnsi="Tahoma" w:cs="Tahoma"/>
          <w:sz w:val="24"/>
          <w:szCs w:val="24"/>
          <w:lang w:val="es-CO"/>
        </w:rPr>
      </w:pPr>
    </w:p>
    <w:p w14:paraId="73C18F10" w14:textId="742ACC74" w:rsidR="00A105A6" w:rsidRPr="00BC1D34" w:rsidRDefault="00A105A6" w:rsidP="00BC1D34">
      <w:pPr>
        <w:spacing w:line="276" w:lineRule="auto"/>
        <w:rPr>
          <w:rFonts w:ascii="Tahoma" w:hAnsi="Tahoma" w:cs="Tahoma"/>
          <w:sz w:val="24"/>
          <w:szCs w:val="24"/>
          <w:lang w:val="es-CO"/>
        </w:rPr>
      </w:pPr>
      <w:r w:rsidRPr="00BC1D34">
        <w:rPr>
          <w:rFonts w:ascii="Tahoma" w:hAnsi="Tahoma" w:cs="Tahoma"/>
          <w:sz w:val="24"/>
          <w:szCs w:val="24"/>
          <w:lang w:val="es-CO"/>
        </w:rPr>
        <w:t>Agrega que el 1º de junio de 2017 solicitó ante Colpensiones el reconocimiento de la pensión de sobrevivientes, la cual le fue negada a través de la Resolución SUB 120103 del 6 de julio de 2017, con el argumento de que el señor Soto no dejó causado el derecho</w:t>
      </w:r>
      <w:r w:rsidR="00B46394" w:rsidRPr="00BC1D34">
        <w:rPr>
          <w:rFonts w:ascii="Tahoma" w:hAnsi="Tahoma" w:cs="Tahoma"/>
          <w:sz w:val="24"/>
          <w:szCs w:val="24"/>
          <w:lang w:val="es-CO"/>
        </w:rPr>
        <w:t xml:space="preserve"> </w:t>
      </w:r>
      <w:r w:rsidRPr="00BC1D34">
        <w:rPr>
          <w:rFonts w:ascii="Tahoma" w:hAnsi="Tahoma" w:cs="Tahoma"/>
          <w:sz w:val="24"/>
          <w:szCs w:val="24"/>
          <w:lang w:val="es-CO"/>
        </w:rPr>
        <w:t>por no haber acreditado 50 semanas dentro de los 3 años anteriores a su deceso.</w:t>
      </w:r>
      <w:r w:rsidR="00B46394" w:rsidRPr="00BC1D34">
        <w:rPr>
          <w:rFonts w:ascii="Tahoma" w:hAnsi="Tahoma" w:cs="Tahoma"/>
          <w:sz w:val="24"/>
          <w:szCs w:val="24"/>
          <w:lang w:val="es-CO"/>
        </w:rPr>
        <w:t xml:space="preserve"> Acto en contra del cual no se in</w:t>
      </w:r>
      <w:r w:rsidR="00C56687" w:rsidRPr="00BC1D34">
        <w:rPr>
          <w:rFonts w:ascii="Tahoma" w:hAnsi="Tahoma" w:cs="Tahoma"/>
          <w:sz w:val="24"/>
          <w:szCs w:val="24"/>
          <w:lang w:val="es-CO"/>
        </w:rPr>
        <w:t xml:space="preserve">terpuso recurso alguno, </w:t>
      </w:r>
      <w:r w:rsidR="00B46394" w:rsidRPr="00BC1D34">
        <w:rPr>
          <w:rFonts w:ascii="Tahoma" w:hAnsi="Tahoma" w:cs="Tahoma"/>
          <w:sz w:val="24"/>
          <w:szCs w:val="24"/>
          <w:lang w:val="es-CO"/>
        </w:rPr>
        <w:t>agotándose de esta manera la reclamación administrativa.</w:t>
      </w:r>
    </w:p>
    <w:p w14:paraId="639A54F8" w14:textId="77777777" w:rsidR="00A105A6" w:rsidRPr="00BC1D34" w:rsidRDefault="00A105A6" w:rsidP="00BC1D34">
      <w:pPr>
        <w:spacing w:line="276" w:lineRule="auto"/>
        <w:rPr>
          <w:rFonts w:ascii="Tahoma" w:hAnsi="Tahoma" w:cs="Tahoma"/>
          <w:sz w:val="24"/>
          <w:szCs w:val="24"/>
          <w:lang w:val="es-CO"/>
        </w:rPr>
      </w:pPr>
    </w:p>
    <w:p w14:paraId="32BA872F" w14:textId="557C7D4D" w:rsidR="00233D7F" w:rsidRPr="00BC1D34" w:rsidRDefault="00D578A4" w:rsidP="00BC1D34">
      <w:pPr>
        <w:spacing w:line="276" w:lineRule="auto"/>
        <w:ind w:firstLine="708"/>
        <w:rPr>
          <w:rFonts w:ascii="Tahoma" w:hAnsi="Tahoma" w:cs="Tahoma"/>
          <w:bCs/>
          <w:sz w:val="24"/>
          <w:szCs w:val="24"/>
          <w:lang w:val="es-CO"/>
        </w:rPr>
      </w:pPr>
      <w:r w:rsidRPr="00BC1D34">
        <w:rPr>
          <w:rFonts w:ascii="Tahoma" w:hAnsi="Tahoma" w:cs="Tahoma"/>
          <w:bCs/>
          <w:sz w:val="24"/>
          <w:szCs w:val="24"/>
          <w:lang w:val="es-CO"/>
        </w:rPr>
        <w:t>Colpensiones</w:t>
      </w:r>
      <w:r w:rsidR="00DC4735" w:rsidRPr="00BC1D34">
        <w:rPr>
          <w:rFonts w:ascii="Tahoma" w:hAnsi="Tahoma" w:cs="Tahoma"/>
          <w:bCs/>
          <w:sz w:val="24"/>
          <w:szCs w:val="24"/>
          <w:lang w:val="es-CO"/>
        </w:rPr>
        <w:t xml:space="preserve"> se opuso a la prosperidad de las pretensiones argumentando que </w:t>
      </w:r>
      <w:r w:rsidR="00B46394" w:rsidRPr="00BC1D34">
        <w:rPr>
          <w:rFonts w:ascii="Tahoma" w:hAnsi="Tahoma" w:cs="Tahoma"/>
          <w:bCs/>
          <w:sz w:val="24"/>
          <w:szCs w:val="24"/>
          <w:lang w:val="es-CO"/>
        </w:rPr>
        <w:t xml:space="preserve">si bien reconoció a la demandante la indemnización sustitutiva de la pensión de sobrevivientes, a través de la Resolución </w:t>
      </w:r>
      <w:proofErr w:type="spellStart"/>
      <w:r w:rsidR="00B46394" w:rsidRPr="00BC1D34">
        <w:rPr>
          <w:rFonts w:ascii="Tahoma" w:hAnsi="Tahoma" w:cs="Tahoma"/>
          <w:bCs/>
          <w:sz w:val="24"/>
          <w:szCs w:val="24"/>
          <w:lang w:val="es-CO"/>
        </w:rPr>
        <w:t>GNR</w:t>
      </w:r>
      <w:proofErr w:type="spellEnd"/>
      <w:r w:rsidR="00B46394" w:rsidRPr="00BC1D34">
        <w:rPr>
          <w:rFonts w:ascii="Tahoma" w:hAnsi="Tahoma" w:cs="Tahoma"/>
          <w:bCs/>
          <w:sz w:val="24"/>
          <w:szCs w:val="24"/>
          <w:lang w:val="es-CO"/>
        </w:rPr>
        <w:t xml:space="preserve"> 378308 del 12 de diciembre de 2016, en la demanda se acepta que el señor </w:t>
      </w:r>
      <w:r w:rsidR="00C3633A" w:rsidRPr="00BC1D34">
        <w:rPr>
          <w:rFonts w:ascii="Tahoma" w:hAnsi="Tahoma" w:cs="Tahoma"/>
          <w:bCs/>
          <w:sz w:val="24"/>
          <w:szCs w:val="24"/>
          <w:lang w:val="es-CO"/>
        </w:rPr>
        <w:t>Ramiro</w:t>
      </w:r>
      <w:r w:rsidR="00B46394" w:rsidRPr="00BC1D34">
        <w:rPr>
          <w:rFonts w:ascii="Tahoma" w:hAnsi="Tahoma" w:cs="Tahoma"/>
          <w:bCs/>
          <w:sz w:val="24"/>
          <w:szCs w:val="24"/>
          <w:lang w:val="es-CO"/>
        </w:rPr>
        <w:t xml:space="preserve"> Soto no acreditó el requisito de 50 semanas de cotización en los 3 años anteriores a su fallecimiento, motivo por el cual no dejó causada la prestación en los términos exigidos por la Ley 797 de 2003</w:t>
      </w:r>
      <w:r w:rsidR="00233D7F" w:rsidRPr="00BC1D34">
        <w:rPr>
          <w:rFonts w:ascii="Tahoma" w:hAnsi="Tahoma" w:cs="Tahoma"/>
          <w:bCs/>
          <w:sz w:val="24"/>
          <w:szCs w:val="24"/>
          <w:lang w:val="es-CO"/>
        </w:rPr>
        <w:t>.</w:t>
      </w:r>
    </w:p>
    <w:p w14:paraId="38E0EECA" w14:textId="77777777" w:rsidR="00233D7F" w:rsidRPr="00BC1D34" w:rsidRDefault="00233D7F" w:rsidP="00BC1D34">
      <w:pPr>
        <w:spacing w:line="276" w:lineRule="auto"/>
        <w:ind w:firstLine="708"/>
        <w:rPr>
          <w:rFonts w:ascii="Tahoma" w:hAnsi="Tahoma" w:cs="Tahoma"/>
          <w:bCs/>
          <w:sz w:val="24"/>
          <w:szCs w:val="24"/>
          <w:lang w:val="es-CO"/>
        </w:rPr>
      </w:pPr>
    </w:p>
    <w:p w14:paraId="2835979F" w14:textId="5BE0B7CF" w:rsidR="00233D7F" w:rsidRPr="00BC1D34" w:rsidRDefault="00233D7F" w:rsidP="00BC1D34">
      <w:pPr>
        <w:spacing w:line="276" w:lineRule="auto"/>
        <w:ind w:firstLine="708"/>
        <w:rPr>
          <w:rFonts w:ascii="Tahoma" w:hAnsi="Tahoma" w:cs="Tahoma"/>
          <w:i/>
          <w:sz w:val="24"/>
          <w:szCs w:val="24"/>
          <w:lang w:val="es-CO"/>
        </w:rPr>
      </w:pPr>
      <w:r w:rsidRPr="00BC1D34">
        <w:rPr>
          <w:rFonts w:ascii="Tahoma" w:hAnsi="Tahoma" w:cs="Tahoma"/>
          <w:bCs/>
          <w:sz w:val="24"/>
          <w:szCs w:val="24"/>
          <w:lang w:val="es-CO"/>
        </w:rPr>
        <w:t xml:space="preserve">Resaltó que el señor </w:t>
      </w:r>
      <w:r w:rsidR="00C3633A" w:rsidRPr="00BC1D34">
        <w:rPr>
          <w:rFonts w:ascii="Tahoma" w:hAnsi="Tahoma" w:cs="Tahoma"/>
          <w:bCs/>
          <w:sz w:val="24"/>
          <w:szCs w:val="24"/>
          <w:lang w:val="es-CO"/>
        </w:rPr>
        <w:t>Ramiro</w:t>
      </w:r>
      <w:r w:rsidR="00DC4735" w:rsidRPr="00BC1D34">
        <w:rPr>
          <w:rFonts w:ascii="Tahoma" w:hAnsi="Tahoma" w:cs="Tahoma"/>
          <w:bCs/>
          <w:sz w:val="24"/>
          <w:szCs w:val="24"/>
          <w:lang w:val="es-CO"/>
        </w:rPr>
        <w:t xml:space="preserve"> </w:t>
      </w:r>
      <w:r w:rsidRPr="00BC1D34">
        <w:rPr>
          <w:rFonts w:ascii="Tahoma" w:hAnsi="Tahoma" w:cs="Tahoma"/>
          <w:bCs/>
          <w:sz w:val="24"/>
          <w:szCs w:val="24"/>
          <w:lang w:val="es-CO"/>
        </w:rPr>
        <w:t xml:space="preserve">Soto </w:t>
      </w:r>
      <w:r w:rsidR="00C3633A" w:rsidRPr="00BC1D34">
        <w:rPr>
          <w:rFonts w:ascii="Tahoma" w:hAnsi="Tahoma" w:cs="Tahoma"/>
          <w:bCs/>
          <w:sz w:val="24"/>
          <w:szCs w:val="24"/>
          <w:lang w:val="es-CO"/>
        </w:rPr>
        <w:t>tampoco</w:t>
      </w:r>
      <w:r w:rsidRPr="00BC1D34">
        <w:rPr>
          <w:rFonts w:ascii="Tahoma" w:hAnsi="Tahoma" w:cs="Tahoma"/>
          <w:bCs/>
          <w:sz w:val="24"/>
          <w:szCs w:val="24"/>
          <w:lang w:val="es-CO"/>
        </w:rPr>
        <w:t xml:space="preserve"> contaba con la </w:t>
      </w:r>
      <w:r w:rsidR="005E313E" w:rsidRPr="00BC1D34">
        <w:rPr>
          <w:rFonts w:ascii="Tahoma" w:hAnsi="Tahoma" w:cs="Tahoma"/>
          <w:bCs/>
          <w:sz w:val="24"/>
          <w:szCs w:val="24"/>
          <w:lang w:val="es-CO"/>
        </w:rPr>
        <w:t xml:space="preserve">densidad de semanas exigida </w:t>
      </w:r>
      <w:r w:rsidR="00F07502" w:rsidRPr="00BC1D34">
        <w:rPr>
          <w:rFonts w:ascii="Tahoma" w:hAnsi="Tahoma" w:cs="Tahoma"/>
          <w:bCs/>
          <w:sz w:val="24"/>
          <w:szCs w:val="24"/>
          <w:lang w:val="es-CO"/>
        </w:rPr>
        <w:t>para acceder a la prestación pretendida en virtud del principio de la condición más beneficiosa</w:t>
      </w:r>
      <w:r w:rsidRPr="00BC1D34">
        <w:rPr>
          <w:rFonts w:ascii="Tahoma" w:hAnsi="Tahoma" w:cs="Tahoma"/>
          <w:sz w:val="24"/>
          <w:szCs w:val="24"/>
          <w:lang w:val="es-CO"/>
        </w:rPr>
        <w:t xml:space="preserve"> y, e</w:t>
      </w:r>
      <w:r w:rsidR="00D578A4" w:rsidRPr="00BC1D34">
        <w:rPr>
          <w:rFonts w:ascii="Tahoma" w:hAnsi="Tahoma" w:cs="Tahoma"/>
          <w:sz w:val="24"/>
          <w:szCs w:val="24"/>
          <w:lang w:val="es-CO"/>
        </w:rPr>
        <w:t>n esa medida</w:t>
      </w:r>
      <w:r w:rsidR="00C1468E" w:rsidRPr="00BC1D34">
        <w:rPr>
          <w:rFonts w:ascii="Tahoma" w:hAnsi="Tahoma" w:cs="Tahoma"/>
          <w:sz w:val="24"/>
          <w:szCs w:val="24"/>
          <w:lang w:val="es-CO"/>
        </w:rPr>
        <w:t>,</w:t>
      </w:r>
      <w:r w:rsidR="00D578A4" w:rsidRPr="00BC1D34">
        <w:rPr>
          <w:rFonts w:ascii="Tahoma" w:hAnsi="Tahoma" w:cs="Tahoma"/>
          <w:sz w:val="24"/>
          <w:szCs w:val="24"/>
          <w:lang w:val="es-CO"/>
        </w:rPr>
        <w:t xml:space="preserve"> se opuso a la prosperidad de las pretensiones</w:t>
      </w:r>
      <w:r w:rsidRPr="00BC1D34">
        <w:rPr>
          <w:rFonts w:ascii="Tahoma" w:hAnsi="Tahoma" w:cs="Tahoma"/>
          <w:sz w:val="24"/>
          <w:szCs w:val="24"/>
          <w:lang w:val="es-CO"/>
        </w:rPr>
        <w:t xml:space="preserve">, invocando </w:t>
      </w:r>
      <w:r w:rsidR="00D578A4" w:rsidRPr="00BC1D34">
        <w:rPr>
          <w:rFonts w:ascii="Tahoma" w:hAnsi="Tahoma" w:cs="Tahoma"/>
          <w:sz w:val="24"/>
          <w:szCs w:val="24"/>
          <w:lang w:val="es-CO"/>
        </w:rPr>
        <w:t xml:space="preserve">como excepciones de mérito las denominadas </w:t>
      </w:r>
      <w:r w:rsidR="00D578A4" w:rsidRPr="00BC1D34">
        <w:rPr>
          <w:rFonts w:ascii="Tahoma" w:hAnsi="Tahoma" w:cs="Tahoma"/>
          <w:i/>
          <w:sz w:val="24"/>
          <w:szCs w:val="24"/>
          <w:lang w:val="es-CO"/>
        </w:rPr>
        <w:t>“</w:t>
      </w:r>
      <w:r w:rsidR="00C1468E" w:rsidRPr="00BC1D34">
        <w:rPr>
          <w:rFonts w:ascii="Tahoma" w:hAnsi="Tahoma" w:cs="Tahoma"/>
          <w:i/>
          <w:sz w:val="24"/>
          <w:szCs w:val="24"/>
          <w:lang w:val="es-CO"/>
        </w:rPr>
        <w:t xml:space="preserve">Inexistencia </w:t>
      </w:r>
      <w:r w:rsidR="00BD7C27" w:rsidRPr="00BC1D34">
        <w:rPr>
          <w:rFonts w:ascii="Tahoma" w:hAnsi="Tahoma" w:cs="Tahoma"/>
          <w:i/>
          <w:sz w:val="24"/>
          <w:szCs w:val="24"/>
          <w:lang w:val="es-CO"/>
        </w:rPr>
        <w:t>de la obligación</w:t>
      </w:r>
      <w:r w:rsidRPr="00BC1D34">
        <w:rPr>
          <w:rFonts w:ascii="Tahoma" w:hAnsi="Tahoma" w:cs="Tahoma"/>
          <w:i/>
          <w:sz w:val="24"/>
          <w:szCs w:val="24"/>
          <w:lang w:val="es-CO"/>
        </w:rPr>
        <w:t xml:space="preserve">”; “Compensación”; </w:t>
      </w:r>
      <w:r w:rsidR="00BD7C27" w:rsidRPr="00BC1D34">
        <w:rPr>
          <w:rFonts w:ascii="Tahoma" w:hAnsi="Tahoma" w:cs="Tahoma"/>
          <w:i/>
          <w:sz w:val="24"/>
          <w:szCs w:val="24"/>
          <w:lang w:val="es-CO"/>
        </w:rPr>
        <w:t xml:space="preserve">“Imposibilidad jurídica para </w:t>
      </w:r>
      <w:r w:rsidRPr="00BC1D34">
        <w:rPr>
          <w:rFonts w:ascii="Tahoma" w:hAnsi="Tahoma" w:cs="Tahoma"/>
          <w:i/>
          <w:sz w:val="24"/>
          <w:szCs w:val="24"/>
          <w:lang w:val="es-CO"/>
        </w:rPr>
        <w:t>reconocer y pagar derechos por fuera del ordenamiento legal”; “Buena fe” e “Imposibilidad de condena en costas”.</w:t>
      </w:r>
    </w:p>
    <w:p w14:paraId="2B06793E" w14:textId="77777777" w:rsidR="00DF65ED" w:rsidRPr="00BC1D34" w:rsidRDefault="00DF65ED" w:rsidP="00BC1D34">
      <w:pPr>
        <w:spacing w:line="276" w:lineRule="auto"/>
        <w:ind w:firstLine="0"/>
        <w:rPr>
          <w:rFonts w:ascii="Tahoma" w:hAnsi="Tahoma" w:cs="Tahoma"/>
          <w:sz w:val="24"/>
          <w:szCs w:val="24"/>
          <w:lang w:val="es-CO"/>
        </w:rPr>
      </w:pPr>
    </w:p>
    <w:p w14:paraId="32660821" w14:textId="5B5451E5" w:rsidR="00DF65ED" w:rsidRPr="00BC1D34" w:rsidRDefault="00C56687" w:rsidP="00BC1D34">
      <w:pPr>
        <w:pStyle w:val="Prrafodelista"/>
        <w:numPr>
          <w:ilvl w:val="0"/>
          <w:numId w:val="6"/>
        </w:numPr>
        <w:spacing w:line="276" w:lineRule="auto"/>
        <w:jc w:val="center"/>
        <w:rPr>
          <w:rFonts w:ascii="Tahoma" w:hAnsi="Tahoma" w:cs="Tahoma"/>
          <w:b/>
          <w:lang w:val="es-CO"/>
        </w:rPr>
      </w:pPr>
      <w:r w:rsidRPr="00BC1D34">
        <w:rPr>
          <w:rFonts w:ascii="Tahoma" w:hAnsi="Tahoma" w:cs="Tahoma"/>
          <w:b/>
          <w:lang w:val="es-CO"/>
        </w:rPr>
        <w:t>SENTENCIA</w:t>
      </w:r>
    </w:p>
    <w:p w14:paraId="0F52B435" w14:textId="77777777" w:rsidR="00DF65ED" w:rsidRPr="00BC1D34" w:rsidRDefault="00DF65ED" w:rsidP="00BC1D34">
      <w:pPr>
        <w:spacing w:line="276" w:lineRule="auto"/>
        <w:ind w:firstLine="0"/>
        <w:jc w:val="center"/>
        <w:rPr>
          <w:rFonts w:ascii="Tahoma" w:hAnsi="Tahoma" w:cs="Tahoma"/>
          <w:b/>
          <w:sz w:val="24"/>
          <w:szCs w:val="24"/>
          <w:lang w:val="es-CO"/>
        </w:rPr>
      </w:pPr>
    </w:p>
    <w:p w14:paraId="72D7FD0A" w14:textId="77777777" w:rsidR="00A77F22" w:rsidRPr="00BC1D34" w:rsidRDefault="00D578A4" w:rsidP="00BC1D34">
      <w:pPr>
        <w:spacing w:line="276" w:lineRule="auto"/>
        <w:ind w:firstLine="708"/>
        <w:rPr>
          <w:rFonts w:ascii="Tahoma" w:hAnsi="Tahoma" w:cs="Tahoma"/>
          <w:sz w:val="24"/>
          <w:szCs w:val="24"/>
          <w:lang w:val="es-CO"/>
        </w:rPr>
      </w:pPr>
      <w:r w:rsidRPr="00BC1D34">
        <w:rPr>
          <w:rFonts w:ascii="Tahoma" w:hAnsi="Tahoma" w:cs="Tahoma"/>
          <w:sz w:val="24"/>
          <w:szCs w:val="24"/>
          <w:lang w:val="es-CO"/>
        </w:rPr>
        <w:t xml:space="preserve">La </w:t>
      </w:r>
      <w:r w:rsidR="00A77F22" w:rsidRPr="00BC1D34">
        <w:rPr>
          <w:rFonts w:ascii="Tahoma" w:hAnsi="Tahoma" w:cs="Tahoma"/>
          <w:sz w:val="24"/>
          <w:szCs w:val="24"/>
          <w:lang w:val="es-CO"/>
        </w:rPr>
        <w:t xml:space="preserve">Jueza de conocimiento absolvió a la Administradora Colombiana de Pensiones de las pretensiones incoadas por la señora Dolly </w:t>
      </w:r>
      <w:r w:rsidR="00233D7F" w:rsidRPr="00BC1D34">
        <w:rPr>
          <w:rFonts w:ascii="Tahoma" w:hAnsi="Tahoma" w:cs="Tahoma"/>
          <w:sz w:val="24"/>
          <w:szCs w:val="24"/>
          <w:lang w:val="es-CO"/>
        </w:rPr>
        <w:t>Rosa Parra</w:t>
      </w:r>
      <w:r w:rsidR="00A77F22" w:rsidRPr="00BC1D34">
        <w:rPr>
          <w:rFonts w:ascii="Tahoma" w:hAnsi="Tahoma" w:cs="Tahoma"/>
          <w:sz w:val="24"/>
          <w:szCs w:val="24"/>
          <w:lang w:val="es-CO"/>
        </w:rPr>
        <w:t>, a quien condenó al pago de las costas procesales.</w:t>
      </w:r>
    </w:p>
    <w:p w14:paraId="631353C7" w14:textId="77777777" w:rsidR="00000E38" w:rsidRPr="00BC1D34" w:rsidRDefault="00000E38" w:rsidP="00BC1D34">
      <w:pPr>
        <w:spacing w:line="276" w:lineRule="auto"/>
        <w:ind w:firstLine="0"/>
        <w:rPr>
          <w:rFonts w:ascii="Tahoma" w:hAnsi="Tahoma" w:cs="Tahoma"/>
          <w:sz w:val="24"/>
          <w:szCs w:val="24"/>
          <w:lang w:val="es-CO"/>
        </w:rPr>
      </w:pPr>
    </w:p>
    <w:p w14:paraId="7781EFE7" w14:textId="4D2C989F" w:rsidR="00A77F22" w:rsidRPr="00BC1D34" w:rsidRDefault="00D578A4" w:rsidP="00BC1D34">
      <w:pPr>
        <w:spacing w:line="276" w:lineRule="auto"/>
        <w:ind w:firstLine="708"/>
        <w:rPr>
          <w:rFonts w:ascii="Tahoma" w:hAnsi="Tahoma" w:cs="Tahoma"/>
          <w:sz w:val="24"/>
          <w:szCs w:val="24"/>
          <w:lang w:val="es-CO"/>
        </w:rPr>
      </w:pPr>
      <w:r w:rsidRPr="00BC1D34">
        <w:rPr>
          <w:rFonts w:ascii="Tahoma" w:hAnsi="Tahoma" w:cs="Tahoma"/>
          <w:sz w:val="24"/>
          <w:szCs w:val="24"/>
          <w:lang w:val="es-CO"/>
        </w:rPr>
        <w:t xml:space="preserve"> Para llegar a tal determinación la A-quo </w:t>
      </w:r>
      <w:r w:rsidR="00220578" w:rsidRPr="00BC1D34">
        <w:rPr>
          <w:rFonts w:ascii="Tahoma" w:hAnsi="Tahoma" w:cs="Tahoma"/>
          <w:sz w:val="24"/>
          <w:szCs w:val="24"/>
          <w:lang w:val="es-CO"/>
        </w:rPr>
        <w:t>manifestó</w:t>
      </w:r>
      <w:r w:rsidR="00A77F22" w:rsidRPr="00BC1D34">
        <w:rPr>
          <w:rFonts w:ascii="Tahoma" w:hAnsi="Tahoma" w:cs="Tahoma"/>
          <w:sz w:val="24"/>
          <w:szCs w:val="24"/>
          <w:lang w:val="es-CO"/>
        </w:rPr>
        <w:t xml:space="preserve"> que </w:t>
      </w:r>
      <w:r w:rsidR="00220578" w:rsidRPr="00BC1D34">
        <w:rPr>
          <w:rFonts w:ascii="Tahoma" w:hAnsi="Tahoma" w:cs="Tahoma"/>
          <w:sz w:val="24"/>
          <w:szCs w:val="24"/>
          <w:lang w:val="es-CO"/>
        </w:rPr>
        <w:t>de la historia laboral del</w:t>
      </w:r>
      <w:r w:rsidR="00233D7F" w:rsidRPr="00BC1D34">
        <w:rPr>
          <w:rFonts w:ascii="Tahoma" w:hAnsi="Tahoma" w:cs="Tahoma"/>
          <w:sz w:val="24"/>
          <w:szCs w:val="24"/>
          <w:lang w:val="es-CO"/>
        </w:rPr>
        <w:t xml:space="preserve"> señor </w:t>
      </w:r>
      <w:r w:rsidR="00C3633A" w:rsidRPr="00BC1D34">
        <w:rPr>
          <w:rFonts w:ascii="Tahoma" w:hAnsi="Tahoma" w:cs="Tahoma"/>
          <w:sz w:val="24"/>
          <w:szCs w:val="24"/>
          <w:lang w:val="es-CO"/>
        </w:rPr>
        <w:t>Ramiro</w:t>
      </w:r>
      <w:r w:rsidR="00233D7F" w:rsidRPr="00BC1D34">
        <w:rPr>
          <w:rFonts w:ascii="Tahoma" w:hAnsi="Tahoma" w:cs="Tahoma"/>
          <w:sz w:val="24"/>
          <w:szCs w:val="24"/>
          <w:lang w:val="es-CO"/>
        </w:rPr>
        <w:t xml:space="preserve"> Soto </w:t>
      </w:r>
      <w:r w:rsidR="00C3633A" w:rsidRPr="00BC1D34">
        <w:rPr>
          <w:rFonts w:ascii="Tahoma" w:hAnsi="Tahoma" w:cs="Tahoma"/>
          <w:sz w:val="24"/>
          <w:szCs w:val="24"/>
          <w:lang w:val="es-CO"/>
        </w:rPr>
        <w:t>Gálvez</w:t>
      </w:r>
      <w:r w:rsidR="00233D7F" w:rsidRPr="00BC1D34">
        <w:rPr>
          <w:rFonts w:ascii="Tahoma" w:hAnsi="Tahoma" w:cs="Tahoma"/>
          <w:sz w:val="24"/>
          <w:szCs w:val="24"/>
          <w:lang w:val="es-CO"/>
        </w:rPr>
        <w:t xml:space="preserve"> e</w:t>
      </w:r>
      <w:r w:rsidR="00220578" w:rsidRPr="00BC1D34">
        <w:rPr>
          <w:rFonts w:ascii="Tahoma" w:hAnsi="Tahoma" w:cs="Tahoma"/>
          <w:sz w:val="24"/>
          <w:szCs w:val="24"/>
          <w:lang w:val="es-CO"/>
        </w:rPr>
        <w:t xml:space="preserve">ra factible concluir que </w:t>
      </w:r>
      <w:r w:rsidR="00233D7F" w:rsidRPr="00BC1D34">
        <w:rPr>
          <w:rFonts w:ascii="Tahoma" w:hAnsi="Tahoma" w:cs="Tahoma"/>
          <w:sz w:val="24"/>
          <w:szCs w:val="24"/>
          <w:lang w:val="es-CO"/>
        </w:rPr>
        <w:t>él</w:t>
      </w:r>
      <w:r w:rsidR="00220578" w:rsidRPr="00BC1D34">
        <w:rPr>
          <w:rFonts w:ascii="Tahoma" w:hAnsi="Tahoma" w:cs="Tahoma"/>
          <w:sz w:val="24"/>
          <w:szCs w:val="24"/>
          <w:lang w:val="es-CO"/>
        </w:rPr>
        <w:t xml:space="preserve"> no acredita</w:t>
      </w:r>
      <w:r w:rsidR="00AE4C60" w:rsidRPr="00BC1D34">
        <w:rPr>
          <w:rFonts w:ascii="Tahoma" w:hAnsi="Tahoma" w:cs="Tahoma"/>
          <w:sz w:val="24"/>
          <w:szCs w:val="24"/>
          <w:lang w:val="es-CO"/>
        </w:rPr>
        <w:t>ba</w:t>
      </w:r>
      <w:r w:rsidR="00220578" w:rsidRPr="00BC1D34">
        <w:rPr>
          <w:rFonts w:ascii="Tahoma" w:hAnsi="Tahoma" w:cs="Tahoma"/>
          <w:sz w:val="24"/>
          <w:szCs w:val="24"/>
          <w:lang w:val="es-CO"/>
        </w:rPr>
        <w:t xml:space="preserve"> las 50 semanas exigidas por la Ley </w:t>
      </w:r>
      <w:r w:rsidR="00233D7F" w:rsidRPr="00BC1D34">
        <w:rPr>
          <w:rFonts w:ascii="Tahoma" w:hAnsi="Tahoma" w:cs="Tahoma"/>
          <w:sz w:val="24"/>
          <w:szCs w:val="24"/>
          <w:lang w:val="es-CO"/>
        </w:rPr>
        <w:t>797</w:t>
      </w:r>
      <w:r w:rsidR="00220578" w:rsidRPr="00BC1D34">
        <w:rPr>
          <w:rFonts w:ascii="Tahoma" w:hAnsi="Tahoma" w:cs="Tahoma"/>
          <w:sz w:val="24"/>
          <w:szCs w:val="24"/>
          <w:lang w:val="es-CO"/>
        </w:rPr>
        <w:t xml:space="preserve"> de 2003 en los tres años anteriores al momento de </w:t>
      </w:r>
      <w:r w:rsidR="00233D7F" w:rsidRPr="00BC1D34">
        <w:rPr>
          <w:rFonts w:ascii="Tahoma" w:hAnsi="Tahoma" w:cs="Tahoma"/>
          <w:sz w:val="24"/>
          <w:szCs w:val="24"/>
          <w:lang w:val="es-CO"/>
        </w:rPr>
        <w:t>su deceso</w:t>
      </w:r>
      <w:r w:rsidR="00220578" w:rsidRPr="00BC1D34">
        <w:rPr>
          <w:rFonts w:ascii="Tahoma" w:hAnsi="Tahoma" w:cs="Tahoma"/>
          <w:sz w:val="24"/>
          <w:szCs w:val="24"/>
          <w:lang w:val="es-CO"/>
        </w:rPr>
        <w:t>.</w:t>
      </w:r>
    </w:p>
    <w:p w14:paraId="4EDD5F5D" w14:textId="77777777" w:rsidR="00220578" w:rsidRPr="00BC1D34" w:rsidRDefault="00220578" w:rsidP="00BC1D34">
      <w:pPr>
        <w:spacing w:line="276" w:lineRule="auto"/>
        <w:ind w:firstLine="708"/>
        <w:rPr>
          <w:rFonts w:ascii="Tahoma" w:hAnsi="Tahoma" w:cs="Tahoma"/>
          <w:sz w:val="24"/>
          <w:szCs w:val="24"/>
          <w:lang w:val="es-CO"/>
        </w:rPr>
      </w:pPr>
    </w:p>
    <w:p w14:paraId="1DA042BC" w14:textId="24D61F33" w:rsidR="00220578" w:rsidRPr="00BC1D34" w:rsidRDefault="00220578" w:rsidP="00BC1D34">
      <w:pPr>
        <w:spacing w:line="276" w:lineRule="auto"/>
        <w:ind w:firstLine="708"/>
        <w:rPr>
          <w:rFonts w:ascii="Tahoma" w:hAnsi="Tahoma" w:cs="Tahoma"/>
          <w:sz w:val="24"/>
          <w:szCs w:val="24"/>
          <w:lang w:val="es-CO"/>
        </w:rPr>
      </w:pPr>
      <w:r w:rsidRPr="00BC1D34">
        <w:rPr>
          <w:rFonts w:ascii="Tahoma" w:hAnsi="Tahoma" w:cs="Tahoma"/>
          <w:sz w:val="24"/>
          <w:szCs w:val="24"/>
          <w:lang w:val="es-CO"/>
        </w:rPr>
        <w:t>Por otra parte, frente a la aplicación de la condición más beneficiosa, refirió que de conformidad con el precedente de la Corte Suprema de Justi</w:t>
      </w:r>
      <w:r w:rsidR="00C3633A">
        <w:rPr>
          <w:rFonts w:ascii="Tahoma" w:hAnsi="Tahoma" w:cs="Tahoma"/>
          <w:sz w:val="24"/>
          <w:szCs w:val="24"/>
          <w:lang w:val="es-CO"/>
        </w:rPr>
        <w:t>cia</w:t>
      </w:r>
      <w:r w:rsidR="00194E99" w:rsidRPr="00BC1D34">
        <w:rPr>
          <w:rFonts w:ascii="Tahoma" w:hAnsi="Tahoma" w:cs="Tahoma"/>
          <w:sz w:val="24"/>
          <w:szCs w:val="24"/>
          <w:lang w:val="es-CO"/>
        </w:rPr>
        <w:t>, el cual venía siendo aplicado por este Tribunal,</w:t>
      </w:r>
      <w:r w:rsidRPr="00BC1D34">
        <w:rPr>
          <w:rFonts w:ascii="Tahoma" w:hAnsi="Tahoma" w:cs="Tahoma"/>
          <w:sz w:val="24"/>
          <w:szCs w:val="24"/>
          <w:lang w:val="es-CO"/>
        </w:rPr>
        <w:t xml:space="preserve"> no era posible acudir a dicho </w:t>
      </w:r>
      <w:r w:rsidR="00C3633A" w:rsidRPr="00BC1D34">
        <w:rPr>
          <w:rFonts w:ascii="Tahoma" w:hAnsi="Tahoma" w:cs="Tahoma"/>
          <w:sz w:val="24"/>
          <w:szCs w:val="24"/>
          <w:lang w:val="es-CO"/>
        </w:rPr>
        <w:t>principio</w:t>
      </w:r>
      <w:r w:rsidRPr="00BC1D34">
        <w:rPr>
          <w:rFonts w:ascii="Tahoma" w:hAnsi="Tahoma" w:cs="Tahoma"/>
          <w:sz w:val="24"/>
          <w:szCs w:val="24"/>
          <w:lang w:val="es-CO"/>
        </w:rPr>
        <w:t xml:space="preserve"> por cuanto</w:t>
      </w:r>
      <w:r w:rsidR="00233D7F" w:rsidRPr="00BC1D34">
        <w:rPr>
          <w:rFonts w:ascii="Tahoma" w:hAnsi="Tahoma" w:cs="Tahoma"/>
          <w:sz w:val="24"/>
          <w:szCs w:val="24"/>
          <w:lang w:val="es-CO"/>
        </w:rPr>
        <w:t xml:space="preserve">, si bien el óbito se dio en el año 2004, el causante no acreditaba </w:t>
      </w:r>
      <w:r w:rsidR="000D78D4" w:rsidRPr="00BC1D34">
        <w:rPr>
          <w:rFonts w:ascii="Tahoma" w:hAnsi="Tahoma" w:cs="Tahoma"/>
          <w:sz w:val="24"/>
          <w:szCs w:val="24"/>
          <w:lang w:val="es-CO"/>
        </w:rPr>
        <w:t xml:space="preserve">las 26 </w:t>
      </w:r>
      <w:r w:rsidR="00233D7F" w:rsidRPr="00BC1D34">
        <w:rPr>
          <w:rFonts w:ascii="Tahoma" w:hAnsi="Tahoma" w:cs="Tahoma"/>
          <w:sz w:val="24"/>
          <w:szCs w:val="24"/>
          <w:lang w:val="es-CO"/>
        </w:rPr>
        <w:t>semana</w:t>
      </w:r>
      <w:r w:rsidR="000D78D4" w:rsidRPr="00BC1D34">
        <w:rPr>
          <w:rFonts w:ascii="Tahoma" w:hAnsi="Tahoma" w:cs="Tahoma"/>
          <w:sz w:val="24"/>
          <w:szCs w:val="24"/>
          <w:lang w:val="es-CO"/>
        </w:rPr>
        <w:t>s</w:t>
      </w:r>
      <w:r w:rsidR="00233D7F" w:rsidRPr="00BC1D34">
        <w:rPr>
          <w:rFonts w:ascii="Tahoma" w:hAnsi="Tahoma" w:cs="Tahoma"/>
          <w:sz w:val="24"/>
          <w:szCs w:val="24"/>
          <w:lang w:val="es-CO"/>
        </w:rPr>
        <w:t xml:space="preserve"> </w:t>
      </w:r>
      <w:r w:rsidR="000D78D4" w:rsidRPr="00BC1D34">
        <w:rPr>
          <w:rFonts w:ascii="Tahoma" w:hAnsi="Tahoma" w:cs="Tahoma"/>
          <w:sz w:val="24"/>
          <w:szCs w:val="24"/>
          <w:lang w:val="es-CO"/>
        </w:rPr>
        <w:t>exigidas en el texto original de la Ley 100 de 1993</w:t>
      </w:r>
      <w:r w:rsidR="00233D7F" w:rsidRPr="00BC1D34">
        <w:rPr>
          <w:rFonts w:ascii="Tahoma" w:hAnsi="Tahoma" w:cs="Tahoma"/>
          <w:sz w:val="24"/>
          <w:szCs w:val="24"/>
          <w:lang w:val="es-CO"/>
        </w:rPr>
        <w:t xml:space="preserve"> en el año anterior a la entrada en vigencia de la Ley 797 de 2003</w:t>
      </w:r>
      <w:r w:rsidR="000D78D4" w:rsidRPr="00BC1D34">
        <w:rPr>
          <w:rFonts w:ascii="Tahoma" w:hAnsi="Tahoma" w:cs="Tahoma"/>
          <w:sz w:val="24"/>
          <w:szCs w:val="24"/>
          <w:lang w:val="es-CO"/>
        </w:rPr>
        <w:t>,</w:t>
      </w:r>
      <w:r w:rsidR="00233D7F" w:rsidRPr="00BC1D34">
        <w:rPr>
          <w:rFonts w:ascii="Tahoma" w:hAnsi="Tahoma" w:cs="Tahoma"/>
          <w:sz w:val="24"/>
          <w:szCs w:val="24"/>
          <w:lang w:val="es-CO"/>
        </w:rPr>
        <w:t xml:space="preserve"> ni la misma cantidad en el año anterior a su deceso.</w:t>
      </w:r>
    </w:p>
    <w:p w14:paraId="282CF8DF" w14:textId="77777777" w:rsidR="00D578A4" w:rsidRPr="00BC1D34" w:rsidRDefault="00D578A4" w:rsidP="00BC1D34">
      <w:pPr>
        <w:spacing w:line="276" w:lineRule="auto"/>
        <w:ind w:firstLine="0"/>
        <w:rPr>
          <w:rFonts w:ascii="Tahoma" w:hAnsi="Tahoma" w:cs="Tahoma"/>
          <w:sz w:val="24"/>
          <w:szCs w:val="24"/>
          <w:lang w:val="es-CO"/>
        </w:rPr>
      </w:pPr>
    </w:p>
    <w:p w14:paraId="60543CEE" w14:textId="7BDB6A71" w:rsidR="00DF65ED" w:rsidRPr="00BC1D34" w:rsidRDefault="00C56687" w:rsidP="00BC1D34">
      <w:pPr>
        <w:pStyle w:val="Prrafodelista"/>
        <w:numPr>
          <w:ilvl w:val="0"/>
          <w:numId w:val="6"/>
        </w:numPr>
        <w:spacing w:line="276" w:lineRule="auto"/>
        <w:jc w:val="center"/>
        <w:rPr>
          <w:rFonts w:ascii="Tahoma" w:hAnsi="Tahoma" w:cs="Tahoma"/>
          <w:b/>
          <w:lang w:val="es-CO"/>
        </w:rPr>
      </w:pPr>
      <w:r w:rsidRPr="00BC1D34">
        <w:rPr>
          <w:rFonts w:ascii="Tahoma" w:hAnsi="Tahoma" w:cs="Tahoma"/>
          <w:b/>
          <w:lang w:val="es-CO"/>
        </w:rPr>
        <w:lastRenderedPageBreak/>
        <w:t>PROCEDENCIA DE LA CONSULTA</w:t>
      </w:r>
    </w:p>
    <w:p w14:paraId="1AB25FF6" w14:textId="77777777" w:rsidR="00DF65ED" w:rsidRPr="00BC1D34" w:rsidRDefault="00DF65ED" w:rsidP="00BC1D34">
      <w:pPr>
        <w:spacing w:line="276" w:lineRule="auto"/>
        <w:ind w:firstLine="708"/>
        <w:rPr>
          <w:rFonts w:ascii="Tahoma" w:hAnsi="Tahoma" w:cs="Tahoma"/>
          <w:sz w:val="24"/>
          <w:szCs w:val="24"/>
          <w:lang w:val="es-CO"/>
        </w:rPr>
      </w:pPr>
    </w:p>
    <w:p w14:paraId="4818309D" w14:textId="77777777" w:rsidR="00C21407" w:rsidRPr="00BC1D34" w:rsidRDefault="00233D7F" w:rsidP="00BC1D34">
      <w:pPr>
        <w:spacing w:line="276" w:lineRule="auto"/>
        <w:ind w:firstLine="708"/>
        <w:rPr>
          <w:rFonts w:ascii="Tahoma" w:hAnsi="Tahoma" w:cs="Tahoma"/>
          <w:sz w:val="24"/>
          <w:szCs w:val="24"/>
          <w:lang w:val="es-CO"/>
        </w:rPr>
      </w:pPr>
      <w:r w:rsidRPr="00BC1D34">
        <w:rPr>
          <w:rFonts w:ascii="Tahoma" w:hAnsi="Tahoma" w:cs="Tahoma"/>
          <w:sz w:val="24"/>
          <w:szCs w:val="24"/>
          <w:lang w:val="es-CO"/>
        </w:rPr>
        <w:t xml:space="preserve">Al </w:t>
      </w:r>
      <w:r w:rsidR="000D78D4" w:rsidRPr="00BC1D34">
        <w:rPr>
          <w:rFonts w:ascii="Tahoma" w:hAnsi="Tahoma" w:cs="Tahoma"/>
          <w:sz w:val="24"/>
          <w:szCs w:val="24"/>
          <w:lang w:val="es-CO"/>
        </w:rPr>
        <w:t xml:space="preserve">no </w:t>
      </w:r>
      <w:r w:rsidRPr="00BC1D34">
        <w:rPr>
          <w:rFonts w:ascii="Tahoma" w:hAnsi="Tahoma" w:cs="Tahoma"/>
          <w:sz w:val="24"/>
          <w:szCs w:val="24"/>
          <w:lang w:val="es-CO"/>
        </w:rPr>
        <w:t xml:space="preserve">haber sido </w:t>
      </w:r>
      <w:r w:rsidR="000D78D4" w:rsidRPr="00BC1D34">
        <w:rPr>
          <w:rFonts w:ascii="Tahoma" w:hAnsi="Tahoma" w:cs="Tahoma"/>
          <w:sz w:val="24"/>
          <w:szCs w:val="24"/>
          <w:lang w:val="es-CO"/>
        </w:rPr>
        <w:t xml:space="preserve">apelada la decisión que fuera </w:t>
      </w:r>
      <w:r w:rsidRPr="00BC1D34">
        <w:rPr>
          <w:rFonts w:ascii="Tahoma" w:hAnsi="Tahoma" w:cs="Tahoma"/>
          <w:sz w:val="24"/>
          <w:szCs w:val="24"/>
          <w:lang w:val="es-CO"/>
        </w:rPr>
        <w:t xml:space="preserve">desfavorable </w:t>
      </w:r>
      <w:r w:rsidR="000D78D4" w:rsidRPr="00BC1D34">
        <w:rPr>
          <w:rFonts w:ascii="Tahoma" w:hAnsi="Tahoma" w:cs="Tahoma"/>
          <w:sz w:val="24"/>
          <w:szCs w:val="24"/>
          <w:lang w:val="es-CO"/>
        </w:rPr>
        <w:t>para la demandante</w:t>
      </w:r>
      <w:r w:rsidRPr="00BC1D34">
        <w:rPr>
          <w:rFonts w:ascii="Tahoma" w:hAnsi="Tahoma" w:cs="Tahoma"/>
          <w:sz w:val="24"/>
          <w:szCs w:val="24"/>
          <w:lang w:val="es-CO"/>
        </w:rPr>
        <w:t>, se dispuso el grado jurisdiccional de consulta</w:t>
      </w:r>
      <w:r w:rsidR="000D78D4" w:rsidRPr="00BC1D34">
        <w:rPr>
          <w:rFonts w:ascii="Tahoma" w:hAnsi="Tahoma" w:cs="Tahoma"/>
          <w:sz w:val="24"/>
          <w:szCs w:val="24"/>
          <w:lang w:val="es-CO"/>
        </w:rPr>
        <w:t>.</w:t>
      </w:r>
    </w:p>
    <w:p w14:paraId="630DE57A" w14:textId="77777777" w:rsidR="00D81505" w:rsidRPr="00BC1D34" w:rsidRDefault="00D81505" w:rsidP="00BC1D34">
      <w:pPr>
        <w:spacing w:line="276" w:lineRule="auto"/>
        <w:ind w:firstLine="0"/>
        <w:rPr>
          <w:rFonts w:ascii="Tahoma" w:hAnsi="Tahoma" w:cs="Tahoma"/>
          <w:sz w:val="24"/>
          <w:szCs w:val="24"/>
          <w:lang w:val="es-CO"/>
        </w:rPr>
      </w:pPr>
    </w:p>
    <w:p w14:paraId="27296F7C" w14:textId="5D7B03B9" w:rsidR="000112AB" w:rsidRPr="00BC1D34" w:rsidRDefault="00C56687" w:rsidP="00BC1D34">
      <w:pPr>
        <w:pStyle w:val="Prrafodelista"/>
        <w:widowControl w:val="0"/>
        <w:numPr>
          <w:ilvl w:val="0"/>
          <w:numId w:val="6"/>
        </w:numPr>
        <w:autoSpaceDE w:val="0"/>
        <w:autoSpaceDN w:val="0"/>
        <w:adjustRightInd w:val="0"/>
        <w:spacing w:line="276" w:lineRule="auto"/>
        <w:jc w:val="center"/>
        <w:rPr>
          <w:rFonts w:ascii="Tahoma" w:hAnsi="Tahoma" w:cs="Tahoma"/>
          <w:b/>
          <w:caps/>
        </w:rPr>
      </w:pPr>
      <w:r w:rsidRPr="00BC1D34">
        <w:rPr>
          <w:rFonts w:ascii="Tahoma" w:hAnsi="Tahoma" w:cs="Tahoma"/>
          <w:b/>
        </w:rPr>
        <w:t>ALEGATOS DE CONCLUSIÓN</w:t>
      </w:r>
    </w:p>
    <w:p w14:paraId="7BA6ACAE" w14:textId="77777777" w:rsidR="000112AB" w:rsidRPr="00BC1D34" w:rsidRDefault="000112AB" w:rsidP="00BC1D34">
      <w:pPr>
        <w:widowControl w:val="0"/>
        <w:autoSpaceDE w:val="0"/>
        <w:autoSpaceDN w:val="0"/>
        <w:adjustRightInd w:val="0"/>
        <w:spacing w:line="276" w:lineRule="auto"/>
        <w:rPr>
          <w:rFonts w:ascii="Tahoma" w:hAnsi="Tahoma" w:cs="Tahoma"/>
          <w:sz w:val="24"/>
          <w:szCs w:val="24"/>
        </w:rPr>
      </w:pPr>
    </w:p>
    <w:p w14:paraId="443B77BC" w14:textId="77777777" w:rsidR="000112AB" w:rsidRPr="00BC1D34" w:rsidRDefault="000112AB" w:rsidP="00BC1D34">
      <w:pPr>
        <w:spacing w:line="276" w:lineRule="auto"/>
        <w:ind w:firstLine="708"/>
        <w:rPr>
          <w:rFonts w:ascii="Tahoma" w:hAnsi="Tahoma" w:cs="Tahoma"/>
          <w:sz w:val="24"/>
          <w:szCs w:val="24"/>
          <w:lang w:val="es-ES_tradnl"/>
        </w:rPr>
      </w:pPr>
      <w:r w:rsidRPr="00BC1D34">
        <w:rPr>
          <w:rFonts w:ascii="Tahoma" w:hAnsi="Tahoma" w:cs="Tahoma"/>
          <w:sz w:val="24"/>
          <w:szCs w:val="24"/>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14:paraId="6FAEFD8D" w14:textId="32D94BD3" w:rsidR="000F54ED" w:rsidRPr="00BC1D34" w:rsidRDefault="000F54ED" w:rsidP="00BC1D34">
      <w:pPr>
        <w:spacing w:line="276" w:lineRule="auto"/>
        <w:ind w:firstLine="708"/>
        <w:rPr>
          <w:rFonts w:ascii="Tahoma" w:hAnsi="Tahoma" w:cs="Tahoma"/>
          <w:sz w:val="24"/>
          <w:szCs w:val="24"/>
          <w:lang w:val="es-ES_tradnl"/>
        </w:rPr>
      </w:pPr>
    </w:p>
    <w:p w14:paraId="08A1662C" w14:textId="07D2CB42" w:rsidR="000F54ED" w:rsidRPr="00BC1D34" w:rsidRDefault="000F54ED" w:rsidP="00BC1D34">
      <w:pPr>
        <w:spacing w:line="276" w:lineRule="auto"/>
        <w:ind w:firstLine="708"/>
        <w:rPr>
          <w:rFonts w:ascii="Tahoma" w:hAnsi="Tahoma" w:cs="Tahoma"/>
          <w:sz w:val="24"/>
          <w:szCs w:val="24"/>
          <w:lang w:val="es-ES_tradnl"/>
        </w:rPr>
      </w:pPr>
      <w:r w:rsidRPr="00BC1D34">
        <w:rPr>
          <w:rFonts w:ascii="Tahoma" w:hAnsi="Tahoma" w:cs="Tahoma"/>
          <w:sz w:val="24"/>
          <w:szCs w:val="24"/>
        </w:rPr>
        <w:t>Como todos han expresado sus alegatos de conclusión y el concepto del Ministerio Público, en este momento les ruego desactivar sus videos y micrófonos. Gracias.</w:t>
      </w:r>
    </w:p>
    <w:p w14:paraId="386D501F" w14:textId="77777777" w:rsidR="000112AB" w:rsidRPr="00BC1D34" w:rsidRDefault="000112AB" w:rsidP="00BC1D34">
      <w:pPr>
        <w:spacing w:line="276" w:lineRule="auto"/>
        <w:ind w:firstLine="708"/>
        <w:rPr>
          <w:rFonts w:ascii="Tahoma" w:hAnsi="Tahoma" w:cs="Tahoma"/>
          <w:sz w:val="24"/>
          <w:szCs w:val="24"/>
          <w:lang w:val="es-CO"/>
        </w:rPr>
      </w:pPr>
    </w:p>
    <w:p w14:paraId="40470672" w14:textId="77777777" w:rsidR="008C0A20" w:rsidRPr="00BC1D34" w:rsidRDefault="008C0A20" w:rsidP="00BC1D34">
      <w:pPr>
        <w:shd w:val="clear" w:color="auto" w:fill="FFFFFF"/>
        <w:tabs>
          <w:tab w:val="left" w:pos="5197"/>
        </w:tabs>
        <w:spacing w:line="276" w:lineRule="auto"/>
        <w:ind w:firstLine="0"/>
        <w:jc w:val="center"/>
        <w:rPr>
          <w:rFonts w:ascii="Tahoma" w:hAnsi="Tahoma" w:cs="Tahoma"/>
          <w:b/>
          <w:color w:val="000000" w:themeColor="text1"/>
          <w:sz w:val="24"/>
          <w:szCs w:val="24"/>
          <w:lang w:eastAsia="es-CO"/>
        </w:rPr>
      </w:pPr>
      <w:r w:rsidRPr="00BC1D34">
        <w:rPr>
          <w:rFonts w:ascii="Tahoma" w:hAnsi="Tahoma" w:cs="Tahoma"/>
          <w:b/>
          <w:color w:val="000000" w:themeColor="text1"/>
          <w:sz w:val="24"/>
          <w:szCs w:val="24"/>
          <w:lang w:eastAsia="es-CO"/>
        </w:rPr>
        <w:t>RECESO</w:t>
      </w:r>
    </w:p>
    <w:p w14:paraId="7FCF2CFC" w14:textId="77777777" w:rsidR="008C0A20" w:rsidRPr="00BC1D34" w:rsidRDefault="008C0A20" w:rsidP="00BC1D34">
      <w:pPr>
        <w:widowControl w:val="0"/>
        <w:autoSpaceDE w:val="0"/>
        <w:autoSpaceDN w:val="0"/>
        <w:adjustRightInd w:val="0"/>
        <w:spacing w:line="276" w:lineRule="auto"/>
        <w:ind w:firstLine="708"/>
        <w:jc w:val="center"/>
        <w:rPr>
          <w:rFonts w:ascii="Tahoma" w:hAnsi="Tahoma" w:cs="Tahoma"/>
          <w:b/>
          <w:caps/>
          <w:sz w:val="24"/>
          <w:szCs w:val="24"/>
        </w:rPr>
      </w:pPr>
    </w:p>
    <w:p w14:paraId="49FDBD20" w14:textId="77777777" w:rsidR="008C0A20" w:rsidRPr="00BC1D34" w:rsidRDefault="008C0A20" w:rsidP="00BC1D34">
      <w:pPr>
        <w:widowControl w:val="0"/>
        <w:autoSpaceDE w:val="0"/>
        <w:autoSpaceDN w:val="0"/>
        <w:adjustRightInd w:val="0"/>
        <w:spacing w:line="276" w:lineRule="auto"/>
        <w:rPr>
          <w:rFonts w:ascii="Tahoma" w:hAnsi="Tahoma" w:cs="Tahoma"/>
          <w:b/>
          <w:caps/>
          <w:sz w:val="24"/>
          <w:szCs w:val="24"/>
        </w:rPr>
      </w:pPr>
      <w:r w:rsidRPr="00BC1D34">
        <w:rPr>
          <w:rFonts w:ascii="Tahoma" w:hAnsi="Tahoma" w:cs="Tahoma"/>
          <w:b/>
          <w:caps/>
          <w:sz w:val="24"/>
          <w:szCs w:val="24"/>
        </w:rPr>
        <w:t>se deja CONSTANCIA DE QUE NO SE AVALÓ LA RATIO DECIDENDI DEL PROYECTO Y se CEDE USO DE PALABRA A LA DRA. OLGA LUCIA HOYOS, QUIEN POR SEGUIR EN TURNO LE CORRESPONDE EMITIR LA SENTENCIA CON LA TESIS MAYORITARIA</w:t>
      </w:r>
    </w:p>
    <w:p w14:paraId="264D5EF3" w14:textId="6217FA13" w:rsidR="008C0A20" w:rsidRPr="00BC1D34" w:rsidRDefault="008C0A20" w:rsidP="00BC1D34">
      <w:pPr>
        <w:spacing w:line="276" w:lineRule="auto"/>
        <w:ind w:firstLine="708"/>
        <w:rPr>
          <w:rFonts w:ascii="Tahoma" w:hAnsi="Tahoma" w:cs="Tahoma"/>
          <w:sz w:val="24"/>
          <w:szCs w:val="24"/>
          <w:lang w:val="es-ES_tradnl"/>
        </w:rPr>
      </w:pPr>
      <w:r w:rsidRPr="00BC1D34">
        <w:rPr>
          <w:rFonts w:ascii="Tahoma" w:hAnsi="Tahoma" w:cs="Tahoma"/>
          <w:caps/>
          <w:sz w:val="24"/>
          <w:szCs w:val="24"/>
        </w:rPr>
        <w:t>----------------------------------------------------------------------------------------------</w:t>
      </w:r>
    </w:p>
    <w:p w14:paraId="01406074" w14:textId="77777777" w:rsidR="008C0A20" w:rsidRPr="00BC1D34" w:rsidRDefault="008C0A20" w:rsidP="00BC1D34">
      <w:pPr>
        <w:spacing w:line="276" w:lineRule="auto"/>
        <w:ind w:firstLine="708"/>
        <w:rPr>
          <w:rFonts w:ascii="Tahoma" w:hAnsi="Tahoma" w:cs="Tahoma"/>
          <w:sz w:val="24"/>
          <w:szCs w:val="24"/>
        </w:rPr>
      </w:pPr>
    </w:p>
    <w:p w14:paraId="1DC10341" w14:textId="77777777" w:rsidR="008C0A20" w:rsidRPr="00BC1D34" w:rsidRDefault="008C0A20" w:rsidP="00BC1D34">
      <w:pPr>
        <w:pStyle w:val="Prrafodelista"/>
        <w:widowControl w:val="0"/>
        <w:numPr>
          <w:ilvl w:val="0"/>
          <w:numId w:val="6"/>
        </w:numPr>
        <w:autoSpaceDE w:val="0"/>
        <w:autoSpaceDN w:val="0"/>
        <w:adjustRightInd w:val="0"/>
        <w:spacing w:line="276" w:lineRule="auto"/>
        <w:jc w:val="center"/>
        <w:rPr>
          <w:rFonts w:ascii="Tahoma" w:hAnsi="Tahoma" w:cs="Tahoma"/>
          <w:b/>
          <w:bCs/>
          <w:caps/>
        </w:rPr>
      </w:pPr>
      <w:r w:rsidRPr="00BC1D34">
        <w:rPr>
          <w:rFonts w:ascii="Tahoma" w:hAnsi="Tahoma" w:cs="Tahoma"/>
          <w:b/>
          <w:bCs/>
        </w:rPr>
        <w:t>PROBLEMA JURÍDICO POR RESOLVER</w:t>
      </w:r>
    </w:p>
    <w:p w14:paraId="10A6A88A" w14:textId="77777777" w:rsidR="008C0A20" w:rsidRPr="00BC1D34" w:rsidRDefault="008C0A20" w:rsidP="00BC1D34">
      <w:pPr>
        <w:widowControl w:val="0"/>
        <w:tabs>
          <w:tab w:val="left" w:pos="748"/>
        </w:tabs>
        <w:autoSpaceDE w:val="0"/>
        <w:autoSpaceDN w:val="0"/>
        <w:adjustRightInd w:val="0"/>
        <w:spacing w:line="276" w:lineRule="auto"/>
        <w:ind w:left="748"/>
        <w:jc w:val="center"/>
        <w:rPr>
          <w:rFonts w:ascii="Tahoma" w:hAnsi="Tahoma" w:cs="Tahoma"/>
          <w:b/>
          <w:bCs/>
          <w:sz w:val="24"/>
          <w:szCs w:val="24"/>
        </w:rPr>
      </w:pPr>
    </w:p>
    <w:p w14:paraId="649C5F87" w14:textId="555A9181" w:rsidR="008C0A20" w:rsidRPr="00BC1D34" w:rsidRDefault="008C0A20" w:rsidP="00BC1D34">
      <w:pPr>
        <w:tabs>
          <w:tab w:val="left" w:pos="567"/>
        </w:tabs>
        <w:spacing w:line="276" w:lineRule="auto"/>
        <w:rPr>
          <w:rFonts w:ascii="Tahoma" w:hAnsi="Tahoma" w:cs="Tahoma"/>
          <w:sz w:val="24"/>
          <w:szCs w:val="24"/>
        </w:rPr>
      </w:pPr>
      <w:r w:rsidRPr="00BC1D34">
        <w:rPr>
          <w:rFonts w:ascii="Tahoma" w:hAnsi="Tahoma" w:cs="Tahoma"/>
          <w:sz w:val="24"/>
          <w:szCs w:val="24"/>
        </w:rPr>
        <w:t xml:space="preserve">De acuerdo a lo expuesto en la sentencia de primera instancia, le corresponde a la Sala determinar si en el presente caso </w:t>
      </w:r>
      <w:r w:rsidRPr="00BC1D34">
        <w:rPr>
          <w:rFonts w:ascii="Tahoma" w:hAnsi="Tahoma" w:cs="Tahoma"/>
          <w:sz w:val="24"/>
          <w:szCs w:val="24"/>
          <w:lang w:val="es-CO"/>
        </w:rPr>
        <w:t xml:space="preserve">Ramiro Soto Gálvez dejó causada la pensión de sobrevivencia bajo la Ley 100/93, modificada por la Ley 797/03 o en aplicación del principio de la condición más beneficiosa bajo la Ley 100/93 en su versión original o el Acuerdo 049/90. En caso de respuesta positiva, corresponde determinar si Deida Rosa Parra de Soto es beneficiaria de dicha prestación. </w:t>
      </w:r>
    </w:p>
    <w:p w14:paraId="5E09B8BD" w14:textId="77777777" w:rsidR="008C0A20" w:rsidRPr="00BC1D34" w:rsidRDefault="008C0A20" w:rsidP="00BC1D34">
      <w:pPr>
        <w:spacing w:line="276" w:lineRule="auto"/>
        <w:ind w:firstLine="0"/>
        <w:rPr>
          <w:rFonts w:ascii="Tahoma" w:hAnsi="Tahoma" w:cs="Tahoma"/>
          <w:sz w:val="24"/>
          <w:szCs w:val="24"/>
          <w:highlight w:val="yellow"/>
        </w:rPr>
      </w:pPr>
    </w:p>
    <w:p w14:paraId="36010207" w14:textId="77777777" w:rsidR="008C0A20" w:rsidRPr="00BC1D34" w:rsidRDefault="008C0A20" w:rsidP="00BC1D34">
      <w:pPr>
        <w:pStyle w:val="Prrafodelista"/>
        <w:numPr>
          <w:ilvl w:val="0"/>
          <w:numId w:val="6"/>
        </w:numPr>
        <w:shd w:val="clear" w:color="auto" w:fill="FFFFFF"/>
        <w:spacing w:line="276" w:lineRule="auto"/>
        <w:jc w:val="center"/>
        <w:rPr>
          <w:rFonts w:ascii="Tahoma" w:hAnsi="Tahoma" w:cs="Tahoma"/>
          <w:b/>
        </w:rPr>
      </w:pPr>
      <w:r w:rsidRPr="00BC1D34">
        <w:rPr>
          <w:rFonts w:ascii="Tahoma" w:hAnsi="Tahoma" w:cs="Tahoma"/>
          <w:b/>
        </w:rPr>
        <w:t>CONSIDERACIONES</w:t>
      </w:r>
    </w:p>
    <w:p w14:paraId="5FB79870" w14:textId="77777777" w:rsidR="008C0A20" w:rsidRPr="00BC1D34" w:rsidRDefault="008C0A20" w:rsidP="00BC1D34">
      <w:pPr>
        <w:shd w:val="clear" w:color="auto" w:fill="FFFFFF"/>
        <w:tabs>
          <w:tab w:val="left" w:pos="5197"/>
        </w:tabs>
        <w:spacing w:line="276" w:lineRule="auto"/>
        <w:rPr>
          <w:rFonts w:ascii="Tahoma" w:hAnsi="Tahoma" w:cs="Tahoma"/>
          <w:b/>
          <w:sz w:val="24"/>
          <w:szCs w:val="24"/>
        </w:rPr>
      </w:pPr>
    </w:p>
    <w:p w14:paraId="215FEEFC" w14:textId="77777777" w:rsidR="008C0A20" w:rsidRPr="00BC1D34" w:rsidRDefault="008C0A20" w:rsidP="00BC1D34">
      <w:pPr>
        <w:pStyle w:val="Textoindependiente"/>
        <w:spacing w:after="0" w:line="276" w:lineRule="auto"/>
        <w:contextualSpacing/>
        <w:rPr>
          <w:rFonts w:ascii="Tahoma" w:hAnsi="Tahoma" w:cs="Tahoma"/>
          <w:sz w:val="24"/>
          <w:szCs w:val="24"/>
        </w:rPr>
      </w:pPr>
      <w:r w:rsidRPr="00BC1D34">
        <w:rPr>
          <w:rFonts w:ascii="Tahoma" w:hAnsi="Tahoma" w:cs="Tahoma"/>
          <w:sz w:val="24"/>
          <w:szCs w:val="24"/>
        </w:rPr>
        <w:t xml:space="preserve">Se encuentra acreditado con el certificado de defunción que el señor Ramiro Soto Gálvez falleció el 28-06-2004 (fl. 19 c.1); por lo tanto, la normativa aplicable en esta actuación es el artículo 12 de la Ley 797 de 2003, que es la vigente para la fecha del óbito. Disposición que exige haber cotizado 50 semanas dentro de los 3 años anteriores a la fecha del deceso. </w:t>
      </w:r>
    </w:p>
    <w:p w14:paraId="785FFB68" w14:textId="77777777" w:rsidR="008C0A20" w:rsidRPr="00BC1D34" w:rsidRDefault="008C0A20" w:rsidP="00BC1D34">
      <w:pPr>
        <w:pStyle w:val="Textoindependiente"/>
        <w:spacing w:after="0" w:line="276" w:lineRule="auto"/>
        <w:contextualSpacing/>
        <w:rPr>
          <w:rFonts w:ascii="Tahoma" w:hAnsi="Tahoma" w:cs="Tahoma"/>
          <w:sz w:val="24"/>
          <w:szCs w:val="24"/>
        </w:rPr>
      </w:pPr>
    </w:p>
    <w:p w14:paraId="153CB806" w14:textId="77777777" w:rsidR="008C0A20" w:rsidRPr="00BC1D34" w:rsidRDefault="008C0A20" w:rsidP="00BC1D34">
      <w:pPr>
        <w:autoSpaceDE w:val="0"/>
        <w:autoSpaceDN w:val="0"/>
        <w:adjustRightInd w:val="0"/>
        <w:spacing w:line="276" w:lineRule="auto"/>
        <w:contextualSpacing/>
        <w:rPr>
          <w:rFonts w:ascii="Tahoma" w:hAnsi="Tahoma" w:cs="Tahoma"/>
          <w:sz w:val="24"/>
          <w:szCs w:val="24"/>
        </w:rPr>
      </w:pPr>
      <w:r w:rsidRPr="00BC1D34">
        <w:rPr>
          <w:rFonts w:ascii="Tahoma" w:hAnsi="Tahoma" w:cs="Tahoma"/>
          <w:sz w:val="24"/>
          <w:szCs w:val="24"/>
        </w:rPr>
        <w:t>Al revisar la historia laboral del señor Soto Gálvez (fl. 52 c. 1) se advierte que entre la fecha de la muerte 28-06-2004 y la misma data de 2001 (3 años) cotizó 0 semanas, con lo cual resulta fácil colegir que no satisfizo la exigencia del aludido artículo, esto es, 50 semanas.</w:t>
      </w:r>
    </w:p>
    <w:p w14:paraId="556C7FBE" w14:textId="77777777" w:rsidR="008C0A20" w:rsidRPr="00BC1D34" w:rsidRDefault="008C0A20" w:rsidP="00BC1D34">
      <w:pPr>
        <w:autoSpaceDE w:val="0"/>
        <w:autoSpaceDN w:val="0"/>
        <w:adjustRightInd w:val="0"/>
        <w:spacing w:line="276" w:lineRule="auto"/>
        <w:contextualSpacing/>
        <w:rPr>
          <w:rFonts w:ascii="Tahoma" w:hAnsi="Tahoma" w:cs="Tahoma"/>
          <w:sz w:val="24"/>
          <w:szCs w:val="24"/>
        </w:rPr>
      </w:pPr>
    </w:p>
    <w:p w14:paraId="3E6D7364" w14:textId="77777777" w:rsidR="008C0A20" w:rsidRPr="00BC1D34" w:rsidRDefault="008C0A20" w:rsidP="00BC1D34">
      <w:pPr>
        <w:autoSpaceDE w:val="0"/>
        <w:autoSpaceDN w:val="0"/>
        <w:adjustRightInd w:val="0"/>
        <w:spacing w:line="276" w:lineRule="auto"/>
        <w:contextualSpacing/>
        <w:rPr>
          <w:rFonts w:ascii="Tahoma" w:hAnsi="Tahoma" w:cs="Tahoma"/>
          <w:color w:val="000000"/>
          <w:sz w:val="24"/>
          <w:szCs w:val="24"/>
          <w:shd w:val="clear" w:color="auto" w:fill="FFFFFF"/>
        </w:rPr>
      </w:pPr>
      <w:r w:rsidRPr="00BC1D34">
        <w:rPr>
          <w:rFonts w:ascii="Tahoma" w:hAnsi="Tahoma" w:cs="Tahoma"/>
          <w:color w:val="000000" w:themeColor="text1"/>
          <w:sz w:val="24"/>
          <w:szCs w:val="24"/>
          <w:lang w:val="es-CO"/>
        </w:rPr>
        <w:lastRenderedPageBreak/>
        <w:t>Sin embargo, a</w:t>
      </w:r>
      <w:r w:rsidRPr="00BC1D34">
        <w:rPr>
          <w:rFonts w:ascii="Tahoma" w:hAnsi="Tahoma" w:cs="Tahoma"/>
          <w:sz w:val="24"/>
          <w:szCs w:val="24"/>
        </w:rPr>
        <w:t xml:space="preserve">tendiendo lo solicitado en libelo introductorio, consistente en la aplicación del principio de la condición más beneficiosa, se analizará su </w:t>
      </w:r>
      <w:r w:rsidRPr="00BC1D34">
        <w:rPr>
          <w:rFonts w:ascii="Tahoma" w:hAnsi="Tahoma" w:cs="Tahoma"/>
          <w:color w:val="000000"/>
          <w:sz w:val="24"/>
          <w:szCs w:val="24"/>
          <w:shd w:val="clear" w:color="auto" w:fill="FFFFFF"/>
        </w:rPr>
        <w:t>procedencia.</w:t>
      </w:r>
    </w:p>
    <w:p w14:paraId="07F0953A" w14:textId="77777777" w:rsidR="008C0A20" w:rsidRPr="00BC1D34" w:rsidRDefault="008C0A20" w:rsidP="00BC1D34">
      <w:pPr>
        <w:pStyle w:val="Textoindependiente"/>
        <w:spacing w:after="0" w:line="276" w:lineRule="auto"/>
        <w:rPr>
          <w:rFonts w:ascii="Tahoma" w:hAnsi="Tahoma" w:cs="Tahoma"/>
          <w:color w:val="000000"/>
          <w:sz w:val="24"/>
          <w:szCs w:val="24"/>
          <w:shd w:val="clear" w:color="auto" w:fill="FFFFFF"/>
        </w:rPr>
      </w:pPr>
    </w:p>
    <w:p w14:paraId="33999A01" w14:textId="3FB31C89" w:rsidR="008C0A20" w:rsidRPr="00BC1D34" w:rsidRDefault="008C0A20" w:rsidP="00BC1D34">
      <w:pPr>
        <w:pStyle w:val="Textoindependiente"/>
        <w:spacing w:after="0" w:line="276" w:lineRule="auto"/>
        <w:rPr>
          <w:rFonts w:ascii="Tahoma" w:hAnsi="Tahoma" w:cs="Tahoma"/>
          <w:color w:val="000000" w:themeColor="text1"/>
          <w:sz w:val="24"/>
          <w:szCs w:val="24"/>
          <w:lang w:eastAsia="es-CO"/>
        </w:rPr>
      </w:pPr>
      <w:r w:rsidRPr="00BC1D34">
        <w:rPr>
          <w:rFonts w:ascii="Tahoma" w:hAnsi="Tahoma" w:cs="Tahoma"/>
          <w:color w:val="000000"/>
          <w:sz w:val="24"/>
          <w:szCs w:val="24"/>
          <w:shd w:val="clear" w:color="auto" w:fill="FFFFFF"/>
        </w:rPr>
        <w:t>Frente al referido principio ha sostenido reiteradamente la Sala de Casación Laboral de Corte Suprema de Justicia, entre otras</w:t>
      </w:r>
      <w:r w:rsidRPr="00BC1D34">
        <w:rPr>
          <w:rStyle w:val="Refdenotaalpie"/>
          <w:rFonts w:ascii="Tahoma" w:hAnsi="Tahoma" w:cs="Tahoma"/>
          <w:color w:val="000000"/>
          <w:sz w:val="24"/>
          <w:szCs w:val="24"/>
          <w:shd w:val="clear" w:color="auto" w:fill="FFFFFF"/>
        </w:rPr>
        <w:footnoteReference w:id="1"/>
      </w:r>
      <w:r w:rsidRPr="00BC1D34">
        <w:rPr>
          <w:rFonts w:ascii="Tahoma" w:hAnsi="Tahoma" w:cs="Tahoma"/>
          <w:color w:val="000000"/>
          <w:sz w:val="24"/>
          <w:szCs w:val="24"/>
          <w:shd w:val="clear" w:color="auto" w:fill="FFFFFF"/>
        </w:rPr>
        <w:t xml:space="preserve">, en la SL379-2020, que el mismo no le permite al juzgador aplicar a un caso en particular cualquier norma legal que en el pasado haya regulado el asunto, sino que de darse las condiciones necesarias para su aplicación, ello sería respecto a la norma inmediatamente anterior a la vigente en el momento en que ocurrió el hecho. Tesis que comparte la Sala Mayoritaria </w:t>
      </w:r>
      <w:r w:rsidRPr="00BC1D34">
        <w:rPr>
          <w:rFonts w:ascii="Tahoma" w:hAnsi="Tahoma" w:cs="Tahoma"/>
          <w:sz w:val="24"/>
          <w:szCs w:val="24"/>
        </w:rPr>
        <w:t xml:space="preserve">al ser aquel el órgano de cierre de esta especialidad, dado </w:t>
      </w:r>
      <w:r w:rsidRPr="00BC1D34">
        <w:rPr>
          <w:rFonts w:ascii="Tahoma" w:hAnsi="Tahoma" w:cs="Tahoma"/>
          <w:color w:val="000000" w:themeColor="text1"/>
          <w:sz w:val="24"/>
          <w:szCs w:val="24"/>
          <w:lang w:eastAsia="es-CO"/>
        </w:rPr>
        <w:t>su valor normativo, que inclusive ha reconocido su homóloga constitucional en la sentencia C-836-01.</w:t>
      </w:r>
    </w:p>
    <w:p w14:paraId="26B5DA3A" w14:textId="77777777" w:rsidR="008C0A20" w:rsidRPr="00BC1D34" w:rsidRDefault="008C0A20" w:rsidP="00BC1D34">
      <w:pPr>
        <w:pStyle w:val="Textoindependiente"/>
        <w:spacing w:after="0" w:line="276" w:lineRule="auto"/>
        <w:rPr>
          <w:rFonts w:ascii="Tahoma" w:hAnsi="Tahoma" w:cs="Tahoma"/>
          <w:color w:val="000000" w:themeColor="text1"/>
          <w:sz w:val="24"/>
          <w:szCs w:val="24"/>
          <w:lang w:eastAsia="es-CO"/>
        </w:rPr>
      </w:pPr>
    </w:p>
    <w:p w14:paraId="2981AFF3" w14:textId="77777777" w:rsidR="008C0A20" w:rsidRPr="00BC1D34" w:rsidRDefault="008C0A20" w:rsidP="00BC1D34">
      <w:pPr>
        <w:autoSpaceDE w:val="0"/>
        <w:autoSpaceDN w:val="0"/>
        <w:adjustRightInd w:val="0"/>
        <w:spacing w:line="276" w:lineRule="auto"/>
        <w:contextualSpacing/>
        <w:rPr>
          <w:rFonts w:ascii="Tahoma" w:hAnsi="Tahoma" w:cs="Tahoma"/>
          <w:color w:val="000000" w:themeColor="text1"/>
          <w:sz w:val="24"/>
          <w:szCs w:val="24"/>
          <w:lang w:eastAsia="es-CO"/>
        </w:rPr>
      </w:pPr>
      <w:r w:rsidRPr="00BC1D34">
        <w:rPr>
          <w:rFonts w:ascii="Tahoma" w:hAnsi="Tahoma" w:cs="Tahoma"/>
          <w:color w:val="000000" w:themeColor="text1"/>
          <w:sz w:val="24"/>
          <w:szCs w:val="24"/>
          <w:lang w:eastAsia="es-CO"/>
        </w:rPr>
        <w:t>En ese orden de ideas, como el deceso del señor Ramiro Soto Gálvez se dio en el año 2004, momento para el cual regía la Ley 797 de 2003, en aplicación de la condición más beneficiosa y al tenor de la tesis acogida por la Sala Mayoritaria, la norma que puede escrutarse para verificar si se causó la pensión de invalidez es la Ley 100 de 1993 en su versión original.</w:t>
      </w:r>
    </w:p>
    <w:p w14:paraId="6F47BEB0" w14:textId="77777777" w:rsidR="008C0A20" w:rsidRPr="00BC1D34" w:rsidRDefault="008C0A20" w:rsidP="00BC1D34">
      <w:pPr>
        <w:tabs>
          <w:tab w:val="left" w:pos="1230"/>
        </w:tabs>
        <w:autoSpaceDE w:val="0"/>
        <w:autoSpaceDN w:val="0"/>
        <w:adjustRightInd w:val="0"/>
        <w:spacing w:line="276" w:lineRule="auto"/>
        <w:contextualSpacing/>
        <w:rPr>
          <w:rFonts w:ascii="Tahoma" w:hAnsi="Tahoma" w:cs="Tahoma"/>
          <w:color w:val="000000" w:themeColor="text1"/>
          <w:sz w:val="24"/>
          <w:szCs w:val="24"/>
          <w:lang w:eastAsia="es-CO"/>
        </w:rPr>
      </w:pPr>
    </w:p>
    <w:p w14:paraId="2E6B55BB" w14:textId="0C8404A6" w:rsidR="008C0A20" w:rsidRPr="00BC1D34" w:rsidRDefault="008C0A20" w:rsidP="00BC1D34">
      <w:pPr>
        <w:spacing w:line="276" w:lineRule="auto"/>
        <w:rPr>
          <w:rFonts w:ascii="Tahoma" w:hAnsi="Tahoma" w:cs="Tahoma"/>
          <w:color w:val="000000" w:themeColor="text1"/>
          <w:sz w:val="24"/>
          <w:szCs w:val="24"/>
          <w:lang w:eastAsia="es-CO"/>
        </w:rPr>
      </w:pPr>
      <w:r w:rsidRPr="00BC1D34">
        <w:rPr>
          <w:rFonts w:ascii="Tahoma" w:hAnsi="Tahoma" w:cs="Tahoma"/>
          <w:color w:val="000000" w:themeColor="text1"/>
          <w:sz w:val="24"/>
          <w:szCs w:val="24"/>
          <w:lang w:eastAsia="es-CO"/>
        </w:rPr>
        <w:t>Pero esta última normativa tampoco puede gobernar la situación del causante, en tanto que el órgano de cierre de esta especialidad precisó en sentencia SL4650 de 2017 que el principio de la condición más beneficiosa no es ilimitado, sino temporal, pues su finalidad es la de proteger a aquellas personas que tenían una situación jurídica concreta al momento de presentarse el cambio legislativo, entendida esta como la acumulación de las semanas necesarias para acceder a la prestación.</w:t>
      </w:r>
    </w:p>
    <w:p w14:paraId="66C4C112" w14:textId="77777777" w:rsidR="008C0A20" w:rsidRPr="00BC1D34" w:rsidRDefault="008C0A20" w:rsidP="00BC1D34">
      <w:pPr>
        <w:spacing w:line="276" w:lineRule="auto"/>
        <w:rPr>
          <w:rFonts w:ascii="Tahoma" w:hAnsi="Tahoma" w:cs="Tahoma"/>
          <w:color w:val="000000" w:themeColor="text1"/>
          <w:sz w:val="24"/>
          <w:szCs w:val="24"/>
          <w:lang w:eastAsia="es-CO"/>
        </w:rPr>
      </w:pPr>
    </w:p>
    <w:p w14:paraId="252FBD16" w14:textId="77777777" w:rsidR="008C0A20" w:rsidRDefault="008C0A20" w:rsidP="00BC1D34">
      <w:pPr>
        <w:spacing w:line="276" w:lineRule="auto"/>
        <w:rPr>
          <w:rFonts w:ascii="Tahoma" w:hAnsi="Tahoma" w:cs="Tahoma"/>
          <w:color w:val="000000" w:themeColor="text1"/>
          <w:sz w:val="24"/>
          <w:szCs w:val="24"/>
          <w:lang w:eastAsia="es-CO"/>
        </w:rPr>
      </w:pPr>
      <w:r w:rsidRPr="00BC1D34">
        <w:rPr>
          <w:rFonts w:ascii="Tahoma" w:hAnsi="Tahoma" w:cs="Tahoma"/>
          <w:color w:val="000000" w:themeColor="text1"/>
          <w:sz w:val="24"/>
          <w:szCs w:val="24"/>
          <w:lang w:eastAsia="es-CO"/>
        </w:rPr>
        <w:t>Por lo que, se permite que en vigencia de la Ley 797 de 2003 acrediten los requisitos de la Ley 100 de 1993 original, para lo cual se planteó 4 eventos diferentes en los que podría estar incurso el afiliado fallecido, cada uno de ellos con reglas específicas, aunque en todos se exige inexorablemente que la contingencia – muerte – se presente dentro de los 3 años siguientes a la entrada en vigencia de aquella ley, esto es, entre el 29/01/2003 y el 29/01/2006.</w:t>
      </w:r>
    </w:p>
    <w:p w14:paraId="5F31505E" w14:textId="77777777" w:rsidR="00BC1D34" w:rsidRPr="00BC1D34" w:rsidRDefault="00BC1D34" w:rsidP="00BC1D34">
      <w:pPr>
        <w:spacing w:line="276" w:lineRule="auto"/>
        <w:rPr>
          <w:rFonts w:ascii="Tahoma" w:hAnsi="Tahoma" w:cs="Tahoma"/>
          <w:color w:val="000000" w:themeColor="text1"/>
          <w:sz w:val="24"/>
          <w:szCs w:val="24"/>
          <w:lang w:eastAsia="es-CO"/>
        </w:rPr>
      </w:pPr>
    </w:p>
    <w:p w14:paraId="3375BDE6" w14:textId="77777777" w:rsidR="008C0A20" w:rsidRPr="00BC1D34" w:rsidRDefault="008C0A20" w:rsidP="00BC1D34">
      <w:pPr>
        <w:spacing w:line="276" w:lineRule="auto"/>
        <w:rPr>
          <w:rFonts w:ascii="Tahoma" w:hAnsi="Tahoma" w:cs="Tahoma"/>
          <w:color w:val="000000" w:themeColor="text1"/>
          <w:sz w:val="24"/>
          <w:szCs w:val="24"/>
          <w:lang w:eastAsia="es-CO"/>
        </w:rPr>
      </w:pPr>
      <w:r w:rsidRPr="00BC1D34">
        <w:rPr>
          <w:rFonts w:ascii="Tahoma" w:hAnsi="Tahoma" w:cs="Tahoma"/>
          <w:color w:val="000000" w:themeColor="text1"/>
          <w:sz w:val="24"/>
          <w:szCs w:val="24"/>
          <w:lang w:eastAsia="es-CO"/>
        </w:rPr>
        <w:t xml:space="preserve">En este caso, pese a que el deceso ocurrió dentro del lapso atrás anotado –28/06/2004- aquello apenas constituye uno de todos los requisitos que debe cumplir el afiliado fallecido, pues son concurrentes. Así, se incumplió con los siguientes aspectos: </w:t>
      </w:r>
      <w:r w:rsidRPr="00BC1D34">
        <w:rPr>
          <w:rFonts w:ascii="Tahoma" w:hAnsi="Tahoma" w:cs="Tahoma"/>
          <w:i/>
          <w:color w:val="000000" w:themeColor="text1"/>
          <w:sz w:val="24"/>
          <w:szCs w:val="24"/>
          <w:lang w:eastAsia="es-CO"/>
        </w:rPr>
        <w:t>i)</w:t>
      </w:r>
      <w:r w:rsidRPr="00BC1D34">
        <w:rPr>
          <w:rFonts w:ascii="Tahoma" w:hAnsi="Tahoma" w:cs="Tahoma"/>
          <w:color w:val="000000" w:themeColor="text1"/>
          <w:sz w:val="24"/>
          <w:szCs w:val="24"/>
          <w:lang w:eastAsia="es-CO"/>
        </w:rPr>
        <w:t xml:space="preserve"> Ramiro Soto Gálvez al momento de su fallecimiento –28/06/2004- no tenía ninguna cotización al sistema (fl. 52 c. 1), como tampoco al 29/01/2003 – fecha en que entró en vigencia la Ley 797/03 (</w:t>
      </w:r>
      <w:r w:rsidRPr="00BC1D34">
        <w:rPr>
          <w:rFonts w:ascii="Tahoma" w:hAnsi="Tahoma" w:cs="Tahoma"/>
          <w:i/>
          <w:color w:val="000000" w:themeColor="text1"/>
          <w:sz w:val="24"/>
          <w:szCs w:val="24"/>
          <w:lang w:eastAsia="es-CO"/>
        </w:rPr>
        <w:t>ibídem</w:t>
      </w:r>
      <w:r w:rsidRPr="00BC1D34">
        <w:rPr>
          <w:rFonts w:ascii="Tahoma" w:hAnsi="Tahoma" w:cs="Tahoma"/>
          <w:color w:val="000000" w:themeColor="text1"/>
          <w:sz w:val="24"/>
          <w:szCs w:val="24"/>
          <w:lang w:eastAsia="es-CO"/>
        </w:rPr>
        <w:t>), por lo que debía acreditar 26 semanas dentro del año anterior a estos eventos, que tampoco colmó, pues el último aporte que realizó fue el 30/05/1994 (</w:t>
      </w:r>
      <w:r w:rsidRPr="00BC1D34">
        <w:rPr>
          <w:rFonts w:ascii="Tahoma" w:hAnsi="Tahoma" w:cs="Tahoma"/>
          <w:i/>
          <w:color w:val="000000" w:themeColor="text1"/>
          <w:sz w:val="24"/>
          <w:szCs w:val="24"/>
          <w:lang w:eastAsia="es-CO"/>
        </w:rPr>
        <w:t>ibídem</w:t>
      </w:r>
      <w:r w:rsidRPr="00BC1D34">
        <w:rPr>
          <w:rFonts w:ascii="Tahoma" w:hAnsi="Tahoma" w:cs="Tahoma"/>
          <w:color w:val="000000" w:themeColor="text1"/>
          <w:sz w:val="24"/>
          <w:szCs w:val="24"/>
          <w:lang w:eastAsia="es-CO"/>
        </w:rPr>
        <w:t>).</w:t>
      </w:r>
    </w:p>
    <w:p w14:paraId="4702F047" w14:textId="77777777" w:rsidR="008C0A20" w:rsidRPr="00BC1D34" w:rsidRDefault="008C0A20" w:rsidP="00BC1D34">
      <w:pPr>
        <w:spacing w:line="276" w:lineRule="auto"/>
        <w:rPr>
          <w:rFonts w:ascii="Tahoma" w:hAnsi="Tahoma" w:cs="Tahoma"/>
          <w:color w:val="000000" w:themeColor="text1"/>
          <w:sz w:val="24"/>
          <w:szCs w:val="24"/>
        </w:rPr>
      </w:pPr>
    </w:p>
    <w:p w14:paraId="56C8B7D2" w14:textId="77777777" w:rsidR="008C0A20" w:rsidRPr="00BC1D34" w:rsidRDefault="008C0A20" w:rsidP="00BC1D34">
      <w:pPr>
        <w:spacing w:line="276" w:lineRule="auto"/>
        <w:rPr>
          <w:rFonts w:ascii="Tahoma" w:hAnsi="Tahoma" w:cs="Tahoma"/>
          <w:sz w:val="24"/>
          <w:szCs w:val="24"/>
        </w:rPr>
      </w:pPr>
      <w:r w:rsidRPr="00BC1D34">
        <w:rPr>
          <w:rFonts w:ascii="Tahoma" w:hAnsi="Tahoma" w:cs="Tahoma"/>
          <w:color w:val="000000" w:themeColor="text1"/>
          <w:sz w:val="24"/>
          <w:szCs w:val="24"/>
          <w:lang w:eastAsia="es-CO"/>
        </w:rPr>
        <w:t xml:space="preserve">En este sentido al no satisfacerse todos los requisitos señalados por nuestra superioridad en la sentencia en cita, entonces  Ramiro Soto Gálvez no dejó causado </w:t>
      </w:r>
      <w:r w:rsidRPr="00BC1D34">
        <w:rPr>
          <w:rFonts w:ascii="Tahoma" w:hAnsi="Tahoma" w:cs="Tahoma"/>
          <w:color w:val="000000" w:themeColor="text1"/>
          <w:sz w:val="24"/>
          <w:szCs w:val="24"/>
          <w:lang w:eastAsia="es-CO"/>
        </w:rPr>
        <w:lastRenderedPageBreak/>
        <w:t>el derecho para que sus posibles beneficiarios accedieran a la pensión de sobrevivientes.</w:t>
      </w:r>
    </w:p>
    <w:p w14:paraId="6D40DFEF" w14:textId="77777777" w:rsidR="008C0A20" w:rsidRPr="00BC1D34" w:rsidRDefault="008C0A20" w:rsidP="00BC1D34">
      <w:pPr>
        <w:spacing w:line="276" w:lineRule="auto"/>
        <w:rPr>
          <w:rFonts w:ascii="Tahoma" w:hAnsi="Tahoma" w:cs="Tahoma"/>
          <w:sz w:val="24"/>
          <w:szCs w:val="24"/>
        </w:rPr>
      </w:pPr>
    </w:p>
    <w:p w14:paraId="6CDBBC32" w14:textId="77777777" w:rsidR="008C0A20" w:rsidRPr="00BC1D34" w:rsidRDefault="008C0A20" w:rsidP="00BC1D34">
      <w:pPr>
        <w:shd w:val="clear" w:color="auto" w:fill="FFFFFF"/>
        <w:tabs>
          <w:tab w:val="left" w:pos="5197"/>
        </w:tabs>
        <w:spacing w:line="276" w:lineRule="auto"/>
        <w:ind w:firstLine="0"/>
        <w:jc w:val="center"/>
        <w:rPr>
          <w:rFonts w:ascii="Tahoma" w:hAnsi="Tahoma" w:cs="Tahoma"/>
          <w:b/>
          <w:color w:val="000000" w:themeColor="text1"/>
          <w:sz w:val="24"/>
          <w:szCs w:val="24"/>
          <w:lang w:eastAsia="es-CO"/>
        </w:rPr>
      </w:pPr>
      <w:r w:rsidRPr="00BC1D34">
        <w:rPr>
          <w:rFonts w:ascii="Tahoma" w:hAnsi="Tahoma" w:cs="Tahoma"/>
          <w:b/>
          <w:color w:val="000000" w:themeColor="text1"/>
          <w:sz w:val="24"/>
          <w:szCs w:val="24"/>
          <w:lang w:eastAsia="es-CO"/>
        </w:rPr>
        <w:t>CONCLUSIÓN</w:t>
      </w:r>
    </w:p>
    <w:p w14:paraId="44CFCB6A" w14:textId="77777777" w:rsidR="008C0A20" w:rsidRPr="00BC1D34" w:rsidRDefault="008C0A20" w:rsidP="00BC1D34">
      <w:pPr>
        <w:spacing w:line="276" w:lineRule="auto"/>
        <w:rPr>
          <w:rFonts w:ascii="Tahoma" w:hAnsi="Tahoma" w:cs="Tahoma"/>
          <w:color w:val="000000" w:themeColor="text1"/>
          <w:sz w:val="24"/>
          <w:szCs w:val="24"/>
          <w:lang w:eastAsia="es-CO"/>
        </w:rPr>
      </w:pPr>
    </w:p>
    <w:p w14:paraId="72BB8815" w14:textId="77777777" w:rsidR="008C0A20" w:rsidRPr="00BC1D34" w:rsidRDefault="008C0A20" w:rsidP="00BC1D34">
      <w:pPr>
        <w:spacing w:line="276" w:lineRule="auto"/>
        <w:rPr>
          <w:rFonts w:ascii="Tahoma" w:hAnsi="Tahoma" w:cs="Tahoma"/>
          <w:color w:val="000000" w:themeColor="text1"/>
          <w:sz w:val="24"/>
          <w:szCs w:val="24"/>
        </w:rPr>
      </w:pPr>
      <w:r w:rsidRPr="00BC1D34">
        <w:rPr>
          <w:rFonts w:ascii="Tahoma" w:hAnsi="Tahoma" w:cs="Tahoma"/>
          <w:color w:val="000000" w:themeColor="text1"/>
          <w:sz w:val="24"/>
          <w:szCs w:val="24"/>
          <w:lang w:eastAsia="es-CO"/>
        </w:rPr>
        <w:t>Conforme lo expuesto, la decisión revisada será confirmada, sin costas en esta instancia en virtud al grado jurisdiccional de consulta que se surte a favor de la demandante.</w:t>
      </w:r>
    </w:p>
    <w:p w14:paraId="1F608105" w14:textId="77777777" w:rsidR="008C0A20" w:rsidRPr="00BC1D34" w:rsidRDefault="008C0A20" w:rsidP="00BC1D34">
      <w:pPr>
        <w:spacing w:line="276" w:lineRule="auto"/>
        <w:jc w:val="center"/>
        <w:rPr>
          <w:rFonts w:ascii="Tahoma" w:hAnsi="Tahoma" w:cs="Tahoma"/>
          <w:b/>
          <w:color w:val="000000" w:themeColor="text1"/>
          <w:sz w:val="24"/>
          <w:szCs w:val="24"/>
        </w:rPr>
      </w:pPr>
    </w:p>
    <w:p w14:paraId="54426C2A" w14:textId="77777777" w:rsidR="008C0A20" w:rsidRPr="00BC1D34" w:rsidRDefault="008C0A20" w:rsidP="00BC1D34">
      <w:pPr>
        <w:shd w:val="clear" w:color="auto" w:fill="FFFFFF"/>
        <w:tabs>
          <w:tab w:val="left" w:pos="5197"/>
        </w:tabs>
        <w:spacing w:line="276" w:lineRule="auto"/>
        <w:ind w:firstLine="0"/>
        <w:jc w:val="center"/>
        <w:rPr>
          <w:rFonts w:ascii="Tahoma" w:hAnsi="Tahoma" w:cs="Tahoma"/>
          <w:b/>
          <w:color w:val="000000" w:themeColor="text1"/>
          <w:sz w:val="24"/>
          <w:szCs w:val="24"/>
          <w:lang w:eastAsia="es-CO"/>
        </w:rPr>
      </w:pPr>
      <w:r w:rsidRPr="00BC1D34">
        <w:rPr>
          <w:rFonts w:ascii="Tahoma" w:hAnsi="Tahoma" w:cs="Tahoma"/>
          <w:b/>
          <w:color w:val="000000" w:themeColor="text1"/>
          <w:sz w:val="24"/>
          <w:szCs w:val="24"/>
          <w:lang w:eastAsia="es-CO"/>
        </w:rPr>
        <w:t>DECISIÓN</w:t>
      </w:r>
    </w:p>
    <w:p w14:paraId="133C6ED0" w14:textId="77777777" w:rsidR="008C0A20" w:rsidRPr="00BC1D34" w:rsidRDefault="008C0A20" w:rsidP="00BC1D34">
      <w:pPr>
        <w:pStyle w:val="Sinespaciado"/>
        <w:spacing w:line="276" w:lineRule="auto"/>
        <w:rPr>
          <w:rFonts w:ascii="Tahoma" w:hAnsi="Tahoma" w:cs="Tahoma"/>
          <w:color w:val="000000" w:themeColor="text1"/>
        </w:rPr>
      </w:pPr>
    </w:p>
    <w:p w14:paraId="1073D617" w14:textId="77777777" w:rsidR="008C0A20" w:rsidRPr="00BC1D34" w:rsidRDefault="008C0A20" w:rsidP="00BC1D34">
      <w:pPr>
        <w:pStyle w:val="Prrafodelista2"/>
        <w:spacing w:after="0"/>
        <w:ind w:left="0"/>
        <w:jc w:val="both"/>
        <w:rPr>
          <w:rFonts w:ascii="Tahoma" w:hAnsi="Tahoma" w:cs="Tahoma"/>
          <w:color w:val="000000" w:themeColor="text1"/>
          <w:sz w:val="24"/>
          <w:szCs w:val="24"/>
        </w:rPr>
      </w:pPr>
      <w:r w:rsidRPr="00BC1D34">
        <w:rPr>
          <w:rFonts w:ascii="Tahoma" w:hAnsi="Tahoma" w:cs="Tahoma"/>
          <w:color w:val="000000" w:themeColor="text1"/>
          <w:sz w:val="24"/>
          <w:szCs w:val="24"/>
        </w:rPr>
        <w:t xml:space="preserve">En mérito de lo expuesto, el </w:t>
      </w:r>
      <w:r w:rsidRPr="00BC1D34">
        <w:rPr>
          <w:rFonts w:ascii="Tahoma" w:hAnsi="Tahoma" w:cs="Tahoma"/>
          <w:b/>
          <w:color w:val="000000" w:themeColor="text1"/>
          <w:sz w:val="24"/>
          <w:szCs w:val="24"/>
        </w:rPr>
        <w:t>Tribunal Superior del Distrito Judicial de Pereira - Risaralda, Sala Primera de Decisión Laboral,</w:t>
      </w:r>
      <w:r w:rsidRPr="00BC1D34">
        <w:rPr>
          <w:rFonts w:ascii="Tahoma" w:hAnsi="Tahoma" w:cs="Tahoma"/>
          <w:color w:val="000000" w:themeColor="text1"/>
          <w:sz w:val="24"/>
          <w:szCs w:val="24"/>
        </w:rPr>
        <w:t xml:space="preserve"> administrando justicia en nombre de la República y por autoridad de la ley,</w:t>
      </w:r>
    </w:p>
    <w:p w14:paraId="46E8F07E" w14:textId="77777777" w:rsidR="008C0A20" w:rsidRPr="00BC1D34" w:rsidRDefault="008C0A20" w:rsidP="00BC1D34">
      <w:pPr>
        <w:spacing w:line="276" w:lineRule="auto"/>
        <w:ind w:firstLine="0"/>
        <w:rPr>
          <w:rFonts w:ascii="Tahoma" w:hAnsi="Tahoma" w:cs="Tahoma"/>
          <w:b/>
          <w:color w:val="000000" w:themeColor="text1"/>
          <w:sz w:val="24"/>
          <w:szCs w:val="24"/>
        </w:rPr>
      </w:pPr>
    </w:p>
    <w:p w14:paraId="715EFE31" w14:textId="77777777" w:rsidR="008C0A20" w:rsidRPr="00BC1D34" w:rsidRDefault="008C0A20" w:rsidP="00BC1D34">
      <w:pPr>
        <w:shd w:val="clear" w:color="auto" w:fill="FFFFFF"/>
        <w:tabs>
          <w:tab w:val="left" w:pos="5197"/>
        </w:tabs>
        <w:spacing w:line="276" w:lineRule="auto"/>
        <w:ind w:firstLine="0"/>
        <w:jc w:val="center"/>
        <w:rPr>
          <w:rFonts w:ascii="Tahoma" w:hAnsi="Tahoma" w:cs="Tahoma"/>
          <w:b/>
          <w:color w:val="000000" w:themeColor="text1"/>
          <w:sz w:val="24"/>
          <w:szCs w:val="24"/>
          <w:lang w:eastAsia="es-CO"/>
        </w:rPr>
      </w:pPr>
      <w:r w:rsidRPr="00BC1D34">
        <w:rPr>
          <w:rFonts w:ascii="Tahoma" w:hAnsi="Tahoma" w:cs="Tahoma"/>
          <w:b/>
          <w:color w:val="000000" w:themeColor="text1"/>
          <w:sz w:val="24"/>
          <w:szCs w:val="24"/>
          <w:lang w:eastAsia="es-CO"/>
        </w:rPr>
        <w:t>RESUELVE</w:t>
      </w:r>
    </w:p>
    <w:p w14:paraId="644A97A2" w14:textId="336BF496" w:rsidR="008C0A20" w:rsidRPr="00BC1D34" w:rsidRDefault="008C0A20" w:rsidP="00BC1D34">
      <w:pPr>
        <w:pStyle w:val="Sinespaciado"/>
        <w:tabs>
          <w:tab w:val="left" w:pos="3387"/>
        </w:tabs>
        <w:spacing w:line="276" w:lineRule="auto"/>
        <w:rPr>
          <w:rFonts w:ascii="Tahoma" w:hAnsi="Tahoma" w:cs="Tahoma"/>
          <w:color w:val="000000" w:themeColor="text1"/>
        </w:rPr>
      </w:pPr>
    </w:p>
    <w:p w14:paraId="1CA8092E" w14:textId="77777777" w:rsidR="008C0A20" w:rsidRPr="00BC1D34" w:rsidRDefault="008C0A20" w:rsidP="00BC1D34">
      <w:pPr>
        <w:widowControl w:val="0"/>
        <w:autoSpaceDE w:val="0"/>
        <w:autoSpaceDN w:val="0"/>
        <w:adjustRightInd w:val="0"/>
        <w:spacing w:line="276" w:lineRule="auto"/>
        <w:rPr>
          <w:rFonts w:ascii="Tahoma" w:hAnsi="Tahoma" w:cs="Tahoma"/>
          <w:b/>
          <w:color w:val="000000" w:themeColor="text1"/>
          <w:sz w:val="24"/>
          <w:szCs w:val="24"/>
        </w:rPr>
      </w:pPr>
      <w:r w:rsidRPr="00BC1D34">
        <w:rPr>
          <w:rFonts w:ascii="Tahoma" w:hAnsi="Tahoma" w:cs="Tahoma"/>
          <w:b/>
          <w:color w:val="000000" w:themeColor="text1"/>
          <w:sz w:val="24"/>
          <w:szCs w:val="24"/>
          <w:u w:val="single"/>
        </w:rPr>
        <w:t>PRIMERO</w:t>
      </w:r>
      <w:r w:rsidRPr="00BC1D34">
        <w:rPr>
          <w:rFonts w:ascii="Tahoma" w:hAnsi="Tahoma" w:cs="Tahoma"/>
          <w:b/>
          <w:color w:val="000000" w:themeColor="text1"/>
          <w:sz w:val="24"/>
          <w:szCs w:val="24"/>
        </w:rPr>
        <w:t xml:space="preserve">: CONFIRMAR </w:t>
      </w:r>
      <w:r w:rsidRPr="00BC1D34">
        <w:rPr>
          <w:rFonts w:ascii="Tahoma" w:hAnsi="Tahoma" w:cs="Tahoma"/>
          <w:color w:val="000000" w:themeColor="text1"/>
          <w:sz w:val="24"/>
          <w:szCs w:val="24"/>
        </w:rPr>
        <w:t xml:space="preserve">la sentencia proferida el 17 de julio de 2019 por el Juzgado Quinto Laboral del Circuito de Pereira, dentro del proceso que promueve la señora </w:t>
      </w:r>
      <w:r w:rsidRPr="00BC1D34">
        <w:rPr>
          <w:rFonts w:ascii="Tahoma" w:hAnsi="Tahoma" w:cs="Tahoma"/>
          <w:b/>
          <w:bCs/>
          <w:color w:val="000000" w:themeColor="text1"/>
          <w:sz w:val="24"/>
          <w:szCs w:val="24"/>
        </w:rPr>
        <w:t>Deida Rosa Parra de Soto</w:t>
      </w:r>
      <w:r w:rsidRPr="00BC1D34">
        <w:rPr>
          <w:rFonts w:ascii="Tahoma" w:hAnsi="Tahoma" w:cs="Tahoma"/>
          <w:color w:val="000000" w:themeColor="text1"/>
          <w:sz w:val="24"/>
          <w:szCs w:val="24"/>
        </w:rPr>
        <w:t xml:space="preserve"> en contra de la </w:t>
      </w:r>
      <w:r w:rsidRPr="00BC1D34">
        <w:rPr>
          <w:rFonts w:ascii="Tahoma" w:hAnsi="Tahoma" w:cs="Tahoma"/>
          <w:b/>
          <w:color w:val="000000" w:themeColor="text1"/>
          <w:sz w:val="24"/>
          <w:szCs w:val="24"/>
        </w:rPr>
        <w:t>Administradora Colombiana de Pensiones – Colpensiones.</w:t>
      </w:r>
    </w:p>
    <w:p w14:paraId="7574EFB1" w14:textId="77777777" w:rsidR="008C0A20" w:rsidRPr="00BC1D34" w:rsidRDefault="008C0A20" w:rsidP="00BC1D34">
      <w:pPr>
        <w:widowControl w:val="0"/>
        <w:autoSpaceDE w:val="0"/>
        <w:autoSpaceDN w:val="0"/>
        <w:adjustRightInd w:val="0"/>
        <w:spacing w:line="276" w:lineRule="auto"/>
        <w:rPr>
          <w:rFonts w:ascii="Tahoma" w:hAnsi="Tahoma" w:cs="Tahoma"/>
          <w:bCs/>
          <w:i/>
          <w:iCs/>
          <w:color w:val="000000" w:themeColor="text1"/>
          <w:sz w:val="24"/>
          <w:szCs w:val="24"/>
        </w:rPr>
      </w:pPr>
    </w:p>
    <w:p w14:paraId="221C4C2B" w14:textId="77777777" w:rsidR="008C0A20" w:rsidRPr="00BC1D34" w:rsidRDefault="008C0A20" w:rsidP="00BC1D34">
      <w:pPr>
        <w:spacing w:line="276" w:lineRule="auto"/>
        <w:rPr>
          <w:rFonts w:ascii="Tahoma" w:hAnsi="Tahoma" w:cs="Tahoma"/>
          <w:sz w:val="24"/>
          <w:szCs w:val="24"/>
        </w:rPr>
      </w:pPr>
      <w:r w:rsidRPr="00BC1D34">
        <w:rPr>
          <w:rFonts w:ascii="Tahoma" w:hAnsi="Tahoma" w:cs="Tahoma"/>
          <w:b/>
          <w:bCs/>
          <w:iCs/>
          <w:color w:val="000000" w:themeColor="text1"/>
          <w:sz w:val="24"/>
          <w:szCs w:val="24"/>
          <w:u w:val="single"/>
        </w:rPr>
        <w:t>SEGUNDO</w:t>
      </w:r>
      <w:r w:rsidRPr="00BC1D34">
        <w:rPr>
          <w:rFonts w:ascii="Tahoma" w:hAnsi="Tahoma" w:cs="Tahoma"/>
          <w:b/>
          <w:bCs/>
          <w:iCs/>
          <w:color w:val="000000" w:themeColor="text1"/>
          <w:sz w:val="24"/>
          <w:szCs w:val="24"/>
        </w:rPr>
        <w:t xml:space="preserve">: SIN COSTAS </w:t>
      </w:r>
      <w:r w:rsidRPr="00BC1D34">
        <w:rPr>
          <w:rFonts w:ascii="Tahoma" w:hAnsi="Tahoma" w:cs="Tahoma"/>
          <w:iCs/>
          <w:color w:val="000000" w:themeColor="text1"/>
          <w:sz w:val="24"/>
          <w:szCs w:val="24"/>
        </w:rPr>
        <w:t>en esta instancia por lo expuesto.</w:t>
      </w:r>
    </w:p>
    <w:p w14:paraId="32A2D2A2" w14:textId="77777777" w:rsidR="008C0A20" w:rsidRPr="00BC1D34" w:rsidRDefault="008C0A20" w:rsidP="00BC1D34">
      <w:pPr>
        <w:spacing w:line="276" w:lineRule="auto"/>
        <w:rPr>
          <w:rFonts w:ascii="Tahoma" w:hAnsi="Tahoma" w:cs="Tahoma"/>
          <w:color w:val="000000" w:themeColor="text1"/>
          <w:sz w:val="24"/>
          <w:szCs w:val="24"/>
        </w:rPr>
      </w:pPr>
    </w:p>
    <w:p w14:paraId="2B774F7E" w14:textId="77777777" w:rsidR="008C0A20" w:rsidRPr="00BC1D34" w:rsidRDefault="008C0A20" w:rsidP="00BC1D34">
      <w:pPr>
        <w:spacing w:line="276" w:lineRule="auto"/>
        <w:contextualSpacing/>
        <w:rPr>
          <w:rFonts w:ascii="Tahoma" w:hAnsi="Tahoma" w:cs="Tahoma"/>
          <w:color w:val="000000" w:themeColor="text1"/>
          <w:sz w:val="24"/>
          <w:szCs w:val="24"/>
        </w:rPr>
      </w:pPr>
      <w:r w:rsidRPr="00BC1D34">
        <w:rPr>
          <w:rFonts w:ascii="Tahoma" w:hAnsi="Tahoma" w:cs="Tahoma"/>
          <w:color w:val="000000" w:themeColor="text1"/>
          <w:sz w:val="24"/>
          <w:szCs w:val="24"/>
        </w:rPr>
        <w:t>Notificación surtida en estrados.</w:t>
      </w:r>
    </w:p>
    <w:p w14:paraId="1B3168EC" w14:textId="77777777" w:rsidR="008C0A20" w:rsidRPr="00BC1D34" w:rsidRDefault="008C0A20" w:rsidP="00BC1D34">
      <w:pPr>
        <w:spacing w:line="276" w:lineRule="auto"/>
        <w:contextualSpacing/>
        <w:rPr>
          <w:rFonts w:ascii="Tahoma" w:hAnsi="Tahoma" w:cs="Tahoma"/>
          <w:color w:val="000000" w:themeColor="text1"/>
          <w:sz w:val="24"/>
          <w:szCs w:val="24"/>
        </w:rPr>
      </w:pPr>
    </w:p>
    <w:p w14:paraId="17085912" w14:textId="3A2C55EA" w:rsidR="00BC1D34" w:rsidRDefault="008C0A20" w:rsidP="0029631F">
      <w:pPr>
        <w:pStyle w:val="Textoindependiente"/>
        <w:spacing w:after="0" w:line="276" w:lineRule="auto"/>
        <w:contextualSpacing/>
        <w:rPr>
          <w:rFonts w:ascii="Tahoma" w:hAnsi="Tahoma" w:cs="Tahoma"/>
          <w:color w:val="000000" w:themeColor="text1"/>
          <w:sz w:val="24"/>
          <w:szCs w:val="24"/>
        </w:rPr>
      </w:pPr>
      <w:r w:rsidRPr="00BC1D34">
        <w:rPr>
          <w:rFonts w:ascii="Tahoma" w:hAnsi="Tahoma" w:cs="Tahoma"/>
          <w:color w:val="000000" w:themeColor="text1"/>
          <w:sz w:val="24"/>
          <w:szCs w:val="24"/>
        </w:rPr>
        <w:t>No siendo otro el objeto de la presente audiencia, se eleva y firma esta acta por las personas que han intervenido.</w:t>
      </w:r>
    </w:p>
    <w:p w14:paraId="51E8B84A" w14:textId="77777777" w:rsidR="0029631F" w:rsidRDefault="0029631F" w:rsidP="0029631F">
      <w:pPr>
        <w:pStyle w:val="Textoindependiente"/>
        <w:spacing w:after="0" w:line="276" w:lineRule="auto"/>
        <w:contextualSpacing/>
        <w:rPr>
          <w:rFonts w:ascii="Tahoma" w:hAnsi="Tahoma" w:cs="Tahoma"/>
          <w:color w:val="000000" w:themeColor="text1"/>
          <w:sz w:val="24"/>
          <w:szCs w:val="24"/>
        </w:rPr>
      </w:pPr>
    </w:p>
    <w:p w14:paraId="67F2D741" w14:textId="7DCFD251" w:rsidR="0029631F" w:rsidRPr="0029631F" w:rsidRDefault="0029631F" w:rsidP="0029631F">
      <w:pPr>
        <w:pStyle w:val="Textoindependiente"/>
        <w:spacing w:after="0" w:line="276" w:lineRule="auto"/>
        <w:contextualSpacing/>
        <w:rPr>
          <w:rFonts w:ascii="Tahoma" w:hAnsi="Tahoma" w:cs="Tahoma"/>
          <w:color w:val="000000" w:themeColor="text1"/>
          <w:sz w:val="24"/>
          <w:szCs w:val="24"/>
        </w:rPr>
      </w:pPr>
      <w:r>
        <w:rPr>
          <w:rFonts w:ascii="Tahoma" w:hAnsi="Tahoma" w:cs="Tahoma"/>
          <w:color w:val="000000" w:themeColor="text1"/>
          <w:sz w:val="24"/>
          <w:szCs w:val="24"/>
        </w:rPr>
        <w:t>La Magistrada Ponente,</w:t>
      </w:r>
    </w:p>
    <w:p w14:paraId="4C0A174A" w14:textId="77777777" w:rsidR="0029631F" w:rsidRPr="00BC1D34" w:rsidRDefault="0029631F" w:rsidP="00BC1D34">
      <w:pPr>
        <w:spacing w:line="276" w:lineRule="auto"/>
        <w:ind w:firstLine="0"/>
        <w:jc w:val="left"/>
        <w:rPr>
          <w:rFonts w:ascii="Tahoma" w:eastAsia="Calibri" w:hAnsi="Tahoma" w:cs="Tahoma"/>
          <w:sz w:val="24"/>
          <w:szCs w:val="24"/>
        </w:rPr>
      </w:pPr>
    </w:p>
    <w:p w14:paraId="364DB34C" w14:textId="77777777" w:rsidR="00BC1D34" w:rsidRPr="00BC1D34" w:rsidRDefault="00BC1D34" w:rsidP="00BC1D34">
      <w:pPr>
        <w:spacing w:line="276" w:lineRule="auto"/>
        <w:ind w:firstLine="0"/>
        <w:jc w:val="left"/>
        <w:rPr>
          <w:rFonts w:ascii="Tahoma" w:eastAsia="Calibri" w:hAnsi="Tahoma" w:cs="Tahoma"/>
          <w:sz w:val="24"/>
          <w:szCs w:val="24"/>
        </w:rPr>
      </w:pPr>
    </w:p>
    <w:p w14:paraId="5DE44772" w14:textId="77777777" w:rsidR="00BC1D34" w:rsidRPr="00BC1D34" w:rsidRDefault="00BC1D34" w:rsidP="00BC1D34">
      <w:pPr>
        <w:spacing w:line="276" w:lineRule="auto"/>
        <w:ind w:firstLine="0"/>
        <w:jc w:val="left"/>
        <w:rPr>
          <w:rFonts w:ascii="Tahoma" w:eastAsia="Calibri" w:hAnsi="Tahoma" w:cs="Tahoma"/>
          <w:sz w:val="24"/>
          <w:szCs w:val="24"/>
        </w:rPr>
      </w:pPr>
    </w:p>
    <w:p w14:paraId="1995BC47" w14:textId="77777777" w:rsidR="00BC1D34" w:rsidRDefault="00BC1D34" w:rsidP="00BC1D34">
      <w:pPr>
        <w:spacing w:line="276" w:lineRule="auto"/>
        <w:ind w:firstLine="0"/>
        <w:jc w:val="center"/>
        <w:rPr>
          <w:rFonts w:ascii="Tahoma" w:eastAsia="Calibri" w:hAnsi="Tahoma" w:cs="Tahoma"/>
          <w:b/>
          <w:sz w:val="24"/>
          <w:szCs w:val="24"/>
        </w:rPr>
      </w:pPr>
      <w:r w:rsidRPr="00BC1D34">
        <w:rPr>
          <w:rFonts w:ascii="Tahoma" w:eastAsia="Calibri" w:hAnsi="Tahoma" w:cs="Tahoma"/>
          <w:b/>
          <w:sz w:val="24"/>
          <w:szCs w:val="24"/>
        </w:rPr>
        <w:t>ANA LUCÍA CAICEDO CALDERÓN</w:t>
      </w:r>
    </w:p>
    <w:p w14:paraId="5F84E9B6" w14:textId="63D89B83" w:rsidR="00BC1D34" w:rsidRPr="00BC1D34" w:rsidRDefault="00BC1D34" w:rsidP="00BC1D34">
      <w:pPr>
        <w:spacing w:line="276" w:lineRule="auto"/>
        <w:ind w:firstLine="0"/>
        <w:jc w:val="center"/>
        <w:rPr>
          <w:rFonts w:ascii="Tahoma" w:eastAsia="Calibri" w:hAnsi="Tahoma" w:cs="Tahoma"/>
          <w:sz w:val="24"/>
          <w:szCs w:val="24"/>
        </w:rPr>
      </w:pPr>
      <w:r>
        <w:rPr>
          <w:rFonts w:ascii="Tahoma" w:eastAsia="Calibri" w:hAnsi="Tahoma" w:cs="Tahoma"/>
          <w:sz w:val="24"/>
          <w:szCs w:val="24"/>
        </w:rPr>
        <w:t>Salva voto</w:t>
      </w:r>
    </w:p>
    <w:p w14:paraId="2064BDCC" w14:textId="77777777" w:rsidR="00BC1D34" w:rsidRPr="00BC1D34" w:rsidRDefault="00BC1D34" w:rsidP="00BC1D34">
      <w:pPr>
        <w:spacing w:line="276" w:lineRule="auto"/>
        <w:ind w:firstLine="0"/>
        <w:jc w:val="left"/>
        <w:rPr>
          <w:rFonts w:ascii="Tahoma" w:eastAsia="Calibri" w:hAnsi="Tahoma" w:cs="Tahoma"/>
          <w:sz w:val="24"/>
          <w:szCs w:val="24"/>
        </w:rPr>
      </w:pPr>
    </w:p>
    <w:p w14:paraId="53D1F1F5" w14:textId="77777777" w:rsidR="00BC1D34" w:rsidRPr="00BC1D34" w:rsidRDefault="00BC1D34" w:rsidP="00BC1D34">
      <w:pPr>
        <w:spacing w:line="276" w:lineRule="auto"/>
        <w:ind w:firstLine="0"/>
        <w:jc w:val="left"/>
        <w:rPr>
          <w:rFonts w:ascii="Tahoma" w:eastAsia="Calibri" w:hAnsi="Tahoma" w:cs="Tahoma"/>
          <w:sz w:val="24"/>
          <w:szCs w:val="24"/>
        </w:rPr>
      </w:pPr>
    </w:p>
    <w:p w14:paraId="383C1C58" w14:textId="77777777" w:rsidR="00BC1D34" w:rsidRPr="00BC1D34" w:rsidRDefault="00BC1D34" w:rsidP="00BC1D34">
      <w:pPr>
        <w:spacing w:line="276" w:lineRule="auto"/>
        <w:ind w:firstLine="0"/>
        <w:jc w:val="left"/>
        <w:rPr>
          <w:rFonts w:ascii="Tahoma" w:eastAsia="Calibri" w:hAnsi="Tahoma" w:cs="Tahoma"/>
          <w:sz w:val="24"/>
          <w:szCs w:val="24"/>
        </w:rPr>
      </w:pPr>
    </w:p>
    <w:p w14:paraId="75183BB9" w14:textId="77777777" w:rsidR="00BC1D34" w:rsidRPr="00BC1D34" w:rsidRDefault="00BC1D34" w:rsidP="00BC1D34">
      <w:pPr>
        <w:tabs>
          <w:tab w:val="left" w:pos="3960"/>
        </w:tabs>
        <w:spacing w:line="276" w:lineRule="auto"/>
        <w:ind w:firstLine="0"/>
        <w:rPr>
          <w:rFonts w:ascii="Tahoma" w:eastAsia="Calibri" w:hAnsi="Tahoma" w:cs="Tahoma"/>
          <w:b/>
          <w:bCs/>
          <w:sz w:val="24"/>
          <w:szCs w:val="24"/>
        </w:rPr>
      </w:pPr>
      <w:r w:rsidRPr="00BC1D34">
        <w:rPr>
          <w:rFonts w:ascii="Tahoma" w:eastAsia="Calibri" w:hAnsi="Tahoma" w:cs="Tahoma"/>
          <w:b/>
          <w:bCs/>
          <w:sz w:val="24"/>
          <w:szCs w:val="24"/>
        </w:rPr>
        <w:t>OLGA LUCÍA HOYOS SEPÚLVEDA</w:t>
      </w:r>
      <w:r w:rsidRPr="00BC1D34">
        <w:rPr>
          <w:rFonts w:ascii="Tahoma" w:eastAsia="Calibri" w:hAnsi="Tahoma" w:cs="Tahoma"/>
          <w:b/>
          <w:bCs/>
          <w:sz w:val="24"/>
          <w:szCs w:val="24"/>
        </w:rPr>
        <w:tab/>
      </w:r>
      <w:r w:rsidRPr="00BC1D34">
        <w:rPr>
          <w:rFonts w:ascii="Tahoma" w:eastAsia="Calibri" w:hAnsi="Tahoma" w:cs="Tahoma"/>
          <w:b/>
          <w:bCs/>
          <w:sz w:val="24"/>
          <w:szCs w:val="24"/>
        </w:rPr>
        <w:tab/>
      </w:r>
      <w:r w:rsidRPr="00BC1D34">
        <w:rPr>
          <w:rFonts w:ascii="Tahoma" w:eastAsia="Calibri" w:hAnsi="Tahoma" w:cs="Tahoma"/>
          <w:b/>
          <w:bCs/>
          <w:sz w:val="24"/>
          <w:szCs w:val="24"/>
        </w:rPr>
        <w:tab/>
        <w:t xml:space="preserve">   JULIO CÉSAR SALAZAR MUÑOZ</w:t>
      </w:r>
    </w:p>
    <w:p w14:paraId="31C28E67" w14:textId="3103AAA5" w:rsidR="00795E9E" w:rsidRDefault="00BC1D34" w:rsidP="00BC1D34">
      <w:pPr>
        <w:spacing w:line="276" w:lineRule="auto"/>
        <w:ind w:firstLine="0"/>
        <w:jc w:val="left"/>
        <w:rPr>
          <w:rFonts w:ascii="Tahoma" w:eastAsia="Calibri" w:hAnsi="Tahoma" w:cs="Tahoma"/>
          <w:sz w:val="24"/>
          <w:szCs w:val="24"/>
        </w:rPr>
      </w:pPr>
      <w:r w:rsidRPr="00BC1D34">
        <w:rPr>
          <w:rFonts w:ascii="Tahoma" w:eastAsia="Calibri" w:hAnsi="Tahoma" w:cs="Tahoma"/>
          <w:b/>
          <w:sz w:val="24"/>
          <w:szCs w:val="24"/>
        </w:rPr>
        <w:tab/>
      </w:r>
      <w:r w:rsidR="004A06C9">
        <w:rPr>
          <w:rFonts w:ascii="Tahoma" w:eastAsia="Calibri" w:hAnsi="Tahoma" w:cs="Tahoma"/>
          <w:b/>
          <w:bCs/>
          <w:sz w:val="24"/>
          <w:szCs w:val="24"/>
        </w:rPr>
        <w:t xml:space="preserve">    </w:t>
      </w:r>
      <w:r w:rsidRPr="00BC1D34">
        <w:rPr>
          <w:rFonts w:ascii="Tahoma" w:eastAsia="Calibri" w:hAnsi="Tahoma" w:cs="Tahoma"/>
          <w:sz w:val="24"/>
          <w:szCs w:val="24"/>
        </w:rPr>
        <w:t>Magistrada</w:t>
      </w:r>
      <w:r w:rsidR="004A06C9">
        <w:rPr>
          <w:rFonts w:ascii="Tahoma" w:eastAsia="Calibri" w:hAnsi="Tahoma" w:cs="Tahoma"/>
          <w:sz w:val="24"/>
          <w:szCs w:val="24"/>
        </w:rPr>
        <w:t xml:space="preserve"> Ponente</w:t>
      </w:r>
      <w:r w:rsidRPr="00BC1D34">
        <w:rPr>
          <w:rFonts w:ascii="Tahoma" w:eastAsia="Calibri" w:hAnsi="Tahoma" w:cs="Tahoma"/>
          <w:sz w:val="24"/>
          <w:szCs w:val="24"/>
        </w:rPr>
        <w:tab/>
      </w:r>
      <w:r w:rsidRPr="00BC1D34">
        <w:rPr>
          <w:rFonts w:ascii="Tahoma" w:eastAsia="Calibri" w:hAnsi="Tahoma" w:cs="Tahoma"/>
          <w:sz w:val="24"/>
          <w:szCs w:val="24"/>
        </w:rPr>
        <w:tab/>
      </w:r>
      <w:r w:rsidRPr="00BC1D34">
        <w:rPr>
          <w:rFonts w:ascii="Tahoma" w:eastAsia="Calibri" w:hAnsi="Tahoma" w:cs="Tahoma"/>
          <w:sz w:val="24"/>
          <w:szCs w:val="24"/>
        </w:rPr>
        <w:tab/>
      </w:r>
      <w:r w:rsidRPr="00BC1D34">
        <w:rPr>
          <w:rFonts w:ascii="Tahoma" w:eastAsia="Calibri" w:hAnsi="Tahoma" w:cs="Tahoma"/>
          <w:sz w:val="24"/>
          <w:szCs w:val="24"/>
        </w:rPr>
        <w:tab/>
      </w:r>
      <w:r w:rsidRPr="00BC1D34">
        <w:rPr>
          <w:rFonts w:ascii="Tahoma" w:eastAsia="Calibri" w:hAnsi="Tahoma" w:cs="Tahoma"/>
          <w:sz w:val="24"/>
          <w:szCs w:val="24"/>
        </w:rPr>
        <w:tab/>
        <w:t>Magistrado</w:t>
      </w:r>
    </w:p>
    <w:p w14:paraId="0813B19B" w14:textId="77777777" w:rsidR="00C95328" w:rsidRDefault="00C95328" w:rsidP="00BC1D34">
      <w:pPr>
        <w:spacing w:line="276" w:lineRule="auto"/>
        <w:ind w:firstLine="0"/>
        <w:jc w:val="left"/>
        <w:rPr>
          <w:rFonts w:ascii="Tahoma" w:eastAsia="Calibri" w:hAnsi="Tahoma" w:cs="Tahoma"/>
          <w:sz w:val="24"/>
          <w:szCs w:val="24"/>
        </w:rPr>
      </w:pPr>
    </w:p>
    <w:p w14:paraId="76913B9B" w14:textId="3CA8A145" w:rsidR="00C95328" w:rsidRDefault="00C95328">
      <w:pPr>
        <w:spacing w:after="160"/>
        <w:ind w:firstLine="0"/>
        <w:jc w:val="left"/>
        <w:rPr>
          <w:rFonts w:ascii="Tahoma" w:eastAsia="Calibri" w:hAnsi="Tahoma" w:cs="Tahoma"/>
          <w:sz w:val="24"/>
          <w:szCs w:val="24"/>
        </w:rPr>
      </w:pPr>
      <w:r>
        <w:rPr>
          <w:rFonts w:ascii="Tahoma" w:eastAsia="Calibri" w:hAnsi="Tahoma" w:cs="Tahoma"/>
          <w:sz w:val="24"/>
          <w:szCs w:val="24"/>
        </w:rPr>
        <w:br w:type="page"/>
      </w:r>
    </w:p>
    <w:p w14:paraId="065E4DDF" w14:textId="77777777" w:rsidR="00C95328" w:rsidRPr="00C95328" w:rsidRDefault="00C95328" w:rsidP="00C95328">
      <w:pPr>
        <w:spacing w:line="240" w:lineRule="auto"/>
        <w:ind w:firstLine="0"/>
        <w:textAlignment w:val="baseline"/>
        <w:rPr>
          <w:rFonts w:ascii="Arial" w:eastAsia="Times New Roman" w:hAnsi="Arial" w:cs="Arial"/>
          <w:sz w:val="20"/>
          <w:szCs w:val="18"/>
          <w:lang w:val="es-CO" w:eastAsia="es-ES_tradnl"/>
        </w:rPr>
      </w:pPr>
      <w:r w:rsidRPr="00C95328">
        <w:rPr>
          <w:rFonts w:ascii="Arial" w:eastAsia="Times New Roman" w:hAnsi="Arial" w:cs="Arial"/>
          <w:bCs/>
          <w:sz w:val="20"/>
          <w:szCs w:val="18"/>
          <w:lang w:eastAsia="es-ES_tradnl"/>
        </w:rPr>
        <w:lastRenderedPageBreak/>
        <w:t>Providencia:</w:t>
      </w:r>
      <w:r w:rsidRPr="00C95328">
        <w:rPr>
          <w:rFonts w:ascii="Arial" w:eastAsia="Times New Roman" w:hAnsi="Arial" w:cs="Arial"/>
          <w:sz w:val="20"/>
          <w:szCs w:val="18"/>
          <w:lang w:eastAsia="es-ES_tradnl"/>
        </w:rPr>
        <w:t> </w:t>
      </w:r>
      <w:r w:rsidRPr="00C95328">
        <w:rPr>
          <w:rFonts w:ascii="Arial" w:eastAsia="Times New Roman" w:hAnsi="Arial" w:cs="Arial"/>
          <w:sz w:val="20"/>
          <w:szCs w:val="18"/>
          <w:lang w:eastAsia="es-ES_tradnl"/>
        </w:rPr>
        <w:tab/>
      </w:r>
      <w:r w:rsidRPr="00C95328">
        <w:rPr>
          <w:rFonts w:ascii="Arial" w:eastAsia="Times New Roman" w:hAnsi="Arial" w:cs="Arial"/>
          <w:sz w:val="20"/>
          <w:szCs w:val="18"/>
          <w:lang w:eastAsia="es-ES_tradnl"/>
        </w:rPr>
        <w:tab/>
      </w:r>
      <w:r w:rsidRPr="00C95328">
        <w:rPr>
          <w:rFonts w:ascii="Arial" w:eastAsia="Times New Roman" w:hAnsi="Arial" w:cs="Arial"/>
          <w:sz w:val="20"/>
          <w:szCs w:val="18"/>
          <w:lang w:eastAsia="es-ES_tradnl"/>
        </w:rPr>
        <w:tab/>
        <w:t>Sent</w:t>
      </w:r>
      <w:bookmarkStart w:id="0" w:name="_GoBack"/>
      <w:bookmarkEnd w:id="0"/>
      <w:r w:rsidRPr="00C95328">
        <w:rPr>
          <w:rFonts w:ascii="Arial" w:eastAsia="Times New Roman" w:hAnsi="Arial" w:cs="Arial"/>
          <w:sz w:val="20"/>
          <w:szCs w:val="18"/>
          <w:lang w:eastAsia="es-ES_tradnl"/>
        </w:rPr>
        <w:t>encia del 29 de mayo de 2020</w:t>
      </w:r>
      <w:r w:rsidRPr="00C95328">
        <w:rPr>
          <w:rFonts w:ascii="Arial" w:eastAsia="Times New Roman" w:hAnsi="Arial" w:cs="Arial"/>
          <w:sz w:val="20"/>
          <w:szCs w:val="18"/>
          <w:lang w:val="es-CO" w:eastAsia="es-ES_tradnl"/>
        </w:rPr>
        <w:t> </w:t>
      </w:r>
    </w:p>
    <w:p w14:paraId="6ADE25DF" w14:textId="77777777" w:rsidR="00C95328" w:rsidRPr="00C95328" w:rsidRDefault="00C95328" w:rsidP="00C95328">
      <w:pPr>
        <w:spacing w:line="240" w:lineRule="auto"/>
        <w:ind w:firstLine="0"/>
        <w:textAlignment w:val="baseline"/>
        <w:rPr>
          <w:rFonts w:ascii="Arial" w:eastAsia="Times New Roman" w:hAnsi="Arial" w:cs="Arial"/>
          <w:sz w:val="20"/>
          <w:szCs w:val="18"/>
          <w:lang w:val="es-CO" w:eastAsia="es-ES_tradnl"/>
        </w:rPr>
      </w:pPr>
      <w:r w:rsidRPr="00C95328">
        <w:rPr>
          <w:rFonts w:ascii="Arial" w:eastAsia="Times New Roman" w:hAnsi="Arial" w:cs="Arial"/>
          <w:bCs/>
          <w:sz w:val="20"/>
          <w:szCs w:val="18"/>
          <w:lang w:eastAsia="es-ES_tradnl"/>
        </w:rPr>
        <w:t>Radicación No.:</w:t>
      </w:r>
      <w:r w:rsidRPr="00C95328">
        <w:rPr>
          <w:rFonts w:ascii="Arial" w:eastAsia="Times New Roman" w:hAnsi="Arial" w:cs="Arial"/>
          <w:sz w:val="20"/>
          <w:szCs w:val="18"/>
          <w:lang w:eastAsia="es-ES_tradnl"/>
        </w:rPr>
        <w:t> </w:t>
      </w:r>
      <w:r w:rsidRPr="00C95328">
        <w:rPr>
          <w:rFonts w:ascii="Arial" w:eastAsia="Times New Roman" w:hAnsi="Arial" w:cs="Arial"/>
          <w:sz w:val="20"/>
          <w:szCs w:val="18"/>
          <w:lang w:eastAsia="es-ES_tradnl"/>
        </w:rPr>
        <w:tab/>
      </w:r>
      <w:r w:rsidRPr="00C95328">
        <w:rPr>
          <w:rFonts w:ascii="Arial" w:eastAsia="Times New Roman" w:hAnsi="Arial" w:cs="Arial"/>
          <w:sz w:val="20"/>
          <w:szCs w:val="18"/>
          <w:lang w:eastAsia="es-ES_tradnl"/>
        </w:rPr>
        <w:tab/>
        <w:t>66001-31-05-005-2018-00037-01</w:t>
      </w:r>
      <w:r w:rsidRPr="00C95328">
        <w:rPr>
          <w:rFonts w:ascii="Arial" w:eastAsia="Times New Roman" w:hAnsi="Arial" w:cs="Arial"/>
          <w:sz w:val="20"/>
          <w:szCs w:val="18"/>
          <w:lang w:val="es-CO" w:eastAsia="es-ES_tradnl"/>
        </w:rPr>
        <w:t> </w:t>
      </w:r>
    </w:p>
    <w:p w14:paraId="675FCF40" w14:textId="77777777" w:rsidR="00C95328" w:rsidRPr="00C95328" w:rsidRDefault="00C95328" w:rsidP="00C95328">
      <w:pPr>
        <w:spacing w:line="240" w:lineRule="auto"/>
        <w:ind w:firstLine="0"/>
        <w:textAlignment w:val="baseline"/>
        <w:rPr>
          <w:rFonts w:ascii="Arial" w:eastAsia="Times New Roman" w:hAnsi="Arial" w:cs="Arial"/>
          <w:sz w:val="20"/>
          <w:szCs w:val="18"/>
          <w:lang w:val="es-CO" w:eastAsia="es-ES_tradnl"/>
        </w:rPr>
      </w:pPr>
      <w:r w:rsidRPr="00C95328">
        <w:rPr>
          <w:rFonts w:ascii="Arial" w:eastAsia="Times New Roman" w:hAnsi="Arial" w:cs="Arial"/>
          <w:bCs/>
          <w:sz w:val="20"/>
          <w:szCs w:val="18"/>
          <w:lang w:eastAsia="es-ES_tradnl"/>
        </w:rPr>
        <w:t>Proceso:</w:t>
      </w:r>
      <w:r w:rsidRPr="00C95328">
        <w:rPr>
          <w:rFonts w:ascii="Arial" w:eastAsia="Times New Roman" w:hAnsi="Arial" w:cs="Arial"/>
          <w:sz w:val="20"/>
          <w:szCs w:val="18"/>
          <w:lang w:eastAsia="es-ES_tradnl"/>
        </w:rPr>
        <w:t> </w:t>
      </w:r>
      <w:r w:rsidRPr="00C95328">
        <w:rPr>
          <w:rFonts w:ascii="Arial" w:eastAsia="Times New Roman" w:hAnsi="Arial" w:cs="Arial"/>
          <w:sz w:val="20"/>
          <w:szCs w:val="18"/>
          <w:lang w:eastAsia="es-ES_tradnl"/>
        </w:rPr>
        <w:tab/>
      </w:r>
      <w:r w:rsidRPr="00C95328">
        <w:rPr>
          <w:rFonts w:ascii="Arial" w:eastAsia="Times New Roman" w:hAnsi="Arial" w:cs="Arial"/>
          <w:sz w:val="20"/>
          <w:szCs w:val="18"/>
          <w:lang w:eastAsia="es-ES_tradnl"/>
        </w:rPr>
        <w:tab/>
      </w:r>
      <w:r w:rsidRPr="00C95328">
        <w:rPr>
          <w:rFonts w:ascii="Arial" w:eastAsia="Times New Roman" w:hAnsi="Arial" w:cs="Arial"/>
          <w:sz w:val="20"/>
          <w:szCs w:val="18"/>
          <w:lang w:eastAsia="es-ES_tradnl"/>
        </w:rPr>
        <w:tab/>
        <w:t>Ordinario Laboral </w:t>
      </w:r>
      <w:r w:rsidRPr="00C95328">
        <w:rPr>
          <w:rFonts w:ascii="Arial" w:eastAsia="Times New Roman" w:hAnsi="Arial" w:cs="Arial"/>
          <w:sz w:val="20"/>
          <w:szCs w:val="18"/>
          <w:lang w:val="es-CO" w:eastAsia="es-ES_tradnl"/>
        </w:rPr>
        <w:t> </w:t>
      </w:r>
    </w:p>
    <w:p w14:paraId="619EB22C" w14:textId="77777777" w:rsidR="00C95328" w:rsidRPr="00C95328" w:rsidRDefault="00C95328" w:rsidP="00C95328">
      <w:pPr>
        <w:spacing w:line="240" w:lineRule="auto"/>
        <w:ind w:firstLine="0"/>
        <w:textAlignment w:val="baseline"/>
        <w:rPr>
          <w:rFonts w:ascii="Arial" w:eastAsia="Times New Roman" w:hAnsi="Arial" w:cs="Arial"/>
          <w:sz w:val="20"/>
          <w:szCs w:val="18"/>
          <w:lang w:val="es-CO" w:eastAsia="es-ES_tradnl"/>
        </w:rPr>
      </w:pPr>
      <w:r w:rsidRPr="00C95328">
        <w:rPr>
          <w:rFonts w:ascii="Arial" w:eastAsia="Times New Roman" w:hAnsi="Arial" w:cs="Arial"/>
          <w:bCs/>
          <w:sz w:val="20"/>
          <w:szCs w:val="18"/>
          <w:lang w:eastAsia="es-ES_tradnl"/>
        </w:rPr>
        <w:t>Demandante:</w:t>
      </w:r>
      <w:r w:rsidRPr="00C95328">
        <w:rPr>
          <w:rFonts w:ascii="Arial" w:eastAsia="Times New Roman" w:hAnsi="Arial" w:cs="Arial"/>
          <w:sz w:val="20"/>
          <w:szCs w:val="18"/>
          <w:lang w:eastAsia="es-ES_tradnl"/>
        </w:rPr>
        <w:t> </w:t>
      </w:r>
      <w:r w:rsidRPr="00C95328">
        <w:rPr>
          <w:rFonts w:ascii="Arial" w:eastAsia="Times New Roman" w:hAnsi="Arial" w:cs="Arial"/>
          <w:sz w:val="20"/>
          <w:szCs w:val="18"/>
          <w:lang w:eastAsia="es-ES_tradnl"/>
        </w:rPr>
        <w:tab/>
      </w:r>
      <w:r w:rsidRPr="00C95328">
        <w:rPr>
          <w:rFonts w:ascii="Arial" w:eastAsia="Times New Roman" w:hAnsi="Arial" w:cs="Arial"/>
          <w:sz w:val="20"/>
          <w:szCs w:val="18"/>
          <w:lang w:eastAsia="es-ES_tradnl"/>
        </w:rPr>
        <w:tab/>
      </w:r>
      <w:r w:rsidRPr="00C95328">
        <w:rPr>
          <w:rFonts w:ascii="Arial" w:eastAsia="Times New Roman" w:hAnsi="Arial" w:cs="Arial"/>
          <w:sz w:val="20"/>
          <w:szCs w:val="18"/>
          <w:lang w:eastAsia="es-ES_tradnl"/>
        </w:rPr>
        <w:tab/>
        <w:t>Deida Rosa Parra de Soto  </w:t>
      </w:r>
      <w:r w:rsidRPr="00C95328">
        <w:rPr>
          <w:rFonts w:ascii="Arial" w:eastAsia="Times New Roman" w:hAnsi="Arial" w:cs="Arial"/>
          <w:sz w:val="20"/>
          <w:szCs w:val="18"/>
          <w:lang w:val="es-CO" w:eastAsia="es-ES_tradnl"/>
        </w:rPr>
        <w:t> </w:t>
      </w:r>
    </w:p>
    <w:p w14:paraId="20263FB7" w14:textId="77777777" w:rsidR="00C95328" w:rsidRPr="00C95328" w:rsidRDefault="00C95328" w:rsidP="00C95328">
      <w:pPr>
        <w:spacing w:line="240" w:lineRule="auto"/>
        <w:ind w:firstLine="0"/>
        <w:textAlignment w:val="baseline"/>
        <w:rPr>
          <w:rFonts w:ascii="Arial" w:eastAsia="Times New Roman" w:hAnsi="Arial" w:cs="Arial"/>
          <w:sz w:val="20"/>
          <w:szCs w:val="18"/>
          <w:lang w:val="es-CO" w:eastAsia="es-ES_tradnl"/>
        </w:rPr>
      </w:pPr>
      <w:r w:rsidRPr="00C95328">
        <w:rPr>
          <w:rFonts w:ascii="Arial" w:eastAsia="Times New Roman" w:hAnsi="Arial" w:cs="Arial"/>
          <w:bCs/>
          <w:sz w:val="20"/>
          <w:szCs w:val="18"/>
          <w:lang w:eastAsia="es-ES_tradnl"/>
        </w:rPr>
        <w:t>Demandado:</w:t>
      </w:r>
      <w:r w:rsidRPr="00C95328">
        <w:rPr>
          <w:rFonts w:ascii="Arial" w:eastAsia="Times New Roman" w:hAnsi="Arial" w:cs="Arial"/>
          <w:sz w:val="20"/>
          <w:szCs w:val="18"/>
          <w:lang w:eastAsia="es-ES_tradnl"/>
        </w:rPr>
        <w:t> </w:t>
      </w:r>
      <w:r w:rsidRPr="00C95328">
        <w:rPr>
          <w:rFonts w:ascii="Arial" w:eastAsia="Times New Roman" w:hAnsi="Arial" w:cs="Arial"/>
          <w:sz w:val="20"/>
          <w:szCs w:val="18"/>
          <w:lang w:eastAsia="es-ES_tradnl"/>
        </w:rPr>
        <w:tab/>
      </w:r>
      <w:r w:rsidRPr="00C95328">
        <w:rPr>
          <w:rFonts w:ascii="Arial" w:eastAsia="Times New Roman" w:hAnsi="Arial" w:cs="Arial"/>
          <w:sz w:val="20"/>
          <w:szCs w:val="18"/>
          <w:lang w:eastAsia="es-ES_tradnl"/>
        </w:rPr>
        <w:tab/>
      </w:r>
      <w:r w:rsidRPr="00C95328">
        <w:rPr>
          <w:rFonts w:ascii="Arial" w:eastAsia="Times New Roman" w:hAnsi="Arial" w:cs="Arial"/>
          <w:sz w:val="20"/>
          <w:szCs w:val="18"/>
          <w:lang w:eastAsia="es-ES_tradnl"/>
        </w:rPr>
        <w:tab/>
        <w:t>Colpensiones</w:t>
      </w:r>
      <w:r w:rsidRPr="00C95328">
        <w:rPr>
          <w:rFonts w:ascii="Arial" w:eastAsia="Times New Roman" w:hAnsi="Arial" w:cs="Arial"/>
          <w:sz w:val="20"/>
          <w:szCs w:val="18"/>
          <w:lang w:val="es-CO" w:eastAsia="es-ES_tradnl"/>
        </w:rPr>
        <w:t> </w:t>
      </w:r>
    </w:p>
    <w:p w14:paraId="76672160" w14:textId="77777777" w:rsidR="00C95328" w:rsidRPr="00C95328" w:rsidRDefault="00C95328" w:rsidP="00C95328">
      <w:pPr>
        <w:widowControl w:val="0"/>
        <w:autoSpaceDE w:val="0"/>
        <w:autoSpaceDN w:val="0"/>
        <w:adjustRightInd w:val="0"/>
        <w:spacing w:line="240" w:lineRule="auto"/>
        <w:ind w:firstLine="0"/>
        <w:rPr>
          <w:rFonts w:ascii="Arial" w:eastAsia="Times New Roman" w:hAnsi="Arial" w:cs="Arial"/>
          <w:sz w:val="20"/>
          <w:szCs w:val="18"/>
          <w:lang w:eastAsia="es-ES"/>
        </w:rPr>
      </w:pPr>
      <w:r w:rsidRPr="00C95328">
        <w:rPr>
          <w:rFonts w:ascii="Arial" w:eastAsia="Times New Roman" w:hAnsi="Arial" w:cs="Arial"/>
          <w:sz w:val="20"/>
          <w:szCs w:val="18"/>
          <w:lang w:eastAsia="es-ES"/>
        </w:rPr>
        <w:t>Magistradas ponentes:</w:t>
      </w:r>
      <w:r w:rsidRPr="00C95328">
        <w:rPr>
          <w:rFonts w:ascii="Arial" w:eastAsia="Times New Roman" w:hAnsi="Arial" w:cs="Arial"/>
          <w:sz w:val="20"/>
          <w:szCs w:val="18"/>
          <w:lang w:eastAsia="es-ES"/>
        </w:rPr>
        <w:tab/>
      </w:r>
      <w:r w:rsidRPr="00C95328">
        <w:rPr>
          <w:rFonts w:ascii="Arial" w:eastAsia="Times New Roman" w:hAnsi="Arial" w:cs="Arial"/>
          <w:sz w:val="20"/>
          <w:szCs w:val="18"/>
          <w:lang w:eastAsia="es-ES"/>
        </w:rPr>
        <w:tab/>
        <w:t>Dras. Ana Lucia Caicedo Calderón y Olga Lucía Hoyos Sepúlveda</w:t>
      </w:r>
    </w:p>
    <w:p w14:paraId="6D784E2B" w14:textId="77777777" w:rsidR="00C95328" w:rsidRPr="00C95328" w:rsidRDefault="00C95328" w:rsidP="00C95328">
      <w:pPr>
        <w:widowControl w:val="0"/>
        <w:autoSpaceDE w:val="0"/>
        <w:autoSpaceDN w:val="0"/>
        <w:adjustRightInd w:val="0"/>
        <w:spacing w:line="240" w:lineRule="auto"/>
        <w:ind w:left="2805" w:hanging="2805"/>
        <w:rPr>
          <w:rFonts w:ascii="Arial" w:eastAsia="Times New Roman" w:hAnsi="Arial" w:cs="Arial"/>
          <w:sz w:val="20"/>
          <w:szCs w:val="18"/>
          <w:lang w:eastAsia="es-ES"/>
        </w:rPr>
      </w:pPr>
      <w:r w:rsidRPr="00C95328">
        <w:rPr>
          <w:rFonts w:ascii="Arial" w:eastAsia="Times New Roman" w:hAnsi="Arial" w:cs="Arial"/>
          <w:sz w:val="20"/>
          <w:szCs w:val="18"/>
          <w:lang w:eastAsia="es-ES"/>
        </w:rPr>
        <w:t>Magistrada que salva voto:</w:t>
      </w:r>
      <w:r w:rsidRPr="00C95328">
        <w:rPr>
          <w:rFonts w:ascii="Arial" w:eastAsia="Times New Roman" w:hAnsi="Arial" w:cs="Arial"/>
          <w:sz w:val="20"/>
          <w:szCs w:val="18"/>
          <w:lang w:eastAsia="es-ES"/>
        </w:rPr>
        <w:tab/>
        <w:t>Dra. Ana Lucia Caicedo Calderón</w:t>
      </w:r>
    </w:p>
    <w:p w14:paraId="4775E4C9" w14:textId="6CC65CA0" w:rsidR="00C95328" w:rsidRPr="00C95328" w:rsidRDefault="00C95328" w:rsidP="00C95328">
      <w:pPr>
        <w:spacing w:line="276" w:lineRule="auto"/>
        <w:ind w:firstLine="0"/>
        <w:textAlignment w:val="baseline"/>
        <w:rPr>
          <w:rFonts w:ascii="Arial" w:eastAsia="Times New Roman" w:hAnsi="Arial" w:cs="Arial"/>
          <w:sz w:val="24"/>
          <w:szCs w:val="24"/>
          <w:lang w:val="es-CO" w:eastAsia="es-ES_tradnl"/>
        </w:rPr>
      </w:pPr>
    </w:p>
    <w:p w14:paraId="10D6BB67" w14:textId="77777777" w:rsidR="00C95328" w:rsidRPr="00C95328" w:rsidRDefault="00C95328" w:rsidP="00C95328">
      <w:pPr>
        <w:spacing w:line="276" w:lineRule="auto"/>
        <w:ind w:firstLine="0"/>
        <w:jc w:val="left"/>
        <w:rPr>
          <w:rFonts w:ascii="Arial" w:eastAsia="Times New Roman" w:hAnsi="Arial" w:cs="Arial"/>
          <w:sz w:val="24"/>
          <w:szCs w:val="24"/>
          <w:lang w:val="es-CO" w:eastAsia="es-MX"/>
        </w:rPr>
      </w:pPr>
    </w:p>
    <w:p w14:paraId="18E023BB" w14:textId="32C3882F" w:rsidR="00C95328" w:rsidRPr="00C95328" w:rsidRDefault="00C95328" w:rsidP="00C95328">
      <w:pPr>
        <w:spacing w:line="276" w:lineRule="auto"/>
        <w:ind w:firstLine="0"/>
        <w:jc w:val="center"/>
        <w:textAlignment w:val="baseline"/>
        <w:rPr>
          <w:rFonts w:ascii="Arial" w:eastAsia="Times New Roman" w:hAnsi="Arial" w:cs="Arial"/>
          <w:b/>
          <w:bCs/>
          <w:sz w:val="24"/>
          <w:szCs w:val="24"/>
          <w:lang w:val="es-CO" w:eastAsia="es-ES_tradnl"/>
        </w:rPr>
      </w:pPr>
      <w:r w:rsidRPr="00C95328">
        <w:rPr>
          <w:rFonts w:ascii="Arial" w:eastAsia="Times New Roman" w:hAnsi="Arial" w:cs="Arial"/>
          <w:b/>
          <w:bCs/>
          <w:sz w:val="24"/>
          <w:szCs w:val="24"/>
          <w:u w:val="single"/>
          <w:lang w:eastAsia="es-ES_tradnl"/>
        </w:rPr>
        <w:t>SALVAMENTO DE VOTO</w:t>
      </w:r>
      <w:r>
        <w:rPr>
          <w:rFonts w:ascii="Arial" w:eastAsia="Times New Roman" w:hAnsi="Arial" w:cs="Arial"/>
          <w:b/>
          <w:bCs/>
          <w:sz w:val="24"/>
          <w:szCs w:val="24"/>
          <w:lang w:val="es-CO" w:eastAsia="es-ES_tradnl"/>
        </w:rPr>
        <w:t xml:space="preserve"> </w:t>
      </w:r>
    </w:p>
    <w:p w14:paraId="69C77115" w14:textId="77777777" w:rsidR="00C95328" w:rsidRPr="00C95328" w:rsidRDefault="00C95328" w:rsidP="00C95328">
      <w:pPr>
        <w:spacing w:line="276" w:lineRule="auto"/>
        <w:ind w:firstLine="705"/>
        <w:textAlignment w:val="baseline"/>
        <w:rPr>
          <w:rFonts w:ascii="Arial" w:eastAsia="Times New Roman" w:hAnsi="Arial" w:cs="Arial"/>
          <w:sz w:val="24"/>
          <w:szCs w:val="24"/>
          <w:lang w:val="es-CO" w:eastAsia="es-ES_tradnl"/>
        </w:rPr>
      </w:pPr>
      <w:r w:rsidRPr="00C95328">
        <w:rPr>
          <w:rFonts w:ascii="Arial" w:eastAsia="Times New Roman" w:hAnsi="Arial" w:cs="Arial"/>
          <w:sz w:val="24"/>
          <w:szCs w:val="24"/>
          <w:lang w:val="es-CO" w:eastAsia="es-ES_tradnl"/>
        </w:rPr>
        <w:t> </w:t>
      </w:r>
    </w:p>
    <w:p w14:paraId="234A1CA8" w14:textId="00E97ABB" w:rsidR="00C95328" w:rsidRPr="00C95328" w:rsidRDefault="00C95328" w:rsidP="00C95328">
      <w:pPr>
        <w:spacing w:line="276" w:lineRule="auto"/>
        <w:ind w:firstLine="705"/>
        <w:textAlignment w:val="baseline"/>
        <w:rPr>
          <w:rFonts w:ascii="Arial" w:eastAsia="Times New Roman" w:hAnsi="Arial" w:cs="Arial"/>
          <w:sz w:val="24"/>
          <w:szCs w:val="24"/>
          <w:lang w:val="es-CO" w:eastAsia="es-ES_tradnl"/>
        </w:rPr>
      </w:pPr>
      <w:r w:rsidRPr="00C95328">
        <w:rPr>
          <w:rFonts w:ascii="Arial" w:eastAsia="Times New Roman" w:hAnsi="Arial" w:cs="Arial"/>
          <w:sz w:val="24"/>
          <w:szCs w:val="24"/>
          <w:lang w:eastAsia="es-ES_tradnl"/>
        </w:rPr>
        <w:t>Con mi acostumbrado respeto, manifiesto mi inconformidad frente a la sentencia mayoritaria por cuanto considero que en el presente caso había lugar a aplicar el principio de condición más beneficiosa a efectos de conceder la pensión de sobrevivientes deprecada en la demanda por las sig</w:t>
      </w:r>
      <w:r>
        <w:rPr>
          <w:rFonts w:ascii="Arial" w:eastAsia="Times New Roman" w:hAnsi="Arial" w:cs="Arial"/>
          <w:sz w:val="24"/>
          <w:szCs w:val="24"/>
          <w:lang w:eastAsia="es-ES_tradnl"/>
        </w:rPr>
        <w:t>uientes razones:</w:t>
      </w:r>
    </w:p>
    <w:p w14:paraId="6D3A0D54" w14:textId="77777777" w:rsidR="00C95328" w:rsidRPr="00C95328" w:rsidRDefault="00C95328" w:rsidP="00C95328">
      <w:pPr>
        <w:spacing w:line="276" w:lineRule="auto"/>
        <w:ind w:firstLine="705"/>
        <w:textAlignment w:val="baseline"/>
        <w:rPr>
          <w:rFonts w:ascii="Arial" w:eastAsia="Times New Roman" w:hAnsi="Arial" w:cs="Arial"/>
          <w:sz w:val="24"/>
          <w:szCs w:val="24"/>
          <w:lang w:val="es-CO" w:eastAsia="es-ES_tradnl"/>
        </w:rPr>
      </w:pPr>
      <w:r w:rsidRPr="00C95328">
        <w:rPr>
          <w:rFonts w:ascii="Arial" w:eastAsia="Times New Roman" w:hAnsi="Arial" w:cs="Arial"/>
          <w:sz w:val="24"/>
          <w:szCs w:val="24"/>
          <w:lang w:val="es-CO" w:eastAsia="es-ES_tradnl"/>
        </w:rPr>
        <w:t> </w:t>
      </w:r>
    </w:p>
    <w:p w14:paraId="671E4779" w14:textId="4BEE0C2E" w:rsidR="00C95328" w:rsidRPr="00C95328" w:rsidRDefault="00C95328" w:rsidP="00C95328">
      <w:pPr>
        <w:spacing w:line="276" w:lineRule="auto"/>
        <w:ind w:firstLine="705"/>
        <w:textAlignment w:val="baseline"/>
        <w:rPr>
          <w:rFonts w:ascii="Arial" w:eastAsia="Times New Roman" w:hAnsi="Arial" w:cs="Arial"/>
          <w:sz w:val="24"/>
          <w:szCs w:val="24"/>
          <w:lang w:val="es-CO" w:eastAsia="es-ES_tradnl"/>
        </w:rPr>
      </w:pPr>
      <w:r w:rsidRPr="00C95328">
        <w:rPr>
          <w:rFonts w:ascii="Arial" w:eastAsia="Times New Roman" w:hAnsi="Arial" w:cs="Arial"/>
          <w:sz w:val="24"/>
          <w:szCs w:val="24"/>
          <w:lang w:eastAsia="es-ES_tradnl"/>
        </w:rPr>
        <w:t>Respecto a la aplicación del principio de la condición más beneficiosa existen dos interpretaciones: una de la Sala de Casación Laboral de la Corte Suprema de Justicia que es restrictiva, y otra de la Corte Constitucional que es mucho más amplia. La primera aduce que sólo es posible acudir a la norma inmediatamente anterior, mientras la segunda asevera que puede acudirse a</w:t>
      </w:r>
      <w:r w:rsidRPr="00C95328">
        <w:rPr>
          <w:rFonts w:ascii="Arial" w:eastAsia="Times New Roman" w:hAnsi="Arial" w:cs="Arial"/>
          <w:b/>
          <w:bCs/>
          <w:sz w:val="24"/>
          <w:szCs w:val="24"/>
          <w:lang w:eastAsia="es-ES_tradnl"/>
        </w:rPr>
        <w:t> </w:t>
      </w:r>
      <w:r w:rsidRPr="00C95328">
        <w:rPr>
          <w:rFonts w:ascii="Arial" w:eastAsia="Times New Roman" w:hAnsi="Arial" w:cs="Arial"/>
          <w:sz w:val="24"/>
          <w:szCs w:val="24"/>
          <w:lang w:eastAsia="es-ES_tradnl"/>
        </w:rPr>
        <w:t>una norma anterior, independientemente si es inmediata o no, bajo la tesis de que el artículo 53 de la Constitución Política no restringe la aplicación de la condición más beneficiosa a sólo dos normas aplicables al caso, apartándose de la interpretación de la Corte Suprema de Justicia por considerarla menos favorable que la asumida por esa Colegiatura. Así lo expresó, entre otras, en la sentencia T-566 de 2014</w:t>
      </w:r>
      <w:r w:rsidRPr="00C95328">
        <w:rPr>
          <w:rFonts w:ascii="Arial" w:eastAsia="Times New Roman" w:hAnsi="Arial" w:cs="Arial"/>
          <w:sz w:val="24"/>
          <w:szCs w:val="24"/>
          <w:vertAlign w:val="superscript"/>
          <w:lang w:eastAsia="es-ES_tradnl"/>
        </w:rPr>
        <w:t>1</w:t>
      </w:r>
      <w:r>
        <w:rPr>
          <w:rFonts w:ascii="Arial" w:eastAsia="Times New Roman" w:hAnsi="Arial" w:cs="Arial"/>
          <w:sz w:val="24"/>
          <w:szCs w:val="24"/>
          <w:lang w:eastAsia="es-ES_tradnl"/>
        </w:rPr>
        <w:t>.</w:t>
      </w:r>
    </w:p>
    <w:p w14:paraId="0FA8E5D2" w14:textId="77777777" w:rsidR="00C95328" w:rsidRPr="00C95328" w:rsidRDefault="00C95328" w:rsidP="00C95328">
      <w:pPr>
        <w:spacing w:line="276" w:lineRule="auto"/>
        <w:ind w:firstLine="705"/>
        <w:textAlignment w:val="baseline"/>
        <w:rPr>
          <w:rFonts w:ascii="Arial" w:eastAsia="Times New Roman" w:hAnsi="Arial" w:cs="Arial"/>
          <w:sz w:val="24"/>
          <w:szCs w:val="24"/>
          <w:lang w:val="es-CO" w:eastAsia="es-ES_tradnl"/>
        </w:rPr>
      </w:pPr>
      <w:r w:rsidRPr="00C95328">
        <w:rPr>
          <w:rFonts w:ascii="Arial" w:eastAsia="Times New Roman" w:hAnsi="Arial" w:cs="Arial"/>
          <w:sz w:val="24"/>
          <w:szCs w:val="24"/>
          <w:lang w:val="es-CO" w:eastAsia="es-ES_tradnl"/>
        </w:rPr>
        <w:t> </w:t>
      </w:r>
    </w:p>
    <w:p w14:paraId="5D855C3D" w14:textId="421EE03A" w:rsidR="00C95328" w:rsidRPr="00C95328" w:rsidRDefault="00C95328" w:rsidP="00C95328">
      <w:pPr>
        <w:spacing w:line="276" w:lineRule="auto"/>
        <w:ind w:firstLine="705"/>
        <w:textAlignment w:val="baseline"/>
        <w:rPr>
          <w:rFonts w:ascii="Arial" w:eastAsia="Times New Roman" w:hAnsi="Arial" w:cs="Arial"/>
          <w:sz w:val="24"/>
          <w:szCs w:val="24"/>
          <w:lang w:val="es-CO" w:eastAsia="es-ES_tradnl"/>
        </w:rPr>
      </w:pPr>
      <w:r w:rsidRPr="00C95328">
        <w:rPr>
          <w:rFonts w:ascii="Arial" w:eastAsia="Times New Roman" w:hAnsi="Arial" w:cs="Arial"/>
          <w:sz w:val="24"/>
          <w:szCs w:val="24"/>
          <w:lang w:eastAsia="es-ES_tradnl"/>
        </w:rPr>
        <w:t>Sin embargo, hace poco la Sala de Casación Laboral redujo aún más su postura en la aplicación de este principio en el tránsito de la Ley 100 original a la Ley 860 de 2003, en la Sentencia SL4650, Radicado No. 45262 del 25 de enero de 2017, en la que se analizó una pensión de sobrevivientes, al imponer una limitación temporal en el sentido de que el deceso debió ocurrir en los 3 años siguientes a la entrada en vigencia de dicha norma, esto es, entre el 26 de diciembre de 200</w:t>
      </w:r>
      <w:r>
        <w:rPr>
          <w:rFonts w:ascii="Arial" w:eastAsia="Times New Roman" w:hAnsi="Arial" w:cs="Arial"/>
          <w:sz w:val="24"/>
          <w:szCs w:val="24"/>
          <w:lang w:eastAsia="es-ES_tradnl"/>
        </w:rPr>
        <w:t xml:space="preserve">3 y el 26 de diciembre de 2006, </w:t>
      </w:r>
      <w:r w:rsidRPr="00C95328">
        <w:rPr>
          <w:rFonts w:ascii="Arial" w:eastAsia="Times New Roman" w:hAnsi="Arial" w:cs="Arial"/>
          <w:i/>
          <w:iCs/>
          <w:sz w:val="24"/>
          <w:szCs w:val="24"/>
          <w:lang w:eastAsia="es-ES_tradnl"/>
        </w:rPr>
        <w:t>-y si se da ese requisito, se puede entrar a analizar otros señalados en la misma providencia-</w:t>
      </w:r>
    </w:p>
    <w:p w14:paraId="60307DC7" w14:textId="77777777" w:rsidR="00C95328" w:rsidRPr="00C95328" w:rsidRDefault="00C95328" w:rsidP="00C95328">
      <w:pPr>
        <w:spacing w:line="276" w:lineRule="auto"/>
        <w:ind w:firstLine="705"/>
        <w:textAlignment w:val="baseline"/>
        <w:rPr>
          <w:rFonts w:ascii="Arial" w:eastAsia="Times New Roman" w:hAnsi="Arial" w:cs="Arial"/>
          <w:sz w:val="24"/>
          <w:szCs w:val="24"/>
          <w:lang w:val="es-CO" w:eastAsia="es-ES_tradnl"/>
        </w:rPr>
      </w:pPr>
      <w:r w:rsidRPr="00C95328">
        <w:rPr>
          <w:rFonts w:ascii="Arial" w:eastAsia="Times New Roman" w:hAnsi="Arial" w:cs="Arial"/>
          <w:sz w:val="24"/>
          <w:szCs w:val="24"/>
          <w:lang w:val="es-CO" w:eastAsia="es-ES_tradnl"/>
        </w:rPr>
        <w:t> </w:t>
      </w:r>
    </w:p>
    <w:p w14:paraId="3F563188" w14:textId="77777777" w:rsidR="00C95328" w:rsidRPr="00C95328" w:rsidRDefault="00C95328" w:rsidP="00C95328">
      <w:pPr>
        <w:spacing w:line="276" w:lineRule="auto"/>
        <w:ind w:firstLine="705"/>
        <w:textAlignment w:val="baseline"/>
        <w:rPr>
          <w:rFonts w:ascii="Arial" w:eastAsia="Times New Roman" w:hAnsi="Arial" w:cs="Arial"/>
          <w:sz w:val="24"/>
          <w:szCs w:val="24"/>
          <w:lang w:val="es-CO" w:eastAsia="es-ES_tradnl"/>
        </w:rPr>
      </w:pPr>
      <w:r w:rsidRPr="00C95328">
        <w:rPr>
          <w:rFonts w:ascii="Arial" w:eastAsia="Times New Roman" w:hAnsi="Arial" w:cs="Arial"/>
          <w:sz w:val="24"/>
          <w:szCs w:val="24"/>
          <w:lang w:eastAsia="es-ES_tradnl"/>
        </w:rPr>
        <w:t>Tal como lo he expuesto en distintos salvamentos de voto, no comparto aquella nueva restricción a la aplicación del principio de la condición más beneficiosa en el tránsito legislativo de la Ley 100 original a la Ley 860 de 2003, pues impone una limitación temporal e </w:t>
      </w:r>
      <w:r w:rsidRPr="00C95328">
        <w:rPr>
          <w:rFonts w:ascii="Arial" w:eastAsia="Times New Roman" w:hAnsi="Arial" w:cs="Arial"/>
          <w:color w:val="000000"/>
          <w:sz w:val="24"/>
          <w:szCs w:val="24"/>
          <w:lang w:eastAsia="es-ES_tradnl"/>
        </w:rPr>
        <w:t>incorpora una sub-regla de adjudicación que hace aún más gravosa la aplicación del aludido principio; por lo tanto, el despacho que presido continúa aplicando la anterior postura de dicha Corporación, que exigía 26 semanas en el año anterior a la entrada en vigencia de </w:t>
      </w:r>
      <w:r w:rsidRPr="00C95328">
        <w:rPr>
          <w:rFonts w:ascii="Arial" w:eastAsia="Times New Roman" w:hAnsi="Arial" w:cs="Arial"/>
          <w:sz w:val="24"/>
          <w:szCs w:val="24"/>
          <w:lang w:eastAsia="es-ES_tradnl"/>
        </w:rPr>
        <w:t>la Ley 860 de 2003, y la misma cantidad en el año anterior a la estructuración, las cuales no se dan en el caso de marras.</w:t>
      </w:r>
      <w:r w:rsidRPr="00C95328">
        <w:rPr>
          <w:rFonts w:ascii="Arial" w:eastAsia="Times New Roman" w:hAnsi="Arial" w:cs="Arial"/>
          <w:sz w:val="24"/>
          <w:szCs w:val="24"/>
          <w:lang w:val="es-CO" w:eastAsia="es-ES_tradnl"/>
        </w:rPr>
        <w:t> </w:t>
      </w:r>
    </w:p>
    <w:p w14:paraId="68B6FA02" w14:textId="77777777" w:rsidR="00C95328" w:rsidRPr="00C95328" w:rsidRDefault="00C95328" w:rsidP="00C95328">
      <w:pPr>
        <w:spacing w:line="276" w:lineRule="auto"/>
        <w:ind w:firstLine="705"/>
        <w:textAlignment w:val="baseline"/>
        <w:rPr>
          <w:rFonts w:ascii="Arial" w:eastAsia="Times New Roman" w:hAnsi="Arial" w:cs="Arial"/>
          <w:sz w:val="24"/>
          <w:szCs w:val="24"/>
          <w:lang w:val="es-CO" w:eastAsia="es-ES_tradnl"/>
        </w:rPr>
      </w:pPr>
      <w:r w:rsidRPr="00C95328">
        <w:rPr>
          <w:rFonts w:ascii="Arial" w:eastAsia="Times New Roman" w:hAnsi="Arial" w:cs="Arial"/>
          <w:sz w:val="24"/>
          <w:szCs w:val="24"/>
          <w:lang w:val="es-CO" w:eastAsia="es-ES_tradnl"/>
        </w:rPr>
        <w:t> </w:t>
      </w:r>
    </w:p>
    <w:p w14:paraId="4EA20321" w14:textId="1E616B72" w:rsidR="00C95328" w:rsidRPr="00C95328" w:rsidRDefault="00C95328" w:rsidP="00C95328">
      <w:pPr>
        <w:spacing w:line="276" w:lineRule="auto"/>
        <w:ind w:firstLine="705"/>
        <w:textAlignment w:val="baseline"/>
        <w:rPr>
          <w:rFonts w:ascii="Arial" w:eastAsia="Times New Roman" w:hAnsi="Arial" w:cs="Arial"/>
          <w:sz w:val="24"/>
          <w:szCs w:val="24"/>
          <w:lang w:val="es-CO" w:eastAsia="es-ES_tradnl"/>
        </w:rPr>
      </w:pPr>
      <w:r w:rsidRPr="00C95328">
        <w:rPr>
          <w:rFonts w:ascii="Arial" w:eastAsia="Times New Roman" w:hAnsi="Arial" w:cs="Arial"/>
          <w:sz w:val="24"/>
          <w:szCs w:val="24"/>
          <w:lang w:eastAsia="es-ES_tradnl"/>
        </w:rPr>
        <w:t xml:space="preserve">No obstante, el caso puede analizarse a la luz del Acuerdo 049 de 1990 que, si bien no es la norma inmediatamente anterior, se acompasa al precedente de la Corte Constitucional, quien a través de la sentencia </w:t>
      </w:r>
      <w:r>
        <w:rPr>
          <w:rFonts w:ascii="Arial" w:eastAsia="Times New Roman" w:hAnsi="Arial" w:cs="Arial"/>
          <w:sz w:val="24"/>
          <w:szCs w:val="24"/>
          <w:lang w:eastAsia="es-ES_tradnl"/>
        </w:rPr>
        <w:t xml:space="preserve">SU-442 del 18 de agosto de 2016 </w:t>
      </w:r>
      <w:r w:rsidRPr="00C95328">
        <w:rPr>
          <w:rFonts w:ascii="Arial" w:eastAsia="Times New Roman" w:hAnsi="Arial" w:cs="Arial"/>
          <w:i/>
          <w:iCs/>
          <w:sz w:val="24"/>
          <w:szCs w:val="24"/>
          <w:lang w:eastAsia="es-ES_tradnl"/>
        </w:rPr>
        <w:t>–en la que se analizó una pensión de invalidez</w:t>
      </w:r>
      <w:r>
        <w:rPr>
          <w:rFonts w:ascii="Arial" w:eastAsia="Times New Roman" w:hAnsi="Arial" w:cs="Arial"/>
          <w:i/>
          <w:iCs/>
          <w:sz w:val="24"/>
          <w:szCs w:val="24"/>
          <w:lang w:eastAsia="es-ES_tradnl"/>
        </w:rPr>
        <w:t>–</w:t>
      </w:r>
      <w:r w:rsidRPr="00C95328">
        <w:rPr>
          <w:rFonts w:ascii="Arial" w:eastAsia="Times New Roman" w:hAnsi="Arial" w:cs="Arial"/>
          <w:sz w:val="24"/>
          <w:szCs w:val="24"/>
          <w:lang w:eastAsia="es-ES_tradnl"/>
        </w:rPr>
        <w:t>, unificó los</w:t>
      </w:r>
      <w:r>
        <w:rPr>
          <w:rFonts w:ascii="Arial" w:eastAsia="Times New Roman" w:hAnsi="Arial" w:cs="Arial"/>
          <w:sz w:val="24"/>
          <w:szCs w:val="24"/>
          <w:lang w:eastAsia="es-ES_tradnl"/>
        </w:rPr>
        <w:t xml:space="preserve"> </w:t>
      </w:r>
      <w:r w:rsidRPr="00C95328">
        <w:rPr>
          <w:rFonts w:ascii="Arial" w:eastAsia="Times New Roman" w:hAnsi="Arial" w:cs="Arial"/>
          <w:sz w:val="24"/>
          <w:szCs w:val="24"/>
          <w:lang w:eastAsia="es-ES_tradnl"/>
        </w:rPr>
        <w:t xml:space="preserve">criterios en relación con la aplicación de la condición más beneficiosa, reiterando los precedentes </w:t>
      </w:r>
      <w:r>
        <w:rPr>
          <w:rFonts w:ascii="Arial" w:eastAsia="Times New Roman" w:hAnsi="Arial" w:cs="Arial"/>
          <w:sz w:val="24"/>
          <w:szCs w:val="24"/>
          <w:lang w:eastAsia="es-ES_tradnl"/>
        </w:rPr>
        <w:lastRenderedPageBreak/>
        <w:t xml:space="preserve">anteriores y precisando que </w:t>
      </w:r>
      <w:r w:rsidRPr="00C95328">
        <w:rPr>
          <w:rFonts w:ascii="Arial" w:eastAsia="Times New Roman" w:hAnsi="Arial" w:cs="Arial"/>
          <w:i/>
          <w:iCs/>
          <w:sz w:val="24"/>
          <w:szCs w:val="24"/>
          <w:lang w:eastAsia="es-ES_tradnl"/>
        </w:rPr>
        <w:t>“</w:t>
      </w:r>
      <w:r w:rsidRPr="00C95328">
        <w:rPr>
          <w:rFonts w:ascii="Arial" w:eastAsia="Times New Roman" w:hAnsi="Arial" w:cs="Arial"/>
          <w:i/>
          <w:iCs/>
          <w:szCs w:val="24"/>
          <w:lang w:eastAsia="es-ES_tradnl"/>
        </w:rPr>
        <w:t>Si bien el legislador podía introducir ajustes o incluso reformas estructurales al sistema pensional, debía hacerlo en un marco de respeto por los derechos adquiridos y las expectativas legítimas</w:t>
      </w:r>
      <w:r w:rsidRPr="00C95328">
        <w:rPr>
          <w:rFonts w:ascii="Arial" w:eastAsia="Times New Roman" w:hAnsi="Arial" w:cs="Arial"/>
          <w:i/>
          <w:iCs/>
          <w:sz w:val="24"/>
          <w:szCs w:val="24"/>
          <w:lang w:eastAsia="es-ES_tradnl"/>
        </w:rPr>
        <w:t>”</w:t>
      </w:r>
      <w:r>
        <w:rPr>
          <w:rFonts w:ascii="Arial" w:eastAsia="Times New Roman" w:hAnsi="Arial" w:cs="Arial"/>
          <w:sz w:val="24"/>
          <w:szCs w:val="24"/>
          <w:lang w:eastAsia="es-ES_tradnl"/>
        </w:rPr>
        <w:t xml:space="preserve"> </w:t>
      </w:r>
      <w:r w:rsidRPr="00C95328">
        <w:rPr>
          <w:rFonts w:ascii="Arial" w:eastAsia="Times New Roman" w:hAnsi="Arial" w:cs="Arial"/>
          <w:sz w:val="24"/>
          <w:szCs w:val="24"/>
          <w:lang w:eastAsia="es-ES_tradnl"/>
        </w:rPr>
        <w:t>y que, en vista de que la ley no contempló un régimen de transición que garantizara las pensiones de invalidez, debía preservarse para quien cumplió oportunamente uno de los requisitos relevantes para pensionarse, el derecho a que ese aspecto no le fuera cambiado drásticamente, en la medida en que resultara beneficioso para su seguridad social. Resaltó igualmente que el accionante en dicha acción aportó un total de 653 semanas en su historia laboral, por lo cual</w:t>
      </w:r>
      <w:r>
        <w:rPr>
          <w:rFonts w:ascii="Arial" w:eastAsia="Times New Roman" w:hAnsi="Arial" w:cs="Arial"/>
          <w:sz w:val="24"/>
          <w:szCs w:val="24"/>
          <w:lang w:eastAsia="es-ES_tradnl"/>
        </w:rPr>
        <w:t xml:space="preserve"> </w:t>
      </w:r>
      <w:r w:rsidRPr="00C95328">
        <w:rPr>
          <w:rFonts w:ascii="Arial" w:eastAsia="Times New Roman" w:hAnsi="Arial" w:cs="Arial"/>
          <w:i/>
          <w:iCs/>
          <w:sz w:val="24"/>
          <w:szCs w:val="24"/>
          <w:lang w:eastAsia="es-ES_tradnl"/>
        </w:rPr>
        <w:t>“</w:t>
      </w:r>
      <w:r w:rsidRPr="00C95328">
        <w:rPr>
          <w:rFonts w:ascii="Arial" w:eastAsia="Times New Roman" w:hAnsi="Arial" w:cs="Arial"/>
          <w:i/>
          <w:iCs/>
          <w:szCs w:val="24"/>
          <w:lang w:eastAsia="es-ES_tradnl"/>
        </w:rPr>
        <w:t xml:space="preserve">no puede hablarse de un detrimento para la </w:t>
      </w:r>
      <w:proofErr w:type="gramStart"/>
      <w:r w:rsidRPr="00C95328">
        <w:rPr>
          <w:rFonts w:ascii="Arial" w:eastAsia="Times New Roman" w:hAnsi="Arial" w:cs="Arial"/>
          <w:i/>
          <w:iCs/>
          <w:szCs w:val="24"/>
          <w:lang w:eastAsia="es-ES_tradnl"/>
        </w:rPr>
        <w:t>sostenibilidad</w:t>
      </w:r>
      <w:proofErr w:type="gramEnd"/>
      <w:r w:rsidRPr="00C95328">
        <w:rPr>
          <w:rFonts w:ascii="Arial" w:eastAsia="Times New Roman" w:hAnsi="Arial" w:cs="Arial"/>
          <w:i/>
          <w:iCs/>
          <w:szCs w:val="24"/>
          <w:lang w:eastAsia="es-ES_tradnl"/>
        </w:rPr>
        <w:t xml:space="preserve"> financiera del sistema pensional</w:t>
      </w:r>
      <w:r w:rsidRPr="00C95328">
        <w:rPr>
          <w:rFonts w:ascii="Arial" w:eastAsia="Times New Roman" w:hAnsi="Arial" w:cs="Arial"/>
          <w:i/>
          <w:iCs/>
          <w:sz w:val="24"/>
          <w:szCs w:val="24"/>
          <w:lang w:eastAsia="es-ES_tradnl"/>
        </w:rPr>
        <w:t>”.</w:t>
      </w:r>
    </w:p>
    <w:p w14:paraId="385EF21D" w14:textId="5858B7DA" w:rsidR="00C95328" w:rsidRPr="00C95328" w:rsidRDefault="00C95328" w:rsidP="00C95328">
      <w:pPr>
        <w:spacing w:line="276" w:lineRule="auto"/>
        <w:ind w:firstLine="705"/>
        <w:textAlignment w:val="baseline"/>
        <w:rPr>
          <w:rFonts w:ascii="Arial" w:eastAsia="Times New Roman" w:hAnsi="Arial" w:cs="Arial"/>
          <w:sz w:val="24"/>
          <w:szCs w:val="24"/>
          <w:lang w:val="es-CO" w:eastAsia="es-ES_tradnl"/>
        </w:rPr>
      </w:pPr>
    </w:p>
    <w:p w14:paraId="2D7B164E" w14:textId="5FD71DF4" w:rsidR="00C95328" w:rsidRPr="00C95328" w:rsidRDefault="00C95328" w:rsidP="00C95328">
      <w:pPr>
        <w:spacing w:line="276" w:lineRule="auto"/>
        <w:ind w:firstLine="705"/>
        <w:textAlignment w:val="baseline"/>
        <w:rPr>
          <w:rFonts w:ascii="Arial" w:eastAsia="Times New Roman" w:hAnsi="Arial" w:cs="Arial"/>
          <w:sz w:val="24"/>
          <w:szCs w:val="24"/>
          <w:lang w:val="es-CO" w:eastAsia="es-ES_tradnl"/>
        </w:rPr>
      </w:pPr>
      <w:r w:rsidRPr="00C95328">
        <w:rPr>
          <w:rFonts w:ascii="Arial" w:eastAsia="Times New Roman" w:hAnsi="Arial" w:cs="Arial"/>
          <w:sz w:val="24"/>
          <w:szCs w:val="24"/>
          <w:lang w:eastAsia="es-ES_tradnl"/>
        </w:rPr>
        <w:t>Este precedente de la Corte Constitucional ha sido acogido por la suscrita Magistrada atendiendo precisamente uno de los principios pilares del Derecho laboral como es el Principio Pro Operario, en virtud del cual se debe acoger la interpretación más favorable cuando existan dos o más interpretaciones frente a una misma fuente normativa, principio consagrado en el artículo 53 de la Constitución y el artículo 21 del Código Sustantivo del Trabajo. No sobra recordar que el principio pro operario y en general todos los principios mínimos fundamentales del artículo 53 de la Constitución Política operan en favor no solo del trabajador sino de quien hace parte del siste</w:t>
      </w:r>
      <w:r>
        <w:rPr>
          <w:rFonts w:ascii="Arial" w:eastAsia="Times New Roman" w:hAnsi="Arial" w:cs="Arial"/>
          <w:sz w:val="24"/>
          <w:szCs w:val="24"/>
          <w:lang w:eastAsia="es-ES_tradnl"/>
        </w:rPr>
        <w:t>ma general de seguridad social.</w:t>
      </w:r>
    </w:p>
    <w:p w14:paraId="66138B05" w14:textId="77777777" w:rsidR="00C95328" w:rsidRPr="00C95328" w:rsidRDefault="00C95328" w:rsidP="00C95328">
      <w:pPr>
        <w:spacing w:line="276" w:lineRule="auto"/>
        <w:ind w:firstLine="0"/>
        <w:textAlignment w:val="baseline"/>
        <w:rPr>
          <w:rFonts w:ascii="Arial" w:eastAsia="Times New Roman" w:hAnsi="Arial" w:cs="Arial"/>
          <w:sz w:val="24"/>
          <w:szCs w:val="24"/>
          <w:lang w:val="es-CO" w:eastAsia="es-ES_tradnl"/>
        </w:rPr>
      </w:pPr>
      <w:r w:rsidRPr="00C95328">
        <w:rPr>
          <w:rFonts w:ascii="Arial" w:eastAsia="Times New Roman" w:hAnsi="Arial" w:cs="Arial"/>
          <w:sz w:val="24"/>
          <w:szCs w:val="24"/>
          <w:lang w:val="es-CO" w:eastAsia="es-ES_tradnl"/>
        </w:rPr>
        <w:t> </w:t>
      </w:r>
    </w:p>
    <w:p w14:paraId="16C9331C" w14:textId="1D08FF4D" w:rsidR="00C95328" w:rsidRPr="00C95328" w:rsidRDefault="00C95328" w:rsidP="00C95328">
      <w:pPr>
        <w:spacing w:line="276" w:lineRule="auto"/>
        <w:ind w:firstLine="705"/>
        <w:textAlignment w:val="baseline"/>
        <w:rPr>
          <w:rFonts w:ascii="Arial" w:eastAsia="Times New Roman" w:hAnsi="Arial" w:cs="Arial"/>
          <w:sz w:val="24"/>
          <w:szCs w:val="24"/>
          <w:lang w:val="es-CO" w:eastAsia="es-ES_tradnl"/>
        </w:rPr>
      </w:pPr>
      <w:r w:rsidRPr="00C95328">
        <w:rPr>
          <w:rFonts w:ascii="Arial" w:eastAsia="Times New Roman" w:hAnsi="Arial" w:cs="Arial"/>
          <w:sz w:val="24"/>
          <w:szCs w:val="24"/>
          <w:lang w:eastAsia="es-ES_tradnl"/>
        </w:rPr>
        <w:t>Así mismo, el acogimiento de dicha postura se apuntala en el hecho de que la seguridad social es un derecho fundamental cuya naturaleza no cambia por el hecho de que se analice en un proceso ordinario o en una acción de tutela y por eso resulta ligero afirmar que dependiendo de la jurisdicción que conozca dicho derecho (la ordinaria o la constitucional), el precedente vinculante corresponde al órgano de cierre de una y otra, es decir que si el derecho a la seguridad social se ventila ante la justicia ordinaria habrá que acogerse la posición de la Sala de Casación Laboral, en tanto que si se hace en una acción de tutela, el precedente vinculante es el de la Corte Constitucional. Dicha tesis desconoce por una parte que la seguridad social es un derecho humano protegido por instrumentos internacionales y por nuestra Carta Política, y por otra, establece una diferencia de trato que viola el derecho a la igualdad del usuario, toda vez que, como acabamos de ver, cada uno de los vértices de la jurisdicción ordinaria y la constitucional tiene una interpretación diferente frente a la aplicación del principio de la condición más beneficiosa cuya razón de ser es el derecho fundamental a la pensión de sobrevivientes o a la pensió</w:t>
      </w:r>
      <w:r>
        <w:rPr>
          <w:rFonts w:ascii="Arial" w:eastAsia="Times New Roman" w:hAnsi="Arial" w:cs="Arial"/>
          <w:sz w:val="24"/>
          <w:szCs w:val="24"/>
          <w:lang w:eastAsia="es-ES_tradnl"/>
        </w:rPr>
        <w:t>n de invalidez, según el caso.</w:t>
      </w:r>
    </w:p>
    <w:p w14:paraId="3FBA690D" w14:textId="77777777" w:rsidR="00C95328" w:rsidRPr="00C95328" w:rsidRDefault="00C95328" w:rsidP="00C95328">
      <w:pPr>
        <w:spacing w:line="276" w:lineRule="auto"/>
        <w:ind w:firstLine="0"/>
        <w:textAlignment w:val="baseline"/>
        <w:rPr>
          <w:rFonts w:ascii="Arial" w:eastAsia="Times New Roman" w:hAnsi="Arial" w:cs="Arial"/>
          <w:sz w:val="24"/>
          <w:szCs w:val="24"/>
          <w:lang w:val="es-CO" w:eastAsia="es-ES_tradnl"/>
        </w:rPr>
      </w:pPr>
      <w:r w:rsidRPr="00C95328">
        <w:rPr>
          <w:rFonts w:ascii="Arial" w:eastAsia="Times New Roman" w:hAnsi="Arial" w:cs="Arial"/>
          <w:sz w:val="24"/>
          <w:szCs w:val="24"/>
          <w:lang w:val="es-CO" w:eastAsia="es-ES_tradnl"/>
        </w:rPr>
        <w:t> </w:t>
      </w:r>
    </w:p>
    <w:p w14:paraId="6D5CF42F" w14:textId="768CCD81" w:rsidR="00C95328" w:rsidRPr="00C95328" w:rsidRDefault="00C95328" w:rsidP="00C95328">
      <w:pPr>
        <w:spacing w:line="276" w:lineRule="auto"/>
        <w:ind w:firstLine="840"/>
        <w:textAlignment w:val="baseline"/>
        <w:rPr>
          <w:rFonts w:ascii="Arial" w:eastAsia="Times New Roman" w:hAnsi="Arial" w:cs="Arial"/>
          <w:sz w:val="24"/>
          <w:szCs w:val="24"/>
          <w:lang w:eastAsia="es-ES_tradnl"/>
        </w:rPr>
      </w:pPr>
      <w:r w:rsidRPr="00C95328">
        <w:rPr>
          <w:rFonts w:ascii="Arial" w:eastAsia="Times New Roman" w:hAnsi="Arial" w:cs="Arial"/>
          <w:sz w:val="24"/>
          <w:szCs w:val="24"/>
          <w:lang w:eastAsia="es-ES_tradnl"/>
        </w:rPr>
        <w:t>Ahora, en lo que toca al principio de la sostenibilidad financiera del sistema de la seguridad social, instaurada por el Acto Legislativo 01 de 2005, que podría servir como tesis contraria a la aplicación del principio de la condición más beneficiosa, su afectación se descarta por la jurisprudencia de la Corte Suprema de Justicia, por ejemplo, en la sentencia proferida el 2 de mayo de 2012, dentro del proceso radicado bajo el número 41695, M.P. Carlos Ernesto Molina Monsalve, en la que se expusieron los siguientes argumentos:</w:t>
      </w:r>
    </w:p>
    <w:p w14:paraId="22108E76" w14:textId="77777777" w:rsidR="00C95328" w:rsidRPr="00C95328" w:rsidRDefault="00C95328" w:rsidP="00C95328">
      <w:pPr>
        <w:spacing w:line="276" w:lineRule="auto"/>
        <w:ind w:firstLine="0"/>
        <w:jc w:val="left"/>
        <w:textAlignment w:val="baseline"/>
        <w:rPr>
          <w:rFonts w:ascii="Arial" w:eastAsia="Times New Roman" w:hAnsi="Arial" w:cs="Arial"/>
          <w:sz w:val="24"/>
          <w:szCs w:val="24"/>
          <w:lang w:val="es-CO" w:eastAsia="es-ES_tradnl"/>
        </w:rPr>
      </w:pPr>
      <w:r w:rsidRPr="00C95328">
        <w:rPr>
          <w:rFonts w:ascii="Arial" w:eastAsia="Times New Roman" w:hAnsi="Arial" w:cs="Arial"/>
          <w:sz w:val="24"/>
          <w:szCs w:val="24"/>
          <w:lang w:val="es-CO" w:eastAsia="es-ES_tradnl"/>
        </w:rPr>
        <w:t> </w:t>
      </w:r>
    </w:p>
    <w:p w14:paraId="7036012F" w14:textId="77777777" w:rsidR="00C95328" w:rsidRPr="00C95328" w:rsidRDefault="00C95328" w:rsidP="00C95328">
      <w:pPr>
        <w:spacing w:line="240" w:lineRule="auto"/>
        <w:ind w:left="426" w:right="420" w:firstLine="0"/>
        <w:textAlignment w:val="baseline"/>
        <w:rPr>
          <w:rFonts w:ascii="Arial" w:eastAsia="Times New Roman" w:hAnsi="Arial" w:cs="Arial"/>
          <w:szCs w:val="24"/>
          <w:lang w:val="es-CO" w:eastAsia="es-ES_tradnl"/>
        </w:rPr>
      </w:pPr>
      <w:r w:rsidRPr="00C95328">
        <w:rPr>
          <w:rFonts w:ascii="Arial" w:eastAsia="Times New Roman" w:hAnsi="Arial" w:cs="Arial"/>
          <w:i/>
          <w:iCs/>
          <w:szCs w:val="24"/>
          <w:lang w:eastAsia="es-ES_tradnl"/>
        </w:rPr>
        <w:t>“</w:t>
      </w:r>
      <w:r w:rsidRPr="00C95328">
        <w:rPr>
          <w:rFonts w:ascii="Arial" w:eastAsia="Times New Roman" w:hAnsi="Arial" w:cs="Arial"/>
          <w:szCs w:val="24"/>
          <w:lang w:eastAsia="es-ES_tradnl"/>
        </w:rPr>
        <w:t xml:space="preserve">Por la razón expuesta, la aplicación jurisprudencial del principio de la condición más beneficiosa no atenta contra la regla de la sostenibilidad financiera del sistema de pensiones, no sólo porque esta regla obliga específicamente al legislativo a </w:t>
      </w:r>
      <w:r w:rsidRPr="00C95328">
        <w:rPr>
          <w:rFonts w:ascii="Arial" w:eastAsia="Times New Roman" w:hAnsi="Arial" w:cs="Arial"/>
          <w:szCs w:val="24"/>
          <w:lang w:eastAsia="es-ES_tradnl"/>
        </w:rPr>
        <w:lastRenderedPageBreak/>
        <w:t>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vigente para ese momento. O sea, para el sistema vigente en ese momento, sus pensiones estaban financiadas al cumplir el tiempo exigido de cotización.</w:t>
      </w:r>
      <w:r w:rsidRPr="00C95328">
        <w:rPr>
          <w:rFonts w:ascii="Arial" w:eastAsia="Times New Roman" w:hAnsi="Arial" w:cs="Arial"/>
          <w:i/>
          <w:iCs/>
          <w:szCs w:val="24"/>
          <w:lang w:eastAsia="es-ES_tradnl"/>
        </w:rPr>
        <w:t>”. </w:t>
      </w:r>
      <w:r w:rsidRPr="00C95328">
        <w:rPr>
          <w:rFonts w:ascii="Arial" w:eastAsia="Times New Roman" w:hAnsi="Arial" w:cs="Arial"/>
          <w:szCs w:val="24"/>
          <w:lang w:val="es-CO" w:eastAsia="es-ES_tradnl"/>
        </w:rPr>
        <w:t> </w:t>
      </w:r>
    </w:p>
    <w:p w14:paraId="62D84A61" w14:textId="77777777" w:rsidR="00C95328" w:rsidRPr="00C95328" w:rsidRDefault="00C95328" w:rsidP="00C95328">
      <w:pPr>
        <w:spacing w:line="276" w:lineRule="auto"/>
        <w:ind w:firstLine="705"/>
        <w:textAlignment w:val="baseline"/>
        <w:rPr>
          <w:rFonts w:ascii="Arial" w:eastAsia="Times New Roman" w:hAnsi="Arial" w:cs="Arial"/>
          <w:sz w:val="24"/>
          <w:szCs w:val="24"/>
          <w:lang w:val="es-CO" w:eastAsia="es-ES_tradnl"/>
        </w:rPr>
      </w:pPr>
      <w:r w:rsidRPr="00C95328">
        <w:rPr>
          <w:rFonts w:ascii="Arial" w:eastAsia="Times New Roman" w:hAnsi="Arial" w:cs="Arial"/>
          <w:sz w:val="24"/>
          <w:szCs w:val="24"/>
          <w:lang w:val="es-CO" w:eastAsia="es-ES_tradnl"/>
        </w:rPr>
        <w:t> </w:t>
      </w:r>
    </w:p>
    <w:p w14:paraId="1EAA5111" w14:textId="77777777" w:rsidR="00C95328" w:rsidRPr="00C95328" w:rsidRDefault="00C95328" w:rsidP="00C95328">
      <w:pPr>
        <w:spacing w:line="276" w:lineRule="auto"/>
        <w:ind w:firstLine="705"/>
        <w:textAlignment w:val="baseline"/>
        <w:rPr>
          <w:rFonts w:ascii="Arial" w:eastAsia="Times New Roman" w:hAnsi="Arial" w:cs="Arial"/>
          <w:sz w:val="24"/>
          <w:szCs w:val="24"/>
          <w:lang w:eastAsia="es-ES_tradnl"/>
        </w:rPr>
      </w:pPr>
      <w:r w:rsidRPr="00C95328">
        <w:rPr>
          <w:rFonts w:ascii="Arial" w:eastAsia="Times New Roman" w:hAnsi="Arial" w:cs="Arial"/>
          <w:b/>
          <w:bCs/>
          <w:sz w:val="24"/>
          <w:szCs w:val="24"/>
          <w:lang w:eastAsia="es-ES_tradnl"/>
        </w:rPr>
        <w:t>Finalmente, debo poner de relieve que los precedentes de la Corte Suprema de Justicia invocados por las mayorías para sustentar su tesis son posteriores a la muerte del causante, de modo que no podían aplicarse retroactivamente al caso concreto.</w:t>
      </w:r>
    </w:p>
    <w:p w14:paraId="06F4CD40" w14:textId="77777777" w:rsidR="00C95328" w:rsidRPr="00C95328" w:rsidRDefault="00C95328" w:rsidP="00C95328">
      <w:pPr>
        <w:spacing w:line="276" w:lineRule="auto"/>
        <w:ind w:firstLine="705"/>
        <w:textAlignment w:val="baseline"/>
        <w:rPr>
          <w:rFonts w:ascii="Arial" w:eastAsia="Times New Roman" w:hAnsi="Arial" w:cs="Arial"/>
          <w:sz w:val="24"/>
          <w:szCs w:val="24"/>
          <w:lang w:val="es-CO" w:eastAsia="es-ES_tradnl"/>
        </w:rPr>
      </w:pPr>
    </w:p>
    <w:p w14:paraId="7872BC14" w14:textId="12F4599A" w:rsidR="00C95328" w:rsidRPr="00C95328" w:rsidRDefault="00C95328" w:rsidP="00C95328">
      <w:pPr>
        <w:spacing w:line="276" w:lineRule="auto"/>
        <w:ind w:firstLine="705"/>
        <w:textAlignment w:val="baseline"/>
        <w:rPr>
          <w:rFonts w:ascii="Arial" w:eastAsia="Times New Roman" w:hAnsi="Arial" w:cs="Arial"/>
          <w:sz w:val="24"/>
          <w:szCs w:val="24"/>
          <w:lang w:val="es-CO" w:eastAsia="es-ES_tradnl"/>
        </w:rPr>
      </w:pPr>
      <w:r w:rsidRPr="00C95328">
        <w:rPr>
          <w:rFonts w:ascii="Arial" w:eastAsia="Times New Roman" w:hAnsi="Arial" w:cs="Arial"/>
          <w:sz w:val="24"/>
          <w:szCs w:val="24"/>
          <w:lang w:eastAsia="es-ES_tradnl"/>
        </w:rPr>
        <w:t>En virtud de lo anterior debió</w:t>
      </w:r>
      <w:r>
        <w:rPr>
          <w:rFonts w:ascii="Arial" w:eastAsia="Times New Roman" w:hAnsi="Arial" w:cs="Arial"/>
          <w:sz w:val="24"/>
          <w:szCs w:val="24"/>
          <w:lang w:eastAsia="es-ES_tradnl"/>
        </w:rPr>
        <w:t xml:space="preserve"> </w:t>
      </w:r>
      <w:r w:rsidRPr="00C95328">
        <w:rPr>
          <w:rFonts w:ascii="Arial" w:eastAsia="Times New Roman" w:hAnsi="Arial" w:cs="Arial"/>
          <w:sz w:val="24"/>
          <w:szCs w:val="24"/>
          <w:lang w:eastAsia="es-ES_tradnl"/>
        </w:rPr>
        <w:t>revocarse</w:t>
      </w:r>
      <w:r>
        <w:rPr>
          <w:rFonts w:ascii="Arial" w:eastAsia="Times New Roman" w:hAnsi="Arial" w:cs="Arial"/>
          <w:sz w:val="24"/>
          <w:szCs w:val="24"/>
          <w:lang w:eastAsia="es-ES_tradnl"/>
        </w:rPr>
        <w:t xml:space="preserve"> </w:t>
      </w:r>
      <w:r w:rsidRPr="00C95328">
        <w:rPr>
          <w:rFonts w:ascii="Arial" w:eastAsia="Times New Roman" w:hAnsi="Arial" w:cs="Arial"/>
          <w:sz w:val="24"/>
          <w:szCs w:val="24"/>
          <w:lang w:eastAsia="es-ES_tradnl"/>
        </w:rPr>
        <w:t>la sentencia de primera instancia,</w:t>
      </w:r>
      <w:r>
        <w:rPr>
          <w:rFonts w:ascii="Arial" w:eastAsia="Times New Roman" w:hAnsi="Arial" w:cs="Arial"/>
          <w:sz w:val="24"/>
          <w:szCs w:val="24"/>
          <w:lang w:eastAsia="es-ES_tradnl"/>
        </w:rPr>
        <w:t xml:space="preserve"> pues </w:t>
      </w:r>
      <w:r w:rsidRPr="00C95328">
        <w:rPr>
          <w:rFonts w:ascii="Arial" w:eastAsia="Times New Roman" w:hAnsi="Arial" w:cs="Arial"/>
          <w:sz w:val="24"/>
          <w:szCs w:val="24"/>
          <w:lang w:eastAsia="es-ES_tradnl"/>
        </w:rPr>
        <w:t>antes del</w:t>
      </w:r>
      <w:r>
        <w:rPr>
          <w:rFonts w:ascii="Arial" w:eastAsia="Times New Roman" w:hAnsi="Arial" w:cs="Arial"/>
          <w:sz w:val="24"/>
          <w:szCs w:val="24"/>
          <w:lang w:eastAsia="es-ES_tradnl"/>
        </w:rPr>
        <w:t xml:space="preserve"> </w:t>
      </w:r>
      <w:r w:rsidRPr="00C95328">
        <w:rPr>
          <w:rFonts w:ascii="Arial" w:eastAsia="Times New Roman" w:hAnsi="Arial" w:cs="Arial"/>
          <w:sz w:val="24"/>
          <w:szCs w:val="24"/>
          <w:lang w:eastAsia="es-ES_tradnl"/>
        </w:rPr>
        <w:t>1</w:t>
      </w:r>
      <w:r>
        <w:rPr>
          <w:rFonts w:ascii="Arial" w:eastAsia="Times New Roman" w:hAnsi="Arial" w:cs="Arial"/>
          <w:sz w:val="24"/>
          <w:szCs w:val="24"/>
          <w:lang w:eastAsia="es-ES_tradnl"/>
        </w:rPr>
        <w:t>º</w:t>
      </w:r>
      <w:r w:rsidRPr="00C95328">
        <w:rPr>
          <w:rFonts w:ascii="Arial" w:eastAsia="Times New Roman" w:hAnsi="Arial" w:cs="Arial"/>
          <w:sz w:val="24"/>
          <w:szCs w:val="24"/>
          <w:lang w:eastAsia="es-ES_tradnl"/>
        </w:rPr>
        <w:t xml:space="preserve"> de abril de 1994</w:t>
      </w:r>
      <w:r>
        <w:rPr>
          <w:rFonts w:ascii="Arial" w:eastAsia="Times New Roman" w:hAnsi="Arial" w:cs="Arial"/>
          <w:sz w:val="24"/>
          <w:szCs w:val="24"/>
          <w:lang w:eastAsia="es-ES_tradnl"/>
        </w:rPr>
        <w:t xml:space="preserve"> </w:t>
      </w:r>
      <w:r w:rsidRPr="00C95328">
        <w:rPr>
          <w:rFonts w:ascii="Arial" w:eastAsia="Times New Roman" w:hAnsi="Arial" w:cs="Arial"/>
          <w:sz w:val="24"/>
          <w:szCs w:val="24"/>
          <w:lang w:eastAsia="es-ES_tradnl"/>
        </w:rPr>
        <w:t>el</w:t>
      </w:r>
      <w:r>
        <w:rPr>
          <w:rFonts w:ascii="Arial" w:eastAsia="Times New Roman" w:hAnsi="Arial" w:cs="Arial"/>
          <w:sz w:val="24"/>
          <w:szCs w:val="24"/>
          <w:lang w:eastAsia="es-ES_tradnl"/>
        </w:rPr>
        <w:t xml:space="preserve"> </w:t>
      </w:r>
      <w:r w:rsidRPr="00C95328">
        <w:rPr>
          <w:rFonts w:ascii="Arial" w:eastAsia="Times New Roman" w:hAnsi="Arial" w:cs="Arial"/>
          <w:sz w:val="24"/>
          <w:szCs w:val="24"/>
          <w:lang w:eastAsia="es-ES_tradnl"/>
        </w:rPr>
        <w:t>causante tenía más de 300</w:t>
      </w:r>
      <w:r>
        <w:rPr>
          <w:rFonts w:ascii="Arial" w:eastAsia="Times New Roman" w:hAnsi="Arial" w:cs="Arial"/>
          <w:sz w:val="24"/>
          <w:szCs w:val="24"/>
          <w:lang w:eastAsia="es-ES_tradnl"/>
        </w:rPr>
        <w:t xml:space="preserve"> </w:t>
      </w:r>
      <w:r w:rsidRPr="00C95328">
        <w:rPr>
          <w:rFonts w:ascii="Arial" w:eastAsia="Times New Roman" w:hAnsi="Arial" w:cs="Arial"/>
          <w:sz w:val="24"/>
          <w:szCs w:val="24"/>
          <w:lang w:eastAsia="es-ES_tradnl"/>
        </w:rPr>
        <w:t>semanas cotizadas, suficientes para conceder la gracia pensional deprecada.</w:t>
      </w:r>
    </w:p>
    <w:p w14:paraId="64A6556E" w14:textId="431E3572" w:rsidR="00C95328" w:rsidRPr="00C95328" w:rsidRDefault="00C95328" w:rsidP="00C95328">
      <w:pPr>
        <w:spacing w:line="276" w:lineRule="auto"/>
        <w:ind w:firstLine="0"/>
        <w:textAlignment w:val="baseline"/>
        <w:rPr>
          <w:rFonts w:ascii="Arial" w:eastAsia="Times New Roman" w:hAnsi="Arial" w:cs="Arial"/>
          <w:sz w:val="24"/>
          <w:szCs w:val="24"/>
          <w:lang w:val="es-CO" w:eastAsia="es-ES_tradnl"/>
        </w:rPr>
      </w:pPr>
    </w:p>
    <w:p w14:paraId="5C285B10" w14:textId="77777777" w:rsidR="00C95328" w:rsidRPr="00C95328" w:rsidRDefault="00C95328" w:rsidP="00C95328">
      <w:pPr>
        <w:spacing w:line="276" w:lineRule="auto"/>
        <w:ind w:firstLine="705"/>
        <w:textAlignment w:val="baseline"/>
        <w:rPr>
          <w:rFonts w:ascii="Arial" w:eastAsia="Times New Roman" w:hAnsi="Arial" w:cs="Arial"/>
          <w:sz w:val="24"/>
          <w:szCs w:val="24"/>
          <w:lang w:val="es-CO" w:eastAsia="es-ES_tradnl"/>
        </w:rPr>
      </w:pPr>
      <w:r w:rsidRPr="00C95328">
        <w:rPr>
          <w:rFonts w:ascii="Arial" w:eastAsia="Times New Roman" w:hAnsi="Arial" w:cs="Arial"/>
          <w:sz w:val="24"/>
          <w:szCs w:val="24"/>
          <w:lang w:val="es-CO" w:eastAsia="es-ES_tradnl"/>
        </w:rPr>
        <w:t> </w:t>
      </w:r>
    </w:p>
    <w:p w14:paraId="42F01FE9" w14:textId="77777777" w:rsidR="00C95328" w:rsidRPr="00C95328" w:rsidRDefault="00C95328" w:rsidP="00C95328">
      <w:pPr>
        <w:spacing w:line="276" w:lineRule="auto"/>
        <w:ind w:firstLine="705"/>
        <w:textAlignment w:val="baseline"/>
        <w:rPr>
          <w:rFonts w:ascii="Arial" w:eastAsia="Times New Roman" w:hAnsi="Arial" w:cs="Arial"/>
          <w:sz w:val="24"/>
          <w:szCs w:val="24"/>
          <w:lang w:val="es-CO" w:eastAsia="es-ES_tradnl"/>
        </w:rPr>
      </w:pPr>
      <w:r w:rsidRPr="00C95328">
        <w:rPr>
          <w:rFonts w:ascii="Arial" w:eastAsia="Times New Roman" w:hAnsi="Arial" w:cs="Arial"/>
          <w:sz w:val="24"/>
          <w:szCs w:val="24"/>
          <w:lang w:eastAsia="es-ES_tradnl"/>
        </w:rPr>
        <w:t>En estos términos sustento mi salvamento de voto.</w:t>
      </w:r>
      <w:r w:rsidRPr="00C95328">
        <w:rPr>
          <w:rFonts w:ascii="Arial" w:eastAsia="Times New Roman" w:hAnsi="Arial" w:cs="Arial"/>
          <w:sz w:val="24"/>
          <w:szCs w:val="24"/>
          <w:lang w:val="es-CO" w:eastAsia="es-ES_tradnl"/>
        </w:rPr>
        <w:t> </w:t>
      </w:r>
    </w:p>
    <w:p w14:paraId="110517BF" w14:textId="77777777" w:rsidR="00C95328" w:rsidRDefault="00C95328" w:rsidP="00C95328">
      <w:pPr>
        <w:spacing w:line="276" w:lineRule="auto"/>
        <w:ind w:firstLine="705"/>
        <w:textAlignment w:val="baseline"/>
        <w:rPr>
          <w:rFonts w:ascii="Arial" w:eastAsia="Times New Roman" w:hAnsi="Arial" w:cs="Arial"/>
          <w:sz w:val="24"/>
          <w:szCs w:val="24"/>
          <w:lang w:val="es-CO" w:eastAsia="es-ES_tradnl"/>
        </w:rPr>
      </w:pPr>
      <w:r w:rsidRPr="00C95328">
        <w:rPr>
          <w:rFonts w:ascii="Arial" w:eastAsia="Times New Roman" w:hAnsi="Arial" w:cs="Arial"/>
          <w:sz w:val="24"/>
          <w:szCs w:val="24"/>
          <w:lang w:val="es-CO" w:eastAsia="es-ES_tradnl"/>
        </w:rPr>
        <w:t> </w:t>
      </w:r>
    </w:p>
    <w:p w14:paraId="15417D70" w14:textId="77777777" w:rsidR="008E1FE2" w:rsidRDefault="008E1FE2" w:rsidP="00C95328">
      <w:pPr>
        <w:spacing w:line="276" w:lineRule="auto"/>
        <w:ind w:firstLine="705"/>
        <w:textAlignment w:val="baseline"/>
        <w:rPr>
          <w:rFonts w:ascii="Arial" w:eastAsia="Times New Roman" w:hAnsi="Arial" w:cs="Arial"/>
          <w:sz w:val="24"/>
          <w:szCs w:val="24"/>
          <w:lang w:val="es-CO" w:eastAsia="es-ES_tradnl"/>
        </w:rPr>
      </w:pPr>
    </w:p>
    <w:p w14:paraId="3E210EEC" w14:textId="77777777" w:rsidR="008E1FE2" w:rsidRDefault="008E1FE2" w:rsidP="00C95328">
      <w:pPr>
        <w:spacing w:line="276" w:lineRule="auto"/>
        <w:ind w:firstLine="705"/>
        <w:textAlignment w:val="baseline"/>
        <w:rPr>
          <w:rFonts w:ascii="Arial" w:eastAsia="Times New Roman" w:hAnsi="Arial" w:cs="Arial"/>
          <w:sz w:val="24"/>
          <w:szCs w:val="24"/>
          <w:lang w:val="es-CO" w:eastAsia="es-ES_tradnl"/>
        </w:rPr>
      </w:pPr>
    </w:p>
    <w:p w14:paraId="154653A5" w14:textId="77777777" w:rsidR="008E1FE2" w:rsidRDefault="008E1FE2" w:rsidP="00C95328">
      <w:pPr>
        <w:spacing w:line="276" w:lineRule="auto"/>
        <w:ind w:firstLine="705"/>
        <w:textAlignment w:val="baseline"/>
        <w:rPr>
          <w:rFonts w:ascii="Arial" w:eastAsia="Times New Roman" w:hAnsi="Arial" w:cs="Arial"/>
          <w:sz w:val="24"/>
          <w:szCs w:val="24"/>
          <w:lang w:val="es-CO" w:eastAsia="es-ES_tradnl"/>
        </w:rPr>
      </w:pPr>
    </w:p>
    <w:p w14:paraId="6481BB81" w14:textId="73E6C126" w:rsidR="00C95328" w:rsidRPr="00C95328" w:rsidRDefault="00C95328" w:rsidP="00C95328">
      <w:pPr>
        <w:spacing w:line="276" w:lineRule="auto"/>
        <w:ind w:firstLine="0"/>
        <w:jc w:val="center"/>
        <w:textAlignment w:val="baseline"/>
        <w:rPr>
          <w:rFonts w:ascii="Arial" w:eastAsia="Times New Roman" w:hAnsi="Arial" w:cs="Arial"/>
          <w:b/>
          <w:bCs/>
          <w:sz w:val="24"/>
          <w:szCs w:val="24"/>
          <w:lang w:val="es-CO" w:eastAsia="es-ES_tradnl"/>
        </w:rPr>
      </w:pPr>
      <w:r w:rsidRPr="00C95328">
        <w:rPr>
          <w:rFonts w:ascii="Arial" w:eastAsia="Times New Roman" w:hAnsi="Arial" w:cs="Arial"/>
          <w:b/>
          <w:bCs/>
          <w:sz w:val="24"/>
          <w:szCs w:val="24"/>
          <w:lang w:eastAsia="es-ES_tradnl"/>
        </w:rPr>
        <w:t>ANA LUCÍA CAICEDO CALDERÓN</w:t>
      </w:r>
    </w:p>
    <w:p w14:paraId="2C3FA690" w14:textId="034FB835" w:rsidR="00C95328" w:rsidRPr="00C95328" w:rsidRDefault="00C95328" w:rsidP="00C95328">
      <w:pPr>
        <w:spacing w:line="276" w:lineRule="auto"/>
        <w:ind w:firstLine="0"/>
        <w:jc w:val="center"/>
        <w:rPr>
          <w:rFonts w:ascii="Arial" w:eastAsia="Calibri" w:hAnsi="Arial" w:cs="Arial"/>
          <w:sz w:val="24"/>
          <w:szCs w:val="24"/>
        </w:rPr>
      </w:pPr>
      <w:r w:rsidRPr="00C95328">
        <w:rPr>
          <w:rFonts w:ascii="Arial" w:eastAsia="Times New Roman" w:hAnsi="Arial" w:cs="Arial"/>
          <w:sz w:val="24"/>
          <w:szCs w:val="24"/>
          <w:lang w:eastAsia="es-ES"/>
        </w:rPr>
        <w:t>Magistrada</w:t>
      </w:r>
    </w:p>
    <w:sectPr w:rsidR="00C95328" w:rsidRPr="00C95328" w:rsidSect="00BC1D34">
      <w:headerReference w:type="default" r:id="rId12"/>
      <w:footerReference w:type="default" r:id="rId13"/>
      <w:pgSz w:w="12242" w:h="18722" w:code="14"/>
      <w:pgMar w:top="1871" w:right="1304" w:bottom="1304" w:left="1871" w:header="567"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6EE59D8" w15:done="0"/>
  <w15:commentEx w15:paraId="00F95D22" w15:done="0"/>
  <w15:commentEx w15:paraId="79769486" w15:done="0"/>
  <w15:commentEx w15:paraId="7081B710" w15:done="0"/>
  <w15:commentEx w15:paraId="3B5762BB" w15:paraIdParent="7081B710" w15:done="0"/>
  <w15:commentEx w15:paraId="79106B61" w15:done="0"/>
  <w15:commentEx w15:paraId="54649420" w15:paraIdParent="79106B61" w15:done="0"/>
  <w15:commentEx w15:paraId="35B031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DFC354D" w16cex:dateUtc="2020-05-27T01:53:00Z"/>
  <w16cex:commentExtensible w16cex:durableId="46F79926" w16cex:dateUtc="2020-05-27T14:26:00Z"/>
  <w16cex:commentExtensible w16cex:durableId="029647E7" w16cex:dateUtc="2020-05-27T14:28:00Z"/>
  <w16cex:commentExtensible w16cex:durableId="777CE2AB" w16cex:dateUtc="2020-05-27T2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81B710" w16cid:durableId="0C892367"/>
  <w16cid:commentId w16cid:paraId="3B5762BB" w16cid:durableId="2DFC354D"/>
  <w16cid:commentId w16cid:paraId="79106B61" w16cid:durableId="46F79926"/>
  <w16cid:commentId w16cid:paraId="54649420" w16cid:durableId="029647E7"/>
  <w16cid:commentId w16cid:paraId="35B0316D" w16cid:durableId="777CE2A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5E6DB" w14:textId="77777777" w:rsidR="00D523F7" w:rsidRDefault="00D523F7" w:rsidP="00DF65ED">
      <w:pPr>
        <w:spacing w:line="240" w:lineRule="auto"/>
      </w:pPr>
      <w:r>
        <w:separator/>
      </w:r>
    </w:p>
  </w:endnote>
  <w:endnote w:type="continuationSeparator" w:id="0">
    <w:p w14:paraId="4AFB4C29" w14:textId="77777777" w:rsidR="00D523F7" w:rsidRDefault="00D523F7" w:rsidP="00DF65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6"/>
      </w:rPr>
      <w:id w:val="403337871"/>
      <w:docPartObj>
        <w:docPartGallery w:val="Page Numbers (Bottom of Page)"/>
        <w:docPartUnique/>
      </w:docPartObj>
    </w:sdtPr>
    <w:sdtEndPr/>
    <w:sdtContent>
      <w:p w14:paraId="446B371F" w14:textId="77777777" w:rsidR="00602AD7" w:rsidRPr="00BC1D34" w:rsidRDefault="00602AD7" w:rsidP="00BC1D34">
        <w:pPr>
          <w:pStyle w:val="NormalWeb"/>
          <w:spacing w:before="0" w:beforeAutospacing="0" w:after="0" w:afterAutospacing="0"/>
          <w:jc w:val="right"/>
          <w:rPr>
            <w:rFonts w:ascii="Arial" w:hAnsi="Arial" w:cs="Arial"/>
            <w:sz w:val="18"/>
            <w:szCs w:val="16"/>
          </w:rPr>
        </w:pPr>
        <w:r w:rsidRPr="00BC1D34">
          <w:rPr>
            <w:rFonts w:ascii="Arial" w:hAnsi="Arial" w:cs="Arial"/>
            <w:sz w:val="18"/>
            <w:szCs w:val="16"/>
          </w:rPr>
          <w:fldChar w:fldCharType="begin"/>
        </w:r>
        <w:r w:rsidRPr="00BC1D34">
          <w:rPr>
            <w:rFonts w:ascii="Arial" w:hAnsi="Arial" w:cs="Arial"/>
            <w:sz w:val="18"/>
            <w:szCs w:val="16"/>
          </w:rPr>
          <w:instrText>PAGE   \* MERGEFORMAT</w:instrText>
        </w:r>
        <w:r w:rsidRPr="00BC1D34">
          <w:rPr>
            <w:rFonts w:ascii="Arial" w:hAnsi="Arial" w:cs="Arial"/>
            <w:sz w:val="18"/>
            <w:szCs w:val="16"/>
          </w:rPr>
          <w:fldChar w:fldCharType="separate"/>
        </w:r>
        <w:r w:rsidR="008E1FE2">
          <w:rPr>
            <w:rFonts w:ascii="Arial" w:hAnsi="Arial" w:cs="Arial"/>
            <w:noProof/>
            <w:sz w:val="18"/>
            <w:szCs w:val="16"/>
          </w:rPr>
          <w:t>7</w:t>
        </w:r>
        <w:r w:rsidRPr="00BC1D34">
          <w:rPr>
            <w:rFonts w:ascii="Arial" w:hAnsi="Arial" w:cs="Arial"/>
            <w:sz w:val="18"/>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E3C299" w14:textId="77777777" w:rsidR="00D523F7" w:rsidRDefault="00D523F7" w:rsidP="00DF65ED">
      <w:pPr>
        <w:spacing w:line="240" w:lineRule="auto"/>
      </w:pPr>
      <w:r>
        <w:separator/>
      </w:r>
    </w:p>
  </w:footnote>
  <w:footnote w:type="continuationSeparator" w:id="0">
    <w:p w14:paraId="665C883C" w14:textId="77777777" w:rsidR="00D523F7" w:rsidRDefault="00D523F7" w:rsidP="00DF65ED">
      <w:pPr>
        <w:spacing w:line="240" w:lineRule="auto"/>
      </w:pPr>
      <w:r>
        <w:continuationSeparator/>
      </w:r>
    </w:p>
  </w:footnote>
  <w:footnote w:id="1">
    <w:p w14:paraId="552CDB34" w14:textId="77777777" w:rsidR="008C0A20" w:rsidRPr="00BC1D34" w:rsidRDefault="008C0A20" w:rsidP="00BC1D34">
      <w:pPr>
        <w:spacing w:line="240" w:lineRule="auto"/>
        <w:ind w:firstLine="0"/>
        <w:rPr>
          <w:rFonts w:ascii="Arial" w:hAnsi="Arial" w:cs="Arial"/>
          <w:sz w:val="18"/>
          <w:szCs w:val="18"/>
          <w:lang w:val="es-CO"/>
        </w:rPr>
      </w:pPr>
      <w:r w:rsidRPr="00BC1D34">
        <w:rPr>
          <w:rStyle w:val="Refdenotaalpie"/>
          <w:rFonts w:ascii="Arial" w:hAnsi="Arial" w:cs="Arial"/>
          <w:sz w:val="18"/>
          <w:szCs w:val="18"/>
        </w:rPr>
        <w:footnoteRef/>
      </w:r>
      <w:r w:rsidRPr="00BC1D34">
        <w:rPr>
          <w:rFonts w:ascii="Arial" w:hAnsi="Arial" w:cs="Arial"/>
          <w:sz w:val="18"/>
          <w:szCs w:val="18"/>
        </w:rPr>
        <w:t xml:space="preserve"> </w:t>
      </w:r>
      <w:r w:rsidRPr="00BC1D34">
        <w:rPr>
          <w:rFonts w:ascii="Arial" w:hAnsi="Arial" w:cs="Arial"/>
          <w:color w:val="000000"/>
          <w:sz w:val="18"/>
          <w:szCs w:val="18"/>
        </w:rPr>
        <w:t xml:space="preserve">Sentencia </w:t>
      </w:r>
      <w:r w:rsidRPr="00BC1D34">
        <w:rPr>
          <w:rFonts w:ascii="Arial" w:eastAsia="Calibri" w:hAnsi="Arial" w:cs="Arial"/>
          <w:sz w:val="18"/>
          <w:szCs w:val="18"/>
        </w:rPr>
        <w:t>de 24 de enero de 2018. Radicado No. 58298.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27B43" w14:textId="77777777" w:rsidR="00B46394" w:rsidRPr="00BC1D34" w:rsidRDefault="00B46394" w:rsidP="00BC1D34">
    <w:pPr>
      <w:pStyle w:val="NormalWeb"/>
      <w:spacing w:before="0" w:beforeAutospacing="0" w:after="0" w:afterAutospacing="0"/>
      <w:jc w:val="both"/>
      <w:rPr>
        <w:rFonts w:ascii="Arial" w:hAnsi="Arial" w:cs="Arial"/>
        <w:sz w:val="18"/>
        <w:szCs w:val="16"/>
      </w:rPr>
    </w:pPr>
    <w:r w:rsidRPr="00BC1D34">
      <w:rPr>
        <w:rFonts w:ascii="Arial" w:hAnsi="Arial" w:cs="Arial"/>
        <w:sz w:val="18"/>
        <w:szCs w:val="16"/>
      </w:rPr>
      <w:t>Radicación No.: 66001-31-05-005-2018-00037-01</w:t>
    </w:r>
  </w:p>
  <w:p w14:paraId="54AF9640" w14:textId="77777777" w:rsidR="00B46394" w:rsidRPr="00BC1D34" w:rsidRDefault="00B46394" w:rsidP="00BC1D34">
    <w:pPr>
      <w:pStyle w:val="NormalWeb"/>
      <w:spacing w:before="0" w:beforeAutospacing="0" w:after="0" w:afterAutospacing="0"/>
      <w:jc w:val="both"/>
      <w:rPr>
        <w:rFonts w:ascii="Arial" w:hAnsi="Arial" w:cs="Arial"/>
        <w:sz w:val="18"/>
        <w:szCs w:val="16"/>
      </w:rPr>
    </w:pPr>
    <w:r w:rsidRPr="00BC1D34">
      <w:rPr>
        <w:rFonts w:ascii="Arial" w:hAnsi="Arial" w:cs="Arial"/>
        <w:sz w:val="18"/>
        <w:szCs w:val="16"/>
      </w:rPr>
      <w:t xml:space="preserve">Demandante: Deida Rosa Parra de Soto  </w:t>
    </w:r>
  </w:p>
  <w:p w14:paraId="51F10782" w14:textId="6B7F2CBE" w:rsidR="00602AD7" w:rsidRPr="00BC1D34" w:rsidRDefault="00B46394" w:rsidP="00BC1D34">
    <w:pPr>
      <w:pStyle w:val="NormalWeb"/>
      <w:spacing w:before="0" w:beforeAutospacing="0" w:after="0" w:afterAutospacing="0"/>
      <w:jc w:val="both"/>
      <w:rPr>
        <w:rFonts w:ascii="Arial" w:hAnsi="Arial" w:cs="Arial"/>
        <w:sz w:val="18"/>
        <w:szCs w:val="16"/>
      </w:rPr>
    </w:pPr>
    <w:r w:rsidRPr="00BC1D34">
      <w:rPr>
        <w:rFonts w:ascii="Arial" w:hAnsi="Arial" w:cs="Arial"/>
        <w:sz w:val="18"/>
        <w:szCs w:val="16"/>
      </w:rPr>
      <w:t>Demandado: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012E4"/>
    <w:multiLevelType w:val="multilevel"/>
    <w:tmpl w:val="8C4E3614"/>
    <w:lvl w:ilvl="0">
      <w:start w:val="4"/>
      <w:numFmt w:val="upperRoman"/>
      <w:lvlText w:val="%1."/>
      <w:lvlJc w:val="left"/>
      <w:pPr>
        <w:ind w:left="1800" w:hanging="72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1">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354669F0"/>
    <w:multiLevelType w:val="multilevel"/>
    <w:tmpl w:val="B20C1D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4BAF45C8"/>
    <w:multiLevelType w:val="hybridMultilevel"/>
    <w:tmpl w:val="A3600E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4D8B0073"/>
    <w:multiLevelType w:val="hybridMultilevel"/>
    <w:tmpl w:val="F28C806E"/>
    <w:lvl w:ilvl="0" w:tplc="923A2276">
      <w:start w:val="1"/>
      <w:numFmt w:val="decimal"/>
      <w:lvlText w:val="%1."/>
      <w:lvlJc w:val="left"/>
      <w:pPr>
        <w:ind w:left="720" w:hanging="360"/>
      </w:pPr>
    </w:lvl>
    <w:lvl w:ilvl="1" w:tplc="639CF608">
      <w:start w:val="1"/>
      <w:numFmt w:val="lowerLetter"/>
      <w:lvlText w:val="%2."/>
      <w:lvlJc w:val="left"/>
      <w:pPr>
        <w:ind w:left="1440" w:hanging="360"/>
      </w:pPr>
    </w:lvl>
    <w:lvl w:ilvl="2" w:tplc="2E8873FA">
      <w:start w:val="1"/>
      <w:numFmt w:val="lowerRoman"/>
      <w:lvlText w:val="%3."/>
      <w:lvlJc w:val="right"/>
      <w:pPr>
        <w:ind w:left="2160" w:hanging="180"/>
      </w:pPr>
    </w:lvl>
    <w:lvl w:ilvl="3" w:tplc="DA3CECEE">
      <w:start w:val="1"/>
      <w:numFmt w:val="decimal"/>
      <w:lvlText w:val="%4."/>
      <w:lvlJc w:val="left"/>
      <w:pPr>
        <w:ind w:left="2880" w:hanging="360"/>
      </w:pPr>
    </w:lvl>
    <w:lvl w:ilvl="4" w:tplc="27D8DC7A">
      <w:start w:val="1"/>
      <w:numFmt w:val="lowerLetter"/>
      <w:lvlText w:val="%5."/>
      <w:lvlJc w:val="left"/>
      <w:pPr>
        <w:ind w:left="3600" w:hanging="360"/>
      </w:pPr>
    </w:lvl>
    <w:lvl w:ilvl="5" w:tplc="D73A4D8C">
      <w:start w:val="1"/>
      <w:numFmt w:val="lowerRoman"/>
      <w:lvlText w:val="%6."/>
      <w:lvlJc w:val="right"/>
      <w:pPr>
        <w:ind w:left="4320" w:hanging="180"/>
      </w:pPr>
    </w:lvl>
    <w:lvl w:ilvl="6" w:tplc="5874C336">
      <w:start w:val="1"/>
      <w:numFmt w:val="decimal"/>
      <w:lvlText w:val="%7."/>
      <w:lvlJc w:val="left"/>
      <w:pPr>
        <w:ind w:left="5040" w:hanging="360"/>
      </w:pPr>
    </w:lvl>
    <w:lvl w:ilvl="7" w:tplc="76A88DEE">
      <w:start w:val="1"/>
      <w:numFmt w:val="lowerLetter"/>
      <w:lvlText w:val="%8."/>
      <w:lvlJc w:val="left"/>
      <w:pPr>
        <w:ind w:left="5760" w:hanging="360"/>
      </w:pPr>
    </w:lvl>
    <w:lvl w:ilvl="8" w:tplc="84AE8D6A">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lga Lucia Hoyos Sepulveda">
    <w15:presenceInfo w15:providerId="AD" w15:userId="S::ohoyoss@cendoj.ramajudicial.gov.co::47f5a66d-67f7-4b8c-8dec-7488f4ef6f36"/>
  </w15:person>
  <w15:person w15:author="Cuenta Microsoft">
    <w15:presenceInfo w15:providerId="Windows Live" w15:userId="e663939d8a7099af"/>
  </w15:person>
  <w15:person w15:author="Richard Giovanny Diaz Moncayo">
    <w15:presenceInfo w15:providerId="AD" w15:userId="S::rgdiazm@cendoj.ramajudicial.gov.co::45aa7423-df73-411e-9b48-f536caf645a7"/>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s-ES" w:vendorID="64" w:dllVersion="4096" w:nlCheck="1" w:checkStyle="0"/>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ES_tradnl" w:vendorID="64" w:dllVersion="4096"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ED"/>
    <w:rsid w:val="00000E38"/>
    <w:rsid w:val="000104C4"/>
    <w:rsid w:val="000112AB"/>
    <w:rsid w:val="000176AF"/>
    <w:rsid w:val="0002748D"/>
    <w:rsid w:val="00033FD8"/>
    <w:rsid w:val="0004285E"/>
    <w:rsid w:val="00052649"/>
    <w:rsid w:val="00056FC6"/>
    <w:rsid w:val="00065193"/>
    <w:rsid w:val="00067E35"/>
    <w:rsid w:val="0007023C"/>
    <w:rsid w:val="000702FE"/>
    <w:rsid w:val="00083B5A"/>
    <w:rsid w:val="0008659D"/>
    <w:rsid w:val="000A7416"/>
    <w:rsid w:val="000B273C"/>
    <w:rsid w:val="000B3FF8"/>
    <w:rsid w:val="000D4102"/>
    <w:rsid w:val="000D491A"/>
    <w:rsid w:val="000D608B"/>
    <w:rsid w:val="000D78D4"/>
    <w:rsid w:val="000E2A9D"/>
    <w:rsid w:val="000E573C"/>
    <w:rsid w:val="000F249C"/>
    <w:rsid w:val="000F43C0"/>
    <w:rsid w:val="000F54ED"/>
    <w:rsid w:val="001004A2"/>
    <w:rsid w:val="00112062"/>
    <w:rsid w:val="0014076B"/>
    <w:rsid w:val="00153227"/>
    <w:rsid w:val="001555E9"/>
    <w:rsid w:val="00170657"/>
    <w:rsid w:val="00173AD0"/>
    <w:rsid w:val="00175463"/>
    <w:rsid w:val="001812A1"/>
    <w:rsid w:val="00194E99"/>
    <w:rsid w:val="00194F87"/>
    <w:rsid w:val="00196DB1"/>
    <w:rsid w:val="001B1580"/>
    <w:rsid w:val="001D3175"/>
    <w:rsid w:val="001D5633"/>
    <w:rsid w:val="001D62AF"/>
    <w:rsid w:val="001E789D"/>
    <w:rsid w:val="001F3E2F"/>
    <w:rsid w:val="0020432F"/>
    <w:rsid w:val="00206531"/>
    <w:rsid w:val="002067C6"/>
    <w:rsid w:val="002121F6"/>
    <w:rsid w:val="002161F8"/>
    <w:rsid w:val="00220578"/>
    <w:rsid w:val="00224077"/>
    <w:rsid w:val="0022486A"/>
    <w:rsid w:val="00233D7F"/>
    <w:rsid w:val="00254AD6"/>
    <w:rsid w:val="00261A16"/>
    <w:rsid w:val="00263806"/>
    <w:rsid w:val="002702E7"/>
    <w:rsid w:val="0029631F"/>
    <w:rsid w:val="002F2CF3"/>
    <w:rsid w:val="0030490F"/>
    <w:rsid w:val="00307582"/>
    <w:rsid w:val="00310631"/>
    <w:rsid w:val="00316141"/>
    <w:rsid w:val="00323BFF"/>
    <w:rsid w:val="0032578E"/>
    <w:rsid w:val="003307A8"/>
    <w:rsid w:val="00361834"/>
    <w:rsid w:val="00363921"/>
    <w:rsid w:val="0036411E"/>
    <w:rsid w:val="00364DBC"/>
    <w:rsid w:val="00380F40"/>
    <w:rsid w:val="00384D90"/>
    <w:rsid w:val="0039731E"/>
    <w:rsid w:val="003B4160"/>
    <w:rsid w:val="003B66FA"/>
    <w:rsid w:val="003D558F"/>
    <w:rsid w:val="003E06C3"/>
    <w:rsid w:val="003F7B6E"/>
    <w:rsid w:val="00406B01"/>
    <w:rsid w:val="00406FF5"/>
    <w:rsid w:val="0041127E"/>
    <w:rsid w:val="00422737"/>
    <w:rsid w:val="00436F69"/>
    <w:rsid w:val="00441EFE"/>
    <w:rsid w:val="004446FD"/>
    <w:rsid w:val="004460FB"/>
    <w:rsid w:val="00457356"/>
    <w:rsid w:val="004607B1"/>
    <w:rsid w:val="00474C80"/>
    <w:rsid w:val="00475203"/>
    <w:rsid w:val="0048306B"/>
    <w:rsid w:val="004A06C9"/>
    <w:rsid w:val="004A6342"/>
    <w:rsid w:val="004B0CF8"/>
    <w:rsid w:val="004C54C3"/>
    <w:rsid w:val="004D3DA6"/>
    <w:rsid w:val="004E5419"/>
    <w:rsid w:val="005069A6"/>
    <w:rsid w:val="00524776"/>
    <w:rsid w:val="005344FB"/>
    <w:rsid w:val="00544FF9"/>
    <w:rsid w:val="0055120F"/>
    <w:rsid w:val="00554CAD"/>
    <w:rsid w:val="00556FC7"/>
    <w:rsid w:val="00570400"/>
    <w:rsid w:val="0059315F"/>
    <w:rsid w:val="005A1777"/>
    <w:rsid w:val="005A1AC9"/>
    <w:rsid w:val="005A638E"/>
    <w:rsid w:val="005A6E52"/>
    <w:rsid w:val="005E313E"/>
    <w:rsid w:val="005E4B04"/>
    <w:rsid w:val="005E7C5F"/>
    <w:rsid w:val="00602AD7"/>
    <w:rsid w:val="0061700C"/>
    <w:rsid w:val="0062154D"/>
    <w:rsid w:val="00641C65"/>
    <w:rsid w:val="00684CDB"/>
    <w:rsid w:val="006A44B9"/>
    <w:rsid w:val="006B729D"/>
    <w:rsid w:val="006D4A41"/>
    <w:rsid w:val="006D7809"/>
    <w:rsid w:val="006F1644"/>
    <w:rsid w:val="006F5DC2"/>
    <w:rsid w:val="00702E2D"/>
    <w:rsid w:val="00706190"/>
    <w:rsid w:val="00715546"/>
    <w:rsid w:val="007225C8"/>
    <w:rsid w:val="0072336E"/>
    <w:rsid w:val="00724F76"/>
    <w:rsid w:val="0073137B"/>
    <w:rsid w:val="00733ED4"/>
    <w:rsid w:val="00744AE6"/>
    <w:rsid w:val="00766375"/>
    <w:rsid w:val="007849CB"/>
    <w:rsid w:val="00795E9E"/>
    <w:rsid w:val="007A1C68"/>
    <w:rsid w:val="007A27BD"/>
    <w:rsid w:val="007A2C7E"/>
    <w:rsid w:val="007B108C"/>
    <w:rsid w:val="007B4A18"/>
    <w:rsid w:val="007C6EF5"/>
    <w:rsid w:val="007D68A4"/>
    <w:rsid w:val="00801144"/>
    <w:rsid w:val="008067C4"/>
    <w:rsid w:val="008072EA"/>
    <w:rsid w:val="00807552"/>
    <w:rsid w:val="008132E0"/>
    <w:rsid w:val="008231C8"/>
    <w:rsid w:val="00824FF1"/>
    <w:rsid w:val="0085154A"/>
    <w:rsid w:val="008579C3"/>
    <w:rsid w:val="00871EA7"/>
    <w:rsid w:val="008967BC"/>
    <w:rsid w:val="008B7CE5"/>
    <w:rsid w:val="008C0A20"/>
    <w:rsid w:val="008C1136"/>
    <w:rsid w:val="008D4BFB"/>
    <w:rsid w:val="008D5B45"/>
    <w:rsid w:val="008E1FE2"/>
    <w:rsid w:val="008E4C36"/>
    <w:rsid w:val="00923E56"/>
    <w:rsid w:val="009454AA"/>
    <w:rsid w:val="00960935"/>
    <w:rsid w:val="00966291"/>
    <w:rsid w:val="00991B71"/>
    <w:rsid w:val="00991C1E"/>
    <w:rsid w:val="00991FD6"/>
    <w:rsid w:val="00995B4D"/>
    <w:rsid w:val="009B629C"/>
    <w:rsid w:val="009B7EC2"/>
    <w:rsid w:val="009D23D6"/>
    <w:rsid w:val="009D41E3"/>
    <w:rsid w:val="009E36BA"/>
    <w:rsid w:val="009E5C78"/>
    <w:rsid w:val="009F1B21"/>
    <w:rsid w:val="009F3B08"/>
    <w:rsid w:val="009F64A3"/>
    <w:rsid w:val="009F69A2"/>
    <w:rsid w:val="009F7143"/>
    <w:rsid w:val="00A07720"/>
    <w:rsid w:val="00A105A6"/>
    <w:rsid w:val="00A1487B"/>
    <w:rsid w:val="00A17F60"/>
    <w:rsid w:val="00A438FF"/>
    <w:rsid w:val="00A5787F"/>
    <w:rsid w:val="00A65013"/>
    <w:rsid w:val="00A76EF0"/>
    <w:rsid w:val="00A7713D"/>
    <w:rsid w:val="00A77F22"/>
    <w:rsid w:val="00A84261"/>
    <w:rsid w:val="00A91976"/>
    <w:rsid w:val="00A977A0"/>
    <w:rsid w:val="00AA28F4"/>
    <w:rsid w:val="00AA6E6F"/>
    <w:rsid w:val="00AC2C9C"/>
    <w:rsid w:val="00AC2F59"/>
    <w:rsid w:val="00AE4C60"/>
    <w:rsid w:val="00AF1E8F"/>
    <w:rsid w:val="00B13EC3"/>
    <w:rsid w:val="00B46394"/>
    <w:rsid w:val="00B5028A"/>
    <w:rsid w:val="00B524CC"/>
    <w:rsid w:val="00B52FE0"/>
    <w:rsid w:val="00B62659"/>
    <w:rsid w:val="00B65E50"/>
    <w:rsid w:val="00B95BA6"/>
    <w:rsid w:val="00BB3CF6"/>
    <w:rsid w:val="00BC1D34"/>
    <w:rsid w:val="00BD4A9A"/>
    <w:rsid w:val="00BD7C27"/>
    <w:rsid w:val="00BD7C95"/>
    <w:rsid w:val="00BE456F"/>
    <w:rsid w:val="00BF03F4"/>
    <w:rsid w:val="00BF2C20"/>
    <w:rsid w:val="00BF2C80"/>
    <w:rsid w:val="00C04D37"/>
    <w:rsid w:val="00C06570"/>
    <w:rsid w:val="00C116B4"/>
    <w:rsid w:val="00C11EE1"/>
    <w:rsid w:val="00C1468E"/>
    <w:rsid w:val="00C1518A"/>
    <w:rsid w:val="00C21407"/>
    <w:rsid w:val="00C217CD"/>
    <w:rsid w:val="00C30998"/>
    <w:rsid w:val="00C3633A"/>
    <w:rsid w:val="00C56687"/>
    <w:rsid w:val="00C62BBF"/>
    <w:rsid w:val="00C849CB"/>
    <w:rsid w:val="00C95328"/>
    <w:rsid w:val="00CA7B72"/>
    <w:rsid w:val="00CC2F92"/>
    <w:rsid w:val="00CD05E0"/>
    <w:rsid w:val="00CE3E26"/>
    <w:rsid w:val="00CF01EB"/>
    <w:rsid w:val="00D012D2"/>
    <w:rsid w:val="00D101C2"/>
    <w:rsid w:val="00D30157"/>
    <w:rsid w:val="00D30ACC"/>
    <w:rsid w:val="00D36A77"/>
    <w:rsid w:val="00D425AE"/>
    <w:rsid w:val="00D523F7"/>
    <w:rsid w:val="00D578A4"/>
    <w:rsid w:val="00D60EBA"/>
    <w:rsid w:val="00D63AFD"/>
    <w:rsid w:val="00D66D30"/>
    <w:rsid w:val="00D7551C"/>
    <w:rsid w:val="00D75998"/>
    <w:rsid w:val="00D762DB"/>
    <w:rsid w:val="00D81505"/>
    <w:rsid w:val="00D92018"/>
    <w:rsid w:val="00D97836"/>
    <w:rsid w:val="00DC4735"/>
    <w:rsid w:val="00DC5FDC"/>
    <w:rsid w:val="00DF65ED"/>
    <w:rsid w:val="00E06722"/>
    <w:rsid w:val="00E16FE3"/>
    <w:rsid w:val="00E37685"/>
    <w:rsid w:val="00E420D0"/>
    <w:rsid w:val="00E47526"/>
    <w:rsid w:val="00E47535"/>
    <w:rsid w:val="00E50358"/>
    <w:rsid w:val="00E520EC"/>
    <w:rsid w:val="00E57B64"/>
    <w:rsid w:val="00E60C87"/>
    <w:rsid w:val="00E63259"/>
    <w:rsid w:val="00E6488A"/>
    <w:rsid w:val="00E66251"/>
    <w:rsid w:val="00E66D79"/>
    <w:rsid w:val="00E762FA"/>
    <w:rsid w:val="00E80D6B"/>
    <w:rsid w:val="00E860AA"/>
    <w:rsid w:val="00E93914"/>
    <w:rsid w:val="00E939D5"/>
    <w:rsid w:val="00E94963"/>
    <w:rsid w:val="00EC1463"/>
    <w:rsid w:val="00EC17BF"/>
    <w:rsid w:val="00EE10E6"/>
    <w:rsid w:val="00EE2037"/>
    <w:rsid w:val="00EF27C8"/>
    <w:rsid w:val="00EF3A62"/>
    <w:rsid w:val="00EF4B77"/>
    <w:rsid w:val="00F04350"/>
    <w:rsid w:val="00F05022"/>
    <w:rsid w:val="00F07502"/>
    <w:rsid w:val="00F22431"/>
    <w:rsid w:val="00F26BA6"/>
    <w:rsid w:val="00F33603"/>
    <w:rsid w:val="00F35EF6"/>
    <w:rsid w:val="00F437AC"/>
    <w:rsid w:val="00F43EAC"/>
    <w:rsid w:val="00F672A1"/>
    <w:rsid w:val="00F80205"/>
    <w:rsid w:val="00F84CA1"/>
    <w:rsid w:val="00F87A3C"/>
    <w:rsid w:val="00F90930"/>
    <w:rsid w:val="00F93519"/>
    <w:rsid w:val="00FB1BA3"/>
    <w:rsid w:val="00FB51C0"/>
    <w:rsid w:val="00FC263D"/>
    <w:rsid w:val="00FC30E4"/>
    <w:rsid w:val="00FC4E9A"/>
    <w:rsid w:val="00FC76FE"/>
    <w:rsid w:val="00FD48E0"/>
    <w:rsid w:val="00FE0B8E"/>
    <w:rsid w:val="00FF3105"/>
    <w:rsid w:val="01BD2D72"/>
    <w:rsid w:val="0E6F748A"/>
    <w:rsid w:val="0E907C6B"/>
    <w:rsid w:val="1283F9D3"/>
    <w:rsid w:val="129B28F7"/>
    <w:rsid w:val="131088E7"/>
    <w:rsid w:val="1340E5E7"/>
    <w:rsid w:val="14B88960"/>
    <w:rsid w:val="181B93B6"/>
    <w:rsid w:val="203847E9"/>
    <w:rsid w:val="24D77E5C"/>
    <w:rsid w:val="25E73BF4"/>
    <w:rsid w:val="27435432"/>
    <w:rsid w:val="28604CE1"/>
    <w:rsid w:val="296CFBAD"/>
    <w:rsid w:val="2FC3FB20"/>
    <w:rsid w:val="335834E8"/>
    <w:rsid w:val="373410A6"/>
    <w:rsid w:val="3B4CDE3E"/>
    <w:rsid w:val="41258A94"/>
    <w:rsid w:val="539023E3"/>
    <w:rsid w:val="53A182A3"/>
    <w:rsid w:val="550E2B96"/>
    <w:rsid w:val="570F61D6"/>
    <w:rsid w:val="5A0F10B5"/>
    <w:rsid w:val="5A2C80A0"/>
    <w:rsid w:val="5E01A153"/>
    <w:rsid w:val="5E4FF039"/>
    <w:rsid w:val="63643F9C"/>
    <w:rsid w:val="644E82F2"/>
    <w:rsid w:val="66FCAD18"/>
    <w:rsid w:val="675A5102"/>
    <w:rsid w:val="6A1CA2E7"/>
    <w:rsid w:val="71BF0DAC"/>
    <w:rsid w:val="723E6250"/>
    <w:rsid w:val="7A1EA632"/>
    <w:rsid w:val="7CB63307"/>
    <w:rsid w:val="7D130512"/>
    <w:rsid w:val="7EFBE6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1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ED"/>
    <w:pPr>
      <w:spacing w:after="0"/>
      <w:ind w:firstLine="709"/>
      <w:jc w:val="both"/>
    </w:pPr>
  </w:style>
  <w:style w:type="paragraph" w:styleId="Ttulo3">
    <w:name w:val="heading 3"/>
    <w:basedOn w:val="Normal"/>
    <w:next w:val="Normal"/>
    <w:link w:val="Ttulo3Car"/>
    <w:uiPriority w:val="9"/>
    <w:semiHidden/>
    <w:unhideWhenUsed/>
    <w:qFormat/>
    <w:rsid w:val="00C95328"/>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nhideWhenUsed/>
    <w:qFormat/>
    <w:rsid w:val="00DF65ED"/>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uiPriority w:val="9"/>
    <w:semiHidden/>
    <w:unhideWhenUsed/>
    <w:qFormat/>
    <w:rsid w:val="00C56687"/>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F65ED"/>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DF65ED"/>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DF65E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F65ED"/>
  </w:style>
  <w:style w:type="paragraph" w:styleId="Piedepgina">
    <w:name w:val="footer"/>
    <w:basedOn w:val="Normal"/>
    <w:link w:val="PiedepginaCar"/>
    <w:uiPriority w:val="99"/>
    <w:unhideWhenUsed/>
    <w:rsid w:val="00DF65E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F65ED"/>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DF65ED"/>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DF65ED"/>
    <w:rPr>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DF65ED"/>
    <w:rPr>
      <w:vertAlign w:val="superscript"/>
    </w:rPr>
  </w:style>
  <w:style w:type="character" w:customStyle="1" w:styleId="SinespaciadoCar">
    <w:name w:val="Sin espaciado Car"/>
    <w:link w:val="Sinespaciado"/>
    <w:uiPriority w:val="1"/>
    <w:locked/>
    <w:rsid w:val="00DF65ED"/>
    <w:rPr>
      <w:sz w:val="24"/>
      <w:szCs w:val="24"/>
    </w:rPr>
  </w:style>
  <w:style w:type="paragraph" w:styleId="Sinespaciado">
    <w:name w:val="No Spacing"/>
    <w:link w:val="SinespaciadoCar"/>
    <w:uiPriority w:val="1"/>
    <w:qFormat/>
    <w:rsid w:val="00DF65ED"/>
    <w:pPr>
      <w:spacing w:after="0" w:line="240" w:lineRule="auto"/>
    </w:pPr>
    <w:rPr>
      <w:sz w:val="24"/>
      <w:szCs w:val="24"/>
    </w:rPr>
  </w:style>
  <w:style w:type="paragraph" w:styleId="Sangradetextonormal">
    <w:name w:val="Body Text Indent"/>
    <w:basedOn w:val="Normal"/>
    <w:link w:val="SangradetextonormalCar"/>
    <w:rsid w:val="00DF65ED"/>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DF65ED"/>
    <w:rPr>
      <w:rFonts w:ascii="Tahoma" w:eastAsia="Times New Roman" w:hAnsi="Tahoma" w:cs="Tahoma"/>
      <w:sz w:val="24"/>
      <w:szCs w:val="24"/>
      <w:lang w:eastAsia="es-ES"/>
    </w:rPr>
  </w:style>
  <w:style w:type="paragraph" w:customStyle="1" w:styleId="Textoindependiente31">
    <w:name w:val="Texto independiente 31"/>
    <w:basedOn w:val="Normal"/>
    <w:rsid w:val="00DF65ED"/>
    <w:pPr>
      <w:spacing w:line="360" w:lineRule="auto"/>
      <w:ind w:firstLine="0"/>
    </w:pPr>
    <w:rPr>
      <w:rFonts w:ascii="Arial" w:eastAsia="Calibri" w:hAnsi="Arial" w:cs="Times New Roman"/>
      <w:sz w:val="24"/>
      <w:szCs w:val="20"/>
      <w:lang w:val="es-ES_tradnl" w:eastAsia="es-ES"/>
    </w:rPr>
  </w:style>
  <w:style w:type="paragraph" w:styleId="Textoindependiente">
    <w:name w:val="Body Text"/>
    <w:basedOn w:val="Normal"/>
    <w:link w:val="TextoindependienteCar"/>
    <w:uiPriority w:val="99"/>
    <w:unhideWhenUsed/>
    <w:rsid w:val="00DF65ED"/>
    <w:pPr>
      <w:spacing w:after="120"/>
    </w:pPr>
  </w:style>
  <w:style w:type="character" w:customStyle="1" w:styleId="TextoindependienteCar">
    <w:name w:val="Texto independiente Car"/>
    <w:basedOn w:val="Fuentedeprrafopredeter"/>
    <w:link w:val="Textoindependiente"/>
    <w:uiPriority w:val="99"/>
    <w:rsid w:val="00DF65ED"/>
  </w:style>
  <w:style w:type="paragraph" w:styleId="Prrafodelista">
    <w:name w:val="List Paragraph"/>
    <w:basedOn w:val="Normal"/>
    <w:uiPriority w:val="34"/>
    <w:qFormat/>
    <w:rsid w:val="00DF65ED"/>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xmsonormal">
    <w:name w:val="x_msonormal"/>
    <w:basedOn w:val="Normal"/>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437A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37AC"/>
    <w:rPr>
      <w:rFonts w:ascii="Segoe UI" w:hAnsi="Segoe UI" w:cs="Segoe UI"/>
      <w:sz w:val="18"/>
      <w:szCs w:val="18"/>
    </w:rPr>
  </w:style>
  <w:style w:type="paragraph" w:customStyle="1" w:styleId="Prrafodelista2">
    <w:name w:val="Párrafo de lista2"/>
    <w:basedOn w:val="Normal"/>
    <w:rsid w:val="002161F8"/>
    <w:pPr>
      <w:spacing w:after="200" w:line="276" w:lineRule="auto"/>
      <w:ind w:left="720" w:firstLine="0"/>
      <w:contextualSpacing/>
      <w:jc w:val="left"/>
    </w:pPr>
    <w:rPr>
      <w:rFonts w:ascii="Calibri" w:eastAsia="Times New Roman" w:hAnsi="Calibri" w:cs="Times New Roman"/>
      <w:lang w:val="es-CO"/>
    </w:rPr>
  </w:style>
  <w:style w:type="character" w:customStyle="1" w:styleId="Ttulo5Car">
    <w:name w:val="Título 5 Car"/>
    <w:basedOn w:val="Fuentedeprrafopredeter"/>
    <w:link w:val="Ttulo5"/>
    <w:uiPriority w:val="9"/>
    <w:semiHidden/>
    <w:rsid w:val="00C56687"/>
    <w:rPr>
      <w:rFonts w:asciiTheme="majorHAnsi" w:eastAsiaTheme="majorEastAsia" w:hAnsiTheme="majorHAnsi" w:cstheme="majorBidi"/>
      <w:color w:val="2E74B5" w:themeColor="accent1" w:themeShade="BF"/>
    </w:rPr>
  </w:style>
  <w:style w:type="character" w:styleId="Refdecomentario">
    <w:name w:val="annotation reference"/>
    <w:basedOn w:val="Fuentedeprrafopredeter"/>
    <w:uiPriority w:val="99"/>
    <w:semiHidden/>
    <w:unhideWhenUsed/>
    <w:rsid w:val="00FC263D"/>
    <w:rPr>
      <w:sz w:val="16"/>
      <w:szCs w:val="16"/>
    </w:rPr>
  </w:style>
  <w:style w:type="paragraph" w:styleId="Textocomentario">
    <w:name w:val="annotation text"/>
    <w:basedOn w:val="Normal"/>
    <w:link w:val="TextocomentarioCar"/>
    <w:uiPriority w:val="99"/>
    <w:semiHidden/>
    <w:unhideWhenUsed/>
    <w:rsid w:val="00FC26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263D"/>
    <w:rPr>
      <w:sz w:val="20"/>
      <w:szCs w:val="20"/>
    </w:rPr>
  </w:style>
  <w:style w:type="paragraph" w:styleId="Asuntodelcomentario">
    <w:name w:val="annotation subject"/>
    <w:basedOn w:val="Textocomentario"/>
    <w:next w:val="Textocomentario"/>
    <w:link w:val="AsuntodelcomentarioCar"/>
    <w:uiPriority w:val="99"/>
    <w:semiHidden/>
    <w:unhideWhenUsed/>
    <w:rsid w:val="00FC263D"/>
    <w:rPr>
      <w:b/>
      <w:bCs/>
    </w:rPr>
  </w:style>
  <w:style w:type="character" w:customStyle="1" w:styleId="AsuntodelcomentarioCar">
    <w:name w:val="Asunto del comentario Car"/>
    <w:basedOn w:val="TextocomentarioCar"/>
    <w:link w:val="Asuntodelcomentario"/>
    <w:uiPriority w:val="99"/>
    <w:semiHidden/>
    <w:rsid w:val="00FC263D"/>
    <w:rPr>
      <w:b/>
      <w:bCs/>
      <w:sz w:val="20"/>
      <w:szCs w:val="20"/>
    </w:rPr>
  </w:style>
  <w:style w:type="character" w:styleId="Hipervnculo">
    <w:name w:val="Hyperlink"/>
    <w:basedOn w:val="Fuentedeprrafopredeter"/>
    <w:uiPriority w:val="99"/>
    <w:unhideWhenUsed/>
    <w:rPr>
      <w:color w:val="0563C1" w:themeColor="hyperlink"/>
      <w:u w:val="single"/>
    </w:rPr>
  </w:style>
  <w:style w:type="character" w:customStyle="1" w:styleId="Ttulo3Car">
    <w:name w:val="Título 3 Car"/>
    <w:basedOn w:val="Fuentedeprrafopredeter"/>
    <w:link w:val="Ttulo3"/>
    <w:uiPriority w:val="9"/>
    <w:semiHidden/>
    <w:rsid w:val="00C95328"/>
    <w:rPr>
      <w:rFonts w:asciiTheme="majorHAnsi" w:eastAsiaTheme="majorEastAsia" w:hAnsiTheme="majorHAnsi" w:cstheme="majorBidi"/>
      <w:b/>
      <w:b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ED"/>
    <w:pPr>
      <w:spacing w:after="0"/>
      <w:ind w:firstLine="709"/>
      <w:jc w:val="both"/>
    </w:pPr>
  </w:style>
  <w:style w:type="paragraph" w:styleId="Ttulo3">
    <w:name w:val="heading 3"/>
    <w:basedOn w:val="Normal"/>
    <w:next w:val="Normal"/>
    <w:link w:val="Ttulo3Car"/>
    <w:uiPriority w:val="9"/>
    <w:semiHidden/>
    <w:unhideWhenUsed/>
    <w:qFormat/>
    <w:rsid w:val="00C95328"/>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nhideWhenUsed/>
    <w:qFormat/>
    <w:rsid w:val="00DF65ED"/>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uiPriority w:val="9"/>
    <w:semiHidden/>
    <w:unhideWhenUsed/>
    <w:qFormat/>
    <w:rsid w:val="00C56687"/>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DF65ED"/>
    <w:rPr>
      <w:rFonts w:ascii="Times New Roman" w:eastAsia="Times New Roman" w:hAnsi="Times New Roman" w:cs="Times New Roman"/>
      <w:b/>
      <w:sz w:val="24"/>
      <w:szCs w:val="20"/>
      <w:lang w:eastAsia="es-ES"/>
    </w:rPr>
  </w:style>
  <w:style w:type="paragraph" w:styleId="NormalWeb">
    <w:name w:val="Normal (Web)"/>
    <w:basedOn w:val="Normal"/>
    <w:uiPriority w:val="99"/>
    <w:unhideWhenUsed/>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DF65ED"/>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DF65E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F65ED"/>
  </w:style>
  <w:style w:type="paragraph" w:styleId="Piedepgina">
    <w:name w:val="footer"/>
    <w:basedOn w:val="Normal"/>
    <w:link w:val="PiedepginaCar"/>
    <w:uiPriority w:val="99"/>
    <w:unhideWhenUsed/>
    <w:rsid w:val="00DF65E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DF65ED"/>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DF65ED"/>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DF65ED"/>
    <w:rPr>
      <w:sz w:val="20"/>
      <w:szCs w:val="20"/>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rsid w:val="00DF65ED"/>
    <w:rPr>
      <w:vertAlign w:val="superscript"/>
    </w:rPr>
  </w:style>
  <w:style w:type="character" w:customStyle="1" w:styleId="SinespaciadoCar">
    <w:name w:val="Sin espaciado Car"/>
    <w:link w:val="Sinespaciado"/>
    <w:uiPriority w:val="1"/>
    <w:locked/>
    <w:rsid w:val="00DF65ED"/>
    <w:rPr>
      <w:sz w:val="24"/>
      <w:szCs w:val="24"/>
    </w:rPr>
  </w:style>
  <w:style w:type="paragraph" w:styleId="Sinespaciado">
    <w:name w:val="No Spacing"/>
    <w:link w:val="SinespaciadoCar"/>
    <w:uiPriority w:val="1"/>
    <w:qFormat/>
    <w:rsid w:val="00DF65ED"/>
    <w:pPr>
      <w:spacing w:after="0" w:line="240" w:lineRule="auto"/>
    </w:pPr>
    <w:rPr>
      <w:sz w:val="24"/>
      <w:szCs w:val="24"/>
    </w:rPr>
  </w:style>
  <w:style w:type="paragraph" w:styleId="Sangradetextonormal">
    <w:name w:val="Body Text Indent"/>
    <w:basedOn w:val="Normal"/>
    <w:link w:val="SangradetextonormalCar"/>
    <w:rsid w:val="00DF65ED"/>
    <w:pPr>
      <w:widowControl w:val="0"/>
      <w:autoSpaceDE w:val="0"/>
      <w:autoSpaceDN w:val="0"/>
      <w:adjustRightInd w:val="0"/>
      <w:spacing w:line="360" w:lineRule="auto"/>
      <w:ind w:firstLine="708"/>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rsid w:val="00DF65ED"/>
    <w:rPr>
      <w:rFonts w:ascii="Tahoma" w:eastAsia="Times New Roman" w:hAnsi="Tahoma" w:cs="Tahoma"/>
      <w:sz w:val="24"/>
      <w:szCs w:val="24"/>
      <w:lang w:eastAsia="es-ES"/>
    </w:rPr>
  </w:style>
  <w:style w:type="paragraph" w:customStyle="1" w:styleId="Textoindependiente31">
    <w:name w:val="Texto independiente 31"/>
    <w:basedOn w:val="Normal"/>
    <w:rsid w:val="00DF65ED"/>
    <w:pPr>
      <w:spacing w:line="360" w:lineRule="auto"/>
      <w:ind w:firstLine="0"/>
    </w:pPr>
    <w:rPr>
      <w:rFonts w:ascii="Arial" w:eastAsia="Calibri" w:hAnsi="Arial" w:cs="Times New Roman"/>
      <w:sz w:val="24"/>
      <w:szCs w:val="20"/>
      <w:lang w:val="es-ES_tradnl" w:eastAsia="es-ES"/>
    </w:rPr>
  </w:style>
  <w:style w:type="paragraph" w:styleId="Textoindependiente">
    <w:name w:val="Body Text"/>
    <w:basedOn w:val="Normal"/>
    <w:link w:val="TextoindependienteCar"/>
    <w:uiPriority w:val="99"/>
    <w:unhideWhenUsed/>
    <w:rsid w:val="00DF65ED"/>
    <w:pPr>
      <w:spacing w:after="120"/>
    </w:pPr>
  </w:style>
  <w:style w:type="character" w:customStyle="1" w:styleId="TextoindependienteCar">
    <w:name w:val="Texto independiente Car"/>
    <w:basedOn w:val="Fuentedeprrafopredeter"/>
    <w:link w:val="Textoindependiente"/>
    <w:uiPriority w:val="99"/>
    <w:rsid w:val="00DF65ED"/>
  </w:style>
  <w:style w:type="paragraph" w:styleId="Prrafodelista">
    <w:name w:val="List Paragraph"/>
    <w:basedOn w:val="Normal"/>
    <w:uiPriority w:val="34"/>
    <w:qFormat/>
    <w:rsid w:val="00DF65ED"/>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xmsonormal">
    <w:name w:val="x_msonormal"/>
    <w:basedOn w:val="Normal"/>
    <w:rsid w:val="00DF65ED"/>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F437AC"/>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37AC"/>
    <w:rPr>
      <w:rFonts w:ascii="Segoe UI" w:hAnsi="Segoe UI" w:cs="Segoe UI"/>
      <w:sz w:val="18"/>
      <w:szCs w:val="18"/>
    </w:rPr>
  </w:style>
  <w:style w:type="paragraph" w:customStyle="1" w:styleId="Prrafodelista2">
    <w:name w:val="Párrafo de lista2"/>
    <w:basedOn w:val="Normal"/>
    <w:rsid w:val="002161F8"/>
    <w:pPr>
      <w:spacing w:after="200" w:line="276" w:lineRule="auto"/>
      <w:ind w:left="720" w:firstLine="0"/>
      <w:contextualSpacing/>
      <w:jc w:val="left"/>
    </w:pPr>
    <w:rPr>
      <w:rFonts w:ascii="Calibri" w:eastAsia="Times New Roman" w:hAnsi="Calibri" w:cs="Times New Roman"/>
      <w:lang w:val="es-CO"/>
    </w:rPr>
  </w:style>
  <w:style w:type="character" w:customStyle="1" w:styleId="Ttulo5Car">
    <w:name w:val="Título 5 Car"/>
    <w:basedOn w:val="Fuentedeprrafopredeter"/>
    <w:link w:val="Ttulo5"/>
    <w:uiPriority w:val="9"/>
    <w:semiHidden/>
    <w:rsid w:val="00C56687"/>
    <w:rPr>
      <w:rFonts w:asciiTheme="majorHAnsi" w:eastAsiaTheme="majorEastAsia" w:hAnsiTheme="majorHAnsi" w:cstheme="majorBidi"/>
      <w:color w:val="2E74B5" w:themeColor="accent1" w:themeShade="BF"/>
    </w:rPr>
  </w:style>
  <w:style w:type="character" w:styleId="Refdecomentario">
    <w:name w:val="annotation reference"/>
    <w:basedOn w:val="Fuentedeprrafopredeter"/>
    <w:uiPriority w:val="99"/>
    <w:semiHidden/>
    <w:unhideWhenUsed/>
    <w:rsid w:val="00FC263D"/>
    <w:rPr>
      <w:sz w:val="16"/>
      <w:szCs w:val="16"/>
    </w:rPr>
  </w:style>
  <w:style w:type="paragraph" w:styleId="Textocomentario">
    <w:name w:val="annotation text"/>
    <w:basedOn w:val="Normal"/>
    <w:link w:val="TextocomentarioCar"/>
    <w:uiPriority w:val="99"/>
    <w:semiHidden/>
    <w:unhideWhenUsed/>
    <w:rsid w:val="00FC26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263D"/>
    <w:rPr>
      <w:sz w:val="20"/>
      <w:szCs w:val="20"/>
    </w:rPr>
  </w:style>
  <w:style w:type="paragraph" w:styleId="Asuntodelcomentario">
    <w:name w:val="annotation subject"/>
    <w:basedOn w:val="Textocomentario"/>
    <w:next w:val="Textocomentario"/>
    <w:link w:val="AsuntodelcomentarioCar"/>
    <w:uiPriority w:val="99"/>
    <w:semiHidden/>
    <w:unhideWhenUsed/>
    <w:rsid w:val="00FC263D"/>
    <w:rPr>
      <w:b/>
      <w:bCs/>
    </w:rPr>
  </w:style>
  <w:style w:type="character" w:customStyle="1" w:styleId="AsuntodelcomentarioCar">
    <w:name w:val="Asunto del comentario Car"/>
    <w:basedOn w:val="TextocomentarioCar"/>
    <w:link w:val="Asuntodelcomentario"/>
    <w:uiPriority w:val="99"/>
    <w:semiHidden/>
    <w:rsid w:val="00FC263D"/>
    <w:rPr>
      <w:b/>
      <w:bCs/>
      <w:sz w:val="20"/>
      <w:szCs w:val="20"/>
    </w:rPr>
  </w:style>
  <w:style w:type="character" w:styleId="Hipervnculo">
    <w:name w:val="Hyperlink"/>
    <w:basedOn w:val="Fuentedeprrafopredeter"/>
    <w:uiPriority w:val="99"/>
    <w:unhideWhenUsed/>
    <w:rPr>
      <w:color w:val="0563C1" w:themeColor="hyperlink"/>
      <w:u w:val="single"/>
    </w:rPr>
  </w:style>
  <w:style w:type="character" w:customStyle="1" w:styleId="Ttulo3Car">
    <w:name w:val="Título 3 Car"/>
    <w:basedOn w:val="Fuentedeprrafopredeter"/>
    <w:link w:val="Ttulo3"/>
    <w:uiPriority w:val="9"/>
    <w:semiHidden/>
    <w:rsid w:val="00C95328"/>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341062">
      <w:bodyDiv w:val="1"/>
      <w:marLeft w:val="0"/>
      <w:marRight w:val="0"/>
      <w:marTop w:val="0"/>
      <w:marBottom w:val="0"/>
      <w:divBdr>
        <w:top w:val="none" w:sz="0" w:space="0" w:color="auto"/>
        <w:left w:val="none" w:sz="0" w:space="0" w:color="auto"/>
        <w:bottom w:val="none" w:sz="0" w:space="0" w:color="auto"/>
        <w:right w:val="none" w:sz="0" w:space="0" w:color="auto"/>
      </w:divBdr>
    </w:div>
    <w:div w:id="150077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commentsExtended" Target="commentsExtended.xml"/><Relationship Id="rId25"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 Id="rId22"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EE391AA6E7E74B8C8815FA12ECA57C" ma:contentTypeVersion="8" ma:contentTypeDescription="Create a new document." ma:contentTypeScope="" ma:versionID="8fd30c4454a126d870c621e0724f812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45db7c60a9217c2bfc35fe4e0d3e8cb1"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1E36D-498C-4DFC-A1AA-6FE4839139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0AA4C8-7E7E-45A6-B24B-E17404F5CE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7F61C5-DF43-49EF-AEE4-79F66B9A2B24}">
  <ds:schemaRefs>
    <ds:schemaRef ds:uri="http://schemas.microsoft.com/sharepoint/v3/contenttype/forms"/>
  </ds:schemaRefs>
</ds:datastoreItem>
</file>

<file path=customXml/itemProps4.xml><?xml version="1.0" encoding="utf-8"?>
<ds:datastoreItem xmlns:ds="http://schemas.openxmlformats.org/officeDocument/2006/customXml" ds:itemID="{183946F9-DAFD-4C7B-8160-CD1457542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3582</Words>
  <Characters>19702</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ALONSO</cp:lastModifiedBy>
  <cp:revision>133</cp:revision>
  <cp:lastPrinted>2019-12-02T20:23:00Z</cp:lastPrinted>
  <dcterms:created xsi:type="dcterms:W3CDTF">2019-09-03T20:07:00Z</dcterms:created>
  <dcterms:modified xsi:type="dcterms:W3CDTF">2020-07-23T14:20:00Z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