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E6BF5" w14:textId="77777777" w:rsidR="00E0295B" w:rsidRPr="00E0295B" w:rsidRDefault="00E0295B" w:rsidP="00E0295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E0295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E0295B">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7340505F" w14:textId="77777777" w:rsidR="00E0295B" w:rsidRPr="00E0295B" w:rsidRDefault="00E0295B" w:rsidP="00E0295B">
      <w:pPr>
        <w:spacing w:line="240" w:lineRule="auto"/>
        <w:ind w:firstLine="0"/>
        <w:rPr>
          <w:rFonts w:ascii="Arial" w:eastAsia="Times New Roman" w:hAnsi="Arial" w:cs="Arial"/>
          <w:sz w:val="20"/>
          <w:szCs w:val="20"/>
          <w:lang w:val="es-419" w:eastAsia="es-ES"/>
        </w:rPr>
      </w:pPr>
    </w:p>
    <w:p w14:paraId="7ABC9345" w14:textId="77777777" w:rsidR="00E0295B" w:rsidRPr="00E0295B" w:rsidRDefault="00E0295B" w:rsidP="00E0295B">
      <w:pPr>
        <w:spacing w:line="240" w:lineRule="auto"/>
        <w:ind w:firstLine="0"/>
        <w:rPr>
          <w:rFonts w:ascii="Arial" w:eastAsia="Times New Roman" w:hAnsi="Arial" w:cs="Arial"/>
          <w:sz w:val="20"/>
          <w:szCs w:val="20"/>
          <w:lang w:val="es-419" w:eastAsia="es-ES"/>
        </w:rPr>
      </w:pPr>
      <w:r w:rsidRPr="00E0295B">
        <w:rPr>
          <w:rFonts w:ascii="Arial" w:eastAsia="Times New Roman" w:hAnsi="Arial" w:cs="Arial"/>
          <w:sz w:val="20"/>
          <w:szCs w:val="20"/>
          <w:lang w:val="es-419" w:eastAsia="es-ES"/>
        </w:rPr>
        <w:t xml:space="preserve">Providencia: </w:t>
      </w:r>
      <w:r w:rsidRPr="00E0295B">
        <w:rPr>
          <w:rFonts w:ascii="Arial" w:eastAsia="Times New Roman" w:hAnsi="Arial" w:cs="Arial"/>
          <w:sz w:val="20"/>
          <w:szCs w:val="20"/>
          <w:lang w:val="es-419" w:eastAsia="es-ES"/>
        </w:rPr>
        <w:tab/>
      </w:r>
      <w:r w:rsidRPr="00E0295B">
        <w:rPr>
          <w:rFonts w:ascii="Arial" w:eastAsia="Times New Roman" w:hAnsi="Arial" w:cs="Arial"/>
          <w:sz w:val="20"/>
          <w:szCs w:val="20"/>
          <w:lang w:val="es-419" w:eastAsia="es-ES"/>
        </w:rPr>
        <w:tab/>
        <w:t>Sentencia del 9 de octubre de 2020</w:t>
      </w:r>
    </w:p>
    <w:p w14:paraId="2F6AAA57" w14:textId="77777777" w:rsidR="00E0295B" w:rsidRPr="00E0295B" w:rsidRDefault="00E0295B" w:rsidP="00E0295B">
      <w:pPr>
        <w:spacing w:line="240" w:lineRule="auto"/>
        <w:ind w:firstLine="0"/>
        <w:rPr>
          <w:rFonts w:ascii="Arial" w:eastAsia="Times New Roman" w:hAnsi="Arial" w:cs="Arial"/>
          <w:sz w:val="20"/>
          <w:szCs w:val="20"/>
          <w:lang w:val="es-419" w:eastAsia="es-ES"/>
        </w:rPr>
      </w:pPr>
      <w:r w:rsidRPr="00E0295B">
        <w:rPr>
          <w:rFonts w:ascii="Arial" w:eastAsia="Times New Roman" w:hAnsi="Arial" w:cs="Arial"/>
          <w:sz w:val="20"/>
          <w:szCs w:val="20"/>
          <w:lang w:val="es-419" w:eastAsia="es-ES"/>
        </w:rPr>
        <w:t xml:space="preserve">Radicación No.: </w:t>
      </w:r>
      <w:r w:rsidRPr="00E0295B">
        <w:rPr>
          <w:rFonts w:ascii="Arial" w:eastAsia="Times New Roman" w:hAnsi="Arial" w:cs="Arial"/>
          <w:sz w:val="20"/>
          <w:szCs w:val="20"/>
          <w:lang w:val="es-419" w:eastAsia="es-ES"/>
        </w:rPr>
        <w:tab/>
        <w:t>66001-31-05-004-2018-00157-01</w:t>
      </w:r>
    </w:p>
    <w:p w14:paraId="2A159137" w14:textId="6E26BC98" w:rsidR="00E0295B" w:rsidRPr="00E0295B" w:rsidRDefault="00E0295B" w:rsidP="00E0295B">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Proceso: </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Ordinario Laboral</w:t>
      </w:r>
    </w:p>
    <w:p w14:paraId="1870BB02" w14:textId="5920CF2A" w:rsidR="00E0295B" w:rsidRPr="00E0295B" w:rsidRDefault="00E0295B" w:rsidP="00E0295B">
      <w:pPr>
        <w:spacing w:line="240" w:lineRule="auto"/>
        <w:ind w:firstLine="0"/>
        <w:rPr>
          <w:rFonts w:ascii="Arial" w:eastAsia="Times New Roman" w:hAnsi="Arial" w:cs="Arial"/>
          <w:sz w:val="20"/>
          <w:szCs w:val="20"/>
          <w:lang w:val="es-419" w:eastAsia="es-ES"/>
        </w:rPr>
      </w:pPr>
      <w:r w:rsidRPr="00E0295B">
        <w:rPr>
          <w:rFonts w:ascii="Arial" w:eastAsia="Times New Roman" w:hAnsi="Arial" w:cs="Arial"/>
          <w:sz w:val="20"/>
          <w:szCs w:val="20"/>
          <w:lang w:val="es-419" w:eastAsia="es-ES"/>
        </w:rPr>
        <w:t xml:space="preserve">Demandante: </w:t>
      </w:r>
      <w:r w:rsidRPr="00E0295B">
        <w:rPr>
          <w:rFonts w:ascii="Arial" w:eastAsia="Times New Roman" w:hAnsi="Arial" w:cs="Arial"/>
          <w:sz w:val="20"/>
          <w:szCs w:val="20"/>
          <w:lang w:val="es-419" w:eastAsia="es-ES"/>
        </w:rPr>
        <w:tab/>
      </w:r>
      <w:r w:rsidRPr="00E0295B">
        <w:rPr>
          <w:rFonts w:ascii="Arial" w:eastAsia="Times New Roman" w:hAnsi="Arial" w:cs="Arial"/>
          <w:sz w:val="20"/>
          <w:szCs w:val="20"/>
          <w:lang w:val="es-419" w:eastAsia="es-ES"/>
        </w:rPr>
        <w:tab/>
      </w:r>
      <w:r>
        <w:rPr>
          <w:rFonts w:ascii="Arial" w:eastAsia="Times New Roman" w:hAnsi="Arial" w:cs="Arial"/>
          <w:sz w:val="20"/>
          <w:szCs w:val="20"/>
          <w:lang w:val="es-419" w:eastAsia="es-ES"/>
        </w:rPr>
        <w:t>María Eugenia Suarez Acevedo</w:t>
      </w:r>
    </w:p>
    <w:p w14:paraId="37C2EEE7" w14:textId="77777777" w:rsidR="00E0295B" w:rsidRPr="00E0295B" w:rsidRDefault="00E0295B" w:rsidP="00E0295B">
      <w:pPr>
        <w:spacing w:line="240" w:lineRule="auto"/>
        <w:ind w:firstLine="0"/>
        <w:rPr>
          <w:rFonts w:ascii="Arial" w:eastAsia="Times New Roman" w:hAnsi="Arial" w:cs="Arial"/>
          <w:sz w:val="20"/>
          <w:szCs w:val="20"/>
          <w:lang w:val="es-419" w:eastAsia="es-ES"/>
        </w:rPr>
      </w:pPr>
      <w:r w:rsidRPr="00E0295B">
        <w:rPr>
          <w:rFonts w:ascii="Arial" w:eastAsia="Times New Roman" w:hAnsi="Arial" w:cs="Arial"/>
          <w:sz w:val="20"/>
          <w:szCs w:val="20"/>
          <w:lang w:val="es-419" w:eastAsia="es-ES"/>
        </w:rPr>
        <w:t xml:space="preserve">Demandado: </w:t>
      </w:r>
      <w:r w:rsidRPr="00E0295B">
        <w:rPr>
          <w:rFonts w:ascii="Arial" w:eastAsia="Times New Roman" w:hAnsi="Arial" w:cs="Arial"/>
          <w:sz w:val="20"/>
          <w:szCs w:val="20"/>
          <w:lang w:val="es-419" w:eastAsia="es-ES"/>
        </w:rPr>
        <w:tab/>
      </w:r>
      <w:r w:rsidRPr="00E0295B">
        <w:rPr>
          <w:rFonts w:ascii="Arial" w:eastAsia="Times New Roman" w:hAnsi="Arial" w:cs="Arial"/>
          <w:sz w:val="20"/>
          <w:szCs w:val="20"/>
          <w:lang w:val="es-419" w:eastAsia="es-ES"/>
        </w:rPr>
        <w:tab/>
        <w:t>Porvenir S.A., Protección S.A. y Colpensiones</w:t>
      </w:r>
    </w:p>
    <w:p w14:paraId="05583976" w14:textId="4C53F014" w:rsidR="00E0295B" w:rsidRPr="00E0295B" w:rsidRDefault="00E0295B" w:rsidP="00E0295B">
      <w:pPr>
        <w:spacing w:line="240" w:lineRule="auto"/>
        <w:ind w:firstLine="0"/>
        <w:rPr>
          <w:rFonts w:ascii="Arial" w:eastAsia="Times New Roman" w:hAnsi="Arial" w:cs="Arial"/>
          <w:sz w:val="20"/>
          <w:szCs w:val="20"/>
          <w:lang w:val="es-419" w:eastAsia="es-ES"/>
        </w:rPr>
      </w:pPr>
      <w:r w:rsidRPr="00E0295B">
        <w:rPr>
          <w:rFonts w:ascii="Arial" w:eastAsia="Times New Roman" w:hAnsi="Arial" w:cs="Arial"/>
          <w:sz w:val="20"/>
          <w:szCs w:val="20"/>
          <w:lang w:val="es-419" w:eastAsia="es-ES"/>
        </w:rPr>
        <w:t xml:space="preserve">Juzgado: </w:t>
      </w:r>
      <w:r w:rsidRPr="00E0295B">
        <w:rPr>
          <w:rFonts w:ascii="Arial" w:eastAsia="Times New Roman" w:hAnsi="Arial" w:cs="Arial"/>
          <w:sz w:val="20"/>
          <w:szCs w:val="20"/>
          <w:lang w:val="es-419" w:eastAsia="es-ES"/>
        </w:rPr>
        <w:tab/>
      </w:r>
      <w:r w:rsidRPr="00E0295B">
        <w:rPr>
          <w:rFonts w:ascii="Arial" w:eastAsia="Times New Roman" w:hAnsi="Arial" w:cs="Arial"/>
          <w:sz w:val="20"/>
          <w:szCs w:val="20"/>
          <w:lang w:val="es-419" w:eastAsia="es-ES"/>
        </w:rPr>
        <w:tab/>
        <w:t>Quinto Laboral del Circuito de Pereira</w:t>
      </w:r>
    </w:p>
    <w:p w14:paraId="24A11B8A" w14:textId="77777777" w:rsidR="00E0295B" w:rsidRPr="00E0295B" w:rsidRDefault="00E0295B" w:rsidP="00E0295B">
      <w:pPr>
        <w:spacing w:line="240" w:lineRule="auto"/>
        <w:ind w:firstLine="0"/>
        <w:rPr>
          <w:rFonts w:ascii="Arial" w:eastAsia="Times New Roman" w:hAnsi="Arial" w:cs="Arial"/>
          <w:sz w:val="20"/>
          <w:szCs w:val="20"/>
          <w:lang w:val="es-419" w:eastAsia="es-ES"/>
        </w:rPr>
      </w:pPr>
    </w:p>
    <w:p w14:paraId="4B62C111" w14:textId="77777777" w:rsidR="005B249A" w:rsidRPr="005B249A" w:rsidRDefault="005B249A" w:rsidP="005B249A">
      <w:pPr>
        <w:spacing w:line="240" w:lineRule="auto"/>
        <w:ind w:firstLine="0"/>
        <w:rPr>
          <w:rFonts w:ascii="Arial" w:eastAsia="Times New Roman" w:hAnsi="Arial" w:cs="Arial"/>
          <w:b/>
          <w:bCs/>
          <w:iCs/>
          <w:sz w:val="20"/>
          <w:szCs w:val="20"/>
          <w:lang w:val="es-419" w:eastAsia="fr-FR"/>
        </w:rPr>
      </w:pPr>
      <w:r w:rsidRPr="005B249A">
        <w:rPr>
          <w:rFonts w:ascii="Arial" w:eastAsia="Times New Roman" w:hAnsi="Arial" w:cs="Arial"/>
          <w:b/>
          <w:bCs/>
          <w:iCs/>
          <w:sz w:val="20"/>
          <w:szCs w:val="20"/>
          <w:u w:val="single"/>
          <w:lang w:val="es-419" w:eastAsia="fr-FR"/>
        </w:rPr>
        <w:t>TEMAS:</w:t>
      </w:r>
      <w:r w:rsidRPr="005B249A">
        <w:rPr>
          <w:rFonts w:ascii="Arial" w:eastAsia="Times New Roman" w:hAnsi="Arial" w:cs="Arial"/>
          <w:b/>
          <w:bCs/>
          <w:iCs/>
          <w:sz w:val="20"/>
          <w:szCs w:val="20"/>
          <w:lang w:val="es-419" w:eastAsia="fr-FR"/>
        </w:rPr>
        <w:tab/>
      </w:r>
      <w:r w:rsidRPr="005B249A">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26957947" w14:textId="77777777" w:rsidR="005B249A" w:rsidRPr="005B249A" w:rsidRDefault="005B249A" w:rsidP="005B249A">
      <w:pPr>
        <w:spacing w:line="240" w:lineRule="auto"/>
        <w:ind w:firstLine="0"/>
        <w:rPr>
          <w:rFonts w:ascii="Arial" w:eastAsia="Times New Roman" w:hAnsi="Arial" w:cs="Arial"/>
          <w:sz w:val="20"/>
          <w:szCs w:val="20"/>
          <w:lang w:val="es-419" w:eastAsia="es-ES"/>
        </w:rPr>
      </w:pPr>
    </w:p>
    <w:p w14:paraId="4F5A52F0" w14:textId="77777777" w:rsidR="005B249A" w:rsidRPr="005B249A" w:rsidRDefault="005B249A" w:rsidP="005B249A">
      <w:pPr>
        <w:spacing w:line="240" w:lineRule="auto"/>
        <w:ind w:firstLine="0"/>
        <w:rPr>
          <w:rFonts w:ascii="Arial" w:eastAsia="Times New Roman" w:hAnsi="Arial" w:cs="Arial"/>
          <w:sz w:val="20"/>
          <w:szCs w:val="20"/>
          <w:lang w:val="es-419" w:eastAsia="es-ES"/>
        </w:rPr>
      </w:pPr>
      <w:r w:rsidRPr="005B249A">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572C993A" w14:textId="77777777" w:rsidR="005B249A" w:rsidRPr="005B249A" w:rsidRDefault="005B249A" w:rsidP="005B249A">
      <w:pPr>
        <w:spacing w:line="240" w:lineRule="auto"/>
        <w:ind w:firstLine="0"/>
        <w:rPr>
          <w:rFonts w:ascii="Arial" w:eastAsia="Times New Roman" w:hAnsi="Arial" w:cs="Arial"/>
          <w:sz w:val="20"/>
          <w:szCs w:val="20"/>
          <w:lang w:val="es-419" w:eastAsia="es-ES"/>
        </w:rPr>
      </w:pPr>
    </w:p>
    <w:p w14:paraId="64FF3051" w14:textId="77777777" w:rsidR="005B249A" w:rsidRPr="005B249A" w:rsidRDefault="005B249A" w:rsidP="005B249A">
      <w:pPr>
        <w:spacing w:line="240" w:lineRule="auto"/>
        <w:ind w:firstLine="0"/>
        <w:rPr>
          <w:rFonts w:ascii="Arial" w:eastAsia="Times New Roman" w:hAnsi="Arial" w:cs="Arial"/>
          <w:sz w:val="20"/>
          <w:szCs w:val="20"/>
          <w:lang w:val="es-419" w:eastAsia="es-ES"/>
        </w:rPr>
      </w:pPr>
      <w:r w:rsidRPr="005B249A">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CED82FF" w14:textId="77777777" w:rsidR="005B249A" w:rsidRPr="005B249A" w:rsidRDefault="005B249A" w:rsidP="005B249A">
      <w:pPr>
        <w:spacing w:line="240" w:lineRule="auto"/>
        <w:ind w:firstLine="0"/>
        <w:rPr>
          <w:rFonts w:ascii="Arial" w:eastAsia="Times New Roman" w:hAnsi="Arial" w:cs="Arial"/>
          <w:sz w:val="20"/>
          <w:szCs w:val="20"/>
          <w:lang w:val="es-419" w:eastAsia="es-ES"/>
        </w:rPr>
      </w:pPr>
    </w:p>
    <w:p w14:paraId="2EC735DF" w14:textId="77777777" w:rsidR="005B249A" w:rsidRPr="005B249A" w:rsidRDefault="005B249A" w:rsidP="005B249A">
      <w:pPr>
        <w:spacing w:line="240" w:lineRule="auto"/>
        <w:ind w:firstLine="0"/>
        <w:rPr>
          <w:rFonts w:ascii="Arial" w:eastAsia="Times New Roman" w:hAnsi="Arial" w:cs="Arial"/>
          <w:sz w:val="20"/>
          <w:szCs w:val="20"/>
          <w:lang w:val="es-419" w:eastAsia="es-ES"/>
        </w:rPr>
      </w:pPr>
      <w:r w:rsidRPr="005B249A">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w:t>
      </w:r>
    </w:p>
    <w:p w14:paraId="2B6A7F8F" w14:textId="77777777" w:rsidR="005B249A" w:rsidRPr="005B249A" w:rsidRDefault="005B249A" w:rsidP="005B249A">
      <w:pPr>
        <w:spacing w:line="240" w:lineRule="auto"/>
        <w:ind w:firstLine="0"/>
        <w:rPr>
          <w:rFonts w:ascii="Arial" w:eastAsia="Times New Roman" w:hAnsi="Arial" w:cs="Arial"/>
          <w:sz w:val="20"/>
          <w:szCs w:val="20"/>
          <w:lang w:val="es-419" w:eastAsia="es-ES"/>
        </w:rPr>
      </w:pPr>
    </w:p>
    <w:p w14:paraId="2FAC58BB" w14:textId="77777777" w:rsidR="005B249A" w:rsidRPr="005B249A" w:rsidRDefault="005B249A" w:rsidP="005B249A">
      <w:pPr>
        <w:spacing w:line="240" w:lineRule="auto"/>
        <w:ind w:firstLine="0"/>
        <w:rPr>
          <w:rFonts w:ascii="Arial" w:eastAsia="Times New Roman" w:hAnsi="Arial" w:cs="Arial"/>
          <w:sz w:val="20"/>
          <w:szCs w:val="20"/>
          <w:lang w:val="es-419" w:eastAsia="es-ES"/>
        </w:rPr>
      </w:pPr>
      <w:r w:rsidRPr="005B249A">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01D4D83A" w14:textId="77777777" w:rsidR="005B249A" w:rsidRPr="005B249A" w:rsidRDefault="005B249A" w:rsidP="005B249A">
      <w:pPr>
        <w:spacing w:line="240" w:lineRule="auto"/>
        <w:ind w:firstLine="0"/>
        <w:rPr>
          <w:rFonts w:ascii="Arial" w:eastAsia="Times New Roman" w:hAnsi="Arial" w:cs="Arial"/>
          <w:sz w:val="20"/>
          <w:szCs w:val="20"/>
          <w:lang w:val="es-419" w:eastAsia="es-ES"/>
        </w:rPr>
      </w:pPr>
    </w:p>
    <w:p w14:paraId="5D77D7D3" w14:textId="77777777" w:rsidR="005B249A" w:rsidRPr="005B249A" w:rsidRDefault="005B249A" w:rsidP="005B249A">
      <w:pPr>
        <w:spacing w:line="240" w:lineRule="auto"/>
        <w:ind w:firstLine="0"/>
        <w:rPr>
          <w:rFonts w:ascii="Arial" w:eastAsia="Times New Roman" w:hAnsi="Arial" w:cs="Arial"/>
          <w:b/>
          <w:color w:val="FF0000"/>
          <w:sz w:val="20"/>
          <w:szCs w:val="20"/>
          <w:lang w:eastAsia="es-ES"/>
        </w:rPr>
      </w:pPr>
      <w:r w:rsidRPr="005B249A">
        <w:rPr>
          <w:rFonts w:ascii="Arial" w:eastAsia="Times New Roman" w:hAnsi="Arial" w:cs="Arial"/>
          <w:b/>
          <w:color w:val="FF0000"/>
          <w:sz w:val="20"/>
          <w:szCs w:val="20"/>
          <w:lang w:eastAsia="es-ES"/>
        </w:rPr>
        <w:t>ACLARACIÓN DE VOTO: DOCTOR JULIO CÉSAR SALAZAR MUÑOZ</w:t>
      </w:r>
    </w:p>
    <w:p w14:paraId="599FA0AE" w14:textId="77777777" w:rsidR="005B249A" w:rsidRPr="005B249A" w:rsidRDefault="005B249A" w:rsidP="005B249A">
      <w:pPr>
        <w:spacing w:line="240" w:lineRule="auto"/>
        <w:ind w:firstLine="0"/>
        <w:rPr>
          <w:rFonts w:ascii="Arial" w:eastAsia="Times New Roman" w:hAnsi="Arial" w:cs="Arial"/>
          <w:sz w:val="20"/>
          <w:szCs w:val="20"/>
          <w:lang w:eastAsia="es-ES"/>
        </w:rPr>
      </w:pPr>
    </w:p>
    <w:p w14:paraId="5BE41AAF" w14:textId="77777777" w:rsidR="005B249A" w:rsidRPr="005B249A" w:rsidRDefault="005B249A" w:rsidP="005B249A">
      <w:pPr>
        <w:spacing w:line="240" w:lineRule="auto"/>
        <w:ind w:firstLine="0"/>
        <w:rPr>
          <w:rFonts w:ascii="Arial" w:eastAsia="Times New Roman" w:hAnsi="Arial" w:cs="Arial"/>
          <w:sz w:val="20"/>
          <w:szCs w:val="20"/>
          <w:lang w:eastAsia="es-ES"/>
        </w:rPr>
      </w:pPr>
      <w:r w:rsidRPr="005B249A">
        <w:rPr>
          <w:rFonts w:ascii="Arial" w:eastAsia="Times New Roman" w:hAnsi="Arial" w:cs="Arial"/>
          <w:sz w:val="20"/>
          <w:szCs w:val="20"/>
          <w:lang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B249A">
        <w:rPr>
          <w:rFonts w:ascii="Arial" w:eastAsia="Times New Roman" w:hAnsi="Arial" w:cs="Arial"/>
          <w:sz w:val="20"/>
          <w:szCs w:val="20"/>
          <w:lang w:eastAsia="es-ES"/>
        </w:rPr>
        <w:t>RAIS</w:t>
      </w:r>
      <w:proofErr w:type="spellEnd"/>
      <w:r w:rsidRPr="005B249A">
        <w:rPr>
          <w:rFonts w:ascii="Arial" w:eastAsia="Times New Roman" w:hAnsi="Arial" w:cs="Arial"/>
          <w:sz w:val="20"/>
          <w:szCs w:val="20"/>
          <w:lang w:eastAsia="es-ES"/>
        </w:rPr>
        <w:t>, sin percatarse que, si en efecto hubo un engaño u omisión en la información para lograr el traslado por parte de la AFP privada, es ésta quien debe proceder al resarcimiento del eventual daño o perjuicio que con ello haya generado.</w:t>
      </w:r>
    </w:p>
    <w:p w14:paraId="58E0A5DB" w14:textId="77777777" w:rsidR="005B249A" w:rsidRPr="005B249A" w:rsidRDefault="005B249A" w:rsidP="005B249A">
      <w:pPr>
        <w:spacing w:line="240" w:lineRule="auto"/>
        <w:ind w:firstLine="0"/>
        <w:rPr>
          <w:rFonts w:ascii="Arial" w:eastAsia="Times New Roman" w:hAnsi="Arial" w:cs="Arial"/>
          <w:sz w:val="20"/>
          <w:szCs w:val="20"/>
          <w:lang w:eastAsia="es-ES"/>
        </w:rPr>
      </w:pPr>
    </w:p>
    <w:p w14:paraId="3D47AD2F" w14:textId="77777777" w:rsidR="005B249A" w:rsidRPr="005B249A" w:rsidRDefault="005B249A" w:rsidP="005B249A">
      <w:pPr>
        <w:spacing w:line="240" w:lineRule="auto"/>
        <w:ind w:firstLine="0"/>
        <w:rPr>
          <w:rFonts w:ascii="Arial" w:eastAsia="Times New Roman" w:hAnsi="Arial" w:cs="Arial"/>
          <w:sz w:val="20"/>
          <w:szCs w:val="20"/>
          <w:lang w:eastAsia="es-ES"/>
        </w:rPr>
      </w:pPr>
      <w:r w:rsidRPr="005B249A">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1CBA9C3" w14:textId="77777777" w:rsidR="005B249A" w:rsidRPr="005B249A" w:rsidRDefault="005B249A" w:rsidP="005B249A">
      <w:pPr>
        <w:spacing w:line="240" w:lineRule="auto"/>
        <w:ind w:firstLine="0"/>
        <w:rPr>
          <w:rFonts w:ascii="Arial" w:eastAsia="Times New Roman" w:hAnsi="Arial" w:cs="Arial"/>
          <w:sz w:val="20"/>
          <w:szCs w:val="20"/>
          <w:lang w:eastAsia="es-ES"/>
        </w:rPr>
      </w:pPr>
    </w:p>
    <w:p w14:paraId="7D3C4E77" w14:textId="77777777" w:rsidR="005B249A" w:rsidRPr="005B249A" w:rsidRDefault="005B249A" w:rsidP="005B249A">
      <w:pPr>
        <w:spacing w:line="240" w:lineRule="auto"/>
        <w:ind w:firstLine="0"/>
        <w:rPr>
          <w:rFonts w:ascii="Arial" w:eastAsia="Times New Roman" w:hAnsi="Arial" w:cs="Arial"/>
          <w:sz w:val="20"/>
          <w:szCs w:val="20"/>
          <w:lang w:eastAsia="es-ES"/>
        </w:rPr>
      </w:pPr>
    </w:p>
    <w:p w14:paraId="0D9B2705" w14:textId="77777777" w:rsidR="005B249A" w:rsidRPr="005B249A" w:rsidRDefault="005B249A" w:rsidP="005B249A">
      <w:pPr>
        <w:spacing w:line="240" w:lineRule="auto"/>
        <w:ind w:firstLine="0"/>
        <w:rPr>
          <w:rFonts w:ascii="Arial" w:eastAsia="Times New Roman" w:hAnsi="Arial" w:cs="Arial"/>
          <w:sz w:val="20"/>
          <w:szCs w:val="20"/>
          <w:lang w:eastAsia="es-ES"/>
        </w:rPr>
      </w:pPr>
    </w:p>
    <w:p w14:paraId="1F32D90C" w14:textId="77777777" w:rsidR="00E30EA9" w:rsidRPr="00E0295B" w:rsidRDefault="00E30EA9" w:rsidP="00E0295B">
      <w:pPr>
        <w:pStyle w:val="Ttulo4"/>
        <w:widowControl w:val="0"/>
        <w:tabs>
          <w:tab w:val="clear" w:pos="0"/>
        </w:tabs>
        <w:spacing w:line="276" w:lineRule="auto"/>
        <w:rPr>
          <w:rFonts w:ascii="Tahoma" w:hAnsi="Tahoma" w:cs="Tahoma"/>
          <w:bCs/>
          <w:szCs w:val="24"/>
          <w:lang w:eastAsia="es-MX"/>
        </w:rPr>
      </w:pPr>
      <w:r w:rsidRPr="00E0295B">
        <w:rPr>
          <w:rFonts w:ascii="Tahoma" w:hAnsi="Tahoma" w:cs="Tahoma"/>
          <w:bCs/>
          <w:szCs w:val="24"/>
          <w:lang w:eastAsia="es-MX"/>
        </w:rPr>
        <w:lastRenderedPageBreak/>
        <w:t>TRIBUNAL SUPERIOR DEL DISTRITO JUDICIAL</w:t>
      </w:r>
      <w:bookmarkStart w:id="0" w:name="_GoBack"/>
      <w:bookmarkEnd w:id="0"/>
      <w:r w:rsidRPr="00E0295B">
        <w:rPr>
          <w:rFonts w:ascii="Tahoma" w:hAnsi="Tahoma" w:cs="Tahoma"/>
          <w:bCs/>
          <w:szCs w:val="24"/>
          <w:lang w:eastAsia="es-MX"/>
        </w:rPr>
        <w:t xml:space="preserve"> DE PEREIRA</w:t>
      </w:r>
    </w:p>
    <w:p w14:paraId="7CBD56DB" w14:textId="77777777" w:rsidR="00E30EA9" w:rsidRPr="00E0295B" w:rsidRDefault="00E30EA9" w:rsidP="00E0295B">
      <w:pPr>
        <w:pStyle w:val="Ttulo4"/>
        <w:widowControl w:val="0"/>
        <w:tabs>
          <w:tab w:val="clear" w:pos="0"/>
        </w:tabs>
        <w:spacing w:line="276" w:lineRule="auto"/>
        <w:rPr>
          <w:rFonts w:ascii="Tahoma" w:hAnsi="Tahoma" w:cs="Tahoma"/>
          <w:bCs/>
          <w:szCs w:val="24"/>
          <w:lang w:eastAsia="es-MX"/>
        </w:rPr>
      </w:pPr>
      <w:r w:rsidRPr="00E0295B">
        <w:rPr>
          <w:rFonts w:ascii="Tahoma" w:hAnsi="Tahoma" w:cs="Tahoma"/>
          <w:bCs/>
          <w:szCs w:val="24"/>
          <w:lang w:eastAsia="es-MX"/>
        </w:rPr>
        <w:t>SALA PRIMERA DE DECISION LABORAL</w:t>
      </w:r>
    </w:p>
    <w:p w14:paraId="06BA03ED" w14:textId="77777777" w:rsidR="00E30EA9" w:rsidRPr="00E0295B" w:rsidRDefault="00E30EA9" w:rsidP="00E0295B">
      <w:pPr>
        <w:spacing w:line="276" w:lineRule="auto"/>
        <w:jc w:val="center"/>
        <w:rPr>
          <w:rFonts w:ascii="Tahoma" w:hAnsi="Tahoma" w:cs="Tahoma"/>
          <w:bCs/>
          <w:sz w:val="24"/>
          <w:szCs w:val="24"/>
        </w:rPr>
      </w:pPr>
    </w:p>
    <w:p w14:paraId="29355206" w14:textId="77777777" w:rsidR="00E30EA9" w:rsidRPr="00E0295B" w:rsidRDefault="00E30EA9" w:rsidP="00E0295B">
      <w:pPr>
        <w:spacing w:line="276" w:lineRule="auto"/>
        <w:ind w:firstLine="0"/>
        <w:jc w:val="center"/>
        <w:textAlignment w:val="baseline"/>
        <w:rPr>
          <w:rFonts w:ascii="Tahoma" w:eastAsia="Times New Roman" w:hAnsi="Tahoma" w:cs="Tahoma"/>
          <w:sz w:val="24"/>
          <w:szCs w:val="24"/>
          <w:lang w:val="es-CO" w:eastAsia="es-CO"/>
        </w:rPr>
      </w:pPr>
      <w:r w:rsidRPr="00E0295B">
        <w:rPr>
          <w:rFonts w:ascii="Tahoma" w:eastAsia="Times New Roman" w:hAnsi="Tahoma" w:cs="Tahoma"/>
          <w:sz w:val="24"/>
          <w:szCs w:val="24"/>
          <w:lang w:eastAsia="es-CO"/>
        </w:rPr>
        <w:t>Magistrada Ponente: </w:t>
      </w:r>
      <w:r w:rsidRPr="00E0295B">
        <w:rPr>
          <w:rFonts w:ascii="Tahoma" w:eastAsia="Times New Roman" w:hAnsi="Tahoma" w:cs="Tahoma"/>
          <w:b/>
          <w:bCs/>
          <w:sz w:val="24"/>
          <w:szCs w:val="24"/>
          <w:lang w:eastAsia="es-CO"/>
        </w:rPr>
        <w:t>Ana Lucía Caicedo Calderón</w:t>
      </w:r>
      <w:r w:rsidRPr="00E0295B">
        <w:rPr>
          <w:rFonts w:ascii="Tahoma" w:eastAsia="Times New Roman" w:hAnsi="Tahoma" w:cs="Tahoma"/>
          <w:sz w:val="24"/>
          <w:szCs w:val="24"/>
          <w:lang w:val="es-CO" w:eastAsia="es-CO"/>
        </w:rPr>
        <w:t> </w:t>
      </w:r>
    </w:p>
    <w:p w14:paraId="7D98691F" w14:textId="77777777" w:rsidR="00E30EA9" w:rsidRPr="00E0295B" w:rsidRDefault="00E30EA9" w:rsidP="00E0295B">
      <w:pPr>
        <w:spacing w:line="276" w:lineRule="auto"/>
        <w:ind w:firstLine="0"/>
        <w:jc w:val="center"/>
        <w:textAlignment w:val="baseline"/>
        <w:rPr>
          <w:rFonts w:ascii="Tahoma" w:eastAsia="Times New Roman" w:hAnsi="Tahoma" w:cs="Tahoma"/>
          <w:sz w:val="24"/>
          <w:szCs w:val="24"/>
          <w:lang w:val="es-CO" w:eastAsia="es-CO"/>
        </w:rPr>
      </w:pPr>
      <w:r w:rsidRPr="00E0295B">
        <w:rPr>
          <w:rFonts w:ascii="Tahoma" w:eastAsia="Times New Roman" w:hAnsi="Tahoma" w:cs="Tahoma"/>
          <w:sz w:val="24"/>
          <w:szCs w:val="24"/>
          <w:lang w:val="es-CO" w:eastAsia="es-CO"/>
        </w:rPr>
        <w:t> </w:t>
      </w:r>
    </w:p>
    <w:p w14:paraId="5B05CC43" w14:textId="6188F2BA" w:rsidR="00E30EA9" w:rsidRPr="00E0295B" w:rsidRDefault="00E30EA9" w:rsidP="00E0295B">
      <w:pPr>
        <w:spacing w:line="276" w:lineRule="auto"/>
        <w:ind w:firstLine="0"/>
        <w:jc w:val="center"/>
        <w:textAlignment w:val="baseline"/>
        <w:rPr>
          <w:rFonts w:ascii="Tahoma" w:eastAsia="Times New Roman" w:hAnsi="Tahoma" w:cs="Tahoma"/>
          <w:sz w:val="24"/>
          <w:szCs w:val="24"/>
          <w:lang w:val="es-CO" w:eastAsia="es-CO"/>
        </w:rPr>
      </w:pPr>
      <w:r w:rsidRPr="00E0295B">
        <w:rPr>
          <w:rFonts w:ascii="Tahoma" w:eastAsia="Times New Roman" w:hAnsi="Tahoma" w:cs="Tahoma"/>
          <w:sz w:val="24"/>
          <w:szCs w:val="24"/>
          <w:lang w:val="es-CO" w:eastAsia="es-CO"/>
        </w:rPr>
        <w:t>Pereira, Risaralda,</w:t>
      </w:r>
      <w:r w:rsidR="00E0295B">
        <w:rPr>
          <w:rFonts w:ascii="Tahoma" w:eastAsia="Times New Roman" w:hAnsi="Tahoma" w:cs="Tahoma"/>
          <w:sz w:val="24"/>
          <w:szCs w:val="24"/>
          <w:lang w:val="es-CO" w:eastAsia="es-CO"/>
        </w:rPr>
        <w:t xml:space="preserve"> </w:t>
      </w:r>
      <w:r w:rsidRPr="00E0295B">
        <w:rPr>
          <w:rFonts w:ascii="Tahoma" w:eastAsia="Times New Roman" w:hAnsi="Tahoma" w:cs="Tahoma"/>
          <w:sz w:val="24"/>
          <w:szCs w:val="24"/>
          <w:lang w:val="es-CO" w:eastAsia="es-CO"/>
        </w:rPr>
        <w:t>octubre nueve (9)</w:t>
      </w:r>
      <w:r w:rsidR="005B249A">
        <w:rPr>
          <w:rFonts w:ascii="Tahoma" w:eastAsia="Times New Roman" w:hAnsi="Tahoma" w:cs="Tahoma"/>
          <w:sz w:val="24"/>
          <w:szCs w:val="24"/>
          <w:lang w:val="es-CO" w:eastAsia="es-CO"/>
        </w:rPr>
        <w:t xml:space="preserve"> </w:t>
      </w:r>
      <w:r w:rsidRPr="00E0295B">
        <w:rPr>
          <w:rFonts w:ascii="Tahoma" w:eastAsia="Times New Roman" w:hAnsi="Tahoma" w:cs="Tahoma"/>
          <w:sz w:val="24"/>
          <w:szCs w:val="24"/>
          <w:lang w:val="es-CO" w:eastAsia="es-CO"/>
        </w:rPr>
        <w:t>de dos mil veinte (2020</w:t>
      </w:r>
      <w:proofErr w:type="gramStart"/>
      <w:r w:rsidRPr="00E0295B">
        <w:rPr>
          <w:rFonts w:ascii="Tahoma" w:eastAsia="Times New Roman" w:hAnsi="Tahoma" w:cs="Tahoma"/>
          <w:sz w:val="24"/>
          <w:szCs w:val="24"/>
          <w:lang w:val="es-CO" w:eastAsia="es-CO"/>
        </w:rPr>
        <w:t>) </w:t>
      </w:r>
      <w:proofErr w:type="gramEnd"/>
      <w:r w:rsidRPr="00E0295B">
        <w:rPr>
          <w:rFonts w:ascii="Tahoma" w:eastAsia="Times New Roman" w:hAnsi="Tahoma" w:cs="Tahoma"/>
          <w:sz w:val="24"/>
          <w:szCs w:val="24"/>
          <w:lang w:val="es-CO" w:eastAsia="es-CO"/>
        </w:rPr>
        <w:t> </w:t>
      </w:r>
    </w:p>
    <w:p w14:paraId="4C402C8E" w14:textId="77777777" w:rsidR="00236FB2" w:rsidRPr="00E0295B" w:rsidRDefault="00236FB2" w:rsidP="00E0295B">
      <w:pPr>
        <w:spacing w:line="276" w:lineRule="auto"/>
        <w:ind w:firstLine="0"/>
        <w:jc w:val="center"/>
        <w:rPr>
          <w:rFonts w:ascii="Tahoma" w:hAnsi="Tahoma" w:cs="Tahoma"/>
          <w:b/>
          <w:sz w:val="24"/>
          <w:szCs w:val="24"/>
        </w:rPr>
      </w:pPr>
    </w:p>
    <w:p w14:paraId="54FA16AE" w14:textId="1FCAAAF7" w:rsidR="00236FB2" w:rsidRPr="00E0295B" w:rsidRDefault="00E30EA9" w:rsidP="00E0295B">
      <w:pPr>
        <w:spacing w:line="276" w:lineRule="auto"/>
        <w:ind w:firstLine="708"/>
        <w:rPr>
          <w:rFonts w:ascii="Tahoma" w:hAnsi="Tahoma" w:cs="Tahoma"/>
          <w:sz w:val="24"/>
          <w:szCs w:val="24"/>
          <w:lang w:val="es-ES_tradnl"/>
        </w:rPr>
      </w:pPr>
      <w:r w:rsidRPr="00E0295B">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E0295B">
        <w:rPr>
          <w:rFonts w:ascii="Tahoma" w:hAnsi="Tahoma" w:cs="Tahoma"/>
          <w:sz w:val="24"/>
          <w:szCs w:val="24"/>
        </w:rPr>
        <w:t xml:space="preserve"> </w:t>
      </w:r>
      <w:r w:rsidRPr="00E0295B">
        <w:rPr>
          <w:rFonts w:ascii="Tahoma" w:hAnsi="Tahoma" w:cs="Tahoma"/>
          <w:sz w:val="24"/>
          <w:szCs w:val="24"/>
          <w:lang w:val="es-ES_tradnl"/>
        </w:rPr>
        <w:t>se proferirán por escrito</w:t>
      </w:r>
      <w:r w:rsidRPr="00E0295B">
        <w:rPr>
          <w:rFonts w:ascii="Tahoma" w:hAnsi="Tahoma" w:cs="Tahoma"/>
          <w:sz w:val="24"/>
          <w:szCs w:val="24"/>
        </w:rPr>
        <w:t xml:space="preserve"> </w:t>
      </w:r>
      <w:r w:rsidRPr="00E0295B">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E0295B">
        <w:rPr>
          <w:rFonts w:ascii="Tahoma" w:hAnsi="Tahoma" w:cs="Tahoma"/>
          <w:sz w:val="24"/>
          <w:szCs w:val="24"/>
        </w:rPr>
        <w:t>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00236FB2" w:rsidRPr="00E0295B">
        <w:rPr>
          <w:rFonts w:ascii="Tahoma" w:hAnsi="Tahoma" w:cs="Tahoma"/>
          <w:sz w:val="24"/>
          <w:szCs w:val="24"/>
          <w:lang w:val="es-ES_tradnl"/>
        </w:rPr>
        <w:t xml:space="preserve"> </w:t>
      </w:r>
      <w:r w:rsidR="00236FB2" w:rsidRPr="00E0295B">
        <w:rPr>
          <w:rFonts w:ascii="Tahoma" w:hAnsi="Tahoma" w:cs="Tahoma"/>
          <w:b/>
          <w:bCs/>
          <w:sz w:val="24"/>
          <w:szCs w:val="24"/>
          <w:lang w:val="es-ES_tradnl"/>
        </w:rPr>
        <w:t xml:space="preserve">María Eugenia Suárez Acevedo </w:t>
      </w:r>
      <w:r w:rsidR="00236FB2" w:rsidRPr="00E0295B">
        <w:rPr>
          <w:rFonts w:ascii="Tahoma" w:hAnsi="Tahoma" w:cs="Tahoma"/>
          <w:sz w:val="24"/>
          <w:szCs w:val="24"/>
          <w:lang w:val="es-ES_tradnl"/>
        </w:rPr>
        <w:t xml:space="preserve">en contra de la </w:t>
      </w:r>
      <w:r w:rsidR="00236FB2" w:rsidRPr="00E0295B">
        <w:rPr>
          <w:rFonts w:ascii="Tahoma" w:hAnsi="Tahoma" w:cs="Tahoma"/>
          <w:b/>
          <w:sz w:val="24"/>
          <w:szCs w:val="24"/>
          <w:lang w:val="es-ES_tradnl"/>
        </w:rPr>
        <w:t>Administradora Colombiana de Pensiones - Colpensiones</w:t>
      </w:r>
      <w:r w:rsidR="00236FB2" w:rsidRPr="00E0295B">
        <w:rPr>
          <w:rFonts w:ascii="Tahoma" w:hAnsi="Tahoma" w:cs="Tahoma"/>
          <w:sz w:val="24"/>
          <w:szCs w:val="24"/>
          <w:lang w:val="es-ES_tradnl"/>
        </w:rPr>
        <w:t xml:space="preserve"> y las </w:t>
      </w:r>
      <w:r w:rsidR="00236FB2" w:rsidRPr="00E0295B">
        <w:rPr>
          <w:rFonts w:ascii="Tahoma" w:hAnsi="Tahoma" w:cs="Tahoma"/>
          <w:b/>
          <w:sz w:val="24"/>
          <w:szCs w:val="24"/>
          <w:lang w:val="es-ES_tradnl"/>
        </w:rPr>
        <w:t>Administradoras de Fondos de Pensiones -</w:t>
      </w:r>
      <w:r w:rsidR="00236FB2" w:rsidRPr="00E0295B">
        <w:rPr>
          <w:rFonts w:ascii="Tahoma" w:hAnsi="Tahoma" w:cs="Tahoma"/>
          <w:sz w:val="24"/>
          <w:szCs w:val="24"/>
          <w:lang w:val="es-ES_tradnl"/>
        </w:rPr>
        <w:t xml:space="preserve"> </w:t>
      </w:r>
      <w:r w:rsidR="00236FB2" w:rsidRPr="00E0295B">
        <w:rPr>
          <w:rFonts w:ascii="Tahoma" w:hAnsi="Tahoma" w:cs="Tahoma"/>
          <w:b/>
          <w:sz w:val="24"/>
          <w:szCs w:val="24"/>
          <w:lang w:val="es-ES_tradnl"/>
        </w:rPr>
        <w:t>Porvenir S.A. y Protección S.A.</w:t>
      </w:r>
      <w:r w:rsidR="00236FB2" w:rsidRPr="00E0295B">
        <w:rPr>
          <w:rFonts w:ascii="Tahoma" w:hAnsi="Tahoma" w:cs="Tahoma"/>
          <w:sz w:val="24"/>
          <w:szCs w:val="24"/>
          <w:lang w:val="es-ES_tradnl"/>
        </w:rPr>
        <w:t xml:space="preserve"> </w:t>
      </w:r>
    </w:p>
    <w:p w14:paraId="3D0D8951" w14:textId="77777777" w:rsidR="00250D85" w:rsidRPr="00E0295B" w:rsidRDefault="00250D85" w:rsidP="00E0295B">
      <w:pPr>
        <w:spacing w:line="276" w:lineRule="auto"/>
        <w:ind w:firstLine="708"/>
        <w:rPr>
          <w:rFonts w:ascii="Tahoma" w:hAnsi="Tahoma" w:cs="Tahoma"/>
          <w:sz w:val="24"/>
          <w:szCs w:val="24"/>
          <w:lang w:val="es-ES_tradnl"/>
        </w:rPr>
      </w:pPr>
    </w:p>
    <w:p w14:paraId="1944FBE9" w14:textId="77777777" w:rsidR="00E30EA9" w:rsidRPr="00E0295B" w:rsidRDefault="00E30EA9" w:rsidP="00E0295B">
      <w:pPr>
        <w:pStyle w:val="paragraph"/>
        <w:spacing w:before="0" w:beforeAutospacing="0" w:after="0" w:afterAutospacing="0" w:line="276" w:lineRule="auto"/>
        <w:jc w:val="center"/>
        <w:textAlignment w:val="baseline"/>
        <w:rPr>
          <w:rFonts w:ascii="Tahoma" w:hAnsi="Tahoma" w:cs="Tahoma"/>
        </w:rPr>
      </w:pPr>
      <w:r w:rsidRPr="00E0295B">
        <w:rPr>
          <w:rStyle w:val="normaltextrun"/>
          <w:rFonts w:ascii="Tahoma" w:hAnsi="Tahoma" w:cs="Tahoma"/>
          <w:b/>
          <w:bCs/>
        </w:rPr>
        <w:t>PUNTO A TRATAR</w:t>
      </w:r>
    </w:p>
    <w:p w14:paraId="0680E64D" w14:textId="77777777" w:rsidR="00E30EA9" w:rsidRPr="00E0295B" w:rsidRDefault="00E30EA9" w:rsidP="00E0295B">
      <w:pPr>
        <w:pStyle w:val="paragraph"/>
        <w:spacing w:before="0" w:beforeAutospacing="0" w:after="0" w:afterAutospacing="0" w:line="276" w:lineRule="auto"/>
        <w:ind w:firstLine="705"/>
        <w:jc w:val="center"/>
        <w:textAlignment w:val="baseline"/>
        <w:rPr>
          <w:rFonts w:ascii="Tahoma" w:hAnsi="Tahoma" w:cs="Tahoma"/>
        </w:rPr>
      </w:pPr>
      <w:r w:rsidRPr="00E0295B">
        <w:rPr>
          <w:rStyle w:val="eop"/>
          <w:rFonts w:ascii="Tahoma" w:hAnsi="Tahoma" w:cs="Tahoma"/>
        </w:rPr>
        <w:t> </w:t>
      </w:r>
    </w:p>
    <w:p w14:paraId="1A0FC47C" w14:textId="77777777" w:rsidR="00E30EA9" w:rsidRPr="00E0295B" w:rsidRDefault="00E30EA9" w:rsidP="00E0295B">
      <w:pPr>
        <w:pStyle w:val="paragraph"/>
        <w:spacing w:before="0" w:beforeAutospacing="0" w:after="0" w:afterAutospacing="0" w:line="276" w:lineRule="auto"/>
        <w:ind w:firstLine="705"/>
        <w:jc w:val="both"/>
        <w:textAlignment w:val="baseline"/>
        <w:rPr>
          <w:rFonts w:ascii="Tahoma" w:hAnsi="Tahoma" w:cs="Tahoma"/>
        </w:rPr>
      </w:pPr>
      <w:r w:rsidRPr="00E0295B">
        <w:rPr>
          <w:rStyle w:val="normaltextrun"/>
          <w:rFonts w:ascii="Tahoma" w:hAnsi="Tahoma" w:cs="Tahoma"/>
        </w:rPr>
        <w:t>Por medio de esta providencia procede la Sala a</w:t>
      </w:r>
      <w:r w:rsidRPr="00E0295B">
        <w:rPr>
          <w:rFonts w:ascii="Tahoma" w:hAnsi="Tahoma" w:cs="Tahoma"/>
        </w:rPr>
        <w:t xml:space="preserve"> revolver los recursos de apelación interpuestos por los apoderados de las codemandadas en contra de la sentencia proferida el 19 de septiembre de 2019, por el Juzgado Cuarto Laboral del Circuito de Pereira</w:t>
      </w:r>
      <w:r w:rsidRPr="00E0295B">
        <w:rPr>
          <w:rStyle w:val="normaltextrun"/>
          <w:rFonts w:ascii="Tahoma" w:hAnsi="Tahoma" w:cs="Tahoma"/>
        </w:rPr>
        <w:t>; asimismo, se revisará la sentencia en grado jurisdiccional de consulta a favor de COLPENSIONES.</w:t>
      </w:r>
      <w:r w:rsidRPr="00E0295B">
        <w:rPr>
          <w:rStyle w:val="Refdenotaalpie"/>
          <w:rFonts w:ascii="Tahoma" w:hAnsi="Tahoma" w:cs="Tahoma"/>
        </w:rPr>
        <w:t xml:space="preserve"> </w:t>
      </w:r>
      <w:r w:rsidRPr="00E0295B">
        <w:rPr>
          <w:rStyle w:val="normaltextrun"/>
          <w:rFonts w:ascii="Tahoma" w:hAnsi="Tahoma" w:cs="Tahoma"/>
        </w:rPr>
        <w:t>Para ello se tiene en cuenta lo siguiente: </w:t>
      </w:r>
    </w:p>
    <w:p w14:paraId="69F17879" w14:textId="77777777" w:rsidR="00236FB2" w:rsidRPr="00E0295B" w:rsidRDefault="00236FB2" w:rsidP="00E0295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6FA7B955" w14:textId="77777777" w:rsidR="00ED773D" w:rsidRPr="00E0295B" w:rsidRDefault="00ED773D" w:rsidP="00E0295B">
      <w:pPr>
        <w:pStyle w:val="Sinespaciado"/>
        <w:numPr>
          <w:ilvl w:val="0"/>
          <w:numId w:val="2"/>
        </w:numPr>
        <w:spacing w:line="276" w:lineRule="auto"/>
        <w:jc w:val="center"/>
        <w:rPr>
          <w:rFonts w:ascii="Tahoma" w:hAnsi="Tahoma" w:cs="Tahoma"/>
          <w:b/>
        </w:rPr>
      </w:pPr>
      <w:r w:rsidRPr="00E0295B">
        <w:rPr>
          <w:rFonts w:ascii="Tahoma" w:hAnsi="Tahoma" w:cs="Tahoma"/>
          <w:b/>
        </w:rPr>
        <w:t>La demanda y su contestación</w:t>
      </w:r>
    </w:p>
    <w:p w14:paraId="107DE9FE" w14:textId="77777777" w:rsidR="00236FB2" w:rsidRPr="00E0295B" w:rsidRDefault="00236FB2" w:rsidP="00E0295B">
      <w:pPr>
        <w:spacing w:line="276" w:lineRule="auto"/>
        <w:rPr>
          <w:rFonts w:ascii="Tahoma" w:hAnsi="Tahoma" w:cs="Tahoma"/>
          <w:sz w:val="24"/>
          <w:szCs w:val="24"/>
          <w:lang w:val="es-CO"/>
        </w:rPr>
      </w:pPr>
    </w:p>
    <w:p w14:paraId="49866F58" w14:textId="77777777" w:rsidR="00236FB2" w:rsidRPr="00E0295B" w:rsidRDefault="00236FB2" w:rsidP="00E0295B">
      <w:pPr>
        <w:spacing w:line="276" w:lineRule="auto"/>
        <w:rPr>
          <w:rFonts w:ascii="Tahoma" w:hAnsi="Tahoma" w:cs="Tahoma"/>
          <w:sz w:val="24"/>
          <w:szCs w:val="24"/>
          <w:lang w:val="es-CO"/>
        </w:rPr>
      </w:pPr>
      <w:r w:rsidRPr="00E0295B">
        <w:rPr>
          <w:rFonts w:ascii="Tahoma" w:hAnsi="Tahoma" w:cs="Tahoma"/>
          <w:sz w:val="24"/>
          <w:szCs w:val="24"/>
          <w:lang w:val="es-CO"/>
        </w:rPr>
        <w:t xml:space="preserve">Solicita el demandante que se declare la nulidad del traslado que efectuó al RAIS, por medio de la AFP Porvenir S.A., </w:t>
      </w:r>
      <w:r w:rsidRPr="00E0295B">
        <w:rPr>
          <w:rFonts w:ascii="Tahoma" w:hAnsi="Tahoma" w:cs="Tahoma"/>
          <w:i/>
          <w:iCs/>
          <w:sz w:val="24"/>
          <w:szCs w:val="24"/>
          <w:lang w:val="es-CO"/>
        </w:rPr>
        <w:t>-así como la subsecuente afiliación que realizó en Protección S.A.-</w:t>
      </w:r>
      <w:r w:rsidRPr="00E0295B">
        <w:rPr>
          <w:rFonts w:ascii="Tahoma" w:hAnsi="Tahoma" w:cs="Tahoma"/>
          <w:sz w:val="24"/>
          <w:szCs w:val="24"/>
          <w:lang w:val="es-CO"/>
        </w:rPr>
        <w:t>, decretándose, por lo tanto, válida y vigente su afiliación al otrora I.S.S., hoy Colpensiones.</w:t>
      </w:r>
    </w:p>
    <w:p w14:paraId="456A540B" w14:textId="77777777" w:rsidR="00236FB2" w:rsidRPr="00E0295B" w:rsidRDefault="00236FB2" w:rsidP="00E0295B">
      <w:pPr>
        <w:spacing w:line="276" w:lineRule="auto"/>
        <w:rPr>
          <w:rFonts w:ascii="Tahoma" w:hAnsi="Tahoma" w:cs="Tahoma"/>
          <w:sz w:val="24"/>
          <w:szCs w:val="24"/>
          <w:lang w:val="es-CO"/>
        </w:rPr>
      </w:pPr>
    </w:p>
    <w:p w14:paraId="1B26F201" w14:textId="2E4D764E" w:rsidR="00236FB2" w:rsidRPr="00E0295B" w:rsidRDefault="00236FB2" w:rsidP="00E0295B">
      <w:pPr>
        <w:spacing w:line="276" w:lineRule="auto"/>
        <w:rPr>
          <w:rFonts w:ascii="Tahoma" w:hAnsi="Tahoma" w:cs="Tahoma"/>
          <w:sz w:val="24"/>
          <w:szCs w:val="24"/>
          <w:lang w:val="es-CO"/>
        </w:rPr>
      </w:pPr>
      <w:r w:rsidRPr="00E0295B">
        <w:rPr>
          <w:rFonts w:ascii="Tahoma" w:hAnsi="Tahoma" w:cs="Tahoma"/>
          <w:sz w:val="24"/>
          <w:szCs w:val="24"/>
          <w:lang w:val="es-CO"/>
        </w:rPr>
        <w:t xml:space="preserve">Igualmente, pide que se condene a Colpensiones a recibirla nuevamente como afiliada cotizante, y a las AFP Porvenir S.A. </w:t>
      </w:r>
      <w:r w:rsidR="00250D85" w:rsidRPr="00E0295B">
        <w:rPr>
          <w:rFonts w:ascii="Tahoma" w:hAnsi="Tahoma" w:cs="Tahoma"/>
          <w:sz w:val="24"/>
          <w:szCs w:val="24"/>
          <w:lang w:val="es-CO"/>
        </w:rPr>
        <w:t>y Protección</w:t>
      </w:r>
      <w:r w:rsidRPr="00E0295B">
        <w:rPr>
          <w:rFonts w:ascii="Tahoma" w:hAnsi="Tahoma" w:cs="Tahoma"/>
          <w:sz w:val="24"/>
          <w:szCs w:val="24"/>
          <w:lang w:val="es-CO"/>
        </w:rPr>
        <w:t xml:space="preserve"> S.A. a que la liberen de su base de datos, realizando el respectivo traslado de sus cotizaciones a Colpensiones.</w:t>
      </w:r>
    </w:p>
    <w:p w14:paraId="401ED932" w14:textId="77777777" w:rsidR="00236FB2" w:rsidRPr="00E0295B" w:rsidRDefault="00236FB2" w:rsidP="00E0295B">
      <w:pPr>
        <w:spacing w:line="276" w:lineRule="auto"/>
        <w:rPr>
          <w:rFonts w:ascii="Tahoma" w:hAnsi="Tahoma" w:cs="Tahoma"/>
          <w:sz w:val="24"/>
          <w:szCs w:val="24"/>
          <w:lang w:val="es-CO"/>
        </w:rPr>
      </w:pPr>
    </w:p>
    <w:p w14:paraId="7A7F1BEB" w14:textId="77777777" w:rsidR="00236FB2" w:rsidRPr="00E0295B" w:rsidRDefault="00236FB2" w:rsidP="00E0295B">
      <w:pPr>
        <w:spacing w:line="276" w:lineRule="auto"/>
        <w:rPr>
          <w:rFonts w:ascii="Tahoma" w:hAnsi="Tahoma" w:cs="Tahoma"/>
          <w:sz w:val="24"/>
          <w:szCs w:val="24"/>
          <w:lang w:val="es-CO"/>
        </w:rPr>
      </w:pPr>
      <w:r w:rsidRPr="00E0295B">
        <w:rPr>
          <w:rFonts w:ascii="Tahoma" w:hAnsi="Tahoma" w:cs="Tahoma"/>
          <w:sz w:val="24"/>
          <w:szCs w:val="24"/>
          <w:lang w:val="es-CO"/>
        </w:rPr>
        <w:t xml:space="preserve">Finalmente, solicita que se condene a las demandadas al pago de las costas procesales y a lo extra y ultra </w:t>
      </w:r>
      <w:proofErr w:type="spellStart"/>
      <w:r w:rsidRPr="00E0295B">
        <w:rPr>
          <w:rFonts w:ascii="Tahoma" w:hAnsi="Tahoma" w:cs="Tahoma"/>
          <w:sz w:val="24"/>
          <w:szCs w:val="24"/>
          <w:lang w:val="es-CO"/>
        </w:rPr>
        <w:t>petita</w:t>
      </w:r>
      <w:proofErr w:type="spellEnd"/>
      <w:r w:rsidRPr="00E0295B">
        <w:rPr>
          <w:rFonts w:ascii="Tahoma" w:hAnsi="Tahoma" w:cs="Tahoma"/>
          <w:sz w:val="24"/>
          <w:szCs w:val="24"/>
          <w:lang w:val="es-CO"/>
        </w:rPr>
        <w:t xml:space="preserve"> que resulte probado en el proceso.</w:t>
      </w:r>
    </w:p>
    <w:p w14:paraId="795EEE85" w14:textId="77777777" w:rsidR="00236FB2" w:rsidRPr="00E0295B" w:rsidRDefault="00236FB2" w:rsidP="00E0295B">
      <w:pPr>
        <w:spacing w:line="276" w:lineRule="auto"/>
        <w:ind w:firstLine="0"/>
        <w:rPr>
          <w:rFonts w:ascii="Tahoma" w:hAnsi="Tahoma" w:cs="Tahoma"/>
          <w:sz w:val="24"/>
          <w:szCs w:val="24"/>
          <w:lang w:val="es-CO"/>
        </w:rPr>
      </w:pPr>
    </w:p>
    <w:p w14:paraId="49F150BD" w14:textId="6CC047F4" w:rsidR="00236FB2" w:rsidRPr="00E0295B" w:rsidRDefault="00236FB2" w:rsidP="00E0295B">
      <w:pPr>
        <w:spacing w:line="276" w:lineRule="auto"/>
        <w:rPr>
          <w:rFonts w:ascii="Tahoma" w:hAnsi="Tahoma" w:cs="Tahoma"/>
          <w:sz w:val="24"/>
          <w:szCs w:val="24"/>
          <w:lang w:val="es-CO"/>
        </w:rPr>
      </w:pPr>
      <w:r w:rsidRPr="00E0295B">
        <w:rPr>
          <w:rFonts w:ascii="Tahoma" w:hAnsi="Tahoma" w:cs="Tahoma"/>
          <w:sz w:val="24"/>
          <w:szCs w:val="24"/>
          <w:lang w:val="es-CO"/>
        </w:rPr>
        <w:t>Para fundar tales pretensiones</w:t>
      </w:r>
      <w:r w:rsidR="00250D85" w:rsidRPr="00E0295B">
        <w:rPr>
          <w:rFonts w:ascii="Tahoma" w:hAnsi="Tahoma" w:cs="Tahoma"/>
          <w:sz w:val="24"/>
          <w:szCs w:val="24"/>
          <w:lang w:val="es-CO"/>
        </w:rPr>
        <w:t>,</w:t>
      </w:r>
      <w:r w:rsidRPr="00E0295B">
        <w:rPr>
          <w:rFonts w:ascii="Tahoma" w:hAnsi="Tahoma" w:cs="Tahoma"/>
          <w:sz w:val="24"/>
          <w:szCs w:val="24"/>
          <w:lang w:val="es-CO"/>
        </w:rPr>
        <w:t xml:space="preserve"> manifiesta que se vinculó laboralmente con el Hospital Ramón Gonzáles Valencia el 1º de abril de 1994, siendo afiliada al sistema integrado de seguridad social administrado por el I.S.S.</w:t>
      </w:r>
    </w:p>
    <w:p w14:paraId="49B33634" w14:textId="77777777" w:rsidR="00236FB2" w:rsidRPr="00E0295B" w:rsidRDefault="00236FB2" w:rsidP="00E0295B">
      <w:pPr>
        <w:spacing w:line="276" w:lineRule="auto"/>
        <w:rPr>
          <w:rFonts w:ascii="Tahoma" w:hAnsi="Tahoma" w:cs="Tahoma"/>
          <w:sz w:val="24"/>
          <w:szCs w:val="24"/>
          <w:lang w:val="es-CO"/>
        </w:rPr>
      </w:pPr>
    </w:p>
    <w:p w14:paraId="7B335708" w14:textId="77777777" w:rsidR="00236FB2" w:rsidRPr="00E0295B" w:rsidRDefault="00236FB2" w:rsidP="00E0295B">
      <w:pPr>
        <w:spacing w:line="276" w:lineRule="auto"/>
        <w:rPr>
          <w:rFonts w:ascii="Tahoma" w:hAnsi="Tahoma" w:cs="Tahoma"/>
          <w:sz w:val="24"/>
          <w:szCs w:val="24"/>
          <w:lang w:val="es-CO"/>
        </w:rPr>
      </w:pPr>
      <w:r w:rsidRPr="00E0295B">
        <w:rPr>
          <w:rFonts w:ascii="Tahoma" w:hAnsi="Tahoma" w:cs="Tahoma"/>
          <w:sz w:val="24"/>
          <w:szCs w:val="24"/>
          <w:lang w:val="es-CO"/>
        </w:rPr>
        <w:t xml:space="preserve">Refiere que el 31 de julio de 1995 asesores comerciales de la AFP Porvenir la visitaron en las dependencias del aludido hospital, informándole que en el RAIS podría </w:t>
      </w:r>
      <w:r w:rsidRPr="00E0295B">
        <w:rPr>
          <w:rFonts w:ascii="Tahoma" w:hAnsi="Tahoma" w:cs="Tahoma"/>
          <w:sz w:val="24"/>
          <w:szCs w:val="24"/>
          <w:lang w:val="es-CO"/>
        </w:rPr>
        <w:lastRenderedPageBreak/>
        <w:t>pensionarse con un monto pensional superior y con menos edad de la que debía tener en el régimen de prima media, el cual supuestamente iba a desaparecer.</w:t>
      </w:r>
    </w:p>
    <w:p w14:paraId="7B9ECE8E" w14:textId="77777777" w:rsidR="00236FB2" w:rsidRPr="00E0295B" w:rsidRDefault="00236FB2" w:rsidP="00E0295B">
      <w:pPr>
        <w:spacing w:line="276" w:lineRule="auto"/>
        <w:rPr>
          <w:rFonts w:ascii="Tahoma" w:hAnsi="Tahoma" w:cs="Tahoma"/>
          <w:sz w:val="24"/>
          <w:szCs w:val="24"/>
          <w:lang w:val="es-CO"/>
        </w:rPr>
      </w:pPr>
    </w:p>
    <w:p w14:paraId="16671925" w14:textId="77777777" w:rsidR="00236FB2" w:rsidRPr="00E0295B" w:rsidRDefault="00236FB2" w:rsidP="00E0295B">
      <w:pPr>
        <w:spacing w:line="276" w:lineRule="auto"/>
        <w:rPr>
          <w:rFonts w:ascii="Tahoma" w:hAnsi="Tahoma" w:cs="Tahoma"/>
          <w:sz w:val="24"/>
          <w:szCs w:val="24"/>
          <w:lang w:val="es-CO"/>
        </w:rPr>
      </w:pPr>
      <w:r w:rsidRPr="00E0295B">
        <w:rPr>
          <w:rFonts w:ascii="Tahoma" w:hAnsi="Tahoma" w:cs="Tahoma"/>
          <w:sz w:val="24"/>
          <w:szCs w:val="24"/>
          <w:lang w:val="es-CO"/>
        </w:rPr>
        <w:t>Afirma que se le comunicó que en caso de fallecimiento la pensión se perdería en el régimen de prima media en caso de no tener beneficiarios, en cambio, en el RAIS el capital ahorrado pasaría a familiares hasta el quinto grado de consanguinidad, pero sólo si se encontraba en la modalidad de retiro programado; además, en caso de no querer reclamar la pensión podría solicitar la devolución del capital ahorrado y de su bono pensional.</w:t>
      </w:r>
    </w:p>
    <w:p w14:paraId="0C3C6827" w14:textId="77777777" w:rsidR="00236FB2" w:rsidRPr="00E0295B" w:rsidRDefault="00236FB2" w:rsidP="00E0295B">
      <w:pPr>
        <w:spacing w:line="276" w:lineRule="auto"/>
        <w:rPr>
          <w:rFonts w:ascii="Tahoma" w:hAnsi="Tahoma" w:cs="Tahoma"/>
          <w:sz w:val="24"/>
          <w:szCs w:val="24"/>
          <w:lang w:val="es-CO"/>
        </w:rPr>
      </w:pPr>
    </w:p>
    <w:p w14:paraId="04744D21" w14:textId="77777777" w:rsidR="00236FB2" w:rsidRPr="00E0295B" w:rsidRDefault="00236FB2" w:rsidP="00E0295B">
      <w:pPr>
        <w:spacing w:line="276" w:lineRule="auto"/>
        <w:rPr>
          <w:rFonts w:ascii="Tahoma" w:hAnsi="Tahoma" w:cs="Tahoma"/>
          <w:sz w:val="24"/>
          <w:szCs w:val="24"/>
          <w:lang w:val="es-CO"/>
        </w:rPr>
      </w:pPr>
      <w:r w:rsidRPr="00E0295B">
        <w:rPr>
          <w:rFonts w:ascii="Tahoma" w:hAnsi="Tahoma" w:cs="Tahoma"/>
          <w:sz w:val="24"/>
          <w:szCs w:val="24"/>
          <w:lang w:val="es-CO"/>
        </w:rPr>
        <w:t>Indica que el traslado al RAIS lo hizo sin el respectivo consentimiento informado, pues desconocía el comparativo de las proyecciones pensionales, los beneficios y consecuencias de dicho cambio, así como que el plazo para retornar al régimen de prima media era hasta que cumpliera los 47 años de edad.</w:t>
      </w:r>
    </w:p>
    <w:p w14:paraId="7CBF9DDC" w14:textId="77777777" w:rsidR="00236FB2" w:rsidRPr="00E0295B" w:rsidRDefault="00236FB2" w:rsidP="00E0295B">
      <w:pPr>
        <w:spacing w:line="276" w:lineRule="auto"/>
        <w:rPr>
          <w:rFonts w:ascii="Tahoma" w:hAnsi="Tahoma" w:cs="Tahoma"/>
          <w:sz w:val="24"/>
          <w:szCs w:val="24"/>
          <w:lang w:val="es-CO"/>
        </w:rPr>
      </w:pPr>
    </w:p>
    <w:p w14:paraId="5E180DEF" w14:textId="77777777" w:rsidR="00236FB2" w:rsidRPr="00E0295B" w:rsidRDefault="00236FB2" w:rsidP="00E0295B">
      <w:pPr>
        <w:spacing w:line="276" w:lineRule="auto"/>
        <w:rPr>
          <w:rFonts w:ascii="Tahoma" w:hAnsi="Tahoma" w:cs="Tahoma"/>
          <w:sz w:val="24"/>
          <w:szCs w:val="24"/>
          <w:lang w:val="es-CO"/>
        </w:rPr>
      </w:pPr>
      <w:r w:rsidRPr="00E0295B">
        <w:rPr>
          <w:rFonts w:ascii="Tahoma" w:hAnsi="Tahoma" w:cs="Tahoma"/>
          <w:sz w:val="24"/>
          <w:szCs w:val="24"/>
          <w:lang w:val="es-CO"/>
        </w:rPr>
        <w:t>Agrega que con base en los mismos argumentos que le brindó el asesor de Porvenir, el 20 de mayo de 1996 se trasladó a la AFP Santander S.A., hoy Protección S.A.</w:t>
      </w:r>
    </w:p>
    <w:p w14:paraId="5BDB8455" w14:textId="77777777" w:rsidR="00236FB2" w:rsidRPr="00E0295B" w:rsidRDefault="00236FB2" w:rsidP="00E0295B">
      <w:pPr>
        <w:spacing w:line="276" w:lineRule="auto"/>
        <w:rPr>
          <w:rFonts w:ascii="Tahoma" w:hAnsi="Tahoma" w:cs="Tahoma"/>
          <w:sz w:val="24"/>
          <w:szCs w:val="24"/>
          <w:lang w:val="es-CO"/>
        </w:rPr>
      </w:pPr>
    </w:p>
    <w:p w14:paraId="0F708A0C" w14:textId="77777777" w:rsidR="00236FB2" w:rsidRPr="00E0295B" w:rsidRDefault="00236FB2" w:rsidP="00E0295B">
      <w:pPr>
        <w:spacing w:line="276" w:lineRule="auto"/>
        <w:rPr>
          <w:rFonts w:ascii="Tahoma" w:hAnsi="Tahoma" w:cs="Tahoma"/>
          <w:sz w:val="24"/>
          <w:szCs w:val="24"/>
          <w:lang w:val="es-CO"/>
        </w:rPr>
      </w:pPr>
      <w:r w:rsidRPr="00E0295B">
        <w:rPr>
          <w:rFonts w:ascii="Tahoma" w:hAnsi="Tahoma" w:cs="Tahoma"/>
          <w:sz w:val="24"/>
          <w:szCs w:val="24"/>
          <w:lang w:val="es-CO"/>
        </w:rPr>
        <w:t xml:space="preserve">Sostiene que a la fecha de presentación de la demanda </w:t>
      </w:r>
      <w:r w:rsidR="009B3941" w:rsidRPr="00E0295B">
        <w:rPr>
          <w:rFonts w:ascii="Tahoma" w:hAnsi="Tahoma" w:cs="Tahoma"/>
          <w:sz w:val="24"/>
          <w:szCs w:val="24"/>
          <w:lang w:val="es-CO"/>
        </w:rPr>
        <w:t>continúa</w:t>
      </w:r>
      <w:r w:rsidRPr="00E0295B">
        <w:rPr>
          <w:rFonts w:ascii="Tahoma" w:hAnsi="Tahoma" w:cs="Tahoma"/>
          <w:sz w:val="24"/>
          <w:szCs w:val="24"/>
          <w:lang w:val="es-CO"/>
        </w:rPr>
        <w:t xml:space="preserve"> aportando al RAIS y que en documento proferido por Protección S.A. se señala que tiene $203.226.715 en su cuenta individual y 1205 semanas cotizadas, por lo que al alcanzar los 57 años de edad tendría derecho a una pensión de $1.117.546; cifra que estima inferior a la que percibiría en caso de estar aportando al régimen de prima media, donde su mesada ascendería a $2.131.504.</w:t>
      </w:r>
    </w:p>
    <w:p w14:paraId="6B6CA7AD" w14:textId="77777777" w:rsidR="00236FB2" w:rsidRPr="00E0295B" w:rsidRDefault="00236FB2" w:rsidP="00E0295B">
      <w:pPr>
        <w:spacing w:line="276" w:lineRule="auto"/>
        <w:rPr>
          <w:rFonts w:ascii="Tahoma" w:hAnsi="Tahoma" w:cs="Tahoma"/>
          <w:sz w:val="24"/>
          <w:szCs w:val="24"/>
          <w:lang w:val="es-CO"/>
        </w:rPr>
      </w:pPr>
    </w:p>
    <w:p w14:paraId="42699654" w14:textId="77777777" w:rsidR="00236FB2" w:rsidRPr="00E0295B" w:rsidRDefault="00236FB2" w:rsidP="00E0295B">
      <w:pPr>
        <w:spacing w:line="276" w:lineRule="auto"/>
        <w:rPr>
          <w:rFonts w:ascii="Tahoma" w:hAnsi="Tahoma" w:cs="Tahoma"/>
          <w:sz w:val="24"/>
          <w:szCs w:val="24"/>
          <w:lang w:val="es-CO"/>
        </w:rPr>
      </w:pPr>
      <w:r w:rsidRPr="00E0295B">
        <w:rPr>
          <w:rFonts w:ascii="Tahoma" w:hAnsi="Tahoma" w:cs="Tahoma"/>
          <w:sz w:val="24"/>
          <w:szCs w:val="24"/>
          <w:lang w:val="es-CO"/>
        </w:rPr>
        <w:t xml:space="preserve">Alega que Protección no le envió oficio </w:t>
      </w:r>
      <w:r w:rsidR="00C62C60" w:rsidRPr="00E0295B">
        <w:rPr>
          <w:rFonts w:ascii="Tahoma" w:hAnsi="Tahoma" w:cs="Tahoma"/>
          <w:sz w:val="24"/>
          <w:szCs w:val="24"/>
          <w:lang w:val="es-CO"/>
        </w:rPr>
        <w:t>indicándole</w:t>
      </w:r>
      <w:r w:rsidRPr="00E0295B">
        <w:rPr>
          <w:rFonts w:ascii="Tahoma" w:hAnsi="Tahoma" w:cs="Tahoma"/>
          <w:sz w:val="24"/>
          <w:szCs w:val="24"/>
          <w:lang w:val="es-CO"/>
        </w:rPr>
        <w:t xml:space="preserve"> que estaba a pocos días de tomar la decisión de pensionarse con el régimen que considerara más conveniente y que esa </w:t>
      </w:r>
      <w:r w:rsidR="009B3941" w:rsidRPr="00E0295B">
        <w:rPr>
          <w:rFonts w:ascii="Tahoma" w:hAnsi="Tahoma" w:cs="Tahoma"/>
          <w:sz w:val="24"/>
          <w:szCs w:val="24"/>
          <w:lang w:val="es-CO"/>
        </w:rPr>
        <w:t xml:space="preserve">AFP </w:t>
      </w:r>
      <w:r w:rsidRPr="00E0295B">
        <w:rPr>
          <w:rFonts w:ascii="Tahoma" w:hAnsi="Tahoma" w:cs="Tahoma"/>
          <w:sz w:val="24"/>
          <w:szCs w:val="24"/>
          <w:lang w:val="es-CO"/>
        </w:rPr>
        <w:t xml:space="preserve">el 28 de febrero de 2018 le comunicó que no contaba con el registro de la asesoría que se le brindó al momento de la </w:t>
      </w:r>
      <w:r w:rsidR="00C62C60" w:rsidRPr="00E0295B">
        <w:rPr>
          <w:rFonts w:ascii="Tahoma" w:hAnsi="Tahoma" w:cs="Tahoma"/>
          <w:sz w:val="24"/>
          <w:szCs w:val="24"/>
          <w:lang w:val="es-CO"/>
        </w:rPr>
        <w:t>afiliación</w:t>
      </w:r>
      <w:r w:rsidRPr="00E0295B">
        <w:rPr>
          <w:rFonts w:ascii="Tahoma" w:hAnsi="Tahoma" w:cs="Tahoma"/>
          <w:sz w:val="24"/>
          <w:szCs w:val="24"/>
          <w:lang w:val="es-CO"/>
        </w:rPr>
        <w:t>, y añade que la AFP Porvenir le manifestó que no podía darle el nombre del asesor comercial que le brindó la asesoría toda vez que el acuerdo contractual tenía carácter confidencial.</w:t>
      </w:r>
    </w:p>
    <w:p w14:paraId="67B8DF5E" w14:textId="77777777" w:rsidR="00236FB2" w:rsidRPr="00E0295B" w:rsidRDefault="00236FB2" w:rsidP="00E0295B">
      <w:pPr>
        <w:spacing w:line="276" w:lineRule="auto"/>
        <w:ind w:firstLine="0"/>
        <w:rPr>
          <w:rFonts w:ascii="Tahoma" w:hAnsi="Tahoma" w:cs="Tahoma"/>
          <w:sz w:val="24"/>
          <w:szCs w:val="24"/>
          <w:lang w:val="es-CO"/>
        </w:rPr>
      </w:pPr>
    </w:p>
    <w:p w14:paraId="3A5E0499" w14:textId="77777777" w:rsidR="00236FB2" w:rsidRPr="00E0295B" w:rsidRDefault="00236FB2" w:rsidP="00E0295B">
      <w:pPr>
        <w:spacing w:line="276" w:lineRule="auto"/>
        <w:rPr>
          <w:rFonts w:ascii="Tahoma" w:hAnsi="Tahoma" w:cs="Tahoma"/>
          <w:sz w:val="24"/>
          <w:szCs w:val="24"/>
          <w:lang w:val="es-CO"/>
        </w:rPr>
      </w:pPr>
      <w:r w:rsidRPr="00E0295B">
        <w:rPr>
          <w:rFonts w:ascii="Tahoma" w:hAnsi="Tahoma" w:cs="Tahoma"/>
          <w:sz w:val="24"/>
          <w:szCs w:val="24"/>
          <w:lang w:val="es-CO"/>
        </w:rPr>
        <w:t>Por último, señala que el 1º de febrero de 2018 Colpensiones le informó que no era procedente dar trámite a su solicitud de traslado en razón a que se encontraba a 10 años o menos para pensionarse.</w:t>
      </w:r>
    </w:p>
    <w:p w14:paraId="43E32731" w14:textId="77777777" w:rsidR="00236FB2" w:rsidRPr="00E0295B" w:rsidRDefault="00236FB2" w:rsidP="00E0295B">
      <w:pPr>
        <w:spacing w:line="276" w:lineRule="auto"/>
        <w:ind w:firstLine="0"/>
        <w:rPr>
          <w:rFonts w:ascii="Tahoma" w:hAnsi="Tahoma" w:cs="Tahoma"/>
          <w:sz w:val="24"/>
          <w:szCs w:val="24"/>
          <w:lang w:val="es-CO"/>
        </w:rPr>
      </w:pPr>
    </w:p>
    <w:p w14:paraId="7C6352D2" w14:textId="27954FA2" w:rsidR="00236FB2" w:rsidRPr="00E0295B" w:rsidRDefault="00236FB2" w:rsidP="00E0295B">
      <w:pPr>
        <w:spacing w:line="276" w:lineRule="auto"/>
        <w:ind w:firstLine="0"/>
        <w:rPr>
          <w:rFonts w:ascii="Tahoma" w:hAnsi="Tahoma" w:cs="Tahoma"/>
          <w:bCs/>
          <w:sz w:val="24"/>
          <w:szCs w:val="24"/>
          <w:lang w:val="es-CO"/>
        </w:rPr>
      </w:pPr>
      <w:r w:rsidRPr="00E0295B">
        <w:rPr>
          <w:rFonts w:ascii="Tahoma" w:hAnsi="Tahoma" w:cs="Tahoma"/>
          <w:sz w:val="24"/>
          <w:szCs w:val="24"/>
          <w:lang w:val="es-CO"/>
        </w:rPr>
        <w:tab/>
        <w:t xml:space="preserve">En respuesta a la demanda, el apoderado de </w:t>
      </w:r>
      <w:r w:rsidRPr="00E0295B">
        <w:rPr>
          <w:rFonts w:ascii="Tahoma" w:hAnsi="Tahoma" w:cs="Tahoma"/>
          <w:b/>
          <w:sz w:val="24"/>
          <w:szCs w:val="24"/>
          <w:lang w:val="es-CO"/>
        </w:rPr>
        <w:t xml:space="preserve">Colpensiones </w:t>
      </w:r>
      <w:r w:rsidRPr="00E0295B">
        <w:rPr>
          <w:rFonts w:ascii="Tahoma" w:hAnsi="Tahoma" w:cs="Tahoma"/>
          <w:bCs/>
          <w:sz w:val="24"/>
          <w:szCs w:val="24"/>
          <w:lang w:val="es-CO"/>
        </w:rPr>
        <w:t>aceptó únicamente los hechos que hacen referencia a la</w:t>
      </w:r>
      <w:r w:rsidR="00C62C60" w:rsidRPr="00E0295B">
        <w:rPr>
          <w:rFonts w:ascii="Tahoma" w:hAnsi="Tahoma" w:cs="Tahoma"/>
          <w:bCs/>
          <w:sz w:val="24"/>
          <w:szCs w:val="24"/>
          <w:lang w:val="es-CO"/>
        </w:rPr>
        <w:t>s</w:t>
      </w:r>
      <w:r w:rsidRPr="00E0295B">
        <w:rPr>
          <w:rFonts w:ascii="Tahoma" w:hAnsi="Tahoma" w:cs="Tahoma"/>
          <w:bCs/>
          <w:sz w:val="24"/>
          <w:szCs w:val="24"/>
          <w:lang w:val="es-CO"/>
        </w:rPr>
        <w:t xml:space="preserve"> fechas en la que la demandante se vinculó al I.S.S., a Porvenir y a Protección S.A.; la cantidad de semanas con las que cuenta; los montos que percibiría en ambos regímenes; las respuestas emitidas por las codemandadas, por medio de las cuales le comunican que no tienen registro de la asesoría brindada y, la negativa de Colpensiones de aceptar el traslado de régimen. Frente a los demás hechos indicó que no le constaban.</w:t>
      </w:r>
    </w:p>
    <w:p w14:paraId="261CB439" w14:textId="77777777" w:rsidR="00250D85" w:rsidRPr="00E0295B" w:rsidRDefault="00250D85" w:rsidP="00E0295B">
      <w:pPr>
        <w:spacing w:line="276" w:lineRule="auto"/>
        <w:ind w:firstLine="0"/>
        <w:rPr>
          <w:rFonts w:ascii="Tahoma" w:hAnsi="Tahoma" w:cs="Tahoma"/>
          <w:bCs/>
          <w:sz w:val="24"/>
          <w:szCs w:val="24"/>
          <w:lang w:val="es-CO"/>
        </w:rPr>
      </w:pPr>
    </w:p>
    <w:p w14:paraId="096D4232" w14:textId="77777777" w:rsidR="00236FB2" w:rsidRPr="00E0295B" w:rsidRDefault="00236FB2" w:rsidP="00E0295B">
      <w:pPr>
        <w:spacing w:line="276" w:lineRule="auto"/>
        <w:ind w:firstLine="0"/>
        <w:rPr>
          <w:rFonts w:ascii="Tahoma" w:hAnsi="Tahoma" w:cs="Tahoma"/>
          <w:bCs/>
          <w:sz w:val="24"/>
          <w:szCs w:val="24"/>
          <w:lang w:val="es-CO"/>
        </w:rPr>
      </w:pPr>
      <w:r w:rsidRPr="00E0295B">
        <w:rPr>
          <w:rFonts w:ascii="Tahoma" w:hAnsi="Tahoma" w:cs="Tahoma"/>
          <w:bCs/>
          <w:sz w:val="24"/>
          <w:szCs w:val="24"/>
          <w:lang w:val="es-CO"/>
        </w:rPr>
        <w:t xml:space="preserve"> </w:t>
      </w:r>
      <w:r w:rsidRPr="00E0295B">
        <w:rPr>
          <w:rFonts w:ascii="Tahoma" w:hAnsi="Tahoma" w:cs="Tahoma"/>
          <w:bCs/>
          <w:sz w:val="24"/>
          <w:szCs w:val="24"/>
          <w:lang w:val="es-CO"/>
        </w:rPr>
        <w:tab/>
        <w:t xml:space="preserve">Se opuso seguidamente a la prosperidad de las pretensiones, proponiendo como medios exceptivos los de “Inexistencia de la obligación”; “Imposibilidad jurídica </w:t>
      </w:r>
      <w:r w:rsidRPr="00E0295B">
        <w:rPr>
          <w:rFonts w:ascii="Tahoma" w:hAnsi="Tahoma" w:cs="Tahoma"/>
          <w:bCs/>
          <w:sz w:val="24"/>
          <w:szCs w:val="24"/>
          <w:lang w:val="es-CO"/>
        </w:rPr>
        <w:lastRenderedPageBreak/>
        <w:t>para reconocer y pagar derechos por fuera del ordenamiento legal”; “Buena fe” e “Imposibilidad de condena en costas”.</w:t>
      </w:r>
    </w:p>
    <w:p w14:paraId="3F912E0A" w14:textId="77777777" w:rsidR="00236FB2" w:rsidRPr="00E0295B" w:rsidRDefault="00236FB2" w:rsidP="00E0295B">
      <w:pPr>
        <w:spacing w:line="276" w:lineRule="auto"/>
        <w:ind w:firstLine="0"/>
        <w:rPr>
          <w:rFonts w:ascii="Tahoma" w:hAnsi="Tahoma" w:cs="Tahoma"/>
          <w:bCs/>
          <w:sz w:val="24"/>
          <w:szCs w:val="24"/>
          <w:lang w:val="es-CO"/>
        </w:rPr>
      </w:pPr>
    </w:p>
    <w:p w14:paraId="3FA0001D" w14:textId="77777777" w:rsidR="00236FB2" w:rsidRPr="00E0295B" w:rsidRDefault="00236FB2" w:rsidP="00E0295B">
      <w:pPr>
        <w:spacing w:line="276" w:lineRule="auto"/>
        <w:ind w:firstLine="0"/>
        <w:rPr>
          <w:rFonts w:ascii="Tahoma" w:hAnsi="Tahoma" w:cs="Tahoma"/>
          <w:sz w:val="24"/>
          <w:szCs w:val="24"/>
          <w:lang w:val="es-CO"/>
        </w:rPr>
      </w:pPr>
      <w:r w:rsidRPr="00E0295B">
        <w:rPr>
          <w:rFonts w:ascii="Tahoma" w:hAnsi="Tahoma" w:cs="Tahoma"/>
          <w:bCs/>
          <w:sz w:val="24"/>
          <w:szCs w:val="24"/>
          <w:lang w:val="es-CO"/>
        </w:rPr>
        <w:tab/>
        <w:t xml:space="preserve">Por su parte, </w:t>
      </w:r>
      <w:r w:rsidRPr="00E0295B">
        <w:rPr>
          <w:rFonts w:ascii="Tahoma" w:hAnsi="Tahoma" w:cs="Tahoma"/>
          <w:sz w:val="24"/>
          <w:szCs w:val="24"/>
          <w:lang w:val="es-CO"/>
        </w:rPr>
        <w:t>la</w:t>
      </w:r>
      <w:r w:rsidRPr="00E0295B">
        <w:rPr>
          <w:rFonts w:ascii="Tahoma" w:hAnsi="Tahoma" w:cs="Tahoma"/>
          <w:b/>
          <w:sz w:val="24"/>
          <w:szCs w:val="24"/>
          <w:lang w:val="es-CO"/>
        </w:rPr>
        <w:t xml:space="preserve"> Sociedad Administradora de Fondos de Pensiones y Cesantías – Protección S.A.</w:t>
      </w:r>
      <w:r w:rsidRPr="00E0295B">
        <w:rPr>
          <w:rFonts w:ascii="Tahoma" w:hAnsi="Tahoma" w:cs="Tahoma"/>
          <w:sz w:val="24"/>
          <w:szCs w:val="24"/>
          <w:lang w:val="es-CO"/>
        </w:rPr>
        <w:t xml:space="preserve"> solicitó que se denegaran los pedidos de la promotora de la litis bajo el argumento de que su traslado se dio de manera libre, espontánea y sin presiones, con el lleno de los requisitos legales existentes para entonces, respetando por completo la libre escogencia entre regímenes, pues la asesoría se sujetó a las exigencias legales; además, no existe prueba del error que alega como vicio del consentimiento.</w:t>
      </w:r>
    </w:p>
    <w:p w14:paraId="78312123" w14:textId="77777777" w:rsidR="00236FB2" w:rsidRPr="00E0295B" w:rsidRDefault="00236FB2" w:rsidP="00E0295B">
      <w:pPr>
        <w:spacing w:line="276" w:lineRule="auto"/>
        <w:ind w:firstLine="0"/>
        <w:rPr>
          <w:rFonts w:ascii="Tahoma" w:hAnsi="Tahoma" w:cs="Tahoma"/>
          <w:sz w:val="24"/>
          <w:szCs w:val="24"/>
          <w:lang w:val="es-CO"/>
        </w:rPr>
      </w:pPr>
    </w:p>
    <w:p w14:paraId="0FD13C4C" w14:textId="77777777" w:rsidR="00236FB2" w:rsidRPr="00E0295B" w:rsidRDefault="00236FB2" w:rsidP="00E0295B">
      <w:pPr>
        <w:spacing w:line="276" w:lineRule="auto"/>
        <w:ind w:firstLine="0"/>
        <w:rPr>
          <w:rFonts w:ascii="Tahoma" w:hAnsi="Tahoma" w:cs="Tahoma"/>
          <w:sz w:val="24"/>
          <w:szCs w:val="24"/>
          <w:lang w:val="es-CO"/>
        </w:rPr>
      </w:pPr>
      <w:r w:rsidRPr="00E0295B">
        <w:rPr>
          <w:rFonts w:ascii="Tahoma" w:hAnsi="Tahoma" w:cs="Tahoma"/>
          <w:sz w:val="24"/>
          <w:szCs w:val="24"/>
          <w:lang w:val="es-CO"/>
        </w:rPr>
        <w:tab/>
        <w:t xml:space="preserve">En ese orden de ideas, invocó como medios exceptivos los de “Prescripción”; “Validez y eficacia del traslado al régimen de ahorro individual con solidaridad”; “Validez y eficacia de la afiliación con Protección S.A.”; “Buena fe y confianza legítima” y, “Compensación”. </w:t>
      </w:r>
    </w:p>
    <w:p w14:paraId="6902D765" w14:textId="77777777" w:rsidR="00236FB2" w:rsidRPr="00E0295B" w:rsidRDefault="00236FB2" w:rsidP="00E0295B">
      <w:pPr>
        <w:spacing w:line="276" w:lineRule="auto"/>
        <w:ind w:firstLine="0"/>
        <w:rPr>
          <w:rFonts w:ascii="Tahoma" w:hAnsi="Tahoma" w:cs="Tahoma"/>
          <w:sz w:val="24"/>
          <w:szCs w:val="24"/>
          <w:lang w:val="es-CO"/>
        </w:rPr>
      </w:pPr>
    </w:p>
    <w:p w14:paraId="2D0E28D7" w14:textId="77777777" w:rsidR="00236FB2" w:rsidRPr="00E0295B" w:rsidRDefault="00236FB2" w:rsidP="00E0295B">
      <w:pPr>
        <w:spacing w:line="276" w:lineRule="auto"/>
        <w:ind w:firstLine="708"/>
        <w:rPr>
          <w:rFonts w:ascii="Tahoma" w:hAnsi="Tahoma" w:cs="Tahoma"/>
          <w:sz w:val="24"/>
          <w:szCs w:val="24"/>
          <w:lang w:val="es-CO"/>
        </w:rPr>
      </w:pPr>
      <w:r w:rsidRPr="00E0295B">
        <w:rPr>
          <w:rFonts w:ascii="Tahoma" w:hAnsi="Tahoma" w:cs="Tahoma"/>
          <w:bCs/>
          <w:sz w:val="24"/>
          <w:szCs w:val="24"/>
          <w:lang w:val="es-CO"/>
        </w:rPr>
        <w:t xml:space="preserve">Asimismo, </w:t>
      </w:r>
      <w:r w:rsidRPr="00E0295B">
        <w:rPr>
          <w:rFonts w:ascii="Tahoma" w:hAnsi="Tahoma" w:cs="Tahoma"/>
          <w:sz w:val="24"/>
          <w:szCs w:val="24"/>
          <w:lang w:val="es-CO"/>
        </w:rPr>
        <w:t>la</w:t>
      </w:r>
      <w:r w:rsidRPr="00E0295B">
        <w:rPr>
          <w:rFonts w:ascii="Tahoma" w:hAnsi="Tahoma" w:cs="Tahoma"/>
          <w:b/>
          <w:sz w:val="24"/>
          <w:szCs w:val="24"/>
          <w:lang w:val="es-CO"/>
        </w:rPr>
        <w:t xml:space="preserve"> Sociedad Administradora de Fondos de Pensiones y Cesantías - Porvenir S.A.</w:t>
      </w:r>
      <w:r w:rsidRPr="00E0295B">
        <w:rPr>
          <w:rFonts w:ascii="Tahoma" w:hAnsi="Tahoma" w:cs="Tahoma"/>
          <w:sz w:val="24"/>
          <w:szCs w:val="24"/>
          <w:lang w:val="es-CO"/>
        </w:rPr>
        <w:t xml:space="preserve"> solicitó que se denegaran las pretensiones de la demanda en razón a que la afiliación de la señora Suarez a dicha AFP fue un acto jurídico válido, en la medida que ella suscribió la solicitud de vinculación de manera libre, espontánea y sin presiones, luego de haber recibido asesoría respecto de todas las implicaciones de su decisión, tal como lo hizo constar al imponer su firma en la casilla correspondiente dentro del formulario de afiliación.</w:t>
      </w:r>
    </w:p>
    <w:p w14:paraId="13419035" w14:textId="77777777" w:rsidR="00236FB2" w:rsidRPr="00E0295B" w:rsidRDefault="00236FB2" w:rsidP="00E0295B">
      <w:pPr>
        <w:spacing w:line="276" w:lineRule="auto"/>
        <w:ind w:firstLine="0"/>
        <w:rPr>
          <w:rFonts w:ascii="Tahoma" w:hAnsi="Tahoma" w:cs="Tahoma"/>
          <w:sz w:val="24"/>
          <w:szCs w:val="24"/>
          <w:lang w:val="es-CO"/>
        </w:rPr>
      </w:pPr>
    </w:p>
    <w:p w14:paraId="5545FB66" w14:textId="77777777" w:rsidR="00236FB2" w:rsidRPr="00E0295B" w:rsidRDefault="00236FB2" w:rsidP="00E0295B">
      <w:pPr>
        <w:spacing w:line="276" w:lineRule="auto"/>
        <w:ind w:firstLine="0"/>
        <w:rPr>
          <w:rFonts w:ascii="Tahoma" w:hAnsi="Tahoma" w:cs="Tahoma"/>
          <w:sz w:val="24"/>
          <w:szCs w:val="24"/>
          <w:lang w:val="es-CO"/>
        </w:rPr>
      </w:pPr>
      <w:r w:rsidRPr="00E0295B">
        <w:rPr>
          <w:rFonts w:ascii="Tahoma" w:hAnsi="Tahoma" w:cs="Tahoma"/>
          <w:sz w:val="24"/>
          <w:szCs w:val="24"/>
          <w:lang w:val="es-CO"/>
        </w:rPr>
        <w:tab/>
        <w:t>Atendiendo lo anterior, invocó como medios exceptivos los de “</w:t>
      </w:r>
      <w:r w:rsidR="00ED773D" w:rsidRPr="00E0295B">
        <w:rPr>
          <w:rFonts w:ascii="Tahoma" w:hAnsi="Tahoma" w:cs="Tahoma"/>
          <w:sz w:val="24"/>
          <w:szCs w:val="24"/>
          <w:lang w:val="es-CO"/>
        </w:rPr>
        <w:t>Validez</w:t>
      </w:r>
      <w:r w:rsidRPr="00E0295B">
        <w:rPr>
          <w:rFonts w:ascii="Tahoma" w:hAnsi="Tahoma" w:cs="Tahoma"/>
          <w:sz w:val="24"/>
          <w:szCs w:val="24"/>
          <w:lang w:val="es-CO"/>
        </w:rPr>
        <w:t xml:space="preserve"> de la afiliación al RAIS e inexistencia de vicios del consentimiento”; “Saneamiento de la supuesta nulidad relativa”; “Pago”; “Compensación” “Prescripción” y “Buena fe”.</w:t>
      </w:r>
    </w:p>
    <w:p w14:paraId="78CA5018" w14:textId="77777777" w:rsidR="00236FB2" w:rsidRPr="00E0295B" w:rsidRDefault="00236FB2" w:rsidP="00E0295B">
      <w:pPr>
        <w:spacing w:line="276" w:lineRule="auto"/>
        <w:ind w:firstLine="0"/>
        <w:rPr>
          <w:rFonts w:ascii="Tahoma" w:hAnsi="Tahoma" w:cs="Tahoma"/>
          <w:sz w:val="24"/>
          <w:szCs w:val="24"/>
          <w:lang w:val="es-CO"/>
        </w:rPr>
      </w:pPr>
    </w:p>
    <w:p w14:paraId="046F92F9" w14:textId="77777777" w:rsidR="00ED773D" w:rsidRPr="00E0295B" w:rsidRDefault="00ED773D" w:rsidP="00E0295B">
      <w:pPr>
        <w:pStyle w:val="Prrafodelista"/>
        <w:numPr>
          <w:ilvl w:val="0"/>
          <w:numId w:val="2"/>
        </w:numPr>
        <w:spacing w:line="276" w:lineRule="auto"/>
        <w:jc w:val="center"/>
        <w:rPr>
          <w:rFonts w:ascii="Tahoma" w:hAnsi="Tahoma" w:cs="Tahoma"/>
          <w:b/>
          <w:lang w:val="es-CO"/>
        </w:rPr>
      </w:pPr>
      <w:r w:rsidRPr="00E0295B">
        <w:rPr>
          <w:rFonts w:ascii="Tahoma" w:hAnsi="Tahoma" w:cs="Tahoma"/>
          <w:b/>
          <w:lang w:val="es-CO"/>
        </w:rPr>
        <w:t>Sentencia de primera instancia</w:t>
      </w:r>
    </w:p>
    <w:p w14:paraId="4765FD73" w14:textId="77777777" w:rsidR="00236FB2" w:rsidRPr="00E0295B" w:rsidRDefault="00236FB2" w:rsidP="00E0295B">
      <w:pPr>
        <w:spacing w:line="276" w:lineRule="auto"/>
        <w:ind w:firstLine="0"/>
        <w:rPr>
          <w:rFonts w:ascii="Tahoma" w:hAnsi="Tahoma" w:cs="Tahoma"/>
          <w:sz w:val="24"/>
          <w:szCs w:val="24"/>
          <w:lang w:val="es-CO"/>
        </w:rPr>
      </w:pPr>
    </w:p>
    <w:p w14:paraId="2EB8F7F3" w14:textId="77777777" w:rsidR="00236FB2" w:rsidRPr="00E0295B" w:rsidRDefault="00236FB2" w:rsidP="00E0295B">
      <w:pPr>
        <w:spacing w:line="276" w:lineRule="auto"/>
        <w:ind w:firstLine="708"/>
        <w:rPr>
          <w:rFonts w:ascii="Tahoma" w:hAnsi="Tahoma" w:cs="Tahoma"/>
          <w:sz w:val="24"/>
          <w:szCs w:val="24"/>
          <w:lang w:val="es-CO"/>
        </w:rPr>
      </w:pPr>
      <w:r w:rsidRPr="00E0295B">
        <w:rPr>
          <w:rFonts w:ascii="Tahoma" w:hAnsi="Tahoma" w:cs="Tahoma"/>
          <w:sz w:val="24"/>
          <w:szCs w:val="24"/>
          <w:lang w:val="es-CO"/>
        </w:rPr>
        <w:t>La Jueza de primer grado declaró no probados los medios exceptivos propuestos por las codemandadas y decretó la ineficacia del traslado de régimen efectuado por la señora María Eugenia Suarez Acevedo al RAIS, a través de la AFP Porvenir S.A.; en consecuencia, condenó a Protección S.A. a trasladar a Colpensiones los saldos, las cotizaciones, bonos pensionales, sumas adicionales con sus respectivos frutos e intereses y cuotas de administración.</w:t>
      </w:r>
    </w:p>
    <w:p w14:paraId="090CF095" w14:textId="77777777" w:rsidR="00236FB2" w:rsidRPr="00E0295B" w:rsidRDefault="00236FB2" w:rsidP="00E0295B">
      <w:pPr>
        <w:spacing w:line="276" w:lineRule="auto"/>
        <w:ind w:firstLine="0"/>
        <w:rPr>
          <w:rFonts w:ascii="Tahoma" w:hAnsi="Tahoma" w:cs="Tahoma"/>
          <w:sz w:val="24"/>
          <w:szCs w:val="24"/>
          <w:lang w:val="es-CO"/>
        </w:rPr>
      </w:pPr>
    </w:p>
    <w:p w14:paraId="50764CA9" w14:textId="77777777" w:rsidR="00236FB2" w:rsidRPr="00E0295B" w:rsidRDefault="00236FB2" w:rsidP="00E0295B">
      <w:pPr>
        <w:spacing w:line="276" w:lineRule="auto"/>
        <w:ind w:firstLine="708"/>
        <w:rPr>
          <w:rFonts w:ascii="Tahoma" w:hAnsi="Tahoma" w:cs="Tahoma"/>
          <w:sz w:val="24"/>
          <w:szCs w:val="24"/>
          <w:lang w:val="es-CO"/>
        </w:rPr>
      </w:pPr>
      <w:r w:rsidRPr="00E0295B">
        <w:rPr>
          <w:rFonts w:ascii="Tahoma" w:hAnsi="Tahoma" w:cs="Tahoma"/>
          <w:sz w:val="24"/>
          <w:szCs w:val="24"/>
          <w:lang w:val="es-CO"/>
        </w:rPr>
        <w:t>Asimismo, ordenó a Colpensiones que aceptara sin dilaciones el traslado de la actora, sin solución de continuidad, y condenó a Porvenir S.A. al pago del 100% de las costas procesales.</w:t>
      </w:r>
    </w:p>
    <w:p w14:paraId="6567C2A3" w14:textId="77777777" w:rsidR="00236FB2" w:rsidRPr="00E0295B" w:rsidRDefault="00236FB2" w:rsidP="00E0295B">
      <w:pPr>
        <w:spacing w:line="276" w:lineRule="auto"/>
        <w:ind w:firstLine="708"/>
        <w:rPr>
          <w:rFonts w:ascii="Tahoma" w:hAnsi="Tahoma" w:cs="Tahoma"/>
          <w:sz w:val="24"/>
          <w:szCs w:val="24"/>
          <w:lang w:val="es-CO"/>
        </w:rPr>
      </w:pPr>
    </w:p>
    <w:p w14:paraId="58A2DFD9" w14:textId="363AB54A" w:rsidR="00236FB2" w:rsidRPr="00E0295B" w:rsidRDefault="00236FB2" w:rsidP="00E0295B">
      <w:pPr>
        <w:spacing w:line="276" w:lineRule="auto"/>
        <w:ind w:firstLine="708"/>
        <w:rPr>
          <w:rFonts w:ascii="Tahoma" w:hAnsi="Tahoma" w:cs="Tahoma"/>
          <w:sz w:val="24"/>
          <w:szCs w:val="24"/>
          <w:lang w:val="es-CO"/>
        </w:rPr>
      </w:pPr>
      <w:r w:rsidRPr="00E0295B">
        <w:rPr>
          <w:rFonts w:ascii="Tahoma" w:hAnsi="Tahoma" w:cs="Tahoma"/>
          <w:sz w:val="24"/>
          <w:szCs w:val="24"/>
          <w:lang w:val="es-CO"/>
        </w:rPr>
        <w:t xml:space="preserve">Para llegar a tal determinación la A-quo consideró, en síntesis, que Porvenir S.A. no cumplió con la carga de la prueba que le correspondía en el proceso, tendiente a acreditar que llevó a cabo el deber de información en los términos expuestos por la jurisprudencia de la Sala de Casación Laboral de la Corte Suprema de Justicia; ello en razón a que la </w:t>
      </w:r>
      <w:r w:rsidR="00ED773D" w:rsidRPr="00E0295B">
        <w:rPr>
          <w:rFonts w:ascii="Tahoma" w:hAnsi="Tahoma" w:cs="Tahoma"/>
          <w:sz w:val="24"/>
          <w:szCs w:val="24"/>
          <w:lang w:val="es-CO"/>
        </w:rPr>
        <w:t>sola</w:t>
      </w:r>
      <w:r w:rsidRPr="00E0295B">
        <w:rPr>
          <w:rFonts w:ascii="Tahoma" w:hAnsi="Tahoma" w:cs="Tahoma"/>
          <w:sz w:val="24"/>
          <w:szCs w:val="24"/>
          <w:lang w:val="es-CO"/>
        </w:rPr>
        <w:t xml:space="preserve"> suscripción del formulario de afiliación por sí solo no logra tal finalidad, a pesar de que en él exista una cláusula que refiera que la </w:t>
      </w:r>
      <w:r w:rsidRPr="00E0295B">
        <w:rPr>
          <w:rFonts w:ascii="Tahoma" w:hAnsi="Tahoma" w:cs="Tahoma"/>
          <w:sz w:val="24"/>
          <w:szCs w:val="24"/>
          <w:lang w:val="es-CO"/>
        </w:rPr>
        <w:lastRenderedPageBreak/>
        <w:t xml:space="preserve">afiliación de la demandante fue libre, </w:t>
      </w:r>
      <w:r w:rsidR="00ED773D" w:rsidRPr="00E0295B">
        <w:rPr>
          <w:rFonts w:ascii="Tahoma" w:hAnsi="Tahoma" w:cs="Tahoma"/>
          <w:sz w:val="24"/>
          <w:szCs w:val="24"/>
          <w:lang w:val="es-CO"/>
        </w:rPr>
        <w:t>consciente</w:t>
      </w:r>
      <w:r w:rsidRPr="00E0295B">
        <w:rPr>
          <w:rFonts w:ascii="Tahoma" w:hAnsi="Tahoma" w:cs="Tahoma"/>
          <w:sz w:val="24"/>
          <w:szCs w:val="24"/>
          <w:lang w:val="es-CO"/>
        </w:rPr>
        <w:t xml:space="preserve"> y voluntaria, ya que no se logra extraer la calidad de la información que se le brindó. Además, resaltó que</w:t>
      </w:r>
      <w:r w:rsidR="00250D85" w:rsidRPr="00E0295B">
        <w:rPr>
          <w:rFonts w:ascii="Tahoma" w:hAnsi="Tahoma" w:cs="Tahoma"/>
          <w:sz w:val="24"/>
          <w:szCs w:val="24"/>
          <w:lang w:val="es-CO"/>
        </w:rPr>
        <w:t>,</w:t>
      </w:r>
      <w:r w:rsidRPr="00E0295B">
        <w:rPr>
          <w:rFonts w:ascii="Tahoma" w:hAnsi="Tahoma" w:cs="Tahoma"/>
          <w:sz w:val="24"/>
          <w:szCs w:val="24"/>
          <w:lang w:val="es-CO"/>
        </w:rPr>
        <w:t xml:space="preserve"> si bien la señora Suarez en su interrogatorio de parte aceptó que esa entidad le explicó a ella las bondades del RAIS, también adujo que en momento alguno le puso de presente cuáles eran las ventajas del régimen de prima media, en el cual se encontraban vinculados; por el </w:t>
      </w:r>
      <w:r w:rsidR="00ED773D" w:rsidRPr="00E0295B">
        <w:rPr>
          <w:rFonts w:ascii="Tahoma" w:hAnsi="Tahoma" w:cs="Tahoma"/>
          <w:sz w:val="24"/>
          <w:szCs w:val="24"/>
          <w:lang w:val="es-CO"/>
        </w:rPr>
        <w:t>contrario, sólo</w:t>
      </w:r>
      <w:r w:rsidRPr="00E0295B">
        <w:rPr>
          <w:rFonts w:ascii="Tahoma" w:hAnsi="Tahoma" w:cs="Tahoma"/>
          <w:sz w:val="24"/>
          <w:szCs w:val="24"/>
          <w:lang w:val="es-CO"/>
        </w:rPr>
        <w:t xml:space="preserve"> se hizo referencia a la venidera extinción del I.S.S.</w:t>
      </w:r>
    </w:p>
    <w:p w14:paraId="7B72729A" w14:textId="77777777" w:rsidR="00236FB2" w:rsidRPr="00E0295B" w:rsidRDefault="00236FB2" w:rsidP="00E0295B">
      <w:pPr>
        <w:spacing w:line="276" w:lineRule="auto"/>
        <w:ind w:firstLine="708"/>
        <w:rPr>
          <w:rFonts w:ascii="Tahoma" w:hAnsi="Tahoma" w:cs="Tahoma"/>
          <w:sz w:val="24"/>
          <w:szCs w:val="24"/>
          <w:lang w:val="es-CO"/>
        </w:rPr>
      </w:pPr>
    </w:p>
    <w:p w14:paraId="70A377ED" w14:textId="77777777" w:rsidR="00236FB2" w:rsidRPr="00E0295B" w:rsidRDefault="00236FB2" w:rsidP="00E0295B">
      <w:pPr>
        <w:spacing w:line="276" w:lineRule="auto"/>
        <w:ind w:firstLine="708"/>
        <w:rPr>
          <w:rFonts w:ascii="Tahoma" w:hAnsi="Tahoma" w:cs="Tahoma"/>
          <w:sz w:val="24"/>
          <w:szCs w:val="24"/>
          <w:lang w:val="es-CO"/>
        </w:rPr>
      </w:pPr>
      <w:r w:rsidRPr="00E0295B">
        <w:rPr>
          <w:rFonts w:ascii="Tahoma" w:hAnsi="Tahoma" w:cs="Tahoma"/>
          <w:sz w:val="24"/>
          <w:szCs w:val="24"/>
          <w:lang w:val="es-CO"/>
        </w:rPr>
        <w:t xml:space="preserve">Por lo dicho, concluyó que la decisión de la demandante no estuvo precedida de la información suficiente ni el real consentimiento para llevarla a cabo, razón por la cual debía declarase la ineficacia del acto de traslado, ordenando a Protección S.A., entidad en la que actualmente se </w:t>
      </w:r>
      <w:r w:rsidR="00ED773D" w:rsidRPr="00E0295B">
        <w:rPr>
          <w:rFonts w:ascii="Tahoma" w:hAnsi="Tahoma" w:cs="Tahoma"/>
          <w:sz w:val="24"/>
          <w:szCs w:val="24"/>
          <w:lang w:val="es-CO"/>
        </w:rPr>
        <w:t>encuentra</w:t>
      </w:r>
      <w:r w:rsidRPr="00E0295B">
        <w:rPr>
          <w:rFonts w:ascii="Tahoma" w:hAnsi="Tahoma" w:cs="Tahoma"/>
          <w:sz w:val="24"/>
          <w:szCs w:val="24"/>
          <w:lang w:val="es-CO"/>
        </w:rPr>
        <w:t xml:space="preserve"> afiliada la actora, a que traslade los saldos, las cotizaciones, bonos pensionales, sumas adicionales con sus respectivos frutos e intereses y cuotas de administración.</w:t>
      </w:r>
    </w:p>
    <w:p w14:paraId="4A3CB436" w14:textId="77777777" w:rsidR="00236FB2" w:rsidRPr="00E0295B" w:rsidRDefault="00236FB2" w:rsidP="00E0295B">
      <w:pPr>
        <w:spacing w:line="276" w:lineRule="auto"/>
        <w:ind w:firstLine="0"/>
        <w:rPr>
          <w:rFonts w:ascii="Tahoma" w:hAnsi="Tahoma" w:cs="Tahoma"/>
          <w:sz w:val="24"/>
          <w:szCs w:val="24"/>
          <w:lang w:val="es-CO"/>
        </w:rPr>
      </w:pPr>
    </w:p>
    <w:p w14:paraId="15DA51DD" w14:textId="77777777" w:rsidR="00236FB2" w:rsidRPr="00E0295B" w:rsidRDefault="00236FB2" w:rsidP="00E0295B">
      <w:pPr>
        <w:spacing w:line="276" w:lineRule="auto"/>
        <w:ind w:firstLine="708"/>
        <w:rPr>
          <w:rFonts w:ascii="Tahoma" w:hAnsi="Tahoma" w:cs="Tahoma"/>
          <w:sz w:val="24"/>
          <w:szCs w:val="24"/>
          <w:lang w:val="es-CO"/>
        </w:rPr>
      </w:pPr>
      <w:r w:rsidRPr="00E0295B">
        <w:rPr>
          <w:rFonts w:ascii="Tahoma" w:hAnsi="Tahoma" w:cs="Tahoma"/>
          <w:sz w:val="24"/>
          <w:szCs w:val="24"/>
          <w:lang w:val="es-CO"/>
        </w:rPr>
        <w:t xml:space="preserve">Finalmente precisó que, como consecuencia de la ineficacia, Colpensiones debía aceptar el traslado de la promotora de la litis sin solución de continuidad, y que dado que esa entidad no hizo parte del acto jurídico que se declara ineficaz, sólo había lugar a condenar en costas procesales a Porvenir S.A. </w:t>
      </w:r>
    </w:p>
    <w:p w14:paraId="73834161" w14:textId="77777777" w:rsidR="00236FB2" w:rsidRPr="00E0295B" w:rsidRDefault="00236FB2" w:rsidP="00E0295B">
      <w:pPr>
        <w:spacing w:line="276" w:lineRule="auto"/>
        <w:ind w:firstLine="0"/>
        <w:rPr>
          <w:rFonts w:ascii="Tahoma" w:hAnsi="Tahoma" w:cs="Tahoma"/>
          <w:sz w:val="24"/>
          <w:szCs w:val="24"/>
          <w:lang w:val="es-CO"/>
        </w:rPr>
      </w:pPr>
    </w:p>
    <w:p w14:paraId="0D702BFD" w14:textId="77777777" w:rsidR="00ED773D" w:rsidRPr="00E0295B" w:rsidRDefault="00ED773D" w:rsidP="00E0295B">
      <w:pPr>
        <w:pStyle w:val="Prrafodelista"/>
        <w:numPr>
          <w:ilvl w:val="0"/>
          <w:numId w:val="2"/>
        </w:numPr>
        <w:spacing w:line="276" w:lineRule="auto"/>
        <w:jc w:val="center"/>
        <w:rPr>
          <w:rFonts w:ascii="Tahoma" w:hAnsi="Tahoma" w:cs="Tahoma"/>
          <w:b/>
          <w:lang w:val="es-CO"/>
        </w:rPr>
      </w:pPr>
      <w:r w:rsidRPr="00E0295B">
        <w:rPr>
          <w:rFonts w:ascii="Tahoma" w:hAnsi="Tahoma" w:cs="Tahoma"/>
          <w:b/>
          <w:lang w:val="es-CO"/>
        </w:rPr>
        <w:t>Recursos de apelación y procedencia de la consulta</w:t>
      </w:r>
    </w:p>
    <w:p w14:paraId="2354453B" w14:textId="77777777" w:rsidR="00236FB2" w:rsidRPr="00E0295B" w:rsidRDefault="00236FB2" w:rsidP="00E0295B">
      <w:pPr>
        <w:spacing w:line="276" w:lineRule="auto"/>
        <w:ind w:firstLine="708"/>
        <w:rPr>
          <w:rFonts w:ascii="Tahoma" w:hAnsi="Tahoma" w:cs="Tahoma"/>
          <w:sz w:val="24"/>
          <w:szCs w:val="24"/>
          <w:lang w:val="es-CO"/>
        </w:rPr>
      </w:pPr>
    </w:p>
    <w:p w14:paraId="72F0A460" w14:textId="77777777" w:rsidR="00236FB2" w:rsidRPr="00E0295B" w:rsidRDefault="00236FB2" w:rsidP="00E0295B">
      <w:pPr>
        <w:spacing w:line="276" w:lineRule="auto"/>
        <w:ind w:firstLine="708"/>
        <w:rPr>
          <w:rFonts w:ascii="Tahoma" w:hAnsi="Tahoma" w:cs="Tahoma"/>
          <w:sz w:val="24"/>
          <w:szCs w:val="24"/>
          <w:lang w:val="es-CO"/>
        </w:rPr>
      </w:pPr>
      <w:r w:rsidRPr="00E0295B">
        <w:rPr>
          <w:rFonts w:ascii="Tahoma" w:hAnsi="Tahoma" w:cs="Tahoma"/>
          <w:sz w:val="24"/>
          <w:szCs w:val="24"/>
          <w:lang w:val="es-CO"/>
        </w:rPr>
        <w:t>La representante jurídica de Porvenir presentó recurso de alzada arguyendo que no estaba de acuerdo con la condena en costas que le fue impuesta, toda vez que la información que le brindó a la señora Suarez Acevedo se sujetó a los parámetros legales vigentes para la época del traslado, por lo que no se le podía exigir que en aquel</w:t>
      </w:r>
      <w:r w:rsidR="00D0014A" w:rsidRPr="00E0295B">
        <w:rPr>
          <w:rFonts w:ascii="Tahoma" w:hAnsi="Tahoma" w:cs="Tahoma"/>
          <w:sz w:val="24"/>
          <w:szCs w:val="24"/>
          <w:lang w:val="es-CO"/>
        </w:rPr>
        <w:t xml:space="preserve"> momento </w:t>
      </w:r>
      <w:r w:rsidRPr="00E0295B">
        <w:rPr>
          <w:rFonts w:ascii="Tahoma" w:hAnsi="Tahoma" w:cs="Tahoma"/>
          <w:sz w:val="24"/>
          <w:szCs w:val="24"/>
          <w:lang w:val="es-CO"/>
        </w:rPr>
        <w:t xml:space="preserve">hubiese cumplido los </w:t>
      </w:r>
      <w:r w:rsidR="00ED773D" w:rsidRPr="00E0295B">
        <w:rPr>
          <w:rFonts w:ascii="Tahoma" w:hAnsi="Tahoma" w:cs="Tahoma"/>
          <w:sz w:val="24"/>
          <w:szCs w:val="24"/>
          <w:lang w:val="es-CO"/>
        </w:rPr>
        <w:t>requerimientos</w:t>
      </w:r>
      <w:r w:rsidRPr="00E0295B">
        <w:rPr>
          <w:rFonts w:ascii="Tahoma" w:hAnsi="Tahoma" w:cs="Tahoma"/>
          <w:sz w:val="24"/>
          <w:szCs w:val="24"/>
          <w:lang w:val="es-CO"/>
        </w:rPr>
        <w:t xml:space="preserve"> impuestos recientemente por la jurisprudencia de la Corte Suprema de Justicia.</w:t>
      </w:r>
    </w:p>
    <w:p w14:paraId="14DEDCB5" w14:textId="77777777" w:rsidR="00236FB2" w:rsidRPr="00E0295B" w:rsidRDefault="00236FB2" w:rsidP="00E0295B">
      <w:pPr>
        <w:spacing w:line="276" w:lineRule="auto"/>
        <w:ind w:firstLine="708"/>
        <w:rPr>
          <w:rFonts w:ascii="Tahoma" w:hAnsi="Tahoma" w:cs="Tahoma"/>
          <w:sz w:val="24"/>
          <w:szCs w:val="24"/>
          <w:lang w:val="es-CO"/>
        </w:rPr>
      </w:pPr>
    </w:p>
    <w:p w14:paraId="44C5B989" w14:textId="77777777" w:rsidR="00236FB2" w:rsidRPr="00E0295B" w:rsidRDefault="00236FB2" w:rsidP="00E0295B">
      <w:pPr>
        <w:spacing w:line="276" w:lineRule="auto"/>
        <w:ind w:firstLine="708"/>
        <w:rPr>
          <w:rFonts w:ascii="Tahoma" w:hAnsi="Tahoma" w:cs="Tahoma"/>
          <w:sz w:val="24"/>
          <w:szCs w:val="24"/>
          <w:lang w:val="es-CO"/>
        </w:rPr>
      </w:pPr>
      <w:r w:rsidRPr="00E0295B">
        <w:rPr>
          <w:rFonts w:ascii="Tahoma" w:hAnsi="Tahoma" w:cs="Tahoma"/>
          <w:sz w:val="24"/>
          <w:szCs w:val="24"/>
          <w:lang w:val="es-CO"/>
        </w:rPr>
        <w:t xml:space="preserve">Por su parte, la representante judicial de Protección S.A. atacó el fallo de instancia alegando que no compartía la orden impuesta en su contra tendiente a que devolviera las cuotas de administración, toda vez que al declararse la ineficacia sólo estaba obligada a devolver el monto de las cotizaciones que hubiere efectuado la gestora del pleito en caso de haber permanecido en el I.S.S.; además, porque dichos emolumentos retribuyen la labor del fondo de pensiones, por la cual se generaron unos rendimientos a favor de la cuenta de ahorro individual. </w:t>
      </w:r>
    </w:p>
    <w:p w14:paraId="706B95EE" w14:textId="77777777" w:rsidR="00236FB2" w:rsidRPr="00E0295B" w:rsidRDefault="00236FB2" w:rsidP="00E0295B">
      <w:pPr>
        <w:spacing w:line="276" w:lineRule="auto"/>
        <w:ind w:firstLine="0"/>
        <w:rPr>
          <w:rFonts w:ascii="Tahoma" w:hAnsi="Tahoma" w:cs="Tahoma"/>
          <w:sz w:val="24"/>
          <w:szCs w:val="24"/>
          <w:lang w:val="es-CO"/>
        </w:rPr>
      </w:pPr>
    </w:p>
    <w:p w14:paraId="6A63D181" w14:textId="77777777" w:rsidR="00236FB2" w:rsidRPr="00E0295B" w:rsidRDefault="00236FB2" w:rsidP="00E0295B">
      <w:pPr>
        <w:spacing w:line="276" w:lineRule="auto"/>
        <w:ind w:firstLine="708"/>
        <w:rPr>
          <w:rFonts w:ascii="Tahoma" w:hAnsi="Tahoma" w:cs="Tahoma"/>
          <w:sz w:val="24"/>
          <w:szCs w:val="24"/>
          <w:lang w:val="es-CO"/>
        </w:rPr>
      </w:pPr>
      <w:r w:rsidRPr="00E0295B">
        <w:rPr>
          <w:rFonts w:ascii="Tahoma" w:hAnsi="Tahoma" w:cs="Tahoma"/>
          <w:sz w:val="24"/>
          <w:szCs w:val="24"/>
          <w:lang w:val="es-CO"/>
        </w:rPr>
        <w:t xml:space="preserve">Asimismo, el representante jurídico de Colpensiones solicitó que se modificara la condena en costas procesales, pues al haber quedado probado que la AFP Porvenir no brindó una adecuada asesoría a la actora, debía </w:t>
      </w:r>
      <w:r w:rsidR="00B17307" w:rsidRPr="00E0295B">
        <w:rPr>
          <w:rFonts w:ascii="Tahoma" w:hAnsi="Tahoma" w:cs="Tahoma"/>
          <w:sz w:val="24"/>
          <w:szCs w:val="24"/>
          <w:lang w:val="es-CO"/>
        </w:rPr>
        <w:t>condenársela</w:t>
      </w:r>
      <w:r w:rsidRPr="00E0295B">
        <w:rPr>
          <w:rFonts w:ascii="Tahoma" w:hAnsi="Tahoma" w:cs="Tahoma"/>
          <w:sz w:val="24"/>
          <w:szCs w:val="24"/>
          <w:lang w:val="es-CO"/>
        </w:rPr>
        <w:t xml:space="preserve"> a que le cancelara igualmente a Colpensiones las costas procesales causadas en el proceso.</w:t>
      </w:r>
    </w:p>
    <w:p w14:paraId="1269406C" w14:textId="77777777" w:rsidR="00D17C11" w:rsidRPr="00E0295B" w:rsidRDefault="00D17C11" w:rsidP="00E0295B">
      <w:pPr>
        <w:spacing w:line="276" w:lineRule="auto"/>
        <w:ind w:firstLine="708"/>
        <w:rPr>
          <w:rFonts w:ascii="Tahoma" w:hAnsi="Tahoma" w:cs="Tahoma"/>
          <w:sz w:val="24"/>
          <w:szCs w:val="24"/>
          <w:lang w:val="es-CO"/>
        </w:rPr>
      </w:pPr>
    </w:p>
    <w:p w14:paraId="6AD91AB1" w14:textId="77777777" w:rsidR="00D17C11" w:rsidRPr="00E0295B" w:rsidRDefault="00D17C11" w:rsidP="00E0295B">
      <w:pPr>
        <w:spacing w:line="276" w:lineRule="auto"/>
        <w:ind w:firstLine="708"/>
        <w:rPr>
          <w:rFonts w:ascii="Tahoma" w:hAnsi="Tahoma" w:cs="Tahoma"/>
          <w:sz w:val="24"/>
          <w:szCs w:val="24"/>
          <w:lang w:val="es-CO"/>
        </w:rPr>
      </w:pPr>
      <w:r w:rsidRPr="00E0295B">
        <w:rPr>
          <w:rFonts w:ascii="Tahoma" w:hAnsi="Tahoma" w:cs="Tahoma"/>
          <w:sz w:val="24"/>
          <w:szCs w:val="24"/>
          <w:lang w:val="es-CO"/>
        </w:rPr>
        <w:t>Finalmente, hay que advertir que se concedió el grado jurisdiccional de consulta en favor de COLPENSIONES, lo que le permite a la Sala revisar la totalidad de la sentencia de primera instancia.</w:t>
      </w:r>
    </w:p>
    <w:p w14:paraId="25E1DFA1" w14:textId="77777777" w:rsidR="00236FB2" w:rsidRPr="00E0295B" w:rsidRDefault="00236FB2" w:rsidP="00E0295B">
      <w:pPr>
        <w:spacing w:line="276" w:lineRule="auto"/>
        <w:ind w:firstLine="708"/>
        <w:rPr>
          <w:rFonts w:ascii="Tahoma" w:hAnsi="Tahoma" w:cs="Tahoma"/>
          <w:sz w:val="24"/>
          <w:szCs w:val="24"/>
          <w:lang w:val="es-CO"/>
        </w:rPr>
      </w:pPr>
    </w:p>
    <w:p w14:paraId="654CE98B" w14:textId="77777777" w:rsidR="00D17C11" w:rsidRPr="00E0295B" w:rsidRDefault="00D17C11" w:rsidP="00E0295B">
      <w:pPr>
        <w:pStyle w:val="Prrafodelista"/>
        <w:widowControl w:val="0"/>
        <w:numPr>
          <w:ilvl w:val="0"/>
          <w:numId w:val="2"/>
        </w:numPr>
        <w:autoSpaceDE w:val="0"/>
        <w:autoSpaceDN w:val="0"/>
        <w:adjustRightInd w:val="0"/>
        <w:spacing w:line="276" w:lineRule="auto"/>
        <w:jc w:val="center"/>
        <w:rPr>
          <w:rFonts w:ascii="Tahoma" w:hAnsi="Tahoma" w:cs="Tahoma"/>
          <w:b/>
          <w:caps/>
        </w:rPr>
      </w:pPr>
      <w:r w:rsidRPr="00E0295B">
        <w:rPr>
          <w:rFonts w:ascii="Tahoma" w:hAnsi="Tahoma" w:cs="Tahoma"/>
          <w:b/>
        </w:rPr>
        <w:t>Alegatos de conclusión</w:t>
      </w:r>
    </w:p>
    <w:p w14:paraId="52A87354" w14:textId="77777777" w:rsidR="00D17C11" w:rsidRPr="00E0295B" w:rsidRDefault="00D17C11" w:rsidP="00E0295B">
      <w:pPr>
        <w:widowControl w:val="0"/>
        <w:autoSpaceDE w:val="0"/>
        <w:autoSpaceDN w:val="0"/>
        <w:adjustRightInd w:val="0"/>
        <w:spacing w:line="276" w:lineRule="auto"/>
        <w:rPr>
          <w:rFonts w:ascii="Tahoma" w:hAnsi="Tahoma" w:cs="Tahoma"/>
          <w:sz w:val="24"/>
          <w:szCs w:val="24"/>
        </w:rPr>
      </w:pPr>
    </w:p>
    <w:p w14:paraId="235D44B2" w14:textId="77777777" w:rsidR="00D17C11" w:rsidRPr="00E0295B" w:rsidRDefault="00D17C11" w:rsidP="00E0295B">
      <w:pPr>
        <w:spacing w:line="276" w:lineRule="auto"/>
        <w:ind w:firstLine="708"/>
        <w:rPr>
          <w:rStyle w:val="normaltextrun"/>
          <w:rFonts w:ascii="Tahoma" w:hAnsi="Tahoma" w:cs="Tahoma"/>
          <w:color w:val="000000" w:themeColor="text1"/>
          <w:sz w:val="24"/>
          <w:szCs w:val="24"/>
        </w:rPr>
      </w:pPr>
      <w:r w:rsidRPr="00E0295B">
        <w:rPr>
          <w:rStyle w:val="normaltextrun"/>
          <w:rFonts w:ascii="Tahoma" w:hAnsi="Tahoma" w:cs="Tahoma"/>
          <w:color w:val="000000"/>
          <w:sz w:val="24"/>
          <w:szCs w:val="24"/>
        </w:rPr>
        <w:lastRenderedPageBreak/>
        <w:t xml:space="preserve">Analizados los alegatos presentados por escrito por las </w:t>
      </w:r>
      <w:r w:rsidR="00511EB1" w:rsidRPr="00E0295B">
        <w:rPr>
          <w:rStyle w:val="normaltextrun"/>
          <w:rFonts w:ascii="Tahoma" w:hAnsi="Tahoma" w:cs="Tahoma"/>
          <w:color w:val="000000"/>
          <w:sz w:val="24"/>
          <w:szCs w:val="24"/>
        </w:rPr>
        <w:t>codemandadas</w:t>
      </w:r>
      <w:r w:rsidRPr="00E0295B">
        <w:rPr>
          <w:rStyle w:val="normaltextrun"/>
          <w:rFonts w:ascii="Tahoma" w:hAnsi="Tahoma" w:cs="Tahoma"/>
          <w:color w:val="000000"/>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r w:rsidRPr="00E0295B">
        <w:rPr>
          <w:rStyle w:val="eop"/>
          <w:rFonts w:ascii="Tahoma" w:hAnsi="Tahoma" w:cs="Tahoma"/>
          <w:color w:val="000000"/>
          <w:sz w:val="24"/>
          <w:szCs w:val="24"/>
        </w:rPr>
        <w:t> </w:t>
      </w:r>
      <w:r w:rsidRPr="00E0295B">
        <w:rPr>
          <w:rStyle w:val="normaltextrun"/>
          <w:rFonts w:ascii="Tahoma" w:hAnsi="Tahoma" w:cs="Tahoma"/>
          <w:color w:val="000000" w:themeColor="text1"/>
          <w:sz w:val="24"/>
          <w:szCs w:val="24"/>
        </w:rPr>
        <w:t xml:space="preserve">Por otra parte, </w:t>
      </w:r>
      <w:r w:rsidRPr="00E0295B">
        <w:rPr>
          <w:rStyle w:val="normaltextrun"/>
          <w:rFonts w:ascii="Tahoma" w:hAnsi="Tahoma" w:cs="Tahoma"/>
          <w:sz w:val="24"/>
          <w:szCs w:val="24"/>
        </w:rPr>
        <w:t>el Ministerio Público no rindió concepto en este asunto.</w:t>
      </w:r>
    </w:p>
    <w:p w14:paraId="4C2118B6" w14:textId="77777777" w:rsidR="00C62C60" w:rsidRPr="00E0295B" w:rsidRDefault="00C62C60" w:rsidP="00E0295B">
      <w:pPr>
        <w:spacing w:line="276" w:lineRule="auto"/>
        <w:ind w:firstLine="708"/>
        <w:rPr>
          <w:rFonts w:ascii="Tahoma" w:hAnsi="Tahoma" w:cs="Tahoma"/>
          <w:sz w:val="24"/>
          <w:szCs w:val="24"/>
          <w:lang w:val="es-CO"/>
        </w:rPr>
      </w:pPr>
    </w:p>
    <w:p w14:paraId="2CBDD2DD" w14:textId="77777777" w:rsidR="00C62C60" w:rsidRPr="00E0295B" w:rsidRDefault="00C62C60" w:rsidP="00E0295B">
      <w:pPr>
        <w:pStyle w:val="paragraph"/>
        <w:numPr>
          <w:ilvl w:val="0"/>
          <w:numId w:val="2"/>
        </w:numPr>
        <w:spacing w:before="0" w:beforeAutospacing="0" w:after="0" w:afterAutospacing="0" w:line="276" w:lineRule="auto"/>
        <w:jc w:val="center"/>
        <w:textAlignment w:val="baseline"/>
        <w:rPr>
          <w:rFonts w:ascii="Tahoma" w:hAnsi="Tahoma" w:cs="Tahoma"/>
          <w:b/>
        </w:rPr>
      </w:pPr>
      <w:r w:rsidRPr="00E0295B">
        <w:rPr>
          <w:rStyle w:val="normaltextrun"/>
          <w:rFonts w:ascii="Tahoma" w:hAnsi="Tahoma" w:cs="Tahoma"/>
          <w:b/>
          <w:bCs/>
        </w:rPr>
        <w:t>Problemas jurídicos por resolver</w:t>
      </w:r>
    </w:p>
    <w:p w14:paraId="094F2C79" w14:textId="77777777" w:rsidR="00C62C60" w:rsidRPr="00E0295B" w:rsidRDefault="00C62C60" w:rsidP="00E0295B">
      <w:pPr>
        <w:pStyle w:val="paragraph"/>
        <w:spacing w:before="0" w:beforeAutospacing="0" w:after="0" w:afterAutospacing="0" w:line="276" w:lineRule="auto"/>
        <w:textAlignment w:val="baseline"/>
        <w:rPr>
          <w:rFonts w:ascii="Tahoma" w:hAnsi="Tahoma" w:cs="Tahoma"/>
        </w:rPr>
      </w:pPr>
      <w:r w:rsidRPr="00E0295B">
        <w:rPr>
          <w:rStyle w:val="eop"/>
          <w:rFonts w:ascii="Tahoma" w:hAnsi="Tahoma" w:cs="Tahoma"/>
        </w:rPr>
        <w:t> </w:t>
      </w:r>
    </w:p>
    <w:p w14:paraId="3D69DCAC" w14:textId="0915C14D" w:rsidR="00C62C60" w:rsidRDefault="00C62C60" w:rsidP="00E0295B">
      <w:pPr>
        <w:widowControl w:val="0"/>
        <w:autoSpaceDE w:val="0"/>
        <w:autoSpaceDN w:val="0"/>
        <w:adjustRightInd w:val="0"/>
        <w:spacing w:line="276" w:lineRule="auto"/>
        <w:ind w:firstLine="708"/>
        <w:rPr>
          <w:rStyle w:val="normaltextrun"/>
          <w:rFonts w:ascii="Tahoma" w:hAnsi="Tahoma" w:cs="Tahoma"/>
          <w:sz w:val="24"/>
          <w:szCs w:val="24"/>
        </w:rPr>
      </w:pPr>
      <w:r w:rsidRPr="00E0295B">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resolver los </w:t>
      </w:r>
      <w:r w:rsidR="00E0295B">
        <w:rPr>
          <w:rStyle w:val="normaltextrun"/>
          <w:rFonts w:ascii="Tahoma" w:hAnsi="Tahoma" w:cs="Tahoma"/>
          <w:sz w:val="24"/>
          <w:szCs w:val="24"/>
        </w:rPr>
        <w:t>siguientes problemas jurídicos:</w:t>
      </w:r>
    </w:p>
    <w:p w14:paraId="22A566E3" w14:textId="77777777" w:rsidR="00E0295B" w:rsidRPr="00E0295B" w:rsidRDefault="00E0295B" w:rsidP="00E0295B">
      <w:pPr>
        <w:widowControl w:val="0"/>
        <w:autoSpaceDE w:val="0"/>
        <w:autoSpaceDN w:val="0"/>
        <w:adjustRightInd w:val="0"/>
        <w:spacing w:line="276" w:lineRule="auto"/>
        <w:ind w:firstLine="708"/>
        <w:rPr>
          <w:rStyle w:val="normaltextrun"/>
          <w:rFonts w:ascii="Tahoma" w:hAnsi="Tahoma" w:cs="Tahoma"/>
          <w:sz w:val="24"/>
          <w:szCs w:val="24"/>
        </w:rPr>
      </w:pPr>
    </w:p>
    <w:p w14:paraId="21438D99" w14:textId="77777777" w:rsidR="00C62C60" w:rsidRPr="00E0295B" w:rsidRDefault="00C62C60" w:rsidP="00E0295B">
      <w:pPr>
        <w:pStyle w:val="Prrafodelista"/>
        <w:widowControl w:val="0"/>
        <w:numPr>
          <w:ilvl w:val="0"/>
          <w:numId w:val="5"/>
        </w:numPr>
        <w:tabs>
          <w:tab w:val="left" w:pos="709"/>
          <w:tab w:val="left" w:pos="993"/>
        </w:tabs>
        <w:autoSpaceDE w:val="0"/>
        <w:autoSpaceDN w:val="0"/>
        <w:adjustRightInd w:val="0"/>
        <w:spacing w:line="276" w:lineRule="auto"/>
        <w:ind w:left="0" w:firstLine="709"/>
        <w:jc w:val="both"/>
        <w:rPr>
          <w:rFonts w:ascii="Tahoma" w:hAnsi="Tahoma" w:cs="Tahoma"/>
        </w:rPr>
      </w:pPr>
      <w:r w:rsidRPr="00E0295B">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379BFBA0" w14:textId="77777777" w:rsidR="00C62C60" w:rsidRPr="00E0295B" w:rsidRDefault="00C62C60" w:rsidP="00E0295B">
      <w:pPr>
        <w:pStyle w:val="Prrafodelista"/>
        <w:widowControl w:val="0"/>
        <w:tabs>
          <w:tab w:val="left" w:pos="709"/>
          <w:tab w:val="left" w:pos="993"/>
        </w:tabs>
        <w:autoSpaceDE w:val="0"/>
        <w:autoSpaceDN w:val="0"/>
        <w:adjustRightInd w:val="0"/>
        <w:spacing w:line="276" w:lineRule="auto"/>
        <w:ind w:left="0" w:firstLine="709"/>
        <w:jc w:val="both"/>
        <w:rPr>
          <w:rFonts w:ascii="Tahoma" w:hAnsi="Tahoma" w:cs="Tahoma"/>
        </w:rPr>
      </w:pPr>
    </w:p>
    <w:p w14:paraId="7611092E" w14:textId="77777777" w:rsidR="00C62C60" w:rsidRPr="00E0295B" w:rsidRDefault="00C62C60" w:rsidP="00E0295B">
      <w:pPr>
        <w:pStyle w:val="Prrafodelista"/>
        <w:widowControl w:val="0"/>
        <w:numPr>
          <w:ilvl w:val="0"/>
          <w:numId w:val="5"/>
        </w:numPr>
        <w:tabs>
          <w:tab w:val="left" w:pos="993"/>
        </w:tabs>
        <w:autoSpaceDE w:val="0"/>
        <w:autoSpaceDN w:val="0"/>
        <w:adjustRightInd w:val="0"/>
        <w:spacing w:line="276" w:lineRule="auto"/>
        <w:ind w:left="0" w:firstLine="709"/>
        <w:jc w:val="both"/>
        <w:rPr>
          <w:rFonts w:ascii="Tahoma" w:hAnsi="Tahoma" w:cs="Tahoma"/>
        </w:rPr>
      </w:pPr>
      <w:r w:rsidRPr="00E0295B">
        <w:rPr>
          <w:rFonts w:ascii="Tahoma" w:hAnsi="Tahoma" w:cs="Tahoma"/>
        </w:rPr>
        <w:t xml:space="preserve">Definir si para dar por cumplido el deber de información de las AFP es suficiente el diligenciamiento del formulario de afiliación. En este punto también se deberá precisar si la suscripción de varios formularios de afiliación dentro del mismo régimen de ahorro individual convalida el primer traslado del RPM al RAIS. </w:t>
      </w:r>
    </w:p>
    <w:p w14:paraId="069A24AC" w14:textId="77777777" w:rsidR="00C62C60" w:rsidRPr="00E0295B" w:rsidRDefault="00C62C60" w:rsidP="00E0295B">
      <w:pPr>
        <w:widowControl w:val="0"/>
        <w:tabs>
          <w:tab w:val="left" w:pos="993"/>
        </w:tabs>
        <w:autoSpaceDE w:val="0"/>
        <w:autoSpaceDN w:val="0"/>
        <w:adjustRightInd w:val="0"/>
        <w:spacing w:line="276" w:lineRule="auto"/>
        <w:rPr>
          <w:rFonts w:ascii="Tahoma" w:hAnsi="Tahoma" w:cs="Tahoma"/>
          <w:sz w:val="24"/>
          <w:szCs w:val="24"/>
        </w:rPr>
      </w:pPr>
    </w:p>
    <w:p w14:paraId="627D90CE" w14:textId="77777777" w:rsidR="00C62C60" w:rsidRPr="00E0295B" w:rsidRDefault="00C62C60" w:rsidP="00E0295B">
      <w:pPr>
        <w:pStyle w:val="Prrafodelista"/>
        <w:widowControl w:val="0"/>
        <w:numPr>
          <w:ilvl w:val="0"/>
          <w:numId w:val="5"/>
        </w:numPr>
        <w:tabs>
          <w:tab w:val="left" w:pos="993"/>
        </w:tabs>
        <w:autoSpaceDE w:val="0"/>
        <w:autoSpaceDN w:val="0"/>
        <w:adjustRightInd w:val="0"/>
        <w:spacing w:line="276" w:lineRule="auto"/>
        <w:ind w:left="0" w:firstLine="709"/>
        <w:jc w:val="both"/>
        <w:rPr>
          <w:rFonts w:ascii="Tahoma" w:hAnsi="Tahoma" w:cs="Tahoma"/>
        </w:rPr>
      </w:pPr>
      <w:r w:rsidRPr="00E0295B">
        <w:rPr>
          <w:rFonts w:ascii="Tahoma" w:hAnsi="Tahoma" w:cs="Tahoma"/>
        </w:rPr>
        <w:t xml:space="preserve"> Determinar la carga probatoria que les corresponde a cada una de las partes cuando está en discusión la eficacia del traslado entre regímenes pensionales. </w:t>
      </w:r>
    </w:p>
    <w:p w14:paraId="06292321" w14:textId="77777777" w:rsidR="00C62C60" w:rsidRPr="00E0295B" w:rsidRDefault="00C62C60" w:rsidP="00E0295B">
      <w:pPr>
        <w:widowControl w:val="0"/>
        <w:tabs>
          <w:tab w:val="left" w:pos="993"/>
        </w:tabs>
        <w:autoSpaceDE w:val="0"/>
        <w:autoSpaceDN w:val="0"/>
        <w:adjustRightInd w:val="0"/>
        <w:spacing w:line="276" w:lineRule="auto"/>
        <w:rPr>
          <w:rFonts w:ascii="Tahoma" w:hAnsi="Tahoma" w:cs="Tahoma"/>
          <w:sz w:val="24"/>
          <w:szCs w:val="24"/>
        </w:rPr>
      </w:pPr>
    </w:p>
    <w:p w14:paraId="2A0ABA64" w14:textId="77777777" w:rsidR="00250D85" w:rsidRPr="00E0295B" w:rsidRDefault="00C62C60" w:rsidP="00E0295B">
      <w:pPr>
        <w:pStyle w:val="Prrafodelista"/>
        <w:widowControl w:val="0"/>
        <w:numPr>
          <w:ilvl w:val="0"/>
          <w:numId w:val="5"/>
        </w:numPr>
        <w:tabs>
          <w:tab w:val="left" w:pos="993"/>
        </w:tabs>
        <w:autoSpaceDE w:val="0"/>
        <w:autoSpaceDN w:val="0"/>
        <w:adjustRightInd w:val="0"/>
        <w:spacing w:line="276" w:lineRule="auto"/>
        <w:ind w:left="0" w:firstLine="709"/>
        <w:jc w:val="both"/>
        <w:rPr>
          <w:rFonts w:ascii="Tahoma" w:hAnsi="Tahoma" w:cs="Tahoma"/>
        </w:rPr>
      </w:pPr>
      <w:r w:rsidRPr="00E0295B">
        <w:rPr>
          <w:rFonts w:ascii="Tahoma" w:hAnsi="Tahoma" w:cs="Tahoma"/>
        </w:rPr>
        <w:t xml:space="preserve"> </w:t>
      </w:r>
      <w:r w:rsidR="00250D85" w:rsidRPr="00E0295B">
        <w:rPr>
          <w:rFonts w:ascii="Tahoma" w:hAnsi="Tahoma" w:cs="Tahoma"/>
        </w:rPr>
        <w:t>Analizar si quedó probado en el proceso que la parte demandante recibió de parte de la AFP demandada la asesoría e información suficiente y necesaria para hacer el cambio de régimen.</w:t>
      </w:r>
    </w:p>
    <w:p w14:paraId="461A34AD" w14:textId="77777777" w:rsidR="00250D85" w:rsidRPr="00E0295B" w:rsidRDefault="00250D85" w:rsidP="00E0295B">
      <w:pPr>
        <w:pStyle w:val="Prrafodelista"/>
        <w:widowControl w:val="0"/>
        <w:tabs>
          <w:tab w:val="left" w:pos="993"/>
        </w:tabs>
        <w:autoSpaceDE w:val="0"/>
        <w:autoSpaceDN w:val="0"/>
        <w:adjustRightInd w:val="0"/>
        <w:spacing w:line="276" w:lineRule="auto"/>
        <w:ind w:left="709"/>
        <w:jc w:val="both"/>
        <w:rPr>
          <w:rFonts w:ascii="Tahoma" w:hAnsi="Tahoma" w:cs="Tahoma"/>
          <w:b/>
        </w:rPr>
      </w:pPr>
    </w:p>
    <w:p w14:paraId="733558DD" w14:textId="789D5030" w:rsidR="00C62C60" w:rsidRPr="00E0295B" w:rsidRDefault="00C62C60" w:rsidP="00E0295B">
      <w:pPr>
        <w:pStyle w:val="Prrafodelista"/>
        <w:widowControl w:val="0"/>
        <w:numPr>
          <w:ilvl w:val="0"/>
          <w:numId w:val="5"/>
        </w:numPr>
        <w:tabs>
          <w:tab w:val="left" w:pos="993"/>
        </w:tabs>
        <w:autoSpaceDE w:val="0"/>
        <w:autoSpaceDN w:val="0"/>
        <w:adjustRightInd w:val="0"/>
        <w:spacing w:line="276" w:lineRule="auto"/>
        <w:ind w:left="0" w:firstLine="709"/>
        <w:jc w:val="both"/>
        <w:rPr>
          <w:rFonts w:ascii="Tahoma" w:hAnsi="Tahoma" w:cs="Tahoma"/>
          <w:b/>
        </w:rPr>
      </w:pPr>
      <w:r w:rsidRPr="00E0295B">
        <w:rPr>
          <w:rFonts w:ascii="Tahoma" w:hAnsi="Tahoma" w:cs="Tahoma"/>
        </w:rPr>
        <w:t>Determinar si cuando se declara la ineficacia del traslado hay lugar a ordenar a la AFP la devolución de las cuotas de administración, con cargo a sus propios recursos e indexado.</w:t>
      </w:r>
    </w:p>
    <w:p w14:paraId="609F191C" w14:textId="77777777" w:rsidR="00C62C60" w:rsidRPr="00E0295B" w:rsidRDefault="00C62C60" w:rsidP="00E0295B">
      <w:pPr>
        <w:widowControl w:val="0"/>
        <w:tabs>
          <w:tab w:val="left" w:pos="993"/>
        </w:tabs>
        <w:autoSpaceDE w:val="0"/>
        <w:autoSpaceDN w:val="0"/>
        <w:adjustRightInd w:val="0"/>
        <w:spacing w:line="276" w:lineRule="auto"/>
        <w:rPr>
          <w:rFonts w:ascii="Tahoma" w:hAnsi="Tahoma" w:cs="Tahoma"/>
          <w:b/>
          <w:sz w:val="24"/>
          <w:szCs w:val="24"/>
        </w:rPr>
      </w:pPr>
    </w:p>
    <w:p w14:paraId="529326B4" w14:textId="3E68E9FB" w:rsidR="00C62C60" w:rsidRPr="00E0295B" w:rsidRDefault="00E0295B" w:rsidP="00E0295B">
      <w:pPr>
        <w:pStyle w:val="Prrafodelista"/>
        <w:widowControl w:val="0"/>
        <w:numPr>
          <w:ilvl w:val="0"/>
          <w:numId w:val="5"/>
        </w:numPr>
        <w:tabs>
          <w:tab w:val="left" w:pos="993"/>
        </w:tabs>
        <w:autoSpaceDE w:val="0"/>
        <w:autoSpaceDN w:val="0"/>
        <w:adjustRightInd w:val="0"/>
        <w:spacing w:line="276" w:lineRule="auto"/>
        <w:ind w:left="0" w:firstLine="709"/>
        <w:jc w:val="both"/>
        <w:rPr>
          <w:rFonts w:ascii="Tahoma" w:hAnsi="Tahoma" w:cs="Tahoma"/>
        </w:rPr>
      </w:pPr>
      <w:r>
        <w:rPr>
          <w:rFonts w:ascii="Tahoma" w:hAnsi="Tahoma" w:cs="Tahoma"/>
        </w:rPr>
        <w:t xml:space="preserve"> </w:t>
      </w:r>
      <w:r w:rsidR="00C62C60" w:rsidRPr="00E0295B">
        <w:rPr>
          <w:rFonts w:ascii="Tahoma" w:hAnsi="Tahoma" w:cs="Tahoma"/>
        </w:rPr>
        <w:t>Definir si en virtud del grado jurisdiccional de consulta en favor de COLPENSIONES se puede ordenar la devolución de otros valores por parte de la(s) AFP demandada(s), con cargo a sus propios recursos y debidamente indexados.</w:t>
      </w:r>
    </w:p>
    <w:p w14:paraId="7240B7EE" w14:textId="77777777" w:rsidR="00C62C60" w:rsidRPr="00E0295B" w:rsidRDefault="00C62C60" w:rsidP="00E0295B">
      <w:pPr>
        <w:widowControl w:val="0"/>
        <w:tabs>
          <w:tab w:val="left" w:pos="993"/>
        </w:tabs>
        <w:autoSpaceDE w:val="0"/>
        <w:autoSpaceDN w:val="0"/>
        <w:adjustRightInd w:val="0"/>
        <w:spacing w:line="276" w:lineRule="auto"/>
        <w:ind w:firstLine="0"/>
        <w:rPr>
          <w:rFonts w:ascii="Tahoma" w:hAnsi="Tahoma" w:cs="Tahoma"/>
          <w:sz w:val="24"/>
          <w:szCs w:val="24"/>
        </w:rPr>
      </w:pPr>
    </w:p>
    <w:p w14:paraId="1E5D4710" w14:textId="77777777" w:rsidR="00C62C60" w:rsidRPr="00E0295B" w:rsidRDefault="00C62C60" w:rsidP="00E0295B">
      <w:pPr>
        <w:pStyle w:val="Prrafodelista"/>
        <w:widowControl w:val="0"/>
        <w:numPr>
          <w:ilvl w:val="0"/>
          <w:numId w:val="5"/>
        </w:numPr>
        <w:tabs>
          <w:tab w:val="left" w:pos="993"/>
        </w:tabs>
        <w:autoSpaceDE w:val="0"/>
        <w:autoSpaceDN w:val="0"/>
        <w:adjustRightInd w:val="0"/>
        <w:spacing w:line="276" w:lineRule="auto"/>
        <w:ind w:left="0" w:firstLine="709"/>
        <w:jc w:val="both"/>
        <w:rPr>
          <w:rFonts w:ascii="Tahoma" w:hAnsi="Tahoma" w:cs="Tahoma"/>
        </w:rPr>
      </w:pPr>
      <w:r w:rsidRPr="00E0295B">
        <w:rPr>
          <w:rFonts w:ascii="Tahoma" w:eastAsia="Arial" w:hAnsi="Tahoma" w:cs="Tahoma"/>
          <w:bCs/>
        </w:rPr>
        <w:t>Determinar si hay lugar a condenar a los fondos privados en costas procesales a favor de la Administradora Colombiana de Pensiones.</w:t>
      </w:r>
      <w:r w:rsidRPr="00E0295B">
        <w:rPr>
          <w:rFonts w:ascii="Tahoma" w:eastAsia="Arial" w:hAnsi="Tahoma" w:cs="Tahoma"/>
        </w:rPr>
        <w:t xml:space="preserve"> </w:t>
      </w:r>
    </w:p>
    <w:p w14:paraId="7B7BFF8F" w14:textId="77777777" w:rsidR="00C62C60" w:rsidRPr="00E0295B" w:rsidRDefault="00C62C60" w:rsidP="00E0295B">
      <w:pPr>
        <w:spacing w:line="276" w:lineRule="auto"/>
        <w:ind w:firstLine="900"/>
        <w:rPr>
          <w:rFonts w:ascii="Tahoma" w:hAnsi="Tahoma" w:cs="Tahoma"/>
          <w:sz w:val="24"/>
          <w:szCs w:val="24"/>
        </w:rPr>
      </w:pPr>
      <w:r w:rsidRPr="00E0295B">
        <w:rPr>
          <w:rFonts w:ascii="Tahoma" w:hAnsi="Tahoma" w:cs="Tahoma"/>
          <w:sz w:val="24"/>
          <w:szCs w:val="24"/>
        </w:rPr>
        <w:t xml:space="preserve">  </w:t>
      </w:r>
    </w:p>
    <w:p w14:paraId="5F080D7A" w14:textId="77777777" w:rsidR="00C62C60" w:rsidRPr="00E0295B" w:rsidRDefault="00C62C60" w:rsidP="00E0295B">
      <w:pPr>
        <w:pStyle w:val="Prrafodelista"/>
        <w:widowControl w:val="0"/>
        <w:numPr>
          <w:ilvl w:val="0"/>
          <w:numId w:val="2"/>
        </w:numPr>
        <w:autoSpaceDE w:val="0"/>
        <w:autoSpaceDN w:val="0"/>
        <w:adjustRightInd w:val="0"/>
        <w:spacing w:line="276" w:lineRule="auto"/>
        <w:jc w:val="center"/>
        <w:rPr>
          <w:rFonts w:ascii="Tahoma" w:hAnsi="Tahoma" w:cs="Tahoma"/>
          <w:b/>
        </w:rPr>
      </w:pPr>
      <w:r w:rsidRPr="00E0295B">
        <w:rPr>
          <w:rFonts w:ascii="Tahoma" w:hAnsi="Tahoma" w:cs="Tahoma"/>
          <w:b/>
        </w:rPr>
        <w:t xml:space="preserve">Consideraciones </w:t>
      </w:r>
    </w:p>
    <w:p w14:paraId="52F9FD53" w14:textId="77777777" w:rsidR="00C62C60" w:rsidRPr="00E0295B" w:rsidRDefault="00C62C60" w:rsidP="00E0295B">
      <w:pPr>
        <w:widowControl w:val="0"/>
        <w:autoSpaceDE w:val="0"/>
        <w:autoSpaceDN w:val="0"/>
        <w:adjustRightInd w:val="0"/>
        <w:spacing w:line="276" w:lineRule="auto"/>
        <w:ind w:firstLine="0"/>
        <w:rPr>
          <w:rFonts w:ascii="Tahoma" w:hAnsi="Tahoma" w:cs="Tahoma"/>
          <w:b/>
          <w:sz w:val="24"/>
          <w:szCs w:val="24"/>
        </w:rPr>
      </w:pPr>
    </w:p>
    <w:p w14:paraId="5B784A98" w14:textId="77777777" w:rsidR="00C62C60" w:rsidRPr="00E0295B" w:rsidRDefault="00C62C60" w:rsidP="00E0295B">
      <w:pPr>
        <w:pStyle w:val="Prrafodelista"/>
        <w:numPr>
          <w:ilvl w:val="1"/>
          <w:numId w:val="6"/>
        </w:numPr>
        <w:spacing w:line="276" w:lineRule="auto"/>
        <w:ind w:left="0" w:firstLine="709"/>
        <w:jc w:val="both"/>
        <w:rPr>
          <w:rFonts w:ascii="Tahoma" w:hAnsi="Tahoma" w:cs="Tahoma"/>
          <w:b/>
        </w:rPr>
      </w:pPr>
      <w:r w:rsidRPr="00E0295B">
        <w:rPr>
          <w:rFonts w:ascii="Tahoma" w:hAnsi="Tahoma" w:cs="Tahoma"/>
          <w:b/>
        </w:rPr>
        <w:t xml:space="preserve">Precedente vertical: la tesis de la Corte Suprema de Justicia respecto al tema de la ineficacia del traslado constituye doctrina probable </w:t>
      </w:r>
    </w:p>
    <w:p w14:paraId="30D28335" w14:textId="77777777" w:rsidR="00C62C60" w:rsidRPr="00E0295B" w:rsidRDefault="00C62C60" w:rsidP="00E0295B">
      <w:pPr>
        <w:pStyle w:val="Sinespaciado"/>
        <w:spacing w:line="276" w:lineRule="auto"/>
        <w:rPr>
          <w:rFonts w:ascii="Tahoma" w:hAnsi="Tahoma" w:cs="Tahoma"/>
        </w:rPr>
      </w:pPr>
    </w:p>
    <w:p w14:paraId="170067DD" w14:textId="77777777" w:rsidR="00C62C60" w:rsidRPr="00E0295B" w:rsidRDefault="00C62C60" w:rsidP="00E0295B">
      <w:pPr>
        <w:spacing w:line="276" w:lineRule="auto"/>
        <w:rPr>
          <w:rFonts w:ascii="Tahoma" w:hAnsi="Tahoma" w:cs="Tahoma"/>
          <w:spacing w:val="-4"/>
          <w:sz w:val="24"/>
          <w:szCs w:val="24"/>
          <w:lang w:val="es-CO"/>
        </w:rPr>
      </w:pPr>
      <w:r w:rsidRPr="00E0295B">
        <w:rPr>
          <w:rFonts w:ascii="Tahoma" w:hAnsi="Tahoma" w:cs="Tahoma"/>
          <w:sz w:val="24"/>
          <w:szCs w:val="24"/>
        </w:rPr>
        <w:lastRenderedPageBreak/>
        <w:t xml:space="preserve">En la actualidad existe </w:t>
      </w:r>
      <w:r w:rsidRPr="00E0295B">
        <w:rPr>
          <w:rFonts w:ascii="Tahoma" w:hAnsi="Tahoma" w:cs="Tahoma"/>
          <w:b/>
          <w:sz w:val="24"/>
          <w:szCs w:val="24"/>
        </w:rPr>
        <w:t>doctrina probable</w:t>
      </w:r>
      <w:r w:rsidRPr="00E0295B">
        <w:rPr>
          <w:rFonts w:ascii="Tahoma"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059D5A70" w14:textId="77777777" w:rsidR="00C62C60" w:rsidRPr="00E0295B" w:rsidRDefault="00C62C60" w:rsidP="00E0295B">
      <w:pPr>
        <w:pStyle w:val="Prrafodelista"/>
        <w:spacing w:line="276" w:lineRule="auto"/>
        <w:ind w:left="0" w:firstLine="709"/>
        <w:jc w:val="both"/>
        <w:rPr>
          <w:rFonts w:ascii="Tahoma" w:hAnsi="Tahoma" w:cs="Tahoma"/>
        </w:rPr>
      </w:pPr>
    </w:p>
    <w:p w14:paraId="00A3234E" w14:textId="77777777" w:rsidR="00C62C60" w:rsidRPr="00E0295B" w:rsidRDefault="00C62C60" w:rsidP="00E0295B">
      <w:pPr>
        <w:pStyle w:val="Prrafodelista"/>
        <w:spacing w:line="276" w:lineRule="auto"/>
        <w:ind w:left="0" w:firstLine="709"/>
        <w:jc w:val="both"/>
        <w:rPr>
          <w:rFonts w:ascii="Tahoma" w:hAnsi="Tahoma" w:cs="Tahoma"/>
          <w:color w:val="000000"/>
        </w:rPr>
      </w:pPr>
      <w:r w:rsidRPr="00E0295B">
        <w:rPr>
          <w:rFonts w:ascii="Tahoma" w:hAnsi="Tahoma" w:cs="Tahoma"/>
          <w:bCs/>
        </w:rPr>
        <w:t xml:space="preserve">SL 31989 del 9 sep. 2008, </w:t>
      </w:r>
      <w:r w:rsidRPr="00E0295B">
        <w:rPr>
          <w:rFonts w:ascii="Tahoma" w:hAnsi="Tahoma" w:cs="Tahoma"/>
        </w:rPr>
        <w:t xml:space="preserve">SL 31314 9 sep. 2008, SL 33083 22 nov. 2011, SL12136-2014, SL19447-2017, SL4964-2018, CSJ SL4989-2018, SL1421-2019, SL1452-2019, SL1688-2019, SL1689-2019, Sentencia SL 373 -2020, Sentencia SL 5462-2019, Sentencia </w:t>
      </w:r>
      <w:r w:rsidRPr="00E0295B">
        <w:rPr>
          <w:rFonts w:ascii="Tahoma" w:hAnsi="Tahoma" w:cs="Tahoma"/>
          <w:color w:val="000000"/>
        </w:rPr>
        <w:t xml:space="preserve">SL149-2020, Sentencia SL5533-2019, Sentencia SL5144-2019, Sentencia SL4937-2019, Sentencia SL4426-2019, Sentencia SL4343-2019, Sentencia SL4856-2019, Sentencia STP 2082-2019, Sentencia SL4360-2019, Sentencia SL3852-2019, Sentencia SL3749-2019, Sentencia SL3179-2019, </w:t>
      </w:r>
      <w:r w:rsidRPr="00E0295B">
        <w:rPr>
          <w:rFonts w:ascii="Tahoma" w:hAnsi="Tahoma" w:cs="Tahoma"/>
        </w:rPr>
        <w:t xml:space="preserve"> Sentencia SL1838-2019, Sentencia </w:t>
      </w:r>
      <w:r w:rsidRPr="00E0295B">
        <w:rPr>
          <w:rFonts w:ascii="Tahoma" w:hAnsi="Tahoma" w:cs="Tahoma"/>
          <w:color w:val="000000"/>
        </w:rPr>
        <w:t>SL2817-2019, Sentencia SL771-2019, Sentencia SL4296-2018, Sentencia SL2865-2019, Sentencia  SL2955-2019, Sentencia  SL2324-2019.</w:t>
      </w:r>
    </w:p>
    <w:p w14:paraId="0D8E05AF" w14:textId="77777777" w:rsidR="00C62C60" w:rsidRPr="00E0295B" w:rsidRDefault="00C62C60" w:rsidP="00E0295B">
      <w:pPr>
        <w:pStyle w:val="Prrafodelista"/>
        <w:spacing w:line="276" w:lineRule="auto"/>
        <w:ind w:left="0" w:firstLine="709"/>
        <w:jc w:val="both"/>
        <w:rPr>
          <w:rFonts w:ascii="Tahoma" w:hAnsi="Tahoma" w:cs="Tahoma"/>
        </w:rPr>
      </w:pPr>
    </w:p>
    <w:p w14:paraId="1C7CD3B5" w14:textId="77777777" w:rsidR="00C62C60" w:rsidRPr="00E0295B" w:rsidRDefault="00C62C60" w:rsidP="00E0295B">
      <w:pPr>
        <w:pStyle w:val="Prrafodelista"/>
        <w:spacing w:line="276" w:lineRule="auto"/>
        <w:ind w:left="0" w:firstLine="709"/>
        <w:jc w:val="both"/>
        <w:rPr>
          <w:rFonts w:ascii="Tahoma" w:hAnsi="Tahoma" w:cs="Tahoma"/>
          <w:spacing w:val="-4"/>
          <w:lang w:val="es-CO"/>
        </w:rPr>
      </w:pPr>
      <w:r w:rsidRPr="00E0295B">
        <w:rPr>
          <w:rFonts w:ascii="Tahoma" w:hAnsi="Tahoma" w:cs="Tahoma"/>
        </w:rPr>
        <w:t xml:space="preserve">En términos generales, en todas estas sentencias se determinó </w:t>
      </w:r>
      <w:r w:rsidRPr="00E0295B">
        <w:rPr>
          <w:rFonts w:ascii="Tahoma" w:hAnsi="Tahoma" w:cs="Tahoma"/>
          <w:i/>
        </w:rPr>
        <w:t xml:space="preserve">i) </w:t>
      </w:r>
      <w:r w:rsidRPr="00E0295B">
        <w:rPr>
          <w:rFonts w:ascii="Tahoma" w:hAnsi="Tahoma" w:cs="Tahoma"/>
        </w:rPr>
        <w:t xml:space="preserve">el alcance del deber de información a cargo de las Administradoras de Fondos de Pensiones, </w:t>
      </w:r>
      <w:r w:rsidRPr="00E0295B">
        <w:rPr>
          <w:rFonts w:ascii="Tahoma" w:hAnsi="Tahoma" w:cs="Tahoma"/>
          <w:i/>
        </w:rPr>
        <w:t xml:space="preserve">ii) </w:t>
      </w:r>
      <w:r w:rsidRPr="00E0295B">
        <w:rPr>
          <w:rFonts w:ascii="Tahoma" w:hAnsi="Tahoma" w:cs="Tahoma"/>
        </w:rPr>
        <w:t xml:space="preserve">la procedencia de la ineficacia del traslado, </w:t>
      </w:r>
      <w:r w:rsidRPr="00E0295B">
        <w:rPr>
          <w:rFonts w:ascii="Tahoma" w:hAnsi="Tahoma" w:cs="Tahoma"/>
          <w:i/>
        </w:rPr>
        <w:t xml:space="preserve">iii) </w:t>
      </w:r>
      <w:r w:rsidRPr="00E0295B">
        <w:rPr>
          <w:rFonts w:ascii="Tahoma" w:hAnsi="Tahoma" w:cs="Tahoma"/>
        </w:rPr>
        <w:t>la inversión de la carga de la prueba en favor del afiliado.</w:t>
      </w:r>
      <w:r w:rsidRPr="00E0295B">
        <w:rPr>
          <w:rFonts w:ascii="Tahoma" w:hAnsi="Tahoma" w:cs="Tahoma"/>
          <w:spacing w:val="-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7BD29084" w14:textId="77777777" w:rsidR="00C62C60" w:rsidRPr="00E0295B" w:rsidRDefault="00C62C60" w:rsidP="00E0295B">
      <w:pPr>
        <w:pStyle w:val="Prrafodelista"/>
        <w:tabs>
          <w:tab w:val="left" w:pos="-720"/>
        </w:tabs>
        <w:suppressAutoHyphens/>
        <w:spacing w:line="276" w:lineRule="auto"/>
        <w:ind w:left="644"/>
        <w:rPr>
          <w:rFonts w:ascii="Tahoma" w:hAnsi="Tahoma" w:cs="Tahoma"/>
          <w:spacing w:val="-3"/>
          <w:kern w:val="2"/>
        </w:rPr>
      </w:pPr>
    </w:p>
    <w:p w14:paraId="57FF24A1" w14:textId="77777777" w:rsidR="00C62C60" w:rsidRPr="00E0295B" w:rsidRDefault="00C62C60" w:rsidP="005B249A">
      <w:pPr>
        <w:pStyle w:val="Prrafodelista"/>
        <w:numPr>
          <w:ilvl w:val="1"/>
          <w:numId w:val="6"/>
        </w:numPr>
        <w:tabs>
          <w:tab w:val="left" w:pos="1418"/>
        </w:tabs>
        <w:spacing w:line="276" w:lineRule="auto"/>
        <w:ind w:left="0" w:firstLine="709"/>
        <w:jc w:val="both"/>
        <w:rPr>
          <w:rFonts w:ascii="Tahoma" w:hAnsi="Tahoma" w:cs="Tahoma"/>
          <w:b/>
          <w:i/>
          <w:spacing w:val="-4"/>
        </w:rPr>
      </w:pPr>
      <w:r w:rsidRPr="00E0295B">
        <w:rPr>
          <w:rFonts w:ascii="Tahoma" w:hAnsi="Tahoma" w:cs="Tahoma"/>
          <w:b/>
          <w:i/>
          <w:spacing w:val="-4"/>
        </w:rPr>
        <w:t>“El deber de información a cargo de las administradoras de fondos de pensiones: Un deber exigible desde su creación</w:t>
      </w:r>
      <w:r w:rsidRPr="00E0295B">
        <w:rPr>
          <w:rStyle w:val="Refdenotaalpie"/>
          <w:rFonts w:ascii="Tahoma" w:hAnsi="Tahoma" w:cs="Tahoma"/>
          <w:b/>
          <w:i/>
          <w:spacing w:val="-4"/>
        </w:rPr>
        <w:footnoteReference w:id="1"/>
      </w:r>
      <w:r w:rsidRPr="00E0295B">
        <w:rPr>
          <w:rFonts w:ascii="Tahoma" w:hAnsi="Tahoma" w:cs="Tahoma"/>
          <w:b/>
          <w:i/>
          <w:spacing w:val="-4"/>
        </w:rPr>
        <w:t>”</w:t>
      </w:r>
    </w:p>
    <w:p w14:paraId="3E45533D" w14:textId="77777777" w:rsidR="00C62C60" w:rsidRPr="00E0295B" w:rsidRDefault="00C62C60" w:rsidP="00E0295B">
      <w:pPr>
        <w:pStyle w:val="Prrafodelista"/>
        <w:tabs>
          <w:tab w:val="left" w:pos="-720"/>
        </w:tabs>
        <w:suppressAutoHyphens/>
        <w:spacing w:line="276" w:lineRule="auto"/>
        <w:ind w:left="644"/>
        <w:rPr>
          <w:rFonts w:ascii="Tahoma" w:hAnsi="Tahoma" w:cs="Tahoma"/>
          <w:i/>
          <w:spacing w:val="-3"/>
          <w:kern w:val="2"/>
        </w:rPr>
      </w:pPr>
    </w:p>
    <w:p w14:paraId="04971A23" w14:textId="77777777" w:rsidR="00C62C60" w:rsidRPr="00E0295B" w:rsidRDefault="00C62C60" w:rsidP="00E0295B">
      <w:pPr>
        <w:tabs>
          <w:tab w:val="left" w:pos="-720"/>
        </w:tabs>
        <w:suppressAutoHyphens/>
        <w:spacing w:line="276" w:lineRule="auto"/>
        <w:rPr>
          <w:rFonts w:ascii="Tahoma" w:hAnsi="Tahoma" w:cs="Tahoma"/>
          <w:spacing w:val="-3"/>
          <w:kern w:val="2"/>
          <w:sz w:val="24"/>
          <w:szCs w:val="24"/>
        </w:rPr>
      </w:pPr>
      <w:r w:rsidRPr="00E0295B">
        <w:rPr>
          <w:rFonts w:ascii="Tahoma" w:hAnsi="Tahoma" w:cs="Tahoma"/>
          <w:spacing w:val="-3"/>
          <w:kern w:val="2"/>
          <w:sz w:val="24"/>
          <w:szCs w:val="24"/>
        </w:rPr>
        <w:t xml:space="preserve">Dado que las Administradoras de Fondos de Pensiones son organismos profesionales, resulta aplicable el artículo 1604 del Código Civil, según el cual la prueba de la </w:t>
      </w:r>
      <w:r w:rsidRPr="00E0295B">
        <w:rPr>
          <w:rFonts w:ascii="Tahoma" w:hAnsi="Tahoma" w:cs="Tahoma"/>
          <w:spacing w:val="-3"/>
          <w:kern w:val="2"/>
          <w:sz w:val="24"/>
          <w:szCs w:val="24"/>
          <w:u w:val="single"/>
        </w:rPr>
        <w:t>debida diligencia y cuidado</w:t>
      </w:r>
      <w:r w:rsidRPr="00E0295B">
        <w:rPr>
          <w:rFonts w:ascii="Tahoma" w:hAnsi="Tahoma" w:cs="Tahoma"/>
          <w:spacing w:val="-3"/>
          <w:kern w:val="2"/>
          <w:sz w:val="24"/>
          <w:szCs w:val="24"/>
        </w:rPr>
        <w:t xml:space="preserve"> incumbe a quien ha debido emplearla, atendiendo a las siguientes razones:</w:t>
      </w:r>
    </w:p>
    <w:p w14:paraId="33D2756D" w14:textId="77777777" w:rsidR="00C62C60" w:rsidRPr="00E0295B" w:rsidRDefault="00C62C60" w:rsidP="00E0295B">
      <w:pPr>
        <w:pStyle w:val="Prrafodelista"/>
        <w:tabs>
          <w:tab w:val="left" w:pos="-720"/>
        </w:tabs>
        <w:suppressAutoHyphens/>
        <w:spacing w:line="276" w:lineRule="auto"/>
        <w:ind w:left="644"/>
        <w:jc w:val="both"/>
        <w:rPr>
          <w:rFonts w:ascii="Tahoma" w:hAnsi="Tahoma" w:cs="Tahoma"/>
          <w:b/>
          <w:spacing w:val="-3"/>
          <w:kern w:val="2"/>
        </w:rPr>
      </w:pPr>
    </w:p>
    <w:p w14:paraId="2BEF9FBB" w14:textId="77777777" w:rsidR="00C62C60" w:rsidRPr="00E0295B" w:rsidRDefault="00C62C60" w:rsidP="00E0295B">
      <w:pPr>
        <w:pStyle w:val="Prrafodelista"/>
        <w:tabs>
          <w:tab w:val="left" w:pos="-720"/>
        </w:tabs>
        <w:suppressAutoHyphens/>
        <w:spacing w:line="276" w:lineRule="auto"/>
        <w:ind w:left="0" w:firstLine="709"/>
        <w:jc w:val="both"/>
        <w:rPr>
          <w:rFonts w:ascii="Tahoma" w:hAnsi="Tahoma" w:cs="Tahoma"/>
          <w:spacing w:val="-3"/>
          <w:kern w:val="2"/>
        </w:rPr>
      </w:pPr>
      <w:r w:rsidRPr="00E0295B">
        <w:rPr>
          <w:rFonts w:ascii="Tahoma" w:hAnsi="Tahoma" w:cs="Tahoma"/>
          <w:b/>
          <w:spacing w:val="-3"/>
          <w:kern w:val="2"/>
        </w:rPr>
        <w:t>1)</w:t>
      </w:r>
      <w:r w:rsidRPr="00E0295B">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E0295B">
        <w:rPr>
          <w:rFonts w:ascii="Tahoma" w:hAnsi="Tahoma" w:cs="Tahoma"/>
          <w:spacing w:val="-3"/>
          <w:kern w:val="2"/>
          <w:u w:val="single"/>
        </w:rPr>
        <w:t>Decreto 663 de 1993</w:t>
      </w:r>
      <w:r w:rsidRPr="00E0295B">
        <w:rPr>
          <w:rStyle w:val="Refdenotaalpie"/>
          <w:rFonts w:ascii="Tahoma" w:hAnsi="Tahoma" w:cs="Tahoma"/>
          <w:spacing w:val="-3"/>
          <w:kern w:val="2"/>
          <w:u w:val="single"/>
        </w:rPr>
        <w:footnoteReference w:id="2"/>
      </w:r>
      <w:r w:rsidRPr="00E0295B">
        <w:rPr>
          <w:rFonts w:ascii="Tahoma" w:hAnsi="Tahoma" w:cs="Tahoma"/>
          <w:spacing w:val="-3"/>
          <w:kern w:val="2"/>
        </w:rPr>
        <w:t>, norma en la que se destaca la importancia de los principios de debida diligencia, transparencia e información cierta, suficiente y oportuna.</w:t>
      </w:r>
    </w:p>
    <w:p w14:paraId="0E828732" w14:textId="77777777" w:rsidR="00C62C60" w:rsidRPr="00E0295B" w:rsidRDefault="00C62C60" w:rsidP="00E0295B">
      <w:pPr>
        <w:pStyle w:val="Prrafodelista"/>
        <w:tabs>
          <w:tab w:val="left" w:pos="-720"/>
        </w:tabs>
        <w:suppressAutoHyphens/>
        <w:spacing w:line="276" w:lineRule="auto"/>
        <w:ind w:left="0" w:firstLine="709"/>
        <w:rPr>
          <w:rFonts w:ascii="Tahoma" w:hAnsi="Tahoma" w:cs="Tahoma"/>
          <w:spacing w:val="-3"/>
          <w:kern w:val="2"/>
        </w:rPr>
      </w:pPr>
    </w:p>
    <w:p w14:paraId="40895092" w14:textId="77777777" w:rsidR="00C62C60" w:rsidRPr="00E0295B" w:rsidRDefault="00C62C60" w:rsidP="00E0295B">
      <w:pPr>
        <w:pStyle w:val="Prrafodelista"/>
        <w:tabs>
          <w:tab w:val="left" w:pos="-720"/>
        </w:tabs>
        <w:suppressAutoHyphens/>
        <w:spacing w:line="276" w:lineRule="auto"/>
        <w:ind w:left="0" w:firstLine="709"/>
        <w:jc w:val="both"/>
        <w:rPr>
          <w:rFonts w:ascii="Tahoma" w:hAnsi="Tahoma" w:cs="Tahoma"/>
          <w:color w:val="000000"/>
        </w:rPr>
      </w:pPr>
      <w:r w:rsidRPr="00E0295B">
        <w:rPr>
          <w:rFonts w:ascii="Tahoma" w:hAnsi="Tahoma" w:cs="Tahoma"/>
          <w:b/>
          <w:spacing w:val="-3"/>
          <w:kern w:val="2"/>
        </w:rPr>
        <w:t>2)</w:t>
      </w:r>
      <w:r w:rsidRPr="00E0295B">
        <w:rPr>
          <w:rFonts w:ascii="Tahoma" w:hAnsi="Tahoma" w:cs="Tahoma"/>
          <w:spacing w:val="-3"/>
          <w:kern w:val="2"/>
        </w:rPr>
        <w:t xml:space="preserve"> Adicionalmente, se tiene previsto en el artículo 12 del Decreto 720 de 1994, que lo</w:t>
      </w:r>
      <w:r w:rsidRPr="00E0295B">
        <w:rPr>
          <w:rFonts w:ascii="Tahoma" w:hAnsi="Tahoma" w:cs="Tahoma"/>
          <w:color w:val="000000"/>
        </w:rPr>
        <w:t xml:space="preserve">s promotores que empleen las sociedades administradoras del sistema general de pensiones deberán suministrar </w:t>
      </w:r>
      <w:r w:rsidRPr="00E0295B">
        <w:rPr>
          <w:rFonts w:ascii="Tahoma" w:hAnsi="Tahoma" w:cs="Tahoma"/>
          <w:color w:val="000000"/>
          <w:u w:val="single"/>
        </w:rPr>
        <w:t>suficiente, amplia y oportuna</w:t>
      </w:r>
      <w:r w:rsidRPr="00E0295B">
        <w:rPr>
          <w:rFonts w:ascii="Tahoma" w:hAnsi="Tahoma" w:cs="Tahoma"/>
          <w:color w:val="000000"/>
        </w:rPr>
        <w:t xml:space="preserve"> información a los posibles afiliados al momento de la promoción de la afiliación y durante toda la vinculación con ocasión de las prestaciones a las cuales tenga derecho el afiliado. </w:t>
      </w:r>
    </w:p>
    <w:p w14:paraId="6EE4CED9" w14:textId="77777777" w:rsidR="00C62C60" w:rsidRPr="00E0295B" w:rsidRDefault="00C62C60" w:rsidP="00E0295B">
      <w:pPr>
        <w:pStyle w:val="Prrafodelista"/>
        <w:tabs>
          <w:tab w:val="left" w:pos="-720"/>
        </w:tabs>
        <w:suppressAutoHyphens/>
        <w:spacing w:line="276" w:lineRule="auto"/>
        <w:ind w:left="0" w:firstLine="709"/>
        <w:rPr>
          <w:rFonts w:ascii="Tahoma" w:hAnsi="Tahoma" w:cs="Tahoma"/>
          <w:spacing w:val="-3"/>
          <w:kern w:val="2"/>
        </w:rPr>
      </w:pPr>
    </w:p>
    <w:p w14:paraId="5AE0448E" w14:textId="77777777" w:rsidR="00C62C60" w:rsidRPr="00E0295B" w:rsidRDefault="00C62C60" w:rsidP="00E0295B">
      <w:pPr>
        <w:pStyle w:val="Prrafodelista"/>
        <w:tabs>
          <w:tab w:val="left" w:pos="-720"/>
        </w:tabs>
        <w:suppressAutoHyphens/>
        <w:spacing w:line="276" w:lineRule="auto"/>
        <w:ind w:left="0" w:firstLine="709"/>
        <w:jc w:val="both"/>
        <w:rPr>
          <w:rFonts w:ascii="Tahoma" w:hAnsi="Tahoma" w:cs="Tahoma"/>
          <w:spacing w:val="-3"/>
          <w:kern w:val="2"/>
        </w:rPr>
      </w:pPr>
      <w:r w:rsidRPr="00E0295B">
        <w:rPr>
          <w:rFonts w:ascii="Tahoma" w:hAnsi="Tahoma" w:cs="Tahoma"/>
          <w:b/>
          <w:spacing w:val="-3"/>
          <w:kern w:val="2"/>
        </w:rPr>
        <w:t>3)</w:t>
      </w:r>
      <w:r w:rsidRPr="00E0295B">
        <w:rPr>
          <w:rFonts w:ascii="Tahoma" w:hAnsi="Tahoma" w:cs="Tahoma"/>
          <w:spacing w:val="-3"/>
          <w:kern w:val="2"/>
        </w:rPr>
        <w:t xml:space="preserve">   Dispone el artículo 114 de la Ley 100 de 1993, que los trabajadores y servidores públicos que se trasladen por primera vez del RPM al RAIS, deberán presentar </w:t>
      </w:r>
      <w:r w:rsidRPr="00E0295B">
        <w:rPr>
          <w:rFonts w:ascii="Tahoma" w:hAnsi="Tahoma" w:cs="Tahoma"/>
          <w:spacing w:val="-3"/>
          <w:kern w:val="2"/>
        </w:rPr>
        <w:lastRenderedPageBreak/>
        <w:t>a la respectiva entidad administradora comunicación escrita en la que conste que la selección de dicho régimen se ha tomado de manera libre, espontánea y sin presiones.</w:t>
      </w:r>
    </w:p>
    <w:p w14:paraId="68B2E0D0" w14:textId="77777777" w:rsidR="00C62C60" w:rsidRPr="00E0295B" w:rsidRDefault="00C62C60" w:rsidP="00E0295B">
      <w:pPr>
        <w:pStyle w:val="Prrafodelista"/>
        <w:tabs>
          <w:tab w:val="left" w:pos="-720"/>
        </w:tabs>
        <w:suppressAutoHyphens/>
        <w:spacing w:line="276" w:lineRule="auto"/>
        <w:ind w:left="0" w:firstLine="709"/>
        <w:rPr>
          <w:rFonts w:ascii="Tahoma" w:hAnsi="Tahoma" w:cs="Tahoma"/>
          <w:spacing w:val="-3"/>
          <w:kern w:val="2"/>
        </w:rPr>
      </w:pPr>
    </w:p>
    <w:p w14:paraId="3167749D" w14:textId="5DD4BC49" w:rsidR="00C62C60" w:rsidRPr="005B249A" w:rsidRDefault="00C62C60" w:rsidP="00E0295B">
      <w:pPr>
        <w:pStyle w:val="Prrafodelista"/>
        <w:tabs>
          <w:tab w:val="left" w:pos="-720"/>
        </w:tabs>
        <w:suppressAutoHyphens/>
        <w:spacing w:line="276" w:lineRule="auto"/>
        <w:ind w:left="0" w:firstLine="709"/>
        <w:jc w:val="both"/>
        <w:rPr>
          <w:rFonts w:ascii="Tahoma" w:hAnsi="Tahoma" w:cs="Tahoma"/>
          <w:iCs/>
        </w:rPr>
      </w:pPr>
      <w:r w:rsidRPr="00E0295B">
        <w:rPr>
          <w:rFonts w:ascii="Tahoma" w:hAnsi="Tahoma" w:cs="Tahoma"/>
          <w:b/>
          <w:spacing w:val="-3"/>
          <w:kern w:val="2"/>
        </w:rPr>
        <w:t>4)</w:t>
      </w:r>
      <w:r w:rsidRPr="00E0295B">
        <w:rPr>
          <w:rFonts w:ascii="Tahoma" w:hAnsi="Tahoma" w:cs="Tahoma"/>
          <w:spacing w:val="-3"/>
          <w:kern w:val="2"/>
        </w:rPr>
        <w:t xml:space="preserve"> En numerosas sentencias del órgano de cierre de la jurisdicción ordinaria laboral, se ha establecido que no puede argüirse que </w:t>
      </w:r>
      <w:r w:rsidRPr="00E0295B">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E0295B">
        <w:rPr>
          <w:rFonts w:ascii="Tahoma" w:hAnsi="Tahoma" w:cs="Tahoma"/>
          <w:i/>
          <w:iCs/>
        </w:rPr>
        <w:t>“</w:t>
      </w:r>
      <w:r w:rsidRPr="005B249A">
        <w:rPr>
          <w:rFonts w:ascii="Tahoma" w:hAnsi="Tahoma" w:cs="Tahoma"/>
          <w:i/>
          <w:iCs/>
          <w:sz w:val="22"/>
          <w:u w:val="single"/>
        </w:rPr>
        <w:t>dar cuenta de que documentaron clara y suficientemente los efectos que acarrea el cambio de régimen, so pena de declarar ineficaz ese tránsito</w:t>
      </w:r>
      <w:r w:rsidRPr="005B249A">
        <w:rPr>
          <w:rFonts w:ascii="Tahoma" w:hAnsi="Tahoma" w:cs="Tahoma"/>
          <w:i/>
          <w:iCs/>
        </w:rPr>
        <w:t>”</w:t>
      </w:r>
      <w:r w:rsidRPr="005B249A">
        <w:rPr>
          <w:rFonts w:ascii="Tahoma" w:hAnsi="Tahoma" w:cs="Tahoma"/>
          <w:iCs/>
        </w:rPr>
        <w:t>.</w:t>
      </w:r>
    </w:p>
    <w:p w14:paraId="68F177D6" w14:textId="77777777" w:rsidR="00C62C60" w:rsidRPr="00E0295B" w:rsidRDefault="00C62C60" w:rsidP="00E0295B">
      <w:pPr>
        <w:pStyle w:val="Prrafodelista"/>
        <w:tabs>
          <w:tab w:val="left" w:pos="-720"/>
        </w:tabs>
        <w:suppressAutoHyphens/>
        <w:spacing w:line="276" w:lineRule="auto"/>
        <w:ind w:left="644"/>
        <w:rPr>
          <w:rFonts w:ascii="Tahoma" w:hAnsi="Tahoma" w:cs="Tahoma"/>
          <w:iCs/>
          <w:u w:val="single"/>
        </w:rPr>
      </w:pPr>
    </w:p>
    <w:p w14:paraId="128F2D8D" w14:textId="77777777" w:rsidR="00C62C60" w:rsidRPr="00E0295B" w:rsidRDefault="00C62C60" w:rsidP="00E0295B">
      <w:pPr>
        <w:pStyle w:val="Prrafodelista"/>
        <w:tabs>
          <w:tab w:val="left" w:pos="-720"/>
        </w:tabs>
        <w:suppressAutoHyphens/>
        <w:spacing w:line="276" w:lineRule="auto"/>
        <w:ind w:left="0"/>
        <w:jc w:val="both"/>
        <w:rPr>
          <w:rFonts w:ascii="Tahoma" w:hAnsi="Tahoma" w:cs="Tahoma"/>
          <w:iCs/>
        </w:rPr>
      </w:pPr>
      <w:r w:rsidRPr="00E0295B">
        <w:rPr>
          <w:rFonts w:ascii="Tahoma" w:hAnsi="Tahoma" w:cs="Tahoma"/>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19D347C7" w14:textId="77777777" w:rsidR="00C62C60" w:rsidRPr="00E0295B" w:rsidRDefault="00C62C60" w:rsidP="00E0295B">
      <w:pPr>
        <w:pStyle w:val="Prrafodelista"/>
        <w:tabs>
          <w:tab w:val="left" w:pos="-720"/>
        </w:tabs>
        <w:suppressAutoHyphens/>
        <w:spacing w:line="276" w:lineRule="auto"/>
        <w:ind w:left="0"/>
        <w:rPr>
          <w:rFonts w:ascii="Tahoma" w:hAnsi="Tahoma" w:cs="Tahoma"/>
          <w:iCs/>
        </w:rPr>
      </w:pPr>
    </w:p>
    <w:p w14:paraId="597550B1" w14:textId="77777777" w:rsidR="00C62C60" w:rsidRPr="00E0295B" w:rsidRDefault="00C62C60" w:rsidP="00E0295B">
      <w:pPr>
        <w:pStyle w:val="Prrafodelista"/>
        <w:tabs>
          <w:tab w:val="left" w:pos="-720"/>
        </w:tabs>
        <w:suppressAutoHyphens/>
        <w:spacing w:line="276" w:lineRule="auto"/>
        <w:ind w:left="0"/>
        <w:jc w:val="both"/>
        <w:rPr>
          <w:rFonts w:ascii="Tahoma" w:hAnsi="Tahoma" w:cs="Tahoma"/>
          <w:iCs/>
        </w:rPr>
      </w:pPr>
      <w:r w:rsidRPr="00E0295B">
        <w:rPr>
          <w:rFonts w:ascii="Tahoma" w:hAnsi="Tahoma" w:cs="Tahoma"/>
          <w:iC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04A5875F" w14:textId="77777777" w:rsidR="00C62C60" w:rsidRPr="00E0295B" w:rsidRDefault="00C62C60" w:rsidP="00E0295B">
      <w:pPr>
        <w:pStyle w:val="Prrafodelista"/>
        <w:tabs>
          <w:tab w:val="left" w:pos="-720"/>
        </w:tabs>
        <w:suppressAutoHyphens/>
        <w:spacing w:line="276" w:lineRule="auto"/>
        <w:ind w:left="0"/>
        <w:rPr>
          <w:rFonts w:ascii="Tahoma" w:hAnsi="Tahoma" w:cs="Tahoma"/>
          <w:iCs/>
        </w:rPr>
      </w:pPr>
    </w:p>
    <w:p w14:paraId="5D46FEA8" w14:textId="77777777" w:rsidR="00C62C60" w:rsidRPr="00E0295B" w:rsidRDefault="00C62C60" w:rsidP="00E0295B">
      <w:pPr>
        <w:pStyle w:val="Prrafodelista"/>
        <w:tabs>
          <w:tab w:val="left" w:pos="-720"/>
        </w:tabs>
        <w:suppressAutoHyphens/>
        <w:spacing w:line="276" w:lineRule="auto"/>
        <w:ind w:left="0"/>
        <w:jc w:val="both"/>
        <w:rPr>
          <w:rFonts w:ascii="Tahoma" w:hAnsi="Tahoma" w:cs="Tahoma"/>
        </w:rPr>
      </w:pPr>
      <w:r w:rsidRPr="00E0295B">
        <w:rPr>
          <w:rFonts w:ascii="Tahoma" w:hAnsi="Tahoma" w:cs="Tahoma"/>
        </w:rPr>
        <w:tab/>
        <w:t xml:space="preserve">Ello así, también ha dicho el órgano de cierre de la especialidad laboral, que las </w:t>
      </w:r>
      <w:proofErr w:type="spellStart"/>
      <w:r w:rsidRPr="00E0295B">
        <w:rPr>
          <w:rFonts w:ascii="Tahoma" w:hAnsi="Tahoma" w:cs="Tahoma"/>
        </w:rPr>
        <w:t>AFPs</w:t>
      </w:r>
      <w:proofErr w:type="spellEnd"/>
      <w:r w:rsidRPr="00E0295B">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07A46740" w14:textId="77777777" w:rsidR="00C62C60" w:rsidRPr="00E0295B" w:rsidRDefault="00C62C60" w:rsidP="00E0295B">
      <w:pPr>
        <w:pStyle w:val="Prrafodelista"/>
        <w:tabs>
          <w:tab w:val="left" w:pos="-720"/>
        </w:tabs>
        <w:suppressAutoHyphens/>
        <w:spacing w:line="276" w:lineRule="auto"/>
        <w:ind w:left="644"/>
        <w:rPr>
          <w:rFonts w:ascii="Tahoma" w:hAnsi="Tahoma" w:cs="Tahoma"/>
          <w:iCs/>
        </w:rPr>
      </w:pPr>
    </w:p>
    <w:p w14:paraId="4919AB29" w14:textId="77777777" w:rsidR="00C62C60" w:rsidRPr="00E0295B" w:rsidRDefault="00C62C60" w:rsidP="00E0295B">
      <w:pPr>
        <w:pStyle w:val="Prrafodelista"/>
        <w:spacing w:line="276" w:lineRule="auto"/>
        <w:ind w:left="0" w:firstLine="708"/>
        <w:jc w:val="both"/>
        <w:rPr>
          <w:rFonts w:ascii="Tahoma" w:hAnsi="Tahoma" w:cs="Tahoma"/>
        </w:rPr>
      </w:pPr>
      <w:r w:rsidRPr="00E0295B">
        <w:rPr>
          <w:rFonts w:ascii="Tahoma" w:hAnsi="Tahoma" w:cs="Tahoma"/>
        </w:rPr>
        <w:t>Ahora bien, como quiera que uno de los argumentos de la defensa de las AFP es que la normatividad del deber de información se ha venido dando paulatinamente, vale la pena citar la sentencia SL 1688</w:t>
      </w:r>
      <w:r w:rsidR="00956075" w:rsidRPr="00E0295B">
        <w:rPr>
          <w:rFonts w:ascii="Tahoma" w:hAnsi="Tahoma" w:cs="Tahoma"/>
        </w:rPr>
        <w:t xml:space="preserve"> del 8 de mayo de 2019</w:t>
      </w:r>
      <w:r w:rsidRPr="00E0295B">
        <w:rPr>
          <w:rFonts w:ascii="Tahoma" w:hAnsi="Tahoma" w:cs="Tahoma"/>
        </w:rPr>
        <w:t xml:space="preserve">, Radicado 68838, con Ponencia de la Dra. Clara Cecilia Dueñas Quevedo, donde </w:t>
      </w:r>
      <w:r w:rsidRPr="00E0295B">
        <w:rPr>
          <w:rFonts w:ascii="Tahoma" w:hAnsi="Tahoma" w:cs="Tahoma"/>
          <w:spacing w:val="-4"/>
          <w:lang w:val="es-CO"/>
        </w:rPr>
        <w:t>se hace un didáctico recuento histórico de las normas que rigen la actividad de los Fondos de Pensiones privados, dividiéndolo en 3 etapas, de cuyo análisis se llega a la conclusión de que a las AFP</w:t>
      </w:r>
      <w:r w:rsidRPr="00E0295B">
        <w:rPr>
          <w:rFonts w:ascii="Tahoma" w:hAnsi="Tahoma" w:cs="Tahoma"/>
        </w:rPr>
        <w:t xml:space="preserve"> les compete, desde su creación, el deber de suministrar una información </w:t>
      </w:r>
      <w:r w:rsidRPr="00E0295B">
        <w:rPr>
          <w:rFonts w:ascii="Tahoma" w:hAnsi="Tahoma" w:cs="Tahoma"/>
          <w:b/>
        </w:rPr>
        <w:t xml:space="preserve">necesaria y transparente, </w:t>
      </w:r>
      <w:r w:rsidRPr="00E0295B">
        <w:rPr>
          <w:rFonts w:ascii="Tahoma" w:hAnsi="Tahoma" w:cs="Tahoma"/>
        </w:rPr>
        <w:t xml:space="preserve">que con el </w:t>
      </w:r>
      <w:r w:rsidRPr="00E0295B">
        <w:rPr>
          <w:rFonts w:ascii="Tahoma" w:hAnsi="Tahoma" w:cs="Tahoma"/>
          <w:spacing w:val="-4"/>
          <w:lang w:val="es-CO"/>
        </w:rPr>
        <w:t xml:space="preserve">transcurrir del tiempo esta exigencia cambió, pasando de un deber de información necesaria al de </w:t>
      </w:r>
      <w:r w:rsidRPr="00E0295B">
        <w:rPr>
          <w:rFonts w:ascii="Tahoma" w:hAnsi="Tahoma" w:cs="Tahoma"/>
          <w:b/>
          <w:spacing w:val="-4"/>
          <w:lang w:val="es-CO"/>
        </w:rPr>
        <w:t>asesoría y buen consejo</w:t>
      </w:r>
      <w:r w:rsidRPr="00E0295B">
        <w:rPr>
          <w:rFonts w:ascii="Tahoma" w:hAnsi="Tahoma" w:cs="Tahoma"/>
          <w:spacing w:val="-4"/>
          <w:lang w:val="es-CO"/>
        </w:rPr>
        <w:t xml:space="preserve">, y finalmente al de </w:t>
      </w:r>
      <w:r w:rsidRPr="00E0295B">
        <w:rPr>
          <w:rFonts w:ascii="Tahoma" w:hAnsi="Tahoma" w:cs="Tahoma"/>
          <w:b/>
          <w:spacing w:val="-4"/>
          <w:lang w:val="es-CO"/>
        </w:rPr>
        <w:t>doble asesoría</w:t>
      </w:r>
      <w:r w:rsidRPr="00E0295B">
        <w:rPr>
          <w:rFonts w:ascii="Tahoma" w:hAnsi="Tahoma" w:cs="Tahoma"/>
          <w:spacing w:val="-4"/>
          <w:lang w:val="es-CO"/>
        </w:rPr>
        <w:t xml:space="preserve">, </w:t>
      </w:r>
      <w:r w:rsidRPr="00E0295B">
        <w:rPr>
          <w:rFonts w:ascii="Tahoma" w:hAnsi="Tahoma" w:cs="Tahoma"/>
        </w:rPr>
        <w:t>explicando en qué consiste cada uno de esos conceptos. Dicho recuento histórico, se compendia de la siguiente manera:</w:t>
      </w:r>
    </w:p>
    <w:p w14:paraId="78C82479" w14:textId="77777777" w:rsidR="00C62C60" w:rsidRPr="00E0295B" w:rsidRDefault="00C62C60" w:rsidP="00E0295B">
      <w:pPr>
        <w:pStyle w:val="Prrafodelista"/>
        <w:tabs>
          <w:tab w:val="left" w:pos="-720"/>
        </w:tabs>
        <w:suppressAutoHyphens/>
        <w:spacing w:line="276" w:lineRule="auto"/>
        <w:ind w:left="644"/>
        <w:rPr>
          <w:rFonts w:ascii="Tahoma" w:hAnsi="Tahoma" w:cs="Tahoma"/>
          <w:spacing w:val="-3"/>
          <w:kern w:val="2"/>
        </w:rPr>
      </w:pPr>
    </w:p>
    <w:p w14:paraId="66A4D48B" w14:textId="77777777" w:rsidR="00E0295B" w:rsidRPr="00E0295B" w:rsidRDefault="00E0295B" w:rsidP="00E0295B">
      <w:pPr>
        <w:spacing w:line="240" w:lineRule="auto"/>
        <w:ind w:left="426" w:right="420" w:firstLine="0"/>
        <w:textAlignment w:val="baseline"/>
        <w:rPr>
          <w:rFonts w:ascii="Tahoma" w:eastAsia="Times New Roman" w:hAnsi="Tahoma" w:cs="Tahoma"/>
          <w:szCs w:val="24"/>
          <w:lang w:eastAsia="es-ES"/>
        </w:rPr>
      </w:pPr>
      <w:r w:rsidRPr="00E0295B">
        <w:rPr>
          <w:rFonts w:ascii="Tahoma" w:eastAsia="Times New Roman" w:hAnsi="Tahoma" w:cs="Tahoma"/>
          <w:i/>
          <w:iCs/>
          <w:szCs w:val="24"/>
          <w:lang w:val="es-CO" w:eastAsia="es-ES"/>
        </w:rPr>
        <w:lastRenderedPageBreak/>
        <w:t>“El anterior recuento sobre la evolución normativa del deber de información a cargo de las administradoras de pensiones podría, a grandes rasgos, sintetizarse así:</w:t>
      </w:r>
    </w:p>
    <w:p w14:paraId="5C7ACEF5" w14:textId="77777777" w:rsidR="00E0295B" w:rsidRPr="00E0295B" w:rsidRDefault="00E0295B" w:rsidP="00E0295B">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E0295B" w:rsidRPr="00E0295B" w14:paraId="6804BFBC"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E626D82" w14:textId="77777777" w:rsidR="00E0295B" w:rsidRPr="00E0295B" w:rsidRDefault="00E0295B" w:rsidP="00E0295B">
            <w:pPr>
              <w:spacing w:line="276" w:lineRule="auto"/>
              <w:ind w:firstLine="0"/>
              <w:textAlignment w:val="baseline"/>
              <w:rPr>
                <w:rFonts w:ascii="Tahoma" w:eastAsia="Times New Roman" w:hAnsi="Tahoma" w:cs="Tahoma"/>
                <w:sz w:val="20"/>
                <w:szCs w:val="24"/>
                <w:lang w:eastAsia="es-ES"/>
              </w:rPr>
            </w:pPr>
            <w:r w:rsidRPr="00E0295B">
              <w:rPr>
                <w:rFonts w:ascii="Tahoma" w:eastAsia="Times New Roman" w:hAnsi="Tahoma" w:cs="Tahoma"/>
                <w:b/>
                <w:bCs/>
                <w:i/>
                <w:iCs/>
                <w:sz w:val="20"/>
                <w:szCs w:val="24"/>
                <w:lang w:val="es-CO" w:eastAsia="es-ES"/>
              </w:rPr>
              <w:t>Etapa acumulativa</w:t>
            </w:r>
            <w:r w:rsidRPr="00E0295B">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11012A1" w14:textId="77777777" w:rsidR="00E0295B" w:rsidRPr="00E0295B" w:rsidRDefault="00E0295B" w:rsidP="00E0295B">
            <w:pPr>
              <w:spacing w:line="276" w:lineRule="auto"/>
              <w:ind w:firstLine="0"/>
              <w:textAlignment w:val="baseline"/>
              <w:rPr>
                <w:rFonts w:ascii="Tahoma" w:eastAsia="Times New Roman" w:hAnsi="Tahoma" w:cs="Tahoma"/>
                <w:sz w:val="20"/>
                <w:szCs w:val="24"/>
                <w:lang w:eastAsia="es-ES"/>
              </w:rPr>
            </w:pPr>
            <w:r w:rsidRPr="00E0295B">
              <w:rPr>
                <w:rFonts w:ascii="Tahoma" w:eastAsia="Times New Roman" w:hAnsi="Tahoma" w:cs="Tahoma"/>
                <w:b/>
                <w:bCs/>
                <w:i/>
                <w:iCs/>
                <w:sz w:val="20"/>
                <w:szCs w:val="24"/>
                <w:lang w:val="es-CO" w:eastAsia="es-ES"/>
              </w:rPr>
              <w:t>Normas que obligan a las administradoras de pensiones a dar información</w:t>
            </w:r>
            <w:r w:rsidRPr="00E0295B">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0A794CF" w14:textId="77777777" w:rsidR="00E0295B" w:rsidRPr="00E0295B" w:rsidRDefault="00E0295B" w:rsidP="00E0295B">
            <w:pPr>
              <w:spacing w:line="276" w:lineRule="auto"/>
              <w:ind w:firstLine="0"/>
              <w:textAlignment w:val="baseline"/>
              <w:rPr>
                <w:rFonts w:ascii="Tahoma" w:eastAsia="Times New Roman" w:hAnsi="Tahoma" w:cs="Tahoma"/>
                <w:sz w:val="20"/>
                <w:szCs w:val="24"/>
                <w:lang w:eastAsia="es-ES"/>
              </w:rPr>
            </w:pPr>
            <w:r w:rsidRPr="00E0295B">
              <w:rPr>
                <w:rFonts w:ascii="Tahoma" w:eastAsia="Times New Roman" w:hAnsi="Tahoma" w:cs="Tahoma"/>
                <w:b/>
                <w:bCs/>
                <w:i/>
                <w:iCs/>
                <w:sz w:val="20"/>
                <w:szCs w:val="24"/>
                <w:lang w:val="es-CO" w:eastAsia="es-ES"/>
              </w:rPr>
              <w:t>Contenido mínimo y alcance del deber de información</w:t>
            </w:r>
            <w:r w:rsidRPr="00E0295B">
              <w:rPr>
                <w:rFonts w:ascii="Tahoma" w:eastAsia="Times New Roman" w:hAnsi="Tahoma" w:cs="Tahoma"/>
                <w:sz w:val="20"/>
                <w:szCs w:val="24"/>
                <w:lang w:eastAsia="es-ES"/>
              </w:rPr>
              <w:t> </w:t>
            </w:r>
          </w:p>
        </w:tc>
      </w:tr>
      <w:tr w:rsidR="00E0295B" w:rsidRPr="00E0295B" w14:paraId="79C91530"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93C76ED" w14:textId="77777777" w:rsidR="00E0295B" w:rsidRPr="00E0295B" w:rsidRDefault="00E0295B" w:rsidP="00E0295B">
            <w:pPr>
              <w:spacing w:line="276" w:lineRule="auto"/>
              <w:ind w:firstLine="0"/>
              <w:textAlignment w:val="baseline"/>
              <w:rPr>
                <w:rFonts w:ascii="Tahoma" w:eastAsia="Times New Roman" w:hAnsi="Tahoma" w:cs="Tahoma"/>
                <w:sz w:val="20"/>
                <w:szCs w:val="24"/>
                <w:lang w:eastAsia="es-ES"/>
              </w:rPr>
            </w:pPr>
            <w:r w:rsidRPr="00E0295B">
              <w:rPr>
                <w:rFonts w:ascii="Tahoma" w:eastAsia="Times New Roman" w:hAnsi="Tahoma" w:cs="Tahoma"/>
                <w:i/>
                <w:iCs/>
                <w:sz w:val="20"/>
                <w:szCs w:val="24"/>
                <w:lang w:val="es-CO" w:eastAsia="es-ES"/>
              </w:rPr>
              <w:t>Deber de información </w:t>
            </w:r>
            <w:r w:rsidRPr="00E0295B">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FAB1D97" w14:textId="77777777" w:rsidR="00E0295B" w:rsidRPr="00E0295B" w:rsidRDefault="00E0295B" w:rsidP="00E0295B">
            <w:pPr>
              <w:spacing w:line="276" w:lineRule="auto"/>
              <w:ind w:firstLine="0"/>
              <w:textAlignment w:val="baseline"/>
              <w:rPr>
                <w:rFonts w:ascii="Tahoma" w:eastAsia="Times New Roman" w:hAnsi="Tahoma" w:cs="Tahoma"/>
                <w:sz w:val="20"/>
                <w:szCs w:val="24"/>
                <w:lang w:eastAsia="es-ES"/>
              </w:rPr>
            </w:pPr>
            <w:r w:rsidRPr="00E0295B">
              <w:rPr>
                <w:rFonts w:ascii="Tahoma" w:eastAsia="Times New Roman" w:hAnsi="Tahoma" w:cs="Tahoma"/>
                <w:i/>
                <w:iCs/>
                <w:sz w:val="20"/>
                <w:szCs w:val="24"/>
                <w:lang w:val="es-CO" w:eastAsia="es-ES"/>
              </w:rPr>
              <w:t>Arts. 13 literal b), 271 y 272 de la Ley 100 de 1993</w:t>
            </w:r>
            <w:r w:rsidRPr="00E0295B">
              <w:rPr>
                <w:rFonts w:ascii="Tahoma" w:eastAsia="Times New Roman" w:hAnsi="Tahoma" w:cs="Tahoma"/>
                <w:sz w:val="20"/>
                <w:szCs w:val="24"/>
                <w:lang w:eastAsia="es-ES"/>
              </w:rPr>
              <w:t> </w:t>
            </w:r>
          </w:p>
          <w:p w14:paraId="229B0C3D" w14:textId="77777777" w:rsidR="00E0295B" w:rsidRPr="00E0295B" w:rsidRDefault="00E0295B" w:rsidP="00E0295B">
            <w:pPr>
              <w:spacing w:line="276" w:lineRule="auto"/>
              <w:ind w:firstLine="0"/>
              <w:textAlignment w:val="baseline"/>
              <w:rPr>
                <w:rFonts w:ascii="Tahoma" w:eastAsia="Times New Roman" w:hAnsi="Tahoma" w:cs="Tahoma"/>
                <w:sz w:val="20"/>
                <w:szCs w:val="24"/>
                <w:lang w:eastAsia="es-ES"/>
              </w:rPr>
            </w:pPr>
            <w:r w:rsidRPr="00E0295B">
              <w:rPr>
                <w:rFonts w:ascii="Tahoma" w:eastAsia="Times New Roman" w:hAnsi="Tahoma" w:cs="Tahoma"/>
                <w:i/>
                <w:iCs/>
                <w:sz w:val="20"/>
                <w:szCs w:val="24"/>
                <w:lang w:eastAsia="es-ES"/>
              </w:rPr>
              <w:t>Art. 97, numeral 1 del Decreto 663 de 1993, modificado por el artículo 23 de la Ley 797 de 2003</w:t>
            </w:r>
            <w:r w:rsidRPr="00E0295B">
              <w:rPr>
                <w:rFonts w:ascii="Tahoma" w:eastAsia="Times New Roman" w:hAnsi="Tahoma" w:cs="Tahoma"/>
                <w:sz w:val="20"/>
                <w:szCs w:val="24"/>
                <w:lang w:eastAsia="es-ES"/>
              </w:rPr>
              <w:t> </w:t>
            </w:r>
          </w:p>
          <w:p w14:paraId="31314698" w14:textId="77777777" w:rsidR="00E0295B" w:rsidRPr="00E0295B" w:rsidRDefault="00E0295B" w:rsidP="00E0295B">
            <w:pPr>
              <w:spacing w:line="276" w:lineRule="auto"/>
              <w:ind w:firstLine="0"/>
              <w:textAlignment w:val="baseline"/>
              <w:rPr>
                <w:rFonts w:ascii="Tahoma" w:eastAsia="Times New Roman" w:hAnsi="Tahoma" w:cs="Tahoma"/>
                <w:sz w:val="20"/>
                <w:szCs w:val="24"/>
                <w:lang w:eastAsia="es-ES"/>
              </w:rPr>
            </w:pPr>
            <w:r w:rsidRPr="00E0295B">
              <w:rPr>
                <w:rFonts w:ascii="Tahoma" w:eastAsia="Times New Roman" w:hAnsi="Tahoma" w:cs="Tahoma"/>
                <w:i/>
                <w:iCs/>
                <w:sz w:val="20"/>
                <w:szCs w:val="24"/>
                <w:lang w:eastAsia="es-ES"/>
              </w:rPr>
              <w:t>Disposiciones constitucionales relativas al derecho a la información, no menoscabo de derechos laborales y autonomía personal</w:t>
            </w:r>
            <w:r w:rsidRPr="00E0295B">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A6E052B" w14:textId="77777777" w:rsidR="00E0295B" w:rsidRPr="00E0295B" w:rsidRDefault="00E0295B" w:rsidP="00E0295B">
            <w:pPr>
              <w:spacing w:line="276" w:lineRule="auto"/>
              <w:ind w:firstLine="0"/>
              <w:textAlignment w:val="baseline"/>
              <w:rPr>
                <w:rFonts w:ascii="Tahoma" w:eastAsia="Times New Roman" w:hAnsi="Tahoma" w:cs="Tahoma"/>
                <w:sz w:val="20"/>
                <w:szCs w:val="24"/>
                <w:lang w:eastAsia="es-ES"/>
              </w:rPr>
            </w:pPr>
            <w:r w:rsidRPr="00E0295B">
              <w:rPr>
                <w:rFonts w:ascii="Tahoma" w:eastAsia="Times New Roman" w:hAnsi="Tahoma" w:cs="Tahoma"/>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E0295B">
              <w:rPr>
                <w:rFonts w:ascii="Tahoma" w:eastAsia="Times New Roman" w:hAnsi="Tahoma" w:cs="Tahoma"/>
                <w:sz w:val="20"/>
                <w:szCs w:val="24"/>
                <w:lang w:eastAsia="es-ES"/>
              </w:rPr>
              <w:t> </w:t>
            </w:r>
          </w:p>
        </w:tc>
      </w:tr>
      <w:tr w:rsidR="00E0295B" w:rsidRPr="00E0295B" w14:paraId="3032EC87"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23ED916" w14:textId="77777777" w:rsidR="00E0295B" w:rsidRPr="00E0295B" w:rsidRDefault="00E0295B" w:rsidP="00E0295B">
            <w:pPr>
              <w:spacing w:line="276" w:lineRule="auto"/>
              <w:ind w:firstLine="0"/>
              <w:textAlignment w:val="baseline"/>
              <w:rPr>
                <w:rFonts w:ascii="Tahoma" w:eastAsia="Times New Roman" w:hAnsi="Tahoma" w:cs="Tahoma"/>
                <w:sz w:val="20"/>
                <w:szCs w:val="24"/>
                <w:lang w:eastAsia="es-ES"/>
              </w:rPr>
            </w:pPr>
            <w:r w:rsidRPr="00E0295B">
              <w:rPr>
                <w:rFonts w:ascii="Tahoma" w:eastAsia="Times New Roman" w:hAnsi="Tahoma" w:cs="Tahoma"/>
                <w:i/>
                <w:iCs/>
                <w:sz w:val="20"/>
                <w:szCs w:val="24"/>
                <w:lang w:val="es-CO" w:eastAsia="es-ES"/>
              </w:rPr>
              <w:t>Deber de información, asesoría y buen consejo</w:t>
            </w:r>
            <w:r w:rsidRPr="00E0295B">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01AE434" w14:textId="77777777" w:rsidR="00E0295B" w:rsidRPr="00E0295B" w:rsidRDefault="00E0295B" w:rsidP="00E0295B">
            <w:pPr>
              <w:spacing w:line="276" w:lineRule="auto"/>
              <w:ind w:firstLine="0"/>
              <w:textAlignment w:val="baseline"/>
              <w:rPr>
                <w:rFonts w:ascii="Tahoma" w:eastAsia="Times New Roman" w:hAnsi="Tahoma" w:cs="Tahoma"/>
                <w:sz w:val="20"/>
                <w:szCs w:val="24"/>
                <w:lang w:eastAsia="es-ES"/>
              </w:rPr>
            </w:pPr>
            <w:r w:rsidRPr="00E0295B">
              <w:rPr>
                <w:rFonts w:ascii="Tahoma" w:eastAsia="Times New Roman" w:hAnsi="Tahoma" w:cs="Tahoma"/>
                <w:i/>
                <w:iCs/>
                <w:sz w:val="20"/>
                <w:szCs w:val="24"/>
                <w:lang w:val="es-CO" w:eastAsia="es-ES"/>
              </w:rPr>
              <w:t>Artículo 3, literal c) de la Ley 1328 de 2009</w:t>
            </w:r>
            <w:r w:rsidRPr="00E0295B">
              <w:rPr>
                <w:rFonts w:ascii="Tahoma" w:eastAsia="Times New Roman" w:hAnsi="Tahoma" w:cs="Tahoma"/>
                <w:sz w:val="20"/>
                <w:szCs w:val="24"/>
                <w:lang w:eastAsia="es-ES"/>
              </w:rPr>
              <w:t> </w:t>
            </w:r>
          </w:p>
          <w:p w14:paraId="12B1761C" w14:textId="77777777" w:rsidR="00E0295B" w:rsidRPr="00E0295B" w:rsidRDefault="00E0295B" w:rsidP="00E0295B">
            <w:pPr>
              <w:spacing w:line="276" w:lineRule="auto"/>
              <w:ind w:firstLine="0"/>
              <w:textAlignment w:val="baseline"/>
              <w:rPr>
                <w:rFonts w:ascii="Tahoma" w:eastAsia="Times New Roman" w:hAnsi="Tahoma" w:cs="Tahoma"/>
                <w:sz w:val="20"/>
                <w:szCs w:val="24"/>
                <w:lang w:eastAsia="es-ES"/>
              </w:rPr>
            </w:pPr>
            <w:r w:rsidRPr="00E0295B">
              <w:rPr>
                <w:rFonts w:ascii="Tahoma" w:eastAsia="Times New Roman" w:hAnsi="Tahoma" w:cs="Tahoma"/>
                <w:i/>
                <w:iCs/>
                <w:sz w:val="20"/>
                <w:szCs w:val="24"/>
                <w:lang w:val="es-CO" w:eastAsia="es-ES"/>
              </w:rPr>
              <w:t>Decreto 2241 de 2010</w:t>
            </w:r>
            <w:r w:rsidRPr="00E0295B">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D0CD422" w14:textId="77777777" w:rsidR="00E0295B" w:rsidRPr="00E0295B" w:rsidRDefault="00E0295B" w:rsidP="00E0295B">
            <w:pPr>
              <w:spacing w:line="276" w:lineRule="auto"/>
              <w:ind w:firstLine="0"/>
              <w:textAlignment w:val="baseline"/>
              <w:rPr>
                <w:rFonts w:ascii="Tahoma" w:eastAsia="Times New Roman" w:hAnsi="Tahoma" w:cs="Tahoma"/>
                <w:sz w:val="20"/>
                <w:szCs w:val="24"/>
                <w:lang w:eastAsia="es-ES"/>
              </w:rPr>
            </w:pPr>
            <w:r w:rsidRPr="00E0295B">
              <w:rPr>
                <w:rFonts w:ascii="Tahoma" w:eastAsia="Times New Roman" w:hAnsi="Tahoma" w:cs="Tahoma"/>
                <w:i/>
                <w:iCs/>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E0295B">
              <w:rPr>
                <w:rFonts w:ascii="Tahoma" w:eastAsia="Times New Roman" w:hAnsi="Tahoma" w:cs="Tahoma"/>
                <w:sz w:val="20"/>
                <w:szCs w:val="24"/>
                <w:lang w:eastAsia="es-ES"/>
              </w:rPr>
              <w:t> </w:t>
            </w:r>
          </w:p>
        </w:tc>
      </w:tr>
      <w:tr w:rsidR="00E0295B" w:rsidRPr="00E0295B" w14:paraId="36D50F1B"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CA8B828" w14:textId="77777777" w:rsidR="00E0295B" w:rsidRPr="00E0295B" w:rsidRDefault="00E0295B" w:rsidP="00E0295B">
            <w:pPr>
              <w:spacing w:line="276" w:lineRule="auto"/>
              <w:ind w:firstLine="0"/>
              <w:textAlignment w:val="baseline"/>
              <w:rPr>
                <w:rFonts w:ascii="Tahoma" w:eastAsia="Times New Roman" w:hAnsi="Tahoma" w:cs="Tahoma"/>
                <w:sz w:val="20"/>
                <w:szCs w:val="24"/>
                <w:lang w:eastAsia="es-ES"/>
              </w:rPr>
            </w:pPr>
            <w:r w:rsidRPr="00E0295B">
              <w:rPr>
                <w:rFonts w:ascii="Tahoma" w:eastAsia="Times New Roman" w:hAnsi="Tahoma" w:cs="Tahoma"/>
                <w:i/>
                <w:iCs/>
                <w:sz w:val="20"/>
                <w:szCs w:val="24"/>
                <w:lang w:val="es-CO" w:eastAsia="es-ES"/>
              </w:rPr>
              <w:t>Deber de información, asesoría, buen consejo y doble asesoría. </w:t>
            </w:r>
            <w:r w:rsidRPr="00E0295B">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FADAA73" w14:textId="77777777" w:rsidR="00E0295B" w:rsidRPr="00E0295B" w:rsidRDefault="00E0295B" w:rsidP="00E0295B">
            <w:pPr>
              <w:spacing w:line="276" w:lineRule="auto"/>
              <w:ind w:firstLine="0"/>
              <w:textAlignment w:val="baseline"/>
              <w:rPr>
                <w:rFonts w:ascii="Tahoma" w:eastAsia="Times New Roman" w:hAnsi="Tahoma" w:cs="Tahoma"/>
                <w:sz w:val="20"/>
                <w:szCs w:val="24"/>
                <w:lang w:eastAsia="es-ES"/>
              </w:rPr>
            </w:pPr>
            <w:r w:rsidRPr="00E0295B">
              <w:rPr>
                <w:rFonts w:ascii="Tahoma" w:eastAsia="Times New Roman" w:hAnsi="Tahoma" w:cs="Tahoma"/>
                <w:i/>
                <w:iCs/>
                <w:sz w:val="20"/>
                <w:szCs w:val="24"/>
                <w:lang w:val="es-CO" w:eastAsia="es-ES"/>
              </w:rPr>
              <w:t>Ley 1748 de 2014</w:t>
            </w:r>
            <w:r w:rsidRPr="00E0295B">
              <w:rPr>
                <w:rFonts w:ascii="Tahoma" w:eastAsia="Times New Roman" w:hAnsi="Tahoma" w:cs="Tahoma"/>
                <w:sz w:val="20"/>
                <w:szCs w:val="24"/>
                <w:lang w:eastAsia="es-ES"/>
              </w:rPr>
              <w:t> </w:t>
            </w:r>
          </w:p>
          <w:p w14:paraId="2470E867" w14:textId="77777777" w:rsidR="00E0295B" w:rsidRPr="00E0295B" w:rsidRDefault="00E0295B" w:rsidP="00E0295B">
            <w:pPr>
              <w:spacing w:line="276" w:lineRule="auto"/>
              <w:ind w:firstLine="0"/>
              <w:textAlignment w:val="baseline"/>
              <w:rPr>
                <w:rFonts w:ascii="Tahoma" w:eastAsia="Times New Roman" w:hAnsi="Tahoma" w:cs="Tahoma"/>
                <w:sz w:val="20"/>
                <w:szCs w:val="24"/>
                <w:lang w:eastAsia="es-ES"/>
              </w:rPr>
            </w:pPr>
            <w:r w:rsidRPr="00E0295B">
              <w:rPr>
                <w:rFonts w:ascii="Tahoma" w:eastAsia="Times New Roman" w:hAnsi="Tahoma" w:cs="Tahoma"/>
                <w:i/>
                <w:iCs/>
                <w:sz w:val="20"/>
                <w:szCs w:val="24"/>
                <w:lang w:val="es-CO" w:eastAsia="es-ES"/>
              </w:rPr>
              <w:t>Artículo 3 del Decreto 2071 de 2015</w:t>
            </w:r>
            <w:r w:rsidRPr="00E0295B">
              <w:rPr>
                <w:rFonts w:ascii="Tahoma" w:eastAsia="Times New Roman" w:hAnsi="Tahoma" w:cs="Tahoma"/>
                <w:sz w:val="20"/>
                <w:szCs w:val="24"/>
                <w:lang w:eastAsia="es-ES"/>
              </w:rPr>
              <w:t> </w:t>
            </w:r>
          </w:p>
          <w:p w14:paraId="1A907D1B" w14:textId="77777777" w:rsidR="00E0295B" w:rsidRPr="00E0295B" w:rsidRDefault="00E0295B" w:rsidP="00E0295B">
            <w:pPr>
              <w:spacing w:line="276" w:lineRule="auto"/>
              <w:ind w:firstLine="0"/>
              <w:textAlignment w:val="baseline"/>
              <w:rPr>
                <w:rFonts w:ascii="Tahoma" w:eastAsia="Times New Roman" w:hAnsi="Tahoma" w:cs="Tahoma"/>
                <w:sz w:val="20"/>
                <w:szCs w:val="24"/>
                <w:lang w:eastAsia="es-ES"/>
              </w:rPr>
            </w:pPr>
            <w:r w:rsidRPr="00E0295B">
              <w:rPr>
                <w:rFonts w:ascii="Tahoma" w:eastAsia="Times New Roman" w:hAnsi="Tahoma" w:cs="Tahoma"/>
                <w:i/>
                <w:iCs/>
                <w:sz w:val="20"/>
                <w:szCs w:val="24"/>
                <w:lang w:val="es-CO" w:eastAsia="es-ES"/>
              </w:rPr>
              <w:t>Circular Externa n. 016 de 2016</w:t>
            </w:r>
            <w:r w:rsidRPr="00E0295B">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41C2570" w14:textId="77777777" w:rsidR="00E0295B" w:rsidRPr="00E0295B" w:rsidRDefault="00E0295B" w:rsidP="00E0295B">
            <w:pPr>
              <w:spacing w:line="276" w:lineRule="auto"/>
              <w:ind w:firstLine="0"/>
              <w:textAlignment w:val="baseline"/>
              <w:rPr>
                <w:rFonts w:ascii="Tahoma" w:eastAsia="Times New Roman" w:hAnsi="Tahoma" w:cs="Tahoma"/>
                <w:sz w:val="20"/>
                <w:szCs w:val="24"/>
                <w:lang w:eastAsia="es-ES"/>
              </w:rPr>
            </w:pPr>
            <w:r w:rsidRPr="00E0295B">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E0295B">
              <w:rPr>
                <w:rFonts w:ascii="Tahoma" w:eastAsia="Times New Roman" w:hAnsi="Tahoma" w:cs="Tahoma"/>
                <w:sz w:val="20"/>
                <w:szCs w:val="24"/>
                <w:lang w:eastAsia="es-ES"/>
              </w:rPr>
              <w:t> </w:t>
            </w:r>
          </w:p>
        </w:tc>
      </w:tr>
    </w:tbl>
    <w:p w14:paraId="26B15B59" w14:textId="77777777" w:rsidR="00E0295B" w:rsidRPr="00E0295B" w:rsidRDefault="00E0295B" w:rsidP="00E0295B">
      <w:pPr>
        <w:spacing w:line="240" w:lineRule="auto"/>
        <w:ind w:left="426" w:right="420"/>
        <w:rPr>
          <w:rFonts w:ascii="Tahoma" w:eastAsia="Calibri" w:hAnsi="Tahoma" w:cs="Tahoma"/>
          <w:b/>
          <w:i/>
          <w:spacing w:val="-4"/>
          <w:szCs w:val="24"/>
          <w:lang w:val="es-CO"/>
        </w:rPr>
      </w:pPr>
    </w:p>
    <w:p w14:paraId="7D0A2551" w14:textId="77777777" w:rsidR="00E0295B" w:rsidRPr="00E0295B" w:rsidRDefault="00E0295B" w:rsidP="00E0295B">
      <w:pPr>
        <w:spacing w:line="240" w:lineRule="auto"/>
        <w:ind w:left="426" w:right="420"/>
        <w:rPr>
          <w:rFonts w:ascii="Tahoma" w:eastAsia="Calibri" w:hAnsi="Tahoma" w:cs="Tahoma"/>
          <w:b/>
          <w:i/>
          <w:spacing w:val="-4"/>
          <w:szCs w:val="24"/>
          <w:lang w:val="es-CO"/>
        </w:rPr>
      </w:pPr>
      <w:r w:rsidRPr="00E0295B">
        <w:rPr>
          <w:rFonts w:ascii="Tahoma" w:eastAsia="Calibri" w:hAnsi="Tahoma" w:cs="Tahoma"/>
          <w:b/>
          <w:i/>
          <w:spacing w:val="-4"/>
          <w:szCs w:val="24"/>
          <w:lang w:val="es-CO"/>
        </w:rPr>
        <w:t>1.4 Conclusión: La constatación del deber de información es ineludible</w:t>
      </w:r>
    </w:p>
    <w:p w14:paraId="09469947" w14:textId="77777777" w:rsidR="00E0295B" w:rsidRPr="00E0295B" w:rsidRDefault="00E0295B" w:rsidP="00E0295B">
      <w:pPr>
        <w:spacing w:line="240" w:lineRule="auto"/>
        <w:ind w:left="426" w:right="420"/>
        <w:rPr>
          <w:rFonts w:ascii="Tahoma" w:eastAsia="Calibri" w:hAnsi="Tahoma" w:cs="Tahoma"/>
          <w:b/>
          <w:i/>
          <w:spacing w:val="-4"/>
          <w:szCs w:val="24"/>
          <w:lang w:val="es-CO"/>
        </w:rPr>
      </w:pPr>
    </w:p>
    <w:p w14:paraId="7472EE37" w14:textId="77777777" w:rsidR="00E0295B" w:rsidRPr="00E0295B" w:rsidRDefault="00E0295B" w:rsidP="00E0295B">
      <w:pPr>
        <w:spacing w:line="240" w:lineRule="auto"/>
        <w:ind w:left="426" w:right="420" w:firstLine="1"/>
        <w:rPr>
          <w:rFonts w:ascii="Tahoma" w:eastAsia="Calibri" w:hAnsi="Tahoma" w:cs="Tahoma"/>
          <w:i/>
          <w:spacing w:val="-4"/>
          <w:szCs w:val="24"/>
          <w:lang w:val="es-CO"/>
        </w:rPr>
      </w:pPr>
      <w:r w:rsidRPr="00E0295B">
        <w:rPr>
          <w:rFonts w:ascii="Tahoma" w:eastAsia="Calibri" w:hAnsi="Tahoma" w:cs="Tahoma"/>
          <w:i/>
          <w:spacing w:val="-4"/>
          <w:szCs w:val="24"/>
          <w:lang w:val="es-CO"/>
        </w:rPr>
        <w:t xml:space="preserve">Según se pudo advertir del anterior recuento, </w:t>
      </w:r>
      <w:r w:rsidRPr="00E0295B">
        <w:rPr>
          <w:rFonts w:ascii="Tahoma" w:eastAsia="Calibri" w:hAnsi="Tahoma" w:cs="Tahoma"/>
          <w:b/>
          <w:i/>
          <w:spacing w:val="-4"/>
          <w:szCs w:val="24"/>
          <w:lang w:val="es-CO"/>
        </w:rPr>
        <w:t>las AFP, desde su creación, tenían el deber de brindar información a los afiliados o usuarios del sistema pensional a fin de que estos pudiesen adoptar una decisión consciente y realmente libre sobre su futuro pensional.</w:t>
      </w:r>
      <w:r w:rsidRPr="00E0295B">
        <w:rPr>
          <w:rFonts w:ascii="Tahoma" w:eastAsia="Calibri" w:hAnsi="Tahoma" w:cs="Tahoma"/>
          <w:i/>
          <w:spacing w:val="-4"/>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7829A15F" w14:textId="77777777" w:rsidR="00E0295B" w:rsidRPr="00E0295B" w:rsidRDefault="00E0295B" w:rsidP="00E0295B">
      <w:pPr>
        <w:spacing w:line="240" w:lineRule="auto"/>
        <w:ind w:left="426" w:right="420" w:firstLine="1"/>
        <w:rPr>
          <w:rFonts w:ascii="Tahoma" w:eastAsia="Calibri" w:hAnsi="Tahoma" w:cs="Tahoma"/>
          <w:i/>
          <w:spacing w:val="-4"/>
          <w:szCs w:val="24"/>
          <w:lang w:val="es-CO"/>
        </w:rPr>
      </w:pPr>
    </w:p>
    <w:p w14:paraId="7020C134" w14:textId="77777777" w:rsidR="00E0295B" w:rsidRPr="00E0295B" w:rsidRDefault="00E0295B" w:rsidP="00E0295B">
      <w:pPr>
        <w:spacing w:line="240" w:lineRule="auto"/>
        <w:ind w:left="426" w:right="420" w:firstLine="0"/>
        <w:rPr>
          <w:rFonts w:ascii="Tahoma" w:eastAsia="Calibri" w:hAnsi="Tahoma" w:cs="Tahoma"/>
          <w:i/>
          <w:spacing w:val="-4"/>
          <w:szCs w:val="24"/>
          <w:lang w:val="es-CO"/>
        </w:rPr>
      </w:pPr>
      <w:r w:rsidRPr="00E0295B">
        <w:rPr>
          <w:rFonts w:ascii="Tahoma" w:eastAsia="Calibri" w:hAnsi="Tahoma" w:cs="Tahoma"/>
          <w:i/>
          <w:spacing w:val="-4"/>
          <w:szCs w:val="24"/>
          <w:lang w:val="es-CO"/>
        </w:rPr>
        <w:t xml:space="preserve">Así las cosas, el Tribunal cometió un primer error al concluir que la responsabilidad por el incumplimiento o entrega de información deficitaria surgió con el </w:t>
      </w:r>
      <w:r w:rsidRPr="00E0295B">
        <w:rPr>
          <w:rFonts w:ascii="Tahoma" w:eastAsia="Calibri" w:hAnsi="Tahoma" w:cs="Tahoma"/>
          <w:i/>
          <w:spacing w:val="-4"/>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E0295B">
        <w:rPr>
          <w:rFonts w:ascii="Tahoma" w:eastAsia="Calibri" w:hAnsi="Tahoma" w:cs="Tahoma"/>
          <w:i/>
          <w:spacing w:val="-4"/>
          <w:szCs w:val="24"/>
          <w:lang w:val="es-CO"/>
        </w:rPr>
        <w:t xml:space="preserve">  </w:t>
      </w:r>
    </w:p>
    <w:p w14:paraId="33A0E64C" w14:textId="77777777" w:rsidR="00E0295B" w:rsidRPr="00E0295B" w:rsidRDefault="00E0295B" w:rsidP="00E0295B">
      <w:pPr>
        <w:spacing w:line="240" w:lineRule="auto"/>
        <w:ind w:left="426" w:right="420"/>
        <w:rPr>
          <w:rFonts w:ascii="Tahoma" w:eastAsia="Calibri" w:hAnsi="Tahoma" w:cs="Tahoma"/>
          <w:i/>
          <w:spacing w:val="-4"/>
          <w:szCs w:val="24"/>
          <w:lang w:val="es-CO"/>
        </w:rPr>
      </w:pPr>
    </w:p>
    <w:p w14:paraId="3EAFB592" w14:textId="77777777" w:rsidR="00E0295B" w:rsidRPr="00E0295B" w:rsidRDefault="00E0295B" w:rsidP="00E0295B">
      <w:pPr>
        <w:spacing w:line="240" w:lineRule="auto"/>
        <w:ind w:left="426" w:right="420" w:firstLine="0"/>
        <w:rPr>
          <w:rFonts w:ascii="Tahoma" w:eastAsia="Calibri" w:hAnsi="Tahoma" w:cs="Tahoma"/>
          <w:i/>
          <w:spacing w:val="-4"/>
          <w:szCs w:val="24"/>
          <w:lang w:val="es-CO"/>
        </w:rPr>
      </w:pPr>
      <w:r w:rsidRPr="00E0295B">
        <w:rPr>
          <w:rFonts w:ascii="Tahoma" w:eastAsia="Calibri" w:hAnsi="Tahoma" w:cs="Tahoma"/>
          <w:i/>
          <w:spacing w:val="-4"/>
          <w:szCs w:val="24"/>
          <w:lang w:val="es-CO"/>
        </w:rPr>
        <w:t xml:space="preserve">Adicionalmente, la Sala no puede pasar por alto la indebida fundamentación con la que </w:t>
      </w:r>
      <w:r w:rsidRPr="00E0295B">
        <w:rPr>
          <w:rFonts w:ascii="Tahoma" w:eastAsia="Calibri" w:hAnsi="Tahoma" w:cs="Tahoma"/>
          <w:bCs/>
          <w:i/>
          <w:szCs w:val="24"/>
        </w:rPr>
        <w:t>la Sala Primera de Decisión Laboral del Tribunal de Medellín</w:t>
      </w:r>
      <w:r w:rsidRPr="00E0295B">
        <w:rPr>
          <w:rFonts w:ascii="Tahoma" w:eastAsia="Calibri" w:hAnsi="Tahoma" w:cs="Tahoma"/>
          <w:i/>
          <w:spacing w:val="-4"/>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75D57236" w14:textId="77777777" w:rsidR="00E0295B" w:rsidRPr="00E0295B" w:rsidRDefault="00E0295B" w:rsidP="00E0295B">
      <w:pPr>
        <w:spacing w:line="276" w:lineRule="auto"/>
        <w:ind w:left="708"/>
        <w:rPr>
          <w:rFonts w:ascii="Tahoma" w:eastAsia="Calibri" w:hAnsi="Tahoma" w:cs="Tahoma"/>
          <w:i/>
          <w:spacing w:val="-4"/>
          <w:sz w:val="24"/>
          <w:szCs w:val="24"/>
          <w:lang w:val="es-CO"/>
        </w:rPr>
      </w:pPr>
    </w:p>
    <w:p w14:paraId="188B6919" w14:textId="77777777" w:rsidR="00E0295B" w:rsidRPr="00E0295B" w:rsidRDefault="00E0295B" w:rsidP="00E0295B">
      <w:pPr>
        <w:spacing w:line="276" w:lineRule="auto"/>
        <w:ind w:firstLine="644"/>
        <w:rPr>
          <w:rFonts w:ascii="Tahoma" w:eastAsia="Calibri" w:hAnsi="Tahoma" w:cs="Tahoma"/>
          <w:spacing w:val="-4"/>
          <w:sz w:val="24"/>
          <w:szCs w:val="24"/>
          <w:lang w:val="es-CO"/>
        </w:rPr>
      </w:pPr>
      <w:r w:rsidRPr="00E0295B">
        <w:rPr>
          <w:rFonts w:ascii="Tahoma" w:eastAsia="Calibri" w:hAnsi="Tahoma" w:cs="Tahoma"/>
          <w:spacing w:val="-4"/>
          <w:sz w:val="24"/>
          <w:szCs w:val="24"/>
          <w:lang w:val="es-CO"/>
        </w:rPr>
        <w:lastRenderedPageBreak/>
        <w:t>Con lo dicho precedentemente queda resuelto el primer problema jurídico.</w:t>
      </w:r>
    </w:p>
    <w:p w14:paraId="374B91B7" w14:textId="77777777" w:rsidR="00E0295B" w:rsidRPr="00E0295B" w:rsidRDefault="00E0295B" w:rsidP="00E0295B">
      <w:pPr>
        <w:spacing w:line="276" w:lineRule="auto"/>
        <w:ind w:firstLine="644"/>
        <w:rPr>
          <w:rFonts w:ascii="Tahoma" w:eastAsia="Calibri" w:hAnsi="Tahoma" w:cs="Tahoma"/>
          <w:spacing w:val="-4"/>
          <w:sz w:val="24"/>
          <w:szCs w:val="24"/>
          <w:lang w:val="es-CO"/>
        </w:rPr>
      </w:pPr>
    </w:p>
    <w:p w14:paraId="6921E4B5" w14:textId="77777777" w:rsidR="00E0295B" w:rsidRPr="005B249A" w:rsidRDefault="00E0295B" w:rsidP="005B249A">
      <w:pPr>
        <w:pStyle w:val="Prrafodelista"/>
        <w:numPr>
          <w:ilvl w:val="1"/>
          <w:numId w:val="6"/>
        </w:numPr>
        <w:spacing w:line="276" w:lineRule="auto"/>
        <w:ind w:left="0" w:firstLine="709"/>
        <w:jc w:val="both"/>
        <w:rPr>
          <w:rFonts w:ascii="Tahoma" w:hAnsi="Tahoma" w:cs="Tahoma"/>
          <w:b/>
        </w:rPr>
      </w:pPr>
      <w:r w:rsidRPr="005B249A">
        <w:rPr>
          <w:rFonts w:ascii="Tahoma" w:hAnsi="Tahoma" w:cs="Tahoma"/>
          <w:b/>
        </w:rPr>
        <w:t xml:space="preserve">“El simple consentimiento vertido en el formulario de afiliación es insuficiente – Necesidad de un consentimiento informado” </w:t>
      </w:r>
      <w:r w:rsidRPr="005B249A">
        <w:rPr>
          <w:rFonts w:ascii="Tahoma" w:hAnsi="Tahoma" w:cs="Tahoma"/>
          <w:b/>
          <w:vertAlign w:val="superscript"/>
        </w:rPr>
        <w:footnoteReference w:id="3"/>
      </w:r>
      <w:r w:rsidRPr="005B249A">
        <w:rPr>
          <w:rFonts w:ascii="Tahoma" w:hAnsi="Tahoma" w:cs="Tahoma"/>
          <w:b/>
        </w:rPr>
        <w:t xml:space="preserve"> </w:t>
      </w:r>
    </w:p>
    <w:p w14:paraId="544FDBAE" w14:textId="77777777" w:rsidR="00E0295B" w:rsidRPr="00E0295B" w:rsidRDefault="00E0295B" w:rsidP="00E0295B">
      <w:pPr>
        <w:spacing w:line="276" w:lineRule="auto"/>
        <w:rPr>
          <w:rFonts w:ascii="Tahoma" w:eastAsia="Calibri" w:hAnsi="Tahoma" w:cs="Tahoma"/>
          <w:spacing w:val="-4"/>
          <w:sz w:val="24"/>
          <w:szCs w:val="24"/>
          <w:lang w:val="es-CO"/>
        </w:rPr>
      </w:pPr>
    </w:p>
    <w:p w14:paraId="16AB7995" w14:textId="77777777" w:rsidR="00E0295B" w:rsidRPr="00E0295B" w:rsidRDefault="00E0295B" w:rsidP="00E0295B">
      <w:pPr>
        <w:spacing w:line="276" w:lineRule="auto"/>
        <w:rPr>
          <w:rFonts w:ascii="Tahoma" w:eastAsia="Calibri" w:hAnsi="Tahoma" w:cs="Tahoma"/>
          <w:spacing w:val="-4"/>
          <w:sz w:val="24"/>
          <w:szCs w:val="24"/>
          <w:lang w:val="es-CO"/>
        </w:rPr>
      </w:pPr>
      <w:r w:rsidRPr="00E0295B">
        <w:rPr>
          <w:rFonts w:ascii="Tahoma" w:eastAsia="Calibri" w:hAnsi="Tahoma" w:cs="Tahoma"/>
          <w:spacing w:val="-4"/>
          <w:sz w:val="24"/>
          <w:szCs w:val="24"/>
          <w:lang w:val="es-CO"/>
        </w:rPr>
        <w:t xml:space="preserve">El segundo problema jurídico relativo al valor probatorio de los formularios de afiliación, fue abordado y reiterado en la sentencia a la que venimos haciendo referencia, en el sentido de que los formularios de afiliación a lo sumo acreditan un consentimiento </w:t>
      </w:r>
      <w:r w:rsidRPr="00E0295B">
        <w:rPr>
          <w:rFonts w:ascii="Tahoma" w:eastAsia="Calibri" w:hAnsi="Tahoma" w:cs="Tahoma"/>
          <w:b/>
          <w:spacing w:val="-4"/>
          <w:sz w:val="24"/>
          <w:szCs w:val="24"/>
          <w:lang w:val="es-CO"/>
        </w:rPr>
        <w:t>pero no informado</w:t>
      </w:r>
      <w:r w:rsidRPr="00E0295B">
        <w:rPr>
          <w:rFonts w:ascii="Tahoma" w:eastAsia="Calibri" w:hAnsi="Tahoma" w:cs="Tahoma"/>
          <w:spacing w:val="-4"/>
          <w:sz w:val="24"/>
          <w:szCs w:val="24"/>
          <w:lang w:val="es-CO"/>
        </w:rPr>
        <w:t xml:space="preserve">, tal como se expresa a continuación: </w:t>
      </w:r>
    </w:p>
    <w:p w14:paraId="4B63F4A9" w14:textId="77777777" w:rsidR="00E0295B" w:rsidRPr="00E0295B" w:rsidRDefault="00E0295B" w:rsidP="00E0295B">
      <w:pPr>
        <w:spacing w:line="276" w:lineRule="auto"/>
        <w:rPr>
          <w:rFonts w:ascii="Tahoma" w:eastAsia="Calibri" w:hAnsi="Tahoma" w:cs="Tahoma"/>
          <w:spacing w:val="-4"/>
          <w:sz w:val="24"/>
          <w:szCs w:val="24"/>
          <w:lang w:val="es-CO"/>
        </w:rPr>
      </w:pPr>
    </w:p>
    <w:p w14:paraId="54ADE5B0" w14:textId="77777777" w:rsidR="00E0295B" w:rsidRPr="00E0295B" w:rsidRDefault="00E0295B" w:rsidP="00E0295B">
      <w:pPr>
        <w:spacing w:line="240" w:lineRule="auto"/>
        <w:ind w:left="426" w:right="420" w:firstLine="1"/>
        <w:rPr>
          <w:rFonts w:ascii="Tahoma" w:eastAsia="Calibri" w:hAnsi="Tahoma" w:cs="Tahoma"/>
          <w:i/>
          <w:spacing w:val="-4"/>
          <w:szCs w:val="24"/>
          <w:lang w:val="es-CO"/>
        </w:rPr>
      </w:pPr>
      <w:r w:rsidRPr="00E0295B">
        <w:rPr>
          <w:rFonts w:ascii="Tahoma" w:eastAsia="Calibri" w:hAnsi="Tahoma" w:cs="Tahoma"/>
          <w:i/>
          <w:spacing w:val="-4"/>
          <w:szCs w:val="24"/>
          <w:lang w:val="es-CO"/>
        </w:rPr>
        <w:t xml:space="preserve">“Para el Tribunal el consentimiento informado no es predicable del acto jurídico de traslado, pues basta la consignación en el formulario de que la afiliación se hizo de manera libre y voluntaria. </w:t>
      </w:r>
    </w:p>
    <w:p w14:paraId="2E51792A" w14:textId="77777777" w:rsidR="00E0295B" w:rsidRPr="00E0295B" w:rsidRDefault="00E0295B" w:rsidP="00E0295B">
      <w:pPr>
        <w:spacing w:line="240" w:lineRule="auto"/>
        <w:ind w:left="426" w:right="420" w:firstLine="1"/>
        <w:rPr>
          <w:rFonts w:ascii="Tahoma" w:eastAsia="Calibri" w:hAnsi="Tahoma" w:cs="Tahoma"/>
          <w:i/>
          <w:spacing w:val="-4"/>
          <w:szCs w:val="24"/>
          <w:lang w:val="es-CO"/>
        </w:rPr>
      </w:pPr>
    </w:p>
    <w:p w14:paraId="06A20D23" w14:textId="77777777" w:rsidR="00E0295B" w:rsidRPr="00E0295B" w:rsidRDefault="00E0295B" w:rsidP="00E0295B">
      <w:pPr>
        <w:spacing w:line="240" w:lineRule="auto"/>
        <w:ind w:left="426" w:right="420" w:firstLine="1"/>
        <w:rPr>
          <w:rFonts w:ascii="Tahoma" w:eastAsia="Calibri" w:hAnsi="Tahoma" w:cs="Tahoma"/>
          <w:i/>
          <w:spacing w:val="-4"/>
          <w:szCs w:val="24"/>
          <w:lang w:val="es-CO"/>
        </w:rPr>
      </w:pPr>
      <w:r w:rsidRPr="00E0295B">
        <w:rPr>
          <w:rFonts w:ascii="Tahoma" w:eastAsia="Calibri" w:hAnsi="Tahoma" w:cs="Tahoma"/>
          <w:i/>
          <w:spacing w:val="-4"/>
          <w:szCs w:val="24"/>
          <w:lang w:val="es-CO"/>
        </w:rPr>
        <w:t xml:space="preserve">La Sala considera desacertada esta tesis, en la medida que la firma del formulario, al igual que las afirmaciones consignadas en los formatos </w:t>
      </w:r>
      <w:proofErr w:type="spellStart"/>
      <w:r w:rsidRPr="00E0295B">
        <w:rPr>
          <w:rFonts w:ascii="Tahoma" w:eastAsia="Calibri" w:hAnsi="Tahoma" w:cs="Tahoma"/>
          <w:i/>
          <w:spacing w:val="-4"/>
          <w:szCs w:val="24"/>
          <w:lang w:val="es-CO"/>
        </w:rPr>
        <w:t>preimpresos</w:t>
      </w:r>
      <w:proofErr w:type="spellEnd"/>
      <w:r w:rsidRPr="00E0295B">
        <w:rPr>
          <w:rFonts w:ascii="Tahoma" w:eastAsia="Calibri" w:hAnsi="Tahoma" w:cs="Tahoma"/>
          <w:i/>
          <w:spacing w:val="-4"/>
          <w:szCs w:val="24"/>
          <w:lang w:val="es-CO"/>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11DEB921" w14:textId="77777777" w:rsidR="00E0295B" w:rsidRPr="00E0295B" w:rsidRDefault="00E0295B" w:rsidP="00E0295B">
      <w:pPr>
        <w:spacing w:line="240" w:lineRule="auto"/>
        <w:ind w:left="426" w:right="420" w:firstLine="1"/>
        <w:rPr>
          <w:rFonts w:ascii="Tahoma" w:eastAsia="Calibri" w:hAnsi="Tahoma" w:cs="Tahoma"/>
          <w:i/>
          <w:spacing w:val="-4"/>
          <w:szCs w:val="24"/>
          <w:lang w:val="es-CO"/>
        </w:rPr>
      </w:pPr>
    </w:p>
    <w:p w14:paraId="2870F06B" w14:textId="77777777" w:rsidR="00E0295B" w:rsidRPr="00E0295B" w:rsidRDefault="00E0295B" w:rsidP="00E0295B">
      <w:pPr>
        <w:spacing w:line="240" w:lineRule="auto"/>
        <w:ind w:left="426" w:right="420" w:firstLine="1"/>
        <w:rPr>
          <w:rFonts w:ascii="Tahoma" w:eastAsia="Calibri" w:hAnsi="Tahoma" w:cs="Tahoma"/>
          <w:i/>
          <w:spacing w:val="-4"/>
          <w:szCs w:val="24"/>
          <w:lang w:val="es-CO"/>
        </w:rPr>
      </w:pPr>
      <w:r w:rsidRPr="00E0295B">
        <w:rPr>
          <w:rFonts w:ascii="Tahoma" w:eastAsia="Calibri" w:hAnsi="Tahoma" w:cs="Tahoma"/>
          <w:i/>
          <w:spacing w:val="-4"/>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0FC41303" w14:textId="77777777" w:rsidR="00E0295B" w:rsidRPr="00E0295B" w:rsidRDefault="00E0295B" w:rsidP="00E0295B">
      <w:pPr>
        <w:spacing w:line="240" w:lineRule="auto"/>
        <w:ind w:left="426" w:right="420" w:firstLine="1"/>
        <w:rPr>
          <w:rFonts w:ascii="Tahoma" w:eastAsia="Calibri" w:hAnsi="Tahoma" w:cs="Tahoma"/>
          <w:i/>
          <w:spacing w:val="-4"/>
          <w:szCs w:val="24"/>
          <w:lang w:val="es-CO"/>
        </w:rPr>
      </w:pPr>
    </w:p>
    <w:p w14:paraId="701A2145" w14:textId="77777777" w:rsidR="00E0295B" w:rsidRPr="00E0295B" w:rsidRDefault="00E0295B" w:rsidP="00E0295B">
      <w:pPr>
        <w:spacing w:line="240" w:lineRule="auto"/>
        <w:ind w:left="426" w:right="420" w:firstLine="1"/>
        <w:rPr>
          <w:rFonts w:ascii="Tahoma" w:eastAsia="Calibri" w:hAnsi="Tahoma" w:cs="Tahoma"/>
          <w:i/>
          <w:spacing w:val="-4"/>
          <w:szCs w:val="24"/>
          <w:lang w:val="es-CO"/>
        </w:rPr>
      </w:pPr>
      <w:r w:rsidRPr="00E0295B">
        <w:rPr>
          <w:rFonts w:ascii="Tahoma" w:eastAsia="Calibri" w:hAnsi="Tahoma" w:cs="Tahoma"/>
          <w:i/>
          <w:spacing w:val="-4"/>
          <w:szCs w:val="24"/>
          <w:lang w:val="es-CO"/>
        </w:rPr>
        <w:t xml:space="preserve">Por tanto, hoy en el campo de la seguridad social, existe un verdadero e insoslayable deber de obtener un consentimiento informado (CSJ </w:t>
      </w:r>
      <w:proofErr w:type="spellStart"/>
      <w:r w:rsidRPr="00E0295B">
        <w:rPr>
          <w:rFonts w:ascii="Tahoma" w:eastAsia="Calibri" w:hAnsi="Tahoma" w:cs="Tahoma"/>
          <w:i/>
          <w:spacing w:val="-4"/>
          <w:szCs w:val="24"/>
          <w:lang w:val="es-CO"/>
        </w:rPr>
        <w:t>SL19447</w:t>
      </w:r>
      <w:proofErr w:type="spellEnd"/>
      <w:r w:rsidRPr="00E0295B">
        <w:rPr>
          <w:rFonts w:ascii="Tahoma" w:eastAsia="Calibri" w:hAnsi="Tahoma" w:cs="Tahoma"/>
          <w:i/>
          <w:spacing w:val="-4"/>
          <w:szCs w:val="24"/>
          <w:lang w:val="es-CO"/>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357B4356" w14:textId="77777777" w:rsidR="00E0295B" w:rsidRPr="00E0295B" w:rsidRDefault="00E0295B" w:rsidP="00E0295B">
      <w:pPr>
        <w:spacing w:line="276" w:lineRule="auto"/>
        <w:ind w:left="708"/>
        <w:rPr>
          <w:rFonts w:ascii="Tahoma" w:eastAsia="Calibri" w:hAnsi="Tahoma" w:cs="Tahoma"/>
          <w:spacing w:val="-4"/>
          <w:sz w:val="24"/>
          <w:szCs w:val="24"/>
          <w:lang w:val="es-CO"/>
        </w:rPr>
      </w:pPr>
    </w:p>
    <w:p w14:paraId="54D30A0A" w14:textId="77777777" w:rsidR="00E0295B" w:rsidRPr="00E0295B" w:rsidRDefault="00E0295B" w:rsidP="00E0295B">
      <w:pPr>
        <w:widowControl w:val="0"/>
        <w:tabs>
          <w:tab w:val="left" w:pos="709"/>
        </w:tabs>
        <w:autoSpaceDE w:val="0"/>
        <w:autoSpaceDN w:val="0"/>
        <w:adjustRightInd w:val="0"/>
        <w:spacing w:line="276" w:lineRule="auto"/>
        <w:rPr>
          <w:rFonts w:ascii="Tahoma" w:eastAsia="Calibri" w:hAnsi="Tahoma" w:cs="Tahoma"/>
          <w:bCs/>
          <w:sz w:val="24"/>
          <w:szCs w:val="24"/>
        </w:rPr>
      </w:pPr>
      <w:r w:rsidRPr="00E0295B">
        <w:rPr>
          <w:rFonts w:ascii="Tahoma" w:eastAsia="Calibri" w:hAnsi="Tahoma" w:cs="Tahoma"/>
          <w:bCs/>
          <w:sz w:val="24"/>
          <w:szCs w:val="24"/>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w:t>
      </w:r>
      <w:proofErr w:type="spellStart"/>
      <w:r w:rsidRPr="00E0295B">
        <w:rPr>
          <w:rFonts w:ascii="Tahoma" w:eastAsia="Calibri" w:hAnsi="Tahoma" w:cs="Tahoma"/>
          <w:bCs/>
          <w:sz w:val="24"/>
          <w:szCs w:val="24"/>
        </w:rPr>
        <w:t>RAIS</w:t>
      </w:r>
      <w:proofErr w:type="spellEnd"/>
      <w:r w:rsidRPr="00E0295B">
        <w:rPr>
          <w:rFonts w:ascii="Tahoma" w:eastAsia="Calibri" w:hAnsi="Tahoma" w:cs="Tahoma"/>
          <w:bCs/>
          <w:sz w:val="24"/>
          <w:szCs w:val="24"/>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w:t>
      </w:r>
      <w:proofErr w:type="spellStart"/>
      <w:r w:rsidRPr="00E0295B">
        <w:rPr>
          <w:rFonts w:ascii="Tahoma" w:eastAsia="Calibri" w:hAnsi="Tahoma" w:cs="Tahoma"/>
          <w:bCs/>
          <w:sz w:val="24"/>
          <w:szCs w:val="24"/>
        </w:rPr>
        <w:t>SL12136</w:t>
      </w:r>
      <w:proofErr w:type="spellEnd"/>
      <w:r w:rsidRPr="00E0295B">
        <w:rPr>
          <w:rFonts w:ascii="Tahoma" w:eastAsia="Calibri" w:hAnsi="Tahoma" w:cs="Tahoma"/>
          <w:bCs/>
          <w:sz w:val="24"/>
          <w:szCs w:val="24"/>
        </w:rPr>
        <w:t>-2014 en la que se dijo lo siguiente:</w:t>
      </w:r>
    </w:p>
    <w:p w14:paraId="3F350CA1" w14:textId="77777777" w:rsidR="00E0295B" w:rsidRPr="00E0295B" w:rsidRDefault="00E0295B" w:rsidP="00E0295B">
      <w:pPr>
        <w:widowControl w:val="0"/>
        <w:tabs>
          <w:tab w:val="left" w:pos="709"/>
        </w:tabs>
        <w:autoSpaceDE w:val="0"/>
        <w:autoSpaceDN w:val="0"/>
        <w:adjustRightInd w:val="0"/>
        <w:spacing w:line="276" w:lineRule="auto"/>
        <w:rPr>
          <w:rFonts w:ascii="Tahoma" w:eastAsia="Calibri" w:hAnsi="Tahoma" w:cs="Tahoma"/>
          <w:bCs/>
          <w:sz w:val="24"/>
          <w:szCs w:val="24"/>
        </w:rPr>
      </w:pPr>
    </w:p>
    <w:p w14:paraId="71326503" w14:textId="77777777" w:rsidR="00E0295B" w:rsidRPr="00E0295B" w:rsidRDefault="00E0295B" w:rsidP="00E0295B">
      <w:pPr>
        <w:spacing w:line="240" w:lineRule="auto"/>
        <w:ind w:left="426" w:right="420" w:firstLine="0"/>
        <w:rPr>
          <w:rFonts w:ascii="Tahoma" w:eastAsia="Calibri" w:hAnsi="Tahoma" w:cs="Tahoma"/>
          <w:i/>
          <w:spacing w:val="-4"/>
          <w:szCs w:val="24"/>
        </w:rPr>
      </w:pPr>
      <w:r w:rsidRPr="00E0295B">
        <w:rPr>
          <w:rFonts w:ascii="Tahoma" w:eastAsia="Calibri" w:hAnsi="Tahoma" w:cs="Tahoma"/>
          <w:i/>
          <w:spacing w:val="-4"/>
          <w:szCs w:val="24"/>
        </w:rPr>
        <w:t xml:space="preserve">“De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w:t>
      </w:r>
      <w:r w:rsidRPr="00E0295B">
        <w:rPr>
          <w:rFonts w:ascii="Tahoma" w:eastAsia="Calibri" w:hAnsi="Tahoma" w:cs="Tahoma"/>
          <w:i/>
          <w:spacing w:val="-4"/>
          <w:szCs w:val="24"/>
        </w:rPr>
        <w:lastRenderedPageBreak/>
        <w:t>sanciones pecuniarias del artículo 271 de Ley 100 de 1993, y en los que debe constar los aspectos positivos y negativos de la vinculación y la incidencia en el derecho pensional.</w:t>
      </w:r>
    </w:p>
    <w:p w14:paraId="355A0CD7" w14:textId="77777777" w:rsidR="00E0295B" w:rsidRPr="00E0295B" w:rsidRDefault="00E0295B" w:rsidP="00E0295B">
      <w:pPr>
        <w:spacing w:line="240" w:lineRule="auto"/>
        <w:ind w:left="426" w:right="420" w:firstLine="708"/>
        <w:rPr>
          <w:rFonts w:ascii="Tahoma" w:eastAsia="Calibri" w:hAnsi="Tahoma" w:cs="Tahoma"/>
          <w:b/>
          <w:i/>
          <w:spacing w:val="-4"/>
          <w:szCs w:val="24"/>
        </w:rPr>
      </w:pPr>
    </w:p>
    <w:p w14:paraId="5AAB6B8C" w14:textId="77777777" w:rsidR="00E0295B" w:rsidRPr="00E0295B" w:rsidRDefault="00E0295B" w:rsidP="00E0295B">
      <w:pPr>
        <w:tabs>
          <w:tab w:val="left" w:pos="709"/>
        </w:tabs>
        <w:spacing w:line="240" w:lineRule="auto"/>
        <w:ind w:left="426" w:right="420" w:firstLine="0"/>
        <w:rPr>
          <w:rFonts w:ascii="Tahoma" w:eastAsia="Calibri" w:hAnsi="Tahoma" w:cs="Tahoma"/>
          <w:i/>
          <w:spacing w:val="-4"/>
          <w:szCs w:val="24"/>
        </w:rPr>
      </w:pPr>
      <w:r w:rsidRPr="00E0295B">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w:t>
      </w:r>
      <w:r w:rsidRPr="00E0295B">
        <w:rPr>
          <w:rFonts w:ascii="Tahoma" w:eastAsia="Calibri" w:hAnsi="Tahoma" w:cs="Tahoma"/>
          <w:i/>
          <w:spacing w:val="-4"/>
          <w:szCs w:val="24"/>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7D49B2B9" w14:textId="77777777" w:rsidR="00E0295B" w:rsidRPr="00E0295B" w:rsidRDefault="00E0295B" w:rsidP="00E0295B">
      <w:pPr>
        <w:spacing w:line="276" w:lineRule="auto"/>
        <w:ind w:firstLine="0"/>
        <w:rPr>
          <w:rFonts w:ascii="Tahoma" w:eastAsia="Calibri" w:hAnsi="Tahoma" w:cs="Tahoma"/>
          <w:spacing w:val="-4"/>
          <w:sz w:val="24"/>
          <w:szCs w:val="24"/>
        </w:rPr>
      </w:pPr>
    </w:p>
    <w:p w14:paraId="0F5A4D62" w14:textId="77777777" w:rsidR="00E0295B" w:rsidRPr="00E0295B" w:rsidRDefault="00E0295B" w:rsidP="00E0295B">
      <w:pPr>
        <w:spacing w:line="276" w:lineRule="auto"/>
        <w:ind w:firstLine="708"/>
        <w:rPr>
          <w:rFonts w:ascii="Tahoma" w:eastAsia="Calibri" w:hAnsi="Tahoma" w:cs="Tahoma"/>
          <w:sz w:val="24"/>
          <w:szCs w:val="24"/>
        </w:rPr>
      </w:pPr>
      <w:r w:rsidRPr="00E0295B">
        <w:rPr>
          <w:rFonts w:ascii="Tahoma" w:eastAsia="Arial Narrow" w:hAnsi="Tahoma" w:cs="Tahoma"/>
          <w:bCs/>
          <w:sz w:val="24"/>
          <w:szCs w:val="24"/>
          <w:lang w:val="es"/>
        </w:rPr>
        <w:t xml:space="preserve">Igual cosa se ha predicado de las </w:t>
      </w:r>
      <w:proofErr w:type="spellStart"/>
      <w:r w:rsidRPr="00E0295B">
        <w:rPr>
          <w:rFonts w:ascii="Tahoma" w:eastAsia="Arial Narrow" w:hAnsi="Tahoma" w:cs="Tahoma"/>
          <w:bCs/>
          <w:sz w:val="24"/>
          <w:szCs w:val="24"/>
          <w:lang w:val="es"/>
        </w:rPr>
        <w:t>reasesorías</w:t>
      </w:r>
      <w:proofErr w:type="spellEnd"/>
      <w:r w:rsidRPr="00E0295B">
        <w:rPr>
          <w:rFonts w:ascii="Tahoma" w:eastAsia="Arial Narrow" w:hAnsi="Tahoma" w:cs="Tahoma"/>
          <w:bCs/>
          <w:sz w:val="24"/>
          <w:szCs w:val="24"/>
          <w:lang w:val="es"/>
        </w:rPr>
        <w:t xml:space="preserve"> posteriores dadas al interior de las AFP</w:t>
      </w:r>
      <w:r w:rsidRPr="00E0295B">
        <w:rPr>
          <w:rFonts w:ascii="Tahoma" w:eastAsia="Arial Narrow" w:hAnsi="Tahoma" w:cs="Tahoma"/>
          <w:sz w:val="24"/>
          <w:szCs w:val="24"/>
          <w:lang w:val="es"/>
        </w:rPr>
        <w:t xml:space="preserve">, las cuales tampoco convalidan el traslado, como quedó dicho en la citada </w:t>
      </w:r>
      <w:r w:rsidRPr="00E0295B">
        <w:rPr>
          <w:rFonts w:ascii="Tahoma" w:eastAsia="Calibri" w:hAnsi="Tahoma" w:cs="Tahoma"/>
          <w:sz w:val="24"/>
          <w:szCs w:val="24"/>
          <w:lang w:val="es-CO"/>
        </w:rPr>
        <w:t xml:space="preserve">sentencia </w:t>
      </w:r>
      <w:r w:rsidRPr="00E0295B">
        <w:rPr>
          <w:rFonts w:ascii="Tahoma" w:eastAsia="Calibri" w:hAnsi="Tahoma" w:cs="Tahoma"/>
          <w:sz w:val="24"/>
          <w:szCs w:val="24"/>
        </w:rPr>
        <w:t xml:space="preserve">del 8 de mayo de 2019, </w:t>
      </w:r>
      <w:proofErr w:type="spellStart"/>
      <w:r w:rsidRPr="00E0295B">
        <w:rPr>
          <w:rFonts w:ascii="Tahoma" w:eastAsia="Calibri" w:hAnsi="Tahoma" w:cs="Tahoma"/>
          <w:sz w:val="24"/>
          <w:szCs w:val="24"/>
        </w:rPr>
        <w:t>SL</w:t>
      </w:r>
      <w:proofErr w:type="spellEnd"/>
      <w:r w:rsidRPr="00E0295B">
        <w:rPr>
          <w:rFonts w:ascii="Tahoma" w:eastAsia="Calibri" w:hAnsi="Tahoma" w:cs="Tahoma"/>
          <w:sz w:val="24"/>
          <w:szCs w:val="24"/>
        </w:rPr>
        <w:t xml:space="preserve"> 1688-2019, así: </w:t>
      </w:r>
    </w:p>
    <w:p w14:paraId="16576AEA" w14:textId="77777777" w:rsidR="00E0295B" w:rsidRPr="00E0295B" w:rsidRDefault="00E0295B" w:rsidP="00E0295B">
      <w:pPr>
        <w:spacing w:line="276" w:lineRule="auto"/>
        <w:rPr>
          <w:rFonts w:ascii="Tahoma" w:eastAsia="Arial Narrow" w:hAnsi="Tahoma" w:cs="Tahoma"/>
          <w:i/>
          <w:iCs/>
          <w:sz w:val="24"/>
          <w:szCs w:val="24"/>
          <w:lang w:val="es"/>
        </w:rPr>
      </w:pPr>
      <w:r w:rsidRPr="00E0295B">
        <w:rPr>
          <w:rFonts w:ascii="Tahoma" w:eastAsia="Arial Narrow" w:hAnsi="Tahoma" w:cs="Tahoma"/>
          <w:sz w:val="24"/>
          <w:szCs w:val="24"/>
          <w:lang w:val="es"/>
        </w:rPr>
        <w:t xml:space="preserve">  </w:t>
      </w:r>
    </w:p>
    <w:p w14:paraId="32AD6355" w14:textId="77777777" w:rsidR="00E0295B" w:rsidRPr="00E0295B" w:rsidRDefault="00E0295B" w:rsidP="00E0295B">
      <w:pPr>
        <w:spacing w:line="240" w:lineRule="auto"/>
        <w:ind w:left="426" w:right="420" w:firstLine="0"/>
        <w:rPr>
          <w:rFonts w:ascii="Tahoma" w:eastAsia="Calibri" w:hAnsi="Tahoma" w:cs="Tahoma"/>
          <w:i/>
          <w:spacing w:val="-4"/>
          <w:szCs w:val="24"/>
        </w:rPr>
      </w:pPr>
      <w:r w:rsidRPr="00E0295B">
        <w:rPr>
          <w:rFonts w:ascii="Tahoma" w:eastAsia="Calibri" w:hAnsi="Tahoma" w:cs="Tahoma"/>
          <w:i/>
          <w:spacing w:val="-4"/>
          <w:szCs w:val="24"/>
        </w:rPr>
        <w:t xml:space="preserve">“Ahora, si bien la AFP brindó a la actora una </w:t>
      </w:r>
      <w:proofErr w:type="spellStart"/>
      <w:r w:rsidRPr="00E0295B">
        <w:rPr>
          <w:rFonts w:ascii="Tahoma" w:eastAsia="Calibri" w:hAnsi="Tahoma" w:cs="Tahoma"/>
          <w:i/>
          <w:spacing w:val="-4"/>
          <w:szCs w:val="24"/>
        </w:rPr>
        <w:t>reasesoría</w:t>
      </w:r>
      <w:proofErr w:type="spellEnd"/>
      <w:r w:rsidRPr="00E0295B">
        <w:rPr>
          <w:rFonts w:ascii="Tahoma" w:eastAsia="Calibri" w:hAnsi="Tahoma" w:cs="Tahoma"/>
          <w:i/>
          <w:spacing w:val="-4"/>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40C882EE" w14:textId="77777777" w:rsidR="00E0295B" w:rsidRPr="00E0295B" w:rsidRDefault="00E0295B" w:rsidP="00E0295B">
      <w:pPr>
        <w:spacing w:line="240" w:lineRule="auto"/>
        <w:ind w:left="426" w:right="420"/>
        <w:rPr>
          <w:rFonts w:ascii="Tahoma" w:eastAsia="Arial Narrow" w:hAnsi="Tahoma" w:cs="Tahoma"/>
          <w:i/>
          <w:iCs/>
          <w:szCs w:val="24"/>
          <w:lang w:val="es"/>
        </w:rPr>
      </w:pPr>
      <w:r w:rsidRPr="00E0295B">
        <w:rPr>
          <w:rFonts w:ascii="Tahoma" w:eastAsia="Arial Narrow" w:hAnsi="Tahoma" w:cs="Tahoma"/>
          <w:i/>
          <w:iCs/>
          <w:szCs w:val="24"/>
          <w:lang w:val="es"/>
        </w:rPr>
        <w:t xml:space="preserve"> </w:t>
      </w:r>
    </w:p>
    <w:p w14:paraId="6753B023" w14:textId="77777777" w:rsidR="00E0295B" w:rsidRPr="00E0295B" w:rsidRDefault="00E0295B" w:rsidP="00E0295B">
      <w:pPr>
        <w:spacing w:line="240" w:lineRule="auto"/>
        <w:ind w:left="426" w:right="420" w:firstLine="0"/>
        <w:rPr>
          <w:rFonts w:ascii="Tahoma" w:eastAsia="Calibri" w:hAnsi="Tahoma" w:cs="Tahoma"/>
          <w:i/>
          <w:spacing w:val="-4"/>
          <w:szCs w:val="24"/>
        </w:rPr>
      </w:pPr>
      <w:r w:rsidRPr="00E0295B">
        <w:rPr>
          <w:rFonts w:ascii="Tahoma" w:eastAsia="Calibri" w:hAnsi="Tahoma" w:cs="Tahoma"/>
          <w:i/>
          <w:spacing w:val="-4"/>
          <w:szCs w:val="24"/>
        </w:rPr>
        <w:t xml:space="preserve">En primer término, porque el traslado al </w:t>
      </w:r>
      <w:proofErr w:type="spellStart"/>
      <w:r w:rsidRPr="00E0295B">
        <w:rPr>
          <w:rFonts w:ascii="Tahoma" w:eastAsia="Calibri" w:hAnsi="Tahoma" w:cs="Tahoma"/>
          <w:i/>
          <w:spacing w:val="-4"/>
          <w:szCs w:val="24"/>
        </w:rPr>
        <w:t>RAIS</w:t>
      </w:r>
      <w:proofErr w:type="spellEnd"/>
      <w:r w:rsidRPr="00E0295B">
        <w:rPr>
          <w:rFonts w:ascii="Tahoma" w:eastAsia="Calibri" w:hAnsi="Tahoma" w:cs="Tahoma"/>
          <w:i/>
          <w:spacing w:val="-4"/>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E0295B">
        <w:rPr>
          <w:rFonts w:ascii="Tahoma" w:eastAsia="Calibri" w:hAnsi="Tahoma" w:cs="Tahoma"/>
          <w:i/>
          <w:spacing w:val="-4"/>
          <w:szCs w:val="24"/>
        </w:rPr>
        <w:t>reasesoría</w:t>
      </w:r>
      <w:proofErr w:type="spellEnd"/>
      <w:r w:rsidRPr="00E0295B">
        <w:rPr>
          <w:rFonts w:ascii="Tahoma" w:eastAsia="Calibri" w:hAnsi="Tahoma" w:cs="Tahoma"/>
          <w:i/>
          <w:spacing w:val="-4"/>
          <w:szCs w:val="24"/>
        </w:rPr>
        <w:t>, de todas formas ya había perdido la transición.</w:t>
      </w:r>
    </w:p>
    <w:p w14:paraId="10991A17" w14:textId="77777777" w:rsidR="00E0295B" w:rsidRPr="00E0295B" w:rsidRDefault="00E0295B" w:rsidP="00E0295B">
      <w:pPr>
        <w:spacing w:line="240" w:lineRule="auto"/>
        <w:ind w:left="426" w:right="420"/>
        <w:rPr>
          <w:rFonts w:ascii="Tahoma" w:eastAsia="Arial Narrow" w:hAnsi="Tahoma" w:cs="Tahoma"/>
          <w:i/>
          <w:iCs/>
          <w:szCs w:val="24"/>
          <w:lang w:val="es"/>
        </w:rPr>
      </w:pPr>
      <w:r w:rsidRPr="00E0295B">
        <w:rPr>
          <w:rFonts w:ascii="Tahoma" w:eastAsia="Arial Narrow" w:hAnsi="Tahoma" w:cs="Tahoma"/>
          <w:i/>
          <w:iCs/>
          <w:szCs w:val="24"/>
          <w:lang w:val="es"/>
        </w:rPr>
        <w:t xml:space="preserve"> </w:t>
      </w:r>
    </w:p>
    <w:p w14:paraId="5C8AA2FE" w14:textId="77777777" w:rsidR="00E0295B" w:rsidRPr="00E0295B" w:rsidRDefault="00E0295B" w:rsidP="00E0295B">
      <w:pPr>
        <w:spacing w:line="240" w:lineRule="auto"/>
        <w:ind w:left="426" w:right="420" w:firstLine="0"/>
        <w:rPr>
          <w:rFonts w:ascii="Tahoma" w:eastAsia="Calibri" w:hAnsi="Tahoma" w:cs="Tahoma"/>
          <w:i/>
          <w:spacing w:val="-4"/>
          <w:szCs w:val="24"/>
        </w:rPr>
      </w:pPr>
      <w:r w:rsidRPr="00E0295B">
        <w:rPr>
          <w:rFonts w:ascii="Tahoma" w:eastAsia="Calibri" w:hAnsi="Tahoma" w:cs="Tahoma"/>
          <w:i/>
          <w:spacing w:val="-4"/>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4D9BE4C8" w14:textId="77777777" w:rsidR="00E0295B" w:rsidRPr="00E0295B" w:rsidRDefault="00E0295B" w:rsidP="00E0295B">
      <w:pPr>
        <w:spacing w:line="240" w:lineRule="auto"/>
        <w:ind w:left="426" w:right="420"/>
        <w:rPr>
          <w:rFonts w:ascii="Tahoma" w:eastAsia="Arial Narrow" w:hAnsi="Tahoma" w:cs="Tahoma"/>
          <w:i/>
          <w:iCs/>
          <w:szCs w:val="24"/>
          <w:lang w:val="es"/>
        </w:rPr>
      </w:pPr>
      <w:r w:rsidRPr="00E0295B">
        <w:rPr>
          <w:rFonts w:ascii="Tahoma" w:eastAsia="Arial Narrow" w:hAnsi="Tahoma" w:cs="Tahoma"/>
          <w:i/>
          <w:iCs/>
          <w:szCs w:val="24"/>
          <w:lang w:val="es"/>
        </w:rPr>
        <w:t xml:space="preserve"> </w:t>
      </w:r>
    </w:p>
    <w:p w14:paraId="70A4A5D1" w14:textId="77777777" w:rsidR="00E0295B" w:rsidRPr="00E0295B" w:rsidRDefault="00E0295B" w:rsidP="00E0295B">
      <w:pPr>
        <w:spacing w:line="240" w:lineRule="auto"/>
        <w:ind w:left="426" w:right="420" w:firstLine="0"/>
        <w:rPr>
          <w:rFonts w:ascii="Tahoma" w:eastAsia="Calibri" w:hAnsi="Tahoma" w:cs="Tahoma"/>
          <w:i/>
          <w:spacing w:val="-4"/>
          <w:szCs w:val="24"/>
        </w:rPr>
      </w:pPr>
      <w:r w:rsidRPr="00E0295B">
        <w:rPr>
          <w:rFonts w:ascii="Tahoma" w:eastAsia="Calibri" w:hAnsi="Tahoma" w:cs="Tahoma"/>
          <w:i/>
          <w:spacing w:val="-4"/>
          <w:szCs w:val="24"/>
        </w:rPr>
        <w:t xml:space="preserve">Por otro lado, no es de recibo el planteo de Protección S.A., cuando sostiene que una vez realizó la </w:t>
      </w:r>
      <w:proofErr w:type="spellStart"/>
      <w:r w:rsidRPr="00E0295B">
        <w:rPr>
          <w:rFonts w:ascii="Tahoma" w:eastAsia="Calibri" w:hAnsi="Tahoma" w:cs="Tahoma"/>
          <w:i/>
          <w:spacing w:val="-4"/>
          <w:szCs w:val="24"/>
        </w:rPr>
        <w:t>reasesoría</w:t>
      </w:r>
      <w:proofErr w:type="spellEnd"/>
      <w:r w:rsidRPr="00E0295B">
        <w:rPr>
          <w:rFonts w:ascii="Tahoma" w:eastAsia="Calibri" w:hAnsi="Tahoma" w:cs="Tahoma"/>
          <w:i/>
          <w:spacing w:val="-4"/>
          <w:szCs w:val="24"/>
        </w:rPr>
        <w:t xml:space="preserve">, Myriam Arroyave Henao no mostró interés en la ineficacia de la vinculación al </w:t>
      </w:r>
      <w:proofErr w:type="spellStart"/>
      <w:r w:rsidRPr="00E0295B">
        <w:rPr>
          <w:rFonts w:ascii="Tahoma" w:eastAsia="Calibri" w:hAnsi="Tahoma" w:cs="Tahoma"/>
          <w:i/>
          <w:spacing w:val="-4"/>
          <w:szCs w:val="24"/>
        </w:rPr>
        <w:t>RAIS</w:t>
      </w:r>
      <w:proofErr w:type="spellEnd"/>
      <w:r w:rsidRPr="00E0295B">
        <w:rPr>
          <w:rFonts w:ascii="Tahoma" w:eastAsia="Calibri" w:hAnsi="Tahoma" w:cs="Tahoma"/>
          <w:i/>
          <w:spacing w:val="-4"/>
          <w:szCs w:val="24"/>
        </w:rPr>
        <w:t xml:space="preserve">, al conservar su status de afiliada durante un tiempo, Se dice lo anterior ya que la sugerencia de Protección S.A. de regresar al </w:t>
      </w:r>
      <w:proofErr w:type="spellStart"/>
      <w:r w:rsidRPr="00E0295B">
        <w:rPr>
          <w:rFonts w:ascii="Tahoma" w:eastAsia="Calibri" w:hAnsi="Tahoma" w:cs="Tahoma"/>
          <w:i/>
          <w:spacing w:val="-4"/>
          <w:szCs w:val="24"/>
        </w:rPr>
        <w:t>RPMPD</w:t>
      </w:r>
      <w:proofErr w:type="spellEnd"/>
      <w:r w:rsidRPr="00E0295B">
        <w:rPr>
          <w:rFonts w:ascii="Tahoma" w:eastAsia="Calibri" w:hAnsi="Tahoma" w:cs="Tahoma"/>
          <w:i/>
          <w:spacing w:val="-4"/>
          <w:szCs w:val="24"/>
        </w:rPr>
        <w:t xml:space="preserve">, se produjo el 26 de noviembre de 2003, y el formulario para la nueva afiliación al </w:t>
      </w:r>
      <w:proofErr w:type="spellStart"/>
      <w:r w:rsidRPr="00E0295B">
        <w:rPr>
          <w:rFonts w:ascii="Tahoma" w:eastAsia="Calibri" w:hAnsi="Tahoma" w:cs="Tahoma"/>
          <w:i/>
          <w:spacing w:val="-4"/>
          <w:szCs w:val="24"/>
        </w:rPr>
        <w:t>ISS</w:t>
      </w:r>
      <w:proofErr w:type="spellEnd"/>
      <w:r w:rsidRPr="00E0295B">
        <w:rPr>
          <w:rFonts w:ascii="Tahoma" w:eastAsia="Calibri" w:hAnsi="Tahoma" w:cs="Tahoma"/>
          <w:i/>
          <w:spacing w:val="-4"/>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777A48F8" w14:textId="77777777" w:rsidR="00E0295B" w:rsidRPr="00E0295B" w:rsidRDefault="00E0295B" w:rsidP="00E0295B">
      <w:pPr>
        <w:spacing w:line="276" w:lineRule="auto"/>
        <w:ind w:firstLine="0"/>
        <w:rPr>
          <w:rFonts w:ascii="Tahoma" w:eastAsia="Calibri" w:hAnsi="Tahoma" w:cs="Tahoma"/>
          <w:spacing w:val="-4"/>
          <w:sz w:val="24"/>
          <w:szCs w:val="24"/>
        </w:rPr>
      </w:pPr>
    </w:p>
    <w:p w14:paraId="294E50A6" w14:textId="77777777" w:rsidR="00E0295B" w:rsidRPr="005B249A" w:rsidRDefault="00E0295B" w:rsidP="005B249A">
      <w:pPr>
        <w:pStyle w:val="Prrafodelista"/>
        <w:numPr>
          <w:ilvl w:val="1"/>
          <w:numId w:val="6"/>
        </w:numPr>
        <w:spacing w:line="276" w:lineRule="auto"/>
        <w:ind w:left="0" w:firstLine="709"/>
        <w:jc w:val="both"/>
        <w:rPr>
          <w:rFonts w:ascii="Tahoma" w:hAnsi="Tahoma" w:cs="Tahoma"/>
          <w:b/>
        </w:rPr>
      </w:pPr>
      <w:r w:rsidRPr="005B249A">
        <w:rPr>
          <w:rFonts w:ascii="Tahoma" w:hAnsi="Tahoma" w:cs="Tahoma"/>
          <w:b/>
        </w:rPr>
        <w:t xml:space="preserve">“De la carga de la prueba – Inversión a favor del afiliado” </w:t>
      </w:r>
      <w:r w:rsidRPr="005B249A">
        <w:rPr>
          <w:rFonts w:ascii="Tahoma" w:hAnsi="Tahoma" w:cs="Tahoma"/>
          <w:b/>
          <w:vertAlign w:val="superscript"/>
        </w:rPr>
        <w:footnoteReference w:id="4"/>
      </w:r>
    </w:p>
    <w:p w14:paraId="3C78C234" w14:textId="77777777" w:rsidR="00E0295B" w:rsidRPr="00E0295B" w:rsidRDefault="00E0295B" w:rsidP="00E0295B">
      <w:pPr>
        <w:spacing w:line="276" w:lineRule="auto"/>
        <w:ind w:firstLine="708"/>
        <w:rPr>
          <w:rFonts w:ascii="Tahoma" w:eastAsia="Calibri" w:hAnsi="Tahoma" w:cs="Tahoma"/>
          <w:b/>
          <w:spacing w:val="-4"/>
          <w:sz w:val="24"/>
          <w:szCs w:val="24"/>
        </w:rPr>
      </w:pPr>
    </w:p>
    <w:p w14:paraId="7FBF0CD1" w14:textId="77777777" w:rsidR="00E0295B" w:rsidRPr="00E0295B" w:rsidRDefault="00E0295B" w:rsidP="00E0295B">
      <w:pPr>
        <w:spacing w:line="276" w:lineRule="auto"/>
        <w:rPr>
          <w:rFonts w:ascii="Tahoma" w:eastAsia="Calibri" w:hAnsi="Tahoma" w:cs="Tahoma"/>
          <w:spacing w:val="-4"/>
          <w:sz w:val="24"/>
          <w:szCs w:val="24"/>
          <w:lang w:val="es-CO"/>
        </w:rPr>
      </w:pPr>
      <w:r w:rsidRPr="00E0295B">
        <w:rPr>
          <w:rFonts w:ascii="Tahoma" w:eastAsia="Calibri" w:hAnsi="Tahoma" w:cs="Tahoma"/>
          <w:spacing w:val="-4"/>
          <w:sz w:val="24"/>
          <w:szCs w:val="24"/>
          <w:lang w:val="es-CO"/>
        </w:rPr>
        <w:t>El tercer problema jurídico relativo a la carga de la prueba en los procesos de ineficacia de traslado, también se resolvió por la Corte Suprema de Justicia desde la sentencia hito, en la que se expresó que de conformidad a</w:t>
      </w:r>
      <w:r w:rsidRPr="00E0295B">
        <w:rPr>
          <w:rFonts w:ascii="Tahoma" w:eastAsia="Calibri" w:hAnsi="Tahoma" w:cs="Tahoma"/>
          <w:spacing w:val="-4"/>
          <w:sz w:val="24"/>
          <w:szCs w:val="24"/>
        </w:rPr>
        <w:t>l artículo 1604 del Código Civil «</w:t>
      </w:r>
      <w:r w:rsidRPr="00E0295B">
        <w:rPr>
          <w:rFonts w:ascii="Tahoma" w:eastAsia="Calibri" w:hAnsi="Tahoma" w:cs="Tahoma"/>
          <w:i/>
          <w:spacing w:val="-4"/>
          <w:sz w:val="24"/>
          <w:szCs w:val="24"/>
        </w:rPr>
        <w:t>la prueba de la diligencia o cuidado incumbe al que ha debido emplearlo”</w:t>
      </w:r>
      <w:r w:rsidRPr="00E0295B">
        <w:rPr>
          <w:rFonts w:ascii="Tahoma" w:eastAsia="Calibri" w:hAnsi="Tahoma" w:cs="Tahoma"/>
          <w:spacing w:val="-4"/>
          <w:sz w:val="24"/>
          <w:szCs w:val="24"/>
          <w:lang w:val="es-CO"/>
        </w:rPr>
        <w:t xml:space="preserve">, lo que quiere decir que la carga de la prueba recae en el fondo de pensiones. Dicha postura se ha </w:t>
      </w:r>
      <w:r w:rsidRPr="00E0295B">
        <w:rPr>
          <w:rFonts w:ascii="Tahoma" w:eastAsia="Calibri" w:hAnsi="Tahoma" w:cs="Tahoma"/>
          <w:spacing w:val="-4"/>
          <w:sz w:val="24"/>
          <w:szCs w:val="24"/>
          <w:lang w:val="es-CO"/>
        </w:rPr>
        <w:lastRenderedPageBreak/>
        <w:t xml:space="preserve">mantenido invariable, y se reiteró de manera más contundente en la citada sentencia, así: </w:t>
      </w:r>
    </w:p>
    <w:p w14:paraId="5F5BBC83" w14:textId="77777777" w:rsidR="00E0295B" w:rsidRPr="00E0295B" w:rsidRDefault="00E0295B" w:rsidP="00E0295B">
      <w:pPr>
        <w:spacing w:line="276" w:lineRule="auto"/>
        <w:ind w:firstLine="708"/>
        <w:rPr>
          <w:rFonts w:ascii="Tahoma" w:eastAsia="Calibri" w:hAnsi="Tahoma" w:cs="Tahoma"/>
          <w:spacing w:val="-4"/>
          <w:sz w:val="24"/>
          <w:szCs w:val="24"/>
        </w:rPr>
      </w:pPr>
    </w:p>
    <w:p w14:paraId="5D5BE0E7" w14:textId="77777777" w:rsidR="00E0295B" w:rsidRPr="00E0295B" w:rsidRDefault="00E0295B" w:rsidP="00E0295B">
      <w:pPr>
        <w:spacing w:line="240" w:lineRule="auto"/>
        <w:ind w:left="426" w:right="420" w:firstLine="1"/>
        <w:rPr>
          <w:rFonts w:ascii="Tahoma" w:eastAsia="Calibri" w:hAnsi="Tahoma" w:cs="Tahoma"/>
          <w:i/>
          <w:spacing w:val="-4"/>
          <w:szCs w:val="24"/>
        </w:rPr>
      </w:pPr>
      <w:r w:rsidRPr="00E0295B">
        <w:rPr>
          <w:rFonts w:ascii="Tahoma" w:eastAsia="Calibri" w:hAnsi="Tahoma" w:cs="Tahoma"/>
          <w:i/>
          <w:spacing w:val="-4"/>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28CFECAA" w14:textId="77777777" w:rsidR="00E0295B" w:rsidRPr="00E0295B" w:rsidRDefault="00E0295B" w:rsidP="00E0295B">
      <w:pPr>
        <w:spacing w:line="240" w:lineRule="auto"/>
        <w:ind w:left="426" w:right="420" w:firstLine="1"/>
        <w:rPr>
          <w:rFonts w:ascii="Tahoma" w:eastAsia="Calibri" w:hAnsi="Tahoma" w:cs="Tahoma"/>
          <w:i/>
          <w:spacing w:val="-4"/>
          <w:szCs w:val="24"/>
        </w:rPr>
      </w:pPr>
    </w:p>
    <w:p w14:paraId="4BB6FB11" w14:textId="77777777" w:rsidR="00E0295B" w:rsidRPr="00E0295B" w:rsidRDefault="00E0295B" w:rsidP="00E0295B">
      <w:pPr>
        <w:spacing w:line="240" w:lineRule="auto"/>
        <w:ind w:left="426" w:right="420" w:firstLine="1"/>
        <w:rPr>
          <w:rFonts w:ascii="Tahoma" w:eastAsia="Calibri" w:hAnsi="Tahoma" w:cs="Tahoma"/>
          <w:i/>
          <w:spacing w:val="-4"/>
          <w:szCs w:val="24"/>
        </w:rPr>
      </w:pPr>
      <w:r w:rsidRPr="00E0295B">
        <w:rPr>
          <w:rFonts w:ascii="Tahoma" w:eastAsia="Calibri" w:hAnsi="Tahoma" w:cs="Tahoma"/>
          <w:i/>
          <w:spacing w:val="-4"/>
          <w:szCs w:val="24"/>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45CA95B0" w14:textId="77777777" w:rsidR="00E0295B" w:rsidRPr="00E0295B" w:rsidRDefault="00E0295B" w:rsidP="00E0295B">
      <w:pPr>
        <w:spacing w:line="240" w:lineRule="auto"/>
        <w:ind w:left="426" w:right="420" w:firstLine="1"/>
        <w:rPr>
          <w:rFonts w:ascii="Tahoma" w:eastAsia="Calibri" w:hAnsi="Tahoma" w:cs="Tahoma"/>
          <w:i/>
          <w:spacing w:val="-4"/>
          <w:szCs w:val="24"/>
        </w:rPr>
      </w:pPr>
    </w:p>
    <w:p w14:paraId="07DD6AF7" w14:textId="77777777" w:rsidR="00E0295B" w:rsidRPr="00E0295B" w:rsidRDefault="00E0295B" w:rsidP="00E0295B">
      <w:pPr>
        <w:spacing w:line="240" w:lineRule="auto"/>
        <w:ind w:left="426" w:right="420" w:firstLine="1"/>
        <w:rPr>
          <w:rFonts w:ascii="Tahoma" w:eastAsia="Calibri" w:hAnsi="Tahoma" w:cs="Tahoma"/>
          <w:i/>
          <w:spacing w:val="-4"/>
          <w:szCs w:val="24"/>
        </w:rPr>
      </w:pPr>
      <w:r w:rsidRPr="00E0295B">
        <w:rPr>
          <w:rFonts w:ascii="Tahoma" w:eastAsia="Calibri" w:hAnsi="Tahoma" w:cs="Tahoma"/>
          <w:i/>
          <w:spacing w:val="-4"/>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45D3A08" w14:textId="77777777" w:rsidR="00E0295B" w:rsidRPr="00E0295B" w:rsidRDefault="00E0295B" w:rsidP="00E0295B">
      <w:pPr>
        <w:spacing w:line="240" w:lineRule="auto"/>
        <w:ind w:left="426" w:right="420" w:firstLine="1"/>
        <w:rPr>
          <w:rFonts w:ascii="Tahoma" w:eastAsia="Calibri" w:hAnsi="Tahoma" w:cs="Tahoma"/>
          <w:i/>
          <w:spacing w:val="-4"/>
          <w:szCs w:val="24"/>
        </w:rPr>
      </w:pPr>
    </w:p>
    <w:p w14:paraId="17881682" w14:textId="77777777" w:rsidR="00E0295B" w:rsidRPr="00E0295B" w:rsidRDefault="00E0295B" w:rsidP="00E0295B">
      <w:pPr>
        <w:spacing w:line="240" w:lineRule="auto"/>
        <w:ind w:left="426" w:right="420" w:firstLine="1"/>
        <w:rPr>
          <w:rFonts w:ascii="Tahoma" w:eastAsia="Calibri" w:hAnsi="Tahoma" w:cs="Tahoma"/>
          <w:i/>
          <w:iCs/>
          <w:spacing w:val="-4"/>
          <w:szCs w:val="24"/>
        </w:rPr>
      </w:pPr>
      <w:r w:rsidRPr="00E0295B">
        <w:rPr>
          <w:rFonts w:ascii="Tahoma" w:eastAsia="Calibri" w:hAnsi="Tahoma" w:cs="Tahoma"/>
          <w:i/>
          <w:spacing w:val="-4"/>
          <w:szCs w:val="24"/>
        </w:rPr>
        <w:t xml:space="preserve">Como se ha expuesto, el deber de información al momento del traslado entre regímenes, es una obligación que corresponde a las administradoras de fondos de pensiones, y </w:t>
      </w:r>
      <w:r w:rsidRPr="00E0295B">
        <w:rPr>
          <w:rFonts w:ascii="Tahoma" w:eastAsia="Calibri" w:hAnsi="Tahoma" w:cs="Tahoma"/>
          <w:i/>
          <w:iCs/>
          <w:spacing w:val="-4"/>
          <w:szCs w:val="24"/>
        </w:rPr>
        <w:t xml:space="preserve">su ejercicio debe ser de tal diligencia, que permita comprender la lógica, beneficios y desventajas del cambio de régimen, así como prever los riesgos y efectos negativos de esa decisión. </w:t>
      </w:r>
    </w:p>
    <w:p w14:paraId="5AD42548" w14:textId="77777777" w:rsidR="00E0295B" w:rsidRPr="00E0295B" w:rsidRDefault="00E0295B" w:rsidP="00E0295B">
      <w:pPr>
        <w:spacing w:line="240" w:lineRule="auto"/>
        <w:ind w:left="426" w:right="420" w:firstLine="1"/>
        <w:rPr>
          <w:rFonts w:ascii="Tahoma" w:eastAsia="Calibri" w:hAnsi="Tahoma" w:cs="Tahoma"/>
          <w:i/>
          <w:iCs/>
          <w:spacing w:val="-4"/>
          <w:szCs w:val="24"/>
        </w:rPr>
      </w:pPr>
    </w:p>
    <w:p w14:paraId="17A733DE" w14:textId="77777777" w:rsidR="00E0295B" w:rsidRPr="00E0295B" w:rsidRDefault="00E0295B" w:rsidP="00E0295B">
      <w:pPr>
        <w:spacing w:line="240" w:lineRule="auto"/>
        <w:ind w:left="426" w:right="420" w:firstLine="1"/>
        <w:rPr>
          <w:rFonts w:ascii="Tahoma" w:eastAsia="Calibri" w:hAnsi="Tahoma" w:cs="Tahoma"/>
          <w:i/>
          <w:iCs/>
          <w:spacing w:val="-4"/>
          <w:szCs w:val="24"/>
        </w:rPr>
      </w:pPr>
      <w:r w:rsidRPr="00E0295B">
        <w:rPr>
          <w:rFonts w:ascii="Tahoma" w:eastAsia="Calibri" w:hAnsi="Tahoma" w:cs="Tahoma"/>
          <w:i/>
          <w:spacing w:val="-4"/>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047D9708" w14:textId="77777777" w:rsidR="00E0295B" w:rsidRPr="00E0295B" w:rsidRDefault="00E0295B" w:rsidP="00E0295B">
      <w:pPr>
        <w:spacing w:line="240" w:lineRule="auto"/>
        <w:ind w:left="426" w:right="420" w:firstLine="1"/>
        <w:rPr>
          <w:rFonts w:ascii="Tahoma" w:eastAsia="Calibri" w:hAnsi="Tahoma" w:cs="Tahoma"/>
          <w:i/>
          <w:iCs/>
          <w:spacing w:val="-4"/>
          <w:szCs w:val="24"/>
        </w:rPr>
      </w:pPr>
    </w:p>
    <w:p w14:paraId="6117B70A" w14:textId="77777777" w:rsidR="00E0295B" w:rsidRPr="00E0295B" w:rsidRDefault="00E0295B" w:rsidP="00E0295B">
      <w:pPr>
        <w:spacing w:line="240" w:lineRule="auto"/>
        <w:ind w:left="426" w:right="420" w:firstLine="1"/>
        <w:rPr>
          <w:rFonts w:ascii="Tahoma" w:eastAsia="Calibri" w:hAnsi="Tahoma" w:cs="Tahoma"/>
          <w:i/>
          <w:iCs/>
          <w:spacing w:val="-4"/>
          <w:szCs w:val="24"/>
        </w:rPr>
      </w:pPr>
      <w:r w:rsidRPr="00E0295B">
        <w:rPr>
          <w:rFonts w:ascii="Tahoma" w:eastAsia="Calibri" w:hAnsi="Tahoma" w:cs="Tahoma"/>
          <w:i/>
          <w:spacing w:val="-4"/>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65D5F01E" w14:textId="77777777" w:rsidR="00E0295B" w:rsidRPr="00E0295B" w:rsidRDefault="00E0295B" w:rsidP="00E0295B">
      <w:pPr>
        <w:spacing w:line="240" w:lineRule="auto"/>
        <w:ind w:left="426" w:right="420" w:firstLine="1"/>
        <w:rPr>
          <w:rFonts w:ascii="Tahoma" w:eastAsia="Calibri" w:hAnsi="Tahoma" w:cs="Tahoma"/>
          <w:i/>
          <w:iCs/>
          <w:spacing w:val="-4"/>
          <w:szCs w:val="24"/>
        </w:rPr>
      </w:pPr>
    </w:p>
    <w:p w14:paraId="5B69A7E8" w14:textId="77777777" w:rsidR="00E0295B" w:rsidRPr="00E0295B" w:rsidRDefault="00E0295B" w:rsidP="00E0295B">
      <w:pPr>
        <w:spacing w:line="240" w:lineRule="auto"/>
        <w:ind w:left="426" w:right="420" w:firstLine="1"/>
        <w:rPr>
          <w:rFonts w:ascii="Tahoma" w:eastAsia="Calibri" w:hAnsi="Tahoma" w:cs="Tahoma"/>
          <w:spacing w:val="-4"/>
          <w:szCs w:val="24"/>
        </w:rPr>
      </w:pPr>
      <w:r w:rsidRPr="00E0295B">
        <w:rPr>
          <w:rFonts w:ascii="Tahoma" w:eastAsia="Calibri" w:hAnsi="Tahoma" w:cs="Tahoma"/>
          <w:i/>
          <w:spacing w:val="-4"/>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E0295B">
        <w:rPr>
          <w:rFonts w:ascii="Tahoma" w:eastAsia="Calibri" w:hAnsi="Tahoma" w:cs="Tahoma"/>
          <w:spacing w:val="-4"/>
          <w:szCs w:val="24"/>
        </w:rPr>
        <w:t xml:space="preserve"> </w:t>
      </w:r>
    </w:p>
    <w:p w14:paraId="7F5B5687" w14:textId="77777777" w:rsidR="00E0295B" w:rsidRPr="00E0295B" w:rsidRDefault="00E0295B" w:rsidP="00E0295B">
      <w:pPr>
        <w:shd w:val="clear" w:color="auto" w:fill="FFFFFF"/>
        <w:tabs>
          <w:tab w:val="left" w:pos="3568"/>
        </w:tabs>
        <w:spacing w:line="276" w:lineRule="auto"/>
        <w:ind w:firstLine="0"/>
        <w:rPr>
          <w:rFonts w:ascii="Tahoma" w:eastAsia="Calibri" w:hAnsi="Tahoma" w:cs="Tahoma"/>
          <w:spacing w:val="-4"/>
          <w:sz w:val="24"/>
          <w:szCs w:val="24"/>
          <w:lang w:val="es-CO"/>
        </w:rPr>
      </w:pPr>
    </w:p>
    <w:p w14:paraId="6E1384C8" w14:textId="77777777" w:rsidR="00E0295B" w:rsidRPr="00E0295B" w:rsidRDefault="00E0295B" w:rsidP="00E0295B">
      <w:pPr>
        <w:widowControl w:val="0"/>
        <w:numPr>
          <w:ilvl w:val="1"/>
          <w:numId w:val="6"/>
        </w:numPr>
        <w:shd w:val="clear" w:color="auto" w:fill="FFFFFF"/>
        <w:autoSpaceDE w:val="0"/>
        <w:autoSpaceDN w:val="0"/>
        <w:adjustRightInd w:val="0"/>
        <w:spacing w:line="276" w:lineRule="auto"/>
        <w:ind w:left="0" w:firstLine="709"/>
        <w:contextualSpacing/>
        <w:rPr>
          <w:rFonts w:ascii="Tahoma" w:eastAsia="Times New Roman" w:hAnsi="Tahoma" w:cs="Tahoma"/>
          <w:b/>
          <w:sz w:val="24"/>
          <w:szCs w:val="24"/>
          <w:lang w:eastAsia="es-ES"/>
        </w:rPr>
      </w:pPr>
      <w:r w:rsidRPr="00E0295B">
        <w:rPr>
          <w:rFonts w:ascii="Tahoma" w:eastAsia="Times New Roman" w:hAnsi="Tahoma" w:cs="Tahoma"/>
          <w:b/>
          <w:sz w:val="24"/>
          <w:szCs w:val="24"/>
          <w:lang w:eastAsia="es-ES"/>
        </w:rPr>
        <w:t>Consecuencias de la declaratoria de ineficacia del traslado: Devolución de las cuotas de administración y de otros valores debidamente indexados</w:t>
      </w:r>
    </w:p>
    <w:p w14:paraId="7DD9E3B7" w14:textId="77777777" w:rsidR="00E0295B" w:rsidRPr="00E0295B" w:rsidRDefault="00E0295B" w:rsidP="00E0295B">
      <w:pPr>
        <w:widowControl w:val="0"/>
        <w:shd w:val="clear" w:color="auto" w:fill="FFFFFF"/>
        <w:autoSpaceDE w:val="0"/>
        <w:autoSpaceDN w:val="0"/>
        <w:adjustRightInd w:val="0"/>
        <w:spacing w:line="276" w:lineRule="auto"/>
        <w:ind w:left="1428" w:firstLine="0"/>
        <w:contextualSpacing/>
        <w:rPr>
          <w:rFonts w:ascii="Tahoma" w:eastAsia="Times New Roman" w:hAnsi="Tahoma" w:cs="Tahoma"/>
          <w:sz w:val="24"/>
          <w:szCs w:val="24"/>
          <w:lang w:eastAsia="es-ES"/>
        </w:rPr>
      </w:pPr>
    </w:p>
    <w:p w14:paraId="2B01D573" w14:textId="77777777" w:rsidR="00E0295B" w:rsidRPr="00E0295B" w:rsidRDefault="00E0295B" w:rsidP="00E0295B">
      <w:pPr>
        <w:shd w:val="clear" w:color="auto" w:fill="FFFFFF"/>
        <w:spacing w:line="276" w:lineRule="auto"/>
        <w:rPr>
          <w:rFonts w:ascii="Tahoma" w:eastAsia="Calibri" w:hAnsi="Tahoma" w:cs="Tahoma"/>
          <w:sz w:val="24"/>
          <w:szCs w:val="24"/>
        </w:rPr>
      </w:pPr>
      <w:r w:rsidRPr="00E0295B">
        <w:rPr>
          <w:rFonts w:ascii="Tahoma" w:eastAsia="Calibri" w:hAnsi="Tahoma" w:cs="Tahoma"/>
          <w:sz w:val="24"/>
          <w:szCs w:val="24"/>
        </w:rPr>
        <w:lastRenderedPageBreak/>
        <w:t xml:space="preserve">En la sentencia </w:t>
      </w:r>
      <w:proofErr w:type="spellStart"/>
      <w:r w:rsidRPr="00E0295B">
        <w:rPr>
          <w:rFonts w:ascii="Tahoma" w:eastAsia="Calibri" w:hAnsi="Tahoma" w:cs="Tahoma"/>
          <w:sz w:val="24"/>
          <w:szCs w:val="24"/>
        </w:rPr>
        <w:t>SL1421</w:t>
      </w:r>
      <w:proofErr w:type="spellEnd"/>
      <w:r w:rsidRPr="00E0295B">
        <w:rPr>
          <w:rFonts w:ascii="Tahoma" w:eastAsia="Calibri" w:hAnsi="Tahoma" w:cs="Tahoma"/>
          <w:sz w:val="24"/>
          <w:szCs w:val="24"/>
        </w:rPr>
        <w:t xml:space="preserve"> de 2019, Rad. 56174, </w:t>
      </w:r>
      <w:proofErr w:type="spellStart"/>
      <w:r w:rsidRPr="00E0295B">
        <w:rPr>
          <w:rFonts w:ascii="Tahoma" w:eastAsia="Calibri" w:hAnsi="Tahoma" w:cs="Tahoma"/>
          <w:sz w:val="24"/>
          <w:szCs w:val="24"/>
        </w:rPr>
        <w:t>M.P</w:t>
      </w:r>
      <w:proofErr w:type="spellEnd"/>
      <w:r w:rsidRPr="00E0295B">
        <w:rPr>
          <w:rFonts w:ascii="Tahoma" w:eastAsia="Calibri" w:hAnsi="Tahoma" w:cs="Tahoma"/>
          <w:sz w:val="24"/>
          <w:szCs w:val="24"/>
        </w:rPr>
        <w:t xml:space="preserve">. Gerardo Botero Zuluaga, cuando se declaró la ineficacia del traslado, se dijo que una de las consecuencias de tal situación era la devolución de las cuotas de administración a cargo de la AFP, tema que se planteó en los siguientes términos: </w:t>
      </w:r>
    </w:p>
    <w:p w14:paraId="00665AE6" w14:textId="77777777" w:rsidR="00E0295B" w:rsidRPr="00E0295B" w:rsidRDefault="00E0295B" w:rsidP="00E0295B">
      <w:pPr>
        <w:shd w:val="clear" w:color="auto" w:fill="FFFFFF"/>
        <w:spacing w:line="276" w:lineRule="auto"/>
        <w:ind w:left="644" w:firstLine="0"/>
        <w:contextualSpacing/>
        <w:jc w:val="left"/>
        <w:rPr>
          <w:rFonts w:ascii="Tahoma" w:eastAsia="Times New Roman" w:hAnsi="Tahoma" w:cs="Tahoma"/>
          <w:sz w:val="24"/>
          <w:szCs w:val="24"/>
          <w:lang w:eastAsia="es-ES"/>
        </w:rPr>
      </w:pPr>
    </w:p>
    <w:p w14:paraId="71B9CCEB" w14:textId="77777777" w:rsidR="00E0295B" w:rsidRPr="00E0295B" w:rsidRDefault="00E0295B" w:rsidP="00E0295B">
      <w:pPr>
        <w:tabs>
          <w:tab w:val="left" w:pos="5180"/>
        </w:tabs>
        <w:suppressAutoHyphens/>
        <w:spacing w:line="240" w:lineRule="auto"/>
        <w:ind w:left="426" w:right="420" w:firstLine="0"/>
        <w:contextualSpacing/>
        <w:rPr>
          <w:rFonts w:ascii="Tahoma" w:eastAsia="Calibri" w:hAnsi="Tahoma" w:cs="Tahoma"/>
          <w:i/>
          <w:spacing w:val="-4"/>
          <w:szCs w:val="24"/>
        </w:rPr>
      </w:pPr>
      <w:r w:rsidRPr="00E0295B">
        <w:rPr>
          <w:rFonts w:ascii="Tahoma" w:eastAsia="Calibri" w:hAnsi="Tahoma" w:cs="Tahoma"/>
          <w:i/>
          <w:spacing w:val="-4"/>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E0295B">
        <w:rPr>
          <w:rFonts w:ascii="Tahoma" w:eastAsia="Calibri" w:hAnsi="Tahoma" w:cs="Tahoma"/>
          <w:i/>
          <w:spacing w:val="-4"/>
          <w:szCs w:val="24"/>
        </w:rPr>
        <w:t>SL17595</w:t>
      </w:r>
      <w:proofErr w:type="spellEnd"/>
      <w:r w:rsidRPr="00E0295B">
        <w:rPr>
          <w:rFonts w:ascii="Tahoma" w:eastAsia="Calibri" w:hAnsi="Tahoma" w:cs="Tahoma"/>
          <w:i/>
          <w:spacing w:val="-4"/>
          <w:szCs w:val="24"/>
        </w:rPr>
        <w:t xml:space="preserve">-2017 y </w:t>
      </w:r>
      <w:proofErr w:type="spellStart"/>
      <w:r w:rsidRPr="00E0295B">
        <w:rPr>
          <w:rFonts w:ascii="Tahoma" w:eastAsia="Calibri" w:hAnsi="Tahoma" w:cs="Tahoma"/>
          <w:i/>
          <w:spacing w:val="-4"/>
          <w:szCs w:val="24"/>
        </w:rPr>
        <w:t>CSJSL4989</w:t>
      </w:r>
      <w:proofErr w:type="spellEnd"/>
      <w:r w:rsidRPr="00E0295B">
        <w:rPr>
          <w:rFonts w:ascii="Tahoma" w:eastAsia="Calibri" w:hAnsi="Tahoma" w:cs="Tahoma"/>
          <w:i/>
          <w:spacing w:val="-4"/>
          <w:szCs w:val="24"/>
        </w:rPr>
        <w:t xml:space="preserve">-2018, donde se rememoró la CSJ </w:t>
      </w:r>
      <w:proofErr w:type="spellStart"/>
      <w:r w:rsidRPr="00E0295B">
        <w:rPr>
          <w:rFonts w:ascii="Tahoma" w:eastAsia="Calibri" w:hAnsi="Tahoma" w:cs="Tahoma"/>
          <w:i/>
          <w:spacing w:val="-4"/>
          <w:szCs w:val="24"/>
        </w:rPr>
        <w:t>SL</w:t>
      </w:r>
      <w:proofErr w:type="spellEnd"/>
      <w:r w:rsidRPr="00E0295B">
        <w:rPr>
          <w:rFonts w:ascii="Tahoma" w:eastAsia="Calibri" w:hAnsi="Tahoma" w:cs="Tahoma"/>
          <w:i/>
          <w:spacing w:val="-4"/>
          <w:szCs w:val="24"/>
        </w:rPr>
        <w:t xml:space="preserve">, 8 sep. 2008, rad. 31989, en la que se dijo: </w:t>
      </w:r>
    </w:p>
    <w:p w14:paraId="7FF74962" w14:textId="77777777" w:rsidR="00E0295B" w:rsidRPr="00E0295B" w:rsidRDefault="00E0295B" w:rsidP="00E0295B">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4CC72020" w14:textId="77777777" w:rsidR="00E0295B" w:rsidRPr="00E0295B" w:rsidRDefault="00E0295B" w:rsidP="00E0295B">
      <w:pPr>
        <w:tabs>
          <w:tab w:val="left" w:pos="5180"/>
        </w:tabs>
        <w:suppressAutoHyphens/>
        <w:spacing w:line="240" w:lineRule="auto"/>
        <w:ind w:left="426" w:right="420" w:firstLine="0"/>
        <w:contextualSpacing/>
        <w:rPr>
          <w:rFonts w:ascii="Tahoma" w:eastAsia="Calibri" w:hAnsi="Tahoma" w:cs="Tahoma"/>
          <w:i/>
          <w:spacing w:val="-4"/>
          <w:szCs w:val="24"/>
        </w:rPr>
      </w:pPr>
      <w:r w:rsidRPr="00E0295B">
        <w:rPr>
          <w:rFonts w:ascii="Tahoma" w:eastAsia="Calibri" w:hAnsi="Tahoma" w:cs="Tahoma"/>
          <w:i/>
          <w:spacing w:val="-4"/>
          <w:szCs w:val="24"/>
        </w:rPr>
        <w:t xml:space="preserve">Sobre las consecuencias de la nulidad del traslado entre regímenes esta Sala en sentencia </w:t>
      </w:r>
      <w:proofErr w:type="spellStart"/>
      <w:r w:rsidRPr="00E0295B">
        <w:rPr>
          <w:rFonts w:ascii="Tahoma" w:eastAsia="Calibri" w:hAnsi="Tahoma" w:cs="Tahoma"/>
          <w:i/>
          <w:spacing w:val="-4"/>
          <w:szCs w:val="24"/>
        </w:rPr>
        <w:t>SL</w:t>
      </w:r>
      <w:proofErr w:type="spellEnd"/>
      <w:r w:rsidRPr="00E0295B">
        <w:rPr>
          <w:rFonts w:ascii="Tahoma" w:eastAsia="Calibri" w:hAnsi="Tahoma" w:cs="Tahoma"/>
          <w:i/>
          <w:spacing w:val="-4"/>
          <w:szCs w:val="24"/>
        </w:rPr>
        <w:t>, del 8 de sep. 2008, rad. 31989, reiterada en varias oportunidades, adoctrinó: […]</w:t>
      </w:r>
    </w:p>
    <w:p w14:paraId="0E283848" w14:textId="77777777" w:rsidR="00E0295B" w:rsidRPr="00E0295B" w:rsidRDefault="00E0295B" w:rsidP="00E0295B">
      <w:pPr>
        <w:tabs>
          <w:tab w:val="left" w:pos="5180"/>
        </w:tabs>
        <w:suppressAutoHyphens/>
        <w:spacing w:line="240" w:lineRule="auto"/>
        <w:ind w:left="426" w:right="420" w:firstLine="0"/>
        <w:contextualSpacing/>
        <w:rPr>
          <w:rFonts w:ascii="Tahoma" w:eastAsia="Calibri" w:hAnsi="Tahoma" w:cs="Tahoma"/>
          <w:i/>
          <w:spacing w:val="-4"/>
          <w:szCs w:val="24"/>
        </w:rPr>
      </w:pPr>
    </w:p>
    <w:p w14:paraId="3803CEAA" w14:textId="77777777" w:rsidR="00E0295B" w:rsidRPr="00E0295B" w:rsidRDefault="00E0295B" w:rsidP="00E0295B">
      <w:pPr>
        <w:tabs>
          <w:tab w:val="left" w:pos="5180"/>
        </w:tabs>
        <w:suppressAutoHyphens/>
        <w:spacing w:line="240" w:lineRule="auto"/>
        <w:ind w:left="426" w:right="420" w:firstLine="0"/>
        <w:contextualSpacing/>
        <w:rPr>
          <w:rFonts w:ascii="Tahoma" w:eastAsia="Calibri" w:hAnsi="Tahoma" w:cs="Tahoma"/>
          <w:i/>
          <w:spacing w:val="-4"/>
          <w:szCs w:val="24"/>
        </w:rPr>
      </w:pPr>
      <w:r w:rsidRPr="00E0295B">
        <w:rPr>
          <w:rFonts w:ascii="Tahoma" w:eastAsia="Calibri" w:hAnsi="Tahoma" w:cs="Tahoma"/>
          <w:i/>
          <w:spacing w:val="-4"/>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051C258E" w14:textId="77777777" w:rsidR="00E0295B" w:rsidRPr="00E0295B" w:rsidRDefault="00E0295B" w:rsidP="00E0295B">
      <w:pPr>
        <w:tabs>
          <w:tab w:val="left" w:pos="5180"/>
        </w:tabs>
        <w:suppressAutoHyphens/>
        <w:spacing w:line="240" w:lineRule="auto"/>
        <w:ind w:left="426" w:right="420" w:firstLine="0"/>
        <w:contextualSpacing/>
        <w:rPr>
          <w:rFonts w:ascii="Tahoma" w:eastAsia="Calibri" w:hAnsi="Tahoma" w:cs="Tahoma"/>
          <w:i/>
          <w:spacing w:val="-4"/>
          <w:szCs w:val="24"/>
        </w:rPr>
      </w:pPr>
    </w:p>
    <w:p w14:paraId="23D96B3D" w14:textId="77777777" w:rsidR="00E0295B" w:rsidRPr="00E0295B" w:rsidRDefault="00E0295B" w:rsidP="00E0295B">
      <w:pPr>
        <w:tabs>
          <w:tab w:val="left" w:pos="5180"/>
        </w:tabs>
        <w:suppressAutoHyphens/>
        <w:spacing w:line="240" w:lineRule="auto"/>
        <w:ind w:left="426" w:right="420" w:firstLine="0"/>
        <w:contextualSpacing/>
        <w:rPr>
          <w:rFonts w:ascii="Tahoma" w:eastAsia="Calibri" w:hAnsi="Tahoma" w:cs="Tahoma"/>
          <w:i/>
          <w:spacing w:val="-4"/>
          <w:szCs w:val="24"/>
        </w:rPr>
      </w:pPr>
      <w:r w:rsidRPr="00E0295B">
        <w:rPr>
          <w:rFonts w:ascii="Tahoma" w:eastAsia="Calibri" w:hAnsi="Tahoma" w:cs="Tahoma"/>
          <w:i/>
          <w:spacing w:val="-4"/>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66F3D4E8" w14:textId="77777777" w:rsidR="00E0295B" w:rsidRPr="00E0295B" w:rsidRDefault="00E0295B" w:rsidP="00E0295B">
      <w:pPr>
        <w:widowControl w:val="0"/>
        <w:shd w:val="clear" w:color="auto" w:fill="FFFFFF"/>
        <w:autoSpaceDE w:val="0"/>
        <w:autoSpaceDN w:val="0"/>
        <w:adjustRightInd w:val="0"/>
        <w:spacing w:line="276" w:lineRule="auto"/>
        <w:ind w:firstLine="0"/>
        <w:rPr>
          <w:rFonts w:ascii="Tahoma" w:eastAsia="Calibri" w:hAnsi="Tahoma" w:cs="Tahoma"/>
          <w:sz w:val="24"/>
          <w:szCs w:val="24"/>
        </w:rPr>
      </w:pPr>
    </w:p>
    <w:p w14:paraId="333BA8A4" w14:textId="77777777" w:rsidR="00E0295B" w:rsidRPr="00E0295B" w:rsidRDefault="00E0295B" w:rsidP="00E0295B">
      <w:pPr>
        <w:widowControl w:val="0"/>
        <w:shd w:val="clear" w:color="auto" w:fill="FFFFFF"/>
        <w:autoSpaceDE w:val="0"/>
        <w:autoSpaceDN w:val="0"/>
        <w:adjustRightInd w:val="0"/>
        <w:spacing w:line="276" w:lineRule="auto"/>
        <w:ind w:firstLine="0"/>
        <w:rPr>
          <w:rFonts w:ascii="Tahoma" w:eastAsia="Calibri" w:hAnsi="Tahoma" w:cs="Tahoma"/>
          <w:sz w:val="24"/>
          <w:szCs w:val="24"/>
        </w:rPr>
      </w:pPr>
      <w:r w:rsidRPr="00E0295B">
        <w:rPr>
          <w:rFonts w:ascii="Tahoma" w:eastAsia="Calibri" w:hAnsi="Tahoma" w:cs="Tahoma"/>
          <w:sz w:val="24"/>
          <w:szCs w:val="24"/>
        </w:rPr>
        <w:tab/>
        <w:t xml:space="preserve">Dicha postura fue reiterada en la sentencia </w:t>
      </w:r>
      <w:proofErr w:type="spellStart"/>
      <w:r w:rsidRPr="00E0295B">
        <w:rPr>
          <w:rFonts w:ascii="Tahoma" w:eastAsia="Calibri" w:hAnsi="Tahoma" w:cs="Tahoma"/>
          <w:sz w:val="24"/>
          <w:szCs w:val="24"/>
        </w:rPr>
        <w:t>SL</w:t>
      </w:r>
      <w:proofErr w:type="spellEnd"/>
      <w:r w:rsidRPr="00E0295B">
        <w:rPr>
          <w:rFonts w:ascii="Tahoma" w:eastAsia="Calibri" w:hAnsi="Tahoma" w:cs="Tahoma"/>
          <w:sz w:val="24"/>
          <w:szCs w:val="24"/>
        </w:rPr>
        <w:t xml:space="preserve"> 2611 del 1° de julio de 2020, también con Ponencia del Dr. GERARDO BOTERO ZULUAGA en la que se reafirma que por cuenta de la ineficacia, las cosas deben retrotraerse al estado en que se encontraban antes de ocurrir el traslado de régimen. Dijo la sentencia: </w:t>
      </w:r>
    </w:p>
    <w:p w14:paraId="12C165AF" w14:textId="77777777" w:rsidR="00E0295B" w:rsidRPr="00E0295B" w:rsidRDefault="00E0295B" w:rsidP="00E0295B">
      <w:pPr>
        <w:widowControl w:val="0"/>
        <w:shd w:val="clear" w:color="auto" w:fill="FFFFFF"/>
        <w:autoSpaceDE w:val="0"/>
        <w:autoSpaceDN w:val="0"/>
        <w:adjustRightInd w:val="0"/>
        <w:spacing w:line="276" w:lineRule="auto"/>
        <w:ind w:firstLine="0"/>
        <w:rPr>
          <w:rFonts w:ascii="Tahoma" w:eastAsia="Calibri" w:hAnsi="Tahoma" w:cs="Tahoma"/>
          <w:sz w:val="24"/>
          <w:szCs w:val="24"/>
        </w:rPr>
      </w:pPr>
    </w:p>
    <w:p w14:paraId="2066B6B4" w14:textId="77777777" w:rsidR="00E0295B" w:rsidRPr="00E0295B" w:rsidRDefault="00E0295B" w:rsidP="00E0295B">
      <w:pPr>
        <w:tabs>
          <w:tab w:val="left" w:pos="5180"/>
        </w:tabs>
        <w:suppressAutoHyphens/>
        <w:spacing w:line="240" w:lineRule="auto"/>
        <w:ind w:left="426" w:right="420" w:firstLine="0"/>
        <w:contextualSpacing/>
        <w:rPr>
          <w:rFonts w:ascii="Tahoma" w:eastAsia="Calibri" w:hAnsi="Tahoma" w:cs="Tahoma"/>
          <w:i/>
          <w:spacing w:val="-4"/>
          <w:szCs w:val="24"/>
        </w:rPr>
      </w:pPr>
      <w:r w:rsidRPr="00E0295B">
        <w:rPr>
          <w:rFonts w:ascii="Tahoma" w:eastAsia="Calibri" w:hAnsi="Tahoma" w:cs="Tahoma"/>
          <w:i/>
          <w:spacing w:val="-4"/>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w:t>
      </w:r>
      <w:proofErr w:type="spellStart"/>
      <w:r w:rsidRPr="00E0295B">
        <w:rPr>
          <w:rFonts w:ascii="Tahoma" w:eastAsia="Calibri" w:hAnsi="Tahoma" w:cs="Tahoma"/>
          <w:i/>
          <w:spacing w:val="-4"/>
          <w:szCs w:val="24"/>
        </w:rPr>
        <w:t>Colfondos</w:t>
      </w:r>
      <w:proofErr w:type="spellEnd"/>
      <w:r w:rsidRPr="00E0295B">
        <w:rPr>
          <w:rFonts w:ascii="Tahoma" w:eastAsia="Calibri" w:hAnsi="Tahoma" w:cs="Tahoma"/>
          <w:i/>
          <w:spacing w:val="-4"/>
          <w:szCs w:val="24"/>
        </w:rPr>
        <w:t xml:space="preserve">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w:t>
      </w:r>
      <w:proofErr w:type="spellStart"/>
      <w:r w:rsidRPr="00E0295B">
        <w:rPr>
          <w:rFonts w:ascii="Tahoma" w:eastAsia="Calibri" w:hAnsi="Tahoma" w:cs="Tahoma"/>
          <w:i/>
          <w:spacing w:val="-4"/>
          <w:szCs w:val="24"/>
        </w:rPr>
        <w:t>SL17595</w:t>
      </w:r>
      <w:proofErr w:type="spellEnd"/>
      <w:r w:rsidRPr="00E0295B">
        <w:rPr>
          <w:rFonts w:ascii="Tahoma" w:eastAsia="Calibri" w:hAnsi="Tahoma" w:cs="Tahoma"/>
          <w:i/>
          <w:spacing w:val="-4"/>
          <w:szCs w:val="24"/>
        </w:rPr>
        <w:t xml:space="preserve">-2017, donde se rememoró la CSJ </w:t>
      </w:r>
      <w:proofErr w:type="spellStart"/>
      <w:r w:rsidRPr="00E0295B">
        <w:rPr>
          <w:rFonts w:ascii="Tahoma" w:eastAsia="Calibri" w:hAnsi="Tahoma" w:cs="Tahoma"/>
          <w:i/>
          <w:spacing w:val="-4"/>
          <w:szCs w:val="24"/>
        </w:rPr>
        <w:t>SL</w:t>
      </w:r>
      <w:proofErr w:type="spellEnd"/>
      <w:r w:rsidRPr="00E0295B">
        <w:rPr>
          <w:rFonts w:ascii="Tahoma" w:eastAsia="Calibri" w:hAnsi="Tahoma" w:cs="Tahoma"/>
          <w:i/>
          <w:spacing w:val="-4"/>
          <w:szCs w:val="24"/>
        </w:rPr>
        <w:t xml:space="preserve">, 8 sep. 2008, rad. 31989…” </w:t>
      </w:r>
    </w:p>
    <w:p w14:paraId="1F7BDFD9" w14:textId="77777777" w:rsidR="00E0295B" w:rsidRPr="00E0295B" w:rsidRDefault="00E0295B" w:rsidP="00E0295B">
      <w:pPr>
        <w:shd w:val="clear" w:color="auto" w:fill="FFFFFF"/>
        <w:tabs>
          <w:tab w:val="left" w:pos="-1440"/>
          <w:tab w:val="left" w:pos="-720"/>
          <w:tab w:val="left" w:pos="5180"/>
        </w:tabs>
        <w:suppressAutoHyphens/>
        <w:spacing w:line="276" w:lineRule="auto"/>
        <w:ind w:firstLine="0"/>
        <w:rPr>
          <w:rFonts w:ascii="Tahoma" w:eastAsia="Calibri" w:hAnsi="Tahoma" w:cs="Tahoma"/>
          <w:sz w:val="24"/>
          <w:szCs w:val="24"/>
        </w:rPr>
      </w:pPr>
    </w:p>
    <w:p w14:paraId="6E47541B" w14:textId="77777777" w:rsidR="00E0295B" w:rsidRPr="00E0295B" w:rsidRDefault="00E0295B" w:rsidP="00E0295B">
      <w:pPr>
        <w:widowControl w:val="0"/>
        <w:shd w:val="clear" w:color="auto" w:fill="FFFFFF"/>
        <w:autoSpaceDE w:val="0"/>
        <w:autoSpaceDN w:val="0"/>
        <w:adjustRightInd w:val="0"/>
        <w:spacing w:line="276" w:lineRule="auto"/>
        <w:ind w:firstLine="708"/>
        <w:rPr>
          <w:rFonts w:ascii="Tahoma" w:eastAsia="Calibri" w:hAnsi="Tahoma" w:cs="Tahoma"/>
          <w:sz w:val="24"/>
          <w:szCs w:val="24"/>
        </w:rPr>
      </w:pPr>
      <w:r w:rsidRPr="00E0295B">
        <w:rPr>
          <w:rFonts w:ascii="Tahoma" w:eastAsia="Calibri"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41728C90" w14:textId="77777777" w:rsidR="00E0295B" w:rsidRPr="00E0295B" w:rsidRDefault="00E0295B" w:rsidP="00E0295B">
      <w:pPr>
        <w:widowControl w:val="0"/>
        <w:shd w:val="clear" w:color="auto" w:fill="FFFFFF"/>
        <w:autoSpaceDE w:val="0"/>
        <w:autoSpaceDN w:val="0"/>
        <w:adjustRightInd w:val="0"/>
        <w:spacing w:line="276" w:lineRule="auto"/>
        <w:ind w:firstLine="0"/>
        <w:rPr>
          <w:rFonts w:ascii="Tahoma" w:eastAsia="Calibri" w:hAnsi="Tahoma" w:cs="Tahoma"/>
          <w:sz w:val="24"/>
          <w:szCs w:val="24"/>
        </w:rPr>
      </w:pPr>
    </w:p>
    <w:p w14:paraId="62875AC9" w14:textId="77777777" w:rsidR="00E0295B" w:rsidRPr="00E0295B" w:rsidRDefault="00E0295B" w:rsidP="00E0295B">
      <w:pPr>
        <w:widowControl w:val="0"/>
        <w:shd w:val="clear" w:color="auto" w:fill="FFFFFF"/>
        <w:autoSpaceDE w:val="0"/>
        <w:autoSpaceDN w:val="0"/>
        <w:adjustRightInd w:val="0"/>
        <w:spacing w:line="276" w:lineRule="auto"/>
        <w:ind w:firstLine="0"/>
        <w:rPr>
          <w:rFonts w:ascii="Tahoma" w:eastAsia="Calibri" w:hAnsi="Tahoma" w:cs="Tahoma"/>
          <w:sz w:val="24"/>
          <w:szCs w:val="24"/>
        </w:rPr>
      </w:pPr>
      <w:r w:rsidRPr="00E0295B">
        <w:rPr>
          <w:rFonts w:ascii="Tahoma" w:eastAsia="Calibri" w:hAnsi="Tahoma" w:cs="Tahoma"/>
          <w:sz w:val="24"/>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w:t>
      </w:r>
      <w:r w:rsidRPr="00E0295B">
        <w:rPr>
          <w:rFonts w:ascii="Tahoma" w:eastAsia="Calibri" w:hAnsi="Tahoma" w:cs="Tahoma"/>
          <w:sz w:val="24"/>
          <w:szCs w:val="24"/>
        </w:rPr>
        <w:lastRenderedPageBreak/>
        <w:t xml:space="preserve">positivo se entrará a definir si cuando se declara la ineficacia del traslado, hay lugar en condenar en costas a la AFP. </w:t>
      </w:r>
    </w:p>
    <w:p w14:paraId="4E9BBC90" w14:textId="77777777" w:rsidR="00C62C60" w:rsidRPr="00E0295B" w:rsidRDefault="00C62C60" w:rsidP="00E0295B">
      <w:pPr>
        <w:widowControl w:val="0"/>
        <w:autoSpaceDE w:val="0"/>
        <w:autoSpaceDN w:val="0"/>
        <w:adjustRightInd w:val="0"/>
        <w:spacing w:line="276" w:lineRule="auto"/>
        <w:ind w:firstLine="0"/>
        <w:rPr>
          <w:rFonts w:ascii="Tahoma" w:hAnsi="Tahoma" w:cs="Tahoma"/>
          <w:b/>
          <w:sz w:val="24"/>
          <w:szCs w:val="24"/>
        </w:rPr>
      </w:pPr>
      <w:r w:rsidRPr="00E0295B">
        <w:rPr>
          <w:rFonts w:ascii="Tahoma" w:hAnsi="Tahoma" w:cs="Tahoma"/>
          <w:sz w:val="24"/>
          <w:szCs w:val="24"/>
        </w:rPr>
        <w:t xml:space="preserve"> </w:t>
      </w:r>
    </w:p>
    <w:p w14:paraId="479DB5F5" w14:textId="77777777" w:rsidR="00C62C60" w:rsidRPr="00E0295B" w:rsidRDefault="00C62C60" w:rsidP="00E0295B">
      <w:pPr>
        <w:pStyle w:val="Prrafodelista"/>
        <w:widowControl w:val="0"/>
        <w:numPr>
          <w:ilvl w:val="1"/>
          <w:numId w:val="6"/>
        </w:numPr>
        <w:autoSpaceDE w:val="0"/>
        <w:autoSpaceDN w:val="0"/>
        <w:adjustRightInd w:val="0"/>
        <w:spacing w:line="276" w:lineRule="auto"/>
        <w:rPr>
          <w:rFonts w:ascii="Tahoma" w:hAnsi="Tahoma" w:cs="Tahoma"/>
          <w:b/>
        </w:rPr>
      </w:pPr>
      <w:r w:rsidRPr="00E0295B">
        <w:rPr>
          <w:rFonts w:ascii="Tahoma" w:hAnsi="Tahoma" w:cs="Tahoma"/>
          <w:b/>
        </w:rPr>
        <w:t>Caso concreto</w:t>
      </w:r>
    </w:p>
    <w:p w14:paraId="085A4316" w14:textId="77777777" w:rsidR="00C62C60" w:rsidRPr="00E0295B" w:rsidRDefault="00C62C60" w:rsidP="00E0295B">
      <w:pPr>
        <w:pStyle w:val="xmsonormal"/>
        <w:spacing w:before="0" w:beforeAutospacing="0" w:after="0" w:afterAutospacing="0" w:line="276" w:lineRule="auto"/>
        <w:ind w:left="644"/>
        <w:jc w:val="both"/>
        <w:textAlignment w:val="baseline"/>
        <w:rPr>
          <w:rFonts w:ascii="Tahoma" w:hAnsi="Tahoma" w:cs="Tahoma"/>
        </w:rPr>
      </w:pPr>
    </w:p>
    <w:p w14:paraId="09CC569F" w14:textId="77777777" w:rsidR="00C62C60" w:rsidRPr="00E0295B" w:rsidRDefault="00C62C60" w:rsidP="00E0295B">
      <w:pPr>
        <w:pStyle w:val="Prrafodelista"/>
        <w:spacing w:line="276" w:lineRule="auto"/>
        <w:ind w:left="0" w:firstLine="644"/>
        <w:jc w:val="both"/>
        <w:rPr>
          <w:rFonts w:ascii="Tahoma" w:hAnsi="Tahoma" w:cs="Tahoma"/>
        </w:rPr>
      </w:pPr>
      <w:r w:rsidRPr="00E0295B">
        <w:rPr>
          <w:rFonts w:ascii="Tahoma" w:hAnsi="Tahoma" w:cs="Tahoma"/>
        </w:rPr>
        <w:t xml:space="preserve">Se pretende por esta vía ordinaria que se declare la </w:t>
      </w:r>
      <w:r w:rsidR="00956075" w:rsidRPr="00E0295B">
        <w:rPr>
          <w:rFonts w:ascii="Tahoma" w:hAnsi="Tahoma" w:cs="Tahoma"/>
        </w:rPr>
        <w:t xml:space="preserve">nulidad </w:t>
      </w:r>
      <w:r w:rsidRPr="00E0295B">
        <w:rPr>
          <w:rFonts w:ascii="Tahoma" w:hAnsi="Tahoma" w:cs="Tahoma"/>
        </w:rPr>
        <w:t>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7F23CB01" w14:textId="77777777" w:rsidR="00C62C60" w:rsidRPr="00E0295B" w:rsidRDefault="00C62C60" w:rsidP="00E0295B">
      <w:pPr>
        <w:pStyle w:val="Sinespaciado"/>
        <w:spacing w:line="276" w:lineRule="auto"/>
        <w:rPr>
          <w:rFonts w:ascii="Tahoma" w:hAnsi="Tahoma" w:cs="Tahoma"/>
        </w:rPr>
      </w:pPr>
    </w:p>
    <w:p w14:paraId="1B2FDCE0" w14:textId="77777777" w:rsidR="00C62C60" w:rsidRPr="00E0295B" w:rsidRDefault="00C62C60" w:rsidP="00E0295B">
      <w:pPr>
        <w:pStyle w:val="Prrafodelista"/>
        <w:spacing w:line="276" w:lineRule="auto"/>
        <w:ind w:left="0" w:firstLine="644"/>
        <w:jc w:val="both"/>
        <w:rPr>
          <w:rFonts w:ascii="Tahoma" w:hAnsi="Tahoma" w:cs="Tahoma"/>
        </w:rPr>
      </w:pPr>
      <w:r w:rsidRPr="00E0295B">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16394C6D" w14:textId="77777777" w:rsidR="00C62C60" w:rsidRPr="00E0295B" w:rsidRDefault="00C62C60" w:rsidP="00E0295B">
      <w:pPr>
        <w:pStyle w:val="Prrafodelista"/>
        <w:spacing w:line="276" w:lineRule="auto"/>
        <w:ind w:left="0"/>
        <w:jc w:val="both"/>
        <w:rPr>
          <w:rFonts w:ascii="Tahoma" w:hAnsi="Tahoma" w:cs="Tahoma"/>
        </w:rPr>
      </w:pPr>
    </w:p>
    <w:p w14:paraId="2F35BD47" w14:textId="77777777" w:rsidR="00C62C60" w:rsidRPr="00E0295B" w:rsidRDefault="00C62C60" w:rsidP="00E0295B">
      <w:pPr>
        <w:pStyle w:val="Prrafodelista"/>
        <w:spacing w:line="276" w:lineRule="auto"/>
        <w:ind w:left="0" w:firstLine="644"/>
        <w:jc w:val="both"/>
        <w:rPr>
          <w:rFonts w:ascii="Tahoma" w:hAnsi="Tahoma" w:cs="Tahoma"/>
          <w:b/>
        </w:rPr>
      </w:pPr>
      <w:r w:rsidRPr="00E0295B">
        <w:rPr>
          <w:rFonts w:ascii="Tahoma" w:hAnsi="Tahoma" w:cs="Tahoma"/>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E0295B">
        <w:rPr>
          <w:rFonts w:ascii="Tahoma" w:hAnsi="Tahoma" w:cs="Tahoma"/>
          <w:b/>
        </w:rPr>
        <w:t>, acreditar haber transmitido a la actora la información concreta y cierta, acerca de la implicación del traslado de régimen pensional.</w:t>
      </w:r>
    </w:p>
    <w:p w14:paraId="3BAB11CD" w14:textId="77777777" w:rsidR="00C62C60" w:rsidRPr="00E0295B" w:rsidRDefault="00C62C60" w:rsidP="00E0295B">
      <w:pPr>
        <w:pStyle w:val="Prrafodelista"/>
        <w:spacing w:line="276" w:lineRule="auto"/>
        <w:ind w:left="0"/>
        <w:jc w:val="both"/>
        <w:rPr>
          <w:rFonts w:ascii="Tahoma" w:hAnsi="Tahoma" w:cs="Tahoma"/>
          <w:b/>
        </w:rPr>
      </w:pPr>
    </w:p>
    <w:p w14:paraId="2CD6CA7A" w14:textId="77777777" w:rsidR="00C62C60" w:rsidRPr="00E0295B" w:rsidRDefault="00C62C60" w:rsidP="00E0295B">
      <w:pPr>
        <w:pStyle w:val="NormalWeb"/>
        <w:spacing w:before="0" w:beforeAutospacing="0" w:after="0" w:afterAutospacing="0" w:line="276" w:lineRule="auto"/>
        <w:ind w:firstLine="644"/>
        <w:jc w:val="both"/>
        <w:rPr>
          <w:rFonts w:ascii="Tahoma" w:hAnsi="Tahoma" w:cs="Tahoma"/>
          <w:color w:val="000000"/>
        </w:rPr>
      </w:pPr>
      <w:r w:rsidRPr="00E0295B">
        <w:rPr>
          <w:rFonts w:ascii="Tahoma" w:hAnsi="Tahoma" w:cs="Tahoma"/>
          <w:color w:val="000000"/>
        </w:rPr>
        <w:t xml:space="preserve">En realidad, mínimo la AFP tendría que haber dado la siguiente información: </w:t>
      </w:r>
      <w:r w:rsidRPr="00E0295B">
        <w:rPr>
          <w:rFonts w:ascii="Tahoma" w:hAnsi="Tahoma" w:cs="Tahoma"/>
          <w:i/>
          <w:color w:val="000000"/>
        </w:rPr>
        <w:t xml:space="preserve">i) </w:t>
      </w:r>
      <w:r w:rsidRPr="00E0295B">
        <w:rPr>
          <w:rFonts w:ascii="Tahoma" w:hAnsi="Tahoma" w:cs="Tahoma"/>
          <w:color w:val="000000"/>
        </w:rPr>
        <w:t xml:space="preserve">Que dependiendo del capital, puede pensionarse anticipadamente, esto es, antes de la edad mínima para la pensión de vejez. </w:t>
      </w:r>
      <w:r w:rsidRPr="00E0295B">
        <w:rPr>
          <w:rFonts w:ascii="Tahoma" w:hAnsi="Tahoma" w:cs="Tahoma"/>
          <w:i/>
          <w:color w:val="000000"/>
        </w:rPr>
        <w:t xml:space="preserve">ii) </w:t>
      </w:r>
      <w:r w:rsidRPr="00E0295B">
        <w:rPr>
          <w:rFonts w:ascii="Tahoma" w:hAnsi="Tahoma" w:cs="Tahoma"/>
          <w:color w:val="000000"/>
        </w:rPr>
        <w:t xml:space="preserve">La posibilidad para sus herederos de hacerse a la devolución de saldos, en caso de que no existieran beneficiaros para la pensión de sobrevivientes. </w:t>
      </w:r>
      <w:r w:rsidRPr="00E0295B">
        <w:rPr>
          <w:rFonts w:ascii="Tahoma" w:hAnsi="Tahoma" w:cs="Tahoma"/>
          <w:i/>
          <w:color w:val="000000"/>
        </w:rPr>
        <w:t xml:space="preserve">iii) </w:t>
      </w:r>
      <w:r w:rsidRPr="00E0295B">
        <w:rPr>
          <w:rFonts w:ascii="Tahoma" w:hAnsi="Tahoma" w:cs="Tahoma"/>
          <w:color w:val="000000"/>
        </w:rPr>
        <w:t xml:space="preserve">La devolución total del saldo en caso de no alcanzar a reunir el total de los requisitos legales para optar al beneficio pensional. </w:t>
      </w:r>
      <w:r w:rsidRPr="00E0295B">
        <w:rPr>
          <w:rFonts w:ascii="Tahoma" w:hAnsi="Tahoma" w:cs="Tahoma"/>
          <w:i/>
          <w:color w:val="000000"/>
        </w:rPr>
        <w:t xml:space="preserve">iv) </w:t>
      </w:r>
      <w:r w:rsidRPr="00E0295B">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E0295B">
        <w:rPr>
          <w:rFonts w:ascii="Tahoma" w:hAnsi="Tahoma" w:cs="Tahoma"/>
          <w:i/>
          <w:color w:val="000000"/>
        </w:rPr>
        <w:t xml:space="preserve">v) </w:t>
      </w:r>
      <w:r w:rsidRPr="00E0295B">
        <w:rPr>
          <w:rFonts w:ascii="Tahoma" w:hAnsi="Tahoma" w:cs="Tahoma"/>
          <w:color w:val="000000"/>
        </w:rPr>
        <w:t xml:space="preserve">La posibilidad de que el reconocimiento de la pensión de vejez, una vez reunido los requisitos, se haga pronto. </w:t>
      </w:r>
      <w:proofErr w:type="gramStart"/>
      <w:r w:rsidRPr="00E0295B">
        <w:rPr>
          <w:rFonts w:ascii="Tahoma" w:hAnsi="Tahoma" w:cs="Tahoma"/>
          <w:i/>
          <w:color w:val="000000"/>
        </w:rPr>
        <w:t>vi</w:t>
      </w:r>
      <w:proofErr w:type="gramEnd"/>
      <w:r w:rsidRPr="00E0295B">
        <w:rPr>
          <w:rFonts w:ascii="Tahoma" w:hAnsi="Tahoma" w:cs="Tahoma"/>
          <w:i/>
          <w:color w:val="000000"/>
        </w:rPr>
        <w:t xml:space="preserve">) </w:t>
      </w:r>
      <w:r w:rsidRPr="00E0295B">
        <w:rPr>
          <w:rFonts w:ascii="Tahoma" w:hAnsi="Tahoma" w:cs="Tahoma"/>
          <w:color w:val="000000"/>
        </w:rPr>
        <w:t xml:space="preserve">La posibilidad de que sus aportes se conviertan en patrimonio </w:t>
      </w:r>
      <w:proofErr w:type="spellStart"/>
      <w:r w:rsidRPr="00E0295B">
        <w:rPr>
          <w:rFonts w:ascii="Tahoma" w:hAnsi="Tahoma" w:cs="Tahoma"/>
          <w:color w:val="000000"/>
        </w:rPr>
        <w:t>sucesoral</w:t>
      </w:r>
      <w:proofErr w:type="spellEnd"/>
      <w:r w:rsidRPr="00E0295B">
        <w:rPr>
          <w:rFonts w:ascii="Tahoma" w:hAnsi="Tahoma" w:cs="Tahoma"/>
          <w:color w:val="000000"/>
        </w:rPr>
        <w:t xml:space="preserve"> en un caso dado. </w:t>
      </w:r>
      <w:r w:rsidRPr="00E0295B">
        <w:rPr>
          <w:rFonts w:ascii="Tahoma" w:hAnsi="Tahoma" w:cs="Tahoma"/>
          <w:i/>
          <w:color w:val="000000"/>
        </w:rPr>
        <w:t xml:space="preserve">vii) </w:t>
      </w:r>
      <w:r w:rsidRPr="00E0295B">
        <w:rPr>
          <w:rFonts w:ascii="Tahoma" w:hAnsi="Tahoma" w:cs="Tahoma"/>
          <w:color w:val="000000"/>
        </w:rPr>
        <w:t xml:space="preserve">El hecho de que el afiliado es el único titular de la cuenta de ahorro individual en contraste con el fondo público cuyos ahorros hacen parte de un fondo común. </w:t>
      </w:r>
      <w:r w:rsidRPr="00E0295B">
        <w:rPr>
          <w:rFonts w:ascii="Tahoma" w:hAnsi="Tahoma" w:cs="Tahoma"/>
          <w:i/>
          <w:color w:val="000000"/>
        </w:rPr>
        <w:t xml:space="preserve">viii) </w:t>
      </w:r>
      <w:r w:rsidRPr="00E0295B">
        <w:rPr>
          <w:rFonts w:ascii="Tahoma" w:hAnsi="Tahoma" w:cs="Tahoma"/>
          <w:color w:val="000000"/>
        </w:rPr>
        <w:t xml:space="preserve">Los rendimientos financieros que le generen sus aportes abonados sobre el saldo de su cuenta de ahorro individual; y, </w:t>
      </w:r>
      <w:r w:rsidRPr="00E0295B">
        <w:rPr>
          <w:rFonts w:ascii="Tahoma" w:hAnsi="Tahoma" w:cs="Tahoma"/>
          <w:i/>
          <w:color w:val="000000"/>
        </w:rPr>
        <w:t xml:space="preserve">ix) </w:t>
      </w:r>
      <w:r w:rsidRPr="00E0295B">
        <w:rPr>
          <w:rFonts w:ascii="Tahoma" w:hAnsi="Tahoma" w:cs="Tahoma"/>
          <w:color w:val="000000"/>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E0295B">
        <w:rPr>
          <w:rFonts w:ascii="Tahoma" w:hAnsi="Tahoma" w:cs="Tahoma"/>
          <w:color w:val="000000"/>
        </w:rPr>
        <w:t>sucesoral</w:t>
      </w:r>
      <w:proofErr w:type="spellEnd"/>
      <w:r w:rsidRPr="00E0295B">
        <w:rPr>
          <w:rFonts w:ascii="Tahoma" w:hAnsi="Tahoma" w:cs="Tahoma"/>
          <w:color w:val="000000"/>
        </w:rPr>
        <w:t xml:space="preserve"> pero le garantiza una pensión de por vida. La modalidad de </w:t>
      </w:r>
      <w:r w:rsidRPr="00E0295B">
        <w:rPr>
          <w:rFonts w:ascii="Tahoma" w:hAnsi="Tahoma" w:cs="Tahoma"/>
          <w:i/>
          <w:color w:val="000000"/>
        </w:rPr>
        <w:t>retiro programado</w:t>
      </w:r>
      <w:r w:rsidRPr="00E0295B">
        <w:rPr>
          <w:rFonts w:ascii="Tahoma" w:hAnsi="Tahoma" w:cs="Tahoma"/>
          <w:color w:val="000000"/>
        </w:rPr>
        <w:t xml:space="preserve"> la cual tiene la desventaja de que una vez se termine el saldo en la cuenta de ahorro individual, si supera la expectativa de vida tenida en cuenta por la AFP, se queda sin pensión de </w:t>
      </w:r>
      <w:r w:rsidRPr="00E0295B">
        <w:rPr>
          <w:rFonts w:ascii="Tahoma" w:hAnsi="Tahoma" w:cs="Tahoma"/>
          <w:color w:val="000000"/>
        </w:rPr>
        <w:lastRenderedPageBreak/>
        <w:t>vejez durante los años posteriores. La modalidad de retiro programado con renta vitalicia, que combina las dos anteriores.</w:t>
      </w:r>
    </w:p>
    <w:p w14:paraId="47227E77" w14:textId="77777777" w:rsidR="00C62C60" w:rsidRPr="00E0295B" w:rsidRDefault="00C62C60" w:rsidP="00E0295B">
      <w:pPr>
        <w:pStyle w:val="Sinespaciado"/>
        <w:spacing w:line="276" w:lineRule="auto"/>
        <w:rPr>
          <w:rFonts w:ascii="Tahoma" w:hAnsi="Tahoma" w:cs="Tahoma"/>
        </w:rPr>
      </w:pPr>
    </w:p>
    <w:p w14:paraId="115A7466" w14:textId="77777777" w:rsidR="00C62C60" w:rsidRPr="00E0295B" w:rsidRDefault="00C62C60" w:rsidP="00E0295B">
      <w:pPr>
        <w:pStyle w:val="NormalWeb"/>
        <w:spacing w:before="0" w:beforeAutospacing="0" w:after="0" w:afterAutospacing="0" w:line="276" w:lineRule="auto"/>
        <w:ind w:firstLine="644"/>
        <w:jc w:val="both"/>
        <w:rPr>
          <w:rFonts w:ascii="Tahoma" w:hAnsi="Tahoma" w:cs="Tahoma"/>
          <w:color w:val="000000"/>
        </w:rPr>
      </w:pPr>
      <w:r w:rsidRPr="00E0295B">
        <w:rPr>
          <w:rFonts w:ascii="Tahoma" w:hAnsi="Tahoma" w:cs="Tahoma"/>
          <w:color w:val="000000"/>
        </w:rPr>
        <w:t xml:space="preserve">La AFP </w:t>
      </w:r>
      <w:r w:rsidR="00956075" w:rsidRPr="00E0295B">
        <w:rPr>
          <w:rFonts w:ascii="Tahoma" w:hAnsi="Tahoma" w:cs="Tahoma"/>
          <w:color w:val="000000"/>
        </w:rPr>
        <w:t xml:space="preserve">Porvenir </w:t>
      </w:r>
      <w:r w:rsidRPr="00E0295B">
        <w:rPr>
          <w:rFonts w:ascii="Tahoma" w:hAnsi="Tahoma" w:cs="Tahoma"/>
          <w:color w:val="000000"/>
        </w:rPr>
        <w:t xml:space="preserve">afirma en su contestación que brindó la información </w:t>
      </w:r>
      <w:r w:rsidRPr="00E0295B">
        <w:rPr>
          <w:rFonts w:ascii="Tahoma" w:hAnsi="Tahoma" w:cs="Tahoma"/>
          <w:lang w:val="es-CO"/>
        </w:rPr>
        <w:t>seria y veraz que para la época era jurídicamente pertinente</w:t>
      </w:r>
      <w:r w:rsidRPr="00E0295B">
        <w:rPr>
          <w:rFonts w:ascii="Tahoma" w:hAnsi="Tahoma" w:cs="Tahoma"/>
          <w:color w:val="000000"/>
        </w:rPr>
        <w:t xml:space="preserv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56302660" w14:textId="77777777" w:rsidR="00C62C60" w:rsidRPr="00E0295B" w:rsidRDefault="00C62C60" w:rsidP="00E0295B">
      <w:pPr>
        <w:pStyle w:val="Sinespaciado"/>
        <w:spacing w:line="276" w:lineRule="auto"/>
        <w:rPr>
          <w:rFonts w:ascii="Tahoma" w:hAnsi="Tahoma" w:cs="Tahoma"/>
        </w:rPr>
      </w:pPr>
    </w:p>
    <w:p w14:paraId="103D08FE" w14:textId="04F9B6F0" w:rsidR="00C62C60" w:rsidRPr="00E0295B" w:rsidRDefault="00C62C60" w:rsidP="00E0295B">
      <w:pPr>
        <w:spacing w:line="276" w:lineRule="auto"/>
        <w:rPr>
          <w:rFonts w:ascii="Tahoma" w:hAnsi="Tahoma" w:cs="Tahoma"/>
          <w:sz w:val="24"/>
          <w:szCs w:val="24"/>
        </w:rPr>
      </w:pPr>
      <w:r w:rsidRPr="00E0295B">
        <w:rPr>
          <w:rFonts w:ascii="Tahoma" w:hAnsi="Tahoma" w:cs="Tahoma"/>
          <w:sz w:val="24"/>
          <w:szCs w:val="24"/>
        </w:rPr>
        <w:t xml:space="preserve">Con todo hay que indicar que como prueba del cumplimiento del deber de información y buen consejo, la AFP </w:t>
      </w:r>
      <w:r w:rsidR="00956075" w:rsidRPr="00E0295B">
        <w:rPr>
          <w:rFonts w:ascii="Tahoma" w:hAnsi="Tahoma" w:cs="Tahoma"/>
          <w:sz w:val="24"/>
          <w:szCs w:val="24"/>
        </w:rPr>
        <w:t xml:space="preserve">Porvenir </w:t>
      </w:r>
      <w:r w:rsidRPr="00E0295B">
        <w:rPr>
          <w:rFonts w:ascii="Tahoma" w:hAnsi="Tahoma" w:cs="Tahoma"/>
          <w:sz w:val="24"/>
          <w:szCs w:val="24"/>
        </w:rPr>
        <w:t>llamó a declarar a su contraparte procesal, de cuya declaración, la Sala comparte la conclusión a la que llegó la Jueza de instancia en el sentido de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w:t>
      </w:r>
      <w:r w:rsidR="00956075" w:rsidRPr="00E0295B">
        <w:rPr>
          <w:rFonts w:ascii="Tahoma" w:hAnsi="Tahoma" w:cs="Tahoma"/>
          <w:sz w:val="24"/>
          <w:szCs w:val="24"/>
        </w:rPr>
        <w:t xml:space="preserve"> Quizá lo único que quedó probado con el interrogatorio es el relativo a la afirmación de que el asesor le aseguró que el ISS se iba acabar, cuestión que si bien se dio en el </w:t>
      </w:r>
      <w:r w:rsidR="00250D85" w:rsidRPr="00E0295B">
        <w:rPr>
          <w:rFonts w:ascii="Tahoma" w:hAnsi="Tahoma" w:cs="Tahoma"/>
          <w:sz w:val="24"/>
          <w:szCs w:val="24"/>
        </w:rPr>
        <w:t xml:space="preserve">año </w:t>
      </w:r>
      <w:r w:rsidR="00956075" w:rsidRPr="00E0295B">
        <w:rPr>
          <w:rFonts w:ascii="Tahoma" w:hAnsi="Tahoma" w:cs="Tahoma"/>
          <w:sz w:val="24"/>
          <w:szCs w:val="24"/>
        </w:rPr>
        <w:t>2015, en realidad la liquidación del ISS no implicó la terminación del régimen de prima media al cual estaba afiliada, con lo cual dicha información resultó falaz. El otro elemento de prueba que esgrime la AFP es el formulario de afiliación suscrito por la promotora de la litis pero dicho documento no logra evidenciar la información que se le brindó. En tal virtud se estima acertada la valoración probatoria efectuada por la operadora judicial de instancia.</w:t>
      </w:r>
    </w:p>
    <w:p w14:paraId="108EC321" w14:textId="77777777" w:rsidR="00C62C60" w:rsidRPr="00E0295B" w:rsidRDefault="00C62C60" w:rsidP="00E0295B">
      <w:pPr>
        <w:spacing w:line="276" w:lineRule="auto"/>
        <w:ind w:firstLine="0"/>
        <w:rPr>
          <w:rFonts w:ascii="Tahoma" w:hAnsi="Tahoma" w:cs="Tahoma"/>
          <w:sz w:val="24"/>
          <w:szCs w:val="24"/>
        </w:rPr>
      </w:pPr>
    </w:p>
    <w:p w14:paraId="4FE08E12" w14:textId="77777777" w:rsidR="00C62C60" w:rsidRPr="00E0295B" w:rsidRDefault="00C62C60" w:rsidP="00E0295B">
      <w:pPr>
        <w:spacing w:line="276" w:lineRule="auto"/>
        <w:rPr>
          <w:rFonts w:ascii="Tahoma" w:hAnsi="Tahoma" w:cs="Tahoma"/>
          <w:sz w:val="24"/>
          <w:szCs w:val="24"/>
        </w:rPr>
      </w:pPr>
      <w:r w:rsidRPr="00E0295B">
        <w:rPr>
          <w:rFonts w:ascii="Tahoma" w:hAnsi="Tahoma" w:cs="Tahoma"/>
          <w:sz w:val="24"/>
          <w:szCs w:val="24"/>
        </w:rPr>
        <w:t>Pero además, a juicio de esta colegiatura, si el asesor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parte demandante –al menos de manera sucinta- esas situaciones antes de permitirle diligenciar el formulario de vinculación; no obstante, la prueba documental sólo permite concluir que esa trascendental decisión se limitó a la suscripción del aludido documento.</w:t>
      </w:r>
    </w:p>
    <w:p w14:paraId="74B73482" w14:textId="77777777" w:rsidR="00C62C60" w:rsidRPr="00E0295B" w:rsidRDefault="00C62C60" w:rsidP="00E0295B">
      <w:pPr>
        <w:spacing w:line="276" w:lineRule="auto"/>
        <w:rPr>
          <w:rFonts w:ascii="Tahoma" w:hAnsi="Tahoma" w:cs="Tahoma"/>
          <w:sz w:val="24"/>
          <w:szCs w:val="24"/>
        </w:rPr>
      </w:pPr>
    </w:p>
    <w:p w14:paraId="3366559D" w14:textId="77777777" w:rsidR="00C62C60" w:rsidRPr="00E0295B" w:rsidRDefault="00C62C60" w:rsidP="00E0295B">
      <w:pPr>
        <w:spacing w:line="276" w:lineRule="auto"/>
        <w:rPr>
          <w:rFonts w:ascii="Tahoma" w:hAnsi="Tahoma" w:cs="Tahoma"/>
          <w:sz w:val="24"/>
          <w:szCs w:val="24"/>
        </w:rPr>
      </w:pPr>
      <w:r w:rsidRPr="00E0295B">
        <w:rPr>
          <w:rFonts w:ascii="Tahoma" w:hAnsi="Tahoma" w:cs="Tahoma"/>
          <w:sz w:val="24"/>
          <w:szCs w:val="24"/>
        </w:rPr>
        <w:t xml:space="preserve">Por otra parte, se dirá que de conformidad con las sentencias SL1421 de 2019 y SL 2611 de 2020, M.P. Gerardo Botero Zuluaga, previamente citadas, es su deber trasladar a Colpensiones los gastos de administración, debidamente indexados, cancelados por la actora en razón a que los mismos fueron el resultado de una conducta indebida al momento del traslado, de modo que no pueden permanecer en sus arcas sino retornar al régimen de prima media. De igual manera, y en virtud del grado jurisdiccional de consulta en favor de COLPENSIONES, la AFP debe reintegrar a </w:t>
      </w:r>
      <w:r w:rsidRPr="00E0295B">
        <w:rPr>
          <w:rFonts w:ascii="Tahoma" w:hAnsi="Tahoma" w:cs="Tahoma"/>
          <w:sz w:val="24"/>
          <w:szCs w:val="24"/>
        </w:rPr>
        <w:lastRenderedPageBreak/>
        <w:t>dicha entidad (Colpensiones), los valores utilizados en seguros previsionales y garantía de pensión mínima, sumas todas que deben pagarse debidamente indexadas.</w:t>
      </w:r>
    </w:p>
    <w:p w14:paraId="77EF4192" w14:textId="77777777" w:rsidR="00C62C60" w:rsidRPr="00E0295B" w:rsidRDefault="00C62C60" w:rsidP="00E0295B">
      <w:pPr>
        <w:spacing w:line="276" w:lineRule="auto"/>
        <w:rPr>
          <w:rFonts w:ascii="Tahoma" w:hAnsi="Tahoma" w:cs="Tahoma"/>
          <w:sz w:val="24"/>
          <w:szCs w:val="24"/>
        </w:rPr>
      </w:pPr>
    </w:p>
    <w:p w14:paraId="30B38091" w14:textId="77777777" w:rsidR="00C62C60" w:rsidRPr="00E0295B" w:rsidRDefault="00C62C60" w:rsidP="00E0295B">
      <w:pPr>
        <w:spacing w:line="276" w:lineRule="auto"/>
        <w:rPr>
          <w:rFonts w:ascii="Tahoma" w:eastAsia="Arial" w:hAnsi="Tahoma" w:cs="Tahoma"/>
          <w:sz w:val="24"/>
          <w:szCs w:val="24"/>
        </w:rPr>
      </w:pPr>
      <w:r w:rsidRPr="00E0295B">
        <w:rPr>
          <w:rFonts w:ascii="Tahoma" w:eastAsia="Arial" w:hAnsi="Tahoma" w:cs="Tahoma"/>
          <w:sz w:val="24"/>
          <w:szCs w:val="24"/>
        </w:rPr>
        <w:t xml:space="preserve">Frente a la solicitud de COLPENSIONES consistente en que se condene a </w:t>
      </w:r>
      <w:r w:rsidR="00C203F5" w:rsidRPr="00E0295B">
        <w:rPr>
          <w:rFonts w:ascii="Tahoma" w:eastAsia="Arial" w:hAnsi="Tahoma" w:cs="Tahoma"/>
          <w:sz w:val="24"/>
          <w:szCs w:val="24"/>
        </w:rPr>
        <w:t>Porvenir S.A.</w:t>
      </w:r>
      <w:r w:rsidRPr="00E0295B">
        <w:rPr>
          <w:rFonts w:ascii="Tahoma" w:eastAsia="Arial" w:hAnsi="Tahoma" w:cs="Tahoma"/>
          <w:sz w:val="24"/>
          <w:szCs w:val="24"/>
        </w:rPr>
        <w:t xml:space="preserve"> en costas procesales a su favor, hay que reiterar lo que esta Corporación ha dicho en otros asuntos similares, en el sentido de que no se dan los presupuestos establecidos en el artículo 365 del CGP, por cuanto en este evento no existe una controversia que deba dirimirse entre COLPENSIONES y los fondos privados, ya que ninguno de ellos inició la presente acción en contra de la otra y en consecuencia no puede decirse que existe vencedor y vencido entre ellas en este trámite procesal, aunado al hecho de que COLPENSIONES jamás planteó tal pedimento en la contestación de la demanda.</w:t>
      </w:r>
    </w:p>
    <w:p w14:paraId="7157FE55" w14:textId="77777777" w:rsidR="00C203F5" w:rsidRPr="00855CCB" w:rsidRDefault="00C203F5" w:rsidP="00855CCB">
      <w:pPr>
        <w:pStyle w:val="Prrafodelista2"/>
        <w:spacing w:after="0" w:line="240" w:lineRule="auto"/>
        <w:ind w:left="0"/>
        <w:jc w:val="both"/>
        <w:rPr>
          <w:rFonts w:ascii="Tahoma" w:hAnsi="Tahoma" w:cs="Tahoma"/>
          <w:color w:val="000000" w:themeColor="text1"/>
          <w:sz w:val="24"/>
          <w:szCs w:val="24"/>
          <w:lang w:val="es-ES_tradnl"/>
        </w:rPr>
      </w:pPr>
    </w:p>
    <w:p w14:paraId="57C503E8" w14:textId="77777777" w:rsidR="00C62C60" w:rsidRPr="00E0295B" w:rsidRDefault="00C62C60" w:rsidP="00E0295B">
      <w:pPr>
        <w:spacing w:line="276" w:lineRule="auto"/>
        <w:rPr>
          <w:rFonts w:ascii="Tahoma" w:hAnsi="Tahoma" w:cs="Tahoma"/>
          <w:bCs/>
          <w:sz w:val="24"/>
          <w:szCs w:val="24"/>
        </w:rPr>
      </w:pPr>
      <w:r w:rsidRPr="00E0295B">
        <w:rPr>
          <w:rFonts w:ascii="Tahoma" w:hAnsi="Tahoma" w:cs="Tahoma"/>
          <w:sz w:val="24"/>
          <w:szCs w:val="24"/>
        </w:rPr>
        <w:t xml:space="preserve">Finalmente, en virtud del grado jurisdiccional de consulta, es necesario aclarar y adicionar los numerales primero y segundo de la parte resolutiva de la sentencia por las siguientes razones: En la sentencia de primer grado se declaró la ineficacia del traslado que efectuó la demandante a la </w:t>
      </w:r>
      <w:r w:rsidRPr="00E0295B">
        <w:rPr>
          <w:rFonts w:ascii="Tahoma" w:hAnsi="Tahoma" w:cs="Tahoma"/>
          <w:b/>
          <w:bCs/>
          <w:sz w:val="24"/>
          <w:szCs w:val="24"/>
        </w:rPr>
        <w:t>Administradora de Fondos de Pensiones –</w:t>
      </w:r>
      <w:r w:rsidRPr="00E0295B">
        <w:rPr>
          <w:rFonts w:ascii="Tahoma" w:hAnsi="Tahoma" w:cs="Tahoma"/>
          <w:sz w:val="24"/>
          <w:szCs w:val="24"/>
        </w:rPr>
        <w:t xml:space="preserve"> </w:t>
      </w:r>
      <w:r w:rsidR="00C203F5" w:rsidRPr="00E0295B">
        <w:rPr>
          <w:rFonts w:ascii="Tahoma" w:hAnsi="Tahoma" w:cs="Tahoma"/>
          <w:b/>
          <w:sz w:val="24"/>
          <w:szCs w:val="24"/>
        </w:rPr>
        <w:t xml:space="preserve">Horizonte Pensiones y Cesantías </w:t>
      </w:r>
      <w:r w:rsidRPr="00E0295B">
        <w:rPr>
          <w:rFonts w:ascii="Tahoma" w:hAnsi="Tahoma" w:cs="Tahoma"/>
          <w:b/>
          <w:bCs/>
          <w:sz w:val="24"/>
          <w:szCs w:val="24"/>
        </w:rPr>
        <w:t xml:space="preserve">S.A. </w:t>
      </w:r>
      <w:r w:rsidR="00C203F5" w:rsidRPr="00E0295B">
        <w:rPr>
          <w:rFonts w:ascii="Tahoma" w:hAnsi="Tahoma" w:cs="Tahoma"/>
          <w:b/>
          <w:bCs/>
          <w:sz w:val="24"/>
          <w:szCs w:val="24"/>
        </w:rPr>
        <w:t xml:space="preserve">– hoy Porvenir S.A. </w:t>
      </w:r>
      <w:r w:rsidRPr="00E0295B">
        <w:rPr>
          <w:rFonts w:ascii="Tahoma" w:hAnsi="Tahoma" w:cs="Tahoma"/>
          <w:bCs/>
          <w:sz w:val="24"/>
          <w:szCs w:val="24"/>
        </w:rPr>
        <w:t xml:space="preserve">el </w:t>
      </w:r>
      <w:r w:rsidR="00C203F5" w:rsidRPr="00E0295B">
        <w:rPr>
          <w:rFonts w:ascii="Tahoma" w:hAnsi="Tahoma" w:cs="Tahoma"/>
          <w:bCs/>
          <w:sz w:val="24"/>
          <w:szCs w:val="24"/>
        </w:rPr>
        <w:t>31</w:t>
      </w:r>
      <w:r w:rsidRPr="00E0295B">
        <w:rPr>
          <w:rFonts w:ascii="Tahoma" w:hAnsi="Tahoma" w:cs="Tahoma"/>
          <w:bCs/>
          <w:sz w:val="24"/>
          <w:szCs w:val="24"/>
        </w:rPr>
        <w:t xml:space="preserve"> de </w:t>
      </w:r>
      <w:r w:rsidR="00C203F5" w:rsidRPr="00E0295B">
        <w:rPr>
          <w:rFonts w:ascii="Tahoma" w:hAnsi="Tahoma" w:cs="Tahoma"/>
          <w:bCs/>
          <w:sz w:val="24"/>
          <w:szCs w:val="24"/>
        </w:rPr>
        <w:t>julio de 1995</w:t>
      </w:r>
      <w:r w:rsidRPr="00E0295B">
        <w:rPr>
          <w:rFonts w:ascii="Tahoma" w:hAnsi="Tahoma" w:cs="Tahoma"/>
          <w:bCs/>
          <w:sz w:val="24"/>
          <w:szCs w:val="24"/>
        </w:rPr>
        <w:t xml:space="preserve">. No obstante, y a pesar de que esta ineficacia deja sin efectos la segunda afiliación que hizo la Sra. </w:t>
      </w:r>
      <w:r w:rsidR="00C203F5" w:rsidRPr="00E0295B">
        <w:rPr>
          <w:rFonts w:ascii="Tahoma" w:hAnsi="Tahoma" w:cs="Tahoma"/>
          <w:bCs/>
          <w:sz w:val="24"/>
          <w:szCs w:val="24"/>
        </w:rPr>
        <w:t>María Eugenia Suarez Acevedo</w:t>
      </w:r>
      <w:r w:rsidRPr="00E0295B">
        <w:rPr>
          <w:rFonts w:ascii="Tahoma" w:hAnsi="Tahoma" w:cs="Tahoma"/>
          <w:bCs/>
          <w:sz w:val="24"/>
          <w:szCs w:val="24"/>
        </w:rPr>
        <w:t xml:space="preserve"> </w:t>
      </w:r>
      <w:r w:rsidRPr="00E0295B">
        <w:rPr>
          <w:rFonts w:ascii="Tahoma" w:hAnsi="Tahoma" w:cs="Tahoma"/>
          <w:sz w:val="24"/>
          <w:szCs w:val="24"/>
          <w:lang w:val="es-CO"/>
        </w:rPr>
        <w:t xml:space="preserve">a la </w:t>
      </w:r>
      <w:r w:rsidR="00C203F5" w:rsidRPr="00E0295B">
        <w:rPr>
          <w:rFonts w:ascii="Tahoma" w:hAnsi="Tahoma" w:cs="Tahoma"/>
          <w:b/>
          <w:sz w:val="24"/>
          <w:szCs w:val="24"/>
          <w:lang w:val="es-CO"/>
        </w:rPr>
        <w:t>AFP Santander S.A., hoy Protección S.A.</w:t>
      </w:r>
      <w:r w:rsidRPr="00E0295B">
        <w:rPr>
          <w:rFonts w:ascii="Tahoma" w:hAnsi="Tahoma" w:cs="Tahoma"/>
          <w:b/>
          <w:bCs/>
          <w:sz w:val="24"/>
          <w:szCs w:val="24"/>
        </w:rPr>
        <w:t xml:space="preserve"> el </w:t>
      </w:r>
      <w:r w:rsidR="00C203F5" w:rsidRPr="00E0295B">
        <w:rPr>
          <w:rFonts w:ascii="Tahoma" w:hAnsi="Tahoma" w:cs="Tahoma"/>
          <w:b/>
          <w:sz w:val="24"/>
          <w:szCs w:val="24"/>
          <w:lang w:val="es-CO"/>
        </w:rPr>
        <w:t>20 de mayo de 1996</w:t>
      </w:r>
      <w:r w:rsidRPr="00E0295B">
        <w:rPr>
          <w:rFonts w:ascii="Tahoma" w:hAnsi="Tahoma" w:cs="Tahoma"/>
          <w:bCs/>
          <w:sz w:val="24"/>
          <w:szCs w:val="24"/>
        </w:rPr>
        <w:t xml:space="preserve">, para claridad del asunto y para dar las órdenes pertinentes, es necesario declarar tal cosa. En este sentido se </w:t>
      </w:r>
      <w:r w:rsidRPr="00E0295B">
        <w:rPr>
          <w:rFonts w:ascii="Tahoma" w:hAnsi="Tahoma" w:cs="Tahoma"/>
          <w:b/>
          <w:bCs/>
          <w:sz w:val="24"/>
          <w:szCs w:val="24"/>
        </w:rPr>
        <w:t xml:space="preserve">adicionará </w:t>
      </w:r>
      <w:r w:rsidRPr="00E0295B">
        <w:rPr>
          <w:rFonts w:ascii="Tahoma" w:hAnsi="Tahoma" w:cs="Tahoma"/>
          <w:bCs/>
          <w:sz w:val="24"/>
          <w:szCs w:val="24"/>
        </w:rPr>
        <w:t xml:space="preserve">el numeral primero de la sentencia de primer grado en virtud del grado jurisdiccional de consulta. </w:t>
      </w:r>
    </w:p>
    <w:p w14:paraId="3C33AD07" w14:textId="77777777" w:rsidR="00C62C60" w:rsidRPr="00855CCB" w:rsidRDefault="00C62C60" w:rsidP="00855CCB">
      <w:pPr>
        <w:pStyle w:val="Prrafodelista2"/>
        <w:spacing w:after="0" w:line="240" w:lineRule="auto"/>
        <w:ind w:left="0"/>
        <w:jc w:val="both"/>
        <w:rPr>
          <w:rFonts w:ascii="Tahoma" w:hAnsi="Tahoma" w:cs="Tahoma"/>
          <w:color w:val="000000" w:themeColor="text1"/>
          <w:sz w:val="24"/>
          <w:szCs w:val="24"/>
          <w:lang w:val="es-ES_tradnl"/>
        </w:rPr>
      </w:pPr>
    </w:p>
    <w:p w14:paraId="2581C5E7" w14:textId="36EF8F77" w:rsidR="00C62C60" w:rsidRPr="00E0295B" w:rsidRDefault="00C62C60" w:rsidP="00E0295B">
      <w:pPr>
        <w:spacing w:line="276" w:lineRule="auto"/>
        <w:rPr>
          <w:rFonts w:ascii="Tahoma" w:hAnsi="Tahoma" w:cs="Tahoma"/>
          <w:sz w:val="24"/>
          <w:szCs w:val="24"/>
        </w:rPr>
      </w:pPr>
      <w:r w:rsidRPr="00E0295B">
        <w:rPr>
          <w:rFonts w:ascii="Tahoma" w:hAnsi="Tahoma" w:cs="Tahoma"/>
          <w:bCs/>
          <w:sz w:val="24"/>
          <w:szCs w:val="24"/>
        </w:rPr>
        <w:t xml:space="preserve">Lo anterior, a su vez, incide en las condenas a las que hay lugar, por cuanto la orden de </w:t>
      </w:r>
      <w:r w:rsidRPr="00E0295B">
        <w:rPr>
          <w:rFonts w:ascii="Tahoma" w:hAnsi="Tahoma" w:cs="Tahoma"/>
          <w:sz w:val="24"/>
          <w:szCs w:val="24"/>
          <w:lang w:val="es-CO"/>
        </w:rPr>
        <w:t xml:space="preserve">trasladar </w:t>
      </w:r>
      <w:r w:rsidR="00250D85" w:rsidRPr="00E0295B">
        <w:rPr>
          <w:rFonts w:ascii="Tahoma" w:hAnsi="Tahoma" w:cs="Tahoma"/>
          <w:sz w:val="24"/>
          <w:szCs w:val="24"/>
          <w:lang w:val="es-CO"/>
        </w:rPr>
        <w:t xml:space="preserve">las </w:t>
      </w:r>
      <w:r w:rsidRPr="00E0295B">
        <w:rPr>
          <w:rFonts w:ascii="Tahoma" w:hAnsi="Tahoma" w:cs="Tahoma"/>
          <w:sz w:val="24"/>
          <w:szCs w:val="24"/>
          <w:lang w:val="es-CO"/>
        </w:rPr>
        <w:t xml:space="preserve">cuotas de administración a Colpensiones, debe dirigirse a los dos fondos de pensiones privados demandados y no solamente a la </w:t>
      </w:r>
      <w:r w:rsidRPr="00E0295B">
        <w:rPr>
          <w:rFonts w:ascii="Tahoma" w:hAnsi="Tahoma" w:cs="Tahoma"/>
          <w:b/>
          <w:bCs/>
          <w:sz w:val="24"/>
          <w:szCs w:val="24"/>
        </w:rPr>
        <w:t>Administradora de Fondos de Pensiones –</w:t>
      </w:r>
      <w:r w:rsidRPr="00E0295B">
        <w:rPr>
          <w:rFonts w:ascii="Tahoma" w:hAnsi="Tahoma" w:cs="Tahoma"/>
          <w:sz w:val="24"/>
          <w:szCs w:val="24"/>
        </w:rPr>
        <w:t xml:space="preserve"> </w:t>
      </w:r>
      <w:r w:rsidRPr="00E0295B">
        <w:rPr>
          <w:rFonts w:ascii="Tahoma" w:hAnsi="Tahoma" w:cs="Tahoma"/>
          <w:b/>
          <w:bCs/>
          <w:sz w:val="24"/>
          <w:szCs w:val="24"/>
        </w:rPr>
        <w:t xml:space="preserve">Protección S.A. </w:t>
      </w:r>
      <w:r w:rsidRPr="00E0295B">
        <w:rPr>
          <w:rFonts w:ascii="Tahoma" w:hAnsi="Tahoma" w:cs="Tahoma"/>
          <w:bCs/>
          <w:sz w:val="24"/>
          <w:szCs w:val="24"/>
        </w:rPr>
        <w:t xml:space="preserve">como se hizo en primera instancia, por cuanto la demandante permaneció en uno y en otro fondo varios años. Además, a esa condena hay que agregar que cada fondo de pensiones </w:t>
      </w:r>
      <w:r w:rsidRPr="00E0295B">
        <w:rPr>
          <w:rFonts w:ascii="Tahoma" w:hAnsi="Tahoma" w:cs="Tahoma"/>
          <w:sz w:val="24"/>
          <w:szCs w:val="24"/>
        </w:rPr>
        <w:t xml:space="preserve">debe reintegrar a COLPENSIONES los valores utilizados en seguros previsionales y garantía de pensión mínima, sumas todas que deben pagarse debidamente indexadas, incluyendo la indexación de las cuotas de administración. </w:t>
      </w:r>
      <w:r w:rsidRPr="00E0295B">
        <w:rPr>
          <w:rFonts w:ascii="Tahoma" w:hAnsi="Tahoma" w:cs="Tahoma"/>
          <w:bCs/>
          <w:sz w:val="24"/>
          <w:szCs w:val="24"/>
        </w:rPr>
        <w:t xml:space="preserve">En este sentido se </w:t>
      </w:r>
      <w:r w:rsidRPr="00E0295B">
        <w:rPr>
          <w:rFonts w:ascii="Tahoma" w:hAnsi="Tahoma" w:cs="Tahoma"/>
          <w:b/>
          <w:bCs/>
          <w:sz w:val="24"/>
          <w:szCs w:val="24"/>
        </w:rPr>
        <w:t xml:space="preserve">modificará </w:t>
      </w:r>
      <w:r w:rsidRPr="00E0295B">
        <w:rPr>
          <w:rFonts w:ascii="Tahoma" w:hAnsi="Tahoma" w:cs="Tahoma"/>
          <w:bCs/>
          <w:sz w:val="24"/>
          <w:szCs w:val="24"/>
        </w:rPr>
        <w:t>el numeral segundo de la sentencia de primer grado en virtud del grado jurisdiccional de consulta.</w:t>
      </w:r>
      <w:r w:rsidRPr="00E0295B">
        <w:rPr>
          <w:rFonts w:ascii="Tahoma" w:hAnsi="Tahoma" w:cs="Tahoma"/>
          <w:sz w:val="24"/>
          <w:szCs w:val="24"/>
        </w:rPr>
        <w:t xml:space="preserve">  </w:t>
      </w:r>
    </w:p>
    <w:p w14:paraId="7E91F905" w14:textId="77777777" w:rsidR="00C62C60" w:rsidRPr="00855CCB" w:rsidRDefault="00C62C60" w:rsidP="00855CCB">
      <w:pPr>
        <w:pStyle w:val="Prrafodelista2"/>
        <w:spacing w:after="0" w:line="240" w:lineRule="auto"/>
        <w:ind w:left="0"/>
        <w:jc w:val="both"/>
        <w:rPr>
          <w:rFonts w:ascii="Tahoma" w:hAnsi="Tahoma" w:cs="Tahoma"/>
          <w:color w:val="000000" w:themeColor="text1"/>
          <w:sz w:val="24"/>
          <w:szCs w:val="24"/>
          <w:lang w:val="es-ES_tradnl"/>
        </w:rPr>
      </w:pPr>
    </w:p>
    <w:p w14:paraId="410B274F" w14:textId="77777777" w:rsidR="00C62C60" w:rsidRDefault="00C62C60" w:rsidP="00E0295B">
      <w:pPr>
        <w:spacing w:line="276" w:lineRule="auto"/>
        <w:rPr>
          <w:rFonts w:ascii="Tahoma" w:hAnsi="Tahoma" w:cs="Tahoma"/>
          <w:sz w:val="24"/>
          <w:szCs w:val="24"/>
        </w:rPr>
      </w:pPr>
      <w:r w:rsidRPr="00E0295B">
        <w:rPr>
          <w:rFonts w:ascii="Tahoma" w:hAnsi="Tahoma" w:cs="Tahoma"/>
          <w:sz w:val="24"/>
          <w:szCs w:val="24"/>
        </w:rPr>
        <w:t>En lo demás se confirmará la sentencia de primera instancia.</w:t>
      </w:r>
    </w:p>
    <w:p w14:paraId="4312B373" w14:textId="77777777" w:rsidR="00E0295B" w:rsidRPr="00855CCB" w:rsidRDefault="00E0295B" w:rsidP="00855CCB">
      <w:pPr>
        <w:pStyle w:val="Prrafodelista2"/>
        <w:spacing w:after="0" w:line="240" w:lineRule="auto"/>
        <w:ind w:left="0"/>
        <w:jc w:val="both"/>
        <w:rPr>
          <w:rFonts w:ascii="Tahoma" w:hAnsi="Tahoma" w:cs="Tahoma"/>
          <w:color w:val="000000" w:themeColor="text1"/>
          <w:sz w:val="24"/>
          <w:szCs w:val="24"/>
          <w:lang w:val="es-ES_tradnl"/>
        </w:rPr>
      </w:pPr>
    </w:p>
    <w:p w14:paraId="63EFCA27" w14:textId="77777777" w:rsidR="00C62C60" w:rsidRPr="00E0295B" w:rsidRDefault="00C62C60" w:rsidP="00E0295B">
      <w:pPr>
        <w:spacing w:line="276" w:lineRule="auto"/>
        <w:ind w:firstLine="708"/>
        <w:rPr>
          <w:rFonts w:ascii="Tahoma" w:eastAsia="Tahoma" w:hAnsi="Tahoma" w:cs="Tahoma"/>
          <w:sz w:val="24"/>
          <w:szCs w:val="24"/>
        </w:rPr>
      </w:pPr>
      <w:r w:rsidRPr="00E0295B">
        <w:rPr>
          <w:rFonts w:ascii="Tahoma" w:hAnsi="Tahoma" w:cs="Tahoma"/>
          <w:sz w:val="24"/>
          <w:szCs w:val="24"/>
        </w:rPr>
        <w:t xml:space="preserve">En esta instancia se condenará en costas procesales a la </w:t>
      </w:r>
      <w:r w:rsidRPr="00E0295B">
        <w:rPr>
          <w:rFonts w:ascii="Tahoma" w:hAnsi="Tahoma" w:cs="Tahoma"/>
          <w:b/>
          <w:bCs/>
          <w:sz w:val="24"/>
          <w:szCs w:val="24"/>
        </w:rPr>
        <w:t>Administradora de Fondos de Pensiones y Cesantías</w:t>
      </w:r>
      <w:r w:rsidRPr="00E0295B">
        <w:rPr>
          <w:rFonts w:ascii="Tahoma" w:hAnsi="Tahoma" w:cs="Tahoma"/>
          <w:sz w:val="24"/>
          <w:szCs w:val="24"/>
        </w:rPr>
        <w:t xml:space="preserve"> </w:t>
      </w:r>
      <w:r w:rsidRPr="00E0295B">
        <w:rPr>
          <w:rFonts w:ascii="Tahoma" w:hAnsi="Tahoma" w:cs="Tahoma"/>
          <w:b/>
          <w:bCs/>
          <w:sz w:val="24"/>
          <w:szCs w:val="24"/>
        </w:rPr>
        <w:t>Protección S.A.</w:t>
      </w:r>
      <w:r w:rsidRPr="00E0295B">
        <w:rPr>
          <w:rFonts w:ascii="Tahoma" w:hAnsi="Tahoma" w:cs="Tahoma"/>
          <w:sz w:val="24"/>
          <w:szCs w:val="24"/>
        </w:rPr>
        <w:t xml:space="preserve"> y a la </w:t>
      </w:r>
      <w:r w:rsidRPr="00E0295B">
        <w:rPr>
          <w:rFonts w:ascii="Tahoma" w:hAnsi="Tahoma" w:cs="Tahoma"/>
          <w:b/>
          <w:bCs/>
          <w:sz w:val="24"/>
          <w:szCs w:val="24"/>
        </w:rPr>
        <w:t xml:space="preserve">Administradora de Fondos de Pensiones </w:t>
      </w:r>
      <w:r w:rsidRPr="00E0295B">
        <w:rPr>
          <w:rFonts w:ascii="Tahoma" w:hAnsi="Tahoma" w:cs="Tahoma"/>
          <w:b/>
          <w:sz w:val="24"/>
          <w:szCs w:val="24"/>
          <w:lang w:val="es-ES_tradnl"/>
        </w:rPr>
        <w:t>y Cesantías</w:t>
      </w:r>
      <w:r w:rsidRPr="00E0295B">
        <w:rPr>
          <w:rFonts w:ascii="Tahoma" w:hAnsi="Tahoma" w:cs="Tahoma"/>
          <w:sz w:val="24"/>
          <w:szCs w:val="24"/>
        </w:rPr>
        <w:t xml:space="preserve"> </w:t>
      </w:r>
      <w:r w:rsidRPr="00E0295B">
        <w:rPr>
          <w:rFonts w:ascii="Tahoma" w:hAnsi="Tahoma" w:cs="Tahoma"/>
          <w:b/>
          <w:bCs/>
          <w:sz w:val="24"/>
          <w:szCs w:val="24"/>
        </w:rPr>
        <w:t xml:space="preserve">Porvenir S.A. </w:t>
      </w:r>
      <w:r w:rsidRPr="00E0295B">
        <w:rPr>
          <w:rFonts w:ascii="Tahoma" w:eastAsia="Tahoma" w:hAnsi="Tahoma" w:cs="Tahoma"/>
          <w:sz w:val="24"/>
          <w:szCs w:val="24"/>
        </w:rPr>
        <w:t>a prorrata, a favor de la parte actora, las cuales se liquidarán por la secretaría del juzgado de origen.</w:t>
      </w:r>
    </w:p>
    <w:p w14:paraId="012B2CD0" w14:textId="77777777" w:rsidR="00C62C60" w:rsidRPr="00855CCB" w:rsidRDefault="00C62C60" w:rsidP="00855CCB">
      <w:pPr>
        <w:pStyle w:val="Prrafodelista2"/>
        <w:spacing w:after="0" w:line="240" w:lineRule="auto"/>
        <w:ind w:left="0"/>
        <w:jc w:val="both"/>
        <w:rPr>
          <w:rFonts w:ascii="Tahoma" w:hAnsi="Tahoma" w:cs="Tahoma"/>
          <w:color w:val="000000" w:themeColor="text1"/>
          <w:sz w:val="24"/>
          <w:szCs w:val="24"/>
          <w:lang w:val="es-ES_tradnl"/>
        </w:rPr>
      </w:pPr>
    </w:p>
    <w:p w14:paraId="7062D797" w14:textId="0AC59CCA" w:rsidR="00C62C60" w:rsidRPr="00E0295B" w:rsidRDefault="00E0295B" w:rsidP="00E0295B">
      <w:pPr>
        <w:spacing w:line="276" w:lineRule="auto"/>
        <w:ind w:firstLine="705"/>
        <w:rPr>
          <w:rFonts w:ascii="Tahoma" w:eastAsia="Tahoma" w:hAnsi="Tahoma" w:cs="Tahoma"/>
          <w:sz w:val="24"/>
          <w:szCs w:val="24"/>
        </w:rPr>
      </w:pPr>
      <w:r>
        <w:rPr>
          <w:rFonts w:ascii="Tahoma" w:eastAsia="Tahoma" w:hAnsi="Tahoma" w:cs="Tahoma"/>
          <w:sz w:val="24"/>
          <w:szCs w:val="24"/>
          <w:lang w:val="es"/>
        </w:rPr>
        <w:t>(…)</w:t>
      </w:r>
    </w:p>
    <w:p w14:paraId="1AF5A642" w14:textId="77777777" w:rsidR="00C62C60" w:rsidRPr="00E0295B" w:rsidRDefault="00C62C60" w:rsidP="00855CCB">
      <w:pPr>
        <w:pStyle w:val="Prrafodelista2"/>
        <w:spacing w:after="0" w:line="240" w:lineRule="auto"/>
        <w:ind w:left="0"/>
        <w:jc w:val="both"/>
        <w:rPr>
          <w:rFonts w:ascii="Tahoma" w:hAnsi="Tahoma" w:cs="Tahoma"/>
          <w:color w:val="000000" w:themeColor="text1"/>
          <w:sz w:val="24"/>
          <w:szCs w:val="24"/>
          <w:lang w:val="es-ES_tradnl"/>
        </w:rPr>
      </w:pPr>
    </w:p>
    <w:p w14:paraId="5CF7EE4B" w14:textId="77777777" w:rsidR="00C62C60" w:rsidRPr="00E0295B" w:rsidRDefault="00C62C60" w:rsidP="00E0295B">
      <w:pPr>
        <w:pStyle w:val="Prrafodelista2"/>
        <w:spacing w:after="0"/>
        <w:ind w:left="0" w:firstLine="708"/>
        <w:jc w:val="both"/>
        <w:rPr>
          <w:rFonts w:ascii="Tahoma" w:hAnsi="Tahoma" w:cs="Tahoma"/>
          <w:color w:val="000000" w:themeColor="text1"/>
          <w:sz w:val="24"/>
          <w:szCs w:val="24"/>
          <w:lang w:val="es-ES_tradnl"/>
        </w:rPr>
      </w:pPr>
      <w:r w:rsidRPr="00E0295B">
        <w:rPr>
          <w:rFonts w:ascii="Tahoma" w:hAnsi="Tahoma" w:cs="Tahoma"/>
          <w:color w:val="000000" w:themeColor="text1"/>
          <w:sz w:val="24"/>
          <w:szCs w:val="24"/>
          <w:lang w:val="es-ES_tradnl"/>
        </w:rPr>
        <w:lastRenderedPageBreak/>
        <w:t xml:space="preserve">En mérito de lo expuesto, el </w:t>
      </w:r>
      <w:r w:rsidRPr="00E0295B">
        <w:rPr>
          <w:rFonts w:ascii="Tahoma" w:hAnsi="Tahoma" w:cs="Tahoma"/>
          <w:b/>
          <w:color w:val="000000" w:themeColor="text1"/>
          <w:sz w:val="24"/>
          <w:szCs w:val="24"/>
          <w:lang w:val="es-ES_tradnl"/>
        </w:rPr>
        <w:t>Tribunal Superior del Distrito Judicial de Pereira - Risaralda, Sala de Decisión Laboral No. 1,</w:t>
      </w:r>
      <w:r w:rsidRPr="00E0295B">
        <w:rPr>
          <w:rFonts w:ascii="Tahoma" w:hAnsi="Tahoma" w:cs="Tahoma"/>
          <w:color w:val="000000" w:themeColor="text1"/>
          <w:sz w:val="24"/>
          <w:szCs w:val="24"/>
          <w:lang w:val="es-ES_tradnl"/>
        </w:rPr>
        <w:t xml:space="preserve"> administrando justicia en nombre de la República y por autoridad de la ley,</w:t>
      </w:r>
    </w:p>
    <w:p w14:paraId="2E7D958E" w14:textId="77777777" w:rsidR="00C62C60" w:rsidRPr="00E0295B" w:rsidRDefault="00C62C60" w:rsidP="00855CCB">
      <w:pPr>
        <w:pStyle w:val="Prrafodelista2"/>
        <w:spacing w:after="0" w:line="240" w:lineRule="auto"/>
        <w:ind w:left="0"/>
        <w:jc w:val="both"/>
        <w:rPr>
          <w:rFonts w:ascii="Tahoma" w:hAnsi="Tahoma" w:cs="Tahoma"/>
          <w:color w:val="000000" w:themeColor="text1"/>
          <w:sz w:val="24"/>
          <w:szCs w:val="24"/>
          <w:lang w:val="es-ES_tradnl"/>
        </w:rPr>
      </w:pPr>
    </w:p>
    <w:p w14:paraId="22DF280D" w14:textId="77777777" w:rsidR="00C62C60" w:rsidRPr="00E0295B" w:rsidRDefault="00C62C60" w:rsidP="00E0295B">
      <w:pPr>
        <w:spacing w:line="276" w:lineRule="auto"/>
        <w:contextualSpacing/>
        <w:jc w:val="center"/>
        <w:rPr>
          <w:rFonts w:ascii="Tahoma" w:hAnsi="Tahoma" w:cs="Tahoma"/>
          <w:b/>
          <w:color w:val="000000" w:themeColor="text1"/>
          <w:sz w:val="24"/>
          <w:szCs w:val="24"/>
        </w:rPr>
      </w:pPr>
      <w:r w:rsidRPr="00E0295B">
        <w:rPr>
          <w:rFonts w:ascii="Tahoma" w:hAnsi="Tahoma" w:cs="Tahoma"/>
          <w:b/>
          <w:color w:val="000000" w:themeColor="text1"/>
          <w:sz w:val="24"/>
          <w:szCs w:val="24"/>
        </w:rPr>
        <w:t>RESUELVE</w:t>
      </w:r>
    </w:p>
    <w:p w14:paraId="66104ECA" w14:textId="77777777" w:rsidR="00C62C60" w:rsidRPr="00855CCB" w:rsidRDefault="00C62C60" w:rsidP="00855CCB">
      <w:pPr>
        <w:pStyle w:val="Prrafodelista2"/>
        <w:spacing w:after="0" w:line="240" w:lineRule="auto"/>
        <w:ind w:left="0"/>
        <w:jc w:val="both"/>
        <w:rPr>
          <w:rFonts w:ascii="Tahoma" w:hAnsi="Tahoma" w:cs="Tahoma"/>
          <w:color w:val="000000" w:themeColor="text1"/>
          <w:sz w:val="24"/>
          <w:szCs w:val="24"/>
          <w:lang w:val="es-ES_tradnl"/>
        </w:rPr>
      </w:pPr>
    </w:p>
    <w:p w14:paraId="1AAB93F2" w14:textId="1CE06E47" w:rsidR="00C62C60" w:rsidRPr="00E0295B" w:rsidRDefault="00C62C60" w:rsidP="00E0295B">
      <w:pPr>
        <w:spacing w:line="276" w:lineRule="auto"/>
        <w:ind w:firstLine="705"/>
        <w:textAlignment w:val="baseline"/>
        <w:rPr>
          <w:rFonts w:ascii="Tahoma" w:hAnsi="Tahoma" w:cs="Tahoma"/>
          <w:sz w:val="24"/>
          <w:szCs w:val="24"/>
        </w:rPr>
      </w:pPr>
      <w:r w:rsidRPr="00E0295B">
        <w:rPr>
          <w:rFonts w:ascii="Tahoma" w:eastAsia="Times New Roman" w:hAnsi="Tahoma" w:cs="Tahoma"/>
          <w:b/>
          <w:bCs/>
          <w:sz w:val="24"/>
          <w:szCs w:val="24"/>
          <w:lang w:eastAsia="es-ES"/>
        </w:rPr>
        <w:t>PRIMERO:</w:t>
      </w:r>
      <w:r w:rsidRPr="00E0295B">
        <w:rPr>
          <w:rFonts w:ascii="Tahoma" w:eastAsia="Times New Roman" w:hAnsi="Tahoma" w:cs="Tahoma"/>
          <w:b/>
          <w:bCs/>
          <w:i/>
          <w:iCs/>
          <w:sz w:val="24"/>
          <w:szCs w:val="24"/>
          <w:lang w:eastAsia="es-ES"/>
        </w:rPr>
        <w:t> </w:t>
      </w:r>
      <w:r w:rsidRPr="00E0295B">
        <w:rPr>
          <w:rFonts w:ascii="Tahoma" w:eastAsia="Times New Roman" w:hAnsi="Tahoma" w:cs="Tahoma"/>
          <w:b/>
          <w:bCs/>
          <w:sz w:val="24"/>
          <w:szCs w:val="24"/>
          <w:lang w:eastAsia="es-ES"/>
        </w:rPr>
        <w:t>ADICIONAR</w:t>
      </w:r>
      <w:r w:rsidRPr="00E0295B">
        <w:rPr>
          <w:rFonts w:ascii="Tahoma" w:eastAsia="Times New Roman" w:hAnsi="Tahoma" w:cs="Tahoma"/>
          <w:b/>
          <w:bCs/>
          <w:i/>
          <w:iCs/>
          <w:sz w:val="24"/>
          <w:szCs w:val="24"/>
          <w:lang w:eastAsia="es-ES"/>
        </w:rPr>
        <w:t xml:space="preserve"> </w:t>
      </w:r>
      <w:r w:rsidRPr="00E0295B">
        <w:rPr>
          <w:rFonts w:ascii="Tahoma" w:hAnsi="Tahoma" w:cs="Tahoma"/>
          <w:sz w:val="24"/>
          <w:szCs w:val="24"/>
        </w:rPr>
        <w:t xml:space="preserve">el numeral primero de la parte resolutiva de la sentencia de primer grado en el siguiente sentido: </w:t>
      </w:r>
      <w:r w:rsidRPr="00E0295B">
        <w:rPr>
          <w:rFonts w:ascii="Tahoma" w:hAnsi="Tahoma" w:cs="Tahoma"/>
          <w:b/>
          <w:sz w:val="24"/>
          <w:szCs w:val="24"/>
        </w:rPr>
        <w:t xml:space="preserve">DEJAR SIN EFECTOS la </w:t>
      </w:r>
      <w:r w:rsidR="00250D85" w:rsidRPr="00E0295B">
        <w:rPr>
          <w:rFonts w:ascii="Tahoma" w:hAnsi="Tahoma" w:cs="Tahoma"/>
          <w:b/>
          <w:sz w:val="24"/>
          <w:szCs w:val="24"/>
        </w:rPr>
        <w:t xml:space="preserve">afiliación </w:t>
      </w:r>
      <w:r w:rsidR="00250D85" w:rsidRPr="00E0295B">
        <w:rPr>
          <w:rFonts w:ascii="Tahoma" w:hAnsi="Tahoma" w:cs="Tahoma"/>
          <w:sz w:val="24"/>
          <w:szCs w:val="24"/>
        </w:rPr>
        <w:t>que</w:t>
      </w:r>
      <w:r w:rsidRPr="00E0295B">
        <w:rPr>
          <w:rFonts w:ascii="Tahoma" w:hAnsi="Tahoma" w:cs="Tahoma"/>
          <w:sz w:val="24"/>
          <w:szCs w:val="24"/>
        </w:rPr>
        <w:t xml:space="preserve"> hizo la señora </w:t>
      </w:r>
      <w:r w:rsidR="00355FAF" w:rsidRPr="00E0295B">
        <w:rPr>
          <w:rFonts w:ascii="Tahoma" w:hAnsi="Tahoma" w:cs="Tahoma"/>
          <w:b/>
          <w:sz w:val="24"/>
          <w:szCs w:val="24"/>
        </w:rPr>
        <w:t xml:space="preserve">María Eugenia Suarez Acevedo </w:t>
      </w:r>
      <w:r w:rsidRPr="00E0295B">
        <w:rPr>
          <w:rFonts w:ascii="Tahoma" w:hAnsi="Tahoma" w:cs="Tahoma"/>
          <w:sz w:val="24"/>
          <w:szCs w:val="24"/>
        </w:rPr>
        <w:t xml:space="preserve">a la </w:t>
      </w:r>
      <w:r w:rsidR="00355FAF" w:rsidRPr="00E0295B">
        <w:rPr>
          <w:rFonts w:ascii="Tahoma" w:hAnsi="Tahoma" w:cs="Tahoma"/>
          <w:sz w:val="24"/>
          <w:szCs w:val="24"/>
          <w:lang w:val="es-CO"/>
        </w:rPr>
        <w:t xml:space="preserve">a la </w:t>
      </w:r>
      <w:r w:rsidR="00355FAF" w:rsidRPr="00E0295B">
        <w:rPr>
          <w:rFonts w:ascii="Tahoma" w:hAnsi="Tahoma" w:cs="Tahoma"/>
          <w:b/>
          <w:sz w:val="24"/>
          <w:szCs w:val="24"/>
          <w:lang w:val="es-CO"/>
        </w:rPr>
        <w:t>AFP Santander S.A., hoy Protección S.A.</w:t>
      </w:r>
      <w:r w:rsidR="00355FAF" w:rsidRPr="00E0295B">
        <w:rPr>
          <w:rFonts w:ascii="Tahoma" w:hAnsi="Tahoma" w:cs="Tahoma"/>
          <w:b/>
          <w:bCs/>
          <w:sz w:val="24"/>
          <w:szCs w:val="24"/>
        </w:rPr>
        <w:t xml:space="preserve"> </w:t>
      </w:r>
      <w:r w:rsidR="00355FAF" w:rsidRPr="00E0295B">
        <w:rPr>
          <w:rFonts w:ascii="Tahoma" w:hAnsi="Tahoma" w:cs="Tahoma"/>
          <w:bCs/>
          <w:sz w:val="24"/>
          <w:szCs w:val="24"/>
        </w:rPr>
        <w:t xml:space="preserve">el </w:t>
      </w:r>
      <w:r w:rsidR="00355FAF" w:rsidRPr="00E0295B">
        <w:rPr>
          <w:rFonts w:ascii="Tahoma" w:hAnsi="Tahoma" w:cs="Tahoma"/>
          <w:sz w:val="24"/>
          <w:szCs w:val="24"/>
          <w:lang w:val="es-CO"/>
        </w:rPr>
        <w:t>20 de mayo de 1996</w:t>
      </w:r>
      <w:r w:rsidRPr="00E0295B">
        <w:rPr>
          <w:rFonts w:ascii="Tahoma" w:hAnsi="Tahoma" w:cs="Tahoma"/>
          <w:sz w:val="24"/>
          <w:szCs w:val="24"/>
          <w:lang w:val="es-ES_tradnl"/>
        </w:rPr>
        <w:t>, por las razones expuestas previamente.</w:t>
      </w:r>
    </w:p>
    <w:p w14:paraId="4357685B" w14:textId="77777777" w:rsidR="00C62C60" w:rsidRPr="00855CCB" w:rsidRDefault="00C62C60" w:rsidP="00855CCB">
      <w:pPr>
        <w:pStyle w:val="Prrafodelista2"/>
        <w:spacing w:after="0" w:line="240" w:lineRule="auto"/>
        <w:ind w:left="0"/>
        <w:jc w:val="both"/>
        <w:rPr>
          <w:rFonts w:ascii="Tahoma" w:hAnsi="Tahoma" w:cs="Tahoma"/>
          <w:color w:val="000000" w:themeColor="text1"/>
          <w:sz w:val="24"/>
          <w:szCs w:val="24"/>
          <w:lang w:val="es-ES_tradnl"/>
        </w:rPr>
      </w:pPr>
    </w:p>
    <w:p w14:paraId="0B4B42CE" w14:textId="77777777" w:rsidR="00C62C60" w:rsidRPr="00E0295B" w:rsidRDefault="00C62C60" w:rsidP="00E0295B">
      <w:pPr>
        <w:spacing w:line="276" w:lineRule="auto"/>
        <w:ind w:firstLine="705"/>
        <w:textAlignment w:val="baseline"/>
        <w:rPr>
          <w:rFonts w:ascii="Tahoma" w:hAnsi="Tahoma" w:cs="Tahoma"/>
          <w:sz w:val="24"/>
          <w:szCs w:val="24"/>
        </w:rPr>
      </w:pPr>
      <w:r w:rsidRPr="00E0295B">
        <w:rPr>
          <w:rFonts w:ascii="Tahoma" w:hAnsi="Tahoma" w:cs="Tahoma"/>
          <w:b/>
          <w:sz w:val="24"/>
          <w:szCs w:val="24"/>
        </w:rPr>
        <w:t xml:space="preserve">SEGUNDO: MODIFICAR </w:t>
      </w:r>
      <w:r w:rsidRPr="00E0295B">
        <w:rPr>
          <w:rFonts w:ascii="Tahoma" w:hAnsi="Tahoma" w:cs="Tahoma"/>
          <w:sz w:val="24"/>
          <w:szCs w:val="24"/>
        </w:rPr>
        <w:t>el numeral segundo de la parte resolutiva de la sentencia de primera instancia, el cual quedará de la siguiente manera:</w:t>
      </w:r>
    </w:p>
    <w:p w14:paraId="614E80D9" w14:textId="77777777" w:rsidR="00C62C60" w:rsidRPr="00855CCB" w:rsidRDefault="00C62C60" w:rsidP="00855CCB">
      <w:pPr>
        <w:pStyle w:val="Prrafodelista2"/>
        <w:spacing w:after="0" w:line="240" w:lineRule="auto"/>
        <w:ind w:left="0"/>
        <w:jc w:val="both"/>
        <w:rPr>
          <w:rFonts w:ascii="Tahoma" w:hAnsi="Tahoma" w:cs="Tahoma"/>
          <w:color w:val="000000" w:themeColor="text1"/>
          <w:sz w:val="24"/>
          <w:szCs w:val="24"/>
          <w:lang w:val="es-ES_tradnl"/>
        </w:rPr>
      </w:pPr>
    </w:p>
    <w:p w14:paraId="07A88A25" w14:textId="77777777" w:rsidR="00C62C60" w:rsidRPr="00E0295B" w:rsidRDefault="00C62C60" w:rsidP="00E0295B">
      <w:pPr>
        <w:pStyle w:val="Prrafodelista"/>
        <w:numPr>
          <w:ilvl w:val="1"/>
          <w:numId w:val="7"/>
        </w:numPr>
        <w:spacing w:line="276" w:lineRule="auto"/>
        <w:ind w:right="278"/>
        <w:jc w:val="both"/>
        <w:textAlignment w:val="baseline"/>
        <w:rPr>
          <w:rFonts w:ascii="Tahoma" w:hAnsi="Tahoma" w:cs="Tahoma"/>
        </w:rPr>
      </w:pPr>
      <w:r w:rsidRPr="00E0295B">
        <w:rPr>
          <w:rFonts w:ascii="Tahoma" w:hAnsi="Tahoma" w:cs="Tahoma"/>
          <w:b/>
        </w:rPr>
        <w:t xml:space="preserve">ORDENAR </w:t>
      </w:r>
      <w:r w:rsidRPr="00E0295B">
        <w:rPr>
          <w:rFonts w:ascii="Tahoma" w:hAnsi="Tahoma" w:cs="Tahoma"/>
        </w:rPr>
        <w:t xml:space="preserve">a la </w:t>
      </w:r>
      <w:r w:rsidRPr="00E0295B">
        <w:rPr>
          <w:rFonts w:ascii="Tahoma" w:hAnsi="Tahoma" w:cs="Tahoma"/>
          <w:b/>
          <w:lang w:val="es-ES_tradnl"/>
        </w:rPr>
        <w:t>Administradora de Fondos de Pensiones y Cesantías</w:t>
      </w:r>
      <w:r w:rsidRPr="00E0295B">
        <w:rPr>
          <w:rFonts w:ascii="Tahoma" w:hAnsi="Tahoma" w:cs="Tahoma"/>
          <w:lang w:val="es-ES_tradnl"/>
        </w:rPr>
        <w:t xml:space="preserve"> </w:t>
      </w:r>
      <w:r w:rsidRPr="00E0295B">
        <w:rPr>
          <w:rFonts w:ascii="Tahoma" w:hAnsi="Tahoma" w:cs="Tahoma"/>
          <w:b/>
          <w:bCs/>
          <w:lang w:val="es-ES_tradnl"/>
        </w:rPr>
        <w:t xml:space="preserve">Porvenir </w:t>
      </w:r>
      <w:r w:rsidRPr="00E0295B">
        <w:rPr>
          <w:rFonts w:ascii="Tahoma" w:hAnsi="Tahoma" w:cs="Tahoma"/>
          <w:b/>
          <w:lang w:val="es-ES_tradnl"/>
        </w:rPr>
        <w:t xml:space="preserve">S.A. </w:t>
      </w:r>
      <w:r w:rsidRPr="00E0295B">
        <w:rPr>
          <w:rFonts w:ascii="Tahoma" w:hAnsi="Tahoma" w:cs="Tahoma"/>
          <w:lang w:val="es-ES_tradnl"/>
        </w:rPr>
        <w:t xml:space="preserve">y a la </w:t>
      </w:r>
      <w:r w:rsidRPr="00E0295B">
        <w:rPr>
          <w:rFonts w:ascii="Tahoma" w:hAnsi="Tahoma" w:cs="Tahoma"/>
          <w:b/>
          <w:lang w:val="es-ES_tradnl"/>
        </w:rPr>
        <w:t>Administradora de Fondos de Pensiones y Cesantías</w:t>
      </w:r>
      <w:r w:rsidRPr="00E0295B">
        <w:rPr>
          <w:rFonts w:ascii="Tahoma" w:hAnsi="Tahoma" w:cs="Tahoma"/>
          <w:b/>
          <w:bCs/>
          <w:lang w:val="es-ES_tradnl"/>
        </w:rPr>
        <w:t xml:space="preserve"> Protección </w:t>
      </w:r>
      <w:r w:rsidRPr="00E0295B">
        <w:rPr>
          <w:rFonts w:ascii="Tahoma" w:hAnsi="Tahoma" w:cs="Tahoma"/>
          <w:b/>
          <w:lang w:val="es-ES_tradnl"/>
        </w:rPr>
        <w:t xml:space="preserve">S.A. </w:t>
      </w:r>
      <w:r w:rsidRPr="00E0295B">
        <w:rPr>
          <w:rFonts w:ascii="Tahoma" w:hAnsi="Tahoma" w:cs="Tahoma"/>
          <w:lang w:val="es-ES_tradnl"/>
        </w:rPr>
        <w:t xml:space="preserve">que procedan a </w:t>
      </w:r>
      <w:r w:rsidRPr="00E0295B">
        <w:rPr>
          <w:rFonts w:ascii="Tahoma" w:hAnsi="Tahoma" w:cs="Tahoma"/>
          <w:lang w:val="es-CO"/>
        </w:rPr>
        <w:t xml:space="preserve">a trasladar a </w:t>
      </w:r>
      <w:r w:rsidRPr="00E0295B">
        <w:rPr>
          <w:rFonts w:ascii="Tahoma" w:hAnsi="Tahoma" w:cs="Tahoma"/>
          <w:b/>
          <w:lang w:val="es-CO"/>
        </w:rPr>
        <w:t xml:space="preserve">COLPENSIONES, </w:t>
      </w:r>
      <w:r w:rsidRPr="00E0295B">
        <w:rPr>
          <w:rFonts w:ascii="Tahoma" w:hAnsi="Tahoma" w:cs="Tahoma"/>
          <w:lang w:val="es-ES_tradnl"/>
        </w:rPr>
        <w:t xml:space="preserve">con cargo a sus propios recursos, las cuotas de administración, los </w:t>
      </w:r>
      <w:r w:rsidRPr="00E0295B">
        <w:rPr>
          <w:rFonts w:ascii="Tahoma" w:hAnsi="Tahoma" w:cs="Tahoma"/>
        </w:rPr>
        <w:t xml:space="preserve">valores utilizados en seguros previsionales y garantía de pensión mínima, sumas todas que deben pagarse debidamente indexadas, causadas </w:t>
      </w:r>
      <w:r w:rsidRPr="00E0295B">
        <w:rPr>
          <w:rFonts w:ascii="Tahoma" w:hAnsi="Tahoma" w:cs="Tahoma"/>
          <w:lang w:val="es-CO"/>
        </w:rPr>
        <w:t xml:space="preserve">durante el término de afiliación de la Señora </w:t>
      </w:r>
      <w:r w:rsidR="00355FAF" w:rsidRPr="00E0295B">
        <w:rPr>
          <w:rFonts w:ascii="Tahoma" w:hAnsi="Tahoma" w:cs="Tahoma"/>
          <w:b/>
          <w:lang w:val="es-CO"/>
        </w:rPr>
        <w:t>María Eugenia Suarez Acevedo</w:t>
      </w:r>
      <w:r w:rsidRPr="00E0295B">
        <w:rPr>
          <w:rFonts w:ascii="Tahoma" w:hAnsi="Tahoma" w:cs="Tahoma"/>
          <w:lang w:val="es-CO"/>
        </w:rPr>
        <w:t xml:space="preserve"> a cada uno de los mencionados fondos de pensiones privados.</w:t>
      </w:r>
    </w:p>
    <w:p w14:paraId="67C8548D" w14:textId="77777777" w:rsidR="00C62C60" w:rsidRPr="00855CCB" w:rsidRDefault="00C62C60" w:rsidP="00855CCB">
      <w:pPr>
        <w:pStyle w:val="Prrafodelista2"/>
        <w:spacing w:after="0" w:line="240" w:lineRule="auto"/>
        <w:ind w:left="0"/>
        <w:jc w:val="both"/>
        <w:rPr>
          <w:rFonts w:ascii="Tahoma" w:hAnsi="Tahoma" w:cs="Tahoma"/>
          <w:color w:val="000000" w:themeColor="text1"/>
          <w:sz w:val="24"/>
          <w:szCs w:val="24"/>
          <w:lang w:val="es-ES_tradnl"/>
        </w:rPr>
      </w:pPr>
    </w:p>
    <w:p w14:paraId="0B609E63" w14:textId="77777777" w:rsidR="00C62C60" w:rsidRPr="00E0295B" w:rsidRDefault="00C62C60" w:rsidP="00E0295B">
      <w:pPr>
        <w:spacing w:line="276" w:lineRule="auto"/>
        <w:ind w:firstLine="705"/>
        <w:textAlignment w:val="baseline"/>
        <w:rPr>
          <w:rFonts w:ascii="Tahoma" w:eastAsia="Times New Roman" w:hAnsi="Tahoma" w:cs="Tahoma"/>
          <w:sz w:val="24"/>
          <w:szCs w:val="24"/>
          <w:lang w:val="es-CO" w:eastAsia="es-ES"/>
        </w:rPr>
      </w:pPr>
      <w:r w:rsidRPr="00E0295B">
        <w:rPr>
          <w:rFonts w:ascii="Tahoma" w:eastAsia="Times New Roman" w:hAnsi="Tahoma" w:cs="Tahoma"/>
          <w:b/>
          <w:bCs/>
          <w:sz w:val="24"/>
          <w:szCs w:val="24"/>
          <w:lang w:eastAsia="es-ES_tradnl"/>
        </w:rPr>
        <w:t>TERCERO: </w:t>
      </w:r>
      <w:r w:rsidRPr="00E0295B">
        <w:rPr>
          <w:rFonts w:ascii="Tahoma" w:eastAsia="Times New Roman" w:hAnsi="Tahoma" w:cs="Tahoma"/>
          <w:b/>
          <w:bCs/>
          <w:sz w:val="24"/>
          <w:szCs w:val="24"/>
          <w:lang w:eastAsia="es-ES"/>
        </w:rPr>
        <w:t>CONFIRMAR </w:t>
      </w:r>
      <w:r w:rsidRPr="00E0295B">
        <w:rPr>
          <w:rFonts w:ascii="Tahoma" w:eastAsia="Times New Roman" w:hAnsi="Tahoma" w:cs="Tahoma"/>
          <w:sz w:val="24"/>
          <w:szCs w:val="24"/>
          <w:lang w:eastAsia="es-ES"/>
        </w:rPr>
        <w:t>en todo lo demás</w:t>
      </w:r>
      <w:r w:rsidRPr="00E0295B">
        <w:rPr>
          <w:rFonts w:ascii="Tahoma" w:eastAsia="Times New Roman" w:hAnsi="Tahoma" w:cs="Tahoma"/>
          <w:b/>
          <w:bCs/>
          <w:sz w:val="24"/>
          <w:szCs w:val="24"/>
          <w:lang w:eastAsia="es-ES"/>
        </w:rPr>
        <w:t xml:space="preserve"> </w:t>
      </w:r>
      <w:r w:rsidRPr="00E0295B">
        <w:rPr>
          <w:rFonts w:ascii="Tahoma" w:eastAsia="Times New Roman" w:hAnsi="Tahoma" w:cs="Tahoma"/>
          <w:sz w:val="24"/>
          <w:szCs w:val="24"/>
          <w:lang w:eastAsia="es-ES"/>
        </w:rPr>
        <w:t>la sentencia de instancia.</w:t>
      </w:r>
    </w:p>
    <w:p w14:paraId="14A8E46E" w14:textId="77777777" w:rsidR="00C62C60" w:rsidRPr="00855CCB" w:rsidRDefault="00C62C60" w:rsidP="00855CCB">
      <w:pPr>
        <w:pStyle w:val="Prrafodelista2"/>
        <w:spacing w:after="0" w:line="240" w:lineRule="auto"/>
        <w:ind w:left="0"/>
        <w:jc w:val="both"/>
        <w:rPr>
          <w:rFonts w:ascii="Tahoma" w:hAnsi="Tahoma" w:cs="Tahoma"/>
          <w:color w:val="000000" w:themeColor="text1"/>
          <w:sz w:val="24"/>
          <w:szCs w:val="24"/>
          <w:lang w:val="es-ES_tradnl"/>
        </w:rPr>
      </w:pPr>
      <w:r w:rsidRPr="00855CCB">
        <w:rPr>
          <w:rFonts w:ascii="Tahoma" w:hAnsi="Tahoma" w:cs="Tahoma"/>
          <w:color w:val="000000" w:themeColor="text1"/>
          <w:sz w:val="24"/>
          <w:szCs w:val="24"/>
          <w:lang w:val="es-ES_tradnl"/>
        </w:rPr>
        <w:t> </w:t>
      </w:r>
    </w:p>
    <w:p w14:paraId="2E5006BC" w14:textId="77777777" w:rsidR="00C62C60" w:rsidRPr="00E0295B" w:rsidRDefault="00C62C60" w:rsidP="00E0295B">
      <w:pPr>
        <w:spacing w:line="276" w:lineRule="auto"/>
        <w:ind w:firstLine="708"/>
        <w:rPr>
          <w:rFonts w:ascii="Tahoma" w:eastAsia="Times New Roman" w:hAnsi="Tahoma" w:cs="Tahoma"/>
          <w:sz w:val="24"/>
          <w:szCs w:val="24"/>
          <w:lang w:eastAsia="es-ES"/>
        </w:rPr>
      </w:pPr>
      <w:r w:rsidRPr="00E0295B">
        <w:rPr>
          <w:rFonts w:ascii="Tahoma" w:eastAsia="Tahoma" w:hAnsi="Tahoma" w:cs="Tahoma"/>
          <w:b/>
          <w:bCs/>
          <w:sz w:val="24"/>
          <w:szCs w:val="24"/>
        </w:rPr>
        <w:t xml:space="preserve">CUARTO: </w:t>
      </w:r>
      <w:r w:rsidRPr="00E0295B">
        <w:rPr>
          <w:rFonts w:ascii="Tahoma" w:eastAsia="Times New Roman" w:hAnsi="Tahoma" w:cs="Tahoma"/>
          <w:b/>
          <w:bCs/>
          <w:sz w:val="24"/>
          <w:szCs w:val="24"/>
          <w:lang w:eastAsia="es-ES"/>
        </w:rPr>
        <w:t>CONDENAR</w:t>
      </w:r>
      <w:r w:rsidRPr="00E0295B">
        <w:rPr>
          <w:rFonts w:ascii="Tahoma" w:eastAsia="Times New Roman" w:hAnsi="Tahoma" w:cs="Tahoma"/>
          <w:sz w:val="24"/>
          <w:szCs w:val="24"/>
          <w:lang w:eastAsia="es-ES"/>
        </w:rPr>
        <w:t xml:space="preserve"> en costas de segunda instancia a la </w:t>
      </w:r>
      <w:r w:rsidRPr="00E0295B">
        <w:rPr>
          <w:rFonts w:ascii="Tahoma" w:hAnsi="Tahoma" w:cs="Tahoma"/>
          <w:b/>
          <w:sz w:val="24"/>
          <w:szCs w:val="24"/>
          <w:lang w:val="es-ES_tradnl"/>
        </w:rPr>
        <w:t>Administradora de Fondos de Pensiones y Cesantías</w:t>
      </w:r>
      <w:r w:rsidRPr="00E0295B">
        <w:rPr>
          <w:rFonts w:ascii="Tahoma" w:hAnsi="Tahoma" w:cs="Tahoma"/>
          <w:sz w:val="24"/>
          <w:szCs w:val="24"/>
          <w:lang w:val="es-ES_tradnl"/>
        </w:rPr>
        <w:t xml:space="preserve"> </w:t>
      </w:r>
      <w:r w:rsidRPr="00E0295B">
        <w:rPr>
          <w:rFonts w:ascii="Tahoma" w:hAnsi="Tahoma" w:cs="Tahoma"/>
          <w:b/>
          <w:sz w:val="24"/>
          <w:szCs w:val="24"/>
          <w:lang w:val="es-ES_tradnl"/>
        </w:rPr>
        <w:t>Protección S.A.</w:t>
      </w:r>
      <w:r w:rsidRPr="00E0295B">
        <w:rPr>
          <w:rFonts w:ascii="Tahoma" w:hAnsi="Tahoma" w:cs="Tahoma"/>
          <w:sz w:val="24"/>
          <w:szCs w:val="24"/>
          <w:lang w:val="es-ES_tradnl"/>
        </w:rPr>
        <w:t xml:space="preserve"> y </w:t>
      </w:r>
      <w:r w:rsidRPr="00E0295B">
        <w:rPr>
          <w:rFonts w:ascii="Tahoma" w:hAnsi="Tahoma" w:cs="Tahoma"/>
          <w:sz w:val="24"/>
          <w:szCs w:val="24"/>
        </w:rPr>
        <w:t xml:space="preserve">a la </w:t>
      </w:r>
      <w:r w:rsidRPr="00E0295B">
        <w:rPr>
          <w:rFonts w:ascii="Tahoma" w:hAnsi="Tahoma" w:cs="Tahoma"/>
          <w:b/>
          <w:sz w:val="24"/>
          <w:szCs w:val="24"/>
          <w:lang w:val="es-ES_tradnl"/>
        </w:rPr>
        <w:t>Administradora de Fondos de Pensiones y Cesantías</w:t>
      </w:r>
      <w:r w:rsidRPr="00E0295B">
        <w:rPr>
          <w:rFonts w:ascii="Tahoma" w:hAnsi="Tahoma" w:cs="Tahoma"/>
          <w:sz w:val="24"/>
          <w:szCs w:val="24"/>
          <w:lang w:val="es-ES_tradnl"/>
        </w:rPr>
        <w:t xml:space="preserve"> </w:t>
      </w:r>
      <w:r w:rsidRPr="00E0295B">
        <w:rPr>
          <w:rFonts w:ascii="Tahoma" w:hAnsi="Tahoma" w:cs="Tahoma"/>
          <w:b/>
          <w:bCs/>
          <w:sz w:val="24"/>
          <w:szCs w:val="24"/>
          <w:lang w:val="es-ES_tradnl"/>
        </w:rPr>
        <w:t xml:space="preserve">Porvenir </w:t>
      </w:r>
      <w:r w:rsidRPr="00E0295B">
        <w:rPr>
          <w:rFonts w:ascii="Tahoma" w:hAnsi="Tahoma" w:cs="Tahoma"/>
          <w:b/>
          <w:sz w:val="24"/>
          <w:szCs w:val="24"/>
          <w:lang w:val="es-ES_tradnl"/>
        </w:rPr>
        <w:t xml:space="preserve">S.A. </w:t>
      </w:r>
      <w:r w:rsidRPr="00E0295B">
        <w:rPr>
          <w:rFonts w:ascii="Tahoma" w:hAnsi="Tahoma" w:cs="Tahoma"/>
          <w:sz w:val="24"/>
          <w:szCs w:val="24"/>
          <w:lang w:val="es-ES_tradnl"/>
        </w:rPr>
        <w:t xml:space="preserve">, </w:t>
      </w:r>
      <w:r w:rsidRPr="00E0295B">
        <w:rPr>
          <w:rFonts w:ascii="Tahoma" w:eastAsia="Times New Roman" w:hAnsi="Tahoma" w:cs="Tahoma"/>
          <w:sz w:val="24"/>
          <w:szCs w:val="24"/>
          <w:lang w:eastAsia="es-ES"/>
        </w:rPr>
        <w:t>a prorrata, favor de la demandante en un 100%. Liquídense por la secretaría del juzgado de origen.</w:t>
      </w:r>
    </w:p>
    <w:p w14:paraId="4F1F2BAB" w14:textId="77777777" w:rsidR="00C62C60" w:rsidRPr="00855CCB" w:rsidRDefault="00C62C60" w:rsidP="00855CCB">
      <w:pPr>
        <w:pStyle w:val="Prrafodelista2"/>
        <w:spacing w:after="0" w:line="240" w:lineRule="auto"/>
        <w:ind w:left="0"/>
        <w:jc w:val="both"/>
        <w:rPr>
          <w:rFonts w:ascii="Tahoma" w:hAnsi="Tahoma" w:cs="Tahoma"/>
          <w:color w:val="000000" w:themeColor="text1"/>
          <w:sz w:val="24"/>
          <w:szCs w:val="24"/>
          <w:lang w:val="es-ES_tradnl"/>
        </w:rPr>
      </w:pPr>
    </w:p>
    <w:p w14:paraId="79DB22FF" w14:textId="3E4D8C59" w:rsidR="00C62C60" w:rsidRPr="00E0295B" w:rsidRDefault="00E0295B" w:rsidP="00E0295B">
      <w:pPr>
        <w:spacing w:line="276" w:lineRule="auto"/>
        <w:rPr>
          <w:rFonts w:ascii="Tahoma" w:hAnsi="Tahoma" w:cs="Tahoma"/>
          <w:sz w:val="24"/>
          <w:szCs w:val="24"/>
        </w:rPr>
      </w:pPr>
      <w:r w:rsidRPr="00E0295B">
        <w:rPr>
          <w:rFonts w:ascii="Tahoma" w:eastAsia="Tahoma" w:hAnsi="Tahoma" w:cs="Tahoma"/>
          <w:bCs/>
          <w:sz w:val="24"/>
          <w:szCs w:val="24"/>
        </w:rPr>
        <w:t>(…)</w:t>
      </w:r>
    </w:p>
    <w:p w14:paraId="66DA95B5" w14:textId="77777777" w:rsidR="00C62C60" w:rsidRPr="00855CCB" w:rsidRDefault="00C62C60" w:rsidP="00855CCB">
      <w:pPr>
        <w:pStyle w:val="Prrafodelista2"/>
        <w:spacing w:after="0" w:line="240" w:lineRule="auto"/>
        <w:ind w:left="0"/>
        <w:jc w:val="both"/>
        <w:rPr>
          <w:rFonts w:ascii="Tahoma" w:hAnsi="Tahoma" w:cs="Tahoma"/>
          <w:color w:val="000000" w:themeColor="text1"/>
          <w:sz w:val="24"/>
          <w:szCs w:val="24"/>
          <w:lang w:val="es-ES_tradnl"/>
        </w:rPr>
      </w:pPr>
    </w:p>
    <w:p w14:paraId="2FCD0B7A" w14:textId="77777777" w:rsidR="00E0295B" w:rsidRPr="00E0295B" w:rsidRDefault="00E0295B" w:rsidP="00E0295B">
      <w:pPr>
        <w:widowControl w:val="0"/>
        <w:autoSpaceDE w:val="0"/>
        <w:autoSpaceDN w:val="0"/>
        <w:adjustRightInd w:val="0"/>
        <w:spacing w:line="276" w:lineRule="auto"/>
        <w:ind w:firstLine="0"/>
        <w:jc w:val="center"/>
        <w:rPr>
          <w:rFonts w:ascii="Tahoma" w:eastAsia="Calibri" w:hAnsi="Tahoma" w:cs="Tahoma"/>
          <w:b/>
          <w:sz w:val="24"/>
          <w:szCs w:val="24"/>
        </w:rPr>
      </w:pPr>
      <w:r w:rsidRPr="00E0295B">
        <w:rPr>
          <w:rFonts w:ascii="Tahoma" w:eastAsia="Calibri" w:hAnsi="Tahoma" w:cs="Tahoma"/>
          <w:b/>
          <w:sz w:val="24"/>
          <w:szCs w:val="24"/>
        </w:rPr>
        <w:t>NOTIFÍQUESE Y CÚMPLASE</w:t>
      </w:r>
    </w:p>
    <w:p w14:paraId="683E1DB6" w14:textId="77777777" w:rsidR="00E0295B" w:rsidRPr="00E0295B" w:rsidRDefault="00E0295B" w:rsidP="00E0295B">
      <w:pPr>
        <w:spacing w:line="276" w:lineRule="auto"/>
        <w:ind w:firstLine="0"/>
        <w:jc w:val="left"/>
        <w:textAlignment w:val="baseline"/>
        <w:rPr>
          <w:rFonts w:ascii="Tahoma" w:eastAsia="Times New Roman" w:hAnsi="Tahoma" w:cs="Tahoma"/>
          <w:sz w:val="24"/>
          <w:szCs w:val="24"/>
          <w:lang w:val="es-CO" w:eastAsia="es-ES_tradnl"/>
        </w:rPr>
      </w:pPr>
    </w:p>
    <w:p w14:paraId="3206B984" w14:textId="77777777" w:rsidR="00E0295B" w:rsidRPr="00E0295B" w:rsidRDefault="00E0295B" w:rsidP="00E0295B">
      <w:pPr>
        <w:spacing w:line="276" w:lineRule="auto"/>
        <w:ind w:firstLine="708"/>
        <w:rPr>
          <w:rFonts w:ascii="Tahoma" w:eastAsia="Calibri" w:hAnsi="Tahoma" w:cs="Tahoma"/>
          <w:sz w:val="24"/>
          <w:szCs w:val="24"/>
          <w:lang w:val="es-ES_tradnl"/>
        </w:rPr>
      </w:pPr>
      <w:bookmarkStart w:id="1" w:name="OLE_LINK23"/>
      <w:bookmarkStart w:id="2" w:name="OLE_LINK24"/>
      <w:r w:rsidRPr="00E0295B">
        <w:rPr>
          <w:rFonts w:ascii="Tahoma" w:eastAsia="Calibri" w:hAnsi="Tahoma" w:cs="Tahoma"/>
          <w:sz w:val="24"/>
          <w:szCs w:val="24"/>
          <w:lang w:val="es-ES_tradnl"/>
        </w:rPr>
        <w:t xml:space="preserve">La Magistrada Ponente, </w:t>
      </w:r>
    </w:p>
    <w:p w14:paraId="12608014" w14:textId="77777777" w:rsidR="00E0295B" w:rsidRPr="00E0295B" w:rsidRDefault="00E0295B" w:rsidP="00E0295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B1E2D33" w14:textId="77777777" w:rsidR="00E0295B" w:rsidRPr="00E0295B" w:rsidRDefault="00E0295B" w:rsidP="00E0295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6FB8BE43" w14:textId="77777777" w:rsidR="00E0295B" w:rsidRPr="00E0295B" w:rsidRDefault="00E0295B" w:rsidP="00E0295B">
      <w:pPr>
        <w:spacing w:line="276" w:lineRule="auto"/>
        <w:ind w:firstLine="705"/>
        <w:jc w:val="center"/>
        <w:textAlignment w:val="baseline"/>
        <w:rPr>
          <w:rFonts w:ascii="Tahoma" w:eastAsia="Times New Roman" w:hAnsi="Tahoma" w:cs="Tahoma"/>
          <w:b/>
          <w:bCs/>
          <w:sz w:val="24"/>
          <w:szCs w:val="24"/>
          <w:lang w:val="es-ES_tradnl" w:eastAsia="es-ES_tradnl"/>
        </w:rPr>
      </w:pPr>
      <w:r w:rsidRPr="00E0295B">
        <w:rPr>
          <w:rFonts w:ascii="Tahoma" w:eastAsia="Times New Roman" w:hAnsi="Tahoma" w:cs="Tahoma"/>
          <w:b/>
          <w:bCs/>
          <w:sz w:val="24"/>
          <w:szCs w:val="24"/>
          <w:lang w:val="es-ES_tradnl" w:eastAsia="es-ES_tradnl"/>
        </w:rPr>
        <w:t>ANA LUCÍA CAICEDO CALDERÓN</w:t>
      </w:r>
    </w:p>
    <w:p w14:paraId="1D680E26" w14:textId="77777777" w:rsidR="00E0295B" w:rsidRPr="00E0295B" w:rsidRDefault="00E0295B" w:rsidP="00E0295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6AACC62" w14:textId="77777777" w:rsidR="00E0295B" w:rsidRPr="00E0295B" w:rsidRDefault="00E0295B" w:rsidP="00E0295B">
      <w:pPr>
        <w:spacing w:line="276" w:lineRule="auto"/>
        <w:ind w:firstLine="705"/>
        <w:jc w:val="left"/>
        <w:textAlignment w:val="baseline"/>
        <w:rPr>
          <w:rFonts w:ascii="Tahoma" w:eastAsia="Times New Roman" w:hAnsi="Tahoma" w:cs="Tahoma"/>
          <w:sz w:val="24"/>
          <w:szCs w:val="24"/>
          <w:lang w:val="es-ES_tradnl" w:eastAsia="es-ES_tradnl"/>
        </w:rPr>
      </w:pPr>
      <w:r w:rsidRPr="00E0295B">
        <w:rPr>
          <w:rFonts w:ascii="Tahoma" w:eastAsia="Times New Roman" w:hAnsi="Tahoma" w:cs="Tahoma"/>
          <w:sz w:val="24"/>
          <w:szCs w:val="24"/>
          <w:lang w:val="es-ES_tradnl" w:eastAsia="es-ES_tradnl"/>
        </w:rPr>
        <w:t>La Magistrada y el Magistrado,</w:t>
      </w:r>
    </w:p>
    <w:p w14:paraId="0F032194" w14:textId="77777777" w:rsidR="00E0295B" w:rsidRPr="00E0295B" w:rsidRDefault="00E0295B" w:rsidP="00E0295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62BD40E" w14:textId="77777777" w:rsidR="00E0295B" w:rsidRPr="00E0295B" w:rsidRDefault="00E0295B" w:rsidP="00E0295B">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A72D3C8" w14:textId="77777777" w:rsidR="00E0295B" w:rsidRPr="00E0295B" w:rsidRDefault="00E0295B" w:rsidP="00E0295B">
      <w:pPr>
        <w:spacing w:line="276" w:lineRule="auto"/>
        <w:ind w:firstLine="0"/>
        <w:jc w:val="left"/>
        <w:rPr>
          <w:rFonts w:ascii="Tahoma" w:eastAsia="Times New Roman" w:hAnsi="Tahoma" w:cs="Tahoma"/>
          <w:sz w:val="24"/>
          <w:szCs w:val="24"/>
          <w:lang w:eastAsia="es-ES"/>
        </w:rPr>
      </w:pPr>
      <w:r w:rsidRPr="00E0295B">
        <w:rPr>
          <w:rFonts w:ascii="Tahoma" w:eastAsia="Times New Roman" w:hAnsi="Tahoma" w:cs="Tahoma"/>
          <w:b/>
          <w:bCs/>
          <w:sz w:val="24"/>
          <w:szCs w:val="24"/>
          <w:lang w:eastAsia="es-ES"/>
        </w:rPr>
        <w:t>OLGA LUCÍA HOYOS SEPÚLVEDA</w:t>
      </w:r>
      <w:r w:rsidRPr="00E0295B">
        <w:rPr>
          <w:rFonts w:ascii="Tahoma" w:eastAsia="Times New Roman" w:hAnsi="Tahoma" w:cs="Tahoma"/>
          <w:b/>
          <w:bCs/>
          <w:sz w:val="24"/>
          <w:szCs w:val="24"/>
          <w:lang w:eastAsia="es-ES"/>
        </w:rPr>
        <w:tab/>
      </w:r>
      <w:r w:rsidRPr="00E0295B">
        <w:rPr>
          <w:rFonts w:ascii="Tahoma" w:eastAsia="Times New Roman" w:hAnsi="Tahoma" w:cs="Tahoma"/>
          <w:b/>
          <w:bCs/>
          <w:sz w:val="24"/>
          <w:szCs w:val="24"/>
          <w:lang w:eastAsia="es-ES"/>
        </w:rPr>
        <w:tab/>
        <w:t>JULIO CÉSAR SALAZAR MUÑOZ</w:t>
      </w:r>
      <w:bookmarkEnd w:id="1"/>
      <w:bookmarkEnd w:id="2"/>
      <w:r w:rsidRPr="00E0295B">
        <w:rPr>
          <w:rFonts w:ascii="Tahoma" w:eastAsia="Calibri" w:hAnsi="Tahoma" w:cs="Tahoma"/>
          <w:sz w:val="24"/>
          <w:szCs w:val="24"/>
        </w:rPr>
        <w:t xml:space="preserve"> </w:t>
      </w:r>
    </w:p>
    <w:p w14:paraId="0233906D" w14:textId="77777777" w:rsidR="00E0295B" w:rsidRPr="00E0295B" w:rsidRDefault="00E0295B" w:rsidP="00E0295B">
      <w:pPr>
        <w:spacing w:line="276" w:lineRule="auto"/>
        <w:ind w:firstLine="0"/>
        <w:rPr>
          <w:rFonts w:ascii="Tahoma" w:eastAsia="Calibri" w:hAnsi="Tahoma" w:cs="Tahoma"/>
          <w:sz w:val="24"/>
          <w:szCs w:val="24"/>
          <w:lang w:val="es-CO"/>
        </w:rPr>
      </w:pPr>
      <w:r w:rsidRPr="00E0295B">
        <w:rPr>
          <w:rFonts w:ascii="Tahoma" w:eastAsia="Calibri" w:hAnsi="Tahoma" w:cs="Tahoma"/>
          <w:sz w:val="24"/>
          <w:szCs w:val="24"/>
          <w:lang w:val="es-CO"/>
        </w:rPr>
        <w:t>Aclara voto</w:t>
      </w:r>
      <w:r w:rsidRPr="00E0295B">
        <w:rPr>
          <w:rFonts w:ascii="Tahoma" w:eastAsia="Calibri" w:hAnsi="Tahoma" w:cs="Tahoma"/>
          <w:sz w:val="24"/>
          <w:szCs w:val="24"/>
          <w:lang w:val="es-CO"/>
        </w:rPr>
        <w:tab/>
      </w:r>
      <w:r w:rsidRPr="00E0295B">
        <w:rPr>
          <w:rFonts w:ascii="Tahoma" w:eastAsia="Calibri" w:hAnsi="Tahoma" w:cs="Tahoma"/>
          <w:sz w:val="24"/>
          <w:szCs w:val="24"/>
          <w:lang w:val="es-CO"/>
        </w:rPr>
        <w:tab/>
      </w:r>
      <w:r w:rsidRPr="00E0295B">
        <w:rPr>
          <w:rFonts w:ascii="Tahoma" w:eastAsia="Calibri" w:hAnsi="Tahoma" w:cs="Tahoma"/>
          <w:sz w:val="24"/>
          <w:szCs w:val="24"/>
          <w:lang w:val="es-CO"/>
        </w:rPr>
        <w:tab/>
      </w:r>
      <w:r w:rsidRPr="00E0295B">
        <w:rPr>
          <w:rFonts w:ascii="Tahoma" w:eastAsia="Calibri" w:hAnsi="Tahoma" w:cs="Tahoma"/>
          <w:sz w:val="24"/>
          <w:szCs w:val="24"/>
          <w:lang w:val="es-CO"/>
        </w:rPr>
        <w:tab/>
      </w:r>
      <w:r w:rsidRPr="00E0295B">
        <w:rPr>
          <w:rFonts w:ascii="Tahoma" w:eastAsia="Calibri" w:hAnsi="Tahoma" w:cs="Tahoma"/>
          <w:sz w:val="24"/>
          <w:szCs w:val="24"/>
          <w:lang w:val="es-CO"/>
        </w:rPr>
        <w:tab/>
      </w:r>
      <w:r w:rsidRPr="00E0295B">
        <w:rPr>
          <w:rFonts w:ascii="Tahoma" w:eastAsia="Calibri" w:hAnsi="Tahoma" w:cs="Tahoma"/>
          <w:sz w:val="24"/>
          <w:szCs w:val="24"/>
          <w:lang w:val="es-CO"/>
        </w:rPr>
        <w:tab/>
        <w:t>Aclara voto</w:t>
      </w:r>
    </w:p>
    <w:p w14:paraId="112D11C8" w14:textId="2CAE6C9D" w:rsidR="00855CCB" w:rsidRDefault="00855CCB">
      <w:pPr>
        <w:spacing w:after="160"/>
        <w:ind w:firstLine="0"/>
        <w:jc w:val="left"/>
        <w:rPr>
          <w:rFonts w:ascii="Tahoma" w:eastAsia="Calibri" w:hAnsi="Tahoma" w:cs="Tahoma"/>
          <w:bCs/>
          <w:sz w:val="24"/>
          <w:szCs w:val="24"/>
        </w:rPr>
      </w:pPr>
      <w:r>
        <w:rPr>
          <w:rFonts w:ascii="Tahoma" w:eastAsia="Calibri" w:hAnsi="Tahoma" w:cs="Tahoma"/>
          <w:bCs/>
          <w:sz w:val="24"/>
          <w:szCs w:val="24"/>
        </w:rPr>
        <w:br w:type="page"/>
      </w:r>
    </w:p>
    <w:p w14:paraId="41BE3C82" w14:textId="13D3CAF6" w:rsidR="00855CCB" w:rsidRPr="00855CCB" w:rsidRDefault="00855CCB" w:rsidP="00855CCB">
      <w:pPr>
        <w:keepNext/>
        <w:spacing w:line="240" w:lineRule="auto"/>
        <w:ind w:firstLine="0"/>
        <w:outlineLvl w:val="2"/>
        <w:rPr>
          <w:rFonts w:ascii="Arial" w:eastAsia="Times New Roman" w:hAnsi="Arial" w:cs="Arial"/>
          <w:spacing w:val="2"/>
          <w:sz w:val="20"/>
          <w:szCs w:val="20"/>
          <w:lang w:eastAsia="es-ES"/>
        </w:rPr>
      </w:pPr>
      <w:r w:rsidRPr="00855CCB">
        <w:rPr>
          <w:rFonts w:ascii="Arial" w:eastAsia="Times New Roman" w:hAnsi="Arial" w:cs="Arial"/>
          <w:spacing w:val="2"/>
          <w:sz w:val="20"/>
          <w:szCs w:val="20"/>
          <w:lang w:eastAsia="es-ES"/>
        </w:rPr>
        <w:lastRenderedPageBreak/>
        <w:t>Radicación No:</w:t>
      </w:r>
      <w:r w:rsidRPr="00855CCB">
        <w:rPr>
          <w:rFonts w:ascii="Arial" w:eastAsia="Times New Roman" w:hAnsi="Arial" w:cs="Arial"/>
          <w:spacing w:val="2"/>
          <w:sz w:val="20"/>
          <w:szCs w:val="20"/>
          <w:lang w:eastAsia="es-ES"/>
        </w:rPr>
        <w:tab/>
      </w:r>
      <w:r w:rsidRPr="00855CCB">
        <w:rPr>
          <w:rFonts w:ascii="Arial" w:eastAsia="Times New Roman" w:hAnsi="Arial" w:cs="Arial"/>
          <w:spacing w:val="2"/>
          <w:sz w:val="20"/>
          <w:szCs w:val="20"/>
          <w:lang w:eastAsia="es-ES"/>
        </w:rPr>
        <w:tab/>
        <w:t>66001-31-05-004-201</w:t>
      </w:r>
      <w:r>
        <w:rPr>
          <w:rFonts w:ascii="Arial" w:eastAsia="Times New Roman" w:hAnsi="Arial" w:cs="Arial"/>
          <w:spacing w:val="2"/>
          <w:sz w:val="20"/>
          <w:szCs w:val="20"/>
          <w:lang w:eastAsia="es-ES"/>
        </w:rPr>
        <w:t>8</w:t>
      </w:r>
      <w:r w:rsidRPr="00855CCB">
        <w:rPr>
          <w:rFonts w:ascii="Arial" w:eastAsia="Times New Roman" w:hAnsi="Arial" w:cs="Arial"/>
          <w:spacing w:val="2"/>
          <w:sz w:val="20"/>
          <w:szCs w:val="20"/>
          <w:lang w:eastAsia="es-ES"/>
        </w:rPr>
        <w:t>-00</w:t>
      </w:r>
      <w:r>
        <w:rPr>
          <w:rFonts w:ascii="Arial" w:eastAsia="Times New Roman" w:hAnsi="Arial" w:cs="Arial"/>
          <w:spacing w:val="2"/>
          <w:sz w:val="20"/>
          <w:szCs w:val="20"/>
          <w:lang w:eastAsia="es-ES"/>
        </w:rPr>
        <w:t>157</w:t>
      </w:r>
      <w:r w:rsidRPr="00855CCB">
        <w:rPr>
          <w:rFonts w:ascii="Arial" w:eastAsia="Times New Roman" w:hAnsi="Arial" w:cs="Arial"/>
          <w:spacing w:val="2"/>
          <w:sz w:val="20"/>
          <w:szCs w:val="20"/>
          <w:lang w:eastAsia="es-ES"/>
        </w:rPr>
        <w:t>-01</w:t>
      </w:r>
    </w:p>
    <w:p w14:paraId="3A242F27" w14:textId="77777777" w:rsidR="00855CCB" w:rsidRPr="00855CCB" w:rsidRDefault="00855CCB" w:rsidP="00855CCB">
      <w:pPr>
        <w:keepNext/>
        <w:spacing w:line="240" w:lineRule="auto"/>
        <w:ind w:firstLine="0"/>
        <w:outlineLvl w:val="2"/>
        <w:rPr>
          <w:rFonts w:ascii="Arial" w:eastAsia="Times New Roman" w:hAnsi="Arial" w:cs="Arial"/>
          <w:spacing w:val="2"/>
          <w:sz w:val="20"/>
          <w:szCs w:val="20"/>
          <w:lang w:eastAsia="es-ES"/>
        </w:rPr>
      </w:pPr>
      <w:r w:rsidRPr="00855CCB">
        <w:rPr>
          <w:rFonts w:ascii="Arial" w:eastAsia="Times New Roman" w:hAnsi="Arial" w:cs="Arial"/>
          <w:spacing w:val="2"/>
          <w:sz w:val="20"/>
          <w:szCs w:val="20"/>
          <w:lang w:eastAsia="es-ES"/>
        </w:rPr>
        <w:t>Proceso:</w:t>
      </w:r>
      <w:r w:rsidRPr="00855CCB">
        <w:rPr>
          <w:rFonts w:ascii="Arial" w:eastAsia="Times New Roman" w:hAnsi="Arial" w:cs="Arial"/>
          <w:spacing w:val="2"/>
          <w:sz w:val="20"/>
          <w:szCs w:val="20"/>
          <w:lang w:eastAsia="es-ES"/>
        </w:rPr>
        <w:tab/>
      </w:r>
      <w:r w:rsidRPr="00855CCB">
        <w:rPr>
          <w:rFonts w:ascii="Arial" w:eastAsia="Times New Roman" w:hAnsi="Arial" w:cs="Arial"/>
          <w:spacing w:val="2"/>
          <w:sz w:val="20"/>
          <w:szCs w:val="20"/>
          <w:lang w:eastAsia="es-ES"/>
        </w:rPr>
        <w:tab/>
        <w:t>Ordinario laboral</w:t>
      </w:r>
    </w:p>
    <w:p w14:paraId="1931C289" w14:textId="00557B34" w:rsidR="00855CCB" w:rsidRPr="00855CCB" w:rsidRDefault="00855CCB" w:rsidP="00855CCB">
      <w:pPr>
        <w:keepNext/>
        <w:spacing w:line="240" w:lineRule="auto"/>
        <w:ind w:firstLine="0"/>
        <w:outlineLvl w:val="2"/>
        <w:rPr>
          <w:rFonts w:ascii="Arial" w:eastAsia="Times New Roman" w:hAnsi="Arial" w:cs="Arial"/>
          <w:spacing w:val="2"/>
          <w:sz w:val="20"/>
          <w:szCs w:val="20"/>
          <w:lang w:eastAsia="es-ES"/>
        </w:rPr>
      </w:pPr>
      <w:r w:rsidRPr="00855CCB">
        <w:rPr>
          <w:rFonts w:ascii="Arial" w:eastAsia="Times New Roman" w:hAnsi="Arial" w:cs="Arial"/>
          <w:spacing w:val="2"/>
          <w:sz w:val="20"/>
          <w:szCs w:val="20"/>
          <w:lang w:eastAsia="es-ES"/>
        </w:rPr>
        <w:t>Demandante:</w:t>
      </w:r>
      <w:r w:rsidRPr="00855CCB">
        <w:rPr>
          <w:rFonts w:ascii="Arial" w:eastAsia="Times New Roman" w:hAnsi="Arial" w:cs="Arial"/>
          <w:spacing w:val="2"/>
          <w:sz w:val="20"/>
          <w:szCs w:val="20"/>
          <w:lang w:eastAsia="es-ES"/>
        </w:rPr>
        <w:tab/>
      </w:r>
      <w:r w:rsidRPr="00855CCB">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María Eugenia Suárez Acevedo</w:t>
      </w:r>
      <w:r w:rsidRPr="00855CCB">
        <w:rPr>
          <w:rFonts w:ascii="Arial" w:eastAsia="Times New Roman" w:hAnsi="Arial" w:cs="Arial"/>
          <w:spacing w:val="2"/>
          <w:sz w:val="20"/>
          <w:szCs w:val="20"/>
          <w:lang w:eastAsia="es-ES"/>
        </w:rPr>
        <w:t xml:space="preserve"> </w:t>
      </w:r>
    </w:p>
    <w:p w14:paraId="2500D3AB" w14:textId="67C17887" w:rsidR="00855CCB" w:rsidRPr="00855CCB" w:rsidRDefault="00855CCB" w:rsidP="00855CCB">
      <w:pPr>
        <w:keepNext/>
        <w:spacing w:line="240" w:lineRule="auto"/>
        <w:ind w:firstLine="0"/>
        <w:outlineLvl w:val="2"/>
        <w:rPr>
          <w:rFonts w:ascii="Arial" w:eastAsia="Times New Roman" w:hAnsi="Arial" w:cs="Arial"/>
          <w:spacing w:val="2"/>
          <w:sz w:val="20"/>
          <w:szCs w:val="20"/>
          <w:lang w:eastAsia="es-ES"/>
        </w:rPr>
      </w:pPr>
      <w:r w:rsidRPr="00855CCB">
        <w:rPr>
          <w:rFonts w:ascii="Arial" w:eastAsia="Times New Roman" w:hAnsi="Arial" w:cs="Arial"/>
          <w:spacing w:val="2"/>
          <w:sz w:val="20"/>
          <w:szCs w:val="20"/>
          <w:lang w:eastAsia="es-ES"/>
        </w:rPr>
        <w:t>Demandado:</w:t>
      </w:r>
      <w:r w:rsidRPr="00855CCB">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t>Colpensiones y otros</w:t>
      </w:r>
    </w:p>
    <w:p w14:paraId="2BC50F0E" w14:textId="77777777" w:rsidR="00855CCB" w:rsidRPr="00855CCB" w:rsidRDefault="00855CCB" w:rsidP="00855CCB">
      <w:pPr>
        <w:keepNext/>
        <w:spacing w:line="240" w:lineRule="auto"/>
        <w:ind w:firstLine="0"/>
        <w:outlineLvl w:val="2"/>
        <w:rPr>
          <w:rFonts w:ascii="Arial" w:eastAsia="Times New Roman" w:hAnsi="Arial" w:cs="Arial"/>
          <w:spacing w:val="2"/>
          <w:sz w:val="20"/>
          <w:szCs w:val="20"/>
          <w:lang w:eastAsia="es-ES"/>
        </w:rPr>
      </w:pPr>
      <w:r w:rsidRPr="00855CCB">
        <w:rPr>
          <w:rFonts w:ascii="Arial" w:eastAsia="Times New Roman" w:hAnsi="Arial" w:cs="Arial"/>
          <w:spacing w:val="2"/>
          <w:sz w:val="20"/>
          <w:szCs w:val="20"/>
          <w:lang w:eastAsia="es-ES"/>
        </w:rPr>
        <w:t>Tema:</w:t>
      </w:r>
      <w:r w:rsidRPr="00855CCB">
        <w:rPr>
          <w:rFonts w:ascii="Arial" w:eastAsia="Times New Roman" w:hAnsi="Arial" w:cs="Arial"/>
          <w:spacing w:val="2"/>
          <w:sz w:val="20"/>
          <w:szCs w:val="20"/>
          <w:lang w:eastAsia="es-ES"/>
        </w:rPr>
        <w:tab/>
      </w:r>
      <w:r w:rsidRPr="00855CCB">
        <w:rPr>
          <w:rFonts w:ascii="Arial" w:eastAsia="Times New Roman" w:hAnsi="Arial" w:cs="Arial"/>
          <w:spacing w:val="2"/>
          <w:sz w:val="20"/>
          <w:szCs w:val="20"/>
          <w:lang w:eastAsia="es-ES"/>
        </w:rPr>
        <w:tab/>
      </w:r>
      <w:r w:rsidRPr="00855CCB">
        <w:rPr>
          <w:rFonts w:ascii="Arial" w:eastAsia="Times New Roman" w:hAnsi="Arial" w:cs="Arial"/>
          <w:spacing w:val="2"/>
          <w:sz w:val="20"/>
          <w:szCs w:val="20"/>
          <w:lang w:eastAsia="es-ES"/>
        </w:rPr>
        <w:tab/>
        <w:t>Cumplimiento a exhorto de la Sala de Casación.</w:t>
      </w:r>
    </w:p>
    <w:p w14:paraId="41DF4DF3" w14:textId="77777777" w:rsidR="00855CCB" w:rsidRPr="00855CCB" w:rsidRDefault="00855CCB" w:rsidP="00855CCB">
      <w:pPr>
        <w:keepNext/>
        <w:spacing w:line="240" w:lineRule="auto"/>
        <w:ind w:firstLine="0"/>
        <w:outlineLvl w:val="2"/>
        <w:rPr>
          <w:rFonts w:ascii="Arial" w:eastAsia="Times New Roman" w:hAnsi="Arial" w:cs="Arial"/>
          <w:b/>
          <w:sz w:val="24"/>
          <w:szCs w:val="24"/>
          <w:lang w:val="es-ES_tradnl" w:eastAsia="es-ES"/>
        </w:rPr>
      </w:pPr>
    </w:p>
    <w:p w14:paraId="2EBE3028" w14:textId="77777777" w:rsidR="00855CCB" w:rsidRPr="00855CCB" w:rsidRDefault="00855CCB" w:rsidP="00855CCB">
      <w:pPr>
        <w:keepNext/>
        <w:spacing w:line="240" w:lineRule="auto"/>
        <w:ind w:firstLine="0"/>
        <w:outlineLvl w:val="2"/>
        <w:rPr>
          <w:rFonts w:ascii="Arial" w:eastAsia="Times New Roman" w:hAnsi="Arial" w:cs="Arial"/>
          <w:b/>
          <w:sz w:val="24"/>
          <w:szCs w:val="24"/>
          <w:lang w:val="es-ES_tradnl" w:eastAsia="es-ES"/>
        </w:rPr>
      </w:pPr>
    </w:p>
    <w:p w14:paraId="514A2FF1" w14:textId="77777777" w:rsidR="00855CCB" w:rsidRPr="00855CCB" w:rsidRDefault="00855CCB" w:rsidP="00855CCB">
      <w:pPr>
        <w:keepNext/>
        <w:spacing w:line="240" w:lineRule="auto"/>
        <w:ind w:firstLine="0"/>
        <w:outlineLvl w:val="2"/>
        <w:rPr>
          <w:rFonts w:ascii="Arial" w:eastAsia="Times New Roman" w:hAnsi="Arial" w:cs="Arial"/>
          <w:b/>
          <w:sz w:val="24"/>
          <w:szCs w:val="24"/>
          <w:lang w:val="es-ES_tradnl" w:eastAsia="es-ES"/>
        </w:rPr>
      </w:pPr>
    </w:p>
    <w:p w14:paraId="261E2058" w14:textId="77777777" w:rsidR="00855CCB" w:rsidRPr="00855CCB" w:rsidRDefault="00855CCB" w:rsidP="00855CCB">
      <w:pPr>
        <w:keepNext/>
        <w:spacing w:line="276" w:lineRule="auto"/>
        <w:ind w:firstLine="0"/>
        <w:jc w:val="center"/>
        <w:outlineLvl w:val="2"/>
        <w:rPr>
          <w:rFonts w:ascii="Arial" w:eastAsia="Times New Roman" w:hAnsi="Arial" w:cs="Arial"/>
          <w:b/>
          <w:sz w:val="24"/>
          <w:szCs w:val="24"/>
          <w:lang w:val="es-ES_tradnl" w:eastAsia="es-ES"/>
        </w:rPr>
      </w:pPr>
      <w:r w:rsidRPr="00855CCB">
        <w:rPr>
          <w:rFonts w:ascii="Arial" w:eastAsia="Times New Roman" w:hAnsi="Arial" w:cs="Arial"/>
          <w:b/>
          <w:sz w:val="24"/>
          <w:szCs w:val="24"/>
          <w:lang w:val="es-ES_tradnl" w:eastAsia="es-ES"/>
        </w:rPr>
        <w:t>TRIBUNAL SUPERIOR DEL DISTRITO JUDICIAL</w:t>
      </w:r>
    </w:p>
    <w:p w14:paraId="6CCBAA1B" w14:textId="77777777" w:rsidR="00855CCB" w:rsidRPr="00855CCB" w:rsidRDefault="00855CCB" w:rsidP="00855CCB">
      <w:pPr>
        <w:spacing w:line="276" w:lineRule="auto"/>
        <w:ind w:firstLine="0"/>
        <w:jc w:val="center"/>
        <w:rPr>
          <w:rFonts w:ascii="Arial" w:eastAsia="Calibri" w:hAnsi="Arial" w:cs="Arial"/>
          <w:b/>
          <w:sz w:val="24"/>
          <w:szCs w:val="24"/>
          <w:lang w:val="es-CO"/>
        </w:rPr>
      </w:pPr>
    </w:p>
    <w:p w14:paraId="5C49BB5A" w14:textId="77777777" w:rsidR="00855CCB" w:rsidRPr="00855CCB" w:rsidRDefault="00855CCB" w:rsidP="00855CCB">
      <w:pPr>
        <w:spacing w:line="276" w:lineRule="auto"/>
        <w:ind w:firstLine="0"/>
        <w:jc w:val="center"/>
        <w:rPr>
          <w:rFonts w:ascii="Arial" w:eastAsia="Calibri" w:hAnsi="Arial" w:cs="Arial"/>
          <w:b/>
          <w:sz w:val="24"/>
          <w:szCs w:val="24"/>
          <w:lang w:val="es-CO"/>
        </w:rPr>
      </w:pPr>
      <w:r w:rsidRPr="00855CCB">
        <w:rPr>
          <w:rFonts w:ascii="Arial" w:eastAsia="Calibri" w:hAnsi="Arial" w:cs="Arial"/>
          <w:b/>
          <w:sz w:val="24"/>
          <w:szCs w:val="24"/>
          <w:lang w:val="es-CO"/>
        </w:rPr>
        <w:t>SALA LABORAL</w:t>
      </w:r>
    </w:p>
    <w:p w14:paraId="13A55B1E" w14:textId="77777777" w:rsidR="00855CCB" w:rsidRPr="00855CCB" w:rsidRDefault="00855CCB" w:rsidP="00855CCB">
      <w:pPr>
        <w:spacing w:line="276" w:lineRule="auto"/>
        <w:ind w:firstLine="0"/>
        <w:jc w:val="center"/>
        <w:rPr>
          <w:rFonts w:ascii="Arial" w:eastAsia="Times New Roman" w:hAnsi="Arial" w:cs="Arial"/>
          <w:b/>
          <w:sz w:val="24"/>
          <w:szCs w:val="24"/>
          <w:lang w:val="es-ES_tradnl" w:eastAsia="es-ES"/>
        </w:rPr>
      </w:pPr>
    </w:p>
    <w:p w14:paraId="49A54532" w14:textId="77777777" w:rsidR="00855CCB" w:rsidRPr="00855CCB" w:rsidRDefault="00855CCB" w:rsidP="00855CCB">
      <w:pPr>
        <w:spacing w:line="276" w:lineRule="auto"/>
        <w:ind w:firstLine="0"/>
        <w:jc w:val="center"/>
        <w:rPr>
          <w:rFonts w:ascii="Arial" w:eastAsia="Times New Roman" w:hAnsi="Arial" w:cs="Arial"/>
          <w:b/>
          <w:sz w:val="24"/>
          <w:szCs w:val="24"/>
          <w:lang w:val="es-ES_tradnl" w:eastAsia="es-ES"/>
        </w:rPr>
      </w:pPr>
      <w:r w:rsidRPr="00855CCB">
        <w:rPr>
          <w:rFonts w:ascii="Arial" w:eastAsia="Times New Roman" w:hAnsi="Arial" w:cs="Arial"/>
          <w:b/>
          <w:sz w:val="24"/>
          <w:szCs w:val="24"/>
          <w:lang w:val="es-ES_tradnl" w:eastAsia="es-ES"/>
        </w:rPr>
        <w:t xml:space="preserve">MAGISTRADO: JULIO CÉSAR SALAZAR MUÑOZ </w:t>
      </w:r>
    </w:p>
    <w:p w14:paraId="645C6AF3" w14:textId="77777777" w:rsidR="00855CCB" w:rsidRPr="00855CCB" w:rsidRDefault="00855CCB" w:rsidP="00855CCB">
      <w:pPr>
        <w:spacing w:line="276" w:lineRule="auto"/>
        <w:ind w:firstLine="0"/>
        <w:jc w:val="center"/>
        <w:rPr>
          <w:rFonts w:ascii="Arial" w:eastAsia="Times New Roman" w:hAnsi="Arial" w:cs="Arial"/>
          <w:b/>
          <w:sz w:val="24"/>
          <w:szCs w:val="24"/>
          <w:lang w:val="es-ES_tradnl" w:eastAsia="es-ES"/>
        </w:rPr>
      </w:pPr>
    </w:p>
    <w:p w14:paraId="487FD9AC" w14:textId="5D0158A0" w:rsidR="00855CCB" w:rsidRPr="00855CCB" w:rsidRDefault="00855CCB" w:rsidP="00855CCB">
      <w:pPr>
        <w:spacing w:line="276" w:lineRule="auto"/>
        <w:ind w:firstLine="0"/>
        <w:jc w:val="center"/>
        <w:rPr>
          <w:rFonts w:ascii="Arial" w:eastAsia="Times New Roman" w:hAnsi="Arial" w:cs="Arial"/>
          <w:b/>
          <w:bCs/>
          <w:sz w:val="24"/>
          <w:szCs w:val="24"/>
          <w:lang w:eastAsia="es-ES"/>
        </w:rPr>
      </w:pPr>
      <w:r w:rsidRPr="00855CCB">
        <w:rPr>
          <w:rFonts w:ascii="Arial" w:eastAsia="Times New Roman" w:hAnsi="Arial" w:cs="Arial"/>
          <w:b/>
          <w:bCs/>
          <w:sz w:val="24"/>
          <w:szCs w:val="24"/>
          <w:lang w:eastAsia="es-ES"/>
        </w:rPr>
        <w:t xml:space="preserve">Octubre </w:t>
      </w:r>
      <w:r>
        <w:rPr>
          <w:rFonts w:ascii="Arial" w:eastAsia="Times New Roman" w:hAnsi="Arial" w:cs="Arial"/>
          <w:b/>
          <w:bCs/>
          <w:sz w:val="24"/>
          <w:szCs w:val="24"/>
          <w:lang w:eastAsia="es-ES"/>
        </w:rPr>
        <w:t>15</w:t>
      </w:r>
      <w:r w:rsidRPr="00855CCB">
        <w:rPr>
          <w:rFonts w:ascii="Arial" w:eastAsia="Times New Roman" w:hAnsi="Arial" w:cs="Arial"/>
          <w:b/>
          <w:bCs/>
          <w:sz w:val="24"/>
          <w:szCs w:val="24"/>
          <w:lang w:eastAsia="es-ES"/>
        </w:rPr>
        <w:t xml:space="preserve"> de 2020</w:t>
      </w:r>
    </w:p>
    <w:p w14:paraId="6BCE7CD0" w14:textId="77777777" w:rsidR="00855CCB" w:rsidRPr="00855CCB" w:rsidRDefault="00855CCB" w:rsidP="00855CCB">
      <w:pPr>
        <w:spacing w:line="276" w:lineRule="auto"/>
        <w:ind w:firstLine="0"/>
        <w:jc w:val="center"/>
        <w:rPr>
          <w:rFonts w:ascii="Arial" w:eastAsia="Times New Roman" w:hAnsi="Arial" w:cs="Arial"/>
          <w:b/>
          <w:sz w:val="24"/>
          <w:szCs w:val="24"/>
          <w:lang w:val="es-ES_tradnl" w:eastAsia="es-ES"/>
        </w:rPr>
      </w:pPr>
    </w:p>
    <w:p w14:paraId="6B9735E4" w14:textId="77777777" w:rsidR="00855CCB" w:rsidRPr="00855CCB" w:rsidRDefault="00855CCB" w:rsidP="00855CCB">
      <w:pPr>
        <w:spacing w:line="276" w:lineRule="auto"/>
        <w:ind w:firstLine="0"/>
        <w:jc w:val="center"/>
        <w:rPr>
          <w:rFonts w:ascii="Arial" w:eastAsia="Times New Roman" w:hAnsi="Arial" w:cs="Arial"/>
          <w:b/>
          <w:sz w:val="24"/>
          <w:szCs w:val="24"/>
          <w:lang w:val="es-ES_tradnl" w:eastAsia="es-ES"/>
        </w:rPr>
      </w:pPr>
    </w:p>
    <w:p w14:paraId="22FB4F43" w14:textId="77777777" w:rsidR="00855CCB" w:rsidRPr="00855CCB" w:rsidRDefault="00855CCB" w:rsidP="00855CCB">
      <w:pPr>
        <w:spacing w:line="276" w:lineRule="auto"/>
        <w:ind w:firstLine="0"/>
        <w:jc w:val="center"/>
        <w:rPr>
          <w:rFonts w:ascii="Arial" w:eastAsia="Times New Roman" w:hAnsi="Arial" w:cs="Arial"/>
          <w:b/>
          <w:sz w:val="24"/>
          <w:szCs w:val="24"/>
          <w:u w:val="single"/>
          <w:lang w:val="es-ES_tradnl" w:eastAsia="es-ES"/>
        </w:rPr>
      </w:pPr>
      <w:r w:rsidRPr="00855CCB">
        <w:rPr>
          <w:rFonts w:ascii="Arial" w:eastAsia="Times New Roman" w:hAnsi="Arial" w:cs="Arial"/>
          <w:b/>
          <w:sz w:val="24"/>
          <w:szCs w:val="24"/>
          <w:u w:val="single"/>
          <w:lang w:val="es-ES_tradnl" w:eastAsia="es-ES"/>
        </w:rPr>
        <w:t>ACLARACIÓN DE VOTO</w:t>
      </w:r>
    </w:p>
    <w:p w14:paraId="1E1C7251" w14:textId="77777777" w:rsidR="00855CCB" w:rsidRPr="00855CCB" w:rsidRDefault="00855CCB" w:rsidP="00855CCB">
      <w:pPr>
        <w:suppressAutoHyphens/>
        <w:spacing w:line="276" w:lineRule="auto"/>
        <w:ind w:firstLine="0"/>
        <w:rPr>
          <w:rFonts w:ascii="Arial" w:eastAsia="Times New Roman" w:hAnsi="Arial" w:cs="Arial"/>
          <w:sz w:val="24"/>
          <w:szCs w:val="24"/>
          <w:lang w:val="es-ES_tradnl" w:eastAsia="es-ES"/>
        </w:rPr>
      </w:pPr>
    </w:p>
    <w:p w14:paraId="445A5103" w14:textId="77777777" w:rsidR="00855CCB" w:rsidRPr="00855CCB" w:rsidRDefault="00855CCB" w:rsidP="00855CCB">
      <w:pPr>
        <w:suppressAutoHyphens/>
        <w:spacing w:line="276" w:lineRule="auto"/>
        <w:ind w:firstLine="0"/>
        <w:rPr>
          <w:rFonts w:ascii="Arial" w:eastAsia="Times New Roman" w:hAnsi="Arial" w:cs="Arial"/>
          <w:sz w:val="24"/>
          <w:szCs w:val="24"/>
          <w:lang w:eastAsia="es-ES"/>
        </w:rPr>
      </w:pPr>
    </w:p>
    <w:p w14:paraId="57E2B3C9" w14:textId="77777777" w:rsidR="00855CCB" w:rsidRPr="00855CCB" w:rsidRDefault="00855CCB" w:rsidP="00855CCB">
      <w:pPr>
        <w:spacing w:line="276" w:lineRule="auto"/>
        <w:ind w:firstLine="0"/>
        <w:rPr>
          <w:rFonts w:ascii="Arial" w:eastAsia="Times New Roman" w:hAnsi="Arial" w:cs="Arial"/>
          <w:sz w:val="24"/>
          <w:szCs w:val="24"/>
          <w:lang w:eastAsia="es-ES"/>
        </w:rPr>
      </w:pPr>
      <w:r w:rsidRPr="00855CCB">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855CCB">
        <w:rPr>
          <w:rFonts w:ascii="Arial" w:eastAsia="Times New Roman" w:hAnsi="Arial" w:cs="Arial"/>
          <w:b/>
          <w:sz w:val="24"/>
          <w:szCs w:val="24"/>
          <w:lang w:eastAsia="es-ES"/>
        </w:rPr>
        <w:t>EXORTAR</w:t>
      </w:r>
      <w:proofErr w:type="spellEnd"/>
      <w:r w:rsidRPr="00855CCB">
        <w:rPr>
          <w:rFonts w:ascii="Arial" w:eastAsia="Times New Roman" w:hAnsi="Arial" w:cs="Arial"/>
          <w:sz w:val="24"/>
          <w:szCs w:val="24"/>
          <w:lang w:eastAsia="es-ES"/>
        </w:rPr>
        <w:t xml:space="preserve"> (sic) a la </w:t>
      </w:r>
      <w:r w:rsidRPr="00855CCB">
        <w:rPr>
          <w:rFonts w:ascii="Arial" w:eastAsia="Times New Roman" w:hAnsi="Arial" w:cs="Arial"/>
          <w:b/>
          <w:sz w:val="24"/>
          <w:szCs w:val="24"/>
          <w:lang w:eastAsia="es-ES"/>
        </w:rPr>
        <w:t xml:space="preserve">SALA LABORAL DEL TRIBUNAL SUPERIOR DEL DISTRITO JUDICIAL DE PEREIRA </w:t>
      </w:r>
      <w:r w:rsidRPr="00855CCB">
        <w:rPr>
          <w:rFonts w:ascii="Arial" w:eastAsia="Times New Roman" w:hAnsi="Arial" w:cs="Arial"/>
          <w:sz w:val="24"/>
          <w:szCs w:val="24"/>
          <w:lang w:eastAsia="es-ES"/>
        </w:rPr>
        <w:t>para que en lo sucesivo acate el precedente judicial emanado de esta Corporación”.</w:t>
      </w:r>
    </w:p>
    <w:p w14:paraId="2F17FBBD" w14:textId="77777777" w:rsidR="00855CCB" w:rsidRPr="00855CCB" w:rsidRDefault="00855CCB" w:rsidP="00855CCB">
      <w:pPr>
        <w:spacing w:line="276" w:lineRule="auto"/>
        <w:ind w:firstLine="0"/>
        <w:rPr>
          <w:rFonts w:ascii="Arial" w:eastAsia="Times New Roman" w:hAnsi="Arial" w:cs="Arial"/>
          <w:sz w:val="24"/>
          <w:szCs w:val="24"/>
          <w:lang w:eastAsia="es-ES"/>
        </w:rPr>
      </w:pPr>
    </w:p>
    <w:p w14:paraId="462153B5" w14:textId="77777777" w:rsidR="00855CCB" w:rsidRPr="00855CCB" w:rsidRDefault="00855CCB" w:rsidP="00855CCB">
      <w:pPr>
        <w:spacing w:line="276" w:lineRule="auto"/>
        <w:ind w:firstLine="0"/>
        <w:rPr>
          <w:rFonts w:ascii="Arial" w:eastAsia="Times New Roman" w:hAnsi="Arial" w:cs="Arial"/>
          <w:sz w:val="24"/>
          <w:szCs w:val="24"/>
          <w:lang w:eastAsia="es-ES"/>
        </w:rPr>
      </w:pPr>
      <w:r w:rsidRPr="00855CCB">
        <w:rPr>
          <w:rFonts w:ascii="Arial" w:eastAsia="Times New Roman" w:hAnsi="Arial" w:cs="Arial"/>
          <w:sz w:val="24"/>
          <w:szCs w:val="24"/>
          <w:lang w:eastAsia="es-ES"/>
        </w:rPr>
        <w:t>Como iguales circunstancias a las narradas previamente ocurrieron en este asunto, bajo tal apremio, no obstante lo dispuesto en los artículos 228 y 230 de la Constitución Nacional, no queda otra posibilidad al suscrito que, en este y en todos los numerosos y sucesivos asuntos de similares características que se presenten a la Sala para decisión de eventos de ineficacia de traslados entre regímenes pensionales, acatar lo resuelto por el superior,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07951CA0" w14:textId="77777777" w:rsidR="00855CCB" w:rsidRPr="00855CCB" w:rsidRDefault="00855CCB" w:rsidP="00855CCB">
      <w:pPr>
        <w:spacing w:line="276" w:lineRule="auto"/>
        <w:ind w:firstLine="0"/>
        <w:rPr>
          <w:rFonts w:ascii="Arial" w:eastAsia="Times New Roman" w:hAnsi="Arial" w:cs="Arial"/>
          <w:sz w:val="24"/>
          <w:szCs w:val="24"/>
          <w:lang w:eastAsia="es-ES"/>
        </w:rPr>
      </w:pPr>
    </w:p>
    <w:p w14:paraId="7E77DFBE" w14:textId="77777777" w:rsidR="00855CCB" w:rsidRPr="00855CCB" w:rsidRDefault="00855CCB" w:rsidP="00855CCB">
      <w:pPr>
        <w:spacing w:line="276" w:lineRule="auto"/>
        <w:ind w:firstLine="0"/>
        <w:rPr>
          <w:rFonts w:ascii="Arial" w:eastAsia="Times New Roman" w:hAnsi="Arial" w:cs="Arial"/>
          <w:b/>
          <w:sz w:val="24"/>
          <w:szCs w:val="24"/>
          <w:lang w:eastAsia="es-ES"/>
        </w:rPr>
      </w:pPr>
      <w:r w:rsidRPr="00855CCB">
        <w:rPr>
          <w:rFonts w:ascii="Arial" w:eastAsia="Times New Roman" w:hAnsi="Arial" w:cs="Arial"/>
          <w:b/>
          <w:sz w:val="24"/>
          <w:szCs w:val="24"/>
          <w:lang w:eastAsia="es-ES"/>
        </w:rPr>
        <w:t>ANÁLISIS JURÍDICO DE LOS HECHOS DEBATIDOS EN LOS CASOS DE TRASLADOS ENTRE REGÍMENES</w:t>
      </w:r>
    </w:p>
    <w:p w14:paraId="57CF7003" w14:textId="77777777" w:rsidR="00855CCB" w:rsidRPr="00855CCB" w:rsidRDefault="00855CCB" w:rsidP="00855CCB">
      <w:pPr>
        <w:spacing w:line="276" w:lineRule="auto"/>
        <w:ind w:firstLine="0"/>
        <w:rPr>
          <w:rFonts w:ascii="Arial" w:eastAsia="Times New Roman" w:hAnsi="Arial" w:cs="Arial"/>
          <w:sz w:val="24"/>
          <w:szCs w:val="24"/>
          <w:lang w:eastAsia="es-ES"/>
        </w:rPr>
      </w:pPr>
    </w:p>
    <w:p w14:paraId="4C0903D2" w14:textId="77777777" w:rsidR="00855CCB" w:rsidRPr="00855CCB" w:rsidRDefault="00855CCB" w:rsidP="00855CCB">
      <w:pPr>
        <w:spacing w:line="276" w:lineRule="auto"/>
        <w:ind w:firstLine="0"/>
        <w:rPr>
          <w:rFonts w:ascii="Arial" w:eastAsia="Times New Roman" w:hAnsi="Arial" w:cs="Arial"/>
          <w:spacing w:val="-2"/>
          <w:sz w:val="24"/>
          <w:szCs w:val="24"/>
          <w:lang w:val="es-ES_tradnl" w:eastAsia="es-ES"/>
        </w:rPr>
      </w:pPr>
      <w:r w:rsidRPr="00855CCB">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w:t>
      </w:r>
      <w:r w:rsidRPr="00855CCB">
        <w:rPr>
          <w:rFonts w:ascii="Arial" w:eastAsia="Times New Roman" w:hAnsi="Arial" w:cs="Arial"/>
          <w:spacing w:val="-2"/>
          <w:sz w:val="24"/>
          <w:szCs w:val="24"/>
          <w:lang w:val="es-ES_tradnl" w:eastAsia="es-ES"/>
        </w:rPr>
        <w:lastRenderedPageBreak/>
        <w:t xml:space="preserve">su pensión en el RPM sería superior a la que obtendrían en el </w:t>
      </w:r>
      <w:proofErr w:type="spellStart"/>
      <w:r w:rsidRPr="00855CCB">
        <w:rPr>
          <w:rFonts w:ascii="Arial" w:eastAsia="Times New Roman" w:hAnsi="Arial" w:cs="Arial"/>
          <w:spacing w:val="-2"/>
          <w:sz w:val="24"/>
          <w:szCs w:val="24"/>
          <w:lang w:val="es-ES_tradnl" w:eastAsia="es-ES"/>
        </w:rPr>
        <w:t>RAIS</w:t>
      </w:r>
      <w:proofErr w:type="spellEnd"/>
      <w:r w:rsidRPr="00855CCB">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10E47C3D"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287EE7AF"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r w:rsidRPr="00855CCB">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278AEEE8"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17FBF4F4"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r w:rsidRPr="00855CCB">
        <w:rPr>
          <w:rFonts w:ascii="Arial" w:eastAsia="Times New Roman" w:hAnsi="Arial" w:cs="Arial"/>
          <w:spacing w:val="-2"/>
          <w:sz w:val="24"/>
          <w:szCs w:val="24"/>
          <w:lang w:val="es-ES_tradnl" w:eastAsia="es-ES"/>
        </w:rPr>
        <w:t xml:space="preserve">Como quiera que esta posición se </w:t>
      </w:r>
      <w:proofErr w:type="gramStart"/>
      <w:r w:rsidRPr="00855CCB">
        <w:rPr>
          <w:rFonts w:ascii="Arial" w:eastAsia="Times New Roman" w:hAnsi="Arial" w:cs="Arial"/>
          <w:spacing w:val="-2"/>
          <w:sz w:val="24"/>
          <w:szCs w:val="24"/>
          <w:lang w:val="es-ES_tradnl" w:eastAsia="es-ES"/>
        </w:rPr>
        <w:t>separa</w:t>
      </w:r>
      <w:proofErr w:type="gramEnd"/>
      <w:r w:rsidRPr="00855CCB">
        <w:rPr>
          <w:rFonts w:ascii="Arial" w:eastAsia="Times New Roman" w:hAnsi="Arial" w:cs="Arial"/>
          <w:spacing w:val="-2"/>
          <w:sz w:val="24"/>
          <w:szCs w:val="24"/>
          <w:lang w:val="es-ES_tradnl" w:eastAsia="es-ES"/>
        </w:rPr>
        <w:t xml:space="preserve"> expresamente de la línea actual de la Corte Suprema de Justicia, considero necesario </w:t>
      </w:r>
      <w:r w:rsidRPr="00855CCB">
        <w:rPr>
          <w:rFonts w:ascii="Arial" w:eastAsia="Times New Roman" w:hAnsi="Arial" w:cs="Arial"/>
          <w:iCs/>
          <w:sz w:val="24"/>
          <w:szCs w:val="24"/>
          <w:lang w:val="es-ES_tradnl" w:eastAsia="es-ES"/>
        </w:rPr>
        <w:t>discurrir sobre los 8 temas jurídicos que a continuación se desarrollan:</w:t>
      </w:r>
    </w:p>
    <w:p w14:paraId="37F0F0BC"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315029B3" w14:textId="77777777" w:rsidR="00855CCB" w:rsidRPr="00855CCB" w:rsidRDefault="00855CCB" w:rsidP="00855CCB">
      <w:pPr>
        <w:numPr>
          <w:ilvl w:val="0"/>
          <w:numId w:val="12"/>
        </w:numPr>
        <w:suppressAutoHyphens/>
        <w:spacing w:line="276" w:lineRule="auto"/>
        <w:ind w:left="426" w:hanging="426"/>
        <w:rPr>
          <w:rFonts w:ascii="Arial" w:eastAsia="Times New Roman" w:hAnsi="Arial" w:cs="Arial"/>
          <w:b/>
          <w:spacing w:val="-2"/>
          <w:sz w:val="24"/>
          <w:szCs w:val="24"/>
          <w:lang w:val="es-ES_tradnl" w:eastAsia="es-ES"/>
        </w:rPr>
      </w:pPr>
      <w:r w:rsidRPr="00855CCB">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14:paraId="6B5C83DA"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573B3B81" w14:textId="77777777" w:rsidR="00855CCB" w:rsidRPr="00855CCB" w:rsidRDefault="00855CCB" w:rsidP="00855CCB">
      <w:pPr>
        <w:spacing w:line="276" w:lineRule="auto"/>
        <w:ind w:right="51" w:firstLine="0"/>
        <w:rPr>
          <w:rFonts w:ascii="Arial" w:eastAsia="Times New Roman" w:hAnsi="Arial" w:cs="Arial"/>
          <w:spacing w:val="-2"/>
          <w:sz w:val="24"/>
          <w:szCs w:val="24"/>
          <w:lang w:val="es-ES_tradnl" w:eastAsia="es-ES"/>
        </w:rPr>
      </w:pPr>
      <w:r w:rsidRPr="00855CCB">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1666A0B4"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7A2FCEE3" w14:textId="77777777" w:rsidR="00855CCB" w:rsidRPr="00855CCB" w:rsidRDefault="00855CCB" w:rsidP="00855CCB">
      <w:pPr>
        <w:suppressAutoHyphens/>
        <w:spacing w:line="240" w:lineRule="auto"/>
        <w:ind w:left="426" w:right="420" w:firstLine="0"/>
        <w:rPr>
          <w:rFonts w:ascii="Arial" w:eastAsia="Times New Roman" w:hAnsi="Arial" w:cs="Arial"/>
          <w:spacing w:val="-2"/>
          <w:szCs w:val="24"/>
          <w:lang w:eastAsia="es-ES"/>
        </w:rPr>
      </w:pPr>
      <w:r w:rsidRPr="00855CCB">
        <w:rPr>
          <w:rFonts w:ascii="Arial" w:eastAsia="Times New Roman" w:hAnsi="Arial" w:cs="Arial"/>
          <w:spacing w:val="-2"/>
          <w:szCs w:val="24"/>
          <w:lang w:eastAsia="es-ES"/>
        </w:rPr>
        <w:t>“No obstante, el precedente no constituye una obligatoriedad absoluta, pues en razón del principio de la autonomía judicial, el juez puede apartarse de aquellos, siempre y cuando presente </w:t>
      </w:r>
      <w:r w:rsidRPr="00855CCB">
        <w:rPr>
          <w:rFonts w:ascii="Arial" w:eastAsia="Times New Roman" w:hAnsi="Arial" w:cs="Arial"/>
          <w:b/>
          <w:bCs/>
          <w:spacing w:val="-2"/>
          <w:szCs w:val="24"/>
          <w:lang w:eastAsia="es-ES"/>
        </w:rPr>
        <w:t>(i)</w:t>
      </w:r>
      <w:r w:rsidRPr="00855CCB">
        <w:rPr>
          <w:rFonts w:ascii="Arial" w:eastAsia="Times New Roman" w:hAnsi="Arial" w:cs="Arial"/>
          <w:spacing w:val="-2"/>
          <w:szCs w:val="24"/>
          <w:lang w:eastAsia="es-ES"/>
        </w:rPr>
        <w:t> de forma explícita las razones por las cuales se separa de aquellos, y </w:t>
      </w:r>
      <w:r w:rsidRPr="00855CCB">
        <w:rPr>
          <w:rFonts w:ascii="Arial" w:eastAsia="Times New Roman" w:hAnsi="Arial" w:cs="Arial"/>
          <w:b/>
          <w:bCs/>
          <w:spacing w:val="-2"/>
          <w:szCs w:val="24"/>
          <w:lang w:eastAsia="es-ES"/>
        </w:rPr>
        <w:t>(ii)</w:t>
      </w:r>
      <w:r w:rsidRPr="00855CCB">
        <w:rPr>
          <w:rFonts w:ascii="Arial" w:eastAsia="Times New Roman" w:hAnsi="Arial" w:cs="Arial"/>
          <w:spacing w:val="-2"/>
          <w:szCs w:val="24"/>
          <w:lang w:eastAsia="es-ES"/>
        </w:rPr>
        <w:t> demuestre con suficiencia que su interpretación aporta un mejor desarrollo a los derechos y principios constitucionales.</w:t>
      </w:r>
      <w:bookmarkStart w:id="3" w:name="_ftnref33"/>
      <w:r w:rsidRPr="00855CCB">
        <w:rPr>
          <w:rFonts w:ascii="Arial" w:eastAsia="Times New Roman" w:hAnsi="Arial" w:cs="Arial"/>
          <w:spacing w:val="-2"/>
          <w:szCs w:val="24"/>
          <w:lang w:eastAsia="es-ES"/>
        </w:rPr>
        <w:t>”</w:t>
      </w:r>
      <w:bookmarkEnd w:id="3"/>
    </w:p>
    <w:p w14:paraId="1720CED5" w14:textId="77777777" w:rsidR="00855CCB" w:rsidRPr="00855CCB" w:rsidRDefault="00855CCB" w:rsidP="00855CCB">
      <w:pPr>
        <w:suppressAutoHyphens/>
        <w:spacing w:line="240" w:lineRule="auto"/>
        <w:ind w:left="426" w:right="420" w:firstLine="0"/>
        <w:rPr>
          <w:rFonts w:ascii="Arial" w:eastAsia="Times New Roman" w:hAnsi="Arial" w:cs="Arial"/>
          <w:spacing w:val="-2"/>
          <w:szCs w:val="24"/>
          <w:lang w:eastAsia="es-ES"/>
        </w:rPr>
      </w:pPr>
    </w:p>
    <w:p w14:paraId="60AB784D" w14:textId="77777777" w:rsidR="00855CCB" w:rsidRPr="00855CCB" w:rsidRDefault="00855CCB" w:rsidP="00855CCB">
      <w:pPr>
        <w:suppressAutoHyphens/>
        <w:spacing w:line="240" w:lineRule="auto"/>
        <w:ind w:left="426" w:right="420" w:firstLine="0"/>
        <w:rPr>
          <w:rFonts w:ascii="Arial" w:eastAsia="Times New Roman" w:hAnsi="Arial" w:cs="Arial"/>
          <w:spacing w:val="-2"/>
          <w:szCs w:val="24"/>
          <w:lang w:eastAsia="es-ES"/>
        </w:rPr>
      </w:pPr>
      <w:r w:rsidRPr="00855CCB">
        <w:rPr>
          <w:rFonts w:ascii="Arial" w:eastAsia="Times New Roman" w:hAnsi="Arial" w:cs="Arial"/>
          <w:spacing w:val="-2"/>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855CCB">
        <w:rPr>
          <w:rFonts w:ascii="Arial" w:eastAsia="Times New Roman" w:hAnsi="Arial" w:cs="Arial"/>
          <w:b/>
          <w:spacing w:val="-2"/>
          <w:szCs w:val="24"/>
          <w:lang w:val="es-CO" w:eastAsia="es-ES"/>
        </w:rPr>
        <w:t>sin exponer las razones jurídicas que justifique el cambio de  jurisprudencia</w:t>
      </w:r>
      <w:r w:rsidRPr="00855CCB">
        <w:rPr>
          <w:rFonts w:ascii="Arial" w:eastAsia="Times New Roman" w:hAnsi="Arial" w:cs="Arial"/>
          <w:spacing w:val="-2"/>
          <w:szCs w:val="24"/>
          <w:lang w:val="es-CO" w:eastAsia="es-ES"/>
        </w:rPr>
        <w:t>.” (Negrillas fuera del original)</w:t>
      </w:r>
      <w:r w:rsidRPr="00855CCB">
        <w:rPr>
          <w:rFonts w:ascii="Arial" w:eastAsia="Times New Roman" w:hAnsi="Arial" w:cs="Arial"/>
          <w:spacing w:val="-2"/>
          <w:szCs w:val="24"/>
          <w:lang w:eastAsia="es-ES"/>
        </w:rPr>
        <w:t xml:space="preserve"> </w:t>
      </w:r>
    </w:p>
    <w:p w14:paraId="2D330148"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eastAsia="es-ES"/>
        </w:rPr>
      </w:pPr>
      <w:r w:rsidRPr="00855CCB">
        <w:rPr>
          <w:rFonts w:ascii="Arial" w:eastAsia="Times New Roman" w:hAnsi="Arial" w:cs="Arial"/>
          <w:spacing w:val="-2"/>
          <w:sz w:val="24"/>
          <w:szCs w:val="24"/>
          <w:lang w:eastAsia="es-ES"/>
        </w:rPr>
        <w:t> </w:t>
      </w:r>
    </w:p>
    <w:p w14:paraId="18C502CC"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eastAsia="es-ES"/>
        </w:rPr>
      </w:pPr>
      <w:r w:rsidRPr="00855CCB">
        <w:rPr>
          <w:rFonts w:ascii="Arial" w:eastAsia="Times New Roman" w:hAnsi="Arial" w:cs="Arial"/>
          <w:spacing w:val="-2"/>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59090534" w14:textId="77777777" w:rsidR="00855CCB" w:rsidRPr="00855CCB" w:rsidRDefault="00855CCB" w:rsidP="00855CCB">
      <w:pPr>
        <w:suppressAutoHyphens/>
        <w:spacing w:line="276" w:lineRule="auto"/>
        <w:ind w:firstLine="0"/>
        <w:rPr>
          <w:rFonts w:ascii="Arial" w:eastAsia="Times New Roman" w:hAnsi="Arial" w:cs="Arial"/>
          <w:b/>
          <w:spacing w:val="-2"/>
          <w:sz w:val="24"/>
          <w:szCs w:val="24"/>
          <w:lang w:val="es-ES_tradnl" w:eastAsia="es-ES"/>
        </w:rPr>
      </w:pPr>
    </w:p>
    <w:p w14:paraId="4A198577" w14:textId="77777777" w:rsidR="00855CCB" w:rsidRPr="00855CCB" w:rsidRDefault="00855CCB" w:rsidP="00855CCB">
      <w:pPr>
        <w:numPr>
          <w:ilvl w:val="0"/>
          <w:numId w:val="12"/>
        </w:numPr>
        <w:suppressAutoHyphens/>
        <w:spacing w:line="276" w:lineRule="auto"/>
        <w:ind w:left="567" w:hanging="567"/>
        <w:rPr>
          <w:rFonts w:ascii="Arial" w:eastAsia="Times New Roman" w:hAnsi="Arial" w:cs="Arial"/>
          <w:spacing w:val="-2"/>
          <w:sz w:val="24"/>
          <w:szCs w:val="24"/>
          <w:lang w:val="es-ES_tradnl" w:eastAsia="es-ES"/>
        </w:rPr>
      </w:pPr>
      <w:r w:rsidRPr="00855CCB">
        <w:rPr>
          <w:rFonts w:ascii="Arial" w:eastAsia="Times New Roman" w:hAnsi="Arial" w:cs="Arial"/>
          <w:b/>
          <w:spacing w:val="-2"/>
          <w:sz w:val="24"/>
          <w:szCs w:val="24"/>
          <w:lang w:val="es-ES_tradnl" w:eastAsia="es-ES"/>
        </w:rPr>
        <w:t>LA POSICIÓN ACTUAL DE LA SALA DE CASACIÓN LABORAL RESPECTO AL TEMA DE LA NULIDAD O INEFICACIA DE LOS TRASLADOS ENTRE REGÍMENES PENSIONALES.</w:t>
      </w:r>
    </w:p>
    <w:p w14:paraId="5021FD72"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4304E8BD" w14:textId="77777777" w:rsidR="00855CCB" w:rsidRPr="00855CCB" w:rsidRDefault="00855CCB" w:rsidP="00855CCB">
      <w:pPr>
        <w:suppressAutoHyphens/>
        <w:spacing w:line="276" w:lineRule="auto"/>
        <w:ind w:firstLine="0"/>
        <w:rPr>
          <w:rFonts w:ascii="Arial" w:eastAsia="Times New Roman" w:hAnsi="Arial" w:cs="Arial"/>
          <w:iCs/>
          <w:sz w:val="24"/>
          <w:szCs w:val="24"/>
          <w:lang w:val="es-ES_tradnl" w:eastAsia="es-ES"/>
        </w:rPr>
      </w:pPr>
      <w:r w:rsidRPr="00855CCB">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la </w:t>
      </w:r>
      <w:r w:rsidRPr="00855CCB">
        <w:rPr>
          <w:rFonts w:ascii="Arial" w:eastAsia="Times New Roman" w:hAnsi="Arial" w:cs="Arial"/>
          <w:iCs/>
          <w:sz w:val="24"/>
          <w:szCs w:val="24"/>
          <w:lang w:val="es-ES_tradnl" w:eastAsia="es-ES"/>
        </w:rPr>
        <w:t xml:space="preserve"> Sala de Casación Laboral contenida en las sentencias </w:t>
      </w:r>
      <w:proofErr w:type="spellStart"/>
      <w:r w:rsidRPr="00855CCB">
        <w:rPr>
          <w:rFonts w:ascii="Arial" w:eastAsia="Times New Roman" w:hAnsi="Arial" w:cs="Arial"/>
          <w:iCs/>
          <w:sz w:val="24"/>
          <w:szCs w:val="24"/>
          <w:lang w:val="es-ES_tradnl" w:eastAsia="es-ES"/>
        </w:rPr>
        <w:t>SL1421</w:t>
      </w:r>
      <w:proofErr w:type="spellEnd"/>
      <w:r w:rsidRPr="00855CCB">
        <w:rPr>
          <w:rFonts w:ascii="Arial" w:eastAsia="Times New Roman" w:hAnsi="Arial" w:cs="Arial"/>
          <w:iCs/>
          <w:sz w:val="24"/>
          <w:szCs w:val="24"/>
          <w:lang w:val="es-ES_tradnl" w:eastAsia="es-ES"/>
        </w:rPr>
        <w:t xml:space="preserve">-2019, </w:t>
      </w:r>
      <w:proofErr w:type="spellStart"/>
      <w:r w:rsidRPr="00855CCB">
        <w:rPr>
          <w:rFonts w:ascii="Arial" w:eastAsia="Times New Roman" w:hAnsi="Arial" w:cs="Arial"/>
          <w:iCs/>
          <w:sz w:val="24"/>
          <w:szCs w:val="24"/>
          <w:lang w:val="es-ES_tradnl" w:eastAsia="es-ES"/>
        </w:rPr>
        <w:t>SL1452</w:t>
      </w:r>
      <w:proofErr w:type="spellEnd"/>
      <w:r w:rsidRPr="00855CCB">
        <w:rPr>
          <w:rFonts w:ascii="Arial" w:eastAsia="Times New Roman" w:hAnsi="Arial" w:cs="Arial"/>
          <w:iCs/>
          <w:sz w:val="24"/>
          <w:szCs w:val="24"/>
          <w:lang w:val="es-ES_tradnl" w:eastAsia="es-ES"/>
        </w:rPr>
        <w:t xml:space="preserve">-2019, </w:t>
      </w:r>
      <w:proofErr w:type="spellStart"/>
      <w:r w:rsidRPr="00855CCB">
        <w:rPr>
          <w:rFonts w:ascii="Arial" w:eastAsia="Times New Roman" w:hAnsi="Arial" w:cs="Arial"/>
          <w:iCs/>
          <w:sz w:val="24"/>
          <w:szCs w:val="24"/>
          <w:lang w:val="es-ES_tradnl" w:eastAsia="es-ES"/>
        </w:rPr>
        <w:t>SL1688</w:t>
      </w:r>
      <w:proofErr w:type="spellEnd"/>
      <w:r w:rsidRPr="00855CCB">
        <w:rPr>
          <w:rFonts w:ascii="Arial" w:eastAsia="Times New Roman" w:hAnsi="Arial" w:cs="Arial"/>
          <w:iCs/>
          <w:sz w:val="24"/>
          <w:szCs w:val="24"/>
          <w:lang w:val="es-ES_tradnl" w:eastAsia="es-ES"/>
        </w:rPr>
        <w:t xml:space="preserve">-2019 y </w:t>
      </w:r>
      <w:proofErr w:type="spellStart"/>
      <w:r w:rsidRPr="00855CCB">
        <w:rPr>
          <w:rFonts w:ascii="Arial" w:eastAsia="Times New Roman" w:hAnsi="Arial" w:cs="Arial"/>
          <w:iCs/>
          <w:sz w:val="24"/>
          <w:szCs w:val="24"/>
          <w:lang w:val="es-ES_tradnl" w:eastAsia="es-ES"/>
        </w:rPr>
        <w:t>SL1689</w:t>
      </w:r>
      <w:proofErr w:type="spellEnd"/>
      <w:r w:rsidRPr="00855CCB">
        <w:rPr>
          <w:rFonts w:ascii="Arial" w:eastAsia="Times New Roman" w:hAnsi="Arial" w:cs="Arial"/>
          <w:iCs/>
          <w:sz w:val="24"/>
          <w:szCs w:val="24"/>
          <w:lang w:val="es-ES_tradnl" w:eastAsia="es-ES"/>
        </w:rPr>
        <w:t>-2019 que se concreta en los siguientes razonamientos:</w:t>
      </w:r>
    </w:p>
    <w:p w14:paraId="2E616AD6" w14:textId="77777777" w:rsidR="00855CCB" w:rsidRPr="00855CCB" w:rsidRDefault="00855CCB" w:rsidP="00855CCB">
      <w:pPr>
        <w:suppressAutoHyphens/>
        <w:spacing w:line="276" w:lineRule="auto"/>
        <w:ind w:firstLine="0"/>
        <w:rPr>
          <w:rFonts w:ascii="Arial" w:eastAsia="Times New Roman" w:hAnsi="Arial" w:cs="Arial"/>
          <w:iCs/>
          <w:sz w:val="24"/>
          <w:szCs w:val="24"/>
          <w:lang w:val="es-ES_tradnl" w:eastAsia="es-ES"/>
        </w:rPr>
      </w:pPr>
    </w:p>
    <w:p w14:paraId="6A4C54DA" w14:textId="77777777" w:rsidR="00855CCB" w:rsidRPr="00855CCB" w:rsidRDefault="00855CCB" w:rsidP="00855CCB">
      <w:pPr>
        <w:numPr>
          <w:ilvl w:val="0"/>
          <w:numId w:val="10"/>
        </w:numPr>
        <w:suppressAutoHyphens/>
        <w:spacing w:line="276" w:lineRule="auto"/>
        <w:rPr>
          <w:rFonts w:ascii="Arial" w:eastAsia="Times New Roman" w:hAnsi="Arial" w:cs="Arial"/>
          <w:iCs/>
          <w:sz w:val="24"/>
          <w:szCs w:val="24"/>
          <w:lang w:val="es-ES_tradnl" w:eastAsia="es-ES"/>
        </w:rPr>
      </w:pPr>
      <w:r w:rsidRPr="00855CCB">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D60297B" w14:textId="77777777" w:rsidR="00855CCB" w:rsidRPr="00855CCB" w:rsidRDefault="00855CCB" w:rsidP="00855CCB">
      <w:pPr>
        <w:suppressAutoHyphens/>
        <w:spacing w:line="276" w:lineRule="auto"/>
        <w:ind w:left="720" w:firstLine="0"/>
        <w:rPr>
          <w:rFonts w:ascii="Arial" w:eastAsia="Times New Roman" w:hAnsi="Arial" w:cs="Arial"/>
          <w:iCs/>
          <w:sz w:val="24"/>
          <w:szCs w:val="24"/>
          <w:lang w:val="es-ES_tradnl" w:eastAsia="es-ES"/>
        </w:rPr>
      </w:pPr>
    </w:p>
    <w:p w14:paraId="3D2417F2" w14:textId="77777777" w:rsidR="00855CCB" w:rsidRPr="00855CCB" w:rsidRDefault="00855CCB" w:rsidP="00855CCB">
      <w:pPr>
        <w:numPr>
          <w:ilvl w:val="0"/>
          <w:numId w:val="10"/>
        </w:numPr>
        <w:suppressAutoHyphens/>
        <w:spacing w:line="276" w:lineRule="auto"/>
        <w:rPr>
          <w:rFonts w:ascii="Arial" w:eastAsia="Times New Roman" w:hAnsi="Arial" w:cs="Arial"/>
          <w:i/>
          <w:iCs/>
          <w:sz w:val="24"/>
          <w:szCs w:val="24"/>
          <w:lang w:val="es-ES_tradnl" w:eastAsia="es-ES"/>
        </w:rPr>
      </w:pPr>
      <w:r w:rsidRPr="00855CCB">
        <w:rPr>
          <w:rFonts w:ascii="Arial" w:eastAsia="Calibri" w:hAnsi="Arial" w:cs="Arial"/>
          <w:spacing w:val="-4"/>
          <w:sz w:val="24"/>
          <w:szCs w:val="24"/>
          <w:lang w:val="es-CO"/>
        </w:rPr>
        <w:t>El deber de información a cargo de las administradoras de fondos de pensiones es un deber que le es exigible desde la creación de estas entidades</w:t>
      </w:r>
      <w:r w:rsidRPr="00855CCB">
        <w:rPr>
          <w:rFonts w:ascii="Arial" w:eastAsia="Times New Roman" w:hAnsi="Arial" w:cs="Arial"/>
          <w:iCs/>
          <w:sz w:val="24"/>
          <w:szCs w:val="24"/>
          <w:lang w:val="es-ES_tradnl" w:eastAsia="es-ES"/>
        </w:rPr>
        <w:t xml:space="preserve">, básicamente porque </w:t>
      </w:r>
      <w:r w:rsidRPr="00855CCB">
        <w:rPr>
          <w:rFonts w:ascii="Arial" w:eastAsia="Times New Roman" w:hAnsi="Arial" w:cs="Arial"/>
          <w:i/>
          <w:iCs/>
          <w:sz w:val="24"/>
          <w:szCs w:val="24"/>
          <w:lang w:val="es-ES_tradnl" w:eastAsia="es-ES"/>
        </w:rPr>
        <w:t>“</w:t>
      </w:r>
      <w:r w:rsidRPr="00855CCB">
        <w:rPr>
          <w:rFonts w:ascii="Arial" w:eastAsia="Calibri" w:hAnsi="Arial" w:cs="Arial"/>
          <w:i/>
          <w:spacing w:val="-4"/>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855CCB">
        <w:rPr>
          <w:rFonts w:ascii="Arial" w:eastAsia="Calibri" w:hAnsi="Arial" w:cs="Arial"/>
          <w:i/>
          <w:spacing w:val="-4"/>
          <w:sz w:val="24"/>
          <w:szCs w:val="24"/>
          <w:lang w:val="es-CO"/>
        </w:rPr>
        <w:t xml:space="preserve">”. </w:t>
      </w:r>
      <w:r w:rsidRPr="00855CCB">
        <w:rPr>
          <w:rFonts w:ascii="Arial" w:eastAsia="Calibri" w:hAnsi="Arial" w:cs="Arial"/>
          <w:spacing w:val="-4"/>
          <w:sz w:val="24"/>
          <w:szCs w:val="24"/>
          <w:lang w:val="es-CO"/>
        </w:rPr>
        <w:t>Deber cuyo nivel de exigencia se elevó con la expedición</w:t>
      </w:r>
      <w:r w:rsidRPr="00855CCB">
        <w:rPr>
          <w:rFonts w:ascii="Arial" w:eastAsia="Calibri" w:hAnsi="Arial" w:cs="Arial"/>
          <w:sz w:val="24"/>
          <w:szCs w:val="24"/>
          <w:lang w:val="es-ES_tradnl"/>
        </w:rPr>
        <w:t xml:space="preserve"> de la Ley 1328 de 2009 y el Decreto 2241 de 2010, en la medida que </w:t>
      </w:r>
      <w:r w:rsidRPr="00855CCB">
        <w:rPr>
          <w:rFonts w:ascii="Arial" w:eastAsia="Calibri" w:hAnsi="Arial" w:cs="Arial"/>
          <w:i/>
          <w:spacing w:val="-4"/>
          <w:sz w:val="24"/>
          <w:szCs w:val="24"/>
          <w:lang w:val="es-CO"/>
        </w:rPr>
        <w:t>“</w:t>
      </w:r>
      <w:r w:rsidRPr="00855CCB">
        <w:rPr>
          <w:rFonts w:ascii="Arial" w:eastAsia="Calibri" w:hAnsi="Arial" w:cs="Arial"/>
          <w:i/>
          <w:spacing w:val="-4"/>
          <w:szCs w:val="24"/>
          <w:lang w:val="es-CO"/>
        </w:rPr>
        <w:t>ya no basta con dar a conocer con claridad las distintas opciones de mercado, con sus características, condiciones, riesgos y consecuencias, sino que, adicionalmente, implica un mandato de dar asesoría y buen consejo</w:t>
      </w:r>
      <w:r w:rsidRPr="00855CCB">
        <w:rPr>
          <w:rFonts w:ascii="Arial" w:eastAsia="Calibri" w:hAnsi="Arial" w:cs="Arial"/>
          <w:i/>
          <w:spacing w:val="-4"/>
          <w:sz w:val="24"/>
          <w:szCs w:val="24"/>
          <w:lang w:val="es-CO"/>
        </w:rPr>
        <w:t xml:space="preserve">”, </w:t>
      </w:r>
      <w:r w:rsidRPr="00855CCB">
        <w:rPr>
          <w:rFonts w:ascii="Arial" w:eastAsia="Calibri" w:hAnsi="Arial" w:cs="Arial"/>
          <w:spacing w:val="-4"/>
          <w:sz w:val="24"/>
          <w:szCs w:val="24"/>
          <w:lang w:val="es-CO"/>
        </w:rPr>
        <w:t>llegando incluso</w:t>
      </w:r>
      <w:r w:rsidRPr="00855CCB">
        <w:rPr>
          <w:rFonts w:ascii="Arial" w:eastAsia="Times New Roman" w:hAnsi="Arial" w:cs="Arial"/>
          <w:iCs/>
          <w:sz w:val="24"/>
          <w:szCs w:val="24"/>
          <w:lang w:val="es-ES_tradnl" w:eastAsia="es-ES"/>
        </w:rPr>
        <w:t xml:space="preserve"> a la exigencia de la doble asesoría prevista en </w:t>
      </w:r>
      <w:r w:rsidRPr="00855CCB">
        <w:rPr>
          <w:rFonts w:ascii="Arial" w:eastAsia="Calibri" w:hAnsi="Arial" w:cs="Arial"/>
          <w:sz w:val="24"/>
          <w:szCs w:val="24"/>
          <w:lang w:val="es-ES_tradnl"/>
        </w:rPr>
        <w:t>la Ley 1748 de 2014, el Decreto 2071 de 2015 y la Circular Externa n.° 016 de 2016.</w:t>
      </w:r>
      <w:r w:rsidRPr="00855CCB">
        <w:rPr>
          <w:rFonts w:ascii="Arial" w:eastAsia="Times New Roman" w:hAnsi="Arial" w:cs="Arial"/>
          <w:i/>
          <w:iCs/>
          <w:sz w:val="24"/>
          <w:szCs w:val="24"/>
          <w:lang w:val="es-ES_tradnl" w:eastAsia="es-ES"/>
        </w:rPr>
        <w:t xml:space="preserve"> </w:t>
      </w:r>
    </w:p>
    <w:p w14:paraId="2CB76499" w14:textId="77777777" w:rsidR="00855CCB" w:rsidRPr="00855CCB" w:rsidRDefault="00855CCB" w:rsidP="00855CCB">
      <w:pPr>
        <w:suppressAutoHyphens/>
        <w:spacing w:line="276" w:lineRule="auto"/>
        <w:ind w:firstLine="0"/>
        <w:rPr>
          <w:rFonts w:ascii="Arial" w:eastAsia="Times New Roman" w:hAnsi="Arial" w:cs="Arial"/>
          <w:i/>
          <w:iCs/>
          <w:sz w:val="24"/>
          <w:szCs w:val="24"/>
          <w:lang w:val="es-ES_tradnl" w:eastAsia="es-ES"/>
        </w:rPr>
      </w:pPr>
    </w:p>
    <w:p w14:paraId="129B1894" w14:textId="77777777" w:rsidR="00855CCB" w:rsidRPr="00855CCB" w:rsidRDefault="00855CCB" w:rsidP="00855CCB">
      <w:pPr>
        <w:numPr>
          <w:ilvl w:val="0"/>
          <w:numId w:val="10"/>
        </w:numPr>
        <w:suppressAutoHyphens/>
        <w:spacing w:line="276" w:lineRule="auto"/>
        <w:rPr>
          <w:rFonts w:ascii="Arial" w:eastAsia="Times New Roman" w:hAnsi="Arial" w:cs="Arial"/>
          <w:i/>
          <w:iCs/>
          <w:sz w:val="24"/>
          <w:szCs w:val="24"/>
          <w:lang w:val="es-ES_tradnl" w:eastAsia="es-ES"/>
        </w:rPr>
      </w:pPr>
      <w:r w:rsidRPr="00855CCB">
        <w:rPr>
          <w:rFonts w:ascii="Arial" w:eastAsia="Calibri" w:hAnsi="Arial" w:cs="Arial"/>
          <w:spacing w:val="-4"/>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p>
    <w:p w14:paraId="630A94D2" w14:textId="77777777" w:rsidR="00855CCB" w:rsidRPr="00855CCB" w:rsidRDefault="00855CCB" w:rsidP="00855CCB">
      <w:pPr>
        <w:suppressAutoHyphens/>
        <w:spacing w:line="276" w:lineRule="auto"/>
        <w:ind w:firstLine="0"/>
        <w:rPr>
          <w:rFonts w:ascii="Arial" w:eastAsia="Times New Roman" w:hAnsi="Arial" w:cs="Arial"/>
          <w:i/>
          <w:iCs/>
          <w:sz w:val="24"/>
          <w:szCs w:val="24"/>
          <w:lang w:val="es-ES_tradnl" w:eastAsia="es-ES"/>
        </w:rPr>
      </w:pPr>
    </w:p>
    <w:p w14:paraId="27FC18D4" w14:textId="77777777" w:rsidR="00855CCB" w:rsidRPr="00855CCB" w:rsidRDefault="00855CCB" w:rsidP="00855CCB">
      <w:pPr>
        <w:numPr>
          <w:ilvl w:val="0"/>
          <w:numId w:val="10"/>
        </w:numPr>
        <w:suppressAutoHyphens/>
        <w:spacing w:line="276" w:lineRule="auto"/>
        <w:rPr>
          <w:rFonts w:ascii="Arial" w:eastAsia="Times New Roman" w:hAnsi="Arial" w:cs="Arial"/>
          <w:i/>
          <w:iCs/>
          <w:sz w:val="24"/>
          <w:szCs w:val="24"/>
          <w:lang w:val="es-ES_tradnl" w:eastAsia="es-ES"/>
        </w:rPr>
      </w:pPr>
      <w:r w:rsidRPr="00855CCB">
        <w:rPr>
          <w:rFonts w:ascii="Arial" w:eastAsia="Calibri" w:hAnsi="Arial" w:cs="Arial"/>
          <w:spacing w:val="-4"/>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0D513D02" w14:textId="77777777" w:rsidR="00855CCB" w:rsidRPr="00855CCB" w:rsidRDefault="00855CCB" w:rsidP="00855CCB">
      <w:pPr>
        <w:suppressAutoHyphens/>
        <w:spacing w:line="276" w:lineRule="auto"/>
        <w:ind w:firstLine="0"/>
        <w:rPr>
          <w:rFonts w:ascii="Arial" w:eastAsia="Times New Roman" w:hAnsi="Arial" w:cs="Arial"/>
          <w:i/>
          <w:iCs/>
          <w:sz w:val="24"/>
          <w:szCs w:val="24"/>
          <w:lang w:val="es-ES_tradnl" w:eastAsia="es-ES"/>
        </w:rPr>
      </w:pPr>
    </w:p>
    <w:p w14:paraId="009E2DDA" w14:textId="77777777" w:rsidR="00855CCB" w:rsidRPr="00855CCB" w:rsidRDefault="00855CCB" w:rsidP="00855CCB">
      <w:pPr>
        <w:numPr>
          <w:ilvl w:val="0"/>
          <w:numId w:val="10"/>
        </w:numPr>
        <w:suppressAutoHyphens/>
        <w:spacing w:line="276" w:lineRule="auto"/>
        <w:rPr>
          <w:rFonts w:ascii="Arial" w:eastAsia="Calibri" w:hAnsi="Arial" w:cs="Arial"/>
          <w:spacing w:val="-4"/>
          <w:sz w:val="24"/>
          <w:szCs w:val="24"/>
        </w:rPr>
      </w:pPr>
      <w:r w:rsidRPr="00855CCB">
        <w:rPr>
          <w:rFonts w:ascii="Arial" w:eastAsia="Calibri" w:hAnsi="Arial" w:cs="Arial"/>
          <w:spacing w:val="-4"/>
          <w:sz w:val="24"/>
          <w:szCs w:val="24"/>
          <w:lang w:val="es-CO"/>
        </w:rPr>
        <w:t xml:space="preserve">Acreditada la falta de consentimiento informado corresponde declarar la ineficacia del traslado y como consecuencia de ello </w:t>
      </w:r>
      <w:r w:rsidRPr="00855CCB">
        <w:rPr>
          <w:rFonts w:ascii="Arial" w:eastAsia="Calibri" w:hAnsi="Arial" w:cs="Arial"/>
          <w:spacing w:val="-4"/>
          <w:sz w:val="24"/>
          <w:szCs w:val="24"/>
        </w:rPr>
        <w:t xml:space="preserve">entonces, para efectos de la concreción de los derechos pensionales reclamados, se debe imponer la obligación de la AFP de trasladar a Colpensiones </w:t>
      </w:r>
      <w:r w:rsidRPr="00855CCB">
        <w:rPr>
          <w:rFonts w:ascii="Arial" w:eastAsia="Calibri" w:hAnsi="Arial" w:cs="Arial"/>
          <w:sz w:val="24"/>
          <w:szCs w:val="24"/>
          <w:lang w:val="es-CO"/>
        </w:rPr>
        <w:t>los valores correspondientes a las cotizaciones, rendimientos financieros y gastos de administración, pertenecientes a la cuenta de quien demanda</w:t>
      </w:r>
      <w:r w:rsidRPr="00855CCB">
        <w:rPr>
          <w:rFonts w:ascii="Arial" w:eastAsia="Calibri" w:hAnsi="Arial" w:cs="Arial"/>
          <w:color w:val="000000"/>
          <w:sz w:val="24"/>
          <w:szCs w:val="24"/>
          <w:lang w:val="es-CO"/>
        </w:rPr>
        <w:t xml:space="preserve"> </w:t>
      </w:r>
      <w:r w:rsidRPr="00855CCB">
        <w:rPr>
          <w:rFonts w:ascii="Arial" w:eastAsia="Calibri" w:hAnsi="Arial" w:cs="Arial"/>
          <w:spacing w:val="-4"/>
          <w:sz w:val="24"/>
          <w:szCs w:val="24"/>
        </w:rPr>
        <w:t>para que sea esta entidad la que proceda a reconocer la pensión con base en las disposiciones que guían el RPM.</w:t>
      </w:r>
    </w:p>
    <w:p w14:paraId="4F51B98B" w14:textId="77777777" w:rsidR="00855CCB" w:rsidRPr="00855CCB" w:rsidRDefault="00855CCB" w:rsidP="00855CCB">
      <w:pPr>
        <w:suppressAutoHyphens/>
        <w:spacing w:line="276" w:lineRule="auto"/>
        <w:ind w:left="720" w:firstLine="0"/>
        <w:rPr>
          <w:rFonts w:ascii="Arial" w:eastAsia="Times New Roman" w:hAnsi="Arial" w:cs="Arial"/>
          <w:spacing w:val="-2"/>
          <w:sz w:val="24"/>
          <w:szCs w:val="24"/>
          <w:lang w:eastAsia="es-ES"/>
        </w:rPr>
      </w:pPr>
      <w:r w:rsidRPr="00855CCB">
        <w:rPr>
          <w:rFonts w:ascii="Arial" w:eastAsia="Calibri" w:hAnsi="Arial" w:cs="Arial"/>
          <w:spacing w:val="-4"/>
          <w:sz w:val="24"/>
          <w:szCs w:val="24"/>
          <w:lang w:val="es-CO"/>
        </w:rPr>
        <w:t xml:space="preserve"> </w:t>
      </w:r>
    </w:p>
    <w:p w14:paraId="0D47EFED" w14:textId="77777777" w:rsidR="00855CCB" w:rsidRPr="00855CCB" w:rsidRDefault="00855CCB" w:rsidP="00855CCB">
      <w:pPr>
        <w:numPr>
          <w:ilvl w:val="0"/>
          <w:numId w:val="12"/>
        </w:numPr>
        <w:suppressAutoHyphens/>
        <w:spacing w:line="276" w:lineRule="auto"/>
        <w:ind w:left="567" w:hanging="567"/>
        <w:rPr>
          <w:rFonts w:ascii="Arial" w:eastAsia="Times New Roman" w:hAnsi="Arial" w:cs="Arial"/>
          <w:b/>
          <w:spacing w:val="-2"/>
          <w:sz w:val="24"/>
          <w:szCs w:val="24"/>
          <w:lang w:eastAsia="es-ES"/>
        </w:rPr>
      </w:pPr>
      <w:r w:rsidRPr="00855CCB">
        <w:rPr>
          <w:rFonts w:ascii="Arial" w:eastAsia="Times New Roman" w:hAnsi="Arial" w:cs="Arial"/>
          <w:b/>
          <w:spacing w:val="-2"/>
          <w:sz w:val="24"/>
          <w:szCs w:val="24"/>
          <w:lang w:eastAsia="es-ES"/>
        </w:rPr>
        <w:t>CONTENIDO DE LOS ARTÍCULOS 13 LITERAL b) y 271 DE LA LEY 100 DE 1993</w:t>
      </w:r>
    </w:p>
    <w:p w14:paraId="1BCC21A7"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eastAsia="es-ES"/>
        </w:rPr>
      </w:pPr>
    </w:p>
    <w:p w14:paraId="0133D33F"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eastAsia="es-ES"/>
        </w:rPr>
      </w:pPr>
      <w:r w:rsidRPr="00855CCB">
        <w:rPr>
          <w:rFonts w:ascii="Arial" w:eastAsia="Times New Roman" w:hAnsi="Arial" w:cs="Arial"/>
          <w:spacing w:val="-2"/>
          <w:sz w:val="24"/>
          <w:szCs w:val="24"/>
          <w:lang w:eastAsia="es-ES"/>
        </w:rPr>
        <w:t>De conformidad con el literal b) del artículo 13 de la ley 100 de 199</w:t>
      </w:r>
      <w:r w:rsidRPr="00855CCB">
        <w:rPr>
          <w:rFonts w:ascii="Arial" w:eastAsia="Times New Roman" w:hAnsi="Arial" w:cs="Arial"/>
          <w:b/>
          <w:spacing w:val="-2"/>
          <w:sz w:val="24"/>
          <w:szCs w:val="24"/>
          <w:lang w:eastAsia="es-ES"/>
        </w:rPr>
        <w:t xml:space="preserve">3, </w:t>
      </w:r>
      <w:r w:rsidRPr="00855CCB">
        <w:rPr>
          <w:rFonts w:ascii="Arial" w:eastAsia="Times New Roman" w:hAnsi="Arial" w:cs="Arial"/>
          <w:spacing w:val="-2"/>
          <w:sz w:val="24"/>
          <w:szCs w:val="24"/>
          <w:lang w:eastAsia="es-ES"/>
        </w:rPr>
        <w:t xml:space="preserve">la selección de cualquiera de los regímenes que conforma el sistema general de pensiones es libre y </w:t>
      </w:r>
      <w:r w:rsidRPr="00855CCB">
        <w:rPr>
          <w:rFonts w:ascii="Arial" w:eastAsia="Times New Roman" w:hAnsi="Arial" w:cs="Arial"/>
          <w:spacing w:val="-2"/>
          <w:sz w:val="24"/>
          <w:szCs w:val="24"/>
          <w:lang w:eastAsia="es-ES"/>
        </w:rPr>
        <w:lastRenderedPageBreak/>
        <w:t>voluntaria, por lo que, si un empleador o alguna persona natural o jurídica desconoce ese derecho operan las sanciones de que trata el inciso 1º del artículo 271 ibídem, del que se extrae lo siguiente:</w:t>
      </w:r>
    </w:p>
    <w:p w14:paraId="3C3BC79E"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eastAsia="es-ES"/>
        </w:rPr>
      </w:pPr>
    </w:p>
    <w:p w14:paraId="5C65C6EC" w14:textId="77777777" w:rsidR="00855CCB" w:rsidRPr="00855CCB" w:rsidRDefault="00855CCB" w:rsidP="00855CCB">
      <w:pPr>
        <w:numPr>
          <w:ilvl w:val="0"/>
          <w:numId w:val="11"/>
        </w:numPr>
        <w:suppressAutoHyphens/>
        <w:spacing w:line="276" w:lineRule="auto"/>
        <w:rPr>
          <w:rFonts w:ascii="Arial" w:eastAsia="Times New Roman" w:hAnsi="Arial" w:cs="Arial"/>
          <w:spacing w:val="-2"/>
          <w:sz w:val="24"/>
          <w:szCs w:val="24"/>
          <w:lang w:val="es-ES_tradnl" w:eastAsia="es-ES"/>
        </w:rPr>
      </w:pPr>
      <w:r w:rsidRPr="00855CCB">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478D3ED3" w14:textId="77777777" w:rsidR="00855CCB" w:rsidRPr="00855CCB" w:rsidRDefault="00855CCB" w:rsidP="00855CCB">
      <w:pPr>
        <w:suppressAutoHyphens/>
        <w:spacing w:line="276" w:lineRule="auto"/>
        <w:ind w:left="360" w:firstLine="0"/>
        <w:rPr>
          <w:rFonts w:ascii="Arial" w:eastAsia="Times New Roman" w:hAnsi="Arial" w:cs="Arial"/>
          <w:spacing w:val="-2"/>
          <w:sz w:val="24"/>
          <w:szCs w:val="24"/>
          <w:lang w:val="es-ES_tradnl" w:eastAsia="es-ES"/>
        </w:rPr>
      </w:pPr>
    </w:p>
    <w:p w14:paraId="10AFFE7F" w14:textId="77777777" w:rsidR="00855CCB" w:rsidRPr="00855CCB" w:rsidRDefault="00855CCB" w:rsidP="00855CCB">
      <w:pPr>
        <w:numPr>
          <w:ilvl w:val="0"/>
          <w:numId w:val="11"/>
        </w:numPr>
        <w:suppressAutoHyphens/>
        <w:spacing w:line="276" w:lineRule="auto"/>
        <w:rPr>
          <w:rFonts w:ascii="Arial" w:eastAsia="Times New Roman" w:hAnsi="Arial" w:cs="Arial"/>
          <w:spacing w:val="-2"/>
          <w:sz w:val="24"/>
          <w:szCs w:val="24"/>
          <w:lang w:val="es-ES_tradnl" w:eastAsia="es-ES"/>
        </w:rPr>
      </w:pPr>
      <w:r w:rsidRPr="00855CCB">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AC2F972" w14:textId="77777777" w:rsidR="00855CCB" w:rsidRPr="00855CCB" w:rsidRDefault="00855CCB" w:rsidP="00855CCB">
      <w:pPr>
        <w:suppressAutoHyphens/>
        <w:spacing w:line="276" w:lineRule="auto"/>
        <w:ind w:left="360" w:firstLine="0"/>
        <w:rPr>
          <w:rFonts w:ascii="Arial" w:eastAsia="Times New Roman" w:hAnsi="Arial" w:cs="Arial"/>
          <w:spacing w:val="-2"/>
          <w:sz w:val="24"/>
          <w:szCs w:val="24"/>
          <w:lang w:val="es-ES_tradnl" w:eastAsia="es-ES"/>
        </w:rPr>
      </w:pPr>
    </w:p>
    <w:p w14:paraId="34E863CE" w14:textId="77777777" w:rsidR="00855CCB" w:rsidRPr="00855CCB" w:rsidRDefault="00855CCB" w:rsidP="00855CCB">
      <w:pPr>
        <w:numPr>
          <w:ilvl w:val="0"/>
          <w:numId w:val="11"/>
        </w:numPr>
        <w:suppressAutoHyphens/>
        <w:spacing w:line="276" w:lineRule="auto"/>
        <w:rPr>
          <w:rFonts w:ascii="Arial" w:eastAsia="Times New Roman" w:hAnsi="Arial" w:cs="Arial"/>
          <w:b/>
          <w:bCs/>
          <w:spacing w:val="-2"/>
          <w:sz w:val="24"/>
          <w:szCs w:val="24"/>
          <w:lang w:eastAsia="es-ES"/>
        </w:rPr>
      </w:pPr>
      <w:r w:rsidRPr="00855CCB">
        <w:rPr>
          <w:rFonts w:ascii="Arial" w:eastAsia="Times New Roman" w:hAnsi="Arial" w:cs="Arial"/>
          <w:b/>
          <w:bCs/>
          <w:spacing w:val="-2"/>
          <w:sz w:val="24"/>
          <w:szCs w:val="24"/>
          <w:lang w:eastAsia="es-ES"/>
        </w:rPr>
        <w:t xml:space="preserve">La sanción es una multa por un valor entre uno y 50 </w:t>
      </w:r>
      <w:proofErr w:type="spellStart"/>
      <w:r w:rsidRPr="00855CCB">
        <w:rPr>
          <w:rFonts w:ascii="Arial" w:eastAsia="Times New Roman" w:hAnsi="Arial" w:cs="Arial"/>
          <w:b/>
          <w:bCs/>
          <w:spacing w:val="-2"/>
          <w:sz w:val="24"/>
          <w:szCs w:val="24"/>
          <w:lang w:eastAsia="es-ES"/>
        </w:rPr>
        <w:t>SMLMV</w:t>
      </w:r>
      <w:proofErr w:type="spellEnd"/>
      <w:r w:rsidRPr="00855CCB">
        <w:rPr>
          <w:rFonts w:ascii="Arial" w:eastAsia="Times New Roman" w:hAnsi="Arial" w:cs="Arial"/>
          <w:b/>
          <w:bCs/>
          <w:spacing w:val="-2"/>
          <w:sz w:val="24"/>
          <w:szCs w:val="24"/>
          <w:lang w:eastAsia="es-ES"/>
        </w:rPr>
        <w:t>.</w:t>
      </w:r>
    </w:p>
    <w:p w14:paraId="5249A40F" w14:textId="77777777" w:rsidR="00855CCB" w:rsidRPr="00855CCB" w:rsidRDefault="00855CCB" w:rsidP="00855CCB">
      <w:pPr>
        <w:suppressAutoHyphens/>
        <w:spacing w:line="276" w:lineRule="auto"/>
        <w:ind w:firstLine="0"/>
        <w:rPr>
          <w:rFonts w:ascii="Arial" w:eastAsia="Times New Roman" w:hAnsi="Arial" w:cs="Arial"/>
          <w:b/>
          <w:bCs/>
          <w:spacing w:val="-2"/>
          <w:sz w:val="24"/>
          <w:szCs w:val="24"/>
          <w:lang w:eastAsia="es-ES"/>
        </w:rPr>
      </w:pPr>
    </w:p>
    <w:p w14:paraId="6E27C590" w14:textId="77777777" w:rsidR="00855CCB" w:rsidRPr="00855CCB" w:rsidRDefault="00855CCB" w:rsidP="00855CCB">
      <w:pPr>
        <w:numPr>
          <w:ilvl w:val="0"/>
          <w:numId w:val="11"/>
        </w:numPr>
        <w:suppressAutoHyphens/>
        <w:spacing w:line="276" w:lineRule="auto"/>
        <w:rPr>
          <w:rFonts w:ascii="Arial" w:eastAsia="Times New Roman" w:hAnsi="Arial" w:cs="Arial"/>
          <w:b/>
          <w:bCs/>
          <w:spacing w:val="-2"/>
          <w:sz w:val="24"/>
          <w:szCs w:val="24"/>
          <w:lang w:eastAsia="es-ES"/>
        </w:rPr>
      </w:pPr>
      <w:r w:rsidRPr="00855CCB">
        <w:rPr>
          <w:rFonts w:ascii="Arial" w:eastAsia="Times New Roman" w:hAnsi="Arial" w:cs="Arial"/>
          <w:b/>
          <w:bCs/>
          <w:spacing w:val="-2"/>
          <w:sz w:val="24"/>
          <w:szCs w:val="24"/>
          <w:lang w:eastAsia="es-ES"/>
        </w:rPr>
        <w:t>El funcionario competente para imponerla es el Ministerio del Trabajo y Seguridad Social o el Ministerio de Salud.</w:t>
      </w:r>
    </w:p>
    <w:p w14:paraId="06D317A8" w14:textId="77777777" w:rsidR="00855CCB" w:rsidRPr="00855CCB" w:rsidRDefault="00855CCB" w:rsidP="00855CCB">
      <w:pPr>
        <w:suppressAutoHyphens/>
        <w:spacing w:line="276" w:lineRule="auto"/>
        <w:ind w:firstLine="0"/>
        <w:rPr>
          <w:rFonts w:ascii="Arial" w:eastAsia="Times New Roman" w:hAnsi="Arial" w:cs="Arial"/>
          <w:b/>
          <w:bCs/>
          <w:spacing w:val="-2"/>
          <w:sz w:val="24"/>
          <w:szCs w:val="24"/>
          <w:lang w:eastAsia="es-ES"/>
        </w:rPr>
      </w:pPr>
    </w:p>
    <w:p w14:paraId="6B3F42B3" w14:textId="77777777" w:rsidR="00855CCB" w:rsidRPr="00855CCB" w:rsidRDefault="00855CCB" w:rsidP="00855CCB">
      <w:pPr>
        <w:numPr>
          <w:ilvl w:val="0"/>
          <w:numId w:val="11"/>
        </w:numPr>
        <w:suppressAutoHyphens/>
        <w:spacing w:line="276" w:lineRule="auto"/>
        <w:rPr>
          <w:rFonts w:ascii="Arial" w:eastAsia="Times New Roman" w:hAnsi="Arial" w:cs="Arial"/>
          <w:b/>
          <w:bCs/>
          <w:spacing w:val="-2"/>
          <w:sz w:val="24"/>
          <w:szCs w:val="24"/>
          <w:lang w:eastAsia="es-ES"/>
        </w:rPr>
      </w:pPr>
      <w:r w:rsidRPr="00855CCB">
        <w:rPr>
          <w:rFonts w:ascii="Arial" w:eastAsia="Times New Roman" w:hAnsi="Arial" w:cs="Arial"/>
          <w:b/>
          <w:bCs/>
          <w:spacing w:val="-2"/>
          <w:sz w:val="24"/>
          <w:szCs w:val="24"/>
          <w:lang w:eastAsia="es-ES"/>
        </w:rPr>
        <w:t>Una vez impuesta la sanción por el funcionario competente la afiliación respectiva podrá realizarse nuevamente en forma libre y espontánea.</w:t>
      </w:r>
    </w:p>
    <w:p w14:paraId="74EEAF7B"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03CEF59A" w14:textId="77777777" w:rsidR="00855CCB" w:rsidRPr="00855CCB" w:rsidRDefault="00855CCB" w:rsidP="00855CCB">
      <w:pPr>
        <w:numPr>
          <w:ilvl w:val="0"/>
          <w:numId w:val="12"/>
        </w:numPr>
        <w:suppressAutoHyphens/>
        <w:spacing w:line="276" w:lineRule="auto"/>
        <w:ind w:left="426" w:hanging="426"/>
        <w:rPr>
          <w:rFonts w:ascii="Arial" w:eastAsia="Times New Roman" w:hAnsi="Arial" w:cs="Arial"/>
          <w:b/>
          <w:spacing w:val="-2"/>
          <w:sz w:val="24"/>
          <w:szCs w:val="24"/>
          <w:lang w:val="es-ES_tradnl" w:eastAsia="es-ES"/>
        </w:rPr>
      </w:pPr>
      <w:r w:rsidRPr="00855CCB">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14:paraId="35B0C86C"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5A05A8E8"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r w:rsidRPr="00855CCB">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855CCB">
        <w:rPr>
          <w:rFonts w:ascii="Arial" w:eastAsia="Times New Roman" w:hAnsi="Arial" w:cs="Arial"/>
          <w:b/>
          <w:spacing w:val="-2"/>
          <w:sz w:val="24"/>
          <w:szCs w:val="24"/>
          <w:lang w:val="es-ES_tradnl" w:eastAsia="es-ES"/>
        </w:rPr>
        <w:t xml:space="preserve"> “</w:t>
      </w:r>
      <w:r w:rsidRPr="00855CCB">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855CCB">
        <w:rPr>
          <w:rFonts w:ascii="Arial" w:eastAsia="Times New Roman" w:hAnsi="Arial" w:cs="Arial"/>
          <w:b/>
          <w:spacing w:val="-2"/>
          <w:sz w:val="24"/>
          <w:szCs w:val="24"/>
          <w:lang w:val="es-ES_tradnl" w:eastAsia="es-ES"/>
        </w:rPr>
        <w:t>”, t</w:t>
      </w:r>
      <w:r w:rsidRPr="00855CCB">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855CCB">
        <w:rPr>
          <w:rFonts w:ascii="Arial" w:eastAsia="Times New Roman" w:hAnsi="Arial" w:cs="Arial"/>
          <w:b/>
          <w:spacing w:val="-2"/>
          <w:sz w:val="24"/>
          <w:szCs w:val="24"/>
          <w:lang w:val="es-ES_tradnl" w:eastAsia="es-ES"/>
        </w:rPr>
        <w:t>“Sanciones al empleador”</w:t>
      </w:r>
      <w:r w:rsidRPr="00855CCB">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855CCB">
        <w:rPr>
          <w:rFonts w:ascii="Arial" w:eastAsia="Times New Roman" w:hAnsi="Arial" w:cs="Arial"/>
          <w:spacing w:val="-2"/>
          <w:sz w:val="24"/>
          <w:szCs w:val="24"/>
          <w:lang w:val="es-ES_tradnl" w:eastAsia="es-ES"/>
        </w:rPr>
        <w:t>RAIS</w:t>
      </w:r>
      <w:proofErr w:type="spellEnd"/>
      <w:r w:rsidRPr="00855CCB">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14:paraId="262DA5AC"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403985B6"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r w:rsidRPr="00855CCB">
        <w:rPr>
          <w:rFonts w:ascii="Arial" w:eastAsia="Times New Roman" w:hAnsi="Arial" w:cs="Arial"/>
          <w:spacing w:val="-2"/>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79CB62DE"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0A9CD0FE" w14:textId="77777777" w:rsidR="00855CCB" w:rsidRPr="00855CCB" w:rsidRDefault="00855CCB" w:rsidP="00855CCB">
      <w:pPr>
        <w:suppressAutoHyphens/>
        <w:spacing w:line="276" w:lineRule="auto"/>
        <w:ind w:firstLine="0"/>
        <w:rPr>
          <w:rFonts w:ascii="Arial" w:eastAsia="Times New Roman" w:hAnsi="Arial" w:cs="Arial"/>
          <w:b/>
          <w:spacing w:val="-2"/>
          <w:sz w:val="24"/>
          <w:szCs w:val="24"/>
          <w:lang w:val="es-ES_tradnl" w:eastAsia="es-ES"/>
        </w:rPr>
      </w:pPr>
      <w:r w:rsidRPr="00855CCB">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855CCB">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3D0A5AF1" w14:textId="77777777" w:rsidR="00855CCB" w:rsidRPr="00855CCB" w:rsidRDefault="00855CCB" w:rsidP="00855CCB">
      <w:pPr>
        <w:suppressAutoHyphens/>
        <w:spacing w:line="276" w:lineRule="auto"/>
        <w:ind w:firstLine="0"/>
        <w:rPr>
          <w:rFonts w:ascii="Arial" w:eastAsia="Times New Roman" w:hAnsi="Arial" w:cs="Arial"/>
          <w:b/>
          <w:spacing w:val="-2"/>
          <w:sz w:val="24"/>
          <w:szCs w:val="24"/>
          <w:lang w:val="es-ES_tradnl" w:eastAsia="es-ES"/>
        </w:rPr>
      </w:pPr>
    </w:p>
    <w:p w14:paraId="514FB201" w14:textId="77777777" w:rsidR="00855CCB" w:rsidRPr="00855CCB" w:rsidRDefault="00855CCB" w:rsidP="00855CCB">
      <w:pPr>
        <w:suppressAutoHyphens/>
        <w:spacing w:line="276" w:lineRule="auto"/>
        <w:ind w:firstLine="0"/>
        <w:rPr>
          <w:rFonts w:ascii="Arial" w:eastAsia="Times New Roman" w:hAnsi="Arial" w:cs="Arial"/>
          <w:b/>
          <w:bCs/>
          <w:spacing w:val="-2"/>
          <w:sz w:val="24"/>
          <w:szCs w:val="24"/>
          <w:lang w:eastAsia="es-ES"/>
        </w:rPr>
      </w:pPr>
      <w:r w:rsidRPr="00855CCB">
        <w:rPr>
          <w:rFonts w:ascii="Arial" w:eastAsia="Times New Roman" w:hAnsi="Arial" w:cs="Arial"/>
          <w:b/>
          <w:bCs/>
          <w:spacing w:val="-2"/>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796CC420"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5CACF1D0" w14:textId="77777777" w:rsidR="00855CCB" w:rsidRPr="00855CCB" w:rsidRDefault="00855CCB" w:rsidP="00855CCB">
      <w:pPr>
        <w:suppressAutoHyphens/>
        <w:spacing w:line="276" w:lineRule="auto"/>
        <w:ind w:firstLine="0"/>
        <w:rPr>
          <w:rFonts w:ascii="Arial" w:eastAsia="Times New Roman" w:hAnsi="Arial" w:cs="Arial"/>
          <w:b/>
          <w:bCs/>
          <w:spacing w:val="-2"/>
          <w:sz w:val="24"/>
          <w:szCs w:val="24"/>
          <w:lang w:eastAsia="es-ES"/>
        </w:rPr>
      </w:pPr>
      <w:r w:rsidRPr="00855CCB">
        <w:rPr>
          <w:rFonts w:ascii="Arial" w:eastAsia="Times New Roman" w:hAnsi="Arial" w:cs="Arial"/>
          <w:b/>
          <w:bCs/>
          <w:spacing w:val="-2"/>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71C5B1DE" w14:textId="77777777" w:rsidR="00855CCB" w:rsidRPr="00855CCB" w:rsidRDefault="00855CCB" w:rsidP="00855CCB">
      <w:pPr>
        <w:suppressAutoHyphens/>
        <w:spacing w:line="276" w:lineRule="auto"/>
        <w:ind w:firstLine="0"/>
        <w:rPr>
          <w:rFonts w:ascii="Arial" w:eastAsia="Times New Roman" w:hAnsi="Arial" w:cs="Arial"/>
          <w:b/>
          <w:bCs/>
          <w:spacing w:val="-2"/>
          <w:sz w:val="24"/>
          <w:szCs w:val="24"/>
          <w:lang w:eastAsia="es-ES"/>
        </w:rPr>
      </w:pPr>
    </w:p>
    <w:p w14:paraId="484594C6" w14:textId="77777777" w:rsidR="00855CCB" w:rsidRPr="00855CCB" w:rsidRDefault="00855CCB" w:rsidP="00855CCB">
      <w:pPr>
        <w:suppressAutoHyphens/>
        <w:spacing w:line="276" w:lineRule="auto"/>
        <w:ind w:firstLine="0"/>
        <w:rPr>
          <w:rFonts w:ascii="Arial" w:eastAsia="Times New Roman" w:hAnsi="Arial" w:cs="Arial"/>
          <w:b/>
          <w:bCs/>
          <w:spacing w:val="-2"/>
          <w:sz w:val="24"/>
          <w:szCs w:val="24"/>
          <w:lang w:eastAsia="es-ES"/>
        </w:rPr>
      </w:pPr>
      <w:r w:rsidRPr="00855CCB">
        <w:rPr>
          <w:rFonts w:ascii="Arial" w:eastAsia="Times New Roman" w:hAnsi="Arial" w:cs="Arial"/>
          <w:b/>
          <w:bCs/>
          <w:spacing w:val="-2"/>
          <w:sz w:val="24"/>
          <w:szCs w:val="24"/>
          <w:lang w:eastAsia="es-ES"/>
        </w:rPr>
        <w:t>La primera que la competencia para determinar si se incurrió en la conducta que amerita multa es de los Ministerios de Trabajo y de Salud y ella se constituye en el fundamento de la declaratoria de ineficacia.</w:t>
      </w:r>
    </w:p>
    <w:p w14:paraId="306944F9" w14:textId="77777777" w:rsidR="00855CCB" w:rsidRPr="00855CCB" w:rsidRDefault="00855CCB" w:rsidP="00855CCB">
      <w:pPr>
        <w:suppressAutoHyphens/>
        <w:spacing w:line="276" w:lineRule="auto"/>
        <w:ind w:firstLine="0"/>
        <w:rPr>
          <w:rFonts w:ascii="Arial" w:eastAsia="Times New Roman" w:hAnsi="Arial" w:cs="Arial"/>
          <w:b/>
          <w:bCs/>
          <w:spacing w:val="-2"/>
          <w:sz w:val="24"/>
          <w:szCs w:val="24"/>
          <w:lang w:eastAsia="es-ES"/>
        </w:rPr>
      </w:pPr>
    </w:p>
    <w:p w14:paraId="5187E484"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eastAsia="es-ES"/>
        </w:rPr>
      </w:pPr>
      <w:r w:rsidRPr="00855CCB">
        <w:rPr>
          <w:rFonts w:ascii="Arial" w:eastAsia="Times New Roman" w:hAnsi="Arial" w:cs="Arial"/>
          <w:b/>
          <w:bCs/>
          <w:spacing w:val="-2"/>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855CCB">
        <w:rPr>
          <w:rFonts w:ascii="Arial" w:eastAsia="Times New Roman" w:hAnsi="Arial" w:cs="Arial"/>
          <w:spacing w:val="-2"/>
          <w:sz w:val="24"/>
          <w:szCs w:val="24"/>
          <w:lang w:eastAsia="es-ES"/>
        </w:rPr>
        <w:t>:</w:t>
      </w:r>
    </w:p>
    <w:p w14:paraId="6556708C"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40288779" w14:textId="77777777" w:rsidR="00855CCB" w:rsidRPr="00855CCB" w:rsidRDefault="00855CCB" w:rsidP="00855CCB">
      <w:pPr>
        <w:suppressAutoHyphens/>
        <w:spacing w:line="240" w:lineRule="auto"/>
        <w:ind w:left="426" w:right="420" w:firstLine="0"/>
        <w:rPr>
          <w:rFonts w:ascii="Arial" w:eastAsia="Times New Roman" w:hAnsi="Arial" w:cs="Arial"/>
          <w:spacing w:val="-2"/>
          <w:szCs w:val="24"/>
          <w:lang w:val="es-ES_tradnl" w:eastAsia="es-ES"/>
        </w:rPr>
      </w:pPr>
      <w:r w:rsidRPr="00855CCB">
        <w:rPr>
          <w:rFonts w:ascii="Arial" w:eastAsia="Times New Roman" w:hAnsi="Arial" w:cs="Arial"/>
          <w:spacing w:val="-2"/>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6DE1F3E9" w14:textId="77777777" w:rsidR="00855CCB" w:rsidRPr="00855CCB" w:rsidRDefault="00855CCB" w:rsidP="00855CCB">
      <w:pPr>
        <w:suppressAutoHyphens/>
        <w:spacing w:line="240" w:lineRule="auto"/>
        <w:ind w:left="426" w:right="420" w:firstLine="0"/>
        <w:rPr>
          <w:rFonts w:ascii="Arial" w:eastAsia="Times New Roman" w:hAnsi="Arial" w:cs="Arial"/>
          <w:spacing w:val="-2"/>
          <w:szCs w:val="24"/>
          <w:lang w:val="es-ES_tradnl" w:eastAsia="es-ES"/>
        </w:rPr>
      </w:pPr>
    </w:p>
    <w:p w14:paraId="10573260" w14:textId="77777777" w:rsidR="00855CCB" w:rsidRPr="00855CCB" w:rsidRDefault="00855CCB" w:rsidP="00855CCB">
      <w:pPr>
        <w:suppressAutoHyphens/>
        <w:spacing w:line="240" w:lineRule="auto"/>
        <w:ind w:left="851" w:right="845" w:firstLine="0"/>
        <w:rPr>
          <w:rFonts w:ascii="Arial" w:eastAsia="Times New Roman" w:hAnsi="Arial" w:cs="Arial"/>
          <w:spacing w:val="-2"/>
          <w:szCs w:val="24"/>
          <w:lang w:val="es-ES_tradnl" w:eastAsia="es-ES"/>
        </w:rPr>
      </w:pPr>
      <w:r w:rsidRPr="00855CCB">
        <w:rPr>
          <w:rFonts w:ascii="Arial" w:eastAsia="Times New Roman" w:hAnsi="Arial" w:cs="Arial"/>
          <w:i/>
          <w:spacing w:val="-2"/>
          <w:szCs w:val="24"/>
          <w:lang w:val="es-ES_tradnl" w:eastAsia="es-ES"/>
        </w:rPr>
        <w:t>“</w:t>
      </w:r>
      <w:r w:rsidRPr="00855CCB">
        <w:rPr>
          <w:rFonts w:ascii="Arial" w:eastAsia="Times New Roman" w:hAnsi="Arial" w:cs="Arial"/>
          <w:b/>
          <w:i/>
          <w:spacing w:val="-2"/>
          <w:szCs w:val="24"/>
          <w:lang w:val="es-ES_tradnl" w:eastAsia="es-ES"/>
        </w:rPr>
        <w:t>Permanencia de la afiliación</w:t>
      </w:r>
      <w:r w:rsidRPr="00855CCB">
        <w:rPr>
          <w:rFonts w:ascii="Arial" w:eastAsia="Times New Roman" w:hAnsi="Arial" w:cs="Arial"/>
          <w:i/>
          <w:spacing w:val="-2"/>
          <w:szCs w:val="24"/>
          <w:lang w:val="es-ES_tradnl" w:eastAsia="es-ES"/>
        </w:rPr>
        <w:t xml:space="preserve">. La afiliación al Sistema General de Pensiones es permanente </w:t>
      </w:r>
      <w:r w:rsidRPr="00855CCB">
        <w:rPr>
          <w:rFonts w:ascii="Arial" w:eastAsia="Times New Roman" w:hAnsi="Arial" w:cs="Arial"/>
          <w:i/>
          <w:spacing w:val="-2"/>
          <w:szCs w:val="24"/>
          <w:u w:val="single"/>
          <w:lang w:val="es-ES_tradnl" w:eastAsia="es-ES"/>
        </w:rPr>
        <w:t>e independiente del régimen que seleccione el afiliado</w:t>
      </w:r>
      <w:r w:rsidRPr="00855CCB">
        <w:rPr>
          <w:rFonts w:ascii="Arial" w:eastAsia="Times New Roman" w:hAnsi="Arial" w:cs="Arial"/>
          <w:i/>
          <w:spacing w:val="-2"/>
          <w:szCs w:val="24"/>
          <w:lang w:val="es-ES_tradnl" w:eastAsia="es-ES"/>
        </w:rPr>
        <w:t xml:space="preserve">. Dicha afiliación no se pierde por haber dejado de cotizar durante uno o varios </w:t>
      </w:r>
      <w:r w:rsidRPr="00855CCB">
        <w:rPr>
          <w:rFonts w:ascii="Arial" w:eastAsia="Times New Roman" w:hAnsi="Arial" w:cs="Arial"/>
          <w:i/>
          <w:spacing w:val="-2"/>
          <w:szCs w:val="24"/>
          <w:lang w:val="es-ES_tradnl" w:eastAsia="es-ES"/>
        </w:rPr>
        <w:lastRenderedPageBreak/>
        <w:t>períodos, pero podrá pasar a la categoría de afiliados inactivos, cuando tengan más de seis meses de no pago de cotizaciones.”</w:t>
      </w:r>
    </w:p>
    <w:p w14:paraId="7C3442BF"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r w:rsidRPr="00855CCB">
        <w:rPr>
          <w:rFonts w:ascii="Arial" w:eastAsia="Times New Roman" w:hAnsi="Arial" w:cs="Arial"/>
          <w:spacing w:val="-2"/>
          <w:sz w:val="24"/>
          <w:szCs w:val="24"/>
          <w:lang w:val="es-ES_tradnl" w:eastAsia="es-ES"/>
        </w:rPr>
        <w:t xml:space="preserve"> </w:t>
      </w:r>
    </w:p>
    <w:p w14:paraId="7BF18A3A"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r w:rsidRPr="00855CCB">
        <w:rPr>
          <w:rFonts w:ascii="Arial" w:eastAsia="Times New Roman" w:hAnsi="Arial" w:cs="Arial"/>
          <w:spacing w:val="-2"/>
          <w:sz w:val="24"/>
          <w:szCs w:val="24"/>
          <w:lang w:val="es-ES_tradnl" w:eastAsia="es-ES"/>
        </w:rPr>
        <w:t xml:space="preserve">Y la tercera y más importante, </w:t>
      </w:r>
      <w:r w:rsidRPr="00855CCB">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855CCB">
        <w:rPr>
          <w:rFonts w:ascii="Arial" w:eastAsia="Times New Roman" w:hAnsi="Arial" w:cs="Arial"/>
          <w:b/>
          <w:spacing w:val="-2"/>
          <w:sz w:val="24"/>
          <w:szCs w:val="24"/>
          <w:lang w:val="es-ES_tradnl" w:eastAsia="es-ES"/>
        </w:rPr>
        <w:t>RAIS</w:t>
      </w:r>
      <w:proofErr w:type="spellEnd"/>
      <w:r w:rsidRPr="00855CCB">
        <w:rPr>
          <w:rFonts w:ascii="Arial" w:eastAsia="Times New Roman" w:hAnsi="Arial" w:cs="Arial"/>
          <w:b/>
          <w:spacing w:val="-2"/>
          <w:sz w:val="24"/>
          <w:szCs w:val="24"/>
          <w:lang w:val="es-ES_tradnl" w:eastAsia="es-ES"/>
        </w:rPr>
        <w:t xml:space="preserve"> a pesar del perjuicio que ello le pudiere significar</w:t>
      </w:r>
      <w:r w:rsidRPr="00855CCB">
        <w:rPr>
          <w:rFonts w:ascii="Arial" w:eastAsia="Times New Roman" w:hAnsi="Arial" w:cs="Arial"/>
          <w:spacing w:val="-2"/>
          <w:sz w:val="24"/>
          <w:szCs w:val="24"/>
          <w:lang w:val="es-ES_tradnl" w:eastAsia="es-ES"/>
        </w:rPr>
        <w:t>.</w:t>
      </w:r>
    </w:p>
    <w:p w14:paraId="7C50C230"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413693AA" w14:textId="77777777" w:rsidR="00855CCB" w:rsidRPr="00855CCB" w:rsidRDefault="00855CCB" w:rsidP="00855CCB">
      <w:pPr>
        <w:numPr>
          <w:ilvl w:val="0"/>
          <w:numId w:val="12"/>
        </w:numPr>
        <w:suppressAutoHyphens/>
        <w:spacing w:line="276" w:lineRule="auto"/>
        <w:ind w:left="426" w:hanging="426"/>
        <w:rPr>
          <w:rFonts w:ascii="Arial" w:eastAsia="Times New Roman" w:hAnsi="Arial" w:cs="Arial"/>
          <w:b/>
          <w:spacing w:val="-2"/>
          <w:sz w:val="24"/>
          <w:szCs w:val="24"/>
          <w:lang w:val="es-ES_tradnl" w:eastAsia="es-ES"/>
        </w:rPr>
      </w:pPr>
      <w:r w:rsidRPr="00855CCB">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14:paraId="65CBADB5"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51D3E77F" w14:textId="77777777" w:rsidR="00855CCB" w:rsidRPr="00855CCB" w:rsidRDefault="00855CCB" w:rsidP="00855CCB">
      <w:pPr>
        <w:suppressAutoHyphens/>
        <w:spacing w:line="276" w:lineRule="auto"/>
        <w:ind w:firstLine="0"/>
        <w:rPr>
          <w:rFonts w:ascii="Arial" w:eastAsia="Times New Roman" w:hAnsi="Arial" w:cs="Arial"/>
          <w:b/>
          <w:bCs/>
          <w:spacing w:val="-2"/>
          <w:sz w:val="24"/>
          <w:szCs w:val="24"/>
          <w:lang w:eastAsia="es-ES"/>
        </w:rPr>
      </w:pPr>
      <w:r w:rsidRPr="00855CCB">
        <w:rPr>
          <w:rFonts w:ascii="Arial" w:eastAsia="Times New Roman" w:hAnsi="Arial" w:cs="Arial"/>
          <w:b/>
          <w:bCs/>
          <w:spacing w:val="-2"/>
          <w:sz w:val="24"/>
          <w:szCs w:val="24"/>
          <w:lang w:eastAsia="es-ES"/>
        </w:rPr>
        <w:t>Las declaraciones de ineficacias de traslados envuelven los siguientes resultados:</w:t>
      </w:r>
    </w:p>
    <w:p w14:paraId="4964DECF" w14:textId="77777777" w:rsidR="00855CCB" w:rsidRPr="00855CCB" w:rsidRDefault="00855CCB" w:rsidP="00855CCB">
      <w:pPr>
        <w:suppressAutoHyphens/>
        <w:spacing w:line="276" w:lineRule="auto"/>
        <w:ind w:firstLine="0"/>
        <w:rPr>
          <w:rFonts w:ascii="Arial" w:eastAsia="Times New Roman" w:hAnsi="Arial" w:cs="Arial"/>
          <w:b/>
          <w:bCs/>
          <w:spacing w:val="-2"/>
          <w:sz w:val="24"/>
          <w:szCs w:val="24"/>
          <w:lang w:eastAsia="es-ES"/>
        </w:rPr>
      </w:pPr>
    </w:p>
    <w:p w14:paraId="3DC485B7"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eastAsia="es-ES"/>
        </w:rPr>
      </w:pPr>
      <w:r w:rsidRPr="00855CCB">
        <w:rPr>
          <w:rFonts w:ascii="Arial" w:eastAsia="Times New Roman" w:hAnsi="Arial" w:cs="Arial"/>
          <w:b/>
          <w:bCs/>
          <w:spacing w:val="-2"/>
          <w:sz w:val="24"/>
          <w:szCs w:val="24"/>
          <w:lang w:eastAsia="es-ES"/>
        </w:rPr>
        <w:t xml:space="preserve">PRIMERO: Desdibuja nuestro sistema jurídico de responsabilidad </w:t>
      </w:r>
      <w:r w:rsidRPr="00855CCB">
        <w:rPr>
          <w:rFonts w:ascii="Arial" w:eastAsia="Times New Roman" w:hAnsi="Arial" w:cs="Arial"/>
          <w:spacing w:val="-2"/>
          <w:sz w:val="24"/>
          <w:szCs w:val="24"/>
          <w:lang w:eastAsia="es-ES"/>
        </w:rPr>
        <w:t>al imponer la carga de resarcir un daño, a quien no lo produjo, en este caso Colpensiones y de contera la Nación como su garante.</w:t>
      </w:r>
    </w:p>
    <w:p w14:paraId="374A8124" w14:textId="77777777" w:rsidR="00855CCB" w:rsidRPr="00855CCB" w:rsidRDefault="00855CCB" w:rsidP="00855CCB">
      <w:pPr>
        <w:suppressAutoHyphens/>
        <w:spacing w:line="276" w:lineRule="auto"/>
        <w:ind w:firstLine="0"/>
        <w:rPr>
          <w:rFonts w:ascii="Arial" w:eastAsia="Times New Roman" w:hAnsi="Arial" w:cs="Arial"/>
          <w:iCs/>
          <w:spacing w:val="-2"/>
          <w:sz w:val="24"/>
          <w:szCs w:val="24"/>
          <w:lang w:val="es-ES_tradnl" w:eastAsia="es-ES"/>
        </w:rPr>
      </w:pPr>
    </w:p>
    <w:p w14:paraId="40491CBE" w14:textId="77777777" w:rsidR="00855CCB" w:rsidRPr="00855CCB" w:rsidRDefault="00855CCB" w:rsidP="00855CCB">
      <w:pPr>
        <w:suppressAutoHyphens/>
        <w:spacing w:line="276" w:lineRule="auto"/>
        <w:ind w:firstLine="0"/>
        <w:rPr>
          <w:rFonts w:ascii="Arial" w:eastAsia="Times New Roman" w:hAnsi="Arial" w:cs="Arial"/>
          <w:iCs/>
          <w:spacing w:val="-2"/>
          <w:sz w:val="24"/>
          <w:szCs w:val="24"/>
          <w:lang w:val="es-ES_tradnl" w:eastAsia="es-ES"/>
        </w:rPr>
      </w:pPr>
      <w:r w:rsidRPr="00855CCB">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855CCB">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855CCB">
        <w:rPr>
          <w:rFonts w:ascii="Arial" w:eastAsia="Times New Roman" w:hAnsi="Arial" w:cs="Arial"/>
          <w:iCs/>
          <w:spacing w:val="-2"/>
          <w:sz w:val="24"/>
          <w:szCs w:val="24"/>
          <w:lang w:val="es-ES_tradnl" w:eastAsia="es-ES"/>
        </w:rPr>
        <w:t>.</w:t>
      </w:r>
    </w:p>
    <w:p w14:paraId="4FE0769F" w14:textId="77777777" w:rsidR="00855CCB" w:rsidRPr="00855CCB" w:rsidRDefault="00855CCB" w:rsidP="00855CCB">
      <w:pPr>
        <w:suppressAutoHyphens/>
        <w:spacing w:line="276" w:lineRule="auto"/>
        <w:ind w:firstLine="0"/>
        <w:rPr>
          <w:rFonts w:ascii="Arial" w:eastAsia="Times New Roman" w:hAnsi="Arial" w:cs="Arial"/>
          <w:iCs/>
          <w:spacing w:val="-2"/>
          <w:sz w:val="24"/>
          <w:szCs w:val="24"/>
          <w:lang w:val="es-ES_tradnl" w:eastAsia="es-ES"/>
        </w:rPr>
      </w:pPr>
    </w:p>
    <w:p w14:paraId="7133842E" w14:textId="77777777" w:rsidR="00855CCB" w:rsidRPr="00855CCB" w:rsidRDefault="00855CCB" w:rsidP="00855CCB">
      <w:pPr>
        <w:suppressAutoHyphens/>
        <w:spacing w:line="276" w:lineRule="auto"/>
        <w:ind w:firstLine="0"/>
        <w:rPr>
          <w:rFonts w:ascii="Arial" w:eastAsia="Times New Roman" w:hAnsi="Arial" w:cs="Arial"/>
          <w:iCs/>
          <w:spacing w:val="-2"/>
          <w:sz w:val="24"/>
          <w:szCs w:val="24"/>
          <w:lang w:val="es-ES_tradnl" w:eastAsia="es-ES"/>
        </w:rPr>
      </w:pPr>
      <w:r w:rsidRPr="00855CCB">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6062D16B" w14:textId="77777777" w:rsidR="00855CCB" w:rsidRPr="00855CCB" w:rsidRDefault="00855CCB" w:rsidP="00855CCB">
      <w:pPr>
        <w:suppressAutoHyphens/>
        <w:spacing w:line="276" w:lineRule="auto"/>
        <w:ind w:firstLine="0"/>
        <w:rPr>
          <w:rFonts w:ascii="Arial" w:eastAsia="Times New Roman" w:hAnsi="Arial" w:cs="Arial"/>
          <w:iCs/>
          <w:spacing w:val="-2"/>
          <w:sz w:val="24"/>
          <w:szCs w:val="24"/>
          <w:lang w:val="es-ES_tradnl" w:eastAsia="es-ES"/>
        </w:rPr>
      </w:pPr>
    </w:p>
    <w:p w14:paraId="4A08E7B0" w14:textId="77777777" w:rsidR="00855CCB" w:rsidRPr="00855CCB" w:rsidRDefault="00855CCB" w:rsidP="00855CCB">
      <w:pPr>
        <w:suppressAutoHyphens/>
        <w:spacing w:line="276" w:lineRule="auto"/>
        <w:ind w:firstLine="0"/>
        <w:rPr>
          <w:rFonts w:ascii="Arial" w:eastAsia="Times New Roman" w:hAnsi="Arial" w:cs="Arial"/>
          <w:b/>
          <w:iCs/>
          <w:spacing w:val="-2"/>
          <w:sz w:val="24"/>
          <w:szCs w:val="24"/>
          <w:lang w:val="es-ES_tradnl" w:eastAsia="es-ES"/>
        </w:rPr>
      </w:pPr>
      <w:r w:rsidRPr="00855CCB">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52AD2167" w14:textId="77777777" w:rsidR="00855CCB" w:rsidRPr="00855CCB" w:rsidRDefault="00855CCB" w:rsidP="00855CCB">
      <w:pPr>
        <w:suppressAutoHyphens/>
        <w:spacing w:line="276" w:lineRule="auto"/>
        <w:ind w:firstLine="0"/>
        <w:rPr>
          <w:rFonts w:ascii="Arial" w:eastAsia="Times New Roman" w:hAnsi="Arial" w:cs="Arial"/>
          <w:iCs/>
          <w:spacing w:val="-2"/>
          <w:sz w:val="24"/>
          <w:szCs w:val="24"/>
          <w:lang w:val="es-ES_tradnl" w:eastAsia="es-ES"/>
        </w:rPr>
      </w:pPr>
    </w:p>
    <w:p w14:paraId="56E75DC9" w14:textId="77777777" w:rsidR="00855CCB" w:rsidRPr="00855CCB" w:rsidRDefault="00855CCB" w:rsidP="00855CCB">
      <w:pPr>
        <w:suppressAutoHyphens/>
        <w:spacing w:line="276" w:lineRule="auto"/>
        <w:ind w:firstLine="0"/>
        <w:rPr>
          <w:rFonts w:ascii="Arial" w:eastAsia="Times New Roman" w:hAnsi="Arial" w:cs="Arial"/>
          <w:b/>
          <w:bCs/>
          <w:spacing w:val="-2"/>
          <w:sz w:val="24"/>
          <w:szCs w:val="24"/>
          <w:lang w:eastAsia="es-ES"/>
        </w:rPr>
      </w:pPr>
      <w:r w:rsidRPr="00855CCB">
        <w:rPr>
          <w:rFonts w:ascii="Arial" w:eastAsia="Times New Roman" w:hAnsi="Arial" w:cs="Arial"/>
          <w:b/>
          <w:bCs/>
          <w:spacing w:val="-2"/>
          <w:sz w:val="24"/>
          <w:szCs w:val="24"/>
          <w:lang w:eastAsia="es-ES"/>
        </w:rPr>
        <w:t xml:space="preserve">SEGUNDO: De manera consciente, sin justificación alguna, </w:t>
      </w:r>
      <w:proofErr w:type="spellStart"/>
      <w:r w:rsidRPr="00855CCB">
        <w:rPr>
          <w:rFonts w:ascii="Arial" w:eastAsia="Times New Roman" w:hAnsi="Arial" w:cs="Arial"/>
          <w:b/>
          <w:bCs/>
          <w:spacing w:val="-2"/>
          <w:sz w:val="24"/>
          <w:szCs w:val="24"/>
          <w:lang w:eastAsia="es-ES"/>
        </w:rPr>
        <w:t>inaplica</w:t>
      </w:r>
      <w:proofErr w:type="spellEnd"/>
      <w:r w:rsidRPr="00855CCB">
        <w:rPr>
          <w:rFonts w:ascii="Arial" w:eastAsia="Times New Roman" w:hAnsi="Arial" w:cs="Arial"/>
          <w:b/>
          <w:bCs/>
          <w:spacing w:val="-2"/>
          <w:sz w:val="24"/>
          <w:szCs w:val="24"/>
          <w:lang w:eastAsia="es-ES"/>
        </w:rPr>
        <w:t xml:space="preserve"> la solución jurídica que el sistema tiene prevista de manera específica para los actos de las AFP que por omisión o falsa información causen perjuicio a los afiliados.</w:t>
      </w:r>
    </w:p>
    <w:p w14:paraId="0505BB0B" w14:textId="77777777" w:rsidR="00855CCB" w:rsidRPr="00855CCB" w:rsidRDefault="00855CCB" w:rsidP="00855CCB">
      <w:pPr>
        <w:suppressAutoHyphens/>
        <w:spacing w:line="276" w:lineRule="auto"/>
        <w:ind w:firstLine="0"/>
        <w:rPr>
          <w:rFonts w:ascii="Arial" w:eastAsia="Times New Roman" w:hAnsi="Arial" w:cs="Arial"/>
          <w:iCs/>
          <w:spacing w:val="-2"/>
          <w:sz w:val="24"/>
          <w:szCs w:val="24"/>
          <w:lang w:val="es-ES_tradnl" w:eastAsia="es-ES"/>
        </w:rPr>
      </w:pPr>
    </w:p>
    <w:p w14:paraId="47E5525D" w14:textId="77777777" w:rsidR="00855CCB" w:rsidRPr="00855CCB" w:rsidRDefault="00855CCB" w:rsidP="00855CCB">
      <w:pPr>
        <w:suppressAutoHyphens/>
        <w:spacing w:line="276" w:lineRule="auto"/>
        <w:ind w:firstLine="0"/>
        <w:rPr>
          <w:rFonts w:ascii="Arial" w:eastAsia="Times New Roman" w:hAnsi="Arial" w:cs="Arial"/>
          <w:iCs/>
          <w:spacing w:val="-2"/>
          <w:sz w:val="24"/>
          <w:szCs w:val="24"/>
          <w:lang w:val="es-ES_tradnl" w:eastAsia="es-ES"/>
        </w:rPr>
      </w:pPr>
      <w:r w:rsidRPr="00855CCB">
        <w:rPr>
          <w:rFonts w:ascii="Arial" w:eastAsia="Times New Roman" w:hAnsi="Arial" w:cs="Arial"/>
          <w:iCs/>
          <w:spacing w:val="-2"/>
          <w:sz w:val="24"/>
          <w:szCs w:val="24"/>
          <w:lang w:val="es-ES_tradnl" w:eastAsia="es-ES"/>
        </w:rPr>
        <w:t>A continuación se analizan aspectos de estas dos afirmaciones.</w:t>
      </w:r>
    </w:p>
    <w:p w14:paraId="43958A8F"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5AF16272" w14:textId="77777777" w:rsidR="00855CCB" w:rsidRPr="00855CCB" w:rsidRDefault="00855CCB" w:rsidP="00855CCB">
      <w:pPr>
        <w:numPr>
          <w:ilvl w:val="0"/>
          <w:numId w:val="12"/>
        </w:numPr>
        <w:suppressAutoHyphens/>
        <w:spacing w:line="276" w:lineRule="auto"/>
        <w:ind w:left="426" w:hanging="426"/>
        <w:rPr>
          <w:rFonts w:ascii="Arial" w:eastAsia="Times New Roman" w:hAnsi="Arial" w:cs="Arial"/>
          <w:b/>
          <w:spacing w:val="-2"/>
          <w:sz w:val="24"/>
          <w:szCs w:val="24"/>
          <w:lang w:val="es-ES_tradnl" w:eastAsia="es-ES"/>
        </w:rPr>
      </w:pPr>
      <w:r w:rsidRPr="00855CCB">
        <w:rPr>
          <w:rFonts w:ascii="Arial" w:eastAsia="Times New Roman" w:hAnsi="Arial" w:cs="Arial"/>
          <w:b/>
          <w:iCs/>
          <w:spacing w:val="-2"/>
          <w:sz w:val="24"/>
          <w:szCs w:val="24"/>
          <w:lang w:val="es-ES_tradnl" w:eastAsia="es-ES"/>
        </w:rPr>
        <w:lastRenderedPageBreak/>
        <w:t xml:space="preserve">APOYO CONSTITUCIONAL EMANADO DE LA SENTENCIA C-1024 DE 2004 SOBRE LA RAZÓN DE SER DE LA LIMITACIÓN DE TRASLADO CUANDO FALTEN MENOS DE 10 AÑOS. </w:t>
      </w:r>
    </w:p>
    <w:p w14:paraId="795A88BA" w14:textId="77777777" w:rsidR="00855CCB" w:rsidRPr="00855CCB" w:rsidRDefault="00855CCB" w:rsidP="00855CCB">
      <w:pPr>
        <w:suppressAutoHyphens/>
        <w:spacing w:line="276" w:lineRule="auto"/>
        <w:ind w:firstLine="0"/>
        <w:rPr>
          <w:rFonts w:ascii="Arial" w:eastAsia="Times New Roman" w:hAnsi="Arial" w:cs="Arial"/>
          <w:b/>
          <w:iCs/>
          <w:spacing w:val="-2"/>
          <w:sz w:val="24"/>
          <w:szCs w:val="24"/>
          <w:lang w:val="es-ES_tradnl" w:eastAsia="es-ES"/>
        </w:rPr>
      </w:pPr>
    </w:p>
    <w:p w14:paraId="213C3531" w14:textId="77777777" w:rsidR="00855CCB" w:rsidRPr="00855CCB" w:rsidRDefault="00855CCB" w:rsidP="00855CCB">
      <w:pPr>
        <w:suppressAutoHyphens/>
        <w:spacing w:line="276" w:lineRule="auto"/>
        <w:ind w:firstLine="0"/>
        <w:rPr>
          <w:rFonts w:ascii="Arial" w:eastAsia="Times New Roman" w:hAnsi="Arial" w:cs="Arial"/>
          <w:iCs/>
          <w:spacing w:val="-2"/>
          <w:sz w:val="24"/>
          <w:szCs w:val="24"/>
          <w:lang w:val="es-ES_tradnl" w:eastAsia="es-ES"/>
        </w:rPr>
      </w:pPr>
      <w:r w:rsidRPr="00855CCB">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1DD168C0" w14:textId="77777777" w:rsidR="00855CCB" w:rsidRPr="00855CCB" w:rsidRDefault="00855CCB" w:rsidP="00855CCB">
      <w:pPr>
        <w:suppressAutoHyphens/>
        <w:spacing w:line="276" w:lineRule="auto"/>
        <w:ind w:firstLine="0"/>
        <w:rPr>
          <w:rFonts w:ascii="Arial" w:eastAsia="Times New Roman" w:hAnsi="Arial" w:cs="Arial"/>
          <w:iCs/>
          <w:spacing w:val="-2"/>
          <w:sz w:val="24"/>
          <w:szCs w:val="24"/>
          <w:lang w:val="es-ES_tradnl" w:eastAsia="es-ES"/>
        </w:rPr>
      </w:pPr>
    </w:p>
    <w:p w14:paraId="05AC6053" w14:textId="77777777" w:rsidR="00855CCB" w:rsidRPr="00855CCB" w:rsidRDefault="00855CCB" w:rsidP="00855CCB">
      <w:pPr>
        <w:suppressAutoHyphens/>
        <w:spacing w:line="276" w:lineRule="auto"/>
        <w:ind w:firstLine="0"/>
        <w:rPr>
          <w:rFonts w:ascii="Arial" w:eastAsia="Times New Roman" w:hAnsi="Arial" w:cs="Arial"/>
          <w:iCs/>
          <w:spacing w:val="-2"/>
          <w:sz w:val="24"/>
          <w:szCs w:val="24"/>
          <w:lang w:val="es-ES_tradnl" w:eastAsia="es-ES"/>
        </w:rPr>
      </w:pPr>
      <w:r w:rsidRPr="00855CCB">
        <w:rPr>
          <w:rFonts w:ascii="Arial" w:eastAsia="Times New Roman" w:hAnsi="Arial" w:cs="Arial"/>
          <w:iCs/>
          <w:spacing w:val="-2"/>
          <w:sz w:val="24"/>
          <w:szCs w:val="24"/>
          <w:lang w:val="es-ES_tradnl" w:eastAsia="es-ES"/>
        </w:rPr>
        <w:t xml:space="preserve">Al analizar esa limitación la Corte Constitucional fue clara en explicar que </w:t>
      </w:r>
      <w:r w:rsidRPr="00855CCB">
        <w:rPr>
          <w:rFonts w:ascii="Arial" w:eastAsia="Times New Roman" w:hAnsi="Arial" w:cs="Arial"/>
          <w:b/>
          <w:iCs/>
          <w:spacing w:val="-2"/>
          <w:sz w:val="24"/>
          <w:szCs w:val="24"/>
          <w:lang w:val="es-ES_tradnl" w:eastAsia="es-ES"/>
        </w:rPr>
        <w:t>para garantizar la sostenibilidad financiera del sistema de prima media</w:t>
      </w:r>
      <w:r w:rsidRPr="00855CCB">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40F80A12" w14:textId="77777777" w:rsidR="00855CCB" w:rsidRPr="00855CCB" w:rsidRDefault="00855CCB" w:rsidP="00855CCB">
      <w:pPr>
        <w:suppressAutoHyphens/>
        <w:spacing w:line="276" w:lineRule="auto"/>
        <w:ind w:firstLine="0"/>
        <w:rPr>
          <w:rFonts w:ascii="Arial" w:eastAsia="Times New Roman" w:hAnsi="Arial" w:cs="Arial"/>
          <w:b/>
          <w:iCs/>
          <w:spacing w:val="-2"/>
          <w:sz w:val="24"/>
          <w:szCs w:val="24"/>
          <w:lang w:val="es-ES_tradnl" w:eastAsia="es-ES"/>
        </w:rPr>
      </w:pPr>
    </w:p>
    <w:p w14:paraId="06A73E0B" w14:textId="77777777" w:rsidR="00855CCB" w:rsidRPr="00855CCB" w:rsidRDefault="00855CCB" w:rsidP="00855CCB">
      <w:pPr>
        <w:suppressAutoHyphens/>
        <w:spacing w:line="240" w:lineRule="auto"/>
        <w:ind w:left="426" w:right="420" w:firstLine="0"/>
        <w:rPr>
          <w:rFonts w:ascii="Arial" w:eastAsia="Times New Roman" w:hAnsi="Arial" w:cs="Arial"/>
          <w:iCs/>
          <w:spacing w:val="-2"/>
          <w:szCs w:val="24"/>
          <w:lang w:eastAsia="es-ES"/>
        </w:rPr>
      </w:pPr>
      <w:r w:rsidRPr="00855CCB">
        <w:rPr>
          <w:rFonts w:ascii="Arial" w:eastAsia="Times New Roman" w:hAnsi="Arial" w:cs="Arial"/>
          <w:iCs/>
          <w:spacing w:val="-2"/>
          <w:szCs w:val="24"/>
          <w:lang w:val="es-CO" w:eastAsia="es-ES"/>
        </w:rPr>
        <w:t>“Desde esta perspectiva, el </w:t>
      </w:r>
      <w:r w:rsidRPr="00855CCB">
        <w:rPr>
          <w:rFonts w:ascii="Arial" w:eastAsia="Times New Roman" w:hAnsi="Arial" w:cs="Arial"/>
          <w:i/>
          <w:iCs/>
          <w:spacing w:val="-2"/>
          <w:szCs w:val="24"/>
          <w:lang w:val="es-CO" w:eastAsia="es-ES"/>
        </w:rPr>
        <w:t>objetivo </w:t>
      </w:r>
      <w:r w:rsidRPr="00855CCB">
        <w:rPr>
          <w:rFonts w:ascii="Arial" w:eastAsia="Times New Roman" w:hAnsi="Arial" w:cs="Arial"/>
          <w:iCs/>
          <w:spacing w:val="-2"/>
          <w:szCs w:val="24"/>
          <w:lang w:val="es-CO" w:eastAsia="es-ES"/>
        </w:rPr>
        <w:t xml:space="preserve">perseguido con el señalamiento del  período de carencia en la norma acusada, </w:t>
      </w:r>
      <w:r w:rsidRPr="00855CCB">
        <w:rPr>
          <w:rFonts w:ascii="Arial" w:eastAsia="Times New Roman" w:hAnsi="Arial" w:cs="Arial"/>
          <w:b/>
          <w:iCs/>
          <w:spacing w:val="-2"/>
          <w:szCs w:val="24"/>
          <w:lang w:val="es-CO" w:eastAsia="es-ES"/>
        </w:rPr>
        <w:t>consiste en evitar la </w:t>
      </w:r>
      <w:r w:rsidRPr="00855CCB">
        <w:rPr>
          <w:rFonts w:ascii="Arial" w:eastAsia="Times New Roman" w:hAnsi="Arial" w:cs="Arial"/>
          <w:b/>
          <w:i/>
          <w:iCs/>
          <w:spacing w:val="-2"/>
          <w:szCs w:val="24"/>
          <w:lang w:val="es-CO" w:eastAsia="es-ES"/>
        </w:rPr>
        <w:t>descapitalización</w:t>
      </w:r>
      <w:r w:rsidRPr="00855CCB">
        <w:rPr>
          <w:rFonts w:ascii="Arial" w:eastAsia="Times New Roman" w:hAnsi="Arial" w:cs="Arial"/>
          <w:b/>
          <w:iCs/>
          <w:spacing w:val="-2"/>
          <w:szCs w:val="24"/>
          <w:lang w:val="es-CO" w:eastAsia="es-ES"/>
        </w:rPr>
        <w:t> del fondo común del Régimen Solidario de Prima Media con Prestación Definida</w:t>
      </w:r>
      <w:r w:rsidRPr="00855CCB">
        <w:rPr>
          <w:rFonts w:ascii="Arial" w:eastAsia="Times New Roman" w:hAnsi="Arial" w:cs="Arial"/>
          <w:iCs/>
          <w:spacing w:val="-2"/>
          <w:szCs w:val="24"/>
          <w:lang w:val="es-CO" w:eastAsia="es-ES"/>
        </w:rPr>
        <w:t>, que se produciría si se permitiera que las personas que no han contribuido al </w:t>
      </w:r>
      <w:r w:rsidRPr="00855CCB">
        <w:rPr>
          <w:rFonts w:ascii="Arial" w:eastAsia="Times New Roman" w:hAnsi="Arial" w:cs="Arial"/>
          <w:i/>
          <w:iCs/>
          <w:spacing w:val="-2"/>
          <w:szCs w:val="24"/>
          <w:lang w:val="es-CO" w:eastAsia="es-ES"/>
        </w:rPr>
        <w:t>fondo común</w:t>
      </w:r>
      <w:r w:rsidRPr="00855CCB">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855CCB">
        <w:rPr>
          <w:rFonts w:ascii="Arial" w:eastAsia="Times New Roman" w:hAnsi="Arial" w:cs="Arial"/>
          <w:b/>
          <w:iCs/>
          <w:spacing w:val="-2"/>
          <w:szCs w:val="24"/>
          <w:lang w:val="es-CO" w:eastAsia="es-ES"/>
        </w:rPr>
        <w:t>a poner en riesgo la garantía del derecho irrenunciable a la pensión del resto de cotizantes</w:t>
      </w:r>
      <w:r w:rsidRPr="00855CCB">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855CCB">
        <w:rPr>
          <w:rFonts w:ascii="Arial" w:eastAsia="Times New Roman" w:hAnsi="Arial" w:cs="Arial"/>
          <w:b/>
          <w:iCs/>
          <w:spacing w:val="-2"/>
          <w:szCs w:val="24"/>
          <w:lang w:val="es-CO" w:eastAsia="es-ES"/>
        </w:rPr>
        <w:t>podría llegar a poner en riesgo la garantía del derecho pensional para los actuales y futuros pensionados</w:t>
      </w:r>
      <w:r w:rsidRPr="00855CCB">
        <w:rPr>
          <w:rFonts w:ascii="Arial" w:eastAsia="Times New Roman" w:hAnsi="Arial" w:cs="Arial"/>
          <w:iCs/>
          <w:spacing w:val="-2"/>
          <w:szCs w:val="24"/>
          <w:lang w:val="es-CO" w:eastAsia="es-ES"/>
        </w:rPr>
        <w:t>.</w:t>
      </w:r>
    </w:p>
    <w:p w14:paraId="5903D5E1" w14:textId="77777777" w:rsidR="00855CCB" w:rsidRPr="00855CCB" w:rsidRDefault="00855CCB" w:rsidP="00855CCB">
      <w:pPr>
        <w:suppressAutoHyphens/>
        <w:spacing w:line="240" w:lineRule="auto"/>
        <w:ind w:left="426" w:right="420" w:firstLine="0"/>
        <w:rPr>
          <w:rFonts w:ascii="Arial" w:eastAsia="Times New Roman" w:hAnsi="Arial" w:cs="Arial"/>
          <w:iCs/>
          <w:spacing w:val="-2"/>
          <w:szCs w:val="24"/>
          <w:lang w:eastAsia="es-ES"/>
        </w:rPr>
      </w:pPr>
      <w:r w:rsidRPr="00855CCB">
        <w:rPr>
          <w:rFonts w:ascii="Arial" w:eastAsia="Times New Roman" w:hAnsi="Arial" w:cs="Arial"/>
          <w:iCs/>
          <w:spacing w:val="-2"/>
          <w:szCs w:val="24"/>
          <w:lang w:val="es-CO" w:eastAsia="es-ES"/>
        </w:rPr>
        <w:t> </w:t>
      </w:r>
    </w:p>
    <w:p w14:paraId="03310730" w14:textId="77777777" w:rsidR="00855CCB" w:rsidRPr="00855CCB" w:rsidRDefault="00855CCB" w:rsidP="00855CCB">
      <w:pPr>
        <w:suppressAutoHyphens/>
        <w:spacing w:line="240" w:lineRule="auto"/>
        <w:ind w:left="426" w:right="420" w:firstLine="0"/>
        <w:rPr>
          <w:rFonts w:ascii="Arial" w:eastAsia="Times New Roman" w:hAnsi="Arial" w:cs="Arial"/>
          <w:iCs/>
          <w:spacing w:val="-2"/>
          <w:szCs w:val="24"/>
          <w:lang w:eastAsia="es-ES"/>
        </w:rPr>
      </w:pPr>
      <w:r w:rsidRPr="00855CCB">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0AED65E0" w14:textId="77777777" w:rsidR="00855CCB" w:rsidRPr="00855CCB" w:rsidRDefault="00855CCB" w:rsidP="00855CCB">
      <w:pPr>
        <w:suppressAutoHyphens/>
        <w:spacing w:line="240" w:lineRule="auto"/>
        <w:ind w:left="426" w:right="420" w:firstLine="0"/>
        <w:rPr>
          <w:rFonts w:ascii="Arial" w:eastAsia="Times New Roman" w:hAnsi="Arial" w:cs="Arial"/>
          <w:iCs/>
          <w:spacing w:val="-2"/>
          <w:szCs w:val="24"/>
          <w:lang w:eastAsia="es-ES"/>
        </w:rPr>
      </w:pPr>
      <w:r w:rsidRPr="00855CCB">
        <w:rPr>
          <w:rFonts w:ascii="Arial" w:eastAsia="Times New Roman" w:hAnsi="Arial" w:cs="Arial"/>
          <w:iCs/>
          <w:spacing w:val="-2"/>
          <w:szCs w:val="24"/>
          <w:lang w:val="es-CO" w:eastAsia="es-ES"/>
        </w:rPr>
        <w:t> </w:t>
      </w:r>
    </w:p>
    <w:p w14:paraId="506A0703" w14:textId="77777777" w:rsidR="00855CCB" w:rsidRPr="00855CCB" w:rsidRDefault="00855CCB" w:rsidP="00855CCB">
      <w:pPr>
        <w:suppressAutoHyphens/>
        <w:spacing w:line="240" w:lineRule="auto"/>
        <w:ind w:left="426" w:right="420" w:firstLine="0"/>
        <w:rPr>
          <w:rFonts w:ascii="Arial" w:eastAsia="Times New Roman" w:hAnsi="Arial" w:cs="Arial"/>
          <w:b/>
          <w:iCs/>
          <w:spacing w:val="-2"/>
          <w:szCs w:val="24"/>
          <w:lang w:val="es-CO" w:eastAsia="es-ES"/>
        </w:rPr>
      </w:pPr>
      <w:r w:rsidRPr="00855CCB">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855CCB">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855CCB">
        <w:rPr>
          <w:rFonts w:ascii="Arial" w:eastAsia="Times New Roman" w:hAnsi="Arial" w:cs="Arial"/>
          <w:iCs/>
          <w:spacing w:val="-2"/>
          <w:szCs w:val="24"/>
          <w:lang w:val="es-CO" w:eastAsia="es-ES"/>
        </w:rPr>
        <w:t>, cuyo propósito consiste en: </w:t>
      </w:r>
      <w:r w:rsidRPr="00855CCB">
        <w:rPr>
          <w:rFonts w:ascii="Arial" w:eastAsia="Times New Roman" w:hAnsi="Arial" w:cs="Arial"/>
          <w:i/>
          <w:iCs/>
          <w:spacing w:val="-2"/>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855CCB">
        <w:rPr>
          <w:rFonts w:ascii="Arial" w:eastAsia="Times New Roman" w:hAnsi="Arial" w:cs="Arial"/>
          <w:iCs/>
          <w:spacing w:val="-2"/>
          <w:szCs w:val="24"/>
          <w:lang w:val="es-CO" w:eastAsia="es-ES"/>
        </w:rPr>
        <w:t>.”</w:t>
      </w:r>
      <w:r w:rsidRPr="00855CCB">
        <w:rPr>
          <w:rFonts w:ascii="Arial" w:eastAsia="Times New Roman" w:hAnsi="Arial" w:cs="Arial"/>
          <w:b/>
          <w:iCs/>
          <w:spacing w:val="-2"/>
          <w:szCs w:val="24"/>
          <w:lang w:val="es-CO" w:eastAsia="es-ES"/>
        </w:rPr>
        <w:t> </w:t>
      </w:r>
    </w:p>
    <w:p w14:paraId="0E9BD740" w14:textId="77777777" w:rsidR="00855CCB" w:rsidRPr="00855CCB" w:rsidRDefault="00855CCB" w:rsidP="00855CCB">
      <w:pPr>
        <w:suppressAutoHyphens/>
        <w:spacing w:line="276" w:lineRule="auto"/>
        <w:ind w:firstLine="0"/>
        <w:rPr>
          <w:rFonts w:ascii="Arial" w:eastAsia="Times New Roman" w:hAnsi="Arial" w:cs="Arial"/>
          <w:b/>
          <w:iCs/>
          <w:spacing w:val="-2"/>
          <w:sz w:val="24"/>
          <w:szCs w:val="24"/>
          <w:lang w:val="es-ES_tradnl" w:eastAsia="es-ES"/>
        </w:rPr>
      </w:pPr>
    </w:p>
    <w:p w14:paraId="0B9D5C4A" w14:textId="77777777" w:rsidR="00855CCB" w:rsidRPr="00855CCB" w:rsidRDefault="00855CCB" w:rsidP="00855CCB">
      <w:pPr>
        <w:suppressAutoHyphens/>
        <w:spacing w:line="276" w:lineRule="auto"/>
        <w:ind w:firstLine="0"/>
        <w:rPr>
          <w:rFonts w:ascii="Arial" w:eastAsia="Times New Roman" w:hAnsi="Arial" w:cs="Arial"/>
          <w:b/>
          <w:iCs/>
          <w:spacing w:val="-2"/>
          <w:sz w:val="24"/>
          <w:szCs w:val="24"/>
          <w:lang w:val="es-CO" w:eastAsia="es-ES"/>
        </w:rPr>
      </w:pPr>
      <w:r w:rsidRPr="00855CCB">
        <w:rPr>
          <w:rFonts w:ascii="Arial" w:eastAsia="Times New Roman" w:hAnsi="Arial" w:cs="Arial"/>
          <w:iCs/>
          <w:spacing w:val="-2"/>
          <w:sz w:val="24"/>
          <w:szCs w:val="24"/>
          <w:lang w:val="es-ES_tradnl" w:eastAsia="es-ES"/>
        </w:rPr>
        <w:lastRenderedPageBreak/>
        <w:t xml:space="preserve">Permitir entonces, la declaración de ineficacia de traslados de personas que han estado largos años en el </w:t>
      </w:r>
      <w:proofErr w:type="spellStart"/>
      <w:r w:rsidRPr="00855CCB">
        <w:rPr>
          <w:rFonts w:ascii="Arial" w:eastAsia="Times New Roman" w:hAnsi="Arial" w:cs="Arial"/>
          <w:iCs/>
          <w:spacing w:val="-2"/>
          <w:sz w:val="24"/>
          <w:szCs w:val="24"/>
          <w:lang w:val="es-ES_tradnl" w:eastAsia="es-ES"/>
        </w:rPr>
        <w:t>RAIS</w:t>
      </w:r>
      <w:proofErr w:type="spellEnd"/>
      <w:r w:rsidRPr="00855CCB">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855CCB">
        <w:rPr>
          <w:rFonts w:ascii="Arial" w:eastAsia="Times New Roman" w:hAnsi="Arial" w:cs="Arial"/>
          <w:b/>
          <w:iCs/>
          <w:spacing w:val="-2"/>
          <w:sz w:val="24"/>
          <w:szCs w:val="24"/>
          <w:lang w:val="es-CO" w:eastAsia="es-ES"/>
        </w:rPr>
        <w:t>puede llegar a poner en riesgo la garantía del derecho pensional para los actuales y futuros pensionados que si lo hicieron.</w:t>
      </w:r>
    </w:p>
    <w:p w14:paraId="2EEA328A" w14:textId="77777777" w:rsidR="00855CCB" w:rsidRPr="00855CCB" w:rsidRDefault="00855CCB" w:rsidP="00855CCB">
      <w:pPr>
        <w:suppressAutoHyphens/>
        <w:spacing w:line="276" w:lineRule="auto"/>
        <w:ind w:firstLine="0"/>
        <w:rPr>
          <w:rFonts w:ascii="Arial" w:eastAsia="Times New Roman" w:hAnsi="Arial" w:cs="Arial"/>
          <w:b/>
          <w:iCs/>
          <w:spacing w:val="-2"/>
          <w:sz w:val="24"/>
          <w:szCs w:val="24"/>
          <w:lang w:val="es-CO" w:eastAsia="es-ES"/>
        </w:rPr>
      </w:pPr>
    </w:p>
    <w:p w14:paraId="69A19FB0" w14:textId="77777777" w:rsidR="00855CCB" w:rsidRPr="00855CCB" w:rsidRDefault="00855CCB" w:rsidP="00855CCB">
      <w:pPr>
        <w:suppressAutoHyphens/>
        <w:spacing w:line="276" w:lineRule="auto"/>
        <w:ind w:firstLine="0"/>
        <w:rPr>
          <w:rFonts w:ascii="Arial" w:eastAsia="Times New Roman" w:hAnsi="Arial" w:cs="Arial"/>
          <w:iCs/>
          <w:spacing w:val="-2"/>
          <w:sz w:val="24"/>
          <w:szCs w:val="24"/>
          <w:lang w:val="es-ES_tradnl" w:eastAsia="es-ES"/>
        </w:rPr>
      </w:pPr>
      <w:r w:rsidRPr="00855CCB">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855CCB">
        <w:rPr>
          <w:rFonts w:ascii="Arial" w:eastAsia="Times New Roman" w:hAnsi="Arial" w:cs="Arial"/>
          <w:iCs/>
          <w:spacing w:val="-2"/>
          <w:sz w:val="24"/>
          <w:szCs w:val="24"/>
          <w:lang w:val="es-CO"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855CCB">
        <w:rPr>
          <w:rFonts w:ascii="Arial" w:eastAsia="Times New Roman" w:hAnsi="Arial" w:cs="Arial"/>
          <w:iCs/>
          <w:spacing w:val="-2"/>
          <w:sz w:val="24"/>
          <w:szCs w:val="24"/>
          <w:lang w:val="es-CO" w:eastAsia="es-ES"/>
        </w:rPr>
        <w:t>RAIS</w:t>
      </w:r>
      <w:proofErr w:type="spellEnd"/>
      <w:r w:rsidRPr="00855CCB">
        <w:rPr>
          <w:rFonts w:ascii="Arial" w:eastAsia="Times New Roman" w:hAnsi="Arial" w:cs="Arial"/>
          <w:iCs/>
          <w:spacing w:val="-2"/>
          <w:sz w:val="24"/>
          <w:szCs w:val="24"/>
          <w:lang w:val="es-CO"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855CCB">
        <w:rPr>
          <w:rFonts w:ascii="Arial" w:eastAsia="Times New Roman" w:hAnsi="Arial" w:cs="Arial"/>
          <w:iCs/>
          <w:spacing w:val="-2"/>
          <w:sz w:val="24"/>
          <w:szCs w:val="24"/>
          <w:lang w:val="es-CO" w:eastAsia="es-ES"/>
        </w:rPr>
        <w:t>RAIS</w:t>
      </w:r>
      <w:proofErr w:type="spellEnd"/>
      <w:r w:rsidRPr="00855CCB">
        <w:rPr>
          <w:rFonts w:ascii="Arial" w:eastAsia="Times New Roman" w:hAnsi="Arial" w:cs="Arial"/>
          <w:iCs/>
          <w:spacing w:val="-2"/>
          <w:sz w:val="24"/>
          <w:szCs w:val="24"/>
          <w:lang w:val="es-CO" w:eastAsia="es-ES"/>
        </w:rPr>
        <w:t xml:space="preserve"> por cuanto no puede olvidarse que</w:t>
      </w:r>
      <w:r w:rsidRPr="00855CCB">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855CCB">
        <w:rPr>
          <w:rFonts w:ascii="Arial" w:eastAsia="Times New Roman" w:hAnsi="Arial" w:cs="Arial"/>
          <w:iCs/>
          <w:spacing w:val="-2"/>
          <w:sz w:val="24"/>
          <w:szCs w:val="24"/>
          <w:lang w:val="es-ES_tradnl" w:eastAsia="es-ES"/>
        </w:rPr>
        <w:t>IBL</w:t>
      </w:r>
      <w:proofErr w:type="spellEnd"/>
      <w:r w:rsidRPr="00855CCB">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855CCB">
        <w:rPr>
          <w:rFonts w:ascii="Arial" w:eastAsia="Times New Roman" w:hAnsi="Arial" w:cs="Arial"/>
          <w:iCs/>
          <w:spacing w:val="-2"/>
          <w:sz w:val="24"/>
          <w:szCs w:val="24"/>
          <w:lang w:val="es-ES_tradnl" w:eastAsia="es-ES"/>
        </w:rPr>
        <w:t>sucesoral</w:t>
      </w:r>
      <w:proofErr w:type="spellEnd"/>
      <w:r w:rsidRPr="00855CCB">
        <w:rPr>
          <w:rFonts w:ascii="Arial" w:eastAsia="Times New Roman" w:hAnsi="Arial" w:cs="Arial"/>
          <w:iCs/>
          <w:spacing w:val="-2"/>
          <w:sz w:val="24"/>
          <w:szCs w:val="24"/>
          <w:lang w:val="es-ES_tradnl" w:eastAsia="es-ES"/>
        </w:rPr>
        <w:t>, etc.</w:t>
      </w:r>
    </w:p>
    <w:p w14:paraId="78780EAE"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30D8310F" w14:textId="77777777" w:rsidR="00855CCB" w:rsidRPr="00855CCB" w:rsidRDefault="00855CCB" w:rsidP="00855CCB">
      <w:pPr>
        <w:numPr>
          <w:ilvl w:val="0"/>
          <w:numId w:val="12"/>
        </w:numPr>
        <w:suppressAutoHyphens/>
        <w:spacing w:line="276" w:lineRule="auto"/>
        <w:ind w:left="426" w:hanging="426"/>
        <w:rPr>
          <w:rFonts w:ascii="Arial" w:eastAsia="Times New Roman" w:hAnsi="Arial" w:cs="Arial"/>
          <w:b/>
          <w:spacing w:val="-2"/>
          <w:sz w:val="24"/>
          <w:szCs w:val="24"/>
          <w:lang w:val="es-ES_tradnl" w:eastAsia="es-ES"/>
        </w:rPr>
      </w:pPr>
      <w:r w:rsidRPr="00855CCB">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14:paraId="70DECC10"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2E4763D2"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r w:rsidRPr="00855CCB">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855CCB">
        <w:rPr>
          <w:rFonts w:ascii="Arial" w:eastAsia="Times New Roman" w:hAnsi="Arial" w:cs="Arial"/>
          <w:spacing w:val="-2"/>
          <w:sz w:val="24"/>
          <w:szCs w:val="24"/>
          <w:lang w:val="es-ES_tradnl" w:eastAsia="es-ES"/>
        </w:rPr>
        <w:lastRenderedPageBreak/>
        <w:t>de 2005, la nación es garante del pago de las obligaciones pensionales a cargo de Colpensiones.</w:t>
      </w:r>
    </w:p>
    <w:p w14:paraId="03CD393F"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7319E413" w14:textId="77777777" w:rsidR="00855CCB" w:rsidRPr="00855CCB" w:rsidRDefault="00855CCB" w:rsidP="00855CCB">
      <w:pPr>
        <w:suppressAutoHyphens/>
        <w:spacing w:line="276" w:lineRule="auto"/>
        <w:ind w:firstLine="0"/>
        <w:rPr>
          <w:rFonts w:ascii="Arial" w:eastAsia="Times New Roman" w:hAnsi="Arial" w:cs="Arial"/>
          <w:i/>
          <w:spacing w:val="-2"/>
          <w:sz w:val="24"/>
          <w:szCs w:val="24"/>
          <w:lang w:val="es-ES_tradnl" w:eastAsia="es-ES"/>
        </w:rPr>
      </w:pPr>
      <w:r w:rsidRPr="00855CCB">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855CCB">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855CCB">
        <w:rPr>
          <w:rFonts w:ascii="Arial" w:eastAsia="Times New Roman" w:hAnsi="Arial" w:cs="Arial"/>
          <w:i/>
          <w:spacing w:val="-2"/>
          <w:sz w:val="24"/>
          <w:szCs w:val="24"/>
          <w:lang w:val="es-ES_tradnl" w:eastAsia="es-ES"/>
        </w:rPr>
        <w:t>”.</w:t>
      </w:r>
    </w:p>
    <w:p w14:paraId="434FA3F7"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61520655" w14:textId="77777777" w:rsidR="00855CCB" w:rsidRPr="00855CCB" w:rsidRDefault="00855CCB" w:rsidP="00855CCB">
      <w:pPr>
        <w:numPr>
          <w:ilvl w:val="0"/>
          <w:numId w:val="12"/>
        </w:numPr>
        <w:suppressAutoHyphens/>
        <w:spacing w:line="276" w:lineRule="auto"/>
        <w:ind w:left="426" w:hanging="426"/>
        <w:rPr>
          <w:rFonts w:ascii="Arial" w:eastAsia="Times New Roman" w:hAnsi="Arial" w:cs="Arial"/>
          <w:b/>
          <w:spacing w:val="-2"/>
          <w:sz w:val="24"/>
          <w:szCs w:val="24"/>
          <w:lang w:val="es-ES_tradnl" w:eastAsia="es-ES"/>
        </w:rPr>
      </w:pPr>
      <w:r w:rsidRPr="00855CCB">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14:paraId="22C9CF49"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3321E648"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eastAsia="es-ES"/>
        </w:rPr>
      </w:pPr>
      <w:r w:rsidRPr="00855CCB">
        <w:rPr>
          <w:rFonts w:ascii="Arial" w:eastAsia="Times New Roman" w:hAnsi="Arial" w:cs="Arial"/>
          <w:b/>
          <w:bCs/>
          <w:spacing w:val="-2"/>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855CCB">
        <w:rPr>
          <w:rFonts w:ascii="Arial" w:eastAsia="Times New Roman" w:hAnsi="Arial" w:cs="Arial"/>
          <w:spacing w:val="-2"/>
          <w:sz w:val="24"/>
          <w:szCs w:val="24"/>
          <w:lang w:eastAsia="es-ES"/>
        </w:rPr>
        <w:t xml:space="preserve"> </w:t>
      </w:r>
    </w:p>
    <w:p w14:paraId="368C2BED"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3A7DFFC9"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r w:rsidRPr="00855CCB">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0ECA8FF3"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0C010D29" w14:textId="77777777" w:rsidR="00855CCB" w:rsidRPr="00855CCB" w:rsidRDefault="00855CCB" w:rsidP="00855CCB">
      <w:pPr>
        <w:suppressAutoHyphens/>
        <w:spacing w:line="240" w:lineRule="auto"/>
        <w:ind w:left="426" w:right="420" w:firstLine="0"/>
        <w:rPr>
          <w:rFonts w:ascii="Arial" w:eastAsia="Times New Roman" w:hAnsi="Arial" w:cs="Arial"/>
          <w:spacing w:val="-2"/>
          <w:szCs w:val="24"/>
          <w:lang w:val="es-ES_tradnl" w:eastAsia="es-ES"/>
        </w:rPr>
      </w:pPr>
      <w:r w:rsidRPr="00855CCB">
        <w:rPr>
          <w:rFonts w:ascii="Arial" w:eastAsia="Times New Roman" w:hAnsi="Arial" w:cs="Arial"/>
          <w:b/>
          <w:spacing w:val="-2"/>
          <w:szCs w:val="24"/>
          <w:lang w:val="es-CO" w:eastAsia="es-ES"/>
        </w:rPr>
        <w:t>“Artículo 10</w:t>
      </w:r>
      <w:r w:rsidRPr="00855CCB">
        <w:rPr>
          <w:rFonts w:ascii="Arial" w:eastAsia="Times New Roman" w:hAnsi="Arial" w:cs="Arial"/>
          <w:b/>
          <w:bCs/>
          <w:spacing w:val="-2"/>
          <w:szCs w:val="24"/>
          <w:lang w:val="es-CO" w:eastAsia="es-ES"/>
        </w:rPr>
        <w:t>.</w:t>
      </w:r>
      <w:r w:rsidRPr="00855CCB">
        <w:rPr>
          <w:rFonts w:ascii="Arial" w:eastAsia="Times New Roman" w:hAnsi="Arial" w:cs="Arial"/>
          <w:b/>
          <w:spacing w:val="-2"/>
          <w:szCs w:val="24"/>
          <w:lang w:val="es-CO" w:eastAsia="es-ES"/>
        </w:rPr>
        <w:t xml:space="preserve"> RESPONSABILIDAD DE LOS PROMOTORES. </w:t>
      </w:r>
      <w:r w:rsidRPr="00855CCB">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855CCB">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w:t>
      </w:r>
      <w:r w:rsidRPr="00855CCB">
        <w:rPr>
          <w:rFonts w:ascii="Arial" w:eastAsia="Times New Roman" w:hAnsi="Arial" w:cs="Arial"/>
          <w:spacing w:val="-2"/>
          <w:szCs w:val="24"/>
          <w:lang w:val="es-CO" w:eastAsia="es-ES"/>
        </w:rPr>
        <w:t xml:space="preserve"> (Negrillas y subrayas fuera del texto)</w:t>
      </w:r>
    </w:p>
    <w:p w14:paraId="1F6293FF"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23D456A9"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r w:rsidRPr="00855CCB">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240D4DA4"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2D68418E"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r w:rsidRPr="00855CCB">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w:t>
      </w:r>
      <w:r w:rsidRPr="00855CCB">
        <w:rPr>
          <w:rFonts w:ascii="Arial" w:eastAsia="Times New Roman" w:hAnsi="Arial" w:cs="Arial"/>
          <w:spacing w:val="-2"/>
          <w:sz w:val="24"/>
          <w:szCs w:val="24"/>
          <w:lang w:val="es-ES_tradnl" w:eastAsia="es-ES"/>
        </w:rPr>
        <w:lastRenderedPageBreak/>
        <w:t xml:space="preserve">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13A7A82D"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21EB73AE"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r w:rsidRPr="00855CCB">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60C1AFED"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01870F83"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r w:rsidRPr="00855CCB">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14:paraId="356AC418" w14:textId="77777777" w:rsidR="00855CCB" w:rsidRPr="00855CCB" w:rsidRDefault="00855CCB" w:rsidP="00855CCB">
      <w:pPr>
        <w:suppressAutoHyphens/>
        <w:spacing w:line="276" w:lineRule="auto"/>
        <w:ind w:firstLine="0"/>
        <w:rPr>
          <w:rFonts w:ascii="Arial" w:eastAsia="Times New Roman" w:hAnsi="Arial" w:cs="Arial"/>
          <w:spacing w:val="-2"/>
          <w:sz w:val="24"/>
          <w:szCs w:val="24"/>
          <w:lang w:val="es-ES_tradnl" w:eastAsia="es-ES"/>
        </w:rPr>
      </w:pPr>
    </w:p>
    <w:p w14:paraId="5BF1ACB4" w14:textId="77777777" w:rsidR="00855CCB" w:rsidRPr="00855CCB" w:rsidRDefault="00855CCB" w:rsidP="00855CCB">
      <w:pPr>
        <w:spacing w:line="276" w:lineRule="auto"/>
        <w:ind w:firstLine="0"/>
        <w:rPr>
          <w:rFonts w:ascii="Arial" w:eastAsia="Times New Roman" w:hAnsi="Arial" w:cs="Arial"/>
          <w:sz w:val="24"/>
          <w:szCs w:val="24"/>
          <w:lang w:val="es-CO" w:eastAsia="es-ES"/>
        </w:rPr>
      </w:pPr>
      <w:r w:rsidRPr="00855CCB">
        <w:rPr>
          <w:rFonts w:ascii="Arial" w:eastAsia="Times New Roman" w:hAnsi="Arial" w:cs="Arial"/>
          <w:sz w:val="24"/>
          <w:szCs w:val="24"/>
          <w:lang w:val="es-CO" w:eastAsia="es-ES"/>
        </w:rPr>
        <w:t>Dejo así aclarado mi voto.</w:t>
      </w:r>
    </w:p>
    <w:p w14:paraId="617B4E7B" w14:textId="77777777" w:rsidR="00855CCB" w:rsidRPr="00855CCB" w:rsidRDefault="00855CCB" w:rsidP="00855CCB">
      <w:pPr>
        <w:widowControl w:val="0"/>
        <w:autoSpaceDE w:val="0"/>
        <w:autoSpaceDN w:val="0"/>
        <w:adjustRightInd w:val="0"/>
        <w:spacing w:line="276" w:lineRule="auto"/>
        <w:ind w:firstLine="0"/>
        <w:jc w:val="left"/>
        <w:rPr>
          <w:rFonts w:ascii="Arial" w:eastAsia="Calibri" w:hAnsi="Arial" w:cs="Arial"/>
          <w:sz w:val="24"/>
          <w:szCs w:val="24"/>
          <w:lang w:val="es-CO"/>
        </w:rPr>
      </w:pPr>
    </w:p>
    <w:p w14:paraId="527E9D66" w14:textId="77777777" w:rsidR="00855CCB" w:rsidRPr="00855CCB" w:rsidRDefault="00855CCB" w:rsidP="00855CCB">
      <w:pPr>
        <w:widowControl w:val="0"/>
        <w:autoSpaceDE w:val="0"/>
        <w:autoSpaceDN w:val="0"/>
        <w:adjustRightInd w:val="0"/>
        <w:spacing w:line="276" w:lineRule="auto"/>
        <w:ind w:firstLine="0"/>
        <w:jc w:val="left"/>
        <w:rPr>
          <w:rFonts w:ascii="Arial" w:eastAsia="Calibri" w:hAnsi="Arial" w:cs="Arial"/>
          <w:sz w:val="24"/>
          <w:szCs w:val="24"/>
          <w:lang w:val="es-CO"/>
        </w:rPr>
      </w:pPr>
    </w:p>
    <w:p w14:paraId="5E692E4A" w14:textId="77777777" w:rsidR="00855CCB" w:rsidRPr="00855CCB" w:rsidRDefault="00855CCB" w:rsidP="00855CCB">
      <w:pPr>
        <w:widowControl w:val="0"/>
        <w:autoSpaceDE w:val="0"/>
        <w:autoSpaceDN w:val="0"/>
        <w:adjustRightInd w:val="0"/>
        <w:spacing w:line="276" w:lineRule="auto"/>
        <w:ind w:firstLine="0"/>
        <w:jc w:val="left"/>
        <w:rPr>
          <w:rFonts w:ascii="Arial" w:eastAsia="Calibri" w:hAnsi="Arial" w:cs="Arial"/>
          <w:sz w:val="24"/>
          <w:szCs w:val="24"/>
          <w:lang w:val="es-CO"/>
        </w:rPr>
      </w:pPr>
    </w:p>
    <w:p w14:paraId="0421BDBB" w14:textId="77777777" w:rsidR="00855CCB" w:rsidRPr="00855CCB" w:rsidRDefault="00855CCB" w:rsidP="00855CCB">
      <w:pPr>
        <w:tabs>
          <w:tab w:val="center" w:pos="4420"/>
        </w:tabs>
        <w:spacing w:line="276" w:lineRule="auto"/>
        <w:ind w:firstLine="0"/>
        <w:rPr>
          <w:rFonts w:ascii="Arial" w:eastAsia="Calibri" w:hAnsi="Arial" w:cs="Arial"/>
          <w:sz w:val="24"/>
          <w:szCs w:val="24"/>
          <w:lang w:val="es-CO"/>
        </w:rPr>
      </w:pPr>
    </w:p>
    <w:p w14:paraId="1D78512E" w14:textId="77777777" w:rsidR="00855CCB" w:rsidRPr="00855CCB" w:rsidRDefault="00855CCB" w:rsidP="00855CCB">
      <w:pPr>
        <w:widowControl w:val="0"/>
        <w:autoSpaceDE w:val="0"/>
        <w:autoSpaceDN w:val="0"/>
        <w:adjustRightInd w:val="0"/>
        <w:spacing w:line="276" w:lineRule="auto"/>
        <w:ind w:firstLine="0"/>
        <w:jc w:val="center"/>
        <w:rPr>
          <w:rFonts w:ascii="Arial" w:eastAsia="Calibri" w:hAnsi="Arial" w:cs="Arial"/>
          <w:b/>
          <w:sz w:val="24"/>
          <w:szCs w:val="24"/>
          <w:lang w:val="es-CO"/>
        </w:rPr>
      </w:pPr>
      <w:r w:rsidRPr="00855CCB">
        <w:rPr>
          <w:rFonts w:ascii="Arial" w:eastAsia="Calibri" w:hAnsi="Arial" w:cs="Arial"/>
          <w:b/>
          <w:sz w:val="24"/>
          <w:szCs w:val="24"/>
          <w:lang w:val="es-CO"/>
        </w:rPr>
        <w:t>JULIO CÉSAR SALAZAR MUÑOZ</w:t>
      </w:r>
    </w:p>
    <w:p w14:paraId="3A89856C" w14:textId="40153377" w:rsidR="00CE5BB7" w:rsidRPr="00855CCB" w:rsidRDefault="00855CCB" w:rsidP="00855CCB">
      <w:pPr>
        <w:widowControl w:val="0"/>
        <w:autoSpaceDE w:val="0"/>
        <w:autoSpaceDN w:val="0"/>
        <w:adjustRightInd w:val="0"/>
        <w:spacing w:line="276" w:lineRule="auto"/>
        <w:ind w:firstLine="0"/>
        <w:jc w:val="center"/>
        <w:rPr>
          <w:rFonts w:ascii="Arial" w:eastAsia="Calibri" w:hAnsi="Arial" w:cs="Arial"/>
          <w:sz w:val="24"/>
          <w:szCs w:val="24"/>
          <w:lang w:val="es-CO"/>
        </w:rPr>
      </w:pPr>
      <w:r w:rsidRPr="00855CCB">
        <w:rPr>
          <w:rFonts w:ascii="Arial" w:eastAsia="Calibri" w:hAnsi="Arial" w:cs="Arial"/>
          <w:sz w:val="24"/>
          <w:szCs w:val="24"/>
          <w:lang w:val="es-CO"/>
        </w:rPr>
        <w:t>Magistrado</w:t>
      </w:r>
    </w:p>
    <w:sectPr w:rsidR="00CE5BB7" w:rsidRPr="00855CCB" w:rsidSect="00855CCB">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295B66E"/>
  <w15:commentEx w15:done="0" w15:paraId="791B55B4"/>
  <w15:commentEx w15:done="0" w15:paraId="2058ECC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10B2C6" w16cex:dateUtc="2020-10-05T20:44:47.592Z"/>
  <w16cex:commentExtensible w16cex:durableId="45DCD35B" w16cex:dateUtc="2020-10-05T23:45:32.025Z"/>
  <w16cex:commentExtensible w16cex:durableId="1B3CB03B" w16cex:dateUtc="2020-10-06T15:38:41.533Z"/>
</w16cex:commentsExtensible>
</file>

<file path=word/commentsIds.xml><?xml version="1.0" encoding="utf-8"?>
<w16cid:commentsIds xmlns:mc="http://schemas.openxmlformats.org/markup-compatibility/2006" xmlns:w16cid="http://schemas.microsoft.com/office/word/2016/wordml/cid" mc:Ignorable="w16cid">
  <w16cid:commentId w16cid:paraId="1295B66E" w16cid:durableId="4010B2C6"/>
  <w16cid:commentId w16cid:paraId="791B55B4" w16cid:durableId="45DCD35B"/>
  <w16cid:commentId w16cid:paraId="2058ECC0" w16cid:durableId="1B3CB0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6041E" w14:textId="77777777" w:rsidR="00681607" w:rsidRDefault="00681607" w:rsidP="00236FB2">
      <w:pPr>
        <w:spacing w:line="240" w:lineRule="auto"/>
      </w:pPr>
      <w:r>
        <w:separator/>
      </w:r>
    </w:p>
  </w:endnote>
  <w:endnote w:type="continuationSeparator" w:id="0">
    <w:p w14:paraId="2229C72C" w14:textId="77777777" w:rsidR="00681607" w:rsidRDefault="00681607" w:rsidP="00236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37AA9486" w14:textId="77777777" w:rsidR="00602AD7" w:rsidRPr="00E0295B" w:rsidRDefault="00412881" w:rsidP="00E0295B">
        <w:pPr>
          <w:pStyle w:val="Piedepgina"/>
          <w:ind w:firstLine="0"/>
          <w:jc w:val="right"/>
          <w:rPr>
            <w:rFonts w:ascii="Arial" w:eastAsia="Times New Roman" w:hAnsi="Arial" w:cs="Arial"/>
            <w:sz w:val="18"/>
            <w:szCs w:val="16"/>
            <w:lang w:eastAsia="es-ES"/>
          </w:rPr>
        </w:pPr>
        <w:r w:rsidRPr="00E0295B">
          <w:rPr>
            <w:rFonts w:ascii="Arial" w:eastAsia="Times New Roman" w:hAnsi="Arial" w:cs="Arial"/>
            <w:sz w:val="18"/>
            <w:szCs w:val="16"/>
            <w:lang w:eastAsia="es-ES"/>
          </w:rPr>
          <w:fldChar w:fldCharType="begin"/>
        </w:r>
        <w:r w:rsidRPr="00E0295B">
          <w:rPr>
            <w:rFonts w:ascii="Arial" w:eastAsia="Times New Roman" w:hAnsi="Arial" w:cs="Arial"/>
            <w:sz w:val="18"/>
            <w:szCs w:val="16"/>
            <w:lang w:eastAsia="es-ES"/>
          </w:rPr>
          <w:instrText>PAGE   \* MERGEFORMAT</w:instrText>
        </w:r>
        <w:r w:rsidRPr="00E0295B">
          <w:rPr>
            <w:rFonts w:ascii="Arial" w:eastAsia="Times New Roman" w:hAnsi="Arial" w:cs="Arial"/>
            <w:sz w:val="18"/>
            <w:szCs w:val="16"/>
            <w:lang w:eastAsia="es-ES"/>
          </w:rPr>
          <w:fldChar w:fldCharType="separate"/>
        </w:r>
        <w:r w:rsidR="00855CCB">
          <w:rPr>
            <w:rFonts w:ascii="Arial" w:eastAsia="Times New Roman" w:hAnsi="Arial" w:cs="Arial"/>
            <w:noProof/>
            <w:sz w:val="18"/>
            <w:szCs w:val="16"/>
            <w:lang w:eastAsia="es-ES"/>
          </w:rPr>
          <w:t>2</w:t>
        </w:r>
        <w:r w:rsidRPr="00E0295B">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8A2C0" w14:textId="77777777" w:rsidR="00681607" w:rsidRDefault="00681607" w:rsidP="00236FB2">
      <w:pPr>
        <w:spacing w:line="240" w:lineRule="auto"/>
      </w:pPr>
      <w:r>
        <w:separator/>
      </w:r>
    </w:p>
  </w:footnote>
  <w:footnote w:type="continuationSeparator" w:id="0">
    <w:p w14:paraId="495FDB93" w14:textId="77777777" w:rsidR="00681607" w:rsidRDefault="00681607" w:rsidP="00236FB2">
      <w:pPr>
        <w:spacing w:line="240" w:lineRule="auto"/>
      </w:pPr>
      <w:r>
        <w:continuationSeparator/>
      </w:r>
    </w:p>
  </w:footnote>
  <w:footnote w:id="1">
    <w:p w14:paraId="2379941F" w14:textId="0236775F" w:rsidR="00C62C60" w:rsidRPr="00E0295B" w:rsidRDefault="00C62C60" w:rsidP="00E0295B">
      <w:pPr>
        <w:pStyle w:val="Textonotapie"/>
        <w:ind w:firstLine="0"/>
        <w:rPr>
          <w:rFonts w:ascii="Arial" w:hAnsi="Arial" w:cs="Arial"/>
          <w:sz w:val="18"/>
          <w:szCs w:val="18"/>
        </w:rPr>
      </w:pPr>
      <w:r w:rsidRPr="00E0295B">
        <w:rPr>
          <w:rStyle w:val="Refdenotaalpie"/>
          <w:rFonts w:ascii="Arial" w:hAnsi="Arial" w:cs="Arial"/>
          <w:sz w:val="18"/>
          <w:szCs w:val="18"/>
        </w:rPr>
        <w:footnoteRef/>
      </w:r>
      <w:r w:rsidRPr="00E0295B">
        <w:rPr>
          <w:rFonts w:ascii="Arial" w:hAnsi="Arial" w:cs="Arial"/>
          <w:sz w:val="18"/>
          <w:szCs w:val="18"/>
        </w:rPr>
        <w:t xml:space="preserve"> </w:t>
      </w:r>
      <w:r w:rsidRPr="00E0295B">
        <w:rPr>
          <w:rFonts w:ascii="Arial" w:hAnsi="Arial" w:cs="Arial"/>
          <w:sz w:val="18"/>
          <w:szCs w:val="18"/>
          <w:lang w:val="es-CO"/>
        </w:rPr>
        <w:t xml:space="preserve">Título tomado de la sentencia </w:t>
      </w:r>
      <w:r w:rsidRPr="00E0295B">
        <w:rPr>
          <w:rFonts w:ascii="Arial" w:hAnsi="Arial" w:cs="Arial"/>
          <w:sz w:val="18"/>
          <w:szCs w:val="18"/>
        </w:rPr>
        <w:t>del 8 de mayo de 2019SL 1688-2019, Radicado 68838, con Ponencia de la Dra. Clara Cecilia Dueñas Quevedo</w:t>
      </w:r>
    </w:p>
  </w:footnote>
  <w:footnote w:id="2">
    <w:p w14:paraId="0A343A0A" w14:textId="77777777" w:rsidR="00C62C60" w:rsidRPr="00E0295B" w:rsidRDefault="00C62C60" w:rsidP="00E0295B">
      <w:pPr>
        <w:pStyle w:val="Textonotapie"/>
        <w:ind w:firstLine="0"/>
        <w:rPr>
          <w:rFonts w:ascii="Arial" w:hAnsi="Arial" w:cs="Arial"/>
          <w:sz w:val="18"/>
          <w:szCs w:val="16"/>
          <w:lang w:val="es-CO"/>
        </w:rPr>
      </w:pPr>
      <w:r w:rsidRPr="00E0295B">
        <w:rPr>
          <w:rStyle w:val="Refdenotaalpie"/>
          <w:rFonts w:ascii="Arial" w:hAnsi="Arial" w:cs="Arial"/>
          <w:sz w:val="18"/>
          <w:szCs w:val="18"/>
        </w:rPr>
        <w:footnoteRef/>
      </w:r>
      <w:r w:rsidRPr="00E0295B">
        <w:rPr>
          <w:rFonts w:ascii="Arial" w:hAnsi="Arial" w:cs="Arial"/>
          <w:sz w:val="18"/>
          <w:szCs w:val="18"/>
        </w:rPr>
        <w:t xml:space="preserve"> </w:t>
      </w:r>
      <w:r w:rsidRPr="00E0295B">
        <w:rPr>
          <w:rFonts w:ascii="Arial" w:hAnsi="Arial" w:cs="Arial"/>
          <w:sz w:val="18"/>
          <w:szCs w:val="18"/>
          <w:lang w:val="es-CO"/>
        </w:rPr>
        <w:t>Estatuto Orgánico del Sistema Financiero</w:t>
      </w:r>
      <w:r w:rsidRPr="00E0295B">
        <w:rPr>
          <w:rFonts w:ascii="Arial" w:hAnsi="Arial" w:cs="Arial"/>
          <w:sz w:val="18"/>
          <w:szCs w:val="16"/>
          <w:lang w:val="es-CO"/>
        </w:rPr>
        <w:t xml:space="preserve"> </w:t>
      </w:r>
    </w:p>
  </w:footnote>
  <w:footnote w:id="3">
    <w:p w14:paraId="7DB2AF20" w14:textId="77777777" w:rsidR="00E0295B" w:rsidRPr="002A1E9E" w:rsidRDefault="00E0295B" w:rsidP="00E0295B">
      <w:pPr>
        <w:pStyle w:val="Textonotapie"/>
        <w:ind w:firstLine="0"/>
        <w:rPr>
          <w:rFonts w:ascii="Arial" w:hAnsi="Arial" w:cs="Arial"/>
          <w:sz w:val="18"/>
          <w:lang w:val="es-CO"/>
        </w:rPr>
      </w:pPr>
      <w:r w:rsidRPr="002A1E9E">
        <w:rPr>
          <w:rStyle w:val="Refdenotaalpie"/>
          <w:rFonts w:ascii="Arial" w:hAnsi="Arial" w:cs="Arial"/>
          <w:sz w:val="18"/>
        </w:rPr>
        <w:footnoteRef/>
      </w:r>
      <w:r w:rsidRPr="002A1E9E">
        <w:rPr>
          <w:rFonts w:ascii="Arial" w:hAnsi="Arial" w:cs="Arial"/>
          <w:sz w:val="18"/>
        </w:rPr>
        <w:t xml:space="preserve"> </w:t>
      </w:r>
      <w:r w:rsidRPr="002A1E9E">
        <w:rPr>
          <w:rFonts w:ascii="Arial" w:hAnsi="Arial" w:cs="Arial"/>
          <w:sz w:val="18"/>
          <w:lang w:val="es-CO"/>
        </w:rPr>
        <w:t xml:space="preserve">Título tomado de la sentencia </w:t>
      </w:r>
      <w:r w:rsidRPr="002A1E9E">
        <w:rPr>
          <w:rFonts w:ascii="Arial" w:hAnsi="Arial" w:cs="Arial"/>
          <w:sz w:val="18"/>
        </w:rPr>
        <w:t xml:space="preserve">del 8 de mayo de </w:t>
      </w:r>
      <w:proofErr w:type="spellStart"/>
      <w:r w:rsidRPr="002A1E9E">
        <w:rPr>
          <w:rFonts w:ascii="Arial" w:hAnsi="Arial" w:cs="Arial"/>
          <w:sz w:val="18"/>
        </w:rPr>
        <w:t>2019SL</w:t>
      </w:r>
      <w:proofErr w:type="spellEnd"/>
      <w:r w:rsidRPr="002A1E9E">
        <w:rPr>
          <w:rFonts w:ascii="Arial" w:hAnsi="Arial" w:cs="Arial"/>
          <w:sz w:val="18"/>
        </w:rPr>
        <w:t xml:space="preserve"> 1688-2019, Radicado 68838, con Ponencia de la Dra. Clara Cecilia Dueñas Quevedo</w:t>
      </w:r>
    </w:p>
  </w:footnote>
  <w:footnote w:id="4">
    <w:p w14:paraId="4AF56439" w14:textId="77777777" w:rsidR="00E0295B" w:rsidRPr="002A1E9E" w:rsidRDefault="00E0295B" w:rsidP="00E0295B">
      <w:pPr>
        <w:pStyle w:val="Textonotapie"/>
        <w:ind w:firstLine="0"/>
        <w:rPr>
          <w:rFonts w:ascii="Arial" w:hAnsi="Arial" w:cs="Arial"/>
          <w:sz w:val="18"/>
          <w:lang w:val="es-CO"/>
        </w:rPr>
      </w:pPr>
      <w:r w:rsidRPr="002A1E9E">
        <w:rPr>
          <w:rStyle w:val="Refdenotaalpie"/>
          <w:rFonts w:ascii="Arial" w:hAnsi="Arial" w:cs="Arial"/>
          <w:sz w:val="18"/>
        </w:rPr>
        <w:footnoteRef/>
      </w:r>
      <w:r w:rsidRPr="002A1E9E">
        <w:rPr>
          <w:rFonts w:ascii="Arial" w:hAnsi="Arial" w:cs="Arial"/>
          <w:sz w:val="18"/>
        </w:rPr>
        <w:t xml:space="preserve"> </w:t>
      </w:r>
      <w:r w:rsidRPr="002A1E9E">
        <w:rPr>
          <w:rFonts w:ascii="Arial" w:hAnsi="Arial" w:cs="Arial"/>
          <w:sz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4515E" w14:textId="77777777" w:rsidR="008443F2" w:rsidRPr="00E0295B" w:rsidRDefault="00412881" w:rsidP="008443F2">
    <w:pPr>
      <w:pStyle w:val="NormalWeb"/>
      <w:spacing w:before="0" w:beforeAutospacing="0" w:after="0" w:afterAutospacing="0"/>
      <w:jc w:val="both"/>
      <w:rPr>
        <w:rFonts w:ascii="Arial" w:hAnsi="Arial" w:cs="Arial"/>
        <w:sz w:val="18"/>
        <w:szCs w:val="16"/>
      </w:rPr>
    </w:pPr>
    <w:r w:rsidRPr="00E0295B">
      <w:rPr>
        <w:rFonts w:ascii="Arial" w:hAnsi="Arial" w:cs="Arial"/>
        <w:sz w:val="18"/>
        <w:szCs w:val="16"/>
      </w:rPr>
      <w:t>Radicación No.: 66001-31-05-004-2018-00157-01</w:t>
    </w:r>
  </w:p>
  <w:p w14:paraId="4492320E" w14:textId="77777777" w:rsidR="008443F2" w:rsidRPr="00E0295B" w:rsidRDefault="00412881" w:rsidP="008443F2">
    <w:pPr>
      <w:pStyle w:val="NormalWeb"/>
      <w:spacing w:before="0" w:beforeAutospacing="0" w:after="0" w:afterAutospacing="0"/>
      <w:jc w:val="both"/>
      <w:rPr>
        <w:rFonts w:ascii="Arial" w:hAnsi="Arial" w:cs="Arial"/>
        <w:sz w:val="18"/>
        <w:szCs w:val="16"/>
      </w:rPr>
    </w:pPr>
    <w:r w:rsidRPr="00E0295B">
      <w:rPr>
        <w:rFonts w:ascii="Arial" w:hAnsi="Arial" w:cs="Arial"/>
        <w:sz w:val="18"/>
        <w:szCs w:val="16"/>
      </w:rPr>
      <w:t xml:space="preserve">Demandante: María Eugenia Suarez Acevedo    </w:t>
    </w:r>
  </w:p>
  <w:p w14:paraId="398E552B" w14:textId="3D014646" w:rsidR="00602AD7" w:rsidRPr="00E0295B" w:rsidRDefault="00412881" w:rsidP="00E0295B">
    <w:pPr>
      <w:pStyle w:val="NormalWeb"/>
      <w:spacing w:before="0" w:beforeAutospacing="0" w:after="0" w:afterAutospacing="0"/>
      <w:jc w:val="both"/>
      <w:rPr>
        <w:rFonts w:ascii="Arial" w:hAnsi="Arial" w:cs="Arial"/>
        <w:sz w:val="18"/>
        <w:szCs w:val="16"/>
      </w:rPr>
    </w:pPr>
    <w:r w:rsidRPr="00E0295B">
      <w:rPr>
        <w:rFonts w:ascii="Arial" w:hAnsi="Arial" w:cs="Arial"/>
        <w:sz w:val="18"/>
        <w:szCs w:val="16"/>
      </w:rPr>
      <w:t>Demandado: Porvenir S.A., Protección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73E"/>
    <w:multiLevelType w:val="multilevel"/>
    <w:tmpl w:val="A32A03FA"/>
    <w:lvl w:ilvl="0">
      <w:start w:val="5"/>
      <w:numFmt w:val="upperRoman"/>
      <w:lvlText w:val="%1."/>
      <w:lvlJc w:val="left"/>
      <w:pPr>
        <w:ind w:left="2160" w:hanging="720"/>
      </w:pPr>
      <w:rPr>
        <w:rFonts w:ascii="Tahoma" w:hAnsi="Tahoma" w:cs="Tahoma" w:hint="default"/>
        <w:b/>
      </w:rPr>
    </w:lvl>
    <w:lvl w:ilvl="1">
      <w:start w:val="1"/>
      <w:numFmt w:val="decimal"/>
      <w:lvlText w:val="%1.%2"/>
      <w:lvlJc w:val="left"/>
      <w:pPr>
        <w:ind w:left="2160" w:hanging="72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960" w:hanging="2520"/>
      </w:pPr>
      <w:rPr>
        <w:rFonts w:hint="default"/>
      </w:rPr>
    </w:lvl>
  </w:abstractNum>
  <w:abstractNum w:abstractNumId="1">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4E02A0F"/>
    <w:multiLevelType w:val="hybridMultilevel"/>
    <w:tmpl w:val="EC6A414E"/>
    <w:lvl w:ilvl="0" w:tplc="AFF02706">
      <w:start w:val="1"/>
      <w:numFmt w:val="decimal"/>
      <w:lvlText w:val="%1."/>
      <w:lvlJc w:val="left"/>
      <w:pPr>
        <w:ind w:left="644" w:hanging="36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CA97297"/>
    <w:multiLevelType w:val="multilevel"/>
    <w:tmpl w:val="36E2E146"/>
    <w:lvl w:ilvl="0">
      <w:start w:val="2"/>
      <w:numFmt w:val="decimal"/>
      <w:lvlText w:val="%1."/>
      <w:lvlJc w:val="left"/>
      <w:pPr>
        <w:ind w:left="450" w:hanging="45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4260" w:hanging="144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7095" w:hanging="2160"/>
      </w:pPr>
      <w:rPr>
        <w:rFonts w:hint="default"/>
        <w:b/>
      </w:rPr>
    </w:lvl>
    <w:lvl w:ilvl="8">
      <w:start w:val="1"/>
      <w:numFmt w:val="decimal"/>
      <w:lvlText w:val="%1.%2.%3.%4.%5.%6.%7.%8.%9."/>
      <w:lvlJc w:val="left"/>
      <w:pPr>
        <w:ind w:left="7800" w:hanging="2160"/>
      </w:pPr>
      <w:rPr>
        <w:rFonts w:hint="default"/>
        <w:b/>
      </w:rPr>
    </w:lvl>
  </w:abstractNum>
  <w:abstractNum w:abstractNumId="4">
    <w:nsid w:val="10A42889"/>
    <w:multiLevelType w:val="hybridMultilevel"/>
    <w:tmpl w:val="D7268D5C"/>
    <w:lvl w:ilvl="0" w:tplc="BA4458E8">
      <w:start w:val="1"/>
      <w:numFmt w:val="decimal"/>
      <w:lvlText w:val="%1."/>
      <w:lvlJc w:val="left"/>
      <w:pPr>
        <w:ind w:left="1069" w:hanging="360"/>
      </w:pPr>
      <w:rPr>
        <w:rFonts w:hint="default"/>
        <w:b/>
        <w:sz w:val="22"/>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5">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7A0CA1"/>
    <w:multiLevelType w:val="hybridMultilevel"/>
    <w:tmpl w:val="04C658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86C20FD"/>
    <w:multiLevelType w:val="hybridMultilevel"/>
    <w:tmpl w:val="4A50665A"/>
    <w:lvl w:ilvl="0" w:tplc="0890D552">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C42761D"/>
    <w:multiLevelType w:val="multilevel"/>
    <w:tmpl w:val="C9044F4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1">
    <w:nsid w:val="764B647B"/>
    <w:multiLevelType w:val="hybridMultilevel"/>
    <w:tmpl w:val="8A1E0C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4"/>
  </w:num>
  <w:num w:numId="5">
    <w:abstractNumId w:val="7"/>
  </w:num>
  <w:num w:numId="6">
    <w:abstractNumId w:val="10"/>
  </w:num>
  <w:num w:numId="7">
    <w:abstractNumId w:val="3"/>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B2"/>
    <w:rsid w:val="00236FB2"/>
    <w:rsid w:val="00250D85"/>
    <w:rsid w:val="00342DD1"/>
    <w:rsid w:val="00355FAF"/>
    <w:rsid w:val="00375B71"/>
    <w:rsid w:val="00412881"/>
    <w:rsid w:val="00511EB1"/>
    <w:rsid w:val="005B249A"/>
    <w:rsid w:val="00681607"/>
    <w:rsid w:val="00855CCB"/>
    <w:rsid w:val="008B2FCC"/>
    <w:rsid w:val="00956075"/>
    <w:rsid w:val="009B3941"/>
    <w:rsid w:val="00B17307"/>
    <w:rsid w:val="00B2317C"/>
    <w:rsid w:val="00C203F5"/>
    <w:rsid w:val="00C25AFB"/>
    <w:rsid w:val="00C62C60"/>
    <w:rsid w:val="00CE5BB7"/>
    <w:rsid w:val="00D0014A"/>
    <w:rsid w:val="00D17C11"/>
    <w:rsid w:val="00E0295B"/>
    <w:rsid w:val="00E30EA9"/>
    <w:rsid w:val="00ED773D"/>
    <w:rsid w:val="00F66E1A"/>
    <w:rsid w:val="00FD0F0B"/>
    <w:rsid w:val="3DC8528F"/>
    <w:rsid w:val="62D203F5"/>
    <w:rsid w:val="6B8735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D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B2"/>
    <w:pPr>
      <w:spacing w:after="0"/>
      <w:ind w:firstLine="709"/>
      <w:jc w:val="both"/>
    </w:pPr>
    <w:rPr>
      <w:lang w:val="es-ES"/>
    </w:rPr>
  </w:style>
  <w:style w:type="paragraph" w:styleId="Ttulo4">
    <w:name w:val="heading 4"/>
    <w:basedOn w:val="Normal"/>
    <w:next w:val="Normal"/>
    <w:link w:val="Ttulo4Car"/>
    <w:unhideWhenUsed/>
    <w:qFormat/>
    <w:rsid w:val="00236FB2"/>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36FB2"/>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236FB2"/>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236FB2"/>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236FB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36FB2"/>
    <w:rPr>
      <w:lang w:val="es-ES"/>
    </w:rPr>
  </w:style>
  <w:style w:type="paragraph" w:styleId="Piedepgina">
    <w:name w:val="footer"/>
    <w:basedOn w:val="Normal"/>
    <w:link w:val="PiedepginaCar"/>
    <w:uiPriority w:val="99"/>
    <w:unhideWhenUsed/>
    <w:rsid w:val="00236FB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36FB2"/>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236FB2"/>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236FB2"/>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236FB2"/>
    <w:rPr>
      <w:vertAlign w:val="superscript"/>
    </w:rPr>
  </w:style>
  <w:style w:type="character" w:customStyle="1" w:styleId="SinespaciadoCar">
    <w:name w:val="Sin espaciado Car"/>
    <w:link w:val="Sinespaciado"/>
    <w:uiPriority w:val="1"/>
    <w:locked/>
    <w:rsid w:val="00236FB2"/>
    <w:rPr>
      <w:sz w:val="24"/>
      <w:szCs w:val="24"/>
    </w:rPr>
  </w:style>
  <w:style w:type="paragraph" w:styleId="Sinespaciado">
    <w:name w:val="No Spacing"/>
    <w:link w:val="SinespaciadoCar"/>
    <w:uiPriority w:val="1"/>
    <w:qFormat/>
    <w:rsid w:val="00236FB2"/>
    <w:pPr>
      <w:spacing w:after="0" w:line="240" w:lineRule="auto"/>
    </w:pPr>
    <w:rPr>
      <w:sz w:val="24"/>
      <w:szCs w:val="24"/>
    </w:rPr>
  </w:style>
  <w:style w:type="paragraph" w:styleId="Textoindependiente">
    <w:name w:val="Body Text"/>
    <w:basedOn w:val="Normal"/>
    <w:link w:val="TextoindependienteCar"/>
    <w:uiPriority w:val="99"/>
    <w:semiHidden/>
    <w:unhideWhenUsed/>
    <w:rsid w:val="00236FB2"/>
    <w:pPr>
      <w:spacing w:after="120"/>
    </w:pPr>
  </w:style>
  <w:style w:type="character" w:customStyle="1" w:styleId="TextoindependienteCar">
    <w:name w:val="Texto independiente Car"/>
    <w:basedOn w:val="Fuentedeprrafopredeter"/>
    <w:link w:val="Textoindependiente"/>
    <w:uiPriority w:val="99"/>
    <w:semiHidden/>
    <w:rsid w:val="00236FB2"/>
    <w:rPr>
      <w:lang w:val="es-ES"/>
    </w:rPr>
  </w:style>
  <w:style w:type="paragraph" w:styleId="Prrafodelista">
    <w:name w:val="List Paragraph"/>
    <w:basedOn w:val="Normal"/>
    <w:uiPriority w:val="34"/>
    <w:qFormat/>
    <w:rsid w:val="00236FB2"/>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236FB2"/>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FD0F0B"/>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FD0F0B"/>
  </w:style>
  <w:style w:type="character" w:customStyle="1" w:styleId="eop">
    <w:name w:val="eop"/>
    <w:basedOn w:val="Fuentedeprrafopredeter"/>
    <w:rsid w:val="00FD0F0B"/>
  </w:style>
  <w:style w:type="paragraph" w:customStyle="1" w:styleId="xmsonormal">
    <w:name w:val="x_msonormal"/>
    <w:basedOn w:val="Normal"/>
    <w:rsid w:val="00511EB1"/>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511EB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62C6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C60"/>
    <w:rPr>
      <w:rFonts w:ascii="Segoe UI" w:hAnsi="Segoe UI" w:cs="Segoe UI"/>
      <w:sz w:val="18"/>
      <w:szCs w:val="18"/>
      <w:lang w:val="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
    </w:rPr>
  </w:style>
  <w:style w:type="character" w:styleId="Refdecomentario">
    <w:name w:val="annotation reference"/>
    <w:basedOn w:val="Fuentedeprrafopredeter"/>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B2"/>
    <w:pPr>
      <w:spacing w:after="0"/>
      <w:ind w:firstLine="709"/>
      <w:jc w:val="both"/>
    </w:pPr>
    <w:rPr>
      <w:lang w:val="es-ES"/>
    </w:rPr>
  </w:style>
  <w:style w:type="paragraph" w:styleId="Ttulo4">
    <w:name w:val="heading 4"/>
    <w:basedOn w:val="Normal"/>
    <w:next w:val="Normal"/>
    <w:link w:val="Ttulo4Car"/>
    <w:unhideWhenUsed/>
    <w:qFormat/>
    <w:rsid w:val="00236FB2"/>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36FB2"/>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236FB2"/>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236FB2"/>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236FB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36FB2"/>
    <w:rPr>
      <w:lang w:val="es-ES"/>
    </w:rPr>
  </w:style>
  <w:style w:type="paragraph" w:styleId="Piedepgina">
    <w:name w:val="footer"/>
    <w:basedOn w:val="Normal"/>
    <w:link w:val="PiedepginaCar"/>
    <w:uiPriority w:val="99"/>
    <w:unhideWhenUsed/>
    <w:rsid w:val="00236FB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36FB2"/>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236FB2"/>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236FB2"/>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236FB2"/>
    <w:rPr>
      <w:vertAlign w:val="superscript"/>
    </w:rPr>
  </w:style>
  <w:style w:type="character" w:customStyle="1" w:styleId="SinespaciadoCar">
    <w:name w:val="Sin espaciado Car"/>
    <w:link w:val="Sinespaciado"/>
    <w:uiPriority w:val="1"/>
    <w:locked/>
    <w:rsid w:val="00236FB2"/>
    <w:rPr>
      <w:sz w:val="24"/>
      <w:szCs w:val="24"/>
    </w:rPr>
  </w:style>
  <w:style w:type="paragraph" w:styleId="Sinespaciado">
    <w:name w:val="No Spacing"/>
    <w:link w:val="SinespaciadoCar"/>
    <w:uiPriority w:val="1"/>
    <w:qFormat/>
    <w:rsid w:val="00236FB2"/>
    <w:pPr>
      <w:spacing w:after="0" w:line="240" w:lineRule="auto"/>
    </w:pPr>
    <w:rPr>
      <w:sz w:val="24"/>
      <w:szCs w:val="24"/>
    </w:rPr>
  </w:style>
  <w:style w:type="paragraph" w:styleId="Textoindependiente">
    <w:name w:val="Body Text"/>
    <w:basedOn w:val="Normal"/>
    <w:link w:val="TextoindependienteCar"/>
    <w:uiPriority w:val="99"/>
    <w:semiHidden/>
    <w:unhideWhenUsed/>
    <w:rsid w:val="00236FB2"/>
    <w:pPr>
      <w:spacing w:after="120"/>
    </w:pPr>
  </w:style>
  <w:style w:type="character" w:customStyle="1" w:styleId="TextoindependienteCar">
    <w:name w:val="Texto independiente Car"/>
    <w:basedOn w:val="Fuentedeprrafopredeter"/>
    <w:link w:val="Textoindependiente"/>
    <w:uiPriority w:val="99"/>
    <w:semiHidden/>
    <w:rsid w:val="00236FB2"/>
    <w:rPr>
      <w:lang w:val="es-ES"/>
    </w:rPr>
  </w:style>
  <w:style w:type="paragraph" w:styleId="Prrafodelista">
    <w:name w:val="List Paragraph"/>
    <w:basedOn w:val="Normal"/>
    <w:uiPriority w:val="34"/>
    <w:qFormat/>
    <w:rsid w:val="00236FB2"/>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236FB2"/>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FD0F0B"/>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FD0F0B"/>
  </w:style>
  <w:style w:type="character" w:customStyle="1" w:styleId="eop">
    <w:name w:val="eop"/>
    <w:basedOn w:val="Fuentedeprrafopredeter"/>
    <w:rsid w:val="00FD0F0B"/>
  </w:style>
  <w:style w:type="paragraph" w:customStyle="1" w:styleId="xmsonormal">
    <w:name w:val="x_msonormal"/>
    <w:basedOn w:val="Normal"/>
    <w:rsid w:val="00511EB1"/>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511EB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62C6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C60"/>
    <w:rPr>
      <w:rFonts w:ascii="Segoe UI" w:hAnsi="Segoe UI" w:cs="Segoe UI"/>
      <w:sz w:val="18"/>
      <w:szCs w:val="18"/>
      <w:lang w:val="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e6c157dc2c80475f"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3c259c1ea2764648" Type="http://schemas.microsoft.com/office/2011/relationships/people" Target="people.xml"/><Relationship Id="Rd6b702c21035440c" Type="http://schemas.microsoft.com/office/2018/08/relationships/commentsExtensible" Target="commentsExtensible.xml"/><Relationship Id="rId5" Type="http://schemas.openxmlformats.org/officeDocument/2006/relationships/styles" Target="styles.xml"/><Relationship Id="R2a1df1fd3531427f"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AF388-2219-4802-8ABA-6F036EAB165E}">
  <ds:schemaRefs>
    <ds:schemaRef ds:uri="http://schemas.microsoft.com/sharepoint/v3/contenttype/forms"/>
  </ds:schemaRefs>
</ds:datastoreItem>
</file>

<file path=customXml/itemProps2.xml><?xml version="1.0" encoding="utf-8"?>
<ds:datastoreItem xmlns:ds="http://schemas.openxmlformats.org/officeDocument/2006/customXml" ds:itemID="{D63FD3DC-7936-470B-B579-6D0FED2ACB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92A516-57F7-4727-A4C8-D54020DAA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12596</Words>
  <Characters>69280</Characters>
  <Application>Microsoft Office Word</Application>
  <DocSecurity>0</DocSecurity>
  <Lines>577</Lines>
  <Paragraphs>163</Paragraphs>
  <ScaleCrop>false</ScaleCrop>
  <Company>Rama Judicial</Company>
  <LinksUpToDate>false</LinksUpToDate>
  <CharactersWithSpaces>81713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ALONSO</cp:lastModifiedBy>
  <cp:revision>8</cp:revision>
  <dcterms:created xsi:type="dcterms:W3CDTF">2020-10-02T14:22:00Z</dcterms:created>
  <dcterms:modified xsi:type="dcterms:W3CDTF">2020-11-26T17:40:00Z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