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8B0A51B" w14:textId="77777777" w:rsidR="000E6E4C" w:rsidRPr="000E6E4C" w:rsidRDefault="000E6E4C" w:rsidP="000E6E4C">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0E6E4C">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0E6E4C">
        <w:rPr>
          <w:rFonts w:eastAsia="Times New Roman" w:cs="Arial"/>
          <w:color w:val="FF0000"/>
          <w:spacing w:val="-4"/>
          <w:sz w:val="18"/>
          <w:szCs w:val="18"/>
          <w:lang w:val="es-419" w:eastAsia="fr-FR"/>
        </w:rPr>
        <w:tab/>
        <w:t>o.  El contenido total y fiel de la decisión debe ser verificado en la respectiva Secretaría.</w:t>
      </w:r>
    </w:p>
    <w:p w14:paraId="0BBAEB08" w14:textId="77777777" w:rsidR="000E6E4C" w:rsidRPr="000E6E4C" w:rsidRDefault="000E6E4C" w:rsidP="000E6E4C">
      <w:pPr>
        <w:spacing w:line="240" w:lineRule="auto"/>
        <w:ind w:firstLine="0"/>
        <w:rPr>
          <w:rFonts w:eastAsia="Times New Roman" w:cs="Arial"/>
          <w:sz w:val="20"/>
          <w:szCs w:val="20"/>
          <w:lang w:val="es-419" w:eastAsia="es-ES"/>
        </w:rPr>
      </w:pPr>
    </w:p>
    <w:p w14:paraId="5B483107"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bCs/>
          <w:sz w:val="18"/>
          <w:szCs w:val="16"/>
        </w:rPr>
      </w:pPr>
      <w:r w:rsidRPr="000E6E4C">
        <w:rPr>
          <w:rFonts w:ascii="Arial" w:hAnsi="Arial" w:cs="Arial"/>
          <w:sz w:val="18"/>
          <w:szCs w:val="16"/>
        </w:rPr>
        <w:t xml:space="preserve">Providencia: </w:t>
      </w:r>
      <w:r w:rsidRPr="000E6E4C">
        <w:rPr>
          <w:rFonts w:ascii="Arial" w:hAnsi="Arial" w:cs="Arial"/>
          <w:sz w:val="18"/>
          <w:szCs w:val="16"/>
        </w:rPr>
        <w:tab/>
      </w:r>
      <w:r w:rsidRPr="000E6E4C">
        <w:rPr>
          <w:rFonts w:ascii="Arial" w:hAnsi="Arial" w:cs="Arial"/>
          <w:bCs/>
          <w:sz w:val="18"/>
          <w:szCs w:val="16"/>
        </w:rPr>
        <w:t>Auto del 23 de noviembre de 2020</w:t>
      </w:r>
    </w:p>
    <w:p w14:paraId="7B8DB2DB"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0E6E4C">
        <w:rPr>
          <w:rFonts w:ascii="Arial" w:hAnsi="Arial" w:cs="Arial"/>
          <w:sz w:val="18"/>
          <w:szCs w:val="16"/>
        </w:rPr>
        <w:t xml:space="preserve">Radicación No.: </w:t>
      </w:r>
      <w:r w:rsidRPr="000E6E4C">
        <w:rPr>
          <w:rFonts w:ascii="Arial" w:hAnsi="Arial" w:cs="Arial"/>
          <w:sz w:val="18"/>
          <w:szCs w:val="16"/>
        </w:rPr>
        <w:tab/>
        <w:t>66001-31-05-001-2019-00451-01</w:t>
      </w:r>
    </w:p>
    <w:p w14:paraId="0613692F"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0E6E4C">
        <w:rPr>
          <w:rFonts w:ascii="Arial" w:hAnsi="Arial" w:cs="Arial"/>
          <w:sz w:val="18"/>
          <w:szCs w:val="16"/>
        </w:rPr>
        <w:t xml:space="preserve">Proceso: </w:t>
      </w:r>
      <w:r w:rsidRPr="000E6E4C">
        <w:rPr>
          <w:rFonts w:ascii="Arial" w:hAnsi="Arial" w:cs="Arial"/>
          <w:sz w:val="18"/>
          <w:szCs w:val="16"/>
        </w:rPr>
        <w:tab/>
        <w:t>Ordinario Laboral</w:t>
      </w:r>
    </w:p>
    <w:p w14:paraId="31B6D9A9"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0E6E4C">
        <w:rPr>
          <w:rFonts w:ascii="Arial" w:hAnsi="Arial" w:cs="Arial"/>
          <w:sz w:val="18"/>
          <w:szCs w:val="16"/>
        </w:rPr>
        <w:t xml:space="preserve">Demandante: </w:t>
      </w:r>
      <w:r w:rsidRPr="000E6E4C">
        <w:rPr>
          <w:rFonts w:ascii="Arial" w:hAnsi="Arial" w:cs="Arial"/>
          <w:sz w:val="18"/>
          <w:szCs w:val="16"/>
        </w:rPr>
        <w:tab/>
        <w:t>Gustavo Adolfo Arias Bedoya</w:t>
      </w:r>
    </w:p>
    <w:p w14:paraId="4EC8FAF7"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0E6E4C">
        <w:rPr>
          <w:rFonts w:ascii="Arial" w:hAnsi="Arial" w:cs="Arial"/>
          <w:sz w:val="18"/>
          <w:szCs w:val="16"/>
        </w:rPr>
        <w:t xml:space="preserve">Demandado: </w:t>
      </w:r>
      <w:r w:rsidRPr="000E6E4C">
        <w:rPr>
          <w:rFonts w:ascii="Arial" w:hAnsi="Arial" w:cs="Arial"/>
          <w:sz w:val="18"/>
          <w:szCs w:val="16"/>
        </w:rPr>
        <w:tab/>
        <w:t>Luz Adriana Calle Cardona</w:t>
      </w:r>
    </w:p>
    <w:p w14:paraId="0F50B604" w14:textId="77777777" w:rsidR="000E6E4C" w:rsidRPr="000E6E4C" w:rsidRDefault="000E6E4C" w:rsidP="000E6E4C">
      <w:pPr>
        <w:pStyle w:val="NormalWeb"/>
        <w:shd w:val="clear" w:color="auto" w:fill="FFFFFF" w:themeFill="background1"/>
        <w:tabs>
          <w:tab w:val="left" w:pos="1701"/>
        </w:tabs>
        <w:spacing w:before="0" w:beforeAutospacing="0" w:after="0" w:afterAutospacing="0"/>
        <w:ind w:firstLine="0"/>
        <w:jc w:val="both"/>
        <w:rPr>
          <w:rFonts w:ascii="Arial" w:hAnsi="Arial" w:cs="Arial"/>
          <w:sz w:val="18"/>
          <w:szCs w:val="16"/>
        </w:rPr>
      </w:pPr>
      <w:r w:rsidRPr="000E6E4C">
        <w:rPr>
          <w:rFonts w:ascii="Arial" w:hAnsi="Arial" w:cs="Arial"/>
          <w:sz w:val="18"/>
          <w:szCs w:val="16"/>
        </w:rPr>
        <w:t xml:space="preserve">Juzgado: </w:t>
      </w:r>
      <w:r w:rsidRPr="000E6E4C">
        <w:rPr>
          <w:rFonts w:ascii="Arial" w:hAnsi="Arial" w:cs="Arial"/>
          <w:sz w:val="18"/>
          <w:szCs w:val="16"/>
        </w:rPr>
        <w:tab/>
        <w:t>Primero Laboral del Circuito de Pereira</w:t>
      </w:r>
    </w:p>
    <w:p w14:paraId="0AAA2579" w14:textId="77777777" w:rsidR="000E6E4C" w:rsidRPr="000E6E4C" w:rsidRDefault="000E6E4C" w:rsidP="000E6E4C">
      <w:pPr>
        <w:spacing w:line="240" w:lineRule="auto"/>
        <w:ind w:firstLine="0"/>
        <w:rPr>
          <w:rFonts w:eastAsia="Times New Roman" w:cs="Arial"/>
          <w:sz w:val="20"/>
          <w:szCs w:val="20"/>
          <w:lang w:val="es-419" w:eastAsia="es-ES"/>
        </w:rPr>
      </w:pPr>
    </w:p>
    <w:p w14:paraId="3C6C53FF" w14:textId="66AD7573" w:rsidR="000E6E4C" w:rsidRPr="000E6E4C" w:rsidRDefault="000E6E4C" w:rsidP="000E6E4C">
      <w:pPr>
        <w:spacing w:line="240" w:lineRule="auto"/>
        <w:ind w:firstLine="0"/>
        <w:rPr>
          <w:rFonts w:eastAsia="Times New Roman" w:cs="Arial"/>
          <w:b/>
          <w:bCs/>
          <w:iCs/>
          <w:sz w:val="20"/>
          <w:szCs w:val="20"/>
          <w:lang w:val="es-419" w:eastAsia="fr-FR"/>
        </w:rPr>
      </w:pPr>
      <w:r w:rsidRPr="000E6E4C">
        <w:rPr>
          <w:rFonts w:eastAsia="Times New Roman" w:cs="Arial"/>
          <w:b/>
          <w:bCs/>
          <w:iCs/>
          <w:sz w:val="20"/>
          <w:szCs w:val="20"/>
          <w:u w:val="single"/>
          <w:lang w:val="es-419" w:eastAsia="fr-FR"/>
        </w:rPr>
        <w:t>TEMAS:</w:t>
      </w:r>
      <w:r w:rsidRPr="000E6E4C">
        <w:rPr>
          <w:rFonts w:eastAsia="Times New Roman" w:cs="Arial"/>
          <w:b/>
          <w:bCs/>
          <w:iCs/>
          <w:sz w:val="20"/>
          <w:szCs w:val="20"/>
          <w:lang w:val="es-419" w:eastAsia="fr-FR"/>
        </w:rPr>
        <w:tab/>
      </w:r>
      <w:r w:rsidR="00FD6633">
        <w:rPr>
          <w:rFonts w:eastAsia="Times New Roman" w:cs="Arial"/>
          <w:b/>
          <w:bCs/>
          <w:iCs/>
          <w:sz w:val="20"/>
          <w:szCs w:val="20"/>
          <w:lang w:val="es-419" w:eastAsia="fr-FR"/>
        </w:rPr>
        <w:t xml:space="preserve">NULIDAD PROCESAL / POR INDEBIDA NOTIFICACIÓN / TRASCENDENCIA DE ESTE ACTO </w:t>
      </w:r>
      <w:r w:rsidRPr="000E6E4C">
        <w:rPr>
          <w:rFonts w:eastAsia="Times New Roman" w:cs="Arial"/>
          <w:b/>
          <w:bCs/>
          <w:iCs/>
          <w:sz w:val="20"/>
          <w:szCs w:val="20"/>
          <w:lang w:val="es-419" w:eastAsia="fr-FR"/>
        </w:rPr>
        <w:t xml:space="preserve">/ </w:t>
      </w:r>
      <w:r w:rsidR="00FD6633">
        <w:rPr>
          <w:rFonts w:eastAsia="Times New Roman" w:cs="Arial"/>
          <w:b/>
          <w:bCs/>
          <w:iCs/>
          <w:sz w:val="20"/>
          <w:szCs w:val="20"/>
          <w:lang w:val="es-419" w:eastAsia="fr-FR"/>
        </w:rPr>
        <w:t xml:space="preserve">ERROR PROVENIENTE DEL JUZGADO / </w:t>
      </w:r>
      <w:r w:rsidR="00FD434A">
        <w:rPr>
          <w:rFonts w:eastAsia="Times New Roman" w:cs="Arial"/>
          <w:b/>
          <w:bCs/>
          <w:iCs/>
          <w:sz w:val="20"/>
          <w:szCs w:val="20"/>
          <w:lang w:val="es-419" w:eastAsia="fr-FR"/>
        </w:rPr>
        <w:t>FECHA DIFERENTE EN LETRAS Y NÚMEROS.</w:t>
      </w:r>
    </w:p>
    <w:p w14:paraId="22DF2A97" w14:textId="77777777" w:rsidR="000E6E4C" w:rsidRPr="000E6E4C" w:rsidRDefault="000E6E4C" w:rsidP="000E6E4C">
      <w:pPr>
        <w:spacing w:line="240" w:lineRule="auto"/>
        <w:ind w:firstLine="0"/>
        <w:rPr>
          <w:rFonts w:eastAsia="Times New Roman" w:cs="Arial"/>
          <w:sz w:val="20"/>
          <w:szCs w:val="20"/>
          <w:lang w:val="es-419" w:eastAsia="es-ES"/>
        </w:rPr>
      </w:pPr>
    </w:p>
    <w:p w14:paraId="24AF2396" w14:textId="77777777" w:rsidR="00FD6633" w:rsidRPr="00FD6633" w:rsidRDefault="00FD6633" w:rsidP="00FD6633">
      <w:pPr>
        <w:spacing w:line="240" w:lineRule="auto"/>
        <w:ind w:firstLine="0"/>
        <w:rPr>
          <w:rFonts w:eastAsia="Times New Roman" w:cs="Arial"/>
          <w:sz w:val="20"/>
          <w:szCs w:val="20"/>
          <w:lang w:val="es-419" w:eastAsia="es-ES"/>
        </w:rPr>
      </w:pPr>
      <w:r w:rsidRPr="00FD6633">
        <w:rPr>
          <w:rFonts w:eastAsia="Times New Roman" w:cs="Arial"/>
          <w:sz w:val="20"/>
          <w:szCs w:val="20"/>
          <w:lang w:val="es-419" w:eastAsia="es-ES"/>
        </w:rPr>
        <w:t>En el presente asunto, intenta la parte demandante que se revoque el auto que dispuso la nulidad de lo actuado a partir del acto de notificación del auto admisorio de la demanda y, en su defecto, que se tenga por no contestada porque, a su juicio, aplicando la prevalencia de la literalidad en la inserción de la fecha de notificación, debía de entenderse que dicho acto procesal se produjo el 25 de noviembre de 2019 y en ese orden, la contestación se produjo de manera extemporánea.</w:t>
      </w:r>
    </w:p>
    <w:p w14:paraId="6DF4E6B0" w14:textId="77777777" w:rsidR="00FD6633" w:rsidRPr="00FD6633" w:rsidRDefault="00FD6633" w:rsidP="00FD6633">
      <w:pPr>
        <w:spacing w:line="240" w:lineRule="auto"/>
        <w:ind w:firstLine="0"/>
        <w:rPr>
          <w:rFonts w:eastAsia="Times New Roman" w:cs="Arial"/>
          <w:sz w:val="20"/>
          <w:szCs w:val="20"/>
          <w:lang w:val="es-419" w:eastAsia="es-ES"/>
        </w:rPr>
      </w:pPr>
    </w:p>
    <w:p w14:paraId="6671AB3C" w14:textId="1AC4B3C8" w:rsidR="000E6E4C" w:rsidRPr="000E6E4C" w:rsidRDefault="00FD6633" w:rsidP="00FD6633">
      <w:pPr>
        <w:spacing w:line="240" w:lineRule="auto"/>
        <w:ind w:firstLine="0"/>
        <w:rPr>
          <w:rFonts w:eastAsia="Times New Roman" w:cs="Arial"/>
          <w:sz w:val="20"/>
          <w:szCs w:val="20"/>
          <w:lang w:val="es-419" w:eastAsia="es-ES"/>
        </w:rPr>
      </w:pPr>
      <w:r w:rsidRPr="00FD6633">
        <w:rPr>
          <w:rFonts w:eastAsia="Times New Roman" w:cs="Arial"/>
          <w:sz w:val="20"/>
          <w:szCs w:val="20"/>
          <w:lang w:val="es-419" w:eastAsia="es-ES"/>
        </w:rPr>
        <w:t>Para empezar, es de recalcar que el auto admisorio de la demanda corresponde a una de las providencias más importantes en el proceso judicial, ya que por medio de éste se da apertura al proceso y, el acto procesal de su notificación al demandado tiene como finalidad enterarlo que en su contra cursa un proceso y, con ello, dentro del término de traslado, ejerza su derecho de defensa.</w:t>
      </w:r>
      <w:r>
        <w:rPr>
          <w:rFonts w:eastAsia="Times New Roman" w:cs="Arial"/>
          <w:sz w:val="20"/>
          <w:szCs w:val="20"/>
          <w:lang w:val="es-419" w:eastAsia="es-ES"/>
        </w:rPr>
        <w:t xml:space="preserve"> (…)</w:t>
      </w:r>
    </w:p>
    <w:p w14:paraId="31C30878" w14:textId="77777777" w:rsidR="000E6E4C" w:rsidRPr="000E6E4C" w:rsidRDefault="000E6E4C" w:rsidP="000E6E4C">
      <w:pPr>
        <w:spacing w:line="240" w:lineRule="auto"/>
        <w:ind w:firstLine="0"/>
        <w:rPr>
          <w:rFonts w:eastAsia="Times New Roman" w:cs="Arial"/>
          <w:sz w:val="20"/>
          <w:szCs w:val="20"/>
          <w:lang w:val="es-419" w:eastAsia="es-ES"/>
        </w:rPr>
      </w:pPr>
    </w:p>
    <w:p w14:paraId="2228BE1C" w14:textId="7AF9A408" w:rsidR="000E6E4C" w:rsidRPr="000E6E4C" w:rsidRDefault="00FD6633" w:rsidP="000E6E4C">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FD6633">
        <w:rPr>
          <w:rFonts w:eastAsia="Times New Roman" w:cs="Arial"/>
          <w:sz w:val="20"/>
          <w:szCs w:val="20"/>
          <w:lang w:val="es-419" w:eastAsia="es-ES"/>
        </w:rPr>
        <w:t>el debido proceso y el derecho de defensa, en materia de notificaciones, se transgrede de manera directa cuando el error proviene de la misma célula judicial e incide directamente en la contabilización de los términos procesales – como aquí ocurre –</w:t>
      </w:r>
      <w:r>
        <w:rPr>
          <w:rFonts w:eastAsia="Times New Roman" w:cs="Arial"/>
          <w:sz w:val="20"/>
          <w:szCs w:val="20"/>
          <w:lang w:val="es-419" w:eastAsia="es-ES"/>
        </w:rPr>
        <w:t>…</w:t>
      </w:r>
    </w:p>
    <w:p w14:paraId="1011FBD6" w14:textId="77777777" w:rsidR="000E6E4C" w:rsidRDefault="000E6E4C" w:rsidP="000E6E4C">
      <w:pPr>
        <w:spacing w:line="240" w:lineRule="auto"/>
        <w:ind w:firstLine="0"/>
        <w:rPr>
          <w:rFonts w:eastAsia="Times New Roman" w:cs="Arial"/>
          <w:sz w:val="20"/>
          <w:szCs w:val="20"/>
          <w:lang w:val="es-419" w:eastAsia="es-ES"/>
        </w:rPr>
      </w:pPr>
    </w:p>
    <w:p w14:paraId="13A8879B" w14:textId="77777777" w:rsidR="00FD6633" w:rsidRPr="00FD6633" w:rsidRDefault="00FD6633" w:rsidP="00FD6633">
      <w:pPr>
        <w:spacing w:line="240" w:lineRule="auto"/>
        <w:ind w:firstLine="0"/>
        <w:rPr>
          <w:rFonts w:eastAsia="Times New Roman" w:cs="Arial"/>
          <w:sz w:val="20"/>
          <w:szCs w:val="20"/>
          <w:lang w:val="es-419" w:eastAsia="es-ES"/>
        </w:rPr>
      </w:pPr>
      <w:r w:rsidRPr="00FD6633">
        <w:rPr>
          <w:rFonts w:eastAsia="Times New Roman" w:cs="Arial"/>
          <w:sz w:val="20"/>
          <w:szCs w:val="20"/>
          <w:lang w:val="es-419" w:eastAsia="es-ES"/>
        </w:rPr>
        <w:t>Es tanta la importancia del acto de notificación del auto admisorio de la demanda que el artículo 133 del CGP preceptúa:</w:t>
      </w:r>
    </w:p>
    <w:p w14:paraId="4366FD35" w14:textId="77777777" w:rsidR="00FD6633" w:rsidRPr="00FD6633" w:rsidRDefault="00FD6633" w:rsidP="00FD6633">
      <w:pPr>
        <w:spacing w:line="240" w:lineRule="auto"/>
        <w:ind w:firstLine="0"/>
        <w:rPr>
          <w:rFonts w:eastAsia="Times New Roman" w:cs="Arial"/>
          <w:sz w:val="20"/>
          <w:szCs w:val="20"/>
          <w:lang w:val="es-419" w:eastAsia="es-ES"/>
        </w:rPr>
      </w:pPr>
    </w:p>
    <w:p w14:paraId="3C8BAF3D" w14:textId="21F21FBD" w:rsidR="00FD6633" w:rsidRPr="00FD6633" w:rsidRDefault="00FD6633" w:rsidP="00FD6633">
      <w:pPr>
        <w:spacing w:line="240" w:lineRule="auto"/>
        <w:ind w:firstLine="0"/>
        <w:rPr>
          <w:rFonts w:eastAsia="Times New Roman" w:cs="Arial"/>
          <w:sz w:val="20"/>
          <w:szCs w:val="20"/>
          <w:lang w:val="es-419" w:eastAsia="es-ES"/>
        </w:rPr>
      </w:pPr>
      <w:r w:rsidRPr="00FD6633">
        <w:rPr>
          <w:rFonts w:eastAsia="Times New Roman" w:cs="Arial"/>
          <w:sz w:val="20"/>
          <w:szCs w:val="20"/>
          <w:lang w:val="es-419" w:eastAsia="es-ES"/>
        </w:rPr>
        <w:t>“</w:t>
      </w:r>
      <w:r>
        <w:rPr>
          <w:rFonts w:eastAsia="Times New Roman" w:cs="Arial"/>
          <w:sz w:val="20"/>
          <w:szCs w:val="20"/>
          <w:lang w:val="es-419" w:eastAsia="es-ES"/>
        </w:rPr>
        <w:t>…</w:t>
      </w:r>
      <w:r w:rsidRPr="00FD6633">
        <w:rPr>
          <w:rFonts w:eastAsia="Times New Roman" w:cs="Arial"/>
          <w:sz w:val="20"/>
          <w:szCs w:val="20"/>
          <w:lang w:val="es-419" w:eastAsia="es-ES"/>
        </w:rPr>
        <w:t xml:space="preserve"> El proceso es nulo, en todo o en parte, sol</w:t>
      </w:r>
      <w:r>
        <w:rPr>
          <w:rFonts w:eastAsia="Times New Roman" w:cs="Arial"/>
          <w:sz w:val="20"/>
          <w:szCs w:val="20"/>
          <w:lang w:val="es-419" w:eastAsia="es-ES"/>
        </w:rPr>
        <w:t>amente en los siguientes casos: (…)</w:t>
      </w:r>
    </w:p>
    <w:p w14:paraId="55CE9B7D" w14:textId="77777777" w:rsidR="00FD6633" w:rsidRPr="00FD6633" w:rsidRDefault="00FD6633" w:rsidP="00FD6633">
      <w:pPr>
        <w:spacing w:line="240" w:lineRule="auto"/>
        <w:ind w:firstLine="0"/>
        <w:rPr>
          <w:rFonts w:eastAsia="Times New Roman" w:cs="Arial"/>
          <w:sz w:val="20"/>
          <w:szCs w:val="20"/>
          <w:lang w:val="es-419" w:eastAsia="es-ES"/>
        </w:rPr>
      </w:pPr>
    </w:p>
    <w:p w14:paraId="4594144A" w14:textId="0E493018" w:rsidR="00FD6633" w:rsidRDefault="00FD6633" w:rsidP="00FD6633">
      <w:pPr>
        <w:spacing w:line="240" w:lineRule="auto"/>
        <w:ind w:firstLine="0"/>
        <w:rPr>
          <w:rFonts w:eastAsia="Times New Roman" w:cs="Arial"/>
          <w:sz w:val="20"/>
          <w:szCs w:val="20"/>
          <w:lang w:val="es-419" w:eastAsia="es-ES"/>
        </w:rPr>
      </w:pPr>
      <w:r>
        <w:rPr>
          <w:rFonts w:eastAsia="Times New Roman" w:cs="Arial"/>
          <w:sz w:val="20"/>
          <w:szCs w:val="20"/>
          <w:lang w:val="es-419" w:eastAsia="es-ES"/>
        </w:rPr>
        <w:t>“</w:t>
      </w:r>
      <w:r w:rsidRPr="00FD6633">
        <w:rPr>
          <w:rFonts w:eastAsia="Times New Roman" w:cs="Arial"/>
          <w:sz w:val="20"/>
          <w:szCs w:val="20"/>
          <w:lang w:val="es-419" w:eastAsia="es-ES"/>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w:t>
      </w:r>
      <w:r>
        <w:rPr>
          <w:rFonts w:eastAsia="Times New Roman" w:cs="Arial"/>
          <w:sz w:val="20"/>
          <w:szCs w:val="20"/>
          <w:lang w:val="es-419" w:eastAsia="es-ES"/>
        </w:rPr>
        <w:t>…”</w:t>
      </w:r>
    </w:p>
    <w:p w14:paraId="5CDB3D30" w14:textId="77777777" w:rsidR="00FD6633" w:rsidRPr="000E6E4C" w:rsidRDefault="00FD6633" w:rsidP="000E6E4C">
      <w:pPr>
        <w:spacing w:line="240" w:lineRule="auto"/>
        <w:ind w:firstLine="0"/>
        <w:rPr>
          <w:rFonts w:eastAsia="Times New Roman" w:cs="Arial"/>
          <w:sz w:val="20"/>
          <w:szCs w:val="20"/>
          <w:lang w:val="es-419" w:eastAsia="es-ES"/>
        </w:rPr>
      </w:pPr>
    </w:p>
    <w:p w14:paraId="1CF6F50B" w14:textId="77777777" w:rsidR="000E6E4C" w:rsidRPr="000E6E4C" w:rsidRDefault="000E6E4C" w:rsidP="000E6E4C">
      <w:pPr>
        <w:spacing w:line="240" w:lineRule="auto"/>
        <w:ind w:firstLine="0"/>
        <w:rPr>
          <w:rFonts w:eastAsia="Times New Roman" w:cs="Arial"/>
          <w:sz w:val="20"/>
          <w:szCs w:val="20"/>
          <w:lang w:val="es-419" w:eastAsia="es-ES"/>
        </w:rPr>
      </w:pPr>
    </w:p>
    <w:p w14:paraId="643B32EC" w14:textId="77777777" w:rsidR="000E6E4C" w:rsidRPr="000E6E4C" w:rsidRDefault="000E6E4C" w:rsidP="000E6E4C">
      <w:pPr>
        <w:spacing w:line="240" w:lineRule="auto"/>
        <w:ind w:firstLine="0"/>
        <w:rPr>
          <w:rFonts w:eastAsia="Times New Roman" w:cs="Arial"/>
          <w:sz w:val="20"/>
          <w:szCs w:val="20"/>
          <w:lang w:val="es-ES" w:eastAsia="es-ES"/>
        </w:rPr>
      </w:pPr>
    </w:p>
    <w:p w14:paraId="0A551D03" w14:textId="77777777" w:rsidR="00E20C6F" w:rsidRPr="000E6E4C" w:rsidRDefault="00E20C6F" w:rsidP="000E6E4C">
      <w:pPr>
        <w:spacing w:line="276" w:lineRule="auto"/>
        <w:jc w:val="center"/>
        <w:rPr>
          <w:rFonts w:ascii="Tahoma" w:hAnsi="Tahoma" w:cs="Tahoma"/>
          <w:b/>
          <w:bCs/>
          <w:spacing w:val="-3"/>
          <w:kern w:val="2"/>
        </w:rPr>
      </w:pPr>
      <w:r w:rsidRPr="000E6E4C">
        <w:rPr>
          <w:rFonts w:ascii="Tahoma" w:hAnsi="Tahoma" w:cs="Tahoma"/>
          <w:b/>
          <w:bCs/>
          <w:spacing w:val="-3"/>
          <w:kern w:val="2"/>
        </w:rPr>
        <w:t>TRIBUNAL SUPERIOR DEL DISTRITO JUDICIAL DE PEREIRA</w:t>
      </w:r>
    </w:p>
    <w:p w14:paraId="7E46A49F" w14:textId="77777777" w:rsidR="00E20C6F" w:rsidRPr="000E6E4C" w:rsidRDefault="00E20C6F" w:rsidP="000E6E4C">
      <w:pPr>
        <w:spacing w:line="276" w:lineRule="auto"/>
        <w:jc w:val="center"/>
        <w:rPr>
          <w:rFonts w:ascii="Tahoma" w:hAnsi="Tahoma" w:cs="Tahoma"/>
          <w:b/>
          <w:bCs/>
          <w:spacing w:val="-3"/>
          <w:kern w:val="2"/>
        </w:rPr>
      </w:pPr>
      <w:r w:rsidRPr="000E6E4C">
        <w:rPr>
          <w:rFonts w:ascii="Tahoma" w:hAnsi="Tahoma" w:cs="Tahoma"/>
          <w:b/>
          <w:bCs/>
          <w:spacing w:val="-3"/>
          <w:kern w:val="2"/>
        </w:rPr>
        <w:t>SALA PRIMERA DE DECISION LABORAL</w:t>
      </w:r>
    </w:p>
    <w:p w14:paraId="7726723A" w14:textId="77777777" w:rsidR="00E20C6F" w:rsidRPr="000E6E4C" w:rsidRDefault="00E20C6F" w:rsidP="000E6E4C">
      <w:pPr>
        <w:spacing w:line="276" w:lineRule="auto"/>
        <w:jc w:val="center"/>
        <w:rPr>
          <w:rFonts w:ascii="Tahoma" w:hAnsi="Tahoma" w:cs="Tahoma"/>
          <w:spacing w:val="-3"/>
          <w:kern w:val="2"/>
        </w:rPr>
      </w:pPr>
    </w:p>
    <w:p w14:paraId="25B533E8" w14:textId="77777777" w:rsidR="00E20C6F" w:rsidRPr="000E6E4C" w:rsidRDefault="00E20C6F" w:rsidP="000E6E4C">
      <w:pPr>
        <w:spacing w:line="276" w:lineRule="auto"/>
        <w:jc w:val="center"/>
        <w:rPr>
          <w:rFonts w:ascii="Tahoma" w:hAnsi="Tahoma" w:cs="Tahoma"/>
          <w:b/>
          <w:bCs/>
          <w:spacing w:val="-3"/>
          <w:kern w:val="2"/>
        </w:rPr>
      </w:pPr>
      <w:r w:rsidRPr="000E6E4C">
        <w:rPr>
          <w:rFonts w:ascii="Tahoma" w:hAnsi="Tahoma" w:cs="Tahoma"/>
          <w:spacing w:val="-3"/>
          <w:kern w:val="2"/>
        </w:rPr>
        <w:t>Magistrada Ponente: </w:t>
      </w:r>
      <w:r w:rsidRPr="000E6E4C">
        <w:rPr>
          <w:rFonts w:ascii="Tahoma" w:hAnsi="Tahoma" w:cs="Tahoma"/>
          <w:b/>
          <w:bCs/>
          <w:spacing w:val="-3"/>
          <w:kern w:val="2"/>
        </w:rPr>
        <w:t>Ana Lucía Caicedo Calderón</w:t>
      </w:r>
    </w:p>
    <w:p w14:paraId="33950713" w14:textId="77777777" w:rsidR="00E20C6F" w:rsidRPr="000E6E4C" w:rsidRDefault="00E20C6F" w:rsidP="000E6E4C">
      <w:pPr>
        <w:spacing w:line="276" w:lineRule="auto"/>
        <w:jc w:val="center"/>
        <w:rPr>
          <w:rFonts w:ascii="Tahoma" w:hAnsi="Tahoma" w:cs="Tahoma"/>
          <w:b/>
          <w:bCs/>
          <w:spacing w:val="-3"/>
          <w:kern w:val="2"/>
        </w:rPr>
      </w:pPr>
    </w:p>
    <w:p w14:paraId="032BB710" w14:textId="7018BA24" w:rsidR="00E20C6F" w:rsidRPr="000E6E4C" w:rsidRDefault="00E20C6F" w:rsidP="000E6E4C">
      <w:pPr>
        <w:spacing w:line="276" w:lineRule="auto"/>
        <w:jc w:val="center"/>
        <w:rPr>
          <w:rFonts w:ascii="Tahoma" w:hAnsi="Tahoma" w:cs="Tahoma"/>
          <w:spacing w:val="-3"/>
          <w:kern w:val="2"/>
        </w:rPr>
      </w:pPr>
      <w:bookmarkStart w:id="0" w:name="_Hlk56062729"/>
      <w:r w:rsidRPr="000E6E4C">
        <w:rPr>
          <w:rFonts w:ascii="Tahoma" w:hAnsi="Tahoma" w:cs="Tahoma"/>
          <w:spacing w:val="-3"/>
          <w:kern w:val="2"/>
        </w:rPr>
        <w:t xml:space="preserve">Pereira, Risaralda, </w:t>
      </w:r>
      <w:r w:rsidR="002B6184" w:rsidRPr="000E6E4C">
        <w:rPr>
          <w:rFonts w:ascii="Tahoma" w:hAnsi="Tahoma" w:cs="Tahoma"/>
          <w:spacing w:val="-3"/>
          <w:kern w:val="2"/>
        </w:rPr>
        <w:t>noviembre</w:t>
      </w:r>
      <w:r w:rsidRPr="000E6E4C">
        <w:rPr>
          <w:rFonts w:ascii="Tahoma" w:hAnsi="Tahoma" w:cs="Tahoma"/>
          <w:spacing w:val="-3"/>
          <w:kern w:val="2"/>
        </w:rPr>
        <w:t xml:space="preserve"> </w:t>
      </w:r>
      <w:r w:rsidR="00033F7A" w:rsidRPr="000E6E4C">
        <w:rPr>
          <w:rFonts w:ascii="Tahoma" w:hAnsi="Tahoma" w:cs="Tahoma"/>
          <w:spacing w:val="-3"/>
          <w:kern w:val="2"/>
        </w:rPr>
        <w:t xml:space="preserve">veintitrés </w:t>
      </w:r>
      <w:r w:rsidRPr="000E6E4C">
        <w:rPr>
          <w:rFonts w:ascii="Tahoma" w:hAnsi="Tahoma" w:cs="Tahoma"/>
          <w:spacing w:val="-3"/>
          <w:kern w:val="2"/>
        </w:rPr>
        <w:t>(</w:t>
      </w:r>
      <w:r w:rsidR="00033F7A" w:rsidRPr="000E6E4C">
        <w:rPr>
          <w:rFonts w:ascii="Tahoma" w:hAnsi="Tahoma" w:cs="Tahoma"/>
          <w:spacing w:val="-3"/>
          <w:kern w:val="2"/>
        </w:rPr>
        <w:t>2</w:t>
      </w:r>
      <w:r w:rsidRPr="000E6E4C">
        <w:rPr>
          <w:rFonts w:ascii="Tahoma" w:hAnsi="Tahoma" w:cs="Tahoma"/>
          <w:spacing w:val="-3"/>
          <w:kern w:val="2"/>
        </w:rPr>
        <w:t>3</w:t>
      </w:r>
      <w:proofErr w:type="gramStart"/>
      <w:r w:rsidRPr="000E6E4C">
        <w:rPr>
          <w:rFonts w:ascii="Tahoma" w:hAnsi="Tahoma" w:cs="Tahoma"/>
          <w:spacing w:val="-3"/>
          <w:kern w:val="2"/>
        </w:rPr>
        <w:t>) </w:t>
      </w:r>
      <w:proofErr w:type="gramEnd"/>
      <w:r w:rsidRPr="000E6E4C">
        <w:rPr>
          <w:rFonts w:ascii="Tahoma" w:hAnsi="Tahoma" w:cs="Tahoma"/>
          <w:spacing w:val="-3"/>
          <w:kern w:val="2"/>
        </w:rPr>
        <w:t>de dos mil veinte (2020) </w:t>
      </w:r>
    </w:p>
    <w:p w14:paraId="3F1A8BE6" w14:textId="77777777" w:rsidR="00E20C6F" w:rsidRPr="000E6E4C" w:rsidRDefault="00E20C6F" w:rsidP="000E6E4C">
      <w:pPr>
        <w:spacing w:line="276" w:lineRule="auto"/>
        <w:jc w:val="center"/>
        <w:rPr>
          <w:rFonts w:ascii="Tahoma" w:hAnsi="Tahoma" w:cs="Tahoma"/>
          <w:spacing w:val="-3"/>
          <w:kern w:val="2"/>
        </w:rPr>
      </w:pPr>
    </w:p>
    <w:p w14:paraId="7875BB0A" w14:textId="3DAA57CB" w:rsidR="00E20C6F" w:rsidRPr="000E6E4C" w:rsidRDefault="00E20C6F" w:rsidP="000E6E4C">
      <w:pPr>
        <w:spacing w:line="276" w:lineRule="auto"/>
        <w:jc w:val="center"/>
        <w:rPr>
          <w:rFonts w:ascii="Tahoma" w:hAnsi="Tahoma" w:cs="Tahoma"/>
          <w:spacing w:val="-3"/>
          <w:kern w:val="2"/>
        </w:rPr>
      </w:pPr>
      <w:r w:rsidRPr="000E6E4C">
        <w:rPr>
          <w:rFonts w:ascii="Tahoma" w:hAnsi="Tahoma" w:cs="Tahoma"/>
          <w:spacing w:val="-3"/>
          <w:kern w:val="2"/>
        </w:rPr>
        <w:t xml:space="preserve">Acta No. ___ </w:t>
      </w:r>
      <w:proofErr w:type="gramStart"/>
      <w:r w:rsidRPr="000E6E4C">
        <w:rPr>
          <w:rFonts w:ascii="Tahoma" w:hAnsi="Tahoma" w:cs="Tahoma"/>
          <w:spacing w:val="-3"/>
          <w:kern w:val="2"/>
        </w:rPr>
        <w:t>del</w:t>
      </w:r>
      <w:proofErr w:type="gramEnd"/>
      <w:r w:rsidRPr="000E6E4C">
        <w:rPr>
          <w:rFonts w:ascii="Tahoma" w:hAnsi="Tahoma" w:cs="Tahoma"/>
          <w:spacing w:val="-3"/>
          <w:kern w:val="2"/>
        </w:rPr>
        <w:t xml:space="preserve"> 1</w:t>
      </w:r>
      <w:r w:rsidR="00033F7A" w:rsidRPr="000E6E4C">
        <w:rPr>
          <w:rFonts w:ascii="Tahoma" w:hAnsi="Tahoma" w:cs="Tahoma"/>
          <w:spacing w:val="-3"/>
          <w:kern w:val="2"/>
        </w:rPr>
        <w:t>9</w:t>
      </w:r>
      <w:r w:rsidRPr="000E6E4C">
        <w:rPr>
          <w:rFonts w:ascii="Tahoma" w:hAnsi="Tahoma" w:cs="Tahoma"/>
          <w:spacing w:val="-3"/>
          <w:kern w:val="2"/>
        </w:rPr>
        <w:t xml:space="preserve"> de noviembre de 2020</w:t>
      </w:r>
    </w:p>
    <w:bookmarkEnd w:id="0"/>
    <w:p w14:paraId="57956039" w14:textId="77777777" w:rsidR="00E20C6F" w:rsidRPr="000E6E4C" w:rsidRDefault="00E20C6F" w:rsidP="000E6E4C">
      <w:pPr>
        <w:spacing w:line="276" w:lineRule="auto"/>
        <w:jc w:val="center"/>
        <w:rPr>
          <w:rFonts w:ascii="Tahoma" w:hAnsi="Tahoma" w:cs="Tahoma"/>
          <w:spacing w:val="-3"/>
          <w:kern w:val="2"/>
        </w:rPr>
      </w:pPr>
    </w:p>
    <w:p w14:paraId="4D03E838" w14:textId="1711D07B" w:rsidR="00E20C6F" w:rsidRPr="000E6E4C" w:rsidRDefault="00E20C6F" w:rsidP="000E6E4C">
      <w:pPr>
        <w:spacing w:line="276" w:lineRule="auto"/>
        <w:rPr>
          <w:rFonts w:ascii="Tahoma" w:hAnsi="Tahoma" w:cs="Tahoma"/>
          <w:b/>
          <w:bCs/>
          <w:spacing w:val="-3"/>
          <w:kern w:val="2"/>
        </w:rPr>
      </w:pPr>
      <w:r w:rsidRPr="000E6E4C">
        <w:rPr>
          <w:rFonts w:ascii="Tahoma" w:hAnsi="Tahoma" w:cs="Tahoma"/>
          <w:spacing w:val="-3"/>
          <w:kern w:val="2"/>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0E6E4C">
        <w:rPr>
          <w:rFonts w:ascii="Tahoma" w:hAnsi="Tahoma" w:cs="Tahoma"/>
          <w:b/>
          <w:bCs/>
          <w:spacing w:val="-3"/>
          <w:kern w:val="2"/>
        </w:rPr>
        <w:t>ANA LUCÍA CAICEDO CALDERÓN</w:t>
      </w:r>
      <w:r w:rsidRPr="000E6E4C">
        <w:rPr>
          <w:rFonts w:ascii="Tahoma" w:hAnsi="Tahoma" w:cs="Tahoma"/>
          <w:spacing w:val="-3"/>
          <w:kern w:val="2"/>
        </w:rPr>
        <w:t xml:space="preserve"> como Ponente, </w:t>
      </w:r>
      <w:r w:rsidRPr="000E6E4C">
        <w:rPr>
          <w:rFonts w:ascii="Tahoma" w:hAnsi="Tahoma" w:cs="Tahoma"/>
          <w:b/>
          <w:bCs/>
          <w:spacing w:val="-3"/>
          <w:kern w:val="2"/>
        </w:rPr>
        <w:t>OLGA LUCÍA HOYOS SEPÚLVEDA</w:t>
      </w:r>
      <w:r w:rsidRPr="000E6E4C">
        <w:rPr>
          <w:rFonts w:ascii="Tahoma" w:hAnsi="Tahoma" w:cs="Tahoma"/>
          <w:spacing w:val="-3"/>
          <w:kern w:val="2"/>
        </w:rPr>
        <w:t xml:space="preserve"> y el Magistrado </w:t>
      </w:r>
      <w:r w:rsidRPr="000E6E4C">
        <w:rPr>
          <w:rFonts w:ascii="Tahoma" w:hAnsi="Tahoma" w:cs="Tahoma"/>
          <w:b/>
          <w:bCs/>
          <w:spacing w:val="-3"/>
          <w:kern w:val="2"/>
        </w:rPr>
        <w:t>JULIO CÉSAR SALAZAR MUÑOZ</w:t>
      </w:r>
      <w:r w:rsidRPr="000E6E4C">
        <w:rPr>
          <w:rFonts w:ascii="Tahoma" w:hAnsi="Tahoma" w:cs="Tahoma"/>
          <w:spacing w:val="-3"/>
          <w:kern w:val="2"/>
        </w:rPr>
        <w:t xml:space="preserve">, procede a proferir decisión escrita dentro del proceso ordinario laboral instaurado por </w:t>
      </w:r>
      <w:r w:rsidRPr="000E6E4C">
        <w:rPr>
          <w:rFonts w:ascii="Tahoma" w:hAnsi="Tahoma" w:cs="Tahoma"/>
          <w:b/>
          <w:bCs/>
          <w:spacing w:val="-3"/>
          <w:kern w:val="2"/>
        </w:rPr>
        <w:t xml:space="preserve">Gustavo Adolfo Arias Bedoya </w:t>
      </w:r>
      <w:r w:rsidRPr="000E6E4C">
        <w:rPr>
          <w:rFonts w:ascii="Tahoma" w:hAnsi="Tahoma" w:cs="Tahoma"/>
          <w:spacing w:val="-3"/>
          <w:kern w:val="2"/>
        </w:rPr>
        <w:t xml:space="preserve">en contra de </w:t>
      </w:r>
      <w:r w:rsidRPr="000E6E4C">
        <w:rPr>
          <w:rFonts w:ascii="Tahoma" w:hAnsi="Tahoma" w:cs="Tahoma"/>
          <w:b/>
          <w:bCs/>
          <w:spacing w:val="-3"/>
          <w:kern w:val="2"/>
        </w:rPr>
        <w:t>Luz Adriana Calle Cardona.</w:t>
      </w:r>
    </w:p>
    <w:p w14:paraId="5B6FDD6E" w14:textId="77777777" w:rsidR="00E20C6F" w:rsidRPr="000E6E4C" w:rsidRDefault="00E20C6F" w:rsidP="000E6E4C">
      <w:pPr>
        <w:spacing w:line="276" w:lineRule="auto"/>
        <w:rPr>
          <w:rFonts w:ascii="Tahoma" w:hAnsi="Tahoma" w:cs="Tahoma"/>
          <w:spacing w:val="-3"/>
          <w:kern w:val="2"/>
        </w:rPr>
      </w:pPr>
    </w:p>
    <w:p w14:paraId="6D8EBBA5" w14:textId="77777777" w:rsidR="00E20C6F" w:rsidRPr="000E6E4C" w:rsidRDefault="00E20C6F" w:rsidP="000E6E4C">
      <w:pPr>
        <w:spacing w:line="276" w:lineRule="auto"/>
        <w:jc w:val="center"/>
        <w:rPr>
          <w:rFonts w:ascii="Tahoma" w:hAnsi="Tahoma" w:cs="Tahoma"/>
          <w:b/>
          <w:bCs/>
          <w:spacing w:val="-3"/>
          <w:kern w:val="2"/>
        </w:rPr>
      </w:pPr>
      <w:r w:rsidRPr="000E6E4C">
        <w:rPr>
          <w:rFonts w:ascii="Tahoma" w:hAnsi="Tahoma" w:cs="Tahoma"/>
          <w:b/>
          <w:bCs/>
          <w:spacing w:val="-3"/>
          <w:kern w:val="2"/>
        </w:rPr>
        <w:t>PUNTO A TRATAR</w:t>
      </w:r>
    </w:p>
    <w:p w14:paraId="17C19E5B" w14:textId="77777777" w:rsidR="00E20C6F" w:rsidRPr="000E6E4C" w:rsidRDefault="00E20C6F" w:rsidP="000E6E4C">
      <w:pPr>
        <w:spacing w:line="276" w:lineRule="auto"/>
        <w:rPr>
          <w:rFonts w:ascii="Tahoma" w:hAnsi="Tahoma" w:cs="Tahoma"/>
          <w:spacing w:val="-3"/>
          <w:kern w:val="2"/>
        </w:rPr>
      </w:pPr>
    </w:p>
    <w:p w14:paraId="79E4D4CF" w14:textId="0980DB20" w:rsidR="00E20C6F" w:rsidRPr="000E6E4C" w:rsidRDefault="00E20C6F" w:rsidP="000E6E4C">
      <w:pPr>
        <w:spacing w:line="276" w:lineRule="auto"/>
        <w:rPr>
          <w:rFonts w:ascii="Tahoma" w:hAnsi="Tahoma" w:cs="Tahoma"/>
          <w:spacing w:val="-3"/>
          <w:kern w:val="2"/>
        </w:rPr>
      </w:pPr>
      <w:r w:rsidRPr="000E6E4C">
        <w:rPr>
          <w:rFonts w:ascii="Tahoma" w:hAnsi="Tahoma" w:cs="Tahoma"/>
          <w:spacing w:val="-3"/>
          <w:kern w:val="2"/>
        </w:rPr>
        <w:t xml:space="preserve">Por medio de la presente providencia se entra a desatar el recurso de apelación interpuesto por la parte ejecutante contra el auto proferido el </w:t>
      </w:r>
      <w:r w:rsidRPr="000E6E4C">
        <w:rPr>
          <w:rFonts w:ascii="Tahoma" w:hAnsi="Tahoma" w:cs="Tahoma"/>
          <w:b/>
          <w:bCs/>
          <w:spacing w:val="-3"/>
          <w:kern w:val="2"/>
        </w:rPr>
        <w:t>24 de febrero de 2020</w:t>
      </w:r>
      <w:r w:rsidRPr="000E6E4C">
        <w:rPr>
          <w:rFonts w:ascii="Tahoma" w:hAnsi="Tahoma" w:cs="Tahoma"/>
          <w:spacing w:val="-3"/>
          <w:kern w:val="2"/>
        </w:rPr>
        <w:t xml:space="preserve"> contra el auto que declaró la nulidad </w:t>
      </w:r>
      <w:r w:rsidR="007D354F" w:rsidRPr="000E6E4C">
        <w:rPr>
          <w:rFonts w:ascii="Tahoma" w:hAnsi="Tahoma" w:cs="Tahoma"/>
          <w:spacing w:val="-3"/>
          <w:kern w:val="2"/>
        </w:rPr>
        <w:t xml:space="preserve">de lo actuado a partir de la </w:t>
      </w:r>
      <w:r w:rsidRPr="000E6E4C">
        <w:rPr>
          <w:rFonts w:ascii="Tahoma" w:hAnsi="Tahoma" w:cs="Tahoma"/>
          <w:spacing w:val="-3"/>
          <w:kern w:val="2"/>
        </w:rPr>
        <w:t>notificación del auto admisorio de la demanda. En sesión previa que se hizo constar en la mencionada acta, la Sala discutió y aprobó el proyecto que presentó la Magistrada Ponente, el cual alude al siguiente auto interlocutorio.</w:t>
      </w:r>
    </w:p>
    <w:p w14:paraId="5AC4FB8A" w14:textId="77777777" w:rsidR="00E20C6F" w:rsidRPr="000E6E4C" w:rsidRDefault="00E20C6F" w:rsidP="000E6E4C">
      <w:pPr>
        <w:spacing w:line="276" w:lineRule="auto"/>
        <w:rPr>
          <w:rFonts w:ascii="Tahoma" w:hAnsi="Tahoma" w:cs="Tahoma"/>
          <w:spacing w:val="-3"/>
          <w:kern w:val="2"/>
        </w:rPr>
      </w:pPr>
    </w:p>
    <w:p w14:paraId="51F2BE2A" w14:textId="77777777" w:rsidR="00E20C6F" w:rsidRPr="000E6E4C" w:rsidRDefault="00E20C6F" w:rsidP="000E6E4C">
      <w:pPr>
        <w:pStyle w:val="Prrafodelista"/>
        <w:numPr>
          <w:ilvl w:val="0"/>
          <w:numId w:val="1"/>
        </w:numPr>
        <w:spacing w:line="276" w:lineRule="auto"/>
        <w:jc w:val="center"/>
        <w:rPr>
          <w:rFonts w:ascii="Tahoma" w:hAnsi="Tahoma" w:cs="Tahoma"/>
          <w:b/>
          <w:bCs/>
          <w:spacing w:val="-3"/>
          <w:kern w:val="2"/>
        </w:rPr>
      </w:pPr>
      <w:r w:rsidRPr="000E6E4C">
        <w:rPr>
          <w:rFonts w:ascii="Tahoma" w:hAnsi="Tahoma" w:cs="Tahoma"/>
          <w:b/>
          <w:bCs/>
          <w:spacing w:val="-3"/>
          <w:kern w:val="2"/>
        </w:rPr>
        <w:t>Antecedentes procesales</w:t>
      </w:r>
    </w:p>
    <w:p w14:paraId="395ACCD0" w14:textId="77777777" w:rsidR="00E20C6F" w:rsidRPr="000E6E4C" w:rsidRDefault="00E20C6F" w:rsidP="000E6E4C">
      <w:pPr>
        <w:spacing w:line="276" w:lineRule="auto"/>
        <w:rPr>
          <w:rFonts w:ascii="Tahoma" w:hAnsi="Tahoma" w:cs="Tahoma"/>
          <w:spacing w:val="-3"/>
          <w:kern w:val="2"/>
        </w:rPr>
      </w:pPr>
    </w:p>
    <w:p w14:paraId="6B70206D" w14:textId="4320EA26" w:rsidR="00E20C6F" w:rsidRPr="000E6E4C" w:rsidRDefault="00E20C6F" w:rsidP="000E6E4C">
      <w:pPr>
        <w:spacing w:line="276" w:lineRule="auto"/>
        <w:rPr>
          <w:rFonts w:ascii="Tahoma" w:hAnsi="Tahoma" w:cs="Tahoma"/>
          <w:spacing w:val="-3"/>
          <w:kern w:val="2"/>
        </w:rPr>
      </w:pPr>
      <w:r w:rsidRPr="000E6E4C">
        <w:rPr>
          <w:rFonts w:ascii="Tahoma" w:hAnsi="Tahoma" w:cs="Tahoma"/>
          <w:spacing w:val="-3"/>
          <w:kern w:val="2"/>
        </w:rPr>
        <w:t xml:space="preserve">En lo que interesa al recurso </w:t>
      </w:r>
      <w:r w:rsidR="00033F7A" w:rsidRPr="000E6E4C">
        <w:rPr>
          <w:rFonts w:ascii="Tahoma" w:hAnsi="Tahoma" w:cs="Tahoma"/>
          <w:spacing w:val="-3"/>
          <w:kern w:val="2"/>
        </w:rPr>
        <w:t xml:space="preserve">de </w:t>
      </w:r>
      <w:r w:rsidRPr="000E6E4C">
        <w:rPr>
          <w:rFonts w:ascii="Tahoma" w:hAnsi="Tahoma" w:cs="Tahoma"/>
          <w:spacing w:val="-3"/>
          <w:kern w:val="2"/>
        </w:rPr>
        <w:t xml:space="preserve">apelación, la acción se inició en contra de </w:t>
      </w:r>
      <w:r w:rsidR="007D354F" w:rsidRPr="000E6E4C">
        <w:rPr>
          <w:rFonts w:ascii="Tahoma" w:hAnsi="Tahoma" w:cs="Tahoma"/>
          <w:spacing w:val="-3"/>
          <w:kern w:val="2"/>
        </w:rPr>
        <w:t>la Sra. Luz Adriana Calle Bedoya como propietaria del restaurante Piura Gourmet Pereira con el fin de que se declare la existencia de un contrato de trabajo entre el 24 de octubre de 2013 y el 17 de octubre de 2017 y, en consecuencia, se condene al pago de prestaciones y demás acreencias</w:t>
      </w:r>
      <w:r w:rsidR="00806FE7" w:rsidRPr="000E6E4C">
        <w:rPr>
          <w:rFonts w:ascii="Tahoma" w:hAnsi="Tahoma" w:cs="Tahoma"/>
          <w:spacing w:val="-3"/>
          <w:kern w:val="2"/>
        </w:rPr>
        <w:t xml:space="preserve"> de carácter laboral.</w:t>
      </w:r>
    </w:p>
    <w:p w14:paraId="7DB0B49D" w14:textId="7F0DE53D" w:rsidR="007D354F" w:rsidRPr="000E6E4C" w:rsidRDefault="007D354F" w:rsidP="000E6E4C">
      <w:pPr>
        <w:spacing w:line="276" w:lineRule="auto"/>
        <w:rPr>
          <w:rFonts w:ascii="Tahoma" w:hAnsi="Tahoma" w:cs="Tahoma"/>
          <w:spacing w:val="-3"/>
          <w:kern w:val="2"/>
        </w:rPr>
      </w:pPr>
    </w:p>
    <w:p w14:paraId="3AEA69F8" w14:textId="2A4D7FCC" w:rsidR="007D354F" w:rsidRPr="000E6E4C" w:rsidRDefault="007D354F" w:rsidP="000E6E4C">
      <w:pPr>
        <w:spacing w:line="276" w:lineRule="auto"/>
        <w:rPr>
          <w:rFonts w:ascii="Tahoma" w:hAnsi="Tahoma" w:cs="Tahoma"/>
          <w:spacing w:val="-3"/>
          <w:kern w:val="2"/>
        </w:rPr>
      </w:pPr>
      <w:r w:rsidRPr="000E6E4C">
        <w:rPr>
          <w:rFonts w:ascii="Tahoma" w:hAnsi="Tahoma" w:cs="Tahoma"/>
          <w:spacing w:val="-3"/>
          <w:kern w:val="2"/>
        </w:rPr>
        <w:t>Admitida la demanda por auto del 7 de noviembre de 2019</w:t>
      </w:r>
      <w:r w:rsidRPr="000E6E4C">
        <w:rPr>
          <w:rStyle w:val="Refdenotaalpie"/>
          <w:rFonts w:ascii="Tahoma" w:hAnsi="Tahoma" w:cs="Tahoma"/>
          <w:spacing w:val="-3"/>
          <w:kern w:val="2"/>
        </w:rPr>
        <w:footnoteReference w:id="1"/>
      </w:r>
      <w:r w:rsidRPr="000E6E4C">
        <w:rPr>
          <w:rFonts w:ascii="Tahoma" w:hAnsi="Tahoma" w:cs="Tahoma"/>
          <w:spacing w:val="-3"/>
          <w:kern w:val="2"/>
        </w:rPr>
        <w:t>, le fue notificada a la pasiva mediante acta de notificación personal, haciéndosele saber que contaba con un término de diez (10) días hábiles siguientes para dar respuesta, presentar pruebas y ejercer su derecho de defensa</w:t>
      </w:r>
      <w:r w:rsidRPr="000E6E4C">
        <w:rPr>
          <w:rStyle w:val="Refdenotaalpie"/>
          <w:rFonts w:ascii="Tahoma" w:hAnsi="Tahoma" w:cs="Tahoma"/>
          <w:spacing w:val="-3"/>
          <w:kern w:val="2"/>
        </w:rPr>
        <w:footnoteReference w:id="2"/>
      </w:r>
      <w:r w:rsidRPr="000E6E4C">
        <w:rPr>
          <w:rFonts w:ascii="Tahoma" w:hAnsi="Tahoma" w:cs="Tahoma"/>
          <w:spacing w:val="-3"/>
          <w:kern w:val="2"/>
        </w:rPr>
        <w:t>.</w:t>
      </w:r>
    </w:p>
    <w:p w14:paraId="5F192C9C" w14:textId="63D14352" w:rsidR="007D354F" w:rsidRPr="000E6E4C" w:rsidRDefault="007D354F" w:rsidP="000E6E4C">
      <w:pPr>
        <w:spacing w:line="276" w:lineRule="auto"/>
        <w:rPr>
          <w:rFonts w:ascii="Tahoma" w:hAnsi="Tahoma" w:cs="Tahoma"/>
          <w:spacing w:val="-3"/>
          <w:kern w:val="2"/>
        </w:rPr>
      </w:pPr>
    </w:p>
    <w:p w14:paraId="6E109B25" w14:textId="620E16CC" w:rsidR="007D354F" w:rsidRPr="000E6E4C" w:rsidRDefault="007D354F" w:rsidP="000E6E4C">
      <w:pPr>
        <w:spacing w:line="276" w:lineRule="auto"/>
        <w:rPr>
          <w:rFonts w:ascii="Tahoma" w:hAnsi="Tahoma" w:cs="Tahoma"/>
          <w:spacing w:val="-3"/>
          <w:kern w:val="2"/>
        </w:rPr>
      </w:pPr>
      <w:r w:rsidRPr="000E6E4C">
        <w:rPr>
          <w:rFonts w:ascii="Tahoma" w:hAnsi="Tahoma" w:cs="Tahoma"/>
          <w:spacing w:val="-3"/>
          <w:kern w:val="2"/>
        </w:rPr>
        <w:t>La demandada, dio respuesta a la demanda mediante memorial radicado el 10 de diciembre de 2019</w:t>
      </w:r>
      <w:r w:rsidRPr="000E6E4C">
        <w:rPr>
          <w:rStyle w:val="Refdenotaalpie"/>
          <w:rFonts w:ascii="Tahoma" w:hAnsi="Tahoma" w:cs="Tahoma"/>
          <w:spacing w:val="-3"/>
          <w:kern w:val="2"/>
        </w:rPr>
        <w:footnoteReference w:id="3"/>
      </w:r>
      <w:r w:rsidR="00247920" w:rsidRPr="000E6E4C">
        <w:rPr>
          <w:rFonts w:ascii="Tahoma" w:hAnsi="Tahoma" w:cs="Tahoma"/>
          <w:spacing w:val="-3"/>
          <w:kern w:val="2"/>
        </w:rPr>
        <w:t>.</w:t>
      </w:r>
    </w:p>
    <w:p w14:paraId="518D7C3B" w14:textId="3BE3C165" w:rsidR="00247920" w:rsidRPr="000E6E4C" w:rsidRDefault="00247920" w:rsidP="000E6E4C">
      <w:pPr>
        <w:spacing w:line="276" w:lineRule="auto"/>
        <w:rPr>
          <w:rFonts w:ascii="Tahoma" w:hAnsi="Tahoma" w:cs="Tahoma"/>
          <w:spacing w:val="-3"/>
          <w:kern w:val="2"/>
        </w:rPr>
      </w:pPr>
    </w:p>
    <w:p w14:paraId="53205F41" w14:textId="64F9703B" w:rsidR="007D354F" w:rsidRPr="000E6E4C" w:rsidRDefault="00247920" w:rsidP="000E6E4C">
      <w:pPr>
        <w:spacing w:line="276" w:lineRule="auto"/>
        <w:rPr>
          <w:rFonts w:ascii="Tahoma" w:hAnsi="Tahoma" w:cs="Tahoma"/>
          <w:spacing w:val="-3"/>
          <w:kern w:val="2"/>
        </w:rPr>
      </w:pPr>
      <w:r w:rsidRPr="000E6E4C">
        <w:rPr>
          <w:rFonts w:ascii="Tahoma" w:hAnsi="Tahoma" w:cs="Tahoma"/>
          <w:spacing w:val="-3"/>
          <w:kern w:val="2"/>
        </w:rPr>
        <w:t>El Juzgado mediante auto del 24 de febrero de 2020</w:t>
      </w:r>
      <w:r w:rsidRPr="000E6E4C">
        <w:rPr>
          <w:rStyle w:val="Refdenotaalpie"/>
          <w:rFonts w:ascii="Tahoma" w:hAnsi="Tahoma" w:cs="Tahoma"/>
          <w:spacing w:val="-3"/>
          <w:kern w:val="2"/>
        </w:rPr>
        <w:footnoteReference w:id="4"/>
      </w:r>
      <w:r w:rsidRPr="000E6E4C">
        <w:rPr>
          <w:rFonts w:ascii="Tahoma" w:hAnsi="Tahoma" w:cs="Tahoma"/>
          <w:spacing w:val="-3"/>
          <w:kern w:val="2"/>
        </w:rPr>
        <w:t>, dispuso la nulidad de lo actuado por indebida notificación (Art. 133.8) al haberse incurrido en error por parte de dicha célula judicial al indicar en letras una fecha diferente (veinticinco) a la insertada en número (26)</w:t>
      </w:r>
      <w:r w:rsidR="007D354F" w:rsidRPr="000E6E4C">
        <w:rPr>
          <w:rStyle w:val="Refdenotaalpie"/>
          <w:rFonts w:ascii="Tahoma" w:hAnsi="Tahoma" w:cs="Tahoma"/>
          <w:spacing w:val="-3"/>
          <w:kern w:val="2"/>
        </w:rPr>
        <w:footnoteReference w:id="5"/>
      </w:r>
      <w:r w:rsidR="007D354F" w:rsidRPr="000E6E4C">
        <w:rPr>
          <w:rFonts w:ascii="Tahoma" w:hAnsi="Tahoma" w:cs="Tahoma"/>
          <w:spacing w:val="-3"/>
          <w:kern w:val="2"/>
        </w:rPr>
        <w:t xml:space="preserve"> </w:t>
      </w:r>
      <w:r w:rsidR="00073A5D" w:rsidRPr="000E6E4C">
        <w:rPr>
          <w:rFonts w:ascii="Tahoma" w:hAnsi="Tahoma" w:cs="Tahoma"/>
          <w:spacing w:val="-3"/>
          <w:kern w:val="2"/>
        </w:rPr>
        <w:t>de noviembre de 2019</w:t>
      </w:r>
      <w:r w:rsidRPr="000E6E4C">
        <w:rPr>
          <w:rFonts w:ascii="Tahoma" w:hAnsi="Tahoma" w:cs="Tahoma"/>
          <w:spacing w:val="-3"/>
          <w:kern w:val="2"/>
        </w:rPr>
        <w:t xml:space="preserve">, lo cual generó confusión en la demandada en la medida que, de tomar la primera de las fechas, la contestación resultaba extemporánea, aspecto que </w:t>
      </w:r>
      <w:r w:rsidR="00806FE7" w:rsidRPr="000E6E4C">
        <w:rPr>
          <w:rFonts w:ascii="Tahoma" w:hAnsi="Tahoma" w:cs="Tahoma"/>
          <w:spacing w:val="-3"/>
          <w:kern w:val="2"/>
        </w:rPr>
        <w:t xml:space="preserve">a juicio de la A-quo, </w:t>
      </w:r>
      <w:r w:rsidRPr="000E6E4C">
        <w:rPr>
          <w:rFonts w:ascii="Tahoma" w:hAnsi="Tahoma" w:cs="Tahoma"/>
          <w:spacing w:val="-3"/>
          <w:kern w:val="2"/>
        </w:rPr>
        <w:t>afectaba el derecho de defensa de la pasiva. Bajo tal consideración, dispuso tener como notificado por conducta concluyente al demandado a partir de la data de dicha actuación, reiniciando el término de traslado.</w:t>
      </w:r>
    </w:p>
    <w:p w14:paraId="3A7E27D9" w14:textId="77777777" w:rsidR="00E20C6F" w:rsidRPr="000E6E4C" w:rsidRDefault="00E20C6F" w:rsidP="000E6E4C">
      <w:pPr>
        <w:spacing w:line="276" w:lineRule="auto"/>
        <w:rPr>
          <w:rFonts w:ascii="Tahoma" w:hAnsi="Tahoma" w:cs="Tahoma"/>
          <w:spacing w:val="-3"/>
          <w:kern w:val="2"/>
        </w:rPr>
      </w:pPr>
    </w:p>
    <w:p w14:paraId="14CB7EE2" w14:textId="77777777" w:rsidR="00E20C6F" w:rsidRPr="000E6E4C" w:rsidRDefault="00E20C6F" w:rsidP="000E6E4C">
      <w:pPr>
        <w:pStyle w:val="Prrafodelista"/>
        <w:numPr>
          <w:ilvl w:val="0"/>
          <w:numId w:val="1"/>
        </w:numPr>
        <w:spacing w:line="276" w:lineRule="auto"/>
        <w:jc w:val="center"/>
        <w:rPr>
          <w:rFonts w:ascii="Tahoma" w:hAnsi="Tahoma" w:cs="Tahoma"/>
          <w:b/>
          <w:bCs/>
          <w:spacing w:val="-3"/>
          <w:kern w:val="2"/>
        </w:rPr>
      </w:pPr>
      <w:r w:rsidRPr="000E6E4C">
        <w:rPr>
          <w:rFonts w:ascii="Tahoma" w:hAnsi="Tahoma" w:cs="Tahoma"/>
          <w:b/>
          <w:bCs/>
          <w:spacing w:val="-3"/>
          <w:kern w:val="2"/>
        </w:rPr>
        <w:t>Fundamentos de la apelación</w:t>
      </w:r>
    </w:p>
    <w:p w14:paraId="5DCF6FC7" w14:textId="77777777" w:rsidR="00E20C6F" w:rsidRPr="000E6E4C" w:rsidRDefault="00E20C6F" w:rsidP="000E6E4C">
      <w:pPr>
        <w:spacing w:line="276" w:lineRule="auto"/>
        <w:rPr>
          <w:rFonts w:ascii="Tahoma" w:hAnsi="Tahoma" w:cs="Tahoma"/>
          <w:spacing w:val="-3"/>
          <w:kern w:val="2"/>
        </w:rPr>
      </w:pPr>
    </w:p>
    <w:p w14:paraId="7A0010A9" w14:textId="7A2C8A3A" w:rsidR="00E20C6F" w:rsidRPr="000E6E4C" w:rsidRDefault="00E20C6F" w:rsidP="000E6E4C">
      <w:pPr>
        <w:spacing w:line="276" w:lineRule="auto"/>
        <w:rPr>
          <w:rFonts w:ascii="Tahoma" w:hAnsi="Tahoma" w:cs="Tahoma"/>
          <w:spacing w:val="-3"/>
          <w:kern w:val="2"/>
        </w:rPr>
      </w:pPr>
      <w:r w:rsidRPr="000E6E4C">
        <w:rPr>
          <w:rFonts w:ascii="Tahoma" w:hAnsi="Tahoma" w:cs="Tahoma"/>
          <w:spacing w:val="-3"/>
          <w:kern w:val="2"/>
        </w:rPr>
        <w:t xml:space="preserve">Inconforme con lo decidido, la parte </w:t>
      </w:r>
      <w:r w:rsidR="00073A5D" w:rsidRPr="000E6E4C">
        <w:rPr>
          <w:rFonts w:ascii="Tahoma" w:hAnsi="Tahoma" w:cs="Tahoma"/>
          <w:spacing w:val="-3"/>
          <w:kern w:val="2"/>
        </w:rPr>
        <w:t>actora presentó el 27 de febrero de 2020</w:t>
      </w:r>
      <w:r w:rsidR="00073A5D" w:rsidRPr="000E6E4C">
        <w:rPr>
          <w:rStyle w:val="Refdenotaalpie"/>
          <w:rFonts w:ascii="Tahoma" w:hAnsi="Tahoma" w:cs="Tahoma"/>
          <w:spacing w:val="-3"/>
          <w:kern w:val="2"/>
        </w:rPr>
        <w:footnoteReference w:id="6"/>
      </w:r>
      <w:r w:rsidR="00073A5D" w:rsidRPr="000E6E4C">
        <w:rPr>
          <w:rFonts w:ascii="Tahoma" w:hAnsi="Tahoma" w:cs="Tahoma"/>
          <w:spacing w:val="-3"/>
          <w:kern w:val="2"/>
        </w:rPr>
        <w:t xml:space="preserve"> recurso de reposición y en subsidio el de apelación contra la decisión que dispuso declarar la nulidad de lo actuado a partir del acto de notificación personal, alegando que el acto de notificación en realidad se había materializado el 25 de noviembre de 2019.  Justifica lo anterior en que en la citada actuación no se le había indicado a la notificada </w:t>
      </w:r>
      <w:r w:rsidR="00073A5D" w:rsidRPr="000E6E4C">
        <w:rPr>
          <w:rFonts w:ascii="Tahoma" w:hAnsi="Tahoma" w:cs="Tahoma"/>
          <w:spacing w:val="-3"/>
          <w:kern w:val="2"/>
        </w:rPr>
        <w:lastRenderedPageBreak/>
        <w:t xml:space="preserve">que debía de constituir abogado para dar contestación a la demanda, pero al constituirlo quedó saneado porque el apoderado de manera extemporánea había dado respuesta al libelo, situación que hubiese sido diferente si ella misma hubiera presentado la contestación. Refiere que el togado bajo un falso principio de legalidad de manera hábil había contestado extemporáneamente la demanda, tratándose de beneficiar de su propia culpa al prevalecer la literalidad a la </w:t>
      </w:r>
      <w:proofErr w:type="spellStart"/>
      <w:r w:rsidR="00073A5D" w:rsidRPr="000E6E4C">
        <w:rPr>
          <w:rFonts w:ascii="Tahoma" w:hAnsi="Tahoma" w:cs="Tahoma"/>
          <w:spacing w:val="-3"/>
          <w:kern w:val="2"/>
        </w:rPr>
        <w:t>numeralidad</w:t>
      </w:r>
      <w:proofErr w:type="spellEnd"/>
      <w:r w:rsidR="00073A5D" w:rsidRPr="000E6E4C">
        <w:rPr>
          <w:rFonts w:ascii="Tahoma" w:hAnsi="Tahoma" w:cs="Tahoma"/>
          <w:spacing w:val="-3"/>
          <w:kern w:val="2"/>
        </w:rPr>
        <w:t xml:space="preserve"> y, aunque fue un error generado por el mismo despacho, considera que también lo fue del notificado quien a través de su apoderado debió corroborar la información, agregando que tampoco encajaba el yerro en la causal referida en el auto cuestionado.</w:t>
      </w:r>
    </w:p>
    <w:p w14:paraId="61E182A3" w14:textId="235D815B" w:rsidR="00073A5D" w:rsidRPr="000E6E4C" w:rsidRDefault="00073A5D" w:rsidP="000E6E4C">
      <w:pPr>
        <w:spacing w:line="276" w:lineRule="auto"/>
        <w:rPr>
          <w:rFonts w:ascii="Tahoma" w:hAnsi="Tahoma" w:cs="Tahoma"/>
          <w:spacing w:val="-3"/>
          <w:kern w:val="2"/>
        </w:rPr>
      </w:pPr>
    </w:p>
    <w:p w14:paraId="5538473D" w14:textId="29EB48D0" w:rsidR="00073A5D" w:rsidRPr="000E6E4C" w:rsidRDefault="00073A5D" w:rsidP="000E6E4C">
      <w:pPr>
        <w:spacing w:line="276" w:lineRule="auto"/>
        <w:rPr>
          <w:rFonts w:ascii="Tahoma" w:hAnsi="Tahoma" w:cs="Tahoma"/>
          <w:spacing w:val="-3"/>
          <w:kern w:val="2"/>
        </w:rPr>
      </w:pPr>
      <w:r w:rsidRPr="000E6E4C">
        <w:rPr>
          <w:rFonts w:ascii="Tahoma" w:hAnsi="Tahoma" w:cs="Tahoma"/>
          <w:spacing w:val="-3"/>
          <w:kern w:val="2"/>
        </w:rPr>
        <w:t>Por auto del 6 de julio de 2020</w:t>
      </w:r>
      <w:r w:rsidRPr="000E6E4C">
        <w:rPr>
          <w:rStyle w:val="Refdenotaalpie"/>
          <w:rFonts w:ascii="Tahoma" w:hAnsi="Tahoma" w:cs="Tahoma"/>
          <w:spacing w:val="-3"/>
          <w:kern w:val="2"/>
        </w:rPr>
        <w:footnoteReference w:id="7"/>
      </w:r>
      <w:r w:rsidRPr="000E6E4C">
        <w:rPr>
          <w:rFonts w:ascii="Tahoma" w:hAnsi="Tahoma" w:cs="Tahoma"/>
          <w:spacing w:val="-3"/>
          <w:kern w:val="2"/>
        </w:rPr>
        <w:t xml:space="preserve"> la A-quo dispuso no reponer el auto reiterando que el acto de notificación constituía un elemento básico del debido proceso, el cual se vería afectado de acceder a lo alegado por la activa</w:t>
      </w:r>
      <w:r w:rsidR="00B41439" w:rsidRPr="000E6E4C">
        <w:rPr>
          <w:rFonts w:ascii="Tahoma" w:hAnsi="Tahoma" w:cs="Tahoma"/>
          <w:spacing w:val="-3"/>
          <w:kern w:val="2"/>
        </w:rPr>
        <w:t xml:space="preserve">, en la medida </w:t>
      </w:r>
      <w:r w:rsidR="00033F7A" w:rsidRPr="000E6E4C">
        <w:rPr>
          <w:rFonts w:ascii="Tahoma" w:hAnsi="Tahoma" w:cs="Tahoma"/>
          <w:spacing w:val="-3"/>
          <w:kern w:val="2"/>
        </w:rPr>
        <w:t xml:space="preserve">en </w:t>
      </w:r>
      <w:r w:rsidR="00B41439" w:rsidRPr="000E6E4C">
        <w:rPr>
          <w:rFonts w:ascii="Tahoma" w:hAnsi="Tahoma" w:cs="Tahoma"/>
          <w:spacing w:val="-3"/>
          <w:kern w:val="2"/>
        </w:rPr>
        <w:t>que la presunta extemporaneidad no era atribuible a una omisión de la pasiva.</w:t>
      </w:r>
    </w:p>
    <w:p w14:paraId="6F8C2EC2" w14:textId="77777777" w:rsidR="00E20C6F" w:rsidRPr="000E6E4C" w:rsidRDefault="00E20C6F" w:rsidP="000E6E4C">
      <w:pPr>
        <w:spacing w:line="276" w:lineRule="auto"/>
        <w:rPr>
          <w:rFonts w:ascii="Tahoma" w:hAnsi="Tahoma" w:cs="Tahoma"/>
          <w:spacing w:val="-3"/>
          <w:kern w:val="2"/>
        </w:rPr>
      </w:pPr>
    </w:p>
    <w:p w14:paraId="6FEAC2FB" w14:textId="77777777" w:rsidR="00E20C6F" w:rsidRPr="000E6E4C" w:rsidRDefault="00E20C6F" w:rsidP="000E6E4C">
      <w:pPr>
        <w:pStyle w:val="Prrafodelista"/>
        <w:numPr>
          <w:ilvl w:val="0"/>
          <w:numId w:val="1"/>
        </w:numPr>
        <w:spacing w:line="276" w:lineRule="auto"/>
        <w:jc w:val="center"/>
        <w:rPr>
          <w:rFonts w:ascii="Tahoma" w:hAnsi="Tahoma" w:cs="Tahoma"/>
          <w:b/>
          <w:bCs/>
          <w:spacing w:val="-3"/>
          <w:kern w:val="2"/>
        </w:rPr>
      </w:pPr>
      <w:r w:rsidRPr="000E6E4C">
        <w:rPr>
          <w:rFonts w:ascii="Tahoma" w:hAnsi="Tahoma" w:cs="Tahoma"/>
          <w:b/>
          <w:bCs/>
          <w:spacing w:val="-3"/>
          <w:kern w:val="2"/>
        </w:rPr>
        <w:t>Alegatos de conclusión</w:t>
      </w:r>
    </w:p>
    <w:p w14:paraId="1C4716CA" w14:textId="77777777" w:rsidR="00E20C6F" w:rsidRPr="000E6E4C" w:rsidRDefault="00E20C6F" w:rsidP="000E6E4C">
      <w:pPr>
        <w:spacing w:line="276" w:lineRule="auto"/>
        <w:rPr>
          <w:rFonts w:ascii="Tahoma" w:hAnsi="Tahoma" w:cs="Tahoma"/>
          <w:spacing w:val="-3"/>
          <w:kern w:val="2"/>
        </w:rPr>
      </w:pPr>
    </w:p>
    <w:p w14:paraId="6E4203BE" w14:textId="0C12E61B" w:rsidR="00E20C6F" w:rsidRPr="000E6E4C" w:rsidRDefault="00806FE7" w:rsidP="000E6E4C">
      <w:pPr>
        <w:spacing w:line="276" w:lineRule="auto"/>
        <w:rPr>
          <w:rFonts w:ascii="Tahoma" w:hAnsi="Tahoma" w:cs="Tahoma"/>
          <w:spacing w:val="-3"/>
          <w:kern w:val="2"/>
        </w:rPr>
      </w:pPr>
      <w:r w:rsidRPr="000E6E4C">
        <w:rPr>
          <w:rFonts w:ascii="Tahoma" w:hAnsi="Tahoma" w:cs="Tahoma"/>
          <w:spacing w:val="-3"/>
          <w:kern w:val="2"/>
        </w:rPr>
        <w:t>En el presente asunto, las partes guardaron silencio.</w:t>
      </w:r>
    </w:p>
    <w:p w14:paraId="75969159" w14:textId="77777777" w:rsidR="00E20C6F" w:rsidRPr="000E6E4C" w:rsidRDefault="00E20C6F" w:rsidP="000E6E4C">
      <w:pPr>
        <w:spacing w:line="276" w:lineRule="auto"/>
        <w:rPr>
          <w:rFonts w:ascii="Tahoma" w:hAnsi="Tahoma" w:cs="Tahoma"/>
          <w:spacing w:val="-3"/>
          <w:kern w:val="2"/>
        </w:rPr>
      </w:pPr>
    </w:p>
    <w:p w14:paraId="2C52F0F4" w14:textId="77777777" w:rsidR="00E20C6F" w:rsidRPr="000E6E4C" w:rsidRDefault="00E20C6F" w:rsidP="000E6E4C">
      <w:pPr>
        <w:pStyle w:val="Prrafodelista"/>
        <w:numPr>
          <w:ilvl w:val="0"/>
          <w:numId w:val="1"/>
        </w:numPr>
        <w:spacing w:line="276" w:lineRule="auto"/>
        <w:jc w:val="center"/>
        <w:rPr>
          <w:rFonts w:ascii="Tahoma" w:hAnsi="Tahoma" w:cs="Tahoma"/>
        </w:rPr>
      </w:pPr>
      <w:r w:rsidRPr="000E6E4C">
        <w:rPr>
          <w:rFonts w:ascii="Tahoma" w:hAnsi="Tahoma" w:cs="Tahoma"/>
          <w:b/>
          <w:bCs/>
          <w:spacing w:val="-3"/>
          <w:kern w:val="2"/>
        </w:rPr>
        <w:t>Problema jurídico por resolver</w:t>
      </w:r>
    </w:p>
    <w:p w14:paraId="04F29098" w14:textId="77777777" w:rsidR="00E20C6F" w:rsidRPr="000E6E4C" w:rsidRDefault="00E20C6F" w:rsidP="000E6E4C">
      <w:pPr>
        <w:spacing w:line="276" w:lineRule="auto"/>
        <w:rPr>
          <w:rFonts w:ascii="Tahoma" w:hAnsi="Tahoma" w:cs="Tahoma"/>
          <w:spacing w:val="-3"/>
          <w:kern w:val="2"/>
        </w:rPr>
      </w:pPr>
    </w:p>
    <w:p w14:paraId="5BA1FD3C" w14:textId="5CB3DEE1" w:rsidR="00E20C6F" w:rsidRPr="000E6E4C" w:rsidRDefault="00E20C6F" w:rsidP="000E6E4C">
      <w:pPr>
        <w:spacing w:line="276" w:lineRule="auto"/>
        <w:rPr>
          <w:rFonts w:ascii="Tahoma" w:hAnsi="Tahoma" w:cs="Tahoma"/>
          <w:spacing w:val="-3"/>
          <w:kern w:val="2"/>
        </w:rPr>
      </w:pPr>
      <w:r w:rsidRPr="000E6E4C">
        <w:rPr>
          <w:rFonts w:ascii="Tahoma" w:hAnsi="Tahoma" w:cs="Tahoma"/>
          <w:spacing w:val="-3"/>
          <w:kern w:val="2"/>
        </w:rPr>
        <w:t>De acuerdo con los argumentos expuestos en la decisión de primera instancia</w:t>
      </w:r>
      <w:r w:rsidR="005028E8" w:rsidRPr="000E6E4C">
        <w:rPr>
          <w:rFonts w:ascii="Tahoma" w:hAnsi="Tahoma" w:cs="Tahoma"/>
          <w:spacing w:val="-3"/>
          <w:kern w:val="2"/>
        </w:rPr>
        <w:t xml:space="preserve"> y </w:t>
      </w:r>
      <w:r w:rsidRPr="000E6E4C">
        <w:rPr>
          <w:rFonts w:ascii="Tahoma" w:hAnsi="Tahoma" w:cs="Tahoma"/>
          <w:spacing w:val="-3"/>
          <w:kern w:val="2"/>
        </w:rPr>
        <w:t xml:space="preserve">los fundamentos de la apelación, le corresponde a la Sala </w:t>
      </w:r>
      <w:r w:rsidR="005028E8" w:rsidRPr="000E6E4C">
        <w:rPr>
          <w:rFonts w:ascii="Tahoma" w:hAnsi="Tahoma" w:cs="Tahoma"/>
          <w:spacing w:val="-3"/>
          <w:kern w:val="2"/>
        </w:rPr>
        <w:t>establecer si l</w:t>
      </w:r>
      <w:r w:rsidR="00D026D6" w:rsidRPr="000E6E4C">
        <w:rPr>
          <w:rFonts w:ascii="Tahoma" w:hAnsi="Tahoma" w:cs="Tahoma"/>
          <w:spacing w:val="-3"/>
          <w:kern w:val="2"/>
        </w:rPr>
        <w:t xml:space="preserve">os errores </w:t>
      </w:r>
      <w:r w:rsidR="00A60FBA" w:rsidRPr="000E6E4C">
        <w:rPr>
          <w:rFonts w:ascii="Tahoma" w:hAnsi="Tahoma" w:cs="Tahoma"/>
          <w:spacing w:val="-3"/>
          <w:kern w:val="2"/>
        </w:rPr>
        <w:t xml:space="preserve">en </w:t>
      </w:r>
      <w:r w:rsidR="00D026D6" w:rsidRPr="000E6E4C">
        <w:rPr>
          <w:rFonts w:ascii="Tahoma" w:hAnsi="Tahoma" w:cs="Tahoma"/>
          <w:spacing w:val="-3"/>
          <w:kern w:val="2"/>
        </w:rPr>
        <w:t xml:space="preserve">la notificación personal del auto admisorio de la </w:t>
      </w:r>
      <w:r w:rsidR="00A60FBA" w:rsidRPr="000E6E4C">
        <w:rPr>
          <w:rFonts w:ascii="Tahoma" w:hAnsi="Tahoma" w:cs="Tahoma"/>
          <w:spacing w:val="-3"/>
          <w:kern w:val="2"/>
        </w:rPr>
        <w:t>demanda</w:t>
      </w:r>
      <w:r w:rsidR="00D026D6" w:rsidRPr="000E6E4C">
        <w:rPr>
          <w:rFonts w:ascii="Tahoma" w:hAnsi="Tahoma" w:cs="Tahoma"/>
          <w:spacing w:val="-3"/>
          <w:kern w:val="2"/>
        </w:rPr>
        <w:t xml:space="preserve">, </w:t>
      </w:r>
      <w:r w:rsidR="005028E8" w:rsidRPr="000E6E4C">
        <w:rPr>
          <w:rFonts w:ascii="Tahoma" w:hAnsi="Tahoma" w:cs="Tahoma"/>
          <w:spacing w:val="-3"/>
          <w:kern w:val="2"/>
        </w:rPr>
        <w:t xml:space="preserve">atribuible al Juzgado de conocimiento, </w:t>
      </w:r>
      <w:r w:rsidR="00D026D6" w:rsidRPr="000E6E4C">
        <w:rPr>
          <w:rFonts w:ascii="Tahoma" w:hAnsi="Tahoma" w:cs="Tahoma"/>
          <w:spacing w:val="-3"/>
          <w:kern w:val="2"/>
        </w:rPr>
        <w:t>se enmarcan en las causales de nulidad</w:t>
      </w:r>
      <w:r w:rsidR="005028E8" w:rsidRPr="000E6E4C">
        <w:rPr>
          <w:rFonts w:ascii="Tahoma" w:hAnsi="Tahoma" w:cs="Tahoma"/>
          <w:spacing w:val="-3"/>
          <w:kern w:val="2"/>
        </w:rPr>
        <w:t>.</w:t>
      </w:r>
    </w:p>
    <w:p w14:paraId="707CDD68" w14:textId="77777777" w:rsidR="00E20C6F" w:rsidRPr="000E6E4C" w:rsidRDefault="00E20C6F" w:rsidP="000E6E4C">
      <w:pPr>
        <w:spacing w:line="276" w:lineRule="auto"/>
        <w:rPr>
          <w:rFonts w:ascii="Tahoma" w:hAnsi="Tahoma" w:cs="Tahoma"/>
          <w:spacing w:val="-3"/>
          <w:kern w:val="2"/>
        </w:rPr>
      </w:pPr>
    </w:p>
    <w:p w14:paraId="0146CD3B" w14:textId="77777777" w:rsidR="00E20C6F" w:rsidRPr="000E6E4C" w:rsidRDefault="00E20C6F" w:rsidP="000E6E4C">
      <w:pPr>
        <w:pStyle w:val="Prrafodelista"/>
        <w:numPr>
          <w:ilvl w:val="0"/>
          <w:numId w:val="1"/>
        </w:numPr>
        <w:spacing w:line="276" w:lineRule="auto"/>
        <w:jc w:val="center"/>
        <w:rPr>
          <w:rFonts w:ascii="Tahoma" w:hAnsi="Tahoma" w:cs="Tahoma"/>
          <w:b/>
          <w:bCs/>
          <w:spacing w:val="-3"/>
          <w:kern w:val="2"/>
        </w:rPr>
      </w:pPr>
      <w:r w:rsidRPr="000E6E4C">
        <w:rPr>
          <w:rFonts w:ascii="Tahoma" w:hAnsi="Tahoma" w:cs="Tahoma"/>
          <w:b/>
          <w:bCs/>
          <w:spacing w:val="-3"/>
          <w:kern w:val="2"/>
        </w:rPr>
        <w:t>Consideraciones</w:t>
      </w:r>
    </w:p>
    <w:p w14:paraId="279DBF04" w14:textId="77777777" w:rsidR="002C08B0" w:rsidRPr="000E6E4C" w:rsidRDefault="002C08B0" w:rsidP="000E6E4C">
      <w:pPr>
        <w:spacing w:line="276" w:lineRule="auto"/>
        <w:rPr>
          <w:rFonts w:ascii="Tahoma" w:hAnsi="Tahoma" w:cs="Tahoma"/>
          <w:color w:val="333333"/>
        </w:rPr>
      </w:pPr>
    </w:p>
    <w:p w14:paraId="7B6A20C6" w14:textId="08EEE516" w:rsidR="002C08B0" w:rsidRPr="000E6E4C" w:rsidRDefault="002C08B0" w:rsidP="000E6E4C">
      <w:pPr>
        <w:spacing w:line="276" w:lineRule="auto"/>
        <w:rPr>
          <w:rFonts w:ascii="Tahoma" w:hAnsi="Tahoma" w:cs="Tahoma"/>
        </w:rPr>
      </w:pPr>
      <w:r w:rsidRPr="000E6E4C">
        <w:rPr>
          <w:rFonts w:ascii="Tahoma" w:hAnsi="Tahoma" w:cs="Tahoma"/>
        </w:rPr>
        <w:t xml:space="preserve">En el presente asunto, intenta la parte demandante que se revoque el auto que dispuso la nulidad de lo actuado a partir del acto de notificación del auto admisorio de la demanda y, en su defecto, que </w:t>
      </w:r>
      <w:r w:rsidR="00D201C3" w:rsidRPr="000E6E4C">
        <w:rPr>
          <w:rFonts w:ascii="Tahoma" w:hAnsi="Tahoma" w:cs="Tahoma"/>
        </w:rPr>
        <w:t xml:space="preserve">se tenga por </w:t>
      </w:r>
      <w:r w:rsidRPr="000E6E4C">
        <w:rPr>
          <w:rFonts w:ascii="Tahoma" w:hAnsi="Tahoma" w:cs="Tahoma"/>
        </w:rPr>
        <w:t xml:space="preserve">no contestada porque, a su juicio, aplicando la prevalencia de la literalidad en la inserción de la </w:t>
      </w:r>
      <w:r w:rsidRPr="000E6E4C">
        <w:rPr>
          <w:rFonts w:ascii="Tahoma" w:hAnsi="Tahoma" w:cs="Tahoma"/>
          <w:b/>
          <w:bCs/>
        </w:rPr>
        <w:t>fecha de notificación</w:t>
      </w:r>
      <w:r w:rsidR="003D38C9" w:rsidRPr="000E6E4C">
        <w:rPr>
          <w:rFonts w:ascii="Tahoma" w:hAnsi="Tahoma" w:cs="Tahoma"/>
          <w:b/>
          <w:bCs/>
        </w:rPr>
        <w:t>,</w:t>
      </w:r>
      <w:r w:rsidRPr="000E6E4C">
        <w:rPr>
          <w:rFonts w:ascii="Tahoma" w:hAnsi="Tahoma" w:cs="Tahoma"/>
          <w:b/>
          <w:bCs/>
        </w:rPr>
        <w:t xml:space="preserve"> debía de entenderse</w:t>
      </w:r>
      <w:r w:rsidRPr="000E6E4C">
        <w:rPr>
          <w:rFonts w:ascii="Tahoma" w:hAnsi="Tahoma" w:cs="Tahoma"/>
        </w:rPr>
        <w:t xml:space="preserve"> que dicho acto procesal se produjo el 25 de noviembre de 2019 y en ese orden, la contestación se produjo de manera extemporánea.</w:t>
      </w:r>
    </w:p>
    <w:p w14:paraId="679F30FE" w14:textId="6127704A" w:rsidR="002C08B0" w:rsidRPr="000E6E4C" w:rsidRDefault="002C08B0" w:rsidP="000E6E4C">
      <w:pPr>
        <w:spacing w:line="276" w:lineRule="auto"/>
        <w:rPr>
          <w:rFonts w:ascii="Tahoma" w:hAnsi="Tahoma" w:cs="Tahoma"/>
        </w:rPr>
      </w:pPr>
    </w:p>
    <w:p w14:paraId="4F247CC2" w14:textId="68FE1CE3" w:rsidR="002C08B0" w:rsidRPr="000E6E4C" w:rsidRDefault="002C08B0" w:rsidP="000E6E4C">
      <w:pPr>
        <w:spacing w:line="276" w:lineRule="auto"/>
        <w:rPr>
          <w:rFonts w:ascii="Tahoma" w:hAnsi="Tahoma" w:cs="Tahoma"/>
        </w:rPr>
      </w:pPr>
      <w:r w:rsidRPr="000E6E4C">
        <w:rPr>
          <w:rFonts w:ascii="Tahoma" w:hAnsi="Tahoma" w:cs="Tahoma"/>
        </w:rPr>
        <w:t xml:space="preserve">Para empezar, es de recalcar que el auto admisorio de la demanda corresponde a una de las providencias más importantes en el proceso judicial, </w:t>
      </w:r>
      <w:r w:rsidRPr="000E6E4C">
        <w:rPr>
          <w:rFonts w:ascii="Tahoma" w:hAnsi="Tahoma" w:cs="Tahoma"/>
          <w:spacing w:val="-3"/>
          <w:kern w:val="2"/>
        </w:rPr>
        <w:t>ya</w:t>
      </w:r>
      <w:r w:rsidRPr="000E6E4C">
        <w:rPr>
          <w:rFonts w:ascii="Tahoma" w:hAnsi="Tahoma" w:cs="Tahoma"/>
        </w:rPr>
        <w:t xml:space="preserve"> que por medio de </w:t>
      </w:r>
      <w:r w:rsidR="00156C24" w:rsidRPr="000E6E4C">
        <w:rPr>
          <w:rFonts w:ascii="Tahoma" w:hAnsi="Tahoma" w:cs="Tahoma"/>
        </w:rPr>
        <w:t>é</w:t>
      </w:r>
      <w:r w:rsidRPr="000E6E4C">
        <w:rPr>
          <w:rFonts w:ascii="Tahoma" w:hAnsi="Tahoma" w:cs="Tahoma"/>
        </w:rPr>
        <w:t>ste se da apertura al proceso y, el acto procesal de su notificación al demandado tiene como finalidad enterarlo que en su contra cursa un proceso</w:t>
      </w:r>
      <w:r w:rsidR="003D38C9" w:rsidRPr="000E6E4C">
        <w:rPr>
          <w:rFonts w:ascii="Tahoma" w:hAnsi="Tahoma" w:cs="Tahoma"/>
        </w:rPr>
        <w:t xml:space="preserve"> y, con ello</w:t>
      </w:r>
      <w:r w:rsidRPr="000E6E4C">
        <w:rPr>
          <w:rFonts w:ascii="Tahoma" w:hAnsi="Tahoma" w:cs="Tahoma"/>
        </w:rPr>
        <w:t>, dentro del término de traslado</w:t>
      </w:r>
      <w:r w:rsidR="00156C24" w:rsidRPr="000E6E4C">
        <w:rPr>
          <w:rFonts w:ascii="Tahoma" w:hAnsi="Tahoma" w:cs="Tahoma"/>
        </w:rPr>
        <w:t xml:space="preserve">, </w:t>
      </w:r>
      <w:r w:rsidRPr="000E6E4C">
        <w:rPr>
          <w:rFonts w:ascii="Tahoma" w:hAnsi="Tahoma" w:cs="Tahoma"/>
        </w:rPr>
        <w:t>ejerza su derecho de defensa.</w:t>
      </w:r>
    </w:p>
    <w:p w14:paraId="62877FFD" w14:textId="0345F763" w:rsidR="002C08B0" w:rsidRPr="000E6E4C" w:rsidRDefault="002C08B0" w:rsidP="000E6E4C">
      <w:pPr>
        <w:spacing w:line="276" w:lineRule="auto"/>
        <w:rPr>
          <w:rFonts w:ascii="Tahoma" w:hAnsi="Tahoma" w:cs="Tahoma"/>
        </w:rPr>
      </w:pPr>
    </w:p>
    <w:p w14:paraId="2E3048B7" w14:textId="559717C5" w:rsidR="002C08B0" w:rsidRPr="000E6E4C" w:rsidRDefault="002C08B0" w:rsidP="000E6E4C">
      <w:pPr>
        <w:spacing w:line="276" w:lineRule="auto"/>
        <w:rPr>
          <w:rFonts w:ascii="Tahoma" w:hAnsi="Tahoma" w:cs="Tahoma"/>
        </w:rPr>
      </w:pPr>
      <w:r w:rsidRPr="000E6E4C">
        <w:rPr>
          <w:rFonts w:ascii="Tahoma" w:hAnsi="Tahoma" w:cs="Tahoma"/>
        </w:rPr>
        <w:t>Es tanta la importancia del acto de notificación del auto admisorio de la demanda que el artículo 133 del CGP preceptúa:</w:t>
      </w:r>
    </w:p>
    <w:p w14:paraId="3A8CE960" w14:textId="4AE1D62D" w:rsidR="002C08B0" w:rsidRPr="000E6E4C" w:rsidRDefault="002C08B0" w:rsidP="000E6E4C">
      <w:pPr>
        <w:spacing w:line="276" w:lineRule="auto"/>
        <w:rPr>
          <w:rFonts w:ascii="Tahoma" w:hAnsi="Tahoma" w:cs="Tahoma"/>
        </w:rPr>
      </w:pPr>
    </w:p>
    <w:p w14:paraId="0BB63974" w14:textId="77777777" w:rsidR="002C08B0" w:rsidRPr="000E6E4C" w:rsidRDefault="002C08B0"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lastRenderedPageBreak/>
        <w:t>“ARTÍCULO 133. CAUSALES DE NULIDAD. El proceso es nulo, en todo o en parte, solamente en los siguientes casos:</w:t>
      </w:r>
    </w:p>
    <w:p w14:paraId="68C6CFEF" w14:textId="77777777" w:rsidR="002C08B0" w:rsidRDefault="002C08B0"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t>…..</w:t>
      </w:r>
    </w:p>
    <w:p w14:paraId="7770EE5B" w14:textId="77777777" w:rsidR="000E6E4C" w:rsidRPr="000E6E4C" w:rsidRDefault="000E6E4C" w:rsidP="000E6E4C">
      <w:pPr>
        <w:spacing w:line="240" w:lineRule="auto"/>
        <w:ind w:left="426" w:right="420" w:firstLine="0"/>
        <w:rPr>
          <w:rFonts w:ascii="Tahoma" w:hAnsi="Tahoma" w:cs="Tahoma"/>
          <w:i/>
          <w:iCs/>
          <w:spacing w:val="-3"/>
          <w:kern w:val="2"/>
          <w:sz w:val="22"/>
        </w:rPr>
      </w:pPr>
    </w:p>
    <w:p w14:paraId="2E23F7E4" w14:textId="43BDE75D" w:rsidR="002C08B0" w:rsidRPr="000E6E4C" w:rsidRDefault="002C08B0"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 (…)</w:t>
      </w:r>
    </w:p>
    <w:p w14:paraId="34E9A72B" w14:textId="77777777" w:rsidR="002C08B0" w:rsidRPr="000E6E4C" w:rsidRDefault="002C08B0" w:rsidP="000E6E4C">
      <w:pPr>
        <w:spacing w:line="276" w:lineRule="auto"/>
        <w:rPr>
          <w:rFonts w:ascii="Tahoma" w:hAnsi="Tahoma" w:cs="Tahoma"/>
        </w:rPr>
      </w:pPr>
    </w:p>
    <w:p w14:paraId="6F8106E3" w14:textId="40057241" w:rsidR="002C08B0" w:rsidRPr="000E6E4C" w:rsidRDefault="002C08B0" w:rsidP="00FD6633">
      <w:pPr>
        <w:spacing w:line="276" w:lineRule="auto"/>
        <w:rPr>
          <w:rFonts w:ascii="Tahoma" w:hAnsi="Tahoma" w:cs="Tahoma"/>
        </w:rPr>
      </w:pPr>
      <w:r w:rsidRPr="000E6E4C">
        <w:rPr>
          <w:rFonts w:ascii="Tahoma" w:hAnsi="Tahoma" w:cs="Tahoma"/>
        </w:rPr>
        <w:t>En materia de saneamiento de las nulidades</w:t>
      </w:r>
      <w:r w:rsidR="009E2D58" w:rsidRPr="000E6E4C">
        <w:rPr>
          <w:rFonts w:ascii="Tahoma" w:hAnsi="Tahoma" w:cs="Tahoma"/>
        </w:rPr>
        <w:t xml:space="preserve">, estas se encuentran expresamente establecidas en el artículo 136 ibidem, advirtiendo que en su contenido no se encuentra la mencionada por el apelante como lo es </w:t>
      </w:r>
      <w:r w:rsidR="007D68AE" w:rsidRPr="000E6E4C">
        <w:rPr>
          <w:rFonts w:ascii="Tahoma" w:hAnsi="Tahoma" w:cs="Tahoma"/>
        </w:rPr>
        <w:t>“</w:t>
      </w:r>
      <w:r w:rsidR="009E2D58" w:rsidRPr="00FD6633">
        <w:rPr>
          <w:rFonts w:ascii="Tahoma" w:hAnsi="Tahoma" w:cs="Tahoma"/>
          <w:sz w:val="22"/>
        </w:rPr>
        <w:t xml:space="preserve">el </w:t>
      </w:r>
      <w:r w:rsidR="007D68AE" w:rsidRPr="00FD6633">
        <w:rPr>
          <w:rFonts w:ascii="Tahoma" w:hAnsi="Tahoma" w:cs="Tahoma"/>
          <w:sz w:val="22"/>
        </w:rPr>
        <w:t xml:space="preserve">haber contado </w:t>
      </w:r>
      <w:r w:rsidR="009E2D58" w:rsidRPr="00FD6633">
        <w:rPr>
          <w:rFonts w:ascii="Tahoma" w:hAnsi="Tahoma" w:cs="Tahoma"/>
          <w:sz w:val="22"/>
        </w:rPr>
        <w:t>la parte con apoderado de confianza</w:t>
      </w:r>
      <w:r w:rsidR="007D68AE" w:rsidRPr="000E6E4C">
        <w:rPr>
          <w:rFonts w:ascii="Tahoma" w:hAnsi="Tahoma" w:cs="Tahoma"/>
        </w:rPr>
        <w:t>”</w:t>
      </w:r>
      <w:r w:rsidR="009E2D58" w:rsidRPr="000E6E4C">
        <w:rPr>
          <w:rFonts w:ascii="Tahoma" w:hAnsi="Tahoma" w:cs="Tahoma"/>
        </w:rPr>
        <w:t xml:space="preserve">, sino por el contrario, establece otras muy diferentes, </w:t>
      </w:r>
      <w:r w:rsidRPr="000E6E4C">
        <w:rPr>
          <w:rFonts w:ascii="Tahoma" w:hAnsi="Tahoma" w:cs="Tahoma"/>
        </w:rPr>
        <w:t xml:space="preserve">entre </w:t>
      </w:r>
      <w:r w:rsidR="007D68AE" w:rsidRPr="000E6E4C">
        <w:rPr>
          <w:rFonts w:ascii="Tahoma" w:hAnsi="Tahoma" w:cs="Tahoma"/>
        </w:rPr>
        <w:t>ellas</w:t>
      </w:r>
      <w:r w:rsidRPr="000E6E4C">
        <w:rPr>
          <w:rFonts w:ascii="Tahoma" w:hAnsi="Tahoma" w:cs="Tahoma"/>
        </w:rPr>
        <w:t xml:space="preserve">, </w:t>
      </w:r>
    </w:p>
    <w:p w14:paraId="2CDC32F5" w14:textId="77777777" w:rsidR="002C08B0" w:rsidRPr="000E6E4C" w:rsidRDefault="002C08B0" w:rsidP="000E6E4C">
      <w:pPr>
        <w:spacing w:line="276" w:lineRule="auto"/>
        <w:ind w:right="476"/>
        <w:rPr>
          <w:rFonts w:ascii="Tahoma" w:hAnsi="Tahoma" w:cs="Tahoma"/>
          <w:i/>
          <w:iCs/>
          <w:spacing w:val="-3"/>
          <w:kern w:val="2"/>
        </w:rPr>
      </w:pPr>
    </w:p>
    <w:p w14:paraId="1F40F7D4" w14:textId="508F7246" w:rsidR="002C08B0" w:rsidRPr="000E6E4C" w:rsidRDefault="002C08B0"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t>4. Cuando a pesar del vicio el acto procesal cumplió su finalidad y no se violó el derecho de defensa.</w:t>
      </w:r>
      <w:r w:rsidR="00FD6633">
        <w:rPr>
          <w:rFonts w:ascii="Tahoma" w:hAnsi="Tahoma" w:cs="Tahoma"/>
          <w:i/>
          <w:iCs/>
          <w:spacing w:val="-3"/>
          <w:kern w:val="2"/>
          <w:sz w:val="22"/>
        </w:rPr>
        <w:t xml:space="preserve"> (…)</w:t>
      </w:r>
      <w:r w:rsidRPr="000E6E4C">
        <w:rPr>
          <w:rFonts w:ascii="Tahoma" w:hAnsi="Tahoma" w:cs="Tahoma"/>
          <w:i/>
          <w:iCs/>
          <w:spacing w:val="-3"/>
          <w:kern w:val="2"/>
          <w:sz w:val="22"/>
        </w:rPr>
        <w:t>»</w:t>
      </w:r>
    </w:p>
    <w:p w14:paraId="64F6B7B9" w14:textId="2F1C4E4B" w:rsidR="002C08B0" w:rsidRPr="000E6E4C" w:rsidRDefault="002C08B0" w:rsidP="000E6E4C">
      <w:pPr>
        <w:spacing w:line="276" w:lineRule="auto"/>
        <w:rPr>
          <w:rFonts w:ascii="Tahoma" w:hAnsi="Tahoma" w:cs="Tahoma"/>
        </w:rPr>
      </w:pPr>
    </w:p>
    <w:p w14:paraId="6BF46D75" w14:textId="5B9E6EA5" w:rsidR="002C08B0" w:rsidRPr="000E6E4C" w:rsidRDefault="002C08B0" w:rsidP="000E6E4C">
      <w:pPr>
        <w:spacing w:line="276" w:lineRule="auto"/>
        <w:rPr>
          <w:rFonts w:ascii="Tahoma" w:hAnsi="Tahoma" w:cs="Tahoma"/>
        </w:rPr>
      </w:pPr>
      <w:r w:rsidRPr="000E6E4C">
        <w:rPr>
          <w:rFonts w:ascii="Tahoma" w:hAnsi="Tahoma" w:cs="Tahoma"/>
        </w:rPr>
        <w:t xml:space="preserve">En ese </w:t>
      </w:r>
      <w:r w:rsidR="00D201C3" w:rsidRPr="000E6E4C">
        <w:rPr>
          <w:rFonts w:ascii="Tahoma" w:hAnsi="Tahoma" w:cs="Tahoma"/>
        </w:rPr>
        <w:t>orden</w:t>
      </w:r>
      <w:r w:rsidRPr="000E6E4C">
        <w:rPr>
          <w:rFonts w:ascii="Tahoma" w:hAnsi="Tahoma" w:cs="Tahoma"/>
        </w:rPr>
        <w:t xml:space="preserve">, el debido proceso y el derecho de defensa, en materia de notificaciones, se transgrede de manera directa cuando el error </w:t>
      </w:r>
      <w:r w:rsidR="00D201C3" w:rsidRPr="000E6E4C">
        <w:rPr>
          <w:rFonts w:ascii="Tahoma" w:hAnsi="Tahoma" w:cs="Tahoma"/>
        </w:rPr>
        <w:t xml:space="preserve">proviene de la misma célula judicial e incide </w:t>
      </w:r>
      <w:r w:rsidRPr="000E6E4C">
        <w:rPr>
          <w:rFonts w:ascii="Tahoma" w:hAnsi="Tahoma" w:cs="Tahoma"/>
        </w:rPr>
        <w:t>directamente en la contabilización de los términos procesales</w:t>
      </w:r>
      <w:r w:rsidR="00033F7A" w:rsidRPr="000E6E4C">
        <w:rPr>
          <w:rFonts w:ascii="Tahoma" w:hAnsi="Tahoma" w:cs="Tahoma"/>
        </w:rPr>
        <w:t xml:space="preserve"> </w:t>
      </w:r>
      <w:r w:rsidR="00D201C3" w:rsidRPr="000E6E4C">
        <w:rPr>
          <w:rFonts w:ascii="Tahoma" w:hAnsi="Tahoma" w:cs="Tahoma"/>
        </w:rPr>
        <w:t>–</w:t>
      </w:r>
      <w:r w:rsidR="00D201C3" w:rsidRPr="000E6E4C">
        <w:rPr>
          <w:rFonts w:ascii="Tahoma" w:hAnsi="Tahoma" w:cs="Tahoma"/>
          <w:i/>
          <w:iCs/>
        </w:rPr>
        <w:t xml:space="preserve"> como aquí ocurre – </w:t>
      </w:r>
      <w:r w:rsidR="00D201C3" w:rsidRPr="000E6E4C">
        <w:rPr>
          <w:rFonts w:ascii="Tahoma" w:hAnsi="Tahoma" w:cs="Tahoma"/>
        </w:rPr>
        <w:t>aspecto que, una vez advertido</w:t>
      </w:r>
      <w:r w:rsidR="003D38C9" w:rsidRPr="000E6E4C">
        <w:rPr>
          <w:rFonts w:ascii="Tahoma" w:hAnsi="Tahoma" w:cs="Tahoma"/>
        </w:rPr>
        <w:t>,</w:t>
      </w:r>
      <w:r w:rsidR="00D201C3" w:rsidRPr="000E6E4C">
        <w:rPr>
          <w:rFonts w:ascii="Tahoma" w:hAnsi="Tahoma" w:cs="Tahoma"/>
        </w:rPr>
        <w:t xml:space="preserve"> </w:t>
      </w:r>
      <w:r w:rsidRPr="000E6E4C">
        <w:rPr>
          <w:rFonts w:ascii="Tahoma" w:hAnsi="Tahoma" w:cs="Tahoma"/>
        </w:rPr>
        <w:t xml:space="preserve">impone </w:t>
      </w:r>
      <w:r w:rsidR="005E6A3C" w:rsidRPr="000E6E4C">
        <w:rPr>
          <w:rFonts w:ascii="Tahoma" w:hAnsi="Tahoma" w:cs="Tahoma"/>
        </w:rPr>
        <w:t xml:space="preserve">al Juez acudir a la </w:t>
      </w:r>
      <w:r w:rsidR="00D201C3" w:rsidRPr="000E6E4C">
        <w:rPr>
          <w:rFonts w:ascii="Tahoma" w:hAnsi="Tahoma" w:cs="Tahoma"/>
        </w:rPr>
        <w:t>aplicación d</w:t>
      </w:r>
      <w:r w:rsidRPr="000E6E4C">
        <w:rPr>
          <w:rFonts w:ascii="Tahoma" w:hAnsi="Tahoma" w:cs="Tahoma"/>
        </w:rPr>
        <w:t>el artículo 132 del CGP que indica:</w:t>
      </w:r>
    </w:p>
    <w:p w14:paraId="235F15C0" w14:textId="77777777" w:rsidR="00E20C6F" w:rsidRPr="000E6E4C" w:rsidRDefault="00E20C6F" w:rsidP="000E6E4C">
      <w:pPr>
        <w:spacing w:line="276" w:lineRule="auto"/>
        <w:rPr>
          <w:rFonts w:ascii="Tahoma" w:hAnsi="Tahoma" w:cs="Tahoma"/>
          <w:spacing w:val="-3"/>
          <w:kern w:val="2"/>
        </w:rPr>
      </w:pPr>
    </w:p>
    <w:p w14:paraId="3A656440" w14:textId="2A1FBDE6" w:rsidR="000B0216" w:rsidRPr="000E6E4C" w:rsidRDefault="000B0216"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t>«</w:t>
      </w:r>
      <w:r w:rsidR="005E6A3C" w:rsidRPr="000E6E4C">
        <w:rPr>
          <w:rFonts w:ascii="Tahoma" w:hAnsi="Tahoma" w:cs="Tahoma"/>
          <w:i/>
          <w:iCs/>
          <w:spacing w:val="-3"/>
          <w:kern w:val="2"/>
          <w:sz w:val="22"/>
        </w:rPr>
        <w:t>…</w:t>
      </w:r>
      <w:r w:rsidR="00FD6633">
        <w:rPr>
          <w:rFonts w:ascii="Tahoma" w:hAnsi="Tahoma" w:cs="Tahoma"/>
          <w:i/>
          <w:iCs/>
          <w:spacing w:val="-3"/>
          <w:kern w:val="2"/>
          <w:sz w:val="22"/>
        </w:rPr>
        <w:t xml:space="preserve"> </w:t>
      </w:r>
      <w:r w:rsidRPr="000E6E4C">
        <w:rPr>
          <w:rFonts w:ascii="Tahoma" w:hAnsi="Tahoma" w:cs="Tahoma"/>
          <w:i/>
          <w:iCs/>
          <w:spacing w:val="-3"/>
          <w:kern w:val="2"/>
          <w:sz w:val="22"/>
        </w:rPr>
        <w:t>Agotada cada etapa del proceso el juez deberá realizar control de legalidad para corregir o sanear los vicios que configuren nulidades u otras irregularidades del proceso, las cuales, salvo que se trate de hechos nuevos, no se podrán alegar en las etapas siguientes, sin perjuicio de lo previsto para los recursos de revisión y casación».</w:t>
      </w:r>
    </w:p>
    <w:p w14:paraId="5EC3D0ED" w14:textId="011A0896" w:rsidR="000B0216" w:rsidRPr="000E6E4C" w:rsidRDefault="000B0216" w:rsidP="000E6E4C">
      <w:pPr>
        <w:spacing w:line="276" w:lineRule="auto"/>
        <w:ind w:right="476"/>
        <w:rPr>
          <w:rFonts w:ascii="Tahoma" w:hAnsi="Tahoma" w:cs="Tahoma"/>
          <w:spacing w:val="-3"/>
          <w:kern w:val="2"/>
        </w:rPr>
      </w:pPr>
    </w:p>
    <w:p w14:paraId="62730E71" w14:textId="62C4A2ED" w:rsidR="005E6A3C" w:rsidRPr="000E6E4C" w:rsidRDefault="005E6A3C" w:rsidP="000E6E4C">
      <w:pPr>
        <w:spacing w:line="276" w:lineRule="auto"/>
        <w:rPr>
          <w:rFonts w:ascii="Tahoma" w:hAnsi="Tahoma" w:cs="Tahoma"/>
          <w:b/>
          <w:bCs/>
          <w:color w:val="000000" w:themeColor="text1"/>
          <w:lang w:val="es-ES"/>
        </w:rPr>
      </w:pPr>
      <w:r w:rsidRPr="000E6E4C">
        <w:rPr>
          <w:rFonts w:ascii="Tahoma" w:hAnsi="Tahoma" w:cs="Tahoma"/>
          <w:color w:val="000000"/>
          <w:spacing w:val="2"/>
          <w:lang w:val="es-ES"/>
        </w:rPr>
        <w:t>De hecho</w:t>
      </w:r>
      <w:r w:rsidR="002C08B0" w:rsidRPr="000E6E4C">
        <w:rPr>
          <w:rFonts w:ascii="Tahoma" w:hAnsi="Tahoma" w:cs="Tahoma"/>
          <w:color w:val="000000"/>
          <w:spacing w:val="2"/>
          <w:lang w:val="es-ES"/>
        </w:rPr>
        <w:t xml:space="preserve">, en </w:t>
      </w:r>
      <w:r w:rsidRPr="000E6E4C">
        <w:rPr>
          <w:rFonts w:ascii="Tahoma" w:hAnsi="Tahoma" w:cs="Tahoma"/>
          <w:color w:val="000000"/>
          <w:spacing w:val="2"/>
          <w:lang w:val="es-ES"/>
        </w:rPr>
        <w:t xml:space="preserve">anteriores </w:t>
      </w:r>
      <w:r w:rsidR="002C08B0" w:rsidRPr="000E6E4C">
        <w:rPr>
          <w:rFonts w:ascii="Tahoma" w:hAnsi="Tahoma" w:cs="Tahoma"/>
          <w:color w:val="000000"/>
          <w:spacing w:val="2"/>
          <w:lang w:val="es-ES"/>
        </w:rPr>
        <w:t xml:space="preserve">oportunidades esta Corporación </w:t>
      </w:r>
      <w:r w:rsidR="00156C24" w:rsidRPr="000E6E4C">
        <w:rPr>
          <w:rFonts w:ascii="Tahoma" w:hAnsi="Tahoma" w:cs="Tahoma"/>
          <w:color w:val="000000"/>
          <w:spacing w:val="2"/>
          <w:lang w:val="es-ES"/>
        </w:rPr>
        <w:t>con</w:t>
      </w:r>
      <w:r w:rsidR="002C08B0" w:rsidRPr="000E6E4C">
        <w:rPr>
          <w:rFonts w:ascii="Tahoma" w:hAnsi="Tahoma" w:cs="Tahoma"/>
          <w:color w:val="000000"/>
          <w:spacing w:val="2"/>
          <w:lang w:val="es-ES"/>
        </w:rPr>
        <w:t xml:space="preserve"> ponencia de quien ahora cumple </w:t>
      </w:r>
      <w:r w:rsidR="00156C24" w:rsidRPr="000E6E4C">
        <w:rPr>
          <w:rFonts w:ascii="Tahoma" w:hAnsi="Tahoma" w:cs="Tahoma"/>
          <w:color w:val="000000"/>
          <w:spacing w:val="2"/>
          <w:lang w:val="es-ES"/>
        </w:rPr>
        <w:t>igual</w:t>
      </w:r>
      <w:r w:rsidR="002C08B0" w:rsidRPr="000E6E4C">
        <w:rPr>
          <w:rFonts w:ascii="Tahoma" w:hAnsi="Tahoma" w:cs="Tahoma"/>
          <w:color w:val="000000"/>
          <w:spacing w:val="2"/>
          <w:lang w:val="es-ES"/>
        </w:rPr>
        <w:t xml:space="preserve"> encargo, ha resaltado que </w:t>
      </w:r>
      <w:r w:rsidR="002C08B0" w:rsidRPr="000E6E4C">
        <w:rPr>
          <w:rFonts w:ascii="Tahoma" w:hAnsi="Tahoma" w:cs="Tahoma"/>
          <w:i/>
          <w:iCs/>
          <w:color w:val="000000"/>
          <w:spacing w:val="2"/>
          <w:lang w:val="es-ES"/>
        </w:rPr>
        <w:t>“</w:t>
      </w:r>
      <w:r w:rsidR="002C08B0" w:rsidRPr="000E6E4C">
        <w:rPr>
          <w:rFonts w:ascii="Tahoma" w:hAnsi="Tahoma" w:cs="Tahoma"/>
          <w:i/>
          <w:iCs/>
          <w:color w:val="000000"/>
          <w:spacing w:val="2"/>
          <w:sz w:val="22"/>
          <w:lang w:val="es-ES"/>
        </w:rPr>
        <w:t xml:space="preserve">las notificaciones de las providencias es un tema que mereció del legislador una regulación especial y meticulosa, </w:t>
      </w:r>
      <w:r w:rsidR="002C08B0" w:rsidRPr="000E6E4C">
        <w:rPr>
          <w:rFonts w:ascii="Tahoma" w:hAnsi="Tahoma" w:cs="Tahoma"/>
          <w:i/>
          <w:iCs/>
          <w:color w:val="333333"/>
          <w:sz w:val="22"/>
        </w:rPr>
        <w:t>que</w:t>
      </w:r>
      <w:r w:rsidR="002C08B0" w:rsidRPr="000E6E4C">
        <w:rPr>
          <w:rFonts w:ascii="Tahoma" w:hAnsi="Tahoma" w:cs="Tahoma"/>
          <w:i/>
          <w:iCs/>
          <w:color w:val="000000"/>
          <w:spacing w:val="2"/>
          <w:sz w:val="22"/>
          <w:lang w:val="es-ES"/>
        </w:rPr>
        <w:t xml:space="preserve"> no obedecen a simples formalismos inanes sino a la protección a ultranza de varios derechos fundamentales como lo son el derecho de defensa, el debido proceso, el derecho a la igualdad, el derecho de acceso a la administración de justicia, etc., y que además</w:t>
      </w:r>
      <w:r w:rsidRPr="000E6E4C">
        <w:rPr>
          <w:rFonts w:ascii="Tahoma" w:hAnsi="Tahoma" w:cs="Tahoma"/>
          <w:i/>
          <w:iCs/>
          <w:color w:val="000000"/>
          <w:spacing w:val="2"/>
          <w:sz w:val="22"/>
          <w:lang w:val="es-ES"/>
        </w:rPr>
        <w:t>,</w:t>
      </w:r>
      <w:r w:rsidR="002C08B0" w:rsidRPr="000E6E4C">
        <w:rPr>
          <w:rFonts w:ascii="Tahoma" w:hAnsi="Tahoma" w:cs="Tahoma"/>
          <w:i/>
          <w:iCs/>
          <w:color w:val="000000"/>
          <w:spacing w:val="2"/>
          <w:sz w:val="22"/>
          <w:lang w:val="es-ES"/>
        </w:rPr>
        <w:t xml:space="preserve"> involucra principios como el de la buena fe, el de transparencia, el de lealtad procesal, entre otros”</w:t>
      </w:r>
      <w:r w:rsidR="00156C24" w:rsidRPr="000E6E4C">
        <w:rPr>
          <w:rFonts w:ascii="Tahoma" w:hAnsi="Tahoma" w:cs="Tahoma"/>
          <w:i/>
          <w:iCs/>
          <w:color w:val="000000"/>
          <w:spacing w:val="2"/>
          <w:lang w:val="es-ES"/>
        </w:rPr>
        <w:t xml:space="preserve"> </w:t>
      </w:r>
      <w:r w:rsidR="002C08B0" w:rsidRPr="000E6E4C">
        <w:rPr>
          <w:rStyle w:val="Refdenotaalpie"/>
          <w:rFonts w:ascii="Tahoma" w:hAnsi="Tahoma" w:cs="Tahoma"/>
          <w:color w:val="000000"/>
          <w:spacing w:val="2"/>
          <w:lang w:val="es-ES"/>
        </w:rPr>
        <w:footnoteReference w:id="8"/>
      </w:r>
      <w:r w:rsidRPr="000E6E4C">
        <w:rPr>
          <w:rFonts w:ascii="Tahoma" w:hAnsi="Tahoma" w:cs="Tahoma"/>
          <w:color w:val="000000"/>
          <w:spacing w:val="2"/>
          <w:lang w:val="es-ES"/>
        </w:rPr>
        <w:t>.</w:t>
      </w:r>
      <w:r w:rsidR="002C08B0" w:rsidRPr="000E6E4C">
        <w:rPr>
          <w:rFonts w:ascii="Tahoma" w:hAnsi="Tahoma" w:cs="Tahoma"/>
          <w:color w:val="000000"/>
          <w:spacing w:val="2"/>
          <w:lang w:val="es-ES"/>
        </w:rPr>
        <w:t xml:space="preserve"> </w:t>
      </w:r>
      <w:r w:rsidRPr="000E6E4C">
        <w:rPr>
          <w:rFonts w:ascii="Tahoma" w:hAnsi="Tahoma" w:cs="Tahoma"/>
          <w:color w:val="000000"/>
          <w:spacing w:val="2"/>
          <w:lang w:val="es-ES"/>
        </w:rPr>
        <w:t>E</w:t>
      </w:r>
      <w:r w:rsidR="002C08B0" w:rsidRPr="000E6E4C">
        <w:rPr>
          <w:rFonts w:ascii="Tahoma" w:hAnsi="Tahoma" w:cs="Tahoma"/>
          <w:color w:val="000000"/>
          <w:spacing w:val="2"/>
          <w:lang w:val="es-ES"/>
        </w:rPr>
        <w:t>s por ello, que las irregularidades cometidas en la forma cómo se realiza la notificación de una providencia se castiga severamente con la nulidad de lo actuado y, con mayor razón cuando el error en el trámite de notificación emana del mismo despacho judicial e incide en la contabilización de los términos procesales</w:t>
      </w:r>
      <w:r w:rsidR="003D38C9" w:rsidRPr="000E6E4C">
        <w:rPr>
          <w:rFonts w:ascii="Tahoma" w:hAnsi="Tahoma" w:cs="Tahoma"/>
          <w:color w:val="000000"/>
          <w:spacing w:val="2"/>
          <w:lang w:val="es-ES"/>
        </w:rPr>
        <w:t xml:space="preserve">, </w:t>
      </w:r>
      <w:r w:rsidR="00697111" w:rsidRPr="000E6E4C">
        <w:rPr>
          <w:rFonts w:ascii="Tahoma" w:hAnsi="Tahoma" w:cs="Tahoma"/>
          <w:color w:val="000000"/>
          <w:spacing w:val="2"/>
          <w:lang w:val="es-ES"/>
        </w:rPr>
        <w:t xml:space="preserve">en la medida que dichos </w:t>
      </w:r>
      <w:r w:rsidR="00697111" w:rsidRPr="000E6E4C">
        <w:rPr>
          <w:rFonts w:ascii="Tahoma" w:hAnsi="Tahoma" w:cs="Tahoma"/>
          <w:b/>
          <w:bCs/>
          <w:color w:val="000000"/>
          <w:spacing w:val="2"/>
          <w:lang w:val="es-ES"/>
        </w:rPr>
        <w:t>plazos se empiezan a conta</w:t>
      </w:r>
      <w:r w:rsidRPr="000E6E4C">
        <w:rPr>
          <w:rFonts w:ascii="Tahoma" w:hAnsi="Tahoma" w:cs="Tahoma"/>
          <w:b/>
          <w:bCs/>
          <w:color w:val="000000"/>
          <w:spacing w:val="2"/>
          <w:lang w:val="es-ES"/>
        </w:rPr>
        <w:t>bilizar</w:t>
      </w:r>
      <w:r w:rsidR="00697111" w:rsidRPr="000E6E4C">
        <w:rPr>
          <w:rFonts w:ascii="Tahoma" w:hAnsi="Tahoma" w:cs="Tahoma"/>
          <w:b/>
          <w:bCs/>
          <w:color w:val="000000"/>
          <w:spacing w:val="2"/>
          <w:lang w:val="es-ES"/>
        </w:rPr>
        <w:t xml:space="preserve"> cuando la notificación se produce y no cuando deba entenderse hecha</w:t>
      </w:r>
      <w:r w:rsidR="7636B8D6" w:rsidRPr="000E6E4C">
        <w:rPr>
          <w:rFonts w:ascii="Tahoma" w:hAnsi="Tahoma" w:cs="Tahoma"/>
          <w:b/>
          <w:bCs/>
          <w:color w:val="000000"/>
          <w:spacing w:val="2"/>
          <w:lang w:val="es-ES"/>
        </w:rPr>
        <w:t>.</w:t>
      </w:r>
    </w:p>
    <w:p w14:paraId="169FC570" w14:textId="6F5FCD39" w:rsidR="005E6A3C" w:rsidRPr="000E6E4C" w:rsidRDefault="005E6A3C" w:rsidP="000E6E4C">
      <w:pPr>
        <w:spacing w:line="276" w:lineRule="auto"/>
        <w:rPr>
          <w:rFonts w:ascii="Tahoma" w:hAnsi="Tahoma" w:cs="Tahoma"/>
          <w:color w:val="000000" w:themeColor="text1"/>
          <w:lang w:val="es-ES"/>
        </w:rPr>
      </w:pPr>
    </w:p>
    <w:p w14:paraId="399B80D8" w14:textId="3E65912D" w:rsidR="005E6A3C" w:rsidRPr="000E6E4C" w:rsidRDefault="7636B8D6" w:rsidP="000E6E4C">
      <w:pPr>
        <w:spacing w:line="276" w:lineRule="auto"/>
        <w:rPr>
          <w:rFonts w:ascii="Tahoma" w:hAnsi="Tahoma" w:cs="Tahoma"/>
        </w:rPr>
      </w:pPr>
      <w:r w:rsidRPr="000E6E4C">
        <w:rPr>
          <w:rFonts w:ascii="Tahoma" w:eastAsia="Tahoma" w:hAnsi="Tahoma" w:cs="Tahoma"/>
          <w:color w:val="000000" w:themeColor="text1"/>
          <w:lang w:val="es-ES"/>
        </w:rPr>
        <w:t xml:space="preserve">Es que en este punto, resalta el togado que cuando hay discrepancia entre lo expresado en letras y números, prevalece el primero, tal postulado contenido en el artículo 623 del </w:t>
      </w:r>
      <w:proofErr w:type="spellStart"/>
      <w:r w:rsidRPr="000E6E4C">
        <w:rPr>
          <w:rFonts w:ascii="Tahoma" w:eastAsia="Tahoma" w:hAnsi="Tahoma" w:cs="Tahoma"/>
          <w:color w:val="000000" w:themeColor="text1"/>
          <w:lang w:val="es-ES"/>
        </w:rPr>
        <w:t>Ccio</w:t>
      </w:r>
      <w:proofErr w:type="spellEnd"/>
      <w:r w:rsidRPr="000E6E4C">
        <w:rPr>
          <w:rFonts w:ascii="Tahoma" w:eastAsia="Tahoma" w:hAnsi="Tahoma" w:cs="Tahoma"/>
          <w:color w:val="000000" w:themeColor="text1"/>
          <w:lang w:val="es-ES"/>
        </w:rPr>
        <w:t xml:space="preserve"> no tiene un carácter absoluto, en la medida que en determinados casos - como el que aquí se analiza -, no necesariamente de lo consignado en letras </w:t>
      </w:r>
      <w:r w:rsidRPr="000E6E4C">
        <w:rPr>
          <w:rFonts w:ascii="Tahoma" w:eastAsia="Tahoma" w:hAnsi="Tahoma" w:cs="Tahoma"/>
          <w:color w:val="000000" w:themeColor="text1"/>
          <w:lang w:val="es-ES"/>
        </w:rPr>
        <w:lastRenderedPageBreak/>
        <w:t>puede inferirse que es lo correcto, máxime cuando en tratándose de fechas en una notificación personal de la cual se deriva el inicio de la contabilización de términos como hito para que la parte ejerza su derecho de defensa y contradicción, no puede basarse en conjeturas por la prevalencia misma del derecho sustancial, amén que no se le puede trasladar a las partes las consecuencias adversas de un yerro generado por el mismo despacho judicial.</w:t>
      </w:r>
    </w:p>
    <w:p w14:paraId="7D0D5872" w14:textId="77777777" w:rsidR="005E6A3C" w:rsidRPr="000E6E4C" w:rsidRDefault="005E6A3C" w:rsidP="000E6E4C">
      <w:pPr>
        <w:spacing w:line="276" w:lineRule="auto"/>
        <w:rPr>
          <w:rFonts w:ascii="Tahoma" w:hAnsi="Tahoma" w:cs="Tahoma"/>
          <w:color w:val="000000"/>
          <w:spacing w:val="2"/>
          <w:lang w:val="es-ES_tradnl"/>
        </w:rPr>
      </w:pPr>
    </w:p>
    <w:p w14:paraId="74FF3CA3" w14:textId="37F3906A" w:rsidR="005E6A3C" w:rsidRPr="000E6E4C" w:rsidRDefault="005E6A3C" w:rsidP="000E6E4C">
      <w:pPr>
        <w:spacing w:line="276" w:lineRule="auto"/>
        <w:rPr>
          <w:rFonts w:ascii="Tahoma" w:hAnsi="Tahoma" w:cs="Tahoma"/>
        </w:rPr>
      </w:pPr>
      <w:r w:rsidRPr="000E6E4C">
        <w:rPr>
          <w:rFonts w:ascii="Tahoma" w:hAnsi="Tahoma" w:cs="Tahoma"/>
          <w:color w:val="000000"/>
          <w:spacing w:val="2"/>
          <w:lang w:val="es-ES_tradnl"/>
        </w:rPr>
        <w:t>E</w:t>
      </w:r>
      <w:r w:rsidRPr="000E6E4C">
        <w:rPr>
          <w:rFonts w:ascii="Tahoma" w:hAnsi="Tahoma" w:cs="Tahoma"/>
        </w:rPr>
        <w:t>n tal sentido, la Corte Suprema de Justicia</w:t>
      </w:r>
      <w:r w:rsidRPr="000E6E4C">
        <w:rPr>
          <w:rStyle w:val="Refdenotaalpie"/>
          <w:rFonts w:ascii="Tahoma" w:hAnsi="Tahoma" w:cs="Tahoma"/>
        </w:rPr>
        <w:footnoteReference w:id="9"/>
      </w:r>
      <w:r w:rsidRPr="000E6E4C">
        <w:rPr>
          <w:rFonts w:ascii="Tahoma" w:hAnsi="Tahoma" w:cs="Tahoma"/>
        </w:rPr>
        <w:t xml:space="preserve"> ha esgrimido que, </w:t>
      </w:r>
    </w:p>
    <w:p w14:paraId="14705CD0" w14:textId="77777777" w:rsidR="005E6A3C" w:rsidRPr="000E6E4C" w:rsidRDefault="005E6A3C" w:rsidP="000E6E4C">
      <w:pPr>
        <w:spacing w:line="276" w:lineRule="auto"/>
        <w:rPr>
          <w:rFonts w:ascii="Tahoma" w:hAnsi="Tahoma" w:cs="Tahoma"/>
        </w:rPr>
      </w:pPr>
    </w:p>
    <w:p w14:paraId="20BB3ED9" w14:textId="7DCA7434" w:rsidR="005E6A3C" w:rsidRPr="000E6E4C" w:rsidRDefault="005E6A3C" w:rsidP="000E6E4C">
      <w:pPr>
        <w:spacing w:line="240" w:lineRule="auto"/>
        <w:ind w:left="426" w:right="420" w:firstLine="0"/>
        <w:rPr>
          <w:rFonts w:ascii="Tahoma" w:hAnsi="Tahoma" w:cs="Tahoma"/>
          <w:i/>
          <w:iCs/>
          <w:spacing w:val="-3"/>
          <w:kern w:val="2"/>
          <w:sz w:val="22"/>
        </w:rPr>
      </w:pPr>
      <w:r w:rsidRPr="000E6E4C">
        <w:rPr>
          <w:rFonts w:ascii="Tahoma" w:hAnsi="Tahoma" w:cs="Tahoma"/>
          <w:i/>
          <w:iCs/>
          <w:spacing w:val="-3"/>
          <w:kern w:val="2"/>
          <w:sz w:val="22"/>
        </w:rPr>
        <w:t>«</w:t>
      </w:r>
      <w:proofErr w:type="gramStart"/>
      <w:r w:rsidRPr="000E6E4C">
        <w:rPr>
          <w:rFonts w:ascii="Tahoma" w:hAnsi="Tahoma" w:cs="Tahoma"/>
          <w:i/>
          <w:iCs/>
          <w:spacing w:val="-3"/>
          <w:kern w:val="2"/>
          <w:sz w:val="22"/>
        </w:rPr>
        <w:t>las</w:t>
      </w:r>
      <w:proofErr w:type="gramEnd"/>
      <w:r w:rsidRPr="000E6E4C">
        <w:rPr>
          <w:rFonts w:ascii="Tahoma" w:hAnsi="Tahoma" w:cs="Tahoma"/>
          <w:i/>
          <w:iCs/>
          <w:spacing w:val="-3"/>
          <w:kern w:val="2"/>
          <w:sz w:val="22"/>
        </w:rPr>
        <w:t xml:space="preserve"> consecuencias del error judicial no pueden gravitar negativamente en la parte procesal que lo padece, hasta el punto de perder la oportunidad de defenderse por haber conformado su conducta procesal a los informes procedentes del despacho judicial…; claro es que los errores judiciales se deben corregir, pero no a costa del sacrificio del legítimo derecho de defensa y menos de la buena fe puesta en los actos de las autoridades judiciales»</w:t>
      </w:r>
    </w:p>
    <w:p w14:paraId="4669E491" w14:textId="77777777" w:rsidR="002C08B0" w:rsidRPr="000E6E4C" w:rsidRDefault="002C08B0" w:rsidP="000E6E4C">
      <w:pPr>
        <w:spacing w:line="276" w:lineRule="auto"/>
        <w:rPr>
          <w:rFonts w:ascii="Tahoma" w:hAnsi="Tahoma" w:cs="Tahoma"/>
        </w:rPr>
      </w:pPr>
    </w:p>
    <w:p w14:paraId="5C76EE04" w14:textId="58F072CF" w:rsidR="002C08B0" w:rsidRPr="000E6E4C" w:rsidRDefault="005E6A3C" w:rsidP="000E6E4C">
      <w:pPr>
        <w:spacing w:line="276" w:lineRule="auto"/>
        <w:rPr>
          <w:rFonts w:ascii="Tahoma" w:hAnsi="Tahoma" w:cs="Tahoma"/>
          <w:color w:val="000000"/>
          <w:spacing w:val="2"/>
          <w:lang w:val="es-ES_tradnl"/>
        </w:rPr>
      </w:pPr>
      <w:r w:rsidRPr="000E6E4C">
        <w:rPr>
          <w:rFonts w:ascii="Tahoma" w:hAnsi="Tahoma" w:cs="Tahoma"/>
          <w:color w:val="000000"/>
          <w:spacing w:val="2"/>
          <w:lang w:val="es-ES_tradnl"/>
        </w:rPr>
        <w:t xml:space="preserve">En suma, </w:t>
      </w:r>
      <w:r w:rsidR="003D38C9" w:rsidRPr="000E6E4C">
        <w:rPr>
          <w:rFonts w:ascii="Tahoma" w:hAnsi="Tahoma" w:cs="Tahoma"/>
          <w:color w:val="000000"/>
          <w:spacing w:val="2"/>
          <w:lang w:val="es-ES_tradnl"/>
        </w:rPr>
        <w:t>los argumentos esbozados por la parte apelante no tienen</w:t>
      </w:r>
      <w:r w:rsidRPr="000E6E4C">
        <w:rPr>
          <w:rFonts w:ascii="Tahoma" w:hAnsi="Tahoma" w:cs="Tahoma"/>
          <w:color w:val="000000"/>
          <w:spacing w:val="2"/>
          <w:lang w:val="es-ES_tradnl"/>
        </w:rPr>
        <w:t xml:space="preserve"> eco en esta instancia, en la medida que lo pretendido riñe con los postulados del debido proceso, la confianza legítima y la prevalencia del derecho sustancial, razón por la cual se dispondrá a confirmar el auto impugnado y se condenará en costas en est</w:t>
      </w:r>
      <w:r w:rsidR="002133D2" w:rsidRPr="000E6E4C">
        <w:rPr>
          <w:rFonts w:ascii="Tahoma" w:hAnsi="Tahoma" w:cs="Tahoma"/>
          <w:color w:val="000000"/>
          <w:spacing w:val="2"/>
          <w:lang w:val="es-ES_tradnl"/>
        </w:rPr>
        <w:t>a</w:t>
      </w:r>
      <w:r w:rsidRPr="000E6E4C">
        <w:rPr>
          <w:rFonts w:ascii="Tahoma" w:hAnsi="Tahoma" w:cs="Tahoma"/>
          <w:color w:val="000000"/>
          <w:spacing w:val="2"/>
          <w:lang w:val="es-ES_tradnl"/>
        </w:rPr>
        <w:t xml:space="preserve"> instancia a la parte actora a favor de la demandada por la no prosperidad de la alzada.</w:t>
      </w:r>
    </w:p>
    <w:p w14:paraId="729E3B11" w14:textId="77777777" w:rsidR="005E6A3C" w:rsidRPr="000E6E4C" w:rsidRDefault="005E6A3C" w:rsidP="000E6E4C">
      <w:pPr>
        <w:spacing w:line="276" w:lineRule="auto"/>
        <w:rPr>
          <w:rFonts w:ascii="Tahoma" w:hAnsi="Tahoma" w:cs="Tahoma"/>
        </w:rPr>
      </w:pPr>
    </w:p>
    <w:p w14:paraId="122E3B2D" w14:textId="77777777" w:rsidR="00E20C6F" w:rsidRPr="000E6E4C" w:rsidRDefault="00E20C6F" w:rsidP="000E6E4C">
      <w:pPr>
        <w:pStyle w:val="Prrafodelista2"/>
        <w:spacing w:after="0"/>
        <w:ind w:left="0" w:firstLine="708"/>
        <w:jc w:val="both"/>
        <w:rPr>
          <w:rFonts w:ascii="Tahoma" w:hAnsi="Tahoma" w:cs="Tahoma"/>
          <w:color w:val="000000" w:themeColor="text1"/>
          <w:sz w:val="24"/>
          <w:szCs w:val="24"/>
          <w:lang w:val="es-ES_tradnl"/>
        </w:rPr>
      </w:pPr>
      <w:r w:rsidRPr="000E6E4C">
        <w:rPr>
          <w:rFonts w:ascii="Tahoma" w:hAnsi="Tahoma" w:cs="Tahoma"/>
          <w:color w:val="000000" w:themeColor="text1"/>
          <w:sz w:val="24"/>
          <w:szCs w:val="24"/>
          <w:lang w:val="es-ES_tradnl"/>
        </w:rPr>
        <w:t xml:space="preserve">En mérito de lo expuesto, el </w:t>
      </w:r>
      <w:r w:rsidRPr="000E6E4C">
        <w:rPr>
          <w:rFonts w:ascii="Tahoma" w:hAnsi="Tahoma" w:cs="Tahoma"/>
          <w:b/>
          <w:color w:val="000000" w:themeColor="text1"/>
          <w:sz w:val="24"/>
          <w:szCs w:val="24"/>
          <w:lang w:val="es-ES_tradnl"/>
        </w:rPr>
        <w:t>Tribunal Superior del Distrito Judicial de Pereira - Risaralda, Sala Primera de Decisión Laboral,</w:t>
      </w:r>
      <w:r w:rsidRPr="000E6E4C">
        <w:rPr>
          <w:rFonts w:ascii="Tahoma" w:hAnsi="Tahoma" w:cs="Tahoma"/>
          <w:color w:val="000000" w:themeColor="text1"/>
          <w:sz w:val="24"/>
          <w:szCs w:val="24"/>
          <w:lang w:val="es-ES_tradnl"/>
        </w:rPr>
        <w:t xml:space="preserve"> </w:t>
      </w:r>
    </w:p>
    <w:p w14:paraId="12A0F8A7" w14:textId="77777777" w:rsidR="00E20C6F" w:rsidRPr="000E6E4C" w:rsidRDefault="00E20C6F" w:rsidP="000E6E4C">
      <w:pPr>
        <w:spacing w:line="276" w:lineRule="auto"/>
        <w:rPr>
          <w:rFonts w:ascii="Tahoma" w:hAnsi="Tahoma" w:cs="Tahoma"/>
          <w:lang w:val="es-ES_tradnl"/>
        </w:rPr>
      </w:pPr>
    </w:p>
    <w:p w14:paraId="446FE733" w14:textId="77777777" w:rsidR="00E20C6F" w:rsidRPr="000E6E4C" w:rsidRDefault="00E20C6F" w:rsidP="000E6E4C">
      <w:pPr>
        <w:spacing w:line="276" w:lineRule="auto"/>
        <w:jc w:val="center"/>
        <w:rPr>
          <w:rFonts w:ascii="Tahoma" w:hAnsi="Tahoma" w:cs="Tahoma"/>
          <w:b/>
          <w:bCs/>
        </w:rPr>
      </w:pPr>
      <w:r w:rsidRPr="000E6E4C">
        <w:rPr>
          <w:rFonts w:ascii="Tahoma" w:hAnsi="Tahoma" w:cs="Tahoma"/>
          <w:b/>
          <w:bCs/>
        </w:rPr>
        <w:t>R E S U E L V E:</w:t>
      </w:r>
    </w:p>
    <w:p w14:paraId="140562C7" w14:textId="77777777" w:rsidR="00E20C6F" w:rsidRPr="000E6E4C" w:rsidRDefault="00E20C6F" w:rsidP="000E6E4C">
      <w:pPr>
        <w:spacing w:line="276" w:lineRule="auto"/>
        <w:rPr>
          <w:rFonts w:ascii="Tahoma" w:hAnsi="Tahoma" w:cs="Tahoma"/>
        </w:rPr>
      </w:pPr>
    </w:p>
    <w:p w14:paraId="2DAB1834" w14:textId="63764B57" w:rsidR="00E20C6F" w:rsidRPr="000E6E4C" w:rsidRDefault="00E20C6F" w:rsidP="000E6E4C">
      <w:pPr>
        <w:spacing w:line="276" w:lineRule="auto"/>
        <w:rPr>
          <w:rFonts w:ascii="Tahoma" w:hAnsi="Tahoma" w:cs="Tahoma"/>
          <w:spacing w:val="-3"/>
          <w:kern w:val="2"/>
        </w:rPr>
      </w:pPr>
      <w:r w:rsidRPr="000E6E4C">
        <w:rPr>
          <w:rFonts w:ascii="Tahoma" w:hAnsi="Tahoma" w:cs="Tahoma"/>
          <w:b/>
          <w:bCs/>
        </w:rPr>
        <w:t>PRIMERO</w:t>
      </w:r>
      <w:r w:rsidRPr="000E6E4C">
        <w:rPr>
          <w:rFonts w:ascii="Tahoma" w:hAnsi="Tahoma" w:cs="Tahoma"/>
        </w:rPr>
        <w:t xml:space="preserve">.- </w:t>
      </w:r>
      <w:r w:rsidR="005E6A3C" w:rsidRPr="000E6E4C">
        <w:rPr>
          <w:rFonts w:ascii="Tahoma" w:hAnsi="Tahoma" w:cs="Tahoma"/>
          <w:b/>
          <w:bCs/>
        </w:rPr>
        <w:t xml:space="preserve">CONFIRMAR </w:t>
      </w:r>
      <w:r w:rsidR="005E6A3C" w:rsidRPr="000E6E4C">
        <w:rPr>
          <w:rFonts w:ascii="Tahoma" w:hAnsi="Tahoma" w:cs="Tahoma"/>
        </w:rPr>
        <w:t xml:space="preserve">en su integridad el auto </w:t>
      </w:r>
      <w:r w:rsidR="005E6A3C" w:rsidRPr="000E6E4C">
        <w:rPr>
          <w:rFonts w:ascii="Tahoma" w:hAnsi="Tahoma" w:cs="Tahoma"/>
          <w:spacing w:val="-3"/>
          <w:kern w:val="2"/>
        </w:rPr>
        <w:t>proferido el 24 de febrero de 2020 por el Juzgado Primero Laboral del Circuito de Pereira dentro del proceso adelantado por Gustavo Adolfo Arias Bedoya en contra de Luz Adriana Calle Cardona, por las razones expuestas.</w:t>
      </w:r>
    </w:p>
    <w:p w14:paraId="4C354643" w14:textId="32D54345" w:rsidR="005E6A3C" w:rsidRPr="000E6E4C" w:rsidRDefault="005E6A3C" w:rsidP="000E6E4C">
      <w:pPr>
        <w:spacing w:line="276" w:lineRule="auto"/>
        <w:rPr>
          <w:rFonts w:ascii="Tahoma" w:hAnsi="Tahoma" w:cs="Tahoma"/>
          <w:spacing w:val="-3"/>
          <w:kern w:val="2"/>
        </w:rPr>
      </w:pPr>
    </w:p>
    <w:p w14:paraId="3A827A1F" w14:textId="424C39D6" w:rsidR="005E6A3C" w:rsidRPr="000E6E4C" w:rsidRDefault="005E6A3C" w:rsidP="000E6E4C">
      <w:pPr>
        <w:spacing w:line="276" w:lineRule="auto"/>
        <w:rPr>
          <w:rFonts w:ascii="Tahoma" w:hAnsi="Tahoma" w:cs="Tahoma"/>
        </w:rPr>
      </w:pPr>
      <w:r w:rsidRPr="000E6E4C">
        <w:rPr>
          <w:rFonts w:ascii="Tahoma" w:hAnsi="Tahoma" w:cs="Tahoma"/>
          <w:b/>
          <w:bCs/>
          <w:spacing w:val="-3"/>
          <w:kern w:val="2"/>
        </w:rPr>
        <w:t>SEGUNDO.-</w:t>
      </w:r>
      <w:r w:rsidRPr="000E6E4C">
        <w:rPr>
          <w:rFonts w:ascii="Tahoma" w:hAnsi="Tahoma" w:cs="Tahoma"/>
        </w:rPr>
        <w:t xml:space="preserve"> Costas en esta instancia a cargo de la parte demandante y a favor de la demanda.</w:t>
      </w:r>
    </w:p>
    <w:p w14:paraId="17CC474E" w14:textId="77777777" w:rsidR="00E20C6F" w:rsidRPr="000E6E4C" w:rsidRDefault="00E20C6F" w:rsidP="000E6E4C">
      <w:pPr>
        <w:spacing w:line="276" w:lineRule="auto"/>
        <w:rPr>
          <w:rFonts w:ascii="Tahoma" w:hAnsi="Tahoma" w:cs="Tahoma"/>
        </w:rPr>
      </w:pPr>
    </w:p>
    <w:p w14:paraId="787C8942" w14:textId="77777777" w:rsidR="00E20C6F" w:rsidRPr="000E6E4C" w:rsidRDefault="00E20C6F" w:rsidP="000E6E4C">
      <w:pPr>
        <w:widowControl w:val="0"/>
        <w:autoSpaceDE w:val="0"/>
        <w:autoSpaceDN w:val="0"/>
        <w:adjustRightInd w:val="0"/>
        <w:spacing w:line="276" w:lineRule="auto"/>
        <w:jc w:val="center"/>
        <w:rPr>
          <w:rFonts w:ascii="Tahoma" w:hAnsi="Tahoma" w:cs="Tahoma"/>
          <w:b/>
        </w:rPr>
      </w:pPr>
      <w:r w:rsidRPr="000E6E4C">
        <w:rPr>
          <w:rFonts w:ascii="Tahoma" w:hAnsi="Tahoma" w:cs="Tahoma"/>
          <w:b/>
        </w:rPr>
        <w:t>NOTIFÍQUESE Y CÚMPLASE</w:t>
      </w:r>
    </w:p>
    <w:p w14:paraId="4E8C195D" w14:textId="77777777" w:rsidR="000E6E4C" w:rsidRPr="000E6E4C" w:rsidRDefault="000E6E4C" w:rsidP="000E6E4C">
      <w:pPr>
        <w:spacing w:line="276" w:lineRule="auto"/>
        <w:ind w:firstLine="708"/>
        <w:rPr>
          <w:rFonts w:ascii="Tahoma" w:eastAsia="Calibri" w:hAnsi="Tahoma" w:cs="Tahoma"/>
          <w:lang w:val="es-ES_tradnl"/>
        </w:rPr>
      </w:pPr>
    </w:p>
    <w:p w14:paraId="6FB5F6E6" w14:textId="77777777" w:rsidR="000E6E4C" w:rsidRPr="000E6E4C" w:rsidRDefault="000E6E4C" w:rsidP="000E6E4C">
      <w:pPr>
        <w:spacing w:line="276" w:lineRule="auto"/>
        <w:ind w:firstLine="708"/>
        <w:rPr>
          <w:rFonts w:ascii="Tahoma" w:eastAsia="Calibri" w:hAnsi="Tahoma" w:cs="Tahoma"/>
          <w:lang w:val="es-ES_tradnl"/>
        </w:rPr>
      </w:pPr>
      <w:bookmarkStart w:id="1" w:name="OLE_LINK23"/>
      <w:r w:rsidRPr="000E6E4C">
        <w:rPr>
          <w:rFonts w:ascii="Tahoma" w:eastAsia="Calibri" w:hAnsi="Tahoma" w:cs="Tahoma"/>
          <w:lang w:val="es-ES_tradnl"/>
        </w:rPr>
        <w:t xml:space="preserve">La Magistrada Ponente, </w:t>
      </w:r>
    </w:p>
    <w:p w14:paraId="32CDC7E5" w14:textId="77777777" w:rsidR="000E6E4C" w:rsidRPr="000E6E4C" w:rsidRDefault="000E6E4C" w:rsidP="000E6E4C">
      <w:pPr>
        <w:widowControl w:val="0"/>
        <w:autoSpaceDE w:val="0"/>
        <w:autoSpaceDN w:val="0"/>
        <w:adjustRightInd w:val="0"/>
        <w:spacing w:line="276" w:lineRule="auto"/>
        <w:ind w:firstLine="0"/>
        <w:rPr>
          <w:rFonts w:eastAsia="Calibri" w:cs="Arial"/>
          <w:bCs/>
          <w:lang w:val="es-ES_tradnl" w:eastAsia="es-ES_tradnl"/>
        </w:rPr>
      </w:pPr>
    </w:p>
    <w:p w14:paraId="1B7A7D3A" w14:textId="77777777" w:rsidR="000E6E4C" w:rsidRPr="000E6E4C" w:rsidRDefault="000E6E4C" w:rsidP="000E6E4C">
      <w:pPr>
        <w:widowControl w:val="0"/>
        <w:autoSpaceDE w:val="0"/>
        <w:autoSpaceDN w:val="0"/>
        <w:adjustRightInd w:val="0"/>
        <w:spacing w:line="276" w:lineRule="auto"/>
        <w:ind w:firstLine="0"/>
        <w:rPr>
          <w:rFonts w:eastAsia="Calibri" w:cs="Arial"/>
          <w:bCs/>
          <w:lang w:val="es-ES_tradnl" w:eastAsia="es-ES_tradnl"/>
        </w:rPr>
      </w:pPr>
    </w:p>
    <w:p w14:paraId="4522D62A" w14:textId="77777777" w:rsidR="000E6E4C" w:rsidRPr="000E6E4C" w:rsidRDefault="000E6E4C" w:rsidP="000E6E4C">
      <w:pPr>
        <w:spacing w:line="276" w:lineRule="auto"/>
        <w:ind w:firstLine="705"/>
        <w:jc w:val="center"/>
        <w:textAlignment w:val="baseline"/>
        <w:rPr>
          <w:rFonts w:ascii="Tahoma" w:eastAsia="Times New Roman" w:hAnsi="Tahoma" w:cs="Tahoma"/>
          <w:b/>
          <w:bCs/>
          <w:lang w:val="es-ES_tradnl" w:eastAsia="es-ES_tradnl"/>
        </w:rPr>
      </w:pPr>
      <w:r w:rsidRPr="000E6E4C">
        <w:rPr>
          <w:rFonts w:ascii="Tahoma" w:eastAsia="Times New Roman" w:hAnsi="Tahoma" w:cs="Tahoma"/>
          <w:b/>
          <w:bCs/>
          <w:lang w:val="es-ES_tradnl" w:eastAsia="es-ES_tradnl"/>
        </w:rPr>
        <w:t>ANA LUCÍA CAICEDO CALDERÓN</w:t>
      </w:r>
    </w:p>
    <w:p w14:paraId="647ED6A8" w14:textId="77777777" w:rsidR="000E6E4C" w:rsidRPr="000E6E4C" w:rsidRDefault="000E6E4C" w:rsidP="000E6E4C">
      <w:pPr>
        <w:widowControl w:val="0"/>
        <w:autoSpaceDE w:val="0"/>
        <w:autoSpaceDN w:val="0"/>
        <w:adjustRightInd w:val="0"/>
        <w:spacing w:line="276" w:lineRule="auto"/>
        <w:ind w:firstLine="0"/>
        <w:rPr>
          <w:rFonts w:eastAsia="Calibri" w:cs="Arial"/>
          <w:bCs/>
          <w:lang w:val="es-ES_tradnl" w:eastAsia="es-ES_tradnl"/>
        </w:rPr>
      </w:pPr>
    </w:p>
    <w:p w14:paraId="70FDDD38" w14:textId="77777777" w:rsidR="000E6E4C" w:rsidRPr="000E6E4C" w:rsidRDefault="000E6E4C" w:rsidP="000E6E4C">
      <w:pPr>
        <w:spacing w:line="276" w:lineRule="auto"/>
        <w:ind w:firstLine="705"/>
        <w:jc w:val="left"/>
        <w:textAlignment w:val="baseline"/>
        <w:rPr>
          <w:rFonts w:ascii="Tahoma" w:eastAsia="Times New Roman" w:hAnsi="Tahoma" w:cs="Tahoma"/>
          <w:lang w:val="es-ES_tradnl" w:eastAsia="es-ES_tradnl"/>
        </w:rPr>
      </w:pPr>
      <w:r w:rsidRPr="000E6E4C">
        <w:rPr>
          <w:rFonts w:ascii="Tahoma" w:eastAsia="Times New Roman" w:hAnsi="Tahoma" w:cs="Tahoma"/>
          <w:lang w:val="es-ES_tradnl" w:eastAsia="es-ES_tradnl"/>
        </w:rPr>
        <w:t>La Magistrada y el Magistrado,</w:t>
      </w:r>
    </w:p>
    <w:p w14:paraId="561CA6A7" w14:textId="77777777" w:rsidR="000E6E4C" w:rsidRPr="000E6E4C" w:rsidRDefault="000E6E4C" w:rsidP="000E6E4C">
      <w:pPr>
        <w:widowControl w:val="0"/>
        <w:autoSpaceDE w:val="0"/>
        <w:autoSpaceDN w:val="0"/>
        <w:adjustRightInd w:val="0"/>
        <w:spacing w:line="276" w:lineRule="auto"/>
        <w:ind w:firstLine="0"/>
        <w:rPr>
          <w:rFonts w:eastAsia="Calibri" w:cs="Arial"/>
          <w:bCs/>
          <w:lang w:val="es-ES_tradnl" w:eastAsia="es-ES_tradnl"/>
        </w:rPr>
      </w:pPr>
    </w:p>
    <w:p w14:paraId="24323182" w14:textId="77777777" w:rsidR="000E6E4C" w:rsidRPr="000E6E4C" w:rsidRDefault="000E6E4C" w:rsidP="000E6E4C">
      <w:pPr>
        <w:widowControl w:val="0"/>
        <w:autoSpaceDE w:val="0"/>
        <w:autoSpaceDN w:val="0"/>
        <w:adjustRightInd w:val="0"/>
        <w:spacing w:line="276" w:lineRule="auto"/>
        <w:ind w:firstLine="0"/>
        <w:rPr>
          <w:rFonts w:eastAsia="Calibri" w:cs="Arial"/>
          <w:bCs/>
          <w:lang w:val="es-ES_tradnl" w:eastAsia="es-ES_tradnl"/>
        </w:rPr>
      </w:pPr>
    </w:p>
    <w:p w14:paraId="6D3DF50F" w14:textId="458F9692" w:rsidR="00E20C6F" w:rsidRPr="000E6E4C" w:rsidRDefault="000E6E4C" w:rsidP="000E6E4C">
      <w:pPr>
        <w:spacing w:line="276" w:lineRule="auto"/>
        <w:ind w:firstLine="0"/>
        <w:jc w:val="left"/>
        <w:rPr>
          <w:rFonts w:ascii="Tahoma" w:eastAsia="Times New Roman" w:hAnsi="Tahoma" w:cs="Tahoma"/>
          <w:lang w:val="es-ES" w:eastAsia="es-ES"/>
        </w:rPr>
      </w:pPr>
      <w:r w:rsidRPr="000E6E4C">
        <w:rPr>
          <w:rFonts w:ascii="Tahoma" w:eastAsia="Times New Roman" w:hAnsi="Tahoma" w:cs="Tahoma"/>
          <w:b/>
          <w:bCs/>
          <w:lang w:val="es-ES" w:eastAsia="es-ES"/>
        </w:rPr>
        <w:t>OLGA LUCÍA HOYOS SEPÚLVEDA</w:t>
      </w:r>
      <w:r w:rsidRPr="000E6E4C">
        <w:rPr>
          <w:rFonts w:ascii="Tahoma" w:eastAsia="Times New Roman" w:hAnsi="Tahoma" w:cs="Tahoma"/>
          <w:b/>
          <w:bCs/>
          <w:lang w:val="es-ES" w:eastAsia="es-ES"/>
        </w:rPr>
        <w:tab/>
      </w:r>
      <w:r w:rsidRPr="000E6E4C">
        <w:rPr>
          <w:rFonts w:ascii="Tahoma" w:eastAsia="Times New Roman" w:hAnsi="Tahoma" w:cs="Tahoma"/>
          <w:b/>
          <w:bCs/>
          <w:lang w:val="es-ES" w:eastAsia="es-ES"/>
        </w:rPr>
        <w:tab/>
        <w:t>JULIO CÉSAR SALAZAR MUÑOZ</w:t>
      </w:r>
      <w:bookmarkStart w:id="2" w:name="_GoBack"/>
      <w:bookmarkEnd w:id="1"/>
      <w:bookmarkEnd w:id="2"/>
    </w:p>
    <w:sectPr w:rsidR="00E20C6F" w:rsidRPr="000E6E4C" w:rsidSect="00FD434A">
      <w:headerReference w:type="default" r:id="rId12"/>
      <w:footerReference w:type="first" r:id="rId13"/>
      <w:pgSz w:w="12242" w:h="18722" w:code="258"/>
      <w:pgMar w:top="1814" w:right="1247" w:bottom="1247" w:left="1814"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E1F1342"/>
  <w15:commentEx w15:done="0" w15:paraId="72C1B40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9C0D9F" w16cex:dateUtc="2020-11-14T01:02:02.292Z"/>
  <w16cex:commentExtensible w16cex:durableId="7D5CD367" w16cex:dateUtc="2020-11-16T16:05:20.536Z"/>
</w16cex:commentsExtensible>
</file>

<file path=word/commentsIds.xml><?xml version="1.0" encoding="utf-8"?>
<w16cid:commentsIds xmlns:mc="http://schemas.openxmlformats.org/markup-compatibility/2006" xmlns:w16cid="http://schemas.microsoft.com/office/word/2016/wordml/cid" mc:Ignorable="w16cid">
  <w16cid:commentId w16cid:paraId="0E1F1342" w16cid:durableId="7D9C0D9F"/>
  <w16cid:commentId w16cid:paraId="72C1B40D" w16cid:durableId="7D5CD3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9291" w14:textId="77777777" w:rsidR="006E37A2" w:rsidRDefault="006E37A2" w:rsidP="00E20C6F">
      <w:pPr>
        <w:spacing w:line="240" w:lineRule="auto"/>
      </w:pPr>
      <w:r>
        <w:separator/>
      </w:r>
    </w:p>
  </w:endnote>
  <w:endnote w:type="continuationSeparator" w:id="0">
    <w:p w14:paraId="5AC8C593" w14:textId="77777777" w:rsidR="006E37A2" w:rsidRDefault="006E37A2" w:rsidP="00E20C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FBBF" w14:textId="1B5FA2D0" w:rsidR="00A776B3" w:rsidRDefault="00A776B3">
    <w:pPr>
      <w:pStyle w:val="Piedepgina"/>
      <w:jc w:val="right"/>
    </w:pPr>
  </w:p>
  <w:p w14:paraId="67B8B998" w14:textId="77777777" w:rsidR="00A776B3" w:rsidRDefault="00A776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6B4D6" w14:textId="77777777" w:rsidR="006E37A2" w:rsidRDefault="006E37A2" w:rsidP="00E20C6F">
      <w:pPr>
        <w:spacing w:line="240" w:lineRule="auto"/>
      </w:pPr>
      <w:r>
        <w:separator/>
      </w:r>
    </w:p>
  </w:footnote>
  <w:footnote w:type="continuationSeparator" w:id="0">
    <w:p w14:paraId="3E1D943C" w14:textId="77777777" w:rsidR="006E37A2" w:rsidRDefault="006E37A2" w:rsidP="00E20C6F">
      <w:pPr>
        <w:spacing w:line="240" w:lineRule="auto"/>
      </w:pPr>
      <w:r>
        <w:continuationSeparator/>
      </w:r>
    </w:p>
  </w:footnote>
  <w:footnote w:id="1">
    <w:p w14:paraId="25162C73" w14:textId="3037B1AA" w:rsidR="007D354F" w:rsidRPr="000E6E4C" w:rsidRDefault="007D354F"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51, expediente virtual</w:t>
      </w:r>
    </w:p>
  </w:footnote>
  <w:footnote w:id="2">
    <w:p w14:paraId="5294A15B" w14:textId="6D65037D" w:rsidR="007D354F" w:rsidRPr="000E6E4C" w:rsidRDefault="007D354F"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65, expediente virtual</w:t>
      </w:r>
    </w:p>
  </w:footnote>
  <w:footnote w:id="3">
    <w:p w14:paraId="4CECEE49" w14:textId="1A3B6729" w:rsidR="007D354F" w:rsidRPr="000E6E4C" w:rsidRDefault="007D354F"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 xml:space="preserve">Página </w:t>
      </w:r>
      <w:r w:rsidR="00247920" w:rsidRPr="000E6E4C">
        <w:rPr>
          <w:sz w:val="18"/>
          <w:szCs w:val="18"/>
          <w:lang w:val="es-419"/>
        </w:rPr>
        <w:t>23</w:t>
      </w:r>
      <w:r w:rsidRPr="000E6E4C">
        <w:rPr>
          <w:sz w:val="18"/>
          <w:szCs w:val="18"/>
          <w:lang w:val="es-419"/>
        </w:rPr>
        <w:t>, expediente virtual</w:t>
      </w:r>
    </w:p>
  </w:footnote>
  <w:footnote w:id="4">
    <w:p w14:paraId="6DF16E39" w14:textId="7674066D" w:rsidR="00247920" w:rsidRPr="000E6E4C" w:rsidRDefault="00247920"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93-94, expediente virtual</w:t>
      </w:r>
    </w:p>
  </w:footnote>
  <w:footnote w:id="5">
    <w:p w14:paraId="26EB3D1C" w14:textId="58138BB0" w:rsidR="007D354F" w:rsidRPr="000E6E4C" w:rsidRDefault="007D354F"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65, expediente virtual</w:t>
      </w:r>
    </w:p>
  </w:footnote>
  <w:footnote w:id="6">
    <w:p w14:paraId="1D10B9DC" w14:textId="5552C99A" w:rsidR="00073A5D" w:rsidRPr="000E6E4C" w:rsidRDefault="00073A5D"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95-97, expediente virtual</w:t>
      </w:r>
    </w:p>
  </w:footnote>
  <w:footnote w:id="7">
    <w:p w14:paraId="32903A1D" w14:textId="467AD9F9" w:rsidR="00073A5D" w:rsidRPr="000E6E4C" w:rsidRDefault="00073A5D"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Página 116-1</w:t>
      </w:r>
      <w:r w:rsidR="00B41439" w:rsidRPr="000E6E4C">
        <w:rPr>
          <w:sz w:val="18"/>
          <w:szCs w:val="18"/>
          <w:lang w:val="es-419"/>
        </w:rPr>
        <w:t>21</w:t>
      </w:r>
      <w:r w:rsidRPr="000E6E4C">
        <w:rPr>
          <w:sz w:val="18"/>
          <w:szCs w:val="18"/>
          <w:lang w:val="es-419"/>
        </w:rPr>
        <w:t>, Expediente digital</w:t>
      </w:r>
    </w:p>
  </w:footnote>
  <w:footnote w:id="8">
    <w:p w14:paraId="2B735B38" w14:textId="77777777" w:rsidR="002C08B0" w:rsidRPr="000E6E4C" w:rsidRDefault="002C08B0" w:rsidP="000E6E4C">
      <w:pPr>
        <w:pStyle w:val="Textonotapie"/>
        <w:ind w:firstLine="0"/>
        <w:rPr>
          <w:sz w:val="18"/>
          <w:szCs w:val="18"/>
          <w:lang w:val="es-419"/>
        </w:rPr>
      </w:pPr>
      <w:r w:rsidRPr="000E6E4C">
        <w:rPr>
          <w:rStyle w:val="Refdenotaalpie"/>
          <w:sz w:val="18"/>
          <w:szCs w:val="18"/>
        </w:rPr>
        <w:footnoteRef/>
      </w:r>
      <w:r w:rsidRPr="000E6E4C">
        <w:rPr>
          <w:sz w:val="18"/>
          <w:szCs w:val="18"/>
        </w:rPr>
        <w:t xml:space="preserve"> </w:t>
      </w:r>
      <w:r w:rsidRPr="000E6E4C">
        <w:rPr>
          <w:sz w:val="18"/>
          <w:szCs w:val="18"/>
          <w:lang w:val="es-419"/>
        </w:rPr>
        <w:t>Auto del 12 de febrero de 2009. Rad. 66001-31-05-001-2007-01130-01</w:t>
      </w:r>
    </w:p>
  </w:footnote>
  <w:footnote w:id="9">
    <w:p w14:paraId="239C4B71" w14:textId="34DE05C2" w:rsidR="005E6A3C" w:rsidRPr="005E6A3C" w:rsidRDefault="005E6A3C" w:rsidP="000E6E4C">
      <w:pPr>
        <w:pStyle w:val="Textonotapie"/>
        <w:ind w:firstLine="0"/>
        <w:rPr>
          <w:sz w:val="16"/>
          <w:szCs w:val="16"/>
          <w:lang w:val="es-419"/>
        </w:rPr>
      </w:pPr>
      <w:r w:rsidRPr="000E6E4C">
        <w:rPr>
          <w:rStyle w:val="Refdenotaalpie"/>
          <w:sz w:val="18"/>
          <w:szCs w:val="18"/>
        </w:rPr>
        <w:footnoteRef/>
      </w:r>
      <w:r w:rsidRPr="000E6E4C">
        <w:rPr>
          <w:sz w:val="18"/>
          <w:szCs w:val="18"/>
        </w:rPr>
        <w:t xml:space="preserve"> </w:t>
      </w:r>
      <w:r w:rsidRPr="000E6E4C">
        <w:rPr>
          <w:sz w:val="18"/>
          <w:szCs w:val="18"/>
          <w:lang w:val="es-419"/>
        </w:rPr>
        <w:t>Sentencia del 20 de mayo de 2020, CSJ – SCC, Rad, 52001-22-13-000-2020-00023-01.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F32" w14:textId="6DF549BB" w:rsidR="00A776B3" w:rsidRPr="000E6E4C" w:rsidRDefault="00A776B3" w:rsidP="00A776B3">
    <w:pPr>
      <w:pStyle w:val="NormalWeb"/>
      <w:shd w:val="clear" w:color="auto" w:fill="FFFFFF" w:themeFill="background1"/>
      <w:tabs>
        <w:tab w:val="left" w:pos="1276"/>
      </w:tabs>
      <w:spacing w:before="0" w:beforeAutospacing="0" w:after="0" w:afterAutospacing="0"/>
      <w:ind w:firstLine="0"/>
      <w:jc w:val="both"/>
      <w:rPr>
        <w:rFonts w:ascii="Arial" w:hAnsi="Arial" w:cs="Arial"/>
        <w:sz w:val="18"/>
        <w:szCs w:val="14"/>
      </w:rPr>
    </w:pPr>
    <w:r w:rsidRPr="000E6E4C">
      <w:rPr>
        <w:rFonts w:ascii="Arial" w:hAnsi="Arial" w:cs="Arial"/>
        <w:sz w:val="18"/>
        <w:szCs w:val="14"/>
      </w:rPr>
      <w:t xml:space="preserve">Radicación No.: </w:t>
    </w:r>
    <w:r w:rsidRPr="000E6E4C">
      <w:rPr>
        <w:rFonts w:ascii="Arial" w:hAnsi="Arial" w:cs="Arial"/>
        <w:sz w:val="18"/>
        <w:szCs w:val="14"/>
      </w:rPr>
      <w:tab/>
      <w:t>66001-31-05-001-2019-00451-01</w:t>
    </w:r>
  </w:p>
  <w:p w14:paraId="253BA142" w14:textId="6916F262" w:rsidR="00A776B3" w:rsidRPr="000E6E4C" w:rsidRDefault="00A776B3" w:rsidP="00A776B3">
    <w:pPr>
      <w:pStyle w:val="NormalWeb"/>
      <w:shd w:val="clear" w:color="auto" w:fill="FFFFFF" w:themeFill="background1"/>
      <w:tabs>
        <w:tab w:val="left" w:pos="1276"/>
      </w:tabs>
      <w:spacing w:before="0" w:beforeAutospacing="0" w:after="0" w:afterAutospacing="0"/>
      <w:ind w:firstLine="0"/>
      <w:jc w:val="both"/>
      <w:rPr>
        <w:rFonts w:ascii="Arial" w:hAnsi="Arial" w:cs="Arial"/>
        <w:sz w:val="18"/>
        <w:szCs w:val="14"/>
      </w:rPr>
    </w:pPr>
    <w:r w:rsidRPr="000E6E4C">
      <w:rPr>
        <w:rFonts w:ascii="Arial" w:hAnsi="Arial" w:cs="Arial"/>
        <w:sz w:val="18"/>
        <w:szCs w:val="14"/>
      </w:rPr>
      <w:t>Demandante:</w:t>
    </w:r>
    <w:r w:rsidR="000E6E4C">
      <w:rPr>
        <w:rFonts w:ascii="Arial" w:hAnsi="Arial" w:cs="Arial"/>
        <w:sz w:val="18"/>
        <w:szCs w:val="14"/>
      </w:rPr>
      <w:tab/>
    </w:r>
    <w:r w:rsidRPr="000E6E4C">
      <w:rPr>
        <w:rFonts w:ascii="Arial" w:hAnsi="Arial" w:cs="Arial"/>
        <w:sz w:val="18"/>
        <w:szCs w:val="14"/>
      </w:rPr>
      <w:t xml:space="preserve"> </w:t>
    </w:r>
    <w:r w:rsidRPr="000E6E4C">
      <w:rPr>
        <w:rFonts w:ascii="Arial" w:hAnsi="Arial" w:cs="Arial"/>
        <w:sz w:val="18"/>
        <w:szCs w:val="14"/>
      </w:rPr>
      <w:tab/>
      <w:t>Gustavo Adolfo Arias Bedoya</w:t>
    </w:r>
  </w:p>
  <w:p w14:paraId="7C30977F" w14:textId="305D8C05" w:rsidR="00E20C6F" w:rsidRPr="000E6E4C" w:rsidRDefault="00A776B3" w:rsidP="000E6E4C">
    <w:pPr>
      <w:pStyle w:val="NormalWeb"/>
      <w:shd w:val="clear" w:color="auto" w:fill="FFFFFF" w:themeFill="background1"/>
      <w:tabs>
        <w:tab w:val="left" w:pos="1276"/>
      </w:tabs>
      <w:spacing w:before="0" w:beforeAutospacing="0" w:after="0" w:afterAutospacing="0"/>
      <w:ind w:firstLine="0"/>
      <w:jc w:val="both"/>
      <w:rPr>
        <w:rFonts w:ascii="Arial" w:hAnsi="Arial" w:cs="Arial"/>
        <w:sz w:val="18"/>
        <w:szCs w:val="14"/>
      </w:rPr>
    </w:pPr>
    <w:r w:rsidRPr="000E6E4C">
      <w:rPr>
        <w:rFonts w:ascii="Arial" w:hAnsi="Arial" w:cs="Arial"/>
        <w:sz w:val="18"/>
        <w:szCs w:val="14"/>
      </w:rPr>
      <w:t xml:space="preserve">Demandado: </w:t>
    </w:r>
    <w:r w:rsidR="000E6E4C">
      <w:rPr>
        <w:rFonts w:ascii="Arial" w:hAnsi="Arial" w:cs="Arial"/>
        <w:sz w:val="18"/>
        <w:szCs w:val="14"/>
      </w:rPr>
      <w:tab/>
    </w:r>
    <w:r w:rsidRPr="000E6E4C">
      <w:rPr>
        <w:rFonts w:ascii="Arial" w:hAnsi="Arial" w:cs="Arial"/>
        <w:sz w:val="18"/>
        <w:szCs w:val="14"/>
      </w:rPr>
      <w:tab/>
      <w:t>Luz Adriana Calle Cardona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F22"/>
    <w:multiLevelType w:val="hybridMultilevel"/>
    <w:tmpl w:val="640A3088"/>
    <w:lvl w:ilvl="0" w:tplc="C3CE5ABC">
      <w:start w:val="1"/>
      <w:numFmt w:val="decimal"/>
      <w:lvlText w:val="%1."/>
      <w:lvlJc w:val="left"/>
      <w:pPr>
        <w:ind w:left="1069" w:hanging="360"/>
      </w:pPr>
    </w:lvl>
    <w:lvl w:ilvl="1" w:tplc="240A0019">
      <w:start w:val="1"/>
      <w:numFmt w:val="lowerLetter"/>
      <w:lvlText w:val="%2."/>
      <w:lvlJc w:val="left"/>
      <w:pPr>
        <w:ind w:left="1789" w:hanging="360"/>
      </w:pPr>
    </w:lvl>
    <w:lvl w:ilvl="2" w:tplc="240A001B">
      <w:start w:val="1"/>
      <w:numFmt w:val="lowerRoman"/>
      <w:lvlText w:val="%3."/>
      <w:lvlJc w:val="right"/>
      <w:pPr>
        <w:ind w:left="2509" w:hanging="180"/>
      </w:pPr>
    </w:lvl>
    <w:lvl w:ilvl="3" w:tplc="240A000F">
      <w:start w:val="1"/>
      <w:numFmt w:val="decimal"/>
      <w:lvlText w:val="%4."/>
      <w:lvlJc w:val="left"/>
      <w:pPr>
        <w:ind w:left="3229" w:hanging="360"/>
      </w:pPr>
    </w:lvl>
    <w:lvl w:ilvl="4" w:tplc="240A0019">
      <w:start w:val="1"/>
      <w:numFmt w:val="lowerLetter"/>
      <w:lvlText w:val="%5."/>
      <w:lvlJc w:val="left"/>
      <w:pPr>
        <w:ind w:left="3949" w:hanging="360"/>
      </w:pPr>
    </w:lvl>
    <w:lvl w:ilvl="5" w:tplc="240A001B">
      <w:start w:val="1"/>
      <w:numFmt w:val="lowerRoman"/>
      <w:lvlText w:val="%6."/>
      <w:lvlJc w:val="right"/>
      <w:pPr>
        <w:ind w:left="4669" w:hanging="180"/>
      </w:pPr>
    </w:lvl>
    <w:lvl w:ilvl="6" w:tplc="240A000F">
      <w:start w:val="1"/>
      <w:numFmt w:val="decimal"/>
      <w:lvlText w:val="%7."/>
      <w:lvlJc w:val="left"/>
      <w:pPr>
        <w:ind w:left="5389" w:hanging="360"/>
      </w:pPr>
    </w:lvl>
    <w:lvl w:ilvl="7" w:tplc="240A0019">
      <w:start w:val="1"/>
      <w:numFmt w:val="lowerLetter"/>
      <w:lvlText w:val="%8."/>
      <w:lvlJc w:val="left"/>
      <w:pPr>
        <w:ind w:left="6109" w:hanging="360"/>
      </w:pPr>
    </w:lvl>
    <w:lvl w:ilvl="8" w:tplc="240A001B">
      <w:start w:val="1"/>
      <w:numFmt w:val="lowerRoman"/>
      <w:lvlText w:val="%9."/>
      <w:lvlJc w:val="right"/>
      <w:pPr>
        <w:ind w:left="6829" w:hanging="180"/>
      </w:pPr>
    </w:lvl>
  </w:abstractNum>
  <w:abstractNum w:abstractNumId="1">
    <w:nsid w:val="0FE90225"/>
    <w:multiLevelType w:val="multilevel"/>
    <w:tmpl w:val="6F487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45508D"/>
    <w:multiLevelType w:val="hybridMultilevel"/>
    <w:tmpl w:val="8A0696B6"/>
    <w:lvl w:ilvl="0" w:tplc="6EAE91EE">
      <w:start w:val="1"/>
      <w:numFmt w:val="decimal"/>
      <w:lvlText w:val="%1."/>
      <w:lvlJc w:val="left"/>
      <w:pPr>
        <w:ind w:left="1429" w:hanging="360"/>
      </w:pPr>
      <w:rPr>
        <w:b/>
      </w:rPr>
    </w:lvl>
    <w:lvl w:ilvl="1" w:tplc="240A0019">
      <w:start w:val="1"/>
      <w:numFmt w:val="lowerLetter"/>
      <w:lvlText w:val="%2."/>
      <w:lvlJc w:val="left"/>
      <w:pPr>
        <w:ind w:left="2149" w:hanging="360"/>
      </w:pPr>
    </w:lvl>
    <w:lvl w:ilvl="2" w:tplc="240A001B">
      <w:start w:val="1"/>
      <w:numFmt w:val="lowerRoman"/>
      <w:lvlText w:val="%3."/>
      <w:lvlJc w:val="right"/>
      <w:pPr>
        <w:ind w:left="2869" w:hanging="180"/>
      </w:pPr>
    </w:lvl>
    <w:lvl w:ilvl="3" w:tplc="240A000F">
      <w:start w:val="1"/>
      <w:numFmt w:val="decimal"/>
      <w:lvlText w:val="%4."/>
      <w:lvlJc w:val="left"/>
      <w:pPr>
        <w:ind w:left="3589" w:hanging="360"/>
      </w:pPr>
    </w:lvl>
    <w:lvl w:ilvl="4" w:tplc="240A0019">
      <w:start w:val="1"/>
      <w:numFmt w:val="lowerLetter"/>
      <w:lvlText w:val="%5."/>
      <w:lvlJc w:val="left"/>
      <w:pPr>
        <w:ind w:left="4309" w:hanging="360"/>
      </w:pPr>
    </w:lvl>
    <w:lvl w:ilvl="5" w:tplc="240A001B">
      <w:start w:val="1"/>
      <w:numFmt w:val="lowerRoman"/>
      <w:lvlText w:val="%6."/>
      <w:lvlJc w:val="right"/>
      <w:pPr>
        <w:ind w:left="5029" w:hanging="180"/>
      </w:pPr>
    </w:lvl>
    <w:lvl w:ilvl="6" w:tplc="240A000F">
      <w:start w:val="1"/>
      <w:numFmt w:val="decimal"/>
      <w:lvlText w:val="%7."/>
      <w:lvlJc w:val="left"/>
      <w:pPr>
        <w:ind w:left="5749" w:hanging="360"/>
      </w:pPr>
    </w:lvl>
    <w:lvl w:ilvl="7" w:tplc="240A0019">
      <w:start w:val="1"/>
      <w:numFmt w:val="lowerLetter"/>
      <w:lvlText w:val="%8."/>
      <w:lvlJc w:val="left"/>
      <w:pPr>
        <w:ind w:left="6469" w:hanging="360"/>
      </w:pPr>
    </w:lvl>
    <w:lvl w:ilvl="8" w:tplc="240A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6F"/>
    <w:rsid w:val="00033F7A"/>
    <w:rsid w:val="00042873"/>
    <w:rsid w:val="00060A85"/>
    <w:rsid w:val="00073A5D"/>
    <w:rsid w:val="0007470B"/>
    <w:rsid w:val="000B0216"/>
    <w:rsid w:val="000E6E4C"/>
    <w:rsid w:val="00156C24"/>
    <w:rsid w:val="002133D2"/>
    <w:rsid w:val="00247920"/>
    <w:rsid w:val="00276A46"/>
    <w:rsid w:val="002B6184"/>
    <w:rsid w:val="002C08B0"/>
    <w:rsid w:val="002E45A4"/>
    <w:rsid w:val="00371518"/>
    <w:rsid w:val="003D38C9"/>
    <w:rsid w:val="005028E8"/>
    <w:rsid w:val="005E6A3C"/>
    <w:rsid w:val="00697111"/>
    <w:rsid w:val="006E37A2"/>
    <w:rsid w:val="007A4777"/>
    <w:rsid w:val="007D354F"/>
    <w:rsid w:val="007D68AE"/>
    <w:rsid w:val="00806FE7"/>
    <w:rsid w:val="00861FCE"/>
    <w:rsid w:val="008C5DB2"/>
    <w:rsid w:val="009E2D58"/>
    <w:rsid w:val="00A60FBA"/>
    <w:rsid w:val="00A776B3"/>
    <w:rsid w:val="00A80DFC"/>
    <w:rsid w:val="00AF42F3"/>
    <w:rsid w:val="00B04F97"/>
    <w:rsid w:val="00B41439"/>
    <w:rsid w:val="00B64914"/>
    <w:rsid w:val="00D026D6"/>
    <w:rsid w:val="00D201C3"/>
    <w:rsid w:val="00DA0501"/>
    <w:rsid w:val="00E20C6F"/>
    <w:rsid w:val="00E43170"/>
    <w:rsid w:val="00F7707A"/>
    <w:rsid w:val="00FD434A"/>
    <w:rsid w:val="00FD6633"/>
    <w:rsid w:val="00FE76EB"/>
    <w:rsid w:val="246EDC11"/>
    <w:rsid w:val="48481DF5"/>
    <w:rsid w:val="7636B8D6"/>
    <w:rsid w:val="785241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F"/>
    <w:pPr>
      <w:spacing w:line="480" w:lineRule="auto"/>
      <w:ind w:firstLine="709"/>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0C6F"/>
    <w:pPr>
      <w:spacing w:before="100" w:beforeAutospacing="1" w:after="100" w:afterAutospacing="1" w:line="240" w:lineRule="auto"/>
      <w:jc w:val="left"/>
    </w:pPr>
    <w:rPr>
      <w:rFonts w:ascii="Times New Roman" w:eastAsia="Times New Roman" w:hAnsi="Times New Roman" w:cs="Times New Roman"/>
      <w:lang w:eastAsia="es-CO"/>
    </w:rPr>
  </w:style>
  <w:style w:type="paragraph" w:styleId="Prrafodelista">
    <w:name w:val="List Paragraph"/>
    <w:basedOn w:val="Normal"/>
    <w:uiPriority w:val="1"/>
    <w:qFormat/>
    <w:rsid w:val="00E20C6F"/>
    <w:pPr>
      <w:spacing w:line="360" w:lineRule="auto"/>
      <w:ind w:left="720" w:firstLine="0"/>
      <w:contextualSpacing/>
    </w:pPr>
  </w:style>
  <w:style w:type="paragraph" w:styleId="Encabezado">
    <w:name w:val="header"/>
    <w:basedOn w:val="Normal"/>
    <w:link w:val="EncabezadoCar"/>
    <w:uiPriority w:val="99"/>
    <w:unhideWhenUsed/>
    <w:rsid w:val="00E20C6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20C6F"/>
    <w:rPr>
      <w:rFonts w:ascii="Arial" w:hAnsi="Arial"/>
      <w:szCs w:val="24"/>
    </w:rPr>
  </w:style>
  <w:style w:type="paragraph" w:styleId="Piedepgina">
    <w:name w:val="footer"/>
    <w:basedOn w:val="Normal"/>
    <w:link w:val="PiedepginaCar"/>
    <w:uiPriority w:val="99"/>
    <w:unhideWhenUsed/>
    <w:rsid w:val="00E20C6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20C6F"/>
    <w:rPr>
      <w:rFonts w:ascii="Arial" w:hAnsi="Arial"/>
      <w:szCs w:val="24"/>
    </w:rPr>
  </w:style>
  <w:style w:type="character" w:customStyle="1" w:styleId="SinespaciadoCar">
    <w:name w:val="Sin espaciado Car"/>
    <w:link w:val="Sinespaciado"/>
    <w:uiPriority w:val="1"/>
    <w:locked/>
    <w:rsid w:val="00E20C6F"/>
  </w:style>
  <w:style w:type="paragraph" w:styleId="Sinespaciado">
    <w:name w:val="No Spacing"/>
    <w:link w:val="SinespaciadoCar"/>
    <w:uiPriority w:val="1"/>
    <w:qFormat/>
    <w:rsid w:val="00E20C6F"/>
    <w:pPr>
      <w:spacing w:line="240" w:lineRule="auto"/>
      <w:jc w:val="left"/>
    </w:pPr>
  </w:style>
  <w:style w:type="paragraph" w:customStyle="1" w:styleId="Prrafodelista2">
    <w:name w:val="Párrafo de lista2"/>
    <w:basedOn w:val="Normal"/>
    <w:rsid w:val="00E20C6F"/>
    <w:pPr>
      <w:spacing w:after="200" w:line="276" w:lineRule="auto"/>
      <w:ind w:left="720" w:firstLine="0"/>
      <w:contextualSpacing/>
      <w:jc w:val="left"/>
    </w:pPr>
    <w:rPr>
      <w:rFonts w:ascii="Calibri" w:eastAsia="Times New Roman" w:hAnsi="Calibri" w:cs="Times New Roman"/>
      <w:sz w:val="22"/>
      <w:szCs w:val="22"/>
    </w:rPr>
  </w:style>
  <w:style w:type="character" w:styleId="Refdenotaalpie">
    <w:name w:val="footnote reference"/>
    <w:basedOn w:val="Fuentedeprrafopredeter"/>
    <w:uiPriority w:val="99"/>
    <w:semiHidden/>
    <w:unhideWhenUsed/>
    <w:rsid w:val="00E20C6F"/>
    <w:rPr>
      <w:vertAlign w:val="superscript"/>
    </w:rPr>
  </w:style>
  <w:style w:type="paragraph" w:styleId="Textonotapie">
    <w:name w:val="footnote text"/>
    <w:basedOn w:val="Normal"/>
    <w:link w:val="TextonotapieCar"/>
    <w:uiPriority w:val="99"/>
    <w:semiHidden/>
    <w:unhideWhenUsed/>
    <w:rsid w:val="007D354F"/>
    <w:pPr>
      <w:spacing w:line="240" w:lineRule="auto"/>
    </w:pPr>
    <w:rPr>
      <w:sz w:val="20"/>
      <w:szCs w:val="20"/>
    </w:rPr>
  </w:style>
  <w:style w:type="character" w:customStyle="1" w:styleId="TextonotapieCar">
    <w:name w:val="Texto nota pie Car"/>
    <w:basedOn w:val="Fuentedeprrafopredeter"/>
    <w:link w:val="Textonotapie"/>
    <w:uiPriority w:val="99"/>
    <w:semiHidden/>
    <w:rsid w:val="007D354F"/>
    <w:rPr>
      <w:rFonts w:ascii="Arial" w:hAnsi="Arial"/>
      <w:sz w:val="20"/>
      <w:szCs w:val="20"/>
    </w:rPr>
  </w:style>
  <w:style w:type="paragraph" w:styleId="Textoindependiente">
    <w:name w:val="Body Text"/>
    <w:basedOn w:val="Normal"/>
    <w:link w:val="TextoindependienteCar"/>
    <w:rsid w:val="002C08B0"/>
    <w:pPr>
      <w:widowControl w:val="0"/>
      <w:autoSpaceDE w:val="0"/>
      <w:autoSpaceDN w:val="0"/>
      <w:adjustRightInd w:val="0"/>
      <w:spacing w:line="360" w:lineRule="auto"/>
      <w:ind w:firstLine="0"/>
      <w:jc w:val="left"/>
    </w:pPr>
    <w:rPr>
      <w:rFonts w:eastAsia="Times New Roman" w:cs="Arial"/>
      <w:sz w:val="28"/>
      <w:szCs w:val="28"/>
      <w:lang w:val="en-US" w:eastAsia="es-ES"/>
    </w:rPr>
  </w:style>
  <w:style w:type="character" w:customStyle="1" w:styleId="TextoindependienteCar">
    <w:name w:val="Texto independiente Car"/>
    <w:basedOn w:val="Fuentedeprrafopredeter"/>
    <w:link w:val="Textoindependiente"/>
    <w:rsid w:val="002C08B0"/>
    <w:rPr>
      <w:rFonts w:ascii="Arial" w:eastAsia="Times New Roman" w:hAnsi="Arial" w:cs="Arial"/>
      <w:sz w:val="28"/>
      <w:szCs w:val="28"/>
      <w:lang w:val="en-US" w:eastAsia="es-ES"/>
    </w:rPr>
  </w:style>
  <w:style w:type="character" w:styleId="Refdecomentario">
    <w:name w:val="annotation reference"/>
    <w:basedOn w:val="Fuentedeprrafopredeter"/>
    <w:uiPriority w:val="99"/>
    <w:semiHidden/>
    <w:unhideWhenUsed/>
    <w:rsid w:val="00156C24"/>
    <w:rPr>
      <w:sz w:val="16"/>
      <w:szCs w:val="16"/>
    </w:rPr>
  </w:style>
  <w:style w:type="paragraph" w:styleId="Textocomentario">
    <w:name w:val="annotation text"/>
    <w:basedOn w:val="Normal"/>
    <w:link w:val="TextocomentarioCar"/>
    <w:uiPriority w:val="99"/>
    <w:semiHidden/>
    <w:unhideWhenUsed/>
    <w:rsid w:val="00156C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C2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6C24"/>
    <w:rPr>
      <w:b/>
      <w:bCs/>
    </w:rPr>
  </w:style>
  <w:style w:type="character" w:customStyle="1" w:styleId="AsuntodelcomentarioCar">
    <w:name w:val="Asunto del comentario Car"/>
    <w:basedOn w:val="TextocomentarioCar"/>
    <w:link w:val="Asuntodelcomentario"/>
    <w:uiPriority w:val="99"/>
    <w:semiHidden/>
    <w:rsid w:val="00156C24"/>
    <w:rPr>
      <w:rFonts w:ascii="Arial" w:hAnsi="Arial"/>
      <w:b/>
      <w:bCs/>
      <w:sz w:val="20"/>
      <w:szCs w:val="20"/>
    </w:rPr>
  </w:style>
  <w:style w:type="paragraph" w:styleId="Textodeglobo">
    <w:name w:val="Balloon Text"/>
    <w:basedOn w:val="Normal"/>
    <w:link w:val="TextodegloboCar"/>
    <w:uiPriority w:val="99"/>
    <w:semiHidden/>
    <w:unhideWhenUsed/>
    <w:rsid w:val="00156C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C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6F"/>
    <w:pPr>
      <w:spacing w:line="480" w:lineRule="auto"/>
      <w:ind w:firstLine="709"/>
    </w:pPr>
    <w:rPr>
      <w:rFonts w:ascii="Arial" w:hAnsi="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0C6F"/>
    <w:pPr>
      <w:spacing w:before="100" w:beforeAutospacing="1" w:after="100" w:afterAutospacing="1" w:line="240" w:lineRule="auto"/>
      <w:jc w:val="left"/>
    </w:pPr>
    <w:rPr>
      <w:rFonts w:ascii="Times New Roman" w:eastAsia="Times New Roman" w:hAnsi="Times New Roman" w:cs="Times New Roman"/>
      <w:lang w:eastAsia="es-CO"/>
    </w:rPr>
  </w:style>
  <w:style w:type="paragraph" w:styleId="Prrafodelista">
    <w:name w:val="List Paragraph"/>
    <w:basedOn w:val="Normal"/>
    <w:uiPriority w:val="1"/>
    <w:qFormat/>
    <w:rsid w:val="00E20C6F"/>
    <w:pPr>
      <w:spacing w:line="360" w:lineRule="auto"/>
      <w:ind w:left="720" w:firstLine="0"/>
      <w:contextualSpacing/>
    </w:pPr>
  </w:style>
  <w:style w:type="paragraph" w:styleId="Encabezado">
    <w:name w:val="header"/>
    <w:basedOn w:val="Normal"/>
    <w:link w:val="EncabezadoCar"/>
    <w:uiPriority w:val="99"/>
    <w:unhideWhenUsed/>
    <w:rsid w:val="00E20C6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20C6F"/>
    <w:rPr>
      <w:rFonts w:ascii="Arial" w:hAnsi="Arial"/>
      <w:szCs w:val="24"/>
    </w:rPr>
  </w:style>
  <w:style w:type="paragraph" w:styleId="Piedepgina">
    <w:name w:val="footer"/>
    <w:basedOn w:val="Normal"/>
    <w:link w:val="PiedepginaCar"/>
    <w:uiPriority w:val="99"/>
    <w:unhideWhenUsed/>
    <w:rsid w:val="00E20C6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20C6F"/>
    <w:rPr>
      <w:rFonts w:ascii="Arial" w:hAnsi="Arial"/>
      <w:szCs w:val="24"/>
    </w:rPr>
  </w:style>
  <w:style w:type="character" w:customStyle="1" w:styleId="SinespaciadoCar">
    <w:name w:val="Sin espaciado Car"/>
    <w:link w:val="Sinespaciado"/>
    <w:uiPriority w:val="1"/>
    <w:locked/>
    <w:rsid w:val="00E20C6F"/>
  </w:style>
  <w:style w:type="paragraph" w:styleId="Sinespaciado">
    <w:name w:val="No Spacing"/>
    <w:link w:val="SinespaciadoCar"/>
    <w:uiPriority w:val="1"/>
    <w:qFormat/>
    <w:rsid w:val="00E20C6F"/>
    <w:pPr>
      <w:spacing w:line="240" w:lineRule="auto"/>
      <w:jc w:val="left"/>
    </w:pPr>
  </w:style>
  <w:style w:type="paragraph" w:customStyle="1" w:styleId="Prrafodelista2">
    <w:name w:val="Párrafo de lista2"/>
    <w:basedOn w:val="Normal"/>
    <w:rsid w:val="00E20C6F"/>
    <w:pPr>
      <w:spacing w:after="200" w:line="276" w:lineRule="auto"/>
      <w:ind w:left="720" w:firstLine="0"/>
      <w:contextualSpacing/>
      <w:jc w:val="left"/>
    </w:pPr>
    <w:rPr>
      <w:rFonts w:ascii="Calibri" w:eastAsia="Times New Roman" w:hAnsi="Calibri" w:cs="Times New Roman"/>
      <w:sz w:val="22"/>
      <w:szCs w:val="22"/>
    </w:rPr>
  </w:style>
  <w:style w:type="character" w:styleId="Refdenotaalpie">
    <w:name w:val="footnote reference"/>
    <w:basedOn w:val="Fuentedeprrafopredeter"/>
    <w:uiPriority w:val="99"/>
    <w:semiHidden/>
    <w:unhideWhenUsed/>
    <w:rsid w:val="00E20C6F"/>
    <w:rPr>
      <w:vertAlign w:val="superscript"/>
    </w:rPr>
  </w:style>
  <w:style w:type="paragraph" w:styleId="Textonotapie">
    <w:name w:val="footnote text"/>
    <w:basedOn w:val="Normal"/>
    <w:link w:val="TextonotapieCar"/>
    <w:uiPriority w:val="99"/>
    <w:semiHidden/>
    <w:unhideWhenUsed/>
    <w:rsid w:val="007D354F"/>
    <w:pPr>
      <w:spacing w:line="240" w:lineRule="auto"/>
    </w:pPr>
    <w:rPr>
      <w:sz w:val="20"/>
      <w:szCs w:val="20"/>
    </w:rPr>
  </w:style>
  <w:style w:type="character" w:customStyle="1" w:styleId="TextonotapieCar">
    <w:name w:val="Texto nota pie Car"/>
    <w:basedOn w:val="Fuentedeprrafopredeter"/>
    <w:link w:val="Textonotapie"/>
    <w:uiPriority w:val="99"/>
    <w:semiHidden/>
    <w:rsid w:val="007D354F"/>
    <w:rPr>
      <w:rFonts w:ascii="Arial" w:hAnsi="Arial"/>
      <w:sz w:val="20"/>
      <w:szCs w:val="20"/>
    </w:rPr>
  </w:style>
  <w:style w:type="paragraph" w:styleId="Textoindependiente">
    <w:name w:val="Body Text"/>
    <w:basedOn w:val="Normal"/>
    <w:link w:val="TextoindependienteCar"/>
    <w:rsid w:val="002C08B0"/>
    <w:pPr>
      <w:widowControl w:val="0"/>
      <w:autoSpaceDE w:val="0"/>
      <w:autoSpaceDN w:val="0"/>
      <w:adjustRightInd w:val="0"/>
      <w:spacing w:line="360" w:lineRule="auto"/>
      <w:ind w:firstLine="0"/>
      <w:jc w:val="left"/>
    </w:pPr>
    <w:rPr>
      <w:rFonts w:eastAsia="Times New Roman" w:cs="Arial"/>
      <w:sz w:val="28"/>
      <w:szCs w:val="28"/>
      <w:lang w:val="en-US" w:eastAsia="es-ES"/>
    </w:rPr>
  </w:style>
  <w:style w:type="character" w:customStyle="1" w:styleId="TextoindependienteCar">
    <w:name w:val="Texto independiente Car"/>
    <w:basedOn w:val="Fuentedeprrafopredeter"/>
    <w:link w:val="Textoindependiente"/>
    <w:rsid w:val="002C08B0"/>
    <w:rPr>
      <w:rFonts w:ascii="Arial" w:eastAsia="Times New Roman" w:hAnsi="Arial" w:cs="Arial"/>
      <w:sz w:val="28"/>
      <w:szCs w:val="28"/>
      <w:lang w:val="en-US" w:eastAsia="es-ES"/>
    </w:rPr>
  </w:style>
  <w:style w:type="character" w:styleId="Refdecomentario">
    <w:name w:val="annotation reference"/>
    <w:basedOn w:val="Fuentedeprrafopredeter"/>
    <w:uiPriority w:val="99"/>
    <w:semiHidden/>
    <w:unhideWhenUsed/>
    <w:rsid w:val="00156C24"/>
    <w:rPr>
      <w:sz w:val="16"/>
      <w:szCs w:val="16"/>
    </w:rPr>
  </w:style>
  <w:style w:type="paragraph" w:styleId="Textocomentario">
    <w:name w:val="annotation text"/>
    <w:basedOn w:val="Normal"/>
    <w:link w:val="TextocomentarioCar"/>
    <w:uiPriority w:val="99"/>
    <w:semiHidden/>
    <w:unhideWhenUsed/>
    <w:rsid w:val="00156C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C24"/>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6C24"/>
    <w:rPr>
      <w:b/>
      <w:bCs/>
    </w:rPr>
  </w:style>
  <w:style w:type="character" w:customStyle="1" w:styleId="AsuntodelcomentarioCar">
    <w:name w:val="Asunto del comentario Car"/>
    <w:basedOn w:val="TextocomentarioCar"/>
    <w:link w:val="Asuntodelcomentario"/>
    <w:uiPriority w:val="99"/>
    <w:semiHidden/>
    <w:rsid w:val="00156C24"/>
    <w:rPr>
      <w:rFonts w:ascii="Arial" w:hAnsi="Arial"/>
      <w:b/>
      <w:bCs/>
      <w:sz w:val="20"/>
      <w:szCs w:val="20"/>
    </w:rPr>
  </w:style>
  <w:style w:type="paragraph" w:styleId="Textodeglobo">
    <w:name w:val="Balloon Text"/>
    <w:basedOn w:val="Normal"/>
    <w:link w:val="TextodegloboCar"/>
    <w:uiPriority w:val="99"/>
    <w:semiHidden/>
    <w:unhideWhenUsed/>
    <w:rsid w:val="00156C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055">
      <w:bodyDiv w:val="1"/>
      <w:marLeft w:val="0"/>
      <w:marRight w:val="0"/>
      <w:marTop w:val="0"/>
      <w:marBottom w:val="0"/>
      <w:divBdr>
        <w:top w:val="none" w:sz="0" w:space="0" w:color="auto"/>
        <w:left w:val="none" w:sz="0" w:space="0" w:color="auto"/>
        <w:bottom w:val="none" w:sz="0" w:space="0" w:color="auto"/>
        <w:right w:val="none" w:sz="0" w:space="0" w:color="auto"/>
      </w:divBdr>
    </w:div>
    <w:div w:id="225729187">
      <w:bodyDiv w:val="1"/>
      <w:marLeft w:val="0"/>
      <w:marRight w:val="0"/>
      <w:marTop w:val="0"/>
      <w:marBottom w:val="0"/>
      <w:divBdr>
        <w:top w:val="none" w:sz="0" w:space="0" w:color="auto"/>
        <w:left w:val="none" w:sz="0" w:space="0" w:color="auto"/>
        <w:bottom w:val="none" w:sz="0" w:space="0" w:color="auto"/>
        <w:right w:val="none" w:sz="0" w:space="0" w:color="auto"/>
      </w:divBdr>
    </w:div>
    <w:div w:id="2312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d5016d1e68594b8f" Type="http://schemas.microsoft.com/office/2011/relationships/commentsExtended" Target="commentsExtended.xml"/><Relationship Id="Rc5aeeabd78d54029"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6c6ae6b55ef24737"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ddcb94f194d54d31"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7987-CEB2-4DDA-ABC9-B9B0114873AD}">
  <ds:schemaRefs>
    <ds:schemaRef ds:uri="http://schemas.microsoft.com/sharepoint/v3/contenttype/forms"/>
  </ds:schemaRefs>
</ds:datastoreItem>
</file>

<file path=customXml/itemProps2.xml><?xml version="1.0" encoding="utf-8"?>
<ds:datastoreItem xmlns:ds="http://schemas.openxmlformats.org/officeDocument/2006/customXml" ds:itemID="{A6B99AA8-542D-4371-B0D9-2D6EC11A41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A13C7-B4A7-4161-950E-C84CF0C00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018C1-DACA-47BC-B91A-8C39BD4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2045</Words>
  <Characters>11248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ALONSO</cp:lastModifiedBy>
  <cp:revision>6</cp:revision>
  <dcterms:created xsi:type="dcterms:W3CDTF">2020-11-12T16:37:00Z</dcterms:created>
  <dcterms:modified xsi:type="dcterms:W3CDTF">2021-01-12T16:54:00Z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