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E60759" w:rsidRDefault="57DAEDF0" w:rsidP="00E60759">
      <w:pPr>
        <w:autoSpaceDE w:val="0"/>
        <w:autoSpaceDN w:val="0"/>
        <w:adjustRightInd w:val="0"/>
        <w:spacing w:after="0" w:line="240" w:lineRule="auto"/>
        <w:jc w:val="both"/>
        <w:rPr>
          <w:rFonts w:ascii="Arial" w:eastAsia="Arial" w:hAnsi="Arial" w:cs="Arial"/>
          <w:spacing w:val="2"/>
          <w:sz w:val="20"/>
          <w:szCs w:val="24"/>
          <w:lang w:val="es-ES"/>
        </w:rPr>
      </w:pPr>
      <w:r w:rsidRPr="00E60759">
        <w:rPr>
          <w:rFonts w:ascii="Arial" w:eastAsia="Times New Roman" w:hAnsi="Arial" w:cs="Arial"/>
          <w:spacing w:val="2"/>
          <w:sz w:val="20"/>
          <w:szCs w:val="24"/>
          <w:lang w:val="es-ES" w:eastAsia="es-ES"/>
        </w:rPr>
        <w:t>Radicación Nro.</w:t>
      </w:r>
      <w:r w:rsidR="00E60759">
        <w:rPr>
          <w:rFonts w:ascii="Arial" w:eastAsia="Times New Roman" w:hAnsi="Arial" w:cs="Arial"/>
          <w:spacing w:val="2"/>
          <w:sz w:val="20"/>
          <w:szCs w:val="24"/>
          <w:lang w:val="es-ES" w:eastAsia="es-ES"/>
        </w:rPr>
        <w:t>:</w:t>
      </w:r>
      <w:r w:rsidR="00E60759">
        <w:rPr>
          <w:rFonts w:ascii="Arial" w:eastAsia="Times New Roman" w:hAnsi="Arial" w:cs="Arial"/>
          <w:spacing w:val="2"/>
          <w:sz w:val="20"/>
          <w:szCs w:val="24"/>
          <w:lang w:val="es-ES" w:eastAsia="es-ES"/>
        </w:rPr>
        <w:tab/>
      </w:r>
      <w:r w:rsidR="00B6229B" w:rsidRPr="00E60759">
        <w:rPr>
          <w:rFonts w:ascii="Arial" w:hAnsi="Arial" w:cs="Arial"/>
          <w:color w:val="000000"/>
          <w:sz w:val="20"/>
          <w:szCs w:val="24"/>
          <w:lang w:val="es-ES" w:eastAsia="es-ES"/>
        </w:rPr>
        <w:t>66001-31-05-001-2017-00</w:t>
      </w:r>
      <w:r w:rsidR="00A159F0" w:rsidRPr="00E60759">
        <w:rPr>
          <w:rFonts w:ascii="Arial" w:hAnsi="Arial" w:cs="Arial"/>
          <w:color w:val="000000"/>
          <w:sz w:val="20"/>
          <w:szCs w:val="24"/>
          <w:lang w:val="es-ES" w:eastAsia="es-ES"/>
        </w:rPr>
        <w:t>581</w:t>
      </w:r>
      <w:r w:rsidR="00B6229B" w:rsidRPr="00E60759">
        <w:rPr>
          <w:rFonts w:ascii="Arial" w:hAnsi="Arial" w:cs="Arial"/>
          <w:color w:val="000000"/>
          <w:sz w:val="20"/>
          <w:szCs w:val="24"/>
          <w:lang w:val="es-ES" w:eastAsia="es-ES"/>
        </w:rPr>
        <w:t>-01</w:t>
      </w:r>
    </w:p>
    <w:p w:rsidR="00EF428B" w:rsidRPr="00E60759" w:rsidRDefault="57DAEDF0" w:rsidP="00E60759">
      <w:pPr>
        <w:autoSpaceDE w:val="0"/>
        <w:autoSpaceDN w:val="0"/>
        <w:adjustRightInd w:val="0"/>
        <w:spacing w:after="0" w:line="240" w:lineRule="auto"/>
        <w:jc w:val="both"/>
        <w:rPr>
          <w:rFonts w:ascii="Arial" w:eastAsia="Arial" w:hAnsi="Arial" w:cs="Arial"/>
          <w:spacing w:val="2"/>
          <w:sz w:val="20"/>
          <w:szCs w:val="24"/>
          <w:lang w:val="es-ES" w:eastAsia="es-ES"/>
        </w:rPr>
      </w:pPr>
      <w:r w:rsidRPr="00E60759">
        <w:rPr>
          <w:rFonts w:ascii="Arial" w:eastAsia="Arial" w:hAnsi="Arial" w:cs="Arial"/>
          <w:spacing w:val="2"/>
          <w:sz w:val="20"/>
          <w:szCs w:val="24"/>
          <w:lang w:val="es-ES" w:eastAsia="es-ES"/>
        </w:rPr>
        <w:t>Proceso</w:t>
      </w:r>
      <w:r w:rsidR="00EF428B" w:rsidRPr="00E60759">
        <w:rPr>
          <w:rFonts w:ascii="Arial" w:eastAsia="Times New Roman" w:hAnsi="Arial" w:cs="Arial"/>
          <w:spacing w:val="2"/>
          <w:sz w:val="20"/>
          <w:szCs w:val="24"/>
          <w:lang w:val="es-ES" w:eastAsia="es-ES"/>
        </w:rPr>
        <w:tab/>
      </w:r>
      <w:r w:rsidR="00EF428B" w:rsidRPr="00E60759">
        <w:rPr>
          <w:rFonts w:ascii="Arial" w:eastAsia="Times New Roman" w:hAnsi="Arial" w:cs="Arial"/>
          <w:spacing w:val="2"/>
          <w:sz w:val="20"/>
          <w:szCs w:val="24"/>
          <w:lang w:val="es-ES" w:eastAsia="es-ES"/>
        </w:rPr>
        <w:tab/>
      </w:r>
      <w:r w:rsidRPr="00E60759">
        <w:rPr>
          <w:rFonts w:ascii="Arial" w:eastAsia="Arial" w:hAnsi="Arial" w:cs="Arial"/>
          <w:spacing w:val="2"/>
          <w:sz w:val="20"/>
          <w:szCs w:val="24"/>
          <w:lang w:val="es-ES" w:eastAsia="es-ES"/>
        </w:rPr>
        <w:t>Ordinario Laboral</w:t>
      </w:r>
    </w:p>
    <w:p w:rsidR="000D7B6E" w:rsidRPr="00E60759" w:rsidRDefault="57DAEDF0" w:rsidP="00E60759">
      <w:pPr>
        <w:autoSpaceDE w:val="0"/>
        <w:autoSpaceDN w:val="0"/>
        <w:adjustRightInd w:val="0"/>
        <w:spacing w:after="0" w:line="240" w:lineRule="auto"/>
        <w:jc w:val="both"/>
        <w:rPr>
          <w:rFonts w:ascii="Arial" w:eastAsia="Arial" w:hAnsi="Arial" w:cs="Arial"/>
          <w:spacing w:val="2"/>
          <w:sz w:val="20"/>
          <w:szCs w:val="24"/>
          <w:lang w:val="es-ES" w:eastAsia="es-ES"/>
        </w:rPr>
      </w:pPr>
      <w:r w:rsidRPr="00E60759">
        <w:rPr>
          <w:rFonts w:ascii="Arial" w:eastAsia="Arial" w:hAnsi="Arial" w:cs="Arial"/>
          <w:spacing w:val="2"/>
          <w:sz w:val="20"/>
          <w:szCs w:val="24"/>
          <w:lang w:val="es-ES" w:eastAsia="es-ES"/>
        </w:rPr>
        <w:t>Demandante:</w:t>
      </w:r>
      <w:r w:rsidR="00E60759">
        <w:rPr>
          <w:rFonts w:ascii="Arial" w:eastAsia="Arial" w:hAnsi="Arial" w:cs="Arial"/>
          <w:spacing w:val="2"/>
          <w:sz w:val="20"/>
          <w:szCs w:val="24"/>
          <w:lang w:val="es-ES" w:eastAsia="es-ES"/>
        </w:rPr>
        <w:tab/>
      </w:r>
      <w:r w:rsidR="00E60759">
        <w:rPr>
          <w:rFonts w:ascii="Arial" w:eastAsia="Arial" w:hAnsi="Arial" w:cs="Arial"/>
          <w:spacing w:val="2"/>
          <w:sz w:val="20"/>
          <w:szCs w:val="24"/>
          <w:lang w:val="es-ES" w:eastAsia="es-ES"/>
        </w:rPr>
        <w:tab/>
      </w:r>
      <w:r w:rsidR="00E60759" w:rsidRPr="00E60759">
        <w:rPr>
          <w:rFonts w:ascii="Arial" w:hAnsi="Arial" w:cs="Arial"/>
          <w:color w:val="000000"/>
          <w:sz w:val="20"/>
          <w:szCs w:val="24"/>
          <w:lang w:val="es-ES" w:eastAsia="es-ES"/>
        </w:rPr>
        <w:t>Zulma Patricia Barbosa</w:t>
      </w:r>
      <w:r w:rsidR="00E60759" w:rsidRPr="00E60759">
        <w:rPr>
          <w:rFonts w:ascii="Arial" w:eastAsia="Arial" w:hAnsi="Arial" w:cs="Arial"/>
          <w:spacing w:val="2"/>
          <w:sz w:val="20"/>
          <w:szCs w:val="24"/>
          <w:lang w:val="es-ES" w:eastAsia="es-ES"/>
        </w:rPr>
        <w:t xml:space="preserve"> </w:t>
      </w:r>
      <w:r w:rsidR="00E60759">
        <w:rPr>
          <w:rFonts w:ascii="Arial" w:eastAsia="Arial" w:hAnsi="Arial" w:cs="Arial"/>
          <w:spacing w:val="2"/>
          <w:sz w:val="20"/>
          <w:szCs w:val="24"/>
          <w:lang w:val="es-ES" w:eastAsia="es-ES"/>
        </w:rPr>
        <w:t>Acosta</w:t>
      </w:r>
    </w:p>
    <w:p w:rsidR="00EF428B" w:rsidRPr="00E60759" w:rsidRDefault="57DAEDF0" w:rsidP="00E60759">
      <w:pPr>
        <w:autoSpaceDE w:val="0"/>
        <w:autoSpaceDN w:val="0"/>
        <w:adjustRightInd w:val="0"/>
        <w:spacing w:after="0" w:line="240" w:lineRule="auto"/>
        <w:jc w:val="both"/>
        <w:rPr>
          <w:rFonts w:ascii="Arial" w:eastAsia="Arial" w:hAnsi="Arial" w:cs="Arial"/>
          <w:spacing w:val="2"/>
          <w:sz w:val="20"/>
          <w:szCs w:val="24"/>
          <w:lang w:val="es-ES" w:eastAsia="es-ES"/>
        </w:rPr>
      </w:pPr>
      <w:r w:rsidRPr="00E60759">
        <w:rPr>
          <w:rFonts w:ascii="Arial" w:eastAsia="Arial" w:hAnsi="Arial" w:cs="Arial"/>
          <w:spacing w:val="2"/>
          <w:sz w:val="20"/>
          <w:szCs w:val="24"/>
          <w:lang w:val="es-ES" w:eastAsia="es-ES"/>
        </w:rPr>
        <w:t>Demandados:</w:t>
      </w:r>
      <w:r w:rsidR="00E60759">
        <w:rPr>
          <w:rFonts w:ascii="Arial" w:eastAsia="Arial" w:hAnsi="Arial" w:cs="Arial"/>
          <w:spacing w:val="2"/>
          <w:sz w:val="20"/>
          <w:szCs w:val="24"/>
          <w:lang w:val="es-ES" w:eastAsia="es-ES"/>
        </w:rPr>
        <w:tab/>
      </w:r>
      <w:r w:rsidR="00E60759">
        <w:rPr>
          <w:rFonts w:ascii="Arial" w:eastAsia="Arial" w:hAnsi="Arial" w:cs="Arial"/>
          <w:spacing w:val="2"/>
          <w:sz w:val="20"/>
          <w:szCs w:val="24"/>
          <w:lang w:val="es-ES" w:eastAsia="es-ES"/>
        </w:rPr>
        <w:tab/>
      </w:r>
      <w:r w:rsidR="00E44FEF" w:rsidRPr="00E60759">
        <w:rPr>
          <w:rFonts w:ascii="Arial" w:eastAsia="Arial" w:hAnsi="Arial" w:cs="Arial"/>
          <w:spacing w:val="2"/>
          <w:sz w:val="20"/>
          <w:szCs w:val="24"/>
          <w:lang w:eastAsia="es-ES"/>
        </w:rPr>
        <w:t>Colpensiones</w:t>
      </w:r>
      <w:r w:rsidR="533B2A12" w:rsidRPr="00E60759">
        <w:rPr>
          <w:rFonts w:ascii="Arial" w:eastAsia="Arial" w:hAnsi="Arial" w:cs="Arial"/>
          <w:spacing w:val="2"/>
          <w:sz w:val="20"/>
          <w:szCs w:val="24"/>
          <w:lang w:eastAsia="es-ES"/>
        </w:rPr>
        <w:t xml:space="preserve"> y otro</w:t>
      </w:r>
      <w:r w:rsidR="00FD045E" w:rsidRPr="00E60759">
        <w:rPr>
          <w:rFonts w:ascii="Arial" w:eastAsia="Arial" w:hAnsi="Arial" w:cs="Arial"/>
          <w:spacing w:val="2"/>
          <w:sz w:val="20"/>
          <w:szCs w:val="24"/>
          <w:lang w:eastAsia="es-ES"/>
        </w:rPr>
        <w:t>s</w:t>
      </w:r>
      <w:r w:rsidR="533B2A12" w:rsidRPr="00E60759">
        <w:rPr>
          <w:rFonts w:ascii="Arial" w:eastAsia="Arial" w:hAnsi="Arial" w:cs="Arial"/>
          <w:spacing w:val="2"/>
          <w:sz w:val="20"/>
          <w:szCs w:val="24"/>
          <w:lang w:eastAsia="es-ES"/>
        </w:rPr>
        <w:t xml:space="preserve"> </w:t>
      </w:r>
    </w:p>
    <w:p w:rsidR="00B6229B" w:rsidRPr="00E60759" w:rsidRDefault="69F4D62F" w:rsidP="00E60759">
      <w:pPr>
        <w:pStyle w:val="Textoindependiente"/>
        <w:spacing w:line="240" w:lineRule="auto"/>
        <w:rPr>
          <w:rFonts w:eastAsia="Arial" w:cs="Arial"/>
          <w:sz w:val="20"/>
          <w:szCs w:val="24"/>
        </w:rPr>
      </w:pPr>
      <w:r w:rsidRPr="00E60759">
        <w:rPr>
          <w:rFonts w:eastAsia="Arial" w:cs="Arial"/>
          <w:sz w:val="20"/>
          <w:szCs w:val="24"/>
          <w:lang w:val="es-ES"/>
        </w:rPr>
        <w:t>Tema:</w:t>
      </w:r>
      <w:r w:rsidR="00E60759">
        <w:rPr>
          <w:rFonts w:eastAsia="Arial" w:cs="Arial"/>
          <w:sz w:val="20"/>
          <w:szCs w:val="24"/>
          <w:lang w:val="es-ES"/>
        </w:rPr>
        <w:tab/>
      </w:r>
      <w:r w:rsidR="00E60759">
        <w:rPr>
          <w:rFonts w:eastAsia="Arial" w:cs="Arial"/>
          <w:sz w:val="20"/>
          <w:szCs w:val="24"/>
          <w:lang w:val="es-ES"/>
        </w:rPr>
        <w:tab/>
      </w:r>
      <w:r w:rsidR="00E60759">
        <w:rPr>
          <w:rFonts w:eastAsia="Arial" w:cs="Arial"/>
          <w:sz w:val="20"/>
          <w:szCs w:val="24"/>
          <w:lang w:val="es-ES"/>
        </w:rPr>
        <w:tab/>
      </w:r>
      <w:r w:rsidR="00B6229B" w:rsidRPr="00E60759">
        <w:rPr>
          <w:rFonts w:eastAsia="Arial" w:cs="Arial"/>
          <w:sz w:val="20"/>
          <w:szCs w:val="24"/>
          <w:lang w:val="es-ES"/>
        </w:rPr>
        <w:t>Cumplimiento a exhorto de la Sala de Casación.</w:t>
      </w:r>
    </w:p>
    <w:p w:rsidR="00B6229B" w:rsidRPr="00E60759" w:rsidRDefault="00B6229B" w:rsidP="00E60759">
      <w:pPr>
        <w:keepNext/>
        <w:spacing w:after="0" w:line="240" w:lineRule="auto"/>
        <w:jc w:val="center"/>
        <w:outlineLvl w:val="2"/>
        <w:rPr>
          <w:rFonts w:ascii="Arial" w:eastAsia="Times New Roman" w:hAnsi="Arial" w:cs="Arial"/>
          <w:b/>
          <w:sz w:val="20"/>
          <w:szCs w:val="24"/>
          <w:lang w:val="es-ES_tradnl" w:eastAsia="es-ES"/>
        </w:rPr>
      </w:pPr>
    </w:p>
    <w:p w:rsidR="00B6229B" w:rsidRPr="00E60759" w:rsidRDefault="00B6229B" w:rsidP="00E60759">
      <w:pPr>
        <w:keepNext/>
        <w:spacing w:after="0" w:line="240" w:lineRule="auto"/>
        <w:jc w:val="center"/>
        <w:outlineLvl w:val="2"/>
        <w:rPr>
          <w:rFonts w:ascii="Arial" w:eastAsia="Times New Roman" w:hAnsi="Arial" w:cs="Arial"/>
          <w:b/>
          <w:sz w:val="20"/>
          <w:szCs w:val="24"/>
          <w:lang w:val="es-ES_tradnl" w:eastAsia="es-ES"/>
        </w:rPr>
      </w:pPr>
    </w:p>
    <w:p w:rsidR="00B6229B" w:rsidRPr="00E60759" w:rsidRDefault="00B6229B" w:rsidP="00E60759">
      <w:pPr>
        <w:keepNext/>
        <w:spacing w:after="0" w:line="240" w:lineRule="auto"/>
        <w:jc w:val="center"/>
        <w:outlineLvl w:val="2"/>
        <w:rPr>
          <w:rFonts w:ascii="Arial" w:eastAsia="Times New Roman" w:hAnsi="Arial" w:cs="Arial"/>
          <w:b/>
          <w:sz w:val="20"/>
          <w:szCs w:val="24"/>
          <w:lang w:val="es-ES_tradnl" w:eastAsia="es-ES"/>
        </w:rPr>
      </w:pPr>
    </w:p>
    <w:p w:rsidR="00B7071C" w:rsidRPr="00E60759" w:rsidRDefault="00B7071C" w:rsidP="00E60759">
      <w:pPr>
        <w:keepNext/>
        <w:spacing w:after="0"/>
        <w:jc w:val="center"/>
        <w:outlineLvl w:val="2"/>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TRIBUNAL SUPERIOR DEL DISTRITO JUDICIAL</w:t>
      </w:r>
    </w:p>
    <w:p w:rsidR="00B7071C" w:rsidRPr="00E60759" w:rsidRDefault="00B7071C" w:rsidP="00E60759">
      <w:pPr>
        <w:spacing w:after="0"/>
        <w:jc w:val="center"/>
        <w:rPr>
          <w:rFonts w:ascii="Arial" w:hAnsi="Arial" w:cs="Arial"/>
          <w:b/>
          <w:sz w:val="24"/>
          <w:szCs w:val="24"/>
        </w:rPr>
      </w:pPr>
    </w:p>
    <w:p w:rsidR="00B7071C" w:rsidRPr="00E60759" w:rsidRDefault="00B7071C" w:rsidP="00E60759">
      <w:pPr>
        <w:spacing w:after="0"/>
        <w:jc w:val="center"/>
        <w:rPr>
          <w:rFonts w:ascii="Arial" w:hAnsi="Arial" w:cs="Arial"/>
          <w:b/>
          <w:sz w:val="24"/>
          <w:szCs w:val="24"/>
        </w:rPr>
      </w:pPr>
      <w:r w:rsidRPr="00E60759">
        <w:rPr>
          <w:rFonts w:ascii="Arial" w:hAnsi="Arial" w:cs="Arial"/>
          <w:b/>
          <w:sz w:val="24"/>
          <w:szCs w:val="24"/>
        </w:rPr>
        <w:t>SALA LABORAL</w:t>
      </w:r>
    </w:p>
    <w:p w:rsidR="00B7071C" w:rsidRPr="00E60759" w:rsidRDefault="00B7071C" w:rsidP="00E60759">
      <w:pPr>
        <w:spacing w:after="0"/>
        <w:jc w:val="center"/>
        <w:rPr>
          <w:rFonts w:ascii="Arial" w:eastAsia="Times New Roman" w:hAnsi="Arial" w:cs="Arial"/>
          <w:b/>
          <w:sz w:val="24"/>
          <w:szCs w:val="24"/>
          <w:lang w:val="es-ES_tradnl" w:eastAsia="es-ES"/>
        </w:rPr>
      </w:pPr>
    </w:p>
    <w:p w:rsidR="00B7071C" w:rsidRPr="00E60759" w:rsidRDefault="00B7071C" w:rsidP="00E60759">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 xml:space="preserve">MAGISTRADO: JULIO CÉSAR SALAZAR MUÑOZ </w:t>
      </w:r>
    </w:p>
    <w:p w:rsidR="00B7071C" w:rsidRPr="00E60759" w:rsidRDefault="00B7071C" w:rsidP="00E60759">
      <w:pPr>
        <w:spacing w:after="0"/>
        <w:jc w:val="center"/>
        <w:rPr>
          <w:rFonts w:ascii="Arial" w:eastAsia="Times New Roman" w:hAnsi="Arial" w:cs="Arial"/>
          <w:b/>
          <w:sz w:val="24"/>
          <w:szCs w:val="24"/>
          <w:lang w:val="es-ES_tradnl" w:eastAsia="es-ES"/>
        </w:rPr>
      </w:pPr>
    </w:p>
    <w:p w:rsidR="00043E42" w:rsidRPr="00E60759" w:rsidRDefault="00E60759" w:rsidP="00E60759">
      <w:pPr>
        <w:spacing w:after="0"/>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Agosto </w:t>
      </w:r>
      <w:r w:rsidR="0037129B">
        <w:rPr>
          <w:rFonts w:ascii="Arial" w:eastAsia="Times New Roman" w:hAnsi="Arial" w:cs="Arial"/>
          <w:bCs/>
          <w:sz w:val="24"/>
          <w:szCs w:val="24"/>
          <w:lang w:val="es-ES" w:eastAsia="es-ES"/>
        </w:rPr>
        <w:t>5</w:t>
      </w:r>
      <w:r w:rsidR="00043E42" w:rsidRPr="00E60759">
        <w:rPr>
          <w:rFonts w:ascii="Arial" w:eastAsia="Times New Roman" w:hAnsi="Arial" w:cs="Arial"/>
          <w:bCs/>
          <w:sz w:val="24"/>
          <w:szCs w:val="24"/>
          <w:lang w:val="es-ES" w:eastAsia="es-ES"/>
        </w:rPr>
        <w:t xml:space="preserve"> de 20</w:t>
      </w:r>
      <w:r w:rsidR="00FA0580" w:rsidRPr="00E60759">
        <w:rPr>
          <w:rFonts w:ascii="Arial" w:eastAsia="Times New Roman" w:hAnsi="Arial" w:cs="Arial"/>
          <w:bCs/>
          <w:sz w:val="24"/>
          <w:szCs w:val="24"/>
          <w:lang w:val="es-ES" w:eastAsia="es-ES"/>
        </w:rPr>
        <w:t>20</w:t>
      </w:r>
    </w:p>
    <w:p w:rsidR="00B7071C" w:rsidRPr="00E60759" w:rsidRDefault="00B7071C" w:rsidP="00E60759">
      <w:pPr>
        <w:spacing w:after="0"/>
        <w:jc w:val="center"/>
        <w:rPr>
          <w:rFonts w:ascii="Arial" w:eastAsia="Times New Roman" w:hAnsi="Arial" w:cs="Arial"/>
          <w:b/>
          <w:sz w:val="24"/>
          <w:szCs w:val="24"/>
          <w:lang w:val="es-ES_tradnl" w:eastAsia="es-ES"/>
        </w:rPr>
      </w:pPr>
    </w:p>
    <w:p w:rsidR="00363E15" w:rsidRPr="00E60759" w:rsidRDefault="00363E15" w:rsidP="00E60759">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ACLARACIÓN DE VOTO</w:t>
      </w:r>
    </w:p>
    <w:p w:rsidR="00363E15" w:rsidRPr="00E60759" w:rsidRDefault="00363E15" w:rsidP="00E60759">
      <w:pPr>
        <w:suppressAutoHyphens/>
        <w:spacing w:after="0"/>
        <w:jc w:val="both"/>
        <w:rPr>
          <w:rFonts w:ascii="Arial" w:eastAsia="Times New Roman" w:hAnsi="Arial" w:cs="Arial"/>
          <w:sz w:val="24"/>
          <w:szCs w:val="24"/>
          <w:lang w:val="es-ES_tradnl" w:eastAsia="es-ES"/>
        </w:rPr>
      </w:pPr>
    </w:p>
    <w:p w:rsidR="00363E15" w:rsidRPr="00E60759" w:rsidRDefault="00363E15" w:rsidP="00E60759">
      <w:pPr>
        <w:suppressAutoHyphens/>
        <w:spacing w:after="0"/>
        <w:jc w:val="both"/>
        <w:rPr>
          <w:rFonts w:ascii="Arial" w:eastAsia="Times New Roman" w:hAnsi="Arial" w:cs="Arial"/>
          <w:sz w:val="24"/>
          <w:szCs w:val="24"/>
          <w:lang w:val="es-ES" w:eastAsia="es-ES"/>
        </w:rPr>
      </w:pPr>
    </w:p>
    <w:p w:rsidR="6A592ABD" w:rsidRPr="00E60759" w:rsidRDefault="00B6229B" w:rsidP="00E60759">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A pesar de que en la sentencia proferida por esta Sala del Tribunal </w:t>
      </w:r>
      <w:r w:rsidR="00B846EF" w:rsidRPr="00E60759">
        <w:rPr>
          <w:rFonts w:ascii="Arial" w:eastAsia="Times New Roman" w:hAnsi="Arial" w:cs="Arial"/>
          <w:sz w:val="24"/>
          <w:szCs w:val="24"/>
          <w:lang w:val="es-ES" w:eastAsia="es-ES"/>
        </w:rPr>
        <w:t xml:space="preserve">el 5 de marzo de 2020, </w:t>
      </w:r>
      <w:r w:rsidRPr="00E60759">
        <w:rPr>
          <w:rFonts w:ascii="Arial" w:eastAsia="Times New Roman" w:hAnsi="Arial" w:cs="Arial"/>
          <w:sz w:val="24"/>
          <w:szCs w:val="24"/>
          <w:lang w:val="es-ES" w:eastAsia="es-ES"/>
        </w:rPr>
        <w:t xml:space="preserve">en el proceso que contra Colpensiones y Porvenir S.A. adelantó la señora </w:t>
      </w:r>
      <w:r w:rsidR="008D4173" w:rsidRPr="008D4173">
        <w:rPr>
          <w:rFonts w:ascii="Arial" w:eastAsia="Times New Roman" w:hAnsi="Arial" w:cs="Arial"/>
          <w:sz w:val="24"/>
          <w:szCs w:val="24"/>
          <w:lang w:val="es-ES" w:eastAsia="es-ES"/>
        </w:rPr>
        <w:t xml:space="preserve">María Inés Espitia Lozano </w:t>
      </w:r>
      <w:r w:rsidR="00B846EF" w:rsidRPr="00E60759">
        <w:rPr>
          <w:rFonts w:ascii="Arial" w:eastAsia="Times New Roman" w:hAnsi="Arial" w:cs="Arial"/>
          <w:sz w:val="24"/>
          <w:szCs w:val="24"/>
          <w:lang w:val="es-ES" w:eastAsia="es-ES"/>
        </w:rPr>
        <w:t>en un proceso de ineficacia del traslado entre regímenes pensionales, en el que se trataban iguales temas jurídicos y probatorios a los que en este a</w:t>
      </w:r>
      <w:r w:rsidR="007D543A" w:rsidRPr="00E60759">
        <w:rPr>
          <w:rFonts w:ascii="Arial" w:eastAsia="Times New Roman" w:hAnsi="Arial" w:cs="Arial"/>
          <w:sz w:val="24"/>
          <w:szCs w:val="24"/>
          <w:lang w:val="es-ES" w:eastAsia="es-ES"/>
        </w:rPr>
        <w:t>sunto se resolvieron, se cumplieron</w:t>
      </w:r>
      <w:r w:rsidR="00192C08" w:rsidRPr="00E60759">
        <w:rPr>
          <w:rFonts w:ascii="Arial" w:eastAsia="Times New Roman" w:hAnsi="Arial" w:cs="Arial"/>
          <w:sz w:val="24"/>
          <w:szCs w:val="24"/>
          <w:lang w:val="es-ES" w:eastAsia="es-ES"/>
        </w:rPr>
        <w:t xml:space="preserve"> por la Sala mayoritaria</w:t>
      </w:r>
      <w:r w:rsidR="00B846EF" w:rsidRPr="00E60759">
        <w:rPr>
          <w:rFonts w:ascii="Arial" w:eastAsia="Times New Roman" w:hAnsi="Arial" w:cs="Arial"/>
          <w:sz w:val="24"/>
          <w:szCs w:val="24"/>
          <w:lang w:val="es-ES" w:eastAsia="es-ES"/>
        </w:rPr>
        <w:t xml:space="preserve">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w:t>
      </w:r>
      <w:r w:rsidR="00192C08" w:rsidRPr="00E60759">
        <w:rPr>
          <w:rFonts w:ascii="Arial" w:eastAsia="Times New Roman" w:hAnsi="Arial" w:cs="Arial"/>
          <w:sz w:val="24"/>
          <w:szCs w:val="24"/>
          <w:lang w:val="es-ES" w:eastAsia="es-ES"/>
        </w:rPr>
        <w:t>, esto es, la mayoría de esa célula judicial,</w:t>
      </w:r>
      <w:r w:rsidR="00B846EF" w:rsidRPr="00E60759">
        <w:rPr>
          <w:rFonts w:ascii="Arial" w:eastAsia="Times New Roman" w:hAnsi="Arial" w:cs="Arial"/>
          <w:sz w:val="24"/>
          <w:szCs w:val="24"/>
          <w:lang w:val="es-ES" w:eastAsia="es-ES"/>
        </w:rPr>
        <w:t xml:space="preserve"> decidieron textualmente</w:t>
      </w:r>
      <w:r w:rsidR="00192C08" w:rsidRPr="00E60759">
        <w:rPr>
          <w:rFonts w:ascii="Arial" w:eastAsia="Times New Roman" w:hAnsi="Arial" w:cs="Arial"/>
          <w:sz w:val="24"/>
          <w:szCs w:val="24"/>
          <w:lang w:val="es-ES" w:eastAsia="es-ES"/>
        </w:rPr>
        <w:t>:</w:t>
      </w:r>
      <w:r w:rsidR="00B846EF" w:rsidRPr="00E60759">
        <w:rPr>
          <w:rFonts w:ascii="Arial" w:eastAsia="Times New Roman" w:hAnsi="Arial" w:cs="Arial"/>
          <w:sz w:val="24"/>
          <w:szCs w:val="24"/>
          <w:lang w:val="es-ES" w:eastAsia="es-ES"/>
        </w:rPr>
        <w:t xml:space="preserve"> “</w:t>
      </w:r>
      <w:r w:rsidR="00B846EF" w:rsidRPr="00E60759">
        <w:rPr>
          <w:rFonts w:ascii="Arial" w:eastAsia="Times New Roman" w:hAnsi="Arial" w:cs="Arial"/>
          <w:b/>
          <w:sz w:val="24"/>
          <w:szCs w:val="24"/>
          <w:lang w:val="es-ES" w:eastAsia="es-ES"/>
        </w:rPr>
        <w:t>EXORTAR</w:t>
      </w:r>
      <w:r w:rsidR="00B846EF" w:rsidRPr="00E60759">
        <w:rPr>
          <w:rFonts w:ascii="Arial" w:eastAsia="Times New Roman" w:hAnsi="Arial" w:cs="Arial"/>
          <w:sz w:val="24"/>
          <w:szCs w:val="24"/>
          <w:lang w:val="es-ES" w:eastAsia="es-ES"/>
        </w:rPr>
        <w:t xml:space="preserve"> (sic) a la </w:t>
      </w:r>
      <w:r w:rsidR="00B846EF" w:rsidRPr="00E60759">
        <w:rPr>
          <w:rFonts w:ascii="Arial" w:eastAsia="Times New Roman" w:hAnsi="Arial" w:cs="Arial"/>
          <w:b/>
          <w:sz w:val="24"/>
          <w:szCs w:val="24"/>
          <w:lang w:val="es-ES" w:eastAsia="es-ES"/>
        </w:rPr>
        <w:t xml:space="preserve">SALA LABORAL DEL TRIBUNAL SUPERIOR DEL DISTRITO JUDICIAL DE PEREIRA </w:t>
      </w:r>
      <w:r w:rsidR="00B846EF" w:rsidRPr="00E60759">
        <w:rPr>
          <w:rFonts w:ascii="Arial" w:eastAsia="Times New Roman" w:hAnsi="Arial" w:cs="Arial"/>
          <w:sz w:val="24"/>
          <w:szCs w:val="24"/>
          <w:lang w:val="es-ES" w:eastAsia="es-ES"/>
        </w:rPr>
        <w:t xml:space="preserve">para que en lo sucesivo acate el precedente judicial </w:t>
      </w:r>
      <w:r w:rsidR="00192C08" w:rsidRPr="00E60759">
        <w:rPr>
          <w:rFonts w:ascii="Arial" w:eastAsia="Times New Roman" w:hAnsi="Arial" w:cs="Arial"/>
          <w:sz w:val="24"/>
          <w:szCs w:val="24"/>
          <w:lang w:val="es-ES" w:eastAsia="es-ES"/>
        </w:rPr>
        <w:t>emanado de esta Corporación”.</w:t>
      </w:r>
    </w:p>
    <w:p w:rsidR="00192C08" w:rsidRPr="00E60759" w:rsidRDefault="00192C08" w:rsidP="00E60759">
      <w:pPr>
        <w:spacing w:after="0"/>
        <w:jc w:val="both"/>
        <w:rPr>
          <w:rFonts w:ascii="Arial" w:eastAsia="Times New Roman" w:hAnsi="Arial" w:cs="Arial"/>
          <w:sz w:val="24"/>
          <w:szCs w:val="24"/>
          <w:lang w:val="es-ES" w:eastAsia="es-ES"/>
        </w:rPr>
      </w:pPr>
    </w:p>
    <w:p w:rsidR="00192C08" w:rsidRPr="00E60759" w:rsidRDefault="00192C08" w:rsidP="00E60759">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Bajo tal apremio, no obstante lo dispuesto en los artículos 228 y 230 de la Constitución Nacional, </w:t>
      </w:r>
      <w:r w:rsidRPr="00E60759">
        <w:rPr>
          <w:rFonts w:ascii="Arial" w:eastAsia="Times New Roman" w:hAnsi="Arial" w:cs="Arial"/>
          <w:b/>
          <w:sz w:val="24"/>
          <w:szCs w:val="24"/>
          <w:lang w:val="es-ES" w:eastAsia="es-ES"/>
        </w:rPr>
        <w:t>no queda otra posibilidad al suscrito que</w:t>
      </w:r>
      <w:r w:rsidRPr="00E60759">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E60759">
        <w:rPr>
          <w:rFonts w:ascii="Arial" w:eastAsia="Times New Roman" w:hAnsi="Arial" w:cs="Arial"/>
          <w:b/>
          <w:sz w:val="24"/>
          <w:szCs w:val="24"/>
          <w:lang w:val="es-ES" w:eastAsia="es-ES"/>
        </w:rPr>
        <w:t>acatar lo resuelto por el superior</w:t>
      </w:r>
      <w:r w:rsidRPr="00E60759">
        <w:rPr>
          <w:rFonts w:ascii="Arial" w:eastAsia="Times New Roman" w:hAnsi="Arial" w:cs="Arial"/>
          <w:sz w:val="24"/>
          <w:szCs w:val="24"/>
          <w:lang w:val="es-ES" w:eastAsia="es-ES"/>
        </w:rPr>
        <w:t>, en el sentido de proferir la providencia siguiendo la línea jurisprudencial señalada por la mayoría de los integrantes de la Sala de Casaci</w:t>
      </w:r>
      <w:r w:rsidR="007D543A" w:rsidRPr="00E60759">
        <w:rPr>
          <w:rFonts w:ascii="Arial" w:eastAsia="Times New Roman" w:hAnsi="Arial" w:cs="Arial"/>
          <w:sz w:val="24"/>
          <w:szCs w:val="24"/>
          <w:lang w:val="es-ES" w:eastAsia="es-ES"/>
        </w:rPr>
        <w:t>ón Laboral, a pesar de no representar ésta el criterio jurídico de quien suscribe esta aclaración y que se enmarca en el siguiente:</w:t>
      </w:r>
    </w:p>
    <w:p w:rsidR="007D543A" w:rsidRPr="00E60759" w:rsidRDefault="007D543A" w:rsidP="00E60759">
      <w:pPr>
        <w:spacing w:after="0"/>
        <w:jc w:val="both"/>
        <w:rPr>
          <w:rFonts w:ascii="Arial" w:eastAsia="Times New Roman" w:hAnsi="Arial" w:cs="Arial"/>
          <w:sz w:val="24"/>
          <w:szCs w:val="24"/>
          <w:lang w:val="es-ES" w:eastAsia="es-ES"/>
        </w:rPr>
      </w:pPr>
    </w:p>
    <w:p w:rsidR="007D543A" w:rsidRPr="00E60759" w:rsidRDefault="007D543A" w:rsidP="00E60759">
      <w:pPr>
        <w:spacing w:after="0"/>
        <w:jc w:val="center"/>
        <w:rPr>
          <w:rFonts w:ascii="Arial" w:eastAsia="Times New Roman" w:hAnsi="Arial" w:cs="Arial"/>
          <w:b/>
          <w:sz w:val="24"/>
          <w:szCs w:val="24"/>
          <w:lang w:val="es-ES" w:eastAsia="es-ES"/>
        </w:rPr>
      </w:pPr>
      <w:r w:rsidRPr="00E60759">
        <w:rPr>
          <w:rFonts w:ascii="Arial" w:eastAsia="Times New Roman" w:hAnsi="Arial" w:cs="Arial"/>
          <w:b/>
          <w:sz w:val="24"/>
          <w:szCs w:val="24"/>
          <w:lang w:val="es-ES" w:eastAsia="es-ES"/>
        </w:rPr>
        <w:t>ANÁLISIS JURÍDICO DE LOS HECHOS DEBATIDOS EN LOS CASOS DE TRASLADOS ENTRE REGÍMENES</w:t>
      </w:r>
    </w:p>
    <w:p w:rsidR="00192C08" w:rsidRPr="00E60759" w:rsidRDefault="00192C08" w:rsidP="00E60759">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 </w:t>
      </w:r>
    </w:p>
    <w:p w:rsidR="00363E15" w:rsidRPr="00E60759" w:rsidRDefault="00363E15"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w:t>
      </w:r>
      <w:r w:rsidRPr="00E60759">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363E15" w:rsidRPr="00E60759" w:rsidRDefault="00363E15" w:rsidP="00E60759">
      <w:pPr>
        <w:suppressAutoHyphens/>
        <w:spacing w:after="0"/>
        <w:jc w:val="both"/>
        <w:rPr>
          <w:rFonts w:ascii="Arial" w:eastAsia="Times New Roman" w:hAnsi="Arial" w:cs="Arial"/>
          <w:spacing w:val="-2"/>
          <w:sz w:val="24"/>
          <w:szCs w:val="24"/>
          <w:lang w:val="es-ES_tradnl" w:eastAsia="es-ES"/>
        </w:rPr>
      </w:pPr>
    </w:p>
    <w:p w:rsidR="00363E15" w:rsidRPr="00E60759" w:rsidRDefault="00363E15"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63E15" w:rsidRPr="00E60759" w:rsidRDefault="00363E15" w:rsidP="00E60759">
      <w:pPr>
        <w:suppressAutoHyphens/>
        <w:spacing w:after="0"/>
        <w:jc w:val="both"/>
        <w:rPr>
          <w:rFonts w:ascii="Arial" w:eastAsia="Times New Roman" w:hAnsi="Arial" w:cs="Arial"/>
          <w:spacing w:val="-2"/>
          <w:sz w:val="24"/>
          <w:szCs w:val="24"/>
          <w:lang w:val="es-ES_tradnl" w:eastAsia="es-ES"/>
        </w:rPr>
      </w:pPr>
    </w:p>
    <w:p w:rsidR="00F5192A" w:rsidRPr="00E60759" w:rsidRDefault="00363E15"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Como quiera que esta posición se </w:t>
      </w:r>
      <w:proofErr w:type="gramStart"/>
      <w:r w:rsidRPr="00E60759">
        <w:rPr>
          <w:rFonts w:ascii="Arial" w:eastAsia="Times New Roman" w:hAnsi="Arial" w:cs="Arial"/>
          <w:spacing w:val="-2"/>
          <w:sz w:val="24"/>
          <w:szCs w:val="24"/>
          <w:lang w:val="es-ES_tradnl" w:eastAsia="es-ES"/>
        </w:rPr>
        <w:t>separa</w:t>
      </w:r>
      <w:proofErr w:type="gramEnd"/>
      <w:r w:rsidRPr="00E60759">
        <w:rPr>
          <w:rFonts w:ascii="Arial" w:eastAsia="Times New Roman" w:hAnsi="Arial" w:cs="Arial"/>
          <w:spacing w:val="-2"/>
          <w:sz w:val="24"/>
          <w:szCs w:val="24"/>
          <w:lang w:val="es-ES_tradnl" w:eastAsia="es-ES"/>
        </w:rPr>
        <w:t xml:space="preserve"> expresamente de la línea actual de la Corte Suprema de Justicia, </w:t>
      </w:r>
      <w:r w:rsidR="00F5192A" w:rsidRPr="00E60759">
        <w:rPr>
          <w:rFonts w:ascii="Arial" w:eastAsia="Times New Roman" w:hAnsi="Arial" w:cs="Arial"/>
          <w:spacing w:val="-2"/>
          <w:sz w:val="24"/>
          <w:szCs w:val="24"/>
          <w:lang w:val="es-ES_tradnl" w:eastAsia="es-ES"/>
        </w:rPr>
        <w:t xml:space="preserve">considero necesario </w:t>
      </w:r>
      <w:r w:rsidR="00F5192A" w:rsidRPr="00E60759">
        <w:rPr>
          <w:rFonts w:ascii="Arial" w:eastAsia="Times New Roman" w:hAnsi="Arial" w:cs="Arial"/>
          <w:iCs/>
          <w:sz w:val="24"/>
          <w:szCs w:val="24"/>
          <w:lang w:val="es-ES_tradnl" w:eastAsia="es-ES"/>
        </w:rPr>
        <w:t>discurrir sobre los 8 temas jurídicos que a continuación se desarrollan:</w:t>
      </w:r>
    </w:p>
    <w:p w:rsidR="00F5192A" w:rsidRPr="00E60759" w:rsidRDefault="00F5192A" w:rsidP="00E60759">
      <w:pPr>
        <w:spacing w:after="0"/>
        <w:jc w:val="both"/>
        <w:rPr>
          <w:rFonts w:ascii="Arial" w:eastAsia="Times New Roman" w:hAnsi="Arial" w:cs="Arial"/>
          <w:sz w:val="24"/>
          <w:szCs w:val="24"/>
          <w:lang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pacing w:after="0"/>
        <w:ind w:right="51"/>
        <w:jc w:val="both"/>
        <w:rPr>
          <w:rFonts w:ascii="Arial" w:eastAsia="Times New Roman" w:hAnsi="Arial" w:cs="Arial"/>
          <w:spacing w:val="-2"/>
          <w:sz w:val="24"/>
          <w:szCs w:val="24"/>
          <w:lang w:val="es-ES_tradnl" w:eastAsia="es-ES"/>
        </w:rPr>
      </w:pPr>
      <w:r w:rsidRPr="00E6075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37129B" w:rsidRDefault="00E837FA" w:rsidP="0037129B">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37129B">
        <w:rPr>
          <w:rFonts w:ascii="Arial" w:eastAsia="Times New Roman" w:hAnsi="Arial" w:cs="Arial"/>
          <w:b/>
          <w:bCs/>
          <w:spacing w:val="-2"/>
          <w:szCs w:val="24"/>
          <w:lang w:val="es-ES" w:eastAsia="es-ES"/>
        </w:rPr>
        <w:t>(i)</w:t>
      </w:r>
      <w:r w:rsidRPr="0037129B">
        <w:rPr>
          <w:rFonts w:ascii="Arial" w:eastAsia="Times New Roman" w:hAnsi="Arial" w:cs="Arial"/>
          <w:spacing w:val="-2"/>
          <w:szCs w:val="24"/>
          <w:lang w:val="es-ES" w:eastAsia="es-ES"/>
        </w:rPr>
        <w:t xml:space="preserve"> de forma </w:t>
      </w:r>
      <w:r w:rsidR="00045558" w:rsidRPr="0037129B">
        <w:rPr>
          <w:rFonts w:ascii="Arial" w:eastAsia="Times New Roman" w:hAnsi="Arial" w:cs="Arial"/>
          <w:spacing w:val="-2"/>
          <w:szCs w:val="24"/>
          <w:lang w:val="es-ES" w:eastAsia="es-ES"/>
        </w:rPr>
        <w:t>explícita</w:t>
      </w:r>
      <w:r w:rsidRPr="0037129B">
        <w:rPr>
          <w:rFonts w:ascii="Arial" w:eastAsia="Times New Roman" w:hAnsi="Arial" w:cs="Arial"/>
          <w:spacing w:val="-2"/>
          <w:szCs w:val="24"/>
          <w:lang w:val="es-ES" w:eastAsia="es-ES"/>
        </w:rPr>
        <w:t xml:space="preserve"> las razones por las cuales se separa de aquellos, y </w:t>
      </w:r>
      <w:r w:rsidRPr="0037129B">
        <w:rPr>
          <w:rFonts w:ascii="Arial" w:eastAsia="Times New Roman" w:hAnsi="Arial" w:cs="Arial"/>
          <w:b/>
          <w:bCs/>
          <w:spacing w:val="-2"/>
          <w:szCs w:val="24"/>
          <w:lang w:val="es-ES" w:eastAsia="es-ES"/>
        </w:rPr>
        <w:t>(ii)</w:t>
      </w:r>
      <w:r w:rsidRPr="0037129B">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37129B">
        <w:rPr>
          <w:rFonts w:ascii="Arial" w:eastAsia="Times New Roman" w:hAnsi="Arial" w:cs="Arial"/>
          <w:spacing w:val="-2"/>
          <w:szCs w:val="24"/>
          <w:lang w:val="es-ES" w:eastAsia="es-ES"/>
        </w:rPr>
        <w:t>”</w:t>
      </w:r>
      <w:bookmarkEnd w:id="0"/>
    </w:p>
    <w:p w:rsidR="00E837FA" w:rsidRPr="0037129B" w:rsidRDefault="00E837FA" w:rsidP="0037129B">
      <w:pPr>
        <w:suppressAutoHyphens/>
        <w:spacing w:after="0" w:line="240" w:lineRule="auto"/>
        <w:ind w:left="426" w:right="420"/>
        <w:jc w:val="both"/>
        <w:rPr>
          <w:rFonts w:ascii="Arial" w:eastAsia="Times New Roman" w:hAnsi="Arial" w:cs="Arial"/>
          <w:spacing w:val="-2"/>
          <w:szCs w:val="24"/>
          <w:lang w:val="es-ES" w:eastAsia="es-ES"/>
        </w:rPr>
      </w:pPr>
    </w:p>
    <w:p w:rsidR="00E837FA" w:rsidRPr="0037129B" w:rsidRDefault="00E837FA" w:rsidP="0037129B">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129B">
        <w:rPr>
          <w:rFonts w:ascii="Arial" w:eastAsia="Times New Roman" w:hAnsi="Arial" w:cs="Arial"/>
          <w:b/>
          <w:spacing w:val="-2"/>
          <w:szCs w:val="24"/>
          <w:lang w:eastAsia="es-ES"/>
        </w:rPr>
        <w:t>sin exponer las razones jurídicas que justifique el cambio de  jurisprudencia</w:t>
      </w:r>
      <w:r w:rsidRPr="0037129B">
        <w:rPr>
          <w:rFonts w:ascii="Arial" w:eastAsia="Times New Roman" w:hAnsi="Arial" w:cs="Arial"/>
          <w:spacing w:val="-2"/>
          <w:szCs w:val="24"/>
          <w:lang w:eastAsia="es-ES"/>
        </w:rPr>
        <w:t>.” (Negrillas fuera del original)</w:t>
      </w:r>
      <w:r w:rsidRPr="0037129B">
        <w:rPr>
          <w:rFonts w:ascii="Arial" w:eastAsia="Times New Roman" w:hAnsi="Arial" w:cs="Arial"/>
          <w:spacing w:val="-2"/>
          <w:szCs w:val="24"/>
          <w:lang w:val="es-ES" w:eastAsia="es-ES"/>
        </w:rPr>
        <w:t xml:space="preserve"> </w:t>
      </w: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 </w:t>
      </w: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837FA" w:rsidRPr="00E60759" w:rsidRDefault="00E837FA" w:rsidP="00E60759">
      <w:pPr>
        <w:suppressAutoHyphens/>
        <w:spacing w:after="0"/>
        <w:jc w:val="both"/>
        <w:rPr>
          <w:rFonts w:ascii="Arial" w:eastAsia="Times New Roman" w:hAnsi="Arial" w:cs="Arial"/>
          <w:b/>
          <w:spacing w:val="-2"/>
          <w:sz w:val="24"/>
          <w:szCs w:val="24"/>
          <w:lang w:val="es-ES_tradnl" w:eastAsia="es-ES"/>
        </w:rPr>
      </w:pPr>
    </w:p>
    <w:p w:rsidR="00E837FA" w:rsidRPr="00E60759" w:rsidRDefault="00E837FA" w:rsidP="00E60759">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E60759">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E60759">
        <w:rPr>
          <w:rFonts w:ascii="Arial" w:eastAsia="Times New Roman" w:hAnsi="Arial" w:cs="Arial"/>
          <w:iCs/>
          <w:sz w:val="24"/>
          <w:szCs w:val="24"/>
          <w:lang w:val="es-ES_tradnl" w:eastAsia="es-ES"/>
        </w:rPr>
        <w:t xml:space="preserve"> Sala de Casación Laboral contenida en las sentencias SL1421-2019, SL1452-2019, SL1688-2019 y SL1689-2019 que se concreta en los siguientes razonamientos:</w:t>
      </w:r>
    </w:p>
    <w:p w:rsidR="00E837FA" w:rsidRPr="00E60759" w:rsidRDefault="00E837FA" w:rsidP="00E60759">
      <w:pPr>
        <w:suppressAutoHyphens/>
        <w:spacing w:after="0"/>
        <w:jc w:val="both"/>
        <w:rPr>
          <w:rFonts w:ascii="Arial" w:eastAsia="Times New Roman" w:hAnsi="Arial" w:cs="Arial"/>
          <w:iCs/>
          <w:sz w:val="24"/>
          <w:szCs w:val="24"/>
          <w:lang w:val="es-ES_tradnl" w:eastAsia="es-ES"/>
        </w:rPr>
      </w:pPr>
    </w:p>
    <w:p w:rsidR="00E837FA" w:rsidRPr="00E60759" w:rsidRDefault="00E837FA" w:rsidP="00E60759">
      <w:pPr>
        <w:numPr>
          <w:ilvl w:val="0"/>
          <w:numId w:val="6"/>
        </w:num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837FA" w:rsidRPr="00E60759" w:rsidRDefault="00E837FA" w:rsidP="00E60759">
      <w:pPr>
        <w:suppressAutoHyphens/>
        <w:spacing w:after="0"/>
        <w:ind w:left="720"/>
        <w:jc w:val="both"/>
        <w:rPr>
          <w:rFonts w:ascii="Arial" w:eastAsia="Times New Roman" w:hAnsi="Arial" w:cs="Arial"/>
          <w:iCs/>
          <w:sz w:val="24"/>
          <w:szCs w:val="24"/>
          <w:lang w:val="es-ES_tradnl" w:eastAsia="es-ES"/>
        </w:rPr>
      </w:pPr>
    </w:p>
    <w:p w:rsidR="00E837FA" w:rsidRPr="00E60759" w:rsidRDefault="00E837FA" w:rsidP="00E60759">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deber de información a cargo de las administradoras de fondos de pensiones es un deber que le es exigible desde la creación de estas entidades</w:t>
      </w:r>
      <w:r w:rsidRPr="00E60759">
        <w:rPr>
          <w:rFonts w:ascii="Arial" w:eastAsia="Times New Roman" w:hAnsi="Arial" w:cs="Arial"/>
          <w:iCs/>
          <w:sz w:val="24"/>
          <w:szCs w:val="24"/>
          <w:lang w:val="es-ES_tradnl" w:eastAsia="es-ES"/>
        </w:rPr>
        <w:t xml:space="preserve">, básicamente porque </w:t>
      </w:r>
      <w:r w:rsidRPr="00E60759">
        <w:rPr>
          <w:rFonts w:ascii="Arial" w:eastAsia="Times New Roman" w:hAnsi="Arial" w:cs="Arial"/>
          <w:i/>
          <w:iCs/>
          <w:sz w:val="24"/>
          <w:szCs w:val="24"/>
          <w:lang w:val="es-ES_tradnl" w:eastAsia="es-ES"/>
        </w:rPr>
        <w:t>“</w:t>
      </w:r>
      <w:r w:rsidRPr="0037129B">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60759">
        <w:rPr>
          <w:rFonts w:ascii="Arial" w:hAnsi="Arial" w:cs="Arial"/>
          <w:i/>
          <w:spacing w:val="-4"/>
          <w:sz w:val="24"/>
          <w:szCs w:val="24"/>
        </w:rPr>
        <w:t xml:space="preserve">.”. </w:t>
      </w:r>
      <w:r w:rsidRPr="00E60759">
        <w:rPr>
          <w:rFonts w:ascii="Arial" w:hAnsi="Arial" w:cs="Arial"/>
          <w:spacing w:val="-4"/>
          <w:sz w:val="24"/>
          <w:szCs w:val="24"/>
        </w:rPr>
        <w:t>Deber cuyo nivel de exigencia se elevó con la expedición</w:t>
      </w:r>
      <w:r w:rsidRPr="00E60759">
        <w:rPr>
          <w:rFonts w:ascii="Arial" w:hAnsi="Arial" w:cs="Arial"/>
          <w:sz w:val="24"/>
          <w:szCs w:val="24"/>
          <w:lang w:val="es-ES_tradnl"/>
        </w:rPr>
        <w:t xml:space="preserve"> de la Ley 1328 de 2009 y el Decreto 2241 de 2010, en la medida que </w:t>
      </w:r>
      <w:r w:rsidRPr="00E60759">
        <w:rPr>
          <w:rFonts w:ascii="Arial" w:hAnsi="Arial" w:cs="Arial"/>
          <w:i/>
          <w:spacing w:val="-4"/>
          <w:sz w:val="24"/>
          <w:szCs w:val="24"/>
        </w:rPr>
        <w:t>“</w:t>
      </w:r>
      <w:r w:rsidRPr="0037129B">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E60759">
        <w:rPr>
          <w:rFonts w:ascii="Arial" w:hAnsi="Arial" w:cs="Arial"/>
          <w:i/>
          <w:spacing w:val="-4"/>
          <w:sz w:val="24"/>
          <w:szCs w:val="24"/>
        </w:rPr>
        <w:t xml:space="preserve">”, </w:t>
      </w:r>
      <w:r w:rsidRPr="00E60759">
        <w:rPr>
          <w:rFonts w:ascii="Arial" w:hAnsi="Arial" w:cs="Arial"/>
          <w:spacing w:val="-4"/>
          <w:sz w:val="24"/>
          <w:szCs w:val="24"/>
        </w:rPr>
        <w:t>llegando incluso</w:t>
      </w:r>
      <w:r w:rsidRPr="00E60759">
        <w:rPr>
          <w:rFonts w:ascii="Arial" w:eastAsia="Times New Roman" w:hAnsi="Arial" w:cs="Arial"/>
          <w:iCs/>
          <w:sz w:val="24"/>
          <w:szCs w:val="24"/>
          <w:lang w:val="es-ES_tradnl" w:eastAsia="es-ES"/>
        </w:rPr>
        <w:t xml:space="preserve"> a la exigencia de la doble asesoría prevista en </w:t>
      </w:r>
      <w:r w:rsidRPr="00E60759">
        <w:rPr>
          <w:rFonts w:ascii="Arial" w:hAnsi="Arial" w:cs="Arial"/>
          <w:sz w:val="24"/>
          <w:szCs w:val="24"/>
          <w:lang w:val="es-ES_tradnl"/>
        </w:rPr>
        <w:t>la Ley 1748 de 2014, el Decreto 2071 de 2015 y la Circular Externa n.° 016 de 2016.</w:t>
      </w:r>
      <w:r w:rsidRPr="00E60759">
        <w:rPr>
          <w:rFonts w:ascii="Arial" w:eastAsia="Times New Roman" w:hAnsi="Arial" w:cs="Arial"/>
          <w:i/>
          <w:iCs/>
          <w:sz w:val="24"/>
          <w:szCs w:val="24"/>
          <w:lang w:val="es-ES_tradnl" w:eastAsia="es-ES"/>
        </w:rPr>
        <w:t xml:space="preserve"> </w:t>
      </w:r>
    </w:p>
    <w:p w:rsidR="00E837FA" w:rsidRPr="00E60759" w:rsidRDefault="00E837FA" w:rsidP="00E60759">
      <w:pPr>
        <w:suppressAutoHyphens/>
        <w:spacing w:after="0"/>
        <w:jc w:val="both"/>
        <w:rPr>
          <w:rFonts w:ascii="Arial" w:eastAsia="Times New Roman" w:hAnsi="Arial" w:cs="Arial"/>
          <w:i/>
          <w:iCs/>
          <w:sz w:val="24"/>
          <w:szCs w:val="24"/>
          <w:lang w:val="es-ES_tradnl" w:eastAsia="es-ES"/>
        </w:rPr>
      </w:pPr>
    </w:p>
    <w:p w:rsidR="00E837FA" w:rsidRPr="00E60759" w:rsidRDefault="00E837FA" w:rsidP="00E60759">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E837FA" w:rsidRPr="00E60759" w:rsidRDefault="00E837FA" w:rsidP="00E60759">
      <w:pPr>
        <w:suppressAutoHyphens/>
        <w:spacing w:after="0"/>
        <w:jc w:val="both"/>
        <w:rPr>
          <w:rFonts w:ascii="Arial" w:eastAsia="Times New Roman" w:hAnsi="Arial" w:cs="Arial"/>
          <w:i/>
          <w:iCs/>
          <w:sz w:val="24"/>
          <w:szCs w:val="24"/>
          <w:lang w:val="es-ES_tradnl" w:eastAsia="es-ES"/>
        </w:rPr>
      </w:pPr>
    </w:p>
    <w:p w:rsidR="00E837FA" w:rsidRPr="00E60759" w:rsidRDefault="00E837FA" w:rsidP="00E60759">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837FA" w:rsidRPr="00E60759" w:rsidRDefault="00E837FA" w:rsidP="00E60759">
      <w:pPr>
        <w:suppressAutoHyphens/>
        <w:spacing w:after="0"/>
        <w:jc w:val="both"/>
        <w:rPr>
          <w:rFonts w:ascii="Arial" w:eastAsia="Times New Roman" w:hAnsi="Arial" w:cs="Arial"/>
          <w:i/>
          <w:iCs/>
          <w:sz w:val="24"/>
          <w:szCs w:val="24"/>
          <w:lang w:val="es-ES_tradnl" w:eastAsia="es-ES"/>
        </w:rPr>
      </w:pPr>
    </w:p>
    <w:p w:rsidR="00E837FA" w:rsidRPr="0037129B" w:rsidRDefault="00E837FA" w:rsidP="0037129B">
      <w:pPr>
        <w:numPr>
          <w:ilvl w:val="0"/>
          <w:numId w:val="6"/>
        </w:numPr>
        <w:suppressAutoHyphens/>
        <w:spacing w:after="0"/>
        <w:jc w:val="both"/>
        <w:rPr>
          <w:rFonts w:ascii="Arial" w:hAnsi="Arial" w:cs="Arial"/>
          <w:spacing w:val="-4"/>
          <w:sz w:val="24"/>
          <w:szCs w:val="24"/>
          <w:lang w:val="es-ES"/>
        </w:rPr>
      </w:pPr>
      <w:r w:rsidRPr="00E60759">
        <w:rPr>
          <w:rFonts w:ascii="Arial" w:hAnsi="Arial" w:cs="Arial"/>
          <w:spacing w:val="-4"/>
          <w:sz w:val="24"/>
          <w:szCs w:val="24"/>
        </w:rPr>
        <w:t xml:space="preserve">Acreditada la falta de consentimiento informado corresponde declarar la ineficacia del traslado y como consecuencia de ello </w:t>
      </w:r>
      <w:r w:rsidRPr="00E60759">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E60759">
        <w:rPr>
          <w:rFonts w:ascii="Arial" w:hAnsi="Arial" w:cs="Arial"/>
          <w:sz w:val="24"/>
          <w:szCs w:val="24"/>
        </w:rPr>
        <w:t>los valores correspondientes a las cotizaciones, rendimientos financieros y gastos de administración, pertenecientes a la cuenta de quien demanda</w:t>
      </w:r>
      <w:r w:rsidRPr="00E60759">
        <w:rPr>
          <w:rFonts w:ascii="Arial" w:hAnsi="Arial" w:cs="Arial"/>
          <w:color w:val="000000"/>
          <w:sz w:val="24"/>
          <w:szCs w:val="24"/>
        </w:rPr>
        <w:t xml:space="preserve"> </w:t>
      </w:r>
      <w:r w:rsidRPr="00E60759">
        <w:rPr>
          <w:rFonts w:ascii="Arial" w:hAnsi="Arial" w:cs="Arial"/>
          <w:spacing w:val="-4"/>
          <w:sz w:val="24"/>
          <w:szCs w:val="24"/>
          <w:lang w:val="es-ES"/>
        </w:rPr>
        <w:t>para que sea esta entidad la que proceda a reconocer la pensión con base en las disposiciones que guían el RPM.</w:t>
      </w: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p>
    <w:p w:rsidR="00E837FA" w:rsidRPr="00E60759" w:rsidRDefault="00E837FA" w:rsidP="00E60759">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E60759">
        <w:rPr>
          <w:rFonts w:ascii="Arial" w:eastAsia="Times New Roman" w:hAnsi="Arial" w:cs="Arial"/>
          <w:b/>
          <w:spacing w:val="-2"/>
          <w:sz w:val="24"/>
          <w:szCs w:val="24"/>
          <w:lang w:val="es-ES" w:eastAsia="es-ES"/>
        </w:rPr>
        <w:t>CONTENIDO DE LOS ARTÍCULOS 13 LITERAL b) y 271 DE LA LEY 100 DE 1993</w:t>
      </w:r>
    </w:p>
    <w:p w:rsidR="00E837FA" w:rsidRPr="00E60759" w:rsidRDefault="00E837FA" w:rsidP="00E60759">
      <w:pPr>
        <w:suppressAutoHyphens/>
        <w:spacing w:after="0"/>
        <w:jc w:val="both"/>
        <w:rPr>
          <w:rFonts w:ascii="Arial" w:eastAsia="Times New Roman" w:hAnsi="Arial" w:cs="Arial"/>
          <w:b/>
          <w:spacing w:val="-2"/>
          <w:sz w:val="24"/>
          <w:szCs w:val="24"/>
          <w:lang w:val="es-ES"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lastRenderedPageBreak/>
        <w:t>De conformidad con el literal b) del artículo 13 de la ley 100 de 199</w:t>
      </w:r>
      <w:r w:rsidRPr="00E60759">
        <w:rPr>
          <w:rFonts w:ascii="Arial" w:eastAsia="Times New Roman" w:hAnsi="Arial" w:cs="Arial"/>
          <w:b/>
          <w:spacing w:val="-2"/>
          <w:sz w:val="24"/>
          <w:szCs w:val="24"/>
          <w:lang w:val="es-ES" w:eastAsia="es-ES"/>
        </w:rPr>
        <w:t xml:space="preserve">3, </w:t>
      </w:r>
      <w:r w:rsidRPr="00E60759">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p>
    <w:p w:rsidR="00E837FA" w:rsidRPr="00E60759" w:rsidRDefault="00E837FA" w:rsidP="00E60759">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E837FA" w:rsidRPr="00E60759" w:rsidRDefault="00E837FA" w:rsidP="00E60759">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E837FA" w:rsidRPr="00E60759" w:rsidRDefault="00E837FA" w:rsidP="00E60759">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sanción es una multa por un valor entre uno y 50 SMLMV.</w:t>
      </w:r>
    </w:p>
    <w:p w:rsidR="00E837FA" w:rsidRPr="00E60759" w:rsidRDefault="00E837FA" w:rsidP="00E60759">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E837FA" w:rsidRPr="00E60759" w:rsidRDefault="00E837FA" w:rsidP="00E60759">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60759">
        <w:rPr>
          <w:rFonts w:ascii="Arial" w:eastAsia="Times New Roman" w:hAnsi="Arial" w:cs="Arial"/>
          <w:b/>
          <w:spacing w:val="-2"/>
          <w:sz w:val="24"/>
          <w:szCs w:val="24"/>
          <w:lang w:val="es-ES_tradnl" w:eastAsia="es-ES"/>
        </w:rPr>
        <w:t xml:space="preserve"> “</w:t>
      </w:r>
      <w:r w:rsidRPr="00045558">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60759">
        <w:rPr>
          <w:rFonts w:ascii="Arial" w:eastAsia="Times New Roman" w:hAnsi="Arial" w:cs="Arial"/>
          <w:b/>
          <w:spacing w:val="-2"/>
          <w:sz w:val="24"/>
          <w:szCs w:val="24"/>
          <w:lang w:val="es-ES_tradnl" w:eastAsia="es-ES"/>
        </w:rPr>
        <w:t>”, t</w:t>
      </w:r>
      <w:r w:rsidRPr="00E6075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60759">
        <w:rPr>
          <w:rFonts w:ascii="Arial" w:eastAsia="Times New Roman" w:hAnsi="Arial" w:cs="Arial"/>
          <w:b/>
          <w:spacing w:val="-2"/>
          <w:sz w:val="24"/>
          <w:szCs w:val="24"/>
          <w:lang w:val="es-ES_tradnl" w:eastAsia="es-ES"/>
        </w:rPr>
        <w:t>“Sanciones al empleador”</w:t>
      </w:r>
      <w:r w:rsidRPr="00E60759">
        <w:rPr>
          <w:rFonts w:ascii="Arial" w:eastAsia="Times New Roman" w:hAnsi="Arial" w:cs="Arial"/>
          <w:spacing w:val="-2"/>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spacing w:val="-2"/>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6075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837FA" w:rsidRPr="00E60759" w:rsidRDefault="00E837FA" w:rsidP="00E60759">
      <w:pPr>
        <w:suppressAutoHyphens/>
        <w:spacing w:after="0"/>
        <w:jc w:val="both"/>
        <w:rPr>
          <w:rFonts w:ascii="Arial" w:eastAsia="Times New Roman" w:hAnsi="Arial" w:cs="Arial"/>
          <w:b/>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60759">
        <w:rPr>
          <w:rFonts w:ascii="Arial" w:eastAsia="Times New Roman" w:hAnsi="Arial" w:cs="Arial"/>
          <w:spacing w:val="-2"/>
          <w:sz w:val="24"/>
          <w:szCs w:val="24"/>
          <w:lang w:val="es-ES" w:eastAsia="es-ES"/>
        </w:rPr>
        <w:t>:</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37129B" w:rsidRDefault="00E837FA" w:rsidP="0037129B">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E837FA" w:rsidRPr="0037129B" w:rsidRDefault="00E837FA" w:rsidP="0037129B">
      <w:pPr>
        <w:suppressAutoHyphens/>
        <w:spacing w:after="0" w:line="240" w:lineRule="auto"/>
        <w:ind w:left="426" w:right="420"/>
        <w:jc w:val="both"/>
        <w:rPr>
          <w:rFonts w:ascii="Arial" w:eastAsia="Times New Roman" w:hAnsi="Arial" w:cs="Arial"/>
          <w:spacing w:val="-2"/>
          <w:szCs w:val="24"/>
          <w:lang w:val="es-ES_tradnl" w:eastAsia="es-ES"/>
        </w:rPr>
      </w:pPr>
    </w:p>
    <w:p w:rsidR="00E837FA" w:rsidRPr="0037129B" w:rsidRDefault="00E837FA" w:rsidP="0037129B">
      <w:pPr>
        <w:suppressAutoHyphens/>
        <w:spacing w:after="0" w:line="240" w:lineRule="auto"/>
        <w:ind w:left="851" w:right="845"/>
        <w:jc w:val="both"/>
        <w:rPr>
          <w:rFonts w:ascii="Arial" w:eastAsia="Times New Roman" w:hAnsi="Arial" w:cs="Arial"/>
          <w:spacing w:val="-2"/>
          <w:szCs w:val="24"/>
          <w:lang w:val="es-ES_tradnl" w:eastAsia="es-ES"/>
        </w:rPr>
      </w:pPr>
      <w:r w:rsidRPr="0037129B">
        <w:rPr>
          <w:rFonts w:ascii="Arial" w:eastAsia="Times New Roman" w:hAnsi="Arial" w:cs="Arial"/>
          <w:i/>
          <w:spacing w:val="-2"/>
          <w:szCs w:val="24"/>
          <w:lang w:val="es-ES_tradnl" w:eastAsia="es-ES"/>
        </w:rPr>
        <w:t>“</w:t>
      </w:r>
      <w:r w:rsidRPr="0037129B">
        <w:rPr>
          <w:rFonts w:ascii="Arial" w:eastAsia="Times New Roman" w:hAnsi="Arial" w:cs="Arial"/>
          <w:b/>
          <w:i/>
          <w:spacing w:val="-2"/>
          <w:szCs w:val="24"/>
          <w:lang w:val="es-ES_tradnl" w:eastAsia="es-ES"/>
        </w:rPr>
        <w:t>Permanencia de la afiliación</w:t>
      </w:r>
      <w:r w:rsidRPr="0037129B">
        <w:rPr>
          <w:rFonts w:ascii="Arial" w:eastAsia="Times New Roman" w:hAnsi="Arial" w:cs="Arial"/>
          <w:i/>
          <w:spacing w:val="-2"/>
          <w:szCs w:val="24"/>
          <w:lang w:val="es-ES_tradnl" w:eastAsia="es-ES"/>
        </w:rPr>
        <w:t xml:space="preserve">. La afiliación al Sistema General de Pensiones es permanente </w:t>
      </w:r>
      <w:r w:rsidRPr="0037129B">
        <w:rPr>
          <w:rFonts w:ascii="Arial" w:eastAsia="Times New Roman" w:hAnsi="Arial" w:cs="Arial"/>
          <w:i/>
          <w:spacing w:val="-2"/>
          <w:szCs w:val="24"/>
          <w:u w:val="single"/>
          <w:lang w:val="es-ES_tradnl" w:eastAsia="es-ES"/>
        </w:rPr>
        <w:t>e independiente del régimen que seleccione el afiliado</w:t>
      </w:r>
      <w:r w:rsidRPr="0037129B">
        <w:rPr>
          <w:rFonts w:ascii="Arial" w:eastAsia="Times New Roman" w:hAnsi="Arial" w:cs="Arial"/>
          <w:i/>
          <w:spacing w:val="-2"/>
          <w:szCs w:val="24"/>
          <w:lang w:val="es-ES_tradnl" w:eastAsia="es-ES"/>
        </w:rPr>
        <w:t xml:space="preserve">. Dicha afiliación no se pierde por haber dejado de cotizar durante </w:t>
      </w:r>
      <w:r w:rsidRPr="0037129B">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 </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Y la tercera</w:t>
      </w:r>
      <w:r w:rsidR="00ED3D40" w:rsidRPr="00E60759">
        <w:rPr>
          <w:rFonts w:ascii="Arial" w:eastAsia="Times New Roman" w:hAnsi="Arial" w:cs="Arial"/>
          <w:spacing w:val="-2"/>
          <w:sz w:val="24"/>
          <w:szCs w:val="24"/>
          <w:lang w:val="es-ES_tradnl" w:eastAsia="es-ES"/>
        </w:rPr>
        <w:t xml:space="preserve"> y más importante</w:t>
      </w:r>
      <w:r w:rsidRPr="00E60759">
        <w:rPr>
          <w:rFonts w:ascii="Arial" w:eastAsia="Times New Roman" w:hAnsi="Arial" w:cs="Arial"/>
          <w:spacing w:val="-2"/>
          <w:sz w:val="24"/>
          <w:szCs w:val="24"/>
          <w:lang w:val="es-ES_tradnl" w:eastAsia="es-ES"/>
        </w:rPr>
        <w:t xml:space="preserve">, </w:t>
      </w:r>
      <w:r w:rsidRPr="00E60759">
        <w:rPr>
          <w:rFonts w:ascii="Arial" w:eastAsia="Times New Roman" w:hAnsi="Arial" w:cs="Arial"/>
          <w:b/>
          <w:spacing w:val="-2"/>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60759">
        <w:rPr>
          <w:rFonts w:ascii="Arial" w:eastAsia="Times New Roman" w:hAnsi="Arial" w:cs="Arial"/>
          <w:spacing w:val="-2"/>
          <w:sz w:val="24"/>
          <w:szCs w:val="24"/>
          <w:lang w:val="es-ES_tradnl" w:eastAsia="es-ES"/>
        </w:rPr>
        <w:t>.</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Las declaraciones de ineficacias de traslados envuelven los siguientes resultados:</w:t>
      </w: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PRIMERO: Desdibuja nuestro sistema jurídico de responsabilidad </w:t>
      </w:r>
      <w:r w:rsidRPr="00E60759">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w:t>
      </w:r>
      <w:r w:rsidR="00ED3D40" w:rsidRPr="00E60759">
        <w:rPr>
          <w:rFonts w:ascii="Arial" w:eastAsia="Times New Roman" w:hAnsi="Arial" w:cs="Arial"/>
          <w:iCs/>
          <w:spacing w:val="-2"/>
          <w:sz w:val="24"/>
          <w:szCs w:val="24"/>
          <w:lang w:val="es-ES_tradnl" w:eastAsia="es-ES"/>
        </w:rPr>
        <w:t>aún</w:t>
      </w:r>
      <w:r w:rsidRPr="00E60759">
        <w:rPr>
          <w:rFonts w:ascii="Arial" w:eastAsia="Times New Roman" w:hAnsi="Arial" w:cs="Arial"/>
          <w:iCs/>
          <w:spacing w:val="-2"/>
          <w:sz w:val="24"/>
          <w:szCs w:val="24"/>
          <w:lang w:val="es-ES_tradnl" w:eastAsia="es-ES"/>
        </w:rPr>
        <w:t xml:space="preserve"> lo tiene en su poder, el saldo que exista en cuenta de ahorro individual a Colpensiones, entidad esta última que, </w:t>
      </w:r>
      <w:r w:rsidRPr="00E6075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60759">
        <w:rPr>
          <w:rFonts w:ascii="Arial" w:eastAsia="Times New Roman" w:hAnsi="Arial" w:cs="Arial"/>
          <w:iCs/>
          <w:spacing w:val="-2"/>
          <w:sz w:val="24"/>
          <w:szCs w:val="24"/>
          <w:lang w:val="es-ES_tradnl" w:eastAsia="es-ES"/>
        </w:rPr>
        <w:t>.</w:t>
      </w: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p>
    <w:p w:rsidR="00E837FA"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Como fácilmente se observa, el resultado de declarar la ineficacia del traslado lleva a</w:t>
      </w:r>
      <w:r w:rsidR="00ED3D40" w:rsidRPr="00E60759">
        <w:rPr>
          <w:rFonts w:ascii="Arial" w:eastAsia="Times New Roman" w:hAnsi="Arial" w:cs="Arial"/>
          <w:iCs/>
          <w:spacing w:val="-2"/>
          <w:sz w:val="24"/>
          <w:szCs w:val="24"/>
          <w:lang w:val="es-ES_tradnl" w:eastAsia="es-ES"/>
        </w:rPr>
        <w:t xml:space="preserve"> </w:t>
      </w:r>
      <w:r w:rsidRPr="00E60759">
        <w:rPr>
          <w:rFonts w:ascii="Arial" w:eastAsia="Times New Roman" w:hAnsi="Arial" w:cs="Arial"/>
          <w:iCs/>
          <w:spacing w:val="-2"/>
          <w:sz w:val="24"/>
          <w:szCs w:val="24"/>
          <w:lang w:val="es-ES_tradnl" w:eastAsia="es-ES"/>
        </w:rPr>
        <w:t>l</w:t>
      </w:r>
      <w:r w:rsidR="00ED3D40" w:rsidRPr="00E60759">
        <w:rPr>
          <w:rFonts w:ascii="Arial" w:eastAsia="Times New Roman" w:hAnsi="Arial" w:cs="Arial"/>
          <w:iCs/>
          <w:spacing w:val="-2"/>
          <w:sz w:val="24"/>
          <w:szCs w:val="24"/>
          <w:lang w:val="es-ES_tradnl" w:eastAsia="es-ES"/>
        </w:rPr>
        <w:t>o</w:t>
      </w:r>
      <w:r w:rsidRPr="00E60759">
        <w:rPr>
          <w:rFonts w:ascii="Arial" w:eastAsia="Times New Roman" w:hAnsi="Arial" w:cs="Arial"/>
          <w:iCs/>
          <w:spacing w:val="-2"/>
          <w:sz w:val="24"/>
          <w:szCs w:val="24"/>
          <w:lang w:val="es-ES_tradnl" w:eastAsia="es-ES"/>
        </w:rPr>
        <w:t xml:space="preserve"> siguiente:  AFP PRIVADA por supuestos errores u omisiones en información CAUSA PERJUICIO al afiliado, entonces, a un tercero –COLPENSIONES- la rama judicial le impone que con los demás dineros del fondo público, cubra el daño generado por la AFP privada.</w:t>
      </w:r>
    </w:p>
    <w:p w:rsidR="0037129B" w:rsidRPr="00E60759" w:rsidRDefault="0037129B" w:rsidP="00E60759">
      <w:pPr>
        <w:suppressAutoHyphens/>
        <w:spacing w:after="0"/>
        <w:jc w:val="both"/>
        <w:rPr>
          <w:rFonts w:ascii="Arial" w:eastAsia="Times New Roman" w:hAnsi="Arial" w:cs="Arial"/>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iCs/>
          <w:spacing w:val="-2"/>
          <w:sz w:val="24"/>
          <w:szCs w:val="24"/>
          <w:lang w:val="es-ES_tradnl" w:eastAsia="es-ES"/>
        </w:rPr>
      </w:pPr>
      <w:r w:rsidRPr="00E6075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w:t>
      </w:r>
      <w:r w:rsidR="00ED3D40" w:rsidRPr="00E60759">
        <w:rPr>
          <w:rFonts w:ascii="Arial" w:eastAsia="Times New Roman" w:hAnsi="Arial" w:cs="Arial"/>
          <w:b/>
          <w:iCs/>
          <w:spacing w:val="-2"/>
          <w:sz w:val="24"/>
          <w:szCs w:val="24"/>
          <w:lang w:val="es-ES_tradnl" w:eastAsia="es-ES"/>
        </w:rPr>
        <w:t xml:space="preserve"> y que se encuentra consagrada en el artículo 10 del decreto 720 de 1994</w:t>
      </w:r>
      <w:r w:rsidRPr="00E60759">
        <w:rPr>
          <w:rFonts w:ascii="Arial" w:eastAsia="Times New Roman" w:hAnsi="Arial" w:cs="Arial"/>
          <w:b/>
          <w:iCs/>
          <w:spacing w:val="-2"/>
          <w:sz w:val="24"/>
          <w:szCs w:val="24"/>
          <w:lang w:val="es-ES_tradnl" w:eastAsia="es-ES"/>
        </w:rPr>
        <w:t>.</w:t>
      </w: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SEGUNDO: De manera consciente, sin justificación alguna, </w:t>
      </w:r>
      <w:proofErr w:type="spellStart"/>
      <w:r w:rsidRPr="00E60759">
        <w:rPr>
          <w:rFonts w:ascii="Arial" w:eastAsia="Times New Roman" w:hAnsi="Arial" w:cs="Arial"/>
          <w:b/>
          <w:bCs/>
          <w:spacing w:val="-2"/>
          <w:sz w:val="24"/>
          <w:szCs w:val="24"/>
          <w:lang w:val="es-ES" w:eastAsia="es-ES"/>
        </w:rPr>
        <w:t>inaplica</w:t>
      </w:r>
      <w:proofErr w:type="spellEnd"/>
      <w:r w:rsidRPr="00E60759">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A continuación se analizan aspectos de estas dos afirmaciones.</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iCs/>
          <w:spacing w:val="-2"/>
          <w:sz w:val="24"/>
          <w:szCs w:val="24"/>
          <w:lang w:val="es-ES_tradnl" w:eastAsia="es-ES"/>
        </w:rPr>
        <w:lastRenderedPageBreak/>
        <w:t xml:space="preserve">APOYO CONSTITUCIONAL EMANADO DE LA SENTENCIA C-1024 DE 2004 SOBRE LA RAZON DE SER DE LA LIMITACIÓN DE TRASLADO CUANDO FALTEN MENOS DE 10 AÑOS. </w:t>
      </w:r>
    </w:p>
    <w:p w:rsidR="00E837FA" w:rsidRPr="00E60759" w:rsidRDefault="00E837FA" w:rsidP="00E60759">
      <w:pPr>
        <w:suppressAutoHyphens/>
        <w:spacing w:after="0"/>
        <w:jc w:val="both"/>
        <w:rPr>
          <w:rFonts w:ascii="Arial" w:eastAsia="Times New Roman" w:hAnsi="Arial" w:cs="Arial"/>
          <w:b/>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Para garantizar la abierta competencia entre regímenes, la ley estableció la posibilidad de trasladarse libremente entre ellos, limitándola en la etapa final de la adquisición del derecho –inicialmente 5 años y posteriormente 10</w:t>
      </w:r>
      <w:r w:rsidR="0037129B">
        <w:rPr>
          <w:rFonts w:ascii="Arial" w:eastAsia="Times New Roman" w:hAnsi="Arial" w:cs="Arial"/>
          <w:iCs/>
          <w:spacing w:val="-2"/>
          <w:sz w:val="24"/>
          <w:szCs w:val="24"/>
          <w:lang w:val="es-ES_tradnl" w:eastAsia="es-ES"/>
        </w:rPr>
        <w:t>–</w:t>
      </w:r>
      <w:r w:rsidRPr="00E60759">
        <w:rPr>
          <w:rFonts w:ascii="Arial" w:eastAsia="Times New Roman" w:hAnsi="Arial" w:cs="Arial"/>
          <w:iCs/>
          <w:spacing w:val="-2"/>
          <w:sz w:val="24"/>
          <w:szCs w:val="24"/>
          <w:lang w:val="es-ES_tradnl" w:eastAsia="es-ES"/>
        </w:rPr>
        <w:t xml:space="preserve">. </w:t>
      </w: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Al analizar esa limitación la Corte Constitucional fue clara en explicar que </w:t>
      </w:r>
      <w:r w:rsidRPr="00E60759">
        <w:rPr>
          <w:rFonts w:ascii="Arial" w:eastAsia="Times New Roman" w:hAnsi="Arial" w:cs="Arial"/>
          <w:b/>
          <w:iCs/>
          <w:spacing w:val="-2"/>
          <w:sz w:val="24"/>
          <w:szCs w:val="24"/>
          <w:lang w:val="es-ES_tradnl" w:eastAsia="es-ES"/>
        </w:rPr>
        <w:t>para garantizar la sostenibilidad financiera del sistema de prima media</w:t>
      </w:r>
      <w:r w:rsidRPr="00E6075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837FA" w:rsidRPr="00E60759" w:rsidRDefault="00E837FA" w:rsidP="00E60759">
      <w:pPr>
        <w:suppressAutoHyphens/>
        <w:spacing w:after="0"/>
        <w:jc w:val="both"/>
        <w:rPr>
          <w:rFonts w:ascii="Arial" w:eastAsia="Times New Roman" w:hAnsi="Arial" w:cs="Arial"/>
          <w:b/>
          <w:iCs/>
          <w:spacing w:val="-2"/>
          <w:sz w:val="24"/>
          <w:szCs w:val="24"/>
          <w:lang w:val="es-ES_tradnl" w:eastAsia="es-ES"/>
        </w:rPr>
      </w:pPr>
    </w:p>
    <w:p w:rsidR="00E837FA" w:rsidRPr="0037129B" w:rsidRDefault="00E837FA" w:rsidP="0037129B">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Cs/>
          <w:spacing w:val="-2"/>
          <w:szCs w:val="24"/>
          <w:lang w:eastAsia="es-ES"/>
        </w:rPr>
        <w:t>“</w:t>
      </w:r>
      <w:r w:rsidRPr="0037129B">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37129B">
        <w:rPr>
          <w:rFonts w:ascii="Arial" w:eastAsia="Times New Roman" w:hAnsi="Arial" w:cs="Arial"/>
          <w:b/>
          <w:i/>
          <w:iCs/>
          <w:spacing w:val="-2"/>
          <w:szCs w:val="24"/>
          <w:lang w:eastAsia="es-ES"/>
        </w:rPr>
        <w:t>consiste en evitar la descapitalización del fondo común del Régimen Solidario de Prima Media con Prestación Definida</w:t>
      </w:r>
      <w:r w:rsidRPr="0037129B">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129B">
        <w:rPr>
          <w:rFonts w:ascii="Arial" w:eastAsia="Times New Roman" w:hAnsi="Arial" w:cs="Arial"/>
          <w:b/>
          <w:i/>
          <w:iCs/>
          <w:spacing w:val="-2"/>
          <w:szCs w:val="24"/>
          <w:lang w:eastAsia="es-ES"/>
        </w:rPr>
        <w:t>a poner en riesgo la garantía del derecho irrenunciable a la pensión del resto de cotizantes</w:t>
      </w:r>
      <w:r w:rsidRPr="0037129B">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129B">
        <w:rPr>
          <w:rFonts w:ascii="Arial" w:eastAsia="Times New Roman" w:hAnsi="Arial" w:cs="Arial"/>
          <w:b/>
          <w:i/>
          <w:iCs/>
          <w:spacing w:val="-2"/>
          <w:szCs w:val="24"/>
          <w:lang w:eastAsia="es-ES"/>
        </w:rPr>
        <w:t>podría llegar a poner en riesgo la garantía del derecho pensional para los actuales y futuros pensionados</w:t>
      </w:r>
      <w:r w:rsidRPr="0037129B">
        <w:rPr>
          <w:rFonts w:ascii="Arial" w:eastAsia="Times New Roman" w:hAnsi="Arial" w:cs="Arial"/>
          <w:i/>
          <w:iCs/>
          <w:spacing w:val="-2"/>
          <w:szCs w:val="24"/>
          <w:lang w:eastAsia="es-ES"/>
        </w:rPr>
        <w:t>.</w:t>
      </w:r>
    </w:p>
    <w:p w:rsidR="00E837FA" w:rsidRPr="0037129B" w:rsidRDefault="00E837FA" w:rsidP="0037129B">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E837FA" w:rsidRPr="0037129B" w:rsidRDefault="00E837FA" w:rsidP="0037129B">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837FA" w:rsidRPr="0037129B" w:rsidRDefault="00E837FA" w:rsidP="0037129B">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E837FA" w:rsidRPr="0037129B" w:rsidRDefault="00E837FA" w:rsidP="0037129B">
      <w:pPr>
        <w:suppressAutoHyphens/>
        <w:spacing w:after="0" w:line="240" w:lineRule="auto"/>
        <w:ind w:left="426" w:right="420"/>
        <w:jc w:val="both"/>
        <w:rPr>
          <w:rFonts w:ascii="Arial" w:eastAsia="Times New Roman" w:hAnsi="Arial" w:cs="Arial"/>
          <w:b/>
          <w:iCs/>
          <w:spacing w:val="-2"/>
          <w:szCs w:val="24"/>
          <w:lang w:eastAsia="es-ES"/>
        </w:rPr>
      </w:pPr>
      <w:r w:rsidRPr="0037129B">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129B">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129B">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129B">
        <w:rPr>
          <w:rFonts w:ascii="Arial" w:eastAsia="Times New Roman" w:hAnsi="Arial" w:cs="Arial"/>
          <w:b/>
          <w:iCs/>
          <w:spacing w:val="-2"/>
          <w:szCs w:val="24"/>
          <w:lang w:eastAsia="es-ES"/>
        </w:rPr>
        <w:t> </w:t>
      </w:r>
    </w:p>
    <w:p w:rsidR="00E837FA" w:rsidRPr="00E60759" w:rsidRDefault="00E837FA" w:rsidP="00E60759">
      <w:pPr>
        <w:suppressAutoHyphens/>
        <w:spacing w:after="0"/>
        <w:jc w:val="both"/>
        <w:rPr>
          <w:rFonts w:ascii="Arial" w:eastAsia="Times New Roman" w:hAnsi="Arial" w:cs="Arial"/>
          <w:b/>
          <w:iCs/>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b/>
          <w:iCs/>
          <w:spacing w:val="-2"/>
          <w:sz w:val="24"/>
          <w:szCs w:val="24"/>
          <w:lang w:eastAsia="es-ES"/>
        </w:rPr>
      </w:pPr>
      <w:r w:rsidRPr="00E60759">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60759">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E837FA" w:rsidRPr="00E60759" w:rsidRDefault="00E837FA" w:rsidP="00E60759">
      <w:pPr>
        <w:suppressAutoHyphens/>
        <w:spacing w:after="0"/>
        <w:jc w:val="both"/>
        <w:rPr>
          <w:rFonts w:ascii="Arial" w:eastAsia="Times New Roman" w:hAnsi="Arial" w:cs="Arial"/>
          <w:b/>
          <w:iCs/>
          <w:spacing w:val="-2"/>
          <w:sz w:val="24"/>
          <w:szCs w:val="24"/>
          <w:lang w:eastAsia="es-ES"/>
        </w:rPr>
      </w:pPr>
    </w:p>
    <w:p w:rsidR="00E837FA" w:rsidRPr="00E60759" w:rsidRDefault="00E837FA" w:rsidP="00E60759">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60759">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6075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w:t>
      </w:r>
      <w:r w:rsidR="009A0B46" w:rsidRPr="00E60759">
        <w:rPr>
          <w:rFonts w:ascii="Arial" w:eastAsia="Times New Roman" w:hAnsi="Arial" w:cs="Arial"/>
          <w:iCs/>
          <w:spacing w:val="-2"/>
          <w:sz w:val="24"/>
          <w:szCs w:val="24"/>
          <w:lang w:val="es-ES_tradnl" w:eastAsia="es-ES"/>
        </w:rPr>
        <w:t xml:space="preserve">no tuvo el límite del 80% del IBL como tope de su pensión; </w:t>
      </w:r>
      <w:r w:rsidRPr="00E60759">
        <w:rPr>
          <w:rFonts w:ascii="Arial" w:eastAsia="Times New Roman" w:hAnsi="Arial" w:cs="Arial"/>
          <w:iCs/>
          <w:spacing w:val="-2"/>
          <w:sz w:val="24"/>
          <w:szCs w:val="24"/>
          <w:lang w:val="es-ES_tradnl" w:eastAsia="es-ES"/>
        </w:rPr>
        <w:t xml:space="preserve">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60759">
        <w:rPr>
          <w:rFonts w:ascii="Arial" w:eastAsia="Times New Roman" w:hAnsi="Arial" w:cs="Arial"/>
          <w:iCs/>
          <w:spacing w:val="-2"/>
          <w:sz w:val="24"/>
          <w:szCs w:val="24"/>
          <w:lang w:val="es-ES_tradnl" w:eastAsia="es-ES"/>
        </w:rPr>
        <w:t>sucesoral</w:t>
      </w:r>
      <w:proofErr w:type="spellEnd"/>
      <w:r w:rsidRPr="00E60759">
        <w:rPr>
          <w:rFonts w:ascii="Arial" w:eastAsia="Times New Roman" w:hAnsi="Arial" w:cs="Arial"/>
          <w:iCs/>
          <w:spacing w:val="-2"/>
          <w:sz w:val="24"/>
          <w:szCs w:val="24"/>
          <w:lang w:val="es-ES_tradnl" w:eastAsia="es-ES"/>
        </w:rPr>
        <w:t>, etc..</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60759">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i/>
          <w:spacing w:val="-2"/>
          <w:sz w:val="24"/>
          <w:szCs w:val="24"/>
          <w:lang w:val="es-ES_tradnl" w:eastAsia="es-ES"/>
        </w:rPr>
      </w:pPr>
      <w:r w:rsidRPr="00E6075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129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60759">
        <w:rPr>
          <w:rFonts w:ascii="Arial" w:eastAsia="Times New Roman" w:hAnsi="Arial" w:cs="Arial"/>
          <w:i/>
          <w:spacing w:val="-2"/>
          <w:sz w:val="24"/>
          <w:szCs w:val="24"/>
          <w:lang w:val="es-ES_tradnl" w:eastAsia="es-ES"/>
        </w:rPr>
        <w:t>”.</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60759">
        <w:rPr>
          <w:rFonts w:ascii="Arial" w:eastAsia="Times New Roman" w:hAnsi="Arial" w:cs="Arial"/>
          <w:spacing w:val="-2"/>
          <w:sz w:val="24"/>
          <w:szCs w:val="24"/>
          <w:lang w:val="es-ES" w:eastAsia="es-ES"/>
        </w:rPr>
        <w:t xml:space="preserve"> </w:t>
      </w:r>
    </w:p>
    <w:p w:rsidR="00381456" w:rsidRPr="00E60759" w:rsidRDefault="00381456"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E837FA" w:rsidRPr="0037129B" w:rsidRDefault="00027F11" w:rsidP="0037129B">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b/>
          <w:spacing w:val="-2"/>
          <w:szCs w:val="24"/>
          <w:lang w:eastAsia="es-ES"/>
        </w:rPr>
        <w:t>“</w:t>
      </w:r>
      <w:r w:rsidR="00E837FA" w:rsidRPr="0037129B">
        <w:rPr>
          <w:rFonts w:ascii="Arial" w:eastAsia="Times New Roman" w:hAnsi="Arial" w:cs="Arial"/>
          <w:b/>
          <w:spacing w:val="-2"/>
          <w:szCs w:val="24"/>
          <w:lang w:eastAsia="es-ES"/>
        </w:rPr>
        <w:t>Artículo 10</w:t>
      </w:r>
      <w:r w:rsidR="00E837FA" w:rsidRPr="0037129B">
        <w:rPr>
          <w:rFonts w:ascii="Arial" w:eastAsia="Times New Roman" w:hAnsi="Arial" w:cs="Arial"/>
          <w:b/>
          <w:bCs/>
          <w:spacing w:val="-2"/>
          <w:szCs w:val="24"/>
          <w:lang w:eastAsia="es-ES"/>
        </w:rPr>
        <w:t>.</w:t>
      </w:r>
      <w:r w:rsidR="00E837FA" w:rsidRPr="0037129B">
        <w:rPr>
          <w:rFonts w:ascii="Arial" w:eastAsia="Times New Roman" w:hAnsi="Arial" w:cs="Arial"/>
          <w:b/>
          <w:spacing w:val="-2"/>
          <w:szCs w:val="24"/>
          <w:lang w:eastAsia="es-ES"/>
        </w:rPr>
        <w:t xml:space="preserve"> RESPONSABILIDAD DE LOS PROMOTORES. </w:t>
      </w:r>
      <w:r w:rsidR="00E837FA" w:rsidRPr="0037129B">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00E837FA" w:rsidRPr="0037129B">
        <w:rPr>
          <w:rFonts w:ascii="Arial" w:eastAsia="Times New Roman" w:hAnsi="Arial" w:cs="Arial"/>
          <w:b/>
          <w:spacing w:val="-2"/>
          <w:szCs w:val="24"/>
          <w:lang w:eastAsia="es-ES"/>
        </w:rPr>
        <w:t xml:space="preserve"> sin perjuicio de la responsabilidad de los promotores frente a la correspondiente sociedad administradora de</w:t>
      </w:r>
      <w:r w:rsidRPr="0037129B">
        <w:rPr>
          <w:rFonts w:ascii="Arial" w:eastAsia="Times New Roman" w:hAnsi="Arial" w:cs="Arial"/>
          <w:b/>
          <w:spacing w:val="-2"/>
          <w:szCs w:val="24"/>
          <w:lang w:eastAsia="es-ES"/>
        </w:rPr>
        <w:t>l sistema general de pensiones.”</w:t>
      </w:r>
      <w:r w:rsidR="00E837FA" w:rsidRPr="0037129B">
        <w:rPr>
          <w:rFonts w:ascii="Arial" w:eastAsia="Times New Roman" w:hAnsi="Arial" w:cs="Arial"/>
          <w:spacing w:val="-2"/>
          <w:szCs w:val="24"/>
          <w:lang w:eastAsia="es-ES"/>
        </w:rPr>
        <w:t xml:space="preserve"> (Negrillas y subrayas fuera del texto)</w:t>
      </w:r>
    </w:p>
    <w:p w:rsidR="00E837FA" w:rsidRPr="00E60759" w:rsidRDefault="00E837FA" w:rsidP="00E60759">
      <w:pPr>
        <w:suppressAutoHyphens/>
        <w:spacing w:after="0"/>
        <w:jc w:val="both"/>
        <w:rPr>
          <w:rFonts w:ascii="Arial" w:eastAsia="Times New Roman" w:hAnsi="Arial" w:cs="Arial"/>
          <w:spacing w:val="-2"/>
          <w:sz w:val="24"/>
          <w:szCs w:val="24"/>
          <w:lang w:val="es-ES_tradnl" w:eastAsia="es-ES"/>
        </w:rPr>
      </w:pPr>
    </w:p>
    <w:p w:rsidR="00B05CA9" w:rsidRPr="00E60759" w:rsidRDefault="00B05CA9"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05CA9" w:rsidRPr="00E60759" w:rsidRDefault="00B05CA9" w:rsidP="00E60759">
      <w:pPr>
        <w:suppressAutoHyphens/>
        <w:spacing w:after="0"/>
        <w:jc w:val="both"/>
        <w:rPr>
          <w:rFonts w:ascii="Arial" w:eastAsia="Times New Roman" w:hAnsi="Arial" w:cs="Arial"/>
          <w:spacing w:val="-2"/>
          <w:sz w:val="24"/>
          <w:szCs w:val="24"/>
          <w:lang w:val="es-ES_tradnl" w:eastAsia="es-ES"/>
        </w:rPr>
      </w:pPr>
    </w:p>
    <w:p w:rsidR="00B05CA9" w:rsidRPr="00E60759" w:rsidRDefault="00B05CA9"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Es bueno hacer notar que se argumenta en ocasiones que Colpensiones no sufre daño</w:t>
      </w:r>
      <w:r w:rsidR="00D57F91" w:rsidRPr="00E60759">
        <w:rPr>
          <w:rFonts w:ascii="Arial" w:eastAsia="Times New Roman" w:hAnsi="Arial" w:cs="Arial"/>
          <w:spacing w:val="-2"/>
          <w:sz w:val="24"/>
          <w:szCs w:val="24"/>
          <w:lang w:val="es-ES_tradnl" w:eastAsia="es-ES"/>
        </w:rPr>
        <w:t xml:space="preserve"> con la declaración de ineficacia</w:t>
      </w:r>
      <w:r w:rsidRPr="00E60759">
        <w:rPr>
          <w:rFonts w:ascii="Arial" w:eastAsia="Times New Roman" w:hAnsi="Arial" w:cs="Arial"/>
          <w:spacing w:val="-2"/>
          <w:sz w:val="24"/>
          <w:szCs w:val="24"/>
          <w:lang w:val="es-ES_tradnl" w:eastAsia="es-ES"/>
        </w:rPr>
        <w:t xml:space="preserve"> porque se le devuelve todo el dinero en cuenta de ahorro individual, sin percatarse quienes así discurren que los mismos hechos de </w:t>
      </w:r>
      <w:bookmarkStart w:id="1" w:name="_GoBack"/>
      <w:bookmarkEnd w:id="1"/>
      <w:r w:rsidRPr="00E60759">
        <w:rPr>
          <w:rFonts w:ascii="Arial" w:eastAsia="Times New Roman" w:hAnsi="Arial" w:cs="Arial"/>
          <w:spacing w:val="-2"/>
          <w:sz w:val="24"/>
          <w:szCs w:val="24"/>
          <w:lang w:val="es-ES_tradnl" w:eastAsia="es-ES"/>
        </w:rPr>
        <w:lastRenderedPageBreak/>
        <w:t>múltiples demanda</w:t>
      </w:r>
      <w:r w:rsidR="00BE6903">
        <w:rPr>
          <w:rFonts w:ascii="Arial" w:eastAsia="Times New Roman" w:hAnsi="Arial" w:cs="Arial"/>
          <w:spacing w:val="-2"/>
          <w:sz w:val="24"/>
          <w:szCs w:val="24"/>
          <w:lang w:val="es-ES_tradnl" w:eastAsia="es-ES"/>
        </w:rPr>
        <w:t>s</w:t>
      </w:r>
      <w:r w:rsidRPr="00E60759">
        <w:rPr>
          <w:rFonts w:ascii="Arial" w:eastAsia="Times New Roman" w:hAnsi="Arial" w:cs="Arial"/>
          <w:spacing w:val="-2"/>
          <w:sz w:val="24"/>
          <w:szCs w:val="24"/>
          <w:lang w:val="es-ES_tradnl" w:eastAsia="es-ES"/>
        </w:rPr>
        <w:t xml:space="preserve"> dan cuenta que con ese capital no es posible sino pagar pensiones de determinada suma de dinero</w:t>
      </w:r>
      <w:r w:rsidR="00C94E95" w:rsidRPr="00E60759">
        <w:rPr>
          <w:rFonts w:ascii="Arial" w:eastAsia="Times New Roman" w:hAnsi="Arial" w:cs="Arial"/>
          <w:spacing w:val="-2"/>
          <w:sz w:val="24"/>
          <w:szCs w:val="24"/>
          <w:lang w:val="es-ES_tradnl" w:eastAsia="es-ES"/>
        </w:rPr>
        <w:t>, misma que</w:t>
      </w:r>
      <w:r w:rsidRPr="00E60759">
        <w:rPr>
          <w:rFonts w:ascii="Arial" w:eastAsia="Times New Roman" w:hAnsi="Arial" w:cs="Arial"/>
          <w:spacing w:val="-2"/>
          <w:sz w:val="24"/>
          <w:szCs w:val="24"/>
          <w:lang w:val="es-ES_tradnl" w:eastAsia="es-ES"/>
        </w:rPr>
        <w:t xml:space="preserve"> precisamente se espera que </w:t>
      </w:r>
      <w:r w:rsidR="00C94E95" w:rsidRPr="00E60759">
        <w:rPr>
          <w:rFonts w:ascii="Arial" w:eastAsia="Times New Roman" w:hAnsi="Arial" w:cs="Arial"/>
          <w:spacing w:val="-2"/>
          <w:sz w:val="24"/>
          <w:szCs w:val="24"/>
          <w:lang w:val="es-ES_tradnl" w:eastAsia="es-ES"/>
        </w:rPr>
        <w:t xml:space="preserve">por el traslado y sin soporte financiero alguno </w:t>
      </w:r>
      <w:r w:rsidRPr="00E60759">
        <w:rPr>
          <w:rFonts w:ascii="Arial" w:eastAsia="Times New Roman" w:hAnsi="Arial" w:cs="Arial"/>
          <w:spacing w:val="-2"/>
          <w:sz w:val="24"/>
          <w:szCs w:val="24"/>
          <w:lang w:val="es-ES_tradnl" w:eastAsia="es-ES"/>
        </w:rPr>
        <w:t>Colpensiones duplique o triplique</w:t>
      </w:r>
      <w:r w:rsidR="00C94E95" w:rsidRPr="00E60759">
        <w:rPr>
          <w:rFonts w:ascii="Arial" w:eastAsia="Times New Roman" w:hAnsi="Arial" w:cs="Arial"/>
          <w:spacing w:val="-2"/>
          <w:sz w:val="24"/>
          <w:szCs w:val="24"/>
          <w:lang w:val="es-ES_tradnl" w:eastAsia="es-ES"/>
        </w:rPr>
        <w:t xml:space="preserve">. Siendo a veces tan aberrante la situación que, trasladado el capital a Colpensiones, este, prácticamente sirve solo para pagar el retroactivo pensional que la concesión de la pensión genera. </w:t>
      </w:r>
    </w:p>
    <w:p w:rsidR="00B05CA9" w:rsidRPr="00E60759" w:rsidRDefault="00B05CA9" w:rsidP="00E60759">
      <w:pPr>
        <w:suppressAutoHyphens/>
        <w:spacing w:after="0"/>
        <w:jc w:val="both"/>
        <w:rPr>
          <w:rFonts w:ascii="Arial" w:eastAsia="Times New Roman" w:hAnsi="Arial" w:cs="Arial"/>
          <w:spacing w:val="-2"/>
          <w:sz w:val="24"/>
          <w:szCs w:val="24"/>
          <w:lang w:val="es-ES_tradnl" w:eastAsia="es-ES"/>
        </w:rPr>
      </w:pPr>
    </w:p>
    <w:p w:rsidR="00E837FA" w:rsidRPr="00E60759" w:rsidRDefault="00C94E95"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Para concluir debo decir</w:t>
      </w:r>
      <w:r w:rsidR="00381456" w:rsidRPr="00E60759">
        <w:rPr>
          <w:rFonts w:ascii="Arial" w:eastAsia="Times New Roman" w:hAnsi="Arial" w:cs="Arial"/>
          <w:spacing w:val="-2"/>
          <w:sz w:val="24"/>
          <w:szCs w:val="24"/>
          <w:lang w:val="es-ES_tradnl" w:eastAsia="es-ES"/>
        </w:rPr>
        <w:t xml:space="preserve"> que este desarrollo argumentativo no implica que las personas que sientan que fueron afectadas por falta de la debida información</w:t>
      </w:r>
      <w:r w:rsidR="00E837FA" w:rsidRPr="00E60759">
        <w:rPr>
          <w:rFonts w:ascii="Arial" w:eastAsia="Times New Roman" w:hAnsi="Arial" w:cs="Arial"/>
          <w:spacing w:val="-2"/>
          <w:sz w:val="24"/>
          <w:szCs w:val="24"/>
          <w:lang w:val="es-ES_tradnl" w:eastAsia="es-ES"/>
        </w:rPr>
        <w:t xml:space="preserve"> carezca</w:t>
      </w:r>
      <w:r w:rsidR="00381456" w:rsidRPr="00E60759">
        <w:rPr>
          <w:rFonts w:ascii="Arial" w:eastAsia="Times New Roman" w:hAnsi="Arial" w:cs="Arial"/>
          <w:spacing w:val="-2"/>
          <w:sz w:val="24"/>
          <w:szCs w:val="24"/>
          <w:lang w:val="es-ES_tradnl" w:eastAsia="es-ES"/>
        </w:rPr>
        <w:t>n</w:t>
      </w:r>
      <w:r w:rsidR="00E837FA" w:rsidRPr="00E60759">
        <w:rPr>
          <w:rFonts w:ascii="Arial" w:eastAsia="Times New Roman" w:hAnsi="Arial" w:cs="Arial"/>
          <w:spacing w:val="-2"/>
          <w:sz w:val="24"/>
          <w:szCs w:val="24"/>
          <w:lang w:val="es-ES_tradnl" w:eastAsia="es-ES"/>
        </w:rPr>
        <w:t xml:space="preserve"> de acción en orden a defender sus derechos dentro del sistema general de pensiones por las conductas de los promotores de las AFP privadas, </w:t>
      </w:r>
      <w:r w:rsidR="00381456" w:rsidRPr="00E60759">
        <w:rPr>
          <w:rFonts w:ascii="Arial" w:eastAsia="Times New Roman" w:hAnsi="Arial" w:cs="Arial"/>
          <w:spacing w:val="-2"/>
          <w:sz w:val="24"/>
          <w:szCs w:val="24"/>
          <w:lang w:val="es-ES_tradnl" w:eastAsia="es-ES"/>
        </w:rPr>
        <w:t>sino que se trata de otra acción con unas consecuencias jurídicas diferentes a las que se llega por el camino de la ineficacia utilizada por la mayoría de los integrantes de la Sala de Casación Laboral.</w:t>
      </w:r>
    </w:p>
    <w:p w:rsidR="00381456" w:rsidRPr="00E60759" w:rsidRDefault="00381456" w:rsidP="00E60759">
      <w:pPr>
        <w:suppressAutoHyphens/>
        <w:spacing w:after="0"/>
        <w:jc w:val="both"/>
        <w:rPr>
          <w:rFonts w:ascii="Arial" w:eastAsia="Times New Roman" w:hAnsi="Arial" w:cs="Arial"/>
          <w:spacing w:val="-2"/>
          <w:sz w:val="24"/>
          <w:szCs w:val="24"/>
          <w:lang w:val="es-ES_tradnl" w:eastAsia="es-ES"/>
        </w:rPr>
      </w:pPr>
    </w:p>
    <w:p w:rsidR="00381456" w:rsidRPr="00E60759" w:rsidRDefault="00381456" w:rsidP="00E60759">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anterior es mi sentir jurídico en estos casos, pero itero, me corresponde acatar el exhorto hecho por la Sala de Casació</w:t>
      </w:r>
      <w:r w:rsidR="00C94E95" w:rsidRPr="00E60759">
        <w:rPr>
          <w:rFonts w:ascii="Arial" w:eastAsia="Times New Roman" w:hAnsi="Arial" w:cs="Arial"/>
          <w:spacing w:val="-2"/>
          <w:sz w:val="24"/>
          <w:szCs w:val="24"/>
          <w:lang w:val="es-ES_tradnl" w:eastAsia="es-ES"/>
        </w:rPr>
        <w:t>n y por eso</w:t>
      </w:r>
      <w:r w:rsidRPr="00E60759">
        <w:rPr>
          <w:rFonts w:ascii="Arial" w:eastAsia="Times New Roman" w:hAnsi="Arial" w:cs="Arial"/>
          <w:spacing w:val="-2"/>
          <w:sz w:val="24"/>
          <w:szCs w:val="24"/>
          <w:lang w:val="es-ES_tradnl" w:eastAsia="es-ES"/>
        </w:rPr>
        <w:t xml:space="preserve"> suscribí la sentencia.</w:t>
      </w:r>
    </w:p>
    <w:p w:rsidR="005A6E35" w:rsidRPr="00E60759" w:rsidRDefault="005A6E35" w:rsidP="00E60759">
      <w:pPr>
        <w:suppressAutoHyphens/>
        <w:spacing w:after="0"/>
        <w:jc w:val="both"/>
        <w:rPr>
          <w:rFonts w:ascii="Arial" w:eastAsia="Times New Roman" w:hAnsi="Arial" w:cs="Arial"/>
          <w:spacing w:val="-2"/>
          <w:sz w:val="24"/>
          <w:szCs w:val="24"/>
          <w:lang w:val="es-ES_tradnl" w:eastAsia="es-ES"/>
        </w:rPr>
      </w:pPr>
    </w:p>
    <w:p w:rsidR="00B160B5" w:rsidRPr="00E60759" w:rsidRDefault="00B160B5" w:rsidP="00E60759">
      <w:pPr>
        <w:spacing w:after="0"/>
        <w:jc w:val="both"/>
        <w:rPr>
          <w:rFonts w:ascii="Arial" w:eastAsia="Times New Roman" w:hAnsi="Arial" w:cs="Arial"/>
          <w:sz w:val="24"/>
          <w:szCs w:val="24"/>
          <w:lang w:eastAsia="es-ES"/>
        </w:rPr>
      </w:pPr>
      <w:r w:rsidRPr="00E60759">
        <w:rPr>
          <w:rFonts w:ascii="Arial" w:eastAsia="Times New Roman" w:hAnsi="Arial" w:cs="Arial"/>
          <w:sz w:val="24"/>
          <w:szCs w:val="24"/>
          <w:lang w:eastAsia="es-ES"/>
        </w:rPr>
        <w:t>Dejo así aclarado mi voto.</w:t>
      </w:r>
    </w:p>
    <w:p w:rsidR="009A2603" w:rsidRPr="00E60759" w:rsidRDefault="009A2603" w:rsidP="00E60759">
      <w:pPr>
        <w:spacing w:after="0"/>
        <w:jc w:val="both"/>
        <w:rPr>
          <w:rFonts w:ascii="Arial" w:hAnsi="Arial" w:cs="Arial"/>
          <w:sz w:val="24"/>
          <w:szCs w:val="24"/>
        </w:rPr>
      </w:pPr>
    </w:p>
    <w:p w:rsidR="009A2603" w:rsidRPr="00E60759" w:rsidRDefault="009A2603" w:rsidP="00E60759">
      <w:pPr>
        <w:widowControl w:val="0"/>
        <w:autoSpaceDE w:val="0"/>
        <w:autoSpaceDN w:val="0"/>
        <w:adjustRightInd w:val="0"/>
        <w:jc w:val="center"/>
        <w:rPr>
          <w:rFonts w:ascii="Arial" w:hAnsi="Arial" w:cs="Arial"/>
          <w:b/>
          <w:sz w:val="24"/>
          <w:szCs w:val="24"/>
        </w:rPr>
      </w:pPr>
      <w:r w:rsidRPr="00E60759">
        <w:rPr>
          <w:rStyle w:val="eop"/>
          <w:rFonts w:ascii="Arial" w:hAnsi="Arial" w:cs="Arial"/>
          <w:sz w:val="24"/>
          <w:szCs w:val="24"/>
        </w:rPr>
        <w:t> </w:t>
      </w:r>
    </w:p>
    <w:p w:rsidR="00A61CA0" w:rsidRPr="00E60759" w:rsidRDefault="00A61CA0" w:rsidP="00E60759">
      <w:pPr>
        <w:spacing w:after="0"/>
        <w:jc w:val="both"/>
        <w:rPr>
          <w:rFonts w:ascii="Arial" w:hAnsi="Arial" w:cs="Arial"/>
          <w:sz w:val="24"/>
          <w:szCs w:val="24"/>
        </w:rPr>
      </w:pPr>
    </w:p>
    <w:p w:rsidR="005020A5" w:rsidRPr="00E60759" w:rsidRDefault="00A61CA0" w:rsidP="00E60759">
      <w:pPr>
        <w:widowControl w:val="0"/>
        <w:autoSpaceDE w:val="0"/>
        <w:autoSpaceDN w:val="0"/>
        <w:adjustRightInd w:val="0"/>
        <w:spacing w:after="0"/>
        <w:jc w:val="center"/>
        <w:rPr>
          <w:rFonts w:ascii="Arial" w:hAnsi="Arial" w:cs="Arial"/>
          <w:b/>
          <w:sz w:val="24"/>
          <w:szCs w:val="24"/>
        </w:rPr>
      </w:pPr>
      <w:r w:rsidRPr="00E60759">
        <w:rPr>
          <w:rFonts w:ascii="Arial" w:hAnsi="Arial" w:cs="Arial"/>
          <w:b/>
          <w:sz w:val="24"/>
          <w:szCs w:val="24"/>
        </w:rPr>
        <w:t>JULIO CÉSAR SALAZAR MUÑOZ</w:t>
      </w:r>
    </w:p>
    <w:p w:rsidR="00B771AA" w:rsidRPr="0037129B" w:rsidRDefault="00B771AA" w:rsidP="00E60759">
      <w:pPr>
        <w:widowControl w:val="0"/>
        <w:autoSpaceDE w:val="0"/>
        <w:autoSpaceDN w:val="0"/>
        <w:adjustRightInd w:val="0"/>
        <w:spacing w:after="0"/>
        <w:jc w:val="center"/>
        <w:rPr>
          <w:rFonts w:ascii="Arial" w:hAnsi="Arial" w:cs="Arial"/>
          <w:sz w:val="24"/>
          <w:szCs w:val="24"/>
        </w:rPr>
      </w:pPr>
      <w:r w:rsidRPr="0037129B">
        <w:rPr>
          <w:rFonts w:ascii="Arial" w:hAnsi="Arial" w:cs="Arial"/>
          <w:sz w:val="24"/>
          <w:szCs w:val="24"/>
        </w:rPr>
        <w:t>Magistrado</w:t>
      </w:r>
    </w:p>
    <w:sectPr w:rsidR="00B771AA" w:rsidRPr="0037129B" w:rsidSect="00E60759">
      <w:headerReference w:type="default" r:id="rId12"/>
      <w:footerReference w:type="default" r:id="rId13"/>
      <w:headerReference w:type="first" r:id="rId14"/>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B2" w:rsidRDefault="003C3FB2" w:rsidP="006E44BA">
      <w:pPr>
        <w:spacing w:after="0" w:line="240" w:lineRule="auto"/>
      </w:pPr>
      <w:r>
        <w:separator/>
      </w:r>
    </w:p>
  </w:endnote>
  <w:endnote w:type="continuationSeparator" w:id="0">
    <w:p w:rsidR="003C3FB2" w:rsidRDefault="003C3FB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A9" w:rsidRPr="00E60759" w:rsidRDefault="000B057B" w:rsidP="00E60759">
    <w:pPr>
      <w:pStyle w:val="Piedepgina"/>
      <w:spacing w:after="0"/>
      <w:jc w:val="right"/>
      <w:rPr>
        <w:rFonts w:ascii="Arial" w:hAnsi="Arial" w:cs="Arial"/>
        <w:sz w:val="18"/>
        <w:szCs w:val="20"/>
      </w:rPr>
    </w:pPr>
    <w:r w:rsidRPr="00E60759">
      <w:rPr>
        <w:rFonts w:ascii="Arial" w:hAnsi="Arial" w:cs="Arial"/>
        <w:sz w:val="18"/>
        <w:szCs w:val="20"/>
      </w:rPr>
      <w:fldChar w:fldCharType="begin"/>
    </w:r>
    <w:r w:rsidR="00B05CA9" w:rsidRPr="00E60759">
      <w:rPr>
        <w:rFonts w:ascii="Arial" w:hAnsi="Arial" w:cs="Arial"/>
        <w:sz w:val="18"/>
        <w:szCs w:val="20"/>
      </w:rPr>
      <w:instrText>PAGE   \* MERGEFORMAT</w:instrText>
    </w:r>
    <w:r w:rsidRPr="00E60759">
      <w:rPr>
        <w:rFonts w:ascii="Arial" w:hAnsi="Arial" w:cs="Arial"/>
        <w:sz w:val="18"/>
        <w:szCs w:val="20"/>
      </w:rPr>
      <w:fldChar w:fldCharType="separate"/>
    </w:r>
    <w:r w:rsidR="00045558" w:rsidRPr="00045558">
      <w:rPr>
        <w:rFonts w:ascii="Arial" w:hAnsi="Arial" w:cs="Arial"/>
        <w:noProof/>
        <w:sz w:val="18"/>
        <w:szCs w:val="20"/>
        <w:lang w:val="es-ES"/>
      </w:rPr>
      <w:t>10</w:t>
    </w:r>
    <w:r w:rsidRPr="00E60759">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B2" w:rsidRDefault="003C3FB2" w:rsidP="006E44BA">
      <w:pPr>
        <w:spacing w:after="0" w:line="240" w:lineRule="auto"/>
      </w:pPr>
      <w:r>
        <w:separator/>
      </w:r>
    </w:p>
  </w:footnote>
  <w:footnote w:type="continuationSeparator" w:id="0">
    <w:p w:rsidR="003C3FB2" w:rsidRDefault="003C3FB2"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59" w:rsidRDefault="00E60759" w:rsidP="00E60759">
    <w:pPr>
      <w:pStyle w:val="Encabezado"/>
      <w:spacing w:after="0"/>
      <w:jc w:val="center"/>
      <w:rPr>
        <w:rFonts w:ascii="Arial" w:hAnsi="Arial" w:cs="Arial"/>
        <w:sz w:val="18"/>
        <w:szCs w:val="14"/>
        <w:lang w:val="es-ES"/>
      </w:rPr>
    </w:pPr>
    <w:r>
      <w:rPr>
        <w:rFonts w:ascii="Arial" w:hAnsi="Arial" w:cs="Arial"/>
        <w:sz w:val="18"/>
        <w:szCs w:val="14"/>
        <w:lang w:val="es-ES"/>
      </w:rPr>
      <w:t>Ordinario Laboral R</w:t>
    </w:r>
    <w:r w:rsidR="00A159F0" w:rsidRPr="00E60759">
      <w:rPr>
        <w:rFonts w:ascii="Arial" w:hAnsi="Arial" w:cs="Arial"/>
        <w:sz w:val="18"/>
        <w:szCs w:val="14"/>
        <w:lang w:val="es-ES"/>
      </w:rPr>
      <w:t>ad. 66001-31-05-001-2017-00581-01</w:t>
    </w:r>
  </w:p>
  <w:p w:rsidR="00B05CA9" w:rsidRPr="00E60759" w:rsidRDefault="00A159F0" w:rsidP="00E60759">
    <w:pPr>
      <w:pStyle w:val="Encabezado"/>
      <w:spacing w:after="0"/>
      <w:jc w:val="center"/>
      <w:rPr>
        <w:rFonts w:ascii="Arial" w:hAnsi="Arial" w:cs="Arial"/>
        <w:sz w:val="18"/>
        <w:szCs w:val="14"/>
        <w:lang w:val="es-ES"/>
      </w:rPr>
    </w:pPr>
    <w:r w:rsidRPr="00E60759">
      <w:rPr>
        <w:rFonts w:ascii="Arial" w:hAnsi="Arial" w:cs="Arial"/>
        <w:sz w:val="18"/>
        <w:szCs w:val="14"/>
        <w:lang w:val="es-ES"/>
      </w:rPr>
      <w:t>Zulma Patricia Barbosa Acosta vs. Colpensiones y Porvenir 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A9" w:rsidRPr="00A32126" w:rsidRDefault="00B05CA9" w:rsidP="00E44FEF">
    <w:pPr>
      <w:tabs>
        <w:tab w:val="left" w:pos="1338"/>
        <w:tab w:val="center" w:pos="4419"/>
        <w:tab w:val="right" w:pos="8838"/>
      </w:tabs>
      <w:rPr>
        <w:rFonts w:ascii="Arial" w:hAnsi="Arial" w:cs="Arial"/>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45558"/>
    <w:rsid w:val="000B0026"/>
    <w:rsid w:val="000B057B"/>
    <w:rsid w:val="000D5A0B"/>
    <w:rsid w:val="000D7B6E"/>
    <w:rsid w:val="000E0BD3"/>
    <w:rsid w:val="001176FD"/>
    <w:rsid w:val="00122450"/>
    <w:rsid w:val="00192C08"/>
    <w:rsid w:val="001A2977"/>
    <w:rsid w:val="001A577F"/>
    <w:rsid w:val="001E4966"/>
    <w:rsid w:val="001F1E2E"/>
    <w:rsid w:val="001F761A"/>
    <w:rsid w:val="00212299"/>
    <w:rsid w:val="002222AF"/>
    <w:rsid w:val="00223644"/>
    <w:rsid w:val="002348E9"/>
    <w:rsid w:val="00235E80"/>
    <w:rsid w:val="002507FF"/>
    <w:rsid w:val="00253A9C"/>
    <w:rsid w:val="002569D8"/>
    <w:rsid w:val="00257582"/>
    <w:rsid w:val="00261ECA"/>
    <w:rsid w:val="00292222"/>
    <w:rsid w:val="002F5646"/>
    <w:rsid w:val="00301680"/>
    <w:rsid w:val="00306A11"/>
    <w:rsid w:val="00322330"/>
    <w:rsid w:val="0032307B"/>
    <w:rsid w:val="003313A0"/>
    <w:rsid w:val="00353A45"/>
    <w:rsid w:val="003547B8"/>
    <w:rsid w:val="00361B76"/>
    <w:rsid w:val="00363E15"/>
    <w:rsid w:val="0037129B"/>
    <w:rsid w:val="00381456"/>
    <w:rsid w:val="00396C8D"/>
    <w:rsid w:val="003A03B9"/>
    <w:rsid w:val="003C3FB2"/>
    <w:rsid w:val="003D6DCA"/>
    <w:rsid w:val="004003CA"/>
    <w:rsid w:val="00405FD2"/>
    <w:rsid w:val="00433FDB"/>
    <w:rsid w:val="0046416E"/>
    <w:rsid w:val="00467A19"/>
    <w:rsid w:val="004B01FC"/>
    <w:rsid w:val="004C0596"/>
    <w:rsid w:val="004E112A"/>
    <w:rsid w:val="004E263F"/>
    <w:rsid w:val="004F02FE"/>
    <w:rsid w:val="005020A5"/>
    <w:rsid w:val="00503330"/>
    <w:rsid w:val="0052622A"/>
    <w:rsid w:val="00563BAE"/>
    <w:rsid w:val="0057265A"/>
    <w:rsid w:val="00592DE9"/>
    <w:rsid w:val="005A05EE"/>
    <w:rsid w:val="005A6E35"/>
    <w:rsid w:val="005B7D71"/>
    <w:rsid w:val="005E2518"/>
    <w:rsid w:val="005F3614"/>
    <w:rsid w:val="005F6449"/>
    <w:rsid w:val="006001DC"/>
    <w:rsid w:val="00606159"/>
    <w:rsid w:val="0062453E"/>
    <w:rsid w:val="006260D0"/>
    <w:rsid w:val="006714DD"/>
    <w:rsid w:val="006839B1"/>
    <w:rsid w:val="006A38C8"/>
    <w:rsid w:val="006C1497"/>
    <w:rsid w:val="006D7F45"/>
    <w:rsid w:val="006E44BA"/>
    <w:rsid w:val="006E4569"/>
    <w:rsid w:val="006E722F"/>
    <w:rsid w:val="006E76EF"/>
    <w:rsid w:val="006F4020"/>
    <w:rsid w:val="006F75E5"/>
    <w:rsid w:val="007052C7"/>
    <w:rsid w:val="00714A2D"/>
    <w:rsid w:val="00734C4E"/>
    <w:rsid w:val="007570F9"/>
    <w:rsid w:val="007659CC"/>
    <w:rsid w:val="00793CB0"/>
    <w:rsid w:val="007A75C6"/>
    <w:rsid w:val="007D543A"/>
    <w:rsid w:val="007E126C"/>
    <w:rsid w:val="00813690"/>
    <w:rsid w:val="00823555"/>
    <w:rsid w:val="00850F1B"/>
    <w:rsid w:val="00856FD2"/>
    <w:rsid w:val="0086241E"/>
    <w:rsid w:val="00896338"/>
    <w:rsid w:val="008C07A1"/>
    <w:rsid w:val="008C2BE6"/>
    <w:rsid w:val="008C33E7"/>
    <w:rsid w:val="008C6C0F"/>
    <w:rsid w:val="008D4173"/>
    <w:rsid w:val="00910275"/>
    <w:rsid w:val="0093298D"/>
    <w:rsid w:val="0093702E"/>
    <w:rsid w:val="00947F27"/>
    <w:rsid w:val="00951CC6"/>
    <w:rsid w:val="00965D04"/>
    <w:rsid w:val="009731BC"/>
    <w:rsid w:val="00973370"/>
    <w:rsid w:val="00974CD9"/>
    <w:rsid w:val="009A0B46"/>
    <w:rsid w:val="009A2603"/>
    <w:rsid w:val="009D44D0"/>
    <w:rsid w:val="009E313F"/>
    <w:rsid w:val="009E72E8"/>
    <w:rsid w:val="009F06A0"/>
    <w:rsid w:val="00A02A3E"/>
    <w:rsid w:val="00A159F0"/>
    <w:rsid w:val="00A16780"/>
    <w:rsid w:val="00A168E7"/>
    <w:rsid w:val="00A27F88"/>
    <w:rsid w:val="00A30E5F"/>
    <w:rsid w:val="00A32126"/>
    <w:rsid w:val="00A42C48"/>
    <w:rsid w:val="00A61CA0"/>
    <w:rsid w:val="00A61D5C"/>
    <w:rsid w:val="00A73C27"/>
    <w:rsid w:val="00AD70FB"/>
    <w:rsid w:val="00B05CA9"/>
    <w:rsid w:val="00B160B5"/>
    <w:rsid w:val="00B169E5"/>
    <w:rsid w:val="00B308DF"/>
    <w:rsid w:val="00B46BDA"/>
    <w:rsid w:val="00B6229B"/>
    <w:rsid w:val="00B62E78"/>
    <w:rsid w:val="00B654A9"/>
    <w:rsid w:val="00B7071C"/>
    <w:rsid w:val="00B771AA"/>
    <w:rsid w:val="00B846EF"/>
    <w:rsid w:val="00BB11ED"/>
    <w:rsid w:val="00BC0CC8"/>
    <w:rsid w:val="00BD5CEA"/>
    <w:rsid w:val="00BE6903"/>
    <w:rsid w:val="00C21FDD"/>
    <w:rsid w:val="00C52B72"/>
    <w:rsid w:val="00C700EC"/>
    <w:rsid w:val="00C85C1A"/>
    <w:rsid w:val="00C87CF0"/>
    <w:rsid w:val="00C91649"/>
    <w:rsid w:val="00C94E95"/>
    <w:rsid w:val="00CA4805"/>
    <w:rsid w:val="00D0280C"/>
    <w:rsid w:val="00D57F91"/>
    <w:rsid w:val="00D67C76"/>
    <w:rsid w:val="00D82CEA"/>
    <w:rsid w:val="00D83180"/>
    <w:rsid w:val="00D90748"/>
    <w:rsid w:val="00D91EDC"/>
    <w:rsid w:val="00DC2ECB"/>
    <w:rsid w:val="00DD71AD"/>
    <w:rsid w:val="00DE0E1E"/>
    <w:rsid w:val="00DF0CF7"/>
    <w:rsid w:val="00E107DE"/>
    <w:rsid w:val="00E10C5B"/>
    <w:rsid w:val="00E26176"/>
    <w:rsid w:val="00E36B17"/>
    <w:rsid w:val="00E43A12"/>
    <w:rsid w:val="00E44FEF"/>
    <w:rsid w:val="00E60759"/>
    <w:rsid w:val="00E837FA"/>
    <w:rsid w:val="00E9151F"/>
    <w:rsid w:val="00EB5F01"/>
    <w:rsid w:val="00EC0D56"/>
    <w:rsid w:val="00EC77EC"/>
    <w:rsid w:val="00ED3D40"/>
    <w:rsid w:val="00EF428B"/>
    <w:rsid w:val="00F23930"/>
    <w:rsid w:val="00F42857"/>
    <w:rsid w:val="00F5192A"/>
    <w:rsid w:val="00F54217"/>
    <w:rsid w:val="00F55554"/>
    <w:rsid w:val="00F56D08"/>
    <w:rsid w:val="00F63E6E"/>
    <w:rsid w:val="00F64296"/>
    <w:rsid w:val="00F7158E"/>
    <w:rsid w:val="00F74B97"/>
    <w:rsid w:val="00F851AE"/>
    <w:rsid w:val="00FA0580"/>
    <w:rsid w:val="00FA0F6E"/>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AF39439"/>
    <w:rsid w:val="5C9484B3"/>
    <w:rsid w:val="5DEE416F"/>
    <w:rsid w:val="66AF7CDA"/>
    <w:rsid w:val="66CDBDE5"/>
    <w:rsid w:val="677D1750"/>
    <w:rsid w:val="68BD0A4B"/>
    <w:rsid w:val="691A7FCE"/>
    <w:rsid w:val="69F4D62F"/>
    <w:rsid w:val="6A592ABD"/>
    <w:rsid w:val="6B2580DD"/>
    <w:rsid w:val="6BAF7D6B"/>
    <w:rsid w:val="6BC9EFE8"/>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Fuentedeprrafopredeter"/>
    <w:rsid w:val="009A2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D86718AC-1492-427D-8004-E64FAD1C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4495</Words>
  <Characters>24723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9</cp:revision>
  <cp:lastPrinted>2020-03-04T21:08:00Z</cp:lastPrinted>
  <dcterms:created xsi:type="dcterms:W3CDTF">2020-08-11T14:59:00Z</dcterms:created>
  <dcterms:modified xsi:type="dcterms:W3CDTF">2020-10-07T20:55:00Z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