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E8" w:rsidRPr="00C14DE8" w:rsidRDefault="00C14DE8" w:rsidP="00C14DE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14DE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14DE8" w:rsidRPr="00C14DE8" w:rsidRDefault="00C14DE8" w:rsidP="00C14DE8">
      <w:pPr>
        <w:jc w:val="both"/>
        <w:rPr>
          <w:rFonts w:ascii="Arial" w:hAnsi="Arial" w:cs="Arial"/>
          <w:sz w:val="20"/>
          <w:szCs w:val="20"/>
          <w:lang w:val="es-419" w:eastAsia="es-ES"/>
        </w:rPr>
      </w:pPr>
    </w:p>
    <w:p w:rsidR="00F02AFC" w:rsidRPr="0049050B" w:rsidRDefault="00F02AFC" w:rsidP="00F02AFC">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F02AFC" w:rsidRPr="0049050B" w:rsidRDefault="00F02AFC" w:rsidP="00F02AFC">
      <w:pPr>
        <w:jc w:val="both"/>
        <w:rPr>
          <w:rFonts w:ascii="Arial" w:hAnsi="Arial" w:cs="Arial"/>
          <w:sz w:val="20"/>
          <w:szCs w:val="20"/>
          <w:lang w:val="es-419" w:eastAsia="es-ES"/>
        </w:rPr>
      </w:pPr>
    </w:p>
    <w:p w:rsidR="00F02AFC" w:rsidRPr="0049050B" w:rsidRDefault="00F02AFC" w:rsidP="00F02AFC">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F02AFC" w:rsidRPr="0049050B" w:rsidRDefault="00F02AFC" w:rsidP="00F02AFC">
      <w:pPr>
        <w:jc w:val="both"/>
        <w:rPr>
          <w:rFonts w:ascii="Arial" w:hAnsi="Arial" w:cs="Arial"/>
          <w:sz w:val="20"/>
          <w:szCs w:val="20"/>
          <w:lang w:val="es-419" w:eastAsia="es-ES"/>
        </w:rPr>
      </w:pPr>
    </w:p>
    <w:p w:rsidR="00F02AFC" w:rsidRDefault="00F02AFC" w:rsidP="00F02AFC">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F02AFC" w:rsidRDefault="00F02AFC" w:rsidP="00F02AFC">
      <w:pPr>
        <w:jc w:val="both"/>
        <w:rPr>
          <w:rFonts w:ascii="Arial" w:hAnsi="Arial" w:cs="Arial"/>
          <w:sz w:val="20"/>
          <w:szCs w:val="20"/>
          <w:lang w:val="es-419" w:eastAsia="es-ES"/>
        </w:rPr>
      </w:pPr>
    </w:p>
    <w:p w:rsidR="00F02AFC" w:rsidRDefault="00F02AFC" w:rsidP="00F02AFC">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F02AFC" w:rsidRPr="0049050B" w:rsidRDefault="00F02AFC" w:rsidP="00F02AFC">
      <w:pPr>
        <w:jc w:val="both"/>
        <w:rPr>
          <w:rFonts w:ascii="Arial" w:hAnsi="Arial" w:cs="Arial"/>
          <w:sz w:val="20"/>
          <w:szCs w:val="20"/>
          <w:lang w:val="es-419" w:eastAsia="es-ES"/>
        </w:rPr>
      </w:pPr>
    </w:p>
    <w:p w:rsidR="00F02AFC" w:rsidRDefault="00F02AFC" w:rsidP="00F02AFC">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F02AFC" w:rsidRDefault="00F02AFC" w:rsidP="00F02AFC">
      <w:pPr>
        <w:jc w:val="both"/>
        <w:rPr>
          <w:rFonts w:ascii="Arial" w:hAnsi="Arial" w:cs="Arial"/>
          <w:sz w:val="20"/>
          <w:szCs w:val="20"/>
          <w:lang w:val="es-ES" w:eastAsia="es-ES"/>
        </w:rPr>
      </w:pPr>
    </w:p>
    <w:p w:rsidR="00F02AFC" w:rsidRDefault="00F02AFC" w:rsidP="00F02AFC">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9A10B6" w:rsidRPr="0049050B" w:rsidRDefault="009A10B6" w:rsidP="00F02AFC">
      <w:pPr>
        <w:jc w:val="both"/>
        <w:rPr>
          <w:rFonts w:ascii="Arial" w:hAnsi="Arial" w:cs="Arial"/>
          <w:sz w:val="20"/>
          <w:szCs w:val="20"/>
          <w:lang w:val="es-ES" w:eastAsia="es-ES"/>
        </w:rPr>
      </w:pPr>
    </w:p>
    <w:p w:rsidR="009A10B6" w:rsidRPr="00527174" w:rsidRDefault="009A10B6" w:rsidP="009A10B6">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9A10B6" w:rsidRDefault="009A10B6" w:rsidP="009A10B6">
      <w:pPr>
        <w:jc w:val="both"/>
        <w:rPr>
          <w:rFonts w:ascii="Arial" w:hAnsi="Arial" w:cs="Arial"/>
          <w:sz w:val="20"/>
          <w:szCs w:val="20"/>
          <w:lang w:val="es-ES" w:eastAsia="es-ES"/>
        </w:rPr>
      </w:pPr>
    </w:p>
    <w:p w:rsidR="009A10B6" w:rsidRPr="00527174" w:rsidRDefault="009A10B6" w:rsidP="009A10B6">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9A10B6" w:rsidRPr="00527174" w:rsidRDefault="009A10B6" w:rsidP="009A10B6">
      <w:pPr>
        <w:jc w:val="both"/>
        <w:rPr>
          <w:rFonts w:ascii="Arial" w:hAnsi="Arial" w:cs="Arial"/>
          <w:sz w:val="20"/>
          <w:szCs w:val="20"/>
          <w:lang w:val="es-ES" w:eastAsia="es-ES"/>
        </w:rPr>
      </w:pPr>
    </w:p>
    <w:p w:rsidR="009A10B6" w:rsidRPr="0049050B" w:rsidRDefault="009A10B6" w:rsidP="009A10B6">
      <w:pPr>
        <w:jc w:val="both"/>
        <w:rPr>
          <w:rFonts w:ascii="Arial" w:hAnsi="Arial" w:cs="Arial"/>
          <w:sz w:val="20"/>
          <w:szCs w:val="20"/>
          <w:lang w:val="es-ES" w:eastAsia="es-ES"/>
        </w:rPr>
      </w:pPr>
      <w:r w:rsidRPr="00527174">
        <w:rPr>
          <w:rFonts w:ascii="Arial"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02AFC" w:rsidRPr="0049050B" w:rsidRDefault="00F02AFC" w:rsidP="00F02AFC">
      <w:pPr>
        <w:jc w:val="both"/>
        <w:rPr>
          <w:rFonts w:ascii="Arial" w:hAnsi="Arial" w:cs="Arial"/>
          <w:sz w:val="20"/>
          <w:szCs w:val="20"/>
          <w:lang w:val="es-ES" w:eastAsia="es-ES"/>
        </w:rPr>
      </w:pPr>
    </w:p>
    <w:p w:rsidR="00F02AFC" w:rsidRPr="0049050B" w:rsidRDefault="00F02AFC" w:rsidP="00F02AFC">
      <w:pPr>
        <w:jc w:val="both"/>
        <w:rPr>
          <w:rFonts w:ascii="Arial" w:hAnsi="Arial" w:cs="Arial"/>
          <w:sz w:val="20"/>
          <w:szCs w:val="20"/>
          <w:lang w:val="es-ES" w:eastAsia="es-ES"/>
        </w:rPr>
      </w:pPr>
    </w:p>
    <w:p w:rsidR="00F02AFC" w:rsidRPr="0049050B" w:rsidRDefault="00F02AFC" w:rsidP="00F02AFC">
      <w:pPr>
        <w:jc w:val="both"/>
        <w:rPr>
          <w:rFonts w:ascii="Arial" w:hAnsi="Arial" w:cs="Arial"/>
          <w:sz w:val="20"/>
          <w:szCs w:val="20"/>
          <w:lang w:val="es-ES" w:eastAsia="es-ES"/>
        </w:rPr>
      </w:pPr>
    </w:p>
    <w:p w:rsidR="00AC271E" w:rsidRPr="00C14DE8" w:rsidRDefault="00AC271E" w:rsidP="00C14DE8">
      <w:pPr>
        <w:spacing w:line="276" w:lineRule="auto"/>
        <w:jc w:val="center"/>
        <w:textAlignment w:val="baseline"/>
        <w:rPr>
          <w:rFonts w:ascii="Arial" w:hAnsi="Arial" w:cs="Arial"/>
          <w:lang w:val="es-ES" w:eastAsia="es-ES"/>
        </w:rPr>
      </w:pPr>
      <w:r w:rsidRPr="00C14DE8">
        <w:rPr>
          <w:rFonts w:ascii="Arial" w:hAnsi="Arial" w:cs="Arial"/>
          <w:b/>
          <w:bCs/>
          <w:lang w:val="es-ES" w:eastAsia="es-ES"/>
        </w:rPr>
        <w:t>TRIBUNAL SUPERIOR DEL DISTRITO JUDICIAL</w:t>
      </w:r>
      <w:r w:rsidRPr="00C14DE8">
        <w:rPr>
          <w:rFonts w:ascii="Arial" w:hAnsi="Arial" w:cs="Arial"/>
          <w:lang w:val="es-ES" w:eastAsia="es-ES"/>
        </w:rPr>
        <w:t> </w:t>
      </w:r>
    </w:p>
    <w:p w:rsidR="00AC271E" w:rsidRPr="00C14DE8" w:rsidRDefault="00AC271E" w:rsidP="00C14DE8">
      <w:pPr>
        <w:spacing w:line="276" w:lineRule="auto"/>
        <w:jc w:val="center"/>
        <w:textAlignment w:val="baseline"/>
        <w:rPr>
          <w:rFonts w:ascii="Arial" w:hAnsi="Arial" w:cs="Arial"/>
          <w:lang w:val="es-ES" w:eastAsia="es-ES"/>
        </w:rPr>
      </w:pPr>
      <w:r w:rsidRPr="00C14DE8">
        <w:rPr>
          <w:rFonts w:ascii="Arial" w:hAnsi="Arial" w:cs="Arial"/>
          <w:b/>
          <w:bCs/>
          <w:lang w:val="es-ES" w:eastAsia="es-ES"/>
        </w:rPr>
        <w:t>SALA DE DECISIÓN LABORAL N° 3</w:t>
      </w:r>
      <w:r w:rsidRPr="00C14DE8">
        <w:rPr>
          <w:rFonts w:ascii="Arial" w:hAnsi="Arial" w:cs="Arial"/>
          <w:lang w:val="es-ES" w:eastAsia="es-ES"/>
        </w:rPr>
        <w:t> </w:t>
      </w:r>
    </w:p>
    <w:p w:rsidR="00AC271E" w:rsidRDefault="00AC271E" w:rsidP="00C14DE8">
      <w:pPr>
        <w:spacing w:line="276" w:lineRule="auto"/>
        <w:jc w:val="center"/>
        <w:textAlignment w:val="baseline"/>
        <w:rPr>
          <w:rFonts w:ascii="Arial" w:hAnsi="Arial" w:cs="Arial"/>
          <w:b/>
          <w:bCs/>
          <w:lang w:val="es-ES" w:eastAsia="es-ES"/>
        </w:rPr>
      </w:pPr>
      <w:r w:rsidRPr="00C14DE8">
        <w:rPr>
          <w:rFonts w:ascii="Arial" w:hAnsi="Arial" w:cs="Arial"/>
          <w:b/>
          <w:bCs/>
          <w:lang w:val="es-ES" w:eastAsia="es-ES"/>
        </w:rPr>
        <w:t>MAGISTRADO PON</w:t>
      </w:r>
      <w:r w:rsidR="00C14DE8">
        <w:rPr>
          <w:rFonts w:ascii="Arial" w:hAnsi="Arial" w:cs="Arial"/>
          <w:b/>
          <w:bCs/>
          <w:lang w:val="es-ES" w:eastAsia="es-ES"/>
        </w:rPr>
        <w:t>ENTE: JULIO CÉSAR SALAZAR MUÑOZ</w:t>
      </w:r>
    </w:p>
    <w:p w:rsidR="00C14DE8" w:rsidRPr="00C14DE8" w:rsidRDefault="00C14DE8" w:rsidP="00C14DE8">
      <w:pPr>
        <w:spacing w:line="276" w:lineRule="auto"/>
        <w:jc w:val="center"/>
        <w:textAlignment w:val="baseline"/>
        <w:rPr>
          <w:rFonts w:ascii="Arial" w:hAnsi="Arial" w:cs="Arial"/>
          <w:lang w:val="es-ES" w:eastAsia="es-ES"/>
        </w:rPr>
      </w:pPr>
    </w:p>
    <w:p w:rsidR="00AC271E" w:rsidRPr="00C14DE8" w:rsidRDefault="00C14DE8" w:rsidP="00C14DE8">
      <w:pPr>
        <w:spacing w:line="276" w:lineRule="auto"/>
        <w:jc w:val="center"/>
        <w:textAlignment w:val="baseline"/>
        <w:rPr>
          <w:rFonts w:ascii="Arial" w:hAnsi="Arial" w:cs="Arial"/>
          <w:lang w:val="es-ES" w:eastAsia="es-ES"/>
        </w:rPr>
      </w:pPr>
      <w:r w:rsidRPr="00C14DE8">
        <w:rPr>
          <w:rFonts w:ascii="Arial" w:hAnsi="Arial" w:cs="Arial"/>
          <w:bCs/>
          <w:lang w:val="es-ES" w:eastAsia="es-ES"/>
        </w:rPr>
        <w:t>Pereira</w:t>
      </w:r>
      <w:r w:rsidR="00AC271E" w:rsidRPr="00C14DE8">
        <w:rPr>
          <w:rFonts w:ascii="Arial" w:hAnsi="Arial" w:cs="Arial"/>
          <w:bCs/>
          <w:lang w:val="es-ES" w:eastAsia="es-ES"/>
        </w:rPr>
        <w:t xml:space="preserve">, 5 </w:t>
      </w:r>
      <w:r w:rsidRPr="00C14DE8">
        <w:rPr>
          <w:rFonts w:ascii="Arial" w:hAnsi="Arial" w:cs="Arial"/>
          <w:bCs/>
          <w:lang w:val="es-ES" w:eastAsia="es-ES"/>
        </w:rPr>
        <w:t xml:space="preserve">de agosto de </w:t>
      </w:r>
      <w:r w:rsidR="00AC271E" w:rsidRPr="00C14DE8">
        <w:rPr>
          <w:rFonts w:ascii="Arial" w:hAnsi="Arial" w:cs="Arial"/>
          <w:bCs/>
          <w:lang w:val="es-ES" w:eastAsia="es-ES"/>
        </w:rPr>
        <w:t>2020</w:t>
      </w:r>
      <w:r w:rsidR="00AC271E" w:rsidRPr="00C14DE8">
        <w:rPr>
          <w:rFonts w:ascii="Arial" w:hAnsi="Arial" w:cs="Arial"/>
          <w:lang w:val="es-ES" w:eastAsia="es-ES"/>
        </w:rPr>
        <w:t> </w:t>
      </w:r>
    </w:p>
    <w:p w:rsidR="00AC271E" w:rsidRPr="00C14DE8" w:rsidRDefault="00AC271E" w:rsidP="00C14DE8">
      <w:pPr>
        <w:spacing w:line="276" w:lineRule="auto"/>
        <w:jc w:val="center"/>
        <w:textAlignment w:val="baseline"/>
        <w:rPr>
          <w:rFonts w:ascii="Arial" w:hAnsi="Arial" w:cs="Arial"/>
          <w:lang w:val="es-ES" w:eastAsia="es-ES"/>
        </w:rPr>
      </w:pPr>
      <w:r w:rsidRPr="00C14DE8">
        <w:rPr>
          <w:rFonts w:ascii="Arial" w:hAnsi="Arial" w:cs="Arial"/>
          <w:lang w:val="es-ES" w:eastAsia="es-ES"/>
        </w:rPr>
        <w:t>Acta de Sala de Discusión No 107 de 5 de agosto de 2020</w:t>
      </w:r>
    </w:p>
    <w:p w:rsidR="00AC271E" w:rsidRPr="00C14DE8" w:rsidRDefault="00AC271E" w:rsidP="00C14DE8">
      <w:pPr>
        <w:spacing w:line="276" w:lineRule="auto"/>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center"/>
        <w:textAlignment w:val="baseline"/>
        <w:rPr>
          <w:rFonts w:ascii="Arial" w:hAnsi="Arial" w:cs="Arial"/>
          <w:lang w:val="es-ES" w:eastAsia="es-ES"/>
        </w:rPr>
      </w:pPr>
      <w:r w:rsidRPr="00C14DE8">
        <w:rPr>
          <w:rFonts w:ascii="Arial" w:hAnsi="Arial" w:cs="Arial"/>
          <w:b/>
          <w:bCs/>
          <w:lang w:val="es-ES" w:eastAsia="es-ES"/>
        </w:rPr>
        <w:t>SENTENCIA ESCRITA</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val="es-ES"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lastRenderedPageBreak/>
        <w:t xml:space="preserve">Se resuelven los recursos de apelación interpuestos por las demandadas AFP PORVENIR S.A. y la ADMINISTRADORA COLOMBIANA DE PENSIONES en contra de la sentencia proferida por el Juzgado Primero Laboral del Circuito el 16 de septiembre de 2019, así como el grado jurisdiccional de consulta dispuesto a favor de COLPENSIONES, </w:t>
      </w:r>
      <w:r w:rsidRPr="00C14DE8">
        <w:rPr>
          <w:rFonts w:ascii="Arial" w:hAnsi="Arial" w:cs="Arial"/>
          <w:lang w:eastAsia="es-ES"/>
        </w:rPr>
        <w:t>dentro del proceso que promueve el señor RAFAEL ÁNGEL RODRÍGUEZ ZAPATA, cuya radicación corresponde al Nº 66001-31-05-001-2018-00052-01.</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Default="0029666B" w:rsidP="00C14DE8">
      <w:pPr>
        <w:spacing w:line="276" w:lineRule="auto"/>
        <w:jc w:val="both"/>
        <w:textAlignment w:val="baseline"/>
        <w:rPr>
          <w:rFonts w:ascii="Arial" w:hAnsi="Arial" w:cs="Arial"/>
          <w:lang w:val="es-ES" w:eastAsia="es-ES"/>
        </w:rPr>
      </w:pPr>
      <w:r>
        <w:rPr>
          <w:rFonts w:ascii="Arial" w:hAnsi="Arial" w:cs="Arial"/>
          <w:lang w:val="es-ES" w:eastAsia="es-ES"/>
        </w:rPr>
        <w:t>(…)</w:t>
      </w:r>
    </w:p>
    <w:p w:rsidR="00C14DE8" w:rsidRPr="00C14DE8" w:rsidRDefault="00C14DE8" w:rsidP="00C14DE8">
      <w:pPr>
        <w:spacing w:line="276" w:lineRule="auto"/>
        <w:jc w:val="both"/>
        <w:textAlignment w:val="baseline"/>
        <w:rPr>
          <w:rFonts w:ascii="Arial" w:hAnsi="Arial" w:cs="Arial"/>
          <w:lang w:val="es-ES" w:eastAsia="es-ES"/>
        </w:rPr>
      </w:pPr>
    </w:p>
    <w:p w:rsidR="00AC271E" w:rsidRPr="00C14DE8" w:rsidRDefault="00AC271E" w:rsidP="00C14DE8">
      <w:pPr>
        <w:spacing w:line="276" w:lineRule="auto"/>
        <w:ind w:left="2835"/>
        <w:textAlignment w:val="baseline"/>
        <w:rPr>
          <w:rFonts w:ascii="Arial" w:hAnsi="Arial" w:cs="Arial"/>
          <w:lang w:val="es-ES" w:eastAsia="es-ES"/>
        </w:rPr>
      </w:pPr>
      <w:r w:rsidRPr="00C14DE8">
        <w:rPr>
          <w:rFonts w:ascii="Arial" w:hAnsi="Arial" w:cs="Arial"/>
          <w:b/>
          <w:bCs/>
          <w:lang w:eastAsia="es-ES"/>
        </w:rPr>
        <w:t>          ANTECEDENTES</w:t>
      </w:r>
      <w:r w:rsidRPr="00C14DE8">
        <w:rPr>
          <w:rFonts w:ascii="Arial" w:hAnsi="Arial" w:cs="Arial"/>
          <w:lang w:val="es-ES" w:eastAsia="es-ES"/>
        </w:rPr>
        <w:t> </w:t>
      </w:r>
    </w:p>
    <w:p w:rsidR="00AC271E" w:rsidRPr="00C14DE8" w:rsidRDefault="00AC271E" w:rsidP="00C14DE8">
      <w:pPr>
        <w:spacing w:line="276" w:lineRule="auto"/>
        <w:jc w:val="center"/>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Pretende el señor Rafael Ángel Rodríguez Zapata que la justicia laboral declare la ineficacia del traslado del régimen de prima media con prestación definida al régimen de ahorro individual con solidaridad efectuado en el año 1998 a través de la AFP Porvenir S.A., para que se declare válida y vigente la afiliación primigenia efectuada al RPM a través del otrora ISS hoy Colpensiones. Con base en ello solicita que se condene a la AFP a devolver el capital existente en la cuenta de ahorro individual, lo que resulte probado extra y ultra </w:t>
      </w:r>
      <w:proofErr w:type="spellStart"/>
      <w:r w:rsidRPr="00C14DE8">
        <w:rPr>
          <w:rFonts w:ascii="Arial" w:hAnsi="Arial" w:cs="Arial"/>
          <w:lang w:eastAsia="es-ES"/>
        </w:rPr>
        <w:t>petita</w:t>
      </w:r>
      <w:proofErr w:type="spellEnd"/>
      <w:r w:rsidRPr="00C14DE8">
        <w:rPr>
          <w:rFonts w:ascii="Arial" w:hAnsi="Arial" w:cs="Arial"/>
          <w:lang w:eastAsia="es-ES"/>
        </w:rPr>
        <w:t xml:space="preserve"> y las costas procesales a su favor. </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Refiere que: se vinculó laboralmente con el Ministerio de Salud el 6 de febrero de 1992, afiliándose inmediatamente al régimen de prima media con prestación definida administrado por el ISS hoy Colpensiones; en el mes de febrero de 1998 los asesores comerciales de la AFP Porvenir S.A. hicieron presencia en las instalaciones de la entidad para la que estaba prestando sus servicios, informándole, con el fin de que se trasladara al RAIS, que en ese régimen pensional podía pensionarse a cualquier edad, que el monto de la pensión sería superior, que el ISS iba a desaparecer y que en caso de no tener beneficiarios el capital de la cuenta de ahorro individual podía pasar a sus herederos hasta el quinto grado de consanguinidad, además de indicarle que en caso de que no se quisiera pensionar, podría solicitar la devolución de saldos; estima que la información entregada no fue acertada, omitiendo la AFP el deber de realizar las proyecciones de las mesadas pensionales en ambos regímenes pensionales, omitiéndose también la información relativa al plazo máximo para retornar el RPM; el 15 de diciembre de 2017 la AFP le manifiesta que el saldo de la cuenta de ahorro individual asciende a la suma de $133.789.743, que corresponden a las 752 semanas cotizadas hasta ese momento, indicándole que a ese ritmo podía acceder a los 72 años a una pensión del orden de $1.739.800; con ese mismo ritmo de cotizaciones a los 72 años en el RPM accedería a una mesada pensional de $2.827.927; el 26 de diciembre de 2017 la Administradora Colombiana de Pensiones negó la solicitud de traslado elevada por él, aduciendo que no era procedente el trámite por encontrarse a menos de 10 años para cumplir la edad mínima en ese régimen pensional.</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La Administradora Colombiana de Pensiones al dar respuesta al libelo introductorio –fls.96 a 102- se opuso a las pretensiones argumentando que no se dan los presupuestos legales para que se declare la ineficacia del acto jurídico por medio del cual operó el traslado, razón por la que no es procedente el retorno del accionante al </w:t>
      </w:r>
      <w:r w:rsidRPr="00C14DE8">
        <w:rPr>
          <w:rFonts w:ascii="Arial" w:hAnsi="Arial" w:cs="Arial"/>
          <w:lang w:eastAsia="es-ES"/>
        </w:rPr>
        <w:lastRenderedPageBreak/>
        <w:t>RPM. Propuso las excepciones de mérito que denominó “Inexistencia de la obligación demandada”, “Prescripción” y “Declaratoria de otras excepciones”.</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La AFP Porvenir S.A. contestó la demanda –fls.112 a 146- expresando que la información que en su momento se le suministró al demandante con el objeto de que se trasladara al RAIS se hizo bajo los términos previstos en la Ley, por lo que no es cierto que se le haya dado información que no correspondiera a la realidad, ni mucho menos que se hubiese omitido parte de ella, razón por la que la voluntad del señor Rafael Ángel Rodríguez Zapata no se vio comprometida por uno de los vicios del consentimiento, habiéndose efectuado de manera libre y sin presiones. Se opuso a las pretensiones y planteó doce excepciones de mérito que pretende hacer valer en el proceso.</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En sentencia de 16 de septiembre de 2019, la funcionaria de primera instancia, después de hacer una exposición amplia sobre la jurisprudencia vigente en el tema expuesta por la Sala de Casación Laboral de la Corte Suprema de Justicia, determinó que la AFP Porvenir S.A. no demostró en el trámite del proceso que haya brindado la información que se exigía para el año 1998 cuando operó el traslado del RPM al RAIS del señor Rafael Ángel Rodríguez Zapata, lo que la llevó a declarar la ineficacia jurídica de ese acto y como consecuencia de ello la ordenó a la AFP consignar a favor de la Administradora Colombiana de Pensiones el saldo de la cuenta de ahorro individual, donde se deben incluir los rendimientos financieros, intereses y los gastos de administración, correspondiéndole a ésta última entidad recibir sin solución de continuidad al demandante. </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Inconformes con la decisión, las entidades demandadas interpusieron recurso de apelación en los siguientes términos:</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La apoderada judicial de la AFP Porvenir S.A. argumenta que con las pruebas practicadas en el curso del proceso, esa entidad cumplió con la carga procesal que por vía jurisprudencial le ha impuesto la Sala de Casación Laboral de la Corte Suprema de Justicia, ya que se evidenció que al señor Rafael Ángel Rodríguez Zapata se le entregó la información idónea que le permitió tomar una decisión consciente sobre los efectos que traería el traslado al RAIS, motivo por el que resulta equivocado concluir que el acto jurídico que concretó el traslado es ineficaz. En caso de que se conserve la decisión adoptada en primera instancia, considera que no es posible que se ordene la devolución de los gastos de administración, debido a que durante más de 20 años manejó de manera responsable los recursos inmersos en la cuenta de ahorro individual, lo que significó el crecimiento de la misma con base en los rendimientos obtenidos, gracias precisamente a la buena labor de administración </w:t>
      </w:r>
      <w:r w:rsidR="00C14DE8">
        <w:rPr>
          <w:rFonts w:ascii="Arial" w:hAnsi="Arial" w:cs="Arial"/>
          <w:lang w:eastAsia="es-ES"/>
        </w:rPr>
        <w:t>ejecutada por esa Porvenir S.A.</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La apoderada judicial de la Administradora Colombiana de Pensiones aseguró que de acuerdo con las pruebas recaudadas en el proceso se estableció que al accionante no se le brindó una información engañosa que afectara su voluntad a la hora de tomar la decisión de trasladarse al RAIS, lo que lleva a concluir que el acto jurídico por medio del cual se materializó el traslado es eficaz, siendo del caso analizar que realmente la motivación que lleva al actor a iniciar este proceso no es otro que lograr la obtención de una mesada pensional superior a la que puede </w:t>
      </w:r>
      <w:r w:rsidRPr="00C14DE8">
        <w:rPr>
          <w:rFonts w:ascii="Arial" w:hAnsi="Arial" w:cs="Arial"/>
          <w:lang w:eastAsia="es-ES"/>
        </w:rPr>
        <w:lastRenderedPageBreak/>
        <w:t>financiar. De conservarse la decisión de la </w:t>
      </w:r>
      <w:r w:rsidRPr="00C14DE8">
        <w:rPr>
          <w:rFonts w:ascii="Arial" w:hAnsi="Arial" w:cs="Arial"/>
          <w:i/>
          <w:iCs/>
          <w:lang w:eastAsia="es-ES"/>
        </w:rPr>
        <w:t xml:space="preserve"> a quo</w:t>
      </w:r>
      <w:r w:rsidRPr="00C14DE8">
        <w:rPr>
          <w:rFonts w:ascii="Arial" w:hAnsi="Arial" w:cs="Arial"/>
          <w:lang w:eastAsia="es-ES"/>
        </w:rPr>
        <w:t xml:space="preserve"> solicita que los gastos de administración sean consignados de manera indexada.</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Al haber resultado afectada la Administradora Colombiana de Pensiones, se dispuso también el grado jurisdiccional de consulta a su favor.</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C14DE8" w:rsidP="00C14DE8">
      <w:pPr>
        <w:spacing w:line="276" w:lineRule="auto"/>
        <w:jc w:val="center"/>
        <w:textAlignment w:val="baseline"/>
        <w:rPr>
          <w:rFonts w:ascii="Arial" w:hAnsi="Arial" w:cs="Arial"/>
          <w:lang w:val="es-ES" w:eastAsia="es-ES"/>
        </w:rPr>
      </w:pPr>
      <w:r>
        <w:rPr>
          <w:rFonts w:ascii="Arial" w:hAnsi="Arial" w:cs="Arial"/>
          <w:b/>
          <w:bCs/>
          <w:lang w:eastAsia="es-ES"/>
        </w:rPr>
        <w:t>ALEGATOS DE CONCLUSIÓN</w:t>
      </w:r>
    </w:p>
    <w:p w:rsidR="00C14DE8" w:rsidRDefault="00C14DE8" w:rsidP="00C14DE8">
      <w:pPr>
        <w:spacing w:line="276" w:lineRule="auto"/>
        <w:jc w:val="both"/>
        <w:textAlignment w:val="baseline"/>
        <w:rPr>
          <w:rFonts w:ascii="Arial" w:hAnsi="Arial" w:cs="Arial"/>
          <w:lang w:eastAsia="es-ES"/>
        </w:rPr>
      </w:pPr>
    </w:p>
    <w:p w:rsidR="00AC271E" w:rsidRDefault="00AC271E" w:rsidP="00C14DE8">
      <w:pPr>
        <w:spacing w:line="276" w:lineRule="auto"/>
        <w:jc w:val="both"/>
        <w:textAlignment w:val="baseline"/>
        <w:rPr>
          <w:rFonts w:ascii="Arial" w:hAnsi="Arial" w:cs="Arial"/>
          <w:lang w:eastAsia="es-ES"/>
        </w:rPr>
      </w:pPr>
      <w:r w:rsidRPr="00C14DE8">
        <w:rPr>
          <w:rFonts w:ascii="Arial" w:hAnsi="Arial" w:cs="Arial"/>
          <w:lang w:eastAsia="es-ES"/>
        </w:rPr>
        <w:t xml:space="preserve">Conforme se dejó plasmado en la constancia emitida por la Secretaría de la Corporación, los apoderados judiciales de la Administradora Colombiana de Pensiones y del accionante hicieron uso del derecho a presentar alegatos de conclusión en término, siendo del caso señalar que de acuerdo con lo previsto en el artículo 279 del CGP consistente en que </w:t>
      </w:r>
      <w:r w:rsidRPr="00C14DE8">
        <w:rPr>
          <w:rFonts w:ascii="Arial" w:hAnsi="Arial" w:cs="Arial"/>
          <w:i/>
          <w:iCs/>
          <w:lang w:eastAsia="es-ES"/>
        </w:rPr>
        <w:t>“</w:t>
      </w:r>
      <w:r w:rsidRPr="00C14DE8">
        <w:rPr>
          <w:rFonts w:ascii="Arial" w:hAnsi="Arial" w:cs="Arial"/>
          <w:i/>
          <w:iCs/>
          <w:sz w:val="22"/>
          <w:lang w:eastAsia="es-ES"/>
        </w:rPr>
        <w:t>No se podrá hacer transcripciones o reproducciones de actas, decisiones o conceptos que obren en el expediente</w:t>
      </w:r>
      <w:r w:rsidRPr="00C14DE8">
        <w:rPr>
          <w:rFonts w:ascii="Arial" w:hAnsi="Arial" w:cs="Arial"/>
          <w:i/>
          <w:iCs/>
          <w:lang w:eastAsia="es-ES"/>
        </w:rPr>
        <w:t>”</w:t>
      </w:r>
      <w:r w:rsidRPr="00C14DE8">
        <w:rPr>
          <w:rFonts w:ascii="Arial" w:hAnsi="Arial" w:cs="Arial"/>
          <w:lang w:eastAsia="es-ES"/>
        </w:rPr>
        <w:t xml:space="preserve"> y en aplicación del principio de consonancia, la entidad recurrente amplió los argumentos de hecho y de derecho que en su momento sirvieron para sustentar el recurso de apelación. Por su parte la apoderada judicial de la parte actora, referenciando algunas sentencias emitidas por la Sala de Casación Laboral de la Corte Suprema de Justicia, solicitó la confirmación de la providencia emitida en primera instancia, al considerar que se dan los presupuestos prob</w:t>
      </w:r>
      <w:r w:rsidR="00C14DE8">
        <w:rPr>
          <w:rFonts w:ascii="Arial" w:hAnsi="Arial" w:cs="Arial"/>
          <w:lang w:eastAsia="es-ES"/>
        </w:rPr>
        <w:t>atorios y procesales para ello.</w:t>
      </w:r>
    </w:p>
    <w:p w:rsidR="00C14DE8" w:rsidRPr="00C14DE8" w:rsidRDefault="00C14DE8" w:rsidP="00C14DE8">
      <w:pPr>
        <w:spacing w:line="276" w:lineRule="auto"/>
        <w:jc w:val="both"/>
        <w:textAlignment w:val="baseline"/>
        <w:rPr>
          <w:rFonts w:ascii="Arial" w:hAnsi="Arial" w:cs="Arial"/>
          <w:lang w:val="es-ES" w:eastAsia="es-ES"/>
        </w:rPr>
      </w:pPr>
    </w:p>
    <w:p w:rsidR="00AC271E" w:rsidRPr="00C14DE8" w:rsidRDefault="00AC271E" w:rsidP="00C14DE8">
      <w:pPr>
        <w:spacing w:line="276" w:lineRule="auto"/>
        <w:jc w:val="center"/>
        <w:textAlignment w:val="baseline"/>
        <w:rPr>
          <w:rFonts w:ascii="Arial" w:hAnsi="Arial" w:cs="Arial"/>
          <w:lang w:val="es-ES" w:eastAsia="es-ES"/>
        </w:rPr>
      </w:pPr>
      <w:r w:rsidRPr="00C14DE8">
        <w:rPr>
          <w:rFonts w:ascii="Arial" w:hAnsi="Arial" w:cs="Arial"/>
          <w:b/>
          <w:bCs/>
          <w:lang w:eastAsia="es-ES"/>
        </w:rPr>
        <w:t>Cuestión previa</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Así las cosas, atendidas las argumentaciones a esta Sala de Decisión le </w:t>
      </w:r>
      <w:proofErr w:type="gramStart"/>
      <w:r w:rsidRPr="00C14DE8">
        <w:rPr>
          <w:rFonts w:ascii="Arial" w:hAnsi="Arial" w:cs="Arial"/>
          <w:lang w:eastAsia="es-ES"/>
        </w:rPr>
        <w:t>corresponde</w:t>
      </w:r>
      <w:proofErr w:type="gramEnd"/>
      <w:r w:rsidRPr="00C14DE8">
        <w:rPr>
          <w:rFonts w:ascii="Arial" w:hAnsi="Arial" w:cs="Arial"/>
          <w:lang w:eastAsia="es-ES"/>
        </w:rPr>
        <w:t xml:space="preserve"> resolver los siguientes:</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center"/>
        <w:textAlignment w:val="baseline"/>
        <w:rPr>
          <w:rFonts w:ascii="Arial" w:hAnsi="Arial" w:cs="Arial"/>
          <w:lang w:val="es-ES" w:eastAsia="es-ES"/>
        </w:rPr>
      </w:pPr>
      <w:r w:rsidRPr="00C14DE8">
        <w:rPr>
          <w:rFonts w:ascii="Arial" w:hAnsi="Arial" w:cs="Arial"/>
          <w:b/>
          <w:bCs/>
          <w:lang w:eastAsia="es-ES"/>
        </w:rPr>
        <w:t>PROBLEMAS JURÍDICOS  </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b/>
          <w:bCs/>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t xml:space="preserve">¿Hay lugar a declarar ineficaz la afiliación de la señora María Eugenia López Ortega al Régimen de Ahorro Individual con Solidaridad? </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b/>
          <w:bCs/>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lastRenderedPageBreak/>
        <w:t>De acuerdo con la respuesta al interrogante anterior ¿Hay lugar a ordenar la devolución de los gastos de administración?</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b/>
          <w:bCs/>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t>De ser así ¿Debe ordenarse la devolución de esos rubros debidamente indexados?</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Con el propósito de dar solución al interrogante en el caso concreto, la Sala considera necesario precisar, el siguiente:</w:t>
      </w:r>
      <w:r w:rsidRPr="00C14DE8">
        <w:rPr>
          <w:rFonts w:ascii="Arial" w:hAnsi="Arial" w:cs="Arial"/>
          <w:lang w:val="es-ES" w:eastAsia="es-ES"/>
        </w:rPr>
        <w:t> </w:t>
      </w:r>
    </w:p>
    <w:p w:rsidR="00C14DE8" w:rsidRPr="00C14DE8" w:rsidRDefault="00C14DE8" w:rsidP="00C14DE8">
      <w:pPr>
        <w:spacing w:line="276" w:lineRule="auto"/>
        <w:jc w:val="both"/>
        <w:textAlignment w:val="baseline"/>
        <w:rPr>
          <w:rFonts w:ascii="Arial" w:hAnsi="Arial" w:cs="Arial"/>
          <w:lang w:val="es-ES" w:eastAsia="es-ES"/>
        </w:rPr>
      </w:pPr>
    </w:p>
    <w:p w:rsidR="00AC271E" w:rsidRPr="00C14DE8" w:rsidRDefault="00AC271E" w:rsidP="00C14DE8">
      <w:pPr>
        <w:spacing w:line="276" w:lineRule="auto"/>
        <w:jc w:val="center"/>
        <w:textAlignment w:val="baseline"/>
        <w:rPr>
          <w:rFonts w:ascii="Arial" w:hAnsi="Arial" w:cs="Arial"/>
          <w:lang w:val="es-ES" w:eastAsia="es-ES"/>
        </w:rPr>
      </w:pPr>
      <w:r w:rsidRPr="00C14DE8">
        <w:rPr>
          <w:rFonts w:ascii="Arial" w:hAnsi="Arial" w:cs="Arial"/>
          <w:b/>
          <w:bCs/>
          <w:lang w:eastAsia="es-ES"/>
        </w:rPr>
        <w:t>FUNDAMENTO JURISPRUDENCIAL</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b/>
          <w:bCs/>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En sentencia </w:t>
      </w:r>
      <w:proofErr w:type="spellStart"/>
      <w:r w:rsidRPr="00C14DE8">
        <w:rPr>
          <w:rFonts w:ascii="Arial" w:hAnsi="Arial" w:cs="Arial"/>
          <w:lang w:eastAsia="es-ES"/>
        </w:rPr>
        <w:t>STL4759</w:t>
      </w:r>
      <w:proofErr w:type="spellEnd"/>
      <w:r w:rsidRPr="00C14DE8">
        <w:rPr>
          <w:rFonts w:ascii="Arial" w:hAnsi="Arial" w:cs="Arial"/>
          <w:lang w:eastAsia="es-ES"/>
        </w:rPr>
        <w:t xml:space="preserve"> de 22 de julio de 2020, la Sala de Casación Laboral indicó: </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i/>
          <w:iCs/>
          <w:lang w:eastAsia="es-ES"/>
        </w:rPr>
      </w:pPr>
    </w:p>
    <w:p w:rsidR="00AC271E" w:rsidRPr="00C14DE8" w:rsidRDefault="00AC271E" w:rsidP="00C14DE8">
      <w:pPr>
        <w:ind w:left="426" w:right="420"/>
        <w:jc w:val="both"/>
        <w:textAlignment w:val="baseline"/>
        <w:rPr>
          <w:rFonts w:ascii="Arial" w:hAnsi="Arial" w:cs="Arial"/>
          <w:sz w:val="22"/>
          <w:lang w:val="es-ES" w:eastAsia="es-ES"/>
        </w:rPr>
      </w:pPr>
      <w:r w:rsidRPr="00C14DE8">
        <w:rPr>
          <w:rFonts w:ascii="Arial" w:hAnsi="Arial" w:cs="Arial"/>
          <w:i/>
          <w:iCs/>
          <w:sz w:val="22"/>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C14DE8">
        <w:rPr>
          <w:rFonts w:ascii="Arial" w:hAnsi="Arial" w:cs="Arial"/>
          <w:b/>
          <w:bCs/>
          <w:i/>
          <w:iCs/>
          <w:sz w:val="22"/>
          <w:lang w:eastAsia="es-ES"/>
        </w:rPr>
        <w:t>Por este motivo, el examen del acto del cambio de régimen pensional, por transgresión del deber de información, tiene que abordarse desde la institución de la ineficacia en sentido estricto</w:t>
      </w:r>
      <w:r w:rsidRPr="00C14DE8">
        <w:rPr>
          <w:rFonts w:ascii="Arial" w:hAnsi="Arial" w:cs="Arial"/>
          <w:i/>
          <w:iCs/>
          <w:sz w:val="22"/>
          <w:lang w:eastAsia="es-ES"/>
        </w:rPr>
        <w:t xml:space="preserve"> y no desde el régimen de las nulidades sustanciales.”</w:t>
      </w:r>
      <w:r w:rsidRPr="00C14DE8">
        <w:rPr>
          <w:rFonts w:ascii="Arial" w:hAnsi="Arial" w:cs="Arial"/>
          <w:sz w:val="22"/>
          <w:lang w:eastAsia="es-ES"/>
        </w:rPr>
        <w:t xml:space="preserve"> (Negrillas fuera de texto).</w:t>
      </w:r>
    </w:p>
    <w:p w:rsidR="00C14DE8" w:rsidRPr="00C14DE8" w:rsidRDefault="00C14DE8" w:rsidP="00C14DE8">
      <w:pPr>
        <w:spacing w:line="276" w:lineRule="auto"/>
        <w:jc w:val="both"/>
        <w:textAlignment w:val="baseline"/>
        <w:rPr>
          <w:rFonts w:ascii="Arial" w:hAnsi="Arial" w:cs="Arial"/>
          <w:lang w:val="es-ES"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t>2. Sobre el deber de información. </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i/>
          <w:iCs/>
          <w:lang w:eastAsia="es-ES"/>
        </w:rPr>
      </w:pPr>
    </w:p>
    <w:p w:rsidR="00AC271E" w:rsidRPr="00C14DE8" w:rsidRDefault="00AC271E" w:rsidP="00C14DE8">
      <w:pPr>
        <w:ind w:left="426" w:right="420"/>
        <w:jc w:val="both"/>
        <w:textAlignment w:val="baseline"/>
        <w:rPr>
          <w:rFonts w:ascii="Arial" w:hAnsi="Arial" w:cs="Arial"/>
          <w:i/>
          <w:iCs/>
          <w:sz w:val="22"/>
          <w:lang w:eastAsia="es-ES"/>
        </w:rPr>
      </w:pPr>
      <w:r w:rsidRPr="00C14DE8">
        <w:rPr>
          <w:rFonts w:ascii="Arial" w:hAnsi="Arial" w:cs="Arial"/>
          <w:i/>
          <w:iCs/>
          <w:sz w:val="22"/>
          <w:lang w:eastAsia="es-ES"/>
        </w:rPr>
        <w:t>“El anterior recuento sobre la evolución normativa del deber de información a cargo de las administradoras de pensiones podría, a grandes rasgos, sintetizarse así:</w:t>
      </w:r>
    </w:p>
    <w:p w:rsidR="00C14DE8" w:rsidRPr="00C14DE8" w:rsidRDefault="00C14DE8" w:rsidP="00C14DE8">
      <w:pPr>
        <w:ind w:left="426" w:right="420"/>
        <w:jc w:val="both"/>
        <w:textAlignment w:val="baseline"/>
        <w:rPr>
          <w:rFonts w:ascii="Arial" w:hAnsi="Arial" w:cs="Arial"/>
          <w:i/>
          <w:iCs/>
          <w:sz w:val="22"/>
          <w:lang w:eastAsia="es-ES"/>
        </w:rPr>
      </w:pPr>
    </w:p>
    <w:tbl>
      <w:tblPr>
        <w:tblW w:w="0" w:type="auto"/>
        <w:tblInd w:w="4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2970"/>
        <w:gridCol w:w="3788"/>
      </w:tblGrid>
      <w:tr w:rsidR="00AC271E" w:rsidRPr="00C14DE8" w:rsidTr="00C14DE8">
        <w:tc>
          <w:tcPr>
            <w:tcW w:w="1484"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b/>
                <w:bCs/>
                <w:i/>
                <w:iCs/>
                <w:sz w:val="20"/>
                <w:lang w:eastAsia="es-ES"/>
              </w:rPr>
              <w:t>Etapa acumulativa</w:t>
            </w:r>
            <w:r w:rsidRPr="00C14DE8">
              <w:rPr>
                <w:rFonts w:ascii="Arial" w:hAnsi="Arial" w:cs="Arial"/>
                <w:sz w:val="20"/>
                <w:lang w:val="es-ES" w:eastAsia="es-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b/>
                <w:bCs/>
                <w:i/>
                <w:iCs/>
                <w:sz w:val="20"/>
                <w:lang w:eastAsia="es-ES"/>
              </w:rPr>
              <w:t>Normas que obligan a las administradoras de pensiones a dar información</w:t>
            </w:r>
            <w:r w:rsidRPr="00C14DE8">
              <w:rPr>
                <w:rFonts w:ascii="Arial" w:hAnsi="Arial" w:cs="Arial"/>
                <w:sz w:val="20"/>
                <w:lang w:val="es-ES" w:eastAsia="es-ES"/>
              </w:rPr>
              <w:t> </w:t>
            </w:r>
          </w:p>
        </w:tc>
        <w:tc>
          <w:tcPr>
            <w:tcW w:w="3788"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b/>
                <w:bCs/>
                <w:i/>
                <w:iCs/>
                <w:sz w:val="20"/>
                <w:lang w:eastAsia="es-ES"/>
              </w:rPr>
              <w:t>Contenido mínimo y alcance del deber de información</w:t>
            </w:r>
            <w:r w:rsidRPr="00C14DE8">
              <w:rPr>
                <w:rFonts w:ascii="Arial" w:hAnsi="Arial" w:cs="Arial"/>
                <w:sz w:val="20"/>
                <w:lang w:val="es-ES" w:eastAsia="es-ES"/>
              </w:rPr>
              <w:t> </w:t>
            </w:r>
          </w:p>
        </w:tc>
      </w:tr>
      <w:tr w:rsidR="00AC271E" w:rsidRPr="00C14DE8" w:rsidTr="00C14DE8">
        <w:tc>
          <w:tcPr>
            <w:tcW w:w="1484"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Deber de información </w:t>
            </w:r>
            <w:r w:rsidRPr="00C14DE8">
              <w:rPr>
                <w:rFonts w:ascii="Arial" w:hAnsi="Arial" w:cs="Arial"/>
                <w:sz w:val="20"/>
                <w:lang w:val="es-ES" w:eastAsia="es-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Arts. 13 literal b), 271 y 272 de la Ley 100 de 1993</w:t>
            </w:r>
            <w:r w:rsidRPr="00C14DE8">
              <w:rPr>
                <w:rFonts w:ascii="Arial" w:hAnsi="Arial" w:cs="Arial"/>
                <w:sz w:val="20"/>
                <w:lang w:val="es-ES" w:eastAsia="es-ES"/>
              </w:rPr>
              <w:t> </w:t>
            </w:r>
          </w:p>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val="es-ES" w:eastAsia="es-ES"/>
              </w:rPr>
              <w:t>Art. 97, numeral 1 del Decreto 663 de 1993, modificado por el artículo 23 de la Ley 797 de 2003</w:t>
            </w:r>
            <w:r w:rsidRPr="00C14DE8">
              <w:rPr>
                <w:rFonts w:ascii="Arial" w:hAnsi="Arial" w:cs="Arial"/>
                <w:sz w:val="20"/>
                <w:lang w:val="es-ES" w:eastAsia="es-ES"/>
              </w:rPr>
              <w:t> </w:t>
            </w:r>
          </w:p>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val="es-ES" w:eastAsia="es-ES"/>
              </w:rPr>
              <w:t xml:space="preserve">Disposiciones constitucionales relativas al derecho a la información, no menoscabo de derechos laborales y autonomía </w:t>
            </w:r>
            <w:r w:rsidRPr="00C14DE8">
              <w:rPr>
                <w:rFonts w:ascii="Arial" w:hAnsi="Arial" w:cs="Arial"/>
                <w:i/>
                <w:iCs/>
                <w:sz w:val="20"/>
                <w:lang w:val="es-ES" w:eastAsia="es-ES"/>
              </w:rPr>
              <w:lastRenderedPageBreak/>
              <w:t>personal</w:t>
            </w:r>
            <w:r w:rsidRPr="00C14DE8">
              <w:rPr>
                <w:rFonts w:ascii="Arial" w:hAnsi="Arial" w:cs="Arial"/>
                <w:sz w:val="20"/>
                <w:lang w:val="es-ES" w:eastAsia="es-ES"/>
              </w:rPr>
              <w:t> </w:t>
            </w:r>
          </w:p>
        </w:tc>
        <w:tc>
          <w:tcPr>
            <w:tcW w:w="3788"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C14DE8">
              <w:rPr>
                <w:rFonts w:ascii="Arial" w:hAnsi="Arial" w:cs="Arial"/>
                <w:sz w:val="20"/>
                <w:lang w:val="es-ES" w:eastAsia="es-ES"/>
              </w:rPr>
              <w:t> </w:t>
            </w:r>
          </w:p>
        </w:tc>
      </w:tr>
      <w:tr w:rsidR="00AC271E" w:rsidRPr="00C14DE8" w:rsidTr="00C14DE8">
        <w:tc>
          <w:tcPr>
            <w:tcW w:w="1484"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lastRenderedPageBreak/>
              <w:t>Deber de información, asesoría y buen consejo</w:t>
            </w:r>
            <w:r w:rsidRPr="00C14DE8">
              <w:rPr>
                <w:rFonts w:ascii="Arial" w:hAnsi="Arial" w:cs="Arial"/>
                <w:sz w:val="20"/>
                <w:lang w:val="es-ES" w:eastAsia="es-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Artículo 3, literal c) de la Ley 1328 de 2009</w:t>
            </w:r>
            <w:r w:rsidRPr="00C14DE8">
              <w:rPr>
                <w:rFonts w:ascii="Arial" w:hAnsi="Arial" w:cs="Arial"/>
                <w:sz w:val="20"/>
                <w:lang w:val="es-ES" w:eastAsia="es-ES"/>
              </w:rPr>
              <w:t> </w:t>
            </w:r>
          </w:p>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Decreto 2241 de 2010</w:t>
            </w:r>
            <w:r w:rsidRPr="00C14DE8">
              <w:rPr>
                <w:rFonts w:ascii="Arial" w:hAnsi="Arial" w:cs="Arial"/>
                <w:sz w:val="20"/>
                <w:lang w:val="es-ES" w:eastAsia="es-ES"/>
              </w:rPr>
              <w:t> </w:t>
            </w:r>
          </w:p>
        </w:tc>
        <w:tc>
          <w:tcPr>
            <w:tcW w:w="3788"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14DE8">
              <w:rPr>
                <w:rFonts w:ascii="Arial" w:hAnsi="Arial" w:cs="Arial"/>
                <w:sz w:val="20"/>
                <w:lang w:val="es-ES" w:eastAsia="es-ES"/>
              </w:rPr>
              <w:t> </w:t>
            </w:r>
          </w:p>
        </w:tc>
      </w:tr>
      <w:tr w:rsidR="00AC271E" w:rsidRPr="00C14DE8" w:rsidTr="00C14DE8">
        <w:tc>
          <w:tcPr>
            <w:tcW w:w="1484"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Deber de información, asesoría, buen consejo y doble asesoría. </w:t>
            </w:r>
            <w:r w:rsidRPr="00C14DE8">
              <w:rPr>
                <w:rFonts w:ascii="Arial" w:hAnsi="Arial" w:cs="Arial"/>
                <w:sz w:val="20"/>
                <w:lang w:val="es-ES" w:eastAsia="es-ES"/>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Ley 1748 de 2014</w:t>
            </w:r>
            <w:r w:rsidRPr="00C14DE8">
              <w:rPr>
                <w:rFonts w:ascii="Arial" w:hAnsi="Arial" w:cs="Arial"/>
                <w:sz w:val="20"/>
                <w:lang w:val="es-ES" w:eastAsia="es-ES"/>
              </w:rPr>
              <w:t> </w:t>
            </w:r>
          </w:p>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Artículo 3 del Decreto 2071 de 2015</w:t>
            </w:r>
            <w:r w:rsidRPr="00C14DE8">
              <w:rPr>
                <w:rFonts w:ascii="Arial" w:hAnsi="Arial" w:cs="Arial"/>
                <w:sz w:val="20"/>
                <w:lang w:val="es-ES" w:eastAsia="es-ES"/>
              </w:rPr>
              <w:t> </w:t>
            </w:r>
          </w:p>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Circular Externa n. 016 de 2016</w:t>
            </w:r>
            <w:r w:rsidRPr="00C14DE8">
              <w:rPr>
                <w:rFonts w:ascii="Arial" w:hAnsi="Arial" w:cs="Arial"/>
                <w:sz w:val="20"/>
                <w:lang w:val="es-ES" w:eastAsia="es-ES"/>
              </w:rPr>
              <w:t> </w:t>
            </w:r>
          </w:p>
        </w:tc>
        <w:tc>
          <w:tcPr>
            <w:tcW w:w="3788" w:type="dxa"/>
            <w:tcBorders>
              <w:top w:val="single" w:sz="6" w:space="0" w:color="auto"/>
              <w:left w:val="single" w:sz="6" w:space="0" w:color="auto"/>
              <w:bottom w:val="single" w:sz="6" w:space="0" w:color="auto"/>
              <w:right w:val="single" w:sz="6" w:space="0" w:color="auto"/>
            </w:tcBorders>
            <w:shd w:val="clear" w:color="auto" w:fill="auto"/>
            <w:hideMark/>
          </w:tcPr>
          <w:p w:rsidR="00AC271E" w:rsidRPr="00C14DE8" w:rsidRDefault="00AC271E" w:rsidP="00C14DE8">
            <w:pPr>
              <w:spacing w:line="276" w:lineRule="auto"/>
              <w:jc w:val="both"/>
              <w:textAlignment w:val="baseline"/>
              <w:rPr>
                <w:rFonts w:ascii="Arial" w:hAnsi="Arial" w:cs="Arial"/>
                <w:sz w:val="20"/>
                <w:lang w:val="es-ES" w:eastAsia="es-ES"/>
              </w:rPr>
            </w:pPr>
            <w:r w:rsidRPr="00C14DE8">
              <w:rPr>
                <w:rFonts w:ascii="Arial" w:hAnsi="Arial" w:cs="Arial"/>
                <w:i/>
                <w:iCs/>
                <w:sz w:val="20"/>
                <w:lang w:eastAsia="es-ES"/>
              </w:rPr>
              <w:t>Junto con lo anterior, lleva inmerso el derecho a obtener asesoría de los representantes de ambos regímenes pensionales.</w:t>
            </w:r>
            <w:r w:rsidRPr="00C14DE8">
              <w:rPr>
                <w:rFonts w:ascii="Arial" w:hAnsi="Arial" w:cs="Arial"/>
                <w:sz w:val="20"/>
                <w:lang w:val="es-ES" w:eastAsia="es-ES"/>
              </w:rPr>
              <w:t> </w:t>
            </w:r>
          </w:p>
        </w:tc>
      </w:tr>
    </w:tbl>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t>3. La suscripción del formulario de afiliación.</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i/>
          <w:iCs/>
          <w:lang w:eastAsia="es-ES"/>
        </w:rPr>
      </w:pPr>
    </w:p>
    <w:p w:rsidR="00C14DE8" w:rsidRPr="0049050B" w:rsidRDefault="00C14DE8" w:rsidP="00C14DE8">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C14DE8" w:rsidRPr="0049050B" w:rsidRDefault="00C14DE8" w:rsidP="00C14DE8">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w:t>
      </w:r>
      <w:r w:rsidRPr="0049050B">
        <w:rPr>
          <w:rFonts w:ascii="Arial" w:hAnsi="Arial" w:cs="Arial"/>
          <w:sz w:val="22"/>
          <w:lang w:val="es-ES" w:eastAsia="es-ES"/>
        </w:rPr>
        <w:t> </w:t>
      </w:r>
    </w:p>
    <w:p w:rsidR="00C14DE8" w:rsidRPr="0049050B" w:rsidRDefault="00C14DE8" w:rsidP="00C14DE8">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Sobre el particular, en la sentencia </w:t>
      </w:r>
      <w:proofErr w:type="spellStart"/>
      <w:r w:rsidRPr="0049050B">
        <w:rPr>
          <w:rFonts w:ascii="Arial" w:hAnsi="Arial" w:cs="Arial"/>
          <w:i/>
          <w:iCs/>
          <w:sz w:val="22"/>
          <w:lang w:eastAsia="es-ES"/>
        </w:rPr>
        <w:t>SL19447</w:t>
      </w:r>
      <w:proofErr w:type="spellEnd"/>
      <w:r w:rsidRPr="0049050B">
        <w:rPr>
          <w:rFonts w:ascii="Arial" w:hAnsi="Arial" w:cs="Arial"/>
          <w:i/>
          <w:iCs/>
          <w:sz w:val="22"/>
          <w:lang w:eastAsia="es-ES"/>
        </w:rPr>
        <w:t>-2017 la Sala explicó: </w:t>
      </w:r>
      <w:r w:rsidRPr="0049050B">
        <w:rPr>
          <w:rFonts w:ascii="Arial" w:hAnsi="Arial" w:cs="Arial"/>
          <w:sz w:val="22"/>
          <w:lang w:val="es-ES" w:eastAsia="es-ES"/>
        </w:rPr>
        <w:t> </w:t>
      </w:r>
    </w:p>
    <w:p w:rsidR="00C14DE8" w:rsidRPr="0049050B" w:rsidRDefault="00C14DE8" w:rsidP="00C14DE8">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C14DE8" w:rsidRPr="0049050B" w:rsidRDefault="00C14DE8" w:rsidP="00C14DE8">
      <w:pPr>
        <w:ind w:left="709" w:right="703"/>
        <w:jc w:val="both"/>
        <w:textAlignment w:val="baseline"/>
        <w:rPr>
          <w:rFonts w:ascii="Arial" w:hAnsi="Arial" w:cs="Arial"/>
          <w:sz w:val="22"/>
          <w:lang w:val="es-ES" w:eastAsia="es-ES"/>
        </w:rPr>
      </w:pPr>
      <w:r w:rsidRPr="0049050B">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C14DE8" w:rsidRPr="0049050B" w:rsidRDefault="00C14DE8" w:rsidP="00C14DE8">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C14DE8" w:rsidRPr="0049050B" w:rsidRDefault="00C14DE8" w:rsidP="00C14DE8">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C14DE8" w:rsidRPr="0049050B" w:rsidRDefault="00C14DE8" w:rsidP="00C14DE8">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C14DE8" w:rsidRPr="00552D03" w:rsidRDefault="00C14DE8" w:rsidP="00552D03">
      <w:pPr>
        <w:ind w:left="426" w:right="420"/>
        <w:jc w:val="both"/>
        <w:textAlignment w:val="baseline"/>
        <w:rPr>
          <w:rFonts w:ascii="Arial" w:hAnsi="Arial" w:cs="Arial"/>
          <w:i/>
          <w:iCs/>
          <w:sz w:val="22"/>
          <w:lang w:eastAsia="es-ES"/>
        </w:rPr>
      </w:pPr>
      <w:r w:rsidRPr="0049050B">
        <w:rPr>
          <w:rFonts w:ascii="Arial" w:hAnsi="Arial" w:cs="Arial"/>
          <w:i/>
          <w:iCs/>
          <w:sz w:val="22"/>
          <w:lang w:eastAsia="es-ES"/>
        </w:rPr>
        <w:lastRenderedPageBreak/>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r w:rsidRPr="00552D03">
        <w:rPr>
          <w:rFonts w:ascii="Arial" w:hAnsi="Arial" w:cs="Arial"/>
          <w:i/>
          <w:iCs/>
          <w:sz w:val="22"/>
          <w:lang w:eastAsia="es-ES"/>
        </w:rPr>
        <w:t>  </w:t>
      </w:r>
    </w:p>
    <w:p w:rsidR="00C14DE8" w:rsidRDefault="00C14DE8" w:rsidP="00C14DE8">
      <w:pPr>
        <w:spacing w:line="276" w:lineRule="auto"/>
        <w:jc w:val="both"/>
        <w:textAlignment w:val="baseline"/>
        <w:rPr>
          <w:rFonts w:ascii="Arial" w:hAnsi="Arial" w:cs="Arial"/>
          <w:b/>
          <w:bCs/>
          <w:lang w:val="es-ES"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t>4. Carga de la prueba.</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Continuando con su exposición argumentativa, el máximo órgano de la jurisdicción laboral sentó frente al punto:</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i/>
          <w:iCs/>
          <w:lang w:val="es-ES" w:eastAsia="es-ES"/>
        </w:rPr>
      </w:pPr>
    </w:p>
    <w:p w:rsidR="00AC271E" w:rsidRPr="00C14DE8" w:rsidRDefault="00AC271E" w:rsidP="00C14DE8">
      <w:pPr>
        <w:ind w:left="426" w:right="420"/>
        <w:jc w:val="both"/>
        <w:textAlignment w:val="baseline"/>
        <w:rPr>
          <w:rFonts w:ascii="Arial" w:hAnsi="Arial" w:cs="Arial"/>
          <w:i/>
          <w:iCs/>
          <w:sz w:val="22"/>
          <w:lang w:eastAsia="es-ES"/>
        </w:rPr>
      </w:pPr>
      <w:r w:rsidRPr="00C14DE8">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C14DE8" w:rsidRPr="00C14DE8" w:rsidRDefault="00C14DE8" w:rsidP="00C14DE8">
      <w:pPr>
        <w:ind w:left="426" w:right="420"/>
        <w:jc w:val="both"/>
        <w:textAlignment w:val="baseline"/>
        <w:rPr>
          <w:rFonts w:ascii="Arial" w:hAnsi="Arial" w:cs="Arial"/>
          <w:i/>
          <w:iCs/>
          <w:sz w:val="22"/>
          <w:lang w:eastAsia="es-ES"/>
        </w:rPr>
      </w:pPr>
    </w:p>
    <w:p w:rsidR="00AC271E" w:rsidRPr="00C14DE8" w:rsidRDefault="00AC271E" w:rsidP="00C14DE8">
      <w:pPr>
        <w:ind w:left="426" w:right="420"/>
        <w:jc w:val="both"/>
        <w:textAlignment w:val="baseline"/>
        <w:rPr>
          <w:rFonts w:ascii="Arial" w:hAnsi="Arial" w:cs="Arial"/>
          <w:i/>
          <w:iCs/>
          <w:sz w:val="22"/>
          <w:lang w:eastAsia="es-ES"/>
        </w:rPr>
      </w:pPr>
      <w:r w:rsidRPr="00C14DE8">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C14DE8" w:rsidRPr="00C14DE8" w:rsidRDefault="00C14DE8" w:rsidP="00C14DE8">
      <w:pPr>
        <w:ind w:left="426" w:right="420"/>
        <w:jc w:val="both"/>
        <w:textAlignment w:val="baseline"/>
        <w:rPr>
          <w:rFonts w:ascii="Arial" w:hAnsi="Arial" w:cs="Arial"/>
          <w:i/>
          <w:iCs/>
          <w:sz w:val="22"/>
          <w:lang w:eastAsia="es-ES"/>
        </w:rPr>
      </w:pPr>
    </w:p>
    <w:p w:rsidR="00AC271E" w:rsidRPr="00C14DE8" w:rsidRDefault="00AC271E" w:rsidP="00C14DE8">
      <w:pPr>
        <w:ind w:left="426" w:right="420"/>
        <w:jc w:val="both"/>
        <w:textAlignment w:val="baseline"/>
        <w:rPr>
          <w:rFonts w:ascii="Arial" w:hAnsi="Arial" w:cs="Arial"/>
          <w:i/>
          <w:iCs/>
          <w:sz w:val="22"/>
          <w:lang w:eastAsia="es-ES"/>
        </w:rPr>
      </w:pPr>
      <w:r w:rsidRPr="00C14DE8">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t>CASO CONCRETO</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Conforme con la solicitud de vinculación Nº 97-0096269 visible a folio 147 del expediente, el señor Rafael Ángel Rodríguez Zapata se afilió al régimen de ahorro individual con solidaridad el 1° de marzo de 1998 cuando se vinculó a la AFP Horizonte S.A. hoy AFP Porvenir S.A., sin embargo, se queja el actor que esa afiliación no es válida, en virtud a que la misma no se hizo de manera libre y voluntaria, en la medida en que no se le suministró información suficiente que le permitiera tomar una decisión consciente.</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Conforme con lo señalado por el demandante, se procederá a verificar, siguiendo las reglas jurisprudenciales expuestas anteriormente, si la AFP Horizonte S.A hoy AFP Porvenir S.A. cumplió con el deber legal de información que le correspondía para el 1° de marzo de 1998 (primera etapa).</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En lo que concierne al formulario de afiliación, más allá de que en dicho documento se evidencia la rúbrica del señor Rodríguez Zapata en la casilla denominada “7. Espacio para el afiliado” en la que hace expone que </w:t>
      </w:r>
      <w:r w:rsidRPr="00C14DE8">
        <w:rPr>
          <w:rFonts w:ascii="Arial" w:hAnsi="Arial" w:cs="Arial"/>
          <w:i/>
          <w:iCs/>
          <w:lang w:eastAsia="es-ES"/>
        </w:rPr>
        <w:t>“Hago constar que la selección del régimen de ahorro individual con solidaridad la he efectuado en forma libre, espontánea y sin presiones. Manifiesto que he elegido a la sociedad administradora de fondos de pensiones y cesantía Horizonte S.A. para que administre mis aportes pensionales y que los datos proporcionados en esta solicitud son verdaderos.”</w:t>
      </w:r>
      <w:r w:rsidRPr="00C14DE8">
        <w:rPr>
          <w:rFonts w:ascii="Arial" w:hAnsi="Arial" w:cs="Arial"/>
          <w:lang w:eastAsia="es-ES"/>
        </w:rPr>
        <w:t>; lo cierto es que, para la Sala de Casación Laboral, esa prueba no resulta suficiente para tener por demostrado el deber de información, pues, como mucho, demuestra un consentimiento, pero no informado.</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Ahora, al absolver el interrogatorio de parte, el señor Rafael Ángel Rodríguez Zapata manifestó que para la época en que se produjo su afiliación a la AFP Horizonte S.A. hoy AFP Porvenir S.A., se encontraba trabajando en el Ministerio de Salud, lugar hasta el que llegaron los asesores de la administradora pensional, procediendo a realizar una reunión grupal en la que se les dijo que el ISS se iba a acabar, que al pasarse a ese fondo de pensiones podían acceder a la gracia pensional anticipadamente y que, en caso de fallecer, el capital acumulado en la cuenta de ahorro individual podía pasar a sus herederos hasta en el quinto grado de consanguinidad; no obstante, afirmó, que en esa reunión, que no duró más de 15 o 20 minutos, no les dieron más información sobre las características de los regímenes pensionales y sobre todo, nunca se les dijo nada sobre las desventajas o consecuencias negativas que conllevaba el paso del régimen de prima media con prestación definida al régimen de ahorro individual con solidaridad. Una vez pasó esa reunión, simplemente les pasaron los formularios para que los firmaran. </w:t>
      </w:r>
      <w:r w:rsidRPr="00C14DE8">
        <w:rPr>
          <w:rFonts w:ascii="Arial" w:hAnsi="Arial" w:cs="Arial"/>
          <w:lang w:val="es-ES" w:eastAsia="es-ES"/>
        </w:rPr>
        <w:t>Así las cosas, no hay lugar a derivar de esos dichos una confesión sobre haber recibido la totalidad de la información que según la Sala de Casación Laboral correspondía otorgar por parte de la AFP.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Además del formulario de afiliación y del interrogatorio de parte, la AFP Porvenir S.A. únicamente allegó la historia laboral consolidada del accionante, los derechos de petición por él elevados y sus correspondientes respuestas –fls.152 a 203, de los que no se desprende el cumplimiento del deber legal de información que le asistía con el señor Rafael Ángel Rodríguez Zapata, razón por la que, conforme con lo sentado por la Corte Suprema de Justicia, al no cumplir la AFP con la carga probatoria que le correspondía, no queda otro camino que confirmar la decisión emitida por el Juzgado Primero Laboral del Circuito, consistente en declarar la ineficacia del acto jurídico por medio del cual el accionante se trasladó del régimen de prima media con prestación definida al régimen de ahorro individual con solidaridad, correspondiéndole a Porvenir S.A. girar a favor de la Administradora Colombiana de Pensiones la totalidad del capital que se encuentre inmerso en la cuenta de ahorro individual del actor, junto con los rendimientos e intereses financieros que se hayan producido.</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En lo atinente a la devolución de los gastos de administración, baste traer a colación la sentencia SL1688 de 8 de mayo de 2019, en la que la Corte Suprema de Justicia señaló, con apoyo en providencias CSJ SL 31989, 9 sep. 2008, CSJ SL4964-2018, CSJ SL4989-2018 y CSJ SL1421-2019, que otra de las consecuencias prácticas que trae la declaración de ineficacia, es la de la restitución de los gastos de administración con cargo a los recursos propios de la AFP a la Administradora Colombiana de Pensiones, como acertadamente lo ordenó la falladora de primera instancia. </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Adicionalmente, en virtud del grado jurisdiccional de consulta en favor de Colpensiones se dispondrá que le sean restituidos los valores utilizados para el pago de las primas que respaldan la garantía de pensión mínima y las primas de los seguros de invalidez y sobrevivientes, debidamente indexadas, en consideración a que, como es de público conocimiento, el paso del tiempo afecta el valor adquisitivo </w:t>
      </w:r>
      <w:r w:rsidRPr="00C14DE8">
        <w:rPr>
          <w:rFonts w:ascii="Arial" w:hAnsi="Arial" w:cs="Arial"/>
          <w:lang w:eastAsia="es-ES"/>
        </w:rPr>
        <w:lastRenderedPageBreak/>
        <w:t>de la moneda en Colombia; por lo que habrá de modificarse el ordinar tercero de la sentencia de primera instancia en ese sentido.</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De esta manera quedan resueltos los recursos de apelación interpuestos por las entidades accionadas, así como el grado jurisdiccional de consulta dispuesto a favor de Colpensiones.</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Costas en esta sede a cargo de las entidades demandadas en un 100% a favor del demandante y por partes iguales.</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xml:space="preserve">En mérito de lo expuesto, la </w:t>
      </w:r>
      <w:r w:rsidRPr="00C14DE8">
        <w:rPr>
          <w:rFonts w:ascii="Arial" w:hAnsi="Arial" w:cs="Arial"/>
          <w:b/>
          <w:bCs/>
          <w:lang w:eastAsia="es-ES"/>
        </w:rPr>
        <w:t>Sala de Decisión Laboral Nº 3 del Tribunal Superior de Pereira</w:t>
      </w:r>
      <w:r w:rsidRPr="00C14DE8">
        <w:rPr>
          <w:rFonts w:ascii="Arial" w:hAnsi="Arial" w:cs="Arial"/>
          <w:lang w:eastAsia="es-ES"/>
        </w:rPr>
        <w:t>, administrando justicia en nombre de la República y por autoridad de la ley, </w:t>
      </w:r>
      <w:r w:rsidRPr="00C14DE8">
        <w:rPr>
          <w:rFonts w:ascii="Arial" w:hAnsi="Arial" w:cs="Arial"/>
          <w:lang w:val="es-ES" w:eastAsia="es-ES"/>
        </w:rPr>
        <w:t> </w:t>
      </w: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lang w:eastAsia="es-ES"/>
        </w:rPr>
        <w:t> </w:t>
      </w:r>
      <w:r w:rsidRPr="00C14DE8">
        <w:rPr>
          <w:rFonts w:ascii="Arial" w:hAnsi="Arial" w:cs="Arial"/>
          <w:lang w:val="es-ES" w:eastAsia="es-ES"/>
        </w:rPr>
        <w:t> </w:t>
      </w:r>
    </w:p>
    <w:p w:rsidR="00AC271E" w:rsidRPr="00C14DE8" w:rsidRDefault="00AC271E" w:rsidP="00C14DE8">
      <w:pPr>
        <w:spacing w:line="276" w:lineRule="auto"/>
        <w:jc w:val="center"/>
        <w:textAlignment w:val="baseline"/>
        <w:rPr>
          <w:rFonts w:ascii="Arial" w:hAnsi="Arial" w:cs="Arial"/>
          <w:lang w:val="es-ES" w:eastAsia="es-ES"/>
        </w:rPr>
      </w:pPr>
      <w:r w:rsidRPr="00C14DE8">
        <w:rPr>
          <w:rFonts w:ascii="Arial" w:hAnsi="Arial" w:cs="Arial"/>
          <w:b/>
          <w:bCs/>
          <w:lang w:eastAsia="es-ES"/>
        </w:rPr>
        <w:t>RESUELVE</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b/>
          <w:bCs/>
          <w:lang w:val="es-ES"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val="es-ES" w:eastAsia="es-ES"/>
        </w:rPr>
        <w:t xml:space="preserve">PRIMERO. MODIFICAR </w:t>
      </w:r>
      <w:r w:rsidRPr="00C14DE8">
        <w:rPr>
          <w:rFonts w:ascii="Arial" w:hAnsi="Arial" w:cs="Arial"/>
          <w:lang w:val="es-ES" w:eastAsia="es-ES"/>
        </w:rPr>
        <w:t xml:space="preserve">el ordinal TERCERO de la sentencia proferida por el Juzgado Cuarto Laboral del Circuito, en el sentido de </w:t>
      </w:r>
      <w:r w:rsidRPr="00C14DE8">
        <w:rPr>
          <w:rFonts w:ascii="Arial" w:hAnsi="Arial" w:cs="Arial"/>
          <w:b/>
          <w:bCs/>
          <w:lang w:val="es-ES" w:eastAsia="es-ES"/>
        </w:rPr>
        <w:t xml:space="preserve">ORDENAR </w:t>
      </w:r>
      <w:r w:rsidRPr="00C14DE8">
        <w:rPr>
          <w:rFonts w:ascii="Arial" w:hAnsi="Arial" w:cs="Arial"/>
          <w:lang w:val="es-ES" w:eastAsia="es-ES"/>
        </w:rPr>
        <w:t>a la AFP PORVENIR S.A. restituir con cargo a sus propios recursos y con destino a la ADMINSTRADORA COLOMBIANA DE PENSIONES el porcentaje de las cotizaciones hechas por la accionante y que fueron dirigidas a financiar los gastos de administración, las primas que respaldan la garantía de pensión mínima y las primas de los seguros de invalidez y sobrevivientes, debidamente indexadas. </w:t>
      </w:r>
    </w:p>
    <w:p w:rsidR="00C14DE8" w:rsidRDefault="00C14DE8" w:rsidP="00C14DE8">
      <w:pPr>
        <w:spacing w:line="276" w:lineRule="auto"/>
        <w:jc w:val="both"/>
        <w:textAlignment w:val="baseline"/>
        <w:rPr>
          <w:rFonts w:ascii="Arial" w:hAnsi="Arial" w:cs="Arial"/>
          <w:b/>
          <w:bCs/>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t xml:space="preserve">SEGUNDO. CONFIRMAR </w:t>
      </w:r>
      <w:r w:rsidRPr="00C14DE8">
        <w:rPr>
          <w:rFonts w:ascii="Arial" w:hAnsi="Arial" w:cs="Arial"/>
          <w:lang w:eastAsia="es-ES"/>
        </w:rPr>
        <w:t>en todo lo demás la sentencia recurrida y consultada.</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b/>
          <w:bCs/>
          <w:lang w:eastAsia="es-ES"/>
        </w:rPr>
      </w:pPr>
    </w:p>
    <w:p w:rsidR="00AC271E" w:rsidRPr="00C14DE8" w:rsidRDefault="00AC271E" w:rsidP="00C14DE8">
      <w:pPr>
        <w:spacing w:line="276" w:lineRule="auto"/>
        <w:jc w:val="both"/>
        <w:textAlignment w:val="baseline"/>
        <w:rPr>
          <w:rFonts w:ascii="Arial" w:hAnsi="Arial" w:cs="Arial"/>
          <w:lang w:val="es-ES" w:eastAsia="es-ES"/>
        </w:rPr>
      </w:pPr>
      <w:r w:rsidRPr="00C14DE8">
        <w:rPr>
          <w:rFonts w:ascii="Arial" w:hAnsi="Arial" w:cs="Arial"/>
          <w:b/>
          <w:bCs/>
          <w:lang w:eastAsia="es-ES"/>
        </w:rPr>
        <w:t xml:space="preserve">TERCERO. CONDENAR </w:t>
      </w:r>
      <w:r w:rsidRPr="00C14DE8">
        <w:rPr>
          <w:rFonts w:ascii="Arial" w:hAnsi="Arial" w:cs="Arial"/>
          <w:lang w:eastAsia="es-ES"/>
        </w:rPr>
        <w:t>en costas en esta sede a las entidades demandadas en un 100% a favor del demandante y por partes iguales.</w:t>
      </w:r>
      <w:r w:rsidRPr="00C14DE8">
        <w:rPr>
          <w:rFonts w:ascii="Arial" w:hAnsi="Arial" w:cs="Arial"/>
          <w:lang w:val="es-ES" w:eastAsia="es-ES"/>
        </w:rPr>
        <w:t> </w:t>
      </w:r>
    </w:p>
    <w:p w:rsidR="00C14DE8" w:rsidRDefault="00C14DE8" w:rsidP="00C14DE8">
      <w:pPr>
        <w:spacing w:line="276" w:lineRule="auto"/>
        <w:jc w:val="both"/>
        <w:textAlignment w:val="baseline"/>
        <w:rPr>
          <w:rFonts w:ascii="Arial" w:hAnsi="Arial" w:cs="Arial"/>
          <w:lang w:eastAsia="es-ES"/>
        </w:rPr>
      </w:pPr>
    </w:p>
    <w:p w:rsidR="00AC271E" w:rsidRPr="00C14DE8" w:rsidRDefault="00AC271E" w:rsidP="00C14DE8">
      <w:pPr>
        <w:spacing w:line="276" w:lineRule="auto"/>
        <w:jc w:val="both"/>
        <w:textAlignment w:val="baseline"/>
        <w:rPr>
          <w:rFonts w:ascii="Arial" w:hAnsi="Arial" w:cs="Arial"/>
          <w:lang w:eastAsia="es-ES"/>
        </w:rPr>
      </w:pPr>
      <w:r w:rsidRPr="00C14DE8">
        <w:rPr>
          <w:rFonts w:ascii="Arial" w:hAnsi="Arial" w:cs="Arial"/>
          <w:lang w:eastAsia="es-ES"/>
        </w:rPr>
        <w:t xml:space="preserve">Notifíquese, </w:t>
      </w:r>
    </w:p>
    <w:p w:rsidR="00AC271E" w:rsidRPr="00C14DE8" w:rsidRDefault="00AC271E" w:rsidP="00C14DE8">
      <w:pPr>
        <w:spacing w:line="276" w:lineRule="auto"/>
        <w:jc w:val="both"/>
        <w:textAlignment w:val="baseline"/>
        <w:rPr>
          <w:rFonts w:ascii="Arial" w:hAnsi="Arial" w:cs="Arial"/>
          <w:lang w:eastAsia="es-ES"/>
        </w:rPr>
      </w:pPr>
    </w:p>
    <w:p w:rsidR="00C14DE8" w:rsidRPr="001B22F1" w:rsidRDefault="00C14DE8" w:rsidP="00C14DE8">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C14DE8" w:rsidRPr="00E2507A" w:rsidRDefault="00C14DE8" w:rsidP="00C14DE8">
      <w:pPr>
        <w:spacing w:line="276" w:lineRule="auto"/>
        <w:jc w:val="both"/>
        <w:rPr>
          <w:rFonts w:ascii="Arial" w:hAnsi="Arial" w:cs="Arial"/>
          <w:spacing w:val="-4"/>
          <w:lang w:val="es-ES_tradnl" w:eastAsia="es-ES"/>
        </w:rPr>
      </w:pPr>
    </w:p>
    <w:p w:rsidR="00C14DE8" w:rsidRPr="00E2507A" w:rsidRDefault="00C14DE8" w:rsidP="00C14DE8">
      <w:pPr>
        <w:spacing w:line="276" w:lineRule="auto"/>
        <w:jc w:val="both"/>
        <w:rPr>
          <w:rFonts w:ascii="Arial" w:hAnsi="Arial" w:cs="Arial"/>
          <w:spacing w:val="-4"/>
          <w:lang w:val="es-ES_tradnl" w:eastAsia="es-ES"/>
        </w:rPr>
      </w:pPr>
    </w:p>
    <w:p w:rsidR="00C14DE8" w:rsidRPr="00E2507A" w:rsidRDefault="00C14DE8" w:rsidP="00C14DE8">
      <w:pPr>
        <w:widowControl w:val="0"/>
        <w:autoSpaceDE w:val="0"/>
        <w:autoSpaceDN w:val="0"/>
        <w:adjustRightInd w:val="0"/>
        <w:spacing w:line="276" w:lineRule="auto"/>
        <w:rPr>
          <w:rFonts w:ascii="Arial" w:hAnsi="Arial" w:cs="Arial"/>
          <w:b/>
          <w:spacing w:val="-4"/>
          <w:lang w:val="es-ES_tradnl" w:eastAsia="es-ES"/>
        </w:rPr>
      </w:pPr>
    </w:p>
    <w:p w:rsidR="00C14DE8" w:rsidRPr="00E2507A" w:rsidRDefault="00C14DE8" w:rsidP="00C14DE8">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C14DE8" w:rsidRDefault="00C14DE8" w:rsidP="00C14DE8">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C14DE8" w:rsidRPr="00E2507A" w:rsidRDefault="00C14DE8" w:rsidP="00C14DE8">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C14DE8" w:rsidRPr="00E2507A" w:rsidRDefault="00C14DE8" w:rsidP="00C14DE8">
      <w:pPr>
        <w:widowControl w:val="0"/>
        <w:autoSpaceDE w:val="0"/>
        <w:autoSpaceDN w:val="0"/>
        <w:adjustRightInd w:val="0"/>
        <w:spacing w:line="276" w:lineRule="auto"/>
        <w:rPr>
          <w:rFonts w:ascii="Arial" w:hAnsi="Arial" w:cs="Arial"/>
          <w:b/>
          <w:spacing w:val="-4"/>
          <w:lang w:val="es-ES_tradnl" w:eastAsia="es-ES"/>
        </w:rPr>
      </w:pPr>
    </w:p>
    <w:p w:rsidR="00C14DE8" w:rsidRPr="00E2507A" w:rsidRDefault="00C14DE8" w:rsidP="00C14DE8">
      <w:pPr>
        <w:widowControl w:val="0"/>
        <w:autoSpaceDE w:val="0"/>
        <w:autoSpaceDN w:val="0"/>
        <w:adjustRightInd w:val="0"/>
        <w:spacing w:line="276" w:lineRule="auto"/>
        <w:rPr>
          <w:rFonts w:ascii="Arial" w:hAnsi="Arial" w:cs="Arial"/>
          <w:spacing w:val="-4"/>
          <w:lang w:val="es-ES_tradnl" w:eastAsia="es-ES"/>
        </w:rPr>
      </w:pPr>
    </w:p>
    <w:p w:rsidR="00C14DE8" w:rsidRPr="00E2507A" w:rsidRDefault="00C14DE8" w:rsidP="00C14DE8">
      <w:pPr>
        <w:widowControl w:val="0"/>
        <w:autoSpaceDE w:val="0"/>
        <w:autoSpaceDN w:val="0"/>
        <w:adjustRightInd w:val="0"/>
        <w:spacing w:line="276" w:lineRule="auto"/>
        <w:rPr>
          <w:rFonts w:ascii="Arial" w:hAnsi="Arial" w:cs="Arial"/>
          <w:spacing w:val="-4"/>
          <w:lang w:val="es-ES_tradnl" w:eastAsia="es-ES"/>
        </w:rPr>
      </w:pPr>
    </w:p>
    <w:p w:rsidR="00C14DE8" w:rsidRPr="00E2507A" w:rsidRDefault="00C14DE8" w:rsidP="00C14DE8">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B72FF6" w:rsidRDefault="00C14DE8" w:rsidP="00C14DE8">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9A10B6" w:rsidRDefault="009A10B6" w:rsidP="00C14DE8">
      <w:pPr>
        <w:widowControl w:val="0"/>
        <w:autoSpaceDE w:val="0"/>
        <w:autoSpaceDN w:val="0"/>
        <w:adjustRightInd w:val="0"/>
        <w:spacing w:line="276" w:lineRule="auto"/>
        <w:rPr>
          <w:rFonts w:ascii="Arial" w:hAnsi="Arial" w:cs="Arial"/>
          <w:bCs/>
          <w:spacing w:val="-4"/>
          <w:lang w:val="es-ES_tradnl" w:eastAsia="es-ES"/>
        </w:rPr>
      </w:pPr>
    </w:p>
    <w:p w:rsidR="009A10B6" w:rsidRDefault="009A10B6">
      <w:pPr>
        <w:rPr>
          <w:rFonts w:ascii="Arial" w:hAnsi="Arial" w:cs="Arial"/>
          <w:bCs/>
          <w:spacing w:val="-4"/>
          <w:lang w:val="es-ES_tradnl" w:eastAsia="es-ES"/>
        </w:rPr>
      </w:pPr>
      <w:r>
        <w:rPr>
          <w:rFonts w:ascii="Arial" w:hAnsi="Arial" w:cs="Arial"/>
          <w:bCs/>
          <w:spacing w:val="-4"/>
          <w:lang w:val="es-ES_tradnl" w:eastAsia="es-ES"/>
        </w:rPr>
        <w:br w:type="page"/>
      </w:r>
    </w:p>
    <w:p w:rsidR="009A10B6" w:rsidRDefault="009A10B6" w:rsidP="009A10B6">
      <w:pPr>
        <w:rPr>
          <w:rFonts w:ascii="Arial" w:hAnsi="Arial" w:cs="Arial"/>
          <w:spacing w:val="2"/>
          <w:sz w:val="20"/>
          <w:szCs w:val="20"/>
          <w:lang w:val="es-ES" w:eastAsia="es-ES"/>
        </w:rPr>
      </w:pPr>
    </w:p>
    <w:p w:rsidR="009A10B6" w:rsidRPr="00527174" w:rsidRDefault="009A10B6" w:rsidP="009A10B6">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t>Radicación Nro.:</w:t>
      </w:r>
      <w:r w:rsidRPr="00527174">
        <w:rPr>
          <w:rFonts w:ascii="Arial" w:hAnsi="Arial" w:cs="Arial"/>
          <w:spacing w:val="2"/>
          <w:sz w:val="20"/>
          <w:szCs w:val="20"/>
          <w:lang w:val="es-ES" w:eastAsia="es-ES"/>
        </w:rPr>
        <w:tab/>
      </w:r>
      <w:r w:rsidRPr="009A10B6">
        <w:rPr>
          <w:rFonts w:ascii="Arial" w:eastAsia="Calibri" w:hAnsi="Arial" w:cs="Arial"/>
          <w:color w:val="000000"/>
          <w:sz w:val="20"/>
          <w:szCs w:val="20"/>
          <w:lang w:val="es-ES" w:eastAsia="es-ES"/>
        </w:rPr>
        <w:t>66001-31-05-001-2018-00052</w:t>
      </w:r>
      <w:r w:rsidRPr="00527174">
        <w:rPr>
          <w:rFonts w:ascii="Arial" w:eastAsia="Calibri" w:hAnsi="Arial" w:cs="Arial"/>
          <w:color w:val="000000"/>
          <w:sz w:val="20"/>
          <w:szCs w:val="20"/>
          <w:lang w:val="es-ES" w:eastAsia="es-ES"/>
        </w:rPr>
        <w:t>-01</w:t>
      </w:r>
    </w:p>
    <w:p w:rsidR="009A10B6" w:rsidRPr="00527174" w:rsidRDefault="009A10B6" w:rsidP="009A10B6">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9A10B6" w:rsidRPr="00527174" w:rsidRDefault="009A10B6" w:rsidP="009A10B6">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9A10B6">
        <w:rPr>
          <w:rFonts w:ascii="Arial" w:eastAsia="Calibri" w:hAnsi="Arial" w:cs="Arial"/>
          <w:color w:val="000000"/>
          <w:sz w:val="20"/>
          <w:szCs w:val="20"/>
          <w:lang w:val="es-ES" w:eastAsia="es-ES"/>
        </w:rPr>
        <w:t>Rafael Ángel Rodríguez Zapata</w:t>
      </w:r>
    </w:p>
    <w:p w:rsidR="009A10B6" w:rsidRPr="00527174" w:rsidRDefault="009A10B6" w:rsidP="009A10B6">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Pr>
          <w:rFonts w:ascii="Arial" w:eastAsia="Arial" w:hAnsi="Arial" w:cs="Arial"/>
          <w:spacing w:val="2"/>
          <w:sz w:val="20"/>
          <w:szCs w:val="20"/>
          <w:lang w:val="es-ES" w:eastAsia="es-ES"/>
        </w:rPr>
        <w:t>Colpensiones</w:t>
      </w:r>
      <w:r w:rsidRPr="00527174">
        <w:rPr>
          <w:rFonts w:ascii="Arial" w:eastAsia="Arial" w:hAnsi="Arial" w:cs="Arial"/>
          <w:spacing w:val="2"/>
          <w:sz w:val="20"/>
          <w:szCs w:val="20"/>
          <w:lang w:eastAsia="es-ES"/>
        </w:rPr>
        <w:t xml:space="preserve"> y otros </w:t>
      </w:r>
    </w:p>
    <w:p w:rsidR="009A10B6" w:rsidRPr="00527174" w:rsidRDefault="009A10B6" w:rsidP="009A10B6">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9A10B6" w:rsidRPr="00527174" w:rsidRDefault="009A10B6" w:rsidP="009A10B6">
      <w:pPr>
        <w:keepNext/>
        <w:jc w:val="both"/>
        <w:outlineLvl w:val="2"/>
        <w:rPr>
          <w:rFonts w:ascii="Arial" w:hAnsi="Arial" w:cs="Arial"/>
          <w:b/>
          <w:lang w:val="es-ES_tradnl" w:eastAsia="es-ES"/>
        </w:rPr>
      </w:pPr>
    </w:p>
    <w:p w:rsidR="009A10B6" w:rsidRPr="00527174" w:rsidRDefault="009A10B6" w:rsidP="009A10B6">
      <w:pPr>
        <w:keepNext/>
        <w:jc w:val="both"/>
        <w:outlineLvl w:val="2"/>
        <w:rPr>
          <w:rFonts w:ascii="Arial" w:hAnsi="Arial" w:cs="Arial"/>
          <w:b/>
          <w:lang w:val="es-ES_tradnl" w:eastAsia="es-ES"/>
        </w:rPr>
      </w:pPr>
    </w:p>
    <w:p w:rsidR="009A10B6" w:rsidRPr="00527174" w:rsidRDefault="009A10B6" w:rsidP="009A10B6">
      <w:pPr>
        <w:keepNext/>
        <w:jc w:val="both"/>
        <w:outlineLvl w:val="2"/>
        <w:rPr>
          <w:rFonts w:ascii="Arial" w:hAnsi="Arial" w:cs="Arial"/>
          <w:b/>
          <w:lang w:val="es-ES_tradnl" w:eastAsia="es-ES"/>
        </w:rPr>
      </w:pPr>
    </w:p>
    <w:p w:rsidR="009A10B6" w:rsidRPr="00527174" w:rsidRDefault="009A10B6" w:rsidP="009A10B6">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9A10B6" w:rsidRPr="00527174" w:rsidRDefault="009A10B6" w:rsidP="009A10B6">
      <w:pPr>
        <w:spacing w:line="276" w:lineRule="auto"/>
        <w:jc w:val="center"/>
        <w:rPr>
          <w:rFonts w:ascii="Arial" w:eastAsia="Calibri" w:hAnsi="Arial" w:cs="Arial"/>
          <w:b/>
        </w:rPr>
      </w:pPr>
    </w:p>
    <w:p w:rsidR="009A10B6" w:rsidRPr="00527174" w:rsidRDefault="009A10B6" w:rsidP="009A10B6">
      <w:pPr>
        <w:spacing w:line="276" w:lineRule="auto"/>
        <w:jc w:val="center"/>
        <w:rPr>
          <w:rFonts w:ascii="Arial" w:eastAsia="Calibri" w:hAnsi="Arial" w:cs="Arial"/>
          <w:b/>
        </w:rPr>
      </w:pPr>
      <w:r w:rsidRPr="00527174">
        <w:rPr>
          <w:rFonts w:ascii="Arial" w:eastAsia="Calibri" w:hAnsi="Arial" w:cs="Arial"/>
          <w:b/>
        </w:rPr>
        <w:t>SALA LABORAL</w:t>
      </w:r>
    </w:p>
    <w:p w:rsidR="009A10B6" w:rsidRPr="00527174" w:rsidRDefault="009A10B6" w:rsidP="009A10B6">
      <w:pPr>
        <w:spacing w:line="276" w:lineRule="auto"/>
        <w:jc w:val="center"/>
        <w:rPr>
          <w:rFonts w:ascii="Arial" w:hAnsi="Arial" w:cs="Arial"/>
          <w:b/>
          <w:lang w:val="es-ES_tradnl" w:eastAsia="es-ES"/>
        </w:rPr>
      </w:pPr>
    </w:p>
    <w:p w:rsidR="009A10B6" w:rsidRPr="00527174" w:rsidRDefault="009A10B6" w:rsidP="009A10B6">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9A10B6" w:rsidRPr="00527174" w:rsidRDefault="009A10B6" w:rsidP="009A10B6">
      <w:pPr>
        <w:spacing w:line="276" w:lineRule="auto"/>
        <w:jc w:val="center"/>
        <w:rPr>
          <w:rFonts w:ascii="Arial" w:hAnsi="Arial" w:cs="Arial"/>
          <w:b/>
          <w:lang w:val="es-ES_tradnl" w:eastAsia="es-ES"/>
        </w:rPr>
      </w:pPr>
    </w:p>
    <w:p w:rsidR="009A10B6" w:rsidRPr="00527174" w:rsidRDefault="009A10B6" w:rsidP="009A10B6">
      <w:pPr>
        <w:spacing w:line="276" w:lineRule="auto"/>
        <w:jc w:val="center"/>
        <w:rPr>
          <w:rFonts w:ascii="Arial" w:hAnsi="Arial" w:cs="Arial"/>
          <w:bCs/>
          <w:lang w:val="es-ES" w:eastAsia="es-ES"/>
        </w:rPr>
      </w:pPr>
      <w:r w:rsidRPr="00527174">
        <w:rPr>
          <w:rFonts w:ascii="Arial" w:hAnsi="Arial" w:cs="Arial"/>
          <w:bCs/>
          <w:lang w:val="es-ES" w:eastAsia="es-ES"/>
        </w:rPr>
        <w:t>Agosto 11 de 2020</w:t>
      </w:r>
    </w:p>
    <w:p w:rsidR="009A10B6" w:rsidRPr="00527174" w:rsidRDefault="009A10B6" w:rsidP="009A10B6">
      <w:pPr>
        <w:spacing w:line="276" w:lineRule="auto"/>
        <w:jc w:val="center"/>
        <w:rPr>
          <w:rFonts w:ascii="Arial" w:hAnsi="Arial" w:cs="Arial"/>
          <w:b/>
          <w:lang w:val="es-ES_tradnl" w:eastAsia="es-ES"/>
        </w:rPr>
      </w:pPr>
    </w:p>
    <w:p w:rsidR="009A10B6" w:rsidRPr="00527174" w:rsidRDefault="009A10B6" w:rsidP="009A10B6">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9A10B6" w:rsidRPr="00527174" w:rsidRDefault="009A10B6" w:rsidP="009A10B6">
      <w:pPr>
        <w:suppressAutoHyphens/>
        <w:spacing w:line="276" w:lineRule="auto"/>
        <w:jc w:val="both"/>
        <w:rPr>
          <w:rFonts w:ascii="Arial" w:hAnsi="Arial" w:cs="Arial"/>
          <w:lang w:val="es-ES_tradnl" w:eastAsia="es-ES"/>
        </w:rPr>
      </w:pPr>
    </w:p>
    <w:p w:rsidR="009A10B6" w:rsidRPr="00527174" w:rsidRDefault="009A10B6" w:rsidP="009A10B6">
      <w:pPr>
        <w:suppressAutoHyphens/>
        <w:spacing w:line="276" w:lineRule="auto"/>
        <w:jc w:val="both"/>
        <w:rPr>
          <w:rFonts w:ascii="Arial" w:hAnsi="Arial" w:cs="Arial"/>
          <w:lang w:val="es-ES" w:eastAsia="es-ES"/>
        </w:rPr>
      </w:pPr>
    </w:p>
    <w:p w:rsidR="009A10B6" w:rsidRPr="00527174" w:rsidRDefault="009A10B6" w:rsidP="009A10B6">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9A10B6" w:rsidRPr="00527174" w:rsidRDefault="009A10B6" w:rsidP="009A10B6">
      <w:pPr>
        <w:spacing w:line="276" w:lineRule="auto"/>
        <w:jc w:val="both"/>
        <w:rPr>
          <w:rFonts w:ascii="Arial" w:hAnsi="Arial" w:cs="Arial"/>
          <w:lang w:val="es-ES" w:eastAsia="es-ES"/>
        </w:rPr>
      </w:pPr>
    </w:p>
    <w:p w:rsidR="009A10B6" w:rsidRPr="00527174" w:rsidRDefault="009A10B6" w:rsidP="009A10B6">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9A10B6" w:rsidRPr="00527174" w:rsidRDefault="009A10B6" w:rsidP="009A10B6">
      <w:pPr>
        <w:spacing w:line="276" w:lineRule="auto"/>
        <w:jc w:val="both"/>
        <w:rPr>
          <w:rFonts w:ascii="Arial" w:hAnsi="Arial" w:cs="Arial"/>
          <w:lang w:val="es-ES" w:eastAsia="es-ES"/>
        </w:rPr>
      </w:pPr>
    </w:p>
    <w:p w:rsidR="009A10B6" w:rsidRPr="00527174" w:rsidRDefault="009A10B6" w:rsidP="009A10B6">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9A10B6" w:rsidRPr="00527174" w:rsidRDefault="009A10B6" w:rsidP="009A10B6">
      <w:pPr>
        <w:spacing w:line="276" w:lineRule="auto"/>
        <w:jc w:val="both"/>
        <w:rPr>
          <w:rFonts w:ascii="Arial" w:hAnsi="Arial" w:cs="Arial"/>
          <w:lang w:val="es-ES" w:eastAsia="es-ES"/>
        </w:rPr>
      </w:pPr>
    </w:p>
    <w:p w:rsidR="009A10B6" w:rsidRPr="00527174" w:rsidRDefault="009A10B6" w:rsidP="009A10B6">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w:t>
      </w:r>
      <w:r>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056AF0"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9A10B6" w:rsidRPr="00527174" w:rsidRDefault="009A10B6" w:rsidP="009A10B6">
      <w:pPr>
        <w:suppressAutoHyphens/>
        <w:ind w:left="426" w:right="420"/>
        <w:jc w:val="both"/>
        <w:rPr>
          <w:rFonts w:ascii="Arial" w:hAnsi="Arial" w:cs="Arial"/>
          <w:spacing w:val="-2"/>
          <w:sz w:val="22"/>
          <w:lang w:val="es-ES" w:eastAsia="es-ES"/>
        </w:rPr>
      </w:pPr>
    </w:p>
    <w:p w:rsidR="009A10B6" w:rsidRPr="00527174" w:rsidRDefault="009A10B6" w:rsidP="009A10B6">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9A10B6" w:rsidRPr="00527174" w:rsidRDefault="009A10B6" w:rsidP="009A10B6">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9A10B6" w:rsidRPr="00527174" w:rsidRDefault="009A10B6" w:rsidP="009A10B6">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9A10B6" w:rsidRPr="00527174" w:rsidRDefault="009A10B6" w:rsidP="009A10B6">
      <w:pPr>
        <w:suppressAutoHyphens/>
        <w:spacing w:line="276" w:lineRule="auto"/>
        <w:jc w:val="both"/>
        <w:rPr>
          <w:rFonts w:ascii="Arial" w:hAnsi="Arial" w:cs="Arial"/>
          <w:b/>
          <w:spacing w:val="-2"/>
          <w:lang w:val="es-ES_tradnl" w:eastAsia="es-ES"/>
        </w:rPr>
      </w:pPr>
    </w:p>
    <w:p w:rsidR="009A10B6" w:rsidRPr="00527174" w:rsidRDefault="009A10B6" w:rsidP="009A10B6">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9A10B6" w:rsidRPr="00527174" w:rsidRDefault="009A10B6" w:rsidP="009A10B6">
      <w:pPr>
        <w:suppressAutoHyphens/>
        <w:spacing w:line="276" w:lineRule="auto"/>
        <w:jc w:val="both"/>
        <w:rPr>
          <w:rFonts w:ascii="Arial" w:hAnsi="Arial" w:cs="Arial"/>
          <w:iCs/>
          <w:lang w:val="es-ES_tradnl" w:eastAsia="es-ES"/>
        </w:rPr>
      </w:pPr>
    </w:p>
    <w:p w:rsidR="009A10B6" w:rsidRPr="00527174" w:rsidRDefault="009A10B6" w:rsidP="009A10B6">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9A10B6" w:rsidRPr="00527174" w:rsidRDefault="009A10B6" w:rsidP="009A10B6">
      <w:pPr>
        <w:suppressAutoHyphens/>
        <w:spacing w:line="276" w:lineRule="auto"/>
        <w:ind w:left="720"/>
        <w:jc w:val="both"/>
        <w:rPr>
          <w:rFonts w:ascii="Arial" w:hAnsi="Arial" w:cs="Arial"/>
          <w:iCs/>
          <w:lang w:val="es-ES_tradnl" w:eastAsia="es-ES"/>
        </w:rPr>
      </w:pPr>
    </w:p>
    <w:p w:rsidR="009A10B6" w:rsidRPr="00527174" w:rsidRDefault="009A10B6" w:rsidP="009A10B6">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056AF0">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056AF0">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9A10B6" w:rsidRPr="00527174" w:rsidRDefault="009A10B6" w:rsidP="009A10B6">
      <w:pPr>
        <w:suppressAutoHyphens/>
        <w:spacing w:line="276" w:lineRule="auto"/>
        <w:jc w:val="both"/>
        <w:rPr>
          <w:rFonts w:ascii="Arial" w:hAnsi="Arial" w:cs="Arial"/>
          <w:i/>
          <w:iCs/>
          <w:lang w:val="es-ES_tradnl" w:eastAsia="es-ES"/>
        </w:rPr>
      </w:pPr>
    </w:p>
    <w:p w:rsidR="009A10B6" w:rsidRPr="00527174" w:rsidRDefault="009A10B6" w:rsidP="009A10B6">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9A10B6" w:rsidRPr="00527174" w:rsidRDefault="009A10B6" w:rsidP="009A10B6">
      <w:pPr>
        <w:suppressAutoHyphens/>
        <w:spacing w:line="276" w:lineRule="auto"/>
        <w:jc w:val="both"/>
        <w:rPr>
          <w:rFonts w:ascii="Arial" w:hAnsi="Arial" w:cs="Arial"/>
          <w:i/>
          <w:iCs/>
          <w:lang w:val="es-ES_tradnl" w:eastAsia="es-ES"/>
        </w:rPr>
      </w:pPr>
    </w:p>
    <w:p w:rsidR="009A10B6" w:rsidRPr="00527174" w:rsidRDefault="009A10B6" w:rsidP="009A10B6">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9A10B6" w:rsidRPr="00527174" w:rsidRDefault="009A10B6" w:rsidP="009A10B6">
      <w:pPr>
        <w:suppressAutoHyphens/>
        <w:spacing w:line="276" w:lineRule="auto"/>
        <w:jc w:val="both"/>
        <w:rPr>
          <w:rFonts w:ascii="Arial" w:hAnsi="Arial" w:cs="Arial"/>
          <w:i/>
          <w:iCs/>
          <w:lang w:val="es-ES_tradnl" w:eastAsia="es-ES"/>
        </w:rPr>
      </w:pPr>
    </w:p>
    <w:p w:rsidR="009A10B6" w:rsidRPr="00527174" w:rsidRDefault="009A10B6" w:rsidP="009A10B6">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9A10B6" w:rsidRPr="00527174" w:rsidRDefault="009A10B6" w:rsidP="009A10B6">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9A10B6" w:rsidRPr="00527174" w:rsidRDefault="009A10B6" w:rsidP="009A10B6">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9A10B6" w:rsidRDefault="009A10B6" w:rsidP="009A10B6">
      <w:pPr>
        <w:suppressAutoHyphens/>
        <w:spacing w:line="276" w:lineRule="auto"/>
        <w:jc w:val="both"/>
        <w:rPr>
          <w:rFonts w:ascii="Arial" w:hAnsi="Arial" w:cs="Arial"/>
          <w:spacing w:val="-2"/>
          <w:lang w:val="es-ES" w:eastAsia="es-ES"/>
        </w:rPr>
      </w:pPr>
    </w:p>
    <w:p w:rsidR="009A10B6" w:rsidRPr="00527174" w:rsidRDefault="009A10B6" w:rsidP="009A10B6">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9A10B6" w:rsidRPr="00527174" w:rsidRDefault="009A10B6" w:rsidP="009A10B6">
      <w:pPr>
        <w:suppressAutoHyphens/>
        <w:spacing w:line="276" w:lineRule="auto"/>
        <w:jc w:val="both"/>
        <w:rPr>
          <w:rFonts w:ascii="Arial" w:hAnsi="Arial" w:cs="Arial"/>
          <w:spacing w:val="-2"/>
          <w:lang w:val="es-ES" w:eastAsia="es-ES"/>
        </w:rPr>
      </w:pPr>
    </w:p>
    <w:p w:rsidR="009A10B6" w:rsidRDefault="009A10B6" w:rsidP="009A10B6">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9A10B6" w:rsidRPr="00527174" w:rsidRDefault="009A10B6" w:rsidP="009A10B6">
      <w:pPr>
        <w:suppressAutoHyphens/>
        <w:spacing w:line="276" w:lineRule="auto"/>
        <w:ind w:left="360"/>
        <w:jc w:val="both"/>
        <w:rPr>
          <w:rFonts w:ascii="Arial" w:hAnsi="Arial" w:cs="Arial"/>
          <w:spacing w:val="-2"/>
          <w:lang w:val="es-ES_tradnl" w:eastAsia="es-ES"/>
        </w:rPr>
      </w:pPr>
    </w:p>
    <w:p w:rsidR="009A10B6" w:rsidRDefault="009A10B6" w:rsidP="009A10B6">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9A10B6" w:rsidRPr="00527174" w:rsidRDefault="009A10B6" w:rsidP="009A10B6">
      <w:pPr>
        <w:suppressAutoHyphens/>
        <w:spacing w:line="276" w:lineRule="auto"/>
        <w:ind w:left="360"/>
        <w:jc w:val="both"/>
        <w:rPr>
          <w:rFonts w:ascii="Arial" w:hAnsi="Arial" w:cs="Arial"/>
          <w:spacing w:val="-2"/>
          <w:lang w:val="es-ES_tradnl" w:eastAsia="es-ES"/>
        </w:rPr>
      </w:pPr>
    </w:p>
    <w:p w:rsidR="009A10B6" w:rsidRDefault="009A10B6" w:rsidP="009A10B6">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9A10B6" w:rsidRPr="00527174" w:rsidRDefault="009A10B6" w:rsidP="009A10B6">
      <w:pPr>
        <w:suppressAutoHyphens/>
        <w:spacing w:line="276" w:lineRule="auto"/>
        <w:jc w:val="both"/>
        <w:rPr>
          <w:rFonts w:ascii="Arial" w:hAnsi="Arial" w:cs="Arial"/>
          <w:b/>
          <w:bCs/>
          <w:spacing w:val="-2"/>
          <w:lang w:val="es-ES" w:eastAsia="es-ES"/>
        </w:rPr>
      </w:pPr>
    </w:p>
    <w:p w:rsidR="009A10B6" w:rsidRDefault="009A10B6" w:rsidP="009A10B6">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9A10B6" w:rsidRPr="00527174" w:rsidRDefault="009A10B6" w:rsidP="009A10B6">
      <w:pPr>
        <w:suppressAutoHyphens/>
        <w:spacing w:line="276" w:lineRule="auto"/>
        <w:jc w:val="both"/>
        <w:rPr>
          <w:rFonts w:ascii="Arial" w:hAnsi="Arial" w:cs="Arial"/>
          <w:b/>
          <w:bCs/>
          <w:spacing w:val="-2"/>
          <w:lang w:val="es-ES" w:eastAsia="es-ES"/>
        </w:rPr>
      </w:pPr>
    </w:p>
    <w:p w:rsidR="009A10B6" w:rsidRPr="00527174" w:rsidRDefault="009A10B6" w:rsidP="009A10B6">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bookmarkStart w:id="1" w:name="_GoBack"/>
      <w:r w:rsidRPr="00056AF0">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bookmarkEnd w:id="1"/>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 xml:space="preserve">previsto en artículos  13 literal b y 271 de la ley 100 de 1993 pues es inherente a su creación el otorgarles la posibilidad de promocionar el nuevo sistema cuya gestión les fue encargada. </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9A10B6" w:rsidRPr="00527174" w:rsidRDefault="009A10B6" w:rsidP="009A10B6">
      <w:pPr>
        <w:suppressAutoHyphens/>
        <w:spacing w:line="276" w:lineRule="auto"/>
        <w:jc w:val="both"/>
        <w:rPr>
          <w:rFonts w:ascii="Arial" w:hAnsi="Arial" w:cs="Arial"/>
          <w:b/>
          <w:spacing w:val="-2"/>
          <w:lang w:val="es-ES_tradnl" w:eastAsia="es-ES"/>
        </w:rPr>
      </w:pPr>
    </w:p>
    <w:p w:rsidR="009A10B6" w:rsidRPr="00527174" w:rsidRDefault="009A10B6" w:rsidP="009A10B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9A10B6" w:rsidRPr="00527174" w:rsidRDefault="009A10B6" w:rsidP="009A10B6">
      <w:pPr>
        <w:suppressAutoHyphens/>
        <w:spacing w:line="276" w:lineRule="auto"/>
        <w:jc w:val="both"/>
        <w:rPr>
          <w:rFonts w:ascii="Arial" w:hAnsi="Arial" w:cs="Arial"/>
          <w:b/>
          <w:bCs/>
          <w:spacing w:val="-2"/>
          <w:lang w:val="es-ES" w:eastAsia="es-ES"/>
        </w:rPr>
      </w:pPr>
    </w:p>
    <w:p w:rsidR="009A10B6" w:rsidRPr="00527174" w:rsidRDefault="009A10B6" w:rsidP="009A10B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9A10B6" w:rsidRPr="00527174" w:rsidRDefault="009A10B6" w:rsidP="009A10B6">
      <w:pPr>
        <w:suppressAutoHyphens/>
        <w:spacing w:line="276" w:lineRule="auto"/>
        <w:jc w:val="both"/>
        <w:rPr>
          <w:rFonts w:ascii="Arial" w:hAnsi="Arial" w:cs="Arial"/>
          <w:b/>
          <w:bCs/>
          <w:spacing w:val="-2"/>
          <w:lang w:val="es-ES" w:eastAsia="es-ES"/>
        </w:rPr>
      </w:pPr>
    </w:p>
    <w:p w:rsidR="009A10B6" w:rsidRPr="00527174" w:rsidRDefault="009A10B6" w:rsidP="009A10B6">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9A10B6" w:rsidRPr="00527174" w:rsidRDefault="009A10B6" w:rsidP="009A10B6">
      <w:pPr>
        <w:suppressAutoHyphens/>
        <w:ind w:left="426" w:right="420"/>
        <w:jc w:val="both"/>
        <w:rPr>
          <w:rFonts w:ascii="Arial" w:hAnsi="Arial" w:cs="Arial"/>
          <w:spacing w:val="-2"/>
          <w:sz w:val="22"/>
          <w:lang w:val="es-ES_tradnl" w:eastAsia="es-ES"/>
        </w:rPr>
      </w:pPr>
    </w:p>
    <w:p w:rsidR="009A10B6" w:rsidRPr="00527174" w:rsidRDefault="009A10B6" w:rsidP="009A10B6">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9A10B6" w:rsidRPr="00527174" w:rsidRDefault="009A10B6" w:rsidP="009A10B6">
      <w:pPr>
        <w:suppressAutoHyphens/>
        <w:spacing w:line="276" w:lineRule="auto"/>
        <w:jc w:val="both"/>
        <w:rPr>
          <w:rFonts w:ascii="Arial" w:hAnsi="Arial" w:cs="Arial"/>
          <w:b/>
          <w:bCs/>
          <w:spacing w:val="-2"/>
          <w:lang w:val="es-ES" w:eastAsia="es-ES"/>
        </w:rPr>
      </w:pPr>
    </w:p>
    <w:p w:rsidR="009A10B6" w:rsidRPr="00527174" w:rsidRDefault="009A10B6" w:rsidP="009A10B6">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9A10B6" w:rsidRPr="00527174" w:rsidRDefault="009A10B6" w:rsidP="009A10B6">
      <w:pPr>
        <w:suppressAutoHyphens/>
        <w:spacing w:line="276" w:lineRule="auto"/>
        <w:jc w:val="both"/>
        <w:rPr>
          <w:rFonts w:ascii="Arial" w:hAnsi="Arial" w:cs="Arial"/>
          <w:iCs/>
          <w:spacing w:val="-2"/>
          <w:lang w:val="es-ES_tradnl" w:eastAsia="es-ES"/>
        </w:rPr>
      </w:pPr>
    </w:p>
    <w:p w:rsidR="009A10B6" w:rsidRPr="00527174" w:rsidRDefault="009A10B6" w:rsidP="009A10B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9A10B6" w:rsidRPr="00527174" w:rsidRDefault="009A10B6" w:rsidP="009A10B6">
      <w:pPr>
        <w:suppressAutoHyphens/>
        <w:spacing w:line="276" w:lineRule="auto"/>
        <w:jc w:val="both"/>
        <w:rPr>
          <w:rFonts w:ascii="Arial" w:hAnsi="Arial" w:cs="Arial"/>
          <w:iCs/>
          <w:spacing w:val="-2"/>
          <w:lang w:val="es-ES_tradnl" w:eastAsia="es-ES"/>
        </w:rPr>
      </w:pPr>
    </w:p>
    <w:p w:rsidR="009A10B6" w:rsidRPr="00527174" w:rsidRDefault="009A10B6" w:rsidP="009A10B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9A10B6" w:rsidRPr="00527174" w:rsidRDefault="009A10B6" w:rsidP="009A10B6">
      <w:pPr>
        <w:suppressAutoHyphens/>
        <w:spacing w:line="276" w:lineRule="auto"/>
        <w:jc w:val="both"/>
        <w:rPr>
          <w:rFonts w:ascii="Arial" w:hAnsi="Arial" w:cs="Arial"/>
          <w:iCs/>
          <w:spacing w:val="-2"/>
          <w:lang w:val="es-ES_tradnl" w:eastAsia="es-ES"/>
        </w:rPr>
      </w:pPr>
    </w:p>
    <w:p w:rsidR="009A10B6" w:rsidRPr="00527174" w:rsidRDefault="009A10B6" w:rsidP="009A10B6">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9A10B6" w:rsidRPr="00527174" w:rsidRDefault="009A10B6" w:rsidP="009A10B6">
      <w:pPr>
        <w:suppressAutoHyphens/>
        <w:spacing w:line="276" w:lineRule="auto"/>
        <w:jc w:val="both"/>
        <w:rPr>
          <w:rFonts w:ascii="Arial" w:hAnsi="Arial" w:cs="Arial"/>
          <w:iCs/>
          <w:spacing w:val="-2"/>
          <w:lang w:val="es-ES_tradnl" w:eastAsia="es-ES"/>
        </w:rPr>
      </w:pPr>
    </w:p>
    <w:p w:rsidR="009A10B6" w:rsidRPr="00527174" w:rsidRDefault="009A10B6" w:rsidP="009A10B6">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9A10B6" w:rsidRPr="00527174" w:rsidRDefault="009A10B6" w:rsidP="009A10B6">
      <w:pPr>
        <w:suppressAutoHyphens/>
        <w:spacing w:line="276" w:lineRule="auto"/>
        <w:jc w:val="both"/>
        <w:rPr>
          <w:rFonts w:ascii="Arial" w:hAnsi="Arial" w:cs="Arial"/>
          <w:iCs/>
          <w:spacing w:val="-2"/>
          <w:lang w:val="es-ES_tradnl" w:eastAsia="es-ES"/>
        </w:rPr>
      </w:pPr>
    </w:p>
    <w:p w:rsidR="009A10B6" w:rsidRPr="00527174" w:rsidRDefault="009A10B6" w:rsidP="009A10B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9A10B6" w:rsidRPr="00527174" w:rsidRDefault="009A10B6" w:rsidP="009A10B6">
      <w:pPr>
        <w:suppressAutoHyphens/>
        <w:spacing w:line="276" w:lineRule="auto"/>
        <w:jc w:val="both"/>
        <w:rPr>
          <w:rFonts w:ascii="Arial" w:hAnsi="Arial" w:cs="Arial"/>
          <w:b/>
          <w:iCs/>
          <w:spacing w:val="-2"/>
          <w:lang w:val="es-ES_tradnl" w:eastAsia="es-ES"/>
        </w:rPr>
      </w:pPr>
    </w:p>
    <w:p w:rsidR="009A10B6" w:rsidRPr="00527174" w:rsidRDefault="009A10B6" w:rsidP="009A10B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9A10B6" w:rsidRPr="00527174" w:rsidRDefault="009A10B6" w:rsidP="009A10B6">
      <w:pPr>
        <w:suppressAutoHyphens/>
        <w:spacing w:line="276" w:lineRule="auto"/>
        <w:jc w:val="both"/>
        <w:rPr>
          <w:rFonts w:ascii="Arial" w:hAnsi="Arial" w:cs="Arial"/>
          <w:iCs/>
          <w:spacing w:val="-2"/>
          <w:lang w:val="es-ES_tradnl" w:eastAsia="es-ES"/>
        </w:rPr>
      </w:pPr>
    </w:p>
    <w:p w:rsidR="009A10B6" w:rsidRPr="00527174" w:rsidRDefault="009A10B6" w:rsidP="009A10B6">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9A10B6" w:rsidRPr="00527174" w:rsidRDefault="009A10B6" w:rsidP="009A10B6">
      <w:pPr>
        <w:suppressAutoHyphens/>
        <w:spacing w:line="276" w:lineRule="auto"/>
        <w:jc w:val="both"/>
        <w:rPr>
          <w:rFonts w:ascii="Arial" w:hAnsi="Arial" w:cs="Arial"/>
          <w:b/>
          <w:iCs/>
          <w:spacing w:val="-2"/>
          <w:lang w:val="es-ES_tradnl" w:eastAsia="es-ES"/>
        </w:rPr>
      </w:pPr>
    </w:p>
    <w:p w:rsidR="009A10B6" w:rsidRPr="00527174" w:rsidRDefault="009A10B6" w:rsidP="009A10B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9A10B6" w:rsidRPr="00527174" w:rsidRDefault="009A10B6" w:rsidP="009A10B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9A10B6" w:rsidRPr="00527174" w:rsidRDefault="009A10B6" w:rsidP="009A10B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9A10B6" w:rsidRPr="00527174" w:rsidRDefault="009A10B6" w:rsidP="009A10B6">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9A10B6" w:rsidRPr="00527174" w:rsidRDefault="009A10B6" w:rsidP="009A10B6">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9A10B6" w:rsidRPr="00527174" w:rsidRDefault="009A10B6" w:rsidP="009A10B6">
      <w:pPr>
        <w:suppressAutoHyphens/>
        <w:spacing w:line="276" w:lineRule="auto"/>
        <w:jc w:val="both"/>
        <w:rPr>
          <w:rFonts w:ascii="Arial" w:hAnsi="Arial" w:cs="Arial"/>
          <w:b/>
          <w:iCs/>
          <w:spacing w:val="-2"/>
          <w:lang w:val="es-ES_tradnl" w:eastAsia="es-ES"/>
        </w:rPr>
      </w:pPr>
    </w:p>
    <w:p w:rsidR="009A10B6" w:rsidRPr="00527174" w:rsidRDefault="009A10B6" w:rsidP="009A10B6">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9A10B6" w:rsidRPr="00527174" w:rsidRDefault="009A10B6" w:rsidP="009A10B6">
      <w:pPr>
        <w:suppressAutoHyphens/>
        <w:spacing w:line="276" w:lineRule="auto"/>
        <w:jc w:val="both"/>
        <w:rPr>
          <w:rFonts w:ascii="Arial" w:hAnsi="Arial" w:cs="Arial"/>
          <w:b/>
          <w:iCs/>
          <w:spacing w:val="-2"/>
          <w:lang w:eastAsia="es-ES"/>
        </w:rPr>
      </w:pPr>
    </w:p>
    <w:p w:rsidR="009A10B6" w:rsidRPr="00527174" w:rsidRDefault="009A10B6" w:rsidP="009A10B6">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9A10B6" w:rsidRPr="00527174" w:rsidRDefault="009A10B6" w:rsidP="009A10B6">
      <w:pPr>
        <w:suppressAutoHyphens/>
        <w:spacing w:line="276" w:lineRule="auto"/>
        <w:jc w:val="both"/>
        <w:rPr>
          <w:rFonts w:ascii="Arial" w:hAnsi="Arial" w:cs="Arial"/>
          <w:spacing w:val="-2"/>
          <w:lang w:val="es-ES_tradnl" w:eastAsia="es-ES"/>
        </w:rPr>
      </w:pPr>
    </w:p>
    <w:p w:rsidR="009A10B6" w:rsidRPr="00527174" w:rsidRDefault="009A10B6" w:rsidP="009A10B6">
      <w:pPr>
        <w:spacing w:line="276" w:lineRule="auto"/>
        <w:jc w:val="both"/>
        <w:rPr>
          <w:rFonts w:ascii="Arial" w:hAnsi="Arial" w:cs="Arial"/>
          <w:lang w:eastAsia="es-ES"/>
        </w:rPr>
      </w:pPr>
      <w:r w:rsidRPr="00527174">
        <w:rPr>
          <w:rFonts w:ascii="Arial" w:hAnsi="Arial" w:cs="Arial"/>
          <w:lang w:eastAsia="es-ES"/>
        </w:rPr>
        <w:t>Dejo así aclarado mi voto.</w:t>
      </w:r>
    </w:p>
    <w:p w:rsidR="009A10B6" w:rsidRPr="00527174" w:rsidRDefault="009A10B6" w:rsidP="009A10B6">
      <w:pPr>
        <w:widowControl w:val="0"/>
        <w:autoSpaceDE w:val="0"/>
        <w:autoSpaceDN w:val="0"/>
        <w:adjustRightInd w:val="0"/>
        <w:spacing w:line="276" w:lineRule="auto"/>
        <w:rPr>
          <w:rFonts w:ascii="Arial" w:eastAsia="Calibri" w:hAnsi="Arial" w:cs="Arial"/>
        </w:rPr>
      </w:pPr>
    </w:p>
    <w:p w:rsidR="009A10B6" w:rsidRPr="00527174" w:rsidRDefault="009A10B6" w:rsidP="009A10B6">
      <w:pPr>
        <w:widowControl w:val="0"/>
        <w:autoSpaceDE w:val="0"/>
        <w:autoSpaceDN w:val="0"/>
        <w:adjustRightInd w:val="0"/>
        <w:spacing w:line="276" w:lineRule="auto"/>
        <w:rPr>
          <w:rFonts w:ascii="Arial" w:eastAsia="Calibri" w:hAnsi="Arial" w:cs="Arial"/>
        </w:rPr>
      </w:pPr>
    </w:p>
    <w:p w:rsidR="009A10B6" w:rsidRPr="00527174" w:rsidRDefault="009A10B6" w:rsidP="009A10B6">
      <w:pPr>
        <w:widowControl w:val="0"/>
        <w:autoSpaceDE w:val="0"/>
        <w:autoSpaceDN w:val="0"/>
        <w:adjustRightInd w:val="0"/>
        <w:spacing w:line="276" w:lineRule="auto"/>
        <w:rPr>
          <w:rFonts w:ascii="Arial" w:eastAsia="Calibri" w:hAnsi="Arial" w:cs="Arial"/>
        </w:rPr>
      </w:pPr>
    </w:p>
    <w:p w:rsidR="009A10B6" w:rsidRPr="00527174" w:rsidRDefault="009A10B6" w:rsidP="009A10B6">
      <w:pPr>
        <w:tabs>
          <w:tab w:val="center" w:pos="4420"/>
        </w:tabs>
        <w:spacing w:line="276" w:lineRule="auto"/>
        <w:jc w:val="both"/>
        <w:rPr>
          <w:rFonts w:ascii="Arial" w:eastAsia="Calibri" w:hAnsi="Arial" w:cs="Arial"/>
        </w:rPr>
      </w:pPr>
    </w:p>
    <w:p w:rsidR="009A10B6" w:rsidRPr="00527174" w:rsidRDefault="009A10B6" w:rsidP="009A10B6">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9A10B6" w:rsidRPr="009A10B6" w:rsidRDefault="009A10B6" w:rsidP="009A10B6">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p>
    <w:sectPr w:rsidR="009A10B6" w:rsidRPr="009A10B6" w:rsidSect="00C14DE8">
      <w:head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11" w:rsidRDefault="00E90A11" w:rsidP="00AC271E">
      <w:r>
        <w:separator/>
      </w:r>
    </w:p>
  </w:endnote>
  <w:endnote w:type="continuationSeparator" w:id="0">
    <w:p w:rsidR="00E90A11" w:rsidRDefault="00E90A11" w:rsidP="00AC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11" w:rsidRDefault="00E90A11" w:rsidP="00AC271E">
      <w:r>
        <w:separator/>
      </w:r>
    </w:p>
  </w:footnote>
  <w:footnote w:type="continuationSeparator" w:id="0">
    <w:p w:rsidR="00E90A11" w:rsidRDefault="00E90A11" w:rsidP="00AC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1E" w:rsidRPr="00C14DE8" w:rsidRDefault="00AC271E" w:rsidP="00AC271E">
    <w:pPr>
      <w:pStyle w:val="Encabezado"/>
      <w:jc w:val="center"/>
      <w:rPr>
        <w:rFonts w:ascii="Arial" w:hAnsi="Arial" w:cs="Arial"/>
        <w:sz w:val="18"/>
        <w:szCs w:val="16"/>
      </w:rPr>
    </w:pPr>
    <w:r w:rsidRPr="00C14DE8">
      <w:rPr>
        <w:rFonts w:ascii="Arial" w:hAnsi="Arial" w:cs="Arial"/>
        <w:sz w:val="18"/>
        <w:szCs w:val="16"/>
      </w:rPr>
      <w:t>Rafael Ángel Rodríguez Zapata Vs Colpensiones y otro. Rad. 66001310500120180005201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271E"/>
    <w:rsid w:val="00056AF0"/>
    <w:rsid w:val="0029666B"/>
    <w:rsid w:val="003A4716"/>
    <w:rsid w:val="00552D03"/>
    <w:rsid w:val="005A0368"/>
    <w:rsid w:val="00777E4B"/>
    <w:rsid w:val="00881259"/>
    <w:rsid w:val="009A10B6"/>
    <w:rsid w:val="00AC271E"/>
    <w:rsid w:val="00B72FF6"/>
    <w:rsid w:val="00BA6DF9"/>
    <w:rsid w:val="00C14DE8"/>
    <w:rsid w:val="00D63EDE"/>
    <w:rsid w:val="00E24EC0"/>
    <w:rsid w:val="00E36051"/>
    <w:rsid w:val="00E6043D"/>
    <w:rsid w:val="00E90A11"/>
    <w:rsid w:val="00F02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AC271E"/>
    <w:pPr>
      <w:spacing w:before="100" w:beforeAutospacing="1" w:after="100" w:afterAutospacing="1"/>
    </w:pPr>
    <w:rPr>
      <w:lang w:val="es-ES" w:eastAsia="es-ES"/>
    </w:rPr>
  </w:style>
  <w:style w:type="character" w:customStyle="1" w:styleId="normaltextrun">
    <w:name w:val="normaltextrun"/>
    <w:basedOn w:val="Fuentedeprrafopredeter"/>
    <w:rsid w:val="00AC271E"/>
  </w:style>
  <w:style w:type="character" w:customStyle="1" w:styleId="eop">
    <w:name w:val="eop"/>
    <w:basedOn w:val="Fuentedeprrafopredeter"/>
    <w:rsid w:val="00AC271E"/>
  </w:style>
  <w:style w:type="paragraph" w:styleId="Textoindependiente">
    <w:name w:val="Body Text"/>
    <w:basedOn w:val="Normal"/>
    <w:link w:val="TextoindependienteCar"/>
    <w:uiPriority w:val="99"/>
    <w:rsid w:val="00AC2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lang w:val="es-ES_tradnl" w:eastAsia="es-ES"/>
    </w:rPr>
  </w:style>
  <w:style w:type="character" w:customStyle="1" w:styleId="TextoindependienteCar">
    <w:name w:val="Texto independiente Car"/>
    <w:basedOn w:val="Fuentedeprrafopredeter"/>
    <w:link w:val="Textoindependiente"/>
    <w:uiPriority w:val="99"/>
    <w:rsid w:val="00AC271E"/>
    <w:rPr>
      <w:rFonts w:ascii="Verdana" w:hAnsi="Verdana" w:cs="Verdana"/>
      <w:spacing w:val="-3"/>
      <w:sz w:val="24"/>
      <w:szCs w:val="24"/>
      <w:lang w:val="es-ES_tradnl" w:eastAsia="es-ES"/>
    </w:rPr>
  </w:style>
  <w:style w:type="paragraph" w:styleId="Encabezado">
    <w:name w:val="header"/>
    <w:basedOn w:val="Normal"/>
    <w:link w:val="EncabezadoCar"/>
    <w:uiPriority w:val="99"/>
    <w:unhideWhenUsed/>
    <w:rsid w:val="00AC271E"/>
    <w:pPr>
      <w:tabs>
        <w:tab w:val="center" w:pos="4252"/>
        <w:tab w:val="right" w:pos="8504"/>
      </w:tabs>
    </w:pPr>
  </w:style>
  <w:style w:type="character" w:customStyle="1" w:styleId="EncabezadoCar">
    <w:name w:val="Encabezado Car"/>
    <w:basedOn w:val="Fuentedeprrafopredeter"/>
    <w:link w:val="Encabezado"/>
    <w:uiPriority w:val="99"/>
    <w:rsid w:val="00AC271E"/>
    <w:rPr>
      <w:sz w:val="24"/>
      <w:szCs w:val="24"/>
      <w:lang w:eastAsia="en-US"/>
    </w:rPr>
  </w:style>
  <w:style w:type="paragraph" w:styleId="Piedepgina">
    <w:name w:val="footer"/>
    <w:basedOn w:val="Normal"/>
    <w:link w:val="PiedepginaCar"/>
    <w:uiPriority w:val="99"/>
    <w:unhideWhenUsed/>
    <w:rsid w:val="00AC271E"/>
    <w:pPr>
      <w:tabs>
        <w:tab w:val="center" w:pos="4252"/>
        <w:tab w:val="right" w:pos="8504"/>
      </w:tabs>
    </w:pPr>
  </w:style>
  <w:style w:type="character" w:customStyle="1" w:styleId="PiedepginaCar">
    <w:name w:val="Pie de página Car"/>
    <w:basedOn w:val="Fuentedeprrafopredeter"/>
    <w:link w:val="Piedepgina"/>
    <w:uiPriority w:val="99"/>
    <w:rsid w:val="00AC271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9558">
      <w:bodyDiv w:val="1"/>
      <w:marLeft w:val="0"/>
      <w:marRight w:val="0"/>
      <w:marTop w:val="0"/>
      <w:marBottom w:val="0"/>
      <w:divBdr>
        <w:top w:val="none" w:sz="0" w:space="0" w:color="auto"/>
        <w:left w:val="none" w:sz="0" w:space="0" w:color="auto"/>
        <w:bottom w:val="none" w:sz="0" w:space="0" w:color="auto"/>
        <w:right w:val="none" w:sz="0" w:space="0" w:color="auto"/>
      </w:divBdr>
      <w:divsChild>
        <w:div w:id="685328309">
          <w:marLeft w:val="0"/>
          <w:marRight w:val="0"/>
          <w:marTop w:val="0"/>
          <w:marBottom w:val="0"/>
          <w:divBdr>
            <w:top w:val="none" w:sz="0" w:space="0" w:color="auto"/>
            <w:left w:val="none" w:sz="0" w:space="0" w:color="auto"/>
            <w:bottom w:val="none" w:sz="0" w:space="0" w:color="auto"/>
            <w:right w:val="none" w:sz="0" w:space="0" w:color="auto"/>
          </w:divBdr>
        </w:div>
        <w:div w:id="2169065">
          <w:marLeft w:val="0"/>
          <w:marRight w:val="0"/>
          <w:marTop w:val="0"/>
          <w:marBottom w:val="0"/>
          <w:divBdr>
            <w:top w:val="none" w:sz="0" w:space="0" w:color="auto"/>
            <w:left w:val="none" w:sz="0" w:space="0" w:color="auto"/>
            <w:bottom w:val="none" w:sz="0" w:space="0" w:color="auto"/>
            <w:right w:val="none" w:sz="0" w:space="0" w:color="auto"/>
          </w:divBdr>
        </w:div>
        <w:div w:id="520241304">
          <w:marLeft w:val="0"/>
          <w:marRight w:val="0"/>
          <w:marTop w:val="0"/>
          <w:marBottom w:val="0"/>
          <w:divBdr>
            <w:top w:val="none" w:sz="0" w:space="0" w:color="auto"/>
            <w:left w:val="none" w:sz="0" w:space="0" w:color="auto"/>
            <w:bottom w:val="none" w:sz="0" w:space="0" w:color="auto"/>
            <w:right w:val="none" w:sz="0" w:space="0" w:color="auto"/>
          </w:divBdr>
        </w:div>
        <w:div w:id="643582837">
          <w:marLeft w:val="0"/>
          <w:marRight w:val="0"/>
          <w:marTop w:val="0"/>
          <w:marBottom w:val="0"/>
          <w:divBdr>
            <w:top w:val="none" w:sz="0" w:space="0" w:color="auto"/>
            <w:left w:val="none" w:sz="0" w:space="0" w:color="auto"/>
            <w:bottom w:val="none" w:sz="0" w:space="0" w:color="auto"/>
            <w:right w:val="none" w:sz="0" w:space="0" w:color="auto"/>
          </w:divBdr>
        </w:div>
        <w:div w:id="1651322182">
          <w:marLeft w:val="0"/>
          <w:marRight w:val="0"/>
          <w:marTop w:val="0"/>
          <w:marBottom w:val="0"/>
          <w:divBdr>
            <w:top w:val="none" w:sz="0" w:space="0" w:color="auto"/>
            <w:left w:val="none" w:sz="0" w:space="0" w:color="auto"/>
            <w:bottom w:val="none" w:sz="0" w:space="0" w:color="auto"/>
            <w:right w:val="none" w:sz="0" w:space="0" w:color="auto"/>
          </w:divBdr>
        </w:div>
        <w:div w:id="1509978462">
          <w:marLeft w:val="0"/>
          <w:marRight w:val="0"/>
          <w:marTop w:val="0"/>
          <w:marBottom w:val="0"/>
          <w:divBdr>
            <w:top w:val="none" w:sz="0" w:space="0" w:color="auto"/>
            <w:left w:val="none" w:sz="0" w:space="0" w:color="auto"/>
            <w:bottom w:val="none" w:sz="0" w:space="0" w:color="auto"/>
            <w:right w:val="none" w:sz="0" w:space="0" w:color="auto"/>
          </w:divBdr>
        </w:div>
        <w:div w:id="1083261672">
          <w:marLeft w:val="0"/>
          <w:marRight w:val="0"/>
          <w:marTop w:val="0"/>
          <w:marBottom w:val="0"/>
          <w:divBdr>
            <w:top w:val="none" w:sz="0" w:space="0" w:color="auto"/>
            <w:left w:val="none" w:sz="0" w:space="0" w:color="auto"/>
            <w:bottom w:val="none" w:sz="0" w:space="0" w:color="auto"/>
            <w:right w:val="none" w:sz="0" w:space="0" w:color="auto"/>
          </w:divBdr>
        </w:div>
        <w:div w:id="1821799291">
          <w:marLeft w:val="0"/>
          <w:marRight w:val="0"/>
          <w:marTop w:val="0"/>
          <w:marBottom w:val="0"/>
          <w:divBdr>
            <w:top w:val="none" w:sz="0" w:space="0" w:color="auto"/>
            <w:left w:val="none" w:sz="0" w:space="0" w:color="auto"/>
            <w:bottom w:val="none" w:sz="0" w:space="0" w:color="auto"/>
            <w:right w:val="none" w:sz="0" w:space="0" w:color="auto"/>
          </w:divBdr>
        </w:div>
        <w:div w:id="1534657271">
          <w:marLeft w:val="0"/>
          <w:marRight w:val="0"/>
          <w:marTop w:val="0"/>
          <w:marBottom w:val="0"/>
          <w:divBdr>
            <w:top w:val="none" w:sz="0" w:space="0" w:color="auto"/>
            <w:left w:val="none" w:sz="0" w:space="0" w:color="auto"/>
            <w:bottom w:val="none" w:sz="0" w:space="0" w:color="auto"/>
            <w:right w:val="none" w:sz="0" w:space="0" w:color="auto"/>
          </w:divBdr>
        </w:div>
        <w:div w:id="1251040537">
          <w:marLeft w:val="0"/>
          <w:marRight w:val="0"/>
          <w:marTop w:val="0"/>
          <w:marBottom w:val="0"/>
          <w:divBdr>
            <w:top w:val="none" w:sz="0" w:space="0" w:color="auto"/>
            <w:left w:val="none" w:sz="0" w:space="0" w:color="auto"/>
            <w:bottom w:val="none" w:sz="0" w:space="0" w:color="auto"/>
            <w:right w:val="none" w:sz="0" w:space="0" w:color="auto"/>
          </w:divBdr>
        </w:div>
        <w:div w:id="720330239">
          <w:marLeft w:val="0"/>
          <w:marRight w:val="0"/>
          <w:marTop w:val="0"/>
          <w:marBottom w:val="0"/>
          <w:divBdr>
            <w:top w:val="none" w:sz="0" w:space="0" w:color="auto"/>
            <w:left w:val="none" w:sz="0" w:space="0" w:color="auto"/>
            <w:bottom w:val="none" w:sz="0" w:space="0" w:color="auto"/>
            <w:right w:val="none" w:sz="0" w:space="0" w:color="auto"/>
          </w:divBdr>
        </w:div>
        <w:div w:id="695618842">
          <w:marLeft w:val="0"/>
          <w:marRight w:val="0"/>
          <w:marTop w:val="0"/>
          <w:marBottom w:val="0"/>
          <w:divBdr>
            <w:top w:val="none" w:sz="0" w:space="0" w:color="auto"/>
            <w:left w:val="none" w:sz="0" w:space="0" w:color="auto"/>
            <w:bottom w:val="none" w:sz="0" w:space="0" w:color="auto"/>
            <w:right w:val="none" w:sz="0" w:space="0" w:color="auto"/>
          </w:divBdr>
        </w:div>
        <w:div w:id="2064408416">
          <w:marLeft w:val="0"/>
          <w:marRight w:val="0"/>
          <w:marTop w:val="0"/>
          <w:marBottom w:val="0"/>
          <w:divBdr>
            <w:top w:val="none" w:sz="0" w:space="0" w:color="auto"/>
            <w:left w:val="none" w:sz="0" w:space="0" w:color="auto"/>
            <w:bottom w:val="none" w:sz="0" w:space="0" w:color="auto"/>
            <w:right w:val="none" w:sz="0" w:space="0" w:color="auto"/>
          </w:divBdr>
        </w:div>
        <w:div w:id="247160154">
          <w:marLeft w:val="0"/>
          <w:marRight w:val="0"/>
          <w:marTop w:val="0"/>
          <w:marBottom w:val="0"/>
          <w:divBdr>
            <w:top w:val="none" w:sz="0" w:space="0" w:color="auto"/>
            <w:left w:val="none" w:sz="0" w:space="0" w:color="auto"/>
            <w:bottom w:val="none" w:sz="0" w:space="0" w:color="auto"/>
            <w:right w:val="none" w:sz="0" w:space="0" w:color="auto"/>
          </w:divBdr>
        </w:div>
        <w:div w:id="1764180916">
          <w:marLeft w:val="0"/>
          <w:marRight w:val="0"/>
          <w:marTop w:val="0"/>
          <w:marBottom w:val="0"/>
          <w:divBdr>
            <w:top w:val="none" w:sz="0" w:space="0" w:color="auto"/>
            <w:left w:val="none" w:sz="0" w:space="0" w:color="auto"/>
            <w:bottom w:val="none" w:sz="0" w:space="0" w:color="auto"/>
            <w:right w:val="none" w:sz="0" w:space="0" w:color="auto"/>
          </w:divBdr>
        </w:div>
        <w:div w:id="1844080416">
          <w:marLeft w:val="0"/>
          <w:marRight w:val="0"/>
          <w:marTop w:val="0"/>
          <w:marBottom w:val="0"/>
          <w:divBdr>
            <w:top w:val="none" w:sz="0" w:space="0" w:color="auto"/>
            <w:left w:val="none" w:sz="0" w:space="0" w:color="auto"/>
            <w:bottom w:val="none" w:sz="0" w:space="0" w:color="auto"/>
            <w:right w:val="none" w:sz="0" w:space="0" w:color="auto"/>
          </w:divBdr>
        </w:div>
        <w:div w:id="1395664681">
          <w:marLeft w:val="0"/>
          <w:marRight w:val="0"/>
          <w:marTop w:val="0"/>
          <w:marBottom w:val="0"/>
          <w:divBdr>
            <w:top w:val="none" w:sz="0" w:space="0" w:color="auto"/>
            <w:left w:val="none" w:sz="0" w:space="0" w:color="auto"/>
            <w:bottom w:val="none" w:sz="0" w:space="0" w:color="auto"/>
            <w:right w:val="none" w:sz="0" w:space="0" w:color="auto"/>
          </w:divBdr>
        </w:div>
        <w:div w:id="1673870544">
          <w:marLeft w:val="0"/>
          <w:marRight w:val="0"/>
          <w:marTop w:val="0"/>
          <w:marBottom w:val="0"/>
          <w:divBdr>
            <w:top w:val="none" w:sz="0" w:space="0" w:color="auto"/>
            <w:left w:val="none" w:sz="0" w:space="0" w:color="auto"/>
            <w:bottom w:val="none" w:sz="0" w:space="0" w:color="auto"/>
            <w:right w:val="none" w:sz="0" w:space="0" w:color="auto"/>
          </w:divBdr>
        </w:div>
        <w:div w:id="130710435">
          <w:marLeft w:val="0"/>
          <w:marRight w:val="0"/>
          <w:marTop w:val="0"/>
          <w:marBottom w:val="0"/>
          <w:divBdr>
            <w:top w:val="none" w:sz="0" w:space="0" w:color="auto"/>
            <w:left w:val="none" w:sz="0" w:space="0" w:color="auto"/>
            <w:bottom w:val="none" w:sz="0" w:space="0" w:color="auto"/>
            <w:right w:val="none" w:sz="0" w:space="0" w:color="auto"/>
          </w:divBdr>
        </w:div>
        <w:div w:id="1243685445">
          <w:marLeft w:val="0"/>
          <w:marRight w:val="0"/>
          <w:marTop w:val="0"/>
          <w:marBottom w:val="0"/>
          <w:divBdr>
            <w:top w:val="none" w:sz="0" w:space="0" w:color="auto"/>
            <w:left w:val="none" w:sz="0" w:space="0" w:color="auto"/>
            <w:bottom w:val="none" w:sz="0" w:space="0" w:color="auto"/>
            <w:right w:val="none" w:sz="0" w:space="0" w:color="auto"/>
          </w:divBdr>
        </w:div>
        <w:div w:id="1342707663">
          <w:marLeft w:val="0"/>
          <w:marRight w:val="0"/>
          <w:marTop w:val="0"/>
          <w:marBottom w:val="0"/>
          <w:divBdr>
            <w:top w:val="none" w:sz="0" w:space="0" w:color="auto"/>
            <w:left w:val="none" w:sz="0" w:space="0" w:color="auto"/>
            <w:bottom w:val="none" w:sz="0" w:space="0" w:color="auto"/>
            <w:right w:val="none" w:sz="0" w:space="0" w:color="auto"/>
          </w:divBdr>
        </w:div>
        <w:div w:id="1866824511">
          <w:marLeft w:val="0"/>
          <w:marRight w:val="0"/>
          <w:marTop w:val="0"/>
          <w:marBottom w:val="0"/>
          <w:divBdr>
            <w:top w:val="none" w:sz="0" w:space="0" w:color="auto"/>
            <w:left w:val="none" w:sz="0" w:space="0" w:color="auto"/>
            <w:bottom w:val="none" w:sz="0" w:space="0" w:color="auto"/>
            <w:right w:val="none" w:sz="0" w:space="0" w:color="auto"/>
          </w:divBdr>
        </w:div>
        <w:div w:id="1426461941">
          <w:marLeft w:val="0"/>
          <w:marRight w:val="0"/>
          <w:marTop w:val="0"/>
          <w:marBottom w:val="0"/>
          <w:divBdr>
            <w:top w:val="none" w:sz="0" w:space="0" w:color="auto"/>
            <w:left w:val="none" w:sz="0" w:space="0" w:color="auto"/>
            <w:bottom w:val="none" w:sz="0" w:space="0" w:color="auto"/>
            <w:right w:val="none" w:sz="0" w:space="0" w:color="auto"/>
          </w:divBdr>
        </w:div>
        <w:div w:id="134642488">
          <w:marLeft w:val="0"/>
          <w:marRight w:val="0"/>
          <w:marTop w:val="0"/>
          <w:marBottom w:val="0"/>
          <w:divBdr>
            <w:top w:val="none" w:sz="0" w:space="0" w:color="auto"/>
            <w:left w:val="none" w:sz="0" w:space="0" w:color="auto"/>
            <w:bottom w:val="none" w:sz="0" w:space="0" w:color="auto"/>
            <w:right w:val="none" w:sz="0" w:space="0" w:color="auto"/>
          </w:divBdr>
        </w:div>
        <w:div w:id="909461787">
          <w:marLeft w:val="0"/>
          <w:marRight w:val="0"/>
          <w:marTop w:val="0"/>
          <w:marBottom w:val="0"/>
          <w:divBdr>
            <w:top w:val="none" w:sz="0" w:space="0" w:color="auto"/>
            <w:left w:val="none" w:sz="0" w:space="0" w:color="auto"/>
            <w:bottom w:val="none" w:sz="0" w:space="0" w:color="auto"/>
            <w:right w:val="none" w:sz="0" w:space="0" w:color="auto"/>
          </w:divBdr>
        </w:div>
        <w:div w:id="485820917">
          <w:marLeft w:val="0"/>
          <w:marRight w:val="0"/>
          <w:marTop w:val="0"/>
          <w:marBottom w:val="0"/>
          <w:divBdr>
            <w:top w:val="none" w:sz="0" w:space="0" w:color="auto"/>
            <w:left w:val="none" w:sz="0" w:space="0" w:color="auto"/>
            <w:bottom w:val="none" w:sz="0" w:space="0" w:color="auto"/>
            <w:right w:val="none" w:sz="0" w:space="0" w:color="auto"/>
          </w:divBdr>
        </w:div>
        <w:div w:id="306015869">
          <w:marLeft w:val="0"/>
          <w:marRight w:val="0"/>
          <w:marTop w:val="0"/>
          <w:marBottom w:val="0"/>
          <w:divBdr>
            <w:top w:val="none" w:sz="0" w:space="0" w:color="auto"/>
            <w:left w:val="none" w:sz="0" w:space="0" w:color="auto"/>
            <w:bottom w:val="none" w:sz="0" w:space="0" w:color="auto"/>
            <w:right w:val="none" w:sz="0" w:space="0" w:color="auto"/>
          </w:divBdr>
        </w:div>
        <w:div w:id="1258908927">
          <w:marLeft w:val="0"/>
          <w:marRight w:val="0"/>
          <w:marTop w:val="0"/>
          <w:marBottom w:val="0"/>
          <w:divBdr>
            <w:top w:val="none" w:sz="0" w:space="0" w:color="auto"/>
            <w:left w:val="none" w:sz="0" w:space="0" w:color="auto"/>
            <w:bottom w:val="none" w:sz="0" w:space="0" w:color="auto"/>
            <w:right w:val="none" w:sz="0" w:space="0" w:color="auto"/>
          </w:divBdr>
        </w:div>
        <w:div w:id="636224692">
          <w:marLeft w:val="0"/>
          <w:marRight w:val="0"/>
          <w:marTop w:val="0"/>
          <w:marBottom w:val="0"/>
          <w:divBdr>
            <w:top w:val="none" w:sz="0" w:space="0" w:color="auto"/>
            <w:left w:val="none" w:sz="0" w:space="0" w:color="auto"/>
            <w:bottom w:val="none" w:sz="0" w:space="0" w:color="auto"/>
            <w:right w:val="none" w:sz="0" w:space="0" w:color="auto"/>
          </w:divBdr>
        </w:div>
        <w:div w:id="1936672388">
          <w:marLeft w:val="0"/>
          <w:marRight w:val="0"/>
          <w:marTop w:val="0"/>
          <w:marBottom w:val="0"/>
          <w:divBdr>
            <w:top w:val="none" w:sz="0" w:space="0" w:color="auto"/>
            <w:left w:val="none" w:sz="0" w:space="0" w:color="auto"/>
            <w:bottom w:val="none" w:sz="0" w:space="0" w:color="auto"/>
            <w:right w:val="none" w:sz="0" w:space="0" w:color="auto"/>
          </w:divBdr>
        </w:div>
        <w:div w:id="1143354913">
          <w:marLeft w:val="0"/>
          <w:marRight w:val="0"/>
          <w:marTop w:val="0"/>
          <w:marBottom w:val="0"/>
          <w:divBdr>
            <w:top w:val="none" w:sz="0" w:space="0" w:color="auto"/>
            <w:left w:val="none" w:sz="0" w:space="0" w:color="auto"/>
            <w:bottom w:val="none" w:sz="0" w:space="0" w:color="auto"/>
            <w:right w:val="none" w:sz="0" w:space="0" w:color="auto"/>
          </w:divBdr>
        </w:div>
        <w:div w:id="539708770">
          <w:marLeft w:val="0"/>
          <w:marRight w:val="0"/>
          <w:marTop w:val="0"/>
          <w:marBottom w:val="0"/>
          <w:divBdr>
            <w:top w:val="none" w:sz="0" w:space="0" w:color="auto"/>
            <w:left w:val="none" w:sz="0" w:space="0" w:color="auto"/>
            <w:bottom w:val="none" w:sz="0" w:space="0" w:color="auto"/>
            <w:right w:val="none" w:sz="0" w:space="0" w:color="auto"/>
          </w:divBdr>
        </w:div>
        <w:div w:id="1512178138">
          <w:marLeft w:val="0"/>
          <w:marRight w:val="0"/>
          <w:marTop w:val="0"/>
          <w:marBottom w:val="0"/>
          <w:divBdr>
            <w:top w:val="none" w:sz="0" w:space="0" w:color="auto"/>
            <w:left w:val="none" w:sz="0" w:space="0" w:color="auto"/>
            <w:bottom w:val="none" w:sz="0" w:space="0" w:color="auto"/>
            <w:right w:val="none" w:sz="0" w:space="0" w:color="auto"/>
          </w:divBdr>
        </w:div>
        <w:div w:id="578366970">
          <w:marLeft w:val="0"/>
          <w:marRight w:val="0"/>
          <w:marTop w:val="0"/>
          <w:marBottom w:val="0"/>
          <w:divBdr>
            <w:top w:val="none" w:sz="0" w:space="0" w:color="auto"/>
            <w:left w:val="none" w:sz="0" w:space="0" w:color="auto"/>
            <w:bottom w:val="none" w:sz="0" w:space="0" w:color="auto"/>
            <w:right w:val="none" w:sz="0" w:space="0" w:color="auto"/>
          </w:divBdr>
        </w:div>
        <w:div w:id="1681350125">
          <w:marLeft w:val="0"/>
          <w:marRight w:val="0"/>
          <w:marTop w:val="0"/>
          <w:marBottom w:val="0"/>
          <w:divBdr>
            <w:top w:val="none" w:sz="0" w:space="0" w:color="auto"/>
            <w:left w:val="none" w:sz="0" w:space="0" w:color="auto"/>
            <w:bottom w:val="none" w:sz="0" w:space="0" w:color="auto"/>
            <w:right w:val="none" w:sz="0" w:space="0" w:color="auto"/>
          </w:divBdr>
        </w:div>
        <w:div w:id="1994410589">
          <w:marLeft w:val="0"/>
          <w:marRight w:val="0"/>
          <w:marTop w:val="0"/>
          <w:marBottom w:val="0"/>
          <w:divBdr>
            <w:top w:val="none" w:sz="0" w:space="0" w:color="auto"/>
            <w:left w:val="none" w:sz="0" w:space="0" w:color="auto"/>
            <w:bottom w:val="none" w:sz="0" w:space="0" w:color="auto"/>
            <w:right w:val="none" w:sz="0" w:space="0" w:color="auto"/>
          </w:divBdr>
        </w:div>
        <w:div w:id="2056854023">
          <w:marLeft w:val="0"/>
          <w:marRight w:val="0"/>
          <w:marTop w:val="0"/>
          <w:marBottom w:val="0"/>
          <w:divBdr>
            <w:top w:val="none" w:sz="0" w:space="0" w:color="auto"/>
            <w:left w:val="none" w:sz="0" w:space="0" w:color="auto"/>
            <w:bottom w:val="none" w:sz="0" w:space="0" w:color="auto"/>
            <w:right w:val="none" w:sz="0" w:space="0" w:color="auto"/>
          </w:divBdr>
        </w:div>
        <w:div w:id="2145152581">
          <w:marLeft w:val="0"/>
          <w:marRight w:val="0"/>
          <w:marTop w:val="0"/>
          <w:marBottom w:val="0"/>
          <w:divBdr>
            <w:top w:val="none" w:sz="0" w:space="0" w:color="auto"/>
            <w:left w:val="none" w:sz="0" w:space="0" w:color="auto"/>
            <w:bottom w:val="none" w:sz="0" w:space="0" w:color="auto"/>
            <w:right w:val="none" w:sz="0" w:space="0" w:color="auto"/>
          </w:divBdr>
        </w:div>
        <w:div w:id="1706325863">
          <w:marLeft w:val="0"/>
          <w:marRight w:val="0"/>
          <w:marTop w:val="0"/>
          <w:marBottom w:val="0"/>
          <w:divBdr>
            <w:top w:val="none" w:sz="0" w:space="0" w:color="auto"/>
            <w:left w:val="none" w:sz="0" w:space="0" w:color="auto"/>
            <w:bottom w:val="none" w:sz="0" w:space="0" w:color="auto"/>
            <w:right w:val="none" w:sz="0" w:space="0" w:color="auto"/>
          </w:divBdr>
        </w:div>
        <w:div w:id="1506822736">
          <w:marLeft w:val="0"/>
          <w:marRight w:val="0"/>
          <w:marTop w:val="0"/>
          <w:marBottom w:val="0"/>
          <w:divBdr>
            <w:top w:val="none" w:sz="0" w:space="0" w:color="auto"/>
            <w:left w:val="none" w:sz="0" w:space="0" w:color="auto"/>
            <w:bottom w:val="none" w:sz="0" w:space="0" w:color="auto"/>
            <w:right w:val="none" w:sz="0" w:space="0" w:color="auto"/>
          </w:divBdr>
        </w:div>
        <w:div w:id="205860">
          <w:marLeft w:val="0"/>
          <w:marRight w:val="0"/>
          <w:marTop w:val="0"/>
          <w:marBottom w:val="0"/>
          <w:divBdr>
            <w:top w:val="none" w:sz="0" w:space="0" w:color="auto"/>
            <w:left w:val="none" w:sz="0" w:space="0" w:color="auto"/>
            <w:bottom w:val="none" w:sz="0" w:space="0" w:color="auto"/>
            <w:right w:val="none" w:sz="0" w:space="0" w:color="auto"/>
          </w:divBdr>
        </w:div>
        <w:div w:id="12810114">
          <w:marLeft w:val="0"/>
          <w:marRight w:val="0"/>
          <w:marTop w:val="0"/>
          <w:marBottom w:val="0"/>
          <w:divBdr>
            <w:top w:val="none" w:sz="0" w:space="0" w:color="auto"/>
            <w:left w:val="none" w:sz="0" w:space="0" w:color="auto"/>
            <w:bottom w:val="none" w:sz="0" w:space="0" w:color="auto"/>
            <w:right w:val="none" w:sz="0" w:space="0" w:color="auto"/>
          </w:divBdr>
        </w:div>
        <w:div w:id="1636527487">
          <w:marLeft w:val="0"/>
          <w:marRight w:val="0"/>
          <w:marTop w:val="0"/>
          <w:marBottom w:val="0"/>
          <w:divBdr>
            <w:top w:val="none" w:sz="0" w:space="0" w:color="auto"/>
            <w:left w:val="none" w:sz="0" w:space="0" w:color="auto"/>
            <w:bottom w:val="none" w:sz="0" w:space="0" w:color="auto"/>
            <w:right w:val="none" w:sz="0" w:space="0" w:color="auto"/>
          </w:divBdr>
        </w:div>
        <w:div w:id="1012142099">
          <w:marLeft w:val="0"/>
          <w:marRight w:val="0"/>
          <w:marTop w:val="0"/>
          <w:marBottom w:val="0"/>
          <w:divBdr>
            <w:top w:val="none" w:sz="0" w:space="0" w:color="auto"/>
            <w:left w:val="none" w:sz="0" w:space="0" w:color="auto"/>
            <w:bottom w:val="none" w:sz="0" w:space="0" w:color="auto"/>
            <w:right w:val="none" w:sz="0" w:space="0" w:color="auto"/>
          </w:divBdr>
        </w:div>
        <w:div w:id="670255004">
          <w:marLeft w:val="0"/>
          <w:marRight w:val="0"/>
          <w:marTop w:val="0"/>
          <w:marBottom w:val="0"/>
          <w:divBdr>
            <w:top w:val="none" w:sz="0" w:space="0" w:color="auto"/>
            <w:left w:val="none" w:sz="0" w:space="0" w:color="auto"/>
            <w:bottom w:val="none" w:sz="0" w:space="0" w:color="auto"/>
            <w:right w:val="none" w:sz="0" w:space="0" w:color="auto"/>
          </w:divBdr>
        </w:div>
        <w:div w:id="1412239422">
          <w:marLeft w:val="0"/>
          <w:marRight w:val="0"/>
          <w:marTop w:val="0"/>
          <w:marBottom w:val="0"/>
          <w:divBdr>
            <w:top w:val="none" w:sz="0" w:space="0" w:color="auto"/>
            <w:left w:val="none" w:sz="0" w:space="0" w:color="auto"/>
            <w:bottom w:val="none" w:sz="0" w:space="0" w:color="auto"/>
            <w:right w:val="none" w:sz="0" w:space="0" w:color="auto"/>
          </w:divBdr>
        </w:div>
        <w:div w:id="816729929">
          <w:marLeft w:val="0"/>
          <w:marRight w:val="0"/>
          <w:marTop w:val="0"/>
          <w:marBottom w:val="0"/>
          <w:divBdr>
            <w:top w:val="none" w:sz="0" w:space="0" w:color="auto"/>
            <w:left w:val="none" w:sz="0" w:space="0" w:color="auto"/>
            <w:bottom w:val="none" w:sz="0" w:space="0" w:color="auto"/>
            <w:right w:val="none" w:sz="0" w:space="0" w:color="auto"/>
          </w:divBdr>
        </w:div>
        <w:div w:id="859509177">
          <w:marLeft w:val="0"/>
          <w:marRight w:val="0"/>
          <w:marTop w:val="0"/>
          <w:marBottom w:val="0"/>
          <w:divBdr>
            <w:top w:val="none" w:sz="0" w:space="0" w:color="auto"/>
            <w:left w:val="none" w:sz="0" w:space="0" w:color="auto"/>
            <w:bottom w:val="none" w:sz="0" w:space="0" w:color="auto"/>
            <w:right w:val="none" w:sz="0" w:space="0" w:color="auto"/>
          </w:divBdr>
        </w:div>
        <w:div w:id="1822189394">
          <w:marLeft w:val="0"/>
          <w:marRight w:val="0"/>
          <w:marTop w:val="0"/>
          <w:marBottom w:val="0"/>
          <w:divBdr>
            <w:top w:val="none" w:sz="0" w:space="0" w:color="auto"/>
            <w:left w:val="none" w:sz="0" w:space="0" w:color="auto"/>
            <w:bottom w:val="none" w:sz="0" w:space="0" w:color="auto"/>
            <w:right w:val="none" w:sz="0" w:space="0" w:color="auto"/>
          </w:divBdr>
        </w:div>
        <w:div w:id="1473060493">
          <w:marLeft w:val="0"/>
          <w:marRight w:val="0"/>
          <w:marTop w:val="0"/>
          <w:marBottom w:val="0"/>
          <w:divBdr>
            <w:top w:val="none" w:sz="0" w:space="0" w:color="auto"/>
            <w:left w:val="none" w:sz="0" w:space="0" w:color="auto"/>
            <w:bottom w:val="none" w:sz="0" w:space="0" w:color="auto"/>
            <w:right w:val="none" w:sz="0" w:space="0" w:color="auto"/>
          </w:divBdr>
        </w:div>
        <w:div w:id="332802031">
          <w:marLeft w:val="0"/>
          <w:marRight w:val="0"/>
          <w:marTop w:val="0"/>
          <w:marBottom w:val="0"/>
          <w:divBdr>
            <w:top w:val="none" w:sz="0" w:space="0" w:color="auto"/>
            <w:left w:val="none" w:sz="0" w:space="0" w:color="auto"/>
            <w:bottom w:val="none" w:sz="0" w:space="0" w:color="auto"/>
            <w:right w:val="none" w:sz="0" w:space="0" w:color="auto"/>
          </w:divBdr>
        </w:div>
        <w:div w:id="52658145">
          <w:marLeft w:val="0"/>
          <w:marRight w:val="0"/>
          <w:marTop w:val="0"/>
          <w:marBottom w:val="0"/>
          <w:divBdr>
            <w:top w:val="none" w:sz="0" w:space="0" w:color="auto"/>
            <w:left w:val="none" w:sz="0" w:space="0" w:color="auto"/>
            <w:bottom w:val="none" w:sz="0" w:space="0" w:color="auto"/>
            <w:right w:val="none" w:sz="0" w:space="0" w:color="auto"/>
          </w:divBdr>
        </w:div>
        <w:div w:id="238754852">
          <w:marLeft w:val="0"/>
          <w:marRight w:val="0"/>
          <w:marTop w:val="0"/>
          <w:marBottom w:val="0"/>
          <w:divBdr>
            <w:top w:val="none" w:sz="0" w:space="0" w:color="auto"/>
            <w:left w:val="none" w:sz="0" w:space="0" w:color="auto"/>
            <w:bottom w:val="none" w:sz="0" w:space="0" w:color="auto"/>
            <w:right w:val="none" w:sz="0" w:space="0" w:color="auto"/>
          </w:divBdr>
        </w:div>
        <w:div w:id="748432236">
          <w:marLeft w:val="0"/>
          <w:marRight w:val="0"/>
          <w:marTop w:val="0"/>
          <w:marBottom w:val="0"/>
          <w:divBdr>
            <w:top w:val="none" w:sz="0" w:space="0" w:color="auto"/>
            <w:left w:val="none" w:sz="0" w:space="0" w:color="auto"/>
            <w:bottom w:val="none" w:sz="0" w:space="0" w:color="auto"/>
            <w:right w:val="none" w:sz="0" w:space="0" w:color="auto"/>
          </w:divBdr>
          <w:divsChild>
            <w:div w:id="1461536567">
              <w:marLeft w:val="0"/>
              <w:marRight w:val="0"/>
              <w:marTop w:val="0"/>
              <w:marBottom w:val="0"/>
              <w:divBdr>
                <w:top w:val="none" w:sz="0" w:space="0" w:color="auto"/>
                <w:left w:val="none" w:sz="0" w:space="0" w:color="auto"/>
                <w:bottom w:val="none" w:sz="0" w:space="0" w:color="auto"/>
                <w:right w:val="none" w:sz="0" w:space="0" w:color="auto"/>
              </w:divBdr>
              <w:divsChild>
                <w:div w:id="1591699275">
                  <w:marLeft w:val="0"/>
                  <w:marRight w:val="0"/>
                  <w:marTop w:val="0"/>
                  <w:marBottom w:val="0"/>
                  <w:divBdr>
                    <w:top w:val="none" w:sz="0" w:space="0" w:color="auto"/>
                    <w:left w:val="none" w:sz="0" w:space="0" w:color="auto"/>
                    <w:bottom w:val="none" w:sz="0" w:space="0" w:color="auto"/>
                    <w:right w:val="none" w:sz="0" w:space="0" w:color="auto"/>
                  </w:divBdr>
                  <w:divsChild>
                    <w:div w:id="267783878">
                      <w:marLeft w:val="0"/>
                      <w:marRight w:val="0"/>
                      <w:marTop w:val="0"/>
                      <w:marBottom w:val="0"/>
                      <w:divBdr>
                        <w:top w:val="none" w:sz="0" w:space="0" w:color="auto"/>
                        <w:left w:val="none" w:sz="0" w:space="0" w:color="auto"/>
                        <w:bottom w:val="none" w:sz="0" w:space="0" w:color="auto"/>
                        <w:right w:val="none" w:sz="0" w:space="0" w:color="auto"/>
                      </w:divBdr>
                    </w:div>
                  </w:divsChild>
                </w:div>
                <w:div w:id="89275796">
                  <w:marLeft w:val="0"/>
                  <w:marRight w:val="0"/>
                  <w:marTop w:val="0"/>
                  <w:marBottom w:val="0"/>
                  <w:divBdr>
                    <w:top w:val="none" w:sz="0" w:space="0" w:color="auto"/>
                    <w:left w:val="none" w:sz="0" w:space="0" w:color="auto"/>
                    <w:bottom w:val="none" w:sz="0" w:space="0" w:color="auto"/>
                    <w:right w:val="none" w:sz="0" w:space="0" w:color="auto"/>
                  </w:divBdr>
                  <w:divsChild>
                    <w:div w:id="1252155719">
                      <w:marLeft w:val="0"/>
                      <w:marRight w:val="0"/>
                      <w:marTop w:val="0"/>
                      <w:marBottom w:val="0"/>
                      <w:divBdr>
                        <w:top w:val="none" w:sz="0" w:space="0" w:color="auto"/>
                        <w:left w:val="none" w:sz="0" w:space="0" w:color="auto"/>
                        <w:bottom w:val="none" w:sz="0" w:space="0" w:color="auto"/>
                        <w:right w:val="none" w:sz="0" w:space="0" w:color="auto"/>
                      </w:divBdr>
                    </w:div>
                  </w:divsChild>
                </w:div>
                <w:div w:id="414403074">
                  <w:marLeft w:val="0"/>
                  <w:marRight w:val="0"/>
                  <w:marTop w:val="0"/>
                  <w:marBottom w:val="0"/>
                  <w:divBdr>
                    <w:top w:val="none" w:sz="0" w:space="0" w:color="auto"/>
                    <w:left w:val="none" w:sz="0" w:space="0" w:color="auto"/>
                    <w:bottom w:val="none" w:sz="0" w:space="0" w:color="auto"/>
                    <w:right w:val="none" w:sz="0" w:space="0" w:color="auto"/>
                  </w:divBdr>
                  <w:divsChild>
                    <w:div w:id="1989939549">
                      <w:marLeft w:val="0"/>
                      <w:marRight w:val="0"/>
                      <w:marTop w:val="0"/>
                      <w:marBottom w:val="0"/>
                      <w:divBdr>
                        <w:top w:val="none" w:sz="0" w:space="0" w:color="auto"/>
                        <w:left w:val="none" w:sz="0" w:space="0" w:color="auto"/>
                        <w:bottom w:val="none" w:sz="0" w:space="0" w:color="auto"/>
                        <w:right w:val="none" w:sz="0" w:space="0" w:color="auto"/>
                      </w:divBdr>
                    </w:div>
                  </w:divsChild>
                </w:div>
                <w:div w:id="340006942">
                  <w:marLeft w:val="0"/>
                  <w:marRight w:val="0"/>
                  <w:marTop w:val="0"/>
                  <w:marBottom w:val="0"/>
                  <w:divBdr>
                    <w:top w:val="none" w:sz="0" w:space="0" w:color="auto"/>
                    <w:left w:val="none" w:sz="0" w:space="0" w:color="auto"/>
                    <w:bottom w:val="none" w:sz="0" w:space="0" w:color="auto"/>
                    <w:right w:val="none" w:sz="0" w:space="0" w:color="auto"/>
                  </w:divBdr>
                  <w:divsChild>
                    <w:div w:id="1498380781">
                      <w:marLeft w:val="0"/>
                      <w:marRight w:val="0"/>
                      <w:marTop w:val="0"/>
                      <w:marBottom w:val="0"/>
                      <w:divBdr>
                        <w:top w:val="none" w:sz="0" w:space="0" w:color="auto"/>
                        <w:left w:val="none" w:sz="0" w:space="0" w:color="auto"/>
                        <w:bottom w:val="none" w:sz="0" w:space="0" w:color="auto"/>
                        <w:right w:val="none" w:sz="0" w:space="0" w:color="auto"/>
                      </w:divBdr>
                    </w:div>
                  </w:divsChild>
                </w:div>
                <w:div w:id="1499924070">
                  <w:marLeft w:val="0"/>
                  <w:marRight w:val="0"/>
                  <w:marTop w:val="0"/>
                  <w:marBottom w:val="0"/>
                  <w:divBdr>
                    <w:top w:val="none" w:sz="0" w:space="0" w:color="auto"/>
                    <w:left w:val="none" w:sz="0" w:space="0" w:color="auto"/>
                    <w:bottom w:val="none" w:sz="0" w:space="0" w:color="auto"/>
                    <w:right w:val="none" w:sz="0" w:space="0" w:color="auto"/>
                  </w:divBdr>
                  <w:divsChild>
                    <w:div w:id="1025442799">
                      <w:marLeft w:val="0"/>
                      <w:marRight w:val="0"/>
                      <w:marTop w:val="0"/>
                      <w:marBottom w:val="0"/>
                      <w:divBdr>
                        <w:top w:val="none" w:sz="0" w:space="0" w:color="auto"/>
                        <w:left w:val="none" w:sz="0" w:space="0" w:color="auto"/>
                        <w:bottom w:val="none" w:sz="0" w:space="0" w:color="auto"/>
                        <w:right w:val="none" w:sz="0" w:space="0" w:color="auto"/>
                      </w:divBdr>
                    </w:div>
                    <w:div w:id="1904288448">
                      <w:marLeft w:val="0"/>
                      <w:marRight w:val="0"/>
                      <w:marTop w:val="0"/>
                      <w:marBottom w:val="0"/>
                      <w:divBdr>
                        <w:top w:val="none" w:sz="0" w:space="0" w:color="auto"/>
                        <w:left w:val="none" w:sz="0" w:space="0" w:color="auto"/>
                        <w:bottom w:val="none" w:sz="0" w:space="0" w:color="auto"/>
                        <w:right w:val="none" w:sz="0" w:space="0" w:color="auto"/>
                      </w:divBdr>
                    </w:div>
                    <w:div w:id="527527382">
                      <w:marLeft w:val="0"/>
                      <w:marRight w:val="0"/>
                      <w:marTop w:val="0"/>
                      <w:marBottom w:val="0"/>
                      <w:divBdr>
                        <w:top w:val="none" w:sz="0" w:space="0" w:color="auto"/>
                        <w:left w:val="none" w:sz="0" w:space="0" w:color="auto"/>
                        <w:bottom w:val="none" w:sz="0" w:space="0" w:color="auto"/>
                        <w:right w:val="none" w:sz="0" w:space="0" w:color="auto"/>
                      </w:divBdr>
                    </w:div>
                  </w:divsChild>
                </w:div>
                <w:div w:id="1811706053">
                  <w:marLeft w:val="0"/>
                  <w:marRight w:val="0"/>
                  <w:marTop w:val="0"/>
                  <w:marBottom w:val="0"/>
                  <w:divBdr>
                    <w:top w:val="none" w:sz="0" w:space="0" w:color="auto"/>
                    <w:left w:val="none" w:sz="0" w:space="0" w:color="auto"/>
                    <w:bottom w:val="none" w:sz="0" w:space="0" w:color="auto"/>
                    <w:right w:val="none" w:sz="0" w:space="0" w:color="auto"/>
                  </w:divBdr>
                  <w:divsChild>
                    <w:div w:id="56131349">
                      <w:marLeft w:val="0"/>
                      <w:marRight w:val="0"/>
                      <w:marTop w:val="0"/>
                      <w:marBottom w:val="0"/>
                      <w:divBdr>
                        <w:top w:val="none" w:sz="0" w:space="0" w:color="auto"/>
                        <w:left w:val="none" w:sz="0" w:space="0" w:color="auto"/>
                        <w:bottom w:val="none" w:sz="0" w:space="0" w:color="auto"/>
                        <w:right w:val="none" w:sz="0" w:space="0" w:color="auto"/>
                      </w:divBdr>
                    </w:div>
                  </w:divsChild>
                </w:div>
                <w:div w:id="245726762">
                  <w:marLeft w:val="0"/>
                  <w:marRight w:val="0"/>
                  <w:marTop w:val="0"/>
                  <w:marBottom w:val="0"/>
                  <w:divBdr>
                    <w:top w:val="none" w:sz="0" w:space="0" w:color="auto"/>
                    <w:left w:val="none" w:sz="0" w:space="0" w:color="auto"/>
                    <w:bottom w:val="none" w:sz="0" w:space="0" w:color="auto"/>
                    <w:right w:val="none" w:sz="0" w:space="0" w:color="auto"/>
                  </w:divBdr>
                  <w:divsChild>
                    <w:div w:id="1333294295">
                      <w:marLeft w:val="0"/>
                      <w:marRight w:val="0"/>
                      <w:marTop w:val="0"/>
                      <w:marBottom w:val="0"/>
                      <w:divBdr>
                        <w:top w:val="none" w:sz="0" w:space="0" w:color="auto"/>
                        <w:left w:val="none" w:sz="0" w:space="0" w:color="auto"/>
                        <w:bottom w:val="none" w:sz="0" w:space="0" w:color="auto"/>
                        <w:right w:val="none" w:sz="0" w:space="0" w:color="auto"/>
                      </w:divBdr>
                    </w:div>
                  </w:divsChild>
                </w:div>
                <w:div w:id="702678270">
                  <w:marLeft w:val="0"/>
                  <w:marRight w:val="0"/>
                  <w:marTop w:val="0"/>
                  <w:marBottom w:val="0"/>
                  <w:divBdr>
                    <w:top w:val="none" w:sz="0" w:space="0" w:color="auto"/>
                    <w:left w:val="none" w:sz="0" w:space="0" w:color="auto"/>
                    <w:bottom w:val="none" w:sz="0" w:space="0" w:color="auto"/>
                    <w:right w:val="none" w:sz="0" w:space="0" w:color="auto"/>
                  </w:divBdr>
                  <w:divsChild>
                    <w:div w:id="1364984279">
                      <w:marLeft w:val="0"/>
                      <w:marRight w:val="0"/>
                      <w:marTop w:val="0"/>
                      <w:marBottom w:val="0"/>
                      <w:divBdr>
                        <w:top w:val="none" w:sz="0" w:space="0" w:color="auto"/>
                        <w:left w:val="none" w:sz="0" w:space="0" w:color="auto"/>
                        <w:bottom w:val="none" w:sz="0" w:space="0" w:color="auto"/>
                        <w:right w:val="none" w:sz="0" w:space="0" w:color="auto"/>
                      </w:divBdr>
                    </w:div>
                    <w:div w:id="484057231">
                      <w:marLeft w:val="0"/>
                      <w:marRight w:val="0"/>
                      <w:marTop w:val="0"/>
                      <w:marBottom w:val="0"/>
                      <w:divBdr>
                        <w:top w:val="none" w:sz="0" w:space="0" w:color="auto"/>
                        <w:left w:val="none" w:sz="0" w:space="0" w:color="auto"/>
                        <w:bottom w:val="none" w:sz="0" w:space="0" w:color="auto"/>
                        <w:right w:val="none" w:sz="0" w:space="0" w:color="auto"/>
                      </w:divBdr>
                    </w:div>
                  </w:divsChild>
                </w:div>
                <w:div w:id="1908615422">
                  <w:marLeft w:val="0"/>
                  <w:marRight w:val="0"/>
                  <w:marTop w:val="0"/>
                  <w:marBottom w:val="0"/>
                  <w:divBdr>
                    <w:top w:val="none" w:sz="0" w:space="0" w:color="auto"/>
                    <w:left w:val="none" w:sz="0" w:space="0" w:color="auto"/>
                    <w:bottom w:val="none" w:sz="0" w:space="0" w:color="auto"/>
                    <w:right w:val="none" w:sz="0" w:space="0" w:color="auto"/>
                  </w:divBdr>
                  <w:divsChild>
                    <w:div w:id="390663682">
                      <w:marLeft w:val="0"/>
                      <w:marRight w:val="0"/>
                      <w:marTop w:val="0"/>
                      <w:marBottom w:val="0"/>
                      <w:divBdr>
                        <w:top w:val="none" w:sz="0" w:space="0" w:color="auto"/>
                        <w:left w:val="none" w:sz="0" w:space="0" w:color="auto"/>
                        <w:bottom w:val="none" w:sz="0" w:space="0" w:color="auto"/>
                        <w:right w:val="none" w:sz="0" w:space="0" w:color="auto"/>
                      </w:divBdr>
                    </w:div>
                  </w:divsChild>
                </w:div>
                <w:div w:id="529950569">
                  <w:marLeft w:val="0"/>
                  <w:marRight w:val="0"/>
                  <w:marTop w:val="0"/>
                  <w:marBottom w:val="0"/>
                  <w:divBdr>
                    <w:top w:val="none" w:sz="0" w:space="0" w:color="auto"/>
                    <w:left w:val="none" w:sz="0" w:space="0" w:color="auto"/>
                    <w:bottom w:val="none" w:sz="0" w:space="0" w:color="auto"/>
                    <w:right w:val="none" w:sz="0" w:space="0" w:color="auto"/>
                  </w:divBdr>
                  <w:divsChild>
                    <w:div w:id="880677203">
                      <w:marLeft w:val="0"/>
                      <w:marRight w:val="0"/>
                      <w:marTop w:val="0"/>
                      <w:marBottom w:val="0"/>
                      <w:divBdr>
                        <w:top w:val="none" w:sz="0" w:space="0" w:color="auto"/>
                        <w:left w:val="none" w:sz="0" w:space="0" w:color="auto"/>
                        <w:bottom w:val="none" w:sz="0" w:space="0" w:color="auto"/>
                        <w:right w:val="none" w:sz="0" w:space="0" w:color="auto"/>
                      </w:divBdr>
                    </w:div>
                  </w:divsChild>
                </w:div>
                <w:div w:id="764229979">
                  <w:marLeft w:val="0"/>
                  <w:marRight w:val="0"/>
                  <w:marTop w:val="0"/>
                  <w:marBottom w:val="0"/>
                  <w:divBdr>
                    <w:top w:val="none" w:sz="0" w:space="0" w:color="auto"/>
                    <w:left w:val="none" w:sz="0" w:space="0" w:color="auto"/>
                    <w:bottom w:val="none" w:sz="0" w:space="0" w:color="auto"/>
                    <w:right w:val="none" w:sz="0" w:space="0" w:color="auto"/>
                  </w:divBdr>
                  <w:divsChild>
                    <w:div w:id="1056780567">
                      <w:marLeft w:val="0"/>
                      <w:marRight w:val="0"/>
                      <w:marTop w:val="0"/>
                      <w:marBottom w:val="0"/>
                      <w:divBdr>
                        <w:top w:val="none" w:sz="0" w:space="0" w:color="auto"/>
                        <w:left w:val="none" w:sz="0" w:space="0" w:color="auto"/>
                        <w:bottom w:val="none" w:sz="0" w:space="0" w:color="auto"/>
                        <w:right w:val="none" w:sz="0" w:space="0" w:color="auto"/>
                      </w:divBdr>
                    </w:div>
                    <w:div w:id="1156072410">
                      <w:marLeft w:val="0"/>
                      <w:marRight w:val="0"/>
                      <w:marTop w:val="0"/>
                      <w:marBottom w:val="0"/>
                      <w:divBdr>
                        <w:top w:val="none" w:sz="0" w:space="0" w:color="auto"/>
                        <w:left w:val="none" w:sz="0" w:space="0" w:color="auto"/>
                        <w:bottom w:val="none" w:sz="0" w:space="0" w:color="auto"/>
                        <w:right w:val="none" w:sz="0" w:space="0" w:color="auto"/>
                      </w:divBdr>
                    </w:div>
                    <w:div w:id="206337043">
                      <w:marLeft w:val="0"/>
                      <w:marRight w:val="0"/>
                      <w:marTop w:val="0"/>
                      <w:marBottom w:val="0"/>
                      <w:divBdr>
                        <w:top w:val="none" w:sz="0" w:space="0" w:color="auto"/>
                        <w:left w:val="none" w:sz="0" w:space="0" w:color="auto"/>
                        <w:bottom w:val="none" w:sz="0" w:space="0" w:color="auto"/>
                        <w:right w:val="none" w:sz="0" w:space="0" w:color="auto"/>
                      </w:divBdr>
                    </w:div>
                  </w:divsChild>
                </w:div>
                <w:div w:id="1948003690">
                  <w:marLeft w:val="0"/>
                  <w:marRight w:val="0"/>
                  <w:marTop w:val="0"/>
                  <w:marBottom w:val="0"/>
                  <w:divBdr>
                    <w:top w:val="none" w:sz="0" w:space="0" w:color="auto"/>
                    <w:left w:val="none" w:sz="0" w:space="0" w:color="auto"/>
                    <w:bottom w:val="none" w:sz="0" w:space="0" w:color="auto"/>
                    <w:right w:val="none" w:sz="0" w:space="0" w:color="auto"/>
                  </w:divBdr>
                  <w:divsChild>
                    <w:div w:id="17456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6084">
          <w:marLeft w:val="0"/>
          <w:marRight w:val="0"/>
          <w:marTop w:val="0"/>
          <w:marBottom w:val="0"/>
          <w:divBdr>
            <w:top w:val="none" w:sz="0" w:space="0" w:color="auto"/>
            <w:left w:val="none" w:sz="0" w:space="0" w:color="auto"/>
            <w:bottom w:val="none" w:sz="0" w:space="0" w:color="auto"/>
            <w:right w:val="none" w:sz="0" w:space="0" w:color="auto"/>
          </w:divBdr>
        </w:div>
        <w:div w:id="1660384436">
          <w:marLeft w:val="0"/>
          <w:marRight w:val="0"/>
          <w:marTop w:val="0"/>
          <w:marBottom w:val="0"/>
          <w:divBdr>
            <w:top w:val="none" w:sz="0" w:space="0" w:color="auto"/>
            <w:left w:val="none" w:sz="0" w:space="0" w:color="auto"/>
            <w:bottom w:val="none" w:sz="0" w:space="0" w:color="auto"/>
            <w:right w:val="none" w:sz="0" w:space="0" w:color="auto"/>
          </w:divBdr>
        </w:div>
        <w:div w:id="1342002709">
          <w:marLeft w:val="0"/>
          <w:marRight w:val="0"/>
          <w:marTop w:val="0"/>
          <w:marBottom w:val="0"/>
          <w:divBdr>
            <w:top w:val="none" w:sz="0" w:space="0" w:color="auto"/>
            <w:left w:val="none" w:sz="0" w:space="0" w:color="auto"/>
            <w:bottom w:val="none" w:sz="0" w:space="0" w:color="auto"/>
            <w:right w:val="none" w:sz="0" w:space="0" w:color="auto"/>
          </w:divBdr>
        </w:div>
        <w:div w:id="353312813">
          <w:marLeft w:val="0"/>
          <w:marRight w:val="0"/>
          <w:marTop w:val="0"/>
          <w:marBottom w:val="0"/>
          <w:divBdr>
            <w:top w:val="none" w:sz="0" w:space="0" w:color="auto"/>
            <w:left w:val="none" w:sz="0" w:space="0" w:color="auto"/>
            <w:bottom w:val="none" w:sz="0" w:space="0" w:color="auto"/>
            <w:right w:val="none" w:sz="0" w:space="0" w:color="auto"/>
          </w:divBdr>
        </w:div>
        <w:div w:id="1946963432">
          <w:marLeft w:val="0"/>
          <w:marRight w:val="0"/>
          <w:marTop w:val="0"/>
          <w:marBottom w:val="0"/>
          <w:divBdr>
            <w:top w:val="none" w:sz="0" w:space="0" w:color="auto"/>
            <w:left w:val="none" w:sz="0" w:space="0" w:color="auto"/>
            <w:bottom w:val="none" w:sz="0" w:space="0" w:color="auto"/>
            <w:right w:val="none" w:sz="0" w:space="0" w:color="auto"/>
          </w:divBdr>
        </w:div>
        <w:div w:id="1552569366">
          <w:marLeft w:val="0"/>
          <w:marRight w:val="0"/>
          <w:marTop w:val="0"/>
          <w:marBottom w:val="0"/>
          <w:divBdr>
            <w:top w:val="none" w:sz="0" w:space="0" w:color="auto"/>
            <w:left w:val="none" w:sz="0" w:space="0" w:color="auto"/>
            <w:bottom w:val="none" w:sz="0" w:space="0" w:color="auto"/>
            <w:right w:val="none" w:sz="0" w:space="0" w:color="auto"/>
          </w:divBdr>
        </w:div>
        <w:div w:id="1683555895">
          <w:marLeft w:val="0"/>
          <w:marRight w:val="0"/>
          <w:marTop w:val="0"/>
          <w:marBottom w:val="0"/>
          <w:divBdr>
            <w:top w:val="none" w:sz="0" w:space="0" w:color="auto"/>
            <w:left w:val="none" w:sz="0" w:space="0" w:color="auto"/>
            <w:bottom w:val="none" w:sz="0" w:space="0" w:color="auto"/>
            <w:right w:val="none" w:sz="0" w:space="0" w:color="auto"/>
          </w:divBdr>
        </w:div>
        <w:div w:id="1816217698">
          <w:marLeft w:val="0"/>
          <w:marRight w:val="0"/>
          <w:marTop w:val="0"/>
          <w:marBottom w:val="0"/>
          <w:divBdr>
            <w:top w:val="none" w:sz="0" w:space="0" w:color="auto"/>
            <w:left w:val="none" w:sz="0" w:space="0" w:color="auto"/>
            <w:bottom w:val="none" w:sz="0" w:space="0" w:color="auto"/>
            <w:right w:val="none" w:sz="0" w:space="0" w:color="auto"/>
          </w:divBdr>
        </w:div>
        <w:div w:id="1913151924">
          <w:marLeft w:val="0"/>
          <w:marRight w:val="0"/>
          <w:marTop w:val="0"/>
          <w:marBottom w:val="0"/>
          <w:divBdr>
            <w:top w:val="none" w:sz="0" w:space="0" w:color="auto"/>
            <w:left w:val="none" w:sz="0" w:space="0" w:color="auto"/>
            <w:bottom w:val="none" w:sz="0" w:space="0" w:color="auto"/>
            <w:right w:val="none" w:sz="0" w:space="0" w:color="auto"/>
          </w:divBdr>
        </w:div>
        <w:div w:id="1796168454">
          <w:marLeft w:val="0"/>
          <w:marRight w:val="0"/>
          <w:marTop w:val="0"/>
          <w:marBottom w:val="0"/>
          <w:divBdr>
            <w:top w:val="none" w:sz="0" w:space="0" w:color="auto"/>
            <w:left w:val="none" w:sz="0" w:space="0" w:color="auto"/>
            <w:bottom w:val="none" w:sz="0" w:space="0" w:color="auto"/>
            <w:right w:val="none" w:sz="0" w:space="0" w:color="auto"/>
          </w:divBdr>
        </w:div>
        <w:div w:id="289867438">
          <w:marLeft w:val="0"/>
          <w:marRight w:val="0"/>
          <w:marTop w:val="0"/>
          <w:marBottom w:val="0"/>
          <w:divBdr>
            <w:top w:val="none" w:sz="0" w:space="0" w:color="auto"/>
            <w:left w:val="none" w:sz="0" w:space="0" w:color="auto"/>
            <w:bottom w:val="none" w:sz="0" w:space="0" w:color="auto"/>
            <w:right w:val="none" w:sz="0" w:space="0" w:color="auto"/>
          </w:divBdr>
        </w:div>
        <w:div w:id="1122310087">
          <w:marLeft w:val="0"/>
          <w:marRight w:val="0"/>
          <w:marTop w:val="0"/>
          <w:marBottom w:val="0"/>
          <w:divBdr>
            <w:top w:val="none" w:sz="0" w:space="0" w:color="auto"/>
            <w:left w:val="none" w:sz="0" w:space="0" w:color="auto"/>
            <w:bottom w:val="none" w:sz="0" w:space="0" w:color="auto"/>
            <w:right w:val="none" w:sz="0" w:space="0" w:color="auto"/>
          </w:divBdr>
        </w:div>
        <w:div w:id="729689261">
          <w:marLeft w:val="0"/>
          <w:marRight w:val="0"/>
          <w:marTop w:val="0"/>
          <w:marBottom w:val="0"/>
          <w:divBdr>
            <w:top w:val="none" w:sz="0" w:space="0" w:color="auto"/>
            <w:left w:val="none" w:sz="0" w:space="0" w:color="auto"/>
            <w:bottom w:val="none" w:sz="0" w:space="0" w:color="auto"/>
            <w:right w:val="none" w:sz="0" w:space="0" w:color="auto"/>
          </w:divBdr>
        </w:div>
        <w:div w:id="101532503">
          <w:marLeft w:val="0"/>
          <w:marRight w:val="0"/>
          <w:marTop w:val="0"/>
          <w:marBottom w:val="0"/>
          <w:divBdr>
            <w:top w:val="none" w:sz="0" w:space="0" w:color="auto"/>
            <w:left w:val="none" w:sz="0" w:space="0" w:color="auto"/>
            <w:bottom w:val="none" w:sz="0" w:space="0" w:color="auto"/>
            <w:right w:val="none" w:sz="0" w:space="0" w:color="auto"/>
          </w:divBdr>
        </w:div>
        <w:div w:id="2073891765">
          <w:marLeft w:val="0"/>
          <w:marRight w:val="0"/>
          <w:marTop w:val="0"/>
          <w:marBottom w:val="0"/>
          <w:divBdr>
            <w:top w:val="none" w:sz="0" w:space="0" w:color="auto"/>
            <w:left w:val="none" w:sz="0" w:space="0" w:color="auto"/>
            <w:bottom w:val="none" w:sz="0" w:space="0" w:color="auto"/>
            <w:right w:val="none" w:sz="0" w:space="0" w:color="auto"/>
          </w:divBdr>
        </w:div>
        <w:div w:id="632443923">
          <w:marLeft w:val="0"/>
          <w:marRight w:val="0"/>
          <w:marTop w:val="0"/>
          <w:marBottom w:val="0"/>
          <w:divBdr>
            <w:top w:val="none" w:sz="0" w:space="0" w:color="auto"/>
            <w:left w:val="none" w:sz="0" w:space="0" w:color="auto"/>
            <w:bottom w:val="none" w:sz="0" w:space="0" w:color="auto"/>
            <w:right w:val="none" w:sz="0" w:space="0" w:color="auto"/>
          </w:divBdr>
        </w:div>
        <w:div w:id="51974739">
          <w:marLeft w:val="0"/>
          <w:marRight w:val="0"/>
          <w:marTop w:val="0"/>
          <w:marBottom w:val="0"/>
          <w:divBdr>
            <w:top w:val="none" w:sz="0" w:space="0" w:color="auto"/>
            <w:left w:val="none" w:sz="0" w:space="0" w:color="auto"/>
            <w:bottom w:val="none" w:sz="0" w:space="0" w:color="auto"/>
            <w:right w:val="none" w:sz="0" w:space="0" w:color="auto"/>
          </w:divBdr>
        </w:div>
        <w:div w:id="101463925">
          <w:marLeft w:val="0"/>
          <w:marRight w:val="0"/>
          <w:marTop w:val="0"/>
          <w:marBottom w:val="0"/>
          <w:divBdr>
            <w:top w:val="none" w:sz="0" w:space="0" w:color="auto"/>
            <w:left w:val="none" w:sz="0" w:space="0" w:color="auto"/>
            <w:bottom w:val="none" w:sz="0" w:space="0" w:color="auto"/>
            <w:right w:val="none" w:sz="0" w:space="0" w:color="auto"/>
          </w:divBdr>
        </w:div>
        <w:div w:id="211963140">
          <w:marLeft w:val="0"/>
          <w:marRight w:val="0"/>
          <w:marTop w:val="0"/>
          <w:marBottom w:val="0"/>
          <w:divBdr>
            <w:top w:val="none" w:sz="0" w:space="0" w:color="auto"/>
            <w:left w:val="none" w:sz="0" w:space="0" w:color="auto"/>
            <w:bottom w:val="none" w:sz="0" w:space="0" w:color="auto"/>
            <w:right w:val="none" w:sz="0" w:space="0" w:color="auto"/>
          </w:divBdr>
        </w:div>
        <w:div w:id="875657922">
          <w:marLeft w:val="0"/>
          <w:marRight w:val="0"/>
          <w:marTop w:val="0"/>
          <w:marBottom w:val="0"/>
          <w:divBdr>
            <w:top w:val="none" w:sz="0" w:space="0" w:color="auto"/>
            <w:left w:val="none" w:sz="0" w:space="0" w:color="auto"/>
            <w:bottom w:val="none" w:sz="0" w:space="0" w:color="auto"/>
            <w:right w:val="none" w:sz="0" w:space="0" w:color="auto"/>
          </w:divBdr>
        </w:div>
        <w:div w:id="132673430">
          <w:marLeft w:val="0"/>
          <w:marRight w:val="0"/>
          <w:marTop w:val="0"/>
          <w:marBottom w:val="0"/>
          <w:divBdr>
            <w:top w:val="none" w:sz="0" w:space="0" w:color="auto"/>
            <w:left w:val="none" w:sz="0" w:space="0" w:color="auto"/>
            <w:bottom w:val="none" w:sz="0" w:space="0" w:color="auto"/>
            <w:right w:val="none" w:sz="0" w:space="0" w:color="auto"/>
          </w:divBdr>
        </w:div>
        <w:div w:id="1748454829">
          <w:marLeft w:val="0"/>
          <w:marRight w:val="0"/>
          <w:marTop w:val="0"/>
          <w:marBottom w:val="0"/>
          <w:divBdr>
            <w:top w:val="none" w:sz="0" w:space="0" w:color="auto"/>
            <w:left w:val="none" w:sz="0" w:space="0" w:color="auto"/>
            <w:bottom w:val="none" w:sz="0" w:space="0" w:color="auto"/>
            <w:right w:val="none" w:sz="0" w:space="0" w:color="auto"/>
          </w:divBdr>
        </w:div>
        <w:div w:id="152451390">
          <w:marLeft w:val="0"/>
          <w:marRight w:val="0"/>
          <w:marTop w:val="0"/>
          <w:marBottom w:val="0"/>
          <w:divBdr>
            <w:top w:val="none" w:sz="0" w:space="0" w:color="auto"/>
            <w:left w:val="none" w:sz="0" w:space="0" w:color="auto"/>
            <w:bottom w:val="none" w:sz="0" w:space="0" w:color="auto"/>
            <w:right w:val="none" w:sz="0" w:space="0" w:color="auto"/>
          </w:divBdr>
        </w:div>
        <w:div w:id="96950188">
          <w:marLeft w:val="0"/>
          <w:marRight w:val="0"/>
          <w:marTop w:val="0"/>
          <w:marBottom w:val="0"/>
          <w:divBdr>
            <w:top w:val="none" w:sz="0" w:space="0" w:color="auto"/>
            <w:left w:val="none" w:sz="0" w:space="0" w:color="auto"/>
            <w:bottom w:val="none" w:sz="0" w:space="0" w:color="auto"/>
            <w:right w:val="none" w:sz="0" w:space="0" w:color="auto"/>
          </w:divBdr>
        </w:div>
        <w:div w:id="294139271">
          <w:marLeft w:val="0"/>
          <w:marRight w:val="0"/>
          <w:marTop w:val="0"/>
          <w:marBottom w:val="0"/>
          <w:divBdr>
            <w:top w:val="none" w:sz="0" w:space="0" w:color="auto"/>
            <w:left w:val="none" w:sz="0" w:space="0" w:color="auto"/>
            <w:bottom w:val="none" w:sz="0" w:space="0" w:color="auto"/>
            <w:right w:val="none" w:sz="0" w:space="0" w:color="auto"/>
          </w:divBdr>
        </w:div>
        <w:div w:id="46346857">
          <w:marLeft w:val="0"/>
          <w:marRight w:val="0"/>
          <w:marTop w:val="0"/>
          <w:marBottom w:val="0"/>
          <w:divBdr>
            <w:top w:val="none" w:sz="0" w:space="0" w:color="auto"/>
            <w:left w:val="none" w:sz="0" w:space="0" w:color="auto"/>
            <w:bottom w:val="none" w:sz="0" w:space="0" w:color="auto"/>
            <w:right w:val="none" w:sz="0" w:space="0" w:color="auto"/>
          </w:divBdr>
        </w:div>
        <w:div w:id="116875480">
          <w:marLeft w:val="0"/>
          <w:marRight w:val="0"/>
          <w:marTop w:val="0"/>
          <w:marBottom w:val="0"/>
          <w:divBdr>
            <w:top w:val="none" w:sz="0" w:space="0" w:color="auto"/>
            <w:left w:val="none" w:sz="0" w:space="0" w:color="auto"/>
            <w:bottom w:val="none" w:sz="0" w:space="0" w:color="auto"/>
            <w:right w:val="none" w:sz="0" w:space="0" w:color="auto"/>
          </w:divBdr>
        </w:div>
        <w:div w:id="1907260427">
          <w:marLeft w:val="0"/>
          <w:marRight w:val="0"/>
          <w:marTop w:val="0"/>
          <w:marBottom w:val="0"/>
          <w:divBdr>
            <w:top w:val="none" w:sz="0" w:space="0" w:color="auto"/>
            <w:left w:val="none" w:sz="0" w:space="0" w:color="auto"/>
            <w:bottom w:val="none" w:sz="0" w:space="0" w:color="auto"/>
            <w:right w:val="none" w:sz="0" w:space="0" w:color="auto"/>
          </w:divBdr>
        </w:div>
        <w:div w:id="1561095744">
          <w:marLeft w:val="0"/>
          <w:marRight w:val="0"/>
          <w:marTop w:val="0"/>
          <w:marBottom w:val="0"/>
          <w:divBdr>
            <w:top w:val="none" w:sz="0" w:space="0" w:color="auto"/>
            <w:left w:val="none" w:sz="0" w:space="0" w:color="auto"/>
            <w:bottom w:val="none" w:sz="0" w:space="0" w:color="auto"/>
            <w:right w:val="none" w:sz="0" w:space="0" w:color="auto"/>
          </w:divBdr>
        </w:div>
        <w:div w:id="1097022990">
          <w:marLeft w:val="0"/>
          <w:marRight w:val="0"/>
          <w:marTop w:val="0"/>
          <w:marBottom w:val="0"/>
          <w:divBdr>
            <w:top w:val="none" w:sz="0" w:space="0" w:color="auto"/>
            <w:left w:val="none" w:sz="0" w:space="0" w:color="auto"/>
            <w:bottom w:val="none" w:sz="0" w:space="0" w:color="auto"/>
            <w:right w:val="none" w:sz="0" w:space="0" w:color="auto"/>
          </w:divBdr>
        </w:div>
        <w:div w:id="804935156">
          <w:marLeft w:val="0"/>
          <w:marRight w:val="0"/>
          <w:marTop w:val="0"/>
          <w:marBottom w:val="0"/>
          <w:divBdr>
            <w:top w:val="none" w:sz="0" w:space="0" w:color="auto"/>
            <w:left w:val="none" w:sz="0" w:space="0" w:color="auto"/>
            <w:bottom w:val="none" w:sz="0" w:space="0" w:color="auto"/>
            <w:right w:val="none" w:sz="0" w:space="0" w:color="auto"/>
          </w:divBdr>
        </w:div>
        <w:div w:id="112142608">
          <w:marLeft w:val="0"/>
          <w:marRight w:val="0"/>
          <w:marTop w:val="0"/>
          <w:marBottom w:val="0"/>
          <w:divBdr>
            <w:top w:val="none" w:sz="0" w:space="0" w:color="auto"/>
            <w:left w:val="none" w:sz="0" w:space="0" w:color="auto"/>
            <w:bottom w:val="none" w:sz="0" w:space="0" w:color="auto"/>
            <w:right w:val="none" w:sz="0" w:space="0" w:color="auto"/>
          </w:divBdr>
        </w:div>
        <w:div w:id="1283803689">
          <w:marLeft w:val="0"/>
          <w:marRight w:val="0"/>
          <w:marTop w:val="0"/>
          <w:marBottom w:val="0"/>
          <w:divBdr>
            <w:top w:val="none" w:sz="0" w:space="0" w:color="auto"/>
            <w:left w:val="none" w:sz="0" w:space="0" w:color="auto"/>
            <w:bottom w:val="none" w:sz="0" w:space="0" w:color="auto"/>
            <w:right w:val="none" w:sz="0" w:space="0" w:color="auto"/>
          </w:divBdr>
        </w:div>
        <w:div w:id="466626654">
          <w:marLeft w:val="0"/>
          <w:marRight w:val="0"/>
          <w:marTop w:val="0"/>
          <w:marBottom w:val="0"/>
          <w:divBdr>
            <w:top w:val="none" w:sz="0" w:space="0" w:color="auto"/>
            <w:left w:val="none" w:sz="0" w:space="0" w:color="auto"/>
            <w:bottom w:val="none" w:sz="0" w:space="0" w:color="auto"/>
            <w:right w:val="none" w:sz="0" w:space="0" w:color="auto"/>
          </w:divBdr>
        </w:div>
        <w:div w:id="931815020">
          <w:marLeft w:val="0"/>
          <w:marRight w:val="0"/>
          <w:marTop w:val="0"/>
          <w:marBottom w:val="0"/>
          <w:divBdr>
            <w:top w:val="none" w:sz="0" w:space="0" w:color="auto"/>
            <w:left w:val="none" w:sz="0" w:space="0" w:color="auto"/>
            <w:bottom w:val="none" w:sz="0" w:space="0" w:color="auto"/>
            <w:right w:val="none" w:sz="0" w:space="0" w:color="auto"/>
          </w:divBdr>
        </w:div>
        <w:div w:id="1951620123">
          <w:marLeft w:val="0"/>
          <w:marRight w:val="0"/>
          <w:marTop w:val="0"/>
          <w:marBottom w:val="0"/>
          <w:divBdr>
            <w:top w:val="none" w:sz="0" w:space="0" w:color="auto"/>
            <w:left w:val="none" w:sz="0" w:space="0" w:color="auto"/>
            <w:bottom w:val="none" w:sz="0" w:space="0" w:color="auto"/>
            <w:right w:val="none" w:sz="0" w:space="0" w:color="auto"/>
          </w:divBdr>
        </w:div>
        <w:div w:id="180319700">
          <w:marLeft w:val="0"/>
          <w:marRight w:val="0"/>
          <w:marTop w:val="0"/>
          <w:marBottom w:val="0"/>
          <w:divBdr>
            <w:top w:val="none" w:sz="0" w:space="0" w:color="auto"/>
            <w:left w:val="none" w:sz="0" w:space="0" w:color="auto"/>
            <w:bottom w:val="none" w:sz="0" w:space="0" w:color="auto"/>
            <w:right w:val="none" w:sz="0" w:space="0" w:color="auto"/>
          </w:divBdr>
        </w:div>
        <w:div w:id="36242602">
          <w:marLeft w:val="0"/>
          <w:marRight w:val="0"/>
          <w:marTop w:val="0"/>
          <w:marBottom w:val="0"/>
          <w:divBdr>
            <w:top w:val="none" w:sz="0" w:space="0" w:color="auto"/>
            <w:left w:val="none" w:sz="0" w:space="0" w:color="auto"/>
            <w:bottom w:val="none" w:sz="0" w:space="0" w:color="auto"/>
            <w:right w:val="none" w:sz="0" w:space="0" w:color="auto"/>
          </w:divBdr>
        </w:div>
        <w:div w:id="2133402328">
          <w:marLeft w:val="0"/>
          <w:marRight w:val="0"/>
          <w:marTop w:val="0"/>
          <w:marBottom w:val="0"/>
          <w:divBdr>
            <w:top w:val="none" w:sz="0" w:space="0" w:color="auto"/>
            <w:left w:val="none" w:sz="0" w:space="0" w:color="auto"/>
            <w:bottom w:val="none" w:sz="0" w:space="0" w:color="auto"/>
            <w:right w:val="none" w:sz="0" w:space="0" w:color="auto"/>
          </w:divBdr>
        </w:div>
        <w:div w:id="1022391259">
          <w:marLeft w:val="0"/>
          <w:marRight w:val="0"/>
          <w:marTop w:val="0"/>
          <w:marBottom w:val="0"/>
          <w:divBdr>
            <w:top w:val="none" w:sz="0" w:space="0" w:color="auto"/>
            <w:left w:val="none" w:sz="0" w:space="0" w:color="auto"/>
            <w:bottom w:val="none" w:sz="0" w:space="0" w:color="auto"/>
            <w:right w:val="none" w:sz="0" w:space="0" w:color="auto"/>
          </w:divBdr>
        </w:div>
        <w:div w:id="942569802">
          <w:marLeft w:val="0"/>
          <w:marRight w:val="0"/>
          <w:marTop w:val="0"/>
          <w:marBottom w:val="0"/>
          <w:divBdr>
            <w:top w:val="none" w:sz="0" w:space="0" w:color="auto"/>
            <w:left w:val="none" w:sz="0" w:space="0" w:color="auto"/>
            <w:bottom w:val="none" w:sz="0" w:space="0" w:color="auto"/>
            <w:right w:val="none" w:sz="0" w:space="0" w:color="auto"/>
          </w:divBdr>
        </w:div>
        <w:div w:id="1258178492">
          <w:marLeft w:val="0"/>
          <w:marRight w:val="0"/>
          <w:marTop w:val="0"/>
          <w:marBottom w:val="0"/>
          <w:divBdr>
            <w:top w:val="none" w:sz="0" w:space="0" w:color="auto"/>
            <w:left w:val="none" w:sz="0" w:space="0" w:color="auto"/>
            <w:bottom w:val="none" w:sz="0" w:space="0" w:color="auto"/>
            <w:right w:val="none" w:sz="0" w:space="0" w:color="auto"/>
          </w:divBdr>
        </w:div>
        <w:div w:id="112946874">
          <w:marLeft w:val="0"/>
          <w:marRight w:val="0"/>
          <w:marTop w:val="0"/>
          <w:marBottom w:val="0"/>
          <w:divBdr>
            <w:top w:val="none" w:sz="0" w:space="0" w:color="auto"/>
            <w:left w:val="none" w:sz="0" w:space="0" w:color="auto"/>
            <w:bottom w:val="none" w:sz="0" w:space="0" w:color="auto"/>
            <w:right w:val="none" w:sz="0" w:space="0" w:color="auto"/>
          </w:divBdr>
        </w:div>
        <w:div w:id="12152608">
          <w:marLeft w:val="0"/>
          <w:marRight w:val="0"/>
          <w:marTop w:val="0"/>
          <w:marBottom w:val="0"/>
          <w:divBdr>
            <w:top w:val="none" w:sz="0" w:space="0" w:color="auto"/>
            <w:left w:val="none" w:sz="0" w:space="0" w:color="auto"/>
            <w:bottom w:val="none" w:sz="0" w:space="0" w:color="auto"/>
            <w:right w:val="none" w:sz="0" w:space="0" w:color="auto"/>
          </w:divBdr>
        </w:div>
        <w:div w:id="1435052233">
          <w:marLeft w:val="0"/>
          <w:marRight w:val="0"/>
          <w:marTop w:val="0"/>
          <w:marBottom w:val="0"/>
          <w:divBdr>
            <w:top w:val="none" w:sz="0" w:space="0" w:color="auto"/>
            <w:left w:val="none" w:sz="0" w:space="0" w:color="auto"/>
            <w:bottom w:val="none" w:sz="0" w:space="0" w:color="auto"/>
            <w:right w:val="none" w:sz="0" w:space="0" w:color="auto"/>
          </w:divBdr>
        </w:div>
        <w:div w:id="993416345">
          <w:marLeft w:val="0"/>
          <w:marRight w:val="0"/>
          <w:marTop w:val="0"/>
          <w:marBottom w:val="0"/>
          <w:divBdr>
            <w:top w:val="none" w:sz="0" w:space="0" w:color="auto"/>
            <w:left w:val="none" w:sz="0" w:space="0" w:color="auto"/>
            <w:bottom w:val="none" w:sz="0" w:space="0" w:color="auto"/>
            <w:right w:val="none" w:sz="0" w:space="0" w:color="auto"/>
          </w:divBdr>
        </w:div>
        <w:div w:id="401296689">
          <w:marLeft w:val="0"/>
          <w:marRight w:val="0"/>
          <w:marTop w:val="0"/>
          <w:marBottom w:val="0"/>
          <w:divBdr>
            <w:top w:val="none" w:sz="0" w:space="0" w:color="auto"/>
            <w:left w:val="none" w:sz="0" w:space="0" w:color="auto"/>
            <w:bottom w:val="none" w:sz="0" w:space="0" w:color="auto"/>
            <w:right w:val="none" w:sz="0" w:space="0" w:color="auto"/>
          </w:divBdr>
        </w:div>
        <w:div w:id="1589315469">
          <w:marLeft w:val="0"/>
          <w:marRight w:val="0"/>
          <w:marTop w:val="0"/>
          <w:marBottom w:val="0"/>
          <w:divBdr>
            <w:top w:val="none" w:sz="0" w:space="0" w:color="auto"/>
            <w:left w:val="none" w:sz="0" w:space="0" w:color="auto"/>
            <w:bottom w:val="none" w:sz="0" w:space="0" w:color="auto"/>
            <w:right w:val="none" w:sz="0" w:space="0" w:color="auto"/>
          </w:divBdr>
        </w:div>
        <w:div w:id="1164324228">
          <w:marLeft w:val="0"/>
          <w:marRight w:val="0"/>
          <w:marTop w:val="0"/>
          <w:marBottom w:val="0"/>
          <w:divBdr>
            <w:top w:val="none" w:sz="0" w:space="0" w:color="auto"/>
            <w:left w:val="none" w:sz="0" w:space="0" w:color="auto"/>
            <w:bottom w:val="none" w:sz="0" w:space="0" w:color="auto"/>
            <w:right w:val="none" w:sz="0" w:space="0" w:color="auto"/>
          </w:divBdr>
        </w:div>
        <w:div w:id="960113876">
          <w:marLeft w:val="0"/>
          <w:marRight w:val="0"/>
          <w:marTop w:val="0"/>
          <w:marBottom w:val="0"/>
          <w:divBdr>
            <w:top w:val="none" w:sz="0" w:space="0" w:color="auto"/>
            <w:left w:val="none" w:sz="0" w:space="0" w:color="auto"/>
            <w:bottom w:val="none" w:sz="0" w:space="0" w:color="auto"/>
            <w:right w:val="none" w:sz="0" w:space="0" w:color="auto"/>
          </w:divBdr>
        </w:div>
        <w:div w:id="1515068244">
          <w:marLeft w:val="0"/>
          <w:marRight w:val="0"/>
          <w:marTop w:val="0"/>
          <w:marBottom w:val="0"/>
          <w:divBdr>
            <w:top w:val="none" w:sz="0" w:space="0" w:color="auto"/>
            <w:left w:val="none" w:sz="0" w:space="0" w:color="auto"/>
            <w:bottom w:val="none" w:sz="0" w:space="0" w:color="auto"/>
            <w:right w:val="none" w:sz="0" w:space="0" w:color="auto"/>
          </w:divBdr>
        </w:div>
        <w:div w:id="1876773402">
          <w:marLeft w:val="0"/>
          <w:marRight w:val="0"/>
          <w:marTop w:val="0"/>
          <w:marBottom w:val="0"/>
          <w:divBdr>
            <w:top w:val="none" w:sz="0" w:space="0" w:color="auto"/>
            <w:left w:val="none" w:sz="0" w:space="0" w:color="auto"/>
            <w:bottom w:val="none" w:sz="0" w:space="0" w:color="auto"/>
            <w:right w:val="none" w:sz="0" w:space="0" w:color="auto"/>
          </w:divBdr>
        </w:div>
        <w:div w:id="1533377660">
          <w:marLeft w:val="0"/>
          <w:marRight w:val="0"/>
          <w:marTop w:val="0"/>
          <w:marBottom w:val="0"/>
          <w:divBdr>
            <w:top w:val="none" w:sz="0" w:space="0" w:color="auto"/>
            <w:left w:val="none" w:sz="0" w:space="0" w:color="auto"/>
            <w:bottom w:val="none" w:sz="0" w:space="0" w:color="auto"/>
            <w:right w:val="none" w:sz="0" w:space="0" w:color="auto"/>
          </w:divBdr>
        </w:div>
        <w:div w:id="1377854896">
          <w:marLeft w:val="0"/>
          <w:marRight w:val="0"/>
          <w:marTop w:val="0"/>
          <w:marBottom w:val="0"/>
          <w:divBdr>
            <w:top w:val="none" w:sz="0" w:space="0" w:color="auto"/>
            <w:left w:val="none" w:sz="0" w:space="0" w:color="auto"/>
            <w:bottom w:val="none" w:sz="0" w:space="0" w:color="auto"/>
            <w:right w:val="none" w:sz="0" w:space="0" w:color="auto"/>
          </w:divBdr>
        </w:div>
        <w:div w:id="957105258">
          <w:marLeft w:val="0"/>
          <w:marRight w:val="0"/>
          <w:marTop w:val="0"/>
          <w:marBottom w:val="0"/>
          <w:divBdr>
            <w:top w:val="none" w:sz="0" w:space="0" w:color="auto"/>
            <w:left w:val="none" w:sz="0" w:space="0" w:color="auto"/>
            <w:bottom w:val="none" w:sz="0" w:space="0" w:color="auto"/>
            <w:right w:val="none" w:sz="0" w:space="0" w:color="auto"/>
          </w:divBdr>
        </w:div>
        <w:div w:id="790055144">
          <w:marLeft w:val="0"/>
          <w:marRight w:val="0"/>
          <w:marTop w:val="0"/>
          <w:marBottom w:val="0"/>
          <w:divBdr>
            <w:top w:val="none" w:sz="0" w:space="0" w:color="auto"/>
            <w:left w:val="none" w:sz="0" w:space="0" w:color="auto"/>
            <w:bottom w:val="none" w:sz="0" w:space="0" w:color="auto"/>
            <w:right w:val="none" w:sz="0" w:space="0" w:color="auto"/>
          </w:divBdr>
        </w:div>
        <w:div w:id="441416777">
          <w:marLeft w:val="0"/>
          <w:marRight w:val="0"/>
          <w:marTop w:val="0"/>
          <w:marBottom w:val="0"/>
          <w:divBdr>
            <w:top w:val="none" w:sz="0" w:space="0" w:color="auto"/>
            <w:left w:val="none" w:sz="0" w:space="0" w:color="auto"/>
            <w:bottom w:val="none" w:sz="0" w:space="0" w:color="auto"/>
            <w:right w:val="none" w:sz="0" w:space="0" w:color="auto"/>
          </w:divBdr>
        </w:div>
        <w:div w:id="555511535">
          <w:marLeft w:val="0"/>
          <w:marRight w:val="0"/>
          <w:marTop w:val="0"/>
          <w:marBottom w:val="0"/>
          <w:divBdr>
            <w:top w:val="none" w:sz="0" w:space="0" w:color="auto"/>
            <w:left w:val="none" w:sz="0" w:space="0" w:color="auto"/>
            <w:bottom w:val="none" w:sz="0" w:space="0" w:color="auto"/>
            <w:right w:val="none" w:sz="0" w:space="0" w:color="auto"/>
          </w:divBdr>
        </w:div>
        <w:div w:id="1935240949">
          <w:marLeft w:val="0"/>
          <w:marRight w:val="0"/>
          <w:marTop w:val="0"/>
          <w:marBottom w:val="0"/>
          <w:divBdr>
            <w:top w:val="none" w:sz="0" w:space="0" w:color="auto"/>
            <w:left w:val="none" w:sz="0" w:space="0" w:color="auto"/>
            <w:bottom w:val="none" w:sz="0" w:space="0" w:color="auto"/>
            <w:right w:val="none" w:sz="0" w:space="0" w:color="auto"/>
          </w:divBdr>
        </w:div>
        <w:div w:id="114839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8724</Words>
  <Characters>47986</Characters>
  <Application>Microsoft Office Word</Application>
  <DocSecurity>0</DocSecurity>
  <Lines>399</Lines>
  <Paragraphs>113</Paragraphs>
  <ScaleCrop>false</ScaleCrop>
  <Company/>
  <LinksUpToDate>false</LinksUpToDate>
  <CharactersWithSpaces>56597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dcterms:created xsi:type="dcterms:W3CDTF">2020-08-05T16:36:00Z</dcterms:created>
  <dcterms:modified xsi:type="dcterms:W3CDTF">2020-10-07T16:47:00Z</dcterms:modified>
</cp:coreProperties>
</file>