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C6" w:rsidRPr="0049050B" w:rsidRDefault="00DD31C6" w:rsidP="00DD31C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905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D31C6" w:rsidRPr="0049050B" w:rsidRDefault="00DD31C6" w:rsidP="00DD31C6">
      <w:pPr>
        <w:jc w:val="both"/>
        <w:rPr>
          <w:rFonts w:ascii="Arial" w:hAnsi="Arial" w:cs="Arial"/>
          <w:sz w:val="20"/>
          <w:szCs w:val="20"/>
          <w:lang w:val="es-419" w:eastAsia="es-ES"/>
        </w:rPr>
      </w:pPr>
    </w:p>
    <w:p w:rsidR="00DD31C6" w:rsidRPr="0049050B" w:rsidRDefault="00DD31C6" w:rsidP="00DD31C6">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DD31C6" w:rsidRPr="0049050B" w:rsidRDefault="00DD31C6" w:rsidP="00DD31C6">
      <w:pPr>
        <w:jc w:val="both"/>
        <w:rPr>
          <w:rFonts w:ascii="Arial" w:hAnsi="Arial" w:cs="Arial"/>
          <w:sz w:val="20"/>
          <w:szCs w:val="20"/>
          <w:lang w:val="es-419" w:eastAsia="es-ES"/>
        </w:rPr>
      </w:pPr>
    </w:p>
    <w:p w:rsidR="00DD31C6" w:rsidRPr="0049050B" w:rsidRDefault="00DD31C6" w:rsidP="00DD31C6">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DD31C6" w:rsidRPr="0049050B" w:rsidRDefault="00DD31C6" w:rsidP="00DD31C6">
      <w:pPr>
        <w:jc w:val="both"/>
        <w:rPr>
          <w:rFonts w:ascii="Arial" w:hAnsi="Arial" w:cs="Arial"/>
          <w:sz w:val="20"/>
          <w:szCs w:val="20"/>
          <w:lang w:val="es-419" w:eastAsia="es-ES"/>
        </w:rPr>
      </w:pPr>
    </w:p>
    <w:p w:rsidR="00DD31C6" w:rsidRDefault="00DD31C6" w:rsidP="00DD31C6">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DD31C6" w:rsidRDefault="00DD31C6" w:rsidP="00DD31C6">
      <w:pPr>
        <w:jc w:val="both"/>
        <w:rPr>
          <w:rFonts w:ascii="Arial" w:hAnsi="Arial" w:cs="Arial"/>
          <w:sz w:val="20"/>
          <w:szCs w:val="20"/>
          <w:lang w:val="es-419" w:eastAsia="es-ES"/>
        </w:rPr>
      </w:pPr>
    </w:p>
    <w:p w:rsidR="00DD31C6" w:rsidRDefault="00DD31C6" w:rsidP="00DD31C6">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DD31C6" w:rsidRPr="0049050B" w:rsidRDefault="00DD31C6" w:rsidP="00DD31C6">
      <w:pPr>
        <w:jc w:val="both"/>
        <w:rPr>
          <w:rFonts w:ascii="Arial" w:hAnsi="Arial" w:cs="Arial"/>
          <w:sz w:val="20"/>
          <w:szCs w:val="20"/>
          <w:lang w:val="es-419" w:eastAsia="es-ES"/>
        </w:rPr>
      </w:pPr>
    </w:p>
    <w:p w:rsidR="00DD31C6" w:rsidRDefault="00DD31C6" w:rsidP="00DD31C6">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DD31C6" w:rsidRDefault="00DD31C6" w:rsidP="00DD31C6">
      <w:pPr>
        <w:jc w:val="both"/>
        <w:rPr>
          <w:rFonts w:ascii="Arial" w:hAnsi="Arial" w:cs="Arial"/>
          <w:sz w:val="20"/>
          <w:szCs w:val="20"/>
          <w:lang w:val="es-ES" w:eastAsia="es-ES"/>
        </w:rPr>
      </w:pPr>
    </w:p>
    <w:p w:rsidR="00DD31C6" w:rsidRPr="0049050B" w:rsidRDefault="00DD31C6" w:rsidP="00DD31C6">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DD31C6" w:rsidRPr="0049050B" w:rsidRDefault="00DD31C6" w:rsidP="00DD31C6">
      <w:pPr>
        <w:jc w:val="both"/>
        <w:rPr>
          <w:rFonts w:ascii="Arial" w:hAnsi="Arial" w:cs="Arial"/>
          <w:sz w:val="20"/>
          <w:szCs w:val="20"/>
          <w:lang w:val="es-ES" w:eastAsia="es-ES"/>
        </w:rPr>
      </w:pPr>
    </w:p>
    <w:p w:rsidR="00DD31C6" w:rsidRPr="00527174" w:rsidRDefault="00DD31C6" w:rsidP="00DD31C6">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DD31C6" w:rsidRDefault="00DD31C6" w:rsidP="00DD31C6">
      <w:pPr>
        <w:jc w:val="both"/>
        <w:rPr>
          <w:rFonts w:ascii="Arial" w:hAnsi="Arial" w:cs="Arial"/>
          <w:sz w:val="20"/>
          <w:szCs w:val="20"/>
          <w:lang w:val="es-ES" w:eastAsia="es-ES"/>
        </w:rPr>
      </w:pPr>
    </w:p>
    <w:p w:rsidR="00DD31C6" w:rsidRPr="00527174" w:rsidRDefault="00DD31C6" w:rsidP="00DD31C6">
      <w:pPr>
        <w:jc w:val="both"/>
        <w:rPr>
          <w:rFonts w:ascii="Arial" w:hAnsi="Arial" w:cs="Arial"/>
          <w:sz w:val="20"/>
          <w:szCs w:val="20"/>
          <w:lang w:val="es-ES" w:eastAsia="es-ES"/>
        </w:rPr>
      </w:pPr>
      <w:r w:rsidRPr="00527174">
        <w:rPr>
          <w:rFonts w:ascii="Arial"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z w:val="20"/>
          <w:szCs w:val="20"/>
          <w:lang w:val="es-ES" w:eastAsia="es-ES"/>
        </w:rPr>
        <w:t>RAIS</w:t>
      </w:r>
      <w:proofErr w:type="spellEnd"/>
      <w:r w:rsidRPr="00527174">
        <w:rPr>
          <w:rFonts w:ascii="Arial"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DD31C6" w:rsidRPr="00527174" w:rsidRDefault="00DD31C6" w:rsidP="00DD31C6">
      <w:pPr>
        <w:jc w:val="both"/>
        <w:rPr>
          <w:rFonts w:ascii="Arial" w:hAnsi="Arial" w:cs="Arial"/>
          <w:sz w:val="20"/>
          <w:szCs w:val="20"/>
          <w:lang w:val="es-ES" w:eastAsia="es-ES"/>
        </w:rPr>
      </w:pPr>
    </w:p>
    <w:p w:rsidR="00DD31C6" w:rsidRPr="0049050B" w:rsidRDefault="00DD31C6" w:rsidP="00DD31C6">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DD31C6" w:rsidRDefault="00DD31C6" w:rsidP="00DD31C6">
      <w:pPr>
        <w:jc w:val="both"/>
        <w:rPr>
          <w:rFonts w:ascii="Arial" w:hAnsi="Arial" w:cs="Arial"/>
          <w:sz w:val="20"/>
          <w:szCs w:val="20"/>
          <w:lang w:val="es-ES" w:eastAsia="es-ES"/>
        </w:rPr>
      </w:pPr>
    </w:p>
    <w:p w:rsidR="00DD31C6" w:rsidRPr="0049050B" w:rsidRDefault="00DD31C6" w:rsidP="00DD31C6">
      <w:pPr>
        <w:jc w:val="both"/>
        <w:rPr>
          <w:rFonts w:ascii="Arial" w:hAnsi="Arial" w:cs="Arial"/>
          <w:sz w:val="20"/>
          <w:szCs w:val="20"/>
          <w:lang w:val="es-ES" w:eastAsia="es-ES"/>
        </w:rPr>
      </w:pPr>
    </w:p>
    <w:p w:rsidR="00DD31C6" w:rsidRPr="0049050B" w:rsidRDefault="00DD31C6" w:rsidP="00DD31C6">
      <w:pPr>
        <w:jc w:val="both"/>
        <w:rPr>
          <w:rFonts w:ascii="Arial" w:hAnsi="Arial" w:cs="Arial"/>
          <w:sz w:val="20"/>
          <w:szCs w:val="20"/>
          <w:lang w:val="es-ES" w:eastAsia="es-ES"/>
        </w:rPr>
      </w:pPr>
    </w:p>
    <w:p w:rsidR="00314F21" w:rsidRPr="00DD31C6" w:rsidRDefault="00314F21" w:rsidP="00DD31C6">
      <w:pPr>
        <w:spacing w:line="276" w:lineRule="auto"/>
        <w:jc w:val="center"/>
        <w:textAlignment w:val="baseline"/>
        <w:rPr>
          <w:rFonts w:ascii="Arial" w:hAnsi="Arial" w:cs="Arial"/>
          <w:lang w:val="es-ES" w:eastAsia="es-ES"/>
        </w:rPr>
      </w:pPr>
      <w:r w:rsidRPr="00DD31C6">
        <w:rPr>
          <w:rFonts w:ascii="Arial" w:hAnsi="Arial" w:cs="Arial"/>
          <w:b/>
          <w:bCs/>
          <w:lang w:val="es-ES" w:eastAsia="es-ES"/>
        </w:rPr>
        <w:t>TRIBUNAL SUPERIOR DEL DISTRITO JUDICIAL</w:t>
      </w:r>
    </w:p>
    <w:p w:rsidR="00314F21" w:rsidRPr="00DD31C6" w:rsidRDefault="00314F21" w:rsidP="00DD31C6">
      <w:pPr>
        <w:spacing w:line="276" w:lineRule="auto"/>
        <w:jc w:val="center"/>
        <w:textAlignment w:val="baseline"/>
        <w:rPr>
          <w:rFonts w:ascii="Arial" w:hAnsi="Arial" w:cs="Arial"/>
          <w:lang w:val="es-ES" w:eastAsia="es-ES"/>
        </w:rPr>
      </w:pPr>
      <w:r w:rsidRPr="00DD31C6">
        <w:rPr>
          <w:rFonts w:ascii="Arial" w:hAnsi="Arial" w:cs="Arial"/>
          <w:b/>
          <w:bCs/>
          <w:lang w:val="es-ES" w:eastAsia="es-ES"/>
        </w:rPr>
        <w:t>SALA DE DECISIÓN LABORAL N° 3</w:t>
      </w:r>
    </w:p>
    <w:p w:rsidR="00314F21" w:rsidRDefault="00314F21" w:rsidP="00DD31C6">
      <w:pPr>
        <w:spacing w:line="276" w:lineRule="auto"/>
        <w:jc w:val="center"/>
        <w:textAlignment w:val="baseline"/>
        <w:rPr>
          <w:rFonts w:ascii="Arial" w:hAnsi="Arial" w:cs="Arial"/>
          <w:b/>
          <w:bCs/>
          <w:lang w:val="es-ES" w:eastAsia="es-ES"/>
        </w:rPr>
      </w:pPr>
      <w:r w:rsidRPr="00DD31C6">
        <w:rPr>
          <w:rFonts w:ascii="Arial" w:hAnsi="Arial" w:cs="Arial"/>
          <w:b/>
          <w:bCs/>
          <w:lang w:val="es-ES" w:eastAsia="es-ES"/>
        </w:rPr>
        <w:t>MAGISTRADO PON</w:t>
      </w:r>
      <w:r w:rsidR="00DD31C6">
        <w:rPr>
          <w:rFonts w:ascii="Arial" w:hAnsi="Arial" w:cs="Arial"/>
          <w:b/>
          <w:bCs/>
          <w:lang w:val="es-ES" w:eastAsia="es-ES"/>
        </w:rPr>
        <w:t>ENTE: JULIO CÉSAR SALAZAR MUÑOZ</w:t>
      </w:r>
    </w:p>
    <w:p w:rsidR="00DD31C6" w:rsidRPr="00DD31C6" w:rsidRDefault="00DD31C6" w:rsidP="00DD31C6">
      <w:pPr>
        <w:spacing w:line="276" w:lineRule="auto"/>
        <w:jc w:val="center"/>
        <w:textAlignment w:val="baseline"/>
        <w:rPr>
          <w:rFonts w:ascii="Arial" w:hAnsi="Arial" w:cs="Arial"/>
          <w:lang w:val="es-ES" w:eastAsia="es-ES"/>
        </w:rPr>
      </w:pPr>
    </w:p>
    <w:p w:rsidR="00314F21" w:rsidRPr="00DD31C6" w:rsidRDefault="00DD31C6" w:rsidP="00DD31C6">
      <w:pPr>
        <w:spacing w:line="276" w:lineRule="auto"/>
        <w:jc w:val="center"/>
        <w:textAlignment w:val="baseline"/>
        <w:rPr>
          <w:rFonts w:ascii="Arial" w:hAnsi="Arial" w:cs="Arial"/>
          <w:bCs/>
          <w:lang w:val="es-ES" w:eastAsia="es-ES"/>
        </w:rPr>
      </w:pPr>
      <w:r w:rsidRPr="00DD31C6">
        <w:rPr>
          <w:rFonts w:ascii="Arial" w:hAnsi="Arial" w:cs="Arial"/>
          <w:bCs/>
          <w:lang w:val="es-ES" w:eastAsia="es-ES"/>
        </w:rPr>
        <w:t xml:space="preserve">Pereira, </w:t>
      </w:r>
      <w:bookmarkStart w:id="0" w:name="_GoBack"/>
      <w:bookmarkEnd w:id="0"/>
      <w:r w:rsidRPr="00DD31C6">
        <w:rPr>
          <w:rFonts w:ascii="Arial" w:hAnsi="Arial" w:cs="Arial"/>
          <w:bCs/>
          <w:lang w:val="es-ES" w:eastAsia="es-ES"/>
        </w:rPr>
        <w:t>9 de septiembre de dos mil veinte</w:t>
      </w:r>
    </w:p>
    <w:p w:rsidR="00314F21" w:rsidRPr="00DD31C6" w:rsidRDefault="00314F21" w:rsidP="00DD31C6">
      <w:pPr>
        <w:spacing w:line="276" w:lineRule="auto"/>
        <w:jc w:val="center"/>
        <w:textAlignment w:val="baseline"/>
        <w:rPr>
          <w:rFonts w:ascii="Arial" w:hAnsi="Arial" w:cs="Arial"/>
          <w:bCs/>
          <w:lang w:val="es-ES" w:eastAsia="es-ES"/>
        </w:rPr>
      </w:pPr>
      <w:r w:rsidRPr="00DD31C6">
        <w:rPr>
          <w:rFonts w:ascii="Arial" w:hAnsi="Arial" w:cs="Arial"/>
          <w:bCs/>
          <w:lang w:val="es-ES" w:eastAsia="es-ES"/>
        </w:rPr>
        <w:t xml:space="preserve">Acta de Sala de Discusión No </w:t>
      </w:r>
      <w:r w:rsidR="00D33C29" w:rsidRPr="00DD31C6">
        <w:rPr>
          <w:rFonts w:ascii="Arial" w:hAnsi="Arial" w:cs="Arial"/>
          <w:bCs/>
          <w:lang w:val="es-ES" w:eastAsia="es-ES"/>
        </w:rPr>
        <w:t xml:space="preserve">127  </w:t>
      </w:r>
      <w:r w:rsidRPr="00DD31C6">
        <w:rPr>
          <w:rFonts w:ascii="Arial" w:hAnsi="Arial" w:cs="Arial"/>
          <w:bCs/>
          <w:lang w:val="es-ES" w:eastAsia="es-ES"/>
        </w:rPr>
        <w:t>de 8 de septiembre de 2020-09-08</w:t>
      </w:r>
    </w:p>
    <w:p w:rsidR="00314F21" w:rsidRPr="00DD31C6" w:rsidRDefault="00314F21" w:rsidP="00DD31C6">
      <w:pPr>
        <w:spacing w:line="276" w:lineRule="auto"/>
        <w:jc w:val="center"/>
        <w:textAlignment w:val="baseline"/>
        <w:rPr>
          <w:rFonts w:ascii="Arial" w:hAnsi="Arial" w:cs="Arial"/>
          <w:lang w:val="es-ES" w:eastAsia="es-ES"/>
        </w:rPr>
      </w:pPr>
    </w:p>
    <w:p w:rsidR="00314F21" w:rsidRPr="00DD31C6" w:rsidRDefault="00314F21" w:rsidP="00DD31C6">
      <w:pPr>
        <w:spacing w:line="276" w:lineRule="auto"/>
        <w:jc w:val="center"/>
        <w:textAlignment w:val="baseline"/>
        <w:rPr>
          <w:rFonts w:ascii="Arial" w:hAnsi="Arial" w:cs="Arial"/>
          <w:lang w:val="es-ES" w:eastAsia="es-ES"/>
        </w:rPr>
      </w:pPr>
      <w:r w:rsidRPr="00DD31C6">
        <w:rPr>
          <w:rFonts w:ascii="Arial" w:hAnsi="Arial" w:cs="Arial"/>
          <w:b/>
          <w:bCs/>
          <w:lang w:val="es-ES" w:eastAsia="es-ES"/>
        </w:rPr>
        <w:t>SENTENCIA ESCRITA</w:t>
      </w:r>
      <w:r w:rsidRPr="00DD31C6">
        <w:rPr>
          <w:rFonts w:ascii="Arial" w:hAnsi="Arial" w:cs="Arial"/>
          <w:lang w:val="es-ES" w:eastAsia="es-ES"/>
        </w:rPr>
        <w:t> </w:t>
      </w:r>
    </w:p>
    <w:p w:rsidR="00314F21" w:rsidRPr="00DD31C6" w:rsidRDefault="00314F21" w:rsidP="00DD31C6">
      <w:pPr>
        <w:spacing w:line="276" w:lineRule="auto"/>
        <w:jc w:val="center"/>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lastRenderedPageBreak/>
        <w:t xml:space="preserve">Se resuelven los recursos de apelación interpuestos por las demandadas AFP </w:t>
      </w:r>
      <w:proofErr w:type="spellStart"/>
      <w:r w:rsidRPr="00DD31C6">
        <w:rPr>
          <w:rFonts w:ascii="Arial" w:hAnsi="Arial" w:cs="Arial"/>
          <w:lang w:val="es-ES" w:eastAsia="es-ES"/>
        </w:rPr>
        <w:t>COLFONDOS</w:t>
      </w:r>
      <w:proofErr w:type="spellEnd"/>
      <w:r w:rsidRPr="00DD31C6">
        <w:rPr>
          <w:rFonts w:ascii="Arial" w:hAnsi="Arial" w:cs="Arial"/>
          <w:lang w:val="es-ES" w:eastAsia="es-ES"/>
        </w:rPr>
        <w:t xml:space="preserve"> S.A., AFP PORVENIR S.A. y ADMINISTRADORA COLOMBIANA DE PENSIONES en contra de la sentencia proferida por el Juzgado Quinto Laboral del Circuito el 12 de diciembre de 2019, así como el grado jurisdiccional de consulta dispuesto a favor de COLPENSIONES, dentro del proceso que promueve la señora LUZ DARY HERRÁN OSPINA, </w:t>
      </w:r>
      <w:r w:rsidRPr="00DD31C6">
        <w:rPr>
          <w:rFonts w:ascii="Arial" w:hAnsi="Arial" w:cs="Arial"/>
          <w:lang w:eastAsia="es-ES"/>
        </w:rPr>
        <w:t>cuya radicación corresponde al Nº 66001-31-05-005-2017-00204-01, y al que fue vinculada para integrar el contradictorio la UNIDAD ADMINISTRATIVA ESPECIAL DE GESTIÓN PENSIONAL Y CONTRIBUCIONES PARAFISCALES DE LA PROTECCIÓN SOCIAL “</w:t>
      </w:r>
      <w:proofErr w:type="spellStart"/>
      <w:r w:rsidRPr="00DD31C6">
        <w:rPr>
          <w:rFonts w:ascii="Arial" w:hAnsi="Arial" w:cs="Arial"/>
          <w:lang w:eastAsia="es-ES"/>
        </w:rPr>
        <w:t>UGPP</w:t>
      </w:r>
      <w:proofErr w:type="spellEnd"/>
      <w:r w:rsidRPr="00DD31C6">
        <w:rPr>
          <w:rFonts w:ascii="Arial" w:hAnsi="Arial" w:cs="Arial"/>
          <w:lang w:eastAsia="es-ES"/>
        </w:rPr>
        <w:t>”.</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Default="00DD31C6" w:rsidP="00DD31C6">
      <w:pPr>
        <w:spacing w:line="276" w:lineRule="auto"/>
        <w:jc w:val="both"/>
        <w:textAlignment w:val="baseline"/>
        <w:rPr>
          <w:rFonts w:ascii="Arial" w:hAnsi="Arial" w:cs="Arial"/>
          <w:lang w:val="es-ES" w:eastAsia="es-ES"/>
        </w:rPr>
      </w:pPr>
      <w:r>
        <w:rPr>
          <w:rFonts w:ascii="Arial" w:hAnsi="Arial" w:cs="Arial"/>
          <w:lang w:val="es-ES" w:eastAsia="es-ES"/>
        </w:rPr>
        <w:t>(…)</w:t>
      </w:r>
    </w:p>
    <w:p w:rsidR="00DD31C6" w:rsidRPr="00DD31C6" w:rsidRDefault="00DD31C6" w:rsidP="00DD31C6">
      <w:pPr>
        <w:spacing w:line="276" w:lineRule="auto"/>
        <w:jc w:val="both"/>
        <w:textAlignment w:val="baseline"/>
        <w:rPr>
          <w:rFonts w:ascii="Arial" w:hAnsi="Arial" w:cs="Arial"/>
          <w:lang w:val="es-ES" w:eastAsia="es-ES"/>
        </w:rPr>
      </w:pPr>
    </w:p>
    <w:p w:rsidR="00314F21" w:rsidRPr="00DD31C6" w:rsidRDefault="00314F21" w:rsidP="00DD31C6">
      <w:pPr>
        <w:spacing w:line="276" w:lineRule="auto"/>
        <w:jc w:val="center"/>
        <w:textAlignment w:val="baseline"/>
        <w:rPr>
          <w:rFonts w:ascii="Arial" w:hAnsi="Arial" w:cs="Arial"/>
          <w:lang w:val="es-ES" w:eastAsia="es-ES"/>
        </w:rPr>
      </w:pPr>
      <w:r w:rsidRPr="00DD31C6">
        <w:rPr>
          <w:rFonts w:ascii="Arial" w:hAnsi="Arial" w:cs="Arial"/>
          <w:b/>
          <w:bCs/>
          <w:lang w:eastAsia="es-ES"/>
        </w:rPr>
        <w:t>ANTECEDENTES</w:t>
      </w:r>
      <w:r w:rsidRPr="00DD31C6">
        <w:rPr>
          <w:rFonts w:ascii="Arial" w:hAnsi="Arial" w:cs="Arial"/>
          <w:lang w:val="es-ES" w:eastAsia="es-ES"/>
        </w:rPr>
        <w:t> </w:t>
      </w:r>
    </w:p>
    <w:p w:rsidR="00314F21" w:rsidRPr="00DD31C6" w:rsidRDefault="00314F21" w:rsidP="00DD31C6">
      <w:pPr>
        <w:spacing w:line="276" w:lineRule="auto"/>
        <w:jc w:val="center"/>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Pretende la señora Luz Dary Herrán Ospina que la justicia laboral declare la nulidad o ineficacia del traslado del régimen de prima media con prestación definida al régimen de ahorro individual con solidaridad efectuado en el año 1997 a través de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así como el posterior cambio de administradora pensional que se consolidó con su afiliación a la AFP Horizonte S.A. hoy Porvenir S.A. en el año 2000 y con base en ello se ordene girar a esta última entidad el capital que se encuentre acumulado en la cuenta de ahorro individual, lo que resulte probado extra y ultra </w:t>
      </w:r>
      <w:proofErr w:type="spellStart"/>
      <w:r w:rsidRPr="00DD31C6">
        <w:rPr>
          <w:rFonts w:ascii="Arial" w:hAnsi="Arial" w:cs="Arial"/>
          <w:lang w:eastAsia="es-ES"/>
        </w:rPr>
        <w:t>petita</w:t>
      </w:r>
      <w:proofErr w:type="spellEnd"/>
      <w:r w:rsidRPr="00DD31C6">
        <w:rPr>
          <w:rFonts w:ascii="Arial" w:hAnsi="Arial" w:cs="Arial"/>
          <w:lang w:eastAsia="es-ES"/>
        </w:rPr>
        <w:t xml:space="preserve"> y las costas procesales a su favor.</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Refiere que: ha prestado sus servicios durante más de 33 años a favor de varias instituciones del Estado Colombiano, cumpliendo los 55 años de edad el 11 de septiembre de 2013, al haber nacido en la misma fecha del año 1958; después de entrar en vigencia el sistema general de pensiones, un promotor de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lo asesoró falsamente sobre los beneficios que le acarrearía trasladarse al </w:t>
      </w:r>
      <w:proofErr w:type="spellStart"/>
      <w:r w:rsidRPr="00DD31C6">
        <w:rPr>
          <w:rFonts w:ascii="Arial" w:hAnsi="Arial" w:cs="Arial"/>
          <w:lang w:eastAsia="es-ES"/>
        </w:rPr>
        <w:t>RAIS</w:t>
      </w:r>
      <w:proofErr w:type="spellEnd"/>
      <w:r w:rsidRPr="00DD31C6">
        <w:rPr>
          <w:rFonts w:ascii="Arial" w:hAnsi="Arial" w:cs="Arial"/>
          <w:lang w:eastAsia="es-ES"/>
        </w:rPr>
        <w:t>, asegurándole por ejemplo que devengaría una pensión superior a la que alcanzaría en el RPM, además de hacerlo de manera anticipada, contando con el privilegio de contar con excedentes de libre asignación; esa situación la llevó a suscribir el formulario de afiliación que se le presentó en el año 1997; posteriormente en el año 2000, con base en una información similar, se pasó a la AFP Horizonte S.A. hoy Porvenir S.A.; la información suministrada en ambas oportunidades, no solo resultó falsa y engañosa, sino que lesionó notablemente sus intereses al perder el régimen de transición, informándosele además en oficios de 5 de febrero, 20 de octubre y 15 de noviembre de 2016 que de acuerdo con el capital acumulado en su cuenta de ahorro individual podía acceder a los 58 años de edad a una pensión equivalente al salario mínimo legal mensual vigente, mientras que con la misma densidad de semanas correspondientes a ese capital y de acuerdo al promedio de los salarios devengados en los últimos diez años efectivos de cotización podría percibir en el RPM una mesada de $1.772.873; el 30 de enero de 2017 solicitó el traslado al RPM, pero ese mismo día la Administradora Colombiana de Pensiones rechazó la petición expresando que no era procedente al encontrarse a menos de 10 años de alcanzar la gracia pensional, decisión que fue ratificada el 6 de febrero de 2017; el 27 de enero de 2017 radicó ante la AFP Porvenir S.A. solicitud de traslado de régimen, el cual fue resuelto negativamente el 2 de febrero de 2017.</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lastRenderedPageBreak/>
        <w:t xml:space="preserve">La Administradora Colombiana de Pensiones al dar respuesta a la demanda </w:t>
      </w:r>
      <w:r w:rsidR="00DD31C6">
        <w:rPr>
          <w:rFonts w:ascii="Arial" w:hAnsi="Arial" w:cs="Arial"/>
          <w:lang w:eastAsia="es-ES"/>
        </w:rPr>
        <w:t>-</w:t>
      </w:r>
      <w:proofErr w:type="spellStart"/>
      <w:r w:rsidRPr="00DD31C6">
        <w:rPr>
          <w:rFonts w:ascii="Arial" w:hAnsi="Arial" w:cs="Arial"/>
          <w:lang w:eastAsia="es-ES"/>
        </w:rPr>
        <w:t>fls</w:t>
      </w:r>
      <w:proofErr w:type="spellEnd"/>
      <w:r w:rsidRPr="00DD31C6">
        <w:rPr>
          <w:rFonts w:ascii="Arial" w:hAnsi="Arial" w:cs="Arial"/>
          <w:lang w:eastAsia="es-ES"/>
        </w:rPr>
        <w:t>.</w:t>
      </w:r>
      <w:r w:rsidR="00DD31C6">
        <w:rPr>
          <w:rFonts w:ascii="Arial" w:hAnsi="Arial" w:cs="Arial"/>
          <w:lang w:eastAsia="es-ES"/>
        </w:rPr>
        <w:t xml:space="preserve"> </w:t>
      </w:r>
      <w:r w:rsidRPr="00DD31C6">
        <w:rPr>
          <w:rFonts w:ascii="Arial" w:hAnsi="Arial" w:cs="Arial"/>
          <w:lang w:eastAsia="es-ES"/>
        </w:rPr>
        <w:t xml:space="preserve">237 a 241- se opuso a las pretensiones expresando que el traslado que efectuó la señora Herrán Ospina al </w:t>
      </w:r>
      <w:proofErr w:type="spellStart"/>
      <w:r w:rsidRPr="00DD31C6">
        <w:rPr>
          <w:rFonts w:ascii="Arial" w:hAnsi="Arial" w:cs="Arial"/>
          <w:lang w:eastAsia="es-ES"/>
        </w:rPr>
        <w:t>RAIS</w:t>
      </w:r>
      <w:proofErr w:type="spellEnd"/>
      <w:r w:rsidRPr="00DD31C6">
        <w:rPr>
          <w:rFonts w:ascii="Arial" w:hAnsi="Arial" w:cs="Arial"/>
          <w:lang w:eastAsia="es-ES"/>
        </w:rPr>
        <w:t xml:space="preserve"> se efectuó bajo el estricto cumplimiento de la ley. Formuló las excepciones de mérito que denominó “Inexistencia de la obligación”, “Buena fe”, “Imposibilidad jurídica para cumplir con las obligaciones pretendidas”, “Innominada” y “Prescripción”.</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La AFP Porvenir S.A. contestando el libelo introductorio </w:t>
      </w:r>
      <w:r w:rsidR="00DD31C6">
        <w:rPr>
          <w:rFonts w:ascii="Arial" w:hAnsi="Arial" w:cs="Arial"/>
          <w:lang w:eastAsia="es-ES"/>
        </w:rPr>
        <w:t>-</w:t>
      </w:r>
      <w:proofErr w:type="spellStart"/>
      <w:r w:rsidRPr="00DD31C6">
        <w:rPr>
          <w:rFonts w:ascii="Arial" w:hAnsi="Arial" w:cs="Arial"/>
          <w:lang w:eastAsia="es-ES"/>
        </w:rPr>
        <w:t>fls</w:t>
      </w:r>
      <w:proofErr w:type="spellEnd"/>
      <w:r w:rsidRPr="00DD31C6">
        <w:rPr>
          <w:rFonts w:ascii="Arial" w:hAnsi="Arial" w:cs="Arial"/>
          <w:lang w:eastAsia="es-ES"/>
        </w:rPr>
        <w:t>.</w:t>
      </w:r>
      <w:r w:rsidR="00DD31C6">
        <w:rPr>
          <w:rFonts w:ascii="Arial" w:hAnsi="Arial" w:cs="Arial"/>
          <w:lang w:eastAsia="es-ES"/>
        </w:rPr>
        <w:t xml:space="preserve"> </w:t>
      </w:r>
      <w:r w:rsidRPr="00DD31C6">
        <w:rPr>
          <w:rFonts w:ascii="Arial" w:hAnsi="Arial" w:cs="Arial"/>
          <w:lang w:eastAsia="es-ES"/>
        </w:rPr>
        <w:t xml:space="preserve">253 </w:t>
      </w:r>
      <w:proofErr w:type="gramStart"/>
      <w:r w:rsidRPr="00DD31C6">
        <w:rPr>
          <w:rFonts w:ascii="Arial" w:hAnsi="Arial" w:cs="Arial"/>
          <w:lang w:eastAsia="es-ES"/>
        </w:rPr>
        <w:t>a</w:t>
      </w:r>
      <w:proofErr w:type="gramEnd"/>
      <w:r w:rsidRPr="00DD31C6">
        <w:rPr>
          <w:rFonts w:ascii="Arial" w:hAnsi="Arial" w:cs="Arial"/>
          <w:lang w:eastAsia="es-ES"/>
        </w:rPr>
        <w:t xml:space="preserve"> 266- manifestó, en síntesis, que la afiliación efectuada por el actor a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se ciñó a las exigencias legales de la época, agregando que en todo caso, de haber existido un eventual vicio en el consentimiento del accionante, el mismo se saneó por el paso del tiempo como lo prevé el artículo 1750 del Código Civil; indicando como argumento adicional, que su paso a esa AFP ratificó su intención de permanecer en ese régimen pensional. Se opuso a las pretensiones y propuso las excepciones de mérito de “Validez de la afiliación a Porvenir e inexistencia de vicios en el consentimiento”, “Caducidad de la acción”, “Prescripción”, “Buena fe” e “Innominada o genérica”. </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al contestar la demanda </w:t>
      </w:r>
      <w:r w:rsidR="00DD31C6">
        <w:rPr>
          <w:rFonts w:ascii="Arial" w:hAnsi="Arial" w:cs="Arial"/>
          <w:lang w:eastAsia="es-ES"/>
        </w:rPr>
        <w:t>-</w:t>
      </w:r>
      <w:proofErr w:type="spellStart"/>
      <w:r w:rsidRPr="00DD31C6">
        <w:rPr>
          <w:rFonts w:ascii="Arial" w:hAnsi="Arial" w:cs="Arial"/>
          <w:lang w:eastAsia="es-ES"/>
        </w:rPr>
        <w:t>fls</w:t>
      </w:r>
      <w:proofErr w:type="spellEnd"/>
      <w:r w:rsidRPr="00DD31C6">
        <w:rPr>
          <w:rFonts w:ascii="Arial" w:hAnsi="Arial" w:cs="Arial"/>
          <w:lang w:eastAsia="es-ES"/>
        </w:rPr>
        <w:t>.</w:t>
      </w:r>
      <w:r w:rsidR="00DD31C6">
        <w:rPr>
          <w:rFonts w:ascii="Arial" w:hAnsi="Arial" w:cs="Arial"/>
          <w:lang w:eastAsia="es-ES"/>
        </w:rPr>
        <w:t xml:space="preserve"> </w:t>
      </w:r>
      <w:r w:rsidRPr="00DD31C6">
        <w:rPr>
          <w:rFonts w:ascii="Arial" w:hAnsi="Arial" w:cs="Arial"/>
          <w:lang w:eastAsia="es-ES"/>
        </w:rPr>
        <w:t xml:space="preserve">342 a 355- sostuvo que el acto de afiliación al </w:t>
      </w:r>
      <w:proofErr w:type="spellStart"/>
      <w:r w:rsidRPr="00DD31C6">
        <w:rPr>
          <w:rFonts w:ascii="Arial" w:hAnsi="Arial" w:cs="Arial"/>
          <w:lang w:eastAsia="es-ES"/>
        </w:rPr>
        <w:t>RAIS</w:t>
      </w:r>
      <w:proofErr w:type="spellEnd"/>
      <w:r w:rsidRPr="00DD31C6">
        <w:rPr>
          <w:rFonts w:ascii="Arial" w:hAnsi="Arial" w:cs="Arial"/>
          <w:lang w:eastAsia="es-ES"/>
        </w:rPr>
        <w:t xml:space="preserve"> fue válido, al haberse suscrito el formulario de manera libre, voluntaria y sin presiones, después de que su asesor comercial le entregara la información que por ley se exigía para la época, cumpliendo con los presupuestos establecidos en los artículos 13 y 271 de la Ley 100 de 1993. Se opuso a las pretensiones y planteó las excepciones de mérito de “Validez de la afiliación a </w:t>
      </w:r>
      <w:proofErr w:type="spellStart"/>
      <w:r w:rsidRPr="00DD31C6">
        <w:rPr>
          <w:rFonts w:ascii="Arial" w:hAnsi="Arial" w:cs="Arial"/>
          <w:lang w:eastAsia="es-ES"/>
        </w:rPr>
        <w:t>Colfondos</w:t>
      </w:r>
      <w:proofErr w:type="spellEnd"/>
      <w:r w:rsidRPr="00DD31C6">
        <w:rPr>
          <w:rFonts w:ascii="Arial" w:hAnsi="Arial" w:cs="Arial"/>
          <w:lang w:eastAsia="es-ES"/>
        </w:rPr>
        <w:t xml:space="preserve"> e inexistencia de vicios en el consentimiento”, “Caducidad de la acción”, “Pago”, “Compensación”, “Prescripción”, “Buena fe” e “Innominada o genérica”.</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Considerando necesaria la presencia de la Unidad Administrativa Especial de Gestión Pensional y Contribuciones Parafiscales de la Protección Social </w:t>
      </w:r>
      <w:r w:rsidR="00DD31C6">
        <w:rPr>
          <w:rFonts w:ascii="Arial" w:hAnsi="Arial" w:cs="Arial"/>
          <w:lang w:eastAsia="es-ES"/>
        </w:rPr>
        <w:t>-</w:t>
      </w:r>
      <w:proofErr w:type="spellStart"/>
      <w:r w:rsidRPr="00DD31C6">
        <w:rPr>
          <w:rFonts w:ascii="Arial" w:hAnsi="Arial" w:cs="Arial"/>
          <w:lang w:eastAsia="es-ES"/>
        </w:rPr>
        <w:t>UGPP</w:t>
      </w:r>
      <w:proofErr w:type="spellEnd"/>
      <w:r w:rsidRPr="00DD31C6">
        <w:rPr>
          <w:rFonts w:ascii="Arial" w:hAnsi="Arial" w:cs="Arial"/>
          <w:lang w:eastAsia="es-ES"/>
        </w:rPr>
        <w:t xml:space="preserve">-, el juzgado por medio de auto de 18 de junio de 2018 </w:t>
      </w:r>
      <w:r w:rsidR="00DD31C6">
        <w:rPr>
          <w:rFonts w:ascii="Arial" w:hAnsi="Arial" w:cs="Arial"/>
          <w:lang w:eastAsia="es-ES"/>
        </w:rPr>
        <w:t>-</w:t>
      </w:r>
      <w:proofErr w:type="spellStart"/>
      <w:r w:rsidRPr="00DD31C6">
        <w:rPr>
          <w:rFonts w:ascii="Arial" w:hAnsi="Arial" w:cs="Arial"/>
          <w:lang w:eastAsia="es-ES"/>
        </w:rPr>
        <w:t>fl</w:t>
      </w:r>
      <w:proofErr w:type="spellEnd"/>
      <w:r w:rsidRPr="00DD31C6">
        <w:rPr>
          <w:rFonts w:ascii="Arial" w:hAnsi="Arial" w:cs="Arial"/>
          <w:lang w:eastAsia="es-ES"/>
        </w:rPr>
        <w:t>.</w:t>
      </w:r>
      <w:r w:rsidR="00DD31C6">
        <w:rPr>
          <w:rFonts w:ascii="Arial" w:hAnsi="Arial" w:cs="Arial"/>
          <w:lang w:eastAsia="es-ES"/>
        </w:rPr>
        <w:t xml:space="preserve"> </w:t>
      </w:r>
      <w:r w:rsidRPr="00DD31C6">
        <w:rPr>
          <w:rFonts w:ascii="Arial" w:hAnsi="Arial" w:cs="Arial"/>
          <w:lang w:eastAsia="es-ES"/>
        </w:rPr>
        <w:t xml:space="preserve">369- decidió vincularla al proceso para integrar el contradictorio, por cuanto la accionante, antes de trasladarse al </w:t>
      </w:r>
      <w:proofErr w:type="spellStart"/>
      <w:r w:rsidRPr="00DD31C6">
        <w:rPr>
          <w:rFonts w:ascii="Arial" w:hAnsi="Arial" w:cs="Arial"/>
          <w:lang w:eastAsia="es-ES"/>
        </w:rPr>
        <w:t>RAIS</w:t>
      </w:r>
      <w:proofErr w:type="spellEnd"/>
      <w:r w:rsidRPr="00DD31C6">
        <w:rPr>
          <w:rFonts w:ascii="Arial" w:hAnsi="Arial" w:cs="Arial"/>
          <w:lang w:eastAsia="es-ES"/>
        </w:rPr>
        <w:t>, se encontraba afiliada a la Caja Nacional de Previsión Social.</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Respondiendo la demanda </w:t>
      </w:r>
      <w:r w:rsidR="00DD31C6">
        <w:rPr>
          <w:rFonts w:ascii="Arial" w:hAnsi="Arial" w:cs="Arial"/>
          <w:lang w:eastAsia="es-ES"/>
        </w:rPr>
        <w:t>-</w:t>
      </w:r>
      <w:proofErr w:type="spellStart"/>
      <w:r w:rsidRPr="00DD31C6">
        <w:rPr>
          <w:rFonts w:ascii="Arial" w:hAnsi="Arial" w:cs="Arial"/>
          <w:lang w:eastAsia="es-ES"/>
        </w:rPr>
        <w:t>fls</w:t>
      </w:r>
      <w:proofErr w:type="spellEnd"/>
      <w:r w:rsidRPr="00DD31C6">
        <w:rPr>
          <w:rFonts w:ascii="Arial" w:hAnsi="Arial" w:cs="Arial"/>
          <w:lang w:eastAsia="es-ES"/>
        </w:rPr>
        <w:t>.</w:t>
      </w:r>
      <w:r w:rsidR="00DD31C6">
        <w:rPr>
          <w:rFonts w:ascii="Arial" w:hAnsi="Arial" w:cs="Arial"/>
          <w:lang w:eastAsia="es-ES"/>
        </w:rPr>
        <w:t xml:space="preserve"> </w:t>
      </w:r>
      <w:r w:rsidRPr="00DD31C6">
        <w:rPr>
          <w:rFonts w:ascii="Arial" w:hAnsi="Arial" w:cs="Arial"/>
          <w:lang w:eastAsia="es-ES"/>
        </w:rPr>
        <w:t xml:space="preserve">436 a 458- la vinculada expresó que no le constaban los hechos relacionados por la actora. Se opuso a las pretensiones argumentando que esa entidad no tuvo injerencia en las actuaciones que derivaron en la afiliación al </w:t>
      </w:r>
      <w:proofErr w:type="spellStart"/>
      <w:r w:rsidRPr="00DD31C6">
        <w:rPr>
          <w:rFonts w:ascii="Arial" w:hAnsi="Arial" w:cs="Arial"/>
          <w:lang w:eastAsia="es-ES"/>
        </w:rPr>
        <w:t>RAIS</w:t>
      </w:r>
      <w:proofErr w:type="spellEnd"/>
      <w:r w:rsidRPr="00DD31C6">
        <w:rPr>
          <w:rFonts w:ascii="Arial" w:hAnsi="Arial" w:cs="Arial"/>
          <w:lang w:eastAsia="es-ES"/>
        </w:rPr>
        <w:t xml:space="preserve"> por parte de la señora Luz Dary Herrán Ospina; asegurando que no es la llamada a responder ante una eventual declaratoria de ineficacia o nulidad del traslado, ya que con la liquidación de </w:t>
      </w:r>
      <w:proofErr w:type="spellStart"/>
      <w:r w:rsidRPr="00DD31C6">
        <w:rPr>
          <w:rFonts w:ascii="Arial" w:hAnsi="Arial" w:cs="Arial"/>
          <w:lang w:eastAsia="es-ES"/>
        </w:rPr>
        <w:t>Cajanal</w:t>
      </w:r>
      <w:proofErr w:type="spellEnd"/>
      <w:r w:rsidRPr="00DD31C6">
        <w:rPr>
          <w:rFonts w:ascii="Arial" w:hAnsi="Arial" w:cs="Arial"/>
          <w:lang w:eastAsia="es-ES"/>
        </w:rPr>
        <w:t xml:space="preserve"> se dispuso el paso de sus afiliados al </w:t>
      </w:r>
      <w:proofErr w:type="spellStart"/>
      <w:r w:rsidRPr="00DD31C6">
        <w:rPr>
          <w:rFonts w:ascii="Arial" w:hAnsi="Arial" w:cs="Arial"/>
          <w:lang w:eastAsia="es-ES"/>
        </w:rPr>
        <w:t>ISS</w:t>
      </w:r>
      <w:proofErr w:type="spellEnd"/>
      <w:r w:rsidRPr="00DD31C6">
        <w:rPr>
          <w:rFonts w:ascii="Arial" w:hAnsi="Arial" w:cs="Arial"/>
          <w:lang w:eastAsia="es-ES"/>
        </w:rPr>
        <w:t xml:space="preserve"> hoy Administradora Colombiana de Pensiones, que sería la entidad llamada a asumir la carga pensional. Propuso las excepciones de “Falta de competencia de la Unidad Administrativa Especial de Gestión Pensional y Contribuciones Parafiscales de la Protección Social </w:t>
      </w:r>
      <w:r w:rsidR="00DD31C6">
        <w:rPr>
          <w:rFonts w:ascii="Arial" w:hAnsi="Arial" w:cs="Arial"/>
          <w:lang w:eastAsia="es-ES"/>
        </w:rPr>
        <w:t>-</w:t>
      </w:r>
      <w:proofErr w:type="spellStart"/>
      <w:r w:rsidRPr="00DD31C6">
        <w:rPr>
          <w:rFonts w:ascii="Arial" w:hAnsi="Arial" w:cs="Arial"/>
          <w:lang w:eastAsia="es-ES"/>
        </w:rPr>
        <w:t>UGPP</w:t>
      </w:r>
      <w:proofErr w:type="spellEnd"/>
      <w:r w:rsidRPr="00DD31C6">
        <w:rPr>
          <w:rFonts w:ascii="Arial" w:hAnsi="Arial" w:cs="Arial"/>
          <w:lang w:eastAsia="es-ES"/>
        </w:rPr>
        <w:t xml:space="preserve">- para asumir las resultas del proceso”, “Falta de legitimación en la causa por pasiva”, “Inexistencia de la obligación por parte de la </w:t>
      </w:r>
      <w:proofErr w:type="spellStart"/>
      <w:r w:rsidRPr="00DD31C6">
        <w:rPr>
          <w:rFonts w:ascii="Arial" w:hAnsi="Arial" w:cs="Arial"/>
          <w:lang w:eastAsia="es-ES"/>
        </w:rPr>
        <w:t>UGPP</w:t>
      </w:r>
      <w:proofErr w:type="spellEnd"/>
      <w:r w:rsidRPr="00DD31C6">
        <w:rPr>
          <w:rFonts w:ascii="Arial" w:hAnsi="Arial" w:cs="Arial"/>
          <w:lang w:eastAsia="es-ES"/>
        </w:rPr>
        <w:t xml:space="preserve"> y cobro de lo no debido”, “Buena fe”, “Prescripción”, “La genérica”.</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En sentencia de 12 de diciembre de 2019, la funcionaria de primera instancia luego de exponer la línea jurisprudencial de la Sala de Casación Laboral de la Corte Suprema de Justicia, determinó que en todos los casos en los que se estudie la </w:t>
      </w:r>
      <w:r w:rsidRPr="00DD31C6">
        <w:rPr>
          <w:rFonts w:ascii="Arial" w:hAnsi="Arial" w:cs="Arial"/>
          <w:lang w:eastAsia="es-ES"/>
        </w:rPr>
        <w:lastRenderedPageBreak/>
        <w:t xml:space="preserve">ineficacia del acto jurídico por medio del cual se materializa la afiliación al régimen de ahorro individual con solidaridad, es obligación de las administradoras demostrar que cumplieron con el deber de información, concluyendo que en este caso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no cumplió con esa carga procesal, al no acreditar que informó a la accionante sobre las ventajas y desventajas que conllevaba el traslado, razón por la que declaró ineficaz el acto jurídico por medio del cual se hizo efectivo.</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Como consecuencia de esa declaración, le ordenó a la AFP Porvenir S.A</w:t>
      </w:r>
      <w:r w:rsidR="00DD31C6">
        <w:rPr>
          <w:rFonts w:ascii="Arial" w:hAnsi="Arial" w:cs="Arial"/>
          <w:lang w:eastAsia="es-ES"/>
        </w:rPr>
        <w:t>.</w:t>
      </w:r>
      <w:r w:rsidRPr="00DD31C6">
        <w:rPr>
          <w:rFonts w:ascii="Arial" w:hAnsi="Arial" w:cs="Arial"/>
          <w:lang w:eastAsia="es-ES"/>
        </w:rPr>
        <w:t xml:space="preserve">, a la que se encuentra vinculada actualmente, remitir a la Administradora Colombiana de Pensiones la totalidad del capital acumulado en la cuenta de ahorro individual, con los rendimientos obtenidos. Seguidamente condenó, tanto a la AFP Porvenir S.A. como a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a restituir, con cargo a sus recursos, los gastos de administración. A continuación, le ordenó a la Administradora Colombiana de Pensiones recibir nuevamente a la accionante en el RPM sin dilaciones. </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En cuanto a la </w:t>
      </w:r>
      <w:proofErr w:type="spellStart"/>
      <w:r w:rsidRPr="00DD31C6">
        <w:rPr>
          <w:rFonts w:ascii="Arial" w:hAnsi="Arial" w:cs="Arial"/>
          <w:lang w:eastAsia="es-ES"/>
        </w:rPr>
        <w:t>UGPP</w:t>
      </w:r>
      <w:proofErr w:type="spellEnd"/>
      <w:r w:rsidRPr="00DD31C6">
        <w:rPr>
          <w:rFonts w:ascii="Arial" w:hAnsi="Arial" w:cs="Arial"/>
          <w:lang w:eastAsia="es-ES"/>
        </w:rPr>
        <w:t xml:space="preserve">, manifestó que a dicha entidad no le asistía ninguna responsabilidad en este caso, debido a que, por ministerio de la Ley, quienes se encontraban afiliados a la Caja Nacional de Previsión Social, con su extinción, pasaron automáticamente al RPM administrado por el </w:t>
      </w:r>
      <w:proofErr w:type="spellStart"/>
      <w:r w:rsidRPr="00DD31C6">
        <w:rPr>
          <w:rFonts w:ascii="Arial" w:hAnsi="Arial" w:cs="Arial"/>
          <w:lang w:eastAsia="es-ES"/>
        </w:rPr>
        <w:t>ISS</w:t>
      </w:r>
      <w:proofErr w:type="spellEnd"/>
      <w:r w:rsidRPr="00DD31C6">
        <w:rPr>
          <w:rFonts w:ascii="Arial" w:hAnsi="Arial" w:cs="Arial"/>
          <w:lang w:eastAsia="es-ES"/>
        </w:rPr>
        <w:t xml:space="preserve"> hoy Colpensiones, razón por la que, como ya había definido, es ésta última entidad quien debe asumir la carga de recibir a la señora Luz Dary Herrán Ospina. Condenó en costas procesales a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en un 80% y a la AFP Porvenir S.A. en un 20%, ambas a favor de la parte actora.</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Inconformes con la decisión, las tres entidades demandadas interpusieron recurso de apelación en los siguientes términos:</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La apoderada judicial de las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y Porvenir S.A. argumenta que la primera de ellas cumplió con el deber de suministrar la información necesaria sobre las características de los regímenes pensionales que conforman el sistema general de pensiones, tal y como lo exige actualmente la jurisprudencia de la Sala de Casación Laboral de la Corte Suprema de Justicia, por lo que el acto jurídico por medio del cual se efectuó el traslado debe declararse eficaz. De no atenderse esa argumentación, pide que se revoque la decisión correspondiente a la devolución del porcentaje por concepto de administración, ya que esas entidades cumplieron adecuadamente con ese deber, al punto que durante el periodo que ha estado vinculada en el </w:t>
      </w:r>
      <w:proofErr w:type="spellStart"/>
      <w:r w:rsidRPr="00DD31C6">
        <w:rPr>
          <w:rFonts w:ascii="Arial" w:hAnsi="Arial" w:cs="Arial"/>
          <w:lang w:eastAsia="es-ES"/>
        </w:rPr>
        <w:t>RAIS</w:t>
      </w:r>
      <w:proofErr w:type="spellEnd"/>
      <w:r w:rsidRPr="00DD31C6">
        <w:rPr>
          <w:rFonts w:ascii="Arial" w:hAnsi="Arial" w:cs="Arial"/>
          <w:lang w:eastAsia="es-ES"/>
        </w:rPr>
        <w:t>, las AFP generaron rendimientos a favor de la cuenta de ahorro individual de la actora.</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La apoderada judicial de la Administradora Colombiana de Pensiones aseguró que de acuerdo con las pruebas recaudadas en el proceso se estableció que a la accionante si se le dio la información que para el año 1997 exigía la ley, por lo que no es dable que se declare la ineficacia del acto por medio del cual operó el traslado. En caso de que se conserve la decisión entorno a ese punto, pide que se mantenga también lo correspondiente a la devolución por cuotas de administración.</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Al haber resultado afectada la Administradora Colombiana de Pensiones, se dispuso también el grado jurisdiccional de consulta a su favor.</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center"/>
        <w:textAlignment w:val="baseline"/>
        <w:rPr>
          <w:rFonts w:ascii="Arial" w:hAnsi="Arial" w:cs="Arial"/>
          <w:lang w:val="es-ES" w:eastAsia="es-ES"/>
        </w:rPr>
      </w:pPr>
      <w:r w:rsidRPr="00DD31C6">
        <w:rPr>
          <w:rFonts w:ascii="Arial" w:hAnsi="Arial" w:cs="Arial"/>
          <w:b/>
          <w:bCs/>
          <w:lang w:eastAsia="es-ES"/>
        </w:rPr>
        <w:lastRenderedPageBreak/>
        <w:t>ALEGATOS DE CONCLUSIÓN </w:t>
      </w:r>
      <w:r w:rsidRPr="00DD31C6">
        <w:rPr>
          <w:rFonts w:ascii="Arial" w:hAnsi="Arial" w:cs="Arial"/>
          <w:lang w:eastAsia="es-ES"/>
        </w:rPr>
        <w:t> </w:t>
      </w:r>
      <w:r w:rsidRPr="00DD31C6">
        <w:rPr>
          <w:rFonts w:ascii="Arial" w:hAnsi="Arial" w:cs="Arial"/>
          <w:lang w:val="es-ES" w:eastAsia="es-ES"/>
        </w:rPr>
        <w:t> </w:t>
      </w:r>
    </w:p>
    <w:p w:rsidR="00314F21" w:rsidRPr="00DD31C6" w:rsidRDefault="00314F21" w:rsidP="00DD31C6">
      <w:pPr>
        <w:spacing w:line="276" w:lineRule="auto"/>
        <w:jc w:val="center"/>
        <w:textAlignment w:val="baseline"/>
        <w:rPr>
          <w:rFonts w:ascii="Arial" w:hAnsi="Arial" w:cs="Arial"/>
          <w:lang w:val="es-ES" w:eastAsia="es-ES"/>
        </w:rPr>
      </w:pPr>
      <w:r w:rsidRPr="00DD31C6">
        <w:rPr>
          <w:rFonts w:ascii="Arial" w:hAnsi="Arial" w:cs="Arial"/>
          <w:lang w:eastAsia="es-ES"/>
        </w:rPr>
        <w:t> </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Conforme se dejó plasmado en la constancia emitida por la Secretaría de la Corporación, los apoderados judiciales de la totalidad de los intervinientes hicieron uso del derecho a presentar alegatos de conclusión en término.</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En cuanto a las intervenciones allegas en esta sede por parte las entidades recurrentes, de acuerdo con lo previsto en el artículo 279 del </w:t>
      </w:r>
      <w:proofErr w:type="spellStart"/>
      <w:r w:rsidRPr="00DD31C6">
        <w:rPr>
          <w:rFonts w:ascii="Arial" w:hAnsi="Arial" w:cs="Arial"/>
          <w:lang w:eastAsia="es-ES"/>
        </w:rPr>
        <w:t>CGP</w:t>
      </w:r>
      <w:proofErr w:type="spellEnd"/>
      <w:r w:rsidRPr="00DD31C6">
        <w:rPr>
          <w:rFonts w:ascii="Arial" w:hAnsi="Arial" w:cs="Arial"/>
          <w:lang w:eastAsia="es-ES"/>
        </w:rPr>
        <w:t xml:space="preserve"> consistente en que </w:t>
      </w:r>
      <w:r w:rsidRPr="00DD31C6">
        <w:rPr>
          <w:rFonts w:ascii="Arial" w:hAnsi="Arial" w:cs="Arial"/>
          <w:i/>
          <w:iCs/>
          <w:lang w:eastAsia="es-ES"/>
        </w:rPr>
        <w:t>“</w:t>
      </w:r>
      <w:r w:rsidRPr="00DD31C6">
        <w:rPr>
          <w:rFonts w:ascii="Arial" w:hAnsi="Arial" w:cs="Arial"/>
          <w:i/>
          <w:iCs/>
          <w:sz w:val="22"/>
          <w:lang w:eastAsia="es-ES"/>
        </w:rPr>
        <w:t>No se podrá hacer transcripciones o reproducciones de actas, decisiones o conceptos que obren en el expediente</w:t>
      </w:r>
      <w:r w:rsidRPr="00DD31C6">
        <w:rPr>
          <w:rFonts w:ascii="Arial" w:hAnsi="Arial" w:cs="Arial"/>
          <w:i/>
          <w:iCs/>
          <w:lang w:eastAsia="es-ES"/>
        </w:rPr>
        <w:t>”</w:t>
      </w:r>
      <w:r w:rsidRPr="00DD31C6">
        <w:rPr>
          <w:rFonts w:ascii="Arial" w:hAnsi="Arial" w:cs="Arial"/>
          <w:lang w:eastAsia="es-ES"/>
        </w:rPr>
        <w:t xml:space="preserve"> y en aplicación del principio de consonancia, baste decir que las argumentaciones expuestas en cada uno de los escritos coinciden con los planteamientos expresados en la sustentación de los recursos de apelación.</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Por su parte, el apoderado judicial de la accionante sostiene, con fundamento en la jurisprudencia emitida por la Sala de Casación Laboral de la Corte Suprema de Justicia, que se dan los presupuestos legales, probatorios y procesales para que se confirme la decisión adoptada en primera instancia.</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Finalmente, la </w:t>
      </w:r>
      <w:proofErr w:type="spellStart"/>
      <w:r w:rsidRPr="00DD31C6">
        <w:rPr>
          <w:rFonts w:ascii="Arial" w:hAnsi="Arial" w:cs="Arial"/>
          <w:lang w:eastAsia="es-ES"/>
        </w:rPr>
        <w:t>UGPP</w:t>
      </w:r>
      <w:proofErr w:type="spellEnd"/>
      <w:r w:rsidRPr="00DD31C6">
        <w:rPr>
          <w:rFonts w:ascii="Arial" w:hAnsi="Arial" w:cs="Arial"/>
          <w:lang w:eastAsia="es-ES"/>
        </w:rPr>
        <w:t xml:space="preserve"> asegura, como lo hizo en la contestación de la demanda y en los alegatos de conclusión en primera instancia, que existe una falta de legitimación en la causa, pues esa entidad no está llamada a responder ante la posibilidad de que se declare la nulidad o ineficacia del traslado al </w:t>
      </w:r>
      <w:proofErr w:type="spellStart"/>
      <w:r w:rsidRPr="00DD31C6">
        <w:rPr>
          <w:rFonts w:ascii="Arial" w:hAnsi="Arial" w:cs="Arial"/>
          <w:lang w:eastAsia="es-ES"/>
        </w:rPr>
        <w:t>RAIS</w:t>
      </w:r>
      <w:proofErr w:type="spellEnd"/>
      <w:r w:rsidRPr="00DD31C6">
        <w:rPr>
          <w:rFonts w:ascii="Arial" w:hAnsi="Arial" w:cs="Arial"/>
          <w:lang w:eastAsia="es-ES"/>
        </w:rPr>
        <w:t>, como, según su estimación, lo concluyó correctamente el juzgado de conocimiento. </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center"/>
        <w:textAlignment w:val="baseline"/>
        <w:rPr>
          <w:rFonts w:ascii="Arial" w:hAnsi="Arial" w:cs="Arial"/>
          <w:lang w:val="es-ES" w:eastAsia="es-ES"/>
        </w:rPr>
      </w:pPr>
      <w:r w:rsidRPr="00DD31C6">
        <w:rPr>
          <w:rFonts w:ascii="Arial" w:hAnsi="Arial" w:cs="Arial"/>
          <w:b/>
          <w:bCs/>
          <w:lang w:eastAsia="es-ES"/>
        </w:rPr>
        <w:t>Cuestión previa</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w:t>
      </w:r>
      <w:proofErr w:type="spellStart"/>
      <w:r w:rsidRPr="00DD31C6">
        <w:rPr>
          <w:rFonts w:ascii="Arial" w:hAnsi="Arial" w:cs="Arial"/>
          <w:lang w:eastAsia="es-ES"/>
        </w:rPr>
        <w:t>STL4759</w:t>
      </w:r>
      <w:proofErr w:type="spellEnd"/>
      <w:r w:rsidRPr="00DD31C6">
        <w:rPr>
          <w:rFonts w:ascii="Arial" w:hAnsi="Arial" w:cs="Arial"/>
          <w:lang w:eastAsia="es-ES"/>
        </w:rPr>
        <w:t>-2020,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Así las cosas, atendidas las argumentaciones a esta Sala de Decisión le </w:t>
      </w:r>
      <w:proofErr w:type="gramStart"/>
      <w:r w:rsidRPr="00DD31C6">
        <w:rPr>
          <w:rFonts w:ascii="Arial" w:hAnsi="Arial" w:cs="Arial"/>
          <w:lang w:eastAsia="es-ES"/>
        </w:rPr>
        <w:t>corresponde</w:t>
      </w:r>
      <w:proofErr w:type="gramEnd"/>
      <w:r w:rsidRPr="00DD31C6">
        <w:rPr>
          <w:rFonts w:ascii="Arial" w:hAnsi="Arial" w:cs="Arial"/>
          <w:lang w:eastAsia="es-ES"/>
        </w:rPr>
        <w:t xml:space="preserve"> resolver los siguientes:</w:t>
      </w:r>
    </w:p>
    <w:p w:rsidR="00DD31C6" w:rsidRPr="00DD31C6" w:rsidRDefault="00DD31C6" w:rsidP="00DD31C6">
      <w:pPr>
        <w:spacing w:line="276" w:lineRule="auto"/>
        <w:jc w:val="both"/>
        <w:textAlignment w:val="baseline"/>
        <w:rPr>
          <w:rFonts w:ascii="Arial" w:hAnsi="Arial" w:cs="Arial"/>
          <w:lang w:val="es-ES" w:eastAsia="es-ES"/>
        </w:rPr>
      </w:pPr>
    </w:p>
    <w:p w:rsidR="00314F21" w:rsidRPr="00DD31C6" w:rsidRDefault="00314F21" w:rsidP="00DD31C6">
      <w:pPr>
        <w:spacing w:line="276" w:lineRule="auto"/>
        <w:jc w:val="center"/>
        <w:textAlignment w:val="baseline"/>
        <w:rPr>
          <w:rFonts w:ascii="Arial" w:hAnsi="Arial" w:cs="Arial"/>
          <w:lang w:val="es-ES" w:eastAsia="es-ES"/>
        </w:rPr>
      </w:pPr>
      <w:r w:rsidRPr="00DD31C6">
        <w:rPr>
          <w:rFonts w:ascii="Arial" w:hAnsi="Arial" w:cs="Arial"/>
          <w:b/>
          <w:bCs/>
          <w:lang w:eastAsia="es-ES"/>
        </w:rPr>
        <w:t>PROBLEMAS JURÍDICOS</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b/>
          <w:bCs/>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eastAsia="es-ES"/>
        </w:rPr>
        <w:lastRenderedPageBreak/>
        <w:t>¿Hay lugar a declarar ineficaz la afiliación de la señora Luz Dary Herrán Ospina al Régimen de Ahorro Individual con Solidaridad? </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b/>
          <w:bCs/>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eastAsia="es-ES"/>
        </w:rPr>
        <w:t xml:space="preserve">¿El movimiento de los afiliados dentro del régimen de ahorro individual con solidaridad convalida el traslado inicial efectuado desde el RPM hacia el </w:t>
      </w:r>
      <w:proofErr w:type="spellStart"/>
      <w:r w:rsidRPr="00DD31C6">
        <w:rPr>
          <w:rFonts w:ascii="Arial" w:hAnsi="Arial" w:cs="Arial"/>
          <w:b/>
          <w:bCs/>
          <w:lang w:eastAsia="es-ES"/>
        </w:rPr>
        <w:t>RAIS</w:t>
      </w:r>
      <w:proofErr w:type="spellEnd"/>
      <w:r w:rsidRPr="00DD31C6">
        <w:rPr>
          <w:rFonts w:ascii="Arial" w:hAnsi="Arial" w:cs="Arial"/>
          <w:b/>
          <w:bCs/>
          <w:lang w:eastAsia="es-ES"/>
        </w:rPr>
        <w:t>?</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b/>
          <w:bCs/>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eastAsia="es-ES"/>
        </w:rPr>
        <w:t>¿Además del capital acumulado en la cuenta de ahorro individual existen otros valores que deban ser devueltos por la AFP Porvenir S.A., y de ser así, deben estar debidamente indexados?</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b/>
          <w:bCs/>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eastAsia="es-ES"/>
        </w:rPr>
        <w:t xml:space="preserve">¿Se debe condenar a la AFP </w:t>
      </w:r>
      <w:proofErr w:type="spellStart"/>
      <w:r w:rsidRPr="00DD31C6">
        <w:rPr>
          <w:rFonts w:ascii="Arial" w:hAnsi="Arial" w:cs="Arial"/>
          <w:b/>
          <w:bCs/>
          <w:lang w:eastAsia="es-ES"/>
        </w:rPr>
        <w:t>Colfondos</w:t>
      </w:r>
      <w:proofErr w:type="spellEnd"/>
      <w:r w:rsidRPr="00DD31C6">
        <w:rPr>
          <w:rFonts w:ascii="Arial" w:hAnsi="Arial" w:cs="Arial"/>
          <w:b/>
          <w:bCs/>
          <w:lang w:eastAsia="es-ES"/>
        </w:rPr>
        <w:t xml:space="preserve"> S.A., con la que se surtió el traslado al </w:t>
      </w:r>
      <w:proofErr w:type="spellStart"/>
      <w:r w:rsidRPr="00DD31C6">
        <w:rPr>
          <w:rFonts w:ascii="Arial" w:hAnsi="Arial" w:cs="Arial"/>
          <w:b/>
          <w:bCs/>
          <w:lang w:eastAsia="es-ES"/>
        </w:rPr>
        <w:t>RAIS</w:t>
      </w:r>
      <w:proofErr w:type="spellEnd"/>
      <w:r w:rsidRPr="00DD31C6">
        <w:rPr>
          <w:rFonts w:ascii="Arial" w:hAnsi="Arial" w:cs="Arial"/>
          <w:b/>
          <w:bCs/>
          <w:lang w:eastAsia="es-ES"/>
        </w:rPr>
        <w:t>, a restituir algún valor cancelado por el demandante durante el periodo en que estuvo afiliado en ese fondo privado de pensiones?</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Con el propósito de dar solución a los interrogantes se reproducen los siguientes lineamientos de la Sala de Casación Laboral:</w:t>
      </w:r>
    </w:p>
    <w:p w:rsidR="00DD31C6" w:rsidRPr="00DD31C6" w:rsidRDefault="00DD31C6" w:rsidP="00DD31C6">
      <w:pPr>
        <w:spacing w:line="276" w:lineRule="auto"/>
        <w:jc w:val="both"/>
        <w:textAlignment w:val="baseline"/>
        <w:rPr>
          <w:rFonts w:ascii="Arial" w:hAnsi="Arial" w:cs="Arial"/>
          <w:lang w:val="es-ES" w:eastAsia="es-ES"/>
        </w:rPr>
      </w:pPr>
    </w:p>
    <w:p w:rsidR="00314F21" w:rsidRPr="00DD31C6" w:rsidRDefault="00314F21" w:rsidP="00DD31C6">
      <w:pPr>
        <w:spacing w:line="276" w:lineRule="auto"/>
        <w:ind w:right="35"/>
        <w:jc w:val="center"/>
        <w:textAlignment w:val="baseline"/>
        <w:rPr>
          <w:rFonts w:ascii="Arial" w:hAnsi="Arial" w:cs="Arial"/>
          <w:lang w:val="es-ES" w:eastAsia="es-ES"/>
        </w:rPr>
      </w:pPr>
      <w:r w:rsidRPr="00DD31C6">
        <w:rPr>
          <w:rFonts w:ascii="Arial" w:hAnsi="Arial" w:cs="Arial"/>
          <w:b/>
          <w:bCs/>
          <w:lang w:val="es-ES" w:eastAsia="es-ES"/>
        </w:rPr>
        <w:t>FUNDAMENTO JURISPRUDENCIAL</w:t>
      </w:r>
      <w:r w:rsidRPr="00DD31C6">
        <w:rPr>
          <w:rFonts w:ascii="Arial" w:hAnsi="Arial" w:cs="Arial"/>
          <w:lang w:val="es-ES" w:eastAsia="es-ES"/>
        </w:rPr>
        <w:t> </w:t>
      </w:r>
    </w:p>
    <w:p w:rsidR="00314F21" w:rsidRPr="00DD31C6" w:rsidRDefault="00314F21" w:rsidP="00DD31C6">
      <w:pPr>
        <w:spacing w:line="276" w:lineRule="auto"/>
        <w:ind w:right="35"/>
        <w:jc w:val="center"/>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eastAsia="es-ES"/>
        </w:rPr>
        <w:t>1. Análisis jurídico que debe abordar el juez cuando se alega ausencia de información parcial o total por parte de las administradoras en los traslados entre regímenes pensionales.</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En sentencia </w:t>
      </w:r>
      <w:proofErr w:type="spellStart"/>
      <w:r w:rsidRPr="00DD31C6">
        <w:rPr>
          <w:rFonts w:ascii="Arial" w:hAnsi="Arial" w:cs="Arial"/>
          <w:lang w:eastAsia="es-ES"/>
        </w:rPr>
        <w:t>STL4759</w:t>
      </w:r>
      <w:proofErr w:type="spellEnd"/>
      <w:r w:rsidRPr="00DD31C6">
        <w:rPr>
          <w:rFonts w:ascii="Arial" w:hAnsi="Arial" w:cs="Arial"/>
          <w:lang w:eastAsia="es-ES"/>
        </w:rPr>
        <w:t xml:space="preserve"> de 22 de julio de 2020, la Sala de Casación Laboral indicó:</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i/>
          <w:iCs/>
          <w:lang w:eastAsia="es-ES"/>
        </w:rPr>
      </w:pPr>
    </w:p>
    <w:p w:rsidR="00DD31C6" w:rsidRPr="003B104E" w:rsidRDefault="00DD31C6" w:rsidP="00DD31C6">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7C4DA7">
        <w:rPr>
          <w:rFonts w:ascii="Arial" w:hAnsi="Arial" w:cs="Arial"/>
          <w:b/>
          <w:i/>
          <w:iCs/>
          <w:sz w:val="22"/>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B104E">
        <w:rPr>
          <w:rFonts w:ascii="Arial" w:hAnsi="Arial" w:cs="Arial"/>
          <w:i/>
          <w:iCs/>
          <w:sz w:val="22"/>
          <w:lang w:eastAsia="es-ES"/>
        </w:rPr>
        <w:t>, sin importar si la persona es o no beneficiaria del régimen de transición, o si está próximo a pensionarse.”. (Negrillas fuera de texto). </w:t>
      </w:r>
    </w:p>
    <w:p w:rsidR="00DD31C6" w:rsidRPr="00E42332" w:rsidRDefault="00DD31C6" w:rsidP="00DD31C6">
      <w:pPr>
        <w:spacing w:line="276" w:lineRule="auto"/>
        <w:jc w:val="both"/>
        <w:textAlignment w:val="baseline"/>
        <w:rPr>
          <w:rFonts w:ascii="Arial" w:hAnsi="Arial" w:cs="Arial"/>
          <w:lang w:val="es-ES" w:eastAsia="es-ES"/>
        </w:rPr>
      </w:pPr>
      <w:r w:rsidRPr="00E42332">
        <w:rPr>
          <w:rFonts w:ascii="Arial" w:hAnsi="Arial" w:cs="Arial"/>
          <w:i/>
          <w:iCs/>
          <w:lang w:eastAsia="es-ES"/>
        </w:rPr>
        <w:t> </w:t>
      </w:r>
      <w:r w:rsidRPr="00E42332">
        <w:rPr>
          <w:rFonts w:ascii="Arial" w:hAnsi="Arial" w:cs="Arial"/>
          <w:lang w:val="es-ES" w:eastAsia="es-ES"/>
        </w:rPr>
        <w:t> </w:t>
      </w:r>
    </w:p>
    <w:p w:rsidR="00DD31C6" w:rsidRPr="00E42332" w:rsidRDefault="00DD31C6" w:rsidP="00DD31C6">
      <w:pPr>
        <w:spacing w:line="276" w:lineRule="auto"/>
        <w:jc w:val="both"/>
        <w:textAlignment w:val="baseline"/>
        <w:rPr>
          <w:rFonts w:ascii="Arial" w:hAnsi="Arial" w:cs="Arial"/>
          <w:lang w:val="es-ES" w:eastAsia="es-ES"/>
        </w:rPr>
      </w:pPr>
      <w:r w:rsidRPr="00E42332">
        <w:rPr>
          <w:rFonts w:ascii="Arial" w:hAnsi="Arial" w:cs="Arial"/>
          <w:lang w:eastAsia="es-ES"/>
        </w:rPr>
        <w:t>Y más adelante reiteró:</w:t>
      </w:r>
      <w:r w:rsidRPr="00E42332">
        <w:rPr>
          <w:rFonts w:ascii="Arial" w:hAnsi="Arial" w:cs="Arial"/>
          <w:lang w:val="es-ES" w:eastAsia="es-ES"/>
        </w:rPr>
        <w:t> </w:t>
      </w:r>
    </w:p>
    <w:p w:rsidR="00DD31C6" w:rsidRPr="00E42332" w:rsidRDefault="00DD31C6" w:rsidP="00DD31C6">
      <w:pPr>
        <w:spacing w:line="276" w:lineRule="auto"/>
        <w:jc w:val="both"/>
        <w:textAlignment w:val="baseline"/>
        <w:rPr>
          <w:rFonts w:ascii="Arial" w:hAnsi="Arial" w:cs="Arial"/>
          <w:lang w:val="es-ES" w:eastAsia="es-ES"/>
        </w:rPr>
      </w:pPr>
      <w:r w:rsidRPr="00E42332">
        <w:rPr>
          <w:rFonts w:ascii="Arial" w:hAnsi="Arial" w:cs="Arial"/>
          <w:i/>
          <w:iCs/>
          <w:lang w:eastAsia="es-ES"/>
        </w:rPr>
        <w:t> </w:t>
      </w:r>
      <w:r w:rsidRPr="00E42332">
        <w:rPr>
          <w:rFonts w:ascii="Arial" w:hAnsi="Arial" w:cs="Arial"/>
          <w:lang w:val="es-ES" w:eastAsia="es-ES"/>
        </w:rPr>
        <w:t> </w:t>
      </w:r>
    </w:p>
    <w:p w:rsidR="00DD31C6" w:rsidRPr="003B104E" w:rsidRDefault="00DD31C6" w:rsidP="00DD31C6">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“Así, en sentencias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31989,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31314,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33083, 22 nov. 2011, CSJ </w:t>
      </w:r>
      <w:proofErr w:type="spellStart"/>
      <w:r w:rsidRPr="003B104E">
        <w:rPr>
          <w:rFonts w:ascii="Arial" w:hAnsi="Arial" w:cs="Arial"/>
          <w:i/>
          <w:iCs/>
          <w:sz w:val="22"/>
          <w:lang w:eastAsia="es-ES"/>
        </w:rPr>
        <w:t>SL12136</w:t>
      </w:r>
      <w:proofErr w:type="spellEnd"/>
      <w:r w:rsidRPr="003B104E">
        <w:rPr>
          <w:rFonts w:ascii="Arial" w:hAnsi="Arial" w:cs="Arial"/>
          <w:i/>
          <w:iCs/>
          <w:sz w:val="22"/>
          <w:lang w:eastAsia="es-ES"/>
        </w:rPr>
        <w:t xml:space="preserve">-2014, CSJ </w:t>
      </w:r>
      <w:proofErr w:type="spellStart"/>
      <w:r w:rsidRPr="003B104E">
        <w:rPr>
          <w:rFonts w:ascii="Arial" w:hAnsi="Arial" w:cs="Arial"/>
          <w:i/>
          <w:iCs/>
          <w:sz w:val="22"/>
          <w:lang w:eastAsia="es-ES"/>
        </w:rPr>
        <w:t>SL19447</w:t>
      </w:r>
      <w:proofErr w:type="spellEnd"/>
      <w:r w:rsidRPr="003B104E">
        <w:rPr>
          <w:rFonts w:ascii="Arial" w:hAnsi="Arial" w:cs="Arial"/>
          <w:i/>
          <w:iCs/>
          <w:sz w:val="22"/>
          <w:lang w:eastAsia="es-ES"/>
        </w:rPr>
        <w:t xml:space="preserve">-2017, CSJ </w:t>
      </w:r>
      <w:proofErr w:type="spellStart"/>
      <w:r w:rsidRPr="003B104E">
        <w:rPr>
          <w:rFonts w:ascii="Arial" w:hAnsi="Arial" w:cs="Arial"/>
          <w:i/>
          <w:iCs/>
          <w:sz w:val="22"/>
          <w:lang w:eastAsia="es-ES"/>
        </w:rPr>
        <w:t>SL4964</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SL4989</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SL452</w:t>
      </w:r>
      <w:proofErr w:type="spellEnd"/>
      <w:r w:rsidRPr="003B104E">
        <w:rPr>
          <w:rFonts w:ascii="Arial" w:hAnsi="Arial" w:cs="Arial"/>
          <w:i/>
          <w:iCs/>
          <w:sz w:val="22"/>
          <w:lang w:eastAsia="es-ES"/>
        </w:rPr>
        <w:t xml:space="preserve">-2019, CSJ </w:t>
      </w:r>
      <w:proofErr w:type="spellStart"/>
      <w:r w:rsidRPr="003B104E">
        <w:rPr>
          <w:rFonts w:ascii="Arial" w:hAnsi="Arial" w:cs="Arial"/>
          <w:i/>
          <w:iCs/>
          <w:sz w:val="22"/>
          <w:lang w:eastAsia="es-ES"/>
        </w:rPr>
        <w:t>SL1688</w:t>
      </w:r>
      <w:proofErr w:type="spellEnd"/>
      <w:r w:rsidRPr="003B104E">
        <w:rPr>
          <w:rFonts w:ascii="Arial" w:hAnsi="Arial" w:cs="Arial"/>
          <w:i/>
          <w:iCs/>
          <w:sz w:val="22"/>
          <w:lang w:eastAsia="es-ES"/>
        </w:rPr>
        <w:t xml:space="preserve">-2019 y </w:t>
      </w:r>
      <w:proofErr w:type="spellStart"/>
      <w:r w:rsidRPr="003B104E">
        <w:rPr>
          <w:rFonts w:ascii="Arial" w:hAnsi="Arial" w:cs="Arial"/>
          <w:i/>
          <w:iCs/>
          <w:sz w:val="22"/>
          <w:lang w:eastAsia="es-ES"/>
        </w:rPr>
        <w:t>SL1689</w:t>
      </w:r>
      <w:proofErr w:type="spellEnd"/>
      <w:r w:rsidRPr="003B104E">
        <w:rPr>
          <w:rFonts w:ascii="Arial" w:hAnsi="Arial" w:cs="Arial"/>
          <w:i/>
          <w:iCs/>
          <w:sz w:val="22"/>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7C4DA7">
        <w:rPr>
          <w:rFonts w:ascii="Arial" w:hAnsi="Arial" w:cs="Arial"/>
          <w:b/>
          <w:i/>
          <w:iCs/>
          <w:sz w:val="22"/>
          <w:lang w:eastAsia="es-ES"/>
        </w:rPr>
        <w:t>Por este motivo, el examen del acto del cambio de régimen pensional, por transgresión del deber de información, tiene que abordarse desde la institución de la ineficacia en sentido estricto</w:t>
      </w:r>
      <w:r w:rsidRPr="003B104E">
        <w:rPr>
          <w:rFonts w:ascii="Arial" w:hAnsi="Arial" w:cs="Arial"/>
          <w:i/>
          <w:iCs/>
          <w:sz w:val="22"/>
          <w:lang w:eastAsia="es-ES"/>
        </w:rPr>
        <w:t xml:space="preserve"> y no desde el régimen de las nulidades sustanciales.” (Negrillas fuera de texto). </w:t>
      </w:r>
    </w:p>
    <w:p w:rsidR="00DD31C6" w:rsidRDefault="00DD31C6" w:rsidP="00DD31C6">
      <w:pPr>
        <w:spacing w:line="276" w:lineRule="auto"/>
        <w:jc w:val="both"/>
        <w:textAlignment w:val="baseline"/>
        <w:rPr>
          <w:rFonts w:ascii="Arial" w:hAnsi="Arial" w:cs="Arial"/>
          <w:b/>
          <w:bCs/>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eastAsia="es-ES"/>
        </w:rPr>
        <w:t>2. Sobre el deber de información. </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val="es-ES"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xml:space="preserve">Frente a este ítem, la Corte Suprema de Justicia en providencia </w:t>
      </w:r>
      <w:proofErr w:type="spellStart"/>
      <w:r w:rsidRPr="00DD31C6">
        <w:rPr>
          <w:rFonts w:ascii="Arial" w:hAnsi="Arial" w:cs="Arial"/>
          <w:lang w:val="es-ES" w:eastAsia="es-ES"/>
        </w:rPr>
        <w:t>SL1452</w:t>
      </w:r>
      <w:proofErr w:type="spellEnd"/>
      <w:r w:rsidRPr="00DD31C6">
        <w:rPr>
          <w:rFonts w:ascii="Arial" w:hAnsi="Arial" w:cs="Arial"/>
          <w:lang w:val="es-ES" w:eastAsia="es-ES"/>
        </w:rPr>
        <w:t xml:space="preserve"> de 3 de abril de 2019, señaló que el deber de información a cargo de las administradoras de </w:t>
      </w:r>
      <w:r w:rsidRPr="00DD31C6">
        <w:rPr>
          <w:rFonts w:ascii="Arial" w:hAnsi="Arial" w:cs="Arial"/>
          <w:lang w:val="es-ES" w:eastAsia="es-ES"/>
        </w:rPr>
        <w:lastRenderedPageBreak/>
        <w:t>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DD31C6" w:rsidRDefault="00DD31C6" w:rsidP="00DD31C6">
      <w:pPr>
        <w:spacing w:line="276" w:lineRule="auto"/>
        <w:jc w:val="both"/>
        <w:textAlignment w:val="baseline"/>
        <w:rPr>
          <w:rFonts w:ascii="Arial" w:hAnsi="Arial" w:cs="Arial"/>
          <w:i/>
          <w:iCs/>
          <w:lang w:eastAsia="es-ES"/>
        </w:rPr>
      </w:pPr>
    </w:p>
    <w:p w:rsidR="00DD31C6" w:rsidRDefault="00DD31C6" w:rsidP="00DD31C6">
      <w:pPr>
        <w:ind w:left="426" w:right="420"/>
        <w:jc w:val="both"/>
        <w:textAlignment w:val="baseline"/>
        <w:rPr>
          <w:rFonts w:ascii="Arial" w:hAnsi="Arial" w:cs="Arial"/>
          <w:sz w:val="22"/>
          <w:lang w:val="es-ES" w:eastAsia="es-ES"/>
        </w:rPr>
      </w:pPr>
      <w:r w:rsidRPr="0049050B">
        <w:rPr>
          <w:rFonts w:ascii="Arial" w:hAnsi="Arial" w:cs="Arial"/>
          <w:i/>
          <w:iCs/>
          <w:sz w:val="22"/>
          <w:lang w:eastAsia="es-ES"/>
        </w:rPr>
        <w:t>“El anterior recuento sobre la evolución normativa del deber de información a cargo de las administradoras de pensiones podría, a grandes rasgos, sintetizarse así:</w:t>
      </w:r>
    </w:p>
    <w:p w:rsidR="00DD31C6" w:rsidRPr="0049050B" w:rsidRDefault="00DD31C6" w:rsidP="00DD31C6">
      <w:pPr>
        <w:ind w:left="426" w:right="420"/>
        <w:jc w:val="both"/>
        <w:textAlignment w:val="baseline"/>
        <w:rPr>
          <w:rFonts w:ascii="Arial" w:hAnsi="Arial" w:cs="Arial"/>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DD31C6"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Etapa acumulativa</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Normas que obligan a las administradoras de pensiones a dar información</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Contenido mínimo y alcance del deber de información</w:t>
            </w:r>
            <w:r w:rsidRPr="0049050B">
              <w:rPr>
                <w:rFonts w:ascii="Arial" w:hAnsi="Arial" w:cs="Arial"/>
                <w:sz w:val="20"/>
                <w:lang w:val="es-ES" w:eastAsia="es-ES"/>
              </w:rPr>
              <w:t> </w:t>
            </w:r>
          </w:p>
        </w:tc>
      </w:tr>
      <w:tr w:rsidR="00DD31C6"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Arts. 13 literal b), 271 y 272 de la Ley 100 de 1993</w:t>
            </w:r>
            <w:r w:rsidRPr="0049050B">
              <w:rPr>
                <w:rFonts w:ascii="Arial" w:hAnsi="Arial" w:cs="Arial"/>
                <w:sz w:val="20"/>
                <w:lang w:val="es-ES" w:eastAsia="es-ES"/>
              </w:rPr>
              <w:t> </w:t>
            </w:r>
          </w:p>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Art. 97, numeral 1 del Decreto 663 de 1993, modificado por el artículo 23 de la Ley 797 de 2003</w:t>
            </w:r>
            <w:r w:rsidRPr="0049050B">
              <w:rPr>
                <w:rFonts w:ascii="Arial" w:hAnsi="Arial" w:cs="Arial"/>
                <w:sz w:val="20"/>
                <w:lang w:val="es-ES" w:eastAsia="es-ES"/>
              </w:rPr>
              <w:t> </w:t>
            </w:r>
          </w:p>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Disposiciones constitucionales relativas al derecho a la información, no menoscabo de derechos laborales y autonomía personal</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9050B">
              <w:rPr>
                <w:rFonts w:ascii="Arial" w:hAnsi="Arial" w:cs="Arial"/>
                <w:sz w:val="20"/>
                <w:lang w:val="es-ES" w:eastAsia="es-ES"/>
              </w:rPr>
              <w:t> </w:t>
            </w:r>
          </w:p>
        </w:tc>
      </w:tr>
      <w:tr w:rsidR="00DD31C6"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y buen consejo</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literal c) de la Ley 1328 de 2009</w:t>
            </w:r>
            <w:r w:rsidRPr="0049050B">
              <w:rPr>
                <w:rFonts w:ascii="Arial" w:hAnsi="Arial" w:cs="Arial"/>
                <w:sz w:val="20"/>
                <w:lang w:val="es-ES" w:eastAsia="es-ES"/>
              </w:rPr>
              <w:t> </w:t>
            </w:r>
          </w:p>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Decreto 2241 de 2010</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9050B">
              <w:rPr>
                <w:rFonts w:ascii="Arial" w:hAnsi="Arial" w:cs="Arial"/>
                <w:sz w:val="20"/>
                <w:lang w:val="es-ES" w:eastAsia="es-ES"/>
              </w:rPr>
              <w:t> </w:t>
            </w:r>
          </w:p>
        </w:tc>
      </w:tr>
      <w:tr w:rsidR="00DD31C6"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buen consejo y doble asesoría.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Ley 1748 de 2014</w:t>
            </w:r>
            <w:r w:rsidRPr="0049050B">
              <w:rPr>
                <w:rFonts w:ascii="Arial" w:hAnsi="Arial" w:cs="Arial"/>
                <w:sz w:val="20"/>
                <w:lang w:val="es-ES" w:eastAsia="es-ES"/>
              </w:rPr>
              <w:t> </w:t>
            </w:r>
          </w:p>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del Decreto 2071 de 2015</w:t>
            </w:r>
            <w:r w:rsidRPr="0049050B">
              <w:rPr>
                <w:rFonts w:ascii="Arial" w:hAnsi="Arial" w:cs="Arial"/>
                <w:sz w:val="20"/>
                <w:lang w:val="es-ES" w:eastAsia="es-ES"/>
              </w:rPr>
              <w:t> </w:t>
            </w:r>
          </w:p>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Circular Externa n. 016 de 2016</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D31C6" w:rsidRPr="0049050B" w:rsidRDefault="00DD31C6"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Junto con lo anterior, lleva inmerso el derecho a obtener asesoría de los representantes de ambos regímenes pensionales.</w:t>
            </w:r>
            <w:r w:rsidRPr="0049050B">
              <w:rPr>
                <w:rFonts w:ascii="Arial" w:hAnsi="Arial" w:cs="Arial"/>
                <w:sz w:val="20"/>
                <w:lang w:val="es-ES" w:eastAsia="es-ES"/>
              </w:rPr>
              <w:t> </w:t>
            </w:r>
          </w:p>
        </w:tc>
      </w:tr>
    </w:tbl>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val="es-ES" w:eastAsia="es-ES"/>
        </w:rPr>
        <w:t>3. La suscripción del formulario de afiliación.</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val="es-ES"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DD31C6">
        <w:rPr>
          <w:rFonts w:ascii="Arial" w:hAnsi="Arial" w:cs="Arial"/>
          <w:lang w:val="es-ES" w:eastAsia="es-ES"/>
        </w:rPr>
        <w:t>si</w:t>
      </w:r>
      <w:proofErr w:type="spellEnd"/>
      <w:r w:rsidRPr="00DD31C6">
        <w:rPr>
          <w:rFonts w:ascii="Arial" w:hAnsi="Arial" w:cs="Arial"/>
          <w:lang w:val="es-ES" w:eastAsia="es-ES"/>
        </w:rPr>
        <w:t xml:space="preserve"> solo no le otorga plena validez al traslado entre regímenes pensionales, argumentando que:  </w:t>
      </w:r>
    </w:p>
    <w:p w:rsidR="00DD31C6" w:rsidRDefault="00DD31C6" w:rsidP="00DD31C6">
      <w:pPr>
        <w:spacing w:line="276" w:lineRule="auto"/>
        <w:jc w:val="both"/>
        <w:textAlignment w:val="baseline"/>
        <w:rPr>
          <w:rFonts w:ascii="Arial" w:hAnsi="Arial" w:cs="Arial"/>
          <w:i/>
          <w:iCs/>
          <w:lang w:eastAsia="es-ES"/>
        </w:rPr>
      </w:pPr>
    </w:p>
    <w:p w:rsidR="00DD31C6" w:rsidRPr="0049050B" w:rsidRDefault="00DD31C6" w:rsidP="00DD31C6">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49050B">
        <w:rPr>
          <w:rFonts w:ascii="Arial" w:hAnsi="Arial" w:cs="Arial"/>
          <w:i/>
          <w:iCs/>
          <w:sz w:val="22"/>
          <w:lang w:eastAsia="es-ES"/>
        </w:rPr>
        <w:t>preimpresos</w:t>
      </w:r>
      <w:proofErr w:type="spellEnd"/>
      <w:r w:rsidRPr="0049050B">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9050B">
        <w:rPr>
          <w:rFonts w:ascii="Arial" w:hAnsi="Arial" w:cs="Arial"/>
          <w:sz w:val="22"/>
          <w:lang w:val="es-ES" w:eastAsia="es-ES"/>
        </w:rPr>
        <w:t> </w:t>
      </w:r>
    </w:p>
    <w:p w:rsidR="00DD31C6" w:rsidRPr="0049050B" w:rsidRDefault="00DD31C6" w:rsidP="00DD31C6">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w:t>
      </w:r>
      <w:r w:rsidRPr="0049050B">
        <w:rPr>
          <w:rFonts w:ascii="Arial" w:hAnsi="Arial" w:cs="Arial"/>
          <w:sz w:val="22"/>
          <w:lang w:val="es-ES" w:eastAsia="es-ES"/>
        </w:rPr>
        <w:t> </w:t>
      </w:r>
    </w:p>
    <w:p w:rsidR="00DD31C6" w:rsidRPr="0049050B" w:rsidRDefault="00DD31C6" w:rsidP="00DD31C6">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Sobre el particular, en la sentencia </w:t>
      </w:r>
      <w:proofErr w:type="spellStart"/>
      <w:r w:rsidRPr="0049050B">
        <w:rPr>
          <w:rFonts w:ascii="Arial" w:hAnsi="Arial" w:cs="Arial"/>
          <w:i/>
          <w:iCs/>
          <w:sz w:val="22"/>
          <w:lang w:eastAsia="es-ES"/>
        </w:rPr>
        <w:t>SL19447</w:t>
      </w:r>
      <w:proofErr w:type="spellEnd"/>
      <w:r w:rsidRPr="0049050B">
        <w:rPr>
          <w:rFonts w:ascii="Arial" w:hAnsi="Arial" w:cs="Arial"/>
          <w:i/>
          <w:iCs/>
          <w:sz w:val="22"/>
          <w:lang w:eastAsia="es-ES"/>
        </w:rPr>
        <w:t>-2017 la Sala explicó: </w:t>
      </w:r>
      <w:r w:rsidRPr="0049050B">
        <w:rPr>
          <w:rFonts w:ascii="Arial" w:hAnsi="Arial" w:cs="Arial"/>
          <w:sz w:val="22"/>
          <w:lang w:val="es-ES" w:eastAsia="es-ES"/>
        </w:rPr>
        <w:t> </w:t>
      </w:r>
    </w:p>
    <w:p w:rsidR="00DD31C6" w:rsidRPr="0049050B" w:rsidRDefault="00DD31C6" w:rsidP="00DD31C6">
      <w:pPr>
        <w:ind w:left="426" w:right="420"/>
        <w:jc w:val="both"/>
        <w:textAlignment w:val="baseline"/>
        <w:rPr>
          <w:rFonts w:ascii="Arial" w:hAnsi="Arial" w:cs="Arial"/>
          <w:sz w:val="22"/>
          <w:lang w:val="es-ES" w:eastAsia="es-ES"/>
        </w:rPr>
      </w:pPr>
      <w:r w:rsidRPr="0049050B">
        <w:rPr>
          <w:rFonts w:ascii="Arial" w:hAnsi="Arial" w:cs="Arial"/>
          <w:sz w:val="22"/>
          <w:lang w:val="es-ES" w:eastAsia="es-ES"/>
        </w:rPr>
        <w:t> </w:t>
      </w:r>
    </w:p>
    <w:p w:rsidR="00DD31C6" w:rsidRPr="0049050B" w:rsidRDefault="00DD31C6" w:rsidP="00DD31C6">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w:t>
      </w:r>
      <w:r w:rsidRPr="0049050B">
        <w:rPr>
          <w:rFonts w:ascii="Arial" w:hAnsi="Arial" w:cs="Arial"/>
          <w:i/>
          <w:iCs/>
          <w:sz w:val="22"/>
          <w:lang w:eastAsia="es-ES"/>
        </w:rPr>
        <w:lastRenderedPageBreak/>
        <w:t>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9050B">
        <w:rPr>
          <w:rFonts w:ascii="Arial" w:hAnsi="Arial" w:cs="Arial"/>
          <w:sz w:val="22"/>
          <w:lang w:val="es-ES" w:eastAsia="es-ES"/>
        </w:rPr>
        <w:t> </w:t>
      </w:r>
    </w:p>
    <w:p w:rsidR="00DD31C6" w:rsidRPr="0049050B" w:rsidRDefault="00DD31C6" w:rsidP="00DD31C6">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DD31C6" w:rsidRPr="0049050B" w:rsidRDefault="00DD31C6" w:rsidP="00DD31C6">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9050B">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9050B">
        <w:rPr>
          <w:rFonts w:ascii="Arial" w:hAnsi="Arial" w:cs="Arial"/>
          <w:i/>
          <w:iCs/>
          <w:sz w:val="22"/>
          <w:lang w:eastAsia="es-ES"/>
        </w:rPr>
        <w:t xml:space="preserve"> […].</w:t>
      </w:r>
      <w:r w:rsidRPr="0049050B">
        <w:rPr>
          <w:rFonts w:ascii="Arial" w:hAnsi="Arial" w:cs="Arial"/>
          <w:sz w:val="22"/>
          <w:lang w:eastAsia="es-ES"/>
        </w:rPr>
        <w:t> </w:t>
      </w:r>
      <w:r w:rsidRPr="0049050B">
        <w:rPr>
          <w:rFonts w:ascii="Arial" w:hAnsi="Arial" w:cs="Arial"/>
          <w:sz w:val="22"/>
          <w:lang w:val="es-ES" w:eastAsia="es-ES"/>
        </w:rPr>
        <w:t> </w:t>
      </w:r>
    </w:p>
    <w:p w:rsidR="00DD31C6" w:rsidRPr="0049050B" w:rsidRDefault="00DD31C6" w:rsidP="00DD31C6">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DD31C6" w:rsidRPr="00942EAF" w:rsidRDefault="00DD31C6" w:rsidP="00DD31C6">
      <w:pPr>
        <w:ind w:left="426" w:right="420"/>
        <w:jc w:val="both"/>
        <w:textAlignment w:val="baseline"/>
        <w:rPr>
          <w:rFonts w:ascii="Arial" w:hAnsi="Arial" w:cs="Arial"/>
          <w:i/>
          <w:iCs/>
          <w:sz w:val="22"/>
          <w:lang w:eastAsia="es-ES"/>
        </w:rPr>
      </w:pPr>
      <w:r w:rsidRPr="0049050B">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r w:rsidRPr="00942EAF">
        <w:rPr>
          <w:rFonts w:ascii="Arial" w:hAnsi="Arial" w:cs="Arial"/>
          <w:i/>
          <w:iCs/>
          <w:sz w:val="22"/>
          <w:lang w:eastAsia="es-ES"/>
        </w:rPr>
        <w:t>  </w:t>
      </w:r>
    </w:p>
    <w:p w:rsidR="00DD31C6" w:rsidRPr="00DD31C6" w:rsidRDefault="00DD31C6" w:rsidP="00DD31C6">
      <w:pPr>
        <w:spacing w:line="276" w:lineRule="auto"/>
        <w:jc w:val="both"/>
        <w:textAlignment w:val="baseline"/>
        <w:rPr>
          <w:rFonts w:ascii="Arial" w:hAnsi="Arial" w:cs="Arial"/>
          <w:b/>
          <w:bCs/>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val="es-ES" w:eastAsia="es-ES"/>
        </w:rPr>
        <w:t>4. Carga de la prueba.</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val="es-ES"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Continuando con su exposición argumentativa, el máximo órgano de la jurisdicción laboral sentó frente al punto: </w:t>
      </w:r>
    </w:p>
    <w:p w:rsidR="00DD31C6" w:rsidRDefault="00DD31C6" w:rsidP="00DD31C6">
      <w:pPr>
        <w:spacing w:line="276" w:lineRule="auto"/>
        <w:ind w:left="426" w:right="426"/>
        <w:jc w:val="both"/>
        <w:textAlignment w:val="baseline"/>
        <w:rPr>
          <w:rFonts w:ascii="Arial" w:hAnsi="Arial" w:cs="Arial"/>
          <w:i/>
          <w:iCs/>
          <w:lang w:val="es-ES" w:eastAsia="es-ES"/>
        </w:rPr>
      </w:pPr>
    </w:p>
    <w:p w:rsidR="00982B24" w:rsidRPr="003B104E" w:rsidRDefault="00982B24" w:rsidP="00982B24">
      <w:pPr>
        <w:ind w:left="426" w:right="420"/>
        <w:jc w:val="both"/>
        <w:textAlignment w:val="baseline"/>
        <w:rPr>
          <w:rFonts w:ascii="Arial" w:hAnsi="Arial" w:cs="Arial"/>
          <w:i/>
          <w:iCs/>
          <w:sz w:val="22"/>
          <w:lang w:eastAsia="es-ES"/>
        </w:rPr>
      </w:pPr>
      <w:r w:rsidRPr="003B104E">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982B24" w:rsidRPr="003B104E" w:rsidRDefault="00982B24" w:rsidP="00982B24">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982B24" w:rsidRPr="003B104E" w:rsidRDefault="00982B24" w:rsidP="00982B24">
      <w:pPr>
        <w:ind w:left="426" w:right="420"/>
        <w:jc w:val="both"/>
        <w:textAlignment w:val="baseline"/>
        <w:rPr>
          <w:rFonts w:ascii="Arial" w:hAnsi="Arial" w:cs="Arial"/>
          <w:i/>
          <w:iCs/>
          <w:sz w:val="22"/>
          <w:lang w:eastAsia="es-ES"/>
        </w:rPr>
      </w:pPr>
      <w:r w:rsidRPr="003B104E">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982B24" w:rsidRPr="003B104E" w:rsidRDefault="00982B24" w:rsidP="00982B24">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982B24" w:rsidRPr="003B104E" w:rsidRDefault="00982B24" w:rsidP="00982B24">
      <w:pPr>
        <w:ind w:left="426" w:right="420"/>
        <w:jc w:val="both"/>
        <w:textAlignment w:val="baseline"/>
        <w:rPr>
          <w:rFonts w:ascii="Arial" w:hAnsi="Arial" w:cs="Arial"/>
          <w:i/>
          <w:iCs/>
          <w:sz w:val="22"/>
          <w:lang w:eastAsia="es-ES"/>
        </w:rPr>
      </w:pPr>
      <w:r w:rsidRPr="003B104E">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DD31C6" w:rsidRDefault="00DD31C6" w:rsidP="00DD31C6">
      <w:pPr>
        <w:spacing w:line="276" w:lineRule="auto"/>
        <w:jc w:val="both"/>
        <w:textAlignment w:val="baseline"/>
        <w:rPr>
          <w:rFonts w:ascii="Arial" w:hAnsi="Arial" w:cs="Arial"/>
          <w:b/>
          <w:bCs/>
          <w:lang w:val="es-ES"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val="es-ES" w:eastAsia="es-ES"/>
        </w:rPr>
        <w:t>CASO CONCRETO</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Con la solicitud de vinculación Nº 080477 visible a folio 56 del expediente, la señora Luz Dary Herrán Ospina se afilió al régimen de ahorro individual con solidaridad el 31 de marzo de 1997 cuando se vinculó a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sin embargo, se queja la actora que esa afiliación no es válida y por lo tanto nula o ineficaz, en virtud a que el fondo privado de pensiones no cumplió con el lleno de los requisitos legales exigidos para ese momento, como lo era el de suministrarle una asesoría veraz y </w:t>
      </w:r>
      <w:r w:rsidRPr="00DD31C6">
        <w:rPr>
          <w:rFonts w:ascii="Arial" w:hAnsi="Arial" w:cs="Arial"/>
          <w:lang w:eastAsia="es-ES"/>
        </w:rPr>
        <w:lastRenderedPageBreak/>
        <w:t xml:space="preserve">completa sobre las </w:t>
      </w:r>
      <w:r w:rsidR="00982B24" w:rsidRPr="00DD31C6">
        <w:rPr>
          <w:rFonts w:ascii="Arial" w:hAnsi="Arial" w:cs="Arial"/>
          <w:lang w:eastAsia="es-ES"/>
        </w:rPr>
        <w:t>ventajas</w:t>
      </w:r>
      <w:r w:rsidRPr="00DD31C6">
        <w:rPr>
          <w:rFonts w:ascii="Arial" w:hAnsi="Arial" w:cs="Arial"/>
          <w:lang w:eastAsia="es-ES"/>
        </w:rPr>
        <w:t xml:space="preserve"> y desventajas que acarreaba esa decisión; por lo que su paso a la AFP Porvenir S.A. no tiene ninguna validez. </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Conforme con lo señalado por la demandante, se procederá a verificar, siguiendo las reglas jurisprudenciales expuestas anteriormente, si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cumplió con el deber legal de información que le correspondía para el 31 de marzo de 1997 (primera etapa).</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En lo que concierne al formulario de afiliación, más allá de que en dicho documento se evidencia la rúbrica de la señora Herrán Ospina en la casilla denominada “</w:t>
      </w:r>
      <w:r w:rsidRPr="00DD31C6">
        <w:rPr>
          <w:rFonts w:ascii="Arial" w:hAnsi="Arial" w:cs="Arial"/>
          <w:i/>
          <w:iCs/>
          <w:lang w:eastAsia="es-ES"/>
        </w:rPr>
        <w:t>voluntad de afiliación</w:t>
      </w:r>
      <w:r w:rsidRPr="00DD31C6">
        <w:rPr>
          <w:rFonts w:ascii="Arial" w:hAnsi="Arial" w:cs="Arial"/>
          <w:lang w:eastAsia="es-ES"/>
        </w:rPr>
        <w:t xml:space="preserve">” en la que se expone que </w:t>
      </w:r>
      <w:r w:rsidRPr="00DD31C6">
        <w:rPr>
          <w:rFonts w:ascii="Arial" w:hAnsi="Arial" w:cs="Arial"/>
          <w:i/>
          <w:iCs/>
          <w:lang w:eastAsia="es-ES"/>
        </w:rPr>
        <w:t>“</w:t>
      </w:r>
      <w:r w:rsidRPr="00982B24">
        <w:rPr>
          <w:rFonts w:ascii="Arial" w:hAnsi="Arial" w:cs="Arial"/>
          <w:i/>
          <w:iCs/>
          <w:sz w:val="22"/>
          <w:lang w:eastAsia="es-ES"/>
        </w:rPr>
        <w:t xml:space="preserve">Hago constar que la selección del régimen de ahorro individual con solidaridad la he efectuado en forma libre, espontánea y sin presiones. Manifiesto que he elegido a la Compañía Colombiana Administradora de Fondos de Pensiones y Cesantías S.A. </w:t>
      </w:r>
      <w:proofErr w:type="spellStart"/>
      <w:r w:rsidRPr="00982B24">
        <w:rPr>
          <w:rFonts w:ascii="Arial" w:hAnsi="Arial" w:cs="Arial"/>
          <w:i/>
          <w:iCs/>
          <w:sz w:val="22"/>
          <w:lang w:eastAsia="es-ES"/>
        </w:rPr>
        <w:t>Colfondos</w:t>
      </w:r>
      <w:proofErr w:type="spellEnd"/>
      <w:r w:rsidRPr="00982B24">
        <w:rPr>
          <w:rFonts w:ascii="Arial" w:hAnsi="Arial" w:cs="Arial"/>
          <w:i/>
          <w:iCs/>
          <w:sz w:val="22"/>
          <w:lang w:eastAsia="es-ES"/>
        </w:rPr>
        <w:t xml:space="preserve"> para que administre mis aportes pensionales y que los datos aquí reportados son verdaderos</w:t>
      </w:r>
      <w:r w:rsidR="00982B24">
        <w:rPr>
          <w:rFonts w:ascii="Arial" w:hAnsi="Arial" w:cs="Arial"/>
          <w:i/>
          <w:iCs/>
          <w:sz w:val="22"/>
          <w:lang w:eastAsia="es-ES"/>
        </w:rPr>
        <w:t>”</w:t>
      </w:r>
      <w:r w:rsidRPr="00DD31C6">
        <w:rPr>
          <w:rFonts w:ascii="Arial" w:hAnsi="Arial" w:cs="Arial"/>
          <w:lang w:eastAsia="es-ES"/>
        </w:rPr>
        <w:t>; según lo dice la Sala de Casación Laboral, esa prueba no resulta suficiente para tener por demostrado el deber de información, pues, como mucho, acredita un consentimiento, pero no informado.</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Ahora, al absolver el interrogatorio de parte, la señora Luz Dary Herrán Ospina expresó que, en el año 1997, prestando sus servicios a favor del </w:t>
      </w:r>
      <w:proofErr w:type="spellStart"/>
      <w:r w:rsidRPr="00DD31C6">
        <w:rPr>
          <w:rFonts w:ascii="Arial" w:hAnsi="Arial" w:cs="Arial"/>
          <w:lang w:eastAsia="es-ES"/>
        </w:rPr>
        <w:t>ICBF</w:t>
      </w:r>
      <w:proofErr w:type="spellEnd"/>
      <w:r w:rsidRPr="00DD31C6">
        <w:rPr>
          <w:rFonts w:ascii="Arial" w:hAnsi="Arial" w:cs="Arial"/>
          <w:lang w:eastAsia="es-ES"/>
        </w:rPr>
        <w:t xml:space="preserve">, fueron visitados por varios asesores de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quienes en varias reuniones generales les ofrecieron trasladarse al régimen de ahorro individual con solidaridad, indicándoseles que esa era la mejor decisión que podían tomar, en razón a que </w:t>
      </w:r>
      <w:proofErr w:type="spellStart"/>
      <w:r w:rsidRPr="00DD31C6">
        <w:rPr>
          <w:rFonts w:ascii="Arial" w:hAnsi="Arial" w:cs="Arial"/>
          <w:lang w:eastAsia="es-ES"/>
        </w:rPr>
        <w:t>Cajanal</w:t>
      </w:r>
      <w:proofErr w:type="spellEnd"/>
      <w:r w:rsidRPr="00DD31C6">
        <w:rPr>
          <w:rFonts w:ascii="Arial" w:hAnsi="Arial" w:cs="Arial"/>
          <w:lang w:eastAsia="es-ES"/>
        </w:rPr>
        <w:t xml:space="preserve">, entidad en la que ella se encontraba afiliada, se iba a acabar; en esas reuniones, se les insistía en que iban a devengar una mesada pensional muy superior a la que podrían acceder en </w:t>
      </w:r>
      <w:proofErr w:type="spellStart"/>
      <w:r w:rsidRPr="00DD31C6">
        <w:rPr>
          <w:rFonts w:ascii="Arial" w:hAnsi="Arial" w:cs="Arial"/>
          <w:lang w:eastAsia="es-ES"/>
        </w:rPr>
        <w:t>Cajanal</w:t>
      </w:r>
      <w:proofErr w:type="spellEnd"/>
      <w:r w:rsidRPr="00DD31C6">
        <w:rPr>
          <w:rFonts w:ascii="Arial" w:hAnsi="Arial" w:cs="Arial"/>
          <w:lang w:eastAsia="es-ES"/>
        </w:rPr>
        <w:t xml:space="preserve"> y que podían hacerlo de manera anticipada; para soportar esa información se les mostraban unas diapositivas en las que se les garantizaba que la mesada pensional iba a ser mayor en el </w:t>
      </w:r>
      <w:proofErr w:type="spellStart"/>
      <w:r w:rsidRPr="00DD31C6">
        <w:rPr>
          <w:rFonts w:ascii="Arial" w:hAnsi="Arial" w:cs="Arial"/>
          <w:lang w:eastAsia="es-ES"/>
        </w:rPr>
        <w:t>RAIS</w:t>
      </w:r>
      <w:proofErr w:type="spellEnd"/>
      <w:r w:rsidRPr="00DD31C6">
        <w:rPr>
          <w:rFonts w:ascii="Arial" w:hAnsi="Arial" w:cs="Arial"/>
          <w:lang w:eastAsia="es-ES"/>
        </w:rPr>
        <w:t xml:space="preserve">, no obstante, hace un par de años, al estar en edad cercana a pensionarse, decidió averiguar cómo se encontraba su estado pensional y para su sorpresa, le indicaron que podía acceder a una pensión mucho más bajita a la que podía acceder en el RPM; finalmente sostuvo que esa fue la única información que se le brindó por parte de </w:t>
      </w:r>
      <w:proofErr w:type="spellStart"/>
      <w:r w:rsidRPr="00DD31C6">
        <w:rPr>
          <w:rFonts w:ascii="Arial" w:hAnsi="Arial" w:cs="Arial"/>
          <w:lang w:eastAsia="es-ES"/>
        </w:rPr>
        <w:t>Colfondos</w:t>
      </w:r>
      <w:proofErr w:type="spellEnd"/>
      <w:r w:rsidRPr="00DD31C6">
        <w:rPr>
          <w:rFonts w:ascii="Arial" w:hAnsi="Arial" w:cs="Arial"/>
          <w:lang w:eastAsia="es-ES"/>
        </w:rPr>
        <w:t xml:space="preserve"> S.A.</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Esas afirmaciones fueron corroboradas por el señor Héctor Fabio Valencia López, quien como funcionario del </w:t>
      </w:r>
      <w:proofErr w:type="spellStart"/>
      <w:r w:rsidRPr="00DD31C6">
        <w:rPr>
          <w:rFonts w:ascii="Arial" w:hAnsi="Arial" w:cs="Arial"/>
          <w:lang w:eastAsia="es-ES"/>
        </w:rPr>
        <w:t>ICBF</w:t>
      </w:r>
      <w:proofErr w:type="spellEnd"/>
      <w:r w:rsidRPr="00DD31C6">
        <w:rPr>
          <w:rFonts w:ascii="Arial" w:hAnsi="Arial" w:cs="Arial"/>
          <w:lang w:eastAsia="es-ES"/>
        </w:rPr>
        <w:t xml:space="preserve"> para el año 1997 y compañero de la accionante, dio fe que los asesores de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con la anuencia del instituto empleador, los visitaron para lograr la afiliación de un gran número de empleados de la entidad, señalándoseles que </w:t>
      </w:r>
      <w:proofErr w:type="spellStart"/>
      <w:r w:rsidRPr="00DD31C6">
        <w:rPr>
          <w:rFonts w:ascii="Arial" w:hAnsi="Arial" w:cs="Arial"/>
          <w:lang w:eastAsia="es-ES"/>
        </w:rPr>
        <w:t>Cajanal</w:t>
      </w:r>
      <w:proofErr w:type="spellEnd"/>
      <w:r w:rsidRPr="00DD31C6">
        <w:rPr>
          <w:rFonts w:ascii="Arial" w:hAnsi="Arial" w:cs="Arial"/>
          <w:lang w:eastAsia="es-ES"/>
        </w:rPr>
        <w:t xml:space="preserve"> iba a desaparecer, situación que generó mucho pánico en todos los funcionarios y que fue lo que los llevó a trasladarse a muchos de ellos, incluida la accionante, al </w:t>
      </w:r>
      <w:proofErr w:type="spellStart"/>
      <w:r w:rsidRPr="00DD31C6">
        <w:rPr>
          <w:rFonts w:ascii="Arial" w:hAnsi="Arial" w:cs="Arial"/>
          <w:lang w:eastAsia="es-ES"/>
        </w:rPr>
        <w:t>RAIS</w:t>
      </w:r>
      <w:proofErr w:type="spellEnd"/>
      <w:r w:rsidRPr="00DD31C6">
        <w:rPr>
          <w:rFonts w:ascii="Arial" w:hAnsi="Arial" w:cs="Arial"/>
          <w:lang w:eastAsia="es-ES"/>
        </w:rPr>
        <w:t xml:space="preserve">; además de esa información, se les dijo que en ese régimen pensional se iban a pensionar con una mesada muy superior a la que percibirían en </w:t>
      </w:r>
      <w:proofErr w:type="spellStart"/>
      <w:r w:rsidRPr="00DD31C6">
        <w:rPr>
          <w:rFonts w:ascii="Arial" w:hAnsi="Arial" w:cs="Arial"/>
          <w:lang w:eastAsia="es-ES"/>
        </w:rPr>
        <w:t>Cajanal</w:t>
      </w:r>
      <w:proofErr w:type="spellEnd"/>
      <w:r w:rsidRPr="00DD31C6">
        <w:rPr>
          <w:rFonts w:ascii="Arial" w:hAnsi="Arial" w:cs="Arial"/>
          <w:lang w:eastAsia="es-ES"/>
        </w:rPr>
        <w:t xml:space="preserve"> y de manera anticipada; en consideración suya, la AFP no le brindó a los funcionarios una auténtica asesoría, ya que solo les mostraron unos supuestos beneficios, pero nunca se les mostró cuales eran las consecuencias negativas que traía esa decisión.</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lastRenderedPageBreak/>
        <w:t xml:space="preserve">Además de las pruebas relacionadas previamente,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no allegó otras pruebas de las que se pudiera desprender el cumplimiento del deber legal de información que le asistía con la señora Luz Dary Herrán Ospina, razón por la que, conforme con lo sentado por la Corte Suprema de Justicia, al no cumplir la AFP con la carga probatoria que le correspondía, no queda otro camino que confirmar la decisión emitida por el Juzgado Quinto Laboral del Circuito, consistente en declarar la ineficacia del acto jurídico por medio del cual la accionante se trasladó del régimen de prima media con prestación definida al régimen de ahorro individual con solidaridad; sin que el hecho de haberse movilizado dentro del </w:t>
      </w:r>
      <w:proofErr w:type="spellStart"/>
      <w:r w:rsidRPr="00DD31C6">
        <w:rPr>
          <w:rFonts w:ascii="Arial" w:hAnsi="Arial" w:cs="Arial"/>
          <w:lang w:eastAsia="es-ES"/>
        </w:rPr>
        <w:t>RAIS</w:t>
      </w:r>
      <w:proofErr w:type="spellEnd"/>
      <w:r w:rsidRPr="00DD31C6">
        <w:rPr>
          <w:rFonts w:ascii="Arial" w:hAnsi="Arial" w:cs="Arial"/>
          <w:lang w:eastAsia="es-ES"/>
        </w:rPr>
        <w:t xml:space="preserve"> convalide los errores en que incurrió la AFP </w:t>
      </w:r>
      <w:proofErr w:type="spellStart"/>
      <w:r w:rsidRPr="00DD31C6">
        <w:rPr>
          <w:rFonts w:ascii="Arial" w:hAnsi="Arial" w:cs="Arial"/>
          <w:lang w:eastAsia="es-ES"/>
        </w:rPr>
        <w:t>Colfondos</w:t>
      </w:r>
      <w:proofErr w:type="spellEnd"/>
      <w:r w:rsidRPr="00DD31C6">
        <w:rPr>
          <w:rFonts w:ascii="Arial" w:hAnsi="Arial" w:cs="Arial"/>
          <w:lang w:eastAsia="es-ES"/>
        </w:rPr>
        <w:t xml:space="preserve"> S.A. y que la llevaron a transgredir el deber legal que tenía con la accionante al momento de efectuarse el cambio de régimen pensional, el cual se torna insubsanable, por lo que todos los actos posteriores ejecutados dentro del régimen de ahorro individual con solidaridad carecen de validez. </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xml:space="preserve">Tal declaración trae como consecuencia el regreso automático de la afiliada al régimen de prima media con prestación definida administrada actualmente por Colpensiones, sin solución de continuidad, siendo del caso advertir que de acuerdo con el artículo 4º del Decreto 2196 de 12 de junio de 2009 por medio del cual se suprimió y ordenó la liquidación de </w:t>
      </w:r>
      <w:proofErr w:type="spellStart"/>
      <w:r w:rsidRPr="00DD31C6">
        <w:rPr>
          <w:rFonts w:ascii="Arial" w:hAnsi="Arial" w:cs="Arial"/>
          <w:lang w:val="es-ES" w:eastAsia="es-ES"/>
        </w:rPr>
        <w:t>Cajanal</w:t>
      </w:r>
      <w:proofErr w:type="spellEnd"/>
      <w:r w:rsidRPr="00DD31C6">
        <w:rPr>
          <w:rFonts w:ascii="Arial" w:hAnsi="Arial" w:cs="Arial"/>
          <w:lang w:val="es-ES" w:eastAsia="es-ES"/>
        </w:rPr>
        <w:t xml:space="preserve"> </w:t>
      </w:r>
      <w:proofErr w:type="spellStart"/>
      <w:r w:rsidRPr="00DD31C6">
        <w:rPr>
          <w:rFonts w:ascii="Arial" w:hAnsi="Arial" w:cs="Arial"/>
          <w:lang w:val="es-ES" w:eastAsia="es-ES"/>
        </w:rPr>
        <w:t>EICE</w:t>
      </w:r>
      <w:proofErr w:type="spellEnd"/>
      <w:r w:rsidRPr="00DD31C6">
        <w:rPr>
          <w:rFonts w:ascii="Arial" w:hAnsi="Arial" w:cs="Arial"/>
          <w:lang w:val="es-ES" w:eastAsia="es-ES"/>
        </w:rPr>
        <w:t xml:space="preserve">, esa entidad a la que se encontraba afiliada la accionante, a más tardar, dentro del mes siguiente a la expedición de esa normativa debía trasladar a todos sus afiliados al </w:t>
      </w:r>
      <w:proofErr w:type="spellStart"/>
      <w:r w:rsidRPr="00DD31C6">
        <w:rPr>
          <w:rFonts w:ascii="Arial" w:hAnsi="Arial" w:cs="Arial"/>
          <w:lang w:val="es-ES" w:eastAsia="es-ES"/>
        </w:rPr>
        <w:t>ISS</w:t>
      </w:r>
      <w:proofErr w:type="spellEnd"/>
      <w:r w:rsidRPr="00DD31C6">
        <w:rPr>
          <w:rFonts w:ascii="Arial" w:hAnsi="Arial" w:cs="Arial"/>
          <w:lang w:val="es-ES" w:eastAsia="es-ES"/>
        </w:rPr>
        <w:t xml:space="preserve">, situación que permite concluir que la señora Luz Dary Herrán Ospina se encuentra válidamente afiliada al referenciado </w:t>
      </w:r>
      <w:proofErr w:type="spellStart"/>
      <w:r w:rsidRPr="00DD31C6">
        <w:rPr>
          <w:rFonts w:ascii="Arial" w:hAnsi="Arial" w:cs="Arial"/>
          <w:lang w:val="es-ES" w:eastAsia="es-ES"/>
        </w:rPr>
        <w:t>RPMPD</w:t>
      </w:r>
      <w:proofErr w:type="spellEnd"/>
      <w:r w:rsidRPr="00DD31C6">
        <w:rPr>
          <w:rFonts w:ascii="Arial" w:hAnsi="Arial" w:cs="Arial"/>
          <w:lang w:val="es-ES" w:eastAsia="es-ES"/>
        </w:rPr>
        <w:t xml:space="preserve"> administrado ahora por la codemandada Administradora Colombiana de Pensiones, como acertadamente lo definió el juzgado de conocimiento, correspondiéndole a la AFP Porvenir S.A., a la que se encuentra afiliada la actora actualmente, girar a Colpensiones la totalidad del capital que se encuentre en la cuenta de ahorro individual de la señora Herrán Ospina, junto con los frutos e intereses que se hayan generado, como adecuadamente lo ordenó la </w:t>
      </w:r>
      <w:r w:rsidRPr="00DD31C6">
        <w:rPr>
          <w:rFonts w:ascii="Arial" w:hAnsi="Arial" w:cs="Arial"/>
          <w:i/>
          <w:iCs/>
          <w:lang w:val="es-ES" w:eastAsia="es-ES"/>
        </w:rPr>
        <w:t>a quo.</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En cuanto al reclamo hecho por las AFP demandadas entorno a la restitución de los gastos de administración con cargo a sus propios recursos, ordenada en primera instancia, baste recordar que la Corte Suprema de Justicia en la sentencia </w:t>
      </w:r>
      <w:proofErr w:type="spellStart"/>
      <w:r w:rsidRPr="00DD31C6">
        <w:rPr>
          <w:rFonts w:ascii="Arial" w:hAnsi="Arial" w:cs="Arial"/>
          <w:lang w:eastAsia="es-ES"/>
        </w:rPr>
        <w:t>SL1688</w:t>
      </w:r>
      <w:proofErr w:type="spellEnd"/>
      <w:r w:rsidRPr="00DD31C6">
        <w:rPr>
          <w:rFonts w:ascii="Arial" w:hAnsi="Arial" w:cs="Arial"/>
          <w:lang w:eastAsia="es-ES"/>
        </w:rPr>
        <w:t xml:space="preserve"> de 8 de mayo de 2019, apoyándose en providencias CSJ </w:t>
      </w:r>
      <w:proofErr w:type="spellStart"/>
      <w:r w:rsidRPr="00DD31C6">
        <w:rPr>
          <w:rFonts w:ascii="Arial" w:hAnsi="Arial" w:cs="Arial"/>
          <w:lang w:eastAsia="es-ES"/>
        </w:rPr>
        <w:t>SL</w:t>
      </w:r>
      <w:proofErr w:type="spellEnd"/>
      <w:r w:rsidRPr="00DD31C6">
        <w:rPr>
          <w:rFonts w:ascii="Arial" w:hAnsi="Arial" w:cs="Arial"/>
          <w:lang w:eastAsia="es-ES"/>
        </w:rPr>
        <w:t xml:space="preserve"> 31989, 9 sep. 2008, CSJ </w:t>
      </w:r>
      <w:proofErr w:type="spellStart"/>
      <w:r w:rsidRPr="00DD31C6">
        <w:rPr>
          <w:rFonts w:ascii="Arial" w:hAnsi="Arial" w:cs="Arial"/>
          <w:lang w:eastAsia="es-ES"/>
        </w:rPr>
        <w:t>SL4964</w:t>
      </w:r>
      <w:proofErr w:type="spellEnd"/>
      <w:r w:rsidRPr="00DD31C6">
        <w:rPr>
          <w:rFonts w:ascii="Arial" w:hAnsi="Arial" w:cs="Arial"/>
          <w:lang w:eastAsia="es-ES"/>
        </w:rPr>
        <w:t xml:space="preserve">-2018, CSJ </w:t>
      </w:r>
      <w:proofErr w:type="spellStart"/>
      <w:r w:rsidRPr="00DD31C6">
        <w:rPr>
          <w:rFonts w:ascii="Arial" w:hAnsi="Arial" w:cs="Arial"/>
          <w:lang w:eastAsia="es-ES"/>
        </w:rPr>
        <w:t>SL4989</w:t>
      </w:r>
      <w:proofErr w:type="spellEnd"/>
      <w:r w:rsidRPr="00DD31C6">
        <w:rPr>
          <w:rFonts w:ascii="Arial" w:hAnsi="Arial" w:cs="Arial"/>
          <w:lang w:eastAsia="es-ES"/>
        </w:rPr>
        <w:t xml:space="preserve">-2018 y CSJ </w:t>
      </w:r>
      <w:proofErr w:type="spellStart"/>
      <w:r w:rsidRPr="00DD31C6">
        <w:rPr>
          <w:rFonts w:ascii="Arial" w:hAnsi="Arial" w:cs="Arial"/>
          <w:lang w:eastAsia="es-ES"/>
        </w:rPr>
        <w:t>SL1421</w:t>
      </w:r>
      <w:proofErr w:type="spellEnd"/>
      <w:r w:rsidRPr="00DD31C6">
        <w:rPr>
          <w:rFonts w:ascii="Arial" w:hAnsi="Arial" w:cs="Arial"/>
          <w:lang w:eastAsia="es-ES"/>
        </w:rPr>
        <w:t>-2019, sostuvo que otra de las consecuencias prácticas que trae la declaración de ineficacia, es la de la restitución de los gastos de administración con cargo a los recursos propios de la AFP a la Administradora Colombiana de Pensiones; razón por la que la condena emitida por la falladora de primer grado en ese aspecto, se encuentra ajustada a lo dicho por la Alta Magistratura, pero en virtud del grado jurisdiccional de consulta se dispondrá su indexación en consideración a que el paso del tiempo afecta el valor adquisitivo de la moneda en Colombia.</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lang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xml:space="preserve">Igualmente, también en desarrollo de la consulta y teniendo en cuenta que el traslado declarado ineficaz implica que ningún acto posterior al mismo produjo efectos, se adicionará la sentencia objeto de estudio, en el sentido de ordenar a los dos fondos privados de pensiones la restitución, con cargo a sus propios recursos y debidamente indexados, de los valores que fueron descontados al actor durante su </w:t>
      </w:r>
      <w:r w:rsidRPr="00DD31C6">
        <w:rPr>
          <w:rFonts w:ascii="Arial" w:hAnsi="Arial" w:cs="Arial"/>
          <w:lang w:eastAsia="es-ES"/>
        </w:rPr>
        <w:lastRenderedPageBreak/>
        <w:t>permanencia en cada uno de ellos y que estuvieron destinados a financiar la garantía de pensión mínima y las primas de los seguros de invalidez y sobrevivientes.</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xml:space="preserve">De esta manera queda resuelto los recursos de apelación </w:t>
      </w:r>
      <w:proofErr w:type="gramStart"/>
      <w:r w:rsidRPr="00DD31C6">
        <w:rPr>
          <w:rFonts w:ascii="Arial" w:hAnsi="Arial" w:cs="Arial"/>
          <w:lang w:val="es-ES" w:eastAsia="es-ES"/>
        </w:rPr>
        <w:t>interpuesto</w:t>
      </w:r>
      <w:proofErr w:type="gramEnd"/>
      <w:r w:rsidRPr="00DD31C6">
        <w:rPr>
          <w:rFonts w:ascii="Arial" w:hAnsi="Arial" w:cs="Arial"/>
          <w:lang w:val="es-ES" w:eastAsia="es-ES"/>
        </w:rPr>
        <w:t xml:space="preserve"> por las entidades accionadas, así como el grado jurisdiccional de consulta dispuesto a favor de la Administradora Colombiana de Pensiones. </w:t>
      </w:r>
    </w:p>
    <w:p w:rsidR="00DD31C6" w:rsidRDefault="00DD31C6" w:rsidP="00DD31C6">
      <w:pPr>
        <w:spacing w:line="276" w:lineRule="auto"/>
        <w:ind w:right="35"/>
        <w:jc w:val="both"/>
        <w:textAlignment w:val="baseline"/>
        <w:rPr>
          <w:rFonts w:ascii="Arial" w:hAnsi="Arial" w:cs="Arial"/>
          <w:lang w:val="es-ES" w:eastAsia="es-ES"/>
        </w:rPr>
      </w:pPr>
    </w:p>
    <w:p w:rsidR="00314F21" w:rsidRPr="00DD31C6" w:rsidRDefault="00314F21" w:rsidP="00DD31C6">
      <w:pPr>
        <w:spacing w:line="276" w:lineRule="auto"/>
        <w:ind w:right="35"/>
        <w:jc w:val="both"/>
        <w:textAlignment w:val="baseline"/>
        <w:rPr>
          <w:rFonts w:ascii="Arial" w:hAnsi="Arial" w:cs="Arial"/>
          <w:lang w:val="es-ES" w:eastAsia="es-ES"/>
        </w:rPr>
      </w:pPr>
      <w:r w:rsidRPr="00DD31C6">
        <w:rPr>
          <w:rFonts w:ascii="Arial" w:hAnsi="Arial" w:cs="Arial"/>
          <w:lang w:val="es-ES" w:eastAsia="es-ES"/>
        </w:rPr>
        <w:t xml:space="preserve">Las costas en esta sede estarán a cargo de las AFP </w:t>
      </w:r>
      <w:proofErr w:type="spellStart"/>
      <w:r w:rsidRPr="00DD31C6">
        <w:rPr>
          <w:rFonts w:ascii="Arial" w:hAnsi="Arial" w:cs="Arial"/>
          <w:lang w:val="es-ES" w:eastAsia="es-ES"/>
        </w:rPr>
        <w:t>Colfondos</w:t>
      </w:r>
      <w:proofErr w:type="spellEnd"/>
      <w:r w:rsidRPr="00DD31C6">
        <w:rPr>
          <w:rFonts w:ascii="Arial" w:hAnsi="Arial" w:cs="Arial"/>
          <w:lang w:val="es-ES" w:eastAsia="es-ES"/>
        </w:rPr>
        <w:t xml:space="preserve"> S.A. y Porvenir S.A. en un 100% y por partes iguales. </w:t>
      </w:r>
    </w:p>
    <w:p w:rsidR="00DD31C6" w:rsidRDefault="00DD31C6" w:rsidP="00DD31C6">
      <w:pPr>
        <w:spacing w:line="276" w:lineRule="auto"/>
        <w:jc w:val="both"/>
        <w:textAlignment w:val="baseline"/>
        <w:rPr>
          <w:rFonts w:ascii="Arial" w:hAnsi="Arial" w:cs="Arial"/>
          <w:lang w:val="es-ES" w:eastAsia="es-ES"/>
        </w:rPr>
      </w:pPr>
    </w:p>
    <w:p w:rsid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val="es-ES" w:eastAsia="es-ES"/>
        </w:rPr>
        <w:t xml:space="preserve">En mérito de lo expuesto, la </w:t>
      </w:r>
      <w:r w:rsidRPr="00DD31C6">
        <w:rPr>
          <w:rFonts w:ascii="Arial" w:hAnsi="Arial" w:cs="Arial"/>
          <w:b/>
          <w:bCs/>
          <w:lang w:val="es-ES" w:eastAsia="es-ES"/>
        </w:rPr>
        <w:t>Sala de Decisión Laboral Nº 3 del Tribunal Superior de Pereira</w:t>
      </w:r>
      <w:r w:rsidRPr="00DD31C6">
        <w:rPr>
          <w:rFonts w:ascii="Arial" w:hAnsi="Arial" w:cs="Arial"/>
          <w:lang w:val="es-ES" w:eastAsia="es-ES"/>
        </w:rPr>
        <w:t>, administrando justicia en nombre de la Repúbl</w:t>
      </w:r>
      <w:r w:rsidR="00DD31C6">
        <w:rPr>
          <w:rFonts w:ascii="Arial" w:hAnsi="Arial" w:cs="Arial"/>
          <w:lang w:val="es-ES" w:eastAsia="es-ES"/>
        </w:rPr>
        <w:t>ica y por autoridad de la ley,</w:t>
      </w:r>
    </w:p>
    <w:p w:rsidR="00DD31C6" w:rsidRPr="00DD31C6" w:rsidRDefault="00DD31C6" w:rsidP="00DD31C6">
      <w:pPr>
        <w:spacing w:line="276" w:lineRule="auto"/>
        <w:jc w:val="both"/>
        <w:textAlignment w:val="baseline"/>
        <w:rPr>
          <w:rFonts w:ascii="Arial" w:hAnsi="Arial" w:cs="Arial"/>
          <w:lang w:val="es-ES" w:eastAsia="es-ES"/>
        </w:rPr>
      </w:pPr>
    </w:p>
    <w:p w:rsidR="00314F21" w:rsidRPr="00DD31C6" w:rsidRDefault="00314F21" w:rsidP="00DD31C6">
      <w:pPr>
        <w:spacing w:line="276" w:lineRule="auto"/>
        <w:jc w:val="center"/>
        <w:textAlignment w:val="baseline"/>
        <w:rPr>
          <w:rFonts w:ascii="Arial" w:hAnsi="Arial" w:cs="Arial"/>
          <w:lang w:val="es-ES" w:eastAsia="es-ES"/>
        </w:rPr>
      </w:pPr>
      <w:r w:rsidRPr="00DD31C6">
        <w:rPr>
          <w:rFonts w:ascii="Arial" w:hAnsi="Arial" w:cs="Arial"/>
          <w:b/>
          <w:bCs/>
          <w:lang w:val="es-ES" w:eastAsia="es-ES"/>
        </w:rPr>
        <w:t>RESUELVE</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b/>
          <w:bCs/>
          <w:lang w:val="es-ES"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val="es-ES" w:eastAsia="es-ES"/>
        </w:rPr>
        <w:t>PRIMERO. ADICIONAR</w:t>
      </w:r>
      <w:r w:rsidRPr="00DD31C6">
        <w:rPr>
          <w:rFonts w:ascii="Arial" w:hAnsi="Arial" w:cs="Arial"/>
          <w:lang w:val="es-ES" w:eastAsia="es-ES"/>
        </w:rPr>
        <w:t xml:space="preserve"> la sentencia proferida por el Juzgado Quinto Laboral del Circuito, en el sentido de </w:t>
      </w:r>
      <w:r w:rsidRPr="00DD31C6">
        <w:rPr>
          <w:rFonts w:ascii="Arial" w:hAnsi="Arial" w:cs="Arial"/>
          <w:b/>
          <w:bCs/>
          <w:lang w:val="es-ES" w:eastAsia="es-ES"/>
        </w:rPr>
        <w:t xml:space="preserve">CONDENAR </w:t>
      </w:r>
      <w:r w:rsidRPr="00DD31C6">
        <w:rPr>
          <w:rFonts w:ascii="Arial" w:hAnsi="Arial" w:cs="Arial"/>
          <w:lang w:val="es-ES" w:eastAsia="es-ES"/>
        </w:rPr>
        <w:t xml:space="preserve">a las AFP </w:t>
      </w:r>
      <w:proofErr w:type="spellStart"/>
      <w:r w:rsidRPr="00DD31C6">
        <w:rPr>
          <w:rFonts w:ascii="Arial" w:hAnsi="Arial" w:cs="Arial"/>
          <w:lang w:val="es-ES" w:eastAsia="es-ES"/>
        </w:rPr>
        <w:t>COLFONDOS</w:t>
      </w:r>
      <w:proofErr w:type="spellEnd"/>
      <w:r w:rsidRPr="00DD31C6">
        <w:rPr>
          <w:rFonts w:ascii="Arial" w:hAnsi="Arial" w:cs="Arial"/>
          <w:lang w:val="es-ES" w:eastAsia="es-ES"/>
        </w:rPr>
        <w:t xml:space="preserve"> S.A. y PORVENIR S.A. a indexar las sumas a devolver por concepto de gastos de administración, por los periodos en los que estuvo afiliada la accionante a cada uno de ellos e igualmente se les </w:t>
      </w:r>
      <w:r w:rsidRPr="00DD31C6">
        <w:rPr>
          <w:rFonts w:ascii="Arial" w:hAnsi="Arial" w:cs="Arial"/>
          <w:b/>
          <w:bCs/>
          <w:lang w:val="es-ES" w:eastAsia="es-ES"/>
        </w:rPr>
        <w:t xml:space="preserve">CONDENA </w:t>
      </w:r>
      <w:r w:rsidRPr="00DD31C6">
        <w:rPr>
          <w:rFonts w:ascii="Arial" w:hAnsi="Arial" w:cs="Arial"/>
          <w:lang w:val="es-ES" w:eastAsia="es-ES"/>
        </w:rPr>
        <w:t>a restituir, debidamente indexados y con cargo a sus propios recursos, los valores que fueron descontados a la demandante durante los periodos que estuvo afiliada a cada una de esas entidades y que se destinaron a financiar la garantía de pensión mínima y las primas de los seguros de invalidez y sobrevivientes, a favor de la ADMINISTRADORA COLOMBIANA DE PENSIONES.  </w:t>
      </w:r>
    </w:p>
    <w:p w:rsidR="00DD31C6" w:rsidRDefault="00DD31C6" w:rsidP="00DD31C6">
      <w:pPr>
        <w:spacing w:line="276" w:lineRule="auto"/>
        <w:jc w:val="both"/>
        <w:textAlignment w:val="baseline"/>
        <w:rPr>
          <w:rFonts w:ascii="Arial" w:hAnsi="Arial" w:cs="Arial"/>
          <w:b/>
          <w:bCs/>
          <w:lang w:val="es-ES"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val="es-ES" w:eastAsia="es-ES"/>
        </w:rPr>
        <w:t xml:space="preserve">SEGUNDO. CONFIRMAR </w:t>
      </w:r>
      <w:r w:rsidRPr="00DD31C6">
        <w:rPr>
          <w:rFonts w:ascii="Arial" w:hAnsi="Arial" w:cs="Arial"/>
          <w:lang w:val="es-ES" w:eastAsia="es-ES"/>
        </w:rPr>
        <w:t>la sentencia recurrida en todo lo demás.</w:t>
      </w:r>
      <w:r w:rsidRPr="00DD31C6">
        <w:rPr>
          <w:rFonts w:ascii="Arial" w:hAnsi="Arial" w:cs="Arial"/>
          <w:b/>
          <w:bCs/>
          <w:lang w:val="es-ES" w:eastAsia="es-ES"/>
        </w:rPr>
        <w:t> </w:t>
      </w:r>
      <w:r w:rsidRPr="00DD31C6">
        <w:rPr>
          <w:rFonts w:ascii="Arial" w:hAnsi="Arial" w:cs="Arial"/>
          <w:lang w:val="es-ES" w:eastAsia="es-ES"/>
        </w:rPr>
        <w:t> </w:t>
      </w:r>
    </w:p>
    <w:p w:rsidR="00DD31C6" w:rsidRDefault="00DD31C6" w:rsidP="00DD31C6">
      <w:pPr>
        <w:spacing w:line="276" w:lineRule="auto"/>
        <w:jc w:val="both"/>
        <w:textAlignment w:val="baseline"/>
        <w:rPr>
          <w:rFonts w:ascii="Arial" w:hAnsi="Arial" w:cs="Arial"/>
          <w:b/>
          <w:bCs/>
          <w:lang w:val="es-ES" w:eastAsia="es-ES"/>
        </w:rPr>
      </w:pP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b/>
          <w:bCs/>
          <w:lang w:val="es-ES" w:eastAsia="es-ES"/>
        </w:rPr>
        <w:t xml:space="preserve">TERCERO. CONDENAR </w:t>
      </w:r>
      <w:r w:rsidRPr="00DD31C6">
        <w:rPr>
          <w:rFonts w:ascii="Arial" w:hAnsi="Arial" w:cs="Arial"/>
          <w:lang w:val="es-ES" w:eastAsia="es-ES"/>
        </w:rPr>
        <w:t xml:space="preserve">en costas en esta sede a las AFP </w:t>
      </w:r>
      <w:proofErr w:type="spellStart"/>
      <w:r w:rsidRPr="00DD31C6">
        <w:rPr>
          <w:rFonts w:ascii="Arial" w:hAnsi="Arial" w:cs="Arial"/>
          <w:lang w:val="es-ES" w:eastAsia="es-ES"/>
        </w:rPr>
        <w:t>COLFONDOS</w:t>
      </w:r>
      <w:proofErr w:type="spellEnd"/>
      <w:r w:rsidRPr="00DD31C6">
        <w:rPr>
          <w:rFonts w:ascii="Arial" w:hAnsi="Arial" w:cs="Arial"/>
          <w:lang w:val="es-ES" w:eastAsia="es-ES"/>
        </w:rPr>
        <w:t xml:space="preserve"> S.A. y PORVENIR S.A. en un 100% y por partes iguales. </w:t>
      </w:r>
    </w:p>
    <w:p w:rsidR="00DD31C6" w:rsidRDefault="00DD31C6" w:rsidP="00DD31C6">
      <w:pPr>
        <w:pStyle w:val="paragraph"/>
        <w:spacing w:before="0" w:beforeAutospacing="0" w:after="0" w:afterAutospacing="0" w:line="276" w:lineRule="auto"/>
        <w:jc w:val="both"/>
        <w:textAlignment w:val="baseline"/>
        <w:rPr>
          <w:rStyle w:val="normaltextrun"/>
          <w:rFonts w:ascii="Arial" w:hAnsi="Arial" w:cs="Arial"/>
          <w:lang w:val="es-CO"/>
        </w:rPr>
      </w:pPr>
    </w:p>
    <w:p w:rsidR="00314F21" w:rsidRPr="00DD31C6" w:rsidRDefault="00314F21" w:rsidP="00DD31C6">
      <w:pPr>
        <w:pStyle w:val="paragraph"/>
        <w:spacing w:before="0" w:beforeAutospacing="0" w:after="0" w:afterAutospacing="0" w:line="276" w:lineRule="auto"/>
        <w:jc w:val="both"/>
        <w:textAlignment w:val="baseline"/>
        <w:rPr>
          <w:rFonts w:ascii="Arial" w:hAnsi="Arial" w:cs="Arial"/>
        </w:rPr>
      </w:pPr>
      <w:r w:rsidRPr="00DD31C6">
        <w:rPr>
          <w:rStyle w:val="normaltextrun"/>
          <w:rFonts w:ascii="Arial" w:hAnsi="Arial" w:cs="Arial"/>
          <w:lang w:val="es-CO"/>
        </w:rPr>
        <w:t>Notifíquese por estado y a los correos electrónicos de los apoderados de las partes.</w:t>
      </w:r>
      <w:r w:rsidRPr="00DD31C6">
        <w:rPr>
          <w:rStyle w:val="eop"/>
          <w:rFonts w:ascii="Arial" w:hAnsi="Arial" w:cs="Arial"/>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          </w:t>
      </w:r>
      <w:r w:rsidRPr="00DD31C6">
        <w:rPr>
          <w:rFonts w:ascii="Arial" w:hAnsi="Arial" w:cs="Arial"/>
          <w:lang w:val="es-ES" w:eastAsia="es-ES"/>
        </w:rPr>
        <w:t> </w:t>
      </w:r>
    </w:p>
    <w:p w:rsidR="00314F21" w:rsidRPr="00DD31C6" w:rsidRDefault="00314F21" w:rsidP="00DD31C6">
      <w:pPr>
        <w:spacing w:line="276" w:lineRule="auto"/>
        <w:jc w:val="both"/>
        <w:textAlignment w:val="baseline"/>
        <w:rPr>
          <w:rFonts w:ascii="Arial" w:hAnsi="Arial" w:cs="Arial"/>
          <w:lang w:val="es-ES" w:eastAsia="es-ES"/>
        </w:rPr>
      </w:pPr>
      <w:r w:rsidRPr="00DD31C6">
        <w:rPr>
          <w:rFonts w:ascii="Arial" w:hAnsi="Arial" w:cs="Arial"/>
          <w:lang w:eastAsia="es-ES"/>
        </w:rPr>
        <w:t>Quienes integran la Sala,</w:t>
      </w:r>
    </w:p>
    <w:p w:rsidR="00DD31C6" w:rsidRDefault="00DD31C6" w:rsidP="00DD31C6">
      <w:pPr>
        <w:widowControl w:val="0"/>
        <w:autoSpaceDE w:val="0"/>
        <w:autoSpaceDN w:val="0"/>
        <w:adjustRightInd w:val="0"/>
        <w:spacing w:line="276" w:lineRule="auto"/>
        <w:rPr>
          <w:rFonts w:ascii="Arial" w:hAnsi="Arial" w:cs="Arial"/>
          <w:b/>
          <w:spacing w:val="-4"/>
          <w:lang w:val="es-ES_tradnl" w:eastAsia="es-ES"/>
        </w:rPr>
      </w:pPr>
    </w:p>
    <w:p w:rsidR="00DD31C6" w:rsidRPr="00E2507A" w:rsidRDefault="00DD31C6" w:rsidP="00DD31C6">
      <w:pPr>
        <w:widowControl w:val="0"/>
        <w:autoSpaceDE w:val="0"/>
        <w:autoSpaceDN w:val="0"/>
        <w:adjustRightInd w:val="0"/>
        <w:spacing w:line="276" w:lineRule="auto"/>
        <w:rPr>
          <w:rFonts w:ascii="Arial" w:hAnsi="Arial" w:cs="Arial"/>
          <w:b/>
          <w:spacing w:val="-4"/>
          <w:lang w:val="es-ES_tradnl" w:eastAsia="es-ES"/>
        </w:rPr>
      </w:pPr>
    </w:p>
    <w:p w:rsidR="00DD31C6" w:rsidRPr="00E2507A" w:rsidRDefault="00DD31C6" w:rsidP="00DD31C6">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DD31C6" w:rsidRDefault="00DD31C6" w:rsidP="00DD31C6">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 xml:space="preserve">Magistrado </w:t>
      </w:r>
      <w:r w:rsidRPr="00E2507A">
        <w:rPr>
          <w:rFonts w:ascii="Arial" w:hAnsi="Arial" w:cs="Arial"/>
          <w:spacing w:val="-4"/>
          <w:lang w:val="es-ES_tradnl" w:eastAsia="es-ES"/>
        </w:rPr>
        <w:t>Ponente</w:t>
      </w:r>
    </w:p>
    <w:p w:rsidR="00DD31C6" w:rsidRPr="00E2507A" w:rsidRDefault="00DD31C6" w:rsidP="00DD31C6">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DD31C6" w:rsidRPr="00E2507A" w:rsidRDefault="00DD31C6" w:rsidP="00DD31C6">
      <w:pPr>
        <w:widowControl w:val="0"/>
        <w:autoSpaceDE w:val="0"/>
        <w:autoSpaceDN w:val="0"/>
        <w:adjustRightInd w:val="0"/>
        <w:spacing w:line="276" w:lineRule="auto"/>
        <w:rPr>
          <w:rFonts w:ascii="Arial" w:hAnsi="Arial" w:cs="Arial"/>
          <w:b/>
          <w:spacing w:val="-4"/>
          <w:lang w:val="es-ES_tradnl" w:eastAsia="es-ES"/>
        </w:rPr>
      </w:pPr>
    </w:p>
    <w:p w:rsidR="00DD31C6" w:rsidRPr="00E2507A" w:rsidRDefault="00DD31C6" w:rsidP="00DD31C6">
      <w:pPr>
        <w:widowControl w:val="0"/>
        <w:autoSpaceDE w:val="0"/>
        <w:autoSpaceDN w:val="0"/>
        <w:adjustRightInd w:val="0"/>
        <w:spacing w:line="276" w:lineRule="auto"/>
        <w:rPr>
          <w:rFonts w:ascii="Arial" w:hAnsi="Arial" w:cs="Arial"/>
          <w:spacing w:val="-4"/>
          <w:lang w:val="es-ES_tradnl" w:eastAsia="es-ES"/>
        </w:rPr>
      </w:pPr>
    </w:p>
    <w:p w:rsidR="00DD31C6" w:rsidRPr="00E2507A" w:rsidRDefault="00DD31C6" w:rsidP="00DD31C6">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DD31C6" w:rsidRDefault="00DD31C6" w:rsidP="00DD31C6">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314F21" w:rsidRPr="00DD31C6" w:rsidRDefault="00314F21" w:rsidP="00DD31C6">
      <w:pPr>
        <w:spacing w:line="276" w:lineRule="auto"/>
        <w:jc w:val="both"/>
        <w:textAlignment w:val="baseline"/>
        <w:rPr>
          <w:rFonts w:ascii="Arial" w:hAnsi="Arial" w:cs="Arial"/>
          <w:lang w:eastAsia="es-ES"/>
        </w:rPr>
      </w:pPr>
    </w:p>
    <w:p w:rsidR="00DD31C6" w:rsidRDefault="00DD31C6">
      <w:pPr>
        <w:rPr>
          <w:rFonts w:ascii="Arial" w:hAnsi="Arial" w:cs="Arial"/>
          <w:lang w:eastAsia="es-ES"/>
        </w:rPr>
      </w:pPr>
      <w:r>
        <w:rPr>
          <w:rFonts w:ascii="Arial" w:hAnsi="Arial" w:cs="Arial"/>
          <w:lang w:eastAsia="es-ES"/>
        </w:rPr>
        <w:br w:type="page"/>
      </w:r>
    </w:p>
    <w:p w:rsidR="00314F21" w:rsidRPr="00DD31C6" w:rsidRDefault="00314F21" w:rsidP="00DD31C6">
      <w:pPr>
        <w:spacing w:line="276" w:lineRule="auto"/>
        <w:jc w:val="both"/>
        <w:textAlignment w:val="baseline"/>
        <w:rPr>
          <w:rFonts w:ascii="Arial" w:hAnsi="Arial" w:cs="Arial"/>
          <w:lang w:eastAsia="es-ES"/>
        </w:rPr>
      </w:pPr>
    </w:p>
    <w:p w:rsidR="00DD31C6" w:rsidRPr="00E42332" w:rsidRDefault="00DD31C6" w:rsidP="00DD31C6">
      <w:pPr>
        <w:keepNext/>
        <w:spacing w:line="276" w:lineRule="auto"/>
        <w:jc w:val="center"/>
        <w:outlineLvl w:val="2"/>
        <w:rPr>
          <w:rFonts w:ascii="Arial" w:hAnsi="Arial" w:cs="Arial"/>
          <w:b/>
          <w:lang w:val="es-ES_tradnl" w:eastAsia="es-ES"/>
        </w:rPr>
      </w:pPr>
      <w:r w:rsidRPr="00E42332">
        <w:rPr>
          <w:rFonts w:ascii="Arial" w:hAnsi="Arial" w:cs="Arial"/>
          <w:b/>
          <w:lang w:val="es-ES_tradnl" w:eastAsia="es-ES"/>
        </w:rPr>
        <w:t>TRIBUNAL SUPERIOR DEL DISTRITO JUDICIAL</w:t>
      </w:r>
    </w:p>
    <w:p w:rsidR="00DD31C6" w:rsidRPr="00E42332" w:rsidRDefault="00DD31C6" w:rsidP="00DD31C6">
      <w:pPr>
        <w:spacing w:line="276" w:lineRule="auto"/>
        <w:jc w:val="center"/>
        <w:rPr>
          <w:rFonts w:ascii="Arial" w:hAnsi="Arial" w:cs="Arial"/>
          <w:b/>
        </w:rPr>
      </w:pPr>
    </w:p>
    <w:p w:rsidR="00DD31C6" w:rsidRPr="00E42332" w:rsidRDefault="00DD31C6" w:rsidP="00DD31C6">
      <w:pPr>
        <w:spacing w:line="276" w:lineRule="auto"/>
        <w:jc w:val="center"/>
        <w:rPr>
          <w:rFonts w:ascii="Arial" w:hAnsi="Arial" w:cs="Arial"/>
          <w:b/>
        </w:rPr>
      </w:pPr>
      <w:r w:rsidRPr="00E42332">
        <w:rPr>
          <w:rFonts w:ascii="Arial" w:hAnsi="Arial" w:cs="Arial"/>
          <w:b/>
        </w:rPr>
        <w:t>SALA LABORAL</w:t>
      </w:r>
    </w:p>
    <w:p w:rsidR="00DD31C6" w:rsidRPr="00E42332" w:rsidRDefault="00DD31C6" w:rsidP="00DD31C6">
      <w:pPr>
        <w:spacing w:line="276" w:lineRule="auto"/>
        <w:jc w:val="center"/>
        <w:rPr>
          <w:rFonts w:ascii="Arial" w:hAnsi="Arial" w:cs="Arial"/>
          <w:b/>
          <w:lang w:val="es-ES_tradnl" w:eastAsia="es-ES"/>
        </w:rPr>
      </w:pPr>
    </w:p>
    <w:p w:rsidR="00DD31C6" w:rsidRPr="00E42332" w:rsidRDefault="00DD31C6" w:rsidP="00DD31C6">
      <w:pPr>
        <w:spacing w:line="276" w:lineRule="auto"/>
        <w:jc w:val="center"/>
        <w:rPr>
          <w:rFonts w:ascii="Arial" w:hAnsi="Arial" w:cs="Arial"/>
          <w:b/>
          <w:lang w:val="es-ES_tradnl" w:eastAsia="es-ES"/>
        </w:rPr>
      </w:pPr>
      <w:r w:rsidRPr="00E42332">
        <w:rPr>
          <w:rFonts w:ascii="Arial" w:hAnsi="Arial" w:cs="Arial"/>
          <w:b/>
          <w:lang w:val="es-ES_tradnl" w:eastAsia="es-ES"/>
        </w:rPr>
        <w:t xml:space="preserve">MAGISTRADO: JULIO CÉSAR SALAZAR MUÑOZ </w:t>
      </w:r>
    </w:p>
    <w:p w:rsidR="00DD31C6" w:rsidRPr="00E42332" w:rsidRDefault="00DD31C6" w:rsidP="00DD31C6">
      <w:pPr>
        <w:spacing w:line="276" w:lineRule="auto"/>
        <w:jc w:val="center"/>
        <w:rPr>
          <w:rFonts w:ascii="Arial" w:hAnsi="Arial" w:cs="Arial"/>
          <w:b/>
          <w:lang w:val="es-ES_tradnl" w:eastAsia="es-ES"/>
        </w:rPr>
      </w:pPr>
    </w:p>
    <w:p w:rsidR="00DD31C6" w:rsidRPr="00E42332" w:rsidRDefault="00DD31C6" w:rsidP="00DD31C6">
      <w:pPr>
        <w:spacing w:line="276" w:lineRule="auto"/>
        <w:jc w:val="center"/>
        <w:rPr>
          <w:rFonts w:ascii="Arial" w:hAnsi="Arial" w:cs="Arial"/>
          <w:bCs/>
          <w:lang w:val="es-ES" w:eastAsia="es-ES"/>
        </w:rPr>
      </w:pPr>
      <w:r w:rsidRPr="00E42332">
        <w:rPr>
          <w:rFonts w:ascii="Arial" w:hAnsi="Arial" w:cs="Arial"/>
          <w:bCs/>
          <w:lang w:val="es-ES" w:eastAsia="es-ES"/>
        </w:rPr>
        <w:t xml:space="preserve">Septiembre </w:t>
      </w:r>
      <w:r w:rsidR="00982B24">
        <w:rPr>
          <w:rFonts w:ascii="Arial" w:hAnsi="Arial" w:cs="Arial"/>
          <w:bCs/>
          <w:lang w:val="es-ES" w:eastAsia="es-ES"/>
        </w:rPr>
        <w:t>9</w:t>
      </w:r>
      <w:r w:rsidRPr="00E42332">
        <w:rPr>
          <w:rFonts w:ascii="Arial" w:hAnsi="Arial" w:cs="Arial"/>
          <w:bCs/>
          <w:lang w:val="es-ES" w:eastAsia="es-ES"/>
        </w:rPr>
        <w:t xml:space="preserve"> de 2020</w:t>
      </w:r>
    </w:p>
    <w:p w:rsidR="00DD31C6" w:rsidRPr="00E42332" w:rsidRDefault="00DD31C6" w:rsidP="00DD31C6">
      <w:pPr>
        <w:spacing w:line="276" w:lineRule="auto"/>
        <w:jc w:val="center"/>
        <w:rPr>
          <w:rFonts w:ascii="Arial" w:hAnsi="Arial" w:cs="Arial"/>
          <w:b/>
          <w:lang w:val="es-ES_tradnl" w:eastAsia="es-ES"/>
        </w:rPr>
      </w:pPr>
    </w:p>
    <w:p w:rsidR="00DD31C6" w:rsidRPr="00E42332" w:rsidRDefault="00DD31C6" w:rsidP="00DD31C6">
      <w:pPr>
        <w:spacing w:line="276" w:lineRule="auto"/>
        <w:jc w:val="center"/>
        <w:rPr>
          <w:rFonts w:ascii="Arial" w:hAnsi="Arial" w:cs="Arial"/>
          <w:b/>
          <w:lang w:val="es-ES_tradnl" w:eastAsia="es-ES"/>
        </w:rPr>
      </w:pPr>
      <w:r w:rsidRPr="00E42332">
        <w:rPr>
          <w:rFonts w:ascii="Arial" w:hAnsi="Arial" w:cs="Arial"/>
          <w:b/>
          <w:lang w:val="es-ES_tradnl" w:eastAsia="es-ES"/>
        </w:rPr>
        <w:t>ACLARACIÓN DE VOTO</w:t>
      </w:r>
    </w:p>
    <w:p w:rsidR="00DD31C6" w:rsidRPr="00E42332" w:rsidRDefault="00DD31C6" w:rsidP="00DD31C6">
      <w:pPr>
        <w:suppressAutoHyphens/>
        <w:spacing w:line="276" w:lineRule="auto"/>
        <w:jc w:val="both"/>
        <w:rPr>
          <w:rFonts w:ascii="Arial" w:hAnsi="Arial" w:cs="Arial"/>
          <w:lang w:val="es-ES_tradnl" w:eastAsia="es-ES"/>
        </w:rPr>
      </w:pPr>
    </w:p>
    <w:p w:rsidR="00DD31C6" w:rsidRPr="00E42332" w:rsidRDefault="00DD31C6" w:rsidP="00DD31C6">
      <w:pPr>
        <w:suppressAutoHyphens/>
        <w:spacing w:line="276" w:lineRule="auto"/>
        <w:jc w:val="both"/>
        <w:rPr>
          <w:rFonts w:ascii="Arial" w:hAnsi="Arial" w:cs="Arial"/>
          <w:lang w:val="es-ES" w:eastAsia="es-ES"/>
        </w:rPr>
      </w:pPr>
    </w:p>
    <w:p w:rsidR="00DD31C6" w:rsidRPr="00E42332" w:rsidRDefault="00DD31C6" w:rsidP="00DD31C6">
      <w:pPr>
        <w:spacing w:line="276" w:lineRule="auto"/>
        <w:jc w:val="both"/>
        <w:rPr>
          <w:rFonts w:ascii="Arial" w:hAnsi="Arial" w:cs="Arial"/>
          <w:lang w:val="es-ES" w:eastAsia="es-ES"/>
        </w:rPr>
      </w:pPr>
      <w:r w:rsidRPr="00E42332">
        <w:rPr>
          <w:rFonts w:ascii="Arial" w:hAnsi="Arial" w:cs="Arial"/>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42332">
        <w:rPr>
          <w:rFonts w:ascii="Arial" w:hAnsi="Arial" w:cs="Arial"/>
          <w:b/>
          <w:lang w:val="es-ES" w:eastAsia="es-ES"/>
        </w:rPr>
        <w:t>EXORTAR</w:t>
      </w:r>
      <w:proofErr w:type="spellEnd"/>
      <w:r w:rsidRPr="00E42332">
        <w:rPr>
          <w:rFonts w:ascii="Arial" w:hAnsi="Arial" w:cs="Arial"/>
          <w:lang w:val="es-ES" w:eastAsia="es-ES"/>
        </w:rPr>
        <w:t xml:space="preserve"> (sic) a la </w:t>
      </w:r>
      <w:r w:rsidRPr="00E42332">
        <w:rPr>
          <w:rFonts w:ascii="Arial" w:hAnsi="Arial" w:cs="Arial"/>
          <w:b/>
          <w:lang w:val="es-ES" w:eastAsia="es-ES"/>
        </w:rPr>
        <w:t xml:space="preserve">SALA LABORAL DEL TRIBUNAL SUPERIOR DEL DISTRITO JUDICIAL DE PEREIRA </w:t>
      </w:r>
      <w:r w:rsidRPr="00E42332">
        <w:rPr>
          <w:rFonts w:ascii="Arial" w:hAnsi="Arial" w:cs="Arial"/>
          <w:lang w:val="es-ES" w:eastAsia="es-ES"/>
        </w:rPr>
        <w:t>para que en lo sucesivo acate el precedente judicial emanado de esta Corporación”.</w:t>
      </w:r>
    </w:p>
    <w:p w:rsidR="00DD31C6" w:rsidRPr="00E42332" w:rsidRDefault="00DD31C6" w:rsidP="00DD31C6">
      <w:pPr>
        <w:spacing w:line="276" w:lineRule="auto"/>
        <w:jc w:val="both"/>
        <w:rPr>
          <w:rFonts w:ascii="Arial" w:hAnsi="Arial" w:cs="Arial"/>
          <w:lang w:val="es-ES" w:eastAsia="es-ES"/>
        </w:rPr>
      </w:pPr>
    </w:p>
    <w:p w:rsidR="00DD31C6" w:rsidRPr="00E42332" w:rsidRDefault="00DD31C6" w:rsidP="00DD31C6">
      <w:pPr>
        <w:spacing w:line="276" w:lineRule="auto"/>
        <w:jc w:val="both"/>
        <w:rPr>
          <w:rFonts w:ascii="Arial" w:hAnsi="Arial" w:cs="Arial"/>
          <w:lang w:val="es-ES" w:eastAsia="es-ES"/>
        </w:rPr>
      </w:pPr>
      <w:r w:rsidRPr="00E42332">
        <w:rPr>
          <w:rFonts w:ascii="Arial" w:hAnsi="Arial" w:cs="Arial"/>
          <w:lang w:val="es-ES" w:eastAsia="es-ES"/>
        </w:rPr>
        <w:t xml:space="preserve">Bajo tal apremio, no obstante lo dispuesto en los artículos 228 y 230 de la Constitución Nacional, </w:t>
      </w:r>
      <w:r w:rsidRPr="00E42332">
        <w:rPr>
          <w:rFonts w:ascii="Arial" w:hAnsi="Arial" w:cs="Arial"/>
          <w:b/>
          <w:lang w:val="es-ES" w:eastAsia="es-ES"/>
        </w:rPr>
        <w:t>no queda otra posibilidad al suscrito que</w:t>
      </w:r>
      <w:r w:rsidRPr="00E42332">
        <w:rPr>
          <w:rFonts w:ascii="Arial" w:hAnsi="Arial" w:cs="Arial"/>
          <w:lang w:val="es-ES" w:eastAsia="es-ES"/>
        </w:rPr>
        <w:t xml:space="preserve">, en este y en todos los numerosos y sucesivos asuntos de similares características que se presenten a la Sala para decisión, </w:t>
      </w:r>
      <w:r w:rsidRPr="00E42332">
        <w:rPr>
          <w:rFonts w:ascii="Arial" w:hAnsi="Arial" w:cs="Arial"/>
          <w:b/>
          <w:lang w:val="es-ES" w:eastAsia="es-ES"/>
        </w:rPr>
        <w:t>acatar lo resuelto por el superior</w:t>
      </w:r>
      <w:r w:rsidRPr="00E42332">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DD31C6" w:rsidRPr="00E42332" w:rsidRDefault="00DD31C6" w:rsidP="00DD31C6">
      <w:pPr>
        <w:spacing w:line="276" w:lineRule="auto"/>
        <w:jc w:val="both"/>
        <w:rPr>
          <w:rFonts w:ascii="Arial" w:hAnsi="Arial" w:cs="Arial"/>
          <w:lang w:val="es-ES" w:eastAsia="es-ES"/>
        </w:rPr>
      </w:pPr>
    </w:p>
    <w:p w:rsidR="00DD31C6" w:rsidRPr="00E42332" w:rsidRDefault="00DD31C6" w:rsidP="00DD31C6">
      <w:pPr>
        <w:spacing w:line="276" w:lineRule="auto"/>
        <w:jc w:val="center"/>
        <w:rPr>
          <w:rFonts w:ascii="Arial" w:hAnsi="Arial" w:cs="Arial"/>
          <w:b/>
          <w:lang w:val="es-ES" w:eastAsia="es-ES"/>
        </w:rPr>
      </w:pPr>
      <w:r w:rsidRPr="00E42332">
        <w:rPr>
          <w:rFonts w:ascii="Arial" w:hAnsi="Arial" w:cs="Arial"/>
          <w:b/>
          <w:lang w:val="es-ES" w:eastAsia="es-ES"/>
        </w:rPr>
        <w:t>ANÁLISIS JURÍDICO DE LOS HECHOS DEBATIDOS EN LOS CASOS DE TRASLADOS ENTRE REGÍMENES</w:t>
      </w:r>
    </w:p>
    <w:p w:rsidR="00DD31C6" w:rsidRPr="00E42332" w:rsidRDefault="00DD31C6" w:rsidP="00DD31C6">
      <w:pPr>
        <w:spacing w:line="276" w:lineRule="auto"/>
        <w:jc w:val="both"/>
        <w:rPr>
          <w:rFonts w:ascii="Arial" w:hAnsi="Arial" w:cs="Arial"/>
          <w:lang w:val="es-ES" w:eastAsia="es-ES"/>
        </w:rPr>
      </w:pP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w:t>
      </w:r>
      <w:r w:rsidRPr="00E42332">
        <w:rPr>
          <w:rFonts w:ascii="Arial" w:hAnsi="Arial" w:cs="Arial"/>
          <w:spacing w:val="-2"/>
          <w:lang w:val="es-ES_tradnl" w:eastAsia="es-ES"/>
        </w:rPr>
        <w:lastRenderedPageBreak/>
        <w:t xml:space="preserve">que la de responsabilidad prevista en el artículo 10 del decreto 720 de 1994, en la que a quien corresponde comprobar que actuó conforme a derecho </w:t>
      </w:r>
      <w:r>
        <w:rPr>
          <w:rFonts w:ascii="Arial" w:hAnsi="Arial" w:cs="Arial"/>
          <w:spacing w:val="-2"/>
          <w:lang w:val="es-ES_tradnl" w:eastAsia="es-ES"/>
        </w:rPr>
        <w:t>-</w:t>
      </w:r>
      <w:r w:rsidRPr="00E42332">
        <w:rPr>
          <w:rFonts w:ascii="Arial" w:hAnsi="Arial" w:cs="Arial"/>
          <w:spacing w:val="-2"/>
          <w:lang w:val="es-ES_tradnl" w:eastAsia="es-ES"/>
        </w:rPr>
        <w:t>dando toda la información que requerida en su momento para conseguir el traslado de los afiliados- es a la vez quien, de no conseguir dar claridad al respecto, puede llegar a ser condenada al pago del perjuicio que se demuestre que con ello causó.</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Como quiera que esta posición se </w:t>
      </w:r>
      <w:proofErr w:type="gramStart"/>
      <w:r w:rsidRPr="00E42332">
        <w:rPr>
          <w:rFonts w:ascii="Arial" w:hAnsi="Arial" w:cs="Arial"/>
          <w:spacing w:val="-2"/>
          <w:lang w:val="es-ES_tradnl" w:eastAsia="es-ES"/>
        </w:rPr>
        <w:t>separa</w:t>
      </w:r>
      <w:proofErr w:type="gramEnd"/>
      <w:r w:rsidRPr="00E42332">
        <w:rPr>
          <w:rFonts w:ascii="Arial" w:hAnsi="Arial" w:cs="Arial"/>
          <w:spacing w:val="-2"/>
          <w:lang w:val="es-ES_tradnl" w:eastAsia="es-ES"/>
        </w:rPr>
        <w:t xml:space="preserve"> expresamente de la línea actual de la Corte Suprema de Justicia, considero necesario </w:t>
      </w:r>
      <w:r w:rsidRPr="00E42332">
        <w:rPr>
          <w:rFonts w:ascii="Arial" w:hAnsi="Arial" w:cs="Arial"/>
          <w:iCs/>
          <w:lang w:val="es-ES_tradnl" w:eastAsia="es-ES"/>
        </w:rPr>
        <w:t>discurrir sobre los 8 temas jurídicos que a continuación se desarrollan:</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 JURISPRUDENCIA, LA OBLIGACIÓN DE LOS JUECES DE SEGUIRLA Y LA AUTORIZACIÓN Y FORMA DE APARTARSE DE LA DOCTRINA PROBABLE.</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pacing w:line="276" w:lineRule="auto"/>
        <w:ind w:right="51"/>
        <w:jc w:val="both"/>
        <w:rPr>
          <w:rFonts w:ascii="Arial" w:hAnsi="Arial" w:cs="Arial"/>
          <w:spacing w:val="-2"/>
          <w:lang w:val="es-ES_tradnl" w:eastAsia="es-ES"/>
        </w:rPr>
      </w:pPr>
      <w:r w:rsidRPr="00E42332">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527174" w:rsidRDefault="00DD31C6" w:rsidP="00DD31C6">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de forma explícita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1" w:name="_ftnref33"/>
      <w:r w:rsidRPr="00527174">
        <w:rPr>
          <w:rFonts w:ascii="Arial" w:hAnsi="Arial" w:cs="Arial"/>
          <w:spacing w:val="-2"/>
          <w:sz w:val="22"/>
          <w:lang w:val="es-ES" w:eastAsia="es-ES"/>
        </w:rPr>
        <w:t>”</w:t>
      </w:r>
      <w:bookmarkEnd w:id="1"/>
    </w:p>
    <w:p w:rsidR="00DD31C6" w:rsidRPr="00527174" w:rsidRDefault="00DD31C6" w:rsidP="00DD31C6">
      <w:pPr>
        <w:suppressAutoHyphens/>
        <w:ind w:left="426" w:right="420"/>
        <w:jc w:val="both"/>
        <w:rPr>
          <w:rFonts w:ascii="Arial" w:hAnsi="Arial" w:cs="Arial"/>
          <w:spacing w:val="-2"/>
          <w:sz w:val="22"/>
          <w:lang w:val="es-ES" w:eastAsia="es-ES"/>
        </w:rPr>
      </w:pPr>
    </w:p>
    <w:p w:rsidR="00DD31C6" w:rsidRPr="00527174" w:rsidRDefault="00DD31C6" w:rsidP="00DD31C6">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DD31C6" w:rsidRPr="00E42332" w:rsidRDefault="00DD31C6" w:rsidP="00DD31C6">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 </w:t>
      </w:r>
    </w:p>
    <w:p w:rsidR="00DD31C6" w:rsidRPr="00E42332" w:rsidRDefault="00DD31C6" w:rsidP="00DD31C6">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D31C6" w:rsidRPr="00E42332" w:rsidRDefault="00DD31C6" w:rsidP="00DD31C6">
      <w:pPr>
        <w:suppressAutoHyphens/>
        <w:spacing w:line="276" w:lineRule="auto"/>
        <w:jc w:val="both"/>
        <w:rPr>
          <w:rFonts w:ascii="Arial" w:hAnsi="Arial" w:cs="Arial"/>
          <w:b/>
          <w:spacing w:val="-2"/>
          <w:lang w:val="es-ES_tradnl" w:eastAsia="es-ES"/>
        </w:rPr>
      </w:pPr>
    </w:p>
    <w:p w:rsidR="00DD31C6" w:rsidRPr="00E42332" w:rsidRDefault="00DD31C6" w:rsidP="00DD31C6">
      <w:pPr>
        <w:numPr>
          <w:ilvl w:val="0"/>
          <w:numId w:val="2"/>
        </w:numPr>
        <w:suppressAutoHyphens/>
        <w:spacing w:line="276" w:lineRule="auto"/>
        <w:ind w:left="567" w:hanging="567"/>
        <w:jc w:val="both"/>
        <w:rPr>
          <w:rFonts w:ascii="Arial" w:hAnsi="Arial" w:cs="Arial"/>
          <w:spacing w:val="-2"/>
          <w:lang w:val="es-ES_tradnl" w:eastAsia="es-ES"/>
        </w:rPr>
      </w:pPr>
      <w:r w:rsidRPr="00E42332">
        <w:rPr>
          <w:rFonts w:ascii="Arial" w:hAnsi="Arial" w:cs="Arial"/>
          <w:b/>
          <w:spacing w:val="-2"/>
          <w:lang w:val="es-ES_tradnl" w:eastAsia="es-ES"/>
        </w:rPr>
        <w:t>LA POSICIÓN ACTUAL DE LA SALA DE CASACIÓN LABORAL RESPECTO AL TEMA DE LA NULIDAD O INEFICACIA DE LOS TRASLADOS ENTRE REGÍMENES PENSIONALES.</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iCs/>
          <w:lang w:val="es-ES_tradnl" w:eastAsia="es-ES"/>
        </w:rPr>
      </w:pPr>
      <w:r w:rsidRPr="00E42332">
        <w:rPr>
          <w:rFonts w:ascii="Arial" w:hAnsi="Arial" w:cs="Arial"/>
          <w:spacing w:val="-2"/>
          <w:lang w:val="es-ES_tradnl" w:eastAsia="es-ES"/>
        </w:rPr>
        <w:t xml:space="preserve">En acatamiento de lo señalado en las sentencias C-836 de 2001 y C-621 de 2015 desde ya se deja en evidencia que es conocida la jurisprudencia vigente emanada de la </w:t>
      </w:r>
      <w:r w:rsidRPr="00E42332">
        <w:rPr>
          <w:rFonts w:ascii="Arial" w:hAnsi="Arial" w:cs="Arial"/>
          <w:iCs/>
          <w:lang w:val="es-ES_tradnl" w:eastAsia="es-ES"/>
        </w:rPr>
        <w:t xml:space="preserve"> Sala de Casación Laboral contenida en las sentencias </w:t>
      </w:r>
      <w:proofErr w:type="spellStart"/>
      <w:r w:rsidRPr="00E42332">
        <w:rPr>
          <w:rFonts w:ascii="Arial" w:hAnsi="Arial" w:cs="Arial"/>
          <w:iCs/>
          <w:lang w:val="es-ES_tradnl" w:eastAsia="es-ES"/>
        </w:rPr>
        <w:t>SL1421</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SL1452</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SL1688</w:t>
      </w:r>
      <w:proofErr w:type="spellEnd"/>
      <w:r w:rsidRPr="00E42332">
        <w:rPr>
          <w:rFonts w:ascii="Arial" w:hAnsi="Arial" w:cs="Arial"/>
          <w:iCs/>
          <w:lang w:val="es-ES_tradnl" w:eastAsia="es-ES"/>
        </w:rPr>
        <w:t xml:space="preserve">-2019 y </w:t>
      </w:r>
      <w:proofErr w:type="spellStart"/>
      <w:r w:rsidRPr="00E42332">
        <w:rPr>
          <w:rFonts w:ascii="Arial" w:hAnsi="Arial" w:cs="Arial"/>
          <w:iCs/>
          <w:lang w:val="es-ES_tradnl" w:eastAsia="es-ES"/>
        </w:rPr>
        <w:t>SL1689</w:t>
      </w:r>
      <w:proofErr w:type="spellEnd"/>
      <w:r w:rsidRPr="00E42332">
        <w:rPr>
          <w:rFonts w:ascii="Arial" w:hAnsi="Arial" w:cs="Arial"/>
          <w:iCs/>
          <w:lang w:val="es-ES_tradnl" w:eastAsia="es-ES"/>
        </w:rPr>
        <w:t>-2019 que se concreta en los siguientes razonamientos:</w:t>
      </w:r>
    </w:p>
    <w:p w:rsidR="00DD31C6" w:rsidRPr="00E42332" w:rsidRDefault="00DD31C6" w:rsidP="00DD31C6">
      <w:pPr>
        <w:suppressAutoHyphens/>
        <w:spacing w:line="276" w:lineRule="auto"/>
        <w:jc w:val="both"/>
        <w:rPr>
          <w:rFonts w:ascii="Arial" w:hAnsi="Arial" w:cs="Arial"/>
          <w:iCs/>
          <w:lang w:val="es-ES_tradnl" w:eastAsia="es-ES"/>
        </w:rPr>
      </w:pPr>
    </w:p>
    <w:p w:rsidR="00DD31C6" w:rsidRPr="00E42332" w:rsidRDefault="00DD31C6" w:rsidP="00DD31C6">
      <w:pPr>
        <w:numPr>
          <w:ilvl w:val="0"/>
          <w:numId w:val="1"/>
        </w:numPr>
        <w:suppressAutoHyphens/>
        <w:spacing w:line="276" w:lineRule="auto"/>
        <w:jc w:val="both"/>
        <w:rPr>
          <w:rFonts w:ascii="Arial" w:hAnsi="Arial" w:cs="Arial"/>
          <w:iCs/>
          <w:lang w:val="es-ES_tradnl" w:eastAsia="es-ES"/>
        </w:rPr>
      </w:pPr>
      <w:r w:rsidRPr="00E42332">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D31C6" w:rsidRPr="00E42332" w:rsidRDefault="00DD31C6" w:rsidP="00DD31C6">
      <w:pPr>
        <w:suppressAutoHyphens/>
        <w:spacing w:line="276" w:lineRule="auto"/>
        <w:ind w:left="720"/>
        <w:jc w:val="both"/>
        <w:rPr>
          <w:rFonts w:ascii="Arial" w:hAnsi="Arial" w:cs="Arial"/>
          <w:iCs/>
          <w:lang w:val="es-ES_tradnl" w:eastAsia="es-ES"/>
        </w:rPr>
      </w:pPr>
    </w:p>
    <w:p w:rsidR="00DD31C6" w:rsidRPr="00E42332" w:rsidRDefault="00DD31C6" w:rsidP="00DD31C6">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deber de información a cargo de las administradoras de fondos de pensiones es un deber que le es exigible desde la creación de estas entidades</w:t>
      </w:r>
      <w:r w:rsidRPr="00E42332">
        <w:rPr>
          <w:rFonts w:ascii="Arial" w:hAnsi="Arial" w:cs="Arial"/>
          <w:iCs/>
          <w:lang w:val="es-ES_tradnl" w:eastAsia="es-ES"/>
        </w:rPr>
        <w:t xml:space="preserve">, básicamente porque </w:t>
      </w:r>
      <w:r w:rsidRPr="00E42332">
        <w:rPr>
          <w:rFonts w:ascii="Arial" w:hAnsi="Arial" w:cs="Arial"/>
          <w:i/>
          <w:iCs/>
          <w:lang w:val="es-ES_tradnl" w:eastAsia="es-ES"/>
        </w:rPr>
        <w:t>“</w:t>
      </w:r>
      <w:r w:rsidRPr="003B104E">
        <w:rPr>
          <w:rFonts w:ascii="Arial"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42332">
        <w:rPr>
          <w:rFonts w:ascii="Arial" w:hAnsi="Arial" w:cs="Arial"/>
          <w:i/>
          <w:spacing w:val="-4"/>
        </w:rPr>
        <w:t xml:space="preserve">”. </w:t>
      </w:r>
      <w:r w:rsidRPr="00E42332">
        <w:rPr>
          <w:rFonts w:ascii="Arial" w:hAnsi="Arial" w:cs="Arial"/>
          <w:spacing w:val="-4"/>
        </w:rPr>
        <w:t>Deber cuyo nivel de exigencia se elevó con la expedición</w:t>
      </w:r>
      <w:r w:rsidRPr="00E42332">
        <w:rPr>
          <w:rFonts w:ascii="Arial" w:hAnsi="Arial" w:cs="Arial"/>
          <w:lang w:val="es-ES_tradnl"/>
        </w:rPr>
        <w:t xml:space="preserve"> de la Ley 1328 de 2009 y el Decreto 2241 de 2010, en la medida que </w:t>
      </w:r>
      <w:r w:rsidRPr="00E42332">
        <w:rPr>
          <w:rFonts w:ascii="Arial" w:hAnsi="Arial" w:cs="Arial"/>
          <w:i/>
          <w:spacing w:val="-4"/>
        </w:rPr>
        <w:t>“</w:t>
      </w:r>
      <w:r w:rsidRPr="00E60A33">
        <w:rPr>
          <w:rFonts w:ascii="Arial"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E42332">
        <w:rPr>
          <w:rFonts w:ascii="Arial" w:hAnsi="Arial" w:cs="Arial"/>
          <w:i/>
          <w:spacing w:val="-4"/>
        </w:rPr>
        <w:t xml:space="preserve">”, </w:t>
      </w:r>
      <w:r w:rsidRPr="00E42332">
        <w:rPr>
          <w:rFonts w:ascii="Arial" w:hAnsi="Arial" w:cs="Arial"/>
          <w:spacing w:val="-4"/>
        </w:rPr>
        <w:t>llegando incluso</w:t>
      </w:r>
      <w:r w:rsidRPr="00E42332">
        <w:rPr>
          <w:rFonts w:ascii="Arial" w:hAnsi="Arial" w:cs="Arial"/>
          <w:iCs/>
          <w:lang w:val="es-ES_tradnl" w:eastAsia="es-ES"/>
        </w:rPr>
        <w:t xml:space="preserve"> a la exigencia de la doble asesoría prevista en </w:t>
      </w:r>
      <w:r w:rsidRPr="00E42332">
        <w:rPr>
          <w:rFonts w:ascii="Arial" w:hAnsi="Arial" w:cs="Arial"/>
          <w:lang w:val="es-ES_tradnl"/>
        </w:rPr>
        <w:t>la Ley 1748 de 2014, el Decreto 2071 de 2015 y la Circular Externa n.° 016 de 2016.</w:t>
      </w:r>
      <w:r w:rsidRPr="00E42332">
        <w:rPr>
          <w:rFonts w:ascii="Arial" w:hAnsi="Arial" w:cs="Arial"/>
          <w:i/>
          <w:iCs/>
          <w:lang w:val="es-ES_tradnl" w:eastAsia="es-ES"/>
        </w:rPr>
        <w:t xml:space="preserve"> </w:t>
      </w:r>
    </w:p>
    <w:p w:rsidR="00DD31C6" w:rsidRPr="00E42332" w:rsidRDefault="00DD31C6" w:rsidP="00DD31C6">
      <w:pPr>
        <w:suppressAutoHyphens/>
        <w:spacing w:line="276" w:lineRule="auto"/>
        <w:jc w:val="both"/>
        <w:rPr>
          <w:rFonts w:ascii="Arial" w:hAnsi="Arial" w:cs="Arial"/>
          <w:i/>
          <w:iCs/>
          <w:lang w:val="es-ES_tradnl" w:eastAsia="es-ES"/>
        </w:rPr>
      </w:pPr>
    </w:p>
    <w:p w:rsidR="00DD31C6" w:rsidRPr="00E42332" w:rsidRDefault="00DD31C6" w:rsidP="00DD31C6">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DD31C6" w:rsidRPr="00E42332" w:rsidRDefault="00DD31C6" w:rsidP="00DD31C6">
      <w:pPr>
        <w:suppressAutoHyphens/>
        <w:spacing w:line="276" w:lineRule="auto"/>
        <w:jc w:val="both"/>
        <w:rPr>
          <w:rFonts w:ascii="Arial" w:hAnsi="Arial" w:cs="Arial"/>
          <w:i/>
          <w:iCs/>
          <w:lang w:val="es-ES_tradnl" w:eastAsia="es-ES"/>
        </w:rPr>
      </w:pPr>
    </w:p>
    <w:p w:rsidR="00DD31C6" w:rsidRPr="00E42332" w:rsidRDefault="00DD31C6" w:rsidP="00DD31C6">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D31C6" w:rsidRPr="00E42332" w:rsidRDefault="00DD31C6" w:rsidP="00DD31C6">
      <w:pPr>
        <w:suppressAutoHyphens/>
        <w:spacing w:line="276" w:lineRule="auto"/>
        <w:jc w:val="both"/>
        <w:rPr>
          <w:rFonts w:ascii="Arial" w:hAnsi="Arial" w:cs="Arial"/>
          <w:i/>
          <w:iCs/>
          <w:lang w:val="es-ES_tradnl" w:eastAsia="es-ES"/>
        </w:rPr>
      </w:pPr>
    </w:p>
    <w:p w:rsidR="00DD31C6" w:rsidRPr="00E42332" w:rsidRDefault="00DD31C6" w:rsidP="00DD31C6">
      <w:pPr>
        <w:numPr>
          <w:ilvl w:val="0"/>
          <w:numId w:val="1"/>
        </w:numPr>
        <w:suppressAutoHyphens/>
        <w:spacing w:line="276" w:lineRule="auto"/>
        <w:jc w:val="both"/>
        <w:rPr>
          <w:rFonts w:ascii="Arial" w:eastAsia="Calibri" w:hAnsi="Arial" w:cs="Arial"/>
          <w:spacing w:val="-4"/>
          <w:lang w:val="es-ES"/>
        </w:rPr>
      </w:pPr>
      <w:r w:rsidRPr="00E42332">
        <w:rPr>
          <w:rFonts w:ascii="Arial" w:hAnsi="Arial" w:cs="Arial"/>
          <w:spacing w:val="-4"/>
        </w:rPr>
        <w:t xml:space="preserve">Acreditada la falta de consentimiento informado corresponde declarar la ineficacia del traslado y como consecuencia de ello </w:t>
      </w:r>
      <w:r w:rsidRPr="00E42332">
        <w:rPr>
          <w:rFonts w:ascii="Arial" w:hAnsi="Arial" w:cs="Arial"/>
          <w:spacing w:val="-4"/>
          <w:lang w:val="es-ES"/>
        </w:rPr>
        <w:t xml:space="preserve">entonces, para efectos de la concreción de los derechos pensionales reclamados, se debe imponer la obligación de la AFP de trasladar a Colpensiones </w:t>
      </w:r>
      <w:r w:rsidRPr="00E42332">
        <w:rPr>
          <w:rFonts w:ascii="Arial" w:hAnsi="Arial" w:cs="Arial"/>
        </w:rPr>
        <w:t>los valores correspondientes a las cotizaciones, rendimientos financieros y gastos de administración, pertenecientes a la cuenta de quien demanda</w:t>
      </w:r>
      <w:r w:rsidRPr="00E42332">
        <w:rPr>
          <w:rFonts w:ascii="Arial" w:hAnsi="Arial" w:cs="Arial"/>
          <w:color w:val="000000"/>
        </w:rPr>
        <w:t xml:space="preserve"> </w:t>
      </w:r>
      <w:r w:rsidRPr="00E42332">
        <w:rPr>
          <w:rFonts w:ascii="Arial" w:hAnsi="Arial" w:cs="Arial"/>
          <w:spacing w:val="-4"/>
          <w:lang w:val="es-ES"/>
        </w:rPr>
        <w:t>para que sea esta entidad la que proceda a reconocer la pensión con base en las disposiciones que guían el RPM.</w:t>
      </w:r>
    </w:p>
    <w:p w:rsidR="00DD31C6" w:rsidRPr="00E42332" w:rsidRDefault="00DD31C6" w:rsidP="00DD31C6">
      <w:pPr>
        <w:suppressAutoHyphens/>
        <w:spacing w:line="276" w:lineRule="auto"/>
        <w:jc w:val="both"/>
        <w:rPr>
          <w:rFonts w:ascii="Arial" w:hAnsi="Arial" w:cs="Arial"/>
          <w:spacing w:val="-2"/>
          <w:lang w:val="es-ES" w:eastAsia="es-ES"/>
        </w:rPr>
      </w:pPr>
    </w:p>
    <w:p w:rsidR="00DD31C6" w:rsidRPr="00E42332" w:rsidRDefault="00DD31C6" w:rsidP="00DD31C6">
      <w:pPr>
        <w:numPr>
          <w:ilvl w:val="0"/>
          <w:numId w:val="2"/>
        </w:numPr>
        <w:suppressAutoHyphens/>
        <w:spacing w:line="276" w:lineRule="auto"/>
        <w:ind w:left="567" w:hanging="567"/>
        <w:jc w:val="both"/>
        <w:rPr>
          <w:rFonts w:ascii="Arial" w:hAnsi="Arial" w:cs="Arial"/>
          <w:b/>
          <w:spacing w:val="-2"/>
          <w:lang w:val="es-ES" w:eastAsia="es-ES"/>
        </w:rPr>
      </w:pPr>
      <w:r w:rsidRPr="00E42332">
        <w:rPr>
          <w:rFonts w:ascii="Arial" w:hAnsi="Arial" w:cs="Arial"/>
          <w:b/>
          <w:spacing w:val="-2"/>
          <w:lang w:val="es-ES" w:eastAsia="es-ES"/>
        </w:rPr>
        <w:t>CONTENIDO DE LOS ARTÍCULOS 13 LITERAL b) y 271 DE LA LEY 100 DE 1993</w:t>
      </w:r>
    </w:p>
    <w:p w:rsidR="00DD31C6" w:rsidRPr="00E42332" w:rsidRDefault="00DD31C6" w:rsidP="00DD31C6">
      <w:pPr>
        <w:suppressAutoHyphens/>
        <w:spacing w:line="276" w:lineRule="auto"/>
        <w:jc w:val="both"/>
        <w:rPr>
          <w:rFonts w:ascii="Arial" w:hAnsi="Arial" w:cs="Arial"/>
          <w:b/>
          <w:spacing w:val="-2"/>
          <w:lang w:val="es-ES" w:eastAsia="es-ES"/>
        </w:rPr>
      </w:pPr>
    </w:p>
    <w:p w:rsidR="00DD31C6" w:rsidRPr="00E42332" w:rsidRDefault="00DD31C6" w:rsidP="00DD31C6">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De conformidad con el literal b) del artículo 13 de la ley 100 de 199</w:t>
      </w:r>
      <w:r w:rsidRPr="00E42332">
        <w:rPr>
          <w:rFonts w:ascii="Arial" w:hAnsi="Arial" w:cs="Arial"/>
          <w:b/>
          <w:spacing w:val="-2"/>
          <w:lang w:val="es-ES" w:eastAsia="es-ES"/>
        </w:rPr>
        <w:t xml:space="preserve">3, </w:t>
      </w:r>
      <w:r w:rsidRPr="00E42332">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D31C6" w:rsidRPr="00E42332" w:rsidRDefault="00DD31C6" w:rsidP="00DD31C6">
      <w:pPr>
        <w:suppressAutoHyphens/>
        <w:spacing w:line="276" w:lineRule="auto"/>
        <w:jc w:val="both"/>
        <w:rPr>
          <w:rFonts w:ascii="Arial" w:hAnsi="Arial" w:cs="Arial"/>
          <w:spacing w:val="-2"/>
          <w:lang w:val="es-ES" w:eastAsia="es-ES"/>
        </w:rPr>
      </w:pPr>
    </w:p>
    <w:p w:rsidR="00DD31C6" w:rsidRPr="00E42332" w:rsidRDefault="00DD31C6" w:rsidP="00DD31C6">
      <w:pPr>
        <w:numPr>
          <w:ilvl w:val="0"/>
          <w:numId w:val="3"/>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rsidR="00DD31C6" w:rsidRDefault="00DD31C6" w:rsidP="00DD31C6">
      <w:pPr>
        <w:suppressAutoHyphens/>
        <w:spacing w:line="276" w:lineRule="auto"/>
        <w:ind w:left="360"/>
        <w:jc w:val="both"/>
        <w:rPr>
          <w:rFonts w:ascii="Arial" w:hAnsi="Arial" w:cs="Arial"/>
          <w:spacing w:val="-2"/>
          <w:lang w:val="es-ES_tradnl" w:eastAsia="es-ES"/>
        </w:rPr>
      </w:pPr>
    </w:p>
    <w:p w:rsidR="00DD31C6" w:rsidRPr="00E42332" w:rsidRDefault="00DD31C6" w:rsidP="00DD31C6">
      <w:pPr>
        <w:numPr>
          <w:ilvl w:val="0"/>
          <w:numId w:val="3"/>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DD31C6" w:rsidRDefault="00DD31C6" w:rsidP="00DD31C6">
      <w:pPr>
        <w:suppressAutoHyphens/>
        <w:spacing w:line="276" w:lineRule="auto"/>
        <w:ind w:left="360"/>
        <w:jc w:val="both"/>
        <w:rPr>
          <w:rFonts w:ascii="Arial" w:hAnsi="Arial" w:cs="Arial"/>
          <w:b/>
          <w:bCs/>
          <w:spacing w:val="-2"/>
          <w:lang w:val="es-ES" w:eastAsia="es-ES"/>
        </w:rPr>
      </w:pPr>
    </w:p>
    <w:p w:rsidR="00DD31C6" w:rsidRPr="00E42332" w:rsidRDefault="00DD31C6" w:rsidP="00DD31C6">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 sanción es una multa por un valor entre uno y 50 </w:t>
      </w:r>
      <w:proofErr w:type="spellStart"/>
      <w:r w:rsidRPr="00E42332">
        <w:rPr>
          <w:rFonts w:ascii="Arial" w:hAnsi="Arial" w:cs="Arial"/>
          <w:b/>
          <w:bCs/>
          <w:spacing w:val="-2"/>
          <w:lang w:val="es-ES" w:eastAsia="es-ES"/>
        </w:rPr>
        <w:t>SMLMV</w:t>
      </w:r>
      <w:proofErr w:type="spellEnd"/>
      <w:r w:rsidRPr="00E42332">
        <w:rPr>
          <w:rFonts w:ascii="Arial" w:hAnsi="Arial" w:cs="Arial"/>
          <w:b/>
          <w:bCs/>
          <w:spacing w:val="-2"/>
          <w:lang w:val="es-ES" w:eastAsia="es-ES"/>
        </w:rPr>
        <w:t>.</w:t>
      </w:r>
    </w:p>
    <w:p w:rsidR="00DD31C6" w:rsidRDefault="00DD31C6" w:rsidP="00DD31C6">
      <w:pPr>
        <w:suppressAutoHyphens/>
        <w:spacing w:line="276" w:lineRule="auto"/>
        <w:ind w:left="360"/>
        <w:jc w:val="both"/>
        <w:rPr>
          <w:rFonts w:ascii="Arial" w:hAnsi="Arial" w:cs="Arial"/>
          <w:b/>
          <w:bCs/>
          <w:spacing w:val="-2"/>
          <w:lang w:val="es-ES" w:eastAsia="es-ES"/>
        </w:rPr>
      </w:pPr>
    </w:p>
    <w:p w:rsidR="00DD31C6" w:rsidRPr="00E42332" w:rsidRDefault="00DD31C6" w:rsidP="00DD31C6">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El funcionario competente para imponerla es el Ministerio del Trabajo y Seguridad Social o el Ministerio de Salud.</w:t>
      </w:r>
    </w:p>
    <w:p w:rsidR="00DD31C6" w:rsidRDefault="00DD31C6" w:rsidP="00DD31C6">
      <w:pPr>
        <w:suppressAutoHyphens/>
        <w:spacing w:line="276" w:lineRule="auto"/>
        <w:ind w:left="360"/>
        <w:jc w:val="both"/>
        <w:rPr>
          <w:rFonts w:ascii="Arial" w:hAnsi="Arial" w:cs="Arial"/>
          <w:b/>
          <w:bCs/>
          <w:spacing w:val="-2"/>
          <w:lang w:val="es-ES" w:eastAsia="es-ES"/>
        </w:rPr>
      </w:pPr>
    </w:p>
    <w:p w:rsidR="00DD31C6" w:rsidRPr="00E42332" w:rsidRDefault="00DD31C6" w:rsidP="00DD31C6">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Una vez impuesta la sanción por el funcionario competente la afiliación respectiva podrá realizarse nuevamente en forma libre y espontánea.</w:t>
      </w:r>
    </w:p>
    <w:p w:rsidR="00DD31C6" w:rsidRDefault="00DD31C6" w:rsidP="00DD31C6">
      <w:pPr>
        <w:suppressAutoHyphens/>
        <w:spacing w:line="276" w:lineRule="auto"/>
        <w:jc w:val="both"/>
        <w:rPr>
          <w:rFonts w:ascii="Arial" w:hAnsi="Arial" w:cs="Arial"/>
          <w:spacing w:val="-2"/>
          <w:lang w:val="es-ES" w:eastAsia="es-ES"/>
        </w:rPr>
      </w:pPr>
    </w:p>
    <w:p w:rsidR="00DD31C6" w:rsidRPr="007B68C1" w:rsidRDefault="00DD31C6" w:rsidP="00DD31C6">
      <w:pPr>
        <w:suppressAutoHyphens/>
        <w:spacing w:line="276" w:lineRule="auto"/>
        <w:jc w:val="both"/>
        <w:rPr>
          <w:rFonts w:ascii="Arial" w:hAnsi="Arial" w:cs="Arial"/>
          <w:spacing w:val="-2"/>
          <w:lang w:val="es-ES" w:eastAsia="es-ES"/>
        </w:rPr>
      </w:pPr>
    </w:p>
    <w:p w:rsidR="00DD31C6" w:rsidRPr="00E42332" w:rsidRDefault="00DD31C6" w:rsidP="00DD31C6">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OBSERVACIONES SOBRE EL CONTENIDO DEL ARTÍCULO 271 DE LA LEY 100 DE 1993 Y LA APLICACIÓN QUE VIENE DÁNDOLE LA CORTE SUPREMA.</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42332">
        <w:rPr>
          <w:rFonts w:ascii="Arial" w:hAnsi="Arial" w:cs="Arial"/>
          <w:b/>
          <w:spacing w:val="-2"/>
          <w:lang w:val="es-ES_tradnl" w:eastAsia="es-ES"/>
        </w:rPr>
        <w:t xml:space="preserve"> “En la interpretación de leyes prohibitivas no deben buscarse analogías o razones para hacerlas extensivas a casos no comprendidos claramente en la prohibición”, t</w:t>
      </w:r>
      <w:r w:rsidRPr="00E42332">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42332">
        <w:rPr>
          <w:rFonts w:ascii="Arial" w:hAnsi="Arial" w:cs="Arial"/>
          <w:b/>
          <w:spacing w:val="-2"/>
          <w:lang w:val="es-ES_tradnl" w:eastAsia="es-ES"/>
        </w:rPr>
        <w:t>“Sanciones al empleador”</w:t>
      </w:r>
      <w:r w:rsidRPr="00E42332">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xml:space="preserve"> que les conciernen en desarrollo de su objeto social, pues para tales efectos hay legislación específica que adelante se resaltará.</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b/>
          <w:spacing w:val="-2"/>
          <w:lang w:val="es-ES_tradnl" w:eastAsia="es-ES"/>
        </w:rPr>
      </w:pPr>
      <w:r w:rsidRPr="00E42332">
        <w:rPr>
          <w:rFonts w:ascii="Arial" w:hAnsi="Arial" w:cs="Arial"/>
          <w:spacing w:val="-2"/>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42332">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D31C6" w:rsidRPr="00E42332" w:rsidRDefault="00DD31C6" w:rsidP="00DD31C6">
      <w:pPr>
        <w:suppressAutoHyphens/>
        <w:spacing w:line="276" w:lineRule="auto"/>
        <w:jc w:val="both"/>
        <w:rPr>
          <w:rFonts w:ascii="Arial" w:hAnsi="Arial" w:cs="Arial"/>
          <w:b/>
          <w:spacing w:val="-2"/>
          <w:lang w:val="es-ES_tradnl" w:eastAsia="es-ES"/>
        </w:rPr>
      </w:pPr>
    </w:p>
    <w:p w:rsidR="00DD31C6" w:rsidRPr="00E42332" w:rsidRDefault="00DD31C6" w:rsidP="00DD31C6">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D31C6" w:rsidRPr="00E42332" w:rsidRDefault="00DD31C6" w:rsidP="00DD31C6">
      <w:pPr>
        <w:suppressAutoHyphens/>
        <w:spacing w:line="276" w:lineRule="auto"/>
        <w:jc w:val="both"/>
        <w:rPr>
          <w:rFonts w:ascii="Arial" w:hAnsi="Arial" w:cs="Arial"/>
          <w:b/>
          <w:bCs/>
          <w:spacing w:val="-2"/>
          <w:lang w:val="es-ES" w:eastAsia="es-ES"/>
        </w:rPr>
      </w:pPr>
    </w:p>
    <w:p w:rsidR="00DD31C6" w:rsidRPr="00E42332" w:rsidRDefault="00DD31C6" w:rsidP="00DD31C6">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DD31C6" w:rsidRPr="00E42332" w:rsidRDefault="00DD31C6" w:rsidP="00DD31C6">
      <w:pPr>
        <w:suppressAutoHyphens/>
        <w:spacing w:line="276" w:lineRule="auto"/>
        <w:jc w:val="both"/>
        <w:rPr>
          <w:rFonts w:ascii="Arial" w:hAnsi="Arial" w:cs="Arial"/>
          <w:b/>
          <w:bCs/>
          <w:spacing w:val="-2"/>
          <w:lang w:val="es-ES" w:eastAsia="es-ES"/>
        </w:rPr>
      </w:pPr>
    </w:p>
    <w:p w:rsidR="00DD31C6" w:rsidRPr="00E42332" w:rsidRDefault="00DD31C6" w:rsidP="00DD31C6">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42332">
        <w:rPr>
          <w:rFonts w:ascii="Arial" w:hAnsi="Arial" w:cs="Arial"/>
          <w:spacing w:val="-2"/>
          <w:lang w:val="es-ES" w:eastAsia="es-ES"/>
        </w:rPr>
        <w:t>:</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527174" w:rsidRDefault="00DD31C6" w:rsidP="00DD31C6">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DD31C6" w:rsidRPr="00527174" w:rsidRDefault="00DD31C6" w:rsidP="00DD31C6">
      <w:pPr>
        <w:suppressAutoHyphens/>
        <w:ind w:left="426" w:right="420"/>
        <w:jc w:val="both"/>
        <w:rPr>
          <w:rFonts w:ascii="Arial" w:hAnsi="Arial" w:cs="Arial"/>
          <w:spacing w:val="-2"/>
          <w:sz w:val="22"/>
          <w:lang w:val="es-ES_tradnl" w:eastAsia="es-ES"/>
        </w:rPr>
      </w:pPr>
    </w:p>
    <w:p w:rsidR="00DD31C6" w:rsidRPr="00527174" w:rsidRDefault="00DD31C6" w:rsidP="00DD31C6">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xml:space="preserve">. Dicha afiliación no se pierde por haber dejado de cotizar durante </w:t>
      </w:r>
      <w:r w:rsidRPr="00527174">
        <w:rPr>
          <w:rFonts w:ascii="Arial" w:hAnsi="Arial" w:cs="Arial"/>
          <w:i/>
          <w:spacing w:val="-2"/>
          <w:sz w:val="22"/>
          <w:lang w:val="es-ES_tradnl" w:eastAsia="es-ES"/>
        </w:rPr>
        <w:lastRenderedPageBreak/>
        <w:t>uno o varios períodos, pero podrá pasar a la categoría de afiliados inactivos, cuando tengan más de seis meses de no pago de cotizaciones.”</w:t>
      </w: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 </w:t>
      </w: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Y la tercera y más importante, </w:t>
      </w:r>
      <w:r w:rsidRPr="00E42332">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42332">
        <w:rPr>
          <w:rFonts w:ascii="Arial" w:hAnsi="Arial" w:cs="Arial"/>
          <w:b/>
          <w:spacing w:val="-2"/>
          <w:lang w:val="es-ES_tradnl" w:eastAsia="es-ES"/>
        </w:rPr>
        <w:t>RAIS</w:t>
      </w:r>
      <w:proofErr w:type="spellEnd"/>
      <w:r w:rsidRPr="00E42332">
        <w:rPr>
          <w:rFonts w:ascii="Arial" w:hAnsi="Arial" w:cs="Arial"/>
          <w:b/>
          <w:spacing w:val="-2"/>
          <w:lang w:val="es-ES_tradnl" w:eastAsia="es-ES"/>
        </w:rPr>
        <w:t xml:space="preserve"> a pesar del perjuicio que ello le pudiere significar</w:t>
      </w:r>
      <w:r w:rsidRPr="00E42332">
        <w:rPr>
          <w:rFonts w:ascii="Arial" w:hAnsi="Arial" w:cs="Arial"/>
          <w:spacing w:val="-2"/>
          <w:lang w:val="es-ES_tradnl" w:eastAsia="es-ES"/>
        </w:rPr>
        <w:t>.</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CONSECUENCIAS DE LA APLICACIÓN DE LA TESIS DE LA INEFICACIA DE LOS TRASLADOS CON FUNDAMENTO EN LOS ARTÍCULOS 13 Y 271 DE LA LEY 100 DE 1993.</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Las declaraciones de ineficacias de traslados envuelven los siguientes resultados:</w:t>
      </w:r>
    </w:p>
    <w:p w:rsidR="00DD31C6" w:rsidRPr="00E42332" w:rsidRDefault="00DD31C6" w:rsidP="00DD31C6">
      <w:pPr>
        <w:suppressAutoHyphens/>
        <w:spacing w:line="276" w:lineRule="auto"/>
        <w:jc w:val="both"/>
        <w:rPr>
          <w:rFonts w:ascii="Arial" w:hAnsi="Arial" w:cs="Arial"/>
          <w:b/>
          <w:bCs/>
          <w:spacing w:val="-2"/>
          <w:lang w:val="es-ES" w:eastAsia="es-ES"/>
        </w:rPr>
      </w:pPr>
    </w:p>
    <w:p w:rsidR="00DD31C6" w:rsidRPr="00E42332" w:rsidRDefault="00DD31C6" w:rsidP="00DD31C6">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PRIMERO: Desdibuja nuestro sistema jurídico de responsabilidad </w:t>
      </w:r>
      <w:r w:rsidRPr="00E42332">
        <w:rPr>
          <w:rFonts w:ascii="Arial" w:hAnsi="Arial" w:cs="Arial"/>
          <w:spacing w:val="-2"/>
          <w:lang w:val="es-ES" w:eastAsia="es-ES"/>
        </w:rPr>
        <w:t>al imponer la carga de resarcir un daño, a quien no lo produjo, en este caso Colpensiones y de contera la Nación como su garante.</w:t>
      </w:r>
    </w:p>
    <w:p w:rsidR="00DD31C6" w:rsidRPr="00E42332" w:rsidRDefault="00DD31C6" w:rsidP="00DD31C6">
      <w:pPr>
        <w:suppressAutoHyphens/>
        <w:spacing w:line="276" w:lineRule="auto"/>
        <w:jc w:val="both"/>
        <w:rPr>
          <w:rFonts w:ascii="Arial" w:hAnsi="Arial" w:cs="Arial"/>
          <w:iCs/>
          <w:spacing w:val="-2"/>
          <w:lang w:val="es-ES_tradnl" w:eastAsia="es-ES"/>
        </w:rPr>
      </w:pPr>
    </w:p>
    <w:p w:rsidR="00DD31C6" w:rsidRPr="00E42332" w:rsidRDefault="00DD31C6" w:rsidP="00DD31C6">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42332">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E42332">
        <w:rPr>
          <w:rFonts w:ascii="Arial" w:hAnsi="Arial" w:cs="Arial"/>
          <w:iCs/>
          <w:spacing w:val="-2"/>
          <w:lang w:val="es-ES_tradnl" w:eastAsia="es-ES"/>
        </w:rPr>
        <w:t>.</w:t>
      </w:r>
    </w:p>
    <w:p w:rsidR="00DD31C6" w:rsidRPr="00E42332" w:rsidRDefault="00DD31C6" w:rsidP="00DD31C6">
      <w:pPr>
        <w:suppressAutoHyphens/>
        <w:spacing w:line="276" w:lineRule="auto"/>
        <w:jc w:val="both"/>
        <w:rPr>
          <w:rFonts w:ascii="Arial" w:hAnsi="Arial" w:cs="Arial"/>
          <w:iCs/>
          <w:spacing w:val="-2"/>
          <w:lang w:val="es-ES_tradnl" w:eastAsia="es-ES"/>
        </w:rPr>
      </w:pPr>
    </w:p>
    <w:p w:rsidR="00DD31C6" w:rsidRDefault="00DD31C6" w:rsidP="00DD31C6">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Pr>
          <w:rFonts w:ascii="Arial" w:hAnsi="Arial" w:cs="Arial"/>
          <w:iCs/>
          <w:spacing w:val="-2"/>
          <w:lang w:val="es-ES_tradnl" w:eastAsia="es-ES"/>
        </w:rPr>
        <w:t>-</w:t>
      </w:r>
      <w:r w:rsidRPr="00E42332">
        <w:rPr>
          <w:rFonts w:ascii="Arial" w:hAnsi="Arial" w:cs="Arial"/>
          <w:iCs/>
          <w:spacing w:val="-2"/>
          <w:lang w:val="es-ES_tradnl" w:eastAsia="es-ES"/>
        </w:rPr>
        <w:t>COLPENSIONES- la rama judicial le impone que con los demás dineros del fondo público, cubra el daño generado por la AFP privada.</w:t>
      </w:r>
    </w:p>
    <w:p w:rsidR="00DD31C6" w:rsidRPr="00E42332" w:rsidRDefault="00DD31C6" w:rsidP="00DD31C6">
      <w:pPr>
        <w:suppressAutoHyphens/>
        <w:spacing w:line="276" w:lineRule="auto"/>
        <w:jc w:val="both"/>
        <w:rPr>
          <w:rFonts w:ascii="Arial" w:hAnsi="Arial" w:cs="Arial"/>
          <w:iCs/>
          <w:spacing w:val="-2"/>
          <w:lang w:val="es-ES_tradnl" w:eastAsia="es-ES"/>
        </w:rPr>
      </w:pPr>
    </w:p>
    <w:p w:rsidR="00DD31C6" w:rsidRPr="00E42332" w:rsidRDefault="00DD31C6" w:rsidP="00DD31C6">
      <w:pPr>
        <w:suppressAutoHyphens/>
        <w:spacing w:line="276" w:lineRule="auto"/>
        <w:jc w:val="both"/>
        <w:rPr>
          <w:rFonts w:ascii="Arial" w:hAnsi="Arial" w:cs="Arial"/>
          <w:b/>
          <w:iCs/>
          <w:spacing w:val="-2"/>
          <w:lang w:val="es-ES_tradnl" w:eastAsia="es-ES"/>
        </w:rPr>
      </w:pPr>
      <w:r w:rsidRPr="00E42332">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D31C6" w:rsidRPr="00E42332" w:rsidRDefault="00DD31C6" w:rsidP="00DD31C6">
      <w:pPr>
        <w:suppressAutoHyphens/>
        <w:spacing w:line="276" w:lineRule="auto"/>
        <w:jc w:val="both"/>
        <w:rPr>
          <w:rFonts w:ascii="Arial" w:hAnsi="Arial" w:cs="Arial"/>
          <w:iCs/>
          <w:spacing w:val="-2"/>
          <w:lang w:val="es-ES_tradnl" w:eastAsia="es-ES"/>
        </w:rPr>
      </w:pPr>
    </w:p>
    <w:p w:rsidR="00DD31C6" w:rsidRPr="00E42332" w:rsidRDefault="00DD31C6" w:rsidP="00DD31C6">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SEGUNDO: De manera consciente, sin justificación alguna, </w:t>
      </w:r>
      <w:proofErr w:type="spellStart"/>
      <w:r w:rsidRPr="00E42332">
        <w:rPr>
          <w:rFonts w:ascii="Arial" w:hAnsi="Arial" w:cs="Arial"/>
          <w:b/>
          <w:bCs/>
          <w:spacing w:val="-2"/>
          <w:lang w:val="es-ES" w:eastAsia="es-ES"/>
        </w:rPr>
        <w:t>inaplica</w:t>
      </w:r>
      <w:proofErr w:type="spellEnd"/>
      <w:r w:rsidRPr="00E42332">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DD31C6" w:rsidRPr="00E42332" w:rsidRDefault="00DD31C6" w:rsidP="00DD31C6">
      <w:pPr>
        <w:suppressAutoHyphens/>
        <w:spacing w:line="276" w:lineRule="auto"/>
        <w:jc w:val="both"/>
        <w:rPr>
          <w:rFonts w:ascii="Arial" w:hAnsi="Arial" w:cs="Arial"/>
          <w:iCs/>
          <w:spacing w:val="-2"/>
          <w:lang w:val="es-ES_tradnl" w:eastAsia="es-ES"/>
        </w:rPr>
      </w:pPr>
    </w:p>
    <w:p w:rsidR="00DD31C6" w:rsidRPr="00E42332" w:rsidRDefault="00DD31C6" w:rsidP="00DD31C6">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A continuación se analizan aspectos de estas dos afirmaciones.</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iCs/>
          <w:spacing w:val="-2"/>
          <w:lang w:val="es-ES_tradnl" w:eastAsia="es-ES"/>
        </w:rPr>
        <w:lastRenderedPageBreak/>
        <w:t xml:space="preserve">APOYO CONSTITUCIONAL EMANADO DE LA SENTENCIA C-1024 DE 2004 SOBRE LA </w:t>
      </w:r>
      <w:proofErr w:type="spellStart"/>
      <w:r w:rsidRPr="00E42332">
        <w:rPr>
          <w:rFonts w:ascii="Arial" w:hAnsi="Arial" w:cs="Arial"/>
          <w:b/>
          <w:iCs/>
          <w:spacing w:val="-2"/>
          <w:lang w:val="es-ES_tradnl" w:eastAsia="es-ES"/>
        </w:rPr>
        <w:t>RAZON</w:t>
      </w:r>
      <w:proofErr w:type="spellEnd"/>
      <w:r w:rsidRPr="00E42332">
        <w:rPr>
          <w:rFonts w:ascii="Arial" w:hAnsi="Arial" w:cs="Arial"/>
          <w:b/>
          <w:iCs/>
          <w:spacing w:val="-2"/>
          <w:lang w:val="es-ES_tradnl" w:eastAsia="es-ES"/>
        </w:rPr>
        <w:t xml:space="preserve"> DE SER DE LA LIMITACIÓN DE TRASLADO CUANDO FALTEN MENOS DE 10 AÑOS. </w:t>
      </w:r>
    </w:p>
    <w:p w:rsidR="00DD31C6" w:rsidRPr="00E42332" w:rsidRDefault="00DD31C6" w:rsidP="00DD31C6">
      <w:pPr>
        <w:suppressAutoHyphens/>
        <w:spacing w:line="276" w:lineRule="auto"/>
        <w:jc w:val="both"/>
        <w:rPr>
          <w:rFonts w:ascii="Arial" w:hAnsi="Arial" w:cs="Arial"/>
          <w:b/>
          <w:iCs/>
          <w:spacing w:val="-2"/>
          <w:lang w:val="es-ES_tradnl" w:eastAsia="es-ES"/>
        </w:rPr>
      </w:pPr>
    </w:p>
    <w:p w:rsidR="00DD31C6" w:rsidRPr="00E42332" w:rsidRDefault="00DD31C6" w:rsidP="00DD31C6">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Pr>
          <w:rFonts w:ascii="Arial" w:hAnsi="Arial" w:cs="Arial"/>
          <w:iCs/>
          <w:spacing w:val="-2"/>
          <w:lang w:val="es-ES_tradnl" w:eastAsia="es-ES"/>
        </w:rPr>
        <w:t>-</w:t>
      </w:r>
      <w:r w:rsidRPr="00E42332">
        <w:rPr>
          <w:rFonts w:ascii="Arial" w:hAnsi="Arial" w:cs="Arial"/>
          <w:iCs/>
          <w:spacing w:val="-2"/>
          <w:lang w:val="es-ES_tradnl" w:eastAsia="es-ES"/>
        </w:rPr>
        <w:t xml:space="preserve">inicialmente 5 años y posteriormente 10-. </w:t>
      </w:r>
    </w:p>
    <w:p w:rsidR="00DD31C6" w:rsidRPr="00E42332" w:rsidRDefault="00DD31C6" w:rsidP="00DD31C6">
      <w:pPr>
        <w:suppressAutoHyphens/>
        <w:spacing w:line="276" w:lineRule="auto"/>
        <w:jc w:val="both"/>
        <w:rPr>
          <w:rFonts w:ascii="Arial" w:hAnsi="Arial" w:cs="Arial"/>
          <w:iCs/>
          <w:spacing w:val="-2"/>
          <w:lang w:val="es-ES_tradnl" w:eastAsia="es-ES"/>
        </w:rPr>
      </w:pPr>
    </w:p>
    <w:p w:rsidR="00DD31C6" w:rsidRPr="00E42332" w:rsidRDefault="00DD31C6" w:rsidP="00DD31C6">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Al analizar esa limitación la Corte Constitucional fue clara en explicar que </w:t>
      </w:r>
      <w:r w:rsidRPr="00E42332">
        <w:rPr>
          <w:rFonts w:ascii="Arial" w:hAnsi="Arial" w:cs="Arial"/>
          <w:b/>
          <w:iCs/>
          <w:spacing w:val="-2"/>
          <w:lang w:val="es-ES_tradnl" w:eastAsia="es-ES"/>
        </w:rPr>
        <w:t>para garantizar la sostenibilidad financiera del sistema de prima media</w:t>
      </w:r>
      <w:r w:rsidRPr="00E42332">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D31C6" w:rsidRPr="00E42332" w:rsidRDefault="00DD31C6" w:rsidP="00DD31C6">
      <w:pPr>
        <w:suppressAutoHyphens/>
        <w:spacing w:line="276" w:lineRule="auto"/>
        <w:jc w:val="both"/>
        <w:rPr>
          <w:rFonts w:ascii="Arial" w:hAnsi="Arial" w:cs="Arial"/>
          <w:b/>
          <w:iCs/>
          <w:spacing w:val="-2"/>
          <w:lang w:val="es-ES_tradnl" w:eastAsia="es-ES"/>
        </w:rPr>
      </w:pPr>
    </w:p>
    <w:p w:rsidR="00DD31C6" w:rsidRPr="00527174" w:rsidRDefault="00DD31C6" w:rsidP="00DD31C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DD31C6" w:rsidRPr="00527174" w:rsidRDefault="00DD31C6" w:rsidP="00DD31C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DD31C6" w:rsidRPr="00527174" w:rsidRDefault="00DD31C6" w:rsidP="00DD31C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D31C6" w:rsidRPr="00527174" w:rsidRDefault="00DD31C6" w:rsidP="00DD31C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DD31C6" w:rsidRPr="00527174" w:rsidRDefault="00DD31C6" w:rsidP="00DD31C6">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DD31C6" w:rsidRPr="00E42332" w:rsidRDefault="00DD31C6" w:rsidP="00DD31C6">
      <w:pPr>
        <w:suppressAutoHyphens/>
        <w:spacing w:line="276" w:lineRule="auto"/>
        <w:jc w:val="both"/>
        <w:rPr>
          <w:rFonts w:ascii="Arial" w:hAnsi="Arial" w:cs="Arial"/>
          <w:b/>
          <w:iCs/>
          <w:spacing w:val="-2"/>
          <w:lang w:val="es-ES_tradnl" w:eastAsia="es-ES"/>
        </w:rPr>
      </w:pPr>
    </w:p>
    <w:p w:rsidR="00DD31C6" w:rsidRPr="00E42332" w:rsidRDefault="00DD31C6" w:rsidP="00DD31C6">
      <w:pPr>
        <w:suppressAutoHyphens/>
        <w:spacing w:line="276" w:lineRule="auto"/>
        <w:jc w:val="both"/>
        <w:rPr>
          <w:rFonts w:ascii="Arial" w:hAnsi="Arial" w:cs="Arial"/>
          <w:b/>
          <w:iCs/>
          <w:spacing w:val="-2"/>
          <w:lang w:eastAsia="es-ES"/>
        </w:rPr>
      </w:pPr>
      <w:r w:rsidRPr="00E42332">
        <w:rPr>
          <w:rFonts w:ascii="Arial" w:hAnsi="Arial" w:cs="Arial"/>
          <w:iCs/>
          <w:spacing w:val="-2"/>
          <w:lang w:val="es-ES_tradnl" w:eastAsia="es-ES"/>
        </w:rPr>
        <w:lastRenderedPageBreak/>
        <w:t xml:space="preserve">Permitir entonces, la declaración de ineficacia de traslados de personas que han estado largos años en el </w:t>
      </w:r>
      <w:proofErr w:type="spellStart"/>
      <w:r w:rsidRPr="00E42332">
        <w:rPr>
          <w:rFonts w:ascii="Arial" w:hAnsi="Arial" w:cs="Arial"/>
          <w:iCs/>
          <w:spacing w:val="-2"/>
          <w:lang w:val="es-ES_tradnl" w:eastAsia="es-ES"/>
        </w:rPr>
        <w:t>RAIS</w:t>
      </w:r>
      <w:proofErr w:type="spellEnd"/>
      <w:r w:rsidRPr="00E42332">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Pr>
          <w:rFonts w:ascii="Arial" w:hAnsi="Arial" w:cs="Arial"/>
          <w:iCs/>
          <w:spacing w:val="-2"/>
          <w:lang w:val="es-ES_tradnl" w:eastAsia="es-ES"/>
        </w:rPr>
        <w:t>-</w:t>
      </w:r>
      <w:r w:rsidRPr="00E42332">
        <w:rPr>
          <w:rFonts w:ascii="Arial" w:hAnsi="Arial" w:cs="Arial"/>
          <w:iCs/>
          <w:spacing w:val="-2"/>
          <w:lang w:val="es-ES_tradnl" w:eastAsia="es-ES"/>
        </w:rPr>
        <w:t xml:space="preserve">dada esa circunstancia- </w:t>
      </w:r>
      <w:r w:rsidRPr="00E42332">
        <w:rPr>
          <w:rFonts w:ascii="Arial" w:hAnsi="Arial" w:cs="Arial"/>
          <w:b/>
          <w:iCs/>
          <w:spacing w:val="-2"/>
          <w:lang w:eastAsia="es-ES"/>
        </w:rPr>
        <w:t>puede llegar a poner en riesgo la garantía del derecho pensional para los actuales y futuros pensionados que si lo hicieron.</w:t>
      </w:r>
    </w:p>
    <w:p w:rsidR="00DD31C6" w:rsidRPr="00E42332" w:rsidRDefault="00DD31C6" w:rsidP="00DD31C6">
      <w:pPr>
        <w:suppressAutoHyphens/>
        <w:spacing w:line="276" w:lineRule="auto"/>
        <w:jc w:val="both"/>
        <w:rPr>
          <w:rFonts w:ascii="Arial" w:hAnsi="Arial" w:cs="Arial"/>
          <w:b/>
          <w:iCs/>
          <w:spacing w:val="-2"/>
          <w:lang w:eastAsia="es-ES"/>
        </w:rPr>
      </w:pPr>
    </w:p>
    <w:p w:rsidR="00DD31C6" w:rsidRPr="00E42332" w:rsidRDefault="00DD31C6" w:rsidP="00DD31C6">
      <w:pPr>
        <w:suppressAutoHyphens/>
        <w:spacing w:line="276" w:lineRule="auto"/>
        <w:jc w:val="both"/>
        <w:rPr>
          <w:rFonts w:ascii="Arial" w:hAnsi="Arial" w:cs="Arial"/>
          <w:iCs/>
          <w:spacing w:val="-2"/>
          <w:lang w:val="es-ES_tradnl" w:eastAsia="es-ES"/>
        </w:rPr>
      </w:pPr>
      <w:r w:rsidRPr="00E42332">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42332">
        <w:rPr>
          <w:rFonts w:ascii="Arial" w:hAnsi="Arial" w:cs="Arial"/>
          <w:iCs/>
          <w:spacing w:val="-2"/>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por cuanto no puede olvidarse que</w:t>
      </w:r>
      <w:r w:rsidRPr="00E42332">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42332">
        <w:rPr>
          <w:rFonts w:ascii="Arial" w:hAnsi="Arial" w:cs="Arial"/>
          <w:iCs/>
          <w:spacing w:val="-2"/>
          <w:lang w:val="es-ES_tradnl" w:eastAsia="es-ES"/>
        </w:rPr>
        <w:t>IBL</w:t>
      </w:r>
      <w:proofErr w:type="spellEnd"/>
      <w:r w:rsidRPr="00E42332">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42332">
        <w:rPr>
          <w:rFonts w:ascii="Arial" w:hAnsi="Arial" w:cs="Arial"/>
          <w:iCs/>
          <w:spacing w:val="-2"/>
          <w:lang w:val="es-ES_tradnl" w:eastAsia="es-ES"/>
        </w:rPr>
        <w:t>sucesoral</w:t>
      </w:r>
      <w:proofErr w:type="spellEnd"/>
      <w:r w:rsidRPr="00E42332">
        <w:rPr>
          <w:rFonts w:ascii="Arial" w:hAnsi="Arial" w:cs="Arial"/>
          <w:iCs/>
          <w:spacing w:val="-2"/>
          <w:lang w:val="es-ES_tradnl" w:eastAsia="es-ES"/>
        </w:rPr>
        <w:t>, etc..</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EN NUESTRO SISTEMA JURÍDICO ¿QUIEN ES LA PERSONA LLAMADA A RESPONDER POR LOS DAÑOS ANTIJURÍDICOS QUE CAUSE CON SU PROCEDER?</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E42332">
        <w:rPr>
          <w:rFonts w:ascii="Arial" w:hAnsi="Arial" w:cs="Arial"/>
          <w:spacing w:val="-2"/>
          <w:lang w:val="es-ES_tradnl" w:eastAsia="es-ES"/>
        </w:rPr>
        <w:lastRenderedPageBreak/>
        <w:t>de 2005, la nación es garante del pago de las obligaciones pensionales a cargo de Colpensiones.</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i/>
          <w:spacing w:val="-2"/>
          <w:lang w:val="es-ES_tradnl" w:eastAsia="es-ES"/>
        </w:rPr>
      </w:pPr>
      <w:r w:rsidRPr="00E42332">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60A33">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E42332">
        <w:rPr>
          <w:rFonts w:ascii="Arial" w:hAnsi="Arial" w:cs="Arial"/>
          <w:i/>
          <w:spacing w:val="-2"/>
          <w:lang w:val="es-ES_tradnl" w:eastAsia="es-ES"/>
        </w:rPr>
        <w:t>”.</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42332">
        <w:rPr>
          <w:rFonts w:ascii="Arial" w:hAnsi="Arial" w:cs="Arial"/>
          <w:spacing w:val="-2"/>
          <w:lang w:val="es-ES" w:eastAsia="es-ES"/>
        </w:rPr>
        <w:t xml:space="preserve"> </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527174" w:rsidRDefault="00DD31C6" w:rsidP="00DD31C6">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E42332">
        <w:rPr>
          <w:rFonts w:ascii="Arial" w:hAnsi="Arial" w:cs="Arial"/>
          <w:spacing w:val="-2"/>
          <w:lang w:val="es-ES_tradnl" w:eastAsia="es-ES"/>
        </w:rPr>
        <w:lastRenderedPageBreak/>
        <w:t xml:space="preserve">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DD31C6" w:rsidRPr="00E42332" w:rsidRDefault="00DD31C6" w:rsidP="00DD31C6">
      <w:pPr>
        <w:suppressAutoHyphens/>
        <w:spacing w:line="276" w:lineRule="auto"/>
        <w:jc w:val="both"/>
        <w:rPr>
          <w:rFonts w:ascii="Arial" w:hAnsi="Arial" w:cs="Arial"/>
          <w:spacing w:val="-2"/>
          <w:lang w:val="es-ES_tradnl" w:eastAsia="es-ES"/>
        </w:rPr>
      </w:pPr>
    </w:p>
    <w:p w:rsidR="00DD31C6" w:rsidRPr="00E42332" w:rsidRDefault="00DD31C6" w:rsidP="00DD31C6">
      <w:pPr>
        <w:spacing w:line="276" w:lineRule="auto"/>
        <w:jc w:val="both"/>
        <w:rPr>
          <w:rFonts w:ascii="Arial" w:hAnsi="Arial" w:cs="Arial"/>
          <w:lang w:eastAsia="es-ES"/>
        </w:rPr>
      </w:pPr>
      <w:r w:rsidRPr="00E42332">
        <w:rPr>
          <w:rFonts w:ascii="Arial" w:hAnsi="Arial" w:cs="Arial"/>
          <w:lang w:eastAsia="es-ES"/>
        </w:rPr>
        <w:t>Dejo así aclarado mi voto.</w:t>
      </w:r>
    </w:p>
    <w:p w:rsidR="00DD31C6" w:rsidRPr="00E42332" w:rsidRDefault="00DD31C6" w:rsidP="00DD31C6">
      <w:pPr>
        <w:spacing w:line="276" w:lineRule="auto"/>
        <w:jc w:val="both"/>
        <w:rPr>
          <w:rFonts w:ascii="Arial" w:eastAsia="Calibri" w:hAnsi="Arial" w:cs="Arial"/>
        </w:rPr>
      </w:pPr>
    </w:p>
    <w:p w:rsidR="00DD31C6" w:rsidRPr="00E42332" w:rsidRDefault="00DD31C6" w:rsidP="00DD31C6">
      <w:pPr>
        <w:spacing w:line="276" w:lineRule="auto"/>
        <w:jc w:val="both"/>
        <w:rPr>
          <w:rFonts w:ascii="Arial" w:hAnsi="Arial" w:cs="Arial"/>
        </w:rPr>
      </w:pPr>
    </w:p>
    <w:p w:rsidR="00DD31C6" w:rsidRPr="00E42332" w:rsidRDefault="00DD31C6" w:rsidP="00DD31C6">
      <w:pPr>
        <w:spacing w:line="276" w:lineRule="auto"/>
        <w:jc w:val="both"/>
        <w:rPr>
          <w:rFonts w:ascii="Arial" w:hAnsi="Arial" w:cs="Arial"/>
        </w:rPr>
      </w:pPr>
    </w:p>
    <w:p w:rsidR="00DD31C6" w:rsidRPr="00E42332" w:rsidRDefault="00DD31C6" w:rsidP="00DD31C6">
      <w:pPr>
        <w:spacing w:line="276" w:lineRule="auto"/>
        <w:jc w:val="both"/>
        <w:rPr>
          <w:rFonts w:ascii="Arial" w:hAnsi="Arial" w:cs="Arial"/>
        </w:rPr>
      </w:pPr>
    </w:p>
    <w:p w:rsidR="00DD31C6" w:rsidRPr="00E42332" w:rsidRDefault="00DD31C6" w:rsidP="00DD31C6">
      <w:pPr>
        <w:widowControl w:val="0"/>
        <w:autoSpaceDE w:val="0"/>
        <w:autoSpaceDN w:val="0"/>
        <w:adjustRightInd w:val="0"/>
        <w:spacing w:line="276" w:lineRule="auto"/>
        <w:jc w:val="center"/>
        <w:rPr>
          <w:rFonts w:ascii="Arial" w:hAnsi="Arial" w:cs="Arial"/>
          <w:b/>
        </w:rPr>
      </w:pPr>
      <w:r w:rsidRPr="00E42332">
        <w:rPr>
          <w:rFonts w:ascii="Arial" w:hAnsi="Arial" w:cs="Arial"/>
          <w:b/>
        </w:rPr>
        <w:t>JULIO CÉSAR SALAZAR MUÑOZ</w:t>
      </w:r>
    </w:p>
    <w:p w:rsidR="00314F21" w:rsidRPr="00DD31C6" w:rsidRDefault="00DD31C6" w:rsidP="00DD31C6">
      <w:pPr>
        <w:widowControl w:val="0"/>
        <w:autoSpaceDE w:val="0"/>
        <w:autoSpaceDN w:val="0"/>
        <w:adjustRightInd w:val="0"/>
        <w:spacing w:line="276" w:lineRule="auto"/>
        <w:jc w:val="center"/>
        <w:rPr>
          <w:rFonts w:ascii="Arial" w:hAnsi="Arial" w:cs="Arial"/>
        </w:rPr>
      </w:pPr>
      <w:r w:rsidRPr="00E42332">
        <w:rPr>
          <w:rFonts w:ascii="Arial" w:hAnsi="Arial" w:cs="Arial"/>
        </w:rPr>
        <w:t>Magistrado</w:t>
      </w:r>
    </w:p>
    <w:sectPr w:rsidR="00314F21" w:rsidRPr="00DD31C6" w:rsidSect="00982B24">
      <w:headerReference w:type="default" r:id="rId8"/>
      <w:footerReference w:type="default" r:id="rId9"/>
      <w:pgSz w:w="12242" w:h="18722" w:code="258"/>
      <w:pgMar w:top="1814" w:right="1304" w:bottom="1247"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5A" w:rsidRDefault="0031445A" w:rsidP="00314F21">
      <w:r>
        <w:separator/>
      </w:r>
    </w:p>
  </w:endnote>
  <w:endnote w:type="continuationSeparator" w:id="0">
    <w:p w:rsidR="0031445A" w:rsidRDefault="0031445A" w:rsidP="0031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5298"/>
      <w:docPartObj>
        <w:docPartGallery w:val="Page Numbers (Bottom of Page)"/>
        <w:docPartUnique/>
      </w:docPartObj>
    </w:sdtPr>
    <w:sdtEndPr>
      <w:rPr>
        <w:rFonts w:ascii="Arial" w:hAnsi="Arial" w:cs="Arial"/>
        <w:sz w:val="18"/>
        <w:szCs w:val="16"/>
        <w:lang w:val="es-ES" w:eastAsia="es-ES"/>
      </w:rPr>
    </w:sdtEndPr>
    <w:sdtContent>
      <w:p w:rsidR="00314F21" w:rsidRPr="00DD31C6" w:rsidRDefault="00C93FB6">
        <w:pPr>
          <w:pStyle w:val="Piedepgina"/>
          <w:jc w:val="right"/>
          <w:rPr>
            <w:rFonts w:ascii="Arial" w:hAnsi="Arial" w:cs="Arial"/>
            <w:sz w:val="18"/>
            <w:szCs w:val="16"/>
            <w:lang w:val="es-ES" w:eastAsia="es-ES"/>
          </w:rPr>
        </w:pPr>
        <w:r w:rsidRPr="00DD31C6">
          <w:rPr>
            <w:rFonts w:ascii="Arial" w:hAnsi="Arial" w:cs="Arial"/>
            <w:sz w:val="18"/>
            <w:szCs w:val="16"/>
            <w:lang w:val="es-ES" w:eastAsia="es-ES"/>
          </w:rPr>
          <w:fldChar w:fldCharType="begin"/>
        </w:r>
        <w:r w:rsidR="00314F21" w:rsidRPr="00DD31C6">
          <w:rPr>
            <w:rFonts w:ascii="Arial" w:hAnsi="Arial" w:cs="Arial"/>
            <w:sz w:val="18"/>
            <w:szCs w:val="16"/>
            <w:lang w:val="es-ES" w:eastAsia="es-ES"/>
          </w:rPr>
          <w:instrText xml:space="preserve"> PAGE   \* MERGEFORMAT </w:instrText>
        </w:r>
        <w:r w:rsidRPr="00DD31C6">
          <w:rPr>
            <w:rFonts w:ascii="Arial" w:hAnsi="Arial" w:cs="Arial"/>
            <w:sz w:val="18"/>
            <w:szCs w:val="16"/>
            <w:lang w:val="es-ES" w:eastAsia="es-ES"/>
          </w:rPr>
          <w:fldChar w:fldCharType="separate"/>
        </w:r>
        <w:r w:rsidR="00982B24">
          <w:rPr>
            <w:rFonts w:ascii="Arial" w:hAnsi="Arial" w:cs="Arial"/>
            <w:noProof/>
            <w:sz w:val="18"/>
            <w:szCs w:val="16"/>
            <w:lang w:val="es-ES" w:eastAsia="es-ES"/>
          </w:rPr>
          <w:t>2</w:t>
        </w:r>
        <w:r w:rsidRPr="00DD31C6">
          <w:rPr>
            <w:rFonts w:ascii="Arial" w:hAnsi="Arial" w:cs="Arial"/>
            <w:sz w:val="18"/>
            <w:szCs w:val="16"/>
            <w:lang w:val="es-ES"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5A" w:rsidRDefault="0031445A" w:rsidP="00314F21">
      <w:r>
        <w:separator/>
      </w:r>
    </w:p>
  </w:footnote>
  <w:footnote w:type="continuationSeparator" w:id="0">
    <w:p w:rsidR="0031445A" w:rsidRDefault="0031445A" w:rsidP="00314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21" w:rsidRPr="00DD31C6" w:rsidRDefault="00314F21" w:rsidP="00DD31C6">
    <w:pPr>
      <w:jc w:val="center"/>
      <w:textAlignment w:val="baseline"/>
      <w:rPr>
        <w:sz w:val="18"/>
        <w:szCs w:val="16"/>
        <w:lang w:val="es-ES" w:eastAsia="es-ES"/>
      </w:rPr>
    </w:pPr>
    <w:r w:rsidRPr="00DD31C6">
      <w:rPr>
        <w:rFonts w:ascii="Arial" w:hAnsi="Arial" w:cs="Arial"/>
        <w:sz w:val="18"/>
        <w:szCs w:val="16"/>
        <w:lang w:val="es-ES" w:eastAsia="es-ES"/>
      </w:rPr>
      <w:t xml:space="preserve">Luz Dary Herrán Ospina </w:t>
    </w:r>
    <w:r w:rsidRPr="00DD31C6">
      <w:rPr>
        <w:rFonts w:ascii="Arial" w:hAnsi="Arial" w:cs="Arial"/>
        <w:sz w:val="18"/>
        <w:szCs w:val="16"/>
        <w:lang w:eastAsia="es-ES"/>
      </w:rPr>
      <w:t>Vs  Colpensiones. Rad. 66001-31-05-005-2017-00204-01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4F21"/>
    <w:rsid w:val="0031445A"/>
    <w:rsid w:val="00314F21"/>
    <w:rsid w:val="004C5654"/>
    <w:rsid w:val="00582790"/>
    <w:rsid w:val="00685749"/>
    <w:rsid w:val="006A2A37"/>
    <w:rsid w:val="00982B24"/>
    <w:rsid w:val="00B72FF6"/>
    <w:rsid w:val="00BA6DF9"/>
    <w:rsid w:val="00C70C10"/>
    <w:rsid w:val="00C93FB6"/>
    <w:rsid w:val="00CF4D85"/>
    <w:rsid w:val="00D33C29"/>
    <w:rsid w:val="00DD31C6"/>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314F21"/>
    <w:pPr>
      <w:spacing w:before="100" w:beforeAutospacing="1" w:after="100" w:afterAutospacing="1"/>
    </w:pPr>
    <w:rPr>
      <w:lang w:val="es-ES" w:eastAsia="es-ES"/>
    </w:rPr>
  </w:style>
  <w:style w:type="character" w:customStyle="1" w:styleId="normaltextrun">
    <w:name w:val="normaltextrun"/>
    <w:basedOn w:val="Fuentedeprrafopredeter"/>
    <w:rsid w:val="00314F21"/>
  </w:style>
  <w:style w:type="character" w:customStyle="1" w:styleId="eop">
    <w:name w:val="eop"/>
    <w:basedOn w:val="Fuentedeprrafopredeter"/>
    <w:rsid w:val="00314F21"/>
  </w:style>
  <w:style w:type="paragraph" w:styleId="Encabezado">
    <w:name w:val="header"/>
    <w:basedOn w:val="Normal"/>
    <w:link w:val="EncabezadoCar"/>
    <w:uiPriority w:val="99"/>
    <w:unhideWhenUsed/>
    <w:rsid w:val="00314F21"/>
    <w:pPr>
      <w:tabs>
        <w:tab w:val="center" w:pos="4252"/>
        <w:tab w:val="right" w:pos="8504"/>
      </w:tabs>
    </w:pPr>
  </w:style>
  <w:style w:type="character" w:customStyle="1" w:styleId="EncabezadoCar">
    <w:name w:val="Encabezado Car"/>
    <w:basedOn w:val="Fuentedeprrafopredeter"/>
    <w:link w:val="Encabezado"/>
    <w:uiPriority w:val="99"/>
    <w:rsid w:val="00314F21"/>
    <w:rPr>
      <w:sz w:val="24"/>
      <w:szCs w:val="24"/>
      <w:lang w:eastAsia="en-US"/>
    </w:rPr>
  </w:style>
  <w:style w:type="paragraph" w:styleId="Piedepgina">
    <w:name w:val="footer"/>
    <w:basedOn w:val="Normal"/>
    <w:link w:val="PiedepginaCar"/>
    <w:uiPriority w:val="99"/>
    <w:unhideWhenUsed/>
    <w:rsid w:val="00314F21"/>
    <w:pPr>
      <w:tabs>
        <w:tab w:val="center" w:pos="4252"/>
        <w:tab w:val="right" w:pos="8504"/>
      </w:tabs>
    </w:pPr>
  </w:style>
  <w:style w:type="character" w:customStyle="1" w:styleId="PiedepginaCar">
    <w:name w:val="Pie de página Car"/>
    <w:basedOn w:val="Fuentedeprrafopredeter"/>
    <w:link w:val="Piedepgina"/>
    <w:uiPriority w:val="99"/>
    <w:rsid w:val="00314F21"/>
    <w:rPr>
      <w:sz w:val="24"/>
      <w:szCs w:val="24"/>
      <w:lang w:eastAsia="en-US"/>
    </w:rPr>
  </w:style>
  <w:style w:type="paragraph" w:styleId="Textoindependiente">
    <w:name w:val="Body Text"/>
    <w:basedOn w:val="Normal"/>
    <w:link w:val="TextoindependienteCar"/>
    <w:rsid w:val="00314F21"/>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314F21"/>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314F2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F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6654">
      <w:bodyDiv w:val="1"/>
      <w:marLeft w:val="0"/>
      <w:marRight w:val="0"/>
      <w:marTop w:val="0"/>
      <w:marBottom w:val="0"/>
      <w:divBdr>
        <w:top w:val="none" w:sz="0" w:space="0" w:color="auto"/>
        <w:left w:val="none" w:sz="0" w:space="0" w:color="auto"/>
        <w:bottom w:val="none" w:sz="0" w:space="0" w:color="auto"/>
        <w:right w:val="none" w:sz="0" w:space="0" w:color="auto"/>
      </w:divBdr>
      <w:divsChild>
        <w:div w:id="669987135">
          <w:marLeft w:val="0"/>
          <w:marRight w:val="0"/>
          <w:marTop w:val="0"/>
          <w:marBottom w:val="0"/>
          <w:divBdr>
            <w:top w:val="none" w:sz="0" w:space="0" w:color="auto"/>
            <w:left w:val="none" w:sz="0" w:space="0" w:color="auto"/>
            <w:bottom w:val="none" w:sz="0" w:space="0" w:color="auto"/>
            <w:right w:val="none" w:sz="0" w:space="0" w:color="auto"/>
          </w:divBdr>
        </w:div>
        <w:div w:id="1278214185">
          <w:marLeft w:val="0"/>
          <w:marRight w:val="0"/>
          <w:marTop w:val="0"/>
          <w:marBottom w:val="0"/>
          <w:divBdr>
            <w:top w:val="none" w:sz="0" w:space="0" w:color="auto"/>
            <w:left w:val="none" w:sz="0" w:space="0" w:color="auto"/>
            <w:bottom w:val="none" w:sz="0" w:space="0" w:color="auto"/>
            <w:right w:val="none" w:sz="0" w:space="0" w:color="auto"/>
          </w:divBdr>
        </w:div>
        <w:div w:id="1038428744">
          <w:marLeft w:val="0"/>
          <w:marRight w:val="0"/>
          <w:marTop w:val="0"/>
          <w:marBottom w:val="0"/>
          <w:divBdr>
            <w:top w:val="none" w:sz="0" w:space="0" w:color="auto"/>
            <w:left w:val="none" w:sz="0" w:space="0" w:color="auto"/>
            <w:bottom w:val="none" w:sz="0" w:space="0" w:color="auto"/>
            <w:right w:val="none" w:sz="0" w:space="0" w:color="auto"/>
          </w:divBdr>
        </w:div>
        <w:div w:id="859706506">
          <w:marLeft w:val="0"/>
          <w:marRight w:val="0"/>
          <w:marTop w:val="0"/>
          <w:marBottom w:val="0"/>
          <w:divBdr>
            <w:top w:val="none" w:sz="0" w:space="0" w:color="auto"/>
            <w:left w:val="none" w:sz="0" w:space="0" w:color="auto"/>
            <w:bottom w:val="none" w:sz="0" w:space="0" w:color="auto"/>
            <w:right w:val="none" w:sz="0" w:space="0" w:color="auto"/>
          </w:divBdr>
        </w:div>
        <w:div w:id="1900937721">
          <w:marLeft w:val="0"/>
          <w:marRight w:val="0"/>
          <w:marTop w:val="0"/>
          <w:marBottom w:val="0"/>
          <w:divBdr>
            <w:top w:val="none" w:sz="0" w:space="0" w:color="auto"/>
            <w:left w:val="none" w:sz="0" w:space="0" w:color="auto"/>
            <w:bottom w:val="none" w:sz="0" w:space="0" w:color="auto"/>
            <w:right w:val="none" w:sz="0" w:space="0" w:color="auto"/>
          </w:divBdr>
        </w:div>
        <w:div w:id="682630850">
          <w:marLeft w:val="0"/>
          <w:marRight w:val="0"/>
          <w:marTop w:val="0"/>
          <w:marBottom w:val="0"/>
          <w:divBdr>
            <w:top w:val="none" w:sz="0" w:space="0" w:color="auto"/>
            <w:left w:val="none" w:sz="0" w:space="0" w:color="auto"/>
            <w:bottom w:val="none" w:sz="0" w:space="0" w:color="auto"/>
            <w:right w:val="none" w:sz="0" w:space="0" w:color="auto"/>
          </w:divBdr>
        </w:div>
        <w:div w:id="212624705">
          <w:marLeft w:val="0"/>
          <w:marRight w:val="0"/>
          <w:marTop w:val="0"/>
          <w:marBottom w:val="0"/>
          <w:divBdr>
            <w:top w:val="none" w:sz="0" w:space="0" w:color="auto"/>
            <w:left w:val="none" w:sz="0" w:space="0" w:color="auto"/>
            <w:bottom w:val="none" w:sz="0" w:space="0" w:color="auto"/>
            <w:right w:val="none" w:sz="0" w:space="0" w:color="auto"/>
          </w:divBdr>
        </w:div>
        <w:div w:id="48001863">
          <w:marLeft w:val="0"/>
          <w:marRight w:val="0"/>
          <w:marTop w:val="0"/>
          <w:marBottom w:val="0"/>
          <w:divBdr>
            <w:top w:val="none" w:sz="0" w:space="0" w:color="auto"/>
            <w:left w:val="none" w:sz="0" w:space="0" w:color="auto"/>
            <w:bottom w:val="none" w:sz="0" w:space="0" w:color="auto"/>
            <w:right w:val="none" w:sz="0" w:space="0" w:color="auto"/>
          </w:divBdr>
        </w:div>
        <w:div w:id="225653442">
          <w:marLeft w:val="0"/>
          <w:marRight w:val="0"/>
          <w:marTop w:val="0"/>
          <w:marBottom w:val="0"/>
          <w:divBdr>
            <w:top w:val="none" w:sz="0" w:space="0" w:color="auto"/>
            <w:left w:val="none" w:sz="0" w:space="0" w:color="auto"/>
            <w:bottom w:val="none" w:sz="0" w:space="0" w:color="auto"/>
            <w:right w:val="none" w:sz="0" w:space="0" w:color="auto"/>
          </w:divBdr>
        </w:div>
        <w:div w:id="1464344036">
          <w:marLeft w:val="0"/>
          <w:marRight w:val="0"/>
          <w:marTop w:val="0"/>
          <w:marBottom w:val="0"/>
          <w:divBdr>
            <w:top w:val="none" w:sz="0" w:space="0" w:color="auto"/>
            <w:left w:val="none" w:sz="0" w:space="0" w:color="auto"/>
            <w:bottom w:val="none" w:sz="0" w:space="0" w:color="auto"/>
            <w:right w:val="none" w:sz="0" w:space="0" w:color="auto"/>
          </w:divBdr>
        </w:div>
        <w:div w:id="1091704458">
          <w:marLeft w:val="0"/>
          <w:marRight w:val="0"/>
          <w:marTop w:val="0"/>
          <w:marBottom w:val="0"/>
          <w:divBdr>
            <w:top w:val="none" w:sz="0" w:space="0" w:color="auto"/>
            <w:left w:val="none" w:sz="0" w:space="0" w:color="auto"/>
            <w:bottom w:val="none" w:sz="0" w:space="0" w:color="auto"/>
            <w:right w:val="none" w:sz="0" w:space="0" w:color="auto"/>
          </w:divBdr>
        </w:div>
        <w:div w:id="810711546">
          <w:marLeft w:val="0"/>
          <w:marRight w:val="0"/>
          <w:marTop w:val="0"/>
          <w:marBottom w:val="0"/>
          <w:divBdr>
            <w:top w:val="none" w:sz="0" w:space="0" w:color="auto"/>
            <w:left w:val="none" w:sz="0" w:space="0" w:color="auto"/>
            <w:bottom w:val="none" w:sz="0" w:space="0" w:color="auto"/>
            <w:right w:val="none" w:sz="0" w:space="0" w:color="auto"/>
          </w:divBdr>
        </w:div>
        <w:div w:id="319694278">
          <w:marLeft w:val="0"/>
          <w:marRight w:val="0"/>
          <w:marTop w:val="0"/>
          <w:marBottom w:val="0"/>
          <w:divBdr>
            <w:top w:val="none" w:sz="0" w:space="0" w:color="auto"/>
            <w:left w:val="none" w:sz="0" w:space="0" w:color="auto"/>
            <w:bottom w:val="none" w:sz="0" w:space="0" w:color="auto"/>
            <w:right w:val="none" w:sz="0" w:space="0" w:color="auto"/>
          </w:divBdr>
        </w:div>
        <w:div w:id="701050143">
          <w:marLeft w:val="0"/>
          <w:marRight w:val="0"/>
          <w:marTop w:val="0"/>
          <w:marBottom w:val="0"/>
          <w:divBdr>
            <w:top w:val="none" w:sz="0" w:space="0" w:color="auto"/>
            <w:left w:val="none" w:sz="0" w:space="0" w:color="auto"/>
            <w:bottom w:val="none" w:sz="0" w:space="0" w:color="auto"/>
            <w:right w:val="none" w:sz="0" w:space="0" w:color="auto"/>
          </w:divBdr>
        </w:div>
        <w:div w:id="342778321">
          <w:marLeft w:val="0"/>
          <w:marRight w:val="0"/>
          <w:marTop w:val="0"/>
          <w:marBottom w:val="0"/>
          <w:divBdr>
            <w:top w:val="none" w:sz="0" w:space="0" w:color="auto"/>
            <w:left w:val="none" w:sz="0" w:space="0" w:color="auto"/>
            <w:bottom w:val="none" w:sz="0" w:space="0" w:color="auto"/>
            <w:right w:val="none" w:sz="0" w:space="0" w:color="auto"/>
          </w:divBdr>
        </w:div>
        <w:div w:id="817383699">
          <w:marLeft w:val="0"/>
          <w:marRight w:val="0"/>
          <w:marTop w:val="0"/>
          <w:marBottom w:val="0"/>
          <w:divBdr>
            <w:top w:val="none" w:sz="0" w:space="0" w:color="auto"/>
            <w:left w:val="none" w:sz="0" w:space="0" w:color="auto"/>
            <w:bottom w:val="none" w:sz="0" w:space="0" w:color="auto"/>
            <w:right w:val="none" w:sz="0" w:space="0" w:color="auto"/>
          </w:divBdr>
        </w:div>
        <w:div w:id="1853716935">
          <w:marLeft w:val="0"/>
          <w:marRight w:val="0"/>
          <w:marTop w:val="0"/>
          <w:marBottom w:val="0"/>
          <w:divBdr>
            <w:top w:val="none" w:sz="0" w:space="0" w:color="auto"/>
            <w:left w:val="none" w:sz="0" w:space="0" w:color="auto"/>
            <w:bottom w:val="none" w:sz="0" w:space="0" w:color="auto"/>
            <w:right w:val="none" w:sz="0" w:space="0" w:color="auto"/>
          </w:divBdr>
        </w:div>
        <w:div w:id="1901136756">
          <w:marLeft w:val="0"/>
          <w:marRight w:val="0"/>
          <w:marTop w:val="0"/>
          <w:marBottom w:val="0"/>
          <w:divBdr>
            <w:top w:val="none" w:sz="0" w:space="0" w:color="auto"/>
            <w:left w:val="none" w:sz="0" w:space="0" w:color="auto"/>
            <w:bottom w:val="none" w:sz="0" w:space="0" w:color="auto"/>
            <w:right w:val="none" w:sz="0" w:space="0" w:color="auto"/>
          </w:divBdr>
        </w:div>
        <w:div w:id="1758401471">
          <w:marLeft w:val="0"/>
          <w:marRight w:val="0"/>
          <w:marTop w:val="0"/>
          <w:marBottom w:val="0"/>
          <w:divBdr>
            <w:top w:val="none" w:sz="0" w:space="0" w:color="auto"/>
            <w:left w:val="none" w:sz="0" w:space="0" w:color="auto"/>
            <w:bottom w:val="none" w:sz="0" w:space="0" w:color="auto"/>
            <w:right w:val="none" w:sz="0" w:space="0" w:color="auto"/>
          </w:divBdr>
        </w:div>
        <w:div w:id="268006453">
          <w:marLeft w:val="0"/>
          <w:marRight w:val="0"/>
          <w:marTop w:val="0"/>
          <w:marBottom w:val="0"/>
          <w:divBdr>
            <w:top w:val="none" w:sz="0" w:space="0" w:color="auto"/>
            <w:left w:val="none" w:sz="0" w:space="0" w:color="auto"/>
            <w:bottom w:val="none" w:sz="0" w:space="0" w:color="auto"/>
            <w:right w:val="none" w:sz="0" w:space="0" w:color="auto"/>
          </w:divBdr>
        </w:div>
        <w:div w:id="1332682180">
          <w:marLeft w:val="0"/>
          <w:marRight w:val="0"/>
          <w:marTop w:val="0"/>
          <w:marBottom w:val="0"/>
          <w:divBdr>
            <w:top w:val="none" w:sz="0" w:space="0" w:color="auto"/>
            <w:left w:val="none" w:sz="0" w:space="0" w:color="auto"/>
            <w:bottom w:val="none" w:sz="0" w:space="0" w:color="auto"/>
            <w:right w:val="none" w:sz="0" w:space="0" w:color="auto"/>
          </w:divBdr>
        </w:div>
        <w:div w:id="128136160">
          <w:marLeft w:val="0"/>
          <w:marRight w:val="0"/>
          <w:marTop w:val="0"/>
          <w:marBottom w:val="0"/>
          <w:divBdr>
            <w:top w:val="none" w:sz="0" w:space="0" w:color="auto"/>
            <w:left w:val="none" w:sz="0" w:space="0" w:color="auto"/>
            <w:bottom w:val="none" w:sz="0" w:space="0" w:color="auto"/>
            <w:right w:val="none" w:sz="0" w:space="0" w:color="auto"/>
          </w:divBdr>
        </w:div>
        <w:div w:id="672297709">
          <w:marLeft w:val="0"/>
          <w:marRight w:val="0"/>
          <w:marTop w:val="0"/>
          <w:marBottom w:val="0"/>
          <w:divBdr>
            <w:top w:val="none" w:sz="0" w:space="0" w:color="auto"/>
            <w:left w:val="none" w:sz="0" w:space="0" w:color="auto"/>
            <w:bottom w:val="none" w:sz="0" w:space="0" w:color="auto"/>
            <w:right w:val="none" w:sz="0" w:space="0" w:color="auto"/>
          </w:divBdr>
        </w:div>
        <w:div w:id="563024158">
          <w:marLeft w:val="0"/>
          <w:marRight w:val="0"/>
          <w:marTop w:val="0"/>
          <w:marBottom w:val="0"/>
          <w:divBdr>
            <w:top w:val="none" w:sz="0" w:space="0" w:color="auto"/>
            <w:left w:val="none" w:sz="0" w:space="0" w:color="auto"/>
            <w:bottom w:val="none" w:sz="0" w:space="0" w:color="auto"/>
            <w:right w:val="none" w:sz="0" w:space="0" w:color="auto"/>
          </w:divBdr>
        </w:div>
        <w:div w:id="1186136113">
          <w:marLeft w:val="0"/>
          <w:marRight w:val="0"/>
          <w:marTop w:val="0"/>
          <w:marBottom w:val="0"/>
          <w:divBdr>
            <w:top w:val="none" w:sz="0" w:space="0" w:color="auto"/>
            <w:left w:val="none" w:sz="0" w:space="0" w:color="auto"/>
            <w:bottom w:val="none" w:sz="0" w:space="0" w:color="auto"/>
            <w:right w:val="none" w:sz="0" w:space="0" w:color="auto"/>
          </w:divBdr>
        </w:div>
        <w:div w:id="1654489050">
          <w:marLeft w:val="0"/>
          <w:marRight w:val="0"/>
          <w:marTop w:val="0"/>
          <w:marBottom w:val="0"/>
          <w:divBdr>
            <w:top w:val="none" w:sz="0" w:space="0" w:color="auto"/>
            <w:left w:val="none" w:sz="0" w:space="0" w:color="auto"/>
            <w:bottom w:val="none" w:sz="0" w:space="0" w:color="auto"/>
            <w:right w:val="none" w:sz="0" w:space="0" w:color="auto"/>
          </w:divBdr>
        </w:div>
        <w:div w:id="2024088335">
          <w:marLeft w:val="0"/>
          <w:marRight w:val="0"/>
          <w:marTop w:val="0"/>
          <w:marBottom w:val="0"/>
          <w:divBdr>
            <w:top w:val="none" w:sz="0" w:space="0" w:color="auto"/>
            <w:left w:val="none" w:sz="0" w:space="0" w:color="auto"/>
            <w:bottom w:val="none" w:sz="0" w:space="0" w:color="auto"/>
            <w:right w:val="none" w:sz="0" w:space="0" w:color="auto"/>
          </w:divBdr>
        </w:div>
        <w:div w:id="250089801">
          <w:marLeft w:val="0"/>
          <w:marRight w:val="0"/>
          <w:marTop w:val="0"/>
          <w:marBottom w:val="0"/>
          <w:divBdr>
            <w:top w:val="none" w:sz="0" w:space="0" w:color="auto"/>
            <w:left w:val="none" w:sz="0" w:space="0" w:color="auto"/>
            <w:bottom w:val="none" w:sz="0" w:space="0" w:color="auto"/>
            <w:right w:val="none" w:sz="0" w:space="0" w:color="auto"/>
          </w:divBdr>
        </w:div>
        <w:div w:id="573322312">
          <w:marLeft w:val="0"/>
          <w:marRight w:val="0"/>
          <w:marTop w:val="0"/>
          <w:marBottom w:val="0"/>
          <w:divBdr>
            <w:top w:val="none" w:sz="0" w:space="0" w:color="auto"/>
            <w:left w:val="none" w:sz="0" w:space="0" w:color="auto"/>
            <w:bottom w:val="none" w:sz="0" w:space="0" w:color="auto"/>
            <w:right w:val="none" w:sz="0" w:space="0" w:color="auto"/>
          </w:divBdr>
        </w:div>
        <w:div w:id="877010245">
          <w:marLeft w:val="0"/>
          <w:marRight w:val="0"/>
          <w:marTop w:val="0"/>
          <w:marBottom w:val="0"/>
          <w:divBdr>
            <w:top w:val="none" w:sz="0" w:space="0" w:color="auto"/>
            <w:left w:val="none" w:sz="0" w:space="0" w:color="auto"/>
            <w:bottom w:val="none" w:sz="0" w:space="0" w:color="auto"/>
            <w:right w:val="none" w:sz="0" w:space="0" w:color="auto"/>
          </w:divBdr>
        </w:div>
        <w:div w:id="1580672685">
          <w:marLeft w:val="0"/>
          <w:marRight w:val="0"/>
          <w:marTop w:val="0"/>
          <w:marBottom w:val="0"/>
          <w:divBdr>
            <w:top w:val="none" w:sz="0" w:space="0" w:color="auto"/>
            <w:left w:val="none" w:sz="0" w:space="0" w:color="auto"/>
            <w:bottom w:val="none" w:sz="0" w:space="0" w:color="auto"/>
            <w:right w:val="none" w:sz="0" w:space="0" w:color="auto"/>
          </w:divBdr>
        </w:div>
        <w:div w:id="1260019710">
          <w:marLeft w:val="0"/>
          <w:marRight w:val="0"/>
          <w:marTop w:val="0"/>
          <w:marBottom w:val="0"/>
          <w:divBdr>
            <w:top w:val="none" w:sz="0" w:space="0" w:color="auto"/>
            <w:left w:val="none" w:sz="0" w:space="0" w:color="auto"/>
            <w:bottom w:val="none" w:sz="0" w:space="0" w:color="auto"/>
            <w:right w:val="none" w:sz="0" w:space="0" w:color="auto"/>
          </w:divBdr>
        </w:div>
        <w:div w:id="649677201">
          <w:marLeft w:val="0"/>
          <w:marRight w:val="0"/>
          <w:marTop w:val="0"/>
          <w:marBottom w:val="0"/>
          <w:divBdr>
            <w:top w:val="none" w:sz="0" w:space="0" w:color="auto"/>
            <w:left w:val="none" w:sz="0" w:space="0" w:color="auto"/>
            <w:bottom w:val="none" w:sz="0" w:space="0" w:color="auto"/>
            <w:right w:val="none" w:sz="0" w:space="0" w:color="auto"/>
          </w:divBdr>
        </w:div>
        <w:div w:id="1767386855">
          <w:marLeft w:val="0"/>
          <w:marRight w:val="0"/>
          <w:marTop w:val="0"/>
          <w:marBottom w:val="0"/>
          <w:divBdr>
            <w:top w:val="none" w:sz="0" w:space="0" w:color="auto"/>
            <w:left w:val="none" w:sz="0" w:space="0" w:color="auto"/>
            <w:bottom w:val="none" w:sz="0" w:space="0" w:color="auto"/>
            <w:right w:val="none" w:sz="0" w:space="0" w:color="auto"/>
          </w:divBdr>
        </w:div>
        <w:div w:id="1610238019">
          <w:marLeft w:val="0"/>
          <w:marRight w:val="0"/>
          <w:marTop w:val="0"/>
          <w:marBottom w:val="0"/>
          <w:divBdr>
            <w:top w:val="none" w:sz="0" w:space="0" w:color="auto"/>
            <w:left w:val="none" w:sz="0" w:space="0" w:color="auto"/>
            <w:bottom w:val="none" w:sz="0" w:space="0" w:color="auto"/>
            <w:right w:val="none" w:sz="0" w:space="0" w:color="auto"/>
          </w:divBdr>
        </w:div>
        <w:div w:id="1247349312">
          <w:marLeft w:val="0"/>
          <w:marRight w:val="0"/>
          <w:marTop w:val="0"/>
          <w:marBottom w:val="0"/>
          <w:divBdr>
            <w:top w:val="none" w:sz="0" w:space="0" w:color="auto"/>
            <w:left w:val="none" w:sz="0" w:space="0" w:color="auto"/>
            <w:bottom w:val="none" w:sz="0" w:space="0" w:color="auto"/>
            <w:right w:val="none" w:sz="0" w:space="0" w:color="auto"/>
          </w:divBdr>
        </w:div>
        <w:div w:id="1217819795">
          <w:marLeft w:val="0"/>
          <w:marRight w:val="0"/>
          <w:marTop w:val="0"/>
          <w:marBottom w:val="0"/>
          <w:divBdr>
            <w:top w:val="none" w:sz="0" w:space="0" w:color="auto"/>
            <w:left w:val="none" w:sz="0" w:space="0" w:color="auto"/>
            <w:bottom w:val="none" w:sz="0" w:space="0" w:color="auto"/>
            <w:right w:val="none" w:sz="0" w:space="0" w:color="auto"/>
          </w:divBdr>
        </w:div>
        <w:div w:id="1276519947">
          <w:marLeft w:val="0"/>
          <w:marRight w:val="0"/>
          <w:marTop w:val="0"/>
          <w:marBottom w:val="0"/>
          <w:divBdr>
            <w:top w:val="none" w:sz="0" w:space="0" w:color="auto"/>
            <w:left w:val="none" w:sz="0" w:space="0" w:color="auto"/>
            <w:bottom w:val="none" w:sz="0" w:space="0" w:color="auto"/>
            <w:right w:val="none" w:sz="0" w:space="0" w:color="auto"/>
          </w:divBdr>
        </w:div>
        <w:div w:id="29303472">
          <w:marLeft w:val="0"/>
          <w:marRight w:val="0"/>
          <w:marTop w:val="0"/>
          <w:marBottom w:val="0"/>
          <w:divBdr>
            <w:top w:val="none" w:sz="0" w:space="0" w:color="auto"/>
            <w:left w:val="none" w:sz="0" w:space="0" w:color="auto"/>
            <w:bottom w:val="none" w:sz="0" w:space="0" w:color="auto"/>
            <w:right w:val="none" w:sz="0" w:space="0" w:color="auto"/>
          </w:divBdr>
        </w:div>
        <w:div w:id="1262255032">
          <w:marLeft w:val="0"/>
          <w:marRight w:val="0"/>
          <w:marTop w:val="0"/>
          <w:marBottom w:val="0"/>
          <w:divBdr>
            <w:top w:val="none" w:sz="0" w:space="0" w:color="auto"/>
            <w:left w:val="none" w:sz="0" w:space="0" w:color="auto"/>
            <w:bottom w:val="none" w:sz="0" w:space="0" w:color="auto"/>
            <w:right w:val="none" w:sz="0" w:space="0" w:color="auto"/>
          </w:divBdr>
        </w:div>
        <w:div w:id="1734890355">
          <w:marLeft w:val="0"/>
          <w:marRight w:val="0"/>
          <w:marTop w:val="0"/>
          <w:marBottom w:val="0"/>
          <w:divBdr>
            <w:top w:val="none" w:sz="0" w:space="0" w:color="auto"/>
            <w:left w:val="none" w:sz="0" w:space="0" w:color="auto"/>
            <w:bottom w:val="none" w:sz="0" w:space="0" w:color="auto"/>
            <w:right w:val="none" w:sz="0" w:space="0" w:color="auto"/>
          </w:divBdr>
        </w:div>
        <w:div w:id="1922788181">
          <w:marLeft w:val="0"/>
          <w:marRight w:val="0"/>
          <w:marTop w:val="0"/>
          <w:marBottom w:val="0"/>
          <w:divBdr>
            <w:top w:val="none" w:sz="0" w:space="0" w:color="auto"/>
            <w:left w:val="none" w:sz="0" w:space="0" w:color="auto"/>
            <w:bottom w:val="none" w:sz="0" w:space="0" w:color="auto"/>
            <w:right w:val="none" w:sz="0" w:space="0" w:color="auto"/>
          </w:divBdr>
        </w:div>
        <w:div w:id="1432508981">
          <w:marLeft w:val="0"/>
          <w:marRight w:val="0"/>
          <w:marTop w:val="0"/>
          <w:marBottom w:val="0"/>
          <w:divBdr>
            <w:top w:val="none" w:sz="0" w:space="0" w:color="auto"/>
            <w:left w:val="none" w:sz="0" w:space="0" w:color="auto"/>
            <w:bottom w:val="none" w:sz="0" w:space="0" w:color="auto"/>
            <w:right w:val="none" w:sz="0" w:space="0" w:color="auto"/>
          </w:divBdr>
        </w:div>
        <w:div w:id="1469400614">
          <w:marLeft w:val="0"/>
          <w:marRight w:val="0"/>
          <w:marTop w:val="0"/>
          <w:marBottom w:val="0"/>
          <w:divBdr>
            <w:top w:val="none" w:sz="0" w:space="0" w:color="auto"/>
            <w:left w:val="none" w:sz="0" w:space="0" w:color="auto"/>
            <w:bottom w:val="none" w:sz="0" w:space="0" w:color="auto"/>
            <w:right w:val="none" w:sz="0" w:space="0" w:color="auto"/>
          </w:divBdr>
        </w:div>
        <w:div w:id="1067266538">
          <w:marLeft w:val="0"/>
          <w:marRight w:val="0"/>
          <w:marTop w:val="0"/>
          <w:marBottom w:val="0"/>
          <w:divBdr>
            <w:top w:val="none" w:sz="0" w:space="0" w:color="auto"/>
            <w:left w:val="none" w:sz="0" w:space="0" w:color="auto"/>
            <w:bottom w:val="none" w:sz="0" w:space="0" w:color="auto"/>
            <w:right w:val="none" w:sz="0" w:space="0" w:color="auto"/>
          </w:divBdr>
        </w:div>
        <w:div w:id="17856994">
          <w:marLeft w:val="0"/>
          <w:marRight w:val="0"/>
          <w:marTop w:val="0"/>
          <w:marBottom w:val="0"/>
          <w:divBdr>
            <w:top w:val="none" w:sz="0" w:space="0" w:color="auto"/>
            <w:left w:val="none" w:sz="0" w:space="0" w:color="auto"/>
            <w:bottom w:val="none" w:sz="0" w:space="0" w:color="auto"/>
            <w:right w:val="none" w:sz="0" w:space="0" w:color="auto"/>
          </w:divBdr>
        </w:div>
        <w:div w:id="2113696066">
          <w:marLeft w:val="0"/>
          <w:marRight w:val="0"/>
          <w:marTop w:val="0"/>
          <w:marBottom w:val="0"/>
          <w:divBdr>
            <w:top w:val="none" w:sz="0" w:space="0" w:color="auto"/>
            <w:left w:val="none" w:sz="0" w:space="0" w:color="auto"/>
            <w:bottom w:val="none" w:sz="0" w:space="0" w:color="auto"/>
            <w:right w:val="none" w:sz="0" w:space="0" w:color="auto"/>
          </w:divBdr>
        </w:div>
        <w:div w:id="651953179">
          <w:marLeft w:val="0"/>
          <w:marRight w:val="0"/>
          <w:marTop w:val="0"/>
          <w:marBottom w:val="0"/>
          <w:divBdr>
            <w:top w:val="none" w:sz="0" w:space="0" w:color="auto"/>
            <w:left w:val="none" w:sz="0" w:space="0" w:color="auto"/>
            <w:bottom w:val="none" w:sz="0" w:space="0" w:color="auto"/>
            <w:right w:val="none" w:sz="0" w:space="0" w:color="auto"/>
          </w:divBdr>
        </w:div>
        <w:div w:id="399595325">
          <w:marLeft w:val="0"/>
          <w:marRight w:val="0"/>
          <w:marTop w:val="0"/>
          <w:marBottom w:val="0"/>
          <w:divBdr>
            <w:top w:val="none" w:sz="0" w:space="0" w:color="auto"/>
            <w:left w:val="none" w:sz="0" w:space="0" w:color="auto"/>
            <w:bottom w:val="none" w:sz="0" w:space="0" w:color="auto"/>
            <w:right w:val="none" w:sz="0" w:space="0" w:color="auto"/>
          </w:divBdr>
        </w:div>
        <w:div w:id="1739671430">
          <w:marLeft w:val="0"/>
          <w:marRight w:val="0"/>
          <w:marTop w:val="0"/>
          <w:marBottom w:val="0"/>
          <w:divBdr>
            <w:top w:val="none" w:sz="0" w:space="0" w:color="auto"/>
            <w:left w:val="none" w:sz="0" w:space="0" w:color="auto"/>
            <w:bottom w:val="none" w:sz="0" w:space="0" w:color="auto"/>
            <w:right w:val="none" w:sz="0" w:space="0" w:color="auto"/>
          </w:divBdr>
        </w:div>
        <w:div w:id="18285887">
          <w:marLeft w:val="0"/>
          <w:marRight w:val="0"/>
          <w:marTop w:val="0"/>
          <w:marBottom w:val="0"/>
          <w:divBdr>
            <w:top w:val="none" w:sz="0" w:space="0" w:color="auto"/>
            <w:left w:val="none" w:sz="0" w:space="0" w:color="auto"/>
            <w:bottom w:val="none" w:sz="0" w:space="0" w:color="auto"/>
            <w:right w:val="none" w:sz="0" w:space="0" w:color="auto"/>
          </w:divBdr>
        </w:div>
        <w:div w:id="1469084234">
          <w:marLeft w:val="0"/>
          <w:marRight w:val="0"/>
          <w:marTop w:val="0"/>
          <w:marBottom w:val="0"/>
          <w:divBdr>
            <w:top w:val="none" w:sz="0" w:space="0" w:color="auto"/>
            <w:left w:val="none" w:sz="0" w:space="0" w:color="auto"/>
            <w:bottom w:val="none" w:sz="0" w:space="0" w:color="auto"/>
            <w:right w:val="none" w:sz="0" w:space="0" w:color="auto"/>
          </w:divBdr>
        </w:div>
        <w:div w:id="440342471">
          <w:marLeft w:val="0"/>
          <w:marRight w:val="0"/>
          <w:marTop w:val="0"/>
          <w:marBottom w:val="0"/>
          <w:divBdr>
            <w:top w:val="none" w:sz="0" w:space="0" w:color="auto"/>
            <w:left w:val="none" w:sz="0" w:space="0" w:color="auto"/>
            <w:bottom w:val="none" w:sz="0" w:space="0" w:color="auto"/>
            <w:right w:val="none" w:sz="0" w:space="0" w:color="auto"/>
          </w:divBdr>
        </w:div>
        <w:div w:id="702706243">
          <w:marLeft w:val="0"/>
          <w:marRight w:val="0"/>
          <w:marTop w:val="0"/>
          <w:marBottom w:val="0"/>
          <w:divBdr>
            <w:top w:val="none" w:sz="0" w:space="0" w:color="auto"/>
            <w:left w:val="none" w:sz="0" w:space="0" w:color="auto"/>
            <w:bottom w:val="none" w:sz="0" w:space="0" w:color="auto"/>
            <w:right w:val="none" w:sz="0" w:space="0" w:color="auto"/>
          </w:divBdr>
        </w:div>
        <w:div w:id="672996172">
          <w:marLeft w:val="0"/>
          <w:marRight w:val="0"/>
          <w:marTop w:val="0"/>
          <w:marBottom w:val="0"/>
          <w:divBdr>
            <w:top w:val="none" w:sz="0" w:space="0" w:color="auto"/>
            <w:left w:val="none" w:sz="0" w:space="0" w:color="auto"/>
            <w:bottom w:val="none" w:sz="0" w:space="0" w:color="auto"/>
            <w:right w:val="none" w:sz="0" w:space="0" w:color="auto"/>
          </w:divBdr>
        </w:div>
        <w:div w:id="1133521488">
          <w:marLeft w:val="0"/>
          <w:marRight w:val="0"/>
          <w:marTop w:val="0"/>
          <w:marBottom w:val="0"/>
          <w:divBdr>
            <w:top w:val="none" w:sz="0" w:space="0" w:color="auto"/>
            <w:left w:val="none" w:sz="0" w:space="0" w:color="auto"/>
            <w:bottom w:val="none" w:sz="0" w:space="0" w:color="auto"/>
            <w:right w:val="none" w:sz="0" w:space="0" w:color="auto"/>
          </w:divBdr>
        </w:div>
        <w:div w:id="1394961861">
          <w:marLeft w:val="0"/>
          <w:marRight w:val="0"/>
          <w:marTop w:val="0"/>
          <w:marBottom w:val="0"/>
          <w:divBdr>
            <w:top w:val="none" w:sz="0" w:space="0" w:color="auto"/>
            <w:left w:val="none" w:sz="0" w:space="0" w:color="auto"/>
            <w:bottom w:val="none" w:sz="0" w:space="0" w:color="auto"/>
            <w:right w:val="none" w:sz="0" w:space="0" w:color="auto"/>
          </w:divBdr>
        </w:div>
        <w:div w:id="1102610084">
          <w:marLeft w:val="0"/>
          <w:marRight w:val="0"/>
          <w:marTop w:val="0"/>
          <w:marBottom w:val="0"/>
          <w:divBdr>
            <w:top w:val="none" w:sz="0" w:space="0" w:color="auto"/>
            <w:left w:val="none" w:sz="0" w:space="0" w:color="auto"/>
            <w:bottom w:val="none" w:sz="0" w:space="0" w:color="auto"/>
            <w:right w:val="none" w:sz="0" w:space="0" w:color="auto"/>
          </w:divBdr>
        </w:div>
        <w:div w:id="2082827416">
          <w:marLeft w:val="0"/>
          <w:marRight w:val="0"/>
          <w:marTop w:val="0"/>
          <w:marBottom w:val="0"/>
          <w:divBdr>
            <w:top w:val="none" w:sz="0" w:space="0" w:color="auto"/>
            <w:left w:val="none" w:sz="0" w:space="0" w:color="auto"/>
            <w:bottom w:val="none" w:sz="0" w:space="0" w:color="auto"/>
            <w:right w:val="none" w:sz="0" w:space="0" w:color="auto"/>
          </w:divBdr>
        </w:div>
        <w:div w:id="706950077">
          <w:marLeft w:val="0"/>
          <w:marRight w:val="0"/>
          <w:marTop w:val="0"/>
          <w:marBottom w:val="0"/>
          <w:divBdr>
            <w:top w:val="none" w:sz="0" w:space="0" w:color="auto"/>
            <w:left w:val="none" w:sz="0" w:space="0" w:color="auto"/>
            <w:bottom w:val="none" w:sz="0" w:space="0" w:color="auto"/>
            <w:right w:val="none" w:sz="0" w:space="0" w:color="auto"/>
          </w:divBdr>
        </w:div>
        <w:div w:id="1611084334">
          <w:marLeft w:val="0"/>
          <w:marRight w:val="0"/>
          <w:marTop w:val="0"/>
          <w:marBottom w:val="0"/>
          <w:divBdr>
            <w:top w:val="none" w:sz="0" w:space="0" w:color="auto"/>
            <w:left w:val="none" w:sz="0" w:space="0" w:color="auto"/>
            <w:bottom w:val="none" w:sz="0" w:space="0" w:color="auto"/>
            <w:right w:val="none" w:sz="0" w:space="0" w:color="auto"/>
          </w:divBdr>
        </w:div>
        <w:div w:id="357701713">
          <w:marLeft w:val="0"/>
          <w:marRight w:val="0"/>
          <w:marTop w:val="0"/>
          <w:marBottom w:val="0"/>
          <w:divBdr>
            <w:top w:val="none" w:sz="0" w:space="0" w:color="auto"/>
            <w:left w:val="none" w:sz="0" w:space="0" w:color="auto"/>
            <w:bottom w:val="none" w:sz="0" w:space="0" w:color="auto"/>
            <w:right w:val="none" w:sz="0" w:space="0" w:color="auto"/>
          </w:divBdr>
        </w:div>
        <w:div w:id="1530800517">
          <w:marLeft w:val="0"/>
          <w:marRight w:val="0"/>
          <w:marTop w:val="0"/>
          <w:marBottom w:val="0"/>
          <w:divBdr>
            <w:top w:val="none" w:sz="0" w:space="0" w:color="auto"/>
            <w:left w:val="none" w:sz="0" w:space="0" w:color="auto"/>
            <w:bottom w:val="none" w:sz="0" w:space="0" w:color="auto"/>
            <w:right w:val="none" w:sz="0" w:space="0" w:color="auto"/>
          </w:divBdr>
        </w:div>
        <w:div w:id="1848447435">
          <w:marLeft w:val="0"/>
          <w:marRight w:val="0"/>
          <w:marTop w:val="0"/>
          <w:marBottom w:val="0"/>
          <w:divBdr>
            <w:top w:val="none" w:sz="0" w:space="0" w:color="auto"/>
            <w:left w:val="none" w:sz="0" w:space="0" w:color="auto"/>
            <w:bottom w:val="none" w:sz="0" w:space="0" w:color="auto"/>
            <w:right w:val="none" w:sz="0" w:space="0" w:color="auto"/>
          </w:divBdr>
        </w:div>
        <w:div w:id="916937777">
          <w:marLeft w:val="0"/>
          <w:marRight w:val="0"/>
          <w:marTop w:val="0"/>
          <w:marBottom w:val="0"/>
          <w:divBdr>
            <w:top w:val="none" w:sz="0" w:space="0" w:color="auto"/>
            <w:left w:val="none" w:sz="0" w:space="0" w:color="auto"/>
            <w:bottom w:val="none" w:sz="0" w:space="0" w:color="auto"/>
            <w:right w:val="none" w:sz="0" w:space="0" w:color="auto"/>
          </w:divBdr>
        </w:div>
        <w:div w:id="1674457969">
          <w:marLeft w:val="0"/>
          <w:marRight w:val="0"/>
          <w:marTop w:val="0"/>
          <w:marBottom w:val="0"/>
          <w:divBdr>
            <w:top w:val="none" w:sz="0" w:space="0" w:color="auto"/>
            <w:left w:val="none" w:sz="0" w:space="0" w:color="auto"/>
            <w:bottom w:val="none" w:sz="0" w:space="0" w:color="auto"/>
            <w:right w:val="none" w:sz="0" w:space="0" w:color="auto"/>
          </w:divBdr>
        </w:div>
        <w:div w:id="484125159">
          <w:marLeft w:val="0"/>
          <w:marRight w:val="0"/>
          <w:marTop w:val="0"/>
          <w:marBottom w:val="0"/>
          <w:divBdr>
            <w:top w:val="none" w:sz="0" w:space="0" w:color="auto"/>
            <w:left w:val="none" w:sz="0" w:space="0" w:color="auto"/>
            <w:bottom w:val="none" w:sz="0" w:space="0" w:color="auto"/>
            <w:right w:val="none" w:sz="0" w:space="0" w:color="auto"/>
          </w:divBdr>
        </w:div>
        <w:div w:id="705447108">
          <w:marLeft w:val="0"/>
          <w:marRight w:val="0"/>
          <w:marTop w:val="0"/>
          <w:marBottom w:val="0"/>
          <w:divBdr>
            <w:top w:val="none" w:sz="0" w:space="0" w:color="auto"/>
            <w:left w:val="none" w:sz="0" w:space="0" w:color="auto"/>
            <w:bottom w:val="none" w:sz="0" w:space="0" w:color="auto"/>
            <w:right w:val="none" w:sz="0" w:space="0" w:color="auto"/>
          </w:divBdr>
        </w:div>
        <w:div w:id="1004168310">
          <w:marLeft w:val="0"/>
          <w:marRight w:val="0"/>
          <w:marTop w:val="0"/>
          <w:marBottom w:val="0"/>
          <w:divBdr>
            <w:top w:val="none" w:sz="0" w:space="0" w:color="auto"/>
            <w:left w:val="none" w:sz="0" w:space="0" w:color="auto"/>
            <w:bottom w:val="none" w:sz="0" w:space="0" w:color="auto"/>
            <w:right w:val="none" w:sz="0" w:space="0" w:color="auto"/>
          </w:divBdr>
        </w:div>
        <w:div w:id="372509060">
          <w:marLeft w:val="0"/>
          <w:marRight w:val="0"/>
          <w:marTop w:val="0"/>
          <w:marBottom w:val="0"/>
          <w:divBdr>
            <w:top w:val="none" w:sz="0" w:space="0" w:color="auto"/>
            <w:left w:val="none" w:sz="0" w:space="0" w:color="auto"/>
            <w:bottom w:val="none" w:sz="0" w:space="0" w:color="auto"/>
            <w:right w:val="none" w:sz="0" w:space="0" w:color="auto"/>
          </w:divBdr>
        </w:div>
        <w:div w:id="679551677">
          <w:marLeft w:val="0"/>
          <w:marRight w:val="0"/>
          <w:marTop w:val="0"/>
          <w:marBottom w:val="0"/>
          <w:divBdr>
            <w:top w:val="none" w:sz="0" w:space="0" w:color="auto"/>
            <w:left w:val="none" w:sz="0" w:space="0" w:color="auto"/>
            <w:bottom w:val="none" w:sz="0" w:space="0" w:color="auto"/>
            <w:right w:val="none" w:sz="0" w:space="0" w:color="auto"/>
          </w:divBdr>
        </w:div>
        <w:div w:id="1047871315">
          <w:marLeft w:val="0"/>
          <w:marRight w:val="0"/>
          <w:marTop w:val="0"/>
          <w:marBottom w:val="0"/>
          <w:divBdr>
            <w:top w:val="none" w:sz="0" w:space="0" w:color="auto"/>
            <w:left w:val="none" w:sz="0" w:space="0" w:color="auto"/>
            <w:bottom w:val="none" w:sz="0" w:space="0" w:color="auto"/>
            <w:right w:val="none" w:sz="0" w:space="0" w:color="auto"/>
          </w:divBdr>
        </w:div>
        <w:div w:id="2020233540">
          <w:marLeft w:val="0"/>
          <w:marRight w:val="0"/>
          <w:marTop w:val="0"/>
          <w:marBottom w:val="0"/>
          <w:divBdr>
            <w:top w:val="none" w:sz="0" w:space="0" w:color="auto"/>
            <w:left w:val="none" w:sz="0" w:space="0" w:color="auto"/>
            <w:bottom w:val="none" w:sz="0" w:space="0" w:color="auto"/>
            <w:right w:val="none" w:sz="0" w:space="0" w:color="auto"/>
          </w:divBdr>
        </w:div>
        <w:div w:id="742945510">
          <w:marLeft w:val="0"/>
          <w:marRight w:val="0"/>
          <w:marTop w:val="0"/>
          <w:marBottom w:val="0"/>
          <w:divBdr>
            <w:top w:val="none" w:sz="0" w:space="0" w:color="auto"/>
            <w:left w:val="none" w:sz="0" w:space="0" w:color="auto"/>
            <w:bottom w:val="none" w:sz="0" w:space="0" w:color="auto"/>
            <w:right w:val="none" w:sz="0" w:space="0" w:color="auto"/>
          </w:divBdr>
        </w:div>
        <w:div w:id="2038965501">
          <w:marLeft w:val="0"/>
          <w:marRight w:val="0"/>
          <w:marTop w:val="0"/>
          <w:marBottom w:val="0"/>
          <w:divBdr>
            <w:top w:val="none" w:sz="0" w:space="0" w:color="auto"/>
            <w:left w:val="none" w:sz="0" w:space="0" w:color="auto"/>
            <w:bottom w:val="none" w:sz="0" w:space="0" w:color="auto"/>
            <w:right w:val="none" w:sz="0" w:space="0" w:color="auto"/>
          </w:divBdr>
        </w:div>
        <w:div w:id="1012224328">
          <w:marLeft w:val="0"/>
          <w:marRight w:val="0"/>
          <w:marTop w:val="0"/>
          <w:marBottom w:val="0"/>
          <w:divBdr>
            <w:top w:val="none" w:sz="0" w:space="0" w:color="auto"/>
            <w:left w:val="none" w:sz="0" w:space="0" w:color="auto"/>
            <w:bottom w:val="none" w:sz="0" w:space="0" w:color="auto"/>
            <w:right w:val="none" w:sz="0" w:space="0" w:color="auto"/>
          </w:divBdr>
          <w:divsChild>
            <w:div w:id="686827361">
              <w:marLeft w:val="0"/>
              <w:marRight w:val="0"/>
              <w:marTop w:val="0"/>
              <w:marBottom w:val="0"/>
              <w:divBdr>
                <w:top w:val="none" w:sz="0" w:space="0" w:color="auto"/>
                <w:left w:val="none" w:sz="0" w:space="0" w:color="auto"/>
                <w:bottom w:val="none" w:sz="0" w:space="0" w:color="auto"/>
                <w:right w:val="none" w:sz="0" w:space="0" w:color="auto"/>
              </w:divBdr>
              <w:divsChild>
                <w:div w:id="117652698">
                  <w:marLeft w:val="0"/>
                  <w:marRight w:val="0"/>
                  <w:marTop w:val="0"/>
                  <w:marBottom w:val="0"/>
                  <w:divBdr>
                    <w:top w:val="none" w:sz="0" w:space="0" w:color="auto"/>
                    <w:left w:val="none" w:sz="0" w:space="0" w:color="auto"/>
                    <w:bottom w:val="none" w:sz="0" w:space="0" w:color="auto"/>
                    <w:right w:val="none" w:sz="0" w:space="0" w:color="auto"/>
                  </w:divBdr>
                  <w:divsChild>
                    <w:div w:id="34623607">
                      <w:marLeft w:val="0"/>
                      <w:marRight w:val="0"/>
                      <w:marTop w:val="0"/>
                      <w:marBottom w:val="0"/>
                      <w:divBdr>
                        <w:top w:val="none" w:sz="0" w:space="0" w:color="auto"/>
                        <w:left w:val="none" w:sz="0" w:space="0" w:color="auto"/>
                        <w:bottom w:val="none" w:sz="0" w:space="0" w:color="auto"/>
                        <w:right w:val="none" w:sz="0" w:space="0" w:color="auto"/>
                      </w:divBdr>
                    </w:div>
                  </w:divsChild>
                </w:div>
                <w:div w:id="566578290">
                  <w:marLeft w:val="0"/>
                  <w:marRight w:val="0"/>
                  <w:marTop w:val="0"/>
                  <w:marBottom w:val="0"/>
                  <w:divBdr>
                    <w:top w:val="none" w:sz="0" w:space="0" w:color="auto"/>
                    <w:left w:val="none" w:sz="0" w:space="0" w:color="auto"/>
                    <w:bottom w:val="none" w:sz="0" w:space="0" w:color="auto"/>
                    <w:right w:val="none" w:sz="0" w:space="0" w:color="auto"/>
                  </w:divBdr>
                  <w:divsChild>
                    <w:div w:id="116996351">
                      <w:marLeft w:val="0"/>
                      <w:marRight w:val="0"/>
                      <w:marTop w:val="0"/>
                      <w:marBottom w:val="0"/>
                      <w:divBdr>
                        <w:top w:val="none" w:sz="0" w:space="0" w:color="auto"/>
                        <w:left w:val="none" w:sz="0" w:space="0" w:color="auto"/>
                        <w:bottom w:val="none" w:sz="0" w:space="0" w:color="auto"/>
                        <w:right w:val="none" w:sz="0" w:space="0" w:color="auto"/>
                      </w:divBdr>
                    </w:div>
                  </w:divsChild>
                </w:div>
                <w:div w:id="1908762848">
                  <w:marLeft w:val="0"/>
                  <w:marRight w:val="0"/>
                  <w:marTop w:val="0"/>
                  <w:marBottom w:val="0"/>
                  <w:divBdr>
                    <w:top w:val="none" w:sz="0" w:space="0" w:color="auto"/>
                    <w:left w:val="none" w:sz="0" w:space="0" w:color="auto"/>
                    <w:bottom w:val="none" w:sz="0" w:space="0" w:color="auto"/>
                    <w:right w:val="none" w:sz="0" w:space="0" w:color="auto"/>
                  </w:divBdr>
                  <w:divsChild>
                    <w:div w:id="1426654488">
                      <w:marLeft w:val="0"/>
                      <w:marRight w:val="0"/>
                      <w:marTop w:val="0"/>
                      <w:marBottom w:val="0"/>
                      <w:divBdr>
                        <w:top w:val="none" w:sz="0" w:space="0" w:color="auto"/>
                        <w:left w:val="none" w:sz="0" w:space="0" w:color="auto"/>
                        <w:bottom w:val="none" w:sz="0" w:space="0" w:color="auto"/>
                        <w:right w:val="none" w:sz="0" w:space="0" w:color="auto"/>
                      </w:divBdr>
                    </w:div>
                  </w:divsChild>
                </w:div>
                <w:div w:id="1708875873">
                  <w:marLeft w:val="0"/>
                  <w:marRight w:val="0"/>
                  <w:marTop w:val="0"/>
                  <w:marBottom w:val="0"/>
                  <w:divBdr>
                    <w:top w:val="none" w:sz="0" w:space="0" w:color="auto"/>
                    <w:left w:val="none" w:sz="0" w:space="0" w:color="auto"/>
                    <w:bottom w:val="none" w:sz="0" w:space="0" w:color="auto"/>
                    <w:right w:val="none" w:sz="0" w:space="0" w:color="auto"/>
                  </w:divBdr>
                  <w:divsChild>
                    <w:div w:id="329021995">
                      <w:marLeft w:val="0"/>
                      <w:marRight w:val="0"/>
                      <w:marTop w:val="0"/>
                      <w:marBottom w:val="0"/>
                      <w:divBdr>
                        <w:top w:val="none" w:sz="0" w:space="0" w:color="auto"/>
                        <w:left w:val="none" w:sz="0" w:space="0" w:color="auto"/>
                        <w:bottom w:val="none" w:sz="0" w:space="0" w:color="auto"/>
                        <w:right w:val="none" w:sz="0" w:space="0" w:color="auto"/>
                      </w:divBdr>
                    </w:div>
                  </w:divsChild>
                </w:div>
                <w:div w:id="218176662">
                  <w:marLeft w:val="0"/>
                  <w:marRight w:val="0"/>
                  <w:marTop w:val="0"/>
                  <w:marBottom w:val="0"/>
                  <w:divBdr>
                    <w:top w:val="none" w:sz="0" w:space="0" w:color="auto"/>
                    <w:left w:val="none" w:sz="0" w:space="0" w:color="auto"/>
                    <w:bottom w:val="none" w:sz="0" w:space="0" w:color="auto"/>
                    <w:right w:val="none" w:sz="0" w:space="0" w:color="auto"/>
                  </w:divBdr>
                  <w:divsChild>
                    <w:div w:id="396129696">
                      <w:marLeft w:val="0"/>
                      <w:marRight w:val="0"/>
                      <w:marTop w:val="0"/>
                      <w:marBottom w:val="0"/>
                      <w:divBdr>
                        <w:top w:val="none" w:sz="0" w:space="0" w:color="auto"/>
                        <w:left w:val="none" w:sz="0" w:space="0" w:color="auto"/>
                        <w:bottom w:val="none" w:sz="0" w:space="0" w:color="auto"/>
                        <w:right w:val="none" w:sz="0" w:space="0" w:color="auto"/>
                      </w:divBdr>
                    </w:div>
                    <w:div w:id="741871469">
                      <w:marLeft w:val="0"/>
                      <w:marRight w:val="0"/>
                      <w:marTop w:val="0"/>
                      <w:marBottom w:val="0"/>
                      <w:divBdr>
                        <w:top w:val="none" w:sz="0" w:space="0" w:color="auto"/>
                        <w:left w:val="none" w:sz="0" w:space="0" w:color="auto"/>
                        <w:bottom w:val="none" w:sz="0" w:space="0" w:color="auto"/>
                        <w:right w:val="none" w:sz="0" w:space="0" w:color="auto"/>
                      </w:divBdr>
                    </w:div>
                    <w:div w:id="1539928532">
                      <w:marLeft w:val="0"/>
                      <w:marRight w:val="0"/>
                      <w:marTop w:val="0"/>
                      <w:marBottom w:val="0"/>
                      <w:divBdr>
                        <w:top w:val="none" w:sz="0" w:space="0" w:color="auto"/>
                        <w:left w:val="none" w:sz="0" w:space="0" w:color="auto"/>
                        <w:bottom w:val="none" w:sz="0" w:space="0" w:color="auto"/>
                        <w:right w:val="none" w:sz="0" w:space="0" w:color="auto"/>
                      </w:divBdr>
                    </w:div>
                  </w:divsChild>
                </w:div>
                <w:div w:id="1778059556">
                  <w:marLeft w:val="0"/>
                  <w:marRight w:val="0"/>
                  <w:marTop w:val="0"/>
                  <w:marBottom w:val="0"/>
                  <w:divBdr>
                    <w:top w:val="none" w:sz="0" w:space="0" w:color="auto"/>
                    <w:left w:val="none" w:sz="0" w:space="0" w:color="auto"/>
                    <w:bottom w:val="none" w:sz="0" w:space="0" w:color="auto"/>
                    <w:right w:val="none" w:sz="0" w:space="0" w:color="auto"/>
                  </w:divBdr>
                  <w:divsChild>
                    <w:div w:id="914777294">
                      <w:marLeft w:val="0"/>
                      <w:marRight w:val="0"/>
                      <w:marTop w:val="0"/>
                      <w:marBottom w:val="0"/>
                      <w:divBdr>
                        <w:top w:val="none" w:sz="0" w:space="0" w:color="auto"/>
                        <w:left w:val="none" w:sz="0" w:space="0" w:color="auto"/>
                        <w:bottom w:val="none" w:sz="0" w:space="0" w:color="auto"/>
                        <w:right w:val="none" w:sz="0" w:space="0" w:color="auto"/>
                      </w:divBdr>
                    </w:div>
                  </w:divsChild>
                </w:div>
                <w:div w:id="177042603">
                  <w:marLeft w:val="0"/>
                  <w:marRight w:val="0"/>
                  <w:marTop w:val="0"/>
                  <w:marBottom w:val="0"/>
                  <w:divBdr>
                    <w:top w:val="none" w:sz="0" w:space="0" w:color="auto"/>
                    <w:left w:val="none" w:sz="0" w:space="0" w:color="auto"/>
                    <w:bottom w:val="none" w:sz="0" w:space="0" w:color="auto"/>
                    <w:right w:val="none" w:sz="0" w:space="0" w:color="auto"/>
                  </w:divBdr>
                  <w:divsChild>
                    <w:div w:id="615451285">
                      <w:marLeft w:val="0"/>
                      <w:marRight w:val="0"/>
                      <w:marTop w:val="0"/>
                      <w:marBottom w:val="0"/>
                      <w:divBdr>
                        <w:top w:val="none" w:sz="0" w:space="0" w:color="auto"/>
                        <w:left w:val="none" w:sz="0" w:space="0" w:color="auto"/>
                        <w:bottom w:val="none" w:sz="0" w:space="0" w:color="auto"/>
                        <w:right w:val="none" w:sz="0" w:space="0" w:color="auto"/>
                      </w:divBdr>
                    </w:div>
                  </w:divsChild>
                </w:div>
                <w:div w:id="1429159471">
                  <w:marLeft w:val="0"/>
                  <w:marRight w:val="0"/>
                  <w:marTop w:val="0"/>
                  <w:marBottom w:val="0"/>
                  <w:divBdr>
                    <w:top w:val="none" w:sz="0" w:space="0" w:color="auto"/>
                    <w:left w:val="none" w:sz="0" w:space="0" w:color="auto"/>
                    <w:bottom w:val="none" w:sz="0" w:space="0" w:color="auto"/>
                    <w:right w:val="none" w:sz="0" w:space="0" w:color="auto"/>
                  </w:divBdr>
                  <w:divsChild>
                    <w:div w:id="1593079737">
                      <w:marLeft w:val="0"/>
                      <w:marRight w:val="0"/>
                      <w:marTop w:val="0"/>
                      <w:marBottom w:val="0"/>
                      <w:divBdr>
                        <w:top w:val="none" w:sz="0" w:space="0" w:color="auto"/>
                        <w:left w:val="none" w:sz="0" w:space="0" w:color="auto"/>
                        <w:bottom w:val="none" w:sz="0" w:space="0" w:color="auto"/>
                        <w:right w:val="none" w:sz="0" w:space="0" w:color="auto"/>
                      </w:divBdr>
                    </w:div>
                    <w:div w:id="695546989">
                      <w:marLeft w:val="0"/>
                      <w:marRight w:val="0"/>
                      <w:marTop w:val="0"/>
                      <w:marBottom w:val="0"/>
                      <w:divBdr>
                        <w:top w:val="none" w:sz="0" w:space="0" w:color="auto"/>
                        <w:left w:val="none" w:sz="0" w:space="0" w:color="auto"/>
                        <w:bottom w:val="none" w:sz="0" w:space="0" w:color="auto"/>
                        <w:right w:val="none" w:sz="0" w:space="0" w:color="auto"/>
                      </w:divBdr>
                    </w:div>
                  </w:divsChild>
                </w:div>
                <w:div w:id="740374624">
                  <w:marLeft w:val="0"/>
                  <w:marRight w:val="0"/>
                  <w:marTop w:val="0"/>
                  <w:marBottom w:val="0"/>
                  <w:divBdr>
                    <w:top w:val="none" w:sz="0" w:space="0" w:color="auto"/>
                    <w:left w:val="none" w:sz="0" w:space="0" w:color="auto"/>
                    <w:bottom w:val="none" w:sz="0" w:space="0" w:color="auto"/>
                    <w:right w:val="none" w:sz="0" w:space="0" w:color="auto"/>
                  </w:divBdr>
                  <w:divsChild>
                    <w:div w:id="611202743">
                      <w:marLeft w:val="0"/>
                      <w:marRight w:val="0"/>
                      <w:marTop w:val="0"/>
                      <w:marBottom w:val="0"/>
                      <w:divBdr>
                        <w:top w:val="none" w:sz="0" w:space="0" w:color="auto"/>
                        <w:left w:val="none" w:sz="0" w:space="0" w:color="auto"/>
                        <w:bottom w:val="none" w:sz="0" w:space="0" w:color="auto"/>
                        <w:right w:val="none" w:sz="0" w:space="0" w:color="auto"/>
                      </w:divBdr>
                    </w:div>
                  </w:divsChild>
                </w:div>
                <w:div w:id="1921525905">
                  <w:marLeft w:val="0"/>
                  <w:marRight w:val="0"/>
                  <w:marTop w:val="0"/>
                  <w:marBottom w:val="0"/>
                  <w:divBdr>
                    <w:top w:val="none" w:sz="0" w:space="0" w:color="auto"/>
                    <w:left w:val="none" w:sz="0" w:space="0" w:color="auto"/>
                    <w:bottom w:val="none" w:sz="0" w:space="0" w:color="auto"/>
                    <w:right w:val="none" w:sz="0" w:space="0" w:color="auto"/>
                  </w:divBdr>
                  <w:divsChild>
                    <w:div w:id="1378580988">
                      <w:marLeft w:val="0"/>
                      <w:marRight w:val="0"/>
                      <w:marTop w:val="0"/>
                      <w:marBottom w:val="0"/>
                      <w:divBdr>
                        <w:top w:val="none" w:sz="0" w:space="0" w:color="auto"/>
                        <w:left w:val="none" w:sz="0" w:space="0" w:color="auto"/>
                        <w:bottom w:val="none" w:sz="0" w:space="0" w:color="auto"/>
                        <w:right w:val="none" w:sz="0" w:space="0" w:color="auto"/>
                      </w:divBdr>
                    </w:div>
                  </w:divsChild>
                </w:div>
                <w:div w:id="628629263">
                  <w:marLeft w:val="0"/>
                  <w:marRight w:val="0"/>
                  <w:marTop w:val="0"/>
                  <w:marBottom w:val="0"/>
                  <w:divBdr>
                    <w:top w:val="none" w:sz="0" w:space="0" w:color="auto"/>
                    <w:left w:val="none" w:sz="0" w:space="0" w:color="auto"/>
                    <w:bottom w:val="none" w:sz="0" w:space="0" w:color="auto"/>
                    <w:right w:val="none" w:sz="0" w:space="0" w:color="auto"/>
                  </w:divBdr>
                  <w:divsChild>
                    <w:div w:id="1319655782">
                      <w:marLeft w:val="0"/>
                      <w:marRight w:val="0"/>
                      <w:marTop w:val="0"/>
                      <w:marBottom w:val="0"/>
                      <w:divBdr>
                        <w:top w:val="none" w:sz="0" w:space="0" w:color="auto"/>
                        <w:left w:val="none" w:sz="0" w:space="0" w:color="auto"/>
                        <w:bottom w:val="none" w:sz="0" w:space="0" w:color="auto"/>
                        <w:right w:val="none" w:sz="0" w:space="0" w:color="auto"/>
                      </w:divBdr>
                    </w:div>
                    <w:div w:id="1173030607">
                      <w:marLeft w:val="0"/>
                      <w:marRight w:val="0"/>
                      <w:marTop w:val="0"/>
                      <w:marBottom w:val="0"/>
                      <w:divBdr>
                        <w:top w:val="none" w:sz="0" w:space="0" w:color="auto"/>
                        <w:left w:val="none" w:sz="0" w:space="0" w:color="auto"/>
                        <w:bottom w:val="none" w:sz="0" w:space="0" w:color="auto"/>
                        <w:right w:val="none" w:sz="0" w:space="0" w:color="auto"/>
                      </w:divBdr>
                    </w:div>
                    <w:div w:id="1316757607">
                      <w:marLeft w:val="0"/>
                      <w:marRight w:val="0"/>
                      <w:marTop w:val="0"/>
                      <w:marBottom w:val="0"/>
                      <w:divBdr>
                        <w:top w:val="none" w:sz="0" w:space="0" w:color="auto"/>
                        <w:left w:val="none" w:sz="0" w:space="0" w:color="auto"/>
                        <w:bottom w:val="none" w:sz="0" w:space="0" w:color="auto"/>
                        <w:right w:val="none" w:sz="0" w:space="0" w:color="auto"/>
                      </w:divBdr>
                    </w:div>
                  </w:divsChild>
                </w:div>
                <w:div w:id="2034959084">
                  <w:marLeft w:val="0"/>
                  <w:marRight w:val="0"/>
                  <w:marTop w:val="0"/>
                  <w:marBottom w:val="0"/>
                  <w:divBdr>
                    <w:top w:val="none" w:sz="0" w:space="0" w:color="auto"/>
                    <w:left w:val="none" w:sz="0" w:space="0" w:color="auto"/>
                    <w:bottom w:val="none" w:sz="0" w:space="0" w:color="auto"/>
                    <w:right w:val="none" w:sz="0" w:space="0" w:color="auto"/>
                  </w:divBdr>
                  <w:divsChild>
                    <w:div w:id="2268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1420">
          <w:marLeft w:val="0"/>
          <w:marRight w:val="0"/>
          <w:marTop w:val="0"/>
          <w:marBottom w:val="0"/>
          <w:divBdr>
            <w:top w:val="none" w:sz="0" w:space="0" w:color="auto"/>
            <w:left w:val="none" w:sz="0" w:space="0" w:color="auto"/>
            <w:bottom w:val="none" w:sz="0" w:space="0" w:color="auto"/>
            <w:right w:val="none" w:sz="0" w:space="0" w:color="auto"/>
          </w:divBdr>
        </w:div>
        <w:div w:id="1402633248">
          <w:marLeft w:val="0"/>
          <w:marRight w:val="0"/>
          <w:marTop w:val="0"/>
          <w:marBottom w:val="0"/>
          <w:divBdr>
            <w:top w:val="none" w:sz="0" w:space="0" w:color="auto"/>
            <w:left w:val="none" w:sz="0" w:space="0" w:color="auto"/>
            <w:bottom w:val="none" w:sz="0" w:space="0" w:color="auto"/>
            <w:right w:val="none" w:sz="0" w:space="0" w:color="auto"/>
          </w:divBdr>
        </w:div>
        <w:div w:id="300236875">
          <w:marLeft w:val="0"/>
          <w:marRight w:val="0"/>
          <w:marTop w:val="0"/>
          <w:marBottom w:val="0"/>
          <w:divBdr>
            <w:top w:val="none" w:sz="0" w:space="0" w:color="auto"/>
            <w:left w:val="none" w:sz="0" w:space="0" w:color="auto"/>
            <w:bottom w:val="none" w:sz="0" w:space="0" w:color="auto"/>
            <w:right w:val="none" w:sz="0" w:space="0" w:color="auto"/>
          </w:divBdr>
        </w:div>
        <w:div w:id="135030074">
          <w:marLeft w:val="0"/>
          <w:marRight w:val="0"/>
          <w:marTop w:val="0"/>
          <w:marBottom w:val="0"/>
          <w:divBdr>
            <w:top w:val="none" w:sz="0" w:space="0" w:color="auto"/>
            <w:left w:val="none" w:sz="0" w:space="0" w:color="auto"/>
            <w:bottom w:val="none" w:sz="0" w:space="0" w:color="auto"/>
            <w:right w:val="none" w:sz="0" w:space="0" w:color="auto"/>
          </w:divBdr>
        </w:div>
        <w:div w:id="207038156">
          <w:marLeft w:val="0"/>
          <w:marRight w:val="0"/>
          <w:marTop w:val="0"/>
          <w:marBottom w:val="0"/>
          <w:divBdr>
            <w:top w:val="none" w:sz="0" w:space="0" w:color="auto"/>
            <w:left w:val="none" w:sz="0" w:space="0" w:color="auto"/>
            <w:bottom w:val="none" w:sz="0" w:space="0" w:color="auto"/>
            <w:right w:val="none" w:sz="0" w:space="0" w:color="auto"/>
          </w:divBdr>
        </w:div>
        <w:div w:id="1933708543">
          <w:marLeft w:val="0"/>
          <w:marRight w:val="0"/>
          <w:marTop w:val="0"/>
          <w:marBottom w:val="0"/>
          <w:divBdr>
            <w:top w:val="none" w:sz="0" w:space="0" w:color="auto"/>
            <w:left w:val="none" w:sz="0" w:space="0" w:color="auto"/>
            <w:bottom w:val="none" w:sz="0" w:space="0" w:color="auto"/>
            <w:right w:val="none" w:sz="0" w:space="0" w:color="auto"/>
          </w:divBdr>
        </w:div>
        <w:div w:id="273246002">
          <w:marLeft w:val="0"/>
          <w:marRight w:val="0"/>
          <w:marTop w:val="0"/>
          <w:marBottom w:val="0"/>
          <w:divBdr>
            <w:top w:val="none" w:sz="0" w:space="0" w:color="auto"/>
            <w:left w:val="none" w:sz="0" w:space="0" w:color="auto"/>
            <w:bottom w:val="none" w:sz="0" w:space="0" w:color="auto"/>
            <w:right w:val="none" w:sz="0" w:space="0" w:color="auto"/>
          </w:divBdr>
        </w:div>
        <w:div w:id="332342024">
          <w:marLeft w:val="0"/>
          <w:marRight w:val="0"/>
          <w:marTop w:val="0"/>
          <w:marBottom w:val="0"/>
          <w:divBdr>
            <w:top w:val="none" w:sz="0" w:space="0" w:color="auto"/>
            <w:left w:val="none" w:sz="0" w:space="0" w:color="auto"/>
            <w:bottom w:val="none" w:sz="0" w:space="0" w:color="auto"/>
            <w:right w:val="none" w:sz="0" w:space="0" w:color="auto"/>
          </w:divBdr>
        </w:div>
        <w:div w:id="2030905583">
          <w:marLeft w:val="0"/>
          <w:marRight w:val="0"/>
          <w:marTop w:val="0"/>
          <w:marBottom w:val="0"/>
          <w:divBdr>
            <w:top w:val="none" w:sz="0" w:space="0" w:color="auto"/>
            <w:left w:val="none" w:sz="0" w:space="0" w:color="auto"/>
            <w:bottom w:val="none" w:sz="0" w:space="0" w:color="auto"/>
            <w:right w:val="none" w:sz="0" w:space="0" w:color="auto"/>
          </w:divBdr>
        </w:div>
        <w:div w:id="1930963883">
          <w:marLeft w:val="0"/>
          <w:marRight w:val="0"/>
          <w:marTop w:val="0"/>
          <w:marBottom w:val="0"/>
          <w:divBdr>
            <w:top w:val="none" w:sz="0" w:space="0" w:color="auto"/>
            <w:left w:val="none" w:sz="0" w:space="0" w:color="auto"/>
            <w:bottom w:val="none" w:sz="0" w:space="0" w:color="auto"/>
            <w:right w:val="none" w:sz="0" w:space="0" w:color="auto"/>
          </w:divBdr>
        </w:div>
        <w:div w:id="1263103244">
          <w:marLeft w:val="0"/>
          <w:marRight w:val="0"/>
          <w:marTop w:val="0"/>
          <w:marBottom w:val="0"/>
          <w:divBdr>
            <w:top w:val="none" w:sz="0" w:space="0" w:color="auto"/>
            <w:left w:val="none" w:sz="0" w:space="0" w:color="auto"/>
            <w:bottom w:val="none" w:sz="0" w:space="0" w:color="auto"/>
            <w:right w:val="none" w:sz="0" w:space="0" w:color="auto"/>
          </w:divBdr>
        </w:div>
        <w:div w:id="219172440">
          <w:marLeft w:val="0"/>
          <w:marRight w:val="0"/>
          <w:marTop w:val="0"/>
          <w:marBottom w:val="0"/>
          <w:divBdr>
            <w:top w:val="none" w:sz="0" w:space="0" w:color="auto"/>
            <w:left w:val="none" w:sz="0" w:space="0" w:color="auto"/>
            <w:bottom w:val="none" w:sz="0" w:space="0" w:color="auto"/>
            <w:right w:val="none" w:sz="0" w:space="0" w:color="auto"/>
          </w:divBdr>
        </w:div>
        <w:div w:id="838932902">
          <w:marLeft w:val="0"/>
          <w:marRight w:val="0"/>
          <w:marTop w:val="0"/>
          <w:marBottom w:val="0"/>
          <w:divBdr>
            <w:top w:val="none" w:sz="0" w:space="0" w:color="auto"/>
            <w:left w:val="none" w:sz="0" w:space="0" w:color="auto"/>
            <w:bottom w:val="none" w:sz="0" w:space="0" w:color="auto"/>
            <w:right w:val="none" w:sz="0" w:space="0" w:color="auto"/>
          </w:divBdr>
        </w:div>
        <w:div w:id="1958562376">
          <w:marLeft w:val="0"/>
          <w:marRight w:val="0"/>
          <w:marTop w:val="0"/>
          <w:marBottom w:val="0"/>
          <w:divBdr>
            <w:top w:val="none" w:sz="0" w:space="0" w:color="auto"/>
            <w:left w:val="none" w:sz="0" w:space="0" w:color="auto"/>
            <w:bottom w:val="none" w:sz="0" w:space="0" w:color="auto"/>
            <w:right w:val="none" w:sz="0" w:space="0" w:color="auto"/>
          </w:divBdr>
        </w:div>
        <w:div w:id="1181507573">
          <w:marLeft w:val="0"/>
          <w:marRight w:val="0"/>
          <w:marTop w:val="0"/>
          <w:marBottom w:val="0"/>
          <w:divBdr>
            <w:top w:val="none" w:sz="0" w:space="0" w:color="auto"/>
            <w:left w:val="none" w:sz="0" w:space="0" w:color="auto"/>
            <w:bottom w:val="none" w:sz="0" w:space="0" w:color="auto"/>
            <w:right w:val="none" w:sz="0" w:space="0" w:color="auto"/>
          </w:divBdr>
        </w:div>
        <w:div w:id="1750686808">
          <w:marLeft w:val="0"/>
          <w:marRight w:val="0"/>
          <w:marTop w:val="0"/>
          <w:marBottom w:val="0"/>
          <w:divBdr>
            <w:top w:val="none" w:sz="0" w:space="0" w:color="auto"/>
            <w:left w:val="none" w:sz="0" w:space="0" w:color="auto"/>
            <w:bottom w:val="none" w:sz="0" w:space="0" w:color="auto"/>
            <w:right w:val="none" w:sz="0" w:space="0" w:color="auto"/>
          </w:divBdr>
        </w:div>
        <w:div w:id="825904265">
          <w:marLeft w:val="0"/>
          <w:marRight w:val="0"/>
          <w:marTop w:val="0"/>
          <w:marBottom w:val="0"/>
          <w:divBdr>
            <w:top w:val="none" w:sz="0" w:space="0" w:color="auto"/>
            <w:left w:val="none" w:sz="0" w:space="0" w:color="auto"/>
            <w:bottom w:val="none" w:sz="0" w:space="0" w:color="auto"/>
            <w:right w:val="none" w:sz="0" w:space="0" w:color="auto"/>
          </w:divBdr>
        </w:div>
        <w:div w:id="1183125003">
          <w:marLeft w:val="0"/>
          <w:marRight w:val="0"/>
          <w:marTop w:val="0"/>
          <w:marBottom w:val="0"/>
          <w:divBdr>
            <w:top w:val="none" w:sz="0" w:space="0" w:color="auto"/>
            <w:left w:val="none" w:sz="0" w:space="0" w:color="auto"/>
            <w:bottom w:val="none" w:sz="0" w:space="0" w:color="auto"/>
            <w:right w:val="none" w:sz="0" w:space="0" w:color="auto"/>
          </w:divBdr>
        </w:div>
        <w:div w:id="1238906198">
          <w:marLeft w:val="0"/>
          <w:marRight w:val="0"/>
          <w:marTop w:val="0"/>
          <w:marBottom w:val="0"/>
          <w:divBdr>
            <w:top w:val="none" w:sz="0" w:space="0" w:color="auto"/>
            <w:left w:val="none" w:sz="0" w:space="0" w:color="auto"/>
            <w:bottom w:val="none" w:sz="0" w:space="0" w:color="auto"/>
            <w:right w:val="none" w:sz="0" w:space="0" w:color="auto"/>
          </w:divBdr>
        </w:div>
        <w:div w:id="907955060">
          <w:marLeft w:val="0"/>
          <w:marRight w:val="0"/>
          <w:marTop w:val="0"/>
          <w:marBottom w:val="0"/>
          <w:divBdr>
            <w:top w:val="none" w:sz="0" w:space="0" w:color="auto"/>
            <w:left w:val="none" w:sz="0" w:space="0" w:color="auto"/>
            <w:bottom w:val="none" w:sz="0" w:space="0" w:color="auto"/>
            <w:right w:val="none" w:sz="0" w:space="0" w:color="auto"/>
          </w:divBdr>
        </w:div>
        <w:div w:id="751389349">
          <w:marLeft w:val="0"/>
          <w:marRight w:val="0"/>
          <w:marTop w:val="0"/>
          <w:marBottom w:val="0"/>
          <w:divBdr>
            <w:top w:val="none" w:sz="0" w:space="0" w:color="auto"/>
            <w:left w:val="none" w:sz="0" w:space="0" w:color="auto"/>
            <w:bottom w:val="none" w:sz="0" w:space="0" w:color="auto"/>
            <w:right w:val="none" w:sz="0" w:space="0" w:color="auto"/>
          </w:divBdr>
        </w:div>
        <w:div w:id="1091662571">
          <w:marLeft w:val="0"/>
          <w:marRight w:val="0"/>
          <w:marTop w:val="0"/>
          <w:marBottom w:val="0"/>
          <w:divBdr>
            <w:top w:val="none" w:sz="0" w:space="0" w:color="auto"/>
            <w:left w:val="none" w:sz="0" w:space="0" w:color="auto"/>
            <w:bottom w:val="none" w:sz="0" w:space="0" w:color="auto"/>
            <w:right w:val="none" w:sz="0" w:space="0" w:color="auto"/>
          </w:divBdr>
        </w:div>
        <w:div w:id="1123232351">
          <w:marLeft w:val="0"/>
          <w:marRight w:val="0"/>
          <w:marTop w:val="0"/>
          <w:marBottom w:val="0"/>
          <w:divBdr>
            <w:top w:val="none" w:sz="0" w:space="0" w:color="auto"/>
            <w:left w:val="none" w:sz="0" w:space="0" w:color="auto"/>
            <w:bottom w:val="none" w:sz="0" w:space="0" w:color="auto"/>
            <w:right w:val="none" w:sz="0" w:space="0" w:color="auto"/>
          </w:divBdr>
        </w:div>
        <w:div w:id="614482192">
          <w:marLeft w:val="0"/>
          <w:marRight w:val="0"/>
          <w:marTop w:val="0"/>
          <w:marBottom w:val="0"/>
          <w:divBdr>
            <w:top w:val="none" w:sz="0" w:space="0" w:color="auto"/>
            <w:left w:val="none" w:sz="0" w:space="0" w:color="auto"/>
            <w:bottom w:val="none" w:sz="0" w:space="0" w:color="auto"/>
            <w:right w:val="none" w:sz="0" w:space="0" w:color="auto"/>
          </w:divBdr>
        </w:div>
        <w:div w:id="754858339">
          <w:marLeft w:val="0"/>
          <w:marRight w:val="0"/>
          <w:marTop w:val="0"/>
          <w:marBottom w:val="0"/>
          <w:divBdr>
            <w:top w:val="none" w:sz="0" w:space="0" w:color="auto"/>
            <w:left w:val="none" w:sz="0" w:space="0" w:color="auto"/>
            <w:bottom w:val="none" w:sz="0" w:space="0" w:color="auto"/>
            <w:right w:val="none" w:sz="0" w:space="0" w:color="auto"/>
          </w:divBdr>
        </w:div>
        <w:div w:id="409547905">
          <w:marLeft w:val="0"/>
          <w:marRight w:val="0"/>
          <w:marTop w:val="0"/>
          <w:marBottom w:val="0"/>
          <w:divBdr>
            <w:top w:val="none" w:sz="0" w:space="0" w:color="auto"/>
            <w:left w:val="none" w:sz="0" w:space="0" w:color="auto"/>
            <w:bottom w:val="none" w:sz="0" w:space="0" w:color="auto"/>
            <w:right w:val="none" w:sz="0" w:space="0" w:color="auto"/>
          </w:divBdr>
        </w:div>
        <w:div w:id="1376274077">
          <w:marLeft w:val="0"/>
          <w:marRight w:val="0"/>
          <w:marTop w:val="0"/>
          <w:marBottom w:val="0"/>
          <w:divBdr>
            <w:top w:val="none" w:sz="0" w:space="0" w:color="auto"/>
            <w:left w:val="none" w:sz="0" w:space="0" w:color="auto"/>
            <w:bottom w:val="none" w:sz="0" w:space="0" w:color="auto"/>
            <w:right w:val="none" w:sz="0" w:space="0" w:color="auto"/>
          </w:divBdr>
        </w:div>
        <w:div w:id="2139640339">
          <w:marLeft w:val="0"/>
          <w:marRight w:val="0"/>
          <w:marTop w:val="0"/>
          <w:marBottom w:val="0"/>
          <w:divBdr>
            <w:top w:val="none" w:sz="0" w:space="0" w:color="auto"/>
            <w:left w:val="none" w:sz="0" w:space="0" w:color="auto"/>
            <w:bottom w:val="none" w:sz="0" w:space="0" w:color="auto"/>
            <w:right w:val="none" w:sz="0" w:space="0" w:color="auto"/>
          </w:divBdr>
        </w:div>
        <w:div w:id="1025641098">
          <w:marLeft w:val="0"/>
          <w:marRight w:val="0"/>
          <w:marTop w:val="0"/>
          <w:marBottom w:val="0"/>
          <w:divBdr>
            <w:top w:val="none" w:sz="0" w:space="0" w:color="auto"/>
            <w:left w:val="none" w:sz="0" w:space="0" w:color="auto"/>
            <w:bottom w:val="none" w:sz="0" w:space="0" w:color="auto"/>
            <w:right w:val="none" w:sz="0" w:space="0" w:color="auto"/>
          </w:divBdr>
        </w:div>
        <w:div w:id="1473980734">
          <w:marLeft w:val="0"/>
          <w:marRight w:val="0"/>
          <w:marTop w:val="0"/>
          <w:marBottom w:val="0"/>
          <w:divBdr>
            <w:top w:val="none" w:sz="0" w:space="0" w:color="auto"/>
            <w:left w:val="none" w:sz="0" w:space="0" w:color="auto"/>
            <w:bottom w:val="none" w:sz="0" w:space="0" w:color="auto"/>
            <w:right w:val="none" w:sz="0" w:space="0" w:color="auto"/>
          </w:divBdr>
        </w:div>
        <w:div w:id="977304090">
          <w:marLeft w:val="0"/>
          <w:marRight w:val="0"/>
          <w:marTop w:val="0"/>
          <w:marBottom w:val="0"/>
          <w:divBdr>
            <w:top w:val="none" w:sz="0" w:space="0" w:color="auto"/>
            <w:left w:val="none" w:sz="0" w:space="0" w:color="auto"/>
            <w:bottom w:val="none" w:sz="0" w:space="0" w:color="auto"/>
            <w:right w:val="none" w:sz="0" w:space="0" w:color="auto"/>
          </w:divBdr>
        </w:div>
        <w:div w:id="1465613077">
          <w:marLeft w:val="0"/>
          <w:marRight w:val="0"/>
          <w:marTop w:val="0"/>
          <w:marBottom w:val="0"/>
          <w:divBdr>
            <w:top w:val="none" w:sz="0" w:space="0" w:color="auto"/>
            <w:left w:val="none" w:sz="0" w:space="0" w:color="auto"/>
            <w:bottom w:val="none" w:sz="0" w:space="0" w:color="auto"/>
            <w:right w:val="none" w:sz="0" w:space="0" w:color="auto"/>
          </w:divBdr>
        </w:div>
        <w:div w:id="174422480">
          <w:marLeft w:val="0"/>
          <w:marRight w:val="0"/>
          <w:marTop w:val="0"/>
          <w:marBottom w:val="0"/>
          <w:divBdr>
            <w:top w:val="none" w:sz="0" w:space="0" w:color="auto"/>
            <w:left w:val="none" w:sz="0" w:space="0" w:color="auto"/>
            <w:bottom w:val="none" w:sz="0" w:space="0" w:color="auto"/>
            <w:right w:val="none" w:sz="0" w:space="0" w:color="auto"/>
          </w:divBdr>
        </w:div>
        <w:div w:id="1150053665">
          <w:marLeft w:val="0"/>
          <w:marRight w:val="0"/>
          <w:marTop w:val="0"/>
          <w:marBottom w:val="0"/>
          <w:divBdr>
            <w:top w:val="none" w:sz="0" w:space="0" w:color="auto"/>
            <w:left w:val="none" w:sz="0" w:space="0" w:color="auto"/>
            <w:bottom w:val="none" w:sz="0" w:space="0" w:color="auto"/>
            <w:right w:val="none" w:sz="0" w:space="0" w:color="auto"/>
          </w:divBdr>
        </w:div>
        <w:div w:id="832915712">
          <w:marLeft w:val="0"/>
          <w:marRight w:val="0"/>
          <w:marTop w:val="0"/>
          <w:marBottom w:val="0"/>
          <w:divBdr>
            <w:top w:val="none" w:sz="0" w:space="0" w:color="auto"/>
            <w:left w:val="none" w:sz="0" w:space="0" w:color="auto"/>
            <w:bottom w:val="none" w:sz="0" w:space="0" w:color="auto"/>
            <w:right w:val="none" w:sz="0" w:space="0" w:color="auto"/>
          </w:divBdr>
        </w:div>
        <w:div w:id="570773776">
          <w:marLeft w:val="0"/>
          <w:marRight w:val="0"/>
          <w:marTop w:val="0"/>
          <w:marBottom w:val="0"/>
          <w:divBdr>
            <w:top w:val="none" w:sz="0" w:space="0" w:color="auto"/>
            <w:left w:val="none" w:sz="0" w:space="0" w:color="auto"/>
            <w:bottom w:val="none" w:sz="0" w:space="0" w:color="auto"/>
            <w:right w:val="none" w:sz="0" w:space="0" w:color="auto"/>
          </w:divBdr>
        </w:div>
        <w:div w:id="1886747231">
          <w:marLeft w:val="0"/>
          <w:marRight w:val="0"/>
          <w:marTop w:val="0"/>
          <w:marBottom w:val="0"/>
          <w:divBdr>
            <w:top w:val="none" w:sz="0" w:space="0" w:color="auto"/>
            <w:left w:val="none" w:sz="0" w:space="0" w:color="auto"/>
            <w:bottom w:val="none" w:sz="0" w:space="0" w:color="auto"/>
            <w:right w:val="none" w:sz="0" w:space="0" w:color="auto"/>
          </w:divBdr>
        </w:div>
        <w:div w:id="813522161">
          <w:marLeft w:val="0"/>
          <w:marRight w:val="0"/>
          <w:marTop w:val="0"/>
          <w:marBottom w:val="0"/>
          <w:divBdr>
            <w:top w:val="none" w:sz="0" w:space="0" w:color="auto"/>
            <w:left w:val="none" w:sz="0" w:space="0" w:color="auto"/>
            <w:bottom w:val="none" w:sz="0" w:space="0" w:color="auto"/>
            <w:right w:val="none" w:sz="0" w:space="0" w:color="auto"/>
          </w:divBdr>
        </w:div>
        <w:div w:id="879173707">
          <w:marLeft w:val="0"/>
          <w:marRight w:val="0"/>
          <w:marTop w:val="0"/>
          <w:marBottom w:val="0"/>
          <w:divBdr>
            <w:top w:val="none" w:sz="0" w:space="0" w:color="auto"/>
            <w:left w:val="none" w:sz="0" w:space="0" w:color="auto"/>
            <w:bottom w:val="none" w:sz="0" w:space="0" w:color="auto"/>
            <w:right w:val="none" w:sz="0" w:space="0" w:color="auto"/>
          </w:divBdr>
        </w:div>
        <w:div w:id="1918587076">
          <w:marLeft w:val="0"/>
          <w:marRight w:val="0"/>
          <w:marTop w:val="0"/>
          <w:marBottom w:val="0"/>
          <w:divBdr>
            <w:top w:val="none" w:sz="0" w:space="0" w:color="auto"/>
            <w:left w:val="none" w:sz="0" w:space="0" w:color="auto"/>
            <w:bottom w:val="none" w:sz="0" w:space="0" w:color="auto"/>
            <w:right w:val="none" w:sz="0" w:space="0" w:color="auto"/>
          </w:divBdr>
        </w:div>
        <w:div w:id="106123621">
          <w:marLeft w:val="0"/>
          <w:marRight w:val="0"/>
          <w:marTop w:val="0"/>
          <w:marBottom w:val="0"/>
          <w:divBdr>
            <w:top w:val="none" w:sz="0" w:space="0" w:color="auto"/>
            <w:left w:val="none" w:sz="0" w:space="0" w:color="auto"/>
            <w:bottom w:val="none" w:sz="0" w:space="0" w:color="auto"/>
            <w:right w:val="none" w:sz="0" w:space="0" w:color="auto"/>
          </w:divBdr>
        </w:div>
        <w:div w:id="958877337">
          <w:marLeft w:val="0"/>
          <w:marRight w:val="0"/>
          <w:marTop w:val="0"/>
          <w:marBottom w:val="0"/>
          <w:divBdr>
            <w:top w:val="none" w:sz="0" w:space="0" w:color="auto"/>
            <w:left w:val="none" w:sz="0" w:space="0" w:color="auto"/>
            <w:bottom w:val="none" w:sz="0" w:space="0" w:color="auto"/>
            <w:right w:val="none" w:sz="0" w:space="0" w:color="auto"/>
          </w:divBdr>
        </w:div>
        <w:div w:id="1548646440">
          <w:marLeft w:val="0"/>
          <w:marRight w:val="0"/>
          <w:marTop w:val="0"/>
          <w:marBottom w:val="0"/>
          <w:divBdr>
            <w:top w:val="none" w:sz="0" w:space="0" w:color="auto"/>
            <w:left w:val="none" w:sz="0" w:space="0" w:color="auto"/>
            <w:bottom w:val="none" w:sz="0" w:space="0" w:color="auto"/>
            <w:right w:val="none" w:sz="0" w:space="0" w:color="auto"/>
          </w:divBdr>
        </w:div>
        <w:div w:id="1084106856">
          <w:marLeft w:val="0"/>
          <w:marRight w:val="0"/>
          <w:marTop w:val="0"/>
          <w:marBottom w:val="0"/>
          <w:divBdr>
            <w:top w:val="none" w:sz="0" w:space="0" w:color="auto"/>
            <w:left w:val="none" w:sz="0" w:space="0" w:color="auto"/>
            <w:bottom w:val="none" w:sz="0" w:space="0" w:color="auto"/>
            <w:right w:val="none" w:sz="0" w:space="0" w:color="auto"/>
          </w:divBdr>
        </w:div>
        <w:div w:id="676351901">
          <w:marLeft w:val="0"/>
          <w:marRight w:val="0"/>
          <w:marTop w:val="0"/>
          <w:marBottom w:val="0"/>
          <w:divBdr>
            <w:top w:val="none" w:sz="0" w:space="0" w:color="auto"/>
            <w:left w:val="none" w:sz="0" w:space="0" w:color="auto"/>
            <w:bottom w:val="none" w:sz="0" w:space="0" w:color="auto"/>
            <w:right w:val="none" w:sz="0" w:space="0" w:color="auto"/>
          </w:divBdr>
        </w:div>
        <w:div w:id="1803887084">
          <w:marLeft w:val="0"/>
          <w:marRight w:val="0"/>
          <w:marTop w:val="0"/>
          <w:marBottom w:val="0"/>
          <w:divBdr>
            <w:top w:val="none" w:sz="0" w:space="0" w:color="auto"/>
            <w:left w:val="none" w:sz="0" w:space="0" w:color="auto"/>
            <w:bottom w:val="none" w:sz="0" w:space="0" w:color="auto"/>
            <w:right w:val="none" w:sz="0" w:space="0" w:color="auto"/>
          </w:divBdr>
        </w:div>
        <w:div w:id="2141679379">
          <w:marLeft w:val="0"/>
          <w:marRight w:val="0"/>
          <w:marTop w:val="0"/>
          <w:marBottom w:val="0"/>
          <w:divBdr>
            <w:top w:val="none" w:sz="0" w:space="0" w:color="auto"/>
            <w:left w:val="none" w:sz="0" w:space="0" w:color="auto"/>
            <w:bottom w:val="none" w:sz="0" w:space="0" w:color="auto"/>
            <w:right w:val="none" w:sz="0" w:space="0" w:color="auto"/>
          </w:divBdr>
        </w:div>
        <w:div w:id="1250238347">
          <w:marLeft w:val="0"/>
          <w:marRight w:val="0"/>
          <w:marTop w:val="0"/>
          <w:marBottom w:val="0"/>
          <w:divBdr>
            <w:top w:val="none" w:sz="0" w:space="0" w:color="auto"/>
            <w:left w:val="none" w:sz="0" w:space="0" w:color="auto"/>
            <w:bottom w:val="none" w:sz="0" w:space="0" w:color="auto"/>
            <w:right w:val="none" w:sz="0" w:space="0" w:color="auto"/>
          </w:divBdr>
        </w:div>
        <w:div w:id="482508512">
          <w:marLeft w:val="0"/>
          <w:marRight w:val="0"/>
          <w:marTop w:val="0"/>
          <w:marBottom w:val="0"/>
          <w:divBdr>
            <w:top w:val="none" w:sz="0" w:space="0" w:color="auto"/>
            <w:left w:val="none" w:sz="0" w:space="0" w:color="auto"/>
            <w:bottom w:val="none" w:sz="0" w:space="0" w:color="auto"/>
            <w:right w:val="none" w:sz="0" w:space="0" w:color="auto"/>
          </w:divBdr>
        </w:div>
        <w:div w:id="196624243">
          <w:marLeft w:val="0"/>
          <w:marRight w:val="0"/>
          <w:marTop w:val="0"/>
          <w:marBottom w:val="0"/>
          <w:divBdr>
            <w:top w:val="none" w:sz="0" w:space="0" w:color="auto"/>
            <w:left w:val="none" w:sz="0" w:space="0" w:color="auto"/>
            <w:bottom w:val="none" w:sz="0" w:space="0" w:color="auto"/>
            <w:right w:val="none" w:sz="0" w:space="0" w:color="auto"/>
          </w:divBdr>
        </w:div>
        <w:div w:id="863009523">
          <w:marLeft w:val="0"/>
          <w:marRight w:val="0"/>
          <w:marTop w:val="0"/>
          <w:marBottom w:val="0"/>
          <w:divBdr>
            <w:top w:val="none" w:sz="0" w:space="0" w:color="auto"/>
            <w:left w:val="none" w:sz="0" w:space="0" w:color="auto"/>
            <w:bottom w:val="none" w:sz="0" w:space="0" w:color="auto"/>
            <w:right w:val="none" w:sz="0" w:space="0" w:color="auto"/>
          </w:divBdr>
        </w:div>
        <w:div w:id="1617518689">
          <w:marLeft w:val="0"/>
          <w:marRight w:val="0"/>
          <w:marTop w:val="0"/>
          <w:marBottom w:val="0"/>
          <w:divBdr>
            <w:top w:val="none" w:sz="0" w:space="0" w:color="auto"/>
            <w:left w:val="none" w:sz="0" w:space="0" w:color="auto"/>
            <w:bottom w:val="none" w:sz="0" w:space="0" w:color="auto"/>
            <w:right w:val="none" w:sz="0" w:space="0" w:color="auto"/>
          </w:divBdr>
        </w:div>
        <w:div w:id="198011335">
          <w:marLeft w:val="0"/>
          <w:marRight w:val="0"/>
          <w:marTop w:val="0"/>
          <w:marBottom w:val="0"/>
          <w:divBdr>
            <w:top w:val="none" w:sz="0" w:space="0" w:color="auto"/>
            <w:left w:val="none" w:sz="0" w:space="0" w:color="auto"/>
            <w:bottom w:val="none" w:sz="0" w:space="0" w:color="auto"/>
            <w:right w:val="none" w:sz="0" w:space="0" w:color="auto"/>
          </w:divBdr>
        </w:div>
        <w:div w:id="695545311">
          <w:marLeft w:val="0"/>
          <w:marRight w:val="0"/>
          <w:marTop w:val="0"/>
          <w:marBottom w:val="0"/>
          <w:divBdr>
            <w:top w:val="none" w:sz="0" w:space="0" w:color="auto"/>
            <w:left w:val="none" w:sz="0" w:space="0" w:color="auto"/>
            <w:bottom w:val="none" w:sz="0" w:space="0" w:color="auto"/>
            <w:right w:val="none" w:sz="0" w:space="0" w:color="auto"/>
          </w:divBdr>
        </w:div>
        <w:div w:id="1655792214">
          <w:marLeft w:val="0"/>
          <w:marRight w:val="0"/>
          <w:marTop w:val="0"/>
          <w:marBottom w:val="0"/>
          <w:divBdr>
            <w:top w:val="none" w:sz="0" w:space="0" w:color="auto"/>
            <w:left w:val="none" w:sz="0" w:space="0" w:color="auto"/>
            <w:bottom w:val="none" w:sz="0" w:space="0" w:color="auto"/>
            <w:right w:val="none" w:sz="0" w:space="0" w:color="auto"/>
          </w:divBdr>
        </w:div>
        <w:div w:id="429591489">
          <w:marLeft w:val="0"/>
          <w:marRight w:val="0"/>
          <w:marTop w:val="0"/>
          <w:marBottom w:val="0"/>
          <w:divBdr>
            <w:top w:val="none" w:sz="0" w:space="0" w:color="auto"/>
            <w:left w:val="none" w:sz="0" w:space="0" w:color="auto"/>
            <w:bottom w:val="none" w:sz="0" w:space="0" w:color="auto"/>
            <w:right w:val="none" w:sz="0" w:space="0" w:color="auto"/>
          </w:divBdr>
        </w:div>
        <w:div w:id="1961912876">
          <w:marLeft w:val="0"/>
          <w:marRight w:val="0"/>
          <w:marTop w:val="0"/>
          <w:marBottom w:val="0"/>
          <w:divBdr>
            <w:top w:val="none" w:sz="0" w:space="0" w:color="auto"/>
            <w:left w:val="none" w:sz="0" w:space="0" w:color="auto"/>
            <w:bottom w:val="none" w:sz="0" w:space="0" w:color="auto"/>
            <w:right w:val="none" w:sz="0" w:space="0" w:color="auto"/>
          </w:divBdr>
        </w:div>
        <w:div w:id="915937935">
          <w:marLeft w:val="0"/>
          <w:marRight w:val="0"/>
          <w:marTop w:val="0"/>
          <w:marBottom w:val="0"/>
          <w:divBdr>
            <w:top w:val="none" w:sz="0" w:space="0" w:color="auto"/>
            <w:left w:val="none" w:sz="0" w:space="0" w:color="auto"/>
            <w:bottom w:val="none" w:sz="0" w:space="0" w:color="auto"/>
            <w:right w:val="none" w:sz="0" w:space="0" w:color="auto"/>
          </w:divBdr>
        </w:div>
        <w:div w:id="1746948290">
          <w:marLeft w:val="0"/>
          <w:marRight w:val="0"/>
          <w:marTop w:val="0"/>
          <w:marBottom w:val="0"/>
          <w:divBdr>
            <w:top w:val="none" w:sz="0" w:space="0" w:color="auto"/>
            <w:left w:val="none" w:sz="0" w:space="0" w:color="auto"/>
            <w:bottom w:val="none" w:sz="0" w:space="0" w:color="auto"/>
            <w:right w:val="none" w:sz="0" w:space="0" w:color="auto"/>
          </w:divBdr>
        </w:div>
        <w:div w:id="1411123050">
          <w:marLeft w:val="0"/>
          <w:marRight w:val="0"/>
          <w:marTop w:val="0"/>
          <w:marBottom w:val="0"/>
          <w:divBdr>
            <w:top w:val="none" w:sz="0" w:space="0" w:color="auto"/>
            <w:left w:val="none" w:sz="0" w:space="0" w:color="auto"/>
            <w:bottom w:val="none" w:sz="0" w:space="0" w:color="auto"/>
            <w:right w:val="none" w:sz="0" w:space="0" w:color="auto"/>
          </w:divBdr>
        </w:div>
        <w:div w:id="1934362447">
          <w:marLeft w:val="0"/>
          <w:marRight w:val="0"/>
          <w:marTop w:val="0"/>
          <w:marBottom w:val="0"/>
          <w:divBdr>
            <w:top w:val="none" w:sz="0" w:space="0" w:color="auto"/>
            <w:left w:val="none" w:sz="0" w:space="0" w:color="auto"/>
            <w:bottom w:val="none" w:sz="0" w:space="0" w:color="auto"/>
            <w:right w:val="none" w:sz="0" w:space="0" w:color="auto"/>
          </w:divBdr>
        </w:div>
        <w:div w:id="161143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9818</Words>
  <Characters>54001</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2020-09-08T23:06:00Z</dcterms:created>
  <dcterms:modified xsi:type="dcterms:W3CDTF">2020-10-16T22:11:00Z</dcterms:modified>
</cp:coreProperties>
</file>