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FF" w:rsidRPr="0049050B" w:rsidRDefault="00D618FF" w:rsidP="00D618F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905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618FF" w:rsidRPr="0049050B" w:rsidRDefault="00D618FF" w:rsidP="00D618FF">
      <w:pPr>
        <w:jc w:val="both"/>
        <w:rPr>
          <w:rFonts w:ascii="Arial" w:hAnsi="Arial" w:cs="Arial"/>
          <w:sz w:val="20"/>
          <w:szCs w:val="20"/>
          <w:lang w:val="es-419" w:eastAsia="es-ES"/>
        </w:rPr>
      </w:pPr>
    </w:p>
    <w:p w:rsidR="00D618FF" w:rsidRPr="0049050B" w:rsidRDefault="00D618FF" w:rsidP="00D618FF">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D618FF" w:rsidRPr="0049050B" w:rsidRDefault="00D618FF" w:rsidP="00D618FF">
      <w:pPr>
        <w:jc w:val="both"/>
        <w:rPr>
          <w:rFonts w:ascii="Arial" w:hAnsi="Arial" w:cs="Arial"/>
          <w:sz w:val="20"/>
          <w:szCs w:val="20"/>
          <w:lang w:val="es-419" w:eastAsia="es-ES"/>
        </w:rPr>
      </w:pPr>
    </w:p>
    <w:p w:rsidR="00D618FF" w:rsidRPr="0049050B" w:rsidRDefault="00D618FF" w:rsidP="00D618FF">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D618FF" w:rsidRPr="0049050B" w:rsidRDefault="00D618FF" w:rsidP="00D618FF">
      <w:pPr>
        <w:jc w:val="both"/>
        <w:rPr>
          <w:rFonts w:ascii="Arial" w:hAnsi="Arial" w:cs="Arial"/>
          <w:sz w:val="20"/>
          <w:szCs w:val="20"/>
          <w:lang w:val="es-419" w:eastAsia="es-ES"/>
        </w:rPr>
      </w:pPr>
    </w:p>
    <w:p w:rsidR="00D618FF" w:rsidRDefault="00D618FF" w:rsidP="00D618FF">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D618FF" w:rsidRDefault="00D618FF" w:rsidP="00D618FF">
      <w:pPr>
        <w:jc w:val="both"/>
        <w:rPr>
          <w:rFonts w:ascii="Arial" w:hAnsi="Arial" w:cs="Arial"/>
          <w:sz w:val="20"/>
          <w:szCs w:val="20"/>
          <w:lang w:val="es-419" w:eastAsia="es-ES"/>
        </w:rPr>
      </w:pPr>
    </w:p>
    <w:p w:rsidR="00D618FF" w:rsidRDefault="00D618FF" w:rsidP="00D618FF">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D618FF" w:rsidRPr="0049050B" w:rsidRDefault="00D618FF" w:rsidP="00D618FF">
      <w:pPr>
        <w:jc w:val="both"/>
        <w:rPr>
          <w:rFonts w:ascii="Arial" w:hAnsi="Arial" w:cs="Arial"/>
          <w:sz w:val="20"/>
          <w:szCs w:val="20"/>
          <w:lang w:val="es-419" w:eastAsia="es-ES"/>
        </w:rPr>
      </w:pPr>
    </w:p>
    <w:p w:rsidR="00D618FF" w:rsidRDefault="00D618FF" w:rsidP="00D618FF">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D618FF" w:rsidRDefault="00D618FF" w:rsidP="00D618FF">
      <w:pPr>
        <w:jc w:val="both"/>
        <w:rPr>
          <w:rFonts w:ascii="Arial" w:hAnsi="Arial" w:cs="Arial"/>
          <w:sz w:val="20"/>
          <w:szCs w:val="20"/>
          <w:lang w:val="es-ES" w:eastAsia="es-ES"/>
        </w:rPr>
      </w:pPr>
    </w:p>
    <w:p w:rsidR="00D618FF" w:rsidRPr="0049050B" w:rsidRDefault="00D618FF" w:rsidP="00D618FF">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D618FF" w:rsidRPr="0049050B" w:rsidRDefault="00D618FF" w:rsidP="00D618FF">
      <w:pPr>
        <w:jc w:val="both"/>
        <w:rPr>
          <w:rFonts w:ascii="Arial" w:hAnsi="Arial" w:cs="Arial"/>
          <w:sz w:val="20"/>
          <w:szCs w:val="20"/>
          <w:lang w:val="es-ES" w:eastAsia="es-ES"/>
        </w:rPr>
      </w:pPr>
    </w:p>
    <w:p w:rsidR="00D618FF" w:rsidRPr="00527174" w:rsidRDefault="00D618FF" w:rsidP="00D618FF">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D618FF" w:rsidRDefault="00D618FF" w:rsidP="00D618FF">
      <w:pPr>
        <w:jc w:val="both"/>
        <w:rPr>
          <w:rFonts w:ascii="Arial" w:hAnsi="Arial" w:cs="Arial"/>
          <w:sz w:val="20"/>
          <w:szCs w:val="20"/>
          <w:lang w:val="es-ES" w:eastAsia="es-ES"/>
        </w:rPr>
      </w:pPr>
    </w:p>
    <w:p w:rsidR="00D618FF" w:rsidRPr="00527174" w:rsidRDefault="00D618FF" w:rsidP="00D618FF">
      <w:pPr>
        <w:jc w:val="both"/>
        <w:rPr>
          <w:rFonts w:ascii="Arial" w:hAnsi="Arial" w:cs="Arial"/>
          <w:sz w:val="20"/>
          <w:szCs w:val="20"/>
          <w:lang w:val="es-ES" w:eastAsia="es-ES"/>
        </w:rPr>
      </w:pPr>
      <w:r w:rsidRPr="00527174">
        <w:rPr>
          <w:rFonts w:ascii="Arial"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z w:val="20"/>
          <w:szCs w:val="20"/>
          <w:lang w:val="es-ES" w:eastAsia="es-ES"/>
        </w:rPr>
        <w:t>RAIS</w:t>
      </w:r>
      <w:proofErr w:type="spellEnd"/>
      <w:r w:rsidRPr="00527174">
        <w:rPr>
          <w:rFonts w:ascii="Arial"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D618FF" w:rsidRPr="00527174" w:rsidRDefault="00D618FF" w:rsidP="00D618FF">
      <w:pPr>
        <w:jc w:val="both"/>
        <w:rPr>
          <w:rFonts w:ascii="Arial" w:hAnsi="Arial" w:cs="Arial"/>
          <w:sz w:val="20"/>
          <w:szCs w:val="20"/>
          <w:lang w:val="es-ES" w:eastAsia="es-ES"/>
        </w:rPr>
      </w:pPr>
    </w:p>
    <w:p w:rsidR="00D618FF" w:rsidRPr="0049050B" w:rsidRDefault="00D618FF" w:rsidP="00D618FF">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D618FF" w:rsidRDefault="00D618FF" w:rsidP="00D618FF">
      <w:pPr>
        <w:jc w:val="both"/>
        <w:rPr>
          <w:rFonts w:ascii="Arial" w:hAnsi="Arial" w:cs="Arial"/>
          <w:sz w:val="20"/>
          <w:szCs w:val="20"/>
          <w:lang w:val="es-ES" w:eastAsia="es-ES"/>
        </w:rPr>
      </w:pPr>
    </w:p>
    <w:p w:rsidR="00D618FF" w:rsidRPr="0049050B" w:rsidRDefault="00D618FF" w:rsidP="00D618FF">
      <w:pPr>
        <w:jc w:val="both"/>
        <w:rPr>
          <w:rFonts w:ascii="Arial" w:hAnsi="Arial" w:cs="Arial"/>
          <w:sz w:val="20"/>
          <w:szCs w:val="20"/>
          <w:lang w:val="es-ES" w:eastAsia="es-ES"/>
        </w:rPr>
      </w:pPr>
    </w:p>
    <w:p w:rsidR="00D618FF" w:rsidRPr="0049050B" w:rsidRDefault="00D618FF" w:rsidP="00D618FF">
      <w:pPr>
        <w:jc w:val="both"/>
        <w:rPr>
          <w:rFonts w:ascii="Arial" w:hAnsi="Arial" w:cs="Arial"/>
          <w:sz w:val="20"/>
          <w:szCs w:val="20"/>
          <w:lang w:val="es-ES" w:eastAsia="es-ES"/>
        </w:rPr>
      </w:pPr>
    </w:p>
    <w:p w:rsidR="00E0425D" w:rsidRPr="00D618FF" w:rsidRDefault="00E0425D" w:rsidP="00D618FF">
      <w:pPr>
        <w:spacing w:line="276" w:lineRule="auto"/>
        <w:jc w:val="center"/>
        <w:textAlignment w:val="baseline"/>
        <w:rPr>
          <w:rFonts w:ascii="Arial" w:hAnsi="Arial" w:cs="Arial"/>
          <w:lang w:val="es-ES" w:eastAsia="es-ES"/>
        </w:rPr>
      </w:pPr>
      <w:r w:rsidRPr="00D618FF">
        <w:rPr>
          <w:rFonts w:ascii="Arial" w:hAnsi="Arial" w:cs="Arial"/>
          <w:b/>
          <w:bCs/>
          <w:lang w:eastAsia="es-ES"/>
        </w:rPr>
        <w:t>TRIBUNAL SUPERIOR DEL DISTRITO JUDICIAL</w:t>
      </w:r>
    </w:p>
    <w:p w:rsidR="00E0425D" w:rsidRPr="00D618FF" w:rsidRDefault="00E0425D" w:rsidP="00D618FF">
      <w:pPr>
        <w:spacing w:line="276" w:lineRule="auto"/>
        <w:jc w:val="center"/>
        <w:textAlignment w:val="baseline"/>
        <w:rPr>
          <w:rFonts w:ascii="Arial" w:hAnsi="Arial" w:cs="Arial"/>
          <w:lang w:eastAsia="es-ES"/>
        </w:rPr>
      </w:pPr>
      <w:r w:rsidRPr="00D618FF">
        <w:rPr>
          <w:rFonts w:ascii="Arial" w:hAnsi="Arial" w:cs="Arial"/>
          <w:b/>
          <w:bCs/>
          <w:lang w:eastAsia="es-ES"/>
        </w:rPr>
        <w:t>SALA DE DECISIÓN LABORAL N° 3</w:t>
      </w:r>
    </w:p>
    <w:p w:rsidR="00E0425D" w:rsidRDefault="00E0425D" w:rsidP="00D618FF">
      <w:pPr>
        <w:spacing w:line="276" w:lineRule="auto"/>
        <w:jc w:val="center"/>
        <w:textAlignment w:val="baseline"/>
        <w:rPr>
          <w:rFonts w:ascii="Arial" w:hAnsi="Arial" w:cs="Arial"/>
          <w:b/>
          <w:bCs/>
          <w:lang w:eastAsia="es-ES"/>
        </w:rPr>
      </w:pPr>
      <w:r w:rsidRPr="00D618FF">
        <w:rPr>
          <w:rFonts w:ascii="Arial" w:hAnsi="Arial" w:cs="Arial"/>
          <w:b/>
          <w:bCs/>
          <w:lang w:eastAsia="es-ES"/>
        </w:rPr>
        <w:t>MAGISTRADO PON</w:t>
      </w:r>
      <w:r w:rsidR="00D618FF">
        <w:rPr>
          <w:rFonts w:ascii="Arial" w:hAnsi="Arial" w:cs="Arial"/>
          <w:b/>
          <w:bCs/>
          <w:lang w:eastAsia="es-ES"/>
        </w:rPr>
        <w:t>ENTE: JULIO CÉSAR SALAZAR MUÑOZ</w:t>
      </w:r>
    </w:p>
    <w:p w:rsidR="00D618FF" w:rsidRPr="00D618FF" w:rsidRDefault="00D618FF" w:rsidP="00D618FF">
      <w:pPr>
        <w:spacing w:line="276" w:lineRule="auto"/>
        <w:jc w:val="center"/>
        <w:textAlignment w:val="baseline"/>
        <w:rPr>
          <w:rFonts w:ascii="Arial" w:hAnsi="Arial" w:cs="Arial"/>
          <w:lang w:val="es-ES" w:eastAsia="es-ES"/>
        </w:rPr>
      </w:pPr>
    </w:p>
    <w:p w:rsidR="00E0425D" w:rsidRPr="00D618FF" w:rsidRDefault="00D618FF" w:rsidP="00D618FF">
      <w:pPr>
        <w:spacing w:line="276" w:lineRule="auto"/>
        <w:jc w:val="center"/>
        <w:textAlignment w:val="baseline"/>
        <w:rPr>
          <w:rFonts w:ascii="Arial" w:hAnsi="Arial" w:cs="Arial"/>
          <w:lang w:val="es-ES" w:eastAsia="es-ES"/>
        </w:rPr>
      </w:pPr>
      <w:r w:rsidRPr="00D618FF">
        <w:rPr>
          <w:rFonts w:ascii="Arial" w:hAnsi="Arial" w:cs="Arial"/>
          <w:bCs/>
          <w:lang w:eastAsia="es-ES"/>
        </w:rPr>
        <w:t>Pereira, 2 de septiembre de 2020</w:t>
      </w:r>
    </w:p>
    <w:p w:rsidR="00E0425D" w:rsidRPr="00D618FF" w:rsidRDefault="00E0425D" w:rsidP="00D618FF">
      <w:pPr>
        <w:spacing w:line="276" w:lineRule="auto"/>
        <w:jc w:val="center"/>
        <w:textAlignment w:val="baseline"/>
        <w:rPr>
          <w:rFonts w:ascii="Arial" w:hAnsi="Arial" w:cs="Arial"/>
          <w:lang w:val="es-ES" w:eastAsia="es-ES"/>
        </w:rPr>
      </w:pPr>
      <w:r w:rsidRPr="00D618FF">
        <w:rPr>
          <w:rFonts w:ascii="Arial" w:hAnsi="Arial" w:cs="Arial"/>
          <w:lang w:val="es-ES" w:eastAsia="es-ES"/>
        </w:rPr>
        <w:t>Acta de Sala de Discusión No 123 de 1º de septiembre de 2020</w:t>
      </w:r>
    </w:p>
    <w:p w:rsidR="00E0425D" w:rsidRPr="00D618FF" w:rsidRDefault="00E0425D" w:rsidP="00D618FF">
      <w:pPr>
        <w:spacing w:line="276" w:lineRule="auto"/>
        <w:jc w:val="center"/>
        <w:textAlignment w:val="baseline"/>
        <w:rPr>
          <w:rFonts w:ascii="Arial" w:hAnsi="Arial" w:cs="Arial"/>
          <w:lang w:val="es-ES" w:eastAsia="es-ES"/>
        </w:rPr>
      </w:pPr>
    </w:p>
    <w:p w:rsidR="00E0425D" w:rsidRPr="00D618FF" w:rsidRDefault="00E0425D" w:rsidP="00D618FF">
      <w:pPr>
        <w:spacing w:line="276" w:lineRule="auto"/>
        <w:jc w:val="center"/>
        <w:textAlignment w:val="baseline"/>
        <w:rPr>
          <w:rFonts w:ascii="Arial" w:hAnsi="Arial" w:cs="Arial"/>
          <w:b/>
          <w:bCs/>
          <w:lang w:eastAsia="es-ES"/>
        </w:rPr>
      </w:pPr>
      <w:r w:rsidRPr="00D618FF">
        <w:rPr>
          <w:rFonts w:ascii="Arial" w:hAnsi="Arial" w:cs="Arial"/>
          <w:b/>
          <w:bCs/>
          <w:lang w:eastAsia="es-ES"/>
        </w:rPr>
        <w:lastRenderedPageBreak/>
        <w:t>SENTENCIA ESCRITA</w:t>
      </w:r>
    </w:p>
    <w:p w:rsidR="00E0425D" w:rsidRPr="00D618FF" w:rsidRDefault="00E0425D" w:rsidP="00D618FF">
      <w:pPr>
        <w:spacing w:line="276" w:lineRule="auto"/>
        <w:jc w:val="center"/>
        <w:textAlignment w:val="baseline"/>
        <w:rPr>
          <w:rFonts w:ascii="Arial" w:hAnsi="Arial" w:cs="Arial"/>
          <w:lang w:val="es-ES" w:eastAsia="es-ES"/>
        </w:rPr>
      </w:pP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Se resuelven los recursos de apelación interpuestos por las codemandadas AFP PROTECCIÓN S.A. y la ADMINISTRADORA COLOMBIANA DE PENSIONES en contra de la sentencia proferida por el Juzgado Cuarto Laboral del Circuito el 26 de septiembre de 2019, así como el grado jurisdiccional de consulta dispuesto a favor de COLPENSIONES, dentro del proceso que les promueve la señora MARÍA PATRICIA RODRÍGUEZ RAMÍREZ, cuya radicación corresponde al N° 66001-31-05-004-2018-00434-01. </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w:t>
      </w:r>
    </w:p>
    <w:p w:rsidR="00E0425D" w:rsidRDefault="00D618FF" w:rsidP="00D618FF">
      <w:pPr>
        <w:spacing w:line="276" w:lineRule="auto"/>
        <w:jc w:val="both"/>
        <w:textAlignment w:val="baseline"/>
        <w:rPr>
          <w:rFonts w:ascii="Arial" w:hAnsi="Arial" w:cs="Arial"/>
          <w:lang w:eastAsia="es-ES"/>
        </w:rPr>
      </w:pPr>
      <w:r>
        <w:rPr>
          <w:rFonts w:ascii="Arial" w:hAnsi="Arial" w:cs="Arial"/>
          <w:lang w:eastAsia="es-ES"/>
        </w:rPr>
        <w:t>(…)</w:t>
      </w:r>
    </w:p>
    <w:p w:rsidR="00D618FF" w:rsidRPr="00D618FF" w:rsidRDefault="00D618FF" w:rsidP="00D618FF">
      <w:pPr>
        <w:spacing w:line="276" w:lineRule="auto"/>
        <w:jc w:val="both"/>
        <w:textAlignment w:val="baseline"/>
        <w:rPr>
          <w:rFonts w:ascii="Arial" w:hAnsi="Arial" w:cs="Arial"/>
          <w:lang w:val="es-ES" w:eastAsia="es-ES"/>
        </w:rPr>
      </w:pPr>
    </w:p>
    <w:p w:rsidR="00E0425D" w:rsidRPr="00D618FF" w:rsidRDefault="00E0425D" w:rsidP="00D618FF">
      <w:pPr>
        <w:spacing w:line="276" w:lineRule="auto"/>
        <w:jc w:val="center"/>
        <w:textAlignment w:val="baseline"/>
        <w:rPr>
          <w:rFonts w:ascii="Arial" w:hAnsi="Arial" w:cs="Arial"/>
          <w:lang w:val="es-ES" w:eastAsia="es-ES"/>
        </w:rPr>
      </w:pPr>
      <w:r w:rsidRPr="00D618FF">
        <w:rPr>
          <w:rFonts w:ascii="Arial" w:hAnsi="Arial" w:cs="Arial"/>
          <w:b/>
          <w:bCs/>
          <w:lang w:eastAsia="es-ES"/>
        </w:rPr>
        <w:t>ANTECEDENTES</w:t>
      </w:r>
      <w:r w:rsidRPr="00D618FF">
        <w:rPr>
          <w:rFonts w:ascii="Arial" w:hAnsi="Arial" w:cs="Arial"/>
          <w:lang w:val="es-ES" w:eastAsia="es-ES"/>
        </w:rPr>
        <w:t> </w:t>
      </w:r>
    </w:p>
    <w:p w:rsidR="00E0425D" w:rsidRPr="00D618FF" w:rsidRDefault="00E0425D" w:rsidP="00D618FF">
      <w:pPr>
        <w:spacing w:line="276" w:lineRule="auto"/>
        <w:jc w:val="center"/>
        <w:textAlignment w:val="baseline"/>
        <w:rPr>
          <w:rFonts w:ascii="Arial" w:hAnsi="Arial" w:cs="Arial"/>
          <w:lang w:val="es-ES" w:eastAsia="es-ES"/>
        </w:rPr>
      </w:pP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Pretende la señora María Patricia Rodríguez Ramírez que la justicia laboral declare la nulidad y/o la ineficacia del traslado del régimen de prima media con prestación definida al régimen de ahorro individual con solidaridad efectuado a través de la AFP Protección S.A., con el propósito de que se declare también su libertad para afiliarse al RPM administrado actualmente por la Administradora Colombiana de Pensiones y con base en ello se le ordene a la AFP que gire a favor de Colpensiones la totalidad del capital acumulado en la cuenta de ahorro individual, lo que resulte probado extra y ultra </w:t>
      </w:r>
      <w:proofErr w:type="spellStart"/>
      <w:r w:rsidRPr="00D618FF">
        <w:rPr>
          <w:rFonts w:ascii="Arial" w:hAnsi="Arial" w:cs="Arial"/>
          <w:lang w:eastAsia="es-ES"/>
        </w:rPr>
        <w:t>petita</w:t>
      </w:r>
      <w:proofErr w:type="spellEnd"/>
      <w:r w:rsidRPr="00D618FF">
        <w:rPr>
          <w:rFonts w:ascii="Arial" w:hAnsi="Arial" w:cs="Arial"/>
          <w:lang w:eastAsia="es-ES"/>
        </w:rPr>
        <w:t xml:space="preserve"> y las costas procesales a su favor.</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Refiere que: nació el 19 de septiembre de 1964, iniciando su vida laboral el 4 de septiembre de 1986, momento en el que se afilió al RPM administrado por el </w:t>
      </w:r>
      <w:proofErr w:type="spellStart"/>
      <w:r w:rsidRPr="00D618FF">
        <w:rPr>
          <w:rFonts w:ascii="Arial" w:hAnsi="Arial" w:cs="Arial"/>
          <w:lang w:eastAsia="es-ES"/>
        </w:rPr>
        <w:t>ISS</w:t>
      </w:r>
      <w:proofErr w:type="spellEnd"/>
      <w:r w:rsidRPr="00D618FF">
        <w:rPr>
          <w:rFonts w:ascii="Arial" w:hAnsi="Arial" w:cs="Arial"/>
          <w:lang w:eastAsia="es-ES"/>
        </w:rPr>
        <w:t xml:space="preserve">; en noviembre de 2004 suscribió formulario de afiliación a la AFP Protección S.A., en virtud a que en esa entidad le informaron que el </w:t>
      </w:r>
      <w:proofErr w:type="spellStart"/>
      <w:r w:rsidRPr="00D618FF">
        <w:rPr>
          <w:rFonts w:ascii="Arial" w:hAnsi="Arial" w:cs="Arial"/>
          <w:lang w:eastAsia="es-ES"/>
        </w:rPr>
        <w:t>ISS</w:t>
      </w:r>
      <w:proofErr w:type="spellEnd"/>
      <w:r w:rsidRPr="00D618FF">
        <w:rPr>
          <w:rFonts w:ascii="Arial" w:hAnsi="Arial" w:cs="Arial"/>
          <w:lang w:eastAsia="es-ES"/>
        </w:rPr>
        <w:t xml:space="preserve"> estaba próximo a desaparecer y por tanto sus aportes a esa entidad se perderían; a parte de lo descrito anteriormente, nunca se le hizo un asesoramiento efectivo sobre las características que comportan los regímenes pensionales del sistema general de pensiones; en comunicación entregada por la AFP, se le puso de presente que no existían documentos que soportaran la información que en su momento se le brindó; el 19 de julio de 2018 la Administradora Colombiana de Pensiones negó la solicitud de traslado al RPM, bajo el argumento que se encuentra a menos de diez años para llegar a la edad mínima requerida para pensionarse.</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Al contestar la demanda </w:t>
      </w:r>
      <w:r w:rsidR="00D618FF">
        <w:rPr>
          <w:rFonts w:ascii="Arial" w:hAnsi="Arial" w:cs="Arial"/>
          <w:lang w:eastAsia="es-ES"/>
        </w:rPr>
        <w:t>-</w:t>
      </w:r>
      <w:proofErr w:type="spellStart"/>
      <w:r w:rsidRPr="00D618FF">
        <w:rPr>
          <w:rFonts w:ascii="Arial" w:hAnsi="Arial" w:cs="Arial"/>
          <w:lang w:eastAsia="es-ES"/>
        </w:rPr>
        <w:t>fls</w:t>
      </w:r>
      <w:proofErr w:type="spellEnd"/>
      <w:r w:rsidRPr="00D618FF">
        <w:rPr>
          <w:rFonts w:ascii="Arial" w:hAnsi="Arial" w:cs="Arial"/>
          <w:lang w:eastAsia="es-ES"/>
        </w:rPr>
        <w:t>.</w:t>
      </w:r>
      <w:r w:rsidR="00D618FF">
        <w:rPr>
          <w:rFonts w:ascii="Arial" w:hAnsi="Arial" w:cs="Arial"/>
          <w:lang w:eastAsia="es-ES"/>
        </w:rPr>
        <w:t xml:space="preserve"> </w:t>
      </w:r>
      <w:r w:rsidRPr="00D618FF">
        <w:rPr>
          <w:rFonts w:ascii="Arial" w:hAnsi="Arial" w:cs="Arial"/>
          <w:lang w:eastAsia="es-ES"/>
        </w:rPr>
        <w:t xml:space="preserve">65 </w:t>
      </w:r>
      <w:proofErr w:type="gramStart"/>
      <w:r w:rsidRPr="00D618FF">
        <w:rPr>
          <w:rFonts w:ascii="Arial" w:hAnsi="Arial" w:cs="Arial"/>
          <w:lang w:eastAsia="es-ES"/>
        </w:rPr>
        <w:t>a</w:t>
      </w:r>
      <w:proofErr w:type="gramEnd"/>
      <w:r w:rsidRPr="00D618FF">
        <w:rPr>
          <w:rFonts w:ascii="Arial" w:hAnsi="Arial" w:cs="Arial"/>
          <w:lang w:eastAsia="es-ES"/>
        </w:rPr>
        <w:t xml:space="preserve"> 76- la Administradora Colombiana de Pensiones se opuso a la prosperidad de las pretensiones asegurando que el traslado efectuado por la señora Rodríguez Ramírez se hizo conforme a derecho y adicionalmente indicó que no se dan los presupuestos legales para que ella retorne al RPM, ya que, de acuerdo con la fecha de nacimiento, se encuentra a menos de diez años para llegar a la edad mínima requerida en ese régimen pensional. Formuló las excepciones de mérito que denominó “Inexistencia de la obligación”, “Imposibilidad jurídica para reconocer y pagar derechos por fuera del ordenamiento legal”, “Buena fe” e “Imposibilidad de condena en costas”.</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La AFP Protección S.A., al dar respuesta a la acción </w:t>
      </w:r>
      <w:r w:rsidR="00D618FF">
        <w:rPr>
          <w:rFonts w:ascii="Arial" w:hAnsi="Arial" w:cs="Arial"/>
          <w:lang w:eastAsia="es-ES"/>
        </w:rPr>
        <w:t>-</w:t>
      </w:r>
      <w:proofErr w:type="spellStart"/>
      <w:r w:rsidRPr="00D618FF">
        <w:rPr>
          <w:rFonts w:ascii="Arial" w:hAnsi="Arial" w:cs="Arial"/>
          <w:lang w:eastAsia="es-ES"/>
        </w:rPr>
        <w:t>fls</w:t>
      </w:r>
      <w:proofErr w:type="spellEnd"/>
      <w:r w:rsidRPr="00D618FF">
        <w:rPr>
          <w:rFonts w:ascii="Arial" w:hAnsi="Arial" w:cs="Arial"/>
          <w:lang w:eastAsia="es-ES"/>
        </w:rPr>
        <w:t>.</w:t>
      </w:r>
      <w:r w:rsidR="00D618FF">
        <w:rPr>
          <w:rFonts w:ascii="Arial" w:hAnsi="Arial" w:cs="Arial"/>
          <w:lang w:eastAsia="es-ES"/>
        </w:rPr>
        <w:t xml:space="preserve"> </w:t>
      </w:r>
      <w:r w:rsidRPr="00D618FF">
        <w:rPr>
          <w:rFonts w:ascii="Arial" w:hAnsi="Arial" w:cs="Arial"/>
          <w:lang w:eastAsia="es-ES"/>
        </w:rPr>
        <w:t xml:space="preserve">86 </w:t>
      </w:r>
      <w:proofErr w:type="gramStart"/>
      <w:r w:rsidRPr="00D618FF">
        <w:rPr>
          <w:rFonts w:ascii="Arial" w:hAnsi="Arial" w:cs="Arial"/>
          <w:lang w:eastAsia="es-ES"/>
        </w:rPr>
        <w:t>a</w:t>
      </w:r>
      <w:proofErr w:type="gramEnd"/>
      <w:r w:rsidRPr="00D618FF">
        <w:rPr>
          <w:rFonts w:ascii="Arial" w:hAnsi="Arial" w:cs="Arial"/>
          <w:lang w:eastAsia="es-ES"/>
        </w:rPr>
        <w:t xml:space="preserve"> 117- se opuso también a las pretensiones de la demanda, afirmando que la accionante nunca fue </w:t>
      </w:r>
      <w:r w:rsidRPr="00D618FF">
        <w:rPr>
          <w:rFonts w:ascii="Arial" w:hAnsi="Arial" w:cs="Arial"/>
          <w:lang w:eastAsia="es-ES"/>
        </w:rPr>
        <w:lastRenderedPageBreak/>
        <w:t xml:space="preserve">víctima de la inducción a error que proclama dentro del escrito inaugural, asegurando que esa entidad y sus asesores cumplieron con los deberes y obligaciones que la Ley les exigía a las AFP en materia de información para el año en que se protocolizó el traslado al </w:t>
      </w:r>
      <w:proofErr w:type="spellStart"/>
      <w:r w:rsidRPr="00D618FF">
        <w:rPr>
          <w:rFonts w:ascii="Arial" w:hAnsi="Arial" w:cs="Arial"/>
          <w:lang w:eastAsia="es-ES"/>
        </w:rPr>
        <w:t>RAIS</w:t>
      </w:r>
      <w:proofErr w:type="spellEnd"/>
      <w:r w:rsidRPr="00D618FF">
        <w:rPr>
          <w:rFonts w:ascii="Arial" w:hAnsi="Arial" w:cs="Arial"/>
          <w:lang w:eastAsia="es-ES"/>
        </w:rPr>
        <w:t>. Formuló doce excepciones de mérito que pretende hacer valer en el proceso.</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En sentencia de 26 de septiembre de 2019, la funcionaria de primera instancia declaró la ineficacia del traslado efectuado por la señora María Patricia Rodríguez Ramírez del RPM al </w:t>
      </w:r>
      <w:proofErr w:type="spellStart"/>
      <w:r w:rsidRPr="00D618FF">
        <w:rPr>
          <w:rFonts w:ascii="Arial" w:hAnsi="Arial" w:cs="Arial"/>
          <w:lang w:eastAsia="es-ES"/>
        </w:rPr>
        <w:t>RAIS</w:t>
      </w:r>
      <w:proofErr w:type="spellEnd"/>
      <w:r w:rsidRPr="00D618FF">
        <w:rPr>
          <w:rFonts w:ascii="Arial" w:hAnsi="Arial" w:cs="Arial"/>
          <w:lang w:eastAsia="es-ES"/>
        </w:rPr>
        <w:t xml:space="preserve"> a través de la AFP Protección S.A., ordenándole en consecuencia que proceda a girar a la Administradora Colombiana de Pensiones el valor del saldo que se encuentre en la cuenta de ahorro individual, incluidos rendimientos financieros, bonos pensionales, cuotas de administración con cargo a su presupuesto, correspondiéndole a ésta última entidad aceptar sin dilaciones el retorno de la accionante al RPM sin solución de continuidad; condenando a la AFP Protección S.A. en costas procesales a favor de la accionante.</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Para adoptar esa decisión, la </w:t>
      </w:r>
      <w:r w:rsidRPr="00D618FF">
        <w:rPr>
          <w:rFonts w:ascii="Arial" w:hAnsi="Arial" w:cs="Arial"/>
          <w:i/>
          <w:iCs/>
          <w:lang w:eastAsia="es-ES"/>
        </w:rPr>
        <w:t>a quo</w:t>
      </w:r>
      <w:r w:rsidRPr="00D618FF">
        <w:rPr>
          <w:rFonts w:ascii="Arial" w:hAnsi="Arial" w:cs="Arial"/>
          <w:lang w:eastAsia="es-ES"/>
        </w:rPr>
        <w:t xml:space="preserve"> hizo una relación de las normas que regulan este tipo de casos y posteriormente realizó una ilustración de la posición actual de la Sala de Casación Laboral de la Corte Suprema de Justicia frente al tema objeto de controversia, concluyendo que la AFP Protección  S.A. no cumplió con la carga probatoria que le correspondía, esto es, la de acreditar que dio a la señora Rodríguez Ramírez la información que la Ley exigía para el año 2004, razón por la que no garantizó que la afiliada se trasladara al </w:t>
      </w:r>
      <w:proofErr w:type="spellStart"/>
      <w:r w:rsidRPr="00D618FF">
        <w:rPr>
          <w:rFonts w:ascii="Arial" w:hAnsi="Arial" w:cs="Arial"/>
          <w:lang w:eastAsia="es-ES"/>
        </w:rPr>
        <w:t>RAIS</w:t>
      </w:r>
      <w:proofErr w:type="spellEnd"/>
      <w:r w:rsidRPr="00D618FF">
        <w:rPr>
          <w:rFonts w:ascii="Arial" w:hAnsi="Arial" w:cs="Arial"/>
          <w:lang w:eastAsia="es-ES"/>
        </w:rPr>
        <w:t xml:space="preserve"> de conformidad con lo dispuesto en el artículo 13 de la Ley 100 de 1993.</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Inconformes, los apoderados judiciales de las entidades demandadas interpusieron recurso de apelación en los siguientes términos:</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La apoderada judicial de la AFP Protección S.A. sostuvo que dentro del debate probatorio esa entidad cumplió con la carga que le correspondía, esto es, demostrando que a la señora María Patricia Rodríguez Ramírez se le brindó la información que la Ley exigía para el año 2004 cuando se produjo el traslado del RPM al </w:t>
      </w:r>
      <w:proofErr w:type="spellStart"/>
      <w:r w:rsidRPr="00D618FF">
        <w:rPr>
          <w:rFonts w:ascii="Arial" w:hAnsi="Arial" w:cs="Arial"/>
          <w:lang w:eastAsia="es-ES"/>
        </w:rPr>
        <w:t>RAIS</w:t>
      </w:r>
      <w:proofErr w:type="spellEnd"/>
      <w:r w:rsidRPr="00D618FF">
        <w:rPr>
          <w:rFonts w:ascii="Arial" w:hAnsi="Arial" w:cs="Arial"/>
          <w:lang w:eastAsia="es-ES"/>
        </w:rPr>
        <w:t>, agregando que la accionante permaneció afiliada a Protección S.A. durante algo más de 15 años, sin hacer uso de las herramientas que la Ley le otorgó para retornar, si así lo quería, al RPM; motivos por los que considera se debe revocar en su totalidad la sentencia objeto de análisis, para en su lugar absolver a la AFP de las pretensiones de la acción. En caso que se confirme la declaratoria de ineficacia fulminada en primera instancia, solicita se revoque la decisión de ordenar el pago del valor correspondiente a los gastos de administración, puesto que esa entidad hizo una correcta administración de los recursos inmersos en la cuenta de ahorro individual, generando a favor de la afiliada los rendimientos financieros que también se están ordenando girar a Colpensiones.</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El apoderado judicial de la Administradora Colombiana de Pensiones dice estar inconforme con la sentencia en lo que concierne a la condena en costas, pues en su consideración se debe emitir condena en ese sentido a la AFP Protección S.A. a </w:t>
      </w:r>
      <w:r w:rsidRPr="00D618FF">
        <w:rPr>
          <w:rFonts w:ascii="Arial" w:hAnsi="Arial" w:cs="Arial"/>
          <w:lang w:eastAsia="es-ES"/>
        </w:rPr>
        <w:lastRenderedPageBreak/>
        <w:t>favor de la entidad que representa judicialmente, al haber quedado acreditado en el proceso que la AFP no cumplió con el deber legal de información.</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w:t>
      </w:r>
    </w:p>
    <w:p w:rsidR="00E0425D" w:rsidRDefault="00E0425D" w:rsidP="00D618FF">
      <w:pPr>
        <w:spacing w:line="276" w:lineRule="auto"/>
        <w:jc w:val="both"/>
        <w:textAlignment w:val="baseline"/>
        <w:rPr>
          <w:rFonts w:ascii="Arial" w:hAnsi="Arial" w:cs="Arial"/>
          <w:lang w:eastAsia="es-ES"/>
        </w:rPr>
      </w:pPr>
      <w:r w:rsidRPr="00D618FF">
        <w:rPr>
          <w:rFonts w:ascii="Arial" w:hAnsi="Arial" w:cs="Arial"/>
          <w:lang w:eastAsia="es-ES"/>
        </w:rPr>
        <w:t>Al haber resultado la decisión adversa a los intereses de la Administradora Colombiana de Pensiones, se dispuso también el grado jurisdi</w:t>
      </w:r>
      <w:r w:rsidR="00D618FF">
        <w:rPr>
          <w:rFonts w:ascii="Arial" w:hAnsi="Arial" w:cs="Arial"/>
          <w:lang w:eastAsia="es-ES"/>
        </w:rPr>
        <w:t>ccional de consulta a su favor.</w:t>
      </w:r>
    </w:p>
    <w:p w:rsidR="00D618FF" w:rsidRPr="00D618FF" w:rsidRDefault="00D618FF" w:rsidP="00D618FF">
      <w:pPr>
        <w:spacing w:line="276" w:lineRule="auto"/>
        <w:jc w:val="both"/>
        <w:textAlignment w:val="baseline"/>
        <w:rPr>
          <w:rFonts w:ascii="Arial" w:hAnsi="Arial" w:cs="Arial"/>
          <w:lang w:val="es-ES" w:eastAsia="es-ES"/>
        </w:rPr>
      </w:pPr>
    </w:p>
    <w:p w:rsidR="00E0425D" w:rsidRPr="00D618FF" w:rsidRDefault="00E0425D" w:rsidP="00D618FF">
      <w:pPr>
        <w:spacing w:line="276" w:lineRule="auto"/>
        <w:jc w:val="center"/>
        <w:textAlignment w:val="baseline"/>
        <w:rPr>
          <w:rFonts w:ascii="Arial" w:hAnsi="Arial" w:cs="Arial"/>
          <w:lang w:val="es-ES" w:eastAsia="es-ES"/>
        </w:rPr>
      </w:pPr>
      <w:r w:rsidRPr="00D618FF">
        <w:rPr>
          <w:rFonts w:ascii="Arial" w:hAnsi="Arial" w:cs="Arial"/>
          <w:b/>
          <w:bCs/>
          <w:lang w:eastAsia="es-ES"/>
        </w:rPr>
        <w:t>ALEGATOS DE CONCLUSIÓN</w:t>
      </w:r>
      <w:r w:rsidRPr="00D618FF">
        <w:rPr>
          <w:rFonts w:ascii="Arial" w:hAnsi="Arial" w:cs="Arial"/>
          <w:lang w:val="es-ES" w:eastAsia="es-ES"/>
        </w:rPr>
        <w:t> </w:t>
      </w:r>
    </w:p>
    <w:p w:rsidR="00E0425D" w:rsidRPr="00D618FF" w:rsidRDefault="00E0425D" w:rsidP="00D618FF">
      <w:pPr>
        <w:spacing w:line="276" w:lineRule="auto"/>
        <w:jc w:val="center"/>
        <w:textAlignment w:val="baseline"/>
        <w:rPr>
          <w:rFonts w:ascii="Arial" w:hAnsi="Arial" w:cs="Arial"/>
          <w:lang w:val="es-ES" w:eastAsia="es-ES"/>
        </w:rPr>
      </w:pP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Conforme se dejó plasmado en la constancia emitida por la Secretaría de la Corporación, la Administradora Colombiana de Pensiones y la demandante hicieron uso del derecho a presentar alegatos de conclusión dentro de los términos dispuestos para ello; mientras que la AFP Protección S.A. dejó trascurrir en silencio el plazo otorgado para esos fines.</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w:t>
      </w:r>
    </w:p>
    <w:p w:rsidR="00E0425D"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De acuerdo con lo previsto en el artículo 279 del </w:t>
      </w:r>
      <w:proofErr w:type="spellStart"/>
      <w:r w:rsidRPr="00D618FF">
        <w:rPr>
          <w:rFonts w:ascii="Arial" w:hAnsi="Arial" w:cs="Arial"/>
          <w:lang w:eastAsia="es-ES"/>
        </w:rPr>
        <w:t>CGP</w:t>
      </w:r>
      <w:proofErr w:type="spellEnd"/>
      <w:r w:rsidRPr="00D618FF">
        <w:rPr>
          <w:rFonts w:ascii="Arial" w:hAnsi="Arial" w:cs="Arial"/>
          <w:lang w:eastAsia="es-ES"/>
        </w:rPr>
        <w:t xml:space="preserve"> consistente en que </w:t>
      </w:r>
      <w:r w:rsidRPr="00D618FF">
        <w:rPr>
          <w:rFonts w:ascii="Arial" w:hAnsi="Arial" w:cs="Arial"/>
          <w:i/>
          <w:iCs/>
          <w:lang w:eastAsia="es-ES"/>
        </w:rPr>
        <w:t>“</w:t>
      </w:r>
      <w:r w:rsidRPr="00D618FF">
        <w:rPr>
          <w:rFonts w:ascii="Arial" w:hAnsi="Arial" w:cs="Arial"/>
          <w:i/>
          <w:iCs/>
          <w:sz w:val="22"/>
          <w:lang w:eastAsia="es-ES"/>
        </w:rPr>
        <w:t>No se podrá hacer transcripciones o reproducciones de actas, decisiones o conceptos que obren en el expediente</w:t>
      </w:r>
      <w:r w:rsidRPr="00D618FF">
        <w:rPr>
          <w:rFonts w:ascii="Arial" w:hAnsi="Arial" w:cs="Arial"/>
          <w:i/>
          <w:iCs/>
          <w:lang w:eastAsia="es-ES"/>
        </w:rPr>
        <w:t>”</w:t>
      </w:r>
      <w:r w:rsidRPr="00D618FF">
        <w:rPr>
          <w:rFonts w:ascii="Arial" w:hAnsi="Arial" w:cs="Arial"/>
          <w:lang w:eastAsia="es-ES"/>
        </w:rPr>
        <w:t xml:space="preserve"> y en aplicación del principio de consonancia, baste decir que los alegatos de conclusión planteados por la Administradora Colombiana de Pensiones coinciden con los argumentos planteados en la sustentación del recurso de apelación. Por su parte la apoderada judicial de la parte actora, referenciando varias sentencias de la Corte Suprema de Justicia, solicita que se confirme la decisión de primera instancia al estimar que el caso de la señora Rodríguez Ramírez se adecúa a lo preceptuado por la Alta Magistratura.</w:t>
      </w:r>
    </w:p>
    <w:p w:rsidR="00D618FF" w:rsidRPr="00D618FF" w:rsidRDefault="00D618FF" w:rsidP="00D618FF">
      <w:pPr>
        <w:spacing w:line="276" w:lineRule="auto"/>
        <w:jc w:val="both"/>
        <w:textAlignment w:val="baseline"/>
        <w:rPr>
          <w:rFonts w:ascii="Arial" w:hAnsi="Arial" w:cs="Arial"/>
          <w:lang w:val="es-ES" w:eastAsia="es-ES"/>
        </w:rPr>
      </w:pPr>
    </w:p>
    <w:p w:rsidR="00E0425D" w:rsidRPr="00D618FF" w:rsidRDefault="00E0425D" w:rsidP="00D618FF">
      <w:pPr>
        <w:spacing w:line="276" w:lineRule="auto"/>
        <w:jc w:val="center"/>
        <w:textAlignment w:val="baseline"/>
        <w:rPr>
          <w:rFonts w:ascii="Arial" w:hAnsi="Arial" w:cs="Arial"/>
          <w:lang w:val="es-ES" w:eastAsia="es-ES"/>
        </w:rPr>
      </w:pPr>
      <w:r w:rsidRPr="00D618FF">
        <w:rPr>
          <w:rFonts w:ascii="Arial" w:hAnsi="Arial" w:cs="Arial"/>
          <w:b/>
          <w:bCs/>
          <w:lang w:eastAsia="es-ES"/>
        </w:rPr>
        <w:t>Cuestión previa</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eastAsia="es-ES"/>
        </w:rPr>
      </w:pPr>
    </w:p>
    <w:p w:rsidR="00E0425D"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w:t>
      </w:r>
      <w:proofErr w:type="spellStart"/>
      <w:r w:rsidRPr="00D618FF">
        <w:rPr>
          <w:rFonts w:ascii="Arial" w:hAnsi="Arial" w:cs="Arial"/>
          <w:lang w:eastAsia="es-ES"/>
        </w:rPr>
        <w:t>STL4759</w:t>
      </w:r>
      <w:proofErr w:type="spellEnd"/>
      <w:r w:rsidRPr="00D618FF">
        <w:rPr>
          <w:rFonts w:ascii="Arial" w:hAnsi="Arial" w:cs="Arial"/>
          <w:lang w:eastAsia="es-ES"/>
        </w:rPr>
        <w:t>-2020,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p>
    <w:p w:rsidR="00D618FF" w:rsidRPr="00D618FF" w:rsidRDefault="00D618FF" w:rsidP="00D618FF">
      <w:pPr>
        <w:spacing w:line="276" w:lineRule="auto"/>
        <w:jc w:val="both"/>
        <w:textAlignment w:val="baseline"/>
        <w:rPr>
          <w:rFonts w:ascii="Arial" w:hAnsi="Arial" w:cs="Arial"/>
          <w:lang w:val="es-ES"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Así las cosas, atendidas las argumentaciones a esta Sala de Decisión le </w:t>
      </w:r>
      <w:proofErr w:type="gramStart"/>
      <w:r w:rsidRPr="00D618FF">
        <w:rPr>
          <w:rFonts w:ascii="Arial" w:hAnsi="Arial" w:cs="Arial"/>
          <w:lang w:eastAsia="es-ES"/>
        </w:rPr>
        <w:t>corresponde</w:t>
      </w:r>
      <w:proofErr w:type="gramEnd"/>
      <w:r w:rsidRPr="00D618FF">
        <w:rPr>
          <w:rFonts w:ascii="Arial" w:hAnsi="Arial" w:cs="Arial"/>
          <w:lang w:eastAsia="es-ES"/>
        </w:rPr>
        <w:t xml:space="preserve"> resolver los siguientes:</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p>
    <w:p w:rsidR="00E0425D" w:rsidRPr="00D618FF" w:rsidRDefault="00E0425D" w:rsidP="00D618FF">
      <w:pPr>
        <w:spacing w:line="276" w:lineRule="auto"/>
        <w:jc w:val="center"/>
        <w:textAlignment w:val="baseline"/>
        <w:rPr>
          <w:rFonts w:ascii="Arial" w:hAnsi="Arial" w:cs="Arial"/>
          <w:lang w:val="es-ES" w:eastAsia="es-ES"/>
        </w:rPr>
      </w:pPr>
      <w:r w:rsidRPr="00D618FF">
        <w:rPr>
          <w:rFonts w:ascii="Arial" w:hAnsi="Arial" w:cs="Arial"/>
          <w:b/>
          <w:bCs/>
          <w:lang w:eastAsia="es-ES"/>
        </w:rPr>
        <w:t>PROBLEMAS JURÍDICOS</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b/>
          <w:bCs/>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b/>
          <w:bCs/>
          <w:lang w:eastAsia="es-ES"/>
        </w:rPr>
        <w:t>¿Hay lugar a declarar ineficaz la afiliación de la señora María Patricia Rodríguez Ramírez al Régimen de Ahorro Individual con Solidaridad? </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b/>
          <w:bCs/>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b/>
          <w:bCs/>
          <w:lang w:eastAsia="es-ES"/>
        </w:rPr>
        <w:t>De conformidad con la respuesta al interrogante anterior ¿Debía ordenarse la devolución de los gastos de administración con cargo a los recursos de la AFP Protección S.A.?</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b/>
          <w:bCs/>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b/>
          <w:bCs/>
          <w:lang w:eastAsia="es-ES"/>
        </w:rPr>
        <w:t>¿Existen otros valores que deban ser devueltos por la AFP demandada?</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b/>
          <w:bCs/>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b/>
          <w:bCs/>
          <w:lang w:eastAsia="es-ES"/>
        </w:rPr>
        <w:t>¿Hay lugar a condenar a la AFP Protección S.A. en costas procesales a favor de la Administradora Colombiana de Pensiones?</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Con el propósito de dar solución a los interrogantes se reproducen los siguientes lineamientos de la Sala de Casación Laboral:</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p>
    <w:p w:rsidR="00E0425D" w:rsidRPr="00D618FF" w:rsidRDefault="00E0425D" w:rsidP="00D618FF">
      <w:pPr>
        <w:spacing w:line="276" w:lineRule="auto"/>
        <w:ind w:right="20"/>
        <w:jc w:val="center"/>
        <w:textAlignment w:val="baseline"/>
        <w:rPr>
          <w:rFonts w:ascii="Arial" w:hAnsi="Arial" w:cs="Arial"/>
          <w:lang w:val="es-ES" w:eastAsia="es-ES"/>
        </w:rPr>
      </w:pPr>
      <w:r w:rsidRPr="00D618FF">
        <w:rPr>
          <w:rFonts w:ascii="Arial" w:hAnsi="Arial" w:cs="Arial"/>
          <w:b/>
          <w:bCs/>
          <w:lang w:val="es-ES" w:eastAsia="es-ES"/>
        </w:rPr>
        <w:t>FUNDAMENTO JURISPRUDENCIAL</w:t>
      </w:r>
      <w:r w:rsidRPr="00D618FF">
        <w:rPr>
          <w:rFonts w:ascii="Arial" w:hAnsi="Arial" w:cs="Arial"/>
          <w:lang w:val="es-ES" w:eastAsia="es-ES"/>
        </w:rPr>
        <w:t> </w:t>
      </w:r>
    </w:p>
    <w:p w:rsidR="00E0425D" w:rsidRPr="00D618FF" w:rsidRDefault="00E0425D" w:rsidP="00D618FF">
      <w:pPr>
        <w:spacing w:line="276" w:lineRule="auto"/>
        <w:ind w:right="20"/>
        <w:jc w:val="center"/>
        <w:textAlignment w:val="baseline"/>
        <w:rPr>
          <w:rFonts w:ascii="Arial" w:hAnsi="Arial" w:cs="Arial"/>
          <w:lang w:val="es-ES" w:eastAsia="es-ES"/>
        </w:rPr>
      </w:pP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b/>
          <w:bCs/>
          <w:lang w:eastAsia="es-ES"/>
        </w:rPr>
        <w:t>1. Análisis jurídico que debe abordar el juez cuando se alega ausencia de información parcial o total por parte de las administradoras en los traslados entre regímenes pensionales.</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En sentencia </w:t>
      </w:r>
      <w:proofErr w:type="spellStart"/>
      <w:r w:rsidRPr="00D618FF">
        <w:rPr>
          <w:rFonts w:ascii="Arial" w:hAnsi="Arial" w:cs="Arial"/>
          <w:lang w:eastAsia="es-ES"/>
        </w:rPr>
        <w:t>STL4759</w:t>
      </w:r>
      <w:proofErr w:type="spellEnd"/>
      <w:r w:rsidRPr="00D618FF">
        <w:rPr>
          <w:rFonts w:ascii="Arial" w:hAnsi="Arial" w:cs="Arial"/>
          <w:lang w:eastAsia="es-ES"/>
        </w:rPr>
        <w:t xml:space="preserve"> de 22 de julio de 2020, la Sala de Casación Laboral indicó:</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i/>
          <w:iCs/>
          <w:lang w:eastAsia="es-ES"/>
        </w:rPr>
      </w:pPr>
    </w:p>
    <w:p w:rsidR="00D618FF" w:rsidRPr="003B104E" w:rsidRDefault="00D618FF" w:rsidP="00D618FF">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7C4DA7">
        <w:rPr>
          <w:rFonts w:ascii="Arial" w:hAnsi="Arial" w:cs="Arial"/>
          <w:b/>
          <w:i/>
          <w:iCs/>
          <w:sz w:val="22"/>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3B104E">
        <w:rPr>
          <w:rFonts w:ascii="Arial" w:hAnsi="Arial" w:cs="Arial"/>
          <w:i/>
          <w:iCs/>
          <w:sz w:val="22"/>
          <w:lang w:eastAsia="es-ES"/>
        </w:rPr>
        <w:t>, sin importar si la persona es o no beneficiaria del régimen de transición, o si está próximo a pensionarse.”. (Negrillas fuera de texto). </w:t>
      </w:r>
    </w:p>
    <w:p w:rsidR="00D618FF" w:rsidRDefault="00D618FF" w:rsidP="00D618FF">
      <w:pPr>
        <w:spacing w:line="276" w:lineRule="auto"/>
        <w:jc w:val="both"/>
        <w:textAlignment w:val="baseline"/>
        <w:rPr>
          <w:rFonts w:ascii="Arial" w:hAnsi="Arial" w:cs="Arial"/>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Y más adelante reiteró:</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i/>
          <w:iCs/>
          <w:lang w:eastAsia="es-ES"/>
        </w:rPr>
      </w:pPr>
    </w:p>
    <w:p w:rsidR="00D618FF" w:rsidRPr="003B104E" w:rsidRDefault="00D618FF" w:rsidP="00D618FF">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“Así, en sentencias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31989, 9 sep. 2008,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31314, 9 sep. 2008,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33083, 22 nov. 2011, CSJ </w:t>
      </w:r>
      <w:proofErr w:type="spellStart"/>
      <w:r w:rsidRPr="003B104E">
        <w:rPr>
          <w:rFonts w:ascii="Arial" w:hAnsi="Arial" w:cs="Arial"/>
          <w:i/>
          <w:iCs/>
          <w:sz w:val="22"/>
          <w:lang w:eastAsia="es-ES"/>
        </w:rPr>
        <w:t>SL12136</w:t>
      </w:r>
      <w:proofErr w:type="spellEnd"/>
      <w:r w:rsidRPr="003B104E">
        <w:rPr>
          <w:rFonts w:ascii="Arial" w:hAnsi="Arial" w:cs="Arial"/>
          <w:i/>
          <w:iCs/>
          <w:sz w:val="22"/>
          <w:lang w:eastAsia="es-ES"/>
        </w:rPr>
        <w:t xml:space="preserve">-2014, CSJ </w:t>
      </w:r>
      <w:proofErr w:type="spellStart"/>
      <w:r w:rsidRPr="003B104E">
        <w:rPr>
          <w:rFonts w:ascii="Arial" w:hAnsi="Arial" w:cs="Arial"/>
          <w:i/>
          <w:iCs/>
          <w:sz w:val="22"/>
          <w:lang w:eastAsia="es-ES"/>
        </w:rPr>
        <w:t>SL19447</w:t>
      </w:r>
      <w:proofErr w:type="spellEnd"/>
      <w:r w:rsidRPr="003B104E">
        <w:rPr>
          <w:rFonts w:ascii="Arial" w:hAnsi="Arial" w:cs="Arial"/>
          <w:i/>
          <w:iCs/>
          <w:sz w:val="22"/>
          <w:lang w:eastAsia="es-ES"/>
        </w:rPr>
        <w:t xml:space="preserve">-2017, CSJ </w:t>
      </w:r>
      <w:proofErr w:type="spellStart"/>
      <w:r w:rsidRPr="003B104E">
        <w:rPr>
          <w:rFonts w:ascii="Arial" w:hAnsi="Arial" w:cs="Arial"/>
          <w:i/>
          <w:iCs/>
          <w:sz w:val="22"/>
          <w:lang w:eastAsia="es-ES"/>
        </w:rPr>
        <w:t>SL4964</w:t>
      </w:r>
      <w:proofErr w:type="spellEnd"/>
      <w:r w:rsidRPr="003B104E">
        <w:rPr>
          <w:rFonts w:ascii="Arial" w:hAnsi="Arial" w:cs="Arial"/>
          <w:i/>
          <w:iCs/>
          <w:sz w:val="22"/>
          <w:lang w:eastAsia="es-ES"/>
        </w:rPr>
        <w:t xml:space="preserve">-2018, CSJ </w:t>
      </w:r>
      <w:proofErr w:type="spellStart"/>
      <w:r w:rsidRPr="003B104E">
        <w:rPr>
          <w:rFonts w:ascii="Arial" w:hAnsi="Arial" w:cs="Arial"/>
          <w:i/>
          <w:iCs/>
          <w:sz w:val="22"/>
          <w:lang w:eastAsia="es-ES"/>
        </w:rPr>
        <w:t>SL4989</w:t>
      </w:r>
      <w:proofErr w:type="spellEnd"/>
      <w:r w:rsidRPr="003B104E">
        <w:rPr>
          <w:rFonts w:ascii="Arial" w:hAnsi="Arial" w:cs="Arial"/>
          <w:i/>
          <w:iCs/>
          <w:sz w:val="22"/>
          <w:lang w:eastAsia="es-ES"/>
        </w:rPr>
        <w:t xml:space="preserve">-2018, CSJ </w:t>
      </w:r>
      <w:proofErr w:type="spellStart"/>
      <w:r w:rsidRPr="003B104E">
        <w:rPr>
          <w:rFonts w:ascii="Arial" w:hAnsi="Arial" w:cs="Arial"/>
          <w:i/>
          <w:iCs/>
          <w:sz w:val="22"/>
          <w:lang w:eastAsia="es-ES"/>
        </w:rPr>
        <w:t>SL452</w:t>
      </w:r>
      <w:proofErr w:type="spellEnd"/>
      <w:r w:rsidRPr="003B104E">
        <w:rPr>
          <w:rFonts w:ascii="Arial" w:hAnsi="Arial" w:cs="Arial"/>
          <w:i/>
          <w:iCs/>
          <w:sz w:val="22"/>
          <w:lang w:eastAsia="es-ES"/>
        </w:rPr>
        <w:t xml:space="preserve">-2019, CSJ </w:t>
      </w:r>
      <w:proofErr w:type="spellStart"/>
      <w:r w:rsidRPr="003B104E">
        <w:rPr>
          <w:rFonts w:ascii="Arial" w:hAnsi="Arial" w:cs="Arial"/>
          <w:i/>
          <w:iCs/>
          <w:sz w:val="22"/>
          <w:lang w:eastAsia="es-ES"/>
        </w:rPr>
        <w:t>SL1688</w:t>
      </w:r>
      <w:proofErr w:type="spellEnd"/>
      <w:r w:rsidRPr="003B104E">
        <w:rPr>
          <w:rFonts w:ascii="Arial" w:hAnsi="Arial" w:cs="Arial"/>
          <w:i/>
          <w:iCs/>
          <w:sz w:val="22"/>
          <w:lang w:eastAsia="es-ES"/>
        </w:rPr>
        <w:t xml:space="preserve">-2019 y </w:t>
      </w:r>
      <w:proofErr w:type="spellStart"/>
      <w:r w:rsidRPr="003B104E">
        <w:rPr>
          <w:rFonts w:ascii="Arial" w:hAnsi="Arial" w:cs="Arial"/>
          <w:i/>
          <w:iCs/>
          <w:sz w:val="22"/>
          <w:lang w:eastAsia="es-ES"/>
        </w:rPr>
        <w:t>SL1689</w:t>
      </w:r>
      <w:proofErr w:type="spellEnd"/>
      <w:r w:rsidRPr="003B104E">
        <w:rPr>
          <w:rFonts w:ascii="Arial" w:hAnsi="Arial" w:cs="Arial"/>
          <w:i/>
          <w:iCs/>
          <w:sz w:val="22"/>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7C4DA7">
        <w:rPr>
          <w:rFonts w:ascii="Arial" w:hAnsi="Arial" w:cs="Arial"/>
          <w:b/>
          <w:i/>
          <w:iCs/>
          <w:sz w:val="22"/>
          <w:lang w:eastAsia="es-ES"/>
        </w:rPr>
        <w:t>Por este motivo, el examen del acto del cambio de régimen pensional, por transgresión del deber de información, tiene que abordarse desde la institución de la ineficacia en sentido estricto</w:t>
      </w:r>
      <w:r w:rsidRPr="003B104E">
        <w:rPr>
          <w:rFonts w:ascii="Arial" w:hAnsi="Arial" w:cs="Arial"/>
          <w:i/>
          <w:iCs/>
          <w:sz w:val="22"/>
          <w:lang w:eastAsia="es-ES"/>
        </w:rPr>
        <w:t xml:space="preserve"> y no desde el régimen de las nulidades sustanciales.” (Negrillas fuera de texto). </w:t>
      </w:r>
    </w:p>
    <w:p w:rsidR="00D618FF" w:rsidRPr="00D618FF" w:rsidRDefault="00D618FF" w:rsidP="00D618FF">
      <w:pPr>
        <w:spacing w:line="276" w:lineRule="auto"/>
        <w:jc w:val="both"/>
        <w:textAlignment w:val="baseline"/>
        <w:rPr>
          <w:rFonts w:ascii="Arial" w:hAnsi="Arial" w:cs="Arial"/>
          <w:lang w:val="es-ES"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b/>
          <w:bCs/>
          <w:lang w:eastAsia="es-ES"/>
        </w:rPr>
        <w:t>2. Sobre el deber de información. </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val="es-ES"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xml:space="preserve">Frente a este ítem, la Corte Suprema de Justicia en providencia </w:t>
      </w:r>
      <w:proofErr w:type="spellStart"/>
      <w:r w:rsidRPr="00D618FF">
        <w:rPr>
          <w:rFonts w:ascii="Arial" w:hAnsi="Arial" w:cs="Arial"/>
          <w:lang w:val="es-ES" w:eastAsia="es-ES"/>
        </w:rPr>
        <w:t>SL1452</w:t>
      </w:r>
      <w:proofErr w:type="spellEnd"/>
      <w:r w:rsidRPr="00D618FF">
        <w:rPr>
          <w:rFonts w:ascii="Arial" w:hAnsi="Arial" w:cs="Arial"/>
          <w:lang w:val="es-ES" w:eastAsia="es-ES"/>
        </w:rPr>
        <w:t xml:space="preserve"> de 3 de abril de 2019, señaló que el deber de información a cargo de las administradoras de fondos de pensiones ha sido exigible desde el momento de su creación, </w:t>
      </w:r>
      <w:r w:rsidRPr="00D618FF">
        <w:rPr>
          <w:rFonts w:ascii="Arial" w:hAnsi="Arial" w:cs="Arial"/>
          <w:lang w:val="es-ES" w:eastAsia="es-ES"/>
        </w:rPr>
        <w:lastRenderedPageBreak/>
        <w:t>identificando tres etapas en el que el nivel de exigencia en la información se ha incrementado de acuerdo con la evolución histórica de las normas que regulan la materia; lo que expuso en resumen así: </w:t>
      </w:r>
    </w:p>
    <w:p w:rsidR="00D618FF" w:rsidRDefault="00D618FF" w:rsidP="00D618FF">
      <w:pPr>
        <w:spacing w:line="276" w:lineRule="auto"/>
        <w:jc w:val="both"/>
        <w:textAlignment w:val="baseline"/>
        <w:rPr>
          <w:rFonts w:ascii="Arial" w:hAnsi="Arial" w:cs="Arial"/>
          <w:i/>
          <w:iCs/>
          <w:lang w:eastAsia="es-ES"/>
        </w:rPr>
      </w:pPr>
    </w:p>
    <w:p w:rsidR="00D618FF" w:rsidRDefault="00D618FF" w:rsidP="00D618FF">
      <w:pPr>
        <w:ind w:left="426" w:right="420"/>
        <w:jc w:val="both"/>
        <w:textAlignment w:val="baseline"/>
        <w:rPr>
          <w:rFonts w:ascii="Arial" w:hAnsi="Arial" w:cs="Arial"/>
          <w:sz w:val="22"/>
          <w:lang w:val="es-ES" w:eastAsia="es-ES"/>
        </w:rPr>
      </w:pPr>
      <w:r w:rsidRPr="0049050B">
        <w:rPr>
          <w:rFonts w:ascii="Arial" w:hAnsi="Arial" w:cs="Arial"/>
          <w:i/>
          <w:iCs/>
          <w:sz w:val="22"/>
          <w:lang w:eastAsia="es-ES"/>
        </w:rPr>
        <w:t>“El anterior recuento sobre la evolución normativa del deber de información a cargo de las administradoras de pensiones podría, a grandes rasgos, sintetizarse así:</w:t>
      </w:r>
    </w:p>
    <w:p w:rsidR="00D618FF" w:rsidRPr="0049050B" w:rsidRDefault="00D618FF" w:rsidP="00D618FF">
      <w:pPr>
        <w:ind w:left="426" w:right="420"/>
        <w:jc w:val="both"/>
        <w:textAlignment w:val="baseline"/>
        <w:rPr>
          <w:rFonts w:ascii="Arial" w:hAnsi="Arial" w:cs="Arial"/>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D618FF"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Etapa acumulativa</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Normas que obligan a las administradoras de pensiones a dar información</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Contenido mínimo y alcance del deber de información</w:t>
            </w:r>
            <w:r w:rsidRPr="0049050B">
              <w:rPr>
                <w:rFonts w:ascii="Arial" w:hAnsi="Arial" w:cs="Arial"/>
                <w:sz w:val="20"/>
                <w:lang w:val="es-ES" w:eastAsia="es-ES"/>
              </w:rPr>
              <w:t> </w:t>
            </w:r>
          </w:p>
        </w:tc>
      </w:tr>
      <w:tr w:rsidR="00D618FF"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Arts. 13 literal b), 271 y 272 de la Ley 100 de 1993</w:t>
            </w:r>
            <w:r w:rsidRPr="0049050B">
              <w:rPr>
                <w:rFonts w:ascii="Arial" w:hAnsi="Arial" w:cs="Arial"/>
                <w:sz w:val="20"/>
                <w:lang w:val="es-ES" w:eastAsia="es-ES"/>
              </w:rPr>
              <w:t> </w:t>
            </w:r>
          </w:p>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Art. 97, numeral 1 del Decreto 663 de 1993, modificado por el artículo 23 de la Ley 797 de 2003</w:t>
            </w:r>
            <w:r w:rsidRPr="0049050B">
              <w:rPr>
                <w:rFonts w:ascii="Arial" w:hAnsi="Arial" w:cs="Arial"/>
                <w:sz w:val="20"/>
                <w:lang w:val="es-ES" w:eastAsia="es-ES"/>
              </w:rPr>
              <w:t> </w:t>
            </w:r>
          </w:p>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Disposiciones constitucionales relativas al derecho a la información, no menoscabo de derechos laborales y autonomía personal</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9050B">
              <w:rPr>
                <w:rFonts w:ascii="Arial" w:hAnsi="Arial" w:cs="Arial"/>
                <w:sz w:val="20"/>
                <w:lang w:val="es-ES" w:eastAsia="es-ES"/>
              </w:rPr>
              <w:t> </w:t>
            </w:r>
          </w:p>
        </w:tc>
      </w:tr>
      <w:tr w:rsidR="00D618FF"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asesoría y buen consejo</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literal c) de la Ley 1328 de 2009</w:t>
            </w:r>
            <w:r w:rsidRPr="0049050B">
              <w:rPr>
                <w:rFonts w:ascii="Arial" w:hAnsi="Arial" w:cs="Arial"/>
                <w:sz w:val="20"/>
                <w:lang w:val="es-ES" w:eastAsia="es-ES"/>
              </w:rPr>
              <w:t> </w:t>
            </w:r>
          </w:p>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Decreto 2241 de 2010</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9050B">
              <w:rPr>
                <w:rFonts w:ascii="Arial" w:hAnsi="Arial" w:cs="Arial"/>
                <w:sz w:val="20"/>
                <w:lang w:val="es-ES" w:eastAsia="es-ES"/>
              </w:rPr>
              <w:t> </w:t>
            </w:r>
          </w:p>
        </w:tc>
      </w:tr>
      <w:tr w:rsidR="00D618FF"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asesoría, buen consejo y doble asesoría.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Ley 1748 de 2014</w:t>
            </w:r>
            <w:r w:rsidRPr="0049050B">
              <w:rPr>
                <w:rFonts w:ascii="Arial" w:hAnsi="Arial" w:cs="Arial"/>
                <w:sz w:val="20"/>
                <w:lang w:val="es-ES" w:eastAsia="es-ES"/>
              </w:rPr>
              <w:t> </w:t>
            </w:r>
          </w:p>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del Decreto 2071 de 2015</w:t>
            </w:r>
            <w:r w:rsidRPr="0049050B">
              <w:rPr>
                <w:rFonts w:ascii="Arial" w:hAnsi="Arial" w:cs="Arial"/>
                <w:sz w:val="20"/>
                <w:lang w:val="es-ES" w:eastAsia="es-ES"/>
              </w:rPr>
              <w:t> </w:t>
            </w:r>
          </w:p>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Circular Externa n. 016 de 2016</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618FF" w:rsidRPr="0049050B" w:rsidRDefault="00D618FF"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Junto con lo anterior, lleva inmerso el derecho a obtener asesoría de los representantes de ambos regímenes pensionales.</w:t>
            </w:r>
            <w:r w:rsidRPr="0049050B">
              <w:rPr>
                <w:rFonts w:ascii="Arial" w:hAnsi="Arial" w:cs="Arial"/>
                <w:sz w:val="20"/>
                <w:lang w:val="es-ES" w:eastAsia="es-ES"/>
              </w:rPr>
              <w:t> </w:t>
            </w:r>
          </w:p>
        </w:tc>
      </w:tr>
    </w:tbl>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b/>
          <w:bCs/>
          <w:lang w:val="es-ES" w:eastAsia="es-ES"/>
        </w:rPr>
        <w:t>3. La suscripción del formulario de afiliación.</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val="es-ES"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xml:space="preserve">Respecto al valor probatorio del formulario de afiliación suscrito entre la AFP y el potencial afiliado, la alta magistratura en la providencia que se viene referenciando sostiene que ese documento por </w:t>
      </w:r>
      <w:r w:rsidR="00D618FF" w:rsidRPr="00D618FF">
        <w:rPr>
          <w:rFonts w:ascii="Arial" w:hAnsi="Arial" w:cs="Arial"/>
          <w:lang w:val="es-ES" w:eastAsia="es-ES"/>
        </w:rPr>
        <w:t>sí</w:t>
      </w:r>
      <w:r w:rsidRPr="00D618FF">
        <w:rPr>
          <w:rFonts w:ascii="Arial" w:hAnsi="Arial" w:cs="Arial"/>
          <w:lang w:val="es-ES" w:eastAsia="es-ES"/>
        </w:rPr>
        <w:t xml:space="preserve"> solo no le otorga plena validez al traslado entre regímenes pensionales, argumentando que:  </w:t>
      </w:r>
    </w:p>
    <w:p w:rsidR="00D618FF" w:rsidRDefault="00D618FF" w:rsidP="00D618FF">
      <w:pPr>
        <w:spacing w:line="276" w:lineRule="auto"/>
        <w:jc w:val="both"/>
        <w:textAlignment w:val="baseline"/>
        <w:rPr>
          <w:rFonts w:ascii="Arial" w:hAnsi="Arial" w:cs="Arial"/>
          <w:i/>
          <w:iCs/>
          <w:lang w:eastAsia="es-ES"/>
        </w:rPr>
      </w:pPr>
    </w:p>
    <w:p w:rsidR="00D618FF" w:rsidRPr="0049050B" w:rsidRDefault="00D618FF" w:rsidP="00D618FF">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49050B">
        <w:rPr>
          <w:rFonts w:ascii="Arial" w:hAnsi="Arial" w:cs="Arial"/>
          <w:i/>
          <w:iCs/>
          <w:sz w:val="22"/>
          <w:lang w:eastAsia="es-ES"/>
        </w:rPr>
        <w:t>preimpresos</w:t>
      </w:r>
      <w:proofErr w:type="spellEnd"/>
      <w:r w:rsidRPr="0049050B">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9050B">
        <w:rPr>
          <w:rFonts w:ascii="Arial" w:hAnsi="Arial" w:cs="Arial"/>
          <w:sz w:val="22"/>
          <w:lang w:val="es-ES" w:eastAsia="es-ES"/>
        </w:rPr>
        <w:t> </w:t>
      </w:r>
    </w:p>
    <w:p w:rsidR="00D618FF" w:rsidRPr="0049050B" w:rsidRDefault="00D618FF" w:rsidP="00D618FF">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w:t>
      </w:r>
      <w:r w:rsidRPr="0049050B">
        <w:rPr>
          <w:rFonts w:ascii="Arial" w:hAnsi="Arial" w:cs="Arial"/>
          <w:sz w:val="22"/>
          <w:lang w:val="es-ES" w:eastAsia="es-ES"/>
        </w:rPr>
        <w:t> </w:t>
      </w:r>
    </w:p>
    <w:p w:rsidR="00D618FF" w:rsidRPr="0049050B" w:rsidRDefault="00D618FF" w:rsidP="00D618FF">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Sobre el particular, en la sentencia </w:t>
      </w:r>
      <w:proofErr w:type="spellStart"/>
      <w:r w:rsidRPr="0049050B">
        <w:rPr>
          <w:rFonts w:ascii="Arial" w:hAnsi="Arial" w:cs="Arial"/>
          <w:i/>
          <w:iCs/>
          <w:sz w:val="22"/>
          <w:lang w:eastAsia="es-ES"/>
        </w:rPr>
        <w:t>SL19447</w:t>
      </w:r>
      <w:proofErr w:type="spellEnd"/>
      <w:r w:rsidRPr="0049050B">
        <w:rPr>
          <w:rFonts w:ascii="Arial" w:hAnsi="Arial" w:cs="Arial"/>
          <w:i/>
          <w:iCs/>
          <w:sz w:val="22"/>
          <w:lang w:eastAsia="es-ES"/>
        </w:rPr>
        <w:t>-2017 la Sala explicó: </w:t>
      </w:r>
      <w:r w:rsidRPr="0049050B">
        <w:rPr>
          <w:rFonts w:ascii="Arial" w:hAnsi="Arial" w:cs="Arial"/>
          <w:sz w:val="22"/>
          <w:lang w:val="es-ES" w:eastAsia="es-ES"/>
        </w:rPr>
        <w:t> </w:t>
      </w:r>
    </w:p>
    <w:p w:rsidR="00D618FF" w:rsidRPr="0049050B" w:rsidRDefault="00D618FF" w:rsidP="00D618FF">
      <w:pPr>
        <w:ind w:left="426" w:right="420"/>
        <w:jc w:val="both"/>
        <w:textAlignment w:val="baseline"/>
        <w:rPr>
          <w:rFonts w:ascii="Arial" w:hAnsi="Arial" w:cs="Arial"/>
          <w:sz w:val="22"/>
          <w:lang w:val="es-ES" w:eastAsia="es-ES"/>
        </w:rPr>
      </w:pPr>
      <w:r w:rsidRPr="0049050B">
        <w:rPr>
          <w:rFonts w:ascii="Arial" w:hAnsi="Arial" w:cs="Arial"/>
          <w:sz w:val="22"/>
          <w:lang w:val="es-ES" w:eastAsia="es-ES"/>
        </w:rPr>
        <w:t> </w:t>
      </w:r>
    </w:p>
    <w:p w:rsidR="00D618FF" w:rsidRPr="0049050B" w:rsidRDefault="00D618FF" w:rsidP="00D618FF">
      <w:pPr>
        <w:ind w:left="709" w:right="703"/>
        <w:jc w:val="both"/>
        <w:textAlignment w:val="baseline"/>
        <w:rPr>
          <w:rFonts w:ascii="Arial" w:hAnsi="Arial" w:cs="Arial"/>
          <w:sz w:val="22"/>
          <w:lang w:val="es-ES" w:eastAsia="es-ES"/>
        </w:rPr>
      </w:pPr>
      <w:r w:rsidRPr="0049050B">
        <w:rPr>
          <w:rFonts w:ascii="Arial" w:hAnsi="Arial" w:cs="Arial"/>
          <w:i/>
          <w:iCs/>
          <w:sz w:val="22"/>
          <w:lang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w:t>
      </w:r>
      <w:r w:rsidRPr="0049050B">
        <w:rPr>
          <w:rFonts w:ascii="Arial" w:hAnsi="Arial" w:cs="Arial"/>
          <w:i/>
          <w:iCs/>
          <w:sz w:val="22"/>
          <w:lang w:eastAsia="es-ES"/>
        </w:rPr>
        <w:lastRenderedPageBreak/>
        <w:t>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9050B">
        <w:rPr>
          <w:rFonts w:ascii="Arial" w:hAnsi="Arial" w:cs="Arial"/>
          <w:sz w:val="22"/>
          <w:lang w:val="es-ES" w:eastAsia="es-ES"/>
        </w:rPr>
        <w:t> </w:t>
      </w:r>
    </w:p>
    <w:p w:rsidR="00D618FF" w:rsidRPr="0049050B" w:rsidRDefault="00D618FF" w:rsidP="00D618FF">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D618FF" w:rsidRPr="0049050B" w:rsidRDefault="00D618FF" w:rsidP="00D618FF">
      <w:pPr>
        <w:ind w:left="709" w:right="703"/>
        <w:jc w:val="both"/>
        <w:textAlignment w:val="baseline"/>
        <w:rPr>
          <w:rFonts w:ascii="Arial" w:hAnsi="Arial" w:cs="Arial"/>
          <w:sz w:val="22"/>
          <w:lang w:val="es-ES" w:eastAsia="es-ES"/>
        </w:rPr>
      </w:pPr>
      <w:r w:rsidRPr="0049050B">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9050B">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9050B">
        <w:rPr>
          <w:rFonts w:ascii="Arial" w:hAnsi="Arial" w:cs="Arial"/>
          <w:i/>
          <w:iCs/>
          <w:sz w:val="22"/>
          <w:lang w:eastAsia="es-ES"/>
        </w:rPr>
        <w:t xml:space="preserve"> […].</w:t>
      </w:r>
      <w:r w:rsidRPr="0049050B">
        <w:rPr>
          <w:rFonts w:ascii="Arial" w:hAnsi="Arial" w:cs="Arial"/>
          <w:sz w:val="22"/>
          <w:lang w:eastAsia="es-ES"/>
        </w:rPr>
        <w:t> </w:t>
      </w:r>
      <w:r w:rsidRPr="0049050B">
        <w:rPr>
          <w:rFonts w:ascii="Arial" w:hAnsi="Arial" w:cs="Arial"/>
          <w:sz w:val="22"/>
          <w:lang w:val="es-ES" w:eastAsia="es-ES"/>
        </w:rPr>
        <w:t> </w:t>
      </w:r>
    </w:p>
    <w:p w:rsidR="00D618FF" w:rsidRPr="0049050B" w:rsidRDefault="00D618FF" w:rsidP="00D618FF">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D618FF" w:rsidRPr="00942EAF" w:rsidRDefault="00D618FF" w:rsidP="00D618FF">
      <w:pPr>
        <w:ind w:left="426" w:right="420"/>
        <w:jc w:val="both"/>
        <w:textAlignment w:val="baseline"/>
        <w:rPr>
          <w:rFonts w:ascii="Arial" w:hAnsi="Arial" w:cs="Arial"/>
          <w:i/>
          <w:iCs/>
          <w:sz w:val="22"/>
          <w:lang w:eastAsia="es-ES"/>
        </w:rPr>
      </w:pPr>
      <w:r w:rsidRPr="0049050B">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r w:rsidRPr="00942EAF">
        <w:rPr>
          <w:rFonts w:ascii="Arial" w:hAnsi="Arial" w:cs="Arial"/>
          <w:i/>
          <w:iCs/>
          <w:sz w:val="22"/>
          <w:lang w:eastAsia="es-ES"/>
        </w:rPr>
        <w:t>  </w:t>
      </w:r>
    </w:p>
    <w:p w:rsidR="00D618FF" w:rsidRPr="00D618FF" w:rsidRDefault="00D618FF" w:rsidP="00D618FF">
      <w:pPr>
        <w:spacing w:line="276" w:lineRule="auto"/>
        <w:jc w:val="both"/>
        <w:textAlignment w:val="baseline"/>
        <w:rPr>
          <w:rFonts w:ascii="Arial" w:hAnsi="Arial" w:cs="Arial"/>
          <w:b/>
          <w:bCs/>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b/>
          <w:bCs/>
          <w:lang w:val="es-ES" w:eastAsia="es-ES"/>
        </w:rPr>
        <w:t>4. Carga de la prueba.</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val="es-ES" w:eastAsia="es-ES"/>
        </w:rPr>
      </w:pPr>
    </w:p>
    <w:p w:rsidR="00E0425D"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Continuando con su exposición argumentativa, el máximo órgano de la jurisdicción laboral sentó frente al punto: </w:t>
      </w:r>
    </w:p>
    <w:p w:rsidR="00D618FF" w:rsidRPr="00D618FF" w:rsidRDefault="00D618FF" w:rsidP="00D618FF">
      <w:pPr>
        <w:spacing w:line="276" w:lineRule="auto"/>
        <w:jc w:val="both"/>
        <w:textAlignment w:val="baseline"/>
        <w:rPr>
          <w:rFonts w:ascii="Arial" w:hAnsi="Arial" w:cs="Arial"/>
          <w:lang w:val="es-ES" w:eastAsia="es-ES"/>
        </w:rPr>
      </w:pPr>
    </w:p>
    <w:p w:rsidR="00D618FF" w:rsidRPr="003B104E" w:rsidRDefault="00D618FF" w:rsidP="00D618FF">
      <w:pPr>
        <w:ind w:left="426" w:right="420"/>
        <w:jc w:val="both"/>
        <w:textAlignment w:val="baseline"/>
        <w:rPr>
          <w:rFonts w:ascii="Arial" w:hAnsi="Arial" w:cs="Arial"/>
          <w:i/>
          <w:iCs/>
          <w:sz w:val="22"/>
          <w:lang w:eastAsia="es-ES"/>
        </w:rPr>
      </w:pPr>
      <w:r w:rsidRPr="003B104E">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D618FF" w:rsidRPr="003B104E" w:rsidRDefault="00D618FF" w:rsidP="00D618FF">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D618FF" w:rsidRPr="003B104E" w:rsidRDefault="00D618FF" w:rsidP="00D618FF">
      <w:pPr>
        <w:ind w:left="426" w:right="420"/>
        <w:jc w:val="both"/>
        <w:textAlignment w:val="baseline"/>
        <w:rPr>
          <w:rFonts w:ascii="Arial" w:hAnsi="Arial" w:cs="Arial"/>
          <w:i/>
          <w:iCs/>
          <w:sz w:val="22"/>
          <w:lang w:eastAsia="es-ES"/>
        </w:rPr>
      </w:pPr>
      <w:r w:rsidRPr="003B104E">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D618FF" w:rsidRPr="003B104E" w:rsidRDefault="00D618FF" w:rsidP="00D618FF">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D618FF" w:rsidRPr="003B104E" w:rsidRDefault="00D618FF" w:rsidP="00D618FF">
      <w:pPr>
        <w:ind w:left="426" w:right="420"/>
        <w:jc w:val="both"/>
        <w:textAlignment w:val="baseline"/>
        <w:rPr>
          <w:rFonts w:ascii="Arial" w:hAnsi="Arial" w:cs="Arial"/>
          <w:i/>
          <w:iCs/>
          <w:sz w:val="22"/>
          <w:lang w:eastAsia="es-ES"/>
        </w:rPr>
      </w:pPr>
      <w:r w:rsidRPr="003B104E">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D618FF" w:rsidRPr="00D618FF" w:rsidRDefault="00D618FF" w:rsidP="00D618FF">
      <w:pPr>
        <w:spacing w:line="276" w:lineRule="auto"/>
        <w:jc w:val="both"/>
        <w:textAlignment w:val="baseline"/>
        <w:rPr>
          <w:rFonts w:ascii="Arial" w:hAnsi="Arial" w:cs="Arial"/>
          <w:b/>
          <w:bCs/>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b/>
          <w:bCs/>
          <w:lang w:val="es-ES" w:eastAsia="es-ES"/>
        </w:rPr>
        <w:t>CASO CONCRETO</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De acuerdo con la solicitud de vinculación Nº 6828087 visible a folio 118 del expediente, la señora María Patricia Rodríguez Ramírez se afilió al régimen de </w:t>
      </w:r>
      <w:r w:rsidRPr="00D618FF">
        <w:rPr>
          <w:rFonts w:ascii="Arial" w:hAnsi="Arial" w:cs="Arial"/>
          <w:lang w:eastAsia="es-ES"/>
        </w:rPr>
        <w:lastRenderedPageBreak/>
        <w:t xml:space="preserve">ahorro individual con solidaridad el 21 de septiembre de 2004 cuando se vinculó a la AFP Protección S.A., sin embargo, se queja la actora que esa afiliación no es válida y por lo tanto nula, debido a que la AFP la afilió al </w:t>
      </w:r>
      <w:proofErr w:type="spellStart"/>
      <w:r w:rsidRPr="00D618FF">
        <w:rPr>
          <w:rFonts w:ascii="Arial" w:hAnsi="Arial" w:cs="Arial"/>
          <w:lang w:eastAsia="es-ES"/>
        </w:rPr>
        <w:t>RAIS</w:t>
      </w:r>
      <w:proofErr w:type="spellEnd"/>
      <w:r w:rsidRPr="00D618FF">
        <w:rPr>
          <w:rFonts w:ascii="Arial" w:hAnsi="Arial" w:cs="Arial"/>
          <w:lang w:eastAsia="es-ES"/>
        </w:rPr>
        <w:t xml:space="preserve"> sin suministrarle la totalidad de información que debía, viciando de esa forma su consentimiento.</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Conforme con lo señalado por la demandante, se procederá a verificar, siguiendo las reglas jurisprudenciales expuestas anteriormente, si la AFP Protección S.A. cumplió con el deber legal de información que le correspondía para el 21 de septiembre de 2004 (primera etapa), siendo pertinente indicar que más allá de que la acción propuesta por la accionante fuera la de nulidad de ese acto jurídico, lo cierto es que, como se vio en el punto primero del fundamento jurisprudencial, la Corte Suprema de Justicia tiene sentado que en este tipo de casos en los que se alega la ausencia parcial o total de información por parte de los fondos privados, lo que debe estudiar el operador judicial, es si el traslado operó en términos de eficacia; por lo que, bajo esa única mirada, se verificará entonces, como ya se advirtió, si la AFP demandada cumplió con el referido deber legal.</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Aclarado lo anterior, en lo que concierne al formulario de afiliación, más allá de que en dicho documento se evidencia la rúbrica de la señora Rodríguez Ramírez en la casilla denominada “voluntad de selección y afiliación” en la que se expone que </w:t>
      </w:r>
      <w:r w:rsidRPr="00D618FF">
        <w:rPr>
          <w:rFonts w:ascii="Arial" w:hAnsi="Arial" w:cs="Arial"/>
          <w:i/>
          <w:iCs/>
          <w:lang w:eastAsia="es-ES"/>
        </w:rPr>
        <w:t>“</w:t>
      </w:r>
      <w:r w:rsidRPr="00D618FF">
        <w:rPr>
          <w:rFonts w:ascii="Arial" w:hAnsi="Arial" w:cs="Arial"/>
          <w:i/>
          <w:iCs/>
          <w:sz w:val="22"/>
          <w:lang w:eastAsia="es-ES"/>
        </w:rPr>
        <w:t>Hago constar que la selección del régimen de ahorro individual con solidaridad lo he efectuado en forma libre, espontánea y sin presiones. Manifiesto que he elegido a Administradora de Fondos de Pensiones y Cesantías Protección S.A. para que administre mis aportes pensionales y que los datos proporcionados en esta solicitud son verdaderos</w:t>
      </w:r>
      <w:r w:rsidR="00D618FF">
        <w:rPr>
          <w:rFonts w:ascii="Arial" w:hAnsi="Arial" w:cs="Arial"/>
          <w:i/>
          <w:iCs/>
          <w:lang w:eastAsia="es-ES"/>
        </w:rPr>
        <w:t>”</w:t>
      </w:r>
      <w:r w:rsidRPr="00D618FF">
        <w:rPr>
          <w:rFonts w:ascii="Arial" w:hAnsi="Arial" w:cs="Arial"/>
          <w:lang w:eastAsia="es-ES"/>
        </w:rPr>
        <w:t>; según lo dice la Sala de Casación Laboral, esa prueba no resulta suficiente para tener por demostrado el deber de información, pues, como mucho, demuestra un consentimiento, pero no informado.</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Ahora, al absolver el interrogatorio de parte, la señora María Patricia Rodríguez Ramírez manifestó que en el año 2004 cuando prestaba sus servicios en la Alcaldía de Piedecuesta, llegó una asesora de la AFP Protección S.A., quien para lograr su afiliación a esa entidad y al </w:t>
      </w:r>
      <w:proofErr w:type="spellStart"/>
      <w:r w:rsidRPr="00D618FF">
        <w:rPr>
          <w:rFonts w:ascii="Arial" w:hAnsi="Arial" w:cs="Arial"/>
          <w:lang w:eastAsia="es-ES"/>
        </w:rPr>
        <w:t>RAIS</w:t>
      </w:r>
      <w:proofErr w:type="spellEnd"/>
      <w:r w:rsidRPr="00D618FF">
        <w:rPr>
          <w:rFonts w:ascii="Arial" w:hAnsi="Arial" w:cs="Arial"/>
          <w:lang w:eastAsia="es-ES"/>
        </w:rPr>
        <w:t xml:space="preserve">, le expresó que en ese régimen pensional podía pensionarse anticipadamente, con una mesada pensional mucho más alta de la que podía alcanzar en el RPM y que en caso de fallecimiento el capital acumulado podía transferirse a sus herederos, además de insistírsele en que de permanecer en el </w:t>
      </w:r>
      <w:proofErr w:type="spellStart"/>
      <w:r w:rsidRPr="00D618FF">
        <w:rPr>
          <w:rFonts w:ascii="Arial" w:hAnsi="Arial" w:cs="Arial"/>
          <w:lang w:eastAsia="es-ES"/>
        </w:rPr>
        <w:t>ISS</w:t>
      </w:r>
      <w:proofErr w:type="spellEnd"/>
      <w:r w:rsidRPr="00D618FF">
        <w:rPr>
          <w:rFonts w:ascii="Arial" w:hAnsi="Arial" w:cs="Arial"/>
          <w:lang w:eastAsia="es-ES"/>
        </w:rPr>
        <w:t>, sus cotizaciones podían perderse por cuanto esa entidad iba a desaparecer; aparte de esa información, sostuvo que no se le dieron otros elementos de juicio que le permitieran conocer a fondo las incidencias que traería su paso a ese régimen pensional.</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Además del formulario de afiliación y del interrogatorio de parte, la AFP Protección S.A. allegó otras pruebas documentales (historial de vinculaciones del </w:t>
      </w:r>
      <w:proofErr w:type="spellStart"/>
      <w:r w:rsidRPr="00D618FF">
        <w:rPr>
          <w:rFonts w:ascii="Arial" w:hAnsi="Arial" w:cs="Arial"/>
          <w:lang w:eastAsia="es-ES"/>
        </w:rPr>
        <w:t>SIAFP</w:t>
      </w:r>
      <w:proofErr w:type="spellEnd"/>
      <w:r w:rsidRPr="00D618FF">
        <w:rPr>
          <w:rFonts w:ascii="Arial" w:hAnsi="Arial" w:cs="Arial"/>
          <w:lang w:eastAsia="es-ES"/>
        </w:rPr>
        <w:t>, historia laboral consolidada de la accionante y respuestas a derechos de petición formulados por la accionante) -</w:t>
      </w:r>
      <w:proofErr w:type="spellStart"/>
      <w:r w:rsidRPr="00D618FF">
        <w:rPr>
          <w:rFonts w:ascii="Arial" w:hAnsi="Arial" w:cs="Arial"/>
          <w:lang w:eastAsia="es-ES"/>
        </w:rPr>
        <w:t>fls</w:t>
      </w:r>
      <w:proofErr w:type="spellEnd"/>
      <w:r w:rsidRPr="00D618FF">
        <w:rPr>
          <w:rFonts w:ascii="Arial" w:hAnsi="Arial" w:cs="Arial"/>
          <w:lang w:eastAsia="es-ES"/>
        </w:rPr>
        <w:t>.</w:t>
      </w:r>
      <w:r w:rsidR="00D618FF">
        <w:rPr>
          <w:rFonts w:ascii="Arial" w:hAnsi="Arial" w:cs="Arial"/>
          <w:lang w:eastAsia="es-ES"/>
        </w:rPr>
        <w:t xml:space="preserve"> </w:t>
      </w:r>
      <w:r w:rsidRPr="00D618FF">
        <w:rPr>
          <w:rFonts w:ascii="Arial" w:hAnsi="Arial" w:cs="Arial"/>
          <w:lang w:eastAsia="es-ES"/>
        </w:rPr>
        <w:t xml:space="preserve">121 a 144-, de las que no se desprende el cumplimiento del deber legal de información que le asistía con la señora María Patricia Rodríguez Ramírez, razón por la que, conforme con lo sentado por la Corte Suprema de Justicia, al no cumplir la AFP con la carga probatoria que le correspondía, no queda otro camino que confirmar la decisión emitida por el </w:t>
      </w:r>
      <w:r w:rsidRPr="00D618FF">
        <w:rPr>
          <w:rFonts w:ascii="Arial" w:hAnsi="Arial" w:cs="Arial"/>
          <w:lang w:eastAsia="es-ES"/>
        </w:rPr>
        <w:lastRenderedPageBreak/>
        <w:t>Juzgado Cuarto Laboral del Circuito, consistente en declarar la ineficacia del acto jurídico por medio del cual la accionante se trasladó del régimen de prima media con prestación definida al régimen de ahorro individual con solidaridad, correspondiéndole girar a favor de la Administradora Colombiana de Pensiones la totalidad del capital que se encuentre inmerso en la cuenta de ahorro individual de la actora, junto con los rendimientos e intereses financieros que se hayan producido.</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En cuanto a la queja elevada por la AFP consistente en que no es posible que se ordene la devolución de los gastos de administración, basta recordar que la Corte Suprema de Justicia en la sentencia </w:t>
      </w:r>
      <w:proofErr w:type="spellStart"/>
      <w:r w:rsidRPr="00D618FF">
        <w:rPr>
          <w:rFonts w:ascii="Arial" w:hAnsi="Arial" w:cs="Arial"/>
          <w:lang w:eastAsia="es-ES"/>
        </w:rPr>
        <w:t>SL1688</w:t>
      </w:r>
      <w:proofErr w:type="spellEnd"/>
      <w:r w:rsidRPr="00D618FF">
        <w:rPr>
          <w:rFonts w:ascii="Arial" w:hAnsi="Arial" w:cs="Arial"/>
          <w:lang w:eastAsia="es-ES"/>
        </w:rPr>
        <w:t xml:space="preserve"> de 8 de mayo de 2019, apoyándose en providencias CSJ </w:t>
      </w:r>
      <w:proofErr w:type="spellStart"/>
      <w:r w:rsidRPr="00D618FF">
        <w:rPr>
          <w:rFonts w:ascii="Arial" w:hAnsi="Arial" w:cs="Arial"/>
          <w:lang w:eastAsia="es-ES"/>
        </w:rPr>
        <w:t>SL</w:t>
      </w:r>
      <w:proofErr w:type="spellEnd"/>
      <w:r w:rsidRPr="00D618FF">
        <w:rPr>
          <w:rFonts w:ascii="Arial" w:hAnsi="Arial" w:cs="Arial"/>
          <w:lang w:eastAsia="es-ES"/>
        </w:rPr>
        <w:t xml:space="preserve"> 31989, 9 sep. 2008, CSJ </w:t>
      </w:r>
      <w:proofErr w:type="spellStart"/>
      <w:r w:rsidRPr="00D618FF">
        <w:rPr>
          <w:rFonts w:ascii="Arial" w:hAnsi="Arial" w:cs="Arial"/>
          <w:lang w:eastAsia="es-ES"/>
        </w:rPr>
        <w:t>SL4964</w:t>
      </w:r>
      <w:proofErr w:type="spellEnd"/>
      <w:r w:rsidRPr="00D618FF">
        <w:rPr>
          <w:rFonts w:ascii="Arial" w:hAnsi="Arial" w:cs="Arial"/>
          <w:lang w:eastAsia="es-ES"/>
        </w:rPr>
        <w:t xml:space="preserve">-2018, CSJ </w:t>
      </w:r>
      <w:proofErr w:type="spellStart"/>
      <w:r w:rsidRPr="00D618FF">
        <w:rPr>
          <w:rFonts w:ascii="Arial" w:hAnsi="Arial" w:cs="Arial"/>
          <w:lang w:eastAsia="es-ES"/>
        </w:rPr>
        <w:t>SL4989</w:t>
      </w:r>
      <w:proofErr w:type="spellEnd"/>
      <w:r w:rsidRPr="00D618FF">
        <w:rPr>
          <w:rFonts w:ascii="Arial" w:hAnsi="Arial" w:cs="Arial"/>
          <w:lang w:eastAsia="es-ES"/>
        </w:rPr>
        <w:t xml:space="preserve">-2018 y CSJ </w:t>
      </w:r>
      <w:proofErr w:type="spellStart"/>
      <w:r w:rsidRPr="00D618FF">
        <w:rPr>
          <w:rFonts w:ascii="Arial" w:hAnsi="Arial" w:cs="Arial"/>
          <w:lang w:eastAsia="es-ES"/>
        </w:rPr>
        <w:t>SL1421</w:t>
      </w:r>
      <w:proofErr w:type="spellEnd"/>
      <w:r w:rsidRPr="00D618FF">
        <w:rPr>
          <w:rFonts w:ascii="Arial" w:hAnsi="Arial" w:cs="Arial"/>
          <w:lang w:eastAsia="es-ES"/>
        </w:rPr>
        <w:t>-2019, sostuvo que otra de las consecuencias prácticas que trae la declaración de ineficacia, es la de la restitución de los gastos de administración con cargo a los recursos propios de la AFP a la Administradora Colombiana de Pensiones, como lo ordenó la falladora de primera instancia; sin embargo, en atención al grado jurisdiccional de consulta dispuesto a favor de Colpensiones, se dispondrá la devolución de esos emolumentos debidamente indexados, en razón a que el paso del tiempo afecta el valor adquisitivo de la moneda en Colombia.</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De la misma manera y en atención nuevamente al referido grado jurisdiccional, se adicionará también la sentencia objeto de estudio, en el sentido de ordenar la restitución, con cargo a sus propios recursos y debidamente indexados, de los valores que fueron destinados a financiar la garantía de pensión mínima y las primas de los seguros de invalidez y sobrevivientes.</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xml:space="preserve">En cuanto a la petición elevada por la Administradora Colombiana de Pensiones consistente en que se condene a la AFP Porvenir S.A. en costas procesales a su favor, sea pertinente indicar que no se dan los presupuestos establecidos en el artículo 365 del </w:t>
      </w:r>
      <w:proofErr w:type="spellStart"/>
      <w:r w:rsidRPr="00D618FF">
        <w:rPr>
          <w:rFonts w:ascii="Arial" w:hAnsi="Arial" w:cs="Arial"/>
          <w:lang w:eastAsia="es-ES"/>
        </w:rPr>
        <w:t>CGP</w:t>
      </w:r>
      <w:proofErr w:type="spellEnd"/>
      <w:r w:rsidRPr="00D618FF">
        <w:rPr>
          <w:rFonts w:ascii="Arial" w:hAnsi="Arial" w:cs="Arial"/>
          <w:lang w:eastAsia="es-ES"/>
        </w:rPr>
        <w:t>, por cuanto en este evento no existe una controversia que deba dirimirse entre esas dos entidades, en tanto ninguna de ellas inició la presente acción en contra de la otra y en consecuencia no puede decirse que existe vencedor y vencido entre ellas en este trámite procesal; razón por la que se negará tal proposición.</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lang w:val="es-ES"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De esta manera quedan resueltos los recursos de apelación interpuestos las entidades demandadas y el grado jurisdiccional de consulta dispuesto a favor de la Administradora Colombiana de Pensiones. </w:t>
      </w:r>
    </w:p>
    <w:p w:rsidR="00D618FF" w:rsidRDefault="00D618FF" w:rsidP="00D618FF">
      <w:pPr>
        <w:spacing w:line="276" w:lineRule="auto"/>
        <w:ind w:right="20"/>
        <w:jc w:val="both"/>
        <w:textAlignment w:val="baseline"/>
        <w:rPr>
          <w:rFonts w:ascii="Arial" w:hAnsi="Arial" w:cs="Arial"/>
          <w:lang w:val="es-ES" w:eastAsia="es-ES"/>
        </w:rPr>
      </w:pPr>
    </w:p>
    <w:p w:rsidR="00E0425D" w:rsidRPr="00D618FF" w:rsidRDefault="00E0425D" w:rsidP="00D618FF">
      <w:pPr>
        <w:spacing w:line="276" w:lineRule="auto"/>
        <w:ind w:right="20"/>
        <w:jc w:val="both"/>
        <w:textAlignment w:val="baseline"/>
        <w:rPr>
          <w:rFonts w:ascii="Arial" w:hAnsi="Arial" w:cs="Arial"/>
          <w:lang w:val="es-ES" w:eastAsia="es-ES"/>
        </w:rPr>
      </w:pPr>
      <w:r w:rsidRPr="00D618FF">
        <w:rPr>
          <w:rFonts w:ascii="Arial" w:hAnsi="Arial" w:cs="Arial"/>
          <w:lang w:val="es-ES" w:eastAsia="es-ES"/>
        </w:rPr>
        <w:t>Las costas en esta sede estarán a cargo de la AFP Protección S.A. a favor de la demandante en un 100%. </w:t>
      </w:r>
    </w:p>
    <w:p w:rsidR="00D618FF" w:rsidRDefault="00D618FF" w:rsidP="00D618FF">
      <w:pPr>
        <w:spacing w:line="276" w:lineRule="auto"/>
        <w:jc w:val="both"/>
        <w:textAlignment w:val="baseline"/>
        <w:rPr>
          <w:rFonts w:ascii="Arial" w:hAnsi="Arial" w:cs="Arial"/>
          <w:lang w:val="es-ES"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val="es-ES" w:eastAsia="es-ES"/>
        </w:rPr>
        <w:t xml:space="preserve">En mérito de lo expuesto, la </w:t>
      </w:r>
      <w:r w:rsidRPr="00D618FF">
        <w:rPr>
          <w:rFonts w:ascii="Arial" w:hAnsi="Arial" w:cs="Arial"/>
          <w:b/>
          <w:bCs/>
          <w:lang w:val="es-ES" w:eastAsia="es-ES"/>
        </w:rPr>
        <w:t>Sala de Decisión Laboral Nº 3 del Tribunal Superior de Pereira</w:t>
      </w:r>
      <w:r w:rsidRPr="00D618FF">
        <w:rPr>
          <w:rFonts w:ascii="Arial" w:hAnsi="Arial" w:cs="Arial"/>
          <w:lang w:val="es-ES" w:eastAsia="es-ES"/>
        </w:rPr>
        <w:t>, administrando justicia en nombre de la República y por autoridad de la ley,  </w:t>
      </w:r>
    </w:p>
    <w:p w:rsidR="00E0425D" w:rsidRPr="00D618FF" w:rsidRDefault="00E0425D" w:rsidP="00D618FF">
      <w:pPr>
        <w:spacing w:line="276" w:lineRule="auto"/>
        <w:jc w:val="center"/>
        <w:textAlignment w:val="baseline"/>
        <w:rPr>
          <w:rFonts w:ascii="Arial" w:hAnsi="Arial" w:cs="Arial"/>
          <w:b/>
          <w:bCs/>
          <w:lang w:val="es-ES" w:eastAsia="es-ES"/>
        </w:rPr>
      </w:pPr>
    </w:p>
    <w:p w:rsidR="00E0425D" w:rsidRPr="00D618FF" w:rsidRDefault="00E0425D" w:rsidP="00D618FF">
      <w:pPr>
        <w:spacing w:line="276" w:lineRule="auto"/>
        <w:jc w:val="center"/>
        <w:textAlignment w:val="baseline"/>
        <w:rPr>
          <w:rFonts w:ascii="Arial" w:hAnsi="Arial" w:cs="Arial"/>
          <w:lang w:val="es-ES" w:eastAsia="es-ES"/>
        </w:rPr>
      </w:pPr>
      <w:r w:rsidRPr="00D618FF">
        <w:rPr>
          <w:rFonts w:ascii="Arial" w:hAnsi="Arial" w:cs="Arial"/>
          <w:b/>
          <w:bCs/>
          <w:lang w:val="es-ES" w:eastAsia="es-ES"/>
        </w:rPr>
        <w:t>RESUELVE</w:t>
      </w:r>
      <w:r w:rsidRPr="00D618FF">
        <w:rPr>
          <w:rFonts w:ascii="Arial" w:hAnsi="Arial" w:cs="Arial"/>
          <w:lang w:val="es-ES" w:eastAsia="es-ES"/>
        </w:rPr>
        <w:t> </w:t>
      </w:r>
    </w:p>
    <w:p w:rsidR="00D618FF" w:rsidRDefault="00D618FF" w:rsidP="00D618FF">
      <w:pPr>
        <w:spacing w:line="276" w:lineRule="auto"/>
        <w:jc w:val="both"/>
        <w:textAlignment w:val="baseline"/>
        <w:rPr>
          <w:rFonts w:ascii="Arial" w:hAnsi="Arial" w:cs="Arial"/>
          <w:b/>
          <w:bCs/>
          <w:lang w:val="es-ES"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b/>
          <w:bCs/>
          <w:lang w:val="es-ES" w:eastAsia="es-ES"/>
        </w:rPr>
        <w:lastRenderedPageBreak/>
        <w:t>PRIMERO. ADICIONAR</w:t>
      </w:r>
      <w:r w:rsidRPr="00D618FF">
        <w:rPr>
          <w:rFonts w:ascii="Arial" w:hAnsi="Arial" w:cs="Arial"/>
          <w:lang w:val="es-ES" w:eastAsia="es-ES"/>
        </w:rPr>
        <w:t xml:space="preserve"> la sentencia proferida por el Juzgado Cuarto Laboral del Circuito, en el sentido de </w:t>
      </w:r>
      <w:r w:rsidRPr="00D618FF">
        <w:rPr>
          <w:rFonts w:ascii="Arial" w:hAnsi="Arial" w:cs="Arial"/>
          <w:b/>
          <w:bCs/>
          <w:lang w:val="es-ES" w:eastAsia="es-ES"/>
        </w:rPr>
        <w:t xml:space="preserve">CONDENAR </w:t>
      </w:r>
      <w:r w:rsidRPr="00D618FF">
        <w:rPr>
          <w:rFonts w:ascii="Arial" w:hAnsi="Arial" w:cs="Arial"/>
          <w:lang w:val="es-ES" w:eastAsia="es-ES"/>
        </w:rPr>
        <w:t>a la AFP PROTECCIÓN S.A. a indexar las sumas que restituya por concepto de gastos de administración, así como restituir con cargo a sus propios recursos y debidamente indexados, los valores que fueron destinados a financiar la garantía de pensión mínima y las primas de los seguros de invalidez y sobrevivientes, a favor de la ADMINISTRADORA COLOMBIANA DE PENSIONES.  </w:t>
      </w:r>
    </w:p>
    <w:p w:rsidR="00D618FF" w:rsidRDefault="00D618FF" w:rsidP="00D618FF">
      <w:pPr>
        <w:spacing w:line="276" w:lineRule="auto"/>
        <w:jc w:val="both"/>
        <w:textAlignment w:val="baseline"/>
        <w:rPr>
          <w:rFonts w:ascii="Arial" w:hAnsi="Arial" w:cs="Arial"/>
          <w:b/>
          <w:bCs/>
          <w:lang w:val="es-ES"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b/>
          <w:bCs/>
          <w:lang w:val="es-ES" w:eastAsia="es-ES"/>
        </w:rPr>
        <w:t xml:space="preserve">SEGUNDO. CONFIRMAR </w:t>
      </w:r>
      <w:r w:rsidRPr="00D618FF">
        <w:rPr>
          <w:rFonts w:ascii="Arial" w:hAnsi="Arial" w:cs="Arial"/>
          <w:lang w:val="es-ES" w:eastAsia="es-ES"/>
        </w:rPr>
        <w:t>la sentencia recurrida en todo lo demás.</w:t>
      </w:r>
      <w:r w:rsidRPr="00D618FF">
        <w:rPr>
          <w:rFonts w:ascii="Arial" w:hAnsi="Arial" w:cs="Arial"/>
          <w:b/>
          <w:bCs/>
          <w:lang w:val="es-ES" w:eastAsia="es-ES"/>
        </w:rPr>
        <w:t> </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b/>
          <w:bCs/>
          <w:lang w:val="es-ES" w:eastAsia="es-ES"/>
        </w:rPr>
      </w:pP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b/>
          <w:bCs/>
          <w:lang w:val="es-ES" w:eastAsia="es-ES"/>
        </w:rPr>
        <w:t xml:space="preserve">TERCERO. CONDENAR </w:t>
      </w:r>
      <w:r w:rsidRPr="00D618FF">
        <w:rPr>
          <w:rFonts w:ascii="Arial" w:hAnsi="Arial" w:cs="Arial"/>
          <w:lang w:val="es-ES" w:eastAsia="es-ES"/>
        </w:rPr>
        <w:t>en costas en esta sede a la AFP PROTECCIÓN S.A. A favor de la demandante en un 100%. </w:t>
      </w:r>
    </w:p>
    <w:p w:rsidR="00E0425D" w:rsidRPr="00D618FF" w:rsidRDefault="00E0425D" w:rsidP="00D618FF">
      <w:pPr>
        <w:pStyle w:val="paragraph"/>
        <w:spacing w:before="0" w:beforeAutospacing="0" w:after="0" w:afterAutospacing="0" w:line="276" w:lineRule="auto"/>
        <w:jc w:val="both"/>
        <w:textAlignment w:val="baseline"/>
        <w:rPr>
          <w:rStyle w:val="normaltextrun"/>
          <w:rFonts w:ascii="Arial" w:hAnsi="Arial" w:cs="Arial"/>
          <w:lang w:val="es-CO"/>
        </w:rPr>
      </w:pPr>
    </w:p>
    <w:p w:rsidR="00E0425D" w:rsidRPr="00D618FF" w:rsidRDefault="00E0425D" w:rsidP="00D618FF">
      <w:pPr>
        <w:pStyle w:val="paragraph"/>
        <w:spacing w:before="0" w:beforeAutospacing="0" w:after="0" w:afterAutospacing="0" w:line="276" w:lineRule="auto"/>
        <w:jc w:val="both"/>
        <w:textAlignment w:val="baseline"/>
        <w:rPr>
          <w:rFonts w:ascii="Arial" w:hAnsi="Arial" w:cs="Arial"/>
        </w:rPr>
      </w:pPr>
      <w:r w:rsidRPr="00D618FF">
        <w:rPr>
          <w:rStyle w:val="normaltextrun"/>
          <w:rFonts w:ascii="Arial" w:hAnsi="Arial" w:cs="Arial"/>
          <w:lang w:val="es-CO"/>
        </w:rPr>
        <w:t>Notifíquese por estado y a los correos electrónicos de los apoderados de las partes.</w:t>
      </w:r>
      <w:r w:rsidRPr="00D618FF">
        <w:rPr>
          <w:rStyle w:val="eop"/>
          <w:rFonts w:ascii="Arial" w:hAnsi="Arial" w:cs="Arial"/>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          </w:t>
      </w:r>
      <w:r w:rsidRPr="00D618FF">
        <w:rPr>
          <w:rFonts w:ascii="Arial" w:hAnsi="Arial" w:cs="Arial"/>
          <w:lang w:val="es-ES" w:eastAsia="es-ES"/>
        </w:rPr>
        <w:t> </w:t>
      </w:r>
    </w:p>
    <w:p w:rsidR="00E0425D" w:rsidRPr="00D618FF" w:rsidRDefault="00E0425D" w:rsidP="00D618FF">
      <w:pPr>
        <w:spacing w:line="276" w:lineRule="auto"/>
        <w:jc w:val="both"/>
        <w:textAlignment w:val="baseline"/>
        <w:rPr>
          <w:rFonts w:ascii="Arial" w:hAnsi="Arial" w:cs="Arial"/>
          <w:lang w:val="es-ES" w:eastAsia="es-ES"/>
        </w:rPr>
      </w:pPr>
      <w:r w:rsidRPr="00D618FF">
        <w:rPr>
          <w:rFonts w:ascii="Arial" w:hAnsi="Arial" w:cs="Arial"/>
          <w:lang w:eastAsia="es-ES"/>
        </w:rPr>
        <w:t>Quienes integran la Sala,</w:t>
      </w:r>
      <w:r w:rsidRPr="00D618FF">
        <w:rPr>
          <w:rFonts w:ascii="Arial" w:hAnsi="Arial" w:cs="Arial"/>
          <w:lang w:val="es-ES" w:eastAsia="es-ES"/>
        </w:rPr>
        <w:t> </w:t>
      </w:r>
    </w:p>
    <w:p w:rsidR="00D618FF" w:rsidRPr="00E2507A" w:rsidRDefault="00D618FF" w:rsidP="00D618FF">
      <w:pPr>
        <w:spacing w:line="276" w:lineRule="auto"/>
        <w:jc w:val="both"/>
        <w:rPr>
          <w:rFonts w:ascii="Arial" w:hAnsi="Arial" w:cs="Arial"/>
          <w:spacing w:val="-4"/>
          <w:lang w:val="es-ES_tradnl" w:eastAsia="es-ES"/>
        </w:rPr>
      </w:pPr>
    </w:p>
    <w:p w:rsidR="00D618FF" w:rsidRPr="00E2507A" w:rsidRDefault="00D618FF" w:rsidP="00D618FF">
      <w:pPr>
        <w:widowControl w:val="0"/>
        <w:autoSpaceDE w:val="0"/>
        <w:autoSpaceDN w:val="0"/>
        <w:adjustRightInd w:val="0"/>
        <w:spacing w:line="276" w:lineRule="auto"/>
        <w:rPr>
          <w:rFonts w:ascii="Arial" w:hAnsi="Arial" w:cs="Arial"/>
          <w:b/>
          <w:spacing w:val="-4"/>
          <w:lang w:val="es-ES_tradnl" w:eastAsia="es-ES"/>
        </w:rPr>
      </w:pPr>
    </w:p>
    <w:p w:rsidR="00D618FF" w:rsidRPr="00E2507A" w:rsidRDefault="00D618FF" w:rsidP="00D618FF">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D618FF" w:rsidRDefault="00D618FF" w:rsidP="00D618FF">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 xml:space="preserve">Magistrado </w:t>
      </w:r>
      <w:r w:rsidRPr="00E2507A">
        <w:rPr>
          <w:rFonts w:ascii="Arial" w:hAnsi="Arial" w:cs="Arial"/>
          <w:spacing w:val="-4"/>
          <w:lang w:val="es-ES_tradnl" w:eastAsia="es-ES"/>
        </w:rPr>
        <w:t>Ponente</w:t>
      </w:r>
    </w:p>
    <w:p w:rsidR="00D618FF" w:rsidRPr="00E2507A" w:rsidRDefault="00D618FF" w:rsidP="00D618FF">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D618FF" w:rsidRPr="00E2507A" w:rsidRDefault="00D618FF" w:rsidP="00D618FF">
      <w:pPr>
        <w:widowControl w:val="0"/>
        <w:autoSpaceDE w:val="0"/>
        <w:autoSpaceDN w:val="0"/>
        <w:adjustRightInd w:val="0"/>
        <w:spacing w:line="276" w:lineRule="auto"/>
        <w:rPr>
          <w:rFonts w:ascii="Arial" w:hAnsi="Arial" w:cs="Arial"/>
          <w:b/>
          <w:spacing w:val="-4"/>
          <w:lang w:val="es-ES_tradnl" w:eastAsia="es-ES"/>
        </w:rPr>
      </w:pPr>
    </w:p>
    <w:p w:rsidR="00D618FF" w:rsidRPr="00E2507A" w:rsidRDefault="00D618FF" w:rsidP="00D618FF">
      <w:pPr>
        <w:widowControl w:val="0"/>
        <w:autoSpaceDE w:val="0"/>
        <w:autoSpaceDN w:val="0"/>
        <w:adjustRightInd w:val="0"/>
        <w:spacing w:line="276" w:lineRule="auto"/>
        <w:rPr>
          <w:rFonts w:ascii="Arial" w:hAnsi="Arial" w:cs="Arial"/>
          <w:spacing w:val="-4"/>
          <w:lang w:val="es-ES_tradnl" w:eastAsia="es-ES"/>
        </w:rPr>
      </w:pPr>
    </w:p>
    <w:p w:rsidR="00D618FF" w:rsidRPr="00E2507A" w:rsidRDefault="00D618FF" w:rsidP="00D618FF">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D618FF" w:rsidRDefault="00D618FF" w:rsidP="00D618FF">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696809" w:rsidRPr="00D618FF" w:rsidRDefault="00696809" w:rsidP="00D618FF">
      <w:pPr>
        <w:spacing w:line="276" w:lineRule="auto"/>
        <w:jc w:val="both"/>
        <w:textAlignment w:val="baseline"/>
        <w:rPr>
          <w:rFonts w:ascii="Arial" w:hAnsi="Arial" w:cs="Arial"/>
          <w:lang w:eastAsia="es-ES"/>
        </w:rPr>
      </w:pPr>
    </w:p>
    <w:p w:rsidR="00D618FF" w:rsidRDefault="00D618FF">
      <w:pPr>
        <w:rPr>
          <w:rFonts w:ascii="Arial" w:hAnsi="Arial" w:cs="Arial"/>
          <w:lang w:eastAsia="es-ES"/>
        </w:rPr>
      </w:pPr>
      <w:r>
        <w:rPr>
          <w:rFonts w:ascii="Arial" w:hAnsi="Arial" w:cs="Arial"/>
          <w:lang w:eastAsia="es-ES"/>
        </w:rPr>
        <w:br w:type="page"/>
      </w:r>
    </w:p>
    <w:p w:rsidR="00696809" w:rsidRPr="00D618FF" w:rsidRDefault="00696809" w:rsidP="00D618FF">
      <w:pPr>
        <w:spacing w:line="276" w:lineRule="auto"/>
        <w:jc w:val="both"/>
        <w:textAlignment w:val="baseline"/>
        <w:rPr>
          <w:rFonts w:ascii="Arial" w:hAnsi="Arial" w:cs="Arial"/>
          <w:lang w:eastAsia="es-ES"/>
        </w:rPr>
      </w:pPr>
    </w:p>
    <w:p w:rsidR="00D618FF" w:rsidRPr="00E42332" w:rsidRDefault="00D618FF" w:rsidP="00D618FF">
      <w:pPr>
        <w:keepNext/>
        <w:spacing w:line="276" w:lineRule="auto"/>
        <w:jc w:val="center"/>
        <w:outlineLvl w:val="2"/>
        <w:rPr>
          <w:rFonts w:ascii="Arial" w:hAnsi="Arial" w:cs="Arial"/>
          <w:b/>
          <w:lang w:val="es-ES_tradnl" w:eastAsia="es-ES"/>
        </w:rPr>
      </w:pPr>
      <w:r w:rsidRPr="00E42332">
        <w:rPr>
          <w:rFonts w:ascii="Arial" w:hAnsi="Arial" w:cs="Arial"/>
          <w:b/>
          <w:lang w:val="es-ES_tradnl" w:eastAsia="es-ES"/>
        </w:rPr>
        <w:t>TRIBUNAL SUPERIOR DEL DISTRITO JUDICIAL</w:t>
      </w:r>
    </w:p>
    <w:p w:rsidR="00D618FF" w:rsidRPr="00E42332" w:rsidRDefault="00D618FF" w:rsidP="00D618FF">
      <w:pPr>
        <w:spacing w:line="276" w:lineRule="auto"/>
        <w:jc w:val="center"/>
        <w:rPr>
          <w:rFonts w:ascii="Arial" w:hAnsi="Arial" w:cs="Arial"/>
          <w:b/>
        </w:rPr>
      </w:pPr>
    </w:p>
    <w:p w:rsidR="00D618FF" w:rsidRPr="00E42332" w:rsidRDefault="00D618FF" w:rsidP="00D618FF">
      <w:pPr>
        <w:spacing w:line="276" w:lineRule="auto"/>
        <w:jc w:val="center"/>
        <w:rPr>
          <w:rFonts w:ascii="Arial" w:hAnsi="Arial" w:cs="Arial"/>
          <w:b/>
        </w:rPr>
      </w:pPr>
      <w:r w:rsidRPr="00E42332">
        <w:rPr>
          <w:rFonts w:ascii="Arial" w:hAnsi="Arial" w:cs="Arial"/>
          <w:b/>
        </w:rPr>
        <w:t>SALA LABORAL</w:t>
      </w:r>
    </w:p>
    <w:p w:rsidR="00D618FF" w:rsidRPr="00E42332" w:rsidRDefault="00D618FF" w:rsidP="00D618FF">
      <w:pPr>
        <w:spacing w:line="276" w:lineRule="auto"/>
        <w:jc w:val="center"/>
        <w:rPr>
          <w:rFonts w:ascii="Arial" w:hAnsi="Arial" w:cs="Arial"/>
          <w:b/>
          <w:lang w:val="es-ES_tradnl" w:eastAsia="es-ES"/>
        </w:rPr>
      </w:pPr>
    </w:p>
    <w:p w:rsidR="00D618FF" w:rsidRPr="00E42332" w:rsidRDefault="00D618FF" w:rsidP="00D618FF">
      <w:pPr>
        <w:spacing w:line="276" w:lineRule="auto"/>
        <w:jc w:val="center"/>
        <w:rPr>
          <w:rFonts w:ascii="Arial" w:hAnsi="Arial" w:cs="Arial"/>
          <w:b/>
          <w:lang w:val="es-ES_tradnl" w:eastAsia="es-ES"/>
        </w:rPr>
      </w:pPr>
      <w:r w:rsidRPr="00E42332">
        <w:rPr>
          <w:rFonts w:ascii="Arial" w:hAnsi="Arial" w:cs="Arial"/>
          <w:b/>
          <w:lang w:val="es-ES_tradnl" w:eastAsia="es-ES"/>
        </w:rPr>
        <w:t xml:space="preserve">MAGISTRADO: JULIO CÉSAR SALAZAR MUÑOZ </w:t>
      </w:r>
    </w:p>
    <w:p w:rsidR="00D618FF" w:rsidRPr="00E42332" w:rsidRDefault="00D618FF" w:rsidP="00D618FF">
      <w:pPr>
        <w:spacing w:line="276" w:lineRule="auto"/>
        <w:jc w:val="center"/>
        <w:rPr>
          <w:rFonts w:ascii="Arial" w:hAnsi="Arial" w:cs="Arial"/>
          <w:b/>
          <w:lang w:val="es-ES_tradnl" w:eastAsia="es-ES"/>
        </w:rPr>
      </w:pPr>
    </w:p>
    <w:p w:rsidR="00D618FF" w:rsidRPr="00E42332" w:rsidRDefault="00D618FF" w:rsidP="00D618FF">
      <w:pPr>
        <w:spacing w:line="276" w:lineRule="auto"/>
        <w:jc w:val="center"/>
        <w:rPr>
          <w:rFonts w:ascii="Arial" w:hAnsi="Arial" w:cs="Arial"/>
          <w:bCs/>
          <w:lang w:val="es-ES" w:eastAsia="es-ES"/>
        </w:rPr>
      </w:pPr>
      <w:r w:rsidRPr="00E42332">
        <w:rPr>
          <w:rFonts w:ascii="Arial" w:hAnsi="Arial" w:cs="Arial"/>
          <w:bCs/>
          <w:lang w:val="es-ES" w:eastAsia="es-ES"/>
        </w:rPr>
        <w:t>Septiembre 2 de 2020</w:t>
      </w:r>
    </w:p>
    <w:p w:rsidR="00D618FF" w:rsidRPr="00E42332" w:rsidRDefault="00D618FF" w:rsidP="00D618FF">
      <w:pPr>
        <w:spacing w:line="276" w:lineRule="auto"/>
        <w:jc w:val="center"/>
        <w:rPr>
          <w:rFonts w:ascii="Arial" w:hAnsi="Arial" w:cs="Arial"/>
          <w:b/>
          <w:lang w:val="es-ES_tradnl" w:eastAsia="es-ES"/>
        </w:rPr>
      </w:pPr>
    </w:p>
    <w:p w:rsidR="00D618FF" w:rsidRPr="00E42332" w:rsidRDefault="00D618FF" w:rsidP="00D618FF">
      <w:pPr>
        <w:spacing w:line="276" w:lineRule="auto"/>
        <w:jc w:val="center"/>
        <w:rPr>
          <w:rFonts w:ascii="Arial" w:hAnsi="Arial" w:cs="Arial"/>
          <w:b/>
          <w:lang w:val="es-ES_tradnl" w:eastAsia="es-ES"/>
        </w:rPr>
      </w:pPr>
      <w:r w:rsidRPr="00E42332">
        <w:rPr>
          <w:rFonts w:ascii="Arial" w:hAnsi="Arial" w:cs="Arial"/>
          <w:b/>
          <w:lang w:val="es-ES_tradnl" w:eastAsia="es-ES"/>
        </w:rPr>
        <w:t>ACLARACIÓN DE VOTO</w:t>
      </w:r>
    </w:p>
    <w:p w:rsidR="00D618FF" w:rsidRPr="00E42332" w:rsidRDefault="00D618FF" w:rsidP="00D618FF">
      <w:pPr>
        <w:suppressAutoHyphens/>
        <w:spacing w:line="276" w:lineRule="auto"/>
        <w:jc w:val="both"/>
        <w:rPr>
          <w:rFonts w:ascii="Arial" w:hAnsi="Arial" w:cs="Arial"/>
          <w:lang w:val="es-ES_tradnl" w:eastAsia="es-ES"/>
        </w:rPr>
      </w:pPr>
    </w:p>
    <w:p w:rsidR="00D618FF" w:rsidRPr="00E42332" w:rsidRDefault="00D618FF" w:rsidP="00D618FF">
      <w:pPr>
        <w:suppressAutoHyphens/>
        <w:spacing w:line="276" w:lineRule="auto"/>
        <w:jc w:val="both"/>
        <w:rPr>
          <w:rFonts w:ascii="Arial" w:hAnsi="Arial" w:cs="Arial"/>
          <w:lang w:val="es-ES" w:eastAsia="es-ES"/>
        </w:rPr>
      </w:pPr>
    </w:p>
    <w:p w:rsidR="00D618FF" w:rsidRPr="00E42332" w:rsidRDefault="00D618FF" w:rsidP="00D618FF">
      <w:pPr>
        <w:spacing w:line="276" w:lineRule="auto"/>
        <w:jc w:val="both"/>
        <w:rPr>
          <w:rFonts w:ascii="Arial" w:hAnsi="Arial" w:cs="Arial"/>
          <w:lang w:val="es-ES" w:eastAsia="es-ES"/>
        </w:rPr>
      </w:pPr>
      <w:r w:rsidRPr="00E42332">
        <w:rPr>
          <w:rFonts w:ascii="Arial" w:hAnsi="Arial" w:cs="Arial"/>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E42332">
        <w:rPr>
          <w:rFonts w:ascii="Arial" w:hAnsi="Arial" w:cs="Arial"/>
          <w:b/>
          <w:lang w:val="es-ES" w:eastAsia="es-ES"/>
        </w:rPr>
        <w:t>EXORTAR</w:t>
      </w:r>
      <w:proofErr w:type="spellEnd"/>
      <w:r w:rsidRPr="00E42332">
        <w:rPr>
          <w:rFonts w:ascii="Arial" w:hAnsi="Arial" w:cs="Arial"/>
          <w:lang w:val="es-ES" w:eastAsia="es-ES"/>
        </w:rPr>
        <w:t xml:space="preserve"> (sic) a la </w:t>
      </w:r>
      <w:r w:rsidRPr="00E42332">
        <w:rPr>
          <w:rFonts w:ascii="Arial" w:hAnsi="Arial" w:cs="Arial"/>
          <w:b/>
          <w:lang w:val="es-ES" w:eastAsia="es-ES"/>
        </w:rPr>
        <w:t xml:space="preserve">SALA LABORAL DEL TRIBUNAL SUPERIOR DEL DISTRITO JUDICIAL DE PEREIRA </w:t>
      </w:r>
      <w:r w:rsidRPr="00E42332">
        <w:rPr>
          <w:rFonts w:ascii="Arial" w:hAnsi="Arial" w:cs="Arial"/>
          <w:lang w:val="es-ES" w:eastAsia="es-ES"/>
        </w:rPr>
        <w:t>para que en lo sucesivo acate el precedente judicial emanado de esta Corporación”.</w:t>
      </w:r>
    </w:p>
    <w:p w:rsidR="00D618FF" w:rsidRPr="00E42332" w:rsidRDefault="00D618FF" w:rsidP="00D618FF">
      <w:pPr>
        <w:spacing w:line="276" w:lineRule="auto"/>
        <w:jc w:val="both"/>
        <w:rPr>
          <w:rFonts w:ascii="Arial" w:hAnsi="Arial" w:cs="Arial"/>
          <w:lang w:val="es-ES" w:eastAsia="es-ES"/>
        </w:rPr>
      </w:pPr>
    </w:p>
    <w:p w:rsidR="00D618FF" w:rsidRPr="00E42332" w:rsidRDefault="00D618FF" w:rsidP="00D618FF">
      <w:pPr>
        <w:spacing w:line="276" w:lineRule="auto"/>
        <w:jc w:val="both"/>
        <w:rPr>
          <w:rFonts w:ascii="Arial" w:hAnsi="Arial" w:cs="Arial"/>
          <w:lang w:val="es-ES" w:eastAsia="es-ES"/>
        </w:rPr>
      </w:pPr>
      <w:r w:rsidRPr="00E42332">
        <w:rPr>
          <w:rFonts w:ascii="Arial" w:hAnsi="Arial" w:cs="Arial"/>
          <w:lang w:val="es-ES" w:eastAsia="es-ES"/>
        </w:rPr>
        <w:t xml:space="preserve">Bajo tal apremio, no obstante lo dispuesto en los artículos 228 y 230 de la Constitución Nacional, </w:t>
      </w:r>
      <w:r w:rsidRPr="00E42332">
        <w:rPr>
          <w:rFonts w:ascii="Arial" w:hAnsi="Arial" w:cs="Arial"/>
          <w:b/>
          <w:lang w:val="es-ES" w:eastAsia="es-ES"/>
        </w:rPr>
        <w:t>no queda otra posibilidad al suscrito que</w:t>
      </w:r>
      <w:r w:rsidRPr="00E42332">
        <w:rPr>
          <w:rFonts w:ascii="Arial" w:hAnsi="Arial" w:cs="Arial"/>
          <w:lang w:val="es-ES" w:eastAsia="es-ES"/>
        </w:rPr>
        <w:t xml:space="preserve">, en este y en todos los numerosos y sucesivos asuntos de similares características que se presenten a la Sala para decisión, </w:t>
      </w:r>
      <w:r w:rsidRPr="00E42332">
        <w:rPr>
          <w:rFonts w:ascii="Arial" w:hAnsi="Arial" w:cs="Arial"/>
          <w:b/>
          <w:lang w:val="es-ES" w:eastAsia="es-ES"/>
        </w:rPr>
        <w:t>acatar lo resuelto por el superior</w:t>
      </w:r>
      <w:r w:rsidRPr="00E42332">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D618FF" w:rsidRPr="00E42332" w:rsidRDefault="00D618FF" w:rsidP="00D618FF">
      <w:pPr>
        <w:spacing w:line="276" w:lineRule="auto"/>
        <w:jc w:val="both"/>
        <w:rPr>
          <w:rFonts w:ascii="Arial" w:hAnsi="Arial" w:cs="Arial"/>
          <w:lang w:val="es-ES" w:eastAsia="es-ES"/>
        </w:rPr>
      </w:pPr>
    </w:p>
    <w:p w:rsidR="00D618FF" w:rsidRPr="00E42332" w:rsidRDefault="00D618FF" w:rsidP="00D618FF">
      <w:pPr>
        <w:spacing w:line="276" w:lineRule="auto"/>
        <w:jc w:val="center"/>
        <w:rPr>
          <w:rFonts w:ascii="Arial" w:hAnsi="Arial" w:cs="Arial"/>
          <w:b/>
          <w:lang w:val="es-ES" w:eastAsia="es-ES"/>
        </w:rPr>
      </w:pPr>
      <w:r w:rsidRPr="00E42332">
        <w:rPr>
          <w:rFonts w:ascii="Arial" w:hAnsi="Arial" w:cs="Arial"/>
          <w:b/>
          <w:lang w:val="es-ES" w:eastAsia="es-ES"/>
        </w:rPr>
        <w:t>ANÁLISIS JURÍDICO DE LOS HECHOS DEBATIDOS EN LOS CASOS DE TRASLADOS ENTRE REGÍMENES</w:t>
      </w:r>
    </w:p>
    <w:p w:rsidR="00D618FF" w:rsidRPr="00E42332" w:rsidRDefault="00D618FF" w:rsidP="00D618FF">
      <w:pPr>
        <w:spacing w:line="276" w:lineRule="auto"/>
        <w:jc w:val="both"/>
        <w:rPr>
          <w:rFonts w:ascii="Arial" w:hAnsi="Arial" w:cs="Arial"/>
          <w:lang w:val="es-ES" w:eastAsia="es-ES"/>
        </w:rPr>
      </w:pPr>
    </w:p>
    <w:p w:rsidR="00D618FF" w:rsidRPr="00E42332" w:rsidRDefault="00D618FF" w:rsidP="00D618FF">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42332">
        <w:rPr>
          <w:rFonts w:ascii="Arial" w:hAnsi="Arial" w:cs="Arial"/>
          <w:spacing w:val="-2"/>
          <w:lang w:val="es-ES_tradnl" w:eastAsia="es-ES"/>
        </w:rPr>
        <w:t>RAIS</w:t>
      </w:r>
      <w:proofErr w:type="spellEnd"/>
      <w:r w:rsidRPr="00E42332">
        <w:rPr>
          <w:rFonts w:ascii="Arial" w:hAnsi="Arial" w:cs="Arial"/>
          <w:spacing w:val="-2"/>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lastRenderedPageBreak/>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Pr>
          <w:rFonts w:ascii="Arial" w:hAnsi="Arial" w:cs="Arial"/>
          <w:spacing w:val="-2"/>
          <w:lang w:val="es-ES_tradnl" w:eastAsia="es-ES"/>
        </w:rPr>
        <w:t>-</w:t>
      </w:r>
      <w:r w:rsidRPr="00E42332">
        <w:rPr>
          <w:rFonts w:ascii="Arial" w:hAnsi="Arial" w:cs="Arial"/>
          <w:spacing w:val="-2"/>
          <w:lang w:val="es-ES_tradnl" w:eastAsia="es-ES"/>
        </w:rPr>
        <w:t>dando toda la información que requerida en su momento para conseguir el traslado de los afiliados- es a la vez quien, de no conseguir dar claridad al respecto, puede llegar a ser condenada al pago del perjuicio que se demuestre que con ello causó.</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Como quiera que esta posición se </w:t>
      </w:r>
      <w:proofErr w:type="gramStart"/>
      <w:r w:rsidRPr="00E42332">
        <w:rPr>
          <w:rFonts w:ascii="Arial" w:hAnsi="Arial" w:cs="Arial"/>
          <w:spacing w:val="-2"/>
          <w:lang w:val="es-ES_tradnl" w:eastAsia="es-ES"/>
        </w:rPr>
        <w:t>separa</w:t>
      </w:r>
      <w:proofErr w:type="gramEnd"/>
      <w:r w:rsidRPr="00E42332">
        <w:rPr>
          <w:rFonts w:ascii="Arial" w:hAnsi="Arial" w:cs="Arial"/>
          <w:spacing w:val="-2"/>
          <w:lang w:val="es-ES_tradnl" w:eastAsia="es-ES"/>
        </w:rPr>
        <w:t xml:space="preserve"> expresamente de la línea actual de la Corte Suprema de Justicia, considero necesario </w:t>
      </w:r>
      <w:r w:rsidRPr="00E42332">
        <w:rPr>
          <w:rFonts w:ascii="Arial" w:hAnsi="Arial" w:cs="Arial"/>
          <w:iCs/>
          <w:lang w:val="es-ES_tradnl" w:eastAsia="es-ES"/>
        </w:rPr>
        <w:t>discurrir sobre los 8 temas jurídicos que a continuación se desarrollan:</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 JURISPRUDENCIA, LA OBLIGACIÓN DE LOS JUECES DE SEGUIRLA Y LA AUTORIZACIÓN Y FORMA DE APARTARSE DE LA DOCTRINA PROBABLE.</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pacing w:line="276" w:lineRule="auto"/>
        <w:ind w:right="51"/>
        <w:jc w:val="both"/>
        <w:rPr>
          <w:rFonts w:ascii="Arial" w:hAnsi="Arial" w:cs="Arial"/>
          <w:spacing w:val="-2"/>
          <w:lang w:val="es-ES_tradnl" w:eastAsia="es-ES"/>
        </w:rPr>
      </w:pPr>
      <w:r w:rsidRPr="00E42332">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527174" w:rsidRDefault="00D618FF" w:rsidP="00D618FF">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de forma explícita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D618FF" w:rsidRPr="00527174" w:rsidRDefault="00D618FF" w:rsidP="00D618FF">
      <w:pPr>
        <w:suppressAutoHyphens/>
        <w:ind w:left="426" w:right="420"/>
        <w:jc w:val="both"/>
        <w:rPr>
          <w:rFonts w:ascii="Arial" w:hAnsi="Arial" w:cs="Arial"/>
          <w:spacing w:val="-2"/>
          <w:sz w:val="22"/>
          <w:lang w:val="es-ES" w:eastAsia="es-ES"/>
        </w:rPr>
      </w:pPr>
    </w:p>
    <w:p w:rsidR="00D618FF" w:rsidRPr="00527174" w:rsidRDefault="00D618FF" w:rsidP="00D618FF">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D618FF" w:rsidRPr="00E42332" w:rsidRDefault="00D618FF" w:rsidP="00D618FF">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 </w:t>
      </w:r>
    </w:p>
    <w:p w:rsidR="00D618FF" w:rsidRPr="00E42332" w:rsidRDefault="00D618FF" w:rsidP="00D618FF">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D618FF" w:rsidRPr="00E42332" w:rsidRDefault="00D618FF" w:rsidP="00D618FF">
      <w:pPr>
        <w:suppressAutoHyphens/>
        <w:spacing w:line="276" w:lineRule="auto"/>
        <w:jc w:val="both"/>
        <w:rPr>
          <w:rFonts w:ascii="Arial" w:hAnsi="Arial" w:cs="Arial"/>
          <w:b/>
          <w:spacing w:val="-2"/>
          <w:lang w:val="es-ES_tradnl" w:eastAsia="es-ES"/>
        </w:rPr>
      </w:pPr>
    </w:p>
    <w:p w:rsidR="00D618FF" w:rsidRPr="00E42332" w:rsidRDefault="00D618FF" w:rsidP="00D618FF">
      <w:pPr>
        <w:numPr>
          <w:ilvl w:val="0"/>
          <w:numId w:val="4"/>
        </w:numPr>
        <w:suppressAutoHyphens/>
        <w:spacing w:line="276" w:lineRule="auto"/>
        <w:ind w:left="567" w:hanging="567"/>
        <w:jc w:val="both"/>
        <w:rPr>
          <w:rFonts w:ascii="Arial" w:hAnsi="Arial" w:cs="Arial"/>
          <w:spacing w:val="-2"/>
          <w:lang w:val="es-ES_tradnl" w:eastAsia="es-ES"/>
        </w:rPr>
      </w:pPr>
      <w:r w:rsidRPr="00E42332">
        <w:rPr>
          <w:rFonts w:ascii="Arial" w:hAnsi="Arial" w:cs="Arial"/>
          <w:b/>
          <w:spacing w:val="-2"/>
          <w:lang w:val="es-ES_tradnl" w:eastAsia="es-ES"/>
        </w:rPr>
        <w:t>LA POSICIÓN ACTUAL DE LA SALA DE CASACIÓN LABORAL RESPECTO AL TEMA DE LA NULIDAD O INEFICACIA DE LOS TRASLADOS ENTRE REGÍMENES PENSIONALES.</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iCs/>
          <w:lang w:val="es-ES_tradnl" w:eastAsia="es-ES"/>
        </w:rPr>
      </w:pPr>
      <w:r w:rsidRPr="00E42332">
        <w:rPr>
          <w:rFonts w:ascii="Arial" w:hAnsi="Arial" w:cs="Arial"/>
          <w:spacing w:val="-2"/>
          <w:lang w:val="es-ES_tradnl" w:eastAsia="es-ES"/>
        </w:rPr>
        <w:t xml:space="preserve">En acatamiento de lo señalado en las sentencias C-836 de 2001 y C-621 de 2015 desde ya se deja en evidencia que es conocida la jurisprudencia vigente emanada de </w:t>
      </w:r>
      <w:r w:rsidRPr="00E42332">
        <w:rPr>
          <w:rFonts w:ascii="Arial" w:hAnsi="Arial" w:cs="Arial"/>
          <w:spacing w:val="-2"/>
          <w:lang w:val="es-ES_tradnl" w:eastAsia="es-ES"/>
        </w:rPr>
        <w:lastRenderedPageBreak/>
        <w:t xml:space="preserve">la </w:t>
      </w:r>
      <w:r w:rsidRPr="00E42332">
        <w:rPr>
          <w:rFonts w:ascii="Arial" w:hAnsi="Arial" w:cs="Arial"/>
          <w:iCs/>
          <w:lang w:val="es-ES_tradnl" w:eastAsia="es-ES"/>
        </w:rPr>
        <w:t xml:space="preserve"> Sala de Casación Laboral contenida en las sentencias </w:t>
      </w:r>
      <w:proofErr w:type="spellStart"/>
      <w:r w:rsidRPr="00E42332">
        <w:rPr>
          <w:rFonts w:ascii="Arial" w:hAnsi="Arial" w:cs="Arial"/>
          <w:iCs/>
          <w:lang w:val="es-ES_tradnl" w:eastAsia="es-ES"/>
        </w:rPr>
        <w:t>SL1421</w:t>
      </w:r>
      <w:proofErr w:type="spellEnd"/>
      <w:r w:rsidRPr="00E42332">
        <w:rPr>
          <w:rFonts w:ascii="Arial" w:hAnsi="Arial" w:cs="Arial"/>
          <w:iCs/>
          <w:lang w:val="es-ES_tradnl" w:eastAsia="es-ES"/>
        </w:rPr>
        <w:t xml:space="preserve">-2019, </w:t>
      </w:r>
      <w:proofErr w:type="spellStart"/>
      <w:r w:rsidRPr="00E42332">
        <w:rPr>
          <w:rFonts w:ascii="Arial" w:hAnsi="Arial" w:cs="Arial"/>
          <w:iCs/>
          <w:lang w:val="es-ES_tradnl" w:eastAsia="es-ES"/>
        </w:rPr>
        <w:t>SL1452</w:t>
      </w:r>
      <w:proofErr w:type="spellEnd"/>
      <w:r w:rsidRPr="00E42332">
        <w:rPr>
          <w:rFonts w:ascii="Arial" w:hAnsi="Arial" w:cs="Arial"/>
          <w:iCs/>
          <w:lang w:val="es-ES_tradnl" w:eastAsia="es-ES"/>
        </w:rPr>
        <w:t xml:space="preserve">-2019, </w:t>
      </w:r>
      <w:proofErr w:type="spellStart"/>
      <w:r w:rsidRPr="00E42332">
        <w:rPr>
          <w:rFonts w:ascii="Arial" w:hAnsi="Arial" w:cs="Arial"/>
          <w:iCs/>
          <w:lang w:val="es-ES_tradnl" w:eastAsia="es-ES"/>
        </w:rPr>
        <w:t>SL1688</w:t>
      </w:r>
      <w:proofErr w:type="spellEnd"/>
      <w:r w:rsidRPr="00E42332">
        <w:rPr>
          <w:rFonts w:ascii="Arial" w:hAnsi="Arial" w:cs="Arial"/>
          <w:iCs/>
          <w:lang w:val="es-ES_tradnl" w:eastAsia="es-ES"/>
        </w:rPr>
        <w:t xml:space="preserve">-2019 y </w:t>
      </w:r>
      <w:proofErr w:type="spellStart"/>
      <w:r w:rsidRPr="00E42332">
        <w:rPr>
          <w:rFonts w:ascii="Arial" w:hAnsi="Arial" w:cs="Arial"/>
          <w:iCs/>
          <w:lang w:val="es-ES_tradnl" w:eastAsia="es-ES"/>
        </w:rPr>
        <w:t>SL1689</w:t>
      </w:r>
      <w:proofErr w:type="spellEnd"/>
      <w:r w:rsidRPr="00E42332">
        <w:rPr>
          <w:rFonts w:ascii="Arial" w:hAnsi="Arial" w:cs="Arial"/>
          <w:iCs/>
          <w:lang w:val="es-ES_tradnl" w:eastAsia="es-ES"/>
        </w:rPr>
        <w:t>-2019 que se concreta en los siguientes razonamientos:</w:t>
      </w:r>
    </w:p>
    <w:p w:rsidR="00D618FF" w:rsidRPr="00E42332" w:rsidRDefault="00D618FF" w:rsidP="00D618FF">
      <w:pPr>
        <w:suppressAutoHyphens/>
        <w:spacing w:line="276" w:lineRule="auto"/>
        <w:jc w:val="both"/>
        <w:rPr>
          <w:rFonts w:ascii="Arial" w:hAnsi="Arial" w:cs="Arial"/>
          <w:iCs/>
          <w:lang w:val="es-ES_tradnl" w:eastAsia="es-ES"/>
        </w:rPr>
      </w:pPr>
    </w:p>
    <w:p w:rsidR="00D618FF" w:rsidRPr="00E42332" w:rsidRDefault="00D618FF" w:rsidP="00D618FF">
      <w:pPr>
        <w:numPr>
          <w:ilvl w:val="0"/>
          <w:numId w:val="1"/>
        </w:numPr>
        <w:suppressAutoHyphens/>
        <w:spacing w:line="276" w:lineRule="auto"/>
        <w:jc w:val="both"/>
        <w:rPr>
          <w:rFonts w:ascii="Arial" w:hAnsi="Arial" w:cs="Arial"/>
          <w:iCs/>
          <w:lang w:val="es-ES_tradnl" w:eastAsia="es-ES"/>
        </w:rPr>
      </w:pPr>
      <w:r w:rsidRPr="00E42332">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D618FF" w:rsidRPr="00E42332" w:rsidRDefault="00D618FF" w:rsidP="00D618FF">
      <w:pPr>
        <w:suppressAutoHyphens/>
        <w:spacing w:line="276" w:lineRule="auto"/>
        <w:ind w:left="720"/>
        <w:jc w:val="both"/>
        <w:rPr>
          <w:rFonts w:ascii="Arial" w:hAnsi="Arial" w:cs="Arial"/>
          <w:iCs/>
          <w:lang w:val="es-ES_tradnl" w:eastAsia="es-ES"/>
        </w:rPr>
      </w:pPr>
    </w:p>
    <w:p w:rsidR="00D618FF" w:rsidRPr="00E42332" w:rsidRDefault="00D618FF" w:rsidP="00D618FF">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deber de información a cargo de las administradoras de fondos de pensiones es un deber que le es exigible desde la creación de estas entidades</w:t>
      </w:r>
      <w:r w:rsidRPr="00E42332">
        <w:rPr>
          <w:rFonts w:ascii="Arial" w:hAnsi="Arial" w:cs="Arial"/>
          <w:iCs/>
          <w:lang w:val="es-ES_tradnl" w:eastAsia="es-ES"/>
        </w:rPr>
        <w:t xml:space="preserve">, básicamente porque </w:t>
      </w:r>
      <w:r w:rsidRPr="00E42332">
        <w:rPr>
          <w:rFonts w:ascii="Arial" w:hAnsi="Arial" w:cs="Arial"/>
          <w:i/>
          <w:iCs/>
          <w:lang w:val="es-ES_tradnl" w:eastAsia="es-ES"/>
        </w:rPr>
        <w:t>“</w:t>
      </w:r>
      <w:r w:rsidRPr="003B104E">
        <w:rPr>
          <w:rFonts w:ascii="Arial"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42332">
        <w:rPr>
          <w:rFonts w:ascii="Arial" w:hAnsi="Arial" w:cs="Arial"/>
          <w:i/>
          <w:spacing w:val="-4"/>
        </w:rPr>
        <w:t xml:space="preserve">”. </w:t>
      </w:r>
      <w:r w:rsidRPr="00E42332">
        <w:rPr>
          <w:rFonts w:ascii="Arial" w:hAnsi="Arial" w:cs="Arial"/>
          <w:spacing w:val="-4"/>
        </w:rPr>
        <w:t>Deber cuyo nivel de exigencia se elevó con la expedición</w:t>
      </w:r>
      <w:r w:rsidRPr="00E42332">
        <w:rPr>
          <w:rFonts w:ascii="Arial" w:hAnsi="Arial" w:cs="Arial"/>
          <w:lang w:val="es-ES_tradnl"/>
        </w:rPr>
        <w:t xml:space="preserve"> de la Ley 1328 de 2009 y el Decreto 2241 de 2010, en la medida que </w:t>
      </w:r>
      <w:r w:rsidRPr="00E42332">
        <w:rPr>
          <w:rFonts w:ascii="Arial" w:hAnsi="Arial" w:cs="Arial"/>
          <w:i/>
          <w:spacing w:val="-4"/>
        </w:rPr>
        <w:t>“</w:t>
      </w:r>
      <w:r w:rsidRPr="00E60A33">
        <w:rPr>
          <w:rFonts w:ascii="Arial"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E42332">
        <w:rPr>
          <w:rFonts w:ascii="Arial" w:hAnsi="Arial" w:cs="Arial"/>
          <w:i/>
          <w:spacing w:val="-4"/>
        </w:rPr>
        <w:t xml:space="preserve">”, </w:t>
      </w:r>
      <w:r w:rsidRPr="00E42332">
        <w:rPr>
          <w:rFonts w:ascii="Arial" w:hAnsi="Arial" w:cs="Arial"/>
          <w:spacing w:val="-4"/>
        </w:rPr>
        <w:t>llegando incluso</w:t>
      </w:r>
      <w:r w:rsidRPr="00E42332">
        <w:rPr>
          <w:rFonts w:ascii="Arial" w:hAnsi="Arial" w:cs="Arial"/>
          <w:iCs/>
          <w:lang w:val="es-ES_tradnl" w:eastAsia="es-ES"/>
        </w:rPr>
        <w:t xml:space="preserve"> a la exigencia de la doble asesoría prevista en </w:t>
      </w:r>
      <w:r w:rsidRPr="00E42332">
        <w:rPr>
          <w:rFonts w:ascii="Arial" w:hAnsi="Arial" w:cs="Arial"/>
          <w:lang w:val="es-ES_tradnl"/>
        </w:rPr>
        <w:t>la Ley 1748 de 2014, el Decreto 2071 de 2015 y la Circular Externa n.° 016 de 2016.</w:t>
      </w:r>
      <w:r w:rsidRPr="00E42332">
        <w:rPr>
          <w:rFonts w:ascii="Arial" w:hAnsi="Arial" w:cs="Arial"/>
          <w:i/>
          <w:iCs/>
          <w:lang w:val="es-ES_tradnl" w:eastAsia="es-ES"/>
        </w:rPr>
        <w:t xml:space="preserve"> </w:t>
      </w:r>
    </w:p>
    <w:p w:rsidR="00D618FF" w:rsidRPr="00E42332" w:rsidRDefault="00D618FF" w:rsidP="00D618FF">
      <w:pPr>
        <w:suppressAutoHyphens/>
        <w:spacing w:line="276" w:lineRule="auto"/>
        <w:jc w:val="both"/>
        <w:rPr>
          <w:rFonts w:ascii="Arial" w:hAnsi="Arial" w:cs="Arial"/>
          <w:i/>
          <w:iCs/>
          <w:lang w:val="es-ES_tradnl" w:eastAsia="es-ES"/>
        </w:rPr>
      </w:pPr>
    </w:p>
    <w:p w:rsidR="00D618FF" w:rsidRPr="00E42332" w:rsidRDefault="00D618FF" w:rsidP="00D618FF">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D618FF" w:rsidRPr="00E42332" w:rsidRDefault="00D618FF" w:rsidP="00D618FF">
      <w:pPr>
        <w:suppressAutoHyphens/>
        <w:spacing w:line="276" w:lineRule="auto"/>
        <w:jc w:val="both"/>
        <w:rPr>
          <w:rFonts w:ascii="Arial" w:hAnsi="Arial" w:cs="Arial"/>
          <w:i/>
          <w:iCs/>
          <w:lang w:val="es-ES_tradnl" w:eastAsia="es-ES"/>
        </w:rPr>
      </w:pPr>
    </w:p>
    <w:p w:rsidR="00D618FF" w:rsidRPr="00E42332" w:rsidRDefault="00D618FF" w:rsidP="00D618FF">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D618FF" w:rsidRPr="00E42332" w:rsidRDefault="00D618FF" w:rsidP="00D618FF">
      <w:pPr>
        <w:suppressAutoHyphens/>
        <w:spacing w:line="276" w:lineRule="auto"/>
        <w:jc w:val="both"/>
        <w:rPr>
          <w:rFonts w:ascii="Arial" w:hAnsi="Arial" w:cs="Arial"/>
          <w:i/>
          <w:iCs/>
          <w:lang w:val="es-ES_tradnl" w:eastAsia="es-ES"/>
        </w:rPr>
      </w:pPr>
    </w:p>
    <w:p w:rsidR="00D618FF" w:rsidRPr="00E42332" w:rsidRDefault="00D618FF" w:rsidP="00D618FF">
      <w:pPr>
        <w:numPr>
          <w:ilvl w:val="0"/>
          <w:numId w:val="1"/>
        </w:numPr>
        <w:suppressAutoHyphens/>
        <w:spacing w:line="276" w:lineRule="auto"/>
        <w:jc w:val="both"/>
        <w:rPr>
          <w:rFonts w:ascii="Arial" w:eastAsia="Calibri" w:hAnsi="Arial" w:cs="Arial"/>
          <w:spacing w:val="-4"/>
          <w:lang w:val="es-ES"/>
        </w:rPr>
      </w:pPr>
      <w:r w:rsidRPr="00E42332">
        <w:rPr>
          <w:rFonts w:ascii="Arial" w:hAnsi="Arial" w:cs="Arial"/>
          <w:spacing w:val="-4"/>
        </w:rPr>
        <w:t xml:space="preserve">Acreditada la falta de consentimiento informado corresponde declarar la ineficacia del traslado y como consecuencia de ello </w:t>
      </w:r>
      <w:r w:rsidRPr="00E42332">
        <w:rPr>
          <w:rFonts w:ascii="Arial" w:hAnsi="Arial" w:cs="Arial"/>
          <w:spacing w:val="-4"/>
          <w:lang w:val="es-ES"/>
        </w:rPr>
        <w:t xml:space="preserve">entonces, para efectos de la concreción de los derechos pensionales reclamados, se debe imponer la obligación de la AFP de trasladar a Colpensiones </w:t>
      </w:r>
      <w:r w:rsidRPr="00E42332">
        <w:rPr>
          <w:rFonts w:ascii="Arial" w:hAnsi="Arial" w:cs="Arial"/>
        </w:rPr>
        <w:t>los valores correspondientes a las cotizaciones, rendimientos financieros y gastos de administración, pertenecientes a la cuenta de quien demanda</w:t>
      </w:r>
      <w:r w:rsidRPr="00E42332">
        <w:rPr>
          <w:rFonts w:ascii="Arial" w:hAnsi="Arial" w:cs="Arial"/>
          <w:color w:val="000000"/>
        </w:rPr>
        <w:t xml:space="preserve"> </w:t>
      </w:r>
      <w:r w:rsidRPr="00E42332">
        <w:rPr>
          <w:rFonts w:ascii="Arial" w:hAnsi="Arial" w:cs="Arial"/>
          <w:spacing w:val="-4"/>
          <w:lang w:val="es-ES"/>
        </w:rPr>
        <w:t>para que sea esta entidad la que proceda a reconocer la pensión con base en las disposiciones que guían el RPM.</w:t>
      </w:r>
    </w:p>
    <w:p w:rsidR="00D618FF" w:rsidRPr="00E42332" w:rsidRDefault="00D618FF" w:rsidP="00D618FF">
      <w:pPr>
        <w:suppressAutoHyphens/>
        <w:spacing w:line="276" w:lineRule="auto"/>
        <w:jc w:val="both"/>
        <w:rPr>
          <w:rFonts w:ascii="Arial" w:hAnsi="Arial" w:cs="Arial"/>
          <w:spacing w:val="-2"/>
          <w:lang w:val="es-ES" w:eastAsia="es-ES"/>
        </w:rPr>
      </w:pPr>
    </w:p>
    <w:p w:rsidR="00D618FF" w:rsidRPr="00E42332" w:rsidRDefault="00D618FF" w:rsidP="00D618FF">
      <w:pPr>
        <w:numPr>
          <w:ilvl w:val="0"/>
          <w:numId w:val="4"/>
        </w:numPr>
        <w:suppressAutoHyphens/>
        <w:spacing w:line="276" w:lineRule="auto"/>
        <w:ind w:left="567" w:hanging="567"/>
        <w:jc w:val="both"/>
        <w:rPr>
          <w:rFonts w:ascii="Arial" w:hAnsi="Arial" w:cs="Arial"/>
          <w:b/>
          <w:spacing w:val="-2"/>
          <w:lang w:val="es-ES" w:eastAsia="es-ES"/>
        </w:rPr>
      </w:pPr>
      <w:r w:rsidRPr="00E42332">
        <w:rPr>
          <w:rFonts w:ascii="Arial" w:hAnsi="Arial" w:cs="Arial"/>
          <w:b/>
          <w:spacing w:val="-2"/>
          <w:lang w:val="es-ES" w:eastAsia="es-ES"/>
        </w:rPr>
        <w:t>CONTENIDO DE LOS ARTÍCULOS 13 LITERAL b) y 271 DE LA LEY 100 DE 1993</w:t>
      </w:r>
    </w:p>
    <w:p w:rsidR="00D618FF" w:rsidRPr="00E42332" w:rsidRDefault="00D618FF" w:rsidP="00D618FF">
      <w:pPr>
        <w:suppressAutoHyphens/>
        <w:spacing w:line="276" w:lineRule="auto"/>
        <w:jc w:val="both"/>
        <w:rPr>
          <w:rFonts w:ascii="Arial" w:hAnsi="Arial" w:cs="Arial"/>
          <w:b/>
          <w:spacing w:val="-2"/>
          <w:lang w:val="es-ES" w:eastAsia="es-ES"/>
        </w:rPr>
      </w:pPr>
    </w:p>
    <w:p w:rsidR="00D618FF" w:rsidRPr="00E42332" w:rsidRDefault="00D618FF" w:rsidP="00D618FF">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De conformidad con el literal b) del artículo 13 de la ley 100 de 199</w:t>
      </w:r>
      <w:r w:rsidRPr="00E42332">
        <w:rPr>
          <w:rFonts w:ascii="Arial" w:hAnsi="Arial" w:cs="Arial"/>
          <w:b/>
          <w:spacing w:val="-2"/>
          <w:lang w:val="es-ES" w:eastAsia="es-ES"/>
        </w:rPr>
        <w:t xml:space="preserve">3, </w:t>
      </w:r>
      <w:r w:rsidRPr="00E42332">
        <w:rPr>
          <w:rFonts w:ascii="Arial" w:hAnsi="Arial" w:cs="Arial"/>
          <w:spacing w:val="-2"/>
          <w:lang w:val="es-ES" w:eastAsia="es-ES"/>
        </w:rPr>
        <w:t xml:space="preserve">la selección de cualquiera de los regímenes que conforma el sistema general de pensiones es libre y </w:t>
      </w:r>
      <w:r w:rsidRPr="00E42332">
        <w:rPr>
          <w:rFonts w:ascii="Arial" w:hAnsi="Arial" w:cs="Arial"/>
          <w:spacing w:val="-2"/>
          <w:lang w:val="es-ES" w:eastAsia="es-ES"/>
        </w:rPr>
        <w:lastRenderedPageBreak/>
        <w:t>voluntaria, por lo que, si un empleador o alguna persona natural o jurídica desconoce ese derecho operan las sanciones de que trata el inciso 1º del artículo 271 ibídem, del que se extrae lo siguiente:</w:t>
      </w:r>
    </w:p>
    <w:p w:rsidR="00D618FF" w:rsidRPr="00E42332" w:rsidRDefault="00D618FF" w:rsidP="00D618FF">
      <w:pPr>
        <w:suppressAutoHyphens/>
        <w:spacing w:line="276" w:lineRule="auto"/>
        <w:jc w:val="both"/>
        <w:rPr>
          <w:rFonts w:ascii="Arial" w:hAnsi="Arial" w:cs="Arial"/>
          <w:spacing w:val="-2"/>
          <w:lang w:val="es-ES" w:eastAsia="es-ES"/>
        </w:rPr>
      </w:pPr>
      <w:bookmarkStart w:id="1" w:name="_GoBack"/>
    </w:p>
    <w:p w:rsidR="00D618FF" w:rsidRPr="00E42332" w:rsidRDefault="00D618FF" w:rsidP="00D618FF">
      <w:pPr>
        <w:numPr>
          <w:ilvl w:val="0"/>
          <w:numId w:val="5"/>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F42467" w:rsidRDefault="00F42467" w:rsidP="00F42467">
      <w:pPr>
        <w:suppressAutoHyphens/>
        <w:spacing w:line="276" w:lineRule="auto"/>
        <w:ind w:left="360"/>
        <w:jc w:val="both"/>
        <w:rPr>
          <w:rFonts w:ascii="Arial" w:hAnsi="Arial" w:cs="Arial"/>
          <w:spacing w:val="-2"/>
          <w:lang w:val="es-ES_tradnl" w:eastAsia="es-ES"/>
        </w:rPr>
      </w:pPr>
    </w:p>
    <w:p w:rsidR="00D618FF" w:rsidRPr="00E42332" w:rsidRDefault="00D618FF" w:rsidP="00D618FF">
      <w:pPr>
        <w:numPr>
          <w:ilvl w:val="0"/>
          <w:numId w:val="5"/>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F42467" w:rsidRDefault="00F42467" w:rsidP="00F42467">
      <w:pPr>
        <w:suppressAutoHyphens/>
        <w:spacing w:line="276" w:lineRule="auto"/>
        <w:ind w:left="360"/>
        <w:jc w:val="both"/>
        <w:rPr>
          <w:rFonts w:ascii="Arial" w:hAnsi="Arial" w:cs="Arial"/>
          <w:b/>
          <w:bCs/>
          <w:spacing w:val="-2"/>
          <w:lang w:val="es-ES" w:eastAsia="es-ES"/>
        </w:rPr>
      </w:pPr>
    </w:p>
    <w:p w:rsidR="00D618FF" w:rsidRPr="00E42332" w:rsidRDefault="00D618FF" w:rsidP="00D618FF">
      <w:pPr>
        <w:numPr>
          <w:ilvl w:val="0"/>
          <w:numId w:val="5"/>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 sanción es una multa por un valor entre uno y 50 </w:t>
      </w:r>
      <w:proofErr w:type="spellStart"/>
      <w:r w:rsidRPr="00E42332">
        <w:rPr>
          <w:rFonts w:ascii="Arial" w:hAnsi="Arial" w:cs="Arial"/>
          <w:b/>
          <w:bCs/>
          <w:spacing w:val="-2"/>
          <w:lang w:val="es-ES" w:eastAsia="es-ES"/>
        </w:rPr>
        <w:t>SMLMV</w:t>
      </w:r>
      <w:proofErr w:type="spellEnd"/>
      <w:r w:rsidRPr="00E42332">
        <w:rPr>
          <w:rFonts w:ascii="Arial" w:hAnsi="Arial" w:cs="Arial"/>
          <w:b/>
          <w:bCs/>
          <w:spacing w:val="-2"/>
          <w:lang w:val="es-ES" w:eastAsia="es-ES"/>
        </w:rPr>
        <w:t>.</w:t>
      </w:r>
    </w:p>
    <w:p w:rsidR="00F42467" w:rsidRDefault="00F42467" w:rsidP="00F42467">
      <w:pPr>
        <w:suppressAutoHyphens/>
        <w:spacing w:line="276" w:lineRule="auto"/>
        <w:ind w:left="360"/>
        <w:jc w:val="both"/>
        <w:rPr>
          <w:rFonts w:ascii="Arial" w:hAnsi="Arial" w:cs="Arial"/>
          <w:b/>
          <w:bCs/>
          <w:spacing w:val="-2"/>
          <w:lang w:val="es-ES" w:eastAsia="es-ES"/>
        </w:rPr>
      </w:pPr>
    </w:p>
    <w:p w:rsidR="00D618FF" w:rsidRPr="00E42332" w:rsidRDefault="00D618FF" w:rsidP="00D618FF">
      <w:pPr>
        <w:numPr>
          <w:ilvl w:val="0"/>
          <w:numId w:val="5"/>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El funcionario competente para imponerla es el Ministerio del Trabajo y Seguridad Social o el Ministerio de Salud.</w:t>
      </w:r>
    </w:p>
    <w:p w:rsidR="00F42467" w:rsidRDefault="00F42467" w:rsidP="00F42467">
      <w:pPr>
        <w:suppressAutoHyphens/>
        <w:spacing w:line="276" w:lineRule="auto"/>
        <w:ind w:left="360"/>
        <w:jc w:val="both"/>
        <w:rPr>
          <w:rFonts w:ascii="Arial" w:hAnsi="Arial" w:cs="Arial"/>
          <w:b/>
          <w:bCs/>
          <w:spacing w:val="-2"/>
          <w:lang w:val="es-ES" w:eastAsia="es-ES"/>
        </w:rPr>
      </w:pPr>
    </w:p>
    <w:p w:rsidR="00D618FF" w:rsidRPr="00E42332" w:rsidRDefault="00D618FF" w:rsidP="00D618FF">
      <w:pPr>
        <w:numPr>
          <w:ilvl w:val="0"/>
          <w:numId w:val="5"/>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Una vez impuesta la sanción por el funcionario competente la afiliación respectiva podrá realizarse nuevamente en forma libre y espontánea.</w:t>
      </w:r>
    </w:p>
    <w:p w:rsidR="00D618FF" w:rsidRDefault="00D618FF" w:rsidP="00D618FF">
      <w:pPr>
        <w:suppressAutoHyphens/>
        <w:spacing w:line="276" w:lineRule="auto"/>
        <w:jc w:val="both"/>
        <w:rPr>
          <w:rFonts w:ascii="Arial" w:hAnsi="Arial" w:cs="Arial"/>
          <w:spacing w:val="-2"/>
          <w:lang w:val="es-ES" w:eastAsia="es-ES"/>
        </w:rPr>
      </w:pPr>
    </w:p>
    <w:bookmarkEnd w:id="1"/>
    <w:p w:rsidR="00F42467" w:rsidRPr="00F42467" w:rsidRDefault="00F42467" w:rsidP="00D618FF">
      <w:pPr>
        <w:suppressAutoHyphens/>
        <w:spacing w:line="276" w:lineRule="auto"/>
        <w:jc w:val="both"/>
        <w:rPr>
          <w:rFonts w:ascii="Arial" w:hAnsi="Arial" w:cs="Arial"/>
          <w:spacing w:val="-2"/>
          <w:lang w:val="es-ES" w:eastAsia="es-ES"/>
        </w:rPr>
      </w:pPr>
    </w:p>
    <w:p w:rsidR="00D618FF" w:rsidRPr="00E42332" w:rsidRDefault="00D618FF" w:rsidP="00D618FF">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OBSERVACIONES SOBRE EL CONTENIDO DEL ARTÍCULO 271 DE LA LEY 100 DE 1993 Y LA APLICACIÓN QUE VIENE DÁNDOLE LA CORTE SUPREMA.</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42332">
        <w:rPr>
          <w:rFonts w:ascii="Arial" w:hAnsi="Arial" w:cs="Arial"/>
          <w:b/>
          <w:spacing w:val="-2"/>
          <w:lang w:val="es-ES_tradnl" w:eastAsia="es-ES"/>
        </w:rPr>
        <w:t xml:space="preserve"> “En la interpretación de leyes prohibitivas no deben buscarse analogías o razones para hacerlas extensivas a casos no comprendidos claramente en la prohibición”, t</w:t>
      </w:r>
      <w:r w:rsidRPr="00E42332">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42332">
        <w:rPr>
          <w:rFonts w:ascii="Arial" w:hAnsi="Arial" w:cs="Arial"/>
          <w:b/>
          <w:spacing w:val="-2"/>
          <w:lang w:val="es-ES_tradnl" w:eastAsia="es-ES"/>
        </w:rPr>
        <w:t>“Sanciones al empleador”</w:t>
      </w:r>
      <w:r w:rsidRPr="00E42332">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E42332">
        <w:rPr>
          <w:rFonts w:ascii="Arial" w:hAnsi="Arial" w:cs="Arial"/>
          <w:spacing w:val="-2"/>
          <w:lang w:val="es-ES_tradnl" w:eastAsia="es-ES"/>
        </w:rPr>
        <w:t>RAIS</w:t>
      </w:r>
      <w:proofErr w:type="spellEnd"/>
      <w:r w:rsidRPr="00E42332">
        <w:rPr>
          <w:rFonts w:ascii="Arial" w:hAnsi="Arial" w:cs="Arial"/>
          <w:spacing w:val="-2"/>
          <w:lang w:val="es-ES_tradnl" w:eastAsia="es-ES"/>
        </w:rPr>
        <w:t xml:space="preserve"> que les conciernen en desarrollo de su objeto social, pues para tales efectos hay legislación específica que adelante se resaltará.</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w:t>
      </w:r>
      <w:r w:rsidRPr="00E42332">
        <w:rPr>
          <w:rFonts w:ascii="Arial" w:hAnsi="Arial" w:cs="Arial"/>
          <w:spacing w:val="-2"/>
          <w:lang w:val="es-ES_tradnl" w:eastAsia="es-ES"/>
        </w:rPr>
        <w:lastRenderedPageBreak/>
        <w:t xml:space="preserve">destinatarias de lo previsto en artículos  13 literal b y 271 de la ley 100 de 1993 pues es inherente a su creación el otorgarles la posibilidad de promocionar el nuevo sistema cuya gestión les fue encargada. </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b/>
          <w:spacing w:val="-2"/>
          <w:lang w:val="es-ES_tradnl" w:eastAsia="es-ES"/>
        </w:rPr>
      </w:pPr>
      <w:r w:rsidRPr="00E42332">
        <w:rPr>
          <w:rFonts w:ascii="Arial" w:hAnsi="Arial"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42332">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D618FF" w:rsidRPr="00E42332" w:rsidRDefault="00D618FF" w:rsidP="00D618FF">
      <w:pPr>
        <w:suppressAutoHyphens/>
        <w:spacing w:line="276" w:lineRule="auto"/>
        <w:jc w:val="both"/>
        <w:rPr>
          <w:rFonts w:ascii="Arial" w:hAnsi="Arial" w:cs="Arial"/>
          <w:b/>
          <w:spacing w:val="-2"/>
          <w:lang w:val="es-ES_tradnl" w:eastAsia="es-ES"/>
        </w:rPr>
      </w:pPr>
    </w:p>
    <w:p w:rsidR="00D618FF" w:rsidRPr="00E42332" w:rsidRDefault="00D618FF" w:rsidP="00D618FF">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D618FF" w:rsidRPr="00E42332" w:rsidRDefault="00D618FF" w:rsidP="00D618FF">
      <w:pPr>
        <w:suppressAutoHyphens/>
        <w:spacing w:line="276" w:lineRule="auto"/>
        <w:jc w:val="both"/>
        <w:rPr>
          <w:rFonts w:ascii="Arial" w:hAnsi="Arial" w:cs="Arial"/>
          <w:b/>
          <w:bCs/>
          <w:spacing w:val="-2"/>
          <w:lang w:val="es-ES" w:eastAsia="es-ES"/>
        </w:rPr>
      </w:pPr>
    </w:p>
    <w:p w:rsidR="00D618FF" w:rsidRPr="00E42332" w:rsidRDefault="00D618FF" w:rsidP="00D618FF">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D618FF" w:rsidRPr="00E42332" w:rsidRDefault="00D618FF" w:rsidP="00D618FF">
      <w:pPr>
        <w:suppressAutoHyphens/>
        <w:spacing w:line="276" w:lineRule="auto"/>
        <w:jc w:val="both"/>
        <w:rPr>
          <w:rFonts w:ascii="Arial" w:hAnsi="Arial" w:cs="Arial"/>
          <w:b/>
          <w:bCs/>
          <w:spacing w:val="-2"/>
          <w:lang w:val="es-ES" w:eastAsia="es-ES"/>
        </w:rPr>
      </w:pPr>
    </w:p>
    <w:p w:rsidR="00D618FF" w:rsidRPr="00E42332" w:rsidRDefault="00D618FF" w:rsidP="00D618FF">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42332">
        <w:rPr>
          <w:rFonts w:ascii="Arial" w:hAnsi="Arial" w:cs="Arial"/>
          <w:spacing w:val="-2"/>
          <w:lang w:val="es-ES" w:eastAsia="es-ES"/>
        </w:rPr>
        <w:t>:</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527174" w:rsidRDefault="00D618FF" w:rsidP="00D618FF">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527174">
        <w:rPr>
          <w:rFonts w:ascii="Arial" w:hAnsi="Arial" w:cs="Arial"/>
          <w:spacing w:val="-2"/>
          <w:sz w:val="22"/>
          <w:lang w:val="es-ES_tradnl" w:eastAsia="es-ES"/>
        </w:rPr>
        <w:lastRenderedPageBreak/>
        <w:t>los dos regímenes de pensiones que contempla dicho sistema, y que delimita muy claramente el artículo 13 del Decreto 692 de 1994, en los siguientes términos:</w:t>
      </w:r>
    </w:p>
    <w:p w:rsidR="00D618FF" w:rsidRPr="00527174" w:rsidRDefault="00D618FF" w:rsidP="00D618FF">
      <w:pPr>
        <w:suppressAutoHyphens/>
        <w:ind w:left="426" w:right="420"/>
        <w:jc w:val="both"/>
        <w:rPr>
          <w:rFonts w:ascii="Arial" w:hAnsi="Arial" w:cs="Arial"/>
          <w:spacing w:val="-2"/>
          <w:sz w:val="22"/>
          <w:lang w:val="es-ES_tradnl" w:eastAsia="es-ES"/>
        </w:rPr>
      </w:pPr>
    </w:p>
    <w:p w:rsidR="00D618FF" w:rsidRPr="00527174" w:rsidRDefault="00D618FF" w:rsidP="00D618FF">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rsidR="00D618FF" w:rsidRPr="00E42332" w:rsidRDefault="00D618FF" w:rsidP="00D618FF">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 </w:t>
      </w:r>
    </w:p>
    <w:p w:rsidR="00D618FF" w:rsidRPr="00E42332" w:rsidRDefault="00D618FF" w:rsidP="00D618FF">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Y la tercera y más importante, </w:t>
      </w:r>
      <w:r w:rsidRPr="00E42332">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E42332">
        <w:rPr>
          <w:rFonts w:ascii="Arial" w:hAnsi="Arial" w:cs="Arial"/>
          <w:b/>
          <w:spacing w:val="-2"/>
          <w:lang w:val="es-ES_tradnl" w:eastAsia="es-ES"/>
        </w:rPr>
        <w:t>RAIS</w:t>
      </w:r>
      <w:proofErr w:type="spellEnd"/>
      <w:r w:rsidRPr="00E42332">
        <w:rPr>
          <w:rFonts w:ascii="Arial" w:hAnsi="Arial" w:cs="Arial"/>
          <w:b/>
          <w:spacing w:val="-2"/>
          <w:lang w:val="es-ES_tradnl" w:eastAsia="es-ES"/>
        </w:rPr>
        <w:t xml:space="preserve"> a pesar del perjuicio que ello le pudiere significar</w:t>
      </w:r>
      <w:r w:rsidRPr="00E42332">
        <w:rPr>
          <w:rFonts w:ascii="Arial" w:hAnsi="Arial" w:cs="Arial"/>
          <w:spacing w:val="-2"/>
          <w:lang w:val="es-ES_tradnl" w:eastAsia="es-ES"/>
        </w:rPr>
        <w:t>.</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CONSECUENCIAS DE LA APLICACIÓN DE LA TESIS DE LA INEFICACIA DE LOS TRASLADOS CON FUNDAMENTO EN LOS ARTÍCULOS 13 Y 271 DE LA LEY 100 DE 1993.</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Las declaraciones de ineficacias de traslados envuelven los siguientes resultados:</w:t>
      </w:r>
    </w:p>
    <w:p w:rsidR="00D618FF" w:rsidRPr="00E42332" w:rsidRDefault="00D618FF" w:rsidP="00D618FF">
      <w:pPr>
        <w:suppressAutoHyphens/>
        <w:spacing w:line="276" w:lineRule="auto"/>
        <w:jc w:val="both"/>
        <w:rPr>
          <w:rFonts w:ascii="Arial" w:hAnsi="Arial" w:cs="Arial"/>
          <w:b/>
          <w:bCs/>
          <w:spacing w:val="-2"/>
          <w:lang w:val="es-ES" w:eastAsia="es-ES"/>
        </w:rPr>
      </w:pPr>
    </w:p>
    <w:p w:rsidR="00D618FF" w:rsidRPr="00E42332" w:rsidRDefault="00D618FF" w:rsidP="00D618FF">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PRIMERO: Desdibuja nuestro sistema jurídico de responsabilidad </w:t>
      </w:r>
      <w:r w:rsidRPr="00E42332">
        <w:rPr>
          <w:rFonts w:ascii="Arial" w:hAnsi="Arial" w:cs="Arial"/>
          <w:spacing w:val="-2"/>
          <w:lang w:val="es-ES" w:eastAsia="es-ES"/>
        </w:rPr>
        <w:t>al imponer la carga de resarcir un daño, a quien no lo produjo, en este caso Colpensiones y de contera la Nación como su garante.</w:t>
      </w:r>
    </w:p>
    <w:p w:rsidR="00D618FF" w:rsidRPr="00E42332" w:rsidRDefault="00D618FF" w:rsidP="00D618FF">
      <w:pPr>
        <w:suppressAutoHyphens/>
        <w:spacing w:line="276" w:lineRule="auto"/>
        <w:jc w:val="both"/>
        <w:rPr>
          <w:rFonts w:ascii="Arial" w:hAnsi="Arial" w:cs="Arial"/>
          <w:iCs/>
          <w:spacing w:val="-2"/>
          <w:lang w:val="es-ES_tradnl" w:eastAsia="es-ES"/>
        </w:rPr>
      </w:pPr>
    </w:p>
    <w:p w:rsidR="00D618FF" w:rsidRPr="00E42332" w:rsidRDefault="00D618FF" w:rsidP="00D618FF">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42332">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E42332">
        <w:rPr>
          <w:rFonts w:ascii="Arial" w:hAnsi="Arial" w:cs="Arial"/>
          <w:iCs/>
          <w:spacing w:val="-2"/>
          <w:lang w:val="es-ES_tradnl" w:eastAsia="es-ES"/>
        </w:rPr>
        <w:t>.</w:t>
      </w:r>
    </w:p>
    <w:p w:rsidR="00D618FF" w:rsidRPr="00E42332" w:rsidRDefault="00D618FF" w:rsidP="00D618FF">
      <w:pPr>
        <w:suppressAutoHyphens/>
        <w:spacing w:line="276" w:lineRule="auto"/>
        <w:jc w:val="both"/>
        <w:rPr>
          <w:rFonts w:ascii="Arial" w:hAnsi="Arial" w:cs="Arial"/>
          <w:iCs/>
          <w:spacing w:val="-2"/>
          <w:lang w:val="es-ES_tradnl" w:eastAsia="es-ES"/>
        </w:rPr>
      </w:pPr>
    </w:p>
    <w:p w:rsidR="00D618FF" w:rsidRDefault="00D618FF" w:rsidP="00D618FF">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Pr>
          <w:rFonts w:ascii="Arial" w:hAnsi="Arial" w:cs="Arial"/>
          <w:iCs/>
          <w:spacing w:val="-2"/>
          <w:lang w:val="es-ES_tradnl" w:eastAsia="es-ES"/>
        </w:rPr>
        <w:t>-</w:t>
      </w:r>
      <w:r w:rsidRPr="00E42332">
        <w:rPr>
          <w:rFonts w:ascii="Arial" w:hAnsi="Arial" w:cs="Arial"/>
          <w:iCs/>
          <w:spacing w:val="-2"/>
          <w:lang w:val="es-ES_tradnl" w:eastAsia="es-ES"/>
        </w:rPr>
        <w:t>COLPENSIONES- la rama judicial le impone que con los demás dineros del fondo público, cubra el daño generado por la AFP privada.</w:t>
      </w:r>
    </w:p>
    <w:p w:rsidR="00D618FF" w:rsidRPr="00E42332" w:rsidRDefault="00D618FF" w:rsidP="00D618FF">
      <w:pPr>
        <w:suppressAutoHyphens/>
        <w:spacing w:line="276" w:lineRule="auto"/>
        <w:jc w:val="both"/>
        <w:rPr>
          <w:rFonts w:ascii="Arial" w:hAnsi="Arial" w:cs="Arial"/>
          <w:iCs/>
          <w:spacing w:val="-2"/>
          <w:lang w:val="es-ES_tradnl" w:eastAsia="es-ES"/>
        </w:rPr>
      </w:pPr>
    </w:p>
    <w:p w:rsidR="00D618FF" w:rsidRPr="00E42332" w:rsidRDefault="00D618FF" w:rsidP="00D618FF">
      <w:pPr>
        <w:suppressAutoHyphens/>
        <w:spacing w:line="276" w:lineRule="auto"/>
        <w:jc w:val="both"/>
        <w:rPr>
          <w:rFonts w:ascii="Arial" w:hAnsi="Arial" w:cs="Arial"/>
          <w:b/>
          <w:iCs/>
          <w:spacing w:val="-2"/>
          <w:lang w:val="es-ES_tradnl" w:eastAsia="es-ES"/>
        </w:rPr>
      </w:pPr>
      <w:r w:rsidRPr="00E42332">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D618FF" w:rsidRPr="00E42332" w:rsidRDefault="00D618FF" w:rsidP="00D618FF">
      <w:pPr>
        <w:suppressAutoHyphens/>
        <w:spacing w:line="276" w:lineRule="auto"/>
        <w:jc w:val="both"/>
        <w:rPr>
          <w:rFonts w:ascii="Arial" w:hAnsi="Arial" w:cs="Arial"/>
          <w:iCs/>
          <w:spacing w:val="-2"/>
          <w:lang w:val="es-ES_tradnl" w:eastAsia="es-ES"/>
        </w:rPr>
      </w:pPr>
    </w:p>
    <w:p w:rsidR="00D618FF" w:rsidRPr="00E42332" w:rsidRDefault="00D618FF" w:rsidP="00D618FF">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lastRenderedPageBreak/>
        <w:t xml:space="preserve">SEGUNDO: De manera consciente, sin justificación alguna, </w:t>
      </w:r>
      <w:proofErr w:type="spellStart"/>
      <w:r w:rsidRPr="00E42332">
        <w:rPr>
          <w:rFonts w:ascii="Arial" w:hAnsi="Arial" w:cs="Arial"/>
          <w:b/>
          <w:bCs/>
          <w:spacing w:val="-2"/>
          <w:lang w:val="es-ES" w:eastAsia="es-ES"/>
        </w:rPr>
        <w:t>inaplica</w:t>
      </w:r>
      <w:proofErr w:type="spellEnd"/>
      <w:r w:rsidRPr="00E42332">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D618FF" w:rsidRPr="00E42332" w:rsidRDefault="00D618FF" w:rsidP="00D618FF">
      <w:pPr>
        <w:suppressAutoHyphens/>
        <w:spacing w:line="276" w:lineRule="auto"/>
        <w:jc w:val="both"/>
        <w:rPr>
          <w:rFonts w:ascii="Arial" w:hAnsi="Arial" w:cs="Arial"/>
          <w:iCs/>
          <w:spacing w:val="-2"/>
          <w:lang w:val="es-ES_tradnl" w:eastAsia="es-ES"/>
        </w:rPr>
      </w:pPr>
    </w:p>
    <w:p w:rsidR="00D618FF" w:rsidRPr="00E42332" w:rsidRDefault="00D618FF" w:rsidP="00D618FF">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A continuación se analizan aspectos de estas dos afirmaciones.</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iCs/>
          <w:spacing w:val="-2"/>
          <w:lang w:val="es-ES_tradnl" w:eastAsia="es-ES"/>
        </w:rPr>
        <w:t xml:space="preserve">APOYO CONSTITUCIONAL EMANADO DE LA SENTENCIA C-1024 DE 2004 SOBRE LA </w:t>
      </w:r>
      <w:proofErr w:type="spellStart"/>
      <w:r w:rsidRPr="00E42332">
        <w:rPr>
          <w:rFonts w:ascii="Arial" w:hAnsi="Arial" w:cs="Arial"/>
          <w:b/>
          <w:iCs/>
          <w:spacing w:val="-2"/>
          <w:lang w:val="es-ES_tradnl" w:eastAsia="es-ES"/>
        </w:rPr>
        <w:t>RAZON</w:t>
      </w:r>
      <w:proofErr w:type="spellEnd"/>
      <w:r w:rsidRPr="00E42332">
        <w:rPr>
          <w:rFonts w:ascii="Arial" w:hAnsi="Arial" w:cs="Arial"/>
          <w:b/>
          <w:iCs/>
          <w:spacing w:val="-2"/>
          <w:lang w:val="es-ES_tradnl" w:eastAsia="es-ES"/>
        </w:rPr>
        <w:t xml:space="preserve"> DE SER DE LA LIMITACIÓN DE TRASLADO CUANDO FALTEN MENOS DE 10 AÑOS. </w:t>
      </w:r>
    </w:p>
    <w:p w:rsidR="00D618FF" w:rsidRPr="00E42332" w:rsidRDefault="00D618FF" w:rsidP="00D618FF">
      <w:pPr>
        <w:suppressAutoHyphens/>
        <w:spacing w:line="276" w:lineRule="auto"/>
        <w:jc w:val="both"/>
        <w:rPr>
          <w:rFonts w:ascii="Arial" w:hAnsi="Arial" w:cs="Arial"/>
          <w:b/>
          <w:iCs/>
          <w:spacing w:val="-2"/>
          <w:lang w:val="es-ES_tradnl" w:eastAsia="es-ES"/>
        </w:rPr>
      </w:pPr>
    </w:p>
    <w:p w:rsidR="00D618FF" w:rsidRPr="00E42332" w:rsidRDefault="00D618FF" w:rsidP="00D618FF">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Pr>
          <w:rFonts w:ascii="Arial" w:hAnsi="Arial" w:cs="Arial"/>
          <w:iCs/>
          <w:spacing w:val="-2"/>
          <w:lang w:val="es-ES_tradnl" w:eastAsia="es-ES"/>
        </w:rPr>
        <w:t>-</w:t>
      </w:r>
      <w:r w:rsidRPr="00E42332">
        <w:rPr>
          <w:rFonts w:ascii="Arial" w:hAnsi="Arial" w:cs="Arial"/>
          <w:iCs/>
          <w:spacing w:val="-2"/>
          <w:lang w:val="es-ES_tradnl" w:eastAsia="es-ES"/>
        </w:rPr>
        <w:t xml:space="preserve">inicialmente 5 años y posteriormente 10-. </w:t>
      </w:r>
    </w:p>
    <w:p w:rsidR="00D618FF" w:rsidRPr="00E42332" w:rsidRDefault="00D618FF" w:rsidP="00D618FF">
      <w:pPr>
        <w:suppressAutoHyphens/>
        <w:spacing w:line="276" w:lineRule="auto"/>
        <w:jc w:val="both"/>
        <w:rPr>
          <w:rFonts w:ascii="Arial" w:hAnsi="Arial" w:cs="Arial"/>
          <w:iCs/>
          <w:spacing w:val="-2"/>
          <w:lang w:val="es-ES_tradnl" w:eastAsia="es-ES"/>
        </w:rPr>
      </w:pPr>
    </w:p>
    <w:p w:rsidR="00D618FF" w:rsidRPr="00E42332" w:rsidRDefault="00D618FF" w:rsidP="00D618FF">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Al analizar esa limitación la Corte Constitucional fue clara en explicar que </w:t>
      </w:r>
      <w:r w:rsidRPr="00E42332">
        <w:rPr>
          <w:rFonts w:ascii="Arial" w:hAnsi="Arial" w:cs="Arial"/>
          <w:b/>
          <w:iCs/>
          <w:spacing w:val="-2"/>
          <w:lang w:val="es-ES_tradnl" w:eastAsia="es-ES"/>
        </w:rPr>
        <w:t>para garantizar la sostenibilidad financiera del sistema de prima media</w:t>
      </w:r>
      <w:r w:rsidRPr="00E42332">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D618FF" w:rsidRPr="00E42332" w:rsidRDefault="00D618FF" w:rsidP="00D618FF">
      <w:pPr>
        <w:suppressAutoHyphens/>
        <w:spacing w:line="276" w:lineRule="auto"/>
        <w:jc w:val="both"/>
        <w:rPr>
          <w:rFonts w:ascii="Arial" w:hAnsi="Arial" w:cs="Arial"/>
          <w:b/>
          <w:iCs/>
          <w:spacing w:val="-2"/>
          <w:lang w:val="es-ES_tradnl" w:eastAsia="es-ES"/>
        </w:rPr>
      </w:pPr>
    </w:p>
    <w:p w:rsidR="00D618FF" w:rsidRPr="00527174" w:rsidRDefault="00D618FF" w:rsidP="00D618FF">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D618FF" w:rsidRPr="00527174" w:rsidRDefault="00D618FF" w:rsidP="00D618FF">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D618FF" w:rsidRPr="00527174" w:rsidRDefault="00D618FF" w:rsidP="00D618FF">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D618FF" w:rsidRPr="00527174" w:rsidRDefault="00D618FF" w:rsidP="00D618FF">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D618FF" w:rsidRPr="00527174" w:rsidRDefault="00D618FF" w:rsidP="00D618FF">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 xml:space="preserve">´obtener la mejor utilización económica de los recursos administrativos y financieros disponibles para asegurar el </w:t>
      </w:r>
      <w:r w:rsidRPr="00527174">
        <w:rPr>
          <w:rFonts w:ascii="Arial" w:hAnsi="Arial" w:cs="Arial"/>
          <w:i/>
          <w:iCs/>
          <w:spacing w:val="-2"/>
          <w:sz w:val="22"/>
          <w:lang w:eastAsia="es-ES"/>
        </w:rPr>
        <w:lastRenderedPageBreak/>
        <w:t>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D618FF" w:rsidRPr="00E42332" w:rsidRDefault="00D618FF" w:rsidP="00D618FF">
      <w:pPr>
        <w:suppressAutoHyphens/>
        <w:spacing w:line="276" w:lineRule="auto"/>
        <w:jc w:val="both"/>
        <w:rPr>
          <w:rFonts w:ascii="Arial" w:hAnsi="Arial" w:cs="Arial"/>
          <w:b/>
          <w:iCs/>
          <w:spacing w:val="-2"/>
          <w:lang w:val="es-ES_tradnl" w:eastAsia="es-ES"/>
        </w:rPr>
      </w:pPr>
    </w:p>
    <w:p w:rsidR="00D618FF" w:rsidRPr="00E42332" w:rsidRDefault="00D618FF" w:rsidP="00D618FF">
      <w:pPr>
        <w:suppressAutoHyphens/>
        <w:spacing w:line="276" w:lineRule="auto"/>
        <w:jc w:val="both"/>
        <w:rPr>
          <w:rFonts w:ascii="Arial" w:hAnsi="Arial" w:cs="Arial"/>
          <w:b/>
          <w:iCs/>
          <w:spacing w:val="-2"/>
          <w:lang w:eastAsia="es-ES"/>
        </w:rPr>
      </w:pPr>
      <w:r w:rsidRPr="00E42332">
        <w:rPr>
          <w:rFonts w:ascii="Arial" w:hAnsi="Arial" w:cs="Arial"/>
          <w:iCs/>
          <w:spacing w:val="-2"/>
          <w:lang w:val="es-ES_tradnl" w:eastAsia="es-ES"/>
        </w:rPr>
        <w:t xml:space="preserve">Permitir entonces, la declaración de ineficacia de traslados de personas que han estado largos años en el </w:t>
      </w:r>
      <w:proofErr w:type="spellStart"/>
      <w:r w:rsidRPr="00E42332">
        <w:rPr>
          <w:rFonts w:ascii="Arial" w:hAnsi="Arial" w:cs="Arial"/>
          <w:iCs/>
          <w:spacing w:val="-2"/>
          <w:lang w:val="es-ES_tradnl" w:eastAsia="es-ES"/>
        </w:rPr>
        <w:t>RAIS</w:t>
      </w:r>
      <w:proofErr w:type="spellEnd"/>
      <w:r w:rsidRPr="00E42332">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Pr>
          <w:rFonts w:ascii="Arial" w:hAnsi="Arial" w:cs="Arial"/>
          <w:iCs/>
          <w:spacing w:val="-2"/>
          <w:lang w:val="es-ES_tradnl" w:eastAsia="es-ES"/>
        </w:rPr>
        <w:t>-</w:t>
      </w:r>
      <w:r w:rsidRPr="00E42332">
        <w:rPr>
          <w:rFonts w:ascii="Arial" w:hAnsi="Arial" w:cs="Arial"/>
          <w:iCs/>
          <w:spacing w:val="-2"/>
          <w:lang w:val="es-ES_tradnl" w:eastAsia="es-ES"/>
        </w:rPr>
        <w:t xml:space="preserve">dada esa circunstancia- </w:t>
      </w:r>
      <w:r w:rsidRPr="00E42332">
        <w:rPr>
          <w:rFonts w:ascii="Arial" w:hAnsi="Arial" w:cs="Arial"/>
          <w:b/>
          <w:iCs/>
          <w:spacing w:val="-2"/>
          <w:lang w:eastAsia="es-ES"/>
        </w:rPr>
        <w:t>puede llegar a poner en riesgo la garantía del derecho pensional para los actuales y futuros pensionados que si lo hicieron.</w:t>
      </w:r>
    </w:p>
    <w:p w:rsidR="00D618FF" w:rsidRPr="00E42332" w:rsidRDefault="00D618FF" w:rsidP="00D618FF">
      <w:pPr>
        <w:suppressAutoHyphens/>
        <w:spacing w:line="276" w:lineRule="auto"/>
        <w:jc w:val="both"/>
        <w:rPr>
          <w:rFonts w:ascii="Arial" w:hAnsi="Arial" w:cs="Arial"/>
          <w:b/>
          <w:iCs/>
          <w:spacing w:val="-2"/>
          <w:lang w:eastAsia="es-ES"/>
        </w:rPr>
      </w:pPr>
    </w:p>
    <w:p w:rsidR="00D618FF" w:rsidRPr="00E42332" w:rsidRDefault="00D618FF" w:rsidP="00D618FF">
      <w:pPr>
        <w:suppressAutoHyphens/>
        <w:spacing w:line="276" w:lineRule="auto"/>
        <w:jc w:val="both"/>
        <w:rPr>
          <w:rFonts w:ascii="Arial" w:hAnsi="Arial" w:cs="Arial"/>
          <w:iCs/>
          <w:spacing w:val="-2"/>
          <w:lang w:val="es-ES_tradnl" w:eastAsia="es-ES"/>
        </w:rPr>
      </w:pPr>
      <w:r w:rsidRPr="00E42332">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42332">
        <w:rPr>
          <w:rFonts w:ascii="Arial" w:hAnsi="Arial" w:cs="Arial"/>
          <w:iCs/>
          <w:spacing w:val="-2"/>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E42332">
        <w:rPr>
          <w:rFonts w:ascii="Arial" w:hAnsi="Arial" w:cs="Arial"/>
          <w:iCs/>
          <w:spacing w:val="-2"/>
          <w:lang w:eastAsia="es-ES"/>
        </w:rPr>
        <w:t>RAIS</w:t>
      </w:r>
      <w:proofErr w:type="spellEnd"/>
      <w:r w:rsidRPr="00E42332">
        <w:rPr>
          <w:rFonts w:ascii="Arial" w:hAnsi="Arial" w:cs="Arial"/>
          <w:iCs/>
          <w:spacing w:val="-2"/>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E42332">
        <w:rPr>
          <w:rFonts w:ascii="Arial" w:hAnsi="Arial" w:cs="Arial"/>
          <w:iCs/>
          <w:spacing w:val="-2"/>
          <w:lang w:eastAsia="es-ES"/>
        </w:rPr>
        <w:t>RAIS</w:t>
      </w:r>
      <w:proofErr w:type="spellEnd"/>
      <w:r w:rsidRPr="00E42332">
        <w:rPr>
          <w:rFonts w:ascii="Arial" w:hAnsi="Arial" w:cs="Arial"/>
          <w:iCs/>
          <w:spacing w:val="-2"/>
          <w:lang w:eastAsia="es-ES"/>
        </w:rPr>
        <w:t xml:space="preserve"> por cuanto no puede olvidarse que</w:t>
      </w:r>
      <w:r w:rsidRPr="00E42332">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E42332">
        <w:rPr>
          <w:rFonts w:ascii="Arial" w:hAnsi="Arial" w:cs="Arial"/>
          <w:iCs/>
          <w:spacing w:val="-2"/>
          <w:lang w:val="es-ES_tradnl" w:eastAsia="es-ES"/>
        </w:rPr>
        <w:t>IBL</w:t>
      </w:r>
      <w:proofErr w:type="spellEnd"/>
      <w:r w:rsidRPr="00E42332">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42332">
        <w:rPr>
          <w:rFonts w:ascii="Arial" w:hAnsi="Arial" w:cs="Arial"/>
          <w:iCs/>
          <w:spacing w:val="-2"/>
          <w:lang w:val="es-ES_tradnl" w:eastAsia="es-ES"/>
        </w:rPr>
        <w:t>sucesoral</w:t>
      </w:r>
      <w:proofErr w:type="spellEnd"/>
      <w:r w:rsidRPr="00E42332">
        <w:rPr>
          <w:rFonts w:ascii="Arial" w:hAnsi="Arial" w:cs="Arial"/>
          <w:iCs/>
          <w:spacing w:val="-2"/>
          <w:lang w:val="es-ES_tradnl" w:eastAsia="es-ES"/>
        </w:rPr>
        <w:t>, etc..</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EN NUESTRO SISTEMA JURÍDICO ¿QUIEN ES LA PERSONA LLAMADA A RESPONDER POR LOS DAÑOS ANTIJURÍDICOS QUE CAUSE CON SU PROCEDER?</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w:t>
      </w:r>
      <w:r w:rsidRPr="00E42332">
        <w:rPr>
          <w:rFonts w:ascii="Arial" w:hAnsi="Arial" w:cs="Arial"/>
          <w:spacing w:val="-2"/>
          <w:lang w:val="es-ES_tradnl" w:eastAsia="es-ES"/>
        </w:rPr>
        <w:lastRenderedPageBreak/>
        <w:t>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i/>
          <w:spacing w:val="-2"/>
          <w:lang w:val="es-ES_tradnl" w:eastAsia="es-ES"/>
        </w:rPr>
      </w:pPr>
      <w:r w:rsidRPr="00E42332">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60A33">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E42332">
        <w:rPr>
          <w:rFonts w:ascii="Arial" w:hAnsi="Arial" w:cs="Arial"/>
          <w:i/>
          <w:spacing w:val="-2"/>
          <w:lang w:val="es-ES_tradnl" w:eastAsia="es-ES"/>
        </w:rPr>
        <w:t>”.</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numPr>
          <w:ilvl w:val="0"/>
          <w:numId w:val="4"/>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42332">
        <w:rPr>
          <w:rFonts w:ascii="Arial" w:hAnsi="Arial" w:cs="Arial"/>
          <w:spacing w:val="-2"/>
          <w:lang w:val="es-ES" w:eastAsia="es-ES"/>
        </w:rPr>
        <w:t xml:space="preserve"> </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527174" w:rsidRDefault="00D618FF" w:rsidP="00D618FF">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lastRenderedPageBreak/>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D618FF" w:rsidRPr="00E42332" w:rsidRDefault="00D618FF" w:rsidP="00D618FF">
      <w:pPr>
        <w:suppressAutoHyphens/>
        <w:spacing w:line="276" w:lineRule="auto"/>
        <w:jc w:val="both"/>
        <w:rPr>
          <w:rFonts w:ascii="Arial" w:hAnsi="Arial" w:cs="Arial"/>
          <w:spacing w:val="-2"/>
          <w:lang w:val="es-ES_tradnl" w:eastAsia="es-ES"/>
        </w:rPr>
      </w:pPr>
    </w:p>
    <w:p w:rsidR="00D618FF" w:rsidRPr="00E42332" w:rsidRDefault="00D618FF" w:rsidP="00D618FF">
      <w:pPr>
        <w:spacing w:line="276" w:lineRule="auto"/>
        <w:jc w:val="both"/>
        <w:rPr>
          <w:rFonts w:ascii="Arial" w:hAnsi="Arial" w:cs="Arial"/>
          <w:lang w:eastAsia="es-ES"/>
        </w:rPr>
      </w:pPr>
      <w:r w:rsidRPr="00E42332">
        <w:rPr>
          <w:rFonts w:ascii="Arial" w:hAnsi="Arial" w:cs="Arial"/>
          <w:lang w:eastAsia="es-ES"/>
        </w:rPr>
        <w:t>Dejo así aclarado mi voto.</w:t>
      </w:r>
    </w:p>
    <w:p w:rsidR="00D618FF" w:rsidRPr="00E42332" w:rsidRDefault="00D618FF" w:rsidP="00D618FF">
      <w:pPr>
        <w:spacing w:line="276" w:lineRule="auto"/>
        <w:jc w:val="both"/>
        <w:rPr>
          <w:rFonts w:ascii="Arial" w:eastAsia="Calibri" w:hAnsi="Arial" w:cs="Arial"/>
        </w:rPr>
      </w:pPr>
    </w:p>
    <w:p w:rsidR="00D618FF" w:rsidRPr="00E42332" w:rsidRDefault="00D618FF" w:rsidP="00D618FF">
      <w:pPr>
        <w:spacing w:line="276" w:lineRule="auto"/>
        <w:jc w:val="both"/>
        <w:rPr>
          <w:rFonts w:ascii="Arial" w:hAnsi="Arial" w:cs="Arial"/>
        </w:rPr>
      </w:pPr>
    </w:p>
    <w:p w:rsidR="00D618FF" w:rsidRPr="00E42332" w:rsidRDefault="00D618FF" w:rsidP="00D618FF">
      <w:pPr>
        <w:spacing w:line="276" w:lineRule="auto"/>
        <w:jc w:val="both"/>
        <w:rPr>
          <w:rFonts w:ascii="Arial" w:hAnsi="Arial" w:cs="Arial"/>
        </w:rPr>
      </w:pPr>
    </w:p>
    <w:p w:rsidR="00D618FF" w:rsidRPr="00E42332" w:rsidRDefault="00D618FF" w:rsidP="00D618FF">
      <w:pPr>
        <w:spacing w:line="276" w:lineRule="auto"/>
        <w:jc w:val="both"/>
        <w:rPr>
          <w:rFonts w:ascii="Arial" w:hAnsi="Arial" w:cs="Arial"/>
        </w:rPr>
      </w:pPr>
    </w:p>
    <w:p w:rsidR="00D618FF" w:rsidRPr="00E42332" w:rsidRDefault="00D618FF" w:rsidP="00D618FF">
      <w:pPr>
        <w:widowControl w:val="0"/>
        <w:autoSpaceDE w:val="0"/>
        <w:autoSpaceDN w:val="0"/>
        <w:adjustRightInd w:val="0"/>
        <w:spacing w:line="276" w:lineRule="auto"/>
        <w:jc w:val="center"/>
        <w:rPr>
          <w:rFonts w:ascii="Arial" w:hAnsi="Arial" w:cs="Arial"/>
          <w:b/>
        </w:rPr>
      </w:pPr>
      <w:r w:rsidRPr="00E42332">
        <w:rPr>
          <w:rFonts w:ascii="Arial" w:hAnsi="Arial" w:cs="Arial"/>
          <w:b/>
        </w:rPr>
        <w:t>JULIO CÉSAR SALAZAR MUÑOZ</w:t>
      </w:r>
    </w:p>
    <w:p w:rsidR="006479B5" w:rsidRPr="00D618FF" w:rsidRDefault="00D618FF" w:rsidP="00D618FF">
      <w:pPr>
        <w:widowControl w:val="0"/>
        <w:autoSpaceDE w:val="0"/>
        <w:autoSpaceDN w:val="0"/>
        <w:adjustRightInd w:val="0"/>
        <w:spacing w:line="276" w:lineRule="auto"/>
        <w:jc w:val="center"/>
        <w:rPr>
          <w:rFonts w:ascii="Arial" w:hAnsi="Arial" w:cs="Arial"/>
        </w:rPr>
      </w:pPr>
      <w:r w:rsidRPr="00E42332">
        <w:rPr>
          <w:rFonts w:ascii="Arial" w:hAnsi="Arial" w:cs="Arial"/>
        </w:rPr>
        <w:t>Magistrado</w:t>
      </w:r>
    </w:p>
    <w:sectPr w:rsidR="006479B5" w:rsidRPr="00D618FF" w:rsidSect="00D618FF">
      <w:headerReference w:type="default" r:id="rId8"/>
      <w:footerReference w:type="default" r:id="rId9"/>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84" w:rsidRDefault="00076B84" w:rsidP="00E0425D">
      <w:r>
        <w:separator/>
      </w:r>
    </w:p>
  </w:endnote>
  <w:endnote w:type="continuationSeparator" w:id="0">
    <w:p w:rsidR="00076B84" w:rsidRDefault="00076B84" w:rsidP="00E0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0266"/>
      <w:docPartObj>
        <w:docPartGallery w:val="Page Numbers (Bottom of Page)"/>
        <w:docPartUnique/>
      </w:docPartObj>
    </w:sdtPr>
    <w:sdtEndPr>
      <w:rPr>
        <w:rFonts w:ascii="Arial" w:hAnsi="Arial" w:cs="Arial"/>
        <w:sz w:val="18"/>
        <w:szCs w:val="14"/>
      </w:rPr>
    </w:sdtEndPr>
    <w:sdtContent>
      <w:p w:rsidR="00E0425D" w:rsidRPr="00D618FF" w:rsidRDefault="00C50B16">
        <w:pPr>
          <w:pStyle w:val="Piedepgina"/>
          <w:jc w:val="right"/>
          <w:rPr>
            <w:rFonts w:ascii="Arial" w:hAnsi="Arial" w:cs="Arial"/>
            <w:sz w:val="18"/>
            <w:szCs w:val="14"/>
          </w:rPr>
        </w:pPr>
        <w:r w:rsidRPr="00D618FF">
          <w:rPr>
            <w:rFonts w:ascii="Arial" w:hAnsi="Arial" w:cs="Arial"/>
            <w:sz w:val="18"/>
            <w:szCs w:val="14"/>
          </w:rPr>
          <w:fldChar w:fldCharType="begin"/>
        </w:r>
        <w:r w:rsidR="00E0425D" w:rsidRPr="00D618FF">
          <w:rPr>
            <w:rFonts w:ascii="Arial" w:hAnsi="Arial" w:cs="Arial"/>
            <w:sz w:val="18"/>
            <w:szCs w:val="14"/>
          </w:rPr>
          <w:instrText xml:space="preserve"> PAGE   \* MERGEFORMAT </w:instrText>
        </w:r>
        <w:r w:rsidRPr="00D618FF">
          <w:rPr>
            <w:rFonts w:ascii="Arial" w:hAnsi="Arial" w:cs="Arial"/>
            <w:sz w:val="18"/>
            <w:szCs w:val="14"/>
          </w:rPr>
          <w:fldChar w:fldCharType="separate"/>
        </w:r>
        <w:r w:rsidR="00F42467">
          <w:rPr>
            <w:rFonts w:ascii="Arial" w:hAnsi="Arial" w:cs="Arial"/>
            <w:noProof/>
            <w:sz w:val="18"/>
            <w:szCs w:val="14"/>
          </w:rPr>
          <w:t>14</w:t>
        </w:r>
        <w:r w:rsidRPr="00D618FF">
          <w:rPr>
            <w:rFonts w:ascii="Arial" w:hAnsi="Arial" w:cs="Arial"/>
            <w:sz w:val="18"/>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84" w:rsidRDefault="00076B84" w:rsidP="00E0425D">
      <w:r>
        <w:separator/>
      </w:r>
    </w:p>
  </w:footnote>
  <w:footnote w:type="continuationSeparator" w:id="0">
    <w:p w:rsidR="00076B84" w:rsidRDefault="00076B84" w:rsidP="00E04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5D" w:rsidRPr="00D618FF" w:rsidRDefault="00E0425D" w:rsidP="00E0425D">
    <w:pPr>
      <w:pStyle w:val="Encabezado"/>
      <w:jc w:val="center"/>
      <w:rPr>
        <w:rFonts w:ascii="Arial" w:hAnsi="Arial" w:cs="Arial"/>
        <w:sz w:val="18"/>
        <w:szCs w:val="14"/>
      </w:rPr>
    </w:pPr>
    <w:r w:rsidRPr="00D618FF">
      <w:rPr>
        <w:rFonts w:ascii="Arial" w:hAnsi="Arial" w:cs="Arial"/>
        <w:sz w:val="18"/>
        <w:szCs w:val="14"/>
      </w:rPr>
      <w:t>María Patricia Rodríguez Ramírez Vs Colpensiones y otros. Rad.</w:t>
    </w:r>
    <w:r w:rsidR="00D618FF" w:rsidRPr="00D618FF">
      <w:rPr>
        <w:rFonts w:ascii="Arial" w:hAnsi="Arial" w:cs="Arial"/>
        <w:sz w:val="18"/>
        <w:szCs w:val="14"/>
      </w:rPr>
      <w:t xml:space="preserve"> </w:t>
    </w:r>
    <w:r w:rsidRPr="00D618FF">
      <w:rPr>
        <w:rFonts w:ascii="Arial" w:hAnsi="Arial" w:cs="Arial"/>
        <w:sz w:val="18"/>
        <w:szCs w:val="14"/>
      </w:rPr>
      <w:t>660013105004201800434</w:t>
    </w:r>
    <w:r w:rsidR="000442AB" w:rsidRPr="00D618FF">
      <w:rPr>
        <w:rFonts w:ascii="Arial" w:hAnsi="Arial" w:cs="Arial"/>
        <w:sz w:val="18"/>
        <w:szCs w:val="14"/>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425D"/>
    <w:rsid w:val="000442AB"/>
    <w:rsid w:val="00061418"/>
    <w:rsid w:val="00076B84"/>
    <w:rsid w:val="00081A16"/>
    <w:rsid w:val="005A0D2A"/>
    <w:rsid w:val="006479B5"/>
    <w:rsid w:val="00673657"/>
    <w:rsid w:val="00696809"/>
    <w:rsid w:val="00B72FF6"/>
    <w:rsid w:val="00BA6DF9"/>
    <w:rsid w:val="00C50B16"/>
    <w:rsid w:val="00D618FF"/>
    <w:rsid w:val="00E0425D"/>
    <w:rsid w:val="00E36051"/>
    <w:rsid w:val="00EC3A24"/>
    <w:rsid w:val="00F42467"/>
    <w:rsid w:val="00F87CBF"/>
    <w:rsid w:val="00FB3B39"/>
    <w:rsid w:val="00FD37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E0425D"/>
    <w:pPr>
      <w:spacing w:before="100" w:beforeAutospacing="1" w:after="100" w:afterAutospacing="1"/>
    </w:pPr>
    <w:rPr>
      <w:lang w:val="es-ES" w:eastAsia="es-ES"/>
    </w:rPr>
  </w:style>
  <w:style w:type="character" w:customStyle="1" w:styleId="normaltextrun">
    <w:name w:val="normaltextrun"/>
    <w:basedOn w:val="Fuentedeprrafopredeter"/>
    <w:rsid w:val="00E0425D"/>
  </w:style>
  <w:style w:type="character" w:customStyle="1" w:styleId="eop">
    <w:name w:val="eop"/>
    <w:basedOn w:val="Fuentedeprrafopredeter"/>
    <w:rsid w:val="00E0425D"/>
  </w:style>
  <w:style w:type="paragraph" w:styleId="Encabezado">
    <w:name w:val="header"/>
    <w:basedOn w:val="Normal"/>
    <w:link w:val="EncabezadoCar"/>
    <w:uiPriority w:val="99"/>
    <w:semiHidden/>
    <w:unhideWhenUsed/>
    <w:rsid w:val="00E0425D"/>
    <w:pPr>
      <w:tabs>
        <w:tab w:val="center" w:pos="4252"/>
        <w:tab w:val="right" w:pos="8504"/>
      </w:tabs>
    </w:pPr>
  </w:style>
  <w:style w:type="character" w:customStyle="1" w:styleId="EncabezadoCar">
    <w:name w:val="Encabezado Car"/>
    <w:basedOn w:val="Fuentedeprrafopredeter"/>
    <w:link w:val="Encabezado"/>
    <w:uiPriority w:val="99"/>
    <w:semiHidden/>
    <w:rsid w:val="00E0425D"/>
    <w:rPr>
      <w:sz w:val="24"/>
      <w:szCs w:val="24"/>
      <w:lang w:eastAsia="en-US"/>
    </w:rPr>
  </w:style>
  <w:style w:type="paragraph" w:styleId="Piedepgina">
    <w:name w:val="footer"/>
    <w:basedOn w:val="Normal"/>
    <w:link w:val="PiedepginaCar"/>
    <w:uiPriority w:val="99"/>
    <w:unhideWhenUsed/>
    <w:rsid w:val="00E0425D"/>
    <w:pPr>
      <w:tabs>
        <w:tab w:val="center" w:pos="4252"/>
        <w:tab w:val="right" w:pos="8504"/>
      </w:tabs>
    </w:pPr>
  </w:style>
  <w:style w:type="character" w:customStyle="1" w:styleId="PiedepginaCar">
    <w:name w:val="Pie de página Car"/>
    <w:basedOn w:val="Fuentedeprrafopredeter"/>
    <w:link w:val="Piedepgina"/>
    <w:uiPriority w:val="99"/>
    <w:rsid w:val="00E0425D"/>
    <w:rPr>
      <w:sz w:val="24"/>
      <w:szCs w:val="24"/>
      <w:lang w:eastAsia="en-US"/>
    </w:rPr>
  </w:style>
  <w:style w:type="paragraph" w:styleId="Textoindependiente">
    <w:name w:val="Body Text"/>
    <w:basedOn w:val="Normal"/>
    <w:link w:val="TextoindependienteCar"/>
    <w:rsid w:val="00E0425D"/>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E0425D"/>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E0425D"/>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25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10629">
      <w:bodyDiv w:val="1"/>
      <w:marLeft w:val="0"/>
      <w:marRight w:val="0"/>
      <w:marTop w:val="0"/>
      <w:marBottom w:val="0"/>
      <w:divBdr>
        <w:top w:val="none" w:sz="0" w:space="0" w:color="auto"/>
        <w:left w:val="none" w:sz="0" w:space="0" w:color="auto"/>
        <w:bottom w:val="none" w:sz="0" w:space="0" w:color="auto"/>
        <w:right w:val="none" w:sz="0" w:space="0" w:color="auto"/>
      </w:divBdr>
    </w:div>
    <w:div w:id="990519192">
      <w:bodyDiv w:val="1"/>
      <w:marLeft w:val="0"/>
      <w:marRight w:val="0"/>
      <w:marTop w:val="0"/>
      <w:marBottom w:val="0"/>
      <w:divBdr>
        <w:top w:val="none" w:sz="0" w:space="0" w:color="auto"/>
        <w:left w:val="none" w:sz="0" w:space="0" w:color="auto"/>
        <w:bottom w:val="none" w:sz="0" w:space="0" w:color="auto"/>
        <w:right w:val="none" w:sz="0" w:space="0" w:color="auto"/>
      </w:divBdr>
      <w:divsChild>
        <w:div w:id="336734814">
          <w:marLeft w:val="0"/>
          <w:marRight w:val="0"/>
          <w:marTop w:val="0"/>
          <w:marBottom w:val="0"/>
          <w:divBdr>
            <w:top w:val="none" w:sz="0" w:space="0" w:color="auto"/>
            <w:left w:val="none" w:sz="0" w:space="0" w:color="auto"/>
            <w:bottom w:val="none" w:sz="0" w:space="0" w:color="auto"/>
            <w:right w:val="none" w:sz="0" w:space="0" w:color="auto"/>
          </w:divBdr>
        </w:div>
        <w:div w:id="1513258992">
          <w:marLeft w:val="0"/>
          <w:marRight w:val="0"/>
          <w:marTop w:val="0"/>
          <w:marBottom w:val="0"/>
          <w:divBdr>
            <w:top w:val="none" w:sz="0" w:space="0" w:color="auto"/>
            <w:left w:val="none" w:sz="0" w:space="0" w:color="auto"/>
            <w:bottom w:val="none" w:sz="0" w:space="0" w:color="auto"/>
            <w:right w:val="none" w:sz="0" w:space="0" w:color="auto"/>
          </w:divBdr>
        </w:div>
        <w:div w:id="949049121">
          <w:marLeft w:val="0"/>
          <w:marRight w:val="0"/>
          <w:marTop w:val="0"/>
          <w:marBottom w:val="0"/>
          <w:divBdr>
            <w:top w:val="none" w:sz="0" w:space="0" w:color="auto"/>
            <w:left w:val="none" w:sz="0" w:space="0" w:color="auto"/>
            <w:bottom w:val="none" w:sz="0" w:space="0" w:color="auto"/>
            <w:right w:val="none" w:sz="0" w:space="0" w:color="auto"/>
          </w:divBdr>
        </w:div>
        <w:div w:id="480267459">
          <w:marLeft w:val="0"/>
          <w:marRight w:val="0"/>
          <w:marTop w:val="0"/>
          <w:marBottom w:val="0"/>
          <w:divBdr>
            <w:top w:val="none" w:sz="0" w:space="0" w:color="auto"/>
            <w:left w:val="none" w:sz="0" w:space="0" w:color="auto"/>
            <w:bottom w:val="none" w:sz="0" w:space="0" w:color="auto"/>
            <w:right w:val="none" w:sz="0" w:space="0" w:color="auto"/>
          </w:divBdr>
        </w:div>
        <w:div w:id="1925407136">
          <w:marLeft w:val="0"/>
          <w:marRight w:val="0"/>
          <w:marTop w:val="0"/>
          <w:marBottom w:val="0"/>
          <w:divBdr>
            <w:top w:val="none" w:sz="0" w:space="0" w:color="auto"/>
            <w:left w:val="none" w:sz="0" w:space="0" w:color="auto"/>
            <w:bottom w:val="none" w:sz="0" w:space="0" w:color="auto"/>
            <w:right w:val="none" w:sz="0" w:space="0" w:color="auto"/>
          </w:divBdr>
        </w:div>
        <w:div w:id="1232930205">
          <w:marLeft w:val="0"/>
          <w:marRight w:val="0"/>
          <w:marTop w:val="0"/>
          <w:marBottom w:val="0"/>
          <w:divBdr>
            <w:top w:val="none" w:sz="0" w:space="0" w:color="auto"/>
            <w:left w:val="none" w:sz="0" w:space="0" w:color="auto"/>
            <w:bottom w:val="none" w:sz="0" w:space="0" w:color="auto"/>
            <w:right w:val="none" w:sz="0" w:space="0" w:color="auto"/>
          </w:divBdr>
        </w:div>
        <w:div w:id="1499614430">
          <w:marLeft w:val="0"/>
          <w:marRight w:val="0"/>
          <w:marTop w:val="0"/>
          <w:marBottom w:val="0"/>
          <w:divBdr>
            <w:top w:val="none" w:sz="0" w:space="0" w:color="auto"/>
            <w:left w:val="none" w:sz="0" w:space="0" w:color="auto"/>
            <w:bottom w:val="none" w:sz="0" w:space="0" w:color="auto"/>
            <w:right w:val="none" w:sz="0" w:space="0" w:color="auto"/>
          </w:divBdr>
        </w:div>
        <w:div w:id="170922638">
          <w:marLeft w:val="0"/>
          <w:marRight w:val="0"/>
          <w:marTop w:val="0"/>
          <w:marBottom w:val="0"/>
          <w:divBdr>
            <w:top w:val="none" w:sz="0" w:space="0" w:color="auto"/>
            <w:left w:val="none" w:sz="0" w:space="0" w:color="auto"/>
            <w:bottom w:val="none" w:sz="0" w:space="0" w:color="auto"/>
            <w:right w:val="none" w:sz="0" w:space="0" w:color="auto"/>
          </w:divBdr>
        </w:div>
        <w:div w:id="1676878649">
          <w:marLeft w:val="0"/>
          <w:marRight w:val="0"/>
          <w:marTop w:val="0"/>
          <w:marBottom w:val="0"/>
          <w:divBdr>
            <w:top w:val="none" w:sz="0" w:space="0" w:color="auto"/>
            <w:left w:val="none" w:sz="0" w:space="0" w:color="auto"/>
            <w:bottom w:val="none" w:sz="0" w:space="0" w:color="auto"/>
            <w:right w:val="none" w:sz="0" w:space="0" w:color="auto"/>
          </w:divBdr>
        </w:div>
        <w:div w:id="1380205753">
          <w:marLeft w:val="0"/>
          <w:marRight w:val="0"/>
          <w:marTop w:val="0"/>
          <w:marBottom w:val="0"/>
          <w:divBdr>
            <w:top w:val="none" w:sz="0" w:space="0" w:color="auto"/>
            <w:left w:val="none" w:sz="0" w:space="0" w:color="auto"/>
            <w:bottom w:val="none" w:sz="0" w:space="0" w:color="auto"/>
            <w:right w:val="none" w:sz="0" w:space="0" w:color="auto"/>
          </w:divBdr>
        </w:div>
        <w:div w:id="475149812">
          <w:marLeft w:val="0"/>
          <w:marRight w:val="0"/>
          <w:marTop w:val="0"/>
          <w:marBottom w:val="0"/>
          <w:divBdr>
            <w:top w:val="none" w:sz="0" w:space="0" w:color="auto"/>
            <w:left w:val="none" w:sz="0" w:space="0" w:color="auto"/>
            <w:bottom w:val="none" w:sz="0" w:space="0" w:color="auto"/>
            <w:right w:val="none" w:sz="0" w:space="0" w:color="auto"/>
          </w:divBdr>
        </w:div>
        <w:div w:id="1811362085">
          <w:marLeft w:val="0"/>
          <w:marRight w:val="0"/>
          <w:marTop w:val="0"/>
          <w:marBottom w:val="0"/>
          <w:divBdr>
            <w:top w:val="none" w:sz="0" w:space="0" w:color="auto"/>
            <w:left w:val="none" w:sz="0" w:space="0" w:color="auto"/>
            <w:bottom w:val="none" w:sz="0" w:space="0" w:color="auto"/>
            <w:right w:val="none" w:sz="0" w:space="0" w:color="auto"/>
          </w:divBdr>
        </w:div>
        <w:div w:id="1832788320">
          <w:marLeft w:val="0"/>
          <w:marRight w:val="0"/>
          <w:marTop w:val="0"/>
          <w:marBottom w:val="0"/>
          <w:divBdr>
            <w:top w:val="none" w:sz="0" w:space="0" w:color="auto"/>
            <w:left w:val="none" w:sz="0" w:space="0" w:color="auto"/>
            <w:bottom w:val="none" w:sz="0" w:space="0" w:color="auto"/>
            <w:right w:val="none" w:sz="0" w:space="0" w:color="auto"/>
          </w:divBdr>
        </w:div>
        <w:div w:id="1830436514">
          <w:marLeft w:val="0"/>
          <w:marRight w:val="0"/>
          <w:marTop w:val="0"/>
          <w:marBottom w:val="0"/>
          <w:divBdr>
            <w:top w:val="none" w:sz="0" w:space="0" w:color="auto"/>
            <w:left w:val="none" w:sz="0" w:space="0" w:color="auto"/>
            <w:bottom w:val="none" w:sz="0" w:space="0" w:color="auto"/>
            <w:right w:val="none" w:sz="0" w:space="0" w:color="auto"/>
          </w:divBdr>
        </w:div>
        <w:div w:id="1575507064">
          <w:marLeft w:val="0"/>
          <w:marRight w:val="0"/>
          <w:marTop w:val="0"/>
          <w:marBottom w:val="0"/>
          <w:divBdr>
            <w:top w:val="none" w:sz="0" w:space="0" w:color="auto"/>
            <w:left w:val="none" w:sz="0" w:space="0" w:color="auto"/>
            <w:bottom w:val="none" w:sz="0" w:space="0" w:color="auto"/>
            <w:right w:val="none" w:sz="0" w:space="0" w:color="auto"/>
          </w:divBdr>
        </w:div>
        <w:div w:id="736048642">
          <w:marLeft w:val="0"/>
          <w:marRight w:val="0"/>
          <w:marTop w:val="0"/>
          <w:marBottom w:val="0"/>
          <w:divBdr>
            <w:top w:val="none" w:sz="0" w:space="0" w:color="auto"/>
            <w:left w:val="none" w:sz="0" w:space="0" w:color="auto"/>
            <w:bottom w:val="none" w:sz="0" w:space="0" w:color="auto"/>
            <w:right w:val="none" w:sz="0" w:space="0" w:color="auto"/>
          </w:divBdr>
        </w:div>
        <w:div w:id="71899632">
          <w:marLeft w:val="0"/>
          <w:marRight w:val="0"/>
          <w:marTop w:val="0"/>
          <w:marBottom w:val="0"/>
          <w:divBdr>
            <w:top w:val="none" w:sz="0" w:space="0" w:color="auto"/>
            <w:left w:val="none" w:sz="0" w:space="0" w:color="auto"/>
            <w:bottom w:val="none" w:sz="0" w:space="0" w:color="auto"/>
            <w:right w:val="none" w:sz="0" w:space="0" w:color="auto"/>
          </w:divBdr>
        </w:div>
        <w:div w:id="180049961">
          <w:marLeft w:val="0"/>
          <w:marRight w:val="0"/>
          <w:marTop w:val="0"/>
          <w:marBottom w:val="0"/>
          <w:divBdr>
            <w:top w:val="none" w:sz="0" w:space="0" w:color="auto"/>
            <w:left w:val="none" w:sz="0" w:space="0" w:color="auto"/>
            <w:bottom w:val="none" w:sz="0" w:space="0" w:color="auto"/>
            <w:right w:val="none" w:sz="0" w:space="0" w:color="auto"/>
          </w:divBdr>
        </w:div>
        <w:div w:id="1082684739">
          <w:marLeft w:val="0"/>
          <w:marRight w:val="0"/>
          <w:marTop w:val="0"/>
          <w:marBottom w:val="0"/>
          <w:divBdr>
            <w:top w:val="none" w:sz="0" w:space="0" w:color="auto"/>
            <w:left w:val="none" w:sz="0" w:space="0" w:color="auto"/>
            <w:bottom w:val="none" w:sz="0" w:space="0" w:color="auto"/>
            <w:right w:val="none" w:sz="0" w:space="0" w:color="auto"/>
          </w:divBdr>
        </w:div>
        <w:div w:id="849611026">
          <w:marLeft w:val="0"/>
          <w:marRight w:val="0"/>
          <w:marTop w:val="0"/>
          <w:marBottom w:val="0"/>
          <w:divBdr>
            <w:top w:val="none" w:sz="0" w:space="0" w:color="auto"/>
            <w:left w:val="none" w:sz="0" w:space="0" w:color="auto"/>
            <w:bottom w:val="none" w:sz="0" w:space="0" w:color="auto"/>
            <w:right w:val="none" w:sz="0" w:space="0" w:color="auto"/>
          </w:divBdr>
        </w:div>
        <w:div w:id="2113358302">
          <w:marLeft w:val="0"/>
          <w:marRight w:val="0"/>
          <w:marTop w:val="0"/>
          <w:marBottom w:val="0"/>
          <w:divBdr>
            <w:top w:val="none" w:sz="0" w:space="0" w:color="auto"/>
            <w:left w:val="none" w:sz="0" w:space="0" w:color="auto"/>
            <w:bottom w:val="none" w:sz="0" w:space="0" w:color="auto"/>
            <w:right w:val="none" w:sz="0" w:space="0" w:color="auto"/>
          </w:divBdr>
        </w:div>
        <w:div w:id="1541287144">
          <w:marLeft w:val="0"/>
          <w:marRight w:val="0"/>
          <w:marTop w:val="0"/>
          <w:marBottom w:val="0"/>
          <w:divBdr>
            <w:top w:val="none" w:sz="0" w:space="0" w:color="auto"/>
            <w:left w:val="none" w:sz="0" w:space="0" w:color="auto"/>
            <w:bottom w:val="none" w:sz="0" w:space="0" w:color="auto"/>
            <w:right w:val="none" w:sz="0" w:space="0" w:color="auto"/>
          </w:divBdr>
        </w:div>
        <w:div w:id="1396784647">
          <w:marLeft w:val="0"/>
          <w:marRight w:val="0"/>
          <w:marTop w:val="0"/>
          <w:marBottom w:val="0"/>
          <w:divBdr>
            <w:top w:val="none" w:sz="0" w:space="0" w:color="auto"/>
            <w:left w:val="none" w:sz="0" w:space="0" w:color="auto"/>
            <w:bottom w:val="none" w:sz="0" w:space="0" w:color="auto"/>
            <w:right w:val="none" w:sz="0" w:space="0" w:color="auto"/>
          </w:divBdr>
        </w:div>
        <w:div w:id="1032194280">
          <w:marLeft w:val="0"/>
          <w:marRight w:val="0"/>
          <w:marTop w:val="0"/>
          <w:marBottom w:val="0"/>
          <w:divBdr>
            <w:top w:val="none" w:sz="0" w:space="0" w:color="auto"/>
            <w:left w:val="none" w:sz="0" w:space="0" w:color="auto"/>
            <w:bottom w:val="none" w:sz="0" w:space="0" w:color="auto"/>
            <w:right w:val="none" w:sz="0" w:space="0" w:color="auto"/>
          </w:divBdr>
        </w:div>
        <w:div w:id="1091507955">
          <w:marLeft w:val="0"/>
          <w:marRight w:val="0"/>
          <w:marTop w:val="0"/>
          <w:marBottom w:val="0"/>
          <w:divBdr>
            <w:top w:val="none" w:sz="0" w:space="0" w:color="auto"/>
            <w:left w:val="none" w:sz="0" w:space="0" w:color="auto"/>
            <w:bottom w:val="none" w:sz="0" w:space="0" w:color="auto"/>
            <w:right w:val="none" w:sz="0" w:space="0" w:color="auto"/>
          </w:divBdr>
        </w:div>
        <w:div w:id="2136631283">
          <w:marLeft w:val="0"/>
          <w:marRight w:val="0"/>
          <w:marTop w:val="0"/>
          <w:marBottom w:val="0"/>
          <w:divBdr>
            <w:top w:val="none" w:sz="0" w:space="0" w:color="auto"/>
            <w:left w:val="none" w:sz="0" w:space="0" w:color="auto"/>
            <w:bottom w:val="none" w:sz="0" w:space="0" w:color="auto"/>
            <w:right w:val="none" w:sz="0" w:space="0" w:color="auto"/>
          </w:divBdr>
        </w:div>
        <w:div w:id="1976134651">
          <w:marLeft w:val="0"/>
          <w:marRight w:val="0"/>
          <w:marTop w:val="0"/>
          <w:marBottom w:val="0"/>
          <w:divBdr>
            <w:top w:val="none" w:sz="0" w:space="0" w:color="auto"/>
            <w:left w:val="none" w:sz="0" w:space="0" w:color="auto"/>
            <w:bottom w:val="none" w:sz="0" w:space="0" w:color="auto"/>
            <w:right w:val="none" w:sz="0" w:space="0" w:color="auto"/>
          </w:divBdr>
        </w:div>
        <w:div w:id="516504412">
          <w:marLeft w:val="0"/>
          <w:marRight w:val="0"/>
          <w:marTop w:val="0"/>
          <w:marBottom w:val="0"/>
          <w:divBdr>
            <w:top w:val="none" w:sz="0" w:space="0" w:color="auto"/>
            <w:left w:val="none" w:sz="0" w:space="0" w:color="auto"/>
            <w:bottom w:val="none" w:sz="0" w:space="0" w:color="auto"/>
            <w:right w:val="none" w:sz="0" w:space="0" w:color="auto"/>
          </w:divBdr>
        </w:div>
        <w:div w:id="1102140860">
          <w:marLeft w:val="0"/>
          <w:marRight w:val="0"/>
          <w:marTop w:val="0"/>
          <w:marBottom w:val="0"/>
          <w:divBdr>
            <w:top w:val="none" w:sz="0" w:space="0" w:color="auto"/>
            <w:left w:val="none" w:sz="0" w:space="0" w:color="auto"/>
            <w:bottom w:val="none" w:sz="0" w:space="0" w:color="auto"/>
            <w:right w:val="none" w:sz="0" w:space="0" w:color="auto"/>
          </w:divBdr>
        </w:div>
        <w:div w:id="623194702">
          <w:marLeft w:val="0"/>
          <w:marRight w:val="0"/>
          <w:marTop w:val="0"/>
          <w:marBottom w:val="0"/>
          <w:divBdr>
            <w:top w:val="none" w:sz="0" w:space="0" w:color="auto"/>
            <w:left w:val="none" w:sz="0" w:space="0" w:color="auto"/>
            <w:bottom w:val="none" w:sz="0" w:space="0" w:color="auto"/>
            <w:right w:val="none" w:sz="0" w:space="0" w:color="auto"/>
          </w:divBdr>
        </w:div>
        <w:div w:id="2032223163">
          <w:marLeft w:val="0"/>
          <w:marRight w:val="0"/>
          <w:marTop w:val="0"/>
          <w:marBottom w:val="0"/>
          <w:divBdr>
            <w:top w:val="none" w:sz="0" w:space="0" w:color="auto"/>
            <w:left w:val="none" w:sz="0" w:space="0" w:color="auto"/>
            <w:bottom w:val="none" w:sz="0" w:space="0" w:color="auto"/>
            <w:right w:val="none" w:sz="0" w:space="0" w:color="auto"/>
          </w:divBdr>
        </w:div>
        <w:div w:id="44987517">
          <w:marLeft w:val="0"/>
          <w:marRight w:val="0"/>
          <w:marTop w:val="0"/>
          <w:marBottom w:val="0"/>
          <w:divBdr>
            <w:top w:val="none" w:sz="0" w:space="0" w:color="auto"/>
            <w:left w:val="none" w:sz="0" w:space="0" w:color="auto"/>
            <w:bottom w:val="none" w:sz="0" w:space="0" w:color="auto"/>
            <w:right w:val="none" w:sz="0" w:space="0" w:color="auto"/>
          </w:divBdr>
        </w:div>
        <w:div w:id="2078702940">
          <w:marLeft w:val="0"/>
          <w:marRight w:val="0"/>
          <w:marTop w:val="0"/>
          <w:marBottom w:val="0"/>
          <w:divBdr>
            <w:top w:val="none" w:sz="0" w:space="0" w:color="auto"/>
            <w:left w:val="none" w:sz="0" w:space="0" w:color="auto"/>
            <w:bottom w:val="none" w:sz="0" w:space="0" w:color="auto"/>
            <w:right w:val="none" w:sz="0" w:space="0" w:color="auto"/>
          </w:divBdr>
        </w:div>
        <w:div w:id="1523741655">
          <w:marLeft w:val="0"/>
          <w:marRight w:val="0"/>
          <w:marTop w:val="0"/>
          <w:marBottom w:val="0"/>
          <w:divBdr>
            <w:top w:val="none" w:sz="0" w:space="0" w:color="auto"/>
            <w:left w:val="none" w:sz="0" w:space="0" w:color="auto"/>
            <w:bottom w:val="none" w:sz="0" w:space="0" w:color="auto"/>
            <w:right w:val="none" w:sz="0" w:space="0" w:color="auto"/>
          </w:divBdr>
        </w:div>
        <w:div w:id="467824621">
          <w:marLeft w:val="0"/>
          <w:marRight w:val="0"/>
          <w:marTop w:val="0"/>
          <w:marBottom w:val="0"/>
          <w:divBdr>
            <w:top w:val="none" w:sz="0" w:space="0" w:color="auto"/>
            <w:left w:val="none" w:sz="0" w:space="0" w:color="auto"/>
            <w:bottom w:val="none" w:sz="0" w:space="0" w:color="auto"/>
            <w:right w:val="none" w:sz="0" w:space="0" w:color="auto"/>
          </w:divBdr>
        </w:div>
        <w:div w:id="2113549381">
          <w:marLeft w:val="0"/>
          <w:marRight w:val="0"/>
          <w:marTop w:val="0"/>
          <w:marBottom w:val="0"/>
          <w:divBdr>
            <w:top w:val="none" w:sz="0" w:space="0" w:color="auto"/>
            <w:left w:val="none" w:sz="0" w:space="0" w:color="auto"/>
            <w:bottom w:val="none" w:sz="0" w:space="0" w:color="auto"/>
            <w:right w:val="none" w:sz="0" w:space="0" w:color="auto"/>
          </w:divBdr>
        </w:div>
        <w:div w:id="1343241077">
          <w:marLeft w:val="0"/>
          <w:marRight w:val="0"/>
          <w:marTop w:val="0"/>
          <w:marBottom w:val="0"/>
          <w:divBdr>
            <w:top w:val="none" w:sz="0" w:space="0" w:color="auto"/>
            <w:left w:val="none" w:sz="0" w:space="0" w:color="auto"/>
            <w:bottom w:val="none" w:sz="0" w:space="0" w:color="auto"/>
            <w:right w:val="none" w:sz="0" w:space="0" w:color="auto"/>
          </w:divBdr>
        </w:div>
        <w:div w:id="2130080469">
          <w:marLeft w:val="0"/>
          <w:marRight w:val="0"/>
          <w:marTop w:val="0"/>
          <w:marBottom w:val="0"/>
          <w:divBdr>
            <w:top w:val="none" w:sz="0" w:space="0" w:color="auto"/>
            <w:left w:val="none" w:sz="0" w:space="0" w:color="auto"/>
            <w:bottom w:val="none" w:sz="0" w:space="0" w:color="auto"/>
            <w:right w:val="none" w:sz="0" w:space="0" w:color="auto"/>
          </w:divBdr>
        </w:div>
        <w:div w:id="1948803246">
          <w:marLeft w:val="0"/>
          <w:marRight w:val="0"/>
          <w:marTop w:val="0"/>
          <w:marBottom w:val="0"/>
          <w:divBdr>
            <w:top w:val="none" w:sz="0" w:space="0" w:color="auto"/>
            <w:left w:val="none" w:sz="0" w:space="0" w:color="auto"/>
            <w:bottom w:val="none" w:sz="0" w:space="0" w:color="auto"/>
            <w:right w:val="none" w:sz="0" w:space="0" w:color="auto"/>
          </w:divBdr>
        </w:div>
        <w:div w:id="518928087">
          <w:marLeft w:val="0"/>
          <w:marRight w:val="0"/>
          <w:marTop w:val="0"/>
          <w:marBottom w:val="0"/>
          <w:divBdr>
            <w:top w:val="none" w:sz="0" w:space="0" w:color="auto"/>
            <w:left w:val="none" w:sz="0" w:space="0" w:color="auto"/>
            <w:bottom w:val="none" w:sz="0" w:space="0" w:color="auto"/>
            <w:right w:val="none" w:sz="0" w:space="0" w:color="auto"/>
          </w:divBdr>
        </w:div>
        <w:div w:id="2079356326">
          <w:marLeft w:val="0"/>
          <w:marRight w:val="0"/>
          <w:marTop w:val="0"/>
          <w:marBottom w:val="0"/>
          <w:divBdr>
            <w:top w:val="none" w:sz="0" w:space="0" w:color="auto"/>
            <w:left w:val="none" w:sz="0" w:space="0" w:color="auto"/>
            <w:bottom w:val="none" w:sz="0" w:space="0" w:color="auto"/>
            <w:right w:val="none" w:sz="0" w:space="0" w:color="auto"/>
          </w:divBdr>
        </w:div>
        <w:div w:id="104740022">
          <w:marLeft w:val="0"/>
          <w:marRight w:val="0"/>
          <w:marTop w:val="0"/>
          <w:marBottom w:val="0"/>
          <w:divBdr>
            <w:top w:val="none" w:sz="0" w:space="0" w:color="auto"/>
            <w:left w:val="none" w:sz="0" w:space="0" w:color="auto"/>
            <w:bottom w:val="none" w:sz="0" w:space="0" w:color="auto"/>
            <w:right w:val="none" w:sz="0" w:space="0" w:color="auto"/>
          </w:divBdr>
        </w:div>
        <w:div w:id="1242906714">
          <w:marLeft w:val="0"/>
          <w:marRight w:val="0"/>
          <w:marTop w:val="0"/>
          <w:marBottom w:val="0"/>
          <w:divBdr>
            <w:top w:val="none" w:sz="0" w:space="0" w:color="auto"/>
            <w:left w:val="none" w:sz="0" w:space="0" w:color="auto"/>
            <w:bottom w:val="none" w:sz="0" w:space="0" w:color="auto"/>
            <w:right w:val="none" w:sz="0" w:space="0" w:color="auto"/>
          </w:divBdr>
        </w:div>
        <w:div w:id="1215198307">
          <w:marLeft w:val="0"/>
          <w:marRight w:val="0"/>
          <w:marTop w:val="0"/>
          <w:marBottom w:val="0"/>
          <w:divBdr>
            <w:top w:val="none" w:sz="0" w:space="0" w:color="auto"/>
            <w:left w:val="none" w:sz="0" w:space="0" w:color="auto"/>
            <w:bottom w:val="none" w:sz="0" w:space="0" w:color="auto"/>
            <w:right w:val="none" w:sz="0" w:space="0" w:color="auto"/>
          </w:divBdr>
        </w:div>
        <w:div w:id="490369443">
          <w:marLeft w:val="0"/>
          <w:marRight w:val="0"/>
          <w:marTop w:val="0"/>
          <w:marBottom w:val="0"/>
          <w:divBdr>
            <w:top w:val="none" w:sz="0" w:space="0" w:color="auto"/>
            <w:left w:val="none" w:sz="0" w:space="0" w:color="auto"/>
            <w:bottom w:val="none" w:sz="0" w:space="0" w:color="auto"/>
            <w:right w:val="none" w:sz="0" w:space="0" w:color="auto"/>
          </w:divBdr>
        </w:div>
        <w:div w:id="622737009">
          <w:marLeft w:val="0"/>
          <w:marRight w:val="0"/>
          <w:marTop w:val="0"/>
          <w:marBottom w:val="0"/>
          <w:divBdr>
            <w:top w:val="none" w:sz="0" w:space="0" w:color="auto"/>
            <w:left w:val="none" w:sz="0" w:space="0" w:color="auto"/>
            <w:bottom w:val="none" w:sz="0" w:space="0" w:color="auto"/>
            <w:right w:val="none" w:sz="0" w:space="0" w:color="auto"/>
          </w:divBdr>
        </w:div>
        <w:div w:id="796796125">
          <w:marLeft w:val="0"/>
          <w:marRight w:val="0"/>
          <w:marTop w:val="0"/>
          <w:marBottom w:val="0"/>
          <w:divBdr>
            <w:top w:val="none" w:sz="0" w:space="0" w:color="auto"/>
            <w:left w:val="none" w:sz="0" w:space="0" w:color="auto"/>
            <w:bottom w:val="none" w:sz="0" w:space="0" w:color="auto"/>
            <w:right w:val="none" w:sz="0" w:space="0" w:color="auto"/>
          </w:divBdr>
        </w:div>
        <w:div w:id="1431392531">
          <w:marLeft w:val="0"/>
          <w:marRight w:val="0"/>
          <w:marTop w:val="0"/>
          <w:marBottom w:val="0"/>
          <w:divBdr>
            <w:top w:val="none" w:sz="0" w:space="0" w:color="auto"/>
            <w:left w:val="none" w:sz="0" w:space="0" w:color="auto"/>
            <w:bottom w:val="none" w:sz="0" w:space="0" w:color="auto"/>
            <w:right w:val="none" w:sz="0" w:space="0" w:color="auto"/>
          </w:divBdr>
        </w:div>
        <w:div w:id="1657419409">
          <w:marLeft w:val="0"/>
          <w:marRight w:val="0"/>
          <w:marTop w:val="0"/>
          <w:marBottom w:val="0"/>
          <w:divBdr>
            <w:top w:val="none" w:sz="0" w:space="0" w:color="auto"/>
            <w:left w:val="none" w:sz="0" w:space="0" w:color="auto"/>
            <w:bottom w:val="none" w:sz="0" w:space="0" w:color="auto"/>
            <w:right w:val="none" w:sz="0" w:space="0" w:color="auto"/>
          </w:divBdr>
        </w:div>
        <w:div w:id="2143963732">
          <w:marLeft w:val="0"/>
          <w:marRight w:val="0"/>
          <w:marTop w:val="0"/>
          <w:marBottom w:val="0"/>
          <w:divBdr>
            <w:top w:val="none" w:sz="0" w:space="0" w:color="auto"/>
            <w:left w:val="none" w:sz="0" w:space="0" w:color="auto"/>
            <w:bottom w:val="none" w:sz="0" w:space="0" w:color="auto"/>
            <w:right w:val="none" w:sz="0" w:space="0" w:color="auto"/>
          </w:divBdr>
        </w:div>
        <w:div w:id="279839788">
          <w:marLeft w:val="0"/>
          <w:marRight w:val="0"/>
          <w:marTop w:val="0"/>
          <w:marBottom w:val="0"/>
          <w:divBdr>
            <w:top w:val="none" w:sz="0" w:space="0" w:color="auto"/>
            <w:left w:val="none" w:sz="0" w:space="0" w:color="auto"/>
            <w:bottom w:val="none" w:sz="0" w:space="0" w:color="auto"/>
            <w:right w:val="none" w:sz="0" w:space="0" w:color="auto"/>
          </w:divBdr>
        </w:div>
        <w:div w:id="563182365">
          <w:marLeft w:val="0"/>
          <w:marRight w:val="0"/>
          <w:marTop w:val="0"/>
          <w:marBottom w:val="0"/>
          <w:divBdr>
            <w:top w:val="none" w:sz="0" w:space="0" w:color="auto"/>
            <w:left w:val="none" w:sz="0" w:space="0" w:color="auto"/>
            <w:bottom w:val="none" w:sz="0" w:space="0" w:color="auto"/>
            <w:right w:val="none" w:sz="0" w:space="0" w:color="auto"/>
          </w:divBdr>
        </w:div>
        <w:div w:id="1184635814">
          <w:marLeft w:val="0"/>
          <w:marRight w:val="0"/>
          <w:marTop w:val="0"/>
          <w:marBottom w:val="0"/>
          <w:divBdr>
            <w:top w:val="none" w:sz="0" w:space="0" w:color="auto"/>
            <w:left w:val="none" w:sz="0" w:space="0" w:color="auto"/>
            <w:bottom w:val="none" w:sz="0" w:space="0" w:color="auto"/>
            <w:right w:val="none" w:sz="0" w:space="0" w:color="auto"/>
          </w:divBdr>
        </w:div>
        <w:div w:id="1078942889">
          <w:marLeft w:val="0"/>
          <w:marRight w:val="0"/>
          <w:marTop w:val="0"/>
          <w:marBottom w:val="0"/>
          <w:divBdr>
            <w:top w:val="none" w:sz="0" w:space="0" w:color="auto"/>
            <w:left w:val="none" w:sz="0" w:space="0" w:color="auto"/>
            <w:bottom w:val="none" w:sz="0" w:space="0" w:color="auto"/>
            <w:right w:val="none" w:sz="0" w:space="0" w:color="auto"/>
          </w:divBdr>
        </w:div>
        <w:div w:id="1882399341">
          <w:marLeft w:val="0"/>
          <w:marRight w:val="0"/>
          <w:marTop w:val="0"/>
          <w:marBottom w:val="0"/>
          <w:divBdr>
            <w:top w:val="none" w:sz="0" w:space="0" w:color="auto"/>
            <w:left w:val="none" w:sz="0" w:space="0" w:color="auto"/>
            <w:bottom w:val="none" w:sz="0" w:space="0" w:color="auto"/>
            <w:right w:val="none" w:sz="0" w:space="0" w:color="auto"/>
          </w:divBdr>
        </w:div>
        <w:div w:id="1015696755">
          <w:marLeft w:val="0"/>
          <w:marRight w:val="0"/>
          <w:marTop w:val="0"/>
          <w:marBottom w:val="0"/>
          <w:divBdr>
            <w:top w:val="none" w:sz="0" w:space="0" w:color="auto"/>
            <w:left w:val="none" w:sz="0" w:space="0" w:color="auto"/>
            <w:bottom w:val="none" w:sz="0" w:space="0" w:color="auto"/>
            <w:right w:val="none" w:sz="0" w:space="0" w:color="auto"/>
          </w:divBdr>
        </w:div>
        <w:div w:id="1581524379">
          <w:marLeft w:val="0"/>
          <w:marRight w:val="0"/>
          <w:marTop w:val="0"/>
          <w:marBottom w:val="0"/>
          <w:divBdr>
            <w:top w:val="none" w:sz="0" w:space="0" w:color="auto"/>
            <w:left w:val="none" w:sz="0" w:space="0" w:color="auto"/>
            <w:bottom w:val="none" w:sz="0" w:space="0" w:color="auto"/>
            <w:right w:val="none" w:sz="0" w:space="0" w:color="auto"/>
          </w:divBdr>
        </w:div>
        <w:div w:id="1020425379">
          <w:marLeft w:val="0"/>
          <w:marRight w:val="0"/>
          <w:marTop w:val="0"/>
          <w:marBottom w:val="0"/>
          <w:divBdr>
            <w:top w:val="none" w:sz="0" w:space="0" w:color="auto"/>
            <w:left w:val="none" w:sz="0" w:space="0" w:color="auto"/>
            <w:bottom w:val="none" w:sz="0" w:space="0" w:color="auto"/>
            <w:right w:val="none" w:sz="0" w:space="0" w:color="auto"/>
          </w:divBdr>
        </w:div>
        <w:div w:id="765343378">
          <w:marLeft w:val="0"/>
          <w:marRight w:val="0"/>
          <w:marTop w:val="0"/>
          <w:marBottom w:val="0"/>
          <w:divBdr>
            <w:top w:val="none" w:sz="0" w:space="0" w:color="auto"/>
            <w:left w:val="none" w:sz="0" w:space="0" w:color="auto"/>
            <w:bottom w:val="none" w:sz="0" w:space="0" w:color="auto"/>
            <w:right w:val="none" w:sz="0" w:space="0" w:color="auto"/>
          </w:divBdr>
        </w:div>
        <w:div w:id="256596565">
          <w:marLeft w:val="0"/>
          <w:marRight w:val="0"/>
          <w:marTop w:val="0"/>
          <w:marBottom w:val="0"/>
          <w:divBdr>
            <w:top w:val="none" w:sz="0" w:space="0" w:color="auto"/>
            <w:left w:val="none" w:sz="0" w:space="0" w:color="auto"/>
            <w:bottom w:val="none" w:sz="0" w:space="0" w:color="auto"/>
            <w:right w:val="none" w:sz="0" w:space="0" w:color="auto"/>
          </w:divBdr>
        </w:div>
        <w:div w:id="142433787">
          <w:marLeft w:val="0"/>
          <w:marRight w:val="0"/>
          <w:marTop w:val="0"/>
          <w:marBottom w:val="0"/>
          <w:divBdr>
            <w:top w:val="none" w:sz="0" w:space="0" w:color="auto"/>
            <w:left w:val="none" w:sz="0" w:space="0" w:color="auto"/>
            <w:bottom w:val="none" w:sz="0" w:space="0" w:color="auto"/>
            <w:right w:val="none" w:sz="0" w:space="0" w:color="auto"/>
          </w:divBdr>
        </w:div>
        <w:div w:id="1942642209">
          <w:marLeft w:val="0"/>
          <w:marRight w:val="0"/>
          <w:marTop w:val="0"/>
          <w:marBottom w:val="0"/>
          <w:divBdr>
            <w:top w:val="none" w:sz="0" w:space="0" w:color="auto"/>
            <w:left w:val="none" w:sz="0" w:space="0" w:color="auto"/>
            <w:bottom w:val="none" w:sz="0" w:space="0" w:color="auto"/>
            <w:right w:val="none" w:sz="0" w:space="0" w:color="auto"/>
          </w:divBdr>
          <w:divsChild>
            <w:div w:id="577718247">
              <w:marLeft w:val="0"/>
              <w:marRight w:val="0"/>
              <w:marTop w:val="0"/>
              <w:marBottom w:val="0"/>
              <w:divBdr>
                <w:top w:val="none" w:sz="0" w:space="0" w:color="auto"/>
                <w:left w:val="none" w:sz="0" w:space="0" w:color="auto"/>
                <w:bottom w:val="none" w:sz="0" w:space="0" w:color="auto"/>
                <w:right w:val="none" w:sz="0" w:space="0" w:color="auto"/>
              </w:divBdr>
              <w:divsChild>
                <w:div w:id="968363793">
                  <w:marLeft w:val="0"/>
                  <w:marRight w:val="0"/>
                  <w:marTop w:val="0"/>
                  <w:marBottom w:val="0"/>
                  <w:divBdr>
                    <w:top w:val="none" w:sz="0" w:space="0" w:color="auto"/>
                    <w:left w:val="none" w:sz="0" w:space="0" w:color="auto"/>
                    <w:bottom w:val="none" w:sz="0" w:space="0" w:color="auto"/>
                    <w:right w:val="none" w:sz="0" w:space="0" w:color="auto"/>
                  </w:divBdr>
                  <w:divsChild>
                    <w:div w:id="157157148">
                      <w:marLeft w:val="0"/>
                      <w:marRight w:val="0"/>
                      <w:marTop w:val="0"/>
                      <w:marBottom w:val="0"/>
                      <w:divBdr>
                        <w:top w:val="none" w:sz="0" w:space="0" w:color="auto"/>
                        <w:left w:val="none" w:sz="0" w:space="0" w:color="auto"/>
                        <w:bottom w:val="none" w:sz="0" w:space="0" w:color="auto"/>
                        <w:right w:val="none" w:sz="0" w:space="0" w:color="auto"/>
                      </w:divBdr>
                    </w:div>
                  </w:divsChild>
                </w:div>
                <w:div w:id="650792142">
                  <w:marLeft w:val="0"/>
                  <w:marRight w:val="0"/>
                  <w:marTop w:val="0"/>
                  <w:marBottom w:val="0"/>
                  <w:divBdr>
                    <w:top w:val="none" w:sz="0" w:space="0" w:color="auto"/>
                    <w:left w:val="none" w:sz="0" w:space="0" w:color="auto"/>
                    <w:bottom w:val="none" w:sz="0" w:space="0" w:color="auto"/>
                    <w:right w:val="none" w:sz="0" w:space="0" w:color="auto"/>
                  </w:divBdr>
                  <w:divsChild>
                    <w:div w:id="149102098">
                      <w:marLeft w:val="0"/>
                      <w:marRight w:val="0"/>
                      <w:marTop w:val="0"/>
                      <w:marBottom w:val="0"/>
                      <w:divBdr>
                        <w:top w:val="none" w:sz="0" w:space="0" w:color="auto"/>
                        <w:left w:val="none" w:sz="0" w:space="0" w:color="auto"/>
                        <w:bottom w:val="none" w:sz="0" w:space="0" w:color="auto"/>
                        <w:right w:val="none" w:sz="0" w:space="0" w:color="auto"/>
                      </w:divBdr>
                    </w:div>
                  </w:divsChild>
                </w:div>
                <w:div w:id="1505045278">
                  <w:marLeft w:val="0"/>
                  <w:marRight w:val="0"/>
                  <w:marTop w:val="0"/>
                  <w:marBottom w:val="0"/>
                  <w:divBdr>
                    <w:top w:val="none" w:sz="0" w:space="0" w:color="auto"/>
                    <w:left w:val="none" w:sz="0" w:space="0" w:color="auto"/>
                    <w:bottom w:val="none" w:sz="0" w:space="0" w:color="auto"/>
                    <w:right w:val="none" w:sz="0" w:space="0" w:color="auto"/>
                  </w:divBdr>
                  <w:divsChild>
                    <w:div w:id="662003751">
                      <w:marLeft w:val="0"/>
                      <w:marRight w:val="0"/>
                      <w:marTop w:val="0"/>
                      <w:marBottom w:val="0"/>
                      <w:divBdr>
                        <w:top w:val="none" w:sz="0" w:space="0" w:color="auto"/>
                        <w:left w:val="none" w:sz="0" w:space="0" w:color="auto"/>
                        <w:bottom w:val="none" w:sz="0" w:space="0" w:color="auto"/>
                        <w:right w:val="none" w:sz="0" w:space="0" w:color="auto"/>
                      </w:divBdr>
                    </w:div>
                  </w:divsChild>
                </w:div>
                <w:div w:id="1979409940">
                  <w:marLeft w:val="0"/>
                  <w:marRight w:val="0"/>
                  <w:marTop w:val="0"/>
                  <w:marBottom w:val="0"/>
                  <w:divBdr>
                    <w:top w:val="none" w:sz="0" w:space="0" w:color="auto"/>
                    <w:left w:val="none" w:sz="0" w:space="0" w:color="auto"/>
                    <w:bottom w:val="none" w:sz="0" w:space="0" w:color="auto"/>
                    <w:right w:val="none" w:sz="0" w:space="0" w:color="auto"/>
                  </w:divBdr>
                  <w:divsChild>
                    <w:div w:id="1039625547">
                      <w:marLeft w:val="0"/>
                      <w:marRight w:val="0"/>
                      <w:marTop w:val="0"/>
                      <w:marBottom w:val="0"/>
                      <w:divBdr>
                        <w:top w:val="none" w:sz="0" w:space="0" w:color="auto"/>
                        <w:left w:val="none" w:sz="0" w:space="0" w:color="auto"/>
                        <w:bottom w:val="none" w:sz="0" w:space="0" w:color="auto"/>
                        <w:right w:val="none" w:sz="0" w:space="0" w:color="auto"/>
                      </w:divBdr>
                    </w:div>
                  </w:divsChild>
                </w:div>
                <w:div w:id="533620080">
                  <w:marLeft w:val="0"/>
                  <w:marRight w:val="0"/>
                  <w:marTop w:val="0"/>
                  <w:marBottom w:val="0"/>
                  <w:divBdr>
                    <w:top w:val="none" w:sz="0" w:space="0" w:color="auto"/>
                    <w:left w:val="none" w:sz="0" w:space="0" w:color="auto"/>
                    <w:bottom w:val="none" w:sz="0" w:space="0" w:color="auto"/>
                    <w:right w:val="none" w:sz="0" w:space="0" w:color="auto"/>
                  </w:divBdr>
                  <w:divsChild>
                    <w:div w:id="838885854">
                      <w:marLeft w:val="0"/>
                      <w:marRight w:val="0"/>
                      <w:marTop w:val="0"/>
                      <w:marBottom w:val="0"/>
                      <w:divBdr>
                        <w:top w:val="none" w:sz="0" w:space="0" w:color="auto"/>
                        <w:left w:val="none" w:sz="0" w:space="0" w:color="auto"/>
                        <w:bottom w:val="none" w:sz="0" w:space="0" w:color="auto"/>
                        <w:right w:val="none" w:sz="0" w:space="0" w:color="auto"/>
                      </w:divBdr>
                    </w:div>
                    <w:div w:id="529074685">
                      <w:marLeft w:val="0"/>
                      <w:marRight w:val="0"/>
                      <w:marTop w:val="0"/>
                      <w:marBottom w:val="0"/>
                      <w:divBdr>
                        <w:top w:val="none" w:sz="0" w:space="0" w:color="auto"/>
                        <w:left w:val="none" w:sz="0" w:space="0" w:color="auto"/>
                        <w:bottom w:val="none" w:sz="0" w:space="0" w:color="auto"/>
                        <w:right w:val="none" w:sz="0" w:space="0" w:color="auto"/>
                      </w:divBdr>
                    </w:div>
                    <w:div w:id="702248379">
                      <w:marLeft w:val="0"/>
                      <w:marRight w:val="0"/>
                      <w:marTop w:val="0"/>
                      <w:marBottom w:val="0"/>
                      <w:divBdr>
                        <w:top w:val="none" w:sz="0" w:space="0" w:color="auto"/>
                        <w:left w:val="none" w:sz="0" w:space="0" w:color="auto"/>
                        <w:bottom w:val="none" w:sz="0" w:space="0" w:color="auto"/>
                        <w:right w:val="none" w:sz="0" w:space="0" w:color="auto"/>
                      </w:divBdr>
                    </w:div>
                  </w:divsChild>
                </w:div>
                <w:div w:id="300311230">
                  <w:marLeft w:val="0"/>
                  <w:marRight w:val="0"/>
                  <w:marTop w:val="0"/>
                  <w:marBottom w:val="0"/>
                  <w:divBdr>
                    <w:top w:val="none" w:sz="0" w:space="0" w:color="auto"/>
                    <w:left w:val="none" w:sz="0" w:space="0" w:color="auto"/>
                    <w:bottom w:val="none" w:sz="0" w:space="0" w:color="auto"/>
                    <w:right w:val="none" w:sz="0" w:space="0" w:color="auto"/>
                  </w:divBdr>
                  <w:divsChild>
                    <w:div w:id="762384616">
                      <w:marLeft w:val="0"/>
                      <w:marRight w:val="0"/>
                      <w:marTop w:val="0"/>
                      <w:marBottom w:val="0"/>
                      <w:divBdr>
                        <w:top w:val="none" w:sz="0" w:space="0" w:color="auto"/>
                        <w:left w:val="none" w:sz="0" w:space="0" w:color="auto"/>
                        <w:bottom w:val="none" w:sz="0" w:space="0" w:color="auto"/>
                        <w:right w:val="none" w:sz="0" w:space="0" w:color="auto"/>
                      </w:divBdr>
                    </w:div>
                  </w:divsChild>
                </w:div>
                <w:div w:id="946929858">
                  <w:marLeft w:val="0"/>
                  <w:marRight w:val="0"/>
                  <w:marTop w:val="0"/>
                  <w:marBottom w:val="0"/>
                  <w:divBdr>
                    <w:top w:val="none" w:sz="0" w:space="0" w:color="auto"/>
                    <w:left w:val="none" w:sz="0" w:space="0" w:color="auto"/>
                    <w:bottom w:val="none" w:sz="0" w:space="0" w:color="auto"/>
                    <w:right w:val="none" w:sz="0" w:space="0" w:color="auto"/>
                  </w:divBdr>
                  <w:divsChild>
                    <w:div w:id="793406089">
                      <w:marLeft w:val="0"/>
                      <w:marRight w:val="0"/>
                      <w:marTop w:val="0"/>
                      <w:marBottom w:val="0"/>
                      <w:divBdr>
                        <w:top w:val="none" w:sz="0" w:space="0" w:color="auto"/>
                        <w:left w:val="none" w:sz="0" w:space="0" w:color="auto"/>
                        <w:bottom w:val="none" w:sz="0" w:space="0" w:color="auto"/>
                        <w:right w:val="none" w:sz="0" w:space="0" w:color="auto"/>
                      </w:divBdr>
                    </w:div>
                  </w:divsChild>
                </w:div>
                <w:div w:id="1410157740">
                  <w:marLeft w:val="0"/>
                  <w:marRight w:val="0"/>
                  <w:marTop w:val="0"/>
                  <w:marBottom w:val="0"/>
                  <w:divBdr>
                    <w:top w:val="none" w:sz="0" w:space="0" w:color="auto"/>
                    <w:left w:val="none" w:sz="0" w:space="0" w:color="auto"/>
                    <w:bottom w:val="none" w:sz="0" w:space="0" w:color="auto"/>
                    <w:right w:val="none" w:sz="0" w:space="0" w:color="auto"/>
                  </w:divBdr>
                  <w:divsChild>
                    <w:div w:id="560558786">
                      <w:marLeft w:val="0"/>
                      <w:marRight w:val="0"/>
                      <w:marTop w:val="0"/>
                      <w:marBottom w:val="0"/>
                      <w:divBdr>
                        <w:top w:val="none" w:sz="0" w:space="0" w:color="auto"/>
                        <w:left w:val="none" w:sz="0" w:space="0" w:color="auto"/>
                        <w:bottom w:val="none" w:sz="0" w:space="0" w:color="auto"/>
                        <w:right w:val="none" w:sz="0" w:space="0" w:color="auto"/>
                      </w:divBdr>
                    </w:div>
                    <w:div w:id="491415908">
                      <w:marLeft w:val="0"/>
                      <w:marRight w:val="0"/>
                      <w:marTop w:val="0"/>
                      <w:marBottom w:val="0"/>
                      <w:divBdr>
                        <w:top w:val="none" w:sz="0" w:space="0" w:color="auto"/>
                        <w:left w:val="none" w:sz="0" w:space="0" w:color="auto"/>
                        <w:bottom w:val="none" w:sz="0" w:space="0" w:color="auto"/>
                        <w:right w:val="none" w:sz="0" w:space="0" w:color="auto"/>
                      </w:divBdr>
                    </w:div>
                  </w:divsChild>
                </w:div>
                <w:div w:id="1440444118">
                  <w:marLeft w:val="0"/>
                  <w:marRight w:val="0"/>
                  <w:marTop w:val="0"/>
                  <w:marBottom w:val="0"/>
                  <w:divBdr>
                    <w:top w:val="none" w:sz="0" w:space="0" w:color="auto"/>
                    <w:left w:val="none" w:sz="0" w:space="0" w:color="auto"/>
                    <w:bottom w:val="none" w:sz="0" w:space="0" w:color="auto"/>
                    <w:right w:val="none" w:sz="0" w:space="0" w:color="auto"/>
                  </w:divBdr>
                  <w:divsChild>
                    <w:div w:id="155804871">
                      <w:marLeft w:val="0"/>
                      <w:marRight w:val="0"/>
                      <w:marTop w:val="0"/>
                      <w:marBottom w:val="0"/>
                      <w:divBdr>
                        <w:top w:val="none" w:sz="0" w:space="0" w:color="auto"/>
                        <w:left w:val="none" w:sz="0" w:space="0" w:color="auto"/>
                        <w:bottom w:val="none" w:sz="0" w:space="0" w:color="auto"/>
                        <w:right w:val="none" w:sz="0" w:space="0" w:color="auto"/>
                      </w:divBdr>
                    </w:div>
                  </w:divsChild>
                </w:div>
                <w:div w:id="103572444">
                  <w:marLeft w:val="0"/>
                  <w:marRight w:val="0"/>
                  <w:marTop w:val="0"/>
                  <w:marBottom w:val="0"/>
                  <w:divBdr>
                    <w:top w:val="none" w:sz="0" w:space="0" w:color="auto"/>
                    <w:left w:val="none" w:sz="0" w:space="0" w:color="auto"/>
                    <w:bottom w:val="none" w:sz="0" w:space="0" w:color="auto"/>
                    <w:right w:val="none" w:sz="0" w:space="0" w:color="auto"/>
                  </w:divBdr>
                  <w:divsChild>
                    <w:div w:id="771323425">
                      <w:marLeft w:val="0"/>
                      <w:marRight w:val="0"/>
                      <w:marTop w:val="0"/>
                      <w:marBottom w:val="0"/>
                      <w:divBdr>
                        <w:top w:val="none" w:sz="0" w:space="0" w:color="auto"/>
                        <w:left w:val="none" w:sz="0" w:space="0" w:color="auto"/>
                        <w:bottom w:val="none" w:sz="0" w:space="0" w:color="auto"/>
                        <w:right w:val="none" w:sz="0" w:space="0" w:color="auto"/>
                      </w:divBdr>
                    </w:div>
                  </w:divsChild>
                </w:div>
                <w:div w:id="429932488">
                  <w:marLeft w:val="0"/>
                  <w:marRight w:val="0"/>
                  <w:marTop w:val="0"/>
                  <w:marBottom w:val="0"/>
                  <w:divBdr>
                    <w:top w:val="none" w:sz="0" w:space="0" w:color="auto"/>
                    <w:left w:val="none" w:sz="0" w:space="0" w:color="auto"/>
                    <w:bottom w:val="none" w:sz="0" w:space="0" w:color="auto"/>
                    <w:right w:val="none" w:sz="0" w:space="0" w:color="auto"/>
                  </w:divBdr>
                  <w:divsChild>
                    <w:div w:id="391196974">
                      <w:marLeft w:val="0"/>
                      <w:marRight w:val="0"/>
                      <w:marTop w:val="0"/>
                      <w:marBottom w:val="0"/>
                      <w:divBdr>
                        <w:top w:val="none" w:sz="0" w:space="0" w:color="auto"/>
                        <w:left w:val="none" w:sz="0" w:space="0" w:color="auto"/>
                        <w:bottom w:val="none" w:sz="0" w:space="0" w:color="auto"/>
                        <w:right w:val="none" w:sz="0" w:space="0" w:color="auto"/>
                      </w:divBdr>
                    </w:div>
                    <w:div w:id="1076364137">
                      <w:marLeft w:val="0"/>
                      <w:marRight w:val="0"/>
                      <w:marTop w:val="0"/>
                      <w:marBottom w:val="0"/>
                      <w:divBdr>
                        <w:top w:val="none" w:sz="0" w:space="0" w:color="auto"/>
                        <w:left w:val="none" w:sz="0" w:space="0" w:color="auto"/>
                        <w:bottom w:val="none" w:sz="0" w:space="0" w:color="auto"/>
                        <w:right w:val="none" w:sz="0" w:space="0" w:color="auto"/>
                      </w:divBdr>
                    </w:div>
                    <w:div w:id="1458059338">
                      <w:marLeft w:val="0"/>
                      <w:marRight w:val="0"/>
                      <w:marTop w:val="0"/>
                      <w:marBottom w:val="0"/>
                      <w:divBdr>
                        <w:top w:val="none" w:sz="0" w:space="0" w:color="auto"/>
                        <w:left w:val="none" w:sz="0" w:space="0" w:color="auto"/>
                        <w:bottom w:val="none" w:sz="0" w:space="0" w:color="auto"/>
                        <w:right w:val="none" w:sz="0" w:space="0" w:color="auto"/>
                      </w:divBdr>
                    </w:div>
                  </w:divsChild>
                </w:div>
                <w:div w:id="1943292687">
                  <w:marLeft w:val="0"/>
                  <w:marRight w:val="0"/>
                  <w:marTop w:val="0"/>
                  <w:marBottom w:val="0"/>
                  <w:divBdr>
                    <w:top w:val="none" w:sz="0" w:space="0" w:color="auto"/>
                    <w:left w:val="none" w:sz="0" w:space="0" w:color="auto"/>
                    <w:bottom w:val="none" w:sz="0" w:space="0" w:color="auto"/>
                    <w:right w:val="none" w:sz="0" w:space="0" w:color="auto"/>
                  </w:divBdr>
                  <w:divsChild>
                    <w:div w:id="17937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01316">
          <w:marLeft w:val="0"/>
          <w:marRight w:val="0"/>
          <w:marTop w:val="0"/>
          <w:marBottom w:val="0"/>
          <w:divBdr>
            <w:top w:val="none" w:sz="0" w:space="0" w:color="auto"/>
            <w:left w:val="none" w:sz="0" w:space="0" w:color="auto"/>
            <w:bottom w:val="none" w:sz="0" w:space="0" w:color="auto"/>
            <w:right w:val="none" w:sz="0" w:space="0" w:color="auto"/>
          </w:divBdr>
        </w:div>
        <w:div w:id="793258787">
          <w:marLeft w:val="0"/>
          <w:marRight w:val="0"/>
          <w:marTop w:val="0"/>
          <w:marBottom w:val="0"/>
          <w:divBdr>
            <w:top w:val="none" w:sz="0" w:space="0" w:color="auto"/>
            <w:left w:val="none" w:sz="0" w:space="0" w:color="auto"/>
            <w:bottom w:val="none" w:sz="0" w:space="0" w:color="auto"/>
            <w:right w:val="none" w:sz="0" w:space="0" w:color="auto"/>
          </w:divBdr>
        </w:div>
        <w:div w:id="1666667088">
          <w:marLeft w:val="0"/>
          <w:marRight w:val="0"/>
          <w:marTop w:val="0"/>
          <w:marBottom w:val="0"/>
          <w:divBdr>
            <w:top w:val="none" w:sz="0" w:space="0" w:color="auto"/>
            <w:left w:val="none" w:sz="0" w:space="0" w:color="auto"/>
            <w:bottom w:val="none" w:sz="0" w:space="0" w:color="auto"/>
            <w:right w:val="none" w:sz="0" w:space="0" w:color="auto"/>
          </w:divBdr>
        </w:div>
        <w:div w:id="1477527556">
          <w:marLeft w:val="0"/>
          <w:marRight w:val="0"/>
          <w:marTop w:val="0"/>
          <w:marBottom w:val="0"/>
          <w:divBdr>
            <w:top w:val="none" w:sz="0" w:space="0" w:color="auto"/>
            <w:left w:val="none" w:sz="0" w:space="0" w:color="auto"/>
            <w:bottom w:val="none" w:sz="0" w:space="0" w:color="auto"/>
            <w:right w:val="none" w:sz="0" w:space="0" w:color="auto"/>
          </w:divBdr>
        </w:div>
        <w:div w:id="1737046495">
          <w:marLeft w:val="0"/>
          <w:marRight w:val="0"/>
          <w:marTop w:val="0"/>
          <w:marBottom w:val="0"/>
          <w:divBdr>
            <w:top w:val="none" w:sz="0" w:space="0" w:color="auto"/>
            <w:left w:val="none" w:sz="0" w:space="0" w:color="auto"/>
            <w:bottom w:val="none" w:sz="0" w:space="0" w:color="auto"/>
            <w:right w:val="none" w:sz="0" w:space="0" w:color="auto"/>
          </w:divBdr>
        </w:div>
        <w:div w:id="1261260939">
          <w:marLeft w:val="0"/>
          <w:marRight w:val="0"/>
          <w:marTop w:val="0"/>
          <w:marBottom w:val="0"/>
          <w:divBdr>
            <w:top w:val="none" w:sz="0" w:space="0" w:color="auto"/>
            <w:left w:val="none" w:sz="0" w:space="0" w:color="auto"/>
            <w:bottom w:val="none" w:sz="0" w:space="0" w:color="auto"/>
            <w:right w:val="none" w:sz="0" w:space="0" w:color="auto"/>
          </w:divBdr>
        </w:div>
        <w:div w:id="60754086">
          <w:marLeft w:val="0"/>
          <w:marRight w:val="0"/>
          <w:marTop w:val="0"/>
          <w:marBottom w:val="0"/>
          <w:divBdr>
            <w:top w:val="none" w:sz="0" w:space="0" w:color="auto"/>
            <w:left w:val="none" w:sz="0" w:space="0" w:color="auto"/>
            <w:bottom w:val="none" w:sz="0" w:space="0" w:color="auto"/>
            <w:right w:val="none" w:sz="0" w:space="0" w:color="auto"/>
          </w:divBdr>
        </w:div>
        <w:div w:id="1520270512">
          <w:marLeft w:val="0"/>
          <w:marRight w:val="0"/>
          <w:marTop w:val="0"/>
          <w:marBottom w:val="0"/>
          <w:divBdr>
            <w:top w:val="none" w:sz="0" w:space="0" w:color="auto"/>
            <w:left w:val="none" w:sz="0" w:space="0" w:color="auto"/>
            <w:bottom w:val="none" w:sz="0" w:space="0" w:color="auto"/>
            <w:right w:val="none" w:sz="0" w:space="0" w:color="auto"/>
          </w:divBdr>
        </w:div>
        <w:div w:id="640815352">
          <w:marLeft w:val="0"/>
          <w:marRight w:val="0"/>
          <w:marTop w:val="0"/>
          <w:marBottom w:val="0"/>
          <w:divBdr>
            <w:top w:val="none" w:sz="0" w:space="0" w:color="auto"/>
            <w:left w:val="none" w:sz="0" w:space="0" w:color="auto"/>
            <w:bottom w:val="none" w:sz="0" w:space="0" w:color="auto"/>
            <w:right w:val="none" w:sz="0" w:space="0" w:color="auto"/>
          </w:divBdr>
        </w:div>
        <w:div w:id="199050853">
          <w:marLeft w:val="0"/>
          <w:marRight w:val="0"/>
          <w:marTop w:val="0"/>
          <w:marBottom w:val="0"/>
          <w:divBdr>
            <w:top w:val="none" w:sz="0" w:space="0" w:color="auto"/>
            <w:left w:val="none" w:sz="0" w:space="0" w:color="auto"/>
            <w:bottom w:val="none" w:sz="0" w:space="0" w:color="auto"/>
            <w:right w:val="none" w:sz="0" w:space="0" w:color="auto"/>
          </w:divBdr>
        </w:div>
        <w:div w:id="779031887">
          <w:marLeft w:val="0"/>
          <w:marRight w:val="0"/>
          <w:marTop w:val="0"/>
          <w:marBottom w:val="0"/>
          <w:divBdr>
            <w:top w:val="none" w:sz="0" w:space="0" w:color="auto"/>
            <w:left w:val="none" w:sz="0" w:space="0" w:color="auto"/>
            <w:bottom w:val="none" w:sz="0" w:space="0" w:color="auto"/>
            <w:right w:val="none" w:sz="0" w:space="0" w:color="auto"/>
          </w:divBdr>
        </w:div>
        <w:div w:id="153955011">
          <w:marLeft w:val="0"/>
          <w:marRight w:val="0"/>
          <w:marTop w:val="0"/>
          <w:marBottom w:val="0"/>
          <w:divBdr>
            <w:top w:val="none" w:sz="0" w:space="0" w:color="auto"/>
            <w:left w:val="none" w:sz="0" w:space="0" w:color="auto"/>
            <w:bottom w:val="none" w:sz="0" w:space="0" w:color="auto"/>
            <w:right w:val="none" w:sz="0" w:space="0" w:color="auto"/>
          </w:divBdr>
        </w:div>
        <w:div w:id="429157887">
          <w:marLeft w:val="0"/>
          <w:marRight w:val="0"/>
          <w:marTop w:val="0"/>
          <w:marBottom w:val="0"/>
          <w:divBdr>
            <w:top w:val="none" w:sz="0" w:space="0" w:color="auto"/>
            <w:left w:val="none" w:sz="0" w:space="0" w:color="auto"/>
            <w:bottom w:val="none" w:sz="0" w:space="0" w:color="auto"/>
            <w:right w:val="none" w:sz="0" w:space="0" w:color="auto"/>
          </w:divBdr>
        </w:div>
        <w:div w:id="1738625976">
          <w:marLeft w:val="0"/>
          <w:marRight w:val="0"/>
          <w:marTop w:val="0"/>
          <w:marBottom w:val="0"/>
          <w:divBdr>
            <w:top w:val="none" w:sz="0" w:space="0" w:color="auto"/>
            <w:left w:val="none" w:sz="0" w:space="0" w:color="auto"/>
            <w:bottom w:val="none" w:sz="0" w:space="0" w:color="auto"/>
            <w:right w:val="none" w:sz="0" w:space="0" w:color="auto"/>
          </w:divBdr>
        </w:div>
        <w:div w:id="1527256456">
          <w:marLeft w:val="0"/>
          <w:marRight w:val="0"/>
          <w:marTop w:val="0"/>
          <w:marBottom w:val="0"/>
          <w:divBdr>
            <w:top w:val="none" w:sz="0" w:space="0" w:color="auto"/>
            <w:left w:val="none" w:sz="0" w:space="0" w:color="auto"/>
            <w:bottom w:val="none" w:sz="0" w:space="0" w:color="auto"/>
            <w:right w:val="none" w:sz="0" w:space="0" w:color="auto"/>
          </w:divBdr>
        </w:div>
        <w:div w:id="593243885">
          <w:marLeft w:val="0"/>
          <w:marRight w:val="0"/>
          <w:marTop w:val="0"/>
          <w:marBottom w:val="0"/>
          <w:divBdr>
            <w:top w:val="none" w:sz="0" w:space="0" w:color="auto"/>
            <w:left w:val="none" w:sz="0" w:space="0" w:color="auto"/>
            <w:bottom w:val="none" w:sz="0" w:space="0" w:color="auto"/>
            <w:right w:val="none" w:sz="0" w:space="0" w:color="auto"/>
          </w:divBdr>
        </w:div>
        <w:div w:id="1514537258">
          <w:marLeft w:val="0"/>
          <w:marRight w:val="0"/>
          <w:marTop w:val="0"/>
          <w:marBottom w:val="0"/>
          <w:divBdr>
            <w:top w:val="none" w:sz="0" w:space="0" w:color="auto"/>
            <w:left w:val="none" w:sz="0" w:space="0" w:color="auto"/>
            <w:bottom w:val="none" w:sz="0" w:space="0" w:color="auto"/>
            <w:right w:val="none" w:sz="0" w:space="0" w:color="auto"/>
          </w:divBdr>
        </w:div>
        <w:div w:id="982349437">
          <w:marLeft w:val="0"/>
          <w:marRight w:val="0"/>
          <w:marTop w:val="0"/>
          <w:marBottom w:val="0"/>
          <w:divBdr>
            <w:top w:val="none" w:sz="0" w:space="0" w:color="auto"/>
            <w:left w:val="none" w:sz="0" w:space="0" w:color="auto"/>
            <w:bottom w:val="none" w:sz="0" w:space="0" w:color="auto"/>
            <w:right w:val="none" w:sz="0" w:space="0" w:color="auto"/>
          </w:divBdr>
        </w:div>
        <w:div w:id="1111822132">
          <w:marLeft w:val="0"/>
          <w:marRight w:val="0"/>
          <w:marTop w:val="0"/>
          <w:marBottom w:val="0"/>
          <w:divBdr>
            <w:top w:val="none" w:sz="0" w:space="0" w:color="auto"/>
            <w:left w:val="none" w:sz="0" w:space="0" w:color="auto"/>
            <w:bottom w:val="none" w:sz="0" w:space="0" w:color="auto"/>
            <w:right w:val="none" w:sz="0" w:space="0" w:color="auto"/>
          </w:divBdr>
        </w:div>
        <w:div w:id="939490026">
          <w:marLeft w:val="0"/>
          <w:marRight w:val="0"/>
          <w:marTop w:val="0"/>
          <w:marBottom w:val="0"/>
          <w:divBdr>
            <w:top w:val="none" w:sz="0" w:space="0" w:color="auto"/>
            <w:left w:val="none" w:sz="0" w:space="0" w:color="auto"/>
            <w:bottom w:val="none" w:sz="0" w:space="0" w:color="auto"/>
            <w:right w:val="none" w:sz="0" w:space="0" w:color="auto"/>
          </w:divBdr>
        </w:div>
        <w:div w:id="97798015">
          <w:marLeft w:val="0"/>
          <w:marRight w:val="0"/>
          <w:marTop w:val="0"/>
          <w:marBottom w:val="0"/>
          <w:divBdr>
            <w:top w:val="none" w:sz="0" w:space="0" w:color="auto"/>
            <w:left w:val="none" w:sz="0" w:space="0" w:color="auto"/>
            <w:bottom w:val="none" w:sz="0" w:space="0" w:color="auto"/>
            <w:right w:val="none" w:sz="0" w:space="0" w:color="auto"/>
          </w:divBdr>
        </w:div>
        <w:div w:id="1831870143">
          <w:marLeft w:val="0"/>
          <w:marRight w:val="0"/>
          <w:marTop w:val="0"/>
          <w:marBottom w:val="0"/>
          <w:divBdr>
            <w:top w:val="none" w:sz="0" w:space="0" w:color="auto"/>
            <w:left w:val="none" w:sz="0" w:space="0" w:color="auto"/>
            <w:bottom w:val="none" w:sz="0" w:space="0" w:color="auto"/>
            <w:right w:val="none" w:sz="0" w:space="0" w:color="auto"/>
          </w:divBdr>
        </w:div>
        <w:div w:id="554858608">
          <w:marLeft w:val="0"/>
          <w:marRight w:val="0"/>
          <w:marTop w:val="0"/>
          <w:marBottom w:val="0"/>
          <w:divBdr>
            <w:top w:val="none" w:sz="0" w:space="0" w:color="auto"/>
            <w:left w:val="none" w:sz="0" w:space="0" w:color="auto"/>
            <w:bottom w:val="none" w:sz="0" w:space="0" w:color="auto"/>
            <w:right w:val="none" w:sz="0" w:space="0" w:color="auto"/>
          </w:divBdr>
        </w:div>
        <w:div w:id="371809364">
          <w:marLeft w:val="0"/>
          <w:marRight w:val="0"/>
          <w:marTop w:val="0"/>
          <w:marBottom w:val="0"/>
          <w:divBdr>
            <w:top w:val="none" w:sz="0" w:space="0" w:color="auto"/>
            <w:left w:val="none" w:sz="0" w:space="0" w:color="auto"/>
            <w:bottom w:val="none" w:sz="0" w:space="0" w:color="auto"/>
            <w:right w:val="none" w:sz="0" w:space="0" w:color="auto"/>
          </w:divBdr>
        </w:div>
        <w:div w:id="569311448">
          <w:marLeft w:val="0"/>
          <w:marRight w:val="0"/>
          <w:marTop w:val="0"/>
          <w:marBottom w:val="0"/>
          <w:divBdr>
            <w:top w:val="none" w:sz="0" w:space="0" w:color="auto"/>
            <w:left w:val="none" w:sz="0" w:space="0" w:color="auto"/>
            <w:bottom w:val="none" w:sz="0" w:space="0" w:color="auto"/>
            <w:right w:val="none" w:sz="0" w:space="0" w:color="auto"/>
          </w:divBdr>
        </w:div>
        <w:div w:id="1714846498">
          <w:marLeft w:val="0"/>
          <w:marRight w:val="0"/>
          <w:marTop w:val="0"/>
          <w:marBottom w:val="0"/>
          <w:divBdr>
            <w:top w:val="none" w:sz="0" w:space="0" w:color="auto"/>
            <w:left w:val="none" w:sz="0" w:space="0" w:color="auto"/>
            <w:bottom w:val="none" w:sz="0" w:space="0" w:color="auto"/>
            <w:right w:val="none" w:sz="0" w:space="0" w:color="auto"/>
          </w:divBdr>
        </w:div>
        <w:div w:id="116262993">
          <w:marLeft w:val="0"/>
          <w:marRight w:val="0"/>
          <w:marTop w:val="0"/>
          <w:marBottom w:val="0"/>
          <w:divBdr>
            <w:top w:val="none" w:sz="0" w:space="0" w:color="auto"/>
            <w:left w:val="none" w:sz="0" w:space="0" w:color="auto"/>
            <w:bottom w:val="none" w:sz="0" w:space="0" w:color="auto"/>
            <w:right w:val="none" w:sz="0" w:space="0" w:color="auto"/>
          </w:divBdr>
        </w:div>
        <w:div w:id="577905443">
          <w:marLeft w:val="0"/>
          <w:marRight w:val="0"/>
          <w:marTop w:val="0"/>
          <w:marBottom w:val="0"/>
          <w:divBdr>
            <w:top w:val="none" w:sz="0" w:space="0" w:color="auto"/>
            <w:left w:val="none" w:sz="0" w:space="0" w:color="auto"/>
            <w:bottom w:val="none" w:sz="0" w:space="0" w:color="auto"/>
            <w:right w:val="none" w:sz="0" w:space="0" w:color="auto"/>
          </w:divBdr>
        </w:div>
        <w:div w:id="187957458">
          <w:marLeft w:val="0"/>
          <w:marRight w:val="0"/>
          <w:marTop w:val="0"/>
          <w:marBottom w:val="0"/>
          <w:divBdr>
            <w:top w:val="none" w:sz="0" w:space="0" w:color="auto"/>
            <w:left w:val="none" w:sz="0" w:space="0" w:color="auto"/>
            <w:bottom w:val="none" w:sz="0" w:space="0" w:color="auto"/>
            <w:right w:val="none" w:sz="0" w:space="0" w:color="auto"/>
          </w:divBdr>
        </w:div>
        <w:div w:id="1861091691">
          <w:marLeft w:val="0"/>
          <w:marRight w:val="0"/>
          <w:marTop w:val="0"/>
          <w:marBottom w:val="0"/>
          <w:divBdr>
            <w:top w:val="none" w:sz="0" w:space="0" w:color="auto"/>
            <w:left w:val="none" w:sz="0" w:space="0" w:color="auto"/>
            <w:bottom w:val="none" w:sz="0" w:space="0" w:color="auto"/>
            <w:right w:val="none" w:sz="0" w:space="0" w:color="auto"/>
          </w:divBdr>
        </w:div>
        <w:div w:id="1580559887">
          <w:marLeft w:val="0"/>
          <w:marRight w:val="0"/>
          <w:marTop w:val="0"/>
          <w:marBottom w:val="0"/>
          <w:divBdr>
            <w:top w:val="none" w:sz="0" w:space="0" w:color="auto"/>
            <w:left w:val="none" w:sz="0" w:space="0" w:color="auto"/>
            <w:bottom w:val="none" w:sz="0" w:space="0" w:color="auto"/>
            <w:right w:val="none" w:sz="0" w:space="0" w:color="auto"/>
          </w:divBdr>
        </w:div>
        <w:div w:id="1894193627">
          <w:marLeft w:val="0"/>
          <w:marRight w:val="0"/>
          <w:marTop w:val="0"/>
          <w:marBottom w:val="0"/>
          <w:divBdr>
            <w:top w:val="none" w:sz="0" w:space="0" w:color="auto"/>
            <w:left w:val="none" w:sz="0" w:space="0" w:color="auto"/>
            <w:bottom w:val="none" w:sz="0" w:space="0" w:color="auto"/>
            <w:right w:val="none" w:sz="0" w:space="0" w:color="auto"/>
          </w:divBdr>
        </w:div>
        <w:div w:id="2115128029">
          <w:marLeft w:val="0"/>
          <w:marRight w:val="0"/>
          <w:marTop w:val="0"/>
          <w:marBottom w:val="0"/>
          <w:divBdr>
            <w:top w:val="none" w:sz="0" w:space="0" w:color="auto"/>
            <w:left w:val="none" w:sz="0" w:space="0" w:color="auto"/>
            <w:bottom w:val="none" w:sz="0" w:space="0" w:color="auto"/>
            <w:right w:val="none" w:sz="0" w:space="0" w:color="auto"/>
          </w:divBdr>
        </w:div>
        <w:div w:id="379982073">
          <w:marLeft w:val="0"/>
          <w:marRight w:val="0"/>
          <w:marTop w:val="0"/>
          <w:marBottom w:val="0"/>
          <w:divBdr>
            <w:top w:val="none" w:sz="0" w:space="0" w:color="auto"/>
            <w:left w:val="none" w:sz="0" w:space="0" w:color="auto"/>
            <w:bottom w:val="none" w:sz="0" w:space="0" w:color="auto"/>
            <w:right w:val="none" w:sz="0" w:space="0" w:color="auto"/>
          </w:divBdr>
        </w:div>
        <w:div w:id="512303786">
          <w:marLeft w:val="0"/>
          <w:marRight w:val="0"/>
          <w:marTop w:val="0"/>
          <w:marBottom w:val="0"/>
          <w:divBdr>
            <w:top w:val="none" w:sz="0" w:space="0" w:color="auto"/>
            <w:left w:val="none" w:sz="0" w:space="0" w:color="auto"/>
            <w:bottom w:val="none" w:sz="0" w:space="0" w:color="auto"/>
            <w:right w:val="none" w:sz="0" w:space="0" w:color="auto"/>
          </w:divBdr>
        </w:div>
        <w:div w:id="1477648078">
          <w:marLeft w:val="0"/>
          <w:marRight w:val="0"/>
          <w:marTop w:val="0"/>
          <w:marBottom w:val="0"/>
          <w:divBdr>
            <w:top w:val="none" w:sz="0" w:space="0" w:color="auto"/>
            <w:left w:val="none" w:sz="0" w:space="0" w:color="auto"/>
            <w:bottom w:val="none" w:sz="0" w:space="0" w:color="auto"/>
            <w:right w:val="none" w:sz="0" w:space="0" w:color="auto"/>
          </w:divBdr>
        </w:div>
        <w:div w:id="1362703595">
          <w:marLeft w:val="0"/>
          <w:marRight w:val="0"/>
          <w:marTop w:val="0"/>
          <w:marBottom w:val="0"/>
          <w:divBdr>
            <w:top w:val="none" w:sz="0" w:space="0" w:color="auto"/>
            <w:left w:val="none" w:sz="0" w:space="0" w:color="auto"/>
            <w:bottom w:val="none" w:sz="0" w:space="0" w:color="auto"/>
            <w:right w:val="none" w:sz="0" w:space="0" w:color="auto"/>
          </w:divBdr>
        </w:div>
        <w:div w:id="1049721375">
          <w:marLeft w:val="0"/>
          <w:marRight w:val="0"/>
          <w:marTop w:val="0"/>
          <w:marBottom w:val="0"/>
          <w:divBdr>
            <w:top w:val="none" w:sz="0" w:space="0" w:color="auto"/>
            <w:left w:val="none" w:sz="0" w:space="0" w:color="auto"/>
            <w:bottom w:val="none" w:sz="0" w:space="0" w:color="auto"/>
            <w:right w:val="none" w:sz="0" w:space="0" w:color="auto"/>
          </w:divBdr>
        </w:div>
        <w:div w:id="336273288">
          <w:marLeft w:val="0"/>
          <w:marRight w:val="0"/>
          <w:marTop w:val="0"/>
          <w:marBottom w:val="0"/>
          <w:divBdr>
            <w:top w:val="none" w:sz="0" w:space="0" w:color="auto"/>
            <w:left w:val="none" w:sz="0" w:space="0" w:color="auto"/>
            <w:bottom w:val="none" w:sz="0" w:space="0" w:color="auto"/>
            <w:right w:val="none" w:sz="0" w:space="0" w:color="auto"/>
          </w:divBdr>
        </w:div>
        <w:div w:id="1100447738">
          <w:marLeft w:val="0"/>
          <w:marRight w:val="0"/>
          <w:marTop w:val="0"/>
          <w:marBottom w:val="0"/>
          <w:divBdr>
            <w:top w:val="none" w:sz="0" w:space="0" w:color="auto"/>
            <w:left w:val="none" w:sz="0" w:space="0" w:color="auto"/>
            <w:bottom w:val="none" w:sz="0" w:space="0" w:color="auto"/>
            <w:right w:val="none" w:sz="0" w:space="0" w:color="auto"/>
          </w:divBdr>
        </w:div>
        <w:div w:id="1425344140">
          <w:marLeft w:val="0"/>
          <w:marRight w:val="0"/>
          <w:marTop w:val="0"/>
          <w:marBottom w:val="0"/>
          <w:divBdr>
            <w:top w:val="none" w:sz="0" w:space="0" w:color="auto"/>
            <w:left w:val="none" w:sz="0" w:space="0" w:color="auto"/>
            <w:bottom w:val="none" w:sz="0" w:space="0" w:color="auto"/>
            <w:right w:val="none" w:sz="0" w:space="0" w:color="auto"/>
          </w:divBdr>
        </w:div>
        <w:div w:id="644622572">
          <w:marLeft w:val="0"/>
          <w:marRight w:val="0"/>
          <w:marTop w:val="0"/>
          <w:marBottom w:val="0"/>
          <w:divBdr>
            <w:top w:val="none" w:sz="0" w:space="0" w:color="auto"/>
            <w:left w:val="none" w:sz="0" w:space="0" w:color="auto"/>
            <w:bottom w:val="none" w:sz="0" w:space="0" w:color="auto"/>
            <w:right w:val="none" w:sz="0" w:space="0" w:color="auto"/>
          </w:divBdr>
        </w:div>
        <w:div w:id="31226751">
          <w:marLeft w:val="0"/>
          <w:marRight w:val="0"/>
          <w:marTop w:val="0"/>
          <w:marBottom w:val="0"/>
          <w:divBdr>
            <w:top w:val="none" w:sz="0" w:space="0" w:color="auto"/>
            <w:left w:val="none" w:sz="0" w:space="0" w:color="auto"/>
            <w:bottom w:val="none" w:sz="0" w:space="0" w:color="auto"/>
            <w:right w:val="none" w:sz="0" w:space="0" w:color="auto"/>
          </w:divBdr>
        </w:div>
        <w:div w:id="1906985106">
          <w:marLeft w:val="0"/>
          <w:marRight w:val="0"/>
          <w:marTop w:val="0"/>
          <w:marBottom w:val="0"/>
          <w:divBdr>
            <w:top w:val="none" w:sz="0" w:space="0" w:color="auto"/>
            <w:left w:val="none" w:sz="0" w:space="0" w:color="auto"/>
            <w:bottom w:val="none" w:sz="0" w:space="0" w:color="auto"/>
            <w:right w:val="none" w:sz="0" w:space="0" w:color="auto"/>
          </w:divBdr>
        </w:div>
        <w:div w:id="614403546">
          <w:marLeft w:val="0"/>
          <w:marRight w:val="0"/>
          <w:marTop w:val="0"/>
          <w:marBottom w:val="0"/>
          <w:divBdr>
            <w:top w:val="none" w:sz="0" w:space="0" w:color="auto"/>
            <w:left w:val="none" w:sz="0" w:space="0" w:color="auto"/>
            <w:bottom w:val="none" w:sz="0" w:space="0" w:color="auto"/>
            <w:right w:val="none" w:sz="0" w:space="0" w:color="auto"/>
          </w:divBdr>
        </w:div>
        <w:div w:id="1897203142">
          <w:marLeft w:val="0"/>
          <w:marRight w:val="0"/>
          <w:marTop w:val="0"/>
          <w:marBottom w:val="0"/>
          <w:divBdr>
            <w:top w:val="none" w:sz="0" w:space="0" w:color="auto"/>
            <w:left w:val="none" w:sz="0" w:space="0" w:color="auto"/>
            <w:bottom w:val="none" w:sz="0" w:space="0" w:color="auto"/>
            <w:right w:val="none" w:sz="0" w:space="0" w:color="auto"/>
          </w:divBdr>
        </w:div>
        <w:div w:id="11155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8918</Words>
  <Characters>49049</Characters>
  <Application>Microsoft Office Word</Application>
  <DocSecurity>0</DocSecurity>
  <Lines>408</Lines>
  <Paragraphs>115</Paragraphs>
  <ScaleCrop>false</ScaleCrop>
  <Company/>
  <LinksUpToDate>false</LinksUpToDate>
  <CharactersWithSpaces>57852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2020-09-01T20:49:00Z</dcterms:created>
  <dcterms:modified xsi:type="dcterms:W3CDTF">2020-10-16T20:31:00Z</dcterms:modified>
</cp:coreProperties>
</file>