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46" w:rsidRPr="00D24846" w:rsidRDefault="00D24846" w:rsidP="00D2484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D2484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24846" w:rsidRPr="00D24846" w:rsidRDefault="00D24846" w:rsidP="00D24846">
      <w:pPr>
        <w:spacing w:after="0" w:line="240" w:lineRule="auto"/>
        <w:jc w:val="both"/>
        <w:rPr>
          <w:rFonts w:ascii="Arial" w:eastAsia="Times New Roman" w:hAnsi="Arial" w:cs="Arial"/>
          <w:sz w:val="20"/>
          <w:szCs w:val="20"/>
          <w:lang w:val="es-419" w:eastAsia="es-ES"/>
        </w:rPr>
      </w:pPr>
    </w:p>
    <w:p w:rsidR="00D24846" w:rsidRPr="00D24846" w:rsidRDefault="00D24846" w:rsidP="00D24846">
      <w:pPr>
        <w:spacing w:after="0" w:line="240" w:lineRule="auto"/>
        <w:jc w:val="both"/>
        <w:rPr>
          <w:rFonts w:ascii="Arial" w:eastAsia="Times New Roman" w:hAnsi="Arial" w:cs="Arial"/>
          <w:b/>
          <w:bCs/>
          <w:iCs/>
          <w:sz w:val="20"/>
          <w:szCs w:val="20"/>
          <w:lang w:val="es-419" w:eastAsia="fr-FR"/>
        </w:rPr>
      </w:pPr>
      <w:r w:rsidRPr="00D24846">
        <w:rPr>
          <w:rFonts w:ascii="Arial" w:eastAsia="Times New Roman" w:hAnsi="Arial" w:cs="Arial"/>
          <w:b/>
          <w:bCs/>
          <w:iCs/>
          <w:sz w:val="20"/>
          <w:szCs w:val="20"/>
          <w:u w:val="single"/>
          <w:lang w:val="es-419" w:eastAsia="fr-FR"/>
        </w:rPr>
        <w:t>TEMAS:</w:t>
      </w:r>
      <w:r w:rsidRPr="00D24846">
        <w:rPr>
          <w:rFonts w:ascii="Arial" w:eastAsia="Times New Roman" w:hAnsi="Arial" w:cs="Arial"/>
          <w:b/>
          <w:bCs/>
          <w:iCs/>
          <w:sz w:val="20"/>
          <w:szCs w:val="20"/>
          <w:lang w:val="es-419" w:eastAsia="fr-FR"/>
        </w:rPr>
        <w:tab/>
      </w:r>
      <w:r w:rsidR="004601F4">
        <w:rPr>
          <w:rFonts w:ascii="Arial" w:eastAsia="Times New Roman" w:hAnsi="Arial" w:cs="Arial"/>
          <w:b/>
          <w:bCs/>
          <w:iCs/>
          <w:sz w:val="20"/>
          <w:szCs w:val="20"/>
          <w:lang w:val="es-419" w:eastAsia="fr-FR"/>
        </w:rPr>
        <w:t xml:space="preserve">PENSIÓN DE INVALIDEZ / CONDICIÓN MÁS BENEFICIOSA / </w:t>
      </w:r>
      <w:r w:rsidR="004601F4">
        <w:rPr>
          <w:rFonts w:ascii="Arial" w:eastAsia="Times New Roman" w:hAnsi="Arial" w:cs="Arial"/>
          <w:b/>
          <w:sz w:val="20"/>
          <w:szCs w:val="20"/>
          <w:lang w:val="es-419" w:eastAsia="es-ES"/>
        </w:rPr>
        <w:t xml:space="preserve">DOCTRINA PROBABLE </w:t>
      </w:r>
      <w:r w:rsidRPr="00D24846">
        <w:rPr>
          <w:rFonts w:ascii="Arial" w:eastAsia="Times New Roman" w:hAnsi="Arial" w:cs="Arial"/>
          <w:b/>
          <w:bCs/>
          <w:iCs/>
          <w:sz w:val="20"/>
          <w:szCs w:val="20"/>
          <w:lang w:val="es-419" w:eastAsia="fr-FR"/>
        </w:rPr>
        <w:t xml:space="preserve">/ </w:t>
      </w:r>
      <w:r w:rsidR="004601F4">
        <w:rPr>
          <w:rFonts w:ascii="Arial" w:eastAsia="Times New Roman" w:hAnsi="Arial" w:cs="Arial"/>
          <w:b/>
          <w:bCs/>
          <w:iCs/>
          <w:sz w:val="20"/>
          <w:szCs w:val="20"/>
          <w:lang w:val="es-419" w:eastAsia="fr-FR"/>
        </w:rPr>
        <w:t xml:space="preserve">REQUISITO DE TEMPORALIDAD / FECHA DE ESTRUCTURACIÓN / DEBIÓ OCURRIR EN </w:t>
      </w:r>
      <w:r w:rsidR="005C34A4">
        <w:rPr>
          <w:rFonts w:ascii="Arial" w:eastAsia="Times New Roman" w:hAnsi="Arial" w:cs="Arial"/>
          <w:b/>
          <w:bCs/>
          <w:iCs/>
          <w:sz w:val="20"/>
          <w:szCs w:val="20"/>
          <w:lang w:val="es-419" w:eastAsia="fr-FR"/>
        </w:rPr>
        <w:t>LOS TRES AÑOS SIGUIENTES A LA EXPEDICIÓN DE LA LEY 860 DE 2003 / NO SE CUMPLE EN ESTE CASO.</w:t>
      </w:r>
    </w:p>
    <w:p w:rsidR="00D24846" w:rsidRPr="00D24846" w:rsidRDefault="00D24846" w:rsidP="00D24846">
      <w:pPr>
        <w:spacing w:after="0" w:line="240" w:lineRule="auto"/>
        <w:jc w:val="both"/>
        <w:rPr>
          <w:rFonts w:ascii="Arial" w:eastAsia="Times New Roman" w:hAnsi="Arial" w:cs="Arial"/>
          <w:sz w:val="20"/>
          <w:szCs w:val="20"/>
          <w:lang w:val="es-419" w:eastAsia="es-ES"/>
        </w:rPr>
      </w:pPr>
    </w:p>
    <w:p w:rsidR="004601F4" w:rsidRPr="004601F4" w:rsidRDefault="004601F4" w:rsidP="004601F4">
      <w:pPr>
        <w:spacing w:after="0" w:line="240" w:lineRule="auto"/>
        <w:jc w:val="both"/>
        <w:rPr>
          <w:rFonts w:ascii="Arial" w:eastAsia="Times New Roman" w:hAnsi="Arial" w:cs="Arial"/>
          <w:sz w:val="20"/>
          <w:szCs w:val="20"/>
          <w:lang w:val="es-419" w:eastAsia="es-ES"/>
        </w:rPr>
      </w:pPr>
      <w:r w:rsidRPr="004601F4">
        <w:rPr>
          <w:rFonts w:ascii="Arial" w:eastAsia="Times New Roman" w:hAnsi="Arial" w:cs="Arial"/>
          <w:sz w:val="20"/>
          <w:szCs w:val="20"/>
          <w:lang w:val="es-419" w:eastAsia="es-ES"/>
        </w:rPr>
        <w:t xml:space="preserve">Prevé el artículo 4º de la Ley 169 de 1896 que tres decisiones uniformes dadas por la Corte Suprema de Justicia como Tribunal de Casación sobre un mismo punto de derecho constituyen doctrina probable. </w:t>
      </w:r>
    </w:p>
    <w:p w:rsidR="004601F4" w:rsidRPr="004601F4" w:rsidRDefault="004601F4" w:rsidP="004601F4">
      <w:pPr>
        <w:spacing w:after="0" w:line="240" w:lineRule="auto"/>
        <w:jc w:val="both"/>
        <w:rPr>
          <w:rFonts w:ascii="Arial" w:eastAsia="Times New Roman" w:hAnsi="Arial" w:cs="Arial"/>
          <w:sz w:val="20"/>
          <w:szCs w:val="20"/>
          <w:lang w:val="es-419" w:eastAsia="es-ES"/>
        </w:rPr>
      </w:pPr>
      <w:r w:rsidRPr="004601F4">
        <w:rPr>
          <w:rFonts w:ascii="Arial" w:eastAsia="Times New Roman" w:hAnsi="Arial" w:cs="Arial"/>
          <w:sz w:val="20"/>
          <w:szCs w:val="20"/>
          <w:lang w:val="es-419" w:eastAsia="es-ES"/>
        </w:rPr>
        <w:t xml:space="preserve"> </w:t>
      </w:r>
    </w:p>
    <w:p w:rsidR="00D24846" w:rsidRPr="00D24846" w:rsidRDefault="004601F4" w:rsidP="004601F4">
      <w:pPr>
        <w:spacing w:after="0" w:line="240" w:lineRule="auto"/>
        <w:jc w:val="both"/>
        <w:rPr>
          <w:rFonts w:ascii="Arial" w:eastAsia="Times New Roman" w:hAnsi="Arial" w:cs="Arial"/>
          <w:sz w:val="20"/>
          <w:szCs w:val="20"/>
          <w:lang w:val="es-419" w:eastAsia="es-ES"/>
        </w:rPr>
      </w:pPr>
      <w:r w:rsidRPr="004601F4">
        <w:rPr>
          <w:rFonts w:ascii="Arial" w:eastAsia="Times New Roman" w:hAnsi="Arial" w:cs="Arial"/>
          <w:sz w:val="20"/>
          <w:szCs w:val="20"/>
          <w:lang w:val="es-419" w:eastAsia="es-ES"/>
        </w:rPr>
        <w:t>En ese sentido la Corte Constitucional en la sentencia C-836 de 2001, por medio de la cual declaró exequible la referenciada norma, manifestó que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w:t>
      </w:r>
      <w:r>
        <w:rPr>
          <w:rFonts w:ascii="Arial" w:eastAsia="Times New Roman" w:hAnsi="Arial" w:cs="Arial"/>
          <w:sz w:val="20"/>
          <w:szCs w:val="20"/>
          <w:lang w:val="es-419" w:eastAsia="es-ES"/>
        </w:rPr>
        <w:t>…</w:t>
      </w:r>
    </w:p>
    <w:p w:rsidR="00D24846" w:rsidRPr="00D24846" w:rsidRDefault="00D24846" w:rsidP="00D24846">
      <w:pPr>
        <w:spacing w:after="0" w:line="240" w:lineRule="auto"/>
        <w:jc w:val="both"/>
        <w:rPr>
          <w:rFonts w:ascii="Arial" w:eastAsia="Times New Roman" w:hAnsi="Arial" w:cs="Arial"/>
          <w:sz w:val="20"/>
          <w:szCs w:val="20"/>
          <w:lang w:val="es-419" w:eastAsia="es-ES"/>
        </w:rPr>
      </w:pPr>
    </w:p>
    <w:p w:rsidR="00D24846" w:rsidRDefault="004601F4" w:rsidP="00D24846">
      <w:pPr>
        <w:spacing w:after="0" w:line="240" w:lineRule="auto"/>
        <w:jc w:val="both"/>
        <w:rPr>
          <w:rFonts w:ascii="Arial" w:eastAsia="Times New Roman" w:hAnsi="Arial" w:cs="Arial"/>
          <w:sz w:val="20"/>
          <w:szCs w:val="20"/>
          <w:lang w:val="es-419" w:eastAsia="es-ES"/>
        </w:rPr>
      </w:pPr>
      <w:r w:rsidRPr="004601F4">
        <w:rPr>
          <w:rFonts w:ascii="Arial" w:eastAsia="Times New Roman" w:hAnsi="Arial" w:cs="Arial"/>
          <w:sz w:val="20"/>
          <w:szCs w:val="20"/>
          <w:lang w:val="es-419" w:eastAsia="es-ES"/>
        </w:rPr>
        <w:t>Con tal premisa puesta de presente, para el asunto que aquí debe decidirse, la Sala de Casación Laboral a partir de la sentencia SL4650 de 28 de enero de 2017 radicación Nº 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w:t>
      </w:r>
      <w:r>
        <w:rPr>
          <w:rFonts w:ascii="Arial" w:eastAsia="Times New Roman" w:hAnsi="Arial" w:cs="Arial"/>
          <w:sz w:val="20"/>
          <w:szCs w:val="20"/>
          <w:lang w:val="es-419" w:eastAsia="es-ES"/>
        </w:rPr>
        <w:t>…</w:t>
      </w:r>
    </w:p>
    <w:p w:rsidR="004601F4" w:rsidRPr="00D24846" w:rsidRDefault="004601F4" w:rsidP="00D24846">
      <w:pPr>
        <w:spacing w:after="0" w:line="240" w:lineRule="auto"/>
        <w:jc w:val="both"/>
        <w:rPr>
          <w:rFonts w:ascii="Arial" w:eastAsia="Times New Roman" w:hAnsi="Arial" w:cs="Arial"/>
          <w:sz w:val="20"/>
          <w:szCs w:val="20"/>
          <w:lang w:val="es-419" w:eastAsia="es-ES"/>
        </w:rPr>
      </w:pPr>
    </w:p>
    <w:p w:rsidR="00D24846" w:rsidRPr="00D24846" w:rsidRDefault="004601F4" w:rsidP="00D24846">
      <w:pPr>
        <w:spacing w:after="0" w:line="240" w:lineRule="auto"/>
        <w:jc w:val="both"/>
        <w:rPr>
          <w:rFonts w:ascii="Arial" w:eastAsia="Times New Roman" w:hAnsi="Arial" w:cs="Arial"/>
          <w:sz w:val="20"/>
          <w:szCs w:val="20"/>
          <w:lang w:val="es-ES" w:eastAsia="es-ES"/>
        </w:rPr>
      </w:pPr>
      <w:r w:rsidRPr="004601F4">
        <w:rPr>
          <w:rFonts w:ascii="Arial" w:eastAsia="Times New Roman" w:hAnsi="Arial" w:cs="Arial"/>
          <w:sz w:val="20"/>
          <w:szCs w:val="20"/>
          <w:lang w:val="es-ES" w:eastAsia="es-ES"/>
        </w:rPr>
        <w:t>Así las cosas, al haber proferido la Sala de Casación Laboral de la Corte Suprema de Justicia más de tres decisiones en ese sentido como órgano unificador de la jurisprudencia nacional en la jurisdiccional ordinaria, esta Sala de Decisión, encontrando tal línea concordante con la actualidad social y además, legal y constitucionalmente acorde con nuestro sistema jurídico, ha acogido esa postura como doctrina probable</w:t>
      </w:r>
      <w:r>
        <w:rPr>
          <w:rFonts w:ascii="Arial" w:eastAsia="Times New Roman" w:hAnsi="Arial" w:cs="Arial"/>
          <w:sz w:val="20"/>
          <w:szCs w:val="20"/>
          <w:lang w:val="es-ES" w:eastAsia="es-ES"/>
        </w:rPr>
        <w:t>…</w:t>
      </w:r>
      <w:r w:rsidRPr="004601F4">
        <w:rPr>
          <w:rFonts w:ascii="Arial" w:eastAsia="Times New Roman" w:hAnsi="Arial" w:cs="Arial"/>
          <w:sz w:val="20"/>
          <w:szCs w:val="20"/>
          <w:lang w:val="es-ES" w:eastAsia="es-ES"/>
        </w:rPr>
        <w:t xml:space="preserve">; sin que sea dable en este tipo de eventos dar paso a la aplicación del Acuerdo 049 de 1990, pues como lo ha sostenido pacíficamente el máximo órgano de la jurisdicción ordinaria laboral, no es posible efectuar un rastreo histórico para ver cuál de las normas pretéritas que eventualmente han regulado esas situaciones se adecúa a los intereses de cada afiliado, en consideración a que ese fenómeno </w:t>
      </w:r>
      <w:proofErr w:type="spellStart"/>
      <w:r w:rsidRPr="004601F4">
        <w:rPr>
          <w:rFonts w:ascii="Arial" w:eastAsia="Times New Roman" w:hAnsi="Arial" w:cs="Arial"/>
          <w:sz w:val="20"/>
          <w:szCs w:val="20"/>
          <w:lang w:val="es-ES" w:eastAsia="es-ES"/>
        </w:rPr>
        <w:t>ultractivo</w:t>
      </w:r>
      <w:proofErr w:type="spellEnd"/>
      <w:r w:rsidRPr="004601F4">
        <w:rPr>
          <w:rFonts w:ascii="Arial" w:eastAsia="Times New Roman" w:hAnsi="Arial" w:cs="Arial"/>
          <w:sz w:val="20"/>
          <w:szCs w:val="20"/>
          <w:lang w:val="es-ES" w:eastAsia="es-ES"/>
        </w:rPr>
        <w:t xml:space="preserve"> de la norma no es factible que se predique de otras diferentes a la inmediatamente anterior</w:t>
      </w:r>
      <w:r>
        <w:rPr>
          <w:rFonts w:ascii="Arial" w:eastAsia="Times New Roman" w:hAnsi="Arial" w:cs="Arial"/>
          <w:sz w:val="20"/>
          <w:szCs w:val="20"/>
          <w:lang w:val="es-ES" w:eastAsia="es-ES"/>
        </w:rPr>
        <w:t>…</w:t>
      </w:r>
    </w:p>
    <w:p w:rsidR="00D24846" w:rsidRPr="00D24846" w:rsidRDefault="00D24846" w:rsidP="00D24846">
      <w:pPr>
        <w:spacing w:after="0" w:line="240" w:lineRule="auto"/>
        <w:jc w:val="both"/>
        <w:rPr>
          <w:rFonts w:ascii="Arial" w:eastAsia="Times New Roman" w:hAnsi="Arial" w:cs="Arial"/>
          <w:sz w:val="20"/>
          <w:szCs w:val="20"/>
          <w:lang w:val="es-ES" w:eastAsia="es-ES"/>
        </w:rPr>
      </w:pPr>
    </w:p>
    <w:p w:rsidR="00D24846" w:rsidRPr="00D24846" w:rsidRDefault="004601F4" w:rsidP="00D24846">
      <w:pPr>
        <w:spacing w:after="0" w:line="240" w:lineRule="auto"/>
        <w:jc w:val="both"/>
        <w:rPr>
          <w:rFonts w:ascii="Arial" w:eastAsia="Times New Roman" w:hAnsi="Arial" w:cs="Arial"/>
          <w:sz w:val="20"/>
          <w:szCs w:val="20"/>
          <w:lang w:val="es-ES" w:eastAsia="es-ES"/>
        </w:rPr>
      </w:pPr>
      <w:r w:rsidRPr="004601F4">
        <w:rPr>
          <w:rFonts w:ascii="Arial" w:eastAsia="Times New Roman" w:hAnsi="Arial" w:cs="Arial"/>
          <w:sz w:val="20"/>
          <w:szCs w:val="20"/>
          <w:lang w:val="es-ES" w:eastAsia="es-ES"/>
        </w:rPr>
        <w:t>De acuerdo con la información contenida en la historia laboral allegada por la Administradora Colombiana de Pensiones en medio magnético adosado a folio 91 vuelto, entre el 21 de noviembre de 2013 y la misma calenda del año 2016, la causante no tiene semanas cotizadas al sistema general de pensiones, a pesar de contar en toda su vida laboral con 357,43 semanas de aportes, motivo por el que, con base en la Ley 860 de 2003 no pudo acceder a la pensión de invalidez; sin que en su caso haya sido posible dar aplicación al principio de la condición más beneficiosa en la forma establecida por la Sala de Casación Laboral de la Corte Suprema de Justicia, en consideración a que la estructuración de la invalidez no se presentó entre el 26 de diciembre de 2003 y el 26 de diciembre de 2006.</w:t>
      </w:r>
    </w:p>
    <w:p w:rsidR="00D24846" w:rsidRDefault="00D24846" w:rsidP="00D24846">
      <w:pPr>
        <w:spacing w:after="0" w:line="240" w:lineRule="auto"/>
        <w:jc w:val="both"/>
        <w:rPr>
          <w:rFonts w:ascii="Arial" w:eastAsia="Times New Roman" w:hAnsi="Arial" w:cs="Arial"/>
          <w:sz w:val="20"/>
          <w:szCs w:val="20"/>
          <w:lang w:val="es-ES" w:eastAsia="es-ES"/>
        </w:rPr>
      </w:pPr>
    </w:p>
    <w:p w:rsidR="009C3669" w:rsidRPr="009C3669" w:rsidRDefault="009C3669" w:rsidP="00D24846">
      <w:pPr>
        <w:spacing w:after="0" w:line="240" w:lineRule="auto"/>
        <w:jc w:val="both"/>
        <w:rPr>
          <w:rFonts w:ascii="Arial" w:eastAsia="Times New Roman" w:hAnsi="Arial" w:cs="Arial"/>
          <w:b/>
          <w:color w:val="FF0000"/>
          <w:sz w:val="20"/>
          <w:szCs w:val="20"/>
          <w:lang w:val="es-ES" w:eastAsia="es-ES"/>
        </w:rPr>
      </w:pPr>
      <w:r w:rsidRPr="009C3669">
        <w:rPr>
          <w:rFonts w:ascii="Arial" w:eastAsia="Times New Roman" w:hAnsi="Arial" w:cs="Arial"/>
          <w:b/>
          <w:color w:val="FF0000"/>
          <w:sz w:val="20"/>
          <w:szCs w:val="20"/>
          <w:lang w:val="es-ES" w:eastAsia="es-ES"/>
        </w:rPr>
        <w:t>ACLARACIÓN DE VOTO: DOCTORA ALEJANDRA MARÍA HENAO PALACIO</w:t>
      </w:r>
    </w:p>
    <w:p w:rsidR="004601F4" w:rsidRDefault="004601F4" w:rsidP="00D24846">
      <w:pPr>
        <w:spacing w:after="0" w:line="240" w:lineRule="auto"/>
        <w:jc w:val="both"/>
        <w:rPr>
          <w:rFonts w:ascii="Arial" w:eastAsia="Times New Roman" w:hAnsi="Arial" w:cs="Arial"/>
          <w:sz w:val="20"/>
          <w:szCs w:val="20"/>
          <w:lang w:val="es-ES" w:eastAsia="es-ES"/>
        </w:rPr>
      </w:pPr>
    </w:p>
    <w:p w:rsidR="009C3669" w:rsidRDefault="009C3669" w:rsidP="009C3669">
      <w:pPr>
        <w:spacing w:after="0" w:line="240" w:lineRule="auto"/>
        <w:jc w:val="both"/>
        <w:rPr>
          <w:rFonts w:ascii="Arial" w:eastAsia="Times New Roman" w:hAnsi="Arial" w:cs="Arial"/>
          <w:sz w:val="20"/>
          <w:szCs w:val="20"/>
          <w:lang w:val="es-ES" w:eastAsia="es-ES"/>
        </w:rPr>
      </w:pPr>
      <w:r w:rsidRPr="009C3669">
        <w:rPr>
          <w:rFonts w:ascii="Arial" w:eastAsia="Times New Roman" w:hAnsi="Arial" w:cs="Arial"/>
          <w:sz w:val="20"/>
          <w:szCs w:val="20"/>
          <w:lang w:val="es-ES" w:eastAsia="es-ES"/>
        </w:rPr>
        <w:t>En el proceso quedó establecido que Gladys Losada López padecía una discapacidad profunda, en tanto sufrió una pérdida de capacidad laboral del 51.7%, estructurada el 21 de noviembre de 2016</w:t>
      </w:r>
      <w:r w:rsidR="00683650">
        <w:rPr>
          <w:rFonts w:ascii="Arial" w:eastAsia="Times New Roman" w:hAnsi="Arial" w:cs="Arial"/>
          <w:sz w:val="20"/>
          <w:szCs w:val="20"/>
          <w:lang w:val="es-ES" w:eastAsia="es-ES"/>
        </w:rPr>
        <w:t>…</w:t>
      </w:r>
    </w:p>
    <w:p w:rsidR="00683650" w:rsidRPr="009C3669" w:rsidRDefault="00683650" w:rsidP="009C3669">
      <w:pPr>
        <w:spacing w:after="0" w:line="240" w:lineRule="auto"/>
        <w:jc w:val="both"/>
        <w:rPr>
          <w:rFonts w:ascii="Arial" w:eastAsia="Times New Roman" w:hAnsi="Arial" w:cs="Arial"/>
          <w:sz w:val="20"/>
          <w:szCs w:val="20"/>
          <w:lang w:val="es-ES" w:eastAsia="es-ES"/>
        </w:rPr>
      </w:pPr>
    </w:p>
    <w:p w:rsidR="009C3669" w:rsidRPr="009C3669" w:rsidRDefault="009C3669" w:rsidP="009C3669">
      <w:pPr>
        <w:spacing w:after="0" w:line="240" w:lineRule="auto"/>
        <w:jc w:val="both"/>
        <w:rPr>
          <w:rFonts w:ascii="Arial" w:eastAsia="Times New Roman" w:hAnsi="Arial" w:cs="Arial"/>
          <w:sz w:val="20"/>
          <w:szCs w:val="20"/>
          <w:lang w:val="es-ES" w:eastAsia="es-ES"/>
        </w:rPr>
      </w:pPr>
      <w:r w:rsidRPr="009C3669">
        <w:rPr>
          <w:rFonts w:ascii="Arial" w:eastAsia="Times New Roman" w:hAnsi="Arial" w:cs="Arial"/>
          <w:sz w:val="20"/>
          <w:szCs w:val="20"/>
          <w:lang w:val="es-ES" w:eastAsia="es-ES"/>
        </w:rPr>
        <w:t>El alto grado de vulnerabilidad que deviene de lo referido, pone en evidencia que, en este caso, una aplicación igualitaria de la ley, en principio, resulta insuficiente frente a los mandatos constitucionales, que obligan a dar un tratamiento diferenciado a quienes se encuentren en situaciones de desigualdad</w:t>
      </w:r>
      <w:r w:rsidR="00683650">
        <w:rPr>
          <w:rFonts w:ascii="Arial" w:eastAsia="Times New Roman" w:hAnsi="Arial" w:cs="Arial"/>
          <w:sz w:val="20"/>
          <w:szCs w:val="20"/>
          <w:lang w:val="es-ES" w:eastAsia="es-ES"/>
        </w:rPr>
        <w:t>…</w:t>
      </w:r>
      <w:r w:rsidRPr="009C3669">
        <w:rPr>
          <w:rFonts w:ascii="Arial" w:eastAsia="Times New Roman" w:hAnsi="Arial" w:cs="Arial"/>
          <w:sz w:val="20"/>
          <w:szCs w:val="20"/>
          <w:lang w:val="es-ES" w:eastAsia="es-ES"/>
        </w:rPr>
        <w:t xml:space="preserve"> </w:t>
      </w:r>
    </w:p>
    <w:p w:rsidR="009C3669" w:rsidRPr="009C3669" w:rsidRDefault="009C3669" w:rsidP="009C3669">
      <w:pPr>
        <w:spacing w:after="0" w:line="240" w:lineRule="auto"/>
        <w:jc w:val="both"/>
        <w:rPr>
          <w:rFonts w:ascii="Arial" w:eastAsia="Times New Roman" w:hAnsi="Arial" w:cs="Arial"/>
          <w:sz w:val="20"/>
          <w:szCs w:val="20"/>
          <w:lang w:val="es-ES" w:eastAsia="es-ES"/>
        </w:rPr>
      </w:pPr>
    </w:p>
    <w:p w:rsidR="009C3669" w:rsidRDefault="009C3669" w:rsidP="009C3669">
      <w:pPr>
        <w:spacing w:after="0" w:line="240" w:lineRule="auto"/>
        <w:jc w:val="both"/>
        <w:rPr>
          <w:rFonts w:ascii="Arial" w:eastAsia="Times New Roman" w:hAnsi="Arial" w:cs="Arial"/>
          <w:sz w:val="20"/>
          <w:szCs w:val="20"/>
          <w:lang w:val="es-ES" w:eastAsia="es-ES"/>
        </w:rPr>
      </w:pPr>
      <w:r w:rsidRPr="009C3669">
        <w:rPr>
          <w:rFonts w:ascii="Arial" w:eastAsia="Times New Roman" w:hAnsi="Arial" w:cs="Arial"/>
          <w:sz w:val="20"/>
          <w:szCs w:val="20"/>
          <w:lang w:val="es-ES" w:eastAsia="es-ES"/>
        </w:rPr>
        <w:t>Conforme con lo anterior, en el sub examine ha debido efectuarse un análisis más profundo y siguiendo lo lineado por la Corte Constitucional en la sentencia SU-556 de 2019, verificar la concurrencia de los restantes elementos que posibilitan efectuar una interpretación ponderada del principio de la condición más beneficiosa</w:t>
      </w:r>
      <w:r w:rsidR="00683650">
        <w:rPr>
          <w:rFonts w:ascii="Arial" w:eastAsia="Times New Roman" w:hAnsi="Arial" w:cs="Arial"/>
          <w:sz w:val="20"/>
          <w:szCs w:val="20"/>
          <w:lang w:val="es-ES" w:eastAsia="es-ES"/>
        </w:rPr>
        <w:t>…</w:t>
      </w:r>
    </w:p>
    <w:p w:rsidR="009C3669" w:rsidRDefault="009C3669" w:rsidP="009C3669">
      <w:pPr>
        <w:spacing w:after="0" w:line="240" w:lineRule="auto"/>
        <w:jc w:val="both"/>
        <w:rPr>
          <w:rFonts w:ascii="Arial" w:eastAsia="Times New Roman" w:hAnsi="Arial" w:cs="Arial"/>
          <w:sz w:val="20"/>
          <w:szCs w:val="20"/>
          <w:lang w:val="es-ES" w:eastAsia="es-ES"/>
        </w:rPr>
      </w:pPr>
    </w:p>
    <w:p w:rsidR="009C3669" w:rsidRPr="00D24846" w:rsidRDefault="009C3669" w:rsidP="00D24846">
      <w:pPr>
        <w:spacing w:after="0" w:line="240" w:lineRule="auto"/>
        <w:jc w:val="both"/>
        <w:rPr>
          <w:rFonts w:ascii="Arial" w:eastAsia="Times New Roman" w:hAnsi="Arial" w:cs="Arial"/>
          <w:sz w:val="20"/>
          <w:szCs w:val="20"/>
          <w:lang w:val="es-ES" w:eastAsia="es-ES"/>
        </w:rPr>
      </w:pPr>
    </w:p>
    <w:p w:rsidR="007F7CF3" w:rsidRPr="005C34A4" w:rsidRDefault="007F7CF3" w:rsidP="00D24846">
      <w:pPr>
        <w:pStyle w:val="paragraph"/>
        <w:spacing w:before="0" w:beforeAutospacing="0" w:after="0" w:afterAutospacing="0" w:line="276" w:lineRule="auto"/>
        <w:jc w:val="center"/>
        <w:textAlignment w:val="baseline"/>
        <w:rPr>
          <w:rFonts w:ascii="Arial" w:hAnsi="Arial" w:cs="Arial"/>
          <w:spacing w:val="4"/>
        </w:rPr>
      </w:pPr>
      <w:r w:rsidRPr="005C34A4">
        <w:rPr>
          <w:rStyle w:val="normaltextrun"/>
          <w:rFonts w:ascii="Arial" w:hAnsi="Arial" w:cs="Arial"/>
          <w:b/>
          <w:bCs/>
          <w:spacing w:val="4"/>
        </w:rPr>
        <w:t>TRIBUNAL SUPERIOR DEL DISTRITO JUDICIAL</w:t>
      </w:r>
      <w:r w:rsidRPr="005C34A4">
        <w:rPr>
          <w:rStyle w:val="eop"/>
          <w:rFonts w:ascii="Arial" w:hAnsi="Arial" w:cs="Arial"/>
          <w:spacing w:val="4"/>
        </w:rPr>
        <w:t> </w:t>
      </w:r>
    </w:p>
    <w:p w:rsidR="007F7CF3" w:rsidRPr="005C34A4" w:rsidRDefault="007F7CF3" w:rsidP="00D24846">
      <w:pPr>
        <w:pStyle w:val="paragraph"/>
        <w:spacing w:before="0" w:beforeAutospacing="0" w:after="0" w:afterAutospacing="0" w:line="276" w:lineRule="auto"/>
        <w:jc w:val="center"/>
        <w:textAlignment w:val="baseline"/>
        <w:rPr>
          <w:rFonts w:ascii="Arial" w:hAnsi="Arial" w:cs="Arial"/>
          <w:spacing w:val="4"/>
        </w:rPr>
      </w:pPr>
      <w:r w:rsidRPr="005C34A4">
        <w:rPr>
          <w:rStyle w:val="normaltextrun"/>
          <w:rFonts w:ascii="Arial" w:hAnsi="Arial" w:cs="Arial"/>
          <w:b/>
          <w:bCs/>
          <w:spacing w:val="4"/>
        </w:rPr>
        <w:t>SALA DE DECISIÓN LABORAL N° 3</w:t>
      </w:r>
      <w:r w:rsidRPr="005C34A4">
        <w:rPr>
          <w:rStyle w:val="eop"/>
          <w:rFonts w:ascii="Arial" w:hAnsi="Arial" w:cs="Arial"/>
          <w:spacing w:val="4"/>
        </w:rPr>
        <w:t> </w:t>
      </w:r>
    </w:p>
    <w:p w:rsidR="007F7CF3" w:rsidRPr="005C34A4" w:rsidRDefault="007F7CF3" w:rsidP="00D24846">
      <w:pPr>
        <w:pStyle w:val="paragraph"/>
        <w:spacing w:before="0" w:beforeAutospacing="0" w:after="0" w:afterAutospacing="0" w:line="276" w:lineRule="auto"/>
        <w:jc w:val="center"/>
        <w:textAlignment w:val="baseline"/>
        <w:rPr>
          <w:rStyle w:val="normaltextrun"/>
          <w:rFonts w:ascii="Arial" w:hAnsi="Arial" w:cs="Arial"/>
          <w:b/>
          <w:bCs/>
          <w:spacing w:val="4"/>
        </w:rPr>
      </w:pPr>
      <w:r w:rsidRPr="005C34A4">
        <w:rPr>
          <w:rStyle w:val="normaltextrun"/>
          <w:rFonts w:ascii="Arial" w:hAnsi="Arial" w:cs="Arial"/>
          <w:b/>
          <w:bCs/>
          <w:spacing w:val="4"/>
        </w:rPr>
        <w:lastRenderedPageBreak/>
        <w:t>MAGISTRADO PON</w:t>
      </w:r>
      <w:r w:rsidR="00D24846" w:rsidRPr="005C34A4">
        <w:rPr>
          <w:rStyle w:val="normaltextrun"/>
          <w:rFonts w:ascii="Arial" w:hAnsi="Arial" w:cs="Arial"/>
          <w:b/>
          <w:bCs/>
          <w:spacing w:val="4"/>
        </w:rPr>
        <w:t>ENTE: JULIO CÉSAR SALAZAR MUÑOZ</w:t>
      </w:r>
    </w:p>
    <w:p w:rsidR="00D24846" w:rsidRPr="005C34A4" w:rsidRDefault="00D24846" w:rsidP="00D24846">
      <w:pPr>
        <w:pStyle w:val="paragraph"/>
        <w:spacing w:before="0" w:beforeAutospacing="0" w:after="0" w:afterAutospacing="0" w:line="276" w:lineRule="auto"/>
        <w:jc w:val="center"/>
        <w:textAlignment w:val="baseline"/>
        <w:rPr>
          <w:rFonts w:ascii="Arial" w:hAnsi="Arial" w:cs="Arial"/>
          <w:spacing w:val="4"/>
        </w:rPr>
      </w:pPr>
    </w:p>
    <w:p w:rsidR="007F7CF3" w:rsidRPr="005C34A4" w:rsidRDefault="00D24846" w:rsidP="00D24846">
      <w:pPr>
        <w:pStyle w:val="paragraph"/>
        <w:spacing w:before="0" w:beforeAutospacing="0" w:after="0" w:afterAutospacing="0" w:line="276" w:lineRule="auto"/>
        <w:jc w:val="center"/>
        <w:textAlignment w:val="baseline"/>
        <w:rPr>
          <w:rStyle w:val="eop"/>
          <w:rFonts w:ascii="Arial" w:hAnsi="Arial" w:cs="Arial"/>
          <w:spacing w:val="4"/>
        </w:rPr>
      </w:pPr>
      <w:r w:rsidRPr="005C34A4">
        <w:rPr>
          <w:rStyle w:val="normaltextrun"/>
          <w:rFonts w:ascii="Arial" w:hAnsi="Arial" w:cs="Arial"/>
          <w:bCs/>
          <w:spacing w:val="4"/>
        </w:rPr>
        <w:t>Pereira, 7 de octubre de 2020</w:t>
      </w:r>
      <w:r w:rsidRPr="005C34A4">
        <w:rPr>
          <w:rStyle w:val="eop"/>
          <w:rFonts w:ascii="Arial" w:hAnsi="Arial" w:cs="Arial"/>
          <w:spacing w:val="4"/>
        </w:rPr>
        <w:t> </w:t>
      </w:r>
    </w:p>
    <w:p w:rsidR="00621D79" w:rsidRPr="005C34A4" w:rsidRDefault="00621D79" w:rsidP="00D24846">
      <w:pPr>
        <w:pStyle w:val="paragraph"/>
        <w:spacing w:before="0" w:beforeAutospacing="0" w:after="0" w:afterAutospacing="0" w:line="276" w:lineRule="auto"/>
        <w:jc w:val="center"/>
        <w:textAlignment w:val="baseline"/>
        <w:rPr>
          <w:rStyle w:val="eop"/>
          <w:rFonts w:ascii="Arial" w:hAnsi="Arial" w:cs="Arial"/>
          <w:spacing w:val="4"/>
        </w:rPr>
      </w:pPr>
      <w:r w:rsidRPr="005C34A4">
        <w:rPr>
          <w:rStyle w:val="eop"/>
          <w:rFonts w:ascii="Arial" w:hAnsi="Arial" w:cs="Arial"/>
          <w:spacing w:val="4"/>
        </w:rPr>
        <w:t>Acta de Sala de Discusión No 143 de 5 de octubre de 2020</w:t>
      </w:r>
    </w:p>
    <w:p w:rsidR="00621D79" w:rsidRPr="005C34A4" w:rsidRDefault="00621D79" w:rsidP="00D24846">
      <w:pPr>
        <w:pStyle w:val="paragraph"/>
        <w:spacing w:before="0" w:beforeAutospacing="0" w:after="0" w:afterAutospacing="0" w:line="276" w:lineRule="auto"/>
        <w:textAlignment w:val="baseline"/>
        <w:rPr>
          <w:rFonts w:ascii="Arial" w:hAnsi="Arial" w:cs="Arial"/>
          <w:spacing w:val="4"/>
        </w:rPr>
      </w:pPr>
    </w:p>
    <w:p w:rsidR="007F7CF3" w:rsidRPr="005C34A4" w:rsidRDefault="007F7CF3" w:rsidP="00D24846">
      <w:pPr>
        <w:suppressAutoHyphens/>
        <w:spacing w:after="0" w:line="276" w:lineRule="auto"/>
        <w:jc w:val="both"/>
        <w:rPr>
          <w:rStyle w:val="normaltextrun"/>
          <w:rFonts w:ascii="Arial" w:hAnsi="Arial" w:cs="Arial"/>
          <w:spacing w:val="4"/>
          <w:sz w:val="24"/>
          <w:szCs w:val="24"/>
        </w:rPr>
      </w:pPr>
      <w:r w:rsidRPr="005C34A4">
        <w:rPr>
          <w:rStyle w:val="normaltextrun"/>
          <w:rFonts w:ascii="Arial" w:hAnsi="Arial" w:cs="Arial"/>
          <w:spacing w:val="4"/>
          <w:sz w:val="24"/>
          <w:szCs w:val="24"/>
        </w:rPr>
        <w:t>Se resuelve el recurso de apelación interpuesto por el señor LUIS ALBERTO MARTÍNEZ GONZÁLEZ en contra de la sentencia proferida por el Juzgado Cuarto Laboral del Circuito el 5 de diciembre de 2019, dentro del proceso que le promueve a la ADMINISTRADORA COLOMBIANA DE PENSIONES, cuya radicación corresponde al N° 66001310500420180053101.</w:t>
      </w:r>
    </w:p>
    <w:p w:rsidR="007F7CF3" w:rsidRPr="005C34A4" w:rsidRDefault="007F7CF3" w:rsidP="00D24846">
      <w:pPr>
        <w:suppressAutoHyphens/>
        <w:spacing w:after="0" w:line="276" w:lineRule="auto"/>
        <w:jc w:val="both"/>
        <w:rPr>
          <w:rStyle w:val="normaltextrun"/>
          <w:rFonts w:ascii="Arial" w:hAnsi="Arial" w:cs="Arial"/>
          <w:spacing w:val="4"/>
          <w:sz w:val="24"/>
          <w:szCs w:val="24"/>
        </w:rPr>
      </w:pPr>
    </w:p>
    <w:p w:rsidR="007F7CF3" w:rsidRPr="005C34A4" w:rsidRDefault="000A0EB8"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normaltextrun"/>
          <w:rFonts w:ascii="Arial" w:hAnsi="Arial" w:cs="Arial"/>
          <w:spacing w:val="4"/>
        </w:rPr>
        <w:t>(…)</w:t>
      </w:r>
    </w:p>
    <w:p w:rsidR="007F7CF3" w:rsidRPr="005C34A4" w:rsidRDefault="007F7CF3"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eop"/>
          <w:rFonts w:ascii="Arial" w:hAnsi="Arial" w:cs="Arial"/>
          <w:spacing w:val="4"/>
        </w:rPr>
        <w:t> </w:t>
      </w:r>
    </w:p>
    <w:p w:rsidR="007F7CF3" w:rsidRPr="005C34A4" w:rsidRDefault="007F7CF3" w:rsidP="00D24846">
      <w:pPr>
        <w:pStyle w:val="paragraph"/>
        <w:spacing w:before="0" w:beforeAutospacing="0" w:after="0" w:afterAutospacing="0" w:line="276" w:lineRule="auto"/>
        <w:jc w:val="center"/>
        <w:textAlignment w:val="baseline"/>
        <w:rPr>
          <w:rFonts w:ascii="Arial" w:hAnsi="Arial" w:cs="Arial"/>
          <w:spacing w:val="4"/>
        </w:rPr>
      </w:pPr>
      <w:r w:rsidRPr="005C34A4">
        <w:rPr>
          <w:rStyle w:val="normaltextrun"/>
          <w:rFonts w:ascii="Arial" w:hAnsi="Arial" w:cs="Arial"/>
          <w:b/>
          <w:bCs/>
          <w:spacing w:val="4"/>
        </w:rPr>
        <w:t>ANTECEDENTES</w:t>
      </w:r>
    </w:p>
    <w:p w:rsidR="007F7CF3" w:rsidRPr="005C34A4" w:rsidRDefault="007F7CF3" w:rsidP="00D24846">
      <w:pPr>
        <w:pStyle w:val="paragraph"/>
        <w:spacing w:before="0" w:beforeAutospacing="0" w:after="0" w:afterAutospacing="0" w:line="276" w:lineRule="auto"/>
        <w:jc w:val="center"/>
        <w:textAlignment w:val="baseline"/>
        <w:rPr>
          <w:rFonts w:ascii="Arial" w:hAnsi="Arial" w:cs="Arial"/>
          <w:spacing w:val="4"/>
        </w:rPr>
      </w:pPr>
      <w:r w:rsidRPr="005C34A4">
        <w:rPr>
          <w:rStyle w:val="eop"/>
          <w:rFonts w:ascii="Arial" w:hAnsi="Arial" w:cs="Arial"/>
          <w:spacing w:val="4"/>
        </w:rPr>
        <w:t> </w:t>
      </w:r>
    </w:p>
    <w:p w:rsidR="007F7CF3" w:rsidRPr="005C34A4" w:rsidRDefault="007F7CF3" w:rsidP="00D24846">
      <w:pPr>
        <w:pStyle w:val="paragraph"/>
        <w:spacing w:before="0" w:beforeAutospacing="0" w:after="0" w:afterAutospacing="0" w:line="276" w:lineRule="auto"/>
        <w:jc w:val="both"/>
        <w:textAlignment w:val="baseline"/>
        <w:rPr>
          <w:rStyle w:val="normaltextrun"/>
          <w:rFonts w:ascii="Arial" w:hAnsi="Arial" w:cs="Arial"/>
          <w:spacing w:val="4"/>
        </w:rPr>
      </w:pPr>
      <w:r w:rsidRPr="005C34A4">
        <w:rPr>
          <w:rStyle w:val="normaltextrun"/>
          <w:rFonts w:ascii="Arial" w:hAnsi="Arial" w:cs="Arial"/>
          <w:spacing w:val="4"/>
        </w:rPr>
        <w:t>Pretende el señor Luis Alberto Martínez González que la justicia laboral declare que su cónyuge fallecida Gladys Losada López tenía derecho en vida a que se le reconociera la pensión de invalidez a partir del 21 de noviembre de 2016 y con base en ello aspira que se declare que con su deceso dejó causada a su favor la pensión de sobrevivientes a partir del 3 de enero de 2017.</w:t>
      </w:r>
    </w:p>
    <w:p w:rsidR="007F7CF3" w:rsidRPr="005C34A4" w:rsidRDefault="007F7CF3" w:rsidP="00D24846">
      <w:pPr>
        <w:pStyle w:val="paragraph"/>
        <w:spacing w:before="0" w:beforeAutospacing="0" w:after="0" w:afterAutospacing="0" w:line="276" w:lineRule="auto"/>
        <w:jc w:val="both"/>
        <w:textAlignment w:val="baseline"/>
        <w:rPr>
          <w:rStyle w:val="normaltextrun"/>
          <w:rFonts w:ascii="Arial" w:hAnsi="Arial" w:cs="Arial"/>
          <w:spacing w:val="4"/>
        </w:rPr>
      </w:pPr>
    </w:p>
    <w:p w:rsidR="007F7CF3" w:rsidRPr="005C34A4" w:rsidRDefault="007F7CF3" w:rsidP="00D24846">
      <w:pPr>
        <w:pStyle w:val="paragraph"/>
        <w:spacing w:before="0" w:beforeAutospacing="0" w:after="0" w:afterAutospacing="0" w:line="276" w:lineRule="auto"/>
        <w:jc w:val="both"/>
        <w:textAlignment w:val="baseline"/>
        <w:rPr>
          <w:rStyle w:val="normaltextrun"/>
          <w:rFonts w:ascii="Arial" w:hAnsi="Arial" w:cs="Arial"/>
          <w:spacing w:val="4"/>
        </w:rPr>
      </w:pPr>
      <w:r w:rsidRPr="005C34A4">
        <w:rPr>
          <w:rStyle w:val="normaltextrun"/>
          <w:rFonts w:ascii="Arial" w:hAnsi="Arial" w:cs="Arial"/>
          <w:spacing w:val="4"/>
        </w:rPr>
        <w:t xml:space="preserve">Conforme con esas declaraciones, aspira que se condene a la Administradora Colombiana de Pensiones a reconocer y pagar la pensión de sobrevivientes a partir del 3 de enero de 2017, los intereses moratorios del artículo 141 de la Ley 100 de 1993, </w:t>
      </w:r>
      <w:r w:rsidR="00592C65" w:rsidRPr="005C34A4">
        <w:rPr>
          <w:rStyle w:val="normaltextrun"/>
          <w:rFonts w:ascii="Arial" w:hAnsi="Arial" w:cs="Arial"/>
          <w:spacing w:val="4"/>
        </w:rPr>
        <w:t xml:space="preserve">lo que resulte probado extra y ultra </w:t>
      </w:r>
      <w:proofErr w:type="spellStart"/>
      <w:r w:rsidR="00592C65" w:rsidRPr="005C34A4">
        <w:rPr>
          <w:rStyle w:val="normaltextrun"/>
          <w:rFonts w:ascii="Arial" w:hAnsi="Arial" w:cs="Arial"/>
          <w:spacing w:val="4"/>
        </w:rPr>
        <w:t>petita</w:t>
      </w:r>
      <w:proofErr w:type="spellEnd"/>
      <w:r w:rsidR="00592C65" w:rsidRPr="005C34A4">
        <w:rPr>
          <w:rStyle w:val="normaltextrun"/>
          <w:rFonts w:ascii="Arial" w:hAnsi="Arial" w:cs="Arial"/>
          <w:spacing w:val="4"/>
        </w:rPr>
        <w:t xml:space="preserve"> y las costas procesales a su favor.</w:t>
      </w:r>
    </w:p>
    <w:p w:rsidR="00592C65" w:rsidRPr="005C34A4" w:rsidRDefault="00592C65" w:rsidP="00D24846">
      <w:pPr>
        <w:pStyle w:val="paragraph"/>
        <w:spacing w:before="0" w:beforeAutospacing="0" w:after="0" w:afterAutospacing="0" w:line="276" w:lineRule="auto"/>
        <w:jc w:val="both"/>
        <w:textAlignment w:val="baseline"/>
        <w:rPr>
          <w:rStyle w:val="normaltextrun"/>
          <w:rFonts w:ascii="Arial" w:hAnsi="Arial" w:cs="Arial"/>
          <w:spacing w:val="4"/>
        </w:rPr>
      </w:pPr>
    </w:p>
    <w:p w:rsidR="00592C65" w:rsidRPr="005C34A4" w:rsidRDefault="00592C65" w:rsidP="00D24846">
      <w:pPr>
        <w:pStyle w:val="paragraph"/>
        <w:spacing w:before="0" w:beforeAutospacing="0" w:after="0" w:afterAutospacing="0" w:line="276" w:lineRule="auto"/>
        <w:jc w:val="both"/>
        <w:textAlignment w:val="baseline"/>
        <w:rPr>
          <w:rStyle w:val="normaltextrun"/>
          <w:rFonts w:ascii="Arial" w:hAnsi="Arial" w:cs="Arial"/>
          <w:spacing w:val="4"/>
        </w:rPr>
      </w:pPr>
      <w:r w:rsidRPr="005C34A4">
        <w:rPr>
          <w:rStyle w:val="normaltextrun"/>
          <w:rFonts w:ascii="Arial" w:hAnsi="Arial" w:cs="Arial"/>
          <w:spacing w:val="4"/>
        </w:rPr>
        <w:t>Refiere que: su cónyuge Gladys Losada López cotizó al sistema general de pensiones un total de 357,43 semanas entre el 24 de agosto de 1981 y el 31 de agosto de 1988; mediante concepto médico de rehabilitación y pronóstico emitido por la Nueva EPS el 27 de septiembre de 2016, se determinó que su diagnóstico de recuperación era desfavorable; en dictamen N° 2016193358AB de 10 de diciembre de 2016, el departamento de medicina laboral de la entidad accionada estableció que ella tenía una pérdida de la capacidad laboral del 51.7% de origen común y estructurada el 21 de noviembre de 2016; el 3 de enero de 2017 falleció.</w:t>
      </w:r>
    </w:p>
    <w:p w:rsidR="00592C65" w:rsidRPr="005C34A4" w:rsidRDefault="00592C65" w:rsidP="00D24846">
      <w:pPr>
        <w:pStyle w:val="paragraph"/>
        <w:spacing w:before="0" w:beforeAutospacing="0" w:after="0" w:afterAutospacing="0" w:line="276" w:lineRule="auto"/>
        <w:jc w:val="both"/>
        <w:textAlignment w:val="baseline"/>
        <w:rPr>
          <w:rStyle w:val="normaltextrun"/>
          <w:rFonts w:ascii="Arial" w:hAnsi="Arial" w:cs="Arial"/>
          <w:spacing w:val="4"/>
        </w:rPr>
      </w:pPr>
    </w:p>
    <w:p w:rsidR="00592C65" w:rsidRPr="005C34A4" w:rsidRDefault="00592C65" w:rsidP="00D24846">
      <w:pPr>
        <w:pStyle w:val="paragraph"/>
        <w:spacing w:before="0" w:beforeAutospacing="0" w:after="0" w:afterAutospacing="0" w:line="276" w:lineRule="auto"/>
        <w:jc w:val="both"/>
        <w:textAlignment w:val="baseline"/>
        <w:rPr>
          <w:rStyle w:val="normaltextrun"/>
          <w:rFonts w:ascii="Arial" w:hAnsi="Arial" w:cs="Arial"/>
          <w:spacing w:val="4"/>
        </w:rPr>
      </w:pPr>
      <w:r w:rsidRPr="005C34A4">
        <w:rPr>
          <w:rStyle w:val="normaltextrun"/>
          <w:rFonts w:ascii="Arial" w:hAnsi="Arial" w:cs="Arial"/>
          <w:spacing w:val="4"/>
        </w:rPr>
        <w:t>Informa que contrajo matrimonio con ella el 1° de octubre de 1988, momento a partir del cual convivieron de manera continua e ininterrumpida hasta la fecha de su deceso; el 6 de julio de 2017 elevó solicitud de reconocimiento de la pensión de sobrevivientes y por medio de la resolución N° SUB153993 de 12 de agosto de 2017, la Administradora Colombiana de Pensiones negó la petición, aduciendo que su cónyuge no había dejada causada la pensión de sobrevivientes a favor de sus beneficiarios, decisión que fue confirmada en la resolución N° SUB202712 de 22 de septiembre de 2017.</w:t>
      </w:r>
    </w:p>
    <w:p w:rsidR="00592C65" w:rsidRPr="005C34A4" w:rsidRDefault="00592C65" w:rsidP="00D24846">
      <w:pPr>
        <w:pStyle w:val="paragraph"/>
        <w:spacing w:before="0" w:beforeAutospacing="0" w:after="0" w:afterAutospacing="0" w:line="276" w:lineRule="auto"/>
        <w:jc w:val="both"/>
        <w:textAlignment w:val="baseline"/>
        <w:rPr>
          <w:rStyle w:val="normaltextrun"/>
          <w:rFonts w:ascii="Arial" w:hAnsi="Arial" w:cs="Arial"/>
          <w:spacing w:val="4"/>
        </w:rPr>
      </w:pPr>
    </w:p>
    <w:p w:rsidR="00592C65" w:rsidRPr="005C34A4" w:rsidRDefault="00592C65" w:rsidP="00D24846">
      <w:pPr>
        <w:pStyle w:val="paragraph"/>
        <w:spacing w:before="0" w:beforeAutospacing="0" w:after="0" w:afterAutospacing="0" w:line="276" w:lineRule="auto"/>
        <w:jc w:val="both"/>
        <w:textAlignment w:val="baseline"/>
        <w:rPr>
          <w:rStyle w:val="normaltextrun"/>
          <w:rFonts w:ascii="Arial" w:hAnsi="Arial" w:cs="Arial"/>
          <w:spacing w:val="4"/>
        </w:rPr>
      </w:pPr>
      <w:r w:rsidRPr="005C34A4">
        <w:rPr>
          <w:rStyle w:val="normaltextrun"/>
          <w:rFonts w:ascii="Arial" w:hAnsi="Arial" w:cs="Arial"/>
          <w:spacing w:val="4"/>
        </w:rPr>
        <w:t>Al contestar la demanda -</w:t>
      </w:r>
      <w:proofErr w:type="spellStart"/>
      <w:r w:rsidRPr="005C34A4">
        <w:rPr>
          <w:rStyle w:val="normaltextrun"/>
          <w:rFonts w:ascii="Arial" w:hAnsi="Arial" w:cs="Arial"/>
          <w:spacing w:val="4"/>
        </w:rPr>
        <w:t>fls</w:t>
      </w:r>
      <w:proofErr w:type="spellEnd"/>
      <w:r w:rsidRPr="005C34A4">
        <w:rPr>
          <w:rStyle w:val="normaltextrun"/>
          <w:rFonts w:ascii="Arial" w:hAnsi="Arial" w:cs="Arial"/>
          <w:spacing w:val="4"/>
        </w:rPr>
        <w:t>.</w:t>
      </w:r>
      <w:r w:rsidR="000A0EB8" w:rsidRPr="005C34A4">
        <w:rPr>
          <w:rStyle w:val="normaltextrun"/>
          <w:rFonts w:ascii="Arial" w:hAnsi="Arial" w:cs="Arial"/>
          <w:spacing w:val="4"/>
        </w:rPr>
        <w:t xml:space="preserve"> </w:t>
      </w:r>
      <w:r w:rsidRPr="005C34A4">
        <w:rPr>
          <w:rStyle w:val="normaltextrun"/>
          <w:rFonts w:ascii="Arial" w:hAnsi="Arial" w:cs="Arial"/>
          <w:spacing w:val="4"/>
        </w:rPr>
        <w:t xml:space="preserve">83 a 91- la Administradora Colombiana de Pensiones se opuso a la prosperidad de las pretensiones, argumentando que la </w:t>
      </w:r>
      <w:r w:rsidRPr="005C34A4">
        <w:rPr>
          <w:rStyle w:val="normaltextrun"/>
          <w:rFonts w:ascii="Arial" w:hAnsi="Arial" w:cs="Arial"/>
          <w:spacing w:val="4"/>
        </w:rPr>
        <w:lastRenderedPageBreak/>
        <w:t xml:space="preserve">señora Gladys Losada López no causó en vida la pensión de invalidez y por consiguiente no </w:t>
      </w:r>
      <w:r w:rsidR="5EF38BF6" w:rsidRPr="005C34A4">
        <w:rPr>
          <w:rStyle w:val="normaltextrun"/>
          <w:rFonts w:ascii="Arial" w:hAnsi="Arial" w:cs="Arial"/>
          <w:spacing w:val="4"/>
        </w:rPr>
        <w:t>puede reconocer a</w:t>
      </w:r>
      <w:r w:rsidRPr="005C34A4">
        <w:rPr>
          <w:rStyle w:val="normaltextrun"/>
          <w:rFonts w:ascii="Arial" w:hAnsi="Arial" w:cs="Arial"/>
          <w:spacing w:val="4"/>
        </w:rPr>
        <w:t xml:space="preserve"> sus beneficiarios la pensión de sobrevivientes. Formuló las excepciones de </w:t>
      </w:r>
      <w:r w:rsidR="00F67401" w:rsidRPr="005C34A4">
        <w:rPr>
          <w:rStyle w:val="normaltextrun"/>
          <w:rFonts w:ascii="Arial" w:hAnsi="Arial" w:cs="Arial"/>
          <w:spacing w:val="4"/>
        </w:rPr>
        <w:t>“Inexistencia de la obligación y cobro de lo no debido”, “Imposibilidad jurídica para reconocer y pagar derechos por fuera del ordenamiento legal”, “Buena fe”, “Imposibilidad de condena en costas”, “Improcedencia de los intereses moratorios por el no pago de mesadas pensionales”, “Prescripción” y “Genérica”.</w:t>
      </w:r>
    </w:p>
    <w:p w:rsidR="00F67401" w:rsidRPr="005C34A4" w:rsidRDefault="00F67401" w:rsidP="00D24846">
      <w:pPr>
        <w:pStyle w:val="paragraph"/>
        <w:spacing w:before="0" w:beforeAutospacing="0" w:after="0" w:afterAutospacing="0" w:line="276" w:lineRule="auto"/>
        <w:jc w:val="both"/>
        <w:textAlignment w:val="baseline"/>
        <w:rPr>
          <w:rStyle w:val="normaltextrun"/>
          <w:rFonts w:ascii="Arial" w:hAnsi="Arial" w:cs="Arial"/>
          <w:spacing w:val="4"/>
        </w:rPr>
      </w:pPr>
    </w:p>
    <w:p w:rsidR="00F67401" w:rsidRPr="005C34A4" w:rsidRDefault="00F67401" w:rsidP="00D24846">
      <w:pPr>
        <w:pStyle w:val="paragraph"/>
        <w:spacing w:before="0" w:beforeAutospacing="0" w:after="0" w:afterAutospacing="0" w:line="276" w:lineRule="auto"/>
        <w:jc w:val="both"/>
        <w:textAlignment w:val="baseline"/>
        <w:rPr>
          <w:rStyle w:val="normaltextrun"/>
          <w:rFonts w:ascii="Arial" w:hAnsi="Arial" w:cs="Arial"/>
          <w:spacing w:val="4"/>
        </w:rPr>
      </w:pPr>
      <w:r w:rsidRPr="005C34A4">
        <w:rPr>
          <w:rStyle w:val="normaltextrun"/>
          <w:rFonts w:ascii="Arial" w:hAnsi="Arial" w:cs="Arial"/>
          <w:spacing w:val="4"/>
        </w:rPr>
        <w:t>En sentencia de 5 de diciembre de 2019, la funcionaria de primer grado determinó que al haberse estructurado la invalidez de la señora Gladys Losada López el 21 de noviembre de 2016, la normatividad aplicable para establecer si tiene derecho a la pensión es la establecida en la Ley 860 de 2003, la cual exige tener cotizaciones dentro de los tres años anteriores a la invalidez correspondientes a 50 semanas, con las cuales no cumplió la afiliada fallecida, sin que sea dable aplicar la Ley 100 de 1993 en su estado original, por cuanto de acuerdo con la jurisprudencia de la Sala de Casación Laboral, al no haberse presentado el siniestro dentro de los tres años siguientes a la vigencia de la ley 860 de 2003, no es posible hacer uso de la condición más beneficiosa.</w:t>
      </w:r>
    </w:p>
    <w:p w:rsidR="00F67401" w:rsidRPr="005C34A4" w:rsidRDefault="00F67401" w:rsidP="00D24846">
      <w:pPr>
        <w:pStyle w:val="paragraph"/>
        <w:spacing w:before="0" w:beforeAutospacing="0" w:after="0" w:afterAutospacing="0" w:line="276" w:lineRule="auto"/>
        <w:jc w:val="both"/>
        <w:textAlignment w:val="baseline"/>
        <w:rPr>
          <w:rStyle w:val="normaltextrun"/>
          <w:rFonts w:ascii="Arial" w:hAnsi="Arial" w:cs="Arial"/>
          <w:spacing w:val="4"/>
        </w:rPr>
      </w:pPr>
    </w:p>
    <w:p w:rsidR="00F67401" w:rsidRPr="005C34A4" w:rsidRDefault="00F67401" w:rsidP="00D24846">
      <w:pPr>
        <w:pStyle w:val="paragraph"/>
        <w:spacing w:before="0" w:beforeAutospacing="0" w:after="0" w:afterAutospacing="0" w:line="276" w:lineRule="auto"/>
        <w:jc w:val="both"/>
        <w:textAlignment w:val="baseline"/>
        <w:rPr>
          <w:rStyle w:val="normaltextrun"/>
          <w:rFonts w:ascii="Arial" w:hAnsi="Arial" w:cs="Arial"/>
          <w:spacing w:val="4"/>
        </w:rPr>
      </w:pPr>
      <w:r w:rsidRPr="005C34A4">
        <w:rPr>
          <w:rStyle w:val="normaltextrun"/>
          <w:rFonts w:ascii="Arial" w:hAnsi="Arial" w:cs="Arial"/>
          <w:spacing w:val="4"/>
        </w:rPr>
        <w:t>Por las razones expuestas negó la totalidad de las pretensiones de la demanda y condenó en costas procesales a la parte actora a favor de Colpensiones.</w:t>
      </w:r>
    </w:p>
    <w:p w:rsidR="00F67401" w:rsidRPr="005C34A4" w:rsidRDefault="00F67401" w:rsidP="00D24846">
      <w:pPr>
        <w:pStyle w:val="paragraph"/>
        <w:spacing w:before="0" w:beforeAutospacing="0" w:after="0" w:afterAutospacing="0" w:line="276" w:lineRule="auto"/>
        <w:jc w:val="both"/>
        <w:textAlignment w:val="baseline"/>
        <w:rPr>
          <w:rStyle w:val="normaltextrun"/>
          <w:rFonts w:ascii="Arial" w:hAnsi="Arial" w:cs="Arial"/>
          <w:spacing w:val="4"/>
        </w:rPr>
      </w:pPr>
    </w:p>
    <w:p w:rsidR="006B6309" w:rsidRPr="005C34A4" w:rsidRDefault="00F67401" w:rsidP="00D24846">
      <w:pPr>
        <w:pStyle w:val="paragraph"/>
        <w:spacing w:before="0" w:beforeAutospacing="0" w:after="0" w:afterAutospacing="0" w:line="276" w:lineRule="auto"/>
        <w:jc w:val="both"/>
        <w:textAlignment w:val="baseline"/>
        <w:rPr>
          <w:rStyle w:val="normaltextrun"/>
          <w:rFonts w:ascii="Arial" w:hAnsi="Arial" w:cs="Arial"/>
          <w:spacing w:val="4"/>
        </w:rPr>
      </w:pPr>
      <w:r w:rsidRPr="005C34A4">
        <w:rPr>
          <w:rStyle w:val="normaltextrun"/>
          <w:rFonts w:ascii="Arial" w:hAnsi="Arial" w:cs="Arial"/>
          <w:spacing w:val="4"/>
        </w:rPr>
        <w:t xml:space="preserve">Inconforme con la decisión, el apoderado judicial de la parte actora interpuso recurso de apelación argumentando </w:t>
      </w:r>
      <w:r w:rsidR="00915A6F" w:rsidRPr="005C34A4">
        <w:rPr>
          <w:rStyle w:val="normaltextrun"/>
          <w:rFonts w:ascii="Arial" w:hAnsi="Arial" w:cs="Arial"/>
          <w:spacing w:val="4"/>
        </w:rPr>
        <w:t xml:space="preserve">que la señora </w:t>
      </w:r>
      <w:r w:rsidR="009A3374" w:rsidRPr="005C34A4">
        <w:rPr>
          <w:rStyle w:val="normaltextrun"/>
          <w:rFonts w:ascii="Arial" w:hAnsi="Arial" w:cs="Arial"/>
          <w:spacing w:val="4"/>
        </w:rPr>
        <w:t xml:space="preserve">Gladys Losada López, quien fue calificada en vida con una pérdida de la capacidad laboral del 51.7% de origen común y estructurada el 21 de noviembre de 2016, también cumplió con </w:t>
      </w:r>
      <w:r w:rsidR="006B6309" w:rsidRPr="005C34A4">
        <w:rPr>
          <w:rStyle w:val="normaltextrun"/>
          <w:rFonts w:ascii="Arial" w:hAnsi="Arial" w:cs="Arial"/>
          <w:spacing w:val="4"/>
        </w:rPr>
        <w:t>la densidad de semanas exigidas en este tipo de eventos, pues bajo el amparo del Acuerdo 049 de 1990</w:t>
      </w:r>
      <w:r w:rsidR="008A1264" w:rsidRPr="005C34A4">
        <w:rPr>
          <w:rStyle w:val="normaltextrun"/>
          <w:rFonts w:ascii="Arial" w:hAnsi="Arial" w:cs="Arial"/>
          <w:spacing w:val="4"/>
        </w:rPr>
        <w:t xml:space="preserve"> cotizó un total de 357,43 semanas; por lo que siendo así y de acuerdo con la jurisprudencia de la Corte Constitucional</w:t>
      </w:r>
      <w:r w:rsidR="002F073A" w:rsidRPr="005C34A4">
        <w:rPr>
          <w:rStyle w:val="normaltextrun"/>
          <w:rFonts w:ascii="Arial" w:hAnsi="Arial" w:cs="Arial"/>
          <w:spacing w:val="4"/>
        </w:rPr>
        <w:t>, resulta viable aplicar esta normatividad bajo el principio de la condición más beneficiosa.</w:t>
      </w:r>
    </w:p>
    <w:p w:rsidR="002F073A" w:rsidRPr="005C34A4" w:rsidRDefault="002F073A" w:rsidP="00D24846">
      <w:pPr>
        <w:pStyle w:val="paragraph"/>
        <w:spacing w:before="0" w:beforeAutospacing="0" w:after="0" w:afterAutospacing="0" w:line="276" w:lineRule="auto"/>
        <w:jc w:val="both"/>
        <w:textAlignment w:val="baseline"/>
        <w:rPr>
          <w:rStyle w:val="normaltextrun"/>
          <w:rFonts w:ascii="Arial" w:hAnsi="Arial" w:cs="Arial"/>
          <w:spacing w:val="4"/>
        </w:rPr>
      </w:pPr>
    </w:p>
    <w:p w:rsidR="002F073A" w:rsidRPr="005C34A4" w:rsidRDefault="002F073A" w:rsidP="00D24846">
      <w:pPr>
        <w:pStyle w:val="paragraph"/>
        <w:spacing w:before="0" w:beforeAutospacing="0" w:after="0" w:afterAutospacing="0" w:line="276" w:lineRule="auto"/>
        <w:jc w:val="both"/>
        <w:textAlignment w:val="baseline"/>
        <w:rPr>
          <w:rStyle w:val="normaltextrun"/>
          <w:rFonts w:ascii="Arial" w:hAnsi="Arial" w:cs="Arial"/>
          <w:spacing w:val="4"/>
        </w:rPr>
      </w:pPr>
      <w:r w:rsidRPr="005C34A4">
        <w:rPr>
          <w:rStyle w:val="normaltextrun"/>
          <w:rFonts w:ascii="Arial" w:hAnsi="Arial" w:cs="Arial"/>
          <w:spacing w:val="4"/>
        </w:rPr>
        <w:t xml:space="preserve">De esta manera, al </w:t>
      </w:r>
      <w:r w:rsidR="00B334CD" w:rsidRPr="005C34A4">
        <w:rPr>
          <w:rStyle w:val="normaltextrun"/>
          <w:rFonts w:ascii="Arial" w:hAnsi="Arial" w:cs="Arial"/>
          <w:spacing w:val="4"/>
        </w:rPr>
        <w:t xml:space="preserve">tener el </w:t>
      </w:r>
      <w:r w:rsidR="00790D80" w:rsidRPr="005C34A4">
        <w:rPr>
          <w:rStyle w:val="normaltextrun"/>
          <w:rFonts w:ascii="Arial" w:hAnsi="Arial" w:cs="Arial"/>
          <w:spacing w:val="4"/>
        </w:rPr>
        <w:t>estatus</w:t>
      </w:r>
      <w:r w:rsidR="00B334CD" w:rsidRPr="005C34A4">
        <w:rPr>
          <w:rStyle w:val="normaltextrun"/>
          <w:rFonts w:ascii="Arial" w:hAnsi="Arial" w:cs="Arial"/>
          <w:spacing w:val="4"/>
        </w:rPr>
        <w:t xml:space="preserve"> de pensionada para la fecha de su deceso ocurrido el 3 de enero de 2017, la señora Gladys Losada López dejó causada a favor de sus beneficiarios la pensión de sobrevivientes, quedando demostrado en el proceso el requisito de convivencia entre ella y el señor Luis </w:t>
      </w:r>
      <w:r w:rsidR="00142CE9" w:rsidRPr="005C34A4">
        <w:rPr>
          <w:rStyle w:val="normaltextrun"/>
          <w:rFonts w:ascii="Arial" w:hAnsi="Arial" w:cs="Arial"/>
          <w:spacing w:val="4"/>
        </w:rPr>
        <w:t>Alberto Martínez González.</w:t>
      </w:r>
    </w:p>
    <w:p w:rsidR="00142CE9" w:rsidRPr="005C34A4" w:rsidRDefault="00142CE9" w:rsidP="00D24846">
      <w:pPr>
        <w:pStyle w:val="paragraph"/>
        <w:spacing w:before="0" w:beforeAutospacing="0" w:after="0" w:afterAutospacing="0" w:line="276" w:lineRule="auto"/>
        <w:jc w:val="both"/>
        <w:textAlignment w:val="baseline"/>
        <w:rPr>
          <w:rStyle w:val="normaltextrun"/>
          <w:rFonts w:ascii="Arial" w:hAnsi="Arial" w:cs="Arial"/>
          <w:spacing w:val="4"/>
        </w:rPr>
      </w:pPr>
    </w:p>
    <w:p w:rsidR="00142CE9" w:rsidRPr="005C34A4" w:rsidRDefault="00142CE9" w:rsidP="00D24846">
      <w:pPr>
        <w:pStyle w:val="paragraph"/>
        <w:spacing w:before="0" w:beforeAutospacing="0" w:after="0" w:afterAutospacing="0" w:line="276" w:lineRule="auto"/>
        <w:jc w:val="both"/>
        <w:textAlignment w:val="baseline"/>
        <w:rPr>
          <w:rStyle w:val="normaltextrun"/>
          <w:rFonts w:ascii="Arial" w:hAnsi="Arial" w:cs="Arial"/>
          <w:spacing w:val="4"/>
        </w:rPr>
      </w:pPr>
      <w:r w:rsidRPr="005C34A4">
        <w:rPr>
          <w:rStyle w:val="normaltextrun"/>
          <w:rFonts w:ascii="Arial" w:hAnsi="Arial" w:cs="Arial"/>
          <w:spacing w:val="4"/>
        </w:rPr>
        <w:t xml:space="preserve">Con base en lo expuesto, solicita que se revoque la decisión de la </w:t>
      </w:r>
      <w:r w:rsidRPr="005C34A4">
        <w:rPr>
          <w:rStyle w:val="normaltextrun"/>
          <w:rFonts w:ascii="Arial" w:hAnsi="Arial" w:cs="Arial"/>
          <w:i/>
          <w:iCs/>
          <w:spacing w:val="4"/>
        </w:rPr>
        <w:t>a quo</w:t>
      </w:r>
      <w:r w:rsidRPr="005C34A4">
        <w:rPr>
          <w:rStyle w:val="normaltextrun"/>
          <w:rFonts w:ascii="Arial" w:hAnsi="Arial" w:cs="Arial"/>
          <w:spacing w:val="4"/>
        </w:rPr>
        <w:t xml:space="preserve"> y en consecuencia se acceda a las pretensiones de la demanda.</w:t>
      </w:r>
    </w:p>
    <w:p w:rsidR="007F7CF3" w:rsidRPr="005C34A4" w:rsidRDefault="007F7CF3" w:rsidP="00D24846">
      <w:pPr>
        <w:pStyle w:val="paragraph"/>
        <w:spacing w:before="0" w:beforeAutospacing="0" w:after="0" w:afterAutospacing="0" w:line="276" w:lineRule="auto"/>
        <w:jc w:val="both"/>
        <w:textAlignment w:val="baseline"/>
        <w:rPr>
          <w:rStyle w:val="eop"/>
          <w:rFonts w:ascii="Arial" w:hAnsi="Arial" w:cs="Arial"/>
          <w:spacing w:val="4"/>
        </w:rPr>
      </w:pPr>
    </w:p>
    <w:p w:rsidR="007F7CF3" w:rsidRPr="005C34A4" w:rsidRDefault="007F7CF3" w:rsidP="00D24846">
      <w:pPr>
        <w:spacing w:after="0" w:line="276" w:lineRule="auto"/>
        <w:jc w:val="center"/>
        <w:textAlignment w:val="baseline"/>
        <w:rPr>
          <w:rFonts w:ascii="Arial" w:eastAsia="Times New Roman" w:hAnsi="Arial" w:cs="Arial"/>
          <w:spacing w:val="4"/>
          <w:sz w:val="24"/>
          <w:szCs w:val="24"/>
          <w:lang w:eastAsia="es-CO"/>
        </w:rPr>
      </w:pPr>
      <w:r w:rsidRPr="005C34A4">
        <w:rPr>
          <w:rFonts w:ascii="Arial" w:eastAsia="Times New Roman" w:hAnsi="Arial" w:cs="Arial"/>
          <w:b/>
          <w:bCs/>
          <w:spacing w:val="4"/>
          <w:sz w:val="24"/>
          <w:szCs w:val="24"/>
          <w:lang w:eastAsia="es-CO"/>
        </w:rPr>
        <w:t>ALEGATOS DE CONCLUSIÓN</w:t>
      </w:r>
      <w:r w:rsidRPr="005C34A4">
        <w:rPr>
          <w:rFonts w:ascii="Arial" w:eastAsia="Times New Roman" w:hAnsi="Arial" w:cs="Arial"/>
          <w:spacing w:val="4"/>
          <w:sz w:val="24"/>
          <w:szCs w:val="24"/>
          <w:lang w:eastAsia="es-CO"/>
        </w:rPr>
        <w:t> </w:t>
      </w:r>
    </w:p>
    <w:p w:rsidR="007F7CF3" w:rsidRPr="005C34A4" w:rsidRDefault="007F7CF3" w:rsidP="00D24846">
      <w:pPr>
        <w:spacing w:after="0" w:line="276" w:lineRule="auto"/>
        <w:jc w:val="center"/>
        <w:textAlignment w:val="baseline"/>
        <w:rPr>
          <w:rFonts w:ascii="Arial" w:eastAsia="Times New Roman" w:hAnsi="Arial" w:cs="Arial"/>
          <w:spacing w:val="4"/>
          <w:sz w:val="24"/>
          <w:szCs w:val="24"/>
          <w:lang w:eastAsia="es-CO"/>
        </w:rPr>
      </w:pPr>
      <w:r w:rsidRPr="005C34A4">
        <w:rPr>
          <w:rFonts w:ascii="Arial" w:eastAsia="Times New Roman" w:hAnsi="Arial" w:cs="Arial"/>
          <w:spacing w:val="4"/>
          <w:sz w:val="24"/>
          <w:szCs w:val="24"/>
          <w:lang w:eastAsia="es-CO"/>
        </w:rPr>
        <w:t> </w:t>
      </w:r>
    </w:p>
    <w:p w:rsidR="007F7CF3" w:rsidRPr="005C34A4" w:rsidRDefault="007F7CF3" w:rsidP="00D24846">
      <w:pPr>
        <w:spacing w:after="0" w:line="276" w:lineRule="auto"/>
        <w:jc w:val="both"/>
        <w:textAlignment w:val="baseline"/>
        <w:rPr>
          <w:rFonts w:ascii="Arial" w:eastAsia="Times New Roman" w:hAnsi="Arial" w:cs="Arial"/>
          <w:spacing w:val="4"/>
          <w:sz w:val="24"/>
          <w:szCs w:val="24"/>
          <w:lang w:eastAsia="es-CO"/>
        </w:rPr>
      </w:pPr>
      <w:r w:rsidRPr="005C34A4">
        <w:rPr>
          <w:rFonts w:ascii="Arial" w:eastAsia="Times New Roman" w:hAnsi="Arial" w:cs="Arial"/>
          <w:spacing w:val="4"/>
          <w:sz w:val="24"/>
          <w:szCs w:val="24"/>
          <w:lang w:eastAsia="es-CO"/>
        </w:rPr>
        <w:t>Conforme se dejó plasmado en la constancia emitida por la Secretaría de la Corporación, las partes hicieron uso del derecho a presentar alegatos de conclusión en término</w:t>
      </w:r>
    </w:p>
    <w:p w:rsidR="007F7CF3" w:rsidRPr="005C34A4" w:rsidRDefault="007F7CF3" w:rsidP="00D24846">
      <w:pPr>
        <w:spacing w:after="0" w:line="276" w:lineRule="auto"/>
        <w:jc w:val="both"/>
        <w:textAlignment w:val="baseline"/>
        <w:rPr>
          <w:rFonts w:ascii="Arial" w:eastAsia="Times New Roman" w:hAnsi="Arial" w:cs="Arial"/>
          <w:spacing w:val="4"/>
          <w:sz w:val="24"/>
          <w:szCs w:val="24"/>
          <w:lang w:eastAsia="es-CO"/>
        </w:rPr>
      </w:pPr>
    </w:p>
    <w:p w:rsidR="007F7CF3" w:rsidRPr="005C34A4" w:rsidRDefault="007F7CF3" w:rsidP="00D24846">
      <w:pPr>
        <w:spacing w:after="0" w:line="276" w:lineRule="auto"/>
        <w:jc w:val="both"/>
        <w:textAlignment w:val="baseline"/>
        <w:rPr>
          <w:rFonts w:ascii="Arial" w:eastAsia="Times New Roman" w:hAnsi="Arial" w:cs="Arial"/>
          <w:spacing w:val="4"/>
          <w:sz w:val="24"/>
          <w:szCs w:val="24"/>
          <w:lang w:eastAsia="es-CO"/>
        </w:rPr>
      </w:pPr>
      <w:r w:rsidRPr="005C34A4">
        <w:rPr>
          <w:rFonts w:ascii="Arial" w:eastAsia="Times New Roman" w:hAnsi="Arial" w:cs="Arial"/>
          <w:spacing w:val="4"/>
          <w:sz w:val="24"/>
          <w:szCs w:val="24"/>
          <w:lang w:eastAsia="es-CO"/>
        </w:rPr>
        <w:t xml:space="preserve">De acuerdo con lo previsto en el artículo 279 del CGP </w:t>
      </w:r>
      <w:r w:rsidR="7B9D5BA2" w:rsidRPr="005C34A4">
        <w:rPr>
          <w:rFonts w:ascii="Arial" w:eastAsia="Times New Roman" w:hAnsi="Arial" w:cs="Arial"/>
          <w:spacing w:val="4"/>
          <w:sz w:val="24"/>
          <w:szCs w:val="24"/>
          <w:lang w:eastAsia="es-CO"/>
        </w:rPr>
        <w:t>en cuanto dispone</w:t>
      </w:r>
      <w:r w:rsidRPr="005C34A4">
        <w:rPr>
          <w:rFonts w:ascii="Arial" w:eastAsia="Times New Roman" w:hAnsi="Arial" w:cs="Arial"/>
          <w:spacing w:val="4"/>
          <w:sz w:val="24"/>
          <w:szCs w:val="24"/>
          <w:lang w:eastAsia="es-CO"/>
        </w:rPr>
        <w:t xml:space="preserve"> que </w:t>
      </w:r>
      <w:r w:rsidRPr="005C34A4">
        <w:rPr>
          <w:rFonts w:ascii="Arial" w:eastAsia="Times New Roman" w:hAnsi="Arial" w:cs="Arial"/>
          <w:i/>
          <w:iCs/>
          <w:spacing w:val="4"/>
          <w:sz w:val="24"/>
          <w:szCs w:val="24"/>
          <w:lang w:eastAsia="es-CO"/>
        </w:rPr>
        <w:t>“</w:t>
      </w:r>
      <w:r w:rsidRPr="005C34A4">
        <w:rPr>
          <w:rFonts w:ascii="Arial" w:eastAsia="Times New Roman" w:hAnsi="Arial" w:cs="Arial"/>
          <w:i/>
          <w:iCs/>
          <w:spacing w:val="4"/>
          <w:szCs w:val="24"/>
          <w:lang w:eastAsia="es-CO"/>
        </w:rPr>
        <w:t xml:space="preserve">No se podrá hacer transcripciones o reproducciones de actas, decisiones o </w:t>
      </w:r>
      <w:r w:rsidRPr="005C34A4">
        <w:rPr>
          <w:rFonts w:ascii="Arial" w:eastAsia="Times New Roman" w:hAnsi="Arial" w:cs="Arial"/>
          <w:i/>
          <w:iCs/>
          <w:spacing w:val="4"/>
          <w:szCs w:val="24"/>
          <w:lang w:eastAsia="es-CO"/>
        </w:rPr>
        <w:lastRenderedPageBreak/>
        <w:t>conceptos que obren en el expediente</w:t>
      </w:r>
      <w:r w:rsidRPr="005C34A4">
        <w:rPr>
          <w:rFonts w:ascii="Arial" w:eastAsia="Times New Roman" w:hAnsi="Arial" w:cs="Arial"/>
          <w:i/>
          <w:iCs/>
          <w:spacing w:val="4"/>
          <w:sz w:val="24"/>
          <w:szCs w:val="24"/>
          <w:lang w:eastAsia="es-CO"/>
        </w:rPr>
        <w:t>”, </w:t>
      </w:r>
      <w:r w:rsidR="400FA324" w:rsidRPr="005C34A4">
        <w:rPr>
          <w:rFonts w:ascii="Arial" w:eastAsia="Times New Roman" w:hAnsi="Arial" w:cs="Arial"/>
          <w:i/>
          <w:iCs/>
          <w:spacing w:val="4"/>
          <w:sz w:val="24"/>
          <w:szCs w:val="24"/>
          <w:lang w:eastAsia="es-CO"/>
        </w:rPr>
        <w:t xml:space="preserve">respecto al contenido de los alegatos </w:t>
      </w:r>
      <w:r w:rsidRPr="005C34A4">
        <w:rPr>
          <w:rFonts w:ascii="Arial" w:eastAsia="Times New Roman" w:hAnsi="Arial" w:cs="Arial"/>
          <w:spacing w:val="4"/>
          <w:sz w:val="24"/>
          <w:szCs w:val="24"/>
          <w:lang w:eastAsia="es-CO"/>
        </w:rPr>
        <w:t>baste decir que la parte actora ratificó los argumentos emitidos en la sustentación del recurso de apelación</w:t>
      </w:r>
      <w:r w:rsidR="00F67401" w:rsidRPr="005C34A4">
        <w:rPr>
          <w:rFonts w:ascii="Arial" w:eastAsia="Times New Roman" w:hAnsi="Arial" w:cs="Arial"/>
          <w:spacing w:val="4"/>
          <w:sz w:val="24"/>
          <w:szCs w:val="24"/>
          <w:lang w:eastAsia="es-CO"/>
        </w:rPr>
        <w:t>.</w:t>
      </w:r>
    </w:p>
    <w:p w:rsidR="007F7CF3" w:rsidRPr="005C34A4" w:rsidRDefault="007F7CF3" w:rsidP="00D24846">
      <w:pPr>
        <w:spacing w:after="0" w:line="276" w:lineRule="auto"/>
        <w:jc w:val="both"/>
        <w:textAlignment w:val="baseline"/>
        <w:rPr>
          <w:rFonts w:ascii="Arial" w:eastAsia="Times New Roman" w:hAnsi="Arial" w:cs="Arial"/>
          <w:spacing w:val="4"/>
          <w:sz w:val="24"/>
          <w:szCs w:val="24"/>
          <w:lang w:eastAsia="es-CO"/>
        </w:rPr>
      </w:pPr>
    </w:p>
    <w:p w:rsidR="00F67401" w:rsidRPr="005C34A4" w:rsidRDefault="007F7CF3" w:rsidP="00D24846">
      <w:pPr>
        <w:spacing w:after="0" w:line="276" w:lineRule="auto"/>
        <w:jc w:val="both"/>
        <w:textAlignment w:val="baseline"/>
        <w:rPr>
          <w:rFonts w:ascii="Arial" w:eastAsia="Times New Roman" w:hAnsi="Arial" w:cs="Arial"/>
          <w:spacing w:val="4"/>
          <w:sz w:val="24"/>
          <w:szCs w:val="24"/>
          <w:lang w:eastAsia="es-CO"/>
        </w:rPr>
      </w:pPr>
      <w:r w:rsidRPr="005C34A4">
        <w:rPr>
          <w:rFonts w:ascii="Arial" w:eastAsia="Times New Roman" w:hAnsi="Arial" w:cs="Arial"/>
          <w:spacing w:val="4"/>
          <w:sz w:val="24"/>
          <w:szCs w:val="24"/>
          <w:lang w:eastAsia="es-CO"/>
        </w:rPr>
        <w:t xml:space="preserve">Por su parte, la apoderada judicial de la Administradora Colombiana de Pensiones reiteró </w:t>
      </w:r>
      <w:r w:rsidR="00F67401" w:rsidRPr="005C34A4">
        <w:rPr>
          <w:rFonts w:ascii="Arial" w:eastAsia="Times New Roman" w:hAnsi="Arial" w:cs="Arial"/>
          <w:spacing w:val="4"/>
          <w:sz w:val="24"/>
          <w:szCs w:val="24"/>
          <w:lang w:eastAsia="es-CO"/>
        </w:rPr>
        <w:t>que en este caso no resulta posible reconocer que la señora Gladys Losada López tuvo derecho en vida a que se le reconociera la pensión de invalidez, al no cumplir con los requisitos establecidos en la Ley 860 de 2003, lo que de paso impide reconocer la pensión de sobrevivientes que reclama el actor, por cuanto la afiliada fallecida no dejó causada con su deceso esa prestación económica a favor de sus beneficiarios.</w:t>
      </w:r>
    </w:p>
    <w:p w:rsidR="00F67401" w:rsidRPr="005C34A4" w:rsidRDefault="00F67401" w:rsidP="00D24846">
      <w:pPr>
        <w:pStyle w:val="paragraph"/>
        <w:spacing w:before="0" w:beforeAutospacing="0" w:after="0" w:afterAutospacing="0" w:line="276" w:lineRule="auto"/>
        <w:jc w:val="both"/>
        <w:textAlignment w:val="baseline"/>
        <w:rPr>
          <w:rStyle w:val="normaltextrun"/>
          <w:rFonts w:ascii="Arial" w:hAnsi="Arial" w:cs="Arial"/>
          <w:spacing w:val="4"/>
        </w:rPr>
      </w:pPr>
    </w:p>
    <w:p w:rsidR="007F7CF3" w:rsidRPr="005C34A4" w:rsidRDefault="007F7CF3" w:rsidP="00D24846">
      <w:pPr>
        <w:pStyle w:val="paragraph"/>
        <w:spacing w:before="0" w:beforeAutospacing="0" w:after="0" w:afterAutospacing="0" w:line="276" w:lineRule="auto"/>
        <w:jc w:val="both"/>
        <w:textAlignment w:val="baseline"/>
        <w:rPr>
          <w:rStyle w:val="normaltextrun"/>
          <w:rFonts w:ascii="Arial" w:hAnsi="Arial" w:cs="Arial"/>
          <w:spacing w:val="4"/>
        </w:rPr>
      </w:pPr>
      <w:r w:rsidRPr="005C34A4">
        <w:rPr>
          <w:rStyle w:val="normaltextrun"/>
          <w:rFonts w:ascii="Arial" w:hAnsi="Arial" w:cs="Arial"/>
          <w:spacing w:val="4"/>
        </w:rPr>
        <w:t xml:space="preserve">Atendidos los argumentos expuestos a esta Sala de Decisión le corresponde resolver los siguientes: </w:t>
      </w:r>
    </w:p>
    <w:p w:rsidR="007F7CF3" w:rsidRPr="005C34A4" w:rsidRDefault="007F7CF3"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eop"/>
          <w:rFonts w:ascii="Arial" w:hAnsi="Arial" w:cs="Arial"/>
          <w:spacing w:val="4"/>
        </w:rPr>
        <w:t> </w:t>
      </w:r>
    </w:p>
    <w:p w:rsidR="007F7CF3" w:rsidRPr="005C34A4" w:rsidRDefault="007F7CF3" w:rsidP="00D24846">
      <w:pPr>
        <w:pStyle w:val="paragraph"/>
        <w:spacing w:before="0" w:beforeAutospacing="0" w:after="0" w:afterAutospacing="0" w:line="276" w:lineRule="auto"/>
        <w:jc w:val="center"/>
        <w:textAlignment w:val="baseline"/>
        <w:rPr>
          <w:rFonts w:ascii="Arial" w:hAnsi="Arial" w:cs="Arial"/>
          <w:spacing w:val="4"/>
        </w:rPr>
      </w:pPr>
      <w:r w:rsidRPr="005C34A4">
        <w:rPr>
          <w:rStyle w:val="normaltextrun"/>
          <w:rFonts w:ascii="Arial" w:hAnsi="Arial" w:cs="Arial"/>
          <w:b/>
          <w:bCs/>
          <w:spacing w:val="4"/>
        </w:rPr>
        <w:t>PROBLEMAS JURIDICOS</w:t>
      </w:r>
      <w:r w:rsidRPr="005C34A4">
        <w:rPr>
          <w:rStyle w:val="normaltextrun"/>
          <w:rFonts w:ascii="Arial" w:hAnsi="Arial" w:cs="Arial"/>
          <w:spacing w:val="4"/>
        </w:rPr>
        <w:t>:</w:t>
      </w:r>
    </w:p>
    <w:p w:rsidR="007F7CF3" w:rsidRPr="005C34A4" w:rsidRDefault="007F7CF3"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ind w:left="426" w:right="420"/>
        <w:jc w:val="both"/>
        <w:textAlignment w:val="baseline"/>
        <w:rPr>
          <w:rStyle w:val="eop"/>
          <w:rFonts w:ascii="Arial" w:hAnsi="Arial" w:cs="Arial"/>
          <w:spacing w:val="4"/>
        </w:rPr>
      </w:pPr>
      <w:r w:rsidRPr="005C34A4">
        <w:rPr>
          <w:rStyle w:val="normaltextrun"/>
          <w:rFonts w:ascii="Arial" w:hAnsi="Arial" w:cs="Arial"/>
          <w:b/>
          <w:bCs/>
          <w:i/>
          <w:iCs/>
          <w:spacing w:val="4"/>
          <w:lang w:val="es-ES"/>
        </w:rPr>
        <w:t>A partir de la sentencia SL2358 de 25 de enero de 2017 proferida por la Sala de Casación Laboral de la Corte Suprema de Justicia ¿Cómo debe aplicarse el principio de la condición más beneficiosa en tránsito normativo entre la Ley 100 de 1993 y la Ley 860 de 2003?</w:t>
      </w:r>
      <w:r w:rsidRPr="005C34A4">
        <w:rPr>
          <w:rStyle w:val="eop"/>
          <w:rFonts w:ascii="Arial" w:hAnsi="Arial" w:cs="Arial"/>
          <w:spacing w:val="4"/>
        </w:rPr>
        <w:t> </w:t>
      </w:r>
    </w:p>
    <w:p w:rsidR="001D65D1" w:rsidRPr="005C34A4" w:rsidRDefault="001D65D1" w:rsidP="00D24846">
      <w:pPr>
        <w:pStyle w:val="paragraph"/>
        <w:spacing w:before="0" w:beforeAutospacing="0" w:after="0" w:afterAutospacing="0" w:line="276" w:lineRule="auto"/>
        <w:ind w:left="426" w:right="420"/>
        <w:jc w:val="both"/>
        <w:textAlignment w:val="baseline"/>
        <w:rPr>
          <w:rStyle w:val="eop"/>
          <w:rFonts w:ascii="Arial" w:hAnsi="Arial" w:cs="Arial"/>
          <w:spacing w:val="4"/>
        </w:rPr>
      </w:pPr>
    </w:p>
    <w:p w:rsidR="001D65D1" w:rsidRPr="005C34A4" w:rsidRDefault="001D65D1" w:rsidP="00D24846">
      <w:pPr>
        <w:pStyle w:val="paragraph"/>
        <w:spacing w:before="0" w:beforeAutospacing="0" w:after="0" w:afterAutospacing="0" w:line="276" w:lineRule="auto"/>
        <w:ind w:left="426" w:right="420"/>
        <w:jc w:val="both"/>
        <w:textAlignment w:val="baseline"/>
        <w:rPr>
          <w:rFonts w:ascii="Arial" w:hAnsi="Arial" w:cs="Arial"/>
          <w:b/>
          <w:bCs/>
          <w:i/>
          <w:iCs/>
          <w:spacing w:val="4"/>
        </w:rPr>
      </w:pPr>
      <w:r w:rsidRPr="005C34A4">
        <w:rPr>
          <w:rStyle w:val="eop"/>
          <w:rFonts w:ascii="Arial" w:hAnsi="Arial" w:cs="Arial"/>
          <w:b/>
          <w:bCs/>
          <w:i/>
          <w:iCs/>
          <w:spacing w:val="4"/>
        </w:rPr>
        <w:t xml:space="preserve">¿Dejó causada la señora </w:t>
      </w:r>
      <w:r w:rsidR="006270CA" w:rsidRPr="005C34A4">
        <w:rPr>
          <w:rStyle w:val="eop"/>
          <w:rFonts w:ascii="Arial" w:hAnsi="Arial" w:cs="Arial"/>
          <w:b/>
          <w:bCs/>
          <w:i/>
          <w:iCs/>
          <w:spacing w:val="4"/>
        </w:rPr>
        <w:t>Gladys Losada López la pensión de sobrevivientes a favor de sus beneficiarios?</w:t>
      </w:r>
    </w:p>
    <w:p w:rsidR="00F67401" w:rsidRPr="005C34A4" w:rsidRDefault="00F67401" w:rsidP="00D24846">
      <w:pPr>
        <w:pStyle w:val="paragraph"/>
        <w:spacing w:before="0" w:beforeAutospacing="0" w:after="0" w:afterAutospacing="0" w:line="276" w:lineRule="auto"/>
        <w:ind w:left="840" w:right="465"/>
        <w:jc w:val="both"/>
        <w:textAlignment w:val="baseline"/>
        <w:rPr>
          <w:rFonts w:ascii="Arial" w:hAnsi="Arial" w:cs="Arial"/>
          <w:spacing w:val="4"/>
        </w:rPr>
      </w:pP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normaltextrun"/>
          <w:rFonts w:ascii="Arial" w:hAnsi="Arial" w:cs="Arial"/>
          <w:spacing w:val="4"/>
          <w:lang w:val="es-ES"/>
        </w:rPr>
        <w:t>Con el propósito de dar solución a los interrogantes en el caso concreto, la Sala considera necesario precisar, el siguiente aspecto:</w:t>
      </w: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normaltextrun"/>
          <w:rFonts w:ascii="Arial" w:hAnsi="Arial" w:cs="Arial"/>
          <w:b/>
          <w:bCs/>
          <w:spacing w:val="4"/>
          <w:lang w:val="es-ES"/>
        </w:rPr>
        <w:t>JURISPRUDENCIA DE LA SALA DE CASACIÓN LABORAL DE LA CORTE SUPREMA DE JUSTICIA FRENTE A LA APLICACIÓN DEL PRINCIPIO DE LA CONDICIÓN MÁS BENEFICIOSA.</w:t>
      </w: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normaltextrun"/>
          <w:rFonts w:ascii="Arial" w:hAnsi="Arial" w:cs="Arial"/>
          <w:spacing w:val="4"/>
          <w:lang w:val="es-ES"/>
        </w:rPr>
        <w:t>Prevé el artículo 4º de la Ley 169 de 1896 que tres decisiones uniformes dadas por la Corte Suprema de Justicia como Tribunal de Casación sobre un mismo punto de derecho constituyen doctrina probable.</w:t>
      </w: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normaltextrun"/>
          <w:rFonts w:ascii="Arial" w:hAnsi="Arial" w:cs="Arial"/>
          <w:spacing w:val="4"/>
          <w:lang w:val="es-ES"/>
        </w:rPr>
        <w:t>En ese sentido la Corte Constitucional en la sentencia C-836 de 2001, por medio de la cual declaró exequible la referenciada norma, manifestó que </w:t>
      </w:r>
      <w:r w:rsidRPr="005C34A4">
        <w:rPr>
          <w:rStyle w:val="normaltextrun"/>
          <w:rFonts w:ascii="Arial" w:hAnsi="Arial" w:cs="Arial"/>
          <w:spacing w:val="4"/>
        </w:rPr>
        <w:t>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lo que implica que, para apartarse de la doctrina probable, los jueces están obligados a exponer las razones por las que consideran que social, legal o constitucionalmente es una solución diferente a la que viene aplicando la respectiva Sala de Casación, la que debe darse al asunto.</w:t>
      </w: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ind w:right="45"/>
        <w:jc w:val="both"/>
        <w:textAlignment w:val="baseline"/>
        <w:rPr>
          <w:rFonts w:ascii="Arial" w:hAnsi="Arial" w:cs="Arial"/>
          <w:spacing w:val="4"/>
        </w:rPr>
      </w:pPr>
      <w:r w:rsidRPr="005C34A4">
        <w:rPr>
          <w:rStyle w:val="eop"/>
          <w:rFonts w:ascii="Arial" w:hAnsi="Arial" w:cs="Arial"/>
          <w:spacing w:val="4"/>
        </w:rPr>
        <w:lastRenderedPageBreak/>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normaltextrun"/>
          <w:rFonts w:ascii="Arial" w:hAnsi="Arial" w:cs="Arial"/>
          <w:spacing w:val="4"/>
        </w:rPr>
        <w:t>Con tal premisa puesta de presente, para el asunto que aquí debe decidirse, </w:t>
      </w:r>
      <w:r w:rsidRPr="005C34A4">
        <w:rPr>
          <w:rStyle w:val="normaltextrun"/>
          <w:rFonts w:ascii="Arial" w:hAnsi="Arial" w:cs="Arial"/>
          <w:spacing w:val="4"/>
          <w:lang w:val="es-ES"/>
        </w:rPr>
        <w:t>la Sala de Casación Laboral a partir de la sentencia SL4650 de 28 de enero de 2017 radicación Nº 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 postura que explicó en los siguientes términos:</w:t>
      </w: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ind w:right="555"/>
        <w:jc w:val="both"/>
        <w:textAlignment w:val="baseline"/>
        <w:rPr>
          <w:rFonts w:ascii="Arial" w:hAnsi="Arial" w:cs="Arial"/>
          <w:spacing w:val="4"/>
        </w:rPr>
      </w:pP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ind w:left="426" w:right="420"/>
        <w:jc w:val="both"/>
        <w:textAlignment w:val="baseline"/>
        <w:rPr>
          <w:rFonts w:ascii="Arial" w:hAnsi="Arial" w:cs="Arial"/>
          <w:spacing w:val="4"/>
          <w:sz w:val="22"/>
        </w:rPr>
      </w:pPr>
      <w:r w:rsidRPr="005C34A4">
        <w:rPr>
          <w:rStyle w:val="normaltextrun"/>
          <w:rFonts w:ascii="Arial" w:hAnsi="Arial" w:cs="Arial"/>
          <w:i/>
          <w:iCs/>
          <w:spacing w:val="4"/>
          <w:sz w:val="22"/>
          <w:lang w:val="es-ES"/>
        </w:rPr>
        <w:t>“Pero ¿cuál es el tiempo de permanencia de esa «zona de paso» entre la Ley 100 de 1993 y la Ley 797 de 2003? Bueno, para la Corte lo es de tres años, tiempo este que la nueva normativa (Ley 797 de 2003) dispuso como necesario para que los afiliados al sistema de pensiones reúnan la densidad de semanas de cotización-50- y una vez verificada la contingencia de la muerte los causahabientes puedan acceder a la prestación correspondiente. </w:t>
      </w:r>
      <w:r w:rsidRPr="005C34A4">
        <w:rPr>
          <w:rStyle w:val="eop"/>
          <w:rFonts w:ascii="Arial" w:hAnsi="Arial" w:cs="Arial"/>
          <w:spacing w:val="4"/>
          <w:sz w:val="22"/>
        </w:rPr>
        <w:t> </w:t>
      </w:r>
    </w:p>
    <w:p w:rsidR="00F67401" w:rsidRPr="005C34A4" w:rsidRDefault="00F67401" w:rsidP="00D24846">
      <w:pPr>
        <w:pStyle w:val="paragraph"/>
        <w:spacing w:before="0" w:beforeAutospacing="0" w:after="0" w:afterAutospacing="0"/>
        <w:ind w:left="426" w:right="420"/>
        <w:jc w:val="both"/>
        <w:textAlignment w:val="baseline"/>
        <w:rPr>
          <w:rFonts w:ascii="Arial" w:hAnsi="Arial" w:cs="Arial"/>
          <w:spacing w:val="4"/>
          <w:sz w:val="22"/>
        </w:rPr>
      </w:pPr>
      <w:r w:rsidRPr="005C34A4">
        <w:rPr>
          <w:rStyle w:val="eop"/>
          <w:rFonts w:ascii="Arial" w:hAnsi="Arial" w:cs="Arial"/>
          <w:spacing w:val="4"/>
          <w:sz w:val="22"/>
        </w:rPr>
        <w:t> </w:t>
      </w:r>
    </w:p>
    <w:p w:rsidR="00F67401" w:rsidRPr="005C34A4" w:rsidRDefault="00F67401" w:rsidP="00D24846">
      <w:pPr>
        <w:pStyle w:val="paragraph"/>
        <w:spacing w:before="0" w:beforeAutospacing="0" w:after="0" w:afterAutospacing="0"/>
        <w:ind w:left="426" w:right="420"/>
        <w:jc w:val="both"/>
        <w:textAlignment w:val="baseline"/>
        <w:rPr>
          <w:rFonts w:ascii="Arial" w:hAnsi="Arial" w:cs="Arial"/>
          <w:spacing w:val="4"/>
          <w:sz w:val="22"/>
        </w:rPr>
      </w:pPr>
      <w:r w:rsidRPr="005C34A4">
        <w:rPr>
          <w:rStyle w:val="normaltextrun"/>
          <w:rFonts w:ascii="Arial" w:hAnsi="Arial" w:cs="Arial"/>
          <w:i/>
          <w:iCs/>
          <w:spacing w:val="4"/>
          <w:sz w:val="22"/>
          <w:lang w:val="es-ES"/>
        </w:rPr>
        <w:t>Con ese fin, se obtiene un punto de equilibrio y se conserva razonablemente por un lapso determinado- tres años-, los «derechos en curso de adquisición», respetándose así, para determinadas personas, las semanas mínimas establecidas en la Ley 100 de 1993, «con miras a la obtención de un derecho en materia de pensiones, cuya efectividad se subordina al cumplimiento ulterior de una condición», cual es, la muerte. </w:t>
      </w:r>
      <w:r w:rsidRPr="005C34A4">
        <w:rPr>
          <w:rStyle w:val="eop"/>
          <w:rFonts w:ascii="Arial" w:hAnsi="Arial" w:cs="Arial"/>
          <w:spacing w:val="4"/>
          <w:sz w:val="22"/>
        </w:rPr>
        <w:t> </w:t>
      </w:r>
    </w:p>
    <w:p w:rsidR="00F67401" w:rsidRPr="005C34A4" w:rsidRDefault="00F67401" w:rsidP="00D24846">
      <w:pPr>
        <w:pStyle w:val="paragraph"/>
        <w:spacing w:before="0" w:beforeAutospacing="0" w:after="0" w:afterAutospacing="0"/>
        <w:ind w:left="426" w:right="420"/>
        <w:jc w:val="both"/>
        <w:textAlignment w:val="baseline"/>
        <w:rPr>
          <w:rFonts w:ascii="Arial" w:hAnsi="Arial" w:cs="Arial"/>
          <w:spacing w:val="4"/>
          <w:sz w:val="22"/>
        </w:rPr>
      </w:pPr>
      <w:r w:rsidRPr="005C34A4">
        <w:rPr>
          <w:rStyle w:val="eop"/>
          <w:rFonts w:ascii="Arial" w:hAnsi="Arial" w:cs="Arial"/>
          <w:spacing w:val="4"/>
          <w:sz w:val="22"/>
        </w:rPr>
        <w:t> </w:t>
      </w:r>
    </w:p>
    <w:p w:rsidR="00F67401" w:rsidRPr="005C34A4" w:rsidRDefault="00F67401" w:rsidP="00D24846">
      <w:pPr>
        <w:pStyle w:val="paragraph"/>
        <w:spacing w:before="0" w:beforeAutospacing="0" w:after="0" w:afterAutospacing="0"/>
        <w:ind w:left="426" w:right="420"/>
        <w:jc w:val="both"/>
        <w:textAlignment w:val="baseline"/>
        <w:rPr>
          <w:rFonts w:ascii="Arial" w:hAnsi="Arial" w:cs="Arial"/>
          <w:spacing w:val="4"/>
          <w:sz w:val="22"/>
        </w:rPr>
      </w:pPr>
      <w:r w:rsidRPr="005C34A4">
        <w:rPr>
          <w:rStyle w:val="normaltextrun"/>
          <w:rFonts w:ascii="Arial" w:hAnsi="Arial" w:cs="Arial"/>
          <w:i/>
          <w:iCs/>
          <w:spacing w:val="4"/>
          <w:sz w:val="22"/>
          <w:lang w:val="es-ES"/>
        </w:rPr>
        <w:t>Entonces, algo debe quedar muy claro. Solo es posible que la Ley 797 de 2003 difiera sus efectos jurídicos hasta el 29 de enero de 2006, exclusivamente para las personas con una expectativa legítima. Con estribo en ello se garantiza y protege, de forma interina pero suficiente, la cobertura al sistema general de seguridad social frente a la contingencia de la </w:t>
      </w:r>
      <w:proofErr w:type="spellStart"/>
      <w:r w:rsidRPr="005C34A4">
        <w:rPr>
          <w:rStyle w:val="normaltextrun"/>
          <w:rFonts w:ascii="Arial" w:hAnsi="Arial" w:cs="Arial"/>
          <w:i/>
          <w:iCs/>
          <w:spacing w:val="4"/>
          <w:sz w:val="22"/>
          <w:lang w:val="es-ES"/>
        </w:rPr>
        <w:t>murte</w:t>
      </w:r>
      <w:proofErr w:type="spellEnd"/>
      <w:r w:rsidRPr="005C34A4">
        <w:rPr>
          <w:rStyle w:val="normaltextrun"/>
          <w:rFonts w:ascii="Arial" w:hAnsi="Arial" w:cs="Arial"/>
          <w:i/>
          <w:iCs/>
          <w:spacing w:val="4"/>
          <w:sz w:val="22"/>
          <w:lang w:val="es-ES"/>
        </w:rPr>
        <w:t>, bajo la égida de la condición más beneficiosa. Después de allí no sería viable su aplicación, pues este principio no puede convertirse en un obstáculo de cambio normativo y de adecuación de los preceptos a una realidad social y económica diferente, toda vez que es de la esencia del sistema el ser dinámico, jamás estático. Expresado en otro giro, durante dicho periodo (29 de enero de 2003 – 29 de enero de 2006), el artículo 46 de la Ley 100 de 1993 continúa produciendo sus efectos con venero en el principio de la condición más beneficiosa para las personas con expectativa legítima, ulterior a ese día opera, en estrictez, el relevo normativo y cesan los efectos de este postulado constitucional.”.</w:t>
      </w:r>
      <w:r w:rsidRPr="005C34A4">
        <w:rPr>
          <w:rStyle w:val="eop"/>
          <w:rFonts w:ascii="Arial" w:hAnsi="Arial" w:cs="Arial"/>
          <w:spacing w:val="4"/>
          <w:sz w:val="22"/>
        </w:rPr>
        <w:t> </w:t>
      </w:r>
    </w:p>
    <w:p w:rsidR="00F67401" w:rsidRPr="005C34A4" w:rsidRDefault="00F67401" w:rsidP="00D24846">
      <w:pPr>
        <w:pStyle w:val="paragraph"/>
        <w:spacing w:before="0" w:beforeAutospacing="0" w:after="0" w:afterAutospacing="0" w:line="276" w:lineRule="auto"/>
        <w:ind w:right="270"/>
        <w:jc w:val="both"/>
        <w:textAlignment w:val="baseline"/>
        <w:rPr>
          <w:rFonts w:ascii="Arial" w:hAnsi="Arial" w:cs="Arial"/>
          <w:spacing w:val="4"/>
        </w:rPr>
      </w:pP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normaltextrun"/>
          <w:rFonts w:ascii="Arial" w:hAnsi="Arial" w:cs="Arial"/>
          <w:spacing w:val="4"/>
          <w:lang w:val="es-ES"/>
        </w:rPr>
        <w:t>Así las cosas, al haber proferido la Sala de Casación Laboral de la Corte Suprema de Justicia más de tres decisiones en ese sentido como órgano unificador de la jurisprudencia nacional en la jurisdiccional ordinaria, esta Sala de Decisión, encontrando tal línea concordante con la actualidad social y además, legal y constitucionalmente acorde con nuestro sistema jurídico, </w:t>
      </w:r>
      <w:r w:rsidR="5838CDE2" w:rsidRPr="005C34A4">
        <w:rPr>
          <w:rStyle w:val="normaltextrun"/>
          <w:rFonts w:ascii="Arial" w:hAnsi="Arial" w:cs="Arial"/>
          <w:spacing w:val="4"/>
          <w:lang w:val="es-ES"/>
        </w:rPr>
        <w:t xml:space="preserve">ha </w:t>
      </w:r>
      <w:r w:rsidRPr="005C34A4">
        <w:rPr>
          <w:rStyle w:val="normaltextrun"/>
          <w:rFonts w:ascii="Arial" w:hAnsi="Arial" w:cs="Arial"/>
          <w:spacing w:val="4"/>
          <w:lang w:val="es-ES"/>
        </w:rPr>
        <w:t>acog</w:t>
      </w:r>
      <w:r w:rsidR="484F79D7" w:rsidRPr="005C34A4">
        <w:rPr>
          <w:rStyle w:val="normaltextrun"/>
          <w:rFonts w:ascii="Arial" w:hAnsi="Arial" w:cs="Arial"/>
          <w:spacing w:val="4"/>
          <w:lang w:val="es-ES"/>
        </w:rPr>
        <w:t>ido</w:t>
      </w:r>
      <w:r w:rsidRPr="005C34A4">
        <w:rPr>
          <w:rStyle w:val="normaltextrun"/>
          <w:rFonts w:ascii="Arial" w:hAnsi="Arial" w:cs="Arial"/>
          <w:spacing w:val="4"/>
          <w:lang w:val="es-ES"/>
        </w:rPr>
        <w:t xml:space="preserve"> esa postura como doctrina probable, y en consecuencia asum</w:t>
      </w:r>
      <w:r w:rsidR="575E96F5" w:rsidRPr="005C34A4">
        <w:rPr>
          <w:rStyle w:val="normaltextrun"/>
          <w:rFonts w:ascii="Arial" w:hAnsi="Arial" w:cs="Arial"/>
          <w:spacing w:val="4"/>
          <w:lang w:val="es-ES"/>
        </w:rPr>
        <w:t>ió desde hace tiempo ya</w:t>
      </w:r>
      <w:r w:rsidRPr="005C34A4">
        <w:rPr>
          <w:rStyle w:val="normaltextrun"/>
          <w:rFonts w:ascii="Arial" w:hAnsi="Arial" w:cs="Arial"/>
          <w:spacing w:val="4"/>
          <w:lang w:val="es-ES"/>
        </w:rPr>
        <w:t xml:space="preserve"> que,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de 1990, pues como lo ha sostenido pacíficamente el máximo órgano de la jurisdicción ordinaria laboral, no </w:t>
      </w:r>
      <w:r w:rsidRPr="005C34A4">
        <w:rPr>
          <w:rStyle w:val="normaltextrun"/>
          <w:rFonts w:ascii="Arial" w:hAnsi="Arial" w:cs="Arial"/>
          <w:spacing w:val="4"/>
          <w:lang w:val="es-ES"/>
        </w:rPr>
        <w:lastRenderedPageBreak/>
        <w:t>es posible efectuar un rastreo histórico para ver cuál de las normas pretéritas que eventualmente han regulado esas situaciones se adecúa a los intereses de cada afiliado, en consideración a que ese fenómeno </w:t>
      </w:r>
      <w:proofErr w:type="spellStart"/>
      <w:r w:rsidRPr="005C34A4">
        <w:rPr>
          <w:rStyle w:val="normaltextrun"/>
          <w:rFonts w:ascii="Arial" w:hAnsi="Arial" w:cs="Arial"/>
          <w:spacing w:val="4"/>
          <w:lang w:val="es-ES"/>
        </w:rPr>
        <w:t>ultractivo</w:t>
      </w:r>
      <w:proofErr w:type="spellEnd"/>
      <w:r w:rsidRPr="005C34A4">
        <w:rPr>
          <w:rStyle w:val="normaltextrun"/>
          <w:rFonts w:ascii="Arial" w:hAnsi="Arial" w:cs="Arial"/>
          <w:spacing w:val="4"/>
          <w:lang w:val="es-ES"/>
        </w:rPr>
        <w:t> de la norma no es factible que se predique de otras diferentes a la inmediatamente anterior, en aplicación precisamente del principio de la condición más beneficiosa; postura ésta que se recordó en la sentencia SL16886 de 11 de noviembre de 2015 radicación Nº 54093. </w:t>
      </w: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ind w:right="270"/>
        <w:jc w:val="both"/>
        <w:textAlignment w:val="baseline"/>
        <w:rPr>
          <w:rFonts w:ascii="Arial" w:hAnsi="Arial" w:cs="Arial"/>
          <w:spacing w:val="4"/>
        </w:rPr>
      </w:pP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ind w:right="270"/>
        <w:jc w:val="both"/>
        <w:textAlignment w:val="baseline"/>
        <w:rPr>
          <w:rStyle w:val="eop"/>
          <w:rFonts w:ascii="Arial" w:hAnsi="Arial" w:cs="Arial"/>
          <w:spacing w:val="4"/>
        </w:rPr>
      </w:pPr>
      <w:r w:rsidRPr="005C34A4">
        <w:rPr>
          <w:rStyle w:val="normaltextrun"/>
          <w:rFonts w:ascii="Arial" w:hAnsi="Arial" w:cs="Arial"/>
          <w:b/>
          <w:bCs/>
          <w:spacing w:val="4"/>
        </w:rPr>
        <w:t>EL CASO CONCRETO</w:t>
      </w:r>
      <w:r w:rsidRPr="005C34A4">
        <w:rPr>
          <w:rStyle w:val="eop"/>
          <w:rFonts w:ascii="Arial" w:hAnsi="Arial" w:cs="Arial"/>
          <w:spacing w:val="4"/>
        </w:rPr>
        <w:t> </w:t>
      </w:r>
    </w:p>
    <w:p w:rsidR="2517CAA6" w:rsidRPr="005C34A4" w:rsidRDefault="2517CAA6" w:rsidP="00D24846">
      <w:pPr>
        <w:pStyle w:val="NormalWeb"/>
        <w:spacing w:before="0" w:beforeAutospacing="0" w:after="0" w:afterAutospacing="0" w:line="276" w:lineRule="auto"/>
        <w:jc w:val="both"/>
        <w:rPr>
          <w:rFonts w:ascii="Arial" w:hAnsi="Arial" w:cs="Arial"/>
          <w:color w:val="000000" w:themeColor="text1"/>
          <w:spacing w:val="4"/>
        </w:rPr>
      </w:pPr>
    </w:p>
    <w:p w:rsidR="00F651AD" w:rsidRPr="005C34A4" w:rsidRDefault="00F651AD" w:rsidP="00D24846">
      <w:pPr>
        <w:pStyle w:val="NormalWeb"/>
        <w:spacing w:before="0" w:beforeAutospacing="0" w:after="0" w:afterAutospacing="0" w:line="276" w:lineRule="auto"/>
        <w:jc w:val="both"/>
        <w:rPr>
          <w:rFonts w:ascii="Arial" w:hAnsi="Arial" w:cs="Arial"/>
          <w:color w:val="000000"/>
          <w:spacing w:val="4"/>
        </w:rPr>
      </w:pPr>
      <w:r w:rsidRPr="005C34A4">
        <w:rPr>
          <w:rFonts w:ascii="Arial" w:hAnsi="Arial" w:cs="Arial"/>
          <w:color w:val="000000" w:themeColor="text1"/>
          <w:spacing w:val="4"/>
        </w:rPr>
        <w:t xml:space="preserve">Según el dictamen Nº </w:t>
      </w:r>
      <w:proofErr w:type="spellStart"/>
      <w:r w:rsidRPr="005C34A4">
        <w:rPr>
          <w:rFonts w:ascii="Arial" w:hAnsi="Arial" w:cs="Arial"/>
          <w:color w:val="000000" w:themeColor="text1"/>
          <w:spacing w:val="4"/>
        </w:rPr>
        <w:t>2016193358AB</w:t>
      </w:r>
      <w:proofErr w:type="spellEnd"/>
      <w:r w:rsidRPr="005C34A4">
        <w:rPr>
          <w:rFonts w:ascii="Arial" w:hAnsi="Arial" w:cs="Arial"/>
          <w:color w:val="000000" w:themeColor="text1"/>
          <w:spacing w:val="4"/>
        </w:rPr>
        <w:t xml:space="preserve"> </w:t>
      </w:r>
      <w:r w:rsidR="004601F4" w:rsidRPr="005C34A4">
        <w:rPr>
          <w:rFonts w:ascii="Arial" w:hAnsi="Arial" w:cs="Arial"/>
          <w:color w:val="000000" w:themeColor="text1"/>
          <w:spacing w:val="4"/>
        </w:rPr>
        <w:t>-</w:t>
      </w:r>
      <w:proofErr w:type="spellStart"/>
      <w:r w:rsidRPr="005C34A4">
        <w:rPr>
          <w:rFonts w:ascii="Arial" w:hAnsi="Arial" w:cs="Arial"/>
          <w:color w:val="000000" w:themeColor="text1"/>
          <w:spacing w:val="4"/>
        </w:rPr>
        <w:t>fls.29</w:t>
      </w:r>
      <w:proofErr w:type="spellEnd"/>
      <w:r w:rsidRPr="005C34A4">
        <w:rPr>
          <w:rFonts w:ascii="Arial" w:hAnsi="Arial" w:cs="Arial"/>
          <w:color w:val="000000" w:themeColor="text1"/>
          <w:spacing w:val="4"/>
        </w:rPr>
        <w:t xml:space="preserve"> a 33- emitido por el Departamento de Medicina Laboral de la Administradora Colombiana de Pensiones, la señora Gladys Losada López tenía una pérdida de la capacidad laboral equivalente al 51.7% de origen común y estructurada el 21 de noviembre de 2016, fecha para la cual se encontraba vigente la Ley 860 de 2003, la cual exige a los afiliados para acceder a la pensión de invalidez, que acrediten cotizaciones al sistema general de pensiones correspondientes a 50 semanas consignadas dentro de los tres años anteriores a la estructuración de la invalidez.</w:t>
      </w:r>
    </w:p>
    <w:p w:rsidR="00D24846" w:rsidRPr="005C34A4" w:rsidRDefault="00D24846" w:rsidP="00D24846">
      <w:pPr>
        <w:pStyle w:val="NormalWeb"/>
        <w:spacing w:before="0" w:beforeAutospacing="0" w:after="0" w:afterAutospacing="0" w:line="276" w:lineRule="auto"/>
        <w:jc w:val="both"/>
        <w:rPr>
          <w:rFonts w:ascii="Arial" w:hAnsi="Arial" w:cs="Arial"/>
          <w:color w:val="000000" w:themeColor="text1"/>
          <w:spacing w:val="4"/>
        </w:rPr>
      </w:pPr>
    </w:p>
    <w:p w:rsidR="00F651AD" w:rsidRPr="005C34A4" w:rsidRDefault="00F651AD" w:rsidP="00D24846">
      <w:pPr>
        <w:pStyle w:val="NormalWeb"/>
        <w:spacing w:before="0" w:beforeAutospacing="0" w:after="0" w:afterAutospacing="0" w:line="276" w:lineRule="auto"/>
        <w:jc w:val="both"/>
        <w:rPr>
          <w:rFonts w:ascii="Arial" w:hAnsi="Arial" w:cs="Arial"/>
          <w:color w:val="000000"/>
          <w:spacing w:val="4"/>
        </w:rPr>
      </w:pPr>
      <w:r w:rsidRPr="005C34A4">
        <w:rPr>
          <w:rFonts w:ascii="Arial" w:hAnsi="Arial" w:cs="Arial"/>
          <w:color w:val="000000" w:themeColor="text1"/>
          <w:spacing w:val="4"/>
        </w:rPr>
        <w:t>De acuerdo con la información contenida en la historia laboral allegada por la Administradora Colombiana de Pensiones en medio magnético adosado a folio 91 vuelto, entre el 21 de noviembre de 2013 y la misma calenda del año 2016,</w:t>
      </w:r>
      <w:r w:rsidR="00621D79" w:rsidRPr="005C34A4">
        <w:rPr>
          <w:rFonts w:ascii="Arial" w:hAnsi="Arial" w:cs="Arial"/>
          <w:color w:val="000000" w:themeColor="text1"/>
          <w:spacing w:val="4"/>
        </w:rPr>
        <w:t xml:space="preserve"> la causante</w:t>
      </w:r>
      <w:r w:rsidRPr="005C34A4">
        <w:rPr>
          <w:rFonts w:ascii="Arial" w:hAnsi="Arial" w:cs="Arial"/>
          <w:color w:val="000000" w:themeColor="text1"/>
          <w:spacing w:val="4"/>
        </w:rPr>
        <w:t xml:space="preserve"> no tiene semanas cotizadas al sistema general de pensiones, a pesar de contar en toda su vida laboral con 357,43 semanas </w:t>
      </w:r>
      <w:r w:rsidR="18FDB9EE" w:rsidRPr="005C34A4">
        <w:rPr>
          <w:rFonts w:ascii="Arial" w:hAnsi="Arial" w:cs="Arial"/>
          <w:color w:val="000000" w:themeColor="text1"/>
          <w:spacing w:val="4"/>
        </w:rPr>
        <w:t>de aportes</w:t>
      </w:r>
      <w:r w:rsidRPr="005C34A4">
        <w:rPr>
          <w:rFonts w:ascii="Arial" w:hAnsi="Arial" w:cs="Arial"/>
          <w:color w:val="000000" w:themeColor="text1"/>
          <w:spacing w:val="4"/>
        </w:rPr>
        <w:t>, motivo por el que, con base en la Ley 860 de 2003 no pu</w:t>
      </w:r>
      <w:r w:rsidR="361A8430" w:rsidRPr="005C34A4">
        <w:rPr>
          <w:rFonts w:ascii="Arial" w:hAnsi="Arial" w:cs="Arial"/>
          <w:color w:val="000000" w:themeColor="text1"/>
          <w:spacing w:val="4"/>
        </w:rPr>
        <w:t>do acceder a</w:t>
      </w:r>
      <w:r w:rsidRPr="005C34A4">
        <w:rPr>
          <w:rFonts w:ascii="Arial" w:hAnsi="Arial" w:cs="Arial"/>
          <w:color w:val="000000" w:themeColor="text1"/>
          <w:spacing w:val="4"/>
        </w:rPr>
        <w:t xml:space="preserve"> la pensión de invalidez; sin que </w:t>
      </w:r>
      <w:r w:rsidR="285B8CEE" w:rsidRPr="005C34A4">
        <w:rPr>
          <w:rFonts w:ascii="Arial" w:hAnsi="Arial" w:cs="Arial"/>
          <w:color w:val="000000" w:themeColor="text1"/>
          <w:spacing w:val="4"/>
        </w:rPr>
        <w:t>en su caso h</w:t>
      </w:r>
      <w:r w:rsidR="5EDABAF9" w:rsidRPr="005C34A4">
        <w:rPr>
          <w:rFonts w:ascii="Arial" w:hAnsi="Arial" w:cs="Arial"/>
          <w:color w:val="000000" w:themeColor="text1"/>
          <w:spacing w:val="4"/>
        </w:rPr>
        <w:t xml:space="preserve">aya </w:t>
      </w:r>
      <w:r w:rsidRPr="005C34A4">
        <w:rPr>
          <w:rFonts w:ascii="Arial" w:hAnsi="Arial" w:cs="Arial"/>
          <w:color w:val="000000" w:themeColor="text1"/>
          <w:spacing w:val="4"/>
        </w:rPr>
        <w:t>s</w:t>
      </w:r>
      <w:r w:rsidR="4554F98C" w:rsidRPr="005C34A4">
        <w:rPr>
          <w:rFonts w:ascii="Arial" w:hAnsi="Arial" w:cs="Arial"/>
          <w:color w:val="000000" w:themeColor="text1"/>
          <w:spacing w:val="4"/>
        </w:rPr>
        <w:t>ido</w:t>
      </w:r>
      <w:r w:rsidRPr="005C34A4">
        <w:rPr>
          <w:rFonts w:ascii="Arial" w:hAnsi="Arial" w:cs="Arial"/>
          <w:color w:val="000000" w:themeColor="text1"/>
          <w:spacing w:val="4"/>
        </w:rPr>
        <w:t xml:space="preserve"> posible dar aplicación al principio de la condición más beneficiosa en la forma establecida por la Sala de Casación Laboral de la Corte Suprema de Justicia, en consideración a que la estructuración de la invalidez no se presentó entre el 26 de diciembre de 2003 y el 26 de diciembre de 2006.</w:t>
      </w:r>
    </w:p>
    <w:p w:rsidR="00D24846" w:rsidRPr="005C34A4" w:rsidRDefault="00D24846" w:rsidP="00D24846">
      <w:pPr>
        <w:pStyle w:val="NormalWeb"/>
        <w:spacing w:before="0" w:beforeAutospacing="0" w:after="0" w:afterAutospacing="0" w:line="276" w:lineRule="auto"/>
        <w:jc w:val="both"/>
        <w:rPr>
          <w:rFonts w:ascii="Arial" w:hAnsi="Arial" w:cs="Arial"/>
          <w:color w:val="000000" w:themeColor="text1"/>
          <w:spacing w:val="4"/>
        </w:rPr>
      </w:pPr>
    </w:p>
    <w:p w:rsidR="00F651AD" w:rsidRPr="005C34A4" w:rsidRDefault="00F651AD" w:rsidP="00D24846">
      <w:pPr>
        <w:pStyle w:val="NormalWeb"/>
        <w:spacing w:before="0" w:beforeAutospacing="0" w:after="0" w:afterAutospacing="0" w:line="276" w:lineRule="auto"/>
        <w:jc w:val="both"/>
        <w:rPr>
          <w:rFonts w:ascii="Arial" w:hAnsi="Arial" w:cs="Arial"/>
          <w:color w:val="000000"/>
          <w:spacing w:val="4"/>
        </w:rPr>
      </w:pPr>
      <w:r w:rsidRPr="005C34A4">
        <w:rPr>
          <w:rFonts w:ascii="Arial" w:hAnsi="Arial" w:cs="Arial"/>
          <w:color w:val="000000" w:themeColor="text1"/>
          <w:spacing w:val="4"/>
        </w:rPr>
        <w:t>Tampoco e</w:t>
      </w:r>
      <w:r w:rsidR="5A6F663C" w:rsidRPr="005C34A4">
        <w:rPr>
          <w:rFonts w:ascii="Arial" w:hAnsi="Arial" w:cs="Arial"/>
          <w:color w:val="000000" w:themeColor="text1"/>
          <w:spacing w:val="4"/>
        </w:rPr>
        <w:t>ra</w:t>
      </w:r>
      <w:r w:rsidRPr="005C34A4">
        <w:rPr>
          <w:rFonts w:ascii="Arial" w:hAnsi="Arial" w:cs="Arial"/>
          <w:color w:val="000000" w:themeColor="text1"/>
          <w:spacing w:val="4"/>
        </w:rPr>
        <w:t xml:space="preserve"> posible dar paso a la aplicación del Acuerdo 049 de 1990, porque como ya se dijo, en este tipo de casos no resulta posible hacer una búsqueda histórica de la normatividad que mejor se adecúe a la situación de la </w:t>
      </w:r>
      <w:r w:rsidR="69EC38E6" w:rsidRPr="005C34A4">
        <w:rPr>
          <w:rFonts w:ascii="Arial" w:hAnsi="Arial" w:cs="Arial"/>
          <w:color w:val="000000" w:themeColor="text1"/>
          <w:spacing w:val="4"/>
        </w:rPr>
        <w:t>parte interesada</w:t>
      </w:r>
      <w:r w:rsidRPr="005C34A4">
        <w:rPr>
          <w:rFonts w:ascii="Arial" w:hAnsi="Arial" w:cs="Arial"/>
          <w:color w:val="000000" w:themeColor="text1"/>
          <w:spacing w:val="4"/>
        </w:rPr>
        <w:t xml:space="preserve"> en aras de hacerla beneficiaria de la pensión que reclama.</w:t>
      </w:r>
    </w:p>
    <w:p w:rsidR="244E1104" w:rsidRPr="005C34A4" w:rsidRDefault="244E1104" w:rsidP="00D24846">
      <w:pPr>
        <w:pStyle w:val="NormalWeb"/>
        <w:spacing w:before="0" w:beforeAutospacing="0" w:after="0" w:afterAutospacing="0" w:line="276" w:lineRule="auto"/>
        <w:jc w:val="both"/>
        <w:rPr>
          <w:rFonts w:ascii="Arial" w:hAnsi="Arial" w:cs="Arial"/>
          <w:color w:val="000000" w:themeColor="text1"/>
          <w:spacing w:val="4"/>
        </w:rPr>
      </w:pPr>
    </w:p>
    <w:p w:rsidR="0FEFB171" w:rsidRPr="005C34A4" w:rsidRDefault="0FEFB171" w:rsidP="00D24846">
      <w:pPr>
        <w:pStyle w:val="NormalWeb"/>
        <w:spacing w:before="0" w:beforeAutospacing="0" w:after="0" w:afterAutospacing="0" w:line="276" w:lineRule="auto"/>
        <w:jc w:val="both"/>
        <w:rPr>
          <w:rFonts w:ascii="Arial" w:hAnsi="Arial" w:cs="Arial"/>
          <w:color w:val="000000" w:themeColor="text1"/>
          <w:spacing w:val="4"/>
        </w:rPr>
      </w:pPr>
      <w:r w:rsidRPr="005C34A4">
        <w:rPr>
          <w:rFonts w:ascii="Arial" w:hAnsi="Arial" w:cs="Arial"/>
          <w:color w:val="000000" w:themeColor="text1"/>
          <w:spacing w:val="4"/>
        </w:rPr>
        <w:t>En conclusión, la señora Gladys Losada López nunca caus</w:t>
      </w:r>
      <w:r w:rsidR="1532CF69" w:rsidRPr="005C34A4">
        <w:rPr>
          <w:rFonts w:ascii="Arial" w:hAnsi="Arial" w:cs="Arial"/>
          <w:color w:val="000000" w:themeColor="text1"/>
          <w:spacing w:val="4"/>
        </w:rPr>
        <w:t>ó la pensión de invalidez.</w:t>
      </w:r>
    </w:p>
    <w:p w:rsidR="0FEFB171" w:rsidRPr="005C34A4" w:rsidRDefault="0FEFB171" w:rsidP="00D24846">
      <w:pPr>
        <w:pStyle w:val="NormalWeb"/>
        <w:spacing w:before="0" w:beforeAutospacing="0" w:after="0" w:afterAutospacing="0" w:line="276" w:lineRule="auto"/>
        <w:jc w:val="both"/>
        <w:rPr>
          <w:rFonts w:ascii="Arial" w:hAnsi="Arial" w:cs="Arial"/>
          <w:color w:val="000000" w:themeColor="text1"/>
          <w:spacing w:val="4"/>
        </w:rPr>
      </w:pPr>
      <w:r w:rsidRPr="005C34A4">
        <w:rPr>
          <w:rFonts w:ascii="Arial" w:hAnsi="Arial" w:cs="Arial"/>
          <w:color w:val="000000" w:themeColor="text1"/>
          <w:spacing w:val="4"/>
        </w:rPr>
        <w:t xml:space="preserve"> </w:t>
      </w:r>
    </w:p>
    <w:p w:rsidR="00F651AD" w:rsidRPr="005C34A4" w:rsidRDefault="00F651AD" w:rsidP="00D24846">
      <w:pPr>
        <w:pStyle w:val="NormalWeb"/>
        <w:spacing w:before="0" w:beforeAutospacing="0" w:after="0" w:afterAutospacing="0" w:line="276" w:lineRule="auto"/>
        <w:jc w:val="both"/>
        <w:rPr>
          <w:rFonts w:ascii="Arial" w:hAnsi="Arial" w:cs="Arial"/>
          <w:color w:val="000000"/>
          <w:spacing w:val="4"/>
        </w:rPr>
      </w:pPr>
      <w:r w:rsidRPr="005C34A4">
        <w:rPr>
          <w:rFonts w:ascii="Arial" w:hAnsi="Arial" w:cs="Arial"/>
          <w:color w:val="000000" w:themeColor="text1"/>
          <w:spacing w:val="4"/>
        </w:rPr>
        <w:t xml:space="preserve">Ahora bien, como </w:t>
      </w:r>
      <w:r w:rsidR="7618AE74" w:rsidRPr="005C34A4">
        <w:rPr>
          <w:rFonts w:ascii="Arial" w:hAnsi="Arial" w:cs="Arial"/>
          <w:color w:val="000000" w:themeColor="text1"/>
          <w:spacing w:val="4"/>
        </w:rPr>
        <w:t>ella</w:t>
      </w:r>
      <w:r w:rsidRPr="005C34A4">
        <w:rPr>
          <w:rFonts w:ascii="Arial" w:hAnsi="Arial" w:cs="Arial"/>
          <w:color w:val="000000" w:themeColor="text1"/>
          <w:spacing w:val="4"/>
        </w:rPr>
        <w:t xml:space="preserve"> falleció el 3 de enero de 2017, </w:t>
      </w:r>
      <w:r w:rsidR="5C5D2717" w:rsidRPr="005C34A4">
        <w:rPr>
          <w:rFonts w:ascii="Arial" w:hAnsi="Arial" w:cs="Arial"/>
          <w:color w:val="000000" w:themeColor="text1"/>
          <w:spacing w:val="4"/>
        </w:rPr>
        <w:t>según</w:t>
      </w:r>
      <w:r w:rsidRPr="005C34A4">
        <w:rPr>
          <w:rFonts w:ascii="Arial" w:hAnsi="Arial" w:cs="Arial"/>
          <w:color w:val="000000" w:themeColor="text1"/>
          <w:spacing w:val="4"/>
        </w:rPr>
        <w:t xml:space="preserve"> se aprecia en el registro civil de defunción -fl.35</w:t>
      </w:r>
      <w:r w:rsidR="1DC04DC0" w:rsidRPr="005C34A4">
        <w:rPr>
          <w:rFonts w:ascii="Arial" w:hAnsi="Arial" w:cs="Arial"/>
          <w:color w:val="000000" w:themeColor="text1"/>
          <w:spacing w:val="4"/>
        </w:rPr>
        <w:t>-,</w:t>
      </w:r>
      <w:r w:rsidRPr="005C34A4">
        <w:rPr>
          <w:rFonts w:ascii="Arial" w:hAnsi="Arial" w:cs="Arial"/>
          <w:color w:val="000000" w:themeColor="text1"/>
          <w:spacing w:val="4"/>
        </w:rPr>
        <w:t xml:space="preserve"> para dejar causada la pensión de sobrevivientes a favor de sus beneficiarios, le correspondía acreditar una de las condiciones previstas en el artículo 46 de la Ley 100 de 1993 modificado por el artículo 12 de la Ley 797 de 2003, esto es, que tuviese la calidad de pensionada para la fecha del deceso, situación que </w:t>
      </w:r>
      <w:r w:rsidR="643F751C" w:rsidRPr="005C34A4">
        <w:rPr>
          <w:rFonts w:ascii="Arial" w:hAnsi="Arial" w:cs="Arial"/>
          <w:color w:val="000000" w:themeColor="text1"/>
          <w:spacing w:val="4"/>
        </w:rPr>
        <w:t>como</w:t>
      </w:r>
      <w:r w:rsidRPr="005C34A4">
        <w:rPr>
          <w:rFonts w:ascii="Arial" w:hAnsi="Arial" w:cs="Arial"/>
          <w:color w:val="000000" w:themeColor="text1"/>
          <w:spacing w:val="4"/>
        </w:rPr>
        <w:t xml:space="preserve"> quedó definid</w:t>
      </w:r>
      <w:r w:rsidR="16C1F84E" w:rsidRPr="005C34A4">
        <w:rPr>
          <w:rFonts w:ascii="Arial" w:hAnsi="Arial" w:cs="Arial"/>
          <w:color w:val="000000" w:themeColor="text1"/>
          <w:spacing w:val="4"/>
        </w:rPr>
        <w:t>o</w:t>
      </w:r>
      <w:r w:rsidRPr="005C34A4">
        <w:rPr>
          <w:rFonts w:ascii="Arial" w:hAnsi="Arial" w:cs="Arial"/>
          <w:color w:val="000000" w:themeColor="text1"/>
          <w:spacing w:val="4"/>
        </w:rPr>
        <w:t xml:space="preserve"> previamente</w:t>
      </w:r>
      <w:r w:rsidR="464ABF67" w:rsidRPr="005C34A4">
        <w:rPr>
          <w:rFonts w:ascii="Arial" w:hAnsi="Arial" w:cs="Arial"/>
          <w:color w:val="000000" w:themeColor="text1"/>
          <w:spacing w:val="4"/>
        </w:rPr>
        <w:t xml:space="preserve"> no ocurrió</w:t>
      </w:r>
      <w:r w:rsidR="004C48C2" w:rsidRPr="005C34A4">
        <w:rPr>
          <w:rFonts w:ascii="Arial" w:hAnsi="Arial" w:cs="Arial"/>
          <w:color w:val="000000" w:themeColor="text1"/>
          <w:spacing w:val="4"/>
        </w:rPr>
        <w:t xml:space="preserve">, o en su defecto </w:t>
      </w:r>
      <w:r w:rsidR="582C0F63" w:rsidRPr="005C34A4">
        <w:rPr>
          <w:rFonts w:ascii="Arial" w:hAnsi="Arial" w:cs="Arial"/>
          <w:color w:val="000000" w:themeColor="text1"/>
          <w:spacing w:val="4"/>
        </w:rPr>
        <w:t>haber</w:t>
      </w:r>
      <w:r w:rsidR="004C48C2" w:rsidRPr="005C34A4">
        <w:rPr>
          <w:rFonts w:ascii="Arial" w:hAnsi="Arial" w:cs="Arial"/>
          <w:color w:val="000000" w:themeColor="text1"/>
          <w:spacing w:val="4"/>
        </w:rPr>
        <w:t xml:space="preserve"> cotizado dentro de los tres años anteriores al fallecimiento por lo menos 50 semanas de </w:t>
      </w:r>
      <w:r w:rsidR="134FA1CA" w:rsidRPr="005C34A4">
        <w:rPr>
          <w:rFonts w:ascii="Arial" w:hAnsi="Arial" w:cs="Arial"/>
          <w:color w:val="000000" w:themeColor="text1"/>
          <w:spacing w:val="4"/>
        </w:rPr>
        <w:t>aportes</w:t>
      </w:r>
      <w:r w:rsidR="004C48C2" w:rsidRPr="005C34A4">
        <w:rPr>
          <w:rFonts w:ascii="Arial" w:hAnsi="Arial" w:cs="Arial"/>
          <w:color w:val="000000" w:themeColor="text1"/>
          <w:spacing w:val="4"/>
        </w:rPr>
        <w:t xml:space="preserve"> al sistema general de pensiones, sin embargo, como se ve en su historia laboral, entre el 3 de enero </w:t>
      </w:r>
      <w:r w:rsidR="004C48C2" w:rsidRPr="005C34A4">
        <w:rPr>
          <w:rFonts w:ascii="Arial" w:hAnsi="Arial" w:cs="Arial"/>
          <w:color w:val="000000" w:themeColor="text1"/>
          <w:spacing w:val="4"/>
        </w:rPr>
        <w:lastRenderedPageBreak/>
        <w:t xml:space="preserve">de 2014 y la misma fecha del año 2017, ella no hizo </w:t>
      </w:r>
      <w:r w:rsidR="52A3923B" w:rsidRPr="005C34A4">
        <w:rPr>
          <w:rFonts w:ascii="Arial" w:hAnsi="Arial" w:cs="Arial"/>
          <w:color w:val="000000" w:themeColor="text1"/>
          <w:spacing w:val="4"/>
        </w:rPr>
        <w:t>cotizaciones</w:t>
      </w:r>
      <w:r w:rsidR="004C48C2" w:rsidRPr="005C34A4">
        <w:rPr>
          <w:rFonts w:ascii="Arial" w:hAnsi="Arial" w:cs="Arial"/>
          <w:color w:val="000000" w:themeColor="text1"/>
          <w:spacing w:val="4"/>
        </w:rPr>
        <w:t xml:space="preserve"> para pensión</w:t>
      </w:r>
      <w:r w:rsidR="2801CD8D" w:rsidRPr="005C34A4">
        <w:rPr>
          <w:rFonts w:ascii="Arial" w:hAnsi="Arial" w:cs="Arial"/>
          <w:color w:val="000000" w:themeColor="text1"/>
          <w:spacing w:val="4"/>
        </w:rPr>
        <w:t>.</w:t>
      </w:r>
      <w:r w:rsidR="004C48C2" w:rsidRPr="005C34A4">
        <w:rPr>
          <w:rFonts w:ascii="Arial" w:hAnsi="Arial" w:cs="Arial"/>
          <w:color w:val="000000" w:themeColor="text1"/>
          <w:spacing w:val="4"/>
        </w:rPr>
        <w:t xml:space="preserve"> </w:t>
      </w:r>
      <w:r w:rsidR="7DABF338" w:rsidRPr="005C34A4">
        <w:rPr>
          <w:rFonts w:ascii="Arial" w:hAnsi="Arial" w:cs="Arial"/>
          <w:color w:val="000000" w:themeColor="text1"/>
          <w:spacing w:val="4"/>
        </w:rPr>
        <w:t>S</w:t>
      </w:r>
      <w:r w:rsidR="004C48C2" w:rsidRPr="005C34A4">
        <w:rPr>
          <w:rFonts w:ascii="Arial" w:hAnsi="Arial" w:cs="Arial"/>
          <w:color w:val="000000" w:themeColor="text1"/>
          <w:spacing w:val="4"/>
        </w:rPr>
        <w:t xml:space="preserve">in que, </w:t>
      </w:r>
      <w:r w:rsidR="5BAD006A" w:rsidRPr="005C34A4">
        <w:rPr>
          <w:rFonts w:ascii="Arial" w:hAnsi="Arial" w:cs="Arial"/>
          <w:color w:val="000000" w:themeColor="text1"/>
          <w:spacing w:val="4"/>
        </w:rPr>
        <w:t>tampoco para estos efectos resulte</w:t>
      </w:r>
      <w:r w:rsidR="004C48C2" w:rsidRPr="005C34A4">
        <w:rPr>
          <w:rFonts w:ascii="Arial" w:hAnsi="Arial" w:cs="Arial"/>
          <w:color w:val="000000" w:themeColor="text1"/>
          <w:spacing w:val="4"/>
        </w:rPr>
        <w:t xml:space="preserve"> posible aplicar el principio de la condición más beneficiosa para aplicar la Ley 100 de 1993 en su estado original, pues el siniestro no aconteció dentro de los tres años siguientes a la fecha en que entró en vigencia la Ley 797 de 2003; </w:t>
      </w:r>
      <w:r w:rsidR="4D45532B" w:rsidRPr="005C34A4">
        <w:rPr>
          <w:rFonts w:ascii="Arial" w:hAnsi="Arial" w:cs="Arial"/>
          <w:color w:val="000000" w:themeColor="text1"/>
          <w:spacing w:val="4"/>
        </w:rPr>
        <w:t>ni mucho menos</w:t>
      </w:r>
      <w:r w:rsidR="004C48C2" w:rsidRPr="005C34A4">
        <w:rPr>
          <w:rFonts w:ascii="Arial" w:hAnsi="Arial" w:cs="Arial"/>
          <w:color w:val="000000" w:themeColor="text1"/>
          <w:spacing w:val="4"/>
        </w:rPr>
        <w:t xml:space="preserve"> aplicar el Acuerdo 049 de 1990 para esos efectos, por l</w:t>
      </w:r>
      <w:r w:rsidR="23277060" w:rsidRPr="005C34A4">
        <w:rPr>
          <w:rFonts w:ascii="Arial" w:hAnsi="Arial" w:cs="Arial"/>
          <w:color w:val="000000" w:themeColor="text1"/>
          <w:spacing w:val="4"/>
        </w:rPr>
        <w:t>as mismas razones</w:t>
      </w:r>
      <w:r w:rsidR="004C48C2" w:rsidRPr="005C34A4">
        <w:rPr>
          <w:rFonts w:ascii="Arial" w:hAnsi="Arial" w:cs="Arial"/>
          <w:color w:val="000000" w:themeColor="text1"/>
          <w:spacing w:val="4"/>
        </w:rPr>
        <w:t xml:space="preserve"> que ya se expusieron líneas atrás. </w:t>
      </w:r>
    </w:p>
    <w:p w:rsidR="00D24846" w:rsidRPr="005C34A4" w:rsidRDefault="00D24846" w:rsidP="00D24846">
      <w:pPr>
        <w:pStyle w:val="NormalWeb"/>
        <w:spacing w:before="0" w:beforeAutospacing="0" w:after="0" w:afterAutospacing="0" w:line="276" w:lineRule="auto"/>
        <w:jc w:val="both"/>
        <w:rPr>
          <w:rFonts w:ascii="Arial" w:hAnsi="Arial" w:cs="Arial"/>
          <w:color w:val="000000" w:themeColor="text1"/>
          <w:spacing w:val="4"/>
        </w:rPr>
      </w:pPr>
    </w:p>
    <w:p w:rsidR="00F651AD" w:rsidRPr="005C34A4" w:rsidRDefault="00F651AD" w:rsidP="00D24846">
      <w:pPr>
        <w:pStyle w:val="NormalWeb"/>
        <w:spacing w:before="0" w:beforeAutospacing="0" w:after="0" w:afterAutospacing="0" w:line="276" w:lineRule="auto"/>
        <w:jc w:val="both"/>
        <w:rPr>
          <w:rFonts w:ascii="Arial" w:hAnsi="Arial" w:cs="Arial"/>
          <w:color w:val="000000"/>
          <w:spacing w:val="4"/>
        </w:rPr>
      </w:pPr>
      <w:r w:rsidRPr="005C34A4">
        <w:rPr>
          <w:rFonts w:ascii="Arial" w:hAnsi="Arial" w:cs="Arial"/>
          <w:color w:val="000000" w:themeColor="text1"/>
          <w:spacing w:val="4"/>
        </w:rPr>
        <w:t xml:space="preserve">En el anterior orden de ideas, se confirmará la sentencia proferida por el Juzgado </w:t>
      </w:r>
      <w:r w:rsidR="004C48C2" w:rsidRPr="005C34A4">
        <w:rPr>
          <w:rFonts w:ascii="Arial" w:hAnsi="Arial" w:cs="Arial"/>
          <w:color w:val="000000" w:themeColor="text1"/>
          <w:spacing w:val="4"/>
        </w:rPr>
        <w:t>Cuarto</w:t>
      </w:r>
      <w:r w:rsidRPr="005C34A4">
        <w:rPr>
          <w:rFonts w:ascii="Arial" w:hAnsi="Arial" w:cs="Arial"/>
          <w:color w:val="000000" w:themeColor="text1"/>
          <w:spacing w:val="4"/>
        </w:rPr>
        <w:t xml:space="preserve"> Laboral del Circuito el </w:t>
      </w:r>
      <w:r w:rsidR="008F7BE0" w:rsidRPr="005C34A4">
        <w:rPr>
          <w:rFonts w:ascii="Arial" w:hAnsi="Arial" w:cs="Arial"/>
          <w:color w:val="000000" w:themeColor="text1"/>
          <w:spacing w:val="4"/>
        </w:rPr>
        <w:t>5</w:t>
      </w:r>
      <w:r w:rsidRPr="005C34A4">
        <w:rPr>
          <w:rFonts w:ascii="Arial" w:hAnsi="Arial" w:cs="Arial"/>
          <w:color w:val="000000" w:themeColor="text1"/>
          <w:spacing w:val="4"/>
        </w:rPr>
        <w:t xml:space="preserve"> de </w:t>
      </w:r>
      <w:r w:rsidR="008F7BE0" w:rsidRPr="005C34A4">
        <w:rPr>
          <w:rFonts w:ascii="Arial" w:hAnsi="Arial" w:cs="Arial"/>
          <w:color w:val="000000" w:themeColor="text1"/>
          <w:spacing w:val="4"/>
        </w:rPr>
        <w:t>diciembre</w:t>
      </w:r>
      <w:r w:rsidRPr="005C34A4">
        <w:rPr>
          <w:rFonts w:ascii="Arial" w:hAnsi="Arial" w:cs="Arial"/>
          <w:color w:val="000000" w:themeColor="text1"/>
          <w:spacing w:val="4"/>
        </w:rPr>
        <w:t xml:space="preserve"> de 2019.</w:t>
      </w:r>
    </w:p>
    <w:p w:rsidR="00D24846" w:rsidRPr="005C34A4" w:rsidRDefault="00D24846" w:rsidP="00D24846">
      <w:pPr>
        <w:pStyle w:val="NormalWeb"/>
        <w:spacing w:before="0" w:beforeAutospacing="0" w:after="0" w:afterAutospacing="0" w:line="276" w:lineRule="auto"/>
        <w:jc w:val="both"/>
        <w:rPr>
          <w:rFonts w:ascii="Arial" w:hAnsi="Arial" w:cs="Arial"/>
          <w:color w:val="000000" w:themeColor="text1"/>
          <w:spacing w:val="4"/>
        </w:rPr>
      </w:pPr>
    </w:p>
    <w:p w:rsidR="00F67401" w:rsidRPr="005C34A4" w:rsidRDefault="00F651AD" w:rsidP="00D24846">
      <w:pPr>
        <w:pStyle w:val="NormalWeb"/>
        <w:spacing w:before="0" w:beforeAutospacing="0" w:after="0" w:afterAutospacing="0" w:line="276" w:lineRule="auto"/>
        <w:jc w:val="both"/>
        <w:rPr>
          <w:rFonts w:ascii="Arial" w:hAnsi="Arial" w:cs="Arial"/>
          <w:color w:val="000000"/>
          <w:spacing w:val="4"/>
        </w:rPr>
      </w:pPr>
      <w:r w:rsidRPr="005C34A4">
        <w:rPr>
          <w:rFonts w:ascii="Arial" w:hAnsi="Arial" w:cs="Arial"/>
          <w:color w:val="000000" w:themeColor="text1"/>
          <w:spacing w:val="4"/>
        </w:rPr>
        <w:t>Costas en esta instancia a cargo de la parte actora en un 100%.</w:t>
      </w:r>
      <w:r w:rsidR="00F67401" w:rsidRPr="005C34A4">
        <w:rPr>
          <w:rStyle w:val="eop"/>
          <w:rFonts w:ascii="Arial" w:hAnsi="Arial" w:cs="Arial"/>
          <w:spacing w:val="4"/>
        </w:rPr>
        <w:t> </w:t>
      </w:r>
    </w:p>
    <w:p w:rsidR="244E1104" w:rsidRPr="005C34A4" w:rsidRDefault="244E1104" w:rsidP="00D24846">
      <w:pPr>
        <w:pStyle w:val="paragraph"/>
        <w:spacing w:before="0" w:beforeAutospacing="0" w:after="0" w:afterAutospacing="0" w:line="276" w:lineRule="auto"/>
        <w:jc w:val="both"/>
        <w:rPr>
          <w:rStyle w:val="normaltextrun"/>
          <w:rFonts w:ascii="Arial" w:hAnsi="Arial" w:cs="Arial"/>
          <w:spacing w:val="4"/>
        </w:rPr>
      </w:pP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normaltextrun"/>
          <w:rFonts w:ascii="Arial" w:hAnsi="Arial" w:cs="Arial"/>
          <w:spacing w:val="4"/>
          <w:lang w:val="es-ES"/>
        </w:rPr>
        <w:t>En mérito de lo expuesto, la </w:t>
      </w:r>
      <w:r w:rsidRPr="005C34A4">
        <w:rPr>
          <w:rStyle w:val="normaltextrun"/>
          <w:rFonts w:ascii="Arial" w:hAnsi="Arial" w:cs="Arial"/>
          <w:b/>
          <w:bCs/>
          <w:spacing w:val="4"/>
          <w:lang w:val="es-ES"/>
        </w:rPr>
        <w:t>Sala de Decisión Laboral Nº 3 del Tribunal Superior de Pereira</w:t>
      </w:r>
      <w:r w:rsidRPr="005C34A4">
        <w:rPr>
          <w:rStyle w:val="normaltextrun"/>
          <w:rFonts w:ascii="Arial" w:hAnsi="Arial" w:cs="Arial"/>
          <w:spacing w:val="4"/>
          <w:lang w:val="es-ES"/>
        </w:rPr>
        <w:t>, administrando justicia en nombre de la República y por autoridad de la ley,</w:t>
      </w: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center"/>
        <w:textAlignment w:val="baseline"/>
        <w:rPr>
          <w:rFonts w:ascii="Arial" w:hAnsi="Arial" w:cs="Arial"/>
          <w:spacing w:val="4"/>
        </w:rPr>
      </w:pPr>
      <w:r w:rsidRPr="005C34A4">
        <w:rPr>
          <w:rStyle w:val="normaltextrun"/>
          <w:rFonts w:ascii="Arial" w:hAnsi="Arial" w:cs="Arial"/>
          <w:b/>
          <w:bCs/>
          <w:spacing w:val="4"/>
          <w:lang w:val="es-ES"/>
        </w:rPr>
        <w:t>RESUELVE</w:t>
      </w: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textAlignment w:val="baseline"/>
        <w:rPr>
          <w:rFonts w:ascii="Arial" w:hAnsi="Arial" w:cs="Arial"/>
          <w:spacing w:val="4"/>
        </w:rPr>
      </w:pP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normaltextrun"/>
          <w:rFonts w:ascii="Arial" w:hAnsi="Arial" w:cs="Arial"/>
          <w:b/>
          <w:bCs/>
          <w:spacing w:val="4"/>
          <w:lang w:val="es-ES"/>
        </w:rPr>
        <w:t>PRIMERO. CONFIRMAR </w:t>
      </w:r>
      <w:r w:rsidRPr="005C34A4">
        <w:rPr>
          <w:rStyle w:val="normaltextrun"/>
          <w:rFonts w:ascii="Arial" w:hAnsi="Arial" w:cs="Arial"/>
          <w:spacing w:val="4"/>
          <w:lang w:val="es-ES"/>
        </w:rPr>
        <w:t>la sentencia recurrida.</w:t>
      </w: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normaltextrun"/>
          <w:rFonts w:ascii="Arial" w:hAnsi="Arial" w:cs="Arial"/>
          <w:b/>
          <w:bCs/>
          <w:spacing w:val="4"/>
          <w:lang w:val="es-ES"/>
        </w:rPr>
        <w:t>SEGUNDO. CONDENAR </w:t>
      </w:r>
      <w:r w:rsidRPr="005C34A4">
        <w:rPr>
          <w:rStyle w:val="normaltextrun"/>
          <w:rFonts w:ascii="Arial" w:hAnsi="Arial" w:cs="Arial"/>
          <w:spacing w:val="4"/>
          <w:lang w:val="es-ES"/>
        </w:rPr>
        <w:t>en costas procesales en esta sede a la parte actora en un 100%.</w:t>
      </w:r>
      <w:r w:rsidRPr="005C34A4">
        <w:rPr>
          <w:rStyle w:val="eop"/>
          <w:rFonts w:ascii="Arial" w:hAnsi="Arial" w:cs="Arial"/>
          <w:spacing w:val="4"/>
        </w:rPr>
        <w:t> </w:t>
      </w:r>
    </w:p>
    <w:p w:rsidR="00F67401" w:rsidRPr="005C34A4" w:rsidRDefault="00F67401" w:rsidP="00D24846">
      <w:pPr>
        <w:pStyle w:val="paragraph"/>
        <w:spacing w:before="0" w:beforeAutospacing="0" w:after="0" w:afterAutospacing="0" w:line="276" w:lineRule="auto"/>
        <w:jc w:val="both"/>
        <w:textAlignment w:val="baseline"/>
        <w:rPr>
          <w:rFonts w:ascii="Arial" w:hAnsi="Arial" w:cs="Arial"/>
          <w:spacing w:val="4"/>
        </w:rPr>
      </w:pPr>
      <w:r w:rsidRPr="005C34A4">
        <w:rPr>
          <w:rStyle w:val="eop"/>
          <w:rFonts w:ascii="Arial" w:hAnsi="Arial" w:cs="Arial"/>
          <w:spacing w:val="4"/>
        </w:rPr>
        <w:t> </w:t>
      </w:r>
    </w:p>
    <w:p w:rsidR="00621D79" w:rsidRPr="005C34A4" w:rsidRDefault="00621D79" w:rsidP="00D24846">
      <w:pPr>
        <w:spacing w:after="0" w:line="276" w:lineRule="auto"/>
        <w:jc w:val="both"/>
        <w:textAlignment w:val="baseline"/>
        <w:rPr>
          <w:rFonts w:ascii="Arial" w:eastAsia="Times New Roman" w:hAnsi="Arial" w:cs="Arial"/>
          <w:spacing w:val="4"/>
          <w:sz w:val="24"/>
          <w:szCs w:val="24"/>
          <w:lang w:eastAsia="es-ES"/>
        </w:rPr>
      </w:pPr>
      <w:r w:rsidRPr="005C34A4">
        <w:rPr>
          <w:rStyle w:val="normaltextrun"/>
          <w:rFonts w:ascii="Arial" w:hAnsi="Arial" w:cs="Arial"/>
          <w:spacing w:val="4"/>
          <w:sz w:val="24"/>
          <w:szCs w:val="24"/>
        </w:rPr>
        <w:t>Notifíquese por estado y a los correos electrónicos de los apoderados de las partes.</w:t>
      </w:r>
      <w:r w:rsidRPr="005C34A4">
        <w:rPr>
          <w:rStyle w:val="eop"/>
          <w:rFonts w:ascii="Arial" w:hAnsi="Arial" w:cs="Arial"/>
          <w:spacing w:val="4"/>
          <w:sz w:val="24"/>
          <w:szCs w:val="24"/>
        </w:rPr>
        <w:t> </w:t>
      </w:r>
    </w:p>
    <w:p w:rsidR="00621D79" w:rsidRPr="005C34A4" w:rsidRDefault="00621D79" w:rsidP="00D24846">
      <w:pPr>
        <w:spacing w:after="0" w:line="276" w:lineRule="auto"/>
        <w:jc w:val="both"/>
        <w:textAlignment w:val="baseline"/>
        <w:rPr>
          <w:rFonts w:ascii="Arial" w:hAnsi="Arial" w:cs="Arial"/>
          <w:spacing w:val="4"/>
          <w:sz w:val="24"/>
          <w:szCs w:val="24"/>
          <w:lang w:eastAsia="es-ES"/>
        </w:rPr>
      </w:pPr>
    </w:p>
    <w:p w:rsidR="00D24846" w:rsidRPr="005C34A4" w:rsidRDefault="00D24846" w:rsidP="00D24846">
      <w:pPr>
        <w:spacing w:after="0" w:line="276" w:lineRule="auto"/>
        <w:jc w:val="both"/>
        <w:textAlignment w:val="baseline"/>
        <w:rPr>
          <w:rFonts w:ascii="Arial" w:eastAsia="Times New Roman" w:hAnsi="Arial" w:cs="Arial"/>
          <w:spacing w:val="4"/>
          <w:sz w:val="24"/>
          <w:szCs w:val="24"/>
          <w:lang w:eastAsia="es-CO"/>
        </w:rPr>
      </w:pPr>
      <w:r w:rsidRPr="005C34A4">
        <w:rPr>
          <w:rFonts w:ascii="Arial" w:eastAsia="Times New Roman" w:hAnsi="Arial" w:cs="Arial"/>
          <w:spacing w:val="4"/>
          <w:sz w:val="24"/>
          <w:szCs w:val="24"/>
          <w:lang w:eastAsia="es-CO"/>
        </w:rPr>
        <w:t>Quienes integran la Sala. </w:t>
      </w:r>
    </w:p>
    <w:p w:rsidR="00D24846" w:rsidRPr="00D24846" w:rsidRDefault="00D24846" w:rsidP="00D24846">
      <w:pPr>
        <w:spacing w:after="0" w:line="288" w:lineRule="auto"/>
        <w:jc w:val="both"/>
        <w:rPr>
          <w:rFonts w:ascii="Arial" w:eastAsia="Times New Roman" w:hAnsi="Arial" w:cs="Arial"/>
          <w:spacing w:val="-4"/>
          <w:sz w:val="24"/>
          <w:szCs w:val="24"/>
          <w:lang w:val="es-ES_tradnl" w:eastAsia="es-ES"/>
        </w:rPr>
      </w:pPr>
    </w:p>
    <w:p w:rsidR="00D24846" w:rsidRPr="00D24846" w:rsidRDefault="00D24846" w:rsidP="00D24846">
      <w:pPr>
        <w:spacing w:after="0" w:line="288" w:lineRule="auto"/>
        <w:jc w:val="both"/>
        <w:rPr>
          <w:rFonts w:ascii="Arial" w:eastAsia="Times New Roman" w:hAnsi="Arial" w:cs="Arial"/>
          <w:spacing w:val="-4"/>
          <w:sz w:val="24"/>
          <w:szCs w:val="24"/>
          <w:lang w:val="es-ES_tradnl" w:eastAsia="es-ES"/>
        </w:rPr>
      </w:pPr>
    </w:p>
    <w:p w:rsidR="00D24846" w:rsidRPr="00D24846" w:rsidRDefault="00D24846" w:rsidP="00D24846">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D24846" w:rsidRPr="00D24846" w:rsidRDefault="00D24846" w:rsidP="00D24846">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D24846">
        <w:rPr>
          <w:rFonts w:ascii="Arial" w:eastAsia="Times New Roman" w:hAnsi="Arial" w:cs="Arial"/>
          <w:b/>
          <w:spacing w:val="-4"/>
          <w:sz w:val="24"/>
          <w:szCs w:val="24"/>
          <w:lang w:val="es-ES_tradnl" w:eastAsia="es-ES"/>
        </w:rPr>
        <w:t>JULIO CÉSAR SALAZAR MUÑOZ</w:t>
      </w:r>
    </w:p>
    <w:p w:rsidR="00D24846" w:rsidRPr="00D24846" w:rsidRDefault="00D24846" w:rsidP="00D24846">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D24846">
        <w:rPr>
          <w:rFonts w:ascii="Arial" w:eastAsia="Times New Roman" w:hAnsi="Arial" w:cs="Arial"/>
          <w:spacing w:val="-4"/>
          <w:sz w:val="24"/>
          <w:szCs w:val="24"/>
          <w:lang w:val="es-ES_tradnl" w:eastAsia="es-ES"/>
        </w:rPr>
        <w:t>Ponente</w:t>
      </w:r>
    </w:p>
    <w:p w:rsidR="00D24846" w:rsidRPr="00D24846" w:rsidRDefault="00D24846" w:rsidP="00D24846">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D24846" w:rsidRPr="00D24846" w:rsidRDefault="00D24846" w:rsidP="00D24846">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D24846" w:rsidRPr="00D24846" w:rsidRDefault="00D24846" w:rsidP="00D24846">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D24846" w:rsidRPr="00D24846" w:rsidRDefault="00D24846" w:rsidP="00D24846">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D24846">
        <w:rPr>
          <w:rFonts w:ascii="Arial" w:eastAsia="Times New Roman" w:hAnsi="Arial" w:cs="Arial"/>
          <w:b/>
          <w:bCs/>
          <w:spacing w:val="-4"/>
          <w:sz w:val="24"/>
          <w:szCs w:val="24"/>
          <w:lang w:val="es-ES_tradnl" w:eastAsia="es-ES"/>
        </w:rPr>
        <w:t>ANA LUCÍA CAICEDO CALDERÓN</w:t>
      </w:r>
      <w:r w:rsidRPr="00D24846">
        <w:rPr>
          <w:rFonts w:ascii="Arial" w:eastAsia="Times New Roman" w:hAnsi="Arial" w:cs="Arial"/>
          <w:b/>
          <w:bCs/>
          <w:spacing w:val="-4"/>
          <w:sz w:val="24"/>
          <w:szCs w:val="24"/>
          <w:lang w:val="es-ES_tradnl" w:eastAsia="es-ES"/>
        </w:rPr>
        <w:tab/>
        <w:t xml:space="preserve">     ALEJANDRA MARÍA HENAO PALACIO</w:t>
      </w:r>
    </w:p>
    <w:p w:rsidR="00621D79" w:rsidRDefault="00D24846" w:rsidP="00D24846">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D24846">
        <w:rPr>
          <w:rFonts w:ascii="Arial" w:eastAsia="Times New Roman" w:hAnsi="Arial" w:cs="Arial"/>
          <w:bCs/>
          <w:spacing w:val="-4"/>
          <w:sz w:val="24"/>
          <w:szCs w:val="24"/>
          <w:lang w:val="es-ES_tradnl" w:eastAsia="es-ES"/>
        </w:rPr>
        <w:t>Magistrada</w:t>
      </w:r>
      <w:r w:rsidRPr="00D24846">
        <w:rPr>
          <w:rFonts w:ascii="Arial" w:eastAsia="Times New Roman" w:hAnsi="Arial" w:cs="Arial"/>
          <w:bCs/>
          <w:spacing w:val="-4"/>
          <w:sz w:val="24"/>
          <w:szCs w:val="24"/>
          <w:lang w:val="es-ES_tradnl" w:eastAsia="es-ES"/>
        </w:rPr>
        <w:tab/>
      </w:r>
      <w:r w:rsidRPr="00D24846">
        <w:rPr>
          <w:rFonts w:ascii="Arial" w:eastAsia="Times New Roman" w:hAnsi="Arial" w:cs="Arial"/>
          <w:bCs/>
          <w:spacing w:val="-4"/>
          <w:sz w:val="24"/>
          <w:szCs w:val="24"/>
          <w:lang w:val="es-ES_tradnl" w:eastAsia="es-ES"/>
        </w:rPr>
        <w:tab/>
      </w:r>
      <w:r w:rsidRPr="00D24846">
        <w:rPr>
          <w:rFonts w:ascii="Arial" w:eastAsia="Times New Roman" w:hAnsi="Arial" w:cs="Arial"/>
          <w:bCs/>
          <w:spacing w:val="-4"/>
          <w:sz w:val="24"/>
          <w:szCs w:val="24"/>
          <w:lang w:val="es-ES_tradnl" w:eastAsia="es-ES"/>
        </w:rPr>
        <w:tab/>
      </w:r>
      <w:r w:rsidRPr="00D24846">
        <w:rPr>
          <w:rFonts w:ascii="Arial" w:eastAsia="Times New Roman" w:hAnsi="Arial" w:cs="Arial"/>
          <w:bCs/>
          <w:spacing w:val="-4"/>
          <w:sz w:val="24"/>
          <w:szCs w:val="24"/>
          <w:lang w:val="es-ES_tradnl" w:eastAsia="es-ES"/>
        </w:rPr>
        <w:tab/>
      </w:r>
      <w:r w:rsidRPr="00D24846">
        <w:rPr>
          <w:rFonts w:ascii="Arial" w:eastAsia="Times New Roman" w:hAnsi="Arial" w:cs="Arial"/>
          <w:bCs/>
          <w:spacing w:val="-4"/>
          <w:sz w:val="24"/>
          <w:szCs w:val="24"/>
          <w:lang w:val="es-ES_tradnl" w:eastAsia="es-ES"/>
        </w:rPr>
        <w:tab/>
      </w:r>
      <w:r w:rsidRPr="00D24846">
        <w:rPr>
          <w:rFonts w:ascii="Arial" w:eastAsia="Times New Roman" w:hAnsi="Arial" w:cs="Arial"/>
          <w:b/>
          <w:bCs/>
          <w:spacing w:val="-4"/>
          <w:sz w:val="24"/>
          <w:szCs w:val="24"/>
          <w:lang w:val="es-ES_tradnl" w:eastAsia="es-ES"/>
        </w:rPr>
        <w:t xml:space="preserve">     </w:t>
      </w:r>
      <w:proofErr w:type="spellStart"/>
      <w:r w:rsidRPr="00D24846">
        <w:rPr>
          <w:rFonts w:ascii="Arial" w:eastAsia="Times New Roman" w:hAnsi="Arial" w:cs="Arial"/>
          <w:bCs/>
          <w:spacing w:val="-4"/>
          <w:sz w:val="24"/>
          <w:szCs w:val="24"/>
          <w:lang w:val="es-ES_tradnl" w:eastAsia="es-ES"/>
        </w:rPr>
        <w:t>Magistrada</w:t>
      </w:r>
      <w:proofErr w:type="spellEnd"/>
    </w:p>
    <w:p w:rsidR="00D24846" w:rsidRDefault="009C3669" w:rsidP="00D24846">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t xml:space="preserve">Aclara </w:t>
      </w:r>
      <w:r w:rsidR="00D24846">
        <w:rPr>
          <w:rFonts w:ascii="Arial" w:eastAsia="Times New Roman" w:hAnsi="Arial" w:cs="Arial"/>
          <w:bCs/>
          <w:spacing w:val="-4"/>
          <w:sz w:val="24"/>
          <w:szCs w:val="24"/>
          <w:lang w:val="es-ES_tradnl" w:eastAsia="es-ES"/>
        </w:rPr>
        <w:t>voto</w:t>
      </w:r>
    </w:p>
    <w:p w:rsidR="009C3669" w:rsidRDefault="009C3669" w:rsidP="00D24846">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9C3669" w:rsidRDefault="009C3669">
      <w:pPr>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9C3669" w:rsidRPr="009C3669" w:rsidRDefault="009C3669" w:rsidP="009C3669">
      <w:pPr>
        <w:spacing w:after="0" w:line="240" w:lineRule="auto"/>
        <w:jc w:val="both"/>
        <w:rPr>
          <w:rFonts w:ascii="Arial" w:eastAsia="Calibri" w:hAnsi="Arial" w:cs="Arial"/>
          <w:sz w:val="20"/>
          <w:szCs w:val="24"/>
          <w:lang w:val="es-ES"/>
        </w:rPr>
      </w:pPr>
      <w:r w:rsidRPr="009C3669">
        <w:rPr>
          <w:rFonts w:ascii="Arial" w:eastAsia="Calibri" w:hAnsi="Arial" w:cs="Arial"/>
          <w:sz w:val="20"/>
          <w:szCs w:val="24"/>
          <w:lang w:val="es-ES"/>
        </w:rPr>
        <w:lastRenderedPageBreak/>
        <w:t>Providencia:</w:t>
      </w:r>
      <w:r w:rsidRPr="009C3669">
        <w:rPr>
          <w:rFonts w:ascii="Arial" w:eastAsia="Calibri" w:hAnsi="Arial" w:cs="Arial"/>
          <w:sz w:val="20"/>
          <w:szCs w:val="24"/>
          <w:lang w:val="es-ES"/>
        </w:rPr>
        <w:tab/>
      </w:r>
      <w:r w:rsidRPr="009C3669">
        <w:rPr>
          <w:rFonts w:ascii="Arial" w:eastAsia="Calibri" w:hAnsi="Arial" w:cs="Arial"/>
          <w:sz w:val="20"/>
          <w:szCs w:val="24"/>
          <w:lang w:val="es-ES"/>
        </w:rPr>
        <w:tab/>
        <w:t xml:space="preserve">Sentencia del 07 de octubre de 2020.  </w:t>
      </w:r>
    </w:p>
    <w:p w:rsidR="009C3669" w:rsidRPr="009C3669" w:rsidRDefault="009C3669" w:rsidP="009C3669">
      <w:pPr>
        <w:spacing w:after="0" w:line="240" w:lineRule="auto"/>
        <w:jc w:val="both"/>
        <w:rPr>
          <w:rFonts w:ascii="Arial" w:eastAsia="Calibri" w:hAnsi="Arial" w:cs="Arial"/>
          <w:sz w:val="20"/>
          <w:szCs w:val="24"/>
          <w:lang w:val="es-ES"/>
        </w:rPr>
      </w:pPr>
      <w:r w:rsidRPr="009C3669">
        <w:rPr>
          <w:rFonts w:ascii="Arial" w:eastAsia="Calibri" w:hAnsi="Arial" w:cs="Arial"/>
          <w:sz w:val="20"/>
          <w:szCs w:val="24"/>
          <w:lang w:val="es-ES"/>
        </w:rPr>
        <w:t>Proceso:</w:t>
      </w:r>
      <w:r w:rsidRPr="009C3669">
        <w:rPr>
          <w:rFonts w:ascii="Arial" w:eastAsia="Calibri" w:hAnsi="Arial" w:cs="Arial"/>
          <w:sz w:val="20"/>
          <w:szCs w:val="24"/>
          <w:lang w:val="es-ES"/>
        </w:rPr>
        <w:tab/>
      </w:r>
      <w:r w:rsidRPr="009C3669">
        <w:rPr>
          <w:rFonts w:ascii="Arial" w:eastAsia="Calibri" w:hAnsi="Arial" w:cs="Arial"/>
          <w:sz w:val="20"/>
          <w:szCs w:val="24"/>
          <w:lang w:val="es-ES"/>
        </w:rPr>
        <w:tab/>
        <w:t xml:space="preserve">Ordinario Laboral </w:t>
      </w:r>
    </w:p>
    <w:p w:rsidR="009C3669" w:rsidRPr="009C3669" w:rsidRDefault="009C3669" w:rsidP="009C3669">
      <w:pPr>
        <w:spacing w:after="0" w:line="240" w:lineRule="auto"/>
        <w:jc w:val="both"/>
        <w:rPr>
          <w:rFonts w:ascii="Arial" w:eastAsia="Calibri" w:hAnsi="Arial" w:cs="Arial"/>
          <w:sz w:val="20"/>
          <w:szCs w:val="24"/>
          <w:lang w:val="es-ES"/>
        </w:rPr>
      </w:pPr>
      <w:r w:rsidRPr="009C3669">
        <w:rPr>
          <w:rFonts w:ascii="Arial" w:eastAsia="Calibri" w:hAnsi="Arial" w:cs="Arial"/>
          <w:sz w:val="20"/>
          <w:szCs w:val="24"/>
          <w:lang w:val="es-ES"/>
        </w:rPr>
        <w:t>Radicación Nro.:</w:t>
      </w:r>
      <w:r w:rsidRPr="009C3669">
        <w:rPr>
          <w:rFonts w:ascii="Arial" w:eastAsia="Calibri" w:hAnsi="Arial" w:cs="Arial"/>
          <w:sz w:val="20"/>
          <w:szCs w:val="24"/>
          <w:lang w:val="es-ES"/>
        </w:rPr>
        <w:tab/>
        <w:t xml:space="preserve">66001-31-05-004-2018-00531-01 </w:t>
      </w:r>
    </w:p>
    <w:p w:rsidR="009C3669" w:rsidRPr="009C3669" w:rsidRDefault="009C3669" w:rsidP="009C3669">
      <w:pPr>
        <w:spacing w:after="0" w:line="240" w:lineRule="auto"/>
        <w:jc w:val="both"/>
        <w:rPr>
          <w:rFonts w:ascii="Arial" w:eastAsia="Calibri" w:hAnsi="Arial" w:cs="Arial"/>
          <w:sz w:val="20"/>
          <w:szCs w:val="24"/>
          <w:lang w:val="es-ES"/>
        </w:rPr>
      </w:pPr>
      <w:r w:rsidRPr="009C3669">
        <w:rPr>
          <w:rFonts w:ascii="Arial" w:eastAsia="Calibri" w:hAnsi="Arial" w:cs="Arial"/>
          <w:sz w:val="20"/>
          <w:szCs w:val="24"/>
          <w:lang w:val="es-ES"/>
        </w:rPr>
        <w:t>Demandantes:</w:t>
      </w:r>
      <w:r w:rsidRPr="009C3669">
        <w:rPr>
          <w:rFonts w:ascii="Arial" w:eastAsia="Calibri" w:hAnsi="Arial" w:cs="Arial"/>
          <w:sz w:val="20"/>
          <w:szCs w:val="24"/>
          <w:lang w:val="es-ES"/>
        </w:rPr>
        <w:tab/>
      </w:r>
      <w:r w:rsidRPr="009C3669">
        <w:rPr>
          <w:rFonts w:ascii="Arial" w:eastAsia="Calibri" w:hAnsi="Arial" w:cs="Arial"/>
          <w:sz w:val="20"/>
          <w:szCs w:val="24"/>
          <w:lang w:val="es-ES"/>
        </w:rPr>
        <w:tab/>
        <w:t>Luis Alberto Martínez González</w:t>
      </w:r>
    </w:p>
    <w:p w:rsidR="009C3669" w:rsidRPr="009C3669" w:rsidRDefault="009C3669" w:rsidP="009C3669">
      <w:pPr>
        <w:spacing w:after="0" w:line="240" w:lineRule="auto"/>
        <w:jc w:val="both"/>
        <w:rPr>
          <w:rFonts w:ascii="Arial" w:eastAsia="Calibri" w:hAnsi="Arial" w:cs="Arial"/>
          <w:sz w:val="20"/>
          <w:szCs w:val="24"/>
          <w:lang w:val="es-ES"/>
        </w:rPr>
      </w:pPr>
      <w:r w:rsidRPr="009C3669">
        <w:rPr>
          <w:rFonts w:ascii="Arial" w:eastAsia="Calibri" w:hAnsi="Arial" w:cs="Arial"/>
          <w:sz w:val="20"/>
          <w:szCs w:val="24"/>
          <w:lang w:val="es-ES"/>
        </w:rPr>
        <w:t>Demandado:</w:t>
      </w:r>
      <w:r w:rsidRPr="009C3669">
        <w:rPr>
          <w:rFonts w:ascii="Arial" w:eastAsia="Calibri" w:hAnsi="Arial" w:cs="Arial"/>
          <w:sz w:val="20"/>
          <w:szCs w:val="24"/>
          <w:lang w:val="es-ES"/>
        </w:rPr>
        <w:tab/>
      </w:r>
      <w:r w:rsidRPr="009C3669">
        <w:rPr>
          <w:rFonts w:ascii="Arial" w:eastAsia="Calibri" w:hAnsi="Arial" w:cs="Arial"/>
          <w:sz w:val="20"/>
          <w:szCs w:val="24"/>
          <w:lang w:val="es-ES"/>
        </w:rPr>
        <w:tab/>
        <w:t xml:space="preserve">Colpensiones </w:t>
      </w:r>
    </w:p>
    <w:p w:rsidR="009C3669" w:rsidRPr="009C3669" w:rsidRDefault="009C3669" w:rsidP="009C3669">
      <w:pPr>
        <w:spacing w:after="0" w:line="240" w:lineRule="auto"/>
        <w:jc w:val="both"/>
        <w:rPr>
          <w:rFonts w:ascii="Arial" w:eastAsia="Calibri" w:hAnsi="Arial" w:cs="Arial"/>
          <w:sz w:val="20"/>
          <w:szCs w:val="24"/>
          <w:lang w:val="es-ES"/>
        </w:rPr>
      </w:pPr>
      <w:r w:rsidRPr="009C3669">
        <w:rPr>
          <w:rFonts w:ascii="Arial" w:eastAsia="Calibri" w:hAnsi="Arial" w:cs="Arial"/>
          <w:sz w:val="20"/>
          <w:szCs w:val="24"/>
          <w:lang w:val="es-ES"/>
        </w:rPr>
        <w:t>Juzgado de origen:</w:t>
      </w:r>
      <w:r w:rsidRPr="009C3669">
        <w:rPr>
          <w:rFonts w:ascii="Arial" w:eastAsia="Calibri" w:hAnsi="Arial" w:cs="Arial"/>
          <w:sz w:val="20"/>
          <w:szCs w:val="24"/>
          <w:lang w:val="es-ES"/>
        </w:rPr>
        <w:tab/>
        <w:t>Cuarto Laboral del Circuito de Pereira</w:t>
      </w:r>
    </w:p>
    <w:p w:rsidR="009C3669" w:rsidRPr="009C3669" w:rsidRDefault="009C3669" w:rsidP="009C3669">
      <w:pPr>
        <w:spacing w:after="0" w:line="240" w:lineRule="auto"/>
        <w:jc w:val="both"/>
        <w:rPr>
          <w:rFonts w:ascii="Arial" w:eastAsia="Calibri" w:hAnsi="Arial" w:cs="Arial"/>
          <w:sz w:val="20"/>
          <w:szCs w:val="24"/>
          <w:lang w:val="es-ES"/>
        </w:rPr>
      </w:pPr>
    </w:p>
    <w:p w:rsidR="009C3669" w:rsidRPr="009C3669" w:rsidRDefault="009C3669" w:rsidP="009C3669">
      <w:pPr>
        <w:spacing w:after="0" w:line="240" w:lineRule="auto"/>
        <w:jc w:val="both"/>
        <w:rPr>
          <w:rFonts w:ascii="Arial" w:eastAsia="Calibri" w:hAnsi="Arial" w:cs="Arial"/>
          <w:sz w:val="20"/>
          <w:szCs w:val="24"/>
          <w:lang w:val="es-ES"/>
        </w:rPr>
      </w:pPr>
    </w:p>
    <w:p w:rsidR="009C3669" w:rsidRPr="009C3669" w:rsidRDefault="009C3669" w:rsidP="009C3669">
      <w:pPr>
        <w:spacing w:after="0" w:line="240" w:lineRule="auto"/>
        <w:jc w:val="both"/>
        <w:rPr>
          <w:rFonts w:ascii="Arial" w:eastAsia="Calibri" w:hAnsi="Arial" w:cs="Arial"/>
          <w:sz w:val="20"/>
          <w:szCs w:val="24"/>
          <w:lang w:val="es-ES"/>
        </w:rPr>
      </w:pPr>
    </w:p>
    <w:p w:rsidR="009C3669" w:rsidRPr="009C3669" w:rsidRDefault="009C3669" w:rsidP="009C3669">
      <w:pPr>
        <w:spacing w:after="0" w:line="276" w:lineRule="auto"/>
        <w:jc w:val="center"/>
        <w:rPr>
          <w:rFonts w:ascii="Arial" w:eastAsia="Times New Roman" w:hAnsi="Arial" w:cs="Arial"/>
          <w:b/>
          <w:bCs/>
          <w:sz w:val="24"/>
          <w:szCs w:val="24"/>
          <w:lang w:val="es-ES" w:eastAsia="es-ES"/>
        </w:rPr>
      </w:pPr>
      <w:r w:rsidRPr="009C3669">
        <w:rPr>
          <w:rFonts w:ascii="Times New Roman" w:eastAsia="Times New Roman" w:hAnsi="Times New Roman" w:cs="Times New Roman"/>
          <w:noProof/>
          <w:sz w:val="24"/>
          <w:szCs w:val="24"/>
          <w:lang w:val="es-ES" w:eastAsia="es-ES"/>
        </w:rPr>
        <w:drawing>
          <wp:inline distT="0" distB="0" distL="0" distR="0" wp14:anchorId="70320AF8" wp14:editId="4ADBBFA2">
            <wp:extent cx="789335" cy="768485"/>
            <wp:effectExtent l="0" t="0" r="0" b="635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789335" cy="768485"/>
                    </a:xfrm>
                    <a:prstGeom prst="rect">
                      <a:avLst/>
                    </a:prstGeom>
                  </pic:spPr>
                </pic:pic>
              </a:graphicData>
            </a:graphic>
          </wp:inline>
        </w:drawing>
      </w:r>
    </w:p>
    <w:p w:rsidR="009C3669" w:rsidRPr="009C3669" w:rsidRDefault="009C3669" w:rsidP="009C3669">
      <w:pPr>
        <w:autoSpaceDE w:val="0"/>
        <w:autoSpaceDN w:val="0"/>
        <w:adjustRightInd w:val="0"/>
        <w:spacing w:after="0" w:line="312" w:lineRule="auto"/>
        <w:jc w:val="center"/>
        <w:rPr>
          <w:rFonts w:ascii="Arial" w:eastAsia="Calibri" w:hAnsi="Arial" w:cs="Arial"/>
          <w:b/>
          <w:bCs/>
          <w:spacing w:val="12"/>
          <w:sz w:val="24"/>
          <w:szCs w:val="24"/>
          <w:lang w:val="es-ES"/>
        </w:rPr>
      </w:pPr>
      <w:r w:rsidRPr="009C3669">
        <w:rPr>
          <w:rFonts w:ascii="Arial" w:eastAsia="Calibri" w:hAnsi="Arial" w:cs="Arial"/>
          <w:b/>
          <w:bCs/>
          <w:spacing w:val="12"/>
          <w:sz w:val="24"/>
          <w:szCs w:val="24"/>
          <w:lang w:val="es-ES"/>
        </w:rPr>
        <w:t>TRIBUNAL SUPERIOR DEL DISTRITO JUDICIAL DE PEREIRA</w:t>
      </w:r>
    </w:p>
    <w:p w:rsidR="009C3669" w:rsidRPr="009C3669" w:rsidRDefault="009C3669" w:rsidP="009C3669">
      <w:pPr>
        <w:autoSpaceDE w:val="0"/>
        <w:autoSpaceDN w:val="0"/>
        <w:adjustRightInd w:val="0"/>
        <w:spacing w:after="0" w:line="312" w:lineRule="auto"/>
        <w:jc w:val="center"/>
        <w:rPr>
          <w:rFonts w:ascii="Arial" w:eastAsia="Calibri" w:hAnsi="Arial" w:cs="Arial"/>
          <w:b/>
          <w:bCs/>
          <w:spacing w:val="12"/>
          <w:sz w:val="24"/>
          <w:szCs w:val="24"/>
          <w:lang w:val="es-ES"/>
        </w:rPr>
      </w:pPr>
      <w:r w:rsidRPr="009C3669">
        <w:rPr>
          <w:rFonts w:ascii="Arial" w:eastAsia="Calibri" w:hAnsi="Arial" w:cs="Arial"/>
          <w:b/>
          <w:bCs/>
          <w:spacing w:val="12"/>
          <w:sz w:val="24"/>
          <w:szCs w:val="24"/>
          <w:lang w:val="es-ES"/>
        </w:rPr>
        <w:t>SALA LABORAL</w:t>
      </w:r>
    </w:p>
    <w:p w:rsidR="009C3669" w:rsidRPr="009C3669" w:rsidRDefault="009C3669" w:rsidP="009C3669">
      <w:pPr>
        <w:autoSpaceDE w:val="0"/>
        <w:autoSpaceDN w:val="0"/>
        <w:adjustRightInd w:val="0"/>
        <w:spacing w:after="0" w:line="312" w:lineRule="auto"/>
        <w:jc w:val="center"/>
        <w:rPr>
          <w:rFonts w:ascii="Arial" w:eastAsia="Calibri" w:hAnsi="Arial" w:cs="Arial"/>
          <w:b/>
          <w:bCs/>
          <w:spacing w:val="12"/>
          <w:sz w:val="24"/>
          <w:szCs w:val="24"/>
          <w:lang w:val="es-ES"/>
        </w:rPr>
      </w:pPr>
    </w:p>
    <w:p w:rsidR="009C3669" w:rsidRPr="009C3669" w:rsidRDefault="009C3669" w:rsidP="009C3669">
      <w:pPr>
        <w:autoSpaceDE w:val="0"/>
        <w:autoSpaceDN w:val="0"/>
        <w:adjustRightInd w:val="0"/>
        <w:spacing w:after="0" w:line="312" w:lineRule="auto"/>
        <w:jc w:val="center"/>
        <w:rPr>
          <w:rFonts w:ascii="Arial" w:eastAsia="Calibri" w:hAnsi="Arial" w:cs="Arial"/>
          <w:b/>
          <w:bCs/>
          <w:u w:val="single"/>
          <w:lang w:val="es-ES"/>
        </w:rPr>
      </w:pPr>
      <w:r w:rsidRPr="009C3669">
        <w:rPr>
          <w:rFonts w:ascii="Arial" w:eastAsia="Calibri" w:hAnsi="Arial" w:cs="Arial"/>
          <w:b/>
          <w:bCs/>
          <w:spacing w:val="12"/>
          <w:sz w:val="24"/>
          <w:szCs w:val="24"/>
          <w:u w:val="single"/>
          <w:lang w:val="es-ES"/>
        </w:rPr>
        <w:t xml:space="preserve">ACLARACIÓN DE VOTO </w:t>
      </w:r>
    </w:p>
    <w:p w:rsidR="009C3669" w:rsidRPr="009C3669" w:rsidRDefault="009C3669" w:rsidP="009C3669">
      <w:pPr>
        <w:autoSpaceDE w:val="0"/>
        <w:autoSpaceDN w:val="0"/>
        <w:adjustRightInd w:val="0"/>
        <w:spacing w:after="0" w:line="312" w:lineRule="auto"/>
        <w:jc w:val="center"/>
        <w:rPr>
          <w:rFonts w:ascii="Arial" w:eastAsia="Calibri" w:hAnsi="Arial" w:cs="Arial"/>
          <w:b/>
          <w:bCs/>
          <w:spacing w:val="12"/>
          <w:sz w:val="24"/>
          <w:szCs w:val="24"/>
          <w:lang w:val="es-ES"/>
        </w:rPr>
      </w:pPr>
    </w:p>
    <w:p w:rsidR="009C3669" w:rsidRPr="009C3669" w:rsidRDefault="009C3669" w:rsidP="009C3669">
      <w:pPr>
        <w:autoSpaceDE w:val="0"/>
        <w:autoSpaceDN w:val="0"/>
        <w:adjustRightInd w:val="0"/>
        <w:spacing w:after="0" w:line="312" w:lineRule="auto"/>
        <w:jc w:val="center"/>
        <w:rPr>
          <w:rFonts w:ascii="Arial" w:eastAsia="Calibri" w:hAnsi="Arial" w:cs="Arial"/>
          <w:spacing w:val="12"/>
          <w:sz w:val="24"/>
          <w:szCs w:val="24"/>
          <w:lang w:val="es-ES"/>
        </w:rPr>
      </w:pPr>
      <w:r w:rsidRPr="009C3669">
        <w:rPr>
          <w:rFonts w:ascii="Arial" w:eastAsia="Calibri" w:hAnsi="Arial" w:cs="Arial"/>
          <w:spacing w:val="12"/>
          <w:sz w:val="24"/>
          <w:szCs w:val="24"/>
          <w:lang w:val="es-ES"/>
        </w:rPr>
        <w:t>Magistrada:</w:t>
      </w:r>
    </w:p>
    <w:p w:rsidR="009C3669" w:rsidRPr="009C3669" w:rsidRDefault="009C3669" w:rsidP="009C3669">
      <w:pPr>
        <w:autoSpaceDE w:val="0"/>
        <w:autoSpaceDN w:val="0"/>
        <w:adjustRightInd w:val="0"/>
        <w:spacing w:after="0" w:line="312" w:lineRule="auto"/>
        <w:jc w:val="center"/>
        <w:rPr>
          <w:rFonts w:ascii="Arial" w:eastAsia="Calibri" w:hAnsi="Arial" w:cs="Arial"/>
          <w:b/>
          <w:bCs/>
          <w:spacing w:val="12"/>
          <w:sz w:val="24"/>
          <w:szCs w:val="24"/>
          <w:lang w:val="es-ES"/>
        </w:rPr>
      </w:pPr>
      <w:r w:rsidRPr="009C3669">
        <w:rPr>
          <w:rFonts w:ascii="Arial" w:eastAsia="Calibri" w:hAnsi="Arial" w:cs="Arial"/>
          <w:b/>
          <w:bCs/>
          <w:spacing w:val="12"/>
          <w:sz w:val="24"/>
          <w:szCs w:val="24"/>
          <w:lang w:val="es-ES"/>
        </w:rPr>
        <w:t>ALEJANDRA MARÍA HENAO PALACIO</w:t>
      </w:r>
    </w:p>
    <w:p w:rsidR="009C3669" w:rsidRPr="009C3669" w:rsidRDefault="009C3669" w:rsidP="009C3669">
      <w:pPr>
        <w:spacing w:after="0" w:line="312" w:lineRule="auto"/>
        <w:jc w:val="both"/>
        <w:rPr>
          <w:rFonts w:ascii="Arial" w:eastAsia="Calibri" w:hAnsi="Arial" w:cs="Arial"/>
          <w:sz w:val="24"/>
          <w:szCs w:val="24"/>
          <w:lang w:val="es-ES"/>
        </w:rPr>
      </w:pPr>
      <w:bookmarkStart w:id="0" w:name="_GoBack"/>
      <w:bookmarkEnd w:id="0"/>
    </w:p>
    <w:p w:rsidR="009C3669" w:rsidRPr="009C3669" w:rsidRDefault="009C3669" w:rsidP="009C3669">
      <w:pPr>
        <w:spacing w:after="0" w:line="312" w:lineRule="auto"/>
        <w:jc w:val="center"/>
        <w:rPr>
          <w:rFonts w:ascii="Arial" w:eastAsia="Calibri" w:hAnsi="Arial" w:cs="Arial"/>
          <w:b/>
          <w:bCs/>
          <w:sz w:val="24"/>
          <w:szCs w:val="24"/>
          <w:lang w:val="es-ES"/>
        </w:rPr>
      </w:pPr>
      <w:r w:rsidRPr="009C3669">
        <w:rPr>
          <w:rFonts w:ascii="Arial" w:eastAsia="Calibri" w:hAnsi="Arial" w:cs="Arial"/>
          <w:b/>
          <w:bCs/>
          <w:sz w:val="24"/>
          <w:szCs w:val="24"/>
          <w:lang w:val="es-ES"/>
        </w:rPr>
        <w:t>MAGISTRADO PONENTE: JULIO CÉSAR SALAZAR MUÑOZ</w:t>
      </w:r>
    </w:p>
    <w:p w:rsidR="009C3669" w:rsidRDefault="009C3669" w:rsidP="009C3669">
      <w:pPr>
        <w:spacing w:after="0" w:line="312" w:lineRule="auto"/>
        <w:jc w:val="both"/>
        <w:rPr>
          <w:rFonts w:ascii="Arial" w:eastAsia="Calibri" w:hAnsi="Arial" w:cs="Arial"/>
          <w:sz w:val="24"/>
          <w:szCs w:val="24"/>
          <w:lang w:val="es-ES"/>
        </w:rPr>
      </w:pPr>
    </w:p>
    <w:p w:rsidR="009C3669" w:rsidRPr="009C3669" w:rsidRDefault="009C3669" w:rsidP="009C3669">
      <w:pPr>
        <w:spacing w:after="0" w:line="312" w:lineRule="auto"/>
        <w:jc w:val="both"/>
        <w:rPr>
          <w:rFonts w:ascii="Arial" w:eastAsia="Calibri" w:hAnsi="Arial" w:cs="Arial"/>
          <w:sz w:val="24"/>
          <w:szCs w:val="24"/>
          <w:lang w:val="es-ES"/>
        </w:rPr>
      </w:pPr>
    </w:p>
    <w:p w:rsidR="009C3669" w:rsidRPr="009C3669" w:rsidRDefault="009C3669" w:rsidP="009C3669">
      <w:pPr>
        <w:spacing w:after="0" w:line="312" w:lineRule="auto"/>
        <w:jc w:val="both"/>
        <w:rPr>
          <w:rFonts w:ascii="Arial" w:eastAsia="Calibri" w:hAnsi="Arial" w:cs="Arial"/>
          <w:sz w:val="24"/>
          <w:szCs w:val="24"/>
          <w:lang w:val="es-ES"/>
        </w:rPr>
      </w:pPr>
      <w:r w:rsidRPr="009C3669">
        <w:rPr>
          <w:rFonts w:ascii="Arial" w:eastAsia="Calibri" w:hAnsi="Arial" w:cs="Arial"/>
          <w:sz w:val="24"/>
          <w:szCs w:val="24"/>
          <w:lang w:val="es-ES"/>
        </w:rPr>
        <w:t xml:space="preserve">Con el acostumbrado respeto por las decisiones de la Sala, aclaro mi voto frente a la sentencia de la referencia, por las razones que sucintamente expongo a continuación. </w:t>
      </w:r>
    </w:p>
    <w:p w:rsidR="009C3669" w:rsidRPr="009C3669" w:rsidRDefault="009C3669" w:rsidP="009C3669">
      <w:pPr>
        <w:spacing w:after="0" w:line="312" w:lineRule="auto"/>
        <w:jc w:val="both"/>
        <w:rPr>
          <w:rFonts w:ascii="Arial" w:eastAsia="Calibri" w:hAnsi="Arial" w:cs="Arial"/>
          <w:sz w:val="24"/>
          <w:szCs w:val="24"/>
          <w:lang w:val="es-ES"/>
        </w:rPr>
      </w:pPr>
    </w:p>
    <w:p w:rsidR="009C3669" w:rsidRPr="009C3669" w:rsidRDefault="009C3669" w:rsidP="009C3669">
      <w:pPr>
        <w:spacing w:after="0" w:line="312" w:lineRule="auto"/>
        <w:jc w:val="both"/>
        <w:rPr>
          <w:rFonts w:ascii="Arial" w:eastAsia="Calibri" w:hAnsi="Arial" w:cs="Arial"/>
          <w:sz w:val="24"/>
          <w:szCs w:val="24"/>
          <w:lang w:val="es-ES"/>
        </w:rPr>
      </w:pPr>
      <w:r w:rsidRPr="009C3669">
        <w:rPr>
          <w:rFonts w:ascii="Arial" w:eastAsia="Calibri" w:hAnsi="Arial" w:cs="Arial"/>
          <w:sz w:val="24"/>
          <w:szCs w:val="24"/>
          <w:lang w:val="es-ES"/>
        </w:rPr>
        <w:t xml:space="preserve">En el proceso quedó establecido que Gladys Losada López padecía una discapacidad profunda, en tanto sufrió una pérdida de capacidad laboral del 51.7%, estructurada el 21 de noviembre de 2016; que la dejó con pocas o ninguna posibilidad de desarrollar actividades generadoras de ingresos para asegurar su subsistencia o de acceder en algún momento por sus propios medios al sistema de pensiones.  </w:t>
      </w:r>
    </w:p>
    <w:p w:rsidR="009C3669" w:rsidRPr="009C3669" w:rsidRDefault="009C3669" w:rsidP="009C3669">
      <w:pPr>
        <w:spacing w:after="0" w:line="312" w:lineRule="auto"/>
        <w:jc w:val="both"/>
        <w:rPr>
          <w:rFonts w:ascii="Arial" w:eastAsia="Calibri" w:hAnsi="Arial" w:cs="Arial"/>
          <w:sz w:val="24"/>
          <w:szCs w:val="24"/>
          <w:lang w:val="es-ES"/>
        </w:rPr>
      </w:pPr>
    </w:p>
    <w:p w:rsidR="009C3669" w:rsidRPr="009C3669" w:rsidRDefault="009C3669" w:rsidP="009C3669">
      <w:pPr>
        <w:spacing w:after="0" w:line="312" w:lineRule="auto"/>
        <w:jc w:val="both"/>
        <w:rPr>
          <w:rFonts w:ascii="Arial" w:eastAsia="Calibri" w:hAnsi="Arial" w:cs="Arial"/>
          <w:sz w:val="24"/>
          <w:szCs w:val="24"/>
          <w:lang w:val="es-ES"/>
        </w:rPr>
      </w:pPr>
      <w:r w:rsidRPr="009C3669">
        <w:rPr>
          <w:rFonts w:ascii="Arial" w:eastAsia="Calibri" w:hAnsi="Arial" w:cs="Arial"/>
          <w:sz w:val="24"/>
          <w:szCs w:val="24"/>
          <w:lang w:val="es-ES"/>
        </w:rPr>
        <w:t xml:space="preserve">El alto grado de vulnerabilidad que deviene de lo referido, pone en evidencia que, en este caso, una aplicación igualitaria de la ley, en principio, resulta insuficiente frente a los mandatos constitucionales, que obligan a dar un tratamiento diferenciado a quienes se encuentren en situaciones de desigualdad, especialmente, en eventos en los que pueden resultar comprometidos en derechos mínimos e irrenunciables, para cuya garantía fue estatuido el sistema de seguridad social. </w:t>
      </w:r>
    </w:p>
    <w:p w:rsidR="009C3669" w:rsidRPr="009C3669" w:rsidRDefault="009C3669" w:rsidP="009C3669">
      <w:pPr>
        <w:spacing w:after="0" w:line="312" w:lineRule="auto"/>
        <w:jc w:val="both"/>
        <w:rPr>
          <w:rFonts w:ascii="Arial" w:eastAsia="Calibri" w:hAnsi="Arial" w:cs="Arial"/>
          <w:sz w:val="24"/>
          <w:szCs w:val="24"/>
          <w:lang w:val="es-ES"/>
        </w:rPr>
      </w:pPr>
    </w:p>
    <w:p w:rsidR="009C3669" w:rsidRPr="009C3669" w:rsidRDefault="009C3669" w:rsidP="009C3669">
      <w:pPr>
        <w:spacing w:after="0" w:line="312" w:lineRule="auto"/>
        <w:jc w:val="both"/>
        <w:rPr>
          <w:rFonts w:ascii="Arial" w:eastAsia="Calibri" w:hAnsi="Arial" w:cs="Arial"/>
          <w:sz w:val="24"/>
          <w:szCs w:val="24"/>
          <w:lang w:val="es-ES"/>
        </w:rPr>
      </w:pPr>
      <w:r w:rsidRPr="009C3669">
        <w:rPr>
          <w:rFonts w:ascii="Arial" w:eastAsia="Calibri" w:hAnsi="Arial" w:cs="Arial"/>
          <w:sz w:val="24"/>
          <w:szCs w:val="24"/>
          <w:lang w:val="es-ES"/>
        </w:rPr>
        <w:t xml:space="preserve">Conforme con lo anterior, en el </w:t>
      </w:r>
      <w:r w:rsidRPr="009C3669">
        <w:rPr>
          <w:rFonts w:ascii="Arial" w:eastAsia="Calibri" w:hAnsi="Arial" w:cs="Arial"/>
          <w:i/>
          <w:iCs/>
          <w:sz w:val="24"/>
          <w:szCs w:val="24"/>
          <w:lang w:val="es-ES"/>
        </w:rPr>
        <w:t xml:space="preserve">sub examine </w:t>
      </w:r>
      <w:r w:rsidRPr="009C3669">
        <w:rPr>
          <w:rFonts w:ascii="Arial" w:eastAsia="Calibri" w:hAnsi="Arial" w:cs="Arial"/>
          <w:sz w:val="24"/>
          <w:szCs w:val="24"/>
          <w:lang w:val="es-ES"/>
        </w:rPr>
        <w:t xml:space="preserve">ha debido efectuarse un análisis más profundo y siguiendo lo lineado por la Corte Constitucional en la sentencia SU-556 de 2019, verificar la concurrencia de los restantes elementos que posibilitan </w:t>
      </w:r>
      <w:r w:rsidRPr="009C3669">
        <w:rPr>
          <w:rFonts w:ascii="Arial" w:eastAsia="Calibri" w:hAnsi="Arial" w:cs="Arial"/>
          <w:sz w:val="24"/>
          <w:szCs w:val="24"/>
          <w:lang w:val="es-ES"/>
        </w:rPr>
        <w:lastRenderedPageBreak/>
        <w:t xml:space="preserve">efectuar una interpretación ponderada del principio de la condición más beneficiosa, estos son: </w:t>
      </w:r>
      <w:r w:rsidRPr="009C3669">
        <w:rPr>
          <w:rFonts w:ascii="Arial" w:eastAsia="Calibri" w:hAnsi="Arial" w:cs="Arial"/>
          <w:b/>
          <w:bCs/>
          <w:sz w:val="24"/>
          <w:szCs w:val="24"/>
          <w:lang w:val="es-ES"/>
        </w:rPr>
        <w:t xml:space="preserve">(i) </w:t>
      </w:r>
      <w:r w:rsidRPr="009C3669">
        <w:rPr>
          <w:rFonts w:ascii="Arial" w:eastAsia="Calibri" w:hAnsi="Arial" w:cs="Arial"/>
          <w:sz w:val="24"/>
          <w:szCs w:val="24"/>
          <w:lang w:val="es-ES"/>
        </w:rPr>
        <w:t xml:space="preserve">que además de ser una persona en situación de invalidez, pertenece a un grupo de especial protección constitucional o se encuentra en una situación de riesgo derivada de, entre otras, alguna de las siguientes condiciones: (a) analfabetismo, (b) vejez, (c) pobreza extrema, (d) cabeza de familia, (e) desplazamiento o (f) padecimiento de una enfermedad crónica, catastrófica, congénita o degenerativa; </w:t>
      </w:r>
      <w:r w:rsidRPr="009C3669">
        <w:rPr>
          <w:rFonts w:ascii="Arial" w:eastAsia="Calibri" w:hAnsi="Arial" w:cs="Arial"/>
          <w:b/>
          <w:bCs/>
          <w:sz w:val="24"/>
          <w:szCs w:val="24"/>
          <w:lang w:val="es-ES"/>
        </w:rPr>
        <w:t>(ii)</w:t>
      </w:r>
      <w:r w:rsidRPr="009C3669">
        <w:rPr>
          <w:rFonts w:ascii="Arial" w:eastAsia="Calibri" w:hAnsi="Arial" w:cs="Arial"/>
          <w:sz w:val="24"/>
          <w:szCs w:val="24"/>
          <w:lang w:val="es-ES"/>
        </w:rPr>
        <w:t xml:space="preserve"> la afectación del mínimo vital como consecuencia del no reconocimiento del derecho; </w:t>
      </w:r>
      <w:r w:rsidRPr="009C3669">
        <w:rPr>
          <w:rFonts w:ascii="Arial" w:eastAsia="Calibri" w:hAnsi="Arial" w:cs="Arial"/>
          <w:b/>
          <w:bCs/>
          <w:sz w:val="24"/>
          <w:szCs w:val="24"/>
          <w:lang w:val="es-ES"/>
        </w:rPr>
        <w:t>(iii)</w:t>
      </w:r>
      <w:r w:rsidRPr="009C3669">
        <w:rPr>
          <w:rFonts w:ascii="Arial" w:eastAsia="Calibri" w:hAnsi="Arial" w:cs="Arial"/>
          <w:sz w:val="24"/>
          <w:szCs w:val="24"/>
          <w:lang w:val="es-ES"/>
        </w:rPr>
        <w:t xml:space="preserve"> la imposibilidad insuperable de realizar las cotizaciones al sistema de pensiones que justifique el incumplimiento de las semanas previstas en el ordenamiento vigente al momento de la estructuración de la invalidez; y </w:t>
      </w:r>
      <w:r w:rsidRPr="009C3669">
        <w:rPr>
          <w:rFonts w:ascii="Arial" w:eastAsia="Calibri" w:hAnsi="Arial" w:cs="Arial"/>
          <w:b/>
          <w:bCs/>
          <w:sz w:val="24"/>
          <w:szCs w:val="24"/>
          <w:lang w:val="es-ES"/>
        </w:rPr>
        <w:t xml:space="preserve">(iv) </w:t>
      </w:r>
      <w:r w:rsidRPr="009C3669">
        <w:rPr>
          <w:rFonts w:ascii="Arial" w:eastAsia="Calibri" w:hAnsi="Arial" w:cs="Arial"/>
          <w:sz w:val="24"/>
          <w:szCs w:val="24"/>
          <w:lang w:val="es-ES"/>
        </w:rPr>
        <w:t xml:space="preserve">la demostración de un proceder diligente en procura del reconocimiento pensional. </w:t>
      </w:r>
    </w:p>
    <w:p w:rsidR="009C3669" w:rsidRPr="009C3669" w:rsidRDefault="009C3669" w:rsidP="009C3669">
      <w:pPr>
        <w:spacing w:after="0" w:line="312" w:lineRule="auto"/>
        <w:jc w:val="both"/>
        <w:rPr>
          <w:rFonts w:ascii="Arial" w:eastAsia="Calibri" w:hAnsi="Arial" w:cs="Arial"/>
          <w:sz w:val="24"/>
          <w:szCs w:val="24"/>
          <w:lang w:val="es-ES"/>
        </w:rPr>
      </w:pPr>
    </w:p>
    <w:p w:rsidR="009C3669" w:rsidRPr="009C3669" w:rsidRDefault="009C3669" w:rsidP="009C3669">
      <w:pPr>
        <w:spacing w:after="0" w:line="312" w:lineRule="auto"/>
        <w:jc w:val="both"/>
        <w:rPr>
          <w:rFonts w:ascii="Arial" w:eastAsia="Calibri" w:hAnsi="Arial" w:cs="Arial"/>
          <w:sz w:val="24"/>
          <w:szCs w:val="24"/>
          <w:lang w:val="es-ES"/>
        </w:rPr>
      </w:pPr>
      <w:r w:rsidRPr="009C3669">
        <w:rPr>
          <w:rFonts w:ascii="Arial" w:eastAsia="Calibri" w:hAnsi="Arial" w:cs="Arial"/>
          <w:sz w:val="24"/>
          <w:szCs w:val="24"/>
          <w:lang w:val="es-ES"/>
        </w:rPr>
        <w:t xml:space="preserve">Ahora bien, como la activa no afirmó y mucho menos probó encontrarse en alguna las especiales circunstancias que se ha referido y en especial, una justificación atendible de las razones por las cuales no continuó cotizando al sistema pensional; sin más consideraciones es posible concluir que en este particular no tiene cabida una interpretación amplia del principio de la condición más beneficiosa, lo cual conduce a idéntica conclusión propuesta por el ponente. </w:t>
      </w:r>
    </w:p>
    <w:p w:rsidR="009C3669" w:rsidRPr="009C3669" w:rsidRDefault="009C3669" w:rsidP="009C3669">
      <w:pPr>
        <w:spacing w:after="0" w:line="312" w:lineRule="auto"/>
        <w:jc w:val="both"/>
        <w:rPr>
          <w:rFonts w:ascii="Arial" w:eastAsia="Calibri" w:hAnsi="Arial" w:cs="Arial"/>
          <w:lang w:val="es-ES"/>
        </w:rPr>
      </w:pPr>
    </w:p>
    <w:p w:rsidR="009C3669" w:rsidRPr="009C3669" w:rsidRDefault="009C3669" w:rsidP="009C3669">
      <w:pPr>
        <w:spacing w:after="0" w:line="312" w:lineRule="auto"/>
        <w:jc w:val="both"/>
        <w:rPr>
          <w:rFonts w:ascii="Arial" w:eastAsia="Calibri" w:hAnsi="Arial" w:cs="Arial"/>
          <w:lang w:val="es-ES"/>
        </w:rPr>
      </w:pPr>
    </w:p>
    <w:p w:rsidR="009C3669" w:rsidRPr="009C3669" w:rsidRDefault="009C3669" w:rsidP="009C3669">
      <w:pPr>
        <w:spacing w:after="0" w:line="312" w:lineRule="auto"/>
        <w:jc w:val="both"/>
        <w:rPr>
          <w:rFonts w:ascii="Arial" w:eastAsia="Calibri" w:hAnsi="Arial" w:cs="Arial"/>
          <w:lang w:val="es-ES"/>
        </w:rPr>
      </w:pPr>
    </w:p>
    <w:p w:rsidR="009C3669" w:rsidRPr="009C3669" w:rsidRDefault="009C3669" w:rsidP="009C3669">
      <w:pPr>
        <w:spacing w:after="0" w:line="312" w:lineRule="auto"/>
        <w:jc w:val="center"/>
        <w:rPr>
          <w:rFonts w:ascii="Arial" w:eastAsia="Calibri" w:hAnsi="Arial" w:cs="Arial"/>
          <w:lang w:val="es-ES"/>
        </w:rPr>
      </w:pPr>
    </w:p>
    <w:p w:rsidR="009C3669" w:rsidRPr="009C3669" w:rsidRDefault="009C3669" w:rsidP="009C3669">
      <w:pPr>
        <w:autoSpaceDE w:val="0"/>
        <w:autoSpaceDN w:val="0"/>
        <w:adjustRightInd w:val="0"/>
        <w:spacing w:after="0" w:line="312" w:lineRule="auto"/>
        <w:jc w:val="center"/>
        <w:rPr>
          <w:rFonts w:ascii="Arial" w:eastAsia="Calibri" w:hAnsi="Arial" w:cs="Arial"/>
          <w:b/>
          <w:bCs/>
          <w:spacing w:val="12"/>
          <w:sz w:val="24"/>
          <w:szCs w:val="24"/>
          <w:lang w:val="es-ES"/>
        </w:rPr>
      </w:pPr>
      <w:r w:rsidRPr="009C3669">
        <w:rPr>
          <w:rFonts w:ascii="Arial" w:eastAsia="Calibri" w:hAnsi="Arial" w:cs="Arial"/>
          <w:b/>
          <w:bCs/>
          <w:spacing w:val="12"/>
          <w:sz w:val="24"/>
          <w:szCs w:val="24"/>
          <w:lang w:val="es-ES"/>
        </w:rPr>
        <w:t>ALEJANDRA MARÍA HENAO PALACIO</w:t>
      </w:r>
    </w:p>
    <w:p w:rsidR="009C3669" w:rsidRPr="009C3669" w:rsidRDefault="009C3669" w:rsidP="009C3669">
      <w:pPr>
        <w:spacing w:after="0" w:line="312" w:lineRule="auto"/>
        <w:jc w:val="center"/>
        <w:rPr>
          <w:rFonts w:ascii="Arial" w:eastAsia="Calibri" w:hAnsi="Arial" w:cs="Arial"/>
          <w:lang w:val="es-ES"/>
        </w:rPr>
      </w:pPr>
      <w:r w:rsidRPr="009C3669">
        <w:rPr>
          <w:rFonts w:ascii="Arial" w:eastAsia="Calibri" w:hAnsi="Arial" w:cs="Arial"/>
          <w:spacing w:val="12"/>
          <w:sz w:val="24"/>
          <w:szCs w:val="24"/>
          <w:lang w:val="es-ES"/>
        </w:rPr>
        <w:t>Magistrada</w:t>
      </w:r>
    </w:p>
    <w:sectPr w:rsidR="009C3669" w:rsidRPr="009C3669" w:rsidSect="005C34A4">
      <w:headerReference w:type="default" r:id="rId12"/>
      <w:footerReference w:type="default" r:id="rId13"/>
      <w:pgSz w:w="12242" w:h="18722" w:code="258"/>
      <w:pgMar w:top="1928" w:right="1361" w:bottom="1361" w:left="1928"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487FD0" w15:done="0"/>
  <w15:commentEx w15:paraId="05DAF209" w15:done="0"/>
  <w15:commentEx w15:paraId="42259FD6"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25D999" w16cex:dateUtc="2020-09-19T01:09:30.392Z"/>
  <w16cex:commentExtensible w16cex:durableId="664C028D" w16cex:dateUtc="2020-09-27T16:13:57.82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87FD0" w16cid:durableId="4E25D999"/>
  <w16cid:commentId w16cid:paraId="05DAF209" w16cid:durableId="664C028D"/>
  <w16cid:commentId w16cid:paraId="42259FD6" w16cid:durableId="2325A2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48" w:rsidRDefault="00E44E48" w:rsidP="00621D79">
      <w:pPr>
        <w:spacing w:after="0" w:line="240" w:lineRule="auto"/>
      </w:pPr>
      <w:r>
        <w:separator/>
      </w:r>
    </w:p>
  </w:endnote>
  <w:endnote w:type="continuationSeparator" w:id="0">
    <w:p w:rsidR="00E44E48" w:rsidRDefault="00E44E48" w:rsidP="0062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0437"/>
      <w:docPartObj>
        <w:docPartGallery w:val="Page Numbers (Bottom of Page)"/>
        <w:docPartUnique/>
      </w:docPartObj>
    </w:sdtPr>
    <w:sdtEndPr>
      <w:rPr>
        <w:rFonts w:ascii="Arial" w:hAnsi="Arial" w:cs="Arial"/>
        <w:sz w:val="18"/>
        <w:szCs w:val="16"/>
      </w:rPr>
    </w:sdtEndPr>
    <w:sdtContent>
      <w:p w:rsidR="00621D79" w:rsidRPr="00D24846" w:rsidRDefault="00621D79">
        <w:pPr>
          <w:pStyle w:val="Piedepgina"/>
          <w:jc w:val="right"/>
          <w:rPr>
            <w:sz w:val="24"/>
          </w:rPr>
        </w:pPr>
        <w:r w:rsidRPr="00D24846">
          <w:rPr>
            <w:rFonts w:ascii="Arial" w:hAnsi="Arial" w:cs="Arial"/>
            <w:sz w:val="18"/>
            <w:szCs w:val="16"/>
          </w:rPr>
          <w:fldChar w:fldCharType="begin"/>
        </w:r>
        <w:r w:rsidRPr="00D24846">
          <w:rPr>
            <w:rFonts w:ascii="Arial" w:hAnsi="Arial" w:cs="Arial"/>
            <w:sz w:val="18"/>
            <w:szCs w:val="16"/>
          </w:rPr>
          <w:instrText xml:space="preserve"> PAGE   \* MERGEFORMAT </w:instrText>
        </w:r>
        <w:r w:rsidRPr="00D24846">
          <w:rPr>
            <w:rFonts w:ascii="Arial" w:hAnsi="Arial" w:cs="Arial"/>
            <w:sz w:val="18"/>
            <w:szCs w:val="16"/>
          </w:rPr>
          <w:fldChar w:fldCharType="separate"/>
        </w:r>
        <w:r w:rsidR="00683650">
          <w:rPr>
            <w:rFonts w:ascii="Arial" w:hAnsi="Arial" w:cs="Arial"/>
            <w:noProof/>
            <w:sz w:val="18"/>
            <w:szCs w:val="16"/>
          </w:rPr>
          <w:t>8</w:t>
        </w:r>
        <w:r w:rsidRPr="00D24846">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48" w:rsidRDefault="00E44E48" w:rsidP="00621D79">
      <w:pPr>
        <w:spacing w:after="0" w:line="240" w:lineRule="auto"/>
      </w:pPr>
      <w:r>
        <w:separator/>
      </w:r>
    </w:p>
  </w:footnote>
  <w:footnote w:type="continuationSeparator" w:id="0">
    <w:p w:rsidR="00E44E48" w:rsidRDefault="00E44E48" w:rsidP="00621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46" w:rsidRDefault="00621D79" w:rsidP="00D24846">
    <w:pPr>
      <w:suppressAutoHyphens/>
      <w:spacing w:after="0" w:line="240" w:lineRule="auto"/>
      <w:jc w:val="center"/>
      <w:rPr>
        <w:rStyle w:val="normaltextrun"/>
        <w:rFonts w:ascii="Arial" w:hAnsi="Arial" w:cs="Arial"/>
        <w:sz w:val="18"/>
        <w:szCs w:val="16"/>
      </w:rPr>
    </w:pPr>
    <w:r w:rsidRPr="00D24846">
      <w:rPr>
        <w:rStyle w:val="normaltextrun"/>
        <w:rFonts w:ascii="Arial" w:hAnsi="Arial" w:cs="Arial"/>
        <w:sz w:val="18"/>
        <w:szCs w:val="16"/>
      </w:rPr>
      <w:t>Luis Alberto Martínez González vs Colpensione</w:t>
    </w:r>
    <w:r w:rsidR="00D24846">
      <w:rPr>
        <w:rStyle w:val="normaltextrun"/>
        <w:rFonts w:ascii="Arial" w:hAnsi="Arial" w:cs="Arial"/>
        <w:sz w:val="18"/>
        <w:szCs w:val="16"/>
      </w:rPr>
      <w:t>s</w:t>
    </w:r>
  </w:p>
  <w:p w:rsidR="00621D79" w:rsidRPr="00D24846" w:rsidRDefault="00D24846" w:rsidP="00D24846">
    <w:pPr>
      <w:suppressAutoHyphens/>
      <w:spacing w:after="0" w:line="240" w:lineRule="auto"/>
      <w:jc w:val="center"/>
      <w:rPr>
        <w:rFonts w:ascii="Arial" w:hAnsi="Arial" w:cs="Arial"/>
        <w:sz w:val="18"/>
        <w:szCs w:val="16"/>
      </w:rPr>
    </w:pPr>
    <w:r w:rsidRPr="00D24846">
      <w:rPr>
        <w:rStyle w:val="normaltextrun"/>
        <w:rFonts w:ascii="Arial" w:hAnsi="Arial" w:cs="Arial"/>
        <w:sz w:val="18"/>
        <w:szCs w:val="16"/>
      </w:rPr>
      <w:t>Rad. 66001310500420180053101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DA3"/>
    <w:multiLevelType w:val="hybridMultilevel"/>
    <w:tmpl w:val="8CA666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Maria Henao Palacio">
    <w15:presenceInfo w15:providerId="AD" w15:userId="S::ahenaop@cendoj.ramajudicial.gov.co::31907979-ff5a-4dd1-9ced-eca75d9f4f83"/>
  </w15:person>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7CF3"/>
    <w:rsid w:val="000206F8"/>
    <w:rsid w:val="000A0EB8"/>
    <w:rsid w:val="00142CE9"/>
    <w:rsid w:val="001D65D1"/>
    <w:rsid w:val="002F073A"/>
    <w:rsid w:val="0033103F"/>
    <w:rsid w:val="003B3BFA"/>
    <w:rsid w:val="004601F4"/>
    <w:rsid w:val="004C48C2"/>
    <w:rsid w:val="00503BA3"/>
    <w:rsid w:val="00592C65"/>
    <w:rsid w:val="005C34A4"/>
    <w:rsid w:val="00621D79"/>
    <w:rsid w:val="006270CA"/>
    <w:rsid w:val="00683650"/>
    <w:rsid w:val="006B6309"/>
    <w:rsid w:val="00790D80"/>
    <w:rsid w:val="007C046A"/>
    <w:rsid w:val="007F7CF3"/>
    <w:rsid w:val="00800F98"/>
    <w:rsid w:val="008A1264"/>
    <w:rsid w:val="008F7BE0"/>
    <w:rsid w:val="00915A6F"/>
    <w:rsid w:val="009A3374"/>
    <w:rsid w:val="009C3669"/>
    <w:rsid w:val="00AB1522"/>
    <w:rsid w:val="00B334CD"/>
    <w:rsid w:val="00C31C62"/>
    <w:rsid w:val="00D24846"/>
    <w:rsid w:val="00DD077C"/>
    <w:rsid w:val="00E44E48"/>
    <w:rsid w:val="00E479C8"/>
    <w:rsid w:val="00F05D77"/>
    <w:rsid w:val="00F651AD"/>
    <w:rsid w:val="00F67401"/>
    <w:rsid w:val="06D56289"/>
    <w:rsid w:val="07D48D92"/>
    <w:rsid w:val="0CC0D3EE"/>
    <w:rsid w:val="0FEFB171"/>
    <w:rsid w:val="10049279"/>
    <w:rsid w:val="134FA1CA"/>
    <w:rsid w:val="1532CF69"/>
    <w:rsid w:val="162ADA11"/>
    <w:rsid w:val="16C1F84E"/>
    <w:rsid w:val="18FDB9EE"/>
    <w:rsid w:val="1C058FFB"/>
    <w:rsid w:val="1D39E428"/>
    <w:rsid w:val="1D55A789"/>
    <w:rsid w:val="1DA317A0"/>
    <w:rsid w:val="1DC04DC0"/>
    <w:rsid w:val="20DEC83E"/>
    <w:rsid w:val="23277060"/>
    <w:rsid w:val="244E1104"/>
    <w:rsid w:val="2517CAA6"/>
    <w:rsid w:val="2801CD8D"/>
    <w:rsid w:val="285B8CEE"/>
    <w:rsid w:val="2A1286F3"/>
    <w:rsid w:val="2A441AF5"/>
    <w:rsid w:val="3363F738"/>
    <w:rsid w:val="33BB6461"/>
    <w:rsid w:val="3448204E"/>
    <w:rsid w:val="361A8430"/>
    <w:rsid w:val="37A4330B"/>
    <w:rsid w:val="3E08DFA9"/>
    <w:rsid w:val="3E18A917"/>
    <w:rsid w:val="400FA324"/>
    <w:rsid w:val="4554F98C"/>
    <w:rsid w:val="464ABF67"/>
    <w:rsid w:val="484F79D7"/>
    <w:rsid w:val="4878D50D"/>
    <w:rsid w:val="49FFA20A"/>
    <w:rsid w:val="4A2766E6"/>
    <w:rsid w:val="4D45532B"/>
    <w:rsid w:val="52A3923B"/>
    <w:rsid w:val="540E610D"/>
    <w:rsid w:val="575E96F5"/>
    <w:rsid w:val="582C0F63"/>
    <w:rsid w:val="5838CDE2"/>
    <w:rsid w:val="5A6F663C"/>
    <w:rsid w:val="5BAD006A"/>
    <w:rsid w:val="5C5D2717"/>
    <w:rsid w:val="5D395D3F"/>
    <w:rsid w:val="5E4055F9"/>
    <w:rsid w:val="5EDABAF9"/>
    <w:rsid w:val="5EF38BF6"/>
    <w:rsid w:val="643F751C"/>
    <w:rsid w:val="69EC38E6"/>
    <w:rsid w:val="6BC18D5B"/>
    <w:rsid w:val="73E5AAB4"/>
    <w:rsid w:val="7417A372"/>
    <w:rsid w:val="7594EE05"/>
    <w:rsid w:val="7618AE74"/>
    <w:rsid w:val="7B9D5BA2"/>
    <w:rsid w:val="7C72330E"/>
    <w:rsid w:val="7D317554"/>
    <w:rsid w:val="7DABF3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F7CF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7F7CF3"/>
  </w:style>
  <w:style w:type="character" w:customStyle="1" w:styleId="eop">
    <w:name w:val="eop"/>
    <w:basedOn w:val="Fuentedeprrafopredeter"/>
    <w:rsid w:val="007F7CF3"/>
  </w:style>
  <w:style w:type="character" w:styleId="Hipervnculo">
    <w:name w:val="Hyperlink"/>
    <w:unhideWhenUsed/>
    <w:rsid w:val="007F7CF3"/>
    <w:rPr>
      <w:color w:val="0563C1"/>
      <w:u w:val="single"/>
    </w:rPr>
  </w:style>
  <w:style w:type="paragraph" w:styleId="Textoindependiente">
    <w:name w:val="Body Text"/>
    <w:basedOn w:val="Normal"/>
    <w:link w:val="TextoindependienteCar"/>
    <w:rsid w:val="007F7CF3"/>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F7CF3"/>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7F7CF3"/>
    <w:pPr>
      <w:ind w:left="720"/>
      <w:contextualSpacing/>
    </w:pPr>
  </w:style>
  <w:style w:type="paragraph" w:styleId="NormalWeb">
    <w:name w:val="Normal (Web)"/>
    <w:basedOn w:val="Normal"/>
    <w:uiPriority w:val="99"/>
    <w:unhideWhenUsed/>
    <w:rsid w:val="00F651A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3310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103F"/>
    <w:rPr>
      <w:sz w:val="20"/>
      <w:szCs w:val="20"/>
    </w:rPr>
  </w:style>
  <w:style w:type="character" w:styleId="Refdecomentario">
    <w:name w:val="annotation reference"/>
    <w:basedOn w:val="Fuentedeprrafopredeter"/>
    <w:uiPriority w:val="99"/>
    <w:semiHidden/>
    <w:unhideWhenUsed/>
    <w:rsid w:val="0033103F"/>
    <w:rPr>
      <w:sz w:val="16"/>
      <w:szCs w:val="16"/>
    </w:rPr>
  </w:style>
  <w:style w:type="paragraph" w:styleId="Textodeglobo">
    <w:name w:val="Balloon Text"/>
    <w:basedOn w:val="Normal"/>
    <w:link w:val="TextodegloboCar"/>
    <w:uiPriority w:val="99"/>
    <w:semiHidden/>
    <w:unhideWhenUsed/>
    <w:rsid w:val="00AB15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52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1522"/>
    <w:rPr>
      <w:b/>
      <w:bCs/>
    </w:rPr>
  </w:style>
  <w:style w:type="character" w:customStyle="1" w:styleId="AsuntodelcomentarioCar">
    <w:name w:val="Asunto del comentario Car"/>
    <w:basedOn w:val="TextocomentarioCar"/>
    <w:link w:val="Asuntodelcomentario"/>
    <w:uiPriority w:val="99"/>
    <w:semiHidden/>
    <w:rsid w:val="00AB1522"/>
    <w:rPr>
      <w:b/>
      <w:bCs/>
      <w:sz w:val="20"/>
      <w:szCs w:val="20"/>
    </w:rPr>
  </w:style>
  <w:style w:type="paragraph" w:styleId="Encabezado">
    <w:name w:val="header"/>
    <w:basedOn w:val="Normal"/>
    <w:link w:val="EncabezadoCar"/>
    <w:uiPriority w:val="99"/>
    <w:unhideWhenUsed/>
    <w:rsid w:val="00621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1D79"/>
  </w:style>
  <w:style w:type="paragraph" w:styleId="Piedepgina">
    <w:name w:val="footer"/>
    <w:basedOn w:val="Normal"/>
    <w:link w:val="PiedepginaCar"/>
    <w:uiPriority w:val="99"/>
    <w:unhideWhenUsed/>
    <w:rsid w:val="00621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1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94">
      <w:bodyDiv w:val="1"/>
      <w:marLeft w:val="0"/>
      <w:marRight w:val="0"/>
      <w:marTop w:val="0"/>
      <w:marBottom w:val="0"/>
      <w:divBdr>
        <w:top w:val="none" w:sz="0" w:space="0" w:color="auto"/>
        <w:left w:val="none" w:sz="0" w:space="0" w:color="auto"/>
        <w:bottom w:val="none" w:sz="0" w:space="0" w:color="auto"/>
        <w:right w:val="none" w:sz="0" w:space="0" w:color="auto"/>
      </w:divBdr>
      <w:divsChild>
        <w:div w:id="1968732678">
          <w:marLeft w:val="0"/>
          <w:marRight w:val="0"/>
          <w:marTop w:val="0"/>
          <w:marBottom w:val="0"/>
          <w:divBdr>
            <w:top w:val="none" w:sz="0" w:space="0" w:color="auto"/>
            <w:left w:val="none" w:sz="0" w:space="0" w:color="auto"/>
            <w:bottom w:val="none" w:sz="0" w:space="0" w:color="auto"/>
            <w:right w:val="none" w:sz="0" w:space="0" w:color="auto"/>
          </w:divBdr>
        </w:div>
        <w:div w:id="1558394607">
          <w:marLeft w:val="0"/>
          <w:marRight w:val="0"/>
          <w:marTop w:val="0"/>
          <w:marBottom w:val="0"/>
          <w:divBdr>
            <w:top w:val="none" w:sz="0" w:space="0" w:color="auto"/>
            <w:left w:val="none" w:sz="0" w:space="0" w:color="auto"/>
            <w:bottom w:val="none" w:sz="0" w:space="0" w:color="auto"/>
            <w:right w:val="none" w:sz="0" w:space="0" w:color="auto"/>
          </w:divBdr>
        </w:div>
        <w:div w:id="1990934791">
          <w:marLeft w:val="0"/>
          <w:marRight w:val="0"/>
          <w:marTop w:val="0"/>
          <w:marBottom w:val="0"/>
          <w:divBdr>
            <w:top w:val="none" w:sz="0" w:space="0" w:color="auto"/>
            <w:left w:val="none" w:sz="0" w:space="0" w:color="auto"/>
            <w:bottom w:val="none" w:sz="0" w:space="0" w:color="auto"/>
            <w:right w:val="none" w:sz="0" w:space="0" w:color="auto"/>
          </w:divBdr>
        </w:div>
        <w:div w:id="1256129754">
          <w:marLeft w:val="0"/>
          <w:marRight w:val="0"/>
          <w:marTop w:val="0"/>
          <w:marBottom w:val="0"/>
          <w:divBdr>
            <w:top w:val="none" w:sz="0" w:space="0" w:color="auto"/>
            <w:left w:val="none" w:sz="0" w:space="0" w:color="auto"/>
            <w:bottom w:val="none" w:sz="0" w:space="0" w:color="auto"/>
            <w:right w:val="none" w:sz="0" w:space="0" w:color="auto"/>
          </w:divBdr>
        </w:div>
        <w:div w:id="908422703">
          <w:marLeft w:val="0"/>
          <w:marRight w:val="0"/>
          <w:marTop w:val="0"/>
          <w:marBottom w:val="0"/>
          <w:divBdr>
            <w:top w:val="none" w:sz="0" w:space="0" w:color="auto"/>
            <w:left w:val="none" w:sz="0" w:space="0" w:color="auto"/>
            <w:bottom w:val="none" w:sz="0" w:space="0" w:color="auto"/>
            <w:right w:val="none" w:sz="0" w:space="0" w:color="auto"/>
          </w:divBdr>
        </w:div>
        <w:div w:id="492570062">
          <w:marLeft w:val="0"/>
          <w:marRight w:val="0"/>
          <w:marTop w:val="0"/>
          <w:marBottom w:val="0"/>
          <w:divBdr>
            <w:top w:val="none" w:sz="0" w:space="0" w:color="auto"/>
            <w:left w:val="none" w:sz="0" w:space="0" w:color="auto"/>
            <w:bottom w:val="none" w:sz="0" w:space="0" w:color="auto"/>
            <w:right w:val="none" w:sz="0" w:space="0" w:color="auto"/>
          </w:divBdr>
        </w:div>
        <w:div w:id="1162352731">
          <w:marLeft w:val="0"/>
          <w:marRight w:val="0"/>
          <w:marTop w:val="0"/>
          <w:marBottom w:val="0"/>
          <w:divBdr>
            <w:top w:val="none" w:sz="0" w:space="0" w:color="auto"/>
            <w:left w:val="none" w:sz="0" w:space="0" w:color="auto"/>
            <w:bottom w:val="none" w:sz="0" w:space="0" w:color="auto"/>
            <w:right w:val="none" w:sz="0" w:space="0" w:color="auto"/>
          </w:divBdr>
        </w:div>
        <w:div w:id="1823694646">
          <w:marLeft w:val="0"/>
          <w:marRight w:val="0"/>
          <w:marTop w:val="0"/>
          <w:marBottom w:val="0"/>
          <w:divBdr>
            <w:top w:val="none" w:sz="0" w:space="0" w:color="auto"/>
            <w:left w:val="none" w:sz="0" w:space="0" w:color="auto"/>
            <w:bottom w:val="none" w:sz="0" w:space="0" w:color="auto"/>
            <w:right w:val="none" w:sz="0" w:space="0" w:color="auto"/>
          </w:divBdr>
        </w:div>
        <w:div w:id="752433532">
          <w:marLeft w:val="0"/>
          <w:marRight w:val="0"/>
          <w:marTop w:val="0"/>
          <w:marBottom w:val="0"/>
          <w:divBdr>
            <w:top w:val="none" w:sz="0" w:space="0" w:color="auto"/>
            <w:left w:val="none" w:sz="0" w:space="0" w:color="auto"/>
            <w:bottom w:val="none" w:sz="0" w:space="0" w:color="auto"/>
            <w:right w:val="none" w:sz="0" w:space="0" w:color="auto"/>
          </w:divBdr>
        </w:div>
        <w:div w:id="1585723061">
          <w:marLeft w:val="0"/>
          <w:marRight w:val="0"/>
          <w:marTop w:val="0"/>
          <w:marBottom w:val="0"/>
          <w:divBdr>
            <w:top w:val="none" w:sz="0" w:space="0" w:color="auto"/>
            <w:left w:val="none" w:sz="0" w:space="0" w:color="auto"/>
            <w:bottom w:val="none" w:sz="0" w:space="0" w:color="auto"/>
            <w:right w:val="none" w:sz="0" w:space="0" w:color="auto"/>
          </w:divBdr>
        </w:div>
        <w:div w:id="1398940908">
          <w:marLeft w:val="0"/>
          <w:marRight w:val="0"/>
          <w:marTop w:val="0"/>
          <w:marBottom w:val="0"/>
          <w:divBdr>
            <w:top w:val="none" w:sz="0" w:space="0" w:color="auto"/>
            <w:left w:val="none" w:sz="0" w:space="0" w:color="auto"/>
            <w:bottom w:val="none" w:sz="0" w:space="0" w:color="auto"/>
            <w:right w:val="none" w:sz="0" w:space="0" w:color="auto"/>
          </w:divBdr>
        </w:div>
        <w:div w:id="45689627">
          <w:marLeft w:val="0"/>
          <w:marRight w:val="0"/>
          <w:marTop w:val="0"/>
          <w:marBottom w:val="0"/>
          <w:divBdr>
            <w:top w:val="none" w:sz="0" w:space="0" w:color="auto"/>
            <w:left w:val="none" w:sz="0" w:space="0" w:color="auto"/>
            <w:bottom w:val="none" w:sz="0" w:space="0" w:color="auto"/>
            <w:right w:val="none" w:sz="0" w:space="0" w:color="auto"/>
          </w:divBdr>
        </w:div>
        <w:div w:id="1158425149">
          <w:marLeft w:val="0"/>
          <w:marRight w:val="0"/>
          <w:marTop w:val="0"/>
          <w:marBottom w:val="0"/>
          <w:divBdr>
            <w:top w:val="none" w:sz="0" w:space="0" w:color="auto"/>
            <w:left w:val="none" w:sz="0" w:space="0" w:color="auto"/>
            <w:bottom w:val="none" w:sz="0" w:space="0" w:color="auto"/>
            <w:right w:val="none" w:sz="0" w:space="0" w:color="auto"/>
          </w:divBdr>
        </w:div>
        <w:div w:id="1986204723">
          <w:marLeft w:val="0"/>
          <w:marRight w:val="0"/>
          <w:marTop w:val="0"/>
          <w:marBottom w:val="0"/>
          <w:divBdr>
            <w:top w:val="none" w:sz="0" w:space="0" w:color="auto"/>
            <w:left w:val="none" w:sz="0" w:space="0" w:color="auto"/>
            <w:bottom w:val="none" w:sz="0" w:space="0" w:color="auto"/>
            <w:right w:val="none" w:sz="0" w:space="0" w:color="auto"/>
          </w:divBdr>
        </w:div>
        <w:div w:id="1794513843">
          <w:marLeft w:val="0"/>
          <w:marRight w:val="0"/>
          <w:marTop w:val="0"/>
          <w:marBottom w:val="0"/>
          <w:divBdr>
            <w:top w:val="none" w:sz="0" w:space="0" w:color="auto"/>
            <w:left w:val="none" w:sz="0" w:space="0" w:color="auto"/>
            <w:bottom w:val="none" w:sz="0" w:space="0" w:color="auto"/>
            <w:right w:val="none" w:sz="0" w:space="0" w:color="auto"/>
          </w:divBdr>
        </w:div>
        <w:div w:id="1081297624">
          <w:marLeft w:val="0"/>
          <w:marRight w:val="0"/>
          <w:marTop w:val="0"/>
          <w:marBottom w:val="0"/>
          <w:divBdr>
            <w:top w:val="none" w:sz="0" w:space="0" w:color="auto"/>
            <w:left w:val="none" w:sz="0" w:space="0" w:color="auto"/>
            <w:bottom w:val="none" w:sz="0" w:space="0" w:color="auto"/>
            <w:right w:val="none" w:sz="0" w:space="0" w:color="auto"/>
          </w:divBdr>
        </w:div>
        <w:div w:id="1689017046">
          <w:marLeft w:val="0"/>
          <w:marRight w:val="0"/>
          <w:marTop w:val="0"/>
          <w:marBottom w:val="0"/>
          <w:divBdr>
            <w:top w:val="none" w:sz="0" w:space="0" w:color="auto"/>
            <w:left w:val="none" w:sz="0" w:space="0" w:color="auto"/>
            <w:bottom w:val="none" w:sz="0" w:space="0" w:color="auto"/>
            <w:right w:val="none" w:sz="0" w:space="0" w:color="auto"/>
          </w:divBdr>
        </w:div>
        <w:div w:id="1704599392">
          <w:marLeft w:val="0"/>
          <w:marRight w:val="0"/>
          <w:marTop w:val="0"/>
          <w:marBottom w:val="0"/>
          <w:divBdr>
            <w:top w:val="none" w:sz="0" w:space="0" w:color="auto"/>
            <w:left w:val="none" w:sz="0" w:space="0" w:color="auto"/>
            <w:bottom w:val="none" w:sz="0" w:space="0" w:color="auto"/>
            <w:right w:val="none" w:sz="0" w:space="0" w:color="auto"/>
          </w:divBdr>
        </w:div>
        <w:div w:id="671956817">
          <w:marLeft w:val="0"/>
          <w:marRight w:val="0"/>
          <w:marTop w:val="0"/>
          <w:marBottom w:val="0"/>
          <w:divBdr>
            <w:top w:val="none" w:sz="0" w:space="0" w:color="auto"/>
            <w:left w:val="none" w:sz="0" w:space="0" w:color="auto"/>
            <w:bottom w:val="none" w:sz="0" w:space="0" w:color="auto"/>
            <w:right w:val="none" w:sz="0" w:space="0" w:color="auto"/>
          </w:divBdr>
        </w:div>
        <w:div w:id="324822245">
          <w:marLeft w:val="0"/>
          <w:marRight w:val="0"/>
          <w:marTop w:val="0"/>
          <w:marBottom w:val="0"/>
          <w:divBdr>
            <w:top w:val="none" w:sz="0" w:space="0" w:color="auto"/>
            <w:left w:val="none" w:sz="0" w:space="0" w:color="auto"/>
            <w:bottom w:val="none" w:sz="0" w:space="0" w:color="auto"/>
            <w:right w:val="none" w:sz="0" w:space="0" w:color="auto"/>
          </w:divBdr>
        </w:div>
        <w:div w:id="1538657270">
          <w:marLeft w:val="0"/>
          <w:marRight w:val="0"/>
          <w:marTop w:val="0"/>
          <w:marBottom w:val="0"/>
          <w:divBdr>
            <w:top w:val="none" w:sz="0" w:space="0" w:color="auto"/>
            <w:left w:val="none" w:sz="0" w:space="0" w:color="auto"/>
            <w:bottom w:val="none" w:sz="0" w:space="0" w:color="auto"/>
            <w:right w:val="none" w:sz="0" w:space="0" w:color="auto"/>
          </w:divBdr>
        </w:div>
        <w:div w:id="1625961495">
          <w:marLeft w:val="0"/>
          <w:marRight w:val="0"/>
          <w:marTop w:val="0"/>
          <w:marBottom w:val="0"/>
          <w:divBdr>
            <w:top w:val="none" w:sz="0" w:space="0" w:color="auto"/>
            <w:left w:val="none" w:sz="0" w:space="0" w:color="auto"/>
            <w:bottom w:val="none" w:sz="0" w:space="0" w:color="auto"/>
            <w:right w:val="none" w:sz="0" w:space="0" w:color="auto"/>
          </w:divBdr>
        </w:div>
        <w:div w:id="2076857178">
          <w:marLeft w:val="0"/>
          <w:marRight w:val="0"/>
          <w:marTop w:val="0"/>
          <w:marBottom w:val="0"/>
          <w:divBdr>
            <w:top w:val="none" w:sz="0" w:space="0" w:color="auto"/>
            <w:left w:val="none" w:sz="0" w:space="0" w:color="auto"/>
            <w:bottom w:val="none" w:sz="0" w:space="0" w:color="auto"/>
            <w:right w:val="none" w:sz="0" w:space="0" w:color="auto"/>
          </w:divBdr>
        </w:div>
        <w:div w:id="1446267979">
          <w:marLeft w:val="0"/>
          <w:marRight w:val="0"/>
          <w:marTop w:val="0"/>
          <w:marBottom w:val="0"/>
          <w:divBdr>
            <w:top w:val="none" w:sz="0" w:space="0" w:color="auto"/>
            <w:left w:val="none" w:sz="0" w:space="0" w:color="auto"/>
            <w:bottom w:val="none" w:sz="0" w:space="0" w:color="auto"/>
            <w:right w:val="none" w:sz="0" w:space="0" w:color="auto"/>
          </w:divBdr>
        </w:div>
        <w:div w:id="1755131012">
          <w:marLeft w:val="0"/>
          <w:marRight w:val="0"/>
          <w:marTop w:val="0"/>
          <w:marBottom w:val="0"/>
          <w:divBdr>
            <w:top w:val="none" w:sz="0" w:space="0" w:color="auto"/>
            <w:left w:val="none" w:sz="0" w:space="0" w:color="auto"/>
            <w:bottom w:val="none" w:sz="0" w:space="0" w:color="auto"/>
            <w:right w:val="none" w:sz="0" w:space="0" w:color="auto"/>
          </w:divBdr>
        </w:div>
        <w:div w:id="1803695239">
          <w:marLeft w:val="0"/>
          <w:marRight w:val="0"/>
          <w:marTop w:val="0"/>
          <w:marBottom w:val="0"/>
          <w:divBdr>
            <w:top w:val="none" w:sz="0" w:space="0" w:color="auto"/>
            <w:left w:val="none" w:sz="0" w:space="0" w:color="auto"/>
            <w:bottom w:val="none" w:sz="0" w:space="0" w:color="auto"/>
            <w:right w:val="none" w:sz="0" w:space="0" w:color="auto"/>
          </w:divBdr>
        </w:div>
        <w:div w:id="882062171">
          <w:marLeft w:val="0"/>
          <w:marRight w:val="0"/>
          <w:marTop w:val="0"/>
          <w:marBottom w:val="0"/>
          <w:divBdr>
            <w:top w:val="none" w:sz="0" w:space="0" w:color="auto"/>
            <w:left w:val="none" w:sz="0" w:space="0" w:color="auto"/>
            <w:bottom w:val="none" w:sz="0" w:space="0" w:color="auto"/>
            <w:right w:val="none" w:sz="0" w:space="0" w:color="auto"/>
          </w:divBdr>
        </w:div>
        <w:div w:id="1110583404">
          <w:marLeft w:val="0"/>
          <w:marRight w:val="0"/>
          <w:marTop w:val="0"/>
          <w:marBottom w:val="0"/>
          <w:divBdr>
            <w:top w:val="none" w:sz="0" w:space="0" w:color="auto"/>
            <w:left w:val="none" w:sz="0" w:space="0" w:color="auto"/>
            <w:bottom w:val="none" w:sz="0" w:space="0" w:color="auto"/>
            <w:right w:val="none" w:sz="0" w:space="0" w:color="auto"/>
          </w:divBdr>
        </w:div>
        <w:div w:id="1059551619">
          <w:marLeft w:val="0"/>
          <w:marRight w:val="0"/>
          <w:marTop w:val="0"/>
          <w:marBottom w:val="0"/>
          <w:divBdr>
            <w:top w:val="none" w:sz="0" w:space="0" w:color="auto"/>
            <w:left w:val="none" w:sz="0" w:space="0" w:color="auto"/>
            <w:bottom w:val="none" w:sz="0" w:space="0" w:color="auto"/>
            <w:right w:val="none" w:sz="0" w:space="0" w:color="auto"/>
          </w:divBdr>
        </w:div>
        <w:div w:id="800656371">
          <w:marLeft w:val="0"/>
          <w:marRight w:val="0"/>
          <w:marTop w:val="0"/>
          <w:marBottom w:val="0"/>
          <w:divBdr>
            <w:top w:val="none" w:sz="0" w:space="0" w:color="auto"/>
            <w:left w:val="none" w:sz="0" w:space="0" w:color="auto"/>
            <w:bottom w:val="none" w:sz="0" w:space="0" w:color="auto"/>
            <w:right w:val="none" w:sz="0" w:space="0" w:color="auto"/>
          </w:divBdr>
        </w:div>
        <w:div w:id="1689865992">
          <w:marLeft w:val="0"/>
          <w:marRight w:val="0"/>
          <w:marTop w:val="0"/>
          <w:marBottom w:val="0"/>
          <w:divBdr>
            <w:top w:val="none" w:sz="0" w:space="0" w:color="auto"/>
            <w:left w:val="none" w:sz="0" w:space="0" w:color="auto"/>
            <w:bottom w:val="none" w:sz="0" w:space="0" w:color="auto"/>
            <w:right w:val="none" w:sz="0" w:space="0" w:color="auto"/>
          </w:divBdr>
        </w:div>
        <w:div w:id="2016422063">
          <w:marLeft w:val="0"/>
          <w:marRight w:val="0"/>
          <w:marTop w:val="0"/>
          <w:marBottom w:val="0"/>
          <w:divBdr>
            <w:top w:val="none" w:sz="0" w:space="0" w:color="auto"/>
            <w:left w:val="none" w:sz="0" w:space="0" w:color="auto"/>
            <w:bottom w:val="none" w:sz="0" w:space="0" w:color="auto"/>
            <w:right w:val="none" w:sz="0" w:space="0" w:color="auto"/>
          </w:divBdr>
        </w:div>
        <w:div w:id="1572765461">
          <w:marLeft w:val="0"/>
          <w:marRight w:val="0"/>
          <w:marTop w:val="0"/>
          <w:marBottom w:val="0"/>
          <w:divBdr>
            <w:top w:val="none" w:sz="0" w:space="0" w:color="auto"/>
            <w:left w:val="none" w:sz="0" w:space="0" w:color="auto"/>
            <w:bottom w:val="none" w:sz="0" w:space="0" w:color="auto"/>
            <w:right w:val="none" w:sz="0" w:space="0" w:color="auto"/>
          </w:divBdr>
        </w:div>
        <w:div w:id="2121533187">
          <w:marLeft w:val="0"/>
          <w:marRight w:val="0"/>
          <w:marTop w:val="0"/>
          <w:marBottom w:val="0"/>
          <w:divBdr>
            <w:top w:val="none" w:sz="0" w:space="0" w:color="auto"/>
            <w:left w:val="none" w:sz="0" w:space="0" w:color="auto"/>
            <w:bottom w:val="none" w:sz="0" w:space="0" w:color="auto"/>
            <w:right w:val="none" w:sz="0" w:space="0" w:color="auto"/>
          </w:divBdr>
        </w:div>
        <w:div w:id="157959683">
          <w:marLeft w:val="0"/>
          <w:marRight w:val="0"/>
          <w:marTop w:val="0"/>
          <w:marBottom w:val="0"/>
          <w:divBdr>
            <w:top w:val="none" w:sz="0" w:space="0" w:color="auto"/>
            <w:left w:val="none" w:sz="0" w:space="0" w:color="auto"/>
            <w:bottom w:val="none" w:sz="0" w:space="0" w:color="auto"/>
            <w:right w:val="none" w:sz="0" w:space="0" w:color="auto"/>
          </w:divBdr>
        </w:div>
        <w:div w:id="137697129">
          <w:marLeft w:val="0"/>
          <w:marRight w:val="0"/>
          <w:marTop w:val="0"/>
          <w:marBottom w:val="0"/>
          <w:divBdr>
            <w:top w:val="none" w:sz="0" w:space="0" w:color="auto"/>
            <w:left w:val="none" w:sz="0" w:space="0" w:color="auto"/>
            <w:bottom w:val="none" w:sz="0" w:space="0" w:color="auto"/>
            <w:right w:val="none" w:sz="0" w:space="0" w:color="auto"/>
          </w:divBdr>
        </w:div>
        <w:div w:id="316961150">
          <w:marLeft w:val="0"/>
          <w:marRight w:val="0"/>
          <w:marTop w:val="0"/>
          <w:marBottom w:val="0"/>
          <w:divBdr>
            <w:top w:val="none" w:sz="0" w:space="0" w:color="auto"/>
            <w:left w:val="none" w:sz="0" w:space="0" w:color="auto"/>
            <w:bottom w:val="none" w:sz="0" w:space="0" w:color="auto"/>
            <w:right w:val="none" w:sz="0" w:space="0" w:color="auto"/>
          </w:divBdr>
        </w:div>
        <w:div w:id="632642925">
          <w:marLeft w:val="0"/>
          <w:marRight w:val="0"/>
          <w:marTop w:val="0"/>
          <w:marBottom w:val="0"/>
          <w:divBdr>
            <w:top w:val="none" w:sz="0" w:space="0" w:color="auto"/>
            <w:left w:val="none" w:sz="0" w:space="0" w:color="auto"/>
            <w:bottom w:val="none" w:sz="0" w:space="0" w:color="auto"/>
            <w:right w:val="none" w:sz="0" w:space="0" w:color="auto"/>
          </w:divBdr>
        </w:div>
        <w:div w:id="1273515325">
          <w:marLeft w:val="0"/>
          <w:marRight w:val="0"/>
          <w:marTop w:val="0"/>
          <w:marBottom w:val="0"/>
          <w:divBdr>
            <w:top w:val="none" w:sz="0" w:space="0" w:color="auto"/>
            <w:left w:val="none" w:sz="0" w:space="0" w:color="auto"/>
            <w:bottom w:val="none" w:sz="0" w:space="0" w:color="auto"/>
            <w:right w:val="none" w:sz="0" w:space="0" w:color="auto"/>
          </w:divBdr>
        </w:div>
        <w:div w:id="1313294676">
          <w:marLeft w:val="0"/>
          <w:marRight w:val="0"/>
          <w:marTop w:val="0"/>
          <w:marBottom w:val="0"/>
          <w:divBdr>
            <w:top w:val="none" w:sz="0" w:space="0" w:color="auto"/>
            <w:left w:val="none" w:sz="0" w:space="0" w:color="auto"/>
            <w:bottom w:val="none" w:sz="0" w:space="0" w:color="auto"/>
            <w:right w:val="none" w:sz="0" w:space="0" w:color="auto"/>
          </w:divBdr>
        </w:div>
        <w:div w:id="1062828681">
          <w:marLeft w:val="0"/>
          <w:marRight w:val="0"/>
          <w:marTop w:val="0"/>
          <w:marBottom w:val="0"/>
          <w:divBdr>
            <w:top w:val="none" w:sz="0" w:space="0" w:color="auto"/>
            <w:left w:val="none" w:sz="0" w:space="0" w:color="auto"/>
            <w:bottom w:val="none" w:sz="0" w:space="0" w:color="auto"/>
            <w:right w:val="none" w:sz="0" w:space="0" w:color="auto"/>
          </w:divBdr>
        </w:div>
        <w:div w:id="284699200">
          <w:marLeft w:val="0"/>
          <w:marRight w:val="0"/>
          <w:marTop w:val="0"/>
          <w:marBottom w:val="0"/>
          <w:divBdr>
            <w:top w:val="none" w:sz="0" w:space="0" w:color="auto"/>
            <w:left w:val="none" w:sz="0" w:space="0" w:color="auto"/>
            <w:bottom w:val="none" w:sz="0" w:space="0" w:color="auto"/>
            <w:right w:val="none" w:sz="0" w:space="0" w:color="auto"/>
          </w:divBdr>
        </w:div>
        <w:div w:id="1801024850">
          <w:marLeft w:val="0"/>
          <w:marRight w:val="0"/>
          <w:marTop w:val="0"/>
          <w:marBottom w:val="0"/>
          <w:divBdr>
            <w:top w:val="none" w:sz="0" w:space="0" w:color="auto"/>
            <w:left w:val="none" w:sz="0" w:space="0" w:color="auto"/>
            <w:bottom w:val="none" w:sz="0" w:space="0" w:color="auto"/>
            <w:right w:val="none" w:sz="0" w:space="0" w:color="auto"/>
          </w:divBdr>
        </w:div>
        <w:div w:id="1745377585">
          <w:marLeft w:val="0"/>
          <w:marRight w:val="0"/>
          <w:marTop w:val="0"/>
          <w:marBottom w:val="0"/>
          <w:divBdr>
            <w:top w:val="none" w:sz="0" w:space="0" w:color="auto"/>
            <w:left w:val="none" w:sz="0" w:space="0" w:color="auto"/>
            <w:bottom w:val="none" w:sz="0" w:space="0" w:color="auto"/>
            <w:right w:val="none" w:sz="0" w:space="0" w:color="auto"/>
          </w:divBdr>
        </w:div>
        <w:div w:id="1240749217">
          <w:marLeft w:val="0"/>
          <w:marRight w:val="0"/>
          <w:marTop w:val="0"/>
          <w:marBottom w:val="0"/>
          <w:divBdr>
            <w:top w:val="none" w:sz="0" w:space="0" w:color="auto"/>
            <w:left w:val="none" w:sz="0" w:space="0" w:color="auto"/>
            <w:bottom w:val="none" w:sz="0" w:space="0" w:color="auto"/>
            <w:right w:val="none" w:sz="0" w:space="0" w:color="auto"/>
          </w:divBdr>
        </w:div>
        <w:div w:id="1249729897">
          <w:marLeft w:val="0"/>
          <w:marRight w:val="0"/>
          <w:marTop w:val="0"/>
          <w:marBottom w:val="0"/>
          <w:divBdr>
            <w:top w:val="none" w:sz="0" w:space="0" w:color="auto"/>
            <w:left w:val="none" w:sz="0" w:space="0" w:color="auto"/>
            <w:bottom w:val="none" w:sz="0" w:space="0" w:color="auto"/>
            <w:right w:val="none" w:sz="0" w:space="0" w:color="auto"/>
          </w:divBdr>
        </w:div>
        <w:div w:id="933054472">
          <w:marLeft w:val="0"/>
          <w:marRight w:val="0"/>
          <w:marTop w:val="0"/>
          <w:marBottom w:val="0"/>
          <w:divBdr>
            <w:top w:val="none" w:sz="0" w:space="0" w:color="auto"/>
            <w:left w:val="none" w:sz="0" w:space="0" w:color="auto"/>
            <w:bottom w:val="none" w:sz="0" w:space="0" w:color="auto"/>
            <w:right w:val="none" w:sz="0" w:space="0" w:color="auto"/>
          </w:divBdr>
        </w:div>
        <w:div w:id="1794783944">
          <w:marLeft w:val="0"/>
          <w:marRight w:val="0"/>
          <w:marTop w:val="0"/>
          <w:marBottom w:val="0"/>
          <w:divBdr>
            <w:top w:val="none" w:sz="0" w:space="0" w:color="auto"/>
            <w:left w:val="none" w:sz="0" w:space="0" w:color="auto"/>
            <w:bottom w:val="none" w:sz="0" w:space="0" w:color="auto"/>
            <w:right w:val="none" w:sz="0" w:space="0" w:color="auto"/>
          </w:divBdr>
        </w:div>
        <w:div w:id="478229602">
          <w:marLeft w:val="0"/>
          <w:marRight w:val="0"/>
          <w:marTop w:val="0"/>
          <w:marBottom w:val="0"/>
          <w:divBdr>
            <w:top w:val="none" w:sz="0" w:space="0" w:color="auto"/>
            <w:left w:val="none" w:sz="0" w:space="0" w:color="auto"/>
            <w:bottom w:val="none" w:sz="0" w:space="0" w:color="auto"/>
            <w:right w:val="none" w:sz="0" w:space="0" w:color="auto"/>
          </w:divBdr>
        </w:div>
        <w:div w:id="594095909">
          <w:marLeft w:val="0"/>
          <w:marRight w:val="0"/>
          <w:marTop w:val="0"/>
          <w:marBottom w:val="0"/>
          <w:divBdr>
            <w:top w:val="none" w:sz="0" w:space="0" w:color="auto"/>
            <w:left w:val="none" w:sz="0" w:space="0" w:color="auto"/>
            <w:bottom w:val="none" w:sz="0" w:space="0" w:color="auto"/>
            <w:right w:val="none" w:sz="0" w:space="0" w:color="auto"/>
          </w:divBdr>
        </w:div>
        <w:div w:id="993487402">
          <w:marLeft w:val="0"/>
          <w:marRight w:val="0"/>
          <w:marTop w:val="0"/>
          <w:marBottom w:val="0"/>
          <w:divBdr>
            <w:top w:val="none" w:sz="0" w:space="0" w:color="auto"/>
            <w:left w:val="none" w:sz="0" w:space="0" w:color="auto"/>
            <w:bottom w:val="none" w:sz="0" w:space="0" w:color="auto"/>
            <w:right w:val="none" w:sz="0" w:space="0" w:color="auto"/>
          </w:divBdr>
        </w:div>
        <w:div w:id="1854997428">
          <w:marLeft w:val="0"/>
          <w:marRight w:val="0"/>
          <w:marTop w:val="0"/>
          <w:marBottom w:val="0"/>
          <w:divBdr>
            <w:top w:val="none" w:sz="0" w:space="0" w:color="auto"/>
            <w:left w:val="none" w:sz="0" w:space="0" w:color="auto"/>
            <w:bottom w:val="none" w:sz="0" w:space="0" w:color="auto"/>
            <w:right w:val="none" w:sz="0" w:space="0" w:color="auto"/>
          </w:divBdr>
        </w:div>
        <w:div w:id="117453838">
          <w:marLeft w:val="0"/>
          <w:marRight w:val="0"/>
          <w:marTop w:val="0"/>
          <w:marBottom w:val="0"/>
          <w:divBdr>
            <w:top w:val="none" w:sz="0" w:space="0" w:color="auto"/>
            <w:left w:val="none" w:sz="0" w:space="0" w:color="auto"/>
            <w:bottom w:val="none" w:sz="0" w:space="0" w:color="auto"/>
            <w:right w:val="none" w:sz="0" w:space="0" w:color="auto"/>
          </w:divBdr>
        </w:div>
        <w:div w:id="593588213">
          <w:marLeft w:val="0"/>
          <w:marRight w:val="0"/>
          <w:marTop w:val="0"/>
          <w:marBottom w:val="0"/>
          <w:divBdr>
            <w:top w:val="none" w:sz="0" w:space="0" w:color="auto"/>
            <w:left w:val="none" w:sz="0" w:space="0" w:color="auto"/>
            <w:bottom w:val="none" w:sz="0" w:space="0" w:color="auto"/>
            <w:right w:val="none" w:sz="0" w:space="0" w:color="auto"/>
          </w:divBdr>
        </w:div>
        <w:div w:id="955260442">
          <w:marLeft w:val="0"/>
          <w:marRight w:val="0"/>
          <w:marTop w:val="0"/>
          <w:marBottom w:val="0"/>
          <w:divBdr>
            <w:top w:val="none" w:sz="0" w:space="0" w:color="auto"/>
            <w:left w:val="none" w:sz="0" w:space="0" w:color="auto"/>
            <w:bottom w:val="none" w:sz="0" w:space="0" w:color="auto"/>
            <w:right w:val="none" w:sz="0" w:space="0" w:color="auto"/>
          </w:divBdr>
        </w:div>
        <w:div w:id="1696151221">
          <w:marLeft w:val="0"/>
          <w:marRight w:val="0"/>
          <w:marTop w:val="0"/>
          <w:marBottom w:val="0"/>
          <w:divBdr>
            <w:top w:val="none" w:sz="0" w:space="0" w:color="auto"/>
            <w:left w:val="none" w:sz="0" w:space="0" w:color="auto"/>
            <w:bottom w:val="none" w:sz="0" w:space="0" w:color="auto"/>
            <w:right w:val="none" w:sz="0" w:space="0" w:color="auto"/>
          </w:divBdr>
        </w:div>
        <w:div w:id="1286349119">
          <w:marLeft w:val="0"/>
          <w:marRight w:val="0"/>
          <w:marTop w:val="0"/>
          <w:marBottom w:val="0"/>
          <w:divBdr>
            <w:top w:val="none" w:sz="0" w:space="0" w:color="auto"/>
            <w:left w:val="none" w:sz="0" w:space="0" w:color="auto"/>
            <w:bottom w:val="none" w:sz="0" w:space="0" w:color="auto"/>
            <w:right w:val="none" w:sz="0" w:space="0" w:color="auto"/>
          </w:divBdr>
        </w:div>
        <w:div w:id="35786437">
          <w:marLeft w:val="0"/>
          <w:marRight w:val="0"/>
          <w:marTop w:val="0"/>
          <w:marBottom w:val="0"/>
          <w:divBdr>
            <w:top w:val="none" w:sz="0" w:space="0" w:color="auto"/>
            <w:left w:val="none" w:sz="0" w:space="0" w:color="auto"/>
            <w:bottom w:val="none" w:sz="0" w:space="0" w:color="auto"/>
            <w:right w:val="none" w:sz="0" w:space="0" w:color="auto"/>
          </w:divBdr>
        </w:div>
        <w:div w:id="543372278">
          <w:marLeft w:val="0"/>
          <w:marRight w:val="0"/>
          <w:marTop w:val="0"/>
          <w:marBottom w:val="0"/>
          <w:divBdr>
            <w:top w:val="none" w:sz="0" w:space="0" w:color="auto"/>
            <w:left w:val="none" w:sz="0" w:space="0" w:color="auto"/>
            <w:bottom w:val="none" w:sz="0" w:space="0" w:color="auto"/>
            <w:right w:val="none" w:sz="0" w:space="0" w:color="auto"/>
          </w:divBdr>
        </w:div>
        <w:div w:id="83458984">
          <w:marLeft w:val="0"/>
          <w:marRight w:val="0"/>
          <w:marTop w:val="0"/>
          <w:marBottom w:val="0"/>
          <w:divBdr>
            <w:top w:val="none" w:sz="0" w:space="0" w:color="auto"/>
            <w:left w:val="none" w:sz="0" w:space="0" w:color="auto"/>
            <w:bottom w:val="none" w:sz="0" w:space="0" w:color="auto"/>
            <w:right w:val="none" w:sz="0" w:space="0" w:color="auto"/>
          </w:divBdr>
        </w:div>
        <w:div w:id="2146506678">
          <w:marLeft w:val="0"/>
          <w:marRight w:val="0"/>
          <w:marTop w:val="0"/>
          <w:marBottom w:val="0"/>
          <w:divBdr>
            <w:top w:val="none" w:sz="0" w:space="0" w:color="auto"/>
            <w:left w:val="none" w:sz="0" w:space="0" w:color="auto"/>
            <w:bottom w:val="none" w:sz="0" w:space="0" w:color="auto"/>
            <w:right w:val="none" w:sz="0" w:space="0" w:color="auto"/>
          </w:divBdr>
        </w:div>
        <w:div w:id="592052374">
          <w:marLeft w:val="0"/>
          <w:marRight w:val="0"/>
          <w:marTop w:val="0"/>
          <w:marBottom w:val="0"/>
          <w:divBdr>
            <w:top w:val="none" w:sz="0" w:space="0" w:color="auto"/>
            <w:left w:val="none" w:sz="0" w:space="0" w:color="auto"/>
            <w:bottom w:val="none" w:sz="0" w:space="0" w:color="auto"/>
            <w:right w:val="none" w:sz="0" w:space="0" w:color="auto"/>
          </w:divBdr>
        </w:div>
        <w:div w:id="2131046818">
          <w:marLeft w:val="0"/>
          <w:marRight w:val="0"/>
          <w:marTop w:val="0"/>
          <w:marBottom w:val="0"/>
          <w:divBdr>
            <w:top w:val="none" w:sz="0" w:space="0" w:color="auto"/>
            <w:left w:val="none" w:sz="0" w:space="0" w:color="auto"/>
            <w:bottom w:val="none" w:sz="0" w:space="0" w:color="auto"/>
            <w:right w:val="none" w:sz="0" w:space="0" w:color="auto"/>
          </w:divBdr>
        </w:div>
        <w:div w:id="865946829">
          <w:marLeft w:val="0"/>
          <w:marRight w:val="0"/>
          <w:marTop w:val="0"/>
          <w:marBottom w:val="0"/>
          <w:divBdr>
            <w:top w:val="none" w:sz="0" w:space="0" w:color="auto"/>
            <w:left w:val="none" w:sz="0" w:space="0" w:color="auto"/>
            <w:bottom w:val="none" w:sz="0" w:space="0" w:color="auto"/>
            <w:right w:val="none" w:sz="0" w:space="0" w:color="auto"/>
          </w:divBdr>
        </w:div>
        <w:div w:id="1681618255">
          <w:marLeft w:val="0"/>
          <w:marRight w:val="0"/>
          <w:marTop w:val="0"/>
          <w:marBottom w:val="0"/>
          <w:divBdr>
            <w:top w:val="none" w:sz="0" w:space="0" w:color="auto"/>
            <w:left w:val="none" w:sz="0" w:space="0" w:color="auto"/>
            <w:bottom w:val="none" w:sz="0" w:space="0" w:color="auto"/>
            <w:right w:val="none" w:sz="0" w:space="0" w:color="auto"/>
          </w:divBdr>
        </w:div>
      </w:divsChild>
    </w:div>
    <w:div w:id="17111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0f4c43b852c84328"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375A6-75E5-4123-8641-746799109F19}">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644CDD8C-A2F6-4A9D-A59A-0DAC35191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50C06-6741-423B-9D6E-F621D31FB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3632</Words>
  <Characters>19978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6</cp:revision>
  <dcterms:created xsi:type="dcterms:W3CDTF">2020-10-07T02:16:00Z</dcterms:created>
  <dcterms:modified xsi:type="dcterms:W3CDTF">2020-11-27T14:21:00Z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