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D0" w:rsidRPr="007A2DD0" w:rsidRDefault="007A2DD0" w:rsidP="007A2D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A2DD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7A2DD0">
        <w:rPr>
          <w:rFonts w:ascii="Arial" w:hAnsi="Arial" w:cs="Arial"/>
          <w:color w:val="FF0000"/>
          <w:spacing w:val="-4"/>
          <w:sz w:val="18"/>
          <w:szCs w:val="18"/>
          <w:lang w:val="es-419" w:eastAsia="fr-FR"/>
        </w:rPr>
        <w:tab/>
        <w:t>o.  El contenido total y fiel de la decisión debe ser verificado en la respectiva Secretaría.</w:t>
      </w:r>
    </w:p>
    <w:p w:rsidR="007A2DD0" w:rsidRPr="007A2DD0" w:rsidRDefault="007A2DD0" w:rsidP="007A2DD0">
      <w:pPr>
        <w:jc w:val="both"/>
        <w:rPr>
          <w:rFonts w:ascii="Arial" w:hAnsi="Arial" w:cs="Arial"/>
          <w:sz w:val="20"/>
          <w:szCs w:val="20"/>
          <w:lang w:val="es-419"/>
        </w:rPr>
      </w:pP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7A2DD0">
        <w:rPr>
          <w:rFonts w:ascii="Arial" w:hAnsi="Arial" w:cs="Arial"/>
          <w:sz w:val="20"/>
          <w:szCs w:val="20"/>
          <w:lang w:val="es-419"/>
        </w:rPr>
        <w:t>Sentencia de 23 de octubre de 2020</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Radicación Nro.:</w:t>
      </w:r>
      <w:r>
        <w:rPr>
          <w:rFonts w:ascii="Arial" w:hAnsi="Arial" w:cs="Arial"/>
          <w:sz w:val="20"/>
          <w:szCs w:val="20"/>
          <w:lang w:val="es-419"/>
        </w:rPr>
        <w:tab/>
      </w:r>
      <w:r w:rsidRPr="007A2DD0">
        <w:rPr>
          <w:rFonts w:ascii="Arial" w:hAnsi="Arial" w:cs="Arial"/>
          <w:sz w:val="20"/>
          <w:szCs w:val="20"/>
          <w:lang w:val="es-419"/>
        </w:rPr>
        <w:t>66001-31-05-001-2020-00191-01</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Accionante:</w:t>
      </w:r>
      <w:r>
        <w:rPr>
          <w:rFonts w:ascii="Arial" w:hAnsi="Arial" w:cs="Arial"/>
          <w:sz w:val="20"/>
          <w:szCs w:val="20"/>
          <w:lang w:val="es-419"/>
        </w:rPr>
        <w:tab/>
      </w:r>
      <w:r w:rsidRPr="007A2DD0">
        <w:rPr>
          <w:rFonts w:ascii="Arial" w:hAnsi="Arial" w:cs="Arial"/>
          <w:sz w:val="20"/>
          <w:szCs w:val="20"/>
          <w:lang w:val="es-419"/>
        </w:rPr>
        <w:tab/>
        <w:t>Liliana Patricia Cardoza</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Accionados:</w:t>
      </w:r>
      <w:r>
        <w:rPr>
          <w:rFonts w:ascii="Arial" w:hAnsi="Arial" w:cs="Arial"/>
          <w:sz w:val="20"/>
          <w:szCs w:val="20"/>
          <w:lang w:val="es-419"/>
        </w:rPr>
        <w:tab/>
      </w:r>
      <w:r w:rsidRPr="007A2DD0">
        <w:rPr>
          <w:rFonts w:ascii="Arial" w:hAnsi="Arial" w:cs="Arial"/>
          <w:sz w:val="20"/>
          <w:szCs w:val="20"/>
          <w:lang w:val="es-419"/>
        </w:rPr>
        <w:tab/>
        <w:t>Nueva EPS y otro</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Acción de Tutela</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Juzgado de origen:</w:t>
      </w:r>
      <w:r>
        <w:rPr>
          <w:rFonts w:ascii="Arial" w:hAnsi="Arial" w:cs="Arial"/>
          <w:sz w:val="20"/>
          <w:szCs w:val="20"/>
          <w:lang w:val="es-419"/>
        </w:rPr>
        <w:tab/>
      </w:r>
      <w:r w:rsidRPr="007A2DD0">
        <w:rPr>
          <w:rFonts w:ascii="Arial" w:hAnsi="Arial" w:cs="Arial"/>
          <w:sz w:val="20"/>
          <w:szCs w:val="20"/>
          <w:lang w:val="es-419"/>
        </w:rPr>
        <w:t>Juzgado Primero Laboral del Circuito</w:t>
      </w:r>
    </w:p>
    <w:p w:rsidR="007A2DD0" w:rsidRPr="007A2DD0" w:rsidRDefault="007A2DD0" w:rsidP="007A2DD0">
      <w:pPr>
        <w:jc w:val="both"/>
        <w:rPr>
          <w:rFonts w:ascii="Arial" w:hAnsi="Arial" w:cs="Arial"/>
          <w:sz w:val="20"/>
          <w:szCs w:val="20"/>
          <w:lang w:val="es-419"/>
        </w:rPr>
      </w:pPr>
      <w:r w:rsidRPr="007A2DD0">
        <w:rPr>
          <w:rFonts w:ascii="Arial" w:hAnsi="Arial" w:cs="Arial"/>
          <w:sz w:val="20"/>
          <w:szCs w:val="20"/>
          <w:lang w:val="es-419"/>
        </w:rPr>
        <w:t>Magistrado Ponente:</w:t>
      </w:r>
      <w:r w:rsidRPr="007A2DD0">
        <w:rPr>
          <w:rFonts w:ascii="Arial" w:hAnsi="Arial" w:cs="Arial"/>
          <w:sz w:val="20"/>
          <w:szCs w:val="20"/>
          <w:lang w:val="es-419"/>
        </w:rPr>
        <w:tab/>
        <w:t>Julio César Salazar Muñoz</w:t>
      </w:r>
    </w:p>
    <w:p w:rsidR="007A2DD0" w:rsidRPr="007A2DD0" w:rsidRDefault="007A2DD0" w:rsidP="007A2DD0">
      <w:pPr>
        <w:jc w:val="both"/>
        <w:rPr>
          <w:rFonts w:ascii="Arial" w:hAnsi="Arial" w:cs="Arial"/>
          <w:sz w:val="20"/>
          <w:szCs w:val="20"/>
          <w:lang w:val="es-419"/>
        </w:rPr>
      </w:pPr>
    </w:p>
    <w:p w:rsidR="007A2DD0" w:rsidRPr="007A2DD0" w:rsidRDefault="007A2DD0" w:rsidP="007A2DD0">
      <w:pPr>
        <w:jc w:val="both"/>
        <w:rPr>
          <w:rFonts w:ascii="Arial" w:hAnsi="Arial" w:cs="Arial"/>
          <w:b/>
          <w:bCs/>
          <w:iCs/>
          <w:sz w:val="20"/>
          <w:szCs w:val="20"/>
          <w:lang w:val="es-419" w:eastAsia="fr-FR"/>
        </w:rPr>
      </w:pPr>
      <w:r w:rsidRPr="007A2DD0">
        <w:rPr>
          <w:rFonts w:ascii="Arial" w:hAnsi="Arial" w:cs="Arial"/>
          <w:b/>
          <w:bCs/>
          <w:iCs/>
          <w:sz w:val="20"/>
          <w:szCs w:val="20"/>
          <w:u w:val="single"/>
          <w:lang w:val="es-419" w:eastAsia="fr-FR"/>
        </w:rPr>
        <w:t>TEMAS:</w:t>
      </w:r>
      <w:r w:rsidRPr="007A2DD0">
        <w:rPr>
          <w:rFonts w:ascii="Arial" w:hAnsi="Arial" w:cs="Arial"/>
          <w:b/>
          <w:bCs/>
          <w:iCs/>
          <w:sz w:val="20"/>
          <w:szCs w:val="20"/>
          <w:lang w:val="es-419" w:eastAsia="fr-FR"/>
        </w:rPr>
        <w:tab/>
      </w:r>
      <w:r w:rsidR="00B65699">
        <w:rPr>
          <w:rFonts w:ascii="Arial" w:hAnsi="Arial" w:cs="Arial"/>
          <w:b/>
          <w:bCs/>
          <w:iCs/>
          <w:sz w:val="20"/>
          <w:szCs w:val="20"/>
          <w:lang w:val="es-419" w:eastAsia="fr-FR"/>
        </w:rPr>
        <w:t xml:space="preserve">SEGURIDAD SOCIAL / PAGO INCAPACIDADES MÉDICAS </w:t>
      </w:r>
      <w:r w:rsidRPr="007A2DD0">
        <w:rPr>
          <w:rFonts w:ascii="Arial" w:hAnsi="Arial" w:cs="Arial"/>
          <w:b/>
          <w:bCs/>
          <w:iCs/>
          <w:sz w:val="20"/>
          <w:szCs w:val="20"/>
          <w:lang w:val="es-419" w:eastAsia="fr-FR"/>
        </w:rPr>
        <w:t xml:space="preserve">/ </w:t>
      </w:r>
      <w:r w:rsidR="00B65699">
        <w:rPr>
          <w:rFonts w:ascii="Arial" w:hAnsi="Arial" w:cs="Arial"/>
          <w:b/>
          <w:bCs/>
          <w:iCs/>
          <w:sz w:val="20"/>
          <w:szCs w:val="20"/>
          <w:lang w:val="es-419" w:eastAsia="fr-FR"/>
        </w:rPr>
        <w:t>DISTRIBUCIÓN ENTRE LAS ENTIDADES DEL SISTEMA / HASTA EL DÍA 180 CORRESPONDE A LAS EPS / CON INDEPENDENCIA DE SI EXPIDIÓ EL CONCEPTO DE REHABILITACIÓN O NO.</w:t>
      </w:r>
    </w:p>
    <w:p w:rsidR="007A2DD0" w:rsidRPr="007A2DD0" w:rsidRDefault="007A2DD0" w:rsidP="007A2DD0">
      <w:pPr>
        <w:jc w:val="both"/>
        <w:rPr>
          <w:rFonts w:ascii="Arial" w:hAnsi="Arial" w:cs="Arial"/>
          <w:sz w:val="20"/>
          <w:szCs w:val="20"/>
          <w:lang w:val="es-419"/>
        </w:rPr>
      </w:pPr>
    </w:p>
    <w:p w:rsidR="007A2DD0" w:rsidRPr="00B65699" w:rsidRDefault="00B65699" w:rsidP="007A2DD0">
      <w:pPr>
        <w:jc w:val="both"/>
        <w:rPr>
          <w:rFonts w:ascii="Arial" w:hAnsi="Arial" w:cs="Arial"/>
          <w:sz w:val="20"/>
          <w:szCs w:val="20"/>
          <w:lang w:val="es-ES_tradnl"/>
        </w:rPr>
      </w:pPr>
      <w:r w:rsidRPr="00B65699">
        <w:rPr>
          <w:rFonts w:ascii="Arial" w:hAnsi="Arial" w:cs="Arial"/>
          <w:sz w:val="20"/>
          <w:szCs w:val="20"/>
          <w:lang w:val="es-ES_tradnl"/>
        </w:rPr>
        <w:t>Se acepta por la jurisprudencia constitucional la procedencia de la acción de tutela para reconocer el pago de incapacidades médicas, cuando quien reclama no cuenta “con otra fuente de ingresos para satisfacer sus necesidades básicas y las de sus núcleos familiares, o de personas en situaciones extremas de vulnerabilidad” -T 177 de 2013-, pues en dichos casos es necesario garantizarle la protección de sus derechos a la salud y al mínimo vital.</w:t>
      </w:r>
      <w:r>
        <w:rPr>
          <w:rFonts w:ascii="Arial" w:hAnsi="Arial" w:cs="Arial"/>
          <w:sz w:val="20"/>
          <w:szCs w:val="20"/>
          <w:lang w:val="es-ES_tradnl"/>
        </w:rPr>
        <w:t xml:space="preserve"> (…)</w:t>
      </w:r>
    </w:p>
    <w:p w:rsidR="007A2DD0" w:rsidRPr="007A2DD0" w:rsidRDefault="007A2DD0" w:rsidP="007A2DD0">
      <w:pPr>
        <w:jc w:val="both"/>
        <w:rPr>
          <w:rFonts w:ascii="Arial" w:hAnsi="Arial" w:cs="Arial"/>
          <w:sz w:val="20"/>
          <w:szCs w:val="20"/>
          <w:lang w:val="es-419"/>
        </w:rPr>
      </w:pPr>
    </w:p>
    <w:p w:rsidR="007A2DD0" w:rsidRPr="007A2DD0" w:rsidRDefault="00B65699" w:rsidP="007A2DD0">
      <w:pPr>
        <w:jc w:val="both"/>
        <w:rPr>
          <w:rFonts w:ascii="Arial" w:hAnsi="Arial" w:cs="Arial"/>
          <w:sz w:val="20"/>
          <w:szCs w:val="20"/>
          <w:lang w:val="es-419"/>
        </w:rPr>
      </w:pPr>
      <w:r>
        <w:rPr>
          <w:rFonts w:ascii="Arial" w:hAnsi="Arial" w:cs="Arial"/>
          <w:sz w:val="20"/>
          <w:szCs w:val="20"/>
          <w:lang w:val="es-419"/>
        </w:rPr>
        <w:t xml:space="preserve">… </w:t>
      </w:r>
      <w:r w:rsidRPr="00B65699">
        <w:rPr>
          <w:rFonts w:ascii="Arial" w:hAnsi="Arial" w:cs="Arial"/>
          <w:sz w:val="20"/>
          <w:szCs w:val="20"/>
          <w:lang w:val="es-419"/>
        </w:rPr>
        <w:t>analizando la normatividad que regula el tema se tiene que, al entrar en vigencia la Ley 100 de 1993, el pago de licencias por enfermedad de origen común le fue asignado a las entidades encargadas de asegurar las contingencias en materia de seguridad social, correspondiéndole al Decreto 1406 de 1999, reglamentario de ésta última disposición, establecer que el empleador es responsable del pago de las incapacidades laborales de origen común iguales o menores a dos días y que las EPS cubren las que se causen desde entonces y hasta el día 180, siempre y cuando el empleador haya efectuado la afiliación del trabajador al SGSS</w:t>
      </w:r>
      <w:r>
        <w:rPr>
          <w:rFonts w:ascii="Arial" w:hAnsi="Arial" w:cs="Arial"/>
          <w:sz w:val="20"/>
          <w:szCs w:val="20"/>
          <w:lang w:val="es-419"/>
        </w:rPr>
        <w:t>…</w:t>
      </w:r>
    </w:p>
    <w:p w:rsidR="007A2DD0" w:rsidRPr="007A2DD0" w:rsidRDefault="007A2DD0" w:rsidP="007A2DD0">
      <w:pPr>
        <w:jc w:val="both"/>
        <w:rPr>
          <w:rFonts w:ascii="Arial" w:hAnsi="Arial" w:cs="Arial"/>
          <w:sz w:val="20"/>
          <w:szCs w:val="20"/>
          <w:lang w:val="es-419"/>
        </w:rPr>
      </w:pPr>
    </w:p>
    <w:p w:rsidR="007A2DD0" w:rsidRDefault="00B65699" w:rsidP="007A2DD0">
      <w:pPr>
        <w:jc w:val="both"/>
        <w:rPr>
          <w:rFonts w:ascii="Arial" w:hAnsi="Arial" w:cs="Arial"/>
          <w:sz w:val="20"/>
          <w:szCs w:val="20"/>
          <w:lang w:val="es-419"/>
        </w:rPr>
      </w:pPr>
      <w:r w:rsidRPr="00B65699">
        <w:rPr>
          <w:rFonts w:ascii="Arial" w:hAnsi="Arial" w:cs="Arial"/>
          <w:sz w:val="20"/>
          <w:szCs w:val="20"/>
          <w:lang w:val="es-419"/>
        </w:rPr>
        <w:t>Ahora, la responsabilidad en el pago de las incapacidades causadas después del día 180, se rige por las disposiciones previstas en el artículo 23 del Decreto 2463 de 2001, siendo la jurisprudencia constitucional consistente en señalar que luego del día 181 de incapacidad, es la administradora de pensiones quien asume su pago, hasta tanto se defina su derecho pensional</w:t>
      </w:r>
      <w:r>
        <w:rPr>
          <w:rFonts w:ascii="Arial" w:hAnsi="Arial" w:cs="Arial"/>
          <w:sz w:val="20"/>
          <w:szCs w:val="20"/>
          <w:lang w:val="es-419"/>
        </w:rPr>
        <w:t>…</w:t>
      </w:r>
    </w:p>
    <w:p w:rsidR="00B65699" w:rsidRDefault="00B65699" w:rsidP="007A2DD0">
      <w:pPr>
        <w:jc w:val="both"/>
        <w:rPr>
          <w:rFonts w:ascii="Arial" w:hAnsi="Arial" w:cs="Arial"/>
          <w:sz w:val="20"/>
          <w:szCs w:val="20"/>
          <w:lang w:val="es-419"/>
        </w:rPr>
      </w:pPr>
    </w:p>
    <w:p w:rsidR="00B65699" w:rsidRPr="007A2DD0" w:rsidRDefault="00B65699" w:rsidP="007A2DD0">
      <w:pPr>
        <w:jc w:val="both"/>
        <w:rPr>
          <w:rFonts w:ascii="Arial" w:hAnsi="Arial" w:cs="Arial"/>
          <w:sz w:val="20"/>
          <w:szCs w:val="20"/>
          <w:lang w:val="es-419"/>
        </w:rPr>
      </w:pPr>
      <w:r>
        <w:rPr>
          <w:rFonts w:ascii="Arial" w:hAnsi="Arial" w:cs="Arial"/>
          <w:sz w:val="20"/>
          <w:szCs w:val="20"/>
          <w:lang w:val="es-419"/>
        </w:rPr>
        <w:t xml:space="preserve">… </w:t>
      </w:r>
      <w:r w:rsidRPr="00B65699">
        <w:rPr>
          <w:rFonts w:ascii="Arial" w:hAnsi="Arial" w:cs="Arial"/>
          <w:sz w:val="20"/>
          <w:szCs w:val="20"/>
          <w:lang w:val="es-419"/>
        </w:rPr>
        <w:t>el concepto desfavorable de rehabilitación fue remitido a Colpensiones el 8 de julio de 2020, conforme lo acreditó esa entidad al momento de dar respuesta a la acción</w:t>
      </w:r>
      <w:r>
        <w:rPr>
          <w:rFonts w:ascii="Arial" w:hAnsi="Arial" w:cs="Arial"/>
          <w:sz w:val="20"/>
          <w:szCs w:val="20"/>
          <w:lang w:val="es-419"/>
        </w:rPr>
        <w:t>…</w:t>
      </w:r>
      <w:r w:rsidRPr="00B65699">
        <w:rPr>
          <w:rFonts w:ascii="Arial" w:hAnsi="Arial" w:cs="Arial"/>
          <w:sz w:val="20"/>
          <w:szCs w:val="20"/>
          <w:lang w:val="es-419"/>
        </w:rPr>
        <w:t>; lo que indica entonces que si bien la Nueva EPS cumplió con la carga de emitir el referido concepto y remitirlo a la AFP en los términos antes señalados, es decir entre el día 120 y 150 de incapacidad, ello no la releva de cancelar las incapacidades otorgadas con posterioridad a la acreditación de dicha obligación y hasta el día 180</w:t>
      </w:r>
      <w:r>
        <w:rPr>
          <w:rFonts w:ascii="Arial" w:hAnsi="Arial" w:cs="Arial"/>
          <w:sz w:val="20"/>
          <w:szCs w:val="20"/>
          <w:lang w:val="es-419"/>
        </w:rPr>
        <w:t>…</w:t>
      </w:r>
    </w:p>
    <w:p w:rsidR="007A2DD0" w:rsidRPr="007A2DD0" w:rsidRDefault="007A2DD0" w:rsidP="007A2DD0">
      <w:pPr>
        <w:jc w:val="both"/>
        <w:rPr>
          <w:rFonts w:ascii="Arial" w:hAnsi="Arial" w:cs="Arial"/>
          <w:sz w:val="20"/>
          <w:szCs w:val="20"/>
        </w:rPr>
      </w:pPr>
    </w:p>
    <w:p w:rsidR="007A2DD0" w:rsidRPr="007A2DD0" w:rsidRDefault="007A2DD0" w:rsidP="007A2DD0">
      <w:pPr>
        <w:jc w:val="both"/>
        <w:rPr>
          <w:rFonts w:ascii="Arial" w:hAnsi="Arial" w:cs="Arial"/>
          <w:sz w:val="20"/>
          <w:szCs w:val="20"/>
        </w:rPr>
      </w:pPr>
    </w:p>
    <w:p w:rsidR="007A2DD0" w:rsidRPr="007A2DD0" w:rsidRDefault="007A2DD0" w:rsidP="007A2DD0">
      <w:pPr>
        <w:jc w:val="both"/>
        <w:rPr>
          <w:rFonts w:ascii="Arial" w:hAnsi="Arial" w:cs="Arial"/>
          <w:sz w:val="20"/>
          <w:szCs w:val="20"/>
        </w:rPr>
      </w:pPr>
    </w:p>
    <w:p w:rsidR="0090265B" w:rsidRPr="007A2DD0" w:rsidRDefault="0090265B" w:rsidP="007A2DD0">
      <w:pPr>
        <w:pStyle w:val="Ttulo3"/>
        <w:spacing w:line="276" w:lineRule="auto"/>
        <w:jc w:val="center"/>
        <w:rPr>
          <w:rFonts w:cs="Arial"/>
          <w:sz w:val="24"/>
          <w:szCs w:val="24"/>
        </w:rPr>
      </w:pPr>
      <w:r w:rsidRPr="007A2DD0">
        <w:rPr>
          <w:rFonts w:cs="Arial"/>
          <w:sz w:val="24"/>
          <w:szCs w:val="24"/>
        </w:rPr>
        <w:t>TRIBUNAL SUPERIOR DEL DISTRITO JUDICIAL</w:t>
      </w:r>
    </w:p>
    <w:p w:rsidR="0090265B" w:rsidRPr="007A2DD0" w:rsidRDefault="0090265B" w:rsidP="007A2DD0">
      <w:pPr>
        <w:spacing w:line="276" w:lineRule="auto"/>
        <w:jc w:val="center"/>
        <w:rPr>
          <w:rFonts w:ascii="Arial" w:hAnsi="Arial" w:cs="Arial"/>
          <w:b/>
        </w:rPr>
      </w:pPr>
      <w:r w:rsidRPr="007A2DD0">
        <w:rPr>
          <w:rFonts w:ascii="Arial" w:hAnsi="Arial" w:cs="Arial"/>
          <w:b/>
        </w:rPr>
        <w:t>SALA LABORAL</w:t>
      </w:r>
    </w:p>
    <w:p w:rsidR="0090265B" w:rsidRPr="007A2DD0" w:rsidRDefault="0090265B" w:rsidP="007A2DD0">
      <w:pPr>
        <w:spacing w:line="276" w:lineRule="auto"/>
        <w:jc w:val="center"/>
        <w:rPr>
          <w:rFonts w:ascii="Arial" w:hAnsi="Arial" w:cs="Arial"/>
          <w:b/>
        </w:rPr>
      </w:pPr>
      <w:r w:rsidRPr="007A2DD0">
        <w:rPr>
          <w:rFonts w:ascii="Arial" w:hAnsi="Arial" w:cs="Arial"/>
          <w:b/>
        </w:rPr>
        <w:t>ACCIÓN DE TUTELA</w:t>
      </w:r>
    </w:p>
    <w:p w:rsidR="0090265B" w:rsidRPr="007A2DD0" w:rsidRDefault="0090265B" w:rsidP="007A2DD0">
      <w:pPr>
        <w:spacing w:line="276" w:lineRule="auto"/>
        <w:jc w:val="center"/>
        <w:rPr>
          <w:rFonts w:ascii="Arial" w:hAnsi="Arial" w:cs="Arial"/>
          <w:b/>
        </w:rPr>
      </w:pPr>
      <w:r w:rsidRPr="007A2DD0">
        <w:rPr>
          <w:rFonts w:ascii="Arial" w:hAnsi="Arial" w:cs="Arial"/>
          <w:b/>
        </w:rPr>
        <w:t>MAGISTRADO PONENTE: JULIO CÉSAR SALAZAR MUÑOZ</w:t>
      </w:r>
    </w:p>
    <w:p w:rsidR="0090265B" w:rsidRPr="007A2DD0" w:rsidRDefault="0090265B" w:rsidP="007A2DD0">
      <w:pPr>
        <w:spacing w:line="276" w:lineRule="auto"/>
        <w:jc w:val="center"/>
        <w:rPr>
          <w:rFonts w:ascii="Arial" w:hAnsi="Arial" w:cs="Arial"/>
        </w:rPr>
      </w:pPr>
    </w:p>
    <w:p w:rsidR="0090265B" w:rsidRPr="007A2DD0" w:rsidRDefault="009945C9" w:rsidP="007A2DD0">
      <w:pPr>
        <w:spacing w:line="276" w:lineRule="auto"/>
        <w:jc w:val="center"/>
        <w:rPr>
          <w:rFonts w:ascii="Arial" w:hAnsi="Arial" w:cs="Arial"/>
        </w:rPr>
      </w:pPr>
      <w:r w:rsidRPr="007A2DD0">
        <w:rPr>
          <w:rFonts w:ascii="Arial" w:hAnsi="Arial" w:cs="Arial"/>
        </w:rPr>
        <w:t xml:space="preserve">Pereira, </w:t>
      </w:r>
      <w:r w:rsidR="79F3432A" w:rsidRPr="007A2DD0">
        <w:rPr>
          <w:rFonts w:ascii="Arial" w:hAnsi="Arial" w:cs="Arial"/>
        </w:rPr>
        <w:t>veinti</w:t>
      </w:r>
      <w:r w:rsidR="26014CD6" w:rsidRPr="007A2DD0">
        <w:rPr>
          <w:rFonts w:ascii="Arial" w:hAnsi="Arial" w:cs="Arial"/>
        </w:rPr>
        <w:t>trés</w:t>
      </w:r>
      <w:r w:rsidR="00441440" w:rsidRPr="007A2DD0">
        <w:rPr>
          <w:rFonts w:ascii="Arial" w:hAnsi="Arial" w:cs="Arial"/>
        </w:rPr>
        <w:t xml:space="preserve"> de octubre de dos mil veinte</w:t>
      </w:r>
    </w:p>
    <w:p w:rsidR="0090265B" w:rsidRPr="007A2DD0" w:rsidRDefault="00BF147B" w:rsidP="007A2DD0">
      <w:pPr>
        <w:spacing w:line="276" w:lineRule="auto"/>
        <w:jc w:val="center"/>
        <w:rPr>
          <w:rFonts w:ascii="Arial" w:hAnsi="Arial" w:cs="Arial"/>
        </w:rPr>
      </w:pPr>
      <w:r w:rsidRPr="007A2DD0">
        <w:rPr>
          <w:rFonts w:ascii="Arial" w:hAnsi="Arial" w:cs="Arial"/>
        </w:rPr>
        <w:t>Acta N°</w:t>
      </w:r>
      <w:r w:rsidR="7FAF4898" w:rsidRPr="007A2DD0">
        <w:rPr>
          <w:rFonts w:ascii="Arial" w:hAnsi="Arial" w:cs="Arial"/>
        </w:rPr>
        <w:t xml:space="preserve"> 127</w:t>
      </w:r>
      <w:r w:rsidR="0074084F" w:rsidRPr="007A2DD0">
        <w:rPr>
          <w:rFonts w:ascii="Arial" w:hAnsi="Arial" w:cs="Arial"/>
        </w:rPr>
        <w:t xml:space="preserve"> </w:t>
      </w:r>
      <w:r w:rsidR="0090265B" w:rsidRPr="007A2DD0">
        <w:rPr>
          <w:rFonts w:ascii="Arial" w:hAnsi="Arial" w:cs="Arial"/>
        </w:rPr>
        <w:t xml:space="preserve">de </w:t>
      </w:r>
      <w:r w:rsidR="00441440" w:rsidRPr="007A2DD0">
        <w:rPr>
          <w:rFonts w:ascii="Arial" w:hAnsi="Arial" w:cs="Arial"/>
        </w:rPr>
        <w:t>2</w:t>
      </w:r>
      <w:r w:rsidR="418EA6F4" w:rsidRPr="007A2DD0">
        <w:rPr>
          <w:rFonts w:ascii="Arial" w:hAnsi="Arial" w:cs="Arial"/>
        </w:rPr>
        <w:t>3</w:t>
      </w:r>
      <w:r w:rsidR="00441440" w:rsidRPr="007A2DD0">
        <w:rPr>
          <w:rFonts w:ascii="Arial" w:hAnsi="Arial" w:cs="Arial"/>
        </w:rPr>
        <w:t xml:space="preserve"> de </w:t>
      </w:r>
      <w:r w:rsidR="00230D87" w:rsidRPr="007A2DD0">
        <w:rPr>
          <w:rFonts w:ascii="Arial" w:hAnsi="Arial" w:cs="Arial"/>
        </w:rPr>
        <w:t>octubre</w:t>
      </w:r>
      <w:r w:rsidR="00441440" w:rsidRPr="007A2DD0">
        <w:rPr>
          <w:rFonts w:ascii="Arial" w:hAnsi="Arial" w:cs="Arial"/>
        </w:rPr>
        <w:t xml:space="preserve"> de 2020</w:t>
      </w:r>
    </w:p>
    <w:p w:rsidR="0090265B" w:rsidRPr="007A2DD0" w:rsidRDefault="0090265B" w:rsidP="007A2DD0">
      <w:pPr>
        <w:spacing w:line="276" w:lineRule="auto"/>
        <w:jc w:val="both"/>
        <w:rPr>
          <w:rFonts w:ascii="Arial" w:hAnsi="Arial" w:cs="Arial"/>
        </w:rPr>
      </w:pPr>
    </w:p>
    <w:p w:rsidR="00230D87" w:rsidRPr="007A2DD0" w:rsidRDefault="0090265B" w:rsidP="007A2DD0">
      <w:pPr>
        <w:pStyle w:val="Textoindependiente"/>
        <w:spacing w:line="276" w:lineRule="auto"/>
        <w:rPr>
          <w:rFonts w:cs="Arial"/>
          <w:sz w:val="24"/>
          <w:szCs w:val="24"/>
        </w:rPr>
      </w:pPr>
      <w:r w:rsidRPr="007A2DD0">
        <w:rPr>
          <w:rFonts w:cs="Arial"/>
          <w:sz w:val="24"/>
          <w:szCs w:val="24"/>
        </w:rPr>
        <w:t xml:space="preserve">Procede la Sala Laboral del Tribunal Superior de Pereira a resolver la impugnación presentada </w:t>
      </w:r>
      <w:r w:rsidR="000E646B" w:rsidRPr="007A2DD0">
        <w:rPr>
          <w:rFonts w:cs="Arial"/>
          <w:sz w:val="24"/>
          <w:szCs w:val="24"/>
        </w:rPr>
        <w:t>por</w:t>
      </w:r>
      <w:r w:rsidR="00230D87" w:rsidRPr="007A2DD0">
        <w:rPr>
          <w:rFonts w:cs="Arial"/>
          <w:sz w:val="24"/>
          <w:szCs w:val="24"/>
        </w:rPr>
        <w:t xml:space="preserve"> la señora </w:t>
      </w:r>
      <w:r w:rsidR="00230D87" w:rsidRPr="007A2DD0">
        <w:rPr>
          <w:rFonts w:cs="Arial"/>
          <w:b/>
          <w:bCs/>
          <w:sz w:val="24"/>
          <w:szCs w:val="24"/>
        </w:rPr>
        <w:t>LILIANA PATRICIA CARDOZA</w:t>
      </w:r>
      <w:r w:rsidR="00BF147B" w:rsidRPr="007A2DD0">
        <w:rPr>
          <w:rFonts w:cs="Arial"/>
          <w:b/>
          <w:bCs/>
          <w:sz w:val="24"/>
          <w:szCs w:val="24"/>
        </w:rPr>
        <w:t>,</w:t>
      </w:r>
      <w:r w:rsidR="00BF147B" w:rsidRPr="007A2DD0">
        <w:rPr>
          <w:rFonts w:cs="Arial"/>
          <w:sz w:val="24"/>
          <w:szCs w:val="24"/>
        </w:rPr>
        <w:t xml:space="preserve"> contra la sentencia </w:t>
      </w:r>
      <w:r w:rsidRPr="007A2DD0">
        <w:rPr>
          <w:rFonts w:cs="Arial"/>
          <w:sz w:val="24"/>
          <w:szCs w:val="24"/>
        </w:rPr>
        <w:t xml:space="preserve">proferida por el Juzgado </w:t>
      </w:r>
      <w:r w:rsidR="00D7223A" w:rsidRPr="007A2DD0">
        <w:rPr>
          <w:rFonts w:cs="Arial"/>
          <w:sz w:val="24"/>
          <w:szCs w:val="24"/>
        </w:rPr>
        <w:t>Tercero</w:t>
      </w:r>
      <w:r w:rsidR="00783128" w:rsidRPr="007A2DD0">
        <w:rPr>
          <w:rFonts w:cs="Arial"/>
          <w:sz w:val="24"/>
          <w:szCs w:val="24"/>
        </w:rPr>
        <w:t xml:space="preserve"> </w:t>
      </w:r>
      <w:r w:rsidRPr="007A2DD0">
        <w:rPr>
          <w:rFonts w:cs="Arial"/>
          <w:sz w:val="24"/>
          <w:szCs w:val="24"/>
        </w:rPr>
        <w:t>Laboral del Circuito de Pereira</w:t>
      </w:r>
      <w:r w:rsidR="00BF147B" w:rsidRPr="007A2DD0">
        <w:rPr>
          <w:rFonts w:cs="Arial"/>
          <w:sz w:val="24"/>
          <w:szCs w:val="24"/>
        </w:rPr>
        <w:t xml:space="preserve"> el día </w:t>
      </w:r>
      <w:r w:rsidR="00A82585" w:rsidRPr="007A2DD0">
        <w:rPr>
          <w:rFonts w:cs="Arial"/>
          <w:sz w:val="24"/>
          <w:szCs w:val="24"/>
        </w:rPr>
        <w:t>11 septiembre de 2020</w:t>
      </w:r>
      <w:r w:rsidR="00BF147B" w:rsidRPr="007A2DD0">
        <w:rPr>
          <w:rFonts w:cs="Arial"/>
          <w:sz w:val="24"/>
          <w:szCs w:val="24"/>
        </w:rPr>
        <w:t>, dentro del trámite de la Acción</w:t>
      </w:r>
      <w:r w:rsidR="00157AEE" w:rsidRPr="007A2DD0">
        <w:rPr>
          <w:rFonts w:cs="Arial"/>
          <w:sz w:val="24"/>
          <w:szCs w:val="24"/>
        </w:rPr>
        <w:t xml:space="preserve"> de Tutela que </w:t>
      </w:r>
      <w:r w:rsidR="00230D87" w:rsidRPr="007A2DD0">
        <w:rPr>
          <w:rFonts w:cs="Arial"/>
          <w:sz w:val="24"/>
          <w:szCs w:val="24"/>
        </w:rPr>
        <w:t xml:space="preserve">le promueve a la </w:t>
      </w:r>
      <w:r w:rsidR="00230D87" w:rsidRPr="007A2DD0">
        <w:rPr>
          <w:rFonts w:cs="Arial"/>
          <w:b/>
          <w:bCs/>
          <w:sz w:val="24"/>
          <w:szCs w:val="24"/>
        </w:rPr>
        <w:t>NUEVA EPS</w:t>
      </w:r>
      <w:r w:rsidR="009B6864" w:rsidRPr="007A2DD0">
        <w:rPr>
          <w:rFonts w:cs="Arial"/>
          <w:b/>
          <w:bCs/>
          <w:sz w:val="24"/>
          <w:szCs w:val="24"/>
        </w:rPr>
        <w:t>.</w:t>
      </w:r>
      <w:r w:rsidR="00230D87" w:rsidRPr="007A2DD0">
        <w:rPr>
          <w:rFonts w:cs="Arial"/>
          <w:b/>
          <w:bCs/>
          <w:sz w:val="24"/>
          <w:szCs w:val="24"/>
        </w:rPr>
        <w:t xml:space="preserve">  </w:t>
      </w:r>
      <w:r w:rsidR="508E46CD" w:rsidRPr="007A2DD0">
        <w:rPr>
          <w:rFonts w:cs="Arial"/>
          <w:sz w:val="24"/>
          <w:szCs w:val="24"/>
        </w:rPr>
        <w:t>A la actuación,</w:t>
      </w:r>
      <w:r w:rsidR="00230D87" w:rsidRPr="007A2DD0">
        <w:rPr>
          <w:rFonts w:cs="Arial"/>
          <w:sz w:val="24"/>
          <w:szCs w:val="24"/>
        </w:rPr>
        <w:t xml:space="preserve"> se dispuso la vinculación de Colpensiones.</w:t>
      </w:r>
    </w:p>
    <w:p w:rsidR="00230D87" w:rsidRPr="007A2DD0" w:rsidRDefault="00230D87" w:rsidP="007A2DD0">
      <w:pPr>
        <w:pStyle w:val="Textoindependiente"/>
        <w:spacing w:line="276" w:lineRule="auto"/>
        <w:rPr>
          <w:rFonts w:cs="Arial"/>
          <w:sz w:val="24"/>
          <w:szCs w:val="24"/>
        </w:rPr>
      </w:pPr>
    </w:p>
    <w:p w:rsidR="0090265B" w:rsidRPr="007A2DD0" w:rsidRDefault="0090265B" w:rsidP="007A2DD0">
      <w:pPr>
        <w:pStyle w:val="Ttulo2"/>
        <w:spacing w:line="276" w:lineRule="auto"/>
        <w:jc w:val="center"/>
        <w:rPr>
          <w:rFonts w:cs="Arial"/>
          <w:szCs w:val="24"/>
        </w:rPr>
      </w:pPr>
      <w:r w:rsidRPr="007A2DD0">
        <w:rPr>
          <w:rFonts w:cs="Arial"/>
          <w:szCs w:val="24"/>
        </w:rPr>
        <w:t>ANTECEDENTES</w:t>
      </w:r>
    </w:p>
    <w:p w:rsidR="0090265B" w:rsidRPr="007A2DD0" w:rsidRDefault="0090265B" w:rsidP="007A2DD0">
      <w:pPr>
        <w:spacing w:line="276" w:lineRule="auto"/>
        <w:jc w:val="both"/>
        <w:rPr>
          <w:rFonts w:ascii="Arial" w:hAnsi="Arial" w:cs="Arial"/>
        </w:rPr>
      </w:pPr>
    </w:p>
    <w:p w:rsidR="00A94377" w:rsidRPr="007A2DD0" w:rsidRDefault="00441440" w:rsidP="007A2DD0">
      <w:pPr>
        <w:spacing w:line="276" w:lineRule="auto"/>
        <w:jc w:val="both"/>
        <w:rPr>
          <w:rFonts w:ascii="Arial" w:hAnsi="Arial" w:cs="Arial"/>
        </w:rPr>
      </w:pPr>
      <w:r w:rsidRPr="007A2DD0">
        <w:rPr>
          <w:rFonts w:ascii="Arial" w:hAnsi="Arial" w:cs="Arial"/>
        </w:rPr>
        <w:t>Informa la señora Liliana Patricia Cardoza que se encuentra afiliada a la Nueva EPS; que debido a sus condiciones médicas viene siendo incapacitada</w:t>
      </w:r>
      <w:r w:rsidR="00230D87" w:rsidRPr="007A2DD0">
        <w:rPr>
          <w:rFonts w:ascii="Arial" w:hAnsi="Arial" w:cs="Arial"/>
        </w:rPr>
        <w:t xml:space="preserve">, superando en la </w:t>
      </w:r>
      <w:r w:rsidR="00230D87" w:rsidRPr="007A2DD0">
        <w:rPr>
          <w:rFonts w:ascii="Arial" w:hAnsi="Arial" w:cs="Arial"/>
        </w:rPr>
        <w:lastRenderedPageBreak/>
        <w:t>actualidad los 180 días de licencia médica</w:t>
      </w:r>
      <w:r w:rsidRPr="007A2DD0">
        <w:rPr>
          <w:rFonts w:ascii="Arial" w:hAnsi="Arial" w:cs="Arial"/>
        </w:rPr>
        <w:t>; que en virtud a ello la EPS accionada emitió concepto desfavorable de rehabilitación, el cual le fue notificado a Colpensiones  el 9 de julio de 2020, fecha hasta la cual le fue</w:t>
      </w:r>
      <w:r w:rsidR="00230D87" w:rsidRPr="007A2DD0">
        <w:rPr>
          <w:rFonts w:ascii="Arial" w:hAnsi="Arial" w:cs="Arial"/>
        </w:rPr>
        <w:t xml:space="preserve"> cancelado el auxilio monetario</w:t>
      </w:r>
      <w:r w:rsidRPr="007A2DD0">
        <w:rPr>
          <w:rFonts w:ascii="Arial" w:hAnsi="Arial" w:cs="Arial"/>
        </w:rPr>
        <w:t>, pues según la ent</w:t>
      </w:r>
      <w:r w:rsidR="00F11E1D" w:rsidRPr="007A2DD0">
        <w:rPr>
          <w:rFonts w:ascii="Arial" w:hAnsi="Arial" w:cs="Arial"/>
        </w:rPr>
        <w:t xml:space="preserve">idad a partir de </w:t>
      </w:r>
      <w:r w:rsidR="00230D87" w:rsidRPr="007A2DD0">
        <w:rPr>
          <w:rFonts w:ascii="Arial" w:hAnsi="Arial" w:cs="Arial"/>
        </w:rPr>
        <w:t>ese mome</w:t>
      </w:r>
      <w:r w:rsidR="08395382" w:rsidRPr="007A2DD0">
        <w:rPr>
          <w:rFonts w:ascii="Arial" w:hAnsi="Arial" w:cs="Arial"/>
        </w:rPr>
        <w:t>n</w:t>
      </w:r>
      <w:r w:rsidR="00230D87" w:rsidRPr="007A2DD0">
        <w:rPr>
          <w:rFonts w:ascii="Arial" w:hAnsi="Arial" w:cs="Arial"/>
        </w:rPr>
        <w:t>to</w:t>
      </w:r>
      <w:r w:rsidR="00F11E1D" w:rsidRPr="007A2DD0">
        <w:rPr>
          <w:rFonts w:ascii="Arial" w:hAnsi="Arial" w:cs="Arial"/>
        </w:rPr>
        <w:t xml:space="preserve"> es la AFP quien debe continuar realizando los pagos</w:t>
      </w:r>
      <w:r w:rsidRPr="007A2DD0">
        <w:rPr>
          <w:rFonts w:ascii="Arial" w:hAnsi="Arial" w:cs="Arial"/>
        </w:rPr>
        <w:t>.</w:t>
      </w:r>
    </w:p>
    <w:p w:rsidR="00F11E1D" w:rsidRPr="007A2DD0" w:rsidRDefault="00F11E1D" w:rsidP="007A2DD0">
      <w:pPr>
        <w:spacing w:line="276" w:lineRule="auto"/>
        <w:jc w:val="both"/>
        <w:rPr>
          <w:rFonts w:ascii="Arial" w:hAnsi="Arial" w:cs="Arial"/>
        </w:rPr>
      </w:pPr>
    </w:p>
    <w:p w:rsidR="00F11E1D" w:rsidRPr="007A2DD0" w:rsidRDefault="00F11E1D" w:rsidP="007A2DD0">
      <w:pPr>
        <w:spacing w:line="276" w:lineRule="auto"/>
        <w:jc w:val="both"/>
        <w:rPr>
          <w:rFonts w:ascii="Arial" w:hAnsi="Arial" w:cs="Arial"/>
        </w:rPr>
      </w:pPr>
      <w:r w:rsidRPr="007A2DD0">
        <w:rPr>
          <w:rFonts w:ascii="Arial" w:hAnsi="Arial" w:cs="Arial"/>
        </w:rPr>
        <w:t xml:space="preserve">Estima que según la normatividad vigente </w:t>
      </w:r>
      <w:r w:rsidR="00611C99" w:rsidRPr="007A2DD0">
        <w:rPr>
          <w:rFonts w:ascii="Arial" w:hAnsi="Arial" w:cs="Arial"/>
        </w:rPr>
        <w:t>le corresponde a la Nueva EPS asumir el pago de las incapacidades hasta el día 180 y solo canceló 144 días de dicho periodo</w:t>
      </w:r>
      <w:r w:rsidR="1EF0ED01" w:rsidRPr="007A2DD0">
        <w:rPr>
          <w:rFonts w:ascii="Arial" w:hAnsi="Arial" w:cs="Arial"/>
        </w:rPr>
        <w:t xml:space="preserve">. Considera </w:t>
      </w:r>
      <w:r w:rsidR="00611C99" w:rsidRPr="007A2DD0">
        <w:rPr>
          <w:rFonts w:ascii="Arial" w:hAnsi="Arial" w:cs="Arial"/>
        </w:rPr>
        <w:t>además</w:t>
      </w:r>
      <w:r w:rsidR="00230D87" w:rsidRPr="007A2DD0">
        <w:rPr>
          <w:rFonts w:ascii="Arial" w:hAnsi="Arial" w:cs="Arial"/>
        </w:rPr>
        <w:t>,</w:t>
      </w:r>
      <w:r w:rsidR="00611C99" w:rsidRPr="007A2DD0">
        <w:rPr>
          <w:rFonts w:ascii="Arial" w:hAnsi="Arial" w:cs="Arial"/>
        </w:rPr>
        <w:t xml:space="preserve"> </w:t>
      </w:r>
      <w:r w:rsidR="617AEFAB" w:rsidRPr="007A2DD0">
        <w:rPr>
          <w:rFonts w:ascii="Arial" w:hAnsi="Arial" w:cs="Arial"/>
        </w:rPr>
        <w:t xml:space="preserve">que esa entidad </w:t>
      </w:r>
      <w:r w:rsidR="00611C99" w:rsidRPr="007A2DD0">
        <w:rPr>
          <w:rFonts w:ascii="Arial" w:hAnsi="Arial" w:cs="Arial"/>
        </w:rPr>
        <w:t>debe asumir el pago hasta que la Junta Regional de Calificación de invalidez emita su dictamen.</w:t>
      </w:r>
    </w:p>
    <w:p w:rsidR="00611C99" w:rsidRPr="007A2DD0" w:rsidRDefault="00611C99" w:rsidP="007A2DD0">
      <w:pPr>
        <w:spacing w:line="276" w:lineRule="auto"/>
        <w:jc w:val="both"/>
        <w:rPr>
          <w:rFonts w:ascii="Arial" w:hAnsi="Arial" w:cs="Arial"/>
        </w:rPr>
      </w:pPr>
    </w:p>
    <w:p w:rsidR="00611C99" w:rsidRPr="007A2DD0" w:rsidRDefault="00611C99" w:rsidP="007A2DD0">
      <w:pPr>
        <w:spacing w:line="276" w:lineRule="auto"/>
        <w:jc w:val="both"/>
        <w:rPr>
          <w:rFonts w:ascii="Arial" w:hAnsi="Arial" w:cs="Arial"/>
        </w:rPr>
      </w:pPr>
      <w:r w:rsidRPr="007A2DD0">
        <w:rPr>
          <w:rFonts w:ascii="Arial" w:hAnsi="Arial" w:cs="Arial"/>
        </w:rPr>
        <w:t>Refiere que necesita que le sean pagadas las incapacidades médicas, toda vez que no cuenta con los recursos y su condición médica es compleja debido al c</w:t>
      </w:r>
      <w:r w:rsidR="0067059A" w:rsidRPr="007A2DD0">
        <w:rPr>
          <w:rFonts w:ascii="Arial" w:hAnsi="Arial" w:cs="Arial"/>
        </w:rPr>
        <w:t xml:space="preserve">áncer que padece, por lo que solicita que se proteja el derecho fundamental al mínimo vital y como consecuencia se </w:t>
      </w:r>
      <w:r w:rsidR="0FD4226F" w:rsidRPr="007A2DD0">
        <w:rPr>
          <w:rFonts w:ascii="Arial" w:hAnsi="Arial" w:cs="Arial"/>
        </w:rPr>
        <w:t xml:space="preserve">le </w:t>
      </w:r>
      <w:r w:rsidR="0067059A" w:rsidRPr="007A2DD0">
        <w:rPr>
          <w:rFonts w:ascii="Arial" w:hAnsi="Arial" w:cs="Arial"/>
        </w:rPr>
        <w:t>cancele</w:t>
      </w:r>
      <w:r w:rsidR="6D764AEA" w:rsidRPr="007A2DD0">
        <w:rPr>
          <w:rFonts w:ascii="Arial" w:hAnsi="Arial" w:cs="Arial"/>
        </w:rPr>
        <w:t>n</w:t>
      </w:r>
      <w:r w:rsidR="0067059A" w:rsidRPr="007A2DD0">
        <w:rPr>
          <w:rFonts w:ascii="Arial" w:hAnsi="Arial" w:cs="Arial"/>
        </w:rPr>
        <w:t xml:space="preserve"> las incapacidades medicas hasta que sea valorada por la Junta de Calificación de Invalidez de Risaralda.</w:t>
      </w:r>
    </w:p>
    <w:p w:rsidR="00441440" w:rsidRPr="007A2DD0" w:rsidRDefault="00441440" w:rsidP="007A2DD0">
      <w:pPr>
        <w:spacing w:line="276" w:lineRule="auto"/>
        <w:jc w:val="both"/>
        <w:rPr>
          <w:rFonts w:ascii="Arial" w:hAnsi="Arial" w:cs="Arial"/>
        </w:rPr>
      </w:pPr>
    </w:p>
    <w:p w:rsidR="0090265B" w:rsidRPr="007A2DD0" w:rsidRDefault="0090265B" w:rsidP="007A2DD0">
      <w:pPr>
        <w:pStyle w:val="Ttulo2"/>
        <w:spacing w:line="276" w:lineRule="auto"/>
        <w:jc w:val="center"/>
        <w:rPr>
          <w:rFonts w:cs="Arial"/>
          <w:szCs w:val="24"/>
        </w:rPr>
      </w:pPr>
      <w:r w:rsidRPr="007A2DD0">
        <w:rPr>
          <w:rFonts w:cs="Arial"/>
          <w:szCs w:val="24"/>
        </w:rPr>
        <w:t>TRÁMITE IMPARTIDO</w:t>
      </w:r>
    </w:p>
    <w:p w:rsidR="0090265B" w:rsidRPr="007A2DD0" w:rsidRDefault="0090265B" w:rsidP="007A2DD0">
      <w:pPr>
        <w:spacing w:line="276" w:lineRule="auto"/>
        <w:rPr>
          <w:rFonts w:ascii="Arial" w:hAnsi="Arial" w:cs="Arial"/>
          <w:lang w:val="es-ES_tradnl"/>
        </w:rPr>
      </w:pPr>
    </w:p>
    <w:p w:rsidR="00A4697B" w:rsidRPr="007A2DD0" w:rsidRDefault="0090265B" w:rsidP="007A2DD0">
      <w:pPr>
        <w:spacing w:line="276" w:lineRule="auto"/>
        <w:jc w:val="both"/>
        <w:rPr>
          <w:rFonts w:ascii="Arial" w:hAnsi="Arial" w:cs="Arial"/>
        </w:rPr>
      </w:pPr>
      <w:r w:rsidRPr="007A2DD0">
        <w:rPr>
          <w:rFonts w:ascii="Arial" w:hAnsi="Arial" w:cs="Arial"/>
        </w:rPr>
        <w:t xml:space="preserve">La acción de tutela </w:t>
      </w:r>
      <w:r w:rsidR="00AA31C0" w:rsidRPr="007A2DD0">
        <w:rPr>
          <w:rFonts w:ascii="Arial" w:hAnsi="Arial" w:cs="Arial"/>
        </w:rPr>
        <w:t>fue admitida por</w:t>
      </w:r>
      <w:r w:rsidR="00A4697B" w:rsidRPr="007A2DD0">
        <w:rPr>
          <w:rFonts w:ascii="Arial" w:hAnsi="Arial" w:cs="Arial"/>
        </w:rPr>
        <w:t xml:space="preserve"> al Juzgado </w:t>
      </w:r>
      <w:r w:rsidR="002132A5" w:rsidRPr="007A2DD0">
        <w:rPr>
          <w:rFonts w:ascii="Arial" w:hAnsi="Arial" w:cs="Arial"/>
        </w:rPr>
        <w:t>Primero</w:t>
      </w:r>
      <w:r w:rsidRPr="007A2DD0">
        <w:rPr>
          <w:rFonts w:ascii="Arial" w:hAnsi="Arial" w:cs="Arial"/>
        </w:rPr>
        <w:t xml:space="preserve"> Labo</w:t>
      </w:r>
      <w:r w:rsidR="00A4697B" w:rsidRPr="007A2DD0">
        <w:rPr>
          <w:rFonts w:ascii="Arial" w:hAnsi="Arial" w:cs="Arial"/>
        </w:rPr>
        <w:t>ral del Circuito de esta ciudad</w:t>
      </w:r>
      <w:r w:rsidR="00AA31C0" w:rsidRPr="007A2DD0">
        <w:rPr>
          <w:rFonts w:ascii="Arial" w:hAnsi="Arial" w:cs="Arial"/>
        </w:rPr>
        <w:t xml:space="preserve"> por auto de fecha </w:t>
      </w:r>
      <w:r w:rsidR="002132A5" w:rsidRPr="007A2DD0">
        <w:rPr>
          <w:rFonts w:ascii="Arial" w:hAnsi="Arial" w:cs="Arial"/>
        </w:rPr>
        <w:t>31 de agosto de 2020</w:t>
      </w:r>
      <w:r w:rsidR="00AA31C0" w:rsidRPr="007A2DD0">
        <w:rPr>
          <w:rFonts w:ascii="Arial" w:hAnsi="Arial" w:cs="Arial"/>
        </w:rPr>
        <w:t xml:space="preserve">, </w:t>
      </w:r>
      <w:r w:rsidR="001C5950" w:rsidRPr="007A2DD0">
        <w:rPr>
          <w:rFonts w:ascii="Arial" w:hAnsi="Arial" w:cs="Arial"/>
        </w:rPr>
        <w:t>providencia en l</w:t>
      </w:r>
      <w:r w:rsidR="002132A5" w:rsidRPr="007A2DD0">
        <w:rPr>
          <w:rFonts w:ascii="Arial" w:hAnsi="Arial" w:cs="Arial"/>
        </w:rPr>
        <w:t>a que se concedió a la entidad</w:t>
      </w:r>
      <w:r w:rsidR="001C5950" w:rsidRPr="007A2DD0">
        <w:rPr>
          <w:rFonts w:ascii="Arial" w:hAnsi="Arial" w:cs="Arial"/>
        </w:rPr>
        <w:t xml:space="preserve"> accionada el </w:t>
      </w:r>
      <w:r w:rsidR="00AA31C0" w:rsidRPr="007A2DD0">
        <w:rPr>
          <w:rFonts w:ascii="Arial" w:hAnsi="Arial" w:cs="Arial"/>
        </w:rPr>
        <w:t xml:space="preserve">término de dos (2) días para </w:t>
      </w:r>
      <w:r w:rsidR="0D2F0EB5" w:rsidRPr="007A2DD0">
        <w:rPr>
          <w:rFonts w:ascii="Arial" w:hAnsi="Arial" w:cs="Arial"/>
        </w:rPr>
        <w:t>el</w:t>
      </w:r>
      <w:r w:rsidR="00AA31C0" w:rsidRPr="007A2DD0">
        <w:rPr>
          <w:rFonts w:ascii="Arial" w:hAnsi="Arial" w:cs="Arial"/>
        </w:rPr>
        <w:t xml:space="preserve"> ejerc</w:t>
      </w:r>
      <w:r w:rsidR="5CC319F8" w:rsidRPr="007A2DD0">
        <w:rPr>
          <w:rFonts w:ascii="Arial" w:hAnsi="Arial" w:cs="Arial"/>
        </w:rPr>
        <w:t>icio de</w:t>
      </w:r>
      <w:r w:rsidR="005040D0" w:rsidRPr="007A2DD0">
        <w:rPr>
          <w:rFonts w:ascii="Arial" w:hAnsi="Arial" w:cs="Arial"/>
        </w:rPr>
        <w:t xml:space="preserve"> su legítimo derecho de defensa.</w:t>
      </w:r>
      <w:r w:rsidR="002132A5" w:rsidRPr="007A2DD0">
        <w:rPr>
          <w:rFonts w:ascii="Arial" w:hAnsi="Arial" w:cs="Arial"/>
        </w:rPr>
        <w:t xml:space="preserve"> Ese mismo lapso le fue concedió a Colpensiones, entidad que fue vinculada al trámite de manera oficiosa.</w:t>
      </w:r>
    </w:p>
    <w:p w:rsidR="00AA31C0" w:rsidRPr="007A2DD0" w:rsidRDefault="00AA31C0" w:rsidP="007A2DD0">
      <w:pPr>
        <w:spacing w:line="276" w:lineRule="auto"/>
        <w:jc w:val="both"/>
        <w:rPr>
          <w:rFonts w:ascii="Arial" w:hAnsi="Arial" w:cs="Arial"/>
        </w:rPr>
      </w:pPr>
    </w:p>
    <w:p w:rsidR="00242E77" w:rsidRPr="007A2DD0" w:rsidRDefault="00720397" w:rsidP="007A2DD0">
      <w:pPr>
        <w:spacing w:line="276" w:lineRule="auto"/>
        <w:jc w:val="both"/>
        <w:rPr>
          <w:rFonts w:ascii="Arial" w:hAnsi="Arial" w:cs="Arial"/>
        </w:rPr>
      </w:pPr>
      <w:r w:rsidRPr="007A2DD0">
        <w:rPr>
          <w:rFonts w:ascii="Arial" w:hAnsi="Arial" w:cs="Arial"/>
        </w:rPr>
        <w:t>Colpensiones dio res</w:t>
      </w:r>
      <w:r w:rsidR="002132A5" w:rsidRPr="007A2DD0">
        <w:rPr>
          <w:rFonts w:ascii="Arial" w:hAnsi="Arial" w:cs="Arial"/>
        </w:rPr>
        <w:t>puesta a la acción señalando que en el caso de la señora Cardoza recibió concepto desfavorable de rehabil</w:t>
      </w:r>
      <w:r w:rsidR="00100D32" w:rsidRPr="007A2DD0">
        <w:rPr>
          <w:rFonts w:ascii="Arial" w:hAnsi="Arial" w:cs="Arial"/>
        </w:rPr>
        <w:t>i</w:t>
      </w:r>
      <w:r w:rsidR="002132A5" w:rsidRPr="007A2DD0">
        <w:rPr>
          <w:rFonts w:ascii="Arial" w:hAnsi="Arial" w:cs="Arial"/>
        </w:rPr>
        <w:t>taci</w:t>
      </w:r>
      <w:r w:rsidR="00100D32" w:rsidRPr="007A2DD0">
        <w:rPr>
          <w:rFonts w:ascii="Arial" w:hAnsi="Arial" w:cs="Arial"/>
        </w:rPr>
        <w:t xml:space="preserve">ón el día 8 de julio de 2020; sin </w:t>
      </w:r>
      <w:r w:rsidR="73098831" w:rsidRPr="007A2DD0">
        <w:rPr>
          <w:rFonts w:ascii="Arial" w:hAnsi="Arial" w:cs="Arial"/>
        </w:rPr>
        <w:t>embargo,</w:t>
      </w:r>
      <w:r w:rsidR="00100D32" w:rsidRPr="007A2DD0">
        <w:rPr>
          <w:rFonts w:ascii="Arial" w:hAnsi="Arial" w:cs="Arial"/>
        </w:rPr>
        <w:t xml:space="preserve"> no cuentan con solicitud de </w:t>
      </w:r>
      <w:r w:rsidR="00242E77" w:rsidRPr="007A2DD0">
        <w:rPr>
          <w:rFonts w:ascii="Arial" w:hAnsi="Arial" w:cs="Arial"/>
        </w:rPr>
        <w:t xml:space="preserve">pago de incapacidades por parte de la accionante, por lo que la </w:t>
      </w:r>
      <w:r w:rsidR="00230D87" w:rsidRPr="007A2DD0">
        <w:rPr>
          <w:rFonts w:ascii="Arial" w:hAnsi="Arial" w:cs="Arial"/>
        </w:rPr>
        <w:t>invita a</w:t>
      </w:r>
      <w:r w:rsidR="00242E77" w:rsidRPr="007A2DD0">
        <w:rPr>
          <w:rFonts w:ascii="Arial" w:hAnsi="Arial" w:cs="Arial"/>
        </w:rPr>
        <w:t xml:space="preserve"> acercarse a los Puntos de Atención al Ciudadano </w:t>
      </w:r>
      <w:r w:rsidR="05174D55" w:rsidRPr="007A2DD0">
        <w:rPr>
          <w:rFonts w:ascii="Arial" w:hAnsi="Arial" w:cs="Arial"/>
        </w:rPr>
        <w:t>para</w:t>
      </w:r>
      <w:r w:rsidR="00242E77" w:rsidRPr="007A2DD0">
        <w:rPr>
          <w:rFonts w:ascii="Arial" w:hAnsi="Arial" w:cs="Arial"/>
        </w:rPr>
        <w:t xml:space="preserve"> diligenciar en debida forma el Formulario de Prestaciones Econ</w:t>
      </w:r>
      <w:r w:rsidR="00FD7DC0" w:rsidRPr="007A2DD0">
        <w:rPr>
          <w:rFonts w:ascii="Arial" w:hAnsi="Arial" w:cs="Arial"/>
        </w:rPr>
        <w:t>ómicas</w:t>
      </w:r>
      <w:r w:rsidR="1ECE5A16" w:rsidRPr="007A2DD0">
        <w:rPr>
          <w:rFonts w:ascii="Arial" w:hAnsi="Arial" w:cs="Arial"/>
        </w:rPr>
        <w:t>.</w:t>
      </w:r>
      <w:r w:rsidR="00FD7DC0" w:rsidRPr="007A2DD0">
        <w:rPr>
          <w:rFonts w:ascii="Arial" w:hAnsi="Arial" w:cs="Arial"/>
        </w:rPr>
        <w:t xml:space="preserve"> </w:t>
      </w:r>
      <w:r w:rsidR="7407AAE7" w:rsidRPr="007A2DD0">
        <w:rPr>
          <w:rFonts w:ascii="Arial" w:hAnsi="Arial" w:cs="Arial"/>
        </w:rPr>
        <w:t>Hizo</w:t>
      </w:r>
      <w:r w:rsidR="00FD7DC0" w:rsidRPr="007A2DD0">
        <w:rPr>
          <w:rFonts w:ascii="Arial" w:hAnsi="Arial" w:cs="Arial"/>
        </w:rPr>
        <w:t xml:space="preserve"> un </w:t>
      </w:r>
      <w:r w:rsidR="00230D87" w:rsidRPr="007A2DD0">
        <w:rPr>
          <w:rFonts w:ascii="Arial" w:hAnsi="Arial" w:cs="Arial"/>
        </w:rPr>
        <w:t xml:space="preserve">breve </w:t>
      </w:r>
      <w:r w:rsidR="00FD7DC0" w:rsidRPr="007A2DD0">
        <w:rPr>
          <w:rFonts w:ascii="Arial" w:hAnsi="Arial" w:cs="Arial"/>
        </w:rPr>
        <w:t xml:space="preserve">recuento del trámite administrativo </w:t>
      </w:r>
      <w:r w:rsidR="00230D87" w:rsidRPr="007A2DD0">
        <w:rPr>
          <w:rFonts w:ascii="Arial" w:hAnsi="Arial" w:cs="Arial"/>
        </w:rPr>
        <w:t xml:space="preserve">al que se someten las solicitudes </w:t>
      </w:r>
      <w:r w:rsidR="0090134C" w:rsidRPr="007A2DD0">
        <w:rPr>
          <w:rFonts w:ascii="Arial" w:hAnsi="Arial" w:cs="Arial"/>
        </w:rPr>
        <w:t>de auxilio por enfermedad</w:t>
      </w:r>
      <w:r w:rsidR="00FD7DC0" w:rsidRPr="007A2DD0">
        <w:rPr>
          <w:rFonts w:ascii="Arial" w:hAnsi="Arial" w:cs="Arial"/>
        </w:rPr>
        <w:t>.</w:t>
      </w:r>
    </w:p>
    <w:p w:rsidR="00242E77" w:rsidRPr="007A2DD0" w:rsidRDefault="00242E77" w:rsidP="007A2DD0">
      <w:pPr>
        <w:spacing w:line="276" w:lineRule="auto"/>
        <w:jc w:val="both"/>
        <w:rPr>
          <w:rFonts w:ascii="Arial" w:hAnsi="Arial" w:cs="Arial"/>
        </w:rPr>
      </w:pPr>
    </w:p>
    <w:p w:rsidR="00242E77" w:rsidRPr="007A2DD0" w:rsidRDefault="00242E77" w:rsidP="007A2DD0">
      <w:pPr>
        <w:spacing w:line="276" w:lineRule="auto"/>
        <w:jc w:val="both"/>
        <w:rPr>
          <w:rFonts w:ascii="Arial" w:hAnsi="Arial" w:cs="Arial"/>
        </w:rPr>
      </w:pPr>
      <w:r w:rsidRPr="007A2DD0">
        <w:rPr>
          <w:rFonts w:ascii="Arial" w:hAnsi="Arial" w:cs="Arial"/>
        </w:rPr>
        <w:t>Recalca que las controversias surgidas en el sistema general de seguridad social entre afiliados, beneficiarios</w:t>
      </w:r>
      <w:r w:rsidR="00FD7DC0" w:rsidRPr="007A2DD0">
        <w:rPr>
          <w:rFonts w:ascii="Arial" w:hAnsi="Arial" w:cs="Arial"/>
        </w:rPr>
        <w:t xml:space="preserve"> o usuarios, empleadores y entidades administrativas deben ser </w:t>
      </w:r>
      <w:proofErr w:type="gramStart"/>
      <w:r w:rsidR="00FD7DC0" w:rsidRPr="007A2DD0">
        <w:rPr>
          <w:rFonts w:ascii="Arial" w:hAnsi="Arial" w:cs="Arial"/>
        </w:rPr>
        <w:t>conocidas</w:t>
      </w:r>
      <w:proofErr w:type="gramEnd"/>
      <w:r w:rsidR="00FD7DC0" w:rsidRPr="007A2DD0">
        <w:rPr>
          <w:rFonts w:ascii="Arial" w:hAnsi="Arial" w:cs="Arial"/>
        </w:rPr>
        <w:t xml:space="preserve"> por la</w:t>
      </w:r>
      <w:r w:rsidR="0090134C" w:rsidRPr="007A2DD0">
        <w:rPr>
          <w:rFonts w:ascii="Arial" w:hAnsi="Arial" w:cs="Arial"/>
        </w:rPr>
        <w:t xml:space="preserve"> jurisdicción ordinaria laboral, razón por la que la protección reclamada por la vía de tutela resulta </w:t>
      </w:r>
      <w:r w:rsidR="00FD7DC0" w:rsidRPr="007A2DD0">
        <w:rPr>
          <w:rFonts w:ascii="Arial" w:hAnsi="Arial" w:cs="Arial"/>
        </w:rPr>
        <w:t>improcedente.</w:t>
      </w:r>
    </w:p>
    <w:p w:rsidR="00242E77" w:rsidRPr="007A2DD0" w:rsidRDefault="00242E77" w:rsidP="007A2DD0">
      <w:pPr>
        <w:spacing w:line="276" w:lineRule="auto"/>
        <w:jc w:val="both"/>
        <w:rPr>
          <w:rFonts w:ascii="Arial" w:hAnsi="Arial" w:cs="Arial"/>
        </w:rPr>
      </w:pPr>
    </w:p>
    <w:p w:rsidR="00505976" w:rsidRPr="007A2DD0" w:rsidRDefault="00F22582" w:rsidP="007A2DD0">
      <w:pPr>
        <w:spacing w:line="276" w:lineRule="auto"/>
        <w:jc w:val="both"/>
        <w:rPr>
          <w:rFonts w:ascii="Arial" w:hAnsi="Arial" w:cs="Arial"/>
        </w:rPr>
      </w:pPr>
      <w:r w:rsidRPr="007A2DD0">
        <w:rPr>
          <w:rFonts w:ascii="Arial" w:hAnsi="Arial" w:cs="Arial"/>
        </w:rPr>
        <w:t>Posteriormente, luego de hacer un recuento relacionado con las prestaciones económica</w:t>
      </w:r>
      <w:r w:rsidR="00CD6C04" w:rsidRPr="007A2DD0">
        <w:rPr>
          <w:rFonts w:ascii="Arial" w:hAnsi="Arial" w:cs="Arial"/>
        </w:rPr>
        <w:t xml:space="preserve">s derivadas del sistema de salud y </w:t>
      </w:r>
      <w:r w:rsidR="7EB77E0B" w:rsidRPr="007A2DD0">
        <w:rPr>
          <w:rFonts w:ascii="Arial" w:hAnsi="Arial" w:cs="Arial"/>
        </w:rPr>
        <w:t>las</w:t>
      </w:r>
      <w:r w:rsidR="00CD6C04" w:rsidRPr="007A2DD0">
        <w:rPr>
          <w:rFonts w:ascii="Arial" w:hAnsi="Arial" w:cs="Arial"/>
        </w:rPr>
        <w:t xml:space="preserve"> entidad</w:t>
      </w:r>
      <w:r w:rsidR="2B0B93AE" w:rsidRPr="007A2DD0">
        <w:rPr>
          <w:rFonts w:ascii="Arial" w:hAnsi="Arial" w:cs="Arial"/>
        </w:rPr>
        <w:t>es que</w:t>
      </w:r>
      <w:r w:rsidR="00CD6C04" w:rsidRPr="007A2DD0">
        <w:rPr>
          <w:rFonts w:ascii="Arial" w:hAnsi="Arial" w:cs="Arial"/>
        </w:rPr>
        <w:t xml:space="preserve"> debe</w:t>
      </w:r>
      <w:r w:rsidR="12EEA8C1" w:rsidRPr="007A2DD0">
        <w:rPr>
          <w:rFonts w:ascii="Arial" w:hAnsi="Arial" w:cs="Arial"/>
        </w:rPr>
        <w:t>n</w:t>
      </w:r>
      <w:r w:rsidR="00CD6C04" w:rsidRPr="007A2DD0">
        <w:rPr>
          <w:rFonts w:ascii="Arial" w:hAnsi="Arial" w:cs="Arial"/>
        </w:rPr>
        <w:t xml:space="preserve"> cubrirlas dependiendo del riesgo, precisó que para el caso de las incapacidades </w:t>
      </w:r>
      <w:r w:rsidR="0090134C" w:rsidRPr="007A2DD0">
        <w:rPr>
          <w:rFonts w:ascii="Arial" w:hAnsi="Arial" w:cs="Arial"/>
        </w:rPr>
        <w:t>generadas durante</w:t>
      </w:r>
      <w:r w:rsidR="00FD7DC0" w:rsidRPr="007A2DD0">
        <w:rPr>
          <w:rFonts w:ascii="Arial" w:hAnsi="Arial" w:cs="Arial"/>
        </w:rPr>
        <w:t xml:space="preserve"> 180</w:t>
      </w:r>
      <w:r w:rsidR="0090134C" w:rsidRPr="007A2DD0">
        <w:rPr>
          <w:rFonts w:ascii="Arial" w:hAnsi="Arial" w:cs="Arial"/>
        </w:rPr>
        <w:t xml:space="preserve"> </w:t>
      </w:r>
      <w:r w:rsidR="007A2DD0" w:rsidRPr="007A2DD0">
        <w:rPr>
          <w:rFonts w:ascii="Arial" w:hAnsi="Arial" w:cs="Arial"/>
        </w:rPr>
        <w:t>días</w:t>
      </w:r>
      <w:r w:rsidR="0090134C" w:rsidRPr="007A2DD0">
        <w:rPr>
          <w:rFonts w:ascii="Arial" w:hAnsi="Arial" w:cs="Arial"/>
        </w:rPr>
        <w:t>, éstas</w:t>
      </w:r>
      <w:r w:rsidR="00FD7DC0" w:rsidRPr="007A2DD0">
        <w:rPr>
          <w:rFonts w:ascii="Arial" w:hAnsi="Arial" w:cs="Arial"/>
        </w:rPr>
        <w:t xml:space="preserve"> corren a cargo de la EPS, así como aquéllas incapacidades que superen </w:t>
      </w:r>
      <w:r w:rsidR="00CD6C04" w:rsidRPr="007A2DD0">
        <w:rPr>
          <w:rFonts w:ascii="Arial" w:hAnsi="Arial" w:cs="Arial"/>
        </w:rPr>
        <w:t>540 días</w:t>
      </w:r>
      <w:r w:rsidR="00945234" w:rsidRPr="007A2DD0">
        <w:rPr>
          <w:rFonts w:ascii="Arial" w:hAnsi="Arial" w:cs="Arial"/>
        </w:rPr>
        <w:t xml:space="preserve">, quedando a </w:t>
      </w:r>
      <w:r w:rsidR="0090134C" w:rsidRPr="007A2DD0">
        <w:rPr>
          <w:rFonts w:ascii="Arial" w:hAnsi="Arial" w:cs="Arial"/>
        </w:rPr>
        <w:t>cargo de las AFP</w:t>
      </w:r>
      <w:r w:rsidR="00945234" w:rsidRPr="007A2DD0">
        <w:rPr>
          <w:rFonts w:ascii="Arial" w:hAnsi="Arial" w:cs="Arial"/>
        </w:rPr>
        <w:t xml:space="preserve"> solo aquéllas emitidas después del día 180 hasta el 540 de incapacidad, siempre y cuando exista concepto favorable de rehabilitación. </w:t>
      </w:r>
    </w:p>
    <w:p w:rsidR="00945234" w:rsidRPr="007A2DD0" w:rsidRDefault="00945234" w:rsidP="007A2DD0">
      <w:pPr>
        <w:spacing w:line="276" w:lineRule="auto"/>
        <w:jc w:val="both"/>
        <w:rPr>
          <w:rFonts w:ascii="Arial" w:hAnsi="Arial" w:cs="Arial"/>
        </w:rPr>
      </w:pPr>
    </w:p>
    <w:p w:rsidR="00C63144" w:rsidRPr="007A2DD0" w:rsidRDefault="007A2DD0" w:rsidP="007A2DD0">
      <w:pPr>
        <w:spacing w:line="276" w:lineRule="auto"/>
        <w:jc w:val="both"/>
        <w:rPr>
          <w:rFonts w:ascii="Arial" w:hAnsi="Arial" w:cs="Arial"/>
        </w:rPr>
      </w:pPr>
      <w:r w:rsidRPr="007A2DD0">
        <w:rPr>
          <w:rFonts w:ascii="Arial" w:hAnsi="Arial" w:cs="Arial"/>
        </w:rPr>
        <w:t xml:space="preserve">La Nueva </w:t>
      </w:r>
      <w:proofErr w:type="spellStart"/>
      <w:r w:rsidRPr="007A2DD0">
        <w:rPr>
          <w:rFonts w:ascii="Arial" w:hAnsi="Arial" w:cs="Arial"/>
        </w:rPr>
        <w:t>EPS</w:t>
      </w:r>
      <w:proofErr w:type="spellEnd"/>
      <w:r w:rsidR="00945234" w:rsidRPr="007A2DD0">
        <w:rPr>
          <w:rFonts w:ascii="Arial" w:hAnsi="Arial" w:cs="Arial"/>
        </w:rPr>
        <w:t xml:space="preserve"> a su turno precisó que </w:t>
      </w:r>
      <w:r w:rsidR="00F50BA3" w:rsidRPr="007A2DD0">
        <w:rPr>
          <w:rFonts w:ascii="Arial" w:hAnsi="Arial" w:cs="Arial"/>
        </w:rPr>
        <w:t xml:space="preserve">de acuerdo con el área de prestaciones económicas de la entidad, la señora Cardoza presenta </w:t>
      </w:r>
      <w:r w:rsidR="00C22918" w:rsidRPr="007A2DD0">
        <w:rPr>
          <w:rFonts w:ascii="Arial" w:hAnsi="Arial" w:cs="Arial"/>
        </w:rPr>
        <w:t xml:space="preserve">149 días de incapacidad y cuenta con concepto desfavorable de rehabilitación </w:t>
      </w:r>
      <w:r w:rsidR="00C60E4C" w:rsidRPr="007A2DD0">
        <w:rPr>
          <w:rFonts w:ascii="Arial" w:hAnsi="Arial" w:cs="Arial"/>
        </w:rPr>
        <w:t xml:space="preserve">remitido a Colpensiones el 8 de </w:t>
      </w:r>
      <w:r w:rsidR="00C60E4C" w:rsidRPr="007A2DD0">
        <w:rPr>
          <w:rFonts w:ascii="Arial" w:hAnsi="Arial" w:cs="Arial"/>
        </w:rPr>
        <w:lastRenderedPageBreak/>
        <w:t xml:space="preserve">agosto de 2020, por lo </w:t>
      </w:r>
      <w:r w:rsidR="0090134C" w:rsidRPr="007A2DD0">
        <w:rPr>
          <w:rFonts w:ascii="Arial" w:hAnsi="Arial" w:cs="Arial"/>
        </w:rPr>
        <w:t xml:space="preserve">que las </w:t>
      </w:r>
      <w:r w:rsidR="00C60E4C" w:rsidRPr="007A2DD0">
        <w:rPr>
          <w:rFonts w:ascii="Arial" w:hAnsi="Arial" w:cs="Arial"/>
        </w:rPr>
        <w:t>incapacidades que se gener</w:t>
      </w:r>
      <w:r w:rsidR="0090134C" w:rsidRPr="007A2DD0">
        <w:rPr>
          <w:rFonts w:ascii="Arial" w:hAnsi="Arial" w:cs="Arial"/>
        </w:rPr>
        <w:t>aron y generen</w:t>
      </w:r>
      <w:r w:rsidR="00C60E4C" w:rsidRPr="007A2DD0">
        <w:rPr>
          <w:rFonts w:ascii="Arial" w:hAnsi="Arial" w:cs="Arial"/>
        </w:rPr>
        <w:t xml:space="preserve"> a partir de </w:t>
      </w:r>
      <w:r w:rsidR="0090134C" w:rsidRPr="007A2DD0">
        <w:rPr>
          <w:rFonts w:ascii="Arial" w:hAnsi="Arial" w:cs="Arial"/>
        </w:rPr>
        <w:t>esa data</w:t>
      </w:r>
      <w:r w:rsidR="00C60E4C" w:rsidRPr="007A2DD0">
        <w:rPr>
          <w:rFonts w:ascii="Arial" w:hAnsi="Arial" w:cs="Arial"/>
        </w:rPr>
        <w:t xml:space="preserve"> están a cargo de la AFP hasta tanto realice la calificación de la p</w:t>
      </w:r>
      <w:r w:rsidR="007F7E37" w:rsidRPr="007A2DD0">
        <w:rPr>
          <w:rFonts w:ascii="Arial" w:hAnsi="Arial" w:cs="Arial"/>
        </w:rPr>
        <w:t xml:space="preserve">érdida de capacidad laboral; no obstante ello, al hacer una relación de la normatividad que regula el asunto, preciso que desde el tercer día hasta el día 180 </w:t>
      </w:r>
      <w:r w:rsidR="4DC0B489" w:rsidRPr="007A2DD0">
        <w:rPr>
          <w:rFonts w:ascii="Arial" w:hAnsi="Arial" w:cs="Arial"/>
        </w:rPr>
        <w:t xml:space="preserve">es </w:t>
      </w:r>
      <w:r w:rsidR="007F7E37" w:rsidRPr="007A2DD0">
        <w:rPr>
          <w:rFonts w:ascii="Arial" w:hAnsi="Arial" w:cs="Arial"/>
        </w:rPr>
        <w:t>la EPS quien asume el pago de la licencia por enfermedad.</w:t>
      </w:r>
    </w:p>
    <w:p w:rsidR="007F7E37" w:rsidRPr="007A2DD0" w:rsidRDefault="007F7E37" w:rsidP="007A2DD0">
      <w:pPr>
        <w:spacing w:line="276" w:lineRule="auto"/>
        <w:jc w:val="both"/>
        <w:rPr>
          <w:rFonts w:ascii="Arial" w:hAnsi="Arial" w:cs="Arial"/>
        </w:rPr>
      </w:pPr>
    </w:p>
    <w:p w:rsidR="007F7E37" w:rsidRPr="007A2DD0" w:rsidRDefault="007F7E37" w:rsidP="007A2DD0">
      <w:pPr>
        <w:spacing w:line="276" w:lineRule="auto"/>
        <w:jc w:val="both"/>
        <w:rPr>
          <w:rFonts w:ascii="Arial" w:hAnsi="Arial" w:cs="Arial"/>
        </w:rPr>
      </w:pPr>
      <w:r w:rsidRPr="007A2DD0">
        <w:rPr>
          <w:rFonts w:ascii="Arial" w:hAnsi="Arial" w:cs="Arial"/>
        </w:rPr>
        <w:t>Alegó por tanto que se configura una falta de legitimaci</w:t>
      </w:r>
      <w:r w:rsidR="00A77B7E" w:rsidRPr="007A2DD0">
        <w:rPr>
          <w:rFonts w:ascii="Arial" w:hAnsi="Arial" w:cs="Arial"/>
        </w:rPr>
        <w:t xml:space="preserve">ón en la causa por pasiva, pues estima que no es la entidad llamada restablecer los derechos </w:t>
      </w:r>
      <w:r w:rsidR="002552A3" w:rsidRPr="007A2DD0">
        <w:rPr>
          <w:rFonts w:ascii="Arial" w:hAnsi="Arial" w:cs="Arial"/>
        </w:rPr>
        <w:t>de la actora, al paso que recalca la improcedencia de la acción de tutela para t</w:t>
      </w:r>
      <w:r w:rsidR="00A82585" w:rsidRPr="007A2DD0">
        <w:rPr>
          <w:rFonts w:ascii="Arial" w:hAnsi="Arial" w:cs="Arial"/>
        </w:rPr>
        <w:t>ramitar este tipo de conflictos, pues la parte actora cuenta con los medios ordinarios de defensa judicial para solicitar el pago del beneficio económico que reclama, con lo que se concluye que su petición no reúne el requisito de subsidiariedad.</w:t>
      </w:r>
    </w:p>
    <w:p w:rsidR="002552A3" w:rsidRPr="007A2DD0" w:rsidRDefault="002552A3" w:rsidP="007A2DD0">
      <w:pPr>
        <w:spacing w:line="276" w:lineRule="auto"/>
        <w:jc w:val="both"/>
        <w:rPr>
          <w:rFonts w:ascii="Arial" w:hAnsi="Arial" w:cs="Arial"/>
        </w:rPr>
      </w:pPr>
    </w:p>
    <w:p w:rsidR="004235AD" w:rsidRPr="007A2DD0" w:rsidRDefault="00CD6C04" w:rsidP="007A2DD0">
      <w:pPr>
        <w:spacing w:line="276" w:lineRule="auto"/>
        <w:jc w:val="both"/>
        <w:rPr>
          <w:rFonts w:ascii="Arial" w:hAnsi="Arial" w:cs="Arial"/>
        </w:rPr>
      </w:pPr>
      <w:r w:rsidRPr="007A2DD0">
        <w:rPr>
          <w:rFonts w:ascii="Arial" w:hAnsi="Arial" w:cs="Arial"/>
        </w:rPr>
        <w:t>Llegado el día de f</w:t>
      </w:r>
      <w:r w:rsidR="00A41529" w:rsidRPr="007A2DD0">
        <w:rPr>
          <w:rFonts w:ascii="Arial" w:hAnsi="Arial" w:cs="Arial"/>
        </w:rPr>
        <w:t>allo, el juzgado de conocimie</w:t>
      </w:r>
      <w:r w:rsidR="00505976" w:rsidRPr="007A2DD0">
        <w:rPr>
          <w:rFonts w:ascii="Arial" w:hAnsi="Arial" w:cs="Arial"/>
        </w:rPr>
        <w:t>nto</w:t>
      </w:r>
      <w:r w:rsidR="00FE0736" w:rsidRPr="007A2DD0">
        <w:rPr>
          <w:rFonts w:ascii="Arial" w:hAnsi="Arial" w:cs="Arial"/>
        </w:rPr>
        <w:t xml:space="preserve"> negó la protección reclamada al advertir que la Nueva EPS, dentro del marco normativo que regula el asunto, cumplió con la carga que le correspondía, esto es la remisión oportuna del concepto de rehabilitación y el pago de la</w:t>
      </w:r>
      <w:r w:rsidR="009A33FF" w:rsidRPr="007A2DD0">
        <w:rPr>
          <w:rFonts w:ascii="Arial" w:hAnsi="Arial" w:cs="Arial"/>
        </w:rPr>
        <w:t>s</w:t>
      </w:r>
      <w:r w:rsidR="00FE0736" w:rsidRPr="007A2DD0">
        <w:rPr>
          <w:rFonts w:ascii="Arial" w:hAnsi="Arial" w:cs="Arial"/>
        </w:rPr>
        <w:t xml:space="preserve"> incapacidades hasta la data en que cumplió con tal carga.</w:t>
      </w:r>
    </w:p>
    <w:p w:rsidR="00FE0736" w:rsidRPr="007A2DD0" w:rsidRDefault="00FE0736" w:rsidP="007A2DD0">
      <w:pPr>
        <w:spacing w:line="276" w:lineRule="auto"/>
        <w:jc w:val="both"/>
        <w:rPr>
          <w:rFonts w:ascii="Arial" w:hAnsi="Arial" w:cs="Arial"/>
        </w:rPr>
      </w:pPr>
    </w:p>
    <w:p w:rsidR="00FE0736" w:rsidRPr="007A2DD0" w:rsidRDefault="009A33FF" w:rsidP="007A2DD0">
      <w:pPr>
        <w:spacing w:line="276" w:lineRule="auto"/>
        <w:jc w:val="both"/>
        <w:rPr>
          <w:rFonts w:ascii="Arial" w:hAnsi="Arial" w:cs="Arial"/>
        </w:rPr>
      </w:pPr>
      <w:r w:rsidRPr="007A2DD0">
        <w:rPr>
          <w:rFonts w:ascii="Arial" w:hAnsi="Arial" w:cs="Arial"/>
        </w:rPr>
        <w:t>Respecto a Colpensiones, encontró que, como quiera que la actora no ha presentado ninguna solicitud a esa entidad, no puede señalársele como la vulneradora</w:t>
      </w:r>
      <w:r w:rsidR="0090134C" w:rsidRPr="007A2DD0">
        <w:rPr>
          <w:rFonts w:ascii="Arial" w:hAnsi="Arial" w:cs="Arial"/>
        </w:rPr>
        <w:t xml:space="preserve"> de sus garantías fundamentales, sin embargo, instó a la actora a radicar la documentación pertinente ante esa entidad y </w:t>
      </w:r>
      <w:r w:rsidR="536E6EE1" w:rsidRPr="007A2DD0">
        <w:rPr>
          <w:rFonts w:ascii="Arial" w:hAnsi="Arial" w:cs="Arial"/>
        </w:rPr>
        <w:t xml:space="preserve">a </w:t>
      </w:r>
      <w:r w:rsidR="0090134C" w:rsidRPr="007A2DD0">
        <w:rPr>
          <w:rFonts w:ascii="Arial" w:hAnsi="Arial" w:cs="Arial"/>
        </w:rPr>
        <w:t>la AFP atender con prioridad su solicitud, dada el diagn</w:t>
      </w:r>
      <w:r w:rsidR="4A5263E4" w:rsidRPr="007A2DD0">
        <w:rPr>
          <w:rFonts w:ascii="Arial" w:hAnsi="Arial" w:cs="Arial"/>
        </w:rPr>
        <w:t>ó</w:t>
      </w:r>
      <w:r w:rsidR="0090134C" w:rsidRPr="007A2DD0">
        <w:rPr>
          <w:rFonts w:ascii="Arial" w:hAnsi="Arial" w:cs="Arial"/>
        </w:rPr>
        <w:t xml:space="preserve">stico por el cual viene siendo incapacitada. </w:t>
      </w:r>
    </w:p>
    <w:p w:rsidR="004235AD" w:rsidRPr="007A2DD0" w:rsidRDefault="004235AD" w:rsidP="007A2DD0">
      <w:pPr>
        <w:spacing w:line="276" w:lineRule="auto"/>
        <w:jc w:val="both"/>
        <w:rPr>
          <w:rFonts w:ascii="Arial" w:hAnsi="Arial" w:cs="Arial"/>
        </w:rPr>
      </w:pPr>
    </w:p>
    <w:p w:rsidR="00F43AB5" w:rsidRPr="007A2DD0" w:rsidRDefault="00350622" w:rsidP="007A2DD0">
      <w:pPr>
        <w:spacing w:line="276" w:lineRule="auto"/>
        <w:jc w:val="both"/>
        <w:rPr>
          <w:rFonts w:ascii="Arial" w:hAnsi="Arial" w:cs="Arial"/>
        </w:rPr>
      </w:pPr>
      <w:r w:rsidRPr="007A2DD0">
        <w:rPr>
          <w:rFonts w:ascii="Arial" w:hAnsi="Arial" w:cs="Arial"/>
        </w:rPr>
        <w:t xml:space="preserve">Inconforme con lo decidido, la actora </w:t>
      </w:r>
      <w:r w:rsidR="5CA39798" w:rsidRPr="007A2DD0">
        <w:rPr>
          <w:rFonts w:ascii="Arial" w:hAnsi="Arial" w:cs="Arial"/>
        </w:rPr>
        <w:t>recurrió</w:t>
      </w:r>
      <w:r w:rsidR="0090134C" w:rsidRPr="007A2DD0">
        <w:rPr>
          <w:rFonts w:ascii="Arial" w:hAnsi="Arial" w:cs="Arial"/>
        </w:rPr>
        <w:t xml:space="preserve"> </w:t>
      </w:r>
      <w:r w:rsidRPr="007A2DD0">
        <w:rPr>
          <w:rFonts w:ascii="Arial" w:hAnsi="Arial" w:cs="Arial"/>
        </w:rPr>
        <w:t xml:space="preserve">mediante escrito de fecha 16 de septiembre de 2020 </w:t>
      </w:r>
      <w:r w:rsidR="00A45AF7">
        <w:rPr>
          <w:rFonts w:ascii="Arial" w:hAnsi="Arial" w:cs="Arial"/>
        </w:rPr>
        <w:t>-</w:t>
      </w:r>
      <w:r w:rsidRPr="007A2DD0">
        <w:rPr>
          <w:rFonts w:ascii="Arial" w:hAnsi="Arial" w:cs="Arial"/>
        </w:rPr>
        <w:t>folio 2 de la ca</w:t>
      </w:r>
      <w:r w:rsidR="00C414C0" w:rsidRPr="007A2DD0">
        <w:rPr>
          <w:rFonts w:ascii="Arial" w:hAnsi="Arial" w:cs="Arial"/>
        </w:rPr>
        <w:t>r</w:t>
      </w:r>
      <w:r w:rsidRPr="007A2DD0">
        <w:rPr>
          <w:rFonts w:ascii="Arial" w:hAnsi="Arial" w:cs="Arial"/>
        </w:rPr>
        <w:t>pet</w:t>
      </w:r>
      <w:r w:rsidR="00C414C0" w:rsidRPr="007A2DD0">
        <w:rPr>
          <w:rFonts w:ascii="Arial" w:hAnsi="Arial" w:cs="Arial"/>
        </w:rPr>
        <w:t>a de impugnación</w:t>
      </w:r>
      <w:r w:rsidR="0090134C" w:rsidRPr="007A2DD0">
        <w:rPr>
          <w:rFonts w:ascii="Arial" w:hAnsi="Arial" w:cs="Arial"/>
        </w:rPr>
        <w:t>.</w:t>
      </w:r>
      <w:r w:rsidR="00C414C0" w:rsidRPr="007A2DD0">
        <w:rPr>
          <w:rFonts w:ascii="Arial" w:hAnsi="Arial" w:cs="Arial"/>
        </w:rPr>
        <w:t>-</w:t>
      </w:r>
    </w:p>
    <w:p w:rsidR="00F43AB5" w:rsidRPr="007A2DD0" w:rsidRDefault="00F43AB5" w:rsidP="007A2DD0">
      <w:pPr>
        <w:spacing w:line="276" w:lineRule="auto"/>
        <w:jc w:val="both"/>
        <w:rPr>
          <w:rFonts w:ascii="Arial" w:hAnsi="Arial" w:cs="Arial"/>
        </w:rPr>
      </w:pPr>
    </w:p>
    <w:p w:rsidR="00D62760" w:rsidRPr="007A2DD0" w:rsidRDefault="00D62760" w:rsidP="007A2DD0">
      <w:pPr>
        <w:tabs>
          <w:tab w:val="left" w:pos="4164"/>
        </w:tabs>
        <w:spacing w:line="276" w:lineRule="auto"/>
        <w:jc w:val="center"/>
        <w:rPr>
          <w:rFonts w:ascii="Arial" w:hAnsi="Arial" w:cs="Arial"/>
          <w:b/>
        </w:rPr>
      </w:pPr>
      <w:r w:rsidRPr="007A2DD0">
        <w:rPr>
          <w:rFonts w:ascii="Arial" w:hAnsi="Arial" w:cs="Arial"/>
          <w:b/>
        </w:rPr>
        <w:t>CONSIDERACIONES</w:t>
      </w:r>
    </w:p>
    <w:p w:rsidR="00D62760" w:rsidRPr="007A2DD0" w:rsidRDefault="00D62760" w:rsidP="007A2DD0">
      <w:pPr>
        <w:spacing w:line="276" w:lineRule="auto"/>
        <w:jc w:val="both"/>
        <w:rPr>
          <w:rFonts w:ascii="Arial" w:hAnsi="Arial" w:cs="Arial"/>
        </w:rPr>
      </w:pPr>
    </w:p>
    <w:p w:rsidR="00D62760" w:rsidRPr="007A2DD0" w:rsidRDefault="00D62760" w:rsidP="007A2DD0">
      <w:pPr>
        <w:spacing w:line="276" w:lineRule="auto"/>
        <w:jc w:val="both"/>
        <w:rPr>
          <w:rFonts w:ascii="Arial" w:hAnsi="Arial" w:cs="Arial"/>
          <w:b/>
        </w:rPr>
      </w:pPr>
      <w:r w:rsidRPr="007A2DD0">
        <w:rPr>
          <w:rFonts w:ascii="Arial" w:hAnsi="Arial" w:cs="Arial"/>
          <w:b/>
        </w:rPr>
        <w:t>PROBLEMA JURÍDICO</w:t>
      </w:r>
    </w:p>
    <w:p w:rsidR="00175FF5" w:rsidRPr="007A2DD0" w:rsidRDefault="00175FF5" w:rsidP="007A2DD0">
      <w:pPr>
        <w:spacing w:line="276" w:lineRule="auto"/>
        <w:ind w:left="284" w:right="476"/>
        <w:jc w:val="both"/>
        <w:rPr>
          <w:rFonts w:ascii="Arial" w:hAnsi="Arial" w:cs="Arial"/>
          <w:b/>
          <w:i/>
        </w:rPr>
      </w:pPr>
    </w:p>
    <w:p w:rsidR="00A15AE2" w:rsidRPr="007A2DD0" w:rsidRDefault="00C414C0" w:rsidP="00A45AF7">
      <w:pPr>
        <w:spacing w:line="276" w:lineRule="auto"/>
        <w:ind w:left="426" w:right="420"/>
        <w:jc w:val="both"/>
        <w:rPr>
          <w:rFonts w:ascii="Arial" w:hAnsi="Arial" w:cs="Arial"/>
          <w:b/>
          <w:i/>
        </w:rPr>
      </w:pPr>
      <w:r w:rsidRPr="007A2DD0">
        <w:rPr>
          <w:rFonts w:ascii="Arial" w:hAnsi="Arial" w:cs="Arial"/>
          <w:b/>
          <w:i/>
        </w:rPr>
        <w:t>¿Qué entidad debe asumir el pago de los 180 primeros días de incapacidad médica</w:t>
      </w:r>
      <w:r w:rsidR="00D62760" w:rsidRPr="007A2DD0">
        <w:rPr>
          <w:rFonts w:ascii="Arial" w:hAnsi="Arial" w:cs="Arial"/>
          <w:b/>
          <w:i/>
        </w:rPr>
        <w:t>?</w:t>
      </w:r>
    </w:p>
    <w:p w:rsidR="00A15AE2" w:rsidRPr="007A2DD0" w:rsidRDefault="00A15AE2" w:rsidP="007A2DD0">
      <w:pPr>
        <w:spacing w:line="276" w:lineRule="auto"/>
        <w:ind w:left="284" w:right="476"/>
        <w:jc w:val="both"/>
        <w:rPr>
          <w:rFonts w:ascii="Arial" w:hAnsi="Arial" w:cs="Arial"/>
        </w:rPr>
      </w:pPr>
    </w:p>
    <w:p w:rsidR="00A15AE2" w:rsidRPr="007A2DD0" w:rsidRDefault="00D62760" w:rsidP="007A2DD0">
      <w:pPr>
        <w:spacing w:line="276" w:lineRule="auto"/>
        <w:ind w:right="476"/>
        <w:jc w:val="both"/>
        <w:rPr>
          <w:rFonts w:ascii="Arial" w:hAnsi="Arial" w:cs="Arial"/>
        </w:rPr>
      </w:pPr>
      <w:r w:rsidRPr="007A2DD0">
        <w:rPr>
          <w:rFonts w:ascii="Arial" w:hAnsi="Arial" w:cs="Arial"/>
        </w:rPr>
        <w:t>Antes de entrar a revolver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15AE2" w:rsidRPr="007A2DD0" w:rsidRDefault="00A15AE2" w:rsidP="007A2DD0">
      <w:pPr>
        <w:spacing w:line="276" w:lineRule="auto"/>
        <w:ind w:left="284" w:right="476"/>
        <w:jc w:val="both"/>
        <w:rPr>
          <w:rFonts w:ascii="Arial" w:hAnsi="Arial" w:cs="Arial"/>
        </w:rPr>
      </w:pPr>
    </w:p>
    <w:p w:rsidR="00D62760" w:rsidRPr="007A2DD0" w:rsidRDefault="00DC3B29" w:rsidP="007A2DD0">
      <w:pPr>
        <w:spacing w:line="276" w:lineRule="auto"/>
        <w:ind w:left="284" w:right="476" w:hanging="284"/>
        <w:jc w:val="both"/>
        <w:rPr>
          <w:rFonts w:ascii="Arial" w:hAnsi="Arial" w:cs="Arial"/>
          <w:b/>
        </w:rPr>
      </w:pPr>
      <w:r w:rsidRPr="007A2DD0">
        <w:rPr>
          <w:rFonts w:ascii="Arial" w:hAnsi="Arial" w:cs="Arial"/>
          <w:b/>
        </w:rPr>
        <w:t>1.</w:t>
      </w:r>
      <w:r w:rsidRPr="007A2DD0">
        <w:rPr>
          <w:rFonts w:ascii="Arial" w:hAnsi="Arial" w:cs="Arial"/>
        </w:rPr>
        <w:t xml:space="preserve"> </w:t>
      </w:r>
      <w:r w:rsidR="00D62760" w:rsidRPr="007A2DD0">
        <w:rPr>
          <w:rFonts w:ascii="Arial" w:hAnsi="Arial" w:cs="Arial"/>
          <w:b/>
        </w:rPr>
        <w:t>EL RECO</w:t>
      </w:r>
      <w:r w:rsidR="00C414C0" w:rsidRPr="007A2DD0">
        <w:rPr>
          <w:rFonts w:ascii="Arial" w:hAnsi="Arial" w:cs="Arial"/>
          <w:b/>
        </w:rPr>
        <w:t>NOCIMIENTO DE LAS INCAPACIDADES LABORALES</w:t>
      </w:r>
      <w:r w:rsidR="00D62760" w:rsidRPr="007A2DD0">
        <w:rPr>
          <w:rFonts w:ascii="Arial" w:hAnsi="Arial" w:cs="Arial"/>
          <w:b/>
        </w:rPr>
        <w:t>.</w:t>
      </w:r>
    </w:p>
    <w:p w:rsidR="00175FF5" w:rsidRPr="007A2DD0" w:rsidRDefault="00175FF5" w:rsidP="007A2DD0">
      <w:pPr>
        <w:pStyle w:val="Textoindependiente"/>
        <w:spacing w:line="276" w:lineRule="auto"/>
        <w:ind w:right="51"/>
        <w:rPr>
          <w:rFonts w:cs="Arial"/>
          <w:sz w:val="24"/>
          <w:szCs w:val="24"/>
        </w:rPr>
      </w:pPr>
    </w:p>
    <w:p w:rsidR="00271C28" w:rsidRPr="007A2DD0" w:rsidRDefault="00271C28" w:rsidP="007A2DD0">
      <w:pPr>
        <w:pStyle w:val="Textoindependiente"/>
        <w:spacing w:line="276" w:lineRule="auto"/>
        <w:ind w:right="51"/>
        <w:rPr>
          <w:rFonts w:cs="Arial"/>
          <w:sz w:val="24"/>
          <w:szCs w:val="24"/>
        </w:rPr>
      </w:pPr>
      <w:r w:rsidRPr="007A2DD0">
        <w:rPr>
          <w:rFonts w:cs="Arial"/>
          <w:sz w:val="24"/>
          <w:szCs w:val="24"/>
        </w:rPr>
        <w:t xml:space="preserve">Se acepta por la jurisprudencia constitucional la procedencia de la acción de tutela para reconocer el pago de incapacidades médicas, cuando quien reclama no cuenta </w:t>
      </w:r>
      <w:r w:rsidRPr="007A2DD0">
        <w:rPr>
          <w:rFonts w:cs="Arial"/>
          <w:i/>
          <w:sz w:val="24"/>
          <w:szCs w:val="24"/>
        </w:rPr>
        <w:t>“</w:t>
      </w:r>
      <w:r w:rsidRPr="00A45AF7">
        <w:rPr>
          <w:rFonts w:cs="Arial"/>
          <w:i/>
          <w:sz w:val="22"/>
          <w:szCs w:val="24"/>
        </w:rPr>
        <w:t>con otra fuente de ingresos para satisfacer sus necesidades básicas y las de sus núcleos familiares, o de personas en situaciones extremas de vulnerabilidad</w:t>
      </w:r>
      <w:r w:rsidRPr="007A2DD0">
        <w:rPr>
          <w:rFonts w:cs="Arial"/>
          <w:i/>
          <w:sz w:val="24"/>
          <w:szCs w:val="24"/>
        </w:rPr>
        <w:t xml:space="preserve">” </w:t>
      </w:r>
      <w:r w:rsidRPr="007A2DD0">
        <w:rPr>
          <w:rFonts w:cs="Arial"/>
          <w:sz w:val="24"/>
          <w:szCs w:val="24"/>
        </w:rPr>
        <w:t>-T 177 de 2013-, pues en dichos casos es necesario garantizarle la protección de sus derechos a la salud y al mínimo vital.</w:t>
      </w:r>
    </w:p>
    <w:p w:rsidR="00271C28" w:rsidRPr="007A2DD0" w:rsidRDefault="00271C28" w:rsidP="007A2DD0">
      <w:pPr>
        <w:pStyle w:val="Textoindependiente"/>
        <w:spacing w:line="276" w:lineRule="auto"/>
        <w:ind w:right="51"/>
        <w:rPr>
          <w:rFonts w:cs="Arial"/>
          <w:sz w:val="24"/>
          <w:szCs w:val="24"/>
        </w:rPr>
      </w:pPr>
    </w:p>
    <w:p w:rsidR="00271C28" w:rsidRPr="007A2DD0" w:rsidRDefault="00271C28" w:rsidP="007A2DD0">
      <w:pPr>
        <w:pStyle w:val="Textoindependiente"/>
        <w:spacing w:line="276" w:lineRule="auto"/>
        <w:ind w:right="51"/>
        <w:rPr>
          <w:rFonts w:cs="Arial"/>
          <w:sz w:val="24"/>
          <w:szCs w:val="24"/>
        </w:rPr>
      </w:pPr>
      <w:r w:rsidRPr="007A2DD0">
        <w:rPr>
          <w:rFonts w:cs="Arial"/>
          <w:sz w:val="24"/>
          <w:szCs w:val="24"/>
        </w:rPr>
        <w:t>Ahora, respecto a los mecanismos ordinarios y administrativos de defensa judicial, la Corte Constitucional, en sentencia T-447 de 2017, señaló:</w:t>
      </w:r>
    </w:p>
    <w:p w:rsidR="00271C28" w:rsidRPr="007A2DD0" w:rsidRDefault="00271C28" w:rsidP="007A2DD0">
      <w:pPr>
        <w:pStyle w:val="Textoindependiente"/>
        <w:spacing w:line="276" w:lineRule="auto"/>
        <w:ind w:right="51"/>
        <w:rPr>
          <w:rFonts w:cs="Arial"/>
          <w:sz w:val="24"/>
          <w:szCs w:val="24"/>
        </w:rPr>
      </w:pPr>
    </w:p>
    <w:p w:rsidR="00271C28" w:rsidRPr="00A45AF7" w:rsidRDefault="00271C28" w:rsidP="00A45AF7">
      <w:pPr>
        <w:pStyle w:val="Textoindependiente"/>
        <w:spacing w:line="240" w:lineRule="auto"/>
        <w:ind w:left="426" w:right="475"/>
        <w:rPr>
          <w:rFonts w:cs="Arial"/>
          <w:bCs/>
          <w:i/>
          <w:sz w:val="22"/>
          <w:szCs w:val="24"/>
        </w:rPr>
      </w:pPr>
      <w:r w:rsidRPr="00A45AF7">
        <w:rPr>
          <w:rFonts w:cs="Arial"/>
          <w:i/>
          <w:sz w:val="22"/>
          <w:szCs w:val="24"/>
        </w:rPr>
        <w:t>“(…) s</w:t>
      </w:r>
      <w:r w:rsidRPr="00A45AF7">
        <w:rPr>
          <w:rFonts w:cs="Arial"/>
          <w:bCs/>
          <w:i/>
          <w:sz w:val="22"/>
          <w:szCs w:val="24"/>
        </w:rPr>
        <w:t>i bien existe un proceso jurisdiccional a cargo de la Superintendencia Nacional de Salud al cual el actor podría acudir para que le diriman sus pretensiones</w:t>
      </w:r>
      <w:r w:rsidRPr="00A45AF7">
        <w:rPr>
          <w:rFonts w:cs="Arial"/>
          <w:bCs/>
          <w:i/>
          <w:sz w:val="22"/>
          <w:szCs w:val="24"/>
          <w:vertAlign w:val="superscript"/>
        </w:rPr>
        <w:footnoteReference w:id="1"/>
      </w:r>
      <w:r w:rsidRPr="00A45AF7">
        <w:rPr>
          <w:rFonts w:cs="Arial"/>
          <w:bCs/>
          <w:i/>
          <w:sz w:val="22"/>
          <w:szCs w:val="24"/>
        </w:rPr>
        <w:t>, este es ineficaz para la protección del derecho fundamental al mínimo vital del actor, más aún cuando esta Corte ha reconocido anteriormente que “</w:t>
      </w:r>
      <w:r w:rsidRPr="00A45AF7">
        <w:rPr>
          <w:rFonts w:cs="Arial"/>
          <w:bCs/>
          <w:sz w:val="22"/>
          <w:szCs w:val="24"/>
        </w:rPr>
        <w:t>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Pr="00A45AF7">
        <w:rPr>
          <w:rFonts w:cs="Arial"/>
          <w:bCs/>
          <w:i/>
          <w:sz w:val="22"/>
          <w:szCs w:val="24"/>
        </w:rPr>
        <w:t>”</w:t>
      </w:r>
      <w:r w:rsidRPr="00A45AF7">
        <w:rPr>
          <w:rFonts w:cs="Arial"/>
          <w:bCs/>
          <w:i/>
          <w:sz w:val="22"/>
          <w:szCs w:val="24"/>
          <w:vertAlign w:val="superscript"/>
        </w:rPr>
        <w:footnoteReference w:id="2"/>
      </w:r>
      <w:r w:rsidRPr="00A45AF7">
        <w:rPr>
          <w:rFonts w:cs="Arial"/>
          <w:bCs/>
          <w:i/>
          <w:sz w:val="22"/>
          <w:szCs w:val="24"/>
        </w:rPr>
        <w:t xml:space="preserve">. </w:t>
      </w:r>
    </w:p>
    <w:p w:rsidR="00271C28" w:rsidRPr="00A45AF7" w:rsidRDefault="00271C28" w:rsidP="00A45AF7">
      <w:pPr>
        <w:ind w:left="426" w:right="475"/>
        <w:jc w:val="both"/>
        <w:rPr>
          <w:rFonts w:ascii="Arial" w:hAnsi="Arial" w:cs="Arial"/>
          <w:bCs/>
          <w:i/>
          <w:sz w:val="22"/>
        </w:rPr>
      </w:pPr>
    </w:p>
    <w:p w:rsidR="00271C28" w:rsidRPr="00A45AF7" w:rsidRDefault="00271C28" w:rsidP="00A45AF7">
      <w:pPr>
        <w:ind w:left="426" w:right="475"/>
        <w:jc w:val="both"/>
        <w:rPr>
          <w:rFonts w:ascii="Arial" w:hAnsi="Arial" w:cs="Arial"/>
          <w:bCs/>
          <w:i/>
          <w:sz w:val="22"/>
        </w:rPr>
      </w:pPr>
      <w:r w:rsidRPr="00A45AF7">
        <w:rPr>
          <w:rFonts w:ascii="Arial" w:hAnsi="Arial" w:cs="Arial"/>
          <w:bCs/>
          <w:i/>
          <w:sz w:val="22"/>
        </w:rPr>
        <w:t>En el mismo sentido, a pesar de que el numeral 4 del artículo 2 del Código Procesal del Trabajo y de la Seguridad Social</w:t>
      </w:r>
      <w:r w:rsidRPr="00A45AF7">
        <w:rPr>
          <w:rFonts w:ascii="Arial" w:hAnsi="Arial" w:cs="Arial"/>
          <w:bCs/>
          <w:i/>
          <w:sz w:val="22"/>
          <w:vertAlign w:val="superscript"/>
        </w:rPr>
        <w:footnoteReference w:id="3"/>
      </w:r>
      <w:r w:rsidRPr="00A45AF7">
        <w:rPr>
          <w:rFonts w:ascii="Arial" w:hAnsi="Arial" w:cs="Arial"/>
          <w:bCs/>
          <w:i/>
          <w:sz w:val="22"/>
        </w:rPr>
        <w:t xml:space="preserve"> disponga que le corresponde a la Jurisdicción Ordinaria, en sus especialidades laboral y de seguridad social, conocer de asuntos como el que ocupa la atención de la Sala y, en principio, las reclamaciones relativas al reconocimiento y pago de incapacidades que puedan presentarse entre un afiliado y las entidades del Sistema de Seguridad Social Integral o su empleador deberían ser ventiladas por estas vía ordinaria, las consideraciones precedentes obligan a concluir que en el caso del señor López Cabrera estos no son eficaces ni idóneos.”</w:t>
      </w:r>
    </w:p>
    <w:p w:rsidR="00175FF5" w:rsidRPr="007A2DD0" w:rsidRDefault="00175FF5" w:rsidP="007A2DD0">
      <w:pPr>
        <w:pStyle w:val="Textoindependiente"/>
        <w:spacing w:line="276" w:lineRule="auto"/>
        <w:rPr>
          <w:rFonts w:cs="Arial"/>
          <w:sz w:val="24"/>
          <w:szCs w:val="24"/>
        </w:rPr>
      </w:pPr>
    </w:p>
    <w:p w:rsidR="00D62760" w:rsidRPr="007A2DD0" w:rsidRDefault="00482B91" w:rsidP="007A2DD0">
      <w:pPr>
        <w:pStyle w:val="Textoindependiente"/>
        <w:spacing w:line="276" w:lineRule="auto"/>
        <w:rPr>
          <w:rFonts w:cs="Arial"/>
          <w:sz w:val="24"/>
          <w:szCs w:val="24"/>
        </w:rPr>
      </w:pPr>
      <w:r w:rsidRPr="007A2DD0">
        <w:rPr>
          <w:rFonts w:cs="Arial"/>
          <w:sz w:val="24"/>
          <w:szCs w:val="24"/>
        </w:rPr>
        <w:t>En ese sentido, analizando la normatividad que regula el tema se tiene que, a</w:t>
      </w:r>
      <w:r w:rsidR="00D62760" w:rsidRPr="007A2DD0">
        <w:rPr>
          <w:rFonts w:cs="Arial"/>
          <w:sz w:val="24"/>
          <w:szCs w:val="24"/>
        </w:rPr>
        <w:t xml:space="preserve">l entrar en vigencia la Ley 100 de 1993, el pago de licencias por enfermedad de origen común le fue asignado a las entidades encargadas de asegurar las contingencias en materia de seguridad social, correspondiéndole al Decreto </w:t>
      </w:r>
      <w:r w:rsidR="0055663A" w:rsidRPr="007A2DD0">
        <w:rPr>
          <w:rFonts w:cs="Arial"/>
          <w:sz w:val="24"/>
          <w:szCs w:val="24"/>
        </w:rPr>
        <w:t>1406</w:t>
      </w:r>
      <w:r w:rsidR="00D62760" w:rsidRPr="007A2DD0">
        <w:rPr>
          <w:rFonts w:cs="Arial"/>
          <w:sz w:val="24"/>
          <w:szCs w:val="24"/>
        </w:rPr>
        <w:t xml:space="preserve"> de 1999, reglamentario de ésta última disposición, establecer que el empleador es responsable del pago de las incapacidades laborales de origen común iguales o menores a </w:t>
      </w:r>
      <w:r w:rsidR="00133FB7" w:rsidRPr="007A2DD0">
        <w:rPr>
          <w:rFonts w:cs="Arial"/>
          <w:sz w:val="24"/>
          <w:szCs w:val="24"/>
        </w:rPr>
        <w:t>dos</w:t>
      </w:r>
      <w:r w:rsidR="00D62760" w:rsidRPr="007A2DD0">
        <w:rPr>
          <w:rFonts w:cs="Arial"/>
          <w:sz w:val="24"/>
          <w:szCs w:val="24"/>
        </w:rPr>
        <w:t xml:space="preserve"> días y que las EPS cubren las que se causen desde entonces y hasta el día 180, siempre y cuando el empleador haya efectuado la afiliación del trabajador al SGSS, porque de lo contrario, o en el evento en que se encuentre en mora en las cotizaciones sin que la EPS se hubiera allanado a ella, el pago de las incapacidades corre por su cuenta.</w:t>
      </w:r>
    </w:p>
    <w:p w:rsidR="00D62760" w:rsidRPr="007A2DD0" w:rsidRDefault="00D62760" w:rsidP="007A2DD0">
      <w:pPr>
        <w:pStyle w:val="Textoindependiente"/>
        <w:spacing w:line="276" w:lineRule="auto"/>
        <w:rPr>
          <w:rFonts w:cs="Arial"/>
          <w:sz w:val="24"/>
          <w:szCs w:val="24"/>
        </w:rPr>
      </w:pPr>
    </w:p>
    <w:p w:rsidR="00704D95" w:rsidRPr="007A2DD0" w:rsidRDefault="00D62760" w:rsidP="007A2DD0">
      <w:pPr>
        <w:pStyle w:val="Textoindependiente"/>
        <w:spacing w:line="276" w:lineRule="auto"/>
        <w:rPr>
          <w:rFonts w:cs="Arial"/>
          <w:sz w:val="24"/>
          <w:szCs w:val="24"/>
        </w:rPr>
      </w:pPr>
      <w:r w:rsidRPr="007A2DD0">
        <w:rPr>
          <w:rFonts w:cs="Arial"/>
          <w:sz w:val="24"/>
          <w:szCs w:val="24"/>
        </w:rPr>
        <w:t xml:space="preserve">Ahora, la responsabilidad en el pago de las incapacidades causadas después del día 180, se rige por las disposiciones previstas en el artículo 23 del Decreto 2463 de 2001, siendo la jurisprudencia constitucional consistente en señalar que luego del día </w:t>
      </w:r>
      <w:r w:rsidRPr="007A2DD0">
        <w:rPr>
          <w:rFonts w:cs="Arial"/>
          <w:sz w:val="24"/>
          <w:szCs w:val="24"/>
        </w:rPr>
        <w:lastRenderedPageBreak/>
        <w:t xml:space="preserve">181 de incapacidad, es la administradora de pensiones quien asume su pago, hasta tanto se defina su derecho pensional.  En ese sentido, la Corte Constitucional en </w:t>
      </w:r>
      <w:r w:rsidR="00704D95" w:rsidRPr="007A2DD0">
        <w:rPr>
          <w:rFonts w:cs="Arial"/>
          <w:sz w:val="24"/>
          <w:szCs w:val="24"/>
        </w:rPr>
        <w:t>sentencia T-200-17, elaboró la siguiente tabla, respecto a la responsabilidad de las entidades que integran el SGSS:</w:t>
      </w:r>
    </w:p>
    <w:p w:rsidR="00704D95" w:rsidRPr="007A2DD0" w:rsidRDefault="00704D95" w:rsidP="007A2DD0">
      <w:pPr>
        <w:spacing w:line="276" w:lineRule="auto"/>
        <w:ind w:right="-27"/>
        <w:jc w:val="both"/>
        <w:rPr>
          <w:rFonts w:ascii="Arial" w:hAnsi="Arial" w:cs="Arial"/>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3402"/>
      </w:tblGrid>
      <w:tr w:rsidR="00704D95" w:rsidRPr="007A2DD0" w:rsidTr="00B65699">
        <w:tc>
          <w:tcPr>
            <w:tcW w:w="2835" w:type="dxa"/>
          </w:tcPr>
          <w:p w:rsidR="00704D95" w:rsidRPr="00A45AF7" w:rsidRDefault="00704D95" w:rsidP="00B65699">
            <w:pPr>
              <w:widowControl w:val="0"/>
              <w:ind w:right="-93"/>
              <w:jc w:val="center"/>
              <w:rPr>
                <w:rFonts w:ascii="Arial" w:hAnsi="Arial" w:cs="Arial"/>
                <w:b/>
                <w:bCs/>
                <w:sz w:val="22"/>
              </w:rPr>
            </w:pPr>
            <w:r w:rsidRPr="00A45AF7">
              <w:rPr>
                <w:rFonts w:ascii="Arial" w:hAnsi="Arial" w:cs="Arial"/>
                <w:b/>
                <w:bCs/>
                <w:sz w:val="22"/>
              </w:rPr>
              <w:t>Periodo</w:t>
            </w:r>
          </w:p>
        </w:tc>
        <w:tc>
          <w:tcPr>
            <w:tcW w:w="2410" w:type="dxa"/>
          </w:tcPr>
          <w:p w:rsidR="00704D95" w:rsidRPr="00A45AF7" w:rsidRDefault="00704D95" w:rsidP="00B65699">
            <w:pPr>
              <w:widowControl w:val="0"/>
              <w:ind w:right="-93"/>
              <w:jc w:val="center"/>
              <w:rPr>
                <w:rFonts w:ascii="Arial" w:hAnsi="Arial" w:cs="Arial"/>
                <w:b/>
                <w:bCs/>
                <w:sz w:val="22"/>
              </w:rPr>
            </w:pPr>
            <w:r w:rsidRPr="00A45AF7">
              <w:rPr>
                <w:rFonts w:ascii="Arial" w:hAnsi="Arial" w:cs="Arial"/>
                <w:b/>
                <w:bCs/>
                <w:sz w:val="22"/>
              </w:rPr>
              <w:t>Entidad obligada</w:t>
            </w:r>
          </w:p>
        </w:tc>
        <w:tc>
          <w:tcPr>
            <w:tcW w:w="3402" w:type="dxa"/>
          </w:tcPr>
          <w:p w:rsidR="00704D95" w:rsidRPr="00A45AF7" w:rsidRDefault="00704D95" w:rsidP="00B65699">
            <w:pPr>
              <w:widowControl w:val="0"/>
              <w:ind w:right="-93"/>
              <w:jc w:val="center"/>
              <w:rPr>
                <w:rFonts w:ascii="Arial" w:hAnsi="Arial" w:cs="Arial"/>
                <w:b/>
                <w:bCs/>
                <w:sz w:val="22"/>
              </w:rPr>
            </w:pPr>
            <w:r w:rsidRPr="00A45AF7">
              <w:rPr>
                <w:rFonts w:ascii="Arial" w:hAnsi="Arial" w:cs="Arial"/>
                <w:b/>
                <w:bCs/>
                <w:sz w:val="22"/>
              </w:rPr>
              <w:t>Fuente normativa</w:t>
            </w:r>
          </w:p>
        </w:tc>
      </w:tr>
      <w:tr w:rsidR="00704D95" w:rsidRPr="007A2DD0" w:rsidTr="00B65699">
        <w:tc>
          <w:tcPr>
            <w:tcW w:w="2835"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Día 1 a 2</w:t>
            </w:r>
          </w:p>
        </w:tc>
        <w:tc>
          <w:tcPr>
            <w:tcW w:w="2410" w:type="dxa"/>
          </w:tcPr>
          <w:p w:rsidR="00704D95" w:rsidRPr="00B65699" w:rsidRDefault="00704D95" w:rsidP="00B65699">
            <w:pPr>
              <w:widowControl w:val="0"/>
              <w:ind w:right="-93"/>
              <w:rPr>
                <w:rFonts w:ascii="Arial" w:hAnsi="Arial" w:cs="Arial"/>
                <w:sz w:val="22"/>
              </w:rPr>
            </w:pPr>
            <w:r w:rsidRPr="00B65699">
              <w:rPr>
                <w:rFonts w:ascii="Arial" w:hAnsi="Arial" w:cs="Arial"/>
                <w:sz w:val="22"/>
              </w:rPr>
              <w:t>Empleador</w:t>
            </w:r>
          </w:p>
        </w:tc>
        <w:tc>
          <w:tcPr>
            <w:tcW w:w="3402"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Artículo 1 del Decreto 2943 de 20</w:t>
            </w:r>
            <w:bookmarkStart w:id="0" w:name="_GoBack"/>
            <w:bookmarkEnd w:id="0"/>
            <w:r w:rsidRPr="00B65699">
              <w:rPr>
                <w:rFonts w:ascii="Arial" w:hAnsi="Arial" w:cs="Arial"/>
                <w:sz w:val="22"/>
              </w:rPr>
              <w:t>13</w:t>
            </w:r>
          </w:p>
        </w:tc>
      </w:tr>
      <w:tr w:rsidR="00704D95" w:rsidRPr="007A2DD0" w:rsidTr="00B65699">
        <w:tc>
          <w:tcPr>
            <w:tcW w:w="2835"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Día 3 a 180</w:t>
            </w:r>
          </w:p>
        </w:tc>
        <w:tc>
          <w:tcPr>
            <w:tcW w:w="2410" w:type="dxa"/>
          </w:tcPr>
          <w:p w:rsidR="00704D95" w:rsidRPr="00B65699" w:rsidRDefault="00704D95" w:rsidP="00B65699">
            <w:pPr>
              <w:widowControl w:val="0"/>
              <w:ind w:right="-93"/>
              <w:rPr>
                <w:rFonts w:ascii="Arial" w:hAnsi="Arial" w:cs="Arial"/>
                <w:sz w:val="22"/>
              </w:rPr>
            </w:pPr>
            <w:r w:rsidRPr="00B65699">
              <w:rPr>
                <w:rFonts w:ascii="Arial" w:hAnsi="Arial" w:cs="Arial"/>
                <w:sz w:val="22"/>
              </w:rPr>
              <w:t>EPS</w:t>
            </w:r>
          </w:p>
        </w:tc>
        <w:tc>
          <w:tcPr>
            <w:tcW w:w="3402"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Artículo 1 del Decreto 2943 de 2013</w:t>
            </w:r>
          </w:p>
        </w:tc>
      </w:tr>
      <w:tr w:rsidR="00704D95" w:rsidRPr="007A2DD0" w:rsidTr="00B65699">
        <w:tc>
          <w:tcPr>
            <w:tcW w:w="2835"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Día 181 hasta un plazo de 540 días</w:t>
            </w:r>
          </w:p>
        </w:tc>
        <w:tc>
          <w:tcPr>
            <w:tcW w:w="2410" w:type="dxa"/>
          </w:tcPr>
          <w:p w:rsidR="00704D95" w:rsidRPr="00B65699" w:rsidRDefault="00704D95" w:rsidP="00B65699">
            <w:pPr>
              <w:widowControl w:val="0"/>
              <w:ind w:right="-93"/>
              <w:rPr>
                <w:rFonts w:ascii="Arial" w:hAnsi="Arial" w:cs="Arial"/>
                <w:sz w:val="22"/>
              </w:rPr>
            </w:pPr>
            <w:r w:rsidRPr="00B65699">
              <w:rPr>
                <w:rFonts w:ascii="Arial" w:hAnsi="Arial" w:cs="Arial"/>
                <w:sz w:val="22"/>
              </w:rPr>
              <w:t>Fondo de Pensiones</w:t>
            </w:r>
          </w:p>
        </w:tc>
        <w:tc>
          <w:tcPr>
            <w:tcW w:w="3402"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Artículo 52 de la Ley 962 de 2005</w:t>
            </w:r>
          </w:p>
        </w:tc>
      </w:tr>
      <w:tr w:rsidR="00704D95" w:rsidRPr="007A2DD0" w:rsidTr="00B65699">
        <w:tc>
          <w:tcPr>
            <w:tcW w:w="2835"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Día 541 en adelante</w:t>
            </w:r>
          </w:p>
        </w:tc>
        <w:tc>
          <w:tcPr>
            <w:tcW w:w="2410" w:type="dxa"/>
          </w:tcPr>
          <w:p w:rsidR="00704D95" w:rsidRPr="00B65699" w:rsidRDefault="00704D95" w:rsidP="00B65699">
            <w:pPr>
              <w:widowControl w:val="0"/>
              <w:ind w:right="-93"/>
              <w:rPr>
                <w:rFonts w:ascii="Arial" w:hAnsi="Arial" w:cs="Arial"/>
                <w:sz w:val="22"/>
              </w:rPr>
            </w:pPr>
            <w:r w:rsidRPr="00B65699">
              <w:rPr>
                <w:rFonts w:ascii="Arial" w:hAnsi="Arial" w:cs="Arial"/>
                <w:sz w:val="22"/>
              </w:rPr>
              <w:t>EPS</w:t>
            </w:r>
            <w:r w:rsidRPr="00B65699">
              <w:rPr>
                <w:rStyle w:val="Refdenotaalpie"/>
                <w:rFonts w:ascii="Arial" w:hAnsi="Arial" w:cs="Arial"/>
                <w:sz w:val="22"/>
              </w:rPr>
              <w:footnoteReference w:id="4"/>
            </w:r>
          </w:p>
        </w:tc>
        <w:tc>
          <w:tcPr>
            <w:tcW w:w="3402" w:type="dxa"/>
          </w:tcPr>
          <w:p w:rsidR="00704D95" w:rsidRPr="00B65699" w:rsidRDefault="00704D95" w:rsidP="00B65699">
            <w:pPr>
              <w:widowControl w:val="0"/>
              <w:ind w:right="-93"/>
              <w:jc w:val="both"/>
              <w:rPr>
                <w:rFonts w:ascii="Arial" w:hAnsi="Arial" w:cs="Arial"/>
                <w:sz w:val="22"/>
              </w:rPr>
            </w:pPr>
            <w:r w:rsidRPr="00B65699">
              <w:rPr>
                <w:rFonts w:ascii="Arial" w:hAnsi="Arial" w:cs="Arial"/>
                <w:sz w:val="22"/>
              </w:rPr>
              <w:t>Artículo 67 de la Ley 1753 de 2015</w:t>
            </w:r>
          </w:p>
        </w:tc>
      </w:tr>
    </w:tbl>
    <w:p w:rsidR="000657B2" w:rsidRPr="007A2DD0" w:rsidRDefault="000657B2" w:rsidP="007A2DD0">
      <w:pPr>
        <w:pStyle w:val="Textoindependiente"/>
        <w:spacing w:line="276" w:lineRule="auto"/>
        <w:ind w:right="51"/>
        <w:rPr>
          <w:rFonts w:cs="Arial"/>
          <w:sz w:val="24"/>
          <w:szCs w:val="24"/>
        </w:rPr>
      </w:pPr>
    </w:p>
    <w:p w:rsidR="005027AB" w:rsidRPr="007A2DD0" w:rsidRDefault="0CF6E495" w:rsidP="007A2DD0">
      <w:pPr>
        <w:spacing w:line="276" w:lineRule="auto"/>
        <w:jc w:val="both"/>
        <w:rPr>
          <w:rFonts w:ascii="Arial" w:hAnsi="Arial" w:cs="Arial"/>
        </w:rPr>
      </w:pPr>
      <w:r w:rsidRPr="007A2DD0">
        <w:rPr>
          <w:rFonts w:ascii="Arial" w:hAnsi="Arial" w:cs="Arial"/>
          <w:bdr w:val="none" w:sz="0" w:space="0" w:color="auto" w:frame="1"/>
          <w:lang w:val="es-CO"/>
        </w:rPr>
        <w:t>De otro lado</w:t>
      </w:r>
      <w:r w:rsidR="000657B2" w:rsidRPr="007A2DD0">
        <w:rPr>
          <w:rFonts w:ascii="Arial" w:hAnsi="Arial" w:cs="Arial"/>
          <w:bdr w:val="none" w:sz="0" w:space="0" w:color="auto" w:frame="1"/>
          <w:lang w:val="es-CO"/>
        </w:rPr>
        <w:t>, en sentencia T-140 de 2016, la Corte Constitucional, buscando llenar el vacío normativo que se presenta en relación con los afiliados que siendo calificados con un porcentaje de p</w:t>
      </w:r>
      <w:r w:rsidR="00726A14" w:rsidRPr="007A2DD0">
        <w:rPr>
          <w:rFonts w:ascii="Arial" w:hAnsi="Arial" w:cs="Arial"/>
          <w:bdr w:val="none" w:sz="0" w:space="0" w:color="auto" w:frame="1"/>
          <w:lang w:val="es-CO"/>
        </w:rPr>
        <w:t xml:space="preserve">érdida de capacidad inferior al 50% continúan siendo incapacitados entre el día 180 y el 540, </w:t>
      </w:r>
      <w:r w:rsidR="000657B2" w:rsidRPr="007A2DD0">
        <w:rPr>
          <w:rFonts w:ascii="Arial" w:hAnsi="Arial" w:cs="Arial"/>
          <w:bdr w:val="none" w:sz="0" w:space="0" w:color="auto" w:frame="1"/>
          <w:lang w:val="es-CO"/>
        </w:rPr>
        <w:t>concluyó que “</w:t>
      </w:r>
      <w:r w:rsidR="000657B2" w:rsidRPr="00A45AF7">
        <w:rPr>
          <w:rFonts w:ascii="Arial" w:hAnsi="Arial" w:cs="Arial"/>
          <w:i/>
          <w:iCs/>
          <w:sz w:val="22"/>
          <w:bdr w:val="none" w:sz="0" w:space="0" w:color="auto" w:frame="1"/>
          <w:lang w:val="es-CO"/>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0657B2" w:rsidRPr="007A2DD0">
        <w:rPr>
          <w:rFonts w:ascii="Arial" w:hAnsi="Arial" w:cs="Arial"/>
          <w:i/>
          <w:iCs/>
          <w:bdr w:val="none" w:sz="0" w:space="0" w:color="auto" w:frame="1"/>
          <w:lang w:val="es-CO"/>
        </w:rPr>
        <w:t>.</w:t>
      </w:r>
      <w:r w:rsidR="000657B2" w:rsidRPr="007A2DD0">
        <w:rPr>
          <w:rFonts w:ascii="Arial" w:hAnsi="Arial" w:cs="Arial"/>
          <w:bdr w:val="none" w:sz="0" w:space="0" w:color="auto" w:frame="1"/>
          <w:lang w:val="es-CO"/>
        </w:rPr>
        <w:t>”</w:t>
      </w:r>
    </w:p>
    <w:p w:rsidR="00311524" w:rsidRPr="007A2DD0" w:rsidRDefault="00311524" w:rsidP="007A2DD0">
      <w:pPr>
        <w:spacing w:line="276" w:lineRule="auto"/>
        <w:ind w:right="-27"/>
        <w:jc w:val="both"/>
        <w:rPr>
          <w:rFonts w:ascii="Arial" w:hAnsi="Arial" w:cs="Arial"/>
        </w:rPr>
      </w:pPr>
    </w:p>
    <w:p w:rsidR="00311524" w:rsidRPr="007A2DD0" w:rsidRDefault="00311524" w:rsidP="007A2DD0">
      <w:pPr>
        <w:spacing w:line="276" w:lineRule="auto"/>
        <w:ind w:right="-27"/>
        <w:jc w:val="both"/>
        <w:rPr>
          <w:rFonts w:ascii="Arial" w:hAnsi="Arial" w:cs="Arial"/>
        </w:rPr>
      </w:pPr>
      <w:r w:rsidRPr="007A2DD0">
        <w:rPr>
          <w:rFonts w:ascii="Arial" w:hAnsi="Arial" w:cs="Arial"/>
        </w:rPr>
        <w:t>Más recientemente señaló la misma Corporación en Sentencia T-161-19 que:</w:t>
      </w:r>
    </w:p>
    <w:p w:rsidR="00311524" w:rsidRPr="007A2DD0" w:rsidRDefault="00311524" w:rsidP="007A2DD0">
      <w:pPr>
        <w:spacing w:line="276" w:lineRule="auto"/>
        <w:ind w:right="-27"/>
        <w:jc w:val="both"/>
        <w:rPr>
          <w:rFonts w:ascii="Arial" w:hAnsi="Arial" w:cs="Arial"/>
        </w:rPr>
      </w:pPr>
    </w:p>
    <w:p w:rsidR="00311524" w:rsidRPr="00A45AF7" w:rsidRDefault="00311524" w:rsidP="00A45AF7">
      <w:pPr>
        <w:shd w:val="clear" w:color="auto" w:fill="FFFFFF"/>
        <w:ind w:left="426" w:right="420"/>
        <w:jc w:val="both"/>
        <w:textAlignment w:val="baseline"/>
        <w:rPr>
          <w:rFonts w:ascii="Arial" w:hAnsi="Arial" w:cs="Arial"/>
          <w:i/>
          <w:sz w:val="22"/>
        </w:rPr>
      </w:pPr>
      <w:r w:rsidRPr="00A45AF7">
        <w:rPr>
          <w:rFonts w:ascii="Arial" w:hAnsi="Arial" w:cs="Arial"/>
          <w:i/>
          <w:color w:val="000000"/>
          <w:sz w:val="22"/>
          <w:bdr w:val="none" w:sz="0" w:space="0" w:color="auto" w:frame="1"/>
        </w:rPr>
        <w:t xml:space="preserve">“i.  Entre el día </w:t>
      </w:r>
      <w:r w:rsidRPr="00A45AF7">
        <w:rPr>
          <w:rFonts w:ascii="Arial" w:hAnsi="Arial" w:cs="Arial"/>
          <w:b/>
          <w:bCs/>
          <w:i/>
          <w:color w:val="000000"/>
          <w:sz w:val="22"/>
          <w:bdr w:val="none" w:sz="0" w:space="0" w:color="auto" w:frame="1"/>
        </w:rPr>
        <w:t>1</w:t>
      </w:r>
      <w:r w:rsidRPr="00A45AF7">
        <w:rPr>
          <w:rFonts w:ascii="Arial" w:hAnsi="Arial" w:cs="Arial"/>
          <w:i/>
          <w:color w:val="000000"/>
          <w:sz w:val="22"/>
          <w:bdr w:val="none" w:sz="0" w:space="0" w:color="auto" w:frame="1"/>
        </w:rPr>
        <w:t xml:space="preserve"> y </w:t>
      </w:r>
      <w:r w:rsidRPr="00A45AF7">
        <w:rPr>
          <w:rFonts w:ascii="Arial" w:hAnsi="Arial" w:cs="Arial"/>
          <w:b/>
          <w:bCs/>
          <w:i/>
          <w:color w:val="000000"/>
          <w:sz w:val="22"/>
          <w:bdr w:val="none" w:sz="0" w:space="0" w:color="auto" w:frame="1"/>
        </w:rPr>
        <w:t>2</w:t>
      </w:r>
      <w:r w:rsidRPr="00A45AF7">
        <w:rPr>
          <w:rFonts w:ascii="Arial" w:hAnsi="Arial" w:cs="Arial"/>
          <w:i/>
          <w:color w:val="000000"/>
          <w:sz w:val="22"/>
          <w:bdr w:val="none" w:sz="0" w:space="0" w:color="auto" w:frame="1"/>
        </w:rPr>
        <w:t xml:space="preserve"> será el empleador el encargado de asumir su desembolso,  según lo establecido en el artículo 1° del Decreto 2943 de 2013.</w:t>
      </w:r>
      <w:r w:rsidRPr="00A45AF7">
        <w:rPr>
          <w:rFonts w:ascii="Arial" w:hAnsi="Arial" w:cs="Arial"/>
          <w:i/>
          <w:color w:val="000000"/>
          <w:sz w:val="22"/>
        </w:rPr>
        <w:t xml:space="preserve"> </w:t>
      </w:r>
    </w:p>
    <w:p w:rsidR="00311524" w:rsidRPr="00A45AF7" w:rsidRDefault="00311524" w:rsidP="00A45AF7">
      <w:pPr>
        <w:shd w:val="clear" w:color="auto" w:fill="FFFFFF"/>
        <w:spacing w:before="100" w:beforeAutospacing="1"/>
        <w:ind w:left="426" w:right="420"/>
        <w:jc w:val="both"/>
        <w:textAlignment w:val="baseline"/>
        <w:rPr>
          <w:rFonts w:ascii="Arial" w:hAnsi="Arial" w:cs="Arial"/>
          <w:i/>
          <w:sz w:val="22"/>
        </w:rPr>
      </w:pPr>
      <w:r w:rsidRPr="00A45AF7">
        <w:rPr>
          <w:rFonts w:ascii="Arial" w:hAnsi="Arial" w:cs="Arial"/>
          <w:i/>
          <w:color w:val="000000"/>
          <w:sz w:val="22"/>
          <w:bdr w:val="none" w:sz="0" w:space="0" w:color="auto" w:frame="1"/>
        </w:rPr>
        <w:t xml:space="preserve">ii.  </w:t>
      </w:r>
      <w:r w:rsidRPr="00A45AF7">
        <w:rPr>
          <w:rFonts w:ascii="Arial" w:hAnsi="Arial" w:cs="Arial"/>
          <w:i/>
          <w:color w:val="000000"/>
          <w:sz w:val="22"/>
          <w:bdr w:val="none" w:sz="0" w:space="0" w:color="auto" w:frame="1"/>
          <w:shd w:val="clear" w:color="auto" w:fill="FFFFFF"/>
        </w:rPr>
        <w:t xml:space="preserve">Si pasado el día 2, el empleado continúa incapacitado con ocasión a su estado de salud, es decir, a partir del día 3 hasta el día número </w:t>
      </w:r>
      <w:r w:rsidRPr="00A45AF7">
        <w:rPr>
          <w:rFonts w:ascii="Arial" w:hAnsi="Arial" w:cs="Arial"/>
          <w:b/>
          <w:bCs/>
          <w:i/>
          <w:color w:val="000000"/>
          <w:sz w:val="22"/>
          <w:bdr w:val="none" w:sz="0" w:space="0" w:color="auto" w:frame="1"/>
          <w:shd w:val="clear" w:color="auto" w:fill="FFFFFF"/>
        </w:rPr>
        <w:t>180</w:t>
      </w:r>
      <w:r w:rsidRPr="00A45AF7">
        <w:rPr>
          <w:rFonts w:ascii="Arial" w:hAnsi="Arial" w:cs="Arial"/>
          <w:i/>
          <w:color w:val="000000"/>
          <w:sz w:val="22"/>
          <w:bdr w:val="none" w:sz="0" w:space="0" w:color="auto" w:frame="1"/>
          <w:shd w:val="clear" w:color="auto" w:fill="FFFFFF"/>
        </w:rPr>
        <w:t>, la obligación de cancelar el auxilio económico recae en la EPS a la que se encuentre afiliado. Lo anterior, de conformidad con lo previsto en el referido artículo 1° del Decreto 2943 de 2013.</w:t>
      </w:r>
    </w:p>
    <w:p w:rsidR="00311524" w:rsidRPr="00A45AF7" w:rsidRDefault="00311524" w:rsidP="00A45AF7">
      <w:pPr>
        <w:shd w:val="clear" w:color="auto" w:fill="FFFFFF"/>
        <w:ind w:left="426" w:right="420"/>
        <w:jc w:val="both"/>
        <w:textAlignment w:val="baseline"/>
        <w:rPr>
          <w:rFonts w:ascii="Arial" w:hAnsi="Arial" w:cs="Arial"/>
          <w:i/>
          <w:color w:val="000000"/>
          <w:sz w:val="22"/>
          <w:bdr w:val="none" w:sz="0" w:space="0" w:color="auto" w:frame="1"/>
        </w:rPr>
      </w:pPr>
    </w:p>
    <w:p w:rsidR="00311524" w:rsidRPr="00A45AF7" w:rsidRDefault="00311524" w:rsidP="00A45AF7">
      <w:pPr>
        <w:shd w:val="clear" w:color="auto" w:fill="FFFFFF"/>
        <w:ind w:left="426" w:right="420"/>
        <w:jc w:val="both"/>
        <w:textAlignment w:val="baseline"/>
        <w:rPr>
          <w:rFonts w:ascii="Arial" w:hAnsi="Arial" w:cs="Arial"/>
          <w:i/>
          <w:sz w:val="22"/>
        </w:rPr>
      </w:pPr>
      <w:r w:rsidRPr="00A45AF7">
        <w:rPr>
          <w:rFonts w:ascii="Arial" w:hAnsi="Arial" w:cs="Arial"/>
          <w:i/>
          <w:color w:val="000000"/>
          <w:sz w:val="22"/>
          <w:bdr w:val="none" w:sz="0" w:space="0" w:color="auto" w:frame="1"/>
        </w:rPr>
        <w:t xml:space="preserve">iii. Desde el día </w:t>
      </w:r>
      <w:r w:rsidRPr="00A45AF7">
        <w:rPr>
          <w:rFonts w:ascii="Arial" w:hAnsi="Arial" w:cs="Arial"/>
          <w:b/>
          <w:bCs/>
          <w:i/>
          <w:color w:val="000000"/>
          <w:sz w:val="22"/>
          <w:bdr w:val="none" w:sz="0" w:space="0" w:color="auto" w:frame="1"/>
        </w:rPr>
        <w:t>181</w:t>
      </w:r>
      <w:r w:rsidRPr="00A45AF7">
        <w:rPr>
          <w:rFonts w:ascii="Arial" w:hAnsi="Arial" w:cs="Arial"/>
          <w:i/>
          <w:color w:val="000000"/>
          <w:sz w:val="22"/>
          <w:bdr w:val="none" w:sz="0" w:space="0" w:color="auto" w:frame="1"/>
        </w:rPr>
        <w:t xml:space="preserve"> y hasta un plazo de </w:t>
      </w:r>
      <w:r w:rsidRPr="00A45AF7">
        <w:rPr>
          <w:rFonts w:ascii="Arial" w:hAnsi="Arial" w:cs="Arial"/>
          <w:b/>
          <w:bCs/>
          <w:i/>
          <w:color w:val="000000"/>
          <w:sz w:val="22"/>
          <w:bdr w:val="none" w:sz="0" w:space="0" w:color="auto" w:frame="1"/>
        </w:rPr>
        <w:t>540</w:t>
      </w:r>
      <w:r w:rsidRPr="00A45AF7">
        <w:rPr>
          <w:rFonts w:ascii="Arial" w:hAnsi="Arial" w:cs="Arial"/>
          <w:i/>
          <w:color w:val="000000"/>
          <w:sz w:val="22"/>
          <w:bdr w:val="none" w:sz="0" w:space="0" w:color="auto" w:frame="1"/>
        </w:rPr>
        <w:t xml:space="preserve"> días, el pago de incapacidades está a cargo del Fondo de Pensiones, de acuerdo con la facultad que le concede el artículo 52 de la Ley 962 de 2005</w:t>
      </w:r>
      <w:bookmarkStart w:id="1" w:name="_ftnref81"/>
      <w:r w:rsidR="00CC79AD" w:rsidRPr="00A45AF7">
        <w:rPr>
          <w:rFonts w:ascii="Arial" w:hAnsi="Arial" w:cs="Arial"/>
          <w:i/>
          <w:color w:val="000000"/>
          <w:sz w:val="22"/>
          <w:bdr w:val="none" w:sz="0" w:space="0" w:color="auto" w:frame="1"/>
        </w:rPr>
        <w:fldChar w:fldCharType="begin"/>
      </w:r>
      <w:r w:rsidRPr="00A45AF7">
        <w:rPr>
          <w:rFonts w:ascii="Arial" w:hAnsi="Arial" w:cs="Arial"/>
          <w:i/>
          <w:color w:val="000000"/>
          <w:sz w:val="22"/>
          <w:bdr w:val="none" w:sz="0" w:space="0" w:color="auto" w:frame="1"/>
        </w:rPr>
        <w:instrText xml:space="preserve"> HYPERLINK "https://www.corteconstitucional.gov.co/relatoria/2019/T-161-19.htm" \l "_ftn81" \o "" </w:instrText>
      </w:r>
      <w:r w:rsidR="00CC79AD" w:rsidRPr="00A45AF7">
        <w:rPr>
          <w:rFonts w:ascii="Arial" w:hAnsi="Arial" w:cs="Arial"/>
          <w:i/>
          <w:color w:val="000000"/>
          <w:sz w:val="22"/>
          <w:bdr w:val="none" w:sz="0" w:space="0" w:color="auto" w:frame="1"/>
        </w:rPr>
        <w:fldChar w:fldCharType="separate"/>
      </w:r>
      <w:r w:rsidRPr="00A45AF7">
        <w:rPr>
          <w:rFonts w:ascii="Arial" w:hAnsi="Arial" w:cs="Arial"/>
          <w:i/>
          <w:color w:val="000000"/>
          <w:sz w:val="22"/>
          <w:u w:val="single"/>
        </w:rPr>
        <w:t>[81]</w:t>
      </w:r>
      <w:r w:rsidR="00CC79AD" w:rsidRPr="00A45AF7">
        <w:rPr>
          <w:rFonts w:ascii="Arial" w:hAnsi="Arial" w:cs="Arial"/>
          <w:i/>
          <w:color w:val="000000"/>
          <w:sz w:val="22"/>
          <w:bdr w:val="none" w:sz="0" w:space="0" w:color="auto" w:frame="1"/>
        </w:rPr>
        <w:fldChar w:fldCharType="end"/>
      </w:r>
      <w:bookmarkEnd w:id="1"/>
      <w:r w:rsidRPr="00A45AF7">
        <w:rPr>
          <w:rFonts w:ascii="Arial" w:hAnsi="Arial" w:cs="Arial"/>
          <w:i/>
          <w:color w:val="000000"/>
          <w:sz w:val="22"/>
          <w:bdr w:val="none" w:sz="0" w:space="0" w:color="auto" w:frame="1"/>
        </w:rPr>
        <w:t xml:space="preserve"> para postergar la calificación de invalidez, cuando haya concepto favorable de rehabilitación por parte de la </w:t>
      </w:r>
      <w:proofErr w:type="spellStart"/>
      <w:r w:rsidRPr="00A45AF7">
        <w:rPr>
          <w:rFonts w:ascii="Arial" w:hAnsi="Arial" w:cs="Arial"/>
          <w:i/>
          <w:color w:val="000000"/>
          <w:sz w:val="22"/>
          <w:bdr w:val="none" w:sz="0" w:space="0" w:color="auto" w:frame="1"/>
        </w:rPr>
        <w:t>EPS</w:t>
      </w:r>
      <w:bookmarkStart w:id="2" w:name="_ftnref82"/>
      <w:proofErr w:type="spellEnd"/>
      <w:r w:rsidR="00CC79AD" w:rsidRPr="00A45AF7">
        <w:rPr>
          <w:rFonts w:ascii="Arial" w:hAnsi="Arial" w:cs="Arial"/>
          <w:i/>
          <w:color w:val="000000"/>
          <w:sz w:val="22"/>
          <w:bdr w:val="none" w:sz="0" w:space="0" w:color="auto" w:frame="1"/>
        </w:rPr>
        <w:fldChar w:fldCharType="begin"/>
      </w:r>
      <w:r w:rsidRPr="00A45AF7">
        <w:rPr>
          <w:rFonts w:ascii="Arial" w:hAnsi="Arial" w:cs="Arial"/>
          <w:i/>
          <w:color w:val="000000"/>
          <w:sz w:val="22"/>
          <w:bdr w:val="none" w:sz="0" w:space="0" w:color="auto" w:frame="1"/>
        </w:rPr>
        <w:instrText xml:space="preserve"> HYPERLINK "https://www.corteconstitucional.gov.co/relatoria/2019/T-161-19.htm" \l "_ftn82" \o "" </w:instrText>
      </w:r>
      <w:r w:rsidR="00CC79AD" w:rsidRPr="00A45AF7">
        <w:rPr>
          <w:rFonts w:ascii="Arial" w:hAnsi="Arial" w:cs="Arial"/>
          <w:i/>
          <w:color w:val="000000"/>
          <w:sz w:val="22"/>
          <w:bdr w:val="none" w:sz="0" w:space="0" w:color="auto" w:frame="1"/>
        </w:rPr>
        <w:fldChar w:fldCharType="separate"/>
      </w:r>
      <w:r w:rsidRPr="00A45AF7">
        <w:rPr>
          <w:rFonts w:ascii="Arial" w:hAnsi="Arial" w:cs="Arial"/>
          <w:i/>
          <w:color w:val="000000"/>
          <w:sz w:val="22"/>
          <w:u w:val="single"/>
        </w:rPr>
        <w:t>[82]</w:t>
      </w:r>
      <w:r w:rsidR="00CC79AD" w:rsidRPr="00A45AF7">
        <w:rPr>
          <w:rFonts w:ascii="Arial" w:hAnsi="Arial" w:cs="Arial"/>
          <w:i/>
          <w:color w:val="000000"/>
          <w:sz w:val="22"/>
          <w:bdr w:val="none" w:sz="0" w:space="0" w:color="auto" w:frame="1"/>
        </w:rPr>
        <w:fldChar w:fldCharType="end"/>
      </w:r>
      <w:bookmarkEnd w:id="2"/>
      <w:r w:rsidRPr="00A45AF7">
        <w:rPr>
          <w:rFonts w:ascii="Arial" w:hAnsi="Arial" w:cs="Arial"/>
          <w:i/>
          <w:color w:val="000000"/>
          <w:sz w:val="22"/>
          <w:bdr w:val="none" w:sz="0" w:space="0" w:color="auto" w:frame="1"/>
        </w:rPr>
        <w:t>.</w:t>
      </w:r>
      <w:r w:rsidRPr="00A45AF7">
        <w:rPr>
          <w:rFonts w:ascii="Arial" w:hAnsi="Arial" w:cs="Arial"/>
          <w:i/>
          <w:color w:val="000000"/>
          <w:sz w:val="22"/>
        </w:rPr>
        <w:t xml:space="preserve"> </w:t>
      </w:r>
    </w:p>
    <w:p w:rsidR="00311524" w:rsidRPr="00A45AF7" w:rsidRDefault="00311524" w:rsidP="00A45AF7">
      <w:pPr>
        <w:shd w:val="clear" w:color="auto" w:fill="FFFFFF"/>
        <w:ind w:left="426" w:right="420"/>
        <w:jc w:val="both"/>
        <w:textAlignment w:val="baseline"/>
        <w:rPr>
          <w:rFonts w:ascii="Arial" w:hAnsi="Arial" w:cs="Arial"/>
          <w:i/>
          <w:sz w:val="22"/>
        </w:rPr>
      </w:pPr>
      <w:r w:rsidRPr="00A45AF7">
        <w:rPr>
          <w:rFonts w:ascii="Arial" w:hAnsi="Arial" w:cs="Arial"/>
          <w:i/>
          <w:color w:val="000000"/>
          <w:sz w:val="22"/>
        </w:rPr>
        <w:t> </w:t>
      </w:r>
    </w:p>
    <w:p w:rsidR="00311524" w:rsidRPr="00A45AF7" w:rsidRDefault="00311524" w:rsidP="00A45AF7">
      <w:pPr>
        <w:shd w:val="clear" w:color="auto" w:fill="FFFFFF"/>
        <w:ind w:left="426" w:right="420"/>
        <w:jc w:val="both"/>
        <w:textAlignment w:val="baseline"/>
        <w:rPr>
          <w:rFonts w:ascii="Arial" w:hAnsi="Arial" w:cs="Arial"/>
          <w:sz w:val="22"/>
        </w:rPr>
      </w:pPr>
      <w:r w:rsidRPr="00A45AF7">
        <w:rPr>
          <w:rFonts w:ascii="Arial" w:hAnsi="Arial" w:cs="Arial"/>
          <w:i/>
          <w:color w:val="000000"/>
          <w:sz w:val="22"/>
          <w:bdr w:val="none" w:sz="0" w:space="0" w:color="auto" w:frame="1"/>
        </w:rPr>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bookmarkStart w:id="3" w:name="_ftnref83"/>
      <w:r w:rsidRPr="00A45AF7">
        <w:rPr>
          <w:rFonts w:ascii="Arial" w:hAnsi="Arial" w:cs="Arial"/>
          <w:i/>
          <w:color w:val="000000"/>
          <w:sz w:val="22"/>
          <w:bdr w:val="none" w:sz="0" w:space="0" w:color="auto" w:frame="1"/>
        </w:rPr>
        <w:t>”</w:t>
      </w:r>
      <w:bookmarkEnd w:id="3"/>
      <w:r w:rsidRPr="00A45AF7">
        <w:rPr>
          <w:rFonts w:ascii="Arial" w:hAnsi="Arial" w:cs="Arial"/>
          <w:color w:val="000000"/>
          <w:sz w:val="22"/>
          <w:bdr w:val="none" w:sz="0" w:space="0" w:color="auto" w:frame="1"/>
        </w:rPr>
        <w:t>.</w:t>
      </w:r>
    </w:p>
    <w:p w:rsidR="00311524" w:rsidRPr="007A2DD0" w:rsidRDefault="00311524" w:rsidP="007A2DD0">
      <w:pPr>
        <w:shd w:val="clear" w:color="auto" w:fill="FFFFFF"/>
        <w:spacing w:line="276" w:lineRule="auto"/>
        <w:ind w:right="51"/>
        <w:jc w:val="both"/>
        <w:textAlignment w:val="baseline"/>
        <w:rPr>
          <w:rFonts w:ascii="Arial" w:hAnsi="Arial" w:cs="Arial"/>
        </w:rPr>
      </w:pPr>
      <w:r w:rsidRPr="007A2DD0">
        <w:rPr>
          <w:rFonts w:ascii="Arial" w:hAnsi="Arial" w:cs="Arial"/>
          <w:color w:val="000000"/>
          <w:bdr w:val="none" w:sz="0" w:space="0" w:color="auto" w:frame="1"/>
        </w:rPr>
        <w:t> </w:t>
      </w:r>
    </w:p>
    <w:p w:rsidR="00D62760" w:rsidRPr="007A2DD0" w:rsidRDefault="0090134C" w:rsidP="007A2DD0">
      <w:pPr>
        <w:spacing w:line="276" w:lineRule="auto"/>
        <w:ind w:right="-27"/>
        <w:jc w:val="both"/>
        <w:rPr>
          <w:rFonts w:ascii="Arial" w:hAnsi="Arial" w:cs="Arial"/>
        </w:rPr>
      </w:pPr>
      <w:r w:rsidRPr="007A2DD0">
        <w:rPr>
          <w:rFonts w:ascii="Arial" w:hAnsi="Arial" w:cs="Arial"/>
          <w:b/>
        </w:rPr>
        <w:t xml:space="preserve">2. </w:t>
      </w:r>
      <w:r w:rsidR="00D62760" w:rsidRPr="007A2DD0">
        <w:rPr>
          <w:rFonts w:ascii="Arial" w:hAnsi="Arial" w:cs="Arial"/>
          <w:b/>
        </w:rPr>
        <w:t>CASO CONCRETO</w:t>
      </w:r>
    </w:p>
    <w:p w:rsidR="00D62760" w:rsidRPr="007A2DD0" w:rsidRDefault="00D62760" w:rsidP="007A2DD0">
      <w:pPr>
        <w:spacing w:line="276" w:lineRule="auto"/>
        <w:jc w:val="both"/>
        <w:rPr>
          <w:rFonts w:ascii="Arial" w:hAnsi="Arial" w:cs="Arial"/>
        </w:rPr>
      </w:pPr>
    </w:p>
    <w:p w:rsidR="00ED3988" w:rsidRPr="007A2DD0" w:rsidRDefault="00ED3988" w:rsidP="007A2DD0">
      <w:pPr>
        <w:spacing w:line="276" w:lineRule="auto"/>
        <w:jc w:val="both"/>
        <w:rPr>
          <w:rFonts w:ascii="Arial" w:hAnsi="Arial" w:cs="Arial"/>
        </w:rPr>
      </w:pPr>
      <w:r w:rsidRPr="007A2DD0">
        <w:rPr>
          <w:rFonts w:ascii="Arial" w:hAnsi="Arial" w:cs="Arial"/>
        </w:rPr>
        <w:t xml:space="preserve">Fuera de cualquier discusión se encuentra la procedencia de la acción de tutela para el reconocimiento de incapacidades médicas, toda vez que ha sido consistente la jurisprudencia de la Corte Constitucional en considerar este mecanismo como principal, en atención a que se torna latente la vulneración del derecho fundamental al </w:t>
      </w:r>
      <w:r w:rsidRPr="007A2DD0">
        <w:rPr>
          <w:rFonts w:ascii="Arial" w:hAnsi="Arial" w:cs="Arial"/>
        </w:rPr>
        <w:lastRenderedPageBreak/>
        <w:t>mínimo vital, en tanto se entiende como única fuente ingresos para los afiliados que no se encuentran en condiciones para laborar por motivos médicos, razón por la que también ha considerado esa Alta Magistratura, la falta de idoneidad y eficacia de los mecanismos ordinarios y administrativos de defensa judicial, para dar pronta solución a esta situación de vulnerabilidad.</w:t>
      </w:r>
    </w:p>
    <w:p w:rsidR="00A15AE2" w:rsidRPr="007A2DD0" w:rsidRDefault="00A15AE2" w:rsidP="007A2DD0">
      <w:pPr>
        <w:pStyle w:val="Textoindependiente"/>
        <w:spacing w:line="276" w:lineRule="auto"/>
        <w:rPr>
          <w:rFonts w:cs="Arial"/>
          <w:sz w:val="24"/>
          <w:szCs w:val="24"/>
        </w:rPr>
      </w:pPr>
    </w:p>
    <w:p w:rsidR="00A8362A" w:rsidRPr="007A2DD0" w:rsidRDefault="00A15AE2" w:rsidP="007A2DD0">
      <w:pPr>
        <w:pStyle w:val="Textoindependiente"/>
        <w:spacing w:line="276" w:lineRule="auto"/>
        <w:rPr>
          <w:rFonts w:cs="Arial"/>
          <w:sz w:val="24"/>
          <w:szCs w:val="24"/>
        </w:rPr>
      </w:pPr>
      <w:r w:rsidRPr="007A2DD0">
        <w:rPr>
          <w:rFonts w:cs="Arial"/>
          <w:sz w:val="24"/>
          <w:szCs w:val="24"/>
        </w:rPr>
        <w:t>En ese sentido entonces, procede la Sala a resolver</w:t>
      </w:r>
      <w:r w:rsidR="00A0790B" w:rsidRPr="007A2DD0">
        <w:rPr>
          <w:rFonts w:cs="Arial"/>
          <w:sz w:val="24"/>
          <w:szCs w:val="24"/>
        </w:rPr>
        <w:t xml:space="preserve"> el problema jurídico planteado y para ello se hace necesario precisar que</w:t>
      </w:r>
      <w:r w:rsidR="00A8362A" w:rsidRPr="007A2DD0">
        <w:rPr>
          <w:rFonts w:cs="Arial"/>
          <w:sz w:val="24"/>
          <w:szCs w:val="24"/>
        </w:rPr>
        <w:t xml:space="preserve"> la actora reclama de la Nueva EPS el pago de las incapacidades generadas desde el momento que remitió el concepto desfavorable de rehabilitación a </w:t>
      </w:r>
      <w:proofErr w:type="spellStart"/>
      <w:r w:rsidR="00A8362A" w:rsidRPr="007A2DD0">
        <w:rPr>
          <w:rFonts w:cs="Arial"/>
          <w:sz w:val="24"/>
          <w:szCs w:val="24"/>
        </w:rPr>
        <w:t>Copensiones</w:t>
      </w:r>
      <w:proofErr w:type="spellEnd"/>
      <w:r w:rsidR="00A8362A" w:rsidRPr="007A2DD0">
        <w:rPr>
          <w:rFonts w:cs="Arial"/>
          <w:sz w:val="24"/>
          <w:szCs w:val="24"/>
        </w:rPr>
        <w:t xml:space="preserve"> hasta que sea calificada por la Junta Regional de Calificación de Invalidez de Risaralda.</w:t>
      </w:r>
      <w:r w:rsidR="00A0790B" w:rsidRPr="007A2DD0">
        <w:rPr>
          <w:rFonts w:cs="Arial"/>
          <w:sz w:val="24"/>
          <w:szCs w:val="24"/>
        </w:rPr>
        <w:t xml:space="preserve"> </w:t>
      </w:r>
    </w:p>
    <w:p w:rsidR="00A8362A" w:rsidRPr="007A2DD0" w:rsidRDefault="00A8362A" w:rsidP="007A2DD0">
      <w:pPr>
        <w:pStyle w:val="Textoindependiente"/>
        <w:spacing w:line="276" w:lineRule="auto"/>
        <w:rPr>
          <w:rFonts w:cs="Arial"/>
          <w:sz w:val="24"/>
          <w:szCs w:val="24"/>
        </w:rPr>
      </w:pPr>
    </w:p>
    <w:p w:rsidR="00A0790B" w:rsidRPr="007A2DD0" w:rsidRDefault="00A8362A" w:rsidP="007A2DD0">
      <w:pPr>
        <w:pStyle w:val="Textoindependiente"/>
        <w:spacing w:line="276" w:lineRule="auto"/>
        <w:rPr>
          <w:rFonts w:cs="Arial"/>
          <w:sz w:val="24"/>
          <w:szCs w:val="24"/>
        </w:rPr>
      </w:pPr>
      <w:r w:rsidRPr="007A2DD0">
        <w:rPr>
          <w:rFonts w:cs="Arial"/>
          <w:sz w:val="24"/>
          <w:szCs w:val="24"/>
        </w:rPr>
        <w:t>D</w:t>
      </w:r>
      <w:r w:rsidR="00A0790B" w:rsidRPr="007A2DD0">
        <w:rPr>
          <w:rFonts w:cs="Arial"/>
          <w:sz w:val="24"/>
          <w:szCs w:val="24"/>
        </w:rPr>
        <w:t xml:space="preserve">e acuerdo con el documento visible a folio 41 de la carpeta contestación de la Nueva </w:t>
      </w:r>
      <w:proofErr w:type="spellStart"/>
      <w:r w:rsidR="00A0790B" w:rsidRPr="007A2DD0">
        <w:rPr>
          <w:rFonts w:cs="Arial"/>
          <w:sz w:val="24"/>
          <w:szCs w:val="24"/>
        </w:rPr>
        <w:t>EPS</w:t>
      </w:r>
      <w:proofErr w:type="spellEnd"/>
      <w:r w:rsidR="00A0790B" w:rsidRPr="007A2DD0">
        <w:rPr>
          <w:rFonts w:cs="Arial"/>
          <w:sz w:val="24"/>
          <w:szCs w:val="24"/>
        </w:rPr>
        <w:t>, la señora Cardoza fue incapacitada en los siguientes periodos</w:t>
      </w:r>
      <w:r w:rsidRPr="007A2DD0">
        <w:rPr>
          <w:rFonts w:cs="Arial"/>
          <w:sz w:val="24"/>
          <w:szCs w:val="24"/>
        </w:rPr>
        <w:t>:</w:t>
      </w:r>
    </w:p>
    <w:p w:rsidR="00A0790B" w:rsidRPr="007A2DD0" w:rsidRDefault="00A0790B" w:rsidP="007A2DD0">
      <w:pPr>
        <w:pStyle w:val="Textoindependiente"/>
        <w:spacing w:line="276" w:lineRule="auto"/>
        <w:rPr>
          <w:rFonts w:cs="Arial"/>
          <w:sz w:val="24"/>
          <w:szCs w:val="24"/>
        </w:rPr>
      </w:pPr>
    </w:p>
    <w:tbl>
      <w:tblPr>
        <w:tblStyle w:val="Tablaconcuadrcula"/>
        <w:tblW w:w="0" w:type="auto"/>
        <w:tblLook w:val="04A0" w:firstRow="1" w:lastRow="0" w:firstColumn="1" w:lastColumn="0" w:noHBand="0" w:noVBand="1"/>
      </w:tblPr>
      <w:tblGrid>
        <w:gridCol w:w="2630"/>
        <w:gridCol w:w="2074"/>
        <w:gridCol w:w="2342"/>
        <w:gridCol w:w="2351"/>
      </w:tblGrid>
      <w:tr w:rsidR="00C10DF1" w:rsidRPr="00A45AF7" w:rsidTr="007A2DD0">
        <w:tc>
          <w:tcPr>
            <w:tcW w:w="2660" w:type="dxa"/>
          </w:tcPr>
          <w:p w:rsidR="00C10DF1" w:rsidRPr="00A45AF7" w:rsidRDefault="00A45AF7" w:rsidP="00A45AF7">
            <w:pPr>
              <w:pStyle w:val="Textoindependiente"/>
              <w:spacing w:line="240" w:lineRule="auto"/>
              <w:rPr>
                <w:rFonts w:cs="Arial"/>
                <w:b/>
                <w:sz w:val="22"/>
                <w:szCs w:val="24"/>
              </w:rPr>
            </w:pPr>
            <w:r w:rsidRPr="00A45AF7">
              <w:rPr>
                <w:rFonts w:cs="Arial"/>
                <w:b/>
                <w:sz w:val="22"/>
                <w:szCs w:val="24"/>
              </w:rPr>
              <w:t>Contingencia</w:t>
            </w:r>
          </w:p>
        </w:tc>
        <w:tc>
          <w:tcPr>
            <w:tcW w:w="2112" w:type="dxa"/>
          </w:tcPr>
          <w:p w:rsidR="00C10DF1" w:rsidRPr="00A45AF7" w:rsidRDefault="00A45AF7" w:rsidP="00A45AF7">
            <w:pPr>
              <w:pStyle w:val="Textoindependiente"/>
              <w:spacing w:line="240" w:lineRule="auto"/>
              <w:rPr>
                <w:rFonts w:cs="Arial"/>
                <w:b/>
                <w:sz w:val="22"/>
                <w:szCs w:val="24"/>
              </w:rPr>
            </w:pPr>
            <w:r w:rsidRPr="00A45AF7">
              <w:rPr>
                <w:rFonts w:cs="Arial"/>
                <w:b/>
                <w:sz w:val="22"/>
                <w:szCs w:val="24"/>
              </w:rPr>
              <w:t>Inicio</w:t>
            </w:r>
          </w:p>
        </w:tc>
        <w:tc>
          <w:tcPr>
            <w:tcW w:w="2387" w:type="dxa"/>
          </w:tcPr>
          <w:p w:rsidR="00C10DF1" w:rsidRPr="00A45AF7" w:rsidRDefault="00C10DF1" w:rsidP="00A45AF7">
            <w:pPr>
              <w:pStyle w:val="Textoindependiente"/>
              <w:spacing w:line="240" w:lineRule="auto"/>
              <w:rPr>
                <w:rFonts w:cs="Arial"/>
                <w:b/>
                <w:sz w:val="22"/>
                <w:szCs w:val="24"/>
              </w:rPr>
            </w:pPr>
            <w:r w:rsidRPr="00A45AF7">
              <w:rPr>
                <w:rFonts w:cs="Arial"/>
                <w:b/>
                <w:sz w:val="22"/>
                <w:szCs w:val="24"/>
              </w:rPr>
              <w:t>Final</w:t>
            </w:r>
          </w:p>
        </w:tc>
        <w:tc>
          <w:tcPr>
            <w:tcW w:w="2387" w:type="dxa"/>
          </w:tcPr>
          <w:p w:rsidR="00C10DF1" w:rsidRPr="00A45AF7" w:rsidRDefault="00A45AF7" w:rsidP="00A45AF7">
            <w:pPr>
              <w:pStyle w:val="Textoindependiente"/>
              <w:spacing w:line="240" w:lineRule="auto"/>
              <w:rPr>
                <w:rFonts w:cs="Arial"/>
                <w:b/>
                <w:sz w:val="22"/>
                <w:szCs w:val="24"/>
              </w:rPr>
            </w:pPr>
            <w:r w:rsidRPr="00A45AF7">
              <w:rPr>
                <w:rFonts w:cs="Arial"/>
                <w:b/>
                <w:sz w:val="22"/>
                <w:szCs w:val="24"/>
              </w:rPr>
              <w:t>Días</w:t>
            </w:r>
            <w:r w:rsidR="0090134C" w:rsidRPr="00A45AF7">
              <w:rPr>
                <w:rFonts w:cs="Arial"/>
                <w:b/>
                <w:sz w:val="22"/>
                <w:szCs w:val="24"/>
              </w:rPr>
              <w:t xml:space="preserve"> pagados</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12-02-2020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12-03-20220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28</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13-03-2020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10-04-20220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27</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15-04-2020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14-05-20220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30</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15-05-2020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13-06-2020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30</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15-06-2020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14-07-20220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24</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Enfermedad genera</w:t>
            </w:r>
            <w:r w:rsidR="00A45AF7">
              <w:rPr>
                <w:rFonts w:cs="Arial"/>
                <w:sz w:val="22"/>
                <w:szCs w:val="24"/>
              </w:rPr>
              <w:t>l</w:t>
            </w:r>
          </w:p>
        </w:tc>
        <w:tc>
          <w:tcPr>
            <w:tcW w:w="2112"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15-07-2020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13-08-2020</w:t>
            </w: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0</w:t>
            </w:r>
          </w:p>
        </w:tc>
      </w:tr>
      <w:tr w:rsidR="00C10DF1" w:rsidRPr="00A45AF7" w:rsidTr="007A2DD0">
        <w:tc>
          <w:tcPr>
            <w:tcW w:w="2660"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 xml:space="preserve">Total </w:t>
            </w:r>
          </w:p>
        </w:tc>
        <w:tc>
          <w:tcPr>
            <w:tcW w:w="2112" w:type="dxa"/>
          </w:tcPr>
          <w:p w:rsidR="00C10DF1" w:rsidRPr="00A45AF7" w:rsidRDefault="00C10DF1" w:rsidP="00A45AF7">
            <w:pPr>
              <w:pStyle w:val="Textoindependiente"/>
              <w:spacing w:line="240" w:lineRule="auto"/>
              <w:rPr>
                <w:rFonts w:cs="Arial"/>
                <w:sz w:val="22"/>
                <w:szCs w:val="24"/>
              </w:rPr>
            </w:pPr>
          </w:p>
        </w:tc>
        <w:tc>
          <w:tcPr>
            <w:tcW w:w="2387" w:type="dxa"/>
          </w:tcPr>
          <w:p w:rsidR="00C10DF1" w:rsidRPr="00A45AF7" w:rsidRDefault="00C10DF1" w:rsidP="00A45AF7">
            <w:pPr>
              <w:pStyle w:val="Textoindependiente"/>
              <w:spacing w:line="240" w:lineRule="auto"/>
              <w:rPr>
                <w:rFonts w:cs="Arial"/>
                <w:sz w:val="22"/>
                <w:szCs w:val="24"/>
              </w:rPr>
            </w:pPr>
          </w:p>
        </w:tc>
        <w:tc>
          <w:tcPr>
            <w:tcW w:w="2387" w:type="dxa"/>
          </w:tcPr>
          <w:p w:rsidR="00C10DF1" w:rsidRPr="00A45AF7" w:rsidRDefault="00C10DF1" w:rsidP="00A45AF7">
            <w:pPr>
              <w:pStyle w:val="Textoindependiente"/>
              <w:spacing w:line="240" w:lineRule="auto"/>
              <w:rPr>
                <w:rFonts w:cs="Arial"/>
                <w:sz w:val="22"/>
                <w:szCs w:val="24"/>
              </w:rPr>
            </w:pPr>
            <w:r w:rsidRPr="00A45AF7">
              <w:rPr>
                <w:rFonts w:cs="Arial"/>
                <w:sz w:val="22"/>
                <w:szCs w:val="24"/>
              </w:rPr>
              <w:t>139</w:t>
            </w:r>
          </w:p>
        </w:tc>
      </w:tr>
    </w:tbl>
    <w:p w:rsidR="00C10DF1" w:rsidRPr="007A2DD0" w:rsidRDefault="00C10DF1" w:rsidP="007A2DD0">
      <w:pPr>
        <w:spacing w:line="276" w:lineRule="auto"/>
        <w:jc w:val="both"/>
        <w:rPr>
          <w:rFonts w:ascii="Arial" w:hAnsi="Arial" w:cs="Arial"/>
        </w:rPr>
      </w:pPr>
    </w:p>
    <w:p w:rsidR="000E7743" w:rsidRPr="007A2DD0" w:rsidRDefault="00C10DF1" w:rsidP="007A2DD0">
      <w:pPr>
        <w:spacing w:line="276" w:lineRule="auto"/>
        <w:jc w:val="both"/>
        <w:rPr>
          <w:rFonts w:ascii="Arial" w:hAnsi="Arial" w:cs="Arial"/>
        </w:rPr>
      </w:pPr>
      <w:r w:rsidRPr="007A2DD0">
        <w:rPr>
          <w:rFonts w:ascii="Arial" w:hAnsi="Arial" w:cs="Arial"/>
        </w:rPr>
        <w:t xml:space="preserve">Ahora bien el concepto desfavorable de </w:t>
      </w:r>
      <w:r w:rsidR="00A8362A" w:rsidRPr="007A2DD0">
        <w:rPr>
          <w:rFonts w:ascii="Arial" w:hAnsi="Arial" w:cs="Arial"/>
        </w:rPr>
        <w:t xml:space="preserve">rehabilitación fue remitido a Colpensiones el 8 de julio de 2020, conforme lo acreditó </w:t>
      </w:r>
      <w:r w:rsidR="0055663A" w:rsidRPr="007A2DD0">
        <w:rPr>
          <w:rFonts w:ascii="Arial" w:hAnsi="Arial" w:cs="Arial"/>
        </w:rPr>
        <w:t>esa entidad al momento de dar respuesta a la acción</w:t>
      </w:r>
      <w:r w:rsidR="00A8362A" w:rsidRPr="007A2DD0">
        <w:rPr>
          <w:rFonts w:ascii="Arial" w:hAnsi="Arial" w:cs="Arial"/>
        </w:rPr>
        <w:t xml:space="preserve"> </w:t>
      </w:r>
      <w:r w:rsidR="00A45AF7">
        <w:rPr>
          <w:rFonts w:ascii="Arial" w:hAnsi="Arial" w:cs="Arial"/>
        </w:rPr>
        <w:t>-</w:t>
      </w:r>
      <w:proofErr w:type="spellStart"/>
      <w:r w:rsidR="00A8362A" w:rsidRPr="007A2DD0">
        <w:rPr>
          <w:rFonts w:ascii="Arial" w:hAnsi="Arial" w:cs="Arial"/>
        </w:rPr>
        <w:t>fl</w:t>
      </w:r>
      <w:proofErr w:type="spellEnd"/>
      <w:r w:rsidR="00A8362A" w:rsidRPr="007A2DD0">
        <w:rPr>
          <w:rFonts w:ascii="Arial" w:hAnsi="Arial" w:cs="Arial"/>
        </w:rPr>
        <w:t xml:space="preserve"> 10 de la capeta de Contestación Colpensiones-</w:t>
      </w:r>
      <w:r w:rsidR="0055663A" w:rsidRPr="007A2DD0">
        <w:rPr>
          <w:rFonts w:ascii="Arial" w:hAnsi="Arial" w:cs="Arial"/>
        </w:rPr>
        <w:t>; lo que indica entonces que si bien la Nueva EPS cumplió con la carga de emitir el referido concepto y remitirlo a la AFP en los términos antes señalados</w:t>
      </w:r>
      <w:r w:rsidR="0097511F" w:rsidRPr="007A2DD0">
        <w:rPr>
          <w:rFonts w:ascii="Arial" w:hAnsi="Arial" w:cs="Arial"/>
        </w:rPr>
        <w:t xml:space="preserve">, es decir entre el día 120 </w:t>
      </w:r>
      <w:r w:rsidR="0090134C" w:rsidRPr="007A2DD0">
        <w:rPr>
          <w:rFonts w:ascii="Arial" w:hAnsi="Arial" w:cs="Arial"/>
        </w:rPr>
        <w:t>y</w:t>
      </w:r>
      <w:r w:rsidR="0097511F" w:rsidRPr="007A2DD0">
        <w:rPr>
          <w:rFonts w:ascii="Arial" w:hAnsi="Arial" w:cs="Arial"/>
        </w:rPr>
        <w:t xml:space="preserve"> 150 de incapacidad, ello no la releva de cancelar las incapacidades otorgadas con posterioridad a la acreditación de dicha obligación y </w:t>
      </w:r>
      <w:r w:rsidR="015A645E" w:rsidRPr="007A2DD0">
        <w:rPr>
          <w:rFonts w:ascii="Arial" w:hAnsi="Arial" w:cs="Arial"/>
        </w:rPr>
        <w:t xml:space="preserve">hasta </w:t>
      </w:r>
      <w:r w:rsidR="0097511F" w:rsidRPr="007A2DD0">
        <w:rPr>
          <w:rFonts w:ascii="Arial" w:hAnsi="Arial" w:cs="Arial"/>
        </w:rPr>
        <w:t xml:space="preserve">el día 180, porque ninguna de las disposiciones señaladas con anterioridad dispone </w:t>
      </w:r>
      <w:r w:rsidR="15300E65" w:rsidRPr="007A2DD0">
        <w:rPr>
          <w:rFonts w:ascii="Arial" w:hAnsi="Arial" w:cs="Arial"/>
        </w:rPr>
        <w:t>cosa diferente</w:t>
      </w:r>
      <w:r w:rsidR="0097511F" w:rsidRPr="007A2DD0">
        <w:rPr>
          <w:rFonts w:ascii="Arial" w:hAnsi="Arial" w:cs="Arial"/>
        </w:rPr>
        <w:t>,</w:t>
      </w:r>
      <w:r w:rsidR="00836451" w:rsidRPr="007A2DD0">
        <w:rPr>
          <w:rFonts w:ascii="Arial" w:hAnsi="Arial" w:cs="Arial"/>
        </w:rPr>
        <w:t xml:space="preserve"> </w:t>
      </w:r>
      <w:r w:rsidR="000E7743" w:rsidRPr="007A2DD0">
        <w:rPr>
          <w:rFonts w:ascii="Arial" w:hAnsi="Arial" w:cs="Arial"/>
        </w:rPr>
        <w:t xml:space="preserve">lo que </w:t>
      </w:r>
      <w:r w:rsidR="2F4C48D0" w:rsidRPr="007A2DD0">
        <w:rPr>
          <w:rFonts w:ascii="Arial" w:hAnsi="Arial" w:cs="Arial"/>
        </w:rPr>
        <w:t>establece el conjunto normativo</w:t>
      </w:r>
      <w:r w:rsidR="000E7743" w:rsidRPr="007A2DD0">
        <w:rPr>
          <w:rFonts w:ascii="Arial" w:hAnsi="Arial" w:cs="Arial"/>
        </w:rPr>
        <w:t xml:space="preserve"> es que si no profiere y radica el concepto ante la AFP en el lapso establecido, le corresponde el pago del auxilio más allá del día 180 y hasta que proceda de conformidad.</w:t>
      </w:r>
    </w:p>
    <w:p w:rsidR="000E7743" w:rsidRPr="007A2DD0" w:rsidRDefault="000E7743" w:rsidP="007A2DD0">
      <w:pPr>
        <w:spacing w:line="276" w:lineRule="auto"/>
        <w:jc w:val="both"/>
        <w:rPr>
          <w:rFonts w:ascii="Arial" w:hAnsi="Arial" w:cs="Arial"/>
        </w:rPr>
      </w:pPr>
    </w:p>
    <w:p w:rsidR="00836451" w:rsidRPr="007A2DD0" w:rsidRDefault="00836451" w:rsidP="007A2DD0">
      <w:pPr>
        <w:spacing w:line="276" w:lineRule="auto"/>
        <w:jc w:val="both"/>
        <w:rPr>
          <w:rFonts w:ascii="Arial" w:hAnsi="Arial" w:cs="Arial"/>
        </w:rPr>
      </w:pPr>
      <w:r w:rsidRPr="007A2DD0">
        <w:rPr>
          <w:rFonts w:ascii="Arial" w:hAnsi="Arial" w:cs="Arial"/>
        </w:rPr>
        <w:t>De a</w:t>
      </w:r>
      <w:r w:rsidR="2FF2C059" w:rsidRPr="007A2DD0">
        <w:rPr>
          <w:rFonts w:ascii="Arial" w:hAnsi="Arial" w:cs="Arial"/>
        </w:rPr>
        <w:t>llí que,</w:t>
      </w:r>
      <w:r w:rsidRPr="007A2DD0">
        <w:rPr>
          <w:rFonts w:ascii="Arial" w:hAnsi="Arial" w:cs="Arial"/>
        </w:rPr>
        <w:t xml:space="preserve"> equivocada fue la decisión de primer grado </w:t>
      </w:r>
      <w:r w:rsidR="000E7743" w:rsidRPr="007A2DD0">
        <w:rPr>
          <w:rFonts w:ascii="Arial" w:hAnsi="Arial" w:cs="Arial"/>
        </w:rPr>
        <w:t>al</w:t>
      </w:r>
      <w:r w:rsidRPr="007A2DD0">
        <w:rPr>
          <w:rFonts w:ascii="Arial" w:hAnsi="Arial" w:cs="Arial"/>
        </w:rPr>
        <w:t xml:space="preserve"> negar la protección reclamada frente a la EPS accionada, pues no la acompaña ningún fundamento jurídico para sustraerse del pago de las licencias por enfermedad, reclamadas por la actora, hasta el </w:t>
      </w:r>
      <w:r w:rsidR="7800F4CE" w:rsidRPr="007A2DD0">
        <w:rPr>
          <w:rFonts w:ascii="Arial" w:hAnsi="Arial" w:cs="Arial"/>
        </w:rPr>
        <w:t xml:space="preserve">día </w:t>
      </w:r>
      <w:r w:rsidRPr="007A2DD0">
        <w:rPr>
          <w:rFonts w:ascii="Arial" w:hAnsi="Arial" w:cs="Arial"/>
        </w:rPr>
        <w:t>180 de incapacidad.</w:t>
      </w:r>
    </w:p>
    <w:p w:rsidR="00836451" w:rsidRPr="007A2DD0" w:rsidRDefault="00836451" w:rsidP="007A2DD0">
      <w:pPr>
        <w:spacing w:line="276" w:lineRule="auto"/>
        <w:jc w:val="both"/>
        <w:rPr>
          <w:rFonts w:ascii="Arial" w:hAnsi="Arial" w:cs="Arial"/>
        </w:rPr>
      </w:pPr>
    </w:p>
    <w:p w:rsidR="00836451" w:rsidRPr="007A2DD0" w:rsidRDefault="00836451" w:rsidP="007A2DD0">
      <w:pPr>
        <w:spacing w:line="276" w:lineRule="auto"/>
        <w:jc w:val="both"/>
        <w:rPr>
          <w:rFonts w:ascii="Arial" w:hAnsi="Arial" w:cs="Arial"/>
        </w:rPr>
      </w:pPr>
      <w:r w:rsidRPr="007A2DD0">
        <w:rPr>
          <w:rFonts w:ascii="Arial" w:hAnsi="Arial" w:cs="Arial"/>
        </w:rPr>
        <w:t>De ahí en adelante, la obligación recae sobre Colpensiones, conforme la jurisprudencia y normatividad en cita, entidad que no ha recibido reclamo alguno en ese sentido por parte de la señora Liliana Patricia Cardozo</w:t>
      </w:r>
      <w:r w:rsidR="00B90F53" w:rsidRPr="007A2DD0">
        <w:rPr>
          <w:rFonts w:ascii="Arial" w:hAnsi="Arial" w:cs="Arial"/>
        </w:rPr>
        <w:t xml:space="preserve"> y</w:t>
      </w:r>
      <w:r w:rsidRPr="007A2DD0">
        <w:rPr>
          <w:rFonts w:ascii="Arial" w:hAnsi="Arial" w:cs="Arial"/>
        </w:rPr>
        <w:t xml:space="preserve"> </w:t>
      </w:r>
      <w:r w:rsidR="00F5487A" w:rsidRPr="007A2DD0">
        <w:rPr>
          <w:rFonts w:ascii="Arial" w:hAnsi="Arial" w:cs="Arial"/>
        </w:rPr>
        <w:t xml:space="preserve">así lo corrobora el escrito de tutela que se enfila solo contra </w:t>
      </w:r>
      <w:r w:rsidR="0067490E" w:rsidRPr="007A2DD0">
        <w:rPr>
          <w:rFonts w:ascii="Arial" w:hAnsi="Arial" w:cs="Arial"/>
        </w:rPr>
        <w:t>la Nueva EPS, pues estimó</w:t>
      </w:r>
      <w:r w:rsidR="00B90F53" w:rsidRPr="007A2DD0">
        <w:rPr>
          <w:rFonts w:ascii="Arial" w:hAnsi="Arial" w:cs="Arial"/>
        </w:rPr>
        <w:t xml:space="preserve"> la actora</w:t>
      </w:r>
      <w:r w:rsidR="0067490E" w:rsidRPr="007A2DD0">
        <w:rPr>
          <w:rFonts w:ascii="Arial" w:hAnsi="Arial" w:cs="Arial"/>
        </w:rPr>
        <w:t>, equivocadamente</w:t>
      </w:r>
      <w:r w:rsidR="00B90F53" w:rsidRPr="007A2DD0">
        <w:rPr>
          <w:rFonts w:ascii="Arial" w:hAnsi="Arial" w:cs="Arial"/>
        </w:rPr>
        <w:t>,</w:t>
      </w:r>
      <w:r w:rsidR="0067490E" w:rsidRPr="007A2DD0">
        <w:rPr>
          <w:rFonts w:ascii="Arial" w:hAnsi="Arial" w:cs="Arial"/>
        </w:rPr>
        <w:t xml:space="preserve"> que la responsable del pago hasta que fuera valorada por la Junta de Calificación de Invalidez de Ris</w:t>
      </w:r>
      <w:r w:rsidR="00B90F53" w:rsidRPr="007A2DD0">
        <w:rPr>
          <w:rFonts w:ascii="Arial" w:hAnsi="Arial" w:cs="Arial"/>
        </w:rPr>
        <w:t>aralda, era la EPS accionada.</w:t>
      </w:r>
    </w:p>
    <w:p w:rsidR="00FB57DB" w:rsidRPr="007A2DD0" w:rsidRDefault="00FB57DB" w:rsidP="007A2DD0">
      <w:pPr>
        <w:spacing w:line="276" w:lineRule="auto"/>
        <w:jc w:val="both"/>
        <w:rPr>
          <w:rFonts w:ascii="Arial" w:hAnsi="Arial" w:cs="Arial"/>
        </w:rPr>
      </w:pPr>
    </w:p>
    <w:p w:rsidR="00FA5098" w:rsidRPr="007A2DD0" w:rsidRDefault="00B90F53" w:rsidP="007A2DD0">
      <w:pPr>
        <w:spacing w:line="276" w:lineRule="auto"/>
        <w:jc w:val="both"/>
        <w:rPr>
          <w:rFonts w:ascii="Arial" w:hAnsi="Arial" w:cs="Arial"/>
        </w:rPr>
      </w:pPr>
      <w:r w:rsidRPr="007A2DD0">
        <w:rPr>
          <w:rFonts w:ascii="Arial" w:hAnsi="Arial" w:cs="Arial"/>
        </w:rPr>
        <w:t xml:space="preserve">Conforme lo analizado, lo que corresponde es revocar el ordinal primero de la sentencia impugnada para en su lugar amparar el derecho fundamental al mínimo </w:t>
      </w:r>
      <w:r w:rsidRPr="007A2DD0">
        <w:rPr>
          <w:rFonts w:ascii="Arial" w:hAnsi="Arial" w:cs="Arial"/>
        </w:rPr>
        <w:lastRenderedPageBreak/>
        <w:t>vital del cual es titular la señora Liliana Patricia Cardoza y como consecuencia ordenar a la Nueva EPS, a través del Director de Prestaciones Económicas, doctor César Alfonso Grimaldo Duque</w:t>
      </w:r>
      <w:r w:rsidR="003860AB" w:rsidRPr="007A2DD0">
        <w:rPr>
          <w:rFonts w:ascii="Arial" w:hAnsi="Arial" w:cs="Arial"/>
        </w:rPr>
        <w:t xml:space="preserve"> o quien haga sus veces</w:t>
      </w:r>
      <w:r w:rsidR="009D3AD2" w:rsidRPr="007A2DD0">
        <w:rPr>
          <w:rFonts w:ascii="Arial" w:hAnsi="Arial" w:cs="Arial"/>
        </w:rPr>
        <w:t xml:space="preserve"> que, en el término </w:t>
      </w:r>
      <w:r w:rsidR="00450A82" w:rsidRPr="007A2DD0">
        <w:rPr>
          <w:rFonts w:ascii="Arial" w:hAnsi="Arial" w:cs="Arial"/>
        </w:rPr>
        <w:t xml:space="preserve">de </w:t>
      </w:r>
      <w:r w:rsidR="009D3AD2" w:rsidRPr="007A2DD0">
        <w:rPr>
          <w:rFonts w:ascii="Arial" w:hAnsi="Arial" w:cs="Arial"/>
        </w:rPr>
        <w:t>diez (10) días hábiles</w:t>
      </w:r>
      <w:r w:rsidR="003860AB" w:rsidRPr="007A2DD0">
        <w:rPr>
          <w:rFonts w:ascii="Arial" w:hAnsi="Arial" w:cs="Arial"/>
        </w:rPr>
        <w:t xml:space="preserve">, proceda a cancelar a </w:t>
      </w:r>
      <w:r w:rsidR="00FB57DB" w:rsidRPr="007A2DD0">
        <w:rPr>
          <w:rFonts w:ascii="Arial" w:hAnsi="Arial" w:cs="Arial"/>
        </w:rPr>
        <w:t xml:space="preserve">su </w:t>
      </w:r>
      <w:r w:rsidR="003860AB" w:rsidRPr="007A2DD0">
        <w:rPr>
          <w:rFonts w:ascii="Arial" w:hAnsi="Arial" w:cs="Arial"/>
        </w:rPr>
        <w:t>favor la</w:t>
      </w:r>
      <w:r w:rsidR="0083671C" w:rsidRPr="007A2DD0">
        <w:rPr>
          <w:rFonts w:ascii="Arial" w:hAnsi="Arial" w:cs="Arial"/>
        </w:rPr>
        <w:t>s</w:t>
      </w:r>
      <w:r w:rsidR="003860AB" w:rsidRPr="007A2DD0">
        <w:rPr>
          <w:rFonts w:ascii="Arial" w:hAnsi="Arial" w:cs="Arial"/>
        </w:rPr>
        <w:t xml:space="preserve"> incapacidades </w:t>
      </w:r>
      <w:r w:rsidR="006D2938" w:rsidRPr="007A2DD0">
        <w:rPr>
          <w:rFonts w:ascii="Arial" w:hAnsi="Arial" w:cs="Arial"/>
        </w:rPr>
        <w:t xml:space="preserve">otorgadas </w:t>
      </w:r>
      <w:r w:rsidR="0083671C" w:rsidRPr="007A2DD0">
        <w:rPr>
          <w:rFonts w:ascii="Arial" w:hAnsi="Arial" w:cs="Arial"/>
        </w:rPr>
        <w:t xml:space="preserve">a partir del </w:t>
      </w:r>
      <w:r w:rsidR="00FB57DB" w:rsidRPr="007A2DD0">
        <w:rPr>
          <w:rFonts w:ascii="Arial" w:hAnsi="Arial" w:cs="Arial"/>
        </w:rPr>
        <w:t>9 de julio de 2020, hasta que se completen 180 días de incapacidad</w:t>
      </w:r>
      <w:r w:rsidR="007B2E7B" w:rsidRPr="007A2DD0">
        <w:rPr>
          <w:rFonts w:ascii="Arial" w:hAnsi="Arial" w:cs="Arial"/>
        </w:rPr>
        <w:t>, respecto a los cuales ya ha cancelado 139 días</w:t>
      </w:r>
      <w:r w:rsidR="009D3AD2" w:rsidRPr="007A2DD0">
        <w:rPr>
          <w:rFonts w:ascii="Arial" w:hAnsi="Arial" w:cs="Arial"/>
        </w:rPr>
        <w:t>.</w:t>
      </w:r>
    </w:p>
    <w:p w:rsidR="007B2E7B" w:rsidRPr="007A2DD0" w:rsidRDefault="007B2E7B" w:rsidP="007A2DD0">
      <w:pPr>
        <w:spacing w:line="276" w:lineRule="auto"/>
        <w:jc w:val="both"/>
        <w:rPr>
          <w:rFonts w:ascii="Arial" w:hAnsi="Arial" w:cs="Arial"/>
        </w:rPr>
      </w:pPr>
    </w:p>
    <w:p w:rsidR="007B2E7B" w:rsidRPr="007A2DD0" w:rsidRDefault="007B2E7B" w:rsidP="007A2DD0">
      <w:pPr>
        <w:spacing w:line="276" w:lineRule="auto"/>
        <w:jc w:val="both"/>
        <w:rPr>
          <w:rFonts w:ascii="Arial" w:hAnsi="Arial" w:cs="Arial"/>
        </w:rPr>
      </w:pPr>
      <w:r w:rsidRPr="007A2DD0">
        <w:rPr>
          <w:rFonts w:ascii="Arial" w:hAnsi="Arial" w:cs="Arial"/>
        </w:rPr>
        <w:t xml:space="preserve">Por lo demás, se mantendrán los ordinales segundo y tercero en los que se insta a la actora a adelantar el trámite pertinente ante Colpensiones y a esta entidad que dé prioridad </w:t>
      </w:r>
      <w:r w:rsidR="0029620E" w:rsidRPr="007A2DD0">
        <w:rPr>
          <w:rFonts w:ascii="Arial" w:hAnsi="Arial" w:cs="Arial"/>
        </w:rPr>
        <w:t xml:space="preserve">a </w:t>
      </w:r>
      <w:r w:rsidRPr="007A2DD0">
        <w:rPr>
          <w:rFonts w:ascii="Arial" w:hAnsi="Arial" w:cs="Arial"/>
        </w:rPr>
        <w:t xml:space="preserve">dicha solicitud, en atención a la condición de sujeto de especial protección </w:t>
      </w:r>
      <w:r w:rsidR="0029620E" w:rsidRPr="007A2DD0">
        <w:rPr>
          <w:rFonts w:ascii="Arial" w:hAnsi="Arial" w:cs="Arial"/>
        </w:rPr>
        <w:t xml:space="preserve">que ostenta la actora debido al diagnóstico que actualmente presenta (carcinoma </w:t>
      </w:r>
      <w:proofErr w:type="spellStart"/>
      <w:r w:rsidR="0029620E" w:rsidRPr="007A2DD0">
        <w:rPr>
          <w:rFonts w:ascii="Arial" w:hAnsi="Arial" w:cs="Arial"/>
        </w:rPr>
        <w:t>hepatobiliar</w:t>
      </w:r>
      <w:proofErr w:type="spellEnd"/>
      <w:r w:rsidR="0029620E" w:rsidRPr="007A2DD0">
        <w:rPr>
          <w:rFonts w:ascii="Arial" w:hAnsi="Arial" w:cs="Arial"/>
        </w:rPr>
        <w:t xml:space="preserve"> estado iv) </w:t>
      </w:r>
      <w:r w:rsidR="00A45AF7">
        <w:rPr>
          <w:rFonts w:ascii="Arial" w:hAnsi="Arial" w:cs="Arial"/>
        </w:rPr>
        <w:t>-</w:t>
      </w:r>
      <w:proofErr w:type="spellStart"/>
      <w:r w:rsidR="0029620E" w:rsidRPr="007A2DD0">
        <w:rPr>
          <w:rFonts w:ascii="Arial" w:hAnsi="Arial" w:cs="Arial"/>
        </w:rPr>
        <w:t>fl</w:t>
      </w:r>
      <w:proofErr w:type="spellEnd"/>
      <w:r w:rsidR="0029620E" w:rsidRPr="007A2DD0">
        <w:rPr>
          <w:rFonts w:ascii="Arial" w:hAnsi="Arial" w:cs="Arial"/>
        </w:rPr>
        <w:t xml:space="preserve"> 12 del </w:t>
      </w:r>
      <w:r w:rsidR="59F5F4FB" w:rsidRPr="007A2DD0">
        <w:rPr>
          <w:rFonts w:ascii="Arial" w:hAnsi="Arial" w:cs="Arial"/>
        </w:rPr>
        <w:t>escrito de</w:t>
      </w:r>
      <w:r w:rsidR="0029620E" w:rsidRPr="007A2DD0">
        <w:rPr>
          <w:rFonts w:ascii="Arial" w:hAnsi="Arial" w:cs="Arial"/>
        </w:rPr>
        <w:t xml:space="preserve"> tutela</w:t>
      </w:r>
      <w:r w:rsidR="6C6A08D5" w:rsidRPr="007A2DD0">
        <w:rPr>
          <w:rFonts w:ascii="Arial" w:hAnsi="Arial" w:cs="Arial"/>
        </w:rPr>
        <w:t>-</w:t>
      </w:r>
      <w:r w:rsidR="0029620E" w:rsidRPr="007A2DD0">
        <w:rPr>
          <w:rFonts w:ascii="Arial" w:hAnsi="Arial" w:cs="Arial"/>
        </w:rPr>
        <w:t>.</w:t>
      </w:r>
    </w:p>
    <w:p w:rsidR="00FB57DB" w:rsidRPr="007A2DD0" w:rsidRDefault="00FB57DB" w:rsidP="007A2DD0">
      <w:pPr>
        <w:spacing w:line="276" w:lineRule="auto"/>
        <w:jc w:val="both"/>
        <w:rPr>
          <w:rFonts w:ascii="Arial" w:hAnsi="Arial" w:cs="Arial"/>
        </w:rPr>
      </w:pPr>
    </w:p>
    <w:p w:rsidR="00FA5098" w:rsidRPr="007A2DD0" w:rsidRDefault="00FA5098" w:rsidP="007A2DD0">
      <w:pPr>
        <w:spacing w:line="276" w:lineRule="auto"/>
        <w:jc w:val="both"/>
        <w:rPr>
          <w:rFonts w:ascii="Arial" w:hAnsi="Arial" w:cs="Arial"/>
        </w:rPr>
      </w:pPr>
      <w:r w:rsidRPr="007A2DD0">
        <w:rPr>
          <w:rFonts w:ascii="Arial" w:hAnsi="Arial" w:cs="Arial"/>
        </w:rPr>
        <w:t xml:space="preserve">En virtud de lo anterior, la </w:t>
      </w:r>
      <w:r w:rsidRPr="007A2DD0">
        <w:rPr>
          <w:rFonts w:ascii="Arial" w:hAnsi="Arial" w:cs="Arial"/>
          <w:b/>
        </w:rPr>
        <w:t xml:space="preserve">Sala de Decisión </w:t>
      </w:r>
      <w:r w:rsidR="009D3AD2" w:rsidRPr="007A2DD0">
        <w:rPr>
          <w:rFonts w:ascii="Arial" w:hAnsi="Arial" w:cs="Arial"/>
          <w:b/>
        </w:rPr>
        <w:t xml:space="preserve">Laboral No 3º </w:t>
      </w:r>
      <w:r w:rsidRPr="007A2DD0">
        <w:rPr>
          <w:rFonts w:ascii="Arial" w:hAnsi="Arial" w:cs="Arial"/>
          <w:b/>
        </w:rPr>
        <w:t>del Tribunal Superior del Distrito Judicial de Pereira</w:t>
      </w:r>
      <w:r w:rsidRPr="007A2DD0">
        <w:rPr>
          <w:rFonts w:ascii="Arial" w:hAnsi="Arial" w:cs="Arial"/>
        </w:rPr>
        <w:t xml:space="preserve">, administrando justicia en nombre del Pueblo y por mandato de la Constitución, </w:t>
      </w:r>
    </w:p>
    <w:p w:rsidR="00FA5098" w:rsidRPr="007A2DD0" w:rsidRDefault="00FA5098" w:rsidP="007A2DD0">
      <w:pPr>
        <w:spacing w:line="276" w:lineRule="auto"/>
        <w:jc w:val="both"/>
        <w:rPr>
          <w:rFonts w:ascii="Arial" w:hAnsi="Arial" w:cs="Arial"/>
        </w:rPr>
      </w:pPr>
    </w:p>
    <w:p w:rsidR="00FA5098" w:rsidRPr="007A2DD0" w:rsidRDefault="00FA5098" w:rsidP="007A2DD0">
      <w:pPr>
        <w:spacing w:line="276" w:lineRule="auto"/>
        <w:jc w:val="center"/>
        <w:rPr>
          <w:rFonts w:ascii="Arial" w:hAnsi="Arial" w:cs="Arial"/>
          <w:b/>
        </w:rPr>
      </w:pPr>
      <w:r w:rsidRPr="007A2DD0">
        <w:rPr>
          <w:rFonts w:ascii="Arial" w:hAnsi="Arial" w:cs="Arial"/>
          <w:b/>
        </w:rPr>
        <w:t>RESUELVE</w:t>
      </w:r>
    </w:p>
    <w:p w:rsidR="00FA5098" w:rsidRPr="007A2DD0" w:rsidRDefault="00FA5098" w:rsidP="007A2DD0">
      <w:pPr>
        <w:spacing w:line="276" w:lineRule="auto"/>
        <w:jc w:val="center"/>
        <w:rPr>
          <w:rFonts w:ascii="Arial" w:hAnsi="Arial" w:cs="Arial"/>
          <w:b/>
        </w:rPr>
      </w:pPr>
    </w:p>
    <w:p w:rsidR="00FA5098" w:rsidRPr="007A2DD0" w:rsidRDefault="00FA5098" w:rsidP="007A2DD0">
      <w:pPr>
        <w:spacing w:line="276" w:lineRule="auto"/>
        <w:jc w:val="both"/>
        <w:rPr>
          <w:rFonts w:ascii="Arial" w:hAnsi="Arial" w:cs="Arial"/>
          <w:b/>
          <w:bCs/>
        </w:rPr>
      </w:pPr>
      <w:r w:rsidRPr="007A2DD0">
        <w:rPr>
          <w:rFonts w:ascii="Arial" w:hAnsi="Arial" w:cs="Arial"/>
          <w:b/>
          <w:bCs/>
        </w:rPr>
        <w:t xml:space="preserve">PRIMERO: </w:t>
      </w:r>
      <w:r w:rsidR="007B2E7B" w:rsidRPr="007A2DD0">
        <w:rPr>
          <w:rFonts w:ascii="Arial" w:hAnsi="Arial" w:cs="Arial"/>
          <w:b/>
          <w:bCs/>
        </w:rPr>
        <w:t xml:space="preserve">REVOCAR </w:t>
      </w:r>
      <w:r w:rsidR="007B2E7B" w:rsidRPr="007A2DD0">
        <w:rPr>
          <w:rFonts w:ascii="Arial" w:hAnsi="Arial" w:cs="Arial"/>
        </w:rPr>
        <w:t xml:space="preserve">el </w:t>
      </w:r>
      <w:r w:rsidR="007B2E7B" w:rsidRPr="007A2DD0">
        <w:rPr>
          <w:rFonts w:ascii="Arial" w:hAnsi="Arial" w:cs="Arial"/>
          <w:b/>
          <w:bCs/>
        </w:rPr>
        <w:t>ORDINAL PRIMERO</w:t>
      </w:r>
      <w:r w:rsidR="007B2E7B" w:rsidRPr="007A2DD0">
        <w:rPr>
          <w:rFonts w:ascii="Arial" w:hAnsi="Arial" w:cs="Arial"/>
        </w:rPr>
        <w:t xml:space="preserve"> de la sentencia proferida por el Juzgado Primero Laboral del Circuito</w:t>
      </w:r>
      <w:r w:rsidRPr="007A2DD0">
        <w:rPr>
          <w:rFonts w:ascii="Arial" w:hAnsi="Arial" w:cs="Arial"/>
        </w:rPr>
        <w:t xml:space="preserve">, el día </w:t>
      </w:r>
      <w:r w:rsidR="007B2E7B" w:rsidRPr="007A2DD0">
        <w:rPr>
          <w:rFonts w:ascii="Arial" w:hAnsi="Arial" w:cs="Arial"/>
        </w:rPr>
        <w:t>11 de septiembre</w:t>
      </w:r>
      <w:r w:rsidR="00EE4F34" w:rsidRPr="007A2DD0">
        <w:rPr>
          <w:rFonts w:ascii="Arial" w:hAnsi="Arial" w:cs="Arial"/>
        </w:rPr>
        <w:t xml:space="preserve"> de 20</w:t>
      </w:r>
      <w:r w:rsidR="007B2E7B" w:rsidRPr="007A2DD0">
        <w:rPr>
          <w:rFonts w:ascii="Arial" w:hAnsi="Arial" w:cs="Arial"/>
        </w:rPr>
        <w:t>20</w:t>
      </w:r>
      <w:r w:rsidRPr="007A2DD0">
        <w:rPr>
          <w:rFonts w:ascii="Arial" w:hAnsi="Arial" w:cs="Arial"/>
        </w:rPr>
        <w:t xml:space="preserve">, </w:t>
      </w:r>
      <w:r w:rsidR="007B2E7B" w:rsidRPr="007A2DD0">
        <w:rPr>
          <w:rFonts w:ascii="Arial" w:hAnsi="Arial" w:cs="Arial"/>
        </w:rPr>
        <w:t>para en su lugar AMPARAR el derecho fundamental al mínimo vital del cual es titular la señora LILIANA PATRICIA CARDOZA y en consecuencia ORDENAR a la Nueva EPS, a través del Director de Prestaciones Económicas, doctor César Alfonso Grimaldo Duque o quien haga sus veces que, en el término de diez (10) días hábiles, proceda a cancelar a su favor las incapacidades otorgadas a partir del 9 de julio de 2020</w:t>
      </w:r>
      <w:r w:rsidR="0029620E" w:rsidRPr="007A2DD0">
        <w:rPr>
          <w:rFonts w:ascii="Arial" w:hAnsi="Arial" w:cs="Arial"/>
        </w:rPr>
        <w:t xml:space="preserve"> y por 41 días</w:t>
      </w:r>
      <w:r w:rsidR="007B2E7B" w:rsidRPr="007A2DD0">
        <w:rPr>
          <w:rFonts w:ascii="Arial" w:hAnsi="Arial" w:cs="Arial"/>
        </w:rPr>
        <w:t xml:space="preserve">, </w:t>
      </w:r>
      <w:r w:rsidR="0029620E" w:rsidRPr="007A2DD0">
        <w:rPr>
          <w:rFonts w:ascii="Arial" w:hAnsi="Arial" w:cs="Arial"/>
        </w:rPr>
        <w:t xml:space="preserve">con los cuales se </w:t>
      </w:r>
      <w:r w:rsidR="007B2E7B" w:rsidRPr="007A2DD0">
        <w:rPr>
          <w:rFonts w:ascii="Arial" w:hAnsi="Arial" w:cs="Arial"/>
        </w:rPr>
        <w:t>complet</w:t>
      </w:r>
      <w:r w:rsidR="0029620E" w:rsidRPr="007A2DD0">
        <w:rPr>
          <w:rFonts w:ascii="Arial" w:hAnsi="Arial" w:cs="Arial"/>
        </w:rPr>
        <w:t>a</w:t>
      </w:r>
      <w:r w:rsidR="007B2E7B" w:rsidRPr="007A2DD0">
        <w:rPr>
          <w:rFonts w:ascii="Arial" w:hAnsi="Arial" w:cs="Arial"/>
        </w:rPr>
        <w:t>n 180 días de incapacidad.</w:t>
      </w:r>
    </w:p>
    <w:p w:rsidR="00A94377" w:rsidRPr="007A2DD0" w:rsidRDefault="00A94377" w:rsidP="007A2DD0">
      <w:pPr>
        <w:spacing w:line="276" w:lineRule="auto"/>
        <w:jc w:val="both"/>
        <w:rPr>
          <w:rFonts w:ascii="Arial" w:hAnsi="Arial" w:cs="Arial"/>
        </w:rPr>
      </w:pPr>
    </w:p>
    <w:p w:rsidR="009D3AD2" w:rsidRPr="007A2DD0" w:rsidRDefault="0029620E" w:rsidP="007A2DD0">
      <w:pPr>
        <w:spacing w:line="276" w:lineRule="auto"/>
        <w:jc w:val="both"/>
        <w:rPr>
          <w:rFonts w:ascii="Arial" w:hAnsi="Arial" w:cs="Arial"/>
          <w:b/>
        </w:rPr>
      </w:pPr>
      <w:r w:rsidRPr="007A2DD0">
        <w:rPr>
          <w:rFonts w:ascii="Arial" w:hAnsi="Arial" w:cs="Arial"/>
          <w:b/>
        </w:rPr>
        <w:t>SEGUNDO</w:t>
      </w:r>
      <w:r w:rsidR="00FA5098" w:rsidRPr="007A2DD0">
        <w:rPr>
          <w:rFonts w:ascii="Arial" w:hAnsi="Arial" w:cs="Arial"/>
          <w:b/>
        </w:rPr>
        <w:t xml:space="preserve">: </w:t>
      </w:r>
      <w:r w:rsidR="00A94377" w:rsidRPr="007A2DD0">
        <w:rPr>
          <w:rFonts w:ascii="Arial" w:hAnsi="Arial" w:cs="Arial"/>
          <w:b/>
        </w:rPr>
        <w:t xml:space="preserve">CONFIRMAR </w:t>
      </w:r>
      <w:r w:rsidR="00A94377" w:rsidRPr="007A2DD0">
        <w:rPr>
          <w:rFonts w:ascii="Arial" w:hAnsi="Arial" w:cs="Arial"/>
        </w:rPr>
        <w:t>en todo lo demás la providencia impugnada</w:t>
      </w:r>
      <w:r w:rsidR="009D3AD2" w:rsidRPr="007A2DD0">
        <w:rPr>
          <w:rFonts w:ascii="Arial" w:hAnsi="Arial" w:cs="Arial"/>
        </w:rPr>
        <w:t>.</w:t>
      </w:r>
    </w:p>
    <w:p w:rsidR="009D3AD2" w:rsidRPr="007A2DD0" w:rsidRDefault="009D3AD2" w:rsidP="007A2DD0">
      <w:pPr>
        <w:spacing w:line="276" w:lineRule="auto"/>
        <w:jc w:val="both"/>
        <w:rPr>
          <w:rFonts w:ascii="Arial" w:hAnsi="Arial" w:cs="Arial"/>
          <w:b/>
        </w:rPr>
      </w:pPr>
    </w:p>
    <w:p w:rsidR="00FA5098" w:rsidRPr="007A2DD0" w:rsidRDefault="00A94377" w:rsidP="007A2DD0">
      <w:pPr>
        <w:spacing w:line="276" w:lineRule="auto"/>
        <w:jc w:val="both"/>
        <w:rPr>
          <w:rFonts w:ascii="Arial" w:hAnsi="Arial" w:cs="Arial"/>
        </w:rPr>
      </w:pPr>
      <w:r w:rsidRPr="007A2DD0">
        <w:rPr>
          <w:rFonts w:ascii="Arial" w:hAnsi="Arial" w:cs="Arial"/>
          <w:b/>
          <w:bCs/>
        </w:rPr>
        <w:t>CUARTO</w:t>
      </w:r>
      <w:r w:rsidR="009D3AD2" w:rsidRPr="007A2DD0">
        <w:rPr>
          <w:rFonts w:ascii="Arial" w:hAnsi="Arial" w:cs="Arial"/>
          <w:b/>
          <w:bCs/>
        </w:rPr>
        <w:t xml:space="preserve">: </w:t>
      </w:r>
      <w:r w:rsidR="00FA5098" w:rsidRPr="007A2DD0">
        <w:rPr>
          <w:rFonts w:ascii="Arial" w:hAnsi="Arial" w:cs="Arial"/>
          <w:b/>
          <w:bCs/>
        </w:rPr>
        <w:t xml:space="preserve">NOTIFÍQUESE </w:t>
      </w:r>
      <w:r w:rsidR="00FA5098" w:rsidRPr="007A2DD0">
        <w:rPr>
          <w:rFonts w:ascii="Arial" w:hAnsi="Arial" w:cs="Arial"/>
        </w:rPr>
        <w:t>esta decisión a las parte</w:t>
      </w:r>
      <w:r w:rsidR="727F4896" w:rsidRPr="007A2DD0">
        <w:rPr>
          <w:rFonts w:ascii="Arial" w:hAnsi="Arial" w:cs="Arial"/>
        </w:rPr>
        <w:t>s</w:t>
      </w:r>
      <w:r w:rsidR="00FA5098" w:rsidRPr="007A2DD0">
        <w:rPr>
          <w:rFonts w:ascii="Arial" w:hAnsi="Arial" w:cs="Arial"/>
        </w:rPr>
        <w:t xml:space="preserve"> por el medio más expedito.</w:t>
      </w:r>
    </w:p>
    <w:p w:rsidR="00FA5098" w:rsidRPr="007A2DD0" w:rsidRDefault="00FA5098" w:rsidP="007A2DD0">
      <w:pPr>
        <w:widowControl w:val="0"/>
        <w:spacing w:line="276" w:lineRule="auto"/>
        <w:rPr>
          <w:rFonts w:ascii="Arial" w:hAnsi="Arial" w:cs="Arial"/>
          <w:color w:val="CCFFFF"/>
        </w:rPr>
      </w:pPr>
    </w:p>
    <w:p w:rsidR="00FA5098" w:rsidRPr="007A2DD0" w:rsidRDefault="00A94377" w:rsidP="007A2DD0">
      <w:pPr>
        <w:pStyle w:val="Textoindependiente"/>
        <w:spacing w:line="276" w:lineRule="auto"/>
        <w:rPr>
          <w:rFonts w:cs="Arial"/>
          <w:sz w:val="24"/>
          <w:szCs w:val="24"/>
        </w:rPr>
      </w:pPr>
      <w:r w:rsidRPr="007A2DD0">
        <w:rPr>
          <w:rFonts w:cs="Arial"/>
          <w:b/>
          <w:bCs/>
          <w:sz w:val="24"/>
          <w:szCs w:val="24"/>
        </w:rPr>
        <w:t>QUINTO</w:t>
      </w:r>
      <w:r w:rsidR="00FA5098" w:rsidRPr="007A2DD0">
        <w:rPr>
          <w:rFonts w:cs="Arial"/>
          <w:b/>
          <w:bCs/>
          <w:sz w:val="24"/>
          <w:szCs w:val="24"/>
        </w:rPr>
        <w:t xml:space="preserve">: ENVÍESE, </w:t>
      </w:r>
      <w:r w:rsidR="00FA5098" w:rsidRPr="007A2DD0">
        <w:rPr>
          <w:rFonts w:cs="Arial"/>
          <w:sz w:val="24"/>
          <w:szCs w:val="24"/>
        </w:rPr>
        <w:t>lo más pronto posible, a la Corte Constitucional, para su eventual revisión.</w:t>
      </w:r>
    </w:p>
    <w:p w:rsidR="00FA5098" w:rsidRPr="007A2DD0" w:rsidRDefault="00FA5098" w:rsidP="007A2DD0">
      <w:pPr>
        <w:widowControl w:val="0"/>
        <w:spacing w:line="276" w:lineRule="auto"/>
        <w:rPr>
          <w:rFonts w:ascii="Arial" w:hAnsi="Arial" w:cs="Arial"/>
          <w:color w:val="CCFFFF"/>
        </w:rPr>
      </w:pPr>
    </w:p>
    <w:p w:rsidR="00FA5098" w:rsidRPr="007A2DD0" w:rsidRDefault="00FA5098" w:rsidP="007A2DD0">
      <w:pPr>
        <w:spacing w:line="276" w:lineRule="auto"/>
        <w:jc w:val="both"/>
        <w:rPr>
          <w:rFonts w:ascii="Arial" w:hAnsi="Arial" w:cs="Arial"/>
          <w:spacing w:val="-2"/>
        </w:rPr>
      </w:pPr>
      <w:r w:rsidRPr="007A2DD0">
        <w:rPr>
          <w:rFonts w:ascii="Arial" w:hAnsi="Arial" w:cs="Arial"/>
          <w:b/>
          <w:spacing w:val="-2"/>
        </w:rPr>
        <w:t>CÓPIESE, NOTIFÍQUESE Y CÚMPLASE.</w:t>
      </w:r>
      <w:r w:rsidRPr="007A2DD0">
        <w:rPr>
          <w:rFonts w:ascii="Arial" w:hAnsi="Arial" w:cs="Arial"/>
          <w:spacing w:val="-2"/>
        </w:rPr>
        <w:t xml:space="preserve"> </w:t>
      </w:r>
    </w:p>
    <w:p w:rsidR="00FA5098" w:rsidRPr="007A2DD0" w:rsidRDefault="00FA5098" w:rsidP="007A2DD0">
      <w:pPr>
        <w:spacing w:line="276" w:lineRule="auto"/>
        <w:jc w:val="both"/>
        <w:rPr>
          <w:rFonts w:ascii="Arial" w:hAnsi="Arial" w:cs="Arial"/>
          <w:spacing w:val="-2"/>
        </w:rPr>
      </w:pPr>
    </w:p>
    <w:p w:rsidR="00FA5098" w:rsidRPr="007A2DD0" w:rsidRDefault="00FA5098" w:rsidP="007A2DD0">
      <w:pPr>
        <w:spacing w:line="276" w:lineRule="auto"/>
        <w:jc w:val="both"/>
        <w:rPr>
          <w:rFonts w:ascii="Arial" w:hAnsi="Arial" w:cs="Arial"/>
          <w:spacing w:val="-2"/>
        </w:rPr>
      </w:pPr>
      <w:r w:rsidRPr="007A2DD0">
        <w:rPr>
          <w:rFonts w:ascii="Arial" w:hAnsi="Arial" w:cs="Arial"/>
          <w:spacing w:val="-2"/>
        </w:rPr>
        <w:t>Los Magistrados,</w:t>
      </w:r>
    </w:p>
    <w:p w:rsidR="007A2DD0" w:rsidRPr="007A2DD0" w:rsidRDefault="007A2DD0" w:rsidP="007A2DD0">
      <w:pPr>
        <w:spacing w:line="276" w:lineRule="auto"/>
        <w:jc w:val="both"/>
        <w:rPr>
          <w:rFonts w:ascii="Arial" w:hAnsi="Arial" w:cs="Arial"/>
          <w:spacing w:val="-4"/>
          <w:lang w:val="es-ES_tradnl"/>
        </w:rPr>
      </w:pPr>
    </w:p>
    <w:p w:rsidR="007A2DD0" w:rsidRPr="007A2DD0" w:rsidRDefault="007A2DD0" w:rsidP="007A2DD0">
      <w:pPr>
        <w:widowControl w:val="0"/>
        <w:autoSpaceDE w:val="0"/>
        <w:autoSpaceDN w:val="0"/>
        <w:adjustRightInd w:val="0"/>
        <w:spacing w:line="276" w:lineRule="auto"/>
        <w:rPr>
          <w:rFonts w:ascii="Arial" w:hAnsi="Arial" w:cs="Arial"/>
          <w:b/>
          <w:spacing w:val="-4"/>
          <w:lang w:val="es-ES_tradnl"/>
        </w:rPr>
      </w:pPr>
    </w:p>
    <w:p w:rsidR="007A2DD0" w:rsidRPr="007A2DD0" w:rsidRDefault="007A2DD0" w:rsidP="007A2DD0">
      <w:pPr>
        <w:widowControl w:val="0"/>
        <w:autoSpaceDE w:val="0"/>
        <w:autoSpaceDN w:val="0"/>
        <w:adjustRightInd w:val="0"/>
        <w:spacing w:line="276" w:lineRule="auto"/>
        <w:jc w:val="center"/>
        <w:rPr>
          <w:rFonts w:ascii="Arial" w:hAnsi="Arial" w:cs="Arial"/>
          <w:b/>
          <w:spacing w:val="-4"/>
          <w:lang w:val="es-ES_tradnl"/>
        </w:rPr>
      </w:pPr>
      <w:r w:rsidRPr="007A2DD0">
        <w:rPr>
          <w:rFonts w:ascii="Arial" w:hAnsi="Arial" w:cs="Arial"/>
          <w:b/>
          <w:spacing w:val="-4"/>
          <w:lang w:val="es-ES_tradnl"/>
        </w:rPr>
        <w:t>JULIO CÉSAR SALAZAR MUÑOZ</w:t>
      </w:r>
    </w:p>
    <w:p w:rsidR="007A2DD0" w:rsidRPr="007A2DD0" w:rsidRDefault="007A2DD0" w:rsidP="007A2DD0">
      <w:pPr>
        <w:widowControl w:val="0"/>
        <w:autoSpaceDE w:val="0"/>
        <w:autoSpaceDN w:val="0"/>
        <w:adjustRightInd w:val="0"/>
        <w:spacing w:line="276" w:lineRule="auto"/>
        <w:jc w:val="center"/>
        <w:rPr>
          <w:rFonts w:ascii="Arial" w:hAnsi="Arial" w:cs="Arial"/>
          <w:spacing w:val="-4"/>
          <w:lang w:val="es-ES_tradnl"/>
        </w:rPr>
      </w:pPr>
      <w:r w:rsidRPr="007A2DD0">
        <w:rPr>
          <w:rFonts w:ascii="Arial" w:hAnsi="Arial" w:cs="Arial"/>
          <w:spacing w:val="-4"/>
          <w:lang w:val="es-ES_tradnl"/>
        </w:rPr>
        <w:t>Ponente</w:t>
      </w:r>
    </w:p>
    <w:p w:rsidR="007A2DD0" w:rsidRPr="007A2DD0" w:rsidRDefault="007A2DD0" w:rsidP="007A2DD0">
      <w:pPr>
        <w:widowControl w:val="0"/>
        <w:autoSpaceDE w:val="0"/>
        <w:autoSpaceDN w:val="0"/>
        <w:adjustRightInd w:val="0"/>
        <w:spacing w:line="276" w:lineRule="auto"/>
        <w:rPr>
          <w:rFonts w:ascii="Arial" w:hAnsi="Arial" w:cs="Arial"/>
          <w:b/>
          <w:spacing w:val="-4"/>
          <w:lang w:val="es-ES_tradnl"/>
        </w:rPr>
      </w:pPr>
    </w:p>
    <w:p w:rsidR="007A2DD0" w:rsidRPr="007A2DD0" w:rsidRDefault="007A2DD0" w:rsidP="007A2DD0">
      <w:pPr>
        <w:widowControl w:val="0"/>
        <w:autoSpaceDE w:val="0"/>
        <w:autoSpaceDN w:val="0"/>
        <w:adjustRightInd w:val="0"/>
        <w:spacing w:line="276" w:lineRule="auto"/>
        <w:rPr>
          <w:rFonts w:ascii="Arial" w:hAnsi="Arial" w:cs="Arial"/>
          <w:spacing w:val="-4"/>
          <w:lang w:val="es-ES_tradnl"/>
        </w:rPr>
      </w:pPr>
    </w:p>
    <w:p w:rsidR="007A2DD0" w:rsidRPr="007A2DD0" w:rsidRDefault="007A2DD0" w:rsidP="007A2DD0">
      <w:pPr>
        <w:widowControl w:val="0"/>
        <w:autoSpaceDE w:val="0"/>
        <w:autoSpaceDN w:val="0"/>
        <w:adjustRightInd w:val="0"/>
        <w:spacing w:line="276" w:lineRule="auto"/>
        <w:rPr>
          <w:rFonts w:ascii="Arial" w:hAnsi="Arial" w:cs="Arial"/>
          <w:b/>
          <w:bCs/>
          <w:spacing w:val="-4"/>
          <w:lang w:val="es-ES_tradnl"/>
        </w:rPr>
      </w:pPr>
      <w:r w:rsidRPr="007A2DD0">
        <w:rPr>
          <w:rFonts w:ascii="Arial" w:hAnsi="Arial" w:cs="Arial"/>
          <w:b/>
          <w:bCs/>
          <w:spacing w:val="-4"/>
          <w:lang w:val="es-ES_tradnl"/>
        </w:rPr>
        <w:t>ANA LUCÍA CAICEDO CALDERÓN</w:t>
      </w:r>
      <w:r w:rsidRPr="007A2DD0">
        <w:rPr>
          <w:rFonts w:ascii="Arial" w:hAnsi="Arial" w:cs="Arial"/>
          <w:b/>
          <w:bCs/>
          <w:spacing w:val="-4"/>
          <w:lang w:val="es-ES_tradnl"/>
        </w:rPr>
        <w:tab/>
        <w:t xml:space="preserve">     ALEJANDRA MARÍA HENAO PALACIO</w:t>
      </w:r>
    </w:p>
    <w:p w:rsidR="00FA5098" w:rsidRPr="007A2DD0" w:rsidRDefault="007A2DD0" w:rsidP="007A2DD0">
      <w:pPr>
        <w:widowControl w:val="0"/>
        <w:autoSpaceDE w:val="0"/>
        <w:autoSpaceDN w:val="0"/>
        <w:adjustRightInd w:val="0"/>
        <w:spacing w:line="276" w:lineRule="auto"/>
        <w:rPr>
          <w:rFonts w:ascii="Arial" w:hAnsi="Arial" w:cs="Arial"/>
          <w:bCs/>
          <w:spacing w:val="-4"/>
          <w:lang w:val="es-ES_tradnl"/>
        </w:rPr>
      </w:pPr>
      <w:r w:rsidRPr="007A2DD0">
        <w:rPr>
          <w:rFonts w:ascii="Arial" w:hAnsi="Arial" w:cs="Arial"/>
          <w:bCs/>
          <w:spacing w:val="-4"/>
          <w:lang w:val="es-ES_tradnl"/>
        </w:rPr>
        <w:t>Magistrada</w:t>
      </w:r>
      <w:r w:rsidRPr="007A2DD0">
        <w:rPr>
          <w:rFonts w:ascii="Arial" w:hAnsi="Arial" w:cs="Arial"/>
          <w:bCs/>
          <w:spacing w:val="-4"/>
          <w:lang w:val="es-ES_tradnl"/>
        </w:rPr>
        <w:tab/>
      </w:r>
      <w:r w:rsidRPr="007A2DD0">
        <w:rPr>
          <w:rFonts w:ascii="Arial" w:hAnsi="Arial" w:cs="Arial"/>
          <w:bCs/>
          <w:spacing w:val="-4"/>
          <w:lang w:val="es-ES_tradnl"/>
        </w:rPr>
        <w:tab/>
      </w:r>
      <w:r w:rsidRPr="007A2DD0">
        <w:rPr>
          <w:rFonts w:ascii="Arial" w:hAnsi="Arial" w:cs="Arial"/>
          <w:bCs/>
          <w:spacing w:val="-4"/>
          <w:lang w:val="es-ES_tradnl"/>
        </w:rPr>
        <w:tab/>
      </w:r>
      <w:r w:rsidRPr="007A2DD0">
        <w:rPr>
          <w:rFonts w:ascii="Arial" w:hAnsi="Arial" w:cs="Arial"/>
          <w:bCs/>
          <w:spacing w:val="-4"/>
          <w:lang w:val="es-ES_tradnl"/>
        </w:rPr>
        <w:tab/>
      </w:r>
      <w:r w:rsidRPr="007A2DD0">
        <w:rPr>
          <w:rFonts w:ascii="Arial" w:hAnsi="Arial" w:cs="Arial"/>
          <w:bCs/>
          <w:spacing w:val="-4"/>
          <w:lang w:val="es-ES_tradnl"/>
        </w:rPr>
        <w:tab/>
      </w:r>
      <w:r w:rsidRPr="007A2DD0">
        <w:rPr>
          <w:rFonts w:ascii="Arial" w:hAnsi="Arial" w:cs="Arial"/>
          <w:b/>
          <w:bCs/>
          <w:spacing w:val="-4"/>
          <w:lang w:val="es-ES_tradnl"/>
        </w:rPr>
        <w:t xml:space="preserve">     </w:t>
      </w:r>
      <w:r w:rsidRPr="007A2DD0">
        <w:rPr>
          <w:rFonts w:ascii="Arial" w:hAnsi="Arial" w:cs="Arial"/>
          <w:bCs/>
          <w:spacing w:val="-4"/>
          <w:lang w:val="es-ES_tradnl"/>
        </w:rPr>
        <w:t>Magistrada</w:t>
      </w:r>
    </w:p>
    <w:sectPr w:rsidR="00FA5098" w:rsidRPr="007A2DD0" w:rsidSect="00B65699">
      <w:headerReference w:type="default" r:id="rId11"/>
      <w:footerReference w:type="default" r:id="rId12"/>
      <w:headerReference w:type="first" r:id="rId13"/>
      <w:pgSz w:w="12242" w:h="18722" w:code="258"/>
      <w:pgMar w:top="1814" w:right="1247" w:bottom="1247" w:left="1814"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8E73F" w15:done="0"/>
  <w15:commentEx w15:paraId="1918C4EB" w15:done="0"/>
  <w15:commentEx w15:paraId="3EF655C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C4406" w16cex:dateUtc="2020-10-21T20:26:06.959Z"/>
  <w16cex:commentExtensible w16cex:durableId="71164AA7" w16cex:dateUtc="2020-10-22T17:50:55.75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8E73F" w16cid:durableId="102C4406"/>
  <w16cid:commentId w16cid:paraId="1918C4EB" w16cid:durableId="71164AA7"/>
  <w16cid:commentId w16cid:paraId="3EF655C7" w16cid:durableId="233C07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E9" w:rsidRDefault="00536CE9">
      <w:r>
        <w:separator/>
      </w:r>
    </w:p>
  </w:endnote>
  <w:endnote w:type="continuationSeparator" w:id="0">
    <w:p w:rsidR="00536CE9" w:rsidRDefault="0053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D0" w:rsidRPr="00A45AF7" w:rsidRDefault="007A2DD0" w:rsidP="00A45AF7">
    <w:pPr>
      <w:pStyle w:val="Ttulo1"/>
      <w:spacing w:before="0" w:after="0"/>
      <w:ind w:right="50"/>
      <w:jc w:val="right"/>
      <w:rPr>
        <w:rFonts w:ascii="Arial" w:hAnsi="Arial" w:cs="Arial"/>
        <w:b w:val="0"/>
        <w:sz w:val="18"/>
        <w:szCs w:val="14"/>
      </w:rPr>
    </w:pPr>
    <w:r w:rsidRPr="00A45AF7">
      <w:rPr>
        <w:rFonts w:ascii="Arial" w:hAnsi="Arial" w:cs="Arial"/>
        <w:b w:val="0"/>
        <w:sz w:val="18"/>
        <w:szCs w:val="14"/>
      </w:rPr>
      <w:fldChar w:fldCharType="begin"/>
    </w:r>
    <w:r w:rsidRPr="00A45AF7">
      <w:rPr>
        <w:rFonts w:ascii="Arial" w:hAnsi="Arial" w:cs="Arial"/>
        <w:b w:val="0"/>
        <w:sz w:val="18"/>
        <w:szCs w:val="14"/>
      </w:rPr>
      <w:instrText>PAGE   \* MERGEFORMAT</w:instrText>
    </w:r>
    <w:r w:rsidRPr="00A45AF7">
      <w:rPr>
        <w:rFonts w:ascii="Arial" w:hAnsi="Arial" w:cs="Arial"/>
        <w:b w:val="0"/>
        <w:sz w:val="18"/>
        <w:szCs w:val="14"/>
      </w:rPr>
      <w:fldChar w:fldCharType="separate"/>
    </w:r>
    <w:r w:rsidR="00B65699">
      <w:rPr>
        <w:rFonts w:ascii="Arial" w:hAnsi="Arial" w:cs="Arial"/>
        <w:b w:val="0"/>
        <w:noProof/>
        <w:sz w:val="18"/>
        <w:szCs w:val="14"/>
      </w:rPr>
      <w:t>2</w:t>
    </w:r>
    <w:r w:rsidRPr="00A45AF7">
      <w:rPr>
        <w:rFonts w:ascii="Arial" w:hAnsi="Arial" w:cs="Arial"/>
        <w:b w:val="0"/>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E9" w:rsidRDefault="00536CE9">
      <w:r>
        <w:separator/>
      </w:r>
    </w:p>
  </w:footnote>
  <w:footnote w:type="continuationSeparator" w:id="0">
    <w:p w:rsidR="00536CE9" w:rsidRDefault="00536CE9">
      <w:r>
        <w:continuationSeparator/>
      </w:r>
    </w:p>
  </w:footnote>
  <w:footnote w:id="1">
    <w:p w:rsidR="007A2DD0" w:rsidRPr="00A45AF7" w:rsidRDefault="007A2DD0" w:rsidP="00A45AF7">
      <w:pPr>
        <w:pStyle w:val="Textonotapie"/>
        <w:jc w:val="both"/>
        <w:rPr>
          <w:rFonts w:ascii="Arial" w:hAnsi="Arial" w:cs="Arial"/>
          <w:sz w:val="18"/>
          <w:szCs w:val="18"/>
        </w:rPr>
      </w:pPr>
      <w:r w:rsidRPr="00A45AF7">
        <w:rPr>
          <w:rFonts w:ascii="Arial" w:hAnsi="Arial" w:cs="Arial"/>
          <w:sz w:val="18"/>
          <w:szCs w:val="18"/>
          <w:vertAlign w:val="superscript"/>
        </w:rPr>
        <w:footnoteRef/>
      </w:r>
      <w:r w:rsidRPr="00A45AF7">
        <w:rPr>
          <w:rFonts w:ascii="Arial" w:hAnsi="Arial" w:cs="Arial"/>
          <w:sz w:val="18"/>
          <w:szCs w:val="18"/>
        </w:rPr>
        <w:t xml:space="preserve"> Desarrollado en la Ley 1122 de 2007, en virtud de la cual se llevaron a cabo algunas modificaciones en el Sistema General de Seguridad Social en Salud y se dictaron otras disposiciones, donde se consagró expresamente que la Superintendencia Nacional de Salud además de ejercer su cometido genérico de inspección, vigilancia y control en el sector, tendrá la competencia para ejercer una función jurisdiccional, como lo señala su artículo 41º </w:t>
      </w:r>
      <w:r w:rsidRPr="00A45AF7">
        <w:rPr>
          <w:rFonts w:ascii="Arial" w:hAnsi="Arial" w:cs="Arial"/>
          <w:i/>
          <w:sz w:val="18"/>
          <w:szCs w:val="18"/>
        </w:rPr>
        <w:t>“con el fin de garantizar la efectiva prestación del derecho a la salud de los usuarios del Sistema General de Seguridad Social en Salud y en ejercicio del artículo 116 de la Constitución Política”</w:t>
      </w:r>
      <w:r w:rsidRPr="00A45AF7">
        <w:rPr>
          <w:rFonts w:ascii="Arial" w:hAnsi="Arial" w:cs="Arial"/>
          <w:sz w:val="18"/>
          <w:szCs w:val="18"/>
        </w:rPr>
        <w:t xml:space="preserve">. Entonces, en el ejercicio de dicha labor podrá </w:t>
      </w:r>
      <w:r w:rsidRPr="00A45AF7">
        <w:rPr>
          <w:rFonts w:ascii="Arial" w:hAnsi="Arial" w:cs="Arial"/>
          <w:i/>
          <w:sz w:val="18"/>
          <w:szCs w:val="18"/>
        </w:rPr>
        <w:t>“conocer y fallar en derecho, con carácter definitivo y con las facultades propias de un juez”</w:t>
      </w:r>
      <w:r w:rsidRPr="00A45AF7">
        <w:rPr>
          <w:rFonts w:ascii="Arial" w:hAnsi="Arial" w:cs="Arial"/>
          <w:sz w:val="18"/>
          <w:szCs w:val="18"/>
        </w:rPr>
        <w:t xml:space="preserve">  distintos asuntos, entre ellos: </w:t>
      </w:r>
      <w:r w:rsidRPr="00A45AF7">
        <w:rPr>
          <w:rFonts w:ascii="Arial" w:hAnsi="Arial" w:cs="Arial"/>
          <w:i/>
          <w:sz w:val="18"/>
          <w:szCs w:val="18"/>
        </w:rPr>
        <w:t>“b) (el) reconocimiento económico de los gastos en que haya incurrido el afiliado por concepto de atención de urgencias en caso de ser atendido en una IPS que no tenga contrato con la respectiva EPS cuando haya sido autorizado expresamente por la EPS para una atención específica y en caso de incapacidad, imposibilidad, negativa injustificada o negligencia demostrada de la Entidad Promotora de Salud para cubrir las obligaciones para con sus usuarios”</w:t>
      </w:r>
      <w:r w:rsidRPr="00A45AF7">
        <w:rPr>
          <w:rFonts w:ascii="Arial" w:hAnsi="Arial" w:cs="Arial"/>
          <w:sz w:val="18"/>
          <w:szCs w:val="18"/>
        </w:rPr>
        <w:t xml:space="preserve">  (negrillas y subrayado fuera del texto). Finalmente, dicha disposición agrega que esta autoridad sólo podrá conocer y fallar tales asuntos a petición de parte y, no podrá conocer de ningún caso que por virtud de las disposiciones legales vigentes deba ser sometido a un proceso de carácter ejecutivo o acciones de carácter penal, agregando que el trámite a seguir en este tipo de procedimientos será el previsto en el artículo 148 de la Ley 446 de 1998.</w:t>
      </w:r>
    </w:p>
  </w:footnote>
  <w:footnote w:id="2">
    <w:p w:rsidR="007A2DD0" w:rsidRPr="00A45AF7" w:rsidRDefault="007A2DD0" w:rsidP="00A45AF7">
      <w:pPr>
        <w:pStyle w:val="Textonotapie"/>
        <w:jc w:val="both"/>
        <w:rPr>
          <w:rFonts w:ascii="Arial" w:hAnsi="Arial" w:cs="Arial"/>
          <w:sz w:val="18"/>
          <w:szCs w:val="18"/>
        </w:rPr>
      </w:pPr>
      <w:r w:rsidRPr="00A45AF7">
        <w:rPr>
          <w:rFonts w:ascii="Arial" w:hAnsi="Arial" w:cs="Arial"/>
          <w:sz w:val="18"/>
          <w:szCs w:val="18"/>
          <w:vertAlign w:val="superscript"/>
        </w:rPr>
        <w:footnoteRef/>
      </w:r>
      <w:r w:rsidRPr="00A45AF7">
        <w:rPr>
          <w:rFonts w:ascii="Arial" w:hAnsi="Arial" w:cs="Arial"/>
          <w:sz w:val="18"/>
          <w:szCs w:val="18"/>
          <w:lang w:val="es-ES"/>
        </w:rPr>
        <w:t>Sentencia T-140/16.</w:t>
      </w:r>
    </w:p>
  </w:footnote>
  <w:footnote w:id="3">
    <w:p w:rsidR="007A2DD0" w:rsidRPr="00A45AF7" w:rsidRDefault="007A2DD0" w:rsidP="00A45AF7">
      <w:pPr>
        <w:pStyle w:val="Textonotapie"/>
        <w:jc w:val="both"/>
        <w:rPr>
          <w:rFonts w:ascii="Arial" w:hAnsi="Arial" w:cs="Arial"/>
          <w:sz w:val="18"/>
          <w:szCs w:val="18"/>
        </w:rPr>
      </w:pPr>
      <w:r w:rsidRPr="00A45AF7">
        <w:rPr>
          <w:rFonts w:ascii="Arial" w:hAnsi="Arial" w:cs="Arial"/>
          <w:sz w:val="18"/>
          <w:szCs w:val="18"/>
          <w:vertAlign w:val="superscript"/>
        </w:rPr>
        <w:footnoteRef/>
      </w:r>
      <w:r w:rsidRPr="00A45AF7">
        <w:rPr>
          <w:rFonts w:ascii="Arial" w:hAnsi="Arial" w:cs="Arial"/>
          <w:i/>
          <w:sz w:val="18"/>
          <w:szCs w:val="18"/>
        </w:rPr>
        <w:t>“Las controversias referentes al sistema de seguridad social integral que se susciten entre los afiliados, beneficiarios o usuarios, los empleadores y las entidades administradoras o prestadoras, cualquiera que sea la naturaleza de la relación jurídica y de los actos jurídicos que se controviertan”.</w:t>
      </w:r>
    </w:p>
  </w:footnote>
  <w:footnote w:id="4">
    <w:p w:rsidR="007A2DD0" w:rsidRPr="00A45AF7" w:rsidRDefault="007A2DD0" w:rsidP="00A45AF7">
      <w:pPr>
        <w:pStyle w:val="Textonotapie"/>
        <w:jc w:val="both"/>
        <w:rPr>
          <w:rFonts w:ascii="Arial" w:hAnsi="Arial" w:cs="Arial"/>
          <w:sz w:val="18"/>
          <w:szCs w:val="18"/>
        </w:rPr>
      </w:pPr>
      <w:r w:rsidRPr="00A45AF7">
        <w:rPr>
          <w:rStyle w:val="Refdenotaalpie"/>
          <w:rFonts w:ascii="Arial" w:hAnsi="Arial" w:cs="Arial"/>
          <w:sz w:val="18"/>
          <w:szCs w:val="18"/>
        </w:rPr>
        <w:footnoteRef/>
      </w:r>
      <w:r w:rsidRPr="00A45AF7">
        <w:rPr>
          <w:rFonts w:ascii="Arial" w:hAnsi="Arial" w:cs="Arial"/>
          <w:sz w:val="18"/>
          <w:szCs w:val="18"/>
        </w:rPr>
        <w:t xml:space="preserve"> </w:t>
      </w:r>
      <w:r w:rsidRPr="00A45AF7">
        <w:rPr>
          <w:rFonts w:ascii="Arial" w:hAnsi="Arial" w:cs="Arial"/>
          <w:i/>
          <w:sz w:val="18"/>
          <w:szCs w:val="18"/>
        </w:rPr>
        <w:t>La EPS podrá perseguir el pago de dichas incapacidades ante la Entidad Administradora de los Recursos del Sistema General de Seguridad Social en Salud, según el artículo 67 de la Ley 1753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D0" w:rsidRPr="00A45AF7" w:rsidRDefault="007A2DD0" w:rsidP="00A45AF7">
    <w:pPr>
      <w:pStyle w:val="Ttulo1"/>
      <w:spacing w:before="0" w:after="0"/>
      <w:ind w:right="50"/>
      <w:jc w:val="center"/>
      <w:rPr>
        <w:rFonts w:ascii="Arial" w:hAnsi="Arial" w:cs="Arial"/>
        <w:b w:val="0"/>
        <w:sz w:val="18"/>
        <w:szCs w:val="14"/>
      </w:rPr>
    </w:pPr>
    <w:r w:rsidRPr="00A45AF7">
      <w:rPr>
        <w:rFonts w:ascii="Arial" w:hAnsi="Arial" w:cs="Arial"/>
        <w:b w:val="0"/>
        <w:sz w:val="18"/>
        <w:szCs w:val="14"/>
      </w:rPr>
      <w:t xml:space="preserve">Liliana Patricia Cardoza Vs Nueva </w:t>
    </w:r>
    <w:proofErr w:type="spellStart"/>
    <w:r w:rsidRPr="00A45AF7">
      <w:rPr>
        <w:rFonts w:ascii="Arial" w:hAnsi="Arial" w:cs="Arial"/>
        <w:b w:val="0"/>
        <w:sz w:val="18"/>
        <w:szCs w:val="14"/>
      </w:rPr>
      <w:t>EPS</w:t>
    </w:r>
    <w:proofErr w:type="spellEnd"/>
    <w:r w:rsidRPr="00A45AF7">
      <w:rPr>
        <w:rFonts w:ascii="Arial" w:hAnsi="Arial" w:cs="Arial"/>
        <w:b w:val="0"/>
        <w:sz w:val="18"/>
        <w:szCs w:val="14"/>
      </w:rPr>
      <w:t xml:space="preserve"> y otro. Rad. 66001-31-05-001-2020-00191-01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D0" w:rsidRDefault="007A2DD0">
    <w:pPr>
      <w:pStyle w:val="Encabezado"/>
      <w:ind w:right="360"/>
      <w:rPr>
        <w:lang w:val="es-MX"/>
      </w:rPr>
    </w:pPr>
  </w:p>
  <w:p w:rsidR="007A2DD0" w:rsidRDefault="007A2DD0">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3806CE2"/>
    <w:multiLevelType w:val="hybridMultilevel"/>
    <w:tmpl w:val="0C0A0003"/>
    <w:lvl w:ilvl="0" w:tplc="984E5C18">
      <w:start w:val="1"/>
      <w:numFmt w:val="bullet"/>
      <w:lvlText w:val=""/>
      <w:lvlJc w:val="left"/>
      <w:pPr>
        <w:tabs>
          <w:tab w:val="num" w:pos="360"/>
        </w:tabs>
        <w:ind w:left="360" w:hanging="360"/>
      </w:pPr>
      <w:rPr>
        <w:rFonts w:ascii="Symbol" w:hAnsi="Symbol" w:hint="default"/>
      </w:rPr>
    </w:lvl>
    <w:lvl w:ilvl="1" w:tplc="69AC81C6">
      <w:numFmt w:val="decimal"/>
      <w:lvlText w:val=""/>
      <w:lvlJc w:val="left"/>
    </w:lvl>
    <w:lvl w:ilvl="2" w:tplc="E7B22D2E">
      <w:numFmt w:val="decimal"/>
      <w:lvlText w:val=""/>
      <w:lvlJc w:val="left"/>
    </w:lvl>
    <w:lvl w:ilvl="3" w:tplc="89BC8A4A">
      <w:numFmt w:val="decimal"/>
      <w:lvlText w:val=""/>
      <w:lvlJc w:val="left"/>
    </w:lvl>
    <w:lvl w:ilvl="4" w:tplc="E1B20052">
      <w:numFmt w:val="decimal"/>
      <w:lvlText w:val=""/>
      <w:lvlJc w:val="left"/>
    </w:lvl>
    <w:lvl w:ilvl="5" w:tplc="B1DE3DBE">
      <w:numFmt w:val="decimal"/>
      <w:lvlText w:val=""/>
      <w:lvlJc w:val="left"/>
    </w:lvl>
    <w:lvl w:ilvl="6" w:tplc="EC90033A">
      <w:numFmt w:val="decimal"/>
      <w:lvlText w:val=""/>
      <w:lvlJc w:val="left"/>
    </w:lvl>
    <w:lvl w:ilvl="7" w:tplc="3F7CD5D6">
      <w:numFmt w:val="decimal"/>
      <w:lvlText w:val=""/>
      <w:lvlJc w:val="left"/>
    </w:lvl>
    <w:lvl w:ilvl="8" w:tplc="142E9D1A">
      <w:numFmt w:val="decimal"/>
      <w:lvlText w:val=""/>
      <w:lvlJc w:val="left"/>
    </w:lvl>
  </w:abstractNum>
  <w:abstractNum w:abstractNumId="2">
    <w:nsid w:val="07881273"/>
    <w:multiLevelType w:val="hybridMultilevel"/>
    <w:tmpl w:val="0C0A0003"/>
    <w:lvl w:ilvl="0" w:tplc="B8180846">
      <w:start w:val="1"/>
      <w:numFmt w:val="bullet"/>
      <w:lvlText w:val=""/>
      <w:lvlJc w:val="left"/>
      <w:pPr>
        <w:tabs>
          <w:tab w:val="num" w:pos="360"/>
        </w:tabs>
        <w:ind w:left="360" w:hanging="360"/>
      </w:pPr>
      <w:rPr>
        <w:rFonts w:ascii="Symbol" w:hAnsi="Symbol" w:hint="default"/>
      </w:rPr>
    </w:lvl>
    <w:lvl w:ilvl="1" w:tplc="D2DAA26A">
      <w:numFmt w:val="decimal"/>
      <w:lvlText w:val=""/>
      <w:lvlJc w:val="left"/>
    </w:lvl>
    <w:lvl w:ilvl="2" w:tplc="420ADBE0">
      <w:numFmt w:val="decimal"/>
      <w:lvlText w:val=""/>
      <w:lvlJc w:val="left"/>
    </w:lvl>
    <w:lvl w:ilvl="3" w:tplc="A7107ACE">
      <w:numFmt w:val="decimal"/>
      <w:lvlText w:val=""/>
      <w:lvlJc w:val="left"/>
    </w:lvl>
    <w:lvl w:ilvl="4" w:tplc="C15EB750">
      <w:numFmt w:val="decimal"/>
      <w:lvlText w:val=""/>
      <w:lvlJc w:val="left"/>
    </w:lvl>
    <w:lvl w:ilvl="5" w:tplc="27D4715A">
      <w:numFmt w:val="decimal"/>
      <w:lvlText w:val=""/>
      <w:lvlJc w:val="left"/>
    </w:lvl>
    <w:lvl w:ilvl="6" w:tplc="0290BFF0">
      <w:numFmt w:val="decimal"/>
      <w:lvlText w:val=""/>
      <w:lvlJc w:val="left"/>
    </w:lvl>
    <w:lvl w:ilvl="7" w:tplc="06A65EA4">
      <w:numFmt w:val="decimal"/>
      <w:lvlText w:val=""/>
      <w:lvlJc w:val="left"/>
    </w:lvl>
    <w:lvl w:ilvl="8" w:tplc="1EBC97F4">
      <w:numFmt w:val="decimal"/>
      <w:lvlText w:val=""/>
      <w:lvlJc w:val="left"/>
    </w:lvl>
  </w:abstractNum>
  <w:abstractNum w:abstractNumId="3">
    <w:nsid w:val="07FA2667"/>
    <w:multiLevelType w:val="hybridMultilevel"/>
    <w:tmpl w:val="EAE84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7">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73094A"/>
    <w:multiLevelType w:val="hybridMultilevel"/>
    <w:tmpl w:val="0C0A0003"/>
    <w:lvl w:ilvl="0" w:tplc="C2445444">
      <w:start w:val="1"/>
      <w:numFmt w:val="bullet"/>
      <w:lvlText w:val=""/>
      <w:lvlJc w:val="left"/>
      <w:pPr>
        <w:tabs>
          <w:tab w:val="num" w:pos="360"/>
        </w:tabs>
        <w:ind w:left="360" w:hanging="360"/>
      </w:pPr>
      <w:rPr>
        <w:rFonts w:ascii="Symbol" w:hAnsi="Symbol" w:hint="default"/>
      </w:rPr>
    </w:lvl>
    <w:lvl w:ilvl="1" w:tplc="4BFEE0CC">
      <w:numFmt w:val="decimal"/>
      <w:lvlText w:val=""/>
      <w:lvlJc w:val="left"/>
    </w:lvl>
    <w:lvl w:ilvl="2" w:tplc="78B8BD5A">
      <w:numFmt w:val="decimal"/>
      <w:lvlText w:val=""/>
      <w:lvlJc w:val="left"/>
    </w:lvl>
    <w:lvl w:ilvl="3" w:tplc="977A8EF2">
      <w:numFmt w:val="decimal"/>
      <w:lvlText w:val=""/>
      <w:lvlJc w:val="left"/>
    </w:lvl>
    <w:lvl w:ilvl="4" w:tplc="424E285E">
      <w:numFmt w:val="decimal"/>
      <w:lvlText w:val=""/>
      <w:lvlJc w:val="left"/>
    </w:lvl>
    <w:lvl w:ilvl="5" w:tplc="05304D7C">
      <w:numFmt w:val="decimal"/>
      <w:lvlText w:val=""/>
      <w:lvlJc w:val="left"/>
    </w:lvl>
    <w:lvl w:ilvl="6" w:tplc="1AFCB996">
      <w:numFmt w:val="decimal"/>
      <w:lvlText w:val=""/>
      <w:lvlJc w:val="left"/>
    </w:lvl>
    <w:lvl w:ilvl="7" w:tplc="299A631C">
      <w:numFmt w:val="decimal"/>
      <w:lvlText w:val=""/>
      <w:lvlJc w:val="left"/>
    </w:lvl>
    <w:lvl w:ilvl="8" w:tplc="A4803D78">
      <w:numFmt w:val="decimal"/>
      <w:lvlText w:val=""/>
      <w:lvlJc w:val="left"/>
    </w:lvl>
  </w:abstractNum>
  <w:abstractNum w:abstractNumId="9">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DB4BC7"/>
    <w:multiLevelType w:val="hybridMultilevel"/>
    <w:tmpl w:val="AAF60F64"/>
    <w:lvl w:ilvl="0" w:tplc="F0663E34">
      <w:numFmt w:val="none"/>
      <w:lvlText w:val="-"/>
      <w:legacy w:legacy="1" w:legacySpace="120" w:legacyIndent="360"/>
      <w:lvlJc w:val="left"/>
      <w:pPr>
        <w:ind w:left="360" w:hanging="360"/>
      </w:pPr>
    </w:lvl>
    <w:lvl w:ilvl="1" w:tplc="D18C7AEA">
      <w:start w:val="1"/>
      <w:numFmt w:val="none"/>
      <w:lvlText w:val="o"/>
      <w:legacy w:legacy="1" w:legacySpace="120" w:legacyIndent="360"/>
      <w:lvlJc w:val="left"/>
      <w:pPr>
        <w:ind w:left="720" w:hanging="360"/>
      </w:pPr>
      <w:rPr>
        <w:rFonts w:ascii="Courier New" w:hAnsi="Courier New" w:hint="default"/>
      </w:rPr>
    </w:lvl>
    <w:lvl w:ilvl="2" w:tplc="ED600E08">
      <w:start w:val="1"/>
      <w:numFmt w:val="none"/>
      <w:lvlText w:val=""/>
      <w:legacy w:legacy="1" w:legacySpace="120" w:legacyIndent="360"/>
      <w:lvlJc w:val="left"/>
      <w:pPr>
        <w:ind w:left="1080" w:hanging="360"/>
      </w:pPr>
      <w:rPr>
        <w:rFonts w:ascii="Wingdings" w:hAnsi="Wingdings" w:hint="default"/>
      </w:rPr>
    </w:lvl>
    <w:lvl w:ilvl="3" w:tplc="A2066D06">
      <w:start w:val="1"/>
      <w:numFmt w:val="none"/>
      <w:lvlText w:val=""/>
      <w:legacy w:legacy="1" w:legacySpace="120" w:legacyIndent="360"/>
      <w:lvlJc w:val="left"/>
      <w:pPr>
        <w:ind w:left="1440" w:hanging="360"/>
      </w:pPr>
      <w:rPr>
        <w:rFonts w:ascii="Symbol" w:hAnsi="Symbol" w:hint="default"/>
      </w:rPr>
    </w:lvl>
    <w:lvl w:ilvl="4" w:tplc="045A2B1E">
      <w:start w:val="1"/>
      <w:numFmt w:val="none"/>
      <w:lvlText w:val="o"/>
      <w:legacy w:legacy="1" w:legacySpace="120" w:legacyIndent="360"/>
      <w:lvlJc w:val="left"/>
      <w:pPr>
        <w:ind w:left="1800" w:hanging="360"/>
      </w:pPr>
      <w:rPr>
        <w:rFonts w:ascii="Courier New" w:hAnsi="Courier New" w:hint="default"/>
      </w:rPr>
    </w:lvl>
    <w:lvl w:ilvl="5" w:tplc="77D46C50">
      <w:start w:val="1"/>
      <w:numFmt w:val="none"/>
      <w:lvlText w:val=""/>
      <w:legacy w:legacy="1" w:legacySpace="120" w:legacyIndent="360"/>
      <w:lvlJc w:val="left"/>
      <w:pPr>
        <w:ind w:left="2160" w:hanging="360"/>
      </w:pPr>
      <w:rPr>
        <w:rFonts w:ascii="Wingdings" w:hAnsi="Wingdings" w:hint="default"/>
      </w:rPr>
    </w:lvl>
    <w:lvl w:ilvl="6" w:tplc="9AD0ABFE">
      <w:start w:val="1"/>
      <w:numFmt w:val="none"/>
      <w:lvlText w:val=""/>
      <w:legacy w:legacy="1" w:legacySpace="120" w:legacyIndent="360"/>
      <w:lvlJc w:val="left"/>
      <w:pPr>
        <w:ind w:left="2520" w:hanging="360"/>
      </w:pPr>
      <w:rPr>
        <w:rFonts w:ascii="Symbol" w:hAnsi="Symbol" w:hint="default"/>
      </w:rPr>
    </w:lvl>
    <w:lvl w:ilvl="7" w:tplc="A7BA3510">
      <w:start w:val="1"/>
      <w:numFmt w:val="none"/>
      <w:lvlText w:val="o"/>
      <w:legacy w:legacy="1" w:legacySpace="120" w:legacyIndent="360"/>
      <w:lvlJc w:val="left"/>
      <w:pPr>
        <w:ind w:left="2880" w:hanging="360"/>
      </w:pPr>
      <w:rPr>
        <w:rFonts w:ascii="Courier New" w:hAnsi="Courier New" w:hint="default"/>
      </w:rPr>
    </w:lvl>
    <w:lvl w:ilvl="8" w:tplc="EF6CB0A4">
      <w:start w:val="1"/>
      <w:numFmt w:val="none"/>
      <w:lvlText w:val=""/>
      <w:legacy w:legacy="1" w:legacySpace="120" w:legacyIndent="360"/>
      <w:lvlJc w:val="left"/>
      <w:pPr>
        <w:ind w:left="3240" w:hanging="360"/>
      </w:pPr>
      <w:rPr>
        <w:rFonts w:ascii="Wingdings" w:hAnsi="Wingdings" w:hint="default"/>
      </w:rPr>
    </w:lvl>
  </w:abstractNum>
  <w:abstractNum w:abstractNumId="11">
    <w:nsid w:val="2B522FC5"/>
    <w:multiLevelType w:val="hybridMultilevel"/>
    <w:tmpl w:val="0C0A0003"/>
    <w:lvl w:ilvl="0" w:tplc="A18058D0">
      <w:start w:val="1"/>
      <w:numFmt w:val="bullet"/>
      <w:lvlText w:val=""/>
      <w:lvlJc w:val="left"/>
      <w:pPr>
        <w:tabs>
          <w:tab w:val="num" w:pos="360"/>
        </w:tabs>
        <w:ind w:left="360" w:hanging="360"/>
      </w:pPr>
      <w:rPr>
        <w:rFonts w:ascii="Symbol" w:hAnsi="Symbol" w:hint="default"/>
      </w:rPr>
    </w:lvl>
    <w:lvl w:ilvl="1" w:tplc="ACC47D28">
      <w:numFmt w:val="decimal"/>
      <w:lvlText w:val=""/>
      <w:lvlJc w:val="left"/>
    </w:lvl>
    <w:lvl w:ilvl="2" w:tplc="C5DC42C8">
      <w:numFmt w:val="decimal"/>
      <w:lvlText w:val=""/>
      <w:lvlJc w:val="left"/>
    </w:lvl>
    <w:lvl w:ilvl="3" w:tplc="7564080A">
      <w:numFmt w:val="decimal"/>
      <w:lvlText w:val=""/>
      <w:lvlJc w:val="left"/>
    </w:lvl>
    <w:lvl w:ilvl="4" w:tplc="D13CAAFC">
      <w:numFmt w:val="decimal"/>
      <w:lvlText w:val=""/>
      <w:lvlJc w:val="left"/>
    </w:lvl>
    <w:lvl w:ilvl="5" w:tplc="F4D4EAA0">
      <w:numFmt w:val="decimal"/>
      <w:lvlText w:val=""/>
      <w:lvlJc w:val="left"/>
    </w:lvl>
    <w:lvl w:ilvl="6" w:tplc="86F4DB50">
      <w:numFmt w:val="decimal"/>
      <w:lvlText w:val=""/>
      <w:lvlJc w:val="left"/>
    </w:lvl>
    <w:lvl w:ilvl="7" w:tplc="2C88C3A4">
      <w:numFmt w:val="decimal"/>
      <w:lvlText w:val=""/>
      <w:lvlJc w:val="left"/>
    </w:lvl>
    <w:lvl w:ilvl="8" w:tplc="255A389A">
      <w:numFmt w:val="decimal"/>
      <w:lvlText w:val=""/>
      <w:lvlJc w:val="left"/>
    </w:lvl>
  </w:abstractNum>
  <w:abstractNum w:abstractNumId="12">
    <w:nsid w:val="350C3E75"/>
    <w:multiLevelType w:val="hybridMultilevel"/>
    <w:tmpl w:val="0C0A0003"/>
    <w:lvl w:ilvl="0" w:tplc="CA1E7BDC">
      <w:start w:val="1"/>
      <w:numFmt w:val="bullet"/>
      <w:lvlText w:val=""/>
      <w:lvlJc w:val="left"/>
      <w:pPr>
        <w:tabs>
          <w:tab w:val="num" w:pos="360"/>
        </w:tabs>
        <w:ind w:left="360" w:hanging="360"/>
      </w:pPr>
      <w:rPr>
        <w:rFonts w:ascii="Symbol" w:hAnsi="Symbol" w:hint="default"/>
      </w:rPr>
    </w:lvl>
    <w:lvl w:ilvl="1" w:tplc="34D41B94">
      <w:numFmt w:val="decimal"/>
      <w:lvlText w:val=""/>
      <w:lvlJc w:val="left"/>
    </w:lvl>
    <w:lvl w:ilvl="2" w:tplc="3FA27AA4">
      <w:numFmt w:val="decimal"/>
      <w:lvlText w:val=""/>
      <w:lvlJc w:val="left"/>
    </w:lvl>
    <w:lvl w:ilvl="3" w:tplc="5DBE9506">
      <w:numFmt w:val="decimal"/>
      <w:lvlText w:val=""/>
      <w:lvlJc w:val="left"/>
    </w:lvl>
    <w:lvl w:ilvl="4" w:tplc="7C4A91A8">
      <w:numFmt w:val="decimal"/>
      <w:lvlText w:val=""/>
      <w:lvlJc w:val="left"/>
    </w:lvl>
    <w:lvl w:ilvl="5" w:tplc="4E54502A">
      <w:numFmt w:val="decimal"/>
      <w:lvlText w:val=""/>
      <w:lvlJc w:val="left"/>
    </w:lvl>
    <w:lvl w:ilvl="6" w:tplc="A97C7E32">
      <w:numFmt w:val="decimal"/>
      <w:lvlText w:val=""/>
      <w:lvlJc w:val="left"/>
    </w:lvl>
    <w:lvl w:ilvl="7" w:tplc="CF4E79D6">
      <w:numFmt w:val="decimal"/>
      <w:lvlText w:val=""/>
      <w:lvlJc w:val="left"/>
    </w:lvl>
    <w:lvl w:ilvl="8" w:tplc="7ED66016">
      <w:numFmt w:val="decimal"/>
      <w:lvlText w:val=""/>
      <w:lvlJc w:val="left"/>
    </w:lvl>
  </w:abstractNum>
  <w:abstractNum w:abstractNumId="13">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E5261B"/>
    <w:multiLevelType w:val="multilevel"/>
    <w:tmpl w:val="5AC00C0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B1B2AFF"/>
    <w:multiLevelType w:val="hybridMultilevel"/>
    <w:tmpl w:val="0C0A0003"/>
    <w:lvl w:ilvl="0" w:tplc="EEDC29BA">
      <w:start w:val="1"/>
      <w:numFmt w:val="bullet"/>
      <w:lvlText w:val=""/>
      <w:lvlJc w:val="left"/>
      <w:pPr>
        <w:tabs>
          <w:tab w:val="num" w:pos="360"/>
        </w:tabs>
        <w:ind w:left="360" w:hanging="360"/>
      </w:pPr>
      <w:rPr>
        <w:rFonts w:ascii="Symbol" w:hAnsi="Symbol" w:hint="default"/>
      </w:rPr>
    </w:lvl>
    <w:lvl w:ilvl="1" w:tplc="3C340316">
      <w:numFmt w:val="decimal"/>
      <w:lvlText w:val=""/>
      <w:lvlJc w:val="left"/>
    </w:lvl>
    <w:lvl w:ilvl="2" w:tplc="BF3CFD8E">
      <w:numFmt w:val="decimal"/>
      <w:lvlText w:val=""/>
      <w:lvlJc w:val="left"/>
    </w:lvl>
    <w:lvl w:ilvl="3" w:tplc="D952D194">
      <w:numFmt w:val="decimal"/>
      <w:lvlText w:val=""/>
      <w:lvlJc w:val="left"/>
    </w:lvl>
    <w:lvl w:ilvl="4" w:tplc="BC9660AE">
      <w:numFmt w:val="decimal"/>
      <w:lvlText w:val=""/>
      <w:lvlJc w:val="left"/>
    </w:lvl>
    <w:lvl w:ilvl="5" w:tplc="69984DBA">
      <w:numFmt w:val="decimal"/>
      <w:lvlText w:val=""/>
      <w:lvlJc w:val="left"/>
    </w:lvl>
    <w:lvl w:ilvl="6" w:tplc="2D1E67FA">
      <w:numFmt w:val="decimal"/>
      <w:lvlText w:val=""/>
      <w:lvlJc w:val="left"/>
    </w:lvl>
    <w:lvl w:ilvl="7" w:tplc="822C3304">
      <w:numFmt w:val="decimal"/>
      <w:lvlText w:val=""/>
      <w:lvlJc w:val="left"/>
    </w:lvl>
    <w:lvl w:ilvl="8" w:tplc="98964170">
      <w:numFmt w:val="decimal"/>
      <w:lvlText w:val=""/>
      <w:lvlJc w:val="left"/>
    </w:lvl>
  </w:abstractNum>
  <w:abstractNum w:abstractNumId="22">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
    <w:lvlOverride w:ilvl="0">
      <w:lvl w:ilvl="0" w:tplc="F0663E34">
        <w:numFmt w:val="none"/>
        <w:lvlText w:val="-"/>
        <w:legacy w:legacy="1" w:legacySpace="120" w:legacyIndent="360"/>
        <w:lvlJc w:val="left"/>
        <w:pPr>
          <w:ind w:left="360" w:hanging="360"/>
        </w:pPr>
      </w:lvl>
    </w:lvlOverride>
    <w:lvlOverride w:ilvl="1">
      <w:lvl w:ilvl="1" w:tplc="D18C7AEA">
        <w:start w:val="1"/>
        <w:numFmt w:val="none"/>
        <w:lvlText w:val="o"/>
        <w:legacy w:legacy="1" w:legacySpace="120" w:legacyIndent="360"/>
        <w:lvlJc w:val="left"/>
        <w:pPr>
          <w:ind w:left="720" w:hanging="360"/>
        </w:pPr>
        <w:rPr>
          <w:rFonts w:ascii="Courier New" w:hAnsi="Courier New" w:hint="default"/>
        </w:rPr>
      </w:lvl>
    </w:lvlOverride>
    <w:lvlOverride w:ilvl="2">
      <w:lvl w:ilvl="2" w:tplc="ED600E08">
        <w:start w:val="1"/>
        <w:numFmt w:val="none"/>
        <w:lvlText w:val=""/>
        <w:legacy w:legacy="1" w:legacySpace="120" w:legacyIndent="360"/>
        <w:lvlJc w:val="left"/>
        <w:pPr>
          <w:ind w:left="1080" w:hanging="360"/>
        </w:pPr>
        <w:rPr>
          <w:rFonts w:ascii="Wingdings" w:hAnsi="Wingdings" w:hint="default"/>
        </w:rPr>
      </w:lvl>
    </w:lvlOverride>
    <w:lvlOverride w:ilvl="3">
      <w:lvl w:ilvl="3" w:tplc="A2066D06">
        <w:start w:val="1"/>
        <w:numFmt w:val="none"/>
        <w:lvlText w:val=""/>
        <w:legacy w:legacy="1" w:legacySpace="120" w:legacyIndent="360"/>
        <w:lvlJc w:val="left"/>
        <w:pPr>
          <w:ind w:left="1440" w:hanging="360"/>
        </w:pPr>
        <w:rPr>
          <w:rFonts w:ascii="Symbol" w:hAnsi="Symbol" w:hint="default"/>
        </w:rPr>
      </w:lvl>
    </w:lvlOverride>
    <w:lvlOverride w:ilvl="4">
      <w:lvl w:ilvl="4" w:tplc="045A2B1E">
        <w:start w:val="1"/>
        <w:numFmt w:val="none"/>
        <w:lvlText w:val="o"/>
        <w:legacy w:legacy="1" w:legacySpace="120" w:legacyIndent="360"/>
        <w:lvlJc w:val="left"/>
        <w:pPr>
          <w:ind w:left="1800" w:hanging="360"/>
        </w:pPr>
        <w:rPr>
          <w:rFonts w:ascii="Courier New" w:hAnsi="Courier New" w:hint="default"/>
        </w:rPr>
      </w:lvl>
    </w:lvlOverride>
    <w:lvlOverride w:ilvl="5">
      <w:lvl w:ilvl="5" w:tplc="77D46C50">
        <w:start w:val="1"/>
        <w:numFmt w:val="none"/>
        <w:lvlText w:val=""/>
        <w:legacy w:legacy="1" w:legacySpace="120" w:legacyIndent="360"/>
        <w:lvlJc w:val="left"/>
        <w:pPr>
          <w:ind w:left="2160" w:hanging="360"/>
        </w:pPr>
        <w:rPr>
          <w:rFonts w:ascii="Wingdings" w:hAnsi="Wingdings" w:hint="default"/>
        </w:rPr>
      </w:lvl>
    </w:lvlOverride>
    <w:lvlOverride w:ilvl="6">
      <w:lvl w:ilvl="6" w:tplc="9AD0ABFE">
        <w:start w:val="1"/>
        <w:numFmt w:val="none"/>
        <w:lvlText w:val=""/>
        <w:legacy w:legacy="1" w:legacySpace="120" w:legacyIndent="360"/>
        <w:lvlJc w:val="left"/>
        <w:pPr>
          <w:ind w:left="2520" w:hanging="360"/>
        </w:pPr>
        <w:rPr>
          <w:rFonts w:ascii="Symbol" w:hAnsi="Symbol" w:hint="default"/>
        </w:rPr>
      </w:lvl>
    </w:lvlOverride>
    <w:lvlOverride w:ilvl="7">
      <w:lvl w:ilvl="7" w:tplc="A7BA3510">
        <w:start w:val="1"/>
        <w:numFmt w:val="none"/>
        <w:lvlText w:val="o"/>
        <w:legacy w:legacy="1" w:legacySpace="120" w:legacyIndent="360"/>
        <w:lvlJc w:val="left"/>
        <w:pPr>
          <w:ind w:left="2880" w:hanging="360"/>
        </w:pPr>
        <w:rPr>
          <w:rFonts w:ascii="Courier New" w:hAnsi="Courier New" w:hint="default"/>
        </w:rPr>
      </w:lvl>
    </w:lvlOverride>
    <w:lvlOverride w:ilvl="8">
      <w:lvl w:ilvl="8" w:tplc="EF6CB0A4">
        <w:start w:val="1"/>
        <w:numFmt w:val="none"/>
        <w:lvlText w:val=""/>
        <w:legacy w:legacy="1" w:legacySpace="120" w:legacyIndent="360"/>
        <w:lvlJc w:val="left"/>
        <w:pPr>
          <w:ind w:left="3240" w:hanging="360"/>
        </w:pPr>
        <w:rPr>
          <w:rFonts w:ascii="Wingdings" w:hAnsi="Wingdings" w:hint="default"/>
        </w:rPr>
      </w:lvl>
    </w:lvlOverride>
  </w:num>
  <w:num w:numId="3">
    <w:abstractNumId w:val="11"/>
  </w:num>
  <w:num w:numId="4">
    <w:abstractNumId w:val="8"/>
  </w:num>
  <w:num w:numId="5">
    <w:abstractNumId w:val="0"/>
  </w:num>
  <w:num w:numId="6">
    <w:abstractNumId w:val="2"/>
  </w:num>
  <w:num w:numId="7">
    <w:abstractNumId w:val="5"/>
  </w:num>
  <w:num w:numId="8">
    <w:abstractNumId w:val="1"/>
  </w:num>
  <w:num w:numId="9">
    <w:abstractNumId w:val="21"/>
  </w:num>
  <w:num w:numId="10">
    <w:abstractNumId w:val="12"/>
  </w:num>
  <w:num w:numId="11">
    <w:abstractNumId w:val="9"/>
  </w:num>
  <w:num w:numId="12">
    <w:abstractNumId w:val="22"/>
  </w:num>
  <w:num w:numId="13">
    <w:abstractNumId w:val="23"/>
  </w:num>
  <w:num w:numId="14">
    <w:abstractNumId w:val="4"/>
  </w:num>
  <w:num w:numId="15">
    <w:abstractNumId w:val="19"/>
  </w:num>
  <w:num w:numId="16">
    <w:abstractNumId w:val="6"/>
  </w:num>
  <w:num w:numId="17">
    <w:abstractNumId w:val="24"/>
  </w:num>
  <w:num w:numId="18">
    <w:abstractNumId w:val="20"/>
  </w:num>
  <w:num w:numId="19">
    <w:abstractNumId w:val="13"/>
  </w:num>
  <w:num w:numId="20">
    <w:abstractNumId w:val="18"/>
  </w:num>
  <w:num w:numId="21">
    <w:abstractNumId w:val="17"/>
  </w:num>
  <w:num w:numId="22">
    <w:abstractNumId w:val="16"/>
  </w:num>
  <w:num w:numId="23">
    <w:abstractNumId w:val="15"/>
  </w:num>
  <w:num w:numId="24">
    <w:abstractNumId w:val="14"/>
  </w:num>
  <w:num w:numId="25">
    <w:abstractNumId w:val="7"/>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55A"/>
    <w:rsid w:val="00001B1A"/>
    <w:rsid w:val="0000742D"/>
    <w:rsid w:val="000111EF"/>
    <w:rsid w:val="00014FEB"/>
    <w:rsid w:val="000216E2"/>
    <w:rsid w:val="00035885"/>
    <w:rsid w:val="000358E7"/>
    <w:rsid w:val="000445B6"/>
    <w:rsid w:val="000657B2"/>
    <w:rsid w:val="00081863"/>
    <w:rsid w:val="00091765"/>
    <w:rsid w:val="000A039B"/>
    <w:rsid w:val="000A2C1D"/>
    <w:rsid w:val="000A547C"/>
    <w:rsid w:val="000B7470"/>
    <w:rsid w:val="000C07D6"/>
    <w:rsid w:val="000D0061"/>
    <w:rsid w:val="000D0550"/>
    <w:rsid w:val="000D7568"/>
    <w:rsid w:val="000E0A9B"/>
    <w:rsid w:val="000E5F56"/>
    <w:rsid w:val="000E646B"/>
    <w:rsid w:val="000E7743"/>
    <w:rsid w:val="00100D32"/>
    <w:rsid w:val="00106163"/>
    <w:rsid w:val="00111ECA"/>
    <w:rsid w:val="00112D3A"/>
    <w:rsid w:val="001253A5"/>
    <w:rsid w:val="001259A9"/>
    <w:rsid w:val="00133FB7"/>
    <w:rsid w:val="001343B8"/>
    <w:rsid w:val="001535FE"/>
    <w:rsid w:val="001545D4"/>
    <w:rsid w:val="00157AEE"/>
    <w:rsid w:val="001631DE"/>
    <w:rsid w:val="00166247"/>
    <w:rsid w:val="00167A45"/>
    <w:rsid w:val="00167BF2"/>
    <w:rsid w:val="00167F8B"/>
    <w:rsid w:val="00172866"/>
    <w:rsid w:val="00175FF5"/>
    <w:rsid w:val="00177139"/>
    <w:rsid w:val="00181F6E"/>
    <w:rsid w:val="00182639"/>
    <w:rsid w:val="001B336F"/>
    <w:rsid w:val="001B77A3"/>
    <w:rsid w:val="001C5950"/>
    <w:rsid w:val="001C6C77"/>
    <w:rsid w:val="001D0568"/>
    <w:rsid w:val="001D4A1C"/>
    <w:rsid w:val="001E19F4"/>
    <w:rsid w:val="001F0626"/>
    <w:rsid w:val="001F31CC"/>
    <w:rsid w:val="00210E59"/>
    <w:rsid w:val="00211E51"/>
    <w:rsid w:val="002132A5"/>
    <w:rsid w:val="0021355A"/>
    <w:rsid w:val="00230D87"/>
    <w:rsid w:val="00235EB9"/>
    <w:rsid w:val="0024117E"/>
    <w:rsid w:val="00242E77"/>
    <w:rsid w:val="0025011A"/>
    <w:rsid w:val="0025070E"/>
    <w:rsid w:val="00254D91"/>
    <w:rsid w:val="002552A3"/>
    <w:rsid w:val="00271C28"/>
    <w:rsid w:val="0027200A"/>
    <w:rsid w:val="002758A2"/>
    <w:rsid w:val="002814AD"/>
    <w:rsid w:val="00286CF0"/>
    <w:rsid w:val="0029620E"/>
    <w:rsid w:val="0029642F"/>
    <w:rsid w:val="002A2AE9"/>
    <w:rsid w:val="002B5E02"/>
    <w:rsid w:val="002B60D4"/>
    <w:rsid w:val="002C02FA"/>
    <w:rsid w:val="002E24F8"/>
    <w:rsid w:val="002E4DF2"/>
    <w:rsid w:val="002E6FF9"/>
    <w:rsid w:val="002F7123"/>
    <w:rsid w:val="002F73EE"/>
    <w:rsid w:val="00303073"/>
    <w:rsid w:val="00303513"/>
    <w:rsid w:val="003077D5"/>
    <w:rsid w:val="003107BA"/>
    <w:rsid w:val="00311524"/>
    <w:rsid w:val="00314FD9"/>
    <w:rsid w:val="003428C9"/>
    <w:rsid w:val="003443AF"/>
    <w:rsid w:val="00350622"/>
    <w:rsid w:val="0035153F"/>
    <w:rsid w:val="00352D0E"/>
    <w:rsid w:val="00354297"/>
    <w:rsid w:val="003650E7"/>
    <w:rsid w:val="003812A2"/>
    <w:rsid w:val="003857DC"/>
    <w:rsid w:val="003860AB"/>
    <w:rsid w:val="00386A44"/>
    <w:rsid w:val="003A706B"/>
    <w:rsid w:val="003B03B9"/>
    <w:rsid w:val="003B6673"/>
    <w:rsid w:val="003C4428"/>
    <w:rsid w:val="003D15BF"/>
    <w:rsid w:val="003D6010"/>
    <w:rsid w:val="003D7E30"/>
    <w:rsid w:val="003E17DB"/>
    <w:rsid w:val="003E2921"/>
    <w:rsid w:val="003E4977"/>
    <w:rsid w:val="003F4749"/>
    <w:rsid w:val="003F6DB6"/>
    <w:rsid w:val="00400BDD"/>
    <w:rsid w:val="0040634F"/>
    <w:rsid w:val="00412A74"/>
    <w:rsid w:val="00414219"/>
    <w:rsid w:val="004151AE"/>
    <w:rsid w:val="00415235"/>
    <w:rsid w:val="004218EB"/>
    <w:rsid w:val="004234CB"/>
    <w:rsid w:val="004235AD"/>
    <w:rsid w:val="00437694"/>
    <w:rsid w:val="004401BE"/>
    <w:rsid w:val="00441440"/>
    <w:rsid w:val="00441751"/>
    <w:rsid w:val="004419E2"/>
    <w:rsid w:val="00441AA4"/>
    <w:rsid w:val="00450A82"/>
    <w:rsid w:val="00453661"/>
    <w:rsid w:val="0047632D"/>
    <w:rsid w:val="00482B91"/>
    <w:rsid w:val="00487576"/>
    <w:rsid w:val="0049405E"/>
    <w:rsid w:val="00497B93"/>
    <w:rsid w:val="004A1842"/>
    <w:rsid w:val="004C78A6"/>
    <w:rsid w:val="004D33AA"/>
    <w:rsid w:val="004D4DE7"/>
    <w:rsid w:val="004F1842"/>
    <w:rsid w:val="005027AB"/>
    <w:rsid w:val="005040D0"/>
    <w:rsid w:val="00505976"/>
    <w:rsid w:val="00505BF6"/>
    <w:rsid w:val="00526C76"/>
    <w:rsid w:val="0053379E"/>
    <w:rsid w:val="005339BD"/>
    <w:rsid w:val="00536CE9"/>
    <w:rsid w:val="005431E5"/>
    <w:rsid w:val="00553742"/>
    <w:rsid w:val="00553B82"/>
    <w:rsid w:val="0055663A"/>
    <w:rsid w:val="00560131"/>
    <w:rsid w:val="0056769A"/>
    <w:rsid w:val="00581201"/>
    <w:rsid w:val="00592204"/>
    <w:rsid w:val="00593D3B"/>
    <w:rsid w:val="005950F3"/>
    <w:rsid w:val="005960A3"/>
    <w:rsid w:val="005A4DDD"/>
    <w:rsid w:val="005B1865"/>
    <w:rsid w:val="005C3E9C"/>
    <w:rsid w:val="005F69C2"/>
    <w:rsid w:val="006004C2"/>
    <w:rsid w:val="00602D9A"/>
    <w:rsid w:val="00611C99"/>
    <w:rsid w:val="0061581C"/>
    <w:rsid w:val="00624E49"/>
    <w:rsid w:val="0062761F"/>
    <w:rsid w:val="00632804"/>
    <w:rsid w:val="00632B1D"/>
    <w:rsid w:val="00633870"/>
    <w:rsid w:val="0065028F"/>
    <w:rsid w:val="0067059A"/>
    <w:rsid w:val="00670AA8"/>
    <w:rsid w:val="00670F72"/>
    <w:rsid w:val="0067387C"/>
    <w:rsid w:val="0067490E"/>
    <w:rsid w:val="0068333E"/>
    <w:rsid w:val="00686ACC"/>
    <w:rsid w:val="00687115"/>
    <w:rsid w:val="006911E2"/>
    <w:rsid w:val="006A290A"/>
    <w:rsid w:val="006A7CF4"/>
    <w:rsid w:val="006B7DC9"/>
    <w:rsid w:val="006C34FE"/>
    <w:rsid w:val="006C54B2"/>
    <w:rsid w:val="006D28E7"/>
    <w:rsid w:val="006D2938"/>
    <w:rsid w:val="007046DC"/>
    <w:rsid w:val="00704D95"/>
    <w:rsid w:val="00705734"/>
    <w:rsid w:val="007111CC"/>
    <w:rsid w:val="00720397"/>
    <w:rsid w:val="00721AF2"/>
    <w:rsid w:val="00726A14"/>
    <w:rsid w:val="00734BBA"/>
    <w:rsid w:val="00735089"/>
    <w:rsid w:val="00735D91"/>
    <w:rsid w:val="0074084F"/>
    <w:rsid w:val="007508CA"/>
    <w:rsid w:val="00761BA4"/>
    <w:rsid w:val="00761E57"/>
    <w:rsid w:val="00783128"/>
    <w:rsid w:val="00783FBC"/>
    <w:rsid w:val="00787B49"/>
    <w:rsid w:val="007A2DD0"/>
    <w:rsid w:val="007A60C1"/>
    <w:rsid w:val="007A6999"/>
    <w:rsid w:val="007B2E7B"/>
    <w:rsid w:val="007B360E"/>
    <w:rsid w:val="007D0D9C"/>
    <w:rsid w:val="007F434A"/>
    <w:rsid w:val="007F67FD"/>
    <w:rsid w:val="007F7E37"/>
    <w:rsid w:val="0080130D"/>
    <w:rsid w:val="00802881"/>
    <w:rsid w:val="008030EC"/>
    <w:rsid w:val="00806606"/>
    <w:rsid w:val="00815BC2"/>
    <w:rsid w:val="00823F91"/>
    <w:rsid w:val="008362F3"/>
    <w:rsid w:val="00836451"/>
    <w:rsid w:val="0083671C"/>
    <w:rsid w:val="00836B4C"/>
    <w:rsid w:val="008379D3"/>
    <w:rsid w:val="00840C00"/>
    <w:rsid w:val="00863F04"/>
    <w:rsid w:val="00874B10"/>
    <w:rsid w:val="0087515C"/>
    <w:rsid w:val="00883913"/>
    <w:rsid w:val="00891337"/>
    <w:rsid w:val="00893BA4"/>
    <w:rsid w:val="008940AA"/>
    <w:rsid w:val="008C260E"/>
    <w:rsid w:val="008C40AE"/>
    <w:rsid w:val="008D29D6"/>
    <w:rsid w:val="008D6A1C"/>
    <w:rsid w:val="008E3585"/>
    <w:rsid w:val="008E5615"/>
    <w:rsid w:val="008E6DE2"/>
    <w:rsid w:val="008F266D"/>
    <w:rsid w:val="008F6D7B"/>
    <w:rsid w:val="009008BC"/>
    <w:rsid w:val="00900E2A"/>
    <w:rsid w:val="0090134C"/>
    <w:rsid w:val="0090265B"/>
    <w:rsid w:val="00904972"/>
    <w:rsid w:val="00910DE9"/>
    <w:rsid w:val="009237AA"/>
    <w:rsid w:val="00924FB8"/>
    <w:rsid w:val="0092559A"/>
    <w:rsid w:val="0093231A"/>
    <w:rsid w:val="00936021"/>
    <w:rsid w:val="00937EF7"/>
    <w:rsid w:val="00945234"/>
    <w:rsid w:val="00945972"/>
    <w:rsid w:val="009630F6"/>
    <w:rsid w:val="0096765A"/>
    <w:rsid w:val="0097511F"/>
    <w:rsid w:val="00980EC1"/>
    <w:rsid w:val="00992D48"/>
    <w:rsid w:val="00993121"/>
    <w:rsid w:val="00993B11"/>
    <w:rsid w:val="009945C9"/>
    <w:rsid w:val="00995930"/>
    <w:rsid w:val="009A1AFD"/>
    <w:rsid w:val="009A33FF"/>
    <w:rsid w:val="009A52F8"/>
    <w:rsid w:val="009B0649"/>
    <w:rsid w:val="009B37BD"/>
    <w:rsid w:val="009B5B2C"/>
    <w:rsid w:val="009B6864"/>
    <w:rsid w:val="009C08DC"/>
    <w:rsid w:val="009C4562"/>
    <w:rsid w:val="009D22C4"/>
    <w:rsid w:val="009D3AD2"/>
    <w:rsid w:val="009D7E83"/>
    <w:rsid w:val="009E4F11"/>
    <w:rsid w:val="009F6100"/>
    <w:rsid w:val="009F7FD8"/>
    <w:rsid w:val="00A0790B"/>
    <w:rsid w:val="00A15AE2"/>
    <w:rsid w:val="00A17528"/>
    <w:rsid w:val="00A23B33"/>
    <w:rsid w:val="00A3584E"/>
    <w:rsid w:val="00A41529"/>
    <w:rsid w:val="00A45AF7"/>
    <w:rsid w:val="00A4697B"/>
    <w:rsid w:val="00A57A98"/>
    <w:rsid w:val="00A62B88"/>
    <w:rsid w:val="00A65BDA"/>
    <w:rsid w:val="00A77B7E"/>
    <w:rsid w:val="00A82585"/>
    <w:rsid w:val="00A8362A"/>
    <w:rsid w:val="00A94377"/>
    <w:rsid w:val="00AA31C0"/>
    <w:rsid w:val="00AA5E75"/>
    <w:rsid w:val="00AC327C"/>
    <w:rsid w:val="00AC32B4"/>
    <w:rsid w:val="00AD3B39"/>
    <w:rsid w:val="00AD58CD"/>
    <w:rsid w:val="00AD7A46"/>
    <w:rsid w:val="00AE0D03"/>
    <w:rsid w:val="00AF7105"/>
    <w:rsid w:val="00B046F1"/>
    <w:rsid w:val="00B07A71"/>
    <w:rsid w:val="00B1506F"/>
    <w:rsid w:val="00B15CC0"/>
    <w:rsid w:val="00B17DD2"/>
    <w:rsid w:val="00B22B4A"/>
    <w:rsid w:val="00B237E3"/>
    <w:rsid w:val="00B45799"/>
    <w:rsid w:val="00B52AC0"/>
    <w:rsid w:val="00B60318"/>
    <w:rsid w:val="00B64F66"/>
    <w:rsid w:val="00B65699"/>
    <w:rsid w:val="00B67AC3"/>
    <w:rsid w:val="00B717A4"/>
    <w:rsid w:val="00B73BB1"/>
    <w:rsid w:val="00B77A2F"/>
    <w:rsid w:val="00B81A8C"/>
    <w:rsid w:val="00B82F9F"/>
    <w:rsid w:val="00B90F53"/>
    <w:rsid w:val="00B9582D"/>
    <w:rsid w:val="00BA5689"/>
    <w:rsid w:val="00BB1859"/>
    <w:rsid w:val="00BB2BF9"/>
    <w:rsid w:val="00BB5AFA"/>
    <w:rsid w:val="00BC78A5"/>
    <w:rsid w:val="00BD3409"/>
    <w:rsid w:val="00BE019E"/>
    <w:rsid w:val="00BE1EC6"/>
    <w:rsid w:val="00BE6B5A"/>
    <w:rsid w:val="00BE75E9"/>
    <w:rsid w:val="00BF147B"/>
    <w:rsid w:val="00BF2655"/>
    <w:rsid w:val="00BF2844"/>
    <w:rsid w:val="00BF4717"/>
    <w:rsid w:val="00BF472B"/>
    <w:rsid w:val="00C04D2D"/>
    <w:rsid w:val="00C0697C"/>
    <w:rsid w:val="00C10DF1"/>
    <w:rsid w:val="00C110A9"/>
    <w:rsid w:val="00C11F30"/>
    <w:rsid w:val="00C216E2"/>
    <w:rsid w:val="00C22918"/>
    <w:rsid w:val="00C245CC"/>
    <w:rsid w:val="00C2488E"/>
    <w:rsid w:val="00C26749"/>
    <w:rsid w:val="00C33CEE"/>
    <w:rsid w:val="00C3705A"/>
    <w:rsid w:val="00C414C0"/>
    <w:rsid w:val="00C42D04"/>
    <w:rsid w:val="00C479B1"/>
    <w:rsid w:val="00C55C5F"/>
    <w:rsid w:val="00C5706F"/>
    <w:rsid w:val="00C570D5"/>
    <w:rsid w:val="00C60E4C"/>
    <w:rsid w:val="00C6112A"/>
    <w:rsid w:val="00C63144"/>
    <w:rsid w:val="00C63F87"/>
    <w:rsid w:val="00C66EA8"/>
    <w:rsid w:val="00C7067F"/>
    <w:rsid w:val="00C72810"/>
    <w:rsid w:val="00C736B2"/>
    <w:rsid w:val="00C7591A"/>
    <w:rsid w:val="00C7787B"/>
    <w:rsid w:val="00C833CD"/>
    <w:rsid w:val="00C91C05"/>
    <w:rsid w:val="00CA4C32"/>
    <w:rsid w:val="00CB1D2C"/>
    <w:rsid w:val="00CC79AD"/>
    <w:rsid w:val="00CD0920"/>
    <w:rsid w:val="00CD6C04"/>
    <w:rsid w:val="00CD7FAE"/>
    <w:rsid w:val="00CE4E64"/>
    <w:rsid w:val="00CE7514"/>
    <w:rsid w:val="00D074FB"/>
    <w:rsid w:val="00D22D72"/>
    <w:rsid w:val="00D23BA9"/>
    <w:rsid w:val="00D27059"/>
    <w:rsid w:val="00D367EA"/>
    <w:rsid w:val="00D372FE"/>
    <w:rsid w:val="00D37569"/>
    <w:rsid w:val="00D41CB1"/>
    <w:rsid w:val="00D44C5F"/>
    <w:rsid w:val="00D62760"/>
    <w:rsid w:val="00D64C1D"/>
    <w:rsid w:val="00D6781D"/>
    <w:rsid w:val="00D67D35"/>
    <w:rsid w:val="00D7223A"/>
    <w:rsid w:val="00D87CFC"/>
    <w:rsid w:val="00DA5E34"/>
    <w:rsid w:val="00DA67BA"/>
    <w:rsid w:val="00DC3B29"/>
    <w:rsid w:val="00DD2E29"/>
    <w:rsid w:val="00DE11B6"/>
    <w:rsid w:val="00DF00F6"/>
    <w:rsid w:val="00DF5382"/>
    <w:rsid w:val="00DF55C6"/>
    <w:rsid w:val="00E01F69"/>
    <w:rsid w:val="00E042A5"/>
    <w:rsid w:val="00E045D7"/>
    <w:rsid w:val="00E052D5"/>
    <w:rsid w:val="00E07A4A"/>
    <w:rsid w:val="00E11A4D"/>
    <w:rsid w:val="00E1688D"/>
    <w:rsid w:val="00E30DDA"/>
    <w:rsid w:val="00E42AF1"/>
    <w:rsid w:val="00E55166"/>
    <w:rsid w:val="00E56329"/>
    <w:rsid w:val="00E65E57"/>
    <w:rsid w:val="00E743D5"/>
    <w:rsid w:val="00E74547"/>
    <w:rsid w:val="00E8300A"/>
    <w:rsid w:val="00E838D2"/>
    <w:rsid w:val="00E90A85"/>
    <w:rsid w:val="00EA173C"/>
    <w:rsid w:val="00EA75C8"/>
    <w:rsid w:val="00EC3428"/>
    <w:rsid w:val="00EC5C98"/>
    <w:rsid w:val="00ED001D"/>
    <w:rsid w:val="00ED3988"/>
    <w:rsid w:val="00EE25FF"/>
    <w:rsid w:val="00EE4F34"/>
    <w:rsid w:val="00F04959"/>
    <w:rsid w:val="00F0565B"/>
    <w:rsid w:val="00F058A3"/>
    <w:rsid w:val="00F07F9A"/>
    <w:rsid w:val="00F11E1D"/>
    <w:rsid w:val="00F150E0"/>
    <w:rsid w:val="00F15DBB"/>
    <w:rsid w:val="00F1707B"/>
    <w:rsid w:val="00F22582"/>
    <w:rsid w:val="00F23E29"/>
    <w:rsid w:val="00F35B85"/>
    <w:rsid w:val="00F43AB5"/>
    <w:rsid w:val="00F47C25"/>
    <w:rsid w:val="00F5029B"/>
    <w:rsid w:val="00F50BA3"/>
    <w:rsid w:val="00F5487A"/>
    <w:rsid w:val="00F80565"/>
    <w:rsid w:val="00F906EC"/>
    <w:rsid w:val="00FA5098"/>
    <w:rsid w:val="00FA7688"/>
    <w:rsid w:val="00FB0C4B"/>
    <w:rsid w:val="00FB461B"/>
    <w:rsid w:val="00FB57DB"/>
    <w:rsid w:val="00FD18CE"/>
    <w:rsid w:val="00FD2C8A"/>
    <w:rsid w:val="00FD4317"/>
    <w:rsid w:val="00FD5A50"/>
    <w:rsid w:val="00FD7B49"/>
    <w:rsid w:val="00FD7DC0"/>
    <w:rsid w:val="00FE013A"/>
    <w:rsid w:val="00FE0736"/>
    <w:rsid w:val="00FE7A48"/>
    <w:rsid w:val="015A645E"/>
    <w:rsid w:val="0261A866"/>
    <w:rsid w:val="034F207D"/>
    <w:rsid w:val="05174D55"/>
    <w:rsid w:val="08395382"/>
    <w:rsid w:val="0CAFA7B5"/>
    <w:rsid w:val="0CF6E495"/>
    <w:rsid w:val="0D2F0EB5"/>
    <w:rsid w:val="0FD4226F"/>
    <w:rsid w:val="126E481B"/>
    <w:rsid w:val="12EEA8C1"/>
    <w:rsid w:val="1339ACC8"/>
    <w:rsid w:val="15300E65"/>
    <w:rsid w:val="1572D23B"/>
    <w:rsid w:val="1800663B"/>
    <w:rsid w:val="1869173E"/>
    <w:rsid w:val="195D6711"/>
    <w:rsid w:val="1A9A48CA"/>
    <w:rsid w:val="1C2D050D"/>
    <w:rsid w:val="1ECE5A16"/>
    <w:rsid w:val="1EF0ED01"/>
    <w:rsid w:val="1FE490BA"/>
    <w:rsid w:val="216761EA"/>
    <w:rsid w:val="216D16EA"/>
    <w:rsid w:val="22B96A2F"/>
    <w:rsid w:val="25DB0B37"/>
    <w:rsid w:val="26014CD6"/>
    <w:rsid w:val="29196B08"/>
    <w:rsid w:val="29644AD9"/>
    <w:rsid w:val="2B0B93AE"/>
    <w:rsid w:val="2C419431"/>
    <w:rsid w:val="2D149ACA"/>
    <w:rsid w:val="2F4C48D0"/>
    <w:rsid w:val="2FF2C059"/>
    <w:rsid w:val="345CB0F1"/>
    <w:rsid w:val="34BE6614"/>
    <w:rsid w:val="3811975F"/>
    <w:rsid w:val="3969157F"/>
    <w:rsid w:val="3A468EBC"/>
    <w:rsid w:val="3E387EA7"/>
    <w:rsid w:val="417F84E5"/>
    <w:rsid w:val="418EA6F4"/>
    <w:rsid w:val="439E88BA"/>
    <w:rsid w:val="43B9D3C4"/>
    <w:rsid w:val="4718A863"/>
    <w:rsid w:val="4A5263E4"/>
    <w:rsid w:val="4C9C2091"/>
    <w:rsid w:val="4DC0B489"/>
    <w:rsid w:val="508E46CD"/>
    <w:rsid w:val="53049C8F"/>
    <w:rsid w:val="536E6EE1"/>
    <w:rsid w:val="537E99B3"/>
    <w:rsid w:val="59F5F4FB"/>
    <w:rsid w:val="5C435074"/>
    <w:rsid w:val="5CA39798"/>
    <w:rsid w:val="5CC319F8"/>
    <w:rsid w:val="5F624455"/>
    <w:rsid w:val="5FFBB041"/>
    <w:rsid w:val="617AEFAB"/>
    <w:rsid w:val="64651736"/>
    <w:rsid w:val="66842F36"/>
    <w:rsid w:val="67DC0AC8"/>
    <w:rsid w:val="692ED3BB"/>
    <w:rsid w:val="6A1459D3"/>
    <w:rsid w:val="6A35C73B"/>
    <w:rsid w:val="6B0F6F46"/>
    <w:rsid w:val="6BC5934F"/>
    <w:rsid w:val="6C6A08D5"/>
    <w:rsid w:val="6D764AEA"/>
    <w:rsid w:val="7059C7CD"/>
    <w:rsid w:val="727F4896"/>
    <w:rsid w:val="73098831"/>
    <w:rsid w:val="7407AAE7"/>
    <w:rsid w:val="7800F4CE"/>
    <w:rsid w:val="78A0C826"/>
    <w:rsid w:val="790CC732"/>
    <w:rsid w:val="79F3432A"/>
    <w:rsid w:val="7EB77E0B"/>
    <w:rsid w:val="7EDEF136"/>
    <w:rsid w:val="7FAF4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FBC"/>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83FBC"/>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783FBC"/>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783FBC"/>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783FBC"/>
    <w:pPr>
      <w:spacing w:line="360" w:lineRule="auto"/>
      <w:jc w:val="both"/>
    </w:pPr>
    <w:rPr>
      <w:rFonts w:ascii="Arial" w:hAnsi="Arial"/>
      <w:sz w:val="26"/>
      <w:szCs w:val="20"/>
      <w:lang w:val="es-ES_tradnl"/>
    </w:rPr>
  </w:style>
  <w:style w:type="paragraph" w:styleId="Textoindependiente2">
    <w:name w:val="Body Text 2"/>
    <w:basedOn w:val="Normal"/>
    <w:rsid w:val="00783FBC"/>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783FBC"/>
    <w:rPr>
      <w:vertAlign w:val="superscript"/>
    </w:rPr>
  </w:style>
  <w:style w:type="paragraph" w:styleId="Cierre">
    <w:name w:val="Closing"/>
    <w:basedOn w:val="Normal"/>
    <w:rsid w:val="00783FBC"/>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783FBC"/>
    <w:rPr>
      <w:sz w:val="20"/>
      <w:szCs w:val="20"/>
      <w:lang w:val="es-ES_tradnl"/>
    </w:rPr>
  </w:style>
  <w:style w:type="paragraph" w:styleId="Encabezado">
    <w:name w:val="header"/>
    <w:basedOn w:val="Normal"/>
    <w:rsid w:val="00783FBC"/>
    <w:pPr>
      <w:tabs>
        <w:tab w:val="center" w:pos="4252"/>
        <w:tab w:val="right" w:pos="8504"/>
      </w:tabs>
    </w:pPr>
    <w:rPr>
      <w:sz w:val="20"/>
      <w:szCs w:val="20"/>
      <w:lang w:val="es-ES_tradnl"/>
    </w:rPr>
  </w:style>
  <w:style w:type="paragraph" w:styleId="Piedepgina">
    <w:name w:val="footer"/>
    <w:basedOn w:val="Normal"/>
    <w:rsid w:val="00783FBC"/>
    <w:pPr>
      <w:tabs>
        <w:tab w:val="center" w:pos="4419"/>
        <w:tab w:val="right" w:pos="8838"/>
      </w:tabs>
    </w:pPr>
    <w:rPr>
      <w:sz w:val="20"/>
      <w:szCs w:val="20"/>
      <w:lang w:val="es-ES_tradnl"/>
    </w:rPr>
  </w:style>
  <w:style w:type="character" w:styleId="Hipervnculo">
    <w:name w:val="Hyperlink"/>
    <w:rsid w:val="00783FBC"/>
    <w:rPr>
      <w:rFonts w:ascii="Times New Roman" w:hAnsi="Times New Roman" w:cs="Times New Roman" w:hint="default"/>
      <w:color w:val="660099"/>
      <w:u w:val="single"/>
    </w:rPr>
  </w:style>
  <w:style w:type="character" w:customStyle="1" w:styleId="PiedepginaCar">
    <w:name w:val="Pie de página Car"/>
    <w:locked/>
    <w:rsid w:val="00783FBC"/>
    <w:rPr>
      <w:lang w:val="es-ES_tradnl" w:eastAsia="es-ES" w:bidi="ar-SA"/>
    </w:rPr>
  </w:style>
  <w:style w:type="paragraph" w:styleId="Textodebloque">
    <w:name w:val="Block Text"/>
    <w:basedOn w:val="Normal"/>
    <w:rsid w:val="00783FBC"/>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783FBC"/>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iaj">
    <w:name w:val="i_aj"/>
    <w:rsid w:val="00DC3B29"/>
  </w:style>
  <w:style w:type="table" w:styleId="Tablaconcuadrcula">
    <w:name w:val="Table Grid"/>
    <w:basedOn w:val="Tablanormal"/>
    <w:rsid w:val="00C1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CC79AD"/>
    <w:rPr>
      <w:sz w:val="20"/>
      <w:szCs w:val="20"/>
    </w:rPr>
  </w:style>
  <w:style w:type="character" w:customStyle="1" w:styleId="TextocomentarioCar">
    <w:name w:val="Texto comentario Car"/>
    <w:basedOn w:val="Fuentedeprrafopredeter"/>
    <w:link w:val="Textocomentario"/>
    <w:semiHidden/>
    <w:rsid w:val="00CC79AD"/>
  </w:style>
  <w:style w:type="character" w:styleId="Refdecomentario">
    <w:name w:val="annotation reference"/>
    <w:basedOn w:val="Fuentedeprrafopredeter"/>
    <w:semiHidden/>
    <w:unhideWhenUsed/>
    <w:rsid w:val="00CC79AD"/>
    <w:rPr>
      <w:sz w:val="16"/>
      <w:szCs w:val="16"/>
    </w:rPr>
  </w:style>
  <w:style w:type="paragraph" w:styleId="Asuntodelcomentario">
    <w:name w:val="annotation subject"/>
    <w:basedOn w:val="Textocomentario"/>
    <w:next w:val="Textocomentario"/>
    <w:link w:val="AsuntodelcomentarioCar"/>
    <w:semiHidden/>
    <w:unhideWhenUsed/>
    <w:rsid w:val="000D7568"/>
    <w:rPr>
      <w:b/>
      <w:bCs/>
    </w:rPr>
  </w:style>
  <w:style w:type="character" w:customStyle="1" w:styleId="AsuntodelcomentarioCar">
    <w:name w:val="Asunto del comentario Car"/>
    <w:basedOn w:val="TextocomentarioCar"/>
    <w:link w:val="Asuntodelcomentario"/>
    <w:semiHidden/>
    <w:rsid w:val="000D7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030">
      <w:bodyDiv w:val="1"/>
      <w:marLeft w:val="0"/>
      <w:marRight w:val="0"/>
      <w:marTop w:val="0"/>
      <w:marBottom w:val="0"/>
      <w:divBdr>
        <w:top w:val="none" w:sz="0" w:space="0" w:color="auto"/>
        <w:left w:val="none" w:sz="0" w:space="0" w:color="auto"/>
        <w:bottom w:val="none" w:sz="0" w:space="0" w:color="auto"/>
        <w:right w:val="none" w:sz="0" w:space="0" w:color="auto"/>
      </w:divBdr>
    </w:div>
    <w:div w:id="1159150326">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d01e2fcc49d94b9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8E695-5763-4F68-B3B8-05F49343F607}">
  <ds:schemaRefs>
    <ds:schemaRef ds:uri="http://schemas.microsoft.com/sharepoint/v3/contenttype/forms"/>
  </ds:schemaRefs>
</ds:datastoreItem>
</file>

<file path=customXml/itemProps2.xml><?xml version="1.0" encoding="utf-8"?>
<ds:datastoreItem xmlns:ds="http://schemas.openxmlformats.org/officeDocument/2006/customXml" ds:itemID="{26591732-8452-4BAC-B398-DB7EEF4E2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63E0D-0521-4E3F-966D-DBD4938C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3085</Words>
  <Characters>16969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ALONSO</cp:lastModifiedBy>
  <cp:revision>4</cp:revision>
  <cp:lastPrinted>2020-02-19T15:27:00Z</cp:lastPrinted>
  <dcterms:created xsi:type="dcterms:W3CDTF">2020-10-23T15:47:00Z</dcterms:created>
  <dcterms:modified xsi:type="dcterms:W3CDTF">2020-11-20T15:28:00Z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