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582" w:rsidRPr="00E54582" w:rsidRDefault="00E54582" w:rsidP="00E5458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E54582">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54582" w:rsidRPr="00E54582" w:rsidRDefault="00E54582" w:rsidP="00E54582">
      <w:pPr>
        <w:jc w:val="both"/>
        <w:rPr>
          <w:rFonts w:ascii="Arial" w:hAnsi="Arial" w:cs="Arial"/>
          <w:sz w:val="20"/>
          <w:szCs w:val="20"/>
          <w:lang w:val="es-419"/>
        </w:rPr>
      </w:pPr>
    </w:p>
    <w:p w:rsidR="00E54582" w:rsidRPr="00E54582" w:rsidRDefault="00E54582" w:rsidP="00E54582">
      <w:pPr>
        <w:jc w:val="both"/>
        <w:rPr>
          <w:rFonts w:ascii="Arial" w:hAnsi="Arial" w:cs="Arial"/>
          <w:b/>
          <w:bCs/>
          <w:iCs/>
          <w:sz w:val="20"/>
          <w:szCs w:val="20"/>
          <w:lang w:val="es-419" w:eastAsia="fr-FR"/>
        </w:rPr>
      </w:pPr>
      <w:r w:rsidRPr="00E54582">
        <w:rPr>
          <w:rFonts w:ascii="Arial" w:hAnsi="Arial" w:cs="Arial"/>
          <w:b/>
          <w:bCs/>
          <w:iCs/>
          <w:sz w:val="20"/>
          <w:szCs w:val="20"/>
          <w:u w:val="single"/>
          <w:lang w:val="es-419" w:eastAsia="fr-FR"/>
        </w:rPr>
        <w:t>TEMAS:</w:t>
      </w:r>
      <w:r w:rsidRPr="00E54582">
        <w:rPr>
          <w:rFonts w:ascii="Arial" w:hAnsi="Arial" w:cs="Arial"/>
          <w:b/>
          <w:bCs/>
          <w:iCs/>
          <w:sz w:val="20"/>
          <w:szCs w:val="20"/>
          <w:lang w:val="es-419" w:eastAsia="fr-FR"/>
        </w:rPr>
        <w:tab/>
      </w:r>
      <w:r w:rsidR="00165990" w:rsidRPr="00165990">
        <w:rPr>
          <w:rFonts w:ascii="Arial" w:hAnsi="Arial" w:cs="Arial"/>
          <w:b/>
          <w:sz w:val="20"/>
          <w:szCs w:val="20"/>
          <w:lang w:val="es-419"/>
        </w:rPr>
        <w:t>PREACUERDO / DEGRADACIÓN DE AUTOR A CÓMPLICE EN DELITO UNIPERSONAL / NO ES PROCEDENTE MODIFICAR EL NÚCLEO FÁCTICO DE LA CONDUCTA TÍPICA / JUEZ DEBE EJERCER CONTROL MATERIAL / SENTENCIA SU479-19.</w:t>
      </w:r>
    </w:p>
    <w:p w:rsidR="00E54582" w:rsidRPr="00E54582" w:rsidRDefault="00E54582" w:rsidP="00E54582">
      <w:pPr>
        <w:jc w:val="both"/>
        <w:rPr>
          <w:rFonts w:ascii="Arial" w:hAnsi="Arial" w:cs="Arial"/>
          <w:sz w:val="20"/>
          <w:szCs w:val="20"/>
          <w:lang w:val="es-419"/>
        </w:rPr>
      </w:pPr>
    </w:p>
    <w:p w:rsidR="00E54582" w:rsidRPr="00E54582" w:rsidRDefault="00EE467C" w:rsidP="00E54582">
      <w:pPr>
        <w:jc w:val="both"/>
        <w:rPr>
          <w:rFonts w:ascii="Arial" w:hAnsi="Arial" w:cs="Arial"/>
          <w:sz w:val="20"/>
          <w:szCs w:val="20"/>
          <w:lang w:val="es-419"/>
        </w:rPr>
      </w:pPr>
      <w:r w:rsidRPr="00EE467C">
        <w:rPr>
          <w:rFonts w:ascii="Arial" w:hAnsi="Arial" w:cs="Arial"/>
          <w:sz w:val="20"/>
          <w:szCs w:val="20"/>
          <w:lang w:val="es-419"/>
        </w:rPr>
        <w:t>Se debe decidir el grado de acierto de la decisión de primera instancia, en la cual, en lo esencial, el juez de primer grado consideró que en aplicación del precedente SU – 479 de 2019 de la Corte Constitucional, que decidió algunos asuntos de relevancia en materia de preacuerdos, no era posible que en ese tipo de convenciones se desconociera el contexto fáctico del caso, para degradar el grado de participación de autor a cómplice cuando se trataba de un delito unipersonal, por lo cual improbó la convención celebrada entre la FGN y el acusado.</w:t>
      </w:r>
      <w:r>
        <w:rPr>
          <w:rFonts w:ascii="Arial" w:hAnsi="Arial" w:cs="Arial"/>
          <w:sz w:val="20"/>
          <w:szCs w:val="20"/>
          <w:lang w:val="es-419"/>
        </w:rPr>
        <w:t xml:space="preserve"> (…)</w:t>
      </w:r>
    </w:p>
    <w:p w:rsidR="00E54582" w:rsidRPr="00E54582" w:rsidRDefault="00E54582" w:rsidP="00E54582">
      <w:pPr>
        <w:jc w:val="both"/>
        <w:rPr>
          <w:rFonts w:ascii="Arial" w:hAnsi="Arial" w:cs="Arial"/>
          <w:sz w:val="20"/>
          <w:szCs w:val="20"/>
          <w:lang w:val="es-419"/>
        </w:rPr>
      </w:pPr>
    </w:p>
    <w:p w:rsidR="00EE467C" w:rsidRPr="00EE467C" w:rsidRDefault="00EE467C" w:rsidP="00EE467C">
      <w:pPr>
        <w:jc w:val="both"/>
        <w:rPr>
          <w:rFonts w:ascii="Arial" w:hAnsi="Arial" w:cs="Arial"/>
          <w:sz w:val="20"/>
          <w:szCs w:val="20"/>
          <w:lang w:val="es-419"/>
        </w:rPr>
      </w:pPr>
      <w:r w:rsidRPr="00EE467C">
        <w:rPr>
          <w:rFonts w:ascii="Arial" w:hAnsi="Arial" w:cs="Arial"/>
          <w:sz w:val="20"/>
          <w:szCs w:val="20"/>
          <w:lang w:val="es-419"/>
        </w:rPr>
        <w:t>Según</w:t>
      </w:r>
      <w:r>
        <w:rPr>
          <w:rFonts w:ascii="Arial" w:hAnsi="Arial" w:cs="Arial"/>
          <w:sz w:val="20"/>
          <w:szCs w:val="20"/>
          <w:lang w:val="es-419"/>
        </w:rPr>
        <w:t>…</w:t>
      </w:r>
      <w:r w:rsidRPr="00EE467C">
        <w:rPr>
          <w:rFonts w:ascii="Arial" w:hAnsi="Arial" w:cs="Arial"/>
          <w:sz w:val="20"/>
          <w:szCs w:val="20"/>
          <w:lang w:val="es-419"/>
        </w:rPr>
        <w:t xml:space="preserve"> la sentencia SU–479 de 2019, el presupuesto de todo preacuerdo consiste en “no soslayar el núcleo fáctico de la imputación que determina una correcta adecuación típica, lo que incluye obviamente todas las circunstancias específicas de mayor y menor punibilidad, que fundamentan la imputación jurídica”.</w:t>
      </w:r>
    </w:p>
    <w:p w:rsidR="00EE467C" w:rsidRPr="00EE467C" w:rsidRDefault="00EE467C" w:rsidP="00EE467C">
      <w:pPr>
        <w:jc w:val="both"/>
        <w:rPr>
          <w:rFonts w:ascii="Arial" w:hAnsi="Arial" w:cs="Arial"/>
          <w:sz w:val="20"/>
          <w:szCs w:val="20"/>
          <w:lang w:val="es-419"/>
        </w:rPr>
      </w:pPr>
    </w:p>
    <w:p w:rsidR="00E54582" w:rsidRPr="00E54582" w:rsidRDefault="00EE467C" w:rsidP="00EE467C">
      <w:pPr>
        <w:jc w:val="both"/>
        <w:rPr>
          <w:rFonts w:ascii="Arial" w:hAnsi="Arial" w:cs="Arial"/>
          <w:sz w:val="20"/>
          <w:szCs w:val="20"/>
          <w:lang w:val="es-419"/>
        </w:rPr>
      </w:pPr>
      <w:r w:rsidRPr="00EE467C">
        <w:rPr>
          <w:rFonts w:ascii="Arial" w:hAnsi="Arial" w:cs="Arial"/>
          <w:sz w:val="20"/>
          <w:szCs w:val="20"/>
          <w:lang w:val="es-419"/>
        </w:rPr>
        <w:t>Precisamente esa insistencia en el respeto al marco fáctico del caso se convierte en un condicionante que impediría celebrar preacuerdos donde la convención desconozca el marco óntico, como podría suceder: i) cuando una persona es capturada con 20.000 gramos de marihuana (inciso 1º del artículo 376 del CP) y por vía de un pacto entre la FGN y la defensa se dice que la cantidad de estupefaciente decomisado fue inferior a 10.000 gramos de ese material; ii) cuando en un delito similar se captura al procesado llevando consigo  cocaína y se hace constar en el preacuerdo que para efectos de la negociación la sustancia será tenida como el alucinógeno marihuana</w:t>
      </w:r>
      <w:r>
        <w:rPr>
          <w:rFonts w:ascii="Arial" w:hAnsi="Arial" w:cs="Arial"/>
          <w:sz w:val="20"/>
          <w:szCs w:val="20"/>
          <w:lang w:val="es-419"/>
        </w:rPr>
        <w:t>…</w:t>
      </w:r>
    </w:p>
    <w:p w:rsidR="00E54582" w:rsidRDefault="00E54582" w:rsidP="00E54582">
      <w:pPr>
        <w:jc w:val="both"/>
        <w:rPr>
          <w:rFonts w:ascii="Arial" w:hAnsi="Arial" w:cs="Arial"/>
          <w:sz w:val="20"/>
          <w:szCs w:val="20"/>
        </w:rPr>
      </w:pPr>
    </w:p>
    <w:p w:rsidR="00EE467C" w:rsidRDefault="00EE467C" w:rsidP="00E54582">
      <w:pPr>
        <w:jc w:val="both"/>
        <w:rPr>
          <w:rFonts w:ascii="Arial" w:hAnsi="Arial" w:cs="Arial"/>
          <w:sz w:val="20"/>
          <w:szCs w:val="20"/>
        </w:rPr>
      </w:pPr>
      <w:r w:rsidRPr="00EE467C">
        <w:rPr>
          <w:rFonts w:ascii="Arial" w:hAnsi="Arial" w:cs="Arial"/>
          <w:sz w:val="20"/>
          <w:szCs w:val="20"/>
        </w:rPr>
        <w:t>En opinión de la Sala ese es el sentido que se le debe dar a ese segmento de la sentencia C-479 de 2019, ya de manera específica, en el apartado 44 de esa providencia se manifiesta que los fines de los preacuerdos solo se ven materializados “… cuando existen criterios objetivos para su delimitación...”, lo que impide modificar el marco fáctico de la imputación o la acusación, en aquello que es objetivo</w:t>
      </w:r>
      <w:r>
        <w:rPr>
          <w:rFonts w:ascii="Arial" w:hAnsi="Arial" w:cs="Arial"/>
          <w:sz w:val="20"/>
          <w:szCs w:val="20"/>
        </w:rPr>
        <w:t>…</w:t>
      </w:r>
    </w:p>
    <w:p w:rsidR="00EE467C" w:rsidRDefault="00EE467C" w:rsidP="00E54582">
      <w:pPr>
        <w:jc w:val="both"/>
        <w:rPr>
          <w:rFonts w:ascii="Arial" w:hAnsi="Arial" w:cs="Arial"/>
          <w:sz w:val="20"/>
          <w:szCs w:val="20"/>
        </w:rPr>
      </w:pPr>
    </w:p>
    <w:p w:rsidR="00EE467C" w:rsidRDefault="00EE467C" w:rsidP="00E54582">
      <w:pPr>
        <w:jc w:val="both"/>
        <w:rPr>
          <w:rFonts w:ascii="Arial" w:hAnsi="Arial" w:cs="Arial"/>
          <w:sz w:val="20"/>
          <w:szCs w:val="20"/>
        </w:rPr>
      </w:pPr>
      <w:r>
        <w:rPr>
          <w:rFonts w:ascii="Arial" w:hAnsi="Arial" w:cs="Arial"/>
          <w:sz w:val="20"/>
          <w:szCs w:val="20"/>
        </w:rPr>
        <w:t xml:space="preserve">… en </w:t>
      </w:r>
      <w:r w:rsidRPr="00EE467C">
        <w:rPr>
          <w:rFonts w:ascii="Arial" w:hAnsi="Arial" w:cs="Arial"/>
          <w:sz w:val="20"/>
          <w:szCs w:val="20"/>
        </w:rPr>
        <w:t xml:space="preserve">este evento el </w:t>
      </w:r>
      <w:proofErr w:type="spellStart"/>
      <w:r w:rsidRPr="00EE467C">
        <w:rPr>
          <w:rFonts w:ascii="Arial" w:hAnsi="Arial" w:cs="Arial"/>
          <w:sz w:val="20"/>
          <w:szCs w:val="20"/>
        </w:rPr>
        <w:t>factum</w:t>
      </w:r>
      <w:proofErr w:type="spellEnd"/>
      <w:r w:rsidRPr="00EE467C">
        <w:rPr>
          <w:rFonts w:ascii="Arial" w:hAnsi="Arial" w:cs="Arial"/>
          <w:sz w:val="20"/>
          <w:szCs w:val="20"/>
        </w:rPr>
        <w:t xml:space="preserve"> de la acusación no corresponde en modo alguno a una situación de concurso de personas en la conducta punible, ya que conforme a lo dispuesto en el numeral 1º del artículo 337 del </w:t>
      </w:r>
      <w:proofErr w:type="spellStart"/>
      <w:r w:rsidRPr="00EE467C">
        <w:rPr>
          <w:rFonts w:ascii="Arial" w:hAnsi="Arial" w:cs="Arial"/>
          <w:sz w:val="20"/>
          <w:szCs w:val="20"/>
        </w:rPr>
        <w:t>CPP</w:t>
      </w:r>
      <w:proofErr w:type="spellEnd"/>
      <w:r w:rsidRPr="00EE467C">
        <w:rPr>
          <w:rFonts w:ascii="Arial" w:hAnsi="Arial" w:cs="Arial"/>
          <w:sz w:val="20"/>
          <w:szCs w:val="20"/>
        </w:rPr>
        <w:t xml:space="preserve">, se entiende que el escrito de acusación se dirigió exclusivamente contra el señor José </w:t>
      </w:r>
      <w:proofErr w:type="spellStart"/>
      <w:r w:rsidRPr="00EE467C">
        <w:rPr>
          <w:rFonts w:ascii="Arial" w:hAnsi="Arial" w:cs="Arial"/>
          <w:sz w:val="20"/>
          <w:szCs w:val="20"/>
        </w:rPr>
        <w:t>AMM</w:t>
      </w:r>
      <w:proofErr w:type="spellEnd"/>
      <w:r w:rsidRPr="00EE467C">
        <w:rPr>
          <w:rFonts w:ascii="Arial" w:hAnsi="Arial" w:cs="Arial"/>
          <w:sz w:val="20"/>
          <w:szCs w:val="20"/>
        </w:rPr>
        <w:t xml:space="preserve">, quien fue acusado como único autor de la violación del artículo 376 del </w:t>
      </w:r>
      <w:proofErr w:type="spellStart"/>
      <w:r w:rsidRPr="00EE467C">
        <w:rPr>
          <w:rFonts w:ascii="Arial" w:hAnsi="Arial" w:cs="Arial"/>
          <w:sz w:val="20"/>
          <w:szCs w:val="20"/>
        </w:rPr>
        <w:t>CP</w:t>
      </w:r>
      <w:proofErr w:type="spellEnd"/>
      <w:r w:rsidRPr="00EE467C">
        <w:rPr>
          <w:rFonts w:ascii="Arial" w:hAnsi="Arial" w:cs="Arial"/>
          <w:sz w:val="20"/>
          <w:szCs w:val="20"/>
        </w:rPr>
        <w:t>, lo cual tiene notoria injerencia frente a la decisión a adoptar en este caso, donde por vía de preacuerdo se degradó la participación del acusado de autor a partícipe de ese delito en la modalidad de complicidad</w:t>
      </w:r>
      <w:r>
        <w:rPr>
          <w:rFonts w:ascii="Arial" w:hAnsi="Arial" w:cs="Arial"/>
          <w:sz w:val="20"/>
          <w:szCs w:val="20"/>
        </w:rPr>
        <w:t>…</w:t>
      </w:r>
    </w:p>
    <w:p w:rsidR="00EE467C" w:rsidRDefault="00EE467C" w:rsidP="00E54582">
      <w:pPr>
        <w:jc w:val="both"/>
        <w:rPr>
          <w:rFonts w:ascii="Arial" w:hAnsi="Arial" w:cs="Arial"/>
          <w:sz w:val="20"/>
          <w:szCs w:val="20"/>
        </w:rPr>
      </w:pPr>
    </w:p>
    <w:p w:rsidR="00EE467C" w:rsidRDefault="00EE467C" w:rsidP="00E54582">
      <w:pPr>
        <w:jc w:val="both"/>
        <w:rPr>
          <w:rFonts w:ascii="Arial" w:hAnsi="Arial" w:cs="Arial"/>
          <w:sz w:val="20"/>
          <w:szCs w:val="20"/>
        </w:rPr>
      </w:pPr>
      <w:r w:rsidRPr="00EE467C">
        <w:rPr>
          <w:rFonts w:ascii="Arial" w:hAnsi="Arial" w:cs="Arial"/>
          <w:sz w:val="20"/>
          <w:szCs w:val="20"/>
        </w:rPr>
        <w:t xml:space="preserve">Por eso se considera que al no presentarse un evento de concurso de personas en el delito que se investiga, la degradación de la conducta del señor </w:t>
      </w:r>
      <w:proofErr w:type="spellStart"/>
      <w:r w:rsidRPr="00EE467C">
        <w:rPr>
          <w:rFonts w:ascii="Arial" w:hAnsi="Arial" w:cs="Arial"/>
          <w:sz w:val="20"/>
          <w:szCs w:val="20"/>
        </w:rPr>
        <w:t>AMM</w:t>
      </w:r>
      <w:proofErr w:type="spellEnd"/>
      <w:r w:rsidRPr="00EE467C">
        <w:rPr>
          <w:rFonts w:ascii="Arial" w:hAnsi="Arial" w:cs="Arial"/>
          <w:sz w:val="20"/>
          <w:szCs w:val="20"/>
        </w:rPr>
        <w:t xml:space="preserve">, de autor a partícipe del injusto investigado, significó una modificación del contexto fáctico de la acusación, que fue enmarcada dentro del ámbito de un delito unipersonal, por lo cual no resultaba posible que se redefiniera la intervención del incriminado bajo la forma de complicidad, ya que se alteró la </w:t>
      </w:r>
      <w:proofErr w:type="spellStart"/>
      <w:r w:rsidRPr="00EE467C">
        <w:rPr>
          <w:rFonts w:ascii="Arial" w:hAnsi="Arial" w:cs="Arial"/>
          <w:sz w:val="20"/>
          <w:szCs w:val="20"/>
        </w:rPr>
        <w:t>imputatio</w:t>
      </w:r>
      <w:proofErr w:type="spellEnd"/>
      <w:r w:rsidRPr="00EE467C">
        <w:rPr>
          <w:rFonts w:ascii="Arial" w:hAnsi="Arial" w:cs="Arial"/>
          <w:sz w:val="20"/>
          <w:szCs w:val="20"/>
        </w:rPr>
        <w:t xml:space="preserve"> </w:t>
      </w:r>
      <w:proofErr w:type="spellStart"/>
      <w:r w:rsidRPr="00EE467C">
        <w:rPr>
          <w:rFonts w:ascii="Arial" w:hAnsi="Arial" w:cs="Arial"/>
          <w:sz w:val="20"/>
          <w:szCs w:val="20"/>
        </w:rPr>
        <w:t>factii</w:t>
      </w:r>
      <w:proofErr w:type="spellEnd"/>
      <w:r w:rsidRPr="00EE467C">
        <w:rPr>
          <w:rFonts w:ascii="Arial" w:hAnsi="Arial" w:cs="Arial"/>
          <w:sz w:val="20"/>
          <w:szCs w:val="20"/>
        </w:rPr>
        <w:t xml:space="preserve">, a efectos de modificar la </w:t>
      </w:r>
      <w:proofErr w:type="spellStart"/>
      <w:r w:rsidRPr="00EE467C">
        <w:rPr>
          <w:rFonts w:ascii="Arial" w:hAnsi="Arial" w:cs="Arial"/>
          <w:sz w:val="20"/>
          <w:szCs w:val="20"/>
        </w:rPr>
        <w:t>imputati</w:t>
      </w:r>
      <w:proofErr w:type="spellEnd"/>
      <w:r w:rsidRPr="00EE467C">
        <w:rPr>
          <w:rFonts w:ascii="Arial" w:hAnsi="Arial" w:cs="Arial"/>
          <w:sz w:val="20"/>
          <w:szCs w:val="20"/>
        </w:rPr>
        <w:t xml:space="preserve"> iuris, con el propósito de retribuir su avenimiento a los cargos presentados en su contra.</w:t>
      </w:r>
    </w:p>
    <w:p w:rsidR="00EE467C" w:rsidRPr="00E54582" w:rsidRDefault="00EE467C" w:rsidP="00E54582">
      <w:pPr>
        <w:jc w:val="both"/>
        <w:rPr>
          <w:rFonts w:ascii="Arial" w:hAnsi="Arial" w:cs="Arial"/>
          <w:sz w:val="20"/>
          <w:szCs w:val="20"/>
        </w:rPr>
      </w:pPr>
    </w:p>
    <w:p w:rsidR="00E54582" w:rsidRPr="00E54582" w:rsidRDefault="00E54582" w:rsidP="00E54582">
      <w:pPr>
        <w:jc w:val="both"/>
        <w:rPr>
          <w:rFonts w:ascii="Arial" w:hAnsi="Arial" w:cs="Arial"/>
          <w:sz w:val="20"/>
          <w:szCs w:val="20"/>
        </w:rPr>
      </w:pPr>
    </w:p>
    <w:p w:rsidR="00E54582" w:rsidRPr="00E54582" w:rsidRDefault="00E54582" w:rsidP="00E54582">
      <w:pPr>
        <w:jc w:val="both"/>
        <w:rPr>
          <w:rFonts w:ascii="Arial" w:hAnsi="Arial" w:cs="Arial"/>
          <w:sz w:val="20"/>
          <w:szCs w:val="20"/>
        </w:rPr>
      </w:pPr>
    </w:p>
    <w:p w:rsidR="00E54582" w:rsidRPr="00E54582" w:rsidRDefault="00E54582" w:rsidP="00E54582">
      <w:pPr>
        <w:spacing w:line="276" w:lineRule="auto"/>
        <w:ind w:right="51"/>
        <w:jc w:val="center"/>
        <w:rPr>
          <w:rFonts w:ascii="Arial" w:hAnsi="Arial" w:cs="Arial"/>
          <w:b/>
          <w:spacing w:val="-2"/>
        </w:rPr>
      </w:pPr>
      <w:r w:rsidRPr="00E54582">
        <w:rPr>
          <w:rFonts w:ascii="Arial" w:hAnsi="Arial" w:cs="Arial"/>
          <w:b/>
          <w:spacing w:val="-2"/>
        </w:rPr>
        <w:t>RAMA JUDICIAL DEL PODER PÚBLICO</w:t>
      </w:r>
    </w:p>
    <w:p w:rsidR="00E54582" w:rsidRPr="00E54582" w:rsidRDefault="00E54582" w:rsidP="00E54582">
      <w:pPr>
        <w:spacing w:line="276" w:lineRule="auto"/>
        <w:ind w:right="51"/>
        <w:jc w:val="center"/>
        <w:rPr>
          <w:rFonts w:ascii="Arial" w:hAnsi="Arial" w:cs="Arial"/>
          <w:spacing w:val="-2"/>
        </w:rPr>
      </w:pPr>
      <w:r w:rsidRPr="00E54582">
        <w:rPr>
          <w:rFonts w:ascii="Arial" w:hAnsi="Arial" w:cs="Arial"/>
          <w:noProof/>
          <w:spacing w:val="-2"/>
        </w:rPr>
        <w:drawing>
          <wp:inline distT="0" distB="0" distL="0" distR="0" wp14:anchorId="6FC4AB30" wp14:editId="66E83FEE">
            <wp:extent cx="466090" cy="577850"/>
            <wp:effectExtent l="0" t="0" r="0" b="0"/>
            <wp:docPr id="2" name="Imagen 2"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577850"/>
                    </a:xfrm>
                    <a:prstGeom prst="rect">
                      <a:avLst/>
                    </a:prstGeom>
                    <a:noFill/>
                    <a:ln>
                      <a:noFill/>
                    </a:ln>
                  </pic:spPr>
                </pic:pic>
              </a:graphicData>
            </a:graphic>
          </wp:inline>
        </w:drawing>
      </w:r>
    </w:p>
    <w:p w:rsidR="00E54582" w:rsidRPr="00E54582" w:rsidRDefault="00E54582" w:rsidP="00E54582">
      <w:pPr>
        <w:spacing w:line="276" w:lineRule="auto"/>
        <w:ind w:right="51"/>
        <w:jc w:val="center"/>
        <w:rPr>
          <w:rFonts w:ascii="Arial" w:hAnsi="Arial" w:cs="Arial"/>
          <w:b/>
          <w:spacing w:val="-2"/>
        </w:rPr>
      </w:pPr>
      <w:r w:rsidRPr="00E54582">
        <w:rPr>
          <w:rFonts w:ascii="Arial" w:hAnsi="Arial" w:cs="Arial"/>
          <w:b/>
          <w:spacing w:val="-2"/>
        </w:rPr>
        <w:t>TRIBUNAL SUPERIOR DEL DISTRITO JUDICIAL DE PEREIRA - RISARALDA</w:t>
      </w:r>
    </w:p>
    <w:p w:rsidR="00E54582" w:rsidRPr="00E54582" w:rsidRDefault="00E54582" w:rsidP="00E54582">
      <w:pPr>
        <w:spacing w:line="276" w:lineRule="auto"/>
        <w:ind w:right="51"/>
        <w:jc w:val="center"/>
        <w:rPr>
          <w:rFonts w:ascii="Arial" w:hAnsi="Arial" w:cs="Arial"/>
          <w:b/>
          <w:spacing w:val="-2"/>
        </w:rPr>
      </w:pPr>
      <w:r w:rsidRPr="00E54582">
        <w:rPr>
          <w:rFonts w:ascii="Arial" w:hAnsi="Arial" w:cs="Arial"/>
          <w:b/>
          <w:spacing w:val="-2"/>
        </w:rPr>
        <w:t>SALA DE DECISIÓN PENAL</w:t>
      </w:r>
    </w:p>
    <w:p w:rsidR="00E54582" w:rsidRPr="00E54582" w:rsidRDefault="00E54582" w:rsidP="00E54582">
      <w:pPr>
        <w:spacing w:line="276" w:lineRule="auto"/>
        <w:ind w:right="51"/>
        <w:jc w:val="center"/>
        <w:rPr>
          <w:rFonts w:ascii="Arial" w:hAnsi="Arial" w:cs="Arial"/>
          <w:b/>
          <w:spacing w:val="-2"/>
        </w:rPr>
      </w:pPr>
      <w:proofErr w:type="spellStart"/>
      <w:r w:rsidRPr="00E54582">
        <w:rPr>
          <w:rFonts w:ascii="Arial" w:hAnsi="Arial" w:cs="Arial"/>
          <w:b/>
          <w:spacing w:val="-2"/>
        </w:rPr>
        <w:t>M.P</w:t>
      </w:r>
      <w:proofErr w:type="spellEnd"/>
      <w:r w:rsidRPr="00E54582">
        <w:rPr>
          <w:rFonts w:ascii="Arial" w:hAnsi="Arial" w:cs="Arial"/>
          <w:b/>
          <w:spacing w:val="-2"/>
        </w:rPr>
        <w:t>. JAIRO ERNESTO ESCOBAR SANZ</w:t>
      </w:r>
    </w:p>
    <w:p w:rsidR="00E54582" w:rsidRPr="00E54582" w:rsidRDefault="00E54582" w:rsidP="00E54582">
      <w:pPr>
        <w:tabs>
          <w:tab w:val="left" w:pos="2410"/>
          <w:tab w:val="left" w:pos="2835"/>
        </w:tabs>
        <w:spacing w:line="276" w:lineRule="auto"/>
        <w:ind w:right="51"/>
        <w:jc w:val="both"/>
        <w:rPr>
          <w:rFonts w:ascii="Arial" w:hAnsi="Arial" w:cs="Arial"/>
          <w:spacing w:val="-2"/>
        </w:rPr>
      </w:pPr>
    </w:p>
    <w:p w:rsidR="00230368" w:rsidRPr="00E54582" w:rsidRDefault="00C84E88" w:rsidP="00E54582">
      <w:pPr>
        <w:tabs>
          <w:tab w:val="left" w:pos="2410"/>
          <w:tab w:val="left" w:pos="2835"/>
        </w:tabs>
        <w:spacing w:line="276" w:lineRule="auto"/>
        <w:jc w:val="both"/>
        <w:rPr>
          <w:rFonts w:ascii="Arial" w:hAnsi="Arial" w:cs="Arial"/>
        </w:rPr>
      </w:pPr>
      <w:r w:rsidRPr="00E54582">
        <w:rPr>
          <w:rFonts w:ascii="Arial" w:hAnsi="Arial" w:cs="Arial"/>
        </w:rPr>
        <w:t>Pereira, doce (12) de febrero de dos mil veinte (2020)</w:t>
      </w:r>
    </w:p>
    <w:p w:rsidR="00230368" w:rsidRPr="00E54582" w:rsidRDefault="00C84E88" w:rsidP="00E54582">
      <w:pPr>
        <w:tabs>
          <w:tab w:val="left" w:pos="2410"/>
          <w:tab w:val="left" w:pos="2835"/>
        </w:tabs>
        <w:spacing w:line="276" w:lineRule="auto"/>
        <w:jc w:val="both"/>
        <w:rPr>
          <w:rFonts w:ascii="Arial" w:hAnsi="Arial" w:cs="Arial"/>
        </w:rPr>
      </w:pPr>
      <w:r w:rsidRPr="00E54582">
        <w:rPr>
          <w:rFonts w:ascii="Arial" w:hAnsi="Arial" w:cs="Arial"/>
        </w:rPr>
        <w:t xml:space="preserve">Acta Nro. </w:t>
      </w:r>
      <w:r w:rsidR="00193A72" w:rsidRPr="00E54582">
        <w:rPr>
          <w:rFonts w:ascii="Arial" w:hAnsi="Arial" w:cs="Arial"/>
        </w:rPr>
        <w:t>099</w:t>
      </w:r>
    </w:p>
    <w:p w:rsidR="00E07C2F" w:rsidRPr="00E54582" w:rsidRDefault="00E07C2F" w:rsidP="00E54582">
      <w:pPr>
        <w:tabs>
          <w:tab w:val="left" w:pos="2410"/>
          <w:tab w:val="left" w:pos="2835"/>
        </w:tabs>
        <w:spacing w:line="276" w:lineRule="auto"/>
        <w:jc w:val="both"/>
        <w:rPr>
          <w:rFonts w:ascii="Arial" w:hAnsi="Arial" w:cs="Arial"/>
        </w:rPr>
      </w:pPr>
      <w:r w:rsidRPr="00E54582">
        <w:rPr>
          <w:rFonts w:ascii="Arial" w:hAnsi="Arial" w:cs="Arial"/>
        </w:rPr>
        <w:t xml:space="preserve">Hora: </w:t>
      </w:r>
      <w:r w:rsidR="00193A72" w:rsidRPr="00E54582">
        <w:rPr>
          <w:rFonts w:ascii="Arial" w:hAnsi="Arial" w:cs="Arial"/>
        </w:rPr>
        <w:t xml:space="preserve">2:18 p.m. </w:t>
      </w:r>
    </w:p>
    <w:p w:rsidR="00E07C2F" w:rsidRPr="00E54582" w:rsidRDefault="00E07C2F" w:rsidP="00E54582">
      <w:pPr>
        <w:tabs>
          <w:tab w:val="left" w:pos="2410"/>
          <w:tab w:val="left" w:pos="2835"/>
        </w:tabs>
        <w:spacing w:line="276" w:lineRule="auto"/>
        <w:rPr>
          <w:rFonts w:ascii="Arial" w:hAnsi="Arial" w:cs="Arial"/>
        </w:rPr>
      </w:pPr>
    </w:p>
    <w:p w:rsidR="00E07C2F" w:rsidRPr="00E54582" w:rsidRDefault="00E07C2F" w:rsidP="00E54582">
      <w:pPr>
        <w:spacing w:line="276" w:lineRule="auto"/>
        <w:ind w:left="360"/>
        <w:jc w:val="center"/>
        <w:rPr>
          <w:rFonts w:ascii="Arial" w:hAnsi="Arial" w:cs="Arial"/>
          <w:bCs/>
        </w:rPr>
      </w:pPr>
      <w:r w:rsidRPr="00E54582">
        <w:rPr>
          <w:rFonts w:ascii="Arial" w:hAnsi="Arial" w:cs="Arial"/>
          <w:bCs/>
        </w:rPr>
        <w:lastRenderedPageBreak/>
        <w:t>1. ASUNTO A DECIDIR</w:t>
      </w:r>
    </w:p>
    <w:p w:rsidR="00E07C2F" w:rsidRPr="00E54582" w:rsidRDefault="00E07C2F" w:rsidP="00E54582">
      <w:pPr>
        <w:spacing w:line="276" w:lineRule="auto"/>
        <w:rPr>
          <w:rFonts w:ascii="Arial" w:hAnsi="Arial" w:cs="Arial"/>
          <w:lang w:val="es-ES_tradnl"/>
        </w:rPr>
      </w:pPr>
    </w:p>
    <w:p w:rsidR="00E07C2F" w:rsidRPr="00165990" w:rsidRDefault="00EA5364" w:rsidP="00E54582">
      <w:pPr>
        <w:spacing w:line="276" w:lineRule="auto"/>
        <w:jc w:val="both"/>
        <w:rPr>
          <w:rFonts w:ascii="Arial" w:hAnsi="Arial" w:cs="Arial"/>
          <w:spacing w:val="-2"/>
        </w:rPr>
      </w:pPr>
      <w:r w:rsidRPr="00165990">
        <w:rPr>
          <w:rFonts w:ascii="Arial" w:hAnsi="Arial" w:cs="Arial"/>
          <w:spacing w:val="-2"/>
        </w:rPr>
        <w:t>Se proced</w:t>
      </w:r>
      <w:r w:rsidR="00573EB6" w:rsidRPr="00165990">
        <w:rPr>
          <w:rFonts w:ascii="Arial" w:hAnsi="Arial" w:cs="Arial"/>
          <w:spacing w:val="-2"/>
        </w:rPr>
        <w:t>e a resolver lo concerniente al</w:t>
      </w:r>
      <w:r w:rsidR="0085261E" w:rsidRPr="00165990">
        <w:rPr>
          <w:rFonts w:ascii="Arial" w:hAnsi="Arial" w:cs="Arial"/>
          <w:spacing w:val="-2"/>
        </w:rPr>
        <w:t xml:space="preserve"> recurso de apelación interpuesto por la delegada de la FGN, el agente del Ministerio Público y la defensora del señor José </w:t>
      </w:r>
      <w:proofErr w:type="spellStart"/>
      <w:r w:rsidR="005D5D2D" w:rsidRPr="00165990">
        <w:rPr>
          <w:rFonts w:ascii="Arial" w:hAnsi="Arial" w:cs="Arial"/>
          <w:spacing w:val="-2"/>
        </w:rPr>
        <w:t>AMM</w:t>
      </w:r>
      <w:proofErr w:type="spellEnd"/>
      <w:r w:rsidR="0085261E" w:rsidRPr="00165990">
        <w:rPr>
          <w:rFonts w:ascii="Arial" w:hAnsi="Arial" w:cs="Arial"/>
          <w:spacing w:val="-2"/>
        </w:rPr>
        <w:t>, en audiencia del 14 de enero de 2020 en la cual</w:t>
      </w:r>
      <w:r w:rsidR="00DE3D00" w:rsidRPr="00165990">
        <w:rPr>
          <w:rFonts w:ascii="Arial" w:hAnsi="Arial" w:cs="Arial"/>
          <w:spacing w:val="-2"/>
        </w:rPr>
        <w:t xml:space="preserve"> el juez 7º penal del circuito de esta ciudad, </w:t>
      </w:r>
      <w:r w:rsidR="00573EB6" w:rsidRPr="00165990">
        <w:rPr>
          <w:rFonts w:ascii="Arial" w:hAnsi="Arial" w:cs="Arial"/>
          <w:spacing w:val="-2"/>
        </w:rPr>
        <w:t xml:space="preserve">no </w:t>
      </w:r>
      <w:r w:rsidR="0085261E" w:rsidRPr="00165990">
        <w:rPr>
          <w:rFonts w:ascii="Arial" w:hAnsi="Arial" w:cs="Arial"/>
          <w:spacing w:val="-2"/>
        </w:rPr>
        <w:t xml:space="preserve">aprobó un preacuerdo suscrito entre el ente investigador y el procesado. </w:t>
      </w:r>
    </w:p>
    <w:p w:rsidR="00E27891" w:rsidRPr="00165990" w:rsidRDefault="00E27891" w:rsidP="00E54582">
      <w:pPr>
        <w:spacing w:line="276" w:lineRule="auto"/>
        <w:rPr>
          <w:rFonts w:ascii="Arial" w:hAnsi="Arial" w:cs="Arial"/>
          <w:spacing w:val="-2"/>
        </w:rPr>
      </w:pPr>
    </w:p>
    <w:p w:rsidR="00E07C2F" w:rsidRPr="00165990" w:rsidRDefault="00E07C2F" w:rsidP="00E54582">
      <w:pPr>
        <w:pStyle w:val="Sinespaciado"/>
        <w:spacing w:line="276" w:lineRule="auto"/>
        <w:jc w:val="center"/>
        <w:rPr>
          <w:rFonts w:ascii="Arial" w:hAnsi="Arial" w:cs="Arial"/>
          <w:spacing w:val="-2"/>
          <w:sz w:val="24"/>
          <w:szCs w:val="24"/>
        </w:rPr>
      </w:pPr>
      <w:r w:rsidRPr="00165990">
        <w:rPr>
          <w:rFonts w:ascii="Arial" w:hAnsi="Arial" w:cs="Arial"/>
          <w:spacing w:val="-2"/>
          <w:sz w:val="24"/>
          <w:szCs w:val="24"/>
        </w:rPr>
        <w:t>2. HECHOS</w:t>
      </w:r>
    </w:p>
    <w:p w:rsidR="00E07C2F" w:rsidRPr="00165990" w:rsidRDefault="00E07C2F" w:rsidP="00E54582">
      <w:pPr>
        <w:pStyle w:val="Sinespaciado"/>
        <w:spacing w:line="276" w:lineRule="auto"/>
        <w:jc w:val="both"/>
        <w:rPr>
          <w:rFonts w:ascii="Arial" w:hAnsi="Arial" w:cs="Arial"/>
          <w:spacing w:val="-2"/>
          <w:sz w:val="24"/>
          <w:szCs w:val="24"/>
        </w:rPr>
      </w:pPr>
    </w:p>
    <w:p w:rsidR="00931777" w:rsidRPr="00165990" w:rsidRDefault="00931777" w:rsidP="00E54582">
      <w:pPr>
        <w:pStyle w:val="Sinespaciado"/>
        <w:spacing w:line="276" w:lineRule="auto"/>
        <w:jc w:val="both"/>
        <w:rPr>
          <w:rFonts w:ascii="Arial" w:hAnsi="Arial" w:cs="Arial"/>
          <w:spacing w:val="-2"/>
          <w:sz w:val="24"/>
          <w:szCs w:val="24"/>
        </w:rPr>
      </w:pPr>
      <w:r w:rsidRPr="00165990">
        <w:rPr>
          <w:rFonts w:ascii="Arial" w:hAnsi="Arial" w:cs="Arial"/>
          <w:spacing w:val="-2"/>
          <w:sz w:val="24"/>
          <w:szCs w:val="24"/>
        </w:rPr>
        <w:t xml:space="preserve">2.1 De conformidad con el escrito de acusación los hechos materia de investigación son los siguientes: </w:t>
      </w:r>
    </w:p>
    <w:p w:rsidR="00F36E21" w:rsidRPr="00165990" w:rsidRDefault="00F36E21" w:rsidP="00E54582">
      <w:pPr>
        <w:pStyle w:val="Sinespaciado"/>
        <w:spacing w:line="276" w:lineRule="auto"/>
        <w:jc w:val="both"/>
        <w:rPr>
          <w:rFonts w:ascii="Arial" w:hAnsi="Arial" w:cs="Arial"/>
          <w:spacing w:val="-2"/>
          <w:sz w:val="24"/>
          <w:szCs w:val="24"/>
        </w:rPr>
      </w:pPr>
    </w:p>
    <w:p w:rsidR="001E2D0A" w:rsidRPr="00165990" w:rsidRDefault="001E2D0A" w:rsidP="00E54582">
      <w:pPr>
        <w:pStyle w:val="Sinespaciado"/>
        <w:ind w:left="426" w:right="418"/>
        <w:jc w:val="both"/>
        <w:rPr>
          <w:rFonts w:ascii="Arial" w:hAnsi="Arial" w:cs="Arial"/>
          <w:i/>
          <w:spacing w:val="-2"/>
          <w:szCs w:val="24"/>
        </w:rPr>
      </w:pPr>
      <w:r w:rsidRPr="00165990">
        <w:rPr>
          <w:rFonts w:ascii="Arial" w:hAnsi="Arial" w:cs="Arial"/>
          <w:i/>
          <w:spacing w:val="-2"/>
          <w:szCs w:val="24"/>
        </w:rPr>
        <w:t xml:space="preserve">“El día 25 de septiembre de 2015, a las 16.40 horas, aproximadamente, servidores de Policía Nacional - adscritos a la Estación Pereira se encontraban realizando labores de patrullaje por el sector de la Avenida del Ferrocarril y observaron a un joven de sexo masculino, quien al notar la presencia de los policiales saca voluntariamente de la pretina de la pantaloneta una (01) bolsa transparente que en su interior contenía 180 papeletas de papel color café con figuras naranjas que en su interior contenía una sustancia pulverulenta color habano, con olor y características similares a estupefaciente, por tal motivo procedieron a identificarlo, manifestando llamarse </w:t>
      </w:r>
      <w:proofErr w:type="spellStart"/>
      <w:r w:rsidR="005D5D2D" w:rsidRPr="00165990">
        <w:rPr>
          <w:rFonts w:ascii="Arial" w:hAnsi="Arial" w:cs="Arial"/>
          <w:i/>
          <w:spacing w:val="-2"/>
          <w:szCs w:val="24"/>
        </w:rPr>
        <w:t>AMM</w:t>
      </w:r>
      <w:proofErr w:type="spellEnd"/>
      <w:r w:rsidRPr="00165990">
        <w:rPr>
          <w:rFonts w:ascii="Arial" w:hAnsi="Arial" w:cs="Arial"/>
          <w:i/>
          <w:spacing w:val="-2"/>
          <w:szCs w:val="24"/>
        </w:rPr>
        <w:t>, C.C. 9.924.006 de Risaralda (Caldas), no exhibió el documento de identidad, posteriormente le dieron a conocer sus derechos como persona capturada y lo trasladaron a las instalaciones de la URI para su respectiva judicialización.</w:t>
      </w:r>
    </w:p>
    <w:p w:rsidR="001E2D0A" w:rsidRPr="00165990" w:rsidRDefault="001E2D0A" w:rsidP="00E54582">
      <w:pPr>
        <w:pStyle w:val="Sinespaciado"/>
        <w:ind w:left="426" w:right="418"/>
        <w:jc w:val="both"/>
        <w:rPr>
          <w:rFonts w:ascii="Arial" w:hAnsi="Arial" w:cs="Arial"/>
          <w:i/>
          <w:spacing w:val="-2"/>
          <w:szCs w:val="24"/>
        </w:rPr>
      </w:pPr>
    </w:p>
    <w:p w:rsidR="001E2D0A" w:rsidRPr="00165990" w:rsidRDefault="001E2D0A" w:rsidP="00E54582">
      <w:pPr>
        <w:pStyle w:val="Sinespaciado"/>
        <w:ind w:left="426" w:right="418"/>
        <w:jc w:val="both"/>
        <w:rPr>
          <w:rFonts w:ascii="Arial" w:hAnsi="Arial" w:cs="Arial"/>
          <w:i/>
          <w:spacing w:val="-2"/>
          <w:szCs w:val="24"/>
        </w:rPr>
      </w:pPr>
      <w:r w:rsidRPr="00165990">
        <w:rPr>
          <w:rFonts w:ascii="Arial" w:hAnsi="Arial" w:cs="Arial"/>
          <w:i/>
          <w:spacing w:val="-2"/>
          <w:szCs w:val="24"/>
        </w:rPr>
        <w:t xml:space="preserve">Refiere el Informe de Investigador de Campo </w:t>
      </w:r>
      <w:proofErr w:type="spellStart"/>
      <w:r w:rsidRPr="00165990">
        <w:rPr>
          <w:rFonts w:ascii="Arial" w:hAnsi="Arial" w:cs="Arial"/>
          <w:i/>
          <w:spacing w:val="-2"/>
          <w:szCs w:val="24"/>
        </w:rPr>
        <w:t>FPJ</w:t>
      </w:r>
      <w:proofErr w:type="spellEnd"/>
      <w:r w:rsidRPr="00165990">
        <w:rPr>
          <w:rFonts w:ascii="Arial" w:hAnsi="Arial" w:cs="Arial"/>
          <w:i/>
          <w:spacing w:val="-2"/>
          <w:szCs w:val="24"/>
        </w:rPr>
        <w:t xml:space="preserve"> -11-, calendado el día 15-09-2015, suscrito por el PT. SEBASTIÁN GIRALDO GUERRERO, adscrito a </w:t>
      </w:r>
      <w:proofErr w:type="spellStart"/>
      <w:r w:rsidRPr="00165990">
        <w:rPr>
          <w:rFonts w:ascii="Arial" w:hAnsi="Arial" w:cs="Arial"/>
          <w:i/>
          <w:spacing w:val="-2"/>
          <w:szCs w:val="24"/>
        </w:rPr>
        <w:t>SIJIN</w:t>
      </w:r>
      <w:proofErr w:type="spellEnd"/>
      <w:r w:rsidRPr="00165990">
        <w:rPr>
          <w:rFonts w:ascii="Arial" w:hAnsi="Arial" w:cs="Arial"/>
          <w:i/>
          <w:spacing w:val="-2"/>
          <w:szCs w:val="24"/>
        </w:rPr>
        <w:t xml:space="preserve"> - URI Pereira - Perito </w:t>
      </w:r>
      <w:proofErr w:type="spellStart"/>
      <w:r w:rsidRPr="00165990">
        <w:rPr>
          <w:rFonts w:ascii="Arial" w:hAnsi="Arial" w:cs="Arial"/>
          <w:i/>
          <w:spacing w:val="-2"/>
          <w:szCs w:val="24"/>
        </w:rPr>
        <w:t>PIPH</w:t>
      </w:r>
      <w:proofErr w:type="spellEnd"/>
      <w:r w:rsidRPr="00165990">
        <w:rPr>
          <w:rFonts w:ascii="Arial" w:hAnsi="Arial" w:cs="Arial"/>
          <w:i/>
          <w:spacing w:val="-2"/>
          <w:szCs w:val="24"/>
        </w:rPr>
        <w:t xml:space="preserve">; que sometida la sustancia a análisis de </w:t>
      </w:r>
      <w:proofErr w:type="spellStart"/>
      <w:r w:rsidRPr="00165990">
        <w:rPr>
          <w:rFonts w:ascii="Arial" w:hAnsi="Arial" w:cs="Arial"/>
          <w:i/>
          <w:spacing w:val="-2"/>
          <w:szCs w:val="24"/>
        </w:rPr>
        <w:t>PIPH</w:t>
      </w:r>
      <w:proofErr w:type="spellEnd"/>
      <w:r w:rsidRPr="00165990">
        <w:rPr>
          <w:rFonts w:ascii="Arial" w:hAnsi="Arial" w:cs="Arial"/>
          <w:i/>
          <w:spacing w:val="-2"/>
          <w:szCs w:val="24"/>
        </w:rPr>
        <w:t xml:space="preserve"> arrojó como resultado POSITIVO PARA COCAÍNA Y SUS DERIVADOS, con un PESO NETO DE DIECISIETE PUNTO DOS (17.2) GRAMOS.</w:t>
      </w:r>
    </w:p>
    <w:p w:rsidR="0026503E" w:rsidRPr="00165990" w:rsidRDefault="0026503E" w:rsidP="00E54582">
      <w:pPr>
        <w:pStyle w:val="Sinespaciado"/>
        <w:ind w:left="426" w:right="418"/>
        <w:jc w:val="both"/>
        <w:rPr>
          <w:rFonts w:ascii="Arial" w:hAnsi="Arial" w:cs="Arial"/>
          <w:i/>
          <w:spacing w:val="-2"/>
          <w:szCs w:val="24"/>
        </w:rPr>
      </w:pPr>
    </w:p>
    <w:p w:rsidR="001E2D0A" w:rsidRPr="00165990" w:rsidRDefault="001E2D0A" w:rsidP="00E54582">
      <w:pPr>
        <w:pStyle w:val="Sinespaciado"/>
        <w:ind w:left="426" w:right="418"/>
        <w:jc w:val="both"/>
        <w:rPr>
          <w:rFonts w:ascii="Arial" w:hAnsi="Arial" w:cs="Arial"/>
          <w:i/>
          <w:spacing w:val="-2"/>
          <w:szCs w:val="24"/>
        </w:rPr>
      </w:pPr>
      <w:r w:rsidRPr="00165990">
        <w:rPr>
          <w:rFonts w:ascii="Arial" w:hAnsi="Arial" w:cs="Arial"/>
          <w:i/>
          <w:spacing w:val="-2"/>
          <w:szCs w:val="24"/>
        </w:rPr>
        <w:t xml:space="preserve">El Juzgado Promiscuo Municipal con función de Control de Garantías de Balboa (Risaralda) Turno de Permanencia en Pereira, el día 26/09/15, impartió legalidad a la captura del señor </w:t>
      </w:r>
      <w:proofErr w:type="spellStart"/>
      <w:r w:rsidR="005D5D2D" w:rsidRPr="00165990">
        <w:rPr>
          <w:rFonts w:ascii="Arial" w:hAnsi="Arial" w:cs="Arial"/>
          <w:i/>
          <w:spacing w:val="-2"/>
          <w:szCs w:val="24"/>
        </w:rPr>
        <w:t>AMM</w:t>
      </w:r>
      <w:proofErr w:type="spellEnd"/>
      <w:r w:rsidRPr="00165990">
        <w:rPr>
          <w:rFonts w:ascii="Arial" w:hAnsi="Arial" w:cs="Arial"/>
          <w:i/>
          <w:spacing w:val="-2"/>
          <w:szCs w:val="24"/>
        </w:rPr>
        <w:t xml:space="preserve">, por encontrar reunidos y debidamente acreditados los requisitos de los Art. 301, 302 y 303 del </w:t>
      </w:r>
      <w:proofErr w:type="spellStart"/>
      <w:r w:rsidRPr="00165990">
        <w:rPr>
          <w:rFonts w:ascii="Arial" w:hAnsi="Arial" w:cs="Arial"/>
          <w:i/>
          <w:spacing w:val="-2"/>
          <w:szCs w:val="24"/>
        </w:rPr>
        <w:t>C.P.P</w:t>
      </w:r>
      <w:proofErr w:type="spellEnd"/>
      <w:r w:rsidRPr="00165990">
        <w:rPr>
          <w:rFonts w:ascii="Arial" w:hAnsi="Arial" w:cs="Arial"/>
          <w:i/>
          <w:spacing w:val="-2"/>
          <w:szCs w:val="24"/>
        </w:rPr>
        <w:t>. La Fiscalía le comunicó y formuló imputación por la conducta punible de TRÁFICO FABRICACIÓN O PORTE DE ESTUPEFACIENTES, conducta prevista como punible en el Art. 376 del Código Penal, actualizada en el verbo rector “llevar consigo", ubicable dado el tipo y peso de sustancia en el INCISO 2 de la misma norma; artículo modificado por el Art. 11 de la Ley 1453 de 2011, imputación que NO fue ACEPTADA por el encartado.</w:t>
      </w:r>
    </w:p>
    <w:p w:rsidR="001E2D0A" w:rsidRPr="00165990" w:rsidRDefault="001E2D0A" w:rsidP="00E54582">
      <w:pPr>
        <w:pStyle w:val="Sinespaciado"/>
        <w:ind w:left="426" w:right="418"/>
        <w:jc w:val="both"/>
        <w:rPr>
          <w:rFonts w:ascii="Arial" w:hAnsi="Arial" w:cs="Arial"/>
          <w:i/>
          <w:spacing w:val="-2"/>
          <w:szCs w:val="24"/>
        </w:rPr>
      </w:pPr>
    </w:p>
    <w:p w:rsidR="001E2D0A" w:rsidRPr="00165990" w:rsidRDefault="001E2D0A" w:rsidP="00E54582">
      <w:pPr>
        <w:pStyle w:val="Sinespaciado"/>
        <w:ind w:left="426" w:right="418"/>
        <w:jc w:val="both"/>
        <w:rPr>
          <w:rFonts w:ascii="Arial" w:hAnsi="Arial" w:cs="Arial"/>
          <w:i/>
          <w:spacing w:val="-2"/>
          <w:szCs w:val="24"/>
        </w:rPr>
      </w:pPr>
      <w:r w:rsidRPr="00165990">
        <w:rPr>
          <w:rFonts w:ascii="Arial" w:hAnsi="Arial" w:cs="Arial"/>
          <w:i/>
          <w:spacing w:val="-2"/>
          <w:szCs w:val="24"/>
        </w:rPr>
        <w:t xml:space="preserve">De los </w:t>
      </w:r>
      <w:proofErr w:type="spellStart"/>
      <w:r w:rsidRPr="00165990">
        <w:rPr>
          <w:rFonts w:ascii="Arial" w:hAnsi="Arial" w:cs="Arial"/>
          <w:i/>
          <w:spacing w:val="-2"/>
          <w:szCs w:val="24"/>
        </w:rPr>
        <w:t>EMP</w:t>
      </w:r>
      <w:proofErr w:type="spellEnd"/>
      <w:r w:rsidRPr="00165990">
        <w:rPr>
          <w:rFonts w:ascii="Arial" w:hAnsi="Arial" w:cs="Arial"/>
          <w:i/>
          <w:spacing w:val="-2"/>
          <w:szCs w:val="24"/>
        </w:rPr>
        <w:t xml:space="preserve">, </w:t>
      </w:r>
      <w:proofErr w:type="spellStart"/>
      <w:r w:rsidRPr="00165990">
        <w:rPr>
          <w:rFonts w:ascii="Arial" w:hAnsi="Arial" w:cs="Arial"/>
          <w:i/>
          <w:spacing w:val="-2"/>
          <w:szCs w:val="24"/>
        </w:rPr>
        <w:t>EF</w:t>
      </w:r>
      <w:proofErr w:type="spellEnd"/>
      <w:r w:rsidRPr="00165990">
        <w:rPr>
          <w:rFonts w:ascii="Arial" w:hAnsi="Arial" w:cs="Arial"/>
          <w:i/>
          <w:spacing w:val="-2"/>
          <w:szCs w:val="24"/>
        </w:rPr>
        <w:t xml:space="preserve"> e información legalmente obtenida, considera la Fiscalía que se puede AFIRMAR. CON PROBABILIDAD DE VERDAD que el señor(a) </w:t>
      </w:r>
      <w:proofErr w:type="spellStart"/>
      <w:r w:rsidR="005D5D2D" w:rsidRPr="00165990">
        <w:rPr>
          <w:rFonts w:ascii="Arial" w:hAnsi="Arial" w:cs="Arial"/>
          <w:i/>
          <w:spacing w:val="-2"/>
          <w:szCs w:val="24"/>
        </w:rPr>
        <w:t>AMM</w:t>
      </w:r>
      <w:proofErr w:type="spellEnd"/>
      <w:r w:rsidRPr="00165990">
        <w:rPr>
          <w:rFonts w:ascii="Arial" w:hAnsi="Arial" w:cs="Arial"/>
          <w:i/>
          <w:spacing w:val="-2"/>
          <w:szCs w:val="24"/>
        </w:rPr>
        <w:t xml:space="preserve">, identificado con C.C. 9.924.006 de Risaralda (Caldas), fue capturado cuando SIN PERMISO DE AUTORIDAD COMPETENTE “llevaba consigo” (17.2) GRAMOS DE COCAÍNA, lesionando SIN JUSTA CAUSA el bien jurídico de LA SALUBRIDAD PUBLICA, toda vez que el literal “j” del Art. 2 de la Ley 30 del 1986, establece la dosis de uso personal; que el(la) señor(a) </w:t>
      </w:r>
      <w:proofErr w:type="spellStart"/>
      <w:r w:rsidR="005D5D2D" w:rsidRPr="00165990">
        <w:rPr>
          <w:rFonts w:ascii="Arial" w:hAnsi="Arial" w:cs="Arial"/>
          <w:i/>
          <w:spacing w:val="-2"/>
          <w:szCs w:val="24"/>
        </w:rPr>
        <w:t>AMM</w:t>
      </w:r>
      <w:proofErr w:type="spellEnd"/>
      <w:r w:rsidRPr="00165990">
        <w:rPr>
          <w:rFonts w:ascii="Arial" w:hAnsi="Arial" w:cs="Arial"/>
          <w:i/>
          <w:spacing w:val="-2"/>
          <w:szCs w:val="24"/>
        </w:rPr>
        <w:t xml:space="preserve"> es persona mayor de edad y estaba en capacidad de entender la ilicitud de su conducta y de actuar de manera distinta; por tal motivo la Fiscalía General de la Nación ACUSA a </w:t>
      </w:r>
      <w:proofErr w:type="spellStart"/>
      <w:r w:rsidR="005D5D2D" w:rsidRPr="00165990">
        <w:rPr>
          <w:rFonts w:ascii="Arial" w:hAnsi="Arial" w:cs="Arial"/>
          <w:i/>
          <w:spacing w:val="-2"/>
          <w:szCs w:val="24"/>
        </w:rPr>
        <w:t>AMM</w:t>
      </w:r>
      <w:proofErr w:type="spellEnd"/>
      <w:r w:rsidRPr="00165990">
        <w:rPr>
          <w:rFonts w:ascii="Arial" w:hAnsi="Arial" w:cs="Arial"/>
          <w:i/>
          <w:spacing w:val="-2"/>
          <w:szCs w:val="24"/>
        </w:rPr>
        <w:t xml:space="preserve"> como AUTOR(a), a título de DOLO del delito de TRÁFICO, FABRICACIÓN O PORTE DE ESTUPEFACIENTES, conducta prevista como punible en el Art. 376 del Código Penal, modificado por el Art. 11 de la Ley 1453 de 2011, ubicable dado el tipo y peso de sustancia en el INCISO 2 de la misma norma; actualizada en el verbo rector “LLEVAR CONSIGO”.</w:t>
      </w:r>
    </w:p>
    <w:p w:rsidR="001D5E0B" w:rsidRPr="00165990" w:rsidRDefault="001D5E0B" w:rsidP="00E54582">
      <w:pPr>
        <w:pStyle w:val="Sinespaciado"/>
        <w:spacing w:line="276" w:lineRule="auto"/>
        <w:ind w:left="567" w:right="618"/>
        <w:jc w:val="both"/>
        <w:rPr>
          <w:rStyle w:val="CuerpodeltextoArial"/>
          <w:rFonts w:eastAsiaTheme="minorHAnsi"/>
          <w:b w:val="0"/>
          <w:bCs w:val="0"/>
          <w:i/>
          <w:color w:val="auto"/>
          <w:spacing w:val="-2"/>
          <w:sz w:val="24"/>
          <w:szCs w:val="24"/>
        </w:rPr>
      </w:pPr>
    </w:p>
    <w:p w:rsidR="00E07C2F" w:rsidRPr="00165990" w:rsidRDefault="00C05013" w:rsidP="00E54582">
      <w:pPr>
        <w:pStyle w:val="Sinespaciado"/>
        <w:spacing w:line="276" w:lineRule="auto"/>
        <w:jc w:val="both"/>
        <w:rPr>
          <w:rFonts w:ascii="Arial" w:hAnsi="Arial" w:cs="Arial"/>
          <w:spacing w:val="-2"/>
          <w:sz w:val="24"/>
          <w:szCs w:val="24"/>
        </w:rPr>
      </w:pPr>
      <w:r w:rsidRPr="00165990">
        <w:rPr>
          <w:rFonts w:ascii="Arial" w:hAnsi="Arial" w:cs="Arial"/>
          <w:spacing w:val="-2"/>
          <w:sz w:val="24"/>
          <w:szCs w:val="24"/>
        </w:rPr>
        <w:lastRenderedPageBreak/>
        <w:t xml:space="preserve">2.2 Las audiencias preliminares se llevaron a cabo el </w:t>
      </w:r>
      <w:r w:rsidR="001E2D0A" w:rsidRPr="00165990">
        <w:rPr>
          <w:rFonts w:ascii="Arial" w:hAnsi="Arial" w:cs="Arial"/>
          <w:spacing w:val="-2"/>
          <w:sz w:val="24"/>
          <w:szCs w:val="24"/>
        </w:rPr>
        <w:t>26 de septiembre de 2015</w:t>
      </w:r>
      <w:r w:rsidRPr="00165990">
        <w:rPr>
          <w:rFonts w:ascii="Arial" w:hAnsi="Arial" w:cs="Arial"/>
          <w:spacing w:val="-2"/>
          <w:sz w:val="24"/>
          <w:szCs w:val="24"/>
        </w:rPr>
        <w:t xml:space="preserve"> (</w:t>
      </w:r>
      <w:proofErr w:type="spellStart"/>
      <w:r w:rsidRPr="00165990">
        <w:rPr>
          <w:rFonts w:ascii="Arial" w:hAnsi="Arial" w:cs="Arial"/>
          <w:spacing w:val="-2"/>
          <w:sz w:val="24"/>
          <w:szCs w:val="24"/>
        </w:rPr>
        <w:t>f</w:t>
      </w:r>
      <w:r w:rsidR="001E2D0A" w:rsidRPr="00165990">
        <w:rPr>
          <w:rFonts w:ascii="Arial" w:hAnsi="Arial" w:cs="Arial"/>
          <w:spacing w:val="-2"/>
          <w:sz w:val="24"/>
          <w:szCs w:val="24"/>
        </w:rPr>
        <w:t>ls</w:t>
      </w:r>
      <w:proofErr w:type="spellEnd"/>
      <w:r w:rsidR="001E2D0A" w:rsidRPr="00165990">
        <w:rPr>
          <w:rFonts w:ascii="Arial" w:hAnsi="Arial" w:cs="Arial"/>
          <w:spacing w:val="-2"/>
          <w:sz w:val="24"/>
          <w:szCs w:val="24"/>
        </w:rPr>
        <w:t>.</w:t>
      </w:r>
      <w:r w:rsidRPr="00165990">
        <w:rPr>
          <w:rFonts w:ascii="Arial" w:hAnsi="Arial" w:cs="Arial"/>
          <w:spacing w:val="-2"/>
          <w:sz w:val="24"/>
          <w:szCs w:val="24"/>
        </w:rPr>
        <w:t xml:space="preserve"> </w:t>
      </w:r>
      <w:r w:rsidR="001E2D0A" w:rsidRPr="00165990">
        <w:rPr>
          <w:rFonts w:ascii="Arial" w:hAnsi="Arial" w:cs="Arial"/>
          <w:spacing w:val="-2"/>
          <w:sz w:val="24"/>
          <w:szCs w:val="24"/>
        </w:rPr>
        <w:t>5-6</w:t>
      </w:r>
      <w:r w:rsidRPr="00165990">
        <w:rPr>
          <w:rFonts w:ascii="Arial" w:hAnsi="Arial" w:cs="Arial"/>
          <w:spacing w:val="-2"/>
          <w:sz w:val="24"/>
          <w:szCs w:val="24"/>
        </w:rPr>
        <w:t xml:space="preserve">). En </w:t>
      </w:r>
      <w:r w:rsidR="001E2882" w:rsidRPr="00165990">
        <w:rPr>
          <w:rFonts w:ascii="Arial" w:hAnsi="Arial" w:cs="Arial"/>
          <w:spacing w:val="-2"/>
          <w:sz w:val="24"/>
          <w:szCs w:val="24"/>
        </w:rPr>
        <w:t>esas diligencias se le</w:t>
      </w:r>
      <w:r w:rsidRPr="00165990">
        <w:rPr>
          <w:rFonts w:ascii="Arial" w:hAnsi="Arial" w:cs="Arial"/>
          <w:spacing w:val="-2"/>
          <w:sz w:val="24"/>
          <w:szCs w:val="24"/>
        </w:rPr>
        <w:t xml:space="preserve"> formuló imputación a</w:t>
      </w:r>
      <w:r w:rsidR="00505240" w:rsidRPr="00165990">
        <w:rPr>
          <w:rFonts w:ascii="Arial" w:hAnsi="Arial" w:cs="Arial"/>
          <w:spacing w:val="-2"/>
          <w:sz w:val="24"/>
          <w:szCs w:val="24"/>
        </w:rPr>
        <w:t xml:space="preserve">l señor </w:t>
      </w:r>
      <w:proofErr w:type="spellStart"/>
      <w:r w:rsidR="005D5D2D" w:rsidRPr="00165990">
        <w:rPr>
          <w:rFonts w:ascii="Arial" w:hAnsi="Arial" w:cs="Arial"/>
          <w:spacing w:val="-2"/>
          <w:sz w:val="24"/>
          <w:szCs w:val="24"/>
        </w:rPr>
        <w:t>AMM</w:t>
      </w:r>
      <w:proofErr w:type="spellEnd"/>
      <w:r w:rsidRPr="00165990">
        <w:rPr>
          <w:rFonts w:ascii="Arial" w:hAnsi="Arial" w:cs="Arial"/>
          <w:spacing w:val="-2"/>
          <w:sz w:val="24"/>
          <w:szCs w:val="24"/>
        </w:rPr>
        <w:t xml:space="preserve"> </w:t>
      </w:r>
      <w:r w:rsidR="0045759A" w:rsidRPr="00165990">
        <w:rPr>
          <w:rFonts w:ascii="Arial" w:hAnsi="Arial" w:cs="Arial"/>
          <w:spacing w:val="-2"/>
          <w:sz w:val="24"/>
          <w:szCs w:val="24"/>
        </w:rPr>
        <w:t xml:space="preserve">por </w:t>
      </w:r>
      <w:r w:rsidR="001E2D0A" w:rsidRPr="00165990">
        <w:rPr>
          <w:rFonts w:ascii="Arial" w:hAnsi="Arial" w:cs="Arial"/>
          <w:spacing w:val="-2"/>
          <w:sz w:val="24"/>
          <w:szCs w:val="24"/>
        </w:rPr>
        <w:t>e</w:t>
      </w:r>
      <w:r w:rsidRPr="00165990">
        <w:rPr>
          <w:rFonts w:ascii="Arial" w:hAnsi="Arial" w:cs="Arial"/>
          <w:spacing w:val="-2"/>
          <w:sz w:val="24"/>
          <w:szCs w:val="24"/>
        </w:rPr>
        <w:t xml:space="preserve">l delito de </w:t>
      </w:r>
      <w:r w:rsidR="001E2D0A" w:rsidRPr="00165990">
        <w:rPr>
          <w:rFonts w:ascii="Arial" w:hAnsi="Arial" w:cs="Arial"/>
          <w:spacing w:val="-2"/>
          <w:sz w:val="24"/>
          <w:szCs w:val="24"/>
        </w:rPr>
        <w:t>tráfico, fabricación o porte de estupefacientes</w:t>
      </w:r>
      <w:r w:rsidR="00505240" w:rsidRPr="00165990">
        <w:rPr>
          <w:rFonts w:ascii="Arial" w:hAnsi="Arial" w:cs="Arial"/>
          <w:spacing w:val="-2"/>
          <w:sz w:val="24"/>
          <w:szCs w:val="24"/>
        </w:rPr>
        <w:t xml:space="preserve">, </w:t>
      </w:r>
      <w:r w:rsidR="001E2D0A" w:rsidRPr="00165990">
        <w:rPr>
          <w:rFonts w:ascii="Arial" w:hAnsi="Arial" w:cs="Arial"/>
          <w:spacing w:val="-2"/>
          <w:sz w:val="24"/>
          <w:szCs w:val="24"/>
        </w:rPr>
        <w:t>el cual no aceptó</w:t>
      </w:r>
      <w:r w:rsidR="00505240" w:rsidRPr="00165990">
        <w:rPr>
          <w:rFonts w:ascii="Arial" w:hAnsi="Arial" w:cs="Arial"/>
          <w:spacing w:val="-2"/>
          <w:sz w:val="24"/>
          <w:szCs w:val="24"/>
        </w:rPr>
        <w:t>.</w:t>
      </w:r>
      <w:r w:rsidRPr="00165990">
        <w:rPr>
          <w:rFonts w:ascii="Arial" w:hAnsi="Arial" w:cs="Arial"/>
          <w:spacing w:val="-2"/>
          <w:sz w:val="24"/>
          <w:szCs w:val="24"/>
        </w:rPr>
        <w:t xml:space="preserve"> </w:t>
      </w:r>
    </w:p>
    <w:p w:rsidR="00C05013" w:rsidRPr="00165990" w:rsidRDefault="00C05013" w:rsidP="00E54582">
      <w:pPr>
        <w:pStyle w:val="Sinespaciado"/>
        <w:spacing w:line="276" w:lineRule="auto"/>
        <w:jc w:val="both"/>
        <w:rPr>
          <w:rFonts w:ascii="Arial" w:hAnsi="Arial" w:cs="Arial"/>
          <w:spacing w:val="-2"/>
          <w:sz w:val="24"/>
          <w:szCs w:val="24"/>
        </w:rPr>
      </w:pPr>
    </w:p>
    <w:p w:rsidR="005C173A" w:rsidRPr="00165990" w:rsidRDefault="00C05013" w:rsidP="00E54582">
      <w:pPr>
        <w:pStyle w:val="Sinespaciado"/>
        <w:spacing w:line="276" w:lineRule="auto"/>
        <w:jc w:val="both"/>
        <w:rPr>
          <w:rFonts w:ascii="Arial" w:hAnsi="Arial" w:cs="Arial"/>
          <w:spacing w:val="-2"/>
          <w:sz w:val="24"/>
          <w:szCs w:val="24"/>
        </w:rPr>
      </w:pPr>
      <w:r w:rsidRPr="00165990">
        <w:rPr>
          <w:rFonts w:ascii="Arial" w:hAnsi="Arial" w:cs="Arial"/>
          <w:spacing w:val="-2"/>
          <w:sz w:val="24"/>
          <w:szCs w:val="24"/>
        </w:rPr>
        <w:t xml:space="preserve">2.3 El proceso fue asignado al Juzgado </w:t>
      </w:r>
      <w:r w:rsidR="001E2D0A" w:rsidRPr="00165990">
        <w:rPr>
          <w:rFonts w:ascii="Arial" w:hAnsi="Arial" w:cs="Arial"/>
          <w:spacing w:val="-2"/>
          <w:sz w:val="24"/>
          <w:szCs w:val="24"/>
        </w:rPr>
        <w:t xml:space="preserve">Séptimo </w:t>
      </w:r>
      <w:r w:rsidRPr="00165990">
        <w:rPr>
          <w:rFonts w:ascii="Arial" w:hAnsi="Arial" w:cs="Arial"/>
          <w:spacing w:val="-2"/>
          <w:sz w:val="24"/>
          <w:szCs w:val="24"/>
        </w:rPr>
        <w:t>Penal del Circuito con Función de Conocimiento (</w:t>
      </w:r>
      <w:proofErr w:type="spellStart"/>
      <w:r w:rsidRPr="00165990">
        <w:rPr>
          <w:rFonts w:ascii="Arial" w:hAnsi="Arial" w:cs="Arial"/>
          <w:spacing w:val="-2"/>
          <w:sz w:val="24"/>
          <w:szCs w:val="24"/>
        </w:rPr>
        <w:t>fl</w:t>
      </w:r>
      <w:proofErr w:type="spellEnd"/>
      <w:r w:rsidR="001E2D0A" w:rsidRPr="00165990">
        <w:rPr>
          <w:rFonts w:ascii="Arial" w:hAnsi="Arial" w:cs="Arial"/>
          <w:spacing w:val="-2"/>
          <w:sz w:val="24"/>
          <w:szCs w:val="24"/>
        </w:rPr>
        <w:t>. 7</w:t>
      </w:r>
      <w:r w:rsidRPr="00165990">
        <w:rPr>
          <w:rFonts w:ascii="Arial" w:hAnsi="Arial" w:cs="Arial"/>
          <w:spacing w:val="-2"/>
          <w:sz w:val="24"/>
          <w:szCs w:val="24"/>
        </w:rPr>
        <w:t xml:space="preserve">). </w:t>
      </w:r>
      <w:r w:rsidR="00E27891" w:rsidRPr="00165990">
        <w:rPr>
          <w:rFonts w:ascii="Arial" w:hAnsi="Arial" w:cs="Arial"/>
          <w:spacing w:val="-2"/>
          <w:sz w:val="24"/>
          <w:szCs w:val="24"/>
        </w:rPr>
        <w:t xml:space="preserve">La audiencia de formulación de acusación se celebró el </w:t>
      </w:r>
      <w:r w:rsidR="001E2D0A" w:rsidRPr="00165990">
        <w:rPr>
          <w:rFonts w:ascii="Arial" w:hAnsi="Arial" w:cs="Arial"/>
          <w:spacing w:val="-2"/>
          <w:sz w:val="24"/>
          <w:szCs w:val="24"/>
        </w:rPr>
        <w:t xml:space="preserve">30 de marzo de 2016 </w:t>
      </w:r>
      <w:r w:rsidR="00E27891" w:rsidRPr="00165990">
        <w:rPr>
          <w:rFonts w:ascii="Arial" w:hAnsi="Arial" w:cs="Arial"/>
          <w:spacing w:val="-2"/>
          <w:sz w:val="24"/>
          <w:szCs w:val="24"/>
        </w:rPr>
        <w:t>(</w:t>
      </w:r>
      <w:proofErr w:type="spellStart"/>
      <w:r w:rsidR="00E27891" w:rsidRPr="00165990">
        <w:rPr>
          <w:rFonts w:ascii="Arial" w:hAnsi="Arial" w:cs="Arial"/>
          <w:spacing w:val="-2"/>
          <w:sz w:val="24"/>
          <w:szCs w:val="24"/>
        </w:rPr>
        <w:t>fl</w:t>
      </w:r>
      <w:proofErr w:type="spellEnd"/>
      <w:r w:rsidR="001E2D0A" w:rsidRPr="00165990">
        <w:rPr>
          <w:rFonts w:ascii="Arial" w:hAnsi="Arial" w:cs="Arial"/>
          <w:spacing w:val="-2"/>
          <w:sz w:val="24"/>
          <w:szCs w:val="24"/>
        </w:rPr>
        <w:t>.</w:t>
      </w:r>
      <w:r w:rsidR="00E27891" w:rsidRPr="00165990">
        <w:rPr>
          <w:rFonts w:ascii="Arial" w:hAnsi="Arial" w:cs="Arial"/>
          <w:spacing w:val="-2"/>
          <w:sz w:val="24"/>
          <w:szCs w:val="24"/>
        </w:rPr>
        <w:t xml:space="preserve"> </w:t>
      </w:r>
      <w:r w:rsidR="001E2D0A" w:rsidRPr="00165990">
        <w:rPr>
          <w:rFonts w:ascii="Arial" w:hAnsi="Arial" w:cs="Arial"/>
          <w:spacing w:val="-2"/>
          <w:sz w:val="24"/>
          <w:szCs w:val="24"/>
        </w:rPr>
        <w:t>13</w:t>
      </w:r>
      <w:r w:rsidR="00E27891" w:rsidRPr="00165990">
        <w:rPr>
          <w:rFonts w:ascii="Arial" w:hAnsi="Arial" w:cs="Arial"/>
          <w:spacing w:val="-2"/>
          <w:sz w:val="24"/>
          <w:szCs w:val="24"/>
        </w:rPr>
        <w:t xml:space="preserve">). La audiencia preparatoria inició el </w:t>
      </w:r>
      <w:r w:rsidR="001E2D0A" w:rsidRPr="00165990">
        <w:rPr>
          <w:rFonts w:ascii="Arial" w:hAnsi="Arial" w:cs="Arial"/>
          <w:spacing w:val="-2"/>
          <w:sz w:val="24"/>
          <w:szCs w:val="24"/>
        </w:rPr>
        <w:t xml:space="preserve">13 de julio de 2016 </w:t>
      </w:r>
      <w:r w:rsidR="00E27891" w:rsidRPr="00165990">
        <w:rPr>
          <w:rFonts w:ascii="Arial" w:hAnsi="Arial" w:cs="Arial"/>
          <w:spacing w:val="-2"/>
          <w:sz w:val="24"/>
          <w:szCs w:val="24"/>
        </w:rPr>
        <w:t>(</w:t>
      </w:r>
      <w:proofErr w:type="spellStart"/>
      <w:r w:rsidR="00E27891" w:rsidRPr="00165990">
        <w:rPr>
          <w:rFonts w:ascii="Arial" w:hAnsi="Arial" w:cs="Arial"/>
          <w:spacing w:val="-2"/>
          <w:sz w:val="24"/>
          <w:szCs w:val="24"/>
        </w:rPr>
        <w:t>fl</w:t>
      </w:r>
      <w:proofErr w:type="spellEnd"/>
      <w:r w:rsidR="001E2D0A" w:rsidRPr="00165990">
        <w:rPr>
          <w:rFonts w:ascii="Arial" w:hAnsi="Arial" w:cs="Arial"/>
          <w:spacing w:val="-2"/>
          <w:sz w:val="24"/>
          <w:szCs w:val="24"/>
        </w:rPr>
        <w:t>.</w:t>
      </w:r>
      <w:r w:rsidR="00E27891" w:rsidRPr="00165990">
        <w:rPr>
          <w:rFonts w:ascii="Arial" w:hAnsi="Arial" w:cs="Arial"/>
          <w:spacing w:val="-2"/>
          <w:sz w:val="24"/>
          <w:szCs w:val="24"/>
        </w:rPr>
        <w:t xml:space="preserve"> </w:t>
      </w:r>
      <w:r w:rsidR="00505240" w:rsidRPr="00165990">
        <w:rPr>
          <w:rFonts w:ascii="Arial" w:hAnsi="Arial" w:cs="Arial"/>
          <w:spacing w:val="-2"/>
          <w:sz w:val="24"/>
          <w:szCs w:val="24"/>
        </w:rPr>
        <w:t>1</w:t>
      </w:r>
      <w:r w:rsidR="001E2D0A" w:rsidRPr="00165990">
        <w:rPr>
          <w:rFonts w:ascii="Arial" w:hAnsi="Arial" w:cs="Arial"/>
          <w:spacing w:val="-2"/>
          <w:sz w:val="24"/>
          <w:szCs w:val="24"/>
        </w:rPr>
        <w:t>7</w:t>
      </w:r>
      <w:r w:rsidR="00E27891" w:rsidRPr="00165990">
        <w:rPr>
          <w:rFonts w:ascii="Arial" w:hAnsi="Arial" w:cs="Arial"/>
          <w:spacing w:val="-2"/>
          <w:sz w:val="24"/>
          <w:szCs w:val="24"/>
        </w:rPr>
        <w:t>).</w:t>
      </w:r>
    </w:p>
    <w:p w:rsidR="005C173A" w:rsidRPr="00165990" w:rsidRDefault="005C173A" w:rsidP="00E54582">
      <w:pPr>
        <w:pStyle w:val="Sinespaciado"/>
        <w:spacing w:line="276" w:lineRule="auto"/>
        <w:jc w:val="both"/>
        <w:rPr>
          <w:rFonts w:ascii="Arial" w:hAnsi="Arial" w:cs="Arial"/>
          <w:spacing w:val="-2"/>
          <w:sz w:val="24"/>
          <w:szCs w:val="24"/>
        </w:rPr>
      </w:pPr>
    </w:p>
    <w:p w:rsidR="00505240" w:rsidRPr="00165990" w:rsidRDefault="005C173A" w:rsidP="00E54582">
      <w:pPr>
        <w:pStyle w:val="Sinespaciado"/>
        <w:spacing w:line="276" w:lineRule="auto"/>
        <w:jc w:val="both"/>
        <w:rPr>
          <w:rFonts w:ascii="Arial" w:hAnsi="Arial" w:cs="Arial"/>
          <w:spacing w:val="-2"/>
          <w:sz w:val="24"/>
          <w:szCs w:val="24"/>
        </w:rPr>
      </w:pPr>
      <w:r w:rsidRPr="00165990">
        <w:rPr>
          <w:rFonts w:ascii="Arial" w:hAnsi="Arial" w:cs="Arial"/>
          <w:spacing w:val="-2"/>
          <w:sz w:val="24"/>
          <w:szCs w:val="24"/>
        </w:rPr>
        <w:t xml:space="preserve">2.3 El 14 de enero del año en curso, al FGN puso en consideración del juez de conocimiento un preacuerdo suscrito con el procesado, el cual fue improbado por dicho funcionario, motivo por el cual la delegada del ente investigador, el agente del Ministerio Público y la defensora del señor José </w:t>
      </w:r>
      <w:proofErr w:type="spellStart"/>
      <w:r w:rsidR="005D5D2D" w:rsidRPr="00165990">
        <w:rPr>
          <w:rFonts w:ascii="Arial" w:hAnsi="Arial" w:cs="Arial"/>
          <w:spacing w:val="-2"/>
          <w:sz w:val="24"/>
          <w:szCs w:val="24"/>
        </w:rPr>
        <w:t>AMM</w:t>
      </w:r>
      <w:proofErr w:type="spellEnd"/>
      <w:r w:rsidRPr="00165990">
        <w:rPr>
          <w:rFonts w:ascii="Arial" w:hAnsi="Arial" w:cs="Arial"/>
          <w:spacing w:val="-2"/>
          <w:sz w:val="24"/>
          <w:szCs w:val="24"/>
        </w:rPr>
        <w:t xml:space="preserve"> apelaron dicha decisión. </w:t>
      </w:r>
    </w:p>
    <w:p w:rsidR="009041DF" w:rsidRPr="00165990" w:rsidRDefault="009041DF" w:rsidP="00E54582">
      <w:pPr>
        <w:pStyle w:val="Sinespaciado"/>
        <w:spacing w:line="276" w:lineRule="auto"/>
        <w:jc w:val="both"/>
        <w:rPr>
          <w:rFonts w:ascii="Arial" w:hAnsi="Arial" w:cs="Arial"/>
          <w:spacing w:val="-2"/>
          <w:sz w:val="24"/>
          <w:szCs w:val="24"/>
        </w:rPr>
      </w:pPr>
    </w:p>
    <w:p w:rsidR="0098358C" w:rsidRPr="00165990" w:rsidRDefault="0098358C" w:rsidP="00E54582">
      <w:pPr>
        <w:pStyle w:val="Sinespaciado"/>
        <w:spacing w:line="276" w:lineRule="auto"/>
        <w:jc w:val="center"/>
        <w:rPr>
          <w:rFonts w:ascii="Arial" w:hAnsi="Arial" w:cs="Arial"/>
          <w:spacing w:val="-2"/>
          <w:sz w:val="24"/>
          <w:szCs w:val="24"/>
          <w:u w:val="single"/>
        </w:rPr>
      </w:pPr>
      <w:r w:rsidRPr="00165990">
        <w:rPr>
          <w:rFonts w:ascii="Arial" w:hAnsi="Arial" w:cs="Arial"/>
          <w:spacing w:val="-2"/>
          <w:sz w:val="24"/>
          <w:szCs w:val="24"/>
          <w:u w:val="single"/>
        </w:rPr>
        <w:t>3. SOBRE EL PREACUERDO PUESTO EN CONSIDERACIÓN DEL A QUO</w:t>
      </w:r>
    </w:p>
    <w:p w:rsidR="0098358C" w:rsidRPr="00165990" w:rsidRDefault="0098358C" w:rsidP="00E54582">
      <w:pPr>
        <w:pStyle w:val="Sinespaciado"/>
        <w:spacing w:line="276" w:lineRule="auto"/>
        <w:jc w:val="both"/>
        <w:rPr>
          <w:rFonts w:ascii="Arial" w:hAnsi="Arial" w:cs="Arial"/>
          <w:spacing w:val="-2"/>
          <w:sz w:val="24"/>
          <w:szCs w:val="24"/>
        </w:rPr>
      </w:pPr>
    </w:p>
    <w:p w:rsidR="000C6918" w:rsidRPr="00165990" w:rsidRDefault="003E00B0" w:rsidP="00E54582">
      <w:pPr>
        <w:pStyle w:val="Sinespaciado"/>
        <w:spacing w:line="276" w:lineRule="auto"/>
        <w:jc w:val="both"/>
        <w:rPr>
          <w:rFonts w:ascii="Arial" w:hAnsi="Arial" w:cs="Arial"/>
          <w:spacing w:val="-2"/>
          <w:sz w:val="24"/>
          <w:szCs w:val="24"/>
        </w:rPr>
      </w:pPr>
      <w:r w:rsidRPr="00165990">
        <w:rPr>
          <w:rFonts w:ascii="Arial" w:hAnsi="Arial" w:cs="Arial"/>
          <w:spacing w:val="-2"/>
          <w:sz w:val="24"/>
          <w:szCs w:val="24"/>
        </w:rPr>
        <w:t xml:space="preserve">3.1 </w:t>
      </w:r>
      <w:r w:rsidR="00B4058E" w:rsidRPr="00165990">
        <w:rPr>
          <w:rFonts w:ascii="Arial" w:hAnsi="Arial" w:cs="Arial"/>
          <w:spacing w:val="-2"/>
          <w:sz w:val="24"/>
          <w:szCs w:val="24"/>
        </w:rPr>
        <w:t>INTERVENCIÓN</w:t>
      </w:r>
      <w:r w:rsidR="000C6918" w:rsidRPr="00165990">
        <w:rPr>
          <w:rFonts w:ascii="Arial" w:hAnsi="Arial" w:cs="Arial"/>
          <w:spacing w:val="-2"/>
          <w:sz w:val="24"/>
          <w:szCs w:val="24"/>
        </w:rPr>
        <w:t xml:space="preserve"> DELEGADA FGN. </w:t>
      </w:r>
    </w:p>
    <w:p w:rsidR="000C6918" w:rsidRPr="00165990" w:rsidRDefault="000C6918" w:rsidP="00E54582">
      <w:pPr>
        <w:pStyle w:val="Sinespaciado"/>
        <w:spacing w:line="276" w:lineRule="auto"/>
        <w:jc w:val="both"/>
        <w:rPr>
          <w:rFonts w:ascii="Arial" w:hAnsi="Arial" w:cs="Arial"/>
          <w:spacing w:val="-2"/>
          <w:sz w:val="24"/>
          <w:szCs w:val="24"/>
        </w:rPr>
      </w:pPr>
    </w:p>
    <w:p w:rsidR="0098358C" w:rsidRPr="00165990" w:rsidRDefault="00EA5364" w:rsidP="00E54582">
      <w:pPr>
        <w:pStyle w:val="Sinespaciado"/>
        <w:spacing w:line="276" w:lineRule="auto"/>
        <w:jc w:val="both"/>
        <w:rPr>
          <w:rFonts w:ascii="Arial" w:hAnsi="Arial" w:cs="Arial"/>
          <w:spacing w:val="-2"/>
          <w:sz w:val="24"/>
          <w:szCs w:val="24"/>
        </w:rPr>
      </w:pPr>
      <w:r w:rsidRPr="00165990">
        <w:rPr>
          <w:rFonts w:ascii="Arial" w:hAnsi="Arial" w:cs="Arial"/>
          <w:spacing w:val="-2"/>
          <w:sz w:val="24"/>
          <w:szCs w:val="24"/>
        </w:rPr>
        <w:t xml:space="preserve">Al inicio del juicio oral, la </w:t>
      </w:r>
      <w:r w:rsidR="0098358C" w:rsidRPr="00165990">
        <w:rPr>
          <w:rFonts w:ascii="Arial" w:hAnsi="Arial" w:cs="Arial"/>
          <w:spacing w:val="-2"/>
          <w:sz w:val="24"/>
          <w:szCs w:val="24"/>
        </w:rPr>
        <w:t xml:space="preserve">delegada de la FGN puso en consideración del juez de conocimiento un preacuerdo que había suscrito con el procesado, </w:t>
      </w:r>
      <w:r w:rsidR="00DE3D00" w:rsidRPr="00165990">
        <w:rPr>
          <w:rFonts w:ascii="Arial" w:hAnsi="Arial" w:cs="Arial"/>
          <w:spacing w:val="-2"/>
          <w:sz w:val="24"/>
          <w:szCs w:val="24"/>
        </w:rPr>
        <w:t xml:space="preserve">sobre el cual </w:t>
      </w:r>
      <w:r w:rsidR="0098358C" w:rsidRPr="00165990">
        <w:rPr>
          <w:rFonts w:ascii="Arial" w:hAnsi="Arial" w:cs="Arial"/>
          <w:spacing w:val="-2"/>
          <w:sz w:val="24"/>
          <w:szCs w:val="24"/>
        </w:rPr>
        <w:t xml:space="preserve">argumentó lo siguiente: </w:t>
      </w:r>
    </w:p>
    <w:p w:rsidR="00E54582" w:rsidRPr="00165990" w:rsidRDefault="00E54582" w:rsidP="00E54582">
      <w:pPr>
        <w:pStyle w:val="Sinespaciado"/>
        <w:spacing w:line="276" w:lineRule="auto"/>
        <w:jc w:val="both"/>
        <w:rPr>
          <w:rFonts w:ascii="Arial" w:hAnsi="Arial" w:cs="Arial"/>
          <w:spacing w:val="-2"/>
          <w:sz w:val="24"/>
          <w:szCs w:val="24"/>
        </w:rPr>
      </w:pPr>
    </w:p>
    <w:p w:rsidR="005E1431" w:rsidRPr="00165990" w:rsidRDefault="009E5DE8" w:rsidP="00E54582">
      <w:pPr>
        <w:pStyle w:val="Sinespaciado"/>
        <w:numPr>
          <w:ilvl w:val="0"/>
          <w:numId w:val="2"/>
        </w:numPr>
        <w:spacing w:line="276" w:lineRule="auto"/>
        <w:jc w:val="both"/>
        <w:rPr>
          <w:rFonts w:ascii="Arial" w:hAnsi="Arial" w:cs="Arial"/>
          <w:spacing w:val="-2"/>
          <w:sz w:val="24"/>
          <w:szCs w:val="24"/>
        </w:rPr>
      </w:pPr>
      <w:r w:rsidRPr="00165990">
        <w:rPr>
          <w:rFonts w:ascii="Arial" w:hAnsi="Arial" w:cs="Arial"/>
          <w:spacing w:val="-2"/>
          <w:sz w:val="24"/>
          <w:szCs w:val="24"/>
        </w:rPr>
        <w:t xml:space="preserve">La defensora del señor José </w:t>
      </w:r>
      <w:proofErr w:type="spellStart"/>
      <w:r w:rsidR="005D5D2D" w:rsidRPr="00165990">
        <w:rPr>
          <w:rFonts w:ascii="Arial" w:hAnsi="Arial" w:cs="Arial"/>
          <w:spacing w:val="-2"/>
          <w:sz w:val="24"/>
          <w:szCs w:val="24"/>
        </w:rPr>
        <w:t>AMM</w:t>
      </w:r>
      <w:proofErr w:type="spellEnd"/>
      <w:r w:rsidRPr="00165990">
        <w:rPr>
          <w:rFonts w:ascii="Arial" w:hAnsi="Arial" w:cs="Arial"/>
          <w:spacing w:val="-2"/>
          <w:sz w:val="24"/>
          <w:szCs w:val="24"/>
        </w:rPr>
        <w:t xml:space="preserve"> </w:t>
      </w:r>
      <w:r w:rsidR="0069555D" w:rsidRPr="00165990">
        <w:rPr>
          <w:rFonts w:ascii="Arial" w:hAnsi="Arial" w:cs="Arial"/>
          <w:spacing w:val="-2"/>
          <w:sz w:val="24"/>
          <w:szCs w:val="24"/>
        </w:rPr>
        <w:t xml:space="preserve">manifestó que su </w:t>
      </w:r>
      <w:r w:rsidRPr="00165990">
        <w:rPr>
          <w:rFonts w:ascii="Arial" w:hAnsi="Arial" w:cs="Arial"/>
          <w:spacing w:val="-2"/>
          <w:sz w:val="24"/>
          <w:szCs w:val="24"/>
        </w:rPr>
        <w:t xml:space="preserve">representado quería someterse a un preacuerdo, </w:t>
      </w:r>
      <w:r w:rsidR="00DE3D00" w:rsidRPr="00165990">
        <w:rPr>
          <w:rFonts w:ascii="Arial" w:hAnsi="Arial" w:cs="Arial"/>
          <w:spacing w:val="-2"/>
          <w:sz w:val="24"/>
          <w:szCs w:val="24"/>
        </w:rPr>
        <w:t>y</w:t>
      </w:r>
      <w:r w:rsidRPr="00165990">
        <w:rPr>
          <w:rFonts w:ascii="Arial" w:hAnsi="Arial" w:cs="Arial"/>
          <w:spacing w:val="-2"/>
          <w:sz w:val="24"/>
          <w:szCs w:val="24"/>
        </w:rPr>
        <w:t xml:space="preserve"> </w:t>
      </w:r>
      <w:r w:rsidR="0069555D" w:rsidRPr="00165990">
        <w:rPr>
          <w:rFonts w:ascii="Arial" w:hAnsi="Arial" w:cs="Arial"/>
          <w:spacing w:val="-2"/>
          <w:sz w:val="24"/>
          <w:szCs w:val="24"/>
        </w:rPr>
        <w:t xml:space="preserve">le hizo </w:t>
      </w:r>
      <w:r w:rsidR="00A26C67" w:rsidRPr="00165990">
        <w:rPr>
          <w:rFonts w:ascii="Arial" w:hAnsi="Arial" w:cs="Arial"/>
          <w:spacing w:val="-2"/>
          <w:sz w:val="24"/>
          <w:szCs w:val="24"/>
        </w:rPr>
        <w:t>al procesad</w:t>
      </w:r>
      <w:r w:rsidR="00DE3D00" w:rsidRPr="00165990">
        <w:rPr>
          <w:rFonts w:ascii="Arial" w:hAnsi="Arial" w:cs="Arial"/>
          <w:spacing w:val="-2"/>
          <w:sz w:val="24"/>
          <w:szCs w:val="24"/>
        </w:rPr>
        <w:t>o</w:t>
      </w:r>
      <w:r w:rsidR="00A26C67" w:rsidRPr="00165990">
        <w:rPr>
          <w:rFonts w:ascii="Arial" w:hAnsi="Arial" w:cs="Arial"/>
          <w:spacing w:val="-2"/>
          <w:sz w:val="24"/>
          <w:szCs w:val="24"/>
        </w:rPr>
        <w:t xml:space="preserve"> las </w:t>
      </w:r>
      <w:r w:rsidRPr="00165990">
        <w:rPr>
          <w:rFonts w:ascii="Arial" w:hAnsi="Arial" w:cs="Arial"/>
          <w:spacing w:val="-2"/>
          <w:sz w:val="24"/>
          <w:szCs w:val="24"/>
        </w:rPr>
        <w:t xml:space="preserve">advertencias </w:t>
      </w:r>
      <w:r w:rsidR="0069555D" w:rsidRPr="00165990">
        <w:rPr>
          <w:rFonts w:ascii="Arial" w:hAnsi="Arial" w:cs="Arial"/>
          <w:spacing w:val="-2"/>
          <w:sz w:val="24"/>
          <w:szCs w:val="24"/>
        </w:rPr>
        <w:t>s</w:t>
      </w:r>
      <w:r w:rsidRPr="00165990">
        <w:rPr>
          <w:rFonts w:ascii="Arial" w:hAnsi="Arial" w:cs="Arial"/>
          <w:spacing w:val="-2"/>
          <w:sz w:val="24"/>
          <w:szCs w:val="24"/>
        </w:rPr>
        <w:t xml:space="preserve">obre las consecuencias que </w:t>
      </w:r>
      <w:r w:rsidR="0069555D" w:rsidRPr="00165990">
        <w:rPr>
          <w:rFonts w:ascii="Arial" w:hAnsi="Arial" w:cs="Arial"/>
          <w:spacing w:val="-2"/>
          <w:sz w:val="24"/>
          <w:szCs w:val="24"/>
        </w:rPr>
        <w:t>ten</w:t>
      </w:r>
      <w:r w:rsidR="00B4058E" w:rsidRPr="00165990">
        <w:rPr>
          <w:rFonts w:ascii="Arial" w:hAnsi="Arial" w:cs="Arial"/>
          <w:spacing w:val="-2"/>
          <w:sz w:val="24"/>
          <w:szCs w:val="24"/>
        </w:rPr>
        <w:t>dría</w:t>
      </w:r>
      <w:r w:rsidR="0069555D" w:rsidRPr="00165990">
        <w:rPr>
          <w:rFonts w:ascii="Arial" w:hAnsi="Arial" w:cs="Arial"/>
          <w:spacing w:val="-2"/>
          <w:sz w:val="24"/>
          <w:szCs w:val="24"/>
        </w:rPr>
        <w:t xml:space="preserve"> su aceptación de cargos, </w:t>
      </w:r>
      <w:r w:rsidR="00A26C67" w:rsidRPr="00165990">
        <w:rPr>
          <w:rFonts w:ascii="Arial" w:hAnsi="Arial" w:cs="Arial"/>
          <w:spacing w:val="-2"/>
          <w:sz w:val="24"/>
          <w:szCs w:val="24"/>
        </w:rPr>
        <w:t xml:space="preserve">a </w:t>
      </w:r>
      <w:r w:rsidR="0069555D" w:rsidRPr="00165990">
        <w:rPr>
          <w:rFonts w:ascii="Arial" w:hAnsi="Arial" w:cs="Arial"/>
          <w:spacing w:val="-2"/>
          <w:sz w:val="24"/>
          <w:szCs w:val="24"/>
        </w:rPr>
        <w:t xml:space="preserve">cambio de lo cual recibiría como contraprestación que se </w:t>
      </w:r>
      <w:r w:rsidR="00185D05" w:rsidRPr="00165990">
        <w:rPr>
          <w:rFonts w:ascii="Arial" w:hAnsi="Arial" w:cs="Arial"/>
          <w:spacing w:val="-2"/>
          <w:sz w:val="24"/>
          <w:szCs w:val="24"/>
        </w:rPr>
        <w:t>degradara su responsabilidad de</w:t>
      </w:r>
      <w:r w:rsidR="00BC7393" w:rsidRPr="00165990">
        <w:rPr>
          <w:rFonts w:ascii="Arial" w:hAnsi="Arial" w:cs="Arial"/>
          <w:spacing w:val="-2"/>
          <w:sz w:val="24"/>
          <w:szCs w:val="24"/>
        </w:rPr>
        <w:t xml:space="preserve"> “autor”</w:t>
      </w:r>
      <w:r w:rsidR="0069555D" w:rsidRPr="00165990">
        <w:rPr>
          <w:rFonts w:ascii="Arial" w:hAnsi="Arial" w:cs="Arial"/>
          <w:spacing w:val="-2"/>
          <w:sz w:val="24"/>
          <w:szCs w:val="24"/>
        </w:rPr>
        <w:t xml:space="preserve">, </w:t>
      </w:r>
      <w:r w:rsidR="005E1431" w:rsidRPr="00165990">
        <w:rPr>
          <w:rFonts w:ascii="Arial" w:hAnsi="Arial" w:cs="Arial"/>
          <w:spacing w:val="-2"/>
          <w:sz w:val="24"/>
          <w:szCs w:val="24"/>
        </w:rPr>
        <w:t xml:space="preserve">a “cómplice” respecto a la conducta de tráfico, fabricación o porte de estupefacientes por la cual viene siendo investigado, con base en lo dispuesto en el artículo 30 </w:t>
      </w:r>
      <w:r w:rsidR="00A26C67" w:rsidRPr="00165990">
        <w:rPr>
          <w:rFonts w:ascii="Arial" w:hAnsi="Arial" w:cs="Arial"/>
          <w:spacing w:val="-2"/>
          <w:sz w:val="24"/>
          <w:szCs w:val="24"/>
        </w:rPr>
        <w:t xml:space="preserve">inciso 2º </w:t>
      </w:r>
      <w:r w:rsidR="005E1431" w:rsidRPr="00165990">
        <w:rPr>
          <w:rFonts w:ascii="Arial" w:hAnsi="Arial" w:cs="Arial"/>
          <w:spacing w:val="-2"/>
          <w:sz w:val="24"/>
          <w:szCs w:val="24"/>
        </w:rPr>
        <w:t xml:space="preserve">del </w:t>
      </w:r>
      <w:proofErr w:type="spellStart"/>
      <w:r w:rsidR="005E1431" w:rsidRPr="00165990">
        <w:rPr>
          <w:rFonts w:ascii="Arial" w:hAnsi="Arial" w:cs="Arial"/>
          <w:spacing w:val="-2"/>
          <w:sz w:val="24"/>
          <w:szCs w:val="24"/>
        </w:rPr>
        <w:t>CP</w:t>
      </w:r>
      <w:proofErr w:type="spellEnd"/>
      <w:r w:rsidR="00A26C67" w:rsidRPr="00165990">
        <w:rPr>
          <w:rFonts w:ascii="Arial" w:hAnsi="Arial" w:cs="Arial"/>
          <w:spacing w:val="-2"/>
          <w:sz w:val="24"/>
          <w:szCs w:val="24"/>
        </w:rPr>
        <w:t>, lo que le significaba una pena menor .</w:t>
      </w:r>
      <w:r w:rsidR="005E1431" w:rsidRPr="00165990">
        <w:rPr>
          <w:rFonts w:ascii="Arial" w:hAnsi="Arial" w:cs="Arial"/>
          <w:spacing w:val="-2"/>
          <w:sz w:val="24"/>
          <w:szCs w:val="24"/>
        </w:rPr>
        <w:t xml:space="preserve"> </w:t>
      </w:r>
    </w:p>
    <w:p w:rsidR="005E1431" w:rsidRPr="00165990" w:rsidRDefault="005E1431" w:rsidP="00E54582">
      <w:pPr>
        <w:pStyle w:val="Prrafodelista"/>
        <w:spacing w:line="276" w:lineRule="auto"/>
        <w:rPr>
          <w:rFonts w:ascii="Arial" w:hAnsi="Arial" w:cs="Arial"/>
          <w:spacing w:val="-2"/>
        </w:rPr>
      </w:pPr>
    </w:p>
    <w:p w:rsidR="005E1431" w:rsidRPr="00165990" w:rsidRDefault="005E1431" w:rsidP="00E54582">
      <w:pPr>
        <w:pStyle w:val="Sinespaciado"/>
        <w:numPr>
          <w:ilvl w:val="0"/>
          <w:numId w:val="2"/>
        </w:numPr>
        <w:spacing w:line="276" w:lineRule="auto"/>
        <w:jc w:val="both"/>
        <w:rPr>
          <w:rFonts w:ascii="Arial" w:hAnsi="Arial" w:cs="Arial"/>
          <w:spacing w:val="-2"/>
          <w:sz w:val="24"/>
          <w:szCs w:val="24"/>
        </w:rPr>
      </w:pPr>
      <w:r w:rsidRPr="00165990">
        <w:rPr>
          <w:rFonts w:ascii="Arial" w:hAnsi="Arial" w:cs="Arial"/>
          <w:spacing w:val="-2"/>
          <w:sz w:val="24"/>
          <w:szCs w:val="24"/>
        </w:rPr>
        <w:t xml:space="preserve">También se le explicó al </w:t>
      </w:r>
      <w:r w:rsidR="00185D05" w:rsidRPr="00165990">
        <w:rPr>
          <w:rFonts w:ascii="Arial" w:hAnsi="Arial" w:cs="Arial"/>
          <w:spacing w:val="-2"/>
          <w:sz w:val="24"/>
          <w:szCs w:val="24"/>
        </w:rPr>
        <w:t>procesado que si</w:t>
      </w:r>
      <w:r w:rsidRPr="00165990">
        <w:rPr>
          <w:rFonts w:ascii="Arial" w:hAnsi="Arial" w:cs="Arial"/>
          <w:spacing w:val="-2"/>
          <w:sz w:val="24"/>
          <w:szCs w:val="24"/>
        </w:rPr>
        <w:t xml:space="preserve"> dicha negociación no</w:t>
      </w:r>
      <w:r w:rsidR="00A26C67" w:rsidRPr="00165990">
        <w:rPr>
          <w:rFonts w:ascii="Arial" w:hAnsi="Arial" w:cs="Arial"/>
          <w:spacing w:val="-2"/>
          <w:sz w:val="24"/>
          <w:szCs w:val="24"/>
        </w:rPr>
        <w:t xml:space="preserve"> era </w:t>
      </w:r>
      <w:r w:rsidR="004D2869" w:rsidRPr="00165990">
        <w:rPr>
          <w:rFonts w:ascii="Arial" w:hAnsi="Arial" w:cs="Arial"/>
          <w:spacing w:val="-2"/>
          <w:sz w:val="24"/>
          <w:szCs w:val="24"/>
        </w:rPr>
        <w:t xml:space="preserve">aprobada, </w:t>
      </w:r>
      <w:r w:rsidR="00185D05" w:rsidRPr="00165990">
        <w:rPr>
          <w:rFonts w:ascii="Arial" w:hAnsi="Arial" w:cs="Arial"/>
          <w:spacing w:val="-2"/>
          <w:sz w:val="24"/>
          <w:szCs w:val="24"/>
        </w:rPr>
        <w:t>las</w:t>
      </w:r>
      <w:r w:rsidR="004D2869" w:rsidRPr="00165990">
        <w:rPr>
          <w:rFonts w:ascii="Arial" w:hAnsi="Arial" w:cs="Arial"/>
          <w:spacing w:val="-2"/>
          <w:sz w:val="24"/>
          <w:szCs w:val="24"/>
        </w:rPr>
        <w:t xml:space="preserve"> conversaciones adelantadas no se tendrían en cuenta. </w:t>
      </w:r>
    </w:p>
    <w:p w:rsidR="005E1431" w:rsidRPr="00165990" w:rsidRDefault="005E1431" w:rsidP="00E54582">
      <w:pPr>
        <w:pStyle w:val="Prrafodelista"/>
        <w:spacing w:line="276" w:lineRule="auto"/>
        <w:rPr>
          <w:rFonts w:ascii="Arial" w:hAnsi="Arial" w:cs="Arial"/>
          <w:spacing w:val="-2"/>
        </w:rPr>
      </w:pPr>
    </w:p>
    <w:p w:rsidR="005E1431" w:rsidRPr="00165990" w:rsidRDefault="00A26C67" w:rsidP="00E54582">
      <w:pPr>
        <w:pStyle w:val="Sinespaciado"/>
        <w:numPr>
          <w:ilvl w:val="0"/>
          <w:numId w:val="2"/>
        </w:numPr>
        <w:spacing w:line="276" w:lineRule="auto"/>
        <w:jc w:val="both"/>
        <w:rPr>
          <w:rFonts w:ascii="Arial" w:hAnsi="Arial" w:cs="Arial"/>
          <w:spacing w:val="-2"/>
          <w:sz w:val="24"/>
          <w:szCs w:val="24"/>
        </w:rPr>
      </w:pPr>
      <w:r w:rsidRPr="00165990">
        <w:rPr>
          <w:rFonts w:ascii="Arial" w:hAnsi="Arial" w:cs="Arial"/>
          <w:spacing w:val="-2"/>
          <w:sz w:val="24"/>
          <w:szCs w:val="24"/>
        </w:rPr>
        <w:t xml:space="preserve">La fiscal le puso de presente al acusado los </w:t>
      </w:r>
      <w:r w:rsidR="004D2869" w:rsidRPr="00165990">
        <w:rPr>
          <w:rFonts w:ascii="Arial" w:hAnsi="Arial" w:cs="Arial"/>
          <w:spacing w:val="-2"/>
          <w:sz w:val="24"/>
          <w:szCs w:val="24"/>
        </w:rPr>
        <w:t xml:space="preserve">hechos </w:t>
      </w:r>
      <w:r w:rsidR="0079609A" w:rsidRPr="00165990">
        <w:rPr>
          <w:rFonts w:ascii="Arial" w:hAnsi="Arial" w:cs="Arial"/>
          <w:spacing w:val="-2"/>
          <w:sz w:val="24"/>
          <w:szCs w:val="24"/>
        </w:rPr>
        <w:t xml:space="preserve">por los que fue aprehendido en situación de flagrancia </w:t>
      </w:r>
      <w:r w:rsidR="004D2869" w:rsidRPr="00165990">
        <w:rPr>
          <w:rFonts w:ascii="Arial" w:hAnsi="Arial" w:cs="Arial"/>
          <w:spacing w:val="-2"/>
          <w:sz w:val="24"/>
          <w:szCs w:val="24"/>
        </w:rPr>
        <w:t xml:space="preserve">y los </w:t>
      </w:r>
      <w:proofErr w:type="spellStart"/>
      <w:r w:rsidR="004D2869" w:rsidRPr="00165990">
        <w:rPr>
          <w:rFonts w:ascii="Arial" w:hAnsi="Arial" w:cs="Arial"/>
          <w:spacing w:val="-2"/>
          <w:sz w:val="24"/>
          <w:szCs w:val="24"/>
        </w:rPr>
        <w:t>EMP</w:t>
      </w:r>
      <w:proofErr w:type="spellEnd"/>
      <w:r w:rsidR="004D2869" w:rsidRPr="00165990">
        <w:rPr>
          <w:rFonts w:ascii="Arial" w:hAnsi="Arial" w:cs="Arial"/>
          <w:spacing w:val="-2"/>
          <w:sz w:val="24"/>
          <w:szCs w:val="24"/>
        </w:rPr>
        <w:t xml:space="preserve"> con que contaba la FGN </w:t>
      </w:r>
      <w:r w:rsidR="0079609A" w:rsidRPr="00165990">
        <w:rPr>
          <w:rFonts w:ascii="Arial" w:hAnsi="Arial" w:cs="Arial"/>
          <w:spacing w:val="-2"/>
          <w:sz w:val="24"/>
          <w:szCs w:val="24"/>
        </w:rPr>
        <w:t xml:space="preserve">para su judicialización. </w:t>
      </w:r>
    </w:p>
    <w:p w:rsidR="0079609A" w:rsidRPr="00165990" w:rsidRDefault="0079609A" w:rsidP="00E54582">
      <w:pPr>
        <w:pStyle w:val="Prrafodelista"/>
        <w:spacing w:line="276" w:lineRule="auto"/>
        <w:rPr>
          <w:rFonts w:ascii="Arial" w:hAnsi="Arial" w:cs="Arial"/>
          <w:spacing w:val="-2"/>
        </w:rPr>
      </w:pPr>
    </w:p>
    <w:p w:rsidR="007F15A6" w:rsidRPr="00165990" w:rsidRDefault="003215D1" w:rsidP="00E54582">
      <w:pPr>
        <w:pStyle w:val="Sinespaciado"/>
        <w:numPr>
          <w:ilvl w:val="0"/>
          <w:numId w:val="2"/>
        </w:numPr>
        <w:spacing w:line="276" w:lineRule="auto"/>
        <w:jc w:val="both"/>
        <w:rPr>
          <w:rFonts w:ascii="Arial" w:hAnsi="Arial" w:cs="Arial"/>
          <w:spacing w:val="-2"/>
          <w:sz w:val="24"/>
          <w:szCs w:val="24"/>
        </w:rPr>
      </w:pPr>
      <w:r w:rsidRPr="00165990">
        <w:rPr>
          <w:rFonts w:ascii="Arial" w:hAnsi="Arial" w:cs="Arial"/>
          <w:spacing w:val="-2"/>
          <w:sz w:val="24"/>
          <w:szCs w:val="24"/>
        </w:rPr>
        <w:t xml:space="preserve">El </w:t>
      </w:r>
      <w:r w:rsidR="0069555D" w:rsidRPr="00165990">
        <w:rPr>
          <w:rFonts w:ascii="Arial" w:hAnsi="Arial" w:cs="Arial"/>
          <w:spacing w:val="-2"/>
          <w:sz w:val="24"/>
          <w:szCs w:val="24"/>
        </w:rPr>
        <w:t xml:space="preserve">procesado </w:t>
      </w:r>
      <w:r w:rsidR="00DE3D00" w:rsidRPr="00165990">
        <w:rPr>
          <w:rFonts w:ascii="Arial" w:hAnsi="Arial" w:cs="Arial"/>
          <w:spacing w:val="-2"/>
          <w:sz w:val="24"/>
          <w:szCs w:val="24"/>
        </w:rPr>
        <w:t xml:space="preserve">dijo que </w:t>
      </w:r>
      <w:r w:rsidRPr="00165990">
        <w:rPr>
          <w:rFonts w:ascii="Arial" w:hAnsi="Arial" w:cs="Arial"/>
          <w:spacing w:val="-2"/>
          <w:sz w:val="24"/>
          <w:szCs w:val="24"/>
        </w:rPr>
        <w:t xml:space="preserve">de manera libre, </w:t>
      </w:r>
      <w:r w:rsidR="007F15A6" w:rsidRPr="00165990">
        <w:rPr>
          <w:rFonts w:ascii="Arial" w:hAnsi="Arial" w:cs="Arial"/>
          <w:spacing w:val="-2"/>
          <w:sz w:val="24"/>
          <w:szCs w:val="24"/>
        </w:rPr>
        <w:t>consciente</w:t>
      </w:r>
      <w:r w:rsidRPr="00165990">
        <w:rPr>
          <w:rFonts w:ascii="Arial" w:hAnsi="Arial" w:cs="Arial"/>
          <w:spacing w:val="-2"/>
          <w:sz w:val="24"/>
          <w:szCs w:val="24"/>
        </w:rPr>
        <w:t xml:space="preserve"> y voluntaria aceptaba los cargos</w:t>
      </w:r>
      <w:r w:rsidR="000B1415" w:rsidRPr="00165990">
        <w:rPr>
          <w:rFonts w:ascii="Arial" w:hAnsi="Arial" w:cs="Arial"/>
          <w:spacing w:val="-2"/>
          <w:sz w:val="24"/>
          <w:szCs w:val="24"/>
        </w:rPr>
        <w:t xml:space="preserve"> por la violación del artículo 376, inciso 2º del </w:t>
      </w:r>
      <w:proofErr w:type="spellStart"/>
      <w:r w:rsidR="000B1415" w:rsidRPr="00165990">
        <w:rPr>
          <w:rFonts w:ascii="Arial" w:hAnsi="Arial" w:cs="Arial"/>
          <w:spacing w:val="-2"/>
          <w:sz w:val="24"/>
          <w:szCs w:val="24"/>
        </w:rPr>
        <w:t>CP</w:t>
      </w:r>
      <w:proofErr w:type="spellEnd"/>
      <w:r w:rsidR="000B1415" w:rsidRPr="00165990">
        <w:rPr>
          <w:rFonts w:ascii="Arial" w:hAnsi="Arial" w:cs="Arial"/>
          <w:spacing w:val="-2"/>
          <w:sz w:val="24"/>
          <w:szCs w:val="24"/>
        </w:rPr>
        <w:t>,</w:t>
      </w:r>
      <w:r w:rsidRPr="00165990">
        <w:rPr>
          <w:rFonts w:ascii="Arial" w:hAnsi="Arial" w:cs="Arial"/>
          <w:spacing w:val="-2"/>
          <w:sz w:val="24"/>
          <w:szCs w:val="24"/>
        </w:rPr>
        <w:t xml:space="preserve"> por lo cual se procedió a</w:t>
      </w:r>
      <w:r w:rsidR="00185D05" w:rsidRPr="00165990">
        <w:rPr>
          <w:rFonts w:ascii="Arial" w:hAnsi="Arial" w:cs="Arial"/>
          <w:spacing w:val="-2"/>
          <w:sz w:val="24"/>
          <w:szCs w:val="24"/>
        </w:rPr>
        <w:t xml:space="preserve"> presentar el</w:t>
      </w:r>
      <w:r w:rsidRPr="00165990">
        <w:rPr>
          <w:rFonts w:ascii="Arial" w:hAnsi="Arial" w:cs="Arial"/>
          <w:spacing w:val="-2"/>
          <w:sz w:val="24"/>
          <w:szCs w:val="24"/>
        </w:rPr>
        <w:t xml:space="preserve"> preacuerdo, el cual tiene como único aspecto de neg</w:t>
      </w:r>
      <w:r w:rsidR="0069555D" w:rsidRPr="00165990">
        <w:rPr>
          <w:rFonts w:ascii="Arial" w:hAnsi="Arial" w:cs="Arial"/>
          <w:spacing w:val="-2"/>
          <w:sz w:val="24"/>
          <w:szCs w:val="24"/>
        </w:rPr>
        <w:t xml:space="preserve">ociación la </w:t>
      </w:r>
      <w:r w:rsidR="007F15A6" w:rsidRPr="00165990">
        <w:rPr>
          <w:rFonts w:ascii="Arial" w:hAnsi="Arial" w:cs="Arial"/>
          <w:spacing w:val="-2"/>
          <w:sz w:val="24"/>
          <w:szCs w:val="24"/>
        </w:rPr>
        <w:t xml:space="preserve">degradación de su grado de participación en la conducta punible investigada. </w:t>
      </w:r>
      <w:r w:rsidR="000B1415" w:rsidRPr="00165990">
        <w:rPr>
          <w:rFonts w:ascii="Arial" w:hAnsi="Arial" w:cs="Arial"/>
          <w:spacing w:val="-2"/>
          <w:sz w:val="24"/>
          <w:szCs w:val="24"/>
        </w:rPr>
        <w:t>En tal virtud, de s</w:t>
      </w:r>
      <w:r w:rsidR="007F15A6" w:rsidRPr="00165990">
        <w:rPr>
          <w:rFonts w:ascii="Arial" w:hAnsi="Arial" w:cs="Arial"/>
          <w:spacing w:val="-2"/>
          <w:sz w:val="24"/>
          <w:szCs w:val="24"/>
        </w:rPr>
        <w:t xml:space="preserve">er aprobado el preacuerdo, la pena que le sería impuesta al señor José </w:t>
      </w:r>
      <w:proofErr w:type="spellStart"/>
      <w:r w:rsidR="005D5D2D" w:rsidRPr="00165990">
        <w:rPr>
          <w:rFonts w:ascii="Arial" w:hAnsi="Arial" w:cs="Arial"/>
          <w:spacing w:val="-2"/>
          <w:sz w:val="24"/>
          <w:szCs w:val="24"/>
        </w:rPr>
        <w:t>AMM</w:t>
      </w:r>
      <w:proofErr w:type="spellEnd"/>
      <w:r w:rsidR="0069555D" w:rsidRPr="00165990">
        <w:rPr>
          <w:rFonts w:ascii="Arial" w:hAnsi="Arial" w:cs="Arial"/>
          <w:spacing w:val="-2"/>
          <w:sz w:val="24"/>
          <w:szCs w:val="24"/>
        </w:rPr>
        <w:t xml:space="preserve"> ser</w:t>
      </w:r>
      <w:r w:rsidR="000B1415" w:rsidRPr="00165990">
        <w:rPr>
          <w:rFonts w:ascii="Arial" w:hAnsi="Arial" w:cs="Arial"/>
          <w:spacing w:val="-2"/>
          <w:sz w:val="24"/>
          <w:szCs w:val="24"/>
        </w:rPr>
        <w:t>ía</w:t>
      </w:r>
      <w:r w:rsidR="0069555D" w:rsidRPr="00165990">
        <w:rPr>
          <w:rFonts w:ascii="Arial" w:hAnsi="Arial" w:cs="Arial"/>
          <w:spacing w:val="-2"/>
          <w:sz w:val="24"/>
          <w:szCs w:val="24"/>
        </w:rPr>
        <w:t xml:space="preserve"> de </w:t>
      </w:r>
      <w:r w:rsidR="007F15A6" w:rsidRPr="00165990">
        <w:rPr>
          <w:rFonts w:ascii="Arial" w:hAnsi="Arial" w:cs="Arial"/>
          <w:spacing w:val="-2"/>
          <w:sz w:val="24"/>
          <w:szCs w:val="24"/>
        </w:rPr>
        <w:t>32 meses de prisión y multa de 1</w:t>
      </w:r>
      <w:r w:rsidR="000B1415" w:rsidRPr="00165990">
        <w:rPr>
          <w:rFonts w:ascii="Arial" w:hAnsi="Arial" w:cs="Arial"/>
          <w:spacing w:val="-2"/>
          <w:sz w:val="24"/>
          <w:szCs w:val="24"/>
        </w:rPr>
        <w:t xml:space="preserve"> </w:t>
      </w:r>
      <w:proofErr w:type="spellStart"/>
      <w:r w:rsidR="000B1415" w:rsidRPr="00165990">
        <w:rPr>
          <w:rFonts w:ascii="Arial" w:hAnsi="Arial" w:cs="Arial"/>
          <w:spacing w:val="-2"/>
          <w:sz w:val="24"/>
          <w:szCs w:val="24"/>
        </w:rPr>
        <w:t>SMLMV</w:t>
      </w:r>
      <w:proofErr w:type="spellEnd"/>
      <w:r w:rsidR="000B1415" w:rsidRPr="00165990">
        <w:rPr>
          <w:rFonts w:ascii="Arial" w:hAnsi="Arial" w:cs="Arial"/>
          <w:spacing w:val="-2"/>
          <w:sz w:val="24"/>
          <w:szCs w:val="24"/>
        </w:rPr>
        <w:t>, para el año 2015.</w:t>
      </w:r>
      <w:r w:rsidR="007F15A6" w:rsidRPr="00165990">
        <w:rPr>
          <w:rFonts w:ascii="Arial" w:hAnsi="Arial" w:cs="Arial"/>
          <w:spacing w:val="-2"/>
          <w:sz w:val="24"/>
          <w:szCs w:val="24"/>
        </w:rPr>
        <w:t xml:space="preserve"> </w:t>
      </w:r>
    </w:p>
    <w:p w:rsidR="007F15A6" w:rsidRPr="00165990" w:rsidRDefault="007F15A6" w:rsidP="00E54582">
      <w:pPr>
        <w:pStyle w:val="Prrafodelista"/>
        <w:spacing w:line="276" w:lineRule="auto"/>
        <w:rPr>
          <w:rFonts w:ascii="Arial" w:hAnsi="Arial" w:cs="Arial"/>
          <w:spacing w:val="-2"/>
        </w:rPr>
      </w:pPr>
    </w:p>
    <w:p w:rsidR="007F15A6" w:rsidRPr="00165990" w:rsidRDefault="007F15A6" w:rsidP="00E54582">
      <w:pPr>
        <w:pStyle w:val="Sinespaciado"/>
        <w:numPr>
          <w:ilvl w:val="0"/>
          <w:numId w:val="2"/>
        </w:numPr>
        <w:spacing w:line="276" w:lineRule="auto"/>
        <w:jc w:val="both"/>
        <w:rPr>
          <w:rFonts w:ascii="Arial" w:hAnsi="Arial" w:cs="Arial"/>
          <w:spacing w:val="-2"/>
          <w:sz w:val="24"/>
          <w:szCs w:val="24"/>
        </w:rPr>
      </w:pPr>
      <w:r w:rsidRPr="00165990">
        <w:rPr>
          <w:rFonts w:ascii="Arial" w:hAnsi="Arial" w:cs="Arial"/>
          <w:spacing w:val="-2"/>
          <w:sz w:val="24"/>
          <w:szCs w:val="24"/>
        </w:rPr>
        <w:t xml:space="preserve">Solicitó que se realizara la verificación </w:t>
      </w:r>
      <w:r w:rsidR="000B1415" w:rsidRPr="00165990">
        <w:rPr>
          <w:rFonts w:ascii="Arial" w:hAnsi="Arial" w:cs="Arial"/>
          <w:spacing w:val="-2"/>
          <w:sz w:val="24"/>
          <w:szCs w:val="24"/>
        </w:rPr>
        <w:t xml:space="preserve">del </w:t>
      </w:r>
      <w:r w:rsidRPr="00165990">
        <w:rPr>
          <w:rFonts w:ascii="Arial" w:hAnsi="Arial" w:cs="Arial"/>
          <w:spacing w:val="-2"/>
          <w:sz w:val="24"/>
          <w:szCs w:val="24"/>
        </w:rPr>
        <w:t>preacuerdo</w:t>
      </w:r>
      <w:r w:rsidR="003E00B0" w:rsidRPr="00165990">
        <w:rPr>
          <w:rFonts w:ascii="Arial" w:hAnsi="Arial" w:cs="Arial"/>
          <w:spacing w:val="-2"/>
          <w:sz w:val="24"/>
          <w:szCs w:val="24"/>
        </w:rPr>
        <w:t xml:space="preserve"> presentado, </w:t>
      </w:r>
      <w:r w:rsidR="000B1415" w:rsidRPr="00165990">
        <w:rPr>
          <w:rFonts w:ascii="Arial" w:hAnsi="Arial" w:cs="Arial"/>
          <w:spacing w:val="-2"/>
          <w:sz w:val="24"/>
          <w:szCs w:val="24"/>
        </w:rPr>
        <w:t>mencionando para tal fin</w:t>
      </w:r>
      <w:r w:rsidR="003E00B0" w:rsidRPr="00165990">
        <w:rPr>
          <w:rFonts w:ascii="Arial" w:hAnsi="Arial" w:cs="Arial"/>
          <w:spacing w:val="-2"/>
          <w:sz w:val="24"/>
          <w:szCs w:val="24"/>
        </w:rPr>
        <w:t xml:space="preserve"> los </w:t>
      </w:r>
      <w:proofErr w:type="spellStart"/>
      <w:r w:rsidR="003E00B0" w:rsidRPr="00165990">
        <w:rPr>
          <w:rFonts w:ascii="Arial" w:hAnsi="Arial" w:cs="Arial"/>
          <w:spacing w:val="-2"/>
          <w:sz w:val="24"/>
          <w:szCs w:val="24"/>
        </w:rPr>
        <w:t>EMP</w:t>
      </w:r>
      <w:proofErr w:type="spellEnd"/>
      <w:r w:rsidR="003E00B0" w:rsidRPr="00165990">
        <w:rPr>
          <w:rFonts w:ascii="Arial" w:hAnsi="Arial" w:cs="Arial"/>
          <w:spacing w:val="-2"/>
          <w:sz w:val="24"/>
          <w:szCs w:val="24"/>
        </w:rPr>
        <w:t xml:space="preserve"> respectivos</w:t>
      </w:r>
      <w:r w:rsidR="00185D05" w:rsidRPr="00165990">
        <w:rPr>
          <w:rFonts w:ascii="Arial" w:hAnsi="Arial" w:cs="Arial"/>
          <w:spacing w:val="-2"/>
          <w:sz w:val="24"/>
          <w:szCs w:val="24"/>
        </w:rPr>
        <w:t xml:space="preserve"> con que contaba la FGN</w:t>
      </w:r>
      <w:r w:rsidR="003E00B0" w:rsidRPr="00165990">
        <w:rPr>
          <w:rFonts w:ascii="Arial" w:hAnsi="Arial" w:cs="Arial"/>
          <w:spacing w:val="-2"/>
          <w:sz w:val="24"/>
          <w:szCs w:val="24"/>
        </w:rPr>
        <w:t xml:space="preserve">. </w:t>
      </w:r>
    </w:p>
    <w:p w:rsidR="005E1431" w:rsidRPr="00165990" w:rsidRDefault="005E1431" w:rsidP="00E54582">
      <w:pPr>
        <w:pStyle w:val="Prrafodelista"/>
        <w:spacing w:line="276" w:lineRule="auto"/>
        <w:rPr>
          <w:rFonts w:ascii="Arial" w:hAnsi="Arial" w:cs="Arial"/>
          <w:spacing w:val="-2"/>
          <w:u w:val="single"/>
        </w:rPr>
      </w:pPr>
    </w:p>
    <w:p w:rsidR="000C6918" w:rsidRPr="00165990" w:rsidRDefault="003E00B0" w:rsidP="00E54582">
      <w:pPr>
        <w:pStyle w:val="Sinespaciado"/>
        <w:spacing w:line="276" w:lineRule="auto"/>
        <w:jc w:val="both"/>
        <w:rPr>
          <w:rFonts w:ascii="Arial" w:hAnsi="Arial" w:cs="Arial"/>
          <w:spacing w:val="-2"/>
          <w:sz w:val="24"/>
          <w:szCs w:val="24"/>
          <w:u w:val="single"/>
        </w:rPr>
      </w:pPr>
      <w:r w:rsidRPr="00165990">
        <w:rPr>
          <w:rFonts w:ascii="Arial" w:hAnsi="Arial" w:cs="Arial"/>
          <w:spacing w:val="-2"/>
          <w:sz w:val="24"/>
          <w:szCs w:val="24"/>
          <w:u w:val="single"/>
        </w:rPr>
        <w:t xml:space="preserve">3.2 </w:t>
      </w:r>
      <w:r w:rsidR="00185D05" w:rsidRPr="00165990">
        <w:rPr>
          <w:rFonts w:ascii="Arial" w:hAnsi="Arial" w:cs="Arial"/>
          <w:spacing w:val="-2"/>
          <w:sz w:val="24"/>
          <w:szCs w:val="24"/>
          <w:u w:val="single"/>
        </w:rPr>
        <w:t>DELEGADO DEL MINISTERIO PÚBLICO</w:t>
      </w:r>
    </w:p>
    <w:p w:rsidR="00185D05" w:rsidRPr="00165990" w:rsidRDefault="00185D05" w:rsidP="00E54582">
      <w:pPr>
        <w:pStyle w:val="Sinespaciado"/>
        <w:spacing w:line="276" w:lineRule="auto"/>
        <w:jc w:val="both"/>
        <w:rPr>
          <w:rFonts w:ascii="Arial" w:hAnsi="Arial" w:cs="Arial"/>
          <w:spacing w:val="-2"/>
          <w:sz w:val="24"/>
          <w:szCs w:val="24"/>
          <w:u w:val="single"/>
        </w:rPr>
      </w:pPr>
    </w:p>
    <w:p w:rsidR="0098358C" w:rsidRPr="00165990" w:rsidRDefault="000C6918" w:rsidP="00E54582">
      <w:pPr>
        <w:pStyle w:val="Sinespaciado"/>
        <w:numPr>
          <w:ilvl w:val="0"/>
          <w:numId w:val="7"/>
        </w:numPr>
        <w:spacing w:line="276" w:lineRule="auto"/>
        <w:jc w:val="both"/>
        <w:rPr>
          <w:rFonts w:ascii="Arial" w:hAnsi="Arial" w:cs="Arial"/>
          <w:spacing w:val="-2"/>
          <w:sz w:val="24"/>
          <w:szCs w:val="24"/>
        </w:rPr>
      </w:pPr>
      <w:r w:rsidRPr="00165990">
        <w:rPr>
          <w:rFonts w:ascii="Arial" w:hAnsi="Arial" w:cs="Arial"/>
          <w:spacing w:val="-2"/>
          <w:sz w:val="24"/>
          <w:szCs w:val="24"/>
        </w:rPr>
        <w:t xml:space="preserve">Coadyuvó la </w:t>
      </w:r>
      <w:r w:rsidR="008C7537" w:rsidRPr="00165990">
        <w:rPr>
          <w:rFonts w:ascii="Arial" w:hAnsi="Arial" w:cs="Arial"/>
          <w:spacing w:val="-2"/>
          <w:sz w:val="24"/>
          <w:szCs w:val="24"/>
        </w:rPr>
        <w:t xml:space="preserve">petición de la </w:t>
      </w:r>
      <w:r w:rsidRPr="00165990">
        <w:rPr>
          <w:rFonts w:ascii="Arial" w:hAnsi="Arial" w:cs="Arial"/>
          <w:spacing w:val="-2"/>
          <w:sz w:val="24"/>
          <w:szCs w:val="24"/>
        </w:rPr>
        <w:t xml:space="preserve">delegada de la FGN, por </w:t>
      </w:r>
      <w:r w:rsidR="0069555D" w:rsidRPr="00165990">
        <w:rPr>
          <w:rFonts w:ascii="Arial" w:hAnsi="Arial" w:cs="Arial"/>
          <w:spacing w:val="-2"/>
          <w:sz w:val="24"/>
          <w:szCs w:val="24"/>
        </w:rPr>
        <w:t>considera</w:t>
      </w:r>
      <w:r w:rsidR="00185D05" w:rsidRPr="00165990">
        <w:rPr>
          <w:rFonts w:ascii="Arial" w:hAnsi="Arial" w:cs="Arial"/>
          <w:spacing w:val="-2"/>
          <w:sz w:val="24"/>
          <w:szCs w:val="24"/>
        </w:rPr>
        <w:t xml:space="preserve">r que la </w:t>
      </w:r>
      <w:r w:rsidRPr="00165990">
        <w:rPr>
          <w:rFonts w:ascii="Arial" w:hAnsi="Arial" w:cs="Arial"/>
          <w:spacing w:val="-2"/>
          <w:sz w:val="24"/>
          <w:szCs w:val="24"/>
        </w:rPr>
        <w:t xml:space="preserve">misma se adecuaba a los </w:t>
      </w:r>
      <w:r w:rsidR="008C7537" w:rsidRPr="00165990">
        <w:rPr>
          <w:rFonts w:ascii="Arial" w:hAnsi="Arial" w:cs="Arial"/>
          <w:spacing w:val="-2"/>
          <w:sz w:val="24"/>
          <w:szCs w:val="24"/>
        </w:rPr>
        <w:t xml:space="preserve"> requis</w:t>
      </w:r>
      <w:r w:rsidR="00185D05" w:rsidRPr="00165990">
        <w:rPr>
          <w:rFonts w:ascii="Arial" w:hAnsi="Arial" w:cs="Arial"/>
          <w:spacing w:val="-2"/>
          <w:sz w:val="24"/>
          <w:szCs w:val="24"/>
        </w:rPr>
        <w:t xml:space="preserve">itos del artículo 348 del </w:t>
      </w:r>
      <w:proofErr w:type="spellStart"/>
      <w:r w:rsidR="00185D05" w:rsidRPr="00165990">
        <w:rPr>
          <w:rFonts w:ascii="Arial" w:hAnsi="Arial" w:cs="Arial"/>
          <w:spacing w:val="-2"/>
          <w:sz w:val="24"/>
          <w:szCs w:val="24"/>
        </w:rPr>
        <w:t>CPP</w:t>
      </w:r>
      <w:proofErr w:type="spellEnd"/>
      <w:r w:rsidR="00185D05" w:rsidRPr="00165990">
        <w:rPr>
          <w:rFonts w:ascii="Arial" w:hAnsi="Arial" w:cs="Arial"/>
          <w:spacing w:val="-2"/>
          <w:sz w:val="24"/>
          <w:szCs w:val="24"/>
        </w:rPr>
        <w:t xml:space="preserve">, </w:t>
      </w:r>
      <w:r w:rsidR="008C7537" w:rsidRPr="00165990">
        <w:rPr>
          <w:rFonts w:ascii="Arial" w:hAnsi="Arial" w:cs="Arial"/>
          <w:spacing w:val="-2"/>
          <w:sz w:val="24"/>
          <w:szCs w:val="24"/>
        </w:rPr>
        <w:t>ya que con el preacuerdo se est</w:t>
      </w:r>
      <w:r w:rsidR="00264861" w:rsidRPr="00165990">
        <w:rPr>
          <w:rFonts w:ascii="Arial" w:hAnsi="Arial" w:cs="Arial"/>
          <w:spacing w:val="-2"/>
          <w:sz w:val="24"/>
          <w:szCs w:val="24"/>
        </w:rPr>
        <w:t xml:space="preserve">aba </w:t>
      </w:r>
      <w:r w:rsidR="008C7537" w:rsidRPr="00165990">
        <w:rPr>
          <w:rFonts w:ascii="Arial" w:hAnsi="Arial" w:cs="Arial"/>
          <w:spacing w:val="-2"/>
          <w:sz w:val="24"/>
          <w:szCs w:val="24"/>
        </w:rPr>
        <w:t>dando solución a un conflicto</w:t>
      </w:r>
      <w:r w:rsidRPr="00165990">
        <w:rPr>
          <w:rFonts w:ascii="Arial" w:hAnsi="Arial" w:cs="Arial"/>
          <w:spacing w:val="-2"/>
          <w:sz w:val="24"/>
          <w:szCs w:val="24"/>
        </w:rPr>
        <w:t>, m</w:t>
      </w:r>
      <w:r w:rsidR="000B1415" w:rsidRPr="00165990">
        <w:rPr>
          <w:rFonts w:ascii="Arial" w:hAnsi="Arial" w:cs="Arial"/>
          <w:spacing w:val="-2"/>
          <w:sz w:val="24"/>
          <w:szCs w:val="24"/>
        </w:rPr>
        <w:t xml:space="preserve">áxime </w:t>
      </w:r>
      <w:r w:rsidR="00185D05" w:rsidRPr="00165990">
        <w:rPr>
          <w:rFonts w:ascii="Arial" w:hAnsi="Arial" w:cs="Arial"/>
          <w:spacing w:val="-2"/>
          <w:sz w:val="24"/>
          <w:szCs w:val="24"/>
        </w:rPr>
        <w:t xml:space="preserve">si se </w:t>
      </w:r>
      <w:r w:rsidRPr="00165990">
        <w:rPr>
          <w:rFonts w:ascii="Arial" w:hAnsi="Arial" w:cs="Arial"/>
          <w:spacing w:val="-2"/>
          <w:sz w:val="24"/>
          <w:szCs w:val="24"/>
        </w:rPr>
        <w:t xml:space="preserve">le debía dar pronta solución al caso ya que los hechos ocurrieron en el año </w:t>
      </w:r>
      <w:r w:rsidR="008C7537" w:rsidRPr="00165990">
        <w:rPr>
          <w:rFonts w:ascii="Arial" w:hAnsi="Arial" w:cs="Arial"/>
          <w:spacing w:val="-2"/>
          <w:sz w:val="24"/>
          <w:szCs w:val="24"/>
        </w:rPr>
        <w:t xml:space="preserve">2015. </w:t>
      </w:r>
    </w:p>
    <w:p w:rsidR="00694C53" w:rsidRPr="00165990" w:rsidRDefault="00694C53" w:rsidP="00E54582">
      <w:pPr>
        <w:pStyle w:val="Sinespaciado"/>
        <w:spacing w:line="276" w:lineRule="auto"/>
        <w:jc w:val="both"/>
        <w:rPr>
          <w:rFonts w:ascii="Arial" w:hAnsi="Arial" w:cs="Arial"/>
          <w:spacing w:val="-2"/>
          <w:sz w:val="24"/>
          <w:szCs w:val="24"/>
        </w:rPr>
      </w:pPr>
    </w:p>
    <w:p w:rsidR="008C7537" w:rsidRPr="00165990" w:rsidRDefault="000C6918" w:rsidP="00E54582">
      <w:pPr>
        <w:pStyle w:val="Sinespaciado"/>
        <w:numPr>
          <w:ilvl w:val="0"/>
          <w:numId w:val="7"/>
        </w:numPr>
        <w:spacing w:line="276" w:lineRule="auto"/>
        <w:jc w:val="both"/>
        <w:rPr>
          <w:rFonts w:ascii="Arial" w:hAnsi="Arial" w:cs="Arial"/>
          <w:spacing w:val="-2"/>
          <w:sz w:val="24"/>
          <w:szCs w:val="24"/>
        </w:rPr>
      </w:pPr>
      <w:r w:rsidRPr="00165990">
        <w:rPr>
          <w:rFonts w:ascii="Arial" w:hAnsi="Arial" w:cs="Arial"/>
          <w:spacing w:val="-2"/>
          <w:sz w:val="24"/>
          <w:szCs w:val="24"/>
        </w:rPr>
        <w:t xml:space="preserve">Al </w:t>
      </w:r>
      <w:r w:rsidR="00B03594" w:rsidRPr="00165990">
        <w:rPr>
          <w:rFonts w:ascii="Arial" w:hAnsi="Arial" w:cs="Arial"/>
          <w:spacing w:val="-2"/>
          <w:sz w:val="24"/>
          <w:szCs w:val="24"/>
        </w:rPr>
        <w:t xml:space="preserve">señor </w:t>
      </w:r>
      <w:proofErr w:type="spellStart"/>
      <w:r w:rsidR="005D5D2D" w:rsidRPr="00165990">
        <w:rPr>
          <w:rFonts w:ascii="Arial" w:hAnsi="Arial" w:cs="Arial"/>
          <w:spacing w:val="-2"/>
          <w:sz w:val="24"/>
          <w:szCs w:val="24"/>
        </w:rPr>
        <w:t>AMM</w:t>
      </w:r>
      <w:proofErr w:type="spellEnd"/>
      <w:r w:rsidR="00B03594" w:rsidRPr="00165990">
        <w:rPr>
          <w:rFonts w:ascii="Arial" w:hAnsi="Arial" w:cs="Arial"/>
          <w:spacing w:val="-2"/>
          <w:sz w:val="24"/>
          <w:szCs w:val="24"/>
        </w:rPr>
        <w:t xml:space="preserve"> se le incautaron 180 papeletas con sustancia estupefaciente</w:t>
      </w:r>
      <w:r w:rsidRPr="00165990">
        <w:rPr>
          <w:rFonts w:ascii="Arial" w:hAnsi="Arial" w:cs="Arial"/>
          <w:spacing w:val="-2"/>
          <w:sz w:val="24"/>
          <w:szCs w:val="24"/>
        </w:rPr>
        <w:t xml:space="preserve">. Si bien el informe técnico fue </w:t>
      </w:r>
      <w:r w:rsidR="00B03594" w:rsidRPr="00165990">
        <w:rPr>
          <w:rFonts w:ascii="Arial" w:hAnsi="Arial" w:cs="Arial"/>
          <w:spacing w:val="-2"/>
          <w:sz w:val="24"/>
          <w:szCs w:val="24"/>
        </w:rPr>
        <w:t>positivo para cocaína, lo real es que según la descripción realizada de esa sustancia</w:t>
      </w:r>
      <w:r w:rsidR="00264861" w:rsidRPr="00165990">
        <w:rPr>
          <w:rFonts w:ascii="Arial" w:hAnsi="Arial" w:cs="Arial"/>
          <w:spacing w:val="-2"/>
          <w:sz w:val="24"/>
          <w:szCs w:val="24"/>
        </w:rPr>
        <w:t xml:space="preserve"> en el informe técnico, </w:t>
      </w:r>
      <w:r w:rsidR="00E10EBB" w:rsidRPr="00165990">
        <w:rPr>
          <w:rFonts w:ascii="Arial" w:hAnsi="Arial" w:cs="Arial"/>
          <w:spacing w:val="-2"/>
          <w:sz w:val="24"/>
          <w:szCs w:val="24"/>
        </w:rPr>
        <w:t xml:space="preserve">lleva a inferir que se trataba de </w:t>
      </w:r>
      <w:r w:rsidR="00B03594" w:rsidRPr="00165990">
        <w:rPr>
          <w:rFonts w:ascii="Arial" w:hAnsi="Arial" w:cs="Arial"/>
          <w:spacing w:val="-2"/>
          <w:sz w:val="24"/>
          <w:szCs w:val="24"/>
        </w:rPr>
        <w:t xml:space="preserve">“bazuco”, </w:t>
      </w:r>
      <w:r w:rsidR="00E10EBB" w:rsidRPr="00165990">
        <w:rPr>
          <w:rFonts w:ascii="Arial" w:hAnsi="Arial" w:cs="Arial"/>
          <w:spacing w:val="-2"/>
          <w:sz w:val="24"/>
          <w:szCs w:val="24"/>
        </w:rPr>
        <w:t>cuyo</w:t>
      </w:r>
      <w:r w:rsidR="00264861" w:rsidRPr="00165990">
        <w:rPr>
          <w:rFonts w:ascii="Arial" w:hAnsi="Arial" w:cs="Arial"/>
          <w:spacing w:val="-2"/>
          <w:sz w:val="24"/>
          <w:szCs w:val="24"/>
        </w:rPr>
        <w:t xml:space="preserve"> uso y </w:t>
      </w:r>
      <w:r w:rsidR="00E10EBB" w:rsidRPr="00165990">
        <w:rPr>
          <w:rFonts w:ascii="Arial" w:hAnsi="Arial" w:cs="Arial"/>
          <w:spacing w:val="-2"/>
          <w:sz w:val="24"/>
          <w:szCs w:val="24"/>
        </w:rPr>
        <w:t xml:space="preserve">comercio tiene </w:t>
      </w:r>
      <w:r w:rsidR="00B03594" w:rsidRPr="00165990">
        <w:rPr>
          <w:rFonts w:ascii="Arial" w:hAnsi="Arial" w:cs="Arial"/>
          <w:spacing w:val="-2"/>
          <w:sz w:val="24"/>
          <w:szCs w:val="24"/>
        </w:rPr>
        <w:t xml:space="preserve">efectos bastante negativos en nuestra sociedad. </w:t>
      </w:r>
    </w:p>
    <w:p w:rsidR="00B03594" w:rsidRPr="00165990" w:rsidRDefault="00B03594" w:rsidP="00E54582">
      <w:pPr>
        <w:pStyle w:val="Sinespaciado"/>
        <w:spacing w:line="276" w:lineRule="auto"/>
        <w:jc w:val="both"/>
        <w:rPr>
          <w:rFonts w:ascii="Arial" w:hAnsi="Arial" w:cs="Arial"/>
          <w:spacing w:val="-2"/>
          <w:sz w:val="24"/>
          <w:szCs w:val="24"/>
        </w:rPr>
      </w:pPr>
    </w:p>
    <w:p w:rsidR="00B03594" w:rsidRPr="00165990" w:rsidRDefault="00B03594" w:rsidP="00E54582">
      <w:pPr>
        <w:pStyle w:val="Sinespaciado"/>
        <w:numPr>
          <w:ilvl w:val="0"/>
          <w:numId w:val="7"/>
        </w:numPr>
        <w:spacing w:line="276" w:lineRule="auto"/>
        <w:jc w:val="both"/>
        <w:rPr>
          <w:rFonts w:ascii="Arial" w:hAnsi="Arial" w:cs="Arial"/>
          <w:spacing w:val="-2"/>
          <w:sz w:val="24"/>
          <w:szCs w:val="24"/>
        </w:rPr>
      </w:pPr>
      <w:r w:rsidRPr="00165990">
        <w:rPr>
          <w:rFonts w:ascii="Arial" w:hAnsi="Arial" w:cs="Arial"/>
          <w:spacing w:val="-2"/>
          <w:sz w:val="24"/>
          <w:szCs w:val="24"/>
        </w:rPr>
        <w:t>La forma en la que estaba distribuida la sustancia</w:t>
      </w:r>
      <w:r w:rsidR="00E10EBB" w:rsidRPr="00165990">
        <w:rPr>
          <w:rFonts w:ascii="Arial" w:hAnsi="Arial" w:cs="Arial"/>
          <w:spacing w:val="-2"/>
          <w:sz w:val="24"/>
          <w:szCs w:val="24"/>
        </w:rPr>
        <w:t xml:space="preserve"> y el </w:t>
      </w:r>
      <w:r w:rsidRPr="00165990">
        <w:rPr>
          <w:rFonts w:ascii="Arial" w:hAnsi="Arial" w:cs="Arial"/>
          <w:spacing w:val="-2"/>
          <w:sz w:val="24"/>
          <w:szCs w:val="24"/>
        </w:rPr>
        <w:t>lugar donde se realizó el procedimien</w:t>
      </w:r>
      <w:r w:rsidR="00E10EBB" w:rsidRPr="00165990">
        <w:rPr>
          <w:rFonts w:ascii="Arial" w:hAnsi="Arial" w:cs="Arial"/>
          <w:spacing w:val="-2"/>
          <w:sz w:val="24"/>
          <w:szCs w:val="24"/>
        </w:rPr>
        <w:t xml:space="preserve">to de </w:t>
      </w:r>
      <w:r w:rsidRPr="00165990">
        <w:rPr>
          <w:rFonts w:ascii="Arial" w:hAnsi="Arial" w:cs="Arial"/>
          <w:spacing w:val="-2"/>
          <w:sz w:val="24"/>
          <w:szCs w:val="24"/>
        </w:rPr>
        <w:t>captura del encartado, permiten inferir que es</w:t>
      </w:r>
      <w:r w:rsidR="00264861" w:rsidRPr="00165990">
        <w:rPr>
          <w:rFonts w:ascii="Arial" w:hAnsi="Arial" w:cs="Arial"/>
          <w:spacing w:val="-2"/>
          <w:sz w:val="24"/>
          <w:szCs w:val="24"/>
        </w:rPr>
        <w:t>a</w:t>
      </w:r>
      <w:r w:rsidRPr="00165990">
        <w:rPr>
          <w:rFonts w:ascii="Arial" w:hAnsi="Arial" w:cs="Arial"/>
          <w:spacing w:val="-2"/>
          <w:sz w:val="24"/>
          <w:szCs w:val="24"/>
        </w:rPr>
        <w:t xml:space="preserve"> sustancia estaba destinada a ser suministrada</w:t>
      </w:r>
      <w:r w:rsidR="005E003F" w:rsidRPr="00165990">
        <w:rPr>
          <w:rFonts w:ascii="Arial" w:hAnsi="Arial" w:cs="Arial"/>
          <w:spacing w:val="-2"/>
          <w:sz w:val="24"/>
          <w:szCs w:val="24"/>
        </w:rPr>
        <w:t xml:space="preserve"> a terceras personas. </w:t>
      </w:r>
    </w:p>
    <w:p w:rsidR="005E003F" w:rsidRPr="00165990" w:rsidRDefault="005E003F" w:rsidP="00E54582">
      <w:pPr>
        <w:pStyle w:val="Sinespaciado"/>
        <w:spacing w:line="276" w:lineRule="auto"/>
        <w:jc w:val="both"/>
        <w:rPr>
          <w:rFonts w:ascii="Arial" w:hAnsi="Arial" w:cs="Arial"/>
          <w:spacing w:val="-2"/>
          <w:sz w:val="24"/>
          <w:szCs w:val="24"/>
        </w:rPr>
      </w:pPr>
    </w:p>
    <w:p w:rsidR="005E003F" w:rsidRPr="00165990" w:rsidRDefault="005E003F" w:rsidP="00E54582">
      <w:pPr>
        <w:pStyle w:val="Sinespaciado"/>
        <w:numPr>
          <w:ilvl w:val="0"/>
          <w:numId w:val="7"/>
        </w:numPr>
        <w:spacing w:line="276" w:lineRule="auto"/>
        <w:jc w:val="both"/>
        <w:rPr>
          <w:rFonts w:ascii="Arial" w:hAnsi="Arial" w:cs="Arial"/>
          <w:spacing w:val="-2"/>
          <w:sz w:val="24"/>
          <w:szCs w:val="24"/>
        </w:rPr>
      </w:pPr>
      <w:r w:rsidRPr="00165990">
        <w:rPr>
          <w:rFonts w:ascii="Arial" w:hAnsi="Arial" w:cs="Arial"/>
          <w:spacing w:val="-2"/>
          <w:sz w:val="24"/>
          <w:szCs w:val="24"/>
        </w:rPr>
        <w:t xml:space="preserve">La cantidad de droga incautada desborda los límites establecidos por el legislador y por lo tanto </w:t>
      </w:r>
      <w:r w:rsidR="00E10EBB" w:rsidRPr="00165990">
        <w:rPr>
          <w:rFonts w:ascii="Arial" w:hAnsi="Arial" w:cs="Arial"/>
          <w:spacing w:val="-2"/>
          <w:sz w:val="24"/>
          <w:szCs w:val="24"/>
        </w:rPr>
        <w:t xml:space="preserve">la conducta del acusado </w:t>
      </w:r>
      <w:r w:rsidRPr="00165990">
        <w:rPr>
          <w:rFonts w:ascii="Arial" w:hAnsi="Arial" w:cs="Arial"/>
          <w:spacing w:val="-2"/>
          <w:sz w:val="24"/>
          <w:szCs w:val="24"/>
        </w:rPr>
        <w:t xml:space="preserve">merece un reproche penal. </w:t>
      </w:r>
    </w:p>
    <w:p w:rsidR="005E003F" w:rsidRPr="00165990" w:rsidRDefault="005E003F" w:rsidP="00E54582">
      <w:pPr>
        <w:pStyle w:val="Sinespaciado"/>
        <w:spacing w:line="276" w:lineRule="auto"/>
        <w:jc w:val="both"/>
        <w:rPr>
          <w:rFonts w:ascii="Arial" w:hAnsi="Arial" w:cs="Arial"/>
          <w:spacing w:val="-2"/>
          <w:sz w:val="24"/>
          <w:szCs w:val="24"/>
        </w:rPr>
      </w:pPr>
    </w:p>
    <w:p w:rsidR="005E003F" w:rsidRPr="00165990" w:rsidRDefault="005E003F" w:rsidP="00E54582">
      <w:pPr>
        <w:pStyle w:val="Sinespaciado"/>
        <w:numPr>
          <w:ilvl w:val="0"/>
          <w:numId w:val="7"/>
        </w:numPr>
        <w:spacing w:line="276" w:lineRule="auto"/>
        <w:jc w:val="both"/>
        <w:rPr>
          <w:rFonts w:ascii="Arial" w:hAnsi="Arial" w:cs="Arial"/>
          <w:spacing w:val="-2"/>
          <w:sz w:val="24"/>
          <w:szCs w:val="24"/>
        </w:rPr>
      </w:pPr>
      <w:r w:rsidRPr="00165990">
        <w:rPr>
          <w:rFonts w:ascii="Arial" w:hAnsi="Arial" w:cs="Arial"/>
          <w:spacing w:val="-2"/>
          <w:sz w:val="24"/>
          <w:szCs w:val="24"/>
        </w:rPr>
        <w:t xml:space="preserve">Finalmente </w:t>
      </w:r>
      <w:r w:rsidR="00E10EBB" w:rsidRPr="00165990">
        <w:rPr>
          <w:rFonts w:ascii="Arial" w:hAnsi="Arial" w:cs="Arial"/>
          <w:spacing w:val="-2"/>
          <w:sz w:val="24"/>
          <w:szCs w:val="24"/>
        </w:rPr>
        <w:t xml:space="preserve">se mostró de </w:t>
      </w:r>
      <w:r w:rsidRPr="00165990">
        <w:rPr>
          <w:rFonts w:ascii="Arial" w:hAnsi="Arial" w:cs="Arial"/>
          <w:spacing w:val="-2"/>
          <w:sz w:val="24"/>
          <w:szCs w:val="24"/>
        </w:rPr>
        <w:t>acuerdo con la pena pactada entre las partes</w:t>
      </w:r>
      <w:r w:rsidR="00264861" w:rsidRPr="00165990">
        <w:rPr>
          <w:rFonts w:ascii="Arial" w:hAnsi="Arial" w:cs="Arial"/>
          <w:spacing w:val="-2"/>
          <w:sz w:val="24"/>
          <w:szCs w:val="24"/>
        </w:rPr>
        <w:t xml:space="preserve"> para el grado de complicidad en la conducta</w:t>
      </w:r>
      <w:r w:rsidR="00DE3D00" w:rsidRPr="00165990">
        <w:rPr>
          <w:rFonts w:ascii="Arial" w:hAnsi="Arial" w:cs="Arial"/>
          <w:spacing w:val="-2"/>
          <w:sz w:val="24"/>
          <w:szCs w:val="24"/>
        </w:rPr>
        <w:t xml:space="preserve"> que se pactó con el procesado.</w:t>
      </w:r>
      <w:r w:rsidRPr="00165990">
        <w:rPr>
          <w:rFonts w:ascii="Arial" w:hAnsi="Arial" w:cs="Arial"/>
          <w:spacing w:val="-2"/>
          <w:sz w:val="24"/>
          <w:szCs w:val="24"/>
        </w:rPr>
        <w:t xml:space="preserve"> </w:t>
      </w:r>
    </w:p>
    <w:p w:rsidR="005E003F" w:rsidRPr="00165990" w:rsidRDefault="005E003F" w:rsidP="00E54582">
      <w:pPr>
        <w:pStyle w:val="Sinespaciado"/>
        <w:spacing w:line="276" w:lineRule="auto"/>
        <w:jc w:val="both"/>
        <w:rPr>
          <w:rFonts w:ascii="Arial" w:hAnsi="Arial" w:cs="Arial"/>
          <w:spacing w:val="-2"/>
          <w:sz w:val="24"/>
          <w:szCs w:val="24"/>
        </w:rPr>
      </w:pPr>
    </w:p>
    <w:p w:rsidR="00E10EBB" w:rsidRPr="00165990" w:rsidRDefault="005E003F" w:rsidP="00E54582">
      <w:pPr>
        <w:pStyle w:val="Sinespaciado"/>
        <w:spacing w:line="276" w:lineRule="auto"/>
        <w:jc w:val="both"/>
        <w:rPr>
          <w:rFonts w:ascii="Arial" w:hAnsi="Arial" w:cs="Arial"/>
          <w:spacing w:val="-2"/>
          <w:sz w:val="24"/>
          <w:szCs w:val="24"/>
        </w:rPr>
      </w:pPr>
      <w:r w:rsidRPr="00165990">
        <w:rPr>
          <w:rFonts w:ascii="Arial" w:hAnsi="Arial" w:cs="Arial"/>
          <w:spacing w:val="-2"/>
          <w:sz w:val="24"/>
          <w:szCs w:val="24"/>
        </w:rPr>
        <w:t xml:space="preserve">3.3 </w:t>
      </w:r>
      <w:r w:rsidR="00185D05" w:rsidRPr="00165990">
        <w:rPr>
          <w:rFonts w:ascii="Arial" w:hAnsi="Arial" w:cs="Arial"/>
          <w:spacing w:val="-2"/>
          <w:sz w:val="24"/>
          <w:szCs w:val="24"/>
        </w:rPr>
        <w:t>DEFENSORA:</w:t>
      </w:r>
    </w:p>
    <w:p w:rsidR="00E10EBB" w:rsidRPr="00165990" w:rsidRDefault="00E10EBB" w:rsidP="00E54582">
      <w:pPr>
        <w:pStyle w:val="Sinespaciado"/>
        <w:spacing w:line="276" w:lineRule="auto"/>
        <w:jc w:val="both"/>
        <w:rPr>
          <w:rFonts w:ascii="Arial" w:hAnsi="Arial" w:cs="Arial"/>
          <w:spacing w:val="-2"/>
          <w:sz w:val="24"/>
          <w:szCs w:val="24"/>
        </w:rPr>
      </w:pPr>
    </w:p>
    <w:p w:rsidR="005E003F" w:rsidRPr="00165990" w:rsidRDefault="00E10EBB" w:rsidP="00E54582">
      <w:pPr>
        <w:pStyle w:val="Sinespaciado"/>
        <w:numPr>
          <w:ilvl w:val="0"/>
          <w:numId w:val="8"/>
        </w:numPr>
        <w:spacing w:line="276" w:lineRule="auto"/>
        <w:jc w:val="both"/>
        <w:rPr>
          <w:rFonts w:ascii="Arial" w:hAnsi="Arial" w:cs="Arial"/>
          <w:spacing w:val="-2"/>
          <w:sz w:val="24"/>
          <w:szCs w:val="24"/>
        </w:rPr>
      </w:pPr>
      <w:r w:rsidRPr="00165990">
        <w:rPr>
          <w:rFonts w:ascii="Arial" w:hAnsi="Arial" w:cs="Arial"/>
          <w:spacing w:val="-2"/>
          <w:sz w:val="24"/>
          <w:szCs w:val="24"/>
        </w:rPr>
        <w:t>Los t</w:t>
      </w:r>
      <w:r w:rsidR="005E003F" w:rsidRPr="00165990">
        <w:rPr>
          <w:rFonts w:ascii="Arial" w:hAnsi="Arial" w:cs="Arial"/>
          <w:spacing w:val="-2"/>
          <w:sz w:val="24"/>
          <w:szCs w:val="24"/>
        </w:rPr>
        <w:t xml:space="preserve">érminos del preacuerdo </w:t>
      </w:r>
      <w:r w:rsidRPr="00165990">
        <w:rPr>
          <w:rFonts w:ascii="Arial" w:hAnsi="Arial" w:cs="Arial"/>
          <w:spacing w:val="-2"/>
          <w:sz w:val="24"/>
          <w:szCs w:val="24"/>
        </w:rPr>
        <w:t xml:space="preserve">correspondían a lo expuesto por la </w:t>
      </w:r>
      <w:r w:rsidR="005E003F" w:rsidRPr="00165990">
        <w:rPr>
          <w:rFonts w:ascii="Arial" w:hAnsi="Arial" w:cs="Arial"/>
          <w:spacing w:val="-2"/>
          <w:sz w:val="24"/>
          <w:szCs w:val="24"/>
        </w:rPr>
        <w:t xml:space="preserve">delegada de la FGN. </w:t>
      </w:r>
    </w:p>
    <w:p w:rsidR="005E003F" w:rsidRPr="00165990" w:rsidRDefault="005E003F" w:rsidP="00E54582">
      <w:pPr>
        <w:pStyle w:val="Sinespaciado"/>
        <w:spacing w:line="276" w:lineRule="auto"/>
        <w:jc w:val="both"/>
        <w:rPr>
          <w:rFonts w:ascii="Arial" w:hAnsi="Arial" w:cs="Arial"/>
          <w:spacing w:val="-2"/>
          <w:sz w:val="24"/>
          <w:szCs w:val="24"/>
        </w:rPr>
      </w:pPr>
    </w:p>
    <w:p w:rsidR="00264861" w:rsidRPr="00165990" w:rsidRDefault="005E003F" w:rsidP="00E54582">
      <w:pPr>
        <w:pStyle w:val="Sinespaciado"/>
        <w:numPr>
          <w:ilvl w:val="0"/>
          <w:numId w:val="8"/>
        </w:numPr>
        <w:spacing w:line="276" w:lineRule="auto"/>
        <w:jc w:val="both"/>
        <w:rPr>
          <w:rFonts w:ascii="Arial" w:hAnsi="Arial" w:cs="Arial"/>
          <w:spacing w:val="-2"/>
          <w:sz w:val="24"/>
          <w:szCs w:val="24"/>
        </w:rPr>
      </w:pPr>
      <w:r w:rsidRPr="00165990">
        <w:rPr>
          <w:rFonts w:ascii="Arial" w:hAnsi="Arial" w:cs="Arial"/>
          <w:spacing w:val="-2"/>
          <w:sz w:val="24"/>
          <w:szCs w:val="24"/>
        </w:rPr>
        <w:t>Aseguró que había asesorad</w:t>
      </w:r>
      <w:r w:rsidR="00E10EBB" w:rsidRPr="00165990">
        <w:rPr>
          <w:rFonts w:ascii="Arial" w:hAnsi="Arial" w:cs="Arial"/>
          <w:spacing w:val="-2"/>
          <w:sz w:val="24"/>
          <w:szCs w:val="24"/>
        </w:rPr>
        <w:t>o</w:t>
      </w:r>
      <w:r w:rsidRPr="00165990">
        <w:rPr>
          <w:rFonts w:ascii="Arial" w:hAnsi="Arial" w:cs="Arial"/>
          <w:spacing w:val="-2"/>
          <w:sz w:val="24"/>
          <w:szCs w:val="24"/>
        </w:rPr>
        <w:t xml:space="preserve"> a su representado frente a la aceptación de cargos que estaba dispuesto a realizar</w:t>
      </w:r>
      <w:r w:rsidR="00264861" w:rsidRPr="00165990">
        <w:rPr>
          <w:rFonts w:ascii="Arial" w:hAnsi="Arial" w:cs="Arial"/>
          <w:spacing w:val="-2"/>
          <w:sz w:val="24"/>
          <w:szCs w:val="24"/>
        </w:rPr>
        <w:t xml:space="preserve">, quien fue </w:t>
      </w:r>
      <w:proofErr w:type="spellStart"/>
      <w:r w:rsidR="00040ACE" w:rsidRPr="00165990">
        <w:rPr>
          <w:rFonts w:ascii="Arial" w:hAnsi="Arial" w:cs="Arial"/>
          <w:spacing w:val="-2"/>
          <w:sz w:val="24"/>
          <w:szCs w:val="24"/>
        </w:rPr>
        <w:t>ente</w:t>
      </w:r>
      <w:r w:rsidR="00185D05" w:rsidRPr="00165990">
        <w:rPr>
          <w:rFonts w:ascii="Arial" w:hAnsi="Arial" w:cs="Arial"/>
          <w:spacing w:val="-2"/>
          <w:sz w:val="24"/>
          <w:szCs w:val="24"/>
        </w:rPr>
        <w:t>rado</w:t>
      </w:r>
      <w:proofErr w:type="spellEnd"/>
      <w:r w:rsidR="00264861" w:rsidRPr="00165990">
        <w:rPr>
          <w:rFonts w:ascii="Arial" w:hAnsi="Arial" w:cs="Arial"/>
          <w:spacing w:val="-2"/>
          <w:sz w:val="24"/>
          <w:szCs w:val="24"/>
        </w:rPr>
        <w:t xml:space="preserve"> debidamente sobre los beneficios y consecuencias de ese acto.</w:t>
      </w:r>
    </w:p>
    <w:p w:rsidR="008141A6" w:rsidRPr="00165990" w:rsidRDefault="008141A6" w:rsidP="00E54582">
      <w:pPr>
        <w:pStyle w:val="Sinespaciado"/>
        <w:spacing w:line="276" w:lineRule="auto"/>
        <w:jc w:val="both"/>
        <w:rPr>
          <w:rFonts w:ascii="Arial" w:hAnsi="Arial" w:cs="Arial"/>
          <w:spacing w:val="-2"/>
          <w:sz w:val="24"/>
          <w:szCs w:val="24"/>
        </w:rPr>
      </w:pPr>
    </w:p>
    <w:p w:rsidR="009041DF" w:rsidRPr="00165990" w:rsidRDefault="00925A01" w:rsidP="00E54582">
      <w:pPr>
        <w:pStyle w:val="Sinespaciado"/>
        <w:spacing w:line="276" w:lineRule="auto"/>
        <w:jc w:val="center"/>
        <w:rPr>
          <w:rFonts w:ascii="Arial" w:hAnsi="Arial" w:cs="Arial"/>
          <w:spacing w:val="-2"/>
          <w:sz w:val="24"/>
          <w:szCs w:val="24"/>
        </w:rPr>
      </w:pPr>
      <w:r w:rsidRPr="00165990">
        <w:rPr>
          <w:rFonts w:ascii="Arial" w:hAnsi="Arial" w:cs="Arial"/>
          <w:spacing w:val="-2"/>
          <w:sz w:val="24"/>
          <w:szCs w:val="24"/>
        </w:rPr>
        <w:t>4</w:t>
      </w:r>
      <w:r w:rsidR="009041DF" w:rsidRPr="00165990">
        <w:rPr>
          <w:rFonts w:ascii="Arial" w:hAnsi="Arial" w:cs="Arial"/>
          <w:spacing w:val="-2"/>
          <w:sz w:val="24"/>
          <w:szCs w:val="24"/>
        </w:rPr>
        <w:t xml:space="preserve">. </w:t>
      </w:r>
      <w:r w:rsidR="00E3491A" w:rsidRPr="00165990">
        <w:rPr>
          <w:rFonts w:ascii="Arial" w:hAnsi="Arial" w:cs="Arial"/>
          <w:spacing w:val="-2"/>
          <w:sz w:val="24"/>
          <w:szCs w:val="24"/>
        </w:rPr>
        <w:t xml:space="preserve">SOBRE LA </w:t>
      </w:r>
      <w:r w:rsidR="009041DF" w:rsidRPr="00165990">
        <w:rPr>
          <w:rFonts w:ascii="Arial" w:hAnsi="Arial" w:cs="Arial"/>
          <w:spacing w:val="-2"/>
          <w:sz w:val="24"/>
          <w:szCs w:val="24"/>
        </w:rPr>
        <w:t>DECISIÓN OBJETO DE RECURSO</w:t>
      </w:r>
    </w:p>
    <w:p w:rsidR="009041DF" w:rsidRPr="00165990" w:rsidRDefault="009041DF" w:rsidP="00E54582">
      <w:pPr>
        <w:pStyle w:val="Sinespaciado"/>
        <w:spacing w:line="276" w:lineRule="auto"/>
        <w:jc w:val="both"/>
        <w:rPr>
          <w:rFonts w:ascii="Arial" w:hAnsi="Arial" w:cs="Arial"/>
          <w:spacing w:val="-2"/>
          <w:sz w:val="24"/>
          <w:szCs w:val="24"/>
        </w:rPr>
      </w:pPr>
    </w:p>
    <w:p w:rsidR="005C173A" w:rsidRPr="00165990" w:rsidRDefault="004435B2" w:rsidP="00E54582">
      <w:pPr>
        <w:pStyle w:val="Sinespaciado"/>
        <w:spacing w:line="276" w:lineRule="auto"/>
        <w:jc w:val="both"/>
        <w:rPr>
          <w:rFonts w:ascii="Arial" w:hAnsi="Arial" w:cs="Arial"/>
          <w:spacing w:val="-2"/>
          <w:sz w:val="24"/>
          <w:szCs w:val="24"/>
        </w:rPr>
      </w:pPr>
      <w:r w:rsidRPr="00165990">
        <w:rPr>
          <w:rFonts w:ascii="Arial" w:hAnsi="Arial" w:cs="Arial"/>
          <w:spacing w:val="-2"/>
          <w:sz w:val="24"/>
          <w:szCs w:val="24"/>
        </w:rPr>
        <w:t>El juez de primer grado</w:t>
      </w:r>
      <w:r w:rsidR="00E10EBB" w:rsidRPr="00165990">
        <w:rPr>
          <w:rFonts w:ascii="Arial" w:hAnsi="Arial" w:cs="Arial"/>
          <w:spacing w:val="-2"/>
          <w:sz w:val="24"/>
          <w:szCs w:val="24"/>
        </w:rPr>
        <w:t xml:space="preserve"> no </w:t>
      </w:r>
      <w:r w:rsidR="005C173A" w:rsidRPr="00165990">
        <w:rPr>
          <w:rFonts w:ascii="Arial" w:hAnsi="Arial" w:cs="Arial"/>
          <w:spacing w:val="-2"/>
          <w:sz w:val="24"/>
          <w:szCs w:val="24"/>
        </w:rPr>
        <w:t>aceptó el preacuerdo que fue sometido a su estudio, con fundamento en lo siguiente</w:t>
      </w:r>
      <w:r w:rsidR="0016213A" w:rsidRPr="00165990">
        <w:rPr>
          <w:rFonts w:ascii="Arial" w:hAnsi="Arial" w:cs="Arial"/>
          <w:spacing w:val="-2"/>
          <w:sz w:val="24"/>
          <w:szCs w:val="24"/>
        </w:rPr>
        <w:t>:</w:t>
      </w:r>
      <w:r w:rsidR="00A25C68" w:rsidRPr="00165990">
        <w:rPr>
          <w:rFonts w:ascii="Arial" w:hAnsi="Arial" w:cs="Arial"/>
          <w:spacing w:val="-2"/>
          <w:sz w:val="24"/>
          <w:szCs w:val="24"/>
        </w:rPr>
        <w:t xml:space="preserve"> </w:t>
      </w:r>
    </w:p>
    <w:p w:rsidR="005C173A" w:rsidRPr="00165990" w:rsidRDefault="005C173A" w:rsidP="00E54582">
      <w:pPr>
        <w:pStyle w:val="Sinespaciado"/>
        <w:spacing w:line="276" w:lineRule="auto"/>
        <w:jc w:val="both"/>
        <w:rPr>
          <w:rFonts w:ascii="Arial" w:hAnsi="Arial" w:cs="Arial"/>
          <w:spacing w:val="-2"/>
          <w:sz w:val="24"/>
          <w:szCs w:val="24"/>
        </w:rPr>
      </w:pPr>
    </w:p>
    <w:p w:rsidR="005C4480" w:rsidRPr="00165990" w:rsidRDefault="00925A01" w:rsidP="00E54582">
      <w:pPr>
        <w:pStyle w:val="Sinespaciado"/>
        <w:spacing w:line="276" w:lineRule="auto"/>
        <w:jc w:val="both"/>
        <w:rPr>
          <w:rFonts w:ascii="Arial" w:hAnsi="Arial" w:cs="Arial"/>
          <w:spacing w:val="-2"/>
          <w:sz w:val="24"/>
          <w:szCs w:val="24"/>
        </w:rPr>
      </w:pPr>
      <w:r w:rsidRPr="00165990">
        <w:rPr>
          <w:rFonts w:ascii="Arial" w:hAnsi="Arial" w:cs="Arial"/>
          <w:spacing w:val="-2"/>
          <w:sz w:val="24"/>
          <w:szCs w:val="24"/>
        </w:rPr>
        <w:t>4</w:t>
      </w:r>
      <w:r w:rsidR="00DE3D00" w:rsidRPr="00165990">
        <w:rPr>
          <w:rFonts w:ascii="Arial" w:hAnsi="Arial" w:cs="Arial"/>
          <w:spacing w:val="-2"/>
          <w:sz w:val="24"/>
          <w:szCs w:val="24"/>
        </w:rPr>
        <w:t xml:space="preserve">.1 </w:t>
      </w:r>
      <w:r w:rsidR="00175B8F" w:rsidRPr="00165990">
        <w:rPr>
          <w:rFonts w:ascii="Arial" w:hAnsi="Arial" w:cs="Arial"/>
          <w:spacing w:val="-2"/>
          <w:sz w:val="24"/>
          <w:szCs w:val="24"/>
        </w:rPr>
        <w:t>En primer lugar p</w:t>
      </w:r>
      <w:r w:rsidR="00E10EBB" w:rsidRPr="00165990">
        <w:rPr>
          <w:rFonts w:ascii="Arial" w:hAnsi="Arial" w:cs="Arial"/>
          <w:spacing w:val="-2"/>
          <w:sz w:val="24"/>
          <w:szCs w:val="24"/>
        </w:rPr>
        <w:t xml:space="preserve">rocedió a verificar con el </w:t>
      </w:r>
      <w:r w:rsidR="00B16342" w:rsidRPr="00165990">
        <w:rPr>
          <w:rFonts w:ascii="Arial" w:hAnsi="Arial" w:cs="Arial"/>
          <w:spacing w:val="-2"/>
          <w:sz w:val="24"/>
          <w:szCs w:val="24"/>
        </w:rPr>
        <w:t xml:space="preserve">procesado su </w:t>
      </w:r>
      <w:r w:rsidR="005C4480" w:rsidRPr="00165990">
        <w:rPr>
          <w:rFonts w:ascii="Arial" w:hAnsi="Arial" w:cs="Arial"/>
          <w:spacing w:val="-2"/>
          <w:sz w:val="24"/>
          <w:szCs w:val="24"/>
        </w:rPr>
        <w:t xml:space="preserve">capacidad para </w:t>
      </w:r>
      <w:r w:rsidR="00B16342" w:rsidRPr="00165990">
        <w:rPr>
          <w:rFonts w:ascii="Arial" w:hAnsi="Arial" w:cs="Arial"/>
          <w:spacing w:val="-2"/>
          <w:sz w:val="24"/>
          <w:szCs w:val="24"/>
        </w:rPr>
        <w:t xml:space="preserve">comprender </w:t>
      </w:r>
      <w:r w:rsidR="005C4480" w:rsidRPr="00165990">
        <w:rPr>
          <w:rFonts w:ascii="Arial" w:hAnsi="Arial" w:cs="Arial"/>
          <w:spacing w:val="-2"/>
          <w:sz w:val="24"/>
          <w:szCs w:val="24"/>
        </w:rPr>
        <w:t xml:space="preserve">los términos de la negociación </w:t>
      </w:r>
      <w:r w:rsidR="00B16342" w:rsidRPr="00165990">
        <w:rPr>
          <w:rFonts w:ascii="Arial" w:hAnsi="Arial" w:cs="Arial"/>
          <w:spacing w:val="-2"/>
          <w:sz w:val="24"/>
          <w:szCs w:val="24"/>
        </w:rPr>
        <w:t>y</w:t>
      </w:r>
      <w:r w:rsidR="000E1C6A" w:rsidRPr="00165990">
        <w:rPr>
          <w:rFonts w:ascii="Arial" w:hAnsi="Arial" w:cs="Arial"/>
          <w:spacing w:val="-2"/>
          <w:sz w:val="24"/>
          <w:szCs w:val="24"/>
        </w:rPr>
        <w:t xml:space="preserve"> sus efectos,</w:t>
      </w:r>
      <w:r w:rsidR="00175B8F" w:rsidRPr="00165990">
        <w:rPr>
          <w:rFonts w:ascii="Arial" w:hAnsi="Arial" w:cs="Arial"/>
          <w:spacing w:val="-2"/>
          <w:sz w:val="24"/>
          <w:szCs w:val="24"/>
        </w:rPr>
        <w:t xml:space="preserve"> </w:t>
      </w:r>
      <w:r w:rsidR="00B16342" w:rsidRPr="00165990">
        <w:rPr>
          <w:rFonts w:ascii="Arial" w:hAnsi="Arial" w:cs="Arial"/>
          <w:spacing w:val="-2"/>
          <w:sz w:val="24"/>
          <w:szCs w:val="24"/>
        </w:rPr>
        <w:t xml:space="preserve">frente a lo cual el señor </w:t>
      </w:r>
      <w:proofErr w:type="spellStart"/>
      <w:r w:rsidR="005D5D2D" w:rsidRPr="00165990">
        <w:rPr>
          <w:rFonts w:ascii="Arial" w:hAnsi="Arial" w:cs="Arial"/>
          <w:spacing w:val="-2"/>
          <w:sz w:val="24"/>
          <w:szCs w:val="24"/>
        </w:rPr>
        <w:t>AMM</w:t>
      </w:r>
      <w:proofErr w:type="spellEnd"/>
      <w:r w:rsidR="00B16342" w:rsidRPr="00165990">
        <w:rPr>
          <w:rFonts w:ascii="Arial" w:hAnsi="Arial" w:cs="Arial"/>
          <w:spacing w:val="-2"/>
          <w:sz w:val="24"/>
          <w:szCs w:val="24"/>
        </w:rPr>
        <w:t xml:space="preserve"> adujo que había consumido marihuana pero que </w:t>
      </w:r>
      <w:r w:rsidR="00DE3D00" w:rsidRPr="00165990">
        <w:rPr>
          <w:rFonts w:ascii="Arial" w:hAnsi="Arial" w:cs="Arial"/>
          <w:spacing w:val="-2"/>
          <w:sz w:val="24"/>
          <w:szCs w:val="24"/>
        </w:rPr>
        <w:t xml:space="preserve">el momento de la audiencia </w:t>
      </w:r>
      <w:r w:rsidR="00B16342" w:rsidRPr="00165990">
        <w:rPr>
          <w:rFonts w:ascii="Arial" w:hAnsi="Arial" w:cs="Arial"/>
          <w:spacing w:val="-2"/>
          <w:sz w:val="24"/>
          <w:szCs w:val="24"/>
        </w:rPr>
        <w:t xml:space="preserve">no se </w:t>
      </w:r>
      <w:r w:rsidR="000E1C6A" w:rsidRPr="00165990">
        <w:rPr>
          <w:rFonts w:ascii="Arial" w:hAnsi="Arial" w:cs="Arial"/>
          <w:spacing w:val="-2"/>
          <w:sz w:val="24"/>
          <w:szCs w:val="24"/>
        </w:rPr>
        <w:t>enco</w:t>
      </w:r>
      <w:r w:rsidR="00185D05" w:rsidRPr="00165990">
        <w:rPr>
          <w:rFonts w:ascii="Arial" w:hAnsi="Arial" w:cs="Arial"/>
          <w:spacing w:val="-2"/>
          <w:sz w:val="24"/>
          <w:szCs w:val="24"/>
        </w:rPr>
        <w:t>ntraba afectada su capacidad de</w:t>
      </w:r>
      <w:r w:rsidR="00B16342" w:rsidRPr="00165990">
        <w:rPr>
          <w:rFonts w:ascii="Arial" w:hAnsi="Arial" w:cs="Arial"/>
          <w:spacing w:val="-2"/>
          <w:sz w:val="24"/>
          <w:szCs w:val="24"/>
        </w:rPr>
        <w:t xml:space="preserve"> razonar</w:t>
      </w:r>
      <w:r w:rsidR="000E1C6A" w:rsidRPr="00165990">
        <w:rPr>
          <w:rFonts w:ascii="Arial" w:hAnsi="Arial" w:cs="Arial"/>
          <w:spacing w:val="-2"/>
          <w:sz w:val="24"/>
          <w:szCs w:val="24"/>
        </w:rPr>
        <w:t xml:space="preserve"> y </w:t>
      </w:r>
      <w:r w:rsidR="00175B8F" w:rsidRPr="00165990">
        <w:rPr>
          <w:rFonts w:ascii="Arial" w:hAnsi="Arial" w:cs="Arial"/>
          <w:spacing w:val="-2"/>
          <w:sz w:val="24"/>
          <w:szCs w:val="24"/>
        </w:rPr>
        <w:t>comprender lo</w:t>
      </w:r>
      <w:r w:rsidR="000E1C6A" w:rsidRPr="00165990">
        <w:rPr>
          <w:rFonts w:ascii="Arial" w:hAnsi="Arial" w:cs="Arial"/>
          <w:spacing w:val="-2"/>
          <w:sz w:val="24"/>
          <w:szCs w:val="24"/>
        </w:rPr>
        <w:t xml:space="preserve"> expuesto por la d</w:t>
      </w:r>
      <w:r w:rsidR="00B16342" w:rsidRPr="00165990">
        <w:rPr>
          <w:rFonts w:ascii="Arial" w:hAnsi="Arial" w:cs="Arial"/>
          <w:spacing w:val="-2"/>
          <w:sz w:val="24"/>
          <w:szCs w:val="24"/>
        </w:rPr>
        <w:t>elegada de la FGN</w:t>
      </w:r>
      <w:r w:rsidR="000E1C6A" w:rsidRPr="00165990">
        <w:rPr>
          <w:rFonts w:ascii="Arial" w:hAnsi="Arial" w:cs="Arial"/>
          <w:spacing w:val="-2"/>
          <w:sz w:val="24"/>
          <w:szCs w:val="24"/>
        </w:rPr>
        <w:t xml:space="preserve">. Además dijo que su </w:t>
      </w:r>
      <w:r w:rsidR="00B16342" w:rsidRPr="00165990">
        <w:rPr>
          <w:rFonts w:ascii="Arial" w:hAnsi="Arial" w:cs="Arial"/>
          <w:spacing w:val="-2"/>
          <w:sz w:val="24"/>
          <w:szCs w:val="24"/>
        </w:rPr>
        <w:t>abogada lo había asesorado debidamente</w:t>
      </w:r>
      <w:r w:rsidR="00175B8F" w:rsidRPr="00165990">
        <w:rPr>
          <w:rFonts w:ascii="Arial" w:hAnsi="Arial" w:cs="Arial"/>
          <w:spacing w:val="-2"/>
          <w:sz w:val="24"/>
          <w:szCs w:val="24"/>
        </w:rPr>
        <w:t xml:space="preserve">, </w:t>
      </w:r>
      <w:r w:rsidR="000E1C6A" w:rsidRPr="00165990">
        <w:rPr>
          <w:rFonts w:ascii="Arial" w:hAnsi="Arial" w:cs="Arial"/>
          <w:spacing w:val="-2"/>
          <w:sz w:val="24"/>
          <w:szCs w:val="24"/>
        </w:rPr>
        <w:t xml:space="preserve">que </w:t>
      </w:r>
      <w:r w:rsidR="00B16342" w:rsidRPr="00165990">
        <w:rPr>
          <w:rFonts w:ascii="Arial" w:hAnsi="Arial" w:cs="Arial"/>
          <w:spacing w:val="-2"/>
          <w:sz w:val="24"/>
          <w:szCs w:val="24"/>
        </w:rPr>
        <w:t xml:space="preserve">sabía que de ser aprobado el preacuerdo sería condenado a la pena de 32 meses de prisión, </w:t>
      </w:r>
      <w:r w:rsidR="00175B8F" w:rsidRPr="00165990">
        <w:rPr>
          <w:rFonts w:ascii="Arial" w:hAnsi="Arial" w:cs="Arial"/>
          <w:spacing w:val="-2"/>
          <w:sz w:val="24"/>
          <w:szCs w:val="24"/>
        </w:rPr>
        <w:t xml:space="preserve">y que de manera libre </w:t>
      </w:r>
      <w:r w:rsidR="00185D05" w:rsidRPr="00165990">
        <w:rPr>
          <w:rFonts w:ascii="Arial" w:hAnsi="Arial" w:cs="Arial"/>
          <w:spacing w:val="-2"/>
          <w:sz w:val="24"/>
          <w:szCs w:val="24"/>
        </w:rPr>
        <w:t>aceptaba los</w:t>
      </w:r>
      <w:r w:rsidR="00B16342" w:rsidRPr="00165990">
        <w:rPr>
          <w:rFonts w:ascii="Arial" w:hAnsi="Arial" w:cs="Arial"/>
          <w:spacing w:val="-2"/>
          <w:sz w:val="24"/>
          <w:szCs w:val="24"/>
        </w:rPr>
        <w:t xml:space="preserve"> cargos señalados en </w:t>
      </w:r>
      <w:r w:rsidR="000E1C6A" w:rsidRPr="00165990">
        <w:rPr>
          <w:rFonts w:ascii="Arial" w:hAnsi="Arial" w:cs="Arial"/>
          <w:spacing w:val="-2"/>
          <w:sz w:val="24"/>
          <w:szCs w:val="24"/>
        </w:rPr>
        <w:t>esa convención.</w:t>
      </w:r>
    </w:p>
    <w:p w:rsidR="00EE467C" w:rsidRPr="00165990" w:rsidRDefault="00EE467C" w:rsidP="00E54582">
      <w:pPr>
        <w:pStyle w:val="Sinespaciado"/>
        <w:spacing w:line="276" w:lineRule="auto"/>
        <w:jc w:val="both"/>
        <w:rPr>
          <w:rFonts w:ascii="Arial" w:hAnsi="Arial" w:cs="Arial"/>
          <w:spacing w:val="-2"/>
          <w:sz w:val="24"/>
          <w:szCs w:val="24"/>
        </w:rPr>
      </w:pPr>
    </w:p>
    <w:p w:rsidR="00175B8F" w:rsidRPr="00165990" w:rsidRDefault="00DE3D00" w:rsidP="00E54582">
      <w:pPr>
        <w:pStyle w:val="Sinespaciado"/>
        <w:spacing w:line="276" w:lineRule="auto"/>
        <w:jc w:val="both"/>
        <w:rPr>
          <w:rFonts w:ascii="Arial" w:hAnsi="Arial" w:cs="Arial"/>
          <w:spacing w:val="-2"/>
          <w:sz w:val="24"/>
          <w:szCs w:val="24"/>
        </w:rPr>
      </w:pPr>
      <w:r w:rsidRPr="00165990">
        <w:rPr>
          <w:rFonts w:ascii="Arial" w:hAnsi="Arial" w:cs="Arial"/>
          <w:spacing w:val="-2"/>
          <w:sz w:val="24"/>
          <w:szCs w:val="24"/>
        </w:rPr>
        <w:t xml:space="preserve">3.2 </w:t>
      </w:r>
      <w:r w:rsidR="00175B8F" w:rsidRPr="00165990">
        <w:rPr>
          <w:rFonts w:ascii="Arial" w:hAnsi="Arial" w:cs="Arial"/>
          <w:spacing w:val="-2"/>
          <w:sz w:val="24"/>
          <w:szCs w:val="24"/>
        </w:rPr>
        <w:t xml:space="preserve">En lo que atañe al preacuerdo propuesto, el juez de primer grado consideró lo siguiente: </w:t>
      </w:r>
    </w:p>
    <w:p w:rsidR="00B16342" w:rsidRPr="00165990" w:rsidRDefault="00B16342" w:rsidP="00E54582">
      <w:pPr>
        <w:pStyle w:val="Sinespaciado"/>
        <w:spacing w:line="276" w:lineRule="auto"/>
        <w:ind w:left="720"/>
        <w:jc w:val="both"/>
        <w:rPr>
          <w:rFonts w:ascii="Arial" w:hAnsi="Arial" w:cs="Arial"/>
          <w:spacing w:val="-2"/>
          <w:sz w:val="24"/>
          <w:szCs w:val="24"/>
        </w:rPr>
      </w:pPr>
    </w:p>
    <w:p w:rsidR="00B16342" w:rsidRPr="00165990" w:rsidRDefault="000E1C6A" w:rsidP="00E54582">
      <w:pPr>
        <w:pStyle w:val="Sinespaciado"/>
        <w:numPr>
          <w:ilvl w:val="0"/>
          <w:numId w:val="1"/>
        </w:numPr>
        <w:spacing w:line="276" w:lineRule="auto"/>
        <w:jc w:val="both"/>
        <w:rPr>
          <w:rFonts w:ascii="Arial" w:hAnsi="Arial" w:cs="Arial"/>
          <w:spacing w:val="-2"/>
          <w:sz w:val="24"/>
          <w:szCs w:val="24"/>
        </w:rPr>
      </w:pPr>
      <w:r w:rsidRPr="00165990">
        <w:rPr>
          <w:rFonts w:ascii="Arial" w:hAnsi="Arial" w:cs="Arial"/>
          <w:spacing w:val="-2"/>
          <w:sz w:val="24"/>
          <w:szCs w:val="24"/>
        </w:rPr>
        <w:lastRenderedPageBreak/>
        <w:t xml:space="preserve">El delito objeto de imputación no impide que se le </w:t>
      </w:r>
      <w:r w:rsidR="00DA64DC" w:rsidRPr="00165990">
        <w:rPr>
          <w:rFonts w:ascii="Arial" w:hAnsi="Arial" w:cs="Arial"/>
          <w:spacing w:val="-2"/>
          <w:sz w:val="24"/>
          <w:szCs w:val="24"/>
        </w:rPr>
        <w:t xml:space="preserve">otorgue </w:t>
      </w:r>
      <w:r w:rsidRPr="00165990">
        <w:rPr>
          <w:rFonts w:ascii="Arial" w:hAnsi="Arial" w:cs="Arial"/>
          <w:spacing w:val="-2"/>
          <w:sz w:val="24"/>
          <w:szCs w:val="24"/>
        </w:rPr>
        <w:t xml:space="preserve">al acusado </w:t>
      </w:r>
      <w:r w:rsidR="00DA64DC" w:rsidRPr="00165990">
        <w:rPr>
          <w:rFonts w:ascii="Arial" w:hAnsi="Arial" w:cs="Arial"/>
          <w:spacing w:val="-2"/>
          <w:sz w:val="24"/>
          <w:szCs w:val="24"/>
        </w:rPr>
        <w:t>una rebaja de la pena</w:t>
      </w:r>
      <w:r w:rsidRPr="00165990">
        <w:rPr>
          <w:rFonts w:ascii="Arial" w:hAnsi="Arial" w:cs="Arial"/>
          <w:spacing w:val="-2"/>
          <w:sz w:val="24"/>
          <w:szCs w:val="24"/>
        </w:rPr>
        <w:t>, m</w:t>
      </w:r>
      <w:r w:rsidR="00175B8F" w:rsidRPr="00165990">
        <w:rPr>
          <w:rFonts w:ascii="Arial" w:hAnsi="Arial" w:cs="Arial"/>
          <w:spacing w:val="-2"/>
          <w:sz w:val="24"/>
          <w:szCs w:val="24"/>
        </w:rPr>
        <w:t xml:space="preserve">áxime </w:t>
      </w:r>
      <w:r w:rsidRPr="00165990">
        <w:rPr>
          <w:rFonts w:ascii="Arial" w:hAnsi="Arial" w:cs="Arial"/>
          <w:spacing w:val="-2"/>
          <w:sz w:val="24"/>
          <w:szCs w:val="24"/>
        </w:rPr>
        <w:t xml:space="preserve">si en este pacto se le </w:t>
      </w:r>
      <w:r w:rsidR="00175B8F" w:rsidRPr="00165990">
        <w:rPr>
          <w:rFonts w:ascii="Arial" w:hAnsi="Arial" w:cs="Arial"/>
          <w:spacing w:val="-2"/>
          <w:sz w:val="24"/>
          <w:szCs w:val="24"/>
        </w:rPr>
        <w:t xml:space="preserve">está </w:t>
      </w:r>
      <w:r w:rsidRPr="00165990">
        <w:rPr>
          <w:rFonts w:ascii="Arial" w:hAnsi="Arial" w:cs="Arial"/>
          <w:spacing w:val="-2"/>
          <w:sz w:val="24"/>
          <w:szCs w:val="24"/>
        </w:rPr>
        <w:t xml:space="preserve">otorgando solamente </w:t>
      </w:r>
      <w:r w:rsidR="00DE3D00" w:rsidRPr="00165990">
        <w:rPr>
          <w:rFonts w:ascii="Arial" w:hAnsi="Arial" w:cs="Arial"/>
          <w:spacing w:val="-2"/>
          <w:sz w:val="24"/>
          <w:szCs w:val="24"/>
        </w:rPr>
        <w:t xml:space="preserve">un </w:t>
      </w:r>
      <w:r w:rsidR="00DA64DC" w:rsidRPr="00165990">
        <w:rPr>
          <w:rFonts w:ascii="Arial" w:hAnsi="Arial" w:cs="Arial"/>
          <w:spacing w:val="-2"/>
          <w:sz w:val="24"/>
          <w:szCs w:val="24"/>
        </w:rPr>
        <w:t>beneficio y se está fijando la pena dentro de los parámetros</w:t>
      </w:r>
      <w:r w:rsidR="00191C01" w:rsidRPr="00165990">
        <w:rPr>
          <w:rFonts w:ascii="Arial" w:hAnsi="Arial" w:cs="Arial"/>
          <w:spacing w:val="-2"/>
          <w:sz w:val="24"/>
          <w:szCs w:val="24"/>
        </w:rPr>
        <w:t xml:space="preserve"> </w:t>
      </w:r>
      <w:r w:rsidR="0025124F" w:rsidRPr="00165990">
        <w:rPr>
          <w:rFonts w:ascii="Arial" w:hAnsi="Arial" w:cs="Arial"/>
          <w:spacing w:val="-2"/>
          <w:sz w:val="24"/>
          <w:szCs w:val="24"/>
        </w:rPr>
        <w:t xml:space="preserve">legales establecidos. </w:t>
      </w:r>
    </w:p>
    <w:p w:rsidR="0025124F" w:rsidRPr="00165990" w:rsidRDefault="0025124F" w:rsidP="00E54582">
      <w:pPr>
        <w:pStyle w:val="Prrafodelista"/>
        <w:spacing w:line="276" w:lineRule="auto"/>
        <w:rPr>
          <w:rFonts w:ascii="Arial" w:hAnsi="Arial" w:cs="Arial"/>
          <w:spacing w:val="-2"/>
        </w:rPr>
      </w:pPr>
    </w:p>
    <w:p w:rsidR="008664A2" w:rsidRPr="00165990" w:rsidRDefault="00185D05" w:rsidP="00E54582">
      <w:pPr>
        <w:pStyle w:val="Sinespaciado"/>
        <w:numPr>
          <w:ilvl w:val="0"/>
          <w:numId w:val="1"/>
        </w:numPr>
        <w:spacing w:line="276" w:lineRule="auto"/>
        <w:jc w:val="both"/>
        <w:rPr>
          <w:rFonts w:ascii="Arial" w:hAnsi="Arial" w:cs="Arial"/>
          <w:spacing w:val="-2"/>
          <w:sz w:val="24"/>
          <w:szCs w:val="24"/>
        </w:rPr>
      </w:pPr>
      <w:r w:rsidRPr="00165990">
        <w:rPr>
          <w:rFonts w:ascii="Arial" w:hAnsi="Arial" w:cs="Arial"/>
          <w:spacing w:val="-2"/>
          <w:sz w:val="24"/>
          <w:szCs w:val="24"/>
        </w:rPr>
        <w:t>Con los</w:t>
      </w:r>
      <w:r w:rsidR="0025124F" w:rsidRPr="00165990">
        <w:rPr>
          <w:rFonts w:ascii="Arial" w:hAnsi="Arial" w:cs="Arial"/>
          <w:spacing w:val="-2"/>
          <w:sz w:val="24"/>
          <w:szCs w:val="24"/>
        </w:rPr>
        <w:t xml:space="preserve"> </w:t>
      </w:r>
      <w:proofErr w:type="spellStart"/>
      <w:r w:rsidR="0025124F" w:rsidRPr="00165990">
        <w:rPr>
          <w:rFonts w:ascii="Arial" w:hAnsi="Arial" w:cs="Arial"/>
          <w:spacing w:val="-2"/>
          <w:sz w:val="24"/>
          <w:szCs w:val="24"/>
        </w:rPr>
        <w:t>EMP</w:t>
      </w:r>
      <w:proofErr w:type="spellEnd"/>
      <w:r w:rsidR="0025124F" w:rsidRPr="00165990">
        <w:rPr>
          <w:rFonts w:ascii="Arial" w:hAnsi="Arial" w:cs="Arial"/>
          <w:spacing w:val="-2"/>
          <w:sz w:val="24"/>
          <w:szCs w:val="24"/>
        </w:rPr>
        <w:t xml:space="preserve"> allegados por la FGN se avizora que efectivamente la responsabilidad del acusado se encuentra acreditada a través del formato de captura en situación de flagrancia y los resultados de</w:t>
      </w:r>
      <w:r w:rsidR="0015423C" w:rsidRPr="00165990">
        <w:rPr>
          <w:rFonts w:ascii="Arial" w:hAnsi="Arial" w:cs="Arial"/>
          <w:spacing w:val="-2"/>
          <w:sz w:val="24"/>
          <w:szCs w:val="24"/>
        </w:rPr>
        <w:t xml:space="preserve"> la prueba de </w:t>
      </w:r>
      <w:proofErr w:type="spellStart"/>
      <w:r w:rsidR="0025124F" w:rsidRPr="00165990">
        <w:rPr>
          <w:rFonts w:ascii="Arial" w:hAnsi="Arial" w:cs="Arial"/>
          <w:spacing w:val="-2"/>
          <w:sz w:val="24"/>
          <w:szCs w:val="24"/>
        </w:rPr>
        <w:t>PIPH</w:t>
      </w:r>
      <w:proofErr w:type="spellEnd"/>
      <w:r w:rsidR="0025124F" w:rsidRPr="00165990">
        <w:rPr>
          <w:rFonts w:ascii="Arial" w:hAnsi="Arial" w:cs="Arial"/>
          <w:spacing w:val="-2"/>
          <w:sz w:val="24"/>
          <w:szCs w:val="24"/>
        </w:rPr>
        <w:t xml:space="preserve"> </w:t>
      </w:r>
      <w:r w:rsidR="0015423C" w:rsidRPr="00165990">
        <w:rPr>
          <w:rFonts w:ascii="Arial" w:hAnsi="Arial" w:cs="Arial"/>
          <w:spacing w:val="-2"/>
          <w:sz w:val="24"/>
          <w:szCs w:val="24"/>
        </w:rPr>
        <w:t>que fue realizada a la s</w:t>
      </w:r>
      <w:r w:rsidR="0025124F" w:rsidRPr="00165990">
        <w:rPr>
          <w:rFonts w:ascii="Arial" w:hAnsi="Arial" w:cs="Arial"/>
          <w:spacing w:val="-2"/>
          <w:sz w:val="24"/>
          <w:szCs w:val="24"/>
        </w:rPr>
        <w:t xml:space="preserve">ustancia estupefaciente que le fue incautada al señor José </w:t>
      </w:r>
      <w:proofErr w:type="spellStart"/>
      <w:r w:rsidR="005D5D2D" w:rsidRPr="00165990">
        <w:rPr>
          <w:rFonts w:ascii="Arial" w:hAnsi="Arial" w:cs="Arial"/>
          <w:spacing w:val="-2"/>
          <w:sz w:val="24"/>
          <w:szCs w:val="24"/>
        </w:rPr>
        <w:t>AMM</w:t>
      </w:r>
      <w:proofErr w:type="spellEnd"/>
      <w:r w:rsidR="0025124F" w:rsidRPr="00165990">
        <w:rPr>
          <w:rFonts w:ascii="Arial" w:hAnsi="Arial" w:cs="Arial"/>
          <w:spacing w:val="-2"/>
          <w:sz w:val="24"/>
          <w:szCs w:val="24"/>
        </w:rPr>
        <w:t xml:space="preserve">, la cual superaba de manera ostensible la cantidad autorizada por la ley, fuera de que la misma venía distribuida en un monto considerable de papeletas. </w:t>
      </w:r>
      <w:r w:rsidR="0015423C" w:rsidRPr="00165990">
        <w:rPr>
          <w:rFonts w:ascii="Arial" w:hAnsi="Arial" w:cs="Arial"/>
          <w:spacing w:val="-2"/>
          <w:sz w:val="24"/>
          <w:szCs w:val="24"/>
        </w:rPr>
        <w:t xml:space="preserve">Por lo tanto se contaba </w:t>
      </w:r>
      <w:r w:rsidR="008664A2" w:rsidRPr="00165990">
        <w:rPr>
          <w:rFonts w:ascii="Arial" w:hAnsi="Arial" w:cs="Arial"/>
          <w:spacing w:val="-2"/>
          <w:sz w:val="24"/>
          <w:szCs w:val="24"/>
        </w:rPr>
        <w:t xml:space="preserve">con el material probatorio pertinente para </w:t>
      </w:r>
      <w:r w:rsidR="00C26ED5" w:rsidRPr="00165990">
        <w:rPr>
          <w:rFonts w:ascii="Arial" w:hAnsi="Arial" w:cs="Arial"/>
          <w:spacing w:val="-2"/>
          <w:sz w:val="24"/>
          <w:szCs w:val="24"/>
        </w:rPr>
        <w:t>establecer</w:t>
      </w:r>
      <w:r w:rsidR="0015423C" w:rsidRPr="00165990">
        <w:rPr>
          <w:rFonts w:ascii="Arial" w:hAnsi="Arial" w:cs="Arial"/>
          <w:spacing w:val="-2"/>
          <w:sz w:val="24"/>
          <w:szCs w:val="24"/>
        </w:rPr>
        <w:t xml:space="preserve"> la </w:t>
      </w:r>
      <w:r w:rsidR="00C26ED5" w:rsidRPr="00165990">
        <w:rPr>
          <w:rFonts w:ascii="Arial" w:hAnsi="Arial" w:cs="Arial"/>
          <w:spacing w:val="-2"/>
          <w:sz w:val="24"/>
          <w:szCs w:val="24"/>
        </w:rPr>
        <w:t xml:space="preserve">responsabilidad </w:t>
      </w:r>
      <w:r w:rsidR="0015423C" w:rsidRPr="00165990">
        <w:rPr>
          <w:rFonts w:ascii="Arial" w:hAnsi="Arial" w:cs="Arial"/>
          <w:spacing w:val="-2"/>
          <w:sz w:val="24"/>
          <w:szCs w:val="24"/>
        </w:rPr>
        <w:t>del acusado, aunada a su voluntad de aceptar el cargo formulado.</w:t>
      </w:r>
    </w:p>
    <w:p w:rsidR="00C26ED5" w:rsidRPr="00165990" w:rsidRDefault="00C26ED5" w:rsidP="00E54582">
      <w:pPr>
        <w:spacing w:line="276" w:lineRule="auto"/>
        <w:rPr>
          <w:rFonts w:ascii="Arial" w:hAnsi="Arial" w:cs="Arial"/>
          <w:spacing w:val="-2"/>
        </w:rPr>
      </w:pPr>
    </w:p>
    <w:p w:rsidR="00C26ED5" w:rsidRPr="00165990" w:rsidRDefault="00C26ED5" w:rsidP="00E54582">
      <w:pPr>
        <w:pStyle w:val="Sinespaciado"/>
        <w:numPr>
          <w:ilvl w:val="0"/>
          <w:numId w:val="1"/>
        </w:numPr>
        <w:spacing w:line="276" w:lineRule="auto"/>
        <w:jc w:val="both"/>
        <w:rPr>
          <w:rFonts w:ascii="Arial" w:hAnsi="Arial" w:cs="Arial"/>
          <w:spacing w:val="-2"/>
          <w:sz w:val="24"/>
          <w:szCs w:val="24"/>
        </w:rPr>
      </w:pPr>
      <w:r w:rsidRPr="00165990">
        <w:rPr>
          <w:rFonts w:ascii="Arial" w:hAnsi="Arial" w:cs="Arial"/>
          <w:spacing w:val="-2"/>
          <w:sz w:val="24"/>
          <w:szCs w:val="24"/>
        </w:rPr>
        <w:t xml:space="preserve">El problema jurídico se limita a establecer si de conformidad con la línea jurisprudencial vigente </w:t>
      </w:r>
      <w:r w:rsidR="001E390B" w:rsidRPr="00165990">
        <w:rPr>
          <w:rFonts w:ascii="Arial" w:hAnsi="Arial" w:cs="Arial"/>
          <w:spacing w:val="-2"/>
          <w:sz w:val="24"/>
          <w:szCs w:val="24"/>
        </w:rPr>
        <w:t xml:space="preserve">de la Corte Constitucional, </w:t>
      </w:r>
      <w:r w:rsidRPr="00165990">
        <w:rPr>
          <w:rFonts w:ascii="Arial" w:hAnsi="Arial" w:cs="Arial"/>
          <w:spacing w:val="-2"/>
          <w:sz w:val="24"/>
          <w:szCs w:val="24"/>
        </w:rPr>
        <w:t xml:space="preserve">es posible o no realizar un preacuerdo respecto a la </w:t>
      </w:r>
      <w:r w:rsidR="00175B8F" w:rsidRPr="00165990">
        <w:rPr>
          <w:rFonts w:ascii="Arial" w:hAnsi="Arial" w:cs="Arial"/>
          <w:spacing w:val="-2"/>
          <w:sz w:val="24"/>
          <w:szCs w:val="24"/>
        </w:rPr>
        <w:t>ficción</w:t>
      </w:r>
      <w:r w:rsidR="001E390B" w:rsidRPr="00165990">
        <w:rPr>
          <w:rFonts w:ascii="Arial" w:hAnsi="Arial" w:cs="Arial"/>
          <w:spacing w:val="-2"/>
          <w:sz w:val="24"/>
          <w:szCs w:val="24"/>
        </w:rPr>
        <w:t xml:space="preserve"> consistente en la</w:t>
      </w:r>
      <w:r w:rsidR="00175B8F" w:rsidRPr="00165990">
        <w:rPr>
          <w:rFonts w:ascii="Arial" w:hAnsi="Arial" w:cs="Arial"/>
          <w:spacing w:val="-2"/>
          <w:sz w:val="24"/>
          <w:szCs w:val="24"/>
        </w:rPr>
        <w:t xml:space="preserve"> </w:t>
      </w:r>
      <w:r w:rsidRPr="00165990">
        <w:rPr>
          <w:rFonts w:ascii="Arial" w:hAnsi="Arial" w:cs="Arial"/>
          <w:spacing w:val="-2"/>
          <w:sz w:val="24"/>
          <w:szCs w:val="24"/>
        </w:rPr>
        <w:t>degradación de la participación en la conducta de autor a cómplice</w:t>
      </w:r>
      <w:r w:rsidR="00DE3D00" w:rsidRPr="00165990">
        <w:rPr>
          <w:rFonts w:ascii="Arial" w:hAnsi="Arial" w:cs="Arial"/>
          <w:spacing w:val="-2"/>
          <w:sz w:val="24"/>
          <w:szCs w:val="24"/>
        </w:rPr>
        <w:t>, por tratarse de un caso donde solamente hay un acusado.</w:t>
      </w:r>
      <w:r w:rsidRPr="00165990">
        <w:rPr>
          <w:rFonts w:ascii="Arial" w:hAnsi="Arial" w:cs="Arial"/>
          <w:spacing w:val="-2"/>
          <w:sz w:val="24"/>
          <w:szCs w:val="24"/>
        </w:rPr>
        <w:t xml:space="preserve"> </w:t>
      </w:r>
    </w:p>
    <w:p w:rsidR="00C26ED5" w:rsidRPr="00165990" w:rsidRDefault="00C26ED5" w:rsidP="00E54582">
      <w:pPr>
        <w:pStyle w:val="Prrafodelista"/>
        <w:spacing w:line="276" w:lineRule="auto"/>
        <w:rPr>
          <w:rFonts w:ascii="Arial" w:hAnsi="Arial" w:cs="Arial"/>
          <w:spacing w:val="-2"/>
        </w:rPr>
      </w:pPr>
    </w:p>
    <w:p w:rsidR="007D1181" w:rsidRPr="00165990" w:rsidRDefault="00C26ED5" w:rsidP="00E54582">
      <w:pPr>
        <w:pStyle w:val="Sinespaciado"/>
        <w:numPr>
          <w:ilvl w:val="0"/>
          <w:numId w:val="1"/>
        </w:numPr>
        <w:spacing w:line="276" w:lineRule="auto"/>
        <w:jc w:val="both"/>
        <w:rPr>
          <w:rFonts w:ascii="Arial" w:hAnsi="Arial" w:cs="Arial"/>
          <w:spacing w:val="-2"/>
          <w:sz w:val="24"/>
          <w:szCs w:val="24"/>
        </w:rPr>
      </w:pPr>
      <w:r w:rsidRPr="00165990">
        <w:rPr>
          <w:rFonts w:ascii="Arial" w:hAnsi="Arial" w:cs="Arial"/>
          <w:spacing w:val="-2"/>
          <w:sz w:val="24"/>
          <w:szCs w:val="24"/>
        </w:rPr>
        <w:t xml:space="preserve">Con base en la sentencia SU-479 de 2019, </w:t>
      </w:r>
      <w:r w:rsidR="0037675F" w:rsidRPr="00165990">
        <w:rPr>
          <w:rFonts w:ascii="Arial" w:hAnsi="Arial" w:cs="Arial"/>
          <w:spacing w:val="-2"/>
          <w:sz w:val="24"/>
          <w:szCs w:val="24"/>
        </w:rPr>
        <w:t xml:space="preserve">se debe decidir si </w:t>
      </w:r>
      <w:r w:rsidR="007D1181" w:rsidRPr="00165990">
        <w:rPr>
          <w:rFonts w:ascii="Arial" w:hAnsi="Arial" w:cs="Arial"/>
          <w:spacing w:val="-2"/>
          <w:sz w:val="24"/>
          <w:szCs w:val="24"/>
        </w:rPr>
        <w:t>ese pronunciamiento</w:t>
      </w:r>
      <w:r w:rsidR="00984409" w:rsidRPr="00165990">
        <w:rPr>
          <w:rFonts w:ascii="Arial" w:hAnsi="Arial" w:cs="Arial"/>
          <w:spacing w:val="-2"/>
          <w:sz w:val="24"/>
          <w:szCs w:val="24"/>
        </w:rPr>
        <w:t xml:space="preserve"> es aplicable dentro de</w:t>
      </w:r>
      <w:r w:rsidR="001E390B" w:rsidRPr="00165990">
        <w:rPr>
          <w:rFonts w:ascii="Arial" w:hAnsi="Arial" w:cs="Arial"/>
          <w:spacing w:val="-2"/>
          <w:sz w:val="24"/>
          <w:szCs w:val="24"/>
        </w:rPr>
        <w:t xml:space="preserve"> </w:t>
      </w:r>
      <w:r w:rsidR="00984409" w:rsidRPr="00165990">
        <w:rPr>
          <w:rFonts w:ascii="Arial" w:hAnsi="Arial" w:cs="Arial"/>
          <w:spacing w:val="-2"/>
          <w:sz w:val="24"/>
          <w:szCs w:val="24"/>
        </w:rPr>
        <w:t>l</w:t>
      </w:r>
      <w:r w:rsidR="001E390B" w:rsidRPr="00165990">
        <w:rPr>
          <w:rFonts w:ascii="Arial" w:hAnsi="Arial" w:cs="Arial"/>
          <w:spacing w:val="-2"/>
          <w:sz w:val="24"/>
          <w:szCs w:val="24"/>
        </w:rPr>
        <w:t>a</w:t>
      </w:r>
      <w:r w:rsidR="00984409" w:rsidRPr="00165990">
        <w:rPr>
          <w:rFonts w:ascii="Arial" w:hAnsi="Arial" w:cs="Arial"/>
          <w:spacing w:val="-2"/>
          <w:sz w:val="24"/>
          <w:szCs w:val="24"/>
        </w:rPr>
        <w:t xml:space="preserve"> presente causa, </w:t>
      </w:r>
      <w:r w:rsidR="007D1181" w:rsidRPr="00165990">
        <w:rPr>
          <w:rFonts w:ascii="Arial" w:hAnsi="Arial" w:cs="Arial"/>
          <w:spacing w:val="-2"/>
          <w:sz w:val="24"/>
          <w:szCs w:val="24"/>
        </w:rPr>
        <w:t>y</w:t>
      </w:r>
      <w:r w:rsidR="00984409" w:rsidRPr="00165990">
        <w:rPr>
          <w:rFonts w:ascii="Arial" w:hAnsi="Arial" w:cs="Arial"/>
          <w:spacing w:val="-2"/>
          <w:sz w:val="24"/>
          <w:szCs w:val="24"/>
        </w:rPr>
        <w:t xml:space="preserve">a que </w:t>
      </w:r>
      <w:r w:rsidR="0015423C" w:rsidRPr="00165990">
        <w:rPr>
          <w:rFonts w:ascii="Arial" w:hAnsi="Arial" w:cs="Arial"/>
          <w:spacing w:val="-2"/>
          <w:sz w:val="24"/>
          <w:szCs w:val="24"/>
        </w:rPr>
        <w:t xml:space="preserve">ese precedente data del mes de </w:t>
      </w:r>
      <w:r w:rsidR="00984409" w:rsidRPr="00165990">
        <w:rPr>
          <w:rFonts w:ascii="Arial" w:hAnsi="Arial" w:cs="Arial"/>
          <w:spacing w:val="-2"/>
          <w:sz w:val="24"/>
          <w:szCs w:val="24"/>
        </w:rPr>
        <w:t>octubre del 2019</w:t>
      </w:r>
      <w:r w:rsidR="007D1181" w:rsidRPr="00165990">
        <w:rPr>
          <w:rFonts w:ascii="Arial" w:hAnsi="Arial" w:cs="Arial"/>
          <w:spacing w:val="-2"/>
          <w:sz w:val="24"/>
          <w:szCs w:val="24"/>
        </w:rPr>
        <w:t>, mientras que los hechos</w:t>
      </w:r>
      <w:r w:rsidR="00984409" w:rsidRPr="00165990">
        <w:rPr>
          <w:rFonts w:ascii="Arial" w:hAnsi="Arial" w:cs="Arial"/>
          <w:spacing w:val="-2"/>
          <w:sz w:val="24"/>
          <w:szCs w:val="24"/>
        </w:rPr>
        <w:t xml:space="preserve"> investigados </w:t>
      </w:r>
      <w:r w:rsidR="007D1181" w:rsidRPr="00165990">
        <w:rPr>
          <w:rFonts w:ascii="Arial" w:hAnsi="Arial" w:cs="Arial"/>
          <w:spacing w:val="-2"/>
          <w:sz w:val="24"/>
          <w:szCs w:val="24"/>
        </w:rPr>
        <w:t xml:space="preserve">acaecieron </w:t>
      </w:r>
      <w:r w:rsidR="0015423C" w:rsidRPr="00165990">
        <w:rPr>
          <w:rFonts w:ascii="Arial" w:hAnsi="Arial" w:cs="Arial"/>
          <w:spacing w:val="-2"/>
          <w:sz w:val="24"/>
          <w:szCs w:val="24"/>
        </w:rPr>
        <w:t xml:space="preserve">el </w:t>
      </w:r>
      <w:r w:rsidR="007D1181" w:rsidRPr="00165990">
        <w:rPr>
          <w:rFonts w:ascii="Arial" w:hAnsi="Arial" w:cs="Arial"/>
          <w:spacing w:val="-2"/>
          <w:sz w:val="24"/>
          <w:szCs w:val="24"/>
        </w:rPr>
        <w:t>2</w:t>
      </w:r>
      <w:r w:rsidR="00984409" w:rsidRPr="00165990">
        <w:rPr>
          <w:rFonts w:ascii="Arial" w:hAnsi="Arial" w:cs="Arial"/>
          <w:spacing w:val="-2"/>
          <w:sz w:val="24"/>
          <w:szCs w:val="24"/>
        </w:rPr>
        <w:t>5</w:t>
      </w:r>
      <w:r w:rsidR="007D1181" w:rsidRPr="00165990">
        <w:rPr>
          <w:rFonts w:ascii="Arial" w:hAnsi="Arial" w:cs="Arial"/>
          <w:spacing w:val="-2"/>
          <w:sz w:val="24"/>
          <w:szCs w:val="24"/>
        </w:rPr>
        <w:t xml:space="preserve"> </w:t>
      </w:r>
      <w:r w:rsidR="00984409" w:rsidRPr="00165990">
        <w:rPr>
          <w:rFonts w:ascii="Arial" w:hAnsi="Arial" w:cs="Arial"/>
          <w:spacing w:val="-2"/>
          <w:sz w:val="24"/>
          <w:szCs w:val="24"/>
        </w:rPr>
        <w:t xml:space="preserve">de septiembre de 2015. </w:t>
      </w:r>
    </w:p>
    <w:p w:rsidR="007D1181" w:rsidRPr="00165990" w:rsidRDefault="007D1181" w:rsidP="00E54582">
      <w:pPr>
        <w:pStyle w:val="Prrafodelista"/>
        <w:spacing w:line="276" w:lineRule="auto"/>
        <w:rPr>
          <w:rFonts w:ascii="Arial" w:hAnsi="Arial" w:cs="Arial"/>
          <w:spacing w:val="-2"/>
        </w:rPr>
      </w:pPr>
    </w:p>
    <w:p w:rsidR="00A25C68" w:rsidRPr="00165990" w:rsidRDefault="007D1181" w:rsidP="00E54582">
      <w:pPr>
        <w:pStyle w:val="Sinespaciado"/>
        <w:numPr>
          <w:ilvl w:val="0"/>
          <w:numId w:val="1"/>
        </w:numPr>
        <w:spacing w:line="276" w:lineRule="auto"/>
        <w:jc w:val="both"/>
        <w:rPr>
          <w:rFonts w:ascii="Arial" w:hAnsi="Arial" w:cs="Arial"/>
          <w:spacing w:val="-2"/>
          <w:sz w:val="24"/>
          <w:szCs w:val="24"/>
        </w:rPr>
      </w:pPr>
      <w:r w:rsidRPr="00165990">
        <w:rPr>
          <w:rFonts w:ascii="Arial" w:hAnsi="Arial" w:cs="Arial"/>
          <w:spacing w:val="-2"/>
          <w:sz w:val="24"/>
          <w:szCs w:val="24"/>
        </w:rPr>
        <w:t xml:space="preserve">Frente a dicho aspecto se debe tener en cuenta que </w:t>
      </w:r>
      <w:r w:rsidR="001E390B" w:rsidRPr="00165990">
        <w:rPr>
          <w:rFonts w:ascii="Arial" w:hAnsi="Arial" w:cs="Arial"/>
          <w:spacing w:val="-2"/>
          <w:sz w:val="24"/>
          <w:szCs w:val="24"/>
        </w:rPr>
        <w:t xml:space="preserve">en la sentencia CSJ </w:t>
      </w:r>
      <w:proofErr w:type="spellStart"/>
      <w:r w:rsidR="001E390B" w:rsidRPr="00165990">
        <w:rPr>
          <w:rFonts w:ascii="Arial" w:hAnsi="Arial" w:cs="Arial"/>
          <w:spacing w:val="-2"/>
          <w:sz w:val="24"/>
          <w:szCs w:val="24"/>
        </w:rPr>
        <w:t>SP</w:t>
      </w:r>
      <w:proofErr w:type="spellEnd"/>
      <w:r w:rsidR="00984409" w:rsidRPr="00165990">
        <w:rPr>
          <w:rFonts w:ascii="Arial" w:hAnsi="Arial" w:cs="Arial"/>
          <w:spacing w:val="-2"/>
          <w:sz w:val="24"/>
          <w:szCs w:val="24"/>
        </w:rPr>
        <w:t xml:space="preserve"> </w:t>
      </w:r>
      <w:proofErr w:type="spellStart"/>
      <w:r w:rsidR="00984409" w:rsidRPr="00165990">
        <w:rPr>
          <w:rFonts w:ascii="Arial" w:hAnsi="Arial" w:cs="Arial"/>
          <w:spacing w:val="-2"/>
          <w:sz w:val="24"/>
          <w:szCs w:val="24"/>
        </w:rPr>
        <w:t>ST</w:t>
      </w:r>
      <w:proofErr w:type="spellEnd"/>
      <w:r w:rsidRPr="00165990">
        <w:rPr>
          <w:rFonts w:ascii="Arial" w:hAnsi="Arial" w:cs="Arial"/>
          <w:spacing w:val="-2"/>
          <w:sz w:val="24"/>
          <w:szCs w:val="24"/>
        </w:rPr>
        <w:t>-</w:t>
      </w:r>
      <w:r w:rsidR="00984409" w:rsidRPr="00165990">
        <w:rPr>
          <w:rFonts w:ascii="Arial" w:hAnsi="Arial" w:cs="Arial"/>
          <w:spacing w:val="-2"/>
          <w:sz w:val="24"/>
          <w:szCs w:val="24"/>
        </w:rPr>
        <w:t xml:space="preserve">6808 </w:t>
      </w:r>
      <w:r w:rsidRPr="00165990">
        <w:rPr>
          <w:rFonts w:ascii="Arial" w:hAnsi="Arial" w:cs="Arial"/>
          <w:spacing w:val="-2"/>
          <w:sz w:val="24"/>
          <w:szCs w:val="24"/>
        </w:rPr>
        <w:t>de</w:t>
      </w:r>
      <w:r w:rsidR="00984409" w:rsidRPr="00165990">
        <w:rPr>
          <w:rFonts w:ascii="Arial" w:hAnsi="Arial" w:cs="Arial"/>
          <w:spacing w:val="-2"/>
          <w:sz w:val="24"/>
          <w:szCs w:val="24"/>
        </w:rPr>
        <w:t xml:space="preserve"> 2016</w:t>
      </w:r>
      <w:r w:rsidRPr="00165990">
        <w:rPr>
          <w:rFonts w:ascii="Arial" w:hAnsi="Arial" w:cs="Arial"/>
          <w:spacing w:val="-2"/>
          <w:sz w:val="24"/>
          <w:szCs w:val="24"/>
        </w:rPr>
        <w:t xml:space="preserve">, radicado 43837 </w:t>
      </w:r>
      <w:r w:rsidR="0015423C" w:rsidRPr="00165990">
        <w:rPr>
          <w:rFonts w:ascii="Arial" w:hAnsi="Arial" w:cs="Arial"/>
          <w:spacing w:val="-2"/>
          <w:sz w:val="24"/>
          <w:szCs w:val="24"/>
        </w:rPr>
        <w:t xml:space="preserve">se </w:t>
      </w:r>
      <w:r w:rsidRPr="00165990">
        <w:rPr>
          <w:rFonts w:ascii="Arial" w:hAnsi="Arial" w:cs="Arial"/>
          <w:spacing w:val="-2"/>
          <w:sz w:val="24"/>
          <w:szCs w:val="24"/>
        </w:rPr>
        <w:t>cambió</w:t>
      </w:r>
      <w:r w:rsidR="00984409" w:rsidRPr="00165990">
        <w:rPr>
          <w:rFonts w:ascii="Arial" w:hAnsi="Arial" w:cs="Arial"/>
          <w:spacing w:val="-2"/>
          <w:sz w:val="24"/>
          <w:szCs w:val="24"/>
        </w:rPr>
        <w:t xml:space="preserve"> </w:t>
      </w:r>
      <w:r w:rsidR="0015423C" w:rsidRPr="00165990">
        <w:rPr>
          <w:rFonts w:ascii="Arial" w:hAnsi="Arial" w:cs="Arial"/>
          <w:spacing w:val="-2"/>
          <w:sz w:val="24"/>
          <w:szCs w:val="24"/>
        </w:rPr>
        <w:t xml:space="preserve">la línea de </w:t>
      </w:r>
      <w:r w:rsidR="00984409" w:rsidRPr="00165990">
        <w:rPr>
          <w:rFonts w:ascii="Arial" w:hAnsi="Arial" w:cs="Arial"/>
          <w:spacing w:val="-2"/>
          <w:sz w:val="24"/>
          <w:szCs w:val="24"/>
        </w:rPr>
        <w:t xml:space="preserve">jurisprudencia </w:t>
      </w:r>
      <w:r w:rsidR="0015423C" w:rsidRPr="00165990">
        <w:rPr>
          <w:rFonts w:ascii="Arial" w:hAnsi="Arial" w:cs="Arial"/>
          <w:spacing w:val="-2"/>
          <w:sz w:val="24"/>
          <w:szCs w:val="24"/>
        </w:rPr>
        <w:t xml:space="preserve">de esa corporación, que inicialmente consideraba que cuando la FGN solicitaba una </w:t>
      </w:r>
      <w:r w:rsidR="00984409" w:rsidRPr="00165990">
        <w:rPr>
          <w:rFonts w:ascii="Arial" w:hAnsi="Arial" w:cs="Arial"/>
          <w:spacing w:val="-2"/>
          <w:sz w:val="24"/>
          <w:szCs w:val="24"/>
        </w:rPr>
        <w:t xml:space="preserve">sentencia absolutoria, el </w:t>
      </w:r>
      <w:r w:rsidRPr="00165990">
        <w:rPr>
          <w:rFonts w:ascii="Arial" w:hAnsi="Arial" w:cs="Arial"/>
          <w:spacing w:val="-2"/>
          <w:sz w:val="24"/>
          <w:szCs w:val="24"/>
        </w:rPr>
        <w:t>juez</w:t>
      </w:r>
      <w:r w:rsidR="00984409" w:rsidRPr="00165990">
        <w:rPr>
          <w:rFonts w:ascii="Arial" w:hAnsi="Arial" w:cs="Arial"/>
          <w:spacing w:val="-2"/>
          <w:sz w:val="24"/>
          <w:szCs w:val="24"/>
        </w:rPr>
        <w:t xml:space="preserve"> tenía que </w:t>
      </w:r>
      <w:r w:rsidRPr="00165990">
        <w:rPr>
          <w:rFonts w:ascii="Arial" w:hAnsi="Arial" w:cs="Arial"/>
          <w:spacing w:val="-2"/>
          <w:sz w:val="24"/>
          <w:szCs w:val="24"/>
        </w:rPr>
        <w:t>acoger dicho pedimento</w:t>
      </w:r>
      <w:r w:rsidR="0015423C" w:rsidRPr="00165990">
        <w:rPr>
          <w:rFonts w:ascii="Arial" w:hAnsi="Arial" w:cs="Arial"/>
          <w:spacing w:val="-2"/>
          <w:sz w:val="24"/>
          <w:szCs w:val="24"/>
        </w:rPr>
        <w:t xml:space="preserve">. </w:t>
      </w:r>
      <w:r w:rsidR="0037675F" w:rsidRPr="00165990">
        <w:rPr>
          <w:rFonts w:ascii="Arial" w:hAnsi="Arial" w:cs="Arial"/>
          <w:spacing w:val="-2"/>
          <w:sz w:val="24"/>
          <w:szCs w:val="24"/>
        </w:rPr>
        <w:t xml:space="preserve">En </w:t>
      </w:r>
      <w:r w:rsidR="009A44B7" w:rsidRPr="00165990">
        <w:rPr>
          <w:rFonts w:ascii="Arial" w:hAnsi="Arial" w:cs="Arial"/>
          <w:spacing w:val="-2"/>
          <w:sz w:val="24"/>
          <w:szCs w:val="24"/>
        </w:rPr>
        <w:t xml:space="preserve">esa </w:t>
      </w:r>
      <w:r w:rsidR="00984409" w:rsidRPr="00165990">
        <w:rPr>
          <w:rFonts w:ascii="Arial" w:hAnsi="Arial" w:cs="Arial"/>
          <w:spacing w:val="-2"/>
          <w:sz w:val="24"/>
          <w:szCs w:val="24"/>
        </w:rPr>
        <w:t xml:space="preserve">providencia </w:t>
      </w:r>
      <w:r w:rsidR="009A44B7" w:rsidRPr="00165990">
        <w:rPr>
          <w:rFonts w:ascii="Arial" w:hAnsi="Arial" w:cs="Arial"/>
          <w:spacing w:val="-2"/>
          <w:sz w:val="24"/>
          <w:szCs w:val="24"/>
        </w:rPr>
        <w:t xml:space="preserve">la </w:t>
      </w:r>
      <w:proofErr w:type="spellStart"/>
      <w:r w:rsidR="009A44B7" w:rsidRPr="00165990">
        <w:rPr>
          <w:rFonts w:ascii="Arial" w:hAnsi="Arial" w:cs="Arial"/>
          <w:spacing w:val="-2"/>
          <w:sz w:val="24"/>
          <w:szCs w:val="24"/>
        </w:rPr>
        <w:t>SP</w:t>
      </w:r>
      <w:proofErr w:type="spellEnd"/>
      <w:r w:rsidR="009A44B7" w:rsidRPr="00165990">
        <w:rPr>
          <w:rFonts w:ascii="Arial" w:hAnsi="Arial" w:cs="Arial"/>
          <w:spacing w:val="-2"/>
          <w:sz w:val="24"/>
          <w:szCs w:val="24"/>
        </w:rPr>
        <w:t xml:space="preserve"> de la CSJ </w:t>
      </w:r>
      <w:r w:rsidR="001E390B" w:rsidRPr="00165990">
        <w:rPr>
          <w:rFonts w:ascii="Arial" w:hAnsi="Arial" w:cs="Arial"/>
          <w:spacing w:val="-2"/>
          <w:sz w:val="24"/>
          <w:szCs w:val="24"/>
        </w:rPr>
        <w:t>modificó</w:t>
      </w:r>
      <w:r w:rsidR="009A44B7" w:rsidRPr="00165990">
        <w:rPr>
          <w:rFonts w:ascii="Arial" w:hAnsi="Arial" w:cs="Arial"/>
          <w:spacing w:val="-2"/>
          <w:sz w:val="24"/>
          <w:szCs w:val="24"/>
        </w:rPr>
        <w:t xml:space="preserve"> su </w:t>
      </w:r>
      <w:r w:rsidR="00984409" w:rsidRPr="00165990">
        <w:rPr>
          <w:rFonts w:ascii="Arial" w:hAnsi="Arial" w:cs="Arial"/>
          <w:spacing w:val="-2"/>
          <w:sz w:val="24"/>
          <w:szCs w:val="24"/>
        </w:rPr>
        <w:t>postura</w:t>
      </w:r>
      <w:r w:rsidR="007C77CC" w:rsidRPr="00165990">
        <w:rPr>
          <w:rFonts w:ascii="Arial" w:hAnsi="Arial" w:cs="Arial"/>
          <w:spacing w:val="-2"/>
          <w:sz w:val="24"/>
          <w:szCs w:val="24"/>
        </w:rPr>
        <w:t xml:space="preserve">, dejando al arbitrio del fallador la facultad de absolver o condenar, </w:t>
      </w:r>
      <w:r w:rsidR="001D32B1" w:rsidRPr="00165990">
        <w:rPr>
          <w:rFonts w:ascii="Arial" w:hAnsi="Arial" w:cs="Arial"/>
          <w:spacing w:val="-2"/>
          <w:sz w:val="24"/>
          <w:szCs w:val="24"/>
        </w:rPr>
        <w:t xml:space="preserve">aplicando de manera </w:t>
      </w:r>
      <w:r w:rsidR="007C77CC" w:rsidRPr="00165990">
        <w:rPr>
          <w:rFonts w:ascii="Arial" w:hAnsi="Arial" w:cs="Arial"/>
          <w:spacing w:val="-2"/>
          <w:sz w:val="24"/>
          <w:szCs w:val="24"/>
        </w:rPr>
        <w:t xml:space="preserve">inmediata </w:t>
      </w:r>
      <w:r w:rsidR="001D32B1" w:rsidRPr="00165990">
        <w:rPr>
          <w:rFonts w:ascii="Arial" w:hAnsi="Arial" w:cs="Arial"/>
          <w:spacing w:val="-2"/>
          <w:sz w:val="24"/>
          <w:szCs w:val="24"/>
        </w:rPr>
        <w:t xml:space="preserve">ese nuevo </w:t>
      </w:r>
      <w:r w:rsidR="007C77CC" w:rsidRPr="00165990">
        <w:rPr>
          <w:rFonts w:ascii="Arial" w:hAnsi="Arial" w:cs="Arial"/>
          <w:spacing w:val="-2"/>
          <w:sz w:val="24"/>
          <w:szCs w:val="24"/>
        </w:rPr>
        <w:t>precedente</w:t>
      </w:r>
      <w:r w:rsidR="001D32B1" w:rsidRPr="00165990">
        <w:rPr>
          <w:rFonts w:ascii="Arial" w:hAnsi="Arial" w:cs="Arial"/>
          <w:spacing w:val="-2"/>
          <w:sz w:val="24"/>
          <w:szCs w:val="24"/>
        </w:rPr>
        <w:t>, anula</w:t>
      </w:r>
      <w:r w:rsidR="001E390B" w:rsidRPr="00165990">
        <w:rPr>
          <w:rFonts w:ascii="Arial" w:hAnsi="Arial" w:cs="Arial"/>
          <w:spacing w:val="-2"/>
          <w:sz w:val="24"/>
          <w:szCs w:val="24"/>
        </w:rPr>
        <w:t xml:space="preserve">ndo la absolución que se había </w:t>
      </w:r>
      <w:r w:rsidR="001D32B1" w:rsidRPr="00165990">
        <w:rPr>
          <w:rFonts w:ascii="Arial" w:hAnsi="Arial" w:cs="Arial"/>
          <w:spacing w:val="-2"/>
          <w:sz w:val="24"/>
          <w:szCs w:val="24"/>
        </w:rPr>
        <w:t>proferido para</w:t>
      </w:r>
      <w:r w:rsidR="001E390B" w:rsidRPr="00165990">
        <w:rPr>
          <w:rFonts w:ascii="Arial" w:hAnsi="Arial" w:cs="Arial"/>
          <w:spacing w:val="-2"/>
          <w:sz w:val="24"/>
          <w:szCs w:val="24"/>
        </w:rPr>
        <w:t xml:space="preserve"> que se dictara un nuevo fallo.</w:t>
      </w:r>
      <w:r w:rsidR="0037675F" w:rsidRPr="00165990">
        <w:rPr>
          <w:rFonts w:ascii="Arial" w:hAnsi="Arial" w:cs="Arial"/>
          <w:spacing w:val="-2"/>
          <w:sz w:val="24"/>
          <w:szCs w:val="24"/>
        </w:rPr>
        <w:t xml:space="preserve"> </w:t>
      </w:r>
      <w:r w:rsidR="007C77CC" w:rsidRPr="00165990">
        <w:rPr>
          <w:rFonts w:ascii="Arial" w:hAnsi="Arial" w:cs="Arial"/>
          <w:spacing w:val="-2"/>
          <w:sz w:val="24"/>
          <w:szCs w:val="24"/>
        </w:rPr>
        <w:t xml:space="preserve">Sin embargo, dentro del proceso </w:t>
      </w:r>
      <w:r w:rsidR="001E390B" w:rsidRPr="00165990">
        <w:rPr>
          <w:rFonts w:ascii="Arial" w:hAnsi="Arial" w:cs="Arial"/>
          <w:spacing w:val="-2"/>
          <w:sz w:val="24"/>
          <w:szCs w:val="24"/>
        </w:rPr>
        <w:t xml:space="preserve">conocido como el caso de “Los </w:t>
      </w:r>
      <w:proofErr w:type="spellStart"/>
      <w:r w:rsidR="001E390B" w:rsidRPr="00165990">
        <w:rPr>
          <w:rFonts w:ascii="Arial" w:hAnsi="Arial" w:cs="Arial"/>
          <w:spacing w:val="-2"/>
          <w:sz w:val="24"/>
          <w:szCs w:val="24"/>
        </w:rPr>
        <w:t>Nule</w:t>
      </w:r>
      <w:proofErr w:type="spellEnd"/>
      <w:r w:rsidR="001E390B" w:rsidRPr="00165990">
        <w:rPr>
          <w:rFonts w:ascii="Arial" w:hAnsi="Arial" w:cs="Arial"/>
          <w:spacing w:val="-2"/>
          <w:sz w:val="24"/>
          <w:szCs w:val="24"/>
        </w:rPr>
        <w:t>”</w:t>
      </w:r>
      <w:r w:rsidR="009A44B7" w:rsidRPr="00165990">
        <w:rPr>
          <w:rFonts w:ascii="Arial" w:hAnsi="Arial" w:cs="Arial"/>
          <w:spacing w:val="-2"/>
          <w:sz w:val="24"/>
          <w:szCs w:val="24"/>
        </w:rPr>
        <w:t xml:space="preserve">, el órgano de cierre en materia penal dijo que </w:t>
      </w:r>
      <w:r w:rsidR="001E390B" w:rsidRPr="00165990">
        <w:rPr>
          <w:rFonts w:ascii="Arial" w:hAnsi="Arial" w:cs="Arial"/>
          <w:spacing w:val="-2"/>
          <w:sz w:val="24"/>
          <w:szCs w:val="24"/>
        </w:rPr>
        <w:t>se debían</w:t>
      </w:r>
      <w:r w:rsidR="00444E15" w:rsidRPr="00165990">
        <w:rPr>
          <w:rFonts w:ascii="Arial" w:hAnsi="Arial" w:cs="Arial"/>
          <w:spacing w:val="-2"/>
          <w:sz w:val="24"/>
          <w:szCs w:val="24"/>
        </w:rPr>
        <w:t xml:space="preserve"> aplicar </w:t>
      </w:r>
      <w:r w:rsidR="001E390B" w:rsidRPr="00165990">
        <w:rPr>
          <w:rFonts w:ascii="Arial" w:hAnsi="Arial" w:cs="Arial"/>
          <w:spacing w:val="-2"/>
          <w:sz w:val="24"/>
          <w:szCs w:val="24"/>
        </w:rPr>
        <w:t>los</w:t>
      </w:r>
      <w:r w:rsidR="007C77CC" w:rsidRPr="00165990">
        <w:rPr>
          <w:rFonts w:ascii="Arial" w:hAnsi="Arial" w:cs="Arial"/>
          <w:spacing w:val="-2"/>
          <w:sz w:val="24"/>
          <w:szCs w:val="24"/>
        </w:rPr>
        <w:t xml:space="preserve"> principio</w:t>
      </w:r>
      <w:r w:rsidR="00444E15" w:rsidRPr="00165990">
        <w:rPr>
          <w:rFonts w:ascii="Arial" w:hAnsi="Arial" w:cs="Arial"/>
          <w:spacing w:val="-2"/>
          <w:sz w:val="24"/>
          <w:szCs w:val="24"/>
        </w:rPr>
        <w:t>s</w:t>
      </w:r>
      <w:r w:rsidR="007C77CC" w:rsidRPr="00165990">
        <w:rPr>
          <w:rFonts w:ascii="Arial" w:hAnsi="Arial" w:cs="Arial"/>
          <w:spacing w:val="-2"/>
          <w:sz w:val="24"/>
          <w:szCs w:val="24"/>
        </w:rPr>
        <w:t xml:space="preserve"> de legalidad y </w:t>
      </w:r>
      <w:r w:rsidR="001D32B1" w:rsidRPr="00165990">
        <w:rPr>
          <w:rFonts w:ascii="Arial" w:hAnsi="Arial" w:cs="Arial"/>
          <w:spacing w:val="-2"/>
          <w:sz w:val="24"/>
          <w:szCs w:val="24"/>
        </w:rPr>
        <w:t xml:space="preserve">favorabilidad y </w:t>
      </w:r>
      <w:r w:rsidR="007C77CC" w:rsidRPr="00165990">
        <w:rPr>
          <w:rFonts w:ascii="Arial" w:hAnsi="Arial" w:cs="Arial"/>
          <w:spacing w:val="-2"/>
          <w:sz w:val="24"/>
          <w:szCs w:val="24"/>
        </w:rPr>
        <w:t xml:space="preserve">por lo tanto </w:t>
      </w:r>
      <w:r w:rsidR="009A44B7" w:rsidRPr="00165990">
        <w:rPr>
          <w:rFonts w:ascii="Arial" w:hAnsi="Arial" w:cs="Arial"/>
          <w:spacing w:val="-2"/>
          <w:sz w:val="24"/>
          <w:szCs w:val="24"/>
        </w:rPr>
        <w:t>ese precedente</w:t>
      </w:r>
      <w:r w:rsidR="001D32B1" w:rsidRPr="00165990">
        <w:rPr>
          <w:rFonts w:ascii="Arial" w:hAnsi="Arial" w:cs="Arial"/>
          <w:spacing w:val="-2"/>
          <w:sz w:val="24"/>
          <w:szCs w:val="24"/>
        </w:rPr>
        <w:t xml:space="preserve"> solo era </w:t>
      </w:r>
      <w:r w:rsidR="00F354D8" w:rsidRPr="00165990">
        <w:rPr>
          <w:rFonts w:ascii="Arial" w:hAnsi="Arial" w:cs="Arial"/>
          <w:spacing w:val="-2"/>
          <w:sz w:val="24"/>
          <w:szCs w:val="24"/>
        </w:rPr>
        <w:t xml:space="preserve"> aplicable </w:t>
      </w:r>
      <w:r w:rsidR="009A44B7" w:rsidRPr="00165990">
        <w:rPr>
          <w:rFonts w:ascii="Arial" w:hAnsi="Arial" w:cs="Arial"/>
          <w:spacing w:val="-2"/>
          <w:sz w:val="24"/>
          <w:szCs w:val="24"/>
        </w:rPr>
        <w:t xml:space="preserve">a </w:t>
      </w:r>
      <w:r w:rsidR="00F354D8" w:rsidRPr="00165990">
        <w:rPr>
          <w:rFonts w:ascii="Arial" w:hAnsi="Arial" w:cs="Arial"/>
          <w:spacing w:val="-2"/>
          <w:sz w:val="24"/>
          <w:szCs w:val="24"/>
        </w:rPr>
        <w:t>caso</w:t>
      </w:r>
      <w:r w:rsidR="009A44B7" w:rsidRPr="00165990">
        <w:rPr>
          <w:rFonts w:ascii="Arial" w:hAnsi="Arial" w:cs="Arial"/>
          <w:spacing w:val="-2"/>
          <w:sz w:val="24"/>
          <w:szCs w:val="24"/>
        </w:rPr>
        <w:t>s</w:t>
      </w:r>
      <w:r w:rsidR="00F354D8" w:rsidRPr="00165990">
        <w:rPr>
          <w:rFonts w:ascii="Arial" w:hAnsi="Arial" w:cs="Arial"/>
          <w:spacing w:val="-2"/>
          <w:sz w:val="24"/>
          <w:szCs w:val="24"/>
        </w:rPr>
        <w:t xml:space="preserve"> posteriores </w:t>
      </w:r>
      <w:r w:rsidR="001E390B" w:rsidRPr="00165990">
        <w:rPr>
          <w:rFonts w:ascii="Arial" w:hAnsi="Arial" w:cs="Arial"/>
          <w:spacing w:val="-2"/>
          <w:sz w:val="24"/>
          <w:szCs w:val="24"/>
        </w:rPr>
        <w:t>a ese</w:t>
      </w:r>
      <w:r w:rsidR="00F354D8" w:rsidRPr="00165990">
        <w:rPr>
          <w:rFonts w:ascii="Arial" w:hAnsi="Arial" w:cs="Arial"/>
          <w:spacing w:val="-2"/>
          <w:sz w:val="24"/>
          <w:szCs w:val="24"/>
        </w:rPr>
        <w:t xml:space="preserve"> pronunciamiento</w:t>
      </w:r>
      <w:r w:rsidR="009A44B7" w:rsidRPr="00165990">
        <w:rPr>
          <w:rFonts w:ascii="Arial" w:hAnsi="Arial" w:cs="Arial"/>
          <w:spacing w:val="-2"/>
          <w:sz w:val="24"/>
          <w:szCs w:val="24"/>
        </w:rPr>
        <w:t>.</w:t>
      </w:r>
    </w:p>
    <w:p w:rsidR="00F354D8" w:rsidRPr="00165990" w:rsidRDefault="00F354D8" w:rsidP="00E54582">
      <w:pPr>
        <w:pStyle w:val="Prrafodelista"/>
        <w:spacing w:line="276" w:lineRule="auto"/>
        <w:rPr>
          <w:rFonts w:ascii="Arial" w:hAnsi="Arial" w:cs="Arial"/>
          <w:spacing w:val="-2"/>
        </w:rPr>
      </w:pPr>
    </w:p>
    <w:p w:rsidR="009F471B" w:rsidRPr="00165990" w:rsidRDefault="009A44B7" w:rsidP="00E54582">
      <w:pPr>
        <w:pStyle w:val="Sinespaciado"/>
        <w:numPr>
          <w:ilvl w:val="0"/>
          <w:numId w:val="1"/>
        </w:numPr>
        <w:spacing w:line="276" w:lineRule="auto"/>
        <w:jc w:val="both"/>
        <w:rPr>
          <w:rFonts w:ascii="Arial" w:hAnsi="Arial" w:cs="Arial"/>
          <w:spacing w:val="-2"/>
          <w:sz w:val="24"/>
          <w:szCs w:val="24"/>
        </w:rPr>
      </w:pPr>
      <w:r w:rsidRPr="00165990">
        <w:rPr>
          <w:rFonts w:ascii="Arial" w:hAnsi="Arial" w:cs="Arial"/>
          <w:spacing w:val="-2"/>
          <w:sz w:val="24"/>
          <w:szCs w:val="24"/>
        </w:rPr>
        <w:t xml:space="preserve">Se debe aplicar el </w:t>
      </w:r>
      <w:r w:rsidR="000B3DEF" w:rsidRPr="00165990">
        <w:rPr>
          <w:rFonts w:ascii="Arial" w:hAnsi="Arial" w:cs="Arial"/>
          <w:spacing w:val="-2"/>
          <w:sz w:val="24"/>
          <w:szCs w:val="24"/>
        </w:rPr>
        <w:t>precedente</w:t>
      </w:r>
      <w:r w:rsidRPr="00165990">
        <w:rPr>
          <w:rFonts w:ascii="Arial" w:hAnsi="Arial" w:cs="Arial"/>
          <w:spacing w:val="-2"/>
          <w:sz w:val="24"/>
          <w:szCs w:val="24"/>
        </w:rPr>
        <w:t xml:space="preserve"> mencionado, por</w:t>
      </w:r>
      <w:r w:rsidR="001E390B" w:rsidRPr="00165990">
        <w:rPr>
          <w:rFonts w:ascii="Arial" w:hAnsi="Arial" w:cs="Arial"/>
          <w:spacing w:val="-2"/>
          <w:sz w:val="24"/>
          <w:szCs w:val="24"/>
        </w:rPr>
        <w:t xml:space="preserve">que dentro del citado caso de “Los </w:t>
      </w:r>
      <w:proofErr w:type="spellStart"/>
      <w:r w:rsidR="001E390B" w:rsidRPr="00165990">
        <w:rPr>
          <w:rFonts w:ascii="Arial" w:hAnsi="Arial" w:cs="Arial"/>
          <w:spacing w:val="-2"/>
          <w:sz w:val="24"/>
          <w:szCs w:val="24"/>
        </w:rPr>
        <w:t>Nule</w:t>
      </w:r>
      <w:proofErr w:type="spellEnd"/>
      <w:r w:rsidR="001E390B" w:rsidRPr="00165990">
        <w:rPr>
          <w:rFonts w:ascii="Arial" w:hAnsi="Arial" w:cs="Arial"/>
          <w:spacing w:val="-2"/>
          <w:sz w:val="24"/>
          <w:szCs w:val="24"/>
        </w:rPr>
        <w:t>”</w:t>
      </w:r>
      <w:r w:rsidRPr="00165990">
        <w:rPr>
          <w:rFonts w:ascii="Arial" w:hAnsi="Arial" w:cs="Arial"/>
          <w:spacing w:val="-2"/>
          <w:sz w:val="24"/>
          <w:szCs w:val="24"/>
        </w:rPr>
        <w:t xml:space="preserve">, la </w:t>
      </w:r>
      <w:proofErr w:type="spellStart"/>
      <w:r w:rsidRPr="00165990">
        <w:rPr>
          <w:rFonts w:ascii="Arial" w:hAnsi="Arial" w:cs="Arial"/>
          <w:spacing w:val="-2"/>
          <w:sz w:val="24"/>
          <w:szCs w:val="24"/>
        </w:rPr>
        <w:t>SP</w:t>
      </w:r>
      <w:proofErr w:type="spellEnd"/>
      <w:r w:rsidRPr="00165990">
        <w:rPr>
          <w:rFonts w:ascii="Arial" w:hAnsi="Arial" w:cs="Arial"/>
          <w:spacing w:val="-2"/>
          <w:sz w:val="24"/>
          <w:szCs w:val="24"/>
        </w:rPr>
        <w:t xml:space="preserve"> de la CSJ </w:t>
      </w:r>
      <w:r w:rsidR="006260FE" w:rsidRPr="00165990">
        <w:rPr>
          <w:rFonts w:ascii="Arial" w:hAnsi="Arial" w:cs="Arial"/>
          <w:spacing w:val="-2"/>
          <w:sz w:val="24"/>
          <w:szCs w:val="24"/>
        </w:rPr>
        <w:t xml:space="preserve">advirtió que la jurisprudencia </w:t>
      </w:r>
      <w:r w:rsidR="009F471B" w:rsidRPr="00165990">
        <w:rPr>
          <w:rFonts w:ascii="Arial" w:hAnsi="Arial" w:cs="Arial"/>
          <w:spacing w:val="-2"/>
          <w:sz w:val="24"/>
          <w:szCs w:val="24"/>
        </w:rPr>
        <w:t xml:space="preserve">a tener en consideración es aquella que se encuentra vigente </w:t>
      </w:r>
      <w:r w:rsidRPr="00165990">
        <w:rPr>
          <w:rFonts w:ascii="Arial" w:hAnsi="Arial" w:cs="Arial"/>
          <w:spacing w:val="-2"/>
          <w:sz w:val="24"/>
          <w:szCs w:val="24"/>
        </w:rPr>
        <w:t xml:space="preserve">en el </w:t>
      </w:r>
      <w:r w:rsidR="009F471B" w:rsidRPr="00165990">
        <w:rPr>
          <w:rFonts w:ascii="Arial" w:hAnsi="Arial" w:cs="Arial"/>
          <w:spacing w:val="-2"/>
          <w:sz w:val="24"/>
          <w:szCs w:val="24"/>
        </w:rPr>
        <w:t xml:space="preserve">momento del acto procesal como tal, </w:t>
      </w:r>
      <w:r w:rsidR="0002196F" w:rsidRPr="00165990">
        <w:rPr>
          <w:rFonts w:ascii="Arial" w:hAnsi="Arial" w:cs="Arial"/>
          <w:spacing w:val="-2"/>
          <w:sz w:val="24"/>
          <w:szCs w:val="24"/>
        </w:rPr>
        <w:t xml:space="preserve">y no la que imperaba para la fecha de la </w:t>
      </w:r>
      <w:r w:rsidR="009F471B" w:rsidRPr="00165990">
        <w:rPr>
          <w:rFonts w:ascii="Arial" w:hAnsi="Arial" w:cs="Arial"/>
          <w:spacing w:val="-2"/>
          <w:sz w:val="24"/>
          <w:szCs w:val="24"/>
        </w:rPr>
        <w:t>comisión de los hechos, y en la</w:t>
      </w:r>
      <w:r w:rsidR="00F354D8" w:rsidRPr="00165990">
        <w:rPr>
          <w:rFonts w:ascii="Arial" w:hAnsi="Arial" w:cs="Arial"/>
          <w:spacing w:val="-2"/>
          <w:sz w:val="24"/>
          <w:szCs w:val="24"/>
        </w:rPr>
        <w:t xml:space="preserve"> </w:t>
      </w:r>
      <w:r w:rsidR="009F471B" w:rsidRPr="00165990">
        <w:rPr>
          <w:rFonts w:ascii="Arial" w:hAnsi="Arial" w:cs="Arial"/>
          <w:spacing w:val="-2"/>
          <w:sz w:val="24"/>
          <w:szCs w:val="24"/>
        </w:rPr>
        <w:t xml:space="preserve">actualidad </w:t>
      </w:r>
      <w:r w:rsidR="001E390B" w:rsidRPr="00165990">
        <w:rPr>
          <w:rFonts w:ascii="Arial" w:hAnsi="Arial" w:cs="Arial"/>
          <w:spacing w:val="-2"/>
          <w:sz w:val="24"/>
          <w:szCs w:val="24"/>
        </w:rPr>
        <w:t>rige la</w:t>
      </w:r>
      <w:r w:rsidR="009F471B" w:rsidRPr="00165990">
        <w:rPr>
          <w:rFonts w:ascii="Arial" w:hAnsi="Arial" w:cs="Arial"/>
          <w:spacing w:val="-2"/>
          <w:sz w:val="24"/>
          <w:szCs w:val="24"/>
        </w:rPr>
        <w:t xml:space="preserve"> sentencia SU-</w:t>
      </w:r>
      <w:r w:rsidR="004314E4" w:rsidRPr="00165990">
        <w:rPr>
          <w:rFonts w:ascii="Arial" w:hAnsi="Arial" w:cs="Arial"/>
          <w:spacing w:val="-2"/>
          <w:sz w:val="24"/>
          <w:szCs w:val="24"/>
        </w:rPr>
        <w:t>479</w:t>
      </w:r>
      <w:r w:rsidR="0002196F" w:rsidRPr="00165990">
        <w:rPr>
          <w:rFonts w:ascii="Arial" w:hAnsi="Arial" w:cs="Arial"/>
          <w:spacing w:val="-2"/>
          <w:sz w:val="24"/>
          <w:szCs w:val="24"/>
        </w:rPr>
        <w:t xml:space="preserve"> de 2019, </w:t>
      </w:r>
      <w:r w:rsidR="001E390B" w:rsidRPr="00165990">
        <w:rPr>
          <w:rFonts w:ascii="Arial" w:hAnsi="Arial" w:cs="Arial"/>
          <w:spacing w:val="-2"/>
          <w:sz w:val="24"/>
          <w:szCs w:val="24"/>
        </w:rPr>
        <w:t>y por eso la</w:t>
      </w:r>
      <w:r w:rsidR="0002196F" w:rsidRPr="00165990">
        <w:rPr>
          <w:rFonts w:ascii="Arial" w:hAnsi="Arial" w:cs="Arial"/>
          <w:spacing w:val="-2"/>
          <w:sz w:val="24"/>
          <w:szCs w:val="24"/>
        </w:rPr>
        <w:t xml:space="preserve"> legalidad del </w:t>
      </w:r>
      <w:r w:rsidR="00444E15" w:rsidRPr="00165990">
        <w:rPr>
          <w:rFonts w:ascii="Arial" w:hAnsi="Arial" w:cs="Arial"/>
          <w:spacing w:val="-2"/>
          <w:sz w:val="24"/>
          <w:szCs w:val="24"/>
        </w:rPr>
        <w:t xml:space="preserve">presente </w:t>
      </w:r>
      <w:r w:rsidR="0002196F" w:rsidRPr="00165990">
        <w:rPr>
          <w:rFonts w:ascii="Arial" w:hAnsi="Arial" w:cs="Arial"/>
          <w:spacing w:val="-2"/>
          <w:sz w:val="24"/>
          <w:szCs w:val="24"/>
        </w:rPr>
        <w:t>preacuerdo</w:t>
      </w:r>
      <w:r w:rsidR="001E390B" w:rsidRPr="00165990">
        <w:rPr>
          <w:rFonts w:ascii="Arial" w:hAnsi="Arial" w:cs="Arial"/>
          <w:spacing w:val="-2"/>
          <w:sz w:val="24"/>
          <w:szCs w:val="24"/>
        </w:rPr>
        <w:t xml:space="preserve"> se debe </w:t>
      </w:r>
      <w:r w:rsidR="00444E15" w:rsidRPr="00165990">
        <w:rPr>
          <w:rFonts w:ascii="Arial" w:hAnsi="Arial" w:cs="Arial"/>
          <w:spacing w:val="-2"/>
          <w:sz w:val="24"/>
          <w:szCs w:val="24"/>
        </w:rPr>
        <w:t>examinar de acuerdo a es</w:t>
      </w:r>
      <w:r w:rsidR="0037675F" w:rsidRPr="00165990">
        <w:rPr>
          <w:rFonts w:ascii="Arial" w:hAnsi="Arial" w:cs="Arial"/>
          <w:spacing w:val="-2"/>
          <w:sz w:val="24"/>
          <w:szCs w:val="24"/>
        </w:rPr>
        <w:t>a decisión de la Corte Constitucional que</w:t>
      </w:r>
      <w:r w:rsidR="001E390B" w:rsidRPr="00165990">
        <w:rPr>
          <w:rFonts w:ascii="Arial" w:hAnsi="Arial" w:cs="Arial"/>
          <w:spacing w:val="-2"/>
          <w:sz w:val="24"/>
          <w:szCs w:val="24"/>
        </w:rPr>
        <w:t xml:space="preserve"> es la que se encuentra vigente</w:t>
      </w:r>
      <w:r w:rsidR="00444E15" w:rsidRPr="00165990">
        <w:rPr>
          <w:rFonts w:ascii="Arial" w:hAnsi="Arial" w:cs="Arial"/>
          <w:spacing w:val="-2"/>
          <w:sz w:val="24"/>
          <w:szCs w:val="24"/>
        </w:rPr>
        <w:t xml:space="preserve"> para la fecha del preacuerdo celebrado con el señor </w:t>
      </w:r>
      <w:proofErr w:type="spellStart"/>
      <w:r w:rsidR="005D5D2D" w:rsidRPr="00165990">
        <w:rPr>
          <w:rFonts w:ascii="Arial" w:hAnsi="Arial" w:cs="Arial"/>
          <w:spacing w:val="-2"/>
          <w:sz w:val="24"/>
          <w:szCs w:val="24"/>
        </w:rPr>
        <w:t>AMM</w:t>
      </w:r>
      <w:proofErr w:type="spellEnd"/>
      <w:r w:rsidR="00444E15" w:rsidRPr="00165990">
        <w:rPr>
          <w:rFonts w:ascii="Arial" w:hAnsi="Arial" w:cs="Arial"/>
          <w:spacing w:val="-2"/>
          <w:sz w:val="24"/>
          <w:szCs w:val="24"/>
        </w:rPr>
        <w:t>.</w:t>
      </w:r>
      <w:r w:rsidR="00F354D8" w:rsidRPr="00165990">
        <w:rPr>
          <w:rFonts w:ascii="Arial" w:hAnsi="Arial" w:cs="Arial"/>
          <w:spacing w:val="-2"/>
          <w:sz w:val="24"/>
          <w:szCs w:val="24"/>
        </w:rPr>
        <w:t xml:space="preserve"> </w:t>
      </w:r>
    </w:p>
    <w:p w:rsidR="009F471B" w:rsidRPr="00165990" w:rsidRDefault="009F471B" w:rsidP="00E54582">
      <w:pPr>
        <w:pStyle w:val="Prrafodelista"/>
        <w:spacing w:line="276" w:lineRule="auto"/>
        <w:rPr>
          <w:rFonts w:ascii="Arial" w:hAnsi="Arial" w:cs="Arial"/>
          <w:spacing w:val="-2"/>
        </w:rPr>
      </w:pPr>
    </w:p>
    <w:p w:rsidR="00FF6C53" w:rsidRPr="00165990" w:rsidRDefault="0002196F" w:rsidP="00E54582">
      <w:pPr>
        <w:pStyle w:val="Sinespaciado"/>
        <w:numPr>
          <w:ilvl w:val="0"/>
          <w:numId w:val="1"/>
        </w:numPr>
        <w:spacing w:line="276" w:lineRule="auto"/>
        <w:jc w:val="both"/>
        <w:rPr>
          <w:rFonts w:ascii="Arial" w:hAnsi="Arial" w:cs="Arial"/>
          <w:spacing w:val="-2"/>
          <w:sz w:val="24"/>
          <w:szCs w:val="24"/>
          <w:u w:val="single"/>
        </w:rPr>
      </w:pPr>
      <w:r w:rsidRPr="00165990">
        <w:rPr>
          <w:rFonts w:ascii="Arial" w:hAnsi="Arial" w:cs="Arial"/>
          <w:spacing w:val="-2"/>
          <w:sz w:val="24"/>
          <w:szCs w:val="24"/>
        </w:rPr>
        <w:lastRenderedPageBreak/>
        <w:t xml:space="preserve">En la </w:t>
      </w:r>
      <w:r w:rsidR="00F354D8" w:rsidRPr="00165990">
        <w:rPr>
          <w:rFonts w:ascii="Arial" w:hAnsi="Arial" w:cs="Arial"/>
          <w:spacing w:val="-2"/>
          <w:sz w:val="24"/>
          <w:szCs w:val="24"/>
        </w:rPr>
        <w:t xml:space="preserve">sentencia SU </w:t>
      </w:r>
      <w:r w:rsidRPr="00165990">
        <w:rPr>
          <w:rFonts w:ascii="Arial" w:hAnsi="Arial" w:cs="Arial"/>
          <w:spacing w:val="-2"/>
          <w:sz w:val="24"/>
          <w:szCs w:val="24"/>
        </w:rPr>
        <w:t>47</w:t>
      </w:r>
      <w:r w:rsidR="001E390B" w:rsidRPr="00165990">
        <w:rPr>
          <w:rFonts w:ascii="Arial" w:hAnsi="Arial" w:cs="Arial"/>
          <w:spacing w:val="-2"/>
          <w:sz w:val="24"/>
          <w:szCs w:val="24"/>
        </w:rPr>
        <w:t>9 de 2019, se manifiesta que el</w:t>
      </w:r>
      <w:r w:rsidR="00934E56" w:rsidRPr="00165990">
        <w:rPr>
          <w:rFonts w:ascii="Arial" w:hAnsi="Arial" w:cs="Arial"/>
          <w:spacing w:val="-2"/>
          <w:sz w:val="24"/>
          <w:szCs w:val="24"/>
        </w:rPr>
        <w:t xml:space="preserve"> pr</w:t>
      </w:r>
      <w:r w:rsidR="001E390B" w:rsidRPr="00165990">
        <w:rPr>
          <w:rFonts w:ascii="Arial" w:hAnsi="Arial" w:cs="Arial"/>
          <w:spacing w:val="-2"/>
          <w:sz w:val="24"/>
          <w:szCs w:val="24"/>
        </w:rPr>
        <w:t xml:space="preserve">incipio de favorabilidad no es </w:t>
      </w:r>
      <w:r w:rsidR="00934E56" w:rsidRPr="00165990">
        <w:rPr>
          <w:rFonts w:ascii="Arial" w:hAnsi="Arial" w:cs="Arial"/>
          <w:spacing w:val="-2"/>
          <w:sz w:val="24"/>
          <w:szCs w:val="24"/>
        </w:rPr>
        <w:t>taxativo, máxime cuando dicha</w:t>
      </w:r>
      <w:r w:rsidR="00FF6C53" w:rsidRPr="00165990">
        <w:rPr>
          <w:rFonts w:ascii="Arial" w:hAnsi="Arial" w:cs="Arial"/>
          <w:spacing w:val="-2"/>
          <w:sz w:val="24"/>
          <w:szCs w:val="24"/>
        </w:rPr>
        <w:t xml:space="preserve"> providencia establece </w:t>
      </w:r>
      <w:r w:rsidR="001E390B" w:rsidRPr="00165990">
        <w:rPr>
          <w:rFonts w:ascii="Arial" w:hAnsi="Arial" w:cs="Arial"/>
          <w:spacing w:val="-2"/>
          <w:sz w:val="24"/>
          <w:szCs w:val="24"/>
        </w:rPr>
        <w:t>lo siguiente</w:t>
      </w:r>
      <w:r w:rsidRPr="00165990">
        <w:rPr>
          <w:rFonts w:ascii="Arial" w:hAnsi="Arial" w:cs="Arial"/>
          <w:spacing w:val="-2"/>
          <w:sz w:val="24"/>
          <w:szCs w:val="24"/>
        </w:rPr>
        <w:t xml:space="preserve">: </w:t>
      </w:r>
      <w:r w:rsidR="00A80A96" w:rsidRPr="00165990">
        <w:rPr>
          <w:rFonts w:ascii="Arial" w:hAnsi="Arial" w:cs="Arial"/>
          <w:spacing w:val="-2"/>
          <w:sz w:val="24"/>
          <w:szCs w:val="24"/>
        </w:rPr>
        <w:t>i)</w:t>
      </w:r>
      <w:r w:rsidR="00FF6C53" w:rsidRPr="00165990">
        <w:rPr>
          <w:rFonts w:ascii="Arial" w:hAnsi="Arial" w:cs="Arial"/>
          <w:spacing w:val="-2"/>
          <w:sz w:val="24"/>
          <w:szCs w:val="24"/>
        </w:rPr>
        <w:t xml:space="preserve"> </w:t>
      </w:r>
      <w:r w:rsidR="00444E15" w:rsidRPr="00165990">
        <w:rPr>
          <w:rFonts w:ascii="Arial" w:hAnsi="Arial" w:cs="Arial"/>
          <w:spacing w:val="-2"/>
          <w:sz w:val="24"/>
          <w:szCs w:val="24"/>
        </w:rPr>
        <w:t>el</w:t>
      </w:r>
      <w:r w:rsidR="00FF6C53" w:rsidRPr="00165990">
        <w:rPr>
          <w:rFonts w:ascii="Arial" w:hAnsi="Arial" w:cs="Arial"/>
          <w:spacing w:val="-2"/>
          <w:sz w:val="24"/>
          <w:szCs w:val="24"/>
        </w:rPr>
        <w:t xml:space="preserve"> juez de conocimiento </w:t>
      </w:r>
      <w:r w:rsidR="00934E56" w:rsidRPr="00165990">
        <w:rPr>
          <w:rFonts w:ascii="Arial" w:hAnsi="Arial" w:cs="Arial"/>
          <w:spacing w:val="-2"/>
          <w:sz w:val="24"/>
          <w:szCs w:val="24"/>
        </w:rPr>
        <w:t>tiene la facultad para realizar</w:t>
      </w:r>
      <w:r w:rsidR="00FF6C53" w:rsidRPr="00165990">
        <w:rPr>
          <w:rFonts w:ascii="Arial" w:hAnsi="Arial" w:cs="Arial"/>
          <w:spacing w:val="-2"/>
          <w:sz w:val="24"/>
          <w:szCs w:val="24"/>
        </w:rPr>
        <w:t xml:space="preserve"> un control for</w:t>
      </w:r>
      <w:r w:rsidR="00934E56" w:rsidRPr="00165990">
        <w:rPr>
          <w:rFonts w:ascii="Arial" w:hAnsi="Arial" w:cs="Arial"/>
          <w:spacing w:val="-2"/>
          <w:sz w:val="24"/>
          <w:szCs w:val="24"/>
        </w:rPr>
        <w:t>mal</w:t>
      </w:r>
      <w:r w:rsidR="00FF6C53" w:rsidRPr="00165990">
        <w:rPr>
          <w:rFonts w:ascii="Arial" w:hAnsi="Arial" w:cs="Arial"/>
          <w:spacing w:val="-2"/>
          <w:sz w:val="24"/>
          <w:szCs w:val="24"/>
        </w:rPr>
        <w:t xml:space="preserve"> y material del </w:t>
      </w:r>
      <w:r w:rsidR="00A80A96" w:rsidRPr="00165990">
        <w:rPr>
          <w:rFonts w:ascii="Arial" w:hAnsi="Arial" w:cs="Arial"/>
          <w:spacing w:val="-2"/>
          <w:sz w:val="24"/>
          <w:szCs w:val="24"/>
        </w:rPr>
        <w:t>preacuerdo</w:t>
      </w:r>
      <w:r w:rsidR="00FF6C53" w:rsidRPr="00165990">
        <w:rPr>
          <w:rFonts w:ascii="Arial" w:hAnsi="Arial" w:cs="Arial"/>
          <w:spacing w:val="-2"/>
          <w:sz w:val="24"/>
          <w:szCs w:val="24"/>
        </w:rPr>
        <w:t>, lo que no sucedía con anterio</w:t>
      </w:r>
      <w:r w:rsidR="00A80A96" w:rsidRPr="00165990">
        <w:rPr>
          <w:rFonts w:ascii="Arial" w:hAnsi="Arial" w:cs="Arial"/>
          <w:spacing w:val="-2"/>
          <w:sz w:val="24"/>
          <w:szCs w:val="24"/>
        </w:rPr>
        <w:t>ridad</w:t>
      </w:r>
      <w:r w:rsidR="00444E15" w:rsidRPr="00165990">
        <w:rPr>
          <w:rFonts w:ascii="Arial" w:hAnsi="Arial" w:cs="Arial"/>
          <w:spacing w:val="-2"/>
          <w:sz w:val="24"/>
          <w:szCs w:val="24"/>
        </w:rPr>
        <w:t xml:space="preserve"> a ese precedente ;</w:t>
      </w:r>
      <w:r w:rsidR="00FF6C53" w:rsidRPr="00165990">
        <w:rPr>
          <w:rFonts w:ascii="Arial" w:hAnsi="Arial" w:cs="Arial"/>
          <w:spacing w:val="-2"/>
          <w:sz w:val="24"/>
          <w:szCs w:val="24"/>
        </w:rPr>
        <w:t xml:space="preserve">ii) es </w:t>
      </w:r>
      <w:r w:rsidR="00A80A96" w:rsidRPr="00165990">
        <w:rPr>
          <w:rFonts w:ascii="Arial" w:hAnsi="Arial" w:cs="Arial"/>
          <w:spacing w:val="-2"/>
          <w:sz w:val="24"/>
          <w:szCs w:val="24"/>
        </w:rPr>
        <w:t>obligación</w:t>
      </w:r>
      <w:r w:rsidR="00FF6C53" w:rsidRPr="00165990">
        <w:rPr>
          <w:rFonts w:ascii="Arial" w:hAnsi="Arial" w:cs="Arial"/>
          <w:spacing w:val="-2"/>
          <w:sz w:val="24"/>
          <w:szCs w:val="24"/>
        </w:rPr>
        <w:t xml:space="preserve"> para los fiscales acatar las directrices que sobre la materia anunc</w:t>
      </w:r>
      <w:r w:rsidR="00A80A96" w:rsidRPr="00165990">
        <w:rPr>
          <w:rFonts w:ascii="Arial" w:hAnsi="Arial" w:cs="Arial"/>
          <w:spacing w:val="-2"/>
          <w:sz w:val="24"/>
          <w:szCs w:val="24"/>
        </w:rPr>
        <w:t>ia la FGN</w:t>
      </w:r>
      <w:r w:rsidR="00444E15" w:rsidRPr="00165990">
        <w:rPr>
          <w:rFonts w:ascii="Arial" w:hAnsi="Arial" w:cs="Arial"/>
          <w:spacing w:val="-2"/>
          <w:sz w:val="24"/>
          <w:szCs w:val="24"/>
        </w:rPr>
        <w:t xml:space="preserve"> y</w:t>
      </w:r>
      <w:r w:rsidR="00A80A96" w:rsidRPr="00165990">
        <w:rPr>
          <w:rFonts w:ascii="Arial" w:hAnsi="Arial" w:cs="Arial"/>
          <w:spacing w:val="-2"/>
          <w:sz w:val="24"/>
          <w:szCs w:val="24"/>
        </w:rPr>
        <w:t xml:space="preserve"> iii) </w:t>
      </w:r>
      <w:r w:rsidRPr="00165990">
        <w:rPr>
          <w:rFonts w:ascii="Arial" w:hAnsi="Arial" w:cs="Arial"/>
          <w:spacing w:val="-2"/>
          <w:sz w:val="24"/>
          <w:szCs w:val="24"/>
          <w:u w:val="single"/>
        </w:rPr>
        <w:t xml:space="preserve">por vía de un </w:t>
      </w:r>
      <w:r w:rsidR="00FF6C53" w:rsidRPr="00165990">
        <w:rPr>
          <w:rFonts w:ascii="Arial" w:hAnsi="Arial" w:cs="Arial"/>
          <w:spacing w:val="-2"/>
          <w:sz w:val="24"/>
          <w:szCs w:val="24"/>
          <w:u w:val="single"/>
        </w:rPr>
        <w:t>preacuerdo</w:t>
      </w:r>
      <w:r w:rsidRPr="00165990">
        <w:rPr>
          <w:rFonts w:ascii="Arial" w:hAnsi="Arial" w:cs="Arial"/>
          <w:spacing w:val="-2"/>
          <w:sz w:val="24"/>
          <w:szCs w:val="24"/>
          <w:u w:val="single"/>
        </w:rPr>
        <w:t xml:space="preserve"> no es posible desconocer el contexto fáctico , para </w:t>
      </w:r>
      <w:r w:rsidR="00FF6C53" w:rsidRPr="00165990">
        <w:rPr>
          <w:rFonts w:ascii="Arial" w:hAnsi="Arial" w:cs="Arial"/>
          <w:spacing w:val="-2"/>
          <w:sz w:val="24"/>
          <w:szCs w:val="24"/>
          <w:u w:val="single"/>
        </w:rPr>
        <w:t xml:space="preserve"> reconocer situaciones inexistentes</w:t>
      </w:r>
      <w:r w:rsidR="00444E15" w:rsidRPr="00165990">
        <w:rPr>
          <w:rFonts w:ascii="Arial" w:hAnsi="Arial" w:cs="Arial"/>
          <w:spacing w:val="-2"/>
          <w:sz w:val="24"/>
          <w:szCs w:val="24"/>
          <w:u w:val="single"/>
        </w:rPr>
        <w:t xml:space="preserve">, sobre lo cual citó apartes relevantes de ese fallo. </w:t>
      </w:r>
    </w:p>
    <w:p w:rsidR="00FF6C53" w:rsidRPr="00165990" w:rsidRDefault="00FF6C53" w:rsidP="00E54582">
      <w:pPr>
        <w:pStyle w:val="Prrafodelista"/>
        <w:spacing w:line="276" w:lineRule="auto"/>
        <w:rPr>
          <w:rFonts w:ascii="Arial" w:hAnsi="Arial" w:cs="Arial"/>
          <w:spacing w:val="-2"/>
        </w:rPr>
      </w:pPr>
    </w:p>
    <w:p w:rsidR="00C92C05" w:rsidRPr="00165990" w:rsidRDefault="0002196F" w:rsidP="00E54582">
      <w:pPr>
        <w:pStyle w:val="Sinespaciado"/>
        <w:numPr>
          <w:ilvl w:val="0"/>
          <w:numId w:val="1"/>
        </w:numPr>
        <w:spacing w:line="276" w:lineRule="auto"/>
        <w:jc w:val="both"/>
        <w:rPr>
          <w:rFonts w:ascii="Arial" w:hAnsi="Arial" w:cs="Arial"/>
          <w:spacing w:val="-2"/>
          <w:sz w:val="24"/>
          <w:szCs w:val="24"/>
        </w:rPr>
      </w:pPr>
      <w:r w:rsidRPr="00165990">
        <w:rPr>
          <w:rFonts w:ascii="Arial" w:hAnsi="Arial" w:cs="Arial"/>
          <w:spacing w:val="-2"/>
          <w:sz w:val="24"/>
          <w:szCs w:val="24"/>
        </w:rPr>
        <w:t>En ese precedente</w:t>
      </w:r>
      <w:r w:rsidR="00C92C05" w:rsidRPr="00165990">
        <w:rPr>
          <w:rFonts w:ascii="Arial" w:hAnsi="Arial" w:cs="Arial"/>
          <w:spacing w:val="-2"/>
          <w:sz w:val="24"/>
          <w:szCs w:val="24"/>
        </w:rPr>
        <w:t xml:space="preserve">, que debe aplicarse por tratarse de una sentencia de unificación en sede de tutela, </w:t>
      </w:r>
      <w:r w:rsidRPr="00165990">
        <w:rPr>
          <w:rFonts w:ascii="Arial" w:hAnsi="Arial" w:cs="Arial"/>
          <w:spacing w:val="-2"/>
          <w:sz w:val="24"/>
          <w:szCs w:val="24"/>
        </w:rPr>
        <w:t xml:space="preserve">la </w:t>
      </w:r>
      <w:r w:rsidR="00A80A96" w:rsidRPr="00165990">
        <w:rPr>
          <w:rFonts w:ascii="Arial" w:hAnsi="Arial" w:cs="Arial"/>
          <w:spacing w:val="-2"/>
          <w:sz w:val="24"/>
          <w:szCs w:val="24"/>
        </w:rPr>
        <w:t>C</w:t>
      </w:r>
      <w:r w:rsidR="00830AE5" w:rsidRPr="00165990">
        <w:rPr>
          <w:rFonts w:ascii="Arial" w:hAnsi="Arial" w:cs="Arial"/>
          <w:spacing w:val="-2"/>
          <w:sz w:val="24"/>
          <w:szCs w:val="24"/>
        </w:rPr>
        <w:t xml:space="preserve">orte </w:t>
      </w:r>
      <w:r w:rsidR="00A80A96" w:rsidRPr="00165990">
        <w:rPr>
          <w:rFonts w:ascii="Arial" w:hAnsi="Arial" w:cs="Arial"/>
          <w:spacing w:val="-2"/>
          <w:sz w:val="24"/>
          <w:szCs w:val="24"/>
        </w:rPr>
        <w:t xml:space="preserve">Constitucional </w:t>
      </w:r>
      <w:r w:rsidR="001E390B" w:rsidRPr="00165990">
        <w:rPr>
          <w:rFonts w:ascii="Arial" w:hAnsi="Arial" w:cs="Arial"/>
          <w:spacing w:val="-2"/>
          <w:sz w:val="24"/>
          <w:szCs w:val="24"/>
        </w:rPr>
        <w:t>considera</w:t>
      </w:r>
      <w:r w:rsidR="00830AE5" w:rsidRPr="00165990">
        <w:rPr>
          <w:rFonts w:ascii="Arial" w:hAnsi="Arial" w:cs="Arial"/>
          <w:spacing w:val="-2"/>
          <w:sz w:val="24"/>
          <w:szCs w:val="24"/>
        </w:rPr>
        <w:t xml:space="preserve"> que se necesitan elementos </w:t>
      </w:r>
      <w:r w:rsidR="00C92C05" w:rsidRPr="00165990">
        <w:rPr>
          <w:rFonts w:ascii="Arial" w:hAnsi="Arial" w:cs="Arial"/>
          <w:spacing w:val="-2"/>
          <w:sz w:val="24"/>
          <w:szCs w:val="24"/>
        </w:rPr>
        <w:t>probatorios m</w:t>
      </w:r>
      <w:r w:rsidR="00A80A96" w:rsidRPr="00165990">
        <w:rPr>
          <w:rFonts w:ascii="Arial" w:hAnsi="Arial" w:cs="Arial"/>
          <w:spacing w:val="-2"/>
          <w:sz w:val="24"/>
          <w:szCs w:val="24"/>
        </w:rPr>
        <w:t>ínimos</w:t>
      </w:r>
      <w:r w:rsidR="00830AE5" w:rsidRPr="00165990">
        <w:rPr>
          <w:rFonts w:ascii="Arial" w:hAnsi="Arial" w:cs="Arial"/>
          <w:spacing w:val="-2"/>
          <w:sz w:val="24"/>
          <w:szCs w:val="24"/>
        </w:rPr>
        <w:t xml:space="preserve"> para respaldar los hechos </w:t>
      </w:r>
      <w:r w:rsidR="00A80A96" w:rsidRPr="00165990">
        <w:rPr>
          <w:rFonts w:ascii="Arial" w:hAnsi="Arial" w:cs="Arial"/>
          <w:spacing w:val="-2"/>
          <w:sz w:val="24"/>
          <w:szCs w:val="24"/>
        </w:rPr>
        <w:t>jurídicamente</w:t>
      </w:r>
      <w:r w:rsidR="00830AE5" w:rsidRPr="00165990">
        <w:rPr>
          <w:rFonts w:ascii="Arial" w:hAnsi="Arial" w:cs="Arial"/>
          <w:spacing w:val="-2"/>
          <w:sz w:val="24"/>
          <w:szCs w:val="24"/>
        </w:rPr>
        <w:t xml:space="preserve"> </w:t>
      </w:r>
      <w:r w:rsidR="00A80A96" w:rsidRPr="00165990">
        <w:rPr>
          <w:rFonts w:ascii="Arial" w:hAnsi="Arial" w:cs="Arial"/>
          <w:spacing w:val="-2"/>
          <w:sz w:val="24"/>
          <w:szCs w:val="24"/>
        </w:rPr>
        <w:t>relevantes</w:t>
      </w:r>
      <w:r w:rsidR="00C92C05" w:rsidRPr="00165990">
        <w:rPr>
          <w:rFonts w:ascii="Arial" w:hAnsi="Arial" w:cs="Arial"/>
          <w:spacing w:val="-2"/>
          <w:sz w:val="24"/>
          <w:szCs w:val="24"/>
        </w:rPr>
        <w:t>.</w:t>
      </w:r>
    </w:p>
    <w:p w:rsidR="00C92C05" w:rsidRPr="00165990" w:rsidRDefault="00C92C05" w:rsidP="00E54582">
      <w:pPr>
        <w:pStyle w:val="Prrafodelista"/>
        <w:spacing w:line="276" w:lineRule="auto"/>
        <w:rPr>
          <w:rFonts w:ascii="Arial" w:hAnsi="Arial" w:cs="Arial"/>
          <w:spacing w:val="-2"/>
        </w:rPr>
      </w:pPr>
    </w:p>
    <w:p w:rsidR="00830AE5" w:rsidRPr="00165990" w:rsidRDefault="00C92C05" w:rsidP="00E54582">
      <w:pPr>
        <w:pStyle w:val="Sinespaciado"/>
        <w:numPr>
          <w:ilvl w:val="0"/>
          <w:numId w:val="1"/>
        </w:numPr>
        <w:spacing w:line="276" w:lineRule="auto"/>
        <w:jc w:val="both"/>
        <w:rPr>
          <w:rFonts w:ascii="Arial" w:hAnsi="Arial" w:cs="Arial"/>
          <w:spacing w:val="-2"/>
          <w:sz w:val="24"/>
          <w:szCs w:val="24"/>
        </w:rPr>
      </w:pPr>
      <w:r w:rsidRPr="00165990">
        <w:rPr>
          <w:rFonts w:ascii="Arial" w:hAnsi="Arial" w:cs="Arial"/>
          <w:spacing w:val="-2"/>
          <w:sz w:val="24"/>
          <w:szCs w:val="24"/>
        </w:rPr>
        <w:t xml:space="preserve">En el </w:t>
      </w:r>
      <w:r w:rsidR="0079711E" w:rsidRPr="00165990">
        <w:rPr>
          <w:rFonts w:ascii="Arial" w:hAnsi="Arial" w:cs="Arial"/>
          <w:spacing w:val="-2"/>
          <w:sz w:val="24"/>
          <w:szCs w:val="24"/>
        </w:rPr>
        <w:t xml:space="preserve">caso objeto de estudio </w:t>
      </w:r>
      <w:r w:rsidR="00830AE5" w:rsidRPr="00165990">
        <w:rPr>
          <w:rFonts w:ascii="Arial" w:hAnsi="Arial" w:cs="Arial"/>
          <w:spacing w:val="-2"/>
          <w:sz w:val="24"/>
          <w:szCs w:val="24"/>
        </w:rPr>
        <w:t xml:space="preserve">no se cumplen los parámetros </w:t>
      </w:r>
      <w:r w:rsidR="0079711E" w:rsidRPr="00165990">
        <w:rPr>
          <w:rFonts w:ascii="Arial" w:hAnsi="Arial" w:cs="Arial"/>
          <w:spacing w:val="-2"/>
          <w:sz w:val="24"/>
          <w:szCs w:val="24"/>
        </w:rPr>
        <w:t xml:space="preserve">exigidos </w:t>
      </w:r>
      <w:r w:rsidR="001E390B" w:rsidRPr="00165990">
        <w:rPr>
          <w:rFonts w:ascii="Arial" w:hAnsi="Arial" w:cs="Arial"/>
          <w:spacing w:val="-2"/>
          <w:sz w:val="24"/>
          <w:szCs w:val="24"/>
        </w:rPr>
        <w:t>esa Corporación,</w:t>
      </w:r>
      <w:r w:rsidR="0079711E" w:rsidRPr="00165990">
        <w:rPr>
          <w:rFonts w:ascii="Arial" w:hAnsi="Arial" w:cs="Arial"/>
          <w:spacing w:val="-2"/>
          <w:sz w:val="24"/>
          <w:szCs w:val="24"/>
        </w:rPr>
        <w:t xml:space="preserve"> ya que al ejercer</w:t>
      </w:r>
      <w:r w:rsidR="00830AE5" w:rsidRPr="00165990">
        <w:rPr>
          <w:rFonts w:ascii="Arial" w:hAnsi="Arial" w:cs="Arial"/>
          <w:spacing w:val="-2"/>
          <w:sz w:val="24"/>
          <w:szCs w:val="24"/>
        </w:rPr>
        <w:t xml:space="preserve"> un cont</w:t>
      </w:r>
      <w:r w:rsidR="0079711E" w:rsidRPr="00165990">
        <w:rPr>
          <w:rFonts w:ascii="Arial" w:hAnsi="Arial" w:cs="Arial"/>
          <w:spacing w:val="-2"/>
          <w:sz w:val="24"/>
          <w:szCs w:val="24"/>
        </w:rPr>
        <w:t>rol</w:t>
      </w:r>
      <w:r w:rsidR="00830AE5" w:rsidRPr="00165990">
        <w:rPr>
          <w:rFonts w:ascii="Arial" w:hAnsi="Arial" w:cs="Arial"/>
          <w:spacing w:val="-2"/>
          <w:sz w:val="24"/>
          <w:szCs w:val="24"/>
        </w:rPr>
        <w:t xml:space="preserve"> material </w:t>
      </w:r>
      <w:r w:rsidR="0079711E" w:rsidRPr="00165990">
        <w:rPr>
          <w:rFonts w:ascii="Arial" w:hAnsi="Arial" w:cs="Arial"/>
          <w:spacing w:val="-2"/>
          <w:sz w:val="24"/>
          <w:szCs w:val="24"/>
        </w:rPr>
        <w:t xml:space="preserve">a la acusación </w:t>
      </w:r>
      <w:r w:rsidR="00830AE5" w:rsidRPr="00165990">
        <w:rPr>
          <w:rFonts w:ascii="Arial" w:hAnsi="Arial" w:cs="Arial"/>
          <w:spacing w:val="-2"/>
          <w:sz w:val="24"/>
          <w:szCs w:val="24"/>
        </w:rPr>
        <w:t xml:space="preserve">no </w:t>
      </w:r>
      <w:r w:rsidR="0002196F" w:rsidRPr="00165990">
        <w:rPr>
          <w:rFonts w:ascii="Arial" w:hAnsi="Arial" w:cs="Arial"/>
          <w:spacing w:val="-2"/>
          <w:sz w:val="24"/>
          <w:szCs w:val="24"/>
        </w:rPr>
        <w:t>resulta ló</w:t>
      </w:r>
      <w:r w:rsidR="00BA3D68" w:rsidRPr="00165990">
        <w:rPr>
          <w:rFonts w:ascii="Arial" w:hAnsi="Arial" w:cs="Arial"/>
          <w:spacing w:val="-2"/>
          <w:sz w:val="24"/>
          <w:szCs w:val="24"/>
        </w:rPr>
        <w:t xml:space="preserve">gico ofrecer la </w:t>
      </w:r>
      <w:r w:rsidR="00830AE5" w:rsidRPr="00165990">
        <w:rPr>
          <w:rFonts w:ascii="Arial" w:hAnsi="Arial" w:cs="Arial"/>
          <w:spacing w:val="-2"/>
          <w:sz w:val="24"/>
          <w:szCs w:val="24"/>
        </w:rPr>
        <w:t xml:space="preserve">máxima rebaja </w:t>
      </w:r>
      <w:r w:rsidR="0079711E" w:rsidRPr="00165990">
        <w:rPr>
          <w:rFonts w:ascii="Arial" w:hAnsi="Arial" w:cs="Arial"/>
          <w:spacing w:val="-2"/>
          <w:sz w:val="24"/>
          <w:szCs w:val="24"/>
        </w:rPr>
        <w:t xml:space="preserve">establecida, cuando se está </w:t>
      </w:r>
      <w:r w:rsidR="0079711E" w:rsidRPr="00165990">
        <w:rPr>
          <w:rFonts w:ascii="Arial" w:hAnsi="Arial" w:cs="Arial"/>
          <w:i/>
          <w:spacing w:val="-2"/>
          <w:sz w:val="24"/>
          <w:szCs w:val="24"/>
        </w:rPr>
        <w:t>ad portas</w:t>
      </w:r>
      <w:r w:rsidR="0079711E" w:rsidRPr="00165990">
        <w:rPr>
          <w:rFonts w:ascii="Arial" w:hAnsi="Arial" w:cs="Arial"/>
          <w:spacing w:val="-2"/>
          <w:sz w:val="24"/>
          <w:szCs w:val="24"/>
        </w:rPr>
        <w:t xml:space="preserve"> de iniciar el juicio oral, </w:t>
      </w:r>
      <w:r w:rsidR="001E390B" w:rsidRPr="00165990">
        <w:rPr>
          <w:rFonts w:ascii="Arial" w:hAnsi="Arial" w:cs="Arial"/>
          <w:spacing w:val="-2"/>
          <w:sz w:val="24"/>
          <w:szCs w:val="24"/>
        </w:rPr>
        <w:t>lo que indica que</w:t>
      </w:r>
      <w:r w:rsidR="0079711E" w:rsidRPr="00165990">
        <w:rPr>
          <w:rFonts w:ascii="Arial" w:hAnsi="Arial" w:cs="Arial"/>
          <w:spacing w:val="-2"/>
          <w:sz w:val="24"/>
          <w:szCs w:val="24"/>
        </w:rPr>
        <w:t xml:space="preserve"> existió un desgaste de la judicatura</w:t>
      </w:r>
      <w:r w:rsidR="00C41947" w:rsidRPr="00165990">
        <w:rPr>
          <w:rFonts w:ascii="Arial" w:hAnsi="Arial" w:cs="Arial"/>
          <w:spacing w:val="-2"/>
          <w:sz w:val="24"/>
          <w:szCs w:val="24"/>
        </w:rPr>
        <w:t xml:space="preserve">, </w:t>
      </w:r>
      <w:r w:rsidR="0079711E" w:rsidRPr="00165990">
        <w:rPr>
          <w:rFonts w:ascii="Arial" w:hAnsi="Arial" w:cs="Arial"/>
          <w:spacing w:val="-2"/>
          <w:sz w:val="24"/>
          <w:szCs w:val="24"/>
        </w:rPr>
        <w:t>situación</w:t>
      </w:r>
      <w:r w:rsidR="00C41947" w:rsidRPr="00165990">
        <w:rPr>
          <w:rFonts w:ascii="Arial" w:hAnsi="Arial" w:cs="Arial"/>
          <w:spacing w:val="-2"/>
          <w:sz w:val="24"/>
          <w:szCs w:val="24"/>
        </w:rPr>
        <w:t xml:space="preserve"> que </w:t>
      </w:r>
      <w:r w:rsidR="0079711E" w:rsidRPr="00165990">
        <w:rPr>
          <w:rFonts w:ascii="Arial" w:hAnsi="Arial" w:cs="Arial"/>
          <w:spacing w:val="-2"/>
          <w:sz w:val="24"/>
          <w:szCs w:val="24"/>
        </w:rPr>
        <w:t>deb</w:t>
      </w:r>
      <w:r w:rsidR="00BA3D68" w:rsidRPr="00165990">
        <w:rPr>
          <w:rFonts w:ascii="Arial" w:hAnsi="Arial" w:cs="Arial"/>
          <w:spacing w:val="-2"/>
          <w:sz w:val="24"/>
          <w:szCs w:val="24"/>
        </w:rPr>
        <w:t xml:space="preserve">ió ser </w:t>
      </w:r>
      <w:r w:rsidR="0079711E" w:rsidRPr="00165990">
        <w:rPr>
          <w:rFonts w:ascii="Arial" w:hAnsi="Arial" w:cs="Arial"/>
          <w:spacing w:val="-2"/>
          <w:sz w:val="24"/>
          <w:szCs w:val="24"/>
        </w:rPr>
        <w:t>evaluada a la hora de ot</w:t>
      </w:r>
      <w:r w:rsidR="00C41947" w:rsidRPr="00165990">
        <w:rPr>
          <w:rFonts w:ascii="Arial" w:hAnsi="Arial" w:cs="Arial"/>
          <w:spacing w:val="-2"/>
          <w:sz w:val="24"/>
          <w:szCs w:val="24"/>
        </w:rPr>
        <w:t>o</w:t>
      </w:r>
      <w:r w:rsidR="0079711E" w:rsidRPr="00165990">
        <w:rPr>
          <w:rFonts w:ascii="Arial" w:hAnsi="Arial" w:cs="Arial"/>
          <w:spacing w:val="-2"/>
          <w:sz w:val="24"/>
          <w:szCs w:val="24"/>
        </w:rPr>
        <w:t>r</w:t>
      </w:r>
      <w:r w:rsidR="00C41947" w:rsidRPr="00165990">
        <w:rPr>
          <w:rFonts w:ascii="Arial" w:hAnsi="Arial" w:cs="Arial"/>
          <w:spacing w:val="-2"/>
          <w:sz w:val="24"/>
          <w:szCs w:val="24"/>
        </w:rPr>
        <w:t>gar</w:t>
      </w:r>
      <w:r w:rsidR="00BA3D68" w:rsidRPr="00165990">
        <w:rPr>
          <w:rFonts w:ascii="Arial" w:hAnsi="Arial" w:cs="Arial"/>
          <w:spacing w:val="-2"/>
          <w:sz w:val="24"/>
          <w:szCs w:val="24"/>
        </w:rPr>
        <w:t xml:space="preserve">le al procesado una </w:t>
      </w:r>
      <w:r w:rsidR="00C41947" w:rsidRPr="00165990">
        <w:rPr>
          <w:rFonts w:ascii="Arial" w:hAnsi="Arial" w:cs="Arial"/>
          <w:spacing w:val="-2"/>
          <w:sz w:val="24"/>
          <w:szCs w:val="24"/>
        </w:rPr>
        <w:t>rebaja tan extrema</w:t>
      </w:r>
      <w:r w:rsidR="0037675F" w:rsidRPr="00165990">
        <w:rPr>
          <w:rFonts w:ascii="Arial" w:hAnsi="Arial" w:cs="Arial"/>
          <w:spacing w:val="-2"/>
          <w:sz w:val="24"/>
          <w:szCs w:val="24"/>
        </w:rPr>
        <w:t xml:space="preserve"> en virtud de la degradación del cargo de autor, a cómplice de la violación del artículo 376-2 del CP.</w:t>
      </w:r>
      <w:r w:rsidR="0079711E" w:rsidRPr="00165990">
        <w:rPr>
          <w:rFonts w:ascii="Arial" w:hAnsi="Arial" w:cs="Arial"/>
          <w:spacing w:val="-2"/>
          <w:sz w:val="24"/>
          <w:szCs w:val="24"/>
        </w:rPr>
        <w:t>.</w:t>
      </w:r>
    </w:p>
    <w:p w:rsidR="00C41947" w:rsidRPr="00165990" w:rsidRDefault="00C41947" w:rsidP="00E54582">
      <w:pPr>
        <w:pStyle w:val="Prrafodelista"/>
        <w:spacing w:line="276" w:lineRule="auto"/>
        <w:rPr>
          <w:rFonts w:ascii="Arial" w:hAnsi="Arial" w:cs="Arial"/>
          <w:spacing w:val="-2"/>
        </w:rPr>
      </w:pPr>
    </w:p>
    <w:p w:rsidR="00C41947" w:rsidRPr="00165990" w:rsidRDefault="001E390B" w:rsidP="00E54582">
      <w:pPr>
        <w:pStyle w:val="Sinespaciado"/>
        <w:numPr>
          <w:ilvl w:val="0"/>
          <w:numId w:val="1"/>
        </w:numPr>
        <w:spacing w:line="276" w:lineRule="auto"/>
        <w:jc w:val="both"/>
        <w:rPr>
          <w:rFonts w:ascii="Arial" w:hAnsi="Arial" w:cs="Arial"/>
          <w:spacing w:val="-2"/>
          <w:sz w:val="24"/>
          <w:szCs w:val="24"/>
        </w:rPr>
      </w:pPr>
      <w:r w:rsidRPr="00165990">
        <w:rPr>
          <w:rFonts w:ascii="Arial" w:hAnsi="Arial" w:cs="Arial"/>
          <w:spacing w:val="-2"/>
          <w:sz w:val="24"/>
          <w:szCs w:val="24"/>
        </w:rPr>
        <w:t>Pese a que la sentencia</w:t>
      </w:r>
      <w:r w:rsidR="00AD05AF" w:rsidRPr="00165990">
        <w:rPr>
          <w:rFonts w:ascii="Arial" w:hAnsi="Arial" w:cs="Arial"/>
          <w:spacing w:val="-2"/>
          <w:sz w:val="24"/>
          <w:szCs w:val="24"/>
        </w:rPr>
        <w:t xml:space="preserve"> SU</w:t>
      </w:r>
      <w:r w:rsidR="00BA3D68" w:rsidRPr="00165990">
        <w:rPr>
          <w:rFonts w:ascii="Arial" w:hAnsi="Arial" w:cs="Arial"/>
          <w:spacing w:val="-2"/>
          <w:sz w:val="24"/>
          <w:szCs w:val="24"/>
        </w:rPr>
        <w:t xml:space="preserve">- </w:t>
      </w:r>
      <w:r w:rsidR="004314E4" w:rsidRPr="00165990">
        <w:rPr>
          <w:rFonts w:ascii="Arial" w:hAnsi="Arial" w:cs="Arial"/>
          <w:spacing w:val="-2"/>
          <w:sz w:val="24"/>
          <w:szCs w:val="24"/>
        </w:rPr>
        <w:t>479</w:t>
      </w:r>
      <w:r w:rsidR="0079711E" w:rsidRPr="00165990">
        <w:rPr>
          <w:rFonts w:ascii="Arial" w:hAnsi="Arial" w:cs="Arial"/>
          <w:spacing w:val="-2"/>
          <w:sz w:val="24"/>
          <w:szCs w:val="24"/>
        </w:rPr>
        <w:t xml:space="preserve"> de 2019</w:t>
      </w:r>
      <w:r w:rsidR="00AD05AF" w:rsidRPr="00165990">
        <w:rPr>
          <w:rFonts w:ascii="Arial" w:hAnsi="Arial" w:cs="Arial"/>
          <w:spacing w:val="-2"/>
          <w:sz w:val="24"/>
          <w:szCs w:val="24"/>
        </w:rPr>
        <w:t xml:space="preserve"> </w:t>
      </w:r>
      <w:r w:rsidR="00C92C05" w:rsidRPr="00165990">
        <w:rPr>
          <w:rFonts w:ascii="Arial" w:hAnsi="Arial" w:cs="Arial"/>
          <w:spacing w:val="-2"/>
          <w:sz w:val="24"/>
          <w:szCs w:val="24"/>
        </w:rPr>
        <w:t>examinó el tema del reconocimiento de situaciones de marginalidad, igualmente indicó que e</w:t>
      </w:r>
      <w:r w:rsidRPr="00165990">
        <w:rPr>
          <w:rFonts w:ascii="Arial" w:hAnsi="Arial" w:cs="Arial"/>
          <w:spacing w:val="-2"/>
          <w:sz w:val="24"/>
          <w:szCs w:val="24"/>
        </w:rPr>
        <w:t>n materia de preacuerdos, no se</w:t>
      </w:r>
      <w:r w:rsidR="00AD05AF" w:rsidRPr="00165990">
        <w:rPr>
          <w:rFonts w:ascii="Arial" w:hAnsi="Arial" w:cs="Arial"/>
          <w:spacing w:val="-2"/>
          <w:sz w:val="24"/>
          <w:szCs w:val="24"/>
        </w:rPr>
        <w:t xml:space="preserve"> </w:t>
      </w:r>
      <w:r w:rsidR="0079711E" w:rsidRPr="00165990">
        <w:rPr>
          <w:rFonts w:ascii="Arial" w:hAnsi="Arial" w:cs="Arial"/>
          <w:spacing w:val="-2"/>
          <w:sz w:val="24"/>
          <w:szCs w:val="24"/>
        </w:rPr>
        <w:t>pueden</w:t>
      </w:r>
      <w:r w:rsidR="00AD05AF" w:rsidRPr="00165990">
        <w:rPr>
          <w:rFonts w:ascii="Arial" w:hAnsi="Arial" w:cs="Arial"/>
          <w:spacing w:val="-2"/>
          <w:sz w:val="24"/>
          <w:szCs w:val="24"/>
        </w:rPr>
        <w:t xml:space="preserve"> desconocer </w:t>
      </w:r>
      <w:r w:rsidR="0079711E" w:rsidRPr="00165990">
        <w:rPr>
          <w:rFonts w:ascii="Arial" w:hAnsi="Arial" w:cs="Arial"/>
          <w:spacing w:val="-2"/>
          <w:sz w:val="24"/>
          <w:szCs w:val="24"/>
        </w:rPr>
        <w:t>las circunstancias</w:t>
      </w:r>
      <w:r w:rsidR="00AD05AF" w:rsidRPr="00165990">
        <w:rPr>
          <w:rFonts w:ascii="Arial" w:hAnsi="Arial" w:cs="Arial"/>
          <w:spacing w:val="-2"/>
          <w:sz w:val="24"/>
          <w:szCs w:val="24"/>
        </w:rPr>
        <w:t xml:space="preserve"> fácticas</w:t>
      </w:r>
      <w:r w:rsidR="0037675F" w:rsidRPr="00165990">
        <w:rPr>
          <w:rFonts w:ascii="Arial" w:hAnsi="Arial" w:cs="Arial"/>
          <w:spacing w:val="-2"/>
          <w:sz w:val="24"/>
          <w:szCs w:val="24"/>
        </w:rPr>
        <w:t xml:space="preserve"> del caso </w:t>
      </w:r>
      <w:r w:rsidRPr="00165990">
        <w:rPr>
          <w:rFonts w:ascii="Arial" w:hAnsi="Arial" w:cs="Arial"/>
          <w:spacing w:val="-2"/>
          <w:sz w:val="24"/>
          <w:szCs w:val="24"/>
        </w:rPr>
        <w:t>sometido a investigación penal,</w:t>
      </w:r>
      <w:r w:rsidR="00AD05AF" w:rsidRPr="00165990">
        <w:rPr>
          <w:rFonts w:ascii="Arial" w:hAnsi="Arial" w:cs="Arial"/>
          <w:spacing w:val="-2"/>
          <w:sz w:val="24"/>
          <w:szCs w:val="24"/>
        </w:rPr>
        <w:t xml:space="preserve"> y en el asunto de la r</w:t>
      </w:r>
      <w:r w:rsidR="00F34345" w:rsidRPr="00165990">
        <w:rPr>
          <w:rFonts w:ascii="Arial" w:hAnsi="Arial" w:cs="Arial"/>
          <w:spacing w:val="-2"/>
          <w:sz w:val="24"/>
          <w:szCs w:val="24"/>
        </w:rPr>
        <w:t xml:space="preserve">eferencia existe un informe de captura </w:t>
      </w:r>
      <w:r w:rsidR="00BA3D68" w:rsidRPr="00165990">
        <w:rPr>
          <w:rFonts w:ascii="Arial" w:hAnsi="Arial" w:cs="Arial"/>
          <w:spacing w:val="-2"/>
          <w:sz w:val="24"/>
          <w:szCs w:val="24"/>
        </w:rPr>
        <w:t>en</w:t>
      </w:r>
      <w:r w:rsidR="00F34345" w:rsidRPr="00165990">
        <w:rPr>
          <w:rFonts w:ascii="Arial" w:hAnsi="Arial" w:cs="Arial"/>
          <w:spacing w:val="-2"/>
          <w:sz w:val="24"/>
          <w:szCs w:val="24"/>
        </w:rPr>
        <w:t xml:space="preserve"> flagrancia en el que se </w:t>
      </w:r>
      <w:r w:rsidR="00CF4628" w:rsidRPr="00165990">
        <w:rPr>
          <w:rFonts w:ascii="Arial" w:hAnsi="Arial" w:cs="Arial"/>
          <w:spacing w:val="-2"/>
          <w:sz w:val="24"/>
          <w:szCs w:val="24"/>
        </w:rPr>
        <w:t>plasmó</w:t>
      </w:r>
      <w:r w:rsidR="00F34345" w:rsidRPr="00165990">
        <w:rPr>
          <w:rFonts w:ascii="Arial" w:hAnsi="Arial" w:cs="Arial"/>
          <w:spacing w:val="-2"/>
          <w:sz w:val="24"/>
          <w:szCs w:val="24"/>
        </w:rPr>
        <w:t xml:space="preserve"> que </w:t>
      </w:r>
      <w:r w:rsidR="00CF4628" w:rsidRPr="00165990">
        <w:rPr>
          <w:rFonts w:ascii="Arial" w:hAnsi="Arial" w:cs="Arial"/>
          <w:spacing w:val="-2"/>
          <w:sz w:val="24"/>
          <w:szCs w:val="24"/>
        </w:rPr>
        <w:t xml:space="preserve">unos </w:t>
      </w:r>
      <w:r w:rsidR="00F34345" w:rsidRPr="00165990">
        <w:rPr>
          <w:rFonts w:ascii="Arial" w:hAnsi="Arial" w:cs="Arial"/>
          <w:spacing w:val="-2"/>
          <w:sz w:val="24"/>
          <w:szCs w:val="24"/>
        </w:rPr>
        <w:t xml:space="preserve">miembros de la policía vieron en actitud nerviosa al señor </w:t>
      </w:r>
      <w:proofErr w:type="spellStart"/>
      <w:r w:rsidR="005D5D2D" w:rsidRPr="00165990">
        <w:rPr>
          <w:rFonts w:ascii="Arial" w:hAnsi="Arial" w:cs="Arial"/>
          <w:spacing w:val="-2"/>
          <w:sz w:val="24"/>
          <w:szCs w:val="24"/>
        </w:rPr>
        <w:t>AMM</w:t>
      </w:r>
      <w:proofErr w:type="spellEnd"/>
      <w:r w:rsidR="00F34345" w:rsidRPr="00165990">
        <w:rPr>
          <w:rFonts w:ascii="Arial" w:hAnsi="Arial" w:cs="Arial"/>
          <w:spacing w:val="-2"/>
          <w:sz w:val="24"/>
          <w:szCs w:val="24"/>
        </w:rPr>
        <w:t xml:space="preserve">, </w:t>
      </w:r>
      <w:r w:rsidR="00CF4628" w:rsidRPr="00165990">
        <w:rPr>
          <w:rFonts w:ascii="Arial" w:hAnsi="Arial" w:cs="Arial"/>
          <w:spacing w:val="-2"/>
          <w:sz w:val="24"/>
          <w:szCs w:val="24"/>
        </w:rPr>
        <w:t>haciendo referencia de manera exclusiva a</w:t>
      </w:r>
      <w:r w:rsidR="0014207F" w:rsidRPr="00165990">
        <w:rPr>
          <w:rFonts w:ascii="Arial" w:hAnsi="Arial" w:cs="Arial"/>
          <w:spacing w:val="-2"/>
          <w:sz w:val="24"/>
          <w:szCs w:val="24"/>
        </w:rPr>
        <w:t xml:space="preserve"> esa persona,</w:t>
      </w:r>
      <w:r w:rsidR="00CF4628" w:rsidRPr="00165990">
        <w:rPr>
          <w:rFonts w:ascii="Arial" w:hAnsi="Arial" w:cs="Arial"/>
          <w:spacing w:val="-2"/>
          <w:sz w:val="24"/>
          <w:szCs w:val="24"/>
        </w:rPr>
        <w:t xml:space="preserve"> </w:t>
      </w:r>
      <w:r w:rsidR="00142B31" w:rsidRPr="00165990">
        <w:rPr>
          <w:rFonts w:ascii="Arial" w:hAnsi="Arial" w:cs="Arial"/>
          <w:spacing w:val="-2"/>
          <w:sz w:val="24"/>
          <w:szCs w:val="24"/>
        </w:rPr>
        <w:t xml:space="preserve"> quien </w:t>
      </w:r>
      <w:r w:rsidR="00811AD6" w:rsidRPr="00165990">
        <w:rPr>
          <w:rFonts w:ascii="Arial" w:hAnsi="Arial" w:cs="Arial"/>
          <w:spacing w:val="-2"/>
          <w:sz w:val="24"/>
          <w:szCs w:val="24"/>
        </w:rPr>
        <w:t xml:space="preserve">al </w:t>
      </w:r>
      <w:r w:rsidR="00F34345" w:rsidRPr="00165990">
        <w:rPr>
          <w:rFonts w:ascii="Arial" w:hAnsi="Arial" w:cs="Arial"/>
          <w:spacing w:val="-2"/>
          <w:sz w:val="24"/>
          <w:szCs w:val="24"/>
        </w:rPr>
        <w:t xml:space="preserve">hacerle el requerimiento </w:t>
      </w:r>
      <w:r w:rsidR="004F607B" w:rsidRPr="00165990">
        <w:rPr>
          <w:rFonts w:ascii="Arial" w:hAnsi="Arial" w:cs="Arial"/>
          <w:spacing w:val="-2"/>
          <w:sz w:val="24"/>
          <w:szCs w:val="24"/>
        </w:rPr>
        <w:t xml:space="preserve">respectivo, hizo entrega de la </w:t>
      </w:r>
      <w:r w:rsidR="00811AD6" w:rsidRPr="00165990">
        <w:rPr>
          <w:rFonts w:ascii="Arial" w:hAnsi="Arial" w:cs="Arial"/>
          <w:spacing w:val="-2"/>
          <w:sz w:val="24"/>
          <w:szCs w:val="24"/>
        </w:rPr>
        <w:t>sustancia ilícita que portaba</w:t>
      </w:r>
      <w:r w:rsidR="004F607B" w:rsidRPr="00165990">
        <w:rPr>
          <w:rFonts w:ascii="Arial" w:hAnsi="Arial" w:cs="Arial"/>
          <w:spacing w:val="-2"/>
          <w:sz w:val="24"/>
          <w:szCs w:val="24"/>
        </w:rPr>
        <w:t>,</w:t>
      </w:r>
      <w:r w:rsidR="00811AD6" w:rsidRPr="00165990">
        <w:rPr>
          <w:rFonts w:ascii="Arial" w:hAnsi="Arial" w:cs="Arial"/>
          <w:spacing w:val="-2"/>
          <w:sz w:val="24"/>
          <w:szCs w:val="24"/>
        </w:rPr>
        <w:t xml:space="preserve"> la cual resultó</w:t>
      </w:r>
      <w:r w:rsidR="004F607B" w:rsidRPr="00165990">
        <w:rPr>
          <w:rFonts w:ascii="Arial" w:hAnsi="Arial" w:cs="Arial"/>
          <w:spacing w:val="-2"/>
          <w:sz w:val="24"/>
          <w:szCs w:val="24"/>
        </w:rPr>
        <w:t xml:space="preserve"> ser cocaína</w:t>
      </w:r>
      <w:r w:rsidR="00BA3D68" w:rsidRPr="00165990">
        <w:rPr>
          <w:rFonts w:ascii="Arial" w:hAnsi="Arial" w:cs="Arial"/>
          <w:spacing w:val="-2"/>
          <w:sz w:val="24"/>
          <w:szCs w:val="24"/>
        </w:rPr>
        <w:t xml:space="preserve">, con un peso de 17.2 gramos, que venía </w:t>
      </w:r>
      <w:r w:rsidR="004F607B" w:rsidRPr="00165990">
        <w:rPr>
          <w:rFonts w:ascii="Arial" w:hAnsi="Arial" w:cs="Arial"/>
          <w:spacing w:val="-2"/>
          <w:sz w:val="24"/>
          <w:szCs w:val="24"/>
        </w:rPr>
        <w:t xml:space="preserve">distribuida en </w:t>
      </w:r>
      <w:r w:rsidR="0014207F" w:rsidRPr="00165990">
        <w:rPr>
          <w:rFonts w:ascii="Arial" w:hAnsi="Arial" w:cs="Arial"/>
          <w:spacing w:val="-2"/>
          <w:sz w:val="24"/>
          <w:szCs w:val="24"/>
        </w:rPr>
        <w:t xml:space="preserve">180 </w:t>
      </w:r>
      <w:r w:rsidR="004F607B" w:rsidRPr="00165990">
        <w:rPr>
          <w:rFonts w:ascii="Arial" w:hAnsi="Arial" w:cs="Arial"/>
          <w:spacing w:val="-2"/>
          <w:sz w:val="24"/>
          <w:szCs w:val="24"/>
        </w:rPr>
        <w:t xml:space="preserve">papeletas. </w:t>
      </w:r>
    </w:p>
    <w:p w:rsidR="00BA1B2D" w:rsidRPr="00165990" w:rsidRDefault="00BA1B2D" w:rsidP="00E54582">
      <w:pPr>
        <w:pStyle w:val="Prrafodelista"/>
        <w:spacing w:line="276" w:lineRule="auto"/>
        <w:rPr>
          <w:rFonts w:ascii="Arial" w:hAnsi="Arial" w:cs="Arial"/>
          <w:spacing w:val="-2"/>
        </w:rPr>
      </w:pPr>
    </w:p>
    <w:p w:rsidR="00DC6544" w:rsidRPr="00165990" w:rsidRDefault="00597799" w:rsidP="00E54582">
      <w:pPr>
        <w:pStyle w:val="Prrafodelista"/>
        <w:numPr>
          <w:ilvl w:val="0"/>
          <w:numId w:val="1"/>
        </w:numPr>
        <w:spacing w:line="276" w:lineRule="auto"/>
        <w:jc w:val="both"/>
        <w:rPr>
          <w:rFonts w:ascii="Arial" w:hAnsi="Arial" w:cs="Arial"/>
          <w:spacing w:val="-2"/>
        </w:rPr>
      </w:pPr>
      <w:r w:rsidRPr="00165990">
        <w:rPr>
          <w:rFonts w:ascii="Arial" w:hAnsi="Arial" w:cs="Arial"/>
          <w:spacing w:val="-2"/>
        </w:rPr>
        <w:t>De lo anterior se deduce que</w:t>
      </w:r>
      <w:r w:rsidR="00BA1B2D" w:rsidRPr="00165990">
        <w:rPr>
          <w:rFonts w:ascii="Arial" w:hAnsi="Arial" w:cs="Arial"/>
          <w:spacing w:val="-2"/>
        </w:rPr>
        <w:t xml:space="preserve"> </w:t>
      </w:r>
      <w:r w:rsidRPr="00165990">
        <w:rPr>
          <w:rFonts w:ascii="Arial" w:hAnsi="Arial" w:cs="Arial"/>
          <w:spacing w:val="-2"/>
        </w:rPr>
        <w:t>la complicidad no puede predicarse en aquellos delitos en los que existe un</w:t>
      </w:r>
      <w:r w:rsidR="00BA1B2D" w:rsidRPr="00165990">
        <w:rPr>
          <w:rFonts w:ascii="Arial" w:hAnsi="Arial" w:cs="Arial"/>
          <w:spacing w:val="-2"/>
        </w:rPr>
        <w:t xml:space="preserve"> solo autor, </w:t>
      </w:r>
      <w:r w:rsidR="00DB0084" w:rsidRPr="00165990">
        <w:rPr>
          <w:rFonts w:ascii="Arial" w:hAnsi="Arial" w:cs="Arial"/>
          <w:spacing w:val="-2"/>
        </w:rPr>
        <w:t>pues aquella figura jurídica exige la</w:t>
      </w:r>
      <w:r w:rsidR="00BA1B2D" w:rsidRPr="00165990">
        <w:rPr>
          <w:rFonts w:ascii="Arial" w:hAnsi="Arial" w:cs="Arial"/>
          <w:spacing w:val="-2"/>
        </w:rPr>
        <w:t xml:space="preserve"> pluralidad de personas (autor y cómplice)</w:t>
      </w:r>
      <w:r w:rsidR="00DB0084" w:rsidRPr="00165990">
        <w:rPr>
          <w:rFonts w:ascii="Arial" w:hAnsi="Arial" w:cs="Arial"/>
          <w:spacing w:val="-2"/>
        </w:rPr>
        <w:t xml:space="preserve">, </w:t>
      </w:r>
      <w:r w:rsidR="00BA3D68" w:rsidRPr="00165990">
        <w:rPr>
          <w:rFonts w:ascii="Arial" w:hAnsi="Arial" w:cs="Arial"/>
          <w:spacing w:val="-2"/>
        </w:rPr>
        <w:t>lo que no ocurre en el presente caso</w:t>
      </w:r>
      <w:r w:rsidR="0014207F" w:rsidRPr="00165990">
        <w:rPr>
          <w:rFonts w:ascii="Arial" w:hAnsi="Arial" w:cs="Arial"/>
          <w:spacing w:val="-2"/>
        </w:rPr>
        <w:t xml:space="preserve"> donde al acusado actuó solo.</w:t>
      </w:r>
    </w:p>
    <w:p w:rsidR="00DC6544" w:rsidRPr="00165990" w:rsidRDefault="00DC6544" w:rsidP="00E54582">
      <w:pPr>
        <w:pStyle w:val="Prrafodelista"/>
        <w:spacing w:line="276" w:lineRule="auto"/>
        <w:rPr>
          <w:rFonts w:ascii="Arial" w:hAnsi="Arial" w:cs="Arial"/>
          <w:spacing w:val="-2"/>
        </w:rPr>
      </w:pPr>
    </w:p>
    <w:p w:rsidR="0096151C" w:rsidRPr="00165990" w:rsidRDefault="0014207F" w:rsidP="00E54582">
      <w:pPr>
        <w:pStyle w:val="Prrafodelista"/>
        <w:numPr>
          <w:ilvl w:val="0"/>
          <w:numId w:val="1"/>
        </w:numPr>
        <w:spacing w:line="276" w:lineRule="auto"/>
        <w:jc w:val="both"/>
        <w:rPr>
          <w:rFonts w:ascii="Arial" w:hAnsi="Arial" w:cs="Arial"/>
          <w:spacing w:val="-2"/>
        </w:rPr>
      </w:pPr>
      <w:r w:rsidRPr="00165990">
        <w:rPr>
          <w:rFonts w:ascii="Arial" w:hAnsi="Arial" w:cs="Arial"/>
          <w:spacing w:val="-2"/>
        </w:rPr>
        <w:t>A</w:t>
      </w:r>
      <w:r w:rsidR="00DC6544" w:rsidRPr="00165990">
        <w:rPr>
          <w:rFonts w:ascii="Arial" w:hAnsi="Arial" w:cs="Arial"/>
          <w:spacing w:val="-2"/>
        </w:rPr>
        <w:t xml:space="preserve">lgunos fiscales </w:t>
      </w:r>
      <w:r w:rsidRPr="00165990">
        <w:rPr>
          <w:rFonts w:ascii="Arial" w:hAnsi="Arial" w:cs="Arial"/>
          <w:spacing w:val="-2"/>
        </w:rPr>
        <w:t xml:space="preserve">sostienen </w:t>
      </w:r>
      <w:r w:rsidR="00DC6544" w:rsidRPr="00165990">
        <w:rPr>
          <w:rFonts w:ascii="Arial" w:hAnsi="Arial" w:cs="Arial"/>
          <w:spacing w:val="-2"/>
        </w:rPr>
        <w:t xml:space="preserve">que las sustancias ilícitas </w:t>
      </w:r>
      <w:r w:rsidR="00847B0F" w:rsidRPr="00165990">
        <w:rPr>
          <w:rFonts w:ascii="Arial" w:hAnsi="Arial" w:cs="Arial"/>
          <w:spacing w:val="-2"/>
        </w:rPr>
        <w:t xml:space="preserve">pueden </w:t>
      </w:r>
      <w:r w:rsidR="00DC6544" w:rsidRPr="00165990">
        <w:rPr>
          <w:rFonts w:ascii="Arial" w:hAnsi="Arial" w:cs="Arial"/>
          <w:spacing w:val="-2"/>
        </w:rPr>
        <w:t>prov</w:t>
      </w:r>
      <w:r w:rsidR="00847B0F" w:rsidRPr="00165990">
        <w:rPr>
          <w:rFonts w:ascii="Arial" w:hAnsi="Arial" w:cs="Arial"/>
          <w:spacing w:val="-2"/>
        </w:rPr>
        <w:t>enir de una</w:t>
      </w:r>
      <w:r w:rsidR="00DC6544" w:rsidRPr="00165990">
        <w:rPr>
          <w:rFonts w:ascii="Arial" w:hAnsi="Arial" w:cs="Arial"/>
          <w:spacing w:val="-2"/>
        </w:rPr>
        <w:t xml:space="preserve"> organización criminal y que por lo tanto se </w:t>
      </w:r>
      <w:r w:rsidR="00BA1B2D" w:rsidRPr="00165990">
        <w:rPr>
          <w:rFonts w:ascii="Arial" w:hAnsi="Arial" w:cs="Arial"/>
          <w:spacing w:val="-2"/>
        </w:rPr>
        <w:t xml:space="preserve">entiende que hay </w:t>
      </w:r>
      <w:r w:rsidR="00DC6544" w:rsidRPr="00165990">
        <w:rPr>
          <w:rFonts w:ascii="Arial" w:hAnsi="Arial" w:cs="Arial"/>
          <w:spacing w:val="-2"/>
        </w:rPr>
        <w:t>una pluralidad de</w:t>
      </w:r>
      <w:r w:rsidR="00BA1B2D" w:rsidRPr="00165990">
        <w:rPr>
          <w:rFonts w:ascii="Arial" w:hAnsi="Arial" w:cs="Arial"/>
          <w:spacing w:val="-2"/>
        </w:rPr>
        <w:t xml:space="preserve"> personas involucradas</w:t>
      </w:r>
      <w:r w:rsidR="00DC6544" w:rsidRPr="00165990">
        <w:rPr>
          <w:rFonts w:ascii="Arial" w:hAnsi="Arial" w:cs="Arial"/>
          <w:spacing w:val="-2"/>
        </w:rPr>
        <w:t>,</w:t>
      </w:r>
      <w:r w:rsidR="00BA1B2D" w:rsidRPr="00165990">
        <w:rPr>
          <w:rFonts w:ascii="Arial" w:hAnsi="Arial" w:cs="Arial"/>
          <w:spacing w:val="-2"/>
        </w:rPr>
        <w:t xml:space="preserve"> </w:t>
      </w:r>
      <w:r w:rsidR="00847B0F" w:rsidRPr="00165990">
        <w:rPr>
          <w:rFonts w:ascii="Arial" w:hAnsi="Arial" w:cs="Arial"/>
          <w:spacing w:val="-2"/>
        </w:rPr>
        <w:t xml:space="preserve">y que </w:t>
      </w:r>
      <w:r w:rsidR="00BA1B2D" w:rsidRPr="00165990">
        <w:rPr>
          <w:rFonts w:ascii="Arial" w:hAnsi="Arial" w:cs="Arial"/>
          <w:spacing w:val="-2"/>
        </w:rPr>
        <w:t xml:space="preserve">entonces </w:t>
      </w:r>
      <w:r w:rsidR="00535ABC" w:rsidRPr="00165990">
        <w:rPr>
          <w:rFonts w:ascii="Arial" w:hAnsi="Arial" w:cs="Arial"/>
          <w:spacing w:val="-2"/>
        </w:rPr>
        <w:t xml:space="preserve">se podría hablar de la </w:t>
      </w:r>
      <w:r w:rsidR="0037675F" w:rsidRPr="00165990">
        <w:rPr>
          <w:rFonts w:ascii="Arial" w:hAnsi="Arial" w:cs="Arial"/>
          <w:spacing w:val="-2"/>
        </w:rPr>
        <w:t xml:space="preserve">figura de la </w:t>
      </w:r>
      <w:r w:rsidR="00535ABC" w:rsidRPr="00165990">
        <w:rPr>
          <w:rFonts w:ascii="Arial" w:hAnsi="Arial" w:cs="Arial"/>
          <w:spacing w:val="-2"/>
        </w:rPr>
        <w:t>complicidad</w:t>
      </w:r>
      <w:r w:rsidR="00847B0F" w:rsidRPr="00165990">
        <w:rPr>
          <w:rFonts w:ascii="Arial" w:hAnsi="Arial" w:cs="Arial"/>
          <w:spacing w:val="-2"/>
        </w:rPr>
        <w:t>. Sin embargo de at</w:t>
      </w:r>
      <w:r w:rsidR="001F1884" w:rsidRPr="00165990">
        <w:rPr>
          <w:rFonts w:ascii="Arial" w:hAnsi="Arial" w:cs="Arial"/>
          <w:spacing w:val="-2"/>
        </w:rPr>
        <w:t>enderse</w:t>
      </w:r>
      <w:r w:rsidR="00847B0F" w:rsidRPr="00165990">
        <w:rPr>
          <w:rFonts w:ascii="Arial" w:hAnsi="Arial" w:cs="Arial"/>
          <w:spacing w:val="-2"/>
        </w:rPr>
        <w:t xml:space="preserve"> a es</w:t>
      </w:r>
      <w:r w:rsidRPr="00165990">
        <w:rPr>
          <w:rFonts w:ascii="Arial" w:hAnsi="Arial" w:cs="Arial"/>
          <w:spacing w:val="-2"/>
        </w:rPr>
        <w:t xml:space="preserve">a regla de experiencia, </w:t>
      </w:r>
      <w:r w:rsidR="00847B0F" w:rsidRPr="00165990">
        <w:rPr>
          <w:rFonts w:ascii="Arial" w:hAnsi="Arial" w:cs="Arial"/>
          <w:spacing w:val="-2"/>
        </w:rPr>
        <w:t>ello</w:t>
      </w:r>
      <w:r w:rsidR="001F1884" w:rsidRPr="00165990">
        <w:rPr>
          <w:rFonts w:ascii="Arial" w:hAnsi="Arial" w:cs="Arial"/>
          <w:spacing w:val="-2"/>
        </w:rPr>
        <w:t xml:space="preserve"> conllevaría</w:t>
      </w:r>
      <w:r w:rsidR="00BA1B2D" w:rsidRPr="00165990">
        <w:rPr>
          <w:rFonts w:ascii="Arial" w:hAnsi="Arial" w:cs="Arial"/>
          <w:spacing w:val="-2"/>
        </w:rPr>
        <w:t xml:space="preserve"> </w:t>
      </w:r>
      <w:r w:rsidR="0037675F" w:rsidRPr="00165990">
        <w:rPr>
          <w:rFonts w:ascii="Arial" w:hAnsi="Arial" w:cs="Arial"/>
          <w:spacing w:val="-2"/>
        </w:rPr>
        <w:t xml:space="preserve">a que en esos casos la </w:t>
      </w:r>
      <w:r w:rsidR="00535ABC" w:rsidRPr="00165990">
        <w:rPr>
          <w:rFonts w:ascii="Arial" w:hAnsi="Arial" w:cs="Arial"/>
          <w:spacing w:val="-2"/>
        </w:rPr>
        <w:t>FGN siempre debería imputar el delito de concierto para delinquir</w:t>
      </w:r>
      <w:r w:rsidR="001F1884" w:rsidRPr="00165990">
        <w:rPr>
          <w:rFonts w:ascii="Arial" w:hAnsi="Arial" w:cs="Arial"/>
          <w:spacing w:val="-2"/>
        </w:rPr>
        <w:t>,</w:t>
      </w:r>
      <w:r w:rsidR="00535ABC" w:rsidRPr="00165990">
        <w:rPr>
          <w:rFonts w:ascii="Arial" w:hAnsi="Arial" w:cs="Arial"/>
          <w:spacing w:val="-2"/>
        </w:rPr>
        <w:t xml:space="preserve"> </w:t>
      </w:r>
      <w:r w:rsidR="00BA1B2D" w:rsidRPr="00165990">
        <w:rPr>
          <w:rFonts w:ascii="Arial" w:hAnsi="Arial" w:cs="Arial"/>
          <w:spacing w:val="-2"/>
        </w:rPr>
        <w:t xml:space="preserve">o </w:t>
      </w:r>
      <w:r w:rsidR="00535ABC" w:rsidRPr="00165990">
        <w:rPr>
          <w:rFonts w:ascii="Arial" w:hAnsi="Arial" w:cs="Arial"/>
          <w:spacing w:val="-2"/>
        </w:rPr>
        <w:t>la</w:t>
      </w:r>
      <w:r w:rsidR="00BA1B2D" w:rsidRPr="00165990">
        <w:rPr>
          <w:rFonts w:ascii="Arial" w:hAnsi="Arial" w:cs="Arial"/>
          <w:spacing w:val="-2"/>
        </w:rPr>
        <w:t xml:space="preserve"> circunstancia de mayor punibilidad</w:t>
      </w:r>
      <w:r w:rsidRPr="00165990">
        <w:rPr>
          <w:rFonts w:ascii="Arial" w:hAnsi="Arial" w:cs="Arial"/>
          <w:spacing w:val="-2"/>
        </w:rPr>
        <w:t xml:space="preserve"> por la intervención de un suje</w:t>
      </w:r>
      <w:r w:rsidR="001F1884" w:rsidRPr="00165990">
        <w:rPr>
          <w:rFonts w:ascii="Arial" w:hAnsi="Arial" w:cs="Arial"/>
          <w:spacing w:val="-2"/>
        </w:rPr>
        <w:t>to activo plural en el delito, así</w:t>
      </w:r>
      <w:r w:rsidR="00A6542F" w:rsidRPr="00165990">
        <w:rPr>
          <w:rFonts w:ascii="Arial" w:hAnsi="Arial" w:cs="Arial"/>
          <w:spacing w:val="-2"/>
        </w:rPr>
        <w:t xml:space="preserve"> este sea </w:t>
      </w:r>
      <w:r w:rsidR="001F1884" w:rsidRPr="00165990">
        <w:rPr>
          <w:rFonts w:ascii="Arial" w:hAnsi="Arial" w:cs="Arial"/>
          <w:spacing w:val="-2"/>
        </w:rPr>
        <w:t>unipersonal,</w:t>
      </w:r>
      <w:r w:rsidRPr="00165990">
        <w:rPr>
          <w:rFonts w:ascii="Arial" w:hAnsi="Arial" w:cs="Arial"/>
          <w:spacing w:val="-2"/>
        </w:rPr>
        <w:t xml:space="preserve"> lo</w:t>
      </w:r>
      <w:r w:rsidR="00535ABC" w:rsidRPr="00165990">
        <w:rPr>
          <w:rFonts w:ascii="Arial" w:hAnsi="Arial" w:cs="Arial"/>
          <w:spacing w:val="-2"/>
        </w:rPr>
        <w:t xml:space="preserve"> cual no se cumple en la práctica ya que los delegados del ente investigador </w:t>
      </w:r>
      <w:r w:rsidR="0096151C" w:rsidRPr="00165990">
        <w:rPr>
          <w:rFonts w:ascii="Arial" w:hAnsi="Arial" w:cs="Arial"/>
          <w:spacing w:val="-2"/>
        </w:rPr>
        <w:t xml:space="preserve">no pueden acreditar tal supuesto, pues no es una máxima de la experiencia, y además se debe recordar que el delito previsto en el artículo </w:t>
      </w:r>
      <w:r w:rsidR="00BA1B2D" w:rsidRPr="00165990">
        <w:rPr>
          <w:rFonts w:ascii="Arial" w:hAnsi="Arial" w:cs="Arial"/>
          <w:spacing w:val="-2"/>
        </w:rPr>
        <w:t>376</w:t>
      </w:r>
      <w:r w:rsidR="0096151C" w:rsidRPr="00165990">
        <w:rPr>
          <w:rFonts w:ascii="Arial" w:hAnsi="Arial" w:cs="Arial"/>
          <w:spacing w:val="-2"/>
        </w:rPr>
        <w:t xml:space="preserve"> del </w:t>
      </w:r>
      <w:proofErr w:type="spellStart"/>
      <w:r w:rsidR="0096151C" w:rsidRPr="00165990">
        <w:rPr>
          <w:rFonts w:ascii="Arial" w:hAnsi="Arial" w:cs="Arial"/>
          <w:spacing w:val="-2"/>
        </w:rPr>
        <w:t>CP</w:t>
      </w:r>
      <w:proofErr w:type="spellEnd"/>
      <w:r w:rsidR="00BA1B2D" w:rsidRPr="00165990">
        <w:rPr>
          <w:rFonts w:ascii="Arial" w:hAnsi="Arial" w:cs="Arial"/>
          <w:spacing w:val="-2"/>
        </w:rPr>
        <w:t xml:space="preserve"> </w:t>
      </w:r>
      <w:r w:rsidR="0096151C" w:rsidRPr="00165990">
        <w:rPr>
          <w:rFonts w:ascii="Arial" w:hAnsi="Arial" w:cs="Arial"/>
          <w:spacing w:val="-2"/>
        </w:rPr>
        <w:t xml:space="preserve">es </w:t>
      </w:r>
      <w:r w:rsidRPr="00165990">
        <w:rPr>
          <w:rFonts w:ascii="Arial" w:hAnsi="Arial" w:cs="Arial"/>
          <w:spacing w:val="-2"/>
        </w:rPr>
        <w:t xml:space="preserve">un tipo de conducta </w:t>
      </w:r>
      <w:r w:rsidR="0096151C" w:rsidRPr="00165990">
        <w:rPr>
          <w:rFonts w:ascii="Arial" w:hAnsi="Arial" w:cs="Arial"/>
          <w:spacing w:val="-2"/>
        </w:rPr>
        <w:t>alternativ</w:t>
      </w:r>
      <w:r w:rsidRPr="00165990">
        <w:rPr>
          <w:rFonts w:ascii="Arial" w:hAnsi="Arial" w:cs="Arial"/>
          <w:spacing w:val="-2"/>
        </w:rPr>
        <w:t>a</w:t>
      </w:r>
      <w:r w:rsidR="0096151C" w:rsidRPr="00165990">
        <w:rPr>
          <w:rFonts w:ascii="Arial" w:hAnsi="Arial" w:cs="Arial"/>
          <w:spacing w:val="-2"/>
        </w:rPr>
        <w:t xml:space="preserve"> y por ello una persona puede vender y/o</w:t>
      </w:r>
      <w:r w:rsidR="00BA1B2D" w:rsidRPr="00165990">
        <w:rPr>
          <w:rFonts w:ascii="Arial" w:hAnsi="Arial" w:cs="Arial"/>
          <w:spacing w:val="-2"/>
        </w:rPr>
        <w:t xml:space="preserve"> </w:t>
      </w:r>
      <w:r w:rsidR="00BA1B2D" w:rsidRPr="00165990">
        <w:rPr>
          <w:rFonts w:ascii="Arial" w:hAnsi="Arial" w:cs="Arial"/>
          <w:spacing w:val="-2"/>
        </w:rPr>
        <w:lastRenderedPageBreak/>
        <w:t>suministrarle</w:t>
      </w:r>
      <w:r w:rsidR="001F1884" w:rsidRPr="00165990">
        <w:rPr>
          <w:rFonts w:ascii="Arial" w:hAnsi="Arial" w:cs="Arial"/>
          <w:spacing w:val="-2"/>
        </w:rPr>
        <w:t xml:space="preserve"> estupefacientes a otra,</w:t>
      </w:r>
      <w:r w:rsidR="0096151C" w:rsidRPr="00165990">
        <w:rPr>
          <w:rFonts w:ascii="Arial" w:hAnsi="Arial" w:cs="Arial"/>
          <w:spacing w:val="-2"/>
        </w:rPr>
        <w:t xml:space="preserve"> quien de manera independiente la va a portar, sin que entre ambas exista </w:t>
      </w:r>
      <w:r w:rsidR="00BA1B2D" w:rsidRPr="00165990">
        <w:rPr>
          <w:rFonts w:ascii="Arial" w:hAnsi="Arial" w:cs="Arial"/>
          <w:spacing w:val="-2"/>
        </w:rPr>
        <w:t xml:space="preserve">relación alguna, </w:t>
      </w:r>
      <w:r w:rsidR="0096151C" w:rsidRPr="00165990">
        <w:rPr>
          <w:rFonts w:ascii="Arial" w:hAnsi="Arial" w:cs="Arial"/>
          <w:spacing w:val="-2"/>
        </w:rPr>
        <w:t xml:space="preserve">pues </w:t>
      </w:r>
      <w:r w:rsidR="00847B0F" w:rsidRPr="00165990">
        <w:rPr>
          <w:rFonts w:ascii="Arial" w:hAnsi="Arial" w:cs="Arial"/>
          <w:spacing w:val="-2"/>
        </w:rPr>
        <w:t xml:space="preserve">ambas </w:t>
      </w:r>
      <w:r w:rsidR="0096151C" w:rsidRPr="00165990">
        <w:rPr>
          <w:rFonts w:ascii="Arial" w:hAnsi="Arial" w:cs="Arial"/>
          <w:spacing w:val="-2"/>
        </w:rPr>
        <w:t>están actuando ilícitamente</w:t>
      </w:r>
      <w:r w:rsidR="001F1884" w:rsidRPr="00165990">
        <w:rPr>
          <w:rFonts w:ascii="Arial" w:hAnsi="Arial" w:cs="Arial"/>
          <w:spacing w:val="-2"/>
        </w:rPr>
        <w:t>, pero de</w:t>
      </w:r>
      <w:r w:rsidR="0096151C" w:rsidRPr="00165990">
        <w:rPr>
          <w:rFonts w:ascii="Arial" w:hAnsi="Arial" w:cs="Arial"/>
          <w:spacing w:val="-2"/>
        </w:rPr>
        <w:t xml:space="preserve"> manera autónoma. </w:t>
      </w:r>
    </w:p>
    <w:p w:rsidR="0096151C" w:rsidRPr="00165990" w:rsidRDefault="0096151C" w:rsidP="00E54582">
      <w:pPr>
        <w:pStyle w:val="Prrafodelista"/>
        <w:spacing w:line="276" w:lineRule="auto"/>
        <w:rPr>
          <w:rFonts w:ascii="Arial" w:hAnsi="Arial" w:cs="Arial"/>
          <w:spacing w:val="-2"/>
        </w:rPr>
      </w:pPr>
    </w:p>
    <w:p w:rsidR="00BA1B2D" w:rsidRPr="00165990" w:rsidRDefault="00847B0F" w:rsidP="00E54582">
      <w:pPr>
        <w:pStyle w:val="Prrafodelista"/>
        <w:numPr>
          <w:ilvl w:val="0"/>
          <w:numId w:val="1"/>
        </w:numPr>
        <w:spacing w:line="276" w:lineRule="auto"/>
        <w:jc w:val="both"/>
        <w:rPr>
          <w:rFonts w:ascii="Arial" w:hAnsi="Arial" w:cs="Arial"/>
          <w:spacing w:val="-2"/>
        </w:rPr>
      </w:pPr>
      <w:r w:rsidRPr="00165990">
        <w:rPr>
          <w:rFonts w:ascii="Arial" w:hAnsi="Arial" w:cs="Arial"/>
          <w:spacing w:val="-2"/>
        </w:rPr>
        <w:t xml:space="preserve">Por lo tanto en el </w:t>
      </w:r>
      <w:r w:rsidR="0096151C" w:rsidRPr="00165990">
        <w:rPr>
          <w:rFonts w:ascii="Arial" w:hAnsi="Arial" w:cs="Arial"/>
          <w:spacing w:val="-2"/>
        </w:rPr>
        <w:t>presente asunto</w:t>
      </w:r>
      <w:r w:rsidRPr="00165990">
        <w:rPr>
          <w:rFonts w:ascii="Arial" w:hAnsi="Arial" w:cs="Arial"/>
          <w:spacing w:val="-2"/>
        </w:rPr>
        <w:t xml:space="preserve">, </w:t>
      </w:r>
      <w:r w:rsidR="00A6542F" w:rsidRPr="00165990">
        <w:rPr>
          <w:rFonts w:ascii="Arial" w:hAnsi="Arial" w:cs="Arial"/>
          <w:spacing w:val="-2"/>
        </w:rPr>
        <w:t>y pese</w:t>
      </w:r>
      <w:r w:rsidR="001F1884" w:rsidRPr="00165990">
        <w:rPr>
          <w:rFonts w:ascii="Arial" w:hAnsi="Arial" w:cs="Arial"/>
          <w:spacing w:val="-2"/>
        </w:rPr>
        <w:t xml:space="preserve"> a advertir que</w:t>
      </w:r>
      <w:r w:rsidR="00777C2F" w:rsidRPr="00165990">
        <w:rPr>
          <w:rFonts w:ascii="Arial" w:hAnsi="Arial" w:cs="Arial"/>
          <w:spacing w:val="-2"/>
        </w:rPr>
        <w:t xml:space="preserve"> no </w:t>
      </w:r>
      <w:r w:rsidR="00A6542F" w:rsidRPr="00165990">
        <w:rPr>
          <w:rFonts w:ascii="Arial" w:hAnsi="Arial" w:cs="Arial"/>
          <w:spacing w:val="-2"/>
        </w:rPr>
        <w:t>compart</w:t>
      </w:r>
      <w:r w:rsidR="00777C2F" w:rsidRPr="00165990">
        <w:rPr>
          <w:rFonts w:ascii="Arial" w:hAnsi="Arial" w:cs="Arial"/>
          <w:spacing w:val="-2"/>
        </w:rPr>
        <w:t xml:space="preserve">e </w:t>
      </w:r>
      <w:r w:rsidR="00A6542F" w:rsidRPr="00165990">
        <w:rPr>
          <w:rFonts w:ascii="Arial" w:hAnsi="Arial" w:cs="Arial"/>
          <w:spacing w:val="-2"/>
        </w:rPr>
        <w:t>los términos de</w:t>
      </w:r>
      <w:r w:rsidR="001F1884" w:rsidRPr="00165990">
        <w:rPr>
          <w:rFonts w:ascii="Arial" w:hAnsi="Arial" w:cs="Arial"/>
          <w:spacing w:val="-2"/>
        </w:rPr>
        <w:t xml:space="preserve"> la sentencia SU – 479 de 2019,</w:t>
      </w:r>
      <w:r w:rsidR="00A6542F" w:rsidRPr="00165990">
        <w:rPr>
          <w:rFonts w:ascii="Arial" w:hAnsi="Arial" w:cs="Arial"/>
          <w:spacing w:val="-2"/>
        </w:rPr>
        <w:t xml:space="preserve"> por sus deplorables consecuencias frente a la justicia </w:t>
      </w:r>
      <w:proofErr w:type="spellStart"/>
      <w:r w:rsidR="00A6542F" w:rsidRPr="00165990">
        <w:rPr>
          <w:rFonts w:ascii="Arial" w:hAnsi="Arial" w:cs="Arial"/>
          <w:spacing w:val="-2"/>
        </w:rPr>
        <w:t>premial</w:t>
      </w:r>
      <w:proofErr w:type="spellEnd"/>
      <w:r w:rsidR="00A6542F" w:rsidRPr="00165990">
        <w:rPr>
          <w:rFonts w:ascii="Arial" w:hAnsi="Arial" w:cs="Arial"/>
          <w:spacing w:val="-2"/>
        </w:rPr>
        <w:t xml:space="preserve">, consideró que no le era </w:t>
      </w:r>
      <w:r w:rsidRPr="00165990">
        <w:rPr>
          <w:rFonts w:ascii="Arial" w:hAnsi="Arial" w:cs="Arial"/>
          <w:spacing w:val="-2"/>
        </w:rPr>
        <w:t xml:space="preserve">posible </w:t>
      </w:r>
      <w:r w:rsidR="00BA1B2D" w:rsidRPr="00165990">
        <w:rPr>
          <w:rFonts w:ascii="Arial" w:hAnsi="Arial" w:cs="Arial"/>
          <w:spacing w:val="-2"/>
        </w:rPr>
        <w:t xml:space="preserve">aceptar </w:t>
      </w:r>
      <w:r w:rsidR="00A6542F" w:rsidRPr="00165990">
        <w:rPr>
          <w:rFonts w:ascii="Arial" w:hAnsi="Arial" w:cs="Arial"/>
          <w:spacing w:val="-2"/>
        </w:rPr>
        <w:t>el preacuerdo en lo</w:t>
      </w:r>
      <w:r w:rsidR="001F1884" w:rsidRPr="00165990">
        <w:rPr>
          <w:rFonts w:ascii="Arial" w:hAnsi="Arial" w:cs="Arial"/>
          <w:spacing w:val="-2"/>
        </w:rPr>
        <w:t xml:space="preserve"> relativo a la</w:t>
      </w:r>
      <w:r w:rsidR="00BA1B2D" w:rsidRPr="00165990">
        <w:rPr>
          <w:rFonts w:ascii="Arial" w:hAnsi="Arial" w:cs="Arial"/>
          <w:spacing w:val="-2"/>
        </w:rPr>
        <w:t xml:space="preserve"> complicidad que </w:t>
      </w:r>
      <w:r w:rsidR="0096151C" w:rsidRPr="00165990">
        <w:rPr>
          <w:rFonts w:ascii="Arial" w:hAnsi="Arial" w:cs="Arial"/>
          <w:spacing w:val="-2"/>
        </w:rPr>
        <w:t>se</w:t>
      </w:r>
      <w:r w:rsidRPr="00165990">
        <w:rPr>
          <w:rFonts w:ascii="Arial" w:hAnsi="Arial" w:cs="Arial"/>
          <w:spacing w:val="-2"/>
        </w:rPr>
        <w:t xml:space="preserve"> pactó entre la FGN y el acusado</w:t>
      </w:r>
      <w:r w:rsidR="00A6542F" w:rsidRPr="00165990">
        <w:rPr>
          <w:rFonts w:ascii="Arial" w:hAnsi="Arial" w:cs="Arial"/>
          <w:spacing w:val="-2"/>
        </w:rPr>
        <w:t xml:space="preserve"> </w:t>
      </w:r>
      <w:proofErr w:type="spellStart"/>
      <w:r w:rsidR="005D5D2D" w:rsidRPr="00165990">
        <w:rPr>
          <w:rFonts w:ascii="Arial" w:hAnsi="Arial" w:cs="Arial"/>
          <w:spacing w:val="-2"/>
        </w:rPr>
        <w:t>AMM</w:t>
      </w:r>
      <w:proofErr w:type="spellEnd"/>
      <w:r w:rsidR="00A6542F" w:rsidRPr="00165990">
        <w:rPr>
          <w:rFonts w:ascii="Arial" w:hAnsi="Arial" w:cs="Arial"/>
          <w:spacing w:val="-2"/>
        </w:rPr>
        <w:t xml:space="preserve">, por la violación del artículo 376 del </w:t>
      </w:r>
      <w:proofErr w:type="spellStart"/>
      <w:r w:rsidR="00A6542F" w:rsidRPr="00165990">
        <w:rPr>
          <w:rFonts w:ascii="Arial" w:hAnsi="Arial" w:cs="Arial"/>
          <w:spacing w:val="-2"/>
        </w:rPr>
        <w:t>CP</w:t>
      </w:r>
      <w:proofErr w:type="spellEnd"/>
      <w:r w:rsidR="00A6542F" w:rsidRPr="00165990">
        <w:rPr>
          <w:rFonts w:ascii="Arial" w:hAnsi="Arial" w:cs="Arial"/>
          <w:spacing w:val="-2"/>
        </w:rPr>
        <w:t xml:space="preserve">, </w:t>
      </w:r>
      <w:r w:rsidR="00777C2F" w:rsidRPr="00165990">
        <w:rPr>
          <w:rFonts w:ascii="Arial" w:hAnsi="Arial" w:cs="Arial"/>
          <w:spacing w:val="-2"/>
        </w:rPr>
        <w:t>al tratarse de un delito unipersona</w:t>
      </w:r>
      <w:r w:rsidR="004435B2" w:rsidRPr="00165990">
        <w:rPr>
          <w:rFonts w:ascii="Arial" w:hAnsi="Arial" w:cs="Arial"/>
          <w:spacing w:val="-2"/>
        </w:rPr>
        <w:t>l</w:t>
      </w:r>
      <w:r w:rsidR="00777C2F" w:rsidRPr="00165990">
        <w:rPr>
          <w:rFonts w:ascii="Arial" w:hAnsi="Arial" w:cs="Arial"/>
          <w:spacing w:val="-2"/>
        </w:rPr>
        <w:t>, p</w:t>
      </w:r>
      <w:r w:rsidR="00A6542F" w:rsidRPr="00165990">
        <w:rPr>
          <w:rFonts w:ascii="Arial" w:hAnsi="Arial" w:cs="Arial"/>
          <w:spacing w:val="-2"/>
        </w:rPr>
        <w:t xml:space="preserve">or lo cual improbó el </w:t>
      </w:r>
      <w:r w:rsidR="00BA1B2D" w:rsidRPr="00165990">
        <w:rPr>
          <w:rFonts w:ascii="Arial" w:hAnsi="Arial" w:cs="Arial"/>
          <w:spacing w:val="-2"/>
        </w:rPr>
        <w:t>preac</w:t>
      </w:r>
      <w:r w:rsidR="0096151C" w:rsidRPr="00165990">
        <w:rPr>
          <w:rFonts w:ascii="Arial" w:hAnsi="Arial" w:cs="Arial"/>
          <w:spacing w:val="-2"/>
        </w:rPr>
        <w:t>uerdo</w:t>
      </w:r>
      <w:r w:rsidRPr="00165990">
        <w:rPr>
          <w:rFonts w:ascii="Arial" w:hAnsi="Arial" w:cs="Arial"/>
          <w:spacing w:val="-2"/>
        </w:rPr>
        <w:t xml:space="preserve"> puesto a su consideración.</w:t>
      </w:r>
      <w:r w:rsidR="0096151C" w:rsidRPr="00165990">
        <w:rPr>
          <w:rFonts w:ascii="Arial" w:hAnsi="Arial" w:cs="Arial"/>
          <w:spacing w:val="-2"/>
        </w:rPr>
        <w:t xml:space="preserve"> </w:t>
      </w:r>
    </w:p>
    <w:p w:rsidR="008141A6" w:rsidRPr="00165990" w:rsidRDefault="008141A6" w:rsidP="00E54582">
      <w:pPr>
        <w:pStyle w:val="Prrafodelista"/>
        <w:spacing w:line="276" w:lineRule="auto"/>
        <w:rPr>
          <w:rFonts w:ascii="Arial" w:hAnsi="Arial" w:cs="Arial"/>
          <w:spacing w:val="-2"/>
        </w:rPr>
      </w:pPr>
    </w:p>
    <w:p w:rsidR="006C2D0D" w:rsidRPr="00165990" w:rsidRDefault="00847B0F" w:rsidP="00E54582">
      <w:pPr>
        <w:spacing w:line="276" w:lineRule="auto"/>
        <w:jc w:val="center"/>
        <w:rPr>
          <w:rFonts w:ascii="Arial" w:eastAsiaTheme="minorHAnsi" w:hAnsi="Arial" w:cs="Arial"/>
          <w:spacing w:val="-2"/>
          <w:lang w:val="es-CO" w:eastAsia="en-US"/>
        </w:rPr>
      </w:pPr>
      <w:r w:rsidRPr="00165990">
        <w:rPr>
          <w:rFonts w:ascii="Arial" w:eastAsiaTheme="minorHAnsi" w:hAnsi="Arial" w:cs="Arial"/>
          <w:spacing w:val="-2"/>
          <w:lang w:val="es-CO" w:eastAsia="en-US"/>
        </w:rPr>
        <w:t xml:space="preserve">5. SOBRE </w:t>
      </w:r>
      <w:r w:rsidR="006C2D0D" w:rsidRPr="00165990">
        <w:rPr>
          <w:rFonts w:ascii="Arial" w:eastAsiaTheme="minorHAnsi" w:hAnsi="Arial" w:cs="Arial"/>
          <w:spacing w:val="-2"/>
          <w:lang w:val="es-CO" w:eastAsia="en-US"/>
        </w:rPr>
        <w:t>LOS RECURSOS INTERPU</w:t>
      </w:r>
      <w:r w:rsidR="001F1884" w:rsidRPr="00165990">
        <w:rPr>
          <w:rFonts w:ascii="Arial" w:eastAsiaTheme="minorHAnsi" w:hAnsi="Arial" w:cs="Arial"/>
          <w:spacing w:val="-2"/>
          <w:lang w:val="es-CO" w:eastAsia="en-US"/>
        </w:rPr>
        <w:t>ESTOS</w:t>
      </w:r>
    </w:p>
    <w:p w:rsidR="00E54582" w:rsidRPr="00165990" w:rsidRDefault="00E54582" w:rsidP="00E54582">
      <w:pPr>
        <w:spacing w:line="276" w:lineRule="auto"/>
        <w:jc w:val="both"/>
        <w:rPr>
          <w:rFonts w:ascii="Arial" w:eastAsiaTheme="minorHAnsi" w:hAnsi="Arial" w:cs="Arial"/>
          <w:spacing w:val="-2"/>
          <w:lang w:val="es-CO" w:eastAsia="en-US"/>
        </w:rPr>
      </w:pPr>
    </w:p>
    <w:p w:rsidR="006C2D0D" w:rsidRPr="00165990" w:rsidRDefault="00602401" w:rsidP="00E54582">
      <w:pPr>
        <w:spacing w:line="276" w:lineRule="auto"/>
        <w:jc w:val="both"/>
        <w:rPr>
          <w:rFonts w:ascii="Arial" w:eastAsiaTheme="minorHAnsi" w:hAnsi="Arial" w:cs="Arial"/>
          <w:spacing w:val="-2"/>
          <w:u w:val="single"/>
          <w:lang w:val="es-CO" w:eastAsia="en-US"/>
        </w:rPr>
      </w:pPr>
      <w:r w:rsidRPr="00165990">
        <w:rPr>
          <w:rFonts w:ascii="Arial" w:eastAsiaTheme="minorHAnsi" w:hAnsi="Arial" w:cs="Arial"/>
          <w:spacing w:val="-2"/>
          <w:lang w:val="es-CO" w:eastAsia="en-US"/>
        </w:rPr>
        <w:t xml:space="preserve">5.1 </w:t>
      </w:r>
      <w:r w:rsidR="006C2D0D" w:rsidRPr="00165990">
        <w:rPr>
          <w:rFonts w:ascii="Arial" w:eastAsiaTheme="minorHAnsi" w:hAnsi="Arial" w:cs="Arial"/>
          <w:spacing w:val="-2"/>
          <w:lang w:val="es-CO" w:eastAsia="en-US"/>
        </w:rPr>
        <w:t xml:space="preserve"> </w:t>
      </w:r>
      <w:r w:rsidR="006C2D0D" w:rsidRPr="00165990">
        <w:rPr>
          <w:rFonts w:ascii="Arial" w:eastAsiaTheme="minorHAnsi" w:hAnsi="Arial" w:cs="Arial"/>
          <w:spacing w:val="-2"/>
          <w:u w:val="single"/>
          <w:lang w:val="es-CO" w:eastAsia="en-US"/>
        </w:rPr>
        <w:t>Del</w:t>
      </w:r>
      <w:r w:rsidR="00A6542F" w:rsidRPr="00165990">
        <w:rPr>
          <w:rFonts w:ascii="Arial" w:eastAsiaTheme="minorHAnsi" w:hAnsi="Arial" w:cs="Arial"/>
          <w:spacing w:val="-2"/>
          <w:u w:val="single"/>
          <w:lang w:val="es-CO" w:eastAsia="en-US"/>
        </w:rPr>
        <w:t>ega</w:t>
      </w:r>
      <w:r w:rsidR="00777C2F" w:rsidRPr="00165990">
        <w:rPr>
          <w:rFonts w:ascii="Arial" w:eastAsiaTheme="minorHAnsi" w:hAnsi="Arial" w:cs="Arial"/>
          <w:spacing w:val="-2"/>
          <w:u w:val="single"/>
          <w:lang w:val="es-CO" w:eastAsia="en-US"/>
        </w:rPr>
        <w:t>da</w:t>
      </w:r>
      <w:r w:rsidR="006C2D0D" w:rsidRPr="00165990">
        <w:rPr>
          <w:rFonts w:ascii="Arial" w:eastAsiaTheme="minorHAnsi" w:hAnsi="Arial" w:cs="Arial"/>
          <w:spacing w:val="-2"/>
          <w:u w:val="single"/>
          <w:lang w:val="es-CO" w:eastAsia="en-US"/>
        </w:rPr>
        <w:t xml:space="preserve"> </w:t>
      </w:r>
      <w:proofErr w:type="spellStart"/>
      <w:r w:rsidR="006C2D0D" w:rsidRPr="00165990">
        <w:rPr>
          <w:rFonts w:ascii="Arial" w:eastAsiaTheme="minorHAnsi" w:hAnsi="Arial" w:cs="Arial"/>
          <w:spacing w:val="-2"/>
          <w:u w:val="single"/>
          <w:lang w:val="es-CO" w:eastAsia="en-US"/>
        </w:rPr>
        <w:t>FGN</w:t>
      </w:r>
      <w:proofErr w:type="spellEnd"/>
      <w:r w:rsidR="006C2D0D" w:rsidRPr="00165990">
        <w:rPr>
          <w:rFonts w:ascii="Arial" w:eastAsiaTheme="minorHAnsi" w:hAnsi="Arial" w:cs="Arial"/>
          <w:spacing w:val="-2"/>
          <w:u w:val="single"/>
          <w:lang w:val="es-CO" w:eastAsia="en-US"/>
        </w:rPr>
        <w:t xml:space="preserve"> (Recurrente) </w:t>
      </w:r>
    </w:p>
    <w:p w:rsidR="00E54582" w:rsidRPr="00165990" w:rsidRDefault="00E54582" w:rsidP="00E54582">
      <w:pPr>
        <w:spacing w:line="276" w:lineRule="auto"/>
        <w:jc w:val="both"/>
        <w:rPr>
          <w:rFonts w:ascii="Arial" w:eastAsiaTheme="minorHAnsi" w:hAnsi="Arial" w:cs="Arial"/>
          <w:spacing w:val="-2"/>
          <w:u w:val="single"/>
          <w:lang w:val="es-CO" w:eastAsia="en-US"/>
        </w:rPr>
      </w:pPr>
    </w:p>
    <w:p w:rsidR="00E9765C" w:rsidRPr="00165990" w:rsidRDefault="00847B0F" w:rsidP="00E54582">
      <w:pPr>
        <w:pStyle w:val="Prrafodelista"/>
        <w:numPr>
          <w:ilvl w:val="0"/>
          <w:numId w:val="5"/>
        </w:numPr>
        <w:spacing w:after="160" w:line="276" w:lineRule="auto"/>
        <w:jc w:val="both"/>
        <w:rPr>
          <w:rFonts w:ascii="Arial" w:eastAsiaTheme="minorHAnsi" w:hAnsi="Arial" w:cs="Arial"/>
          <w:spacing w:val="-2"/>
          <w:lang w:val="es-CO" w:eastAsia="en-US"/>
        </w:rPr>
      </w:pPr>
      <w:r w:rsidRPr="00165990">
        <w:rPr>
          <w:rFonts w:ascii="Arial" w:eastAsiaTheme="minorHAnsi" w:hAnsi="Arial" w:cs="Arial"/>
          <w:spacing w:val="-2"/>
          <w:lang w:val="es-CO" w:eastAsia="en-US"/>
        </w:rPr>
        <w:t xml:space="preserve">Con el </w:t>
      </w:r>
      <w:r w:rsidR="00EF7BCD" w:rsidRPr="00165990">
        <w:rPr>
          <w:rFonts w:ascii="Arial" w:eastAsiaTheme="minorHAnsi" w:hAnsi="Arial" w:cs="Arial"/>
          <w:spacing w:val="-2"/>
          <w:lang w:val="es-CO" w:eastAsia="en-US"/>
        </w:rPr>
        <w:t xml:space="preserve">preacuerdo celebrado no se está </w:t>
      </w:r>
      <w:r w:rsidR="006C2D0D" w:rsidRPr="00165990">
        <w:rPr>
          <w:rFonts w:ascii="Arial" w:eastAsiaTheme="minorHAnsi" w:hAnsi="Arial" w:cs="Arial"/>
          <w:spacing w:val="-2"/>
          <w:lang w:val="es-CO" w:eastAsia="en-US"/>
        </w:rPr>
        <w:t>vulnerando o generando una mala práctica o una interpretación errada</w:t>
      </w:r>
      <w:r w:rsidR="00A6542F" w:rsidRPr="00165990">
        <w:rPr>
          <w:rFonts w:ascii="Arial" w:eastAsiaTheme="minorHAnsi" w:hAnsi="Arial" w:cs="Arial"/>
          <w:spacing w:val="-2"/>
          <w:lang w:val="es-CO" w:eastAsia="en-US"/>
        </w:rPr>
        <w:t xml:space="preserve">, </w:t>
      </w:r>
      <w:r w:rsidR="006C2D0D" w:rsidRPr="00165990">
        <w:rPr>
          <w:rFonts w:ascii="Arial" w:eastAsiaTheme="minorHAnsi" w:hAnsi="Arial" w:cs="Arial"/>
          <w:spacing w:val="-2"/>
          <w:lang w:val="es-CO" w:eastAsia="en-US"/>
        </w:rPr>
        <w:t>en cuanto a las máximas de la experiencia</w:t>
      </w:r>
      <w:r w:rsidR="00E9765C" w:rsidRPr="00165990">
        <w:rPr>
          <w:rFonts w:ascii="Arial" w:eastAsiaTheme="minorHAnsi" w:hAnsi="Arial" w:cs="Arial"/>
          <w:spacing w:val="-2"/>
          <w:lang w:val="es-CO" w:eastAsia="en-US"/>
        </w:rPr>
        <w:t xml:space="preserve"> frente a la violación del artículo 376 del CP.</w:t>
      </w:r>
    </w:p>
    <w:p w:rsidR="00EF7BCD" w:rsidRPr="00165990" w:rsidRDefault="006C2D0D" w:rsidP="00E54582">
      <w:pPr>
        <w:pStyle w:val="Prrafodelista"/>
        <w:spacing w:after="160" w:line="276" w:lineRule="auto"/>
        <w:jc w:val="both"/>
        <w:rPr>
          <w:rFonts w:ascii="Arial" w:eastAsiaTheme="minorHAnsi" w:hAnsi="Arial" w:cs="Arial"/>
          <w:spacing w:val="-2"/>
          <w:lang w:val="es-CO" w:eastAsia="en-US"/>
        </w:rPr>
      </w:pPr>
      <w:r w:rsidRPr="00165990">
        <w:rPr>
          <w:rFonts w:ascii="Arial" w:eastAsiaTheme="minorHAnsi" w:hAnsi="Arial" w:cs="Arial"/>
          <w:spacing w:val="-2"/>
          <w:lang w:val="es-CO" w:eastAsia="en-US"/>
        </w:rPr>
        <w:t xml:space="preserve"> </w:t>
      </w:r>
    </w:p>
    <w:p w:rsidR="00777C2F" w:rsidRPr="00165990" w:rsidRDefault="00EF7BCD" w:rsidP="00E54582">
      <w:pPr>
        <w:pStyle w:val="Prrafodelista"/>
        <w:numPr>
          <w:ilvl w:val="0"/>
          <w:numId w:val="5"/>
        </w:numPr>
        <w:spacing w:after="160" w:line="276" w:lineRule="auto"/>
        <w:jc w:val="both"/>
        <w:rPr>
          <w:rFonts w:ascii="Arial" w:eastAsiaTheme="minorHAnsi" w:hAnsi="Arial" w:cs="Arial"/>
          <w:spacing w:val="-2"/>
          <w:lang w:val="es-CO" w:eastAsia="en-US"/>
        </w:rPr>
      </w:pPr>
      <w:r w:rsidRPr="00165990">
        <w:rPr>
          <w:rFonts w:ascii="Arial" w:eastAsiaTheme="minorHAnsi" w:hAnsi="Arial" w:cs="Arial"/>
          <w:spacing w:val="-2"/>
          <w:lang w:val="es-CO" w:eastAsia="en-US"/>
        </w:rPr>
        <w:t xml:space="preserve">En casos como el presente se tiene conocimiento </w:t>
      </w:r>
      <w:r w:rsidR="00E9765C" w:rsidRPr="00165990">
        <w:rPr>
          <w:rFonts w:ascii="Arial" w:eastAsiaTheme="minorHAnsi" w:hAnsi="Arial" w:cs="Arial"/>
          <w:spacing w:val="-2"/>
          <w:lang w:val="es-CO" w:eastAsia="en-US"/>
        </w:rPr>
        <w:t xml:space="preserve">de </w:t>
      </w:r>
      <w:r w:rsidRPr="00165990">
        <w:rPr>
          <w:rFonts w:ascii="Arial" w:eastAsiaTheme="minorHAnsi" w:hAnsi="Arial" w:cs="Arial"/>
          <w:spacing w:val="-2"/>
          <w:lang w:val="es-CO" w:eastAsia="en-US"/>
        </w:rPr>
        <w:t xml:space="preserve">que quien </w:t>
      </w:r>
      <w:r w:rsidR="007A17EB" w:rsidRPr="00165990">
        <w:rPr>
          <w:rFonts w:ascii="Arial" w:eastAsiaTheme="minorHAnsi" w:hAnsi="Arial" w:cs="Arial"/>
          <w:spacing w:val="-2"/>
          <w:lang w:val="es-CO" w:eastAsia="en-US"/>
        </w:rPr>
        <w:t>porta</w:t>
      </w:r>
      <w:r w:rsidRPr="00165990">
        <w:rPr>
          <w:rFonts w:ascii="Arial" w:eastAsiaTheme="minorHAnsi" w:hAnsi="Arial" w:cs="Arial"/>
          <w:spacing w:val="-2"/>
          <w:lang w:val="es-CO" w:eastAsia="en-US"/>
        </w:rPr>
        <w:t xml:space="preserve"> sustancia estupefaciente necesariamente tuvo que haberla recibido de otra persona </w:t>
      </w:r>
      <w:r w:rsidR="006C2D0D" w:rsidRPr="00165990">
        <w:rPr>
          <w:rFonts w:ascii="Arial" w:eastAsiaTheme="minorHAnsi" w:hAnsi="Arial" w:cs="Arial"/>
          <w:spacing w:val="-2"/>
          <w:lang w:val="es-CO" w:eastAsia="en-US"/>
        </w:rPr>
        <w:t xml:space="preserve">y que simplemente </w:t>
      </w:r>
      <w:r w:rsidR="007A17EB" w:rsidRPr="00165990">
        <w:rPr>
          <w:rFonts w:ascii="Arial" w:eastAsiaTheme="minorHAnsi" w:hAnsi="Arial" w:cs="Arial"/>
          <w:spacing w:val="-2"/>
          <w:lang w:val="es-CO" w:eastAsia="en-US"/>
        </w:rPr>
        <w:t>su papel es trasladar la sustancia ilícita</w:t>
      </w:r>
      <w:r w:rsidR="006C2D0D" w:rsidRPr="00165990">
        <w:rPr>
          <w:rFonts w:ascii="Arial" w:eastAsiaTheme="minorHAnsi" w:hAnsi="Arial" w:cs="Arial"/>
          <w:spacing w:val="-2"/>
          <w:lang w:val="es-CO" w:eastAsia="en-US"/>
        </w:rPr>
        <w:t xml:space="preserve"> a otro sitio para efectos de su distribución, </w:t>
      </w:r>
      <w:r w:rsidR="007A17EB" w:rsidRPr="00165990">
        <w:rPr>
          <w:rFonts w:ascii="Arial" w:eastAsiaTheme="minorHAnsi" w:hAnsi="Arial" w:cs="Arial"/>
          <w:spacing w:val="-2"/>
          <w:lang w:val="es-CO" w:eastAsia="en-US"/>
        </w:rPr>
        <w:t>y</w:t>
      </w:r>
      <w:r w:rsidR="00847B0F" w:rsidRPr="00165990">
        <w:rPr>
          <w:rFonts w:ascii="Arial" w:eastAsiaTheme="minorHAnsi" w:hAnsi="Arial" w:cs="Arial"/>
          <w:spacing w:val="-2"/>
          <w:lang w:val="es-CO" w:eastAsia="en-US"/>
        </w:rPr>
        <w:t xml:space="preserve"> por eso se ubicó la conducta del acusado</w:t>
      </w:r>
      <w:r w:rsidR="001F1884" w:rsidRPr="00165990">
        <w:rPr>
          <w:rFonts w:ascii="Arial" w:eastAsiaTheme="minorHAnsi" w:hAnsi="Arial" w:cs="Arial"/>
          <w:spacing w:val="-2"/>
          <w:lang w:val="es-CO" w:eastAsia="en-US"/>
        </w:rPr>
        <w:t xml:space="preserve"> </w:t>
      </w:r>
      <w:proofErr w:type="spellStart"/>
      <w:r w:rsidR="005D5D2D" w:rsidRPr="00165990">
        <w:rPr>
          <w:rFonts w:ascii="Arial" w:eastAsiaTheme="minorHAnsi" w:hAnsi="Arial" w:cs="Arial"/>
          <w:spacing w:val="-2"/>
          <w:lang w:val="es-CO" w:eastAsia="en-US"/>
        </w:rPr>
        <w:t>AMM</w:t>
      </w:r>
      <w:proofErr w:type="spellEnd"/>
      <w:r w:rsidR="00847B0F" w:rsidRPr="00165990">
        <w:rPr>
          <w:rFonts w:ascii="Arial" w:eastAsiaTheme="minorHAnsi" w:hAnsi="Arial" w:cs="Arial"/>
          <w:spacing w:val="-2"/>
          <w:lang w:val="es-CO" w:eastAsia="en-US"/>
        </w:rPr>
        <w:t xml:space="preserve">, </w:t>
      </w:r>
      <w:r w:rsidR="001F1884" w:rsidRPr="00165990">
        <w:rPr>
          <w:rFonts w:ascii="Arial" w:eastAsiaTheme="minorHAnsi" w:hAnsi="Arial" w:cs="Arial"/>
          <w:spacing w:val="-2"/>
          <w:lang w:val="es-CO" w:eastAsia="en-US"/>
        </w:rPr>
        <w:t>dentro de la inflexión verbal “</w:t>
      </w:r>
      <w:r w:rsidR="007A17EB" w:rsidRPr="00165990">
        <w:rPr>
          <w:rFonts w:ascii="Arial" w:eastAsiaTheme="minorHAnsi" w:hAnsi="Arial" w:cs="Arial"/>
          <w:spacing w:val="-2"/>
          <w:lang w:val="es-CO" w:eastAsia="en-US"/>
        </w:rPr>
        <w:t xml:space="preserve">llevar consigo” </w:t>
      </w:r>
      <w:r w:rsidR="00847B0F" w:rsidRPr="00165990">
        <w:rPr>
          <w:rFonts w:ascii="Arial" w:eastAsiaTheme="minorHAnsi" w:hAnsi="Arial" w:cs="Arial"/>
          <w:spacing w:val="-2"/>
          <w:lang w:val="es-CO" w:eastAsia="en-US"/>
        </w:rPr>
        <w:t>del artículo 376 del CP.</w:t>
      </w:r>
    </w:p>
    <w:p w:rsidR="001F1884" w:rsidRPr="00165990" w:rsidRDefault="001F1884" w:rsidP="00E54582">
      <w:pPr>
        <w:pStyle w:val="Prrafodelista"/>
        <w:spacing w:line="276" w:lineRule="auto"/>
        <w:rPr>
          <w:rFonts w:ascii="Arial" w:eastAsiaTheme="minorHAnsi" w:hAnsi="Arial" w:cs="Arial"/>
          <w:spacing w:val="-2"/>
          <w:lang w:val="es-CO" w:eastAsia="en-US"/>
        </w:rPr>
      </w:pPr>
    </w:p>
    <w:p w:rsidR="007B3CB3" w:rsidRPr="00165990" w:rsidRDefault="00847B0F" w:rsidP="00E54582">
      <w:pPr>
        <w:pStyle w:val="Prrafodelista"/>
        <w:numPr>
          <w:ilvl w:val="0"/>
          <w:numId w:val="5"/>
        </w:numPr>
        <w:spacing w:after="160" w:line="276" w:lineRule="auto"/>
        <w:jc w:val="both"/>
        <w:rPr>
          <w:rFonts w:ascii="Arial" w:eastAsiaTheme="minorHAnsi" w:hAnsi="Arial" w:cs="Arial"/>
          <w:spacing w:val="-2"/>
          <w:lang w:val="es-CO" w:eastAsia="en-US"/>
        </w:rPr>
      </w:pPr>
      <w:r w:rsidRPr="00165990">
        <w:rPr>
          <w:rFonts w:ascii="Arial" w:eastAsiaTheme="minorHAnsi" w:hAnsi="Arial" w:cs="Arial"/>
          <w:spacing w:val="-2"/>
          <w:lang w:val="es-CO" w:eastAsia="en-US"/>
        </w:rPr>
        <w:t xml:space="preserve">La </w:t>
      </w:r>
      <w:r w:rsidR="007A17EB" w:rsidRPr="00165990">
        <w:rPr>
          <w:rFonts w:ascii="Arial" w:eastAsiaTheme="minorHAnsi" w:hAnsi="Arial" w:cs="Arial"/>
          <w:spacing w:val="-2"/>
          <w:lang w:val="es-CO" w:eastAsia="en-US"/>
        </w:rPr>
        <w:t>interpretación jurisprudencial que se le h</w:t>
      </w:r>
      <w:r w:rsidR="00E9765C" w:rsidRPr="00165990">
        <w:rPr>
          <w:rFonts w:ascii="Arial" w:eastAsiaTheme="minorHAnsi" w:hAnsi="Arial" w:cs="Arial"/>
          <w:spacing w:val="-2"/>
          <w:lang w:val="es-CO" w:eastAsia="en-US"/>
        </w:rPr>
        <w:t xml:space="preserve">a </w:t>
      </w:r>
      <w:r w:rsidR="007B3CB3" w:rsidRPr="00165990">
        <w:rPr>
          <w:rFonts w:ascii="Arial" w:eastAsiaTheme="minorHAnsi" w:hAnsi="Arial" w:cs="Arial"/>
          <w:spacing w:val="-2"/>
          <w:lang w:val="es-CO" w:eastAsia="en-US"/>
        </w:rPr>
        <w:t>dado a los p</w:t>
      </w:r>
      <w:r w:rsidR="007A17EB" w:rsidRPr="00165990">
        <w:rPr>
          <w:rFonts w:ascii="Arial" w:eastAsiaTheme="minorHAnsi" w:hAnsi="Arial" w:cs="Arial"/>
          <w:spacing w:val="-2"/>
          <w:lang w:val="es-CO" w:eastAsia="en-US"/>
        </w:rPr>
        <w:t>reacuerdos ha permitido degradar el grado de responsabilidad de autor a cómplice</w:t>
      </w:r>
      <w:r w:rsidR="007B3CB3" w:rsidRPr="00165990">
        <w:rPr>
          <w:rFonts w:ascii="Arial" w:eastAsiaTheme="minorHAnsi" w:hAnsi="Arial" w:cs="Arial"/>
          <w:spacing w:val="-2"/>
          <w:lang w:val="es-CO" w:eastAsia="en-US"/>
        </w:rPr>
        <w:t xml:space="preserve"> para efectos de esas convenciones.</w:t>
      </w:r>
    </w:p>
    <w:p w:rsidR="001F1884" w:rsidRPr="00165990" w:rsidRDefault="001F1884" w:rsidP="00E54582">
      <w:pPr>
        <w:pStyle w:val="Prrafodelista"/>
        <w:spacing w:line="276" w:lineRule="auto"/>
        <w:rPr>
          <w:rFonts w:ascii="Arial" w:eastAsiaTheme="minorHAnsi" w:hAnsi="Arial" w:cs="Arial"/>
          <w:spacing w:val="-2"/>
          <w:lang w:val="es-CO" w:eastAsia="en-US"/>
        </w:rPr>
      </w:pPr>
    </w:p>
    <w:p w:rsidR="001F1884" w:rsidRPr="00165990" w:rsidRDefault="007B3CB3" w:rsidP="00E54582">
      <w:pPr>
        <w:pStyle w:val="Prrafodelista"/>
        <w:numPr>
          <w:ilvl w:val="0"/>
          <w:numId w:val="5"/>
        </w:numPr>
        <w:spacing w:after="160" w:line="276" w:lineRule="auto"/>
        <w:jc w:val="both"/>
        <w:rPr>
          <w:rFonts w:ascii="Arial" w:eastAsiaTheme="minorHAnsi" w:hAnsi="Arial" w:cs="Arial"/>
          <w:spacing w:val="-2"/>
          <w:lang w:val="es-CO" w:eastAsia="en-US"/>
        </w:rPr>
      </w:pPr>
      <w:r w:rsidRPr="00165990">
        <w:rPr>
          <w:rFonts w:ascii="Arial" w:eastAsiaTheme="minorHAnsi" w:hAnsi="Arial" w:cs="Arial"/>
          <w:spacing w:val="-2"/>
          <w:lang w:val="es-CO" w:eastAsia="en-US"/>
        </w:rPr>
        <w:t xml:space="preserve">Se </w:t>
      </w:r>
      <w:r w:rsidR="006C2D0D" w:rsidRPr="00165990">
        <w:rPr>
          <w:rFonts w:ascii="Arial" w:eastAsiaTheme="minorHAnsi" w:hAnsi="Arial" w:cs="Arial"/>
          <w:spacing w:val="-2"/>
          <w:lang w:val="es-CO" w:eastAsia="en-US"/>
        </w:rPr>
        <w:t xml:space="preserve">debe continuar </w:t>
      </w:r>
      <w:r w:rsidR="001F1884" w:rsidRPr="00165990">
        <w:rPr>
          <w:rFonts w:ascii="Arial" w:eastAsiaTheme="minorHAnsi" w:hAnsi="Arial" w:cs="Arial"/>
          <w:spacing w:val="-2"/>
          <w:lang w:val="es-CO" w:eastAsia="en-US"/>
        </w:rPr>
        <w:t>aplicando esa</w:t>
      </w:r>
      <w:r w:rsidR="006C2D0D" w:rsidRPr="00165990">
        <w:rPr>
          <w:rFonts w:ascii="Arial" w:eastAsiaTheme="minorHAnsi" w:hAnsi="Arial" w:cs="Arial"/>
          <w:spacing w:val="-2"/>
          <w:lang w:val="es-CO" w:eastAsia="en-US"/>
        </w:rPr>
        <w:t xml:space="preserve"> línea </w:t>
      </w:r>
      <w:r w:rsidR="007A17EB" w:rsidRPr="00165990">
        <w:rPr>
          <w:rFonts w:ascii="Arial" w:eastAsiaTheme="minorHAnsi" w:hAnsi="Arial" w:cs="Arial"/>
          <w:spacing w:val="-2"/>
          <w:lang w:val="es-CO" w:eastAsia="en-US"/>
        </w:rPr>
        <w:t>jurisprudencial</w:t>
      </w:r>
      <w:r w:rsidR="000B0804" w:rsidRPr="00165990">
        <w:rPr>
          <w:rFonts w:ascii="Arial" w:eastAsiaTheme="minorHAnsi" w:hAnsi="Arial" w:cs="Arial"/>
          <w:spacing w:val="-2"/>
          <w:lang w:val="es-CO" w:eastAsia="en-US"/>
        </w:rPr>
        <w:t xml:space="preserve"> porque </w:t>
      </w:r>
      <w:r w:rsidR="001F1884" w:rsidRPr="00165990">
        <w:rPr>
          <w:rFonts w:ascii="Arial" w:eastAsiaTheme="minorHAnsi" w:hAnsi="Arial" w:cs="Arial"/>
          <w:spacing w:val="-2"/>
          <w:lang w:val="es-CO" w:eastAsia="en-US"/>
        </w:rPr>
        <w:t>la gran cantidad de</w:t>
      </w:r>
      <w:r w:rsidR="000B0804" w:rsidRPr="00165990">
        <w:rPr>
          <w:rFonts w:ascii="Arial" w:eastAsiaTheme="minorHAnsi" w:hAnsi="Arial" w:cs="Arial"/>
          <w:spacing w:val="-2"/>
          <w:lang w:val="es-CO" w:eastAsia="en-US"/>
        </w:rPr>
        <w:t xml:space="preserve"> investigaciones que se adelantan por el delito de</w:t>
      </w:r>
      <w:r w:rsidR="006C2D0D" w:rsidRPr="00165990">
        <w:rPr>
          <w:rFonts w:ascii="Arial" w:eastAsiaTheme="minorHAnsi" w:hAnsi="Arial" w:cs="Arial"/>
          <w:spacing w:val="-2"/>
          <w:lang w:val="es-CO" w:eastAsia="en-US"/>
        </w:rPr>
        <w:t xml:space="preserve"> tráfico </w:t>
      </w:r>
      <w:r w:rsidR="00040ACE" w:rsidRPr="00165990">
        <w:rPr>
          <w:rFonts w:ascii="Arial" w:eastAsiaTheme="minorHAnsi" w:hAnsi="Arial" w:cs="Arial"/>
          <w:spacing w:val="-2"/>
          <w:lang w:val="es-CO" w:eastAsia="en-US"/>
        </w:rPr>
        <w:t xml:space="preserve">de </w:t>
      </w:r>
      <w:r w:rsidR="006C2D0D" w:rsidRPr="00165990">
        <w:rPr>
          <w:rFonts w:ascii="Arial" w:eastAsiaTheme="minorHAnsi" w:hAnsi="Arial" w:cs="Arial"/>
          <w:spacing w:val="-2"/>
          <w:lang w:val="es-CO" w:eastAsia="en-US"/>
        </w:rPr>
        <w:t>estupefacientes</w:t>
      </w:r>
      <w:r w:rsidRPr="00165990">
        <w:rPr>
          <w:rFonts w:ascii="Arial" w:eastAsiaTheme="minorHAnsi" w:hAnsi="Arial" w:cs="Arial"/>
          <w:spacing w:val="-2"/>
          <w:lang w:val="es-CO" w:eastAsia="en-US"/>
        </w:rPr>
        <w:t xml:space="preserve">, </w:t>
      </w:r>
      <w:r w:rsidR="001F1884" w:rsidRPr="00165990">
        <w:rPr>
          <w:rFonts w:ascii="Arial" w:eastAsiaTheme="minorHAnsi" w:hAnsi="Arial" w:cs="Arial"/>
          <w:spacing w:val="-2"/>
          <w:lang w:val="es-CO" w:eastAsia="en-US"/>
        </w:rPr>
        <w:t>generan un obstáculo para la</w:t>
      </w:r>
      <w:r w:rsidR="006C2D0D" w:rsidRPr="00165990">
        <w:rPr>
          <w:rFonts w:ascii="Arial" w:eastAsiaTheme="minorHAnsi" w:hAnsi="Arial" w:cs="Arial"/>
          <w:spacing w:val="-2"/>
          <w:lang w:val="es-CO" w:eastAsia="en-US"/>
        </w:rPr>
        <w:t xml:space="preserve"> administración de justicia,</w:t>
      </w:r>
      <w:r w:rsidR="000B0804" w:rsidRPr="00165990">
        <w:rPr>
          <w:rFonts w:ascii="Arial" w:eastAsiaTheme="minorHAnsi" w:hAnsi="Arial" w:cs="Arial"/>
          <w:spacing w:val="-2"/>
          <w:lang w:val="es-CO" w:eastAsia="en-US"/>
        </w:rPr>
        <w:t xml:space="preserve"> y por ello no resulta viable </w:t>
      </w:r>
      <w:r w:rsidRPr="00165990">
        <w:rPr>
          <w:rFonts w:ascii="Arial" w:eastAsiaTheme="minorHAnsi" w:hAnsi="Arial" w:cs="Arial"/>
          <w:spacing w:val="-2"/>
          <w:lang w:val="es-CO" w:eastAsia="en-US"/>
        </w:rPr>
        <w:t xml:space="preserve">adoptar una decisión que termine por desestimular ese tipo de acuerdos, </w:t>
      </w:r>
      <w:r w:rsidR="00485559" w:rsidRPr="00165990">
        <w:rPr>
          <w:rFonts w:ascii="Arial" w:eastAsiaTheme="minorHAnsi" w:hAnsi="Arial" w:cs="Arial"/>
          <w:spacing w:val="-2"/>
          <w:lang w:val="es-CO" w:eastAsia="en-US"/>
        </w:rPr>
        <w:t xml:space="preserve">pues lo que se pretende es que con la </w:t>
      </w:r>
      <w:r w:rsidR="006C2D0D" w:rsidRPr="00165990">
        <w:rPr>
          <w:rFonts w:ascii="Arial" w:eastAsiaTheme="minorHAnsi" w:hAnsi="Arial" w:cs="Arial"/>
          <w:spacing w:val="-2"/>
          <w:lang w:val="es-CO" w:eastAsia="en-US"/>
        </w:rPr>
        <w:t xml:space="preserve">aceptación de cargos </w:t>
      </w:r>
      <w:r w:rsidR="00485559" w:rsidRPr="00165990">
        <w:rPr>
          <w:rFonts w:ascii="Arial" w:eastAsiaTheme="minorHAnsi" w:hAnsi="Arial" w:cs="Arial"/>
          <w:spacing w:val="-2"/>
          <w:lang w:val="es-CO" w:eastAsia="en-US"/>
        </w:rPr>
        <w:t>el acusado reciba</w:t>
      </w:r>
      <w:r w:rsidR="006C2D0D" w:rsidRPr="00165990">
        <w:rPr>
          <w:rFonts w:ascii="Arial" w:eastAsiaTheme="minorHAnsi" w:hAnsi="Arial" w:cs="Arial"/>
          <w:spacing w:val="-2"/>
          <w:lang w:val="es-CO" w:eastAsia="en-US"/>
        </w:rPr>
        <w:t xml:space="preserve"> </w:t>
      </w:r>
      <w:r w:rsidR="00485559" w:rsidRPr="00165990">
        <w:rPr>
          <w:rFonts w:ascii="Arial" w:eastAsiaTheme="minorHAnsi" w:hAnsi="Arial" w:cs="Arial"/>
          <w:spacing w:val="-2"/>
          <w:lang w:val="es-CO" w:eastAsia="en-US"/>
        </w:rPr>
        <w:t>el</w:t>
      </w:r>
      <w:r w:rsidR="006C2D0D" w:rsidRPr="00165990">
        <w:rPr>
          <w:rFonts w:ascii="Arial" w:eastAsiaTheme="minorHAnsi" w:hAnsi="Arial" w:cs="Arial"/>
          <w:spacing w:val="-2"/>
          <w:lang w:val="es-CO" w:eastAsia="en-US"/>
        </w:rPr>
        <w:t xml:space="preserve"> beneficio </w:t>
      </w:r>
      <w:r w:rsidR="00485559" w:rsidRPr="00165990">
        <w:rPr>
          <w:rFonts w:ascii="Arial" w:eastAsiaTheme="minorHAnsi" w:hAnsi="Arial" w:cs="Arial"/>
          <w:spacing w:val="-2"/>
          <w:lang w:val="es-CO" w:eastAsia="en-US"/>
        </w:rPr>
        <w:t>de</w:t>
      </w:r>
      <w:r w:rsidR="006C2D0D" w:rsidRPr="00165990">
        <w:rPr>
          <w:rFonts w:ascii="Arial" w:eastAsiaTheme="minorHAnsi" w:hAnsi="Arial" w:cs="Arial"/>
          <w:spacing w:val="-2"/>
          <w:lang w:val="es-CO" w:eastAsia="en-US"/>
        </w:rPr>
        <w:t xml:space="preserve"> una rebaja de pena</w:t>
      </w:r>
      <w:r w:rsidR="001F1884" w:rsidRPr="00165990">
        <w:rPr>
          <w:rFonts w:ascii="Arial" w:eastAsiaTheme="minorHAnsi" w:hAnsi="Arial" w:cs="Arial"/>
          <w:spacing w:val="-2"/>
          <w:lang w:val="es-CO" w:eastAsia="en-US"/>
        </w:rPr>
        <w:t>, lo cual no</w:t>
      </w:r>
      <w:r w:rsidR="006C2D0D" w:rsidRPr="00165990">
        <w:rPr>
          <w:rFonts w:ascii="Arial" w:eastAsiaTheme="minorHAnsi" w:hAnsi="Arial" w:cs="Arial"/>
          <w:spacing w:val="-2"/>
          <w:lang w:val="es-CO" w:eastAsia="en-US"/>
        </w:rPr>
        <w:t xml:space="preserve"> vulnera derechos fundamentales ni</w:t>
      </w:r>
      <w:r w:rsidRPr="00165990">
        <w:rPr>
          <w:rFonts w:ascii="Arial" w:eastAsiaTheme="minorHAnsi" w:hAnsi="Arial" w:cs="Arial"/>
          <w:spacing w:val="-2"/>
          <w:lang w:val="es-CO" w:eastAsia="en-US"/>
        </w:rPr>
        <w:t xml:space="preserve"> afecta a la </w:t>
      </w:r>
      <w:r w:rsidR="006C2D0D" w:rsidRPr="00165990">
        <w:rPr>
          <w:rFonts w:ascii="Arial" w:eastAsiaTheme="minorHAnsi" w:hAnsi="Arial" w:cs="Arial"/>
          <w:spacing w:val="-2"/>
          <w:lang w:val="es-CO" w:eastAsia="en-US"/>
        </w:rPr>
        <w:t>administración de justicia</w:t>
      </w:r>
      <w:r w:rsidRPr="00165990">
        <w:rPr>
          <w:rFonts w:ascii="Arial" w:eastAsiaTheme="minorHAnsi" w:hAnsi="Arial" w:cs="Arial"/>
          <w:spacing w:val="-2"/>
          <w:lang w:val="es-CO" w:eastAsia="en-US"/>
        </w:rPr>
        <w:t>.</w:t>
      </w:r>
      <w:r w:rsidR="00485559" w:rsidRPr="00165990">
        <w:rPr>
          <w:rFonts w:ascii="Arial" w:eastAsiaTheme="minorHAnsi" w:hAnsi="Arial" w:cs="Arial"/>
          <w:spacing w:val="-2"/>
          <w:lang w:val="es-CO" w:eastAsia="en-US"/>
        </w:rPr>
        <w:t xml:space="preserve"> </w:t>
      </w:r>
    </w:p>
    <w:p w:rsidR="001F1884" w:rsidRPr="00165990" w:rsidRDefault="001F1884" w:rsidP="00E54582">
      <w:pPr>
        <w:pStyle w:val="Prrafodelista"/>
        <w:spacing w:line="276" w:lineRule="auto"/>
        <w:rPr>
          <w:rFonts w:ascii="Arial" w:eastAsiaTheme="minorHAnsi" w:hAnsi="Arial" w:cs="Arial"/>
          <w:spacing w:val="-2"/>
          <w:lang w:val="es-CO" w:eastAsia="en-US"/>
        </w:rPr>
      </w:pPr>
    </w:p>
    <w:p w:rsidR="006C2D0D" w:rsidRPr="00165990" w:rsidRDefault="001F1884" w:rsidP="00E54582">
      <w:pPr>
        <w:pStyle w:val="Prrafodelista"/>
        <w:numPr>
          <w:ilvl w:val="0"/>
          <w:numId w:val="5"/>
        </w:numPr>
        <w:spacing w:after="160" w:line="276" w:lineRule="auto"/>
        <w:jc w:val="both"/>
        <w:rPr>
          <w:rFonts w:ascii="Arial" w:eastAsiaTheme="minorHAnsi" w:hAnsi="Arial" w:cs="Arial"/>
          <w:spacing w:val="-2"/>
          <w:lang w:val="es-CO" w:eastAsia="en-US"/>
        </w:rPr>
      </w:pPr>
      <w:r w:rsidRPr="00165990">
        <w:rPr>
          <w:rFonts w:ascii="Arial" w:eastAsiaTheme="minorHAnsi" w:hAnsi="Arial" w:cs="Arial"/>
          <w:spacing w:val="-2"/>
          <w:lang w:val="es-CO" w:eastAsia="en-US"/>
        </w:rPr>
        <w:t>En consecuencia pidió que se</w:t>
      </w:r>
      <w:r w:rsidR="00485559" w:rsidRPr="00165990">
        <w:rPr>
          <w:rFonts w:ascii="Arial" w:eastAsiaTheme="minorHAnsi" w:hAnsi="Arial" w:cs="Arial"/>
          <w:spacing w:val="-2"/>
          <w:lang w:val="es-CO" w:eastAsia="en-US"/>
        </w:rPr>
        <w:t xml:space="preserve"> </w:t>
      </w:r>
      <w:r w:rsidR="006C2D0D" w:rsidRPr="00165990">
        <w:rPr>
          <w:rFonts w:ascii="Arial" w:eastAsiaTheme="minorHAnsi" w:hAnsi="Arial" w:cs="Arial"/>
          <w:spacing w:val="-2"/>
          <w:lang w:val="es-CO" w:eastAsia="en-US"/>
        </w:rPr>
        <w:t>revocar</w:t>
      </w:r>
      <w:r w:rsidR="00485559" w:rsidRPr="00165990">
        <w:rPr>
          <w:rFonts w:ascii="Arial" w:eastAsiaTheme="minorHAnsi" w:hAnsi="Arial" w:cs="Arial"/>
          <w:spacing w:val="-2"/>
          <w:lang w:val="es-CO" w:eastAsia="en-US"/>
        </w:rPr>
        <w:t>a</w:t>
      </w:r>
      <w:r w:rsidR="006C2D0D" w:rsidRPr="00165990">
        <w:rPr>
          <w:rFonts w:ascii="Arial" w:eastAsiaTheme="minorHAnsi" w:hAnsi="Arial" w:cs="Arial"/>
          <w:spacing w:val="-2"/>
          <w:lang w:val="es-CO" w:eastAsia="en-US"/>
        </w:rPr>
        <w:t xml:space="preserve"> la decisión </w:t>
      </w:r>
      <w:r w:rsidR="00485559" w:rsidRPr="00165990">
        <w:rPr>
          <w:rFonts w:ascii="Arial" w:eastAsiaTheme="minorHAnsi" w:hAnsi="Arial" w:cs="Arial"/>
          <w:spacing w:val="-2"/>
          <w:lang w:val="es-CO" w:eastAsia="en-US"/>
        </w:rPr>
        <w:t xml:space="preserve">que improbó el </w:t>
      </w:r>
      <w:r w:rsidR="006C2D0D" w:rsidRPr="00165990">
        <w:rPr>
          <w:rFonts w:ascii="Arial" w:eastAsiaTheme="minorHAnsi" w:hAnsi="Arial" w:cs="Arial"/>
          <w:spacing w:val="-2"/>
          <w:lang w:val="es-CO" w:eastAsia="en-US"/>
        </w:rPr>
        <w:t>preacuerdo,</w:t>
      </w:r>
      <w:r w:rsidR="007B3CB3" w:rsidRPr="00165990">
        <w:rPr>
          <w:rFonts w:ascii="Arial" w:eastAsiaTheme="minorHAnsi" w:hAnsi="Arial" w:cs="Arial"/>
          <w:spacing w:val="-2"/>
          <w:lang w:val="es-CO" w:eastAsia="en-US"/>
        </w:rPr>
        <w:t xml:space="preserve"> a efec</w:t>
      </w:r>
      <w:r w:rsidRPr="00165990">
        <w:rPr>
          <w:rFonts w:ascii="Arial" w:eastAsiaTheme="minorHAnsi" w:hAnsi="Arial" w:cs="Arial"/>
          <w:spacing w:val="-2"/>
          <w:lang w:val="es-CO" w:eastAsia="en-US"/>
        </w:rPr>
        <w:t>tos de que se pueda proferir la</w:t>
      </w:r>
      <w:r w:rsidR="00B0603F" w:rsidRPr="00165990">
        <w:rPr>
          <w:rFonts w:ascii="Arial" w:eastAsiaTheme="minorHAnsi" w:hAnsi="Arial" w:cs="Arial"/>
          <w:spacing w:val="-2"/>
          <w:lang w:val="es-CO" w:eastAsia="en-US"/>
        </w:rPr>
        <w:t xml:space="preserve"> sentencia condenatoria respectiva</w:t>
      </w:r>
      <w:r w:rsidR="00E9765C" w:rsidRPr="00165990">
        <w:rPr>
          <w:rFonts w:ascii="Arial" w:eastAsiaTheme="minorHAnsi" w:hAnsi="Arial" w:cs="Arial"/>
          <w:spacing w:val="-2"/>
          <w:lang w:val="es-CO" w:eastAsia="en-US"/>
        </w:rPr>
        <w:t xml:space="preserve">, </w:t>
      </w:r>
      <w:r w:rsidR="00B0603F" w:rsidRPr="00165990">
        <w:rPr>
          <w:rFonts w:ascii="Arial" w:eastAsiaTheme="minorHAnsi" w:hAnsi="Arial" w:cs="Arial"/>
          <w:spacing w:val="-2"/>
          <w:lang w:val="es-CO" w:eastAsia="en-US"/>
        </w:rPr>
        <w:t>ante el allanamiento a cargos</w:t>
      </w:r>
      <w:r w:rsidR="006C2D0D" w:rsidRPr="00165990">
        <w:rPr>
          <w:rFonts w:ascii="Arial" w:eastAsiaTheme="minorHAnsi" w:hAnsi="Arial" w:cs="Arial"/>
          <w:spacing w:val="-2"/>
          <w:lang w:val="es-CO" w:eastAsia="en-US"/>
        </w:rPr>
        <w:t xml:space="preserve"> </w:t>
      </w:r>
      <w:r w:rsidR="00B0603F" w:rsidRPr="00165990">
        <w:rPr>
          <w:rFonts w:ascii="Arial" w:eastAsiaTheme="minorHAnsi" w:hAnsi="Arial" w:cs="Arial"/>
          <w:spacing w:val="-2"/>
          <w:lang w:val="es-CO" w:eastAsia="en-US"/>
        </w:rPr>
        <w:t xml:space="preserve">por parte de señor </w:t>
      </w:r>
      <w:proofErr w:type="spellStart"/>
      <w:r w:rsidR="005D5D2D" w:rsidRPr="00165990">
        <w:rPr>
          <w:rFonts w:ascii="Arial" w:eastAsiaTheme="minorHAnsi" w:hAnsi="Arial" w:cs="Arial"/>
          <w:spacing w:val="-2"/>
          <w:lang w:val="es-CO" w:eastAsia="en-US"/>
        </w:rPr>
        <w:t>AMM</w:t>
      </w:r>
      <w:proofErr w:type="spellEnd"/>
      <w:r w:rsidR="00B0603F" w:rsidRPr="00165990">
        <w:rPr>
          <w:rFonts w:ascii="Arial" w:eastAsiaTheme="minorHAnsi" w:hAnsi="Arial" w:cs="Arial"/>
          <w:spacing w:val="-2"/>
          <w:lang w:val="es-CO" w:eastAsia="en-US"/>
        </w:rPr>
        <w:t xml:space="preserve">, en </w:t>
      </w:r>
      <w:r w:rsidR="006C2D0D" w:rsidRPr="00165990">
        <w:rPr>
          <w:rFonts w:ascii="Arial" w:eastAsiaTheme="minorHAnsi" w:hAnsi="Arial" w:cs="Arial"/>
          <w:spacing w:val="-2"/>
          <w:lang w:val="es-CO" w:eastAsia="en-US"/>
        </w:rPr>
        <w:t>aplicación</w:t>
      </w:r>
      <w:r w:rsidR="004435B2" w:rsidRPr="00165990">
        <w:rPr>
          <w:rFonts w:ascii="Arial" w:eastAsiaTheme="minorHAnsi" w:hAnsi="Arial" w:cs="Arial"/>
          <w:spacing w:val="-2"/>
          <w:lang w:val="es-CO" w:eastAsia="en-US"/>
        </w:rPr>
        <w:t xml:space="preserve"> de los mecanismos de</w:t>
      </w:r>
      <w:r w:rsidR="006C2D0D" w:rsidRPr="00165990">
        <w:rPr>
          <w:rFonts w:ascii="Arial" w:eastAsiaTheme="minorHAnsi" w:hAnsi="Arial" w:cs="Arial"/>
          <w:spacing w:val="-2"/>
          <w:lang w:val="es-CO" w:eastAsia="en-US"/>
        </w:rPr>
        <w:t xml:space="preserve"> justicia </w:t>
      </w:r>
      <w:proofErr w:type="spellStart"/>
      <w:r w:rsidR="006C2D0D" w:rsidRPr="00165990">
        <w:rPr>
          <w:rFonts w:ascii="Arial" w:eastAsiaTheme="minorHAnsi" w:hAnsi="Arial" w:cs="Arial"/>
          <w:spacing w:val="-2"/>
          <w:lang w:val="es-CO" w:eastAsia="en-US"/>
        </w:rPr>
        <w:t>premial</w:t>
      </w:r>
      <w:proofErr w:type="spellEnd"/>
      <w:r w:rsidR="006C2D0D" w:rsidRPr="00165990">
        <w:rPr>
          <w:rFonts w:ascii="Arial" w:eastAsiaTheme="minorHAnsi" w:hAnsi="Arial" w:cs="Arial"/>
          <w:spacing w:val="-2"/>
          <w:lang w:val="es-CO" w:eastAsia="en-US"/>
        </w:rPr>
        <w:t xml:space="preserve"> </w:t>
      </w:r>
      <w:r w:rsidR="00B0603F" w:rsidRPr="00165990">
        <w:rPr>
          <w:rFonts w:ascii="Arial" w:eastAsiaTheme="minorHAnsi" w:hAnsi="Arial" w:cs="Arial"/>
          <w:spacing w:val="-2"/>
          <w:lang w:val="es-CO" w:eastAsia="en-US"/>
        </w:rPr>
        <w:t>introducid</w:t>
      </w:r>
      <w:r w:rsidRPr="00165990">
        <w:rPr>
          <w:rFonts w:ascii="Arial" w:eastAsiaTheme="minorHAnsi" w:hAnsi="Arial" w:cs="Arial"/>
          <w:spacing w:val="-2"/>
          <w:lang w:val="es-CO" w:eastAsia="en-US"/>
        </w:rPr>
        <w:t>os por la</w:t>
      </w:r>
      <w:r w:rsidR="00B0603F" w:rsidRPr="00165990">
        <w:rPr>
          <w:rFonts w:ascii="Arial" w:eastAsiaTheme="minorHAnsi" w:hAnsi="Arial" w:cs="Arial"/>
          <w:spacing w:val="-2"/>
          <w:lang w:val="es-CO" w:eastAsia="en-US"/>
        </w:rPr>
        <w:t xml:space="preserve"> L</w:t>
      </w:r>
      <w:r w:rsidR="006C2D0D" w:rsidRPr="00165990">
        <w:rPr>
          <w:rFonts w:ascii="Arial" w:eastAsiaTheme="minorHAnsi" w:hAnsi="Arial" w:cs="Arial"/>
          <w:spacing w:val="-2"/>
          <w:lang w:val="es-CO" w:eastAsia="en-US"/>
        </w:rPr>
        <w:t>ey 906</w:t>
      </w:r>
      <w:r w:rsidR="00B0603F" w:rsidRPr="00165990">
        <w:rPr>
          <w:rFonts w:ascii="Arial" w:eastAsiaTheme="minorHAnsi" w:hAnsi="Arial" w:cs="Arial"/>
          <w:spacing w:val="-2"/>
          <w:lang w:val="es-CO" w:eastAsia="en-US"/>
        </w:rPr>
        <w:t xml:space="preserve"> de 2004</w:t>
      </w:r>
      <w:r w:rsidR="006C2D0D" w:rsidRPr="00165990">
        <w:rPr>
          <w:rFonts w:ascii="Arial" w:eastAsiaTheme="minorHAnsi" w:hAnsi="Arial" w:cs="Arial"/>
          <w:spacing w:val="-2"/>
          <w:lang w:val="es-CO" w:eastAsia="en-US"/>
        </w:rPr>
        <w:t>.</w:t>
      </w:r>
    </w:p>
    <w:p w:rsidR="001F1884" w:rsidRPr="00165990" w:rsidRDefault="001F1884" w:rsidP="00E54582">
      <w:pPr>
        <w:pStyle w:val="Prrafodelista"/>
        <w:spacing w:line="276" w:lineRule="auto"/>
        <w:rPr>
          <w:rFonts w:ascii="Arial" w:eastAsiaTheme="minorHAnsi" w:hAnsi="Arial" w:cs="Arial"/>
          <w:spacing w:val="-2"/>
          <w:lang w:val="es-CO" w:eastAsia="en-US"/>
        </w:rPr>
      </w:pPr>
    </w:p>
    <w:p w:rsidR="006C2D0D" w:rsidRPr="00165990" w:rsidRDefault="00602401" w:rsidP="00E54582">
      <w:pPr>
        <w:spacing w:line="276" w:lineRule="auto"/>
        <w:jc w:val="both"/>
        <w:rPr>
          <w:rFonts w:ascii="Arial" w:eastAsiaTheme="minorHAnsi" w:hAnsi="Arial" w:cs="Arial"/>
          <w:spacing w:val="-2"/>
          <w:u w:val="single"/>
          <w:lang w:val="es-CO" w:eastAsia="en-US"/>
        </w:rPr>
      </w:pPr>
      <w:r w:rsidRPr="00165990">
        <w:rPr>
          <w:rFonts w:ascii="Arial" w:eastAsiaTheme="minorHAnsi" w:hAnsi="Arial" w:cs="Arial"/>
          <w:spacing w:val="-2"/>
          <w:lang w:val="es-CO" w:eastAsia="en-US"/>
        </w:rPr>
        <w:t>5</w:t>
      </w:r>
      <w:r w:rsidR="00B0603F" w:rsidRPr="00165990">
        <w:rPr>
          <w:rFonts w:ascii="Arial" w:eastAsiaTheme="minorHAnsi" w:hAnsi="Arial" w:cs="Arial"/>
          <w:spacing w:val="-2"/>
          <w:lang w:val="es-CO" w:eastAsia="en-US"/>
        </w:rPr>
        <w:t>.2</w:t>
      </w:r>
      <w:r w:rsidR="00B0603F" w:rsidRPr="00165990">
        <w:rPr>
          <w:rFonts w:ascii="Arial" w:eastAsiaTheme="minorHAnsi" w:hAnsi="Arial" w:cs="Arial"/>
          <w:spacing w:val="-2"/>
          <w:u w:val="single"/>
          <w:lang w:val="es-CO" w:eastAsia="en-US"/>
        </w:rPr>
        <w:t xml:space="preserve"> Delegado del </w:t>
      </w:r>
      <w:r w:rsidR="006C2D0D" w:rsidRPr="00165990">
        <w:rPr>
          <w:rFonts w:ascii="Arial" w:eastAsiaTheme="minorHAnsi" w:hAnsi="Arial" w:cs="Arial"/>
          <w:spacing w:val="-2"/>
          <w:u w:val="single"/>
          <w:lang w:val="es-CO" w:eastAsia="en-US"/>
        </w:rPr>
        <w:t>Ministerio Público (Recurrente)</w:t>
      </w:r>
    </w:p>
    <w:p w:rsidR="00E54582" w:rsidRPr="00165990" w:rsidRDefault="00E54582" w:rsidP="00E54582">
      <w:pPr>
        <w:spacing w:line="276" w:lineRule="auto"/>
        <w:jc w:val="both"/>
        <w:rPr>
          <w:rFonts w:ascii="Arial" w:eastAsiaTheme="minorHAnsi" w:hAnsi="Arial" w:cs="Arial"/>
          <w:spacing w:val="-2"/>
          <w:lang w:val="es-CO" w:eastAsia="en-US"/>
        </w:rPr>
      </w:pPr>
    </w:p>
    <w:p w:rsidR="006C2D0D" w:rsidRPr="00165990" w:rsidRDefault="006C2D0D" w:rsidP="00E54582">
      <w:pPr>
        <w:numPr>
          <w:ilvl w:val="0"/>
          <w:numId w:val="4"/>
        </w:numPr>
        <w:spacing w:after="160" w:line="276" w:lineRule="auto"/>
        <w:contextualSpacing/>
        <w:jc w:val="both"/>
        <w:rPr>
          <w:rFonts w:ascii="Arial" w:eastAsiaTheme="minorHAnsi" w:hAnsi="Arial" w:cs="Arial"/>
          <w:spacing w:val="-2"/>
          <w:lang w:val="es-CO" w:eastAsia="en-US"/>
        </w:rPr>
      </w:pPr>
      <w:r w:rsidRPr="00165990">
        <w:rPr>
          <w:rFonts w:ascii="Arial" w:eastAsiaTheme="minorHAnsi" w:hAnsi="Arial" w:cs="Arial"/>
          <w:spacing w:val="-2"/>
          <w:lang w:val="es-CO" w:eastAsia="en-US"/>
        </w:rPr>
        <w:t xml:space="preserve">Solicitó </w:t>
      </w:r>
      <w:r w:rsidR="00E9765C" w:rsidRPr="00165990">
        <w:rPr>
          <w:rFonts w:ascii="Arial" w:eastAsiaTheme="minorHAnsi" w:hAnsi="Arial" w:cs="Arial"/>
          <w:spacing w:val="-2"/>
          <w:lang w:val="es-CO" w:eastAsia="en-US"/>
        </w:rPr>
        <w:t xml:space="preserve">inicialmente </w:t>
      </w:r>
      <w:r w:rsidRPr="00165990">
        <w:rPr>
          <w:rFonts w:ascii="Arial" w:eastAsiaTheme="minorHAnsi" w:hAnsi="Arial" w:cs="Arial"/>
          <w:spacing w:val="-2"/>
          <w:lang w:val="es-CO" w:eastAsia="en-US"/>
        </w:rPr>
        <w:t xml:space="preserve">que se resolviera el presente asunto </w:t>
      </w:r>
      <w:r w:rsidR="00E9765C" w:rsidRPr="00165990">
        <w:rPr>
          <w:rFonts w:ascii="Arial" w:eastAsiaTheme="minorHAnsi" w:hAnsi="Arial" w:cs="Arial"/>
          <w:spacing w:val="-2"/>
          <w:lang w:val="es-CO" w:eastAsia="en-US"/>
        </w:rPr>
        <w:t xml:space="preserve">lo </w:t>
      </w:r>
      <w:r w:rsidR="001F1884" w:rsidRPr="00165990">
        <w:rPr>
          <w:rFonts w:ascii="Arial" w:eastAsiaTheme="minorHAnsi" w:hAnsi="Arial" w:cs="Arial"/>
          <w:spacing w:val="-2"/>
          <w:lang w:val="es-CO" w:eastAsia="en-US"/>
        </w:rPr>
        <w:t>más</w:t>
      </w:r>
      <w:r w:rsidR="00E9765C" w:rsidRPr="00165990">
        <w:rPr>
          <w:rFonts w:ascii="Arial" w:eastAsiaTheme="minorHAnsi" w:hAnsi="Arial" w:cs="Arial"/>
          <w:spacing w:val="-2"/>
          <w:lang w:val="es-CO" w:eastAsia="en-US"/>
        </w:rPr>
        <w:t xml:space="preserve"> rápidamente posible</w:t>
      </w:r>
      <w:r w:rsidR="00777C2F" w:rsidRPr="00165990">
        <w:rPr>
          <w:rFonts w:ascii="Arial" w:eastAsiaTheme="minorHAnsi" w:hAnsi="Arial" w:cs="Arial"/>
          <w:spacing w:val="-2"/>
          <w:lang w:val="es-CO" w:eastAsia="en-US"/>
        </w:rPr>
        <w:t>,</w:t>
      </w:r>
      <w:r w:rsidRPr="00165990">
        <w:rPr>
          <w:rFonts w:ascii="Arial" w:eastAsiaTheme="minorHAnsi" w:hAnsi="Arial" w:cs="Arial"/>
          <w:spacing w:val="-2"/>
          <w:lang w:val="es-CO" w:eastAsia="en-US"/>
        </w:rPr>
        <w:t xml:space="preserve"> con el fin de que la causa eventualmente no prescriba debido a que la formulación de la imputación se realizó el 26 de septiembre de 2015. </w:t>
      </w:r>
    </w:p>
    <w:p w:rsidR="006C2D0D" w:rsidRPr="00165990" w:rsidRDefault="006C2D0D" w:rsidP="00E54582">
      <w:pPr>
        <w:spacing w:after="160" w:line="276" w:lineRule="auto"/>
        <w:jc w:val="both"/>
        <w:rPr>
          <w:rFonts w:ascii="Arial" w:eastAsiaTheme="minorHAnsi" w:hAnsi="Arial" w:cs="Arial"/>
          <w:spacing w:val="-2"/>
          <w:lang w:val="es-CO" w:eastAsia="en-US"/>
        </w:rPr>
      </w:pPr>
    </w:p>
    <w:p w:rsidR="001F1884" w:rsidRPr="00165990" w:rsidRDefault="006C2D0D" w:rsidP="00E54582">
      <w:pPr>
        <w:numPr>
          <w:ilvl w:val="0"/>
          <w:numId w:val="4"/>
        </w:numPr>
        <w:spacing w:line="276" w:lineRule="auto"/>
        <w:contextualSpacing/>
        <w:jc w:val="both"/>
        <w:rPr>
          <w:rFonts w:ascii="Arial" w:eastAsiaTheme="minorHAnsi" w:hAnsi="Arial" w:cs="Arial"/>
          <w:spacing w:val="-2"/>
          <w:lang w:val="es-CO" w:eastAsia="en-US"/>
        </w:rPr>
      </w:pPr>
      <w:r w:rsidRPr="00165990">
        <w:rPr>
          <w:rFonts w:ascii="Arial" w:eastAsiaTheme="minorHAnsi" w:hAnsi="Arial" w:cs="Arial"/>
          <w:spacing w:val="-2"/>
          <w:lang w:val="es-CO" w:eastAsia="en-US"/>
        </w:rPr>
        <w:lastRenderedPageBreak/>
        <w:t xml:space="preserve">Frente a la decisión adoptada por el </w:t>
      </w:r>
      <w:r w:rsidRPr="00165990">
        <w:rPr>
          <w:rFonts w:ascii="Arial" w:eastAsiaTheme="minorHAnsi" w:hAnsi="Arial" w:cs="Arial"/>
          <w:i/>
          <w:spacing w:val="-2"/>
          <w:lang w:val="es-CO" w:eastAsia="en-US"/>
        </w:rPr>
        <w:t>A quo,</w:t>
      </w:r>
      <w:r w:rsidRPr="00165990">
        <w:rPr>
          <w:rFonts w:ascii="Arial" w:eastAsiaTheme="minorHAnsi" w:hAnsi="Arial" w:cs="Arial"/>
          <w:spacing w:val="-2"/>
          <w:lang w:val="es-CO" w:eastAsia="en-US"/>
        </w:rPr>
        <w:t xml:space="preserve"> señaló que si bien era cierto el funcionario de primer grado había ofrecido todas las explicaciones tanto jurisprudenciales como dogmáticas frente al asunto debatido, se debía tener en cuenta que las </w:t>
      </w:r>
      <w:r w:rsidR="00E9765C" w:rsidRPr="00165990">
        <w:rPr>
          <w:rFonts w:ascii="Arial" w:eastAsiaTheme="minorHAnsi" w:hAnsi="Arial" w:cs="Arial"/>
          <w:spacing w:val="-2"/>
          <w:lang w:val="es-CO" w:eastAsia="en-US"/>
        </w:rPr>
        <w:t>s</w:t>
      </w:r>
      <w:r w:rsidRPr="00165990">
        <w:rPr>
          <w:rFonts w:ascii="Arial" w:eastAsiaTheme="minorHAnsi" w:hAnsi="Arial" w:cs="Arial"/>
          <w:spacing w:val="-2"/>
          <w:lang w:val="es-CO" w:eastAsia="en-US"/>
        </w:rPr>
        <w:t xml:space="preserve">entencias de </w:t>
      </w:r>
      <w:r w:rsidR="00E9765C" w:rsidRPr="00165990">
        <w:rPr>
          <w:rFonts w:ascii="Arial" w:eastAsiaTheme="minorHAnsi" w:hAnsi="Arial" w:cs="Arial"/>
          <w:spacing w:val="-2"/>
          <w:lang w:val="es-CO" w:eastAsia="en-US"/>
        </w:rPr>
        <w:t>u</w:t>
      </w:r>
      <w:r w:rsidRPr="00165990">
        <w:rPr>
          <w:rFonts w:ascii="Arial" w:eastAsiaTheme="minorHAnsi" w:hAnsi="Arial" w:cs="Arial"/>
          <w:spacing w:val="-2"/>
          <w:lang w:val="es-CO" w:eastAsia="en-US"/>
        </w:rPr>
        <w:t xml:space="preserve">nificación tienen efectos similares a las sentencias de </w:t>
      </w:r>
      <w:r w:rsidR="00E9765C" w:rsidRPr="00165990">
        <w:rPr>
          <w:rFonts w:ascii="Arial" w:eastAsiaTheme="minorHAnsi" w:hAnsi="Arial" w:cs="Arial"/>
          <w:spacing w:val="-2"/>
          <w:lang w:val="es-CO" w:eastAsia="en-US"/>
        </w:rPr>
        <w:t>c</w:t>
      </w:r>
      <w:r w:rsidRPr="00165990">
        <w:rPr>
          <w:rFonts w:ascii="Arial" w:eastAsiaTheme="minorHAnsi" w:hAnsi="Arial" w:cs="Arial"/>
          <w:spacing w:val="-2"/>
          <w:lang w:val="es-CO" w:eastAsia="en-US"/>
        </w:rPr>
        <w:t>onstitucionalidad, l</w:t>
      </w:r>
      <w:r w:rsidR="00A57AD8" w:rsidRPr="00165990">
        <w:rPr>
          <w:rFonts w:ascii="Arial" w:eastAsiaTheme="minorHAnsi" w:hAnsi="Arial" w:cs="Arial"/>
          <w:spacing w:val="-2"/>
          <w:lang w:val="es-CO" w:eastAsia="en-US"/>
        </w:rPr>
        <w:t xml:space="preserve">as </w:t>
      </w:r>
      <w:r w:rsidRPr="00165990">
        <w:rPr>
          <w:rFonts w:ascii="Arial" w:eastAsiaTheme="minorHAnsi" w:hAnsi="Arial" w:cs="Arial"/>
          <w:spacing w:val="-2"/>
          <w:lang w:val="es-CO" w:eastAsia="en-US"/>
        </w:rPr>
        <w:t xml:space="preserve">cuales son </w:t>
      </w:r>
      <w:r w:rsidRPr="00165990">
        <w:rPr>
          <w:rFonts w:ascii="Arial" w:eastAsiaTheme="minorHAnsi" w:hAnsi="Arial" w:cs="Arial"/>
          <w:i/>
          <w:spacing w:val="-2"/>
          <w:lang w:val="es-CO" w:eastAsia="en-US"/>
        </w:rPr>
        <w:t>erga omnes</w:t>
      </w:r>
      <w:r w:rsidRPr="00165990">
        <w:rPr>
          <w:rFonts w:ascii="Arial" w:eastAsiaTheme="minorHAnsi" w:hAnsi="Arial" w:cs="Arial"/>
          <w:spacing w:val="-2"/>
          <w:lang w:val="es-CO" w:eastAsia="en-US"/>
        </w:rPr>
        <w:t xml:space="preserve">, mientras que las primeras a las que se hizo alusión </w:t>
      </w:r>
      <w:r w:rsidR="00A57AD8" w:rsidRPr="00165990">
        <w:rPr>
          <w:rFonts w:ascii="Arial" w:eastAsiaTheme="minorHAnsi" w:hAnsi="Arial" w:cs="Arial"/>
          <w:spacing w:val="-2"/>
          <w:lang w:val="es-CO" w:eastAsia="en-US"/>
        </w:rPr>
        <w:t>tiene</w:t>
      </w:r>
      <w:r w:rsidR="003E25D7" w:rsidRPr="00165990">
        <w:rPr>
          <w:rFonts w:ascii="Arial" w:eastAsiaTheme="minorHAnsi" w:hAnsi="Arial" w:cs="Arial"/>
          <w:spacing w:val="-2"/>
          <w:lang w:val="es-CO" w:eastAsia="en-US"/>
        </w:rPr>
        <w:t>n</w:t>
      </w:r>
      <w:r w:rsidR="00A57AD8" w:rsidRPr="00165990">
        <w:rPr>
          <w:rFonts w:ascii="Arial" w:eastAsiaTheme="minorHAnsi" w:hAnsi="Arial" w:cs="Arial"/>
          <w:spacing w:val="-2"/>
          <w:lang w:val="es-CO" w:eastAsia="en-US"/>
        </w:rPr>
        <w:t xml:space="preserve"> </w:t>
      </w:r>
      <w:r w:rsidRPr="00165990">
        <w:rPr>
          <w:rFonts w:ascii="Arial" w:eastAsiaTheme="minorHAnsi" w:hAnsi="Arial" w:cs="Arial"/>
          <w:spacing w:val="-2"/>
          <w:lang w:val="es-CO" w:eastAsia="en-US"/>
        </w:rPr>
        <w:t xml:space="preserve">efectos generalizados. </w:t>
      </w:r>
    </w:p>
    <w:p w:rsidR="001F1884" w:rsidRPr="00165990" w:rsidRDefault="001F1884" w:rsidP="00E54582">
      <w:pPr>
        <w:pStyle w:val="Prrafodelista"/>
        <w:spacing w:line="276" w:lineRule="auto"/>
        <w:rPr>
          <w:rFonts w:ascii="Arial" w:eastAsiaTheme="minorHAnsi" w:hAnsi="Arial" w:cs="Arial"/>
          <w:spacing w:val="-2"/>
          <w:lang w:val="es-CO" w:eastAsia="en-US"/>
        </w:rPr>
      </w:pPr>
    </w:p>
    <w:p w:rsidR="001F1884" w:rsidRPr="00165990" w:rsidRDefault="006C2D0D" w:rsidP="00E54582">
      <w:pPr>
        <w:numPr>
          <w:ilvl w:val="0"/>
          <w:numId w:val="4"/>
        </w:numPr>
        <w:spacing w:after="160" w:line="276" w:lineRule="auto"/>
        <w:contextualSpacing/>
        <w:jc w:val="both"/>
        <w:rPr>
          <w:rFonts w:ascii="Arial" w:eastAsiaTheme="minorHAnsi" w:hAnsi="Arial" w:cs="Arial"/>
          <w:spacing w:val="-2"/>
          <w:lang w:val="es-CO" w:eastAsia="en-US"/>
        </w:rPr>
      </w:pPr>
      <w:r w:rsidRPr="00165990">
        <w:rPr>
          <w:rFonts w:ascii="Arial" w:eastAsiaTheme="minorHAnsi" w:hAnsi="Arial" w:cs="Arial"/>
          <w:spacing w:val="-2"/>
          <w:lang w:val="es-CO" w:eastAsia="en-US"/>
        </w:rPr>
        <w:t xml:space="preserve">Es preciso establecer que las sentencias SU son aplicables </w:t>
      </w:r>
      <w:r w:rsidR="003E25D7" w:rsidRPr="00165990">
        <w:rPr>
          <w:rFonts w:ascii="Arial" w:eastAsiaTheme="minorHAnsi" w:hAnsi="Arial" w:cs="Arial"/>
          <w:spacing w:val="-2"/>
          <w:lang w:val="es-CO" w:eastAsia="en-US"/>
        </w:rPr>
        <w:t xml:space="preserve">frente a </w:t>
      </w:r>
      <w:r w:rsidRPr="00165990">
        <w:rPr>
          <w:rFonts w:ascii="Arial" w:eastAsiaTheme="minorHAnsi" w:hAnsi="Arial" w:cs="Arial"/>
          <w:spacing w:val="-2"/>
          <w:lang w:val="es-CO" w:eastAsia="en-US"/>
        </w:rPr>
        <w:t xml:space="preserve">situaciones análogas, y por ello, en la sentencias SU-479 </w:t>
      </w:r>
      <w:r w:rsidR="003E25D7" w:rsidRPr="00165990">
        <w:rPr>
          <w:rFonts w:ascii="Arial" w:eastAsiaTheme="minorHAnsi" w:hAnsi="Arial" w:cs="Arial"/>
          <w:spacing w:val="-2"/>
          <w:lang w:val="es-CO" w:eastAsia="en-US"/>
        </w:rPr>
        <w:t xml:space="preserve">de 2019 </w:t>
      </w:r>
      <w:r w:rsidRPr="00165990">
        <w:rPr>
          <w:rFonts w:ascii="Arial" w:eastAsiaTheme="minorHAnsi" w:hAnsi="Arial" w:cs="Arial"/>
          <w:spacing w:val="-2"/>
          <w:lang w:val="es-CO" w:eastAsia="en-US"/>
        </w:rPr>
        <w:t xml:space="preserve">se hizo referencia a dos casos específicos: </w:t>
      </w:r>
      <w:r w:rsidR="00777C2F" w:rsidRPr="00165990">
        <w:rPr>
          <w:rFonts w:ascii="Arial" w:eastAsiaTheme="minorHAnsi" w:hAnsi="Arial" w:cs="Arial"/>
          <w:spacing w:val="-2"/>
          <w:lang w:val="es-CO" w:eastAsia="en-US"/>
        </w:rPr>
        <w:t xml:space="preserve">i) el primero </w:t>
      </w:r>
      <w:r w:rsidRPr="00165990">
        <w:rPr>
          <w:rFonts w:ascii="Arial" w:eastAsiaTheme="minorHAnsi" w:hAnsi="Arial" w:cs="Arial"/>
          <w:spacing w:val="-2"/>
          <w:lang w:val="es-CO" w:eastAsia="en-US"/>
        </w:rPr>
        <w:t>acontecido en el municipio de Dosquebradas, en el que una persona de unas condiciones socioeconómicos altas se le reconoció la condición de marginalidad en un asunto relacionado con un porte ilegal de armas</w:t>
      </w:r>
      <w:r w:rsidR="001F1884" w:rsidRPr="00165990">
        <w:rPr>
          <w:rFonts w:ascii="Arial" w:eastAsiaTheme="minorHAnsi" w:hAnsi="Arial" w:cs="Arial"/>
          <w:spacing w:val="-2"/>
          <w:lang w:val="es-CO" w:eastAsia="en-US"/>
        </w:rPr>
        <w:t xml:space="preserve">; y ii) </w:t>
      </w:r>
      <w:r w:rsidRPr="00165990">
        <w:rPr>
          <w:rFonts w:ascii="Arial" w:eastAsiaTheme="minorHAnsi" w:hAnsi="Arial" w:cs="Arial"/>
          <w:spacing w:val="-2"/>
          <w:lang w:val="es-CO" w:eastAsia="en-US"/>
        </w:rPr>
        <w:t xml:space="preserve">el </w:t>
      </w:r>
      <w:r w:rsidR="00777C2F" w:rsidRPr="00165990">
        <w:rPr>
          <w:rFonts w:ascii="Arial" w:eastAsiaTheme="minorHAnsi" w:hAnsi="Arial" w:cs="Arial"/>
          <w:spacing w:val="-2"/>
          <w:lang w:val="es-CO" w:eastAsia="en-US"/>
        </w:rPr>
        <w:t xml:space="preserve">segundo tenía que ver </w:t>
      </w:r>
      <w:r w:rsidRPr="00165990">
        <w:rPr>
          <w:rFonts w:ascii="Arial" w:eastAsiaTheme="minorHAnsi" w:hAnsi="Arial" w:cs="Arial"/>
          <w:spacing w:val="-2"/>
          <w:lang w:val="es-CO" w:eastAsia="en-US"/>
        </w:rPr>
        <w:t xml:space="preserve">con un delito </w:t>
      </w:r>
      <w:r w:rsidR="003E25D7" w:rsidRPr="00165990">
        <w:rPr>
          <w:rFonts w:ascii="Arial" w:eastAsiaTheme="minorHAnsi" w:hAnsi="Arial" w:cs="Arial"/>
          <w:spacing w:val="-2"/>
          <w:lang w:val="es-CO" w:eastAsia="en-US"/>
        </w:rPr>
        <w:t xml:space="preserve">contra la libertad, integridad y formación sexuales, </w:t>
      </w:r>
      <w:r w:rsidRPr="00165990">
        <w:rPr>
          <w:rFonts w:ascii="Arial" w:eastAsiaTheme="minorHAnsi" w:hAnsi="Arial" w:cs="Arial"/>
          <w:spacing w:val="-2"/>
          <w:lang w:val="es-CO" w:eastAsia="en-US"/>
        </w:rPr>
        <w:t xml:space="preserve">donde se estaba reconociendo esa misma condición al procesado. </w:t>
      </w:r>
    </w:p>
    <w:p w:rsidR="001F1884" w:rsidRPr="00165990" w:rsidRDefault="001F1884" w:rsidP="00E54582">
      <w:pPr>
        <w:pStyle w:val="Prrafodelista"/>
        <w:spacing w:line="276" w:lineRule="auto"/>
        <w:rPr>
          <w:rFonts w:ascii="Arial" w:eastAsiaTheme="minorHAnsi" w:hAnsi="Arial" w:cs="Arial"/>
          <w:spacing w:val="-2"/>
          <w:lang w:val="es-CO" w:eastAsia="en-US"/>
        </w:rPr>
      </w:pPr>
    </w:p>
    <w:p w:rsidR="00D163F7" w:rsidRPr="00165990" w:rsidRDefault="006C2D0D" w:rsidP="00E54582">
      <w:pPr>
        <w:numPr>
          <w:ilvl w:val="0"/>
          <w:numId w:val="4"/>
        </w:numPr>
        <w:spacing w:line="276" w:lineRule="auto"/>
        <w:contextualSpacing/>
        <w:jc w:val="both"/>
        <w:rPr>
          <w:rFonts w:ascii="Arial" w:eastAsiaTheme="minorHAnsi" w:hAnsi="Arial" w:cs="Arial"/>
          <w:spacing w:val="-2"/>
          <w:lang w:val="es-CO" w:eastAsia="en-US"/>
        </w:rPr>
      </w:pPr>
      <w:r w:rsidRPr="00165990">
        <w:rPr>
          <w:rFonts w:ascii="Arial" w:eastAsiaTheme="minorHAnsi" w:hAnsi="Arial" w:cs="Arial"/>
          <w:spacing w:val="-2"/>
          <w:lang w:val="es-CO" w:eastAsia="en-US"/>
        </w:rPr>
        <w:t xml:space="preserve">Dentro de las presentes diligencias, mal haría </w:t>
      </w:r>
      <w:r w:rsidR="003E25D7" w:rsidRPr="00165990">
        <w:rPr>
          <w:rFonts w:ascii="Arial" w:eastAsiaTheme="minorHAnsi" w:hAnsi="Arial" w:cs="Arial"/>
          <w:spacing w:val="-2"/>
          <w:lang w:val="es-CO" w:eastAsia="en-US"/>
        </w:rPr>
        <w:t xml:space="preserve">la </w:t>
      </w:r>
      <w:r w:rsidRPr="00165990">
        <w:rPr>
          <w:rFonts w:ascii="Arial" w:eastAsiaTheme="minorHAnsi" w:hAnsi="Arial" w:cs="Arial"/>
          <w:spacing w:val="-2"/>
          <w:lang w:val="es-CO" w:eastAsia="en-US"/>
        </w:rPr>
        <w:t xml:space="preserve">FGN reconocer la circunstancia </w:t>
      </w:r>
      <w:r w:rsidR="003E25D7" w:rsidRPr="00165990">
        <w:rPr>
          <w:rFonts w:ascii="Arial" w:eastAsiaTheme="minorHAnsi" w:hAnsi="Arial" w:cs="Arial"/>
          <w:spacing w:val="-2"/>
          <w:lang w:val="es-CO" w:eastAsia="en-US"/>
        </w:rPr>
        <w:t xml:space="preserve">prevista en el artículo 56 del </w:t>
      </w:r>
      <w:proofErr w:type="spellStart"/>
      <w:r w:rsidR="003E25D7" w:rsidRPr="00165990">
        <w:rPr>
          <w:rFonts w:ascii="Arial" w:eastAsiaTheme="minorHAnsi" w:hAnsi="Arial" w:cs="Arial"/>
          <w:spacing w:val="-2"/>
          <w:lang w:val="es-CO" w:eastAsia="en-US"/>
        </w:rPr>
        <w:t>CP</w:t>
      </w:r>
      <w:proofErr w:type="spellEnd"/>
      <w:r w:rsidR="003E25D7" w:rsidRPr="00165990">
        <w:rPr>
          <w:rFonts w:ascii="Arial" w:eastAsiaTheme="minorHAnsi" w:hAnsi="Arial" w:cs="Arial"/>
          <w:spacing w:val="-2"/>
          <w:lang w:val="es-CO" w:eastAsia="en-US"/>
        </w:rPr>
        <w:t xml:space="preserve"> </w:t>
      </w:r>
      <w:r w:rsidRPr="00165990">
        <w:rPr>
          <w:rFonts w:ascii="Arial" w:eastAsiaTheme="minorHAnsi" w:hAnsi="Arial" w:cs="Arial"/>
          <w:spacing w:val="-2"/>
          <w:lang w:val="es-CO" w:eastAsia="en-US"/>
        </w:rPr>
        <w:t>a la cual se ha hecho mención, con base en los postulados de la SU 479 de 2019, ya que lo que aquí se debate tiene que ver con el reconocimiento de un aspecto que afecta la tipicidad</w:t>
      </w:r>
      <w:r w:rsidR="00A57AD8" w:rsidRPr="00165990">
        <w:rPr>
          <w:rFonts w:ascii="Arial" w:eastAsiaTheme="minorHAnsi" w:hAnsi="Arial" w:cs="Arial"/>
          <w:spacing w:val="-2"/>
          <w:lang w:val="es-CO" w:eastAsia="en-US"/>
        </w:rPr>
        <w:t xml:space="preserve">, </w:t>
      </w:r>
      <w:r w:rsidRPr="00165990">
        <w:rPr>
          <w:rFonts w:ascii="Arial" w:eastAsiaTheme="minorHAnsi" w:hAnsi="Arial" w:cs="Arial"/>
          <w:spacing w:val="-2"/>
          <w:lang w:val="es-CO" w:eastAsia="en-US"/>
        </w:rPr>
        <w:t>porque la coparticipación criminal es un dispositivo amplificador del tipo penal, circunstancia que efectivamente puede ser modificada a través de la realización de un preacuerdo</w:t>
      </w:r>
      <w:r w:rsidR="00D163F7" w:rsidRPr="00165990">
        <w:rPr>
          <w:rFonts w:ascii="Arial" w:eastAsiaTheme="minorHAnsi" w:hAnsi="Arial" w:cs="Arial"/>
          <w:spacing w:val="-2"/>
          <w:lang w:val="es-CO" w:eastAsia="en-US"/>
        </w:rPr>
        <w:t>, así se</w:t>
      </w:r>
      <w:r w:rsidR="003E25D7" w:rsidRPr="00165990">
        <w:rPr>
          <w:rFonts w:ascii="Arial" w:eastAsiaTheme="minorHAnsi" w:hAnsi="Arial" w:cs="Arial"/>
          <w:spacing w:val="-2"/>
          <w:lang w:val="es-CO" w:eastAsia="en-US"/>
        </w:rPr>
        <w:t xml:space="preserve"> vulnere el principio de </w:t>
      </w:r>
      <w:proofErr w:type="spellStart"/>
      <w:r w:rsidR="003E25D7" w:rsidRPr="00165990">
        <w:rPr>
          <w:rFonts w:ascii="Arial" w:eastAsiaTheme="minorHAnsi" w:hAnsi="Arial" w:cs="Arial"/>
          <w:spacing w:val="-2"/>
          <w:lang w:val="es-CO" w:eastAsia="en-US"/>
        </w:rPr>
        <w:t>accesoriedad</w:t>
      </w:r>
      <w:proofErr w:type="spellEnd"/>
      <w:r w:rsidR="003E25D7" w:rsidRPr="00165990">
        <w:rPr>
          <w:rFonts w:ascii="Arial" w:eastAsiaTheme="minorHAnsi" w:hAnsi="Arial" w:cs="Arial"/>
          <w:spacing w:val="-2"/>
          <w:lang w:val="es-CO" w:eastAsia="en-US"/>
        </w:rPr>
        <w:t>.</w:t>
      </w:r>
      <w:r w:rsidRPr="00165990">
        <w:rPr>
          <w:rFonts w:ascii="Arial" w:eastAsiaTheme="minorHAnsi" w:hAnsi="Arial" w:cs="Arial"/>
          <w:spacing w:val="-2"/>
          <w:lang w:val="es-CO" w:eastAsia="en-US"/>
        </w:rPr>
        <w:t xml:space="preserve"> </w:t>
      </w:r>
    </w:p>
    <w:p w:rsidR="00D163F7" w:rsidRPr="00165990" w:rsidRDefault="00D163F7" w:rsidP="00E54582">
      <w:pPr>
        <w:pStyle w:val="Prrafodelista"/>
        <w:spacing w:line="276" w:lineRule="auto"/>
        <w:rPr>
          <w:rFonts w:ascii="Arial" w:eastAsiaTheme="minorHAnsi" w:hAnsi="Arial" w:cs="Arial"/>
          <w:spacing w:val="-2"/>
          <w:lang w:val="es-CO" w:eastAsia="en-US"/>
        </w:rPr>
      </w:pPr>
    </w:p>
    <w:p w:rsidR="00D163F7" w:rsidRPr="00165990" w:rsidRDefault="006C2D0D" w:rsidP="00E54582">
      <w:pPr>
        <w:numPr>
          <w:ilvl w:val="0"/>
          <w:numId w:val="4"/>
        </w:numPr>
        <w:spacing w:after="160" w:line="276" w:lineRule="auto"/>
        <w:contextualSpacing/>
        <w:jc w:val="both"/>
        <w:rPr>
          <w:rFonts w:ascii="Arial" w:eastAsiaTheme="minorHAnsi" w:hAnsi="Arial" w:cs="Arial"/>
          <w:spacing w:val="-2"/>
          <w:lang w:val="es-CO" w:eastAsia="en-US"/>
        </w:rPr>
      </w:pPr>
      <w:r w:rsidRPr="00165990">
        <w:rPr>
          <w:rFonts w:ascii="Arial" w:eastAsiaTheme="minorHAnsi" w:hAnsi="Arial" w:cs="Arial"/>
          <w:spacing w:val="-2"/>
          <w:lang w:val="es-CO" w:eastAsia="en-US"/>
        </w:rPr>
        <w:t xml:space="preserve">El </w:t>
      </w:r>
      <w:r w:rsidR="007D65A0" w:rsidRPr="00165990">
        <w:rPr>
          <w:rFonts w:ascii="Arial" w:eastAsiaTheme="minorHAnsi" w:hAnsi="Arial" w:cs="Arial"/>
          <w:spacing w:val="-2"/>
          <w:lang w:val="es-CO" w:eastAsia="en-US"/>
        </w:rPr>
        <w:t>juez d</w:t>
      </w:r>
      <w:r w:rsidRPr="00165990">
        <w:rPr>
          <w:rFonts w:ascii="Arial" w:eastAsiaTheme="minorHAnsi" w:hAnsi="Arial" w:cs="Arial"/>
          <w:spacing w:val="-2"/>
          <w:lang w:val="es-CO" w:eastAsia="en-US"/>
        </w:rPr>
        <w:t>e conocimiento considera que no es viable mutar</w:t>
      </w:r>
      <w:r w:rsidR="00777C2F" w:rsidRPr="00165990">
        <w:rPr>
          <w:rFonts w:ascii="Arial" w:eastAsiaTheme="minorHAnsi" w:hAnsi="Arial" w:cs="Arial"/>
          <w:spacing w:val="-2"/>
          <w:lang w:val="es-CO" w:eastAsia="en-US"/>
        </w:rPr>
        <w:t xml:space="preserve"> el grado de </w:t>
      </w:r>
      <w:r w:rsidR="007D65A0" w:rsidRPr="00165990">
        <w:rPr>
          <w:rFonts w:ascii="Arial" w:eastAsiaTheme="minorHAnsi" w:hAnsi="Arial" w:cs="Arial"/>
          <w:spacing w:val="-2"/>
          <w:lang w:val="es-CO" w:eastAsia="en-US"/>
        </w:rPr>
        <w:t xml:space="preserve">participación del acusado, acudiendo a la ficción de considerarlo partícipe y no autor de la conducta de violación del artículo 376 del </w:t>
      </w:r>
      <w:proofErr w:type="spellStart"/>
      <w:r w:rsidR="007D65A0" w:rsidRPr="00165990">
        <w:rPr>
          <w:rFonts w:ascii="Arial" w:eastAsiaTheme="minorHAnsi" w:hAnsi="Arial" w:cs="Arial"/>
          <w:spacing w:val="-2"/>
          <w:lang w:val="es-CO" w:eastAsia="en-US"/>
        </w:rPr>
        <w:t>CP</w:t>
      </w:r>
      <w:proofErr w:type="spellEnd"/>
      <w:r w:rsidR="007D65A0" w:rsidRPr="00165990">
        <w:rPr>
          <w:rFonts w:ascii="Arial" w:eastAsiaTheme="minorHAnsi" w:hAnsi="Arial" w:cs="Arial"/>
          <w:spacing w:val="-2"/>
          <w:lang w:val="es-CO" w:eastAsia="en-US"/>
        </w:rPr>
        <w:t xml:space="preserve">, </w:t>
      </w:r>
      <w:r w:rsidRPr="00165990">
        <w:rPr>
          <w:rFonts w:ascii="Arial" w:eastAsiaTheme="minorHAnsi" w:hAnsi="Arial" w:cs="Arial"/>
          <w:spacing w:val="-2"/>
          <w:lang w:val="es-CO" w:eastAsia="en-US"/>
        </w:rPr>
        <w:t>ya que en el presente evento no se encuentra acreditado que exista un cómplice, pues necesariamente deb</w:t>
      </w:r>
      <w:r w:rsidR="003E25D7" w:rsidRPr="00165990">
        <w:rPr>
          <w:rFonts w:ascii="Arial" w:eastAsiaTheme="minorHAnsi" w:hAnsi="Arial" w:cs="Arial"/>
          <w:spacing w:val="-2"/>
          <w:lang w:val="es-CO" w:eastAsia="en-US"/>
        </w:rPr>
        <w:t>ía existir un autor,</w:t>
      </w:r>
      <w:r w:rsidRPr="00165990">
        <w:rPr>
          <w:rFonts w:ascii="Arial" w:eastAsiaTheme="minorHAnsi" w:hAnsi="Arial" w:cs="Arial"/>
          <w:spacing w:val="-2"/>
          <w:lang w:val="es-CO" w:eastAsia="en-US"/>
        </w:rPr>
        <w:t xml:space="preserve"> pero como precisamente se trata de una ficción, no resulta válido dar aplicación </w:t>
      </w:r>
      <w:r w:rsidR="00D163F7" w:rsidRPr="00165990">
        <w:rPr>
          <w:rFonts w:ascii="Arial" w:eastAsiaTheme="minorHAnsi" w:hAnsi="Arial" w:cs="Arial"/>
          <w:spacing w:val="-2"/>
          <w:lang w:val="es-CO" w:eastAsia="en-US"/>
        </w:rPr>
        <w:t>a “rajatabla”</w:t>
      </w:r>
      <w:r w:rsidR="003E25D7" w:rsidRPr="00165990">
        <w:rPr>
          <w:rFonts w:ascii="Arial" w:eastAsiaTheme="minorHAnsi" w:hAnsi="Arial" w:cs="Arial"/>
          <w:spacing w:val="-2"/>
          <w:lang w:val="es-CO" w:eastAsia="en-US"/>
        </w:rPr>
        <w:t xml:space="preserve"> a la sentencia S</w:t>
      </w:r>
      <w:r w:rsidR="007D65A0" w:rsidRPr="00165990">
        <w:rPr>
          <w:rFonts w:ascii="Arial" w:eastAsiaTheme="minorHAnsi" w:hAnsi="Arial" w:cs="Arial"/>
          <w:spacing w:val="-2"/>
          <w:lang w:val="es-CO" w:eastAsia="en-US"/>
        </w:rPr>
        <w:t>U</w:t>
      </w:r>
      <w:r w:rsidR="00D163F7" w:rsidRPr="00165990">
        <w:rPr>
          <w:rFonts w:ascii="Arial" w:eastAsiaTheme="minorHAnsi" w:hAnsi="Arial" w:cs="Arial"/>
          <w:spacing w:val="-2"/>
          <w:lang w:val="es-CO" w:eastAsia="en-US"/>
        </w:rPr>
        <w:t>-</w:t>
      </w:r>
      <w:r w:rsidR="003E25D7" w:rsidRPr="00165990">
        <w:rPr>
          <w:rFonts w:ascii="Arial" w:eastAsiaTheme="minorHAnsi" w:hAnsi="Arial" w:cs="Arial"/>
          <w:spacing w:val="-2"/>
          <w:lang w:val="es-CO" w:eastAsia="en-US"/>
        </w:rPr>
        <w:t xml:space="preserve">479 de 2019 como lo hizo el </w:t>
      </w:r>
      <w:r w:rsidRPr="00165990">
        <w:rPr>
          <w:rFonts w:ascii="Arial" w:eastAsiaTheme="minorHAnsi" w:hAnsi="Arial" w:cs="Arial"/>
          <w:i/>
          <w:spacing w:val="-2"/>
          <w:lang w:val="es-CO" w:eastAsia="en-US"/>
        </w:rPr>
        <w:t>A quo</w:t>
      </w:r>
      <w:r w:rsidRPr="00165990">
        <w:rPr>
          <w:rFonts w:ascii="Arial" w:eastAsiaTheme="minorHAnsi" w:hAnsi="Arial" w:cs="Arial"/>
          <w:spacing w:val="-2"/>
          <w:lang w:val="es-CO" w:eastAsia="en-US"/>
        </w:rPr>
        <w:t xml:space="preserve"> , máxime cuando en la decisión se indicó que la FGN no ha establecido las reglas específicas frente a casos como el estudiado, </w:t>
      </w:r>
      <w:r w:rsidR="00D163F7" w:rsidRPr="00165990">
        <w:rPr>
          <w:rFonts w:ascii="Arial" w:eastAsiaTheme="minorHAnsi" w:hAnsi="Arial" w:cs="Arial"/>
          <w:spacing w:val="-2"/>
          <w:lang w:val="es-CO" w:eastAsia="en-US"/>
        </w:rPr>
        <w:t>ya que se</w:t>
      </w:r>
      <w:r w:rsidR="00A57AD8" w:rsidRPr="00165990">
        <w:rPr>
          <w:rFonts w:ascii="Arial" w:eastAsiaTheme="minorHAnsi" w:hAnsi="Arial" w:cs="Arial"/>
          <w:spacing w:val="-2"/>
          <w:lang w:val="es-CO" w:eastAsia="en-US"/>
        </w:rPr>
        <w:t xml:space="preserve"> </w:t>
      </w:r>
      <w:r w:rsidRPr="00165990">
        <w:rPr>
          <w:rFonts w:ascii="Arial" w:eastAsiaTheme="minorHAnsi" w:hAnsi="Arial" w:cs="Arial"/>
          <w:spacing w:val="-2"/>
          <w:lang w:val="es-CO" w:eastAsia="en-US"/>
        </w:rPr>
        <w:t xml:space="preserve">debe </w:t>
      </w:r>
      <w:r w:rsidR="00A57AD8" w:rsidRPr="00165990">
        <w:rPr>
          <w:rFonts w:ascii="Arial" w:eastAsiaTheme="minorHAnsi" w:hAnsi="Arial" w:cs="Arial"/>
          <w:spacing w:val="-2"/>
          <w:lang w:val="es-CO" w:eastAsia="en-US"/>
        </w:rPr>
        <w:t xml:space="preserve">tener en cuenta que esa </w:t>
      </w:r>
      <w:r w:rsidRPr="00165990">
        <w:rPr>
          <w:rFonts w:ascii="Arial" w:eastAsiaTheme="minorHAnsi" w:hAnsi="Arial" w:cs="Arial"/>
          <w:spacing w:val="-2"/>
          <w:lang w:val="es-CO" w:eastAsia="en-US"/>
        </w:rPr>
        <w:t>entidad expidió la directiva 01 del 2019</w:t>
      </w:r>
      <w:r w:rsidR="007D65A0" w:rsidRPr="00165990">
        <w:rPr>
          <w:rFonts w:ascii="Arial" w:eastAsiaTheme="minorHAnsi" w:hAnsi="Arial" w:cs="Arial"/>
          <w:spacing w:val="-2"/>
          <w:lang w:val="es-CO" w:eastAsia="en-US"/>
        </w:rPr>
        <w:t>,</w:t>
      </w:r>
      <w:r w:rsidR="00D163F7" w:rsidRPr="00165990">
        <w:rPr>
          <w:rFonts w:ascii="Arial" w:eastAsiaTheme="minorHAnsi" w:hAnsi="Arial" w:cs="Arial"/>
          <w:spacing w:val="-2"/>
          <w:lang w:val="es-CO" w:eastAsia="en-US"/>
        </w:rPr>
        <w:t xml:space="preserve"> </w:t>
      </w:r>
      <w:r w:rsidR="007D65A0" w:rsidRPr="00165990">
        <w:rPr>
          <w:rFonts w:ascii="Arial" w:eastAsiaTheme="minorHAnsi" w:hAnsi="Arial" w:cs="Arial"/>
          <w:spacing w:val="-2"/>
          <w:lang w:val="es-CO" w:eastAsia="en-US"/>
        </w:rPr>
        <w:t xml:space="preserve">que se relaciona es con el reconocimiento de la </w:t>
      </w:r>
      <w:r w:rsidRPr="00165990">
        <w:rPr>
          <w:rFonts w:ascii="Arial" w:eastAsiaTheme="minorHAnsi" w:hAnsi="Arial" w:cs="Arial"/>
          <w:spacing w:val="-2"/>
          <w:lang w:val="es-CO" w:eastAsia="en-US"/>
        </w:rPr>
        <w:t>circunstancia de marginalidad</w:t>
      </w:r>
      <w:r w:rsidR="007D65A0" w:rsidRPr="00165990">
        <w:rPr>
          <w:rFonts w:ascii="Arial" w:eastAsiaTheme="minorHAnsi" w:hAnsi="Arial" w:cs="Arial"/>
          <w:spacing w:val="-2"/>
          <w:lang w:val="es-CO" w:eastAsia="en-US"/>
        </w:rPr>
        <w:t xml:space="preserve">, </w:t>
      </w:r>
      <w:r w:rsidRPr="00165990">
        <w:rPr>
          <w:rFonts w:ascii="Arial" w:eastAsiaTheme="minorHAnsi" w:hAnsi="Arial" w:cs="Arial"/>
          <w:spacing w:val="-2"/>
          <w:lang w:val="es-CO" w:eastAsia="en-US"/>
        </w:rPr>
        <w:t>si no cuentan con elementos para ello</w:t>
      </w:r>
      <w:r w:rsidR="00A57AD8" w:rsidRPr="00165990">
        <w:rPr>
          <w:rFonts w:ascii="Arial" w:eastAsiaTheme="minorHAnsi" w:hAnsi="Arial" w:cs="Arial"/>
          <w:spacing w:val="-2"/>
          <w:lang w:val="es-CO" w:eastAsia="en-US"/>
        </w:rPr>
        <w:t>. Sin embargo hay que reco</w:t>
      </w:r>
      <w:r w:rsidRPr="00165990">
        <w:rPr>
          <w:rFonts w:ascii="Arial" w:eastAsiaTheme="minorHAnsi" w:hAnsi="Arial" w:cs="Arial"/>
          <w:spacing w:val="-2"/>
          <w:lang w:val="es-CO" w:eastAsia="en-US"/>
        </w:rPr>
        <w:t xml:space="preserve">rdar que el ente investigador es el dueño de la acusación, y frente al caso específico no ha fijado las pautas respectivas </w:t>
      </w:r>
      <w:r w:rsidR="003E25D7" w:rsidRPr="00165990">
        <w:rPr>
          <w:rFonts w:ascii="Arial" w:eastAsiaTheme="minorHAnsi" w:hAnsi="Arial" w:cs="Arial"/>
          <w:spacing w:val="-2"/>
          <w:lang w:val="es-CO" w:eastAsia="en-US"/>
        </w:rPr>
        <w:t xml:space="preserve">en </w:t>
      </w:r>
      <w:r w:rsidR="00D163F7" w:rsidRPr="00165990">
        <w:rPr>
          <w:rFonts w:ascii="Arial" w:eastAsiaTheme="minorHAnsi" w:hAnsi="Arial" w:cs="Arial"/>
          <w:spacing w:val="-2"/>
          <w:lang w:val="es-CO" w:eastAsia="en-US"/>
        </w:rPr>
        <w:t xml:space="preserve">delitos unipersonales </w:t>
      </w:r>
      <w:r w:rsidRPr="00165990">
        <w:rPr>
          <w:rFonts w:ascii="Arial" w:eastAsiaTheme="minorHAnsi" w:hAnsi="Arial" w:cs="Arial"/>
          <w:spacing w:val="-2"/>
          <w:lang w:val="es-CO" w:eastAsia="en-US"/>
        </w:rPr>
        <w:t xml:space="preserve">dentro del marco del artículo 250 de la </w:t>
      </w:r>
      <w:proofErr w:type="spellStart"/>
      <w:r w:rsidRPr="00165990">
        <w:rPr>
          <w:rFonts w:ascii="Arial" w:eastAsiaTheme="minorHAnsi" w:hAnsi="Arial" w:cs="Arial"/>
          <w:spacing w:val="-2"/>
          <w:lang w:val="es-CO" w:eastAsia="en-US"/>
        </w:rPr>
        <w:t>CP</w:t>
      </w:r>
      <w:proofErr w:type="spellEnd"/>
      <w:r w:rsidRPr="00165990">
        <w:rPr>
          <w:rFonts w:ascii="Arial" w:eastAsiaTheme="minorHAnsi" w:hAnsi="Arial" w:cs="Arial"/>
          <w:spacing w:val="-2"/>
          <w:lang w:val="es-CO" w:eastAsia="en-US"/>
        </w:rPr>
        <w:t xml:space="preserve"> y de</w:t>
      </w:r>
      <w:r w:rsidR="007D65A0" w:rsidRPr="00165990">
        <w:rPr>
          <w:rFonts w:ascii="Arial" w:eastAsiaTheme="minorHAnsi" w:hAnsi="Arial" w:cs="Arial"/>
          <w:spacing w:val="-2"/>
          <w:lang w:val="es-CO" w:eastAsia="en-US"/>
        </w:rPr>
        <w:t xml:space="preserve">l principio de </w:t>
      </w:r>
      <w:r w:rsidRPr="00165990">
        <w:rPr>
          <w:rFonts w:ascii="Arial" w:eastAsiaTheme="minorHAnsi" w:hAnsi="Arial" w:cs="Arial"/>
          <w:spacing w:val="-2"/>
          <w:lang w:val="es-CO" w:eastAsia="en-US"/>
        </w:rPr>
        <w:t>legalidad</w:t>
      </w:r>
      <w:r w:rsidR="00D163F7" w:rsidRPr="00165990">
        <w:rPr>
          <w:rFonts w:ascii="Arial" w:eastAsiaTheme="minorHAnsi" w:hAnsi="Arial" w:cs="Arial"/>
          <w:spacing w:val="-2"/>
          <w:lang w:val="es-CO" w:eastAsia="en-US"/>
        </w:rPr>
        <w:t>,</w:t>
      </w:r>
      <w:r w:rsidRPr="00165990">
        <w:rPr>
          <w:rFonts w:ascii="Arial" w:eastAsiaTheme="minorHAnsi" w:hAnsi="Arial" w:cs="Arial"/>
          <w:spacing w:val="-2"/>
          <w:lang w:val="es-CO" w:eastAsia="en-US"/>
        </w:rPr>
        <w:t xml:space="preserve"> en aras de realizar las modificaciones pertinentes a los preacuerdos. </w:t>
      </w:r>
    </w:p>
    <w:p w:rsidR="00D163F7" w:rsidRPr="00165990" w:rsidRDefault="00D163F7" w:rsidP="00E54582">
      <w:pPr>
        <w:spacing w:after="160" w:line="276" w:lineRule="auto"/>
        <w:ind w:left="720"/>
        <w:contextualSpacing/>
        <w:jc w:val="both"/>
        <w:rPr>
          <w:rFonts w:ascii="Arial" w:eastAsiaTheme="minorHAnsi" w:hAnsi="Arial" w:cs="Arial"/>
          <w:spacing w:val="-2"/>
          <w:lang w:val="es-CO" w:eastAsia="en-US"/>
        </w:rPr>
      </w:pPr>
    </w:p>
    <w:p w:rsidR="00D163F7" w:rsidRPr="00165990" w:rsidRDefault="007D65A0" w:rsidP="00E54582">
      <w:pPr>
        <w:numPr>
          <w:ilvl w:val="0"/>
          <w:numId w:val="4"/>
        </w:numPr>
        <w:spacing w:line="276" w:lineRule="auto"/>
        <w:contextualSpacing/>
        <w:jc w:val="both"/>
        <w:rPr>
          <w:rFonts w:ascii="Arial" w:eastAsiaTheme="minorHAnsi" w:hAnsi="Arial" w:cs="Arial"/>
          <w:spacing w:val="-2"/>
          <w:lang w:val="es-CO" w:eastAsia="en-US"/>
        </w:rPr>
      </w:pPr>
      <w:r w:rsidRPr="00165990">
        <w:rPr>
          <w:rFonts w:ascii="Arial" w:eastAsiaTheme="minorHAnsi" w:hAnsi="Arial" w:cs="Arial"/>
          <w:spacing w:val="-2"/>
          <w:lang w:val="es-CO" w:eastAsia="en-US"/>
        </w:rPr>
        <w:t>El</w:t>
      </w:r>
      <w:r w:rsidR="006C2D0D" w:rsidRPr="00165990">
        <w:rPr>
          <w:rFonts w:ascii="Arial" w:eastAsiaTheme="minorHAnsi" w:hAnsi="Arial" w:cs="Arial"/>
          <w:spacing w:val="-2"/>
          <w:lang w:val="es-CO" w:eastAsia="en-US"/>
        </w:rPr>
        <w:t xml:space="preserve"> preacuerdo puesto en consideración del juez </w:t>
      </w:r>
      <w:r w:rsidR="00D163F7" w:rsidRPr="00165990">
        <w:rPr>
          <w:rFonts w:ascii="Arial" w:eastAsiaTheme="minorHAnsi" w:hAnsi="Arial" w:cs="Arial"/>
          <w:spacing w:val="-2"/>
          <w:lang w:val="es-CO" w:eastAsia="en-US"/>
        </w:rPr>
        <w:t>de conocimiento no</w:t>
      </w:r>
      <w:r w:rsidR="006C2D0D" w:rsidRPr="00165990">
        <w:rPr>
          <w:rFonts w:ascii="Arial" w:eastAsiaTheme="minorHAnsi" w:hAnsi="Arial" w:cs="Arial"/>
          <w:spacing w:val="-2"/>
          <w:lang w:val="es-CO" w:eastAsia="en-US"/>
        </w:rPr>
        <w:t xml:space="preserve"> vulnera el principio de legalidad, porque precisamente no se opone a las reglas que rigen </w:t>
      </w:r>
      <w:r w:rsidR="003E25D7" w:rsidRPr="00165990">
        <w:rPr>
          <w:rFonts w:ascii="Arial" w:eastAsiaTheme="minorHAnsi" w:hAnsi="Arial" w:cs="Arial"/>
          <w:spacing w:val="-2"/>
          <w:lang w:val="es-CO" w:eastAsia="en-US"/>
        </w:rPr>
        <w:t>esos pactos, y lo q</w:t>
      </w:r>
      <w:r w:rsidR="00D163F7" w:rsidRPr="00165990">
        <w:rPr>
          <w:rFonts w:ascii="Arial" w:eastAsiaTheme="minorHAnsi" w:hAnsi="Arial" w:cs="Arial"/>
          <w:spacing w:val="-2"/>
          <w:lang w:val="es-CO" w:eastAsia="en-US"/>
        </w:rPr>
        <w:t>ue hizo el juez de primer grado</w:t>
      </w:r>
      <w:r w:rsidR="006C2D0D" w:rsidRPr="00165990">
        <w:rPr>
          <w:rFonts w:ascii="Arial" w:eastAsiaTheme="minorHAnsi" w:hAnsi="Arial" w:cs="Arial"/>
          <w:spacing w:val="-2"/>
          <w:lang w:val="es-CO" w:eastAsia="en-US"/>
        </w:rPr>
        <w:t xml:space="preserve"> fue una interpretación </w:t>
      </w:r>
      <w:r w:rsidR="006C2D0D" w:rsidRPr="00165990">
        <w:rPr>
          <w:rFonts w:ascii="Arial" w:eastAsiaTheme="minorHAnsi" w:hAnsi="Arial" w:cs="Arial"/>
          <w:i/>
          <w:spacing w:val="-2"/>
          <w:lang w:val="es-CO" w:eastAsia="en-US"/>
        </w:rPr>
        <w:t>in</w:t>
      </w:r>
      <w:r w:rsidR="00A57AD8" w:rsidRPr="00165990">
        <w:rPr>
          <w:rFonts w:ascii="Arial" w:eastAsiaTheme="minorHAnsi" w:hAnsi="Arial" w:cs="Arial"/>
          <w:i/>
          <w:spacing w:val="-2"/>
          <w:lang w:val="es-CO" w:eastAsia="en-US"/>
        </w:rPr>
        <w:t xml:space="preserve"> </w:t>
      </w:r>
      <w:r w:rsidR="006C2D0D" w:rsidRPr="00165990">
        <w:rPr>
          <w:rFonts w:ascii="Arial" w:eastAsiaTheme="minorHAnsi" w:hAnsi="Arial" w:cs="Arial"/>
          <w:i/>
          <w:spacing w:val="-2"/>
          <w:lang w:val="es-CO" w:eastAsia="en-US"/>
        </w:rPr>
        <w:t>extenso</w:t>
      </w:r>
      <w:r w:rsidR="006C2D0D" w:rsidRPr="00165990">
        <w:rPr>
          <w:rFonts w:ascii="Arial" w:eastAsiaTheme="minorHAnsi" w:hAnsi="Arial" w:cs="Arial"/>
          <w:spacing w:val="-2"/>
          <w:lang w:val="es-CO" w:eastAsia="en-US"/>
        </w:rPr>
        <w:t xml:space="preserve"> y con unos alcances que no los contiene la norma</w:t>
      </w:r>
      <w:r w:rsidR="00A57AD8" w:rsidRPr="00165990">
        <w:rPr>
          <w:rFonts w:ascii="Arial" w:eastAsiaTheme="minorHAnsi" w:hAnsi="Arial" w:cs="Arial"/>
          <w:spacing w:val="-2"/>
          <w:lang w:val="es-CO" w:eastAsia="en-US"/>
        </w:rPr>
        <w:t xml:space="preserve">, </w:t>
      </w:r>
      <w:r w:rsidRPr="00165990">
        <w:rPr>
          <w:rFonts w:ascii="Arial" w:eastAsiaTheme="minorHAnsi" w:hAnsi="Arial" w:cs="Arial"/>
          <w:spacing w:val="-2"/>
          <w:lang w:val="es-CO" w:eastAsia="en-US"/>
        </w:rPr>
        <w:t>para negar la mutación de la imputación a un di</w:t>
      </w:r>
      <w:r w:rsidR="006C2D0D" w:rsidRPr="00165990">
        <w:rPr>
          <w:rFonts w:ascii="Arial" w:eastAsiaTheme="minorHAnsi" w:hAnsi="Arial" w:cs="Arial"/>
          <w:spacing w:val="-2"/>
          <w:lang w:val="es-CO" w:eastAsia="en-US"/>
        </w:rPr>
        <w:t>spositivo amplificador del tipo</w:t>
      </w:r>
      <w:r w:rsidRPr="00165990">
        <w:rPr>
          <w:rFonts w:ascii="Arial" w:eastAsiaTheme="minorHAnsi" w:hAnsi="Arial" w:cs="Arial"/>
          <w:spacing w:val="-2"/>
          <w:lang w:val="es-CO" w:eastAsia="en-US"/>
        </w:rPr>
        <w:t xml:space="preserve">, que permitiría dar </w:t>
      </w:r>
      <w:r w:rsidR="006C2D0D" w:rsidRPr="00165990">
        <w:rPr>
          <w:rFonts w:ascii="Arial" w:eastAsiaTheme="minorHAnsi" w:hAnsi="Arial" w:cs="Arial"/>
          <w:spacing w:val="-2"/>
          <w:lang w:val="es-CO" w:eastAsia="en-US"/>
        </w:rPr>
        <w:t xml:space="preserve">solución </w:t>
      </w:r>
      <w:r w:rsidRPr="00165990">
        <w:rPr>
          <w:rFonts w:ascii="Arial" w:eastAsiaTheme="minorHAnsi" w:hAnsi="Arial" w:cs="Arial"/>
          <w:spacing w:val="-2"/>
          <w:lang w:val="es-CO" w:eastAsia="en-US"/>
        </w:rPr>
        <w:t xml:space="preserve">al caso del señor </w:t>
      </w:r>
      <w:proofErr w:type="spellStart"/>
      <w:r w:rsidR="005D5D2D" w:rsidRPr="00165990">
        <w:rPr>
          <w:rFonts w:ascii="Arial" w:eastAsiaTheme="minorHAnsi" w:hAnsi="Arial" w:cs="Arial"/>
          <w:spacing w:val="-2"/>
          <w:lang w:val="es-CO" w:eastAsia="en-US"/>
        </w:rPr>
        <w:t>AMM</w:t>
      </w:r>
      <w:proofErr w:type="spellEnd"/>
      <w:r w:rsidRPr="00165990">
        <w:rPr>
          <w:rFonts w:ascii="Arial" w:eastAsiaTheme="minorHAnsi" w:hAnsi="Arial" w:cs="Arial"/>
          <w:spacing w:val="-2"/>
          <w:lang w:val="es-CO" w:eastAsia="en-US"/>
        </w:rPr>
        <w:t>.</w:t>
      </w:r>
      <w:r w:rsidR="006C2D0D" w:rsidRPr="00165990">
        <w:rPr>
          <w:rFonts w:ascii="Arial" w:eastAsiaTheme="minorHAnsi" w:hAnsi="Arial" w:cs="Arial"/>
          <w:spacing w:val="-2"/>
          <w:lang w:val="es-CO" w:eastAsia="en-US"/>
        </w:rPr>
        <w:t xml:space="preserve"> </w:t>
      </w:r>
    </w:p>
    <w:p w:rsidR="00D163F7" w:rsidRPr="00165990" w:rsidRDefault="00D163F7" w:rsidP="00E54582">
      <w:pPr>
        <w:pStyle w:val="Prrafodelista"/>
        <w:spacing w:line="276" w:lineRule="auto"/>
        <w:rPr>
          <w:rFonts w:ascii="Arial" w:eastAsiaTheme="minorHAnsi" w:hAnsi="Arial" w:cs="Arial"/>
          <w:spacing w:val="-2"/>
          <w:lang w:val="es-CO" w:eastAsia="en-US"/>
        </w:rPr>
      </w:pPr>
    </w:p>
    <w:p w:rsidR="00D163F7" w:rsidRPr="00165990" w:rsidRDefault="00A57AD8" w:rsidP="00E54582">
      <w:pPr>
        <w:numPr>
          <w:ilvl w:val="0"/>
          <w:numId w:val="4"/>
        </w:numPr>
        <w:spacing w:line="276" w:lineRule="auto"/>
        <w:contextualSpacing/>
        <w:jc w:val="both"/>
        <w:rPr>
          <w:rFonts w:ascii="Arial" w:eastAsiaTheme="minorHAnsi" w:hAnsi="Arial" w:cs="Arial"/>
          <w:spacing w:val="-2"/>
          <w:lang w:val="es-CO" w:eastAsia="en-US"/>
        </w:rPr>
      </w:pPr>
      <w:r w:rsidRPr="00165990">
        <w:rPr>
          <w:rFonts w:ascii="Arial" w:eastAsiaTheme="minorHAnsi" w:hAnsi="Arial" w:cs="Arial"/>
          <w:spacing w:val="-2"/>
          <w:lang w:val="es-CO" w:eastAsia="en-US"/>
        </w:rPr>
        <w:lastRenderedPageBreak/>
        <w:t xml:space="preserve">La </w:t>
      </w:r>
      <w:r w:rsidR="006C2D0D" w:rsidRPr="00165990">
        <w:rPr>
          <w:rFonts w:ascii="Arial" w:eastAsiaTheme="minorHAnsi" w:hAnsi="Arial" w:cs="Arial"/>
          <w:spacing w:val="-2"/>
          <w:lang w:val="es-CO" w:eastAsia="en-US"/>
        </w:rPr>
        <w:t>coparticipación puede presentarse en los delitos de verbos alternativos, porque de lo contrario, dicha situación solo se configuraría en aquellos punibles cometidos “de propia mano”, y de llegar a prosperar</w:t>
      </w:r>
      <w:r w:rsidR="006E36DD" w:rsidRPr="00165990">
        <w:rPr>
          <w:rFonts w:ascii="Arial" w:eastAsiaTheme="minorHAnsi" w:hAnsi="Arial" w:cs="Arial"/>
          <w:spacing w:val="-2"/>
          <w:lang w:val="es-CO" w:eastAsia="en-US"/>
        </w:rPr>
        <w:t xml:space="preserve"> la </w:t>
      </w:r>
      <w:r w:rsidR="006C2D0D" w:rsidRPr="00165990">
        <w:rPr>
          <w:rFonts w:ascii="Arial" w:eastAsiaTheme="minorHAnsi" w:hAnsi="Arial" w:cs="Arial"/>
          <w:spacing w:val="-2"/>
          <w:lang w:val="es-CO" w:eastAsia="en-US"/>
        </w:rPr>
        <w:t>perspectiva</w:t>
      </w:r>
      <w:r w:rsidR="006E36DD" w:rsidRPr="00165990">
        <w:rPr>
          <w:rFonts w:ascii="Arial" w:eastAsiaTheme="minorHAnsi" w:hAnsi="Arial" w:cs="Arial"/>
          <w:spacing w:val="-2"/>
          <w:lang w:val="es-CO" w:eastAsia="en-US"/>
        </w:rPr>
        <w:t xml:space="preserve"> del juez de primer grado,</w:t>
      </w:r>
      <w:r w:rsidR="006C2D0D" w:rsidRPr="00165990">
        <w:rPr>
          <w:rFonts w:ascii="Arial" w:eastAsiaTheme="minorHAnsi" w:hAnsi="Arial" w:cs="Arial"/>
          <w:spacing w:val="-2"/>
          <w:lang w:val="es-CO" w:eastAsia="en-US"/>
        </w:rPr>
        <w:t xml:space="preserve"> se generaría un retroceso en el sistema penal </w:t>
      </w:r>
      <w:r w:rsidR="00D163F7" w:rsidRPr="00165990">
        <w:rPr>
          <w:rFonts w:ascii="Arial" w:eastAsiaTheme="minorHAnsi" w:hAnsi="Arial" w:cs="Arial"/>
          <w:spacing w:val="-2"/>
          <w:lang w:val="es-CO" w:eastAsia="en-US"/>
        </w:rPr>
        <w:t xml:space="preserve">de carácter </w:t>
      </w:r>
      <w:proofErr w:type="spellStart"/>
      <w:r w:rsidR="006C2D0D" w:rsidRPr="00165990">
        <w:rPr>
          <w:rFonts w:ascii="Arial" w:eastAsiaTheme="minorHAnsi" w:hAnsi="Arial" w:cs="Arial"/>
          <w:spacing w:val="-2"/>
          <w:lang w:val="es-CO" w:eastAsia="en-US"/>
        </w:rPr>
        <w:t>premial</w:t>
      </w:r>
      <w:proofErr w:type="spellEnd"/>
      <w:r w:rsidR="006C2D0D" w:rsidRPr="00165990">
        <w:rPr>
          <w:rFonts w:ascii="Arial" w:eastAsiaTheme="minorHAnsi" w:hAnsi="Arial" w:cs="Arial"/>
          <w:spacing w:val="-2"/>
          <w:lang w:val="es-CO" w:eastAsia="en-US"/>
        </w:rPr>
        <w:t xml:space="preserve">. </w:t>
      </w:r>
    </w:p>
    <w:p w:rsidR="00D163F7" w:rsidRPr="00165990" w:rsidRDefault="00D163F7" w:rsidP="00E54582">
      <w:pPr>
        <w:pStyle w:val="Prrafodelista"/>
        <w:spacing w:line="276" w:lineRule="auto"/>
        <w:rPr>
          <w:rFonts w:ascii="Arial" w:eastAsiaTheme="minorHAnsi" w:hAnsi="Arial" w:cs="Arial"/>
          <w:spacing w:val="-2"/>
          <w:lang w:val="es-CO" w:eastAsia="en-US"/>
        </w:rPr>
      </w:pPr>
    </w:p>
    <w:p w:rsidR="006C2D0D" w:rsidRPr="00165990" w:rsidRDefault="006C2D0D" w:rsidP="00E54582">
      <w:pPr>
        <w:numPr>
          <w:ilvl w:val="0"/>
          <w:numId w:val="4"/>
        </w:numPr>
        <w:spacing w:after="160" w:line="276" w:lineRule="auto"/>
        <w:contextualSpacing/>
        <w:jc w:val="both"/>
        <w:rPr>
          <w:rFonts w:ascii="Arial" w:eastAsiaTheme="minorHAnsi" w:hAnsi="Arial" w:cs="Arial"/>
          <w:spacing w:val="-2"/>
          <w:lang w:val="es-CO" w:eastAsia="en-US"/>
        </w:rPr>
      </w:pPr>
      <w:r w:rsidRPr="00165990">
        <w:rPr>
          <w:rFonts w:ascii="Arial" w:eastAsiaTheme="minorHAnsi" w:hAnsi="Arial" w:cs="Arial"/>
          <w:spacing w:val="-2"/>
          <w:lang w:val="es-CO" w:eastAsia="en-US"/>
        </w:rPr>
        <w:t>Solicitó que se revocara la decisión de primer nivel y se diera aval a la negociación puesta en consideración, ya que en el caso concreto no es aplicable el alcance de la sentencia SU-479/2019 porque no</w:t>
      </w:r>
      <w:r w:rsidR="00A57AD8" w:rsidRPr="00165990">
        <w:rPr>
          <w:rFonts w:ascii="Arial" w:eastAsiaTheme="minorHAnsi" w:hAnsi="Arial" w:cs="Arial"/>
          <w:spacing w:val="-2"/>
          <w:lang w:val="es-CO" w:eastAsia="en-US"/>
        </w:rPr>
        <w:t xml:space="preserve"> se trata de una </w:t>
      </w:r>
      <w:r w:rsidRPr="00165990">
        <w:rPr>
          <w:rFonts w:ascii="Arial" w:eastAsiaTheme="minorHAnsi" w:hAnsi="Arial" w:cs="Arial"/>
          <w:spacing w:val="-2"/>
          <w:lang w:val="es-CO" w:eastAsia="en-US"/>
        </w:rPr>
        <w:t xml:space="preserve">situación análoga a los hechos </w:t>
      </w:r>
      <w:r w:rsidR="00A57AD8" w:rsidRPr="00165990">
        <w:rPr>
          <w:rFonts w:ascii="Arial" w:eastAsiaTheme="minorHAnsi" w:hAnsi="Arial" w:cs="Arial"/>
          <w:spacing w:val="-2"/>
          <w:lang w:val="es-CO" w:eastAsia="en-US"/>
        </w:rPr>
        <w:t xml:space="preserve">examinados en ese precedente. </w:t>
      </w:r>
    </w:p>
    <w:p w:rsidR="006C2D0D" w:rsidRPr="00165990" w:rsidRDefault="006C2D0D" w:rsidP="00E54582">
      <w:pPr>
        <w:spacing w:line="276" w:lineRule="auto"/>
        <w:jc w:val="both"/>
        <w:rPr>
          <w:rFonts w:ascii="Arial" w:eastAsiaTheme="minorHAnsi" w:hAnsi="Arial" w:cs="Arial"/>
          <w:spacing w:val="-2"/>
          <w:lang w:val="es-CO" w:eastAsia="en-US"/>
        </w:rPr>
      </w:pPr>
    </w:p>
    <w:p w:rsidR="006C2D0D" w:rsidRPr="00165990" w:rsidRDefault="00602401" w:rsidP="00E54582">
      <w:pPr>
        <w:spacing w:after="160" w:line="276" w:lineRule="auto"/>
        <w:jc w:val="both"/>
        <w:rPr>
          <w:rFonts w:ascii="Arial" w:eastAsiaTheme="minorHAnsi" w:hAnsi="Arial" w:cs="Arial"/>
          <w:spacing w:val="-2"/>
          <w:u w:val="single"/>
          <w:lang w:val="es-CO" w:eastAsia="en-US"/>
        </w:rPr>
      </w:pPr>
      <w:r w:rsidRPr="00165990">
        <w:rPr>
          <w:rFonts w:ascii="Arial" w:eastAsiaTheme="minorHAnsi" w:hAnsi="Arial" w:cs="Arial"/>
          <w:spacing w:val="-2"/>
          <w:lang w:val="es-CO" w:eastAsia="en-US"/>
        </w:rPr>
        <w:t>5</w:t>
      </w:r>
      <w:r w:rsidR="00B0603F" w:rsidRPr="00165990">
        <w:rPr>
          <w:rFonts w:ascii="Arial" w:eastAsiaTheme="minorHAnsi" w:hAnsi="Arial" w:cs="Arial"/>
          <w:spacing w:val="-2"/>
          <w:lang w:val="es-CO" w:eastAsia="en-US"/>
        </w:rPr>
        <w:t>.3</w:t>
      </w:r>
      <w:r w:rsidR="00B0603F" w:rsidRPr="00165990">
        <w:rPr>
          <w:rFonts w:ascii="Arial" w:eastAsiaTheme="minorHAnsi" w:hAnsi="Arial" w:cs="Arial"/>
          <w:spacing w:val="-2"/>
          <w:u w:val="single"/>
          <w:lang w:val="es-CO" w:eastAsia="en-US"/>
        </w:rPr>
        <w:t xml:space="preserve"> </w:t>
      </w:r>
      <w:r w:rsidR="006C2D0D" w:rsidRPr="00165990">
        <w:rPr>
          <w:rFonts w:ascii="Arial" w:eastAsiaTheme="minorHAnsi" w:hAnsi="Arial" w:cs="Arial"/>
          <w:spacing w:val="-2"/>
          <w:u w:val="single"/>
          <w:lang w:val="es-CO" w:eastAsia="en-US"/>
        </w:rPr>
        <w:t>Defens</w:t>
      </w:r>
      <w:r w:rsidR="006E36DD" w:rsidRPr="00165990">
        <w:rPr>
          <w:rFonts w:ascii="Arial" w:eastAsiaTheme="minorHAnsi" w:hAnsi="Arial" w:cs="Arial"/>
          <w:spacing w:val="-2"/>
          <w:u w:val="single"/>
          <w:lang w:val="es-CO" w:eastAsia="en-US"/>
        </w:rPr>
        <w:t>ora del procesado</w:t>
      </w:r>
      <w:r w:rsidR="00D163F7" w:rsidRPr="00165990">
        <w:rPr>
          <w:rFonts w:ascii="Arial" w:eastAsiaTheme="minorHAnsi" w:hAnsi="Arial" w:cs="Arial"/>
          <w:spacing w:val="-2"/>
          <w:u w:val="single"/>
          <w:lang w:val="es-CO" w:eastAsia="en-US"/>
        </w:rPr>
        <w:t xml:space="preserve"> (Recurrente)</w:t>
      </w:r>
    </w:p>
    <w:p w:rsidR="00E34522" w:rsidRPr="00165990" w:rsidRDefault="00B0603F" w:rsidP="00E54582">
      <w:pPr>
        <w:pStyle w:val="Prrafodelista"/>
        <w:numPr>
          <w:ilvl w:val="0"/>
          <w:numId w:val="6"/>
        </w:numPr>
        <w:spacing w:after="160" w:line="276" w:lineRule="auto"/>
        <w:jc w:val="both"/>
        <w:rPr>
          <w:rFonts w:ascii="Arial" w:eastAsiaTheme="minorHAnsi" w:hAnsi="Arial" w:cs="Arial"/>
          <w:spacing w:val="-2"/>
          <w:lang w:val="es-CO" w:eastAsia="en-US"/>
        </w:rPr>
      </w:pPr>
      <w:r w:rsidRPr="00165990">
        <w:rPr>
          <w:rFonts w:ascii="Arial" w:eastAsiaTheme="minorHAnsi" w:hAnsi="Arial" w:cs="Arial"/>
          <w:spacing w:val="-2"/>
          <w:lang w:val="es-CO" w:eastAsia="en-US"/>
        </w:rPr>
        <w:t xml:space="preserve">El juez de conocimiento realizó un análisis </w:t>
      </w:r>
      <w:r w:rsidR="00602401" w:rsidRPr="00165990">
        <w:rPr>
          <w:rFonts w:ascii="Arial" w:eastAsiaTheme="minorHAnsi" w:hAnsi="Arial" w:cs="Arial"/>
          <w:spacing w:val="-2"/>
          <w:lang w:val="es-CO" w:eastAsia="en-US"/>
        </w:rPr>
        <w:t xml:space="preserve">de </w:t>
      </w:r>
      <w:r w:rsidRPr="00165990">
        <w:rPr>
          <w:rFonts w:ascii="Arial" w:eastAsiaTheme="minorHAnsi" w:hAnsi="Arial" w:cs="Arial"/>
          <w:spacing w:val="-2"/>
          <w:lang w:val="es-CO" w:eastAsia="en-US"/>
        </w:rPr>
        <w:t>la sentencia SU</w:t>
      </w:r>
      <w:r w:rsidR="00D163F7" w:rsidRPr="00165990">
        <w:rPr>
          <w:rFonts w:ascii="Arial" w:eastAsiaTheme="minorHAnsi" w:hAnsi="Arial" w:cs="Arial"/>
          <w:spacing w:val="-2"/>
          <w:lang w:val="es-CO" w:eastAsia="en-US"/>
        </w:rPr>
        <w:t xml:space="preserve">- </w:t>
      </w:r>
      <w:r w:rsidRPr="00165990">
        <w:rPr>
          <w:rFonts w:ascii="Arial" w:eastAsiaTheme="minorHAnsi" w:hAnsi="Arial" w:cs="Arial"/>
          <w:spacing w:val="-2"/>
          <w:lang w:val="es-CO" w:eastAsia="en-US"/>
        </w:rPr>
        <w:t>479 de 2019,</w:t>
      </w:r>
      <w:r w:rsidR="00E65952" w:rsidRPr="00165990">
        <w:rPr>
          <w:rFonts w:ascii="Arial" w:eastAsiaTheme="minorHAnsi" w:hAnsi="Arial" w:cs="Arial"/>
          <w:spacing w:val="-2"/>
          <w:lang w:val="es-CO" w:eastAsia="en-US"/>
        </w:rPr>
        <w:t xml:space="preserve"> </w:t>
      </w:r>
      <w:r w:rsidR="006E36DD" w:rsidRPr="00165990">
        <w:rPr>
          <w:rFonts w:ascii="Arial" w:eastAsiaTheme="minorHAnsi" w:hAnsi="Arial" w:cs="Arial"/>
          <w:spacing w:val="-2"/>
          <w:lang w:val="es-CO" w:eastAsia="en-US"/>
        </w:rPr>
        <w:t xml:space="preserve">sobre una acción de tutela que </w:t>
      </w:r>
      <w:r w:rsidR="00E65952" w:rsidRPr="00165990">
        <w:rPr>
          <w:rFonts w:ascii="Arial" w:eastAsiaTheme="minorHAnsi" w:hAnsi="Arial" w:cs="Arial"/>
          <w:spacing w:val="-2"/>
          <w:lang w:val="es-CO" w:eastAsia="en-US"/>
        </w:rPr>
        <w:t xml:space="preserve">se refiere a los </w:t>
      </w:r>
      <w:r w:rsidR="006C2D0D" w:rsidRPr="00165990">
        <w:rPr>
          <w:rFonts w:ascii="Arial" w:eastAsiaTheme="minorHAnsi" w:hAnsi="Arial" w:cs="Arial"/>
          <w:spacing w:val="-2"/>
          <w:lang w:val="es-CO" w:eastAsia="en-US"/>
        </w:rPr>
        <w:t xml:space="preserve">dos casos específicos </w:t>
      </w:r>
      <w:r w:rsidR="00E65952" w:rsidRPr="00165990">
        <w:rPr>
          <w:rFonts w:ascii="Arial" w:eastAsiaTheme="minorHAnsi" w:hAnsi="Arial" w:cs="Arial"/>
          <w:spacing w:val="-2"/>
          <w:lang w:val="es-CO" w:eastAsia="en-US"/>
        </w:rPr>
        <w:t xml:space="preserve">a los que hizo alusión </w:t>
      </w:r>
      <w:r w:rsidR="006C2D0D" w:rsidRPr="00165990">
        <w:rPr>
          <w:rFonts w:ascii="Arial" w:eastAsiaTheme="minorHAnsi" w:hAnsi="Arial" w:cs="Arial"/>
          <w:spacing w:val="-2"/>
          <w:lang w:val="es-CO" w:eastAsia="en-US"/>
        </w:rPr>
        <w:t xml:space="preserve">el representante del </w:t>
      </w:r>
      <w:r w:rsidR="00E34522" w:rsidRPr="00165990">
        <w:rPr>
          <w:rFonts w:ascii="Arial" w:eastAsiaTheme="minorHAnsi" w:hAnsi="Arial" w:cs="Arial"/>
          <w:spacing w:val="-2"/>
          <w:lang w:val="es-CO" w:eastAsia="en-US"/>
        </w:rPr>
        <w:t>Ministerio Público</w:t>
      </w:r>
      <w:r w:rsidR="00A57AD8" w:rsidRPr="00165990">
        <w:rPr>
          <w:rFonts w:ascii="Arial" w:eastAsiaTheme="minorHAnsi" w:hAnsi="Arial" w:cs="Arial"/>
          <w:spacing w:val="-2"/>
          <w:lang w:val="es-CO" w:eastAsia="en-US"/>
        </w:rPr>
        <w:t>.</w:t>
      </w:r>
      <w:r w:rsidR="00E34522" w:rsidRPr="00165990">
        <w:rPr>
          <w:rFonts w:ascii="Arial" w:eastAsiaTheme="minorHAnsi" w:hAnsi="Arial" w:cs="Arial"/>
          <w:spacing w:val="-2"/>
          <w:lang w:val="es-CO" w:eastAsia="en-US"/>
        </w:rPr>
        <w:t xml:space="preserve"> </w:t>
      </w:r>
    </w:p>
    <w:p w:rsidR="00E34522" w:rsidRPr="00165990" w:rsidRDefault="00E34522" w:rsidP="00E54582">
      <w:pPr>
        <w:pStyle w:val="Prrafodelista"/>
        <w:spacing w:after="160" w:line="276" w:lineRule="auto"/>
        <w:jc w:val="both"/>
        <w:rPr>
          <w:rFonts w:ascii="Arial" w:eastAsiaTheme="minorHAnsi" w:hAnsi="Arial" w:cs="Arial"/>
          <w:spacing w:val="-2"/>
          <w:lang w:val="es-CO" w:eastAsia="en-US"/>
        </w:rPr>
      </w:pPr>
    </w:p>
    <w:p w:rsidR="00E34522" w:rsidRPr="00165990" w:rsidRDefault="00E34522" w:rsidP="00E54582">
      <w:pPr>
        <w:pStyle w:val="Prrafodelista"/>
        <w:numPr>
          <w:ilvl w:val="0"/>
          <w:numId w:val="6"/>
        </w:numPr>
        <w:spacing w:after="160" w:line="276" w:lineRule="auto"/>
        <w:jc w:val="both"/>
        <w:rPr>
          <w:rFonts w:ascii="Arial" w:eastAsiaTheme="minorHAnsi" w:hAnsi="Arial" w:cs="Arial"/>
          <w:spacing w:val="-2"/>
          <w:lang w:val="es-CO" w:eastAsia="en-US"/>
        </w:rPr>
      </w:pPr>
      <w:r w:rsidRPr="00165990">
        <w:rPr>
          <w:rFonts w:ascii="Arial" w:eastAsiaTheme="minorHAnsi" w:hAnsi="Arial" w:cs="Arial"/>
          <w:spacing w:val="-2"/>
          <w:lang w:val="es-CO" w:eastAsia="en-US"/>
        </w:rPr>
        <w:t xml:space="preserve">La interpretación </w:t>
      </w:r>
      <w:r w:rsidR="00A57AD8" w:rsidRPr="00165990">
        <w:rPr>
          <w:rFonts w:ascii="Arial" w:eastAsiaTheme="minorHAnsi" w:hAnsi="Arial" w:cs="Arial"/>
          <w:spacing w:val="-2"/>
          <w:lang w:val="es-CO" w:eastAsia="en-US"/>
        </w:rPr>
        <w:t>del juez de primer grado sobre</w:t>
      </w:r>
      <w:r w:rsidR="00D163F7" w:rsidRPr="00165990">
        <w:rPr>
          <w:rFonts w:ascii="Arial" w:eastAsiaTheme="minorHAnsi" w:hAnsi="Arial" w:cs="Arial"/>
          <w:spacing w:val="-2"/>
          <w:lang w:val="es-CO" w:eastAsia="en-US"/>
        </w:rPr>
        <w:t xml:space="preserve"> el contenido de esa sentencia </w:t>
      </w:r>
      <w:r w:rsidRPr="00165990">
        <w:rPr>
          <w:rFonts w:ascii="Arial" w:eastAsiaTheme="minorHAnsi" w:hAnsi="Arial" w:cs="Arial"/>
          <w:spacing w:val="-2"/>
          <w:lang w:val="es-CO" w:eastAsia="en-US"/>
        </w:rPr>
        <w:t>atenta contra</w:t>
      </w:r>
      <w:r w:rsidR="00A57AD8" w:rsidRPr="00165990">
        <w:rPr>
          <w:rFonts w:ascii="Arial" w:eastAsiaTheme="minorHAnsi" w:hAnsi="Arial" w:cs="Arial"/>
          <w:spacing w:val="-2"/>
          <w:lang w:val="es-CO" w:eastAsia="en-US"/>
        </w:rPr>
        <w:t xml:space="preserve"> el sistema </w:t>
      </w:r>
      <w:proofErr w:type="spellStart"/>
      <w:r w:rsidRPr="00165990">
        <w:rPr>
          <w:rFonts w:ascii="Arial" w:eastAsiaTheme="minorHAnsi" w:hAnsi="Arial" w:cs="Arial"/>
          <w:spacing w:val="-2"/>
          <w:lang w:val="es-CO" w:eastAsia="en-US"/>
        </w:rPr>
        <w:t>premial</w:t>
      </w:r>
      <w:proofErr w:type="spellEnd"/>
      <w:r w:rsidRPr="00165990">
        <w:rPr>
          <w:rFonts w:ascii="Arial" w:eastAsiaTheme="minorHAnsi" w:hAnsi="Arial" w:cs="Arial"/>
          <w:spacing w:val="-2"/>
          <w:lang w:val="es-CO" w:eastAsia="en-US"/>
        </w:rPr>
        <w:t xml:space="preserve"> </w:t>
      </w:r>
      <w:r w:rsidR="00A57AD8" w:rsidRPr="00165990">
        <w:rPr>
          <w:rFonts w:ascii="Arial" w:eastAsiaTheme="minorHAnsi" w:hAnsi="Arial" w:cs="Arial"/>
          <w:spacing w:val="-2"/>
          <w:lang w:val="es-CO" w:eastAsia="en-US"/>
        </w:rPr>
        <w:t>previsto en la Ley 9</w:t>
      </w:r>
      <w:r w:rsidRPr="00165990">
        <w:rPr>
          <w:rFonts w:ascii="Arial" w:eastAsiaTheme="minorHAnsi" w:hAnsi="Arial" w:cs="Arial"/>
          <w:spacing w:val="-2"/>
          <w:lang w:val="es-CO" w:eastAsia="en-US"/>
        </w:rPr>
        <w:t xml:space="preserve">06 de 2004, el cual ha sido desarrollado </w:t>
      </w:r>
      <w:r w:rsidR="00D163F7" w:rsidRPr="00165990">
        <w:rPr>
          <w:rFonts w:ascii="Arial" w:eastAsiaTheme="minorHAnsi" w:hAnsi="Arial" w:cs="Arial"/>
          <w:spacing w:val="-2"/>
          <w:lang w:val="es-CO" w:eastAsia="en-US"/>
        </w:rPr>
        <w:t>por la</w:t>
      </w:r>
      <w:r w:rsidR="006E36DD" w:rsidRPr="00165990">
        <w:rPr>
          <w:rFonts w:ascii="Arial" w:eastAsiaTheme="minorHAnsi" w:hAnsi="Arial" w:cs="Arial"/>
          <w:spacing w:val="-2"/>
          <w:lang w:val="es-CO" w:eastAsia="en-US"/>
        </w:rPr>
        <w:t xml:space="preserve"> </w:t>
      </w:r>
      <w:r w:rsidRPr="00165990">
        <w:rPr>
          <w:rFonts w:ascii="Arial" w:eastAsiaTheme="minorHAnsi" w:hAnsi="Arial" w:cs="Arial"/>
          <w:spacing w:val="-2"/>
          <w:lang w:val="es-CO" w:eastAsia="en-US"/>
        </w:rPr>
        <w:t>jurisprudencia</w:t>
      </w:r>
      <w:r w:rsidR="00D163F7" w:rsidRPr="00165990">
        <w:rPr>
          <w:rFonts w:ascii="Arial" w:eastAsiaTheme="minorHAnsi" w:hAnsi="Arial" w:cs="Arial"/>
          <w:spacing w:val="-2"/>
          <w:lang w:val="es-CO" w:eastAsia="en-US"/>
        </w:rPr>
        <w:t xml:space="preserve"> de la</w:t>
      </w:r>
      <w:r w:rsidR="006C2D0D" w:rsidRPr="00165990">
        <w:rPr>
          <w:rFonts w:ascii="Arial" w:eastAsiaTheme="minorHAnsi" w:hAnsi="Arial" w:cs="Arial"/>
          <w:spacing w:val="-2"/>
          <w:lang w:val="es-CO" w:eastAsia="en-US"/>
        </w:rPr>
        <w:t xml:space="preserve"> </w:t>
      </w:r>
      <w:proofErr w:type="spellStart"/>
      <w:r w:rsidR="00A57AD8" w:rsidRPr="00165990">
        <w:rPr>
          <w:rFonts w:ascii="Arial" w:eastAsiaTheme="minorHAnsi" w:hAnsi="Arial" w:cs="Arial"/>
          <w:spacing w:val="-2"/>
          <w:lang w:val="es-CO" w:eastAsia="en-US"/>
        </w:rPr>
        <w:t>SP</w:t>
      </w:r>
      <w:proofErr w:type="spellEnd"/>
      <w:r w:rsidR="00A57AD8" w:rsidRPr="00165990">
        <w:rPr>
          <w:rFonts w:ascii="Arial" w:eastAsiaTheme="minorHAnsi" w:hAnsi="Arial" w:cs="Arial"/>
          <w:spacing w:val="-2"/>
          <w:lang w:val="es-CO" w:eastAsia="en-US"/>
        </w:rPr>
        <w:t xml:space="preserve"> de la </w:t>
      </w:r>
      <w:r w:rsidR="006C2D0D" w:rsidRPr="00165990">
        <w:rPr>
          <w:rFonts w:ascii="Arial" w:eastAsiaTheme="minorHAnsi" w:hAnsi="Arial" w:cs="Arial"/>
          <w:spacing w:val="-2"/>
          <w:lang w:val="es-CO" w:eastAsia="en-US"/>
        </w:rPr>
        <w:t xml:space="preserve">CSJ. </w:t>
      </w:r>
    </w:p>
    <w:p w:rsidR="00E34522" w:rsidRPr="00165990" w:rsidRDefault="00E34522" w:rsidP="00E54582">
      <w:pPr>
        <w:pStyle w:val="Prrafodelista"/>
        <w:spacing w:line="276" w:lineRule="auto"/>
        <w:rPr>
          <w:rFonts w:ascii="Arial" w:eastAsiaTheme="minorHAnsi" w:hAnsi="Arial" w:cs="Arial"/>
          <w:spacing w:val="-2"/>
          <w:lang w:val="es-CO" w:eastAsia="en-US"/>
        </w:rPr>
      </w:pPr>
    </w:p>
    <w:p w:rsidR="00B96AE4" w:rsidRPr="00165990" w:rsidRDefault="00E34522" w:rsidP="00E54582">
      <w:pPr>
        <w:pStyle w:val="Prrafodelista"/>
        <w:numPr>
          <w:ilvl w:val="0"/>
          <w:numId w:val="6"/>
        </w:numPr>
        <w:spacing w:after="160" w:line="276" w:lineRule="auto"/>
        <w:jc w:val="both"/>
        <w:rPr>
          <w:rFonts w:ascii="Arial" w:eastAsiaTheme="minorHAnsi" w:hAnsi="Arial" w:cs="Arial"/>
          <w:spacing w:val="-2"/>
          <w:lang w:val="es-CO" w:eastAsia="en-US"/>
        </w:rPr>
      </w:pPr>
      <w:r w:rsidRPr="00165990">
        <w:rPr>
          <w:rFonts w:ascii="Arial" w:eastAsiaTheme="minorHAnsi" w:hAnsi="Arial" w:cs="Arial"/>
          <w:spacing w:val="-2"/>
          <w:lang w:val="es-CO" w:eastAsia="en-US"/>
        </w:rPr>
        <w:t>De la lectura al fallo en comento se puede inferir que se le está poniendo un</w:t>
      </w:r>
      <w:r w:rsidR="006C2D0D" w:rsidRPr="00165990">
        <w:rPr>
          <w:rFonts w:ascii="Arial" w:eastAsiaTheme="minorHAnsi" w:hAnsi="Arial" w:cs="Arial"/>
          <w:spacing w:val="-2"/>
          <w:lang w:val="es-CO" w:eastAsia="en-US"/>
        </w:rPr>
        <w:t xml:space="preserve"> </w:t>
      </w:r>
      <w:r w:rsidRPr="00165990">
        <w:rPr>
          <w:rFonts w:ascii="Arial" w:eastAsiaTheme="minorHAnsi" w:hAnsi="Arial" w:cs="Arial"/>
          <w:spacing w:val="-2"/>
          <w:lang w:val="es-CO" w:eastAsia="en-US"/>
        </w:rPr>
        <w:t>límite</w:t>
      </w:r>
      <w:r w:rsidR="006C2D0D" w:rsidRPr="00165990">
        <w:rPr>
          <w:rFonts w:ascii="Arial" w:eastAsiaTheme="minorHAnsi" w:hAnsi="Arial" w:cs="Arial"/>
          <w:spacing w:val="-2"/>
          <w:lang w:val="es-CO" w:eastAsia="en-US"/>
        </w:rPr>
        <w:t xml:space="preserve"> </w:t>
      </w:r>
      <w:r w:rsidRPr="00165990">
        <w:rPr>
          <w:rFonts w:ascii="Arial" w:eastAsiaTheme="minorHAnsi" w:hAnsi="Arial" w:cs="Arial"/>
          <w:spacing w:val="-2"/>
          <w:lang w:val="es-CO" w:eastAsia="en-US"/>
        </w:rPr>
        <w:t>a</w:t>
      </w:r>
      <w:r w:rsidR="006C2D0D" w:rsidRPr="00165990">
        <w:rPr>
          <w:rFonts w:ascii="Arial" w:eastAsiaTheme="minorHAnsi" w:hAnsi="Arial" w:cs="Arial"/>
          <w:spacing w:val="-2"/>
          <w:lang w:val="es-CO" w:eastAsia="en-US"/>
        </w:rPr>
        <w:t xml:space="preserve">l poder punitivo del Estado, </w:t>
      </w:r>
      <w:r w:rsidRPr="00165990">
        <w:rPr>
          <w:rFonts w:ascii="Arial" w:eastAsiaTheme="minorHAnsi" w:hAnsi="Arial" w:cs="Arial"/>
          <w:spacing w:val="-2"/>
          <w:lang w:val="es-CO" w:eastAsia="en-US"/>
        </w:rPr>
        <w:t>y a su modo de ve</w:t>
      </w:r>
      <w:r w:rsidR="00602401" w:rsidRPr="00165990">
        <w:rPr>
          <w:rFonts w:ascii="Arial" w:eastAsiaTheme="minorHAnsi" w:hAnsi="Arial" w:cs="Arial"/>
          <w:spacing w:val="-2"/>
          <w:lang w:val="es-CO" w:eastAsia="en-US"/>
        </w:rPr>
        <w:t>r</w:t>
      </w:r>
      <w:r w:rsidRPr="00165990">
        <w:rPr>
          <w:rFonts w:ascii="Arial" w:eastAsiaTheme="minorHAnsi" w:hAnsi="Arial" w:cs="Arial"/>
          <w:spacing w:val="-2"/>
          <w:lang w:val="es-CO" w:eastAsia="en-US"/>
        </w:rPr>
        <w:t xml:space="preserve"> </w:t>
      </w:r>
      <w:r w:rsidR="000320C8" w:rsidRPr="00165990">
        <w:rPr>
          <w:rFonts w:ascii="Arial" w:eastAsiaTheme="minorHAnsi" w:hAnsi="Arial" w:cs="Arial"/>
          <w:spacing w:val="-2"/>
          <w:lang w:val="es-CO" w:eastAsia="en-US"/>
        </w:rPr>
        <w:t xml:space="preserve">lo que </w:t>
      </w:r>
      <w:r w:rsidR="00B96AE4" w:rsidRPr="00165990">
        <w:rPr>
          <w:rFonts w:ascii="Arial" w:eastAsiaTheme="minorHAnsi" w:hAnsi="Arial" w:cs="Arial"/>
          <w:spacing w:val="-2"/>
          <w:lang w:val="es-CO" w:eastAsia="en-US"/>
        </w:rPr>
        <w:t>busc</w:t>
      </w:r>
      <w:r w:rsidR="00602401" w:rsidRPr="00165990">
        <w:rPr>
          <w:rFonts w:ascii="Arial" w:eastAsiaTheme="minorHAnsi" w:hAnsi="Arial" w:cs="Arial"/>
          <w:spacing w:val="-2"/>
          <w:lang w:val="es-CO" w:eastAsia="en-US"/>
        </w:rPr>
        <w:t>ó</w:t>
      </w:r>
      <w:r w:rsidR="00B96AE4" w:rsidRPr="00165990">
        <w:rPr>
          <w:rFonts w:ascii="Arial" w:eastAsiaTheme="minorHAnsi" w:hAnsi="Arial" w:cs="Arial"/>
          <w:spacing w:val="-2"/>
          <w:lang w:val="es-CO" w:eastAsia="en-US"/>
        </w:rPr>
        <w:t xml:space="preserve"> ese precedente</w:t>
      </w:r>
      <w:r w:rsidR="006E36DD" w:rsidRPr="00165990">
        <w:rPr>
          <w:rFonts w:ascii="Arial" w:eastAsiaTheme="minorHAnsi" w:hAnsi="Arial" w:cs="Arial"/>
          <w:spacing w:val="-2"/>
          <w:lang w:val="es-CO" w:eastAsia="en-US"/>
        </w:rPr>
        <w:t xml:space="preserve"> de la Corte Constitucional </w:t>
      </w:r>
      <w:r w:rsidR="00B96AE4" w:rsidRPr="00165990">
        <w:rPr>
          <w:rFonts w:ascii="Arial" w:eastAsiaTheme="minorHAnsi" w:hAnsi="Arial" w:cs="Arial"/>
          <w:spacing w:val="-2"/>
          <w:lang w:val="es-CO" w:eastAsia="en-US"/>
        </w:rPr>
        <w:t xml:space="preserve">era </w:t>
      </w:r>
      <w:r w:rsidR="006C2D0D" w:rsidRPr="00165990">
        <w:rPr>
          <w:rFonts w:ascii="Arial" w:eastAsiaTheme="minorHAnsi" w:hAnsi="Arial" w:cs="Arial"/>
          <w:spacing w:val="-2"/>
          <w:lang w:val="es-CO" w:eastAsia="en-US"/>
        </w:rPr>
        <w:t xml:space="preserve">limitar excesos y abusos en </w:t>
      </w:r>
      <w:proofErr w:type="gramStart"/>
      <w:r w:rsidR="006C2D0D" w:rsidRPr="00165990">
        <w:rPr>
          <w:rFonts w:ascii="Arial" w:eastAsiaTheme="minorHAnsi" w:hAnsi="Arial" w:cs="Arial"/>
          <w:spacing w:val="-2"/>
          <w:lang w:val="es-CO" w:eastAsia="en-US"/>
        </w:rPr>
        <w:t>la negociaci</w:t>
      </w:r>
      <w:r w:rsidR="00B96AE4" w:rsidRPr="00165990">
        <w:rPr>
          <w:rFonts w:ascii="Arial" w:eastAsiaTheme="minorHAnsi" w:hAnsi="Arial" w:cs="Arial"/>
          <w:spacing w:val="-2"/>
          <w:lang w:val="es-CO" w:eastAsia="en-US"/>
        </w:rPr>
        <w:t>ones</w:t>
      </w:r>
      <w:proofErr w:type="gramEnd"/>
      <w:r w:rsidR="00B96AE4" w:rsidRPr="00165990">
        <w:rPr>
          <w:rFonts w:ascii="Arial" w:eastAsiaTheme="minorHAnsi" w:hAnsi="Arial" w:cs="Arial"/>
          <w:spacing w:val="-2"/>
          <w:lang w:val="es-CO" w:eastAsia="en-US"/>
        </w:rPr>
        <w:t xml:space="preserve"> y</w:t>
      </w:r>
      <w:r w:rsidR="006E36DD" w:rsidRPr="00165990">
        <w:rPr>
          <w:rFonts w:ascii="Arial" w:eastAsiaTheme="minorHAnsi" w:hAnsi="Arial" w:cs="Arial"/>
          <w:spacing w:val="-2"/>
          <w:lang w:val="es-CO" w:eastAsia="en-US"/>
        </w:rPr>
        <w:t xml:space="preserve"> </w:t>
      </w:r>
      <w:r w:rsidR="00B96AE4" w:rsidRPr="00165990">
        <w:rPr>
          <w:rFonts w:ascii="Arial" w:eastAsiaTheme="minorHAnsi" w:hAnsi="Arial" w:cs="Arial"/>
          <w:spacing w:val="-2"/>
          <w:lang w:val="es-CO" w:eastAsia="en-US"/>
        </w:rPr>
        <w:t xml:space="preserve">los </w:t>
      </w:r>
      <w:r w:rsidR="006C2D0D" w:rsidRPr="00165990">
        <w:rPr>
          <w:rFonts w:ascii="Arial" w:eastAsiaTheme="minorHAnsi" w:hAnsi="Arial" w:cs="Arial"/>
          <w:spacing w:val="-2"/>
          <w:lang w:val="es-CO" w:eastAsia="en-US"/>
        </w:rPr>
        <w:t>acuerdos</w:t>
      </w:r>
      <w:r w:rsidR="00B96AE4" w:rsidRPr="00165990">
        <w:rPr>
          <w:rFonts w:ascii="Arial" w:eastAsiaTheme="minorHAnsi" w:hAnsi="Arial" w:cs="Arial"/>
          <w:spacing w:val="-2"/>
          <w:lang w:val="es-CO" w:eastAsia="en-US"/>
        </w:rPr>
        <w:t xml:space="preserve"> </w:t>
      </w:r>
      <w:r w:rsidR="006E36DD" w:rsidRPr="00165990">
        <w:rPr>
          <w:rFonts w:ascii="Arial" w:eastAsiaTheme="minorHAnsi" w:hAnsi="Arial" w:cs="Arial"/>
          <w:spacing w:val="-2"/>
          <w:lang w:val="es-CO" w:eastAsia="en-US"/>
        </w:rPr>
        <w:t xml:space="preserve">celebrados </w:t>
      </w:r>
      <w:r w:rsidR="00D163F7" w:rsidRPr="00165990">
        <w:rPr>
          <w:rFonts w:ascii="Arial" w:eastAsiaTheme="minorHAnsi" w:hAnsi="Arial" w:cs="Arial"/>
          <w:spacing w:val="-2"/>
          <w:lang w:val="es-CO" w:eastAsia="en-US"/>
        </w:rPr>
        <w:t>entre la</w:t>
      </w:r>
      <w:r w:rsidR="00B96AE4" w:rsidRPr="00165990">
        <w:rPr>
          <w:rFonts w:ascii="Arial" w:eastAsiaTheme="minorHAnsi" w:hAnsi="Arial" w:cs="Arial"/>
          <w:spacing w:val="-2"/>
          <w:lang w:val="es-CO" w:eastAsia="en-US"/>
        </w:rPr>
        <w:t xml:space="preserve"> FGN y el sentenciado.</w:t>
      </w:r>
    </w:p>
    <w:p w:rsidR="00B96AE4" w:rsidRPr="00165990" w:rsidRDefault="00B96AE4" w:rsidP="00E54582">
      <w:pPr>
        <w:pStyle w:val="Prrafodelista"/>
        <w:spacing w:line="276" w:lineRule="auto"/>
        <w:rPr>
          <w:rFonts w:ascii="Arial" w:eastAsiaTheme="minorHAnsi" w:hAnsi="Arial" w:cs="Arial"/>
          <w:spacing w:val="-2"/>
          <w:lang w:val="es-CO" w:eastAsia="en-US"/>
        </w:rPr>
      </w:pPr>
    </w:p>
    <w:p w:rsidR="00890555" w:rsidRPr="00165990" w:rsidRDefault="00B96AE4" w:rsidP="00E54582">
      <w:pPr>
        <w:pStyle w:val="Prrafodelista"/>
        <w:numPr>
          <w:ilvl w:val="0"/>
          <w:numId w:val="6"/>
        </w:numPr>
        <w:spacing w:after="160" w:line="276" w:lineRule="auto"/>
        <w:jc w:val="both"/>
        <w:rPr>
          <w:rFonts w:ascii="Arial" w:eastAsiaTheme="minorHAnsi" w:hAnsi="Arial" w:cs="Arial"/>
          <w:spacing w:val="-2"/>
          <w:lang w:val="es-CO" w:eastAsia="en-US"/>
        </w:rPr>
      </w:pPr>
      <w:r w:rsidRPr="00165990">
        <w:rPr>
          <w:rFonts w:ascii="Arial" w:eastAsiaTheme="minorHAnsi" w:hAnsi="Arial" w:cs="Arial"/>
          <w:spacing w:val="-2"/>
          <w:lang w:val="es-CO" w:eastAsia="en-US"/>
        </w:rPr>
        <w:t xml:space="preserve">El </w:t>
      </w:r>
      <w:r w:rsidR="000320C8" w:rsidRPr="00165990">
        <w:rPr>
          <w:rFonts w:ascii="Arial" w:eastAsiaTheme="minorHAnsi" w:hAnsi="Arial" w:cs="Arial"/>
          <w:spacing w:val="-2"/>
          <w:lang w:val="es-CO" w:eastAsia="en-US"/>
        </w:rPr>
        <w:t xml:space="preserve">tema de la marginalidad que se </w:t>
      </w:r>
      <w:r w:rsidR="00A110BE" w:rsidRPr="00165990">
        <w:rPr>
          <w:rFonts w:ascii="Arial" w:eastAsiaTheme="minorHAnsi" w:hAnsi="Arial" w:cs="Arial"/>
          <w:spacing w:val="-2"/>
          <w:lang w:val="es-CO" w:eastAsia="en-US"/>
        </w:rPr>
        <w:t xml:space="preserve">examinó en ese fallo no </w:t>
      </w:r>
      <w:r w:rsidR="000320C8" w:rsidRPr="00165990">
        <w:rPr>
          <w:rFonts w:ascii="Arial" w:eastAsiaTheme="minorHAnsi" w:hAnsi="Arial" w:cs="Arial"/>
          <w:spacing w:val="-2"/>
          <w:lang w:val="es-CO" w:eastAsia="en-US"/>
        </w:rPr>
        <w:t>pu</w:t>
      </w:r>
      <w:r w:rsidR="00A110BE" w:rsidRPr="00165990">
        <w:rPr>
          <w:rFonts w:ascii="Arial" w:eastAsiaTheme="minorHAnsi" w:hAnsi="Arial" w:cs="Arial"/>
          <w:spacing w:val="-2"/>
          <w:lang w:val="es-CO" w:eastAsia="en-US"/>
        </w:rPr>
        <w:t>e</w:t>
      </w:r>
      <w:r w:rsidR="000320C8" w:rsidRPr="00165990">
        <w:rPr>
          <w:rFonts w:ascii="Arial" w:eastAsiaTheme="minorHAnsi" w:hAnsi="Arial" w:cs="Arial"/>
          <w:spacing w:val="-2"/>
          <w:lang w:val="es-CO" w:eastAsia="en-US"/>
        </w:rPr>
        <w:t xml:space="preserve">de ser comparado con el asunto objeto de estudio. </w:t>
      </w:r>
      <w:r w:rsidRPr="00165990">
        <w:rPr>
          <w:rFonts w:ascii="Arial" w:eastAsiaTheme="minorHAnsi" w:hAnsi="Arial" w:cs="Arial"/>
          <w:spacing w:val="-2"/>
          <w:lang w:val="es-CO" w:eastAsia="en-US"/>
        </w:rPr>
        <w:t xml:space="preserve">La Corte Constitucional fue </w:t>
      </w:r>
      <w:r w:rsidR="000320C8" w:rsidRPr="00165990">
        <w:rPr>
          <w:rFonts w:ascii="Arial" w:eastAsiaTheme="minorHAnsi" w:hAnsi="Arial" w:cs="Arial"/>
          <w:spacing w:val="-2"/>
          <w:lang w:val="es-CO" w:eastAsia="en-US"/>
        </w:rPr>
        <w:t xml:space="preserve">específica </w:t>
      </w:r>
      <w:r w:rsidR="006C2D0D" w:rsidRPr="00165990">
        <w:rPr>
          <w:rFonts w:ascii="Arial" w:eastAsiaTheme="minorHAnsi" w:hAnsi="Arial" w:cs="Arial"/>
          <w:spacing w:val="-2"/>
          <w:lang w:val="es-CO" w:eastAsia="en-US"/>
        </w:rPr>
        <w:t>y utiliz</w:t>
      </w:r>
      <w:r w:rsidRPr="00165990">
        <w:rPr>
          <w:rFonts w:ascii="Arial" w:eastAsiaTheme="minorHAnsi" w:hAnsi="Arial" w:cs="Arial"/>
          <w:spacing w:val="-2"/>
          <w:lang w:val="es-CO" w:eastAsia="en-US"/>
        </w:rPr>
        <w:t>ó</w:t>
      </w:r>
      <w:r w:rsidR="006C2D0D" w:rsidRPr="00165990">
        <w:rPr>
          <w:rFonts w:ascii="Arial" w:eastAsiaTheme="minorHAnsi" w:hAnsi="Arial" w:cs="Arial"/>
          <w:spacing w:val="-2"/>
          <w:lang w:val="es-CO" w:eastAsia="en-US"/>
        </w:rPr>
        <w:t xml:space="preserve"> los términos que le dan facultades </w:t>
      </w:r>
      <w:r w:rsidR="000320C8" w:rsidRPr="00165990">
        <w:rPr>
          <w:rFonts w:ascii="Arial" w:eastAsiaTheme="minorHAnsi" w:hAnsi="Arial" w:cs="Arial"/>
          <w:spacing w:val="-2"/>
          <w:lang w:val="es-CO" w:eastAsia="en-US"/>
        </w:rPr>
        <w:t xml:space="preserve">discrecionales </w:t>
      </w:r>
      <w:r w:rsidR="006C2D0D" w:rsidRPr="00165990">
        <w:rPr>
          <w:rFonts w:ascii="Arial" w:eastAsiaTheme="minorHAnsi" w:hAnsi="Arial" w:cs="Arial"/>
          <w:spacing w:val="-2"/>
          <w:lang w:val="es-CO" w:eastAsia="en-US"/>
        </w:rPr>
        <w:t xml:space="preserve">a la </w:t>
      </w:r>
      <w:r w:rsidR="000320C8" w:rsidRPr="00165990">
        <w:rPr>
          <w:rFonts w:ascii="Arial" w:eastAsiaTheme="minorHAnsi" w:hAnsi="Arial" w:cs="Arial"/>
          <w:spacing w:val="-2"/>
          <w:lang w:val="es-CO" w:eastAsia="en-US"/>
        </w:rPr>
        <w:t>FGN</w:t>
      </w:r>
      <w:r w:rsidR="006C2D0D" w:rsidRPr="00165990">
        <w:rPr>
          <w:rFonts w:ascii="Arial" w:eastAsiaTheme="minorHAnsi" w:hAnsi="Arial" w:cs="Arial"/>
          <w:spacing w:val="-2"/>
          <w:lang w:val="es-CO" w:eastAsia="en-US"/>
        </w:rPr>
        <w:t xml:space="preserve">, </w:t>
      </w:r>
      <w:r w:rsidR="000320C8" w:rsidRPr="00165990">
        <w:rPr>
          <w:rFonts w:ascii="Arial" w:eastAsiaTheme="minorHAnsi" w:hAnsi="Arial" w:cs="Arial"/>
          <w:spacing w:val="-2"/>
          <w:lang w:val="es-CO" w:eastAsia="en-US"/>
        </w:rPr>
        <w:t>para</w:t>
      </w:r>
      <w:r w:rsidR="006C2D0D" w:rsidRPr="00165990">
        <w:rPr>
          <w:rFonts w:ascii="Arial" w:eastAsiaTheme="minorHAnsi" w:hAnsi="Arial" w:cs="Arial"/>
          <w:spacing w:val="-2"/>
          <w:lang w:val="es-CO" w:eastAsia="en-US"/>
        </w:rPr>
        <w:t xml:space="preserve"> </w:t>
      </w:r>
      <w:r w:rsidR="00A110BE" w:rsidRPr="00165990">
        <w:rPr>
          <w:rFonts w:ascii="Arial" w:eastAsiaTheme="minorHAnsi" w:hAnsi="Arial" w:cs="Arial"/>
          <w:spacing w:val="-2"/>
          <w:lang w:val="es-CO" w:eastAsia="en-US"/>
        </w:rPr>
        <w:t xml:space="preserve">hacer negociaciones y su teleología es </w:t>
      </w:r>
      <w:r w:rsidR="000320C8" w:rsidRPr="00165990">
        <w:rPr>
          <w:rFonts w:ascii="Arial" w:eastAsiaTheme="minorHAnsi" w:hAnsi="Arial" w:cs="Arial"/>
          <w:spacing w:val="-2"/>
          <w:lang w:val="es-CO" w:eastAsia="en-US"/>
        </w:rPr>
        <w:t xml:space="preserve">prevenir </w:t>
      </w:r>
      <w:r w:rsidRPr="00165990">
        <w:rPr>
          <w:rFonts w:ascii="Arial" w:eastAsiaTheme="minorHAnsi" w:hAnsi="Arial" w:cs="Arial"/>
          <w:spacing w:val="-2"/>
          <w:lang w:val="es-CO" w:eastAsia="en-US"/>
        </w:rPr>
        <w:t xml:space="preserve">que se incurra en excesos y </w:t>
      </w:r>
      <w:r w:rsidR="000320C8" w:rsidRPr="00165990">
        <w:rPr>
          <w:rFonts w:ascii="Arial" w:eastAsiaTheme="minorHAnsi" w:hAnsi="Arial" w:cs="Arial"/>
          <w:spacing w:val="-2"/>
          <w:lang w:val="es-CO" w:eastAsia="en-US"/>
        </w:rPr>
        <w:t xml:space="preserve">arbitrariedades como ocurre </w:t>
      </w:r>
      <w:r w:rsidR="00890555" w:rsidRPr="00165990">
        <w:rPr>
          <w:rFonts w:ascii="Arial" w:eastAsiaTheme="minorHAnsi" w:hAnsi="Arial" w:cs="Arial"/>
          <w:spacing w:val="-2"/>
          <w:lang w:val="es-CO" w:eastAsia="en-US"/>
        </w:rPr>
        <w:t>en el caso de los</w:t>
      </w:r>
      <w:r w:rsidR="006C2D0D" w:rsidRPr="00165990">
        <w:rPr>
          <w:rFonts w:ascii="Arial" w:eastAsiaTheme="minorHAnsi" w:hAnsi="Arial" w:cs="Arial"/>
          <w:spacing w:val="-2"/>
          <w:lang w:val="es-CO" w:eastAsia="en-US"/>
        </w:rPr>
        <w:t xml:space="preserve"> delitos sexuales donde están involucrados menores</w:t>
      </w:r>
      <w:r w:rsidRPr="00165990">
        <w:rPr>
          <w:rFonts w:ascii="Arial" w:eastAsiaTheme="minorHAnsi" w:hAnsi="Arial" w:cs="Arial"/>
          <w:spacing w:val="-2"/>
          <w:lang w:val="es-CO" w:eastAsia="en-US"/>
        </w:rPr>
        <w:t xml:space="preserve"> de edad,</w:t>
      </w:r>
      <w:r w:rsidR="00890555" w:rsidRPr="00165990">
        <w:rPr>
          <w:rFonts w:ascii="Arial" w:eastAsiaTheme="minorHAnsi" w:hAnsi="Arial" w:cs="Arial"/>
          <w:spacing w:val="-2"/>
          <w:lang w:val="es-CO" w:eastAsia="en-US"/>
        </w:rPr>
        <w:t xml:space="preserve"> en los que debe existir un mayor </w:t>
      </w:r>
      <w:r w:rsidR="006C2D0D" w:rsidRPr="00165990">
        <w:rPr>
          <w:rFonts w:ascii="Arial" w:eastAsiaTheme="minorHAnsi" w:hAnsi="Arial" w:cs="Arial"/>
          <w:spacing w:val="-2"/>
          <w:lang w:val="es-CO" w:eastAsia="en-US"/>
        </w:rPr>
        <w:t xml:space="preserve">control formal y material </w:t>
      </w:r>
      <w:r w:rsidR="00A110BE" w:rsidRPr="00165990">
        <w:rPr>
          <w:rFonts w:ascii="Arial" w:eastAsiaTheme="minorHAnsi" w:hAnsi="Arial" w:cs="Arial"/>
          <w:spacing w:val="-2"/>
          <w:lang w:val="es-CO" w:eastAsia="en-US"/>
        </w:rPr>
        <w:t>sobre ese tipo de acuerdos.</w:t>
      </w:r>
      <w:r w:rsidR="00890555" w:rsidRPr="00165990">
        <w:rPr>
          <w:rFonts w:ascii="Arial" w:eastAsiaTheme="minorHAnsi" w:hAnsi="Arial" w:cs="Arial"/>
          <w:spacing w:val="-2"/>
          <w:lang w:val="es-CO" w:eastAsia="en-US"/>
        </w:rPr>
        <w:t xml:space="preserve"> </w:t>
      </w:r>
    </w:p>
    <w:p w:rsidR="00890555" w:rsidRPr="00165990" w:rsidRDefault="00890555" w:rsidP="00E54582">
      <w:pPr>
        <w:pStyle w:val="Prrafodelista"/>
        <w:spacing w:line="276" w:lineRule="auto"/>
        <w:rPr>
          <w:rFonts w:ascii="Arial" w:eastAsiaTheme="minorHAnsi" w:hAnsi="Arial" w:cs="Arial"/>
          <w:spacing w:val="-2"/>
          <w:lang w:val="es-CO" w:eastAsia="en-US"/>
        </w:rPr>
      </w:pPr>
    </w:p>
    <w:p w:rsidR="00890555" w:rsidRPr="00165990" w:rsidRDefault="00890555" w:rsidP="00E54582">
      <w:pPr>
        <w:pStyle w:val="Prrafodelista"/>
        <w:numPr>
          <w:ilvl w:val="0"/>
          <w:numId w:val="6"/>
        </w:numPr>
        <w:spacing w:after="160" w:line="276" w:lineRule="auto"/>
        <w:jc w:val="both"/>
        <w:rPr>
          <w:rFonts w:ascii="Arial" w:eastAsiaTheme="minorHAnsi" w:hAnsi="Arial" w:cs="Arial"/>
          <w:spacing w:val="-2"/>
          <w:lang w:val="es-CO" w:eastAsia="en-US"/>
        </w:rPr>
      </w:pPr>
      <w:r w:rsidRPr="00165990">
        <w:rPr>
          <w:rFonts w:ascii="Arial" w:eastAsiaTheme="minorHAnsi" w:hAnsi="Arial" w:cs="Arial"/>
          <w:spacing w:val="-2"/>
          <w:lang w:val="es-CO" w:eastAsia="en-US"/>
        </w:rPr>
        <w:t xml:space="preserve">La sentencia SU </w:t>
      </w:r>
      <w:r w:rsidR="004314E4" w:rsidRPr="00165990">
        <w:rPr>
          <w:rFonts w:ascii="Arial" w:eastAsiaTheme="minorHAnsi" w:hAnsi="Arial" w:cs="Arial"/>
          <w:spacing w:val="-2"/>
          <w:lang w:val="es-CO" w:eastAsia="en-US"/>
        </w:rPr>
        <w:t>479</w:t>
      </w:r>
      <w:r w:rsidR="00D163F7" w:rsidRPr="00165990">
        <w:rPr>
          <w:rFonts w:ascii="Arial" w:eastAsiaTheme="minorHAnsi" w:hAnsi="Arial" w:cs="Arial"/>
          <w:spacing w:val="-2"/>
          <w:lang w:val="es-CO" w:eastAsia="en-US"/>
        </w:rPr>
        <w:t xml:space="preserve"> de 2019</w:t>
      </w:r>
      <w:r w:rsidR="00B96AE4" w:rsidRPr="00165990">
        <w:rPr>
          <w:rFonts w:ascii="Arial" w:eastAsiaTheme="minorHAnsi" w:hAnsi="Arial" w:cs="Arial"/>
          <w:spacing w:val="-2"/>
          <w:lang w:val="es-CO" w:eastAsia="en-US"/>
        </w:rPr>
        <w:t xml:space="preserve"> no habla de </w:t>
      </w:r>
      <w:r w:rsidRPr="00165990">
        <w:rPr>
          <w:rFonts w:ascii="Arial" w:eastAsiaTheme="minorHAnsi" w:hAnsi="Arial" w:cs="Arial"/>
          <w:spacing w:val="-2"/>
          <w:lang w:val="es-CO" w:eastAsia="en-US"/>
        </w:rPr>
        <w:t>discrecionalidad</w:t>
      </w:r>
      <w:r w:rsidR="00D163F7" w:rsidRPr="00165990">
        <w:rPr>
          <w:rFonts w:ascii="Arial" w:eastAsiaTheme="minorHAnsi" w:hAnsi="Arial" w:cs="Arial"/>
          <w:spacing w:val="-2"/>
          <w:lang w:val="es-CO" w:eastAsia="en-US"/>
        </w:rPr>
        <w:t>,</w:t>
      </w:r>
      <w:r w:rsidRPr="00165990">
        <w:rPr>
          <w:rFonts w:ascii="Arial" w:eastAsiaTheme="minorHAnsi" w:hAnsi="Arial" w:cs="Arial"/>
          <w:spacing w:val="-2"/>
          <w:lang w:val="es-CO" w:eastAsia="en-US"/>
        </w:rPr>
        <w:t xml:space="preserve"> sino</w:t>
      </w:r>
      <w:r w:rsidR="00A110BE" w:rsidRPr="00165990">
        <w:rPr>
          <w:rFonts w:ascii="Arial" w:eastAsiaTheme="minorHAnsi" w:hAnsi="Arial" w:cs="Arial"/>
          <w:spacing w:val="-2"/>
          <w:lang w:val="es-CO" w:eastAsia="en-US"/>
        </w:rPr>
        <w:t xml:space="preserve"> de </w:t>
      </w:r>
      <w:r w:rsidRPr="00165990">
        <w:rPr>
          <w:rFonts w:ascii="Arial" w:eastAsiaTheme="minorHAnsi" w:hAnsi="Arial" w:cs="Arial"/>
          <w:spacing w:val="-2"/>
          <w:lang w:val="es-CO" w:eastAsia="en-US"/>
        </w:rPr>
        <w:t xml:space="preserve">una arbitrariedad </w:t>
      </w:r>
      <w:r w:rsidR="00B96AE4" w:rsidRPr="00165990">
        <w:rPr>
          <w:rFonts w:ascii="Arial" w:eastAsiaTheme="minorHAnsi" w:hAnsi="Arial" w:cs="Arial"/>
          <w:spacing w:val="-2"/>
          <w:lang w:val="es-CO" w:eastAsia="en-US"/>
        </w:rPr>
        <w:t xml:space="preserve">que fue </w:t>
      </w:r>
      <w:r w:rsidRPr="00165990">
        <w:rPr>
          <w:rFonts w:ascii="Arial" w:eastAsiaTheme="minorHAnsi" w:hAnsi="Arial" w:cs="Arial"/>
          <w:spacing w:val="-2"/>
          <w:lang w:val="es-CO" w:eastAsia="en-US"/>
        </w:rPr>
        <w:t>lo que se cometió en los dos eventos que estudió, en los cuales se reconoció</w:t>
      </w:r>
      <w:r w:rsidR="00A110BE" w:rsidRPr="00165990">
        <w:rPr>
          <w:rFonts w:ascii="Arial" w:eastAsiaTheme="minorHAnsi" w:hAnsi="Arial" w:cs="Arial"/>
          <w:spacing w:val="-2"/>
          <w:lang w:val="es-CO" w:eastAsia="en-US"/>
        </w:rPr>
        <w:t xml:space="preserve"> indebidamente la condición de marginalidad f</w:t>
      </w:r>
      <w:r w:rsidR="00B96AE4" w:rsidRPr="00165990">
        <w:rPr>
          <w:rFonts w:ascii="Arial" w:eastAsiaTheme="minorHAnsi" w:hAnsi="Arial" w:cs="Arial"/>
          <w:spacing w:val="-2"/>
          <w:lang w:val="es-CO" w:eastAsia="en-US"/>
        </w:rPr>
        <w:t xml:space="preserve">rente a actos sumamente </w:t>
      </w:r>
      <w:r w:rsidR="006C2D0D" w:rsidRPr="00165990">
        <w:rPr>
          <w:rFonts w:ascii="Arial" w:eastAsiaTheme="minorHAnsi" w:hAnsi="Arial" w:cs="Arial"/>
          <w:spacing w:val="-2"/>
          <w:lang w:val="es-CO" w:eastAsia="en-US"/>
        </w:rPr>
        <w:t>reprochable</w:t>
      </w:r>
      <w:r w:rsidR="00B96AE4" w:rsidRPr="00165990">
        <w:rPr>
          <w:rFonts w:ascii="Arial" w:eastAsiaTheme="minorHAnsi" w:hAnsi="Arial" w:cs="Arial"/>
          <w:spacing w:val="-2"/>
          <w:lang w:val="es-CO" w:eastAsia="en-US"/>
        </w:rPr>
        <w:t>s.</w:t>
      </w:r>
      <w:r w:rsidRPr="00165990">
        <w:rPr>
          <w:rFonts w:ascii="Arial" w:eastAsiaTheme="minorHAnsi" w:hAnsi="Arial" w:cs="Arial"/>
          <w:spacing w:val="-2"/>
          <w:lang w:val="es-CO" w:eastAsia="en-US"/>
        </w:rPr>
        <w:t xml:space="preserve"> </w:t>
      </w:r>
    </w:p>
    <w:p w:rsidR="00890555" w:rsidRPr="00165990" w:rsidRDefault="00890555" w:rsidP="00E54582">
      <w:pPr>
        <w:pStyle w:val="Prrafodelista"/>
        <w:spacing w:line="276" w:lineRule="auto"/>
        <w:rPr>
          <w:rFonts w:ascii="Arial" w:eastAsiaTheme="minorHAnsi" w:hAnsi="Arial" w:cs="Arial"/>
          <w:spacing w:val="-2"/>
          <w:lang w:val="es-CO" w:eastAsia="en-US"/>
        </w:rPr>
      </w:pPr>
    </w:p>
    <w:p w:rsidR="00DF1BAB" w:rsidRPr="00165990" w:rsidRDefault="00890555" w:rsidP="00E54582">
      <w:pPr>
        <w:pStyle w:val="Prrafodelista"/>
        <w:numPr>
          <w:ilvl w:val="0"/>
          <w:numId w:val="6"/>
        </w:numPr>
        <w:spacing w:after="160" w:line="276" w:lineRule="auto"/>
        <w:jc w:val="both"/>
        <w:rPr>
          <w:rFonts w:ascii="Arial" w:eastAsiaTheme="minorHAnsi" w:hAnsi="Arial" w:cs="Arial"/>
          <w:spacing w:val="-2"/>
          <w:lang w:val="es-CO" w:eastAsia="en-US"/>
        </w:rPr>
      </w:pPr>
      <w:r w:rsidRPr="00165990">
        <w:rPr>
          <w:rFonts w:ascii="Arial" w:eastAsiaTheme="minorHAnsi" w:hAnsi="Arial" w:cs="Arial"/>
          <w:spacing w:val="-2"/>
          <w:lang w:val="es-CO" w:eastAsia="en-US"/>
        </w:rPr>
        <w:t xml:space="preserve">El </w:t>
      </w:r>
      <w:r w:rsidR="00B96AE4" w:rsidRPr="00165990">
        <w:rPr>
          <w:rFonts w:ascii="Arial" w:eastAsiaTheme="minorHAnsi" w:hAnsi="Arial" w:cs="Arial"/>
          <w:spacing w:val="-2"/>
          <w:lang w:val="es-CO" w:eastAsia="en-US"/>
        </w:rPr>
        <w:t>presente as</w:t>
      </w:r>
      <w:r w:rsidRPr="00165990">
        <w:rPr>
          <w:rFonts w:ascii="Arial" w:eastAsiaTheme="minorHAnsi" w:hAnsi="Arial" w:cs="Arial"/>
          <w:spacing w:val="-2"/>
          <w:lang w:val="es-CO" w:eastAsia="en-US"/>
        </w:rPr>
        <w:t xml:space="preserve">unto </w:t>
      </w:r>
      <w:r w:rsidR="00B96AE4" w:rsidRPr="00165990">
        <w:rPr>
          <w:rFonts w:ascii="Arial" w:eastAsiaTheme="minorHAnsi" w:hAnsi="Arial" w:cs="Arial"/>
          <w:spacing w:val="-2"/>
          <w:lang w:val="es-CO" w:eastAsia="en-US"/>
        </w:rPr>
        <w:t xml:space="preserve">es sustancialmente diverso a los </w:t>
      </w:r>
      <w:r w:rsidR="006C2D0D" w:rsidRPr="00165990">
        <w:rPr>
          <w:rFonts w:ascii="Arial" w:eastAsiaTheme="minorHAnsi" w:hAnsi="Arial" w:cs="Arial"/>
          <w:spacing w:val="-2"/>
          <w:lang w:val="es-CO" w:eastAsia="en-US"/>
        </w:rPr>
        <w:t xml:space="preserve">dos casos concretos que </w:t>
      </w:r>
      <w:r w:rsidRPr="00165990">
        <w:rPr>
          <w:rFonts w:ascii="Arial" w:eastAsiaTheme="minorHAnsi" w:hAnsi="Arial" w:cs="Arial"/>
          <w:spacing w:val="-2"/>
          <w:lang w:val="es-CO" w:eastAsia="en-US"/>
        </w:rPr>
        <w:t xml:space="preserve">fueron estudiados en la </w:t>
      </w:r>
      <w:r w:rsidR="00B96AE4" w:rsidRPr="00165990">
        <w:rPr>
          <w:rFonts w:ascii="Arial" w:eastAsiaTheme="minorHAnsi" w:hAnsi="Arial" w:cs="Arial"/>
          <w:spacing w:val="-2"/>
          <w:lang w:val="es-CO" w:eastAsia="en-US"/>
        </w:rPr>
        <w:t xml:space="preserve">sentencia </w:t>
      </w:r>
      <w:r w:rsidR="006C2D0D" w:rsidRPr="00165990">
        <w:rPr>
          <w:rFonts w:ascii="Arial" w:eastAsiaTheme="minorHAnsi" w:hAnsi="Arial" w:cs="Arial"/>
          <w:spacing w:val="-2"/>
          <w:lang w:val="es-CO" w:eastAsia="en-US"/>
        </w:rPr>
        <w:t>SU</w:t>
      </w:r>
      <w:r w:rsidR="0075396F" w:rsidRPr="00165990">
        <w:rPr>
          <w:rFonts w:ascii="Arial" w:eastAsiaTheme="minorHAnsi" w:hAnsi="Arial" w:cs="Arial"/>
          <w:spacing w:val="-2"/>
          <w:lang w:val="es-CO" w:eastAsia="en-US"/>
        </w:rPr>
        <w:t>-</w:t>
      </w:r>
      <w:r w:rsidR="006C2D0D" w:rsidRPr="00165990">
        <w:rPr>
          <w:rFonts w:ascii="Arial" w:eastAsiaTheme="minorHAnsi" w:hAnsi="Arial" w:cs="Arial"/>
          <w:spacing w:val="-2"/>
          <w:lang w:val="es-CO" w:eastAsia="en-US"/>
        </w:rPr>
        <w:t>479</w:t>
      </w:r>
      <w:r w:rsidR="00115D8B" w:rsidRPr="00165990">
        <w:rPr>
          <w:rFonts w:ascii="Arial" w:eastAsiaTheme="minorHAnsi" w:hAnsi="Arial" w:cs="Arial"/>
          <w:spacing w:val="-2"/>
          <w:lang w:val="es-CO" w:eastAsia="en-US"/>
        </w:rPr>
        <w:t xml:space="preserve"> de 2019, por lo que considera que </w:t>
      </w:r>
      <w:r w:rsidR="006E36DD" w:rsidRPr="00165990">
        <w:rPr>
          <w:rFonts w:ascii="Arial" w:eastAsiaTheme="minorHAnsi" w:hAnsi="Arial" w:cs="Arial"/>
          <w:spacing w:val="-2"/>
          <w:lang w:val="es-CO" w:eastAsia="en-US"/>
        </w:rPr>
        <w:t xml:space="preserve">en el caso </w:t>
      </w:r>
      <w:r w:rsidR="006E36DD" w:rsidRPr="00165990">
        <w:rPr>
          <w:rFonts w:ascii="Arial" w:eastAsiaTheme="minorHAnsi" w:hAnsi="Arial" w:cs="Arial"/>
          <w:i/>
          <w:spacing w:val="-2"/>
          <w:lang w:val="es-CO" w:eastAsia="en-US"/>
        </w:rPr>
        <w:t xml:space="preserve">sub examen, </w:t>
      </w:r>
      <w:r w:rsidR="00115D8B" w:rsidRPr="00165990">
        <w:rPr>
          <w:rFonts w:ascii="Arial" w:eastAsiaTheme="minorHAnsi" w:hAnsi="Arial" w:cs="Arial"/>
          <w:spacing w:val="-2"/>
          <w:lang w:val="es-CO" w:eastAsia="en-US"/>
        </w:rPr>
        <w:t>la FGN</w:t>
      </w:r>
      <w:r w:rsidR="00B96AE4" w:rsidRPr="00165990">
        <w:rPr>
          <w:rFonts w:ascii="Arial" w:eastAsiaTheme="minorHAnsi" w:hAnsi="Arial" w:cs="Arial"/>
          <w:spacing w:val="-2"/>
          <w:lang w:val="es-CO" w:eastAsia="en-US"/>
        </w:rPr>
        <w:t xml:space="preserve"> conserva la facultad de pactar la </w:t>
      </w:r>
      <w:r w:rsidR="00A93F17" w:rsidRPr="00165990">
        <w:rPr>
          <w:rFonts w:ascii="Arial" w:eastAsiaTheme="minorHAnsi" w:hAnsi="Arial" w:cs="Arial"/>
          <w:spacing w:val="-2"/>
          <w:lang w:val="es-CO" w:eastAsia="en-US"/>
        </w:rPr>
        <w:t>degradación de la responsabilidad del acusado de</w:t>
      </w:r>
      <w:r w:rsidR="00115D8B" w:rsidRPr="00165990">
        <w:rPr>
          <w:rFonts w:ascii="Arial" w:eastAsiaTheme="minorHAnsi" w:hAnsi="Arial" w:cs="Arial"/>
          <w:spacing w:val="-2"/>
          <w:lang w:val="es-CO" w:eastAsia="en-US"/>
        </w:rPr>
        <w:t xml:space="preserve"> </w:t>
      </w:r>
      <w:r w:rsidR="006C2D0D" w:rsidRPr="00165990">
        <w:rPr>
          <w:rFonts w:ascii="Arial" w:eastAsiaTheme="minorHAnsi" w:hAnsi="Arial" w:cs="Arial"/>
          <w:spacing w:val="-2"/>
          <w:lang w:val="es-CO" w:eastAsia="en-US"/>
        </w:rPr>
        <w:t>autor a cómplice</w:t>
      </w:r>
      <w:r w:rsidR="00115D8B" w:rsidRPr="00165990">
        <w:rPr>
          <w:rFonts w:ascii="Arial" w:eastAsiaTheme="minorHAnsi" w:hAnsi="Arial" w:cs="Arial"/>
          <w:spacing w:val="-2"/>
          <w:lang w:val="es-CO" w:eastAsia="en-US"/>
        </w:rPr>
        <w:t xml:space="preserve">, máxime cuando </w:t>
      </w:r>
      <w:r w:rsidR="00A93F17" w:rsidRPr="00165990">
        <w:rPr>
          <w:rFonts w:ascii="Arial" w:eastAsiaTheme="minorHAnsi" w:hAnsi="Arial" w:cs="Arial"/>
          <w:spacing w:val="-2"/>
          <w:lang w:val="es-CO" w:eastAsia="en-US"/>
        </w:rPr>
        <w:t xml:space="preserve">en este caso se </w:t>
      </w:r>
      <w:r w:rsidR="00115D8B" w:rsidRPr="00165990">
        <w:rPr>
          <w:rFonts w:ascii="Arial" w:eastAsiaTheme="minorHAnsi" w:hAnsi="Arial" w:cs="Arial"/>
          <w:spacing w:val="-2"/>
          <w:lang w:val="es-CO" w:eastAsia="en-US"/>
        </w:rPr>
        <w:t xml:space="preserve">está respetando </w:t>
      </w:r>
      <w:r w:rsidR="006C2D0D" w:rsidRPr="00165990">
        <w:rPr>
          <w:rFonts w:ascii="Arial" w:eastAsiaTheme="minorHAnsi" w:hAnsi="Arial" w:cs="Arial"/>
          <w:spacing w:val="-2"/>
          <w:lang w:val="es-CO" w:eastAsia="en-US"/>
        </w:rPr>
        <w:t>el principio de legalidad, no existe un abuso ni arbitrariedad</w:t>
      </w:r>
      <w:r w:rsidR="00115D8B" w:rsidRPr="00165990">
        <w:rPr>
          <w:rFonts w:ascii="Arial" w:eastAsiaTheme="minorHAnsi" w:hAnsi="Arial" w:cs="Arial"/>
          <w:spacing w:val="-2"/>
          <w:lang w:val="es-CO" w:eastAsia="en-US"/>
        </w:rPr>
        <w:t>,</w:t>
      </w:r>
      <w:r w:rsidR="00A93F17" w:rsidRPr="00165990">
        <w:rPr>
          <w:rFonts w:ascii="Arial" w:eastAsiaTheme="minorHAnsi" w:hAnsi="Arial" w:cs="Arial"/>
          <w:spacing w:val="-2"/>
          <w:lang w:val="es-CO" w:eastAsia="en-US"/>
        </w:rPr>
        <w:t xml:space="preserve"> no hay un </w:t>
      </w:r>
      <w:r w:rsidR="006C2D0D" w:rsidRPr="00165990">
        <w:rPr>
          <w:rFonts w:ascii="Arial" w:eastAsiaTheme="minorHAnsi" w:hAnsi="Arial" w:cs="Arial"/>
          <w:spacing w:val="-2"/>
          <w:lang w:val="es-CO" w:eastAsia="en-US"/>
        </w:rPr>
        <w:t xml:space="preserve">exceso en </w:t>
      </w:r>
      <w:r w:rsidR="00115D8B" w:rsidRPr="00165990">
        <w:rPr>
          <w:rFonts w:ascii="Arial" w:eastAsiaTheme="minorHAnsi" w:hAnsi="Arial" w:cs="Arial"/>
          <w:spacing w:val="-2"/>
          <w:lang w:val="es-CO" w:eastAsia="en-US"/>
        </w:rPr>
        <w:t xml:space="preserve">los beneficios que podía ofrecer el ente investigador, </w:t>
      </w:r>
      <w:r w:rsidR="006C2D0D" w:rsidRPr="00165990">
        <w:rPr>
          <w:rFonts w:ascii="Arial" w:eastAsiaTheme="minorHAnsi" w:hAnsi="Arial" w:cs="Arial"/>
          <w:spacing w:val="-2"/>
          <w:lang w:val="es-CO" w:eastAsia="en-US"/>
        </w:rPr>
        <w:t>y no se está</w:t>
      </w:r>
      <w:r w:rsidR="00115D8B" w:rsidRPr="00165990">
        <w:rPr>
          <w:rFonts w:ascii="Arial" w:eastAsiaTheme="minorHAnsi" w:hAnsi="Arial" w:cs="Arial"/>
          <w:spacing w:val="-2"/>
          <w:lang w:val="es-CO" w:eastAsia="en-US"/>
        </w:rPr>
        <w:t>n</w:t>
      </w:r>
      <w:r w:rsidR="006C2D0D" w:rsidRPr="00165990">
        <w:rPr>
          <w:rFonts w:ascii="Arial" w:eastAsiaTheme="minorHAnsi" w:hAnsi="Arial" w:cs="Arial"/>
          <w:spacing w:val="-2"/>
          <w:lang w:val="es-CO" w:eastAsia="en-US"/>
        </w:rPr>
        <w:t xml:space="preserve"> lesionando </w:t>
      </w:r>
      <w:r w:rsidR="00115D8B" w:rsidRPr="00165990">
        <w:rPr>
          <w:rFonts w:ascii="Arial" w:eastAsiaTheme="minorHAnsi" w:hAnsi="Arial" w:cs="Arial"/>
          <w:spacing w:val="-2"/>
          <w:lang w:val="es-CO" w:eastAsia="en-US"/>
        </w:rPr>
        <w:t xml:space="preserve">los </w:t>
      </w:r>
      <w:r w:rsidR="006C2D0D" w:rsidRPr="00165990">
        <w:rPr>
          <w:rFonts w:ascii="Arial" w:eastAsiaTheme="minorHAnsi" w:hAnsi="Arial" w:cs="Arial"/>
          <w:spacing w:val="-2"/>
          <w:lang w:val="es-CO" w:eastAsia="en-US"/>
        </w:rPr>
        <w:t>derechos fundamentales</w:t>
      </w:r>
      <w:r w:rsidR="00A93F17" w:rsidRPr="00165990">
        <w:rPr>
          <w:rFonts w:ascii="Arial" w:eastAsiaTheme="minorHAnsi" w:hAnsi="Arial" w:cs="Arial"/>
          <w:spacing w:val="-2"/>
          <w:lang w:val="es-CO" w:eastAsia="en-US"/>
        </w:rPr>
        <w:t xml:space="preserve">, </w:t>
      </w:r>
      <w:r w:rsidR="006C2D0D" w:rsidRPr="00165990">
        <w:rPr>
          <w:rFonts w:ascii="Arial" w:eastAsiaTheme="minorHAnsi" w:hAnsi="Arial" w:cs="Arial"/>
          <w:spacing w:val="-2"/>
          <w:lang w:val="es-CO" w:eastAsia="en-US"/>
        </w:rPr>
        <w:t>ni</w:t>
      </w:r>
      <w:r w:rsidR="00115D8B" w:rsidRPr="00165990">
        <w:rPr>
          <w:rFonts w:ascii="Arial" w:eastAsiaTheme="minorHAnsi" w:hAnsi="Arial" w:cs="Arial"/>
          <w:spacing w:val="-2"/>
          <w:lang w:val="es-CO" w:eastAsia="en-US"/>
        </w:rPr>
        <w:t xml:space="preserve"> el bien jurídico protegido</w:t>
      </w:r>
      <w:r w:rsidR="006E393C" w:rsidRPr="00165990">
        <w:rPr>
          <w:rFonts w:ascii="Arial" w:eastAsiaTheme="minorHAnsi" w:hAnsi="Arial" w:cs="Arial"/>
          <w:spacing w:val="-2"/>
          <w:lang w:val="es-CO" w:eastAsia="en-US"/>
        </w:rPr>
        <w:t xml:space="preserve"> que es de la salud pública.</w:t>
      </w:r>
      <w:r w:rsidR="00115D8B" w:rsidRPr="00165990">
        <w:rPr>
          <w:rFonts w:ascii="Arial" w:eastAsiaTheme="minorHAnsi" w:hAnsi="Arial" w:cs="Arial"/>
          <w:spacing w:val="-2"/>
          <w:lang w:val="es-CO" w:eastAsia="en-US"/>
        </w:rPr>
        <w:t xml:space="preserve"> </w:t>
      </w:r>
    </w:p>
    <w:p w:rsidR="00DF1BAB" w:rsidRPr="00165990" w:rsidRDefault="00DF1BAB" w:rsidP="00E54582">
      <w:pPr>
        <w:pStyle w:val="Prrafodelista"/>
        <w:spacing w:line="276" w:lineRule="auto"/>
        <w:rPr>
          <w:rFonts w:ascii="Arial" w:eastAsiaTheme="minorHAnsi" w:hAnsi="Arial" w:cs="Arial"/>
          <w:spacing w:val="-2"/>
          <w:lang w:val="es-CO" w:eastAsia="en-US"/>
        </w:rPr>
      </w:pPr>
    </w:p>
    <w:p w:rsidR="00DF1BAB" w:rsidRPr="00165990" w:rsidRDefault="00DF1BAB" w:rsidP="00E54582">
      <w:pPr>
        <w:pStyle w:val="Prrafodelista"/>
        <w:numPr>
          <w:ilvl w:val="0"/>
          <w:numId w:val="6"/>
        </w:numPr>
        <w:spacing w:after="160" w:line="276" w:lineRule="auto"/>
        <w:jc w:val="both"/>
        <w:rPr>
          <w:rFonts w:ascii="Arial" w:eastAsiaTheme="minorHAnsi" w:hAnsi="Arial" w:cs="Arial"/>
          <w:spacing w:val="-2"/>
          <w:lang w:val="es-CO" w:eastAsia="en-US"/>
        </w:rPr>
      </w:pPr>
      <w:r w:rsidRPr="00165990">
        <w:rPr>
          <w:rFonts w:ascii="Arial" w:eastAsiaTheme="minorHAnsi" w:hAnsi="Arial" w:cs="Arial"/>
          <w:spacing w:val="-2"/>
          <w:lang w:val="es-CO" w:eastAsia="en-US"/>
        </w:rPr>
        <w:lastRenderedPageBreak/>
        <w:t xml:space="preserve">Si bien es cierto al procesado se le ofreció la máxima rebaja establecida, </w:t>
      </w:r>
      <w:r w:rsidR="006C2D0D" w:rsidRPr="00165990">
        <w:rPr>
          <w:rFonts w:ascii="Arial" w:eastAsiaTheme="minorHAnsi" w:hAnsi="Arial" w:cs="Arial"/>
          <w:spacing w:val="-2"/>
          <w:lang w:val="es-CO" w:eastAsia="en-US"/>
        </w:rPr>
        <w:t xml:space="preserve">esto no quiere decir que </w:t>
      </w:r>
      <w:r w:rsidRPr="00165990">
        <w:rPr>
          <w:rFonts w:ascii="Arial" w:eastAsiaTheme="minorHAnsi" w:hAnsi="Arial" w:cs="Arial"/>
          <w:spacing w:val="-2"/>
          <w:lang w:val="es-CO" w:eastAsia="en-US"/>
        </w:rPr>
        <w:t xml:space="preserve">esa situación sea un exceso o que la presente investigación se equipare a las </w:t>
      </w:r>
      <w:r w:rsidR="006C2D0D" w:rsidRPr="00165990">
        <w:rPr>
          <w:rFonts w:ascii="Arial" w:eastAsiaTheme="minorHAnsi" w:hAnsi="Arial" w:cs="Arial"/>
          <w:spacing w:val="-2"/>
          <w:lang w:val="es-CO" w:eastAsia="en-US"/>
        </w:rPr>
        <w:t xml:space="preserve">argumentaciones </w:t>
      </w:r>
      <w:r w:rsidRPr="00165990">
        <w:rPr>
          <w:rFonts w:ascii="Arial" w:eastAsiaTheme="minorHAnsi" w:hAnsi="Arial" w:cs="Arial"/>
          <w:spacing w:val="-2"/>
          <w:lang w:val="es-CO" w:eastAsia="en-US"/>
        </w:rPr>
        <w:t xml:space="preserve">realizadas </w:t>
      </w:r>
      <w:r w:rsidR="006C2D0D" w:rsidRPr="00165990">
        <w:rPr>
          <w:rFonts w:ascii="Arial" w:eastAsiaTheme="minorHAnsi" w:hAnsi="Arial" w:cs="Arial"/>
          <w:spacing w:val="-2"/>
          <w:lang w:val="es-CO" w:eastAsia="en-US"/>
        </w:rPr>
        <w:t>en la sentencia SU 479</w:t>
      </w:r>
      <w:r w:rsidRPr="00165990">
        <w:rPr>
          <w:rFonts w:ascii="Arial" w:eastAsiaTheme="minorHAnsi" w:hAnsi="Arial" w:cs="Arial"/>
          <w:spacing w:val="-2"/>
          <w:lang w:val="es-CO" w:eastAsia="en-US"/>
        </w:rPr>
        <w:t xml:space="preserve"> de 2019</w:t>
      </w:r>
      <w:r w:rsidR="006C2D0D" w:rsidRPr="00165990">
        <w:rPr>
          <w:rFonts w:ascii="Arial" w:eastAsiaTheme="minorHAnsi" w:hAnsi="Arial" w:cs="Arial"/>
          <w:spacing w:val="-2"/>
          <w:lang w:val="es-CO" w:eastAsia="en-US"/>
        </w:rPr>
        <w:t xml:space="preserve">. </w:t>
      </w:r>
    </w:p>
    <w:p w:rsidR="00DF1BAB" w:rsidRPr="00165990" w:rsidRDefault="00DF1BAB" w:rsidP="00E54582">
      <w:pPr>
        <w:pStyle w:val="Prrafodelista"/>
        <w:spacing w:line="276" w:lineRule="auto"/>
        <w:rPr>
          <w:rFonts w:ascii="Arial" w:eastAsiaTheme="minorHAnsi" w:hAnsi="Arial" w:cs="Arial"/>
          <w:spacing w:val="-2"/>
          <w:lang w:val="es-CO" w:eastAsia="en-US"/>
        </w:rPr>
      </w:pPr>
    </w:p>
    <w:p w:rsidR="00312E0F" w:rsidRPr="00165990" w:rsidRDefault="00DF1BAB" w:rsidP="00E54582">
      <w:pPr>
        <w:pStyle w:val="Prrafodelista"/>
        <w:numPr>
          <w:ilvl w:val="0"/>
          <w:numId w:val="6"/>
        </w:numPr>
        <w:spacing w:after="160" w:line="276" w:lineRule="auto"/>
        <w:jc w:val="both"/>
        <w:rPr>
          <w:rFonts w:ascii="Arial" w:eastAsiaTheme="minorHAnsi" w:hAnsi="Arial" w:cs="Arial"/>
          <w:spacing w:val="-2"/>
          <w:lang w:val="es-CO" w:eastAsia="en-US"/>
        </w:rPr>
      </w:pPr>
      <w:r w:rsidRPr="00165990">
        <w:rPr>
          <w:rFonts w:ascii="Arial" w:eastAsiaTheme="minorHAnsi" w:hAnsi="Arial" w:cs="Arial"/>
          <w:spacing w:val="-2"/>
          <w:lang w:val="es-CO" w:eastAsia="en-US"/>
        </w:rPr>
        <w:t xml:space="preserve">Resulta absurdo </w:t>
      </w:r>
      <w:r w:rsidR="006C2D0D" w:rsidRPr="00165990">
        <w:rPr>
          <w:rFonts w:ascii="Arial" w:eastAsiaTheme="minorHAnsi" w:hAnsi="Arial" w:cs="Arial"/>
          <w:spacing w:val="-2"/>
          <w:lang w:val="es-CO" w:eastAsia="en-US"/>
        </w:rPr>
        <w:t>pretender que para que se dé una negociación y un preacuerdo de</w:t>
      </w:r>
      <w:r w:rsidR="00312E0F" w:rsidRPr="00165990">
        <w:rPr>
          <w:rFonts w:ascii="Arial" w:eastAsiaTheme="minorHAnsi" w:hAnsi="Arial" w:cs="Arial"/>
          <w:spacing w:val="-2"/>
          <w:lang w:val="es-CO" w:eastAsia="en-US"/>
        </w:rPr>
        <w:t xml:space="preserve">be estar probada la complicidad, pues de ser así </w:t>
      </w:r>
      <w:r w:rsidR="00A110BE" w:rsidRPr="00165990">
        <w:rPr>
          <w:rFonts w:ascii="Arial" w:eastAsiaTheme="minorHAnsi" w:hAnsi="Arial" w:cs="Arial"/>
          <w:spacing w:val="-2"/>
          <w:lang w:val="es-CO" w:eastAsia="en-US"/>
        </w:rPr>
        <w:t xml:space="preserve">y estar probada </w:t>
      </w:r>
      <w:r w:rsidR="00312E0F" w:rsidRPr="00165990">
        <w:rPr>
          <w:rFonts w:ascii="Arial" w:eastAsiaTheme="minorHAnsi" w:hAnsi="Arial" w:cs="Arial"/>
          <w:spacing w:val="-2"/>
          <w:lang w:val="es-CO" w:eastAsia="en-US"/>
        </w:rPr>
        <w:t>dicha circunstancia</w:t>
      </w:r>
      <w:r w:rsidR="00A110BE" w:rsidRPr="00165990">
        <w:rPr>
          <w:rFonts w:ascii="Arial" w:eastAsiaTheme="minorHAnsi" w:hAnsi="Arial" w:cs="Arial"/>
          <w:spacing w:val="-2"/>
          <w:lang w:val="es-CO" w:eastAsia="en-US"/>
        </w:rPr>
        <w:t xml:space="preserve">, </w:t>
      </w:r>
      <w:r w:rsidR="00312E0F" w:rsidRPr="00165990">
        <w:rPr>
          <w:rFonts w:ascii="Arial" w:eastAsiaTheme="minorHAnsi" w:hAnsi="Arial" w:cs="Arial"/>
          <w:spacing w:val="-2"/>
          <w:lang w:val="es-CO" w:eastAsia="en-US"/>
        </w:rPr>
        <w:t xml:space="preserve">debería hacer parte de la imputación o la acusación. </w:t>
      </w:r>
    </w:p>
    <w:p w:rsidR="00312E0F" w:rsidRPr="00165990" w:rsidRDefault="00312E0F" w:rsidP="00E54582">
      <w:pPr>
        <w:pStyle w:val="Prrafodelista"/>
        <w:spacing w:line="276" w:lineRule="auto"/>
        <w:rPr>
          <w:rFonts w:ascii="Arial" w:eastAsiaTheme="minorHAnsi" w:hAnsi="Arial" w:cs="Arial"/>
          <w:spacing w:val="-2"/>
          <w:lang w:val="es-CO" w:eastAsia="en-US"/>
        </w:rPr>
      </w:pPr>
    </w:p>
    <w:p w:rsidR="001A0282" w:rsidRPr="00165990" w:rsidRDefault="00312E0F" w:rsidP="00E54582">
      <w:pPr>
        <w:pStyle w:val="Prrafodelista"/>
        <w:numPr>
          <w:ilvl w:val="0"/>
          <w:numId w:val="6"/>
        </w:numPr>
        <w:spacing w:after="160" w:line="276" w:lineRule="auto"/>
        <w:jc w:val="both"/>
        <w:rPr>
          <w:rFonts w:ascii="Arial" w:eastAsiaTheme="minorHAnsi" w:hAnsi="Arial" w:cs="Arial"/>
          <w:spacing w:val="-2"/>
          <w:lang w:val="es-CO" w:eastAsia="en-US"/>
        </w:rPr>
      </w:pPr>
      <w:r w:rsidRPr="00165990">
        <w:rPr>
          <w:rFonts w:ascii="Arial" w:eastAsiaTheme="minorHAnsi" w:hAnsi="Arial" w:cs="Arial"/>
          <w:spacing w:val="-2"/>
          <w:lang w:val="es-CO" w:eastAsia="en-US"/>
        </w:rPr>
        <w:t>No</w:t>
      </w:r>
      <w:r w:rsidR="006C2D0D" w:rsidRPr="00165990">
        <w:rPr>
          <w:rFonts w:ascii="Arial" w:eastAsiaTheme="minorHAnsi" w:hAnsi="Arial" w:cs="Arial"/>
          <w:spacing w:val="-2"/>
          <w:lang w:val="es-CO" w:eastAsia="en-US"/>
        </w:rPr>
        <w:t xml:space="preserve"> existe </w:t>
      </w:r>
      <w:r w:rsidRPr="00165990">
        <w:rPr>
          <w:rFonts w:ascii="Arial" w:eastAsiaTheme="minorHAnsi" w:hAnsi="Arial" w:cs="Arial"/>
          <w:spacing w:val="-2"/>
          <w:lang w:val="es-CO" w:eastAsia="en-US"/>
        </w:rPr>
        <w:t>al interior de</w:t>
      </w:r>
      <w:r w:rsidR="006C2D0D" w:rsidRPr="00165990">
        <w:rPr>
          <w:rFonts w:ascii="Arial" w:eastAsiaTheme="minorHAnsi" w:hAnsi="Arial" w:cs="Arial"/>
          <w:spacing w:val="-2"/>
          <w:lang w:val="es-CO" w:eastAsia="en-US"/>
        </w:rPr>
        <w:t xml:space="preserve"> la FGN alguna directriz relacionada con </w:t>
      </w:r>
      <w:r w:rsidRPr="00165990">
        <w:rPr>
          <w:rFonts w:ascii="Arial" w:eastAsiaTheme="minorHAnsi" w:hAnsi="Arial" w:cs="Arial"/>
          <w:spacing w:val="-2"/>
          <w:lang w:val="es-CO" w:eastAsia="en-US"/>
        </w:rPr>
        <w:t xml:space="preserve">los </w:t>
      </w:r>
      <w:r w:rsidR="006C2D0D" w:rsidRPr="00165990">
        <w:rPr>
          <w:rFonts w:ascii="Arial" w:eastAsiaTheme="minorHAnsi" w:hAnsi="Arial" w:cs="Arial"/>
          <w:spacing w:val="-2"/>
          <w:lang w:val="es-CO" w:eastAsia="en-US"/>
        </w:rPr>
        <w:t>preacuerdos en los que se degrad</w:t>
      </w:r>
      <w:r w:rsidR="00A93F17" w:rsidRPr="00165990">
        <w:rPr>
          <w:rFonts w:ascii="Arial" w:eastAsiaTheme="minorHAnsi" w:hAnsi="Arial" w:cs="Arial"/>
          <w:spacing w:val="-2"/>
          <w:lang w:val="es-CO" w:eastAsia="en-US"/>
        </w:rPr>
        <w:t xml:space="preserve">a </w:t>
      </w:r>
      <w:r w:rsidR="006C2D0D" w:rsidRPr="00165990">
        <w:rPr>
          <w:rFonts w:ascii="Arial" w:eastAsiaTheme="minorHAnsi" w:hAnsi="Arial" w:cs="Arial"/>
          <w:spacing w:val="-2"/>
          <w:lang w:val="es-CO" w:eastAsia="en-US"/>
        </w:rPr>
        <w:t>la parti</w:t>
      </w:r>
      <w:r w:rsidRPr="00165990">
        <w:rPr>
          <w:rFonts w:ascii="Arial" w:eastAsiaTheme="minorHAnsi" w:hAnsi="Arial" w:cs="Arial"/>
          <w:spacing w:val="-2"/>
          <w:lang w:val="es-CO" w:eastAsia="en-US"/>
        </w:rPr>
        <w:t>cipación de un autor a cómplice</w:t>
      </w:r>
      <w:r w:rsidR="006E393C" w:rsidRPr="00165990">
        <w:rPr>
          <w:rFonts w:ascii="Arial" w:eastAsiaTheme="minorHAnsi" w:hAnsi="Arial" w:cs="Arial"/>
          <w:spacing w:val="-2"/>
          <w:lang w:val="es-CO" w:eastAsia="en-US"/>
        </w:rPr>
        <w:t xml:space="preserve">, </w:t>
      </w:r>
      <w:r w:rsidRPr="00165990">
        <w:rPr>
          <w:rFonts w:ascii="Arial" w:eastAsiaTheme="minorHAnsi" w:hAnsi="Arial" w:cs="Arial"/>
          <w:spacing w:val="-2"/>
          <w:lang w:val="es-CO" w:eastAsia="en-US"/>
        </w:rPr>
        <w:t xml:space="preserve">y por lo tanto resulta procedente </w:t>
      </w:r>
      <w:r w:rsidR="0075396F" w:rsidRPr="00165990">
        <w:rPr>
          <w:rFonts w:ascii="Arial" w:eastAsiaTheme="minorHAnsi" w:hAnsi="Arial" w:cs="Arial"/>
          <w:spacing w:val="-2"/>
          <w:lang w:val="es-CO" w:eastAsia="en-US"/>
        </w:rPr>
        <w:t>aprobar la</w:t>
      </w:r>
      <w:r w:rsidRPr="00165990">
        <w:rPr>
          <w:rFonts w:ascii="Arial" w:eastAsiaTheme="minorHAnsi" w:hAnsi="Arial" w:cs="Arial"/>
          <w:spacing w:val="-2"/>
          <w:lang w:val="es-CO" w:eastAsia="en-US"/>
        </w:rPr>
        <w:t xml:space="preserve"> negociación efectuada</w:t>
      </w:r>
      <w:r w:rsidR="0075396F" w:rsidRPr="00165990">
        <w:rPr>
          <w:rFonts w:ascii="Arial" w:eastAsiaTheme="minorHAnsi" w:hAnsi="Arial" w:cs="Arial"/>
          <w:spacing w:val="-2"/>
          <w:lang w:val="es-CO" w:eastAsia="en-US"/>
        </w:rPr>
        <w:t xml:space="preserve"> con</w:t>
      </w:r>
      <w:r w:rsidR="00A93F17" w:rsidRPr="00165990">
        <w:rPr>
          <w:rFonts w:ascii="Arial" w:eastAsiaTheme="minorHAnsi" w:hAnsi="Arial" w:cs="Arial"/>
          <w:spacing w:val="-2"/>
          <w:lang w:val="es-CO" w:eastAsia="en-US"/>
        </w:rPr>
        <w:t xml:space="preserve"> representado, quien al asumir su </w:t>
      </w:r>
      <w:r w:rsidR="006C2D0D" w:rsidRPr="00165990">
        <w:rPr>
          <w:rFonts w:ascii="Arial" w:eastAsiaTheme="minorHAnsi" w:hAnsi="Arial" w:cs="Arial"/>
          <w:spacing w:val="-2"/>
          <w:lang w:val="es-CO" w:eastAsia="en-US"/>
        </w:rPr>
        <w:t>responsabilidad</w:t>
      </w:r>
      <w:r w:rsidR="0075396F" w:rsidRPr="00165990">
        <w:rPr>
          <w:rFonts w:ascii="Arial" w:eastAsiaTheme="minorHAnsi" w:hAnsi="Arial" w:cs="Arial"/>
          <w:spacing w:val="-2"/>
          <w:lang w:val="es-CO" w:eastAsia="en-US"/>
        </w:rPr>
        <w:t xml:space="preserve"> por el</w:t>
      </w:r>
      <w:r w:rsidR="006C2D0D" w:rsidRPr="00165990">
        <w:rPr>
          <w:rFonts w:ascii="Arial" w:eastAsiaTheme="minorHAnsi" w:hAnsi="Arial" w:cs="Arial"/>
          <w:spacing w:val="-2"/>
          <w:lang w:val="es-CO" w:eastAsia="en-US"/>
        </w:rPr>
        <w:t xml:space="preserve"> delito</w:t>
      </w:r>
      <w:r w:rsidR="001A0282" w:rsidRPr="00165990">
        <w:rPr>
          <w:rFonts w:ascii="Arial" w:eastAsiaTheme="minorHAnsi" w:hAnsi="Arial" w:cs="Arial"/>
          <w:spacing w:val="-2"/>
          <w:lang w:val="es-CO" w:eastAsia="en-US"/>
        </w:rPr>
        <w:t xml:space="preserve"> investigado </w:t>
      </w:r>
      <w:r w:rsidR="006C2D0D" w:rsidRPr="00165990">
        <w:rPr>
          <w:rFonts w:ascii="Arial" w:eastAsiaTheme="minorHAnsi" w:hAnsi="Arial" w:cs="Arial"/>
          <w:spacing w:val="-2"/>
          <w:lang w:val="es-CO" w:eastAsia="en-US"/>
        </w:rPr>
        <w:t>favorece el desarrollo del proceso</w:t>
      </w:r>
      <w:r w:rsidR="00A93F17" w:rsidRPr="00165990">
        <w:rPr>
          <w:rFonts w:ascii="Arial" w:eastAsiaTheme="minorHAnsi" w:hAnsi="Arial" w:cs="Arial"/>
          <w:spacing w:val="-2"/>
          <w:lang w:val="es-CO" w:eastAsia="en-US"/>
        </w:rPr>
        <w:t xml:space="preserve">, </w:t>
      </w:r>
      <w:r w:rsidR="006C2D0D" w:rsidRPr="00165990">
        <w:rPr>
          <w:rFonts w:ascii="Arial" w:eastAsiaTheme="minorHAnsi" w:hAnsi="Arial" w:cs="Arial"/>
          <w:spacing w:val="-2"/>
          <w:lang w:val="es-CO" w:eastAsia="en-US"/>
        </w:rPr>
        <w:t>independiente</w:t>
      </w:r>
      <w:r w:rsidR="001A0282" w:rsidRPr="00165990">
        <w:rPr>
          <w:rFonts w:ascii="Arial" w:eastAsiaTheme="minorHAnsi" w:hAnsi="Arial" w:cs="Arial"/>
          <w:spacing w:val="-2"/>
          <w:lang w:val="es-CO" w:eastAsia="en-US"/>
        </w:rPr>
        <w:t>mente</w:t>
      </w:r>
      <w:r w:rsidR="006C2D0D" w:rsidRPr="00165990">
        <w:rPr>
          <w:rFonts w:ascii="Arial" w:eastAsiaTheme="minorHAnsi" w:hAnsi="Arial" w:cs="Arial"/>
          <w:spacing w:val="-2"/>
          <w:lang w:val="es-CO" w:eastAsia="en-US"/>
        </w:rPr>
        <w:t xml:space="preserve"> d</w:t>
      </w:r>
      <w:r w:rsidR="001A0282" w:rsidRPr="00165990">
        <w:rPr>
          <w:rFonts w:ascii="Arial" w:eastAsiaTheme="minorHAnsi" w:hAnsi="Arial" w:cs="Arial"/>
          <w:spacing w:val="-2"/>
          <w:lang w:val="es-CO" w:eastAsia="en-US"/>
        </w:rPr>
        <w:t>el momento procesal que haya tomado</w:t>
      </w:r>
      <w:r w:rsidR="00A93F17" w:rsidRPr="00165990">
        <w:rPr>
          <w:rFonts w:ascii="Arial" w:eastAsiaTheme="minorHAnsi" w:hAnsi="Arial" w:cs="Arial"/>
          <w:spacing w:val="-2"/>
          <w:lang w:val="es-CO" w:eastAsia="en-US"/>
        </w:rPr>
        <w:t xml:space="preserve"> esa </w:t>
      </w:r>
      <w:r w:rsidR="001A0282" w:rsidRPr="00165990">
        <w:rPr>
          <w:rFonts w:ascii="Arial" w:eastAsiaTheme="minorHAnsi" w:hAnsi="Arial" w:cs="Arial"/>
          <w:spacing w:val="-2"/>
          <w:lang w:val="es-CO" w:eastAsia="en-US"/>
        </w:rPr>
        <w:t xml:space="preserve"> la decisión. </w:t>
      </w:r>
    </w:p>
    <w:p w:rsidR="00316001" w:rsidRPr="00165990" w:rsidRDefault="001A0282" w:rsidP="00E54582">
      <w:pPr>
        <w:pStyle w:val="Prrafodelista"/>
        <w:numPr>
          <w:ilvl w:val="0"/>
          <w:numId w:val="6"/>
        </w:numPr>
        <w:spacing w:after="160" w:line="276" w:lineRule="auto"/>
        <w:jc w:val="both"/>
        <w:rPr>
          <w:rFonts w:ascii="Arial" w:eastAsiaTheme="minorHAnsi" w:hAnsi="Arial" w:cs="Arial"/>
          <w:spacing w:val="-2"/>
          <w:lang w:val="es-CO" w:eastAsia="en-US"/>
        </w:rPr>
      </w:pPr>
      <w:r w:rsidRPr="00165990">
        <w:rPr>
          <w:rFonts w:ascii="Arial" w:eastAsiaTheme="minorHAnsi" w:hAnsi="Arial" w:cs="Arial"/>
          <w:spacing w:val="-2"/>
          <w:lang w:val="es-CO" w:eastAsia="en-US"/>
        </w:rPr>
        <w:t xml:space="preserve">El artículo 351 del </w:t>
      </w:r>
      <w:proofErr w:type="spellStart"/>
      <w:r w:rsidRPr="00165990">
        <w:rPr>
          <w:rFonts w:ascii="Arial" w:eastAsiaTheme="minorHAnsi" w:hAnsi="Arial" w:cs="Arial"/>
          <w:spacing w:val="-2"/>
          <w:lang w:val="es-CO" w:eastAsia="en-US"/>
        </w:rPr>
        <w:t>CPP</w:t>
      </w:r>
      <w:proofErr w:type="spellEnd"/>
      <w:r w:rsidRPr="00165990">
        <w:rPr>
          <w:rFonts w:ascii="Arial" w:eastAsiaTheme="minorHAnsi" w:hAnsi="Arial" w:cs="Arial"/>
          <w:spacing w:val="-2"/>
          <w:lang w:val="es-CO" w:eastAsia="en-US"/>
        </w:rPr>
        <w:t xml:space="preserve"> hace referencia a las rebajas de la pena establecidas frente a aquellos casos en los que existe un allanamiento pleno a los cargos, pero en el presente caso se dio una negociación mediante el cual se degrada </w:t>
      </w:r>
      <w:r w:rsidR="00A93F17" w:rsidRPr="00165990">
        <w:rPr>
          <w:rFonts w:ascii="Arial" w:eastAsiaTheme="minorHAnsi" w:hAnsi="Arial" w:cs="Arial"/>
          <w:spacing w:val="-2"/>
          <w:lang w:val="es-CO" w:eastAsia="en-US"/>
        </w:rPr>
        <w:t xml:space="preserve">la </w:t>
      </w:r>
      <w:r w:rsidRPr="00165990">
        <w:rPr>
          <w:rFonts w:ascii="Arial" w:eastAsiaTheme="minorHAnsi" w:hAnsi="Arial" w:cs="Arial"/>
          <w:spacing w:val="-2"/>
          <w:lang w:val="es-CO" w:eastAsia="en-US"/>
        </w:rPr>
        <w:t xml:space="preserve">forma de </w:t>
      </w:r>
      <w:r w:rsidR="00316001" w:rsidRPr="00165990">
        <w:rPr>
          <w:rFonts w:ascii="Arial" w:eastAsiaTheme="minorHAnsi" w:hAnsi="Arial" w:cs="Arial"/>
          <w:spacing w:val="-2"/>
          <w:lang w:val="es-CO" w:eastAsia="en-US"/>
        </w:rPr>
        <w:t xml:space="preserve">participación de autor a cómplice, </w:t>
      </w:r>
      <w:r w:rsidR="00A93F17" w:rsidRPr="00165990">
        <w:rPr>
          <w:rFonts w:ascii="Arial" w:eastAsiaTheme="minorHAnsi" w:hAnsi="Arial" w:cs="Arial"/>
          <w:spacing w:val="-2"/>
          <w:lang w:val="es-CO" w:eastAsia="en-US"/>
        </w:rPr>
        <w:t xml:space="preserve">lo que indica que se trata de un contexto fáctico distinto al de los casos examinados en la </w:t>
      </w:r>
      <w:r w:rsidR="0075396F" w:rsidRPr="00165990">
        <w:rPr>
          <w:rFonts w:ascii="Arial" w:eastAsiaTheme="minorHAnsi" w:hAnsi="Arial" w:cs="Arial"/>
          <w:spacing w:val="-2"/>
          <w:lang w:val="es-CO" w:eastAsia="en-US"/>
        </w:rPr>
        <w:t>sentencia SU-</w:t>
      </w:r>
      <w:r w:rsidR="004314E4" w:rsidRPr="00165990">
        <w:rPr>
          <w:rFonts w:ascii="Arial" w:eastAsiaTheme="minorHAnsi" w:hAnsi="Arial" w:cs="Arial"/>
          <w:spacing w:val="-2"/>
          <w:lang w:val="es-CO" w:eastAsia="en-US"/>
        </w:rPr>
        <w:t>479</w:t>
      </w:r>
      <w:r w:rsidR="00316001" w:rsidRPr="00165990">
        <w:rPr>
          <w:rFonts w:ascii="Arial" w:eastAsiaTheme="minorHAnsi" w:hAnsi="Arial" w:cs="Arial"/>
          <w:spacing w:val="-2"/>
          <w:lang w:val="es-CO" w:eastAsia="en-US"/>
        </w:rPr>
        <w:t xml:space="preserve"> de 2019, </w:t>
      </w:r>
      <w:r w:rsidR="00A93F17" w:rsidRPr="00165990">
        <w:rPr>
          <w:rFonts w:ascii="Arial" w:eastAsiaTheme="minorHAnsi" w:hAnsi="Arial" w:cs="Arial"/>
          <w:spacing w:val="-2"/>
          <w:lang w:val="es-CO" w:eastAsia="en-US"/>
        </w:rPr>
        <w:t xml:space="preserve">que fue </w:t>
      </w:r>
      <w:r w:rsidR="00316001" w:rsidRPr="00165990">
        <w:rPr>
          <w:rFonts w:ascii="Arial" w:eastAsiaTheme="minorHAnsi" w:hAnsi="Arial" w:cs="Arial"/>
          <w:spacing w:val="-2"/>
          <w:lang w:val="es-CO" w:eastAsia="en-US"/>
        </w:rPr>
        <w:t>interpretada</w:t>
      </w:r>
      <w:r w:rsidR="006C2D0D" w:rsidRPr="00165990">
        <w:rPr>
          <w:rFonts w:ascii="Arial" w:eastAsiaTheme="minorHAnsi" w:hAnsi="Arial" w:cs="Arial"/>
          <w:spacing w:val="-2"/>
          <w:lang w:val="es-CO" w:eastAsia="en-US"/>
        </w:rPr>
        <w:t xml:space="preserve"> de manera errónea por parte del juez de primera instancia.</w:t>
      </w:r>
    </w:p>
    <w:p w:rsidR="00316001" w:rsidRPr="00165990" w:rsidRDefault="00316001" w:rsidP="00E54582">
      <w:pPr>
        <w:pStyle w:val="Prrafodelista"/>
        <w:spacing w:line="276" w:lineRule="auto"/>
        <w:rPr>
          <w:rFonts w:ascii="Arial" w:eastAsiaTheme="minorHAnsi" w:hAnsi="Arial" w:cs="Arial"/>
          <w:spacing w:val="-2"/>
          <w:lang w:val="es-CO" w:eastAsia="en-US"/>
        </w:rPr>
      </w:pPr>
    </w:p>
    <w:p w:rsidR="0069555D" w:rsidRPr="00165990" w:rsidRDefault="00A93F17" w:rsidP="00E54582">
      <w:pPr>
        <w:pStyle w:val="Prrafodelista"/>
        <w:numPr>
          <w:ilvl w:val="0"/>
          <w:numId w:val="6"/>
        </w:numPr>
        <w:spacing w:line="276" w:lineRule="auto"/>
        <w:jc w:val="both"/>
        <w:rPr>
          <w:rFonts w:ascii="Arial" w:eastAsiaTheme="minorHAnsi" w:hAnsi="Arial" w:cs="Arial"/>
          <w:spacing w:val="-2"/>
          <w:lang w:val="es-CO" w:eastAsia="en-US"/>
        </w:rPr>
      </w:pPr>
      <w:r w:rsidRPr="00165990">
        <w:rPr>
          <w:rFonts w:ascii="Arial" w:eastAsiaTheme="minorHAnsi" w:hAnsi="Arial" w:cs="Arial"/>
          <w:spacing w:val="-2"/>
          <w:lang w:val="es-CO" w:eastAsia="en-US"/>
        </w:rPr>
        <w:t xml:space="preserve">Por lo tanto pide que se revoque la decisión protestada y que en consecuencia se avale el preacuerdo celebrado con el señor </w:t>
      </w:r>
      <w:proofErr w:type="spellStart"/>
      <w:r w:rsidR="005D5D2D" w:rsidRPr="00165990">
        <w:rPr>
          <w:rFonts w:ascii="Arial" w:eastAsiaTheme="minorHAnsi" w:hAnsi="Arial" w:cs="Arial"/>
          <w:spacing w:val="-2"/>
          <w:lang w:val="es-CO" w:eastAsia="en-US"/>
        </w:rPr>
        <w:t>AMM</w:t>
      </w:r>
      <w:proofErr w:type="spellEnd"/>
      <w:r w:rsidR="006E393C" w:rsidRPr="00165990">
        <w:rPr>
          <w:rFonts w:ascii="Arial" w:eastAsiaTheme="minorHAnsi" w:hAnsi="Arial" w:cs="Arial"/>
          <w:spacing w:val="-2"/>
          <w:lang w:val="es-CO" w:eastAsia="en-US"/>
        </w:rPr>
        <w:t xml:space="preserve">, </w:t>
      </w:r>
      <w:r w:rsidRPr="00165990">
        <w:rPr>
          <w:rFonts w:ascii="Arial" w:eastAsiaTheme="minorHAnsi" w:hAnsi="Arial" w:cs="Arial"/>
          <w:spacing w:val="-2"/>
          <w:lang w:val="es-CO" w:eastAsia="en-US"/>
        </w:rPr>
        <w:t xml:space="preserve">a efectos de que el </w:t>
      </w:r>
      <w:r w:rsidRPr="00165990">
        <w:rPr>
          <w:rFonts w:ascii="Arial" w:eastAsiaTheme="minorHAnsi" w:hAnsi="Arial" w:cs="Arial"/>
          <w:i/>
          <w:spacing w:val="-2"/>
          <w:lang w:val="es-CO" w:eastAsia="en-US"/>
        </w:rPr>
        <w:t xml:space="preserve">A quo </w:t>
      </w:r>
      <w:r w:rsidR="00316001" w:rsidRPr="00165990">
        <w:rPr>
          <w:rFonts w:ascii="Arial" w:eastAsiaTheme="minorHAnsi" w:hAnsi="Arial" w:cs="Arial"/>
          <w:spacing w:val="-2"/>
          <w:lang w:val="es-CO" w:eastAsia="en-US"/>
        </w:rPr>
        <w:t xml:space="preserve">profiera la sentencia respectiva. </w:t>
      </w:r>
    </w:p>
    <w:p w:rsidR="00E54582" w:rsidRPr="00165990" w:rsidRDefault="00E54582" w:rsidP="00E54582">
      <w:pPr>
        <w:spacing w:line="276" w:lineRule="auto"/>
        <w:jc w:val="center"/>
        <w:rPr>
          <w:rFonts w:ascii="Arial" w:hAnsi="Arial" w:cs="Arial"/>
          <w:spacing w:val="-2"/>
          <w:lang w:eastAsia="es-MX"/>
        </w:rPr>
      </w:pPr>
    </w:p>
    <w:p w:rsidR="00F127CD" w:rsidRPr="00165990" w:rsidRDefault="00602401" w:rsidP="00E54582">
      <w:pPr>
        <w:spacing w:line="276" w:lineRule="auto"/>
        <w:jc w:val="center"/>
        <w:rPr>
          <w:rFonts w:ascii="Arial" w:hAnsi="Arial" w:cs="Arial"/>
          <w:spacing w:val="-2"/>
          <w:lang w:eastAsia="es-MX"/>
        </w:rPr>
      </w:pPr>
      <w:r w:rsidRPr="00165990">
        <w:rPr>
          <w:rFonts w:ascii="Arial" w:hAnsi="Arial" w:cs="Arial"/>
          <w:spacing w:val="-2"/>
          <w:lang w:eastAsia="es-MX"/>
        </w:rPr>
        <w:t>6</w:t>
      </w:r>
      <w:r w:rsidR="00F127CD" w:rsidRPr="00165990">
        <w:rPr>
          <w:rFonts w:ascii="Arial" w:hAnsi="Arial" w:cs="Arial"/>
          <w:spacing w:val="-2"/>
          <w:lang w:eastAsia="es-MX"/>
        </w:rPr>
        <w:t xml:space="preserve">. CONSIDERACIONES LEGALES </w:t>
      </w:r>
    </w:p>
    <w:p w:rsidR="00F127CD" w:rsidRPr="00165990" w:rsidRDefault="00F127CD" w:rsidP="00E54582">
      <w:pPr>
        <w:spacing w:line="276" w:lineRule="auto"/>
        <w:jc w:val="both"/>
        <w:rPr>
          <w:rFonts w:ascii="Arial" w:hAnsi="Arial" w:cs="Arial"/>
          <w:spacing w:val="-2"/>
          <w:lang w:eastAsia="es-MX"/>
        </w:rPr>
      </w:pPr>
    </w:p>
    <w:p w:rsidR="00F127CD" w:rsidRPr="00165990" w:rsidRDefault="0081038D" w:rsidP="00E54582">
      <w:pPr>
        <w:spacing w:line="276" w:lineRule="auto"/>
        <w:jc w:val="both"/>
        <w:rPr>
          <w:rFonts w:ascii="Arial" w:hAnsi="Arial" w:cs="Arial"/>
          <w:spacing w:val="-2"/>
          <w:lang w:eastAsia="es-MX"/>
        </w:rPr>
      </w:pPr>
      <w:r w:rsidRPr="00165990">
        <w:rPr>
          <w:rFonts w:ascii="Arial" w:hAnsi="Arial" w:cs="Arial"/>
          <w:spacing w:val="-2"/>
          <w:lang w:eastAsia="es-MX"/>
        </w:rPr>
        <w:t>6</w:t>
      </w:r>
      <w:r w:rsidR="00F127CD" w:rsidRPr="00165990">
        <w:rPr>
          <w:rFonts w:ascii="Arial" w:hAnsi="Arial" w:cs="Arial"/>
          <w:spacing w:val="-2"/>
          <w:lang w:eastAsia="es-MX"/>
        </w:rPr>
        <w:t xml:space="preserve">.1 Esta Sala es competente para conocer del presente recurso, en atención a lo dispuesto en el artículo 34-1 del </w:t>
      </w:r>
      <w:proofErr w:type="spellStart"/>
      <w:r w:rsidR="00F127CD" w:rsidRPr="00165990">
        <w:rPr>
          <w:rFonts w:ascii="Arial" w:hAnsi="Arial" w:cs="Arial"/>
          <w:spacing w:val="-2"/>
          <w:lang w:eastAsia="es-MX"/>
        </w:rPr>
        <w:t>CPP</w:t>
      </w:r>
      <w:proofErr w:type="spellEnd"/>
      <w:r w:rsidR="00F127CD" w:rsidRPr="00165990">
        <w:rPr>
          <w:rFonts w:ascii="Arial" w:hAnsi="Arial" w:cs="Arial"/>
          <w:spacing w:val="-2"/>
          <w:lang w:eastAsia="es-MX"/>
        </w:rPr>
        <w:t>.</w:t>
      </w:r>
    </w:p>
    <w:p w:rsidR="00F127CD" w:rsidRPr="00165990" w:rsidRDefault="00F127CD" w:rsidP="00E54582">
      <w:pPr>
        <w:spacing w:line="276" w:lineRule="auto"/>
        <w:jc w:val="both"/>
        <w:rPr>
          <w:rFonts w:ascii="Arial" w:hAnsi="Arial" w:cs="Arial"/>
          <w:spacing w:val="-2"/>
          <w:lang w:eastAsia="es-MX"/>
        </w:rPr>
      </w:pPr>
    </w:p>
    <w:p w:rsidR="00F127CD" w:rsidRPr="00165990" w:rsidRDefault="0081038D" w:rsidP="00E54582">
      <w:pPr>
        <w:spacing w:line="276" w:lineRule="auto"/>
        <w:jc w:val="both"/>
        <w:rPr>
          <w:rFonts w:ascii="Arial" w:hAnsi="Arial" w:cs="Arial"/>
          <w:spacing w:val="-2"/>
          <w:lang w:eastAsia="es-MX"/>
        </w:rPr>
      </w:pPr>
      <w:r w:rsidRPr="00165990">
        <w:rPr>
          <w:rFonts w:ascii="Arial" w:hAnsi="Arial" w:cs="Arial"/>
          <w:spacing w:val="-2"/>
          <w:lang w:eastAsia="es-MX"/>
        </w:rPr>
        <w:t>6.2</w:t>
      </w:r>
      <w:r w:rsidRPr="00165990">
        <w:rPr>
          <w:rFonts w:ascii="Arial" w:hAnsi="Arial" w:cs="Arial"/>
          <w:spacing w:val="-2"/>
          <w:u w:val="single"/>
          <w:lang w:eastAsia="es-MX"/>
        </w:rPr>
        <w:t xml:space="preserve"> </w:t>
      </w:r>
      <w:r w:rsidR="00F127CD" w:rsidRPr="00165990">
        <w:rPr>
          <w:rFonts w:ascii="Arial" w:hAnsi="Arial" w:cs="Arial"/>
          <w:spacing w:val="-2"/>
          <w:u w:val="single"/>
          <w:lang w:eastAsia="es-MX"/>
        </w:rPr>
        <w:t xml:space="preserve"> Problema jurídico a resolver</w:t>
      </w:r>
      <w:r w:rsidR="00F127CD" w:rsidRPr="00165990">
        <w:rPr>
          <w:rFonts w:ascii="Arial" w:hAnsi="Arial" w:cs="Arial"/>
          <w:spacing w:val="-2"/>
          <w:lang w:eastAsia="es-MX"/>
        </w:rPr>
        <w:t xml:space="preserve">: </w:t>
      </w:r>
    </w:p>
    <w:p w:rsidR="00F127CD" w:rsidRPr="00165990" w:rsidRDefault="00F127CD" w:rsidP="00E54582">
      <w:pPr>
        <w:spacing w:line="276" w:lineRule="auto"/>
        <w:jc w:val="both"/>
        <w:rPr>
          <w:rFonts w:ascii="Arial" w:hAnsi="Arial" w:cs="Arial"/>
          <w:spacing w:val="-2"/>
          <w:lang w:eastAsia="es-MX"/>
        </w:rPr>
      </w:pPr>
    </w:p>
    <w:p w:rsidR="00F127CD" w:rsidRPr="00165990" w:rsidRDefault="0081038D" w:rsidP="00E54582">
      <w:pPr>
        <w:spacing w:line="276" w:lineRule="auto"/>
        <w:jc w:val="both"/>
        <w:rPr>
          <w:rFonts w:ascii="Arial" w:hAnsi="Arial" w:cs="Arial"/>
          <w:spacing w:val="-2"/>
          <w:lang w:eastAsia="es-MX"/>
        </w:rPr>
      </w:pPr>
      <w:r w:rsidRPr="00165990">
        <w:rPr>
          <w:rFonts w:ascii="Arial" w:hAnsi="Arial" w:cs="Arial"/>
          <w:spacing w:val="-2"/>
          <w:lang w:eastAsia="es-MX"/>
        </w:rPr>
        <w:t xml:space="preserve">6.2.1 </w:t>
      </w:r>
      <w:r w:rsidR="00F127CD" w:rsidRPr="00165990">
        <w:rPr>
          <w:rFonts w:ascii="Arial" w:hAnsi="Arial" w:cs="Arial"/>
          <w:spacing w:val="-2"/>
          <w:lang w:eastAsia="es-MX"/>
        </w:rPr>
        <w:t xml:space="preserve">Se debe decidir el grado de acierto de la decisión de primera instancia, en la cual, en lo esencial, el juez de primer grado consideró que en aplicación del precedente SU – 479 de 2019 de la Corte Constitucional, que decidió algunos asuntos de relevancia en materia de preacuerdos, no era posible que en ese tipo de convenciones se desconociera el contexto fáctico del caso, para degradar el grado de participación de autor a cómplice cuando se trataba de un delito unipersonal, por lo cual improbó la convención celebrada entre la FGN y el acusado. </w:t>
      </w:r>
    </w:p>
    <w:p w:rsidR="00F127CD" w:rsidRPr="00165990" w:rsidRDefault="00F127CD" w:rsidP="00E54582">
      <w:pPr>
        <w:spacing w:line="276" w:lineRule="auto"/>
        <w:jc w:val="both"/>
        <w:rPr>
          <w:rFonts w:ascii="Arial" w:hAnsi="Arial" w:cs="Arial"/>
          <w:i/>
          <w:spacing w:val="-2"/>
          <w:lang w:eastAsia="es-MX"/>
        </w:rPr>
      </w:pPr>
    </w:p>
    <w:p w:rsidR="00F127CD" w:rsidRPr="00165990" w:rsidRDefault="0081038D" w:rsidP="00E54582">
      <w:pPr>
        <w:spacing w:line="276" w:lineRule="auto"/>
        <w:jc w:val="both"/>
        <w:rPr>
          <w:rFonts w:ascii="Arial" w:hAnsi="Arial" w:cs="Arial"/>
          <w:spacing w:val="-2"/>
          <w:lang w:eastAsia="es-MX"/>
        </w:rPr>
      </w:pPr>
      <w:r w:rsidRPr="00165990">
        <w:rPr>
          <w:rFonts w:ascii="Arial" w:hAnsi="Arial" w:cs="Arial"/>
          <w:spacing w:val="-2"/>
          <w:lang w:eastAsia="es-MX"/>
        </w:rPr>
        <w:t>6</w:t>
      </w:r>
      <w:r w:rsidR="00F127CD" w:rsidRPr="00165990">
        <w:rPr>
          <w:rFonts w:ascii="Arial" w:hAnsi="Arial" w:cs="Arial"/>
          <w:spacing w:val="-2"/>
          <w:lang w:eastAsia="es-MX"/>
        </w:rPr>
        <w:t xml:space="preserve">.2.2 Al examinar el </w:t>
      </w:r>
      <w:proofErr w:type="spellStart"/>
      <w:r w:rsidR="00F127CD" w:rsidRPr="00165990">
        <w:rPr>
          <w:rFonts w:ascii="Arial" w:hAnsi="Arial" w:cs="Arial"/>
          <w:i/>
          <w:spacing w:val="-2"/>
          <w:lang w:eastAsia="es-MX"/>
        </w:rPr>
        <w:t>factum</w:t>
      </w:r>
      <w:proofErr w:type="spellEnd"/>
      <w:r w:rsidR="00F127CD" w:rsidRPr="00165990">
        <w:rPr>
          <w:rFonts w:ascii="Arial" w:hAnsi="Arial" w:cs="Arial"/>
          <w:i/>
          <w:spacing w:val="-2"/>
          <w:lang w:eastAsia="es-MX"/>
        </w:rPr>
        <w:t xml:space="preserve"> </w:t>
      </w:r>
      <w:r w:rsidR="00F127CD" w:rsidRPr="00165990">
        <w:rPr>
          <w:rFonts w:ascii="Arial" w:hAnsi="Arial" w:cs="Arial"/>
          <w:spacing w:val="-2"/>
          <w:lang w:eastAsia="es-MX"/>
        </w:rPr>
        <w:t xml:space="preserve">de la acusación, queda claro que el señor </w:t>
      </w:r>
      <w:proofErr w:type="spellStart"/>
      <w:r w:rsidR="005D5D2D" w:rsidRPr="00165990">
        <w:rPr>
          <w:rFonts w:ascii="Arial" w:hAnsi="Arial" w:cs="Arial"/>
          <w:spacing w:val="-2"/>
          <w:lang w:eastAsia="es-MX"/>
        </w:rPr>
        <w:t>AMM</w:t>
      </w:r>
      <w:proofErr w:type="spellEnd"/>
      <w:r w:rsidR="00F127CD" w:rsidRPr="00165990">
        <w:rPr>
          <w:rFonts w:ascii="Arial" w:hAnsi="Arial" w:cs="Arial"/>
          <w:spacing w:val="-2"/>
          <w:lang w:eastAsia="es-MX"/>
        </w:rPr>
        <w:t xml:space="preserve"> fue capturado el 25 de septiembre de 2015 porque en su poder fue hallada una bolsa que contenía 180 papeletas de una sustancia que posteriormente fue identificada como positiva para cocaína y que tuvo un peso de 17.2 gramos. Por tal causa la FGN lo acusó como: </w:t>
      </w:r>
      <w:r w:rsidR="00F127CD" w:rsidRPr="00165990">
        <w:rPr>
          <w:rFonts w:ascii="Arial" w:hAnsi="Arial" w:cs="Arial"/>
          <w:i/>
          <w:spacing w:val="-2"/>
          <w:lang w:eastAsia="es-MX"/>
        </w:rPr>
        <w:t>“</w:t>
      </w:r>
      <w:r w:rsidR="00F127CD" w:rsidRPr="00165990">
        <w:rPr>
          <w:rFonts w:ascii="Arial" w:hAnsi="Arial" w:cs="Arial"/>
          <w:i/>
          <w:spacing w:val="-2"/>
          <w:sz w:val="22"/>
          <w:u w:val="single"/>
          <w:lang w:eastAsia="es-MX"/>
        </w:rPr>
        <w:t>AUTOR</w:t>
      </w:r>
      <w:r w:rsidR="00F127CD" w:rsidRPr="00165990">
        <w:rPr>
          <w:rFonts w:ascii="Arial" w:hAnsi="Arial" w:cs="Arial"/>
          <w:i/>
          <w:spacing w:val="-2"/>
          <w:sz w:val="22"/>
          <w:lang w:eastAsia="es-MX"/>
        </w:rPr>
        <w:t xml:space="preserve"> a título de DOLO del delito de TRÁFICO, FABRICACIÓN O PORTE DE ESTUPEFACIENTES, conducta prevista como punible  en el artículo 376 del Código </w:t>
      </w:r>
      <w:r w:rsidR="00F127CD" w:rsidRPr="00165990">
        <w:rPr>
          <w:rFonts w:ascii="Arial" w:hAnsi="Arial" w:cs="Arial"/>
          <w:i/>
          <w:spacing w:val="-2"/>
          <w:sz w:val="22"/>
          <w:lang w:eastAsia="es-MX"/>
        </w:rPr>
        <w:lastRenderedPageBreak/>
        <w:t>Penal, modificado por el artículo 11 de la  Ley 1453 de 2011, ubicable dado el tipo y peso de la sustancia en el INCISO 2 de la misma norma; actualizada en el verbo rector “LLEVAR CONSIGO</w:t>
      </w:r>
      <w:r w:rsidR="00F127CD" w:rsidRPr="00165990">
        <w:rPr>
          <w:rFonts w:ascii="Arial" w:hAnsi="Arial" w:cs="Arial"/>
          <w:i/>
          <w:spacing w:val="-2"/>
          <w:lang w:eastAsia="es-MX"/>
        </w:rPr>
        <w:t>””</w:t>
      </w:r>
      <w:r w:rsidR="00F127CD" w:rsidRPr="00165990">
        <w:rPr>
          <w:rFonts w:ascii="Arial" w:hAnsi="Arial" w:cs="Arial"/>
          <w:i/>
          <w:spacing w:val="-2"/>
          <w:vertAlign w:val="superscript"/>
          <w:lang w:eastAsia="es-MX"/>
        </w:rPr>
        <w:footnoteReference w:id="1"/>
      </w:r>
      <w:r w:rsidR="00F127CD" w:rsidRPr="00165990">
        <w:rPr>
          <w:rFonts w:ascii="Arial" w:hAnsi="Arial" w:cs="Arial"/>
          <w:i/>
          <w:spacing w:val="-2"/>
          <w:lang w:eastAsia="es-MX"/>
        </w:rPr>
        <w:t xml:space="preserve"> </w:t>
      </w:r>
      <w:r w:rsidR="00F127CD" w:rsidRPr="00165990">
        <w:rPr>
          <w:rFonts w:ascii="Arial" w:hAnsi="Arial" w:cs="Arial"/>
          <w:spacing w:val="-2"/>
          <w:lang w:eastAsia="es-MX"/>
        </w:rPr>
        <w:t xml:space="preserve">(Subraya ex texto) </w:t>
      </w:r>
    </w:p>
    <w:p w:rsidR="00F127CD" w:rsidRPr="00165990" w:rsidRDefault="00F127CD" w:rsidP="00E54582">
      <w:pPr>
        <w:spacing w:line="276" w:lineRule="auto"/>
        <w:jc w:val="both"/>
        <w:rPr>
          <w:rFonts w:ascii="Arial" w:hAnsi="Arial" w:cs="Arial"/>
          <w:i/>
          <w:spacing w:val="-2"/>
          <w:lang w:eastAsia="es-MX"/>
        </w:rPr>
      </w:pPr>
    </w:p>
    <w:p w:rsidR="00F127CD" w:rsidRPr="00165990" w:rsidRDefault="0081038D" w:rsidP="00E54582">
      <w:pPr>
        <w:spacing w:line="276" w:lineRule="auto"/>
        <w:jc w:val="both"/>
        <w:rPr>
          <w:rFonts w:ascii="Arial" w:hAnsi="Arial" w:cs="Arial"/>
          <w:spacing w:val="-2"/>
          <w:lang w:eastAsia="es-MX"/>
        </w:rPr>
      </w:pPr>
      <w:r w:rsidRPr="00165990">
        <w:rPr>
          <w:rFonts w:ascii="Arial" w:hAnsi="Arial" w:cs="Arial"/>
          <w:spacing w:val="-2"/>
          <w:lang w:eastAsia="es-MX"/>
        </w:rPr>
        <w:t xml:space="preserve">6.2.3 </w:t>
      </w:r>
      <w:r w:rsidR="00F127CD" w:rsidRPr="00165990">
        <w:rPr>
          <w:rFonts w:ascii="Arial" w:hAnsi="Arial" w:cs="Arial"/>
          <w:spacing w:val="-2"/>
          <w:lang w:eastAsia="es-MX"/>
        </w:rPr>
        <w:t xml:space="preserve"> Como el artículo 337, inciso 2º del </w:t>
      </w:r>
      <w:proofErr w:type="spellStart"/>
      <w:r w:rsidR="00F127CD" w:rsidRPr="00165990">
        <w:rPr>
          <w:rFonts w:ascii="Arial" w:hAnsi="Arial" w:cs="Arial"/>
          <w:spacing w:val="-2"/>
          <w:lang w:eastAsia="es-MX"/>
        </w:rPr>
        <w:t>CPP</w:t>
      </w:r>
      <w:proofErr w:type="spellEnd"/>
      <w:r w:rsidR="00F127CD" w:rsidRPr="00165990">
        <w:rPr>
          <w:rFonts w:ascii="Arial" w:hAnsi="Arial" w:cs="Arial"/>
          <w:spacing w:val="-2"/>
          <w:lang w:eastAsia="es-MX"/>
        </w:rPr>
        <w:t xml:space="preserve"> establece que el escrito de acusación debe contener: </w:t>
      </w:r>
      <w:r w:rsidR="00F127CD" w:rsidRPr="00165990">
        <w:rPr>
          <w:rFonts w:ascii="Arial" w:hAnsi="Arial" w:cs="Arial"/>
          <w:i/>
          <w:spacing w:val="-2"/>
          <w:lang w:eastAsia="es-MX"/>
        </w:rPr>
        <w:t>“</w:t>
      </w:r>
      <w:r w:rsidR="00F127CD" w:rsidRPr="00165990">
        <w:rPr>
          <w:rFonts w:ascii="Arial" w:hAnsi="Arial" w:cs="Arial"/>
          <w:i/>
          <w:spacing w:val="-2"/>
          <w:sz w:val="22"/>
          <w:lang w:eastAsia="es-MX"/>
        </w:rPr>
        <w:t>2. Una relación sucinta de los hechos jurídicamente relevantes, en un lenguaje comprensible</w:t>
      </w:r>
      <w:r w:rsidR="00E54582" w:rsidRPr="00165990">
        <w:rPr>
          <w:rFonts w:ascii="Arial" w:hAnsi="Arial" w:cs="Arial"/>
          <w:i/>
          <w:spacing w:val="-2"/>
          <w:lang w:eastAsia="es-MX"/>
        </w:rPr>
        <w:t xml:space="preserve">” </w:t>
      </w:r>
      <w:r w:rsidR="00F127CD" w:rsidRPr="00165990">
        <w:rPr>
          <w:rFonts w:ascii="Arial" w:hAnsi="Arial" w:cs="Arial"/>
          <w:spacing w:val="-2"/>
          <w:lang w:eastAsia="es-MX"/>
        </w:rPr>
        <w:t xml:space="preserve">se entiende que en esta caso tanto la </w:t>
      </w:r>
      <w:proofErr w:type="spellStart"/>
      <w:r w:rsidR="00F127CD" w:rsidRPr="00165990">
        <w:rPr>
          <w:rFonts w:ascii="Arial" w:hAnsi="Arial" w:cs="Arial"/>
          <w:i/>
          <w:spacing w:val="-2"/>
          <w:lang w:eastAsia="es-MX"/>
        </w:rPr>
        <w:t>imputatio</w:t>
      </w:r>
      <w:proofErr w:type="spellEnd"/>
      <w:r w:rsidR="00F127CD" w:rsidRPr="00165990">
        <w:rPr>
          <w:rFonts w:ascii="Arial" w:hAnsi="Arial" w:cs="Arial"/>
          <w:i/>
          <w:spacing w:val="-2"/>
          <w:lang w:eastAsia="es-MX"/>
        </w:rPr>
        <w:t xml:space="preserve"> </w:t>
      </w:r>
      <w:proofErr w:type="spellStart"/>
      <w:r w:rsidR="00F127CD" w:rsidRPr="00165990">
        <w:rPr>
          <w:rFonts w:ascii="Arial" w:hAnsi="Arial" w:cs="Arial"/>
          <w:i/>
          <w:spacing w:val="-2"/>
          <w:lang w:eastAsia="es-MX"/>
        </w:rPr>
        <w:t>factii</w:t>
      </w:r>
      <w:proofErr w:type="spellEnd"/>
      <w:r w:rsidR="00F127CD" w:rsidRPr="00165990">
        <w:rPr>
          <w:rFonts w:ascii="Arial" w:hAnsi="Arial" w:cs="Arial"/>
          <w:i/>
          <w:spacing w:val="-2"/>
          <w:lang w:eastAsia="es-MX"/>
        </w:rPr>
        <w:t xml:space="preserve">, </w:t>
      </w:r>
      <w:r w:rsidR="00F127CD" w:rsidRPr="00165990">
        <w:rPr>
          <w:rFonts w:ascii="Arial" w:hAnsi="Arial" w:cs="Arial"/>
          <w:spacing w:val="-2"/>
          <w:lang w:eastAsia="es-MX"/>
        </w:rPr>
        <w:t xml:space="preserve">como la </w:t>
      </w:r>
      <w:proofErr w:type="spellStart"/>
      <w:r w:rsidR="00F127CD" w:rsidRPr="00165990">
        <w:rPr>
          <w:rFonts w:ascii="Arial" w:hAnsi="Arial" w:cs="Arial"/>
          <w:i/>
          <w:spacing w:val="-2"/>
          <w:lang w:eastAsia="es-MX"/>
        </w:rPr>
        <w:t>imputatio</w:t>
      </w:r>
      <w:proofErr w:type="spellEnd"/>
      <w:r w:rsidR="00F127CD" w:rsidRPr="00165990">
        <w:rPr>
          <w:rFonts w:ascii="Arial" w:hAnsi="Arial" w:cs="Arial"/>
          <w:i/>
          <w:spacing w:val="-2"/>
          <w:lang w:eastAsia="es-MX"/>
        </w:rPr>
        <w:t xml:space="preserve"> iuris, </w:t>
      </w:r>
      <w:r w:rsidR="00F127CD" w:rsidRPr="00165990">
        <w:rPr>
          <w:rFonts w:ascii="Arial" w:hAnsi="Arial" w:cs="Arial"/>
          <w:spacing w:val="-2"/>
          <w:lang w:eastAsia="es-MX"/>
        </w:rPr>
        <w:t xml:space="preserve">de la conducta atribuida al señor </w:t>
      </w:r>
      <w:proofErr w:type="spellStart"/>
      <w:r w:rsidR="005D5D2D" w:rsidRPr="00165990">
        <w:rPr>
          <w:rFonts w:ascii="Arial" w:hAnsi="Arial" w:cs="Arial"/>
          <w:spacing w:val="-2"/>
          <w:lang w:eastAsia="es-MX"/>
        </w:rPr>
        <w:t>AMM</w:t>
      </w:r>
      <w:proofErr w:type="spellEnd"/>
      <w:r w:rsidR="00F127CD" w:rsidRPr="00165990">
        <w:rPr>
          <w:rFonts w:ascii="Arial" w:hAnsi="Arial" w:cs="Arial"/>
          <w:spacing w:val="-2"/>
          <w:lang w:eastAsia="es-MX"/>
        </w:rPr>
        <w:t xml:space="preserve">, se enmarcaron en un supuesto de autoría de la conducta descrita en el artículo 376 del CP., bajo la inflexión verbal “llevar consigo” sustancias estupefacientes sin permiso de autoridad competente, que en razón al peso y la identificación de la sustancia decomisada al procesado </w:t>
      </w:r>
      <w:proofErr w:type="spellStart"/>
      <w:r w:rsidR="005D5D2D" w:rsidRPr="00165990">
        <w:rPr>
          <w:rFonts w:ascii="Arial" w:hAnsi="Arial" w:cs="Arial"/>
          <w:spacing w:val="-2"/>
          <w:lang w:eastAsia="es-MX"/>
        </w:rPr>
        <w:t>AMM</w:t>
      </w:r>
      <w:proofErr w:type="spellEnd"/>
      <w:r w:rsidR="00F127CD" w:rsidRPr="00165990">
        <w:rPr>
          <w:rFonts w:ascii="Arial" w:hAnsi="Arial" w:cs="Arial"/>
          <w:spacing w:val="-2"/>
          <w:lang w:eastAsia="es-MX"/>
        </w:rPr>
        <w:t>, comporta la consecuencia jurídica prevista en el inciso 2º de esa norma.</w:t>
      </w:r>
    </w:p>
    <w:p w:rsidR="00F127CD" w:rsidRPr="00165990" w:rsidRDefault="00F127CD" w:rsidP="00E54582">
      <w:pPr>
        <w:spacing w:line="276" w:lineRule="auto"/>
        <w:jc w:val="both"/>
        <w:rPr>
          <w:rFonts w:ascii="Arial" w:hAnsi="Arial" w:cs="Arial"/>
          <w:spacing w:val="-2"/>
          <w:lang w:eastAsia="es-MX"/>
        </w:rPr>
      </w:pPr>
    </w:p>
    <w:p w:rsidR="00F127CD" w:rsidRPr="00165990" w:rsidRDefault="0081038D" w:rsidP="00E54582">
      <w:pPr>
        <w:spacing w:line="276" w:lineRule="auto"/>
        <w:jc w:val="both"/>
        <w:rPr>
          <w:rFonts w:ascii="Arial" w:hAnsi="Arial" w:cs="Arial"/>
          <w:spacing w:val="-2"/>
          <w:lang w:eastAsia="es-MX"/>
        </w:rPr>
      </w:pPr>
      <w:r w:rsidRPr="00165990">
        <w:rPr>
          <w:rFonts w:ascii="Arial" w:hAnsi="Arial" w:cs="Arial"/>
          <w:spacing w:val="-2"/>
          <w:lang w:eastAsia="es-MX"/>
        </w:rPr>
        <w:t xml:space="preserve">6.3 </w:t>
      </w:r>
      <w:r w:rsidR="00F127CD" w:rsidRPr="00165990">
        <w:rPr>
          <w:rFonts w:ascii="Arial" w:hAnsi="Arial" w:cs="Arial"/>
          <w:spacing w:val="-2"/>
          <w:lang w:eastAsia="es-MX"/>
        </w:rPr>
        <w:t>Sin embargo, en el preacuerdo celebrado entre la FGN y el acusado, se pactó que este aceptaba cargos por la violación de esa norma de prohibición, a cambio de que se degradara su grado de intervención</w:t>
      </w:r>
      <w:r w:rsidRPr="00165990">
        <w:rPr>
          <w:rFonts w:ascii="Arial" w:hAnsi="Arial" w:cs="Arial"/>
          <w:spacing w:val="-2"/>
          <w:lang w:eastAsia="es-MX"/>
        </w:rPr>
        <w:t xml:space="preserve">, </w:t>
      </w:r>
      <w:r w:rsidR="00F127CD" w:rsidRPr="00165990">
        <w:rPr>
          <w:rFonts w:ascii="Arial" w:hAnsi="Arial" w:cs="Arial"/>
          <w:spacing w:val="-2"/>
          <w:lang w:eastAsia="es-MX"/>
        </w:rPr>
        <w:t xml:space="preserve">de autor a “cómplice” de esa conducta delictiva, lo que indica que desde la perspectiva del </w:t>
      </w:r>
      <w:proofErr w:type="spellStart"/>
      <w:r w:rsidR="00F127CD" w:rsidRPr="00165990">
        <w:rPr>
          <w:rFonts w:ascii="Arial" w:hAnsi="Arial" w:cs="Arial"/>
          <w:i/>
          <w:spacing w:val="-2"/>
          <w:lang w:eastAsia="es-MX"/>
        </w:rPr>
        <w:t>factum</w:t>
      </w:r>
      <w:proofErr w:type="spellEnd"/>
      <w:r w:rsidR="00F127CD" w:rsidRPr="00165990">
        <w:rPr>
          <w:rFonts w:ascii="Arial" w:hAnsi="Arial" w:cs="Arial"/>
          <w:i/>
          <w:spacing w:val="-2"/>
          <w:lang w:eastAsia="es-MX"/>
        </w:rPr>
        <w:t xml:space="preserve"> </w:t>
      </w:r>
      <w:r w:rsidR="00F127CD" w:rsidRPr="00165990">
        <w:rPr>
          <w:rFonts w:ascii="Arial" w:hAnsi="Arial" w:cs="Arial"/>
          <w:spacing w:val="-2"/>
          <w:lang w:eastAsia="es-MX"/>
        </w:rPr>
        <w:t xml:space="preserve">de la acusación el señor </w:t>
      </w:r>
      <w:proofErr w:type="spellStart"/>
      <w:r w:rsidR="005D5D2D" w:rsidRPr="00165990">
        <w:rPr>
          <w:rFonts w:ascii="Arial" w:hAnsi="Arial" w:cs="Arial"/>
          <w:spacing w:val="-2"/>
          <w:lang w:eastAsia="es-MX"/>
        </w:rPr>
        <w:t>AMM</w:t>
      </w:r>
      <w:proofErr w:type="spellEnd"/>
      <w:r w:rsidR="00F127CD" w:rsidRPr="00165990">
        <w:rPr>
          <w:rFonts w:ascii="Arial" w:hAnsi="Arial" w:cs="Arial"/>
          <w:spacing w:val="-2"/>
          <w:lang w:eastAsia="es-MX"/>
        </w:rPr>
        <w:t xml:space="preserve"> realizó la conducta descrita en la norma, pero que en virtud del preacuerdo celebrado su calidad jurídica vendría a ser la de “cómplice” que según el inciso 3º del artículo 30 del </w:t>
      </w:r>
      <w:proofErr w:type="spellStart"/>
      <w:r w:rsidR="00F127CD" w:rsidRPr="00165990">
        <w:rPr>
          <w:rFonts w:ascii="Arial" w:hAnsi="Arial" w:cs="Arial"/>
          <w:spacing w:val="-2"/>
          <w:lang w:eastAsia="es-MX"/>
        </w:rPr>
        <w:t>CP</w:t>
      </w:r>
      <w:proofErr w:type="spellEnd"/>
      <w:r w:rsidR="00F127CD" w:rsidRPr="00165990">
        <w:rPr>
          <w:rFonts w:ascii="Arial" w:hAnsi="Arial" w:cs="Arial"/>
          <w:spacing w:val="-2"/>
          <w:lang w:eastAsia="es-MX"/>
        </w:rPr>
        <w:t xml:space="preserve">, se atribuye a quien: </w:t>
      </w:r>
      <w:r w:rsidR="00F127CD" w:rsidRPr="00165990">
        <w:rPr>
          <w:rFonts w:ascii="Arial" w:hAnsi="Arial" w:cs="Arial"/>
          <w:i/>
          <w:spacing w:val="-2"/>
          <w:lang w:eastAsia="es-MX"/>
        </w:rPr>
        <w:t>“</w:t>
      </w:r>
      <w:r w:rsidR="00F127CD" w:rsidRPr="00165990">
        <w:rPr>
          <w:rFonts w:ascii="Arial" w:hAnsi="Arial" w:cs="Arial"/>
          <w:i/>
          <w:spacing w:val="-2"/>
          <w:sz w:val="22"/>
          <w:lang w:eastAsia="es-MX"/>
        </w:rPr>
        <w:t>contribuya a la realización de la conducta antijurídica o preste una ayuda posterior, por concierto previo o concomitante a la misma</w:t>
      </w:r>
      <w:r w:rsidR="00F127CD" w:rsidRPr="00165990">
        <w:rPr>
          <w:rFonts w:ascii="Arial" w:hAnsi="Arial" w:cs="Arial"/>
          <w:i/>
          <w:spacing w:val="-2"/>
          <w:lang w:eastAsia="es-MX"/>
        </w:rPr>
        <w:t xml:space="preserve">”, </w:t>
      </w:r>
      <w:r w:rsidR="00F127CD" w:rsidRPr="00165990">
        <w:rPr>
          <w:rFonts w:ascii="Arial" w:hAnsi="Arial" w:cs="Arial"/>
          <w:spacing w:val="-2"/>
          <w:lang w:eastAsia="es-MX"/>
        </w:rPr>
        <w:t>lo que no guarda ninguna consonancia con la narrativa del escrito de acusación.</w:t>
      </w:r>
    </w:p>
    <w:p w:rsidR="00F127CD" w:rsidRPr="00165990" w:rsidRDefault="00F127CD" w:rsidP="00E54582">
      <w:pPr>
        <w:spacing w:line="276" w:lineRule="auto"/>
        <w:jc w:val="both"/>
        <w:rPr>
          <w:rFonts w:ascii="Arial" w:hAnsi="Arial" w:cs="Arial"/>
          <w:spacing w:val="-2"/>
          <w:lang w:eastAsia="es-MX"/>
        </w:rPr>
      </w:pPr>
    </w:p>
    <w:p w:rsidR="00F127CD" w:rsidRPr="00165990" w:rsidRDefault="0081038D" w:rsidP="00E54582">
      <w:pPr>
        <w:spacing w:line="276" w:lineRule="auto"/>
        <w:jc w:val="both"/>
        <w:rPr>
          <w:rFonts w:ascii="Arial" w:hAnsi="Arial" w:cs="Arial"/>
          <w:spacing w:val="-2"/>
          <w:lang w:eastAsia="es-MX"/>
        </w:rPr>
      </w:pPr>
      <w:r w:rsidRPr="00165990">
        <w:rPr>
          <w:rFonts w:ascii="Arial" w:hAnsi="Arial" w:cs="Arial"/>
          <w:spacing w:val="-2"/>
          <w:lang w:eastAsia="es-MX"/>
        </w:rPr>
        <w:t>6</w:t>
      </w:r>
      <w:r w:rsidR="00F127CD" w:rsidRPr="00165990">
        <w:rPr>
          <w:rFonts w:ascii="Arial" w:hAnsi="Arial" w:cs="Arial"/>
          <w:spacing w:val="-2"/>
          <w:lang w:eastAsia="es-MX"/>
        </w:rPr>
        <w:t>.</w:t>
      </w:r>
      <w:r w:rsidRPr="00165990">
        <w:rPr>
          <w:rFonts w:ascii="Arial" w:hAnsi="Arial" w:cs="Arial"/>
          <w:spacing w:val="-2"/>
          <w:lang w:eastAsia="es-MX"/>
        </w:rPr>
        <w:t>4</w:t>
      </w:r>
      <w:r w:rsidR="00F127CD" w:rsidRPr="00165990">
        <w:rPr>
          <w:rFonts w:ascii="Arial" w:hAnsi="Arial" w:cs="Arial"/>
          <w:spacing w:val="-2"/>
          <w:lang w:eastAsia="es-MX"/>
        </w:rPr>
        <w:t xml:space="preserve"> Como el soporte de la decisión del juez de primera instancia viene a ser lo decido en el precedente SU – 479 del 15 de octubre de 2019 de la Corte Constitucional, hay que hacer las siguie</w:t>
      </w:r>
      <w:r w:rsidR="00627001" w:rsidRPr="00165990">
        <w:rPr>
          <w:rFonts w:ascii="Arial" w:hAnsi="Arial" w:cs="Arial"/>
          <w:spacing w:val="-2"/>
          <w:lang w:eastAsia="es-MX"/>
        </w:rPr>
        <w:t>ntes  consideraciones iniciales</w:t>
      </w:r>
      <w:r w:rsidR="00F127CD" w:rsidRPr="00165990">
        <w:rPr>
          <w:rFonts w:ascii="Arial" w:hAnsi="Arial" w:cs="Arial"/>
          <w:spacing w:val="-2"/>
          <w:lang w:eastAsia="es-MX"/>
        </w:rPr>
        <w:t>:</w:t>
      </w:r>
    </w:p>
    <w:p w:rsidR="00F127CD" w:rsidRPr="00165990" w:rsidRDefault="00F127CD" w:rsidP="00E54582">
      <w:pPr>
        <w:spacing w:line="276" w:lineRule="auto"/>
        <w:jc w:val="both"/>
        <w:rPr>
          <w:rFonts w:ascii="Arial" w:hAnsi="Arial" w:cs="Arial"/>
          <w:spacing w:val="-2"/>
          <w:lang w:eastAsia="es-MX"/>
        </w:rPr>
      </w:pPr>
    </w:p>
    <w:p w:rsidR="00F127CD" w:rsidRPr="00165990" w:rsidRDefault="0081038D" w:rsidP="00E54582">
      <w:pPr>
        <w:spacing w:line="276" w:lineRule="auto"/>
        <w:jc w:val="both"/>
        <w:rPr>
          <w:rFonts w:ascii="Arial" w:hAnsi="Arial" w:cs="Arial"/>
          <w:spacing w:val="-2"/>
          <w:lang w:eastAsia="es-MX"/>
        </w:rPr>
      </w:pPr>
      <w:r w:rsidRPr="00165990">
        <w:rPr>
          <w:rFonts w:ascii="Arial" w:hAnsi="Arial" w:cs="Arial"/>
          <w:spacing w:val="-2"/>
          <w:lang w:eastAsia="es-MX"/>
        </w:rPr>
        <w:t xml:space="preserve">6.4.1 </w:t>
      </w:r>
      <w:r w:rsidR="00F127CD" w:rsidRPr="00165990">
        <w:rPr>
          <w:rFonts w:ascii="Arial" w:hAnsi="Arial" w:cs="Arial"/>
          <w:spacing w:val="-2"/>
          <w:lang w:eastAsia="es-MX"/>
        </w:rPr>
        <w:t xml:space="preserve"> La sentencia en mención no constituye un fallo de control abstracto sobre una norma específica, sino que se originó en la revisión de las acciones de tutela con radicados T. 6. 931.099 y T. 7. 256.420.</w:t>
      </w:r>
    </w:p>
    <w:p w:rsidR="00F127CD" w:rsidRPr="00165990" w:rsidRDefault="00F127CD" w:rsidP="00E54582">
      <w:pPr>
        <w:spacing w:line="276" w:lineRule="auto"/>
        <w:jc w:val="both"/>
        <w:rPr>
          <w:rFonts w:ascii="Arial" w:hAnsi="Arial" w:cs="Arial"/>
          <w:spacing w:val="-2"/>
          <w:lang w:eastAsia="es-MX"/>
        </w:rPr>
      </w:pPr>
    </w:p>
    <w:p w:rsidR="00F127CD" w:rsidRPr="00165990" w:rsidRDefault="0081038D" w:rsidP="00E54582">
      <w:pPr>
        <w:spacing w:line="276" w:lineRule="auto"/>
        <w:jc w:val="both"/>
        <w:rPr>
          <w:rFonts w:ascii="Arial" w:hAnsi="Arial" w:cs="Arial"/>
          <w:spacing w:val="-2"/>
          <w:lang w:eastAsia="es-MX"/>
        </w:rPr>
      </w:pPr>
      <w:r w:rsidRPr="00165990">
        <w:rPr>
          <w:rFonts w:ascii="Arial" w:hAnsi="Arial" w:cs="Arial"/>
          <w:spacing w:val="-2"/>
          <w:lang w:eastAsia="es-MX"/>
        </w:rPr>
        <w:t xml:space="preserve">6.4.2 </w:t>
      </w:r>
      <w:r w:rsidR="00F127CD" w:rsidRPr="00165990">
        <w:rPr>
          <w:rFonts w:ascii="Arial" w:hAnsi="Arial" w:cs="Arial"/>
          <w:spacing w:val="-2"/>
          <w:lang w:eastAsia="es-MX"/>
        </w:rPr>
        <w:t xml:space="preserve"> </w:t>
      </w:r>
      <w:r w:rsidR="00692E72" w:rsidRPr="00165990">
        <w:rPr>
          <w:rFonts w:ascii="Arial" w:hAnsi="Arial" w:cs="Arial"/>
          <w:spacing w:val="-2"/>
          <w:lang w:eastAsia="es-MX"/>
        </w:rPr>
        <w:t>En consecuencia y en atención a</w:t>
      </w:r>
      <w:r w:rsidR="00F127CD" w:rsidRPr="00165990">
        <w:rPr>
          <w:rFonts w:ascii="Arial" w:hAnsi="Arial" w:cs="Arial"/>
          <w:spacing w:val="-2"/>
          <w:lang w:eastAsia="es-MX"/>
        </w:rPr>
        <w:t xml:space="preserve"> la argumentación del juez de primer grado, se hace referencia a lo manifestado en la misma sentencia SU – 479 de 2019 sobre el carácter vi</w:t>
      </w:r>
      <w:r w:rsidR="00692E72" w:rsidRPr="00165990">
        <w:rPr>
          <w:rFonts w:ascii="Arial" w:hAnsi="Arial" w:cs="Arial"/>
          <w:spacing w:val="-2"/>
          <w:lang w:eastAsia="es-MX"/>
        </w:rPr>
        <w:t>nculante de los precedentes así</w:t>
      </w:r>
      <w:r w:rsidR="00F127CD" w:rsidRPr="00165990">
        <w:rPr>
          <w:rFonts w:ascii="Arial" w:hAnsi="Arial" w:cs="Arial"/>
          <w:spacing w:val="-2"/>
          <w:lang w:eastAsia="es-MX"/>
        </w:rPr>
        <w:t>:</w:t>
      </w:r>
    </w:p>
    <w:p w:rsidR="00692E72" w:rsidRPr="00165990" w:rsidRDefault="00692E72" w:rsidP="00E54582">
      <w:pPr>
        <w:spacing w:line="276" w:lineRule="auto"/>
        <w:ind w:left="567" w:right="616"/>
        <w:jc w:val="both"/>
        <w:rPr>
          <w:rFonts w:ascii="Arial" w:hAnsi="Arial" w:cs="Arial"/>
          <w:spacing w:val="-2"/>
        </w:rPr>
      </w:pPr>
    </w:p>
    <w:p w:rsidR="00F127CD" w:rsidRPr="00165990" w:rsidRDefault="00692E72" w:rsidP="00487E90">
      <w:pPr>
        <w:ind w:left="426" w:right="418"/>
        <w:jc w:val="both"/>
        <w:rPr>
          <w:rFonts w:ascii="Arial" w:hAnsi="Arial" w:cs="Arial"/>
          <w:i/>
          <w:spacing w:val="-2"/>
          <w:sz w:val="22"/>
        </w:rPr>
      </w:pPr>
      <w:r w:rsidRPr="00165990">
        <w:rPr>
          <w:rFonts w:ascii="Arial" w:hAnsi="Arial" w:cs="Arial"/>
          <w:spacing w:val="-2"/>
          <w:sz w:val="22"/>
        </w:rPr>
        <w:t>“</w:t>
      </w:r>
      <w:r w:rsidR="00F127CD" w:rsidRPr="00165990">
        <w:rPr>
          <w:rFonts w:ascii="Arial" w:hAnsi="Arial" w:cs="Arial"/>
          <w:spacing w:val="-2"/>
          <w:sz w:val="22"/>
        </w:rPr>
        <w:t xml:space="preserve">(...) </w:t>
      </w:r>
      <w:r w:rsidR="00487E90" w:rsidRPr="00165990">
        <w:rPr>
          <w:rFonts w:ascii="Arial" w:hAnsi="Arial" w:cs="Arial"/>
          <w:spacing w:val="-2"/>
          <w:sz w:val="22"/>
        </w:rPr>
        <w:t xml:space="preserve"> </w:t>
      </w:r>
      <w:r w:rsidR="00F127CD" w:rsidRPr="00165990">
        <w:rPr>
          <w:rFonts w:ascii="Arial" w:hAnsi="Arial" w:cs="Arial"/>
          <w:i/>
          <w:spacing w:val="-2"/>
          <w:sz w:val="22"/>
        </w:rPr>
        <w:t>36. El precedente se ha definido como la sentencia o el conjunto de ellas, anteriores a un caso determinado que, por su pertinencia y semejanza en los problemas jurídicos resueltos, debe considerarse por las autoridades judiciales al momento de emitir un fallo</w:t>
      </w:r>
      <w:r w:rsidR="00F127CD" w:rsidRPr="00165990">
        <w:rPr>
          <w:rFonts w:ascii="Arial" w:hAnsi="Arial" w:cs="Arial"/>
          <w:i/>
          <w:spacing w:val="-2"/>
          <w:sz w:val="22"/>
          <w:vertAlign w:val="superscript"/>
        </w:rPr>
        <w:footnoteReference w:id="2"/>
      </w:r>
      <w:r w:rsidR="00F127CD" w:rsidRPr="00165990">
        <w:rPr>
          <w:rFonts w:ascii="Arial" w:hAnsi="Arial" w:cs="Arial"/>
          <w:i/>
          <w:spacing w:val="-2"/>
          <w:sz w:val="22"/>
        </w:rPr>
        <w:t>. Dicha obligatoriedad responde a motivos de diversa índole que se complementan.</w:t>
      </w:r>
      <w:r w:rsidR="00487E90" w:rsidRPr="00165990">
        <w:rPr>
          <w:rFonts w:ascii="Arial" w:hAnsi="Arial" w:cs="Arial"/>
          <w:i/>
          <w:spacing w:val="-2"/>
          <w:sz w:val="22"/>
        </w:rPr>
        <w:t xml:space="preserve"> </w:t>
      </w:r>
      <w:r w:rsidR="00F127CD" w:rsidRPr="00165990">
        <w:rPr>
          <w:rFonts w:ascii="Arial" w:hAnsi="Arial" w:cs="Arial"/>
          <w:i/>
          <w:spacing w:val="-2"/>
          <w:sz w:val="22"/>
        </w:rPr>
        <w:t xml:space="preserve">(...) </w:t>
      </w:r>
    </w:p>
    <w:p w:rsidR="00F127CD" w:rsidRPr="00165990" w:rsidRDefault="00F127CD" w:rsidP="00E54582">
      <w:pPr>
        <w:adjustRightInd w:val="0"/>
        <w:snapToGrid w:val="0"/>
        <w:ind w:left="426" w:right="418"/>
        <w:jc w:val="both"/>
        <w:rPr>
          <w:rFonts w:ascii="Arial" w:hAnsi="Arial" w:cs="Arial"/>
          <w:i/>
          <w:spacing w:val="-2"/>
          <w:sz w:val="22"/>
        </w:rPr>
      </w:pPr>
    </w:p>
    <w:p w:rsidR="00F127CD" w:rsidRPr="00165990" w:rsidRDefault="00F127CD" w:rsidP="00E54582">
      <w:pPr>
        <w:adjustRightInd w:val="0"/>
        <w:snapToGrid w:val="0"/>
        <w:ind w:left="426" w:right="418"/>
        <w:jc w:val="both"/>
        <w:rPr>
          <w:rFonts w:ascii="Arial" w:hAnsi="Arial" w:cs="Arial"/>
          <w:i/>
          <w:spacing w:val="-2"/>
          <w:sz w:val="22"/>
        </w:rPr>
      </w:pPr>
      <w:r w:rsidRPr="00165990">
        <w:rPr>
          <w:rFonts w:ascii="Arial" w:hAnsi="Arial" w:cs="Arial"/>
          <w:i/>
          <w:spacing w:val="-2"/>
          <w:sz w:val="22"/>
        </w:rPr>
        <w:t xml:space="preserve">El precedente que emana de los altos tribunales de justicia en el país (Corte Constitucional, Corte Suprema de Justicia y Consejo de Estado), adquiere un carácter ordenador y unificador que busca realizar los principios de primacía de la Constitución, igualdad, confianza legítima y </w:t>
      </w:r>
      <w:proofErr w:type="gramStart"/>
      <w:r w:rsidRPr="00165990">
        <w:rPr>
          <w:rFonts w:ascii="Arial" w:hAnsi="Arial" w:cs="Arial"/>
          <w:i/>
          <w:spacing w:val="-2"/>
          <w:sz w:val="22"/>
        </w:rPr>
        <w:t>debido</w:t>
      </w:r>
      <w:proofErr w:type="gramEnd"/>
      <w:r w:rsidRPr="00165990">
        <w:rPr>
          <w:rFonts w:ascii="Arial" w:hAnsi="Arial" w:cs="Arial"/>
          <w:i/>
          <w:spacing w:val="-2"/>
          <w:sz w:val="22"/>
        </w:rPr>
        <w:t xml:space="preserve"> proceso. Adicionalmente, se </w:t>
      </w:r>
      <w:r w:rsidRPr="00165990">
        <w:rPr>
          <w:rFonts w:ascii="Arial" w:hAnsi="Arial" w:cs="Arial"/>
          <w:i/>
          <w:spacing w:val="-2"/>
          <w:sz w:val="22"/>
        </w:rPr>
        <w:lastRenderedPageBreak/>
        <w:t>considera indispensable como técnica judicial para mantener la coherencia del sistema jurídico</w:t>
      </w:r>
      <w:r w:rsidRPr="00165990">
        <w:rPr>
          <w:rFonts w:ascii="Arial" w:hAnsi="Arial" w:cs="Arial"/>
          <w:i/>
          <w:spacing w:val="-2"/>
          <w:sz w:val="22"/>
          <w:vertAlign w:val="superscript"/>
        </w:rPr>
        <w:footnoteReference w:id="3"/>
      </w:r>
      <w:r w:rsidRPr="00165990">
        <w:rPr>
          <w:rFonts w:ascii="Arial" w:hAnsi="Arial" w:cs="Arial"/>
          <w:i/>
          <w:spacing w:val="-2"/>
          <w:sz w:val="22"/>
        </w:rPr>
        <w:t>.</w:t>
      </w:r>
    </w:p>
    <w:p w:rsidR="00F127CD" w:rsidRPr="00165990" w:rsidRDefault="00F127CD" w:rsidP="00E54582">
      <w:pPr>
        <w:adjustRightInd w:val="0"/>
        <w:snapToGrid w:val="0"/>
        <w:ind w:left="426" w:right="418"/>
        <w:jc w:val="both"/>
        <w:rPr>
          <w:rFonts w:ascii="Arial" w:hAnsi="Arial" w:cs="Arial"/>
          <w:i/>
          <w:spacing w:val="-2"/>
          <w:sz w:val="22"/>
        </w:rPr>
      </w:pPr>
    </w:p>
    <w:p w:rsidR="00F127CD" w:rsidRPr="00165990" w:rsidRDefault="00F127CD" w:rsidP="00E54582">
      <w:pPr>
        <w:adjustRightInd w:val="0"/>
        <w:snapToGrid w:val="0"/>
        <w:ind w:left="426" w:right="418"/>
        <w:jc w:val="both"/>
        <w:rPr>
          <w:rFonts w:ascii="Arial" w:hAnsi="Arial" w:cs="Arial"/>
          <w:i/>
          <w:spacing w:val="-2"/>
          <w:sz w:val="22"/>
        </w:rPr>
      </w:pPr>
      <w:r w:rsidRPr="00165990">
        <w:rPr>
          <w:rFonts w:ascii="Arial" w:hAnsi="Arial" w:cs="Arial"/>
          <w:i/>
          <w:spacing w:val="-2"/>
          <w:sz w:val="22"/>
        </w:rPr>
        <w:t>En la práctica jurídica actual, las instancias de unificación de jurisprudencia son ineludibles, debido a que el Derecho es dado a los operadores jurídicos a través del lenguaje, herramienta que no tiene contenidos semánticos únicos. Por lo tanto, es altamente susceptible de traer consigo ambigüedades o vacíos que pueden generar diversas interpretaciones o significados. Esa posibilidad genera la necesidad de que, en primer lugar, sea el juez el que fije el alcance de este en cada caso concreto y, en segundo lugar, existan órganos que permitan disciplinar esa práctica jurídica en pro de la igualdad.</w:t>
      </w:r>
    </w:p>
    <w:p w:rsidR="00F127CD" w:rsidRPr="00165990" w:rsidRDefault="00F127CD" w:rsidP="00E54582">
      <w:pPr>
        <w:adjustRightInd w:val="0"/>
        <w:snapToGrid w:val="0"/>
        <w:ind w:left="426" w:right="418"/>
        <w:jc w:val="both"/>
        <w:rPr>
          <w:rFonts w:ascii="Arial" w:hAnsi="Arial" w:cs="Arial"/>
          <w:i/>
          <w:spacing w:val="-2"/>
          <w:sz w:val="22"/>
        </w:rPr>
      </w:pPr>
    </w:p>
    <w:p w:rsidR="00F127CD" w:rsidRPr="00165990" w:rsidRDefault="00F127CD" w:rsidP="00E54582">
      <w:pPr>
        <w:adjustRightInd w:val="0"/>
        <w:snapToGrid w:val="0"/>
        <w:ind w:left="426" w:right="418"/>
        <w:jc w:val="both"/>
        <w:rPr>
          <w:rFonts w:ascii="Arial" w:hAnsi="Arial" w:cs="Arial"/>
          <w:i/>
          <w:spacing w:val="-2"/>
          <w:sz w:val="22"/>
        </w:rPr>
      </w:pPr>
      <w:r w:rsidRPr="00165990">
        <w:rPr>
          <w:rFonts w:ascii="Arial" w:hAnsi="Arial" w:cs="Arial"/>
          <w:i/>
          <w:spacing w:val="-2"/>
          <w:sz w:val="22"/>
        </w:rPr>
        <w:t>El carácter vinculante, obligatorio y de fuente de derecho de la jurisprudencia emanada de los órganos de cierre en sus respectivas jurisdicciones y de la Corte Constitucional en todo el ordenamiento jurídico cuando involucra su interpretación constitucional, está ampliamente reconocido. La Sentencia C-816 de 2011</w:t>
      </w:r>
      <w:r w:rsidRPr="00165990">
        <w:rPr>
          <w:rFonts w:ascii="Arial" w:hAnsi="Arial" w:cs="Arial"/>
          <w:i/>
          <w:spacing w:val="-2"/>
          <w:sz w:val="22"/>
          <w:vertAlign w:val="superscript"/>
        </w:rPr>
        <w:footnoteReference w:id="4"/>
      </w:r>
      <w:r w:rsidRPr="00165990">
        <w:rPr>
          <w:rFonts w:ascii="Arial" w:hAnsi="Arial" w:cs="Arial"/>
          <w:i/>
          <w:spacing w:val="-2"/>
          <w:sz w:val="22"/>
        </w:rPr>
        <w:t xml:space="preserve"> explicó que </w:t>
      </w:r>
    </w:p>
    <w:p w:rsidR="00F127CD" w:rsidRPr="00165990" w:rsidRDefault="00F127CD" w:rsidP="00E54582">
      <w:pPr>
        <w:adjustRightInd w:val="0"/>
        <w:snapToGrid w:val="0"/>
        <w:ind w:left="426" w:right="418"/>
        <w:jc w:val="both"/>
        <w:rPr>
          <w:rFonts w:ascii="Arial" w:hAnsi="Arial" w:cs="Arial"/>
          <w:i/>
          <w:spacing w:val="-2"/>
          <w:sz w:val="22"/>
        </w:rPr>
      </w:pPr>
    </w:p>
    <w:p w:rsidR="00F127CD" w:rsidRPr="00165990" w:rsidRDefault="00F127CD" w:rsidP="00E54582">
      <w:pPr>
        <w:adjustRightInd w:val="0"/>
        <w:snapToGrid w:val="0"/>
        <w:ind w:left="426" w:right="418"/>
        <w:jc w:val="both"/>
        <w:rPr>
          <w:rFonts w:ascii="Arial" w:hAnsi="Arial" w:cs="Arial"/>
          <w:i/>
          <w:spacing w:val="-2"/>
          <w:sz w:val="22"/>
        </w:rPr>
      </w:pPr>
      <w:r w:rsidRPr="00165990">
        <w:rPr>
          <w:rFonts w:ascii="Arial" w:hAnsi="Arial" w:cs="Arial"/>
          <w:i/>
          <w:spacing w:val="-2"/>
          <w:sz w:val="22"/>
        </w:rPr>
        <w:t xml:space="preserve">“la fuerza vinculante de las decisiones de las denominadas altas cortes surge de su definición constitucional como órganos jurisdiccionales de cierre, condición que les impone el deber de unificación jurisprudencial en sus respectivas jurisdicciones. El mandato de unificación jurisprudencial, únicamente dirigido a las cortes jurisdiccionales de cierre, se erige en una orden específica del Constituyente para brindar cierta uniformidad a la interpretación y aplicación judicial del derecho en desarrollo del deber de igualdad de trato debido a las personas, mediante la fuerza vinculante de sus decisiones judiciales superiores”. </w:t>
      </w:r>
    </w:p>
    <w:p w:rsidR="00F127CD" w:rsidRPr="00165990" w:rsidRDefault="00F127CD" w:rsidP="00E54582">
      <w:pPr>
        <w:adjustRightInd w:val="0"/>
        <w:snapToGrid w:val="0"/>
        <w:ind w:left="426" w:right="418"/>
        <w:jc w:val="both"/>
        <w:rPr>
          <w:rFonts w:ascii="Arial" w:hAnsi="Arial" w:cs="Arial"/>
          <w:i/>
          <w:spacing w:val="-2"/>
          <w:sz w:val="22"/>
        </w:rPr>
      </w:pPr>
    </w:p>
    <w:p w:rsidR="00F127CD" w:rsidRPr="00165990" w:rsidRDefault="00F127CD" w:rsidP="00E54582">
      <w:pPr>
        <w:adjustRightInd w:val="0"/>
        <w:snapToGrid w:val="0"/>
        <w:ind w:left="426" w:right="418"/>
        <w:jc w:val="both"/>
        <w:rPr>
          <w:rFonts w:ascii="Arial" w:hAnsi="Arial" w:cs="Arial"/>
          <w:i/>
          <w:spacing w:val="-2"/>
          <w:sz w:val="22"/>
        </w:rPr>
      </w:pPr>
      <w:r w:rsidRPr="00165990">
        <w:rPr>
          <w:rFonts w:ascii="Arial" w:hAnsi="Arial" w:cs="Arial"/>
          <w:i/>
          <w:spacing w:val="-2"/>
          <w:sz w:val="22"/>
        </w:rPr>
        <w:t>Como consecuencia de la obligatoriedad del precedente, la jurisprudencia constitucional estableció parámetros que permiten determinar si en un caso resulta aplicable. La Sentencia T-292 de 2006</w:t>
      </w:r>
      <w:r w:rsidRPr="00165990">
        <w:rPr>
          <w:rFonts w:ascii="Arial" w:hAnsi="Arial" w:cs="Arial"/>
          <w:i/>
          <w:spacing w:val="-2"/>
          <w:sz w:val="22"/>
          <w:vertAlign w:val="superscript"/>
        </w:rPr>
        <w:footnoteReference w:id="5"/>
      </w:r>
      <w:r w:rsidRPr="00165990">
        <w:rPr>
          <w:rFonts w:ascii="Arial" w:hAnsi="Arial" w:cs="Arial"/>
          <w:i/>
          <w:spacing w:val="-2"/>
          <w:sz w:val="22"/>
        </w:rPr>
        <w:t xml:space="preserve"> fijó los siguientes criterios: (i) que en la ratio </w:t>
      </w:r>
      <w:proofErr w:type="spellStart"/>
      <w:r w:rsidRPr="00165990">
        <w:rPr>
          <w:rFonts w:ascii="Arial" w:hAnsi="Arial" w:cs="Arial"/>
          <w:i/>
          <w:spacing w:val="-2"/>
          <w:sz w:val="22"/>
        </w:rPr>
        <w:t>decidendi</w:t>
      </w:r>
      <w:proofErr w:type="spellEnd"/>
      <w:r w:rsidRPr="00165990">
        <w:rPr>
          <w:rFonts w:ascii="Arial" w:hAnsi="Arial" w:cs="Arial"/>
          <w:i/>
          <w:spacing w:val="-2"/>
          <w:sz w:val="22"/>
        </w:rPr>
        <w:t xml:space="preserve"> de la sentencia anterior se encuentre una regla jurisprudencial aplicable al caso a resolver; (ii) que esta regla resuelva un problema jurídico semejante al propuesto en el nuevo caso y (iii) que los hechos sean equiparables a los resueltos anteriormente.</w:t>
      </w:r>
    </w:p>
    <w:p w:rsidR="00F127CD" w:rsidRPr="00165990" w:rsidRDefault="00F127CD" w:rsidP="00E54582">
      <w:pPr>
        <w:adjustRightInd w:val="0"/>
        <w:snapToGrid w:val="0"/>
        <w:ind w:left="426" w:right="418"/>
        <w:jc w:val="both"/>
        <w:rPr>
          <w:rFonts w:ascii="Arial" w:hAnsi="Arial" w:cs="Arial"/>
          <w:i/>
          <w:spacing w:val="-2"/>
          <w:sz w:val="22"/>
        </w:rPr>
      </w:pPr>
    </w:p>
    <w:p w:rsidR="00F127CD" w:rsidRPr="00165990" w:rsidRDefault="00F127CD" w:rsidP="00E54582">
      <w:pPr>
        <w:adjustRightInd w:val="0"/>
        <w:snapToGrid w:val="0"/>
        <w:ind w:left="426" w:right="418"/>
        <w:jc w:val="both"/>
        <w:rPr>
          <w:rFonts w:ascii="Arial" w:hAnsi="Arial" w:cs="Arial"/>
          <w:i/>
          <w:spacing w:val="-2"/>
          <w:sz w:val="22"/>
        </w:rPr>
      </w:pPr>
      <w:r w:rsidRPr="00165990">
        <w:rPr>
          <w:rFonts w:ascii="Arial" w:hAnsi="Arial" w:cs="Arial"/>
          <w:i/>
          <w:spacing w:val="-2"/>
          <w:sz w:val="22"/>
        </w:rPr>
        <w:t>La falta de acreditación de estos tres elementos impide establecer que un conjunto de sentencias anteriores constituya precedente vinculante para el caso concreto y, por ende, al juez no le es exigible dar aplicación al mismo.</w:t>
      </w:r>
    </w:p>
    <w:p w:rsidR="00F127CD" w:rsidRPr="00165990" w:rsidRDefault="00F127CD" w:rsidP="00E54582">
      <w:pPr>
        <w:adjustRightInd w:val="0"/>
        <w:snapToGrid w:val="0"/>
        <w:ind w:left="426" w:right="418"/>
        <w:jc w:val="both"/>
        <w:rPr>
          <w:rFonts w:ascii="Arial" w:hAnsi="Arial" w:cs="Arial"/>
          <w:i/>
          <w:spacing w:val="-2"/>
          <w:sz w:val="22"/>
        </w:rPr>
      </w:pPr>
    </w:p>
    <w:p w:rsidR="00F127CD" w:rsidRPr="00165990" w:rsidRDefault="00F127CD" w:rsidP="00E54582">
      <w:pPr>
        <w:adjustRightInd w:val="0"/>
        <w:snapToGrid w:val="0"/>
        <w:ind w:left="426" w:right="418"/>
        <w:jc w:val="both"/>
        <w:rPr>
          <w:rFonts w:ascii="Arial" w:hAnsi="Arial" w:cs="Arial"/>
          <w:i/>
          <w:spacing w:val="-2"/>
          <w:sz w:val="22"/>
        </w:rPr>
      </w:pPr>
      <w:r w:rsidRPr="00165990">
        <w:rPr>
          <w:rFonts w:ascii="Arial" w:hAnsi="Arial" w:cs="Arial"/>
          <w:i/>
          <w:spacing w:val="-2"/>
          <w:sz w:val="22"/>
        </w:rPr>
        <w:t>Ahora bien, cuando los funcionarios judiciales encuentren cumplidos los tres criterios mencionados, tienen la posibilidad de apartarse del precedente, siempre y cuando (i) lo identifiquen de manera expresa y (ii) ofrezcan una justificación razonable, seria, suficiente y proporcionada, que dé cuenta de las razones por las qué se apartan de la regla jurisprudencial previa</w:t>
      </w:r>
      <w:r w:rsidRPr="00165990">
        <w:rPr>
          <w:rFonts w:ascii="Arial" w:hAnsi="Arial" w:cs="Arial"/>
          <w:i/>
          <w:spacing w:val="-2"/>
          <w:sz w:val="22"/>
          <w:vertAlign w:val="superscript"/>
        </w:rPr>
        <w:footnoteReference w:id="6"/>
      </w:r>
      <w:r w:rsidRPr="00165990">
        <w:rPr>
          <w:rFonts w:ascii="Arial" w:hAnsi="Arial" w:cs="Arial"/>
          <w:i/>
          <w:spacing w:val="-2"/>
          <w:sz w:val="22"/>
        </w:rPr>
        <w:t>. Así se protege el carácter dinámico del derecho y la autonomía e independencia de que gozan los jueces.</w:t>
      </w:r>
    </w:p>
    <w:p w:rsidR="00F127CD" w:rsidRPr="00165990" w:rsidRDefault="00F127CD" w:rsidP="00E54582">
      <w:pPr>
        <w:adjustRightInd w:val="0"/>
        <w:snapToGrid w:val="0"/>
        <w:ind w:left="426" w:right="418"/>
        <w:jc w:val="both"/>
        <w:rPr>
          <w:rFonts w:ascii="Arial" w:hAnsi="Arial" w:cs="Arial"/>
          <w:i/>
          <w:spacing w:val="-2"/>
          <w:sz w:val="22"/>
        </w:rPr>
      </w:pPr>
    </w:p>
    <w:p w:rsidR="00F127CD" w:rsidRPr="00165990" w:rsidRDefault="00F127CD" w:rsidP="00E54582">
      <w:pPr>
        <w:adjustRightInd w:val="0"/>
        <w:snapToGrid w:val="0"/>
        <w:ind w:left="426" w:right="418"/>
        <w:jc w:val="both"/>
        <w:rPr>
          <w:rFonts w:ascii="Arial" w:hAnsi="Arial" w:cs="Arial"/>
          <w:i/>
          <w:spacing w:val="-2"/>
          <w:sz w:val="22"/>
        </w:rPr>
      </w:pPr>
      <w:r w:rsidRPr="00165990">
        <w:rPr>
          <w:rFonts w:ascii="Arial" w:hAnsi="Arial" w:cs="Arial"/>
          <w:i/>
          <w:spacing w:val="-2"/>
          <w:sz w:val="22"/>
        </w:rPr>
        <w:t>De manera que sólo cuando un juez desconoce una regla jurisprudencial vinculante y plenamente aplicable a determinada situación, sin cumplir con la carga de transparencia y argumentación descrita, incurre en la causal de procedibilidad de la acción de tutela contra providencias judiciales, relacionada con el desconocimiento del precedente judicial y, en consecuencia, vulnera los derechos fundamentales a la igualdad y al debido proceso de las personas que acudieron a</w:t>
      </w:r>
      <w:r w:rsidR="00692E72" w:rsidRPr="00165990">
        <w:rPr>
          <w:rFonts w:ascii="Arial" w:hAnsi="Arial" w:cs="Arial"/>
          <w:i/>
          <w:spacing w:val="-2"/>
          <w:sz w:val="22"/>
        </w:rPr>
        <w:t xml:space="preserve"> la administración de justicia.”</w:t>
      </w:r>
    </w:p>
    <w:p w:rsidR="00692E72" w:rsidRPr="00165990" w:rsidRDefault="00692E72" w:rsidP="00E54582">
      <w:pPr>
        <w:adjustRightInd w:val="0"/>
        <w:snapToGrid w:val="0"/>
        <w:spacing w:line="276" w:lineRule="auto"/>
        <w:ind w:left="567" w:right="616"/>
        <w:jc w:val="both"/>
        <w:rPr>
          <w:rFonts w:ascii="Arial" w:hAnsi="Arial" w:cs="Arial"/>
          <w:i/>
          <w:spacing w:val="-2"/>
        </w:rPr>
      </w:pPr>
    </w:p>
    <w:p w:rsidR="00F127CD" w:rsidRPr="00165990" w:rsidRDefault="004435B2" w:rsidP="00E54582">
      <w:pPr>
        <w:adjustRightInd w:val="0"/>
        <w:snapToGrid w:val="0"/>
        <w:spacing w:line="276" w:lineRule="auto"/>
        <w:jc w:val="both"/>
        <w:rPr>
          <w:rFonts w:ascii="Arial" w:hAnsi="Arial" w:cs="Arial"/>
          <w:spacing w:val="-2"/>
        </w:rPr>
      </w:pPr>
      <w:r w:rsidRPr="00165990">
        <w:rPr>
          <w:rFonts w:ascii="Arial" w:hAnsi="Arial" w:cs="Arial"/>
          <w:spacing w:val="-2"/>
        </w:rPr>
        <w:t>6.4.3</w:t>
      </w:r>
      <w:r w:rsidR="00692E72" w:rsidRPr="00165990">
        <w:rPr>
          <w:rFonts w:ascii="Arial" w:hAnsi="Arial" w:cs="Arial"/>
          <w:spacing w:val="-2"/>
        </w:rPr>
        <w:t xml:space="preserve"> En la sentencia SU-</w:t>
      </w:r>
      <w:r w:rsidR="00F127CD" w:rsidRPr="00165990">
        <w:rPr>
          <w:rFonts w:ascii="Arial" w:hAnsi="Arial" w:cs="Arial"/>
          <w:spacing w:val="-2"/>
        </w:rPr>
        <w:t>3</w:t>
      </w:r>
      <w:r w:rsidR="00692E72" w:rsidRPr="00165990">
        <w:rPr>
          <w:rFonts w:ascii="Arial" w:hAnsi="Arial" w:cs="Arial"/>
          <w:spacing w:val="-2"/>
        </w:rPr>
        <w:t xml:space="preserve">57del 25 de mayo de 2017, </w:t>
      </w:r>
      <w:r w:rsidR="00F127CD" w:rsidRPr="00165990">
        <w:rPr>
          <w:rFonts w:ascii="Arial" w:hAnsi="Arial" w:cs="Arial"/>
          <w:spacing w:val="-2"/>
        </w:rPr>
        <w:t>de la Corte Constitucional se hizo referencia al carácter de las sentencias de uni</w:t>
      </w:r>
      <w:r w:rsidR="00692E72" w:rsidRPr="00165990">
        <w:rPr>
          <w:rFonts w:ascii="Arial" w:hAnsi="Arial" w:cs="Arial"/>
          <w:spacing w:val="-2"/>
        </w:rPr>
        <w:t>ficación y se dijo lo siguiente</w:t>
      </w:r>
      <w:r w:rsidR="00F127CD" w:rsidRPr="00165990">
        <w:rPr>
          <w:rFonts w:ascii="Arial" w:hAnsi="Arial" w:cs="Arial"/>
          <w:spacing w:val="-2"/>
        </w:rPr>
        <w:t>:</w:t>
      </w:r>
    </w:p>
    <w:p w:rsidR="00F127CD" w:rsidRPr="00165990" w:rsidRDefault="00F127CD" w:rsidP="00E54582">
      <w:pPr>
        <w:adjustRightInd w:val="0"/>
        <w:snapToGrid w:val="0"/>
        <w:spacing w:line="276" w:lineRule="auto"/>
        <w:ind w:right="616"/>
        <w:jc w:val="both"/>
        <w:rPr>
          <w:rFonts w:ascii="Arial" w:hAnsi="Arial" w:cs="Arial"/>
          <w:spacing w:val="-2"/>
        </w:rPr>
      </w:pPr>
    </w:p>
    <w:p w:rsidR="00F127CD" w:rsidRPr="00165990" w:rsidRDefault="00487E90" w:rsidP="00E54582">
      <w:pPr>
        <w:ind w:left="426" w:right="418"/>
        <w:jc w:val="both"/>
        <w:rPr>
          <w:rFonts w:ascii="Arial" w:hAnsi="Arial" w:cs="Arial"/>
          <w:i/>
          <w:spacing w:val="-2"/>
          <w:sz w:val="22"/>
          <w:u w:val="single"/>
        </w:rPr>
      </w:pPr>
      <w:r w:rsidRPr="00165990">
        <w:rPr>
          <w:rFonts w:ascii="Arial" w:hAnsi="Arial" w:cs="Arial"/>
          <w:i/>
          <w:spacing w:val="-2"/>
          <w:sz w:val="22"/>
          <w:lang w:eastAsia="en-US"/>
        </w:rPr>
        <w:t xml:space="preserve">“(...) </w:t>
      </w:r>
      <w:r w:rsidR="00F127CD" w:rsidRPr="00165990">
        <w:rPr>
          <w:rFonts w:ascii="Arial" w:hAnsi="Arial" w:cs="Arial"/>
          <w:i/>
          <w:spacing w:val="-2"/>
          <w:sz w:val="22"/>
          <w:u w:val="single"/>
          <w:lang w:eastAsia="en-US"/>
        </w:rPr>
        <w:t xml:space="preserve">4.2 Desde sus primeros pronunciamientos, </w:t>
      </w:r>
      <w:r w:rsidR="00F127CD" w:rsidRPr="00165990">
        <w:rPr>
          <w:rFonts w:ascii="Arial" w:hAnsi="Arial" w:cs="Arial"/>
          <w:i/>
          <w:spacing w:val="-2"/>
          <w:sz w:val="22"/>
          <w:u w:val="single"/>
        </w:rPr>
        <w:t xml:space="preserve">la Corte Constitucional ha reconocido el valor del precedente judicial de la ratio </w:t>
      </w:r>
      <w:proofErr w:type="spellStart"/>
      <w:r w:rsidR="00F127CD" w:rsidRPr="00165990">
        <w:rPr>
          <w:rFonts w:ascii="Arial" w:hAnsi="Arial" w:cs="Arial"/>
          <w:i/>
          <w:spacing w:val="-2"/>
          <w:sz w:val="22"/>
          <w:u w:val="single"/>
        </w:rPr>
        <w:t>decidendi</w:t>
      </w:r>
      <w:proofErr w:type="spellEnd"/>
      <w:r w:rsidR="00F127CD" w:rsidRPr="00165990">
        <w:rPr>
          <w:rFonts w:ascii="Arial" w:hAnsi="Arial" w:cs="Arial"/>
          <w:i/>
          <w:spacing w:val="-2"/>
          <w:sz w:val="22"/>
          <w:u w:val="single"/>
        </w:rPr>
        <w:t xml:space="preserve"> de sus decisiones, tanto en materia de constitucionalidad como en materia de tutela</w:t>
      </w:r>
      <w:r w:rsidR="00F127CD" w:rsidRPr="00165990">
        <w:rPr>
          <w:rFonts w:ascii="Arial" w:hAnsi="Arial" w:cs="Arial"/>
          <w:i/>
          <w:spacing w:val="-2"/>
          <w:sz w:val="22"/>
          <w:u w:val="single"/>
          <w:vertAlign w:val="superscript"/>
        </w:rPr>
        <w:footnoteReference w:id="7"/>
      </w:r>
      <w:r w:rsidR="00F127CD" w:rsidRPr="00165990">
        <w:rPr>
          <w:rFonts w:ascii="Arial" w:hAnsi="Arial" w:cs="Arial"/>
          <w:i/>
          <w:spacing w:val="-2"/>
          <w:sz w:val="22"/>
          <w:u w:val="single"/>
        </w:rPr>
        <w:t>.</w:t>
      </w:r>
    </w:p>
    <w:p w:rsidR="00F127CD" w:rsidRPr="00165990" w:rsidRDefault="00F127CD" w:rsidP="00E54582">
      <w:pPr>
        <w:ind w:left="426" w:right="418"/>
        <w:contextualSpacing/>
        <w:jc w:val="both"/>
        <w:rPr>
          <w:rFonts w:ascii="Arial" w:hAnsi="Arial" w:cs="Arial"/>
          <w:i/>
          <w:spacing w:val="-2"/>
          <w:sz w:val="22"/>
          <w:u w:val="single"/>
        </w:rPr>
      </w:pPr>
    </w:p>
    <w:p w:rsidR="00F127CD" w:rsidRPr="00165990" w:rsidRDefault="00F127CD" w:rsidP="00E54582">
      <w:pPr>
        <w:ind w:left="426" w:right="418"/>
        <w:contextualSpacing/>
        <w:jc w:val="both"/>
        <w:rPr>
          <w:rFonts w:ascii="Arial" w:hAnsi="Arial" w:cs="Arial"/>
          <w:i/>
          <w:spacing w:val="-2"/>
          <w:sz w:val="22"/>
        </w:rPr>
      </w:pPr>
      <w:r w:rsidRPr="00165990">
        <w:rPr>
          <w:rFonts w:ascii="Arial" w:hAnsi="Arial" w:cs="Arial"/>
          <w:i/>
          <w:spacing w:val="-2"/>
          <w:sz w:val="22"/>
        </w:rPr>
        <w:t xml:space="preserve">En la sentencia C-104 de 1993 manifestó que las decisiones de la Corte Constitucional tienen naturaleza erga omnes y, además, no constituyen un criterio auxiliar de interpretación sino que “la jurisprudencia constitucional tiene fuerza de cosa juzgada constitucional -art. 243 </w:t>
      </w:r>
      <w:proofErr w:type="spellStart"/>
      <w:r w:rsidRPr="00165990">
        <w:rPr>
          <w:rFonts w:ascii="Arial" w:hAnsi="Arial" w:cs="Arial"/>
          <w:i/>
          <w:spacing w:val="-2"/>
          <w:sz w:val="22"/>
        </w:rPr>
        <w:t>CP</w:t>
      </w:r>
      <w:proofErr w:type="spellEnd"/>
      <w:r w:rsidRPr="00165990">
        <w:rPr>
          <w:rFonts w:ascii="Arial" w:hAnsi="Arial" w:cs="Arial"/>
          <w:i/>
          <w:spacing w:val="-2"/>
          <w:sz w:val="22"/>
        </w:rPr>
        <w:t xml:space="preserve">-, de suerte que obliga hacia el futuro para efectos de la expedición o su aplicación ulterior”. </w:t>
      </w:r>
    </w:p>
    <w:p w:rsidR="00F127CD" w:rsidRPr="00165990" w:rsidRDefault="00F127CD" w:rsidP="00E54582">
      <w:pPr>
        <w:ind w:left="426" w:right="418"/>
        <w:contextualSpacing/>
        <w:jc w:val="both"/>
        <w:rPr>
          <w:rFonts w:ascii="Arial" w:hAnsi="Arial" w:cs="Arial"/>
          <w:i/>
          <w:spacing w:val="-2"/>
          <w:sz w:val="22"/>
        </w:rPr>
      </w:pPr>
    </w:p>
    <w:p w:rsidR="00F127CD" w:rsidRPr="00165990" w:rsidRDefault="00F127CD" w:rsidP="00E54582">
      <w:pPr>
        <w:ind w:left="426" w:right="418"/>
        <w:contextualSpacing/>
        <w:jc w:val="both"/>
        <w:rPr>
          <w:rFonts w:ascii="Arial" w:hAnsi="Arial" w:cs="Arial"/>
          <w:i/>
          <w:spacing w:val="-2"/>
          <w:sz w:val="22"/>
        </w:rPr>
      </w:pPr>
      <w:r w:rsidRPr="00165990">
        <w:rPr>
          <w:rFonts w:ascii="Arial" w:hAnsi="Arial" w:cs="Arial"/>
          <w:i/>
          <w:spacing w:val="-2"/>
          <w:sz w:val="22"/>
        </w:rPr>
        <w:t xml:space="preserve">En sede de tutela, esta Corporación también se refirió a este asunto en la sentencia T-260 de 1995, oportunidad en la que sostuvo lo siguiente:  </w:t>
      </w:r>
    </w:p>
    <w:p w:rsidR="00F127CD" w:rsidRPr="00165990" w:rsidRDefault="00F127CD" w:rsidP="00E54582">
      <w:pPr>
        <w:ind w:left="426" w:right="418"/>
        <w:contextualSpacing/>
        <w:jc w:val="both"/>
        <w:rPr>
          <w:rFonts w:ascii="Arial" w:hAnsi="Arial" w:cs="Arial"/>
          <w:i/>
          <w:spacing w:val="-2"/>
          <w:sz w:val="22"/>
        </w:rPr>
      </w:pPr>
    </w:p>
    <w:p w:rsidR="00F127CD" w:rsidRPr="00165990" w:rsidRDefault="00F127CD" w:rsidP="00E54582">
      <w:pPr>
        <w:ind w:left="426" w:right="418"/>
        <w:jc w:val="both"/>
        <w:rPr>
          <w:rFonts w:ascii="Arial" w:hAnsi="Arial" w:cs="Arial"/>
          <w:i/>
          <w:spacing w:val="-2"/>
          <w:sz w:val="22"/>
        </w:rPr>
      </w:pPr>
      <w:r w:rsidRPr="00165990">
        <w:rPr>
          <w:rFonts w:ascii="Arial" w:hAnsi="Arial" w:cs="Arial"/>
          <w:i/>
          <w:spacing w:val="-2"/>
          <w:sz w:val="22"/>
        </w:rPr>
        <w:t>“Es verdad que, como esta Corporación lo ha sostenido repetidamente, uno de los principios de la administración de justicia es el de la autonomía funcional del juez, en el ámbito de sus propias competencias (Cfr. Corte Constitucional. Sala Plena. Sentencia C-543 del 1 de octubre de 1992), pero ella no se confunde con la arbitrariedad del fallador para aplicar los preceptos constitucionales. Si bien la jurisprudencia no es obligatoria (artículo 230 de la Constitución Política), las pautas doctrinales trazadas por esta Corte, que tiene a su cargo la guarda de la integridad y supremacía de la Carta Política, indican a todos los jueces el sentido y los alcances de la normatividad fundamental y a ellas deben atenerse. Cuando la ignoran o contrarían, no se apartan simplemente de una jurisprudencia -como podría ser la penal, la civil o la contencioso administrativa- sino que violan la Constitución, en cuanto la aplican de manera contraria a aquélla en que ha sido entendida por el juez de constitucionalidad a través de la doctrina constitucional que le corresponde fijar”</w:t>
      </w:r>
      <w:r w:rsidRPr="00165990">
        <w:rPr>
          <w:rFonts w:ascii="Arial" w:hAnsi="Arial" w:cs="Arial"/>
          <w:i/>
          <w:spacing w:val="-2"/>
          <w:kern w:val="28"/>
          <w:sz w:val="22"/>
          <w:bdr w:val="none" w:sz="0" w:space="0" w:color="auto" w:frame="1"/>
          <w:vertAlign w:val="superscript"/>
          <w:lang w:val="es-ES_tradnl"/>
        </w:rPr>
        <w:footnoteReference w:id="8"/>
      </w:r>
      <w:r w:rsidRPr="00165990">
        <w:rPr>
          <w:rFonts w:ascii="Arial" w:hAnsi="Arial" w:cs="Arial"/>
          <w:i/>
          <w:spacing w:val="-2"/>
          <w:sz w:val="22"/>
        </w:rPr>
        <w:t>.</w:t>
      </w:r>
    </w:p>
    <w:p w:rsidR="00F127CD" w:rsidRPr="00165990" w:rsidRDefault="00F127CD" w:rsidP="00E54582">
      <w:pPr>
        <w:ind w:left="426" w:right="418"/>
        <w:jc w:val="both"/>
        <w:rPr>
          <w:rFonts w:ascii="Arial" w:hAnsi="Arial" w:cs="Arial"/>
          <w:i/>
          <w:spacing w:val="-2"/>
          <w:sz w:val="22"/>
        </w:rPr>
      </w:pPr>
    </w:p>
    <w:p w:rsidR="00F127CD" w:rsidRPr="00165990" w:rsidRDefault="00F127CD" w:rsidP="00E54582">
      <w:pPr>
        <w:ind w:left="426" w:right="418"/>
        <w:jc w:val="both"/>
        <w:rPr>
          <w:rFonts w:ascii="Arial" w:hAnsi="Arial" w:cs="Arial"/>
          <w:i/>
          <w:spacing w:val="-2"/>
          <w:sz w:val="22"/>
        </w:rPr>
      </w:pPr>
      <w:r w:rsidRPr="00165990">
        <w:rPr>
          <w:rFonts w:ascii="Arial" w:hAnsi="Arial" w:cs="Arial"/>
          <w:i/>
          <w:spacing w:val="-2"/>
          <w:sz w:val="22"/>
        </w:rPr>
        <w:t>Más adelante, la Corte señaló que las autoridades públicas, tanto administrativas como judiciales, están obligadas a acatar los precedentes que fije la Corte Constitucional</w:t>
      </w:r>
      <w:r w:rsidRPr="00165990">
        <w:rPr>
          <w:rFonts w:ascii="Arial" w:hAnsi="Arial" w:cs="Arial"/>
          <w:i/>
          <w:spacing w:val="-2"/>
          <w:sz w:val="22"/>
          <w:vertAlign w:val="superscript"/>
        </w:rPr>
        <w:footnoteReference w:id="9"/>
      </w:r>
      <w:r w:rsidRPr="00165990">
        <w:rPr>
          <w:rFonts w:ascii="Arial" w:hAnsi="Arial" w:cs="Arial"/>
          <w:i/>
          <w:spacing w:val="-2"/>
          <w:sz w:val="22"/>
        </w:rPr>
        <w:t xml:space="preserve">. De igual forma, preciso que si bien es cierto que la tutela no tiene efectos más allá del caso objeto de controversia, la </w:t>
      </w:r>
      <w:r w:rsidRPr="00165990">
        <w:rPr>
          <w:rFonts w:ascii="Arial" w:hAnsi="Arial" w:cs="Arial"/>
          <w:i/>
          <w:iCs/>
          <w:spacing w:val="-2"/>
          <w:sz w:val="22"/>
        </w:rPr>
        <w:t xml:space="preserve">ratio </w:t>
      </w:r>
      <w:proofErr w:type="spellStart"/>
      <w:r w:rsidRPr="00165990">
        <w:rPr>
          <w:rFonts w:ascii="Arial" w:hAnsi="Arial" w:cs="Arial"/>
          <w:i/>
          <w:iCs/>
          <w:spacing w:val="-2"/>
          <w:sz w:val="22"/>
        </w:rPr>
        <w:t>decidendi</w:t>
      </w:r>
      <w:proofErr w:type="spellEnd"/>
      <w:r w:rsidRPr="00165990">
        <w:rPr>
          <w:rFonts w:ascii="Arial" w:hAnsi="Arial" w:cs="Arial"/>
          <w:i/>
          <w:spacing w:val="-2"/>
          <w:sz w:val="22"/>
        </w:rPr>
        <w:t xml:space="preserve"> constituye un precedente de obligatorio cumplimiento para las autoridades públicas, “ya que además de ser el fundamento normativo de la decisión judicial, define, frente a una situación fáctica determinada, la correcta interpretación y, por ende, la correcta aplicación de una norma”</w:t>
      </w:r>
      <w:r w:rsidRPr="00165990">
        <w:rPr>
          <w:rFonts w:ascii="Arial" w:hAnsi="Arial" w:cs="Arial"/>
          <w:i/>
          <w:spacing w:val="-2"/>
          <w:sz w:val="22"/>
          <w:vertAlign w:val="superscript"/>
        </w:rPr>
        <w:footnoteReference w:id="10"/>
      </w:r>
      <w:r w:rsidRPr="00165990">
        <w:rPr>
          <w:rFonts w:ascii="Arial" w:hAnsi="Arial" w:cs="Arial"/>
          <w:i/>
          <w:spacing w:val="-2"/>
          <w:sz w:val="22"/>
        </w:rPr>
        <w:t>.</w:t>
      </w:r>
      <w:r w:rsidR="00487E90" w:rsidRPr="00165990">
        <w:rPr>
          <w:rFonts w:ascii="Arial" w:hAnsi="Arial" w:cs="Arial"/>
          <w:i/>
          <w:spacing w:val="-2"/>
          <w:sz w:val="22"/>
        </w:rPr>
        <w:t xml:space="preserve"> </w:t>
      </w:r>
      <w:r w:rsidRPr="00165990">
        <w:rPr>
          <w:rFonts w:ascii="Arial" w:hAnsi="Arial" w:cs="Arial"/>
          <w:i/>
          <w:spacing w:val="-2"/>
          <w:sz w:val="22"/>
        </w:rPr>
        <w:t>(...)</w:t>
      </w:r>
    </w:p>
    <w:p w:rsidR="00F127CD" w:rsidRPr="00165990" w:rsidRDefault="00F127CD" w:rsidP="00E54582">
      <w:pPr>
        <w:ind w:left="426" w:right="418"/>
        <w:contextualSpacing/>
        <w:jc w:val="both"/>
        <w:rPr>
          <w:rFonts w:ascii="Arial" w:hAnsi="Arial" w:cs="Arial"/>
          <w:i/>
          <w:spacing w:val="-2"/>
          <w:sz w:val="22"/>
        </w:rPr>
      </w:pPr>
    </w:p>
    <w:p w:rsidR="00F127CD" w:rsidRPr="00165990" w:rsidRDefault="00F127CD" w:rsidP="00E54582">
      <w:pPr>
        <w:numPr>
          <w:ilvl w:val="1"/>
          <w:numId w:val="10"/>
        </w:numPr>
        <w:ind w:left="426" w:right="418" w:firstLine="0"/>
        <w:contextualSpacing/>
        <w:jc w:val="both"/>
        <w:rPr>
          <w:rFonts w:ascii="Arial" w:hAnsi="Arial" w:cs="Arial"/>
          <w:i/>
          <w:spacing w:val="-2"/>
          <w:sz w:val="22"/>
          <w:lang w:eastAsia="en-US"/>
        </w:rPr>
      </w:pPr>
      <w:r w:rsidRPr="00165990">
        <w:rPr>
          <w:rFonts w:ascii="Arial" w:hAnsi="Arial" w:cs="Arial"/>
          <w:i/>
          <w:spacing w:val="-2"/>
          <w:sz w:val="22"/>
          <w:lang w:eastAsia="en-US"/>
        </w:rPr>
        <w:t xml:space="preserve">Ahora bien, el desconocimiento del precedente constitucional tiene su origen en la aplicación directa de la regla superior contenida en el artículo 13 de la Carta Política (derecho a la igualdad). Al ser este Tribunal el encargado de </w:t>
      </w:r>
      <w:r w:rsidRPr="00165990">
        <w:rPr>
          <w:rFonts w:ascii="Arial" w:hAnsi="Arial" w:cs="Arial"/>
          <w:i/>
          <w:spacing w:val="-2"/>
          <w:sz w:val="22"/>
          <w:lang w:eastAsia="en-US"/>
        </w:rPr>
        <w:lastRenderedPageBreak/>
        <w:t>salvaguardar la integridad y la supremacía de la Constitución, de fijar los efectos de los derechos fundamentales y determinar el sentido en el que debe interpretarse la Constitución, sus pronunciamientos constituyen un precedente excepcional de obligatorio cumplimiento para todos.</w:t>
      </w:r>
    </w:p>
    <w:p w:rsidR="00F127CD" w:rsidRPr="00165990" w:rsidRDefault="00F127CD" w:rsidP="00E54582">
      <w:pPr>
        <w:ind w:left="426" w:right="418"/>
        <w:jc w:val="both"/>
        <w:rPr>
          <w:rFonts w:ascii="Arial" w:hAnsi="Arial" w:cs="Arial"/>
          <w:i/>
          <w:spacing w:val="-2"/>
          <w:sz w:val="22"/>
          <w:lang w:eastAsia="en-US"/>
        </w:rPr>
      </w:pPr>
    </w:p>
    <w:p w:rsidR="00F127CD" w:rsidRPr="00165990" w:rsidRDefault="00F127CD" w:rsidP="00E54582">
      <w:pPr>
        <w:ind w:left="426" w:right="418"/>
        <w:jc w:val="both"/>
        <w:rPr>
          <w:rFonts w:ascii="Arial" w:hAnsi="Arial" w:cs="Arial"/>
          <w:i/>
          <w:spacing w:val="-2"/>
          <w:sz w:val="22"/>
          <w:lang w:eastAsia="en-US"/>
        </w:rPr>
      </w:pPr>
      <w:r w:rsidRPr="00165990">
        <w:rPr>
          <w:rFonts w:ascii="Arial" w:hAnsi="Arial" w:cs="Arial"/>
          <w:i/>
          <w:spacing w:val="-2"/>
          <w:sz w:val="22"/>
          <w:lang w:eastAsia="en-US"/>
        </w:rPr>
        <w:t>Sobre el desconocimiento del precedente constitucional como defecto constitutivo de una causal especifica de procedencia de la acción de tutela contra providencias judiciales esta Corporación ha señalado que se predica únicamente de los pronunciamientos emitidos por la Corte Constitucional</w:t>
      </w:r>
      <w:r w:rsidRPr="00165990">
        <w:rPr>
          <w:rFonts w:ascii="Arial" w:hAnsi="Arial" w:cs="Arial"/>
          <w:i/>
          <w:spacing w:val="-2"/>
          <w:sz w:val="22"/>
          <w:vertAlign w:val="superscript"/>
          <w:lang w:eastAsia="en-US"/>
        </w:rPr>
        <w:footnoteReference w:id="11"/>
      </w:r>
      <w:r w:rsidRPr="00165990">
        <w:rPr>
          <w:rFonts w:ascii="Arial" w:hAnsi="Arial" w:cs="Arial"/>
          <w:i/>
          <w:spacing w:val="-2"/>
          <w:sz w:val="22"/>
          <w:lang w:eastAsia="en-US"/>
        </w:rPr>
        <w:t xml:space="preserve"> y se presenta cuando el funcionario, al resolver un caso concreto, se aparta de la interpretación dada por este Tribunal. Al respecto:</w:t>
      </w:r>
    </w:p>
    <w:p w:rsidR="00F127CD" w:rsidRPr="00165990" w:rsidRDefault="00F127CD" w:rsidP="00E54582">
      <w:pPr>
        <w:ind w:left="426" w:right="418"/>
        <w:jc w:val="both"/>
        <w:rPr>
          <w:rFonts w:ascii="Arial" w:hAnsi="Arial" w:cs="Arial"/>
          <w:i/>
          <w:spacing w:val="-2"/>
          <w:sz w:val="22"/>
          <w:lang w:eastAsia="en-US"/>
        </w:rPr>
      </w:pPr>
    </w:p>
    <w:p w:rsidR="00F127CD" w:rsidRPr="00165990" w:rsidRDefault="00F127CD" w:rsidP="00E54582">
      <w:pPr>
        <w:ind w:left="426" w:right="418"/>
        <w:jc w:val="both"/>
        <w:rPr>
          <w:rFonts w:ascii="Arial" w:hAnsi="Arial" w:cs="Arial"/>
          <w:i/>
          <w:spacing w:val="-2"/>
          <w:sz w:val="22"/>
          <w:lang w:eastAsia="en-US"/>
        </w:rPr>
      </w:pPr>
      <w:r w:rsidRPr="00165990">
        <w:rPr>
          <w:rFonts w:ascii="Arial" w:hAnsi="Arial" w:cs="Arial"/>
          <w:i/>
          <w:spacing w:val="-2"/>
          <w:sz w:val="22"/>
          <w:lang w:eastAsia="en-US"/>
        </w:rPr>
        <w:t>“La interpretación de la Constitución, que además permite materializar la voluntad del constituyente, tiene como propósito principal, oriental el ordenamiento jurídico hacia los principios y valores constitucionales superiores. No reconocer entonces el alcance de los fallos constitucionales vinculantes, sea por desconocimiento, descuido, u omisión, genera en el ordenamiento jurídico colombiano una evidente falta de coherencia y de conexión concreta con la Constitución, que finalmente se traduce en contradicciones ilógicas entre la normatividad y la Carta, que dificultan la unidad intrínseca del sistema, y afectan la seguridad jurídica. Que perturba, además la eficiencia y la eficacia institucional, en la medida en que se multiplica innecesariamente la gestión de las autoridades judiciales, más aún cuando en definitiva, la Constitución tiene una fuerza constitucional preeminente que no puede ser negada en nuestra organización judicial”</w:t>
      </w:r>
      <w:r w:rsidRPr="00165990">
        <w:rPr>
          <w:rFonts w:ascii="Arial" w:hAnsi="Arial" w:cs="Arial"/>
          <w:i/>
          <w:spacing w:val="-2"/>
          <w:sz w:val="22"/>
          <w:vertAlign w:val="superscript"/>
          <w:lang w:eastAsia="en-US"/>
        </w:rPr>
        <w:footnoteReference w:id="12"/>
      </w:r>
      <w:r w:rsidRPr="00165990">
        <w:rPr>
          <w:rFonts w:ascii="Arial" w:hAnsi="Arial" w:cs="Arial"/>
          <w:i/>
          <w:spacing w:val="-2"/>
          <w:sz w:val="22"/>
          <w:lang w:eastAsia="en-US"/>
        </w:rPr>
        <w:t xml:space="preserve">. </w:t>
      </w:r>
    </w:p>
    <w:p w:rsidR="00F127CD" w:rsidRPr="00165990" w:rsidRDefault="00F127CD" w:rsidP="00E54582">
      <w:pPr>
        <w:ind w:left="426" w:right="418"/>
        <w:jc w:val="both"/>
        <w:rPr>
          <w:rFonts w:ascii="Arial" w:hAnsi="Arial" w:cs="Arial"/>
          <w:i/>
          <w:spacing w:val="-2"/>
          <w:sz w:val="22"/>
          <w:lang w:eastAsia="en-US"/>
        </w:rPr>
      </w:pPr>
    </w:p>
    <w:p w:rsidR="00F127CD" w:rsidRPr="00165990" w:rsidRDefault="00F127CD" w:rsidP="00E54582">
      <w:pPr>
        <w:ind w:left="426" w:right="418"/>
        <w:jc w:val="both"/>
        <w:rPr>
          <w:rFonts w:ascii="Arial" w:hAnsi="Arial" w:cs="Arial"/>
          <w:i/>
          <w:spacing w:val="-2"/>
          <w:sz w:val="22"/>
          <w:u w:val="single"/>
          <w:lang w:eastAsia="en-US"/>
        </w:rPr>
      </w:pPr>
      <w:r w:rsidRPr="00165990">
        <w:rPr>
          <w:rFonts w:ascii="Arial" w:hAnsi="Arial" w:cs="Arial"/>
          <w:i/>
          <w:spacing w:val="-2"/>
          <w:sz w:val="22"/>
          <w:u w:val="single"/>
          <w:lang w:eastAsia="en-US"/>
        </w:rPr>
        <w:t>Es preciso resaltar que los fallos emitidos por la Corte irradian dos tipos de efectos: en el caso de los fallos de control abstracto de constitucionalidad estos hacen tránsito a cosa juzgada constitucional, de ahí que se ha reconocido su carácter vinculante, obligatorio y de fuente de derecho; por el contrario, los efectos de los fallos de tutela en principio son inter partes. No obstante, existe un punto de encuentro y es que ambos fallos se deben observar, no solo por reconocer que la Constitución es norma superior, sino para garantizar el derecho a la igualdad de los administrados</w:t>
      </w:r>
      <w:r w:rsidRPr="00165990">
        <w:rPr>
          <w:rFonts w:ascii="Arial" w:hAnsi="Arial" w:cs="Arial"/>
          <w:i/>
          <w:spacing w:val="-2"/>
          <w:sz w:val="22"/>
          <w:u w:val="single"/>
          <w:vertAlign w:val="superscript"/>
          <w:lang w:eastAsia="en-US"/>
        </w:rPr>
        <w:footnoteReference w:id="13"/>
      </w:r>
      <w:r w:rsidRPr="00165990">
        <w:rPr>
          <w:rFonts w:ascii="Arial" w:hAnsi="Arial" w:cs="Arial"/>
          <w:i/>
          <w:spacing w:val="-2"/>
          <w:sz w:val="22"/>
          <w:u w:val="single"/>
          <w:lang w:eastAsia="en-US"/>
        </w:rPr>
        <w:t xml:space="preserve">. </w:t>
      </w:r>
    </w:p>
    <w:p w:rsidR="00F127CD" w:rsidRPr="00165990" w:rsidRDefault="00F127CD" w:rsidP="00E54582">
      <w:pPr>
        <w:ind w:left="426" w:right="418"/>
        <w:jc w:val="both"/>
        <w:rPr>
          <w:rFonts w:ascii="Arial" w:hAnsi="Arial" w:cs="Arial"/>
          <w:i/>
          <w:spacing w:val="-2"/>
          <w:sz w:val="22"/>
          <w:lang w:eastAsia="en-US"/>
        </w:rPr>
      </w:pPr>
    </w:p>
    <w:p w:rsidR="00F127CD" w:rsidRPr="00165990" w:rsidRDefault="00F127CD" w:rsidP="00E54582">
      <w:pPr>
        <w:numPr>
          <w:ilvl w:val="1"/>
          <w:numId w:val="10"/>
        </w:numPr>
        <w:ind w:left="426" w:right="418" w:firstLine="0"/>
        <w:contextualSpacing/>
        <w:jc w:val="both"/>
        <w:rPr>
          <w:rFonts w:ascii="Arial" w:hAnsi="Arial" w:cs="Arial"/>
          <w:i/>
          <w:spacing w:val="-2"/>
          <w:sz w:val="22"/>
          <w:u w:val="single"/>
          <w:lang w:eastAsia="en-US"/>
        </w:rPr>
      </w:pPr>
      <w:r w:rsidRPr="00165990">
        <w:rPr>
          <w:rFonts w:ascii="Arial" w:hAnsi="Arial" w:cs="Arial"/>
          <w:i/>
          <w:spacing w:val="-2"/>
          <w:sz w:val="22"/>
          <w:u w:val="single"/>
          <w:lang w:eastAsia="en-US"/>
        </w:rPr>
        <w:t xml:space="preserve">Los efectos inter partes de las acciones de tutela en ocasiones pueden hacerse extensivos en virtud del alcance de la revisión que realiza el Tribunal Constitucional. En este sentido, la vinculación de los jueces de tutela a los precedentes constitucionales, resulta relevante para la unidad y la armonía del ordenamiento jurídico como un conjunto estrechamente relacionado a la Constitución. Por tal razón, de no acogerse un precedente constitucional, la consecuencia devendría en restarle fuerza normativa a la Carta, ya que cada juez podría interpretar la norma constitucional como quisiera, desarticulando el sistema jurídico de las interpretaciones hechas a Constitución. </w:t>
      </w:r>
    </w:p>
    <w:p w:rsidR="00F127CD" w:rsidRPr="00165990" w:rsidRDefault="00F127CD" w:rsidP="00E54582">
      <w:pPr>
        <w:tabs>
          <w:tab w:val="left" w:pos="709"/>
        </w:tabs>
        <w:ind w:left="426" w:right="418"/>
        <w:jc w:val="both"/>
        <w:rPr>
          <w:rFonts w:ascii="Arial" w:hAnsi="Arial" w:cs="Arial"/>
          <w:bCs/>
          <w:i/>
          <w:spacing w:val="-2"/>
          <w:sz w:val="22"/>
          <w:u w:val="single"/>
        </w:rPr>
      </w:pPr>
    </w:p>
    <w:p w:rsidR="00F127CD" w:rsidRPr="00165990" w:rsidRDefault="00F127CD" w:rsidP="00487E90">
      <w:pPr>
        <w:tabs>
          <w:tab w:val="left" w:pos="709"/>
        </w:tabs>
        <w:ind w:left="426" w:right="418"/>
        <w:jc w:val="both"/>
        <w:rPr>
          <w:rFonts w:ascii="Arial" w:hAnsi="Arial" w:cs="Arial"/>
          <w:i/>
          <w:spacing w:val="-2"/>
          <w:sz w:val="22"/>
          <w:lang w:val="es-CO" w:eastAsia="en-US"/>
        </w:rPr>
      </w:pPr>
      <w:r w:rsidRPr="00165990">
        <w:rPr>
          <w:rFonts w:ascii="Arial" w:hAnsi="Arial" w:cs="Arial"/>
          <w:i/>
          <w:spacing w:val="-2"/>
          <w:sz w:val="22"/>
          <w:u w:val="single"/>
        </w:rPr>
        <w:t>Se entiende, entonces, que aunque existe un valor vinculante del precedente y la obligación de los jueces de acogerse a este en sus decisiones, esto no implica que dicha obligación coarte la libertad de decisión del juez o la autonomía judicial consagrada en la Constitución, porque existe la posibilidad para los operadores judiciales de apartarse del precedente si cumple con los requisitos establecidos para ello, siempre que cumplan debidamente la carga argumentativa</w:t>
      </w:r>
      <w:r w:rsidRPr="00165990">
        <w:rPr>
          <w:rFonts w:ascii="Arial" w:hAnsi="Arial" w:cs="Arial"/>
          <w:i/>
          <w:spacing w:val="-2"/>
          <w:sz w:val="22"/>
        </w:rPr>
        <w:t>.</w:t>
      </w:r>
      <w:r w:rsidR="00487E90" w:rsidRPr="00165990">
        <w:rPr>
          <w:rFonts w:ascii="Arial" w:hAnsi="Arial" w:cs="Arial"/>
          <w:i/>
          <w:spacing w:val="-2"/>
          <w:sz w:val="22"/>
        </w:rPr>
        <w:t xml:space="preserve"> </w:t>
      </w:r>
      <w:r w:rsidRPr="00165990">
        <w:rPr>
          <w:rFonts w:ascii="Arial" w:hAnsi="Arial" w:cs="Arial"/>
          <w:i/>
          <w:spacing w:val="-2"/>
          <w:sz w:val="22"/>
          <w:lang w:val="es-CO" w:eastAsia="en-US"/>
        </w:rPr>
        <w:t xml:space="preserve">(...) </w:t>
      </w:r>
    </w:p>
    <w:p w:rsidR="00F127CD" w:rsidRPr="00165990" w:rsidRDefault="00F127CD" w:rsidP="00E54582">
      <w:pPr>
        <w:ind w:left="426" w:right="418"/>
        <w:jc w:val="both"/>
        <w:rPr>
          <w:rFonts w:ascii="Arial" w:hAnsi="Arial" w:cs="Arial"/>
          <w:i/>
          <w:spacing w:val="-2"/>
          <w:sz w:val="22"/>
          <w:shd w:val="clear" w:color="auto" w:fill="FFFFFF"/>
          <w:lang w:val="es-CO"/>
        </w:rPr>
      </w:pPr>
    </w:p>
    <w:p w:rsidR="00F127CD" w:rsidRPr="00165990" w:rsidRDefault="00F127CD" w:rsidP="00E54582">
      <w:pPr>
        <w:ind w:left="426" w:right="418"/>
        <w:jc w:val="both"/>
        <w:rPr>
          <w:rFonts w:ascii="Arial" w:hAnsi="Arial" w:cs="Arial"/>
          <w:i/>
          <w:spacing w:val="-2"/>
          <w:sz w:val="22"/>
          <w:shd w:val="clear" w:color="auto" w:fill="FFFFFF"/>
          <w:lang w:val="es-CO"/>
        </w:rPr>
      </w:pPr>
      <w:r w:rsidRPr="00165990">
        <w:rPr>
          <w:rFonts w:ascii="Arial" w:hAnsi="Arial" w:cs="Arial"/>
          <w:i/>
          <w:spacing w:val="-2"/>
          <w:sz w:val="22"/>
          <w:shd w:val="clear" w:color="auto" w:fill="FFFFFF"/>
          <w:lang w:val="es-CO"/>
        </w:rPr>
        <w:t xml:space="preserve">La uniformidad de las decisiones adoptadas por los jueces permite, entonces, que los ciudadanos tengan certeza sobre el ejercicio de sus derechos y la efectividad de los mecanismos para su protección, con lo cual se concreta la seguridad jurídica y la igualdad en las actuaciones judiciales. </w:t>
      </w:r>
    </w:p>
    <w:p w:rsidR="00F127CD" w:rsidRPr="00165990" w:rsidRDefault="00F127CD" w:rsidP="00E54582">
      <w:pPr>
        <w:ind w:left="426" w:right="418"/>
        <w:jc w:val="both"/>
        <w:rPr>
          <w:rFonts w:ascii="Arial" w:hAnsi="Arial" w:cs="Arial"/>
          <w:i/>
          <w:spacing w:val="-2"/>
          <w:sz w:val="22"/>
          <w:shd w:val="clear" w:color="auto" w:fill="FFFFFF"/>
          <w:lang w:val="es-CO"/>
        </w:rPr>
      </w:pPr>
    </w:p>
    <w:p w:rsidR="00F127CD" w:rsidRPr="00165990" w:rsidRDefault="00F127CD" w:rsidP="00E54582">
      <w:pPr>
        <w:ind w:left="426" w:right="418"/>
        <w:jc w:val="both"/>
        <w:rPr>
          <w:rFonts w:ascii="Arial" w:hAnsi="Arial" w:cs="Arial"/>
          <w:i/>
          <w:spacing w:val="-2"/>
          <w:sz w:val="22"/>
          <w:shd w:val="clear" w:color="auto" w:fill="FFFFFF"/>
        </w:rPr>
      </w:pPr>
      <w:r w:rsidRPr="00165990">
        <w:rPr>
          <w:rFonts w:ascii="Arial" w:hAnsi="Arial" w:cs="Arial"/>
          <w:i/>
          <w:spacing w:val="-2"/>
          <w:sz w:val="22"/>
          <w:shd w:val="clear" w:color="auto" w:fill="FFFFFF"/>
          <w:lang w:val="es-CO"/>
        </w:rPr>
        <w:t xml:space="preserve">Para ello, la jurisprudencia ha fijado diferentes instrumentos: (i) </w:t>
      </w:r>
      <w:r w:rsidRPr="00165990">
        <w:rPr>
          <w:rFonts w:ascii="Arial" w:hAnsi="Arial" w:cs="Arial"/>
          <w:i/>
          <w:spacing w:val="-2"/>
          <w:sz w:val="22"/>
          <w:shd w:val="clear" w:color="auto" w:fill="FFFFFF"/>
        </w:rPr>
        <w:t xml:space="preserve">la Constitución reconoce que la actividad de los jueces está sometida al imperio de la ley, “lo que </w:t>
      </w:r>
      <w:r w:rsidRPr="00165990">
        <w:rPr>
          <w:rFonts w:ascii="Arial" w:hAnsi="Arial" w:cs="Arial"/>
          <w:i/>
          <w:spacing w:val="-2"/>
          <w:sz w:val="22"/>
          <w:shd w:val="clear" w:color="auto" w:fill="FFFFFF"/>
        </w:rPr>
        <w:lastRenderedPageBreak/>
        <w:t xml:space="preserve">constituye no solo una garantía de autonomía e imparcialidad, sino también de igualdad en tanto el punto de partida y llegada de toda la actuación judicial es la aplicación de la ley”; (ii) la ley establece un conjunto de pautas orientadoras para resolver los diferentes problemas que se suscitan al interpretar y aplicar las normas jurídicas; (iii) la Constitución ha previsto órganos judiciales que tienen entre sus competencias “la unificación de jurisprudencia como forma de precisar con autoridad y vocación de generalidad el significado y alcance de las diferentes áreas del ordenamiento jurídico”; (iv) la jurisprudencia constitucional ha incorporado un grupo de doctrinas que, como la cosa juzgada y el deber de respeto del precedente judicial, “tienen entre sus propósitos garantizar la estabilidad de las decisiones y reglas judiciales fijadas con anterioridad”; y (v) algunos estatutos como el </w:t>
      </w:r>
      <w:proofErr w:type="spellStart"/>
      <w:r w:rsidRPr="00165990">
        <w:rPr>
          <w:rFonts w:ascii="Arial" w:hAnsi="Arial" w:cs="Arial"/>
          <w:i/>
          <w:spacing w:val="-2"/>
          <w:sz w:val="22"/>
          <w:shd w:val="clear" w:color="auto" w:fill="FFFFFF"/>
        </w:rPr>
        <w:t>CPACA</w:t>
      </w:r>
      <w:proofErr w:type="spellEnd"/>
      <w:r w:rsidRPr="00165990">
        <w:rPr>
          <w:rFonts w:ascii="Arial" w:hAnsi="Arial" w:cs="Arial"/>
          <w:i/>
          <w:spacing w:val="-2"/>
          <w:sz w:val="22"/>
          <w:shd w:val="clear" w:color="auto" w:fill="FFFFFF"/>
        </w:rPr>
        <w:t xml:space="preserve"> incorporan normas que tienen por propósito asegurar la eficacia de la jurisprudencia unificada del Consejo de Estado a través, por ejemplo, de su extensión (arts. 10 y 102)</w:t>
      </w:r>
      <w:r w:rsidRPr="00165990">
        <w:rPr>
          <w:rFonts w:ascii="Arial" w:hAnsi="Arial" w:cs="Arial"/>
          <w:i/>
          <w:spacing w:val="-2"/>
          <w:sz w:val="22"/>
          <w:shd w:val="clear" w:color="auto" w:fill="FFFFFF"/>
          <w:vertAlign w:val="superscript"/>
        </w:rPr>
        <w:footnoteReference w:id="14"/>
      </w:r>
      <w:r w:rsidRPr="00165990">
        <w:rPr>
          <w:rFonts w:ascii="Arial" w:hAnsi="Arial" w:cs="Arial"/>
          <w:i/>
          <w:spacing w:val="-2"/>
          <w:sz w:val="22"/>
          <w:shd w:val="clear" w:color="auto" w:fill="FFFFFF"/>
        </w:rPr>
        <w:t>.   </w:t>
      </w:r>
    </w:p>
    <w:p w:rsidR="00F127CD" w:rsidRPr="00165990" w:rsidRDefault="00F127CD" w:rsidP="00E54582">
      <w:pPr>
        <w:tabs>
          <w:tab w:val="left" w:pos="709"/>
        </w:tabs>
        <w:ind w:left="426" w:right="418"/>
        <w:jc w:val="both"/>
        <w:rPr>
          <w:rFonts w:ascii="Arial" w:hAnsi="Arial" w:cs="Arial"/>
          <w:bCs/>
          <w:i/>
          <w:spacing w:val="-2"/>
          <w:sz w:val="22"/>
        </w:rPr>
      </w:pPr>
    </w:p>
    <w:p w:rsidR="00F127CD" w:rsidRPr="00165990" w:rsidRDefault="00F127CD" w:rsidP="00E54582">
      <w:pPr>
        <w:numPr>
          <w:ilvl w:val="1"/>
          <w:numId w:val="10"/>
        </w:numPr>
        <w:ind w:left="426" w:right="418" w:firstLine="0"/>
        <w:contextualSpacing/>
        <w:jc w:val="both"/>
        <w:rPr>
          <w:rFonts w:ascii="Arial" w:hAnsi="Arial" w:cs="Arial"/>
          <w:bCs/>
          <w:i/>
          <w:spacing w:val="-2"/>
          <w:sz w:val="22"/>
        </w:rPr>
      </w:pPr>
      <w:r w:rsidRPr="00165990">
        <w:rPr>
          <w:rFonts w:ascii="Arial" w:hAnsi="Arial" w:cs="Arial"/>
          <w:i/>
          <w:spacing w:val="-2"/>
          <w:sz w:val="22"/>
          <w:lang w:eastAsia="en-US"/>
        </w:rPr>
        <w:t xml:space="preserve">En definitiva, los operadores judiciales están obligados a mantener la misma línea jurisprudencial con el fin de garantizar el derecho a la igualdad en las decisiones judiciales y los principios de seguridad jurídica y confianza legítima de los administrados. Lo anterior, supone la materialización del derecho en cabeza de los ciudadanos </w:t>
      </w:r>
      <w:r w:rsidRPr="00165990">
        <w:rPr>
          <w:rFonts w:ascii="Arial" w:hAnsi="Arial" w:cs="Arial"/>
          <w:i/>
          <w:spacing w:val="-2"/>
          <w:sz w:val="22"/>
          <w:lang w:val="es-CO" w:eastAsia="en-US"/>
        </w:rPr>
        <w:t>de que la interpretación y aplicación del ordenamiento jurídico se realice bajo los parámetros constitucionales de igualdad y respeto del presente judicial. Con ello, se garantiza a su vez la realización de un orden justo y de la efectividad de los derechos y libertades de los ciudadanos</w:t>
      </w:r>
      <w:r w:rsidRPr="00165990">
        <w:rPr>
          <w:rFonts w:ascii="Arial" w:hAnsi="Arial" w:cs="Arial"/>
          <w:bCs/>
          <w:i/>
          <w:spacing w:val="-2"/>
          <w:sz w:val="22"/>
        </w:rPr>
        <w:t xml:space="preserve">. </w:t>
      </w:r>
    </w:p>
    <w:p w:rsidR="00F127CD" w:rsidRPr="00165990" w:rsidRDefault="00F127CD" w:rsidP="00E54582">
      <w:pPr>
        <w:ind w:left="426" w:right="418"/>
        <w:contextualSpacing/>
        <w:jc w:val="both"/>
        <w:rPr>
          <w:rFonts w:ascii="Arial" w:hAnsi="Arial" w:cs="Arial"/>
          <w:bCs/>
          <w:i/>
          <w:spacing w:val="-2"/>
          <w:sz w:val="22"/>
        </w:rPr>
      </w:pPr>
    </w:p>
    <w:p w:rsidR="00F127CD" w:rsidRPr="00165990" w:rsidRDefault="00F127CD" w:rsidP="00E54582">
      <w:pPr>
        <w:ind w:left="426" w:right="418"/>
        <w:contextualSpacing/>
        <w:jc w:val="both"/>
        <w:rPr>
          <w:rFonts w:ascii="Arial" w:hAnsi="Arial" w:cs="Arial"/>
          <w:bCs/>
          <w:spacing w:val="-2"/>
          <w:sz w:val="22"/>
        </w:rPr>
      </w:pPr>
      <w:r w:rsidRPr="00165990">
        <w:rPr>
          <w:rFonts w:ascii="Arial" w:hAnsi="Arial" w:cs="Arial"/>
          <w:bCs/>
          <w:i/>
          <w:spacing w:val="-2"/>
          <w:sz w:val="22"/>
          <w:u w:val="single"/>
        </w:rPr>
        <w:t>Con todo, se establece una regla sobre el valor normativo del precedente de las Altas Cortes, consistente en que si bien son obligatorios para los jueces de instancia y aún para ellos mismos, los precedentes en materia de interpretación de derechos fundamentales emanados de la Corte Constitucional tienen un valor preponderante y deben ser seguidos por los demás tribunales y jueces del país</w:t>
      </w:r>
      <w:r w:rsidRPr="00165990">
        <w:rPr>
          <w:rFonts w:ascii="Arial" w:hAnsi="Arial" w:cs="Arial"/>
          <w:bCs/>
          <w:i/>
          <w:spacing w:val="-2"/>
          <w:sz w:val="22"/>
          <w:u w:val="single"/>
          <w:vertAlign w:val="superscript"/>
        </w:rPr>
        <w:footnoteReference w:id="15"/>
      </w:r>
      <w:r w:rsidRPr="00165990">
        <w:rPr>
          <w:rFonts w:ascii="Arial" w:hAnsi="Arial" w:cs="Arial"/>
          <w:bCs/>
          <w:i/>
          <w:spacing w:val="-2"/>
          <w:sz w:val="22"/>
          <w:u w:val="single"/>
        </w:rPr>
        <w:t>.</w:t>
      </w:r>
      <w:r w:rsidR="00692E72" w:rsidRPr="00165990">
        <w:rPr>
          <w:rFonts w:ascii="Arial" w:hAnsi="Arial" w:cs="Arial"/>
          <w:bCs/>
          <w:spacing w:val="-2"/>
          <w:sz w:val="22"/>
          <w:u w:val="single"/>
        </w:rPr>
        <w:t xml:space="preserve"> </w:t>
      </w:r>
      <w:r w:rsidR="00692E72" w:rsidRPr="00165990">
        <w:rPr>
          <w:rFonts w:ascii="Arial" w:hAnsi="Arial" w:cs="Arial"/>
          <w:bCs/>
          <w:spacing w:val="-2"/>
          <w:sz w:val="22"/>
        </w:rPr>
        <w:t>(Subrayas ex texto</w:t>
      </w:r>
      <w:r w:rsidRPr="00165990">
        <w:rPr>
          <w:rFonts w:ascii="Arial" w:hAnsi="Arial" w:cs="Arial"/>
          <w:bCs/>
          <w:spacing w:val="-2"/>
          <w:sz w:val="22"/>
        </w:rPr>
        <w:t xml:space="preserve">) </w:t>
      </w:r>
    </w:p>
    <w:p w:rsidR="00F127CD" w:rsidRPr="00165990" w:rsidRDefault="00F127CD" w:rsidP="00E54582">
      <w:pPr>
        <w:tabs>
          <w:tab w:val="left" w:pos="426"/>
        </w:tabs>
        <w:spacing w:line="276" w:lineRule="auto"/>
        <w:ind w:right="616"/>
        <w:contextualSpacing/>
        <w:jc w:val="both"/>
        <w:rPr>
          <w:rFonts w:ascii="Arial" w:hAnsi="Arial" w:cs="Arial"/>
          <w:i/>
          <w:spacing w:val="-2"/>
          <w:lang w:val="es-CO" w:eastAsia="en-US"/>
        </w:rPr>
      </w:pPr>
    </w:p>
    <w:p w:rsidR="00F127CD" w:rsidRPr="00165990" w:rsidRDefault="0081038D" w:rsidP="00E54582">
      <w:pPr>
        <w:spacing w:line="276" w:lineRule="auto"/>
        <w:ind w:right="49"/>
        <w:contextualSpacing/>
        <w:jc w:val="both"/>
        <w:rPr>
          <w:rFonts w:ascii="Arial" w:hAnsi="Arial" w:cs="Arial"/>
          <w:spacing w:val="-2"/>
        </w:rPr>
      </w:pPr>
      <w:r w:rsidRPr="00165990">
        <w:rPr>
          <w:rFonts w:ascii="Arial" w:hAnsi="Arial" w:cs="Arial"/>
          <w:spacing w:val="-2"/>
          <w:lang w:val="es-CO" w:eastAsia="en-US"/>
        </w:rPr>
        <w:t xml:space="preserve">6.5 En lo </w:t>
      </w:r>
      <w:r w:rsidR="00F127CD" w:rsidRPr="00165990">
        <w:rPr>
          <w:rFonts w:ascii="Arial" w:hAnsi="Arial" w:cs="Arial"/>
          <w:spacing w:val="-2"/>
          <w:lang w:val="es-CO" w:eastAsia="en-US"/>
        </w:rPr>
        <w:t xml:space="preserve">que atañe a las sub reglas </w:t>
      </w:r>
      <w:r w:rsidR="00F127CD" w:rsidRPr="00165990">
        <w:rPr>
          <w:rFonts w:ascii="Arial" w:hAnsi="Arial" w:cs="Arial"/>
          <w:spacing w:val="-2"/>
        </w:rPr>
        <w:t>derivadas de esa jurisprudencia constitucional en materia de preacue</w:t>
      </w:r>
      <w:r w:rsidR="00692F28" w:rsidRPr="00165990">
        <w:rPr>
          <w:rFonts w:ascii="Arial" w:hAnsi="Arial" w:cs="Arial"/>
          <w:spacing w:val="-2"/>
        </w:rPr>
        <w:t>rdos, en la citada sentencia SU</w:t>
      </w:r>
      <w:r w:rsidR="00F127CD" w:rsidRPr="00165990">
        <w:rPr>
          <w:rFonts w:ascii="Arial" w:hAnsi="Arial" w:cs="Arial"/>
          <w:spacing w:val="-2"/>
        </w:rPr>
        <w:t xml:space="preserve">– 479 de 2019 se dijo lo siguiente en sus apartes pertinentes: </w:t>
      </w:r>
    </w:p>
    <w:p w:rsidR="00F127CD" w:rsidRPr="00165990" w:rsidRDefault="00F127CD" w:rsidP="00E54582">
      <w:pPr>
        <w:shd w:val="clear" w:color="auto" w:fill="FFFFFF"/>
        <w:spacing w:line="276" w:lineRule="auto"/>
        <w:ind w:left="567" w:right="616"/>
        <w:contextualSpacing/>
        <w:mirrorIndents/>
        <w:jc w:val="both"/>
        <w:textAlignment w:val="baseline"/>
        <w:rPr>
          <w:rFonts w:ascii="Arial" w:hAnsi="Arial" w:cs="Arial"/>
          <w:spacing w:val="-2"/>
          <w:lang w:eastAsia="es-CO"/>
        </w:rPr>
      </w:pPr>
    </w:p>
    <w:p w:rsidR="00F127CD" w:rsidRPr="00165990" w:rsidRDefault="00692E72" w:rsidP="00487E90">
      <w:pPr>
        <w:shd w:val="clear" w:color="auto" w:fill="FFFFFF"/>
        <w:tabs>
          <w:tab w:val="left" w:pos="8647"/>
        </w:tabs>
        <w:ind w:left="426" w:right="418"/>
        <w:contextualSpacing/>
        <w:mirrorIndents/>
        <w:jc w:val="both"/>
        <w:textAlignment w:val="baseline"/>
        <w:rPr>
          <w:rFonts w:ascii="Arial" w:hAnsi="Arial" w:cs="Arial"/>
          <w:i/>
          <w:spacing w:val="-2"/>
          <w:sz w:val="22"/>
          <w:lang w:eastAsia="es-CO"/>
        </w:rPr>
      </w:pPr>
      <w:r w:rsidRPr="00165990">
        <w:rPr>
          <w:rFonts w:ascii="Arial" w:hAnsi="Arial" w:cs="Arial"/>
          <w:spacing w:val="-2"/>
          <w:sz w:val="22"/>
          <w:lang w:eastAsia="es-CO"/>
        </w:rPr>
        <w:t>“</w:t>
      </w:r>
      <w:r w:rsidR="00F127CD" w:rsidRPr="00165990">
        <w:rPr>
          <w:rFonts w:ascii="Arial" w:hAnsi="Arial" w:cs="Arial"/>
          <w:spacing w:val="-2"/>
          <w:sz w:val="22"/>
          <w:lang w:eastAsia="es-CO"/>
        </w:rPr>
        <w:t xml:space="preserve">(...) </w:t>
      </w:r>
      <w:r w:rsidR="00F127CD" w:rsidRPr="00165990">
        <w:rPr>
          <w:rFonts w:ascii="Arial" w:hAnsi="Arial" w:cs="Arial"/>
          <w:i/>
          <w:spacing w:val="-2"/>
          <w:sz w:val="22"/>
          <w:lang w:eastAsia="es-CO"/>
        </w:rPr>
        <w:t xml:space="preserve">47. En efecto, las facultades del ente acusador para realizar este tipo de negociaciones no son omnímodas. En respeto de la autonomía del fiscal para adoptar criterios jurídicos en el análisis y direccionamiento del caso (art. 251.3 Constitución Nacional, en adelante </w:t>
      </w:r>
      <w:proofErr w:type="spellStart"/>
      <w:r w:rsidR="00F127CD" w:rsidRPr="00165990">
        <w:rPr>
          <w:rFonts w:ascii="Arial" w:hAnsi="Arial" w:cs="Arial"/>
          <w:i/>
          <w:spacing w:val="-2"/>
          <w:sz w:val="22"/>
          <w:lang w:eastAsia="es-CO"/>
        </w:rPr>
        <w:t>C.N</w:t>
      </w:r>
      <w:proofErr w:type="spellEnd"/>
      <w:r w:rsidR="00F127CD" w:rsidRPr="00165990">
        <w:rPr>
          <w:rFonts w:ascii="Arial" w:hAnsi="Arial" w:cs="Arial"/>
          <w:i/>
          <w:spacing w:val="-2"/>
          <w:sz w:val="22"/>
          <w:lang w:eastAsia="es-CO"/>
        </w:rPr>
        <w:t>.), el legislador y la jurisprudencia han previsto algunos límites que determinan el alcance de su facultad de celebrar preacuerdos; los cuales a su vez constituyen criterios que deben ser valorados y analizados por los jueces de conocimiento al momento de realizar el control sobre los preacuerdos que celebra la FGN. Dentro de los límites que la ley y la jurisprudencia han desarrollado se encuentran:</w:t>
      </w:r>
    </w:p>
    <w:p w:rsidR="00F127CD" w:rsidRPr="00165990" w:rsidRDefault="00F127CD" w:rsidP="00E54582">
      <w:pPr>
        <w:shd w:val="clear" w:color="auto" w:fill="FFFFFF"/>
        <w:tabs>
          <w:tab w:val="left" w:pos="8647"/>
        </w:tabs>
        <w:adjustRightInd w:val="0"/>
        <w:snapToGrid w:val="0"/>
        <w:ind w:left="426" w:right="418"/>
        <w:jc w:val="both"/>
        <w:rPr>
          <w:rFonts w:ascii="Arial" w:hAnsi="Arial" w:cs="Arial"/>
          <w:i/>
          <w:spacing w:val="-2"/>
          <w:sz w:val="22"/>
          <w:lang w:eastAsia="es-CO"/>
        </w:rPr>
      </w:pPr>
    </w:p>
    <w:p w:rsidR="00F127CD" w:rsidRPr="00165990" w:rsidRDefault="00F127CD" w:rsidP="00487E90">
      <w:pPr>
        <w:shd w:val="clear" w:color="auto" w:fill="FFFFFF"/>
        <w:tabs>
          <w:tab w:val="left" w:pos="8647"/>
        </w:tabs>
        <w:adjustRightInd w:val="0"/>
        <w:snapToGrid w:val="0"/>
        <w:ind w:left="360" w:right="418"/>
        <w:jc w:val="both"/>
        <w:rPr>
          <w:rFonts w:ascii="Arial" w:hAnsi="Arial" w:cs="Arial"/>
          <w:i/>
          <w:spacing w:val="-2"/>
          <w:sz w:val="22"/>
          <w:lang w:eastAsia="es-CO"/>
        </w:rPr>
      </w:pPr>
      <w:r w:rsidRPr="00165990">
        <w:rPr>
          <w:rFonts w:ascii="Arial" w:hAnsi="Arial" w:cs="Arial"/>
          <w:i/>
          <w:spacing w:val="-2"/>
          <w:sz w:val="22"/>
          <w:lang w:eastAsia="es-CO"/>
        </w:rPr>
        <w:t>El principio de legalidad y sometimiento al núcleo fáctico de la imputación</w:t>
      </w:r>
    </w:p>
    <w:p w:rsidR="00F127CD" w:rsidRPr="00165990" w:rsidRDefault="00F127CD" w:rsidP="00E54582">
      <w:pPr>
        <w:shd w:val="clear" w:color="auto" w:fill="FFFFFF"/>
        <w:tabs>
          <w:tab w:val="left" w:pos="8647"/>
        </w:tabs>
        <w:adjustRightInd w:val="0"/>
        <w:snapToGrid w:val="0"/>
        <w:ind w:left="426" w:right="418"/>
        <w:jc w:val="both"/>
        <w:rPr>
          <w:rFonts w:ascii="Arial" w:hAnsi="Arial" w:cs="Arial"/>
          <w:i/>
          <w:spacing w:val="-2"/>
          <w:sz w:val="22"/>
          <w:lang w:eastAsia="es-CO"/>
        </w:rPr>
      </w:pPr>
    </w:p>
    <w:p w:rsidR="00F127CD" w:rsidRPr="00165990" w:rsidRDefault="00F127CD" w:rsidP="00E54582">
      <w:pPr>
        <w:shd w:val="clear" w:color="auto" w:fill="FFFFFF"/>
        <w:tabs>
          <w:tab w:val="left" w:pos="8647"/>
        </w:tabs>
        <w:adjustRightInd w:val="0"/>
        <w:snapToGrid w:val="0"/>
        <w:ind w:left="426" w:right="418"/>
        <w:jc w:val="both"/>
        <w:rPr>
          <w:rFonts w:ascii="Arial" w:hAnsi="Arial" w:cs="Arial"/>
          <w:i/>
          <w:spacing w:val="-2"/>
          <w:sz w:val="22"/>
          <w:u w:val="single"/>
          <w:lang w:eastAsia="es-CO"/>
        </w:rPr>
      </w:pPr>
      <w:r w:rsidRPr="00165990">
        <w:rPr>
          <w:rFonts w:ascii="Arial" w:hAnsi="Arial" w:cs="Arial"/>
          <w:i/>
          <w:spacing w:val="-2"/>
          <w:sz w:val="22"/>
          <w:u w:val="single"/>
          <w:lang w:eastAsia="es-CO"/>
        </w:rPr>
        <w:t xml:space="preserve">48. El presupuesto de todo preacuerdo consiste en no soslayar el núcleo fáctico de la imputación que determina una correcta adecuación típica, lo que incluye obviamente todas las circunstancias específicas, de mayor y menor punibilidad, que fundamentan la imputación jurídica. Por esta razón, el juez de conocimiento debe confrontar que la adecuación típica plasmada en el escrito se corresponda jurídicamente con los hechos a partir de los cuales las partes alcanzan su acuerdo. </w:t>
      </w:r>
    </w:p>
    <w:p w:rsidR="00F127CD" w:rsidRPr="00165990" w:rsidRDefault="00F127CD" w:rsidP="00E54582">
      <w:pPr>
        <w:shd w:val="clear" w:color="auto" w:fill="FFFFFF"/>
        <w:tabs>
          <w:tab w:val="left" w:pos="8647"/>
        </w:tabs>
        <w:adjustRightInd w:val="0"/>
        <w:snapToGrid w:val="0"/>
        <w:ind w:left="426" w:right="418"/>
        <w:jc w:val="both"/>
        <w:rPr>
          <w:rFonts w:ascii="Arial" w:hAnsi="Arial" w:cs="Arial"/>
          <w:i/>
          <w:spacing w:val="-2"/>
          <w:sz w:val="22"/>
          <w:u w:val="single"/>
          <w:lang w:eastAsia="es-CO"/>
        </w:rPr>
      </w:pPr>
    </w:p>
    <w:p w:rsidR="00F127CD" w:rsidRPr="00165990" w:rsidRDefault="00F127CD" w:rsidP="00E54582">
      <w:pPr>
        <w:shd w:val="clear" w:color="auto" w:fill="FFFFFF"/>
        <w:tabs>
          <w:tab w:val="left" w:pos="8647"/>
        </w:tabs>
        <w:adjustRightInd w:val="0"/>
        <w:snapToGrid w:val="0"/>
        <w:ind w:left="426" w:right="418"/>
        <w:jc w:val="both"/>
        <w:rPr>
          <w:rFonts w:ascii="Arial" w:hAnsi="Arial" w:cs="Arial"/>
          <w:i/>
          <w:spacing w:val="-2"/>
          <w:sz w:val="22"/>
          <w:u w:val="single"/>
          <w:lang w:eastAsia="es-CO"/>
        </w:rPr>
      </w:pPr>
      <w:r w:rsidRPr="00165990">
        <w:rPr>
          <w:rFonts w:ascii="Arial" w:hAnsi="Arial" w:cs="Arial"/>
          <w:i/>
          <w:spacing w:val="-2"/>
          <w:sz w:val="22"/>
          <w:u w:val="single"/>
          <w:lang w:eastAsia="es-CO"/>
        </w:rPr>
        <w:t>Lo anterior encuentra sustento en la jurisprudencia constitucional</w:t>
      </w:r>
      <w:r w:rsidRPr="00165990">
        <w:rPr>
          <w:rFonts w:ascii="Arial" w:hAnsi="Arial" w:cs="Arial"/>
          <w:i/>
          <w:spacing w:val="-2"/>
          <w:sz w:val="22"/>
          <w:u w:val="single"/>
          <w:vertAlign w:val="superscript"/>
          <w:lang w:eastAsia="es-CO"/>
        </w:rPr>
        <w:footnoteReference w:id="16"/>
      </w:r>
      <w:r w:rsidRPr="00165990">
        <w:rPr>
          <w:rFonts w:ascii="Arial" w:hAnsi="Arial" w:cs="Arial"/>
          <w:i/>
          <w:spacing w:val="-2"/>
          <w:sz w:val="22"/>
          <w:u w:val="single"/>
          <w:lang w:eastAsia="es-CO"/>
        </w:rPr>
        <w:t xml:space="preserve"> y en algunas sentencias de la Sala de Casación Penal</w:t>
      </w:r>
      <w:r w:rsidRPr="00165990">
        <w:rPr>
          <w:rFonts w:ascii="Arial" w:hAnsi="Arial" w:cs="Arial"/>
          <w:i/>
          <w:spacing w:val="-2"/>
          <w:sz w:val="22"/>
          <w:u w:val="single"/>
          <w:vertAlign w:val="superscript"/>
          <w:lang w:eastAsia="es-CO"/>
        </w:rPr>
        <w:footnoteReference w:id="17"/>
      </w:r>
      <w:r w:rsidRPr="00165990">
        <w:rPr>
          <w:rFonts w:ascii="Arial" w:hAnsi="Arial" w:cs="Arial"/>
          <w:i/>
          <w:spacing w:val="-2"/>
          <w:sz w:val="22"/>
          <w:u w:val="single"/>
          <w:lang w:eastAsia="es-CO"/>
        </w:rPr>
        <w:t xml:space="preserve"> y de la Sala Penal</w:t>
      </w:r>
      <w:r w:rsidRPr="00165990">
        <w:rPr>
          <w:rFonts w:ascii="Arial" w:hAnsi="Arial" w:cs="Arial"/>
          <w:i/>
          <w:spacing w:val="-2"/>
          <w:sz w:val="22"/>
          <w:u w:val="single"/>
          <w:vertAlign w:val="superscript"/>
          <w:lang w:eastAsia="es-CO"/>
        </w:rPr>
        <w:footnoteReference w:id="18"/>
      </w:r>
      <w:r w:rsidRPr="00165990">
        <w:rPr>
          <w:rFonts w:ascii="Arial" w:hAnsi="Arial" w:cs="Arial"/>
          <w:i/>
          <w:spacing w:val="-2"/>
          <w:sz w:val="22"/>
          <w:u w:val="single"/>
          <w:lang w:eastAsia="es-CO"/>
        </w:rPr>
        <w:t xml:space="preserve"> de la Corte Suprema </w:t>
      </w:r>
      <w:r w:rsidRPr="00165990">
        <w:rPr>
          <w:rFonts w:ascii="Arial" w:hAnsi="Arial" w:cs="Arial"/>
          <w:i/>
          <w:spacing w:val="-2"/>
          <w:sz w:val="22"/>
          <w:u w:val="single"/>
          <w:lang w:eastAsia="es-CO"/>
        </w:rPr>
        <w:lastRenderedPageBreak/>
        <w:t>de Justicia, en las cuales se ha sostenido que, al celebrar preacuerdos, el fiscal no tiene plena libertad para hacer la adecuación típica de la conducta, pues se encuentra limitado por las circunstancias fácticas y jurídicas que resultan del caso.</w:t>
      </w:r>
    </w:p>
    <w:p w:rsidR="00F127CD" w:rsidRPr="00165990" w:rsidRDefault="00F127CD" w:rsidP="00E54582">
      <w:pPr>
        <w:tabs>
          <w:tab w:val="left" w:pos="8647"/>
        </w:tabs>
        <w:adjustRightInd w:val="0"/>
        <w:snapToGrid w:val="0"/>
        <w:ind w:left="426" w:right="418"/>
        <w:rPr>
          <w:rFonts w:ascii="Arial" w:hAnsi="Arial" w:cs="Arial"/>
          <w:i/>
          <w:spacing w:val="-2"/>
          <w:sz w:val="22"/>
          <w:u w:val="single"/>
        </w:rPr>
      </w:pPr>
    </w:p>
    <w:p w:rsidR="00F127CD" w:rsidRPr="00165990" w:rsidRDefault="00F127CD" w:rsidP="00487E90">
      <w:pPr>
        <w:keepNext/>
        <w:keepLines/>
        <w:tabs>
          <w:tab w:val="left" w:pos="8647"/>
        </w:tabs>
        <w:ind w:left="426" w:right="418"/>
        <w:outlineLvl w:val="1"/>
        <w:rPr>
          <w:rFonts w:ascii="Arial" w:hAnsi="Arial" w:cs="Arial"/>
          <w:i/>
          <w:spacing w:val="-2"/>
          <w:sz w:val="22"/>
        </w:rPr>
      </w:pPr>
      <w:bookmarkStart w:id="0" w:name="_Toc18333535"/>
      <w:bookmarkStart w:id="1" w:name="_Toc23276443"/>
      <w:r w:rsidRPr="00165990">
        <w:rPr>
          <w:rFonts w:ascii="Arial" w:eastAsiaTheme="majorEastAsia" w:hAnsi="Arial" w:cs="Arial"/>
          <w:i/>
          <w:spacing w:val="-2"/>
          <w:sz w:val="22"/>
          <w:lang w:eastAsia="es-CO"/>
        </w:rPr>
        <w:t xml:space="preserve">Reglas jurisprudenciales sobre el alcance y límites de las facultades de la Fiscalía </w:t>
      </w:r>
      <w:bookmarkEnd w:id="0"/>
      <w:bookmarkEnd w:id="1"/>
      <w:r w:rsidR="00487E90" w:rsidRPr="00165990">
        <w:rPr>
          <w:rFonts w:ascii="Arial" w:eastAsiaTheme="majorEastAsia" w:hAnsi="Arial" w:cs="Arial"/>
          <w:i/>
          <w:spacing w:val="-2"/>
          <w:sz w:val="22"/>
          <w:lang w:eastAsia="es-CO"/>
        </w:rPr>
        <w:t xml:space="preserve"> </w:t>
      </w:r>
      <w:r w:rsidRPr="00165990">
        <w:rPr>
          <w:rFonts w:ascii="Arial" w:hAnsi="Arial" w:cs="Arial"/>
          <w:i/>
          <w:spacing w:val="-2"/>
          <w:sz w:val="22"/>
        </w:rPr>
        <w:t>(</w:t>
      </w:r>
      <w:r w:rsidR="00487E90" w:rsidRPr="00165990">
        <w:rPr>
          <w:rFonts w:ascii="Arial" w:hAnsi="Arial" w:cs="Arial"/>
          <w:i/>
          <w:spacing w:val="-2"/>
          <w:sz w:val="22"/>
        </w:rPr>
        <w:t>…</w:t>
      </w:r>
      <w:r w:rsidRPr="00165990">
        <w:rPr>
          <w:rFonts w:ascii="Arial" w:hAnsi="Arial" w:cs="Arial"/>
          <w:i/>
          <w:spacing w:val="-2"/>
          <w:sz w:val="22"/>
        </w:rPr>
        <w:t>)</w:t>
      </w:r>
    </w:p>
    <w:p w:rsidR="00F127CD" w:rsidRPr="00165990" w:rsidRDefault="00F127CD" w:rsidP="00E54582">
      <w:pPr>
        <w:tabs>
          <w:tab w:val="left" w:pos="8647"/>
        </w:tabs>
        <w:ind w:left="426" w:right="418"/>
        <w:jc w:val="both"/>
        <w:rPr>
          <w:rFonts w:ascii="Arial" w:hAnsi="Arial" w:cs="Arial"/>
          <w:i/>
          <w:spacing w:val="-2"/>
          <w:sz w:val="22"/>
        </w:rPr>
      </w:pPr>
    </w:p>
    <w:p w:rsidR="00F127CD" w:rsidRPr="00165990" w:rsidRDefault="00F127CD" w:rsidP="00E54582">
      <w:pPr>
        <w:tabs>
          <w:tab w:val="left" w:pos="8647"/>
        </w:tabs>
        <w:ind w:left="426" w:right="418"/>
        <w:jc w:val="both"/>
        <w:rPr>
          <w:rFonts w:ascii="Arial" w:hAnsi="Arial" w:cs="Arial"/>
          <w:i/>
          <w:spacing w:val="-2"/>
          <w:sz w:val="22"/>
        </w:rPr>
      </w:pPr>
      <w:r w:rsidRPr="00165990">
        <w:rPr>
          <w:rFonts w:ascii="Arial" w:hAnsi="Arial" w:cs="Arial"/>
          <w:i/>
          <w:spacing w:val="-2"/>
          <w:sz w:val="22"/>
        </w:rPr>
        <w:t>66.</w:t>
      </w:r>
      <w:r w:rsidR="00487E90" w:rsidRPr="00165990">
        <w:rPr>
          <w:rFonts w:ascii="Arial" w:hAnsi="Arial" w:cs="Arial"/>
          <w:i/>
          <w:spacing w:val="-2"/>
          <w:sz w:val="22"/>
        </w:rPr>
        <w:t xml:space="preserve"> </w:t>
      </w:r>
      <w:r w:rsidRPr="00165990">
        <w:rPr>
          <w:rFonts w:ascii="Arial" w:hAnsi="Arial" w:cs="Arial"/>
          <w:i/>
          <w:spacing w:val="-2"/>
          <w:sz w:val="22"/>
        </w:rPr>
        <w:t>(...) El debate acerca de los límites a los que se someten los preacuerdos ha sido tan profuso que ha ido más allá del proceso penal mismo, y ha trascendido hasta la tutela de los derechos fundamentales amenazados o vulnerados con estos mecanismos de justicia negociada. No obstante, la jurisprudencia de tutela de la CSJ tampoco ha sido uniforme. En algunas ocasiones ha protegido los derechos al debido proceso y de acceso a la administración de justicia en casos donde los jueces penales han improbado preacuerdos celebrados por la Fiscalía con los acusado, y han señalado que “el juez no tiene competencia para cuestionar la imputación efectuada por el fiscal, como que ese acto es propio del titular de la acción penal”</w:t>
      </w:r>
      <w:r w:rsidRPr="00165990">
        <w:rPr>
          <w:rFonts w:ascii="Arial" w:hAnsi="Arial" w:cs="Arial"/>
          <w:i/>
          <w:spacing w:val="-2"/>
          <w:sz w:val="22"/>
          <w:vertAlign w:val="superscript"/>
        </w:rPr>
        <w:footnoteReference w:id="19"/>
      </w:r>
      <w:r w:rsidRPr="00165990">
        <w:rPr>
          <w:rFonts w:ascii="Arial" w:hAnsi="Arial" w:cs="Arial"/>
          <w:i/>
          <w:spacing w:val="-2"/>
          <w:sz w:val="22"/>
        </w:rPr>
        <w:t>. No obstante, en muchos otros ha negado el amparo al reconocer que el control que el juez penal realiza de los preacuerdos que se le presentan no puede ser meramente formal. En suma, en sede de tutela esta postura tampoco ha sido pacífica en la CSJ pues las diferentes Salas de Decisión de Tutelas de la Sala de Casación Penal no han dado respuestas uniformes al estudiar casos similares</w:t>
      </w:r>
      <w:r w:rsidRPr="00165990">
        <w:rPr>
          <w:rFonts w:ascii="Arial" w:hAnsi="Arial" w:cs="Arial"/>
          <w:i/>
          <w:spacing w:val="-2"/>
          <w:sz w:val="22"/>
          <w:vertAlign w:val="superscript"/>
        </w:rPr>
        <w:footnoteReference w:id="20"/>
      </w:r>
      <w:r w:rsidRPr="00165990">
        <w:rPr>
          <w:rFonts w:ascii="Arial" w:hAnsi="Arial" w:cs="Arial"/>
          <w:i/>
          <w:spacing w:val="-2"/>
          <w:sz w:val="22"/>
        </w:rPr>
        <w:t xml:space="preserve">. </w:t>
      </w:r>
    </w:p>
    <w:p w:rsidR="00F127CD" w:rsidRPr="00165990" w:rsidRDefault="00F127CD" w:rsidP="00E54582">
      <w:pPr>
        <w:tabs>
          <w:tab w:val="left" w:pos="8647"/>
        </w:tabs>
        <w:ind w:left="426" w:right="418"/>
        <w:jc w:val="both"/>
        <w:rPr>
          <w:rFonts w:ascii="Arial" w:hAnsi="Arial" w:cs="Arial"/>
          <w:i/>
          <w:spacing w:val="-2"/>
          <w:sz w:val="22"/>
        </w:rPr>
      </w:pPr>
    </w:p>
    <w:p w:rsidR="00F127CD" w:rsidRPr="00165990" w:rsidRDefault="00F127CD" w:rsidP="00E54582">
      <w:pPr>
        <w:tabs>
          <w:tab w:val="left" w:pos="8647"/>
        </w:tabs>
        <w:ind w:left="426" w:right="418"/>
        <w:jc w:val="both"/>
        <w:rPr>
          <w:rFonts w:ascii="Arial" w:hAnsi="Arial" w:cs="Arial"/>
          <w:i/>
          <w:spacing w:val="-2"/>
          <w:sz w:val="22"/>
        </w:rPr>
      </w:pPr>
      <w:r w:rsidRPr="00165990">
        <w:rPr>
          <w:rFonts w:ascii="Arial" w:hAnsi="Arial" w:cs="Arial"/>
          <w:i/>
          <w:spacing w:val="-2"/>
          <w:sz w:val="22"/>
        </w:rPr>
        <w:t>De este modo, la Sala advirtió que esta segunda postura también ha encontrado un fuerte respaldo en diversas decisiones de tutela que han evidenciado que celebración de algunos preacuerdos desconoce principios, garantías o derechos fundamentales. Por ejemplo, este supuesto se presentó en la Sentencia del 6 de junio de 2018</w:t>
      </w:r>
      <w:r w:rsidRPr="00165990">
        <w:rPr>
          <w:rFonts w:ascii="Arial" w:hAnsi="Arial" w:cs="Arial"/>
          <w:i/>
          <w:spacing w:val="-2"/>
          <w:sz w:val="22"/>
          <w:vertAlign w:val="superscript"/>
        </w:rPr>
        <w:footnoteReference w:id="21"/>
      </w:r>
      <w:r w:rsidRPr="00165990">
        <w:rPr>
          <w:rFonts w:ascii="Arial" w:hAnsi="Arial" w:cs="Arial"/>
          <w:i/>
          <w:spacing w:val="-2"/>
          <w:sz w:val="22"/>
        </w:rPr>
        <w:t xml:space="preserve"> de la Sala Civil de la Corte Suprema de Justicia, en la cual  conoció de un caso en el que la Fiscalía, tras haber imputado el delito de homicidio agravado, </w:t>
      </w:r>
      <w:proofErr w:type="spellStart"/>
      <w:r w:rsidRPr="00165990">
        <w:rPr>
          <w:rFonts w:ascii="Arial" w:hAnsi="Arial" w:cs="Arial"/>
          <w:i/>
          <w:spacing w:val="-2"/>
          <w:sz w:val="22"/>
        </w:rPr>
        <w:t>preacordó</w:t>
      </w:r>
      <w:proofErr w:type="spellEnd"/>
      <w:r w:rsidRPr="00165990">
        <w:rPr>
          <w:rFonts w:ascii="Arial" w:hAnsi="Arial" w:cs="Arial"/>
          <w:i/>
          <w:spacing w:val="-2"/>
          <w:sz w:val="22"/>
        </w:rPr>
        <w:t xml:space="preserve"> el reconocimiento de las circunstancias de marginalidad del artículo 56 del Código Penal y la concesión de prisión domiciliaria. </w:t>
      </w:r>
    </w:p>
    <w:p w:rsidR="00F127CD" w:rsidRPr="00165990" w:rsidRDefault="00F127CD" w:rsidP="00E54582">
      <w:pPr>
        <w:tabs>
          <w:tab w:val="left" w:pos="8647"/>
        </w:tabs>
        <w:ind w:left="426" w:right="418"/>
        <w:jc w:val="both"/>
        <w:rPr>
          <w:rFonts w:ascii="Arial" w:hAnsi="Arial" w:cs="Arial"/>
          <w:i/>
          <w:spacing w:val="-2"/>
          <w:sz w:val="22"/>
        </w:rPr>
      </w:pPr>
    </w:p>
    <w:p w:rsidR="00F127CD" w:rsidRPr="00165990" w:rsidRDefault="00F127CD" w:rsidP="00E54582">
      <w:pPr>
        <w:tabs>
          <w:tab w:val="left" w:pos="8647"/>
        </w:tabs>
        <w:ind w:left="426" w:right="418"/>
        <w:jc w:val="both"/>
        <w:rPr>
          <w:rFonts w:ascii="Arial" w:hAnsi="Arial" w:cs="Arial"/>
          <w:i/>
          <w:spacing w:val="-2"/>
          <w:sz w:val="22"/>
        </w:rPr>
      </w:pPr>
      <w:r w:rsidRPr="00165990">
        <w:rPr>
          <w:rFonts w:ascii="Arial" w:hAnsi="Arial" w:cs="Arial"/>
          <w:i/>
          <w:spacing w:val="-2"/>
          <w:sz w:val="22"/>
        </w:rPr>
        <w:t>También se dio en la Sentencia del 16 de julio de 2019</w:t>
      </w:r>
      <w:r w:rsidRPr="00165990">
        <w:rPr>
          <w:rFonts w:ascii="Arial" w:hAnsi="Arial" w:cs="Arial"/>
          <w:i/>
          <w:spacing w:val="-2"/>
          <w:sz w:val="22"/>
          <w:vertAlign w:val="superscript"/>
        </w:rPr>
        <w:footnoteReference w:id="22"/>
      </w:r>
      <w:r w:rsidRPr="00165990">
        <w:rPr>
          <w:rFonts w:ascii="Arial" w:hAnsi="Arial" w:cs="Arial"/>
          <w:i/>
          <w:spacing w:val="-2"/>
          <w:sz w:val="22"/>
        </w:rPr>
        <w:t xml:space="preserve"> de la misma Sala, en la cual en la cual la Fiscalía, tras haber imputado un delito de homicidio con dolo eventual de un menor de edad, </w:t>
      </w:r>
      <w:proofErr w:type="spellStart"/>
      <w:r w:rsidRPr="00165990">
        <w:rPr>
          <w:rFonts w:ascii="Arial" w:hAnsi="Arial" w:cs="Arial"/>
          <w:i/>
          <w:spacing w:val="-2"/>
          <w:sz w:val="22"/>
        </w:rPr>
        <w:t>preacordó</w:t>
      </w:r>
      <w:proofErr w:type="spellEnd"/>
      <w:r w:rsidRPr="00165990">
        <w:rPr>
          <w:rFonts w:ascii="Arial" w:hAnsi="Arial" w:cs="Arial"/>
          <w:i/>
          <w:spacing w:val="-2"/>
          <w:sz w:val="22"/>
        </w:rPr>
        <w:t xml:space="preserve"> un homicidio culposo agravado. En este mismo sentido, la Corte Suprema de Justicia ha incluso condenado por el delito de prevaricato por acción a los fiscales que han promovido preacuerdos manifiestamente ilegales. Tal es el caso de la Sentencia del 25 de noviembre de 2015</w:t>
      </w:r>
      <w:r w:rsidRPr="00165990">
        <w:rPr>
          <w:rFonts w:ascii="Arial" w:hAnsi="Arial" w:cs="Arial"/>
          <w:i/>
          <w:spacing w:val="-2"/>
          <w:sz w:val="22"/>
          <w:vertAlign w:val="superscript"/>
        </w:rPr>
        <w:footnoteReference w:id="23"/>
      </w:r>
      <w:r w:rsidRPr="00165990">
        <w:rPr>
          <w:rFonts w:ascii="Arial" w:hAnsi="Arial" w:cs="Arial"/>
          <w:i/>
          <w:spacing w:val="-2"/>
          <w:sz w:val="22"/>
        </w:rPr>
        <w:t xml:space="preserve"> de la Sala Penal de la CSJ, la cual sostuvo que los fiscales no pueden disponer de la acción penal a su antojo y que los preacuerdos son una institución que opera en el contexto de un Estado Social de Derecho, lo que implica que están sometidos al principio de legalidad. </w:t>
      </w:r>
    </w:p>
    <w:p w:rsidR="00F127CD" w:rsidRPr="00165990" w:rsidRDefault="00F127CD" w:rsidP="00E54582">
      <w:pPr>
        <w:shd w:val="clear" w:color="auto" w:fill="FFFFFF"/>
        <w:tabs>
          <w:tab w:val="left" w:pos="8647"/>
        </w:tabs>
        <w:adjustRightInd w:val="0"/>
        <w:snapToGrid w:val="0"/>
        <w:ind w:left="426" w:right="418"/>
        <w:jc w:val="both"/>
        <w:textAlignment w:val="baseline"/>
        <w:rPr>
          <w:rFonts w:ascii="Arial" w:hAnsi="Arial" w:cs="Arial"/>
          <w:i/>
          <w:spacing w:val="-2"/>
          <w:sz w:val="22"/>
        </w:rPr>
      </w:pPr>
    </w:p>
    <w:p w:rsidR="00F127CD" w:rsidRPr="00165990" w:rsidRDefault="00F127CD" w:rsidP="00E54582">
      <w:pPr>
        <w:shd w:val="clear" w:color="auto" w:fill="FFFFFF"/>
        <w:tabs>
          <w:tab w:val="left" w:pos="8647"/>
        </w:tabs>
        <w:adjustRightInd w:val="0"/>
        <w:snapToGrid w:val="0"/>
        <w:ind w:left="426" w:right="418"/>
        <w:jc w:val="both"/>
        <w:textAlignment w:val="baseline"/>
        <w:rPr>
          <w:rFonts w:ascii="Arial" w:hAnsi="Arial" w:cs="Arial"/>
          <w:i/>
          <w:spacing w:val="-2"/>
          <w:sz w:val="22"/>
          <w:u w:val="single"/>
        </w:rPr>
      </w:pPr>
      <w:r w:rsidRPr="00165990">
        <w:rPr>
          <w:rFonts w:ascii="Arial" w:hAnsi="Arial" w:cs="Arial"/>
          <w:i/>
          <w:spacing w:val="-2"/>
          <w:sz w:val="22"/>
          <w:u w:val="single"/>
        </w:rPr>
        <w:t xml:space="preserve">67. Esta segunda postura también ha encontrado un fuerte respaldo en la doctrina nacional  que ha observado que todo preacuerdo debe basarse en el </w:t>
      </w:r>
      <w:proofErr w:type="spellStart"/>
      <w:r w:rsidRPr="00165990">
        <w:rPr>
          <w:rFonts w:ascii="Arial" w:hAnsi="Arial" w:cs="Arial"/>
          <w:i/>
          <w:spacing w:val="-2"/>
          <w:sz w:val="22"/>
          <w:u w:val="single"/>
        </w:rPr>
        <w:t>factum</w:t>
      </w:r>
      <w:proofErr w:type="spellEnd"/>
      <w:r w:rsidRPr="00165990">
        <w:rPr>
          <w:rFonts w:ascii="Arial" w:hAnsi="Arial" w:cs="Arial"/>
          <w:i/>
          <w:spacing w:val="-2"/>
          <w:sz w:val="22"/>
          <w:u w:val="single"/>
        </w:rPr>
        <w:t xml:space="preserve"> señalado en la imputación, de modo que lo que es objeto de preacuerdo no son los hechos, sino su valoración jurídica o tipificación. </w:t>
      </w:r>
    </w:p>
    <w:p w:rsidR="00487E90" w:rsidRPr="00165990" w:rsidRDefault="00487E90" w:rsidP="00E54582">
      <w:pPr>
        <w:shd w:val="clear" w:color="auto" w:fill="FFFFFF"/>
        <w:tabs>
          <w:tab w:val="left" w:pos="8647"/>
        </w:tabs>
        <w:adjustRightInd w:val="0"/>
        <w:snapToGrid w:val="0"/>
        <w:ind w:left="426" w:right="418"/>
        <w:jc w:val="both"/>
        <w:textAlignment w:val="baseline"/>
        <w:rPr>
          <w:rFonts w:ascii="Arial" w:hAnsi="Arial" w:cs="Arial"/>
          <w:i/>
          <w:spacing w:val="-2"/>
          <w:sz w:val="22"/>
          <w:u w:val="single"/>
        </w:rPr>
      </w:pPr>
    </w:p>
    <w:p w:rsidR="00F127CD" w:rsidRPr="00165990" w:rsidRDefault="00F127CD" w:rsidP="00E54582">
      <w:pPr>
        <w:shd w:val="clear" w:color="auto" w:fill="FFFFFF"/>
        <w:tabs>
          <w:tab w:val="left" w:pos="8647"/>
        </w:tabs>
        <w:adjustRightInd w:val="0"/>
        <w:snapToGrid w:val="0"/>
        <w:ind w:left="426" w:right="418"/>
        <w:jc w:val="both"/>
        <w:textAlignment w:val="baseline"/>
        <w:rPr>
          <w:rFonts w:ascii="Arial" w:hAnsi="Arial" w:cs="Arial"/>
          <w:i/>
          <w:spacing w:val="-2"/>
          <w:sz w:val="22"/>
        </w:rPr>
      </w:pPr>
      <w:r w:rsidRPr="00165990">
        <w:rPr>
          <w:rFonts w:ascii="Arial" w:hAnsi="Arial" w:cs="Arial"/>
          <w:i/>
          <w:spacing w:val="-2"/>
          <w:sz w:val="22"/>
        </w:rPr>
        <w:lastRenderedPageBreak/>
        <w:t>En este sentido, la Universidad Externado de Colombia</w:t>
      </w:r>
      <w:r w:rsidRPr="00165990">
        <w:rPr>
          <w:rFonts w:ascii="Arial" w:hAnsi="Arial" w:cs="Arial"/>
          <w:i/>
          <w:spacing w:val="-2"/>
          <w:sz w:val="22"/>
          <w:vertAlign w:val="superscript"/>
        </w:rPr>
        <w:footnoteReference w:id="24"/>
      </w:r>
      <w:r w:rsidRPr="00165990">
        <w:rPr>
          <w:rFonts w:ascii="Arial" w:hAnsi="Arial" w:cs="Arial"/>
          <w:i/>
          <w:spacing w:val="-2"/>
          <w:sz w:val="22"/>
        </w:rPr>
        <w:t xml:space="preserve"> señaló en su intervención que algunos doctrinantes han establecido que la eliminación de cargos y la </w:t>
      </w:r>
      <w:proofErr w:type="spellStart"/>
      <w:r w:rsidRPr="00165990">
        <w:rPr>
          <w:rFonts w:ascii="Arial" w:hAnsi="Arial" w:cs="Arial"/>
          <w:i/>
          <w:spacing w:val="-2"/>
          <w:sz w:val="22"/>
        </w:rPr>
        <w:t>tipificacion</w:t>
      </w:r>
      <w:proofErr w:type="spellEnd"/>
      <w:r w:rsidRPr="00165990">
        <w:rPr>
          <w:rFonts w:ascii="Arial" w:hAnsi="Arial" w:cs="Arial"/>
          <w:i/>
          <w:spacing w:val="-2"/>
          <w:sz w:val="22"/>
        </w:rPr>
        <w:t xml:space="preserve"> concertada producto de un preacuerdo está limitada al mantenimiento del </w:t>
      </w:r>
      <w:proofErr w:type="spellStart"/>
      <w:r w:rsidRPr="00165990">
        <w:rPr>
          <w:rFonts w:ascii="Arial" w:hAnsi="Arial" w:cs="Arial"/>
          <w:i/>
          <w:spacing w:val="-2"/>
          <w:sz w:val="22"/>
        </w:rPr>
        <w:t>factum</w:t>
      </w:r>
      <w:proofErr w:type="spellEnd"/>
      <w:r w:rsidRPr="00165990">
        <w:rPr>
          <w:rFonts w:ascii="Arial" w:hAnsi="Arial" w:cs="Arial"/>
          <w:i/>
          <w:spacing w:val="-2"/>
          <w:sz w:val="22"/>
        </w:rPr>
        <w:t xml:space="preserve"> primigenio objeto de la imputación. Es decir, la calificación jurídica </w:t>
      </w:r>
      <w:proofErr w:type="spellStart"/>
      <w:r w:rsidRPr="00165990">
        <w:rPr>
          <w:rFonts w:ascii="Arial" w:hAnsi="Arial" w:cs="Arial"/>
          <w:i/>
          <w:spacing w:val="-2"/>
          <w:sz w:val="22"/>
        </w:rPr>
        <w:t>preacordada</w:t>
      </w:r>
      <w:proofErr w:type="spellEnd"/>
      <w:r w:rsidRPr="00165990">
        <w:rPr>
          <w:rFonts w:ascii="Arial" w:hAnsi="Arial" w:cs="Arial"/>
          <w:i/>
          <w:spacing w:val="-2"/>
          <w:sz w:val="22"/>
        </w:rPr>
        <w:t xml:space="preserve"> no puede desbordar el marco fáctico señalado en la imputación</w:t>
      </w:r>
      <w:r w:rsidRPr="00165990">
        <w:rPr>
          <w:rFonts w:ascii="Arial" w:hAnsi="Arial" w:cs="Arial"/>
          <w:i/>
          <w:spacing w:val="-2"/>
          <w:sz w:val="22"/>
          <w:vertAlign w:val="superscript"/>
        </w:rPr>
        <w:footnoteReference w:id="25"/>
      </w:r>
      <w:r w:rsidRPr="00165990">
        <w:rPr>
          <w:rFonts w:ascii="Arial" w:hAnsi="Arial" w:cs="Arial"/>
          <w:i/>
          <w:spacing w:val="-2"/>
          <w:sz w:val="22"/>
        </w:rPr>
        <w:t xml:space="preserve">. Por eso, condicionan la validez de un preacuerdo a que la tipificación concertada se muestre razonable a partir del relato de los hechos: </w:t>
      </w:r>
    </w:p>
    <w:p w:rsidR="00F127CD" w:rsidRPr="00165990" w:rsidRDefault="00F127CD" w:rsidP="00E54582">
      <w:pPr>
        <w:shd w:val="clear" w:color="auto" w:fill="FFFFFF"/>
        <w:tabs>
          <w:tab w:val="left" w:pos="8647"/>
        </w:tabs>
        <w:adjustRightInd w:val="0"/>
        <w:snapToGrid w:val="0"/>
        <w:ind w:left="426" w:right="418"/>
        <w:jc w:val="both"/>
        <w:textAlignment w:val="baseline"/>
        <w:rPr>
          <w:rFonts w:ascii="Arial" w:hAnsi="Arial" w:cs="Arial"/>
          <w:i/>
          <w:spacing w:val="-2"/>
          <w:sz w:val="22"/>
        </w:rPr>
      </w:pPr>
    </w:p>
    <w:p w:rsidR="00F127CD" w:rsidRPr="00165990" w:rsidRDefault="00F127CD" w:rsidP="00E54582">
      <w:pPr>
        <w:shd w:val="clear" w:color="auto" w:fill="FFFFFF"/>
        <w:tabs>
          <w:tab w:val="left" w:pos="8647"/>
        </w:tabs>
        <w:adjustRightInd w:val="0"/>
        <w:snapToGrid w:val="0"/>
        <w:ind w:left="426" w:right="418"/>
        <w:jc w:val="both"/>
        <w:textAlignment w:val="baseline"/>
        <w:rPr>
          <w:rFonts w:ascii="Arial" w:hAnsi="Arial" w:cs="Arial"/>
          <w:i/>
          <w:spacing w:val="-2"/>
          <w:sz w:val="22"/>
        </w:rPr>
      </w:pPr>
      <w:r w:rsidRPr="00165990">
        <w:rPr>
          <w:rFonts w:ascii="Arial" w:hAnsi="Arial" w:cs="Arial"/>
          <w:i/>
          <w:spacing w:val="-2"/>
          <w:sz w:val="22"/>
        </w:rPr>
        <w:t xml:space="preserve">“Si se sostiene la tesis del mantenimiento del </w:t>
      </w:r>
      <w:proofErr w:type="spellStart"/>
      <w:r w:rsidRPr="00165990">
        <w:rPr>
          <w:rFonts w:ascii="Arial" w:hAnsi="Arial" w:cs="Arial"/>
          <w:i/>
          <w:spacing w:val="-2"/>
          <w:sz w:val="22"/>
        </w:rPr>
        <w:t>factum</w:t>
      </w:r>
      <w:proofErr w:type="spellEnd"/>
      <w:r w:rsidRPr="00165990">
        <w:rPr>
          <w:rFonts w:ascii="Arial" w:hAnsi="Arial" w:cs="Arial"/>
          <w:i/>
          <w:spacing w:val="-2"/>
          <w:sz w:val="22"/>
        </w:rPr>
        <w:t xml:space="preserve"> primigenio que fundamenta la negociación, debe entenderse que el fiscal puede conceder la supresión de agravantes teniendo en cuenta las circunstancias de comisión de la conducta y lo que hasta ese momento se ha probado”</w:t>
      </w:r>
      <w:r w:rsidRPr="00165990">
        <w:rPr>
          <w:rFonts w:ascii="Arial" w:hAnsi="Arial" w:cs="Arial"/>
          <w:i/>
          <w:spacing w:val="-2"/>
          <w:sz w:val="22"/>
          <w:vertAlign w:val="superscript"/>
        </w:rPr>
        <w:footnoteReference w:id="26"/>
      </w:r>
      <w:r w:rsidRPr="00165990">
        <w:rPr>
          <w:rFonts w:ascii="Arial" w:hAnsi="Arial" w:cs="Arial"/>
          <w:i/>
          <w:spacing w:val="-2"/>
          <w:sz w:val="22"/>
        </w:rPr>
        <w:t>.</w:t>
      </w:r>
    </w:p>
    <w:p w:rsidR="00F127CD" w:rsidRPr="00165990" w:rsidRDefault="00F127CD" w:rsidP="00E54582">
      <w:pPr>
        <w:shd w:val="clear" w:color="auto" w:fill="FFFFFF"/>
        <w:tabs>
          <w:tab w:val="left" w:pos="8647"/>
        </w:tabs>
        <w:adjustRightInd w:val="0"/>
        <w:snapToGrid w:val="0"/>
        <w:ind w:left="426" w:right="418"/>
        <w:jc w:val="both"/>
        <w:textAlignment w:val="baseline"/>
        <w:rPr>
          <w:rFonts w:ascii="Arial" w:hAnsi="Arial" w:cs="Arial"/>
          <w:i/>
          <w:spacing w:val="-2"/>
          <w:sz w:val="22"/>
        </w:rPr>
      </w:pPr>
    </w:p>
    <w:p w:rsidR="00F127CD" w:rsidRPr="00165990" w:rsidRDefault="00F127CD" w:rsidP="00E54582">
      <w:pPr>
        <w:shd w:val="clear" w:color="auto" w:fill="FFFFFF"/>
        <w:tabs>
          <w:tab w:val="left" w:pos="8647"/>
        </w:tabs>
        <w:adjustRightInd w:val="0"/>
        <w:snapToGrid w:val="0"/>
        <w:ind w:left="426" w:right="418"/>
        <w:jc w:val="both"/>
        <w:textAlignment w:val="baseline"/>
        <w:rPr>
          <w:rFonts w:ascii="Arial" w:hAnsi="Arial" w:cs="Arial"/>
          <w:i/>
          <w:spacing w:val="-2"/>
          <w:sz w:val="22"/>
        </w:rPr>
      </w:pPr>
      <w:r w:rsidRPr="00165990">
        <w:rPr>
          <w:rFonts w:ascii="Arial" w:hAnsi="Arial" w:cs="Arial"/>
          <w:i/>
          <w:spacing w:val="-2"/>
          <w:sz w:val="22"/>
        </w:rPr>
        <w:t xml:space="preserve">“(…) el </w:t>
      </w:r>
      <w:proofErr w:type="spellStart"/>
      <w:r w:rsidRPr="00165990">
        <w:rPr>
          <w:rFonts w:ascii="Arial" w:hAnsi="Arial" w:cs="Arial"/>
          <w:i/>
          <w:spacing w:val="-2"/>
          <w:sz w:val="22"/>
        </w:rPr>
        <w:t>factum</w:t>
      </w:r>
      <w:proofErr w:type="spellEnd"/>
      <w:r w:rsidRPr="00165990">
        <w:rPr>
          <w:rFonts w:ascii="Arial" w:hAnsi="Arial" w:cs="Arial"/>
          <w:i/>
          <w:spacing w:val="-2"/>
          <w:sz w:val="22"/>
        </w:rPr>
        <w:t xml:space="preserve"> de la acusación primaria no es alterable por cuenta del fiscal, lo que si puede ser materia de acusación en este contexto es la calificación legal que pueda dársele y que resulte en un delito menos grave, tentado o en grado de participación diversa, siempre en favor del sometido”</w:t>
      </w:r>
      <w:r w:rsidRPr="00165990">
        <w:rPr>
          <w:rFonts w:ascii="Arial" w:hAnsi="Arial" w:cs="Arial"/>
          <w:i/>
          <w:spacing w:val="-2"/>
          <w:sz w:val="22"/>
          <w:vertAlign w:val="superscript"/>
        </w:rPr>
        <w:footnoteReference w:id="27"/>
      </w:r>
      <w:r w:rsidRPr="00165990">
        <w:rPr>
          <w:rFonts w:ascii="Arial" w:hAnsi="Arial" w:cs="Arial"/>
          <w:i/>
          <w:spacing w:val="-2"/>
          <w:sz w:val="22"/>
        </w:rPr>
        <w:t xml:space="preserve">. </w:t>
      </w:r>
    </w:p>
    <w:p w:rsidR="00F127CD" w:rsidRPr="00165990" w:rsidRDefault="00F127CD" w:rsidP="00E54582">
      <w:pPr>
        <w:shd w:val="clear" w:color="auto" w:fill="FFFFFF"/>
        <w:tabs>
          <w:tab w:val="left" w:pos="8647"/>
        </w:tabs>
        <w:adjustRightInd w:val="0"/>
        <w:snapToGrid w:val="0"/>
        <w:ind w:left="426" w:right="418"/>
        <w:jc w:val="both"/>
        <w:textAlignment w:val="baseline"/>
        <w:rPr>
          <w:rFonts w:ascii="Arial" w:hAnsi="Arial" w:cs="Arial"/>
          <w:i/>
          <w:spacing w:val="-2"/>
          <w:sz w:val="22"/>
        </w:rPr>
      </w:pPr>
    </w:p>
    <w:p w:rsidR="00F127CD" w:rsidRPr="00165990" w:rsidRDefault="00F127CD" w:rsidP="00E54582">
      <w:pPr>
        <w:shd w:val="clear" w:color="auto" w:fill="FFFFFF"/>
        <w:tabs>
          <w:tab w:val="left" w:pos="8647"/>
        </w:tabs>
        <w:adjustRightInd w:val="0"/>
        <w:snapToGrid w:val="0"/>
        <w:ind w:left="426" w:right="418"/>
        <w:jc w:val="both"/>
        <w:textAlignment w:val="baseline"/>
        <w:rPr>
          <w:rFonts w:ascii="Arial" w:hAnsi="Arial" w:cs="Arial"/>
          <w:i/>
          <w:spacing w:val="-2"/>
          <w:sz w:val="22"/>
        </w:rPr>
      </w:pPr>
      <w:r w:rsidRPr="00165990">
        <w:rPr>
          <w:rFonts w:ascii="Arial" w:hAnsi="Arial" w:cs="Arial"/>
          <w:i/>
          <w:spacing w:val="-2"/>
          <w:sz w:val="22"/>
        </w:rPr>
        <w:t xml:space="preserve">Y es que el tenor del 4 del artículo 351 del </w:t>
      </w:r>
      <w:proofErr w:type="spellStart"/>
      <w:r w:rsidRPr="00165990">
        <w:rPr>
          <w:rFonts w:ascii="Arial" w:hAnsi="Arial" w:cs="Arial"/>
          <w:i/>
          <w:spacing w:val="-2"/>
          <w:sz w:val="22"/>
        </w:rPr>
        <w:t>C.P.P</w:t>
      </w:r>
      <w:proofErr w:type="spellEnd"/>
      <w:r w:rsidRPr="00165990">
        <w:rPr>
          <w:rFonts w:ascii="Arial" w:hAnsi="Arial" w:cs="Arial"/>
          <w:i/>
          <w:spacing w:val="-2"/>
          <w:sz w:val="22"/>
        </w:rPr>
        <w:t xml:space="preserve">. claramente señala que los preacuerdos celebrados entre Fiscalía y acusado no obligan al juez de conocimiento cuando ellos desconozcan o quebranten las “garantías fundamentales”, lo cual indica que el juez no es un convidado de piedra cuando se le asigna la labor de ejercer el control de una negociación. </w:t>
      </w:r>
    </w:p>
    <w:p w:rsidR="00F127CD" w:rsidRPr="00165990" w:rsidRDefault="00F127CD" w:rsidP="00E54582">
      <w:pPr>
        <w:shd w:val="clear" w:color="auto" w:fill="FFFFFF"/>
        <w:tabs>
          <w:tab w:val="left" w:pos="8647"/>
        </w:tabs>
        <w:adjustRightInd w:val="0"/>
        <w:snapToGrid w:val="0"/>
        <w:ind w:left="426" w:right="418"/>
        <w:jc w:val="both"/>
        <w:textAlignment w:val="baseline"/>
        <w:rPr>
          <w:rFonts w:ascii="Arial" w:hAnsi="Arial" w:cs="Arial"/>
          <w:i/>
          <w:spacing w:val="-2"/>
          <w:sz w:val="22"/>
        </w:rPr>
      </w:pPr>
    </w:p>
    <w:p w:rsidR="00F127CD" w:rsidRPr="00165990" w:rsidRDefault="00F127CD" w:rsidP="00E54582">
      <w:pPr>
        <w:shd w:val="clear" w:color="auto" w:fill="FFFFFF"/>
        <w:tabs>
          <w:tab w:val="left" w:pos="8647"/>
        </w:tabs>
        <w:adjustRightInd w:val="0"/>
        <w:snapToGrid w:val="0"/>
        <w:ind w:left="426" w:right="418"/>
        <w:jc w:val="both"/>
        <w:textAlignment w:val="baseline"/>
        <w:rPr>
          <w:rFonts w:ascii="Arial" w:hAnsi="Arial" w:cs="Arial"/>
          <w:spacing w:val="-2"/>
          <w:sz w:val="22"/>
        </w:rPr>
      </w:pPr>
      <w:r w:rsidRPr="00165990">
        <w:rPr>
          <w:rFonts w:ascii="Arial" w:hAnsi="Arial" w:cs="Arial"/>
          <w:spacing w:val="-2"/>
          <w:sz w:val="22"/>
        </w:rPr>
        <w:t xml:space="preserve">(...) </w:t>
      </w:r>
    </w:p>
    <w:p w:rsidR="00F127CD" w:rsidRPr="00165990" w:rsidRDefault="00F127CD" w:rsidP="00E54582">
      <w:pPr>
        <w:tabs>
          <w:tab w:val="left" w:pos="8647"/>
        </w:tabs>
        <w:ind w:left="426" w:right="418"/>
        <w:jc w:val="both"/>
        <w:rPr>
          <w:rFonts w:ascii="Arial" w:hAnsi="Arial" w:cs="Arial"/>
          <w:i/>
          <w:spacing w:val="-2"/>
          <w:sz w:val="22"/>
        </w:rPr>
      </w:pPr>
    </w:p>
    <w:p w:rsidR="00F127CD" w:rsidRPr="00165990" w:rsidRDefault="00F127CD" w:rsidP="00E54582">
      <w:pPr>
        <w:tabs>
          <w:tab w:val="left" w:pos="8647"/>
        </w:tabs>
        <w:ind w:left="426" w:right="418"/>
        <w:jc w:val="both"/>
        <w:rPr>
          <w:rFonts w:ascii="Arial" w:hAnsi="Arial" w:cs="Arial"/>
          <w:i/>
          <w:spacing w:val="-2"/>
          <w:sz w:val="22"/>
          <w:lang w:eastAsia="es-CO"/>
        </w:rPr>
      </w:pPr>
      <w:r w:rsidRPr="00165990">
        <w:rPr>
          <w:rFonts w:ascii="Arial" w:hAnsi="Arial" w:cs="Arial"/>
          <w:i/>
          <w:spacing w:val="-2"/>
          <w:sz w:val="22"/>
          <w:lang w:eastAsia="es-CO"/>
        </w:rPr>
        <w:t>68. Lo anterior permite a la Sala inferir que la postura que más se ajusta a la Constitución es la segunda, según la cual los fiscales delegados son los primeros llamados a acatar los límites impuestos para la celebración de preacuerdos</w:t>
      </w:r>
      <w:r w:rsidRPr="00165990">
        <w:rPr>
          <w:rFonts w:ascii="Arial" w:hAnsi="Arial" w:cs="Arial"/>
          <w:i/>
          <w:spacing w:val="-2"/>
          <w:sz w:val="22"/>
          <w:vertAlign w:val="superscript"/>
          <w:lang w:eastAsia="es-CO"/>
        </w:rPr>
        <w:footnoteReference w:id="28"/>
      </w:r>
      <w:r w:rsidRPr="00165990">
        <w:rPr>
          <w:rFonts w:ascii="Arial" w:hAnsi="Arial" w:cs="Arial"/>
          <w:i/>
          <w:spacing w:val="-2"/>
          <w:sz w:val="22"/>
          <w:lang w:eastAsia="es-CO"/>
        </w:rPr>
        <w:t xml:space="preserve"> por lo que su discrecionalidad para negociar es reglada</w:t>
      </w:r>
      <w:r w:rsidRPr="00165990">
        <w:rPr>
          <w:rFonts w:ascii="Arial" w:hAnsi="Arial" w:cs="Arial"/>
          <w:i/>
          <w:spacing w:val="-2"/>
          <w:sz w:val="22"/>
          <w:vertAlign w:val="superscript"/>
          <w:lang w:eastAsia="es-CO"/>
        </w:rPr>
        <w:footnoteReference w:id="29"/>
      </w:r>
      <w:r w:rsidRPr="00165990">
        <w:rPr>
          <w:rFonts w:ascii="Arial" w:hAnsi="Arial" w:cs="Arial"/>
          <w:i/>
          <w:spacing w:val="-2"/>
          <w:sz w:val="22"/>
          <w:lang w:eastAsia="es-CO"/>
        </w:rPr>
        <w:t xml:space="preserve"> pues el empleo de este mecanismo judicial se encuentra sometido al cumplimiento de los requisitos establecidos en la Constitución Política, la jurisprudencia constitucional y la Ley 906 de 2004. </w:t>
      </w:r>
    </w:p>
    <w:p w:rsidR="00F127CD" w:rsidRPr="00165990" w:rsidRDefault="00F127CD" w:rsidP="00E54582">
      <w:pPr>
        <w:tabs>
          <w:tab w:val="left" w:pos="8647"/>
        </w:tabs>
        <w:ind w:left="426" w:right="418"/>
        <w:jc w:val="both"/>
        <w:rPr>
          <w:rFonts w:ascii="Arial" w:hAnsi="Arial" w:cs="Arial"/>
          <w:i/>
          <w:spacing w:val="-2"/>
          <w:sz w:val="22"/>
        </w:rPr>
      </w:pPr>
    </w:p>
    <w:p w:rsidR="00F127CD" w:rsidRPr="00165990" w:rsidRDefault="00F127CD" w:rsidP="00E54582">
      <w:pPr>
        <w:tabs>
          <w:tab w:val="left" w:pos="8647"/>
        </w:tabs>
        <w:ind w:left="426" w:right="418"/>
        <w:jc w:val="both"/>
        <w:rPr>
          <w:rFonts w:ascii="Arial" w:hAnsi="Arial" w:cs="Arial"/>
          <w:i/>
          <w:spacing w:val="-2"/>
          <w:sz w:val="22"/>
          <w:u w:val="single"/>
          <w:lang w:eastAsia="es-CO"/>
        </w:rPr>
      </w:pPr>
      <w:r w:rsidRPr="00165990">
        <w:rPr>
          <w:rFonts w:ascii="Arial" w:hAnsi="Arial" w:cs="Arial"/>
          <w:i/>
          <w:spacing w:val="-2"/>
          <w:sz w:val="22"/>
          <w:u w:val="single"/>
        </w:rPr>
        <w:t xml:space="preserve">Por ejemplo, observa que los fiscales delegados, en aplicación de la normativa de preacuerdos y las </w:t>
      </w:r>
      <w:proofErr w:type="spellStart"/>
      <w:r w:rsidRPr="00165990">
        <w:rPr>
          <w:rFonts w:ascii="Arial" w:hAnsi="Arial" w:cs="Arial"/>
          <w:i/>
          <w:spacing w:val="-2"/>
          <w:sz w:val="22"/>
          <w:u w:val="single"/>
        </w:rPr>
        <w:t>subreglas</w:t>
      </w:r>
      <w:proofErr w:type="spellEnd"/>
      <w:r w:rsidRPr="00165990">
        <w:rPr>
          <w:rFonts w:ascii="Arial" w:hAnsi="Arial" w:cs="Arial"/>
          <w:i/>
          <w:spacing w:val="-2"/>
          <w:sz w:val="22"/>
          <w:u w:val="single"/>
        </w:rPr>
        <w:t xml:space="preserve"> planteadas en la Sentencia C-1260 de 2005, deberán considerar que la calificación jurídica resultante de un preacuerdo debe atender, de forma estricta, los hechos jurídicamente relevantes expuestos en la imputación. </w:t>
      </w:r>
      <w:r w:rsidRPr="00165990">
        <w:rPr>
          <w:rFonts w:ascii="Arial" w:hAnsi="Arial" w:cs="Arial"/>
          <w:i/>
          <w:spacing w:val="-2"/>
          <w:sz w:val="22"/>
        </w:rPr>
        <w:t xml:space="preserve">De modo que, </w:t>
      </w:r>
      <w:r w:rsidRPr="00165990">
        <w:rPr>
          <w:rFonts w:ascii="Arial" w:hAnsi="Arial" w:cs="Arial"/>
          <w:i/>
          <w:spacing w:val="-2"/>
          <w:sz w:val="22"/>
          <w:u w:val="single"/>
        </w:rPr>
        <w:t xml:space="preserve">si bien los fiscales tienen cierto margen de apreciación para hacer una imputación menos gravosa, dado que su labor es de adecuación típica, deberán obrar de acuerdo con los hechos del proceso. </w:t>
      </w:r>
    </w:p>
    <w:p w:rsidR="00F127CD" w:rsidRPr="00165990" w:rsidRDefault="00F127CD" w:rsidP="00E54582">
      <w:pPr>
        <w:shd w:val="clear" w:color="auto" w:fill="FFFFFF"/>
        <w:tabs>
          <w:tab w:val="left" w:pos="8647"/>
        </w:tabs>
        <w:adjustRightInd w:val="0"/>
        <w:snapToGrid w:val="0"/>
        <w:ind w:left="426" w:right="418"/>
        <w:jc w:val="both"/>
        <w:textAlignment w:val="baseline"/>
        <w:rPr>
          <w:rFonts w:ascii="Arial" w:hAnsi="Arial" w:cs="Arial"/>
          <w:i/>
          <w:spacing w:val="-2"/>
          <w:sz w:val="22"/>
        </w:rPr>
      </w:pPr>
    </w:p>
    <w:p w:rsidR="00F127CD" w:rsidRPr="00165990" w:rsidRDefault="00F127CD" w:rsidP="00E54582">
      <w:pPr>
        <w:tabs>
          <w:tab w:val="left" w:pos="8647"/>
        </w:tabs>
        <w:ind w:left="426" w:right="418"/>
        <w:jc w:val="both"/>
        <w:rPr>
          <w:rFonts w:ascii="Arial" w:hAnsi="Arial" w:cs="Arial"/>
          <w:i/>
          <w:spacing w:val="-2"/>
          <w:sz w:val="22"/>
          <w:lang w:eastAsia="es-CO"/>
        </w:rPr>
      </w:pPr>
      <w:r w:rsidRPr="00165990">
        <w:rPr>
          <w:rFonts w:ascii="Arial" w:hAnsi="Arial" w:cs="Arial"/>
          <w:i/>
          <w:spacing w:val="-2"/>
          <w:sz w:val="22"/>
          <w:lang w:eastAsia="es-CO"/>
        </w:rPr>
        <w:t xml:space="preserve">Por esta razón, al verificar el cumplimiento y respeto de los límites sustantivos que existen en la ley, la jurisprudencia y la Constitución Política para la celebración de preacuerdos, el juez penal de conocimiento realiza un control de legalidad que no es meramente formal. El control del juez se extiende a la verificación de que no se transgredan principios constitucionales y derechos fundamentales, dado que la misma Ley 906 de 2004 dejó en claro que los preacuerdos debían respetar las </w:t>
      </w:r>
      <w:r w:rsidRPr="00165990">
        <w:rPr>
          <w:rFonts w:ascii="Arial" w:hAnsi="Arial" w:cs="Arial"/>
          <w:i/>
          <w:spacing w:val="-2"/>
          <w:sz w:val="22"/>
          <w:lang w:eastAsia="es-CO"/>
        </w:rPr>
        <w:lastRenderedPageBreak/>
        <w:t>garantías fundamentales, entendidas como el principio de legalidad y demás principios constitucionales; los derechos fundamentales de las partes intervinientes; y los fines del artículo 348 del estatuto procesal penal. Este deber del juez de verificar el cumplimiento de los requisitos legales por parte del fiscal encuentra respaldo, incluso, en la primera postura que, pese a rechazar cualquier posibilidad de control material, sostiene que “al juez si (sic) le corresponde, en desarrollo de los actos propios de dirección de la audiencia, constatar que las actuaciones de la Fiscalía cumplen los requisitos establecidos en la ley”</w:t>
      </w:r>
      <w:r w:rsidRPr="00165990">
        <w:rPr>
          <w:rFonts w:ascii="Arial" w:hAnsi="Arial" w:cs="Arial"/>
          <w:i/>
          <w:spacing w:val="-2"/>
          <w:sz w:val="22"/>
          <w:vertAlign w:val="superscript"/>
          <w:lang w:eastAsia="es-CO"/>
        </w:rPr>
        <w:footnoteReference w:id="30"/>
      </w:r>
      <w:r w:rsidRPr="00165990">
        <w:rPr>
          <w:rFonts w:ascii="Arial" w:hAnsi="Arial" w:cs="Arial"/>
          <w:i/>
          <w:spacing w:val="-2"/>
          <w:sz w:val="22"/>
          <w:lang w:eastAsia="es-CO"/>
        </w:rPr>
        <w:t xml:space="preserve">. </w:t>
      </w:r>
    </w:p>
    <w:p w:rsidR="00F127CD" w:rsidRPr="00165990" w:rsidRDefault="00F127CD" w:rsidP="00E54582">
      <w:pPr>
        <w:tabs>
          <w:tab w:val="left" w:pos="8647"/>
        </w:tabs>
        <w:ind w:left="426" w:right="418"/>
        <w:jc w:val="both"/>
        <w:rPr>
          <w:rFonts w:ascii="Arial" w:hAnsi="Arial" w:cs="Arial"/>
          <w:i/>
          <w:spacing w:val="-2"/>
          <w:sz w:val="22"/>
          <w:lang w:eastAsia="es-CO"/>
        </w:rPr>
      </w:pPr>
    </w:p>
    <w:p w:rsidR="00F127CD" w:rsidRPr="00165990" w:rsidRDefault="00F127CD" w:rsidP="00E54582">
      <w:pPr>
        <w:shd w:val="clear" w:color="auto" w:fill="FFFFFF"/>
        <w:tabs>
          <w:tab w:val="left" w:pos="2552"/>
          <w:tab w:val="left" w:pos="8647"/>
        </w:tabs>
        <w:ind w:left="426" w:right="418"/>
        <w:contextualSpacing/>
        <w:mirrorIndents/>
        <w:jc w:val="both"/>
        <w:textAlignment w:val="baseline"/>
        <w:rPr>
          <w:rFonts w:ascii="Arial" w:hAnsi="Arial" w:cs="Arial"/>
          <w:i/>
          <w:spacing w:val="-2"/>
          <w:sz w:val="22"/>
        </w:rPr>
      </w:pPr>
      <w:r w:rsidRPr="00165990">
        <w:rPr>
          <w:rFonts w:ascii="Arial" w:hAnsi="Arial" w:cs="Arial"/>
          <w:i/>
          <w:spacing w:val="-2"/>
          <w:sz w:val="22"/>
        </w:rPr>
        <w:t xml:space="preserve">69. Todo lo anterior le permite a esta Sala concluir que, si bien no hay doctrina pacífica en la CSJ sobre el alcance de estas facultades, sí puede sostenerse que (i) la facultad discrecional de los fiscales delegados para </w:t>
      </w:r>
      <w:proofErr w:type="spellStart"/>
      <w:r w:rsidRPr="00165990">
        <w:rPr>
          <w:rFonts w:ascii="Arial" w:hAnsi="Arial" w:cs="Arial"/>
          <w:i/>
          <w:spacing w:val="-2"/>
          <w:sz w:val="22"/>
        </w:rPr>
        <w:t>preacordar</w:t>
      </w:r>
      <w:proofErr w:type="spellEnd"/>
      <w:r w:rsidRPr="00165990">
        <w:rPr>
          <w:rFonts w:ascii="Arial" w:hAnsi="Arial" w:cs="Arial"/>
          <w:i/>
          <w:spacing w:val="-2"/>
          <w:sz w:val="22"/>
        </w:rPr>
        <w:t xml:space="preserve"> es reglada y se encuentra limitada</w:t>
      </w:r>
      <w:r w:rsidRPr="00165990">
        <w:rPr>
          <w:rFonts w:ascii="Arial" w:hAnsi="Arial" w:cs="Arial"/>
          <w:i/>
          <w:spacing w:val="-2"/>
          <w:sz w:val="22"/>
          <w:lang w:eastAsia="es-CO"/>
        </w:rPr>
        <w:t>,</w:t>
      </w:r>
      <w:r w:rsidRPr="00165990">
        <w:rPr>
          <w:rFonts w:ascii="Arial" w:hAnsi="Arial" w:cs="Arial"/>
          <w:i/>
          <w:spacing w:val="-2"/>
          <w:sz w:val="22"/>
        </w:rPr>
        <w:t xml:space="preserve"> y que (ii) </w:t>
      </w:r>
      <w:r w:rsidRPr="00165990">
        <w:rPr>
          <w:rFonts w:ascii="Arial" w:hAnsi="Arial" w:cs="Arial"/>
          <w:i/>
          <w:spacing w:val="-2"/>
          <w:sz w:val="22"/>
          <w:u w:val="single"/>
        </w:rPr>
        <w:t>los jueces de conocimiento no están obligados a aceptar el preacuerdo sin importar los términos en que fue pactado el mismo; por el contrario, están llamados a constatar que tales límites hayan sido respetados por el ente acusador al momento de negociar.</w:t>
      </w:r>
      <w:r w:rsidRPr="00165990">
        <w:rPr>
          <w:rFonts w:ascii="Arial" w:hAnsi="Arial" w:cs="Arial"/>
          <w:i/>
          <w:spacing w:val="-2"/>
          <w:sz w:val="22"/>
        </w:rPr>
        <w:t xml:space="preserve"> No obstante, es preciso aclarar que el tipo de análisis que le compete realizar a los jueces penales de conocimiento es un control de límites constitucionales y legales de los preacuerdos, no un control pleno e ilimitado que, sin duda, desnaturalizaría esta institución de la justicia negociada y amenazaría la imparcialidad judicial propia del sistema penal acusatorio colombiano.</w:t>
      </w:r>
    </w:p>
    <w:p w:rsidR="00F127CD" w:rsidRPr="00165990" w:rsidRDefault="00F127CD" w:rsidP="00E54582">
      <w:pPr>
        <w:shd w:val="clear" w:color="auto" w:fill="FFFFFF"/>
        <w:tabs>
          <w:tab w:val="left" w:pos="8647"/>
        </w:tabs>
        <w:ind w:left="426" w:right="418"/>
        <w:contextualSpacing/>
        <w:mirrorIndents/>
        <w:jc w:val="both"/>
        <w:textAlignment w:val="baseline"/>
        <w:rPr>
          <w:rFonts w:ascii="Arial" w:hAnsi="Arial" w:cs="Arial"/>
          <w:i/>
          <w:spacing w:val="-2"/>
          <w:sz w:val="22"/>
          <w:u w:val="single"/>
        </w:rPr>
      </w:pPr>
    </w:p>
    <w:p w:rsidR="00F127CD" w:rsidRPr="00165990" w:rsidRDefault="00F127CD" w:rsidP="00E54582">
      <w:pPr>
        <w:shd w:val="clear" w:color="auto" w:fill="FFFFFF"/>
        <w:tabs>
          <w:tab w:val="left" w:pos="8647"/>
        </w:tabs>
        <w:adjustRightInd w:val="0"/>
        <w:snapToGrid w:val="0"/>
        <w:ind w:left="426" w:right="418"/>
        <w:jc w:val="both"/>
        <w:textAlignment w:val="baseline"/>
        <w:rPr>
          <w:rFonts w:ascii="Arial" w:hAnsi="Arial" w:cs="Arial"/>
          <w:spacing w:val="-2"/>
          <w:sz w:val="22"/>
        </w:rPr>
      </w:pPr>
      <w:r w:rsidRPr="00165990">
        <w:rPr>
          <w:rFonts w:ascii="Arial" w:hAnsi="Arial" w:cs="Arial"/>
          <w:i/>
          <w:spacing w:val="-2"/>
          <w:sz w:val="22"/>
        </w:rPr>
        <w:t>Por último, este control que realizan los jueces de conocimiento de los preacuerdos, a diferencia de lo dispuesto por algunas sentencias de la Sala de Casación Penal de la Corte Suprema de Justicia</w:t>
      </w:r>
      <w:r w:rsidRPr="00165990">
        <w:rPr>
          <w:rFonts w:ascii="Arial" w:hAnsi="Arial" w:cs="Arial"/>
          <w:i/>
          <w:spacing w:val="-2"/>
          <w:sz w:val="22"/>
          <w:vertAlign w:val="superscript"/>
        </w:rPr>
        <w:footnoteReference w:id="31"/>
      </w:r>
      <w:r w:rsidRPr="00165990">
        <w:rPr>
          <w:rFonts w:ascii="Arial" w:hAnsi="Arial" w:cs="Arial"/>
          <w:i/>
          <w:spacing w:val="-2"/>
          <w:sz w:val="22"/>
        </w:rPr>
        <w:t xml:space="preserve">, no se advierte incompatible con el papel imparcial que ha de fungir el juez en un modelo acusatorio. La posibilidad de que el juez penal realice control material obedece, principalmente, a su calidad de juez constitucional. Además, lo anterior no impide que tanto la activación como el impulso de la pretensión punitiva estatal continúen, exclusivamente, en cabeza de la Fiscalía General de la Nación en quien, según la Constitución y la ley, recae el deber de acusar o presentar preacuerdos ante los jueces de conocimiento (artículos 250.4 de la </w:t>
      </w:r>
      <w:proofErr w:type="spellStart"/>
      <w:r w:rsidRPr="00165990">
        <w:rPr>
          <w:rFonts w:ascii="Arial" w:hAnsi="Arial" w:cs="Arial"/>
          <w:i/>
          <w:spacing w:val="-2"/>
          <w:sz w:val="22"/>
        </w:rPr>
        <w:t>C.N</w:t>
      </w:r>
      <w:proofErr w:type="spellEnd"/>
      <w:r w:rsidRPr="00165990">
        <w:rPr>
          <w:rFonts w:ascii="Arial" w:hAnsi="Arial" w:cs="Arial"/>
          <w:i/>
          <w:spacing w:val="-2"/>
          <w:sz w:val="22"/>
        </w:rPr>
        <w:t xml:space="preserve">. y 336 y 339 inciso 2º del </w:t>
      </w:r>
      <w:proofErr w:type="spellStart"/>
      <w:r w:rsidRPr="00165990">
        <w:rPr>
          <w:rFonts w:ascii="Arial" w:hAnsi="Arial" w:cs="Arial"/>
          <w:i/>
          <w:spacing w:val="-2"/>
          <w:sz w:val="22"/>
        </w:rPr>
        <w:t>C.P.P</w:t>
      </w:r>
      <w:proofErr w:type="spellEnd"/>
      <w:r w:rsidRPr="00165990">
        <w:rPr>
          <w:rFonts w:ascii="Arial" w:hAnsi="Arial" w:cs="Arial"/>
          <w:i/>
          <w:spacing w:val="-2"/>
          <w:sz w:val="22"/>
        </w:rPr>
        <w:t>.).</w:t>
      </w:r>
      <w:r w:rsidR="00692E72" w:rsidRPr="00165990">
        <w:rPr>
          <w:rFonts w:ascii="Arial" w:hAnsi="Arial" w:cs="Arial"/>
          <w:spacing w:val="-2"/>
          <w:sz w:val="22"/>
        </w:rPr>
        <w:t>” (S</w:t>
      </w:r>
      <w:r w:rsidRPr="00165990">
        <w:rPr>
          <w:rFonts w:ascii="Arial" w:hAnsi="Arial" w:cs="Arial"/>
          <w:spacing w:val="-2"/>
          <w:sz w:val="22"/>
        </w:rPr>
        <w:t xml:space="preserve">ubrayas ex texto) </w:t>
      </w:r>
    </w:p>
    <w:p w:rsidR="00F127CD" w:rsidRPr="00165990" w:rsidRDefault="00F127CD" w:rsidP="00E54582">
      <w:pPr>
        <w:overflowPunct w:val="0"/>
        <w:autoSpaceDE w:val="0"/>
        <w:autoSpaceDN w:val="0"/>
        <w:adjustRightInd w:val="0"/>
        <w:spacing w:line="276" w:lineRule="auto"/>
        <w:contextualSpacing/>
        <w:mirrorIndents/>
        <w:jc w:val="both"/>
        <w:textAlignment w:val="baseline"/>
        <w:rPr>
          <w:rFonts w:ascii="Arial" w:hAnsi="Arial" w:cs="Arial"/>
          <w:spacing w:val="-2"/>
        </w:rPr>
      </w:pPr>
    </w:p>
    <w:p w:rsidR="00F127CD" w:rsidRPr="00165990" w:rsidRDefault="0081038D" w:rsidP="00E54582">
      <w:pPr>
        <w:spacing w:line="276" w:lineRule="auto"/>
        <w:jc w:val="both"/>
        <w:rPr>
          <w:rFonts w:ascii="Arial" w:hAnsi="Arial" w:cs="Arial"/>
          <w:i/>
          <w:spacing w:val="-2"/>
          <w:lang w:eastAsia="es-MX"/>
        </w:rPr>
      </w:pPr>
      <w:r w:rsidRPr="00165990">
        <w:rPr>
          <w:rFonts w:ascii="Arial" w:hAnsi="Arial" w:cs="Arial"/>
          <w:spacing w:val="-2"/>
          <w:lang w:eastAsia="es-MX"/>
        </w:rPr>
        <w:t xml:space="preserve">6.6 </w:t>
      </w:r>
      <w:r w:rsidR="00F127CD" w:rsidRPr="00165990">
        <w:rPr>
          <w:rFonts w:ascii="Arial" w:hAnsi="Arial" w:cs="Arial"/>
          <w:spacing w:val="-2"/>
          <w:lang w:eastAsia="es-MX"/>
        </w:rPr>
        <w:t xml:space="preserve"> Según los apartes </w:t>
      </w:r>
      <w:r w:rsidR="00692E72" w:rsidRPr="00165990">
        <w:rPr>
          <w:rFonts w:ascii="Arial" w:hAnsi="Arial" w:cs="Arial"/>
          <w:spacing w:val="-2"/>
          <w:lang w:eastAsia="es-MX"/>
        </w:rPr>
        <w:t>que se citan de la sentencia SU–</w:t>
      </w:r>
      <w:r w:rsidR="00F127CD" w:rsidRPr="00165990">
        <w:rPr>
          <w:rFonts w:ascii="Arial" w:hAnsi="Arial" w:cs="Arial"/>
          <w:spacing w:val="-2"/>
          <w:lang w:eastAsia="es-MX"/>
        </w:rPr>
        <w:t xml:space="preserve">479 de 2019, el presupuesto de todo preacuerdo consiste en </w:t>
      </w:r>
      <w:r w:rsidR="00692E72" w:rsidRPr="00165990">
        <w:rPr>
          <w:rFonts w:ascii="Arial" w:hAnsi="Arial" w:cs="Arial"/>
          <w:i/>
          <w:spacing w:val="-2"/>
          <w:lang w:eastAsia="es-MX"/>
        </w:rPr>
        <w:t>“</w:t>
      </w:r>
      <w:r w:rsidR="00F127CD" w:rsidRPr="00165990">
        <w:rPr>
          <w:rFonts w:ascii="Arial" w:hAnsi="Arial" w:cs="Arial"/>
          <w:i/>
          <w:spacing w:val="-2"/>
          <w:sz w:val="22"/>
          <w:lang w:eastAsia="es-MX"/>
        </w:rPr>
        <w:t>no soslayar el núcleo fáctico de la imputación que determina una correcta adecuación típica, lo que incluye obviamente todas las circunstancias específicas de mayor y menor punibilidad, que fundamentan la imputación jurídica</w:t>
      </w:r>
      <w:r w:rsidR="00E54582" w:rsidRPr="00165990">
        <w:rPr>
          <w:rFonts w:ascii="Arial" w:hAnsi="Arial" w:cs="Arial"/>
          <w:i/>
          <w:spacing w:val="-2"/>
          <w:lang w:eastAsia="es-MX"/>
        </w:rPr>
        <w:t>”.</w:t>
      </w:r>
    </w:p>
    <w:p w:rsidR="00F127CD" w:rsidRPr="00165990" w:rsidRDefault="00F127CD" w:rsidP="00E54582">
      <w:pPr>
        <w:spacing w:line="276" w:lineRule="auto"/>
        <w:jc w:val="both"/>
        <w:rPr>
          <w:rFonts w:ascii="Arial" w:hAnsi="Arial" w:cs="Arial"/>
          <w:i/>
          <w:spacing w:val="-2"/>
          <w:lang w:eastAsia="es-MX"/>
        </w:rPr>
      </w:pPr>
    </w:p>
    <w:p w:rsidR="00F127CD" w:rsidRPr="00165990" w:rsidRDefault="00F127CD" w:rsidP="00E54582">
      <w:pPr>
        <w:spacing w:line="276" w:lineRule="auto"/>
        <w:jc w:val="both"/>
        <w:rPr>
          <w:rFonts w:ascii="Arial" w:hAnsi="Arial" w:cs="Arial"/>
          <w:spacing w:val="-2"/>
          <w:lang w:eastAsia="es-MX"/>
        </w:rPr>
      </w:pPr>
      <w:r w:rsidRPr="00165990">
        <w:rPr>
          <w:rFonts w:ascii="Arial" w:hAnsi="Arial" w:cs="Arial"/>
          <w:spacing w:val="-2"/>
          <w:lang w:eastAsia="es-MX"/>
        </w:rPr>
        <w:t xml:space="preserve">Precisamente esa insistencia en el respeto al marco fáctico del caso se convierte en un condicionante que impediría celebrar preacuerdos donde la convención desconozca el marco </w:t>
      </w:r>
      <w:proofErr w:type="spellStart"/>
      <w:r w:rsidR="00692E72" w:rsidRPr="00165990">
        <w:rPr>
          <w:rFonts w:ascii="Arial" w:hAnsi="Arial" w:cs="Arial"/>
          <w:spacing w:val="-2"/>
          <w:lang w:eastAsia="es-MX"/>
        </w:rPr>
        <w:t>óntico</w:t>
      </w:r>
      <w:proofErr w:type="spellEnd"/>
      <w:r w:rsidR="00692E72" w:rsidRPr="00165990">
        <w:rPr>
          <w:rFonts w:ascii="Arial" w:hAnsi="Arial" w:cs="Arial"/>
          <w:spacing w:val="-2"/>
          <w:lang w:eastAsia="es-MX"/>
        </w:rPr>
        <w:t>, como podría suceder: i)</w:t>
      </w:r>
      <w:r w:rsidRPr="00165990">
        <w:rPr>
          <w:rFonts w:ascii="Arial" w:hAnsi="Arial" w:cs="Arial"/>
          <w:spacing w:val="-2"/>
          <w:lang w:eastAsia="es-MX"/>
        </w:rPr>
        <w:t xml:space="preserve"> cuando u</w:t>
      </w:r>
      <w:r w:rsidR="00692E72" w:rsidRPr="00165990">
        <w:rPr>
          <w:rFonts w:ascii="Arial" w:hAnsi="Arial" w:cs="Arial"/>
          <w:spacing w:val="-2"/>
          <w:lang w:eastAsia="es-MX"/>
        </w:rPr>
        <w:t>na persona es capturada con 20.000 gramos de marihuana (</w:t>
      </w:r>
      <w:r w:rsidRPr="00165990">
        <w:rPr>
          <w:rFonts w:ascii="Arial" w:hAnsi="Arial" w:cs="Arial"/>
          <w:spacing w:val="-2"/>
          <w:lang w:eastAsia="es-MX"/>
        </w:rPr>
        <w:t xml:space="preserve">inciso 1º del artículo 376 del </w:t>
      </w:r>
      <w:proofErr w:type="spellStart"/>
      <w:r w:rsidRPr="00165990">
        <w:rPr>
          <w:rFonts w:ascii="Arial" w:hAnsi="Arial" w:cs="Arial"/>
          <w:spacing w:val="-2"/>
          <w:lang w:eastAsia="es-MX"/>
        </w:rPr>
        <w:t>CP</w:t>
      </w:r>
      <w:proofErr w:type="spellEnd"/>
      <w:r w:rsidRPr="00165990">
        <w:rPr>
          <w:rFonts w:ascii="Arial" w:hAnsi="Arial" w:cs="Arial"/>
          <w:spacing w:val="-2"/>
          <w:lang w:eastAsia="es-MX"/>
        </w:rPr>
        <w:t>) y por vía de un pacto entre la FGN y la defensa se dice que la cantidad de estupefaciente decomisado fue inferior a</w:t>
      </w:r>
      <w:r w:rsidR="00692E72" w:rsidRPr="00165990">
        <w:rPr>
          <w:rFonts w:ascii="Arial" w:hAnsi="Arial" w:cs="Arial"/>
          <w:spacing w:val="-2"/>
          <w:lang w:eastAsia="es-MX"/>
        </w:rPr>
        <w:t xml:space="preserve"> 10.000 gramos de ese material; ii)</w:t>
      </w:r>
      <w:r w:rsidRPr="00165990">
        <w:rPr>
          <w:rFonts w:ascii="Arial" w:hAnsi="Arial" w:cs="Arial"/>
          <w:spacing w:val="-2"/>
          <w:lang w:eastAsia="es-MX"/>
        </w:rPr>
        <w:t xml:space="preserve"> cuando </w:t>
      </w:r>
      <w:r w:rsidR="00F21863" w:rsidRPr="00165990">
        <w:rPr>
          <w:rFonts w:ascii="Arial" w:hAnsi="Arial" w:cs="Arial"/>
          <w:spacing w:val="-2"/>
          <w:lang w:eastAsia="es-MX"/>
        </w:rPr>
        <w:t>en un delito similar se captura al procesado llevando consigo  cocaína y se hace constar en el preacuerdo que para efectos de la negociación la sustancia será tenida como el alucinógeno marihuana; iii)</w:t>
      </w:r>
      <w:r w:rsidR="00A53793" w:rsidRPr="00165990">
        <w:rPr>
          <w:rFonts w:ascii="Arial" w:hAnsi="Arial" w:cs="Arial"/>
          <w:spacing w:val="-2"/>
          <w:lang w:eastAsia="es-MX"/>
        </w:rPr>
        <w:t xml:space="preserve"> cuando se aprehende a un particular  llevando consigo un arma de uso privativo de las FFAA  </w:t>
      </w:r>
      <w:r w:rsidR="0081038D" w:rsidRPr="00165990">
        <w:rPr>
          <w:rFonts w:ascii="Arial" w:hAnsi="Arial" w:cs="Arial"/>
          <w:spacing w:val="-2"/>
          <w:lang w:eastAsia="es-MX"/>
        </w:rPr>
        <w:t xml:space="preserve">y </w:t>
      </w:r>
      <w:r w:rsidR="00A53793" w:rsidRPr="00165990">
        <w:rPr>
          <w:rFonts w:ascii="Arial" w:hAnsi="Arial" w:cs="Arial"/>
          <w:spacing w:val="-2"/>
          <w:lang w:eastAsia="es-MX"/>
        </w:rPr>
        <w:t xml:space="preserve">conforme al dictamen técnico </w:t>
      </w:r>
      <w:r w:rsidR="0081038D" w:rsidRPr="00165990">
        <w:rPr>
          <w:rFonts w:ascii="Arial" w:hAnsi="Arial" w:cs="Arial"/>
          <w:spacing w:val="-2"/>
          <w:lang w:eastAsia="es-MX"/>
        </w:rPr>
        <w:t xml:space="preserve"> </w:t>
      </w:r>
      <w:r w:rsidR="00A53793" w:rsidRPr="00165990">
        <w:rPr>
          <w:rFonts w:ascii="Arial" w:hAnsi="Arial" w:cs="Arial"/>
          <w:spacing w:val="-2"/>
          <w:lang w:eastAsia="es-MX"/>
        </w:rPr>
        <w:t xml:space="preserve">se le imputa una violación del artículo 366 del </w:t>
      </w:r>
      <w:proofErr w:type="spellStart"/>
      <w:r w:rsidR="00A53793" w:rsidRPr="00165990">
        <w:rPr>
          <w:rFonts w:ascii="Arial" w:hAnsi="Arial" w:cs="Arial"/>
          <w:spacing w:val="-2"/>
          <w:lang w:eastAsia="es-MX"/>
        </w:rPr>
        <w:t>CP</w:t>
      </w:r>
      <w:proofErr w:type="spellEnd"/>
      <w:r w:rsidR="00A53793" w:rsidRPr="00165990">
        <w:rPr>
          <w:rFonts w:ascii="Arial" w:hAnsi="Arial" w:cs="Arial"/>
          <w:spacing w:val="-2"/>
          <w:lang w:eastAsia="es-MX"/>
        </w:rPr>
        <w:t xml:space="preserve"> y luego se manifiesta que para efectos de retribuir al procesado que acepta cargos</w:t>
      </w:r>
      <w:r w:rsidR="0081038D" w:rsidRPr="00165990">
        <w:rPr>
          <w:rFonts w:ascii="Arial" w:hAnsi="Arial" w:cs="Arial"/>
          <w:spacing w:val="-2"/>
          <w:lang w:eastAsia="es-MX"/>
        </w:rPr>
        <w:t>,</w:t>
      </w:r>
      <w:r w:rsidR="00A53793" w:rsidRPr="00165990">
        <w:rPr>
          <w:rFonts w:ascii="Arial" w:hAnsi="Arial" w:cs="Arial"/>
          <w:spacing w:val="-2"/>
          <w:lang w:eastAsia="es-MX"/>
        </w:rPr>
        <w:t xml:space="preserve"> se tendrá como un arma de defensa personal y por ende se aplicará la pena prevista en el artículo 365 </w:t>
      </w:r>
      <w:r w:rsidR="00A53793" w:rsidRPr="00165990">
        <w:rPr>
          <w:rFonts w:ascii="Arial" w:hAnsi="Arial" w:cs="Arial"/>
          <w:i/>
          <w:spacing w:val="-2"/>
          <w:lang w:eastAsia="es-MX"/>
        </w:rPr>
        <w:t>ibídem</w:t>
      </w:r>
      <w:r w:rsidR="00A53793" w:rsidRPr="00165990">
        <w:rPr>
          <w:rFonts w:ascii="Arial" w:hAnsi="Arial" w:cs="Arial"/>
          <w:spacing w:val="-2"/>
          <w:lang w:eastAsia="es-MX"/>
        </w:rPr>
        <w:t xml:space="preserve">: iv) </w:t>
      </w:r>
      <w:r w:rsidRPr="00165990">
        <w:rPr>
          <w:rFonts w:ascii="Arial" w:hAnsi="Arial" w:cs="Arial"/>
          <w:spacing w:val="-2"/>
          <w:lang w:eastAsia="es-MX"/>
        </w:rPr>
        <w:t xml:space="preserve"> se</w:t>
      </w:r>
      <w:r w:rsidR="00692E72" w:rsidRPr="00165990">
        <w:rPr>
          <w:rFonts w:ascii="Arial" w:hAnsi="Arial" w:cs="Arial"/>
          <w:spacing w:val="-2"/>
          <w:lang w:eastAsia="es-MX"/>
        </w:rPr>
        <w:t xml:space="preserve"> pacta desconocer la calidad de</w:t>
      </w:r>
      <w:r w:rsidRPr="00165990">
        <w:rPr>
          <w:rFonts w:ascii="Arial" w:hAnsi="Arial" w:cs="Arial"/>
          <w:spacing w:val="-2"/>
          <w:lang w:eastAsia="es-MX"/>
        </w:rPr>
        <w:t xml:space="preserve"> servidor público del procesado para transmutar un peculado por </w:t>
      </w:r>
      <w:r w:rsidRPr="00165990">
        <w:rPr>
          <w:rFonts w:ascii="Arial" w:hAnsi="Arial" w:cs="Arial"/>
          <w:spacing w:val="-2"/>
          <w:lang w:eastAsia="es-MX"/>
        </w:rPr>
        <w:lastRenderedPageBreak/>
        <w:t>apropiación en un hurto agravado</w:t>
      </w:r>
      <w:r w:rsidR="00A53793" w:rsidRPr="00165990">
        <w:rPr>
          <w:rFonts w:ascii="Arial" w:hAnsi="Arial" w:cs="Arial"/>
          <w:spacing w:val="-2"/>
          <w:lang w:eastAsia="es-MX"/>
        </w:rPr>
        <w:t xml:space="preserve">, </w:t>
      </w:r>
      <w:r w:rsidRPr="00165990">
        <w:rPr>
          <w:rFonts w:ascii="Arial" w:hAnsi="Arial" w:cs="Arial"/>
          <w:spacing w:val="-2"/>
          <w:lang w:eastAsia="es-MX"/>
        </w:rPr>
        <w:t xml:space="preserve"> o un abuso de confianza</w:t>
      </w:r>
      <w:r w:rsidR="00A53793" w:rsidRPr="00165990">
        <w:rPr>
          <w:rFonts w:ascii="Arial" w:hAnsi="Arial" w:cs="Arial"/>
          <w:spacing w:val="-2"/>
          <w:lang w:eastAsia="es-MX"/>
        </w:rPr>
        <w:t xml:space="preserve"> o v)  </w:t>
      </w:r>
      <w:r w:rsidR="00692E72" w:rsidRPr="00165990">
        <w:rPr>
          <w:rFonts w:ascii="Arial" w:hAnsi="Arial" w:cs="Arial"/>
          <w:spacing w:val="-2"/>
          <w:lang w:eastAsia="es-MX"/>
        </w:rPr>
        <w:t xml:space="preserve"> para </w:t>
      </w:r>
      <w:r w:rsidRPr="00165990">
        <w:rPr>
          <w:rFonts w:ascii="Arial" w:hAnsi="Arial" w:cs="Arial"/>
          <w:spacing w:val="-2"/>
          <w:lang w:eastAsia="es-MX"/>
        </w:rPr>
        <w:t xml:space="preserve">colocar un ejemplo </w:t>
      </w:r>
      <w:r w:rsidR="005369F3" w:rsidRPr="00165990">
        <w:rPr>
          <w:rFonts w:ascii="Arial" w:hAnsi="Arial" w:cs="Arial"/>
          <w:spacing w:val="-2"/>
          <w:lang w:eastAsia="es-MX"/>
        </w:rPr>
        <w:t>más extremo,</w:t>
      </w:r>
      <w:r w:rsidRPr="00165990">
        <w:rPr>
          <w:rFonts w:ascii="Arial" w:hAnsi="Arial" w:cs="Arial"/>
          <w:spacing w:val="-2"/>
          <w:lang w:eastAsia="es-MX"/>
        </w:rPr>
        <w:t xml:space="preserve"> se acuerda imputar un homicidio en grado de tentativa, cuando se trató </w:t>
      </w:r>
      <w:r w:rsidR="00692E72" w:rsidRPr="00165990">
        <w:rPr>
          <w:rFonts w:ascii="Arial" w:hAnsi="Arial" w:cs="Arial"/>
          <w:spacing w:val="-2"/>
          <w:lang w:eastAsia="es-MX"/>
        </w:rPr>
        <w:t xml:space="preserve">de un delito consumado, ya que </w:t>
      </w:r>
      <w:r w:rsidRPr="00165990">
        <w:rPr>
          <w:rFonts w:ascii="Arial" w:hAnsi="Arial" w:cs="Arial"/>
          <w:spacing w:val="-2"/>
          <w:lang w:eastAsia="es-MX"/>
        </w:rPr>
        <w:t xml:space="preserve">en  todos estos casos se estarían desconociendo las estructuras lógico objetivas determinadas por la </w:t>
      </w:r>
      <w:proofErr w:type="spellStart"/>
      <w:r w:rsidRPr="00165990">
        <w:rPr>
          <w:rFonts w:ascii="Arial" w:hAnsi="Arial" w:cs="Arial"/>
          <w:i/>
          <w:spacing w:val="-2"/>
          <w:lang w:eastAsia="es-MX"/>
        </w:rPr>
        <w:t>imputatio</w:t>
      </w:r>
      <w:proofErr w:type="spellEnd"/>
      <w:r w:rsidRPr="00165990">
        <w:rPr>
          <w:rFonts w:ascii="Arial" w:hAnsi="Arial" w:cs="Arial"/>
          <w:i/>
          <w:spacing w:val="-2"/>
          <w:lang w:eastAsia="es-MX"/>
        </w:rPr>
        <w:t xml:space="preserve"> </w:t>
      </w:r>
      <w:proofErr w:type="spellStart"/>
      <w:r w:rsidRPr="00165990">
        <w:rPr>
          <w:rFonts w:ascii="Arial" w:hAnsi="Arial" w:cs="Arial"/>
          <w:i/>
          <w:spacing w:val="-2"/>
          <w:lang w:eastAsia="es-MX"/>
        </w:rPr>
        <w:t>factii</w:t>
      </w:r>
      <w:proofErr w:type="spellEnd"/>
      <w:r w:rsidRPr="00165990">
        <w:rPr>
          <w:rFonts w:ascii="Arial" w:hAnsi="Arial" w:cs="Arial"/>
          <w:i/>
          <w:spacing w:val="-2"/>
          <w:lang w:eastAsia="es-MX"/>
        </w:rPr>
        <w:t xml:space="preserve">, </w:t>
      </w:r>
      <w:r w:rsidRPr="00165990">
        <w:rPr>
          <w:rFonts w:ascii="Arial" w:hAnsi="Arial" w:cs="Arial"/>
          <w:spacing w:val="-2"/>
          <w:lang w:eastAsia="es-MX"/>
        </w:rPr>
        <w:t xml:space="preserve">para modificar la </w:t>
      </w:r>
      <w:proofErr w:type="spellStart"/>
      <w:r w:rsidRPr="00165990">
        <w:rPr>
          <w:rFonts w:ascii="Arial" w:hAnsi="Arial" w:cs="Arial"/>
          <w:i/>
          <w:spacing w:val="-2"/>
          <w:lang w:eastAsia="es-MX"/>
        </w:rPr>
        <w:t>imputatio</w:t>
      </w:r>
      <w:proofErr w:type="spellEnd"/>
      <w:r w:rsidRPr="00165990">
        <w:rPr>
          <w:rFonts w:ascii="Arial" w:hAnsi="Arial" w:cs="Arial"/>
          <w:i/>
          <w:spacing w:val="-2"/>
          <w:lang w:eastAsia="es-MX"/>
        </w:rPr>
        <w:t xml:space="preserve"> iuris, </w:t>
      </w:r>
      <w:r w:rsidRPr="00165990">
        <w:rPr>
          <w:rFonts w:ascii="Arial" w:hAnsi="Arial" w:cs="Arial"/>
          <w:spacing w:val="-2"/>
          <w:lang w:eastAsia="es-MX"/>
        </w:rPr>
        <w:t>partiendo de la base de que por ser una ciencia normativa el derecho penal hace juicios de valor desde el mundo axiológico, sobre sucesos que ocurre</w:t>
      </w:r>
      <w:r w:rsidR="00692E72" w:rsidRPr="00165990">
        <w:rPr>
          <w:rFonts w:ascii="Arial" w:hAnsi="Arial" w:cs="Arial"/>
          <w:spacing w:val="-2"/>
          <w:lang w:eastAsia="es-MX"/>
        </w:rPr>
        <w:t>n en el mundo fenomenológico (</w:t>
      </w:r>
      <w:r w:rsidRPr="00165990">
        <w:rPr>
          <w:rFonts w:ascii="Arial" w:hAnsi="Arial" w:cs="Arial"/>
          <w:spacing w:val="-2"/>
          <w:lang w:eastAsia="es-MX"/>
        </w:rPr>
        <w:t xml:space="preserve">lo que permite distinguir entre lo </w:t>
      </w:r>
      <w:proofErr w:type="spellStart"/>
      <w:r w:rsidRPr="00165990">
        <w:rPr>
          <w:rFonts w:ascii="Arial" w:hAnsi="Arial" w:cs="Arial"/>
          <w:spacing w:val="-2"/>
          <w:lang w:eastAsia="es-MX"/>
        </w:rPr>
        <w:t>óntico</w:t>
      </w:r>
      <w:proofErr w:type="spellEnd"/>
      <w:r w:rsidRPr="00165990">
        <w:rPr>
          <w:rFonts w:ascii="Arial" w:hAnsi="Arial" w:cs="Arial"/>
          <w:spacing w:val="-2"/>
          <w:lang w:eastAsia="es-MX"/>
        </w:rPr>
        <w:t xml:space="preserve"> y lo ontológico)</w:t>
      </w:r>
      <w:r w:rsidR="00692E72" w:rsidRPr="00165990">
        <w:rPr>
          <w:rFonts w:ascii="Arial" w:hAnsi="Arial" w:cs="Arial"/>
          <w:spacing w:val="-2"/>
          <w:lang w:eastAsia="es-MX"/>
        </w:rPr>
        <w:t>,</w:t>
      </w:r>
      <w:r w:rsidRPr="00165990">
        <w:rPr>
          <w:rFonts w:ascii="Arial" w:hAnsi="Arial" w:cs="Arial"/>
          <w:spacing w:val="-2"/>
          <w:lang w:eastAsia="es-MX"/>
        </w:rPr>
        <w:t xml:space="preserve"> a través de decision</w:t>
      </w:r>
      <w:r w:rsidR="00692E72" w:rsidRPr="00165990">
        <w:rPr>
          <w:rFonts w:ascii="Arial" w:hAnsi="Arial" w:cs="Arial"/>
          <w:spacing w:val="-2"/>
          <w:lang w:eastAsia="es-MX"/>
        </w:rPr>
        <w:t xml:space="preserve">es del legislador que desvaloran y sancionan </w:t>
      </w:r>
      <w:r w:rsidRPr="00165990">
        <w:rPr>
          <w:rFonts w:ascii="Arial" w:hAnsi="Arial" w:cs="Arial"/>
          <w:spacing w:val="-2"/>
          <w:lang w:eastAsia="es-MX"/>
        </w:rPr>
        <w:t>ciertos com</w:t>
      </w:r>
      <w:r w:rsidR="005369F3" w:rsidRPr="00165990">
        <w:rPr>
          <w:rFonts w:ascii="Arial" w:hAnsi="Arial" w:cs="Arial"/>
          <w:spacing w:val="-2"/>
          <w:lang w:eastAsia="es-MX"/>
        </w:rPr>
        <w:t>portamientos, estableciendo las</w:t>
      </w:r>
      <w:r w:rsidRPr="00165990">
        <w:rPr>
          <w:rFonts w:ascii="Arial" w:hAnsi="Arial" w:cs="Arial"/>
          <w:spacing w:val="-2"/>
          <w:lang w:eastAsia="es-MX"/>
        </w:rPr>
        <w:t xml:space="preserve"> normas de prohibición o de mandato contenidas en la legislación penal sustantiva.</w:t>
      </w:r>
    </w:p>
    <w:p w:rsidR="00F127CD" w:rsidRPr="00165990" w:rsidRDefault="00F127CD" w:rsidP="00E54582">
      <w:pPr>
        <w:spacing w:line="276" w:lineRule="auto"/>
        <w:jc w:val="both"/>
        <w:rPr>
          <w:rFonts w:ascii="Arial" w:hAnsi="Arial" w:cs="Arial"/>
          <w:i/>
          <w:spacing w:val="-2"/>
          <w:lang w:eastAsia="es-MX"/>
        </w:rPr>
      </w:pPr>
    </w:p>
    <w:p w:rsidR="00F127CD" w:rsidRPr="00165990" w:rsidRDefault="0081038D" w:rsidP="00E54582">
      <w:pPr>
        <w:spacing w:line="276" w:lineRule="auto"/>
        <w:jc w:val="both"/>
        <w:rPr>
          <w:rFonts w:ascii="Arial" w:hAnsi="Arial" w:cs="Arial"/>
          <w:i/>
          <w:spacing w:val="-2"/>
          <w:lang w:eastAsia="es-MX"/>
        </w:rPr>
      </w:pPr>
      <w:r w:rsidRPr="00165990">
        <w:rPr>
          <w:rFonts w:ascii="Arial" w:hAnsi="Arial" w:cs="Arial"/>
          <w:spacing w:val="-2"/>
          <w:lang w:eastAsia="es-MX"/>
        </w:rPr>
        <w:t xml:space="preserve">6.7 </w:t>
      </w:r>
      <w:r w:rsidR="00692E72" w:rsidRPr="00165990">
        <w:rPr>
          <w:rFonts w:ascii="Arial" w:hAnsi="Arial" w:cs="Arial"/>
          <w:spacing w:val="-2"/>
          <w:lang w:eastAsia="es-MX"/>
        </w:rPr>
        <w:t xml:space="preserve"> En opinión de la Sala ese es </w:t>
      </w:r>
      <w:r w:rsidR="00F127CD" w:rsidRPr="00165990">
        <w:rPr>
          <w:rFonts w:ascii="Arial" w:hAnsi="Arial" w:cs="Arial"/>
          <w:spacing w:val="-2"/>
          <w:lang w:eastAsia="es-MX"/>
        </w:rPr>
        <w:t>el sentido que se le debe dar a ese segmento d</w:t>
      </w:r>
      <w:r w:rsidR="00692E72" w:rsidRPr="00165990">
        <w:rPr>
          <w:rFonts w:ascii="Arial" w:hAnsi="Arial" w:cs="Arial"/>
          <w:spacing w:val="-2"/>
          <w:lang w:eastAsia="es-MX"/>
        </w:rPr>
        <w:t>e la sentencia C-479 de 2019</w:t>
      </w:r>
      <w:r w:rsidR="00F127CD" w:rsidRPr="00165990">
        <w:rPr>
          <w:rFonts w:ascii="Arial" w:hAnsi="Arial" w:cs="Arial"/>
          <w:spacing w:val="-2"/>
          <w:lang w:eastAsia="es-MX"/>
        </w:rPr>
        <w:t>,</w:t>
      </w:r>
      <w:r w:rsidR="00692E72" w:rsidRPr="00165990">
        <w:rPr>
          <w:rFonts w:ascii="Arial" w:hAnsi="Arial" w:cs="Arial"/>
          <w:spacing w:val="-2"/>
          <w:lang w:eastAsia="es-MX"/>
        </w:rPr>
        <w:t xml:space="preserve"> ya de manera específica, en el apartado 44 de es</w:t>
      </w:r>
      <w:r w:rsidR="00F127CD" w:rsidRPr="00165990">
        <w:rPr>
          <w:rFonts w:ascii="Arial" w:hAnsi="Arial" w:cs="Arial"/>
          <w:spacing w:val="-2"/>
          <w:lang w:eastAsia="es-MX"/>
        </w:rPr>
        <w:t>a pr</w:t>
      </w:r>
      <w:r w:rsidR="00692E72" w:rsidRPr="00165990">
        <w:rPr>
          <w:rFonts w:ascii="Arial" w:hAnsi="Arial" w:cs="Arial"/>
          <w:spacing w:val="-2"/>
          <w:lang w:eastAsia="es-MX"/>
        </w:rPr>
        <w:t>ovidencia se manifiesta que los</w:t>
      </w:r>
      <w:r w:rsidR="00F127CD" w:rsidRPr="00165990">
        <w:rPr>
          <w:rFonts w:ascii="Arial" w:hAnsi="Arial" w:cs="Arial"/>
          <w:spacing w:val="-2"/>
          <w:lang w:eastAsia="es-MX"/>
        </w:rPr>
        <w:t xml:space="preserve"> fines de los preacuerdos solo se ven materializados “</w:t>
      </w:r>
      <w:r w:rsidR="00F127CD" w:rsidRPr="00165990">
        <w:rPr>
          <w:rFonts w:ascii="Arial" w:hAnsi="Arial" w:cs="Arial"/>
          <w:spacing w:val="-2"/>
          <w:sz w:val="22"/>
          <w:lang w:eastAsia="es-MX"/>
        </w:rPr>
        <w:t>…</w:t>
      </w:r>
      <w:r w:rsidR="00E54582" w:rsidRPr="00165990">
        <w:rPr>
          <w:rFonts w:ascii="Arial" w:hAnsi="Arial" w:cs="Arial"/>
          <w:spacing w:val="-2"/>
          <w:sz w:val="22"/>
          <w:lang w:eastAsia="es-MX"/>
        </w:rPr>
        <w:t xml:space="preserve"> </w:t>
      </w:r>
      <w:r w:rsidR="00F127CD" w:rsidRPr="00165990">
        <w:rPr>
          <w:rFonts w:ascii="Arial" w:hAnsi="Arial" w:cs="Arial"/>
          <w:i/>
          <w:spacing w:val="-2"/>
          <w:sz w:val="22"/>
          <w:lang w:eastAsia="es-MX"/>
        </w:rPr>
        <w:t>cuando existen criterios objetivos para su delimitación...</w:t>
      </w:r>
      <w:r w:rsidR="00EE1841" w:rsidRPr="00165990">
        <w:rPr>
          <w:rFonts w:ascii="Arial" w:hAnsi="Arial" w:cs="Arial"/>
          <w:spacing w:val="-2"/>
          <w:lang w:eastAsia="es-MX"/>
        </w:rPr>
        <w:t xml:space="preserve">”, </w:t>
      </w:r>
      <w:r w:rsidR="00F127CD" w:rsidRPr="00165990">
        <w:rPr>
          <w:rFonts w:ascii="Arial" w:hAnsi="Arial" w:cs="Arial"/>
          <w:spacing w:val="-2"/>
          <w:lang w:eastAsia="es-MX"/>
        </w:rPr>
        <w:t>lo que impide modificar el marco fáctico de la imputación o la acusación, en aquello que es objetivo, como se expuso anteriormente, para lo cual se debe recordar que el artículo 10 de la ley 906 de 2004, que tiene el carácter de norma recto</w:t>
      </w:r>
      <w:r w:rsidR="00EE1841" w:rsidRPr="00165990">
        <w:rPr>
          <w:rFonts w:ascii="Arial" w:hAnsi="Arial" w:cs="Arial"/>
          <w:spacing w:val="-2"/>
          <w:lang w:eastAsia="es-MX"/>
        </w:rPr>
        <w:t>ra dispone en su numeral 4º que</w:t>
      </w:r>
      <w:r w:rsidR="00F127CD" w:rsidRPr="00165990">
        <w:rPr>
          <w:rFonts w:ascii="Arial" w:hAnsi="Arial" w:cs="Arial"/>
          <w:spacing w:val="-2"/>
          <w:lang w:eastAsia="es-MX"/>
        </w:rPr>
        <w:t>:</w:t>
      </w:r>
      <w:r w:rsidR="00EE1841" w:rsidRPr="00165990">
        <w:rPr>
          <w:rFonts w:ascii="Arial" w:hAnsi="Arial" w:cs="Arial"/>
          <w:i/>
          <w:spacing w:val="-2"/>
          <w:lang w:eastAsia="es-MX"/>
        </w:rPr>
        <w:t xml:space="preserve"> “</w:t>
      </w:r>
      <w:r w:rsidR="00F127CD" w:rsidRPr="00165990">
        <w:rPr>
          <w:rFonts w:ascii="Arial" w:hAnsi="Arial" w:cs="Arial"/>
          <w:i/>
          <w:spacing w:val="-2"/>
          <w:sz w:val="22"/>
          <w:lang w:eastAsia="es-MX"/>
        </w:rPr>
        <w:t>El juez podrá autorizar los acuerdos o estipulaciones a que lleguen las partes y que versen sobre aspectos en los cuales no haya controversia sustantiva</w:t>
      </w:r>
      <w:r w:rsidR="00F127CD" w:rsidRPr="00165990">
        <w:rPr>
          <w:rFonts w:ascii="Arial" w:hAnsi="Arial" w:cs="Arial"/>
          <w:spacing w:val="-2"/>
          <w:sz w:val="22"/>
          <w:lang w:eastAsia="es-MX"/>
        </w:rPr>
        <w:t>,</w:t>
      </w:r>
      <w:r w:rsidR="00F127CD" w:rsidRPr="00165990">
        <w:rPr>
          <w:rFonts w:ascii="Arial" w:hAnsi="Arial" w:cs="Arial"/>
          <w:i/>
          <w:spacing w:val="-2"/>
          <w:sz w:val="22"/>
          <w:lang w:eastAsia="es-MX"/>
        </w:rPr>
        <w:t xml:space="preserve"> sin que implique renuncia d</w:t>
      </w:r>
      <w:r w:rsidR="00EE1841" w:rsidRPr="00165990">
        <w:rPr>
          <w:rFonts w:ascii="Arial" w:hAnsi="Arial" w:cs="Arial"/>
          <w:i/>
          <w:spacing w:val="-2"/>
          <w:sz w:val="22"/>
          <w:lang w:eastAsia="es-MX"/>
        </w:rPr>
        <w:t>e los derechos constitucionales</w:t>
      </w:r>
      <w:r w:rsidR="00EE1841" w:rsidRPr="00165990">
        <w:rPr>
          <w:rFonts w:ascii="Arial" w:hAnsi="Arial" w:cs="Arial"/>
          <w:i/>
          <w:spacing w:val="-2"/>
          <w:lang w:eastAsia="es-MX"/>
        </w:rPr>
        <w:t>”.</w:t>
      </w:r>
      <w:r w:rsidR="00F127CD" w:rsidRPr="00165990">
        <w:rPr>
          <w:rFonts w:ascii="Arial" w:hAnsi="Arial" w:cs="Arial"/>
          <w:i/>
          <w:spacing w:val="-2"/>
          <w:lang w:eastAsia="es-MX"/>
        </w:rPr>
        <w:t xml:space="preserve"> </w:t>
      </w:r>
    </w:p>
    <w:p w:rsidR="00F127CD" w:rsidRPr="00165990" w:rsidRDefault="00F127CD" w:rsidP="00E54582">
      <w:pPr>
        <w:spacing w:line="276" w:lineRule="auto"/>
        <w:jc w:val="both"/>
        <w:rPr>
          <w:rFonts w:ascii="Arial" w:hAnsi="Arial" w:cs="Arial"/>
          <w:i/>
          <w:spacing w:val="-2"/>
          <w:lang w:eastAsia="es-MX"/>
        </w:rPr>
      </w:pPr>
    </w:p>
    <w:p w:rsidR="00F127CD" w:rsidRPr="00165990" w:rsidRDefault="00F127CD" w:rsidP="00E54582">
      <w:pPr>
        <w:spacing w:line="276" w:lineRule="auto"/>
        <w:jc w:val="both"/>
        <w:rPr>
          <w:rFonts w:ascii="Arial" w:hAnsi="Arial" w:cs="Arial"/>
          <w:spacing w:val="-2"/>
          <w:lang w:val="es-CO" w:eastAsia="es-CO"/>
        </w:rPr>
      </w:pPr>
      <w:r w:rsidRPr="00165990">
        <w:rPr>
          <w:rFonts w:ascii="Arial" w:hAnsi="Arial" w:cs="Arial"/>
          <w:spacing w:val="-2"/>
          <w:lang w:eastAsia="es-MX"/>
        </w:rPr>
        <w:t xml:space="preserve">Igualmente, en la misma sentencia, </w:t>
      </w:r>
      <w:r w:rsidRPr="00165990">
        <w:rPr>
          <w:rFonts w:ascii="Arial" w:hAnsi="Arial" w:cs="Arial"/>
          <w:spacing w:val="-2"/>
          <w:lang w:val="es-CO" w:eastAsia="es-CO"/>
        </w:rPr>
        <w:t xml:space="preserve">la Corte Constitucional dejó sentada su posición en el sentido de que una negociación no puede hacer caso omiso al núcleo fáctico de la imputación, pues mediante este es que se realiza una correcta adecuación de la conducta típica que se investiga, y por lo tanto en el </w:t>
      </w:r>
      <w:r w:rsidRPr="00165990">
        <w:rPr>
          <w:rFonts w:ascii="Arial" w:hAnsi="Arial" w:cs="Arial"/>
          <w:i/>
          <w:spacing w:val="-2"/>
          <w:lang w:val="es-CO" w:eastAsia="es-CO"/>
        </w:rPr>
        <w:t xml:space="preserve">ítem 48 </w:t>
      </w:r>
      <w:r w:rsidR="00EE1841" w:rsidRPr="00165990">
        <w:rPr>
          <w:rFonts w:ascii="Arial" w:hAnsi="Arial" w:cs="Arial"/>
          <w:spacing w:val="-2"/>
          <w:lang w:val="es-CO" w:eastAsia="es-CO"/>
        </w:rPr>
        <w:t>de ese fallo se dijo</w:t>
      </w:r>
      <w:r w:rsidRPr="00165990">
        <w:rPr>
          <w:rFonts w:ascii="Arial" w:hAnsi="Arial" w:cs="Arial"/>
          <w:spacing w:val="-2"/>
          <w:lang w:val="es-CO" w:eastAsia="es-CO"/>
        </w:rPr>
        <w:t xml:space="preserve">: </w:t>
      </w:r>
      <w:r w:rsidRPr="00165990">
        <w:rPr>
          <w:rFonts w:ascii="Arial" w:hAnsi="Arial" w:cs="Arial"/>
          <w:i/>
          <w:spacing w:val="-2"/>
          <w:lang w:val="es-CO" w:eastAsia="es-CO"/>
        </w:rPr>
        <w:t>“</w:t>
      </w:r>
      <w:r w:rsidRPr="00165990">
        <w:rPr>
          <w:rFonts w:ascii="Arial" w:hAnsi="Arial" w:cs="Arial"/>
          <w:i/>
          <w:spacing w:val="-2"/>
          <w:sz w:val="22"/>
          <w:lang w:val="es-CO" w:eastAsia="es-CO"/>
        </w:rPr>
        <w:t>...</w:t>
      </w:r>
      <w:r w:rsidR="00E54582" w:rsidRPr="00165990">
        <w:rPr>
          <w:rFonts w:ascii="Arial" w:hAnsi="Arial" w:cs="Arial"/>
          <w:i/>
          <w:spacing w:val="-2"/>
          <w:sz w:val="22"/>
          <w:lang w:val="es-CO" w:eastAsia="es-CO"/>
        </w:rPr>
        <w:t xml:space="preserve"> </w:t>
      </w:r>
      <w:r w:rsidRPr="00165990">
        <w:rPr>
          <w:rFonts w:ascii="Arial" w:hAnsi="Arial" w:cs="Arial"/>
          <w:i/>
          <w:spacing w:val="-2"/>
          <w:sz w:val="22"/>
          <w:u w:val="single"/>
          <w:lang w:val="es-CO" w:eastAsia="es-CO"/>
        </w:rPr>
        <w:t>el juez de conocimiento debe confrontar que la adecuación típica plasmada en el escrito se corresponda jurídicamente con los hechos a partir de los cuales las partes alcanzan su acuerdo…</w:t>
      </w:r>
      <w:r w:rsidRPr="00165990">
        <w:rPr>
          <w:rFonts w:ascii="Arial" w:hAnsi="Arial" w:cs="Arial"/>
          <w:i/>
          <w:spacing w:val="-2"/>
          <w:lang w:val="es-CO" w:eastAsia="es-CO"/>
        </w:rPr>
        <w:t>”.</w:t>
      </w:r>
      <w:r w:rsidRPr="00165990">
        <w:rPr>
          <w:rFonts w:ascii="Arial" w:hAnsi="Arial" w:cs="Arial"/>
          <w:spacing w:val="-2"/>
          <w:lang w:val="es-CO" w:eastAsia="es-CO"/>
        </w:rPr>
        <w:t xml:space="preserve"> </w:t>
      </w:r>
    </w:p>
    <w:p w:rsidR="00F127CD" w:rsidRPr="00165990" w:rsidRDefault="00F127CD" w:rsidP="00E54582">
      <w:pPr>
        <w:shd w:val="clear" w:color="auto" w:fill="FFFFFF"/>
        <w:adjustRightInd w:val="0"/>
        <w:snapToGrid w:val="0"/>
        <w:spacing w:line="276" w:lineRule="auto"/>
        <w:jc w:val="both"/>
        <w:rPr>
          <w:rFonts w:ascii="Arial" w:hAnsi="Arial" w:cs="Arial"/>
          <w:spacing w:val="-2"/>
          <w:lang w:val="es-CO" w:eastAsia="es-CO"/>
        </w:rPr>
      </w:pPr>
    </w:p>
    <w:p w:rsidR="00F127CD" w:rsidRPr="00165990" w:rsidRDefault="0081038D" w:rsidP="00E54582">
      <w:pPr>
        <w:shd w:val="clear" w:color="auto" w:fill="FFFFFF"/>
        <w:adjustRightInd w:val="0"/>
        <w:snapToGrid w:val="0"/>
        <w:spacing w:line="276" w:lineRule="auto"/>
        <w:jc w:val="both"/>
        <w:rPr>
          <w:rFonts w:ascii="Arial" w:hAnsi="Arial" w:cs="Arial"/>
          <w:spacing w:val="-2"/>
          <w:lang w:eastAsia="es-CO"/>
        </w:rPr>
      </w:pPr>
      <w:r w:rsidRPr="00165990">
        <w:rPr>
          <w:rFonts w:ascii="Arial" w:hAnsi="Arial" w:cs="Arial"/>
          <w:spacing w:val="-2"/>
          <w:lang w:val="es-CO" w:eastAsia="es-CO"/>
        </w:rPr>
        <w:t xml:space="preserve">6.8 Se </w:t>
      </w:r>
      <w:r w:rsidR="00F127CD" w:rsidRPr="00165990">
        <w:rPr>
          <w:rFonts w:ascii="Arial" w:hAnsi="Arial" w:cs="Arial"/>
          <w:spacing w:val="-2"/>
          <w:lang w:val="es-CO" w:eastAsia="es-CO"/>
        </w:rPr>
        <w:t xml:space="preserve"> de</w:t>
      </w:r>
      <w:r w:rsidR="00EE1841" w:rsidRPr="00165990">
        <w:rPr>
          <w:rFonts w:ascii="Arial" w:hAnsi="Arial" w:cs="Arial"/>
          <w:spacing w:val="-2"/>
          <w:lang w:val="es-CO" w:eastAsia="es-CO"/>
        </w:rPr>
        <w:t>be precisar que una cosa es que</w:t>
      </w:r>
      <w:r w:rsidR="00F127CD" w:rsidRPr="00165990">
        <w:rPr>
          <w:rFonts w:ascii="Arial" w:hAnsi="Arial" w:cs="Arial"/>
          <w:spacing w:val="-2"/>
          <w:lang w:val="es-CO" w:eastAsia="es-CO"/>
        </w:rPr>
        <w:t xml:space="preserve"> pacten circunstancias que por su propia naturaleza no tienen carácter objetivo, como podría ser el grado de indefensión de la víctima en un homicidio o que en un evento de concurso de personas en un delito se tenga a un a</w:t>
      </w:r>
      <w:r w:rsidR="00EE1841" w:rsidRPr="00165990">
        <w:rPr>
          <w:rFonts w:ascii="Arial" w:hAnsi="Arial" w:cs="Arial"/>
          <w:spacing w:val="-2"/>
          <w:lang w:val="es-CO" w:eastAsia="es-CO"/>
        </w:rPr>
        <w:t xml:space="preserve">utor como partícipe, porque serían temas sobre los que podría </w:t>
      </w:r>
      <w:r w:rsidR="00F127CD" w:rsidRPr="00165990">
        <w:rPr>
          <w:rFonts w:ascii="Arial" w:hAnsi="Arial" w:cs="Arial"/>
          <w:spacing w:val="-2"/>
          <w:lang w:val="es-CO" w:eastAsia="es-CO"/>
        </w:rPr>
        <w:t>existir la “</w:t>
      </w:r>
      <w:r w:rsidR="00F127CD" w:rsidRPr="00165990">
        <w:rPr>
          <w:rFonts w:ascii="Arial" w:hAnsi="Arial" w:cs="Arial"/>
          <w:i/>
          <w:spacing w:val="-2"/>
          <w:lang w:val="es-CO" w:eastAsia="es-CO"/>
        </w:rPr>
        <w:t xml:space="preserve">controversia sustantiva”, </w:t>
      </w:r>
      <w:r w:rsidR="00F127CD" w:rsidRPr="00165990">
        <w:rPr>
          <w:rFonts w:ascii="Arial" w:hAnsi="Arial" w:cs="Arial"/>
          <w:spacing w:val="-2"/>
          <w:lang w:val="es-CO" w:eastAsia="es-CO"/>
        </w:rPr>
        <w:t xml:space="preserve">a que se refiere el artículo 10 del </w:t>
      </w:r>
      <w:proofErr w:type="spellStart"/>
      <w:r w:rsidR="00F127CD" w:rsidRPr="00165990">
        <w:rPr>
          <w:rFonts w:ascii="Arial" w:hAnsi="Arial" w:cs="Arial"/>
          <w:spacing w:val="-2"/>
          <w:lang w:val="es-CO" w:eastAsia="es-CO"/>
        </w:rPr>
        <w:t>CP</w:t>
      </w:r>
      <w:proofErr w:type="spellEnd"/>
      <w:r w:rsidR="00F127CD" w:rsidRPr="00165990">
        <w:rPr>
          <w:rFonts w:ascii="Arial" w:hAnsi="Arial" w:cs="Arial"/>
          <w:spacing w:val="-2"/>
          <w:lang w:val="es-CO" w:eastAsia="es-CO"/>
        </w:rPr>
        <w:t xml:space="preserve"> , lo que permitiría cambiar el contexto </w:t>
      </w:r>
      <w:r w:rsidR="00EE1841" w:rsidRPr="00165990">
        <w:rPr>
          <w:rFonts w:ascii="Arial" w:hAnsi="Arial" w:cs="Arial"/>
          <w:spacing w:val="-2"/>
          <w:lang w:val="es-CO" w:eastAsia="es-CO"/>
        </w:rPr>
        <w:t xml:space="preserve">fáctico del caso por vía de un </w:t>
      </w:r>
      <w:r w:rsidR="00F127CD" w:rsidRPr="00165990">
        <w:rPr>
          <w:rFonts w:ascii="Arial" w:hAnsi="Arial" w:cs="Arial"/>
          <w:spacing w:val="-2"/>
          <w:lang w:val="es-CO" w:eastAsia="es-CO"/>
        </w:rPr>
        <w:t>preacuerdo, situación que sin embargo que</w:t>
      </w:r>
      <w:r w:rsidR="00EE1841" w:rsidRPr="00165990">
        <w:rPr>
          <w:rFonts w:ascii="Arial" w:hAnsi="Arial" w:cs="Arial"/>
          <w:spacing w:val="-2"/>
          <w:lang w:val="es-CO" w:eastAsia="es-CO"/>
        </w:rPr>
        <w:t>daría limitada en casos como el</w:t>
      </w:r>
      <w:r w:rsidR="00F127CD" w:rsidRPr="00165990">
        <w:rPr>
          <w:rFonts w:ascii="Arial" w:hAnsi="Arial" w:cs="Arial"/>
          <w:spacing w:val="-2"/>
          <w:lang w:val="es-CO" w:eastAsia="es-CO"/>
        </w:rPr>
        <w:t xml:space="preserve"> pres</w:t>
      </w:r>
      <w:r w:rsidR="00EE1841" w:rsidRPr="00165990">
        <w:rPr>
          <w:rFonts w:ascii="Arial" w:hAnsi="Arial" w:cs="Arial"/>
          <w:spacing w:val="-2"/>
          <w:lang w:val="es-CO" w:eastAsia="es-CO"/>
        </w:rPr>
        <w:t>ente, ya que en la sentencia SU–479 de 2019 , apartado 54 , se</w:t>
      </w:r>
      <w:r w:rsidR="00F127CD" w:rsidRPr="00165990">
        <w:rPr>
          <w:rFonts w:ascii="Arial" w:hAnsi="Arial" w:cs="Arial"/>
          <w:spacing w:val="-2"/>
          <w:lang w:val="es-CO" w:eastAsia="es-CO"/>
        </w:rPr>
        <w:t xml:space="preserve"> hace referencia a la directiva 01 del 28 de septiembre de 2</w:t>
      </w:r>
      <w:r w:rsidR="00EE1841" w:rsidRPr="00165990">
        <w:rPr>
          <w:rFonts w:ascii="Arial" w:hAnsi="Arial" w:cs="Arial"/>
          <w:spacing w:val="-2"/>
          <w:lang w:val="es-CO" w:eastAsia="es-CO"/>
        </w:rPr>
        <w:t>006 de la FGN y se menciona que</w:t>
      </w:r>
      <w:r w:rsidR="00F127CD" w:rsidRPr="00165990">
        <w:rPr>
          <w:rFonts w:ascii="Arial" w:hAnsi="Arial" w:cs="Arial"/>
          <w:spacing w:val="-2"/>
          <w:lang w:val="es-CO" w:eastAsia="es-CO"/>
        </w:rPr>
        <w:t xml:space="preserve"> respecto a </w:t>
      </w:r>
      <w:r w:rsidR="00F127CD" w:rsidRPr="00165990">
        <w:rPr>
          <w:rFonts w:ascii="Arial" w:hAnsi="Arial" w:cs="Arial"/>
          <w:spacing w:val="-2"/>
          <w:lang w:eastAsia="es-CO"/>
        </w:rPr>
        <w:t>aquellos preacuerdos que básicamente modifican los términos de la imputación, “</w:t>
      </w:r>
      <w:r w:rsidR="00F127CD" w:rsidRPr="00165990">
        <w:rPr>
          <w:rFonts w:ascii="Arial" w:hAnsi="Arial" w:cs="Arial"/>
          <w:spacing w:val="-2"/>
          <w:sz w:val="22"/>
          <w:lang w:eastAsia="es-CO"/>
        </w:rPr>
        <w:t>…</w:t>
      </w:r>
      <w:r w:rsidR="00487E90" w:rsidRPr="00165990">
        <w:rPr>
          <w:rFonts w:ascii="Arial" w:hAnsi="Arial" w:cs="Arial"/>
          <w:spacing w:val="-2"/>
          <w:sz w:val="22"/>
          <w:lang w:eastAsia="es-CO"/>
        </w:rPr>
        <w:t xml:space="preserve"> </w:t>
      </w:r>
      <w:r w:rsidR="00F127CD" w:rsidRPr="00165990">
        <w:rPr>
          <w:rFonts w:ascii="Arial" w:hAnsi="Arial" w:cs="Arial"/>
          <w:i/>
          <w:spacing w:val="-2"/>
          <w:sz w:val="22"/>
          <w:lang w:eastAsia="es-CO"/>
        </w:rPr>
        <w:t xml:space="preserve">se puede acordar la tipificación en una forma que traiga como consecuencia la disminución de la pena, y que </w:t>
      </w:r>
      <w:r w:rsidR="00F127CD" w:rsidRPr="00165990">
        <w:rPr>
          <w:rFonts w:ascii="Arial" w:hAnsi="Arial" w:cs="Arial"/>
          <w:i/>
          <w:spacing w:val="-2"/>
          <w:sz w:val="22"/>
          <w:u w:val="single"/>
          <w:lang w:eastAsia="es-CO"/>
        </w:rPr>
        <w:t>“la nueva adecuación típica deberá hacerse de tal forma que no modifique la esencia de la conducta,</w:t>
      </w:r>
      <w:r w:rsidR="00F127CD" w:rsidRPr="00165990">
        <w:rPr>
          <w:rFonts w:ascii="Arial" w:hAnsi="Arial" w:cs="Arial"/>
          <w:i/>
          <w:spacing w:val="-2"/>
          <w:sz w:val="22"/>
          <w:lang w:eastAsia="es-CO"/>
        </w:rPr>
        <w:t xml:space="preserve"> el objeto material ni los sujetos activo y pasivo</w:t>
      </w:r>
      <w:r w:rsidR="00F127CD" w:rsidRPr="00165990">
        <w:rPr>
          <w:rFonts w:ascii="Arial" w:hAnsi="Arial" w:cs="Arial"/>
          <w:i/>
          <w:spacing w:val="-2"/>
          <w:lang w:eastAsia="es-CO"/>
        </w:rPr>
        <w:t>”.</w:t>
      </w:r>
      <w:r w:rsidR="00EE1841" w:rsidRPr="00165990">
        <w:rPr>
          <w:rFonts w:ascii="Arial" w:hAnsi="Arial" w:cs="Arial"/>
          <w:spacing w:val="-2"/>
          <w:lang w:eastAsia="es-CO"/>
        </w:rPr>
        <w:t xml:space="preserve"> (S</w:t>
      </w:r>
      <w:r w:rsidR="00F127CD" w:rsidRPr="00165990">
        <w:rPr>
          <w:rFonts w:ascii="Arial" w:hAnsi="Arial" w:cs="Arial"/>
          <w:spacing w:val="-2"/>
          <w:lang w:eastAsia="es-CO"/>
        </w:rPr>
        <w:t xml:space="preserve">ubrayas ex texto)  </w:t>
      </w:r>
    </w:p>
    <w:p w:rsidR="00F127CD" w:rsidRPr="00165990" w:rsidRDefault="00F127CD" w:rsidP="00E54582">
      <w:pPr>
        <w:spacing w:line="276" w:lineRule="auto"/>
        <w:jc w:val="both"/>
        <w:rPr>
          <w:rFonts w:ascii="Arial" w:hAnsi="Arial" w:cs="Arial"/>
          <w:spacing w:val="-2"/>
          <w:lang w:val="es-CO" w:eastAsia="es-ES_tradnl"/>
        </w:rPr>
      </w:pPr>
    </w:p>
    <w:p w:rsidR="00F127CD" w:rsidRPr="00165990" w:rsidRDefault="009A3BBF" w:rsidP="00E54582">
      <w:pPr>
        <w:spacing w:line="276" w:lineRule="auto"/>
        <w:jc w:val="both"/>
        <w:rPr>
          <w:rFonts w:ascii="Arial" w:hAnsi="Arial" w:cs="Arial"/>
          <w:spacing w:val="-2"/>
          <w:lang w:val="es-CO" w:eastAsia="es-ES_tradnl"/>
        </w:rPr>
      </w:pPr>
      <w:r w:rsidRPr="00165990">
        <w:rPr>
          <w:rFonts w:ascii="Arial" w:hAnsi="Arial" w:cs="Arial"/>
          <w:spacing w:val="-2"/>
          <w:lang w:val="es-CO" w:eastAsia="es-ES_tradnl"/>
        </w:rPr>
        <w:t xml:space="preserve">6.9. En </w:t>
      </w:r>
      <w:r w:rsidR="00EE1841" w:rsidRPr="00165990">
        <w:rPr>
          <w:rFonts w:ascii="Arial" w:hAnsi="Arial" w:cs="Arial"/>
          <w:spacing w:val="-2"/>
          <w:lang w:val="es-CO" w:eastAsia="es-ES_tradnl"/>
        </w:rPr>
        <w:t xml:space="preserve"> atención </w:t>
      </w:r>
      <w:r w:rsidR="00F127CD" w:rsidRPr="00165990">
        <w:rPr>
          <w:rFonts w:ascii="Arial" w:hAnsi="Arial" w:cs="Arial"/>
          <w:spacing w:val="-2"/>
          <w:lang w:val="es-CO" w:eastAsia="es-ES_tradnl"/>
        </w:rPr>
        <w:t xml:space="preserve">a lo expuesto en precedencia, para </w:t>
      </w:r>
      <w:r w:rsidR="00EE1841" w:rsidRPr="00165990">
        <w:rPr>
          <w:rFonts w:ascii="Arial" w:hAnsi="Arial" w:cs="Arial"/>
          <w:spacing w:val="-2"/>
          <w:lang w:val="es-CO" w:eastAsia="es-ES_tradnl"/>
        </w:rPr>
        <w:t>esta Colegiatura</w:t>
      </w:r>
      <w:r w:rsidR="00F127CD" w:rsidRPr="00165990">
        <w:rPr>
          <w:rFonts w:ascii="Arial" w:hAnsi="Arial" w:cs="Arial"/>
          <w:spacing w:val="-2"/>
          <w:lang w:val="es-CO" w:eastAsia="es-ES_tradnl"/>
        </w:rPr>
        <w:t xml:space="preserve"> resulta claro, tal como lo consi</w:t>
      </w:r>
      <w:r w:rsidR="00EE1841" w:rsidRPr="00165990">
        <w:rPr>
          <w:rFonts w:ascii="Arial" w:hAnsi="Arial" w:cs="Arial"/>
          <w:spacing w:val="-2"/>
          <w:lang w:val="es-CO" w:eastAsia="es-ES_tradnl"/>
        </w:rPr>
        <w:t>deró el juez de primer grado, qu</w:t>
      </w:r>
      <w:r w:rsidR="00F127CD" w:rsidRPr="00165990">
        <w:rPr>
          <w:rFonts w:ascii="Arial" w:hAnsi="Arial" w:cs="Arial"/>
          <w:spacing w:val="-2"/>
          <w:lang w:val="es-CO" w:eastAsia="es-ES_tradnl"/>
        </w:rPr>
        <w:t xml:space="preserve">e en el caso </w:t>
      </w:r>
      <w:r w:rsidR="00EE1841" w:rsidRPr="00165990">
        <w:rPr>
          <w:rFonts w:ascii="Arial" w:hAnsi="Arial" w:cs="Arial"/>
          <w:i/>
          <w:spacing w:val="-2"/>
          <w:lang w:val="es-CO" w:eastAsia="es-ES_tradnl"/>
        </w:rPr>
        <w:t>sub examen</w:t>
      </w:r>
      <w:r w:rsidR="00F127CD" w:rsidRPr="00165990">
        <w:rPr>
          <w:rFonts w:ascii="Arial" w:hAnsi="Arial" w:cs="Arial"/>
          <w:spacing w:val="-2"/>
          <w:lang w:val="es-CO" w:eastAsia="es-ES_tradnl"/>
        </w:rPr>
        <w:t xml:space="preserve"> no era posible modificar a través del mecanismo de un preacuerdo, el contexto f</w:t>
      </w:r>
      <w:r w:rsidRPr="00165990">
        <w:rPr>
          <w:rFonts w:ascii="Arial" w:hAnsi="Arial" w:cs="Arial"/>
          <w:spacing w:val="-2"/>
          <w:lang w:val="es-CO" w:eastAsia="es-ES_tradnl"/>
        </w:rPr>
        <w:t xml:space="preserve">áctico </w:t>
      </w:r>
      <w:r w:rsidR="00F127CD" w:rsidRPr="00165990">
        <w:rPr>
          <w:rFonts w:ascii="Arial" w:hAnsi="Arial" w:cs="Arial"/>
          <w:spacing w:val="-2"/>
          <w:lang w:val="es-CO" w:eastAsia="es-ES_tradnl"/>
        </w:rPr>
        <w:t xml:space="preserve"> de la acusación presentada contra el señor </w:t>
      </w:r>
      <w:proofErr w:type="spellStart"/>
      <w:r w:rsidR="005D5D2D" w:rsidRPr="00165990">
        <w:rPr>
          <w:rFonts w:ascii="Arial" w:hAnsi="Arial" w:cs="Arial"/>
          <w:spacing w:val="-2"/>
          <w:lang w:val="es-CO" w:eastAsia="es-ES_tradnl"/>
        </w:rPr>
        <w:t>AMM</w:t>
      </w:r>
      <w:proofErr w:type="spellEnd"/>
      <w:r w:rsidR="00F127CD" w:rsidRPr="00165990">
        <w:rPr>
          <w:rFonts w:ascii="Arial" w:hAnsi="Arial" w:cs="Arial"/>
          <w:spacing w:val="-2"/>
          <w:lang w:val="es-CO" w:eastAsia="es-ES_tradnl"/>
        </w:rPr>
        <w:t xml:space="preserve">, ya que se violaría el principio de </w:t>
      </w:r>
      <w:proofErr w:type="spellStart"/>
      <w:r w:rsidR="00F127CD" w:rsidRPr="00165990">
        <w:rPr>
          <w:rFonts w:ascii="Arial" w:hAnsi="Arial" w:cs="Arial"/>
          <w:spacing w:val="-2"/>
          <w:lang w:val="es-CO" w:eastAsia="es-ES_tradnl"/>
        </w:rPr>
        <w:lastRenderedPageBreak/>
        <w:t>accesoriedad</w:t>
      </w:r>
      <w:proofErr w:type="spellEnd"/>
      <w:r w:rsidR="00F127CD" w:rsidRPr="00165990">
        <w:rPr>
          <w:rFonts w:ascii="Arial" w:hAnsi="Arial" w:cs="Arial"/>
          <w:spacing w:val="-2"/>
          <w:lang w:val="es-CO" w:eastAsia="es-ES_tradnl"/>
        </w:rPr>
        <w:t xml:space="preserve"> que es connatural al concurso de personas en el delito, bajo las formas previstas en el </w:t>
      </w:r>
      <w:r w:rsidR="00EE1841" w:rsidRPr="00165990">
        <w:rPr>
          <w:rFonts w:ascii="Arial" w:hAnsi="Arial" w:cs="Arial"/>
          <w:spacing w:val="-2"/>
          <w:lang w:val="es-CO" w:eastAsia="es-ES_tradnl"/>
        </w:rPr>
        <w:t>a</w:t>
      </w:r>
      <w:r w:rsidR="00F127CD" w:rsidRPr="00165990">
        <w:rPr>
          <w:rFonts w:ascii="Arial" w:hAnsi="Arial" w:cs="Arial"/>
          <w:spacing w:val="-2"/>
          <w:lang w:val="es-CO" w:eastAsia="es-ES_tradnl"/>
        </w:rPr>
        <w:t xml:space="preserve">rtículo 29, </w:t>
      </w:r>
      <w:r w:rsidR="00EE1841" w:rsidRPr="00165990">
        <w:rPr>
          <w:rFonts w:ascii="Arial" w:hAnsi="Arial" w:cs="Arial"/>
          <w:spacing w:val="-2"/>
          <w:lang w:val="es-CO" w:eastAsia="es-ES_tradnl"/>
        </w:rPr>
        <w:t xml:space="preserve">inciso 1º del </w:t>
      </w:r>
      <w:proofErr w:type="spellStart"/>
      <w:r w:rsidR="00EE1841" w:rsidRPr="00165990">
        <w:rPr>
          <w:rFonts w:ascii="Arial" w:hAnsi="Arial" w:cs="Arial"/>
          <w:spacing w:val="-2"/>
          <w:lang w:val="es-CO" w:eastAsia="es-ES_tradnl"/>
        </w:rPr>
        <w:t>CP</w:t>
      </w:r>
      <w:proofErr w:type="spellEnd"/>
      <w:r w:rsidR="00EE1841" w:rsidRPr="00165990">
        <w:rPr>
          <w:rFonts w:ascii="Arial" w:hAnsi="Arial" w:cs="Arial"/>
          <w:spacing w:val="-2"/>
          <w:lang w:val="es-CO" w:eastAsia="es-ES_tradnl"/>
        </w:rPr>
        <w:t>, según el cual</w:t>
      </w:r>
      <w:r w:rsidR="00F127CD" w:rsidRPr="00165990">
        <w:rPr>
          <w:rFonts w:ascii="Arial" w:hAnsi="Arial" w:cs="Arial"/>
          <w:spacing w:val="-2"/>
          <w:lang w:val="es-CO" w:eastAsia="es-ES_tradnl"/>
        </w:rPr>
        <w:t xml:space="preserve">: </w:t>
      </w:r>
      <w:r w:rsidR="00EE1841" w:rsidRPr="00165990">
        <w:rPr>
          <w:rFonts w:ascii="Arial" w:hAnsi="Arial" w:cs="Arial"/>
          <w:i/>
          <w:spacing w:val="-2"/>
          <w:lang w:val="es-CO" w:eastAsia="es-ES_tradnl"/>
        </w:rPr>
        <w:t>“</w:t>
      </w:r>
      <w:r w:rsidR="00F127CD" w:rsidRPr="00165990">
        <w:rPr>
          <w:rFonts w:ascii="Arial" w:hAnsi="Arial" w:cs="Arial"/>
          <w:i/>
          <w:spacing w:val="-2"/>
          <w:sz w:val="22"/>
          <w:lang w:val="es-CO" w:eastAsia="es-ES_tradnl"/>
        </w:rPr>
        <w:t>Es autor quien rea</w:t>
      </w:r>
      <w:r w:rsidR="00EE1841" w:rsidRPr="00165990">
        <w:rPr>
          <w:rFonts w:ascii="Arial" w:hAnsi="Arial" w:cs="Arial"/>
          <w:i/>
          <w:spacing w:val="-2"/>
          <w:sz w:val="22"/>
          <w:lang w:val="es-CO" w:eastAsia="es-ES_tradnl"/>
        </w:rPr>
        <w:t>liza la conducta punible por sí</w:t>
      </w:r>
      <w:r w:rsidR="00F127CD" w:rsidRPr="00165990">
        <w:rPr>
          <w:rFonts w:ascii="Arial" w:hAnsi="Arial" w:cs="Arial"/>
          <w:i/>
          <w:spacing w:val="-2"/>
          <w:sz w:val="22"/>
          <w:lang w:val="es-CO" w:eastAsia="es-ES_tradnl"/>
        </w:rPr>
        <w:t xml:space="preserve"> mismo o utilizando a otro como instrumento</w:t>
      </w:r>
      <w:r w:rsidR="00EE1841" w:rsidRPr="00165990">
        <w:rPr>
          <w:rFonts w:ascii="Arial" w:hAnsi="Arial" w:cs="Arial"/>
          <w:i/>
          <w:spacing w:val="-2"/>
          <w:lang w:val="es-CO" w:eastAsia="es-ES_tradnl"/>
        </w:rPr>
        <w:t>”</w:t>
      </w:r>
      <w:r w:rsidR="00F127CD" w:rsidRPr="00165990">
        <w:rPr>
          <w:rFonts w:ascii="Arial" w:hAnsi="Arial" w:cs="Arial"/>
          <w:i/>
          <w:spacing w:val="-2"/>
          <w:lang w:val="es-CO" w:eastAsia="es-ES_tradnl"/>
        </w:rPr>
        <w:t xml:space="preserve">, </w:t>
      </w:r>
      <w:r w:rsidR="00F127CD" w:rsidRPr="00165990">
        <w:rPr>
          <w:rFonts w:ascii="Arial" w:hAnsi="Arial" w:cs="Arial"/>
          <w:spacing w:val="-2"/>
          <w:lang w:val="es-CO" w:eastAsia="es-ES_tradnl"/>
        </w:rPr>
        <w:t xml:space="preserve">que es la definición legal que se adecua al caso del </w:t>
      </w:r>
      <w:r w:rsidR="005369F3" w:rsidRPr="00165990">
        <w:rPr>
          <w:rFonts w:ascii="Arial" w:hAnsi="Arial" w:cs="Arial"/>
          <w:spacing w:val="-2"/>
          <w:lang w:val="es-CO" w:eastAsia="es-ES_tradnl"/>
        </w:rPr>
        <w:t>acusado</w:t>
      </w:r>
      <w:r w:rsidR="00F127CD" w:rsidRPr="00165990">
        <w:rPr>
          <w:rFonts w:ascii="Arial" w:hAnsi="Arial" w:cs="Arial"/>
          <w:spacing w:val="-2"/>
          <w:lang w:val="es-CO" w:eastAsia="es-ES_tradnl"/>
        </w:rPr>
        <w:t xml:space="preserve">, </w:t>
      </w:r>
      <w:r w:rsidRPr="00165990">
        <w:rPr>
          <w:rFonts w:ascii="Arial" w:hAnsi="Arial" w:cs="Arial"/>
          <w:spacing w:val="-2"/>
          <w:lang w:val="es-CO" w:eastAsia="es-ES_tradnl"/>
        </w:rPr>
        <w:t xml:space="preserve">pues </w:t>
      </w:r>
      <w:r w:rsidR="00F127CD" w:rsidRPr="00165990">
        <w:rPr>
          <w:rFonts w:ascii="Arial" w:hAnsi="Arial" w:cs="Arial"/>
          <w:spacing w:val="-2"/>
          <w:lang w:val="es-CO" w:eastAsia="es-ES_tradnl"/>
        </w:rPr>
        <w:t>no hay duda de que este realizó directamente la conducta descrita en el artículo 376 del</w:t>
      </w:r>
      <w:r w:rsidR="00EE1841" w:rsidRPr="00165990">
        <w:rPr>
          <w:rFonts w:ascii="Arial" w:hAnsi="Arial" w:cs="Arial"/>
          <w:spacing w:val="-2"/>
          <w:lang w:val="es-CO" w:eastAsia="es-ES_tradnl"/>
        </w:rPr>
        <w:t xml:space="preserve"> </w:t>
      </w:r>
      <w:proofErr w:type="spellStart"/>
      <w:r w:rsidR="00EE1841" w:rsidRPr="00165990">
        <w:rPr>
          <w:rFonts w:ascii="Arial" w:hAnsi="Arial" w:cs="Arial"/>
          <w:spacing w:val="-2"/>
          <w:lang w:val="es-CO" w:eastAsia="es-ES_tradnl"/>
        </w:rPr>
        <w:t>CP</w:t>
      </w:r>
      <w:proofErr w:type="spellEnd"/>
      <w:r w:rsidR="00EE1841" w:rsidRPr="00165990">
        <w:rPr>
          <w:rFonts w:ascii="Arial" w:hAnsi="Arial" w:cs="Arial"/>
          <w:spacing w:val="-2"/>
          <w:lang w:val="es-CO" w:eastAsia="es-ES_tradnl"/>
        </w:rPr>
        <w:t xml:space="preserve">, bajo la inflexión verbal “llevar consigo”, conforme a </w:t>
      </w:r>
      <w:r w:rsidR="00F127CD" w:rsidRPr="00165990">
        <w:rPr>
          <w:rFonts w:ascii="Arial" w:hAnsi="Arial" w:cs="Arial"/>
          <w:spacing w:val="-2"/>
          <w:lang w:val="es-CO" w:eastAsia="es-ES_tradnl"/>
        </w:rPr>
        <w:t>la imputación y la acusación, sin que exista evidencia de la existencia de una situación de concurso de personas en este caso.</w:t>
      </w:r>
    </w:p>
    <w:p w:rsidR="00F127CD" w:rsidRPr="00165990" w:rsidRDefault="00F127CD" w:rsidP="00E54582">
      <w:pPr>
        <w:spacing w:line="276" w:lineRule="auto"/>
        <w:jc w:val="both"/>
        <w:rPr>
          <w:rFonts w:ascii="Arial" w:hAnsi="Arial" w:cs="Arial"/>
          <w:spacing w:val="-2"/>
          <w:lang w:val="es-CO" w:eastAsia="es-ES_tradnl"/>
        </w:rPr>
      </w:pPr>
    </w:p>
    <w:p w:rsidR="00F127CD" w:rsidRPr="00165990" w:rsidRDefault="009A3BBF" w:rsidP="00E54582">
      <w:pPr>
        <w:spacing w:line="276" w:lineRule="auto"/>
        <w:jc w:val="both"/>
        <w:rPr>
          <w:rFonts w:ascii="Arial" w:hAnsi="Arial" w:cs="Arial"/>
          <w:spacing w:val="-2"/>
          <w:lang w:val="es-CO" w:eastAsia="es-ES_tradnl"/>
        </w:rPr>
      </w:pPr>
      <w:r w:rsidRPr="00165990">
        <w:rPr>
          <w:rFonts w:ascii="Arial" w:hAnsi="Arial" w:cs="Arial"/>
          <w:spacing w:val="-2"/>
          <w:lang w:val="es-CO" w:eastAsia="es-ES_tradnl"/>
        </w:rPr>
        <w:t>6.10</w:t>
      </w:r>
      <w:r w:rsidR="00F127CD" w:rsidRPr="00165990">
        <w:rPr>
          <w:rFonts w:ascii="Arial" w:hAnsi="Arial" w:cs="Arial"/>
          <w:spacing w:val="-2"/>
          <w:lang w:val="es-CO" w:eastAsia="es-ES_tradnl"/>
        </w:rPr>
        <w:t xml:space="preserve"> En</w:t>
      </w:r>
      <w:r w:rsidRPr="00165990">
        <w:rPr>
          <w:rFonts w:ascii="Arial" w:hAnsi="Arial" w:cs="Arial"/>
          <w:spacing w:val="-2"/>
          <w:lang w:val="es-CO" w:eastAsia="es-ES_tradnl"/>
        </w:rPr>
        <w:t xml:space="preserve"> razón del </w:t>
      </w:r>
      <w:r w:rsidR="00F127CD" w:rsidRPr="00165990">
        <w:rPr>
          <w:rFonts w:ascii="Arial" w:hAnsi="Arial" w:cs="Arial"/>
          <w:spacing w:val="-2"/>
          <w:lang w:val="es-CO" w:eastAsia="es-ES_tradnl"/>
        </w:rPr>
        <w:t xml:space="preserve">carácter vinculante que tiene la </w:t>
      </w:r>
      <w:r w:rsidR="00F127CD" w:rsidRPr="00165990">
        <w:rPr>
          <w:rFonts w:ascii="Arial" w:hAnsi="Arial" w:cs="Arial"/>
          <w:i/>
          <w:spacing w:val="-2"/>
          <w:lang w:val="es-CO" w:eastAsia="es-ES_tradnl"/>
        </w:rPr>
        <w:t xml:space="preserve">ratio </w:t>
      </w:r>
      <w:proofErr w:type="spellStart"/>
      <w:r w:rsidR="00F127CD" w:rsidRPr="00165990">
        <w:rPr>
          <w:rFonts w:ascii="Arial" w:hAnsi="Arial" w:cs="Arial"/>
          <w:i/>
          <w:spacing w:val="-2"/>
          <w:lang w:val="es-CO" w:eastAsia="es-ES_tradnl"/>
        </w:rPr>
        <w:t>decidendi</w:t>
      </w:r>
      <w:proofErr w:type="spellEnd"/>
      <w:r w:rsidR="00F127CD" w:rsidRPr="00165990">
        <w:rPr>
          <w:rFonts w:ascii="Arial" w:hAnsi="Arial" w:cs="Arial"/>
          <w:i/>
          <w:spacing w:val="-2"/>
          <w:lang w:val="es-CO" w:eastAsia="es-ES_tradnl"/>
        </w:rPr>
        <w:t xml:space="preserve">, </w:t>
      </w:r>
      <w:r w:rsidR="00EE1841" w:rsidRPr="00165990">
        <w:rPr>
          <w:rFonts w:ascii="Arial" w:hAnsi="Arial" w:cs="Arial"/>
          <w:spacing w:val="-2"/>
          <w:lang w:val="es-CO" w:eastAsia="es-ES_tradnl"/>
        </w:rPr>
        <w:t>de la sentencia SU–</w:t>
      </w:r>
      <w:r w:rsidR="00F127CD" w:rsidRPr="00165990">
        <w:rPr>
          <w:rFonts w:ascii="Arial" w:hAnsi="Arial" w:cs="Arial"/>
          <w:spacing w:val="-2"/>
          <w:lang w:val="es-CO" w:eastAsia="es-ES_tradnl"/>
        </w:rPr>
        <w:t>479 de 2019, esta Sala considera que en esa decisión se precisaron las facultades que tiene el juez de conocimiento para realizar un control material a</w:t>
      </w:r>
      <w:r w:rsidR="00E028DB" w:rsidRPr="00165990">
        <w:rPr>
          <w:rFonts w:ascii="Arial" w:hAnsi="Arial" w:cs="Arial"/>
          <w:spacing w:val="-2"/>
          <w:lang w:val="es-CO" w:eastAsia="es-ES_tradnl"/>
        </w:rPr>
        <w:t xml:space="preserve"> los preacuerdos que son puestos</w:t>
      </w:r>
      <w:r w:rsidR="00F127CD" w:rsidRPr="00165990">
        <w:rPr>
          <w:rFonts w:ascii="Arial" w:hAnsi="Arial" w:cs="Arial"/>
          <w:spacing w:val="-2"/>
          <w:lang w:val="es-CO" w:eastAsia="es-ES_tradnl"/>
        </w:rPr>
        <w:t xml:space="preserve"> a su consideración, acogiendo lo que la Corte</w:t>
      </w:r>
      <w:r w:rsidR="00EE1841" w:rsidRPr="00165990">
        <w:rPr>
          <w:rFonts w:ascii="Arial" w:hAnsi="Arial" w:cs="Arial"/>
          <w:spacing w:val="-2"/>
          <w:lang w:val="es-CO" w:eastAsia="es-ES_tradnl"/>
        </w:rPr>
        <w:t xml:space="preserve"> Constitucional denominó como “</w:t>
      </w:r>
      <w:r w:rsidR="00F127CD" w:rsidRPr="00165990">
        <w:rPr>
          <w:rFonts w:ascii="Arial" w:hAnsi="Arial" w:cs="Arial"/>
          <w:spacing w:val="-2"/>
          <w:lang w:val="es-CO" w:eastAsia="es-ES_tradnl"/>
        </w:rPr>
        <w:t xml:space="preserve">la segunda postura” de la </w:t>
      </w:r>
      <w:proofErr w:type="spellStart"/>
      <w:r w:rsidR="00F127CD" w:rsidRPr="00165990">
        <w:rPr>
          <w:rFonts w:ascii="Arial" w:hAnsi="Arial" w:cs="Arial"/>
          <w:spacing w:val="-2"/>
          <w:lang w:val="es-CO" w:eastAsia="es-ES_tradnl"/>
        </w:rPr>
        <w:t>SP</w:t>
      </w:r>
      <w:proofErr w:type="spellEnd"/>
      <w:r w:rsidR="00F127CD" w:rsidRPr="00165990">
        <w:rPr>
          <w:rFonts w:ascii="Arial" w:hAnsi="Arial" w:cs="Arial"/>
          <w:spacing w:val="-2"/>
          <w:lang w:val="es-CO" w:eastAsia="es-ES_tradnl"/>
        </w:rPr>
        <w:t xml:space="preserve"> de la CSJ sobre l</w:t>
      </w:r>
      <w:r w:rsidR="00EE1841" w:rsidRPr="00165990">
        <w:rPr>
          <w:rFonts w:ascii="Arial" w:hAnsi="Arial" w:cs="Arial"/>
          <w:spacing w:val="-2"/>
          <w:lang w:val="es-CO" w:eastAsia="es-ES_tradnl"/>
        </w:rPr>
        <w:t>a materia, en la cual dijo que</w:t>
      </w:r>
      <w:r w:rsidR="00F127CD" w:rsidRPr="00165990">
        <w:rPr>
          <w:rFonts w:ascii="Arial" w:hAnsi="Arial" w:cs="Arial"/>
          <w:spacing w:val="-2"/>
          <w:lang w:val="es-CO" w:eastAsia="es-ES_tradnl"/>
        </w:rPr>
        <w:t xml:space="preserve"> los fiscales no podían disponer de la acción penal a su antojo y que los preacuerdos estaban someti</w:t>
      </w:r>
      <w:r w:rsidR="00EE1841" w:rsidRPr="00165990">
        <w:rPr>
          <w:rFonts w:ascii="Arial" w:hAnsi="Arial" w:cs="Arial"/>
          <w:spacing w:val="-2"/>
          <w:lang w:val="es-CO" w:eastAsia="es-ES_tradnl"/>
        </w:rPr>
        <w:t>dos al principio de legalidad (</w:t>
      </w:r>
      <w:r w:rsidR="00F127CD" w:rsidRPr="00165990">
        <w:rPr>
          <w:rFonts w:ascii="Arial" w:hAnsi="Arial" w:cs="Arial"/>
          <w:spacing w:val="-2"/>
          <w:lang w:val="es-CO" w:eastAsia="es-ES_tradnl"/>
        </w:rPr>
        <w:t>ver apartado</w:t>
      </w:r>
      <w:r w:rsidRPr="00165990">
        <w:rPr>
          <w:rFonts w:ascii="Arial" w:hAnsi="Arial" w:cs="Arial"/>
          <w:spacing w:val="-2"/>
          <w:lang w:val="es-CO" w:eastAsia="es-ES_tradnl"/>
        </w:rPr>
        <w:t xml:space="preserve"> 6.5 </w:t>
      </w:r>
      <w:r w:rsidR="00F127CD" w:rsidRPr="00165990">
        <w:rPr>
          <w:rFonts w:ascii="Arial" w:hAnsi="Arial" w:cs="Arial"/>
          <w:spacing w:val="-2"/>
          <w:lang w:val="es-CO" w:eastAsia="es-ES_tradnl"/>
        </w:rPr>
        <w:t xml:space="preserve"> </w:t>
      </w:r>
      <w:r w:rsidR="00EE1841" w:rsidRPr="00165990">
        <w:rPr>
          <w:rFonts w:ascii="Arial" w:hAnsi="Arial" w:cs="Arial"/>
          <w:i/>
          <w:spacing w:val="-2"/>
          <w:lang w:val="es-CO" w:eastAsia="es-ES_tradnl"/>
        </w:rPr>
        <w:t>ítem 67</w:t>
      </w:r>
      <w:r w:rsidR="00F127CD" w:rsidRPr="00165990">
        <w:rPr>
          <w:rFonts w:ascii="Arial" w:hAnsi="Arial" w:cs="Arial"/>
          <w:i/>
          <w:spacing w:val="-2"/>
          <w:lang w:val="es-CO" w:eastAsia="es-ES_tradnl"/>
        </w:rPr>
        <w:t>)</w:t>
      </w:r>
      <w:r w:rsidR="00EE1841" w:rsidRPr="00165990">
        <w:rPr>
          <w:rFonts w:ascii="Arial" w:hAnsi="Arial" w:cs="Arial"/>
          <w:i/>
          <w:spacing w:val="-2"/>
          <w:lang w:val="es-CO" w:eastAsia="es-ES_tradnl"/>
        </w:rPr>
        <w:t>.</w:t>
      </w:r>
      <w:r w:rsidR="00EE1841" w:rsidRPr="00165990">
        <w:rPr>
          <w:rFonts w:ascii="Arial" w:hAnsi="Arial" w:cs="Arial"/>
          <w:spacing w:val="-2"/>
          <w:lang w:val="es-CO" w:eastAsia="es-ES_tradnl"/>
        </w:rPr>
        <w:t xml:space="preserve"> </w:t>
      </w:r>
    </w:p>
    <w:p w:rsidR="00EE1841" w:rsidRPr="00165990" w:rsidRDefault="00EE1841" w:rsidP="00E54582">
      <w:pPr>
        <w:spacing w:line="276" w:lineRule="auto"/>
        <w:jc w:val="both"/>
        <w:rPr>
          <w:rFonts w:ascii="Arial" w:hAnsi="Arial" w:cs="Arial"/>
          <w:spacing w:val="-2"/>
          <w:lang w:val="es-CO" w:eastAsia="es-ES_tradnl"/>
        </w:rPr>
      </w:pPr>
    </w:p>
    <w:p w:rsidR="00F127CD" w:rsidRPr="00165990" w:rsidRDefault="009A3BBF" w:rsidP="00E54582">
      <w:pPr>
        <w:spacing w:line="276" w:lineRule="auto"/>
        <w:jc w:val="both"/>
        <w:rPr>
          <w:rFonts w:ascii="Arial" w:hAnsi="Arial" w:cs="Arial"/>
          <w:spacing w:val="-2"/>
          <w:lang w:eastAsia="es-MX"/>
        </w:rPr>
      </w:pPr>
      <w:r w:rsidRPr="00165990">
        <w:rPr>
          <w:rFonts w:ascii="Arial" w:hAnsi="Arial" w:cs="Arial"/>
          <w:spacing w:val="-2"/>
          <w:lang w:eastAsia="es-MX"/>
        </w:rPr>
        <w:t xml:space="preserve">6.11 </w:t>
      </w:r>
      <w:r w:rsidR="00F127CD" w:rsidRPr="00165990">
        <w:rPr>
          <w:rFonts w:ascii="Arial" w:hAnsi="Arial" w:cs="Arial"/>
          <w:spacing w:val="-2"/>
          <w:lang w:eastAsia="es-MX"/>
        </w:rPr>
        <w:t xml:space="preserve"> En ese sentido hay que tener en cuenta que del contexto fáctico del escrito de acusación</w:t>
      </w:r>
      <w:r w:rsidRPr="00165990">
        <w:rPr>
          <w:rFonts w:ascii="Arial" w:hAnsi="Arial" w:cs="Arial"/>
          <w:spacing w:val="-2"/>
          <w:lang w:eastAsia="es-MX"/>
        </w:rPr>
        <w:t xml:space="preserve"> presentado en el caso </w:t>
      </w:r>
      <w:r w:rsidRPr="00165990">
        <w:rPr>
          <w:rFonts w:ascii="Arial" w:hAnsi="Arial" w:cs="Arial"/>
          <w:i/>
          <w:spacing w:val="-2"/>
          <w:lang w:eastAsia="es-MX"/>
        </w:rPr>
        <w:t>sub examen,</w:t>
      </w:r>
      <w:r w:rsidRPr="00165990">
        <w:rPr>
          <w:rFonts w:ascii="Arial" w:hAnsi="Arial" w:cs="Arial"/>
          <w:spacing w:val="-2"/>
          <w:lang w:eastAsia="es-MX"/>
        </w:rPr>
        <w:t xml:space="preserve"> </w:t>
      </w:r>
      <w:r w:rsidR="00F127CD" w:rsidRPr="00165990">
        <w:rPr>
          <w:rFonts w:ascii="Arial" w:hAnsi="Arial" w:cs="Arial"/>
          <w:spacing w:val="-2"/>
          <w:lang w:eastAsia="es-MX"/>
        </w:rPr>
        <w:t xml:space="preserve"> se desprende lo siguiente: </w:t>
      </w:r>
    </w:p>
    <w:p w:rsidR="00F127CD" w:rsidRPr="00165990" w:rsidRDefault="00F127CD" w:rsidP="00E54582">
      <w:pPr>
        <w:spacing w:line="276" w:lineRule="auto"/>
        <w:jc w:val="both"/>
        <w:rPr>
          <w:rFonts w:ascii="Arial" w:hAnsi="Arial" w:cs="Arial"/>
          <w:spacing w:val="-2"/>
          <w:lang w:eastAsia="es-MX"/>
        </w:rPr>
      </w:pPr>
    </w:p>
    <w:p w:rsidR="00F127CD" w:rsidRPr="00165990" w:rsidRDefault="00F127CD" w:rsidP="00E54582">
      <w:pPr>
        <w:spacing w:line="276" w:lineRule="auto"/>
        <w:jc w:val="both"/>
        <w:rPr>
          <w:rFonts w:ascii="Arial" w:hAnsi="Arial" w:cs="Arial"/>
          <w:spacing w:val="-2"/>
          <w:lang w:eastAsia="es-MX"/>
        </w:rPr>
      </w:pPr>
      <w:r w:rsidRPr="00165990">
        <w:rPr>
          <w:rFonts w:ascii="Arial" w:hAnsi="Arial" w:cs="Arial"/>
          <w:spacing w:val="-2"/>
          <w:lang w:eastAsia="es-MX"/>
        </w:rPr>
        <w:t xml:space="preserve">i) El día 25 de septiembre de 2015, a las 16:40 horas, en la Avenida del Ferrocarril, miembros de la Policía Nacional estaban realizando labores de patrullaje en ese sector, cuando observaron a un sujeto joven, que posteriormente fue identificado como José </w:t>
      </w:r>
      <w:proofErr w:type="spellStart"/>
      <w:r w:rsidR="005D5D2D" w:rsidRPr="00165990">
        <w:rPr>
          <w:rFonts w:ascii="Arial" w:hAnsi="Arial" w:cs="Arial"/>
          <w:spacing w:val="-2"/>
          <w:lang w:eastAsia="es-MX"/>
        </w:rPr>
        <w:t>AMM</w:t>
      </w:r>
      <w:proofErr w:type="spellEnd"/>
      <w:r w:rsidRPr="00165990">
        <w:rPr>
          <w:rFonts w:ascii="Arial" w:hAnsi="Arial" w:cs="Arial"/>
          <w:spacing w:val="-2"/>
          <w:lang w:eastAsia="es-MX"/>
        </w:rPr>
        <w:t xml:space="preserve">, quien al notar la presencia de los uniformados hizo entrega voluntaria de una bolsa transparente que en su interior contenía 180 papeletas de papel color café, con una sustancia pulverulenta, color habano, olor y características similares a estupefacientes, la cual portaba en la pretina de su pantaloneta, motivo por el cual procedieron a realizar su captura. </w:t>
      </w:r>
    </w:p>
    <w:p w:rsidR="00F127CD" w:rsidRPr="00165990" w:rsidRDefault="00F127CD" w:rsidP="00E54582">
      <w:pPr>
        <w:spacing w:line="276" w:lineRule="auto"/>
        <w:jc w:val="both"/>
        <w:rPr>
          <w:rFonts w:ascii="Arial" w:hAnsi="Arial" w:cs="Arial"/>
          <w:spacing w:val="-2"/>
          <w:lang w:eastAsia="es-MX"/>
        </w:rPr>
      </w:pPr>
    </w:p>
    <w:p w:rsidR="00F127CD" w:rsidRPr="00165990" w:rsidRDefault="00F127CD" w:rsidP="00E54582">
      <w:pPr>
        <w:spacing w:line="276" w:lineRule="auto"/>
        <w:jc w:val="both"/>
        <w:rPr>
          <w:rFonts w:ascii="Arial" w:hAnsi="Arial" w:cs="Arial"/>
          <w:spacing w:val="-2"/>
          <w:lang w:eastAsia="es-MX"/>
        </w:rPr>
      </w:pPr>
      <w:r w:rsidRPr="00165990">
        <w:rPr>
          <w:rFonts w:ascii="Arial" w:hAnsi="Arial" w:cs="Arial"/>
          <w:spacing w:val="-2"/>
          <w:lang w:eastAsia="es-MX"/>
        </w:rPr>
        <w:t xml:space="preserve">ii) La sustancia fue sometida a prueba de </w:t>
      </w:r>
      <w:proofErr w:type="spellStart"/>
      <w:r w:rsidRPr="00165990">
        <w:rPr>
          <w:rFonts w:ascii="Arial" w:hAnsi="Arial" w:cs="Arial"/>
          <w:spacing w:val="-2"/>
          <w:lang w:eastAsia="es-MX"/>
        </w:rPr>
        <w:t>PIPH</w:t>
      </w:r>
      <w:proofErr w:type="spellEnd"/>
      <w:r w:rsidRPr="00165990">
        <w:rPr>
          <w:rFonts w:ascii="Arial" w:hAnsi="Arial" w:cs="Arial"/>
          <w:spacing w:val="-2"/>
          <w:lang w:eastAsia="es-MX"/>
        </w:rPr>
        <w:t xml:space="preserve">, la cual arrojó como resultado positiva para cocaína o sus derivados, con un peso neto de 17.2 gramos. </w:t>
      </w:r>
    </w:p>
    <w:p w:rsidR="00F127CD" w:rsidRPr="00165990" w:rsidRDefault="00F127CD" w:rsidP="00E54582">
      <w:pPr>
        <w:spacing w:line="276" w:lineRule="auto"/>
        <w:jc w:val="both"/>
        <w:rPr>
          <w:rFonts w:ascii="Arial" w:hAnsi="Arial" w:cs="Arial"/>
          <w:spacing w:val="-2"/>
          <w:lang w:eastAsia="es-MX"/>
        </w:rPr>
      </w:pPr>
    </w:p>
    <w:p w:rsidR="00F127CD" w:rsidRPr="00165990" w:rsidRDefault="00F127CD" w:rsidP="00E54582">
      <w:pPr>
        <w:spacing w:line="276" w:lineRule="auto"/>
        <w:jc w:val="both"/>
        <w:rPr>
          <w:rFonts w:ascii="Arial" w:hAnsi="Arial" w:cs="Arial"/>
          <w:spacing w:val="-2"/>
          <w:lang w:eastAsia="es-MX"/>
        </w:rPr>
      </w:pPr>
      <w:r w:rsidRPr="00165990">
        <w:rPr>
          <w:rFonts w:ascii="Arial" w:hAnsi="Arial" w:cs="Arial"/>
          <w:spacing w:val="-2"/>
          <w:lang w:eastAsia="es-MX"/>
        </w:rPr>
        <w:t xml:space="preserve">iii) En tal virtud se formuló acusación contra el señor </w:t>
      </w:r>
      <w:proofErr w:type="spellStart"/>
      <w:r w:rsidR="005D5D2D" w:rsidRPr="00165990">
        <w:rPr>
          <w:rFonts w:ascii="Arial" w:hAnsi="Arial" w:cs="Arial"/>
          <w:spacing w:val="-2"/>
          <w:lang w:eastAsia="es-MX"/>
        </w:rPr>
        <w:t>AMM</w:t>
      </w:r>
      <w:proofErr w:type="spellEnd"/>
      <w:r w:rsidRPr="00165990">
        <w:rPr>
          <w:rFonts w:ascii="Arial" w:hAnsi="Arial" w:cs="Arial"/>
          <w:spacing w:val="-2"/>
          <w:lang w:eastAsia="es-MX"/>
        </w:rPr>
        <w:t xml:space="preserve"> como autor de la conducta descrita en el artículo 376 del </w:t>
      </w:r>
      <w:proofErr w:type="spellStart"/>
      <w:r w:rsidRPr="00165990">
        <w:rPr>
          <w:rFonts w:ascii="Arial" w:hAnsi="Arial" w:cs="Arial"/>
          <w:spacing w:val="-2"/>
          <w:lang w:eastAsia="es-MX"/>
        </w:rPr>
        <w:t>CP</w:t>
      </w:r>
      <w:proofErr w:type="spellEnd"/>
      <w:r w:rsidRPr="00165990">
        <w:rPr>
          <w:rFonts w:ascii="Arial" w:hAnsi="Arial" w:cs="Arial"/>
          <w:spacing w:val="-2"/>
          <w:lang w:eastAsia="es-MX"/>
        </w:rPr>
        <w:t xml:space="preserve">, bajo la inflexión verbal “llevar consigo”, con la consecuencia jurídica prevista en el inciso 2º del artículo 376 del </w:t>
      </w:r>
      <w:proofErr w:type="spellStart"/>
      <w:r w:rsidRPr="00165990">
        <w:rPr>
          <w:rFonts w:ascii="Arial" w:hAnsi="Arial" w:cs="Arial"/>
          <w:spacing w:val="-2"/>
          <w:lang w:eastAsia="es-MX"/>
        </w:rPr>
        <w:t>CP</w:t>
      </w:r>
      <w:proofErr w:type="spellEnd"/>
      <w:r w:rsidRPr="00165990">
        <w:rPr>
          <w:rFonts w:ascii="Arial" w:hAnsi="Arial" w:cs="Arial"/>
          <w:spacing w:val="-2"/>
          <w:vertAlign w:val="superscript"/>
          <w:lang w:eastAsia="es-MX"/>
        </w:rPr>
        <w:footnoteReference w:id="32"/>
      </w:r>
      <w:r w:rsidRPr="00165990">
        <w:rPr>
          <w:rFonts w:ascii="Arial" w:hAnsi="Arial" w:cs="Arial"/>
          <w:spacing w:val="-2"/>
          <w:lang w:eastAsia="es-MX"/>
        </w:rPr>
        <w:t>. La acusación resulta conforme con el cargo presentado en la audiencia de formulación de imputación</w:t>
      </w:r>
      <w:r w:rsidRPr="00165990">
        <w:rPr>
          <w:rFonts w:ascii="Arial" w:hAnsi="Arial" w:cs="Arial"/>
          <w:spacing w:val="-2"/>
          <w:vertAlign w:val="superscript"/>
          <w:lang w:eastAsia="es-MX"/>
        </w:rPr>
        <w:footnoteReference w:id="33"/>
      </w:r>
      <w:r w:rsidRPr="00165990">
        <w:rPr>
          <w:rFonts w:ascii="Arial" w:hAnsi="Arial" w:cs="Arial"/>
          <w:spacing w:val="-2"/>
          <w:lang w:eastAsia="es-MX"/>
        </w:rPr>
        <w:t>.</w:t>
      </w:r>
    </w:p>
    <w:p w:rsidR="00F127CD" w:rsidRPr="00165990" w:rsidRDefault="00F127CD" w:rsidP="00E54582">
      <w:pPr>
        <w:spacing w:line="276" w:lineRule="auto"/>
        <w:jc w:val="both"/>
        <w:rPr>
          <w:rFonts w:ascii="Arial" w:hAnsi="Arial" w:cs="Arial"/>
          <w:spacing w:val="-2"/>
          <w:lang w:eastAsia="es-MX"/>
        </w:rPr>
      </w:pPr>
    </w:p>
    <w:p w:rsidR="00F127CD" w:rsidRPr="00165990" w:rsidRDefault="004435B2" w:rsidP="00E54582">
      <w:pPr>
        <w:spacing w:line="276" w:lineRule="auto"/>
        <w:jc w:val="both"/>
        <w:rPr>
          <w:rFonts w:ascii="Arial" w:hAnsi="Arial" w:cs="Arial"/>
          <w:spacing w:val="-2"/>
          <w:lang w:eastAsia="es-MX"/>
        </w:rPr>
      </w:pPr>
      <w:r w:rsidRPr="00165990">
        <w:rPr>
          <w:rFonts w:ascii="Arial" w:hAnsi="Arial" w:cs="Arial"/>
          <w:spacing w:val="-2"/>
          <w:lang w:eastAsia="es-MX"/>
        </w:rPr>
        <w:t>6.12</w:t>
      </w:r>
      <w:r w:rsidR="00F127CD" w:rsidRPr="00165990">
        <w:rPr>
          <w:rFonts w:ascii="Arial" w:hAnsi="Arial" w:cs="Arial"/>
          <w:spacing w:val="-2"/>
          <w:lang w:eastAsia="es-MX"/>
        </w:rPr>
        <w:t xml:space="preserve"> Según el preacuerdo al que se hizo referencia en la audiencia de juicio oral, el pacto entre el acusado y la FGN se basó en que aquel aceptaba los cargos por la violación de la norma de prohibición antes mencionada y que el único beneficio que se le otorgaría era pasar de autor de la conducta investigada a la modalidad de “cómplice” definida en el inciso 3º del artículo 30 del </w:t>
      </w:r>
      <w:proofErr w:type="spellStart"/>
      <w:r w:rsidR="00F127CD" w:rsidRPr="00165990">
        <w:rPr>
          <w:rFonts w:ascii="Arial" w:hAnsi="Arial" w:cs="Arial"/>
          <w:spacing w:val="-2"/>
          <w:lang w:eastAsia="es-MX"/>
        </w:rPr>
        <w:t>CP</w:t>
      </w:r>
      <w:proofErr w:type="spellEnd"/>
      <w:r w:rsidR="00F127CD" w:rsidRPr="00165990">
        <w:rPr>
          <w:rFonts w:ascii="Arial" w:hAnsi="Arial" w:cs="Arial"/>
          <w:spacing w:val="-2"/>
          <w:lang w:eastAsia="es-MX"/>
        </w:rPr>
        <w:t>, con la mayor disminución de pena prevista en esa norma.</w:t>
      </w:r>
    </w:p>
    <w:p w:rsidR="00F127CD" w:rsidRPr="00165990" w:rsidRDefault="00F127CD" w:rsidP="00E54582">
      <w:pPr>
        <w:spacing w:line="276" w:lineRule="auto"/>
        <w:jc w:val="both"/>
        <w:rPr>
          <w:rFonts w:ascii="Arial" w:hAnsi="Arial" w:cs="Arial"/>
          <w:spacing w:val="-2"/>
          <w:lang w:eastAsia="es-MX"/>
        </w:rPr>
      </w:pPr>
    </w:p>
    <w:p w:rsidR="00F127CD" w:rsidRPr="00165990" w:rsidRDefault="009A3BBF" w:rsidP="00E54582">
      <w:pPr>
        <w:spacing w:line="276" w:lineRule="auto"/>
        <w:jc w:val="both"/>
        <w:rPr>
          <w:rFonts w:ascii="Arial" w:hAnsi="Arial" w:cs="Arial"/>
          <w:spacing w:val="-2"/>
          <w:lang w:eastAsia="es-MX"/>
        </w:rPr>
      </w:pPr>
      <w:r w:rsidRPr="00165990">
        <w:rPr>
          <w:rFonts w:ascii="Arial" w:hAnsi="Arial" w:cs="Arial"/>
          <w:spacing w:val="-2"/>
          <w:lang w:eastAsia="es-MX"/>
        </w:rPr>
        <w:t xml:space="preserve">6.13 </w:t>
      </w:r>
      <w:r w:rsidR="00EE1841" w:rsidRPr="00165990">
        <w:rPr>
          <w:rFonts w:ascii="Arial" w:hAnsi="Arial" w:cs="Arial"/>
          <w:spacing w:val="-2"/>
          <w:lang w:eastAsia="es-MX"/>
        </w:rPr>
        <w:t xml:space="preserve"> </w:t>
      </w:r>
      <w:r w:rsidR="00F127CD" w:rsidRPr="00165990">
        <w:rPr>
          <w:rFonts w:ascii="Arial" w:hAnsi="Arial" w:cs="Arial"/>
          <w:spacing w:val="-2"/>
          <w:lang w:eastAsia="es-MX"/>
        </w:rPr>
        <w:t xml:space="preserve">El preacuerdo en mención no fue aceptado por el juez de conocimiento, quien adujo como argumento central que de acuerdo al contexto fáctico de la acusación, la </w:t>
      </w:r>
      <w:r w:rsidR="00F127CD" w:rsidRPr="00165990">
        <w:rPr>
          <w:rFonts w:ascii="Arial" w:hAnsi="Arial" w:cs="Arial"/>
          <w:spacing w:val="-2"/>
          <w:lang w:eastAsia="es-MX"/>
        </w:rPr>
        <w:lastRenderedPageBreak/>
        <w:t xml:space="preserve">conducta investigada constituía un delito unipersonal frente al cual no era posible predicar la complicidad, porque se alteraría el </w:t>
      </w:r>
      <w:proofErr w:type="spellStart"/>
      <w:r w:rsidR="00F127CD" w:rsidRPr="00165990">
        <w:rPr>
          <w:rFonts w:ascii="Arial" w:hAnsi="Arial" w:cs="Arial"/>
          <w:i/>
          <w:spacing w:val="-2"/>
          <w:lang w:eastAsia="es-MX"/>
        </w:rPr>
        <w:t>factum</w:t>
      </w:r>
      <w:proofErr w:type="spellEnd"/>
      <w:r w:rsidR="00F127CD" w:rsidRPr="00165990">
        <w:rPr>
          <w:rFonts w:ascii="Arial" w:hAnsi="Arial" w:cs="Arial"/>
          <w:i/>
          <w:spacing w:val="-2"/>
          <w:lang w:eastAsia="es-MX"/>
        </w:rPr>
        <w:t xml:space="preserve"> </w:t>
      </w:r>
      <w:r w:rsidR="00F127CD" w:rsidRPr="00165990">
        <w:rPr>
          <w:rFonts w:ascii="Arial" w:hAnsi="Arial" w:cs="Arial"/>
          <w:spacing w:val="-2"/>
          <w:lang w:eastAsia="es-MX"/>
        </w:rPr>
        <w:t>de la acusación, lo que iría en contra de l</w:t>
      </w:r>
      <w:r w:rsidR="00EE1841" w:rsidRPr="00165990">
        <w:rPr>
          <w:rFonts w:ascii="Arial" w:hAnsi="Arial" w:cs="Arial"/>
          <w:spacing w:val="-2"/>
          <w:lang w:eastAsia="es-MX"/>
        </w:rPr>
        <w:t>o decidido en la  sentencia SU-</w:t>
      </w:r>
      <w:r w:rsidR="00F127CD" w:rsidRPr="00165990">
        <w:rPr>
          <w:rFonts w:ascii="Arial" w:hAnsi="Arial" w:cs="Arial"/>
          <w:spacing w:val="-2"/>
          <w:lang w:eastAsia="es-MX"/>
        </w:rPr>
        <w:t>479 de 2019.</w:t>
      </w:r>
    </w:p>
    <w:p w:rsidR="00F127CD" w:rsidRPr="00165990" w:rsidRDefault="00F127CD" w:rsidP="00E54582">
      <w:pPr>
        <w:spacing w:line="276" w:lineRule="auto"/>
        <w:jc w:val="both"/>
        <w:rPr>
          <w:rFonts w:ascii="Arial" w:hAnsi="Arial" w:cs="Arial"/>
          <w:spacing w:val="-2"/>
          <w:lang w:eastAsia="es-MX"/>
        </w:rPr>
      </w:pPr>
    </w:p>
    <w:p w:rsidR="00F127CD" w:rsidRPr="00165990" w:rsidRDefault="009A3BBF" w:rsidP="00E54582">
      <w:pPr>
        <w:spacing w:line="276" w:lineRule="auto"/>
        <w:jc w:val="both"/>
        <w:rPr>
          <w:rFonts w:ascii="Arial" w:hAnsi="Arial" w:cs="Arial"/>
          <w:spacing w:val="-2"/>
          <w:lang w:eastAsia="es-MX"/>
        </w:rPr>
      </w:pPr>
      <w:r w:rsidRPr="00165990">
        <w:rPr>
          <w:rFonts w:ascii="Arial" w:hAnsi="Arial" w:cs="Arial"/>
          <w:spacing w:val="-2"/>
          <w:lang w:eastAsia="es-MX"/>
        </w:rPr>
        <w:t>6.14</w:t>
      </w:r>
      <w:r w:rsidR="00F127CD" w:rsidRPr="00165990">
        <w:rPr>
          <w:rFonts w:ascii="Arial" w:hAnsi="Arial" w:cs="Arial"/>
          <w:spacing w:val="-2"/>
          <w:lang w:eastAsia="es-MX"/>
        </w:rPr>
        <w:t xml:space="preserve"> Con respecto a la decisión objeto del recurso, se debe decir en principio que en la doctrina penal y en la jurisprudencia pertinente siempre se ha entendido la figura de la complicidad, a partir del concepto de la </w:t>
      </w:r>
      <w:proofErr w:type="spellStart"/>
      <w:r w:rsidR="00F127CD" w:rsidRPr="00165990">
        <w:rPr>
          <w:rFonts w:ascii="Arial" w:hAnsi="Arial" w:cs="Arial"/>
          <w:spacing w:val="-2"/>
          <w:lang w:eastAsia="es-MX"/>
        </w:rPr>
        <w:t>accesoriedad</w:t>
      </w:r>
      <w:proofErr w:type="spellEnd"/>
      <w:r w:rsidR="00F127CD" w:rsidRPr="00165990">
        <w:rPr>
          <w:rFonts w:ascii="Arial" w:hAnsi="Arial" w:cs="Arial"/>
          <w:spacing w:val="-2"/>
          <w:lang w:eastAsia="es-MX"/>
        </w:rPr>
        <w:t xml:space="preserve"> entre autor y partícipe. </w:t>
      </w:r>
    </w:p>
    <w:p w:rsidR="00F127CD" w:rsidRPr="00165990" w:rsidRDefault="00F127CD" w:rsidP="00E54582">
      <w:pPr>
        <w:spacing w:line="276" w:lineRule="auto"/>
        <w:jc w:val="both"/>
        <w:rPr>
          <w:rFonts w:ascii="Arial" w:hAnsi="Arial" w:cs="Arial"/>
          <w:spacing w:val="-2"/>
          <w:lang w:eastAsia="es-MX"/>
        </w:rPr>
      </w:pPr>
      <w:r w:rsidRPr="00165990">
        <w:rPr>
          <w:rFonts w:ascii="Arial" w:hAnsi="Arial" w:cs="Arial"/>
          <w:spacing w:val="-2"/>
          <w:lang w:eastAsia="es-MX"/>
        </w:rPr>
        <w:t xml:space="preserve">En ese sentido se cita la sentencia CSJ </w:t>
      </w:r>
      <w:proofErr w:type="spellStart"/>
      <w:r w:rsidRPr="00165990">
        <w:rPr>
          <w:rFonts w:ascii="Arial" w:hAnsi="Arial" w:cs="Arial"/>
          <w:spacing w:val="-2"/>
          <w:lang w:eastAsia="es-MX"/>
        </w:rPr>
        <w:t>SP</w:t>
      </w:r>
      <w:proofErr w:type="spellEnd"/>
      <w:r w:rsidRPr="00165990">
        <w:rPr>
          <w:rFonts w:ascii="Arial" w:hAnsi="Arial" w:cs="Arial"/>
          <w:spacing w:val="-2"/>
          <w:lang w:eastAsia="es-MX"/>
        </w:rPr>
        <w:t xml:space="preserve"> del 4 de abril de 2003 radicado 12742, donde se hicieron las siguientes consideraciones genéricas sobre esa forma de intervención en la conducta punible: </w:t>
      </w:r>
    </w:p>
    <w:p w:rsidR="00F127CD" w:rsidRPr="00165990" w:rsidRDefault="00F127CD" w:rsidP="00E54582">
      <w:pPr>
        <w:spacing w:line="276" w:lineRule="auto"/>
        <w:ind w:left="1134" w:right="760"/>
        <w:jc w:val="both"/>
        <w:rPr>
          <w:rFonts w:ascii="Arial" w:hAnsi="Arial" w:cs="Arial"/>
          <w:spacing w:val="-2"/>
        </w:rPr>
      </w:pPr>
    </w:p>
    <w:p w:rsidR="00F127CD" w:rsidRPr="00165990" w:rsidRDefault="00F127CD" w:rsidP="00487E90">
      <w:pPr>
        <w:ind w:left="426" w:right="418"/>
        <w:jc w:val="both"/>
        <w:rPr>
          <w:rFonts w:ascii="Arial" w:hAnsi="Arial" w:cs="Arial"/>
          <w:i/>
          <w:spacing w:val="-2"/>
          <w:sz w:val="22"/>
        </w:rPr>
      </w:pPr>
      <w:r w:rsidRPr="00165990">
        <w:rPr>
          <w:rFonts w:ascii="Arial" w:hAnsi="Arial" w:cs="Arial"/>
          <w:i/>
          <w:spacing w:val="-2"/>
          <w:sz w:val="22"/>
        </w:rPr>
        <w:t>“(…) a) Que exista un autor -o varios-.</w:t>
      </w:r>
    </w:p>
    <w:p w:rsidR="00F127CD" w:rsidRPr="00165990" w:rsidRDefault="00F127CD" w:rsidP="00487E90">
      <w:pPr>
        <w:ind w:left="426" w:right="418" w:firstLine="708"/>
        <w:jc w:val="both"/>
        <w:rPr>
          <w:rFonts w:ascii="Arial" w:hAnsi="Arial" w:cs="Arial"/>
          <w:i/>
          <w:spacing w:val="-2"/>
          <w:sz w:val="22"/>
        </w:rPr>
      </w:pPr>
    </w:p>
    <w:p w:rsidR="00F127CD" w:rsidRPr="00165990" w:rsidRDefault="00F127CD" w:rsidP="00487E90">
      <w:pPr>
        <w:ind w:left="426" w:right="418"/>
        <w:jc w:val="both"/>
        <w:rPr>
          <w:rFonts w:ascii="Arial" w:hAnsi="Arial" w:cs="Arial"/>
          <w:i/>
          <w:spacing w:val="-2"/>
          <w:sz w:val="22"/>
        </w:rPr>
      </w:pPr>
      <w:r w:rsidRPr="00165990">
        <w:rPr>
          <w:rFonts w:ascii="Arial" w:hAnsi="Arial" w:cs="Arial"/>
          <w:i/>
          <w:spacing w:val="-2"/>
          <w:sz w:val="22"/>
        </w:rPr>
        <w:t xml:space="preserve">b) Que los concurrentes -autor y cómplice- se identifiquen en cuanto al delito o delitos que quieren cometer. Uno o </w:t>
      </w:r>
      <w:proofErr w:type="spellStart"/>
      <w:r w:rsidRPr="00165990">
        <w:rPr>
          <w:rFonts w:ascii="Arial" w:hAnsi="Arial" w:cs="Arial"/>
          <w:i/>
          <w:spacing w:val="-2"/>
          <w:sz w:val="22"/>
        </w:rPr>
        <w:t>unos</w:t>
      </w:r>
      <w:proofErr w:type="spellEnd"/>
      <w:r w:rsidRPr="00165990">
        <w:rPr>
          <w:rFonts w:ascii="Arial" w:hAnsi="Arial" w:cs="Arial"/>
          <w:i/>
          <w:spacing w:val="-2"/>
          <w:sz w:val="22"/>
        </w:rPr>
        <w:t xml:space="preserve"> de ellos, como autor o autores; y otro u otros, como ayudantes, como colaboradores, con prestación de apoyo que debe tener trascendencia en el resultado final.</w:t>
      </w:r>
    </w:p>
    <w:p w:rsidR="00F127CD" w:rsidRPr="00165990" w:rsidRDefault="00F127CD" w:rsidP="00487E90">
      <w:pPr>
        <w:ind w:left="426" w:right="418" w:firstLine="708"/>
        <w:jc w:val="both"/>
        <w:rPr>
          <w:rFonts w:ascii="Arial" w:hAnsi="Arial" w:cs="Arial"/>
          <w:i/>
          <w:spacing w:val="-2"/>
          <w:sz w:val="22"/>
        </w:rPr>
      </w:pPr>
    </w:p>
    <w:p w:rsidR="00F127CD" w:rsidRPr="00165990" w:rsidRDefault="00F127CD" w:rsidP="00487E90">
      <w:pPr>
        <w:ind w:left="426" w:right="418"/>
        <w:jc w:val="both"/>
        <w:rPr>
          <w:rFonts w:ascii="Arial" w:hAnsi="Arial" w:cs="Arial"/>
          <w:i/>
          <w:spacing w:val="-2"/>
          <w:sz w:val="22"/>
        </w:rPr>
      </w:pPr>
      <w:r w:rsidRPr="00165990">
        <w:rPr>
          <w:rFonts w:ascii="Arial" w:hAnsi="Arial" w:cs="Arial"/>
          <w:i/>
          <w:spacing w:val="-2"/>
          <w:sz w:val="22"/>
        </w:rPr>
        <w:t>c) Que los dos intervinientes -autor y cómplice- se pongan de acuerdo en aquello que cada uno de ellos va a realizar, convenio que puede ser anterior a la comisión del hecho o concomitante a la iniciación y continuación del mismo, y tácito o expreso.</w:t>
      </w:r>
    </w:p>
    <w:p w:rsidR="00F127CD" w:rsidRPr="00165990" w:rsidRDefault="00F127CD" w:rsidP="00487E90">
      <w:pPr>
        <w:ind w:left="426" w:right="418" w:firstLine="708"/>
        <w:jc w:val="both"/>
        <w:rPr>
          <w:rFonts w:ascii="Arial" w:hAnsi="Arial" w:cs="Arial"/>
          <w:i/>
          <w:spacing w:val="-2"/>
          <w:sz w:val="22"/>
        </w:rPr>
      </w:pPr>
    </w:p>
    <w:p w:rsidR="00F127CD" w:rsidRPr="00165990" w:rsidRDefault="00F127CD" w:rsidP="00487E90">
      <w:pPr>
        <w:ind w:left="426" w:right="418"/>
        <w:jc w:val="both"/>
        <w:rPr>
          <w:rFonts w:ascii="Arial" w:hAnsi="Arial" w:cs="Arial"/>
          <w:i/>
          <w:spacing w:val="-2"/>
          <w:sz w:val="22"/>
        </w:rPr>
      </w:pPr>
      <w:r w:rsidRPr="00165990">
        <w:rPr>
          <w:rFonts w:ascii="Arial" w:hAnsi="Arial" w:cs="Arial"/>
          <w:i/>
          <w:spacing w:val="-2"/>
          <w:sz w:val="22"/>
        </w:rPr>
        <w:t>d) Que exista dolo en las dos personas, es decir, tanto en el autor como en el cómplice.</w:t>
      </w:r>
    </w:p>
    <w:p w:rsidR="00F127CD" w:rsidRPr="00165990" w:rsidRDefault="00F127CD" w:rsidP="00487E90">
      <w:pPr>
        <w:ind w:left="426" w:right="418" w:firstLine="708"/>
        <w:jc w:val="both"/>
        <w:rPr>
          <w:rFonts w:ascii="Arial" w:hAnsi="Arial" w:cs="Arial"/>
          <w:i/>
          <w:spacing w:val="-2"/>
          <w:sz w:val="22"/>
        </w:rPr>
      </w:pPr>
    </w:p>
    <w:p w:rsidR="00F127CD" w:rsidRPr="00165990" w:rsidRDefault="00F127CD" w:rsidP="00487E90">
      <w:pPr>
        <w:ind w:left="426" w:right="418"/>
        <w:jc w:val="both"/>
        <w:rPr>
          <w:rFonts w:ascii="Arial" w:hAnsi="Arial" w:cs="Arial"/>
          <w:i/>
          <w:spacing w:val="-2"/>
          <w:sz w:val="22"/>
        </w:rPr>
      </w:pPr>
      <w:r w:rsidRPr="00165990">
        <w:rPr>
          <w:rFonts w:ascii="Arial" w:hAnsi="Arial" w:cs="Arial"/>
          <w:i/>
          <w:spacing w:val="-2"/>
          <w:sz w:val="22"/>
        </w:rPr>
        <w:t>Como consecuencia de lo anterior, es claro que si no se cumple uno de los dos requisitos anteriores, o ninguno de ellos, la</w:t>
      </w:r>
      <w:r w:rsidR="00EE1841" w:rsidRPr="00165990">
        <w:rPr>
          <w:rFonts w:ascii="Arial" w:hAnsi="Arial" w:cs="Arial"/>
          <w:i/>
          <w:spacing w:val="-2"/>
          <w:sz w:val="22"/>
        </w:rPr>
        <w:t xml:space="preserve"> conducta imputada es atípica…”</w:t>
      </w:r>
      <w:r w:rsidRPr="00165990">
        <w:rPr>
          <w:rFonts w:ascii="Arial" w:hAnsi="Arial" w:cs="Arial"/>
          <w:i/>
          <w:spacing w:val="-2"/>
          <w:sz w:val="22"/>
        </w:rPr>
        <w:t>.</w:t>
      </w:r>
    </w:p>
    <w:p w:rsidR="00F127CD" w:rsidRPr="00165990" w:rsidRDefault="00F127CD" w:rsidP="00E54582">
      <w:pPr>
        <w:spacing w:line="276" w:lineRule="auto"/>
        <w:ind w:right="760"/>
        <w:jc w:val="both"/>
        <w:rPr>
          <w:rFonts w:ascii="Arial" w:hAnsi="Arial" w:cs="Arial"/>
          <w:i/>
          <w:spacing w:val="-2"/>
        </w:rPr>
      </w:pPr>
    </w:p>
    <w:p w:rsidR="00F127CD" w:rsidRPr="00165990" w:rsidRDefault="00F127CD" w:rsidP="00E54582">
      <w:pPr>
        <w:spacing w:line="276" w:lineRule="auto"/>
        <w:ind w:right="51"/>
        <w:jc w:val="both"/>
        <w:rPr>
          <w:rFonts w:ascii="Arial" w:hAnsi="Arial" w:cs="Arial"/>
          <w:spacing w:val="-2"/>
        </w:rPr>
      </w:pPr>
      <w:r w:rsidRPr="00165990">
        <w:rPr>
          <w:rFonts w:ascii="Arial" w:hAnsi="Arial" w:cs="Arial"/>
          <w:spacing w:val="-2"/>
        </w:rPr>
        <w:t xml:space="preserve">A su vez en CSJ </w:t>
      </w:r>
      <w:proofErr w:type="spellStart"/>
      <w:r w:rsidRPr="00165990">
        <w:rPr>
          <w:rFonts w:ascii="Arial" w:hAnsi="Arial" w:cs="Arial"/>
          <w:spacing w:val="-2"/>
        </w:rPr>
        <w:t>SP</w:t>
      </w:r>
      <w:proofErr w:type="spellEnd"/>
      <w:r w:rsidRPr="00165990">
        <w:rPr>
          <w:rFonts w:ascii="Arial" w:hAnsi="Arial" w:cs="Arial"/>
          <w:spacing w:val="-2"/>
        </w:rPr>
        <w:t xml:space="preserve"> del 2 de septiembre de 2009, radicado, 29221 se expuso lo siguiente: </w:t>
      </w:r>
    </w:p>
    <w:p w:rsidR="00F127CD" w:rsidRPr="00165990" w:rsidRDefault="00F127CD" w:rsidP="00E54582">
      <w:pPr>
        <w:spacing w:line="276" w:lineRule="auto"/>
        <w:jc w:val="both"/>
        <w:rPr>
          <w:rFonts w:ascii="Arial" w:hAnsi="Arial" w:cs="Arial"/>
          <w:spacing w:val="-2"/>
        </w:rPr>
      </w:pPr>
    </w:p>
    <w:p w:rsidR="00F127CD" w:rsidRPr="00165990" w:rsidRDefault="00F127CD" w:rsidP="00487E90">
      <w:pPr>
        <w:ind w:left="426" w:right="418"/>
        <w:jc w:val="both"/>
        <w:rPr>
          <w:rFonts w:ascii="Arial" w:hAnsi="Arial" w:cs="Arial"/>
          <w:i/>
          <w:spacing w:val="-2"/>
          <w:sz w:val="22"/>
        </w:rPr>
      </w:pPr>
      <w:r w:rsidRPr="00165990">
        <w:rPr>
          <w:rFonts w:ascii="Arial" w:hAnsi="Arial" w:cs="Arial"/>
          <w:i/>
          <w:spacing w:val="-2"/>
          <w:sz w:val="22"/>
        </w:rPr>
        <w:t xml:space="preserve">“(vii).- Cómplice.- </w:t>
      </w:r>
    </w:p>
    <w:p w:rsidR="00F127CD" w:rsidRPr="00165990" w:rsidRDefault="00F127CD" w:rsidP="00487E90">
      <w:pPr>
        <w:ind w:left="426" w:right="418"/>
        <w:jc w:val="both"/>
        <w:rPr>
          <w:rFonts w:ascii="Arial" w:hAnsi="Arial" w:cs="Arial"/>
          <w:i/>
          <w:spacing w:val="-2"/>
          <w:sz w:val="22"/>
        </w:rPr>
      </w:pPr>
    </w:p>
    <w:p w:rsidR="00F127CD" w:rsidRPr="00165990" w:rsidRDefault="00F127CD" w:rsidP="00487E90">
      <w:pPr>
        <w:ind w:left="426" w:right="418"/>
        <w:jc w:val="both"/>
        <w:rPr>
          <w:rFonts w:ascii="Arial" w:hAnsi="Arial" w:cs="Arial"/>
          <w:i/>
          <w:spacing w:val="-2"/>
          <w:sz w:val="22"/>
        </w:rPr>
      </w:pPr>
      <w:r w:rsidRPr="00165990">
        <w:rPr>
          <w:rFonts w:ascii="Arial" w:hAnsi="Arial" w:cs="Arial"/>
          <w:i/>
          <w:spacing w:val="-2"/>
          <w:sz w:val="22"/>
        </w:rPr>
        <w:t xml:space="preserve">De acuerdo con el artículo 30 de la ley 599 de 2000 “quien contribuya a la realización de la conducta antijurídica o preste una ayuda posterior, por concierto previo o concomitante a la misma, incurrirá en la pena prevista para la correspondiente infracción disminuida de una sexta parte a la mitad”. </w:t>
      </w:r>
    </w:p>
    <w:p w:rsidR="00F127CD" w:rsidRPr="00165990" w:rsidRDefault="00F127CD" w:rsidP="00487E90">
      <w:pPr>
        <w:ind w:left="426" w:right="418"/>
        <w:jc w:val="both"/>
        <w:rPr>
          <w:rFonts w:ascii="Arial" w:hAnsi="Arial" w:cs="Arial"/>
          <w:i/>
          <w:spacing w:val="-2"/>
          <w:sz w:val="22"/>
        </w:rPr>
      </w:pPr>
    </w:p>
    <w:p w:rsidR="00F127CD" w:rsidRPr="00165990" w:rsidRDefault="00F127CD" w:rsidP="00487E90">
      <w:pPr>
        <w:ind w:left="426" w:right="418"/>
        <w:jc w:val="both"/>
        <w:rPr>
          <w:rFonts w:ascii="Arial" w:hAnsi="Arial" w:cs="Arial"/>
          <w:i/>
          <w:spacing w:val="-2"/>
          <w:sz w:val="22"/>
        </w:rPr>
      </w:pPr>
      <w:r w:rsidRPr="00165990">
        <w:rPr>
          <w:rFonts w:ascii="Arial" w:hAnsi="Arial" w:cs="Arial"/>
          <w:i/>
          <w:spacing w:val="-2"/>
          <w:sz w:val="22"/>
        </w:rPr>
        <w:t>Complicidad es la cooperación dolosa en un hecho punible cometido dolosamente por otro. Al igual que en la inducción, no existe complicidad culposa en un hecho ajeno, ni tampoco complicidad en un hecho culposo ajeno (…)</w:t>
      </w:r>
    </w:p>
    <w:p w:rsidR="00F127CD" w:rsidRPr="00165990" w:rsidRDefault="00F127CD" w:rsidP="00487E90">
      <w:pPr>
        <w:ind w:left="426" w:right="418"/>
        <w:jc w:val="both"/>
        <w:rPr>
          <w:rFonts w:ascii="Arial" w:hAnsi="Arial" w:cs="Arial"/>
          <w:i/>
          <w:spacing w:val="-2"/>
          <w:sz w:val="22"/>
        </w:rPr>
      </w:pPr>
    </w:p>
    <w:p w:rsidR="00F127CD" w:rsidRPr="00165990" w:rsidRDefault="00F127CD" w:rsidP="00487E90">
      <w:pPr>
        <w:ind w:left="426" w:right="418"/>
        <w:jc w:val="both"/>
        <w:rPr>
          <w:rFonts w:ascii="Arial" w:hAnsi="Arial" w:cs="Arial"/>
          <w:i/>
          <w:spacing w:val="-2"/>
          <w:sz w:val="22"/>
        </w:rPr>
      </w:pPr>
      <w:r w:rsidRPr="00165990">
        <w:rPr>
          <w:rFonts w:ascii="Arial" w:hAnsi="Arial" w:cs="Arial"/>
          <w:i/>
          <w:spacing w:val="-2"/>
          <w:sz w:val="22"/>
        </w:rPr>
        <w:t>La complicidad puede darse tanto por la vía de un consejo como de un hecho. En el primer caso se habla de complicidad intelectual (psíquica), en el segundo de complicidad técnica (física) sin que sea necesario incluso, posible una delimitación exacta de ambas formas, puesto que una prestación de ayuda técnica puede al mismo tiempo, en la medida en que el autor principal tenga conciencia sobre ella, constituir un fortalecimiento moral de su voluntad y así nuevamente una complicidad intelectual (…)</w:t>
      </w:r>
    </w:p>
    <w:p w:rsidR="00F127CD" w:rsidRPr="00165990" w:rsidRDefault="00F127CD" w:rsidP="00487E90">
      <w:pPr>
        <w:ind w:left="426" w:right="418"/>
        <w:jc w:val="both"/>
        <w:rPr>
          <w:rFonts w:ascii="Arial" w:hAnsi="Arial" w:cs="Arial"/>
          <w:i/>
          <w:spacing w:val="-2"/>
          <w:sz w:val="22"/>
        </w:rPr>
      </w:pPr>
    </w:p>
    <w:p w:rsidR="00F127CD" w:rsidRPr="00165990" w:rsidRDefault="00F127CD" w:rsidP="00487E90">
      <w:pPr>
        <w:ind w:left="426" w:right="418"/>
        <w:jc w:val="both"/>
        <w:rPr>
          <w:rFonts w:ascii="Arial" w:hAnsi="Arial" w:cs="Arial"/>
          <w:spacing w:val="-2"/>
          <w:sz w:val="22"/>
        </w:rPr>
      </w:pPr>
      <w:r w:rsidRPr="00165990">
        <w:rPr>
          <w:rFonts w:ascii="Arial" w:hAnsi="Arial" w:cs="Arial"/>
          <w:i/>
          <w:spacing w:val="-2"/>
          <w:sz w:val="22"/>
        </w:rPr>
        <w:t xml:space="preserve">Los medios de estas dos formas de complicidad no son, en sí, restringidos. En todo caso, ellos requieren de una delimitación en cuanto al límite superior. Si el apoyo es prestado en el marco de la participación que se tenga del dominio colectivo del hecho y respecto del acontecer delictivo global, existirá una coautoría. Hay asimismo inducción y no complicidad cuando la acción de colaboración (como dar un consejo) </w:t>
      </w:r>
      <w:r w:rsidRPr="00165990">
        <w:rPr>
          <w:rFonts w:ascii="Arial" w:hAnsi="Arial" w:cs="Arial"/>
          <w:i/>
          <w:spacing w:val="-2"/>
          <w:sz w:val="22"/>
        </w:rPr>
        <w:lastRenderedPageBreak/>
        <w:t xml:space="preserve">no tiene lugar en el marco del ejercicio del dominio del hecho, mas provoca en el autor principal la resolución a la comisión de la lesión típica al bien jurídico.” </w:t>
      </w:r>
    </w:p>
    <w:p w:rsidR="00F127CD" w:rsidRPr="00165990" w:rsidRDefault="00F127CD" w:rsidP="00E54582">
      <w:pPr>
        <w:spacing w:line="276" w:lineRule="auto"/>
        <w:jc w:val="both"/>
        <w:rPr>
          <w:rFonts w:ascii="Arial" w:hAnsi="Arial" w:cs="Arial"/>
          <w:i/>
          <w:spacing w:val="-2"/>
        </w:rPr>
      </w:pPr>
    </w:p>
    <w:p w:rsidR="00F127CD" w:rsidRPr="00165990" w:rsidRDefault="009A3BBF" w:rsidP="00E54582">
      <w:pPr>
        <w:tabs>
          <w:tab w:val="left" w:pos="2977"/>
        </w:tabs>
        <w:spacing w:line="276" w:lineRule="auto"/>
        <w:ind w:right="51"/>
        <w:jc w:val="both"/>
        <w:rPr>
          <w:rFonts w:ascii="Arial" w:hAnsi="Arial" w:cs="Arial"/>
          <w:spacing w:val="-2"/>
        </w:rPr>
      </w:pPr>
      <w:r w:rsidRPr="00165990">
        <w:rPr>
          <w:rFonts w:ascii="Arial" w:hAnsi="Arial" w:cs="Arial"/>
          <w:spacing w:val="-2"/>
        </w:rPr>
        <w:t>6</w:t>
      </w:r>
      <w:r w:rsidR="00F127CD" w:rsidRPr="00165990">
        <w:rPr>
          <w:rFonts w:ascii="Arial" w:hAnsi="Arial" w:cs="Arial"/>
          <w:spacing w:val="-2"/>
        </w:rPr>
        <w:t xml:space="preserve">.15 </w:t>
      </w:r>
      <w:r w:rsidRPr="00165990">
        <w:rPr>
          <w:rFonts w:ascii="Arial" w:hAnsi="Arial" w:cs="Arial"/>
          <w:spacing w:val="-2"/>
        </w:rPr>
        <w:t>Con base en el co</w:t>
      </w:r>
      <w:r w:rsidR="00F127CD" w:rsidRPr="00165990">
        <w:rPr>
          <w:rFonts w:ascii="Arial" w:hAnsi="Arial" w:cs="Arial"/>
          <w:spacing w:val="-2"/>
        </w:rPr>
        <w:t>ntexto fáctico del presente caso se reitera que los</w:t>
      </w:r>
      <w:r w:rsidR="0089387D" w:rsidRPr="00165990">
        <w:rPr>
          <w:rFonts w:ascii="Arial" w:hAnsi="Arial" w:cs="Arial"/>
          <w:spacing w:val="-2"/>
        </w:rPr>
        <w:t xml:space="preserve"> miembros de la fuerza pública,</w:t>
      </w:r>
      <w:r w:rsidR="00F127CD" w:rsidRPr="00165990">
        <w:rPr>
          <w:rFonts w:ascii="Arial" w:hAnsi="Arial" w:cs="Arial"/>
          <w:spacing w:val="-2"/>
        </w:rPr>
        <w:t xml:space="preserve"> capturaron al acusado </w:t>
      </w:r>
      <w:proofErr w:type="spellStart"/>
      <w:r w:rsidR="005D5D2D" w:rsidRPr="00165990">
        <w:rPr>
          <w:rFonts w:ascii="Arial" w:hAnsi="Arial" w:cs="Arial"/>
          <w:spacing w:val="-2"/>
        </w:rPr>
        <w:t>AMM</w:t>
      </w:r>
      <w:proofErr w:type="spellEnd"/>
      <w:r w:rsidR="00F127CD" w:rsidRPr="00165990">
        <w:rPr>
          <w:rFonts w:ascii="Arial" w:hAnsi="Arial" w:cs="Arial"/>
          <w:spacing w:val="-2"/>
        </w:rPr>
        <w:t xml:space="preserve"> por la tenencia de estup</w:t>
      </w:r>
      <w:r w:rsidR="0089387D" w:rsidRPr="00165990">
        <w:rPr>
          <w:rFonts w:ascii="Arial" w:hAnsi="Arial" w:cs="Arial"/>
          <w:spacing w:val="-2"/>
        </w:rPr>
        <w:t xml:space="preserve">efacientes en cantidad superior la dosis para uso personal, quien </w:t>
      </w:r>
      <w:r w:rsidR="00F127CD" w:rsidRPr="00165990">
        <w:rPr>
          <w:rFonts w:ascii="Arial" w:hAnsi="Arial" w:cs="Arial"/>
          <w:spacing w:val="-2"/>
        </w:rPr>
        <w:t>fue señalado como único autor de la conducta punible que se investiga, lo que se desprende</w:t>
      </w:r>
      <w:r w:rsidR="0089387D" w:rsidRPr="00165990">
        <w:rPr>
          <w:rFonts w:ascii="Arial" w:hAnsi="Arial" w:cs="Arial"/>
          <w:spacing w:val="-2"/>
        </w:rPr>
        <w:t xml:space="preserve"> de los documentos relativos a la aprehensión del procesado, </w:t>
      </w:r>
      <w:r w:rsidR="00F127CD" w:rsidRPr="00165990">
        <w:rPr>
          <w:rFonts w:ascii="Arial" w:hAnsi="Arial" w:cs="Arial"/>
          <w:spacing w:val="-2"/>
        </w:rPr>
        <w:t>donde no se menciona la intervención de</w:t>
      </w:r>
      <w:r w:rsidR="0089387D" w:rsidRPr="00165990">
        <w:rPr>
          <w:rFonts w:ascii="Arial" w:hAnsi="Arial" w:cs="Arial"/>
          <w:spacing w:val="-2"/>
        </w:rPr>
        <w:t xml:space="preserve"> personas diversas al acusado, </w:t>
      </w:r>
      <w:r w:rsidR="00F127CD" w:rsidRPr="00165990">
        <w:rPr>
          <w:rFonts w:ascii="Arial" w:hAnsi="Arial" w:cs="Arial"/>
          <w:spacing w:val="-2"/>
        </w:rPr>
        <w:t>en los actos d</w:t>
      </w:r>
      <w:r w:rsidR="0089387D" w:rsidRPr="00165990">
        <w:rPr>
          <w:rFonts w:ascii="Arial" w:hAnsi="Arial" w:cs="Arial"/>
          <w:spacing w:val="-2"/>
        </w:rPr>
        <w:t>e “llevar consigo” ese material</w:t>
      </w:r>
      <w:r w:rsidR="00F127CD" w:rsidRPr="00165990">
        <w:rPr>
          <w:rFonts w:ascii="Arial" w:hAnsi="Arial" w:cs="Arial"/>
          <w:spacing w:val="-2"/>
        </w:rPr>
        <w:t xml:space="preserve"> sicoactivo, conducta que se subsumió en la norma de prohibición contenida en el artículo 376 del </w:t>
      </w:r>
      <w:proofErr w:type="spellStart"/>
      <w:r w:rsidR="00F127CD" w:rsidRPr="00165990">
        <w:rPr>
          <w:rFonts w:ascii="Arial" w:hAnsi="Arial" w:cs="Arial"/>
          <w:spacing w:val="-2"/>
        </w:rPr>
        <w:t>CP</w:t>
      </w:r>
      <w:proofErr w:type="spellEnd"/>
      <w:r w:rsidR="00F127CD" w:rsidRPr="00165990">
        <w:rPr>
          <w:rFonts w:ascii="Arial" w:hAnsi="Arial" w:cs="Arial"/>
          <w:spacing w:val="-2"/>
        </w:rPr>
        <w:t xml:space="preserve"> con la consecuencia jurídica prevista en el inciso 2º de esa norma según lo actuado en la audiencia de formulación de imputación (</w:t>
      </w:r>
      <w:proofErr w:type="spellStart"/>
      <w:r w:rsidR="00F127CD" w:rsidRPr="00165990">
        <w:rPr>
          <w:rFonts w:ascii="Arial" w:hAnsi="Arial" w:cs="Arial"/>
          <w:spacing w:val="-2"/>
        </w:rPr>
        <w:t>fl</w:t>
      </w:r>
      <w:proofErr w:type="spellEnd"/>
      <w:r w:rsidR="00F127CD" w:rsidRPr="00165990">
        <w:rPr>
          <w:rFonts w:ascii="Arial" w:hAnsi="Arial" w:cs="Arial"/>
          <w:spacing w:val="-2"/>
        </w:rPr>
        <w:t>. 5), siendo este el mismo contexto fáctico que se  incluyó en el  escrito de acusación</w:t>
      </w:r>
      <w:r w:rsidR="00F127CD" w:rsidRPr="00165990">
        <w:rPr>
          <w:rFonts w:ascii="Arial" w:hAnsi="Arial" w:cs="Arial"/>
          <w:spacing w:val="-2"/>
          <w:vertAlign w:val="superscript"/>
        </w:rPr>
        <w:footnoteReference w:id="34"/>
      </w:r>
      <w:r w:rsidR="00F127CD" w:rsidRPr="00165990">
        <w:rPr>
          <w:rFonts w:ascii="Arial" w:hAnsi="Arial" w:cs="Arial"/>
          <w:spacing w:val="-2"/>
        </w:rPr>
        <w:t>.</w:t>
      </w:r>
    </w:p>
    <w:p w:rsidR="00F127CD" w:rsidRPr="00165990" w:rsidRDefault="00F127CD" w:rsidP="00E54582">
      <w:pPr>
        <w:tabs>
          <w:tab w:val="left" w:pos="2977"/>
        </w:tabs>
        <w:spacing w:line="276" w:lineRule="auto"/>
        <w:ind w:right="51"/>
        <w:jc w:val="both"/>
        <w:rPr>
          <w:rFonts w:ascii="Arial" w:hAnsi="Arial" w:cs="Arial"/>
          <w:spacing w:val="-2"/>
        </w:rPr>
      </w:pPr>
    </w:p>
    <w:p w:rsidR="00F127CD" w:rsidRPr="00165990" w:rsidRDefault="009A3BBF" w:rsidP="00E54582">
      <w:pPr>
        <w:tabs>
          <w:tab w:val="left" w:pos="2977"/>
        </w:tabs>
        <w:spacing w:line="276" w:lineRule="auto"/>
        <w:ind w:right="51"/>
        <w:jc w:val="both"/>
        <w:rPr>
          <w:rFonts w:ascii="Arial" w:hAnsi="Arial" w:cs="Arial"/>
          <w:spacing w:val="-2"/>
        </w:rPr>
      </w:pPr>
      <w:r w:rsidRPr="00165990">
        <w:rPr>
          <w:rFonts w:ascii="Arial" w:hAnsi="Arial" w:cs="Arial"/>
          <w:spacing w:val="-2"/>
        </w:rPr>
        <w:t>6</w:t>
      </w:r>
      <w:r w:rsidR="0089387D" w:rsidRPr="00165990">
        <w:rPr>
          <w:rFonts w:ascii="Arial" w:hAnsi="Arial" w:cs="Arial"/>
          <w:spacing w:val="-2"/>
        </w:rPr>
        <w:t>.16</w:t>
      </w:r>
      <w:r w:rsidR="00F127CD" w:rsidRPr="00165990">
        <w:rPr>
          <w:rFonts w:ascii="Arial" w:hAnsi="Arial" w:cs="Arial"/>
          <w:spacing w:val="-2"/>
        </w:rPr>
        <w:t xml:space="preserve"> De lo anterior se desprende que en este </w:t>
      </w:r>
      <w:r w:rsidR="002E1D68" w:rsidRPr="00165990">
        <w:rPr>
          <w:rFonts w:ascii="Arial" w:hAnsi="Arial" w:cs="Arial"/>
          <w:spacing w:val="-2"/>
        </w:rPr>
        <w:t>evento</w:t>
      </w:r>
      <w:r w:rsidR="00F127CD" w:rsidRPr="00165990">
        <w:rPr>
          <w:rFonts w:ascii="Arial" w:hAnsi="Arial" w:cs="Arial"/>
          <w:spacing w:val="-2"/>
        </w:rPr>
        <w:t xml:space="preserve"> el </w:t>
      </w:r>
      <w:proofErr w:type="spellStart"/>
      <w:r w:rsidR="00F127CD" w:rsidRPr="00165990">
        <w:rPr>
          <w:rFonts w:ascii="Arial" w:hAnsi="Arial" w:cs="Arial"/>
          <w:i/>
          <w:spacing w:val="-2"/>
        </w:rPr>
        <w:t>factum</w:t>
      </w:r>
      <w:proofErr w:type="spellEnd"/>
      <w:r w:rsidR="00F127CD" w:rsidRPr="00165990">
        <w:rPr>
          <w:rFonts w:ascii="Arial" w:hAnsi="Arial" w:cs="Arial"/>
          <w:i/>
          <w:spacing w:val="-2"/>
        </w:rPr>
        <w:t xml:space="preserve"> </w:t>
      </w:r>
      <w:r w:rsidR="00F127CD" w:rsidRPr="00165990">
        <w:rPr>
          <w:rFonts w:ascii="Arial" w:hAnsi="Arial" w:cs="Arial"/>
          <w:spacing w:val="-2"/>
        </w:rPr>
        <w:t>de la acusación no co</w:t>
      </w:r>
      <w:r w:rsidR="0089387D" w:rsidRPr="00165990">
        <w:rPr>
          <w:rFonts w:ascii="Arial" w:hAnsi="Arial" w:cs="Arial"/>
          <w:spacing w:val="-2"/>
        </w:rPr>
        <w:t>rrespo</w:t>
      </w:r>
      <w:r w:rsidR="00E028DB" w:rsidRPr="00165990">
        <w:rPr>
          <w:rFonts w:ascii="Arial" w:hAnsi="Arial" w:cs="Arial"/>
          <w:spacing w:val="-2"/>
        </w:rPr>
        <w:t>nde en modo alguno a un</w:t>
      </w:r>
      <w:r w:rsidR="002E1D68" w:rsidRPr="00165990">
        <w:rPr>
          <w:rFonts w:ascii="Arial" w:hAnsi="Arial" w:cs="Arial"/>
          <w:spacing w:val="-2"/>
        </w:rPr>
        <w:t>a situación de</w:t>
      </w:r>
      <w:r w:rsidR="00F127CD" w:rsidRPr="00165990">
        <w:rPr>
          <w:rFonts w:ascii="Arial" w:hAnsi="Arial" w:cs="Arial"/>
          <w:spacing w:val="-2"/>
        </w:rPr>
        <w:t xml:space="preserve"> concurso de personas en la conducta punible, ya que </w:t>
      </w:r>
      <w:r w:rsidR="002E1D68" w:rsidRPr="00165990">
        <w:rPr>
          <w:rFonts w:ascii="Arial" w:hAnsi="Arial" w:cs="Arial"/>
          <w:spacing w:val="-2"/>
        </w:rPr>
        <w:t>conforme a lo</w:t>
      </w:r>
      <w:r w:rsidR="00F127CD" w:rsidRPr="00165990">
        <w:rPr>
          <w:rFonts w:ascii="Arial" w:hAnsi="Arial" w:cs="Arial"/>
          <w:spacing w:val="-2"/>
        </w:rPr>
        <w:t xml:space="preserve"> dispuesto en el numeral 1º del artículo 337 del </w:t>
      </w:r>
      <w:proofErr w:type="spellStart"/>
      <w:r w:rsidR="00F127CD" w:rsidRPr="00165990">
        <w:rPr>
          <w:rFonts w:ascii="Arial" w:hAnsi="Arial" w:cs="Arial"/>
          <w:spacing w:val="-2"/>
        </w:rPr>
        <w:t>CPP</w:t>
      </w:r>
      <w:proofErr w:type="spellEnd"/>
      <w:r w:rsidR="00F127CD" w:rsidRPr="00165990">
        <w:rPr>
          <w:rFonts w:ascii="Arial" w:hAnsi="Arial" w:cs="Arial"/>
          <w:spacing w:val="-2"/>
        </w:rPr>
        <w:t xml:space="preserve">, se entiende que el escrito de acusación se dirigió exclusivamente contra el señor José </w:t>
      </w:r>
      <w:proofErr w:type="spellStart"/>
      <w:r w:rsidR="005D5D2D" w:rsidRPr="00165990">
        <w:rPr>
          <w:rFonts w:ascii="Arial" w:hAnsi="Arial" w:cs="Arial"/>
          <w:spacing w:val="-2"/>
        </w:rPr>
        <w:t>AMM</w:t>
      </w:r>
      <w:proofErr w:type="spellEnd"/>
      <w:r w:rsidR="00F127CD" w:rsidRPr="00165990">
        <w:rPr>
          <w:rFonts w:ascii="Arial" w:hAnsi="Arial" w:cs="Arial"/>
          <w:spacing w:val="-2"/>
        </w:rPr>
        <w:t xml:space="preserve">, quien fue acusado como </w:t>
      </w:r>
      <w:r w:rsidR="00F127CD" w:rsidRPr="00165990">
        <w:rPr>
          <w:rFonts w:ascii="Arial" w:hAnsi="Arial" w:cs="Arial"/>
          <w:spacing w:val="-2"/>
          <w:u w:val="single"/>
        </w:rPr>
        <w:t xml:space="preserve">único autor </w:t>
      </w:r>
      <w:r w:rsidR="00F127CD" w:rsidRPr="00165990">
        <w:rPr>
          <w:rFonts w:ascii="Arial" w:hAnsi="Arial" w:cs="Arial"/>
          <w:spacing w:val="-2"/>
        </w:rPr>
        <w:t xml:space="preserve">de la violación del artículo 376 del </w:t>
      </w:r>
      <w:proofErr w:type="spellStart"/>
      <w:r w:rsidR="00F127CD" w:rsidRPr="00165990">
        <w:rPr>
          <w:rFonts w:ascii="Arial" w:hAnsi="Arial" w:cs="Arial"/>
          <w:spacing w:val="-2"/>
        </w:rPr>
        <w:t>CP</w:t>
      </w:r>
      <w:proofErr w:type="spellEnd"/>
      <w:r w:rsidR="00F127CD" w:rsidRPr="00165990">
        <w:rPr>
          <w:rFonts w:ascii="Arial" w:hAnsi="Arial" w:cs="Arial"/>
          <w:spacing w:val="-2"/>
        </w:rPr>
        <w:t>, lo cual tiene notoria injerencia frente a la decisión a adoptar en este caso</w:t>
      </w:r>
      <w:r w:rsidR="00501D8F" w:rsidRPr="00165990">
        <w:rPr>
          <w:rFonts w:ascii="Arial" w:hAnsi="Arial" w:cs="Arial"/>
          <w:spacing w:val="-2"/>
        </w:rPr>
        <w:t xml:space="preserve">, </w:t>
      </w:r>
      <w:r w:rsidR="00F127CD" w:rsidRPr="00165990">
        <w:rPr>
          <w:rFonts w:ascii="Arial" w:hAnsi="Arial" w:cs="Arial"/>
          <w:spacing w:val="-2"/>
        </w:rPr>
        <w:t xml:space="preserve">donde por vía de preacuerdo se degradó la participación del acusado de autor a partícipe de ese delito en la modalidad de complicidad, a través de un  acuerdo que versó </w:t>
      </w:r>
      <w:r w:rsidR="00F127CD" w:rsidRPr="00165990">
        <w:rPr>
          <w:rFonts w:ascii="Arial" w:hAnsi="Arial" w:cs="Arial"/>
          <w:i/>
          <w:spacing w:val="-2"/>
        </w:rPr>
        <w:t>“</w:t>
      </w:r>
      <w:r w:rsidR="00F127CD" w:rsidRPr="00165990">
        <w:rPr>
          <w:rFonts w:ascii="Arial" w:hAnsi="Arial" w:cs="Arial"/>
          <w:i/>
          <w:spacing w:val="-2"/>
          <w:sz w:val="22"/>
        </w:rPr>
        <w:t>sobre los hechos imputados y sus consecuencias</w:t>
      </w:r>
      <w:r w:rsidR="00F127CD" w:rsidRPr="00165990">
        <w:rPr>
          <w:rFonts w:ascii="Arial" w:hAnsi="Arial" w:cs="Arial"/>
          <w:i/>
          <w:spacing w:val="-2"/>
        </w:rPr>
        <w:t xml:space="preserve">”, </w:t>
      </w:r>
      <w:r w:rsidR="00F127CD" w:rsidRPr="00165990">
        <w:rPr>
          <w:rFonts w:ascii="Arial" w:hAnsi="Arial" w:cs="Arial"/>
          <w:spacing w:val="-2"/>
        </w:rPr>
        <w:t xml:space="preserve">en los términos del inciso 2º del artículo 351 del </w:t>
      </w:r>
      <w:proofErr w:type="spellStart"/>
      <w:r w:rsidR="00F127CD" w:rsidRPr="00165990">
        <w:rPr>
          <w:rFonts w:ascii="Arial" w:hAnsi="Arial" w:cs="Arial"/>
          <w:spacing w:val="-2"/>
        </w:rPr>
        <w:t>CPP</w:t>
      </w:r>
      <w:proofErr w:type="spellEnd"/>
      <w:r w:rsidR="00F127CD" w:rsidRPr="00165990">
        <w:rPr>
          <w:rFonts w:ascii="Arial" w:hAnsi="Arial" w:cs="Arial"/>
          <w:spacing w:val="-2"/>
        </w:rPr>
        <w:t>.</w:t>
      </w:r>
    </w:p>
    <w:p w:rsidR="00F127CD" w:rsidRPr="00165990" w:rsidRDefault="00F127CD" w:rsidP="00E54582">
      <w:pPr>
        <w:spacing w:line="276" w:lineRule="auto"/>
        <w:jc w:val="both"/>
        <w:rPr>
          <w:rFonts w:ascii="Arial" w:hAnsi="Arial" w:cs="Arial"/>
          <w:spacing w:val="-2"/>
        </w:rPr>
      </w:pPr>
    </w:p>
    <w:p w:rsidR="00F127CD" w:rsidRPr="00165990" w:rsidRDefault="00501D8F" w:rsidP="00E54582">
      <w:pPr>
        <w:spacing w:line="276" w:lineRule="auto"/>
        <w:jc w:val="both"/>
        <w:rPr>
          <w:rFonts w:ascii="Arial" w:hAnsi="Arial" w:cs="Arial"/>
          <w:spacing w:val="-2"/>
        </w:rPr>
      </w:pPr>
      <w:r w:rsidRPr="00165990">
        <w:rPr>
          <w:rFonts w:ascii="Arial" w:hAnsi="Arial" w:cs="Arial"/>
          <w:spacing w:val="-2"/>
        </w:rPr>
        <w:t>6</w:t>
      </w:r>
      <w:r w:rsidR="0089387D" w:rsidRPr="00165990">
        <w:rPr>
          <w:rFonts w:ascii="Arial" w:hAnsi="Arial" w:cs="Arial"/>
          <w:spacing w:val="-2"/>
        </w:rPr>
        <w:t>.17 Por eso se considera que al no presentarse u</w:t>
      </w:r>
      <w:r w:rsidR="003643CA" w:rsidRPr="00165990">
        <w:rPr>
          <w:rFonts w:ascii="Arial" w:hAnsi="Arial" w:cs="Arial"/>
          <w:spacing w:val="-2"/>
        </w:rPr>
        <w:t>n</w:t>
      </w:r>
      <w:r w:rsidR="00F127CD" w:rsidRPr="00165990">
        <w:rPr>
          <w:rFonts w:ascii="Arial" w:hAnsi="Arial" w:cs="Arial"/>
          <w:spacing w:val="-2"/>
        </w:rPr>
        <w:t xml:space="preserve"> evento de concurso de personas en el delito que se investiga, la degradación de la conducta del señor </w:t>
      </w:r>
      <w:proofErr w:type="spellStart"/>
      <w:r w:rsidR="005D5D2D" w:rsidRPr="00165990">
        <w:rPr>
          <w:rFonts w:ascii="Arial" w:hAnsi="Arial" w:cs="Arial"/>
          <w:spacing w:val="-2"/>
        </w:rPr>
        <w:t>AMM</w:t>
      </w:r>
      <w:proofErr w:type="spellEnd"/>
      <w:r w:rsidR="00F127CD" w:rsidRPr="00165990">
        <w:rPr>
          <w:rFonts w:ascii="Arial" w:hAnsi="Arial" w:cs="Arial"/>
          <w:spacing w:val="-2"/>
        </w:rPr>
        <w:t>, de autor a partícipe del inju</w:t>
      </w:r>
      <w:r w:rsidR="0089387D" w:rsidRPr="00165990">
        <w:rPr>
          <w:rFonts w:ascii="Arial" w:hAnsi="Arial" w:cs="Arial"/>
          <w:spacing w:val="-2"/>
        </w:rPr>
        <w:t xml:space="preserve">sto investigado, significó una </w:t>
      </w:r>
      <w:r w:rsidR="00F127CD" w:rsidRPr="00165990">
        <w:rPr>
          <w:rFonts w:ascii="Arial" w:hAnsi="Arial" w:cs="Arial"/>
          <w:spacing w:val="-2"/>
        </w:rPr>
        <w:t xml:space="preserve">modificación del contexto fáctico de la acusación, que fue enmarcada dentro del ámbito de un </w:t>
      </w:r>
      <w:r w:rsidR="00F127CD" w:rsidRPr="00165990">
        <w:rPr>
          <w:rFonts w:ascii="Arial" w:hAnsi="Arial" w:cs="Arial"/>
          <w:spacing w:val="-2"/>
          <w:u w:val="single"/>
        </w:rPr>
        <w:t>delito unipersonal</w:t>
      </w:r>
      <w:r w:rsidR="00F127CD" w:rsidRPr="00165990">
        <w:rPr>
          <w:rFonts w:ascii="Arial" w:hAnsi="Arial" w:cs="Arial"/>
          <w:spacing w:val="-2"/>
        </w:rPr>
        <w:t xml:space="preserve">, por lo cual no resultaba posible que se redefiniera la intervención del incriminado bajo la forma de </w:t>
      </w:r>
      <w:r w:rsidR="00F127CD" w:rsidRPr="00165990">
        <w:rPr>
          <w:rFonts w:ascii="Arial" w:hAnsi="Arial" w:cs="Arial"/>
          <w:i/>
          <w:spacing w:val="-2"/>
        </w:rPr>
        <w:t xml:space="preserve">complicidad, </w:t>
      </w:r>
      <w:r w:rsidR="003643CA" w:rsidRPr="00165990">
        <w:rPr>
          <w:rFonts w:ascii="Arial" w:hAnsi="Arial" w:cs="Arial"/>
          <w:spacing w:val="-2"/>
        </w:rPr>
        <w:t>ya que se alteró la</w:t>
      </w:r>
      <w:r w:rsidR="00F127CD" w:rsidRPr="00165990">
        <w:rPr>
          <w:rFonts w:ascii="Arial" w:hAnsi="Arial" w:cs="Arial"/>
          <w:spacing w:val="-2"/>
        </w:rPr>
        <w:t xml:space="preserve"> </w:t>
      </w:r>
      <w:proofErr w:type="spellStart"/>
      <w:r w:rsidR="00F127CD" w:rsidRPr="00165990">
        <w:rPr>
          <w:rFonts w:ascii="Arial" w:hAnsi="Arial" w:cs="Arial"/>
          <w:i/>
          <w:spacing w:val="-2"/>
        </w:rPr>
        <w:t>imputatio</w:t>
      </w:r>
      <w:proofErr w:type="spellEnd"/>
      <w:r w:rsidR="00F127CD" w:rsidRPr="00165990">
        <w:rPr>
          <w:rFonts w:ascii="Arial" w:hAnsi="Arial" w:cs="Arial"/>
          <w:i/>
          <w:spacing w:val="-2"/>
        </w:rPr>
        <w:t xml:space="preserve"> </w:t>
      </w:r>
      <w:proofErr w:type="spellStart"/>
      <w:r w:rsidR="00F127CD" w:rsidRPr="00165990">
        <w:rPr>
          <w:rFonts w:ascii="Arial" w:hAnsi="Arial" w:cs="Arial"/>
          <w:i/>
          <w:spacing w:val="-2"/>
        </w:rPr>
        <w:t>factii</w:t>
      </w:r>
      <w:proofErr w:type="spellEnd"/>
      <w:r w:rsidR="00F127CD" w:rsidRPr="00165990">
        <w:rPr>
          <w:rFonts w:ascii="Arial" w:hAnsi="Arial" w:cs="Arial"/>
          <w:i/>
          <w:spacing w:val="-2"/>
        </w:rPr>
        <w:t xml:space="preserve">, </w:t>
      </w:r>
      <w:r w:rsidR="00F127CD" w:rsidRPr="00165990">
        <w:rPr>
          <w:rFonts w:ascii="Arial" w:hAnsi="Arial" w:cs="Arial"/>
          <w:spacing w:val="-2"/>
        </w:rPr>
        <w:t xml:space="preserve">a efectos de modificar la </w:t>
      </w:r>
      <w:proofErr w:type="spellStart"/>
      <w:r w:rsidR="0089387D" w:rsidRPr="00165990">
        <w:rPr>
          <w:rFonts w:ascii="Arial" w:hAnsi="Arial" w:cs="Arial"/>
          <w:i/>
          <w:spacing w:val="-2"/>
        </w:rPr>
        <w:t>imputati</w:t>
      </w:r>
      <w:proofErr w:type="spellEnd"/>
      <w:r w:rsidR="0089387D" w:rsidRPr="00165990">
        <w:rPr>
          <w:rFonts w:ascii="Arial" w:hAnsi="Arial" w:cs="Arial"/>
          <w:i/>
          <w:spacing w:val="-2"/>
        </w:rPr>
        <w:t xml:space="preserve"> iuris,</w:t>
      </w:r>
      <w:r w:rsidR="00F127CD" w:rsidRPr="00165990">
        <w:rPr>
          <w:rFonts w:ascii="Arial" w:hAnsi="Arial" w:cs="Arial"/>
          <w:spacing w:val="-2"/>
        </w:rPr>
        <w:t xml:space="preserve"> con el propósito de retribuir su avenimiento a los cargos presentados en su contra.</w:t>
      </w:r>
    </w:p>
    <w:p w:rsidR="00F127CD" w:rsidRPr="00165990" w:rsidRDefault="00F127CD" w:rsidP="00E54582">
      <w:pPr>
        <w:spacing w:line="276" w:lineRule="auto"/>
        <w:jc w:val="both"/>
        <w:rPr>
          <w:rFonts w:ascii="Arial" w:hAnsi="Arial" w:cs="Arial"/>
          <w:spacing w:val="-2"/>
        </w:rPr>
      </w:pPr>
    </w:p>
    <w:p w:rsidR="00F127CD" w:rsidRPr="00165990" w:rsidRDefault="00501D8F" w:rsidP="00E54582">
      <w:pPr>
        <w:spacing w:line="276" w:lineRule="auto"/>
        <w:jc w:val="both"/>
        <w:rPr>
          <w:rFonts w:ascii="Arial" w:hAnsi="Arial" w:cs="Arial"/>
          <w:spacing w:val="-2"/>
        </w:rPr>
      </w:pPr>
      <w:r w:rsidRPr="00165990">
        <w:rPr>
          <w:rFonts w:ascii="Arial" w:hAnsi="Arial" w:cs="Arial"/>
          <w:spacing w:val="-2"/>
        </w:rPr>
        <w:t>6</w:t>
      </w:r>
      <w:r w:rsidR="00F127CD" w:rsidRPr="00165990">
        <w:rPr>
          <w:rFonts w:ascii="Arial" w:hAnsi="Arial" w:cs="Arial"/>
          <w:spacing w:val="-2"/>
        </w:rPr>
        <w:t>.18 Como ref</w:t>
      </w:r>
      <w:r w:rsidR="0089387D" w:rsidRPr="00165990">
        <w:rPr>
          <w:rFonts w:ascii="Arial" w:hAnsi="Arial" w:cs="Arial"/>
          <w:spacing w:val="-2"/>
        </w:rPr>
        <w:t>erente sobre el tema en estudio, cabe recordar que</w:t>
      </w:r>
      <w:r w:rsidR="00F127CD" w:rsidRPr="00165990">
        <w:rPr>
          <w:rFonts w:ascii="Arial" w:hAnsi="Arial" w:cs="Arial"/>
          <w:spacing w:val="-2"/>
        </w:rPr>
        <w:t xml:space="preserve"> en decisión del 8 de julio de 2015, </w:t>
      </w:r>
      <w:proofErr w:type="spellStart"/>
      <w:r w:rsidR="00F127CD" w:rsidRPr="00165990">
        <w:rPr>
          <w:rFonts w:ascii="Arial" w:hAnsi="Arial" w:cs="Arial"/>
          <w:spacing w:val="-2"/>
        </w:rPr>
        <w:t>MP</w:t>
      </w:r>
      <w:proofErr w:type="spellEnd"/>
      <w:r w:rsidR="00F127CD" w:rsidRPr="00165990">
        <w:rPr>
          <w:rFonts w:ascii="Arial" w:hAnsi="Arial" w:cs="Arial"/>
          <w:spacing w:val="-2"/>
        </w:rPr>
        <w:t xml:space="preserve">. Jorge Arturo Castaño Duque, tomada dentro del proceso adelantado contra Diego Alejandro Ospina Sánchez, que se tramitó en el Juzgado 5º Penal del Circuito de esta ciudad por la violación del artículo 365 del </w:t>
      </w:r>
      <w:proofErr w:type="spellStart"/>
      <w:r w:rsidR="00F127CD" w:rsidRPr="00165990">
        <w:rPr>
          <w:rFonts w:ascii="Arial" w:hAnsi="Arial" w:cs="Arial"/>
          <w:spacing w:val="-2"/>
        </w:rPr>
        <w:t>CP</w:t>
      </w:r>
      <w:proofErr w:type="spellEnd"/>
      <w:r w:rsidR="00F127CD" w:rsidRPr="00165990">
        <w:rPr>
          <w:rFonts w:ascii="Arial" w:hAnsi="Arial" w:cs="Arial"/>
          <w:spacing w:val="-2"/>
        </w:rPr>
        <w:t>, esta Sala se había pronunciado sobre el tema de los preacuerdos con degradación de autor a cómplice cuando existía un sujeto activo singular. En ese proveído se hizo referencia una situación que se puede asemejar a la que nos ocupa, por lo siguiente:</w:t>
      </w:r>
    </w:p>
    <w:p w:rsidR="00F127CD" w:rsidRPr="00165990" w:rsidRDefault="00F127CD" w:rsidP="00E54582">
      <w:pPr>
        <w:spacing w:line="276" w:lineRule="auto"/>
        <w:jc w:val="both"/>
        <w:rPr>
          <w:rFonts w:ascii="Arial" w:hAnsi="Arial" w:cs="Arial"/>
          <w:spacing w:val="-2"/>
        </w:rPr>
      </w:pPr>
    </w:p>
    <w:p w:rsidR="00F127CD" w:rsidRPr="00165990" w:rsidRDefault="00F127CD" w:rsidP="00E54582">
      <w:pPr>
        <w:numPr>
          <w:ilvl w:val="0"/>
          <w:numId w:val="3"/>
        </w:numPr>
        <w:spacing w:line="276" w:lineRule="auto"/>
        <w:jc w:val="both"/>
        <w:rPr>
          <w:rFonts w:ascii="Arial" w:hAnsi="Arial" w:cs="Arial"/>
          <w:spacing w:val="-2"/>
        </w:rPr>
      </w:pPr>
      <w:r w:rsidRPr="00165990">
        <w:rPr>
          <w:rFonts w:ascii="Arial" w:hAnsi="Arial" w:cs="Arial"/>
          <w:spacing w:val="-2"/>
        </w:rPr>
        <w:t>En las</w:t>
      </w:r>
      <w:r w:rsidRPr="00165990">
        <w:rPr>
          <w:rFonts w:ascii="Arial" w:hAnsi="Arial" w:cs="Arial"/>
          <w:bCs/>
          <w:spacing w:val="-2"/>
        </w:rPr>
        <w:t xml:space="preserve"> audiencias preliminares de legalización de captura y formulación de imputación (enero 26 de 2014), se le atribuyó al procesado Diego Alejandro Ospina  Sánchez,  en calidad de autor y a título de dolo, la conducta consagrada en el artículo 365 del C.P., bajo el verbo rector de “portar”</w:t>
      </w:r>
    </w:p>
    <w:p w:rsidR="00F127CD" w:rsidRPr="00165990" w:rsidRDefault="00F127CD" w:rsidP="00E54582">
      <w:pPr>
        <w:spacing w:line="276" w:lineRule="auto"/>
        <w:ind w:left="720"/>
        <w:jc w:val="both"/>
        <w:rPr>
          <w:rFonts w:ascii="Arial" w:hAnsi="Arial" w:cs="Arial"/>
          <w:spacing w:val="-2"/>
        </w:rPr>
      </w:pPr>
    </w:p>
    <w:p w:rsidR="00F127CD" w:rsidRPr="00165990" w:rsidRDefault="00F127CD" w:rsidP="00E54582">
      <w:pPr>
        <w:numPr>
          <w:ilvl w:val="0"/>
          <w:numId w:val="3"/>
        </w:numPr>
        <w:spacing w:line="276" w:lineRule="auto"/>
        <w:jc w:val="both"/>
        <w:rPr>
          <w:rFonts w:ascii="Arial" w:hAnsi="Arial" w:cs="Arial"/>
          <w:bCs/>
          <w:spacing w:val="-2"/>
        </w:rPr>
      </w:pPr>
      <w:r w:rsidRPr="00165990">
        <w:rPr>
          <w:rFonts w:ascii="Arial" w:hAnsi="Arial" w:cs="Arial"/>
          <w:bCs/>
          <w:spacing w:val="-2"/>
        </w:rPr>
        <w:lastRenderedPageBreak/>
        <w:t xml:space="preserve">En la audiencia preparatoria, el delegado de la FGN indicó que había llegado a un preacuerdo con el procesado, quien iba a  aceptar los cargos formulados y como único beneficio se le degradaría su  participación de autor a cómplice. </w:t>
      </w:r>
    </w:p>
    <w:p w:rsidR="00F127CD" w:rsidRPr="00165990" w:rsidRDefault="00F127CD" w:rsidP="00E54582">
      <w:pPr>
        <w:spacing w:line="276" w:lineRule="auto"/>
        <w:jc w:val="both"/>
        <w:rPr>
          <w:rFonts w:ascii="Arial" w:hAnsi="Arial" w:cs="Arial"/>
          <w:bCs/>
          <w:spacing w:val="-2"/>
        </w:rPr>
      </w:pPr>
    </w:p>
    <w:p w:rsidR="00F127CD" w:rsidRPr="00165990" w:rsidRDefault="00F127CD" w:rsidP="00E54582">
      <w:pPr>
        <w:numPr>
          <w:ilvl w:val="0"/>
          <w:numId w:val="3"/>
        </w:numPr>
        <w:spacing w:line="276" w:lineRule="auto"/>
        <w:jc w:val="both"/>
        <w:rPr>
          <w:rFonts w:ascii="Arial" w:hAnsi="Arial" w:cs="Arial"/>
          <w:bCs/>
          <w:spacing w:val="-2"/>
        </w:rPr>
      </w:pPr>
      <w:r w:rsidRPr="00165990">
        <w:rPr>
          <w:rFonts w:ascii="Arial" w:hAnsi="Arial" w:cs="Arial"/>
          <w:bCs/>
          <w:spacing w:val="-2"/>
        </w:rPr>
        <w:t>El despacho de conocimiento no aprobó el referido preacuerdo, con el argumento central de que no podía existir complicidad en un delito unipersonal como el porte de armas por un solo ciudadano, ya que se vulneraba el precedente establecido en la sentencia  C-1260 de 2005. Además consideró que los fiscales no estaban autorizados para crear tipos penales y si bien es cierto tenían un margen de interpretación de los hechos, este debía adecuarse a una selección plausible de la normatividad aplicable, por lo cual no se podía entender que existiera complicidad en un delito cometido por una sola persona.</w:t>
      </w:r>
    </w:p>
    <w:p w:rsidR="00F127CD" w:rsidRPr="00165990" w:rsidRDefault="00F127CD" w:rsidP="00E54582">
      <w:pPr>
        <w:spacing w:line="276" w:lineRule="auto"/>
        <w:jc w:val="both"/>
        <w:rPr>
          <w:rFonts w:ascii="Arial" w:hAnsi="Arial" w:cs="Arial"/>
          <w:bCs/>
          <w:spacing w:val="-2"/>
        </w:rPr>
      </w:pPr>
    </w:p>
    <w:p w:rsidR="00F127CD" w:rsidRPr="00165990" w:rsidRDefault="00501D8F" w:rsidP="00E54582">
      <w:pPr>
        <w:spacing w:line="276" w:lineRule="auto"/>
        <w:jc w:val="both"/>
        <w:rPr>
          <w:rFonts w:ascii="Arial" w:hAnsi="Arial" w:cs="Arial"/>
          <w:bCs/>
          <w:spacing w:val="-2"/>
        </w:rPr>
      </w:pPr>
      <w:r w:rsidRPr="00165990">
        <w:rPr>
          <w:rFonts w:ascii="Arial" w:hAnsi="Arial" w:cs="Arial"/>
          <w:bCs/>
          <w:spacing w:val="-2"/>
        </w:rPr>
        <w:t>6</w:t>
      </w:r>
      <w:r w:rsidR="003643CA" w:rsidRPr="00165990">
        <w:rPr>
          <w:rFonts w:ascii="Arial" w:hAnsi="Arial" w:cs="Arial"/>
          <w:bCs/>
          <w:spacing w:val="-2"/>
        </w:rPr>
        <w:t>.18.</w:t>
      </w:r>
      <w:r w:rsidR="00F127CD" w:rsidRPr="00165990">
        <w:rPr>
          <w:rFonts w:ascii="Arial" w:hAnsi="Arial" w:cs="Arial"/>
          <w:bCs/>
          <w:spacing w:val="-2"/>
        </w:rPr>
        <w:t xml:space="preserve">1 Al resolver el recurso de apelación que formularon el representante de la FGN y el defensor contra esa decisión, esta </w:t>
      </w:r>
      <w:r w:rsidR="00692F28" w:rsidRPr="00165990">
        <w:rPr>
          <w:rFonts w:ascii="Arial" w:hAnsi="Arial" w:cs="Arial"/>
          <w:bCs/>
          <w:spacing w:val="-2"/>
        </w:rPr>
        <w:t>C</w:t>
      </w:r>
      <w:r w:rsidR="00F127CD" w:rsidRPr="00165990">
        <w:rPr>
          <w:rFonts w:ascii="Arial" w:hAnsi="Arial" w:cs="Arial"/>
          <w:bCs/>
          <w:spacing w:val="-2"/>
        </w:rPr>
        <w:t>olegiatura confirmó la decisión de primer grado. En la parte pertinente de las consideraciones de esa decisión se expuso lo siguiente:</w:t>
      </w:r>
    </w:p>
    <w:p w:rsidR="00F127CD" w:rsidRPr="00165990" w:rsidRDefault="00F127CD" w:rsidP="00E54582">
      <w:pPr>
        <w:spacing w:line="276" w:lineRule="auto"/>
        <w:ind w:right="902"/>
        <w:jc w:val="both"/>
        <w:rPr>
          <w:rFonts w:ascii="Arial" w:hAnsi="Arial" w:cs="Arial"/>
          <w:bCs/>
          <w:spacing w:val="-2"/>
        </w:rPr>
      </w:pPr>
    </w:p>
    <w:p w:rsidR="00F127CD" w:rsidRPr="00165990" w:rsidRDefault="00F127CD" w:rsidP="00487E90">
      <w:pPr>
        <w:ind w:left="426" w:right="418"/>
        <w:jc w:val="both"/>
        <w:rPr>
          <w:rFonts w:ascii="Arial" w:hAnsi="Arial" w:cs="Arial"/>
          <w:i/>
          <w:spacing w:val="-2"/>
          <w:sz w:val="22"/>
        </w:rPr>
      </w:pPr>
      <w:r w:rsidRPr="00165990">
        <w:rPr>
          <w:rFonts w:ascii="Arial" w:hAnsi="Arial" w:cs="Arial"/>
          <w:spacing w:val="-2"/>
          <w:sz w:val="22"/>
        </w:rPr>
        <w:t xml:space="preserve">“(…) </w:t>
      </w:r>
      <w:r w:rsidRPr="00165990">
        <w:rPr>
          <w:rFonts w:ascii="Arial" w:hAnsi="Arial" w:cs="Arial"/>
          <w:i/>
          <w:spacing w:val="-2"/>
          <w:sz w:val="22"/>
        </w:rPr>
        <w:t>Ahora, en relación con el tema específico en discusión y de conformidad con la narración esgrimida por el señor fiscal, se tiene que en las decisiones adoptadas por la H. Corte Suprema de Justicia y relativas a la concesión de beneficios similares al que acá es materia de discusión, se ha dicho:</w:t>
      </w:r>
    </w:p>
    <w:p w:rsidR="00F127CD" w:rsidRPr="00165990" w:rsidRDefault="00F127CD" w:rsidP="00487E90">
      <w:pPr>
        <w:widowControl w:val="0"/>
        <w:autoSpaceDE w:val="0"/>
        <w:autoSpaceDN w:val="0"/>
        <w:adjustRightInd w:val="0"/>
        <w:ind w:left="426" w:right="418"/>
        <w:jc w:val="both"/>
        <w:rPr>
          <w:rFonts w:ascii="Arial" w:hAnsi="Arial" w:cs="Arial"/>
          <w:i/>
          <w:spacing w:val="-2"/>
          <w:sz w:val="22"/>
        </w:rPr>
      </w:pPr>
    </w:p>
    <w:p w:rsidR="00F127CD" w:rsidRPr="00165990" w:rsidRDefault="00F127CD" w:rsidP="00487E90">
      <w:pPr>
        <w:ind w:left="426" w:right="418"/>
        <w:jc w:val="both"/>
        <w:rPr>
          <w:rFonts w:ascii="Arial" w:hAnsi="Arial" w:cs="Arial"/>
          <w:i/>
          <w:spacing w:val="-2"/>
          <w:sz w:val="22"/>
          <w:lang w:val="es-CO" w:eastAsia="es-CO"/>
        </w:rPr>
      </w:pPr>
      <w:r w:rsidRPr="00165990">
        <w:rPr>
          <w:rFonts w:ascii="Arial" w:hAnsi="Arial" w:cs="Arial"/>
          <w:i/>
          <w:spacing w:val="-2"/>
          <w:sz w:val="22"/>
          <w:lang w:val="es-CO" w:eastAsia="es-CO"/>
        </w:rPr>
        <w:t xml:space="preserve">“En lo atinente a cuáles aspectos consideró el legislador son susceptibles de ser </w:t>
      </w:r>
      <w:proofErr w:type="spellStart"/>
      <w:r w:rsidRPr="00165990">
        <w:rPr>
          <w:rFonts w:ascii="Arial" w:hAnsi="Arial" w:cs="Arial"/>
          <w:i/>
          <w:spacing w:val="-2"/>
          <w:sz w:val="22"/>
          <w:lang w:val="es-CO" w:eastAsia="es-CO"/>
        </w:rPr>
        <w:t>preacordados</w:t>
      </w:r>
      <w:proofErr w:type="spellEnd"/>
      <w:r w:rsidRPr="00165990">
        <w:rPr>
          <w:rFonts w:ascii="Arial" w:hAnsi="Arial" w:cs="Arial"/>
          <w:i/>
          <w:spacing w:val="-2"/>
          <w:sz w:val="22"/>
          <w:lang w:val="es-CO" w:eastAsia="es-CO"/>
        </w:rPr>
        <w:t>, encontramos que en el artículo 348 de la Ley 906 de 2004 se consagró de manera escueta que se trata de convenir lo que “</w:t>
      </w:r>
      <w:r w:rsidRPr="00165990">
        <w:rPr>
          <w:rFonts w:ascii="Arial" w:hAnsi="Arial" w:cs="Arial"/>
          <w:i/>
          <w:iCs/>
          <w:spacing w:val="-2"/>
          <w:sz w:val="22"/>
          <w:lang w:val="es-CO" w:eastAsia="es-CO"/>
        </w:rPr>
        <w:t>implique la terminación del proceso</w:t>
      </w:r>
      <w:r w:rsidRPr="00165990">
        <w:rPr>
          <w:rFonts w:ascii="Arial" w:hAnsi="Arial" w:cs="Arial"/>
          <w:i/>
          <w:spacing w:val="-2"/>
          <w:sz w:val="22"/>
          <w:lang w:val="es-CO" w:eastAsia="es-CO"/>
        </w:rPr>
        <w:t>”; mientras en los artículos 350, 351 y 352 del mismo compendio normativo se concreta el objeto que compromete esa finalización judicial, al establecerse que serán “</w:t>
      </w:r>
      <w:r w:rsidRPr="00165990">
        <w:rPr>
          <w:rFonts w:ascii="Arial" w:hAnsi="Arial" w:cs="Arial"/>
          <w:i/>
          <w:iCs/>
          <w:spacing w:val="-2"/>
          <w:sz w:val="22"/>
          <w:lang w:val="es-CO" w:eastAsia="es-CO"/>
        </w:rPr>
        <w:t>los hechos imputados y sus consecuencias</w:t>
      </w:r>
      <w:r w:rsidRPr="00165990">
        <w:rPr>
          <w:rFonts w:ascii="Arial" w:hAnsi="Arial" w:cs="Arial"/>
          <w:i/>
          <w:spacing w:val="-2"/>
          <w:sz w:val="22"/>
          <w:lang w:val="es-CO" w:eastAsia="es-CO"/>
        </w:rPr>
        <w:t>” sobre los que recaerán los preacuerdos y las negociaciones, lo cual implica la admisibilidad por parte del imputado o acusado en forma libre, consciente, espontánea y voluntaria de situaciones que cuenten con un mínimo de respaldo probatorio.</w:t>
      </w:r>
    </w:p>
    <w:p w:rsidR="00F127CD" w:rsidRPr="00165990" w:rsidRDefault="00F127CD" w:rsidP="00487E90">
      <w:pPr>
        <w:ind w:left="426" w:right="418"/>
        <w:jc w:val="both"/>
        <w:rPr>
          <w:rFonts w:ascii="Arial" w:hAnsi="Arial" w:cs="Arial"/>
          <w:i/>
          <w:spacing w:val="-2"/>
          <w:sz w:val="22"/>
          <w:lang w:val="es-CO" w:eastAsia="es-CO"/>
        </w:rPr>
      </w:pPr>
    </w:p>
    <w:p w:rsidR="00F127CD" w:rsidRPr="00165990" w:rsidRDefault="00F127CD" w:rsidP="00487E90">
      <w:pPr>
        <w:ind w:left="426" w:right="418"/>
        <w:jc w:val="both"/>
        <w:rPr>
          <w:rFonts w:ascii="Arial" w:hAnsi="Arial" w:cs="Arial"/>
          <w:i/>
          <w:spacing w:val="-2"/>
          <w:sz w:val="22"/>
          <w:lang w:val="es-CO" w:eastAsia="es-CO"/>
        </w:rPr>
      </w:pPr>
      <w:r w:rsidRPr="00165990">
        <w:rPr>
          <w:rFonts w:ascii="Arial" w:hAnsi="Arial" w:cs="Arial"/>
          <w:i/>
          <w:spacing w:val="-2"/>
          <w:sz w:val="22"/>
          <w:lang w:val="es-CO" w:eastAsia="es-CO"/>
        </w:rPr>
        <w:t xml:space="preserve">Respecto de este tópico la Corte pacíficamente ha considerado que deben ser objeto de convenio, habida consideración de los elementos de prueba y evidencias recaudadas: </w:t>
      </w:r>
    </w:p>
    <w:p w:rsidR="00F127CD" w:rsidRPr="00165990" w:rsidRDefault="00F127CD" w:rsidP="00487E90">
      <w:pPr>
        <w:ind w:left="426" w:right="418"/>
        <w:jc w:val="both"/>
        <w:rPr>
          <w:rFonts w:ascii="Arial" w:hAnsi="Arial" w:cs="Arial"/>
          <w:i/>
          <w:spacing w:val="-2"/>
          <w:sz w:val="22"/>
          <w:lang w:val="es-CO" w:eastAsia="es-CO"/>
        </w:rPr>
      </w:pPr>
    </w:p>
    <w:p w:rsidR="00F127CD" w:rsidRPr="00165990" w:rsidRDefault="00F127CD" w:rsidP="00487E90">
      <w:pPr>
        <w:spacing w:after="120"/>
        <w:ind w:left="426" w:right="418"/>
        <w:jc w:val="both"/>
        <w:rPr>
          <w:rFonts w:ascii="Arial" w:hAnsi="Arial" w:cs="Arial"/>
          <w:i/>
          <w:spacing w:val="-2"/>
          <w:sz w:val="22"/>
          <w:lang w:val="es-CO" w:eastAsia="es-CO"/>
        </w:rPr>
      </w:pPr>
      <w:r w:rsidRPr="00165990">
        <w:rPr>
          <w:rFonts w:ascii="Arial" w:hAnsi="Arial" w:cs="Arial"/>
          <w:i/>
          <w:spacing w:val="-2"/>
          <w:sz w:val="22"/>
          <w:lang w:val="es-CO" w:eastAsia="es-CO"/>
        </w:rPr>
        <w:t>“</w:t>
      </w:r>
      <w:r w:rsidRPr="00165990">
        <w:rPr>
          <w:rFonts w:ascii="Arial" w:hAnsi="Arial" w:cs="Arial"/>
          <w:i/>
          <w:iCs/>
          <w:spacing w:val="-2"/>
          <w:sz w:val="22"/>
          <w:u w:val="single"/>
          <w:lang w:val="es-CO" w:eastAsia="es-CO"/>
        </w:rPr>
        <w:t>el grado de participación</w:t>
      </w:r>
      <w:r w:rsidRPr="00165990">
        <w:rPr>
          <w:rFonts w:ascii="Arial" w:hAnsi="Arial" w:cs="Arial"/>
          <w:i/>
          <w:iCs/>
          <w:spacing w:val="-2"/>
          <w:sz w:val="22"/>
          <w:lang w:val="es-CO" w:eastAsia="es-CO"/>
        </w:rPr>
        <w:t xml:space="preserve">, la lesión no justificada a un bien jurídico tutelado, una específica modalidad delictiva respecto de la conducta ejecutada, su forma de culpabilidad y las situaciones que para el caso den lugar a una pena menor, la sanción a imponer, los excesos en las causales de ausencia de responsabilidad a que se refieren los numerales 3, 4, 5, 6 y 7 del artículo 32 del </w:t>
      </w:r>
      <w:proofErr w:type="spellStart"/>
      <w:r w:rsidRPr="00165990">
        <w:rPr>
          <w:rFonts w:ascii="Arial" w:hAnsi="Arial" w:cs="Arial"/>
          <w:i/>
          <w:iCs/>
          <w:spacing w:val="-2"/>
          <w:sz w:val="22"/>
          <w:lang w:val="es-CO" w:eastAsia="es-CO"/>
        </w:rPr>
        <w:t>C.P</w:t>
      </w:r>
      <w:proofErr w:type="spellEnd"/>
      <w:r w:rsidRPr="00165990">
        <w:rPr>
          <w:rFonts w:ascii="Arial" w:hAnsi="Arial" w:cs="Arial"/>
          <w:i/>
          <w:iCs/>
          <w:spacing w:val="-2"/>
          <w:sz w:val="22"/>
          <w:lang w:val="es-CO" w:eastAsia="es-CO"/>
        </w:rPr>
        <w:t xml:space="preserve">, los errores a que se refieren los numerales 10 y 12 de la citada disposición, las circunstancias de marginalidad, ignorancia o pobreza extremas (artículo 56), la ira o intenso dolor (artículo 57),  la comunicabilidad de circunstancias (artículo 62), la eliminación de casuales genéricas o específicas de agravación y conductas </w:t>
      </w:r>
      <w:proofErr w:type="spellStart"/>
      <w:r w:rsidRPr="00165990">
        <w:rPr>
          <w:rFonts w:ascii="Arial" w:hAnsi="Arial" w:cs="Arial"/>
          <w:i/>
          <w:iCs/>
          <w:spacing w:val="-2"/>
          <w:sz w:val="22"/>
          <w:lang w:val="es-CO" w:eastAsia="es-CO"/>
        </w:rPr>
        <w:t>posdelictuales</w:t>
      </w:r>
      <w:proofErr w:type="spellEnd"/>
      <w:r w:rsidRPr="00165990">
        <w:rPr>
          <w:rFonts w:ascii="Arial" w:hAnsi="Arial" w:cs="Arial"/>
          <w:i/>
          <w:iCs/>
          <w:spacing w:val="-2"/>
          <w:sz w:val="22"/>
          <w:lang w:val="es-CO" w:eastAsia="es-CO"/>
        </w:rPr>
        <w:t xml:space="preserve"> con incidencia en los extremos punitivos, pues todas estas situaciones conllevan circunstancias de modo, tiempo y lugar que demarcan los hechos por los cuales se atribuye jurídicamente responsabilidad penal y por ende fijan para el procesado la imputación fáctica y jurídica.”</w:t>
      </w:r>
      <w:r w:rsidRPr="00165990">
        <w:rPr>
          <w:rFonts w:ascii="Arial" w:hAnsi="Arial" w:cs="Arial"/>
          <w:i/>
          <w:spacing w:val="-2"/>
          <w:sz w:val="22"/>
          <w:lang w:val="es-CO" w:eastAsia="es-CO"/>
        </w:rPr>
        <w:t>(Subrayas por fuera del texto original).</w:t>
      </w:r>
    </w:p>
    <w:p w:rsidR="00F127CD" w:rsidRPr="00165990" w:rsidRDefault="00F127CD" w:rsidP="00487E90">
      <w:pPr>
        <w:ind w:left="426" w:right="418"/>
        <w:jc w:val="both"/>
        <w:rPr>
          <w:rFonts w:ascii="Arial" w:hAnsi="Arial" w:cs="Arial"/>
          <w:i/>
          <w:spacing w:val="-2"/>
          <w:sz w:val="22"/>
          <w:lang w:val="es-CO" w:eastAsia="es-CO"/>
        </w:rPr>
      </w:pPr>
    </w:p>
    <w:p w:rsidR="00F127CD" w:rsidRPr="00165990" w:rsidRDefault="00F127CD" w:rsidP="00487E90">
      <w:pPr>
        <w:ind w:left="426" w:right="418"/>
        <w:jc w:val="both"/>
        <w:rPr>
          <w:rFonts w:ascii="Arial" w:hAnsi="Arial" w:cs="Arial"/>
          <w:i/>
          <w:spacing w:val="-2"/>
          <w:sz w:val="22"/>
          <w:lang w:val="es-CO" w:eastAsia="es-CO"/>
        </w:rPr>
      </w:pPr>
      <w:r w:rsidRPr="00165990">
        <w:rPr>
          <w:rFonts w:ascii="Arial" w:hAnsi="Arial" w:cs="Arial"/>
          <w:i/>
          <w:spacing w:val="-2"/>
          <w:sz w:val="22"/>
          <w:lang w:val="es-CO" w:eastAsia="es-CO"/>
        </w:rPr>
        <w:t xml:space="preserve">También, en punto de lo que debe ser materia de esos preacuerdos o negociaciones, ha dicho esta Sala que: </w:t>
      </w:r>
    </w:p>
    <w:p w:rsidR="00F127CD" w:rsidRPr="00165990" w:rsidRDefault="00F127CD" w:rsidP="00487E90">
      <w:pPr>
        <w:ind w:left="426" w:right="418"/>
        <w:jc w:val="both"/>
        <w:rPr>
          <w:rFonts w:ascii="Arial" w:hAnsi="Arial" w:cs="Arial"/>
          <w:i/>
          <w:spacing w:val="-2"/>
          <w:sz w:val="22"/>
          <w:lang w:val="es-CO" w:eastAsia="es-CO"/>
        </w:rPr>
      </w:pPr>
    </w:p>
    <w:p w:rsidR="00F127CD" w:rsidRPr="00165990" w:rsidRDefault="00F127CD" w:rsidP="00487E90">
      <w:pPr>
        <w:spacing w:after="120"/>
        <w:ind w:left="426" w:right="418"/>
        <w:jc w:val="both"/>
        <w:rPr>
          <w:rFonts w:ascii="Arial" w:hAnsi="Arial" w:cs="Arial"/>
          <w:i/>
          <w:spacing w:val="-2"/>
          <w:sz w:val="22"/>
          <w:lang w:val="es-CO" w:eastAsia="es-CO"/>
        </w:rPr>
      </w:pPr>
      <w:r w:rsidRPr="00165990">
        <w:rPr>
          <w:rFonts w:ascii="Arial" w:hAnsi="Arial" w:cs="Arial"/>
          <w:i/>
          <w:iCs/>
          <w:spacing w:val="-2"/>
          <w:sz w:val="22"/>
          <w:lang w:val="es-CO" w:eastAsia="es-CO"/>
        </w:rPr>
        <w:lastRenderedPageBreak/>
        <w:t>"</w:t>
      </w:r>
      <w:r w:rsidRPr="00165990">
        <w:rPr>
          <w:rFonts w:ascii="Arial" w:hAnsi="Arial" w:cs="Arial"/>
          <w:i/>
          <w:iCs/>
          <w:spacing w:val="-2"/>
          <w:sz w:val="22"/>
          <w:u w:val="single"/>
          <w:lang w:val="es-CO" w:eastAsia="es-CO"/>
        </w:rPr>
        <w:t>Estas negociaciones entre la fiscalía e imputado o acusado no se refieren únicamente a la cantidad de pena imponible sino</w:t>
      </w:r>
      <w:r w:rsidRPr="00165990">
        <w:rPr>
          <w:rFonts w:ascii="Arial" w:hAnsi="Arial" w:cs="Arial"/>
          <w:i/>
          <w:iCs/>
          <w:spacing w:val="-2"/>
          <w:sz w:val="22"/>
          <w:lang w:val="es-CO" w:eastAsia="es-CO"/>
        </w:rPr>
        <w:t>, como lo prevé el inciso 2° del artículo 351</w:t>
      </w:r>
      <w:r w:rsidRPr="00165990">
        <w:rPr>
          <w:rFonts w:ascii="Arial" w:hAnsi="Arial" w:cs="Arial"/>
          <w:i/>
          <w:iCs/>
          <w:spacing w:val="-2"/>
          <w:sz w:val="22"/>
          <w:u w:val="single"/>
          <w:lang w:val="es-CO" w:eastAsia="es-CO"/>
        </w:rPr>
        <w:t>, a los hechos imputados y sus consecuencias</w:t>
      </w:r>
      <w:r w:rsidRPr="00165990">
        <w:rPr>
          <w:rFonts w:ascii="Arial" w:hAnsi="Arial" w:cs="Arial"/>
          <w:i/>
          <w:iCs/>
          <w:spacing w:val="-2"/>
          <w:sz w:val="22"/>
          <w:lang w:val="es-CO" w:eastAsia="es-CO"/>
        </w:rPr>
        <w:t>, preacuerdos que «obligan al juez de conocimiento, salvo que ellos desconozcan o quebranten las garantías fundamentales».</w:t>
      </w:r>
    </w:p>
    <w:p w:rsidR="00F127CD" w:rsidRPr="00165990" w:rsidRDefault="00F127CD" w:rsidP="00487E90">
      <w:pPr>
        <w:ind w:left="426" w:right="418"/>
        <w:jc w:val="both"/>
        <w:rPr>
          <w:rFonts w:ascii="Arial" w:hAnsi="Arial" w:cs="Arial"/>
          <w:i/>
          <w:spacing w:val="-2"/>
          <w:sz w:val="22"/>
          <w:lang w:val="es-CO" w:eastAsia="es-CO"/>
        </w:rPr>
      </w:pPr>
    </w:p>
    <w:p w:rsidR="00F127CD" w:rsidRPr="00165990" w:rsidRDefault="00F127CD" w:rsidP="00487E90">
      <w:pPr>
        <w:spacing w:after="120"/>
        <w:ind w:left="426" w:right="418"/>
        <w:jc w:val="both"/>
        <w:rPr>
          <w:rFonts w:ascii="Arial" w:hAnsi="Arial" w:cs="Arial"/>
          <w:i/>
          <w:spacing w:val="-2"/>
          <w:sz w:val="22"/>
          <w:lang w:val="es-CO" w:eastAsia="es-CO"/>
        </w:rPr>
      </w:pPr>
      <w:r w:rsidRPr="00165990">
        <w:rPr>
          <w:rFonts w:ascii="Arial" w:hAnsi="Arial" w:cs="Arial"/>
          <w:i/>
          <w:iCs/>
          <w:spacing w:val="-2"/>
          <w:sz w:val="22"/>
          <w:lang w:val="es-CO" w:eastAsia="es-CO"/>
        </w:rPr>
        <w:t xml:space="preserve">Que la negociación pueda extenderse a las consecuencias de la conducta punible imputada, claramente diferenciadas de las relativas propiamente a la pena porque a ellas se refiere el inciso 1° del mismo artículo, </w:t>
      </w:r>
      <w:r w:rsidRPr="00165990">
        <w:rPr>
          <w:rFonts w:ascii="Arial" w:hAnsi="Arial" w:cs="Arial"/>
          <w:i/>
          <w:iCs/>
          <w:spacing w:val="-2"/>
          <w:sz w:val="22"/>
          <w:u w:val="single"/>
          <w:lang w:val="es-CO" w:eastAsia="es-CO"/>
        </w:rPr>
        <w:t xml:space="preserve">significa que también se podrá </w:t>
      </w:r>
      <w:proofErr w:type="spellStart"/>
      <w:r w:rsidRPr="00165990">
        <w:rPr>
          <w:rFonts w:ascii="Arial" w:hAnsi="Arial" w:cs="Arial"/>
          <w:i/>
          <w:iCs/>
          <w:spacing w:val="-2"/>
          <w:sz w:val="22"/>
          <w:u w:val="single"/>
          <w:lang w:val="es-CO" w:eastAsia="es-CO"/>
        </w:rPr>
        <w:t>preacordar</w:t>
      </w:r>
      <w:proofErr w:type="spellEnd"/>
      <w:r w:rsidRPr="00165990">
        <w:rPr>
          <w:rFonts w:ascii="Arial" w:hAnsi="Arial" w:cs="Arial"/>
          <w:i/>
          <w:iCs/>
          <w:spacing w:val="-2"/>
          <w:sz w:val="22"/>
          <w:u w:val="single"/>
          <w:lang w:val="es-CO" w:eastAsia="es-CO"/>
        </w:rPr>
        <w:t xml:space="preserve"> sobre la ejecución de la pena (prisión domiciliaria o suspensión condicional</w:t>
      </w:r>
      <w:r w:rsidRPr="00165990">
        <w:rPr>
          <w:rFonts w:ascii="Arial" w:hAnsi="Arial" w:cs="Arial"/>
          <w:i/>
          <w:iCs/>
          <w:spacing w:val="-2"/>
          <w:sz w:val="22"/>
          <w:lang w:val="es-CO" w:eastAsia="es-CO"/>
        </w:rPr>
        <w:t>) y sobre las reparaciones a la víctima…”</w:t>
      </w:r>
      <w:r w:rsidR="003643CA" w:rsidRPr="00165990">
        <w:rPr>
          <w:rFonts w:ascii="Arial" w:hAnsi="Arial" w:cs="Arial"/>
          <w:i/>
          <w:iCs/>
          <w:spacing w:val="-2"/>
          <w:sz w:val="22"/>
          <w:lang w:val="es-CO" w:eastAsia="es-CO"/>
        </w:rPr>
        <w:t xml:space="preserve"> </w:t>
      </w:r>
      <w:r w:rsidRPr="00165990">
        <w:rPr>
          <w:rFonts w:ascii="Arial" w:hAnsi="Arial" w:cs="Arial"/>
          <w:i/>
          <w:spacing w:val="-2"/>
          <w:sz w:val="22"/>
          <w:lang w:val="es-CO" w:eastAsia="es-CO"/>
        </w:rPr>
        <w:t>(Subrayas fuera del texto original).</w:t>
      </w:r>
    </w:p>
    <w:p w:rsidR="00F127CD" w:rsidRPr="00165990" w:rsidRDefault="00F127CD" w:rsidP="00487E90">
      <w:pPr>
        <w:spacing w:after="120"/>
        <w:ind w:left="426" w:right="418"/>
        <w:jc w:val="both"/>
        <w:rPr>
          <w:rFonts w:ascii="Arial" w:hAnsi="Arial" w:cs="Arial"/>
          <w:i/>
          <w:spacing w:val="-2"/>
          <w:sz w:val="22"/>
          <w:lang w:val="es-CO" w:eastAsia="es-CO"/>
        </w:rPr>
      </w:pPr>
    </w:p>
    <w:p w:rsidR="00F127CD" w:rsidRPr="00165990" w:rsidRDefault="00F127CD" w:rsidP="00487E90">
      <w:pPr>
        <w:ind w:left="426" w:right="418"/>
        <w:jc w:val="both"/>
        <w:rPr>
          <w:rFonts w:ascii="Arial" w:hAnsi="Arial" w:cs="Arial"/>
          <w:i/>
          <w:spacing w:val="-2"/>
          <w:sz w:val="22"/>
          <w:lang w:val="es-CO" w:eastAsia="es-CO"/>
        </w:rPr>
      </w:pPr>
      <w:r w:rsidRPr="00165990">
        <w:rPr>
          <w:rFonts w:ascii="Arial" w:hAnsi="Arial" w:cs="Arial"/>
          <w:i/>
          <w:spacing w:val="-2"/>
          <w:sz w:val="22"/>
          <w:lang w:val="es-CO" w:eastAsia="es-CO"/>
        </w:rPr>
        <w:t xml:space="preserve">Evidente es, entonces, la profunda transformación que se ha producido en el ordenamiento jurídico con la adopción de la institución de los preacuerdos y negociaciones, la cual genera como consecuencia obvia que el acuerdo pueda incidir en los elementos compositivos o estructurales del delito, en los fenómenos amplificadores del tipo, en las circunstancias específicas o genéricas de agravación, en el reconocimiento de atenuantes, la aceptación como autor o como partícipe (cómplice), el carácter subjetivo de la imputación (dolo, culpa, </w:t>
      </w:r>
      <w:proofErr w:type="spellStart"/>
      <w:r w:rsidRPr="00165990">
        <w:rPr>
          <w:rFonts w:ascii="Arial" w:hAnsi="Arial" w:cs="Arial"/>
          <w:i/>
          <w:spacing w:val="-2"/>
          <w:sz w:val="22"/>
          <w:lang w:val="es-CO" w:eastAsia="es-CO"/>
        </w:rPr>
        <w:t>preterintención</w:t>
      </w:r>
      <w:proofErr w:type="spellEnd"/>
      <w:r w:rsidRPr="00165990">
        <w:rPr>
          <w:rFonts w:ascii="Arial" w:hAnsi="Arial" w:cs="Arial"/>
          <w:i/>
          <w:spacing w:val="-2"/>
          <w:sz w:val="22"/>
          <w:lang w:val="es-CO" w:eastAsia="es-CO"/>
        </w:rPr>
        <w:t xml:space="preserve">), penas principales y penas accesorias, ejecución de la pena, suspensión de ésta, privación preventiva de la libertad, la reclusión domiciliaria, la reparación de perjuicios morales o sicológicos o patrimoniales, el mayor o menor grado de la lesión del bien jurídicamente tutelado. </w:t>
      </w:r>
    </w:p>
    <w:p w:rsidR="00F127CD" w:rsidRPr="00165990" w:rsidRDefault="00F127CD" w:rsidP="00487E90">
      <w:pPr>
        <w:ind w:left="426" w:right="418"/>
        <w:jc w:val="both"/>
        <w:rPr>
          <w:rFonts w:ascii="Arial" w:hAnsi="Arial" w:cs="Arial"/>
          <w:i/>
          <w:spacing w:val="-2"/>
          <w:sz w:val="22"/>
          <w:lang w:val="es-CO" w:eastAsia="es-CO"/>
        </w:rPr>
      </w:pPr>
    </w:p>
    <w:p w:rsidR="00F127CD" w:rsidRPr="00165990" w:rsidRDefault="00F127CD" w:rsidP="00487E90">
      <w:pPr>
        <w:ind w:left="426" w:right="418"/>
        <w:jc w:val="both"/>
        <w:rPr>
          <w:rFonts w:ascii="Arial" w:hAnsi="Arial" w:cs="Arial"/>
          <w:i/>
          <w:spacing w:val="-2"/>
          <w:sz w:val="22"/>
          <w:lang w:val="es-CO" w:eastAsia="es-CO"/>
        </w:rPr>
      </w:pPr>
      <w:r w:rsidRPr="00165990">
        <w:rPr>
          <w:rFonts w:ascii="Arial" w:hAnsi="Arial" w:cs="Arial"/>
          <w:i/>
          <w:spacing w:val="-2"/>
          <w:sz w:val="22"/>
          <w:lang w:val="es-CO" w:eastAsia="es-CO"/>
        </w:rPr>
        <w:t xml:space="preserve">La amplitud del ámbito propicio a una negociación podría explicarse en que lo pretendido por parte del imputado o acusado es una reducción de las condignas sanciones o consecuencias de su delito y como son múltiples los fenómenos condicionantes de las mismas, se torna complejo el tratamiento de este tema, aunque suele superarse tal obstáculo recordando el valor teleológico de la institución que no se inclina por un criterio restrictivo sino por uno de acentuada naturaleza extensiva. </w:t>
      </w:r>
    </w:p>
    <w:p w:rsidR="00F127CD" w:rsidRPr="00165990" w:rsidRDefault="00F127CD" w:rsidP="00487E90">
      <w:pPr>
        <w:ind w:left="426" w:right="418"/>
        <w:jc w:val="both"/>
        <w:rPr>
          <w:rFonts w:ascii="Arial" w:hAnsi="Arial" w:cs="Arial"/>
          <w:i/>
          <w:spacing w:val="-2"/>
          <w:sz w:val="22"/>
          <w:lang w:val="es-CO" w:eastAsia="es-CO"/>
        </w:rPr>
      </w:pPr>
    </w:p>
    <w:p w:rsidR="00F127CD" w:rsidRPr="00165990" w:rsidRDefault="00F127CD" w:rsidP="00487E90">
      <w:pPr>
        <w:ind w:left="426" w:right="418"/>
        <w:jc w:val="both"/>
        <w:rPr>
          <w:rFonts w:ascii="Arial" w:hAnsi="Arial" w:cs="Arial"/>
          <w:i/>
          <w:spacing w:val="-2"/>
          <w:sz w:val="22"/>
          <w:lang w:val="es-CO" w:eastAsia="es-CO"/>
        </w:rPr>
      </w:pPr>
      <w:r w:rsidRPr="00165990">
        <w:rPr>
          <w:rFonts w:ascii="Arial" w:hAnsi="Arial" w:cs="Arial"/>
          <w:i/>
          <w:spacing w:val="-2"/>
          <w:sz w:val="22"/>
          <w:lang w:val="es-CO" w:eastAsia="es-CO"/>
        </w:rPr>
        <w:t xml:space="preserve">Ello es así, en razón a que uno de los objetivos perseguidos por el legislador con el nuevo sistema procesal, sin descuidar el respeto absoluto por la defensa y el debido proceso, fue el de procurar otorgar celeridad al proceso mediante la confluencia de voluntades y el consenso en la solución del conflicto, que obedece a los fines esenciales del Estado social de derecho de facilitar la participación de todos en las decisiones que los afectan, según el artículo 2º de la Constitución Política. </w:t>
      </w:r>
    </w:p>
    <w:p w:rsidR="00F127CD" w:rsidRPr="00165990" w:rsidRDefault="00F127CD" w:rsidP="00487E90">
      <w:pPr>
        <w:ind w:left="426" w:right="418"/>
        <w:jc w:val="both"/>
        <w:rPr>
          <w:rFonts w:ascii="Arial" w:hAnsi="Arial" w:cs="Arial"/>
          <w:i/>
          <w:spacing w:val="-2"/>
          <w:sz w:val="22"/>
          <w:lang w:val="es-CO" w:eastAsia="es-CO"/>
        </w:rPr>
      </w:pPr>
    </w:p>
    <w:p w:rsidR="00F127CD" w:rsidRPr="00165990" w:rsidRDefault="00F127CD" w:rsidP="00487E90">
      <w:pPr>
        <w:ind w:left="426" w:right="418"/>
        <w:jc w:val="both"/>
        <w:rPr>
          <w:rFonts w:ascii="Arial" w:hAnsi="Arial" w:cs="Arial"/>
          <w:i/>
          <w:spacing w:val="-2"/>
          <w:sz w:val="22"/>
          <w:lang w:val="es-CO" w:eastAsia="es-CO"/>
        </w:rPr>
      </w:pPr>
      <w:r w:rsidRPr="00165990">
        <w:rPr>
          <w:rFonts w:ascii="Arial" w:hAnsi="Arial" w:cs="Arial"/>
          <w:i/>
          <w:spacing w:val="-2"/>
          <w:sz w:val="22"/>
          <w:lang w:val="es-CO" w:eastAsia="es-CO"/>
        </w:rPr>
        <w:t>Y es que el consenso es un componente esencial de la administración de justicia, tal como lo consideró la Corte en sentencia del 25 de agosto del 2005 dentro del radicado 21954, entre otras, al afirmar que el sistema conten</w:t>
      </w:r>
      <w:r w:rsidR="00487E90" w:rsidRPr="00165990">
        <w:rPr>
          <w:rFonts w:ascii="Arial" w:hAnsi="Arial" w:cs="Arial"/>
          <w:i/>
          <w:spacing w:val="-2"/>
          <w:sz w:val="22"/>
          <w:lang w:val="es-CO" w:eastAsia="es-CO"/>
        </w:rPr>
        <w:t>ido en la Ley 906 de 2004 está:</w:t>
      </w:r>
    </w:p>
    <w:p w:rsidR="00487E90" w:rsidRPr="00165990" w:rsidRDefault="00487E90" w:rsidP="00487E90">
      <w:pPr>
        <w:ind w:left="426" w:right="418"/>
        <w:jc w:val="both"/>
        <w:rPr>
          <w:rFonts w:ascii="Arial" w:hAnsi="Arial" w:cs="Arial"/>
          <w:i/>
          <w:spacing w:val="-2"/>
          <w:sz w:val="22"/>
          <w:lang w:val="es-CO" w:eastAsia="es-CO"/>
        </w:rPr>
      </w:pPr>
    </w:p>
    <w:p w:rsidR="00F127CD" w:rsidRPr="00165990" w:rsidRDefault="00F127CD" w:rsidP="00487E90">
      <w:pPr>
        <w:spacing w:after="120"/>
        <w:ind w:left="426" w:right="418"/>
        <w:jc w:val="both"/>
        <w:rPr>
          <w:rFonts w:ascii="Arial" w:hAnsi="Arial" w:cs="Arial"/>
          <w:i/>
          <w:spacing w:val="-2"/>
          <w:sz w:val="22"/>
          <w:lang w:val="es-CO" w:eastAsia="es-CO"/>
        </w:rPr>
      </w:pPr>
      <w:r w:rsidRPr="00165990">
        <w:rPr>
          <w:rFonts w:ascii="Arial" w:hAnsi="Arial" w:cs="Arial"/>
          <w:i/>
          <w:spacing w:val="-2"/>
          <w:sz w:val="22"/>
          <w:lang w:val="es-CO" w:eastAsia="es-CO"/>
        </w:rPr>
        <w:t>“</w:t>
      </w:r>
      <w:r w:rsidRPr="00165990">
        <w:rPr>
          <w:rFonts w:ascii="Arial" w:hAnsi="Arial" w:cs="Arial"/>
          <w:i/>
          <w:iCs/>
          <w:spacing w:val="-2"/>
          <w:sz w:val="22"/>
          <w:lang w:val="es-CO" w:eastAsia="es-CO"/>
        </w:rPr>
        <w:t xml:space="preserve">Diseñado para que a través de las negociaciones y acuerdos se finiquiten los procesos penales, siendo esta alternativa la que en mayor porcentaje resolverá los conflictos, obviamente sin desconocer los derechos de las víctimas y de los terceros afectados con la comisión de la conducta punible, partes que en este esquema recobran un mayor protagonismo dentro del marco de justicia restaurativa. </w:t>
      </w:r>
    </w:p>
    <w:p w:rsidR="00F127CD" w:rsidRPr="00165990" w:rsidRDefault="00F127CD" w:rsidP="00487E90">
      <w:pPr>
        <w:spacing w:after="120"/>
        <w:ind w:left="426" w:right="418"/>
        <w:jc w:val="both"/>
        <w:rPr>
          <w:rFonts w:ascii="Arial" w:hAnsi="Arial" w:cs="Arial"/>
          <w:bCs/>
          <w:i/>
          <w:iCs/>
          <w:spacing w:val="-2"/>
          <w:sz w:val="22"/>
          <w:lang w:val="es-CO" w:eastAsia="es-CO"/>
        </w:rPr>
      </w:pPr>
      <w:r w:rsidRPr="00165990">
        <w:rPr>
          <w:rFonts w:ascii="Arial" w:hAnsi="Arial" w:cs="Arial"/>
          <w:i/>
          <w:iCs/>
          <w:spacing w:val="-2"/>
          <w:sz w:val="22"/>
          <w:lang w:val="es-CO" w:eastAsia="es-CO"/>
        </w:rPr>
        <w:t xml:space="preserve">Así las cosas, teniendo en cuenta la estructura del proceso penal, la idea es que el mismo se finiquite de manera «anormal», es decir, a través de la «terminación anticipada», procurándose que ésta sea la vía que normalmente de fin a la actuación con sentencia condenatoria, ya que, se repite, </w:t>
      </w:r>
      <w:r w:rsidRPr="00165990">
        <w:rPr>
          <w:rFonts w:ascii="Arial" w:hAnsi="Arial" w:cs="Arial"/>
          <w:bCs/>
          <w:i/>
          <w:iCs/>
          <w:spacing w:val="-2"/>
          <w:sz w:val="22"/>
          <w:lang w:val="es-CO" w:eastAsia="es-CO"/>
        </w:rPr>
        <w:t xml:space="preserve">la concepción filosófica que constitucional y legalmente sustentan el sistema, conduce a que así se culminen la mayoría de las actuaciones, pues no de otra manera se explicaría la razón por la cual se incluyeron los preacuerdos, las negociaciones e, incluso, el principio de oportunidad, institutos que, sin lugar a dudas, buscan, dentro del respeto de las garantías y derechos fundamentales de las partes e intervinientes, la efectividad </w:t>
      </w:r>
      <w:r w:rsidRPr="00165990">
        <w:rPr>
          <w:rFonts w:ascii="Arial" w:hAnsi="Arial" w:cs="Arial"/>
          <w:bCs/>
          <w:i/>
          <w:iCs/>
          <w:spacing w:val="-2"/>
          <w:sz w:val="22"/>
          <w:lang w:val="es-CO" w:eastAsia="es-CO"/>
        </w:rPr>
        <w:lastRenderedPageBreak/>
        <w:t>material de la administración de justicia dentro del marco propio de celeridad y economía</w:t>
      </w:r>
      <w:r w:rsidRPr="00165990">
        <w:rPr>
          <w:rFonts w:ascii="Arial" w:hAnsi="Arial" w:cs="Arial"/>
          <w:bCs/>
          <w:i/>
          <w:spacing w:val="-2"/>
          <w:sz w:val="22"/>
          <w:lang w:val="es-CO" w:eastAsia="es-CO"/>
        </w:rPr>
        <w:t>”</w:t>
      </w:r>
      <w:r w:rsidRPr="00165990">
        <w:rPr>
          <w:rFonts w:ascii="Arial" w:hAnsi="Arial" w:cs="Arial"/>
          <w:bCs/>
          <w:i/>
          <w:iCs/>
          <w:spacing w:val="-2"/>
          <w:sz w:val="22"/>
          <w:lang w:val="es-CO" w:eastAsia="es-CO"/>
        </w:rPr>
        <w:t>.”</w:t>
      </w:r>
      <w:r w:rsidRPr="00165990">
        <w:rPr>
          <w:rFonts w:ascii="Arial" w:hAnsi="Arial" w:cs="Arial"/>
          <w:i/>
          <w:spacing w:val="-2"/>
          <w:sz w:val="22"/>
          <w:vertAlign w:val="superscript"/>
        </w:rPr>
        <w:t xml:space="preserve"> </w:t>
      </w:r>
      <w:r w:rsidRPr="00165990">
        <w:rPr>
          <w:rFonts w:ascii="Arial" w:hAnsi="Arial" w:cs="Arial"/>
          <w:i/>
          <w:spacing w:val="-2"/>
          <w:sz w:val="22"/>
          <w:vertAlign w:val="superscript"/>
        </w:rPr>
        <w:footnoteReference w:id="35"/>
      </w:r>
      <w:r w:rsidRPr="00165990">
        <w:rPr>
          <w:rFonts w:ascii="Arial" w:hAnsi="Arial" w:cs="Arial"/>
          <w:bCs/>
          <w:i/>
          <w:iCs/>
          <w:spacing w:val="-2"/>
          <w:sz w:val="22"/>
          <w:lang w:val="es-CO" w:eastAsia="es-CO"/>
        </w:rPr>
        <w:t xml:space="preserve"> </w:t>
      </w:r>
    </w:p>
    <w:p w:rsidR="00F127CD" w:rsidRPr="00165990" w:rsidRDefault="00F127CD" w:rsidP="00487E90">
      <w:pPr>
        <w:widowControl w:val="0"/>
        <w:autoSpaceDE w:val="0"/>
        <w:autoSpaceDN w:val="0"/>
        <w:adjustRightInd w:val="0"/>
        <w:ind w:left="426" w:right="418"/>
        <w:jc w:val="both"/>
        <w:rPr>
          <w:rFonts w:ascii="Arial" w:hAnsi="Arial" w:cs="Arial"/>
          <w:i/>
          <w:spacing w:val="-2"/>
          <w:sz w:val="22"/>
        </w:rPr>
      </w:pPr>
    </w:p>
    <w:p w:rsidR="00F127CD" w:rsidRPr="00165990" w:rsidRDefault="00F127CD" w:rsidP="00487E90">
      <w:pPr>
        <w:widowControl w:val="0"/>
        <w:autoSpaceDE w:val="0"/>
        <w:autoSpaceDN w:val="0"/>
        <w:adjustRightInd w:val="0"/>
        <w:ind w:left="426" w:right="418"/>
        <w:jc w:val="both"/>
        <w:rPr>
          <w:rFonts w:ascii="Arial" w:hAnsi="Arial" w:cs="Arial"/>
          <w:i/>
          <w:spacing w:val="-2"/>
          <w:sz w:val="22"/>
        </w:rPr>
      </w:pPr>
      <w:r w:rsidRPr="00165990">
        <w:rPr>
          <w:rFonts w:ascii="Arial" w:hAnsi="Arial" w:cs="Arial"/>
          <w:i/>
          <w:spacing w:val="-2"/>
          <w:sz w:val="22"/>
        </w:rPr>
        <w:t>Con posterioridad la misma Alta Corporación retomó el tema de los preacuerdos y al respecto expresó:</w:t>
      </w:r>
    </w:p>
    <w:p w:rsidR="00F127CD" w:rsidRPr="00165990" w:rsidRDefault="00F127CD" w:rsidP="00487E90">
      <w:pPr>
        <w:widowControl w:val="0"/>
        <w:autoSpaceDE w:val="0"/>
        <w:autoSpaceDN w:val="0"/>
        <w:adjustRightInd w:val="0"/>
        <w:ind w:left="426" w:right="418"/>
        <w:jc w:val="both"/>
        <w:rPr>
          <w:rFonts w:ascii="Arial" w:hAnsi="Arial" w:cs="Arial"/>
          <w:i/>
          <w:spacing w:val="-2"/>
          <w:sz w:val="22"/>
        </w:rPr>
      </w:pPr>
    </w:p>
    <w:p w:rsidR="00F127CD" w:rsidRPr="00165990" w:rsidRDefault="00F127CD" w:rsidP="00487E90">
      <w:pPr>
        <w:ind w:left="426" w:right="418"/>
        <w:jc w:val="both"/>
        <w:rPr>
          <w:rFonts w:ascii="Arial" w:hAnsi="Arial" w:cs="Arial"/>
          <w:i/>
          <w:spacing w:val="-2"/>
          <w:sz w:val="22"/>
          <w:lang w:val="es-ES_tradnl"/>
        </w:rPr>
      </w:pPr>
      <w:r w:rsidRPr="00165990">
        <w:rPr>
          <w:rFonts w:ascii="Arial" w:hAnsi="Arial" w:cs="Arial"/>
          <w:i/>
          <w:spacing w:val="-2"/>
          <w:sz w:val="22"/>
          <w:lang w:val="es-ES_tradnl"/>
        </w:rPr>
        <w:t xml:space="preserve">“Según el artículo 350 del </w:t>
      </w:r>
      <w:proofErr w:type="spellStart"/>
      <w:r w:rsidRPr="00165990">
        <w:rPr>
          <w:rFonts w:ascii="Arial" w:hAnsi="Arial" w:cs="Arial"/>
          <w:i/>
          <w:spacing w:val="-2"/>
          <w:sz w:val="22"/>
          <w:lang w:val="es-ES_tradnl"/>
        </w:rPr>
        <w:t>C.P.P</w:t>
      </w:r>
      <w:proofErr w:type="spellEnd"/>
      <w:r w:rsidRPr="00165990">
        <w:rPr>
          <w:rFonts w:ascii="Arial" w:hAnsi="Arial" w:cs="Arial"/>
          <w:i/>
          <w:spacing w:val="-2"/>
          <w:sz w:val="22"/>
          <w:lang w:val="es-ES_tradnl"/>
        </w:rPr>
        <w:t>./2004, la fiscalía y el imputado podrán llegar a un preacuerdo sobre los “términos de la imputación”. En tal virtud, es posible que el órgano acusador (i) elimine alguna causal de agravación punitiva o un cargo específico, y (ii) tipifique la conducta de una manera que genere disminución de la punibilidad</w:t>
      </w:r>
      <w:r w:rsidRPr="00165990">
        <w:rPr>
          <w:rFonts w:ascii="Arial" w:eastAsia="Tahoma" w:hAnsi="Arial" w:cs="Arial"/>
          <w:i/>
          <w:spacing w:val="-2"/>
          <w:sz w:val="22"/>
          <w:vertAlign w:val="superscript"/>
          <w:lang w:val="es-ES_tradnl"/>
        </w:rPr>
        <w:footnoteReference w:id="36"/>
      </w:r>
      <w:r w:rsidRPr="00165990">
        <w:rPr>
          <w:rFonts w:ascii="Arial" w:hAnsi="Arial" w:cs="Arial"/>
          <w:i/>
          <w:spacing w:val="-2"/>
          <w:sz w:val="22"/>
          <w:lang w:val="es-ES_tradnl"/>
        </w:rPr>
        <w:t xml:space="preserve">. Por su parte, el artículo 351 ibídem prevé que el acuerdo puede versar sobre “los hechos imputados y sus consecuencias”. Por último, esa misma norma, al igual que los artículos 352 y 370 procesales, destacan que se puede convenir la rebaja  de un porcentaje de la pena imponible pudiendo, inclusive, llegar a individualizar esta última.  </w:t>
      </w:r>
    </w:p>
    <w:p w:rsidR="00F127CD" w:rsidRPr="00165990" w:rsidRDefault="00F127CD" w:rsidP="00487E90">
      <w:pPr>
        <w:ind w:left="426" w:right="418" w:firstLine="708"/>
        <w:jc w:val="both"/>
        <w:rPr>
          <w:rFonts w:ascii="Arial" w:hAnsi="Arial" w:cs="Arial"/>
          <w:i/>
          <w:spacing w:val="-2"/>
          <w:sz w:val="22"/>
          <w:lang w:val="es-ES_tradnl"/>
        </w:rPr>
      </w:pPr>
    </w:p>
    <w:p w:rsidR="00F127CD" w:rsidRPr="00165990" w:rsidRDefault="00F127CD" w:rsidP="00487E90">
      <w:pPr>
        <w:ind w:left="426" w:right="418"/>
        <w:jc w:val="both"/>
        <w:rPr>
          <w:rFonts w:ascii="Arial" w:hAnsi="Arial" w:cs="Arial"/>
          <w:i/>
          <w:spacing w:val="-2"/>
          <w:sz w:val="22"/>
          <w:lang w:val="es-ES_tradnl"/>
        </w:rPr>
      </w:pPr>
      <w:r w:rsidRPr="00165990">
        <w:rPr>
          <w:rFonts w:ascii="Arial" w:hAnsi="Arial" w:cs="Arial"/>
          <w:i/>
          <w:spacing w:val="-2"/>
          <w:sz w:val="22"/>
          <w:lang w:val="es-ES_tradnl"/>
        </w:rPr>
        <w:t>En ese contexto normativo, es claro que el objeto de los acuerdos –o preacuerdos</w:t>
      </w:r>
      <w:r w:rsidRPr="00165990">
        <w:rPr>
          <w:rFonts w:ascii="Arial" w:eastAsia="Tahoma" w:hAnsi="Arial" w:cs="Arial"/>
          <w:i/>
          <w:spacing w:val="-2"/>
          <w:sz w:val="22"/>
          <w:vertAlign w:val="superscript"/>
          <w:lang w:val="es-ES_tradnl"/>
        </w:rPr>
        <w:footnoteReference w:id="37"/>
      </w:r>
      <w:r w:rsidRPr="00165990">
        <w:rPr>
          <w:rFonts w:ascii="Arial" w:hAnsi="Arial" w:cs="Arial"/>
          <w:i/>
          <w:spacing w:val="-2"/>
          <w:sz w:val="22"/>
          <w:lang w:val="es-ES_tradnl"/>
        </w:rPr>
        <w:t xml:space="preserve">- que pueden celebrar las partes con el propósito de terminar anticipadamente el proceso, es la disminución de la pena legal aplicable a cambio de la renuncia del procesado (imputado o acusado) a los derechos contemplados en los literales b) y k) del artículo 8 del </w:t>
      </w:r>
      <w:proofErr w:type="spellStart"/>
      <w:r w:rsidRPr="00165990">
        <w:rPr>
          <w:rFonts w:ascii="Arial" w:hAnsi="Arial" w:cs="Arial"/>
          <w:i/>
          <w:spacing w:val="-2"/>
          <w:sz w:val="22"/>
          <w:lang w:val="es-ES_tradnl"/>
        </w:rPr>
        <w:t>C.P.P</w:t>
      </w:r>
      <w:proofErr w:type="spellEnd"/>
      <w:r w:rsidRPr="00165990">
        <w:rPr>
          <w:rFonts w:ascii="Arial" w:hAnsi="Arial" w:cs="Arial"/>
          <w:i/>
          <w:spacing w:val="-2"/>
          <w:sz w:val="22"/>
          <w:lang w:val="es-ES_tradnl"/>
        </w:rPr>
        <w:t xml:space="preserve">./2004, es decir, a no </w:t>
      </w:r>
      <w:proofErr w:type="spellStart"/>
      <w:r w:rsidRPr="00165990">
        <w:rPr>
          <w:rFonts w:ascii="Arial" w:hAnsi="Arial" w:cs="Arial"/>
          <w:i/>
          <w:spacing w:val="-2"/>
          <w:sz w:val="22"/>
          <w:lang w:val="es-ES_tradnl"/>
        </w:rPr>
        <w:t>autoincriminarse</w:t>
      </w:r>
      <w:proofErr w:type="spellEnd"/>
      <w:r w:rsidRPr="00165990">
        <w:rPr>
          <w:rFonts w:ascii="Arial" w:hAnsi="Arial" w:cs="Arial"/>
          <w:i/>
          <w:spacing w:val="-2"/>
          <w:sz w:val="22"/>
          <w:lang w:val="es-ES_tradnl"/>
        </w:rPr>
        <w:t xml:space="preserve"> y a tener un juicio público, oral, contradictorio, concentrado y con inmediación probatoria. Ahora bien, esas prestaciones mutuas deben respetar las siguientes condiciones básicas: </w:t>
      </w:r>
    </w:p>
    <w:p w:rsidR="00F127CD" w:rsidRPr="00165990" w:rsidRDefault="00F127CD" w:rsidP="00487E90">
      <w:pPr>
        <w:ind w:left="426" w:right="418" w:firstLine="708"/>
        <w:jc w:val="both"/>
        <w:rPr>
          <w:rFonts w:ascii="Arial" w:hAnsi="Arial" w:cs="Arial"/>
          <w:i/>
          <w:spacing w:val="-2"/>
          <w:sz w:val="22"/>
          <w:lang w:val="es-ES_tradnl"/>
        </w:rPr>
      </w:pPr>
    </w:p>
    <w:p w:rsidR="00E475E3" w:rsidRPr="00165990" w:rsidRDefault="00F127CD" w:rsidP="00487E90">
      <w:pPr>
        <w:ind w:left="426" w:right="418"/>
        <w:jc w:val="both"/>
        <w:rPr>
          <w:rFonts w:ascii="Arial" w:hAnsi="Arial" w:cs="Arial"/>
          <w:i/>
          <w:spacing w:val="-2"/>
          <w:sz w:val="22"/>
          <w:lang w:val="es-ES_tradnl"/>
        </w:rPr>
      </w:pPr>
      <w:r w:rsidRPr="00165990">
        <w:rPr>
          <w:rFonts w:ascii="Arial" w:hAnsi="Arial" w:cs="Arial"/>
          <w:i/>
          <w:spacing w:val="-2"/>
          <w:sz w:val="22"/>
          <w:lang w:val="es-ES_tradnl"/>
        </w:rPr>
        <w:t>1. La concesión de la fiscalía</w:t>
      </w:r>
      <w:r w:rsidRPr="00165990">
        <w:rPr>
          <w:rFonts w:ascii="Arial" w:eastAsia="Tahoma" w:hAnsi="Arial" w:cs="Arial"/>
          <w:i/>
          <w:spacing w:val="-2"/>
          <w:sz w:val="22"/>
          <w:vertAlign w:val="superscript"/>
          <w:lang w:val="es-ES_tradnl"/>
        </w:rPr>
        <w:footnoteReference w:id="38"/>
      </w:r>
      <w:r w:rsidRPr="00165990">
        <w:rPr>
          <w:rFonts w:ascii="Arial" w:hAnsi="Arial" w:cs="Arial"/>
          <w:i/>
          <w:spacing w:val="-2"/>
          <w:sz w:val="22"/>
          <w:lang w:val="es-ES_tradnl"/>
        </w:rPr>
        <w:t xml:space="preserve"> debe limitarse a los porcentajes máximos de descuento de pena previstos en los artículos 351 y 352 del </w:t>
      </w:r>
      <w:proofErr w:type="spellStart"/>
      <w:r w:rsidRPr="00165990">
        <w:rPr>
          <w:rFonts w:ascii="Arial" w:hAnsi="Arial" w:cs="Arial"/>
          <w:i/>
          <w:spacing w:val="-2"/>
          <w:sz w:val="22"/>
          <w:lang w:val="es-ES_tradnl"/>
        </w:rPr>
        <w:t>C.P.P</w:t>
      </w:r>
      <w:proofErr w:type="spellEnd"/>
      <w:r w:rsidRPr="00165990">
        <w:rPr>
          <w:rFonts w:ascii="Arial" w:hAnsi="Arial" w:cs="Arial"/>
          <w:i/>
          <w:spacing w:val="-2"/>
          <w:sz w:val="22"/>
          <w:lang w:val="es-ES_tradnl"/>
        </w:rPr>
        <w:t xml:space="preserve">./2004, si es que el acuerdo en ello consiste. O, en caso de acudir a una modalidad </w:t>
      </w:r>
      <w:proofErr w:type="spellStart"/>
      <w:r w:rsidRPr="00165990">
        <w:rPr>
          <w:rFonts w:ascii="Arial" w:hAnsi="Arial" w:cs="Arial"/>
          <w:i/>
          <w:spacing w:val="-2"/>
          <w:sz w:val="22"/>
          <w:lang w:val="es-ES_tradnl"/>
        </w:rPr>
        <w:t>negocial</w:t>
      </w:r>
      <w:proofErr w:type="spellEnd"/>
      <w:r w:rsidRPr="00165990">
        <w:rPr>
          <w:rFonts w:ascii="Arial" w:hAnsi="Arial" w:cs="Arial"/>
          <w:i/>
          <w:spacing w:val="-2"/>
          <w:sz w:val="22"/>
          <w:lang w:val="es-ES_tradnl"/>
        </w:rPr>
        <w:t xml:space="preserve"> diferente, ésta debe fundarse en el reconocimiento de una de las circunstancias reductoras  de punibilidad expresamente consagradas en la ley (…)</w:t>
      </w:r>
    </w:p>
    <w:p w:rsidR="00E475E3" w:rsidRPr="00165990" w:rsidRDefault="00E475E3" w:rsidP="00487E90">
      <w:pPr>
        <w:ind w:left="426" w:right="418"/>
        <w:jc w:val="both"/>
        <w:rPr>
          <w:rFonts w:ascii="Arial" w:hAnsi="Arial" w:cs="Arial"/>
          <w:i/>
          <w:spacing w:val="-2"/>
          <w:sz w:val="22"/>
          <w:lang w:val="es-ES_tradnl"/>
        </w:rPr>
      </w:pPr>
    </w:p>
    <w:p w:rsidR="00F127CD" w:rsidRPr="00165990" w:rsidRDefault="00F127CD" w:rsidP="00487E90">
      <w:pPr>
        <w:ind w:left="426" w:right="418"/>
        <w:jc w:val="both"/>
        <w:rPr>
          <w:rFonts w:ascii="Arial" w:hAnsi="Arial" w:cs="Arial"/>
          <w:i/>
          <w:spacing w:val="-2"/>
          <w:sz w:val="22"/>
          <w:lang w:val="es-ES_tradnl"/>
        </w:rPr>
      </w:pPr>
      <w:r w:rsidRPr="00165990">
        <w:rPr>
          <w:rFonts w:ascii="Arial" w:hAnsi="Arial" w:cs="Arial"/>
          <w:i/>
          <w:spacing w:val="-2"/>
          <w:sz w:val="22"/>
          <w:lang w:val="es-ES_tradnl"/>
        </w:rPr>
        <w:t xml:space="preserve">2. La aceptación de culpabilidad del procesado debe ser voluntaria, libre e informada, tal y como lo disponen los artículos 8, literal l), y 293 del estatuto procesal. Además, debe existir un mínimo de prueba que respalde la declaratoria de responsabilidad penal, pues, según ordena el artículo 327, inc. 3º, ibídem, los preacuerdos no pueden “comprometer la presunción de inocencia y solo procederán si hay un mínimo de prueba que permita inferir la autoría o participación en la conducta y su tipicidad”. </w:t>
      </w:r>
    </w:p>
    <w:p w:rsidR="00F127CD" w:rsidRPr="00165990" w:rsidRDefault="00F127CD" w:rsidP="00487E90">
      <w:pPr>
        <w:ind w:left="426" w:right="418"/>
        <w:jc w:val="both"/>
        <w:rPr>
          <w:rFonts w:ascii="Arial" w:hAnsi="Arial" w:cs="Arial"/>
          <w:i/>
          <w:spacing w:val="-2"/>
          <w:sz w:val="22"/>
          <w:lang w:val="es-ES_tradnl"/>
        </w:rPr>
      </w:pPr>
    </w:p>
    <w:p w:rsidR="00F127CD" w:rsidRPr="00165990" w:rsidRDefault="00F127CD" w:rsidP="00487E90">
      <w:pPr>
        <w:ind w:left="426" w:right="418"/>
        <w:jc w:val="both"/>
        <w:rPr>
          <w:rFonts w:ascii="Arial" w:hAnsi="Arial" w:cs="Arial"/>
          <w:i/>
          <w:spacing w:val="-2"/>
          <w:sz w:val="22"/>
          <w:lang w:val="es-ES_tradnl"/>
        </w:rPr>
      </w:pPr>
      <w:r w:rsidRPr="00165990">
        <w:rPr>
          <w:rFonts w:ascii="Arial" w:hAnsi="Arial" w:cs="Arial"/>
          <w:i/>
          <w:spacing w:val="-2"/>
          <w:sz w:val="22"/>
          <w:lang w:val="es-ES_tradnl"/>
        </w:rPr>
        <w:t>3. En todo caso, los acuerdos deben propender por la humanización de la actuación procesal y la pena, por una justicia pronta y cumplida, por la activación de la solución de los conflictos sociales que genere el delito, por la reparación integral de los perjuicios y por la participación del procesado en la definición de su caso; pues son esos y no la descongestión de los despachos judiciales, los fines que legitiman el sacrificio de la legalidad de las consecuencias del delito, tal y como lo dispone el artículo 348 de la Ley 906 de 2004, aunque es obvio que la resolución negociada del conflicto penal repercute en una mayor eficiencia de la administración de justicia.</w:t>
      </w:r>
    </w:p>
    <w:p w:rsidR="00F127CD" w:rsidRPr="00165990" w:rsidRDefault="00F127CD" w:rsidP="00487E90">
      <w:pPr>
        <w:ind w:left="426" w:right="418" w:firstLine="708"/>
        <w:jc w:val="both"/>
        <w:rPr>
          <w:rFonts w:ascii="Arial" w:hAnsi="Arial" w:cs="Arial"/>
          <w:i/>
          <w:spacing w:val="-2"/>
          <w:sz w:val="22"/>
          <w:lang w:val="es-ES_tradnl"/>
        </w:rPr>
      </w:pPr>
    </w:p>
    <w:p w:rsidR="00F127CD" w:rsidRPr="00165990" w:rsidRDefault="00F127CD" w:rsidP="00487E90">
      <w:pPr>
        <w:ind w:left="426" w:right="418"/>
        <w:jc w:val="both"/>
        <w:rPr>
          <w:rFonts w:ascii="Arial" w:hAnsi="Arial" w:cs="Arial"/>
          <w:i/>
          <w:spacing w:val="-2"/>
          <w:sz w:val="22"/>
          <w:lang w:val="es-ES_tradnl"/>
        </w:rPr>
      </w:pPr>
      <w:r w:rsidRPr="00165990">
        <w:rPr>
          <w:rFonts w:ascii="Arial" w:hAnsi="Arial" w:cs="Arial"/>
          <w:i/>
          <w:spacing w:val="-2"/>
          <w:sz w:val="22"/>
          <w:lang w:val="es-ES_tradnl"/>
        </w:rPr>
        <w:t xml:space="preserve">Una vez delimitado el marco conceptual de los preacuerdos, especialmente en lo que hace a las concesiones que de manera legítima puede realizar la fiscalía; se observa que ninguna dificultad apareja reconocer al autor de una conducta punible, el descuento punitivo propio de la complicidad (art. 30, inc. 2º C.P.), es decir, de una sexta parte a la mitad de la sanción prevista para la respectiva infracción. Ello, de </w:t>
      </w:r>
      <w:r w:rsidRPr="00165990">
        <w:rPr>
          <w:rFonts w:ascii="Arial" w:hAnsi="Arial" w:cs="Arial"/>
          <w:i/>
          <w:spacing w:val="-2"/>
          <w:sz w:val="22"/>
          <w:lang w:val="es-ES_tradnl"/>
        </w:rPr>
        <w:lastRenderedPageBreak/>
        <w:t xml:space="preserve">ninguna manera desconoce el principio de legalidad del hecho, por cuanto, la imputación –y la acusación inclusive- que se viene formulada a </w:t>
      </w:r>
      <w:proofErr w:type="spellStart"/>
      <w:r w:rsidRPr="00165990">
        <w:rPr>
          <w:rFonts w:ascii="Arial" w:hAnsi="Arial" w:cs="Arial"/>
          <w:i/>
          <w:spacing w:val="-2"/>
          <w:sz w:val="22"/>
          <w:lang w:val="es-ES_tradnl"/>
        </w:rPr>
        <w:t>TARCISIO</w:t>
      </w:r>
      <w:proofErr w:type="spellEnd"/>
      <w:r w:rsidRPr="00165990">
        <w:rPr>
          <w:rFonts w:ascii="Arial" w:hAnsi="Arial" w:cs="Arial"/>
          <w:i/>
          <w:spacing w:val="-2"/>
          <w:sz w:val="22"/>
          <w:lang w:val="es-ES_tradnl"/>
        </w:rPr>
        <w:t xml:space="preserve"> MANUEL BENAVIDES ACOSTA, es clara en establecer –en lo fáctico y en lo jurídico- su condición de autor de los delitos de Prevaricato por acción (en concurso homogéneo)  y Peculado por apropiación. Lo que ocurre es que, en contraprestación al reconocimiento de culpabilidad que aquél hiciera previo al inicio del juicio oral, la fiscalía le reconoció la pena dispuesta para el cómplice que, obviamente, es menor a la que le correspondería en su condición de autor.”</w:t>
      </w:r>
      <w:r w:rsidRPr="00165990">
        <w:rPr>
          <w:rFonts w:ascii="Arial" w:hAnsi="Arial" w:cs="Arial"/>
          <w:i/>
          <w:spacing w:val="-2"/>
          <w:sz w:val="22"/>
          <w:vertAlign w:val="superscript"/>
        </w:rPr>
        <w:footnoteReference w:id="39"/>
      </w:r>
      <w:r w:rsidRPr="00165990">
        <w:rPr>
          <w:rFonts w:ascii="Arial" w:hAnsi="Arial" w:cs="Arial"/>
          <w:i/>
          <w:spacing w:val="-2"/>
          <w:sz w:val="22"/>
          <w:lang w:val="es-ES_tradnl"/>
        </w:rPr>
        <w:t xml:space="preserve"> </w:t>
      </w:r>
    </w:p>
    <w:p w:rsidR="00F127CD" w:rsidRPr="00165990" w:rsidRDefault="00F127CD" w:rsidP="00487E90">
      <w:pPr>
        <w:ind w:left="426" w:right="418"/>
        <w:jc w:val="both"/>
        <w:rPr>
          <w:rFonts w:ascii="Arial" w:hAnsi="Arial" w:cs="Arial"/>
          <w:i/>
          <w:spacing w:val="-2"/>
          <w:sz w:val="22"/>
          <w:lang w:val="es-ES_tradnl"/>
        </w:rPr>
      </w:pPr>
    </w:p>
    <w:p w:rsidR="00F127CD" w:rsidRPr="00165990" w:rsidRDefault="00F127CD" w:rsidP="00487E90">
      <w:pPr>
        <w:widowControl w:val="0"/>
        <w:autoSpaceDE w:val="0"/>
        <w:autoSpaceDN w:val="0"/>
        <w:adjustRightInd w:val="0"/>
        <w:ind w:left="426" w:right="418"/>
        <w:jc w:val="both"/>
        <w:rPr>
          <w:rFonts w:ascii="Arial" w:hAnsi="Arial" w:cs="Arial"/>
          <w:spacing w:val="-2"/>
          <w:sz w:val="22"/>
          <w:u w:val="single"/>
        </w:rPr>
      </w:pPr>
      <w:r w:rsidRPr="00165990">
        <w:rPr>
          <w:rFonts w:ascii="Arial" w:hAnsi="Arial" w:cs="Arial"/>
          <w:i/>
          <w:spacing w:val="-2"/>
          <w:sz w:val="22"/>
          <w:u w:val="single"/>
        </w:rPr>
        <w:t xml:space="preserve">De las decisiones aludidas se observa que en efecto la degradación de la forma de participación de autor a cómplice es viable dentro de una negociación </w:t>
      </w:r>
      <w:proofErr w:type="spellStart"/>
      <w:r w:rsidRPr="00165990">
        <w:rPr>
          <w:rFonts w:ascii="Arial" w:hAnsi="Arial" w:cs="Arial"/>
          <w:i/>
          <w:spacing w:val="-2"/>
          <w:sz w:val="22"/>
          <w:u w:val="single"/>
        </w:rPr>
        <w:t>preacordada</w:t>
      </w:r>
      <w:proofErr w:type="spellEnd"/>
      <w:r w:rsidRPr="00165990">
        <w:rPr>
          <w:rFonts w:ascii="Arial" w:hAnsi="Arial" w:cs="Arial"/>
          <w:i/>
          <w:spacing w:val="-2"/>
          <w:sz w:val="22"/>
          <w:u w:val="single"/>
        </w:rPr>
        <w:t xml:space="preserve">, pero el denominador común que se detalla en relación con esos precisos casos analizados por parte de la Sala de Casación Penal y a los que hizo alusión la Fiscalía para sustentar su pretensión, es que en ellos no intervino una sola persona en la realización de la conducta delictiva sino varios individuos, a consecuencia de lo cual era perfectamente entendible y factible, como así lo determinó la Corte, que esa degradación presentada por medio de la negociación se viabilizara. </w:t>
      </w:r>
      <w:r w:rsidRPr="00165990">
        <w:rPr>
          <w:rFonts w:ascii="Arial" w:hAnsi="Arial" w:cs="Arial"/>
          <w:spacing w:val="-2"/>
          <w:sz w:val="22"/>
          <w:u w:val="single"/>
        </w:rPr>
        <w:t xml:space="preserve"> </w:t>
      </w:r>
      <w:proofErr w:type="gramStart"/>
      <w:r w:rsidRPr="00165990">
        <w:rPr>
          <w:rFonts w:ascii="Arial" w:hAnsi="Arial" w:cs="Arial"/>
          <w:spacing w:val="-2"/>
          <w:sz w:val="22"/>
          <w:u w:val="single"/>
        </w:rPr>
        <w:t>( Subrayas</w:t>
      </w:r>
      <w:proofErr w:type="gramEnd"/>
      <w:r w:rsidRPr="00165990">
        <w:rPr>
          <w:rFonts w:ascii="Arial" w:hAnsi="Arial" w:cs="Arial"/>
          <w:spacing w:val="-2"/>
          <w:sz w:val="22"/>
          <w:u w:val="single"/>
        </w:rPr>
        <w:t xml:space="preserve"> </w:t>
      </w:r>
      <w:proofErr w:type="spellStart"/>
      <w:r w:rsidRPr="00165990">
        <w:rPr>
          <w:rFonts w:ascii="Arial" w:hAnsi="Arial" w:cs="Arial"/>
          <w:spacing w:val="-2"/>
          <w:sz w:val="22"/>
          <w:u w:val="single"/>
        </w:rPr>
        <w:t>fueradel</w:t>
      </w:r>
      <w:proofErr w:type="spellEnd"/>
      <w:r w:rsidRPr="00165990">
        <w:rPr>
          <w:rFonts w:ascii="Arial" w:hAnsi="Arial" w:cs="Arial"/>
          <w:spacing w:val="-2"/>
          <w:sz w:val="22"/>
          <w:u w:val="single"/>
        </w:rPr>
        <w:t xml:space="preserve"> texto original )  </w:t>
      </w:r>
    </w:p>
    <w:p w:rsidR="00F127CD" w:rsidRPr="00165990" w:rsidRDefault="00F127CD" w:rsidP="00487E90">
      <w:pPr>
        <w:widowControl w:val="0"/>
        <w:autoSpaceDE w:val="0"/>
        <w:autoSpaceDN w:val="0"/>
        <w:adjustRightInd w:val="0"/>
        <w:ind w:left="426" w:right="418"/>
        <w:jc w:val="both"/>
        <w:rPr>
          <w:rFonts w:ascii="Arial" w:hAnsi="Arial" w:cs="Arial"/>
          <w:i/>
          <w:spacing w:val="-2"/>
          <w:sz w:val="22"/>
          <w:u w:val="single"/>
        </w:rPr>
      </w:pPr>
    </w:p>
    <w:p w:rsidR="00F127CD" w:rsidRPr="00165990" w:rsidRDefault="00F127CD" w:rsidP="00487E90">
      <w:pPr>
        <w:widowControl w:val="0"/>
        <w:autoSpaceDE w:val="0"/>
        <w:autoSpaceDN w:val="0"/>
        <w:adjustRightInd w:val="0"/>
        <w:ind w:left="426" w:right="418"/>
        <w:jc w:val="both"/>
        <w:rPr>
          <w:rFonts w:ascii="Arial" w:hAnsi="Arial" w:cs="Arial"/>
          <w:i/>
          <w:spacing w:val="-2"/>
          <w:sz w:val="22"/>
        </w:rPr>
      </w:pPr>
      <w:r w:rsidRPr="00165990">
        <w:rPr>
          <w:rFonts w:ascii="Arial" w:hAnsi="Arial" w:cs="Arial"/>
          <w:i/>
          <w:spacing w:val="-2"/>
          <w:sz w:val="22"/>
        </w:rPr>
        <w:t>En sentir de esta Corporación, tales precedentes jurisprudenciales no pueden tener acogida en la solución del caso que nos ocupa, por las razones que pasan a explicarse:</w:t>
      </w:r>
    </w:p>
    <w:p w:rsidR="00F127CD" w:rsidRPr="00165990" w:rsidRDefault="00F127CD" w:rsidP="00487E90">
      <w:pPr>
        <w:widowControl w:val="0"/>
        <w:autoSpaceDE w:val="0"/>
        <w:autoSpaceDN w:val="0"/>
        <w:adjustRightInd w:val="0"/>
        <w:ind w:left="426" w:right="418"/>
        <w:jc w:val="both"/>
        <w:rPr>
          <w:rFonts w:ascii="Arial" w:hAnsi="Arial" w:cs="Arial"/>
          <w:i/>
          <w:spacing w:val="-2"/>
          <w:sz w:val="22"/>
        </w:rPr>
      </w:pPr>
      <w:r w:rsidRPr="00165990">
        <w:rPr>
          <w:rFonts w:ascii="Arial" w:hAnsi="Arial" w:cs="Arial"/>
          <w:i/>
          <w:spacing w:val="-2"/>
          <w:sz w:val="22"/>
        </w:rPr>
        <w:t xml:space="preserve"> </w:t>
      </w:r>
    </w:p>
    <w:p w:rsidR="00F127CD" w:rsidRPr="00165990" w:rsidRDefault="00F127CD" w:rsidP="00487E90">
      <w:pPr>
        <w:widowControl w:val="0"/>
        <w:autoSpaceDE w:val="0"/>
        <w:autoSpaceDN w:val="0"/>
        <w:adjustRightInd w:val="0"/>
        <w:ind w:left="426" w:right="418"/>
        <w:jc w:val="both"/>
        <w:rPr>
          <w:rFonts w:ascii="Arial" w:hAnsi="Arial" w:cs="Arial"/>
          <w:i/>
          <w:spacing w:val="-2"/>
          <w:sz w:val="22"/>
        </w:rPr>
      </w:pPr>
      <w:r w:rsidRPr="00165990">
        <w:rPr>
          <w:rFonts w:ascii="Arial" w:hAnsi="Arial" w:cs="Arial"/>
          <w:i/>
          <w:spacing w:val="-2"/>
          <w:sz w:val="22"/>
        </w:rPr>
        <w:t xml:space="preserve">De lo arrimado a la investigación se observa que la Fiscalía en la audiencia de formulación de imputación le endilgó al señor DIEGO ALEJANDRO el delito de fabricación, tráfico, porte o tenencia de armas de fuego, tipificado en el artículo 365 C.P., en calidad de “AUTOR” a título de dolo, y bajo la modalidad de “portar”, pues de conformidad con la situación fáctica allí esgrimida y que fue ratificada en el escrito de acusación, el señor DIEGO ALEJANDRO fue la persona que al notar la presencia de los uniformados  emprendió la huida y en su recorrido procedió a arrojar un elemento que no era otro diferente a un arma de fuego y de la cual carecía del permiso respectivo para su porte o tenencia.  </w:t>
      </w:r>
    </w:p>
    <w:p w:rsidR="00F127CD" w:rsidRPr="00165990" w:rsidRDefault="00F127CD" w:rsidP="00487E90">
      <w:pPr>
        <w:widowControl w:val="0"/>
        <w:autoSpaceDE w:val="0"/>
        <w:autoSpaceDN w:val="0"/>
        <w:adjustRightInd w:val="0"/>
        <w:ind w:left="426" w:right="418"/>
        <w:jc w:val="both"/>
        <w:rPr>
          <w:rFonts w:ascii="Arial" w:hAnsi="Arial" w:cs="Arial"/>
          <w:i/>
          <w:spacing w:val="-2"/>
          <w:sz w:val="22"/>
        </w:rPr>
      </w:pPr>
      <w:r w:rsidRPr="00165990">
        <w:rPr>
          <w:rFonts w:ascii="Arial" w:hAnsi="Arial" w:cs="Arial"/>
          <w:i/>
          <w:spacing w:val="-2"/>
          <w:sz w:val="22"/>
        </w:rPr>
        <w:t>La anterior presentación hace surgir como extraño que se plantee en la negociación la figura de la “complicidad”, cuando se sabe que esta modalidad amplificadora del tipo resulta abiertamente desfasada del contexto fáctico de la imputación.</w:t>
      </w:r>
    </w:p>
    <w:p w:rsidR="00F127CD" w:rsidRPr="00165990" w:rsidRDefault="00F127CD" w:rsidP="00487E90">
      <w:pPr>
        <w:widowControl w:val="0"/>
        <w:autoSpaceDE w:val="0"/>
        <w:autoSpaceDN w:val="0"/>
        <w:adjustRightInd w:val="0"/>
        <w:ind w:left="426" w:right="418"/>
        <w:jc w:val="both"/>
        <w:rPr>
          <w:rFonts w:ascii="Arial" w:hAnsi="Arial" w:cs="Arial"/>
          <w:i/>
          <w:spacing w:val="-2"/>
          <w:sz w:val="22"/>
        </w:rPr>
      </w:pPr>
    </w:p>
    <w:p w:rsidR="00F127CD" w:rsidRPr="00165990" w:rsidRDefault="00F127CD" w:rsidP="00487E90">
      <w:pPr>
        <w:widowControl w:val="0"/>
        <w:autoSpaceDE w:val="0"/>
        <w:autoSpaceDN w:val="0"/>
        <w:adjustRightInd w:val="0"/>
        <w:ind w:left="426" w:right="418"/>
        <w:jc w:val="both"/>
        <w:rPr>
          <w:rFonts w:ascii="Arial" w:hAnsi="Arial" w:cs="Arial"/>
          <w:i/>
          <w:spacing w:val="-2"/>
          <w:sz w:val="22"/>
          <w:u w:val="single"/>
        </w:rPr>
      </w:pPr>
      <w:r w:rsidRPr="00165990">
        <w:rPr>
          <w:rFonts w:ascii="Arial" w:hAnsi="Arial" w:cs="Arial"/>
          <w:i/>
          <w:spacing w:val="-2"/>
          <w:sz w:val="22"/>
          <w:u w:val="single"/>
        </w:rPr>
        <w:t>Es claro y en ello no cabe discusión alguna, que el delegado fiscal tiene razón cuando asegura que obviamente es factible la degradación del cargo en lo que atañe a la forma de participación en el delito, pero en criterio de la</w:t>
      </w:r>
      <w:r w:rsidRPr="00165990">
        <w:rPr>
          <w:rFonts w:ascii="Arial" w:hAnsi="Arial" w:cs="Arial"/>
          <w:i/>
          <w:spacing w:val="-2"/>
          <w:sz w:val="22"/>
        </w:rPr>
        <w:t xml:space="preserve"> </w:t>
      </w:r>
      <w:r w:rsidRPr="00165990">
        <w:rPr>
          <w:rFonts w:ascii="Arial" w:hAnsi="Arial" w:cs="Arial"/>
          <w:i/>
          <w:spacing w:val="-2"/>
          <w:sz w:val="22"/>
          <w:u w:val="single"/>
        </w:rPr>
        <w:t>Sala y acorde con lo también expuesto por el juzgador de instancia, esa forma de proceder en este caso concreto contraviene las reglas de la lógica, porque para hablar de COMPLICIDAD necesariamente debe existir una persona que cumple el rol de autor y otra que le preste ayuda previo concierto, lo que indudablemente tuvo ocurrencia en los dos casos que fueron objeto de análisis por la Sala Penal de la Corte Suprema de Justicia, pero aquí ninguna posibilidad de ello existe, dado que por parte alguna se avizora ni remotamente que en el hecho actuaran pluralidad de sujetos activos.</w:t>
      </w:r>
    </w:p>
    <w:p w:rsidR="00F127CD" w:rsidRPr="00165990" w:rsidRDefault="00F127CD" w:rsidP="00487E90">
      <w:pPr>
        <w:widowControl w:val="0"/>
        <w:autoSpaceDE w:val="0"/>
        <w:autoSpaceDN w:val="0"/>
        <w:adjustRightInd w:val="0"/>
        <w:ind w:left="426" w:right="418"/>
        <w:jc w:val="both"/>
        <w:rPr>
          <w:rFonts w:ascii="Arial" w:hAnsi="Arial" w:cs="Arial"/>
          <w:i/>
          <w:spacing w:val="-2"/>
          <w:sz w:val="22"/>
          <w:u w:val="single"/>
        </w:rPr>
      </w:pPr>
    </w:p>
    <w:p w:rsidR="00F127CD" w:rsidRPr="00165990" w:rsidRDefault="00F127CD" w:rsidP="00487E90">
      <w:pPr>
        <w:widowControl w:val="0"/>
        <w:autoSpaceDE w:val="0"/>
        <w:autoSpaceDN w:val="0"/>
        <w:adjustRightInd w:val="0"/>
        <w:ind w:left="426" w:right="418"/>
        <w:jc w:val="both"/>
        <w:rPr>
          <w:rFonts w:ascii="Arial" w:hAnsi="Arial" w:cs="Arial"/>
          <w:i/>
          <w:spacing w:val="-2"/>
          <w:sz w:val="22"/>
          <w:u w:val="single"/>
        </w:rPr>
      </w:pPr>
      <w:r w:rsidRPr="00165990">
        <w:rPr>
          <w:rFonts w:ascii="Arial" w:hAnsi="Arial" w:cs="Arial"/>
          <w:i/>
          <w:spacing w:val="-2"/>
          <w:sz w:val="22"/>
          <w:u w:val="single"/>
        </w:rPr>
        <w:t xml:space="preserve">Es que, si el pensamiento fiscal hiciera carrera y no se tuviera de presente un mínimo respeto por la adecuación típica y la dogmática imperante en todo proceso penal, entonces tendría que tolerarse, por el simple afán de conceder lo que sea a cambio de la admisión temprana e incluso a veces tardía de los cargos (como es el caso que aquí nos convoca en donde solo a la altura de la audiencia preparatoria se quiso </w:t>
      </w:r>
      <w:proofErr w:type="spellStart"/>
      <w:r w:rsidRPr="00165990">
        <w:rPr>
          <w:rFonts w:ascii="Arial" w:hAnsi="Arial" w:cs="Arial"/>
          <w:i/>
          <w:spacing w:val="-2"/>
          <w:sz w:val="22"/>
          <w:u w:val="single"/>
        </w:rPr>
        <w:t>preacordar</w:t>
      </w:r>
      <w:proofErr w:type="spellEnd"/>
      <w:r w:rsidRPr="00165990">
        <w:rPr>
          <w:rFonts w:ascii="Arial" w:hAnsi="Arial" w:cs="Arial"/>
          <w:i/>
          <w:spacing w:val="-2"/>
          <w:sz w:val="22"/>
          <w:u w:val="single"/>
        </w:rPr>
        <w:t>), que a un delito de homicidio se le llamen simples lesiones, o como ya lo anunció esta Corporación en una oportunidad anterior, que a la posesión de cocaína se le cambie por la posesión de marihuana, o que a un sicario, esto es, quien actúa por dinero, se le conceda absurdamente por vía de una negociación el estado de ira e intenso dolor.</w:t>
      </w:r>
    </w:p>
    <w:p w:rsidR="00F127CD" w:rsidRPr="00165990" w:rsidRDefault="00F127CD" w:rsidP="00487E90">
      <w:pPr>
        <w:widowControl w:val="0"/>
        <w:autoSpaceDE w:val="0"/>
        <w:autoSpaceDN w:val="0"/>
        <w:adjustRightInd w:val="0"/>
        <w:ind w:left="426" w:right="418"/>
        <w:jc w:val="both"/>
        <w:rPr>
          <w:rFonts w:ascii="Arial" w:hAnsi="Arial" w:cs="Arial"/>
          <w:i/>
          <w:spacing w:val="-2"/>
          <w:sz w:val="22"/>
          <w:u w:val="single"/>
        </w:rPr>
      </w:pPr>
    </w:p>
    <w:p w:rsidR="00F127CD" w:rsidRPr="00165990" w:rsidRDefault="00F127CD" w:rsidP="00487E90">
      <w:pPr>
        <w:widowControl w:val="0"/>
        <w:autoSpaceDE w:val="0"/>
        <w:autoSpaceDN w:val="0"/>
        <w:adjustRightInd w:val="0"/>
        <w:ind w:left="426" w:right="418"/>
        <w:jc w:val="both"/>
        <w:rPr>
          <w:rFonts w:ascii="Arial" w:hAnsi="Arial" w:cs="Arial"/>
          <w:spacing w:val="-2"/>
          <w:sz w:val="22"/>
          <w:u w:val="single"/>
        </w:rPr>
      </w:pPr>
      <w:r w:rsidRPr="00165990">
        <w:rPr>
          <w:rFonts w:ascii="Arial" w:hAnsi="Arial" w:cs="Arial"/>
          <w:i/>
          <w:spacing w:val="-2"/>
          <w:sz w:val="22"/>
          <w:u w:val="single"/>
        </w:rPr>
        <w:lastRenderedPageBreak/>
        <w:t xml:space="preserve">En síntesis, la conclusión plausible a la que tiene que llegarse es, no puede ser otra, que no todo es susceptible de negociación, sino solo aquello que está dentro de las probabilidades del debate en el caso concreto; y, por supuesto, en este asunto, nunca estuvo ni lo está, el que se pudiera llegar a platear la opción de una complicidad en cuanto solo actuó, que se sepa, una sola persona en el devenir delictual atribuido…” </w:t>
      </w:r>
      <w:r w:rsidRPr="00165990">
        <w:rPr>
          <w:rFonts w:ascii="Arial" w:hAnsi="Arial" w:cs="Arial"/>
          <w:spacing w:val="-2"/>
          <w:sz w:val="22"/>
          <w:u w:val="single"/>
        </w:rPr>
        <w:t>(Subrayas fuera del texto original).</w:t>
      </w:r>
    </w:p>
    <w:p w:rsidR="00F127CD" w:rsidRPr="00165990" w:rsidRDefault="00F127CD" w:rsidP="00E54582">
      <w:pPr>
        <w:widowControl w:val="0"/>
        <w:autoSpaceDE w:val="0"/>
        <w:autoSpaceDN w:val="0"/>
        <w:adjustRightInd w:val="0"/>
        <w:spacing w:line="276" w:lineRule="auto"/>
        <w:ind w:left="1134" w:right="902"/>
        <w:jc w:val="both"/>
        <w:rPr>
          <w:rFonts w:ascii="Arial" w:hAnsi="Arial" w:cs="Arial"/>
          <w:i/>
          <w:spacing w:val="-2"/>
          <w:u w:val="single"/>
        </w:rPr>
      </w:pPr>
    </w:p>
    <w:p w:rsidR="00F127CD" w:rsidRPr="00165990" w:rsidRDefault="00501D8F" w:rsidP="00E54582">
      <w:pPr>
        <w:widowControl w:val="0"/>
        <w:autoSpaceDE w:val="0"/>
        <w:autoSpaceDN w:val="0"/>
        <w:adjustRightInd w:val="0"/>
        <w:spacing w:line="276" w:lineRule="auto"/>
        <w:jc w:val="both"/>
        <w:rPr>
          <w:rFonts w:ascii="Arial" w:hAnsi="Arial" w:cs="Arial"/>
          <w:spacing w:val="-2"/>
        </w:rPr>
      </w:pPr>
      <w:r w:rsidRPr="00165990">
        <w:rPr>
          <w:rFonts w:ascii="Arial" w:hAnsi="Arial" w:cs="Arial"/>
          <w:spacing w:val="-2"/>
        </w:rPr>
        <w:t>6</w:t>
      </w:r>
      <w:r w:rsidR="00F127CD" w:rsidRPr="00165990">
        <w:rPr>
          <w:rFonts w:ascii="Arial" w:hAnsi="Arial" w:cs="Arial"/>
          <w:spacing w:val="-2"/>
        </w:rPr>
        <w:t xml:space="preserve">.19 Las consideraciones de la decisión antes referida, que es anterior al </w:t>
      </w:r>
      <w:proofErr w:type="spellStart"/>
      <w:r w:rsidR="00F127CD" w:rsidRPr="00165990">
        <w:rPr>
          <w:rFonts w:ascii="Arial" w:hAnsi="Arial" w:cs="Arial"/>
          <w:spacing w:val="-2"/>
        </w:rPr>
        <w:t>proferimiento</w:t>
      </w:r>
      <w:proofErr w:type="spellEnd"/>
      <w:r w:rsidR="00F127CD" w:rsidRPr="00165990">
        <w:rPr>
          <w:rFonts w:ascii="Arial" w:hAnsi="Arial" w:cs="Arial"/>
          <w:spacing w:val="-2"/>
        </w:rPr>
        <w:t xml:space="preserve"> d</w:t>
      </w:r>
      <w:r w:rsidR="008141A6" w:rsidRPr="00165990">
        <w:rPr>
          <w:rFonts w:ascii="Arial" w:hAnsi="Arial" w:cs="Arial"/>
          <w:spacing w:val="-2"/>
        </w:rPr>
        <w:t xml:space="preserve">e la sentencia SU – 479 de 2019, </w:t>
      </w:r>
      <w:r w:rsidR="00F127CD" w:rsidRPr="00165990">
        <w:rPr>
          <w:rFonts w:ascii="Arial" w:hAnsi="Arial" w:cs="Arial"/>
          <w:spacing w:val="-2"/>
        </w:rPr>
        <w:t xml:space="preserve">resultan plenamente aplicables al caso </w:t>
      </w:r>
      <w:r w:rsidR="00F127CD" w:rsidRPr="00165990">
        <w:rPr>
          <w:rFonts w:ascii="Arial" w:hAnsi="Arial" w:cs="Arial"/>
          <w:i/>
          <w:spacing w:val="-2"/>
        </w:rPr>
        <w:t xml:space="preserve">sub lite, </w:t>
      </w:r>
      <w:r w:rsidR="00F127CD" w:rsidRPr="00165990">
        <w:rPr>
          <w:rFonts w:ascii="Arial" w:hAnsi="Arial" w:cs="Arial"/>
          <w:spacing w:val="-2"/>
        </w:rPr>
        <w:t>por lo cual se concluye que no es posible llegar a un acuerdo con el procesado soslayando la narrativa fáctica del caso, como sucedió en este evento, ya que en sana dogmática,</w:t>
      </w:r>
      <w:r w:rsidR="008141A6" w:rsidRPr="00165990">
        <w:rPr>
          <w:rFonts w:ascii="Arial" w:hAnsi="Arial" w:cs="Arial"/>
          <w:spacing w:val="-2"/>
        </w:rPr>
        <w:t xml:space="preserve"> nadie puede terminar siendo “cómplice de sí mismo”</w:t>
      </w:r>
      <w:r w:rsidR="00F127CD" w:rsidRPr="00165990">
        <w:rPr>
          <w:rFonts w:ascii="Arial" w:hAnsi="Arial" w:cs="Arial"/>
          <w:spacing w:val="-2"/>
        </w:rPr>
        <w:t xml:space="preserve">. </w:t>
      </w:r>
    </w:p>
    <w:p w:rsidR="00F127CD" w:rsidRPr="00165990" w:rsidRDefault="00F127CD" w:rsidP="00E54582">
      <w:pPr>
        <w:widowControl w:val="0"/>
        <w:autoSpaceDE w:val="0"/>
        <w:autoSpaceDN w:val="0"/>
        <w:adjustRightInd w:val="0"/>
        <w:spacing w:line="276" w:lineRule="auto"/>
        <w:jc w:val="both"/>
        <w:rPr>
          <w:rFonts w:ascii="Arial" w:hAnsi="Arial" w:cs="Arial"/>
          <w:spacing w:val="-2"/>
        </w:rPr>
      </w:pPr>
    </w:p>
    <w:p w:rsidR="00F127CD" w:rsidRPr="00165990" w:rsidRDefault="008141A6" w:rsidP="00E54582">
      <w:pPr>
        <w:widowControl w:val="0"/>
        <w:autoSpaceDE w:val="0"/>
        <w:autoSpaceDN w:val="0"/>
        <w:adjustRightInd w:val="0"/>
        <w:spacing w:line="276" w:lineRule="auto"/>
        <w:jc w:val="both"/>
        <w:rPr>
          <w:rFonts w:ascii="Arial" w:hAnsi="Arial" w:cs="Arial"/>
          <w:spacing w:val="-2"/>
        </w:rPr>
      </w:pPr>
      <w:r w:rsidRPr="00165990">
        <w:rPr>
          <w:rFonts w:ascii="Arial" w:hAnsi="Arial" w:cs="Arial"/>
          <w:spacing w:val="-2"/>
        </w:rPr>
        <w:t>5.20</w:t>
      </w:r>
      <w:r w:rsidR="00F127CD" w:rsidRPr="00165990">
        <w:rPr>
          <w:rFonts w:ascii="Arial" w:hAnsi="Arial" w:cs="Arial"/>
          <w:spacing w:val="-2"/>
        </w:rPr>
        <w:t xml:space="preserve"> En consecuencia la Sala encuentra que le asistió razón al funcionario de primer grado al improbar el preacuerdo celebrado entre el delegado de la FGN y el señor José </w:t>
      </w:r>
      <w:proofErr w:type="spellStart"/>
      <w:r w:rsidR="005D5D2D" w:rsidRPr="00165990">
        <w:rPr>
          <w:rFonts w:ascii="Arial" w:hAnsi="Arial" w:cs="Arial"/>
          <w:spacing w:val="-2"/>
        </w:rPr>
        <w:t>AMM</w:t>
      </w:r>
      <w:proofErr w:type="spellEnd"/>
      <w:r w:rsidR="00F127CD" w:rsidRPr="00165990">
        <w:rPr>
          <w:rFonts w:ascii="Arial" w:hAnsi="Arial" w:cs="Arial"/>
          <w:spacing w:val="-2"/>
        </w:rPr>
        <w:t xml:space="preserve"> en los términos ya mencionados</w:t>
      </w:r>
      <w:r w:rsidR="00501D8F" w:rsidRPr="00165990">
        <w:rPr>
          <w:rFonts w:ascii="Arial" w:hAnsi="Arial" w:cs="Arial"/>
          <w:spacing w:val="-2"/>
        </w:rPr>
        <w:t xml:space="preserve">, </w:t>
      </w:r>
      <w:r w:rsidR="00F127CD" w:rsidRPr="00165990">
        <w:rPr>
          <w:rFonts w:ascii="Arial" w:hAnsi="Arial" w:cs="Arial"/>
          <w:spacing w:val="-2"/>
        </w:rPr>
        <w:t>con base en lo consignado en el precedente SU- 479 de 2019, por lo cual se confirmará la decisión recurrida.</w:t>
      </w:r>
    </w:p>
    <w:p w:rsidR="00F127CD" w:rsidRPr="00165990" w:rsidRDefault="00F127CD" w:rsidP="00E54582">
      <w:pPr>
        <w:spacing w:line="276" w:lineRule="auto"/>
        <w:jc w:val="both"/>
        <w:rPr>
          <w:rFonts w:ascii="Arial" w:hAnsi="Arial" w:cs="Arial"/>
          <w:spacing w:val="-2"/>
        </w:rPr>
      </w:pPr>
    </w:p>
    <w:p w:rsidR="008141A6" w:rsidRPr="00165990" w:rsidRDefault="00F127CD" w:rsidP="00E54582">
      <w:pPr>
        <w:spacing w:line="276" w:lineRule="auto"/>
        <w:jc w:val="both"/>
        <w:rPr>
          <w:rFonts w:ascii="Arial" w:hAnsi="Arial" w:cs="Arial"/>
          <w:spacing w:val="-2"/>
        </w:rPr>
      </w:pPr>
      <w:r w:rsidRPr="00165990">
        <w:rPr>
          <w:rFonts w:ascii="Arial" w:hAnsi="Arial" w:cs="Arial"/>
          <w:spacing w:val="-2"/>
        </w:rPr>
        <w:t>Por lo expuesto la Sala Penal del Tribunal Superior de Pereira,</w:t>
      </w:r>
    </w:p>
    <w:p w:rsidR="002E1D68" w:rsidRPr="00165990" w:rsidRDefault="002E1D68" w:rsidP="00487E90">
      <w:pPr>
        <w:spacing w:line="276" w:lineRule="auto"/>
        <w:jc w:val="both"/>
        <w:rPr>
          <w:rFonts w:ascii="Arial" w:hAnsi="Arial" w:cs="Arial"/>
          <w:spacing w:val="-2"/>
        </w:rPr>
      </w:pPr>
    </w:p>
    <w:p w:rsidR="00F127CD" w:rsidRPr="00165990" w:rsidRDefault="00F127CD" w:rsidP="00487E90">
      <w:pPr>
        <w:spacing w:line="276" w:lineRule="auto"/>
        <w:jc w:val="center"/>
        <w:rPr>
          <w:rFonts w:ascii="Arial" w:hAnsi="Arial" w:cs="Arial"/>
          <w:spacing w:val="-2"/>
        </w:rPr>
      </w:pPr>
      <w:r w:rsidRPr="00165990">
        <w:rPr>
          <w:rFonts w:ascii="Arial" w:hAnsi="Arial" w:cs="Arial"/>
          <w:spacing w:val="-2"/>
        </w:rPr>
        <w:t>RESUELVE</w:t>
      </w:r>
    </w:p>
    <w:p w:rsidR="00F127CD" w:rsidRPr="00165990" w:rsidRDefault="00F127CD" w:rsidP="00E54582">
      <w:pPr>
        <w:spacing w:line="276" w:lineRule="auto"/>
        <w:ind w:firstLine="709"/>
        <w:jc w:val="both"/>
        <w:rPr>
          <w:rFonts w:ascii="Arial" w:hAnsi="Arial" w:cs="Arial"/>
          <w:spacing w:val="-2"/>
        </w:rPr>
      </w:pPr>
      <w:bookmarkStart w:id="2" w:name="_GoBack"/>
      <w:bookmarkEnd w:id="2"/>
    </w:p>
    <w:p w:rsidR="00F127CD" w:rsidRPr="00165990" w:rsidRDefault="00F127CD" w:rsidP="00E54582">
      <w:pPr>
        <w:spacing w:line="276" w:lineRule="auto"/>
        <w:jc w:val="both"/>
        <w:rPr>
          <w:rFonts w:ascii="Arial" w:hAnsi="Arial" w:cs="Arial"/>
          <w:spacing w:val="-2"/>
        </w:rPr>
      </w:pPr>
      <w:r w:rsidRPr="00165990">
        <w:rPr>
          <w:rFonts w:ascii="Arial" w:hAnsi="Arial" w:cs="Arial"/>
          <w:spacing w:val="-2"/>
        </w:rPr>
        <w:t xml:space="preserve">PRIMERO: CONFIRMAR el auto objeto del presente recurso, en lo que fue materia de impugnación. En consecuencia, se ordena devolver el expediente al juzgado de conocimiento para lo de su cargo. </w:t>
      </w:r>
    </w:p>
    <w:p w:rsidR="00F127CD" w:rsidRPr="00165990" w:rsidRDefault="00F127CD" w:rsidP="00E54582">
      <w:pPr>
        <w:spacing w:line="276" w:lineRule="auto"/>
        <w:jc w:val="both"/>
        <w:rPr>
          <w:rFonts w:ascii="Arial" w:hAnsi="Arial" w:cs="Arial"/>
          <w:spacing w:val="-2"/>
        </w:rPr>
      </w:pPr>
    </w:p>
    <w:p w:rsidR="00F127CD" w:rsidRPr="00165990" w:rsidRDefault="00F127CD" w:rsidP="00E54582">
      <w:pPr>
        <w:spacing w:line="276" w:lineRule="auto"/>
        <w:jc w:val="both"/>
        <w:rPr>
          <w:rFonts w:ascii="Arial" w:hAnsi="Arial" w:cs="Arial"/>
          <w:spacing w:val="-2"/>
          <w:lang w:eastAsia="es-MX"/>
        </w:rPr>
      </w:pPr>
      <w:r w:rsidRPr="00165990">
        <w:rPr>
          <w:rFonts w:ascii="Arial" w:hAnsi="Arial" w:cs="Arial"/>
          <w:spacing w:val="-2"/>
        </w:rPr>
        <w:t xml:space="preserve">SEGUNDO: </w:t>
      </w:r>
      <w:r w:rsidRPr="00165990">
        <w:rPr>
          <w:rFonts w:ascii="Arial" w:hAnsi="Arial" w:cs="Arial"/>
          <w:spacing w:val="-2"/>
          <w:lang w:eastAsia="es-MX"/>
        </w:rPr>
        <w:t>Esta providencia queda notificada en estrados y contra ella no procede recurso alguno.</w:t>
      </w:r>
    </w:p>
    <w:p w:rsidR="00F127CD" w:rsidRPr="00E54582" w:rsidRDefault="00F127CD" w:rsidP="00E54582">
      <w:pPr>
        <w:spacing w:line="276" w:lineRule="auto"/>
        <w:jc w:val="center"/>
        <w:rPr>
          <w:rFonts w:ascii="Arial" w:hAnsi="Arial" w:cs="Arial"/>
          <w:lang w:val="es-ES_tradnl" w:eastAsia="es-MX"/>
        </w:rPr>
      </w:pPr>
    </w:p>
    <w:p w:rsidR="00E54582" w:rsidRPr="00E54582" w:rsidRDefault="00E54582" w:rsidP="00E54582">
      <w:pPr>
        <w:tabs>
          <w:tab w:val="center" w:pos="4419"/>
          <w:tab w:val="right" w:pos="8838"/>
        </w:tabs>
        <w:spacing w:line="276" w:lineRule="auto"/>
        <w:jc w:val="center"/>
        <w:rPr>
          <w:rFonts w:ascii="Arial" w:hAnsi="Arial" w:cs="Arial"/>
        </w:rPr>
      </w:pPr>
      <w:r w:rsidRPr="00E54582">
        <w:rPr>
          <w:rFonts w:ascii="Arial" w:hAnsi="Arial" w:cs="Arial"/>
        </w:rPr>
        <w:t>NOTIFÍQUESE Y CÚMPLASE.</w:t>
      </w:r>
    </w:p>
    <w:p w:rsidR="00E54582" w:rsidRPr="00E54582" w:rsidRDefault="00E54582" w:rsidP="00E54582">
      <w:pPr>
        <w:spacing w:line="276" w:lineRule="auto"/>
        <w:jc w:val="center"/>
        <w:rPr>
          <w:rFonts w:ascii="Arial" w:hAnsi="Arial" w:cs="Arial"/>
          <w:b/>
          <w:spacing w:val="-4"/>
          <w:lang w:val="es-CO" w:eastAsia="en-US"/>
        </w:rPr>
      </w:pPr>
    </w:p>
    <w:p w:rsidR="00E54582" w:rsidRPr="00E54582" w:rsidRDefault="00E54582" w:rsidP="00E54582">
      <w:pPr>
        <w:spacing w:line="276" w:lineRule="auto"/>
        <w:jc w:val="center"/>
        <w:rPr>
          <w:rFonts w:ascii="Arial" w:hAnsi="Arial" w:cs="Arial"/>
          <w:b/>
          <w:spacing w:val="-4"/>
          <w:lang w:val="es-CO" w:eastAsia="en-US"/>
        </w:rPr>
      </w:pPr>
    </w:p>
    <w:p w:rsidR="00E54582" w:rsidRPr="00E54582" w:rsidRDefault="00E54582" w:rsidP="00E54582">
      <w:pPr>
        <w:spacing w:line="276" w:lineRule="auto"/>
        <w:jc w:val="center"/>
        <w:rPr>
          <w:rFonts w:ascii="Arial" w:hAnsi="Arial" w:cs="Arial"/>
          <w:b/>
          <w:spacing w:val="-4"/>
          <w:lang w:val="es-CO" w:eastAsia="en-US"/>
        </w:rPr>
      </w:pPr>
    </w:p>
    <w:p w:rsidR="00E54582" w:rsidRPr="00E54582" w:rsidRDefault="00E54582" w:rsidP="00E54582">
      <w:pPr>
        <w:spacing w:line="276" w:lineRule="auto"/>
        <w:jc w:val="center"/>
        <w:rPr>
          <w:rFonts w:ascii="Arial" w:hAnsi="Arial" w:cs="Arial"/>
          <w:b/>
          <w:spacing w:val="-4"/>
          <w:lang w:val="es-CO" w:eastAsia="en-US"/>
        </w:rPr>
      </w:pPr>
      <w:r w:rsidRPr="00E54582">
        <w:rPr>
          <w:rFonts w:ascii="Arial" w:hAnsi="Arial" w:cs="Arial"/>
          <w:b/>
          <w:spacing w:val="-4"/>
          <w:lang w:val="es-CO" w:eastAsia="en-US"/>
        </w:rPr>
        <w:t>JAIRO ERNESTO ESCOBAR SANZ</w:t>
      </w:r>
    </w:p>
    <w:p w:rsidR="00E54582" w:rsidRPr="00E54582" w:rsidRDefault="00E54582" w:rsidP="00E54582">
      <w:pPr>
        <w:spacing w:line="276" w:lineRule="auto"/>
        <w:jc w:val="center"/>
        <w:rPr>
          <w:rFonts w:ascii="Arial" w:hAnsi="Arial" w:cs="Arial"/>
          <w:spacing w:val="-4"/>
          <w:lang w:val="es-CO" w:eastAsia="en-US"/>
        </w:rPr>
      </w:pPr>
      <w:r w:rsidRPr="00E54582">
        <w:rPr>
          <w:rFonts w:ascii="Arial" w:hAnsi="Arial" w:cs="Arial"/>
          <w:spacing w:val="-4"/>
          <w:lang w:val="es-CO" w:eastAsia="en-US"/>
        </w:rPr>
        <w:t>Magistrado</w:t>
      </w:r>
    </w:p>
    <w:p w:rsidR="00E54582" w:rsidRPr="00E54582" w:rsidRDefault="00E54582" w:rsidP="00E54582">
      <w:pPr>
        <w:spacing w:line="276" w:lineRule="auto"/>
        <w:jc w:val="center"/>
        <w:rPr>
          <w:rFonts w:ascii="Arial" w:hAnsi="Arial" w:cs="Arial"/>
          <w:b/>
          <w:spacing w:val="-4"/>
          <w:lang w:val="es-CO" w:eastAsia="en-US"/>
        </w:rPr>
      </w:pPr>
    </w:p>
    <w:p w:rsidR="00E54582" w:rsidRPr="00E54582" w:rsidRDefault="00E54582" w:rsidP="00E54582">
      <w:pPr>
        <w:spacing w:line="276" w:lineRule="auto"/>
        <w:jc w:val="center"/>
        <w:rPr>
          <w:rFonts w:ascii="Arial" w:hAnsi="Arial" w:cs="Arial"/>
          <w:b/>
          <w:spacing w:val="-4"/>
          <w:lang w:val="es-CO" w:eastAsia="en-US"/>
        </w:rPr>
      </w:pPr>
    </w:p>
    <w:p w:rsidR="00E54582" w:rsidRPr="00E54582" w:rsidRDefault="00E54582" w:rsidP="00E54582">
      <w:pPr>
        <w:spacing w:line="276" w:lineRule="auto"/>
        <w:jc w:val="center"/>
        <w:rPr>
          <w:rFonts w:ascii="Arial" w:hAnsi="Arial" w:cs="Arial"/>
          <w:b/>
          <w:spacing w:val="-4"/>
          <w:lang w:val="es-CO" w:eastAsia="en-US"/>
        </w:rPr>
      </w:pPr>
    </w:p>
    <w:p w:rsidR="00E54582" w:rsidRPr="00E54582" w:rsidRDefault="00E54582" w:rsidP="00E54582">
      <w:pPr>
        <w:spacing w:line="276" w:lineRule="auto"/>
        <w:jc w:val="center"/>
        <w:rPr>
          <w:rFonts w:ascii="Arial" w:hAnsi="Arial" w:cs="Arial"/>
          <w:b/>
          <w:spacing w:val="-4"/>
          <w:lang w:val="es-CO" w:eastAsia="en-US"/>
        </w:rPr>
      </w:pPr>
      <w:r w:rsidRPr="00E54582">
        <w:rPr>
          <w:rFonts w:ascii="Arial" w:hAnsi="Arial" w:cs="Arial"/>
          <w:b/>
          <w:spacing w:val="-4"/>
          <w:lang w:val="es-CO" w:eastAsia="en-US"/>
        </w:rPr>
        <w:t xml:space="preserve">MANUEL </w:t>
      </w:r>
      <w:proofErr w:type="spellStart"/>
      <w:r w:rsidRPr="00E54582">
        <w:rPr>
          <w:rFonts w:ascii="Arial" w:hAnsi="Arial" w:cs="Arial"/>
          <w:b/>
          <w:spacing w:val="-4"/>
          <w:lang w:val="es-CO" w:eastAsia="en-US"/>
        </w:rPr>
        <w:t>YARZAGARAY</w:t>
      </w:r>
      <w:proofErr w:type="spellEnd"/>
      <w:r w:rsidRPr="00E54582">
        <w:rPr>
          <w:rFonts w:ascii="Arial" w:hAnsi="Arial" w:cs="Arial"/>
          <w:b/>
          <w:spacing w:val="-4"/>
          <w:lang w:val="es-CO" w:eastAsia="en-US"/>
        </w:rPr>
        <w:t xml:space="preserve"> BANDERA</w:t>
      </w:r>
    </w:p>
    <w:p w:rsidR="00E54582" w:rsidRPr="00E54582" w:rsidRDefault="00E54582" w:rsidP="00E54582">
      <w:pPr>
        <w:spacing w:line="276" w:lineRule="auto"/>
        <w:jc w:val="center"/>
        <w:rPr>
          <w:rFonts w:ascii="Arial" w:hAnsi="Arial" w:cs="Arial"/>
          <w:spacing w:val="-4"/>
          <w:lang w:val="es-CO" w:eastAsia="en-US"/>
        </w:rPr>
      </w:pPr>
      <w:r w:rsidRPr="00E54582">
        <w:rPr>
          <w:rFonts w:ascii="Arial" w:hAnsi="Arial" w:cs="Arial"/>
          <w:spacing w:val="-4"/>
          <w:lang w:val="es-CO" w:eastAsia="en-US"/>
        </w:rPr>
        <w:t>Magistrado</w:t>
      </w:r>
    </w:p>
    <w:p w:rsidR="00E54582" w:rsidRPr="00E54582" w:rsidRDefault="00E54582" w:rsidP="00E54582">
      <w:pPr>
        <w:spacing w:line="276" w:lineRule="auto"/>
        <w:jc w:val="center"/>
        <w:rPr>
          <w:rFonts w:ascii="Arial" w:hAnsi="Arial" w:cs="Arial"/>
          <w:b/>
          <w:spacing w:val="-4"/>
          <w:lang w:val="es-CO" w:eastAsia="en-US"/>
        </w:rPr>
      </w:pPr>
    </w:p>
    <w:p w:rsidR="00E54582" w:rsidRPr="00E54582" w:rsidRDefault="00E54582" w:rsidP="00E54582">
      <w:pPr>
        <w:spacing w:line="276" w:lineRule="auto"/>
        <w:jc w:val="center"/>
        <w:rPr>
          <w:rFonts w:ascii="Arial" w:hAnsi="Arial" w:cs="Arial"/>
          <w:b/>
          <w:spacing w:val="-4"/>
          <w:lang w:val="es-CO" w:eastAsia="en-US"/>
        </w:rPr>
      </w:pPr>
    </w:p>
    <w:p w:rsidR="00E54582" w:rsidRPr="00E54582" w:rsidRDefault="00E54582" w:rsidP="00E54582">
      <w:pPr>
        <w:spacing w:line="276" w:lineRule="auto"/>
        <w:jc w:val="center"/>
        <w:rPr>
          <w:rFonts w:ascii="Arial" w:hAnsi="Arial" w:cs="Arial"/>
          <w:b/>
          <w:spacing w:val="-4"/>
          <w:lang w:val="es-CO" w:eastAsia="en-US"/>
        </w:rPr>
      </w:pPr>
    </w:p>
    <w:p w:rsidR="00E54582" w:rsidRPr="00E54582" w:rsidRDefault="00E54582" w:rsidP="00E54582">
      <w:pPr>
        <w:spacing w:line="276" w:lineRule="auto"/>
        <w:jc w:val="center"/>
        <w:rPr>
          <w:rFonts w:ascii="Arial" w:hAnsi="Arial" w:cs="Arial"/>
          <w:b/>
          <w:spacing w:val="-4"/>
          <w:lang w:val="es-CO" w:eastAsia="en-US"/>
        </w:rPr>
      </w:pPr>
      <w:r w:rsidRPr="00E54582">
        <w:rPr>
          <w:rFonts w:ascii="Arial" w:hAnsi="Arial" w:cs="Arial"/>
          <w:b/>
          <w:spacing w:val="-4"/>
          <w:lang w:val="es-CO" w:eastAsia="en-US"/>
        </w:rPr>
        <w:t>JORGE ARTURO CASTAÑO DUQUE</w:t>
      </w:r>
    </w:p>
    <w:p w:rsidR="00F127CD" w:rsidRPr="00E54582" w:rsidRDefault="00E54582" w:rsidP="00E54582">
      <w:pPr>
        <w:tabs>
          <w:tab w:val="left" w:pos="8789"/>
        </w:tabs>
        <w:spacing w:line="276" w:lineRule="auto"/>
        <w:ind w:right="51"/>
        <w:jc w:val="center"/>
        <w:rPr>
          <w:rFonts w:ascii="Arial" w:hAnsi="Arial" w:cs="Arial"/>
          <w:bCs/>
          <w:spacing w:val="-4"/>
          <w:lang w:val="es-CO"/>
        </w:rPr>
      </w:pPr>
      <w:r w:rsidRPr="00E54582">
        <w:rPr>
          <w:rFonts w:ascii="Arial" w:hAnsi="Arial" w:cs="Arial"/>
          <w:spacing w:val="-4"/>
          <w:lang w:val="es-CO" w:eastAsia="en-US"/>
        </w:rPr>
        <w:t>Magistrado</w:t>
      </w:r>
    </w:p>
    <w:sectPr w:rsidR="00F127CD" w:rsidRPr="00E54582" w:rsidSect="00165990">
      <w:headerReference w:type="default" r:id="rId10"/>
      <w:footerReference w:type="default" r:id="rId11"/>
      <w:pgSz w:w="12240" w:h="18720" w:code="14"/>
      <w:pgMar w:top="1985" w:right="1304" w:bottom="1418"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B0B" w:rsidRDefault="004D0B0B" w:rsidP="0097085C">
      <w:r>
        <w:separator/>
      </w:r>
    </w:p>
  </w:endnote>
  <w:endnote w:type="continuationSeparator" w:id="0">
    <w:p w:rsidR="004D0B0B" w:rsidRDefault="004D0B0B" w:rsidP="0097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BBF" w:rsidRPr="00763C87" w:rsidRDefault="009A3BBF" w:rsidP="0084173C">
    <w:pPr>
      <w:pStyle w:val="Piedepgina"/>
      <w:rPr>
        <w:rFonts w:ascii="Arial" w:hAnsi="Arial" w:cs="Arial"/>
        <w:sz w:val="16"/>
        <w:szCs w:val="16"/>
      </w:rPr>
    </w:pPr>
    <w:r w:rsidRPr="00763C87">
      <w:rPr>
        <w:rFonts w:ascii="Arial" w:hAnsi="Arial" w:cs="Arial"/>
        <w:sz w:val="16"/>
        <w:szCs w:val="16"/>
      </w:rPr>
      <w:t xml:space="preserve">Página </w:t>
    </w:r>
    <w:r w:rsidRPr="00763C87">
      <w:rPr>
        <w:rFonts w:ascii="Arial" w:hAnsi="Arial" w:cs="Arial"/>
        <w:b/>
        <w:bCs/>
        <w:sz w:val="16"/>
        <w:szCs w:val="16"/>
      </w:rPr>
      <w:fldChar w:fldCharType="begin"/>
    </w:r>
    <w:r w:rsidRPr="00763C87">
      <w:rPr>
        <w:rFonts w:ascii="Arial" w:hAnsi="Arial" w:cs="Arial"/>
        <w:b/>
        <w:bCs/>
        <w:sz w:val="16"/>
        <w:szCs w:val="16"/>
      </w:rPr>
      <w:instrText>PAGE</w:instrText>
    </w:r>
    <w:r w:rsidRPr="00763C87">
      <w:rPr>
        <w:rFonts w:ascii="Arial" w:hAnsi="Arial" w:cs="Arial"/>
        <w:b/>
        <w:bCs/>
        <w:sz w:val="16"/>
        <w:szCs w:val="16"/>
      </w:rPr>
      <w:fldChar w:fldCharType="separate"/>
    </w:r>
    <w:r w:rsidR="00165990">
      <w:rPr>
        <w:rFonts w:ascii="Arial" w:hAnsi="Arial" w:cs="Arial"/>
        <w:b/>
        <w:bCs/>
        <w:noProof/>
        <w:sz w:val="16"/>
        <w:szCs w:val="16"/>
      </w:rPr>
      <w:t>27</w:t>
    </w:r>
    <w:r w:rsidRPr="00763C87">
      <w:rPr>
        <w:rFonts w:ascii="Arial" w:hAnsi="Arial" w:cs="Arial"/>
        <w:b/>
        <w:bCs/>
        <w:sz w:val="16"/>
        <w:szCs w:val="16"/>
      </w:rPr>
      <w:fldChar w:fldCharType="end"/>
    </w:r>
    <w:r w:rsidRPr="00763C87">
      <w:rPr>
        <w:rFonts w:ascii="Arial" w:hAnsi="Arial" w:cs="Arial"/>
        <w:sz w:val="16"/>
        <w:szCs w:val="16"/>
      </w:rPr>
      <w:t xml:space="preserve"> de </w:t>
    </w:r>
    <w:r w:rsidRPr="00763C87">
      <w:rPr>
        <w:rFonts w:ascii="Arial" w:hAnsi="Arial" w:cs="Arial"/>
        <w:b/>
        <w:bCs/>
        <w:sz w:val="16"/>
        <w:szCs w:val="16"/>
      </w:rPr>
      <w:fldChar w:fldCharType="begin"/>
    </w:r>
    <w:r w:rsidRPr="00763C87">
      <w:rPr>
        <w:rFonts w:ascii="Arial" w:hAnsi="Arial" w:cs="Arial"/>
        <w:b/>
        <w:bCs/>
        <w:sz w:val="16"/>
        <w:szCs w:val="16"/>
      </w:rPr>
      <w:instrText>NUMPAGES</w:instrText>
    </w:r>
    <w:r w:rsidRPr="00763C87">
      <w:rPr>
        <w:rFonts w:ascii="Arial" w:hAnsi="Arial" w:cs="Arial"/>
        <w:b/>
        <w:bCs/>
        <w:sz w:val="16"/>
        <w:szCs w:val="16"/>
      </w:rPr>
      <w:fldChar w:fldCharType="separate"/>
    </w:r>
    <w:r w:rsidR="00165990">
      <w:rPr>
        <w:rFonts w:ascii="Arial" w:hAnsi="Arial" w:cs="Arial"/>
        <w:b/>
        <w:bCs/>
        <w:noProof/>
        <w:sz w:val="16"/>
        <w:szCs w:val="16"/>
      </w:rPr>
      <w:t>27</w:t>
    </w:r>
    <w:r w:rsidRPr="00763C87">
      <w:rPr>
        <w:rFonts w:ascii="Arial" w:hAnsi="Arial" w:cs="Arial"/>
        <w:b/>
        <w:bCs/>
        <w:sz w:val="16"/>
        <w:szCs w:val="16"/>
      </w:rPr>
      <w:fldChar w:fldCharType="end"/>
    </w:r>
  </w:p>
  <w:p w:rsidR="009A3BBF" w:rsidRDefault="009A3B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B0B" w:rsidRDefault="004D0B0B" w:rsidP="0097085C">
      <w:r>
        <w:separator/>
      </w:r>
    </w:p>
  </w:footnote>
  <w:footnote w:type="continuationSeparator" w:id="0">
    <w:p w:rsidR="004D0B0B" w:rsidRDefault="004D0B0B" w:rsidP="0097085C">
      <w:r>
        <w:continuationSeparator/>
      </w:r>
    </w:p>
  </w:footnote>
  <w:footnote w:id="1">
    <w:p w:rsidR="009A3BBF" w:rsidRPr="00E54582" w:rsidRDefault="009A3BBF" w:rsidP="00E54582">
      <w:pPr>
        <w:pStyle w:val="Textonotapie"/>
        <w:jc w:val="both"/>
        <w:rPr>
          <w:rFonts w:ascii="Arial" w:hAnsi="Arial" w:cs="Arial"/>
          <w:sz w:val="18"/>
          <w:lang w:val="es-CO"/>
        </w:rPr>
      </w:pPr>
      <w:r w:rsidRPr="00E54582">
        <w:rPr>
          <w:rStyle w:val="Refdenotaalpie"/>
          <w:rFonts w:ascii="Arial" w:hAnsi="Arial" w:cs="Arial"/>
          <w:sz w:val="18"/>
        </w:rPr>
        <w:footnoteRef/>
      </w:r>
      <w:r w:rsidRPr="00E54582">
        <w:rPr>
          <w:rFonts w:ascii="Arial" w:hAnsi="Arial" w:cs="Arial"/>
          <w:sz w:val="18"/>
        </w:rPr>
        <w:t xml:space="preserve"> </w:t>
      </w:r>
      <w:r w:rsidRPr="00E54582">
        <w:rPr>
          <w:rFonts w:ascii="Arial" w:hAnsi="Arial" w:cs="Arial"/>
          <w:sz w:val="18"/>
          <w:lang w:val="es-CO"/>
        </w:rPr>
        <w:t xml:space="preserve">Folio 2 </w:t>
      </w:r>
    </w:p>
  </w:footnote>
  <w:footnote w:id="2">
    <w:p w:rsidR="009A3BBF" w:rsidRPr="00E54582" w:rsidRDefault="009A3BBF" w:rsidP="00E54582">
      <w:pPr>
        <w:pStyle w:val="Textonotapie"/>
        <w:snapToGrid w:val="0"/>
        <w:jc w:val="both"/>
        <w:rPr>
          <w:rFonts w:ascii="Arial" w:hAnsi="Arial" w:cs="Arial"/>
          <w:color w:val="000000" w:themeColor="text1"/>
          <w:sz w:val="18"/>
        </w:rPr>
      </w:pPr>
      <w:r w:rsidRPr="00E54582">
        <w:rPr>
          <w:rStyle w:val="Refdenotaalpie"/>
          <w:rFonts w:ascii="Arial" w:hAnsi="Arial" w:cs="Arial"/>
          <w:color w:val="000000" w:themeColor="text1"/>
          <w:sz w:val="18"/>
        </w:rPr>
        <w:footnoteRef/>
      </w:r>
      <w:r w:rsidRPr="00E54582">
        <w:rPr>
          <w:rFonts w:ascii="Arial" w:hAnsi="Arial" w:cs="Arial"/>
          <w:color w:val="000000" w:themeColor="text1"/>
          <w:sz w:val="18"/>
        </w:rPr>
        <w:t xml:space="preserve"> Sobre la definición de precedente, las sentencias T-292 de 2006, M. P. Manuel José Cepeda Espinosa, SU-047 de 1999 y C-104 de 1993, en ambas M. P. Alejandro Martínez Caballero.</w:t>
      </w:r>
    </w:p>
  </w:footnote>
  <w:footnote w:id="3">
    <w:p w:rsidR="009A3BBF" w:rsidRPr="00E54582" w:rsidRDefault="009A3BBF" w:rsidP="00E54582">
      <w:pPr>
        <w:pStyle w:val="Textonotapie"/>
        <w:jc w:val="both"/>
        <w:rPr>
          <w:rFonts w:ascii="Arial" w:hAnsi="Arial" w:cs="Arial"/>
          <w:color w:val="000000" w:themeColor="text1"/>
          <w:sz w:val="18"/>
        </w:rPr>
      </w:pPr>
      <w:r w:rsidRPr="00E54582">
        <w:rPr>
          <w:rStyle w:val="Refdenotaalpie"/>
          <w:rFonts w:ascii="Arial" w:hAnsi="Arial" w:cs="Arial"/>
          <w:color w:val="000000" w:themeColor="text1"/>
          <w:sz w:val="18"/>
        </w:rPr>
        <w:footnoteRef/>
      </w:r>
      <w:r w:rsidRPr="00E54582">
        <w:rPr>
          <w:rFonts w:ascii="Arial" w:hAnsi="Arial" w:cs="Arial"/>
          <w:color w:val="000000" w:themeColor="text1"/>
          <w:sz w:val="18"/>
        </w:rPr>
        <w:t xml:space="preserve"> Corte Constitucional, Sentencia T-292 de 2006, M. P. Manuel José Cepeda Espinosa: </w:t>
      </w:r>
      <w:r w:rsidRPr="00E54582">
        <w:rPr>
          <w:rFonts w:ascii="Arial" w:hAnsi="Arial" w:cs="Arial"/>
          <w:i/>
          <w:color w:val="000000" w:themeColor="text1"/>
          <w:sz w:val="18"/>
        </w:rPr>
        <w:t>“En este sentido, la vinculación de los jueces a los precedentes constitucionales resulta especialmente relevante para la unidad y armonía del ordenamiento como conjunto, precisamente porque al ser las normas de la Carta de textura abierta, acoger la interpretación autorizada del Tribunal constituye una exigencia inevitable”.</w:t>
      </w:r>
    </w:p>
  </w:footnote>
  <w:footnote w:id="4">
    <w:p w:rsidR="009A3BBF" w:rsidRPr="00E54582" w:rsidRDefault="009A3BBF" w:rsidP="00E54582">
      <w:pPr>
        <w:pStyle w:val="Textonotapie"/>
        <w:jc w:val="both"/>
        <w:rPr>
          <w:rFonts w:ascii="Arial" w:hAnsi="Arial" w:cs="Arial"/>
          <w:color w:val="000000" w:themeColor="text1"/>
          <w:sz w:val="18"/>
        </w:rPr>
      </w:pPr>
      <w:r w:rsidRPr="00E54582">
        <w:rPr>
          <w:rStyle w:val="Refdenotaalpie"/>
          <w:rFonts w:ascii="Arial" w:hAnsi="Arial" w:cs="Arial"/>
          <w:color w:val="000000" w:themeColor="text1"/>
          <w:sz w:val="18"/>
        </w:rPr>
        <w:footnoteRef/>
      </w:r>
      <w:r w:rsidRPr="00E54582">
        <w:rPr>
          <w:rFonts w:ascii="Arial" w:hAnsi="Arial" w:cs="Arial"/>
          <w:color w:val="000000" w:themeColor="text1"/>
          <w:sz w:val="18"/>
        </w:rPr>
        <w:t xml:space="preserve"> </w:t>
      </w:r>
      <w:proofErr w:type="spellStart"/>
      <w:r w:rsidRPr="00E54582">
        <w:rPr>
          <w:rFonts w:ascii="Arial" w:hAnsi="Arial" w:cs="Arial"/>
          <w:color w:val="000000" w:themeColor="text1"/>
          <w:sz w:val="18"/>
        </w:rPr>
        <w:t>M.P</w:t>
      </w:r>
      <w:proofErr w:type="spellEnd"/>
      <w:r w:rsidRPr="00E54582">
        <w:rPr>
          <w:rFonts w:ascii="Arial" w:hAnsi="Arial" w:cs="Arial"/>
          <w:color w:val="000000" w:themeColor="text1"/>
          <w:sz w:val="18"/>
        </w:rPr>
        <w:t>. Mauricio González Cuervo.</w:t>
      </w:r>
    </w:p>
  </w:footnote>
  <w:footnote w:id="5">
    <w:p w:rsidR="009A3BBF" w:rsidRPr="00E54582" w:rsidRDefault="009A3BBF" w:rsidP="00E54582">
      <w:pPr>
        <w:pStyle w:val="Textonotapie"/>
        <w:jc w:val="both"/>
        <w:rPr>
          <w:rFonts w:ascii="Arial" w:hAnsi="Arial" w:cs="Arial"/>
          <w:color w:val="000000" w:themeColor="text1"/>
          <w:sz w:val="18"/>
        </w:rPr>
      </w:pPr>
      <w:r w:rsidRPr="00E54582">
        <w:rPr>
          <w:rStyle w:val="Refdenotaalpie"/>
          <w:rFonts w:ascii="Arial" w:hAnsi="Arial" w:cs="Arial"/>
          <w:color w:val="000000" w:themeColor="text1"/>
          <w:sz w:val="18"/>
        </w:rPr>
        <w:footnoteRef/>
      </w:r>
      <w:r w:rsidRPr="00E54582">
        <w:rPr>
          <w:rFonts w:ascii="Arial" w:hAnsi="Arial" w:cs="Arial"/>
          <w:color w:val="000000" w:themeColor="text1"/>
          <w:sz w:val="18"/>
        </w:rPr>
        <w:t xml:space="preserve"> Reiterada en muchas oportunidades: Sentencias T-794 de 2011, M. P. Jorge Iván Palacio </w:t>
      </w:r>
      <w:proofErr w:type="spellStart"/>
      <w:r w:rsidRPr="00E54582">
        <w:rPr>
          <w:rFonts w:ascii="Arial" w:hAnsi="Arial" w:cs="Arial"/>
          <w:color w:val="000000" w:themeColor="text1"/>
          <w:sz w:val="18"/>
        </w:rPr>
        <w:t>Palacio</w:t>
      </w:r>
      <w:proofErr w:type="spellEnd"/>
      <w:r w:rsidRPr="00E54582">
        <w:rPr>
          <w:rFonts w:ascii="Arial" w:hAnsi="Arial" w:cs="Arial"/>
          <w:color w:val="000000" w:themeColor="text1"/>
          <w:sz w:val="18"/>
        </w:rPr>
        <w:t xml:space="preserve">, T-1033 de 2012, M. P. Mauricio González Cuervo y T-285 de 2013, M. P. Jorge Ignacio </w:t>
      </w:r>
      <w:proofErr w:type="spellStart"/>
      <w:r w:rsidRPr="00E54582">
        <w:rPr>
          <w:rFonts w:ascii="Arial" w:hAnsi="Arial" w:cs="Arial"/>
          <w:color w:val="000000" w:themeColor="text1"/>
          <w:sz w:val="18"/>
        </w:rPr>
        <w:t>Pretelt</w:t>
      </w:r>
      <w:proofErr w:type="spellEnd"/>
      <w:r w:rsidRPr="00E54582">
        <w:rPr>
          <w:rFonts w:ascii="Arial" w:hAnsi="Arial" w:cs="Arial"/>
          <w:color w:val="000000" w:themeColor="text1"/>
          <w:sz w:val="18"/>
        </w:rPr>
        <w:t xml:space="preserve"> </w:t>
      </w:r>
      <w:proofErr w:type="spellStart"/>
      <w:r w:rsidRPr="00E54582">
        <w:rPr>
          <w:rFonts w:ascii="Arial" w:hAnsi="Arial" w:cs="Arial"/>
          <w:color w:val="000000" w:themeColor="text1"/>
          <w:sz w:val="18"/>
        </w:rPr>
        <w:t>Chaljub</w:t>
      </w:r>
      <w:proofErr w:type="spellEnd"/>
      <w:r w:rsidRPr="00E54582">
        <w:rPr>
          <w:rFonts w:ascii="Arial" w:hAnsi="Arial" w:cs="Arial"/>
          <w:color w:val="000000" w:themeColor="text1"/>
          <w:sz w:val="18"/>
        </w:rPr>
        <w:t>, entre otras.</w:t>
      </w:r>
    </w:p>
  </w:footnote>
  <w:footnote w:id="6">
    <w:p w:rsidR="009A3BBF" w:rsidRPr="00E54582" w:rsidRDefault="009A3BBF" w:rsidP="00E54582">
      <w:pPr>
        <w:pStyle w:val="Textonotapie"/>
        <w:jc w:val="both"/>
        <w:rPr>
          <w:rFonts w:ascii="Arial" w:hAnsi="Arial" w:cs="Arial"/>
          <w:color w:val="000000" w:themeColor="text1"/>
          <w:sz w:val="18"/>
        </w:rPr>
      </w:pPr>
      <w:r w:rsidRPr="00E54582">
        <w:rPr>
          <w:rStyle w:val="Refdenotaalpie"/>
          <w:rFonts w:ascii="Arial" w:hAnsi="Arial" w:cs="Arial"/>
          <w:color w:val="000000" w:themeColor="text1"/>
          <w:sz w:val="18"/>
        </w:rPr>
        <w:footnoteRef/>
      </w:r>
      <w:r w:rsidRPr="00E54582">
        <w:rPr>
          <w:rFonts w:ascii="Arial" w:hAnsi="Arial" w:cs="Arial"/>
          <w:color w:val="000000" w:themeColor="text1"/>
          <w:sz w:val="18"/>
        </w:rPr>
        <w:t xml:space="preserve"> Sentencias T-082 de 2011, M. P. Jorge Ignacio </w:t>
      </w:r>
      <w:proofErr w:type="spellStart"/>
      <w:r w:rsidRPr="00E54582">
        <w:rPr>
          <w:rFonts w:ascii="Arial" w:hAnsi="Arial" w:cs="Arial"/>
          <w:color w:val="000000" w:themeColor="text1"/>
          <w:sz w:val="18"/>
        </w:rPr>
        <w:t>Pretelt</w:t>
      </w:r>
      <w:proofErr w:type="spellEnd"/>
      <w:r w:rsidRPr="00E54582">
        <w:rPr>
          <w:rFonts w:ascii="Arial" w:hAnsi="Arial" w:cs="Arial"/>
          <w:color w:val="000000" w:themeColor="text1"/>
          <w:sz w:val="18"/>
        </w:rPr>
        <w:t xml:space="preserve"> </w:t>
      </w:r>
      <w:proofErr w:type="spellStart"/>
      <w:r w:rsidRPr="00E54582">
        <w:rPr>
          <w:rFonts w:ascii="Arial" w:hAnsi="Arial" w:cs="Arial"/>
          <w:color w:val="000000" w:themeColor="text1"/>
          <w:sz w:val="18"/>
        </w:rPr>
        <w:t>Chaljub</w:t>
      </w:r>
      <w:proofErr w:type="spellEnd"/>
      <w:r w:rsidRPr="00E54582">
        <w:rPr>
          <w:rFonts w:ascii="Arial" w:hAnsi="Arial" w:cs="Arial"/>
          <w:color w:val="000000" w:themeColor="text1"/>
          <w:sz w:val="18"/>
        </w:rPr>
        <w:t xml:space="preserve">, T-794 de 2011, M. P. Jorge Iván Palacio </w:t>
      </w:r>
      <w:proofErr w:type="spellStart"/>
      <w:r w:rsidRPr="00E54582">
        <w:rPr>
          <w:rFonts w:ascii="Arial" w:hAnsi="Arial" w:cs="Arial"/>
          <w:color w:val="000000" w:themeColor="text1"/>
          <w:sz w:val="18"/>
        </w:rPr>
        <w:t>Palacio</w:t>
      </w:r>
      <w:proofErr w:type="spellEnd"/>
      <w:r w:rsidRPr="00E54582">
        <w:rPr>
          <w:rFonts w:ascii="Arial" w:hAnsi="Arial" w:cs="Arial"/>
          <w:color w:val="000000" w:themeColor="text1"/>
          <w:sz w:val="18"/>
        </w:rPr>
        <w:t xml:space="preserve"> y C-634 de 2011, M. P. Luis Ernesto Vargas Silva. En esta última, dicho en otras palabras se explica: </w:t>
      </w:r>
      <w:r w:rsidRPr="00E54582">
        <w:rPr>
          <w:rFonts w:ascii="Arial" w:hAnsi="Arial" w:cs="Arial"/>
          <w:i/>
          <w:color w:val="000000" w:themeColor="text1"/>
          <w:sz w:val="18"/>
        </w:rPr>
        <w:t xml:space="preserve">“La Corte también refirió al grado de vinculación para las autoridades judiciales del precedente jurisprudencial emitido por las altas cortes. Resulta válido que dichas autoridades, merced de la autonomía que les reconoce la Carta Política, puedan en eventos concretos apartarse del precedente, pero en cualquier caso esa opción argumentativa está sometida a estrictos requisitos, entre otros </w:t>
      </w:r>
      <w:r w:rsidRPr="00E54582">
        <w:rPr>
          <w:rFonts w:ascii="Arial" w:hAnsi="Arial" w:cs="Arial"/>
          <w:b/>
          <w:i/>
          <w:color w:val="000000" w:themeColor="text1"/>
          <w:sz w:val="18"/>
        </w:rPr>
        <w:t xml:space="preserve">(i) hacer explícitas las razones por las cuales se aparte de la jurisprudencia en vigor </w:t>
      </w:r>
      <w:r w:rsidRPr="00E54582">
        <w:rPr>
          <w:rFonts w:ascii="Arial" w:hAnsi="Arial" w:cs="Arial"/>
          <w:i/>
          <w:color w:val="000000" w:themeColor="text1"/>
          <w:sz w:val="18"/>
        </w:rPr>
        <w:t xml:space="preserve">sobre la materia objeto de escrutinio judicial; y </w:t>
      </w:r>
      <w:r w:rsidRPr="00E54582">
        <w:rPr>
          <w:rFonts w:ascii="Arial" w:hAnsi="Arial" w:cs="Arial"/>
          <w:b/>
          <w:i/>
          <w:color w:val="000000" w:themeColor="text1"/>
          <w:sz w:val="18"/>
        </w:rPr>
        <w:t>(ii)</w:t>
      </w:r>
      <w:r w:rsidRPr="00E54582">
        <w:rPr>
          <w:rFonts w:ascii="Arial" w:hAnsi="Arial" w:cs="Arial"/>
          <w:i/>
          <w:color w:val="000000" w:themeColor="text1"/>
          <w:sz w:val="18"/>
        </w:rPr>
        <w:t xml:space="preserve"> </w:t>
      </w:r>
      <w:r w:rsidRPr="00E54582">
        <w:rPr>
          <w:rFonts w:ascii="Arial" w:hAnsi="Arial" w:cs="Arial"/>
          <w:b/>
          <w:i/>
          <w:color w:val="000000" w:themeColor="text1"/>
          <w:sz w:val="18"/>
        </w:rPr>
        <w:t>demostrar suficientemente que la interpretación alternativa que se ofrece desarrolla de mejor manera los derechos, principios y valores constitucionales.</w:t>
      </w:r>
      <w:r w:rsidRPr="00E54582">
        <w:rPr>
          <w:rFonts w:ascii="Arial" w:hAnsi="Arial" w:cs="Arial"/>
          <w:i/>
          <w:color w:val="000000" w:themeColor="text1"/>
          <w:sz w:val="18"/>
        </w:rPr>
        <w:t xml:space="preserve"> Esta opción, aceptada por la jurisprudencia de este Tribunal, está sustentada en reconocer que el sistema jurídico colombiano responde a una tradición de derecho legislado, la cual matiza, aunque no elimina, el carácter vinculante del precedente, lo que no sucede con otros modelos propios del derecho consuetudinario, donde el precedente es obligatorio, basado en el principio del </w:t>
      </w:r>
      <w:proofErr w:type="spellStart"/>
      <w:r w:rsidRPr="00E54582">
        <w:rPr>
          <w:rFonts w:ascii="Arial" w:hAnsi="Arial" w:cs="Arial"/>
          <w:i/>
          <w:color w:val="000000" w:themeColor="text1"/>
          <w:sz w:val="18"/>
        </w:rPr>
        <w:t>stare</w:t>
      </w:r>
      <w:proofErr w:type="spellEnd"/>
      <w:r w:rsidRPr="00E54582">
        <w:rPr>
          <w:rFonts w:ascii="Arial" w:hAnsi="Arial" w:cs="Arial"/>
          <w:i/>
          <w:color w:val="000000" w:themeColor="text1"/>
          <w:sz w:val="18"/>
        </w:rPr>
        <w:t xml:space="preserve"> </w:t>
      </w:r>
      <w:proofErr w:type="spellStart"/>
      <w:r w:rsidRPr="00E54582">
        <w:rPr>
          <w:rFonts w:ascii="Arial" w:hAnsi="Arial" w:cs="Arial"/>
          <w:i/>
          <w:color w:val="000000" w:themeColor="text1"/>
          <w:sz w:val="18"/>
        </w:rPr>
        <w:t>decisis</w:t>
      </w:r>
      <w:proofErr w:type="spellEnd"/>
      <w:r w:rsidRPr="00E54582">
        <w:rPr>
          <w:rFonts w:ascii="Arial" w:hAnsi="Arial" w:cs="Arial"/>
          <w:i/>
          <w:color w:val="000000" w:themeColor="text1"/>
          <w:sz w:val="18"/>
        </w:rPr>
        <w:t xml:space="preserve">” </w:t>
      </w:r>
      <w:r w:rsidRPr="00E54582">
        <w:rPr>
          <w:rFonts w:ascii="Arial" w:hAnsi="Arial" w:cs="Arial"/>
          <w:color w:val="000000" w:themeColor="text1"/>
          <w:sz w:val="18"/>
        </w:rPr>
        <w:t>(Negrita fuera del original).</w:t>
      </w:r>
      <w:r w:rsidRPr="00E54582">
        <w:rPr>
          <w:rFonts w:ascii="Arial" w:hAnsi="Arial" w:cs="Arial"/>
          <w:i/>
          <w:color w:val="000000" w:themeColor="text1"/>
          <w:sz w:val="18"/>
        </w:rPr>
        <w:t xml:space="preserve"> </w:t>
      </w:r>
    </w:p>
  </w:footnote>
  <w:footnote w:id="7">
    <w:p w:rsidR="009A3BBF" w:rsidRPr="00E54582" w:rsidRDefault="009A3BBF" w:rsidP="00E54582">
      <w:pPr>
        <w:pStyle w:val="Textonotapie"/>
        <w:jc w:val="both"/>
        <w:rPr>
          <w:rFonts w:ascii="Arial" w:hAnsi="Arial" w:cs="Arial"/>
          <w:sz w:val="18"/>
        </w:rPr>
      </w:pPr>
      <w:r w:rsidRPr="00E54582">
        <w:rPr>
          <w:rStyle w:val="Refdenotaalpie"/>
          <w:rFonts w:ascii="Arial" w:hAnsi="Arial" w:cs="Arial"/>
          <w:sz w:val="18"/>
        </w:rPr>
        <w:footnoteRef/>
      </w:r>
      <w:r w:rsidRPr="00E54582">
        <w:rPr>
          <w:rFonts w:ascii="Arial" w:hAnsi="Arial" w:cs="Arial"/>
          <w:sz w:val="18"/>
        </w:rPr>
        <w:t xml:space="preserve"> </w:t>
      </w:r>
      <w:r w:rsidRPr="00E54582">
        <w:rPr>
          <w:rFonts w:ascii="Arial" w:hAnsi="Arial" w:cs="Arial"/>
          <w:sz w:val="18"/>
          <w:lang w:val="es-CO"/>
        </w:rPr>
        <w:t xml:space="preserve">Las consideraciones generales sobre el precedente judicial obligatorio que se referenciarán en este aparte se sustentan en la base argumentativa y jurisprudencial de la sentencia C-621 de 2015. </w:t>
      </w:r>
    </w:p>
  </w:footnote>
  <w:footnote w:id="8">
    <w:p w:rsidR="009A3BBF" w:rsidRPr="00E54582" w:rsidRDefault="009A3BBF" w:rsidP="00E54582">
      <w:pPr>
        <w:pStyle w:val="Textonotapie"/>
        <w:jc w:val="both"/>
        <w:rPr>
          <w:rFonts w:ascii="Arial" w:hAnsi="Arial" w:cs="Arial"/>
          <w:sz w:val="18"/>
        </w:rPr>
      </w:pPr>
      <w:r w:rsidRPr="00E54582">
        <w:rPr>
          <w:rStyle w:val="Refdenotaalpie"/>
          <w:rFonts w:ascii="Arial" w:hAnsi="Arial" w:cs="Arial"/>
          <w:sz w:val="18"/>
        </w:rPr>
        <w:footnoteRef/>
      </w:r>
      <w:r w:rsidRPr="00E54582">
        <w:rPr>
          <w:rFonts w:ascii="Arial" w:hAnsi="Arial" w:cs="Arial"/>
          <w:sz w:val="18"/>
        </w:rPr>
        <w:t xml:space="preserve"> </w:t>
      </w:r>
      <w:r w:rsidRPr="00E54582">
        <w:rPr>
          <w:rFonts w:ascii="Arial" w:hAnsi="Arial" w:cs="Arial"/>
          <w:sz w:val="18"/>
          <w:lang w:val="es-ES_tradnl"/>
        </w:rPr>
        <w:t xml:space="preserve"> Reiterada en la sentencia T-715 de 1997.</w:t>
      </w:r>
    </w:p>
  </w:footnote>
  <w:footnote w:id="9">
    <w:p w:rsidR="009A3BBF" w:rsidRPr="00E54582" w:rsidRDefault="009A3BBF" w:rsidP="00E54582">
      <w:pPr>
        <w:pStyle w:val="Textonotapie"/>
        <w:jc w:val="both"/>
        <w:rPr>
          <w:rFonts w:ascii="Arial" w:hAnsi="Arial" w:cs="Arial"/>
          <w:sz w:val="18"/>
        </w:rPr>
      </w:pPr>
      <w:r w:rsidRPr="00E54582">
        <w:rPr>
          <w:rStyle w:val="Refdenotaalpie"/>
          <w:rFonts w:ascii="Arial" w:hAnsi="Arial" w:cs="Arial"/>
          <w:sz w:val="18"/>
        </w:rPr>
        <w:footnoteRef/>
      </w:r>
      <w:r w:rsidRPr="00E54582">
        <w:rPr>
          <w:rFonts w:ascii="Arial" w:hAnsi="Arial" w:cs="Arial"/>
          <w:sz w:val="18"/>
        </w:rPr>
        <w:t xml:space="preserve"> Sentencia C-539 de 2011.</w:t>
      </w:r>
    </w:p>
  </w:footnote>
  <w:footnote w:id="10">
    <w:p w:rsidR="009A3BBF" w:rsidRPr="00E54582" w:rsidRDefault="009A3BBF" w:rsidP="00E54582">
      <w:pPr>
        <w:pStyle w:val="Textonotapie"/>
        <w:jc w:val="both"/>
        <w:rPr>
          <w:rFonts w:ascii="Arial" w:hAnsi="Arial" w:cs="Arial"/>
          <w:sz w:val="18"/>
        </w:rPr>
      </w:pPr>
      <w:r w:rsidRPr="00E54582">
        <w:rPr>
          <w:rStyle w:val="Refdenotaalpie"/>
          <w:rFonts w:ascii="Arial" w:hAnsi="Arial" w:cs="Arial"/>
          <w:sz w:val="18"/>
        </w:rPr>
        <w:footnoteRef/>
      </w:r>
      <w:r w:rsidRPr="00E54582">
        <w:rPr>
          <w:rFonts w:ascii="Arial" w:hAnsi="Arial" w:cs="Arial"/>
          <w:sz w:val="18"/>
        </w:rPr>
        <w:t xml:space="preserve"> </w:t>
      </w:r>
      <w:r w:rsidRPr="00E54582">
        <w:rPr>
          <w:rFonts w:ascii="Arial" w:hAnsi="Arial" w:cs="Arial"/>
          <w:sz w:val="18"/>
          <w:lang w:val="es-CO"/>
        </w:rPr>
        <w:t xml:space="preserve">Sentencia T-439 de 2000. </w:t>
      </w:r>
    </w:p>
  </w:footnote>
  <w:footnote w:id="11">
    <w:p w:rsidR="009A3BBF" w:rsidRPr="00E54582" w:rsidRDefault="009A3BBF" w:rsidP="00E54582">
      <w:pPr>
        <w:pStyle w:val="Textonotapie"/>
        <w:jc w:val="both"/>
        <w:rPr>
          <w:rFonts w:ascii="Arial" w:hAnsi="Arial" w:cs="Arial"/>
          <w:sz w:val="18"/>
        </w:rPr>
      </w:pPr>
      <w:r w:rsidRPr="00E54582">
        <w:rPr>
          <w:rStyle w:val="Refdenotaalpie"/>
          <w:rFonts w:ascii="Arial" w:hAnsi="Arial" w:cs="Arial"/>
          <w:sz w:val="18"/>
        </w:rPr>
        <w:footnoteRef/>
      </w:r>
      <w:r w:rsidRPr="00E54582">
        <w:rPr>
          <w:rFonts w:ascii="Arial" w:hAnsi="Arial" w:cs="Arial"/>
          <w:sz w:val="18"/>
        </w:rPr>
        <w:t xml:space="preserve"> </w:t>
      </w:r>
      <w:r w:rsidRPr="00E54582">
        <w:rPr>
          <w:rFonts w:ascii="Arial" w:hAnsi="Arial" w:cs="Arial"/>
          <w:sz w:val="18"/>
          <w:lang w:val="es-ES_tradnl"/>
        </w:rPr>
        <w:t>Ver más en sentencia T-369 de 2015.</w:t>
      </w:r>
    </w:p>
  </w:footnote>
  <w:footnote w:id="12">
    <w:p w:rsidR="009A3BBF" w:rsidRPr="00E54582" w:rsidRDefault="009A3BBF" w:rsidP="00E54582">
      <w:pPr>
        <w:pStyle w:val="Textonotapie"/>
        <w:jc w:val="both"/>
        <w:rPr>
          <w:rFonts w:ascii="Arial" w:hAnsi="Arial" w:cs="Arial"/>
          <w:sz w:val="18"/>
        </w:rPr>
      </w:pPr>
      <w:r w:rsidRPr="00E54582">
        <w:rPr>
          <w:rStyle w:val="Refdenotaalpie"/>
          <w:rFonts w:ascii="Arial" w:hAnsi="Arial" w:cs="Arial"/>
          <w:sz w:val="18"/>
        </w:rPr>
        <w:footnoteRef/>
      </w:r>
      <w:r w:rsidRPr="00E54582">
        <w:rPr>
          <w:rFonts w:ascii="Arial" w:hAnsi="Arial" w:cs="Arial"/>
          <w:sz w:val="18"/>
        </w:rPr>
        <w:t xml:space="preserve"> </w:t>
      </w:r>
      <w:r w:rsidRPr="00E54582">
        <w:rPr>
          <w:rFonts w:ascii="Arial" w:hAnsi="Arial" w:cs="Arial"/>
          <w:sz w:val="18"/>
          <w:lang w:val="es-ES_tradnl"/>
        </w:rPr>
        <w:t>Ver más en sentencia SU-640 de 2008.</w:t>
      </w:r>
    </w:p>
  </w:footnote>
  <w:footnote w:id="13">
    <w:p w:rsidR="009A3BBF" w:rsidRPr="00E54582" w:rsidRDefault="009A3BBF" w:rsidP="00E54582">
      <w:pPr>
        <w:pStyle w:val="Textonotapie"/>
        <w:jc w:val="both"/>
        <w:rPr>
          <w:rFonts w:ascii="Arial" w:hAnsi="Arial" w:cs="Arial"/>
          <w:sz w:val="18"/>
        </w:rPr>
      </w:pPr>
      <w:r w:rsidRPr="00E54582">
        <w:rPr>
          <w:rStyle w:val="Refdenotaalpie"/>
          <w:rFonts w:ascii="Arial" w:hAnsi="Arial" w:cs="Arial"/>
          <w:sz w:val="18"/>
        </w:rPr>
        <w:footnoteRef/>
      </w:r>
      <w:r w:rsidRPr="00E54582">
        <w:rPr>
          <w:rFonts w:ascii="Arial" w:hAnsi="Arial" w:cs="Arial"/>
          <w:sz w:val="18"/>
        </w:rPr>
        <w:t xml:space="preserve"> </w:t>
      </w:r>
      <w:r w:rsidRPr="00E54582">
        <w:rPr>
          <w:rFonts w:ascii="Arial" w:hAnsi="Arial" w:cs="Arial"/>
          <w:sz w:val="18"/>
          <w:lang w:val="es-ES_tradnl"/>
        </w:rPr>
        <w:t>Ver más en sentencia T-270 de 2013.</w:t>
      </w:r>
    </w:p>
  </w:footnote>
  <w:footnote w:id="14">
    <w:p w:rsidR="009A3BBF" w:rsidRPr="00E54582" w:rsidRDefault="009A3BBF" w:rsidP="00E54582">
      <w:pPr>
        <w:pStyle w:val="Textonotapie"/>
        <w:jc w:val="both"/>
        <w:rPr>
          <w:rFonts w:ascii="Arial" w:hAnsi="Arial" w:cs="Arial"/>
          <w:sz w:val="18"/>
        </w:rPr>
      </w:pPr>
      <w:r w:rsidRPr="00E54582">
        <w:rPr>
          <w:rStyle w:val="Refdenotaalpie"/>
          <w:rFonts w:ascii="Arial" w:hAnsi="Arial" w:cs="Arial"/>
          <w:sz w:val="18"/>
        </w:rPr>
        <w:footnoteRef/>
      </w:r>
      <w:r w:rsidRPr="00E54582">
        <w:rPr>
          <w:rFonts w:ascii="Arial" w:hAnsi="Arial" w:cs="Arial"/>
          <w:sz w:val="18"/>
        </w:rPr>
        <w:t xml:space="preserve"> Sentencia C-284 de 2015.</w:t>
      </w:r>
    </w:p>
  </w:footnote>
  <w:footnote w:id="15">
    <w:p w:rsidR="009A3BBF" w:rsidRPr="00E54582" w:rsidRDefault="009A3BBF" w:rsidP="00E54582">
      <w:pPr>
        <w:pStyle w:val="Textonotapie"/>
        <w:jc w:val="both"/>
        <w:rPr>
          <w:rFonts w:ascii="Arial" w:hAnsi="Arial" w:cs="Arial"/>
          <w:sz w:val="18"/>
        </w:rPr>
      </w:pPr>
      <w:r w:rsidRPr="00E54582">
        <w:rPr>
          <w:rStyle w:val="Refdenotaalpie"/>
          <w:rFonts w:ascii="Arial" w:hAnsi="Arial" w:cs="Arial"/>
          <w:sz w:val="18"/>
        </w:rPr>
        <w:footnoteRef/>
      </w:r>
      <w:r w:rsidRPr="00E54582">
        <w:rPr>
          <w:rFonts w:ascii="Arial" w:hAnsi="Arial" w:cs="Arial"/>
          <w:sz w:val="18"/>
        </w:rPr>
        <w:t xml:space="preserve"> Sentencia C-621 de 2015.</w:t>
      </w:r>
    </w:p>
  </w:footnote>
  <w:footnote w:id="16">
    <w:p w:rsidR="009A3BBF" w:rsidRPr="00E54582" w:rsidRDefault="009A3BBF" w:rsidP="00E54582">
      <w:pPr>
        <w:pStyle w:val="Textonotapie"/>
        <w:snapToGrid w:val="0"/>
        <w:jc w:val="both"/>
        <w:rPr>
          <w:rFonts w:ascii="Arial" w:hAnsi="Arial" w:cs="Arial"/>
          <w:color w:val="000000" w:themeColor="text1"/>
          <w:sz w:val="18"/>
        </w:rPr>
      </w:pPr>
      <w:r w:rsidRPr="00E54582">
        <w:rPr>
          <w:rStyle w:val="Refdenotaalpie"/>
          <w:rFonts w:ascii="Arial" w:hAnsi="Arial" w:cs="Arial"/>
          <w:color w:val="000000" w:themeColor="text1"/>
          <w:sz w:val="18"/>
        </w:rPr>
        <w:footnoteRef/>
      </w:r>
      <w:r w:rsidRPr="00E54582">
        <w:rPr>
          <w:rFonts w:ascii="Arial" w:hAnsi="Arial" w:cs="Arial"/>
          <w:color w:val="000000" w:themeColor="text1"/>
          <w:sz w:val="18"/>
        </w:rPr>
        <w:t xml:space="preserve"> Corte Constitucional, Sentencia C-1260 de 2005, </w:t>
      </w:r>
      <w:proofErr w:type="spellStart"/>
      <w:r w:rsidRPr="00E54582">
        <w:rPr>
          <w:rFonts w:ascii="Arial" w:hAnsi="Arial" w:cs="Arial"/>
          <w:color w:val="000000" w:themeColor="text1"/>
          <w:sz w:val="18"/>
        </w:rPr>
        <w:t>M.P</w:t>
      </w:r>
      <w:proofErr w:type="spellEnd"/>
      <w:r w:rsidRPr="00E54582">
        <w:rPr>
          <w:rFonts w:ascii="Arial" w:hAnsi="Arial" w:cs="Arial"/>
          <w:color w:val="000000" w:themeColor="text1"/>
          <w:sz w:val="18"/>
        </w:rPr>
        <w:t xml:space="preserve">. Clara </w:t>
      </w:r>
      <w:proofErr w:type="spellStart"/>
      <w:r w:rsidRPr="00E54582">
        <w:rPr>
          <w:rFonts w:ascii="Arial" w:hAnsi="Arial" w:cs="Arial"/>
          <w:color w:val="000000" w:themeColor="text1"/>
          <w:sz w:val="18"/>
        </w:rPr>
        <w:t>Inéz</w:t>
      </w:r>
      <w:proofErr w:type="spellEnd"/>
      <w:r w:rsidRPr="00E54582">
        <w:rPr>
          <w:rFonts w:ascii="Arial" w:hAnsi="Arial" w:cs="Arial"/>
          <w:color w:val="000000" w:themeColor="text1"/>
          <w:sz w:val="18"/>
        </w:rPr>
        <w:t xml:space="preserve"> Vargas Hernández. </w:t>
      </w:r>
    </w:p>
  </w:footnote>
  <w:footnote w:id="17">
    <w:p w:rsidR="009A3BBF" w:rsidRPr="00E54582" w:rsidRDefault="009A3BBF" w:rsidP="00E54582">
      <w:pPr>
        <w:adjustRightInd w:val="0"/>
        <w:snapToGrid w:val="0"/>
        <w:jc w:val="both"/>
        <w:rPr>
          <w:rFonts w:ascii="Arial" w:hAnsi="Arial" w:cs="Arial"/>
          <w:color w:val="000000" w:themeColor="text1"/>
          <w:sz w:val="18"/>
          <w:szCs w:val="20"/>
          <w:lang w:eastAsia="es-CO"/>
        </w:rPr>
      </w:pPr>
      <w:r w:rsidRPr="00E54582">
        <w:rPr>
          <w:rStyle w:val="Refdenotaalpie"/>
          <w:rFonts w:ascii="Arial" w:hAnsi="Arial" w:cs="Arial"/>
          <w:color w:val="000000" w:themeColor="text1"/>
          <w:sz w:val="18"/>
          <w:szCs w:val="20"/>
        </w:rPr>
        <w:footnoteRef/>
      </w:r>
      <w:r w:rsidRPr="00E54582">
        <w:rPr>
          <w:rFonts w:ascii="Arial" w:hAnsi="Arial" w:cs="Arial"/>
          <w:color w:val="000000" w:themeColor="text1"/>
          <w:sz w:val="18"/>
          <w:szCs w:val="20"/>
        </w:rPr>
        <w:t xml:space="preserve"> </w:t>
      </w:r>
      <w:r w:rsidRPr="00E54582">
        <w:rPr>
          <w:rFonts w:ascii="Arial" w:hAnsi="Arial" w:cs="Arial"/>
          <w:color w:val="000000" w:themeColor="text1"/>
          <w:sz w:val="18"/>
          <w:szCs w:val="20"/>
          <w:lang w:eastAsia="es-CO"/>
        </w:rPr>
        <w:t xml:space="preserve">Corte Suprema de Justicia, Sala de Casación Penal, Sentencia del 3 de febrero de 2016, </w:t>
      </w:r>
      <w:proofErr w:type="spellStart"/>
      <w:r w:rsidRPr="00E54582">
        <w:rPr>
          <w:rFonts w:ascii="Arial" w:hAnsi="Arial" w:cs="Arial"/>
          <w:color w:val="000000" w:themeColor="text1"/>
          <w:sz w:val="18"/>
          <w:szCs w:val="20"/>
          <w:lang w:eastAsia="es-CO"/>
        </w:rPr>
        <w:t>SP931</w:t>
      </w:r>
      <w:proofErr w:type="spellEnd"/>
      <w:r w:rsidRPr="00E54582">
        <w:rPr>
          <w:rFonts w:ascii="Arial" w:hAnsi="Arial" w:cs="Arial"/>
          <w:color w:val="000000" w:themeColor="text1"/>
          <w:sz w:val="18"/>
          <w:szCs w:val="20"/>
          <w:lang w:eastAsia="es-CO"/>
        </w:rPr>
        <w:t xml:space="preserve">-2016, </w:t>
      </w:r>
      <w:proofErr w:type="spellStart"/>
      <w:r w:rsidRPr="00E54582">
        <w:rPr>
          <w:rFonts w:ascii="Arial" w:hAnsi="Arial" w:cs="Arial"/>
          <w:color w:val="000000" w:themeColor="text1"/>
          <w:sz w:val="18"/>
          <w:szCs w:val="20"/>
          <w:lang w:eastAsia="es-CO"/>
        </w:rPr>
        <w:t>M.P</w:t>
      </w:r>
      <w:proofErr w:type="spellEnd"/>
      <w:r w:rsidRPr="00E54582">
        <w:rPr>
          <w:rFonts w:ascii="Arial" w:hAnsi="Arial" w:cs="Arial"/>
          <w:color w:val="000000" w:themeColor="text1"/>
          <w:sz w:val="18"/>
          <w:szCs w:val="20"/>
          <w:lang w:eastAsia="es-CO"/>
        </w:rPr>
        <w:t xml:space="preserve">. José </w:t>
      </w:r>
      <w:proofErr w:type="spellStart"/>
      <w:r w:rsidRPr="00E54582">
        <w:rPr>
          <w:rFonts w:ascii="Arial" w:hAnsi="Arial" w:cs="Arial"/>
          <w:color w:val="000000" w:themeColor="text1"/>
          <w:sz w:val="18"/>
          <w:szCs w:val="20"/>
          <w:lang w:eastAsia="es-CO"/>
        </w:rPr>
        <w:t>Leonidas</w:t>
      </w:r>
      <w:proofErr w:type="spellEnd"/>
      <w:r w:rsidRPr="00E54582">
        <w:rPr>
          <w:rFonts w:ascii="Arial" w:hAnsi="Arial" w:cs="Arial"/>
          <w:color w:val="000000" w:themeColor="text1"/>
          <w:sz w:val="18"/>
          <w:szCs w:val="20"/>
          <w:lang w:eastAsia="es-CO"/>
        </w:rPr>
        <w:t xml:space="preserve"> Bustos </w:t>
      </w:r>
      <w:proofErr w:type="spellStart"/>
      <w:r w:rsidRPr="00E54582">
        <w:rPr>
          <w:rFonts w:ascii="Arial" w:hAnsi="Arial" w:cs="Arial"/>
          <w:color w:val="000000" w:themeColor="text1"/>
          <w:sz w:val="18"/>
          <w:szCs w:val="20"/>
          <w:lang w:eastAsia="es-CO"/>
        </w:rPr>
        <w:t>Martinez</w:t>
      </w:r>
      <w:proofErr w:type="spellEnd"/>
      <w:r w:rsidRPr="00E54582">
        <w:rPr>
          <w:rFonts w:ascii="Arial" w:hAnsi="Arial" w:cs="Arial"/>
          <w:color w:val="000000" w:themeColor="text1"/>
          <w:sz w:val="18"/>
          <w:szCs w:val="20"/>
          <w:lang w:eastAsia="es-CO"/>
        </w:rPr>
        <w:t xml:space="preserve"> </w:t>
      </w:r>
    </w:p>
  </w:footnote>
  <w:footnote w:id="18">
    <w:p w:rsidR="009A3BBF" w:rsidRPr="00E54582" w:rsidRDefault="009A3BBF" w:rsidP="00E54582">
      <w:pPr>
        <w:pStyle w:val="Textonotapie"/>
        <w:snapToGrid w:val="0"/>
        <w:jc w:val="both"/>
        <w:rPr>
          <w:rFonts w:ascii="Arial" w:hAnsi="Arial" w:cs="Arial"/>
          <w:color w:val="000000" w:themeColor="text1"/>
          <w:sz w:val="18"/>
          <w:lang w:val="es-ES"/>
        </w:rPr>
      </w:pPr>
      <w:r w:rsidRPr="00E54582">
        <w:rPr>
          <w:rStyle w:val="Refdenotaalpie"/>
          <w:rFonts w:ascii="Arial" w:hAnsi="Arial" w:cs="Arial"/>
          <w:color w:val="000000" w:themeColor="text1"/>
          <w:sz w:val="18"/>
        </w:rPr>
        <w:footnoteRef/>
      </w:r>
      <w:r w:rsidRPr="00E54582">
        <w:rPr>
          <w:rFonts w:ascii="Arial" w:hAnsi="Arial" w:cs="Arial"/>
          <w:color w:val="000000" w:themeColor="text1"/>
          <w:sz w:val="18"/>
        </w:rPr>
        <w:t xml:space="preserve"> Corte Suprema de Justicia, Sala Penal, Sentencia del </w:t>
      </w:r>
      <w:r w:rsidRPr="00E54582">
        <w:rPr>
          <w:rFonts w:ascii="Arial" w:hAnsi="Arial" w:cs="Arial"/>
          <w:color w:val="000000" w:themeColor="text1"/>
          <w:sz w:val="18"/>
          <w:lang w:eastAsia="es-CO"/>
        </w:rPr>
        <w:t xml:space="preserve">27 de Octubre de 2008, Rad. 29979. </w:t>
      </w:r>
    </w:p>
  </w:footnote>
  <w:footnote w:id="19">
    <w:p w:rsidR="009A3BBF" w:rsidRPr="00E54582" w:rsidRDefault="009A3BBF" w:rsidP="00E54582">
      <w:pPr>
        <w:pStyle w:val="Textonotapie"/>
        <w:jc w:val="both"/>
        <w:rPr>
          <w:rFonts w:ascii="Arial" w:hAnsi="Arial" w:cs="Arial"/>
          <w:sz w:val="18"/>
        </w:rPr>
      </w:pPr>
      <w:r w:rsidRPr="00E54582">
        <w:rPr>
          <w:rStyle w:val="Refdenotaalpie"/>
          <w:rFonts w:ascii="Arial" w:hAnsi="Arial" w:cs="Arial"/>
          <w:sz w:val="18"/>
        </w:rPr>
        <w:footnoteRef/>
      </w:r>
      <w:r w:rsidRPr="00E54582">
        <w:rPr>
          <w:rFonts w:ascii="Arial" w:hAnsi="Arial" w:cs="Arial"/>
          <w:sz w:val="18"/>
        </w:rPr>
        <w:t xml:space="preserve"> Corte Suprema de Justicia, auto del 6 de mayo de 2009, radicación 31.538. Citado por la Sala de Decisión Penal del Tribunal Superior de Manizales, en sentencia del 19 de marzo de 2014, </w:t>
      </w:r>
      <w:proofErr w:type="spellStart"/>
      <w:r w:rsidRPr="00E54582">
        <w:rPr>
          <w:rFonts w:ascii="Arial" w:hAnsi="Arial" w:cs="Arial"/>
          <w:sz w:val="18"/>
        </w:rPr>
        <w:t>M.P</w:t>
      </w:r>
      <w:proofErr w:type="spellEnd"/>
      <w:r w:rsidRPr="00E54582">
        <w:rPr>
          <w:rFonts w:ascii="Arial" w:hAnsi="Arial" w:cs="Arial"/>
          <w:sz w:val="18"/>
        </w:rPr>
        <w:t>. José Fernando Reyes Cuartas.</w:t>
      </w:r>
    </w:p>
  </w:footnote>
  <w:footnote w:id="20">
    <w:p w:rsidR="009A3BBF" w:rsidRPr="00E54582" w:rsidRDefault="009A3BBF" w:rsidP="00E54582">
      <w:pPr>
        <w:pStyle w:val="Textonotapie"/>
        <w:jc w:val="both"/>
        <w:rPr>
          <w:rFonts w:ascii="Arial" w:hAnsi="Arial" w:cs="Arial"/>
          <w:sz w:val="18"/>
        </w:rPr>
      </w:pPr>
      <w:r w:rsidRPr="00E54582">
        <w:rPr>
          <w:rStyle w:val="Refdenotaalpie"/>
          <w:rFonts w:ascii="Arial" w:hAnsi="Arial" w:cs="Arial"/>
          <w:sz w:val="18"/>
        </w:rPr>
        <w:footnoteRef/>
      </w:r>
      <w:r w:rsidRPr="00E54582">
        <w:rPr>
          <w:rFonts w:ascii="Arial" w:hAnsi="Arial" w:cs="Arial"/>
          <w:sz w:val="18"/>
        </w:rPr>
        <w:t xml:space="preserve"> </w:t>
      </w:r>
      <w:r w:rsidRPr="00E54582">
        <w:rPr>
          <w:rFonts w:ascii="Arial" w:hAnsi="Arial" w:cs="Arial"/>
          <w:sz w:val="18"/>
          <w:lang w:val="es-ES"/>
        </w:rPr>
        <w:t xml:space="preserve">Tribunal Superior de Bogotá, decisión del 17 de febrero de 2014, </w:t>
      </w:r>
      <w:proofErr w:type="spellStart"/>
      <w:r w:rsidRPr="00E54582">
        <w:rPr>
          <w:rFonts w:ascii="Arial" w:hAnsi="Arial" w:cs="Arial"/>
          <w:sz w:val="18"/>
          <w:lang w:val="es-ES"/>
        </w:rPr>
        <w:t>M.P</w:t>
      </w:r>
      <w:proofErr w:type="spellEnd"/>
      <w:r w:rsidRPr="00E54582">
        <w:rPr>
          <w:rFonts w:ascii="Arial" w:hAnsi="Arial" w:cs="Arial"/>
          <w:sz w:val="18"/>
          <w:lang w:val="es-ES"/>
        </w:rPr>
        <w:t xml:space="preserve">. Alberto Poveda Perdomo. </w:t>
      </w:r>
    </w:p>
  </w:footnote>
  <w:footnote w:id="21">
    <w:p w:rsidR="009A3BBF" w:rsidRPr="00E54582" w:rsidRDefault="009A3BBF" w:rsidP="00E54582">
      <w:pPr>
        <w:pStyle w:val="Textonotapie"/>
        <w:jc w:val="both"/>
        <w:rPr>
          <w:rFonts w:ascii="Arial" w:hAnsi="Arial" w:cs="Arial"/>
          <w:sz w:val="18"/>
          <w:lang w:val="es-ES"/>
        </w:rPr>
      </w:pPr>
      <w:r w:rsidRPr="00E54582">
        <w:rPr>
          <w:rStyle w:val="Refdenotaalpie"/>
          <w:rFonts w:ascii="Arial" w:hAnsi="Arial" w:cs="Arial"/>
          <w:sz w:val="18"/>
        </w:rPr>
        <w:footnoteRef/>
      </w:r>
      <w:r w:rsidRPr="00E54582">
        <w:rPr>
          <w:rFonts w:ascii="Arial" w:hAnsi="Arial" w:cs="Arial"/>
          <w:sz w:val="18"/>
        </w:rPr>
        <w:t xml:space="preserve"> Radicado 11001020400020180047801. Citada por el Tribunal Superior del Distrito Judicial de Bogotá, Sala Penal en la Sentencia del 15 de octubre de 2019, </w:t>
      </w:r>
      <w:proofErr w:type="spellStart"/>
      <w:r w:rsidRPr="00E54582">
        <w:rPr>
          <w:rFonts w:ascii="Arial" w:hAnsi="Arial" w:cs="Arial"/>
          <w:sz w:val="18"/>
        </w:rPr>
        <w:t>M.P</w:t>
      </w:r>
      <w:proofErr w:type="spellEnd"/>
      <w:r w:rsidRPr="00E54582">
        <w:rPr>
          <w:rFonts w:ascii="Arial" w:hAnsi="Arial" w:cs="Arial"/>
          <w:sz w:val="18"/>
        </w:rPr>
        <w:t>. José Joaquín Urbano Martínez.</w:t>
      </w:r>
    </w:p>
  </w:footnote>
  <w:footnote w:id="22">
    <w:p w:rsidR="009A3BBF" w:rsidRPr="00E54582" w:rsidRDefault="009A3BBF" w:rsidP="00E54582">
      <w:pPr>
        <w:pStyle w:val="Textonotapie"/>
        <w:jc w:val="both"/>
        <w:rPr>
          <w:rFonts w:ascii="Arial" w:hAnsi="Arial" w:cs="Arial"/>
          <w:sz w:val="18"/>
          <w:lang w:val="es-ES"/>
        </w:rPr>
      </w:pPr>
      <w:r w:rsidRPr="00E54582">
        <w:rPr>
          <w:rStyle w:val="Refdenotaalpie"/>
          <w:rFonts w:ascii="Arial" w:hAnsi="Arial" w:cs="Arial"/>
          <w:sz w:val="18"/>
        </w:rPr>
        <w:footnoteRef/>
      </w:r>
      <w:r w:rsidRPr="00E54582">
        <w:rPr>
          <w:rFonts w:ascii="Arial" w:hAnsi="Arial" w:cs="Arial"/>
          <w:sz w:val="18"/>
        </w:rPr>
        <w:t xml:space="preserve"> Radicado 11001020400020190053101. Citada por el Tribunal Superior del Distrito Judicial de Bogotá, Sala Penal en la Sentencia del 15 de octubre de 2019, </w:t>
      </w:r>
      <w:proofErr w:type="spellStart"/>
      <w:r w:rsidRPr="00E54582">
        <w:rPr>
          <w:rFonts w:ascii="Arial" w:hAnsi="Arial" w:cs="Arial"/>
          <w:sz w:val="18"/>
        </w:rPr>
        <w:t>M.P</w:t>
      </w:r>
      <w:proofErr w:type="spellEnd"/>
      <w:r w:rsidRPr="00E54582">
        <w:rPr>
          <w:rFonts w:ascii="Arial" w:hAnsi="Arial" w:cs="Arial"/>
          <w:sz w:val="18"/>
        </w:rPr>
        <w:t>. José Joaquín Urbano Martínez.</w:t>
      </w:r>
    </w:p>
  </w:footnote>
  <w:footnote w:id="23">
    <w:p w:rsidR="009A3BBF" w:rsidRPr="00E54582" w:rsidRDefault="009A3BBF" w:rsidP="00E54582">
      <w:pPr>
        <w:pStyle w:val="Textonotapie"/>
        <w:jc w:val="both"/>
        <w:rPr>
          <w:rFonts w:ascii="Arial" w:hAnsi="Arial" w:cs="Arial"/>
          <w:sz w:val="18"/>
          <w:lang w:val="es-ES"/>
        </w:rPr>
      </w:pPr>
      <w:r w:rsidRPr="00E54582">
        <w:rPr>
          <w:rStyle w:val="Refdenotaalpie"/>
          <w:rFonts w:ascii="Arial" w:hAnsi="Arial" w:cs="Arial"/>
          <w:sz w:val="18"/>
        </w:rPr>
        <w:footnoteRef/>
      </w:r>
      <w:r w:rsidRPr="00E54582">
        <w:rPr>
          <w:rFonts w:ascii="Arial" w:hAnsi="Arial" w:cs="Arial"/>
          <w:sz w:val="18"/>
        </w:rPr>
        <w:t xml:space="preserve"> </w:t>
      </w:r>
      <w:r w:rsidRPr="00E54582">
        <w:rPr>
          <w:rFonts w:ascii="Arial" w:hAnsi="Arial" w:cs="Arial"/>
          <w:sz w:val="18"/>
          <w:lang w:val="es-ES"/>
        </w:rPr>
        <w:t xml:space="preserve">Radicado 46.688. Citada por el Tribunal Superior del Distrito Judicial de Bogotá, Sala Penal en la Sentencia del 15 de octubre de 2019, </w:t>
      </w:r>
      <w:proofErr w:type="spellStart"/>
      <w:r w:rsidRPr="00E54582">
        <w:rPr>
          <w:rFonts w:ascii="Arial" w:hAnsi="Arial" w:cs="Arial"/>
          <w:sz w:val="18"/>
          <w:lang w:val="es-ES"/>
        </w:rPr>
        <w:t>M.P</w:t>
      </w:r>
      <w:proofErr w:type="spellEnd"/>
      <w:r w:rsidRPr="00E54582">
        <w:rPr>
          <w:rFonts w:ascii="Arial" w:hAnsi="Arial" w:cs="Arial"/>
          <w:sz w:val="18"/>
          <w:lang w:val="es-ES"/>
        </w:rPr>
        <w:t>. José Joaquín Urbano Martínez.</w:t>
      </w:r>
    </w:p>
  </w:footnote>
  <w:footnote w:id="24">
    <w:p w:rsidR="009A3BBF" w:rsidRPr="00E54582" w:rsidRDefault="009A3BBF" w:rsidP="00E54582">
      <w:pPr>
        <w:pStyle w:val="Textonotapie"/>
        <w:jc w:val="both"/>
        <w:rPr>
          <w:rFonts w:ascii="Arial" w:hAnsi="Arial" w:cs="Arial"/>
          <w:sz w:val="18"/>
        </w:rPr>
      </w:pPr>
      <w:r w:rsidRPr="00E54582">
        <w:rPr>
          <w:rStyle w:val="Refdenotaalpie"/>
          <w:rFonts w:ascii="Arial" w:hAnsi="Arial" w:cs="Arial"/>
          <w:sz w:val="18"/>
        </w:rPr>
        <w:footnoteRef/>
      </w:r>
      <w:r w:rsidRPr="00E54582">
        <w:rPr>
          <w:rFonts w:ascii="Arial" w:hAnsi="Arial" w:cs="Arial"/>
          <w:sz w:val="18"/>
        </w:rPr>
        <w:t xml:space="preserve"> Intervención de la Universidad Externado de Colombia, folio 460 del cuaderno 3 del expediente principal. </w:t>
      </w:r>
    </w:p>
  </w:footnote>
  <w:footnote w:id="25">
    <w:p w:rsidR="009A3BBF" w:rsidRPr="00E54582" w:rsidRDefault="009A3BBF" w:rsidP="00E54582">
      <w:pPr>
        <w:pStyle w:val="Textonotapie"/>
        <w:snapToGrid w:val="0"/>
        <w:jc w:val="both"/>
        <w:rPr>
          <w:rFonts w:ascii="Arial" w:hAnsi="Arial" w:cs="Arial"/>
          <w:sz w:val="18"/>
        </w:rPr>
      </w:pPr>
      <w:r w:rsidRPr="00E54582">
        <w:rPr>
          <w:rStyle w:val="Refdenotaalpie"/>
          <w:rFonts w:ascii="Arial" w:hAnsi="Arial" w:cs="Arial"/>
          <w:sz w:val="18"/>
        </w:rPr>
        <w:footnoteRef/>
      </w:r>
      <w:r w:rsidRPr="00E54582">
        <w:rPr>
          <w:rFonts w:ascii="Arial" w:hAnsi="Arial" w:cs="Arial"/>
          <w:sz w:val="18"/>
        </w:rPr>
        <w:t xml:space="preserve"> </w:t>
      </w:r>
      <w:proofErr w:type="spellStart"/>
      <w:r w:rsidRPr="00E54582">
        <w:rPr>
          <w:rFonts w:ascii="Arial" w:hAnsi="Arial" w:cs="Arial"/>
          <w:sz w:val="18"/>
        </w:rPr>
        <w:t>Ibid</w:t>
      </w:r>
      <w:proofErr w:type="spellEnd"/>
      <w:r w:rsidRPr="00E54582">
        <w:rPr>
          <w:rFonts w:ascii="Arial" w:hAnsi="Arial" w:cs="Arial"/>
          <w:sz w:val="18"/>
        </w:rPr>
        <w:t>.</w:t>
      </w:r>
    </w:p>
  </w:footnote>
  <w:footnote w:id="26">
    <w:p w:rsidR="009A3BBF" w:rsidRPr="00E54582" w:rsidRDefault="009A3BBF" w:rsidP="00E54582">
      <w:pPr>
        <w:pStyle w:val="Textonotapie"/>
        <w:jc w:val="both"/>
        <w:rPr>
          <w:rFonts w:ascii="Arial" w:hAnsi="Arial" w:cs="Arial"/>
          <w:sz w:val="18"/>
          <w:lang w:val="es-ES"/>
        </w:rPr>
      </w:pPr>
      <w:r w:rsidRPr="00E54582">
        <w:rPr>
          <w:rStyle w:val="Refdenotaalpie"/>
          <w:rFonts w:ascii="Arial" w:hAnsi="Arial" w:cs="Arial"/>
          <w:sz w:val="18"/>
        </w:rPr>
        <w:footnoteRef/>
      </w:r>
      <w:r w:rsidRPr="00E54582">
        <w:rPr>
          <w:rFonts w:ascii="Arial" w:hAnsi="Arial" w:cs="Arial"/>
          <w:sz w:val="18"/>
        </w:rPr>
        <w:t xml:space="preserve"> </w:t>
      </w:r>
      <w:r w:rsidRPr="00E54582">
        <w:rPr>
          <w:rFonts w:ascii="Arial" w:hAnsi="Arial" w:cs="Arial"/>
          <w:sz w:val="18"/>
          <w:lang w:val="es-ES"/>
        </w:rPr>
        <w:t xml:space="preserve">Citado en la Intervención de la Universidad Externado de Colombia en folio 459 del cuaderno 3, expediente T-6.931.099). </w:t>
      </w:r>
    </w:p>
  </w:footnote>
  <w:footnote w:id="27">
    <w:p w:rsidR="009A3BBF" w:rsidRPr="00E54582" w:rsidRDefault="009A3BBF" w:rsidP="00E54582">
      <w:pPr>
        <w:pStyle w:val="Textonotapie"/>
        <w:jc w:val="both"/>
        <w:rPr>
          <w:rFonts w:ascii="Arial" w:hAnsi="Arial" w:cs="Arial"/>
          <w:sz w:val="18"/>
          <w:lang w:val="es-ES"/>
        </w:rPr>
      </w:pPr>
      <w:r w:rsidRPr="00E54582">
        <w:rPr>
          <w:rStyle w:val="Refdenotaalpie"/>
          <w:rFonts w:ascii="Arial" w:hAnsi="Arial" w:cs="Arial"/>
          <w:sz w:val="18"/>
        </w:rPr>
        <w:footnoteRef/>
      </w:r>
      <w:r w:rsidRPr="00E54582">
        <w:rPr>
          <w:rFonts w:ascii="Arial" w:hAnsi="Arial" w:cs="Arial"/>
          <w:sz w:val="18"/>
        </w:rPr>
        <w:t xml:space="preserve"> </w:t>
      </w:r>
      <w:r w:rsidRPr="00E54582">
        <w:rPr>
          <w:rFonts w:ascii="Arial" w:hAnsi="Arial" w:cs="Arial"/>
          <w:sz w:val="18"/>
          <w:lang w:val="es-ES"/>
        </w:rPr>
        <w:t>Citado en la Intervención de la Universidad Externado de Colombia en folio 460 del cuaderno 3, expediente T-6.931.099).</w:t>
      </w:r>
    </w:p>
  </w:footnote>
  <w:footnote w:id="28">
    <w:p w:rsidR="009A3BBF" w:rsidRPr="00E54582" w:rsidRDefault="009A3BBF" w:rsidP="00E54582">
      <w:pPr>
        <w:pStyle w:val="Textonotapie"/>
        <w:snapToGrid w:val="0"/>
        <w:jc w:val="both"/>
        <w:rPr>
          <w:rFonts w:ascii="Arial" w:hAnsi="Arial" w:cs="Arial"/>
          <w:color w:val="000000" w:themeColor="text1"/>
          <w:sz w:val="18"/>
          <w:lang w:val="es-ES"/>
        </w:rPr>
      </w:pPr>
      <w:r w:rsidRPr="00E54582">
        <w:rPr>
          <w:rStyle w:val="Refdenotaalpie"/>
          <w:rFonts w:ascii="Arial" w:hAnsi="Arial" w:cs="Arial"/>
          <w:color w:val="000000" w:themeColor="text1"/>
          <w:sz w:val="18"/>
        </w:rPr>
        <w:footnoteRef/>
      </w:r>
      <w:r w:rsidRPr="00E54582">
        <w:rPr>
          <w:rFonts w:ascii="Arial" w:hAnsi="Arial" w:cs="Arial"/>
          <w:color w:val="000000" w:themeColor="text1"/>
          <w:sz w:val="18"/>
        </w:rPr>
        <w:t xml:space="preserve"> Corte Suprema de Justicia, Sala de Casación Penal, 27 de febrero de 2019, </w:t>
      </w:r>
      <w:proofErr w:type="spellStart"/>
      <w:r w:rsidRPr="00E54582">
        <w:rPr>
          <w:rFonts w:ascii="Arial" w:hAnsi="Arial" w:cs="Arial"/>
          <w:color w:val="000000" w:themeColor="text1"/>
          <w:sz w:val="18"/>
        </w:rPr>
        <w:t>M.P</w:t>
      </w:r>
      <w:proofErr w:type="spellEnd"/>
      <w:r w:rsidRPr="00E54582">
        <w:rPr>
          <w:rFonts w:ascii="Arial" w:hAnsi="Arial" w:cs="Arial"/>
          <w:color w:val="000000" w:themeColor="text1"/>
          <w:sz w:val="18"/>
        </w:rPr>
        <w:t xml:space="preserve">. Patricia Salazar Cuellar, SP594-2019. En idéntico sentido </w:t>
      </w:r>
      <w:proofErr w:type="spellStart"/>
      <w:r w:rsidRPr="00E54582">
        <w:rPr>
          <w:rFonts w:ascii="Arial" w:hAnsi="Arial" w:cs="Arial"/>
          <w:color w:val="000000" w:themeColor="text1"/>
          <w:sz w:val="18"/>
          <w:lang w:eastAsia="es-CO"/>
        </w:rPr>
        <w:t>CSJSP</w:t>
      </w:r>
      <w:proofErr w:type="spellEnd"/>
      <w:r w:rsidRPr="00E54582">
        <w:rPr>
          <w:rFonts w:ascii="Arial" w:hAnsi="Arial" w:cs="Arial"/>
          <w:color w:val="000000" w:themeColor="text1"/>
          <w:sz w:val="18"/>
          <w:lang w:eastAsia="es-CO"/>
        </w:rPr>
        <w:t xml:space="preserve">, 8 jul. 2009, Rad. 31280. </w:t>
      </w:r>
    </w:p>
  </w:footnote>
  <w:footnote w:id="29">
    <w:p w:rsidR="009A3BBF" w:rsidRPr="00E54582" w:rsidRDefault="009A3BBF" w:rsidP="00E54582">
      <w:pPr>
        <w:pStyle w:val="Textonotapie"/>
        <w:jc w:val="both"/>
        <w:rPr>
          <w:rFonts w:ascii="Arial" w:hAnsi="Arial" w:cs="Arial"/>
          <w:sz w:val="18"/>
        </w:rPr>
      </w:pPr>
      <w:r w:rsidRPr="00E54582">
        <w:rPr>
          <w:rStyle w:val="Refdenotaalpie"/>
          <w:rFonts w:ascii="Arial" w:hAnsi="Arial" w:cs="Arial"/>
          <w:sz w:val="18"/>
        </w:rPr>
        <w:footnoteRef/>
      </w:r>
      <w:r w:rsidR="00E54582">
        <w:rPr>
          <w:rFonts w:ascii="Arial" w:hAnsi="Arial" w:cs="Arial"/>
          <w:i/>
          <w:sz w:val="18"/>
        </w:rPr>
        <w:t xml:space="preserve"> </w:t>
      </w:r>
      <w:r w:rsidRPr="00E54582">
        <w:rPr>
          <w:rFonts w:ascii="Arial" w:hAnsi="Arial" w:cs="Arial"/>
          <w:i/>
          <w:sz w:val="18"/>
        </w:rPr>
        <w:t>“(…) las diversas formas de terminación anticipada de la actuación penal están sujetas al concepto de “discrecionalidad reglada”, orientado a lograr un punto de equilibrio entre el margen de maniobrabilidad que debe tener la Fiscalía y la materialización, entre otros, de los principios de igualdad y seguridad jurídica, así como la evitación de la arbitrariedad en el ejercicio de la acción penal”.</w:t>
      </w:r>
      <w:r w:rsidRPr="00E54582">
        <w:rPr>
          <w:rFonts w:ascii="Arial" w:hAnsi="Arial" w:cs="Arial"/>
          <w:sz w:val="18"/>
        </w:rPr>
        <w:t xml:space="preserve"> Corte Suprema de Justicia, Sala de Casación Penal, 27 de febrero de 2019, </w:t>
      </w:r>
      <w:proofErr w:type="spellStart"/>
      <w:r w:rsidRPr="00E54582">
        <w:rPr>
          <w:rFonts w:ascii="Arial" w:hAnsi="Arial" w:cs="Arial"/>
          <w:sz w:val="18"/>
        </w:rPr>
        <w:t>M.P</w:t>
      </w:r>
      <w:proofErr w:type="spellEnd"/>
      <w:r w:rsidRPr="00E54582">
        <w:rPr>
          <w:rFonts w:ascii="Arial" w:hAnsi="Arial" w:cs="Arial"/>
          <w:sz w:val="18"/>
        </w:rPr>
        <w:t xml:space="preserve">. Patricia Salazar Cuellar, SP594-2019. En idéntico sentido </w:t>
      </w:r>
      <w:proofErr w:type="spellStart"/>
      <w:r w:rsidRPr="00E54582">
        <w:rPr>
          <w:rFonts w:ascii="Arial" w:hAnsi="Arial" w:cs="Arial"/>
          <w:sz w:val="18"/>
        </w:rPr>
        <w:t>CSJSP</w:t>
      </w:r>
      <w:proofErr w:type="spellEnd"/>
      <w:r w:rsidRPr="00E54582">
        <w:rPr>
          <w:rFonts w:ascii="Arial" w:hAnsi="Arial" w:cs="Arial"/>
          <w:sz w:val="18"/>
        </w:rPr>
        <w:t>, 8 jul. 2009, Rad. 31280.</w:t>
      </w:r>
    </w:p>
  </w:footnote>
  <w:footnote w:id="30">
    <w:p w:rsidR="009A3BBF" w:rsidRPr="00E54582" w:rsidRDefault="009A3BBF" w:rsidP="00E54582">
      <w:pPr>
        <w:pStyle w:val="Textonotapie"/>
        <w:snapToGrid w:val="0"/>
        <w:jc w:val="both"/>
        <w:rPr>
          <w:rFonts w:ascii="Arial" w:hAnsi="Arial" w:cs="Arial"/>
          <w:color w:val="000000" w:themeColor="text1"/>
          <w:sz w:val="18"/>
        </w:rPr>
      </w:pPr>
      <w:r w:rsidRPr="00E54582">
        <w:rPr>
          <w:rStyle w:val="Refdenotaalpie"/>
          <w:rFonts w:ascii="Arial" w:hAnsi="Arial" w:cs="Arial"/>
          <w:color w:val="000000" w:themeColor="text1"/>
          <w:sz w:val="18"/>
        </w:rPr>
        <w:footnoteRef/>
      </w:r>
      <w:r w:rsidRPr="00E54582">
        <w:rPr>
          <w:rFonts w:ascii="Arial" w:hAnsi="Arial" w:cs="Arial"/>
          <w:color w:val="000000" w:themeColor="text1"/>
          <w:sz w:val="18"/>
        </w:rPr>
        <w:t xml:space="preserve"> Corte Suprema de Justicia, Sala de Casación Penal, 13 de febrero de 2019, </w:t>
      </w:r>
      <w:proofErr w:type="spellStart"/>
      <w:r w:rsidRPr="00E54582">
        <w:rPr>
          <w:rFonts w:ascii="Arial" w:hAnsi="Arial" w:cs="Arial"/>
          <w:color w:val="000000" w:themeColor="text1"/>
          <w:sz w:val="18"/>
        </w:rPr>
        <w:t>M.P</w:t>
      </w:r>
      <w:proofErr w:type="spellEnd"/>
      <w:r w:rsidRPr="00E54582">
        <w:rPr>
          <w:rFonts w:ascii="Arial" w:hAnsi="Arial" w:cs="Arial"/>
          <w:color w:val="000000" w:themeColor="text1"/>
          <w:sz w:val="18"/>
        </w:rPr>
        <w:t xml:space="preserve">. Patricia Salazar Cuellar, SP384-2019. </w:t>
      </w:r>
    </w:p>
  </w:footnote>
  <w:footnote w:id="31">
    <w:p w:rsidR="009A3BBF" w:rsidRPr="00E54582" w:rsidRDefault="009A3BBF" w:rsidP="00E54582">
      <w:pPr>
        <w:pStyle w:val="Textonotapie"/>
        <w:jc w:val="both"/>
        <w:rPr>
          <w:rFonts w:ascii="Arial" w:hAnsi="Arial" w:cs="Arial"/>
          <w:sz w:val="18"/>
          <w:lang w:val="es-ES"/>
        </w:rPr>
      </w:pPr>
      <w:r w:rsidRPr="00E54582">
        <w:rPr>
          <w:rStyle w:val="Refdenotaalpie"/>
          <w:rFonts w:ascii="Arial" w:hAnsi="Arial" w:cs="Arial"/>
          <w:sz w:val="18"/>
        </w:rPr>
        <w:footnoteRef/>
      </w:r>
      <w:r w:rsidRPr="00E54582">
        <w:rPr>
          <w:rFonts w:ascii="Arial" w:hAnsi="Arial" w:cs="Arial"/>
          <w:sz w:val="18"/>
        </w:rPr>
        <w:t xml:space="preserve"> Corte Suprema de Justicia, Sala de Casación Penal, Sentencia del 16 de octubre de 2013, </w:t>
      </w:r>
      <w:r w:rsidRPr="00E54582">
        <w:rPr>
          <w:rFonts w:ascii="Arial" w:hAnsi="Arial" w:cs="Arial"/>
          <w:color w:val="000000" w:themeColor="text1"/>
          <w:sz w:val="18"/>
        </w:rPr>
        <w:t>Radicado 39.886.</w:t>
      </w:r>
    </w:p>
  </w:footnote>
  <w:footnote w:id="32">
    <w:p w:rsidR="009A3BBF" w:rsidRPr="00E54582" w:rsidRDefault="009A3BBF" w:rsidP="00E54582">
      <w:pPr>
        <w:pStyle w:val="Textonotapie"/>
        <w:jc w:val="both"/>
        <w:rPr>
          <w:rFonts w:ascii="Arial" w:hAnsi="Arial" w:cs="Arial"/>
          <w:sz w:val="18"/>
          <w:lang w:val="es-CO"/>
        </w:rPr>
      </w:pPr>
      <w:r w:rsidRPr="00E54582">
        <w:rPr>
          <w:rStyle w:val="Refdenotaalpie"/>
          <w:rFonts w:ascii="Arial" w:hAnsi="Arial" w:cs="Arial"/>
          <w:sz w:val="18"/>
        </w:rPr>
        <w:footnoteRef/>
      </w:r>
      <w:r w:rsidRPr="00E54582">
        <w:rPr>
          <w:rFonts w:ascii="Arial" w:hAnsi="Arial" w:cs="Arial"/>
          <w:sz w:val="18"/>
        </w:rPr>
        <w:t xml:space="preserve"> </w:t>
      </w:r>
      <w:r w:rsidRPr="00E54582">
        <w:rPr>
          <w:rFonts w:ascii="Arial" w:hAnsi="Arial" w:cs="Arial"/>
          <w:sz w:val="18"/>
          <w:lang w:val="es-CO"/>
        </w:rPr>
        <w:t xml:space="preserve">Folios 1-4 </w:t>
      </w:r>
    </w:p>
  </w:footnote>
  <w:footnote w:id="33">
    <w:p w:rsidR="009A3BBF" w:rsidRPr="00E54582" w:rsidRDefault="009A3BBF" w:rsidP="00E54582">
      <w:pPr>
        <w:pStyle w:val="Textonotapie"/>
        <w:jc w:val="both"/>
        <w:rPr>
          <w:rFonts w:ascii="Arial" w:hAnsi="Arial" w:cs="Arial"/>
          <w:sz w:val="18"/>
          <w:lang w:val="es-CO"/>
        </w:rPr>
      </w:pPr>
      <w:r w:rsidRPr="00E54582">
        <w:rPr>
          <w:rStyle w:val="Refdenotaalpie"/>
          <w:rFonts w:ascii="Arial" w:hAnsi="Arial" w:cs="Arial"/>
          <w:sz w:val="18"/>
        </w:rPr>
        <w:footnoteRef/>
      </w:r>
      <w:r w:rsidRPr="00E54582">
        <w:rPr>
          <w:rFonts w:ascii="Arial" w:hAnsi="Arial" w:cs="Arial"/>
          <w:sz w:val="18"/>
        </w:rPr>
        <w:t xml:space="preserve"> </w:t>
      </w:r>
      <w:r w:rsidRPr="00E54582">
        <w:rPr>
          <w:rFonts w:ascii="Arial" w:hAnsi="Arial" w:cs="Arial"/>
          <w:sz w:val="18"/>
          <w:lang w:val="es-CO"/>
        </w:rPr>
        <w:t xml:space="preserve">Folios 5-6 </w:t>
      </w:r>
    </w:p>
  </w:footnote>
  <w:footnote w:id="34">
    <w:p w:rsidR="009A3BBF" w:rsidRPr="00E54582" w:rsidRDefault="009A3BBF" w:rsidP="00E54582">
      <w:pPr>
        <w:pStyle w:val="Textonotapie"/>
        <w:jc w:val="both"/>
        <w:rPr>
          <w:rFonts w:ascii="Arial" w:hAnsi="Arial" w:cs="Arial"/>
          <w:sz w:val="18"/>
          <w:lang w:val="es-CO"/>
        </w:rPr>
      </w:pPr>
      <w:r w:rsidRPr="00E54582">
        <w:rPr>
          <w:rStyle w:val="Refdenotaalpie"/>
          <w:rFonts w:ascii="Arial" w:hAnsi="Arial" w:cs="Arial"/>
          <w:sz w:val="18"/>
        </w:rPr>
        <w:footnoteRef/>
      </w:r>
      <w:r w:rsidRPr="00E54582">
        <w:rPr>
          <w:rFonts w:ascii="Arial" w:hAnsi="Arial" w:cs="Arial"/>
          <w:sz w:val="18"/>
        </w:rPr>
        <w:t xml:space="preserve"> </w:t>
      </w:r>
      <w:r w:rsidR="00E54582">
        <w:rPr>
          <w:rFonts w:ascii="Arial" w:hAnsi="Arial" w:cs="Arial"/>
          <w:sz w:val="18"/>
          <w:lang w:val="es-CO"/>
        </w:rPr>
        <w:t>Folios 1 a 5 C. Principal</w:t>
      </w:r>
      <w:r w:rsidRPr="00E54582">
        <w:rPr>
          <w:rFonts w:ascii="Arial" w:hAnsi="Arial" w:cs="Arial"/>
          <w:sz w:val="18"/>
          <w:lang w:val="es-CO"/>
        </w:rPr>
        <w:t xml:space="preserve"> </w:t>
      </w:r>
    </w:p>
  </w:footnote>
  <w:footnote w:id="35">
    <w:p w:rsidR="009A3BBF" w:rsidRPr="00E54582" w:rsidRDefault="009A3BBF" w:rsidP="00E54582">
      <w:pPr>
        <w:jc w:val="both"/>
        <w:rPr>
          <w:rFonts w:ascii="Arial" w:hAnsi="Arial" w:cs="Arial"/>
          <w:sz w:val="18"/>
          <w:szCs w:val="20"/>
          <w:lang w:val="es-MX"/>
        </w:rPr>
      </w:pPr>
      <w:r w:rsidRPr="00E54582">
        <w:rPr>
          <w:rStyle w:val="Refdenotaalpie"/>
          <w:rFonts w:ascii="Arial" w:eastAsia="Tahoma" w:hAnsi="Arial" w:cs="Arial"/>
          <w:sz w:val="18"/>
          <w:szCs w:val="20"/>
        </w:rPr>
        <w:footnoteRef/>
      </w:r>
      <w:r w:rsidRPr="00E54582">
        <w:rPr>
          <w:rFonts w:ascii="Arial" w:hAnsi="Arial" w:cs="Arial"/>
          <w:sz w:val="18"/>
          <w:szCs w:val="20"/>
        </w:rPr>
        <w:t xml:space="preserve"> </w:t>
      </w:r>
      <w:r w:rsidRPr="00E54582">
        <w:rPr>
          <w:rFonts w:ascii="Arial" w:hAnsi="Arial" w:cs="Arial"/>
          <w:spacing w:val="-3"/>
          <w:sz w:val="18"/>
          <w:szCs w:val="20"/>
        </w:rPr>
        <w:t xml:space="preserve">CSJ </w:t>
      </w:r>
      <w:proofErr w:type="spellStart"/>
      <w:r w:rsidRPr="00E54582">
        <w:rPr>
          <w:rFonts w:ascii="Arial" w:hAnsi="Arial" w:cs="Arial"/>
          <w:spacing w:val="-3"/>
          <w:sz w:val="18"/>
          <w:szCs w:val="20"/>
        </w:rPr>
        <w:t>SP</w:t>
      </w:r>
      <w:proofErr w:type="spellEnd"/>
      <w:r w:rsidRPr="00E54582">
        <w:rPr>
          <w:rFonts w:ascii="Arial" w:hAnsi="Arial" w:cs="Arial"/>
          <w:spacing w:val="-3"/>
          <w:sz w:val="18"/>
          <w:szCs w:val="20"/>
        </w:rPr>
        <w:t>, 20 nov. 2013, Rad. 41570.</w:t>
      </w:r>
    </w:p>
  </w:footnote>
  <w:footnote w:id="36">
    <w:p w:rsidR="009A3BBF" w:rsidRPr="00E54582" w:rsidRDefault="009A3BBF" w:rsidP="00E54582">
      <w:pPr>
        <w:pStyle w:val="Textonotapie"/>
        <w:jc w:val="both"/>
        <w:rPr>
          <w:rFonts w:ascii="Arial" w:hAnsi="Arial" w:cs="Arial"/>
          <w:sz w:val="18"/>
        </w:rPr>
      </w:pPr>
      <w:r w:rsidRPr="00E54582">
        <w:rPr>
          <w:rStyle w:val="Refdenotaalpie"/>
          <w:rFonts w:ascii="Arial" w:eastAsia="Tahoma" w:hAnsi="Arial" w:cs="Arial"/>
          <w:sz w:val="18"/>
        </w:rPr>
        <w:footnoteRef/>
      </w:r>
      <w:r w:rsidRPr="00E54582">
        <w:rPr>
          <w:rFonts w:ascii="Arial" w:hAnsi="Arial" w:cs="Arial"/>
          <w:sz w:val="18"/>
        </w:rPr>
        <w:t xml:space="preserve"> En sentencia C-1260 del 5 de diciembre de 2005, se declaró exequible esta posibilidad en el entendido de que el fiscal, en ejercicio de esa facultad, no puede crear tipos penales y de que, en todo caso, a los hechos invocados en su alegación no les puede dar sino la calificación jurídica que corresponda conforme a la ley penal preexistente.</w:t>
      </w:r>
    </w:p>
  </w:footnote>
  <w:footnote w:id="37">
    <w:p w:rsidR="009A3BBF" w:rsidRPr="00E54582" w:rsidRDefault="009A3BBF" w:rsidP="00E54582">
      <w:pPr>
        <w:pStyle w:val="Textonotapie"/>
        <w:jc w:val="both"/>
        <w:rPr>
          <w:rFonts w:ascii="Arial" w:hAnsi="Arial" w:cs="Arial"/>
          <w:sz w:val="18"/>
        </w:rPr>
      </w:pPr>
      <w:r w:rsidRPr="00E54582">
        <w:rPr>
          <w:rStyle w:val="Refdenotaalpie"/>
          <w:rFonts w:ascii="Arial" w:eastAsia="Tahoma" w:hAnsi="Arial" w:cs="Arial"/>
          <w:sz w:val="18"/>
        </w:rPr>
        <w:footnoteRef/>
      </w:r>
      <w:r w:rsidRPr="00E54582">
        <w:rPr>
          <w:rFonts w:ascii="Arial" w:hAnsi="Arial" w:cs="Arial"/>
          <w:sz w:val="18"/>
        </w:rPr>
        <w:t xml:space="preserve"> Son términos que el legislador utiliza indistintamente para referirse a la misma forma de negociación.</w:t>
      </w:r>
    </w:p>
  </w:footnote>
  <w:footnote w:id="38">
    <w:p w:rsidR="009A3BBF" w:rsidRPr="00E54582" w:rsidRDefault="009A3BBF" w:rsidP="00E54582">
      <w:pPr>
        <w:pStyle w:val="Textonotapie"/>
        <w:jc w:val="both"/>
        <w:rPr>
          <w:rFonts w:ascii="Arial" w:hAnsi="Arial" w:cs="Arial"/>
          <w:sz w:val="18"/>
        </w:rPr>
      </w:pPr>
      <w:r w:rsidRPr="00E54582">
        <w:rPr>
          <w:rStyle w:val="Refdenotaalpie"/>
          <w:rFonts w:ascii="Arial" w:eastAsia="Tahoma" w:hAnsi="Arial" w:cs="Arial"/>
          <w:sz w:val="18"/>
        </w:rPr>
        <w:footnoteRef/>
      </w:r>
      <w:r w:rsidRPr="00E54582">
        <w:rPr>
          <w:rFonts w:ascii="Arial" w:hAnsi="Arial" w:cs="Arial"/>
          <w:sz w:val="18"/>
        </w:rPr>
        <w:t xml:space="preserve"> El funcionario, al celebrar los preacuerdos, debe observar las directivas de la Fiscalía General de la Nación y las pautas trazadas como política criminal, a fin de aprestigiar la administración de justicia y evitar su cuestionamiento (art. 348, inc. 2º, </w:t>
      </w:r>
      <w:proofErr w:type="spellStart"/>
      <w:r w:rsidRPr="00E54582">
        <w:rPr>
          <w:rFonts w:ascii="Arial" w:hAnsi="Arial" w:cs="Arial"/>
          <w:sz w:val="18"/>
        </w:rPr>
        <w:t>C.P.P</w:t>
      </w:r>
      <w:proofErr w:type="spellEnd"/>
      <w:r w:rsidRPr="00E54582">
        <w:rPr>
          <w:rFonts w:ascii="Arial" w:hAnsi="Arial" w:cs="Arial"/>
          <w:sz w:val="18"/>
        </w:rPr>
        <w:t>./2004).</w:t>
      </w:r>
    </w:p>
  </w:footnote>
  <w:footnote w:id="39">
    <w:p w:rsidR="009A3BBF" w:rsidRPr="00E54582" w:rsidRDefault="009A3BBF" w:rsidP="00E54582">
      <w:pPr>
        <w:jc w:val="both"/>
        <w:rPr>
          <w:rFonts w:ascii="Arial" w:hAnsi="Arial" w:cs="Arial"/>
          <w:sz w:val="18"/>
          <w:szCs w:val="20"/>
          <w:lang w:val="es-CO" w:eastAsia="es-CO"/>
        </w:rPr>
      </w:pPr>
      <w:r w:rsidRPr="00E54582">
        <w:rPr>
          <w:rStyle w:val="Refdenotaalpie"/>
          <w:rFonts w:ascii="Arial" w:eastAsia="Tahoma" w:hAnsi="Arial" w:cs="Arial"/>
          <w:sz w:val="18"/>
          <w:szCs w:val="20"/>
        </w:rPr>
        <w:footnoteRef/>
      </w:r>
      <w:r w:rsidRPr="00E54582">
        <w:rPr>
          <w:rFonts w:ascii="Arial" w:hAnsi="Arial" w:cs="Arial"/>
          <w:sz w:val="18"/>
          <w:szCs w:val="20"/>
        </w:rPr>
        <w:t xml:space="preserve"> </w:t>
      </w:r>
      <w:r w:rsidRPr="00E54582">
        <w:rPr>
          <w:rFonts w:ascii="Arial" w:hAnsi="Arial" w:cs="Arial"/>
          <w:spacing w:val="-3"/>
          <w:sz w:val="18"/>
          <w:szCs w:val="20"/>
        </w:rPr>
        <w:t>CSJ AP, 26 nov. 2014, Rad. 44906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BBF" w:rsidRPr="008B15F4" w:rsidRDefault="009A3BBF" w:rsidP="00E07C2F">
    <w:pPr>
      <w:pStyle w:val="Encabezado"/>
      <w:jc w:val="right"/>
      <w:rPr>
        <w:rFonts w:ascii="Arial" w:hAnsi="Arial" w:cs="Arial"/>
        <w:sz w:val="16"/>
        <w:szCs w:val="16"/>
        <w:lang w:val="es-CO"/>
      </w:rPr>
    </w:pPr>
    <w:r w:rsidRPr="008B15F4">
      <w:rPr>
        <w:rFonts w:ascii="Arial" w:hAnsi="Arial" w:cs="Arial"/>
        <w:sz w:val="16"/>
        <w:szCs w:val="16"/>
        <w:lang w:val="es-CO"/>
      </w:rPr>
      <w:t xml:space="preserve">Radicado: </w:t>
    </w:r>
    <w:r>
      <w:rPr>
        <w:rFonts w:ascii="Arial" w:hAnsi="Arial" w:cs="Arial"/>
        <w:sz w:val="16"/>
        <w:szCs w:val="16"/>
        <w:lang w:val="es-CO"/>
      </w:rPr>
      <w:t>66001 60 00 035 2015 03431 01</w:t>
    </w:r>
  </w:p>
  <w:p w:rsidR="009A3BBF" w:rsidRPr="008B15F4" w:rsidRDefault="009A3BBF" w:rsidP="00CB56CB">
    <w:pPr>
      <w:pStyle w:val="Encabezado"/>
      <w:jc w:val="right"/>
      <w:rPr>
        <w:rFonts w:ascii="Arial" w:hAnsi="Arial" w:cs="Arial"/>
        <w:sz w:val="16"/>
        <w:szCs w:val="16"/>
        <w:lang w:val="es-CO"/>
      </w:rPr>
    </w:pPr>
    <w:r w:rsidRPr="008B15F4">
      <w:rPr>
        <w:rFonts w:ascii="Arial" w:hAnsi="Arial" w:cs="Arial"/>
        <w:sz w:val="16"/>
        <w:szCs w:val="16"/>
        <w:lang w:val="es-CO"/>
      </w:rPr>
      <w:t xml:space="preserve">Acusado: </w:t>
    </w:r>
    <w:proofErr w:type="spellStart"/>
    <w:r>
      <w:rPr>
        <w:rFonts w:ascii="Arial" w:hAnsi="Arial" w:cs="Arial"/>
        <w:sz w:val="16"/>
        <w:szCs w:val="16"/>
        <w:lang w:val="es-CO"/>
      </w:rPr>
      <w:t>AMM</w:t>
    </w:r>
    <w:proofErr w:type="spellEnd"/>
  </w:p>
  <w:p w:rsidR="009A3BBF" w:rsidRPr="008B15F4" w:rsidRDefault="009A3BBF" w:rsidP="00E07C2F">
    <w:pPr>
      <w:pStyle w:val="Encabezado"/>
      <w:jc w:val="right"/>
      <w:rPr>
        <w:rFonts w:ascii="Arial" w:hAnsi="Arial" w:cs="Arial"/>
        <w:sz w:val="16"/>
        <w:szCs w:val="16"/>
        <w:lang w:val="es-CO"/>
      </w:rPr>
    </w:pPr>
    <w:r>
      <w:rPr>
        <w:rFonts w:ascii="Arial" w:hAnsi="Arial" w:cs="Arial"/>
        <w:sz w:val="16"/>
        <w:szCs w:val="16"/>
        <w:lang w:val="es-CO"/>
      </w:rPr>
      <w:t>D</w:t>
    </w:r>
    <w:r w:rsidRPr="008B15F4">
      <w:rPr>
        <w:rFonts w:ascii="Arial" w:hAnsi="Arial" w:cs="Arial"/>
        <w:sz w:val="16"/>
        <w:szCs w:val="16"/>
        <w:lang w:val="es-CO"/>
      </w:rPr>
      <w:t xml:space="preserve">elitos: </w:t>
    </w:r>
    <w:r>
      <w:rPr>
        <w:rFonts w:ascii="Arial" w:hAnsi="Arial" w:cs="Arial"/>
        <w:sz w:val="16"/>
        <w:szCs w:val="16"/>
        <w:lang w:val="es-CO"/>
      </w:rPr>
      <w:t>Tráfico, fabricación o porte de estupefacientes</w:t>
    </w:r>
  </w:p>
  <w:p w:rsidR="009A3BBF" w:rsidRPr="008B15F4" w:rsidRDefault="009A3BBF" w:rsidP="00E07C2F">
    <w:pPr>
      <w:pStyle w:val="Encabezado"/>
      <w:jc w:val="right"/>
      <w:rPr>
        <w:rFonts w:ascii="Arial" w:hAnsi="Arial" w:cs="Arial"/>
        <w:sz w:val="16"/>
        <w:szCs w:val="16"/>
        <w:lang w:val="es-CO"/>
      </w:rPr>
    </w:pPr>
    <w:r>
      <w:rPr>
        <w:rFonts w:ascii="Arial" w:hAnsi="Arial" w:cs="Arial"/>
        <w:sz w:val="16"/>
        <w:szCs w:val="16"/>
        <w:lang w:val="es-CO"/>
      </w:rPr>
      <w:t>A</w:t>
    </w:r>
    <w:r w:rsidRPr="008B15F4">
      <w:rPr>
        <w:rFonts w:ascii="Arial" w:hAnsi="Arial" w:cs="Arial"/>
        <w:sz w:val="16"/>
        <w:szCs w:val="16"/>
        <w:lang w:val="es-CO"/>
      </w:rPr>
      <w:t xml:space="preserve">sunto: </w:t>
    </w:r>
    <w:r>
      <w:rPr>
        <w:rFonts w:ascii="Arial" w:hAnsi="Arial" w:cs="Arial"/>
        <w:sz w:val="16"/>
        <w:szCs w:val="16"/>
        <w:lang w:val="es-CO"/>
      </w:rPr>
      <w:t>Confirma auto de primer grado</w:t>
    </w:r>
  </w:p>
  <w:p w:rsidR="009A3BBF" w:rsidRPr="008B15F4" w:rsidRDefault="009A3BBF" w:rsidP="00E07C2F">
    <w:pPr>
      <w:pStyle w:val="Encabezado"/>
      <w:jc w:val="right"/>
      <w:rPr>
        <w:rFonts w:ascii="Arial" w:hAnsi="Arial" w:cs="Arial"/>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115"/>
    <w:multiLevelType w:val="hybridMultilevel"/>
    <w:tmpl w:val="2638AB7E"/>
    <w:lvl w:ilvl="0" w:tplc="0C0A0001">
      <w:start w:val="1"/>
      <w:numFmt w:val="bullet"/>
      <w:lvlText w:val=""/>
      <w:lvlJc w:val="left"/>
      <w:pPr>
        <w:ind w:left="107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580244"/>
    <w:multiLevelType w:val="hybridMultilevel"/>
    <w:tmpl w:val="36860C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8B764E"/>
    <w:multiLevelType w:val="hybridMultilevel"/>
    <w:tmpl w:val="E4F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7E487E"/>
    <w:multiLevelType w:val="multilevel"/>
    <w:tmpl w:val="76AE7942"/>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27A75B1C"/>
    <w:multiLevelType w:val="hybridMultilevel"/>
    <w:tmpl w:val="E26E4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14C4AA4"/>
    <w:multiLevelType w:val="hybridMultilevel"/>
    <w:tmpl w:val="62B2D0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6C2487B"/>
    <w:multiLevelType w:val="hybridMultilevel"/>
    <w:tmpl w:val="AA9A59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99746B1"/>
    <w:multiLevelType w:val="hybridMultilevel"/>
    <w:tmpl w:val="63507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1006D06"/>
    <w:multiLevelType w:val="hybridMultilevel"/>
    <w:tmpl w:val="D1B6DA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7B9D7977"/>
    <w:multiLevelType w:val="hybridMultilevel"/>
    <w:tmpl w:val="99C23A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5"/>
  </w:num>
  <w:num w:numId="5">
    <w:abstractNumId w:val="4"/>
  </w:num>
  <w:num w:numId="6">
    <w:abstractNumId w:val="7"/>
  </w:num>
  <w:num w:numId="7">
    <w:abstractNumId w:val="0"/>
  </w:num>
  <w:num w:numId="8">
    <w:abstractNumId w:val="6"/>
  </w:num>
  <w:num w:numId="9">
    <w:abstractNumId w:val="8"/>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3A"/>
    <w:rsid w:val="0000002D"/>
    <w:rsid w:val="00002F00"/>
    <w:rsid w:val="0002196F"/>
    <w:rsid w:val="00023150"/>
    <w:rsid w:val="00024F66"/>
    <w:rsid w:val="000268B8"/>
    <w:rsid w:val="000320C8"/>
    <w:rsid w:val="0003577A"/>
    <w:rsid w:val="00040ACE"/>
    <w:rsid w:val="000412AB"/>
    <w:rsid w:val="000443EF"/>
    <w:rsid w:val="00045EA8"/>
    <w:rsid w:val="000460EA"/>
    <w:rsid w:val="00050920"/>
    <w:rsid w:val="00050D98"/>
    <w:rsid w:val="000625E0"/>
    <w:rsid w:val="0006483C"/>
    <w:rsid w:val="00072D43"/>
    <w:rsid w:val="00072F75"/>
    <w:rsid w:val="00075CF6"/>
    <w:rsid w:val="00077002"/>
    <w:rsid w:val="0008065A"/>
    <w:rsid w:val="00084F4E"/>
    <w:rsid w:val="00090C86"/>
    <w:rsid w:val="000A0E5A"/>
    <w:rsid w:val="000A7B91"/>
    <w:rsid w:val="000B07A3"/>
    <w:rsid w:val="000B0804"/>
    <w:rsid w:val="000B1415"/>
    <w:rsid w:val="000B1EF3"/>
    <w:rsid w:val="000B3DEF"/>
    <w:rsid w:val="000C36E2"/>
    <w:rsid w:val="000C5877"/>
    <w:rsid w:val="000C6918"/>
    <w:rsid w:val="000C766E"/>
    <w:rsid w:val="000D2602"/>
    <w:rsid w:val="000D45B7"/>
    <w:rsid w:val="000D49A6"/>
    <w:rsid w:val="000E04E8"/>
    <w:rsid w:val="000E0AB7"/>
    <w:rsid w:val="000E1C6A"/>
    <w:rsid w:val="000F0991"/>
    <w:rsid w:val="000F2047"/>
    <w:rsid w:val="000F3DBF"/>
    <w:rsid w:val="000F5FDB"/>
    <w:rsid w:val="000F630D"/>
    <w:rsid w:val="000F7488"/>
    <w:rsid w:val="001023E8"/>
    <w:rsid w:val="00105B56"/>
    <w:rsid w:val="001102E2"/>
    <w:rsid w:val="001117B6"/>
    <w:rsid w:val="00115D8B"/>
    <w:rsid w:val="0011732D"/>
    <w:rsid w:val="00121901"/>
    <w:rsid w:val="00122029"/>
    <w:rsid w:val="0013572F"/>
    <w:rsid w:val="00137C5C"/>
    <w:rsid w:val="0014207F"/>
    <w:rsid w:val="00142B31"/>
    <w:rsid w:val="00152F41"/>
    <w:rsid w:val="0015423C"/>
    <w:rsid w:val="0015793D"/>
    <w:rsid w:val="00157EF3"/>
    <w:rsid w:val="0016213A"/>
    <w:rsid w:val="00162EB2"/>
    <w:rsid w:val="00165990"/>
    <w:rsid w:val="0016691E"/>
    <w:rsid w:val="00166B33"/>
    <w:rsid w:val="00170028"/>
    <w:rsid w:val="001704B9"/>
    <w:rsid w:val="001726FA"/>
    <w:rsid w:val="00175B8F"/>
    <w:rsid w:val="00177C99"/>
    <w:rsid w:val="0018488F"/>
    <w:rsid w:val="00185D05"/>
    <w:rsid w:val="00191C01"/>
    <w:rsid w:val="00193A72"/>
    <w:rsid w:val="00197073"/>
    <w:rsid w:val="001A0282"/>
    <w:rsid w:val="001A186D"/>
    <w:rsid w:val="001B0FB3"/>
    <w:rsid w:val="001B16DA"/>
    <w:rsid w:val="001B1BFF"/>
    <w:rsid w:val="001B6354"/>
    <w:rsid w:val="001B6695"/>
    <w:rsid w:val="001C0A87"/>
    <w:rsid w:val="001C31FE"/>
    <w:rsid w:val="001C5700"/>
    <w:rsid w:val="001D32B1"/>
    <w:rsid w:val="001D50CD"/>
    <w:rsid w:val="001D5E0B"/>
    <w:rsid w:val="001E2882"/>
    <w:rsid w:val="001E2906"/>
    <w:rsid w:val="001E2D0A"/>
    <w:rsid w:val="001E3187"/>
    <w:rsid w:val="001E390B"/>
    <w:rsid w:val="001E67EA"/>
    <w:rsid w:val="001E74F1"/>
    <w:rsid w:val="001E7868"/>
    <w:rsid w:val="001F1884"/>
    <w:rsid w:val="001F3517"/>
    <w:rsid w:val="00201C65"/>
    <w:rsid w:val="00204232"/>
    <w:rsid w:val="00211EF4"/>
    <w:rsid w:val="0021235A"/>
    <w:rsid w:val="00213524"/>
    <w:rsid w:val="00215F7D"/>
    <w:rsid w:val="00230368"/>
    <w:rsid w:val="002472BF"/>
    <w:rsid w:val="0025124F"/>
    <w:rsid w:val="002534E7"/>
    <w:rsid w:val="00264861"/>
    <w:rsid w:val="0026503E"/>
    <w:rsid w:val="00270F38"/>
    <w:rsid w:val="002753A4"/>
    <w:rsid w:val="002779B3"/>
    <w:rsid w:val="00284B09"/>
    <w:rsid w:val="00295D4A"/>
    <w:rsid w:val="002A0802"/>
    <w:rsid w:val="002A4175"/>
    <w:rsid w:val="002A63EC"/>
    <w:rsid w:val="002B09BA"/>
    <w:rsid w:val="002D0263"/>
    <w:rsid w:val="002D1765"/>
    <w:rsid w:val="002D4ACE"/>
    <w:rsid w:val="002D7694"/>
    <w:rsid w:val="002E1D68"/>
    <w:rsid w:val="002E2900"/>
    <w:rsid w:val="002E6025"/>
    <w:rsid w:val="002F0205"/>
    <w:rsid w:val="002F0B06"/>
    <w:rsid w:val="002F1458"/>
    <w:rsid w:val="002F1A0D"/>
    <w:rsid w:val="002F38CB"/>
    <w:rsid w:val="002F7376"/>
    <w:rsid w:val="00307532"/>
    <w:rsid w:val="003079DC"/>
    <w:rsid w:val="00312859"/>
    <w:rsid w:val="00312E0F"/>
    <w:rsid w:val="00316001"/>
    <w:rsid w:val="003215D1"/>
    <w:rsid w:val="00332D21"/>
    <w:rsid w:val="003343D4"/>
    <w:rsid w:val="003350B8"/>
    <w:rsid w:val="00337DDF"/>
    <w:rsid w:val="0034231C"/>
    <w:rsid w:val="003463B5"/>
    <w:rsid w:val="0035129E"/>
    <w:rsid w:val="00355DDF"/>
    <w:rsid w:val="00356803"/>
    <w:rsid w:val="0035771C"/>
    <w:rsid w:val="00362F54"/>
    <w:rsid w:val="003643CA"/>
    <w:rsid w:val="00371709"/>
    <w:rsid w:val="00372888"/>
    <w:rsid w:val="003737A5"/>
    <w:rsid w:val="00374E38"/>
    <w:rsid w:val="0037675F"/>
    <w:rsid w:val="00383042"/>
    <w:rsid w:val="00395736"/>
    <w:rsid w:val="003A692D"/>
    <w:rsid w:val="003B2CD0"/>
    <w:rsid w:val="003B3458"/>
    <w:rsid w:val="003C4552"/>
    <w:rsid w:val="003D08F8"/>
    <w:rsid w:val="003D0A48"/>
    <w:rsid w:val="003D2535"/>
    <w:rsid w:val="003D7347"/>
    <w:rsid w:val="003D737F"/>
    <w:rsid w:val="003E00B0"/>
    <w:rsid w:val="003E06C8"/>
    <w:rsid w:val="003E25D7"/>
    <w:rsid w:val="003E3E76"/>
    <w:rsid w:val="003E637C"/>
    <w:rsid w:val="003E6A91"/>
    <w:rsid w:val="003F72F8"/>
    <w:rsid w:val="0040164D"/>
    <w:rsid w:val="00404367"/>
    <w:rsid w:val="0040687D"/>
    <w:rsid w:val="00410B7A"/>
    <w:rsid w:val="00412C24"/>
    <w:rsid w:val="004136BB"/>
    <w:rsid w:val="004254AC"/>
    <w:rsid w:val="0042669E"/>
    <w:rsid w:val="004314E4"/>
    <w:rsid w:val="0043238A"/>
    <w:rsid w:val="004340B3"/>
    <w:rsid w:val="00435E39"/>
    <w:rsid w:val="00436067"/>
    <w:rsid w:val="004417AE"/>
    <w:rsid w:val="004435B2"/>
    <w:rsid w:val="00444E15"/>
    <w:rsid w:val="004538A5"/>
    <w:rsid w:val="004545C8"/>
    <w:rsid w:val="0045631E"/>
    <w:rsid w:val="0045759A"/>
    <w:rsid w:val="0046260C"/>
    <w:rsid w:val="00477FE9"/>
    <w:rsid w:val="00485559"/>
    <w:rsid w:val="00487E90"/>
    <w:rsid w:val="004913D7"/>
    <w:rsid w:val="004941CB"/>
    <w:rsid w:val="004958FA"/>
    <w:rsid w:val="00496C32"/>
    <w:rsid w:val="00496CB2"/>
    <w:rsid w:val="004A4A4A"/>
    <w:rsid w:val="004A58DE"/>
    <w:rsid w:val="004A5AA2"/>
    <w:rsid w:val="004B033B"/>
    <w:rsid w:val="004B4CA8"/>
    <w:rsid w:val="004C40E5"/>
    <w:rsid w:val="004C545B"/>
    <w:rsid w:val="004C722C"/>
    <w:rsid w:val="004D0B0B"/>
    <w:rsid w:val="004D1494"/>
    <w:rsid w:val="004D2869"/>
    <w:rsid w:val="004D76F5"/>
    <w:rsid w:val="004E014D"/>
    <w:rsid w:val="004E3186"/>
    <w:rsid w:val="004E391C"/>
    <w:rsid w:val="004F607B"/>
    <w:rsid w:val="0050106D"/>
    <w:rsid w:val="00501D8F"/>
    <w:rsid w:val="00505240"/>
    <w:rsid w:val="005120DA"/>
    <w:rsid w:val="00512FE5"/>
    <w:rsid w:val="005160C2"/>
    <w:rsid w:val="00521C94"/>
    <w:rsid w:val="0052339E"/>
    <w:rsid w:val="00535ABC"/>
    <w:rsid w:val="005369F3"/>
    <w:rsid w:val="00537484"/>
    <w:rsid w:val="00537C42"/>
    <w:rsid w:val="0054223F"/>
    <w:rsid w:val="0054522B"/>
    <w:rsid w:val="00551EA0"/>
    <w:rsid w:val="00557ADE"/>
    <w:rsid w:val="00557C62"/>
    <w:rsid w:val="00561F16"/>
    <w:rsid w:val="00566797"/>
    <w:rsid w:val="00573DCF"/>
    <w:rsid w:val="00573EB6"/>
    <w:rsid w:val="00575279"/>
    <w:rsid w:val="005758CF"/>
    <w:rsid w:val="0057742C"/>
    <w:rsid w:val="0058396B"/>
    <w:rsid w:val="00584DBB"/>
    <w:rsid w:val="005853F1"/>
    <w:rsid w:val="00592BCC"/>
    <w:rsid w:val="00597799"/>
    <w:rsid w:val="005A6011"/>
    <w:rsid w:val="005B284F"/>
    <w:rsid w:val="005C0FEC"/>
    <w:rsid w:val="005C173A"/>
    <w:rsid w:val="005C4480"/>
    <w:rsid w:val="005C4C73"/>
    <w:rsid w:val="005C4CB9"/>
    <w:rsid w:val="005D276D"/>
    <w:rsid w:val="005D5D2D"/>
    <w:rsid w:val="005D7335"/>
    <w:rsid w:val="005D74FD"/>
    <w:rsid w:val="005E003F"/>
    <w:rsid w:val="005E1431"/>
    <w:rsid w:val="005E5075"/>
    <w:rsid w:val="005E55E7"/>
    <w:rsid w:val="005E7995"/>
    <w:rsid w:val="005F1C41"/>
    <w:rsid w:val="005F48BC"/>
    <w:rsid w:val="005F4AA9"/>
    <w:rsid w:val="005F7D3E"/>
    <w:rsid w:val="00602401"/>
    <w:rsid w:val="00607FCA"/>
    <w:rsid w:val="00611381"/>
    <w:rsid w:val="00611928"/>
    <w:rsid w:val="00611D5B"/>
    <w:rsid w:val="006215DD"/>
    <w:rsid w:val="00625F72"/>
    <w:rsid w:val="006260FE"/>
    <w:rsid w:val="00627001"/>
    <w:rsid w:val="0062736A"/>
    <w:rsid w:val="006278F7"/>
    <w:rsid w:val="00631EE9"/>
    <w:rsid w:val="00634C2B"/>
    <w:rsid w:val="00635AD4"/>
    <w:rsid w:val="00637153"/>
    <w:rsid w:val="00641A34"/>
    <w:rsid w:val="006460EE"/>
    <w:rsid w:val="00647923"/>
    <w:rsid w:val="0065403C"/>
    <w:rsid w:val="00656932"/>
    <w:rsid w:val="00660C55"/>
    <w:rsid w:val="00661450"/>
    <w:rsid w:val="006639A2"/>
    <w:rsid w:val="0066438D"/>
    <w:rsid w:val="00671413"/>
    <w:rsid w:val="006721FD"/>
    <w:rsid w:val="006723E0"/>
    <w:rsid w:val="00674AE7"/>
    <w:rsid w:val="006820B4"/>
    <w:rsid w:val="0068558A"/>
    <w:rsid w:val="00685A16"/>
    <w:rsid w:val="00685DEC"/>
    <w:rsid w:val="0068634A"/>
    <w:rsid w:val="00687411"/>
    <w:rsid w:val="00692762"/>
    <w:rsid w:val="00692E72"/>
    <w:rsid w:val="00692F28"/>
    <w:rsid w:val="00694C53"/>
    <w:rsid w:val="0069555D"/>
    <w:rsid w:val="006962F8"/>
    <w:rsid w:val="006A510B"/>
    <w:rsid w:val="006A5EA0"/>
    <w:rsid w:val="006A6540"/>
    <w:rsid w:val="006B38DA"/>
    <w:rsid w:val="006C2D0D"/>
    <w:rsid w:val="006C3C87"/>
    <w:rsid w:val="006C6CB2"/>
    <w:rsid w:val="006C78B9"/>
    <w:rsid w:val="006D4B7A"/>
    <w:rsid w:val="006E0787"/>
    <w:rsid w:val="006E17B7"/>
    <w:rsid w:val="006E349D"/>
    <w:rsid w:val="006E36DD"/>
    <w:rsid w:val="006E393C"/>
    <w:rsid w:val="00701AD8"/>
    <w:rsid w:val="00703180"/>
    <w:rsid w:val="00703DA0"/>
    <w:rsid w:val="00704530"/>
    <w:rsid w:val="00704D7B"/>
    <w:rsid w:val="007053F1"/>
    <w:rsid w:val="0070706D"/>
    <w:rsid w:val="00711ADA"/>
    <w:rsid w:val="00713093"/>
    <w:rsid w:val="0071439A"/>
    <w:rsid w:val="00714B3A"/>
    <w:rsid w:val="00714C7C"/>
    <w:rsid w:val="007179D6"/>
    <w:rsid w:val="007213BD"/>
    <w:rsid w:val="00724E35"/>
    <w:rsid w:val="007257A3"/>
    <w:rsid w:val="00731357"/>
    <w:rsid w:val="0074503D"/>
    <w:rsid w:val="0074593B"/>
    <w:rsid w:val="00745E4B"/>
    <w:rsid w:val="00750011"/>
    <w:rsid w:val="00751B4F"/>
    <w:rsid w:val="0075396F"/>
    <w:rsid w:val="00764676"/>
    <w:rsid w:val="00774449"/>
    <w:rsid w:val="007745DA"/>
    <w:rsid w:val="0077797F"/>
    <w:rsid w:val="00777C2F"/>
    <w:rsid w:val="00781E50"/>
    <w:rsid w:val="0078502F"/>
    <w:rsid w:val="0078572E"/>
    <w:rsid w:val="00790009"/>
    <w:rsid w:val="0079609A"/>
    <w:rsid w:val="0079711E"/>
    <w:rsid w:val="007979AA"/>
    <w:rsid w:val="007A17EB"/>
    <w:rsid w:val="007A69BC"/>
    <w:rsid w:val="007A6E64"/>
    <w:rsid w:val="007B07A3"/>
    <w:rsid w:val="007B1C0E"/>
    <w:rsid w:val="007B2CF0"/>
    <w:rsid w:val="007B3CB3"/>
    <w:rsid w:val="007B56D6"/>
    <w:rsid w:val="007B5D6E"/>
    <w:rsid w:val="007C1A98"/>
    <w:rsid w:val="007C3B42"/>
    <w:rsid w:val="007C3EB2"/>
    <w:rsid w:val="007C4656"/>
    <w:rsid w:val="007C46C9"/>
    <w:rsid w:val="007C69EA"/>
    <w:rsid w:val="007C77CC"/>
    <w:rsid w:val="007D1181"/>
    <w:rsid w:val="007D65A0"/>
    <w:rsid w:val="007E1EB9"/>
    <w:rsid w:val="007F15A6"/>
    <w:rsid w:val="007F25D5"/>
    <w:rsid w:val="00802512"/>
    <w:rsid w:val="00805A9C"/>
    <w:rsid w:val="0081038D"/>
    <w:rsid w:val="00811AD6"/>
    <w:rsid w:val="008141A6"/>
    <w:rsid w:val="00821EB3"/>
    <w:rsid w:val="008220DD"/>
    <w:rsid w:val="008232EA"/>
    <w:rsid w:val="008246FE"/>
    <w:rsid w:val="0082524B"/>
    <w:rsid w:val="00830AE5"/>
    <w:rsid w:val="00832DDA"/>
    <w:rsid w:val="008336AE"/>
    <w:rsid w:val="008341A0"/>
    <w:rsid w:val="008361C6"/>
    <w:rsid w:val="00836E8C"/>
    <w:rsid w:val="008403F9"/>
    <w:rsid w:val="0084173C"/>
    <w:rsid w:val="00847B0F"/>
    <w:rsid w:val="0085261E"/>
    <w:rsid w:val="00854165"/>
    <w:rsid w:val="00857C4B"/>
    <w:rsid w:val="008604C9"/>
    <w:rsid w:val="00862215"/>
    <w:rsid w:val="00863325"/>
    <w:rsid w:val="00865270"/>
    <w:rsid w:val="008664A2"/>
    <w:rsid w:val="0087305F"/>
    <w:rsid w:val="0087646A"/>
    <w:rsid w:val="008773E8"/>
    <w:rsid w:val="00883E6E"/>
    <w:rsid w:val="008844CC"/>
    <w:rsid w:val="00890555"/>
    <w:rsid w:val="0089387D"/>
    <w:rsid w:val="00895AEA"/>
    <w:rsid w:val="008A2D4B"/>
    <w:rsid w:val="008A2FF8"/>
    <w:rsid w:val="008A6837"/>
    <w:rsid w:val="008B02B1"/>
    <w:rsid w:val="008B15F4"/>
    <w:rsid w:val="008B35B9"/>
    <w:rsid w:val="008B5DB4"/>
    <w:rsid w:val="008C4E77"/>
    <w:rsid w:val="008C55DC"/>
    <w:rsid w:val="008C7537"/>
    <w:rsid w:val="008E19C5"/>
    <w:rsid w:val="008E1E7E"/>
    <w:rsid w:val="008E1F4F"/>
    <w:rsid w:val="008E714D"/>
    <w:rsid w:val="008F7623"/>
    <w:rsid w:val="00902B51"/>
    <w:rsid w:val="009041DF"/>
    <w:rsid w:val="00904F83"/>
    <w:rsid w:val="0091691B"/>
    <w:rsid w:val="00925A01"/>
    <w:rsid w:val="009275E1"/>
    <w:rsid w:val="00931777"/>
    <w:rsid w:val="00931F6E"/>
    <w:rsid w:val="00933E87"/>
    <w:rsid w:val="00934E56"/>
    <w:rsid w:val="00944E05"/>
    <w:rsid w:val="00950815"/>
    <w:rsid w:val="00950F87"/>
    <w:rsid w:val="00951A6F"/>
    <w:rsid w:val="00952A83"/>
    <w:rsid w:val="00955C74"/>
    <w:rsid w:val="00957AF0"/>
    <w:rsid w:val="009611D5"/>
    <w:rsid w:val="0096151C"/>
    <w:rsid w:val="00961C63"/>
    <w:rsid w:val="00965154"/>
    <w:rsid w:val="0097085C"/>
    <w:rsid w:val="0098358C"/>
    <w:rsid w:val="00984409"/>
    <w:rsid w:val="009879D3"/>
    <w:rsid w:val="00990E20"/>
    <w:rsid w:val="0099235F"/>
    <w:rsid w:val="009928D9"/>
    <w:rsid w:val="00992D74"/>
    <w:rsid w:val="00994E56"/>
    <w:rsid w:val="00996B2C"/>
    <w:rsid w:val="009A3BBF"/>
    <w:rsid w:val="009A44B7"/>
    <w:rsid w:val="009A7B77"/>
    <w:rsid w:val="009B2351"/>
    <w:rsid w:val="009C4E49"/>
    <w:rsid w:val="009C717A"/>
    <w:rsid w:val="009D1B8B"/>
    <w:rsid w:val="009D4947"/>
    <w:rsid w:val="009E5794"/>
    <w:rsid w:val="009E5DE8"/>
    <w:rsid w:val="009F34D6"/>
    <w:rsid w:val="009F471B"/>
    <w:rsid w:val="00A01B78"/>
    <w:rsid w:val="00A10877"/>
    <w:rsid w:val="00A110BE"/>
    <w:rsid w:val="00A143EB"/>
    <w:rsid w:val="00A25C68"/>
    <w:rsid w:val="00A2662F"/>
    <w:rsid w:val="00A26C67"/>
    <w:rsid w:val="00A27334"/>
    <w:rsid w:val="00A32405"/>
    <w:rsid w:val="00A4086A"/>
    <w:rsid w:val="00A40E46"/>
    <w:rsid w:val="00A428C7"/>
    <w:rsid w:val="00A44383"/>
    <w:rsid w:val="00A53793"/>
    <w:rsid w:val="00A57AD8"/>
    <w:rsid w:val="00A6542F"/>
    <w:rsid w:val="00A71748"/>
    <w:rsid w:val="00A72371"/>
    <w:rsid w:val="00A77C25"/>
    <w:rsid w:val="00A80A96"/>
    <w:rsid w:val="00A8230E"/>
    <w:rsid w:val="00A843B4"/>
    <w:rsid w:val="00A848ED"/>
    <w:rsid w:val="00A85093"/>
    <w:rsid w:val="00A85D94"/>
    <w:rsid w:val="00A93F17"/>
    <w:rsid w:val="00AA17D2"/>
    <w:rsid w:val="00AA2B49"/>
    <w:rsid w:val="00AA2E28"/>
    <w:rsid w:val="00AA3798"/>
    <w:rsid w:val="00AA712D"/>
    <w:rsid w:val="00AC3412"/>
    <w:rsid w:val="00AC34D3"/>
    <w:rsid w:val="00AD05AF"/>
    <w:rsid w:val="00AD0E13"/>
    <w:rsid w:val="00AD1426"/>
    <w:rsid w:val="00AD15EF"/>
    <w:rsid w:val="00AD2472"/>
    <w:rsid w:val="00AD2848"/>
    <w:rsid w:val="00AE0D6E"/>
    <w:rsid w:val="00AE1069"/>
    <w:rsid w:val="00AE2CDE"/>
    <w:rsid w:val="00AE729E"/>
    <w:rsid w:val="00AE7EFB"/>
    <w:rsid w:val="00B0002B"/>
    <w:rsid w:val="00B0279B"/>
    <w:rsid w:val="00B03594"/>
    <w:rsid w:val="00B056F2"/>
    <w:rsid w:val="00B0603F"/>
    <w:rsid w:val="00B11653"/>
    <w:rsid w:val="00B1406F"/>
    <w:rsid w:val="00B16342"/>
    <w:rsid w:val="00B17D59"/>
    <w:rsid w:val="00B4058E"/>
    <w:rsid w:val="00B52DA9"/>
    <w:rsid w:val="00B548AF"/>
    <w:rsid w:val="00B57146"/>
    <w:rsid w:val="00B62F66"/>
    <w:rsid w:val="00B72FFA"/>
    <w:rsid w:val="00B76BC0"/>
    <w:rsid w:val="00B90E12"/>
    <w:rsid w:val="00B9360C"/>
    <w:rsid w:val="00B96AE4"/>
    <w:rsid w:val="00BA1B2D"/>
    <w:rsid w:val="00BA3D68"/>
    <w:rsid w:val="00BC265B"/>
    <w:rsid w:val="00BC609B"/>
    <w:rsid w:val="00BC7393"/>
    <w:rsid w:val="00BD2C47"/>
    <w:rsid w:val="00BE1002"/>
    <w:rsid w:val="00BE6F06"/>
    <w:rsid w:val="00BF13D9"/>
    <w:rsid w:val="00BF28C0"/>
    <w:rsid w:val="00BF6CA9"/>
    <w:rsid w:val="00BF72B1"/>
    <w:rsid w:val="00C01B6D"/>
    <w:rsid w:val="00C023F3"/>
    <w:rsid w:val="00C05013"/>
    <w:rsid w:val="00C07426"/>
    <w:rsid w:val="00C2358C"/>
    <w:rsid w:val="00C25014"/>
    <w:rsid w:val="00C26ED5"/>
    <w:rsid w:val="00C342D9"/>
    <w:rsid w:val="00C35203"/>
    <w:rsid w:val="00C41947"/>
    <w:rsid w:val="00C4473D"/>
    <w:rsid w:val="00C45E76"/>
    <w:rsid w:val="00C47085"/>
    <w:rsid w:val="00C55421"/>
    <w:rsid w:val="00C56540"/>
    <w:rsid w:val="00C5674D"/>
    <w:rsid w:val="00C57626"/>
    <w:rsid w:val="00C616D7"/>
    <w:rsid w:val="00C61781"/>
    <w:rsid w:val="00C649D3"/>
    <w:rsid w:val="00C7015E"/>
    <w:rsid w:val="00C76941"/>
    <w:rsid w:val="00C84E88"/>
    <w:rsid w:val="00C9170F"/>
    <w:rsid w:val="00C929EF"/>
    <w:rsid w:val="00C92C05"/>
    <w:rsid w:val="00C9371F"/>
    <w:rsid w:val="00C94FD1"/>
    <w:rsid w:val="00CB2769"/>
    <w:rsid w:val="00CB56CB"/>
    <w:rsid w:val="00CC0219"/>
    <w:rsid w:val="00CC497A"/>
    <w:rsid w:val="00CC72CF"/>
    <w:rsid w:val="00CD102E"/>
    <w:rsid w:val="00CD46CC"/>
    <w:rsid w:val="00CE2CE1"/>
    <w:rsid w:val="00CE49C7"/>
    <w:rsid w:val="00CE780D"/>
    <w:rsid w:val="00CF199E"/>
    <w:rsid w:val="00CF3CAA"/>
    <w:rsid w:val="00CF4628"/>
    <w:rsid w:val="00D00DD8"/>
    <w:rsid w:val="00D03FA8"/>
    <w:rsid w:val="00D10F63"/>
    <w:rsid w:val="00D163F7"/>
    <w:rsid w:val="00D2196E"/>
    <w:rsid w:val="00D225FE"/>
    <w:rsid w:val="00D228C7"/>
    <w:rsid w:val="00D27338"/>
    <w:rsid w:val="00D3033C"/>
    <w:rsid w:val="00D30BA3"/>
    <w:rsid w:val="00D3377D"/>
    <w:rsid w:val="00D40321"/>
    <w:rsid w:val="00D40474"/>
    <w:rsid w:val="00D51A41"/>
    <w:rsid w:val="00D51F43"/>
    <w:rsid w:val="00D525CA"/>
    <w:rsid w:val="00D52E49"/>
    <w:rsid w:val="00D55A4E"/>
    <w:rsid w:val="00D61F5C"/>
    <w:rsid w:val="00D62748"/>
    <w:rsid w:val="00D64C46"/>
    <w:rsid w:val="00D66BF2"/>
    <w:rsid w:val="00D704E9"/>
    <w:rsid w:val="00D73B20"/>
    <w:rsid w:val="00D900C1"/>
    <w:rsid w:val="00D90A0F"/>
    <w:rsid w:val="00D92AC0"/>
    <w:rsid w:val="00D955EC"/>
    <w:rsid w:val="00D96285"/>
    <w:rsid w:val="00DA18E3"/>
    <w:rsid w:val="00DA1DA8"/>
    <w:rsid w:val="00DA64DC"/>
    <w:rsid w:val="00DA7618"/>
    <w:rsid w:val="00DB0084"/>
    <w:rsid w:val="00DB79B5"/>
    <w:rsid w:val="00DC6544"/>
    <w:rsid w:val="00DD51A4"/>
    <w:rsid w:val="00DD6444"/>
    <w:rsid w:val="00DE34C8"/>
    <w:rsid w:val="00DE3D00"/>
    <w:rsid w:val="00DE4E57"/>
    <w:rsid w:val="00DE51A2"/>
    <w:rsid w:val="00DE6314"/>
    <w:rsid w:val="00DF05B3"/>
    <w:rsid w:val="00DF1BAB"/>
    <w:rsid w:val="00DF1FF4"/>
    <w:rsid w:val="00E01A17"/>
    <w:rsid w:val="00E028DB"/>
    <w:rsid w:val="00E074BC"/>
    <w:rsid w:val="00E07C2F"/>
    <w:rsid w:val="00E10EBB"/>
    <w:rsid w:val="00E11460"/>
    <w:rsid w:val="00E12249"/>
    <w:rsid w:val="00E13A97"/>
    <w:rsid w:val="00E13CB7"/>
    <w:rsid w:val="00E23C7D"/>
    <w:rsid w:val="00E25C06"/>
    <w:rsid w:val="00E27891"/>
    <w:rsid w:val="00E341FC"/>
    <w:rsid w:val="00E34522"/>
    <w:rsid w:val="00E3491A"/>
    <w:rsid w:val="00E35639"/>
    <w:rsid w:val="00E36735"/>
    <w:rsid w:val="00E4128E"/>
    <w:rsid w:val="00E42557"/>
    <w:rsid w:val="00E45971"/>
    <w:rsid w:val="00E45E03"/>
    <w:rsid w:val="00E475E3"/>
    <w:rsid w:val="00E51AE1"/>
    <w:rsid w:val="00E54582"/>
    <w:rsid w:val="00E6322D"/>
    <w:rsid w:val="00E63DE2"/>
    <w:rsid w:val="00E65952"/>
    <w:rsid w:val="00E70BDA"/>
    <w:rsid w:val="00E71B21"/>
    <w:rsid w:val="00E72011"/>
    <w:rsid w:val="00E720C0"/>
    <w:rsid w:val="00E73D29"/>
    <w:rsid w:val="00E876F7"/>
    <w:rsid w:val="00E9560E"/>
    <w:rsid w:val="00E9765C"/>
    <w:rsid w:val="00E97B58"/>
    <w:rsid w:val="00E97D66"/>
    <w:rsid w:val="00EA1D16"/>
    <w:rsid w:val="00EA5364"/>
    <w:rsid w:val="00EA54A8"/>
    <w:rsid w:val="00EB46AC"/>
    <w:rsid w:val="00EC1721"/>
    <w:rsid w:val="00EC6EBE"/>
    <w:rsid w:val="00EC6FB1"/>
    <w:rsid w:val="00ED54F4"/>
    <w:rsid w:val="00ED6FFC"/>
    <w:rsid w:val="00EE1841"/>
    <w:rsid w:val="00EE1FB8"/>
    <w:rsid w:val="00EE467C"/>
    <w:rsid w:val="00EF2E79"/>
    <w:rsid w:val="00EF36CE"/>
    <w:rsid w:val="00EF6242"/>
    <w:rsid w:val="00EF7BCD"/>
    <w:rsid w:val="00F0387F"/>
    <w:rsid w:val="00F122A5"/>
    <w:rsid w:val="00F127CD"/>
    <w:rsid w:val="00F147AC"/>
    <w:rsid w:val="00F20D54"/>
    <w:rsid w:val="00F21863"/>
    <w:rsid w:val="00F34345"/>
    <w:rsid w:val="00F34652"/>
    <w:rsid w:val="00F354D8"/>
    <w:rsid w:val="00F36E21"/>
    <w:rsid w:val="00F42647"/>
    <w:rsid w:val="00F47D4C"/>
    <w:rsid w:val="00F52FA1"/>
    <w:rsid w:val="00F53C6F"/>
    <w:rsid w:val="00F54C55"/>
    <w:rsid w:val="00F57F09"/>
    <w:rsid w:val="00F603DE"/>
    <w:rsid w:val="00F6100D"/>
    <w:rsid w:val="00F63078"/>
    <w:rsid w:val="00F66266"/>
    <w:rsid w:val="00F90287"/>
    <w:rsid w:val="00F935D1"/>
    <w:rsid w:val="00F95048"/>
    <w:rsid w:val="00FA3C02"/>
    <w:rsid w:val="00FB0EBD"/>
    <w:rsid w:val="00FB5724"/>
    <w:rsid w:val="00FC11FD"/>
    <w:rsid w:val="00FC298D"/>
    <w:rsid w:val="00FC2D5C"/>
    <w:rsid w:val="00FC5091"/>
    <w:rsid w:val="00FC639B"/>
    <w:rsid w:val="00FD2554"/>
    <w:rsid w:val="00FD4600"/>
    <w:rsid w:val="00FE1161"/>
    <w:rsid w:val="00FE4BF1"/>
    <w:rsid w:val="00FF1D6C"/>
    <w:rsid w:val="00FF6C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0"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5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708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9708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97085C"/>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97085C"/>
    <w:pPr>
      <w:keepNext/>
      <w:spacing w:before="240" w:after="60"/>
      <w:outlineLvl w:val="3"/>
    </w:pPr>
    <w:rPr>
      <w:b/>
      <w:bCs/>
      <w:sz w:val="28"/>
      <w:szCs w:val="28"/>
    </w:rPr>
  </w:style>
  <w:style w:type="paragraph" w:styleId="Ttulo5">
    <w:name w:val="heading 5"/>
    <w:basedOn w:val="Normal"/>
    <w:next w:val="Normal"/>
    <w:link w:val="Ttulo5Car"/>
    <w:qFormat/>
    <w:rsid w:val="0097085C"/>
    <w:pPr>
      <w:tabs>
        <w:tab w:val="left" w:pos="1080"/>
      </w:tabs>
      <w:overflowPunct w:val="0"/>
      <w:autoSpaceDE w:val="0"/>
      <w:autoSpaceDN w:val="0"/>
      <w:adjustRightInd w:val="0"/>
      <w:spacing w:before="240" w:after="60"/>
      <w:ind w:left="1080" w:hanging="1080"/>
      <w:textAlignment w:val="baseline"/>
      <w:outlineLvl w:val="4"/>
    </w:pPr>
    <w:rPr>
      <w:b/>
      <w:bCs/>
      <w:i/>
      <w:iCs/>
      <w:sz w:val="26"/>
      <w:szCs w:val="26"/>
    </w:rPr>
  </w:style>
  <w:style w:type="paragraph" w:styleId="Ttulo6">
    <w:name w:val="heading 6"/>
    <w:basedOn w:val="Normal"/>
    <w:next w:val="Normal"/>
    <w:link w:val="Ttulo6Car"/>
    <w:qFormat/>
    <w:rsid w:val="0097085C"/>
    <w:pPr>
      <w:tabs>
        <w:tab w:val="left" w:pos="1080"/>
      </w:tabs>
      <w:overflowPunct w:val="0"/>
      <w:autoSpaceDE w:val="0"/>
      <w:autoSpaceDN w:val="0"/>
      <w:adjustRightInd w:val="0"/>
      <w:spacing w:before="240" w:after="60"/>
      <w:ind w:left="1080" w:hanging="1080"/>
      <w:textAlignment w:val="baseline"/>
      <w:outlineLvl w:val="5"/>
    </w:pPr>
    <w:rPr>
      <w:b/>
      <w:bCs/>
      <w:sz w:val="22"/>
      <w:szCs w:val="22"/>
    </w:rPr>
  </w:style>
  <w:style w:type="paragraph" w:styleId="Ttulo7">
    <w:name w:val="heading 7"/>
    <w:basedOn w:val="Normal"/>
    <w:next w:val="Normal"/>
    <w:link w:val="Ttulo7Car"/>
    <w:qFormat/>
    <w:rsid w:val="0097085C"/>
    <w:pPr>
      <w:tabs>
        <w:tab w:val="left" w:pos="1440"/>
      </w:tabs>
      <w:overflowPunct w:val="0"/>
      <w:autoSpaceDE w:val="0"/>
      <w:autoSpaceDN w:val="0"/>
      <w:adjustRightInd w:val="0"/>
      <w:spacing w:before="240" w:after="60"/>
      <w:ind w:left="1440" w:hanging="1440"/>
      <w:textAlignment w:val="baseline"/>
      <w:outlineLvl w:val="6"/>
    </w:pPr>
  </w:style>
  <w:style w:type="paragraph" w:styleId="Ttulo8">
    <w:name w:val="heading 8"/>
    <w:basedOn w:val="Normal"/>
    <w:next w:val="Normal"/>
    <w:link w:val="Ttulo8Car"/>
    <w:qFormat/>
    <w:rsid w:val="0097085C"/>
    <w:pPr>
      <w:keepNext/>
      <w:overflowPunct w:val="0"/>
      <w:autoSpaceDE w:val="0"/>
      <w:autoSpaceDN w:val="0"/>
      <w:adjustRightInd w:val="0"/>
      <w:jc w:val="center"/>
      <w:textAlignment w:val="baseline"/>
      <w:outlineLvl w:val="7"/>
    </w:pPr>
    <w:rPr>
      <w:i/>
      <w:iCs/>
      <w:sz w:val="28"/>
      <w:szCs w:val="28"/>
    </w:rPr>
  </w:style>
  <w:style w:type="paragraph" w:styleId="Ttulo9">
    <w:name w:val="heading 9"/>
    <w:basedOn w:val="Normal"/>
    <w:next w:val="Normal"/>
    <w:link w:val="Ttulo9Car"/>
    <w:unhideWhenUsed/>
    <w:qFormat/>
    <w:rsid w:val="003D253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2">
    <w:name w:val="Cuerpo del texto (2)_"/>
    <w:link w:val="Cuerpodeltexto20"/>
    <w:rsid w:val="00714B3A"/>
    <w:rPr>
      <w:rFonts w:ascii="Times New Roman" w:eastAsia="Times New Roman" w:hAnsi="Times New Roman" w:cs="Times New Roman"/>
      <w:b/>
      <w:bCs/>
      <w:sz w:val="23"/>
      <w:szCs w:val="23"/>
      <w:shd w:val="clear" w:color="auto" w:fill="FFFFFF"/>
    </w:rPr>
  </w:style>
  <w:style w:type="character" w:customStyle="1" w:styleId="Cuerpodeltexto">
    <w:name w:val="Cuerpo del texto_"/>
    <w:link w:val="Cuerpodeltexto0"/>
    <w:rsid w:val="00714B3A"/>
    <w:rPr>
      <w:rFonts w:ascii="Times New Roman" w:eastAsia="Times New Roman" w:hAnsi="Times New Roman" w:cs="Times New Roman"/>
      <w:shd w:val="clear" w:color="auto" w:fill="FFFFFF"/>
    </w:rPr>
  </w:style>
  <w:style w:type="paragraph" w:customStyle="1" w:styleId="Cuerpodeltexto20">
    <w:name w:val="Cuerpo del texto (2)"/>
    <w:basedOn w:val="Normal"/>
    <w:link w:val="Cuerpodeltexto2"/>
    <w:rsid w:val="00714B3A"/>
    <w:pPr>
      <w:widowControl w:val="0"/>
      <w:shd w:val="clear" w:color="auto" w:fill="FFFFFF"/>
      <w:spacing w:after="60" w:line="0" w:lineRule="atLeast"/>
    </w:pPr>
    <w:rPr>
      <w:b/>
      <w:bCs/>
      <w:sz w:val="23"/>
      <w:szCs w:val="23"/>
    </w:rPr>
  </w:style>
  <w:style w:type="paragraph" w:customStyle="1" w:styleId="Cuerpodeltexto0">
    <w:name w:val="Cuerpo del texto"/>
    <w:basedOn w:val="Normal"/>
    <w:link w:val="Cuerpodeltexto"/>
    <w:rsid w:val="00714B3A"/>
    <w:pPr>
      <w:widowControl w:val="0"/>
      <w:shd w:val="clear" w:color="auto" w:fill="FFFFFF"/>
      <w:spacing w:before="60" w:after="600" w:line="0" w:lineRule="atLeast"/>
      <w:ind w:hanging="360"/>
    </w:pPr>
  </w:style>
  <w:style w:type="character" w:customStyle="1" w:styleId="Ttulo10">
    <w:name w:val="Título #1_"/>
    <w:link w:val="Ttulo11"/>
    <w:rsid w:val="00714B3A"/>
    <w:rPr>
      <w:rFonts w:ascii="Times New Roman" w:eastAsia="Times New Roman" w:hAnsi="Times New Roman" w:cs="Times New Roman"/>
      <w:b/>
      <w:bCs/>
      <w:sz w:val="23"/>
      <w:szCs w:val="23"/>
      <w:shd w:val="clear" w:color="auto" w:fill="FFFFFF"/>
    </w:rPr>
  </w:style>
  <w:style w:type="paragraph" w:customStyle="1" w:styleId="Ttulo11">
    <w:name w:val="Título #1"/>
    <w:basedOn w:val="Normal"/>
    <w:link w:val="Ttulo10"/>
    <w:rsid w:val="00714B3A"/>
    <w:pPr>
      <w:widowControl w:val="0"/>
      <w:shd w:val="clear" w:color="auto" w:fill="FFFFFF"/>
      <w:spacing w:before="240" w:after="300" w:line="0" w:lineRule="atLeast"/>
      <w:outlineLvl w:val="0"/>
    </w:pPr>
    <w:rPr>
      <w:b/>
      <w:bCs/>
      <w:sz w:val="23"/>
      <w:szCs w:val="23"/>
    </w:rPr>
  </w:style>
  <w:style w:type="paragraph" w:styleId="Prrafodelista">
    <w:name w:val="List Paragraph"/>
    <w:basedOn w:val="Normal"/>
    <w:uiPriority w:val="99"/>
    <w:qFormat/>
    <w:rsid w:val="00D3377D"/>
    <w:pPr>
      <w:ind w:left="720"/>
      <w:contextualSpacing/>
    </w:pPr>
  </w:style>
  <w:style w:type="paragraph" w:styleId="Sinespaciado">
    <w:name w:val="No Spacing"/>
    <w:link w:val="SinespaciadoCar"/>
    <w:uiPriority w:val="1"/>
    <w:qFormat/>
    <w:rsid w:val="007B5D6E"/>
    <w:pPr>
      <w:spacing w:after="0" w:line="240" w:lineRule="auto"/>
    </w:pPr>
  </w:style>
  <w:style w:type="character" w:customStyle="1" w:styleId="Ttulo4Car">
    <w:name w:val="Título 4 Car"/>
    <w:basedOn w:val="Fuentedeprrafopredeter"/>
    <w:link w:val="Ttulo4"/>
    <w:uiPriority w:val="99"/>
    <w:rsid w:val="0097085C"/>
    <w:rPr>
      <w:rFonts w:ascii="Times New Roman" w:eastAsia="Times New Roman" w:hAnsi="Times New Roman" w:cs="Times New Roman"/>
      <w:b/>
      <w:bCs/>
      <w:sz w:val="28"/>
      <w:szCs w:val="28"/>
      <w:lang w:eastAsia="es-ES"/>
    </w:rPr>
  </w:style>
  <w:style w:type="paragraph" w:styleId="Textoindependiente">
    <w:name w:val="Body Text"/>
    <w:basedOn w:val="Normal"/>
    <w:link w:val="TextoindependienteCar"/>
    <w:uiPriority w:val="99"/>
    <w:rsid w:val="0097085C"/>
    <w:pPr>
      <w:jc w:val="both"/>
    </w:pPr>
    <w:rPr>
      <w:sz w:val="28"/>
    </w:rPr>
  </w:style>
  <w:style w:type="character" w:customStyle="1" w:styleId="TextoindependienteCar">
    <w:name w:val="Texto independiente Car"/>
    <w:basedOn w:val="Fuentedeprrafopredeter"/>
    <w:link w:val="Textoindependiente"/>
    <w:uiPriority w:val="99"/>
    <w:rsid w:val="0097085C"/>
    <w:rPr>
      <w:rFonts w:ascii="Times New Roman" w:eastAsia="Times New Roman" w:hAnsi="Times New Roman" w:cs="Times New Roman"/>
      <w:sz w:val="28"/>
      <w:szCs w:val="24"/>
      <w:lang w:eastAsia="es-ES"/>
    </w:rPr>
  </w:style>
  <w:style w:type="character" w:customStyle="1" w:styleId="Ttulo1Car">
    <w:name w:val="Título 1 Car"/>
    <w:basedOn w:val="Fuentedeprrafopredeter"/>
    <w:link w:val="Ttulo1"/>
    <w:uiPriority w:val="99"/>
    <w:rsid w:val="0097085C"/>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9"/>
    <w:rsid w:val="0097085C"/>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9"/>
    <w:rsid w:val="0097085C"/>
    <w:rPr>
      <w:rFonts w:asciiTheme="majorHAnsi" w:eastAsiaTheme="majorEastAsia" w:hAnsiTheme="majorHAnsi" w:cstheme="majorBidi"/>
      <w:color w:val="1F4D78" w:themeColor="accent1" w:themeShade="7F"/>
      <w:sz w:val="24"/>
      <w:szCs w:val="24"/>
      <w:lang w:eastAsia="es-ES"/>
    </w:rPr>
  </w:style>
  <w:style w:type="paragraph" w:styleId="Sangradetextonormal">
    <w:name w:val="Body Text Indent"/>
    <w:basedOn w:val="Normal"/>
    <w:link w:val="SangradetextonormalCar"/>
    <w:unhideWhenUsed/>
    <w:rsid w:val="0097085C"/>
    <w:pPr>
      <w:spacing w:after="120"/>
      <w:ind w:left="283"/>
    </w:pPr>
  </w:style>
  <w:style w:type="character" w:customStyle="1" w:styleId="SangradetextonormalCar">
    <w:name w:val="Sangría de texto normal Car"/>
    <w:basedOn w:val="Fuentedeprrafopredeter"/>
    <w:link w:val="Sangradetextonormal"/>
    <w:uiPriority w:val="99"/>
    <w:semiHidden/>
    <w:rsid w:val="0097085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97085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7085C"/>
    <w:rPr>
      <w:rFonts w:ascii="Times New Roman" w:eastAsia="Times New Roman" w:hAnsi="Times New Roman" w:cs="Times New Roman"/>
      <w:sz w:val="16"/>
      <w:szCs w:val="16"/>
      <w:lang w:eastAsia="es-ES"/>
    </w:rPr>
  </w:style>
  <w:style w:type="paragraph" w:styleId="Textoindependiente2">
    <w:name w:val="Body Text 2"/>
    <w:basedOn w:val="Normal"/>
    <w:link w:val="Textoindependiente2Car"/>
    <w:uiPriority w:val="99"/>
    <w:unhideWhenUsed/>
    <w:rsid w:val="0097085C"/>
    <w:pPr>
      <w:spacing w:after="120" w:line="480" w:lineRule="auto"/>
    </w:pPr>
  </w:style>
  <w:style w:type="character" w:customStyle="1" w:styleId="Textoindependiente2Car">
    <w:name w:val="Texto independiente 2 Car"/>
    <w:basedOn w:val="Fuentedeprrafopredeter"/>
    <w:link w:val="Textoindependiente2"/>
    <w:uiPriority w:val="99"/>
    <w:semiHidden/>
    <w:rsid w:val="0097085C"/>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9"/>
    <w:rsid w:val="0097085C"/>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uiPriority w:val="99"/>
    <w:rsid w:val="0097085C"/>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9"/>
    <w:rsid w:val="0097085C"/>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9"/>
    <w:rsid w:val="0097085C"/>
    <w:rPr>
      <w:rFonts w:ascii="Times New Roman" w:eastAsia="Times New Roman" w:hAnsi="Times New Roman" w:cs="Times New Roman"/>
      <w:i/>
      <w:iCs/>
      <w:sz w:val="28"/>
      <w:szCs w:val="28"/>
      <w:lang w:eastAsia="es-ES"/>
    </w:rPr>
  </w:style>
  <w:style w:type="numbering" w:customStyle="1" w:styleId="Sinlista1">
    <w:name w:val="Sin lista1"/>
    <w:next w:val="Sinlista"/>
    <w:uiPriority w:val="99"/>
    <w:semiHidden/>
    <w:unhideWhenUsed/>
    <w:rsid w:val="0097085C"/>
  </w:style>
  <w:style w:type="paragraph" w:styleId="Listaconvietas">
    <w:name w:val="List Bullet"/>
    <w:basedOn w:val="Normal"/>
    <w:autoRedefine/>
    <w:uiPriority w:val="99"/>
    <w:rsid w:val="0097085C"/>
    <w:pPr>
      <w:tabs>
        <w:tab w:val="left" w:pos="360"/>
      </w:tabs>
      <w:overflowPunct w:val="0"/>
      <w:autoSpaceDE w:val="0"/>
      <w:autoSpaceDN w:val="0"/>
      <w:adjustRightInd w:val="0"/>
      <w:ind w:left="360" w:hanging="360"/>
      <w:textAlignment w:val="baseline"/>
    </w:pPr>
    <w:rPr>
      <w:lang w:val="es-CO"/>
    </w:rPr>
  </w:style>
  <w:style w:type="paragraph" w:styleId="NormalWeb">
    <w:name w:val="Normal (Web)"/>
    <w:basedOn w:val="Normal"/>
    <w:link w:val="NormalWebCar"/>
    <w:rsid w:val="0097085C"/>
    <w:pPr>
      <w:overflowPunct w:val="0"/>
      <w:autoSpaceDE w:val="0"/>
      <w:autoSpaceDN w:val="0"/>
      <w:adjustRightInd w:val="0"/>
      <w:spacing w:before="100" w:after="100"/>
      <w:textAlignment w:val="baseline"/>
    </w:pPr>
  </w:style>
  <w:style w:type="character" w:styleId="Textoennegrita">
    <w:name w:val="Strong"/>
    <w:basedOn w:val="Fuentedeprrafopredeter"/>
    <w:uiPriority w:val="99"/>
    <w:qFormat/>
    <w:rsid w:val="0097085C"/>
    <w:rPr>
      <w:rFonts w:cs="Times New Roman"/>
      <w:b/>
      <w:bCs/>
    </w:rPr>
  </w:style>
  <w:style w:type="paragraph" w:styleId="Encabezado">
    <w:name w:val="header"/>
    <w:basedOn w:val="Normal"/>
    <w:link w:val="EncabezadoCar"/>
    <w:rsid w:val="0097085C"/>
    <w:pPr>
      <w:tabs>
        <w:tab w:val="center" w:pos="4252"/>
        <w:tab w:val="right" w:pos="8504"/>
      </w:tabs>
      <w:overflowPunct w:val="0"/>
      <w:autoSpaceDE w:val="0"/>
      <w:autoSpaceDN w:val="0"/>
      <w:adjustRightInd w:val="0"/>
      <w:textAlignment w:val="baseline"/>
    </w:pPr>
    <w:rPr>
      <w:lang w:val="es-ES_tradnl"/>
    </w:rPr>
  </w:style>
  <w:style w:type="character" w:customStyle="1" w:styleId="EncabezadoCar">
    <w:name w:val="Encabezado Car"/>
    <w:basedOn w:val="Fuentedeprrafopredeter"/>
    <w:link w:val="Encabezado"/>
    <w:uiPriority w:val="99"/>
    <w:rsid w:val="0097085C"/>
    <w:rPr>
      <w:rFonts w:ascii="Times New Roman" w:eastAsia="Times New Roman" w:hAnsi="Times New Roman" w:cs="Times New Roman"/>
      <w:sz w:val="24"/>
      <w:szCs w:val="24"/>
      <w:lang w:val="es-ES_tradnl" w:eastAsia="es-ES"/>
    </w:rPr>
  </w:style>
  <w:style w:type="character" w:styleId="Nmerodepgina">
    <w:name w:val="page number"/>
    <w:basedOn w:val="Fuentedeprrafopredeter"/>
    <w:rsid w:val="0097085C"/>
    <w:rPr>
      <w:rFonts w:cs="Times New Roman"/>
    </w:rPr>
  </w:style>
  <w:style w:type="character" w:styleId="Hipervnculo">
    <w:name w:val="Hyperlink"/>
    <w:basedOn w:val="Fuentedeprrafopredeter"/>
    <w:rsid w:val="0097085C"/>
    <w:rPr>
      <w:rFonts w:cs="Times New Roman"/>
      <w:color w:val="0000FF"/>
      <w:u w:val="single"/>
    </w:rPr>
  </w:style>
  <w:style w:type="paragraph" w:styleId="Textodebloque">
    <w:name w:val="Block Text"/>
    <w:basedOn w:val="Normal"/>
    <w:rsid w:val="0097085C"/>
    <w:pPr>
      <w:overflowPunct w:val="0"/>
      <w:autoSpaceDE w:val="0"/>
      <w:autoSpaceDN w:val="0"/>
      <w:adjustRightInd w:val="0"/>
      <w:ind w:left="567" w:right="612"/>
      <w:jc w:val="both"/>
      <w:textAlignment w:val="baseline"/>
    </w:pPr>
    <w:rPr>
      <w:sz w:val="26"/>
      <w:szCs w:val="26"/>
      <w:lang w:val="en-US"/>
    </w:rPr>
  </w:style>
  <w:style w:type="paragraph" w:styleId="Textonotapie">
    <w:name w:val="footnote text"/>
    <w:aliases w:val="Texto nota pie Car Car,Footnote Text Char Char Char Char Char Car,Footnote Text Char Char Char Char Car,Footnote reference Car,FA Fu Car,texto de nota al pie Car,Footnote Text Char Char Char Car,Footnote Text Char Car,Ref. de nota al pie1"/>
    <w:basedOn w:val="Normal"/>
    <w:link w:val="TextonotapieCar1"/>
    <w:uiPriority w:val="99"/>
    <w:qFormat/>
    <w:rsid w:val="0097085C"/>
    <w:pPr>
      <w:overflowPunct w:val="0"/>
      <w:autoSpaceDE w:val="0"/>
      <w:autoSpaceDN w:val="0"/>
      <w:adjustRightInd w:val="0"/>
      <w:textAlignment w:val="baseline"/>
    </w:pPr>
    <w:rPr>
      <w:sz w:val="20"/>
      <w:szCs w:val="20"/>
      <w:lang w:val="es-MX"/>
    </w:rPr>
  </w:style>
  <w:style w:type="character" w:customStyle="1" w:styleId="TextonotapieCar">
    <w:name w:val="Texto nota pie Car"/>
    <w:aliases w:val="Texto nota pie Car1 Car,Texto nota pie Car Car Car,Footnote Text Char Char Char Char Char Car Car,Footnote Text Char Char Char Char Car Car,Footnote reference Car Car,FA Fu Car Car,texto de nota al pie Car Car,Car2 Car,BVI fnr Car"/>
    <w:basedOn w:val="Fuentedeprrafopredeter"/>
    <w:semiHidden/>
    <w:rsid w:val="0097085C"/>
    <w:rPr>
      <w:rFonts w:ascii="Times New Roman" w:eastAsia="Times New Roman" w:hAnsi="Times New Roman" w:cs="Times New Roman"/>
      <w:sz w:val="20"/>
      <w:szCs w:val="20"/>
      <w:lang w:eastAsia="es-ES"/>
    </w:rPr>
  </w:style>
  <w:style w:type="character" w:customStyle="1" w:styleId="TextonotapieCar1">
    <w:name w:val="Texto nota pie Car1"/>
    <w:aliases w:val="Texto nota pie Car Car Car1,Footnote Text Char Char Char Char Char Car Car1,Footnote Text Char Char Char Char Car Car1,Footnote reference Car Car1,FA Fu Car Car1,texto de nota al pie Car Car1,Footnote Text Char Char Char Car Car"/>
    <w:basedOn w:val="Fuentedeprrafopredeter"/>
    <w:link w:val="Textonotapie"/>
    <w:uiPriority w:val="99"/>
    <w:locked/>
    <w:rsid w:val="0097085C"/>
    <w:rPr>
      <w:rFonts w:ascii="Times New Roman" w:eastAsia="Times New Roman" w:hAnsi="Times New Roman" w:cs="Times New Roman"/>
      <w:sz w:val="20"/>
      <w:szCs w:val="20"/>
      <w:lang w:val="es-MX" w:eastAsia="es-ES"/>
    </w:rPr>
  </w:style>
  <w:style w:type="character" w:styleId="Refdenotaalpie">
    <w:name w:val="footnote reference"/>
    <w:aliases w:val="referencia nota al pie,Texto de nota al pie,Appel note de bas de page,BVI fnr,Footnote symbol,Footnote,Ref. de nota al pie2,Nota de pie,Ref,de nota al pie,Pie de pagina,Ref. ...,Ref1,FC,Footnotes refss,Ref. de nota al pie 2,f,4_G,F,4"/>
    <w:basedOn w:val="Fuentedeprrafopredeter"/>
    <w:link w:val="4GChar"/>
    <w:uiPriority w:val="99"/>
    <w:qFormat/>
    <w:rsid w:val="0097085C"/>
    <w:rPr>
      <w:rFonts w:cs="Times New Roman"/>
      <w:vertAlign w:val="superscript"/>
    </w:rPr>
  </w:style>
  <w:style w:type="paragraph" w:styleId="Piedepgina">
    <w:name w:val="footer"/>
    <w:basedOn w:val="Normal"/>
    <w:link w:val="PiedepginaCar"/>
    <w:rsid w:val="0097085C"/>
    <w:pPr>
      <w:tabs>
        <w:tab w:val="center" w:pos="4252"/>
        <w:tab w:val="right" w:pos="8504"/>
      </w:tabs>
      <w:overflowPunct w:val="0"/>
      <w:autoSpaceDE w:val="0"/>
      <w:autoSpaceDN w:val="0"/>
      <w:adjustRightInd w:val="0"/>
      <w:textAlignment w:val="baseline"/>
    </w:pPr>
    <w:rPr>
      <w:sz w:val="22"/>
      <w:szCs w:val="22"/>
    </w:rPr>
  </w:style>
  <w:style w:type="character" w:customStyle="1" w:styleId="PiedepginaCar">
    <w:name w:val="Pie de página Car"/>
    <w:basedOn w:val="Fuentedeprrafopredeter"/>
    <w:link w:val="Piedepgina"/>
    <w:rsid w:val="0097085C"/>
    <w:rPr>
      <w:rFonts w:ascii="Times New Roman" w:eastAsia="Times New Roman" w:hAnsi="Times New Roman" w:cs="Times New Roman"/>
      <w:lang w:eastAsia="es-ES"/>
    </w:rPr>
  </w:style>
  <w:style w:type="paragraph" w:styleId="Mapadeldocumento">
    <w:name w:val="Document Map"/>
    <w:basedOn w:val="Normal"/>
    <w:link w:val="MapadeldocumentoCar"/>
    <w:uiPriority w:val="99"/>
    <w:semiHidden/>
    <w:rsid w:val="0097085C"/>
    <w:pPr>
      <w:shd w:val="clear" w:color="auto" w:fill="000080"/>
      <w:overflowPunct w:val="0"/>
      <w:autoSpaceDE w:val="0"/>
      <w:autoSpaceDN w:val="0"/>
      <w:adjustRightInd w:val="0"/>
      <w:textAlignment w:val="baseline"/>
    </w:pPr>
    <w:rPr>
      <w:rFonts w:ascii="Tahoma" w:hAnsi="Tahoma" w:cs="Tahoma"/>
      <w:sz w:val="22"/>
      <w:szCs w:val="22"/>
    </w:rPr>
  </w:style>
  <w:style w:type="character" w:customStyle="1" w:styleId="MapadeldocumentoCar">
    <w:name w:val="Mapa del documento Car"/>
    <w:basedOn w:val="Fuentedeprrafopredeter"/>
    <w:link w:val="Mapadeldocumento"/>
    <w:uiPriority w:val="99"/>
    <w:semiHidden/>
    <w:rsid w:val="0097085C"/>
    <w:rPr>
      <w:rFonts w:ascii="Tahoma" w:eastAsia="Times New Roman" w:hAnsi="Tahoma" w:cs="Tahoma"/>
      <w:shd w:val="clear" w:color="auto" w:fill="000080"/>
      <w:lang w:eastAsia="es-ES"/>
    </w:rPr>
  </w:style>
  <w:style w:type="character" w:customStyle="1" w:styleId="caseheadline1">
    <w:name w:val="caseheadline1"/>
    <w:basedOn w:val="Fuentedeprrafopredeter"/>
    <w:uiPriority w:val="99"/>
    <w:rsid w:val="0097085C"/>
    <w:rPr>
      <w:rFonts w:ascii="Arial" w:hAnsi="Arial" w:cs="Arial"/>
      <w:b/>
      <w:bCs/>
      <w:color w:val="000000"/>
      <w:sz w:val="20"/>
      <w:szCs w:val="20"/>
    </w:rPr>
  </w:style>
  <w:style w:type="character" w:customStyle="1" w:styleId="bodycopy1">
    <w:name w:val="bodycopy1"/>
    <w:basedOn w:val="Fuentedeprrafopredeter"/>
    <w:uiPriority w:val="99"/>
    <w:rsid w:val="0097085C"/>
    <w:rPr>
      <w:rFonts w:ascii="Verdana" w:hAnsi="Verdana" w:cs="Verdana"/>
      <w:color w:val="000000"/>
      <w:sz w:val="15"/>
      <w:szCs w:val="15"/>
    </w:rPr>
  </w:style>
  <w:style w:type="paragraph" w:styleId="Textodeglobo">
    <w:name w:val="Balloon Text"/>
    <w:basedOn w:val="Normal"/>
    <w:link w:val="TextodegloboCar"/>
    <w:uiPriority w:val="99"/>
    <w:rsid w:val="0097085C"/>
    <w:pPr>
      <w:overflowPunct w:val="0"/>
      <w:autoSpaceDE w:val="0"/>
      <w:autoSpaceDN w:val="0"/>
      <w:adjustRightInd w:val="0"/>
      <w:textAlignment w:val="baseline"/>
    </w:pPr>
    <w:rPr>
      <w:rFonts w:ascii="Tahoma" w:hAnsi="Tahoma" w:cs="Tahoma"/>
      <w:sz w:val="16"/>
      <w:szCs w:val="16"/>
    </w:rPr>
  </w:style>
  <w:style w:type="character" w:customStyle="1" w:styleId="TextodegloboCar">
    <w:name w:val="Texto de globo Car"/>
    <w:basedOn w:val="Fuentedeprrafopredeter"/>
    <w:link w:val="Textodeglobo"/>
    <w:uiPriority w:val="99"/>
    <w:rsid w:val="0097085C"/>
    <w:rPr>
      <w:rFonts w:ascii="Tahoma" w:eastAsia="Times New Roman" w:hAnsi="Tahoma" w:cs="Tahoma"/>
      <w:sz w:val="16"/>
      <w:szCs w:val="16"/>
      <w:lang w:eastAsia="es-ES"/>
    </w:rPr>
  </w:style>
  <w:style w:type="paragraph" w:styleId="Ttulo">
    <w:name w:val="Title"/>
    <w:basedOn w:val="Normal"/>
    <w:link w:val="TtuloCar"/>
    <w:qFormat/>
    <w:rsid w:val="0097085C"/>
    <w:pPr>
      <w:overflowPunct w:val="0"/>
      <w:autoSpaceDE w:val="0"/>
      <w:autoSpaceDN w:val="0"/>
      <w:adjustRightInd w:val="0"/>
      <w:jc w:val="center"/>
      <w:textAlignment w:val="baseline"/>
    </w:pPr>
    <w:rPr>
      <w:b/>
      <w:bCs/>
      <w:sz w:val="28"/>
      <w:szCs w:val="28"/>
    </w:rPr>
  </w:style>
  <w:style w:type="character" w:customStyle="1" w:styleId="TtuloCar">
    <w:name w:val="Título Car"/>
    <w:basedOn w:val="Fuentedeprrafopredeter"/>
    <w:link w:val="Ttulo"/>
    <w:rsid w:val="0097085C"/>
    <w:rPr>
      <w:rFonts w:ascii="Times New Roman" w:eastAsia="Times New Roman" w:hAnsi="Times New Roman" w:cs="Times New Roman"/>
      <w:b/>
      <w:bCs/>
      <w:sz w:val="28"/>
      <w:szCs w:val="28"/>
      <w:lang w:eastAsia="es-ES"/>
    </w:rPr>
  </w:style>
  <w:style w:type="character" w:styleId="Hipervnculovisitado">
    <w:name w:val="FollowedHyperlink"/>
    <w:basedOn w:val="Fuentedeprrafopredeter"/>
    <w:uiPriority w:val="99"/>
    <w:rsid w:val="0097085C"/>
    <w:rPr>
      <w:rFonts w:cs="Times New Roman"/>
      <w:color w:val="800080"/>
      <w:u w:val="single"/>
    </w:rPr>
  </w:style>
  <w:style w:type="paragraph" w:styleId="Sangra3detindependiente">
    <w:name w:val="Body Text Indent 3"/>
    <w:basedOn w:val="Normal"/>
    <w:link w:val="Sangra3detindependienteCar"/>
    <w:unhideWhenUsed/>
    <w:rsid w:val="007257A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257A3"/>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unhideWhenUsed/>
    <w:rsid w:val="007257A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7257A3"/>
    <w:rPr>
      <w:rFonts w:ascii="Times New Roman" w:eastAsia="Times New Roman" w:hAnsi="Times New Roman" w:cs="Times New Roman"/>
      <w:sz w:val="24"/>
      <w:szCs w:val="24"/>
      <w:lang w:eastAsia="es-ES"/>
    </w:rPr>
  </w:style>
  <w:style w:type="paragraph" w:customStyle="1" w:styleId="CarCar3Car">
    <w:name w:val="Car Car3 Car"/>
    <w:basedOn w:val="Normal"/>
    <w:uiPriority w:val="99"/>
    <w:rsid w:val="007213BD"/>
    <w:pPr>
      <w:spacing w:after="160" w:line="240" w:lineRule="exact"/>
    </w:pPr>
    <w:rPr>
      <w:rFonts w:eastAsia="Batang"/>
      <w:noProof/>
      <w:color w:val="000000"/>
      <w:sz w:val="20"/>
      <w:szCs w:val="20"/>
      <w:lang w:val="es-CO"/>
    </w:rPr>
  </w:style>
  <w:style w:type="character" w:customStyle="1" w:styleId="textonavy1">
    <w:name w:val="texto_navy1"/>
    <w:rsid w:val="007213BD"/>
    <w:rPr>
      <w:color w:val="000080"/>
    </w:rPr>
  </w:style>
  <w:style w:type="character" w:customStyle="1" w:styleId="Ttulo9Car">
    <w:name w:val="Título 9 Car"/>
    <w:basedOn w:val="Fuentedeprrafopredeter"/>
    <w:link w:val="Ttulo9"/>
    <w:uiPriority w:val="9"/>
    <w:semiHidden/>
    <w:rsid w:val="003D2535"/>
    <w:rPr>
      <w:rFonts w:asciiTheme="majorHAnsi" w:eastAsiaTheme="majorEastAsia" w:hAnsiTheme="majorHAnsi" w:cstheme="majorBidi"/>
      <w:i/>
      <w:iCs/>
      <w:color w:val="272727" w:themeColor="text1" w:themeTint="D8"/>
      <w:sz w:val="21"/>
      <w:szCs w:val="21"/>
      <w:lang w:eastAsia="es-ES"/>
    </w:rPr>
  </w:style>
  <w:style w:type="paragraph" w:customStyle="1" w:styleId="Textoindependiente21">
    <w:name w:val="Texto independiente 21"/>
    <w:basedOn w:val="Normal"/>
    <w:rsid w:val="003D2535"/>
    <w:pPr>
      <w:overflowPunct w:val="0"/>
      <w:autoSpaceDE w:val="0"/>
      <w:autoSpaceDN w:val="0"/>
      <w:adjustRightInd w:val="0"/>
      <w:spacing w:line="360" w:lineRule="auto"/>
      <w:ind w:firstLine="708"/>
      <w:jc w:val="both"/>
      <w:textAlignment w:val="baseline"/>
    </w:pPr>
    <w:rPr>
      <w:rFonts w:ascii="Arial" w:hAnsi="Arial"/>
      <w:spacing w:val="-3"/>
      <w:sz w:val="26"/>
      <w:szCs w:val="20"/>
      <w:lang w:val="es-ES_tradnl"/>
    </w:rPr>
  </w:style>
  <w:style w:type="paragraph" w:styleId="Epgrafe">
    <w:name w:val="caption"/>
    <w:basedOn w:val="Normal"/>
    <w:next w:val="Normal"/>
    <w:qFormat/>
    <w:rsid w:val="003D2535"/>
    <w:pPr>
      <w:overflowPunct w:val="0"/>
      <w:autoSpaceDE w:val="0"/>
      <w:autoSpaceDN w:val="0"/>
      <w:adjustRightInd w:val="0"/>
      <w:ind w:left="-851"/>
      <w:textAlignment w:val="baseline"/>
    </w:pPr>
    <w:rPr>
      <w:rFonts w:ascii="Arial" w:hAnsi="Arial"/>
      <w:b/>
      <w:sz w:val="18"/>
      <w:szCs w:val="20"/>
      <w:lang w:val="es-ES_tradnl"/>
    </w:rPr>
  </w:style>
  <w:style w:type="character" w:customStyle="1" w:styleId="CuerpodeltextoArial">
    <w:name w:val="Cuerpo del texto + Arial"/>
    <w:aliases w:val="11,5 pto,Negrita,Espaciado 0 pto"/>
    <w:rsid w:val="00931777"/>
    <w:rPr>
      <w:rFonts w:ascii="Arial" w:eastAsia="Arial" w:hAnsi="Arial" w:cs="Arial"/>
      <w:b/>
      <w:bCs/>
      <w:i w:val="0"/>
      <w:iCs w:val="0"/>
      <w:smallCaps w:val="0"/>
      <w:strike w:val="0"/>
      <w:color w:val="000000"/>
      <w:spacing w:val="0"/>
      <w:w w:val="100"/>
      <w:position w:val="0"/>
      <w:sz w:val="23"/>
      <w:szCs w:val="23"/>
      <w:u w:val="none"/>
      <w:lang w:val="es-ES"/>
    </w:rPr>
  </w:style>
  <w:style w:type="character" w:customStyle="1" w:styleId="CuerpodeltextoCandara">
    <w:name w:val="Cuerpo del texto + Candara"/>
    <w:aliases w:val="12 pto,Cursiva,Espaciado -1 pto"/>
    <w:rsid w:val="00931777"/>
    <w:rPr>
      <w:rFonts w:ascii="Candara" w:eastAsia="Candara" w:hAnsi="Candara" w:cs="Candara"/>
      <w:b w:val="0"/>
      <w:bCs w:val="0"/>
      <w:i/>
      <w:iCs/>
      <w:smallCaps w:val="0"/>
      <w:strike w:val="0"/>
      <w:color w:val="000000"/>
      <w:spacing w:val="-20"/>
      <w:w w:val="100"/>
      <w:position w:val="0"/>
      <w:sz w:val="24"/>
      <w:szCs w:val="24"/>
      <w:u w:val="none"/>
      <w:lang w:val="es-ES"/>
    </w:rPr>
  </w:style>
  <w:style w:type="paragraph" w:customStyle="1" w:styleId="Car21">
    <w:name w:val="Car21"/>
    <w:basedOn w:val="Normal"/>
    <w:uiPriority w:val="99"/>
    <w:rsid w:val="004A5AA2"/>
    <w:pPr>
      <w:spacing w:after="160" w:line="240" w:lineRule="exact"/>
    </w:pPr>
    <w:rPr>
      <w:noProof/>
      <w:color w:val="000000"/>
      <w:sz w:val="20"/>
      <w:szCs w:val="20"/>
      <w:lang w:val="es-CO"/>
    </w:rPr>
  </w:style>
  <w:style w:type="paragraph" w:customStyle="1" w:styleId="Style2">
    <w:name w:val="Style2"/>
    <w:basedOn w:val="Normal"/>
    <w:uiPriority w:val="99"/>
    <w:rsid w:val="00F36E21"/>
    <w:pPr>
      <w:widowControl w:val="0"/>
      <w:autoSpaceDE w:val="0"/>
      <w:autoSpaceDN w:val="0"/>
      <w:adjustRightInd w:val="0"/>
      <w:spacing w:line="275" w:lineRule="exact"/>
      <w:jc w:val="both"/>
    </w:pPr>
    <w:rPr>
      <w:rFonts w:ascii="Tahoma" w:eastAsiaTheme="minorEastAsia" w:hAnsi="Tahoma" w:cs="Tahoma"/>
    </w:rPr>
  </w:style>
  <w:style w:type="paragraph" w:customStyle="1" w:styleId="Style11">
    <w:name w:val="Style11"/>
    <w:basedOn w:val="Normal"/>
    <w:uiPriority w:val="99"/>
    <w:rsid w:val="00F36E21"/>
    <w:pPr>
      <w:widowControl w:val="0"/>
      <w:autoSpaceDE w:val="0"/>
      <w:autoSpaceDN w:val="0"/>
      <w:adjustRightInd w:val="0"/>
      <w:jc w:val="both"/>
    </w:pPr>
    <w:rPr>
      <w:rFonts w:ascii="Tahoma" w:eastAsiaTheme="minorEastAsia" w:hAnsi="Tahoma" w:cs="Tahoma"/>
    </w:rPr>
  </w:style>
  <w:style w:type="character" w:customStyle="1" w:styleId="FontStyle22">
    <w:name w:val="Font Style22"/>
    <w:basedOn w:val="Fuentedeprrafopredeter"/>
    <w:uiPriority w:val="99"/>
    <w:rsid w:val="00F36E21"/>
    <w:rPr>
      <w:rFonts w:ascii="Arial" w:hAnsi="Arial" w:cs="Arial"/>
      <w:color w:val="000000"/>
      <w:sz w:val="24"/>
      <w:szCs w:val="24"/>
    </w:rPr>
  </w:style>
  <w:style w:type="character" w:customStyle="1" w:styleId="FontStyle25">
    <w:name w:val="Font Style25"/>
    <w:basedOn w:val="Fuentedeprrafopredeter"/>
    <w:uiPriority w:val="99"/>
    <w:rsid w:val="00F36E21"/>
    <w:rPr>
      <w:rFonts w:ascii="Arial" w:hAnsi="Arial" w:cs="Arial"/>
      <w:b/>
      <w:bCs/>
      <w:color w:val="000000"/>
      <w:sz w:val="24"/>
      <w:szCs w:val="24"/>
    </w:rPr>
  </w:style>
  <w:style w:type="character" w:customStyle="1" w:styleId="NormalWebCar">
    <w:name w:val="Normal (Web) Car"/>
    <w:link w:val="NormalWeb"/>
    <w:locked/>
    <w:rsid w:val="001B6695"/>
    <w:rPr>
      <w:rFonts w:ascii="Times New Roman" w:eastAsia="Times New Roman" w:hAnsi="Times New Roman" w:cs="Times New Roman"/>
      <w:sz w:val="24"/>
      <w:szCs w:val="24"/>
      <w:lang w:eastAsia="es-ES"/>
    </w:rPr>
  </w:style>
  <w:style w:type="character" w:customStyle="1" w:styleId="Numeracinttulo">
    <w:name w:val="Numeración título"/>
    <w:rsid w:val="005758CF"/>
    <w:rPr>
      <w:rFonts w:ascii="Tahoma" w:hAnsi="Tahoma" w:cs="Tahoma"/>
      <w:b/>
      <w:bCs/>
      <w:sz w:val="24"/>
      <w:szCs w:val="24"/>
    </w:rPr>
  </w:style>
  <w:style w:type="paragraph" w:customStyle="1" w:styleId="Sangradetindependiente">
    <w:name w:val="SangrÌa de t. independiente"/>
    <w:basedOn w:val="Normal"/>
    <w:rsid w:val="005758CF"/>
    <w:pPr>
      <w:spacing w:line="360" w:lineRule="atLeast"/>
      <w:jc w:val="both"/>
    </w:pPr>
    <w:rPr>
      <w:rFonts w:ascii="Arial" w:hAnsi="Arial"/>
      <w:szCs w:val="2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F127CD"/>
    <w:pPr>
      <w:jc w:val="both"/>
    </w:pPr>
    <w:rPr>
      <w:rFonts w:asciiTheme="minorHAnsi" w:eastAsiaTheme="minorHAnsi" w:hAnsiTheme="minorHAnsi"/>
      <w:sz w:val="22"/>
      <w:szCs w:val="22"/>
      <w:vertAlign w:val="superscript"/>
      <w:lang w:eastAsia="en-US"/>
    </w:rPr>
  </w:style>
  <w:style w:type="character" w:customStyle="1" w:styleId="SinespaciadoCar">
    <w:name w:val="Sin espaciado Car"/>
    <w:link w:val="Sinespaciado"/>
    <w:uiPriority w:val="1"/>
    <w:locked/>
    <w:rsid w:val="00E54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0"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5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708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9708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97085C"/>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97085C"/>
    <w:pPr>
      <w:keepNext/>
      <w:spacing w:before="240" w:after="60"/>
      <w:outlineLvl w:val="3"/>
    </w:pPr>
    <w:rPr>
      <w:b/>
      <w:bCs/>
      <w:sz w:val="28"/>
      <w:szCs w:val="28"/>
    </w:rPr>
  </w:style>
  <w:style w:type="paragraph" w:styleId="Ttulo5">
    <w:name w:val="heading 5"/>
    <w:basedOn w:val="Normal"/>
    <w:next w:val="Normal"/>
    <w:link w:val="Ttulo5Car"/>
    <w:qFormat/>
    <w:rsid w:val="0097085C"/>
    <w:pPr>
      <w:tabs>
        <w:tab w:val="left" w:pos="1080"/>
      </w:tabs>
      <w:overflowPunct w:val="0"/>
      <w:autoSpaceDE w:val="0"/>
      <w:autoSpaceDN w:val="0"/>
      <w:adjustRightInd w:val="0"/>
      <w:spacing w:before="240" w:after="60"/>
      <w:ind w:left="1080" w:hanging="1080"/>
      <w:textAlignment w:val="baseline"/>
      <w:outlineLvl w:val="4"/>
    </w:pPr>
    <w:rPr>
      <w:b/>
      <w:bCs/>
      <w:i/>
      <w:iCs/>
      <w:sz w:val="26"/>
      <w:szCs w:val="26"/>
    </w:rPr>
  </w:style>
  <w:style w:type="paragraph" w:styleId="Ttulo6">
    <w:name w:val="heading 6"/>
    <w:basedOn w:val="Normal"/>
    <w:next w:val="Normal"/>
    <w:link w:val="Ttulo6Car"/>
    <w:qFormat/>
    <w:rsid w:val="0097085C"/>
    <w:pPr>
      <w:tabs>
        <w:tab w:val="left" w:pos="1080"/>
      </w:tabs>
      <w:overflowPunct w:val="0"/>
      <w:autoSpaceDE w:val="0"/>
      <w:autoSpaceDN w:val="0"/>
      <w:adjustRightInd w:val="0"/>
      <w:spacing w:before="240" w:after="60"/>
      <w:ind w:left="1080" w:hanging="1080"/>
      <w:textAlignment w:val="baseline"/>
      <w:outlineLvl w:val="5"/>
    </w:pPr>
    <w:rPr>
      <w:b/>
      <w:bCs/>
      <w:sz w:val="22"/>
      <w:szCs w:val="22"/>
    </w:rPr>
  </w:style>
  <w:style w:type="paragraph" w:styleId="Ttulo7">
    <w:name w:val="heading 7"/>
    <w:basedOn w:val="Normal"/>
    <w:next w:val="Normal"/>
    <w:link w:val="Ttulo7Car"/>
    <w:qFormat/>
    <w:rsid w:val="0097085C"/>
    <w:pPr>
      <w:tabs>
        <w:tab w:val="left" w:pos="1440"/>
      </w:tabs>
      <w:overflowPunct w:val="0"/>
      <w:autoSpaceDE w:val="0"/>
      <w:autoSpaceDN w:val="0"/>
      <w:adjustRightInd w:val="0"/>
      <w:spacing w:before="240" w:after="60"/>
      <w:ind w:left="1440" w:hanging="1440"/>
      <w:textAlignment w:val="baseline"/>
      <w:outlineLvl w:val="6"/>
    </w:pPr>
  </w:style>
  <w:style w:type="paragraph" w:styleId="Ttulo8">
    <w:name w:val="heading 8"/>
    <w:basedOn w:val="Normal"/>
    <w:next w:val="Normal"/>
    <w:link w:val="Ttulo8Car"/>
    <w:qFormat/>
    <w:rsid w:val="0097085C"/>
    <w:pPr>
      <w:keepNext/>
      <w:overflowPunct w:val="0"/>
      <w:autoSpaceDE w:val="0"/>
      <w:autoSpaceDN w:val="0"/>
      <w:adjustRightInd w:val="0"/>
      <w:jc w:val="center"/>
      <w:textAlignment w:val="baseline"/>
      <w:outlineLvl w:val="7"/>
    </w:pPr>
    <w:rPr>
      <w:i/>
      <w:iCs/>
      <w:sz w:val="28"/>
      <w:szCs w:val="28"/>
    </w:rPr>
  </w:style>
  <w:style w:type="paragraph" w:styleId="Ttulo9">
    <w:name w:val="heading 9"/>
    <w:basedOn w:val="Normal"/>
    <w:next w:val="Normal"/>
    <w:link w:val="Ttulo9Car"/>
    <w:unhideWhenUsed/>
    <w:qFormat/>
    <w:rsid w:val="003D253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2">
    <w:name w:val="Cuerpo del texto (2)_"/>
    <w:link w:val="Cuerpodeltexto20"/>
    <w:rsid w:val="00714B3A"/>
    <w:rPr>
      <w:rFonts w:ascii="Times New Roman" w:eastAsia="Times New Roman" w:hAnsi="Times New Roman" w:cs="Times New Roman"/>
      <w:b/>
      <w:bCs/>
      <w:sz w:val="23"/>
      <w:szCs w:val="23"/>
      <w:shd w:val="clear" w:color="auto" w:fill="FFFFFF"/>
    </w:rPr>
  </w:style>
  <w:style w:type="character" w:customStyle="1" w:styleId="Cuerpodeltexto">
    <w:name w:val="Cuerpo del texto_"/>
    <w:link w:val="Cuerpodeltexto0"/>
    <w:rsid w:val="00714B3A"/>
    <w:rPr>
      <w:rFonts w:ascii="Times New Roman" w:eastAsia="Times New Roman" w:hAnsi="Times New Roman" w:cs="Times New Roman"/>
      <w:shd w:val="clear" w:color="auto" w:fill="FFFFFF"/>
    </w:rPr>
  </w:style>
  <w:style w:type="paragraph" w:customStyle="1" w:styleId="Cuerpodeltexto20">
    <w:name w:val="Cuerpo del texto (2)"/>
    <w:basedOn w:val="Normal"/>
    <w:link w:val="Cuerpodeltexto2"/>
    <w:rsid w:val="00714B3A"/>
    <w:pPr>
      <w:widowControl w:val="0"/>
      <w:shd w:val="clear" w:color="auto" w:fill="FFFFFF"/>
      <w:spacing w:after="60" w:line="0" w:lineRule="atLeast"/>
    </w:pPr>
    <w:rPr>
      <w:b/>
      <w:bCs/>
      <w:sz w:val="23"/>
      <w:szCs w:val="23"/>
    </w:rPr>
  </w:style>
  <w:style w:type="paragraph" w:customStyle="1" w:styleId="Cuerpodeltexto0">
    <w:name w:val="Cuerpo del texto"/>
    <w:basedOn w:val="Normal"/>
    <w:link w:val="Cuerpodeltexto"/>
    <w:rsid w:val="00714B3A"/>
    <w:pPr>
      <w:widowControl w:val="0"/>
      <w:shd w:val="clear" w:color="auto" w:fill="FFFFFF"/>
      <w:spacing w:before="60" w:after="600" w:line="0" w:lineRule="atLeast"/>
      <w:ind w:hanging="360"/>
    </w:pPr>
  </w:style>
  <w:style w:type="character" w:customStyle="1" w:styleId="Ttulo10">
    <w:name w:val="Título #1_"/>
    <w:link w:val="Ttulo11"/>
    <w:rsid w:val="00714B3A"/>
    <w:rPr>
      <w:rFonts w:ascii="Times New Roman" w:eastAsia="Times New Roman" w:hAnsi="Times New Roman" w:cs="Times New Roman"/>
      <w:b/>
      <w:bCs/>
      <w:sz w:val="23"/>
      <w:szCs w:val="23"/>
      <w:shd w:val="clear" w:color="auto" w:fill="FFFFFF"/>
    </w:rPr>
  </w:style>
  <w:style w:type="paragraph" w:customStyle="1" w:styleId="Ttulo11">
    <w:name w:val="Título #1"/>
    <w:basedOn w:val="Normal"/>
    <w:link w:val="Ttulo10"/>
    <w:rsid w:val="00714B3A"/>
    <w:pPr>
      <w:widowControl w:val="0"/>
      <w:shd w:val="clear" w:color="auto" w:fill="FFFFFF"/>
      <w:spacing w:before="240" w:after="300" w:line="0" w:lineRule="atLeast"/>
      <w:outlineLvl w:val="0"/>
    </w:pPr>
    <w:rPr>
      <w:b/>
      <w:bCs/>
      <w:sz w:val="23"/>
      <w:szCs w:val="23"/>
    </w:rPr>
  </w:style>
  <w:style w:type="paragraph" w:styleId="Prrafodelista">
    <w:name w:val="List Paragraph"/>
    <w:basedOn w:val="Normal"/>
    <w:uiPriority w:val="99"/>
    <w:qFormat/>
    <w:rsid w:val="00D3377D"/>
    <w:pPr>
      <w:ind w:left="720"/>
      <w:contextualSpacing/>
    </w:pPr>
  </w:style>
  <w:style w:type="paragraph" w:styleId="Sinespaciado">
    <w:name w:val="No Spacing"/>
    <w:link w:val="SinespaciadoCar"/>
    <w:uiPriority w:val="1"/>
    <w:qFormat/>
    <w:rsid w:val="007B5D6E"/>
    <w:pPr>
      <w:spacing w:after="0" w:line="240" w:lineRule="auto"/>
    </w:pPr>
  </w:style>
  <w:style w:type="character" w:customStyle="1" w:styleId="Ttulo4Car">
    <w:name w:val="Título 4 Car"/>
    <w:basedOn w:val="Fuentedeprrafopredeter"/>
    <w:link w:val="Ttulo4"/>
    <w:uiPriority w:val="99"/>
    <w:rsid w:val="0097085C"/>
    <w:rPr>
      <w:rFonts w:ascii="Times New Roman" w:eastAsia="Times New Roman" w:hAnsi="Times New Roman" w:cs="Times New Roman"/>
      <w:b/>
      <w:bCs/>
      <w:sz w:val="28"/>
      <w:szCs w:val="28"/>
      <w:lang w:eastAsia="es-ES"/>
    </w:rPr>
  </w:style>
  <w:style w:type="paragraph" w:styleId="Textoindependiente">
    <w:name w:val="Body Text"/>
    <w:basedOn w:val="Normal"/>
    <w:link w:val="TextoindependienteCar"/>
    <w:uiPriority w:val="99"/>
    <w:rsid w:val="0097085C"/>
    <w:pPr>
      <w:jc w:val="both"/>
    </w:pPr>
    <w:rPr>
      <w:sz w:val="28"/>
    </w:rPr>
  </w:style>
  <w:style w:type="character" w:customStyle="1" w:styleId="TextoindependienteCar">
    <w:name w:val="Texto independiente Car"/>
    <w:basedOn w:val="Fuentedeprrafopredeter"/>
    <w:link w:val="Textoindependiente"/>
    <w:uiPriority w:val="99"/>
    <w:rsid w:val="0097085C"/>
    <w:rPr>
      <w:rFonts w:ascii="Times New Roman" w:eastAsia="Times New Roman" w:hAnsi="Times New Roman" w:cs="Times New Roman"/>
      <w:sz w:val="28"/>
      <w:szCs w:val="24"/>
      <w:lang w:eastAsia="es-ES"/>
    </w:rPr>
  </w:style>
  <w:style w:type="character" w:customStyle="1" w:styleId="Ttulo1Car">
    <w:name w:val="Título 1 Car"/>
    <w:basedOn w:val="Fuentedeprrafopredeter"/>
    <w:link w:val="Ttulo1"/>
    <w:uiPriority w:val="99"/>
    <w:rsid w:val="0097085C"/>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9"/>
    <w:rsid w:val="0097085C"/>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9"/>
    <w:rsid w:val="0097085C"/>
    <w:rPr>
      <w:rFonts w:asciiTheme="majorHAnsi" w:eastAsiaTheme="majorEastAsia" w:hAnsiTheme="majorHAnsi" w:cstheme="majorBidi"/>
      <w:color w:val="1F4D78" w:themeColor="accent1" w:themeShade="7F"/>
      <w:sz w:val="24"/>
      <w:szCs w:val="24"/>
      <w:lang w:eastAsia="es-ES"/>
    </w:rPr>
  </w:style>
  <w:style w:type="paragraph" w:styleId="Sangradetextonormal">
    <w:name w:val="Body Text Indent"/>
    <w:basedOn w:val="Normal"/>
    <w:link w:val="SangradetextonormalCar"/>
    <w:unhideWhenUsed/>
    <w:rsid w:val="0097085C"/>
    <w:pPr>
      <w:spacing w:after="120"/>
      <w:ind w:left="283"/>
    </w:pPr>
  </w:style>
  <w:style w:type="character" w:customStyle="1" w:styleId="SangradetextonormalCar">
    <w:name w:val="Sangría de texto normal Car"/>
    <w:basedOn w:val="Fuentedeprrafopredeter"/>
    <w:link w:val="Sangradetextonormal"/>
    <w:uiPriority w:val="99"/>
    <w:semiHidden/>
    <w:rsid w:val="0097085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97085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7085C"/>
    <w:rPr>
      <w:rFonts w:ascii="Times New Roman" w:eastAsia="Times New Roman" w:hAnsi="Times New Roman" w:cs="Times New Roman"/>
      <w:sz w:val="16"/>
      <w:szCs w:val="16"/>
      <w:lang w:eastAsia="es-ES"/>
    </w:rPr>
  </w:style>
  <w:style w:type="paragraph" w:styleId="Textoindependiente2">
    <w:name w:val="Body Text 2"/>
    <w:basedOn w:val="Normal"/>
    <w:link w:val="Textoindependiente2Car"/>
    <w:uiPriority w:val="99"/>
    <w:unhideWhenUsed/>
    <w:rsid w:val="0097085C"/>
    <w:pPr>
      <w:spacing w:after="120" w:line="480" w:lineRule="auto"/>
    </w:pPr>
  </w:style>
  <w:style w:type="character" w:customStyle="1" w:styleId="Textoindependiente2Car">
    <w:name w:val="Texto independiente 2 Car"/>
    <w:basedOn w:val="Fuentedeprrafopredeter"/>
    <w:link w:val="Textoindependiente2"/>
    <w:uiPriority w:val="99"/>
    <w:semiHidden/>
    <w:rsid w:val="0097085C"/>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9"/>
    <w:rsid w:val="0097085C"/>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uiPriority w:val="99"/>
    <w:rsid w:val="0097085C"/>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9"/>
    <w:rsid w:val="0097085C"/>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9"/>
    <w:rsid w:val="0097085C"/>
    <w:rPr>
      <w:rFonts w:ascii="Times New Roman" w:eastAsia="Times New Roman" w:hAnsi="Times New Roman" w:cs="Times New Roman"/>
      <w:i/>
      <w:iCs/>
      <w:sz w:val="28"/>
      <w:szCs w:val="28"/>
      <w:lang w:eastAsia="es-ES"/>
    </w:rPr>
  </w:style>
  <w:style w:type="numbering" w:customStyle="1" w:styleId="Sinlista1">
    <w:name w:val="Sin lista1"/>
    <w:next w:val="Sinlista"/>
    <w:uiPriority w:val="99"/>
    <w:semiHidden/>
    <w:unhideWhenUsed/>
    <w:rsid w:val="0097085C"/>
  </w:style>
  <w:style w:type="paragraph" w:styleId="Listaconvietas">
    <w:name w:val="List Bullet"/>
    <w:basedOn w:val="Normal"/>
    <w:autoRedefine/>
    <w:uiPriority w:val="99"/>
    <w:rsid w:val="0097085C"/>
    <w:pPr>
      <w:tabs>
        <w:tab w:val="left" w:pos="360"/>
      </w:tabs>
      <w:overflowPunct w:val="0"/>
      <w:autoSpaceDE w:val="0"/>
      <w:autoSpaceDN w:val="0"/>
      <w:adjustRightInd w:val="0"/>
      <w:ind w:left="360" w:hanging="360"/>
      <w:textAlignment w:val="baseline"/>
    </w:pPr>
    <w:rPr>
      <w:lang w:val="es-CO"/>
    </w:rPr>
  </w:style>
  <w:style w:type="paragraph" w:styleId="NormalWeb">
    <w:name w:val="Normal (Web)"/>
    <w:basedOn w:val="Normal"/>
    <w:link w:val="NormalWebCar"/>
    <w:rsid w:val="0097085C"/>
    <w:pPr>
      <w:overflowPunct w:val="0"/>
      <w:autoSpaceDE w:val="0"/>
      <w:autoSpaceDN w:val="0"/>
      <w:adjustRightInd w:val="0"/>
      <w:spacing w:before="100" w:after="100"/>
      <w:textAlignment w:val="baseline"/>
    </w:pPr>
  </w:style>
  <w:style w:type="character" w:styleId="Textoennegrita">
    <w:name w:val="Strong"/>
    <w:basedOn w:val="Fuentedeprrafopredeter"/>
    <w:uiPriority w:val="99"/>
    <w:qFormat/>
    <w:rsid w:val="0097085C"/>
    <w:rPr>
      <w:rFonts w:cs="Times New Roman"/>
      <w:b/>
      <w:bCs/>
    </w:rPr>
  </w:style>
  <w:style w:type="paragraph" w:styleId="Encabezado">
    <w:name w:val="header"/>
    <w:basedOn w:val="Normal"/>
    <w:link w:val="EncabezadoCar"/>
    <w:rsid w:val="0097085C"/>
    <w:pPr>
      <w:tabs>
        <w:tab w:val="center" w:pos="4252"/>
        <w:tab w:val="right" w:pos="8504"/>
      </w:tabs>
      <w:overflowPunct w:val="0"/>
      <w:autoSpaceDE w:val="0"/>
      <w:autoSpaceDN w:val="0"/>
      <w:adjustRightInd w:val="0"/>
      <w:textAlignment w:val="baseline"/>
    </w:pPr>
    <w:rPr>
      <w:lang w:val="es-ES_tradnl"/>
    </w:rPr>
  </w:style>
  <w:style w:type="character" w:customStyle="1" w:styleId="EncabezadoCar">
    <w:name w:val="Encabezado Car"/>
    <w:basedOn w:val="Fuentedeprrafopredeter"/>
    <w:link w:val="Encabezado"/>
    <w:uiPriority w:val="99"/>
    <w:rsid w:val="0097085C"/>
    <w:rPr>
      <w:rFonts w:ascii="Times New Roman" w:eastAsia="Times New Roman" w:hAnsi="Times New Roman" w:cs="Times New Roman"/>
      <w:sz w:val="24"/>
      <w:szCs w:val="24"/>
      <w:lang w:val="es-ES_tradnl" w:eastAsia="es-ES"/>
    </w:rPr>
  </w:style>
  <w:style w:type="character" w:styleId="Nmerodepgina">
    <w:name w:val="page number"/>
    <w:basedOn w:val="Fuentedeprrafopredeter"/>
    <w:rsid w:val="0097085C"/>
    <w:rPr>
      <w:rFonts w:cs="Times New Roman"/>
    </w:rPr>
  </w:style>
  <w:style w:type="character" w:styleId="Hipervnculo">
    <w:name w:val="Hyperlink"/>
    <w:basedOn w:val="Fuentedeprrafopredeter"/>
    <w:rsid w:val="0097085C"/>
    <w:rPr>
      <w:rFonts w:cs="Times New Roman"/>
      <w:color w:val="0000FF"/>
      <w:u w:val="single"/>
    </w:rPr>
  </w:style>
  <w:style w:type="paragraph" w:styleId="Textodebloque">
    <w:name w:val="Block Text"/>
    <w:basedOn w:val="Normal"/>
    <w:rsid w:val="0097085C"/>
    <w:pPr>
      <w:overflowPunct w:val="0"/>
      <w:autoSpaceDE w:val="0"/>
      <w:autoSpaceDN w:val="0"/>
      <w:adjustRightInd w:val="0"/>
      <w:ind w:left="567" w:right="612"/>
      <w:jc w:val="both"/>
      <w:textAlignment w:val="baseline"/>
    </w:pPr>
    <w:rPr>
      <w:sz w:val="26"/>
      <w:szCs w:val="26"/>
      <w:lang w:val="en-US"/>
    </w:rPr>
  </w:style>
  <w:style w:type="paragraph" w:styleId="Textonotapie">
    <w:name w:val="footnote text"/>
    <w:aliases w:val="Texto nota pie Car Car,Footnote Text Char Char Char Char Char Car,Footnote Text Char Char Char Char Car,Footnote reference Car,FA Fu Car,texto de nota al pie Car,Footnote Text Char Char Char Car,Footnote Text Char Car,Ref. de nota al pie1"/>
    <w:basedOn w:val="Normal"/>
    <w:link w:val="TextonotapieCar1"/>
    <w:uiPriority w:val="99"/>
    <w:qFormat/>
    <w:rsid w:val="0097085C"/>
    <w:pPr>
      <w:overflowPunct w:val="0"/>
      <w:autoSpaceDE w:val="0"/>
      <w:autoSpaceDN w:val="0"/>
      <w:adjustRightInd w:val="0"/>
      <w:textAlignment w:val="baseline"/>
    </w:pPr>
    <w:rPr>
      <w:sz w:val="20"/>
      <w:szCs w:val="20"/>
      <w:lang w:val="es-MX"/>
    </w:rPr>
  </w:style>
  <w:style w:type="character" w:customStyle="1" w:styleId="TextonotapieCar">
    <w:name w:val="Texto nota pie Car"/>
    <w:aliases w:val="Texto nota pie Car1 Car,Texto nota pie Car Car Car,Footnote Text Char Char Char Char Char Car Car,Footnote Text Char Char Char Char Car Car,Footnote reference Car Car,FA Fu Car Car,texto de nota al pie Car Car,Car2 Car,BVI fnr Car"/>
    <w:basedOn w:val="Fuentedeprrafopredeter"/>
    <w:semiHidden/>
    <w:rsid w:val="0097085C"/>
    <w:rPr>
      <w:rFonts w:ascii="Times New Roman" w:eastAsia="Times New Roman" w:hAnsi="Times New Roman" w:cs="Times New Roman"/>
      <w:sz w:val="20"/>
      <w:szCs w:val="20"/>
      <w:lang w:eastAsia="es-ES"/>
    </w:rPr>
  </w:style>
  <w:style w:type="character" w:customStyle="1" w:styleId="TextonotapieCar1">
    <w:name w:val="Texto nota pie Car1"/>
    <w:aliases w:val="Texto nota pie Car Car Car1,Footnote Text Char Char Char Char Char Car Car1,Footnote Text Char Char Char Char Car Car1,Footnote reference Car Car1,FA Fu Car Car1,texto de nota al pie Car Car1,Footnote Text Char Char Char Car Car"/>
    <w:basedOn w:val="Fuentedeprrafopredeter"/>
    <w:link w:val="Textonotapie"/>
    <w:uiPriority w:val="99"/>
    <w:locked/>
    <w:rsid w:val="0097085C"/>
    <w:rPr>
      <w:rFonts w:ascii="Times New Roman" w:eastAsia="Times New Roman" w:hAnsi="Times New Roman" w:cs="Times New Roman"/>
      <w:sz w:val="20"/>
      <w:szCs w:val="20"/>
      <w:lang w:val="es-MX" w:eastAsia="es-ES"/>
    </w:rPr>
  </w:style>
  <w:style w:type="character" w:styleId="Refdenotaalpie">
    <w:name w:val="footnote reference"/>
    <w:aliases w:val="referencia nota al pie,Texto de nota al pie,Appel note de bas de page,BVI fnr,Footnote symbol,Footnote,Ref. de nota al pie2,Nota de pie,Ref,de nota al pie,Pie de pagina,Ref. ...,Ref1,FC,Footnotes refss,Ref. de nota al pie 2,f,4_G,F,4"/>
    <w:basedOn w:val="Fuentedeprrafopredeter"/>
    <w:link w:val="4GChar"/>
    <w:uiPriority w:val="99"/>
    <w:qFormat/>
    <w:rsid w:val="0097085C"/>
    <w:rPr>
      <w:rFonts w:cs="Times New Roman"/>
      <w:vertAlign w:val="superscript"/>
    </w:rPr>
  </w:style>
  <w:style w:type="paragraph" w:styleId="Piedepgina">
    <w:name w:val="footer"/>
    <w:basedOn w:val="Normal"/>
    <w:link w:val="PiedepginaCar"/>
    <w:rsid w:val="0097085C"/>
    <w:pPr>
      <w:tabs>
        <w:tab w:val="center" w:pos="4252"/>
        <w:tab w:val="right" w:pos="8504"/>
      </w:tabs>
      <w:overflowPunct w:val="0"/>
      <w:autoSpaceDE w:val="0"/>
      <w:autoSpaceDN w:val="0"/>
      <w:adjustRightInd w:val="0"/>
      <w:textAlignment w:val="baseline"/>
    </w:pPr>
    <w:rPr>
      <w:sz w:val="22"/>
      <w:szCs w:val="22"/>
    </w:rPr>
  </w:style>
  <w:style w:type="character" w:customStyle="1" w:styleId="PiedepginaCar">
    <w:name w:val="Pie de página Car"/>
    <w:basedOn w:val="Fuentedeprrafopredeter"/>
    <w:link w:val="Piedepgina"/>
    <w:rsid w:val="0097085C"/>
    <w:rPr>
      <w:rFonts w:ascii="Times New Roman" w:eastAsia="Times New Roman" w:hAnsi="Times New Roman" w:cs="Times New Roman"/>
      <w:lang w:eastAsia="es-ES"/>
    </w:rPr>
  </w:style>
  <w:style w:type="paragraph" w:styleId="Mapadeldocumento">
    <w:name w:val="Document Map"/>
    <w:basedOn w:val="Normal"/>
    <w:link w:val="MapadeldocumentoCar"/>
    <w:uiPriority w:val="99"/>
    <w:semiHidden/>
    <w:rsid w:val="0097085C"/>
    <w:pPr>
      <w:shd w:val="clear" w:color="auto" w:fill="000080"/>
      <w:overflowPunct w:val="0"/>
      <w:autoSpaceDE w:val="0"/>
      <w:autoSpaceDN w:val="0"/>
      <w:adjustRightInd w:val="0"/>
      <w:textAlignment w:val="baseline"/>
    </w:pPr>
    <w:rPr>
      <w:rFonts w:ascii="Tahoma" w:hAnsi="Tahoma" w:cs="Tahoma"/>
      <w:sz w:val="22"/>
      <w:szCs w:val="22"/>
    </w:rPr>
  </w:style>
  <w:style w:type="character" w:customStyle="1" w:styleId="MapadeldocumentoCar">
    <w:name w:val="Mapa del documento Car"/>
    <w:basedOn w:val="Fuentedeprrafopredeter"/>
    <w:link w:val="Mapadeldocumento"/>
    <w:uiPriority w:val="99"/>
    <w:semiHidden/>
    <w:rsid w:val="0097085C"/>
    <w:rPr>
      <w:rFonts w:ascii="Tahoma" w:eastAsia="Times New Roman" w:hAnsi="Tahoma" w:cs="Tahoma"/>
      <w:shd w:val="clear" w:color="auto" w:fill="000080"/>
      <w:lang w:eastAsia="es-ES"/>
    </w:rPr>
  </w:style>
  <w:style w:type="character" w:customStyle="1" w:styleId="caseheadline1">
    <w:name w:val="caseheadline1"/>
    <w:basedOn w:val="Fuentedeprrafopredeter"/>
    <w:uiPriority w:val="99"/>
    <w:rsid w:val="0097085C"/>
    <w:rPr>
      <w:rFonts w:ascii="Arial" w:hAnsi="Arial" w:cs="Arial"/>
      <w:b/>
      <w:bCs/>
      <w:color w:val="000000"/>
      <w:sz w:val="20"/>
      <w:szCs w:val="20"/>
    </w:rPr>
  </w:style>
  <w:style w:type="character" w:customStyle="1" w:styleId="bodycopy1">
    <w:name w:val="bodycopy1"/>
    <w:basedOn w:val="Fuentedeprrafopredeter"/>
    <w:uiPriority w:val="99"/>
    <w:rsid w:val="0097085C"/>
    <w:rPr>
      <w:rFonts w:ascii="Verdana" w:hAnsi="Verdana" w:cs="Verdana"/>
      <w:color w:val="000000"/>
      <w:sz w:val="15"/>
      <w:szCs w:val="15"/>
    </w:rPr>
  </w:style>
  <w:style w:type="paragraph" w:styleId="Textodeglobo">
    <w:name w:val="Balloon Text"/>
    <w:basedOn w:val="Normal"/>
    <w:link w:val="TextodegloboCar"/>
    <w:uiPriority w:val="99"/>
    <w:rsid w:val="0097085C"/>
    <w:pPr>
      <w:overflowPunct w:val="0"/>
      <w:autoSpaceDE w:val="0"/>
      <w:autoSpaceDN w:val="0"/>
      <w:adjustRightInd w:val="0"/>
      <w:textAlignment w:val="baseline"/>
    </w:pPr>
    <w:rPr>
      <w:rFonts w:ascii="Tahoma" w:hAnsi="Tahoma" w:cs="Tahoma"/>
      <w:sz w:val="16"/>
      <w:szCs w:val="16"/>
    </w:rPr>
  </w:style>
  <w:style w:type="character" w:customStyle="1" w:styleId="TextodegloboCar">
    <w:name w:val="Texto de globo Car"/>
    <w:basedOn w:val="Fuentedeprrafopredeter"/>
    <w:link w:val="Textodeglobo"/>
    <w:uiPriority w:val="99"/>
    <w:rsid w:val="0097085C"/>
    <w:rPr>
      <w:rFonts w:ascii="Tahoma" w:eastAsia="Times New Roman" w:hAnsi="Tahoma" w:cs="Tahoma"/>
      <w:sz w:val="16"/>
      <w:szCs w:val="16"/>
      <w:lang w:eastAsia="es-ES"/>
    </w:rPr>
  </w:style>
  <w:style w:type="paragraph" w:styleId="Ttulo">
    <w:name w:val="Title"/>
    <w:basedOn w:val="Normal"/>
    <w:link w:val="TtuloCar"/>
    <w:qFormat/>
    <w:rsid w:val="0097085C"/>
    <w:pPr>
      <w:overflowPunct w:val="0"/>
      <w:autoSpaceDE w:val="0"/>
      <w:autoSpaceDN w:val="0"/>
      <w:adjustRightInd w:val="0"/>
      <w:jc w:val="center"/>
      <w:textAlignment w:val="baseline"/>
    </w:pPr>
    <w:rPr>
      <w:b/>
      <w:bCs/>
      <w:sz w:val="28"/>
      <w:szCs w:val="28"/>
    </w:rPr>
  </w:style>
  <w:style w:type="character" w:customStyle="1" w:styleId="TtuloCar">
    <w:name w:val="Título Car"/>
    <w:basedOn w:val="Fuentedeprrafopredeter"/>
    <w:link w:val="Ttulo"/>
    <w:rsid w:val="0097085C"/>
    <w:rPr>
      <w:rFonts w:ascii="Times New Roman" w:eastAsia="Times New Roman" w:hAnsi="Times New Roman" w:cs="Times New Roman"/>
      <w:b/>
      <w:bCs/>
      <w:sz w:val="28"/>
      <w:szCs w:val="28"/>
      <w:lang w:eastAsia="es-ES"/>
    </w:rPr>
  </w:style>
  <w:style w:type="character" w:styleId="Hipervnculovisitado">
    <w:name w:val="FollowedHyperlink"/>
    <w:basedOn w:val="Fuentedeprrafopredeter"/>
    <w:uiPriority w:val="99"/>
    <w:rsid w:val="0097085C"/>
    <w:rPr>
      <w:rFonts w:cs="Times New Roman"/>
      <w:color w:val="800080"/>
      <w:u w:val="single"/>
    </w:rPr>
  </w:style>
  <w:style w:type="paragraph" w:styleId="Sangra3detindependiente">
    <w:name w:val="Body Text Indent 3"/>
    <w:basedOn w:val="Normal"/>
    <w:link w:val="Sangra3detindependienteCar"/>
    <w:unhideWhenUsed/>
    <w:rsid w:val="007257A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257A3"/>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unhideWhenUsed/>
    <w:rsid w:val="007257A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7257A3"/>
    <w:rPr>
      <w:rFonts w:ascii="Times New Roman" w:eastAsia="Times New Roman" w:hAnsi="Times New Roman" w:cs="Times New Roman"/>
      <w:sz w:val="24"/>
      <w:szCs w:val="24"/>
      <w:lang w:eastAsia="es-ES"/>
    </w:rPr>
  </w:style>
  <w:style w:type="paragraph" w:customStyle="1" w:styleId="CarCar3Car">
    <w:name w:val="Car Car3 Car"/>
    <w:basedOn w:val="Normal"/>
    <w:uiPriority w:val="99"/>
    <w:rsid w:val="007213BD"/>
    <w:pPr>
      <w:spacing w:after="160" w:line="240" w:lineRule="exact"/>
    </w:pPr>
    <w:rPr>
      <w:rFonts w:eastAsia="Batang"/>
      <w:noProof/>
      <w:color w:val="000000"/>
      <w:sz w:val="20"/>
      <w:szCs w:val="20"/>
      <w:lang w:val="es-CO"/>
    </w:rPr>
  </w:style>
  <w:style w:type="character" w:customStyle="1" w:styleId="textonavy1">
    <w:name w:val="texto_navy1"/>
    <w:rsid w:val="007213BD"/>
    <w:rPr>
      <w:color w:val="000080"/>
    </w:rPr>
  </w:style>
  <w:style w:type="character" w:customStyle="1" w:styleId="Ttulo9Car">
    <w:name w:val="Título 9 Car"/>
    <w:basedOn w:val="Fuentedeprrafopredeter"/>
    <w:link w:val="Ttulo9"/>
    <w:uiPriority w:val="9"/>
    <w:semiHidden/>
    <w:rsid w:val="003D2535"/>
    <w:rPr>
      <w:rFonts w:asciiTheme="majorHAnsi" w:eastAsiaTheme="majorEastAsia" w:hAnsiTheme="majorHAnsi" w:cstheme="majorBidi"/>
      <w:i/>
      <w:iCs/>
      <w:color w:val="272727" w:themeColor="text1" w:themeTint="D8"/>
      <w:sz w:val="21"/>
      <w:szCs w:val="21"/>
      <w:lang w:eastAsia="es-ES"/>
    </w:rPr>
  </w:style>
  <w:style w:type="paragraph" w:customStyle="1" w:styleId="Textoindependiente21">
    <w:name w:val="Texto independiente 21"/>
    <w:basedOn w:val="Normal"/>
    <w:rsid w:val="003D2535"/>
    <w:pPr>
      <w:overflowPunct w:val="0"/>
      <w:autoSpaceDE w:val="0"/>
      <w:autoSpaceDN w:val="0"/>
      <w:adjustRightInd w:val="0"/>
      <w:spacing w:line="360" w:lineRule="auto"/>
      <w:ind w:firstLine="708"/>
      <w:jc w:val="both"/>
      <w:textAlignment w:val="baseline"/>
    </w:pPr>
    <w:rPr>
      <w:rFonts w:ascii="Arial" w:hAnsi="Arial"/>
      <w:spacing w:val="-3"/>
      <w:sz w:val="26"/>
      <w:szCs w:val="20"/>
      <w:lang w:val="es-ES_tradnl"/>
    </w:rPr>
  </w:style>
  <w:style w:type="paragraph" w:styleId="Epgrafe">
    <w:name w:val="caption"/>
    <w:basedOn w:val="Normal"/>
    <w:next w:val="Normal"/>
    <w:qFormat/>
    <w:rsid w:val="003D2535"/>
    <w:pPr>
      <w:overflowPunct w:val="0"/>
      <w:autoSpaceDE w:val="0"/>
      <w:autoSpaceDN w:val="0"/>
      <w:adjustRightInd w:val="0"/>
      <w:ind w:left="-851"/>
      <w:textAlignment w:val="baseline"/>
    </w:pPr>
    <w:rPr>
      <w:rFonts w:ascii="Arial" w:hAnsi="Arial"/>
      <w:b/>
      <w:sz w:val="18"/>
      <w:szCs w:val="20"/>
      <w:lang w:val="es-ES_tradnl"/>
    </w:rPr>
  </w:style>
  <w:style w:type="character" w:customStyle="1" w:styleId="CuerpodeltextoArial">
    <w:name w:val="Cuerpo del texto + Arial"/>
    <w:aliases w:val="11,5 pto,Negrita,Espaciado 0 pto"/>
    <w:rsid w:val="00931777"/>
    <w:rPr>
      <w:rFonts w:ascii="Arial" w:eastAsia="Arial" w:hAnsi="Arial" w:cs="Arial"/>
      <w:b/>
      <w:bCs/>
      <w:i w:val="0"/>
      <w:iCs w:val="0"/>
      <w:smallCaps w:val="0"/>
      <w:strike w:val="0"/>
      <w:color w:val="000000"/>
      <w:spacing w:val="0"/>
      <w:w w:val="100"/>
      <w:position w:val="0"/>
      <w:sz w:val="23"/>
      <w:szCs w:val="23"/>
      <w:u w:val="none"/>
      <w:lang w:val="es-ES"/>
    </w:rPr>
  </w:style>
  <w:style w:type="character" w:customStyle="1" w:styleId="CuerpodeltextoCandara">
    <w:name w:val="Cuerpo del texto + Candara"/>
    <w:aliases w:val="12 pto,Cursiva,Espaciado -1 pto"/>
    <w:rsid w:val="00931777"/>
    <w:rPr>
      <w:rFonts w:ascii="Candara" w:eastAsia="Candara" w:hAnsi="Candara" w:cs="Candara"/>
      <w:b w:val="0"/>
      <w:bCs w:val="0"/>
      <w:i/>
      <w:iCs/>
      <w:smallCaps w:val="0"/>
      <w:strike w:val="0"/>
      <w:color w:val="000000"/>
      <w:spacing w:val="-20"/>
      <w:w w:val="100"/>
      <w:position w:val="0"/>
      <w:sz w:val="24"/>
      <w:szCs w:val="24"/>
      <w:u w:val="none"/>
      <w:lang w:val="es-ES"/>
    </w:rPr>
  </w:style>
  <w:style w:type="paragraph" w:customStyle="1" w:styleId="Car21">
    <w:name w:val="Car21"/>
    <w:basedOn w:val="Normal"/>
    <w:uiPriority w:val="99"/>
    <w:rsid w:val="004A5AA2"/>
    <w:pPr>
      <w:spacing w:after="160" w:line="240" w:lineRule="exact"/>
    </w:pPr>
    <w:rPr>
      <w:noProof/>
      <w:color w:val="000000"/>
      <w:sz w:val="20"/>
      <w:szCs w:val="20"/>
      <w:lang w:val="es-CO"/>
    </w:rPr>
  </w:style>
  <w:style w:type="paragraph" w:customStyle="1" w:styleId="Style2">
    <w:name w:val="Style2"/>
    <w:basedOn w:val="Normal"/>
    <w:uiPriority w:val="99"/>
    <w:rsid w:val="00F36E21"/>
    <w:pPr>
      <w:widowControl w:val="0"/>
      <w:autoSpaceDE w:val="0"/>
      <w:autoSpaceDN w:val="0"/>
      <w:adjustRightInd w:val="0"/>
      <w:spacing w:line="275" w:lineRule="exact"/>
      <w:jc w:val="both"/>
    </w:pPr>
    <w:rPr>
      <w:rFonts w:ascii="Tahoma" w:eastAsiaTheme="minorEastAsia" w:hAnsi="Tahoma" w:cs="Tahoma"/>
    </w:rPr>
  </w:style>
  <w:style w:type="paragraph" w:customStyle="1" w:styleId="Style11">
    <w:name w:val="Style11"/>
    <w:basedOn w:val="Normal"/>
    <w:uiPriority w:val="99"/>
    <w:rsid w:val="00F36E21"/>
    <w:pPr>
      <w:widowControl w:val="0"/>
      <w:autoSpaceDE w:val="0"/>
      <w:autoSpaceDN w:val="0"/>
      <w:adjustRightInd w:val="0"/>
      <w:jc w:val="both"/>
    </w:pPr>
    <w:rPr>
      <w:rFonts w:ascii="Tahoma" w:eastAsiaTheme="minorEastAsia" w:hAnsi="Tahoma" w:cs="Tahoma"/>
    </w:rPr>
  </w:style>
  <w:style w:type="character" w:customStyle="1" w:styleId="FontStyle22">
    <w:name w:val="Font Style22"/>
    <w:basedOn w:val="Fuentedeprrafopredeter"/>
    <w:uiPriority w:val="99"/>
    <w:rsid w:val="00F36E21"/>
    <w:rPr>
      <w:rFonts w:ascii="Arial" w:hAnsi="Arial" w:cs="Arial"/>
      <w:color w:val="000000"/>
      <w:sz w:val="24"/>
      <w:szCs w:val="24"/>
    </w:rPr>
  </w:style>
  <w:style w:type="character" w:customStyle="1" w:styleId="FontStyle25">
    <w:name w:val="Font Style25"/>
    <w:basedOn w:val="Fuentedeprrafopredeter"/>
    <w:uiPriority w:val="99"/>
    <w:rsid w:val="00F36E21"/>
    <w:rPr>
      <w:rFonts w:ascii="Arial" w:hAnsi="Arial" w:cs="Arial"/>
      <w:b/>
      <w:bCs/>
      <w:color w:val="000000"/>
      <w:sz w:val="24"/>
      <w:szCs w:val="24"/>
    </w:rPr>
  </w:style>
  <w:style w:type="character" w:customStyle="1" w:styleId="NormalWebCar">
    <w:name w:val="Normal (Web) Car"/>
    <w:link w:val="NormalWeb"/>
    <w:locked/>
    <w:rsid w:val="001B6695"/>
    <w:rPr>
      <w:rFonts w:ascii="Times New Roman" w:eastAsia="Times New Roman" w:hAnsi="Times New Roman" w:cs="Times New Roman"/>
      <w:sz w:val="24"/>
      <w:szCs w:val="24"/>
      <w:lang w:eastAsia="es-ES"/>
    </w:rPr>
  </w:style>
  <w:style w:type="character" w:customStyle="1" w:styleId="Numeracinttulo">
    <w:name w:val="Numeración título"/>
    <w:rsid w:val="005758CF"/>
    <w:rPr>
      <w:rFonts w:ascii="Tahoma" w:hAnsi="Tahoma" w:cs="Tahoma"/>
      <w:b/>
      <w:bCs/>
      <w:sz w:val="24"/>
      <w:szCs w:val="24"/>
    </w:rPr>
  </w:style>
  <w:style w:type="paragraph" w:customStyle="1" w:styleId="Sangradetindependiente">
    <w:name w:val="SangrÌa de t. independiente"/>
    <w:basedOn w:val="Normal"/>
    <w:rsid w:val="005758CF"/>
    <w:pPr>
      <w:spacing w:line="360" w:lineRule="atLeast"/>
      <w:jc w:val="both"/>
    </w:pPr>
    <w:rPr>
      <w:rFonts w:ascii="Arial" w:hAnsi="Arial"/>
      <w:szCs w:val="2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F127CD"/>
    <w:pPr>
      <w:jc w:val="both"/>
    </w:pPr>
    <w:rPr>
      <w:rFonts w:asciiTheme="minorHAnsi" w:eastAsiaTheme="minorHAnsi" w:hAnsiTheme="minorHAnsi"/>
      <w:sz w:val="22"/>
      <w:szCs w:val="22"/>
      <w:vertAlign w:val="superscript"/>
      <w:lang w:eastAsia="en-US"/>
    </w:rPr>
  </w:style>
  <w:style w:type="character" w:customStyle="1" w:styleId="SinespaciadoCar">
    <w:name w:val="Sin espaciado Car"/>
    <w:link w:val="Sinespaciado"/>
    <w:uiPriority w:val="1"/>
    <w:locked/>
    <w:rsid w:val="00E54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41">
      <w:bodyDiv w:val="1"/>
      <w:marLeft w:val="0"/>
      <w:marRight w:val="0"/>
      <w:marTop w:val="0"/>
      <w:marBottom w:val="0"/>
      <w:divBdr>
        <w:top w:val="none" w:sz="0" w:space="0" w:color="auto"/>
        <w:left w:val="none" w:sz="0" w:space="0" w:color="auto"/>
        <w:bottom w:val="none" w:sz="0" w:space="0" w:color="auto"/>
        <w:right w:val="none" w:sz="0" w:space="0" w:color="auto"/>
      </w:divBdr>
    </w:div>
    <w:div w:id="507915595">
      <w:bodyDiv w:val="1"/>
      <w:marLeft w:val="0"/>
      <w:marRight w:val="0"/>
      <w:marTop w:val="0"/>
      <w:marBottom w:val="0"/>
      <w:divBdr>
        <w:top w:val="none" w:sz="0" w:space="0" w:color="auto"/>
        <w:left w:val="none" w:sz="0" w:space="0" w:color="auto"/>
        <w:bottom w:val="none" w:sz="0" w:space="0" w:color="auto"/>
        <w:right w:val="none" w:sz="0" w:space="0" w:color="auto"/>
      </w:divBdr>
    </w:div>
    <w:div w:id="872157815">
      <w:bodyDiv w:val="1"/>
      <w:marLeft w:val="0"/>
      <w:marRight w:val="0"/>
      <w:marTop w:val="0"/>
      <w:marBottom w:val="0"/>
      <w:divBdr>
        <w:top w:val="none" w:sz="0" w:space="0" w:color="auto"/>
        <w:left w:val="none" w:sz="0" w:space="0" w:color="auto"/>
        <w:bottom w:val="none" w:sz="0" w:space="0" w:color="auto"/>
        <w:right w:val="none" w:sz="0" w:space="0" w:color="auto"/>
      </w:divBdr>
    </w:div>
    <w:div w:id="1717508294">
      <w:bodyDiv w:val="1"/>
      <w:marLeft w:val="0"/>
      <w:marRight w:val="0"/>
      <w:marTop w:val="0"/>
      <w:marBottom w:val="0"/>
      <w:divBdr>
        <w:top w:val="none" w:sz="0" w:space="0" w:color="auto"/>
        <w:left w:val="none" w:sz="0" w:space="0" w:color="auto"/>
        <w:bottom w:val="none" w:sz="0" w:space="0" w:color="auto"/>
        <w:right w:val="none" w:sz="0" w:space="0" w:color="auto"/>
      </w:divBdr>
    </w:div>
    <w:div w:id="200095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1CA35-8D8D-4B12-9D02-96E0EE2A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27</Pages>
  <Words>13121</Words>
  <Characters>72171</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85122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Magistrado Despacho 2 Sala Penal</dc:creator>
  <cp:keywords/>
  <dc:description/>
  <cp:lastModifiedBy>ALONSO</cp:lastModifiedBy>
  <cp:revision>12</cp:revision>
  <cp:lastPrinted>2020-02-12T16:16:00Z</cp:lastPrinted>
  <dcterms:created xsi:type="dcterms:W3CDTF">2020-02-12T16:03:00Z</dcterms:created>
  <dcterms:modified xsi:type="dcterms:W3CDTF">2020-03-25T17:28:00Z</dcterms:modified>
</cp:coreProperties>
</file>