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BB82" w14:textId="77777777" w:rsidR="001270DE" w:rsidRPr="001270DE" w:rsidRDefault="001270DE" w:rsidP="001270D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1270D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C13F45" w14:textId="77777777" w:rsidR="001270DE" w:rsidRPr="001270DE" w:rsidRDefault="001270DE" w:rsidP="001270DE">
      <w:pPr>
        <w:spacing w:after="0" w:line="240" w:lineRule="auto"/>
        <w:jc w:val="both"/>
        <w:rPr>
          <w:rFonts w:ascii="Arial" w:eastAsia="Times New Roman" w:hAnsi="Arial" w:cs="Arial"/>
          <w:sz w:val="20"/>
          <w:szCs w:val="20"/>
          <w:lang w:val="es-419" w:eastAsia="es-ES"/>
        </w:rPr>
      </w:pPr>
    </w:p>
    <w:p w14:paraId="7E3B8FA8" w14:textId="70BDD16B" w:rsidR="001270DE" w:rsidRPr="001270DE" w:rsidRDefault="001270DE" w:rsidP="001270DE">
      <w:pPr>
        <w:spacing w:after="0" w:line="240" w:lineRule="auto"/>
        <w:jc w:val="both"/>
        <w:rPr>
          <w:rFonts w:ascii="Arial" w:eastAsia="Times New Roman" w:hAnsi="Arial" w:cs="Arial"/>
          <w:sz w:val="20"/>
          <w:szCs w:val="20"/>
          <w:lang w:val="es-419" w:eastAsia="es-ES"/>
        </w:rPr>
      </w:pPr>
      <w:r w:rsidRPr="001270DE">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270DE">
        <w:rPr>
          <w:rFonts w:ascii="Arial" w:eastAsia="Times New Roman" w:hAnsi="Arial" w:cs="Arial"/>
          <w:sz w:val="20"/>
          <w:szCs w:val="20"/>
          <w:lang w:val="es-419" w:eastAsia="es-ES"/>
        </w:rPr>
        <w:t>Verbal (Pertenencia en reconvención)</w:t>
      </w:r>
    </w:p>
    <w:p w14:paraId="663B0F19" w14:textId="17A32A69" w:rsidR="001270DE" w:rsidRPr="001270DE" w:rsidRDefault="001270DE" w:rsidP="001270DE">
      <w:pPr>
        <w:spacing w:after="0" w:line="240" w:lineRule="auto"/>
        <w:jc w:val="both"/>
        <w:rPr>
          <w:rFonts w:ascii="Arial" w:eastAsia="Times New Roman" w:hAnsi="Arial" w:cs="Arial"/>
          <w:sz w:val="20"/>
          <w:szCs w:val="20"/>
          <w:lang w:val="es-419" w:eastAsia="es-ES"/>
        </w:rPr>
      </w:pPr>
      <w:r w:rsidRPr="001270DE">
        <w:rPr>
          <w:rFonts w:ascii="Arial" w:eastAsia="Times New Roman" w:hAnsi="Arial" w:cs="Arial"/>
          <w:sz w:val="20"/>
          <w:szCs w:val="20"/>
          <w:lang w:val="es-419" w:eastAsia="es-ES"/>
        </w:rPr>
        <w:t>Demandante en reconvención:</w:t>
      </w:r>
      <w:r>
        <w:rPr>
          <w:rFonts w:ascii="Arial" w:eastAsia="Times New Roman" w:hAnsi="Arial" w:cs="Arial"/>
          <w:sz w:val="20"/>
          <w:szCs w:val="20"/>
          <w:lang w:val="es-419" w:eastAsia="es-ES"/>
        </w:rPr>
        <w:tab/>
      </w:r>
      <w:r w:rsidRPr="001270DE">
        <w:rPr>
          <w:rFonts w:ascii="Arial" w:eastAsia="Times New Roman" w:hAnsi="Arial" w:cs="Arial"/>
          <w:sz w:val="20"/>
          <w:szCs w:val="20"/>
          <w:lang w:val="es-419" w:eastAsia="es-ES"/>
        </w:rPr>
        <w:t xml:space="preserve">Sociedad Colombiana de Minerales y </w:t>
      </w:r>
      <w:r>
        <w:rPr>
          <w:rFonts w:ascii="Arial" w:eastAsia="Times New Roman" w:hAnsi="Arial" w:cs="Arial"/>
          <w:sz w:val="20"/>
          <w:szCs w:val="20"/>
          <w:lang w:val="es-419" w:eastAsia="es-ES"/>
        </w:rPr>
        <w:t>otro</w:t>
      </w:r>
    </w:p>
    <w:p w14:paraId="20A51A20" w14:textId="5A033756" w:rsidR="001270DE" w:rsidRPr="001270DE" w:rsidRDefault="001270DE" w:rsidP="001270DE">
      <w:pPr>
        <w:spacing w:after="0" w:line="240" w:lineRule="auto"/>
        <w:jc w:val="both"/>
        <w:rPr>
          <w:rFonts w:ascii="Arial" w:eastAsia="Times New Roman" w:hAnsi="Arial" w:cs="Arial"/>
          <w:sz w:val="20"/>
          <w:szCs w:val="20"/>
          <w:lang w:val="es-419" w:eastAsia="es-ES"/>
        </w:rPr>
      </w:pPr>
      <w:r w:rsidRPr="001270DE">
        <w:rPr>
          <w:rFonts w:ascii="Arial" w:eastAsia="Times New Roman" w:hAnsi="Arial" w:cs="Arial"/>
          <w:sz w:val="20"/>
          <w:szCs w:val="20"/>
          <w:lang w:val="es-419" w:eastAsia="es-ES"/>
        </w:rPr>
        <w:t>Demandado en reconvención:</w:t>
      </w:r>
      <w:r>
        <w:rPr>
          <w:rFonts w:ascii="Arial" w:eastAsia="Times New Roman" w:hAnsi="Arial" w:cs="Arial"/>
          <w:sz w:val="20"/>
          <w:szCs w:val="20"/>
          <w:lang w:val="es-419" w:eastAsia="es-ES"/>
        </w:rPr>
        <w:tab/>
      </w:r>
      <w:r w:rsidRPr="001270DE">
        <w:rPr>
          <w:rFonts w:ascii="Arial" w:eastAsia="Times New Roman" w:hAnsi="Arial" w:cs="Arial"/>
          <w:sz w:val="20"/>
          <w:szCs w:val="20"/>
          <w:lang w:val="es-419" w:eastAsia="es-ES"/>
        </w:rPr>
        <w:t>Sociedad Gaviria y Gaviria Ltda. en liquidación</w:t>
      </w:r>
    </w:p>
    <w:p w14:paraId="78E81237" w14:textId="77777777" w:rsidR="001270DE" w:rsidRPr="001270DE" w:rsidRDefault="001270DE" w:rsidP="001270DE">
      <w:pPr>
        <w:spacing w:after="0" w:line="240" w:lineRule="auto"/>
        <w:jc w:val="both"/>
        <w:rPr>
          <w:rFonts w:ascii="Arial" w:eastAsia="Times New Roman" w:hAnsi="Arial" w:cs="Arial"/>
          <w:sz w:val="20"/>
          <w:szCs w:val="20"/>
          <w:lang w:val="es-419" w:eastAsia="es-ES"/>
        </w:rPr>
      </w:pPr>
    </w:p>
    <w:p w14:paraId="7A0FCAF4" w14:textId="2B619CEC" w:rsidR="001270DE" w:rsidRPr="001270DE" w:rsidRDefault="001270DE" w:rsidP="001270DE">
      <w:pPr>
        <w:spacing w:after="0" w:line="240" w:lineRule="auto"/>
        <w:jc w:val="both"/>
        <w:rPr>
          <w:rFonts w:ascii="Arial" w:eastAsia="Times New Roman" w:hAnsi="Arial" w:cs="Arial"/>
          <w:b/>
          <w:bCs/>
          <w:iCs/>
          <w:sz w:val="20"/>
          <w:szCs w:val="20"/>
          <w:lang w:val="es-419" w:eastAsia="fr-FR"/>
        </w:rPr>
      </w:pPr>
      <w:r w:rsidRPr="001270DE">
        <w:rPr>
          <w:rFonts w:ascii="Arial" w:eastAsia="Times New Roman" w:hAnsi="Arial" w:cs="Arial"/>
          <w:b/>
          <w:bCs/>
          <w:iCs/>
          <w:sz w:val="20"/>
          <w:szCs w:val="20"/>
          <w:u w:val="single"/>
          <w:lang w:val="es-419" w:eastAsia="fr-FR"/>
        </w:rPr>
        <w:t>TEMAS:</w:t>
      </w:r>
      <w:r w:rsidRPr="001270DE">
        <w:rPr>
          <w:rFonts w:ascii="Arial" w:eastAsia="Times New Roman" w:hAnsi="Arial" w:cs="Arial"/>
          <w:b/>
          <w:bCs/>
          <w:iCs/>
          <w:sz w:val="20"/>
          <w:szCs w:val="20"/>
          <w:lang w:val="es-419" w:eastAsia="fr-FR"/>
        </w:rPr>
        <w:tab/>
      </w:r>
      <w:r w:rsidR="004633F9">
        <w:rPr>
          <w:rFonts w:ascii="Arial" w:eastAsia="Times New Roman" w:hAnsi="Arial" w:cs="Arial"/>
          <w:b/>
          <w:bCs/>
          <w:iCs/>
          <w:sz w:val="20"/>
          <w:szCs w:val="20"/>
          <w:lang w:val="es-419" w:eastAsia="fr-FR"/>
        </w:rPr>
        <w:t xml:space="preserve">RECURSO DE CASACIÓN / PROCEDENCIA Y REQUISITOS / </w:t>
      </w:r>
      <w:r w:rsidR="00435324">
        <w:rPr>
          <w:rFonts w:ascii="Arial" w:eastAsia="Times New Roman" w:hAnsi="Arial" w:cs="Arial"/>
          <w:b/>
          <w:bCs/>
          <w:iCs/>
          <w:sz w:val="20"/>
          <w:szCs w:val="20"/>
          <w:lang w:val="es-419" w:eastAsia="fr-FR"/>
        </w:rPr>
        <w:t>JUSTIPRECIO DEL INTERÉS PARA RECURRIR</w:t>
      </w:r>
      <w:r w:rsidR="004633F9">
        <w:rPr>
          <w:rFonts w:ascii="Arial" w:eastAsia="Times New Roman" w:hAnsi="Arial" w:cs="Arial"/>
          <w:b/>
          <w:bCs/>
          <w:iCs/>
          <w:sz w:val="20"/>
          <w:szCs w:val="20"/>
          <w:lang w:val="es-419" w:eastAsia="fr-FR"/>
        </w:rPr>
        <w:t xml:space="preserve"> </w:t>
      </w:r>
      <w:r w:rsidRPr="001270DE">
        <w:rPr>
          <w:rFonts w:ascii="Arial" w:eastAsia="Times New Roman" w:hAnsi="Arial" w:cs="Arial"/>
          <w:b/>
          <w:bCs/>
          <w:iCs/>
          <w:sz w:val="20"/>
          <w:szCs w:val="20"/>
          <w:lang w:val="es-419" w:eastAsia="fr-FR"/>
        </w:rPr>
        <w:t xml:space="preserve">/ </w:t>
      </w:r>
      <w:r w:rsidR="00435324">
        <w:rPr>
          <w:rFonts w:ascii="Arial" w:eastAsia="Times New Roman" w:hAnsi="Arial" w:cs="Arial"/>
          <w:b/>
          <w:bCs/>
          <w:iCs/>
          <w:sz w:val="20"/>
          <w:szCs w:val="20"/>
          <w:lang w:val="es-419" w:eastAsia="fr-FR"/>
        </w:rPr>
        <w:t>FORMAS DE ESTABLECERLO / DICTAMEN PERICIAL / SUSPENSIÓN DEL CUMPLIMIENTO DEL FALLO.</w:t>
      </w:r>
      <w:bookmarkStart w:id="0" w:name="_GoBack"/>
      <w:bookmarkEnd w:id="0"/>
    </w:p>
    <w:p w14:paraId="4AE9DFF6" w14:textId="77777777" w:rsidR="001270DE" w:rsidRPr="001270DE" w:rsidRDefault="001270DE" w:rsidP="001270DE">
      <w:pPr>
        <w:spacing w:after="0" w:line="240" w:lineRule="auto"/>
        <w:jc w:val="both"/>
        <w:rPr>
          <w:rFonts w:ascii="Arial" w:eastAsia="Times New Roman" w:hAnsi="Arial" w:cs="Arial"/>
          <w:sz w:val="20"/>
          <w:szCs w:val="20"/>
          <w:lang w:val="es-419" w:eastAsia="es-ES"/>
        </w:rPr>
      </w:pPr>
    </w:p>
    <w:p w14:paraId="0941BACF" w14:textId="097E2F33" w:rsidR="001270DE" w:rsidRPr="001270DE" w:rsidRDefault="004633F9" w:rsidP="001270DE">
      <w:pPr>
        <w:spacing w:after="0" w:line="240" w:lineRule="auto"/>
        <w:jc w:val="both"/>
        <w:rPr>
          <w:rFonts w:ascii="Arial" w:eastAsia="Times New Roman" w:hAnsi="Arial" w:cs="Arial"/>
          <w:sz w:val="20"/>
          <w:szCs w:val="20"/>
          <w:lang w:val="es-419" w:eastAsia="es-ES"/>
        </w:rPr>
      </w:pPr>
      <w:r w:rsidRPr="004633F9">
        <w:rPr>
          <w:rFonts w:ascii="Arial" w:eastAsia="Times New Roman" w:hAnsi="Arial" w:cs="Arial"/>
          <w:sz w:val="20"/>
          <w:szCs w:val="20"/>
          <w:lang w:val="es-419" w:eastAsia="es-ES"/>
        </w:rPr>
        <w:t xml:space="preserve">El artículo 334 del Código General del Proceso dice que procede el recurso de casación, entre otras, contra las sentencias dictadas en segunda instancia por los Tribunales Superiores en procesos declarativos; el 337 exige formularlo dentro de los cinco días siguientes a la notificación de la sentencia y no permite hacerlo a quien no apeló la sentencia de primer grado, cuando la proferida por el tribunal hubiese sido exclusivamente confirmatoria de aquella; el 338 dice que “Cuando las pretensiones sean esencialmente económicas, el recurso procede cuando el valor actual de la resolución desfavorable al recurrente sea superior a un mil salarios mínimos legales mensuales vigentes (1000 </w:t>
      </w:r>
      <w:proofErr w:type="spellStart"/>
      <w:r w:rsidRPr="004633F9">
        <w:rPr>
          <w:rFonts w:ascii="Arial" w:eastAsia="Times New Roman" w:hAnsi="Arial" w:cs="Arial"/>
          <w:sz w:val="20"/>
          <w:szCs w:val="20"/>
          <w:lang w:val="es-419" w:eastAsia="es-ES"/>
        </w:rPr>
        <w:t>smlmv</w:t>
      </w:r>
      <w:proofErr w:type="spellEnd"/>
      <w:r w:rsidRPr="004633F9">
        <w:rPr>
          <w:rFonts w:ascii="Arial" w:eastAsia="Times New Roman" w:hAnsi="Arial" w:cs="Arial"/>
          <w:sz w:val="20"/>
          <w:szCs w:val="20"/>
          <w:lang w:val="es-419" w:eastAsia="es-ES"/>
        </w:rPr>
        <w:t>) …” y el 339 enseña que cuando sea necesario fijar el interés económico afectado con la sentencia, su cuantía deberá establecerse con los elementos de juicio que obren en el expediente, sin perjuicio de que el recurrente aporte dictamen pericial si lo estima necesario reza la misma disposición.</w:t>
      </w:r>
      <w:r>
        <w:rPr>
          <w:rFonts w:ascii="Arial" w:eastAsia="Times New Roman" w:hAnsi="Arial" w:cs="Arial"/>
          <w:sz w:val="20"/>
          <w:szCs w:val="20"/>
          <w:lang w:val="es-419" w:eastAsia="es-ES"/>
        </w:rPr>
        <w:t xml:space="preserve"> (…)</w:t>
      </w:r>
    </w:p>
    <w:p w14:paraId="39A853E4" w14:textId="77777777" w:rsidR="001270DE" w:rsidRPr="001270DE" w:rsidRDefault="001270DE" w:rsidP="001270DE">
      <w:pPr>
        <w:spacing w:after="0" w:line="240" w:lineRule="auto"/>
        <w:jc w:val="both"/>
        <w:rPr>
          <w:rFonts w:ascii="Arial" w:eastAsia="Times New Roman" w:hAnsi="Arial" w:cs="Arial"/>
          <w:sz w:val="20"/>
          <w:szCs w:val="20"/>
          <w:lang w:val="es-419" w:eastAsia="es-ES"/>
        </w:rPr>
      </w:pPr>
    </w:p>
    <w:p w14:paraId="09A7309E" w14:textId="41954C58" w:rsidR="001270DE" w:rsidRPr="001270DE" w:rsidRDefault="004633F9" w:rsidP="001270D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633F9">
        <w:rPr>
          <w:rFonts w:ascii="Arial" w:eastAsia="Times New Roman" w:hAnsi="Arial" w:cs="Arial"/>
          <w:sz w:val="20"/>
          <w:szCs w:val="20"/>
          <w:lang w:val="es-419" w:eastAsia="es-ES"/>
        </w:rPr>
        <w:t>a propósito de las formalidades a las que se hace alusión, el nuevo estatuto procesal vino a indicar dos alternativas para justipreciar el interés para recurrir en casación; una de ellas consistente en los medios de convicción aportados al expediente, y por otra, la oportunidad de allegar un dictamen pericial junto con el escrito del recurso que dé las luces suficientes para demostrar lo atañedero con la cuantía de la resolución desfavorable que, en un caso como el que nos ocupa y de lo cual no existe reparo</w:t>
      </w:r>
      <w:r>
        <w:rPr>
          <w:rFonts w:ascii="Arial" w:eastAsia="Times New Roman" w:hAnsi="Arial" w:cs="Arial"/>
          <w:sz w:val="20"/>
          <w:szCs w:val="20"/>
          <w:lang w:val="es-419" w:eastAsia="es-ES"/>
        </w:rPr>
        <w:t>…</w:t>
      </w:r>
      <w:r w:rsidRPr="004633F9">
        <w:rPr>
          <w:rFonts w:ascii="Arial" w:eastAsia="Times New Roman" w:hAnsi="Arial" w:cs="Arial"/>
          <w:sz w:val="20"/>
          <w:szCs w:val="20"/>
          <w:lang w:val="es-419" w:eastAsia="es-ES"/>
        </w:rPr>
        <w:t>, corresponde al valor del inmueble pretendido adquirir por efectos de la posesión y de los frutos que hubieren sido reconocidos a su contrincante</w:t>
      </w:r>
      <w:r>
        <w:rPr>
          <w:rFonts w:ascii="Arial" w:eastAsia="Times New Roman" w:hAnsi="Arial" w:cs="Arial"/>
          <w:sz w:val="20"/>
          <w:szCs w:val="20"/>
          <w:lang w:val="es-419" w:eastAsia="es-ES"/>
        </w:rPr>
        <w:t>…</w:t>
      </w:r>
    </w:p>
    <w:p w14:paraId="6E00C841" w14:textId="77777777" w:rsidR="001270DE" w:rsidRPr="001270DE" w:rsidRDefault="001270DE" w:rsidP="001270DE">
      <w:pPr>
        <w:spacing w:after="0" w:line="240" w:lineRule="auto"/>
        <w:jc w:val="both"/>
        <w:rPr>
          <w:rFonts w:ascii="Arial" w:eastAsia="Times New Roman" w:hAnsi="Arial" w:cs="Arial"/>
          <w:sz w:val="20"/>
          <w:szCs w:val="20"/>
          <w:lang w:val="es-419" w:eastAsia="es-ES"/>
        </w:rPr>
      </w:pPr>
    </w:p>
    <w:p w14:paraId="2F0F61EC" w14:textId="193C3F2C" w:rsidR="001270DE" w:rsidRPr="001270DE" w:rsidRDefault="004633F9" w:rsidP="001270DE">
      <w:pPr>
        <w:spacing w:after="0" w:line="240" w:lineRule="auto"/>
        <w:jc w:val="both"/>
        <w:rPr>
          <w:rFonts w:ascii="Arial" w:eastAsia="Times New Roman" w:hAnsi="Arial" w:cs="Arial"/>
          <w:sz w:val="20"/>
          <w:szCs w:val="20"/>
          <w:lang w:val="es-419" w:eastAsia="es-ES"/>
        </w:rPr>
      </w:pPr>
      <w:r w:rsidRPr="004633F9">
        <w:rPr>
          <w:rFonts w:ascii="Arial" w:eastAsia="Times New Roman" w:hAnsi="Arial" w:cs="Arial"/>
          <w:sz w:val="20"/>
          <w:szCs w:val="20"/>
          <w:lang w:val="es-419" w:eastAsia="es-ES"/>
        </w:rPr>
        <w:t>Ahora bien, toda vez que se ha solicitado por el interesado la suspensión del cumplimiento del fallo recurrido, lo que resulta procedente a la luz de lo reglado por el inciso 4º del artículo 341 del CGP, se resolverá en forma favorable.</w:t>
      </w:r>
    </w:p>
    <w:p w14:paraId="7C2C5B65" w14:textId="77777777" w:rsidR="001270DE" w:rsidRPr="001270DE" w:rsidRDefault="001270DE" w:rsidP="001270DE">
      <w:pPr>
        <w:spacing w:after="0" w:line="240" w:lineRule="auto"/>
        <w:jc w:val="both"/>
        <w:rPr>
          <w:rFonts w:ascii="Arial" w:eastAsia="Times New Roman" w:hAnsi="Arial" w:cs="Arial"/>
          <w:sz w:val="20"/>
          <w:szCs w:val="20"/>
          <w:lang w:val="es-ES" w:eastAsia="es-ES"/>
        </w:rPr>
      </w:pPr>
    </w:p>
    <w:p w14:paraId="4CBB2887" w14:textId="77777777" w:rsidR="001270DE" w:rsidRPr="001270DE" w:rsidRDefault="001270DE" w:rsidP="001270DE">
      <w:pPr>
        <w:spacing w:after="0" w:line="240" w:lineRule="auto"/>
        <w:jc w:val="both"/>
        <w:rPr>
          <w:rFonts w:ascii="Arial" w:eastAsia="Times New Roman" w:hAnsi="Arial" w:cs="Arial"/>
          <w:sz w:val="20"/>
          <w:szCs w:val="20"/>
          <w:lang w:val="es-ES" w:eastAsia="es-ES"/>
        </w:rPr>
      </w:pPr>
    </w:p>
    <w:p w14:paraId="430EA02E" w14:textId="77777777" w:rsidR="001270DE" w:rsidRPr="001270DE" w:rsidRDefault="001270DE" w:rsidP="001270DE">
      <w:pPr>
        <w:spacing w:after="0" w:line="240" w:lineRule="auto"/>
        <w:jc w:val="both"/>
        <w:rPr>
          <w:rFonts w:ascii="Arial" w:eastAsia="Times New Roman" w:hAnsi="Arial" w:cs="Arial"/>
          <w:sz w:val="20"/>
          <w:szCs w:val="20"/>
          <w:lang w:val="es-ES" w:eastAsia="es-ES"/>
        </w:rPr>
      </w:pPr>
    </w:p>
    <w:p w14:paraId="1C3BEE41" w14:textId="5803A8C9" w:rsidR="007C2F78" w:rsidRPr="001270DE" w:rsidRDefault="007C2F78" w:rsidP="001270DE">
      <w:pPr>
        <w:spacing w:after="0" w:line="276" w:lineRule="auto"/>
        <w:jc w:val="center"/>
        <w:rPr>
          <w:rFonts w:ascii="Tahoma" w:hAnsi="Tahoma" w:cs="Tahoma"/>
          <w:b/>
          <w:sz w:val="24"/>
          <w:szCs w:val="24"/>
          <w:lang w:val="es-ES_tradnl"/>
        </w:rPr>
      </w:pPr>
      <w:r w:rsidRPr="001270DE">
        <w:rPr>
          <w:rFonts w:ascii="Tahoma" w:hAnsi="Tahoma" w:cs="Tahoma"/>
          <w:b/>
          <w:sz w:val="24"/>
          <w:szCs w:val="24"/>
        </w:rPr>
        <w:t>TRIBUNAL SUPERIOR DEL DISTRITO JUDICIAL</w:t>
      </w:r>
    </w:p>
    <w:p w14:paraId="2DB22494" w14:textId="77777777" w:rsidR="007C2F78" w:rsidRPr="001270DE" w:rsidRDefault="007C2F78" w:rsidP="001270DE">
      <w:pPr>
        <w:spacing w:after="0" w:line="276" w:lineRule="auto"/>
        <w:jc w:val="center"/>
        <w:rPr>
          <w:rFonts w:ascii="Tahoma" w:hAnsi="Tahoma" w:cs="Tahoma"/>
          <w:b/>
          <w:sz w:val="24"/>
          <w:szCs w:val="24"/>
        </w:rPr>
      </w:pPr>
      <w:r w:rsidRPr="001270DE">
        <w:rPr>
          <w:rFonts w:ascii="Tahoma" w:hAnsi="Tahoma" w:cs="Tahoma"/>
          <w:b/>
          <w:sz w:val="24"/>
          <w:szCs w:val="24"/>
        </w:rPr>
        <w:t>SALA UNITARIA CIVIL FAMILIA</w:t>
      </w:r>
      <w:r w:rsidRPr="001270DE">
        <w:rPr>
          <w:rFonts w:ascii="Tahoma" w:hAnsi="Tahoma" w:cs="Tahoma"/>
          <w:b/>
          <w:sz w:val="24"/>
          <w:szCs w:val="24"/>
        </w:rPr>
        <w:br/>
      </w:r>
    </w:p>
    <w:p w14:paraId="3461D779" w14:textId="77777777" w:rsidR="007C2F78" w:rsidRPr="001270DE" w:rsidRDefault="007C2F78" w:rsidP="001270DE">
      <w:pPr>
        <w:spacing w:after="0" w:line="276" w:lineRule="auto"/>
        <w:jc w:val="center"/>
        <w:rPr>
          <w:rFonts w:ascii="Tahoma" w:hAnsi="Tahoma" w:cs="Tahoma"/>
          <w:b/>
          <w:sz w:val="24"/>
          <w:szCs w:val="24"/>
        </w:rPr>
      </w:pPr>
    </w:p>
    <w:p w14:paraId="597B882D" w14:textId="0BC98A1F" w:rsidR="007C2F78" w:rsidRPr="001270DE" w:rsidRDefault="007C2F78" w:rsidP="001270DE">
      <w:pPr>
        <w:spacing w:after="0" w:line="276" w:lineRule="auto"/>
        <w:jc w:val="both"/>
        <w:rPr>
          <w:rFonts w:ascii="Tahoma" w:hAnsi="Tahoma" w:cs="Tahoma"/>
          <w:sz w:val="24"/>
          <w:szCs w:val="24"/>
        </w:rPr>
      </w:pPr>
      <w:r w:rsidRPr="001270DE">
        <w:rPr>
          <w:rFonts w:ascii="Tahoma" w:hAnsi="Tahoma" w:cs="Tahoma"/>
          <w:sz w:val="24"/>
          <w:szCs w:val="24"/>
        </w:rPr>
        <w:t xml:space="preserve">Magistrada: </w:t>
      </w:r>
      <w:r w:rsidR="00BD6CB1" w:rsidRPr="001270DE">
        <w:rPr>
          <w:rFonts w:ascii="Tahoma" w:hAnsi="Tahoma" w:cs="Tahoma"/>
          <w:sz w:val="24"/>
          <w:szCs w:val="24"/>
        </w:rPr>
        <w:t>Adriana Patricia Díaz Ramírez</w:t>
      </w:r>
    </w:p>
    <w:p w14:paraId="261775DC" w14:textId="2D0C711F" w:rsidR="007C2F78" w:rsidRPr="001270DE" w:rsidRDefault="007C2F78" w:rsidP="001270DE">
      <w:pPr>
        <w:spacing w:after="0" w:line="276" w:lineRule="auto"/>
        <w:jc w:val="both"/>
        <w:rPr>
          <w:rFonts w:ascii="Tahoma" w:hAnsi="Tahoma" w:cs="Tahoma"/>
          <w:sz w:val="24"/>
          <w:szCs w:val="24"/>
        </w:rPr>
      </w:pPr>
      <w:r w:rsidRPr="001270DE">
        <w:rPr>
          <w:rFonts w:ascii="Tahoma" w:hAnsi="Tahoma" w:cs="Tahoma"/>
          <w:sz w:val="24"/>
          <w:szCs w:val="24"/>
        </w:rPr>
        <w:t>Pereira,</w:t>
      </w:r>
      <w:r w:rsidR="00BD6CB1" w:rsidRPr="001270DE">
        <w:rPr>
          <w:rFonts w:ascii="Tahoma" w:hAnsi="Tahoma" w:cs="Tahoma"/>
          <w:sz w:val="24"/>
          <w:szCs w:val="24"/>
        </w:rPr>
        <w:t xml:space="preserve"> </w:t>
      </w:r>
      <w:r w:rsidR="416939B6" w:rsidRPr="001270DE">
        <w:rPr>
          <w:rFonts w:ascii="Tahoma" w:hAnsi="Tahoma" w:cs="Tahoma"/>
          <w:sz w:val="24"/>
          <w:szCs w:val="24"/>
        </w:rPr>
        <w:t>dos (2) de febrero</w:t>
      </w:r>
      <w:r w:rsidR="00BD6CB1" w:rsidRPr="001270DE">
        <w:rPr>
          <w:rFonts w:ascii="Tahoma" w:hAnsi="Tahoma" w:cs="Tahoma"/>
          <w:sz w:val="24"/>
          <w:szCs w:val="24"/>
        </w:rPr>
        <w:t xml:space="preserve"> de dos mil veintiuno (2021)</w:t>
      </w:r>
    </w:p>
    <w:p w14:paraId="6102CA3E" w14:textId="3A252052" w:rsidR="00183DB9" w:rsidRPr="001270DE" w:rsidRDefault="00BD6CB1" w:rsidP="001270DE">
      <w:pPr>
        <w:spacing w:after="0" w:line="276" w:lineRule="auto"/>
        <w:jc w:val="both"/>
        <w:rPr>
          <w:rFonts w:ascii="Tahoma" w:hAnsi="Tahoma" w:cs="Tahoma"/>
          <w:sz w:val="24"/>
          <w:szCs w:val="24"/>
        </w:rPr>
      </w:pPr>
      <w:r w:rsidRPr="001270DE">
        <w:rPr>
          <w:rFonts w:ascii="Tahoma" w:hAnsi="Tahoma" w:cs="Tahoma"/>
          <w:sz w:val="24"/>
          <w:szCs w:val="24"/>
        </w:rPr>
        <w:t>Expediente: 66170310300120150013101</w:t>
      </w:r>
    </w:p>
    <w:p w14:paraId="4315A84E" w14:textId="5F5EAD87" w:rsidR="00183DB9" w:rsidRPr="001270DE" w:rsidRDefault="00183DB9" w:rsidP="001270DE">
      <w:pPr>
        <w:spacing w:after="0" w:line="276" w:lineRule="auto"/>
        <w:jc w:val="both"/>
        <w:rPr>
          <w:rFonts w:ascii="Tahoma" w:hAnsi="Tahoma" w:cs="Tahoma"/>
          <w:sz w:val="24"/>
          <w:szCs w:val="24"/>
          <w:lang w:val="es-ES"/>
        </w:rPr>
      </w:pPr>
    </w:p>
    <w:p w14:paraId="1EE8C74E" w14:textId="77777777" w:rsidR="00641E6F" w:rsidRPr="001270DE" w:rsidRDefault="00641E6F" w:rsidP="001270DE">
      <w:pPr>
        <w:spacing w:after="0" w:line="276" w:lineRule="auto"/>
        <w:jc w:val="both"/>
        <w:rPr>
          <w:rFonts w:ascii="Tahoma" w:hAnsi="Tahoma" w:cs="Tahoma"/>
          <w:sz w:val="24"/>
          <w:szCs w:val="24"/>
          <w:lang w:val="es-ES"/>
        </w:rPr>
      </w:pPr>
    </w:p>
    <w:p w14:paraId="1B4A0ECA" w14:textId="6387700D" w:rsidR="004418DC" w:rsidRPr="001270DE" w:rsidRDefault="004418DC" w:rsidP="001270DE">
      <w:pPr>
        <w:spacing w:after="0" w:line="276" w:lineRule="auto"/>
        <w:jc w:val="both"/>
        <w:rPr>
          <w:rFonts w:ascii="Tahoma" w:hAnsi="Tahoma" w:cs="Tahoma"/>
          <w:sz w:val="24"/>
          <w:szCs w:val="24"/>
          <w:lang w:val="es-ES"/>
        </w:rPr>
      </w:pPr>
      <w:r w:rsidRPr="001270DE">
        <w:rPr>
          <w:rFonts w:ascii="Tahoma" w:hAnsi="Tahoma" w:cs="Tahoma"/>
          <w:sz w:val="24"/>
          <w:szCs w:val="24"/>
          <w:lang w:val="es-ES"/>
        </w:rPr>
        <w:t xml:space="preserve">De acuerdo con el artículo 340 del Código General del Proceso, se decide en Sala Unitaria lo relacionado con la concesión del recurso de casación que interpuso el demandante </w:t>
      </w:r>
      <w:r w:rsidR="00762673" w:rsidRPr="001270DE">
        <w:rPr>
          <w:rFonts w:ascii="Tahoma" w:hAnsi="Tahoma" w:cs="Tahoma"/>
          <w:sz w:val="24"/>
          <w:szCs w:val="24"/>
          <w:lang w:val="es-ES"/>
        </w:rPr>
        <w:t xml:space="preserve">en reconvención Colombiana de Minerales y Carbones Comercializadora Internacional SAS en el proceso de la referencia, </w:t>
      </w:r>
      <w:r w:rsidRPr="001270DE">
        <w:rPr>
          <w:rFonts w:ascii="Tahoma" w:hAnsi="Tahoma" w:cs="Tahoma"/>
          <w:sz w:val="24"/>
          <w:szCs w:val="24"/>
          <w:lang w:val="es-ES"/>
        </w:rPr>
        <w:t>contra la sentencia de segunda instancia, proferida en este asunto.</w:t>
      </w:r>
    </w:p>
    <w:p w14:paraId="03262843" w14:textId="77777777" w:rsidR="004418DC" w:rsidRPr="001270DE" w:rsidRDefault="004418DC" w:rsidP="001270DE">
      <w:pPr>
        <w:spacing w:after="0" w:line="276" w:lineRule="auto"/>
        <w:jc w:val="both"/>
        <w:rPr>
          <w:rFonts w:ascii="Tahoma" w:hAnsi="Tahoma" w:cs="Tahoma"/>
          <w:sz w:val="24"/>
          <w:szCs w:val="24"/>
          <w:lang w:val="es-ES"/>
        </w:rPr>
      </w:pPr>
    </w:p>
    <w:p w14:paraId="69E353C0" w14:textId="46BD36F3" w:rsidR="004418DC" w:rsidRPr="001270DE" w:rsidRDefault="004418DC" w:rsidP="001270DE">
      <w:pPr>
        <w:spacing w:after="0" w:line="276" w:lineRule="auto"/>
        <w:jc w:val="both"/>
        <w:rPr>
          <w:rFonts w:ascii="Tahoma" w:hAnsi="Tahoma" w:cs="Tahoma"/>
          <w:sz w:val="24"/>
          <w:szCs w:val="24"/>
          <w:lang w:val="es-ES"/>
        </w:rPr>
      </w:pPr>
      <w:r w:rsidRPr="001270DE">
        <w:rPr>
          <w:rFonts w:ascii="Tahoma" w:hAnsi="Tahoma" w:cs="Tahoma"/>
          <w:sz w:val="24"/>
          <w:szCs w:val="24"/>
          <w:lang w:val="es-ES"/>
        </w:rPr>
        <w:t xml:space="preserve">El Juzgado </w:t>
      </w:r>
      <w:r w:rsidR="00762673" w:rsidRPr="001270DE">
        <w:rPr>
          <w:rFonts w:ascii="Tahoma" w:hAnsi="Tahoma" w:cs="Tahoma"/>
          <w:sz w:val="24"/>
          <w:szCs w:val="24"/>
          <w:lang w:val="es-ES"/>
        </w:rPr>
        <w:t>Civil del Circuito de Dosquebradas</w:t>
      </w:r>
      <w:r w:rsidRPr="001270DE">
        <w:rPr>
          <w:rFonts w:ascii="Tahoma" w:hAnsi="Tahoma" w:cs="Tahoma"/>
          <w:sz w:val="24"/>
          <w:szCs w:val="24"/>
          <w:lang w:val="es-ES"/>
        </w:rPr>
        <w:t>, p</w:t>
      </w:r>
      <w:r w:rsidR="00762673" w:rsidRPr="001270DE">
        <w:rPr>
          <w:rFonts w:ascii="Tahoma" w:hAnsi="Tahoma" w:cs="Tahoma"/>
          <w:sz w:val="24"/>
          <w:szCs w:val="24"/>
          <w:lang w:val="es-ES"/>
        </w:rPr>
        <w:t>or sentencia del 14</w:t>
      </w:r>
      <w:r w:rsidRPr="001270DE">
        <w:rPr>
          <w:rFonts w:ascii="Tahoma" w:hAnsi="Tahoma" w:cs="Tahoma"/>
          <w:sz w:val="24"/>
          <w:szCs w:val="24"/>
          <w:lang w:val="es-ES"/>
        </w:rPr>
        <w:t xml:space="preserve"> de</w:t>
      </w:r>
      <w:r w:rsidR="00762673" w:rsidRPr="001270DE">
        <w:rPr>
          <w:rFonts w:ascii="Tahoma" w:hAnsi="Tahoma" w:cs="Tahoma"/>
          <w:sz w:val="24"/>
          <w:szCs w:val="24"/>
          <w:lang w:val="es-ES"/>
        </w:rPr>
        <w:t xml:space="preserve"> septiembre de 2018</w:t>
      </w:r>
      <w:r w:rsidRPr="001270DE">
        <w:rPr>
          <w:rFonts w:ascii="Tahoma" w:hAnsi="Tahoma" w:cs="Tahoma"/>
          <w:sz w:val="24"/>
          <w:szCs w:val="24"/>
          <w:lang w:val="es-ES"/>
        </w:rPr>
        <w:t xml:space="preserve">, dictada en el proceso </w:t>
      </w:r>
      <w:r w:rsidR="00762673" w:rsidRPr="001270DE">
        <w:rPr>
          <w:rFonts w:ascii="Tahoma" w:hAnsi="Tahoma" w:cs="Tahoma"/>
          <w:sz w:val="24"/>
          <w:szCs w:val="24"/>
          <w:lang w:val="es-ES"/>
        </w:rPr>
        <w:t xml:space="preserve">reivindicatorio seguido por la Sociedad Gaviria y Gaviria Ltda. en liquidación contra Bernardo Gómez Herrera y la sociedad Comercializadora Internacional SAS, en la que esta formuló demanda de reconvención, prescripción adquisitiva de dominio, </w:t>
      </w:r>
      <w:r w:rsidRPr="001270DE">
        <w:rPr>
          <w:rFonts w:ascii="Tahoma" w:hAnsi="Tahoma" w:cs="Tahoma"/>
          <w:sz w:val="24"/>
          <w:szCs w:val="24"/>
        </w:rPr>
        <w:t xml:space="preserve">negó las </w:t>
      </w:r>
      <w:r w:rsidRPr="001270DE">
        <w:rPr>
          <w:rFonts w:ascii="Tahoma" w:hAnsi="Tahoma" w:cs="Tahoma"/>
          <w:sz w:val="24"/>
          <w:szCs w:val="24"/>
          <w:lang w:val="es-ES"/>
        </w:rPr>
        <w:t>pretensiones de la demanda</w:t>
      </w:r>
      <w:r w:rsidR="002B4AFF" w:rsidRPr="001270DE">
        <w:rPr>
          <w:rFonts w:ascii="Tahoma" w:hAnsi="Tahoma" w:cs="Tahoma"/>
          <w:sz w:val="24"/>
          <w:szCs w:val="24"/>
          <w:lang w:val="es-ES"/>
        </w:rPr>
        <w:t xml:space="preserve"> de mutua petición y accedió a la reivindicación deprecada en el libelo principal</w:t>
      </w:r>
      <w:r w:rsidRPr="001270DE">
        <w:rPr>
          <w:rFonts w:ascii="Tahoma" w:hAnsi="Tahoma" w:cs="Tahoma"/>
          <w:sz w:val="24"/>
          <w:szCs w:val="24"/>
          <w:lang w:val="es-ES"/>
        </w:rPr>
        <w:t>.</w:t>
      </w:r>
    </w:p>
    <w:p w14:paraId="5110DC8B" w14:textId="77777777" w:rsidR="004418DC" w:rsidRPr="001270DE" w:rsidRDefault="004418DC" w:rsidP="001270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Tahoma" w:hAnsi="Tahoma" w:cs="Tahoma"/>
          <w:sz w:val="24"/>
          <w:szCs w:val="24"/>
          <w:lang w:val="es-ES"/>
        </w:rPr>
      </w:pPr>
    </w:p>
    <w:p w14:paraId="4DE4DC65" w14:textId="62323D84" w:rsidR="004418DC" w:rsidRPr="001270DE" w:rsidRDefault="004418DC" w:rsidP="001270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Tahoma" w:hAnsi="Tahoma" w:cs="Tahoma"/>
          <w:sz w:val="24"/>
          <w:szCs w:val="24"/>
          <w:lang w:val="es-ES"/>
        </w:rPr>
      </w:pPr>
      <w:r w:rsidRPr="001270DE">
        <w:rPr>
          <w:rFonts w:ascii="Tahoma" w:hAnsi="Tahoma" w:cs="Tahoma"/>
          <w:sz w:val="24"/>
          <w:szCs w:val="24"/>
          <w:lang w:val="es-ES"/>
        </w:rPr>
        <w:t xml:space="preserve">Con motivo del recurso de apelación interpuesto por </w:t>
      </w:r>
      <w:r w:rsidR="002B4AFF" w:rsidRPr="001270DE">
        <w:rPr>
          <w:rFonts w:ascii="Tahoma" w:hAnsi="Tahoma" w:cs="Tahoma"/>
          <w:sz w:val="24"/>
          <w:szCs w:val="24"/>
          <w:lang w:val="es-ES"/>
        </w:rPr>
        <w:t xml:space="preserve">la </w:t>
      </w:r>
      <w:r w:rsidRPr="001270DE">
        <w:rPr>
          <w:rFonts w:ascii="Tahoma" w:hAnsi="Tahoma" w:cs="Tahoma"/>
          <w:sz w:val="24"/>
          <w:szCs w:val="24"/>
          <w:lang w:val="es-ES"/>
        </w:rPr>
        <w:t>demandante</w:t>
      </w:r>
      <w:r w:rsidR="002B4AFF" w:rsidRPr="001270DE">
        <w:rPr>
          <w:rFonts w:ascii="Tahoma" w:hAnsi="Tahoma" w:cs="Tahoma"/>
          <w:sz w:val="24"/>
          <w:szCs w:val="24"/>
          <w:lang w:val="es-ES"/>
        </w:rPr>
        <w:t xml:space="preserve"> en reconvención</w:t>
      </w:r>
      <w:r w:rsidRPr="001270DE">
        <w:rPr>
          <w:rFonts w:ascii="Tahoma" w:hAnsi="Tahoma" w:cs="Tahoma"/>
          <w:sz w:val="24"/>
          <w:szCs w:val="24"/>
          <w:lang w:val="es-ES"/>
        </w:rPr>
        <w:t xml:space="preserve">, </w:t>
      </w:r>
      <w:r w:rsidR="002B4AFF" w:rsidRPr="001270DE">
        <w:rPr>
          <w:rFonts w:ascii="Tahoma" w:hAnsi="Tahoma" w:cs="Tahoma"/>
          <w:sz w:val="24"/>
          <w:szCs w:val="24"/>
          <w:lang w:val="es-ES"/>
        </w:rPr>
        <w:t xml:space="preserve">se dictó sentencia de segundo grado </w:t>
      </w:r>
      <w:r w:rsidRPr="001270DE">
        <w:rPr>
          <w:rFonts w:ascii="Tahoma" w:hAnsi="Tahoma" w:cs="Tahoma"/>
          <w:sz w:val="24"/>
          <w:szCs w:val="24"/>
          <w:lang w:val="es-ES"/>
        </w:rPr>
        <w:t xml:space="preserve">el </w:t>
      </w:r>
      <w:r w:rsidR="002B4AFF" w:rsidRPr="001270DE">
        <w:rPr>
          <w:rFonts w:ascii="Tahoma" w:hAnsi="Tahoma" w:cs="Tahoma"/>
          <w:sz w:val="24"/>
          <w:szCs w:val="24"/>
          <w:lang w:val="es-ES"/>
        </w:rPr>
        <w:t>12 de diciembre de 2019, mediante la cual</w:t>
      </w:r>
      <w:r w:rsidRPr="001270DE">
        <w:rPr>
          <w:rFonts w:ascii="Tahoma" w:hAnsi="Tahoma" w:cs="Tahoma"/>
          <w:sz w:val="24"/>
          <w:szCs w:val="24"/>
          <w:lang w:val="es-ES"/>
        </w:rPr>
        <w:t xml:space="preserve"> se confirmó la</w:t>
      </w:r>
      <w:r w:rsidR="002B4AFF" w:rsidRPr="001270DE">
        <w:rPr>
          <w:rFonts w:ascii="Tahoma" w:hAnsi="Tahoma" w:cs="Tahoma"/>
          <w:sz w:val="24"/>
          <w:szCs w:val="24"/>
          <w:lang w:val="es-ES"/>
        </w:rPr>
        <w:t xml:space="preserve"> impugnada; respecto de ella, la parte actora en reconvención interpuso recurso de casación, </w:t>
      </w:r>
      <w:r w:rsidR="31B745C7" w:rsidRPr="001270DE">
        <w:rPr>
          <w:rFonts w:ascii="Tahoma" w:hAnsi="Tahoma" w:cs="Tahoma"/>
          <w:sz w:val="24"/>
          <w:szCs w:val="24"/>
          <w:lang w:val="es-ES"/>
        </w:rPr>
        <w:t>con tal fin</w:t>
      </w:r>
      <w:r w:rsidR="002B4AFF" w:rsidRPr="001270DE">
        <w:rPr>
          <w:rFonts w:ascii="Tahoma" w:hAnsi="Tahoma" w:cs="Tahoma"/>
          <w:sz w:val="24"/>
          <w:szCs w:val="24"/>
          <w:lang w:val="es-ES"/>
        </w:rPr>
        <w:t xml:space="preserve"> allegó un dictamen en aras de demostrar la cuantía del predio solicitado en usucapión.</w:t>
      </w:r>
    </w:p>
    <w:p w14:paraId="69A64686" w14:textId="77777777" w:rsidR="004418DC" w:rsidRPr="001270DE" w:rsidRDefault="004418DC" w:rsidP="001270DE">
      <w:pPr>
        <w:pStyle w:val="Textoindependiente"/>
        <w:spacing w:line="276" w:lineRule="auto"/>
        <w:rPr>
          <w:rFonts w:ascii="Tahoma" w:hAnsi="Tahoma" w:cs="Tahoma"/>
          <w:szCs w:val="24"/>
        </w:rPr>
      </w:pPr>
    </w:p>
    <w:p w14:paraId="2AEC6AAF" w14:textId="29794FD6" w:rsidR="004418DC" w:rsidRPr="001270DE" w:rsidRDefault="004418DC" w:rsidP="001270DE">
      <w:pPr>
        <w:spacing w:after="0" w:line="276" w:lineRule="auto"/>
        <w:jc w:val="both"/>
        <w:rPr>
          <w:rFonts w:ascii="Tahoma" w:hAnsi="Tahoma" w:cs="Tahoma"/>
          <w:sz w:val="24"/>
          <w:szCs w:val="24"/>
          <w:lang w:val="es-ES"/>
        </w:rPr>
      </w:pPr>
      <w:r w:rsidRPr="001270DE">
        <w:rPr>
          <w:rFonts w:ascii="Tahoma" w:hAnsi="Tahoma" w:cs="Tahoma"/>
          <w:sz w:val="24"/>
          <w:szCs w:val="24"/>
          <w:lang w:val="es-ES"/>
        </w:rPr>
        <w:t xml:space="preserve">El artículo 334 del Código General del Proceso dice que procede el recurso de casación, entre otras, contra las sentencias dictadas en segunda instancia por los Tribunales Superiores en procesos declarativos; el 337 exige formularlo dentro de los cinco días siguientes a la notificación de la sentencia y no permite hacerlo a quien no apeló la sentencia de primer grado, cuando la proferida por el tribunal hubiese sido exclusivamente confirmatoria de aquella; el 338 dice que </w:t>
      </w:r>
      <w:r w:rsidRPr="001270DE">
        <w:rPr>
          <w:rFonts w:ascii="Tahoma" w:hAnsi="Tahoma" w:cs="Tahoma"/>
          <w:i/>
          <w:sz w:val="24"/>
          <w:szCs w:val="24"/>
          <w:lang w:val="es-ES"/>
        </w:rPr>
        <w:t>“</w:t>
      </w:r>
      <w:r w:rsidRPr="001270DE">
        <w:rPr>
          <w:rFonts w:ascii="Tahoma" w:hAnsi="Tahoma" w:cs="Tahoma"/>
          <w:i/>
          <w:szCs w:val="24"/>
          <w:lang w:val="es-ES"/>
        </w:rPr>
        <w:t xml:space="preserve">Cuando las pretensiones sean esencialmente económicas, el recurso procede cuando el valor actual de la resolución desfavorable al recurrente sea superior a un mil salarios mínimos legales mensuales vigentes (1000 </w:t>
      </w:r>
      <w:proofErr w:type="spellStart"/>
      <w:r w:rsidRPr="001270DE">
        <w:rPr>
          <w:rFonts w:ascii="Tahoma" w:hAnsi="Tahoma" w:cs="Tahoma"/>
          <w:i/>
          <w:szCs w:val="24"/>
          <w:lang w:val="es-ES"/>
        </w:rPr>
        <w:t>smlmv</w:t>
      </w:r>
      <w:proofErr w:type="spellEnd"/>
      <w:r w:rsidRPr="001270DE">
        <w:rPr>
          <w:rFonts w:ascii="Tahoma" w:hAnsi="Tahoma" w:cs="Tahoma"/>
          <w:i/>
          <w:szCs w:val="24"/>
          <w:lang w:val="es-ES"/>
        </w:rPr>
        <w:t>) …</w:t>
      </w:r>
      <w:r w:rsidRPr="001270DE">
        <w:rPr>
          <w:rFonts w:ascii="Tahoma" w:hAnsi="Tahoma" w:cs="Tahoma"/>
          <w:i/>
          <w:sz w:val="24"/>
          <w:szCs w:val="24"/>
          <w:lang w:val="es-ES"/>
        </w:rPr>
        <w:t xml:space="preserve">” </w:t>
      </w:r>
      <w:r w:rsidRPr="001270DE">
        <w:rPr>
          <w:rFonts w:ascii="Tahoma" w:hAnsi="Tahoma" w:cs="Tahoma"/>
          <w:sz w:val="24"/>
          <w:szCs w:val="24"/>
          <w:lang w:val="es-ES"/>
        </w:rPr>
        <w:t>y el 339 enseña que cuando sea necesario fijar el interés económico afectado con la sentencia, su cuantía deberá establecerse con los elementos de ju</w:t>
      </w:r>
      <w:r w:rsidR="002B4AFF" w:rsidRPr="001270DE">
        <w:rPr>
          <w:rFonts w:ascii="Tahoma" w:hAnsi="Tahoma" w:cs="Tahoma"/>
          <w:sz w:val="24"/>
          <w:szCs w:val="24"/>
          <w:lang w:val="es-ES"/>
        </w:rPr>
        <w:t>icio que obren en el expediente, sin perjuicio de que el recurrente aporte dictamen pericial si lo estima necesario reza la misma disposición.</w:t>
      </w:r>
    </w:p>
    <w:p w14:paraId="2DF88E2C" w14:textId="33730820" w:rsidR="00250D7C" w:rsidRPr="001270DE" w:rsidRDefault="00250D7C" w:rsidP="001270DE">
      <w:pPr>
        <w:spacing w:after="0" w:line="276" w:lineRule="auto"/>
        <w:jc w:val="both"/>
        <w:rPr>
          <w:rFonts w:ascii="Tahoma" w:hAnsi="Tahoma" w:cs="Tahoma"/>
          <w:sz w:val="24"/>
          <w:szCs w:val="24"/>
          <w:lang w:val="es-ES"/>
        </w:rPr>
      </w:pPr>
    </w:p>
    <w:p w14:paraId="5F0B7ACE" w14:textId="4C53CCF2" w:rsidR="00250D7C" w:rsidRPr="001270DE" w:rsidRDefault="00250D7C" w:rsidP="001270DE">
      <w:pPr>
        <w:spacing w:after="0" w:line="276" w:lineRule="auto"/>
        <w:jc w:val="both"/>
        <w:rPr>
          <w:rFonts w:ascii="Tahoma" w:hAnsi="Tahoma" w:cs="Tahoma"/>
          <w:sz w:val="24"/>
          <w:szCs w:val="24"/>
          <w:lang w:val="es-ES"/>
        </w:rPr>
      </w:pPr>
      <w:r w:rsidRPr="001270DE">
        <w:rPr>
          <w:rFonts w:ascii="Tahoma" w:hAnsi="Tahoma" w:cs="Tahoma"/>
          <w:sz w:val="24"/>
          <w:szCs w:val="24"/>
          <w:lang w:val="es-ES"/>
        </w:rPr>
        <w:t xml:space="preserve">Por demás, debe recordarse que la procedencia de los medios de impugnación ordinarios y extraordinarios están </w:t>
      </w:r>
      <w:r w:rsidR="00AB72D4" w:rsidRPr="001270DE">
        <w:rPr>
          <w:rFonts w:ascii="Tahoma" w:hAnsi="Tahoma" w:cs="Tahoma"/>
          <w:sz w:val="24"/>
          <w:szCs w:val="24"/>
          <w:lang w:val="es-ES"/>
        </w:rPr>
        <w:t>supeditados a los siguientes parámetros de manera esencial</w:t>
      </w:r>
      <w:r w:rsidRPr="001270DE">
        <w:rPr>
          <w:rFonts w:ascii="Tahoma" w:hAnsi="Tahoma" w:cs="Tahoma"/>
          <w:sz w:val="24"/>
          <w:szCs w:val="24"/>
          <w:lang w:val="es-ES"/>
        </w:rPr>
        <w:t>:</w:t>
      </w:r>
    </w:p>
    <w:p w14:paraId="4433FB7F" w14:textId="77777777" w:rsidR="00AB72D4" w:rsidRPr="001270DE" w:rsidRDefault="00AB72D4" w:rsidP="001270DE">
      <w:pPr>
        <w:spacing w:after="0" w:line="276" w:lineRule="auto"/>
        <w:jc w:val="both"/>
        <w:rPr>
          <w:rFonts w:ascii="Tahoma" w:hAnsi="Tahoma" w:cs="Tahoma"/>
          <w:i/>
          <w:sz w:val="24"/>
          <w:szCs w:val="24"/>
        </w:rPr>
      </w:pPr>
    </w:p>
    <w:p w14:paraId="6F882C22" w14:textId="467B954F" w:rsidR="00250D7C" w:rsidRPr="001270DE" w:rsidRDefault="00250D7C" w:rsidP="001270DE">
      <w:pPr>
        <w:spacing w:after="0" w:line="276" w:lineRule="auto"/>
        <w:jc w:val="both"/>
        <w:rPr>
          <w:rFonts w:ascii="Tahoma" w:hAnsi="Tahoma" w:cs="Tahoma"/>
          <w:sz w:val="24"/>
          <w:szCs w:val="24"/>
        </w:rPr>
      </w:pPr>
      <w:r w:rsidRPr="001270DE">
        <w:rPr>
          <w:rFonts w:ascii="Tahoma" w:hAnsi="Tahoma" w:cs="Tahoma"/>
          <w:i/>
          <w:sz w:val="24"/>
          <w:szCs w:val="24"/>
        </w:rPr>
        <w:t>i)</w:t>
      </w:r>
      <w:r w:rsidRPr="001270DE">
        <w:rPr>
          <w:rFonts w:ascii="Tahoma" w:hAnsi="Tahoma" w:cs="Tahoma"/>
          <w:sz w:val="24"/>
          <w:szCs w:val="24"/>
        </w:rPr>
        <w:t xml:space="preserve"> que la providencia materia de inconformidad sea susceptible del respectivo medio de refutación; </w:t>
      </w:r>
      <w:proofErr w:type="spellStart"/>
      <w:r w:rsidRPr="001270DE">
        <w:rPr>
          <w:rFonts w:ascii="Tahoma" w:hAnsi="Tahoma" w:cs="Tahoma"/>
          <w:i/>
          <w:sz w:val="24"/>
          <w:szCs w:val="24"/>
        </w:rPr>
        <w:t>ii</w:t>
      </w:r>
      <w:proofErr w:type="spellEnd"/>
      <w:r w:rsidRPr="001270DE">
        <w:rPr>
          <w:rFonts w:ascii="Tahoma" w:hAnsi="Tahoma" w:cs="Tahoma"/>
          <w:i/>
          <w:sz w:val="24"/>
          <w:szCs w:val="24"/>
        </w:rPr>
        <w:t>)</w:t>
      </w:r>
      <w:r w:rsidRPr="001270DE">
        <w:rPr>
          <w:rFonts w:ascii="Tahoma" w:hAnsi="Tahoma" w:cs="Tahoma"/>
          <w:sz w:val="24"/>
          <w:szCs w:val="24"/>
        </w:rPr>
        <w:t xml:space="preserve"> que el </w:t>
      </w:r>
      <w:r w:rsidR="00AB72D4" w:rsidRPr="001270DE">
        <w:rPr>
          <w:rFonts w:ascii="Tahoma" w:hAnsi="Tahoma" w:cs="Tahoma"/>
          <w:sz w:val="24"/>
          <w:szCs w:val="24"/>
        </w:rPr>
        <w:t xml:space="preserve">recurrente </w:t>
      </w:r>
      <w:r w:rsidRPr="001270DE">
        <w:rPr>
          <w:rFonts w:ascii="Tahoma" w:hAnsi="Tahoma" w:cs="Tahoma"/>
          <w:sz w:val="24"/>
          <w:szCs w:val="24"/>
        </w:rPr>
        <w:t>tenga legitimación para</w:t>
      </w:r>
      <w:r w:rsidR="00AB72D4" w:rsidRPr="001270DE">
        <w:rPr>
          <w:rFonts w:ascii="Tahoma" w:hAnsi="Tahoma" w:cs="Tahoma"/>
          <w:sz w:val="24"/>
          <w:szCs w:val="24"/>
        </w:rPr>
        <w:t xml:space="preserve"> promover la controversia</w:t>
      </w:r>
      <w:r w:rsidRPr="001270DE">
        <w:rPr>
          <w:rFonts w:ascii="Tahoma" w:hAnsi="Tahoma" w:cs="Tahoma"/>
          <w:sz w:val="24"/>
          <w:szCs w:val="24"/>
        </w:rPr>
        <w:t xml:space="preserve">; </w:t>
      </w:r>
      <w:proofErr w:type="spellStart"/>
      <w:r w:rsidR="00AB72D4" w:rsidRPr="001270DE">
        <w:rPr>
          <w:rFonts w:ascii="Tahoma" w:hAnsi="Tahoma" w:cs="Tahoma"/>
          <w:i/>
          <w:sz w:val="24"/>
          <w:szCs w:val="24"/>
        </w:rPr>
        <w:t>iii</w:t>
      </w:r>
      <w:proofErr w:type="spellEnd"/>
      <w:r w:rsidR="00AB72D4" w:rsidRPr="001270DE">
        <w:rPr>
          <w:rFonts w:ascii="Tahoma" w:hAnsi="Tahoma" w:cs="Tahoma"/>
          <w:i/>
          <w:sz w:val="24"/>
          <w:szCs w:val="24"/>
        </w:rPr>
        <w:t>)</w:t>
      </w:r>
      <w:r w:rsidRPr="001270DE">
        <w:rPr>
          <w:rFonts w:ascii="Tahoma" w:hAnsi="Tahoma" w:cs="Tahoma"/>
          <w:sz w:val="24"/>
          <w:szCs w:val="24"/>
        </w:rPr>
        <w:t xml:space="preserve"> que el </w:t>
      </w:r>
      <w:r w:rsidR="00AB72D4" w:rsidRPr="001270DE">
        <w:rPr>
          <w:rFonts w:ascii="Tahoma" w:hAnsi="Tahoma" w:cs="Tahoma"/>
          <w:sz w:val="24"/>
          <w:szCs w:val="24"/>
        </w:rPr>
        <w:t xml:space="preserve">inconforme </w:t>
      </w:r>
      <w:r w:rsidRPr="001270DE">
        <w:rPr>
          <w:rFonts w:ascii="Tahoma" w:hAnsi="Tahoma" w:cs="Tahoma"/>
          <w:sz w:val="24"/>
          <w:szCs w:val="24"/>
        </w:rPr>
        <w:t>tenga interés jurídico que j</w:t>
      </w:r>
      <w:r w:rsidR="00AB72D4" w:rsidRPr="001270DE">
        <w:rPr>
          <w:rFonts w:ascii="Tahoma" w:hAnsi="Tahoma" w:cs="Tahoma"/>
          <w:sz w:val="24"/>
          <w:szCs w:val="24"/>
        </w:rPr>
        <w:t xml:space="preserve">ustifique el recurso y </w:t>
      </w:r>
      <w:proofErr w:type="spellStart"/>
      <w:r w:rsidR="00AB72D4" w:rsidRPr="001270DE">
        <w:rPr>
          <w:rFonts w:ascii="Tahoma" w:hAnsi="Tahoma" w:cs="Tahoma"/>
          <w:i/>
          <w:sz w:val="24"/>
          <w:szCs w:val="24"/>
        </w:rPr>
        <w:t>iv</w:t>
      </w:r>
      <w:proofErr w:type="spellEnd"/>
      <w:r w:rsidR="00AB72D4" w:rsidRPr="001270DE">
        <w:rPr>
          <w:rFonts w:ascii="Tahoma" w:hAnsi="Tahoma" w:cs="Tahoma"/>
          <w:i/>
          <w:sz w:val="24"/>
          <w:szCs w:val="24"/>
        </w:rPr>
        <w:t>)</w:t>
      </w:r>
      <w:r w:rsidRPr="001270DE">
        <w:rPr>
          <w:rFonts w:ascii="Tahoma" w:hAnsi="Tahoma" w:cs="Tahoma"/>
          <w:sz w:val="24"/>
          <w:szCs w:val="24"/>
        </w:rPr>
        <w:t xml:space="preserve"> que el recurso se interponga en tiempo y con las formalidades que la ley establece.</w:t>
      </w:r>
    </w:p>
    <w:p w14:paraId="5612154D" w14:textId="77777777" w:rsidR="00250D7C" w:rsidRPr="001270DE" w:rsidRDefault="00250D7C" w:rsidP="001270DE">
      <w:pPr>
        <w:tabs>
          <w:tab w:val="left" w:pos="945"/>
        </w:tabs>
        <w:spacing w:after="0" w:line="276" w:lineRule="auto"/>
        <w:jc w:val="both"/>
        <w:rPr>
          <w:rFonts w:ascii="Tahoma" w:hAnsi="Tahoma" w:cs="Tahoma"/>
          <w:sz w:val="24"/>
          <w:szCs w:val="24"/>
        </w:rPr>
      </w:pPr>
    </w:p>
    <w:p w14:paraId="056FBE83" w14:textId="47EF83F9" w:rsidR="00AB72D4" w:rsidRPr="001270DE" w:rsidRDefault="00AB72D4" w:rsidP="001270DE">
      <w:pPr>
        <w:tabs>
          <w:tab w:val="left" w:pos="945"/>
        </w:tabs>
        <w:spacing w:after="0" w:line="276" w:lineRule="auto"/>
        <w:jc w:val="both"/>
        <w:rPr>
          <w:rFonts w:ascii="Tahoma" w:hAnsi="Tahoma" w:cs="Tahoma"/>
          <w:sz w:val="24"/>
          <w:szCs w:val="24"/>
        </w:rPr>
      </w:pPr>
      <w:r w:rsidRPr="001270DE">
        <w:rPr>
          <w:rFonts w:ascii="Tahoma" w:hAnsi="Tahoma" w:cs="Tahoma"/>
          <w:sz w:val="24"/>
          <w:szCs w:val="24"/>
        </w:rPr>
        <w:t xml:space="preserve">Pues bien, a propósito de las formalidades a las que se hace alusión, el nuevo estatuto procesal vino a indicar dos alternativas para justipreciar el interés para recurrir en casación; una de ellas consistente en los medios de convicción aportados al expediente, y por otra, la oportunidad de allegar un </w:t>
      </w:r>
      <w:r w:rsidRPr="001270DE">
        <w:rPr>
          <w:rFonts w:ascii="Tahoma" w:hAnsi="Tahoma" w:cs="Tahoma"/>
          <w:i/>
          <w:sz w:val="24"/>
          <w:szCs w:val="24"/>
        </w:rPr>
        <w:t xml:space="preserve">dictamen pericial </w:t>
      </w:r>
      <w:r w:rsidRPr="001270DE">
        <w:rPr>
          <w:rFonts w:ascii="Tahoma" w:hAnsi="Tahoma" w:cs="Tahoma"/>
          <w:sz w:val="24"/>
          <w:szCs w:val="24"/>
        </w:rPr>
        <w:t xml:space="preserve">junto con el escrito del recurso que dé las luces suficientes </w:t>
      </w:r>
      <w:r w:rsidR="000F2C88" w:rsidRPr="001270DE">
        <w:rPr>
          <w:rFonts w:ascii="Tahoma" w:hAnsi="Tahoma" w:cs="Tahoma"/>
          <w:sz w:val="24"/>
          <w:szCs w:val="24"/>
        </w:rPr>
        <w:t>para demostrar lo atañedero con la cuantí</w:t>
      </w:r>
      <w:r w:rsidR="004B2C8F" w:rsidRPr="001270DE">
        <w:rPr>
          <w:rFonts w:ascii="Tahoma" w:hAnsi="Tahoma" w:cs="Tahoma"/>
          <w:sz w:val="24"/>
          <w:szCs w:val="24"/>
        </w:rPr>
        <w:t>a de la resolución desfavorable que, en un caso como el que nos ocupa y de lo cual no existe reparo, según lo entiende el mismo recurrente con el aporte del trabajo arrimado y lo tiene asentado la máxima Corporación ordinaria, corresponde al valor del inmueble pretendido adquirir por efectos de la posesión</w:t>
      </w:r>
      <w:r w:rsidR="00A63598" w:rsidRPr="001270DE">
        <w:rPr>
          <w:rFonts w:ascii="Tahoma" w:hAnsi="Tahoma" w:cs="Tahoma"/>
          <w:sz w:val="24"/>
          <w:szCs w:val="24"/>
        </w:rPr>
        <w:t xml:space="preserve"> y de los frutos que hubieren sido reconocidos a su contrincante</w:t>
      </w:r>
      <w:r w:rsidR="004B2C8F" w:rsidRPr="001270DE">
        <w:rPr>
          <w:rFonts w:ascii="Tahoma" w:hAnsi="Tahoma" w:cs="Tahoma"/>
          <w:sz w:val="24"/>
          <w:szCs w:val="24"/>
        </w:rPr>
        <w:t>:</w:t>
      </w:r>
    </w:p>
    <w:p w14:paraId="40CADC06" w14:textId="4167988A" w:rsidR="004B2C8F" w:rsidRPr="001270DE" w:rsidRDefault="004B2C8F" w:rsidP="001270DE">
      <w:pPr>
        <w:tabs>
          <w:tab w:val="left" w:pos="945"/>
        </w:tabs>
        <w:spacing w:after="0" w:line="276" w:lineRule="auto"/>
        <w:jc w:val="both"/>
        <w:rPr>
          <w:rFonts w:ascii="Tahoma" w:hAnsi="Tahoma" w:cs="Tahoma"/>
          <w:sz w:val="24"/>
          <w:szCs w:val="24"/>
        </w:rPr>
      </w:pPr>
    </w:p>
    <w:p w14:paraId="3E53AF1D" w14:textId="4920F48D" w:rsidR="004B2C8F" w:rsidRPr="001270DE" w:rsidRDefault="004B2C8F" w:rsidP="001270DE">
      <w:pPr>
        <w:spacing w:after="0" w:line="240" w:lineRule="auto"/>
        <w:ind w:left="426" w:right="420"/>
        <w:jc w:val="both"/>
        <w:rPr>
          <w:rFonts w:ascii="Tahoma" w:hAnsi="Tahoma" w:cs="Tahoma"/>
          <w:i/>
          <w:szCs w:val="24"/>
        </w:rPr>
      </w:pPr>
      <w:r w:rsidRPr="001270DE">
        <w:rPr>
          <w:rFonts w:ascii="Tahoma" w:hAnsi="Tahoma" w:cs="Tahoma"/>
          <w:i/>
          <w:szCs w:val="24"/>
        </w:rPr>
        <w:t>“Contrario a lo que señala la censora, corresponde la acción de pertenencia a un trámite “ordinario” que envuelve un aspecto patrimonial, como es el bien sobre el cual recaen las pretensiones, que debe ser objeto de estimación económica, para determinar a cuánto asciende el perjuicio que la decisión adversa irroga al poseedor, junto con las condenas al pago de frutos que, en algunos casos, pueden incrementar su detrimento. La Corte al respecto ha dicho que “[t]</w:t>
      </w:r>
      <w:proofErr w:type="spellStart"/>
      <w:r w:rsidRPr="001270DE">
        <w:rPr>
          <w:rFonts w:ascii="Tahoma" w:hAnsi="Tahoma" w:cs="Tahoma"/>
          <w:i/>
          <w:szCs w:val="24"/>
        </w:rPr>
        <w:t>ratándose</w:t>
      </w:r>
      <w:proofErr w:type="spellEnd"/>
      <w:r w:rsidRPr="001270DE">
        <w:rPr>
          <w:rFonts w:ascii="Tahoma" w:hAnsi="Tahoma" w:cs="Tahoma"/>
          <w:i/>
          <w:szCs w:val="24"/>
        </w:rPr>
        <w:t xml:space="preserve"> de un proceso ordinario, como el que corresponde a las acciones de pertenencia y reivindicatoria de bienes inmuebles, el artículo 366 del C. de P. Civil condiciona la concesión del recurso </w:t>
      </w:r>
      <w:r w:rsidRPr="001270DE">
        <w:rPr>
          <w:rFonts w:ascii="Tahoma" w:hAnsi="Tahoma" w:cs="Tahoma"/>
          <w:i/>
          <w:szCs w:val="24"/>
        </w:rPr>
        <w:lastRenderedPageBreak/>
        <w:t xml:space="preserve">extraordinario de casación contra la sentencia de segunda instancia, al valor actual de la resolución desfavorable al recurrente, cuyo monto debe ser igual o superior a cuatrocientos veinticinco (425) salarios mínimos legales mensuales vigentes, requiriéndose de su justiprecio por un perito cuando no aparezca determinado en el expediente (…) </w:t>
      </w:r>
      <w:r w:rsidRPr="001270DE">
        <w:rPr>
          <w:rFonts w:ascii="Tahoma" w:hAnsi="Tahoma" w:cs="Tahoma"/>
          <w:b/>
          <w:i/>
          <w:szCs w:val="24"/>
        </w:rPr>
        <w:t xml:space="preserve">Ahora bien, como la resolución desfavorable al recurrente se contrae al valor del bien inmueble cuya prescripción adquisitiva de dominio fue denegada y de los frutos civiles reconocidos a la sociedad </w:t>
      </w:r>
      <w:proofErr w:type="spellStart"/>
      <w:r w:rsidRPr="001270DE">
        <w:rPr>
          <w:rFonts w:ascii="Tahoma" w:hAnsi="Tahoma" w:cs="Tahoma"/>
          <w:b/>
          <w:i/>
          <w:szCs w:val="24"/>
        </w:rPr>
        <w:t>reivindicante</w:t>
      </w:r>
      <w:proofErr w:type="spellEnd"/>
      <w:r w:rsidRPr="001270DE">
        <w:rPr>
          <w:rFonts w:ascii="Tahoma" w:hAnsi="Tahoma" w:cs="Tahoma"/>
          <w:b/>
          <w:i/>
          <w:szCs w:val="24"/>
        </w:rPr>
        <w:t>, corresponde establecer, entonces, si en el proceso ordinario en el cual se dictó la sentencia recurrida en casación, existen los medios probatorios que permitan estimarla”</w:t>
      </w:r>
      <w:r w:rsidRPr="001270DE">
        <w:rPr>
          <w:rFonts w:ascii="Tahoma" w:hAnsi="Tahoma" w:cs="Tahoma"/>
          <w:i/>
          <w:szCs w:val="24"/>
        </w:rPr>
        <w:t xml:space="preserve"> (auto del 4 de agosto de 2010, expediente. 2009-01834). (Negrillas del Tribunal)</w:t>
      </w:r>
    </w:p>
    <w:p w14:paraId="49E6FBE8" w14:textId="77777777" w:rsidR="00AB72D4" w:rsidRPr="001270DE" w:rsidRDefault="00AB72D4" w:rsidP="001270DE">
      <w:pPr>
        <w:tabs>
          <w:tab w:val="left" w:pos="945"/>
        </w:tabs>
        <w:spacing w:after="0" w:line="276" w:lineRule="auto"/>
        <w:jc w:val="both"/>
        <w:rPr>
          <w:rFonts w:ascii="Tahoma" w:hAnsi="Tahoma" w:cs="Tahoma"/>
          <w:i/>
          <w:sz w:val="24"/>
          <w:szCs w:val="24"/>
        </w:rPr>
      </w:pPr>
    </w:p>
    <w:p w14:paraId="0EC81C0B" w14:textId="5D2E0882" w:rsidR="00250D7C" w:rsidRPr="001270DE" w:rsidRDefault="00A63598" w:rsidP="001270DE">
      <w:pPr>
        <w:tabs>
          <w:tab w:val="left" w:pos="945"/>
        </w:tabs>
        <w:spacing w:after="0" w:line="276" w:lineRule="auto"/>
        <w:jc w:val="both"/>
        <w:rPr>
          <w:rFonts w:ascii="Tahoma" w:hAnsi="Tahoma" w:cs="Tahoma"/>
          <w:sz w:val="24"/>
          <w:szCs w:val="24"/>
        </w:rPr>
      </w:pPr>
      <w:r w:rsidRPr="001270DE">
        <w:rPr>
          <w:rFonts w:ascii="Tahoma" w:hAnsi="Tahoma" w:cs="Tahoma"/>
          <w:sz w:val="24"/>
          <w:szCs w:val="24"/>
        </w:rPr>
        <w:t>Y para establecer el valor comercial del predio distinguido con el folio de matrícula inmobiliaria número 294-34534 de la Oficina de Registro de Instrumentos Públicos de Dosquebradas</w:t>
      </w:r>
      <w:r w:rsidR="00AB72D4" w:rsidRPr="001270DE">
        <w:rPr>
          <w:rFonts w:ascii="Tahoma" w:hAnsi="Tahoma" w:cs="Tahoma"/>
          <w:sz w:val="24"/>
          <w:szCs w:val="24"/>
        </w:rPr>
        <w:t xml:space="preserve"> </w:t>
      </w:r>
      <w:r w:rsidRPr="001270DE">
        <w:rPr>
          <w:rFonts w:ascii="Tahoma" w:hAnsi="Tahoma" w:cs="Tahoma"/>
          <w:sz w:val="24"/>
          <w:szCs w:val="24"/>
        </w:rPr>
        <w:t>cuya adquisición se deprecó, hubo de aportarse con el escrito del recurso un dictamen pericial elaborado po</w:t>
      </w:r>
      <w:r w:rsidR="00C45431" w:rsidRPr="001270DE">
        <w:rPr>
          <w:rFonts w:ascii="Tahoma" w:hAnsi="Tahoma" w:cs="Tahoma"/>
          <w:sz w:val="24"/>
          <w:szCs w:val="24"/>
        </w:rPr>
        <w:t xml:space="preserve">r perito </w:t>
      </w:r>
      <w:proofErr w:type="spellStart"/>
      <w:r w:rsidR="00C45431" w:rsidRPr="001270DE">
        <w:rPr>
          <w:rFonts w:ascii="Tahoma" w:hAnsi="Tahoma" w:cs="Tahoma"/>
          <w:sz w:val="24"/>
          <w:szCs w:val="24"/>
        </w:rPr>
        <w:t>avaluador</w:t>
      </w:r>
      <w:proofErr w:type="spellEnd"/>
      <w:r w:rsidR="00C45431" w:rsidRPr="001270DE">
        <w:rPr>
          <w:rFonts w:ascii="Tahoma" w:hAnsi="Tahoma" w:cs="Tahoma"/>
          <w:sz w:val="24"/>
          <w:szCs w:val="24"/>
        </w:rPr>
        <w:t xml:space="preserve"> con registro de la RAA que, en su contexto satisface lo requerimientos de ley y arrojó una suma de seis mil ciento setenta y cuatro millones seiscientos tres mil trescientos cuarenta y cuatro pesos ($6.174.603.344,oo)</w:t>
      </w:r>
      <w:r w:rsidR="007F4F70" w:rsidRPr="001270DE">
        <w:rPr>
          <w:rFonts w:ascii="Tahoma" w:hAnsi="Tahoma" w:cs="Tahoma"/>
          <w:sz w:val="24"/>
          <w:szCs w:val="24"/>
        </w:rPr>
        <w:t>, de donde se tiene que a la fecha de haberse proferido el fallo de segundo grado, esto es el año 2019 en el que el salario mínimo</w:t>
      </w:r>
      <w:r w:rsidR="006A5B72" w:rsidRPr="001270DE">
        <w:rPr>
          <w:rFonts w:ascii="Tahoma" w:hAnsi="Tahoma" w:cs="Tahoma"/>
          <w:sz w:val="24"/>
          <w:szCs w:val="24"/>
        </w:rPr>
        <w:t xml:space="preserve"> se ajustó a la suma de $828.116</w:t>
      </w:r>
      <w:r w:rsidR="007F4F70" w:rsidRPr="001270DE">
        <w:rPr>
          <w:rFonts w:ascii="Tahoma" w:hAnsi="Tahoma" w:cs="Tahoma"/>
          <w:sz w:val="24"/>
          <w:szCs w:val="24"/>
        </w:rPr>
        <w:t xml:space="preserve">, </w:t>
      </w:r>
      <w:r w:rsidR="006A5B72" w:rsidRPr="001270DE">
        <w:rPr>
          <w:rFonts w:ascii="Tahoma" w:hAnsi="Tahoma" w:cs="Tahoma"/>
          <w:sz w:val="24"/>
          <w:szCs w:val="24"/>
        </w:rPr>
        <w:t>aquel valor</w:t>
      </w:r>
      <w:r w:rsidR="007F4F70" w:rsidRPr="001270DE">
        <w:rPr>
          <w:rFonts w:ascii="Tahoma" w:hAnsi="Tahoma" w:cs="Tahoma"/>
          <w:sz w:val="24"/>
          <w:szCs w:val="24"/>
        </w:rPr>
        <w:t xml:space="preserve"> supera </w:t>
      </w:r>
      <w:r w:rsidR="006A5B72" w:rsidRPr="001270DE">
        <w:rPr>
          <w:rFonts w:ascii="Tahoma" w:hAnsi="Tahoma" w:cs="Tahoma"/>
          <w:sz w:val="24"/>
          <w:szCs w:val="24"/>
        </w:rPr>
        <w:t xml:space="preserve">con creces </w:t>
      </w:r>
      <w:r w:rsidR="007F4F70" w:rsidRPr="001270DE">
        <w:rPr>
          <w:rFonts w:ascii="Tahoma" w:hAnsi="Tahoma" w:cs="Tahoma"/>
          <w:sz w:val="24"/>
          <w:szCs w:val="24"/>
        </w:rPr>
        <w:t xml:space="preserve">los 1.000 </w:t>
      </w:r>
      <w:proofErr w:type="spellStart"/>
      <w:r w:rsidR="007F4F70" w:rsidRPr="001270DE">
        <w:rPr>
          <w:rFonts w:ascii="Tahoma" w:hAnsi="Tahoma" w:cs="Tahoma"/>
          <w:sz w:val="24"/>
          <w:szCs w:val="24"/>
        </w:rPr>
        <w:t>smlmv</w:t>
      </w:r>
      <w:proofErr w:type="spellEnd"/>
      <w:r w:rsidR="007F4F70" w:rsidRPr="001270DE">
        <w:rPr>
          <w:rFonts w:ascii="Tahoma" w:hAnsi="Tahoma" w:cs="Tahoma"/>
          <w:sz w:val="24"/>
          <w:szCs w:val="24"/>
        </w:rPr>
        <w:t xml:space="preserve"> </w:t>
      </w:r>
      <w:r w:rsidR="006A5B72" w:rsidRPr="001270DE">
        <w:rPr>
          <w:rFonts w:ascii="Tahoma" w:hAnsi="Tahoma" w:cs="Tahoma"/>
          <w:sz w:val="24"/>
          <w:szCs w:val="24"/>
        </w:rPr>
        <w:t>que para tal calenda ascendían a $828’116.000, con lo que se satisf</w:t>
      </w:r>
      <w:r w:rsidR="00A9052D" w:rsidRPr="001270DE">
        <w:rPr>
          <w:rFonts w:ascii="Tahoma" w:hAnsi="Tahoma" w:cs="Tahoma"/>
          <w:sz w:val="24"/>
          <w:szCs w:val="24"/>
        </w:rPr>
        <w:t>a</w:t>
      </w:r>
      <w:r w:rsidR="006A5B72" w:rsidRPr="001270DE">
        <w:rPr>
          <w:rFonts w:ascii="Tahoma" w:hAnsi="Tahoma" w:cs="Tahoma"/>
          <w:sz w:val="24"/>
          <w:szCs w:val="24"/>
        </w:rPr>
        <w:t>ce dicha exigencia</w:t>
      </w:r>
      <w:r w:rsidR="00A9052D" w:rsidRPr="001270DE">
        <w:rPr>
          <w:rFonts w:ascii="Tahoma" w:hAnsi="Tahoma" w:cs="Tahoma"/>
          <w:sz w:val="24"/>
          <w:szCs w:val="24"/>
        </w:rPr>
        <w:t xml:space="preserve"> relacionada con el valor de la resolución desfavorable al recurrente, </w:t>
      </w:r>
      <w:r w:rsidR="006A5B72" w:rsidRPr="001270DE">
        <w:rPr>
          <w:rFonts w:ascii="Tahoma" w:hAnsi="Tahoma" w:cs="Tahoma"/>
          <w:sz w:val="24"/>
          <w:szCs w:val="24"/>
        </w:rPr>
        <w:t xml:space="preserve">y </w:t>
      </w:r>
      <w:r w:rsidR="00A9052D" w:rsidRPr="001270DE">
        <w:rPr>
          <w:rFonts w:ascii="Tahoma" w:hAnsi="Tahoma" w:cs="Tahoma"/>
          <w:sz w:val="24"/>
          <w:szCs w:val="24"/>
        </w:rPr>
        <w:t xml:space="preserve">por demás </w:t>
      </w:r>
      <w:r w:rsidR="007F4F70" w:rsidRPr="001270DE">
        <w:rPr>
          <w:rFonts w:ascii="Tahoma" w:hAnsi="Tahoma" w:cs="Tahoma"/>
          <w:sz w:val="24"/>
          <w:szCs w:val="24"/>
        </w:rPr>
        <w:t xml:space="preserve">se </w:t>
      </w:r>
      <w:r w:rsidR="00A9052D" w:rsidRPr="001270DE">
        <w:rPr>
          <w:rFonts w:ascii="Tahoma" w:hAnsi="Tahoma" w:cs="Tahoma"/>
          <w:sz w:val="24"/>
          <w:szCs w:val="24"/>
        </w:rPr>
        <w:t>complementa el hecho de</w:t>
      </w:r>
      <w:r w:rsidR="007F4F70" w:rsidRPr="001270DE">
        <w:rPr>
          <w:rFonts w:ascii="Tahoma" w:hAnsi="Tahoma" w:cs="Tahoma"/>
          <w:sz w:val="24"/>
          <w:szCs w:val="24"/>
        </w:rPr>
        <w:t xml:space="preserve"> que se hallan reunidos de igual manera los presupuestos atrás indicados referentes a la generalidad de los medios de impugnación.</w:t>
      </w:r>
      <w:r w:rsidR="00C45431" w:rsidRPr="001270DE">
        <w:rPr>
          <w:rFonts w:ascii="Tahoma" w:hAnsi="Tahoma" w:cs="Tahoma"/>
          <w:sz w:val="24"/>
          <w:szCs w:val="24"/>
        </w:rPr>
        <w:t xml:space="preserve"> </w:t>
      </w:r>
    </w:p>
    <w:p w14:paraId="4A0946A8" w14:textId="60E8764B" w:rsidR="00A9052D" w:rsidRPr="001270DE" w:rsidRDefault="00A9052D" w:rsidP="001270DE">
      <w:pPr>
        <w:tabs>
          <w:tab w:val="left" w:pos="945"/>
        </w:tabs>
        <w:spacing w:after="0" w:line="276" w:lineRule="auto"/>
        <w:jc w:val="both"/>
        <w:rPr>
          <w:rFonts w:ascii="Tahoma" w:hAnsi="Tahoma" w:cs="Tahoma"/>
          <w:sz w:val="24"/>
          <w:szCs w:val="24"/>
        </w:rPr>
      </w:pPr>
    </w:p>
    <w:p w14:paraId="510EFE3A" w14:textId="121E53EB" w:rsidR="00A9052D" w:rsidRPr="001270DE" w:rsidRDefault="00A9052D" w:rsidP="001270DE">
      <w:pPr>
        <w:tabs>
          <w:tab w:val="left" w:pos="945"/>
        </w:tabs>
        <w:spacing w:after="0" w:line="276" w:lineRule="auto"/>
        <w:jc w:val="both"/>
        <w:rPr>
          <w:rFonts w:ascii="Tahoma" w:hAnsi="Tahoma" w:cs="Tahoma"/>
          <w:sz w:val="24"/>
          <w:szCs w:val="24"/>
        </w:rPr>
      </w:pPr>
      <w:r w:rsidRPr="001270DE">
        <w:rPr>
          <w:rFonts w:ascii="Tahoma" w:hAnsi="Tahoma" w:cs="Tahoma"/>
          <w:sz w:val="24"/>
          <w:szCs w:val="24"/>
        </w:rPr>
        <w:t>Por lo tanto, no hay conclusión diversa a la de conceder el recurso de casación impetrado.</w:t>
      </w:r>
    </w:p>
    <w:p w14:paraId="30861BBD" w14:textId="23E2F26F" w:rsidR="00A9052D" w:rsidRPr="001270DE" w:rsidRDefault="00A9052D" w:rsidP="001270DE">
      <w:pPr>
        <w:tabs>
          <w:tab w:val="left" w:pos="945"/>
        </w:tabs>
        <w:spacing w:after="0" w:line="276" w:lineRule="auto"/>
        <w:jc w:val="both"/>
        <w:rPr>
          <w:rFonts w:ascii="Tahoma" w:hAnsi="Tahoma" w:cs="Tahoma"/>
          <w:sz w:val="24"/>
          <w:szCs w:val="24"/>
        </w:rPr>
      </w:pPr>
    </w:p>
    <w:p w14:paraId="547B5ED2" w14:textId="43110840" w:rsidR="00A9052D" w:rsidRPr="001270DE" w:rsidRDefault="00A9052D" w:rsidP="001270DE">
      <w:pPr>
        <w:tabs>
          <w:tab w:val="left" w:pos="945"/>
        </w:tabs>
        <w:spacing w:after="0" w:line="276" w:lineRule="auto"/>
        <w:jc w:val="both"/>
        <w:rPr>
          <w:rFonts w:ascii="Tahoma" w:hAnsi="Tahoma" w:cs="Tahoma"/>
          <w:sz w:val="24"/>
          <w:szCs w:val="24"/>
        </w:rPr>
      </w:pPr>
      <w:r w:rsidRPr="001270DE">
        <w:rPr>
          <w:rFonts w:ascii="Tahoma" w:hAnsi="Tahoma" w:cs="Tahoma"/>
          <w:sz w:val="24"/>
          <w:szCs w:val="24"/>
        </w:rPr>
        <w:t xml:space="preserve">Ahora bien, toda vez que se ha solicitado por el interesado la </w:t>
      </w:r>
      <w:r w:rsidR="00801B58" w:rsidRPr="001270DE">
        <w:rPr>
          <w:rFonts w:ascii="Tahoma" w:hAnsi="Tahoma" w:cs="Tahoma"/>
          <w:sz w:val="24"/>
          <w:szCs w:val="24"/>
        </w:rPr>
        <w:t>suspensión del cumplimiento del fallo recurrido, lo que resulta procedente a la luz de lo reglado por el inciso 4º del artículo 341 del CGP, se resolverá en forma favorable.</w:t>
      </w:r>
    </w:p>
    <w:p w14:paraId="7F764CDF" w14:textId="78700E1B" w:rsidR="00801B58" w:rsidRPr="001270DE" w:rsidRDefault="00801B58" w:rsidP="001270DE">
      <w:pPr>
        <w:tabs>
          <w:tab w:val="left" w:pos="945"/>
        </w:tabs>
        <w:spacing w:after="0" w:line="276" w:lineRule="auto"/>
        <w:jc w:val="both"/>
        <w:rPr>
          <w:rFonts w:ascii="Tahoma" w:hAnsi="Tahoma" w:cs="Tahoma"/>
          <w:sz w:val="24"/>
          <w:szCs w:val="24"/>
        </w:rPr>
      </w:pPr>
    </w:p>
    <w:p w14:paraId="7DDA0ED3" w14:textId="099C9B1F" w:rsidR="00801B58" w:rsidRPr="001270DE" w:rsidRDefault="00801B58" w:rsidP="001270DE">
      <w:pPr>
        <w:tabs>
          <w:tab w:val="left" w:pos="945"/>
        </w:tabs>
        <w:spacing w:after="0" w:line="276" w:lineRule="auto"/>
        <w:jc w:val="both"/>
        <w:rPr>
          <w:rFonts w:ascii="Tahoma" w:hAnsi="Tahoma" w:cs="Tahoma"/>
          <w:sz w:val="24"/>
          <w:szCs w:val="24"/>
        </w:rPr>
      </w:pPr>
      <w:r w:rsidRPr="001270DE">
        <w:rPr>
          <w:rFonts w:ascii="Tahoma" w:hAnsi="Tahoma" w:cs="Tahoma"/>
          <w:sz w:val="24"/>
          <w:szCs w:val="24"/>
        </w:rPr>
        <w:t xml:space="preserve">De otro lado, para los fines a que hubiere lugar, entérese al despacho del magistrado </w:t>
      </w:r>
      <w:proofErr w:type="spellStart"/>
      <w:r w:rsidRPr="001270DE">
        <w:rPr>
          <w:rFonts w:ascii="Tahoma" w:hAnsi="Tahoma" w:cs="Tahoma"/>
          <w:sz w:val="24"/>
          <w:szCs w:val="24"/>
        </w:rPr>
        <w:t>Duberney</w:t>
      </w:r>
      <w:proofErr w:type="spellEnd"/>
      <w:r w:rsidRPr="001270DE">
        <w:rPr>
          <w:rFonts w:ascii="Tahoma" w:hAnsi="Tahoma" w:cs="Tahoma"/>
          <w:sz w:val="24"/>
          <w:szCs w:val="24"/>
        </w:rPr>
        <w:t xml:space="preserve"> Grisales Herrera lo acaecido dentro del presente asunto en cuanto a la remisión que del mismo se ha efectua</w:t>
      </w:r>
      <w:r w:rsidR="008C4D1E" w:rsidRPr="001270DE">
        <w:rPr>
          <w:rFonts w:ascii="Tahoma" w:hAnsi="Tahoma" w:cs="Tahoma"/>
          <w:sz w:val="24"/>
          <w:szCs w:val="24"/>
        </w:rPr>
        <w:t xml:space="preserve">do a esta titular por parte de la oficina del </w:t>
      </w:r>
      <w:r w:rsidRPr="001270DE">
        <w:rPr>
          <w:rFonts w:ascii="Tahoma" w:hAnsi="Tahoma" w:cs="Tahoma"/>
          <w:sz w:val="24"/>
          <w:szCs w:val="24"/>
        </w:rPr>
        <w:t xml:space="preserve">doctor Edder Jimmy Sánchez </w:t>
      </w:r>
      <w:proofErr w:type="spellStart"/>
      <w:r w:rsidRPr="001270DE">
        <w:rPr>
          <w:rFonts w:ascii="Tahoma" w:hAnsi="Tahoma" w:cs="Tahoma"/>
          <w:sz w:val="24"/>
          <w:szCs w:val="24"/>
        </w:rPr>
        <w:t>Calambás</w:t>
      </w:r>
      <w:proofErr w:type="spellEnd"/>
      <w:r w:rsidRPr="001270DE">
        <w:rPr>
          <w:rFonts w:ascii="Tahoma" w:hAnsi="Tahoma" w:cs="Tahoma"/>
          <w:sz w:val="24"/>
          <w:szCs w:val="24"/>
        </w:rPr>
        <w:t>.</w:t>
      </w:r>
      <w:r w:rsidR="008C4D1E" w:rsidRPr="001270DE">
        <w:rPr>
          <w:rFonts w:ascii="Tahoma" w:hAnsi="Tahoma" w:cs="Tahoma"/>
          <w:sz w:val="24"/>
          <w:szCs w:val="24"/>
        </w:rPr>
        <w:t xml:space="preserve"> Lo anterior, teniendo presente que el expediente había sido enviado ante aquel funcionario en virtud de cumplimiento de fallo de tutela, a la postre revocada.</w:t>
      </w:r>
    </w:p>
    <w:p w14:paraId="57F7A3FD" w14:textId="525B15CC" w:rsidR="00591C09" w:rsidRPr="001270DE" w:rsidRDefault="00591C09" w:rsidP="001270DE">
      <w:pPr>
        <w:tabs>
          <w:tab w:val="left" w:pos="945"/>
        </w:tabs>
        <w:spacing w:after="0" w:line="276" w:lineRule="auto"/>
        <w:jc w:val="both"/>
        <w:rPr>
          <w:rFonts w:ascii="Tahoma" w:hAnsi="Tahoma" w:cs="Tahoma"/>
          <w:sz w:val="24"/>
          <w:szCs w:val="24"/>
        </w:rPr>
      </w:pPr>
    </w:p>
    <w:p w14:paraId="00EE8028" w14:textId="77777777" w:rsidR="00591C09" w:rsidRPr="001270DE" w:rsidRDefault="00591C09" w:rsidP="001270DE">
      <w:pPr>
        <w:spacing w:after="0" w:line="276" w:lineRule="auto"/>
        <w:jc w:val="both"/>
        <w:rPr>
          <w:rFonts w:ascii="Tahoma" w:hAnsi="Tahoma" w:cs="Tahoma"/>
          <w:sz w:val="24"/>
          <w:szCs w:val="24"/>
        </w:rPr>
      </w:pPr>
      <w:r w:rsidRPr="001270DE">
        <w:rPr>
          <w:rFonts w:ascii="Tahoma" w:hAnsi="Tahoma" w:cs="Tahoma"/>
          <w:sz w:val="24"/>
          <w:szCs w:val="24"/>
        </w:rPr>
        <w:t>Por lo expuesto, el Tribunal superior del Distrito Judicial de Pereira, en Sala Unitaria Civil Familia</w:t>
      </w:r>
    </w:p>
    <w:p w14:paraId="58B73A8C" w14:textId="77777777" w:rsidR="00591C09" w:rsidRPr="001270DE" w:rsidRDefault="00591C09" w:rsidP="001270DE">
      <w:pPr>
        <w:spacing w:after="0" w:line="276" w:lineRule="auto"/>
        <w:jc w:val="both"/>
        <w:rPr>
          <w:rFonts w:ascii="Tahoma" w:hAnsi="Tahoma" w:cs="Tahoma"/>
          <w:sz w:val="24"/>
          <w:szCs w:val="24"/>
        </w:rPr>
      </w:pPr>
    </w:p>
    <w:p w14:paraId="084DF9A9" w14:textId="7B933985" w:rsidR="00591C09" w:rsidRPr="001270DE" w:rsidRDefault="00591C09" w:rsidP="001270DE">
      <w:pPr>
        <w:spacing w:after="0" w:line="276" w:lineRule="auto"/>
        <w:jc w:val="both"/>
        <w:rPr>
          <w:rFonts w:ascii="Tahoma" w:hAnsi="Tahoma" w:cs="Tahoma"/>
          <w:b/>
          <w:sz w:val="24"/>
          <w:szCs w:val="24"/>
        </w:rPr>
      </w:pPr>
      <w:r w:rsidRPr="001270DE">
        <w:rPr>
          <w:rFonts w:ascii="Tahoma" w:hAnsi="Tahoma" w:cs="Tahoma"/>
          <w:b/>
          <w:sz w:val="24"/>
          <w:szCs w:val="24"/>
        </w:rPr>
        <w:t>R E S U E L V E</w:t>
      </w:r>
    </w:p>
    <w:p w14:paraId="326F7D72" w14:textId="77777777" w:rsidR="00591C09" w:rsidRPr="001270DE" w:rsidRDefault="00591C09" w:rsidP="001270DE">
      <w:pPr>
        <w:spacing w:after="0" w:line="276" w:lineRule="auto"/>
        <w:jc w:val="both"/>
        <w:rPr>
          <w:rFonts w:ascii="Tahoma" w:hAnsi="Tahoma" w:cs="Tahoma"/>
          <w:sz w:val="24"/>
          <w:szCs w:val="24"/>
        </w:rPr>
      </w:pPr>
    </w:p>
    <w:p w14:paraId="7A2C48F7" w14:textId="47DB146D" w:rsidR="00591C09" w:rsidRPr="001270DE" w:rsidRDefault="001270DE" w:rsidP="001270DE">
      <w:pPr>
        <w:spacing w:after="0" w:line="276" w:lineRule="auto"/>
        <w:jc w:val="both"/>
        <w:rPr>
          <w:rFonts w:ascii="Tahoma" w:hAnsi="Tahoma" w:cs="Tahoma"/>
          <w:sz w:val="24"/>
          <w:szCs w:val="24"/>
        </w:rPr>
      </w:pPr>
      <w:r w:rsidRPr="001270DE">
        <w:rPr>
          <w:rFonts w:ascii="Tahoma" w:hAnsi="Tahoma" w:cs="Tahoma"/>
          <w:b/>
          <w:sz w:val="24"/>
          <w:szCs w:val="24"/>
        </w:rPr>
        <w:t>PRIMERO. -</w:t>
      </w:r>
      <w:r w:rsidR="00591C09" w:rsidRPr="001270DE">
        <w:rPr>
          <w:rFonts w:ascii="Tahoma" w:hAnsi="Tahoma" w:cs="Tahoma"/>
          <w:sz w:val="24"/>
          <w:szCs w:val="24"/>
        </w:rPr>
        <w:t xml:space="preserve"> </w:t>
      </w:r>
      <w:r w:rsidR="00641E6F" w:rsidRPr="001270DE">
        <w:rPr>
          <w:rFonts w:ascii="Tahoma" w:hAnsi="Tahoma" w:cs="Tahoma"/>
          <w:b/>
          <w:sz w:val="24"/>
          <w:szCs w:val="24"/>
        </w:rPr>
        <w:t>CONCEDER</w:t>
      </w:r>
      <w:r w:rsidR="00591C09" w:rsidRPr="001270DE">
        <w:rPr>
          <w:rFonts w:ascii="Tahoma" w:hAnsi="Tahoma" w:cs="Tahoma"/>
          <w:sz w:val="24"/>
          <w:szCs w:val="24"/>
        </w:rPr>
        <w:t xml:space="preserve">, ante la Sala de Casación Civil Agraria de la Honorable Corte Suprema de Justicia, el recurso de casación interpuesto por </w:t>
      </w:r>
      <w:r w:rsidR="00F26AA3" w:rsidRPr="001270DE">
        <w:rPr>
          <w:rFonts w:ascii="Tahoma" w:hAnsi="Tahoma" w:cs="Tahoma"/>
          <w:sz w:val="24"/>
          <w:szCs w:val="24"/>
        </w:rPr>
        <w:t>la Sociedad</w:t>
      </w:r>
      <w:r w:rsidR="00641E6F" w:rsidRPr="001270DE">
        <w:rPr>
          <w:rFonts w:ascii="Tahoma" w:hAnsi="Tahoma" w:cs="Tahoma"/>
          <w:sz w:val="24"/>
          <w:szCs w:val="24"/>
        </w:rPr>
        <w:t xml:space="preserve"> Colombiana de Minerales y Carbones Comercializadora Internacional SAS,</w:t>
      </w:r>
      <w:r w:rsidR="00591C09" w:rsidRPr="001270DE">
        <w:rPr>
          <w:rFonts w:ascii="Tahoma" w:hAnsi="Tahoma" w:cs="Tahoma"/>
          <w:spacing w:val="-4"/>
          <w:sz w:val="24"/>
          <w:szCs w:val="24"/>
        </w:rPr>
        <w:t xml:space="preserve"> frente a la sentencia de segunda instancia, pr</w:t>
      </w:r>
      <w:r w:rsidR="00641E6F" w:rsidRPr="001270DE">
        <w:rPr>
          <w:rFonts w:ascii="Tahoma" w:hAnsi="Tahoma" w:cs="Tahoma"/>
          <w:spacing w:val="-4"/>
          <w:sz w:val="24"/>
          <w:szCs w:val="24"/>
        </w:rPr>
        <w:t>oferida por este tribunal, el 12</w:t>
      </w:r>
      <w:r w:rsidR="00591C09" w:rsidRPr="001270DE">
        <w:rPr>
          <w:rFonts w:ascii="Tahoma" w:hAnsi="Tahoma" w:cs="Tahoma"/>
          <w:spacing w:val="-4"/>
          <w:sz w:val="24"/>
          <w:szCs w:val="24"/>
        </w:rPr>
        <w:t xml:space="preserve"> de </w:t>
      </w:r>
      <w:r w:rsidR="00641E6F" w:rsidRPr="001270DE">
        <w:rPr>
          <w:rFonts w:ascii="Tahoma" w:hAnsi="Tahoma" w:cs="Tahoma"/>
          <w:spacing w:val="-4"/>
          <w:sz w:val="24"/>
          <w:szCs w:val="24"/>
        </w:rPr>
        <w:t>diciembre de 2019</w:t>
      </w:r>
      <w:r w:rsidR="00591C09" w:rsidRPr="001270DE">
        <w:rPr>
          <w:rFonts w:ascii="Tahoma" w:hAnsi="Tahoma" w:cs="Tahoma"/>
          <w:spacing w:val="-4"/>
          <w:sz w:val="24"/>
          <w:szCs w:val="24"/>
        </w:rPr>
        <w:t>.</w:t>
      </w:r>
    </w:p>
    <w:p w14:paraId="0FF821AC" w14:textId="0BF3C73C" w:rsidR="00591C09" w:rsidRPr="001270DE" w:rsidRDefault="00591C09" w:rsidP="001270DE">
      <w:pPr>
        <w:spacing w:after="0" w:line="276" w:lineRule="auto"/>
        <w:jc w:val="both"/>
        <w:rPr>
          <w:rFonts w:ascii="Tahoma" w:hAnsi="Tahoma" w:cs="Tahoma"/>
          <w:sz w:val="24"/>
          <w:szCs w:val="24"/>
        </w:rPr>
      </w:pPr>
    </w:p>
    <w:p w14:paraId="3D30735D" w14:textId="61D8CAC2" w:rsidR="00641E6F" w:rsidRPr="001270DE" w:rsidRDefault="001270DE" w:rsidP="001270DE">
      <w:pPr>
        <w:spacing w:after="0" w:line="276" w:lineRule="auto"/>
        <w:jc w:val="both"/>
        <w:rPr>
          <w:rFonts w:ascii="Tahoma" w:hAnsi="Tahoma" w:cs="Tahoma"/>
          <w:sz w:val="24"/>
          <w:szCs w:val="24"/>
        </w:rPr>
      </w:pPr>
      <w:r w:rsidRPr="001270DE">
        <w:rPr>
          <w:rFonts w:ascii="Tahoma" w:hAnsi="Tahoma" w:cs="Tahoma"/>
          <w:b/>
          <w:sz w:val="24"/>
          <w:szCs w:val="24"/>
        </w:rPr>
        <w:t>SEGUNDO. -</w:t>
      </w:r>
      <w:r w:rsidR="00C94022" w:rsidRPr="001270DE">
        <w:rPr>
          <w:rFonts w:ascii="Tahoma" w:hAnsi="Tahoma" w:cs="Tahoma"/>
          <w:b/>
          <w:sz w:val="24"/>
          <w:szCs w:val="24"/>
        </w:rPr>
        <w:t xml:space="preserve"> </w:t>
      </w:r>
      <w:r w:rsidR="00C94022" w:rsidRPr="001270DE">
        <w:rPr>
          <w:rFonts w:ascii="Tahoma" w:hAnsi="Tahoma" w:cs="Tahoma"/>
          <w:sz w:val="24"/>
          <w:szCs w:val="24"/>
        </w:rPr>
        <w:t>D</w:t>
      </w:r>
      <w:r w:rsidR="00641E6F" w:rsidRPr="001270DE">
        <w:rPr>
          <w:rFonts w:ascii="Tahoma" w:hAnsi="Tahoma" w:cs="Tahoma"/>
          <w:sz w:val="24"/>
          <w:szCs w:val="24"/>
        </w:rPr>
        <w:t xml:space="preserve">entro de los diez (10) días siguientes a la notificación del presente proveído, deberá la recurrente </w:t>
      </w:r>
      <w:r w:rsidR="00641E6F" w:rsidRPr="001270DE">
        <w:rPr>
          <w:rFonts w:ascii="Tahoma" w:hAnsi="Tahoma" w:cs="Tahoma"/>
          <w:b/>
          <w:sz w:val="24"/>
          <w:szCs w:val="24"/>
        </w:rPr>
        <w:t>prestar caución bancaria</w:t>
      </w:r>
      <w:r w:rsidR="00641E6F" w:rsidRPr="001270DE">
        <w:rPr>
          <w:rFonts w:ascii="Tahoma" w:hAnsi="Tahoma" w:cs="Tahoma"/>
          <w:sz w:val="24"/>
          <w:szCs w:val="24"/>
        </w:rPr>
        <w:t xml:space="preserve"> o de </w:t>
      </w:r>
      <w:r w:rsidR="00641E6F" w:rsidRPr="001270DE">
        <w:rPr>
          <w:rFonts w:ascii="Tahoma" w:hAnsi="Tahoma" w:cs="Tahoma"/>
          <w:b/>
          <w:sz w:val="24"/>
          <w:szCs w:val="24"/>
        </w:rPr>
        <w:t>compañía de seguros</w:t>
      </w:r>
      <w:r w:rsidR="00641E6F" w:rsidRPr="001270DE">
        <w:rPr>
          <w:rFonts w:ascii="Tahoma" w:hAnsi="Tahoma" w:cs="Tahoma"/>
          <w:sz w:val="24"/>
          <w:szCs w:val="24"/>
        </w:rPr>
        <w:t xml:space="preserve"> por valor de </w:t>
      </w:r>
      <w:r w:rsidR="00641E6F" w:rsidRPr="001270DE">
        <w:rPr>
          <w:rFonts w:ascii="Tahoma" w:hAnsi="Tahoma" w:cs="Tahoma"/>
          <w:b/>
          <w:sz w:val="24"/>
          <w:szCs w:val="24"/>
        </w:rPr>
        <w:t>seis mil ciento setenta y cuatro millones seiscientos tres mil trescientos cuarenta y cuatro pesos ($6.174.603.</w:t>
      </w:r>
      <w:r w:rsidRPr="001270DE">
        <w:rPr>
          <w:rFonts w:ascii="Tahoma" w:hAnsi="Tahoma" w:cs="Tahoma"/>
          <w:b/>
          <w:sz w:val="24"/>
          <w:szCs w:val="24"/>
        </w:rPr>
        <w:t>344,00</w:t>
      </w:r>
      <w:r w:rsidR="00641E6F" w:rsidRPr="001270DE">
        <w:rPr>
          <w:rFonts w:ascii="Tahoma" w:hAnsi="Tahoma" w:cs="Tahoma"/>
          <w:b/>
          <w:sz w:val="24"/>
          <w:szCs w:val="24"/>
        </w:rPr>
        <w:t>)</w:t>
      </w:r>
      <w:r w:rsidR="00641E6F" w:rsidRPr="001270DE">
        <w:rPr>
          <w:rFonts w:ascii="Tahoma" w:hAnsi="Tahoma" w:cs="Tahoma"/>
          <w:sz w:val="24"/>
          <w:szCs w:val="24"/>
        </w:rPr>
        <w:t>, para los fines prevenidos en el inciso 4º del artículo 341 del CGP.</w:t>
      </w:r>
    </w:p>
    <w:p w14:paraId="06C69340" w14:textId="308B073A" w:rsidR="00591C09" w:rsidRPr="001270DE" w:rsidRDefault="00591C09" w:rsidP="001270DE">
      <w:pPr>
        <w:spacing w:after="0" w:line="276" w:lineRule="auto"/>
        <w:jc w:val="both"/>
        <w:rPr>
          <w:rFonts w:ascii="Tahoma" w:hAnsi="Tahoma" w:cs="Tahoma"/>
          <w:b/>
          <w:sz w:val="24"/>
          <w:szCs w:val="24"/>
        </w:rPr>
      </w:pPr>
    </w:p>
    <w:p w14:paraId="316DE552" w14:textId="1B4CD919" w:rsidR="00C94022" w:rsidRPr="001270DE" w:rsidRDefault="001270DE" w:rsidP="001270DE">
      <w:pPr>
        <w:tabs>
          <w:tab w:val="left" w:pos="945"/>
        </w:tabs>
        <w:spacing w:after="0" w:line="276" w:lineRule="auto"/>
        <w:jc w:val="both"/>
        <w:rPr>
          <w:rFonts w:ascii="Tahoma" w:hAnsi="Tahoma" w:cs="Tahoma"/>
          <w:sz w:val="24"/>
          <w:szCs w:val="24"/>
        </w:rPr>
      </w:pPr>
      <w:r w:rsidRPr="001270DE">
        <w:rPr>
          <w:rFonts w:ascii="Tahoma" w:hAnsi="Tahoma" w:cs="Tahoma"/>
          <w:b/>
          <w:sz w:val="24"/>
          <w:szCs w:val="24"/>
        </w:rPr>
        <w:t>TERCERO. -</w:t>
      </w:r>
      <w:r w:rsidR="004D6C51" w:rsidRPr="001270DE">
        <w:rPr>
          <w:rFonts w:ascii="Tahoma" w:hAnsi="Tahoma" w:cs="Tahoma"/>
          <w:b/>
          <w:sz w:val="24"/>
          <w:szCs w:val="24"/>
        </w:rPr>
        <w:t xml:space="preserve"> </w:t>
      </w:r>
      <w:r w:rsidR="00C94022" w:rsidRPr="001270DE">
        <w:rPr>
          <w:rFonts w:ascii="Tahoma" w:hAnsi="Tahoma" w:cs="Tahoma"/>
          <w:sz w:val="24"/>
          <w:szCs w:val="24"/>
        </w:rPr>
        <w:t>Constituida la caución o vencido el término otorgado, pase el proceso a despacho para proveer conforme corresponda.</w:t>
      </w:r>
    </w:p>
    <w:p w14:paraId="79A4A3BC" w14:textId="77777777" w:rsidR="00C94022" w:rsidRPr="001270DE" w:rsidRDefault="00C94022" w:rsidP="001270DE">
      <w:pPr>
        <w:tabs>
          <w:tab w:val="left" w:pos="945"/>
        </w:tabs>
        <w:spacing w:after="0" w:line="276" w:lineRule="auto"/>
        <w:jc w:val="both"/>
        <w:rPr>
          <w:rFonts w:ascii="Tahoma" w:hAnsi="Tahoma" w:cs="Tahoma"/>
          <w:sz w:val="24"/>
          <w:szCs w:val="24"/>
        </w:rPr>
      </w:pPr>
    </w:p>
    <w:p w14:paraId="21D6DAC8" w14:textId="2FC720BF" w:rsidR="00C94022" w:rsidRPr="001270DE" w:rsidRDefault="001270DE" w:rsidP="001270DE">
      <w:pPr>
        <w:tabs>
          <w:tab w:val="left" w:pos="945"/>
        </w:tabs>
        <w:spacing w:after="0" w:line="276" w:lineRule="auto"/>
        <w:jc w:val="both"/>
        <w:rPr>
          <w:rFonts w:ascii="Tahoma" w:hAnsi="Tahoma" w:cs="Tahoma"/>
          <w:sz w:val="24"/>
          <w:szCs w:val="24"/>
        </w:rPr>
      </w:pPr>
      <w:r w:rsidRPr="001270DE">
        <w:rPr>
          <w:rFonts w:ascii="Tahoma" w:hAnsi="Tahoma" w:cs="Tahoma"/>
          <w:b/>
          <w:sz w:val="24"/>
          <w:szCs w:val="24"/>
        </w:rPr>
        <w:t>CUARTO. -</w:t>
      </w:r>
      <w:r w:rsidR="00C94022" w:rsidRPr="001270DE">
        <w:rPr>
          <w:rFonts w:ascii="Tahoma" w:hAnsi="Tahoma" w:cs="Tahoma"/>
          <w:b/>
          <w:sz w:val="24"/>
          <w:szCs w:val="24"/>
        </w:rPr>
        <w:t xml:space="preserve"> </w:t>
      </w:r>
      <w:r w:rsidR="00C94022" w:rsidRPr="001270DE">
        <w:rPr>
          <w:rFonts w:ascii="Tahoma" w:hAnsi="Tahoma" w:cs="Tahoma"/>
          <w:sz w:val="24"/>
          <w:szCs w:val="24"/>
        </w:rPr>
        <w:t xml:space="preserve">Comuníquese al despacho del magistrado </w:t>
      </w:r>
      <w:proofErr w:type="spellStart"/>
      <w:r w:rsidR="00C94022" w:rsidRPr="001270DE">
        <w:rPr>
          <w:rFonts w:ascii="Tahoma" w:hAnsi="Tahoma" w:cs="Tahoma"/>
          <w:sz w:val="24"/>
          <w:szCs w:val="24"/>
        </w:rPr>
        <w:t>Duberney</w:t>
      </w:r>
      <w:proofErr w:type="spellEnd"/>
      <w:r w:rsidR="00C94022" w:rsidRPr="001270DE">
        <w:rPr>
          <w:rFonts w:ascii="Tahoma" w:hAnsi="Tahoma" w:cs="Tahoma"/>
          <w:sz w:val="24"/>
          <w:szCs w:val="24"/>
        </w:rPr>
        <w:t xml:space="preserve"> Grisales Herrera </w:t>
      </w:r>
      <w:r w:rsidR="00456122" w:rsidRPr="001270DE">
        <w:rPr>
          <w:rFonts w:ascii="Tahoma" w:hAnsi="Tahoma" w:cs="Tahoma"/>
          <w:sz w:val="24"/>
          <w:szCs w:val="24"/>
        </w:rPr>
        <w:t>que el presente expediente ha sido reintegrado a esta dependencia para continuar con su conocimiento y trámites subsiguiente</w:t>
      </w:r>
      <w:r w:rsidR="00685C5B" w:rsidRPr="001270DE">
        <w:rPr>
          <w:rFonts w:ascii="Tahoma" w:hAnsi="Tahoma" w:cs="Tahoma"/>
          <w:sz w:val="24"/>
          <w:szCs w:val="24"/>
        </w:rPr>
        <w:t>s</w:t>
      </w:r>
      <w:r w:rsidR="00456122" w:rsidRPr="001270DE">
        <w:rPr>
          <w:rFonts w:ascii="Tahoma" w:hAnsi="Tahoma" w:cs="Tahoma"/>
          <w:sz w:val="24"/>
          <w:szCs w:val="24"/>
        </w:rPr>
        <w:t xml:space="preserve"> al fallo proferido.</w:t>
      </w:r>
    </w:p>
    <w:p w14:paraId="567BA2FD" w14:textId="77777777" w:rsidR="00F41512" w:rsidRPr="001270DE" w:rsidRDefault="00F41512" w:rsidP="001270DE">
      <w:pPr>
        <w:spacing w:after="0" w:line="276" w:lineRule="auto"/>
        <w:jc w:val="both"/>
        <w:rPr>
          <w:rFonts w:ascii="Tahoma" w:hAnsi="Tahoma" w:cs="Tahoma"/>
          <w:b/>
          <w:sz w:val="24"/>
          <w:szCs w:val="24"/>
        </w:rPr>
      </w:pPr>
    </w:p>
    <w:p w14:paraId="51DE822D" w14:textId="5B176A9A" w:rsidR="00F41512" w:rsidRPr="001270DE" w:rsidRDefault="00F41512" w:rsidP="001270DE">
      <w:pPr>
        <w:spacing w:after="0" w:line="276" w:lineRule="auto"/>
        <w:jc w:val="both"/>
        <w:rPr>
          <w:rFonts w:ascii="Tahoma" w:hAnsi="Tahoma" w:cs="Tahoma"/>
          <w:b/>
          <w:sz w:val="24"/>
          <w:szCs w:val="24"/>
        </w:rPr>
      </w:pPr>
      <w:r w:rsidRPr="001270DE">
        <w:rPr>
          <w:rFonts w:ascii="Tahoma" w:hAnsi="Tahoma" w:cs="Tahoma"/>
          <w:b/>
          <w:sz w:val="24"/>
          <w:szCs w:val="24"/>
        </w:rPr>
        <w:t>NOTIFÍQUESE Y CÚMPLASE.</w:t>
      </w:r>
    </w:p>
    <w:p w14:paraId="64114658" w14:textId="77777777" w:rsidR="001270DE" w:rsidRPr="001270DE" w:rsidRDefault="001270DE" w:rsidP="001270DE">
      <w:pPr>
        <w:spacing w:after="0" w:line="276" w:lineRule="auto"/>
        <w:jc w:val="both"/>
        <w:rPr>
          <w:rFonts w:ascii="Tahoma" w:hAnsi="Tahoma" w:cs="Tahoma"/>
          <w:sz w:val="24"/>
          <w:szCs w:val="24"/>
        </w:rPr>
      </w:pPr>
    </w:p>
    <w:p w14:paraId="6CDECCE0" w14:textId="31A6B8EE" w:rsidR="00F41512" w:rsidRPr="001270DE" w:rsidRDefault="00F41512" w:rsidP="001270DE">
      <w:pPr>
        <w:spacing w:after="0" w:line="276" w:lineRule="auto"/>
        <w:jc w:val="both"/>
        <w:rPr>
          <w:rFonts w:ascii="Tahoma" w:hAnsi="Tahoma" w:cs="Tahoma"/>
          <w:sz w:val="24"/>
          <w:szCs w:val="24"/>
        </w:rPr>
      </w:pPr>
      <w:r w:rsidRPr="001270DE">
        <w:rPr>
          <w:rFonts w:ascii="Tahoma" w:hAnsi="Tahoma" w:cs="Tahoma"/>
          <w:sz w:val="24"/>
          <w:szCs w:val="24"/>
        </w:rPr>
        <w:t>La Magistrada,</w:t>
      </w:r>
    </w:p>
    <w:p w14:paraId="3A66AEC7" w14:textId="05C48D8A" w:rsidR="00F41512" w:rsidRPr="001270DE" w:rsidRDefault="00F41512" w:rsidP="001270DE">
      <w:pPr>
        <w:spacing w:after="0" w:line="276" w:lineRule="auto"/>
        <w:jc w:val="both"/>
        <w:rPr>
          <w:rFonts w:ascii="Tahoma" w:hAnsi="Tahoma" w:cs="Tahoma"/>
          <w:sz w:val="24"/>
          <w:szCs w:val="24"/>
        </w:rPr>
      </w:pPr>
    </w:p>
    <w:p w14:paraId="6076AC5D" w14:textId="77777777" w:rsidR="001270DE" w:rsidRPr="001270DE" w:rsidRDefault="001270DE" w:rsidP="001270DE">
      <w:pPr>
        <w:spacing w:after="0" w:line="276" w:lineRule="auto"/>
        <w:jc w:val="both"/>
        <w:rPr>
          <w:rFonts w:ascii="Tahoma" w:hAnsi="Tahoma" w:cs="Tahoma"/>
          <w:sz w:val="24"/>
          <w:szCs w:val="24"/>
        </w:rPr>
      </w:pPr>
    </w:p>
    <w:p w14:paraId="104BD672" w14:textId="353F9A4C" w:rsidR="00F41512" w:rsidRPr="001270DE" w:rsidRDefault="00F41512" w:rsidP="001270DE">
      <w:pPr>
        <w:spacing w:after="0" w:line="276" w:lineRule="auto"/>
        <w:jc w:val="both"/>
        <w:rPr>
          <w:rFonts w:ascii="Tahoma" w:hAnsi="Tahoma" w:cs="Tahoma"/>
          <w:sz w:val="24"/>
          <w:szCs w:val="24"/>
        </w:rPr>
      </w:pPr>
    </w:p>
    <w:p w14:paraId="271C8B34" w14:textId="19B82CBC" w:rsidR="00F41512" w:rsidRPr="001270DE" w:rsidRDefault="00F41512" w:rsidP="001270DE">
      <w:pPr>
        <w:spacing w:after="0" w:line="276" w:lineRule="auto"/>
        <w:rPr>
          <w:rFonts w:ascii="Tahoma" w:hAnsi="Tahoma" w:cs="Tahoma"/>
          <w:b/>
          <w:sz w:val="24"/>
          <w:szCs w:val="24"/>
        </w:rPr>
      </w:pPr>
      <w:r w:rsidRPr="001270DE">
        <w:rPr>
          <w:rFonts w:ascii="Tahoma" w:hAnsi="Tahoma" w:cs="Tahoma"/>
          <w:b/>
          <w:sz w:val="24"/>
          <w:szCs w:val="24"/>
        </w:rPr>
        <w:t>ADRIANA PATRICIA DÍAZ RAMÍREZ</w:t>
      </w:r>
    </w:p>
    <w:sectPr w:rsidR="00F41512" w:rsidRPr="001270DE" w:rsidSect="001270DE">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E92A" w14:textId="77777777" w:rsidR="00CD222D" w:rsidRDefault="00CD222D" w:rsidP="00E34EB3">
      <w:pPr>
        <w:spacing w:after="0" w:line="240" w:lineRule="auto"/>
      </w:pPr>
      <w:r>
        <w:separator/>
      </w:r>
    </w:p>
  </w:endnote>
  <w:endnote w:type="continuationSeparator" w:id="0">
    <w:p w14:paraId="0BA65113" w14:textId="77777777" w:rsidR="00CD222D" w:rsidRDefault="00CD222D" w:rsidP="00E3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802C" w14:textId="77777777" w:rsidR="00CD222D" w:rsidRDefault="00CD222D" w:rsidP="00E34EB3">
      <w:pPr>
        <w:spacing w:after="0" w:line="240" w:lineRule="auto"/>
      </w:pPr>
      <w:r>
        <w:separator/>
      </w:r>
    </w:p>
  </w:footnote>
  <w:footnote w:type="continuationSeparator" w:id="0">
    <w:p w14:paraId="3886AC92" w14:textId="77777777" w:rsidR="00CD222D" w:rsidRDefault="00CD222D" w:rsidP="00E34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C6D"/>
    <w:multiLevelType w:val="hybridMultilevel"/>
    <w:tmpl w:val="364A1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2"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3C8755AA"/>
    <w:multiLevelType w:val="multilevel"/>
    <w:tmpl w:val="DD34BF4E"/>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5" w15:restartNumberingAfterBreak="0">
    <w:nsid w:val="425B63F1"/>
    <w:multiLevelType w:val="hybridMultilevel"/>
    <w:tmpl w:val="FFC6FCF4"/>
    <w:lvl w:ilvl="0" w:tplc="90D4B484">
      <w:start w:val="1"/>
      <w:numFmt w:val="lowerLetter"/>
      <w:lvlText w:val="%1)"/>
      <w:legacy w:legacy="1" w:legacySpace="120" w:legacyIndent="585"/>
      <w:lvlJc w:val="left"/>
      <w:pPr>
        <w:ind w:left="1755" w:hanging="585"/>
      </w:pPr>
    </w:lvl>
    <w:lvl w:ilvl="1" w:tplc="C74AFC4C">
      <w:start w:val="1"/>
      <w:numFmt w:val="lowerLetter"/>
      <w:lvlText w:val="%2."/>
      <w:legacy w:legacy="1" w:legacySpace="120" w:legacyIndent="360"/>
      <w:lvlJc w:val="left"/>
      <w:pPr>
        <w:ind w:left="2115" w:hanging="360"/>
      </w:pPr>
    </w:lvl>
    <w:lvl w:ilvl="2" w:tplc="91CA9D9A">
      <w:start w:val="1"/>
      <w:numFmt w:val="lowerRoman"/>
      <w:lvlText w:val="%3."/>
      <w:legacy w:legacy="1" w:legacySpace="120" w:legacyIndent="180"/>
      <w:lvlJc w:val="left"/>
      <w:pPr>
        <w:ind w:left="2295" w:hanging="180"/>
      </w:pPr>
    </w:lvl>
    <w:lvl w:ilvl="3" w:tplc="91222736">
      <w:start w:val="1"/>
      <w:numFmt w:val="decimal"/>
      <w:lvlText w:val="%4."/>
      <w:legacy w:legacy="1" w:legacySpace="120" w:legacyIndent="360"/>
      <w:lvlJc w:val="left"/>
      <w:pPr>
        <w:ind w:left="1530" w:hanging="360"/>
      </w:pPr>
    </w:lvl>
    <w:lvl w:ilvl="4" w:tplc="A08217C0">
      <w:start w:val="1"/>
      <w:numFmt w:val="lowerLetter"/>
      <w:lvlText w:val="%5."/>
      <w:legacy w:legacy="1" w:legacySpace="120" w:legacyIndent="360"/>
      <w:lvlJc w:val="left"/>
      <w:pPr>
        <w:ind w:left="3015" w:hanging="360"/>
      </w:pPr>
    </w:lvl>
    <w:lvl w:ilvl="5" w:tplc="89723EC4">
      <w:start w:val="1"/>
      <w:numFmt w:val="lowerRoman"/>
      <w:lvlText w:val="%6."/>
      <w:legacy w:legacy="1" w:legacySpace="120" w:legacyIndent="180"/>
      <w:lvlJc w:val="left"/>
      <w:pPr>
        <w:ind w:left="3195" w:hanging="180"/>
      </w:pPr>
    </w:lvl>
    <w:lvl w:ilvl="6" w:tplc="607AB7C0">
      <w:start w:val="1"/>
      <w:numFmt w:val="decimal"/>
      <w:lvlText w:val="%7."/>
      <w:legacy w:legacy="1" w:legacySpace="120" w:legacyIndent="360"/>
      <w:lvlJc w:val="left"/>
      <w:pPr>
        <w:ind w:left="3555" w:hanging="360"/>
      </w:pPr>
    </w:lvl>
    <w:lvl w:ilvl="7" w:tplc="D7F439D0">
      <w:start w:val="1"/>
      <w:numFmt w:val="lowerLetter"/>
      <w:lvlText w:val="%8."/>
      <w:legacy w:legacy="1" w:legacySpace="120" w:legacyIndent="360"/>
      <w:lvlJc w:val="left"/>
      <w:pPr>
        <w:ind w:left="3915" w:hanging="360"/>
      </w:pPr>
    </w:lvl>
    <w:lvl w:ilvl="8" w:tplc="4586A1E0">
      <w:start w:val="1"/>
      <w:numFmt w:val="lowerRoman"/>
      <w:lvlText w:val="%9."/>
      <w:legacy w:legacy="1" w:legacySpace="120" w:legacyIndent="180"/>
      <w:lvlJc w:val="left"/>
      <w:pPr>
        <w:ind w:left="4095" w:hanging="180"/>
      </w:pPr>
    </w:lvl>
  </w:abstractNum>
  <w:abstractNum w:abstractNumId="6" w15:restartNumberingAfterBreak="0">
    <w:nsid w:val="4FEF3D7D"/>
    <w:multiLevelType w:val="hybridMultilevel"/>
    <w:tmpl w:val="930010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FA5EF8"/>
    <w:multiLevelType w:val="hybridMultilevel"/>
    <w:tmpl w:val="44C0C8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574FB9"/>
    <w:multiLevelType w:val="hybridMultilevel"/>
    <w:tmpl w:val="3FCE321C"/>
    <w:lvl w:ilvl="0" w:tplc="0409000F">
      <w:start w:val="1"/>
      <w:numFmt w:val="decimal"/>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9" w15:restartNumberingAfterBreak="0">
    <w:nsid w:val="642A7E94"/>
    <w:multiLevelType w:val="hybridMultilevel"/>
    <w:tmpl w:val="BC0A5B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334F69"/>
    <w:multiLevelType w:val="multilevel"/>
    <w:tmpl w:val="C518CC10"/>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A9045B6"/>
    <w:multiLevelType w:val="hybridMultilevel"/>
    <w:tmpl w:val="CAE671C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4" w15:restartNumberingAfterBreak="0">
    <w:nsid w:val="7C162D85"/>
    <w:multiLevelType w:val="hybridMultilevel"/>
    <w:tmpl w:val="27F2D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1"/>
  </w:num>
  <w:num w:numId="12">
    <w:abstractNumId w:val="14"/>
  </w:num>
  <w:num w:numId="13">
    <w:abstractNumId w:val="8"/>
  </w:num>
  <w:num w:numId="14">
    <w:abstractNumId w:val="7"/>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78"/>
    <w:rsid w:val="00013220"/>
    <w:rsid w:val="000A69F3"/>
    <w:rsid w:val="000B0631"/>
    <w:rsid w:val="000C1845"/>
    <w:rsid w:val="000C246B"/>
    <w:rsid w:val="000F092F"/>
    <w:rsid w:val="000F2C88"/>
    <w:rsid w:val="001270DE"/>
    <w:rsid w:val="00167E75"/>
    <w:rsid w:val="00183DB9"/>
    <w:rsid w:val="001939F0"/>
    <w:rsid w:val="001C1430"/>
    <w:rsid w:val="0021316C"/>
    <w:rsid w:val="00222D1C"/>
    <w:rsid w:val="00250D7C"/>
    <w:rsid w:val="00257A08"/>
    <w:rsid w:val="002A4BAF"/>
    <w:rsid w:val="002B09BA"/>
    <w:rsid w:val="002B4AFF"/>
    <w:rsid w:val="002C0D72"/>
    <w:rsid w:val="002F1114"/>
    <w:rsid w:val="00336F38"/>
    <w:rsid w:val="003468D1"/>
    <w:rsid w:val="00354D69"/>
    <w:rsid w:val="00382845"/>
    <w:rsid w:val="00395E89"/>
    <w:rsid w:val="003B7575"/>
    <w:rsid w:val="003D196D"/>
    <w:rsid w:val="003F4A62"/>
    <w:rsid w:val="00403A17"/>
    <w:rsid w:val="004223D7"/>
    <w:rsid w:val="0042475F"/>
    <w:rsid w:val="00426B45"/>
    <w:rsid w:val="00435324"/>
    <w:rsid w:val="004418DC"/>
    <w:rsid w:val="00456122"/>
    <w:rsid w:val="004633F9"/>
    <w:rsid w:val="004B2C8F"/>
    <w:rsid w:val="004D0E13"/>
    <w:rsid w:val="004D6C51"/>
    <w:rsid w:val="004F7354"/>
    <w:rsid w:val="00557CA8"/>
    <w:rsid w:val="00591C09"/>
    <w:rsid w:val="005F4408"/>
    <w:rsid w:val="00641E6F"/>
    <w:rsid w:val="00665F73"/>
    <w:rsid w:val="006858DF"/>
    <w:rsid w:val="00685C5B"/>
    <w:rsid w:val="0068641C"/>
    <w:rsid w:val="006A54FD"/>
    <w:rsid w:val="006A5B72"/>
    <w:rsid w:val="006C02FA"/>
    <w:rsid w:val="006C6358"/>
    <w:rsid w:val="006D05D2"/>
    <w:rsid w:val="006D1002"/>
    <w:rsid w:val="006D103F"/>
    <w:rsid w:val="006F6153"/>
    <w:rsid w:val="00706A27"/>
    <w:rsid w:val="00742294"/>
    <w:rsid w:val="00747B69"/>
    <w:rsid w:val="00762673"/>
    <w:rsid w:val="00782640"/>
    <w:rsid w:val="00783066"/>
    <w:rsid w:val="007C2F78"/>
    <w:rsid w:val="007F181B"/>
    <w:rsid w:val="007F4F70"/>
    <w:rsid w:val="00801B58"/>
    <w:rsid w:val="00806E26"/>
    <w:rsid w:val="0082386C"/>
    <w:rsid w:val="008607F4"/>
    <w:rsid w:val="008B5935"/>
    <w:rsid w:val="008C4D1E"/>
    <w:rsid w:val="008D698D"/>
    <w:rsid w:val="0090386C"/>
    <w:rsid w:val="00907664"/>
    <w:rsid w:val="009126BF"/>
    <w:rsid w:val="009258F7"/>
    <w:rsid w:val="0096410A"/>
    <w:rsid w:val="00966531"/>
    <w:rsid w:val="00981B85"/>
    <w:rsid w:val="00A02750"/>
    <w:rsid w:val="00A351EC"/>
    <w:rsid w:val="00A37B64"/>
    <w:rsid w:val="00A50C4A"/>
    <w:rsid w:val="00A63598"/>
    <w:rsid w:val="00A829CC"/>
    <w:rsid w:val="00A9052D"/>
    <w:rsid w:val="00AB72D4"/>
    <w:rsid w:val="00AD34CE"/>
    <w:rsid w:val="00AE2E28"/>
    <w:rsid w:val="00AF2772"/>
    <w:rsid w:val="00BD2450"/>
    <w:rsid w:val="00BD6CB1"/>
    <w:rsid w:val="00C27EF7"/>
    <w:rsid w:val="00C322E0"/>
    <w:rsid w:val="00C45431"/>
    <w:rsid w:val="00C9161B"/>
    <w:rsid w:val="00C92C3E"/>
    <w:rsid w:val="00C94022"/>
    <w:rsid w:val="00CA47F2"/>
    <w:rsid w:val="00CB61AD"/>
    <w:rsid w:val="00CD222D"/>
    <w:rsid w:val="00CD5967"/>
    <w:rsid w:val="00D039EE"/>
    <w:rsid w:val="00D174B4"/>
    <w:rsid w:val="00D54C1B"/>
    <w:rsid w:val="00D55B9A"/>
    <w:rsid w:val="00D61527"/>
    <w:rsid w:val="00D851EA"/>
    <w:rsid w:val="00D9662B"/>
    <w:rsid w:val="00DA3C4F"/>
    <w:rsid w:val="00DC5783"/>
    <w:rsid w:val="00DD2DD0"/>
    <w:rsid w:val="00E131B9"/>
    <w:rsid w:val="00E34EB3"/>
    <w:rsid w:val="00E46C04"/>
    <w:rsid w:val="00E60A89"/>
    <w:rsid w:val="00EE7550"/>
    <w:rsid w:val="00EF2D18"/>
    <w:rsid w:val="00F00FB9"/>
    <w:rsid w:val="00F262E2"/>
    <w:rsid w:val="00F26AA3"/>
    <w:rsid w:val="00F35329"/>
    <w:rsid w:val="00F376EB"/>
    <w:rsid w:val="00F41512"/>
    <w:rsid w:val="00F55CFB"/>
    <w:rsid w:val="00F5785B"/>
    <w:rsid w:val="00FF09D6"/>
    <w:rsid w:val="04E5BBD7"/>
    <w:rsid w:val="0766FAFE"/>
    <w:rsid w:val="08A63CEF"/>
    <w:rsid w:val="0A2721E2"/>
    <w:rsid w:val="0B201CCE"/>
    <w:rsid w:val="0BE6043F"/>
    <w:rsid w:val="0F62E78C"/>
    <w:rsid w:val="169F8C87"/>
    <w:rsid w:val="199CA5DE"/>
    <w:rsid w:val="1AED3728"/>
    <w:rsid w:val="1B6C2DDE"/>
    <w:rsid w:val="230B3F9F"/>
    <w:rsid w:val="2686D512"/>
    <w:rsid w:val="2808F2B1"/>
    <w:rsid w:val="289D8AD6"/>
    <w:rsid w:val="2F6CFC5F"/>
    <w:rsid w:val="31B745C7"/>
    <w:rsid w:val="3484678B"/>
    <w:rsid w:val="36D2DA6C"/>
    <w:rsid w:val="3E3E14E6"/>
    <w:rsid w:val="409BE9C4"/>
    <w:rsid w:val="416939B6"/>
    <w:rsid w:val="44A4A93C"/>
    <w:rsid w:val="452FE2A7"/>
    <w:rsid w:val="4992CFD2"/>
    <w:rsid w:val="4C78B853"/>
    <w:rsid w:val="4E80C5F8"/>
    <w:rsid w:val="4EAA465D"/>
    <w:rsid w:val="50490083"/>
    <w:rsid w:val="50EF9F3F"/>
    <w:rsid w:val="5211014E"/>
    <w:rsid w:val="529DC0C6"/>
    <w:rsid w:val="53E615A4"/>
    <w:rsid w:val="56BDC715"/>
    <w:rsid w:val="58787DFB"/>
    <w:rsid w:val="5C4052B5"/>
    <w:rsid w:val="5E8A0929"/>
    <w:rsid w:val="5E8E8FA1"/>
    <w:rsid w:val="60DCA810"/>
    <w:rsid w:val="60F33FF0"/>
    <w:rsid w:val="63EE5896"/>
    <w:rsid w:val="6FAB4A62"/>
    <w:rsid w:val="7405C080"/>
    <w:rsid w:val="759CDE28"/>
    <w:rsid w:val="75E810CF"/>
    <w:rsid w:val="76949B34"/>
    <w:rsid w:val="76F2F333"/>
    <w:rsid w:val="770BA8F8"/>
    <w:rsid w:val="786BA55B"/>
    <w:rsid w:val="79D7923B"/>
    <w:rsid w:val="7ACB82A8"/>
    <w:rsid w:val="7F94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DE77"/>
  <w15:chartTrackingRefBased/>
  <w15:docId w15:val="{32F18C43-2951-4DBA-AA33-05CA834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F78"/>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C2F78"/>
  </w:style>
  <w:style w:type="character" w:styleId="Hipervnculo">
    <w:name w:val="Hyperlink"/>
    <w:semiHidden/>
    <w:unhideWhenUsed/>
    <w:rsid w:val="007C2F78"/>
    <w:rPr>
      <w:color w:val="0563C1"/>
      <w:u w:val="single"/>
    </w:rPr>
  </w:style>
  <w:style w:type="character" w:customStyle="1" w:styleId="SinespaciadoCar">
    <w:name w:val="Sin espaciado Car"/>
    <w:link w:val="Sinespaciado"/>
    <w:uiPriority w:val="1"/>
    <w:locked/>
    <w:rsid w:val="0096410A"/>
    <w:rPr>
      <w:rFonts w:ascii="Courier New" w:eastAsia="Times New Roman" w:hAnsi="Courier New" w:cs="Courier New"/>
      <w:sz w:val="24"/>
      <w:szCs w:val="24"/>
      <w:lang w:val="es-ES" w:eastAsia="es-ES"/>
    </w:rPr>
  </w:style>
  <w:style w:type="paragraph" w:styleId="Sinespaciado">
    <w:name w:val="No Spacing"/>
    <w:link w:val="SinespaciadoCar"/>
    <w:uiPriority w:val="1"/>
    <w:qFormat/>
    <w:rsid w:val="0096410A"/>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paragraph" w:customStyle="1" w:styleId="paragraph">
    <w:name w:val="paragraph"/>
    <w:basedOn w:val="Normal"/>
    <w:rsid w:val="00403A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403A17"/>
  </w:style>
  <w:style w:type="table" w:styleId="Tablaconcuadrcula">
    <w:name w:val="Table Grid"/>
    <w:basedOn w:val="Tablanormal"/>
    <w:uiPriority w:val="39"/>
    <w:rsid w:val="00CB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Ref,Ref1,4_G"/>
    <w:link w:val="Piedepagina"/>
    <w:qFormat/>
    <w:rsid w:val="00E34EB3"/>
    <w:rPr>
      <w:rFonts w:ascii="Times New Roman" w:hAnsi="Times New Roman"/>
      <w:sz w:val="24"/>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Footnote Text Cha"/>
    <w:basedOn w:val="Normal"/>
    <w:link w:val="TextonotapieCar1"/>
    <w:qFormat/>
    <w:rsid w:val="00E34EB3"/>
    <w:pPr>
      <w:widowControl w:val="0"/>
      <w:tabs>
        <w:tab w:val="left" w:pos="-720"/>
      </w:tabs>
      <w:suppressAutoHyphens/>
      <w:overflowPunct w:val="0"/>
      <w:autoSpaceDE w:val="0"/>
      <w:autoSpaceDN w:val="0"/>
      <w:adjustRightInd w:val="0"/>
      <w:spacing w:after="0" w:line="240" w:lineRule="atLeast"/>
      <w:textAlignment w:val="baseline"/>
    </w:pPr>
    <w:rPr>
      <w:rFonts w:ascii="Courier New" w:eastAsia="Times New Roman" w:hAnsi="Courier New" w:cs="Times New Roman"/>
      <w:sz w:val="24"/>
      <w:szCs w:val="20"/>
      <w:lang w:val="es-ES" w:eastAsia="es-ES"/>
    </w:rPr>
  </w:style>
  <w:style w:type="character" w:customStyle="1" w:styleId="TextonotapieCar">
    <w:name w:val="Texto nota pie Car"/>
    <w:aliases w:val="Footnote Text Cha Car,FA Fußnotentext Car,FA Fuﬂnotentext Car,texto de nota al p Car,Ref. de nota al pie1 Car,Footnote Text Char Char Char Char Char Char Char Char Car"/>
    <w:basedOn w:val="Fuentedeprrafopredeter"/>
    <w:uiPriority w:val="99"/>
    <w:rsid w:val="00E34EB3"/>
    <w:rPr>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1"/>
    <w:link w:val="Textonotapie"/>
    <w:locked/>
    <w:rsid w:val="00E34EB3"/>
    <w:rPr>
      <w:rFonts w:ascii="Courier New" w:eastAsia="Times New Roman" w:hAnsi="Courier New" w:cs="Times New Roman"/>
      <w:sz w:val="24"/>
      <w:szCs w:val="20"/>
      <w:lang w:val="es-ES" w:eastAsia="es-ES"/>
    </w:rPr>
  </w:style>
  <w:style w:type="paragraph" w:customStyle="1" w:styleId="Default">
    <w:name w:val="Default"/>
    <w:rsid w:val="00E34EB3"/>
    <w:pPr>
      <w:autoSpaceDE w:val="0"/>
      <w:autoSpaceDN w:val="0"/>
      <w:adjustRightInd w:val="0"/>
      <w:spacing w:after="0" w:line="240" w:lineRule="auto"/>
    </w:pPr>
    <w:rPr>
      <w:rFonts w:ascii="Verdana" w:eastAsia="Times New Roman" w:hAnsi="Verdana" w:cs="Verdana"/>
      <w:color w:val="000000"/>
      <w:sz w:val="24"/>
      <w:szCs w:val="24"/>
      <w:lang w:eastAsia="es-CO"/>
    </w:rPr>
  </w:style>
  <w:style w:type="paragraph" w:styleId="Prrafodelista">
    <w:name w:val="List Paragraph"/>
    <w:basedOn w:val="Normal"/>
    <w:uiPriority w:val="34"/>
    <w:qFormat/>
    <w:rsid w:val="00013220"/>
    <w:pPr>
      <w:spacing w:line="259" w:lineRule="auto"/>
      <w:ind w:left="720"/>
      <w:contextualSpacing/>
    </w:pPr>
    <w:rPr>
      <w:rFonts w:ascii="Calibri" w:eastAsia="Calibri" w:hAnsi="Calibri" w:cs="Times New Roman"/>
      <w:lang w:val="es-419"/>
    </w:rPr>
  </w:style>
  <w:style w:type="paragraph" w:customStyle="1" w:styleId="Piedepagina">
    <w:name w:val="Pie de pagina"/>
    <w:basedOn w:val="Normal"/>
    <w:link w:val="Refdenotaalpie"/>
    <w:uiPriority w:val="99"/>
    <w:rsid w:val="00013220"/>
    <w:pPr>
      <w:spacing w:line="240" w:lineRule="exact"/>
    </w:pPr>
    <w:rPr>
      <w:rFonts w:ascii="Times New Roman" w:hAnsi="Times New Roman"/>
      <w:sz w:val="24"/>
      <w:vertAlign w:val="superscript"/>
      <w:lang w:val="en-US"/>
    </w:rPr>
  </w:style>
  <w:style w:type="paragraph" w:styleId="Textoindependiente">
    <w:name w:val="Body Text"/>
    <w:aliases w:val="Car"/>
    <w:basedOn w:val="Normal"/>
    <w:link w:val="TextoindependienteCar"/>
    <w:uiPriority w:val="99"/>
    <w:rsid w:val="000132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4"/>
      <w:szCs w:val="20"/>
      <w:lang w:val="es-ES_tradnl" w:eastAsia="es-ES"/>
    </w:rPr>
  </w:style>
  <w:style w:type="character" w:customStyle="1" w:styleId="TextoindependienteCar">
    <w:name w:val="Texto independiente Car"/>
    <w:aliases w:val="Car Car"/>
    <w:basedOn w:val="Fuentedeprrafopredeter"/>
    <w:link w:val="Textoindependiente"/>
    <w:uiPriority w:val="99"/>
    <w:rsid w:val="00013220"/>
    <w:rPr>
      <w:rFonts w:ascii="Verdana" w:eastAsia="Times New Roman" w:hAnsi="Verdana" w:cs="Times New Roman"/>
      <w:spacing w:val="-3"/>
      <w:sz w:val="24"/>
      <w:szCs w:val="20"/>
      <w:lang w:val="es-ES_tradnl" w:eastAsia="es-ES"/>
    </w:rPr>
  </w:style>
  <w:style w:type="paragraph" w:customStyle="1" w:styleId="Textopredeterminado">
    <w:name w:val="Texto predeterminado"/>
    <w:basedOn w:val="Normal"/>
    <w:uiPriority w:val="99"/>
    <w:rsid w:val="0001322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Cuerpodeltexto">
    <w:name w:val="Cuerpo del texto_"/>
    <w:basedOn w:val="Fuentedeprrafopredeter"/>
    <w:link w:val="Cuerpodeltexto0"/>
    <w:locked/>
    <w:rsid w:val="00013220"/>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013220"/>
    <w:pPr>
      <w:widowControl w:val="0"/>
      <w:shd w:val="clear" w:color="auto" w:fill="FFFFFF"/>
      <w:spacing w:after="300" w:line="364" w:lineRule="exact"/>
      <w:jc w:val="both"/>
    </w:pPr>
    <w:rPr>
      <w:rFonts w:ascii="Tahoma" w:eastAsia="Tahoma" w:hAnsi="Tahoma" w:cs="Tahoma"/>
      <w:sz w:val="21"/>
      <w:szCs w:val="21"/>
      <w:lang w:val="en-US"/>
    </w:rPr>
  </w:style>
  <w:style w:type="character" w:customStyle="1" w:styleId="apple-converted-space">
    <w:name w:val="apple-converted-space"/>
    <w:rsid w:val="00183DB9"/>
  </w:style>
  <w:style w:type="character" w:styleId="Textoennegrita">
    <w:name w:val="Strong"/>
    <w:basedOn w:val="Fuentedeprrafopredeter"/>
    <w:uiPriority w:val="22"/>
    <w:qFormat/>
    <w:rsid w:val="006D103F"/>
    <w:rPr>
      <w:b/>
      <w:bCs/>
    </w:rPr>
  </w:style>
  <w:style w:type="paragraph" w:customStyle="1" w:styleId="indentfl1punto5">
    <w:name w:val="indent_fl_1punto5"/>
    <w:basedOn w:val="Normal"/>
    <w:rsid w:val="006D103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5047">
      <w:bodyDiv w:val="1"/>
      <w:marLeft w:val="0"/>
      <w:marRight w:val="0"/>
      <w:marTop w:val="0"/>
      <w:marBottom w:val="0"/>
      <w:divBdr>
        <w:top w:val="none" w:sz="0" w:space="0" w:color="auto"/>
        <w:left w:val="none" w:sz="0" w:space="0" w:color="auto"/>
        <w:bottom w:val="none" w:sz="0" w:space="0" w:color="auto"/>
        <w:right w:val="none" w:sz="0" w:space="0" w:color="auto"/>
      </w:divBdr>
    </w:div>
    <w:div w:id="1131443438">
      <w:bodyDiv w:val="1"/>
      <w:marLeft w:val="0"/>
      <w:marRight w:val="0"/>
      <w:marTop w:val="0"/>
      <w:marBottom w:val="0"/>
      <w:divBdr>
        <w:top w:val="none" w:sz="0" w:space="0" w:color="auto"/>
        <w:left w:val="none" w:sz="0" w:space="0" w:color="auto"/>
        <w:bottom w:val="none" w:sz="0" w:space="0" w:color="auto"/>
        <w:right w:val="none" w:sz="0" w:space="0" w:color="auto"/>
      </w:divBdr>
    </w:div>
    <w:div w:id="1450783556">
      <w:bodyDiv w:val="1"/>
      <w:marLeft w:val="0"/>
      <w:marRight w:val="0"/>
      <w:marTop w:val="0"/>
      <w:marBottom w:val="0"/>
      <w:divBdr>
        <w:top w:val="none" w:sz="0" w:space="0" w:color="auto"/>
        <w:left w:val="none" w:sz="0" w:space="0" w:color="auto"/>
        <w:bottom w:val="none" w:sz="0" w:space="0" w:color="auto"/>
        <w:right w:val="none" w:sz="0" w:space="0" w:color="auto"/>
      </w:divBdr>
      <w:divsChild>
        <w:div w:id="2128424541">
          <w:marLeft w:val="0"/>
          <w:marRight w:val="0"/>
          <w:marTop w:val="0"/>
          <w:marBottom w:val="0"/>
          <w:divBdr>
            <w:top w:val="none" w:sz="0" w:space="0" w:color="auto"/>
            <w:left w:val="none" w:sz="0" w:space="0" w:color="auto"/>
            <w:bottom w:val="none" w:sz="0" w:space="0" w:color="auto"/>
            <w:right w:val="none" w:sz="0" w:space="0" w:color="auto"/>
          </w:divBdr>
        </w:div>
        <w:div w:id="1260067664">
          <w:marLeft w:val="0"/>
          <w:marRight w:val="0"/>
          <w:marTop w:val="0"/>
          <w:marBottom w:val="0"/>
          <w:divBdr>
            <w:top w:val="none" w:sz="0" w:space="0" w:color="auto"/>
            <w:left w:val="none" w:sz="0" w:space="0" w:color="auto"/>
            <w:bottom w:val="none" w:sz="0" w:space="0" w:color="auto"/>
            <w:right w:val="none" w:sz="0" w:space="0" w:color="auto"/>
          </w:divBdr>
        </w:div>
      </w:divsChild>
    </w:div>
    <w:div w:id="1657150944">
      <w:bodyDiv w:val="1"/>
      <w:marLeft w:val="0"/>
      <w:marRight w:val="0"/>
      <w:marTop w:val="0"/>
      <w:marBottom w:val="0"/>
      <w:divBdr>
        <w:top w:val="none" w:sz="0" w:space="0" w:color="auto"/>
        <w:left w:val="none" w:sz="0" w:space="0" w:color="auto"/>
        <w:bottom w:val="none" w:sz="0" w:space="0" w:color="auto"/>
        <w:right w:val="none" w:sz="0" w:space="0" w:color="auto"/>
      </w:divBdr>
    </w:div>
    <w:div w:id="1741515970">
      <w:bodyDiv w:val="1"/>
      <w:marLeft w:val="0"/>
      <w:marRight w:val="0"/>
      <w:marTop w:val="0"/>
      <w:marBottom w:val="0"/>
      <w:divBdr>
        <w:top w:val="none" w:sz="0" w:space="0" w:color="auto"/>
        <w:left w:val="none" w:sz="0" w:space="0" w:color="auto"/>
        <w:bottom w:val="none" w:sz="0" w:space="0" w:color="auto"/>
        <w:right w:val="none" w:sz="0" w:space="0" w:color="auto"/>
      </w:divBdr>
    </w:div>
    <w:div w:id="1975014208">
      <w:bodyDiv w:val="1"/>
      <w:marLeft w:val="0"/>
      <w:marRight w:val="0"/>
      <w:marTop w:val="0"/>
      <w:marBottom w:val="0"/>
      <w:divBdr>
        <w:top w:val="none" w:sz="0" w:space="0" w:color="auto"/>
        <w:left w:val="none" w:sz="0" w:space="0" w:color="auto"/>
        <w:bottom w:val="none" w:sz="0" w:space="0" w:color="auto"/>
        <w:right w:val="none" w:sz="0" w:space="0" w:color="auto"/>
      </w:divBdr>
      <w:divsChild>
        <w:div w:id="481965152">
          <w:marLeft w:val="0"/>
          <w:marRight w:val="0"/>
          <w:marTop w:val="0"/>
          <w:marBottom w:val="0"/>
          <w:divBdr>
            <w:top w:val="none" w:sz="0" w:space="0" w:color="auto"/>
            <w:left w:val="none" w:sz="0" w:space="0" w:color="auto"/>
            <w:bottom w:val="none" w:sz="0" w:space="0" w:color="auto"/>
            <w:right w:val="none" w:sz="0" w:space="0" w:color="auto"/>
          </w:divBdr>
        </w:div>
        <w:div w:id="1325940391">
          <w:marLeft w:val="0"/>
          <w:marRight w:val="0"/>
          <w:marTop w:val="0"/>
          <w:marBottom w:val="0"/>
          <w:divBdr>
            <w:top w:val="none" w:sz="0" w:space="0" w:color="auto"/>
            <w:left w:val="none" w:sz="0" w:space="0" w:color="auto"/>
            <w:bottom w:val="none" w:sz="0" w:space="0" w:color="auto"/>
            <w:right w:val="none" w:sz="0" w:space="0" w:color="auto"/>
          </w:divBdr>
        </w:div>
        <w:div w:id="651250341">
          <w:marLeft w:val="0"/>
          <w:marRight w:val="0"/>
          <w:marTop w:val="0"/>
          <w:marBottom w:val="0"/>
          <w:divBdr>
            <w:top w:val="none" w:sz="0" w:space="0" w:color="auto"/>
            <w:left w:val="none" w:sz="0" w:space="0" w:color="auto"/>
            <w:bottom w:val="none" w:sz="0" w:space="0" w:color="auto"/>
            <w:right w:val="none" w:sz="0" w:space="0" w:color="auto"/>
          </w:divBdr>
        </w:div>
        <w:div w:id="834341642">
          <w:marLeft w:val="0"/>
          <w:marRight w:val="0"/>
          <w:marTop w:val="0"/>
          <w:marBottom w:val="0"/>
          <w:divBdr>
            <w:top w:val="none" w:sz="0" w:space="0" w:color="auto"/>
            <w:left w:val="none" w:sz="0" w:space="0" w:color="auto"/>
            <w:bottom w:val="none" w:sz="0" w:space="0" w:color="auto"/>
            <w:right w:val="none" w:sz="0" w:space="0" w:color="auto"/>
          </w:divBdr>
        </w:div>
        <w:div w:id="2077242389">
          <w:marLeft w:val="0"/>
          <w:marRight w:val="0"/>
          <w:marTop w:val="0"/>
          <w:marBottom w:val="0"/>
          <w:divBdr>
            <w:top w:val="none" w:sz="0" w:space="0" w:color="auto"/>
            <w:left w:val="none" w:sz="0" w:space="0" w:color="auto"/>
            <w:bottom w:val="none" w:sz="0" w:space="0" w:color="auto"/>
            <w:right w:val="none" w:sz="0" w:space="0" w:color="auto"/>
          </w:divBdr>
        </w:div>
        <w:div w:id="768887470">
          <w:marLeft w:val="0"/>
          <w:marRight w:val="0"/>
          <w:marTop w:val="0"/>
          <w:marBottom w:val="0"/>
          <w:divBdr>
            <w:top w:val="none" w:sz="0" w:space="0" w:color="auto"/>
            <w:left w:val="none" w:sz="0" w:space="0" w:color="auto"/>
            <w:bottom w:val="none" w:sz="0" w:space="0" w:color="auto"/>
            <w:right w:val="none" w:sz="0" w:space="0" w:color="auto"/>
          </w:divBdr>
        </w:div>
        <w:div w:id="298220032">
          <w:marLeft w:val="0"/>
          <w:marRight w:val="0"/>
          <w:marTop w:val="0"/>
          <w:marBottom w:val="0"/>
          <w:divBdr>
            <w:top w:val="none" w:sz="0" w:space="0" w:color="auto"/>
            <w:left w:val="none" w:sz="0" w:space="0" w:color="auto"/>
            <w:bottom w:val="none" w:sz="0" w:space="0" w:color="auto"/>
            <w:right w:val="none" w:sz="0" w:space="0" w:color="auto"/>
          </w:divBdr>
        </w:div>
        <w:div w:id="88700178">
          <w:marLeft w:val="0"/>
          <w:marRight w:val="0"/>
          <w:marTop w:val="0"/>
          <w:marBottom w:val="0"/>
          <w:divBdr>
            <w:top w:val="none" w:sz="0" w:space="0" w:color="auto"/>
            <w:left w:val="none" w:sz="0" w:space="0" w:color="auto"/>
            <w:bottom w:val="none" w:sz="0" w:space="0" w:color="auto"/>
            <w:right w:val="none" w:sz="0" w:space="0" w:color="auto"/>
          </w:divBdr>
        </w:div>
        <w:div w:id="159901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173B-DBA0-40C0-A09A-F723277B87A5}">
  <ds:schemaRefs>
    <ds:schemaRef ds:uri="http://schemas.microsoft.com/sharepoint/v3/contenttype/forms"/>
  </ds:schemaRefs>
</ds:datastoreItem>
</file>

<file path=customXml/itemProps2.xml><?xml version="1.0" encoding="utf-8"?>
<ds:datastoreItem xmlns:ds="http://schemas.openxmlformats.org/officeDocument/2006/customXml" ds:itemID="{C13D6F13-C5A5-47CD-BA39-9F4AA829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E214D-2BCD-43BD-986B-C87059DF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77378-6FD8-4ADE-ADF6-64922442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1657</Words>
  <Characters>9118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10</cp:revision>
  <cp:lastPrinted>2020-11-25T15:40:00Z</cp:lastPrinted>
  <dcterms:created xsi:type="dcterms:W3CDTF">2021-01-28T13:52:00Z</dcterms:created>
  <dcterms:modified xsi:type="dcterms:W3CDTF">2021-03-19T16:44:00Z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