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AE" w:rsidRPr="001E72AE" w:rsidRDefault="001E72AE" w:rsidP="001E72A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1E72A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72AE" w:rsidRPr="001E72AE" w:rsidRDefault="001E72AE" w:rsidP="001E72AE">
      <w:pPr>
        <w:overflowPunct/>
        <w:autoSpaceDE/>
        <w:autoSpaceDN/>
        <w:adjustRightInd/>
        <w:jc w:val="both"/>
        <w:textAlignment w:val="auto"/>
        <w:rPr>
          <w:rFonts w:ascii="Arial" w:hAnsi="Arial" w:cs="Arial"/>
          <w:lang w:val="es-419"/>
        </w:rPr>
      </w:pPr>
    </w:p>
    <w:p w:rsidR="001E72AE" w:rsidRPr="001E72AE" w:rsidRDefault="00295EE2" w:rsidP="001E72AE">
      <w:pPr>
        <w:overflowPunct/>
        <w:autoSpaceDE/>
        <w:autoSpaceDN/>
        <w:adjustRightInd/>
        <w:jc w:val="both"/>
        <w:textAlignment w:val="auto"/>
        <w:rPr>
          <w:rFonts w:ascii="Arial" w:hAnsi="Arial" w:cs="Arial"/>
          <w:b/>
          <w:bCs/>
          <w:iCs/>
          <w:lang w:val="es-419" w:eastAsia="fr-FR"/>
        </w:rPr>
      </w:pPr>
      <w:r w:rsidRPr="001E72AE">
        <w:rPr>
          <w:rFonts w:ascii="Arial" w:hAnsi="Arial" w:cs="Arial"/>
          <w:b/>
          <w:bCs/>
          <w:iCs/>
          <w:u w:val="single"/>
          <w:lang w:val="es-419" w:eastAsia="fr-FR"/>
        </w:rPr>
        <w:t>TEMAS:</w:t>
      </w:r>
      <w:r w:rsidRPr="001E72AE">
        <w:rPr>
          <w:rFonts w:ascii="Arial" w:hAnsi="Arial" w:cs="Arial"/>
          <w:b/>
          <w:bCs/>
          <w:iCs/>
          <w:lang w:val="es-419" w:eastAsia="fr-FR"/>
        </w:rPr>
        <w:tab/>
      </w:r>
      <w:r>
        <w:rPr>
          <w:rFonts w:ascii="Arial" w:hAnsi="Arial" w:cs="Arial"/>
          <w:b/>
          <w:bCs/>
          <w:iCs/>
          <w:lang w:val="es-419" w:eastAsia="fr-FR"/>
        </w:rPr>
        <w:t xml:space="preserve">DERECHO A LA IGUALDAD / APLICACIÓN EXTENSIVA DE LA LEY 1979 DE 2019 / IMPROCEDENCIA DE LA TUTELA </w:t>
      </w:r>
      <w:r w:rsidR="001E72AE" w:rsidRPr="001E72AE">
        <w:rPr>
          <w:rFonts w:ascii="Arial" w:hAnsi="Arial" w:cs="Arial"/>
          <w:b/>
          <w:bCs/>
          <w:iCs/>
          <w:lang w:val="es-419" w:eastAsia="fr-FR"/>
        </w:rPr>
        <w:t xml:space="preserve">/ </w:t>
      </w:r>
      <w:r>
        <w:rPr>
          <w:rFonts w:ascii="Arial" w:hAnsi="Arial" w:cs="Arial"/>
          <w:b/>
          <w:bCs/>
          <w:iCs/>
          <w:lang w:val="es-419" w:eastAsia="fr-FR"/>
        </w:rPr>
        <w:t>ACTO DE CARÁCTER GENERAL, IMPERSONAL Y ABSTRACTO / PRINCIPIO DE SUBSIDIARIEDAD / PUEDE ACUDIR A LA DEMANDA DE INCONSTITUCIONALIDAD.</w:t>
      </w:r>
    </w:p>
    <w:p w:rsidR="001E72AE" w:rsidRPr="001E72AE" w:rsidRDefault="001E72AE" w:rsidP="001E72AE">
      <w:pPr>
        <w:overflowPunct/>
        <w:autoSpaceDE/>
        <w:autoSpaceDN/>
        <w:adjustRightInd/>
        <w:jc w:val="both"/>
        <w:textAlignment w:val="auto"/>
        <w:rPr>
          <w:rFonts w:ascii="Arial" w:hAnsi="Arial" w:cs="Arial"/>
          <w:lang w:val="es-419"/>
        </w:rPr>
      </w:pPr>
    </w:p>
    <w:p w:rsidR="00423931" w:rsidRPr="00423931" w:rsidRDefault="00423931" w:rsidP="00423931">
      <w:pPr>
        <w:overflowPunct/>
        <w:autoSpaceDE/>
        <w:autoSpaceDN/>
        <w:adjustRightInd/>
        <w:jc w:val="both"/>
        <w:textAlignment w:val="auto"/>
        <w:rPr>
          <w:rFonts w:ascii="Arial" w:hAnsi="Arial" w:cs="Arial"/>
          <w:lang w:val="es-419"/>
        </w:rPr>
      </w:pPr>
      <w:r>
        <w:rPr>
          <w:rFonts w:ascii="Arial" w:hAnsi="Arial" w:cs="Arial"/>
          <w:lang w:val="es-419"/>
        </w:rPr>
        <w:t xml:space="preserve">… </w:t>
      </w:r>
      <w:r w:rsidR="001A7763" w:rsidRPr="001A7763">
        <w:rPr>
          <w:rFonts w:ascii="Arial" w:hAnsi="Arial" w:cs="Arial"/>
          <w:lang w:val="es-419"/>
        </w:rPr>
        <w:t>es necesario recordar que el actor atribuye la lesión de su derecho a la igualdad a la Ley 1979 de 2019, que es una norma de carácter general, impersonal y abstracto, y de acuerdo con el numeral 5º del artículo 6º del decreto 2591 de 1991, en principio, la acción de tutela no procede en su contra</w:t>
      </w:r>
      <w:r w:rsidRPr="00423931">
        <w:rPr>
          <w:rFonts w:ascii="Arial" w:hAnsi="Arial" w:cs="Arial"/>
          <w:lang w:val="es-419"/>
        </w:rPr>
        <w:t>. Al respecto la Corte Constitucional ha expresado:</w:t>
      </w:r>
    </w:p>
    <w:p w:rsidR="00423931" w:rsidRPr="00423931" w:rsidRDefault="00423931" w:rsidP="00423931">
      <w:pPr>
        <w:overflowPunct/>
        <w:autoSpaceDE/>
        <w:autoSpaceDN/>
        <w:adjustRightInd/>
        <w:jc w:val="both"/>
        <w:textAlignment w:val="auto"/>
        <w:rPr>
          <w:rFonts w:ascii="Arial" w:hAnsi="Arial" w:cs="Arial"/>
          <w:lang w:val="es-419"/>
        </w:rPr>
      </w:pPr>
    </w:p>
    <w:p w:rsidR="00423931" w:rsidRDefault="00423931" w:rsidP="00423931">
      <w:pPr>
        <w:overflowPunct/>
        <w:autoSpaceDE/>
        <w:autoSpaceDN/>
        <w:adjustRightInd/>
        <w:jc w:val="both"/>
        <w:textAlignment w:val="auto"/>
        <w:rPr>
          <w:rFonts w:ascii="Arial" w:hAnsi="Arial" w:cs="Arial"/>
          <w:lang w:val="es-419"/>
        </w:rPr>
      </w:pPr>
      <w:r w:rsidRPr="00423931">
        <w:rPr>
          <w:rFonts w:ascii="Arial" w:hAnsi="Arial" w:cs="Arial"/>
          <w:lang w:val="es-419"/>
        </w:rPr>
        <w:t>“…</w:t>
      </w:r>
      <w:r>
        <w:rPr>
          <w:rFonts w:ascii="Arial" w:hAnsi="Arial" w:cs="Arial"/>
          <w:lang w:val="es-419"/>
        </w:rPr>
        <w:t xml:space="preserve"> </w:t>
      </w:r>
      <w:r w:rsidRPr="00423931">
        <w:rPr>
          <w:rFonts w:ascii="Arial" w:hAnsi="Arial" w:cs="Arial"/>
          <w:lang w:val="es-419"/>
        </w:rPr>
        <w:t>De conformidad con lo previsto en el artículo 6 del Decreto 2591 de 1991, la acción de tutela se torna improcedente cuando “se trate de actos de carácter general, impersonal y abstracto”; lo cual según la jurisprudencia constitucional, se justifica en la medida en que ese tipo de actos producen efectos generales y no tienen un destinatario particular, por lo que no son susceptibles de producir situaciones jurídicas subjetivas y concretas que permitan un control judicial a través de la acción de tutela</w:t>
      </w:r>
      <w:r>
        <w:rPr>
          <w:rFonts w:ascii="Arial" w:hAnsi="Arial" w:cs="Arial"/>
          <w:lang w:val="es-419"/>
        </w:rPr>
        <w:t>…”</w:t>
      </w:r>
    </w:p>
    <w:p w:rsidR="00423931" w:rsidRDefault="00423931" w:rsidP="001E72AE">
      <w:pPr>
        <w:overflowPunct/>
        <w:autoSpaceDE/>
        <w:autoSpaceDN/>
        <w:adjustRightInd/>
        <w:jc w:val="both"/>
        <w:textAlignment w:val="auto"/>
        <w:rPr>
          <w:rFonts w:ascii="Arial" w:hAnsi="Arial" w:cs="Arial"/>
          <w:lang w:val="es-419"/>
        </w:rPr>
      </w:pPr>
    </w:p>
    <w:p w:rsidR="00423931" w:rsidRPr="00423931" w:rsidRDefault="00423931" w:rsidP="00423931">
      <w:pPr>
        <w:overflowPunct/>
        <w:autoSpaceDE/>
        <w:autoSpaceDN/>
        <w:adjustRightInd/>
        <w:jc w:val="both"/>
        <w:textAlignment w:val="auto"/>
        <w:rPr>
          <w:rFonts w:ascii="Arial" w:hAnsi="Arial" w:cs="Arial"/>
          <w:lang w:val="es-419"/>
        </w:rPr>
      </w:pPr>
      <w:r w:rsidRPr="00423931">
        <w:rPr>
          <w:rFonts w:ascii="Arial" w:hAnsi="Arial" w:cs="Arial"/>
          <w:lang w:val="es-419"/>
        </w:rPr>
        <w:t>Surge de lo anterior que, para efecto de cuestionar la constitucionalidad de la norma atacada, el actor tiene a disposición la demanda por inconstitucionalidad, como mecanismo idóneo para dirimir la controversia que plantea en torno a la supuesta discriminación, al determinar beneficios solo a una parte de los miembros de la fuerza pública pensionados por invalidez con ocasión a lesiones causadas en combate.</w:t>
      </w:r>
    </w:p>
    <w:p w:rsidR="00423931" w:rsidRPr="00423931" w:rsidRDefault="00423931" w:rsidP="00423931">
      <w:pPr>
        <w:overflowPunct/>
        <w:autoSpaceDE/>
        <w:autoSpaceDN/>
        <w:adjustRightInd/>
        <w:jc w:val="both"/>
        <w:textAlignment w:val="auto"/>
        <w:rPr>
          <w:rFonts w:ascii="Arial" w:hAnsi="Arial" w:cs="Arial"/>
          <w:lang w:val="es-419"/>
        </w:rPr>
      </w:pPr>
    </w:p>
    <w:p w:rsidR="001E72AE" w:rsidRPr="001E72AE" w:rsidRDefault="00423931" w:rsidP="00423931">
      <w:pPr>
        <w:overflowPunct/>
        <w:autoSpaceDE/>
        <w:autoSpaceDN/>
        <w:adjustRightInd/>
        <w:jc w:val="both"/>
        <w:textAlignment w:val="auto"/>
        <w:rPr>
          <w:rFonts w:ascii="Arial" w:hAnsi="Arial" w:cs="Arial"/>
          <w:lang w:val="es-419"/>
        </w:rPr>
      </w:pPr>
      <w:r w:rsidRPr="00423931">
        <w:rPr>
          <w:rFonts w:ascii="Arial" w:hAnsi="Arial" w:cs="Arial"/>
          <w:lang w:val="es-419"/>
        </w:rPr>
        <w:t>Por consiguiente, como la tutela no es el único medio disponible para cuestionar la legalidad de la Ley 1979 de 2019, el amparo resulta improcedente al incumplir el presupuesto de la subsidiariedad.</w:t>
      </w:r>
    </w:p>
    <w:p w:rsidR="001E72AE" w:rsidRPr="001E72AE" w:rsidRDefault="001E72AE" w:rsidP="001E72AE">
      <w:pPr>
        <w:overflowPunct/>
        <w:autoSpaceDE/>
        <w:autoSpaceDN/>
        <w:adjustRightInd/>
        <w:jc w:val="both"/>
        <w:textAlignment w:val="auto"/>
        <w:rPr>
          <w:rFonts w:ascii="Arial" w:hAnsi="Arial" w:cs="Arial"/>
          <w:lang w:val="es-419"/>
        </w:rPr>
      </w:pPr>
    </w:p>
    <w:p w:rsidR="001E72AE" w:rsidRPr="001E72AE" w:rsidRDefault="001E72AE" w:rsidP="001E72AE">
      <w:pPr>
        <w:overflowPunct/>
        <w:autoSpaceDE/>
        <w:autoSpaceDN/>
        <w:adjustRightInd/>
        <w:jc w:val="both"/>
        <w:textAlignment w:val="auto"/>
        <w:rPr>
          <w:rFonts w:ascii="Arial" w:hAnsi="Arial" w:cs="Arial"/>
          <w:lang w:val="es-ES"/>
        </w:rPr>
      </w:pPr>
    </w:p>
    <w:p w:rsidR="001E72AE" w:rsidRPr="001E72AE" w:rsidRDefault="001E72AE" w:rsidP="001E72AE">
      <w:pPr>
        <w:overflowPunct/>
        <w:autoSpaceDE/>
        <w:autoSpaceDN/>
        <w:adjustRightInd/>
        <w:jc w:val="both"/>
        <w:textAlignment w:val="auto"/>
        <w:rPr>
          <w:rFonts w:ascii="Arial" w:hAnsi="Arial" w:cs="Arial"/>
          <w:lang w:val="es-ES"/>
        </w:rPr>
      </w:pPr>
    </w:p>
    <w:p w:rsidR="001368C3" w:rsidRPr="001E72AE" w:rsidRDefault="001368C3"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1E72AE">
        <w:rPr>
          <w:rFonts w:ascii="Tahoma" w:hAnsi="Tahoma" w:cs="Tahoma"/>
          <w:b/>
          <w:spacing w:val="-4"/>
          <w:sz w:val="24"/>
          <w:szCs w:val="24"/>
        </w:rPr>
        <w:t>TRIBUNAL SUPERIOR DEL DISTRITO JUDICIAL</w:t>
      </w:r>
    </w:p>
    <w:p w:rsidR="001368C3" w:rsidRPr="001E72AE" w:rsidRDefault="001368C3"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1E72AE">
        <w:rPr>
          <w:rFonts w:ascii="Tahoma" w:hAnsi="Tahoma" w:cs="Tahoma"/>
          <w:b/>
          <w:spacing w:val="-4"/>
          <w:sz w:val="24"/>
          <w:szCs w:val="24"/>
        </w:rPr>
        <w:t>SALA DE DECISIÓN CIVIL FAMILIA</w:t>
      </w:r>
    </w:p>
    <w:p w:rsidR="00996148" w:rsidRPr="001E72AE" w:rsidRDefault="00996148"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8634F" w:rsidRPr="001E72AE" w:rsidRDefault="0028634F"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27841" w:rsidRPr="001E72AE" w:rsidRDefault="00C27841" w:rsidP="001E7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ab/>
        <w:t>Magistrada Ponente: Adriana Patricia Díaz Ramírez</w:t>
      </w:r>
    </w:p>
    <w:p w:rsidR="00C27841" w:rsidRPr="001E72AE" w:rsidRDefault="00C27841" w:rsidP="001E7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ab/>
        <w:t>Pereira,</w:t>
      </w:r>
      <w:r w:rsidR="00942C79" w:rsidRPr="001E72AE">
        <w:rPr>
          <w:rFonts w:ascii="Tahoma" w:hAnsi="Tahoma" w:cs="Tahoma"/>
          <w:spacing w:val="-4"/>
          <w:sz w:val="24"/>
          <w:szCs w:val="24"/>
        </w:rPr>
        <w:t xml:space="preserve"> veintidós</w:t>
      </w:r>
      <w:r w:rsidR="00C62AE6" w:rsidRPr="001E72AE">
        <w:rPr>
          <w:rFonts w:ascii="Tahoma" w:hAnsi="Tahoma" w:cs="Tahoma"/>
          <w:spacing w:val="-4"/>
          <w:sz w:val="24"/>
          <w:szCs w:val="24"/>
        </w:rPr>
        <w:t xml:space="preserve"> (</w:t>
      </w:r>
      <w:r w:rsidR="00942C79" w:rsidRPr="001E72AE">
        <w:rPr>
          <w:rFonts w:ascii="Tahoma" w:hAnsi="Tahoma" w:cs="Tahoma"/>
          <w:spacing w:val="-4"/>
          <w:sz w:val="24"/>
          <w:szCs w:val="24"/>
        </w:rPr>
        <w:t>22</w:t>
      </w:r>
      <w:r w:rsidR="00C62AE6" w:rsidRPr="001E72AE">
        <w:rPr>
          <w:rFonts w:ascii="Tahoma" w:hAnsi="Tahoma" w:cs="Tahoma"/>
          <w:spacing w:val="-4"/>
          <w:sz w:val="24"/>
          <w:szCs w:val="24"/>
        </w:rPr>
        <w:t>) de</w:t>
      </w:r>
      <w:r w:rsidRPr="001E72AE">
        <w:rPr>
          <w:rFonts w:ascii="Tahoma" w:hAnsi="Tahoma" w:cs="Tahoma"/>
          <w:spacing w:val="-4"/>
          <w:sz w:val="24"/>
          <w:szCs w:val="24"/>
        </w:rPr>
        <w:t xml:space="preserve"> </w:t>
      </w:r>
      <w:r w:rsidR="006427D4" w:rsidRPr="001E72AE">
        <w:rPr>
          <w:rFonts w:ascii="Tahoma" w:hAnsi="Tahoma" w:cs="Tahoma"/>
          <w:spacing w:val="-4"/>
          <w:sz w:val="24"/>
          <w:szCs w:val="24"/>
        </w:rPr>
        <w:t>febrero</w:t>
      </w:r>
      <w:r w:rsidRPr="001E72AE">
        <w:rPr>
          <w:rFonts w:ascii="Tahoma" w:hAnsi="Tahoma" w:cs="Tahoma"/>
          <w:spacing w:val="-4"/>
          <w:sz w:val="24"/>
          <w:szCs w:val="24"/>
        </w:rPr>
        <w:t xml:space="preserve"> de dos mil veintiuno (2021)  </w:t>
      </w:r>
    </w:p>
    <w:p w:rsidR="00C27841" w:rsidRPr="001E72AE" w:rsidRDefault="00C27841" w:rsidP="001E7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4"/>
          <w:sz w:val="24"/>
          <w:szCs w:val="24"/>
        </w:rPr>
      </w:pPr>
      <w:r w:rsidRPr="001E72AE">
        <w:rPr>
          <w:rFonts w:ascii="Tahoma" w:hAnsi="Tahoma" w:cs="Tahoma"/>
          <w:spacing w:val="-4"/>
          <w:sz w:val="24"/>
          <w:szCs w:val="24"/>
        </w:rPr>
        <w:tab/>
        <w:t>Acta No.</w:t>
      </w:r>
      <w:r w:rsidR="00C62AE6" w:rsidRPr="001E72AE">
        <w:rPr>
          <w:rFonts w:ascii="Tahoma" w:hAnsi="Tahoma" w:cs="Tahoma"/>
          <w:spacing w:val="-4"/>
          <w:sz w:val="24"/>
          <w:szCs w:val="24"/>
        </w:rPr>
        <w:t xml:space="preserve"> </w:t>
      </w:r>
      <w:r w:rsidR="00942C79" w:rsidRPr="001E72AE">
        <w:rPr>
          <w:rFonts w:ascii="Tahoma" w:hAnsi="Tahoma" w:cs="Tahoma"/>
          <w:spacing w:val="-4"/>
          <w:sz w:val="24"/>
          <w:szCs w:val="24"/>
        </w:rPr>
        <w:t>077</w:t>
      </w:r>
      <w:r w:rsidR="007C0BC8" w:rsidRPr="001E72AE">
        <w:rPr>
          <w:rFonts w:ascii="Tahoma" w:hAnsi="Tahoma" w:cs="Tahoma"/>
          <w:spacing w:val="-4"/>
          <w:sz w:val="24"/>
          <w:szCs w:val="24"/>
        </w:rPr>
        <w:t xml:space="preserve"> </w:t>
      </w:r>
      <w:r w:rsidRPr="001E72AE">
        <w:rPr>
          <w:rFonts w:ascii="Tahoma" w:hAnsi="Tahoma" w:cs="Tahoma"/>
          <w:spacing w:val="-4"/>
          <w:sz w:val="24"/>
          <w:szCs w:val="24"/>
        </w:rPr>
        <w:t>del</w:t>
      </w:r>
      <w:r w:rsidR="007C0BC8" w:rsidRPr="001E72AE">
        <w:rPr>
          <w:rFonts w:ascii="Tahoma" w:hAnsi="Tahoma" w:cs="Tahoma"/>
          <w:spacing w:val="-4"/>
          <w:sz w:val="24"/>
          <w:szCs w:val="24"/>
        </w:rPr>
        <w:t xml:space="preserve"> </w:t>
      </w:r>
      <w:r w:rsidR="00942C79" w:rsidRPr="001E72AE">
        <w:rPr>
          <w:rFonts w:ascii="Tahoma" w:hAnsi="Tahoma" w:cs="Tahoma"/>
          <w:spacing w:val="-4"/>
          <w:sz w:val="24"/>
          <w:szCs w:val="24"/>
        </w:rPr>
        <w:t>22</w:t>
      </w:r>
      <w:r w:rsidR="007C0BC8" w:rsidRPr="001E72AE">
        <w:rPr>
          <w:rFonts w:ascii="Tahoma" w:hAnsi="Tahoma" w:cs="Tahoma"/>
          <w:spacing w:val="-4"/>
          <w:sz w:val="24"/>
          <w:szCs w:val="24"/>
        </w:rPr>
        <w:t xml:space="preserve"> </w:t>
      </w:r>
      <w:r w:rsidRPr="001E72AE">
        <w:rPr>
          <w:rFonts w:ascii="Tahoma" w:hAnsi="Tahoma" w:cs="Tahoma"/>
          <w:spacing w:val="-4"/>
          <w:sz w:val="24"/>
          <w:szCs w:val="24"/>
        </w:rPr>
        <w:t xml:space="preserve">de </w:t>
      </w:r>
      <w:r w:rsidR="006427D4" w:rsidRPr="001E72AE">
        <w:rPr>
          <w:rFonts w:ascii="Tahoma" w:hAnsi="Tahoma" w:cs="Tahoma"/>
          <w:spacing w:val="-4"/>
          <w:sz w:val="24"/>
          <w:szCs w:val="24"/>
        </w:rPr>
        <w:t>febrero</w:t>
      </w:r>
      <w:r w:rsidRPr="001E72AE">
        <w:rPr>
          <w:rFonts w:ascii="Tahoma" w:hAnsi="Tahoma" w:cs="Tahoma"/>
          <w:spacing w:val="-4"/>
          <w:sz w:val="24"/>
          <w:szCs w:val="24"/>
        </w:rPr>
        <w:t xml:space="preserve"> de 2021</w:t>
      </w:r>
      <w:r w:rsidR="002B1F38" w:rsidRPr="001E72AE">
        <w:rPr>
          <w:rFonts w:ascii="Tahoma" w:hAnsi="Tahoma" w:cs="Tahoma"/>
          <w:spacing w:val="-4"/>
          <w:sz w:val="24"/>
          <w:szCs w:val="24"/>
        </w:rPr>
        <w:tab/>
      </w:r>
    </w:p>
    <w:p w:rsidR="009941FB" w:rsidRPr="001E72AE" w:rsidRDefault="00C27841" w:rsidP="001E7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4"/>
          <w:sz w:val="24"/>
          <w:szCs w:val="24"/>
        </w:rPr>
      </w:pPr>
      <w:r w:rsidRPr="001E72AE">
        <w:rPr>
          <w:rFonts w:ascii="Tahoma" w:hAnsi="Tahoma" w:cs="Tahoma"/>
          <w:spacing w:val="-4"/>
          <w:sz w:val="24"/>
          <w:szCs w:val="24"/>
        </w:rPr>
        <w:tab/>
      </w:r>
      <w:r w:rsidR="001368C3" w:rsidRPr="001E72AE">
        <w:rPr>
          <w:rFonts w:ascii="Tahoma" w:hAnsi="Tahoma" w:cs="Tahoma"/>
          <w:spacing w:val="-4"/>
          <w:sz w:val="24"/>
          <w:szCs w:val="24"/>
        </w:rPr>
        <w:t>Exped</w:t>
      </w:r>
      <w:r w:rsidR="005B37B8" w:rsidRPr="001E72AE">
        <w:rPr>
          <w:rFonts w:ascii="Tahoma" w:hAnsi="Tahoma" w:cs="Tahoma"/>
          <w:spacing w:val="-4"/>
          <w:sz w:val="24"/>
          <w:szCs w:val="24"/>
        </w:rPr>
        <w:t>iente No</w:t>
      </w:r>
      <w:r w:rsidR="00081E08" w:rsidRPr="001E72AE">
        <w:rPr>
          <w:rFonts w:ascii="Tahoma" w:hAnsi="Tahoma" w:cs="Tahoma"/>
          <w:spacing w:val="-4"/>
          <w:sz w:val="24"/>
          <w:szCs w:val="24"/>
        </w:rPr>
        <w:t>.</w:t>
      </w:r>
      <w:r w:rsidR="00B76A30" w:rsidRPr="001E72AE">
        <w:rPr>
          <w:rFonts w:ascii="Tahoma" w:hAnsi="Tahoma" w:cs="Tahoma"/>
          <w:spacing w:val="-4"/>
          <w:sz w:val="24"/>
          <w:szCs w:val="24"/>
        </w:rPr>
        <w:t xml:space="preserve"> </w:t>
      </w:r>
      <w:r w:rsidR="006427D4" w:rsidRPr="001E72AE">
        <w:rPr>
          <w:rFonts w:ascii="Tahoma" w:hAnsi="Tahoma" w:cs="Tahoma"/>
          <w:spacing w:val="-4"/>
          <w:sz w:val="24"/>
          <w:szCs w:val="24"/>
        </w:rPr>
        <w:t>66001-22-13-000-2021</w:t>
      </w:r>
      <w:r w:rsidR="00524F23" w:rsidRPr="001E72AE">
        <w:rPr>
          <w:rFonts w:ascii="Tahoma" w:hAnsi="Tahoma" w:cs="Tahoma"/>
          <w:spacing w:val="-4"/>
          <w:sz w:val="24"/>
          <w:szCs w:val="24"/>
        </w:rPr>
        <w:t>-00</w:t>
      </w:r>
      <w:r w:rsidR="00060A0F" w:rsidRPr="001E72AE">
        <w:rPr>
          <w:rFonts w:ascii="Tahoma" w:hAnsi="Tahoma" w:cs="Tahoma"/>
          <w:spacing w:val="-4"/>
          <w:sz w:val="24"/>
          <w:szCs w:val="24"/>
        </w:rPr>
        <w:t>02</w:t>
      </w:r>
      <w:r w:rsidR="00295EE2">
        <w:rPr>
          <w:rFonts w:ascii="Tahoma" w:hAnsi="Tahoma" w:cs="Tahoma"/>
          <w:spacing w:val="-4"/>
          <w:sz w:val="24"/>
          <w:szCs w:val="24"/>
        </w:rPr>
        <w:t>7</w:t>
      </w:r>
      <w:bookmarkStart w:id="0" w:name="_GoBack"/>
      <w:bookmarkEnd w:id="0"/>
      <w:r w:rsidR="009941FB" w:rsidRPr="001E72AE">
        <w:rPr>
          <w:rFonts w:ascii="Tahoma" w:hAnsi="Tahoma" w:cs="Tahoma"/>
          <w:spacing w:val="-4"/>
          <w:sz w:val="24"/>
          <w:szCs w:val="24"/>
        </w:rPr>
        <w:t>-00</w:t>
      </w:r>
    </w:p>
    <w:p w:rsidR="00996148" w:rsidRPr="001E72AE" w:rsidRDefault="00996148"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8634F" w:rsidRPr="001E72AE" w:rsidRDefault="0028634F"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0C5FDC" w:rsidRPr="001E72AE" w:rsidRDefault="006427D4" w:rsidP="001E72AE">
      <w:pPr>
        <w:spacing w:line="276" w:lineRule="auto"/>
        <w:jc w:val="both"/>
        <w:rPr>
          <w:rFonts w:ascii="Tahoma" w:hAnsi="Tahoma" w:cs="Tahoma"/>
          <w:spacing w:val="-4"/>
          <w:sz w:val="24"/>
          <w:szCs w:val="24"/>
          <w:lang w:val="es-CO"/>
        </w:rPr>
      </w:pPr>
      <w:r w:rsidRPr="001E72AE">
        <w:rPr>
          <w:rFonts w:ascii="Tahoma" w:hAnsi="Tahoma" w:cs="Tahoma"/>
          <w:spacing w:val="-4"/>
          <w:sz w:val="24"/>
          <w:szCs w:val="24"/>
        </w:rPr>
        <w:t>Resuelve la Sala, en primera instancia,</w:t>
      </w:r>
      <w:r w:rsidR="005B37B8" w:rsidRPr="001E72AE">
        <w:rPr>
          <w:rFonts w:ascii="Tahoma" w:hAnsi="Tahoma" w:cs="Tahoma"/>
          <w:spacing w:val="-4"/>
          <w:sz w:val="24"/>
          <w:szCs w:val="24"/>
        </w:rPr>
        <w:t xml:space="preserve"> la</w:t>
      </w:r>
      <w:r w:rsidR="00DD0387" w:rsidRPr="001E72AE">
        <w:rPr>
          <w:rFonts w:ascii="Tahoma" w:hAnsi="Tahoma" w:cs="Tahoma"/>
          <w:spacing w:val="-4"/>
          <w:sz w:val="24"/>
          <w:szCs w:val="24"/>
        </w:rPr>
        <w:t xml:space="preserve"> acció</w:t>
      </w:r>
      <w:r w:rsidR="7BEA13E8" w:rsidRPr="001E72AE">
        <w:rPr>
          <w:rFonts w:ascii="Tahoma" w:hAnsi="Tahoma" w:cs="Tahoma"/>
          <w:spacing w:val="-4"/>
          <w:sz w:val="24"/>
          <w:szCs w:val="24"/>
        </w:rPr>
        <w:t>n</w:t>
      </w:r>
      <w:r w:rsidR="0029724B" w:rsidRPr="001E72AE">
        <w:rPr>
          <w:rFonts w:ascii="Tahoma" w:hAnsi="Tahoma" w:cs="Tahoma"/>
          <w:spacing w:val="-4"/>
          <w:sz w:val="24"/>
          <w:szCs w:val="24"/>
        </w:rPr>
        <w:t xml:space="preserve"> de tut</w:t>
      </w:r>
      <w:r w:rsidR="005B37B8" w:rsidRPr="001E72AE">
        <w:rPr>
          <w:rFonts w:ascii="Tahoma" w:hAnsi="Tahoma" w:cs="Tahoma"/>
          <w:spacing w:val="-4"/>
          <w:sz w:val="24"/>
          <w:szCs w:val="24"/>
        </w:rPr>
        <w:t xml:space="preserve">ela de la referencia, </w:t>
      </w:r>
      <w:r w:rsidRPr="001E72AE">
        <w:rPr>
          <w:rFonts w:ascii="Tahoma" w:hAnsi="Tahoma" w:cs="Tahoma"/>
          <w:spacing w:val="-4"/>
          <w:sz w:val="24"/>
          <w:szCs w:val="24"/>
        </w:rPr>
        <w:t>promovida</w:t>
      </w:r>
      <w:r w:rsidR="0049783F" w:rsidRPr="001E72AE">
        <w:rPr>
          <w:rFonts w:ascii="Tahoma" w:hAnsi="Tahoma" w:cs="Tahoma"/>
          <w:spacing w:val="-4"/>
          <w:sz w:val="24"/>
          <w:szCs w:val="24"/>
        </w:rPr>
        <w:t xml:space="preserve"> </w:t>
      </w:r>
      <w:r w:rsidR="0029724B" w:rsidRPr="001E72AE">
        <w:rPr>
          <w:rFonts w:ascii="Tahoma" w:hAnsi="Tahoma" w:cs="Tahoma"/>
          <w:spacing w:val="-4"/>
          <w:sz w:val="24"/>
          <w:szCs w:val="24"/>
        </w:rPr>
        <w:t>por el señor</w:t>
      </w:r>
      <w:r w:rsidR="008A2F69" w:rsidRPr="001E72AE">
        <w:rPr>
          <w:rFonts w:ascii="Tahoma" w:hAnsi="Tahoma" w:cs="Tahoma"/>
          <w:spacing w:val="-4"/>
          <w:sz w:val="24"/>
          <w:szCs w:val="24"/>
        </w:rPr>
        <w:t xml:space="preserve"> </w:t>
      </w:r>
      <w:r w:rsidR="00A97438" w:rsidRPr="001E72AE">
        <w:rPr>
          <w:rFonts w:ascii="Tahoma" w:hAnsi="Tahoma" w:cs="Tahoma"/>
          <w:spacing w:val="-4"/>
          <w:sz w:val="24"/>
          <w:szCs w:val="24"/>
          <w:lang w:val="es-CO"/>
        </w:rPr>
        <w:t>Julio César Quintero Batero contra el Presidente de la República, a la que fueron vinculados el Congreso de la República, la Asesora del Grupo de Atención a la Ciudadanía de la Presidencia de la República</w:t>
      </w:r>
      <w:r w:rsidR="0016773C" w:rsidRPr="001E72AE">
        <w:rPr>
          <w:rFonts w:ascii="Tahoma" w:hAnsi="Tahoma" w:cs="Tahoma"/>
          <w:spacing w:val="-4"/>
          <w:sz w:val="24"/>
          <w:szCs w:val="24"/>
          <w:lang w:val="es-CO"/>
        </w:rPr>
        <w:t>, el</w:t>
      </w:r>
      <w:r w:rsidR="00A97438" w:rsidRPr="001E72AE">
        <w:rPr>
          <w:rFonts w:ascii="Tahoma" w:hAnsi="Tahoma" w:cs="Tahoma"/>
          <w:spacing w:val="-4"/>
          <w:sz w:val="24"/>
          <w:szCs w:val="24"/>
          <w:lang w:val="es-CO"/>
        </w:rPr>
        <w:t xml:space="preserve"> </w:t>
      </w:r>
      <w:r w:rsidR="0016773C" w:rsidRPr="001E72AE">
        <w:rPr>
          <w:rFonts w:ascii="Tahoma" w:hAnsi="Tahoma" w:cs="Tahoma"/>
          <w:spacing w:val="-4"/>
          <w:sz w:val="24"/>
          <w:szCs w:val="24"/>
          <w:lang w:val="es-CO"/>
        </w:rPr>
        <w:t>Comandante de Personal del Ejército Nacional,</w:t>
      </w:r>
      <w:r w:rsidR="00A97438" w:rsidRPr="001E72AE">
        <w:rPr>
          <w:rFonts w:ascii="Tahoma" w:hAnsi="Tahoma" w:cs="Tahoma"/>
          <w:spacing w:val="-4"/>
          <w:sz w:val="24"/>
          <w:szCs w:val="24"/>
          <w:lang w:val="es-CO"/>
        </w:rPr>
        <w:t xml:space="preserve"> las Coordinadoras del Grupo de Prestaciones Sociales y de Aten</w:t>
      </w:r>
      <w:r w:rsidR="0016773C" w:rsidRPr="001E72AE">
        <w:rPr>
          <w:rFonts w:ascii="Tahoma" w:hAnsi="Tahoma" w:cs="Tahoma"/>
          <w:spacing w:val="-4"/>
          <w:sz w:val="24"/>
          <w:szCs w:val="24"/>
          <w:lang w:val="es-CO"/>
        </w:rPr>
        <w:t>ción y Orientación Ciudadana, la Directora de Bienestar Sectorial y Salud y el asesor jurídico de esa Dirección, estos últimos adscritos al</w:t>
      </w:r>
      <w:r w:rsidR="00A97438" w:rsidRPr="001E72AE">
        <w:rPr>
          <w:rFonts w:ascii="Tahoma" w:hAnsi="Tahoma" w:cs="Tahoma"/>
          <w:spacing w:val="-4"/>
          <w:sz w:val="24"/>
          <w:szCs w:val="24"/>
          <w:lang w:val="es-CO"/>
        </w:rPr>
        <w:t xml:space="preserve"> Ministerio de Defensa Nacional.</w:t>
      </w:r>
    </w:p>
    <w:p w:rsidR="00060A0F" w:rsidRPr="001E72AE" w:rsidRDefault="00060A0F" w:rsidP="001E72AE">
      <w:pPr>
        <w:spacing w:line="276" w:lineRule="auto"/>
        <w:jc w:val="both"/>
        <w:rPr>
          <w:rFonts w:ascii="Tahoma" w:hAnsi="Tahoma" w:cs="Tahoma"/>
          <w:spacing w:val="-4"/>
          <w:sz w:val="24"/>
          <w:szCs w:val="24"/>
          <w:lang w:val="es-CO"/>
        </w:rPr>
      </w:pPr>
    </w:p>
    <w:p w:rsidR="00E471D6" w:rsidRPr="001E72AE" w:rsidRDefault="00E471D6" w:rsidP="001E72AE">
      <w:pPr>
        <w:spacing w:line="276" w:lineRule="auto"/>
        <w:jc w:val="both"/>
        <w:rPr>
          <w:rFonts w:ascii="Tahoma" w:hAnsi="Tahoma" w:cs="Tahoma"/>
          <w:b/>
          <w:spacing w:val="-4"/>
          <w:sz w:val="24"/>
          <w:szCs w:val="24"/>
        </w:rPr>
      </w:pPr>
      <w:r w:rsidRPr="001E72AE">
        <w:rPr>
          <w:rFonts w:ascii="Tahoma" w:hAnsi="Tahoma" w:cs="Tahoma"/>
          <w:b/>
          <w:spacing w:val="-4"/>
          <w:sz w:val="24"/>
          <w:szCs w:val="24"/>
        </w:rPr>
        <w:t>A N T E C E D E N T E S</w:t>
      </w:r>
    </w:p>
    <w:p w:rsidR="00E471D6" w:rsidRPr="001E72AE" w:rsidRDefault="00E471D6" w:rsidP="001E72AE">
      <w:pPr>
        <w:spacing w:line="276" w:lineRule="auto"/>
        <w:jc w:val="both"/>
        <w:rPr>
          <w:rFonts w:ascii="Tahoma" w:hAnsi="Tahoma" w:cs="Tahoma"/>
          <w:spacing w:val="-4"/>
          <w:sz w:val="24"/>
          <w:szCs w:val="24"/>
        </w:rPr>
      </w:pPr>
    </w:p>
    <w:p w:rsidR="00A97438" w:rsidRPr="001E72AE" w:rsidRDefault="0061162F" w:rsidP="001E72AE">
      <w:pPr>
        <w:spacing w:line="276" w:lineRule="auto"/>
        <w:jc w:val="both"/>
        <w:rPr>
          <w:rFonts w:ascii="Tahoma" w:hAnsi="Tahoma" w:cs="Tahoma"/>
          <w:spacing w:val="-4"/>
          <w:sz w:val="24"/>
          <w:szCs w:val="24"/>
        </w:rPr>
      </w:pPr>
      <w:r w:rsidRPr="001E72AE">
        <w:rPr>
          <w:rFonts w:ascii="Tahoma" w:hAnsi="Tahoma" w:cs="Tahoma"/>
          <w:spacing w:val="-4"/>
          <w:sz w:val="24"/>
          <w:szCs w:val="24"/>
        </w:rPr>
        <w:t>1.</w:t>
      </w:r>
      <w:r w:rsidR="00E471D6" w:rsidRPr="001E72AE">
        <w:rPr>
          <w:rFonts w:ascii="Tahoma" w:hAnsi="Tahoma" w:cs="Tahoma"/>
          <w:spacing w:val="-4"/>
          <w:sz w:val="24"/>
          <w:szCs w:val="24"/>
        </w:rPr>
        <w:t xml:space="preserve"> </w:t>
      </w:r>
      <w:r w:rsidR="00A97438" w:rsidRPr="001E72AE">
        <w:rPr>
          <w:rFonts w:ascii="Tahoma" w:hAnsi="Tahoma" w:cs="Tahoma"/>
          <w:spacing w:val="-4"/>
          <w:sz w:val="24"/>
          <w:szCs w:val="24"/>
        </w:rPr>
        <w:t>Narró el actor los hechos que permiten el siguiente resumen:</w:t>
      </w:r>
    </w:p>
    <w:p w:rsidR="00A97438" w:rsidRPr="001E72AE" w:rsidRDefault="00A97438" w:rsidP="001E72AE">
      <w:pPr>
        <w:spacing w:line="276" w:lineRule="auto"/>
        <w:jc w:val="both"/>
        <w:rPr>
          <w:rFonts w:ascii="Tahoma" w:hAnsi="Tahoma" w:cs="Tahoma"/>
          <w:spacing w:val="-4"/>
          <w:sz w:val="24"/>
          <w:szCs w:val="24"/>
        </w:rPr>
      </w:pPr>
    </w:p>
    <w:p w:rsidR="00A97438" w:rsidRPr="001E72AE" w:rsidRDefault="00A97438" w:rsidP="001E72AE">
      <w:pPr>
        <w:spacing w:line="276" w:lineRule="auto"/>
        <w:jc w:val="both"/>
        <w:rPr>
          <w:rFonts w:ascii="Tahoma" w:hAnsi="Tahoma" w:cs="Tahoma"/>
          <w:spacing w:val="-4"/>
          <w:sz w:val="24"/>
          <w:szCs w:val="24"/>
        </w:rPr>
      </w:pPr>
      <w:r w:rsidRPr="001E72AE">
        <w:rPr>
          <w:rFonts w:ascii="Tahoma" w:hAnsi="Tahoma" w:cs="Tahoma"/>
          <w:spacing w:val="-4"/>
          <w:sz w:val="24"/>
          <w:szCs w:val="24"/>
        </w:rPr>
        <w:t>1.1 Se presentó su baja del Ejército Nacional, en el mes de marzo de 1996, por la causa de herida en combate que le significó una disminución en la capacidad laboral del 76,1%.</w:t>
      </w:r>
    </w:p>
    <w:p w:rsidR="00A97438" w:rsidRPr="001E72AE" w:rsidRDefault="00A97438" w:rsidP="001E72AE">
      <w:pPr>
        <w:spacing w:line="276" w:lineRule="auto"/>
        <w:jc w:val="both"/>
        <w:rPr>
          <w:rFonts w:ascii="Tahoma" w:hAnsi="Tahoma" w:cs="Tahoma"/>
          <w:spacing w:val="-4"/>
          <w:sz w:val="24"/>
          <w:szCs w:val="24"/>
        </w:rPr>
      </w:pPr>
    </w:p>
    <w:p w:rsidR="00A97438" w:rsidRPr="001E72AE" w:rsidRDefault="00A97438" w:rsidP="001E72AE">
      <w:pPr>
        <w:spacing w:line="276" w:lineRule="auto"/>
        <w:jc w:val="both"/>
        <w:rPr>
          <w:rFonts w:ascii="Tahoma" w:hAnsi="Tahoma" w:cs="Tahoma"/>
          <w:spacing w:val="-4"/>
          <w:sz w:val="24"/>
          <w:szCs w:val="24"/>
        </w:rPr>
      </w:pPr>
      <w:r w:rsidRPr="001E72AE">
        <w:rPr>
          <w:rFonts w:ascii="Tahoma" w:hAnsi="Tahoma" w:cs="Tahoma"/>
          <w:spacing w:val="-4"/>
          <w:sz w:val="24"/>
          <w:szCs w:val="24"/>
        </w:rPr>
        <w:t>1.2 En el mes de octubre de 2020 el Presidente de la República sancionó la Ley 1979 de</w:t>
      </w:r>
      <w:r w:rsidR="0016773C" w:rsidRPr="001E72AE">
        <w:rPr>
          <w:rFonts w:ascii="Tahoma" w:hAnsi="Tahoma" w:cs="Tahoma"/>
          <w:spacing w:val="-4"/>
          <w:sz w:val="24"/>
          <w:szCs w:val="24"/>
        </w:rPr>
        <w:t xml:space="preserve"> 2019, en la cual se establece un</w:t>
      </w:r>
      <w:r w:rsidRPr="001E72AE">
        <w:rPr>
          <w:rFonts w:ascii="Tahoma" w:hAnsi="Tahoma" w:cs="Tahoma"/>
          <w:spacing w:val="-4"/>
          <w:sz w:val="24"/>
          <w:szCs w:val="24"/>
        </w:rPr>
        <w:t xml:space="preserve"> incremento de la pensión de invalidez al 100% para los miembros de la fuerza pública que, entre otras situaciones, hubiere</w:t>
      </w:r>
      <w:r w:rsidR="0016773C" w:rsidRPr="001E72AE">
        <w:rPr>
          <w:rFonts w:ascii="Tahoma" w:hAnsi="Tahoma" w:cs="Tahoma"/>
          <w:spacing w:val="-4"/>
          <w:sz w:val="24"/>
          <w:szCs w:val="24"/>
        </w:rPr>
        <w:t>n</w:t>
      </w:r>
      <w:r w:rsidRPr="001E72AE">
        <w:rPr>
          <w:rFonts w:ascii="Tahoma" w:hAnsi="Tahoma" w:cs="Tahoma"/>
          <w:spacing w:val="-4"/>
          <w:sz w:val="24"/>
          <w:szCs w:val="24"/>
        </w:rPr>
        <w:t xml:space="preserve"> sido heridos en combate.</w:t>
      </w:r>
    </w:p>
    <w:p w:rsidR="00A97438" w:rsidRPr="001E72AE" w:rsidRDefault="00A97438" w:rsidP="001E72AE">
      <w:pPr>
        <w:spacing w:line="276" w:lineRule="auto"/>
        <w:jc w:val="both"/>
        <w:rPr>
          <w:rFonts w:ascii="Tahoma" w:hAnsi="Tahoma" w:cs="Tahoma"/>
          <w:spacing w:val="-4"/>
          <w:sz w:val="24"/>
          <w:szCs w:val="24"/>
        </w:rPr>
      </w:pPr>
    </w:p>
    <w:p w:rsidR="008A669B" w:rsidRDefault="00A97438" w:rsidP="001E72AE">
      <w:pPr>
        <w:spacing w:line="276" w:lineRule="auto"/>
        <w:jc w:val="both"/>
        <w:rPr>
          <w:rFonts w:ascii="Tahoma" w:hAnsi="Tahoma" w:cs="Tahoma"/>
          <w:spacing w:val="-4"/>
          <w:sz w:val="24"/>
          <w:szCs w:val="24"/>
        </w:rPr>
      </w:pPr>
      <w:r w:rsidRPr="001E72AE">
        <w:rPr>
          <w:rFonts w:ascii="Tahoma" w:hAnsi="Tahoma" w:cs="Tahoma"/>
          <w:spacing w:val="-4"/>
          <w:sz w:val="24"/>
          <w:szCs w:val="24"/>
        </w:rPr>
        <w:t>1.3 Teniendo en cuenta lo anterior, el 1° de diciembre de 2020, solicitó al área de prestaciones sociales, se aumentara su mesada pensional del 76,1% al 100%</w:t>
      </w:r>
      <w:r w:rsidR="008A669B" w:rsidRPr="001E72AE">
        <w:rPr>
          <w:rFonts w:ascii="Tahoma" w:hAnsi="Tahoma" w:cs="Tahoma"/>
          <w:spacing w:val="-4"/>
          <w:sz w:val="24"/>
          <w:szCs w:val="24"/>
        </w:rPr>
        <w:t>. Esa entidad, de manera extemporánea y con ocasión a una tutela que formuló en su contra, emitió respuesta en la que simplemente se indicó que al haber sido pensionado en condición de suboficial no tiene derecho al mencionado incremento.</w:t>
      </w:r>
    </w:p>
    <w:p w:rsidR="00324D5B" w:rsidRPr="001E72AE" w:rsidRDefault="00324D5B" w:rsidP="001E72AE">
      <w:pPr>
        <w:spacing w:line="276" w:lineRule="auto"/>
        <w:jc w:val="both"/>
        <w:rPr>
          <w:rFonts w:ascii="Tahoma" w:hAnsi="Tahoma" w:cs="Tahoma"/>
          <w:spacing w:val="-4"/>
          <w:sz w:val="24"/>
          <w:szCs w:val="24"/>
        </w:rPr>
      </w:pPr>
    </w:p>
    <w:p w:rsidR="008A669B" w:rsidRPr="001E72AE" w:rsidRDefault="008A669B" w:rsidP="001E72AE">
      <w:pPr>
        <w:spacing w:line="276" w:lineRule="auto"/>
        <w:jc w:val="both"/>
        <w:rPr>
          <w:rFonts w:ascii="Tahoma" w:hAnsi="Tahoma" w:cs="Tahoma"/>
          <w:spacing w:val="-4"/>
          <w:sz w:val="24"/>
          <w:szCs w:val="24"/>
        </w:rPr>
      </w:pPr>
      <w:r w:rsidRPr="001E72AE">
        <w:rPr>
          <w:rFonts w:ascii="Tahoma" w:hAnsi="Tahoma" w:cs="Tahoma"/>
          <w:spacing w:val="-4"/>
          <w:sz w:val="24"/>
          <w:szCs w:val="24"/>
        </w:rPr>
        <w:t xml:space="preserve">1.4 En su calidad de pensionado por invalidez, líder político, defensor de derechos humanos y director de la ONG Dolor y Llanto Militar, el 1° de febrero de este año, formuló solicitud ante el </w:t>
      </w:r>
      <w:r w:rsidR="0016773C" w:rsidRPr="001E72AE">
        <w:rPr>
          <w:rFonts w:ascii="Tahoma" w:hAnsi="Tahoma" w:cs="Tahoma"/>
          <w:spacing w:val="-4"/>
          <w:sz w:val="24"/>
          <w:szCs w:val="24"/>
        </w:rPr>
        <w:t>Presidente</w:t>
      </w:r>
      <w:r w:rsidRPr="001E72AE">
        <w:rPr>
          <w:rFonts w:ascii="Tahoma" w:hAnsi="Tahoma" w:cs="Tahoma"/>
          <w:spacing w:val="-4"/>
          <w:sz w:val="24"/>
          <w:szCs w:val="24"/>
        </w:rPr>
        <w:t xml:space="preserve"> en la que de forma respetuosa le pidió se pronunciara, de manera personal y sin delegar esa responsabilidad, sobre aquella respuesta y si fuera del caso iniciara la auditoría de rigor.</w:t>
      </w:r>
    </w:p>
    <w:p w:rsidR="008A669B" w:rsidRPr="001E72AE" w:rsidRDefault="008A669B" w:rsidP="001E72AE">
      <w:pPr>
        <w:spacing w:line="276" w:lineRule="auto"/>
        <w:jc w:val="both"/>
        <w:rPr>
          <w:rFonts w:ascii="Tahoma" w:hAnsi="Tahoma" w:cs="Tahoma"/>
          <w:spacing w:val="-4"/>
          <w:sz w:val="24"/>
          <w:szCs w:val="24"/>
        </w:rPr>
      </w:pPr>
    </w:p>
    <w:p w:rsidR="008A669B" w:rsidRPr="001E72AE" w:rsidRDefault="008A669B" w:rsidP="001E72AE">
      <w:pPr>
        <w:spacing w:line="276" w:lineRule="auto"/>
        <w:jc w:val="both"/>
        <w:rPr>
          <w:rFonts w:ascii="Tahoma" w:hAnsi="Tahoma" w:cs="Tahoma"/>
          <w:spacing w:val="-4"/>
          <w:sz w:val="24"/>
          <w:szCs w:val="24"/>
        </w:rPr>
      </w:pPr>
      <w:r w:rsidRPr="001E72AE">
        <w:rPr>
          <w:rFonts w:ascii="Tahoma" w:hAnsi="Tahoma" w:cs="Tahoma"/>
          <w:spacing w:val="-4"/>
          <w:sz w:val="24"/>
          <w:szCs w:val="24"/>
        </w:rPr>
        <w:t xml:space="preserve">1.4 No obstante, esa solicitud fue remitida a la Dra. </w:t>
      </w:r>
      <w:proofErr w:type="spellStart"/>
      <w:r w:rsidRPr="001E72AE">
        <w:rPr>
          <w:rFonts w:ascii="Tahoma" w:hAnsi="Tahoma" w:cs="Tahoma"/>
          <w:spacing w:val="-4"/>
          <w:sz w:val="24"/>
          <w:szCs w:val="24"/>
        </w:rPr>
        <w:t>Yasira</w:t>
      </w:r>
      <w:proofErr w:type="spellEnd"/>
      <w:r w:rsidRPr="001E72AE">
        <w:rPr>
          <w:rFonts w:ascii="Tahoma" w:hAnsi="Tahoma" w:cs="Tahoma"/>
          <w:spacing w:val="-4"/>
          <w:sz w:val="24"/>
          <w:szCs w:val="24"/>
        </w:rPr>
        <w:t xml:space="preserve"> Sirley Perea, funcionaria adscrita al Ministerio de Defensa, entidad que ya se había pronunciado y que debido al inconformismo con su respuesta fue que decidió acudir al Presidente, quien, además, sancionó aquella ley que discrimina a los oficiales, suboficiales, agentes de policía y soldados voluntarios.</w:t>
      </w:r>
    </w:p>
    <w:p w:rsidR="008A669B" w:rsidRPr="001E72AE" w:rsidRDefault="008A669B" w:rsidP="001E72AE">
      <w:pPr>
        <w:spacing w:line="276" w:lineRule="auto"/>
        <w:jc w:val="both"/>
        <w:rPr>
          <w:rFonts w:ascii="Tahoma" w:hAnsi="Tahoma" w:cs="Tahoma"/>
          <w:spacing w:val="-4"/>
          <w:sz w:val="24"/>
          <w:szCs w:val="24"/>
        </w:rPr>
      </w:pPr>
    </w:p>
    <w:p w:rsidR="001A5C8A" w:rsidRPr="001E72AE" w:rsidRDefault="0016773C" w:rsidP="001E72AE">
      <w:pPr>
        <w:spacing w:line="276" w:lineRule="auto"/>
        <w:jc w:val="both"/>
        <w:rPr>
          <w:rFonts w:ascii="Tahoma" w:hAnsi="Tahoma" w:cs="Tahoma"/>
          <w:spacing w:val="-4"/>
          <w:sz w:val="24"/>
          <w:szCs w:val="24"/>
        </w:rPr>
      </w:pPr>
      <w:r w:rsidRPr="001E72AE">
        <w:rPr>
          <w:rFonts w:ascii="Tahoma" w:hAnsi="Tahoma" w:cs="Tahoma"/>
          <w:spacing w:val="-4"/>
          <w:sz w:val="24"/>
          <w:szCs w:val="24"/>
        </w:rPr>
        <w:t>1.5 El</w:t>
      </w:r>
      <w:r w:rsidR="008A669B" w:rsidRPr="001E72AE">
        <w:rPr>
          <w:rFonts w:ascii="Tahoma" w:hAnsi="Tahoma" w:cs="Tahoma"/>
          <w:spacing w:val="-4"/>
          <w:sz w:val="24"/>
          <w:szCs w:val="24"/>
        </w:rPr>
        <w:t xml:space="preserve"> hecho de ocupar el cargo de</w:t>
      </w:r>
      <w:r w:rsidRPr="001E72AE">
        <w:rPr>
          <w:rFonts w:ascii="Tahoma" w:hAnsi="Tahoma" w:cs="Tahoma"/>
          <w:spacing w:val="-4"/>
          <w:sz w:val="24"/>
          <w:szCs w:val="24"/>
        </w:rPr>
        <w:t xml:space="preserve">l ejecutivo </w:t>
      </w:r>
      <w:r w:rsidR="008A669B" w:rsidRPr="001E72AE">
        <w:rPr>
          <w:rFonts w:ascii="Tahoma" w:hAnsi="Tahoma" w:cs="Tahoma"/>
          <w:spacing w:val="-4"/>
          <w:sz w:val="24"/>
          <w:szCs w:val="24"/>
        </w:rPr>
        <w:t xml:space="preserve">no le impide </w:t>
      </w:r>
      <w:r w:rsidRPr="001E72AE">
        <w:rPr>
          <w:rFonts w:ascii="Tahoma" w:hAnsi="Tahoma" w:cs="Tahoma"/>
          <w:spacing w:val="-4"/>
          <w:sz w:val="24"/>
          <w:szCs w:val="24"/>
        </w:rPr>
        <w:t xml:space="preserve">a ese funcionario </w:t>
      </w:r>
      <w:r w:rsidR="001A5C8A" w:rsidRPr="001E72AE">
        <w:rPr>
          <w:rFonts w:ascii="Tahoma" w:hAnsi="Tahoma" w:cs="Tahoma"/>
          <w:spacing w:val="-4"/>
          <w:sz w:val="24"/>
          <w:szCs w:val="24"/>
        </w:rPr>
        <w:t>resolver de manera directa tales peticiones</w:t>
      </w:r>
      <w:r w:rsidRPr="001E72AE">
        <w:rPr>
          <w:rFonts w:ascii="Tahoma" w:hAnsi="Tahoma" w:cs="Tahoma"/>
          <w:spacing w:val="-4"/>
          <w:sz w:val="24"/>
          <w:szCs w:val="24"/>
        </w:rPr>
        <w:t>,</w:t>
      </w:r>
      <w:r w:rsidR="001A5C8A" w:rsidRPr="001E72AE">
        <w:rPr>
          <w:rFonts w:ascii="Tahoma" w:hAnsi="Tahoma" w:cs="Tahoma"/>
          <w:spacing w:val="-4"/>
          <w:sz w:val="24"/>
          <w:szCs w:val="24"/>
        </w:rPr>
        <w:t xml:space="preserve"> ni le permite desconocer la Constitución Política.</w:t>
      </w:r>
    </w:p>
    <w:p w:rsidR="001A5C8A" w:rsidRPr="001E72AE" w:rsidRDefault="001A5C8A" w:rsidP="001E72AE">
      <w:pPr>
        <w:spacing w:line="276" w:lineRule="auto"/>
        <w:jc w:val="both"/>
        <w:rPr>
          <w:rFonts w:ascii="Tahoma" w:hAnsi="Tahoma" w:cs="Tahoma"/>
          <w:spacing w:val="-4"/>
          <w:sz w:val="24"/>
          <w:szCs w:val="24"/>
        </w:rPr>
      </w:pPr>
    </w:p>
    <w:p w:rsidR="00A257D8" w:rsidRPr="001E72AE" w:rsidRDefault="001A5C8A" w:rsidP="001E72AE">
      <w:pPr>
        <w:spacing w:line="276" w:lineRule="auto"/>
        <w:jc w:val="both"/>
        <w:rPr>
          <w:rFonts w:ascii="Tahoma" w:hAnsi="Tahoma" w:cs="Tahoma"/>
          <w:spacing w:val="-4"/>
          <w:sz w:val="24"/>
          <w:szCs w:val="24"/>
          <w:lang w:val="es-CO"/>
        </w:rPr>
      </w:pPr>
      <w:r w:rsidRPr="001E72AE">
        <w:rPr>
          <w:rFonts w:ascii="Tahoma" w:hAnsi="Tahoma" w:cs="Tahoma"/>
          <w:spacing w:val="-4"/>
          <w:sz w:val="24"/>
          <w:szCs w:val="24"/>
        </w:rPr>
        <w:t>1.6 La mayoría de miembros de la fuerza pública que han sufrido lesiones en combate</w:t>
      </w:r>
      <w:r w:rsidR="008A669B" w:rsidRPr="001E72AE">
        <w:rPr>
          <w:rFonts w:ascii="Tahoma" w:hAnsi="Tahoma" w:cs="Tahoma"/>
          <w:spacing w:val="-4"/>
          <w:sz w:val="24"/>
          <w:szCs w:val="24"/>
        </w:rPr>
        <w:t xml:space="preserve"> </w:t>
      </w:r>
      <w:r w:rsidRPr="001E72AE">
        <w:rPr>
          <w:rFonts w:ascii="Tahoma" w:hAnsi="Tahoma" w:cs="Tahoma"/>
          <w:spacing w:val="-4"/>
          <w:sz w:val="24"/>
          <w:szCs w:val="24"/>
        </w:rPr>
        <w:t>han sido marginado</w:t>
      </w:r>
      <w:r w:rsidR="00C371D7" w:rsidRPr="001E72AE">
        <w:rPr>
          <w:rFonts w:ascii="Tahoma" w:hAnsi="Tahoma" w:cs="Tahoma"/>
          <w:spacing w:val="-4"/>
          <w:sz w:val="24"/>
          <w:szCs w:val="24"/>
        </w:rPr>
        <w:t>s</w:t>
      </w:r>
      <w:r w:rsidRPr="001E72AE">
        <w:rPr>
          <w:rFonts w:ascii="Tahoma" w:hAnsi="Tahoma" w:cs="Tahoma"/>
          <w:spacing w:val="-4"/>
          <w:sz w:val="24"/>
          <w:szCs w:val="24"/>
        </w:rPr>
        <w:t xml:space="preserve"> de los derechos al subsidio familiar, ascenso y vivienda familiar. </w:t>
      </w:r>
      <w:r w:rsidR="00C371D7" w:rsidRPr="001E72AE">
        <w:rPr>
          <w:rFonts w:ascii="Tahoma" w:hAnsi="Tahoma" w:cs="Tahoma"/>
          <w:spacing w:val="-4"/>
          <w:sz w:val="24"/>
          <w:szCs w:val="24"/>
        </w:rPr>
        <w:t xml:space="preserve">Adicionalmente, </w:t>
      </w:r>
      <w:r w:rsidRPr="001E72AE">
        <w:rPr>
          <w:rFonts w:ascii="Tahoma" w:hAnsi="Tahoma" w:cs="Tahoma"/>
          <w:spacing w:val="-4"/>
          <w:sz w:val="24"/>
          <w:szCs w:val="24"/>
        </w:rPr>
        <w:t>Aunque la citada ley también estipula otros beneficios</w:t>
      </w:r>
      <w:r w:rsidR="00C371D7" w:rsidRPr="001E72AE">
        <w:rPr>
          <w:rFonts w:ascii="Tahoma" w:hAnsi="Tahoma" w:cs="Tahoma"/>
          <w:spacing w:val="-4"/>
          <w:sz w:val="24"/>
          <w:szCs w:val="24"/>
        </w:rPr>
        <w:t>,</w:t>
      </w:r>
      <w:r w:rsidRPr="001E72AE">
        <w:rPr>
          <w:rFonts w:ascii="Tahoma" w:hAnsi="Tahoma" w:cs="Tahoma"/>
          <w:spacing w:val="-4"/>
          <w:sz w:val="24"/>
          <w:szCs w:val="24"/>
        </w:rPr>
        <w:t xml:space="preserve"> estos no </w:t>
      </w:r>
      <w:r w:rsidR="00C371D7" w:rsidRPr="001E72AE">
        <w:rPr>
          <w:rFonts w:ascii="Tahoma" w:hAnsi="Tahoma" w:cs="Tahoma"/>
          <w:spacing w:val="-4"/>
          <w:sz w:val="24"/>
          <w:szCs w:val="24"/>
        </w:rPr>
        <w:t>se hacen efectivos.</w:t>
      </w:r>
      <w:r w:rsidRPr="001E72AE">
        <w:rPr>
          <w:rFonts w:ascii="Tahoma" w:hAnsi="Tahoma" w:cs="Tahoma"/>
          <w:spacing w:val="-4"/>
          <w:sz w:val="24"/>
          <w:szCs w:val="24"/>
        </w:rPr>
        <w:t xml:space="preserve"> </w:t>
      </w:r>
      <w:r w:rsidR="008A669B" w:rsidRPr="001E72AE">
        <w:rPr>
          <w:rFonts w:ascii="Tahoma" w:hAnsi="Tahoma" w:cs="Tahoma"/>
          <w:spacing w:val="-4"/>
          <w:sz w:val="24"/>
          <w:szCs w:val="24"/>
        </w:rPr>
        <w:t xml:space="preserve">  </w:t>
      </w:r>
      <w:r w:rsidR="00A97438" w:rsidRPr="001E72AE">
        <w:rPr>
          <w:rFonts w:ascii="Tahoma" w:hAnsi="Tahoma" w:cs="Tahoma"/>
          <w:spacing w:val="-4"/>
          <w:sz w:val="24"/>
          <w:szCs w:val="24"/>
        </w:rPr>
        <w:t xml:space="preserve">   </w:t>
      </w:r>
    </w:p>
    <w:p w:rsidR="00A257D8" w:rsidRPr="001E72AE" w:rsidRDefault="00A257D8" w:rsidP="001E72AE">
      <w:pPr>
        <w:spacing w:line="276" w:lineRule="auto"/>
        <w:jc w:val="both"/>
        <w:rPr>
          <w:rFonts w:ascii="Tahoma" w:hAnsi="Tahoma" w:cs="Tahoma"/>
          <w:spacing w:val="-4"/>
          <w:sz w:val="24"/>
          <w:szCs w:val="24"/>
          <w:lang w:val="es-CO"/>
        </w:rPr>
      </w:pPr>
    </w:p>
    <w:p w:rsidR="00D95C8B" w:rsidRPr="001E72AE" w:rsidRDefault="00EA0D5E" w:rsidP="001E72AE">
      <w:pPr>
        <w:spacing w:line="276" w:lineRule="auto"/>
        <w:jc w:val="both"/>
        <w:rPr>
          <w:rFonts w:ascii="Tahoma" w:hAnsi="Tahoma" w:cs="Tahoma"/>
          <w:spacing w:val="-4"/>
          <w:sz w:val="24"/>
          <w:szCs w:val="24"/>
          <w:lang w:val="es-CO"/>
        </w:rPr>
      </w:pPr>
      <w:r w:rsidRPr="001E72AE">
        <w:rPr>
          <w:rFonts w:ascii="Tahoma" w:hAnsi="Tahoma" w:cs="Tahoma"/>
          <w:spacing w:val="-4"/>
          <w:sz w:val="24"/>
          <w:szCs w:val="24"/>
          <w:lang w:val="es-CO"/>
        </w:rPr>
        <w:t>2. Estima lesionado</w:t>
      </w:r>
      <w:r w:rsidR="00C371D7" w:rsidRPr="001E72AE">
        <w:rPr>
          <w:rFonts w:ascii="Tahoma" w:hAnsi="Tahoma" w:cs="Tahoma"/>
          <w:spacing w:val="-4"/>
          <w:sz w:val="24"/>
          <w:szCs w:val="24"/>
          <w:lang w:val="es-CO"/>
        </w:rPr>
        <w:t>s los derechos de petición y a la igualdad. En consecuencia solicita se ordene al Presidente de la República que explique los motivos por los cuales se abstuvo de dar respuesta al numeral 2 del derecho de petición</w:t>
      </w:r>
      <w:r w:rsidR="00EE78DF" w:rsidRPr="001E72AE">
        <w:rPr>
          <w:rFonts w:ascii="Tahoma" w:hAnsi="Tahoma" w:cs="Tahoma"/>
          <w:spacing w:val="-4"/>
          <w:sz w:val="24"/>
          <w:szCs w:val="24"/>
          <w:lang w:val="es-CO"/>
        </w:rPr>
        <w:t xml:space="preserve"> formulado y modifique el artículo 23 de la Ley 1979 de 2020 para hacer extensivas las medidas allí adoptadas a los oficiales, suboficiales, soldados profesionales y agentes de policía o disponga la suspensión de tales beneficios a favor de los infantes de marina profesionales y de demás miembros de la fuerza pública, hasta que se incluya a aquellos</w:t>
      </w:r>
      <w:r w:rsidR="00F4529E" w:rsidRPr="001E72AE">
        <w:rPr>
          <w:rFonts w:ascii="Tahoma" w:hAnsi="Tahoma" w:cs="Tahoma"/>
          <w:spacing w:val="-4"/>
          <w:sz w:val="24"/>
          <w:szCs w:val="24"/>
          <w:lang w:val="es-CO"/>
        </w:rPr>
        <w:t xml:space="preserve">. </w:t>
      </w:r>
      <w:r w:rsidR="00295EE2" w:rsidRPr="001E72AE">
        <w:rPr>
          <w:rFonts w:ascii="Tahoma" w:hAnsi="Tahoma" w:cs="Tahoma"/>
          <w:spacing w:val="-4"/>
          <w:sz w:val="24"/>
          <w:szCs w:val="24"/>
          <w:lang w:val="es-CO"/>
        </w:rPr>
        <w:t>Además,</w:t>
      </w:r>
      <w:r w:rsidR="00F4529E" w:rsidRPr="001E72AE">
        <w:rPr>
          <w:rFonts w:ascii="Tahoma" w:hAnsi="Tahoma" w:cs="Tahoma"/>
          <w:spacing w:val="-4"/>
          <w:sz w:val="24"/>
          <w:szCs w:val="24"/>
          <w:lang w:val="es-CO"/>
        </w:rPr>
        <w:t xml:space="preserve"> se tenga en cuenta el alto nivel de discriminación en que incurrieron el legislador y el ejecutivo en la citada ley</w:t>
      </w:r>
      <w:r w:rsidR="00EE78DF" w:rsidRPr="001E72AE">
        <w:rPr>
          <w:rStyle w:val="Refdenotaalpie"/>
          <w:rFonts w:ascii="Tahoma" w:hAnsi="Tahoma" w:cs="Tahoma"/>
          <w:spacing w:val="-4"/>
          <w:sz w:val="24"/>
          <w:szCs w:val="24"/>
          <w:lang w:val="es-CO"/>
        </w:rPr>
        <w:footnoteReference w:id="1"/>
      </w:r>
      <w:r w:rsidR="00EE78DF" w:rsidRPr="001E72AE">
        <w:rPr>
          <w:rFonts w:ascii="Tahoma" w:hAnsi="Tahoma" w:cs="Tahoma"/>
          <w:spacing w:val="-4"/>
          <w:sz w:val="24"/>
          <w:szCs w:val="24"/>
          <w:lang w:val="es-CO"/>
        </w:rPr>
        <w:t xml:space="preserve">.   </w:t>
      </w:r>
      <w:r w:rsidR="00C371D7" w:rsidRPr="001E72AE">
        <w:rPr>
          <w:rFonts w:ascii="Tahoma" w:hAnsi="Tahoma" w:cs="Tahoma"/>
          <w:spacing w:val="-4"/>
          <w:sz w:val="24"/>
          <w:szCs w:val="24"/>
          <w:lang w:val="es-CO"/>
        </w:rPr>
        <w:t xml:space="preserve"> </w:t>
      </w:r>
    </w:p>
    <w:p w:rsidR="00A86969" w:rsidRPr="001E72AE" w:rsidRDefault="00A86969" w:rsidP="001E72AE">
      <w:pPr>
        <w:spacing w:line="276" w:lineRule="auto"/>
        <w:jc w:val="both"/>
        <w:rPr>
          <w:rFonts w:ascii="Tahoma" w:hAnsi="Tahoma" w:cs="Tahoma"/>
          <w:spacing w:val="-4"/>
          <w:sz w:val="24"/>
          <w:szCs w:val="24"/>
        </w:rPr>
      </w:pPr>
    </w:p>
    <w:p w:rsidR="00D95C8B" w:rsidRPr="001E72AE" w:rsidRDefault="00D95C8B" w:rsidP="001E72AE">
      <w:pPr>
        <w:spacing w:line="276" w:lineRule="auto"/>
        <w:jc w:val="both"/>
        <w:rPr>
          <w:rFonts w:ascii="Tahoma" w:hAnsi="Tahoma" w:cs="Tahoma"/>
          <w:b/>
          <w:spacing w:val="-4"/>
          <w:sz w:val="24"/>
          <w:szCs w:val="24"/>
        </w:rPr>
      </w:pPr>
      <w:r w:rsidRPr="001E72AE">
        <w:rPr>
          <w:rFonts w:ascii="Tahoma" w:hAnsi="Tahoma" w:cs="Tahoma"/>
          <w:b/>
          <w:spacing w:val="-4"/>
          <w:sz w:val="24"/>
          <w:szCs w:val="24"/>
        </w:rPr>
        <w:t>A C T U A C I Ó N   P R O C E S A L</w:t>
      </w:r>
    </w:p>
    <w:p w:rsidR="00D95C8B" w:rsidRPr="001E72AE" w:rsidRDefault="00D95C8B" w:rsidP="001E72AE">
      <w:pPr>
        <w:spacing w:line="276" w:lineRule="auto"/>
        <w:jc w:val="both"/>
        <w:rPr>
          <w:rFonts w:ascii="Tahoma" w:hAnsi="Tahoma" w:cs="Tahoma"/>
          <w:b/>
          <w:spacing w:val="-4"/>
          <w:sz w:val="24"/>
          <w:szCs w:val="24"/>
        </w:rPr>
      </w:pPr>
    </w:p>
    <w:p w:rsidR="0016773C" w:rsidRPr="001E72AE" w:rsidRDefault="00D95C8B" w:rsidP="001E72AE">
      <w:pPr>
        <w:spacing w:line="276" w:lineRule="auto"/>
        <w:jc w:val="both"/>
        <w:rPr>
          <w:rFonts w:ascii="Tahoma" w:hAnsi="Tahoma" w:cs="Tahoma"/>
          <w:spacing w:val="-4"/>
          <w:sz w:val="24"/>
          <w:szCs w:val="24"/>
          <w:lang w:val="es-CO"/>
        </w:rPr>
      </w:pPr>
      <w:r w:rsidRPr="001E72AE">
        <w:rPr>
          <w:rFonts w:ascii="Tahoma" w:hAnsi="Tahoma" w:cs="Tahoma"/>
          <w:spacing w:val="-4"/>
          <w:sz w:val="24"/>
          <w:szCs w:val="24"/>
        </w:rPr>
        <w:lastRenderedPageBreak/>
        <w:t xml:space="preserve">1. </w:t>
      </w:r>
      <w:r w:rsidR="00EA0D5E" w:rsidRPr="001E72AE">
        <w:rPr>
          <w:rFonts w:ascii="Tahoma" w:hAnsi="Tahoma" w:cs="Tahoma"/>
          <w:spacing w:val="-4"/>
          <w:sz w:val="24"/>
          <w:szCs w:val="24"/>
        </w:rPr>
        <w:t>Por auto</w:t>
      </w:r>
      <w:r w:rsidRPr="001E72AE">
        <w:rPr>
          <w:rFonts w:ascii="Tahoma" w:hAnsi="Tahoma" w:cs="Tahoma"/>
          <w:spacing w:val="-4"/>
          <w:sz w:val="24"/>
          <w:szCs w:val="24"/>
        </w:rPr>
        <w:t xml:space="preserve"> del </w:t>
      </w:r>
      <w:r w:rsidR="00EE78DF" w:rsidRPr="001E72AE">
        <w:rPr>
          <w:rFonts w:ascii="Tahoma" w:hAnsi="Tahoma" w:cs="Tahoma"/>
          <w:spacing w:val="-4"/>
          <w:sz w:val="24"/>
          <w:szCs w:val="24"/>
        </w:rPr>
        <w:t>pasado 8</w:t>
      </w:r>
      <w:r w:rsidR="0007193F" w:rsidRPr="001E72AE">
        <w:rPr>
          <w:rFonts w:ascii="Tahoma" w:hAnsi="Tahoma" w:cs="Tahoma"/>
          <w:spacing w:val="-4"/>
          <w:sz w:val="24"/>
          <w:szCs w:val="24"/>
        </w:rPr>
        <w:t xml:space="preserve"> de</w:t>
      </w:r>
      <w:r w:rsidR="00EA0D5E" w:rsidRPr="001E72AE">
        <w:rPr>
          <w:rFonts w:ascii="Tahoma" w:hAnsi="Tahoma" w:cs="Tahoma"/>
          <w:spacing w:val="-4"/>
          <w:sz w:val="24"/>
          <w:szCs w:val="24"/>
        </w:rPr>
        <w:t xml:space="preserve"> </w:t>
      </w:r>
      <w:r w:rsidR="002241F3" w:rsidRPr="001E72AE">
        <w:rPr>
          <w:rFonts w:ascii="Tahoma" w:hAnsi="Tahoma" w:cs="Tahoma"/>
          <w:spacing w:val="-4"/>
          <w:sz w:val="24"/>
          <w:szCs w:val="24"/>
        </w:rPr>
        <w:t>febrero</w:t>
      </w:r>
      <w:r w:rsidR="00EE78DF" w:rsidRPr="001E72AE">
        <w:rPr>
          <w:rFonts w:ascii="Tahoma" w:hAnsi="Tahoma" w:cs="Tahoma"/>
          <w:spacing w:val="-4"/>
          <w:sz w:val="24"/>
          <w:szCs w:val="24"/>
        </w:rPr>
        <w:t>,</w:t>
      </w:r>
      <w:r w:rsidRPr="001E72AE">
        <w:rPr>
          <w:rFonts w:ascii="Tahoma" w:hAnsi="Tahoma" w:cs="Tahoma"/>
          <w:spacing w:val="-4"/>
          <w:sz w:val="24"/>
          <w:szCs w:val="24"/>
        </w:rPr>
        <w:t xml:space="preserve"> se admitió la acción y </w:t>
      </w:r>
      <w:r w:rsidRPr="001E72AE">
        <w:rPr>
          <w:rFonts w:ascii="Tahoma" w:hAnsi="Tahoma" w:cs="Tahoma"/>
          <w:spacing w:val="-4"/>
          <w:sz w:val="24"/>
          <w:szCs w:val="24"/>
          <w:lang w:val="es-ES"/>
        </w:rPr>
        <w:t>se ordenó</w:t>
      </w:r>
      <w:r w:rsidRPr="001E72AE">
        <w:rPr>
          <w:rFonts w:ascii="Tahoma" w:hAnsi="Tahoma" w:cs="Tahoma"/>
          <w:spacing w:val="-4"/>
          <w:sz w:val="24"/>
          <w:szCs w:val="24"/>
        </w:rPr>
        <w:t xml:space="preserve"> vincular </w:t>
      </w:r>
      <w:r w:rsidR="00EA0D5E" w:rsidRPr="001E72AE">
        <w:rPr>
          <w:rFonts w:ascii="Tahoma" w:hAnsi="Tahoma" w:cs="Tahoma"/>
          <w:spacing w:val="-4"/>
          <w:sz w:val="24"/>
          <w:szCs w:val="24"/>
          <w:lang w:val="es-CO"/>
        </w:rPr>
        <w:t>a</w:t>
      </w:r>
      <w:r w:rsidR="00EE78DF" w:rsidRPr="001E72AE">
        <w:rPr>
          <w:rFonts w:ascii="Tahoma" w:hAnsi="Tahoma" w:cs="Tahoma"/>
          <w:spacing w:val="-4"/>
          <w:sz w:val="24"/>
          <w:szCs w:val="24"/>
          <w:lang w:val="es-CO"/>
        </w:rPr>
        <w:t>l Congreso de la República, a la Asesora del Grupo de Atención a la Ciudadanía de la Presidencia de la República y a las Coordinadoras del Grupo de Prestaciones Sociales y de Atención y Orientación Ciudadana del Ministerio de Defensa Nacional</w:t>
      </w:r>
      <w:r w:rsidR="004270D1" w:rsidRPr="001E72AE">
        <w:rPr>
          <w:rStyle w:val="Refdenotaalpie"/>
          <w:rFonts w:ascii="Tahoma" w:hAnsi="Tahoma" w:cs="Tahoma"/>
          <w:spacing w:val="-4"/>
          <w:sz w:val="24"/>
          <w:szCs w:val="24"/>
          <w:lang w:val="es-CO"/>
        </w:rPr>
        <w:footnoteReference w:id="2"/>
      </w:r>
      <w:r w:rsidR="00EE78DF" w:rsidRPr="001E72AE">
        <w:rPr>
          <w:rFonts w:ascii="Tahoma" w:hAnsi="Tahoma" w:cs="Tahoma"/>
          <w:spacing w:val="-4"/>
          <w:sz w:val="24"/>
          <w:szCs w:val="24"/>
          <w:lang w:val="es-CO"/>
        </w:rPr>
        <w:t>.</w:t>
      </w:r>
      <w:r w:rsidR="0016773C" w:rsidRPr="001E72AE">
        <w:rPr>
          <w:rFonts w:ascii="Tahoma" w:hAnsi="Tahoma" w:cs="Tahoma"/>
          <w:spacing w:val="-4"/>
          <w:sz w:val="24"/>
          <w:szCs w:val="24"/>
          <w:lang w:val="es-CO"/>
        </w:rPr>
        <w:t xml:space="preserve"> Con posterioridad se convocó al Comandante de Personal del Ejército Nacional, a la Directora de Bienestar Sectorial y Salud del Ministerio de Defensa y al asesor jurídico de esa Dirección. </w:t>
      </w:r>
    </w:p>
    <w:p w:rsidR="00EE78DF" w:rsidRPr="001E72AE" w:rsidRDefault="00EE78DF" w:rsidP="001E72AE">
      <w:pPr>
        <w:spacing w:line="276" w:lineRule="auto"/>
        <w:jc w:val="both"/>
        <w:rPr>
          <w:rFonts w:ascii="Tahoma" w:hAnsi="Tahoma" w:cs="Tahoma"/>
          <w:spacing w:val="-4"/>
          <w:sz w:val="24"/>
          <w:szCs w:val="24"/>
          <w:lang w:val="es-CO"/>
        </w:rPr>
      </w:pPr>
    </w:p>
    <w:p w:rsidR="00D95C8B" w:rsidRPr="001E72AE" w:rsidRDefault="00C2537E"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2. En el</w:t>
      </w:r>
      <w:r w:rsidR="002241F3" w:rsidRPr="001E72AE">
        <w:rPr>
          <w:rFonts w:ascii="Tahoma" w:hAnsi="Tahoma" w:cs="Tahoma"/>
          <w:spacing w:val="-4"/>
          <w:sz w:val="24"/>
          <w:szCs w:val="24"/>
        </w:rPr>
        <w:t xml:space="preserve"> curso</w:t>
      </w:r>
      <w:r w:rsidR="00D95C8B" w:rsidRPr="001E72AE">
        <w:rPr>
          <w:rFonts w:ascii="Tahoma" w:hAnsi="Tahoma" w:cs="Tahoma"/>
          <w:spacing w:val="-4"/>
          <w:sz w:val="24"/>
          <w:szCs w:val="24"/>
        </w:rPr>
        <w:t xml:space="preserve"> de esta instancia, se </w:t>
      </w:r>
      <w:r w:rsidR="002241F3" w:rsidRPr="001E72AE">
        <w:rPr>
          <w:rFonts w:ascii="Tahoma" w:hAnsi="Tahoma" w:cs="Tahoma"/>
          <w:spacing w:val="-4"/>
          <w:sz w:val="24"/>
          <w:szCs w:val="24"/>
        </w:rPr>
        <w:t>produjeron</w:t>
      </w:r>
      <w:r w:rsidR="00D95C8B" w:rsidRPr="001E72AE">
        <w:rPr>
          <w:rFonts w:ascii="Tahoma" w:hAnsi="Tahoma" w:cs="Tahoma"/>
          <w:spacing w:val="-4"/>
          <w:sz w:val="24"/>
          <w:szCs w:val="24"/>
        </w:rPr>
        <w:t xml:space="preserve"> los siguientes pronunciamientos:</w:t>
      </w:r>
    </w:p>
    <w:p w:rsidR="0007193F" w:rsidRPr="001E72AE" w:rsidRDefault="0007193F" w:rsidP="001E72AE">
      <w:pPr>
        <w:tabs>
          <w:tab w:val="left" w:pos="4550"/>
        </w:tabs>
        <w:spacing w:line="276" w:lineRule="auto"/>
        <w:jc w:val="both"/>
        <w:rPr>
          <w:rFonts w:ascii="Tahoma" w:hAnsi="Tahoma" w:cs="Tahoma"/>
          <w:spacing w:val="-4"/>
          <w:sz w:val="24"/>
          <w:szCs w:val="24"/>
        </w:rPr>
      </w:pPr>
    </w:p>
    <w:p w:rsidR="004270D1" w:rsidRPr="001E72AE" w:rsidRDefault="0007193F" w:rsidP="001E72AE">
      <w:pPr>
        <w:tabs>
          <w:tab w:val="left" w:pos="4550"/>
        </w:tabs>
        <w:spacing w:line="276" w:lineRule="auto"/>
        <w:jc w:val="both"/>
        <w:rPr>
          <w:rFonts w:ascii="Tahoma" w:hAnsi="Tahoma" w:cs="Tahoma"/>
          <w:i/>
          <w:spacing w:val="-4"/>
          <w:sz w:val="24"/>
          <w:szCs w:val="24"/>
        </w:rPr>
      </w:pPr>
      <w:r w:rsidRPr="001E72AE">
        <w:rPr>
          <w:rFonts w:ascii="Tahoma" w:hAnsi="Tahoma" w:cs="Tahoma"/>
          <w:spacing w:val="-4"/>
          <w:sz w:val="24"/>
          <w:szCs w:val="24"/>
        </w:rPr>
        <w:t>2.1</w:t>
      </w:r>
      <w:r w:rsidR="00C2537E" w:rsidRPr="001E72AE">
        <w:rPr>
          <w:rFonts w:ascii="Tahoma" w:hAnsi="Tahoma" w:cs="Tahoma"/>
          <w:spacing w:val="-4"/>
          <w:sz w:val="24"/>
          <w:szCs w:val="24"/>
        </w:rPr>
        <w:t xml:space="preserve"> </w:t>
      </w:r>
      <w:r w:rsidR="004270D1" w:rsidRPr="001E72AE">
        <w:rPr>
          <w:rFonts w:ascii="Tahoma" w:hAnsi="Tahoma" w:cs="Tahoma"/>
          <w:spacing w:val="-4"/>
          <w:sz w:val="24"/>
          <w:szCs w:val="24"/>
        </w:rPr>
        <w:t>El Presidente de la República, por intermedio de asesora delegada, refirió que la acción de tutela es improcedente ya que el actor no acreditó la supuesta lesión a sus derechos y existen otros mecanismos de defensa judicial para dirimir la controversia planteada. Así mismo</w:t>
      </w:r>
      <w:r w:rsidR="00827B7D" w:rsidRPr="001E72AE">
        <w:rPr>
          <w:rFonts w:ascii="Tahoma" w:hAnsi="Tahoma" w:cs="Tahoma"/>
          <w:spacing w:val="-4"/>
          <w:sz w:val="24"/>
          <w:szCs w:val="24"/>
        </w:rPr>
        <w:t xml:space="preserve">, carece de legitimación en la causa </w:t>
      </w:r>
      <w:r w:rsidR="00827B7D" w:rsidRPr="001E72AE">
        <w:rPr>
          <w:rFonts w:ascii="Tahoma" w:hAnsi="Tahoma" w:cs="Tahoma"/>
          <w:i/>
          <w:spacing w:val="-4"/>
          <w:sz w:val="24"/>
          <w:szCs w:val="24"/>
        </w:rPr>
        <w:t>“</w:t>
      </w:r>
      <w:r w:rsidR="004270D1" w:rsidRPr="001E72AE">
        <w:rPr>
          <w:rFonts w:ascii="Tahoma" w:hAnsi="Tahoma" w:cs="Tahoma"/>
          <w:i/>
          <w:spacing w:val="-4"/>
          <w:sz w:val="24"/>
          <w:szCs w:val="24"/>
        </w:rPr>
        <w:t>to</w:t>
      </w:r>
      <w:r w:rsidR="004270D1" w:rsidRPr="001E72AE">
        <w:rPr>
          <w:rFonts w:ascii="Tahoma" w:hAnsi="Tahoma" w:cs="Tahoma"/>
          <w:i/>
          <w:spacing w:val="-4"/>
          <w:sz w:val="22"/>
          <w:szCs w:val="24"/>
        </w:rPr>
        <w:t>da vez que cualquier actuación tendiente a acceder a lo solicitado por el accionante,</w:t>
      </w:r>
      <w:r w:rsidR="00827B7D" w:rsidRPr="001E72AE">
        <w:rPr>
          <w:rFonts w:ascii="Tahoma" w:hAnsi="Tahoma" w:cs="Tahoma"/>
          <w:i/>
          <w:spacing w:val="-4"/>
          <w:sz w:val="22"/>
          <w:szCs w:val="24"/>
        </w:rPr>
        <w:t xml:space="preserve"> </w:t>
      </w:r>
      <w:r w:rsidR="004270D1" w:rsidRPr="001E72AE">
        <w:rPr>
          <w:rFonts w:ascii="Tahoma" w:hAnsi="Tahoma" w:cs="Tahoma"/>
          <w:i/>
          <w:spacing w:val="-4"/>
          <w:sz w:val="22"/>
          <w:szCs w:val="24"/>
        </w:rPr>
        <w:t>constituiría una extralimitación en el ejerci</w:t>
      </w:r>
      <w:r w:rsidR="00827B7D" w:rsidRPr="001E72AE">
        <w:rPr>
          <w:rFonts w:ascii="Tahoma" w:hAnsi="Tahoma" w:cs="Tahoma"/>
          <w:i/>
          <w:spacing w:val="-4"/>
          <w:sz w:val="22"/>
          <w:szCs w:val="24"/>
        </w:rPr>
        <w:t>cio de las funciones del señor P</w:t>
      </w:r>
      <w:r w:rsidR="004270D1" w:rsidRPr="001E72AE">
        <w:rPr>
          <w:rFonts w:ascii="Tahoma" w:hAnsi="Tahoma" w:cs="Tahoma"/>
          <w:i/>
          <w:spacing w:val="-4"/>
          <w:sz w:val="22"/>
          <w:szCs w:val="24"/>
        </w:rPr>
        <w:t>residente de la República y</w:t>
      </w:r>
      <w:r w:rsidR="00827B7D" w:rsidRPr="001E72AE">
        <w:rPr>
          <w:rFonts w:ascii="Tahoma" w:hAnsi="Tahoma" w:cs="Tahoma"/>
          <w:i/>
          <w:spacing w:val="-4"/>
          <w:sz w:val="22"/>
          <w:szCs w:val="24"/>
        </w:rPr>
        <w:t xml:space="preserve"> </w:t>
      </w:r>
      <w:r w:rsidR="004270D1" w:rsidRPr="001E72AE">
        <w:rPr>
          <w:rFonts w:ascii="Tahoma" w:hAnsi="Tahoma" w:cs="Tahoma"/>
          <w:i/>
          <w:spacing w:val="-4"/>
          <w:sz w:val="22"/>
          <w:szCs w:val="24"/>
        </w:rPr>
        <w:t>de la Presidencia de la República</w:t>
      </w:r>
      <w:r w:rsidR="004270D1" w:rsidRPr="001E72AE">
        <w:rPr>
          <w:rFonts w:ascii="Tahoma" w:hAnsi="Tahoma" w:cs="Tahoma"/>
          <w:i/>
          <w:spacing w:val="-4"/>
          <w:sz w:val="24"/>
          <w:szCs w:val="24"/>
        </w:rPr>
        <w:t>.</w:t>
      </w:r>
      <w:r w:rsidR="00827B7D" w:rsidRPr="001E72AE">
        <w:rPr>
          <w:rFonts w:ascii="Tahoma" w:hAnsi="Tahoma" w:cs="Tahoma"/>
          <w:i/>
          <w:spacing w:val="-4"/>
          <w:sz w:val="24"/>
          <w:szCs w:val="24"/>
        </w:rPr>
        <w:t>”</w:t>
      </w:r>
      <w:r w:rsidR="001E72AE">
        <w:rPr>
          <w:rFonts w:ascii="Tahoma" w:hAnsi="Tahoma" w:cs="Tahoma"/>
          <w:i/>
          <w:spacing w:val="-4"/>
          <w:sz w:val="24"/>
          <w:szCs w:val="24"/>
        </w:rPr>
        <w:t xml:space="preserve"> </w:t>
      </w:r>
      <w:r w:rsidR="00827B7D" w:rsidRPr="001E72AE">
        <w:rPr>
          <w:rStyle w:val="Refdenotaalpie"/>
          <w:rFonts w:ascii="Tahoma" w:hAnsi="Tahoma" w:cs="Tahoma"/>
          <w:i/>
          <w:spacing w:val="-4"/>
          <w:sz w:val="24"/>
          <w:szCs w:val="24"/>
        </w:rPr>
        <w:footnoteReference w:id="3"/>
      </w:r>
    </w:p>
    <w:p w:rsidR="00364836" w:rsidRPr="001E72AE" w:rsidRDefault="00364836" w:rsidP="001E72AE">
      <w:pPr>
        <w:tabs>
          <w:tab w:val="left" w:pos="4550"/>
        </w:tabs>
        <w:spacing w:line="276" w:lineRule="auto"/>
        <w:jc w:val="both"/>
        <w:rPr>
          <w:rFonts w:ascii="Tahoma" w:hAnsi="Tahoma" w:cs="Tahoma"/>
          <w:i/>
          <w:spacing w:val="-4"/>
          <w:sz w:val="24"/>
          <w:szCs w:val="24"/>
        </w:rPr>
      </w:pPr>
    </w:p>
    <w:p w:rsidR="00364836" w:rsidRPr="001E72AE" w:rsidRDefault="00364836" w:rsidP="001E72AE">
      <w:pPr>
        <w:tabs>
          <w:tab w:val="left" w:pos="4550"/>
        </w:tabs>
        <w:spacing w:line="276" w:lineRule="auto"/>
        <w:jc w:val="both"/>
        <w:rPr>
          <w:rFonts w:ascii="Tahoma" w:hAnsi="Tahoma" w:cs="Tahoma"/>
          <w:spacing w:val="-4"/>
          <w:sz w:val="24"/>
          <w:szCs w:val="24"/>
        </w:rPr>
      </w:pPr>
      <w:r w:rsidRPr="001E72AE">
        <w:rPr>
          <w:rFonts w:ascii="Tahoma" w:hAnsi="Tahoma" w:cs="Tahoma"/>
          <w:spacing w:val="-4"/>
          <w:sz w:val="24"/>
          <w:szCs w:val="24"/>
        </w:rPr>
        <w:t>2.2 La Coordinadora</w:t>
      </w:r>
      <w:r w:rsidR="000B3274" w:rsidRPr="001E72AE">
        <w:rPr>
          <w:rFonts w:ascii="Tahoma" w:hAnsi="Tahoma" w:cs="Tahoma"/>
          <w:spacing w:val="-4"/>
          <w:sz w:val="24"/>
          <w:szCs w:val="24"/>
        </w:rPr>
        <w:t xml:space="preserve"> de</w:t>
      </w:r>
      <w:r w:rsidRPr="001E72AE">
        <w:rPr>
          <w:rFonts w:ascii="Tahoma" w:hAnsi="Tahoma" w:cs="Tahoma"/>
          <w:spacing w:val="-4"/>
          <w:sz w:val="24"/>
          <w:szCs w:val="24"/>
        </w:rPr>
        <w:t xml:space="preserve"> Atención y Orientación Ciudadana del Ministerio de Defensa Nacional informó que recibió la petición presentada por el actor ante el Presidente de la República, el 4 de febrero de este año y que de ella procedió a correr traslado a la Dirección de Bienestar Sectorial de la UGG</w:t>
      </w:r>
      <w:r w:rsidRPr="001E72AE">
        <w:rPr>
          <w:rStyle w:val="Refdenotaalpie"/>
          <w:rFonts w:ascii="Tahoma" w:hAnsi="Tahoma" w:cs="Tahoma"/>
          <w:spacing w:val="-4"/>
          <w:sz w:val="24"/>
          <w:szCs w:val="24"/>
        </w:rPr>
        <w:footnoteReference w:id="4"/>
      </w:r>
      <w:r w:rsidRPr="001E72AE">
        <w:rPr>
          <w:rFonts w:ascii="Tahoma" w:hAnsi="Tahoma" w:cs="Tahoma"/>
          <w:spacing w:val="-4"/>
          <w:sz w:val="24"/>
          <w:szCs w:val="24"/>
        </w:rPr>
        <w:t>.</w:t>
      </w:r>
    </w:p>
    <w:p w:rsidR="00B03F44" w:rsidRPr="001E72AE" w:rsidRDefault="00B03F44" w:rsidP="001E72AE">
      <w:pPr>
        <w:tabs>
          <w:tab w:val="left" w:pos="4550"/>
        </w:tabs>
        <w:spacing w:line="276" w:lineRule="auto"/>
        <w:jc w:val="both"/>
        <w:rPr>
          <w:rFonts w:ascii="Tahoma" w:hAnsi="Tahoma" w:cs="Tahoma"/>
          <w:spacing w:val="-4"/>
          <w:sz w:val="24"/>
          <w:szCs w:val="24"/>
        </w:rPr>
      </w:pPr>
    </w:p>
    <w:p w:rsidR="005E1F60" w:rsidRPr="001E72AE" w:rsidRDefault="00486D5A" w:rsidP="001E72AE">
      <w:pPr>
        <w:pStyle w:val="Default"/>
        <w:spacing w:line="276" w:lineRule="auto"/>
        <w:jc w:val="both"/>
        <w:rPr>
          <w:rFonts w:ascii="Tahoma" w:hAnsi="Tahoma" w:cs="Tahoma"/>
          <w:spacing w:val="-4"/>
        </w:rPr>
      </w:pPr>
      <w:r w:rsidRPr="001E72AE">
        <w:rPr>
          <w:rFonts w:ascii="Tahoma" w:hAnsi="Tahoma" w:cs="Tahoma"/>
          <w:spacing w:val="-4"/>
        </w:rPr>
        <w:t>2.3</w:t>
      </w:r>
      <w:r w:rsidR="005E1F60" w:rsidRPr="001E72AE">
        <w:rPr>
          <w:rFonts w:ascii="Tahoma" w:hAnsi="Tahoma" w:cs="Tahoma"/>
          <w:spacing w:val="-4"/>
        </w:rPr>
        <w:t xml:space="preserve"> La </w:t>
      </w:r>
      <w:r w:rsidR="005E1F60" w:rsidRPr="001E72AE">
        <w:rPr>
          <w:rFonts w:ascii="Tahoma" w:hAnsi="Tahoma" w:cs="Tahoma"/>
          <w:spacing w:val="-4"/>
          <w:lang w:val="es-ES_tradnl"/>
        </w:rPr>
        <w:t xml:space="preserve">Coordinadora del Grupo de Prestaciones Sociales del Ministerio de Defensa Judicial indicó </w:t>
      </w:r>
      <w:proofErr w:type="gramStart"/>
      <w:r w:rsidR="005E1F60" w:rsidRPr="001E72AE">
        <w:rPr>
          <w:rFonts w:ascii="Tahoma" w:hAnsi="Tahoma" w:cs="Tahoma"/>
          <w:spacing w:val="-4"/>
          <w:lang w:val="es-ES_tradnl"/>
        </w:rPr>
        <w:t>que</w:t>
      </w:r>
      <w:proofErr w:type="gramEnd"/>
      <w:r w:rsidR="005E1F60" w:rsidRPr="001E72AE">
        <w:rPr>
          <w:rFonts w:ascii="Tahoma" w:hAnsi="Tahoma" w:cs="Tahoma"/>
          <w:spacing w:val="-4"/>
          <w:lang w:val="es-ES_tradnl"/>
        </w:rPr>
        <w:t xml:space="preserve"> </w:t>
      </w:r>
      <w:r w:rsidR="005E1F60" w:rsidRPr="001E72AE">
        <w:rPr>
          <w:rFonts w:ascii="Tahoma" w:hAnsi="Tahoma" w:cs="Tahoma"/>
          <w:spacing w:val="-4"/>
        </w:rPr>
        <w:t>mediante oficio del 27 de enero de 2021, se pronunció de fondo respecto de la solicitud presentada, al declarar que no es procedente el incremento de la pensión de invalidez</w:t>
      </w:r>
      <w:r w:rsidR="000B3274" w:rsidRPr="001E72AE">
        <w:rPr>
          <w:rFonts w:ascii="Tahoma" w:hAnsi="Tahoma" w:cs="Tahoma"/>
          <w:spacing w:val="-4"/>
        </w:rPr>
        <w:t>,</w:t>
      </w:r>
      <w:r w:rsidR="005E1F60" w:rsidRPr="001E72AE">
        <w:rPr>
          <w:rFonts w:ascii="Tahoma" w:hAnsi="Tahoma" w:cs="Tahoma"/>
          <w:spacing w:val="-4"/>
        </w:rPr>
        <w:t xml:space="preserve"> con fundamento en que la Ley 1979 de 2019 no contempló este beneficio para el personal de suboficiales. Respecto de la petición que fue traslada por la Presidencia de la Republica, aclaró que el término contemplado en el Decreto 491 de 2020, para resolver lo solicitado, no ha vencido. De otro lado, si lo que pretende el accionante es cuestionar la legalidad de actos administrativos o de la Ley 1979 de 2019, para ese fin tiene a disposición los mecanismos ordinarios de defensa judicial</w:t>
      </w:r>
      <w:r w:rsidR="005E1F60" w:rsidRPr="001E72AE">
        <w:rPr>
          <w:rStyle w:val="Refdenotaalpie"/>
          <w:rFonts w:ascii="Tahoma" w:hAnsi="Tahoma" w:cs="Tahoma"/>
          <w:spacing w:val="-4"/>
        </w:rPr>
        <w:footnoteReference w:id="5"/>
      </w:r>
      <w:r w:rsidR="005E1F60" w:rsidRPr="001E72AE">
        <w:rPr>
          <w:rFonts w:ascii="Tahoma" w:hAnsi="Tahoma" w:cs="Tahoma"/>
          <w:spacing w:val="-4"/>
        </w:rPr>
        <w:t xml:space="preserve">. </w:t>
      </w:r>
    </w:p>
    <w:p w:rsidR="005E1F60" w:rsidRPr="001E72AE" w:rsidRDefault="005E1F60" w:rsidP="001E72AE">
      <w:pPr>
        <w:pStyle w:val="Default"/>
        <w:spacing w:line="276" w:lineRule="auto"/>
        <w:jc w:val="both"/>
        <w:rPr>
          <w:rFonts w:ascii="Tahoma" w:hAnsi="Tahoma" w:cs="Tahoma"/>
          <w:spacing w:val="-4"/>
        </w:rPr>
      </w:pPr>
    </w:p>
    <w:p w:rsidR="00EC16F6" w:rsidRPr="001E72AE" w:rsidRDefault="005E1F60" w:rsidP="001E72AE">
      <w:pPr>
        <w:pStyle w:val="Default"/>
        <w:spacing w:line="276" w:lineRule="auto"/>
        <w:jc w:val="both"/>
        <w:rPr>
          <w:rFonts w:ascii="Tahoma" w:hAnsi="Tahoma" w:cs="Tahoma"/>
          <w:spacing w:val="-4"/>
        </w:rPr>
      </w:pPr>
      <w:r w:rsidRPr="001E72AE">
        <w:rPr>
          <w:rFonts w:ascii="Tahoma" w:hAnsi="Tahoma" w:cs="Tahoma"/>
          <w:spacing w:val="-4"/>
        </w:rPr>
        <w:t xml:space="preserve">2.4 </w:t>
      </w:r>
      <w:r w:rsidR="00EC16F6" w:rsidRPr="001E72AE">
        <w:rPr>
          <w:rFonts w:ascii="Tahoma" w:hAnsi="Tahoma" w:cs="Tahoma"/>
          <w:spacing w:val="-4"/>
        </w:rPr>
        <w:t xml:space="preserve">La </w:t>
      </w:r>
      <w:r w:rsidR="00EC16F6" w:rsidRPr="001E72AE">
        <w:rPr>
          <w:rFonts w:ascii="Tahoma" w:hAnsi="Tahoma" w:cs="Tahoma"/>
          <w:spacing w:val="-4"/>
          <w:lang w:val="es-ES_tradnl"/>
        </w:rPr>
        <w:t>Jefe de la División Jurídica de la Cámara de Representantes manifestó que esa Corporación carece de legitimación en la causa</w:t>
      </w:r>
      <w:r w:rsidR="00EC16F6" w:rsidRPr="001E72AE">
        <w:rPr>
          <w:rFonts w:ascii="Tahoma" w:hAnsi="Tahoma" w:cs="Tahoma"/>
          <w:spacing w:val="-4"/>
        </w:rPr>
        <w:t xml:space="preserve"> ya que ningún hecho se formuló en su contra y las pretensiones </w:t>
      </w:r>
      <w:r w:rsidR="005F526F" w:rsidRPr="001E72AE">
        <w:rPr>
          <w:rFonts w:ascii="Tahoma" w:hAnsi="Tahoma" w:cs="Tahoma"/>
          <w:spacing w:val="-4"/>
        </w:rPr>
        <w:t xml:space="preserve">del actor se dirigen únicamente contra el ejecutivo. De otro lado, la supuesta omisión legislativa, a que alude el actor respecto de Ley 1979 de 2020, </w:t>
      </w:r>
      <w:r w:rsidR="00EC16F6" w:rsidRPr="001E72AE">
        <w:rPr>
          <w:rFonts w:ascii="Tahoma" w:hAnsi="Tahoma" w:cs="Tahoma"/>
          <w:spacing w:val="-4"/>
        </w:rPr>
        <w:t>reviste las características propias de un control abstracto de constitucionalidad</w:t>
      </w:r>
      <w:r w:rsidR="005F526F" w:rsidRPr="001E72AE">
        <w:rPr>
          <w:rFonts w:ascii="Tahoma" w:hAnsi="Tahoma" w:cs="Tahoma"/>
          <w:spacing w:val="-4"/>
        </w:rPr>
        <w:t xml:space="preserve">, y por ello esa controversia </w:t>
      </w:r>
      <w:r w:rsidR="00EC16F6" w:rsidRPr="001E72AE">
        <w:rPr>
          <w:rFonts w:ascii="Tahoma" w:hAnsi="Tahoma" w:cs="Tahoma"/>
          <w:spacing w:val="-4"/>
        </w:rPr>
        <w:t xml:space="preserve">debe tramitarse por medio de una demanda de inconstitucionalidad, </w:t>
      </w:r>
      <w:r w:rsidR="005F526F" w:rsidRPr="001E72AE">
        <w:rPr>
          <w:rFonts w:ascii="Tahoma" w:hAnsi="Tahoma" w:cs="Tahoma"/>
          <w:spacing w:val="-4"/>
        </w:rPr>
        <w:t xml:space="preserve">en los términos del </w:t>
      </w:r>
      <w:r w:rsidR="00EC16F6" w:rsidRPr="001E72AE">
        <w:rPr>
          <w:rFonts w:ascii="Tahoma" w:hAnsi="Tahoma" w:cs="Tahoma"/>
          <w:spacing w:val="-4"/>
        </w:rPr>
        <w:t xml:space="preserve">Decreto 2067 de 1991, </w:t>
      </w:r>
      <w:r w:rsidR="005F526F" w:rsidRPr="001E72AE">
        <w:rPr>
          <w:rFonts w:ascii="Tahoma" w:hAnsi="Tahoma" w:cs="Tahoma"/>
          <w:spacing w:val="-4"/>
        </w:rPr>
        <w:t xml:space="preserve">máxime que en este </w:t>
      </w:r>
      <w:r w:rsidR="005F526F" w:rsidRPr="001E72AE">
        <w:rPr>
          <w:rFonts w:ascii="Tahoma" w:hAnsi="Tahoma" w:cs="Tahoma"/>
          <w:spacing w:val="-4"/>
        </w:rPr>
        <w:lastRenderedPageBreak/>
        <w:t xml:space="preserve">caso no se acreditó la existencia de un perjuicio irremediable, al </w:t>
      </w:r>
      <w:proofErr w:type="gramStart"/>
      <w:r w:rsidR="005F526F" w:rsidRPr="001E72AE">
        <w:rPr>
          <w:rFonts w:ascii="Tahoma" w:hAnsi="Tahoma" w:cs="Tahoma"/>
          <w:spacing w:val="-4"/>
        </w:rPr>
        <w:t>contrario</w:t>
      </w:r>
      <w:proofErr w:type="gramEnd"/>
      <w:r w:rsidR="005F526F" w:rsidRPr="001E72AE">
        <w:rPr>
          <w:rFonts w:ascii="Tahoma" w:hAnsi="Tahoma" w:cs="Tahoma"/>
          <w:spacing w:val="-4"/>
        </w:rPr>
        <w:t xml:space="preserve"> el accionante es beneficiario de </w:t>
      </w:r>
      <w:r w:rsidR="000B3274" w:rsidRPr="001E72AE">
        <w:rPr>
          <w:rFonts w:ascii="Tahoma" w:hAnsi="Tahoma" w:cs="Tahoma"/>
          <w:spacing w:val="-4"/>
        </w:rPr>
        <w:t>una</w:t>
      </w:r>
      <w:r w:rsidR="005F526F" w:rsidRPr="001E72AE">
        <w:rPr>
          <w:rFonts w:ascii="Tahoma" w:hAnsi="Tahoma" w:cs="Tahoma"/>
          <w:spacing w:val="-4"/>
        </w:rPr>
        <w:t xml:space="preserve"> pensión de invalidez</w:t>
      </w:r>
      <w:r w:rsidR="005F526F" w:rsidRPr="001E72AE">
        <w:rPr>
          <w:rStyle w:val="Refdenotaalpie"/>
          <w:rFonts w:ascii="Tahoma" w:hAnsi="Tahoma" w:cs="Tahoma"/>
          <w:spacing w:val="-4"/>
        </w:rPr>
        <w:footnoteReference w:id="6"/>
      </w:r>
      <w:r w:rsidR="005F526F" w:rsidRPr="001E72AE">
        <w:rPr>
          <w:rFonts w:ascii="Tahoma" w:hAnsi="Tahoma" w:cs="Tahoma"/>
          <w:spacing w:val="-4"/>
        </w:rPr>
        <w:t>.</w:t>
      </w:r>
    </w:p>
    <w:p w:rsidR="00D95C8B" w:rsidRPr="001E72AE" w:rsidRDefault="00D95C8B" w:rsidP="001E72AE">
      <w:pPr>
        <w:spacing w:line="276" w:lineRule="auto"/>
        <w:jc w:val="both"/>
        <w:rPr>
          <w:rFonts w:ascii="Tahoma" w:hAnsi="Tahoma" w:cs="Tahoma"/>
          <w:spacing w:val="-4"/>
          <w:sz w:val="24"/>
          <w:szCs w:val="24"/>
        </w:rPr>
      </w:pPr>
    </w:p>
    <w:p w:rsidR="00D95C8B" w:rsidRPr="001E72AE" w:rsidRDefault="00D95C8B" w:rsidP="001E72AE">
      <w:pPr>
        <w:spacing w:line="276" w:lineRule="auto"/>
        <w:jc w:val="both"/>
        <w:rPr>
          <w:rFonts w:ascii="Tahoma" w:hAnsi="Tahoma" w:cs="Tahoma"/>
          <w:spacing w:val="-4"/>
          <w:sz w:val="24"/>
          <w:szCs w:val="24"/>
        </w:rPr>
      </w:pPr>
      <w:r w:rsidRPr="001E72AE">
        <w:rPr>
          <w:rFonts w:ascii="Tahoma" w:hAnsi="Tahoma" w:cs="Tahoma"/>
          <w:spacing w:val="-4"/>
          <w:sz w:val="24"/>
          <w:szCs w:val="24"/>
        </w:rPr>
        <w:t>3. Los demás vinculados guardaron silencio.</w:t>
      </w:r>
    </w:p>
    <w:p w:rsidR="00D95C8B" w:rsidRPr="001E72AE" w:rsidRDefault="00D95C8B" w:rsidP="001E72AE">
      <w:pPr>
        <w:spacing w:line="276" w:lineRule="auto"/>
        <w:jc w:val="both"/>
        <w:rPr>
          <w:rFonts w:ascii="Tahoma" w:hAnsi="Tahoma" w:cs="Tahoma"/>
          <w:spacing w:val="-4"/>
          <w:sz w:val="24"/>
          <w:szCs w:val="24"/>
        </w:rPr>
      </w:pPr>
    </w:p>
    <w:p w:rsidR="00D95C8B" w:rsidRPr="001E72AE" w:rsidRDefault="00D95C8B" w:rsidP="001E72AE">
      <w:pPr>
        <w:spacing w:line="276" w:lineRule="auto"/>
        <w:jc w:val="both"/>
        <w:rPr>
          <w:rFonts w:ascii="Tahoma" w:hAnsi="Tahoma" w:cs="Tahoma"/>
          <w:b/>
          <w:spacing w:val="-4"/>
          <w:sz w:val="24"/>
          <w:szCs w:val="24"/>
        </w:rPr>
      </w:pPr>
      <w:r w:rsidRPr="001E72AE">
        <w:rPr>
          <w:rFonts w:ascii="Tahoma" w:hAnsi="Tahoma" w:cs="Tahoma"/>
          <w:b/>
          <w:spacing w:val="-4"/>
          <w:sz w:val="24"/>
          <w:szCs w:val="24"/>
        </w:rPr>
        <w:t xml:space="preserve">C O N S I D E R A C I O N E S </w:t>
      </w:r>
    </w:p>
    <w:p w:rsidR="00D95C8B" w:rsidRPr="001E72AE" w:rsidRDefault="00D95C8B" w:rsidP="001E72AE">
      <w:pPr>
        <w:spacing w:line="276" w:lineRule="auto"/>
        <w:jc w:val="both"/>
        <w:rPr>
          <w:rFonts w:ascii="Tahoma" w:hAnsi="Tahoma" w:cs="Tahoma"/>
          <w:spacing w:val="-4"/>
          <w:sz w:val="24"/>
          <w:szCs w:val="24"/>
        </w:rPr>
      </w:pPr>
    </w:p>
    <w:p w:rsidR="00F947A0" w:rsidRPr="001E72AE" w:rsidRDefault="00F947A0" w:rsidP="001E72AE">
      <w:pPr>
        <w:spacing w:line="276" w:lineRule="auto"/>
        <w:jc w:val="both"/>
        <w:rPr>
          <w:rFonts w:ascii="Tahoma" w:hAnsi="Tahoma" w:cs="Tahoma"/>
          <w:spacing w:val="-4"/>
          <w:sz w:val="24"/>
          <w:szCs w:val="24"/>
        </w:rPr>
      </w:pPr>
      <w:r w:rsidRPr="001E72AE">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F947A0" w:rsidRPr="001E72AE" w:rsidRDefault="00F947A0" w:rsidP="001E72AE">
      <w:pPr>
        <w:tabs>
          <w:tab w:val="left" w:pos="0"/>
        </w:tabs>
        <w:spacing w:line="276" w:lineRule="auto"/>
        <w:jc w:val="both"/>
        <w:rPr>
          <w:rFonts w:ascii="Tahoma" w:hAnsi="Tahoma" w:cs="Tahoma"/>
          <w:b/>
          <w:spacing w:val="-4"/>
          <w:sz w:val="24"/>
          <w:szCs w:val="24"/>
        </w:rPr>
      </w:pPr>
    </w:p>
    <w:p w:rsidR="00F947A0" w:rsidRPr="001E72AE" w:rsidRDefault="00F947A0" w:rsidP="001E72AE">
      <w:pPr>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2. Como problema</w:t>
      </w:r>
      <w:r w:rsidR="000B3274" w:rsidRPr="001E72AE">
        <w:rPr>
          <w:rFonts w:ascii="Tahoma" w:hAnsi="Tahoma" w:cs="Tahoma"/>
          <w:spacing w:val="-4"/>
          <w:sz w:val="24"/>
          <w:szCs w:val="24"/>
        </w:rPr>
        <w:t>s</w:t>
      </w:r>
      <w:r w:rsidRPr="001E72AE">
        <w:rPr>
          <w:rFonts w:ascii="Tahoma" w:hAnsi="Tahoma" w:cs="Tahoma"/>
          <w:spacing w:val="-4"/>
          <w:sz w:val="24"/>
          <w:szCs w:val="24"/>
        </w:rPr>
        <w:t xml:space="preserve"> jurídico</w:t>
      </w:r>
      <w:r w:rsidR="000B3274" w:rsidRPr="001E72AE">
        <w:rPr>
          <w:rFonts w:ascii="Tahoma" w:hAnsi="Tahoma" w:cs="Tahoma"/>
          <w:spacing w:val="-4"/>
          <w:sz w:val="24"/>
          <w:szCs w:val="24"/>
        </w:rPr>
        <w:t>s</w:t>
      </w:r>
      <w:r w:rsidRPr="001E72AE">
        <w:rPr>
          <w:rFonts w:ascii="Tahoma" w:hAnsi="Tahoma" w:cs="Tahoma"/>
          <w:spacing w:val="-4"/>
          <w:sz w:val="24"/>
          <w:szCs w:val="24"/>
        </w:rPr>
        <w:t xml:space="preserve"> debe resolver la Sala si en este caso</w:t>
      </w:r>
      <w:r w:rsidR="004D2AC8" w:rsidRPr="001E72AE">
        <w:rPr>
          <w:rFonts w:ascii="Tahoma" w:hAnsi="Tahoma" w:cs="Tahoma"/>
          <w:spacing w:val="-4"/>
          <w:sz w:val="24"/>
          <w:szCs w:val="24"/>
        </w:rPr>
        <w:t xml:space="preserve"> procede</w:t>
      </w:r>
      <w:r w:rsidRPr="001E72AE">
        <w:rPr>
          <w:rFonts w:ascii="Tahoma" w:hAnsi="Tahoma" w:cs="Tahoma"/>
          <w:spacing w:val="-4"/>
          <w:sz w:val="24"/>
          <w:szCs w:val="24"/>
        </w:rPr>
        <w:t xml:space="preserve"> la acción de tutela </w:t>
      </w:r>
      <w:r w:rsidR="000B3274" w:rsidRPr="001E72AE">
        <w:rPr>
          <w:rFonts w:ascii="Tahoma" w:hAnsi="Tahoma" w:cs="Tahoma"/>
          <w:spacing w:val="-4"/>
          <w:sz w:val="24"/>
          <w:szCs w:val="24"/>
        </w:rPr>
        <w:t>para dirimir debate sobre la cláusula de igualdad en la aplicación de la Ley 1979 de 2019</w:t>
      </w:r>
      <w:r w:rsidRPr="001E72AE">
        <w:rPr>
          <w:rFonts w:ascii="Tahoma" w:hAnsi="Tahoma" w:cs="Tahoma"/>
          <w:spacing w:val="-4"/>
          <w:sz w:val="24"/>
          <w:szCs w:val="24"/>
        </w:rPr>
        <w:t xml:space="preserve">. </w:t>
      </w:r>
      <w:r w:rsidR="000B3274" w:rsidRPr="001E72AE">
        <w:rPr>
          <w:rFonts w:ascii="Tahoma" w:hAnsi="Tahoma" w:cs="Tahoma"/>
          <w:spacing w:val="-4"/>
          <w:sz w:val="24"/>
          <w:szCs w:val="24"/>
        </w:rPr>
        <w:t>De serlo, se analizará si en esa norma se incurre en lesión a esa garantía fundamental. También deberá analizar si las entidades convocadas lesionaron el derecho de petición del actor.</w:t>
      </w:r>
    </w:p>
    <w:p w:rsidR="00F947A0" w:rsidRPr="001E72AE" w:rsidRDefault="00F947A0" w:rsidP="001E72AE">
      <w:pPr>
        <w:suppressAutoHyphens/>
        <w:spacing w:line="276" w:lineRule="auto"/>
        <w:jc w:val="both"/>
        <w:rPr>
          <w:rFonts w:ascii="Tahoma" w:hAnsi="Tahoma" w:cs="Tahoma"/>
          <w:spacing w:val="-4"/>
          <w:sz w:val="24"/>
          <w:szCs w:val="24"/>
        </w:rPr>
      </w:pPr>
    </w:p>
    <w:p w:rsidR="00F947A0" w:rsidRPr="001E72AE" w:rsidRDefault="00F947A0" w:rsidP="001E72AE">
      <w:pPr>
        <w:spacing w:line="276" w:lineRule="auto"/>
        <w:jc w:val="both"/>
        <w:rPr>
          <w:rFonts w:ascii="Tahoma" w:hAnsi="Tahoma" w:cs="Tahoma"/>
          <w:spacing w:val="-4"/>
          <w:sz w:val="24"/>
          <w:szCs w:val="24"/>
        </w:rPr>
      </w:pPr>
      <w:r w:rsidRPr="001E72AE">
        <w:rPr>
          <w:rFonts w:ascii="Tahoma" w:hAnsi="Tahoma" w:cs="Tahoma"/>
          <w:spacing w:val="-4"/>
          <w:sz w:val="24"/>
          <w:szCs w:val="24"/>
        </w:rPr>
        <w:t xml:space="preserve">3. Previo a resolver lo anterior, es preciso indicar que </w:t>
      </w:r>
      <w:r w:rsidRPr="001E72AE">
        <w:rPr>
          <w:rFonts w:ascii="Tahoma" w:hAnsi="Tahoma" w:cs="Tahoma"/>
          <w:spacing w:val="-4"/>
          <w:sz w:val="24"/>
          <w:szCs w:val="24"/>
          <w:lang w:val="es-CO"/>
        </w:rPr>
        <w:t xml:space="preserve">se encuentran legitimados en la causa </w:t>
      </w:r>
      <w:r w:rsidRPr="001E72AE">
        <w:rPr>
          <w:rFonts w:ascii="Tahoma" w:hAnsi="Tahoma" w:cs="Tahoma"/>
          <w:spacing w:val="-4"/>
          <w:sz w:val="24"/>
          <w:szCs w:val="24"/>
        </w:rPr>
        <w:t xml:space="preserve">el señor </w:t>
      </w:r>
      <w:r w:rsidR="000B3274" w:rsidRPr="001E72AE">
        <w:rPr>
          <w:rFonts w:ascii="Tahoma" w:hAnsi="Tahoma" w:cs="Tahoma"/>
          <w:spacing w:val="-4"/>
          <w:sz w:val="24"/>
          <w:szCs w:val="24"/>
          <w:lang w:val="es-CO"/>
        </w:rPr>
        <w:t>Julio César Quintero Batero</w:t>
      </w:r>
      <w:r w:rsidRPr="001E72AE">
        <w:rPr>
          <w:rFonts w:ascii="Tahoma" w:hAnsi="Tahoma" w:cs="Tahoma"/>
          <w:spacing w:val="-4"/>
          <w:sz w:val="24"/>
          <w:szCs w:val="24"/>
        </w:rPr>
        <w:t xml:space="preserve">, por activa, </w:t>
      </w:r>
      <w:r w:rsidR="000B3274" w:rsidRPr="001E72AE">
        <w:rPr>
          <w:rFonts w:ascii="Tahoma" w:hAnsi="Tahoma" w:cs="Tahoma"/>
          <w:spacing w:val="-4"/>
          <w:sz w:val="24"/>
          <w:szCs w:val="24"/>
        </w:rPr>
        <w:t xml:space="preserve">como quiera que es el titular de los derechos supuestamente lesionados por la citada ley y en el trámite de resolución de su solicitud, </w:t>
      </w:r>
      <w:r w:rsidRPr="001E72AE">
        <w:rPr>
          <w:rFonts w:ascii="Tahoma" w:hAnsi="Tahoma" w:cs="Tahoma"/>
          <w:spacing w:val="-4"/>
          <w:sz w:val="24"/>
          <w:szCs w:val="24"/>
        </w:rPr>
        <w:t>y</w:t>
      </w:r>
      <w:r w:rsidR="000B3274" w:rsidRPr="001E72AE">
        <w:rPr>
          <w:rFonts w:ascii="Tahoma" w:hAnsi="Tahoma" w:cs="Tahoma"/>
          <w:spacing w:val="-4"/>
          <w:sz w:val="24"/>
          <w:szCs w:val="24"/>
        </w:rPr>
        <w:t xml:space="preserve"> por pasiva</w:t>
      </w:r>
      <w:r w:rsidRPr="001E72AE">
        <w:rPr>
          <w:rFonts w:ascii="Tahoma" w:hAnsi="Tahoma" w:cs="Tahoma"/>
          <w:spacing w:val="-4"/>
          <w:sz w:val="24"/>
          <w:szCs w:val="24"/>
        </w:rPr>
        <w:t xml:space="preserve"> el</w:t>
      </w:r>
      <w:r w:rsidR="000B3274" w:rsidRPr="001E72AE">
        <w:rPr>
          <w:rFonts w:ascii="Tahoma" w:hAnsi="Tahoma" w:cs="Tahoma"/>
          <w:spacing w:val="-4"/>
          <w:sz w:val="24"/>
          <w:szCs w:val="24"/>
        </w:rPr>
        <w:t xml:space="preserve"> Presidente de la República, </w:t>
      </w:r>
      <w:r w:rsidR="003A284E" w:rsidRPr="001E72AE">
        <w:rPr>
          <w:rFonts w:ascii="Tahoma" w:hAnsi="Tahoma" w:cs="Tahoma"/>
          <w:spacing w:val="-4"/>
          <w:sz w:val="24"/>
          <w:szCs w:val="24"/>
        </w:rPr>
        <w:t>los funcionarios del Ministerio de Defensa y el Congreso de la República, los primeros al haber intervenido en el trámite de ese derecho de petición y el último por ser la corporación que elaboró dicha norma.</w:t>
      </w:r>
    </w:p>
    <w:p w:rsidR="00423EED" w:rsidRPr="001E72AE" w:rsidRDefault="00423EED" w:rsidP="001E72AE">
      <w:pPr>
        <w:spacing w:line="276" w:lineRule="auto"/>
        <w:jc w:val="both"/>
        <w:rPr>
          <w:rFonts w:ascii="Tahoma" w:hAnsi="Tahoma" w:cs="Tahoma"/>
          <w:spacing w:val="-4"/>
          <w:sz w:val="24"/>
          <w:szCs w:val="24"/>
        </w:rPr>
      </w:pPr>
    </w:p>
    <w:p w:rsidR="00844B57" w:rsidRPr="001E72AE" w:rsidRDefault="00D95C8B" w:rsidP="001E72AE">
      <w:pPr>
        <w:overflowPunct/>
        <w:spacing w:line="276" w:lineRule="auto"/>
        <w:jc w:val="both"/>
        <w:textAlignment w:val="auto"/>
        <w:rPr>
          <w:rFonts w:ascii="Tahoma" w:hAnsi="Tahoma" w:cs="Tahoma"/>
          <w:spacing w:val="-4"/>
          <w:sz w:val="24"/>
          <w:szCs w:val="24"/>
        </w:rPr>
      </w:pPr>
      <w:r w:rsidRPr="001E72AE">
        <w:rPr>
          <w:rFonts w:ascii="Tahoma" w:hAnsi="Tahoma" w:cs="Tahoma"/>
          <w:spacing w:val="-4"/>
          <w:sz w:val="24"/>
          <w:szCs w:val="24"/>
        </w:rPr>
        <w:t>4.</w:t>
      </w:r>
      <w:r w:rsidR="00F947A0" w:rsidRPr="001E72AE">
        <w:rPr>
          <w:rFonts w:ascii="Tahoma" w:hAnsi="Tahoma" w:cs="Tahoma"/>
          <w:spacing w:val="-4"/>
          <w:sz w:val="24"/>
          <w:szCs w:val="24"/>
        </w:rPr>
        <w:t xml:space="preserve"> </w:t>
      </w:r>
      <w:r w:rsidR="00844B57" w:rsidRPr="001E72AE">
        <w:rPr>
          <w:rFonts w:ascii="Tahoma" w:hAnsi="Tahoma" w:cs="Tahoma"/>
          <w:spacing w:val="-4"/>
          <w:sz w:val="24"/>
          <w:szCs w:val="24"/>
        </w:rPr>
        <w:t>Frente al primero de los problemas jurídicos planteados, es necesario recordar que el actor atribuye la lesión de su derecho a la igualdad a la Ley 1979 de 2019</w:t>
      </w:r>
      <w:r w:rsidR="00216018" w:rsidRPr="001E72AE">
        <w:rPr>
          <w:rFonts w:ascii="Tahoma" w:hAnsi="Tahoma" w:cs="Tahoma"/>
          <w:spacing w:val="-4"/>
          <w:sz w:val="24"/>
          <w:szCs w:val="24"/>
        </w:rPr>
        <w:t>, que es una norma</w:t>
      </w:r>
      <w:r w:rsidR="00844B57" w:rsidRPr="001E72AE">
        <w:rPr>
          <w:rFonts w:ascii="Tahoma" w:hAnsi="Tahoma" w:cs="Tahoma"/>
          <w:spacing w:val="-4"/>
          <w:sz w:val="24"/>
          <w:szCs w:val="24"/>
        </w:rPr>
        <w:t xml:space="preserve"> de carácter general, impersonal y abstracto, y de acuerdo con el numeral 5º del artículo 6º del decreto 2591 de 1991</w:t>
      </w:r>
      <w:r w:rsidR="00216018" w:rsidRPr="001E72AE">
        <w:rPr>
          <w:rFonts w:ascii="Tahoma" w:hAnsi="Tahoma" w:cs="Tahoma"/>
          <w:spacing w:val="-4"/>
          <w:sz w:val="24"/>
          <w:szCs w:val="24"/>
        </w:rPr>
        <w:t>, en principio,</w:t>
      </w:r>
      <w:r w:rsidR="00844B57" w:rsidRPr="001E72AE">
        <w:rPr>
          <w:rFonts w:ascii="Tahoma" w:hAnsi="Tahoma" w:cs="Tahoma"/>
          <w:spacing w:val="-4"/>
          <w:sz w:val="24"/>
          <w:szCs w:val="24"/>
        </w:rPr>
        <w:t xml:space="preserve"> la acción de tutela no procede </w:t>
      </w:r>
      <w:r w:rsidR="00216018" w:rsidRPr="001E72AE">
        <w:rPr>
          <w:rFonts w:ascii="Tahoma" w:hAnsi="Tahoma" w:cs="Tahoma"/>
          <w:spacing w:val="-4"/>
          <w:sz w:val="24"/>
          <w:szCs w:val="24"/>
        </w:rPr>
        <w:t>en su contra</w:t>
      </w:r>
      <w:bookmarkStart w:id="1" w:name="_Hlk67065572"/>
      <w:r w:rsidR="00844B57" w:rsidRPr="001E72AE">
        <w:rPr>
          <w:rFonts w:ascii="Tahoma" w:hAnsi="Tahoma" w:cs="Tahoma"/>
          <w:spacing w:val="-4"/>
          <w:sz w:val="24"/>
          <w:szCs w:val="24"/>
        </w:rPr>
        <w:t xml:space="preserve">. Al respecto la Corte Constitucional </w:t>
      </w:r>
      <w:r w:rsidR="00216018" w:rsidRPr="001E72AE">
        <w:rPr>
          <w:rFonts w:ascii="Tahoma" w:hAnsi="Tahoma" w:cs="Tahoma"/>
          <w:spacing w:val="-4"/>
          <w:sz w:val="24"/>
          <w:szCs w:val="24"/>
        </w:rPr>
        <w:t>ha expresado</w:t>
      </w:r>
      <w:r w:rsidR="00844B57" w:rsidRPr="001E72AE">
        <w:rPr>
          <w:rStyle w:val="Refdenotaalpie"/>
          <w:rFonts w:ascii="Tahoma" w:hAnsi="Tahoma" w:cs="Tahoma"/>
          <w:spacing w:val="-4"/>
          <w:sz w:val="24"/>
          <w:szCs w:val="24"/>
        </w:rPr>
        <w:footnoteReference w:id="7"/>
      </w:r>
      <w:r w:rsidR="00844B57" w:rsidRPr="001E72AE">
        <w:rPr>
          <w:rFonts w:ascii="Tahoma" w:hAnsi="Tahoma" w:cs="Tahoma"/>
          <w:spacing w:val="-4"/>
          <w:sz w:val="24"/>
          <w:szCs w:val="24"/>
        </w:rPr>
        <w:t>:</w:t>
      </w:r>
    </w:p>
    <w:p w:rsidR="00C45D29" w:rsidRPr="001E72AE" w:rsidRDefault="00844B57" w:rsidP="001E72AE">
      <w:pPr>
        <w:spacing w:line="276" w:lineRule="auto"/>
        <w:jc w:val="both"/>
        <w:rPr>
          <w:rFonts w:ascii="Tahoma" w:hAnsi="Tahoma" w:cs="Tahoma"/>
          <w:spacing w:val="-4"/>
          <w:sz w:val="24"/>
          <w:szCs w:val="24"/>
          <w:lang w:val="es-CO"/>
        </w:rPr>
      </w:pPr>
      <w:r w:rsidRPr="001E72AE">
        <w:rPr>
          <w:rFonts w:ascii="Tahoma" w:hAnsi="Tahoma" w:cs="Tahoma"/>
          <w:spacing w:val="-4"/>
          <w:sz w:val="24"/>
          <w:szCs w:val="24"/>
        </w:rPr>
        <w:t xml:space="preserve"> </w:t>
      </w:r>
    </w:p>
    <w:p w:rsidR="00C45D29" w:rsidRPr="001E72AE" w:rsidRDefault="00C45D29"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w:t>
      </w:r>
      <w:r w:rsidR="00216018" w:rsidRPr="001E72AE">
        <w:rPr>
          <w:rFonts w:ascii="Tahoma" w:hAnsi="Tahoma" w:cs="Tahoma"/>
          <w:i/>
          <w:spacing w:val="-4"/>
          <w:sz w:val="22"/>
          <w:szCs w:val="24"/>
          <w:lang w:val="es-CO"/>
        </w:rPr>
        <w:t xml:space="preserve">… </w:t>
      </w:r>
      <w:r w:rsidRPr="001E72AE">
        <w:rPr>
          <w:rFonts w:ascii="Tahoma" w:hAnsi="Tahoma" w:cs="Tahoma"/>
          <w:i/>
          <w:spacing w:val="-4"/>
          <w:sz w:val="22"/>
          <w:szCs w:val="24"/>
        </w:rPr>
        <w:t>la acción de tutela no está instituida para reemplazar otros medios judiciales de defensa de los derechos de las personas, ni para ser utilizada de forma alterna en caso de que tales medios de defensa judicial no hubieren sido suficientes, sin embargo, esta se torna procedente en los casos en que se evidencie que los medios alternos con que cuenta el interesado no son idóneos ni eficaces para obtener la protección referida y/o que es necesaria como mecanismo transitorio para evitar un perjuicio irremediable.</w:t>
      </w:r>
    </w:p>
    <w:p w:rsidR="00216018" w:rsidRPr="001E72AE" w:rsidRDefault="00216018" w:rsidP="001E72AE">
      <w:pPr>
        <w:ind w:left="426" w:right="420"/>
        <w:jc w:val="both"/>
        <w:rPr>
          <w:rFonts w:ascii="Tahoma" w:hAnsi="Tahoma" w:cs="Tahoma"/>
          <w:i/>
          <w:spacing w:val="-4"/>
          <w:sz w:val="22"/>
          <w:szCs w:val="24"/>
          <w:lang w:val="es-CO"/>
        </w:rPr>
      </w:pPr>
    </w:p>
    <w:p w:rsidR="00C45D29" w:rsidRPr="001E72AE" w:rsidRDefault="00C45D29"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 xml:space="preserve">… </w:t>
      </w:r>
    </w:p>
    <w:p w:rsidR="00C45D29" w:rsidRPr="001E72AE" w:rsidRDefault="00C45D29" w:rsidP="001E72AE">
      <w:pPr>
        <w:ind w:left="426" w:right="420"/>
        <w:jc w:val="both"/>
        <w:rPr>
          <w:rFonts w:ascii="Tahoma" w:hAnsi="Tahoma" w:cs="Tahoma"/>
          <w:i/>
          <w:spacing w:val="-4"/>
          <w:sz w:val="22"/>
          <w:szCs w:val="24"/>
          <w:lang w:val="es-CO"/>
        </w:rPr>
      </w:pPr>
    </w:p>
    <w:p w:rsidR="00C45D29" w:rsidRPr="001E72AE" w:rsidRDefault="00216018"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 xml:space="preserve">2.2.4.1. </w:t>
      </w:r>
      <w:r w:rsidR="00C45D29" w:rsidRPr="001E72AE">
        <w:rPr>
          <w:rFonts w:ascii="Tahoma" w:hAnsi="Tahoma" w:cs="Tahoma"/>
          <w:i/>
          <w:spacing w:val="-4"/>
          <w:sz w:val="22"/>
          <w:szCs w:val="24"/>
          <w:lang w:val="es-CO"/>
        </w:rPr>
        <w:t>De conformidad con lo previsto en el artículo 6 del Decreto 2591 de 1991, la acción de tutela se torna improcedente cuando “se trate de actos de carácter general, impersonal y abstracto”; lo cual según la jurisprudencia constitucional, se justifica en la medida en que ese tipo de actos producen efectos generales y no tienen un destinatario particular, por lo que no son susceptibles de producir situaciones jurídicas subjetivas y concretas que permitan un control judicial a través de la acción de tutela</w:t>
      </w:r>
      <w:bookmarkEnd w:id="1"/>
      <w:r w:rsidR="00C45D29" w:rsidRPr="001E72AE">
        <w:rPr>
          <w:rFonts w:ascii="Tahoma" w:hAnsi="Tahoma" w:cs="Tahoma"/>
          <w:i/>
          <w:spacing w:val="-4"/>
          <w:sz w:val="22"/>
          <w:szCs w:val="24"/>
          <w:lang w:val="es-CO"/>
        </w:rPr>
        <w:t>:</w:t>
      </w:r>
    </w:p>
    <w:p w:rsidR="00C45D29" w:rsidRPr="001E72AE" w:rsidRDefault="00C45D29" w:rsidP="001E72AE">
      <w:pPr>
        <w:ind w:left="426" w:right="420"/>
        <w:jc w:val="both"/>
        <w:rPr>
          <w:rFonts w:ascii="Tahoma" w:hAnsi="Tahoma" w:cs="Tahoma"/>
          <w:i/>
          <w:spacing w:val="-4"/>
          <w:sz w:val="22"/>
          <w:szCs w:val="24"/>
          <w:lang w:val="es-CO"/>
        </w:rPr>
      </w:pPr>
    </w:p>
    <w:p w:rsidR="00C45D29" w:rsidRPr="001E72AE" w:rsidRDefault="00C45D29"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 Pero no es ése el caso de la tutela. El mismo artículo 6o. del Decreto 2591 establece en su numeral 5o. que es improcedente la acción "cuando se trate de actos de carácter general, impersonal y abstracto". Es que lo que se busca con el mencionado mecanismo es suspender los efectos violatorios o amenazantes de alguno de los derechos fundamentales de una persona determinada, derivados de un acto concreto cuya aplicación deberá suspender el juez, aún mediante medidas provisionales (esto es antes de la sentencia) cuando lo considere necesario y urgente para proteger el derecho, según las voces del artículo 7o. del Decreto en mención”</w:t>
      </w:r>
      <w:r w:rsidR="001E72AE">
        <w:rPr>
          <w:rFonts w:ascii="Tahoma" w:hAnsi="Tahoma" w:cs="Tahoma"/>
          <w:i/>
          <w:spacing w:val="-4"/>
          <w:sz w:val="22"/>
          <w:szCs w:val="24"/>
          <w:lang w:val="es-CO"/>
        </w:rPr>
        <w:t xml:space="preserve"> </w:t>
      </w:r>
      <w:r w:rsidR="00216018" w:rsidRPr="001E72AE">
        <w:rPr>
          <w:rStyle w:val="Refdenotaalpie"/>
          <w:rFonts w:ascii="Tahoma" w:hAnsi="Tahoma" w:cs="Tahoma"/>
          <w:i/>
          <w:spacing w:val="-4"/>
          <w:sz w:val="22"/>
          <w:szCs w:val="24"/>
          <w:lang w:val="es-CO"/>
        </w:rPr>
        <w:footnoteReference w:id="8"/>
      </w:r>
      <w:r w:rsidR="00216018" w:rsidRPr="001E72AE">
        <w:rPr>
          <w:rFonts w:ascii="Tahoma" w:hAnsi="Tahoma" w:cs="Tahoma"/>
          <w:i/>
          <w:spacing w:val="-4"/>
          <w:sz w:val="22"/>
          <w:szCs w:val="24"/>
          <w:lang w:val="es-CO"/>
        </w:rPr>
        <w:t>.</w:t>
      </w:r>
    </w:p>
    <w:p w:rsidR="00216018" w:rsidRPr="001E72AE" w:rsidRDefault="00216018" w:rsidP="001E72AE">
      <w:pPr>
        <w:ind w:left="426" w:right="420"/>
        <w:jc w:val="both"/>
        <w:rPr>
          <w:rFonts w:ascii="Tahoma" w:hAnsi="Tahoma" w:cs="Tahoma"/>
          <w:i/>
          <w:spacing w:val="-4"/>
          <w:sz w:val="22"/>
          <w:szCs w:val="24"/>
          <w:lang w:val="es-CO"/>
        </w:rPr>
      </w:pPr>
    </w:p>
    <w:p w:rsidR="00216018" w:rsidRPr="001E72AE" w:rsidRDefault="00216018"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w:t>
      </w:r>
    </w:p>
    <w:p w:rsidR="00216018" w:rsidRPr="001E72AE" w:rsidRDefault="00216018" w:rsidP="001E72AE">
      <w:pPr>
        <w:ind w:left="426" w:right="420"/>
        <w:jc w:val="both"/>
        <w:rPr>
          <w:rFonts w:ascii="Tahoma" w:hAnsi="Tahoma" w:cs="Tahoma"/>
          <w:i/>
          <w:spacing w:val="-4"/>
          <w:sz w:val="22"/>
          <w:szCs w:val="24"/>
          <w:lang w:val="es-CO"/>
        </w:rPr>
      </w:pPr>
    </w:p>
    <w:p w:rsidR="00C45D29" w:rsidRPr="001E72AE" w:rsidRDefault="00C45D29"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 xml:space="preserve">Adicionalmente, y en virtud del carácter subsidiario de la acción de tutela, es preciso tener en cuenta que el ordenamiento jurídico provee un completo sistema de control judicial que admite el cuestionamiento de los actos generales, abstractos e impersonales. Al respecto ha precisado la jurisprudencia constitucional </w:t>
      </w:r>
      <w:r w:rsidR="001E72AE" w:rsidRPr="001E72AE">
        <w:rPr>
          <w:rFonts w:ascii="Tahoma" w:hAnsi="Tahoma" w:cs="Tahoma"/>
          <w:i/>
          <w:spacing w:val="-4"/>
          <w:sz w:val="22"/>
          <w:szCs w:val="24"/>
          <w:lang w:val="es-CO"/>
        </w:rPr>
        <w:t>que,</w:t>
      </w:r>
      <w:r w:rsidRPr="001E72AE">
        <w:rPr>
          <w:rFonts w:ascii="Tahoma" w:hAnsi="Tahoma" w:cs="Tahoma"/>
          <w:i/>
          <w:spacing w:val="-4"/>
          <w:sz w:val="22"/>
          <w:szCs w:val="24"/>
          <w:lang w:val="es-CO"/>
        </w:rPr>
        <w:t xml:space="preserve"> en efecto, la acción de nulidad está provista para demandar los actos administrativos de carácter general que expida la administración, </w:t>
      </w:r>
      <w:proofErr w:type="gramStart"/>
      <w:r w:rsidRPr="001E72AE">
        <w:rPr>
          <w:rFonts w:ascii="Tahoma" w:hAnsi="Tahoma" w:cs="Tahoma"/>
          <w:i/>
          <w:spacing w:val="-4"/>
          <w:sz w:val="22"/>
          <w:szCs w:val="24"/>
          <w:lang w:val="es-CO"/>
        </w:rPr>
        <w:t>y</w:t>
      </w:r>
      <w:proofErr w:type="gramEnd"/>
      <w:r w:rsidRPr="001E72AE">
        <w:rPr>
          <w:rFonts w:ascii="Tahoma" w:hAnsi="Tahoma" w:cs="Tahoma"/>
          <w:i/>
          <w:spacing w:val="-4"/>
          <w:sz w:val="22"/>
          <w:szCs w:val="24"/>
          <w:lang w:val="es-CO"/>
        </w:rPr>
        <w:t xml:space="preserve"> por otro lado, la acción pública de inconstitucionalidad está prevista para demandar las leyes que en uso de sus facultades profiera el Congreso de la Republica:</w:t>
      </w:r>
    </w:p>
    <w:p w:rsidR="00C45D29" w:rsidRPr="001E72AE" w:rsidRDefault="00C45D29" w:rsidP="001E72AE">
      <w:pPr>
        <w:ind w:left="426" w:right="420"/>
        <w:jc w:val="both"/>
        <w:rPr>
          <w:rFonts w:ascii="Tahoma" w:hAnsi="Tahoma" w:cs="Tahoma"/>
          <w:i/>
          <w:spacing w:val="-4"/>
          <w:sz w:val="22"/>
          <w:szCs w:val="24"/>
          <w:lang w:val="es-CO"/>
        </w:rPr>
      </w:pPr>
    </w:p>
    <w:p w:rsidR="00C45D29" w:rsidRPr="001E72AE" w:rsidRDefault="00C45D29"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“Cuando el desconocimiento, la vulneración o el recorte de los derechos fundamentales se origina en actos jurídicos de carácter general producidos por instancias subordinadas a la Constitución (y todos los poderes constituidos lo son), su efecto general pernicioso puede ser contrarrestado mediante mecanismos especialmente dispuestos para ello, V.gr.: la acción de inconstitucionalidad contra las leyes, o las acciones de nulidad (y de restablecimiento del derecho) contra los actos administrativos. Mediante tales instrumentos se provoca la actuación de un organismo público competente para que, también por vía de disposición general, restablezca el imperio de la juridicidad.”</w:t>
      </w:r>
      <w:r w:rsidR="00216018" w:rsidRPr="001E72AE">
        <w:rPr>
          <w:rStyle w:val="Refdenotaalpie"/>
          <w:rFonts w:ascii="Tahoma" w:hAnsi="Tahoma" w:cs="Tahoma"/>
          <w:i/>
          <w:spacing w:val="-4"/>
          <w:sz w:val="22"/>
          <w:szCs w:val="24"/>
          <w:lang w:val="es-CO"/>
        </w:rPr>
        <w:footnoteReference w:id="9"/>
      </w:r>
      <w:r w:rsidRPr="001E72AE">
        <w:rPr>
          <w:rFonts w:ascii="Tahoma" w:hAnsi="Tahoma" w:cs="Tahoma"/>
          <w:i/>
          <w:spacing w:val="-4"/>
          <w:sz w:val="22"/>
          <w:szCs w:val="24"/>
          <w:lang w:val="es-CO"/>
        </w:rPr>
        <w:t>.</w:t>
      </w:r>
    </w:p>
    <w:p w:rsidR="00C45D29" w:rsidRPr="001E72AE" w:rsidRDefault="00C45D29" w:rsidP="001E72AE">
      <w:pPr>
        <w:ind w:left="426" w:right="420"/>
        <w:jc w:val="both"/>
        <w:rPr>
          <w:rFonts w:ascii="Tahoma" w:hAnsi="Tahoma" w:cs="Tahoma"/>
          <w:i/>
          <w:spacing w:val="-4"/>
          <w:sz w:val="22"/>
          <w:szCs w:val="24"/>
          <w:lang w:val="es-CO"/>
        </w:rPr>
      </w:pPr>
    </w:p>
    <w:p w:rsidR="00C45D29" w:rsidRPr="001E72AE" w:rsidRDefault="00C45D29"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En este sentido, y frente a las leyes expedidas por el Congreso de la República, el numeral cuarto del artículo 241 de la Constitución Política dispone que le corresponde a la Corte Constitucional “Decidir sobre las demandas de inconstitucionalidad que presenten los ciudadanos contra las leyes, tanto por su contenido material como por vicios de procedimiento en su formación”; de manera que en principio, las leyes sólo pueden ser debatidas en el marco de la acción pública de inconstitucionalidad, constituyéndose ésta en el mecanismo idóneo para controvertirlos.</w:t>
      </w:r>
      <w:r w:rsidR="00216018" w:rsidRPr="001E72AE">
        <w:rPr>
          <w:rFonts w:ascii="Tahoma" w:hAnsi="Tahoma" w:cs="Tahoma"/>
          <w:i/>
          <w:spacing w:val="-4"/>
          <w:sz w:val="22"/>
          <w:szCs w:val="24"/>
          <w:lang w:val="es-CO"/>
        </w:rPr>
        <w:t>”</w:t>
      </w:r>
    </w:p>
    <w:p w:rsidR="00844B57" w:rsidRPr="001E72AE" w:rsidRDefault="00844B57" w:rsidP="001E72AE">
      <w:pPr>
        <w:spacing w:line="276" w:lineRule="auto"/>
        <w:jc w:val="both"/>
        <w:rPr>
          <w:rFonts w:ascii="Tahoma" w:hAnsi="Tahoma" w:cs="Tahoma"/>
          <w:spacing w:val="-4"/>
          <w:sz w:val="24"/>
          <w:szCs w:val="24"/>
          <w:lang w:val="es-CO"/>
        </w:rPr>
      </w:pPr>
    </w:p>
    <w:p w:rsidR="00844B57" w:rsidRPr="001E72AE" w:rsidRDefault="00216018" w:rsidP="001E72AE">
      <w:pPr>
        <w:spacing w:line="276" w:lineRule="auto"/>
        <w:jc w:val="both"/>
        <w:rPr>
          <w:rFonts w:ascii="Tahoma" w:hAnsi="Tahoma" w:cs="Tahoma"/>
          <w:spacing w:val="-4"/>
          <w:sz w:val="24"/>
          <w:szCs w:val="24"/>
        </w:rPr>
      </w:pPr>
      <w:r w:rsidRPr="001E72AE">
        <w:rPr>
          <w:rFonts w:ascii="Tahoma" w:hAnsi="Tahoma" w:cs="Tahoma"/>
          <w:spacing w:val="-4"/>
          <w:sz w:val="24"/>
          <w:szCs w:val="24"/>
          <w:lang w:val="es-CO"/>
        </w:rPr>
        <w:t xml:space="preserve">5. </w:t>
      </w:r>
      <w:bookmarkStart w:id="2" w:name="_Hlk67065664"/>
      <w:r w:rsidRPr="001E72AE">
        <w:rPr>
          <w:rFonts w:ascii="Tahoma" w:hAnsi="Tahoma" w:cs="Tahoma"/>
          <w:spacing w:val="-4"/>
          <w:sz w:val="24"/>
          <w:szCs w:val="24"/>
          <w:lang w:val="es-CO"/>
        </w:rPr>
        <w:t>Surge de lo</w:t>
      </w:r>
      <w:r w:rsidR="00844B57" w:rsidRPr="001E72AE">
        <w:rPr>
          <w:rFonts w:ascii="Tahoma" w:hAnsi="Tahoma" w:cs="Tahoma"/>
          <w:spacing w:val="-4"/>
          <w:sz w:val="24"/>
          <w:szCs w:val="24"/>
          <w:lang w:val="es-CO"/>
        </w:rPr>
        <w:t xml:space="preserve"> anterior </w:t>
      </w:r>
      <w:r w:rsidR="001E72AE" w:rsidRPr="001E72AE">
        <w:rPr>
          <w:rFonts w:ascii="Tahoma" w:hAnsi="Tahoma" w:cs="Tahoma"/>
          <w:spacing w:val="-4"/>
          <w:sz w:val="24"/>
          <w:szCs w:val="24"/>
          <w:lang w:val="es-CO"/>
        </w:rPr>
        <w:t>que,</w:t>
      </w:r>
      <w:r w:rsidR="00844B57" w:rsidRPr="001E72AE">
        <w:rPr>
          <w:rFonts w:ascii="Tahoma" w:hAnsi="Tahoma" w:cs="Tahoma"/>
          <w:spacing w:val="-4"/>
          <w:sz w:val="24"/>
          <w:szCs w:val="24"/>
          <w:lang w:val="es-CO"/>
        </w:rPr>
        <w:t xml:space="preserve"> para</w:t>
      </w:r>
      <w:r w:rsidRPr="001E72AE">
        <w:rPr>
          <w:rFonts w:ascii="Tahoma" w:hAnsi="Tahoma" w:cs="Tahoma"/>
          <w:spacing w:val="-4"/>
          <w:sz w:val="24"/>
          <w:szCs w:val="24"/>
          <w:lang w:val="es-CO"/>
        </w:rPr>
        <w:t xml:space="preserve"> efecto de</w:t>
      </w:r>
      <w:r w:rsidR="00844B57" w:rsidRPr="001E72AE">
        <w:rPr>
          <w:rFonts w:ascii="Tahoma" w:hAnsi="Tahoma" w:cs="Tahoma"/>
          <w:spacing w:val="-4"/>
          <w:sz w:val="24"/>
          <w:szCs w:val="24"/>
          <w:lang w:val="es-CO"/>
        </w:rPr>
        <w:t xml:space="preserve"> cuestionar la</w:t>
      </w:r>
      <w:r w:rsidRPr="001E72AE">
        <w:rPr>
          <w:rFonts w:ascii="Tahoma" w:hAnsi="Tahoma" w:cs="Tahoma"/>
          <w:spacing w:val="-4"/>
          <w:sz w:val="24"/>
          <w:szCs w:val="24"/>
          <w:lang w:val="es-CO"/>
        </w:rPr>
        <w:t xml:space="preserve"> constitucionalidad de la norma atacada</w:t>
      </w:r>
      <w:r w:rsidR="004D2AC8" w:rsidRPr="001E72AE">
        <w:rPr>
          <w:rFonts w:ascii="Tahoma" w:hAnsi="Tahoma" w:cs="Tahoma"/>
          <w:spacing w:val="-4"/>
          <w:sz w:val="24"/>
          <w:szCs w:val="24"/>
          <w:lang w:val="es-CO"/>
        </w:rPr>
        <w:t>,</w:t>
      </w:r>
      <w:r w:rsidR="00844B57" w:rsidRPr="001E72AE">
        <w:rPr>
          <w:rFonts w:ascii="Tahoma" w:hAnsi="Tahoma" w:cs="Tahoma"/>
          <w:spacing w:val="-4"/>
          <w:sz w:val="24"/>
          <w:szCs w:val="24"/>
          <w:lang w:val="es-CO"/>
        </w:rPr>
        <w:t xml:space="preserve"> el actor </w:t>
      </w:r>
      <w:r w:rsidR="004D2AC8" w:rsidRPr="001E72AE">
        <w:rPr>
          <w:rFonts w:ascii="Tahoma" w:hAnsi="Tahoma" w:cs="Tahoma"/>
          <w:spacing w:val="-4"/>
          <w:sz w:val="24"/>
          <w:szCs w:val="24"/>
          <w:lang w:val="es-CO"/>
        </w:rPr>
        <w:t>tiene a disposición</w:t>
      </w:r>
      <w:r w:rsidRPr="001E72AE">
        <w:rPr>
          <w:rFonts w:ascii="Tahoma" w:hAnsi="Tahoma" w:cs="Tahoma"/>
          <w:spacing w:val="-4"/>
          <w:sz w:val="24"/>
          <w:szCs w:val="24"/>
          <w:lang w:val="es-CO"/>
        </w:rPr>
        <w:t xml:space="preserve"> la demanda por inconstitucionalidad</w:t>
      </w:r>
      <w:r w:rsidR="004D2AC8" w:rsidRPr="001E72AE">
        <w:rPr>
          <w:rFonts w:ascii="Tahoma" w:hAnsi="Tahoma" w:cs="Tahoma"/>
          <w:spacing w:val="-4"/>
          <w:sz w:val="24"/>
          <w:szCs w:val="24"/>
          <w:lang w:val="es-CO"/>
        </w:rPr>
        <w:t>,</w:t>
      </w:r>
      <w:r w:rsidRPr="001E72AE">
        <w:rPr>
          <w:rFonts w:ascii="Tahoma" w:hAnsi="Tahoma" w:cs="Tahoma"/>
          <w:spacing w:val="-4"/>
          <w:sz w:val="24"/>
          <w:szCs w:val="24"/>
          <w:lang w:val="es-CO"/>
        </w:rPr>
        <w:t xml:space="preserve"> como mecanismo idóneo para dirimir la controversia que plantea en torno a la supuesta </w:t>
      </w:r>
      <w:r w:rsidR="004D2AC8" w:rsidRPr="001E72AE">
        <w:rPr>
          <w:rFonts w:ascii="Tahoma" w:hAnsi="Tahoma" w:cs="Tahoma"/>
          <w:spacing w:val="-4"/>
          <w:sz w:val="24"/>
          <w:szCs w:val="24"/>
          <w:lang w:val="es-CO"/>
        </w:rPr>
        <w:t>discriminación,</w:t>
      </w:r>
      <w:r w:rsidR="00844B57" w:rsidRPr="001E72AE">
        <w:rPr>
          <w:rFonts w:ascii="Tahoma" w:hAnsi="Tahoma" w:cs="Tahoma"/>
          <w:spacing w:val="-4"/>
          <w:sz w:val="24"/>
          <w:szCs w:val="24"/>
          <w:lang w:val="es-CO"/>
        </w:rPr>
        <w:t xml:space="preserve"> </w:t>
      </w:r>
      <w:r w:rsidR="00361F9E" w:rsidRPr="001E72AE">
        <w:rPr>
          <w:rFonts w:ascii="Tahoma" w:hAnsi="Tahoma" w:cs="Tahoma"/>
          <w:spacing w:val="-4"/>
          <w:sz w:val="24"/>
          <w:szCs w:val="24"/>
          <w:lang w:val="es-CO"/>
        </w:rPr>
        <w:t>al determinar beneficios solo a una parte de los miembros de la fuerza pública pensionados por invalidez con ocasión a lesiones causadas en combate.</w:t>
      </w:r>
    </w:p>
    <w:p w:rsidR="00844B57" w:rsidRPr="001E72AE" w:rsidRDefault="00844B57" w:rsidP="001E72AE">
      <w:pPr>
        <w:tabs>
          <w:tab w:val="left" w:pos="-720"/>
        </w:tabs>
        <w:suppressAutoHyphens/>
        <w:spacing w:line="276" w:lineRule="auto"/>
        <w:jc w:val="both"/>
        <w:rPr>
          <w:rFonts w:ascii="Tahoma" w:hAnsi="Tahoma" w:cs="Tahoma"/>
          <w:spacing w:val="-4"/>
          <w:sz w:val="24"/>
          <w:szCs w:val="24"/>
          <w:lang w:val="es-ES"/>
        </w:rPr>
      </w:pPr>
    </w:p>
    <w:p w:rsidR="00844B57" w:rsidRPr="001E72AE" w:rsidRDefault="00361F9E" w:rsidP="001E72AE">
      <w:pPr>
        <w:tabs>
          <w:tab w:val="left" w:pos="-720"/>
        </w:tabs>
        <w:suppressAutoHyphens/>
        <w:spacing w:line="276" w:lineRule="auto"/>
        <w:jc w:val="both"/>
        <w:rPr>
          <w:rFonts w:ascii="Tahoma" w:hAnsi="Tahoma" w:cs="Tahoma"/>
          <w:spacing w:val="-4"/>
          <w:sz w:val="24"/>
          <w:szCs w:val="24"/>
          <w:lang w:val="es-ES"/>
        </w:rPr>
      </w:pPr>
      <w:r w:rsidRPr="001E72AE">
        <w:rPr>
          <w:rFonts w:ascii="Tahoma" w:hAnsi="Tahoma" w:cs="Tahoma"/>
          <w:spacing w:val="-4"/>
          <w:sz w:val="24"/>
          <w:szCs w:val="24"/>
          <w:lang w:val="es-ES"/>
        </w:rPr>
        <w:t xml:space="preserve">Por consiguiente, como </w:t>
      </w:r>
      <w:r w:rsidR="00844B57" w:rsidRPr="001E72AE">
        <w:rPr>
          <w:rFonts w:ascii="Tahoma" w:hAnsi="Tahoma" w:cs="Tahoma"/>
          <w:spacing w:val="-4"/>
          <w:sz w:val="24"/>
          <w:szCs w:val="24"/>
          <w:lang w:val="es-ES"/>
        </w:rPr>
        <w:t>la tutela</w:t>
      </w:r>
      <w:r w:rsidRPr="001E72AE">
        <w:rPr>
          <w:rFonts w:ascii="Tahoma" w:hAnsi="Tahoma" w:cs="Tahoma"/>
          <w:spacing w:val="-4"/>
          <w:sz w:val="24"/>
          <w:szCs w:val="24"/>
          <w:lang w:val="es-ES"/>
        </w:rPr>
        <w:t xml:space="preserve"> no es el único medio disponible </w:t>
      </w:r>
      <w:r w:rsidR="00844B57" w:rsidRPr="001E72AE">
        <w:rPr>
          <w:rFonts w:ascii="Tahoma" w:hAnsi="Tahoma" w:cs="Tahoma"/>
          <w:spacing w:val="-4"/>
          <w:sz w:val="24"/>
          <w:szCs w:val="24"/>
          <w:lang w:val="es-ES"/>
        </w:rPr>
        <w:t xml:space="preserve">para cuestionar la legalidad de </w:t>
      </w:r>
      <w:r w:rsidRPr="001E72AE">
        <w:rPr>
          <w:rFonts w:ascii="Tahoma" w:hAnsi="Tahoma" w:cs="Tahoma"/>
          <w:spacing w:val="-4"/>
          <w:sz w:val="24"/>
          <w:szCs w:val="24"/>
          <w:lang w:val="es-ES"/>
        </w:rPr>
        <w:t xml:space="preserve">la </w:t>
      </w:r>
      <w:r w:rsidRPr="001E72AE">
        <w:rPr>
          <w:rFonts w:ascii="Tahoma" w:hAnsi="Tahoma" w:cs="Tahoma"/>
          <w:spacing w:val="-4"/>
          <w:sz w:val="24"/>
          <w:szCs w:val="24"/>
        </w:rPr>
        <w:t>Ley 1979 de 2019</w:t>
      </w:r>
      <w:r w:rsidR="00844B57" w:rsidRPr="001E72AE">
        <w:rPr>
          <w:rFonts w:ascii="Tahoma" w:hAnsi="Tahoma" w:cs="Tahoma"/>
          <w:spacing w:val="-4"/>
          <w:sz w:val="24"/>
          <w:szCs w:val="24"/>
          <w:lang w:val="es-ES"/>
        </w:rPr>
        <w:t xml:space="preserve">, </w:t>
      </w:r>
      <w:r w:rsidRPr="001E72AE">
        <w:rPr>
          <w:rFonts w:ascii="Tahoma" w:hAnsi="Tahoma" w:cs="Tahoma"/>
          <w:spacing w:val="-4"/>
          <w:sz w:val="24"/>
          <w:szCs w:val="24"/>
          <w:lang w:val="es-ES"/>
        </w:rPr>
        <w:t>el amparo resulta improcedente al incumplir el presupuesto de la subsidiariedad.</w:t>
      </w:r>
    </w:p>
    <w:bookmarkEnd w:id="2"/>
    <w:p w:rsidR="00844B57" w:rsidRPr="001E72AE" w:rsidRDefault="00844B57" w:rsidP="001E72AE">
      <w:pPr>
        <w:tabs>
          <w:tab w:val="left" w:pos="-720"/>
        </w:tabs>
        <w:suppressAutoHyphens/>
        <w:spacing w:line="276" w:lineRule="auto"/>
        <w:jc w:val="both"/>
        <w:rPr>
          <w:rFonts w:ascii="Tahoma" w:hAnsi="Tahoma" w:cs="Tahoma"/>
          <w:spacing w:val="-4"/>
          <w:sz w:val="24"/>
          <w:szCs w:val="24"/>
          <w:lang w:val="es-ES"/>
        </w:rPr>
      </w:pPr>
    </w:p>
    <w:p w:rsidR="008C2F91" w:rsidRPr="001E72AE" w:rsidRDefault="00844B57" w:rsidP="001E72AE">
      <w:pPr>
        <w:pStyle w:val="sangria"/>
        <w:tabs>
          <w:tab w:val="left" w:pos="7788"/>
        </w:tabs>
        <w:spacing w:before="0" w:beforeAutospacing="0" w:after="0" w:afterAutospacing="0" w:line="276" w:lineRule="auto"/>
        <w:jc w:val="both"/>
        <w:rPr>
          <w:rFonts w:ascii="Tahoma" w:hAnsi="Tahoma" w:cs="Tahoma"/>
          <w:spacing w:val="-4"/>
        </w:rPr>
      </w:pPr>
      <w:r w:rsidRPr="001E72AE">
        <w:rPr>
          <w:rFonts w:ascii="Tahoma" w:hAnsi="Tahoma" w:cs="Tahoma"/>
          <w:spacing w:val="-4"/>
        </w:rPr>
        <w:t xml:space="preserve">6. </w:t>
      </w:r>
      <w:r w:rsidR="008C2F91" w:rsidRPr="001E72AE">
        <w:rPr>
          <w:rFonts w:ascii="Tahoma" w:hAnsi="Tahoma" w:cs="Tahoma"/>
          <w:spacing w:val="-4"/>
        </w:rPr>
        <w:t>A lo anterior cabe agregar que el perjuicio irremediable, que permitiría otorgar el amparo de manera provisional, no se encuentra configurado en este caso, ya que no concurren las características de inminencia y gravedad necesarias para ese efecto.</w:t>
      </w:r>
    </w:p>
    <w:p w:rsidR="008C2F91" w:rsidRPr="001E72AE" w:rsidRDefault="008C2F91" w:rsidP="001E72AE">
      <w:pPr>
        <w:tabs>
          <w:tab w:val="left" w:pos="7788"/>
        </w:tabs>
        <w:spacing w:line="276" w:lineRule="auto"/>
        <w:jc w:val="both"/>
        <w:rPr>
          <w:rFonts w:ascii="Tahoma" w:hAnsi="Tahoma" w:cs="Tahoma"/>
          <w:spacing w:val="-4"/>
          <w:sz w:val="24"/>
          <w:szCs w:val="24"/>
        </w:rPr>
      </w:pPr>
    </w:p>
    <w:p w:rsidR="008C2F91" w:rsidRPr="00423931" w:rsidRDefault="008C2F91" w:rsidP="00423931">
      <w:pPr>
        <w:ind w:left="426" w:right="420"/>
        <w:jc w:val="both"/>
        <w:rPr>
          <w:rFonts w:ascii="Tahoma" w:hAnsi="Tahoma" w:cs="Tahoma"/>
          <w:i/>
          <w:spacing w:val="-4"/>
          <w:sz w:val="22"/>
          <w:szCs w:val="24"/>
          <w:lang w:val="es-CO"/>
        </w:rPr>
      </w:pPr>
      <w:r w:rsidRPr="00423931">
        <w:rPr>
          <w:rFonts w:ascii="Tahoma" w:hAnsi="Tahoma" w:cs="Tahoma"/>
          <w:i/>
          <w:spacing w:val="-4"/>
          <w:sz w:val="22"/>
          <w:szCs w:val="24"/>
          <w:lang w:val="es-CO"/>
        </w:rPr>
        <w:lastRenderedPageBreak/>
        <w:t xml:space="preserve">Sobre el particular la Corte Constitucional: </w:t>
      </w:r>
    </w:p>
    <w:p w:rsidR="008C2F91" w:rsidRPr="00423931" w:rsidRDefault="008C2F91" w:rsidP="00423931">
      <w:pPr>
        <w:ind w:left="426" w:right="420"/>
        <w:jc w:val="both"/>
        <w:rPr>
          <w:rFonts w:ascii="Tahoma" w:hAnsi="Tahoma" w:cs="Tahoma"/>
          <w:i/>
          <w:spacing w:val="-4"/>
          <w:sz w:val="22"/>
          <w:szCs w:val="24"/>
          <w:lang w:val="es-CO"/>
        </w:rPr>
      </w:pPr>
    </w:p>
    <w:p w:rsidR="008C2F91" w:rsidRPr="00423931" w:rsidRDefault="008C2F91" w:rsidP="00423931">
      <w:pPr>
        <w:ind w:left="426" w:right="420"/>
        <w:jc w:val="both"/>
        <w:rPr>
          <w:rFonts w:ascii="Tahoma" w:hAnsi="Tahoma" w:cs="Tahoma"/>
          <w:i/>
          <w:spacing w:val="-4"/>
          <w:sz w:val="22"/>
          <w:szCs w:val="24"/>
          <w:lang w:val="es-CO"/>
        </w:rPr>
      </w:pPr>
      <w:r w:rsidRPr="00423931">
        <w:rPr>
          <w:rFonts w:ascii="Tahoma" w:hAnsi="Tahoma" w:cs="Tahoma"/>
          <w:i/>
          <w:spacing w:val="-4"/>
          <w:sz w:val="22"/>
          <w:szCs w:val="24"/>
          <w:lang w:val="es-CO"/>
        </w:rPr>
        <w:t>“13. Posteriormente, la Sentencia T-007 de 2010, volvió a pronunciarse sobre las peculiaridades que un perjuicio que alguien alegue haber padecido debe tener para ser considerado por esta Corporación como irremediable, remitiéndose a lo que en dicho fallo se identifica como una línea jurisprudencial que viene de la Sentencia T-043 de 2007, exponiendo que:</w:t>
      </w:r>
    </w:p>
    <w:p w:rsidR="008C2F91" w:rsidRPr="001E72AE" w:rsidRDefault="008C2F91"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 xml:space="preserve"> </w:t>
      </w:r>
    </w:p>
    <w:p w:rsidR="008C2F91" w:rsidRPr="001E72AE" w:rsidRDefault="008C2F91" w:rsidP="00423931">
      <w:pPr>
        <w:ind w:left="851" w:right="845"/>
        <w:jc w:val="both"/>
        <w:rPr>
          <w:rFonts w:ascii="Tahoma" w:hAnsi="Tahoma" w:cs="Tahoma"/>
          <w:i/>
          <w:spacing w:val="-4"/>
          <w:sz w:val="22"/>
          <w:szCs w:val="24"/>
        </w:rPr>
      </w:pPr>
      <w:r w:rsidRPr="001E72AE">
        <w:rPr>
          <w:rFonts w:ascii="Tahoma" w:hAnsi="Tahoma" w:cs="Tahoma"/>
          <w:i/>
          <w:spacing w:val="-4"/>
          <w:sz w:val="22"/>
          <w:szCs w:val="24"/>
          <w:lang w:val="es-CO"/>
        </w:rPr>
        <w:t>“En lo relativo a los requisitos para la acreditación de la inminencia de perjuicio irremediable, también existe una doctrina constitucional consolidada, la cual prevé que para que resulte comprobado este requisito debe acreditarse en el caso concreto que (i) se esté ante un perjuicio inminente o próximo o suceder, lo que exige un grado suficiente de certeza respecto de los hechos y la causa del daño; (</w:t>
      </w:r>
      <w:proofErr w:type="spellStart"/>
      <w:r w:rsidRPr="001E72AE">
        <w:rPr>
          <w:rFonts w:ascii="Tahoma" w:hAnsi="Tahoma" w:cs="Tahoma"/>
          <w:i/>
          <w:spacing w:val="-4"/>
          <w:sz w:val="22"/>
          <w:szCs w:val="24"/>
          <w:lang w:val="es-CO"/>
        </w:rPr>
        <w:t>ii</w:t>
      </w:r>
      <w:proofErr w:type="spellEnd"/>
      <w:r w:rsidRPr="001E72AE">
        <w:rPr>
          <w:rFonts w:ascii="Tahoma" w:hAnsi="Tahoma" w:cs="Tahoma"/>
          <w:i/>
          <w:spacing w:val="-4"/>
          <w:sz w:val="22"/>
          <w:szCs w:val="24"/>
          <w:lang w:val="es-CO"/>
        </w:rPr>
        <w:t>) el perjuicio debe ser grave, esto es, que conlleve la afectación de un bien susceptible de determinación jurídica, altamente significativo para la persona; (</w:t>
      </w:r>
      <w:proofErr w:type="spellStart"/>
      <w:r w:rsidRPr="001E72AE">
        <w:rPr>
          <w:rFonts w:ascii="Tahoma" w:hAnsi="Tahoma" w:cs="Tahoma"/>
          <w:i/>
          <w:spacing w:val="-4"/>
          <w:sz w:val="22"/>
          <w:szCs w:val="24"/>
          <w:lang w:val="es-CO"/>
        </w:rPr>
        <w:t>iii</w:t>
      </w:r>
      <w:proofErr w:type="spellEnd"/>
      <w:r w:rsidRPr="001E72AE">
        <w:rPr>
          <w:rFonts w:ascii="Tahoma" w:hAnsi="Tahoma" w:cs="Tahoma"/>
          <w:i/>
          <w:spacing w:val="-4"/>
          <w:sz w:val="22"/>
          <w:szCs w:val="24"/>
          <w:lang w:val="es-CO"/>
        </w:rPr>
        <w:t>) se requieran de medidas urgentes para superar el daño, las cuales deben ser adecuadas frente a la inminencia del perjuicio y, a su vez, deben considerar las circunstancias particulares del caso; y (</w:t>
      </w:r>
      <w:proofErr w:type="spellStart"/>
      <w:r w:rsidRPr="001E72AE">
        <w:rPr>
          <w:rFonts w:ascii="Tahoma" w:hAnsi="Tahoma" w:cs="Tahoma"/>
          <w:i/>
          <w:spacing w:val="-4"/>
          <w:sz w:val="22"/>
          <w:szCs w:val="24"/>
          <w:lang w:val="es-CO"/>
        </w:rPr>
        <w:t>iv</w:t>
      </w:r>
      <w:proofErr w:type="spellEnd"/>
      <w:r w:rsidRPr="001E72AE">
        <w:rPr>
          <w:rFonts w:ascii="Tahoma" w:hAnsi="Tahoma" w:cs="Tahoma"/>
          <w:i/>
          <w:spacing w:val="-4"/>
          <w:sz w:val="22"/>
          <w:szCs w:val="24"/>
          <w:lang w:val="es-CO"/>
        </w:rPr>
        <w:t>) las medidas de protección deben ser impostergables, lo que significa que deben responder a condiciones de oportunidad y eficacia, que eviten la consumación del daño irreparable (…) la evaluación de los requisitos anteriores en el caso concreto no corresponde a un simple escrutinio fáctico, sino que debe tener en cuenta las circunstancias particulares del interesado (...) Especialmente, deberá analizarse si el afectado pertenece a alguna de las categorías sujetas a la especial protección del Estado. (…) tratándose de sujetos de especial protección, el concepto de perjuicio irremediable debe ser interpretado en forma mucho más amplia (…) es necesario atender las particularidades de la</w:t>
      </w:r>
      <w:r w:rsidRPr="001E72AE">
        <w:rPr>
          <w:rFonts w:ascii="Tahoma" w:hAnsi="Tahoma" w:cs="Tahoma"/>
          <w:i/>
          <w:spacing w:val="-4"/>
          <w:sz w:val="24"/>
          <w:szCs w:val="24"/>
        </w:rPr>
        <w:t xml:space="preserve"> </w:t>
      </w:r>
      <w:r w:rsidRPr="001E72AE">
        <w:rPr>
          <w:rFonts w:ascii="Tahoma" w:hAnsi="Tahoma" w:cs="Tahoma"/>
          <w:i/>
          <w:spacing w:val="-4"/>
          <w:sz w:val="22"/>
          <w:szCs w:val="24"/>
          <w:lang w:val="es-CO"/>
        </w:rPr>
        <w:t>persona individualmente considerada, esto es, en el caso concreto</w:t>
      </w:r>
      <w:r w:rsidRPr="001E72AE">
        <w:rPr>
          <w:rFonts w:ascii="Tahoma" w:hAnsi="Tahoma" w:cs="Tahoma"/>
          <w:i/>
          <w:spacing w:val="-4"/>
          <w:sz w:val="22"/>
          <w:szCs w:val="24"/>
        </w:rPr>
        <w:t>”.</w:t>
      </w:r>
      <w:r w:rsidRPr="001E72AE">
        <w:rPr>
          <w:rStyle w:val="Refdenotaalpie"/>
          <w:rFonts w:ascii="Tahoma" w:hAnsi="Tahoma" w:cs="Tahoma"/>
          <w:spacing w:val="-4"/>
          <w:sz w:val="22"/>
          <w:szCs w:val="24"/>
        </w:rPr>
        <w:t xml:space="preserve"> </w:t>
      </w:r>
      <w:r w:rsidRPr="001E72AE">
        <w:rPr>
          <w:rStyle w:val="Refdenotaalpie"/>
          <w:rFonts w:ascii="Tahoma" w:hAnsi="Tahoma" w:cs="Tahoma"/>
          <w:spacing w:val="-4"/>
          <w:sz w:val="22"/>
          <w:szCs w:val="24"/>
        </w:rPr>
        <w:footnoteReference w:id="10"/>
      </w:r>
    </w:p>
    <w:p w:rsidR="008C2F91" w:rsidRPr="001E72AE" w:rsidRDefault="008C2F91" w:rsidP="001E72AE">
      <w:pPr>
        <w:tabs>
          <w:tab w:val="left" w:pos="7788"/>
        </w:tabs>
        <w:suppressAutoHyphens/>
        <w:spacing w:line="276" w:lineRule="auto"/>
        <w:jc w:val="both"/>
        <w:rPr>
          <w:rFonts w:ascii="Tahoma" w:hAnsi="Tahoma" w:cs="Tahoma"/>
          <w:spacing w:val="-4"/>
          <w:sz w:val="24"/>
          <w:szCs w:val="24"/>
        </w:rPr>
      </w:pPr>
    </w:p>
    <w:p w:rsidR="008C2F91" w:rsidRPr="001E72AE" w:rsidRDefault="008C2F91" w:rsidP="001E72AE">
      <w:pPr>
        <w:tabs>
          <w:tab w:val="left" w:pos="7788"/>
        </w:tabs>
        <w:suppressAutoHyphens/>
        <w:spacing w:line="276" w:lineRule="auto"/>
        <w:jc w:val="both"/>
        <w:rPr>
          <w:rFonts w:ascii="Tahoma" w:hAnsi="Tahoma" w:cs="Tahoma"/>
          <w:spacing w:val="-4"/>
          <w:sz w:val="24"/>
          <w:szCs w:val="24"/>
          <w:lang w:val="es-ES"/>
        </w:rPr>
      </w:pPr>
      <w:r w:rsidRPr="001E72AE">
        <w:rPr>
          <w:rFonts w:ascii="Tahoma" w:hAnsi="Tahoma" w:cs="Tahoma"/>
          <w:spacing w:val="-4"/>
          <w:sz w:val="24"/>
          <w:szCs w:val="24"/>
        </w:rPr>
        <w:t>En este asunto, no se evidencia alguna amenaza con la gravedad requerida para deducir la existencia de un perjuicio irremediable y que justifique adoptar medidas urgentes mientras la jurisdicción ordinaria se pronuncia al respecto, porque si bien</w:t>
      </w:r>
      <w:r w:rsidRPr="001E72AE">
        <w:rPr>
          <w:rFonts w:ascii="Tahoma" w:hAnsi="Tahoma" w:cs="Tahoma"/>
          <w:spacing w:val="-4"/>
          <w:sz w:val="24"/>
          <w:szCs w:val="24"/>
          <w:lang w:val="es-ES"/>
        </w:rPr>
        <w:t xml:space="preserve"> </w:t>
      </w:r>
      <w:r w:rsidR="001051A6" w:rsidRPr="001E72AE">
        <w:rPr>
          <w:rFonts w:ascii="Tahoma" w:hAnsi="Tahoma" w:cs="Tahoma"/>
          <w:spacing w:val="-4"/>
          <w:sz w:val="24"/>
          <w:szCs w:val="24"/>
          <w:lang w:val="es-ES"/>
        </w:rPr>
        <w:t>el accionante es un</w:t>
      </w:r>
      <w:r w:rsidR="00942C79" w:rsidRPr="001E72AE">
        <w:rPr>
          <w:rFonts w:ascii="Tahoma" w:hAnsi="Tahoma" w:cs="Tahoma"/>
          <w:spacing w:val="-4"/>
          <w:sz w:val="24"/>
          <w:szCs w:val="24"/>
          <w:lang w:val="es-ES"/>
        </w:rPr>
        <w:t xml:space="preserve">a persona </w:t>
      </w:r>
      <w:r w:rsidR="001051A6" w:rsidRPr="001E72AE">
        <w:rPr>
          <w:rFonts w:ascii="Tahoma" w:hAnsi="Tahoma" w:cs="Tahoma"/>
          <w:spacing w:val="-4"/>
          <w:sz w:val="24"/>
          <w:szCs w:val="24"/>
          <w:lang w:val="es-ES"/>
        </w:rPr>
        <w:t>de especial protección,</w:t>
      </w:r>
      <w:r w:rsidR="004D2AC8" w:rsidRPr="001E72AE">
        <w:rPr>
          <w:rFonts w:ascii="Tahoma" w:hAnsi="Tahoma" w:cs="Tahoma"/>
          <w:spacing w:val="-4"/>
          <w:sz w:val="24"/>
          <w:szCs w:val="24"/>
          <w:lang w:val="es-ES"/>
        </w:rPr>
        <w:t xml:space="preserve"> también</w:t>
      </w:r>
      <w:r w:rsidR="001051A6" w:rsidRPr="001E72AE">
        <w:rPr>
          <w:rFonts w:ascii="Tahoma" w:hAnsi="Tahoma" w:cs="Tahoma"/>
          <w:spacing w:val="-4"/>
          <w:sz w:val="24"/>
          <w:szCs w:val="24"/>
          <w:lang w:val="es-ES"/>
        </w:rPr>
        <w:t xml:space="preserve"> se encuentra demostrado que es beneficiario de una pensión por invalidez, y por tanto se puede presumir que, a partir de ello, está en capacidad de satisfacer sus necesidades básicas, máxime que no demostró cómo la falta del incremento a su mesada pensional, así como la ausencia de la entrega de algunos subsidios a que dice tener derecho, le afecten su derecho al mínimo vital.</w:t>
      </w:r>
    </w:p>
    <w:p w:rsidR="00844B57" w:rsidRPr="001E72AE" w:rsidRDefault="00844B57" w:rsidP="001E72AE">
      <w:pPr>
        <w:pStyle w:val="sangria"/>
        <w:tabs>
          <w:tab w:val="left" w:pos="7788"/>
        </w:tabs>
        <w:spacing w:before="0" w:beforeAutospacing="0" w:after="0" w:afterAutospacing="0" w:line="276" w:lineRule="auto"/>
        <w:jc w:val="both"/>
        <w:rPr>
          <w:rFonts w:ascii="Tahoma" w:hAnsi="Tahoma" w:cs="Tahoma"/>
          <w:i/>
          <w:spacing w:val="-4"/>
        </w:rPr>
      </w:pPr>
    </w:p>
    <w:p w:rsidR="001051A6" w:rsidRPr="001E72AE" w:rsidRDefault="001051A6" w:rsidP="001E72AE">
      <w:pPr>
        <w:pStyle w:val="sangria"/>
        <w:tabs>
          <w:tab w:val="left" w:pos="7788"/>
        </w:tabs>
        <w:spacing w:before="0" w:beforeAutospacing="0" w:after="0" w:afterAutospacing="0" w:line="276" w:lineRule="auto"/>
        <w:jc w:val="both"/>
        <w:rPr>
          <w:rFonts w:ascii="Tahoma" w:hAnsi="Tahoma" w:cs="Tahoma"/>
          <w:spacing w:val="-4"/>
        </w:rPr>
      </w:pPr>
      <w:r w:rsidRPr="001E72AE">
        <w:rPr>
          <w:rFonts w:ascii="Tahoma" w:hAnsi="Tahoma" w:cs="Tahoma"/>
          <w:spacing w:val="-4"/>
        </w:rPr>
        <w:t>7. El promotor de la demanda constitucional también alega</w:t>
      </w:r>
      <w:r w:rsidR="000C73AC" w:rsidRPr="001E72AE">
        <w:rPr>
          <w:rFonts w:ascii="Tahoma" w:hAnsi="Tahoma" w:cs="Tahoma"/>
          <w:spacing w:val="-4"/>
        </w:rPr>
        <w:t xml:space="preserve"> la vulneración a su derecho a realizar peticiones</w:t>
      </w:r>
      <w:r w:rsidR="004D2AC8" w:rsidRPr="001E72AE">
        <w:rPr>
          <w:rFonts w:ascii="Tahoma" w:hAnsi="Tahoma" w:cs="Tahoma"/>
          <w:spacing w:val="-4"/>
        </w:rPr>
        <w:t>,</w:t>
      </w:r>
      <w:r w:rsidRPr="001E72AE">
        <w:rPr>
          <w:rFonts w:ascii="Tahoma" w:hAnsi="Tahoma" w:cs="Tahoma"/>
          <w:spacing w:val="-4"/>
        </w:rPr>
        <w:t xml:space="preserve"> por parte del Presidente de la República.</w:t>
      </w:r>
    </w:p>
    <w:p w:rsidR="00437D03" w:rsidRPr="001E72AE" w:rsidRDefault="00437D03" w:rsidP="001E72AE">
      <w:pPr>
        <w:pStyle w:val="sangria"/>
        <w:tabs>
          <w:tab w:val="left" w:pos="7788"/>
        </w:tabs>
        <w:spacing w:before="0" w:beforeAutospacing="0" w:after="0" w:afterAutospacing="0" w:line="276" w:lineRule="auto"/>
        <w:jc w:val="both"/>
        <w:rPr>
          <w:rFonts w:ascii="Tahoma" w:hAnsi="Tahoma" w:cs="Tahoma"/>
          <w:spacing w:val="-4"/>
        </w:rPr>
      </w:pPr>
    </w:p>
    <w:p w:rsidR="000C73AC" w:rsidRPr="001E72AE" w:rsidRDefault="00A21EC2" w:rsidP="001E72AE">
      <w:pPr>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 xml:space="preserve">7.1 </w:t>
      </w:r>
      <w:r w:rsidR="000C73AC" w:rsidRPr="001E72AE">
        <w:rPr>
          <w:rFonts w:ascii="Tahoma" w:hAnsi="Tahoma" w:cs="Tahoma"/>
          <w:spacing w:val="-4"/>
          <w:sz w:val="24"/>
          <w:szCs w:val="24"/>
        </w:rPr>
        <w:t xml:space="preserve">Sobre esa garantía </w:t>
      </w:r>
      <w:r w:rsidRPr="001E72AE">
        <w:rPr>
          <w:rFonts w:ascii="Tahoma" w:hAnsi="Tahoma" w:cs="Tahoma"/>
          <w:spacing w:val="-4"/>
          <w:sz w:val="24"/>
          <w:szCs w:val="24"/>
        </w:rPr>
        <w:t>la Corte Constitucional ha sostenido</w:t>
      </w:r>
      <w:r w:rsidR="000C73AC" w:rsidRPr="001E72AE">
        <w:rPr>
          <w:rFonts w:ascii="Tahoma" w:hAnsi="Tahoma" w:cs="Tahoma"/>
          <w:iCs/>
          <w:spacing w:val="-4"/>
          <w:sz w:val="24"/>
          <w:szCs w:val="24"/>
          <w:vertAlign w:val="superscript"/>
          <w:lang w:val="en-US"/>
        </w:rPr>
        <w:footnoteReference w:id="11"/>
      </w:r>
      <w:r w:rsidR="000C73AC" w:rsidRPr="001E72AE">
        <w:rPr>
          <w:rFonts w:ascii="Tahoma" w:hAnsi="Tahoma" w:cs="Tahoma"/>
          <w:spacing w:val="-4"/>
          <w:sz w:val="24"/>
          <w:szCs w:val="24"/>
        </w:rPr>
        <w:t>:</w:t>
      </w:r>
    </w:p>
    <w:p w:rsidR="000C73AC" w:rsidRPr="001E72AE" w:rsidRDefault="000C73AC" w:rsidP="001E72AE">
      <w:pPr>
        <w:spacing w:line="276" w:lineRule="auto"/>
        <w:jc w:val="both"/>
        <w:rPr>
          <w:rFonts w:ascii="Tahoma" w:hAnsi="Tahoma" w:cs="Tahoma"/>
          <w:spacing w:val="-4"/>
          <w:sz w:val="24"/>
          <w:szCs w:val="24"/>
        </w:rPr>
      </w:pPr>
    </w:p>
    <w:p w:rsidR="000C73AC" w:rsidRPr="001E72AE" w:rsidRDefault="000C73AC" w:rsidP="001E72AE">
      <w:pPr>
        <w:ind w:left="426" w:right="420"/>
        <w:jc w:val="both"/>
        <w:rPr>
          <w:rFonts w:ascii="Tahoma" w:hAnsi="Tahoma" w:cs="Tahoma"/>
          <w:i/>
          <w:spacing w:val="-4"/>
          <w:sz w:val="22"/>
          <w:szCs w:val="24"/>
          <w:lang w:val="es-CO"/>
        </w:rPr>
      </w:pPr>
      <w:r w:rsidRPr="001E72AE">
        <w:rPr>
          <w:rFonts w:ascii="Tahoma" w:hAnsi="Tahoma" w:cs="Tahoma"/>
          <w:i/>
          <w:spacing w:val="-4"/>
          <w:sz w:val="22"/>
          <w:szCs w:val="24"/>
          <w:lang w:val="es-CO"/>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0C73AC" w:rsidRPr="001E72AE" w:rsidRDefault="000C73AC" w:rsidP="001E72AE">
      <w:pPr>
        <w:ind w:left="426" w:right="420"/>
        <w:jc w:val="both"/>
        <w:rPr>
          <w:rFonts w:ascii="Tahoma" w:hAnsi="Tahoma" w:cs="Tahoma"/>
          <w:i/>
          <w:spacing w:val="-4"/>
          <w:sz w:val="22"/>
          <w:szCs w:val="24"/>
          <w:lang w:val="es-CO"/>
        </w:rPr>
      </w:pPr>
    </w:p>
    <w:p w:rsidR="000C73AC" w:rsidRPr="001E72AE" w:rsidRDefault="000C73AC" w:rsidP="001E72AE">
      <w:pPr>
        <w:ind w:left="426" w:right="420"/>
        <w:jc w:val="both"/>
        <w:rPr>
          <w:rFonts w:ascii="Tahoma" w:hAnsi="Tahoma" w:cs="Tahoma"/>
          <w:i/>
          <w:spacing w:val="-4"/>
          <w:sz w:val="24"/>
          <w:szCs w:val="24"/>
        </w:rPr>
      </w:pPr>
      <w:r w:rsidRPr="001E72AE">
        <w:rPr>
          <w:rFonts w:ascii="Tahoma" w:hAnsi="Tahoma" w:cs="Tahoma"/>
          <w:i/>
          <w:spacing w:val="-4"/>
          <w:sz w:val="24"/>
          <w:szCs w:val="24"/>
        </w:rPr>
        <w:t>Del mismo modo, la jurisprudencia</w:t>
      </w:r>
      <w:r w:rsidRPr="001E72AE">
        <w:rPr>
          <w:rStyle w:val="Refdenotaalpie"/>
          <w:rFonts w:ascii="Tahoma" w:hAnsi="Tahoma" w:cs="Tahoma"/>
          <w:i/>
          <w:spacing w:val="-4"/>
          <w:sz w:val="24"/>
          <w:szCs w:val="24"/>
        </w:rPr>
        <w:footnoteReference w:id="12"/>
      </w:r>
      <w:r w:rsidRPr="001E72AE">
        <w:rPr>
          <w:rFonts w:ascii="Tahoma" w:hAnsi="Tahoma" w:cs="Tahoma"/>
          <w:i/>
          <w:spacing w:val="-4"/>
          <w:sz w:val="24"/>
          <w:szCs w:val="24"/>
        </w:rPr>
        <w:t xml:space="preserve"> constitucional ha reiterado que el núcleo esencial del derecho de petición comporta los siguientes elementos</w:t>
      </w:r>
      <w:r w:rsidRPr="001E72AE">
        <w:rPr>
          <w:rStyle w:val="Refdenotaalpie"/>
          <w:rFonts w:ascii="Tahoma" w:hAnsi="Tahoma" w:cs="Tahoma"/>
          <w:i/>
          <w:spacing w:val="-4"/>
          <w:sz w:val="24"/>
          <w:szCs w:val="24"/>
        </w:rPr>
        <w:footnoteReference w:id="13"/>
      </w:r>
      <w:r w:rsidRPr="001E72AE">
        <w:rPr>
          <w:rFonts w:ascii="Tahoma" w:hAnsi="Tahoma" w:cs="Tahoma"/>
          <w:i/>
          <w:spacing w:val="-4"/>
          <w:sz w:val="24"/>
          <w:szCs w:val="24"/>
        </w:rPr>
        <w:t>:</w:t>
      </w:r>
    </w:p>
    <w:p w:rsidR="000C73AC" w:rsidRPr="001E72AE" w:rsidRDefault="000C73AC" w:rsidP="001E72AE">
      <w:pPr>
        <w:ind w:left="426" w:right="420"/>
        <w:jc w:val="both"/>
        <w:rPr>
          <w:rFonts w:ascii="Tahoma" w:hAnsi="Tahoma" w:cs="Tahoma"/>
          <w:i/>
          <w:spacing w:val="-4"/>
          <w:sz w:val="24"/>
          <w:szCs w:val="24"/>
        </w:rPr>
      </w:pPr>
    </w:p>
    <w:p w:rsidR="000C73AC" w:rsidRPr="001E72AE" w:rsidRDefault="000C73AC" w:rsidP="001E72AE">
      <w:pPr>
        <w:ind w:left="851" w:right="845"/>
        <w:jc w:val="both"/>
        <w:rPr>
          <w:rFonts w:ascii="Tahoma" w:hAnsi="Tahoma" w:cs="Tahoma"/>
          <w:spacing w:val="-4"/>
          <w:sz w:val="22"/>
          <w:szCs w:val="24"/>
        </w:rPr>
      </w:pPr>
      <w:r w:rsidRPr="001E72AE">
        <w:rPr>
          <w:rFonts w:ascii="Tahoma" w:hAnsi="Tahoma" w:cs="Tahoma"/>
          <w:i/>
          <w:spacing w:val="-4"/>
          <w:sz w:val="22"/>
          <w:szCs w:val="24"/>
        </w:rPr>
        <w:t>(i) Formulación de la Petición, esto es, la posibilidad cierta y efectiva de dirigir solicitudes respetuosas a las autoridades y a los particulares, sin que les sea dado negarse a recibirlas o a tramitarlas</w:t>
      </w:r>
      <w:r w:rsidRPr="001E72AE">
        <w:rPr>
          <w:rStyle w:val="Refdenotaalpie"/>
          <w:rFonts w:ascii="Tahoma" w:hAnsi="Tahoma" w:cs="Tahoma"/>
          <w:i/>
          <w:spacing w:val="-4"/>
          <w:sz w:val="22"/>
          <w:szCs w:val="24"/>
        </w:rPr>
        <w:footnoteReference w:id="14"/>
      </w:r>
      <w:r w:rsidRPr="001E72AE">
        <w:rPr>
          <w:rFonts w:ascii="Tahoma" w:hAnsi="Tahoma" w:cs="Tahoma"/>
          <w:i/>
          <w:spacing w:val="-4"/>
          <w:sz w:val="22"/>
          <w:szCs w:val="24"/>
        </w:rPr>
        <w:t>; (</w:t>
      </w:r>
      <w:proofErr w:type="spellStart"/>
      <w:r w:rsidRPr="001E72AE">
        <w:rPr>
          <w:rFonts w:ascii="Tahoma" w:hAnsi="Tahoma" w:cs="Tahoma"/>
          <w:i/>
          <w:spacing w:val="-4"/>
          <w:sz w:val="22"/>
          <w:szCs w:val="24"/>
        </w:rPr>
        <w:t>ii</w:t>
      </w:r>
      <w:proofErr w:type="spellEnd"/>
      <w:r w:rsidRPr="001E72AE">
        <w:rPr>
          <w:rFonts w:ascii="Tahoma" w:hAnsi="Tahoma" w:cs="Tahoma"/>
          <w:i/>
          <w:spacing w:val="-4"/>
          <w:sz w:val="22"/>
          <w:szCs w:val="24"/>
        </w:rPr>
        <w:t>) Pronta Resolución, es decir, la definición de fondo del asunto planteado dentro de un término razonable</w:t>
      </w:r>
      <w:r w:rsidRPr="001E72AE">
        <w:rPr>
          <w:rStyle w:val="Refdenotaalpie"/>
          <w:rFonts w:ascii="Tahoma" w:hAnsi="Tahoma" w:cs="Tahoma"/>
          <w:i/>
          <w:spacing w:val="-4"/>
          <w:sz w:val="22"/>
          <w:szCs w:val="24"/>
        </w:rPr>
        <w:footnoteReference w:id="15"/>
      </w:r>
      <w:r w:rsidRPr="001E72AE">
        <w:rPr>
          <w:rFonts w:ascii="Tahoma" w:hAnsi="Tahoma" w:cs="Tahoma"/>
          <w:i/>
          <w:spacing w:val="-4"/>
          <w:sz w:val="22"/>
          <w:szCs w:val="24"/>
        </w:rPr>
        <w:t>,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1E72AE">
        <w:rPr>
          <w:rStyle w:val="Refdenotaalpie"/>
          <w:rFonts w:ascii="Tahoma" w:hAnsi="Tahoma" w:cs="Tahoma"/>
          <w:i/>
          <w:spacing w:val="-4"/>
          <w:sz w:val="22"/>
          <w:szCs w:val="24"/>
        </w:rPr>
        <w:footnoteReference w:id="16"/>
      </w:r>
      <w:r w:rsidRPr="001E72AE">
        <w:rPr>
          <w:rFonts w:ascii="Tahoma" w:hAnsi="Tahoma" w:cs="Tahoma"/>
          <w:i/>
          <w:spacing w:val="-4"/>
          <w:sz w:val="22"/>
          <w:szCs w:val="24"/>
        </w:rPr>
        <w:t>; (</w:t>
      </w:r>
      <w:proofErr w:type="spellStart"/>
      <w:r w:rsidRPr="001E72AE">
        <w:rPr>
          <w:rFonts w:ascii="Tahoma" w:hAnsi="Tahoma" w:cs="Tahoma"/>
          <w:i/>
          <w:spacing w:val="-4"/>
          <w:sz w:val="22"/>
          <w:szCs w:val="24"/>
        </w:rPr>
        <w:t>iii</w:t>
      </w:r>
      <w:proofErr w:type="spellEnd"/>
      <w:r w:rsidRPr="001E72AE">
        <w:rPr>
          <w:rFonts w:ascii="Tahoma" w:hAnsi="Tahoma" w:cs="Tahoma"/>
          <w:i/>
          <w:spacing w:val="-4"/>
          <w:sz w:val="22"/>
          <w:szCs w:val="24"/>
        </w:rPr>
        <w:t>)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w:t>
      </w:r>
      <w:r w:rsidRPr="001E72AE">
        <w:rPr>
          <w:rStyle w:val="Refdenotaalpie"/>
          <w:rFonts w:ascii="Tahoma" w:hAnsi="Tahoma" w:cs="Tahoma"/>
          <w:i/>
          <w:spacing w:val="-4"/>
          <w:sz w:val="22"/>
          <w:szCs w:val="24"/>
        </w:rPr>
        <w:footnoteReference w:id="17"/>
      </w:r>
      <w:r w:rsidRPr="001E72AE">
        <w:rPr>
          <w:rFonts w:ascii="Tahoma" w:hAnsi="Tahoma" w:cs="Tahoma"/>
          <w:i/>
          <w:spacing w:val="-4"/>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1E72AE">
        <w:rPr>
          <w:rFonts w:ascii="Tahoma" w:hAnsi="Tahoma" w:cs="Tahoma"/>
          <w:i/>
          <w:spacing w:val="-4"/>
          <w:sz w:val="22"/>
          <w:szCs w:val="24"/>
        </w:rPr>
        <w:t>novo</w:t>
      </w:r>
      <w:proofErr w:type="spellEnd"/>
      <w:r w:rsidRPr="001E72AE">
        <w:rPr>
          <w:rFonts w:ascii="Tahoma" w:hAnsi="Tahoma" w:cs="Tahoma"/>
          <w:i/>
          <w:spacing w:val="-4"/>
          <w:sz w:val="22"/>
          <w:szCs w:val="24"/>
        </w:rPr>
        <w:t>, sino que, si resulta relevante, debe darse cuenta del trámite que se ha surtido y de las razones por las cuales la petición resulta o no procedente</w:t>
      </w:r>
      <w:r w:rsidRPr="001E72AE">
        <w:rPr>
          <w:rStyle w:val="Refdenotaalpie"/>
          <w:rFonts w:ascii="Tahoma" w:hAnsi="Tahoma" w:cs="Tahoma"/>
          <w:i/>
          <w:spacing w:val="-4"/>
          <w:sz w:val="22"/>
          <w:szCs w:val="24"/>
        </w:rPr>
        <w:footnoteReference w:id="18"/>
      </w:r>
      <w:r w:rsidRPr="001E72AE">
        <w:rPr>
          <w:rFonts w:ascii="Tahoma" w:hAnsi="Tahoma" w:cs="Tahoma"/>
          <w:i/>
          <w:spacing w:val="-4"/>
          <w:sz w:val="22"/>
          <w:szCs w:val="24"/>
        </w:rPr>
        <w:t>; y (</w:t>
      </w:r>
      <w:proofErr w:type="spellStart"/>
      <w:r w:rsidRPr="001E72AE">
        <w:rPr>
          <w:rFonts w:ascii="Tahoma" w:hAnsi="Tahoma" w:cs="Tahoma"/>
          <w:i/>
          <w:spacing w:val="-4"/>
          <w:sz w:val="22"/>
          <w:szCs w:val="24"/>
        </w:rPr>
        <w:t>iv</w:t>
      </w:r>
      <w:proofErr w:type="spellEnd"/>
      <w:r w:rsidRPr="001E72AE">
        <w:rPr>
          <w:rFonts w:ascii="Tahoma" w:hAnsi="Tahoma" w:cs="Tahoma"/>
          <w:i/>
          <w:spacing w:val="-4"/>
          <w:sz w:val="22"/>
          <w:szCs w:val="24"/>
        </w:rPr>
        <w:t>) Notificación al Peticionario, es decir, la información efectiva del solicitante respecto de la decisión que, con motivo de su petición, se ha producido</w:t>
      </w:r>
      <w:r w:rsidRPr="001E72AE">
        <w:rPr>
          <w:rStyle w:val="Refdenotaalpie"/>
          <w:rFonts w:ascii="Tahoma" w:hAnsi="Tahoma" w:cs="Tahoma"/>
          <w:i/>
          <w:spacing w:val="-4"/>
          <w:sz w:val="22"/>
          <w:szCs w:val="24"/>
        </w:rPr>
        <w:footnoteReference w:id="19"/>
      </w:r>
      <w:r w:rsidRPr="001E72AE">
        <w:rPr>
          <w:rFonts w:ascii="Tahoma" w:hAnsi="Tahoma" w:cs="Tahoma"/>
          <w:i/>
          <w:iCs/>
          <w:spacing w:val="-4"/>
          <w:sz w:val="22"/>
          <w:szCs w:val="24"/>
        </w:rPr>
        <w:t xml:space="preserve">.” </w:t>
      </w:r>
    </w:p>
    <w:p w:rsidR="00437D03" w:rsidRPr="001E72AE" w:rsidRDefault="00437D03" w:rsidP="001E72AE">
      <w:pPr>
        <w:spacing w:line="276" w:lineRule="auto"/>
        <w:ind w:right="335"/>
        <w:jc w:val="both"/>
        <w:rPr>
          <w:rFonts w:ascii="Tahoma" w:hAnsi="Tahoma" w:cs="Tahoma"/>
          <w:i/>
          <w:spacing w:val="-4"/>
          <w:sz w:val="24"/>
          <w:szCs w:val="24"/>
        </w:rPr>
      </w:pPr>
    </w:p>
    <w:p w:rsidR="00437D03" w:rsidRPr="001E72AE" w:rsidRDefault="00A21EC2" w:rsidP="001E72AE">
      <w:pPr>
        <w:widowControl w:val="0"/>
        <w:tabs>
          <w:tab w:val="left" w:pos="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 xml:space="preserve">7.2 La Ley 1755 de 2015 determina </w:t>
      </w:r>
      <w:r w:rsidR="00437D03" w:rsidRPr="001E72AE">
        <w:rPr>
          <w:rFonts w:ascii="Tahoma" w:hAnsi="Tahoma" w:cs="Tahoma"/>
          <w:spacing w:val="-4"/>
          <w:sz w:val="24"/>
          <w:szCs w:val="24"/>
        </w:rPr>
        <w:t xml:space="preserve">que toda persona tiene derecho a presentar peticiones a las autoridades, </w:t>
      </w:r>
      <w:r w:rsidRPr="001E72AE">
        <w:rPr>
          <w:rFonts w:ascii="Tahoma" w:hAnsi="Tahoma" w:cs="Tahoma"/>
          <w:spacing w:val="-4"/>
          <w:sz w:val="24"/>
          <w:szCs w:val="24"/>
        </w:rPr>
        <w:t xml:space="preserve">las cuales, en términos generales, deben ser resueltas </w:t>
      </w:r>
      <w:r w:rsidR="00437D03" w:rsidRPr="001E72AE">
        <w:rPr>
          <w:rFonts w:ascii="Tahoma" w:hAnsi="Tahoma" w:cs="Tahoma"/>
          <w:spacing w:val="-4"/>
          <w:sz w:val="24"/>
          <w:szCs w:val="24"/>
        </w:rPr>
        <w:t>dentro de l</w:t>
      </w:r>
      <w:r w:rsidRPr="001E72AE">
        <w:rPr>
          <w:rFonts w:ascii="Tahoma" w:hAnsi="Tahoma" w:cs="Tahoma"/>
          <w:spacing w:val="-4"/>
          <w:sz w:val="24"/>
          <w:szCs w:val="24"/>
        </w:rPr>
        <w:t>os quince días siguientes a su presentación.</w:t>
      </w:r>
      <w:r w:rsidRPr="001E72AE">
        <w:rPr>
          <w:rFonts w:ascii="Tahoma" w:hAnsi="Tahoma" w:cs="Tahoma"/>
          <w:spacing w:val="-4"/>
          <w:sz w:val="24"/>
          <w:szCs w:val="24"/>
          <w:lang w:val="es-ES"/>
        </w:rPr>
        <w:t xml:space="preserve"> En su artículo 21, adem</w:t>
      </w:r>
      <w:r w:rsidR="004D2AC8" w:rsidRPr="001E72AE">
        <w:rPr>
          <w:rFonts w:ascii="Tahoma" w:hAnsi="Tahoma" w:cs="Tahoma"/>
          <w:spacing w:val="-4"/>
          <w:sz w:val="24"/>
          <w:szCs w:val="24"/>
          <w:lang w:val="es-ES"/>
        </w:rPr>
        <w:t>ás,</w:t>
      </w:r>
      <w:r w:rsidRPr="001E72AE">
        <w:rPr>
          <w:rFonts w:ascii="Tahoma" w:hAnsi="Tahoma" w:cs="Tahoma"/>
          <w:spacing w:val="-4"/>
          <w:sz w:val="24"/>
          <w:szCs w:val="24"/>
          <w:lang w:val="es-ES"/>
        </w:rPr>
        <w:t xml:space="preserve"> dispone </w:t>
      </w:r>
      <w:proofErr w:type="gramStart"/>
      <w:r w:rsidRPr="001E72AE">
        <w:rPr>
          <w:rFonts w:ascii="Tahoma" w:hAnsi="Tahoma" w:cs="Tahoma"/>
          <w:spacing w:val="-4"/>
          <w:sz w:val="24"/>
          <w:szCs w:val="24"/>
          <w:lang w:val="es-ES"/>
        </w:rPr>
        <w:t>que</w:t>
      </w:r>
      <w:proofErr w:type="gramEnd"/>
      <w:r w:rsidRPr="001E72AE">
        <w:rPr>
          <w:rFonts w:ascii="Tahoma" w:hAnsi="Tahoma" w:cs="Tahoma"/>
          <w:spacing w:val="-4"/>
          <w:sz w:val="24"/>
          <w:szCs w:val="24"/>
          <w:lang w:val="es-ES"/>
        </w:rPr>
        <w:t xml:space="preserve"> </w:t>
      </w:r>
      <w:r w:rsidR="00437D03" w:rsidRPr="001E72AE">
        <w:rPr>
          <w:rFonts w:ascii="Tahoma" w:hAnsi="Tahoma" w:cs="Tahoma"/>
          <w:spacing w:val="-4"/>
          <w:sz w:val="24"/>
          <w:szCs w:val="24"/>
        </w:rPr>
        <w:t>si la</w:t>
      </w:r>
      <w:r w:rsidRPr="001E72AE">
        <w:rPr>
          <w:rFonts w:ascii="Tahoma" w:hAnsi="Tahoma" w:cs="Tahoma"/>
          <w:spacing w:val="-4"/>
          <w:sz w:val="24"/>
          <w:szCs w:val="24"/>
        </w:rPr>
        <w:t xml:space="preserve"> entidad a la que </w:t>
      </w:r>
      <w:r w:rsidR="00437D03" w:rsidRPr="001E72AE">
        <w:rPr>
          <w:rFonts w:ascii="Tahoma" w:hAnsi="Tahoma" w:cs="Tahoma"/>
          <w:spacing w:val="-4"/>
          <w:sz w:val="24"/>
          <w:szCs w:val="24"/>
        </w:rPr>
        <w:t>se dirige la</w:t>
      </w:r>
      <w:r w:rsidRPr="001E72AE">
        <w:rPr>
          <w:rFonts w:ascii="Tahoma" w:hAnsi="Tahoma" w:cs="Tahoma"/>
          <w:spacing w:val="-4"/>
          <w:sz w:val="24"/>
          <w:szCs w:val="24"/>
        </w:rPr>
        <w:t xml:space="preserve"> solicitud carece de competencia para decidirla,</w:t>
      </w:r>
      <w:r w:rsidR="00437D03" w:rsidRPr="001E72AE">
        <w:rPr>
          <w:rFonts w:ascii="Tahoma" w:hAnsi="Tahoma" w:cs="Tahoma"/>
          <w:spacing w:val="-4"/>
          <w:sz w:val="24"/>
          <w:szCs w:val="24"/>
        </w:rPr>
        <w:t xml:space="preserve"> informará</w:t>
      </w:r>
      <w:r w:rsidRPr="001E72AE">
        <w:rPr>
          <w:rFonts w:ascii="Tahoma" w:hAnsi="Tahoma" w:cs="Tahoma"/>
          <w:spacing w:val="-4"/>
          <w:sz w:val="24"/>
          <w:szCs w:val="24"/>
        </w:rPr>
        <w:t xml:space="preserve"> de ello</w:t>
      </w:r>
      <w:r w:rsidR="00437D03" w:rsidRPr="001E72AE">
        <w:rPr>
          <w:rFonts w:ascii="Tahoma" w:hAnsi="Tahoma" w:cs="Tahoma"/>
          <w:spacing w:val="-4"/>
          <w:sz w:val="24"/>
          <w:szCs w:val="24"/>
        </w:rPr>
        <w:t xml:space="preserve"> al interesado dentro de los cinco días siguientes </w:t>
      </w:r>
      <w:r w:rsidRPr="001E72AE">
        <w:rPr>
          <w:rFonts w:ascii="Tahoma" w:hAnsi="Tahoma" w:cs="Tahoma"/>
          <w:spacing w:val="-4"/>
          <w:sz w:val="24"/>
          <w:szCs w:val="24"/>
        </w:rPr>
        <w:t xml:space="preserve">y dentro de ese plazo </w:t>
      </w:r>
      <w:r w:rsidR="00437D03" w:rsidRPr="001E72AE">
        <w:rPr>
          <w:rFonts w:ascii="Tahoma" w:hAnsi="Tahoma" w:cs="Tahoma"/>
          <w:spacing w:val="-4"/>
          <w:sz w:val="24"/>
          <w:szCs w:val="24"/>
        </w:rPr>
        <w:t xml:space="preserve">remitirá </w:t>
      </w:r>
      <w:r w:rsidRPr="001E72AE">
        <w:rPr>
          <w:rFonts w:ascii="Tahoma" w:hAnsi="Tahoma" w:cs="Tahoma"/>
          <w:spacing w:val="-4"/>
          <w:sz w:val="24"/>
          <w:szCs w:val="24"/>
        </w:rPr>
        <w:t>el asunto</w:t>
      </w:r>
      <w:r w:rsidR="00437D03" w:rsidRPr="001E72AE">
        <w:rPr>
          <w:rFonts w:ascii="Tahoma" w:hAnsi="Tahoma" w:cs="Tahoma"/>
          <w:spacing w:val="-4"/>
          <w:sz w:val="24"/>
          <w:szCs w:val="24"/>
        </w:rPr>
        <w:t xml:space="preserve"> al competente y enviará copia del oficio remisorio al peticionario</w:t>
      </w:r>
      <w:r w:rsidRPr="001E72AE">
        <w:rPr>
          <w:rFonts w:ascii="Tahoma" w:hAnsi="Tahoma" w:cs="Tahoma"/>
          <w:spacing w:val="-4"/>
          <w:sz w:val="24"/>
          <w:szCs w:val="24"/>
        </w:rPr>
        <w:t xml:space="preserve">. El lapso para </w:t>
      </w:r>
      <w:r w:rsidR="00437D03" w:rsidRPr="001E72AE">
        <w:rPr>
          <w:rFonts w:ascii="Tahoma" w:hAnsi="Tahoma" w:cs="Tahoma"/>
          <w:spacing w:val="-4"/>
          <w:sz w:val="24"/>
          <w:szCs w:val="24"/>
        </w:rPr>
        <w:t xml:space="preserve">responder se contará a partir del día siguiente a la recepción de la </w:t>
      </w:r>
      <w:r w:rsidR="004D2AC8" w:rsidRPr="001E72AE">
        <w:rPr>
          <w:rFonts w:ascii="Tahoma" w:hAnsi="Tahoma" w:cs="Tahoma"/>
          <w:spacing w:val="-4"/>
          <w:sz w:val="24"/>
          <w:szCs w:val="24"/>
        </w:rPr>
        <w:t>solicitud</w:t>
      </w:r>
      <w:r w:rsidR="00437D03" w:rsidRPr="001E72AE">
        <w:rPr>
          <w:rFonts w:ascii="Tahoma" w:hAnsi="Tahoma" w:cs="Tahoma"/>
          <w:spacing w:val="-4"/>
          <w:sz w:val="24"/>
          <w:szCs w:val="24"/>
        </w:rPr>
        <w:t xml:space="preserve"> por la autoridad competente.</w:t>
      </w:r>
    </w:p>
    <w:p w:rsidR="00A21EC2" w:rsidRPr="001E72AE" w:rsidRDefault="00A21EC2" w:rsidP="001E72AE">
      <w:pPr>
        <w:spacing w:line="276" w:lineRule="auto"/>
        <w:jc w:val="both"/>
        <w:rPr>
          <w:rFonts w:ascii="Tahoma" w:hAnsi="Tahoma" w:cs="Tahoma"/>
          <w:spacing w:val="-4"/>
          <w:sz w:val="24"/>
          <w:szCs w:val="24"/>
        </w:rPr>
      </w:pPr>
    </w:p>
    <w:p w:rsidR="00A21EC2" w:rsidRPr="001E72AE" w:rsidRDefault="00A21EC2" w:rsidP="001E72AE">
      <w:pPr>
        <w:spacing w:line="276" w:lineRule="auto"/>
        <w:jc w:val="both"/>
        <w:rPr>
          <w:rFonts w:ascii="Tahoma" w:hAnsi="Tahoma" w:cs="Tahoma"/>
          <w:spacing w:val="-4"/>
          <w:sz w:val="24"/>
          <w:szCs w:val="24"/>
        </w:rPr>
      </w:pPr>
      <w:r w:rsidRPr="001E72AE">
        <w:rPr>
          <w:rFonts w:ascii="Tahoma" w:hAnsi="Tahoma" w:cs="Tahoma"/>
          <w:spacing w:val="-4"/>
          <w:sz w:val="24"/>
          <w:szCs w:val="24"/>
          <w:lang w:val="es-ES"/>
        </w:rPr>
        <w:t>Aquel plazo fue ampliado a treinta días por el artículo 5° del Decreto 491 de 2020, durante la vigencia de la Emergencia Sanitaria causada por la pandemia de coronavirus</w:t>
      </w:r>
      <w:r w:rsidR="006E7DFE" w:rsidRPr="001E72AE">
        <w:rPr>
          <w:rStyle w:val="Refdenotaalpie"/>
          <w:rFonts w:ascii="Tahoma" w:hAnsi="Tahoma" w:cs="Tahoma"/>
          <w:spacing w:val="-4"/>
          <w:sz w:val="24"/>
          <w:szCs w:val="24"/>
          <w:lang w:val="es-ES"/>
        </w:rPr>
        <w:footnoteReference w:id="20"/>
      </w:r>
      <w:r w:rsidRPr="001E72AE">
        <w:rPr>
          <w:rFonts w:ascii="Tahoma" w:hAnsi="Tahoma" w:cs="Tahoma"/>
          <w:spacing w:val="-4"/>
          <w:sz w:val="24"/>
          <w:szCs w:val="24"/>
          <w:lang w:val="es-ES"/>
        </w:rPr>
        <w:t>.</w:t>
      </w:r>
    </w:p>
    <w:p w:rsidR="00A21EC2" w:rsidRPr="001E72AE" w:rsidRDefault="00A21EC2" w:rsidP="001E72AE">
      <w:pPr>
        <w:widowControl w:val="0"/>
        <w:tabs>
          <w:tab w:val="left" w:pos="0"/>
        </w:tabs>
        <w:suppressAutoHyphens/>
        <w:spacing w:line="276" w:lineRule="auto"/>
        <w:jc w:val="both"/>
        <w:rPr>
          <w:rFonts w:ascii="Tahoma" w:hAnsi="Tahoma" w:cs="Tahoma"/>
          <w:spacing w:val="-4"/>
          <w:sz w:val="24"/>
          <w:szCs w:val="24"/>
        </w:rPr>
      </w:pPr>
    </w:p>
    <w:p w:rsidR="00437D03" w:rsidRPr="001E72AE" w:rsidRDefault="00A21EC2" w:rsidP="001E72AE">
      <w:pPr>
        <w:widowControl w:val="0"/>
        <w:tabs>
          <w:tab w:val="left" w:pos="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7</w:t>
      </w:r>
      <w:r w:rsidR="00437D03" w:rsidRPr="001E72AE">
        <w:rPr>
          <w:rFonts w:ascii="Tahoma" w:hAnsi="Tahoma" w:cs="Tahoma"/>
          <w:spacing w:val="-4"/>
          <w:sz w:val="24"/>
          <w:szCs w:val="24"/>
        </w:rPr>
        <w:t xml:space="preserve">.3 Las pruebas </w:t>
      </w:r>
      <w:r w:rsidRPr="001E72AE">
        <w:rPr>
          <w:rFonts w:ascii="Tahoma" w:hAnsi="Tahoma" w:cs="Tahoma"/>
          <w:spacing w:val="-4"/>
          <w:sz w:val="24"/>
          <w:szCs w:val="24"/>
        </w:rPr>
        <w:t>incorporadas al expediente acreditan</w:t>
      </w:r>
      <w:r w:rsidR="00E802F7" w:rsidRPr="001E72AE">
        <w:rPr>
          <w:rFonts w:ascii="Tahoma" w:hAnsi="Tahoma" w:cs="Tahoma"/>
          <w:spacing w:val="-4"/>
          <w:sz w:val="24"/>
          <w:szCs w:val="24"/>
        </w:rPr>
        <w:t>, para lo que aquí interesa,</w:t>
      </w:r>
      <w:r w:rsidRPr="001E72AE">
        <w:rPr>
          <w:rFonts w:ascii="Tahoma" w:hAnsi="Tahoma" w:cs="Tahoma"/>
          <w:spacing w:val="-4"/>
          <w:sz w:val="24"/>
          <w:szCs w:val="24"/>
        </w:rPr>
        <w:t xml:space="preserve"> la siguiente situación fáctica:</w:t>
      </w:r>
    </w:p>
    <w:p w:rsidR="00437D03" w:rsidRPr="001E72AE" w:rsidRDefault="00437D03" w:rsidP="001E72AE">
      <w:pPr>
        <w:widowControl w:val="0"/>
        <w:tabs>
          <w:tab w:val="left" w:pos="0"/>
        </w:tabs>
        <w:suppressAutoHyphens/>
        <w:spacing w:line="276" w:lineRule="auto"/>
        <w:jc w:val="both"/>
        <w:rPr>
          <w:rFonts w:ascii="Tahoma" w:hAnsi="Tahoma" w:cs="Tahoma"/>
          <w:spacing w:val="-4"/>
          <w:sz w:val="24"/>
          <w:szCs w:val="24"/>
        </w:rPr>
      </w:pPr>
    </w:p>
    <w:p w:rsidR="00E802F7" w:rsidRPr="001E72AE" w:rsidRDefault="00BA7AAF" w:rsidP="001E72AE">
      <w:pPr>
        <w:widowControl w:val="0"/>
        <w:tabs>
          <w:tab w:val="left" w:pos="0"/>
        </w:tabs>
        <w:suppressAutoHyphens/>
        <w:spacing w:line="276" w:lineRule="auto"/>
        <w:jc w:val="both"/>
        <w:rPr>
          <w:rFonts w:ascii="Tahoma" w:hAnsi="Tahoma" w:cs="Tahoma"/>
          <w:spacing w:val="-4"/>
          <w:sz w:val="24"/>
          <w:szCs w:val="24"/>
          <w:lang w:val="es-CO"/>
        </w:rPr>
      </w:pPr>
      <w:r w:rsidRPr="001E72AE">
        <w:rPr>
          <w:rFonts w:ascii="Tahoma" w:hAnsi="Tahoma" w:cs="Tahoma"/>
          <w:spacing w:val="-4"/>
          <w:sz w:val="24"/>
          <w:szCs w:val="24"/>
        </w:rPr>
        <w:t>7</w:t>
      </w:r>
      <w:r w:rsidR="00437D03" w:rsidRPr="001E72AE">
        <w:rPr>
          <w:rFonts w:ascii="Tahoma" w:hAnsi="Tahoma" w:cs="Tahoma"/>
          <w:spacing w:val="-4"/>
          <w:sz w:val="24"/>
          <w:szCs w:val="24"/>
        </w:rPr>
        <w:t xml:space="preserve">.3.1 </w:t>
      </w:r>
      <w:r w:rsidR="00A21EC2" w:rsidRPr="001E72AE">
        <w:rPr>
          <w:rFonts w:ascii="Tahoma" w:hAnsi="Tahoma" w:cs="Tahoma"/>
          <w:spacing w:val="-4"/>
          <w:sz w:val="24"/>
          <w:szCs w:val="24"/>
        </w:rPr>
        <w:t xml:space="preserve">En escrito </w:t>
      </w:r>
      <w:r w:rsidR="006355B0" w:rsidRPr="001E72AE">
        <w:rPr>
          <w:rFonts w:ascii="Tahoma" w:hAnsi="Tahoma" w:cs="Tahoma"/>
          <w:spacing w:val="-4"/>
          <w:sz w:val="24"/>
          <w:szCs w:val="24"/>
        </w:rPr>
        <w:t>del 1° de febrero de este año</w:t>
      </w:r>
      <w:r w:rsidR="006355B0" w:rsidRPr="001E72AE">
        <w:rPr>
          <w:rFonts w:ascii="Tahoma" w:hAnsi="Tahoma" w:cs="Tahoma"/>
          <w:spacing w:val="-4"/>
          <w:sz w:val="24"/>
          <w:szCs w:val="24"/>
          <w:lang w:val="es-CO"/>
        </w:rPr>
        <w:t>, dirigido al Presidente de la República,</w:t>
      </w:r>
      <w:r w:rsidR="006355B0" w:rsidRPr="001E72AE">
        <w:rPr>
          <w:rFonts w:ascii="Tahoma" w:hAnsi="Tahoma" w:cs="Tahoma"/>
          <w:spacing w:val="-4"/>
          <w:sz w:val="24"/>
          <w:szCs w:val="24"/>
        </w:rPr>
        <w:t xml:space="preserve"> el señor </w:t>
      </w:r>
      <w:r w:rsidR="006355B0" w:rsidRPr="001E72AE">
        <w:rPr>
          <w:rFonts w:ascii="Tahoma" w:hAnsi="Tahoma" w:cs="Tahoma"/>
          <w:spacing w:val="-4"/>
          <w:sz w:val="24"/>
          <w:szCs w:val="24"/>
          <w:lang w:val="es-CO"/>
        </w:rPr>
        <w:t xml:space="preserve">Julio César Quintero Batero puso en conocimiento que en su parecer la Ley 1979 de 2019 desconoce los derechos de los oficiales, suboficiales, agentes de policía y </w:t>
      </w:r>
      <w:r w:rsidR="006355B0" w:rsidRPr="001E72AE">
        <w:rPr>
          <w:rFonts w:ascii="Tahoma" w:hAnsi="Tahoma" w:cs="Tahoma"/>
          <w:spacing w:val="-4"/>
          <w:sz w:val="24"/>
          <w:szCs w:val="24"/>
          <w:lang w:val="es-CO"/>
        </w:rPr>
        <w:lastRenderedPageBreak/>
        <w:t>soldados voluntarios</w:t>
      </w:r>
      <w:r w:rsidR="00E802F7" w:rsidRPr="001E72AE">
        <w:rPr>
          <w:rFonts w:ascii="Tahoma" w:hAnsi="Tahoma" w:cs="Tahoma"/>
          <w:spacing w:val="-4"/>
          <w:sz w:val="24"/>
          <w:szCs w:val="24"/>
          <w:lang w:val="es-CO"/>
        </w:rPr>
        <w:t xml:space="preserve"> heridos en combate</w:t>
      </w:r>
      <w:r w:rsidR="006355B0" w:rsidRPr="001E72AE">
        <w:rPr>
          <w:rFonts w:ascii="Tahoma" w:hAnsi="Tahoma" w:cs="Tahoma"/>
          <w:spacing w:val="-4"/>
          <w:sz w:val="24"/>
          <w:szCs w:val="24"/>
          <w:lang w:val="es-CO"/>
        </w:rPr>
        <w:t xml:space="preserve">, </w:t>
      </w:r>
      <w:r w:rsidR="00E802F7" w:rsidRPr="001E72AE">
        <w:rPr>
          <w:rFonts w:ascii="Tahoma" w:hAnsi="Tahoma" w:cs="Tahoma"/>
          <w:spacing w:val="-4"/>
          <w:sz w:val="24"/>
          <w:szCs w:val="24"/>
          <w:lang w:val="es-CO"/>
        </w:rPr>
        <w:t>ya que</w:t>
      </w:r>
      <w:r w:rsidR="006355B0" w:rsidRPr="001E72AE">
        <w:rPr>
          <w:rFonts w:ascii="Tahoma" w:hAnsi="Tahoma" w:cs="Tahoma"/>
          <w:spacing w:val="-4"/>
          <w:sz w:val="24"/>
          <w:szCs w:val="24"/>
          <w:lang w:val="es-CO"/>
        </w:rPr>
        <w:t xml:space="preserve"> en esa norma el beneficio de incremento a la pensi</w:t>
      </w:r>
      <w:r w:rsidR="00E802F7" w:rsidRPr="001E72AE">
        <w:rPr>
          <w:rFonts w:ascii="Tahoma" w:hAnsi="Tahoma" w:cs="Tahoma"/>
          <w:spacing w:val="-4"/>
          <w:sz w:val="24"/>
          <w:szCs w:val="24"/>
          <w:lang w:val="es-CO"/>
        </w:rPr>
        <w:t xml:space="preserve">ón de invalidez se estipuló solo para soldados profesionales, regulares y patrulleros. También que se han venido eliminando algunos beneficios de aquella población. </w:t>
      </w:r>
    </w:p>
    <w:p w:rsidR="00E802F7" w:rsidRPr="001E72AE" w:rsidRDefault="00E802F7" w:rsidP="001E72AE">
      <w:pPr>
        <w:widowControl w:val="0"/>
        <w:tabs>
          <w:tab w:val="left" w:pos="0"/>
        </w:tabs>
        <w:suppressAutoHyphens/>
        <w:spacing w:line="276" w:lineRule="auto"/>
        <w:jc w:val="both"/>
        <w:rPr>
          <w:rFonts w:ascii="Tahoma" w:hAnsi="Tahoma" w:cs="Tahoma"/>
          <w:spacing w:val="-4"/>
          <w:sz w:val="24"/>
          <w:szCs w:val="24"/>
          <w:lang w:val="es-CO"/>
        </w:rPr>
      </w:pPr>
    </w:p>
    <w:p w:rsidR="00437D03" w:rsidRDefault="00E802F7" w:rsidP="001E72AE">
      <w:pPr>
        <w:widowControl w:val="0"/>
        <w:tabs>
          <w:tab w:val="left" w:pos="0"/>
        </w:tabs>
        <w:suppressAutoHyphens/>
        <w:spacing w:line="276" w:lineRule="auto"/>
        <w:jc w:val="both"/>
        <w:rPr>
          <w:rFonts w:ascii="Tahoma" w:hAnsi="Tahoma" w:cs="Tahoma"/>
          <w:spacing w:val="-4"/>
          <w:sz w:val="24"/>
          <w:szCs w:val="24"/>
          <w:lang w:val="es-CO"/>
        </w:rPr>
      </w:pPr>
      <w:r w:rsidRPr="001E72AE">
        <w:rPr>
          <w:rFonts w:ascii="Tahoma" w:hAnsi="Tahoma" w:cs="Tahoma"/>
          <w:spacing w:val="-4"/>
          <w:sz w:val="24"/>
          <w:szCs w:val="24"/>
          <w:lang w:val="es-CO"/>
        </w:rPr>
        <w:t>Solicitó se adopten las correcciones del caso y que la respuesta sea suministrada por el mismo Presidente, sin que pueda delegar esa responsabilidad, ya que fue el ejecutivo el que dio a conocer a la opinión pública la sanción de la citada ley</w:t>
      </w:r>
      <w:r w:rsidR="004D2AC8" w:rsidRPr="001E72AE">
        <w:rPr>
          <w:rFonts w:ascii="Tahoma" w:hAnsi="Tahoma" w:cs="Tahoma"/>
          <w:spacing w:val="-4"/>
          <w:sz w:val="24"/>
          <w:szCs w:val="24"/>
          <w:lang w:val="es-CO"/>
        </w:rPr>
        <w:t>,</w:t>
      </w:r>
      <w:r w:rsidRPr="001E72AE">
        <w:rPr>
          <w:rFonts w:ascii="Tahoma" w:hAnsi="Tahoma" w:cs="Tahoma"/>
          <w:spacing w:val="-4"/>
          <w:sz w:val="24"/>
          <w:szCs w:val="24"/>
          <w:lang w:val="es-CO"/>
        </w:rPr>
        <w:t xml:space="preserve"> sin indicar que esta favorecía solo a un grupo de miembros de la fuerza pública</w:t>
      </w:r>
      <w:r w:rsidR="00437D03" w:rsidRPr="001E72AE">
        <w:rPr>
          <w:rStyle w:val="Refdenotaalpie"/>
          <w:rFonts w:ascii="Tahoma" w:hAnsi="Tahoma" w:cs="Tahoma"/>
          <w:spacing w:val="-4"/>
          <w:sz w:val="24"/>
          <w:szCs w:val="24"/>
          <w:lang w:val="es-CO"/>
        </w:rPr>
        <w:footnoteReference w:id="21"/>
      </w:r>
      <w:r w:rsidR="00437D03" w:rsidRPr="001E72AE">
        <w:rPr>
          <w:rFonts w:ascii="Tahoma" w:hAnsi="Tahoma" w:cs="Tahoma"/>
          <w:spacing w:val="-4"/>
          <w:sz w:val="24"/>
          <w:szCs w:val="24"/>
          <w:lang w:val="es-CO"/>
        </w:rPr>
        <w:t xml:space="preserve">. </w:t>
      </w:r>
    </w:p>
    <w:p w:rsidR="001E72AE" w:rsidRPr="001E72AE" w:rsidRDefault="001E72AE" w:rsidP="001E72AE">
      <w:pPr>
        <w:widowControl w:val="0"/>
        <w:tabs>
          <w:tab w:val="left" w:pos="0"/>
        </w:tabs>
        <w:suppressAutoHyphens/>
        <w:spacing w:line="276" w:lineRule="auto"/>
        <w:jc w:val="both"/>
        <w:rPr>
          <w:rFonts w:ascii="Tahoma" w:hAnsi="Tahoma" w:cs="Tahoma"/>
          <w:spacing w:val="-4"/>
          <w:sz w:val="24"/>
          <w:szCs w:val="24"/>
          <w:lang w:val="es-CO"/>
        </w:rPr>
      </w:pPr>
    </w:p>
    <w:p w:rsidR="00437D03" w:rsidRPr="001E72AE" w:rsidRDefault="00BA7AAF" w:rsidP="001E72AE">
      <w:pPr>
        <w:widowControl w:val="0"/>
        <w:tabs>
          <w:tab w:val="left" w:pos="0"/>
        </w:tabs>
        <w:suppressAutoHyphens/>
        <w:spacing w:line="276" w:lineRule="auto"/>
        <w:jc w:val="both"/>
        <w:rPr>
          <w:rFonts w:ascii="Tahoma" w:hAnsi="Tahoma" w:cs="Tahoma"/>
          <w:spacing w:val="-4"/>
          <w:sz w:val="24"/>
          <w:szCs w:val="24"/>
          <w:lang w:val="es-CO"/>
        </w:rPr>
      </w:pPr>
      <w:r w:rsidRPr="001E72AE">
        <w:rPr>
          <w:rFonts w:ascii="Tahoma" w:hAnsi="Tahoma" w:cs="Tahoma"/>
          <w:spacing w:val="-4"/>
          <w:sz w:val="24"/>
          <w:szCs w:val="24"/>
          <w:lang w:val="es-CO"/>
        </w:rPr>
        <w:t>7</w:t>
      </w:r>
      <w:r w:rsidR="00437D03" w:rsidRPr="001E72AE">
        <w:rPr>
          <w:rFonts w:ascii="Tahoma" w:hAnsi="Tahoma" w:cs="Tahoma"/>
          <w:spacing w:val="-4"/>
          <w:sz w:val="24"/>
          <w:szCs w:val="24"/>
          <w:lang w:val="es-CO"/>
        </w:rPr>
        <w:t>.3.2 Mediante</w:t>
      </w:r>
      <w:r w:rsidR="00E802F7" w:rsidRPr="001E72AE">
        <w:rPr>
          <w:rFonts w:ascii="Tahoma" w:hAnsi="Tahoma" w:cs="Tahoma"/>
          <w:spacing w:val="-4"/>
          <w:sz w:val="24"/>
          <w:szCs w:val="24"/>
          <w:lang w:val="es-CO"/>
        </w:rPr>
        <w:t xml:space="preserve"> </w:t>
      </w:r>
      <w:r w:rsidRPr="001E72AE">
        <w:rPr>
          <w:rFonts w:ascii="Tahoma" w:hAnsi="Tahoma" w:cs="Tahoma"/>
          <w:spacing w:val="-4"/>
          <w:sz w:val="24"/>
          <w:szCs w:val="24"/>
          <w:lang w:val="es-CO"/>
        </w:rPr>
        <w:t>comunicación</w:t>
      </w:r>
      <w:r w:rsidR="00E802F7" w:rsidRPr="001E72AE">
        <w:rPr>
          <w:rFonts w:ascii="Tahoma" w:hAnsi="Tahoma" w:cs="Tahoma"/>
          <w:spacing w:val="-4"/>
          <w:sz w:val="24"/>
          <w:szCs w:val="24"/>
          <w:lang w:val="es-CO"/>
        </w:rPr>
        <w:t xml:space="preserve"> del 4 de febrero siguiente la Asesora del Grupo de Atención a la Ciudadanía </w:t>
      </w:r>
      <w:r w:rsidRPr="001E72AE">
        <w:rPr>
          <w:rFonts w:ascii="Tahoma" w:hAnsi="Tahoma" w:cs="Tahoma"/>
          <w:spacing w:val="-4"/>
          <w:sz w:val="24"/>
          <w:szCs w:val="24"/>
          <w:lang w:val="es-CO"/>
        </w:rPr>
        <w:t>de la Presidencia de la República le informó al accionante que su solicitud había sido trasladada por competencia al Ministerio de Defensa Nacional</w:t>
      </w:r>
      <w:r w:rsidR="00437D03" w:rsidRPr="001E72AE">
        <w:rPr>
          <w:rStyle w:val="Refdenotaalpie"/>
          <w:rFonts w:ascii="Tahoma" w:hAnsi="Tahoma" w:cs="Tahoma"/>
          <w:spacing w:val="-4"/>
          <w:sz w:val="24"/>
          <w:szCs w:val="24"/>
          <w:lang w:val="es-CO"/>
        </w:rPr>
        <w:footnoteReference w:id="22"/>
      </w:r>
      <w:r w:rsidR="00437D03" w:rsidRPr="001E72AE">
        <w:rPr>
          <w:rFonts w:ascii="Tahoma" w:hAnsi="Tahoma" w:cs="Tahoma"/>
          <w:spacing w:val="-4"/>
          <w:sz w:val="24"/>
          <w:szCs w:val="24"/>
          <w:lang w:val="es-CO"/>
        </w:rPr>
        <w:t xml:space="preserve">. </w:t>
      </w:r>
      <w:r w:rsidRPr="001E72AE">
        <w:rPr>
          <w:rFonts w:ascii="Tahoma" w:hAnsi="Tahoma" w:cs="Tahoma"/>
          <w:spacing w:val="-4"/>
          <w:sz w:val="24"/>
          <w:szCs w:val="24"/>
          <w:lang w:val="es-CO"/>
        </w:rPr>
        <w:t>Con esa respuesta se allegó el oficio remisorio dirigido a la Coordinadora de Atención y Orientación Ciudadana d</w:t>
      </w:r>
      <w:r w:rsidR="004D2AC8" w:rsidRPr="001E72AE">
        <w:rPr>
          <w:rFonts w:ascii="Tahoma" w:hAnsi="Tahoma" w:cs="Tahoma"/>
          <w:spacing w:val="-4"/>
          <w:sz w:val="24"/>
          <w:szCs w:val="24"/>
          <w:lang w:val="es-CO"/>
        </w:rPr>
        <w:t>e esa cartera</w:t>
      </w:r>
      <w:r w:rsidRPr="001E72AE">
        <w:rPr>
          <w:rStyle w:val="Refdenotaalpie"/>
          <w:rFonts w:ascii="Tahoma" w:hAnsi="Tahoma" w:cs="Tahoma"/>
          <w:spacing w:val="-4"/>
          <w:sz w:val="24"/>
          <w:szCs w:val="24"/>
          <w:lang w:val="es-CO"/>
        </w:rPr>
        <w:footnoteReference w:id="23"/>
      </w:r>
      <w:r w:rsidRPr="001E72AE">
        <w:rPr>
          <w:rFonts w:ascii="Tahoma" w:hAnsi="Tahoma" w:cs="Tahoma"/>
          <w:spacing w:val="-4"/>
          <w:sz w:val="24"/>
          <w:szCs w:val="24"/>
          <w:lang w:val="es-CO"/>
        </w:rPr>
        <w:t xml:space="preserve">. </w:t>
      </w:r>
    </w:p>
    <w:p w:rsidR="00437D03" w:rsidRPr="001E72AE" w:rsidRDefault="00437D03"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A7AAF" w:rsidRPr="001E72AE" w:rsidRDefault="00BA7AAF"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7</w:t>
      </w:r>
      <w:r w:rsidR="00437D03" w:rsidRPr="001E72AE">
        <w:rPr>
          <w:rFonts w:ascii="Tahoma" w:hAnsi="Tahoma" w:cs="Tahoma"/>
          <w:spacing w:val="-4"/>
          <w:sz w:val="24"/>
          <w:szCs w:val="24"/>
        </w:rPr>
        <w:t xml:space="preserve">.4 </w:t>
      </w:r>
      <w:r w:rsidRPr="001E72AE">
        <w:rPr>
          <w:rFonts w:ascii="Tahoma" w:hAnsi="Tahoma" w:cs="Tahoma"/>
          <w:spacing w:val="-4"/>
          <w:sz w:val="24"/>
          <w:szCs w:val="24"/>
        </w:rPr>
        <w:t>Surge de estas pruebas</w:t>
      </w:r>
      <w:r w:rsidR="00437D03" w:rsidRPr="001E72AE">
        <w:rPr>
          <w:rFonts w:ascii="Tahoma" w:hAnsi="Tahoma" w:cs="Tahoma"/>
          <w:spacing w:val="-4"/>
          <w:sz w:val="24"/>
          <w:szCs w:val="24"/>
        </w:rPr>
        <w:t xml:space="preserve"> que la respuesta suministrada por la </w:t>
      </w:r>
      <w:r w:rsidRPr="001E72AE">
        <w:rPr>
          <w:rFonts w:ascii="Tahoma" w:hAnsi="Tahoma" w:cs="Tahoma"/>
          <w:spacing w:val="-4"/>
          <w:sz w:val="24"/>
          <w:szCs w:val="24"/>
        </w:rPr>
        <w:t xml:space="preserve">Presidencia de la República </w:t>
      </w:r>
      <w:r w:rsidR="00437D03" w:rsidRPr="001E72AE">
        <w:rPr>
          <w:rFonts w:ascii="Tahoma" w:hAnsi="Tahoma" w:cs="Tahoma"/>
          <w:spacing w:val="-4"/>
          <w:sz w:val="24"/>
          <w:szCs w:val="24"/>
        </w:rPr>
        <w:t xml:space="preserve">cumple los presupuestos </w:t>
      </w:r>
      <w:r w:rsidRPr="001E72AE">
        <w:rPr>
          <w:rFonts w:ascii="Tahoma" w:hAnsi="Tahoma" w:cs="Tahoma"/>
          <w:spacing w:val="-4"/>
          <w:sz w:val="24"/>
          <w:szCs w:val="24"/>
        </w:rPr>
        <w:t xml:space="preserve">legales y </w:t>
      </w:r>
      <w:r w:rsidR="00437D03" w:rsidRPr="001E72AE">
        <w:rPr>
          <w:rFonts w:ascii="Tahoma" w:hAnsi="Tahoma" w:cs="Tahoma"/>
          <w:spacing w:val="-4"/>
          <w:sz w:val="24"/>
          <w:szCs w:val="24"/>
        </w:rPr>
        <w:t xml:space="preserve">jurisprudenciales </w:t>
      </w:r>
      <w:r w:rsidRPr="001E72AE">
        <w:rPr>
          <w:rFonts w:ascii="Tahoma" w:hAnsi="Tahoma" w:cs="Tahoma"/>
          <w:spacing w:val="-4"/>
          <w:sz w:val="24"/>
          <w:szCs w:val="24"/>
        </w:rPr>
        <w:t>ya señalados</w:t>
      </w:r>
      <w:r w:rsidR="00437D03" w:rsidRPr="001E72AE">
        <w:rPr>
          <w:rFonts w:ascii="Tahoma" w:hAnsi="Tahoma" w:cs="Tahoma"/>
          <w:spacing w:val="-4"/>
          <w:sz w:val="24"/>
          <w:szCs w:val="24"/>
        </w:rPr>
        <w:t>, pues</w:t>
      </w:r>
      <w:r w:rsidRPr="001E72AE">
        <w:rPr>
          <w:rFonts w:ascii="Tahoma" w:hAnsi="Tahoma" w:cs="Tahoma"/>
          <w:spacing w:val="-4"/>
          <w:sz w:val="24"/>
          <w:szCs w:val="24"/>
        </w:rPr>
        <w:t xml:space="preserve"> oportunamente le informó al peticionario sobre la falt</w:t>
      </w:r>
      <w:r w:rsidR="004D2AC8" w:rsidRPr="001E72AE">
        <w:rPr>
          <w:rFonts w:ascii="Tahoma" w:hAnsi="Tahoma" w:cs="Tahoma"/>
          <w:spacing w:val="-4"/>
          <w:sz w:val="24"/>
          <w:szCs w:val="24"/>
        </w:rPr>
        <w:t>a de competencia para atender su</w:t>
      </w:r>
      <w:r w:rsidRPr="001E72AE">
        <w:rPr>
          <w:rFonts w:ascii="Tahoma" w:hAnsi="Tahoma" w:cs="Tahoma"/>
          <w:spacing w:val="-4"/>
          <w:sz w:val="24"/>
          <w:szCs w:val="24"/>
        </w:rPr>
        <w:t xml:space="preserve"> solicitud y le envió el oficio remisorio dirigido al Ministerio de Defensa Nacional, como autoridad competente para resolverla.</w:t>
      </w:r>
    </w:p>
    <w:p w:rsidR="000941B8" w:rsidRPr="001E72AE" w:rsidRDefault="000941B8"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0941B8" w:rsidRPr="001E72AE" w:rsidRDefault="000941B8" w:rsidP="001E7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 xml:space="preserve">Ahora bien, el hecho de que el ejecutivo haya </w:t>
      </w:r>
      <w:r w:rsidR="00942C79" w:rsidRPr="001E72AE">
        <w:rPr>
          <w:rFonts w:ascii="Tahoma" w:hAnsi="Tahoma" w:cs="Tahoma"/>
          <w:spacing w:val="-4"/>
          <w:sz w:val="24"/>
          <w:szCs w:val="24"/>
        </w:rPr>
        <w:t>sancionado</w:t>
      </w:r>
      <w:r w:rsidRPr="001E72AE">
        <w:rPr>
          <w:rFonts w:ascii="Tahoma" w:hAnsi="Tahoma" w:cs="Tahoma"/>
          <w:spacing w:val="-4"/>
          <w:sz w:val="24"/>
          <w:szCs w:val="24"/>
        </w:rPr>
        <w:t xml:space="preserve"> la mencionada ley, no permite fijar en él la competencia para resolver cualquier tipo de peticiones que se formulen </w:t>
      </w:r>
      <w:r w:rsidR="004D2AC8" w:rsidRPr="001E72AE">
        <w:rPr>
          <w:rFonts w:ascii="Tahoma" w:hAnsi="Tahoma" w:cs="Tahoma"/>
          <w:spacing w:val="-4"/>
          <w:sz w:val="24"/>
          <w:szCs w:val="24"/>
        </w:rPr>
        <w:t>con ocasión a</w:t>
      </w:r>
      <w:r w:rsidRPr="001E72AE">
        <w:rPr>
          <w:rFonts w:ascii="Tahoma" w:hAnsi="Tahoma" w:cs="Tahoma"/>
          <w:spacing w:val="-4"/>
          <w:sz w:val="24"/>
          <w:szCs w:val="24"/>
        </w:rPr>
        <w:t xml:space="preserve"> esa norma, tal como lo pretende el actor, pues de ser así el Presidente estaría facultado para decidir sobre toda solicitud que se presente contra leyes que sancionó, lo que resulta irrazonable. Por el contrario, respecto a la aplicación o modificación de esa norma concurren otras entidades, entre ellas el Ministerio de Defensa</w:t>
      </w:r>
      <w:r w:rsidR="004D2AC8" w:rsidRPr="001E72AE">
        <w:rPr>
          <w:rFonts w:ascii="Tahoma" w:hAnsi="Tahoma" w:cs="Tahoma"/>
          <w:spacing w:val="-4"/>
          <w:sz w:val="24"/>
          <w:szCs w:val="24"/>
        </w:rPr>
        <w:t xml:space="preserve"> Nacional</w:t>
      </w:r>
      <w:r w:rsidRPr="001E72AE">
        <w:rPr>
          <w:rFonts w:ascii="Tahoma" w:hAnsi="Tahoma" w:cs="Tahoma"/>
          <w:spacing w:val="-4"/>
          <w:sz w:val="24"/>
          <w:szCs w:val="24"/>
        </w:rPr>
        <w:t xml:space="preserve">, por lo que el proceder de la Presidencia no merece reproche alguno. </w:t>
      </w:r>
    </w:p>
    <w:p w:rsidR="00BA7AAF" w:rsidRPr="001E72AE" w:rsidRDefault="00BA7AAF"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A7AAF" w:rsidRPr="001E72AE" w:rsidRDefault="00BA7AAF"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8. Finalmente, en relación con el trámite desplegado por el Ministerio de Defensa,</w:t>
      </w:r>
      <w:r w:rsidR="00A44A88" w:rsidRPr="001E72AE">
        <w:rPr>
          <w:rFonts w:ascii="Tahoma" w:hAnsi="Tahoma" w:cs="Tahoma"/>
          <w:spacing w:val="-4"/>
          <w:sz w:val="24"/>
          <w:szCs w:val="24"/>
        </w:rPr>
        <w:t xml:space="preserve"> con ocasión al traslado que de</w:t>
      </w:r>
      <w:r w:rsidR="004D2AC8" w:rsidRPr="001E72AE">
        <w:rPr>
          <w:rFonts w:ascii="Tahoma" w:hAnsi="Tahoma" w:cs="Tahoma"/>
          <w:spacing w:val="-4"/>
          <w:sz w:val="24"/>
          <w:szCs w:val="24"/>
        </w:rPr>
        <w:t xml:space="preserve"> aquella</w:t>
      </w:r>
      <w:r w:rsidR="00A44A88" w:rsidRPr="001E72AE">
        <w:rPr>
          <w:rFonts w:ascii="Tahoma" w:hAnsi="Tahoma" w:cs="Tahoma"/>
          <w:spacing w:val="-4"/>
          <w:sz w:val="24"/>
          <w:szCs w:val="24"/>
        </w:rPr>
        <w:t xml:space="preserve"> solicitud le fue realizado,</w:t>
      </w:r>
      <w:r w:rsidRPr="001E72AE">
        <w:rPr>
          <w:rFonts w:ascii="Tahoma" w:hAnsi="Tahoma" w:cs="Tahoma"/>
          <w:spacing w:val="-4"/>
          <w:sz w:val="24"/>
          <w:szCs w:val="24"/>
        </w:rPr>
        <w:t xml:space="preserve"> baste indicar que</w:t>
      </w:r>
      <w:r w:rsidR="00A44A88" w:rsidRPr="001E72AE">
        <w:rPr>
          <w:rFonts w:ascii="Tahoma" w:hAnsi="Tahoma" w:cs="Tahoma"/>
          <w:spacing w:val="-4"/>
          <w:sz w:val="24"/>
          <w:szCs w:val="24"/>
        </w:rPr>
        <w:t>, al margen de que ello no fue obj</w:t>
      </w:r>
      <w:r w:rsidR="004D2AC8" w:rsidRPr="001E72AE">
        <w:rPr>
          <w:rFonts w:ascii="Tahoma" w:hAnsi="Tahoma" w:cs="Tahoma"/>
          <w:spacing w:val="-4"/>
          <w:sz w:val="24"/>
          <w:szCs w:val="24"/>
        </w:rPr>
        <w:t xml:space="preserve">eto de reproche en la tutela, si </w:t>
      </w:r>
      <w:r w:rsidR="00A44A88" w:rsidRPr="001E72AE">
        <w:rPr>
          <w:rFonts w:ascii="Tahoma" w:hAnsi="Tahoma" w:cs="Tahoma"/>
          <w:spacing w:val="-4"/>
          <w:sz w:val="24"/>
          <w:szCs w:val="24"/>
        </w:rPr>
        <w:t>el oficio respectivo</w:t>
      </w:r>
      <w:r w:rsidR="004D2AC8" w:rsidRPr="001E72AE">
        <w:rPr>
          <w:rFonts w:ascii="Tahoma" w:hAnsi="Tahoma" w:cs="Tahoma"/>
          <w:spacing w:val="-4"/>
          <w:sz w:val="24"/>
          <w:szCs w:val="24"/>
        </w:rPr>
        <w:t xml:space="preserve"> le fue dirigido por la Presidencia</w:t>
      </w:r>
      <w:r w:rsidR="00A44A88" w:rsidRPr="001E72AE">
        <w:rPr>
          <w:rFonts w:ascii="Tahoma" w:hAnsi="Tahoma" w:cs="Tahoma"/>
          <w:spacing w:val="-4"/>
          <w:sz w:val="24"/>
          <w:szCs w:val="24"/>
        </w:rPr>
        <w:t xml:space="preserve"> el 4 de febrero de este año, para el 5 de ese mismo mes, fecha en que se formuló la tutela</w:t>
      </w:r>
      <w:r w:rsidR="00A44A88" w:rsidRPr="001E72AE">
        <w:rPr>
          <w:rStyle w:val="Refdenotaalpie"/>
          <w:rFonts w:ascii="Tahoma" w:hAnsi="Tahoma" w:cs="Tahoma"/>
          <w:spacing w:val="-4"/>
          <w:sz w:val="24"/>
          <w:szCs w:val="24"/>
        </w:rPr>
        <w:footnoteReference w:id="24"/>
      </w:r>
      <w:r w:rsidR="00A44A88" w:rsidRPr="001E72AE">
        <w:rPr>
          <w:rFonts w:ascii="Tahoma" w:hAnsi="Tahoma" w:cs="Tahoma"/>
          <w:spacing w:val="-4"/>
          <w:sz w:val="24"/>
          <w:szCs w:val="24"/>
        </w:rPr>
        <w:t>, aún no había vencido el término concedido legamente para resolver de fondo esa cuestión</w:t>
      </w:r>
      <w:r w:rsidR="000941B8" w:rsidRPr="001E72AE">
        <w:rPr>
          <w:rFonts w:ascii="Tahoma" w:hAnsi="Tahoma" w:cs="Tahoma"/>
          <w:spacing w:val="-4"/>
          <w:sz w:val="24"/>
          <w:szCs w:val="24"/>
        </w:rPr>
        <w:t>.</w:t>
      </w:r>
      <w:r w:rsidRPr="001E72AE">
        <w:rPr>
          <w:rFonts w:ascii="Tahoma" w:hAnsi="Tahoma" w:cs="Tahoma"/>
          <w:spacing w:val="-4"/>
          <w:sz w:val="24"/>
          <w:szCs w:val="24"/>
        </w:rPr>
        <w:t xml:space="preserve"> </w:t>
      </w:r>
    </w:p>
    <w:p w:rsidR="00D95C8B" w:rsidRPr="001E72AE"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spacing w:val="-4"/>
          <w:sz w:val="24"/>
          <w:szCs w:val="24"/>
          <w:lang w:val="es-CO"/>
        </w:rPr>
      </w:pPr>
    </w:p>
    <w:p w:rsidR="001D3787" w:rsidRPr="001E72AE" w:rsidRDefault="00A44A88"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1E72AE">
        <w:rPr>
          <w:rFonts w:ascii="Tahoma" w:hAnsi="Tahoma" w:cs="Tahoma"/>
          <w:spacing w:val="-4"/>
          <w:sz w:val="24"/>
          <w:szCs w:val="24"/>
        </w:rPr>
        <w:t>9</w:t>
      </w:r>
      <w:r w:rsidR="00486D5A" w:rsidRPr="001E72AE">
        <w:rPr>
          <w:rFonts w:ascii="Tahoma" w:hAnsi="Tahoma" w:cs="Tahoma"/>
          <w:spacing w:val="-4"/>
          <w:sz w:val="24"/>
          <w:szCs w:val="24"/>
        </w:rPr>
        <w:t>. Por tanto se declarará</w:t>
      </w:r>
      <w:r w:rsidR="00FD1C68" w:rsidRPr="001E72AE">
        <w:rPr>
          <w:rFonts w:ascii="Tahoma" w:hAnsi="Tahoma" w:cs="Tahoma"/>
          <w:spacing w:val="-4"/>
          <w:sz w:val="24"/>
          <w:szCs w:val="24"/>
        </w:rPr>
        <w:t xml:space="preserve"> la improcedencia de</w:t>
      </w:r>
      <w:r w:rsidRPr="001E72AE">
        <w:rPr>
          <w:rFonts w:ascii="Tahoma" w:hAnsi="Tahoma" w:cs="Tahoma"/>
          <w:spacing w:val="-4"/>
          <w:sz w:val="24"/>
          <w:szCs w:val="24"/>
        </w:rPr>
        <w:t>l amparo en relación con el derecho a la igualdad y se negará frente al de petición</w:t>
      </w:r>
      <w:r w:rsidR="00FD1C68" w:rsidRPr="001E72AE">
        <w:rPr>
          <w:rFonts w:ascii="Tahoma" w:hAnsi="Tahoma" w:cs="Tahoma"/>
          <w:spacing w:val="-4"/>
          <w:sz w:val="24"/>
          <w:szCs w:val="24"/>
        </w:rPr>
        <w:t>.</w:t>
      </w:r>
    </w:p>
    <w:p w:rsidR="00FD1C68" w:rsidRPr="001E72AE" w:rsidRDefault="00FD1C68"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95C8B" w:rsidRDefault="00D95C8B" w:rsidP="001E72AE">
      <w:pPr>
        <w:spacing w:line="276" w:lineRule="auto"/>
        <w:jc w:val="both"/>
        <w:rPr>
          <w:rFonts w:ascii="Tahoma" w:hAnsi="Tahoma" w:cs="Tahoma"/>
          <w:spacing w:val="-4"/>
          <w:sz w:val="24"/>
          <w:szCs w:val="24"/>
        </w:rPr>
      </w:pPr>
      <w:r w:rsidRPr="001E72AE">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1E72AE" w:rsidRPr="001E72AE" w:rsidRDefault="001E72AE" w:rsidP="001E72AE">
      <w:pPr>
        <w:spacing w:line="276" w:lineRule="auto"/>
        <w:jc w:val="both"/>
        <w:rPr>
          <w:rFonts w:ascii="Tahoma" w:hAnsi="Tahoma" w:cs="Tahoma"/>
          <w:spacing w:val="-4"/>
          <w:sz w:val="24"/>
          <w:szCs w:val="24"/>
        </w:rPr>
      </w:pPr>
    </w:p>
    <w:p w:rsidR="00D95C8B" w:rsidRPr="001E72AE" w:rsidRDefault="00D95C8B" w:rsidP="001E72AE">
      <w:pPr>
        <w:spacing w:line="276" w:lineRule="auto"/>
        <w:jc w:val="both"/>
        <w:rPr>
          <w:rFonts w:ascii="Tahoma" w:hAnsi="Tahoma" w:cs="Tahoma"/>
          <w:spacing w:val="-4"/>
          <w:sz w:val="24"/>
          <w:szCs w:val="24"/>
        </w:rPr>
      </w:pPr>
      <w:r w:rsidRPr="001E72AE">
        <w:rPr>
          <w:rFonts w:ascii="Tahoma" w:hAnsi="Tahoma" w:cs="Tahoma"/>
          <w:b/>
          <w:spacing w:val="-4"/>
          <w:sz w:val="24"/>
          <w:szCs w:val="24"/>
        </w:rPr>
        <w:lastRenderedPageBreak/>
        <w:t>R E S U E L V E </w:t>
      </w:r>
    </w:p>
    <w:p w:rsidR="00D95C8B" w:rsidRPr="001E72AE" w:rsidRDefault="00D95C8B" w:rsidP="001E72AE">
      <w:pPr>
        <w:spacing w:line="276" w:lineRule="auto"/>
        <w:jc w:val="both"/>
        <w:rPr>
          <w:rFonts w:ascii="Tahoma" w:hAnsi="Tahoma" w:cs="Tahoma"/>
          <w:spacing w:val="-4"/>
          <w:sz w:val="24"/>
          <w:szCs w:val="24"/>
        </w:rPr>
      </w:pPr>
    </w:p>
    <w:p w:rsidR="00486D5A" w:rsidRPr="001E72AE" w:rsidRDefault="00D95C8B" w:rsidP="001E72AE">
      <w:pPr>
        <w:spacing w:line="276" w:lineRule="auto"/>
        <w:jc w:val="both"/>
        <w:rPr>
          <w:rFonts w:ascii="Tahoma" w:hAnsi="Tahoma" w:cs="Tahoma"/>
          <w:spacing w:val="-4"/>
          <w:sz w:val="24"/>
          <w:szCs w:val="24"/>
          <w:lang w:val="es-CO"/>
        </w:rPr>
      </w:pPr>
      <w:r w:rsidRPr="001E72AE">
        <w:rPr>
          <w:rFonts w:ascii="Tahoma" w:hAnsi="Tahoma" w:cs="Tahoma"/>
          <w:b/>
          <w:spacing w:val="-4"/>
          <w:sz w:val="24"/>
          <w:szCs w:val="24"/>
        </w:rPr>
        <w:t>PRIMERO:</w:t>
      </w:r>
      <w:r w:rsidRPr="001E72AE">
        <w:rPr>
          <w:rFonts w:ascii="Tahoma" w:hAnsi="Tahoma" w:cs="Tahoma"/>
          <w:spacing w:val="-4"/>
          <w:sz w:val="24"/>
          <w:szCs w:val="24"/>
        </w:rPr>
        <w:t xml:space="preserve"> </w:t>
      </w:r>
      <w:r w:rsidR="004E3F48" w:rsidRPr="001E72AE">
        <w:rPr>
          <w:rFonts w:ascii="Tahoma" w:hAnsi="Tahoma" w:cs="Tahoma"/>
          <w:spacing w:val="-4"/>
          <w:sz w:val="24"/>
          <w:szCs w:val="24"/>
        </w:rPr>
        <w:t>Declarar</w:t>
      </w:r>
      <w:r w:rsidRPr="001E72AE">
        <w:rPr>
          <w:rFonts w:ascii="Tahoma" w:hAnsi="Tahoma" w:cs="Tahoma"/>
          <w:spacing w:val="-4"/>
          <w:sz w:val="24"/>
          <w:szCs w:val="24"/>
        </w:rPr>
        <w:t xml:space="preserve"> improcedente la acción de tutela </w:t>
      </w:r>
      <w:r w:rsidR="00FD1C68" w:rsidRPr="001E72AE">
        <w:rPr>
          <w:rFonts w:ascii="Tahoma" w:hAnsi="Tahoma" w:cs="Tahoma"/>
          <w:spacing w:val="-4"/>
          <w:sz w:val="24"/>
          <w:szCs w:val="24"/>
        </w:rPr>
        <w:t xml:space="preserve">instaurada </w:t>
      </w:r>
      <w:r w:rsidRPr="001E72AE">
        <w:rPr>
          <w:rFonts w:ascii="Tahoma" w:hAnsi="Tahoma" w:cs="Tahoma"/>
          <w:spacing w:val="-4"/>
          <w:sz w:val="24"/>
          <w:szCs w:val="24"/>
        </w:rPr>
        <w:t xml:space="preserve">por </w:t>
      </w:r>
      <w:r w:rsidR="004D2AC8" w:rsidRPr="001E72AE">
        <w:rPr>
          <w:rFonts w:ascii="Tahoma" w:hAnsi="Tahoma" w:cs="Tahoma"/>
          <w:spacing w:val="-4"/>
          <w:sz w:val="24"/>
          <w:szCs w:val="24"/>
        </w:rPr>
        <w:t xml:space="preserve"> el señor</w:t>
      </w:r>
      <w:r w:rsidR="004E3F48" w:rsidRPr="001E72AE">
        <w:rPr>
          <w:rFonts w:ascii="Tahoma" w:hAnsi="Tahoma" w:cs="Tahoma"/>
          <w:spacing w:val="-4"/>
          <w:sz w:val="24"/>
          <w:szCs w:val="24"/>
        </w:rPr>
        <w:t xml:space="preserve"> </w:t>
      </w:r>
      <w:r w:rsidR="004D2AC8" w:rsidRPr="001E72AE">
        <w:rPr>
          <w:rFonts w:ascii="Tahoma" w:hAnsi="Tahoma" w:cs="Tahoma"/>
          <w:spacing w:val="-4"/>
          <w:sz w:val="24"/>
          <w:szCs w:val="24"/>
          <w:lang w:val="es-CO"/>
        </w:rPr>
        <w:t>Julio César Quintero Batero contra el Presidente de la República, a la que fueron vinculados el Congreso de la República, la Asesora del Grupo de Atención a la Ciudadanía de la Presidencia de la República, el Comandante de Personal del Ejército Nacional, las Coordinadoras del Grupo de Prestaciones Sociales y de Atención y Orientación Ciudadana, la Directora de Bienestar Sectorial y Salud y el asesor jurídico de esa Dirección, estos últimos adscritos al Ministerio de Defensa Nacional, respecto al derecho a la igualdad, y se niega en relación con la garantía a realizar peticiones respetuosas.</w:t>
      </w:r>
    </w:p>
    <w:p w:rsidR="008A2F69" w:rsidRPr="001E72AE" w:rsidRDefault="008A2F69" w:rsidP="001E72AE">
      <w:pPr>
        <w:spacing w:line="276" w:lineRule="auto"/>
        <w:jc w:val="both"/>
        <w:rPr>
          <w:rFonts w:ascii="Tahoma" w:hAnsi="Tahoma" w:cs="Tahoma"/>
          <w:b/>
          <w:spacing w:val="-4"/>
          <w:sz w:val="24"/>
          <w:szCs w:val="24"/>
          <w:lang w:val="es-CO"/>
        </w:rPr>
      </w:pPr>
    </w:p>
    <w:p w:rsidR="00D95C8B" w:rsidRPr="001E72AE" w:rsidRDefault="00D95C8B" w:rsidP="001E72AE">
      <w:pPr>
        <w:spacing w:line="276" w:lineRule="auto"/>
        <w:ind w:right="51"/>
        <w:jc w:val="both"/>
        <w:rPr>
          <w:rFonts w:ascii="Tahoma" w:hAnsi="Tahoma" w:cs="Tahoma"/>
          <w:spacing w:val="-4"/>
          <w:sz w:val="24"/>
          <w:szCs w:val="24"/>
        </w:rPr>
      </w:pPr>
      <w:r w:rsidRPr="001E72AE">
        <w:rPr>
          <w:rFonts w:ascii="Tahoma" w:hAnsi="Tahoma" w:cs="Tahoma"/>
          <w:b/>
          <w:spacing w:val="-4"/>
          <w:sz w:val="24"/>
          <w:szCs w:val="24"/>
        </w:rPr>
        <w:t>SEGUNDO:</w:t>
      </w:r>
      <w:r w:rsidRPr="001E72AE">
        <w:rPr>
          <w:rFonts w:ascii="Tahoma" w:hAnsi="Tahoma" w:cs="Tahoma"/>
          <w:spacing w:val="-4"/>
          <w:sz w:val="24"/>
          <w:szCs w:val="24"/>
        </w:rPr>
        <w:t xml:space="preserve"> Notifíquese esta decisión a las partes </w:t>
      </w:r>
      <w:r w:rsidR="004E3F48" w:rsidRPr="001E72AE">
        <w:rPr>
          <w:rFonts w:ascii="Tahoma" w:hAnsi="Tahoma" w:cs="Tahoma"/>
          <w:spacing w:val="-4"/>
          <w:sz w:val="24"/>
          <w:szCs w:val="24"/>
        </w:rPr>
        <w:t>en los términos del</w:t>
      </w:r>
      <w:r w:rsidRPr="001E72AE">
        <w:rPr>
          <w:rFonts w:ascii="Tahoma" w:hAnsi="Tahoma" w:cs="Tahoma"/>
          <w:spacing w:val="-4"/>
          <w:sz w:val="24"/>
          <w:szCs w:val="24"/>
        </w:rPr>
        <w:t xml:space="preserve"> artículo 30 del Decreto 2591 de 1991.</w:t>
      </w:r>
    </w:p>
    <w:p w:rsidR="00D95C8B" w:rsidRPr="001E72AE" w:rsidRDefault="00D95C8B" w:rsidP="001E72AE">
      <w:pPr>
        <w:spacing w:line="276" w:lineRule="auto"/>
        <w:ind w:right="51"/>
        <w:jc w:val="both"/>
        <w:rPr>
          <w:rFonts w:ascii="Tahoma" w:hAnsi="Tahoma" w:cs="Tahoma"/>
          <w:spacing w:val="-4"/>
          <w:sz w:val="24"/>
          <w:szCs w:val="24"/>
        </w:rPr>
      </w:pPr>
    </w:p>
    <w:p w:rsidR="00D95C8B" w:rsidRPr="001E72AE" w:rsidRDefault="00D95C8B" w:rsidP="001E72AE">
      <w:pPr>
        <w:spacing w:line="276" w:lineRule="auto"/>
        <w:ind w:right="51"/>
        <w:jc w:val="both"/>
        <w:rPr>
          <w:rFonts w:ascii="Tahoma" w:hAnsi="Tahoma" w:cs="Tahoma"/>
          <w:spacing w:val="-4"/>
          <w:sz w:val="24"/>
          <w:szCs w:val="24"/>
        </w:rPr>
      </w:pPr>
      <w:r w:rsidRPr="001E72AE">
        <w:rPr>
          <w:rFonts w:ascii="Tahoma" w:hAnsi="Tahoma" w:cs="Tahoma"/>
          <w:b/>
          <w:spacing w:val="-4"/>
          <w:sz w:val="24"/>
          <w:szCs w:val="24"/>
        </w:rPr>
        <w:t xml:space="preserve">TERCERO: </w:t>
      </w:r>
      <w:r w:rsidRPr="001E72AE">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D95C8B" w:rsidRPr="001E72AE" w:rsidRDefault="00D95C8B" w:rsidP="001E72AE">
      <w:pPr>
        <w:spacing w:line="276" w:lineRule="auto"/>
        <w:jc w:val="both"/>
        <w:rPr>
          <w:rFonts w:ascii="Tahoma" w:hAnsi="Tahoma" w:cs="Tahoma"/>
          <w:b/>
          <w:spacing w:val="-4"/>
          <w:sz w:val="24"/>
          <w:szCs w:val="24"/>
        </w:rPr>
      </w:pPr>
    </w:p>
    <w:p w:rsidR="00D95C8B" w:rsidRPr="001E72AE" w:rsidRDefault="00D95C8B" w:rsidP="001E72AE">
      <w:pPr>
        <w:spacing w:line="276" w:lineRule="auto"/>
        <w:jc w:val="both"/>
        <w:rPr>
          <w:rFonts w:ascii="Tahoma" w:hAnsi="Tahoma" w:cs="Tahoma"/>
          <w:spacing w:val="-4"/>
          <w:sz w:val="24"/>
          <w:szCs w:val="24"/>
        </w:rPr>
      </w:pPr>
      <w:r w:rsidRPr="001E72AE">
        <w:rPr>
          <w:rFonts w:ascii="Tahoma" w:hAnsi="Tahoma" w:cs="Tahoma"/>
          <w:spacing w:val="-4"/>
          <w:sz w:val="24"/>
          <w:szCs w:val="24"/>
        </w:rPr>
        <w:t xml:space="preserve">Notifíquese y cúmplase, </w:t>
      </w:r>
    </w:p>
    <w:p w:rsidR="00D95C8B" w:rsidRPr="001E72AE" w:rsidRDefault="00D95C8B" w:rsidP="001E72AE">
      <w:pPr>
        <w:spacing w:line="276" w:lineRule="auto"/>
        <w:jc w:val="both"/>
        <w:rPr>
          <w:rFonts w:ascii="Tahoma" w:hAnsi="Tahoma" w:cs="Tahoma"/>
          <w:spacing w:val="-4"/>
          <w:sz w:val="24"/>
          <w:szCs w:val="24"/>
        </w:rPr>
      </w:pPr>
    </w:p>
    <w:p w:rsidR="00D95C8B" w:rsidRPr="001E72AE" w:rsidRDefault="00D95C8B" w:rsidP="001E72AE">
      <w:pPr>
        <w:spacing w:line="276" w:lineRule="auto"/>
        <w:jc w:val="both"/>
        <w:rPr>
          <w:rFonts w:ascii="Tahoma" w:hAnsi="Tahoma" w:cs="Tahoma"/>
          <w:spacing w:val="-4"/>
          <w:sz w:val="24"/>
          <w:szCs w:val="24"/>
        </w:rPr>
      </w:pPr>
      <w:r w:rsidRPr="001E72AE">
        <w:rPr>
          <w:rFonts w:ascii="Tahoma" w:hAnsi="Tahoma" w:cs="Tahoma"/>
          <w:spacing w:val="-4"/>
          <w:sz w:val="24"/>
          <w:szCs w:val="24"/>
        </w:rPr>
        <w:t>Los Magistrados,</w:t>
      </w:r>
    </w:p>
    <w:p w:rsidR="00D95C8B"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1E72AE" w:rsidRPr="001E72AE" w:rsidRDefault="001E72AE"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1E72AE"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1E72AE"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E72AE">
        <w:rPr>
          <w:rFonts w:ascii="Tahoma" w:hAnsi="Tahoma" w:cs="Tahoma"/>
          <w:b/>
          <w:spacing w:val="-4"/>
          <w:sz w:val="24"/>
          <w:szCs w:val="24"/>
        </w:rPr>
        <w:tab/>
      </w:r>
      <w:r w:rsidRPr="001E72AE">
        <w:rPr>
          <w:rFonts w:ascii="Tahoma" w:hAnsi="Tahoma" w:cs="Tahoma"/>
          <w:b/>
          <w:spacing w:val="-4"/>
          <w:sz w:val="24"/>
          <w:szCs w:val="24"/>
        </w:rPr>
        <w:tab/>
      </w:r>
      <w:r w:rsidRPr="001E72AE">
        <w:rPr>
          <w:rFonts w:ascii="Tahoma" w:hAnsi="Tahoma" w:cs="Tahoma"/>
          <w:b/>
          <w:spacing w:val="-4"/>
          <w:sz w:val="24"/>
          <w:szCs w:val="24"/>
        </w:rPr>
        <w:tab/>
      </w:r>
      <w:r w:rsidRPr="001E72AE">
        <w:rPr>
          <w:rFonts w:ascii="Tahoma" w:hAnsi="Tahoma" w:cs="Tahoma"/>
          <w:b/>
          <w:spacing w:val="-4"/>
          <w:sz w:val="24"/>
          <w:szCs w:val="24"/>
        </w:rPr>
        <w:tab/>
      </w:r>
      <w:r w:rsidR="00FD1C68" w:rsidRPr="001E72AE">
        <w:rPr>
          <w:rFonts w:ascii="Tahoma" w:hAnsi="Tahoma" w:cs="Tahoma"/>
          <w:b/>
          <w:spacing w:val="-4"/>
          <w:sz w:val="24"/>
          <w:szCs w:val="24"/>
        </w:rPr>
        <w:t>ADRIANA PATRICIA DÍAZ RAMÍREZ</w:t>
      </w:r>
    </w:p>
    <w:p w:rsidR="00D95C8B" w:rsidRPr="001E72AE"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1E72AE" w:rsidRPr="001E72AE" w:rsidRDefault="001E72AE"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1E72AE" w:rsidRDefault="00D95C8B" w:rsidP="001E72AE">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1E72AE">
        <w:rPr>
          <w:rFonts w:ascii="Tahoma" w:hAnsi="Tahoma" w:cs="Tahoma"/>
          <w:b/>
          <w:spacing w:val="-4"/>
          <w:sz w:val="24"/>
          <w:szCs w:val="24"/>
        </w:rPr>
        <w:tab/>
      </w:r>
      <w:r w:rsidRPr="001E72AE">
        <w:rPr>
          <w:rFonts w:ascii="Tahoma" w:hAnsi="Tahoma" w:cs="Tahoma"/>
          <w:b/>
          <w:spacing w:val="-4"/>
          <w:sz w:val="24"/>
          <w:szCs w:val="24"/>
        </w:rPr>
        <w:tab/>
      </w:r>
      <w:r w:rsidRPr="001E72AE">
        <w:rPr>
          <w:rFonts w:ascii="Tahoma" w:hAnsi="Tahoma" w:cs="Tahoma"/>
          <w:b/>
          <w:spacing w:val="-4"/>
          <w:sz w:val="24"/>
          <w:szCs w:val="24"/>
        </w:rPr>
        <w:tab/>
      </w:r>
      <w:r w:rsidRPr="001E72AE">
        <w:rPr>
          <w:rFonts w:ascii="Tahoma" w:hAnsi="Tahoma" w:cs="Tahoma"/>
          <w:b/>
          <w:spacing w:val="-4"/>
          <w:sz w:val="24"/>
          <w:szCs w:val="24"/>
        </w:rPr>
        <w:tab/>
      </w:r>
      <w:r w:rsidRPr="001E72AE">
        <w:rPr>
          <w:rFonts w:ascii="Tahoma" w:hAnsi="Tahoma" w:cs="Tahoma"/>
          <w:b/>
          <w:bCs/>
          <w:spacing w:val="-4"/>
          <w:sz w:val="24"/>
          <w:szCs w:val="24"/>
        </w:rPr>
        <w:t>DUBERNEY GRISALES HERRERA</w:t>
      </w:r>
    </w:p>
    <w:p w:rsidR="00D95C8B" w:rsidRDefault="00D95C8B" w:rsidP="001E72A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1E72AE" w:rsidRPr="001E72AE" w:rsidRDefault="001E72AE" w:rsidP="001E72A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D95C8B" w:rsidRPr="001E72AE"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E603D8" w:rsidRPr="001E72AE" w:rsidRDefault="00D95C8B" w:rsidP="001E7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1E72AE">
        <w:rPr>
          <w:rFonts w:ascii="Tahoma" w:hAnsi="Tahoma" w:cs="Tahoma"/>
          <w:b/>
          <w:spacing w:val="-4"/>
          <w:sz w:val="24"/>
          <w:szCs w:val="24"/>
        </w:rPr>
        <w:tab/>
      </w:r>
      <w:r w:rsidRPr="001E72AE">
        <w:rPr>
          <w:rFonts w:ascii="Tahoma" w:hAnsi="Tahoma" w:cs="Tahoma"/>
          <w:b/>
          <w:spacing w:val="-4"/>
          <w:sz w:val="24"/>
          <w:szCs w:val="24"/>
        </w:rPr>
        <w:tab/>
      </w:r>
      <w:r w:rsidRPr="001E72AE">
        <w:rPr>
          <w:rFonts w:ascii="Tahoma" w:hAnsi="Tahoma" w:cs="Tahoma"/>
          <w:b/>
          <w:spacing w:val="-4"/>
          <w:sz w:val="24"/>
          <w:szCs w:val="24"/>
        </w:rPr>
        <w:tab/>
      </w:r>
      <w:r w:rsidRPr="001E72AE">
        <w:rPr>
          <w:rFonts w:ascii="Tahoma" w:hAnsi="Tahoma" w:cs="Tahoma"/>
          <w:b/>
          <w:spacing w:val="-4"/>
          <w:sz w:val="24"/>
          <w:szCs w:val="24"/>
        </w:rPr>
        <w:tab/>
        <w:t>EDDER JIMMY SÁNCHEZ CALAMBÁS</w:t>
      </w:r>
    </w:p>
    <w:sectPr w:rsidR="00E603D8" w:rsidRPr="001E72AE" w:rsidSect="001E72AE">
      <w:footerReference w:type="default" r:id="rId11"/>
      <w:pgSz w:w="12242" w:h="18722" w:code="258"/>
      <w:pgMar w:top="1871" w:right="1304" w:bottom="1304" w:left="1871"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0C6B33DD" w16cex:dateUtc="2020-10-05T15:30:35.216Z"/>
  <w16cex:commentExtensible w16cex:durableId="47563D68" w16cex:dateUtc="2020-11-19T19:07:59.107Z"/>
  <w16cex:commentExtensible w16cex:durableId="65335DB8" w16cex:dateUtc="2020-12-07T20:11:58.598Z"/>
  <w16cex:commentExtensible w16cex:durableId="6456F09C" w16cex:dateUtc="2021-02-03T16:45:01.337Z"/>
  <w16cex:commentExtensible w16cex:durableId="0979F966" w16cex:dateUtc="2021-02-22T13:14:01.124Z"/>
  <w16cex:commentExtensible w16cex:durableId="7554498F" w16cex:dateUtc="2021-02-22T13:21:09.077Z"/>
  <w16cex:commentExtensible w16cex:durableId="1B62311E" w16cex:dateUtc="2021-02-22T13:34:21.6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5E" w:rsidRDefault="007E305E">
      <w:r>
        <w:separator/>
      </w:r>
    </w:p>
  </w:endnote>
  <w:endnote w:type="continuationSeparator" w:id="0">
    <w:p w:rsidR="007E305E" w:rsidRDefault="007E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16" w:rsidRPr="00961CBA" w:rsidRDefault="000D4EA9">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F80D16" w:rsidRPr="00961CBA">
      <w:rPr>
        <w:rStyle w:val="Nmerodepgina"/>
        <w:rFonts w:ascii="Verdana" w:hAnsi="Verdana"/>
      </w:rPr>
      <w:instrText xml:space="preserve">PAGE  </w:instrText>
    </w:r>
    <w:r w:rsidRPr="00961CBA">
      <w:rPr>
        <w:rStyle w:val="Nmerodepgina"/>
        <w:rFonts w:ascii="Verdana" w:hAnsi="Verdana"/>
      </w:rPr>
      <w:fldChar w:fldCharType="separate"/>
    </w:r>
    <w:r w:rsidR="002638E0">
      <w:rPr>
        <w:rStyle w:val="Nmerodepgina"/>
        <w:rFonts w:ascii="Verdana" w:hAnsi="Verdana"/>
        <w:noProof/>
      </w:rPr>
      <w:t>12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5E" w:rsidRDefault="007E305E">
      <w:r>
        <w:separator/>
      </w:r>
    </w:p>
  </w:footnote>
  <w:footnote w:type="continuationSeparator" w:id="0">
    <w:p w:rsidR="007E305E" w:rsidRDefault="007E305E">
      <w:r>
        <w:continuationSeparator/>
      </w:r>
    </w:p>
  </w:footnote>
  <w:footnote w:id="1">
    <w:p w:rsidR="00EE78DF" w:rsidRPr="000A2497" w:rsidRDefault="00EE78DF"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Documento 2</w:t>
      </w:r>
    </w:p>
  </w:footnote>
  <w:footnote w:id="2">
    <w:p w:rsidR="004270D1" w:rsidRPr="000A2497" w:rsidRDefault="004270D1"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Allí también se resolvió no acceder a la solicitud de vinculación formulada por el actor, respecto </w:t>
      </w:r>
      <w:r w:rsidRPr="000A2497">
        <w:rPr>
          <w:rFonts w:ascii="Arial" w:hAnsi="Arial" w:cs="Arial"/>
          <w:sz w:val="18"/>
          <w:szCs w:val="18"/>
          <w:lang w:val="es-CO"/>
        </w:rPr>
        <w:t>del Ministerio Público, de la Defensoría del Pueblo y de las Comisiones de Derechos Humanos del Senado y de la Cámara de Representantes, toda vez que de los hechos de la demanda no se desprende hecho u omisión alguna en que hayan incurrido esas entidades, que afecte los derechos fundamentales del accionante.</w:t>
      </w:r>
    </w:p>
  </w:footnote>
  <w:footnote w:id="3">
    <w:p w:rsidR="00827B7D" w:rsidRPr="000A2497" w:rsidRDefault="00827B7D"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Documento 7</w:t>
      </w:r>
    </w:p>
  </w:footnote>
  <w:footnote w:id="4">
    <w:p w:rsidR="00364836" w:rsidRPr="000A2497" w:rsidRDefault="00364836"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Documento 16</w:t>
      </w:r>
    </w:p>
  </w:footnote>
  <w:footnote w:id="5">
    <w:p w:rsidR="005E1F60" w:rsidRPr="000A2497" w:rsidRDefault="005E1F60"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Pr="000A2497">
        <w:rPr>
          <w:rFonts w:ascii="Arial" w:hAnsi="Arial" w:cs="Arial"/>
          <w:sz w:val="18"/>
          <w:szCs w:val="18"/>
          <w:lang w:val="es-CO"/>
        </w:rPr>
        <w:t>Documento 14</w:t>
      </w:r>
    </w:p>
  </w:footnote>
  <w:footnote w:id="6">
    <w:p w:rsidR="005F526F" w:rsidRPr="000A2497" w:rsidRDefault="005F526F"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Documento 22</w:t>
      </w:r>
    </w:p>
  </w:footnote>
  <w:footnote w:id="7">
    <w:p w:rsidR="00844B57" w:rsidRPr="000A2497" w:rsidRDefault="00844B57"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008C2F91" w:rsidRPr="000A2497">
        <w:rPr>
          <w:rFonts w:ascii="Arial" w:hAnsi="Arial" w:cs="Arial"/>
          <w:sz w:val="18"/>
          <w:szCs w:val="18"/>
        </w:rPr>
        <w:t>S</w:t>
      </w:r>
      <w:r w:rsidR="008C2F91" w:rsidRPr="000A2497">
        <w:rPr>
          <w:rFonts w:ascii="Arial" w:hAnsi="Arial" w:cs="Arial"/>
          <w:bCs/>
          <w:sz w:val="18"/>
          <w:szCs w:val="18"/>
        </w:rPr>
        <w:t>entencia T-213 de 2016</w:t>
      </w:r>
    </w:p>
  </w:footnote>
  <w:footnote w:id="8">
    <w:p w:rsidR="00216018" w:rsidRPr="000A2497" w:rsidRDefault="00216018"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Pr="000A2497">
        <w:rPr>
          <w:rFonts w:ascii="Arial" w:hAnsi="Arial" w:cs="Arial"/>
          <w:color w:val="2D2D2D"/>
          <w:sz w:val="18"/>
          <w:szCs w:val="18"/>
          <w:shd w:val="clear" w:color="auto" w:fill="FFFFFF"/>
          <w:lang w:val="es-ES"/>
        </w:rPr>
        <w:t> </w:t>
      </w:r>
      <w:r w:rsidRPr="000A2497">
        <w:rPr>
          <w:rFonts w:ascii="Arial" w:hAnsi="Arial" w:cs="Arial"/>
          <w:color w:val="2D2D2D"/>
          <w:sz w:val="18"/>
          <w:szCs w:val="18"/>
          <w:shd w:val="clear" w:color="auto" w:fill="FFFFFF"/>
        </w:rPr>
        <w:t>Sentencia T-321 de 1993. M.P. Carlos Gaviria Díaz.</w:t>
      </w:r>
    </w:p>
  </w:footnote>
  <w:footnote w:id="9">
    <w:p w:rsidR="00216018" w:rsidRPr="000A2497" w:rsidRDefault="00216018"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Pr="000A2497">
        <w:rPr>
          <w:rFonts w:ascii="Arial" w:hAnsi="Arial" w:cs="Arial"/>
          <w:color w:val="2D2D2D"/>
          <w:sz w:val="18"/>
          <w:szCs w:val="18"/>
          <w:shd w:val="clear" w:color="auto" w:fill="FFFFFF"/>
          <w:lang w:val="es-ES"/>
        </w:rPr>
        <w:t> </w:t>
      </w:r>
      <w:r w:rsidRPr="000A2497">
        <w:rPr>
          <w:rFonts w:ascii="Arial" w:hAnsi="Arial" w:cs="Arial"/>
          <w:color w:val="2D2D2D"/>
          <w:sz w:val="18"/>
          <w:szCs w:val="18"/>
          <w:shd w:val="clear" w:color="auto" w:fill="FFFFFF"/>
        </w:rPr>
        <w:t>Sentencia T-321 de 1993. M.P. Carlos Gaviria Díaz.</w:t>
      </w:r>
    </w:p>
  </w:footnote>
  <w:footnote w:id="10">
    <w:p w:rsidR="0028634F" w:rsidRPr="000A2497" w:rsidRDefault="0028634F" w:rsidP="000A2497">
      <w:pPr>
        <w:pStyle w:val="Textonotapie"/>
        <w:jc w:val="both"/>
        <w:rPr>
          <w:rFonts w:ascii="Arial" w:hAnsi="Arial" w:cs="Arial"/>
          <w:sz w:val="18"/>
          <w:szCs w:val="18"/>
        </w:rPr>
      </w:pPr>
    </w:p>
    <w:p w:rsidR="008C2F91" w:rsidRPr="000A2497" w:rsidRDefault="008C2F91" w:rsidP="000A2497">
      <w:pPr>
        <w:pStyle w:val="Textonotapie"/>
        <w:jc w:val="both"/>
        <w:rPr>
          <w:rFonts w:ascii="Arial" w:hAnsi="Arial" w:cs="Arial"/>
          <w:sz w:val="18"/>
          <w:szCs w:val="18"/>
          <w:lang w:val="es-MX"/>
        </w:rPr>
      </w:pPr>
      <w:r w:rsidRPr="000A2497">
        <w:rPr>
          <w:rStyle w:val="Refdenotaalpie"/>
          <w:rFonts w:ascii="Arial" w:hAnsi="Arial" w:cs="Arial"/>
          <w:sz w:val="18"/>
          <w:szCs w:val="18"/>
        </w:rPr>
        <w:footnoteRef/>
      </w:r>
      <w:r w:rsidRPr="000A2497">
        <w:rPr>
          <w:rFonts w:ascii="Arial" w:hAnsi="Arial" w:cs="Arial"/>
          <w:sz w:val="18"/>
          <w:szCs w:val="18"/>
        </w:rPr>
        <w:t xml:space="preserve"> Sentencia T-572 de 2016</w:t>
      </w:r>
    </w:p>
  </w:footnote>
  <w:footnote w:id="11">
    <w:p w:rsidR="000C73AC" w:rsidRPr="000A2497" w:rsidRDefault="000C73AC" w:rsidP="000A2497">
      <w:pPr>
        <w:pStyle w:val="Textonotapie"/>
        <w:jc w:val="both"/>
        <w:rPr>
          <w:rFonts w:ascii="Arial" w:hAnsi="Arial" w:cs="Arial"/>
          <w:bCs/>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Sentencia T-155 de 2017</w:t>
      </w:r>
      <w:r w:rsidRPr="000A2497">
        <w:rPr>
          <w:rFonts w:ascii="Arial" w:hAnsi="Arial" w:cs="Arial"/>
          <w:bCs/>
          <w:sz w:val="18"/>
          <w:szCs w:val="18"/>
        </w:rPr>
        <w:t xml:space="preserve"> M.P. Alberto Rojas Ríos</w:t>
      </w:r>
    </w:p>
  </w:footnote>
  <w:footnote w:id="12">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Sentencia T- 048 de 2016</w:t>
      </w:r>
    </w:p>
  </w:footnote>
  <w:footnote w:id="13">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w:t>
      </w:r>
      <w:r w:rsidRPr="000A2497">
        <w:rPr>
          <w:rFonts w:ascii="Arial" w:hAnsi="Arial" w:cs="Arial"/>
          <w:sz w:val="18"/>
          <w:szCs w:val="18"/>
          <w:bdr w:val="none" w:sz="0" w:space="0" w:color="auto" w:frame="1"/>
        </w:rPr>
        <w:t>M.P, SU-166 de 1999, T-481 de 2002, T-491 de 2001, T-566 de 2002, T-814 de 2005, T-867 de 2013, T-048 de 2016.</w:t>
      </w:r>
    </w:p>
  </w:footnote>
  <w:footnote w:id="14">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Sentencia T-124 de 2007</w:t>
      </w:r>
    </w:p>
  </w:footnote>
  <w:footnote w:id="15">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Sentencia T-814 de 2005</w:t>
      </w:r>
    </w:p>
  </w:footnote>
  <w:footnote w:id="16">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bdr w:val="none" w:sz="0" w:space="0" w:color="auto" w:frame="1"/>
        </w:rPr>
        <w:t> </w:t>
      </w:r>
      <w:r w:rsidRPr="000A2497">
        <w:rPr>
          <w:rFonts w:ascii="Arial" w:hAnsi="Arial" w:cs="Arial"/>
          <w:sz w:val="18"/>
          <w:szCs w:val="18"/>
        </w:rPr>
        <w:t>Sentencia T-294 de 1997</w:t>
      </w:r>
    </w:p>
  </w:footnote>
  <w:footnote w:id="17">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bdr w:val="none" w:sz="0" w:space="0" w:color="auto" w:frame="1"/>
        </w:rPr>
        <w:t> </w:t>
      </w:r>
      <w:r w:rsidRPr="000A2497">
        <w:rPr>
          <w:rFonts w:ascii="Arial" w:hAnsi="Arial" w:cs="Arial"/>
          <w:sz w:val="18"/>
          <w:szCs w:val="18"/>
        </w:rPr>
        <w:t>Sentencia C -510 de 2004</w:t>
      </w:r>
    </w:p>
  </w:footnote>
  <w:footnote w:id="18">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bdr w:val="none" w:sz="0" w:space="0" w:color="auto" w:frame="1"/>
        </w:rPr>
        <w:t> </w:t>
      </w:r>
      <w:r w:rsidRPr="000A2497">
        <w:rPr>
          <w:rFonts w:ascii="Arial" w:hAnsi="Arial" w:cs="Arial"/>
          <w:sz w:val="18"/>
          <w:szCs w:val="18"/>
        </w:rPr>
        <w:t>Sentencia T-709 de 2006</w:t>
      </w:r>
    </w:p>
  </w:footnote>
  <w:footnote w:id="19">
    <w:p w:rsidR="000C73AC" w:rsidRPr="000A2497" w:rsidRDefault="000C73AC" w:rsidP="000A2497">
      <w:pPr>
        <w:pStyle w:val="Textonotapie"/>
        <w:jc w:val="both"/>
        <w:rPr>
          <w:rFonts w:ascii="Arial" w:hAnsi="Arial" w:cs="Arial"/>
          <w:sz w:val="18"/>
          <w:szCs w:val="18"/>
        </w:rPr>
      </w:pPr>
      <w:r w:rsidRPr="000A2497">
        <w:rPr>
          <w:rStyle w:val="Refdenotaalpie"/>
          <w:rFonts w:ascii="Arial" w:hAnsi="Arial" w:cs="Arial"/>
          <w:sz w:val="18"/>
          <w:szCs w:val="18"/>
        </w:rPr>
        <w:footnoteRef/>
      </w:r>
      <w:r w:rsidRPr="000A2497">
        <w:rPr>
          <w:rFonts w:ascii="Arial" w:hAnsi="Arial" w:cs="Arial"/>
          <w:sz w:val="18"/>
          <w:szCs w:val="18"/>
        </w:rPr>
        <w:t xml:space="preserve"> Sentencia T-249 de 2001</w:t>
      </w:r>
    </w:p>
  </w:footnote>
  <w:footnote w:id="20">
    <w:p w:rsidR="006E7DFE" w:rsidRPr="000A2497" w:rsidRDefault="006E7DFE"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Pr="000A2497">
        <w:rPr>
          <w:rFonts w:ascii="Arial" w:hAnsi="Arial" w:cs="Arial"/>
          <w:sz w:val="18"/>
          <w:szCs w:val="18"/>
          <w:lang w:val="es-CO"/>
        </w:rPr>
        <w:t xml:space="preserve">Estado de emergencia que ha venido siendo ampliado mediante sucesivas normas, la última de ellas la Resolución 2230 de 2020, que lo amplía hasta el 28 de febrero de 2021. </w:t>
      </w:r>
    </w:p>
  </w:footnote>
  <w:footnote w:id="21">
    <w:p w:rsidR="00437D03" w:rsidRPr="000A2497" w:rsidRDefault="00437D03"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00E802F7" w:rsidRPr="000A2497">
        <w:rPr>
          <w:rFonts w:ascii="Arial" w:hAnsi="Arial" w:cs="Arial"/>
          <w:sz w:val="18"/>
          <w:szCs w:val="18"/>
          <w:lang w:val="es-CO"/>
        </w:rPr>
        <w:t>Folios 12 y 13 del documento 2</w:t>
      </w:r>
    </w:p>
  </w:footnote>
  <w:footnote w:id="22">
    <w:p w:rsidR="00437D03" w:rsidRPr="000A2497" w:rsidRDefault="00437D03"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00BA7AAF" w:rsidRPr="000A2497">
        <w:rPr>
          <w:rFonts w:ascii="Arial" w:hAnsi="Arial" w:cs="Arial"/>
          <w:sz w:val="18"/>
          <w:szCs w:val="18"/>
          <w:lang w:val="es-CO"/>
        </w:rPr>
        <w:t>Folios 18 del documento 2</w:t>
      </w:r>
    </w:p>
  </w:footnote>
  <w:footnote w:id="23">
    <w:p w:rsidR="00BA7AAF" w:rsidRPr="000A2497" w:rsidRDefault="00BA7AAF"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w:t>
      </w:r>
      <w:r w:rsidRPr="000A2497">
        <w:rPr>
          <w:rFonts w:ascii="Arial" w:hAnsi="Arial" w:cs="Arial"/>
          <w:sz w:val="18"/>
          <w:szCs w:val="18"/>
          <w:lang w:val="es-CO"/>
        </w:rPr>
        <w:t>Folios 17 del documento 2</w:t>
      </w:r>
    </w:p>
  </w:footnote>
  <w:footnote w:id="24">
    <w:p w:rsidR="00A44A88" w:rsidRPr="000A2497" w:rsidRDefault="00A44A88" w:rsidP="000A2497">
      <w:pPr>
        <w:pStyle w:val="Textonotapie"/>
        <w:jc w:val="both"/>
        <w:rPr>
          <w:rFonts w:ascii="Arial" w:hAnsi="Arial" w:cs="Arial"/>
          <w:sz w:val="18"/>
          <w:szCs w:val="18"/>
          <w:lang w:val="es-CO"/>
        </w:rPr>
      </w:pPr>
      <w:r w:rsidRPr="000A2497">
        <w:rPr>
          <w:rStyle w:val="Refdenotaalpie"/>
          <w:rFonts w:ascii="Arial" w:hAnsi="Arial" w:cs="Arial"/>
          <w:sz w:val="18"/>
          <w:szCs w:val="18"/>
        </w:rPr>
        <w:footnoteRef/>
      </w:r>
      <w:r w:rsidRPr="000A2497">
        <w:rPr>
          <w:rFonts w:ascii="Arial" w:hAnsi="Arial" w:cs="Arial"/>
          <w:sz w:val="18"/>
          <w:szCs w:val="18"/>
        </w:rPr>
        <w:t xml:space="preserve"> Documento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294ED0"/>
    <w:multiLevelType w:val="hybridMultilevel"/>
    <w:tmpl w:val="B52CEEBE"/>
    <w:lvl w:ilvl="0" w:tplc="BFBC0756">
      <w:numFmt w:val="bullet"/>
      <w:lvlText w:val="-"/>
      <w:lvlJc w:val="left"/>
      <w:pPr>
        <w:tabs>
          <w:tab w:val="num" w:pos="360"/>
        </w:tabs>
        <w:ind w:left="360" w:hanging="360"/>
      </w:pPr>
      <w:rPr>
        <w:rFonts w:ascii="Times New Roman" w:hAnsi="Times New Roman" w:cs="Times New Roman" w:hint="default"/>
      </w:rPr>
    </w:lvl>
    <w:lvl w:ilvl="1" w:tplc="DFE85D14">
      <w:numFmt w:val="decimal"/>
      <w:lvlText w:val=""/>
      <w:lvlJc w:val="left"/>
    </w:lvl>
    <w:lvl w:ilvl="2" w:tplc="48ECD646">
      <w:numFmt w:val="decimal"/>
      <w:lvlText w:val=""/>
      <w:lvlJc w:val="left"/>
    </w:lvl>
    <w:lvl w:ilvl="3" w:tplc="B25610F8">
      <w:numFmt w:val="decimal"/>
      <w:lvlText w:val=""/>
      <w:lvlJc w:val="left"/>
    </w:lvl>
    <w:lvl w:ilvl="4" w:tplc="5576EF02">
      <w:numFmt w:val="decimal"/>
      <w:lvlText w:val=""/>
      <w:lvlJc w:val="left"/>
    </w:lvl>
    <w:lvl w:ilvl="5" w:tplc="CE089F50">
      <w:numFmt w:val="decimal"/>
      <w:lvlText w:val=""/>
      <w:lvlJc w:val="left"/>
    </w:lvl>
    <w:lvl w:ilvl="6" w:tplc="3BD27992">
      <w:numFmt w:val="decimal"/>
      <w:lvlText w:val=""/>
      <w:lvlJc w:val="left"/>
    </w:lvl>
    <w:lvl w:ilvl="7" w:tplc="4112B7C4">
      <w:numFmt w:val="decimal"/>
      <w:lvlText w:val=""/>
      <w:lvlJc w:val="left"/>
    </w:lvl>
    <w:lvl w:ilvl="8" w:tplc="493A86BE">
      <w:numFmt w:val="decimal"/>
      <w:lvlText w:val=""/>
      <w:lvlJc w:val="left"/>
    </w:lvl>
  </w:abstractNum>
  <w:abstractNum w:abstractNumId="3"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7B00A3"/>
    <w:multiLevelType w:val="hybridMultilevel"/>
    <w:tmpl w:val="9400375E"/>
    <w:lvl w:ilvl="0" w:tplc="C7745942">
      <w:start w:val="1"/>
      <w:numFmt w:val="decimal"/>
      <w:lvlText w:val="%1."/>
      <w:lvlJc w:val="left"/>
      <w:pPr>
        <w:tabs>
          <w:tab w:val="num" w:pos="720"/>
        </w:tabs>
        <w:ind w:left="720" w:hanging="360"/>
      </w:pPr>
    </w:lvl>
    <w:lvl w:ilvl="1" w:tplc="D10C3468" w:tentative="1">
      <w:start w:val="1"/>
      <w:numFmt w:val="decimal"/>
      <w:lvlText w:val="%2."/>
      <w:lvlJc w:val="left"/>
      <w:pPr>
        <w:tabs>
          <w:tab w:val="num" w:pos="1440"/>
        </w:tabs>
        <w:ind w:left="1440" w:hanging="360"/>
      </w:pPr>
    </w:lvl>
    <w:lvl w:ilvl="2" w:tplc="DC6A90CA" w:tentative="1">
      <w:start w:val="1"/>
      <w:numFmt w:val="decimal"/>
      <w:lvlText w:val="%3."/>
      <w:lvlJc w:val="left"/>
      <w:pPr>
        <w:tabs>
          <w:tab w:val="num" w:pos="2160"/>
        </w:tabs>
        <w:ind w:left="2160" w:hanging="360"/>
      </w:pPr>
    </w:lvl>
    <w:lvl w:ilvl="3" w:tplc="415480DA" w:tentative="1">
      <w:start w:val="1"/>
      <w:numFmt w:val="decimal"/>
      <w:lvlText w:val="%4."/>
      <w:lvlJc w:val="left"/>
      <w:pPr>
        <w:tabs>
          <w:tab w:val="num" w:pos="2880"/>
        </w:tabs>
        <w:ind w:left="2880" w:hanging="360"/>
      </w:pPr>
    </w:lvl>
    <w:lvl w:ilvl="4" w:tplc="BB925A4C" w:tentative="1">
      <w:start w:val="1"/>
      <w:numFmt w:val="decimal"/>
      <w:lvlText w:val="%5."/>
      <w:lvlJc w:val="left"/>
      <w:pPr>
        <w:tabs>
          <w:tab w:val="num" w:pos="3600"/>
        </w:tabs>
        <w:ind w:left="3600" w:hanging="360"/>
      </w:pPr>
    </w:lvl>
    <w:lvl w:ilvl="5" w:tplc="79448558" w:tentative="1">
      <w:start w:val="1"/>
      <w:numFmt w:val="decimal"/>
      <w:lvlText w:val="%6."/>
      <w:lvlJc w:val="left"/>
      <w:pPr>
        <w:tabs>
          <w:tab w:val="num" w:pos="4320"/>
        </w:tabs>
        <w:ind w:left="4320" w:hanging="360"/>
      </w:pPr>
    </w:lvl>
    <w:lvl w:ilvl="6" w:tplc="FC16600A" w:tentative="1">
      <w:start w:val="1"/>
      <w:numFmt w:val="decimal"/>
      <w:lvlText w:val="%7."/>
      <w:lvlJc w:val="left"/>
      <w:pPr>
        <w:tabs>
          <w:tab w:val="num" w:pos="5040"/>
        </w:tabs>
        <w:ind w:left="5040" w:hanging="360"/>
      </w:pPr>
    </w:lvl>
    <w:lvl w:ilvl="7" w:tplc="C1FA3F1E" w:tentative="1">
      <w:start w:val="1"/>
      <w:numFmt w:val="decimal"/>
      <w:lvlText w:val="%8."/>
      <w:lvlJc w:val="left"/>
      <w:pPr>
        <w:tabs>
          <w:tab w:val="num" w:pos="5760"/>
        </w:tabs>
        <w:ind w:left="5760" w:hanging="360"/>
      </w:pPr>
    </w:lvl>
    <w:lvl w:ilvl="8" w:tplc="CB02AFE2" w:tentative="1">
      <w:start w:val="1"/>
      <w:numFmt w:val="decimal"/>
      <w:lvlText w:val="%9."/>
      <w:lvlJc w:val="left"/>
      <w:pPr>
        <w:tabs>
          <w:tab w:val="num" w:pos="6480"/>
        </w:tabs>
        <w:ind w:left="6480" w:hanging="360"/>
      </w:pPr>
    </w:lvl>
  </w:abstractNum>
  <w:abstractNum w:abstractNumId="6"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513D"/>
    <w:rsid w:val="000052F0"/>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9E8"/>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3DEC"/>
    <w:rsid w:val="00054202"/>
    <w:rsid w:val="00054CAF"/>
    <w:rsid w:val="00055408"/>
    <w:rsid w:val="00055572"/>
    <w:rsid w:val="0005630E"/>
    <w:rsid w:val="00056CED"/>
    <w:rsid w:val="00056D71"/>
    <w:rsid w:val="000571D6"/>
    <w:rsid w:val="000575B1"/>
    <w:rsid w:val="00057E02"/>
    <w:rsid w:val="00057E5B"/>
    <w:rsid w:val="00057F7B"/>
    <w:rsid w:val="00060A0F"/>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3F"/>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450A"/>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1B8"/>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249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0DE9"/>
    <w:rsid w:val="000B1221"/>
    <w:rsid w:val="000B1676"/>
    <w:rsid w:val="000B18BA"/>
    <w:rsid w:val="000B1B15"/>
    <w:rsid w:val="000B1D4E"/>
    <w:rsid w:val="000B20CF"/>
    <w:rsid w:val="000B31DA"/>
    <w:rsid w:val="000B3274"/>
    <w:rsid w:val="000B35BE"/>
    <w:rsid w:val="000B46F3"/>
    <w:rsid w:val="000B4CD6"/>
    <w:rsid w:val="000B4D49"/>
    <w:rsid w:val="000B55B2"/>
    <w:rsid w:val="000B56F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5FDC"/>
    <w:rsid w:val="000C6255"/>
    <w:rsid w:val="000C6719"/>
    <w:rsid w:val="000C73AC"/>
    <w:rsid w:val="000C73B4"/>
    <w:rsid w:val="000C7D99"/>
    <w:rsid w:val="000D03F8"/>
    <w:rsid w:val="000D1117"/>
    <w:rsid w:val="000D19C0"/>
    <w:rsid w:val="000D1AB5"/>
    <w:rsid w:val="000D1B37"/>
    <w:rsid w:val="000D1B93"/>
    <w:rsid w:val="000D1BEC"/>
    <w:rsid w:val="000D2315"/>
    <w:rsid w:val="000D2B34"/>
    <w:rsid w:val="000D2EDA"/>
    <w:rsid w:val="000D32A6"/>
    <w:rsid w:val="000D3984"/>
    <w:rsid w:val="000D4457"/>
    <w:rsid w:val="000D4727"/>
    <w:rsid w:val="000D4AD8"/>
    <w:rsid w:val="000D4EA9"/>
    <w:rsid w:val="000D54C0"/>
    <w:rsid w:val="000D5B1D"/>
    <w:rsid w:val="000D5BC5"/>
    <w:rsid w:val="000D5E91"/>
    <w:rsid w:val="000D6588"/>
    <w:rsid w:val="000D6F76"/>
    <w:rsid w:val="000D70CE"/>
    <w:rsid w:val="000D7420"/>
    <w:rsid w:val="000D7AA6"/>
    <w:rsid w:val="000D7C03"/>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53C"/>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1A6"/>
    <w:rsid w:val="001054DC"/>
    <w:rsid w:val="001054FB"/>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11D"/>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3C"/>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4FAD"/>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81E"/>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5C8A"/>
    <w:rsid w:val="001A6350"/>
    <w:rsid w:val="001A6CBB"/>
    <w:rsid w:val="001A7099"/>
    <w:rsid w:val="001A730D"/>
    <w:rsid w:val="001A76F3"/>
    <w:rsid w:val="001A7763"/>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130"/>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787"/>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E72AE"/>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BB3"/>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18"/>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41F3"/>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2E2E"/>
    <w:rsid w:val="002633D7"/>
    <w:rsid w:val="002638E0"/>
    <w:rsid w:val="00264381"/>
    <w:rsid w:val="00264872"/>
    <w:rsid w:val="002648D1"/>
    <w:rsid w:val="00264DC1"/>
    <w:rsid w:val="00265215"/>
    <w:rsid w:val="00265DDF"/>
    <w:rsid w:val="00265E77"/>
    <w:rsid w:val="002661E8"/>
    <w:rsid w:val="00266AF8"/>
    <w:rsid w:val="00267BBD"/>
    <w:rsid w:val="00267BCF"/>
    <w:rsid w:val="00270445"/>
    <w:rsid w:val="00270B09"/>
    <w:rsid w:val="00270E80"/>
    <w:rsid w:val="00271B1C"/>
    <w:rsid w:val="0027218A"/>
    <w:rsid w:val="00273392"/>
    <w:rsid w:val="00273FF8"/>
    <w:rsid w:val="00274136"/>
    <w:rsid w:val="0027477A"/>
    <w:rsid w:val="00274A6B"/>
    <w:rsid w:val="002752A2"/>
    <w:rsid w:val="002754F7"/>
    <w:rsid w:val="002755EE"/>
    <w:rsid w:val="00275729"/>
    <w:rsid w:val="002759BF"/>
    <w:rsid w:val="00275DF4"/>
    <w:rsid w:val="00276012"/>
    <w:rsid w:val="00276BA3"/>
    <w:rsid w:val="002772D2"/>
    <w:rsid w:val="002775E4"/>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634F"/>
    <w:rsid w:val="002870B5"/>
    <w:rsid w:val="00287BB5"/>
    <w:rsid w:val="00287BFD"/>
    <w:rsid w:val="0029067A"/>
    <w:rsid w:val="00291653"/>
    <w:rsid w:val="00291A64"/>
    <w:rsid w:val="0029382F"/>
    <w:rsid w:val="00293AE9"/>
    <w:rsid w:val="002953F1"/>
    <w:rsid w:val="00295B5E"/>
    <w:rsid w:val="00295EE2"/>
    <w:rsid w:val="00297011"/>
    <w:rsid w:val="0029724B"/>
    <w:rsid w:val="00297564"/>
    <w:rsid w:val="002976EE"/>
    <w:rsid w:val="00297A96"/>
    <w:rsid w:val="002A00BE"/>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1F38"/>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5C10"/>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5B"/>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7B1"/>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1F9E"/>
    <w:rsid w:val="003622F7"/>
    <w:rsid w:val="003629E0"/>
    <w:rsid w:val="003635D6"/>
    <w:rsid w:val="0036403A"/>
    <w:rsid w:val="0036413D"/>
    <w:rsid w:val="00364402"/>
    <w:rsid w:val="0036456B"/>
    <w:rsid w:val="00364836"/>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0F5"/>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284E"/>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01"/>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931"/>
    <w:rsid w:val="00423D5F"/>
    <w:rsid w:val="00423EED"/>
    <w:rsid w:val="00424F79"/>
    <w:rsid w:val="004251FF"/>
    <w:rsid w:val="004252F0"/>
    <w:rsid w:val="0042536B"/>
    <w:rsid w:val="00427015"/>
    <w:rsid w:val="004270D1"/>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92"/>
    <w:rsid w:val="004346C4"/>
    <w:rsid w:val="004356D7"/>
    <w:rsid w:val="004368C1"/>
    <w:rsid w:val="00437050"/>
    <w:rsid w:val="004377E7"/>
    <w:rsid w:val="00437AAB"/>
    <w:rsid w:val="00437D03"/>
    <w:rsid w:val="00440544"/>
    <w:rsid w:val="004417A2"/>
    <w:rsid w:val="0044217A"/>
    <w:rsid w:val="0044247D"/>
    <w:rsid w:val="004424B0"/>
    <w:rsid w:val="00442E6B"/>
    <w:rsid w:val="0044306D"/>
    <w:rsid w:val="00443255"/>
    <w:rsid w:val="00443AFA"/>
    <w:rsid w:val="00443E8D"/>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07C5"/>
    <w:rsid w:val="004816B2"/>
    <w:rsid w:val="00481CD5"/>
    <w:rsid w:val="00482E04"/>
    <w:rsid w:val="00483098"/>
    <w:rsid w:val="004836A9"/>
    <w:rsid w:val="00483825"/>
    <w:rsid w:val="00483AA1"/>
    <w:rsid w:val="00483D34"/>
    <w:rsid w:val="0048525B"/>
    <w:rsid w:val="0048537D"/>
    <w:rsid w:val="00486D5A"/>
    <w:rsid w:val="00486D62"/>
    <w:rsid w:val="004874FE"/>
    <w:rsid w:val="00487625"/>
    <w:rsid w:val="00490008"/>
    <w:rsid w:val="00490AA0"/>
    <w:rsid w:val="0049135E"/>
    <w:rsid w:val="00491554"/>
    <w:rsid w:val="0049176D"/>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0DDA"/>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2AC8"/>
    <w:rsid w:val="004D43A3"/>
    <w:rsid w:val="004D484A"/>
    <w:rsid w:val="004D51CA"/>
    <w:rsid w:val="004D60C2"/>
    <w:rsid w:val="004D623C"/>
    <w:rsid w:val="004D6E2A"/>
    <w:rsid w:val="004D727E"/>
    <w:rsid w:val="004D7545"/>
    <w:rsid w:val="004D7981"/>
    <w:rsid w:val="004D7B1E"/>
    <w:rsid w:val="004E0ABF"/>
    <w:rsid w:val="004E0E17"/>
    <w:rsid w:val="004E1BE9"/>
    <w:rsid w:val="004E1D1D"/>
    <w:rsid w:val="004E2D89"/>
    <w:rsid w:val="004E39CF"/>
    <w:rsid w:val="004E3CBE"/>
    <w:rsid w:val="004E3E88"/>
    <w:rsid w:val="004E3F48"/>
    <w:rsid w:val="004E4008"/>
    <w:rsid w:val="004E434B"/>
    <w:rsid w:val="004E4B7C"/>
    <w:rsid w:val="004E51A3"/>
    <w:rsid w:val="004E5D88"/>
    <w:rsid w:val="004E5F35"/>
    <w:rsid w:val="004F09F3"/>
    <w:rsid w:val="004F0AD3"/>
    <w:rsid w:val="004F11E5"/>
    <w:rsid w:val="004F1292"/>
    <w:rsid w:val="004F1FC3"/>
    <w:rsid w:val="004F205F"/>
    <w:rsid w:val="004F224F"/>
    <w:rsid w:val="004F26E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4F7CED"/>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0823"/>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65B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557"/>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210"/>
    <w:rsid w:val="005E031B"/>
    <w:rsid w:val="005E0458"/>
    <w:rsid w:val="005E1056"/>
    <w:rsid w:val="005E13C6"/>
    <w:rsid w:val="005E1CA3"/>
    <w:rsid w:val="005E1F60"/>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26F"/>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6AE"/>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2D9"/>
    <w:rsid w:val="00632334"/>
    <w:rsid w:val="00632A6B"/>
    <w:rsid w:val="00633AC0"/>
    <w:rsid w:val="00633EA3"/>
    <w:rsid w:val="00633FF6"/>
    <w:rsid w:val="006340CC"/>
    <w:rsid w:val="006355B0"/>
    <w:rsid w:val="00635816"/>
    <w:rsid w:val="00635E5C"/>
    <w:rsid w:val="006362B8"/>
    <w:rsid w:val="006367E9"/>
    <w:rsid w:val="00636A65"/>
    <w:rsid w:val="00636A9F"/>
    <w:rsid w:val="00636D54"/>
    <w:rsid w:val="0063711B"/>
    <w:rsid w:val="00637406"/>
    <w:rsid w:val="00640358"/>
    <w:rsid w:val="00640C68"/>
    <w:rsid w:val="00640E54"/>
    <w:rsid w:val="006416CE"/>
    <w:rsid w:val="0064183F"/>
    <w:rsid w:val="00641E6A"/>
    <w:rsid w:val="00641E71"/>
    <w:rsid w:val="00642000"/>
    <w:rsid w:val="006427D4"/>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A21"/>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7B1"/>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29A8"/>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5E5A"/>
    <w:rsid w:val="006C6117"/>
    <w:rsid w:val="006C6799"/>
    <w:rsid w:val="006C76C3"/>
    <w:rsid w:val="006C7D24"/>
    <w:rsid w:val="006D0214"/>
    <w:rsid w:val="006D0354"/>
    <w:rsid w:val="006D0A4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E7DF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57E"/>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17DD6"/>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64C"/>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1F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777"/>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74C"/>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482"/>
    <w:rsid w:val="007B7DAF"/>
    <w:rsid w:val="007C02C5"/>
    <w:rsid w:val="007C0835"/>
    <w:rsid w:val="007C0A05"/>
    <w:rsid w:val="007C0BC8"/>
    <w:rsid w:val="007C0BD3"/>
    <w:rsid w:val="007C17A4"/>
    <w:rsid w:val="007C1CFB"/>
    <w:rsid w:val="007C28BA"/>
    <w:rsid w:val="007C28CD"/>
    <w:rsid w:val="007C2A46"/>
    <w:rsid w:val="007C311C"/>
    <w:rsid w:val="007C38C6"/>
    <w:rsid w:val="007C3BDE"/>
    <w:rsid w:val="007C41CF"/>
    <w:rsid w:val="007C4797"/>
    <w:rsid w:val="007C53BD"/>
    <w:rsid w:val="007C5406"/>
    <w:rsid w:val="007C5876"/>
    <w:rsid w:val="007C5B65"/>
    <w:rsid w:val="007C5CB9"/>
    <w:rsid w:val="007C5D33"/>
    <w:rsid w:val="007C6945"/>
    <w:rsid w:val="007C6DA0"/>
    <w:rsid w:val="007C72F2"/>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305E"/>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73E"/>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27B7D"/>
    <w:rsid w:val="008300EF"/>
    <w:rsid w:val="0083057C"/>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1757"/>
    <w:rsid w:val="008421DF"/>
    <w:rsid w:val="00842EB3"/>
    <w:rsid w:val="0084318B"/>
    <w:rsid w:val="00843417"/>
    <w:rsid w:val="00843490"/>
    <w:rsid w:val="008435D8"/>
    <w:rsid w:val="00843CB0"/>
    <w:rsid w:val="00844A94"/>
    <w:rsid w:val="00844AAF"/>
    <w:rsid w:val="00844B57"/>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2AD"/>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833"/>
    <w:rsid w:val="008A0C14"/>
    <w:rsid w:val="008A148D"/>
    <w:rsid w:val="008A16F5"/>
    <w:rsid w:val="008A1EDF"/>
    <w:rsid w:val="008A2560"/>
    <w:rsid w:val="008A29A8"/>
    <w:rsid w:val="008A2C3F"/>
    <w:rsid w:val="008A2F69"/>
    <w:rsid w:val="008A3104"/>
    <w:rsid w:val="008A506C"/>
    <w:rsid w:val="008A5246"/>
    <w:rsid w:val="008A5400"/>
    <w:rsid w:val="008A5738"/>
    <w:rsid w:val="008A5B69"/>
    <w:rsid w:val="008A5CBC"/>
    <w:rsid w:val="008A6572"/>
    <w:rsid w:val="008A669B"/>
    <w:rsid w:val="008A7414"/>
    <w:rsid w:val="008B03D4"/>
    <w:rsid w:val="008B047D"/>
    <w:rsid w:val="008B069A"/>
    <w:rsid w:val="008B0DFC"/>
    <w:rsid w:val="008B110A"/>
    <w:rsid w:val="008B11A1"/>
    <w:rsid w:val="008B1C21"/>
    <w:rsid w:val="008B1D14"/>
    <w:rsid w:val="008B2AF1"/>
    <w:rsid w:val="008B33B5"/>
    <w:rsid w:val="008B3A6F"/>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2F91"/>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398E"/>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A06"/>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2C79"/>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6148"/>
    <w:rsid w:val="00997862"/>
    <w:rsid w:val="009A065E"/>
    <w:rsid w:val="009A089A"/>
    <w:rsid w:val="009A22E6"/>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53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1EC2"/>
    <w:rsid w:val="00A23544"/>
    <w:rsid w:val="00A24109"/>
    <w:rsid w:val="00A245E5"/>
    <w:rsid w:val="00A24AB2"/>
    <w:rsid w:val="00A24E9F"/>
    <w:rsid w:val="00A25683"/>
    <w:rsid w:val="00A257AC"/>
    <w:rsid w:val="00A257D8"/>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1E88"/>
    <w:rsid w:val="00A421FF"/>
    <w:rsid w:val="00A4269C"/>
    <w:rsid w:val="00A42E02"/>
    <w:rsid w:val="00A42F6B"/>
    <w:rsid w:val="00A43C7C"/>
    <w:rsid w:val="00A43CC8"/>
    <w:rsid w:val="00A4449F"/>
    <w:rsid w:val="00A44A88"/>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6A6"/>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6969"/>
    <w:rsid w:val="00A8734A"/>
    <w:rsid w:val="00A8764F"/>
    <w:rsid w:val="00A8788B"/>
    <w:rsid w:val="00A90AF5"/>
    <w:rsid w:val="00A90F59"/>
    <w:rsid w:val="00A91367"/>
    <w:rsid w:val="00A9178D"/>
    <w:rsid w:val="00A91BAC"/>
    <w:rsid w:val="00A921E6"/>
    <w:rsid w:val="00A92488"/>
    <w:rsid w:val="00A928E4"/>
    <w:rsid w:val="00A92CC4"/>
    <w:rsid w:val="00A92F6E"/>
    <w:rsid w:val="00A93679"/>
    <w:rsid w:val="00A94183"/>
    <w:rsid w:val="00A953A5"/>
    <w:rsid w:val="00A95421"/>
    <w:rsid w:val="00A95442"/>
    <w:rsid w:val="00A95502"/>
    <w:rsid w:val="00A96BF9"/>
    <w:rsid w:val="00A97438"/>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3F4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5A4"/>
    <w:rsid w:val="00B125DE"/>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333D"/>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2C9"/>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51F"/>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AAF"/>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3B5B"/>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1E1"/>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4FC7"/>
    <w:rsid w:val="00C2537E"/>
    <w:rsid w:val="00C25633"/>
    <w:rsid w:val="00C2569E"/>
    <w:rsid w:val="00C25A5A"/>
    <w:rsid w:val="00C25E8D"/>
    <w:rsid w:val="00C26349"/>
    <w:rsid w:val="00C27379"/>
    <w:rsid w:val="00C2783B"/>
    <w:rsid w:val="00C27841"/>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1D7"/>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5D29"/>
    <w:rsid w:val="00C4618B"/>
    <w:rsid w:val="00C4635E"/>
    <w:rsid w:val="00C466EE"/>
    <w:rsid w:val="00C46762"/>
    <w:rsid w:val="00C47529"/>
    <w:rsid w:val="00C50CF7"/>
    <w:rsid w:val="00C5135C"/>
    <w:rsid w:val="00C51386"/>
    <w:rsid w:val="00C51A76"/>
    <w:rsid w:val="00C54302"/>
    <w:rsid w:val="00C54403"/>
    <w:rsid w:val="00C54853"/>
    <w:rsid w:val="00C54923"/>
    <w:rsid w:val="00C54C9F"/>
    <w:rsid w:val="00C551AF"/>
    <w:rsid w:val="00C55981"/>
    <w:rsid w:val="00C55CE9"/>
    <w:rsid w:val="00C55F32"/>
    <w:rsid w:val="00C56FEC"/>
    <w:rsid w:val="00C57400"/>
    <w:rsid w:val="00C5759C"/>
    <w:rsid w:val="00C57721"/>
    <w:rsid w:val="00C5792C"/>
    <w:rsid w:val="00C603A5"/>
    <w:rsid w:val="00C608F9"/>
    <w:rsid w:val="00C60C1E"/>
    <w:rsid w:val="00C61602"/>
    <w:rsid w:val="00C61659"/>
    <w:rsid w:val="00C61BC5"/>
    <w:rsid w:val="00C61DA6"/>
    <w:rsid w:val="00C62780"/>
    <w:rsid w:val="00C62AE6"/>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5EF2"/>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1185"/>
    <w:rsid w:val="00CB2066"/>
    <w:rsid w:val="00CB2DA5"/>
    <w:rsid w:val="00CB2F17"/>
    <w:rsid w:val="00CB38F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7CA"/>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659E"/>
    <w:rsid w:val="00CE71F2"/>
    <w:rsid w:val="00CF01B9"/>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D9B"/>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6A3B"/>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A7E"/>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2F42"/>
    <w:rsid w:val="00D731C8"/>
    <w:rsid w:val="00D73C55"/>
    <w:rsid w:val="00D73E28"/>
    <w:rsid w:val="00D73F28"/>
    <w:rsid w:val="00D74F0A"/>
    <w:rsid w:val="00D76A9E"/>
    <w:rsid w:val="00D76D78"/>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91C"/>
    <w:rsid w:val="00D85BAE"/>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C8B"/>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2CFA"/>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4F3D"/>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763"/>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705"/>
    <w:rsid w:val="00E55846"/>
    <w:rsid w:val="00E5587A"/>
    <w:rsid w:val="00E55AF1"/>
    <w:rsid w:val="00E55DC1"/>
    <w:rsid w:val="00E56239"/>
    <w:rsid w:val="00E56EBB"/>
    <w:rsid w:val="00E5772F"/>
    <w:rsid w:val="00E57FE9"/>
    <w:rsid w:val="00E6010E"/>
    <w:rsid w:val="00E603D8"/>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602"/>
    <w:rsid w:val="00E77B06"/>
    <w:rsid w:val="00E77D1B"/>
    <w:rsid w:val="00E802F7"/>
    <w:rsid w:val="00E8033E"/>
    <w:rsid w:val="00E80B7C"/>
    <w:rsid w:val="00E81072"/>
    <w:rsid w:val="00E81786"/>
    <w:rsid w:val="00E81B07"/>
    <w:rsid w:val="00E82035"/>
    <w:rsid w:val="00E82572"/>
    <w:rsid w:val="00E82DA6"/>
    <w:rsid w:val="00E83258"/>
    <w:rsid w:val="00E836B3"/>
    <w:rsid w:val="00E83A52"/>
    <w:rsid w:val="00E845C1"/>
    <w:rsid w:val="00E84E4F"/>
    <w:rsid w:val="00E8500A"/>
    <w:rsid w:val="00E856F9"/>
    <w:rsid w:val="00E862BC"/>
    <w:rsid w:val="00E86670"/>
    <w:rsid w:val="00E86672"/>
    <w:rsid w:val="00E86F03"/>
    <w:rsid w:val="00E900D7"/>
    <w:rsid w:val="00E920EC"/>
    <w:rsid w:val="00E92221"/>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0D5E"/>
    <w:rsid w:val="00EA1257"/>
    <w:rsid w:val="00EA148C"/>
    <w:rsid w:val="00EA1767"/>
    <w:rsid w:val="00EA18BE"/>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6F6"/>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A5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8DF"/>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64"/>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4EFA"/>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A5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29E"/>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7790C"/>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1E2B"/>
    <w:rsid w:val="00F9281E"/>
    <w:rsid w:val="00F94059"/>
    <w:rsid w:val="00F945EC"/>
    <w:rsid w:val="00F947A0"/>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1C68"/>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8E3"/>
    <w:rsid w:val="00FE5A95"/>
    <w:rsid w:val="00FE603B"/>
    <w:rsid w:val="00FE6773"/>
    <w:rsid w:val="00FE688A"/>
    <w:rsid w:val="00FE764D"/>
    <w:rsid w:val="00FE7A92"/>
    <w:rsid w:val="00FE7CE8"/>
    <w:rsid w:val="00FF0B2F"/>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696C4D"/>
    <w:rsid w:val="035DF11B"/>
    <w:rsid w:val="03B0100E"/>
    <w:rsid w:val="04744528"/>
    <w:rsid w:val="04F10860"/>
    <w:rsid w:val="04FFC81A"/>
    <w:rsid w:val="081A7473"/>
    <w:rsid w:val="08D844F2"/>
    <w:rsid w:val="09F1A08B"/>
    <w:rsid w:val="0A0BF954"/>
    <w:rsid w:val="0B1B3A2B"/>
    <w:rsid w:val="0B246F22"/>
    <w:rsid w:val="0BD5C6D9"/>
    <w:rsid w:val="0DF5E7CE"/>
    <w:rsid w:val="11175AF0"/>
    <w:rsid w:val="1174E105"/>
    <w:rsid w:val="17A97A4C"/>
    <w:rsid w:val="18C72655"/>
    <w:rsid w:val="18F19665"/>
    <w:rsid w:val="1A113595"/>
    <w:rsid w:val="1A32EED0"/>
    <w:rsid w:val="1A69CED8"/>
    <w:rsid w:val="1EAEBB74"/>
    <w:rsid w:val="1F3C8130"/>
    <w:rsid w:val="2677C52E"/>
    <w:rsid w:val="27587818"/>
    <w:rsid w:val="28908172"/>
    <w:rsid w:val="29B94DE0"/>
    <w:rsid w:val="2DF268DB"/>
    <w:rsid w:val="3056B44F"/>
    <w:rsid w:val="322D3084"/>
    <w:rsid w:val="327F0CDC"/>
    <w:rsid w:val="33ABEADA"/>
    <w:rsid w:val="33C5538A"/>
    <w:rsid w:val="33EBE3DC"/>
    <w:rsid w:val="34C0A063"/>
    <w:rsid w:val="353DFA3D"/>
    <w:rsid w:val="376C4184"/>
    <w:rsid w:val="3909FAE2"/>
    <w:rsid w:val="3936A5CC"/>
    <w:rsid w:val="3A43CA4C"/>
    <w:rsid w:val="3AC30DE8"/>
    <w:rsid w:val="3B3D2440"/>
    <w:rsid w:val="3CC84259"/>
    <w:rsid w:val="3E508A36"/>
    <w:rsid w:val="3F7FBF3F"/>
    <w:rsid w:val="402BCC26"/>
    <w:rsid w:val="40AE3694"/>
    <w:rsid w:val="42102827"/>
    <w:rsid w:val="4210DEC6"/>
    <w:rsid w:val="4296C69E"/>
    <w:rsid w:val="438638B5"/>
    <w:rsid w:val="464DB9B7"/>
    <w:rsid w:val="470AB34C"/>
    <w:rsid w:val="48A569AE"/>
    <w:rsid w:val="48EBEF0C"/>
    <w:rsid w:val="48F9798B"/>
    <w:rsid w:val="49CAB8EB"/>
    <w:rsid w:val="4B3CC62A"/>
    <w:rsid w:val="4CC9DA41"/>
    <w:rsid w:val="4D1BCBF9"/>
    <w:rsid w:val="4E21083A"/>
    <w:rsid w:val="4EA0DD00"/>
    <w:rsid w:val="4F2F0142"/>
    <w:rsid w:val="500B2CE7"/>
    <w:rsid w:val="50125C53"/>
    <w:rsid w:val="50C0E66A"/>
    <w:rsid w:val="517F8D3B"/>
    <w:rsid w:val="572E3A07"/>
    <w:rsid w:val="5764BC01"/>
    <w:rsid w:val="57935C6E"/>
    <w:rsid w:val="57FA4E71"/>
    <w:rsid w:val="58FF90C2"/>
    <w:rsid w:val="59644F0D"/>
    <w:rsid w:val="5E018119"/>
    <w:rsid w:val="5F04A071"/>
    <w:rsid w:val="5FAE75AA"/>
    <w:rsid w:val="5FFA363A"/>
    <w:rsid w:val="63A4EED9"/>
    <w:rsid w:val="658FB8A8"/>
    <w:rsid w:val="66487E4A"/>
    <w:rsid w:val="68386EF0"/>
    <w:rsid w:val="6899BBCF"/>
    <w:rsid w:val="6B8E504B"/>
    <w:rsid w:val="6BA9C851"/>
    <w:rsid w:val="6C1BD76D"/>
    <w:rsid w:val="6C40996F"/>
    <w:rsid w:val="6D74D20E"/>
    <w:rsid w:val="6FB17A98"/>
    <w:rsid w:val="72B38D7D"/>
    <w:rsid w:val="75425C29"/>
    <w:rsid w:val="75850428"/>
    <w:rsid w:val="76D42171"/>
    <w:rsid w:val="77616F40"/>
    <w:rsid w:val="776D21C1"/>
    <w:rsid w:val="783F3F22"/>
    <w:rsid w:val="795C9AC7"/>
    <w:rsid w:val="79D46BA7"/>
    <w:rsid w:val="79F3A83E"/>
    <w:rsid w:val="79F6D1E8"/>
    <w:rsid w:val="7A80D6AE"/>
    <w:rsid w:val="7B00849E"/>
    <w:rsid w:val="7B7EDE50"/>
    <w:rsid w:val="7BEA13E8"/>
    <w:rsid w:val="7D7A59C5"/>
    <w:rsid w:val="7DCE9390"/>
    <w:rsid w:val="7DE86042"/>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00EC0"/>
  <w15:docId w15:val="{A9A71A5F-904D-4F05-A661-D189A699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qFormat/>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44B57"/>
    <w:pPr>
      <w:overflowPunct/>
      <w:autoSpaceDE/>
      <w:autoSpaceDN/>
      <w:adjustRightInd/>
      <w:jc w:val="both"/>
      <w:textAlignment w:val="auto"/>
    </w:pPr>
    <w:rPr>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3980">
      <w:bodyDiv w:val="1"/>
      <w:marLeft w:val="0"/>
      <w:marRight w:val="0"/>
      <w:marTop w:val="0"/>
      <w:marBottom w:val="0"/>
      <w:divBdr>
        <w:top w:val="none" w:sz="0" w:space="0" w:color="auto"/>
        <w:left w:val="none" w:sz="0" w:space="0" w:color="auto"/>
        <w:bottom w:val="none" w:sz="0" w:space="0" w:color="auto"/>
        <w:right w:val="none" w:sz="0" w:space="0" w:color="auto"/>
      </w:divBdr>
    </w:div>
    <w:div w:id="2042247236">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1049A-9432-4F80-9457-6A491C01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4.xml><?xml version="1.0" encoding="utf-8"?>
<ds:datastoreItem xmlns:ds="http://schemas.openxmlformats.org/officeDocument/2006/customXml" ds:itemID="{B66CAB48-072B-4DAE-91C4-B9AC2692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3841</Words>
  <Characters>21130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Hermides Alonso Gaviria Ocampo</cp:lastModifiedBy>
  <cp:revision>19</cp:revision>
  <cp:lastPrinted>2019-11-25T12:26:00Z</cp:lastPrinted>
  <dcterms:created xsi:type="dcterms:W3CDTF">2021-02-17T14:21:00Z</dcterms:created>
  <dcterms:modified xsi:type="dcterms:W3CDTF">2021-03-19T22:57:00Z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