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2B8A6" w14:textId="77777777" w:rsidR="00876919" w:rsidRPr="00876919" w:rsidRDefault="00876919" w:rsidP="0087691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87691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E27081" w14:textId="77777777" w:rsidR="00876919" w:rsidRPr="00876919" w:rsidRDefault="00876919" w:rsidP="00876919">
      <w:pPr>
        <w:overflowPunct/>
        <w:autoSpaceDE/>
        <w:autoSpaceDN/>
        <w:adjustRightInd/>
        <w:jc w:val="both"/>
        <w:textAlignment w:val="auto"/>
        <w:rPr>
          <w:rFonts w:ascii="Arial" w:hAnsi="Arial" w:cs="Arial"/>
          <w:lang w:val="es-419"/>
        </w:rPr>
      </w:pPr>
    </w:p>
    <w:p w14:paraId="146D5349" w14:textId="32263B50" w:rsidR="00876919" w:rsidRPr="00876919" w:rsidRDefault="00876919" w:rsidP="00876919">
      <w:pPr>
        <w:overflowPunct/>
        <w:autoSpaceDE/>
        <w:autoSpaceDN/>
        <w:adjustRightInd/>
        <w:jc w:val="both"/>
        <w:textAlignment w:val="auto"/>
        <w:rPr>
          <w:rFonts w:ascii="Arial" w:hAnsi="Arial" w:cs="Arial"/>
          <w:b/>
          <w:bCs/>
          <w:iCs/>
          <w:lang w:val="es-419" w:eastAsia="fr-FR"/>
        </w:rPr>
      </w:pPr>
      <w:r w:rsidRPr="00876919">
        <w:rPr>
          <w:rFonts w:ascii="Arial" w:hAnsi="Arial" w:cs="Arial"/>
          <w:b/>
          <w:bCs/>
          <w:iCs/>
          <w:u w:val="single"/>
          <w:lang w:val="es-419" w:eastAsia="fr-FR"/>
        </w:rPr>
        <w:t>TEMAS:</w:t>
      </w:r>
      <w:r w:rsidRPr="00876919">
        <w:rPr>
          <w:rFonts w:ascii="Arial" w:hAnsi="Arial" w:cs="Arial"/>
          <w:b/>
          <w:bCs/>
          <w:iCs/>
          <w:lang w:val="es-419" w:eastAsia="fr-FR"/>
        </w:rPr>
        <w:tab/>
      </w:r>
      <w:r w:rsidRPr="00876919">
        <w:rPr>
          <w:rFonts w:ascii="Arial" w:hAnsi="Arial" w:cs="Arial"/>
          <w:b/>
          <w:lang w:val="es-419"/>
        </w:rPr>
        <w:t>R</w:t>
      </w:r>
      <w:r w:rsidR="00136B8E">
        <w:rPr>
          <w:rFonts w:ascii="Arial" w:hAnsi="Arial" w:cs="Arial"/>
          <w:b/>
          <w:lang w:val="es-419"/>
        </w:rPr>
        <w:t xml:space="preserve">ECURSO DE APELACIÓN / REQUISITOS </w:t>
      </w:r>
      <w:r w:rsidRPr="00876919">
        <w:rPr>
          <w:rFonts w:ascii="Arial" w:hAnsi="Arial" w:cs="Arial"/>
          <w:b/>
          <w:bCs/>
          <w:iCs/>
          <w:lang w:val="es-419" w:eastAsia="fr-FR"/>
        </w:rPr>
        <w:t xml:space="preserve">/ </w:t>
      </w:r>
      <w:r w:rsidR="00136B8E">
        <w:rPr>
          <w:rFonts w:ascii="Arial" w:hAnsi="Arial" w:cs="Arial"/>
          <w:b/>
          <w:bCs/>
          <w:iCs/>
          <w:lang w:val="es-419" w:eastAsia="fr-FR"/>
        </w:rPr>
        <w:t>LEGITIMACIÓN PARA RECURRIR / NULIDAD PROCESAL POR INDEBIDA NOTIFICACIÓN / SOLO PUEDE ALEGARLA EL AFECTADO / UN TERCERO NO PUEDE NI PROPONERLA NI APELAR LA DECISIÓN.</w:t>
      </w:r>
    </w:p>
    <w:p w14:paraId="4120C53A" w14:textId="77777777" w:rsidR="00876919" w:rsidRPr="00876919" w:rsidRDefault="00876919" w:rsidP="00876919">
      <w:pPr>
        <w:overflowPunct/>
        <w:autoSpaceDE/>
        <w:autoSpaceDN/>
        <w:adjustRightInd/>
        <w:jc w:val="both"/>
        <w:textAlignment w:val="auto"/>
        <w:rPr>
          <w:rFonts w:ascii="Arial" w:hAnsi="Arial" w:cs="Arial"/>
          <w:lang w:val="es-419"/>
        </w:rPr>
      </w:pPr>
    </w:p>
    <w:p w14:paraId="704EB844" w14:textId="77777777" w:rsidR="008D6D18" w:rsidRPr="008D6D18" w:rsidRDefault="008D6D18" w:rsidP="008D6D18">
      <w:pPr>
        <w:overflowPunct/>
        <w:autoSpaceDE/>
        <w:autoSpaceDN/>
        <w:adjustRightInd/>
        <w:jc w:val="both"/>
        <w:textAlignment w:val="auto"/>
        <w:rPr>
          <w:rFonts w:ascii="Arial" w:hAnsi="Arial" w:cs="Arial"/>
          <w:lang w:val="es-419"/>
        </w:rPr>
      </w:pPr>
      <w:r w:rsidRPr="008D6D18">
        <w:rPr>
          <w:rFonts w:ascii="Arial" w:hAnsi="Arial" w:cs="Arial"/>
          <w:lang w:val="es-419"/>
        </w:rPr>
        <w:t>De conformidad con los artículos 320, 321 y 322 del Código General del Proceso, para la admisión de un recurso de apelación es necesario que se cumplan las siguientes condiciones:</w:t>
      </w:r>
    </w:p>
    <w:p w14:paraId="16FFF726" w14:textId="77777777" w:rsidR="008D6D18" w:rsidRPr="008D6D18" w:rsidRDefault="008D6D18" w:rsidP="008D6D18">
      <w:pPr>
        <w:overflowPunct/>
        <w:autoSpaceDE/>
        <w:autoSpaceDN/>
        <w:adjustRightInd/>
        <w:jc w:val="both"/>
        <w:textAlignment w:val="auto"/>
        <w:rPr>
          <w:rFonts w:ascii="Arial" w:hAnsi="Arial" w:cs="Arial"/>
          <w:lang w:val="es-419"/>
        </w:rPr>
      </w:pPr>
    </w:p>
    <w:p w14:paraId="74B93CC0" w14:textId="77777777" w:rsidR="008D6D18" w:rsidRPr="008D6D18" w:rsidRDefault="008D6D18" w:rsidP="008D6D18">
      <w:pPr>
        <w:overflowPunct/>
        <w:autoSpaceDE/>
        <w:autoSpaceDN/>
        <w:adjustRightInd/>
        <w:jc w:val="both"/>
        <w:textAlignment w:val="auto"/>
        <w:rPr>
          <w:rFonts w:ascii="Arial" w:hAnsi="Arial" w:cs="Arial"/>
          <w:lang w:val="es-419"/>
        </w:rPr>
      </w:pPr>
      <w:r w:rsidRPr="008D6D18">
        <w:rPr>
          <w:rFonts w:ascii="Arial" w:hAnsi="Arial" w:cs="Arial"/>
          <w:lang w:val="es-419"/>
        </w:rPr>
        <w:t>a)</w:t>
      </w:r>
      <w:r w:rsidRPr="008D6D18">
        <w:rPr>
          <w:rFonts w:ascii="Arial" w:hAnsi="Arial" w:cs="Arial"/>
          <w:lang w:val="es-419"/>
        </w:rPr>
        <w:tab/>
        <w:t>Que la providencia materia de impugnación sea susceptible de apelación.</w:t>
      </w:r>
    </w:p>
    <w:p w14:paraId="015C8AB0" w14:textId="77777777" w:rsidR="008D6D18" w:rsidRPr="008D6D18" w:rsidRDefault="008D6D18" w:rsidP="008D6D18">
      <w:pPr>
        <w:overflowPunct/>
        <w:autoSpaceDE/>
        <w:autoSpaceDN/>
        <w:adjustRightInd/>
        <w:jc w:val="both"/>
        <w:textAlignment w:val="auto"/>
        <w:rPr>
          <w:rFonts w:ascii="Arial" w:hAnsi="Arial" w:cs="Arial"/>
          <w:lang w:val="es-419"/>
        </w:rPr>
      </w:pPr>
      <w:r w:rsidRPr="008D6D18">
        <w:rPr>
          <w:rFonts w:ascii="Arial" w:hAnsi="Arial" w:cs="Arial"/>
          <w:lang w:val="es-419"/>
        </w:rPr>
        <w:tab/>
      </w:r>
    </w:p>
    <w:p w14:paraId="56413C02" w14:textId="77777777" w:rsidR="008D6D18" w:rsidRPr="008D6D18" w:rsidRDefault="008D6D18" w:rsidP="008D6D18">
      <w:pPr>
        <w:overflowPunct/>
        <w:autoSpaceDE/>
        <w:autoSpaceDN/>
        <w:adjustRightInd/>
        <w:jc w:val="both"/>
        <w:textAlignment w:val="auto"/>
        <w:rPr>
          <w:rFonts w:ascii="Arial" w:hAnsi="Arial" w:cs="Arial"/>
          <w:lang w:val="es-419"/>
        </w:rPr>
      </w:pPr>
      <w:r w:rsidRPr="008D6D18">
        <w:rPr>
          <w:rFonts w:ascii="Arial" w:hAnsi="Arial" w:cs="Arial"/>
          <w:lang w:val="es-419"/>
        </w:rPr>
        <w:t>b)</w:t>
      </w:r>
      <w:r w:rsidRPr="008D6D18">
        <w:rPr>
          <w:rFonts w:ascii="Arial" w:hAnsi="Arial" w:cs="Arial"/>
          <w:lang w:val="es-419"/>
        </w:rPr>
        <w:tab/>
        <w:t>Que el apelante tenga legitimación para recurrir.</w:t>
      </w:r>
    </w:p>
    <w:p w14:paraId="1FA7E9CD" w14:textId="77777777" w:rsidR="008D6D18" w:rsidRPr="008D6D18" w:rsidRDefault="008D6D18" w:rsidP="008D6D18">
      <w:pPr>
        <w:overflowPunct/>
        <w:autoSpaceDE/>
        <w:autoSpaceDN/>
        <w:adjustRightInd/>
        <w:jc w:val="both"/>
        <w:textAlignment w:val="auto"/>
        <w:rPr>
          <w:rFonts w:ascii="Arial" w:hAnsi="Arial" w:cs="Arial"/>
          <w:lang w:val="es-419"/>
        </w:rPr>
      </w:pPr>
    </w:p>
    <w:p w14:paraId="07C130F2" w14:textId="77777777" w:rsidR="008D6D18" w:rsidRPr="008D6D18" w:rsidRDefault="008D6D18" w:rsidP="008D6D18">
      <w:pPr>
        <w:overflowPunct/>
        <w:autoSpaceDE/>
        <w:autoSpaceDN/>
        <w:adjustRightInd/>
        <w:jc w:val="both"/>
        <w:textAlignment w:val="auto"/>
        <w:rPr>
          <w:rFonts w:ascii="Arial" w:hAnsi="Arial" w:cs="Arial"/>
          <w:lang w:val="es-419"/>
        </w:rPr>
      </w:pPr>
      <w:r w:rsidRPr="008D6D18">
        <w:rPr>
          <w:rFonts w:ascii="Arial" w:hAnsi="Arial" w:cs="Arial"/>
          <w:lang w:val="es-419"/>
        </w:rPr>
        <w:t>c)</w:t>
      </w:r>
      <w:r w:rsidRPr="008D6D18">
        <w:rPr>
          <w:rFonts w:ascii="Arial" w:hAnsi="Arial" w:cs="Arial"/>
          <w:lang w:val="es-419"/>
        </w:rPr>
        <w:tab/>
        <w:t>Que el apelante tenga interés jurídico que justifique el recurso.</w:t>
      </w:r>
    </w:p>
    <w:p w14:paraId="197F74BB" w14:textId="77777777" w:rsidR="008D6D18" w:rsidRPr="008D6D18" w:rsidRDefault="008D6D18" w:rsidP="008D6D18">
      <w:pPr>
        <w:overflowPunct/>
        <w:autoSpaceDE/>
        <w:autoSpaceDN/>
        <w:adjustRightInd/>
        <w:jc w:val="both"/>
        <w:textAlignment w:val="auto"/>
        <w:rPr>
          <w:rFonts w:ascii="Arial" w:hAnsi="Arial" w:cs="Arial"/>
          <w:lang w:val="es-419"/>
        </w:rPr>
      </w:pPr>
      <w:r w:rsidRPr="008D6D18">
        <w:rPr>
          <w:rFonts w:ascii="Arial" w:hAnsi="Arial" w:cs="Arial"/>
          <w:lang w:val="es-419"/>
        </w:rPr>
        <w:tab/>
      </w:r>
    </w:p>
    <w:p w14:paraId="49ADE1FB" w14:textId="77777777" w:rsidR="008D6D18" w:rsidRPr="008D6D18" w:rsidRDefault="008D6D18" w:rsidP="008D6D18">
      <w:pPr>
        <w:overflowPunct/>
        <w:autoSpaceDE/>
        <w:autoSpaceDN/>
        <w:adjustRightInd/>
        <w:jc w:val="both"/>
        <w:textAlignment w:val="auto"/>
        <w:rPr>
          <w:rFonts w:ascii="Arial" w:hAnsi="Arial" w:cs="Arial"/>
          <w:lang w:val="es-419"/>
        </w:rPr>
      </w:pPr>
      <w:r w:rsidRPr="008D6D18">
        <w:rPr>
          <w:rFonts w:ascii="Arial" w:hAnsi="Arial" w:cs="Arial"/>
          <w:lang w:val="es-419"/>
        </w:rPr>
        <w:t>d)</w:t>
      </w:r>
      <w:r w:rsidRPr="008D6D18">
        <w:rPr>
          <w:rFonts w:ascii="Arial" w:hAnsi="Arial" w:cs="Arial"/>
          <w:lang w:val="es-419"/>
        </w:rPr>
        <w:tab/>
        <w:t>Que el recurso se interponga en tiempo y con las formalidades que la ley establece.</w:t>
      </w:r>
    </w:p>
    <w:p w14:paraId="2EC32EEE" w14:textId="77777777" w:rsidR="008D6D18" w:rsidRPr="008D6D18" w:rsidRDefault="008D6D18" w:rsidP="008D6D18">
      <w:pPr>
        <w:overflowPunct/>
        <w:autoSpaceDE/>
        <w:autoSpaceDN/>
        <w:adjustRightInd/>
        <w:jc w:val="both"/>
        <w:textAlignment w:val="auto"/>
        <w:rPr>
          <w:rFonts w:ascii="Arial" w:hAnsi="Arial" w:cs="Arial"/>
          <w:lang w:val="es-419"/>
        </w:rPr>
      </w:pPr>
    </w:p>
    <w:p w14:paraId="10EC24A6" w14:textId="77777777" w:rsidR="008D6D18" w:rsidRPr="008D6D18" w:rsidRDefault="008D6D18" w:rsidP="008D6D18">
      <w:pPr>
        <w:overflowPunct/>
        <w:autoSpaceDE/>
        <w:autoSpaceDN/>
        <w:adjustRightInd/>
        <w:jc w:val="both"/>
        <w:textAlignment w:val="auto"/>
        <w:rPr>
          <w:rFonts w:ascii="Arial" w:hAnsi="Arial" w:cs="Arial"/>
          <w:lang w:val="es-419"/>
        </w:rPr>
      </w:pPr>
      <w:r w:rsidRPr="008D6D18">
        <w:rPr>
          <w:rFonts w:ascii="Arial" w:hAnsi="Arial" w:cs="Arial"/>
          <w:lang w:val="es-419"/>
        </w:rPr>
        <w:t xml:space="preserve">De tales requisitos, sin mayores disquisiciones se advierte, de entrada, que no se satisface el segundo, pues la decisión censurada tiene como legítimo interesado a la Sociedad </w:t>
      </w:r>
      <w:proofErr w:type="spellStart"/>
      <w:r w:rsidRPr="008D6D18">
        <w:rPr>
          <w:rFonts w:ascii="Arial" w:hAnsi="Arial" w:cs="Arial"/>
          <w:lang w:val="es-419"/>
        </w:rPr>
        <w:t>Arquitecture</w:t>
      </w:r>
      <w:proofErr w:type="spellEnd"/>
      <w:r w:rsidRPr="008D6D18">
        <w:rPr>
          <w:rFonts w:ascii="Arial" w:hAnsi="Arial" w:cs="Arial"/>
          <w:lang w:val="es-419"/>
        </w:rPr>
        <w:t xml:space="preserve"> SAS, que no a la recurrente.</w:t>
      </w:r>
    </w:p>
    <w:p w14:paraId="4E46B305" w14:textId="77777777" w:rsidR="008D6D18" w:rsidRPr="008D6D18" w:rsidRDefault="008D6D18" w:rsidP="008D6D18">
      <w:pPr>
        <w:overflowPunct/>
        <w:autoSpaceDE/>
        <w:autoSpaceDN/>
        <w:adjustRightInd/>
        <w:jc w:val="both"/>
        <w:textAlignment w:val="auto"/>
        <w:rPr>
          <w:rFonts w:ascii="Arial" w:hAnsi="Arial" w:cs="Arial"/>
          <w:lang w:val="es-419"/>
        </w:rPr>
      </w:pPr>
    </w:p>
    <w:p w14:paraId="094EA1EF" w14:textId="77777777" w:rsidR="008D6D18" w:rsidRPr="008D6D18" w:rsidRDefault="008D6D18" w:rsidP="008D6D18">
      <w:pPr>
        <w:overflowPunct/>
        <w:autoSpaceDE/>
        <w:autoSpaceDN/>
        <w:adjustRightInd/>
        <w:jc w:val="both"/>
        <w:textAlignment w:val="auto"/>
        <w:rPr>
          <w:rFonts w:ascii="Arial" w:hAnsi="Arial" w:cs="Arial"/>
          <w:lang w:val="es-419"/>
        </w:rPr>
      </w:pPr>
      <w:r w:rsidRPr="008D6D18">
        <w:rPr>
          <w:rFonts w:ascii="Arial" w:hAnsi="Arial" w:cs="Arial"/>
          <w:lang w:val="es-419"/>
        </w:rPr>
        <w:t>En efecto, el inciso 3º del artículo 135 del mismo estatuto establece:</w:t>
      </w:r>
    </w:p>
    <w:p w14:paraId="28A6FC82" w14:textId="77777777" w:rsidR="008D6D18" w:rsidRPr="008D6D18" w:rsidRDefault="008D6D18" w:rsidP="008D6D18">
      <w:pPr>
        <w:overflowPunct/>
        <w:autoSpaceDE/>
        <w:autoSpaceDN/>
        <w:adjustRightInd/>
        <w:jc w:val="both"/>
        <w:textAlignment w:val="auto"/>
        <w:rPr>
          <w:rFonts w:ascii="Arial" w:hAnsi="Arial" w:cs="Arial"/>
          <w:lang w:val="es-419"/>
        </w:rPr>
      </w:pPr>
    </w:p>
    <w:p w14:paraId="2931C0EC" w14:textId="77777777" w:rsidR="008D6D18" w:rsidRPr="008D6D18" w:rsidRDefault="008D6D18" w:rsidP="008D6D18">
      <w:pPr>
        <w:overflowPunct/>
        <w:autoSpaceDE/>
        <w:autoSpaceDN/>
        <w:adjustRightInd/>
        <w:jc w:val="both"/>
        <w:textAlignment w:val="auto"/>
        <w:rPr>
          <w:rFonts w:ascii="Arial" w:hAnsi="Arial" w:cs="Arial"/>
          <w:lang w:val="es-419"/>
        </w:rPr>
      </w:pPr>
      <w:r w:rsidRPr="008D6D18">
        <w:rPr>
          <w:rFonts w:ascii="Arial" w:hAnsi="Arial" w:cs="Arial"/>
          <w:lang w:val="es-419"/>
        </w:rPr>
        <w:t xml:space="preserve"> “La nulidad por indebida representación o por falta de notificación o emplazamiento solo podrá ser alegada por la persona afectada.” -negrillas propias-</w:t>
      </w:r>
    </w:p>
    <w:p w14:paraId="74C2F253" w14:textId="77777777" w:rsidR="008D6D18" w:rsidRPr="008D6D18" w:rsidRDefault="008D6D18" w:rsidP="008D6D18">
      <w:pPr>
        <w:overflowPunct/>
        <w:autoSpaceDE/>
        <w:autoSpaceDN/>
        <w:adjustRightInd/>
        <w:jc w:val="both"/>
        <w:textAlignment w:val="auto"/>
        <w:rPr>
          <w:rFonts w:ascii="Arial" w:hAnsi="Arial" w:cs="Arial"/>
          <w:lang w:val="es-419"/>
        </w:rPr>
      </w:pPr>
    </w:p>
    <w:p w14:paraId="213B1445" w14:textId="75D75D20" w:rsidR="00876919" w:rsidRPr="00876919" w:rsidRDefault="008D6D18" w:rsidP="008D6D18">
      <w:pPr>
        <w:overflowPunct/>
        <w:autoSpaceDE/>
        <w:autoSpaceDN/>
        <w:adjustRightInd/>
        <w:jc w:val="both"/>
        <w:textAlignment w:val="auto"/>
        <w:rPr>
          <w:rFonts w:ascii="Arial" w:hAnsi="Arial" w:cs="Arial"/>
          <w:lang w:val="es-419"/>
        </w:rPr>
      </w:pPr>
      <w:r w:rsidRPr="008D6D18">
        <w:rPr>
          <w:rFonts w:ascii="Arial" w:hAnsi="Arial" w:cs="Arial"/>
          <w:lang w:val="es-419"/>
        </w:rPr>
        <w:t>No son necesarias entonces mayores disquisiciones para establecer que como la eventual causal de nulidad puesta de presente por la impugnante, en forma exclusiva, podrá ser alegada únicamente por la persona que se considere indebidamente notificada o emplazada, no por cualquier otro sujeto que conforme la Litis, no hay cómo colegir por contera que al recurso podrá dársele algún trámite de fondo.</w:t>
      </w:r>
    </w:p>
    <w:p w14:paraId="72855881" w14:textId="77777777" w:rsidR="00876919" w:rsidRPr="00876919" w:rsidRDefault="00876919" w:rsidP="00876919">
      <w:pPr>
        <w:overflowPunct/>
        <w:autoSpaceDE/>
        <w:autoSpaceDN/>
        <w:adjustRightInd/>
        <w:jc w:val="both"/>
        <w:textAlignment w:val="auto"/>
        <w:rPr>
          <w:rFonts w:ascii="Arial" w:hAnsi="Arial" w:cs="Arial"/>
          <w:lang w:val="es-419"/>
        </w:rPr>
      </w:pPr>
    </w:p>
    <w:p w14:paraId="00A14AF9" w14:textId="77777777" w:rsidR="00876919" w:rsidRPr="00876919" w:rsidRDefault="00876919" w:rsidP="00876919">
      <w:pPr>
        <w:overflowPunct/>
        <w:autoSpaceDE/>
        <w:autoSpaceDN/>
        <w:adjustRightInd/>
        <w:jc w:val="both"/>
        <w:textAlignment w:val="auto"/>
        <w:rPr>
          <w:rFonts w:ascii="Arial" w:hAnsi="Arial" w:cs="Arial"/>
          <w:lang w:val="es-419"/>
        </w:rPr>
      </w:pPr>
    </w:p>
    <w:p w14:paraId="46C5DA8B" w14:textId="77777777" w:rsidR="00876919" w:rsidRPr="00876919" w:rsidRDefault="00876919" w:rsidP="00876919">
      <w:pPr>
        <w:overflowPunct/>
        <w:autoSpaceDE/>
        <w:autoSpaceDN/>
        <w:adjustRightInd/>
        <w:jc w:val="both"/>
        <w:textAlignment w:val="auto"/>
        <w:rPr>
          <w:rFonts w:ascii="Arial" w:hAnsi="Arial" w:cs="Arial"/>
          <w:lang w:val="es-419"/>
        </w:rPr>
      </w:pPr>
    </w:p>
    <w:p w14:paraId="1C3BEE41" w14:textId="77777777" w:rsidR="0045400B" w:rsidRPr="00876919" w:rsidRDefault="0045400B" w:rsidP="00876919">
      <w:pPr>
        <w:spacing w:line="276" w:lineRule="auto"/>
        <w:jc w:val="center"/>
        <w:rPr>
          <w:rFonts w:ascii="Tahoma" w:hAnsi="Tahoma" w:cs="Tahoma"/>
          <w:b/>
          <w:sz w:val="24"/>
          <w:szCs w:val="24"/>
        </w:rPr>
      </w:pPr>
      <w:r w:rsidRPr="00876919">
        <w:rPr>
          <w:rFonts w:ascii="Tahoma" w:hAnsi="Tahoma" w:cs="Tahoma"/>
          <w:b/>
          <w:sz w:val="24"/>
          <w:szCs w:val="24"/>
        </w:rPr>
        <w:t>TRIBUNAL SUPERIOR DEL DISTRITO JUDICIAL</w:t>
      </w:r>
    </w:p>
    <w:p w14:paraId="2DB22494" w14:textId="77777777" w:rsidR="0045400B" w:rsidRPr="00876919" w:rsidRDefault="0045400B" w:rsidP="00876919">
      <w:pPr>
        <w:pStyle w:val="Ttulo2"/>
        <w:spacing w:line="276" w:lineRule="auto"/>
        <w:rPr>
          <w:rFonts w:ascii="Tahoma" w:hAnsi="Tahoma" w:cs="Tahoma"/>
          <w:spacing w:val="0"/>
          <w:szCs w:val="24"/>
        </w:rPr>
      </w:pPr>
      <w:r w:rsidRPr="00876919">
        <w:rPr>
          <w:rFonts w:ascii="Tahoma" w:hAnsi="Tahoma" w:cs="Tahoma"/>
          <w:spacing w:val="0"/>
          <w:szCs w:val="24"/>
        </w:rPr>
        <w:t>SALA UNITARIA CIVIL FAMILIA</w:t>
      </w:r>
    </w:p>
    <w:p w14:paraId="672A6659" w14:textId="77777777" w:rsidR="0045400B" w:rsidRPr="00876919" w:rsidRDefault="0045400B" w:rsidP="00876919">
      <w:pPr>
        <w:spacing w:line="276" w:lineRule="auto"/>
        <w:jc w:val="both"/>
        <w:rPr>
          <w:rFonts w:ascii="Tahoma" w:hAnsi="Tahoma" w:cs="Tahoma"/>
          <w:sz w:val="24"/>
          <w:szCs w:val="24"/>
        </w:rPr>
      </w:pPr>
    </w:p>
    <w:p w14:paraId="597B882D" w14:textId="7866797C" w:rsidR="0045400B" w:rsidRPr="00876919" w:rsidRDefault="0045400B" w:rsidP="00876919">
      <w:pPr>
        <w:spacing w:line="276" w:lineRule="auto"/>
        <w:ind w:left="708"/>
        <w:jc w:val="both"/>
        <w:rPr>
          <w:rFonts w:ascii="Tahoma" w:hAnsi="Tahoma" w:cs="Tahoma"/>
          <w:b/>
          <w:bCs/>
          <w:sz w:val="24"/>
          <w:szCs w:val="24"/>
        </w:rPr>
      </w:pPr>
      <w:r w:rsidRPr="00876919">
        <w:rPr>
          <w:rFonts w:ascii="Tahoma" w:hAnsi="Tahoma" w:cs="Tahoma"/>
          <w:sz w:val="24"/>
          <w:szCs w:val="24"/>
        </w:rPr>
        <w:t xml:space="preserve">Magistrada: </w:t>
      </w:r>
      <w:r w:rsidR="5D65C883" w:rsidRPr="00876919">
        <w:rPr>
          <w:rFonts w:ascii="Tahoma" w:hAnsi="Tahoma" w:cs="Tahoma"/>
          <w:sz w:val="24"/>
          <w:szCs w:val="24"/>
        </w:rPr>
        <w:t>Adriana Patricia Díaz Ramírez</w:t>
      </w:r>
    </w:p>
    <w:p w14:paraId="10731682" w14:textId="77777777" w:rsidR="0045400B" w:rsidRPr="00876919" w:rsidRDefault="0045400B" w:rsidP="00876919">
      <w:pPr>
        <w:pStyle w:val="Ttulo3"/>
        <w:spacing w:line="276" w:lineRule="auto"/>
        <w:ind w:firstLine="708"/>
        <w:rPr>
          <w:rFonts w:ascii="Tahoma" w:hAnsi="Tahoma" w:cs="Tahoma"/>
          <w:spacing w:val="0"/>
          <w:szCs w:val="24"/>
        </w:rPr>
      </w:pPr>
      <w:r w:rsidRPr="00876919">
        <w:rPr>
          <w:rFonts w:ascii="Tahoma" w:hAnsi="Tahoma" w:cs="Tahoma"/>
          <w:spacing w:val="0"/>
          <w:szCs w:val="24"/>
        </w:rPr>
        <w:t>Pereira,</w:t>
      </w:r>
      <w:r w:rsidR="001C544C" w:rsidRPr="00876919">
        <w:rPr>
          <w:rFonts w:ascii="Tahoma" w:hAnsi="Tahoma" w:cs="Tahoma"/>
          <w:spacing w:val="0"/>
          <w:szCs w:val="24"/>
        </w:rPr>
        <w:t xml:space="preserve"> veintitrés (23) de abril de dos mil veintiuno (2021)</w:t>
      </w:r>
      <w:r w:rsidRPr="00876919">
        <w:rPr>
          <w:rFonts w:ascii="Tahoma" w:hAnsi="Tahoma" w:cs="Tahoma"/>
          <w:spacing w:val="0"/>
          <w:szCs w:val="24"/>
        </w:rPr>
        <w:t xml:space="preserve"> </w:t>
      </w:r>
    </w:p>
    <w:p w14:paraId="677484D2" w14:textId="77777777" w:rsidR="005D7B51" w:rsidRPr="00876919" w:rsidRDefault="001C544C" w:rsidP="00876919">
      <w:pPr>
        <w:spacing w:line="276" w:lineRule="auto"/>
        <w:jc w:val="both"/>
        <w:rPr>
          <w:rFonts w:ascii="Tahoma" w:hAnsi="Tahoma" w:cs="Tahoma"/>
          <w:sz w:val="24"/>
          <w:szCs w:val="24"/>
        </w:rPr>
      </w:pPr>
      <w:r w:rsidRPr="00876919">
        <w:rPr>
          <w:rFonts w:ascii="Tahoma" w:hAnsi="Tahoma" w:cs="Tahoma"/>
          <w:sz w:val="24"/>
          <w:szCs w:val="24"/>
        </w:rPr>
        <w:tab/>
        <w:t>Expediente No. 66001310300520180091604</w:t>
      </w:r>
    </w:p>
    <w:p w14:paraId="0A37501D" w14:textId="77777777" w:rsidR="001C544C" w:rsidRPr="00876919" w:rsidRDefault="001C544C" w:rsidP="00876919">
      <w:pPr>
        <w:spacing w:line="276" w:lineRule="auto"/>
        <w:jc w:val="both"/>
        <w:rPr>
          <w:rFonts w:ascii="Tahoma" w:hAnsi="Tahoma" w:cs="Tahoma"/>
          <w:sz w:val="24"/>
          <w:szCs w:val="24"/>
        </w:rPr>
      </w:pPr>
    </w:p>
    <w:p w14:paraId="5DAB6C7B" w14:textId="77777777" w:rsidR="001C544C" w:rsidRPr="00876919" w:rsidRDefault="001C544C" w:rsidP="00876919">
      <w:pPr>
        <w:spacing w:line="276" w:lineRule="auto"/>
        <w:jc w:val="both"/>
        <w:rPr>
          <w:rFonts w:ascii="Tahoma" w:hAnsi="Tahoma" w:cs="Tahoma"/>
          <w:sz w:val="24"/>
          <w:szCs w:val="24"/>
        </w:rPr>
      </w:pPr>
      <w:bookmarkStart w:id="0" w:name="_GoBack"/>
      <w:bookmarkEnd w:id="0"/>
    </w:p>
    <w:p w14:paraId="4634D930" w14:textId="77777777" w:rsidR="009B4916" w:rsidRPr="00876919" w:rsidRDefault="005D7B51" w:rsidP="00876919">
      <w:pPr>
        <w:pStyle w:val="Textoindependiente"/>
        <w:spacing w:line="276" w:lineRule="auto"/>
        <w:rPr>
          <w:rFonts w:ascii="Tahoma" w:hAnsi="Tahoma" w:cs="Tahoma"/>
          <w:spacing w:val="0"/>
          <w:szCs w:val="24"/>
        </w:rPr>
      </w:pPr>
      <w:r w:rsidRPr="00876919">
        <w:rPr>
          <w:rFonts w:ascii="Tahoma" w:hAnsi="Tahoma" w:cs="Tahoma"/>
          <w:spacing w:val="0"/>
          <w:szCs w:val="24"/>
        </w:rPr>
        <w:t>Se pronuncia esta Sala en relación con la admisibilidad del recurs</w:t>
      </w:r>
      <w:r w:rsidR="001C544C" w:rsidRPr="00876919">
        <w:rPr>
          <w:rFonts w:ascii="Tahoma" w:hAnsi="Tahoma" w:cs="Tahoma"/>
          <w:spacing w:val="0"/>
          <w:szCs w:val="24"/>
        </w:rPr>
        <w:t xml:space="preserve">o de apelación que interpuso la </w:t>
      </w:r>
      <w:proofErr w:type="spellStart"/>
      <w:r w:rsidR="001C544C" w:rsidRPr="00876919">
        <w:rPr>
          <w:rFonts w:ascii="Tahoma" w:hAnsi="Tahoma" w:cs="Tahoma"/>
          <w:spacing w:val="0"/>
          <w:szCs w:val="24"/>
        </w:rPr>
        <w:t>c</w:t>
      </w:r>
      <w:r w:rsidR="009B4916" w:rsidRPr="00876919">
        <w:rPr>
          <w:rFonts w:ascii="Tahoma" w:hAnsi="Tahoma" w:cs="Tahoma"/>
          <w:spacing w:val="0"/>
          <w:szCs w:val="24"/>
        </w:rPr>
        <w:t>o-demandada</w:t>
      </w:r>
      <w:proofErr w:type="spellEnd"/>
      <w:r w:rsidR="009B4916" w:rsidRPr="00876919">
        <w:rPr>
          <w:rFonts w:ascii="Tahoma" w:hAnsi="Tahoma" w:cs="Tahoma"/>
          <w:spacing w:val="0"/>
          <w:szCs w:val="24"/>
        </w:rPr>
        <w:t xml:space="preserve"> Alexandra Ivonne Bolívar López</w:t>
      </w:r>
      <w:r w:rsidRPr="00876919">
        <w:rPr>
          <w:rFonts w:ascii="Tahoma" w:hAnsi="Tahoma" w:cs="Tahoma"/>
          <w:spacing w:val="0"/>
          <w:szCs w:val="24"/>
        </w:rPr>
        <w:t xml:space="preserve">, contra el auto proferido por el Juzgado </w:t>
      </w:r>
      <w:r w:rsidR="009B4916" w:rsidRPr="00876919">
        <w:rPr>
          <w:rFonts w:ascii="Tahoma" w:hAnsi="Tahoma" w:cs="Tahoma"/>
          <w:spacing w:val="0"/>
          <w:szCs w:val="24"/>
        </w:rPr>
        <w:t>Quinto Civil del Circuito local, el 14</w:t>
      </w:r>
      <w:r w:rsidRPr="00876919">
        <w:rPr>
          <w:rFonts w:ascii="Tahoma" w:hAnsi="Tahoma" w:cs="Tahoma"/>
          <w:spacing w:val="0"/>
          <w:szCs w:val="24"/>
        </w:rPr>
        <w:t xml:space="preserve"> de </w:t>
      </w:r>
      <w:r w:rsidR="009B4916" w:rsidRPr="00876919">
        <w:rPr>
          <w:rFonts w:ascii="Tahoma" w:hAnsi="Tahoma" w:cs="Tahoma"/>
          <w:spacing w:val="0"/>
          <w:szCs w:val="24"/>
        </w:rPr>
        <w:t>julio último</w:t>
      </w:r>
      <w:r w:rsidRPr="00876919">
        <w:rPr>
          <w:rFonts w:ascii="Tahoma" w:hAnsi="Tahoma" w:cs="Tahoma"/>
          <w:spacing w:val="0"/>
          <w:szCs w:val="24"/>
        </w:rPr>
        <w:t xml:space="preserve">, en el proceso </w:t>
      </w:r>
      <w:r w:rsidR="009B4916" w:rsidRPr="00876919">
        <w:rPr>
          <w:rFonts w:ascii="Tahoma" w:hAnsi="Tahoma" w:cs="Tahoma"/>
          <w:spacing w:val="0"/>
          <w:szCs w:val="24"/>
        </w:rPr>
        <w:t xml:space="preserve">ejecutivo con título hipotecario iniciado en su contra y de José Leandro Montoya Navarro, por Bancolombia SA, al que fue vinculada la Sociedad </w:t>
      </w:r>
      <w:proofErr w:type="spellStart"/>
      <w:r w:rsidR="009B4916" w:rsidRPr="00876919">
        <w:rPr>
          <w:rFonts w:ascii="Tahoma" w:hAnsi="Tahoma" w:cs="Tahoma"/>
          <w:spacing w:val="0"/>
          <w:szCs w:val="24"/>
        </w:rPr>
        <w:t>A</w:t>
      </w:r>
      <w:r w:rsidR="00F96A4C" w:rsidRPr="00876919">
        <w:rPr>
          <w:rFonts w:ascii="Tahoma" w:hAnsi="Tahoma" w:cs="Tahoma"/>
          <w:spacing w:val="0"/>
          <w:szCs w:val="24"/>
        </w:rPr>
        <w:t>rquitecture</w:t>
      </w:r>
      <w:proofErr w:type="spellEnd"/>
      <w:r w:rsidR="009B4916" w:rsidRPr="00876919">
        <w:rPr>
          <w:rFonts w:ascii="Tahoma" w:hAnsi="Tahoma" w:cs="Tahoma"/>
          <w:spacing w:val="0"/>
          <w:szCs w:val="24"/>
        </w:rPr>
        <w:t xml:space="preserve"> SAS.</w:t>
      </w:r>
    </w:p>
    <w:p w14:paraId="02EB378F" w14:textId="77777777" w:rsidR="009B4916" w:rsidRPr="00876919" w:rsidRDefault="009B4916" w:rsidP="00876919">
      <w:pPr>
        <w:pStyle w:val="Textoindependiente"/>
        <w:spacing w:line="276" w:lineRule="auto"/>
        <w:rPr>
          <w:rFonts w:ascii="Tahoma" w:hAnsi="Tahoma" w:cs="Tahoma"/>
          <w:spacing w:val="0"/>
          <w:szCs w:val="24"/>
        </w:rPr>
      </w:pPr>
    </w:p>
    <w:p w14:paraId="08FFCE35" w14:textId="77777777" w:rsidR="005D7B51" w:rsidRPr="00876919" w:rsidRDefault="005D7B51" w:rsidP="00876919">
      <w:pPr>
        <w:pStyle w:val="Textoindependiente"/>
        <w:spacing w:line="276" w:lineRule="auto"/>
        <w:rPr>
          <w:rFonts w:ascii="Tahoma" w:hAnsi="Tahoma" w:cs="Tahoma"/>
          <w:b/>
          <w:spacing w:val="0"/>
          <w:szCs w:val="24"/>
        </w:rPr>
      </w:pPr>
      <w:r w:rsidRPr="00876919">
        <w:rPr>
          <w:rFonts w:ascii="Tahoma" w:hAnsi="Tahoma" w:cs="Tahoma"/>
          <w:b/>
          <w:spacing w:val="0"/>
          <w:szCs w:val="24"/>
        </w:rPr>
        <w:t xml:space="preserve">A N T E C E D E N T E S   </w:t>
      </w:r>
    </w:p>
    <w:p w14:paraId="6A05A809" w14:textId="77777777" w:rsidR="005D7B51" w:rsidRPr="00876919" w:rsidRDefault="005D7B51" w:rsidP="00876919">
      <w:pPr>
        <w:pStyle w:val="Textoindependiente"/>
        <w:spacing w:line="276" w:lineRule="auto"/>
        <w:rPr>
          <w:rFonts w:ascii="Tahoma" w:hAnsi="Tahoma" w:cs="Tahoma"/>
          <w:b/>
          <w:spacing w:val="0"/>
          <w:szCs w:val="24"/>
        </w:rPr>
      </w:pPr>
    </w:p>
    <w:p w14:paraId="3DB796A7" w14:textId="77777777" w:rsidR="005D7B51" w:rsidRPr="00876919" w:rsidRDefault="009B4916" w:rsidP="00876919">
      <w:pPr>
        <w:pStyle w:val="Textoindependiente"/>
        <w:spacing w:line="276" w:lineRule="auto"/>
        <w:rPr>
          <w:rFonts w:ascii="Tahoma" w:hAnsi="Tahoma" w:cs="Tahoma"/>
          <w:spacing w:val="0"/>
          <w:szCs w:val="24"/>
        </w:rPr>
      </w:pPr>
      <w:r w:rsidRPr="00876919">
        <w:rPr>
          <w:rFonts w:ascii="Tahoma" w:hAnsi="Tahoma" w:cs="Tahoma"/>
          <w:spacing w:val="0"/>
          <w:szCs w:val="24"/>
        </w:rPr>
        <w:t xml:space="preserve">Como se anuncia, la citada entidad bancaria, promovió demanda ejecutiva con garantía real frente a la impugnante y otro; una vez avanzado el juicio se procedió a la vinculación de la Sociedad </w:t>
      </w:r>
      <w:proofErr w:type="spellStart"/>
      <w:r w:rsidRPr="00876919">
        <w:rPr>
          <w:rFonts w:ascii="Tahoma" w:hAnsi="Tahoma" w:cs="Tahoma"/>
          <w:spacing w:val="0"/>
          <w:szCs w:val="24"/>
        </w:rPr>
        <w:t>A</w:t>
      </w:r>
      <w:r w:rsidR="00310B33" w:rsidRPr="00876919">
        <w:rPr>
          <w:rFonts w:ascii="Tahoma" w:hAnsi="Tahoma" w:cs="Tahoma"/>
          <w:spacing w:val="0"/>
          <w:szCs w:val="24"/>
        </w:rPr>
        <w:t>rquitecture</w:t>
      </w:r>
      <w:proofErr w:type="spellEnd"/>
      <w:r w:rsidRPr="00876919">
        <w:rPr>
          <w:rFonts w:ascii="Tahoma" w:hAnsi="Tahoma" w:cs="Tahoma"/>
          <w:spacing w:val="0"/>
          <w:szCs w:val="24"/>
        </w:rPr>
        <w:t xml:space="preserve"> SAS</w:t>
      </w:r>
      <w:r w:rsidR="00F96A4C" w:rsidRPr="00876919">
        <w:rPr>
          <w:rFonts w:ascii="Tahoma" w:hAnsi="Tahoma" w:cs="Tahoma"/>
          <w:spacing w:val="0"/>
          <w:szCs w:val="24"/>
        </w:rPr>
        <w:t xml:space="preserve"> como litisconsorte necesario</w:t>
      </w:r>
      <w:r w:rsidR="00310B33" w:rsidRPr="00876919">
        <w:rPr>
          <w:rFonts w:ascii="Tahoma" w:hAnsi="Tahoma" w:cs="Tahoma"/>
          <w:spacing w:val="0"/>
          <w:szCs w:val="24"/>
        </w:rPr>
        <w:t>, según da cuenta el auto del 17 de junio de 2019.</w:t>
      </w:r>
    </w:p>
    <w:p w14:paraId="5A39BBE3" w14:textId="77777777" w:rsidR="00310B33" w:rsidRPr="00876919" w:rsidRDefault="00310B33" w:rsidP="00876919">
      <w:pPr>
        <w:pStyle w:val="Textoindependiente"/>
        <w:spacing w:line="276" w:lineRule="auto"/>
        <w:rPr>
          <w:rFonts w:ascii="Tahoma" w:hAnsi="Tahoma" w:cs="Tahoma"/>
          <w:spacing w:val="0"/>
          <w:szCs w:val="24"/>
        </w:rPr>
      </w:pPr>
    </w:p>
    <w:p w14:paraId="158303C5" w14:textId="77777777" w:rsidR="00310B33" w:rsidRPr="00876919" w:rsidRDefault="00310B33" w:rsidP="00876919">
      <w:pPr>
        <w:pStyle w:val="Textoindependiente"/>
        <w:spacing w:line="276" w:lineRule="auto"/>
        <w:rPr>
          <w:rFonts w:ascii="Tahoma" w:hAnsi="Tahoma" w:cs="Tahoma"/>
          <w:spacing w:val="0"/>
          <w:szCs w:val="24"/>
        </w:rPr>
      </w:pPr>
      <w:r w:rsidRPr="00876919">
        <w:rPr>
          <w:rFonts w:ascii="Tahoma" w:hAnsi="Tahoma" w:cs="Tahoma"/>
          <w:spacing w:val="0"/>
          <w:szCs w:val="24"/>
        </w:rPr>
        <w:t xml:space="preserve">Frente a ello, la parte actora gestionó la correspondiente notificación de dicha persona jurídica mediante aviso como da cuenta el archivo </w:t>
      </w:r>
      <w:proofErr w:type="spellStart"/>
      <w:r w:rsidRPr="00876919">
        <w:rPr>
          <w:rFonts w:ascii="Tahoma" w:hAnsi="Tahoma" w:cs="Tahoma"/>
          <w:spacing w:val="0"/>
          <w:szCs w:val="24"/>
        </w:rPr>
        <w:t>pdf</w:t>
      </w:r>
      <w:proofErr w:type="spellEnd"/>
      <w:r w:rsidRPr="00876919">
        <w:rPr>
          <w:rFonts w:ascii="Tahoma" w:hAnsi="Tahoma" w:cs="Tahoma"/>
          <w:spacing w:val="0"/>
          <w:szCs w:val="24"/>
        </w:rPr>
        <w:t xml:space="preserve"> 024 del cuaderno principal, y </w:t>
      </w:r>
      <w:r w:rsidRPr="00876919">
        <w:rPr>
          <w:rFonts w:ascii="Tahoma" w:hAnsi="Tahoma" w:cs="Tahoma"/>
          <w:spacing w:val="0"/>
          <w:szCs w:val="24"/>
        </w:rPr>
        <w:lastRenderedPageBreak/>
        <w:t xml:space="preserve">agotados los demás trámites de ley se llegó a la audiencia inicial llevada a cabo el día 14 de julio del año 2020. </w:t>
      </w:r>
    </w:p>
    <w:p w14:paraId="41C8F396" w14:textId="77777777" w:rsidR="00310B33" w:rsidRPr="00876919" w:rsidRDefault="00310B33" w:rsidP="00876919">
      <w:pPr>
        <w:pStyle w:val="Textoindependiente"/>
        <w:spacing w:line="276" w:lineRule="auto"/>
        <w:rPr>
          <w:rFonts w:ascii="Tahoma" w:hAnsi="Tahoma" w:cs="Tahoma"/>
          <w:spacing w:val="0"/>
          <w:szCs w:val="24"/>
        </w:rPr>
      </w:pPr>
    </w:p>
    <w:p w14:paraId="690C21EB" w14:textId="77777777" w:rsidR="005A5802" w:rsidRPr="00876919" w:rsidRDefault="00310B33" w:rsidP="00876919">
      <w:pPr>
        <w:pStyle w:val="Textoindependiente"/>
        <w:spacing w:line="276" w:lineRule="auto"/>
        <w:rPr>
          <w:rFonts w:ascii="Tahoma" w:hAnsi="Tahoma" w:cs="Tahoma"/>
          <w:spacing w:val="0"/>
          <w:szCs w:val="24"/>
        </w:rPr>
      </w:pPr>
      <w:r w:rsidRPr="00876919">
        <w:rPr>
          <w:rFonts w:ascii="Tahoma" w:hAnsi="Tahoma" w:cs="Tahoma"/>
          <w:spacing w:val="0"/>
          <w:szCs w:val="24"/>
        </w:rPr>
        <w:t xml:space="preserve">Una vez agotada la fijación del litigio, la </w:t>
      </w:r>
      <w:proofErr w:type="spellStart"/>
      <w:r w:rsidRPr="00876919">
        <w:rPr>
          <w:rFonts w:ascii="Tahoma" w:hAnsi="Tahoma" w:cs="Tahoma"/>
          <w:spacing w:val="0"/>
          <w:szCs w:val="24"/>
        </w:rPr>
        <w:t>co-demandada</w:t>
      </w:r>
      <w:proofErr w:type="spellEnd"/>
      <w:r w:rsidRPr="00876919">
        <w:rPr>
          <w:rFonts w:ascii="Tahoma" w:hAnsi="Tahoma" w:cs="Tahoma"/>
          <w:spacing w:val="0"/>
          <w:szCs w:val="24"/>
        </w:rPr>
        <w:t xml:space="preserve"> recurrente, en torno a las medidas de saneamiento del proceso en donde la juez y los demás intervinientes no encontraron vicio alguno que hiciera írrita la actuación, sí halló una causal susceptible de nulidad, esto es, la consagrada en el numeral 8º del artículo 133 del CGP, por cuanto estima, la entidad moral </w:t>
      </w:r>
      <w:proofErr w:type="spellStart"/>
      <w:r w:rsidRPr="00876919">
        <w:rPr>
          <w:rFonts w:ascii="Tahoma" w:hAnsi="Tahoma" w:cs="Tahoma"/>
          <w:spacing w:val="0"/>
          <w:szCs w:val="24"/>
        </w:rPr>
        <w:t>co-ejecutada</w:t>
      </w:r>
      <w:proofErr w:type="spellEnd"/>
      <w:r w:rsidRPr="00876919">
        <w:rPr>
          <w:rFonts w:ascii="Tahoma" w:hAnsi="Tahoma" w:cs="Tahoma"/>
          <w:spacing w:val="0"/>
          <w:szCs w:val="24"/>
        </w:rPr>
        <w:t xml:space="preserve">, Sociedad </w:t>
      </w:r>
      <w:proofErr w:type="spellStart"/>
      <w:r w:rsidRPr="00876919">
        <w:rPr>
          <w:rFonts w:ascii="Tahoma" w:hAnsi="Tahoma" w:cs="Tahoma"/>
          <w:spacing w:val="0"/>
          <w:szCs w:val="24"/>
        </w:rPr>
        <w:t>Arquitecture</w:t>
      </w:r>
      <w:proofErr w:type="spellEnd"/>
      <w:r w:rsidRPr="00876919">
        <w:rPr>
          <w:rFonts w:ascii="Tahoma" w:hAnsi="Tahoma" w:cs="Tahoma"/>
          <w:spacing w:val="0"/>
          <w:szCs w:val="24"/>
        </w:rPr>
        <w:t xml:space="preserve"> SAS no había sido legalmente notificada dentro del asunto y debía procederse a su </w:t>
      </w:r>
      <w:r w:rsidR="005A5802" w:rsidRPr="00876919">
        <w:rPr>
          <w:rFonts w:ascii="Tahoma" w:hAnsi="Tahoma" w:cs="Tahoma"/>
          <w:spacing w:val="0"/>
          <w:szCs w:val="24"/>
        </w:rPr>
        <w:t>emplazamiento para que tuviera una adecuada representación judicial.</w:t>
      </w:r>
    </w:p>
    <w:p w14:paraId="72A3D3EC" w14:textId="77777777" w:rsidR="005A5802" w:rsidRPr="00876919" w:rsidRDefault="005A5802" w:rsidP="00876919">
      <w:pPr>
        <w:pStyle w:val="Textoindependiente"/>
        <w:spacing w:line="276" w:lineRule="auto"/>
        <w:rPr>
          <w:rFonts w:ascii="Tahoma" w:hAnsi="Tahoma" w:cs="Tahoma"/>
          <w:spacing w:val="0"/>
          <w:szCs w:val="24"/>
        </w:rPr>
      </w:pPr>
    </w:p>
    <w:p w14:paraId="30D53DCD" w14:textId="77777777" w:rsidR="00310B33" w:rsidRPr="00876919" w:rsidRDefault="005A5802" w:rsidP="00876919">
      <w:pPr>
        <w:pStyle w:val="Textoindependiente"/>
        <w:spacing w:line="276" w:lineRule="auto"/>
        <w:rPr>
          <w:rFonts w:ascii="Tahoma" w:hAnsi="Tahoma" w:cs="Tahoma"/>
          <w:spacing w:val="0"/>
          <w:szCs w:val="24"/>
        </w:rPr>
      </w:pPr>
      <w:r w:rsidRPr="00876919">
        <w:rPr>
          <w:rFonts w:ascii="Tahoma" w:hAnsi="Tahoma" w:cs="Tahoma"/>
          <w:spacing w:val="0"/>
          <w:szCs w:val="24"/>
        </w:rPr>
        <w:t>Dicha solicitud fue despachada desfavorablemente por la funcionaria de primer grado, como quiera que la Notificación por Aviso surtida en relación con dicho sujeto, se cumplió a cabalidad y con plena sujeción a las exigencias legales sobre el particular, esto es, siguiendo las prevenciones de los artículos 291 y 292 del estatuto procesal civil.</w:t>
      </w:r>
    </w:p>
    <w:p w14:paraId="0D0B940D" w14:textId="77777777" w:rsidR="00B83176" w:rsidRPr="00876919" w:rsidRDefault="00B83176" w:rsidP="00876919">
      <w:pPr>
        <w:pStyle w:val="Textoindependiente"/>
        <w:spacing w:line="276" w:lineRule="auto"/>
        <w:rPr>
          <w:rFonts w:ascii="Tahoma" w:hAnsi="Tahoma" w:cs="Tahoma"/>
          <w:spacing w:val="0"/>
          <w:szCs w:val="24"/>
        </w:rPr>
      </w:pPr>
    </w:p>
    <w:p w14:paraId="5E8A6BC2" w14:textId="77777777" w:rsidR="005D7B51" w:rsidRPr="00876919" w:rsidRDefault="00B83176" w:rsidP="00876919">
      <w:pPr>
        <w:pStyle w:val="Textoindependiente"/>
        <w:spacing w:line="276" w:lineRule="auto"/>
        <w:rPr>
          <w:rFonts w:ascii="Tahoma" w:hAnsi="Tahoma" w:cs="Tahoma"/>
          <w:szCs w:val="24"/>
        </w:rPr>
      </w:pPr>
      <w:r w:rsidRPr="00876919">
        <w:rPr>
          <w:rFonts w:ascii="Tahoma" w:hAnsi="Tahoma" w:cs="Tahoma"/>
          <w:spacing w:val="0"/>
          <w:szCs w:val="24"/>
        </w:rPr>
        <w:t>Esa decisión dejó inconforme a la peticionaria quien se alzó contra dicha providencia, concedida la impugnación, llegó el expediente a esta sede, en la que se resuelve de la manera como se sigue, previas estas,</w:t>
      </w:r>
    </w:p>
    <w:p w14:paraId="0E27B00A" w14:textId="77777777" w:rsidR="00B83176" w:rsidRPr="00876919" w:rsidRDefault="00B83176" w:rsidP="00876919">
      <w:pPr>
        <w:spacing w:line="276" w:lineRule="auto"/>
        <w:jc w:val="both"/>
        <w:rPr>
          <w:rFonts w:ascii="Tahoma" w:hAnsi="Tahoma" w:cs="Tahoma"/>
          <w:b/>
          <w:sz w:val="24"/>
          <w:szCs w:val="24"/>
        </w:rPr>
      </w:pPr>
    </w:p>
    <w:p w14:paraId="05963CFF" w14:textId="77777777" w:rsidR="005D7B51" w:rsidRPr="00876919" w:rsidRDefault="005D7B51" w:rsidP="00876919">
      <w:pPr>
        <w:spacing w:line="276" w:lineRule="auto"/>
        <w:jc w:val="both"/>
        <w:rPr>
          <w:rFonts w:ascii="Tahoma" w:hAnsi="Tahoma" w:cs="Tahoma"/>
          <w:b/>
          <w:sz w:val="24"/>
          <w:szCs w:val="24"/>
        </w:rPr>
      </w:pPr>
      <w:r w:rsidRPr="00876919">
        <w:rPr>
          <w:rFonts w:ascii="Tahoma" w:hAnsi="Tahoma" w:cs="Tahoma"/>
          <w:b/>
          <w:sz w:val="24"/>
          <w:szCs w:val="24"/>
        </w:rPr>
        <w:t>C O N S I D E R A C I O N E S</w:t>
      </w:r>
    </w:p>
    <w:p w14:paraId="60061E4C" w14:textId="77777777" w:rsidR="005D7B51" w:rsidRPr="00876919" w:rsidRDefault="005D7B51" w:rsidP="00876919">
      <w:pPr>
        <w:spacing w:line="276" w:lineRule="auto"/>
        <w:jc w:val="both"/>
        <w:rPr>
          <w:rFonts w:ascii="Tahoma" w:hAnsi="Tahoma" w:cs="Tahoma"/>
          <w:b/>
          <w:sz w:val="24"/>
          <w:szCs w:val="24"/>
        </w:rPr>
      </w:pPr>
    </w:p>
    <w:p w14:paraId="657CDEED" w14:textId="77777777" w:rsidR="005D7B51" w:rsidRPr="00876919" w:rsidRDefault="005D7B51" w:rsidP="00876919">
      <w:pPr>
        <w:spacing w:line="276" w:lineRule="auto"/>
        <w:jc w:val="both"/>
        <w:rPr>
          <w:rFonts w:ascii="Tahoma" w:hAnsi="Tahoma" w:cs="Tahoma"/>
          <w:sz w:val="24"/>
          <w:szCs w:val="24"/>
        </w:rPr>
      </w:pPr>
      <w:bookmarkStart w:id="1" w:name="_Hlk72226862"/>
      <w:r w:rsidRPr="00876919">
        <w:rPr>
          <w:rFonts w:ascii="Tahoma" w:hAnsi="Tahoma" w:cs="Tahoma"/>
          <w:sz w:val="24"/>
          <w:szCs w:val="24"/>
        </w:rPr>
        <w:t>De conformidad con los artículos 320, 321 y 322 del Código General del Proceso, para la admisión de un recurso de apelación es necesario que se cumplan las siguientes condiciones:</w:t>
      </w:r>
    </w:p>
    <w:p w14:paraId="44EAFD9C" w14:textId="77777777" w:rsidR="005D7B51" w:rsidRPr="00876919" w:rsidRDefault="005D7B51" w:rsidP="00876919">
      <w:pPr>
        <w:spacing w:line="276" w:lineRule="auto"/>
        <w:jc w:val="both"/>
        <w:rPr>
          <w:rFonts w:ascii="Tahoma" w:hAnsi="Tahoma" w:cs="Tahoma"/>
          <w:sz w:val="24"/>
          <w:szCs w:val="24"/>
        </w:rPr>
      </w:pPr>
    </w:p>
    <w:p w14:paraId="09EDF446" w14:textId="77777777" w:rsidR="005D7B51" w:rsidRPr="00876919" w:rsidRDefault="005D7B51" w:rsidP="00876919">
      <w:pPr>
        <w:numPr>
          <w:ilvl w:val="0"/>
          <w:numId w:val="2"/>
        </w:numPr>
        <w:tabs>
          <w:tab w:val="left" w:pos="945"/>
        </w:tabs>
        <w:spacing w:line="276" w:lineRule="auto"/>
        <w:ind w:left="945"/>
        <w:jc w:val="both"/>
        <w:rPr>
          <w:rFonts w:ascii="Tahoma" w:hAnsi="Tahoma" w:cs="Tahoma"/>
          <w:sz w:val="24"/>
          <w:szCs w:val="24"/>
        </w:rPr>
      </w:pPr>
      <w:r w:rsidRPr="00876919">
        <w:rPr>
          <w:rFonts w:ascii="Tahoma" w:hAnsi="Tahoma" w:cs="Tahoma"/>
          <w:sz w:val="24"/>
          <w:szCs w:val="24"/>
        </w:rPr>
        <w:t>Que la providencia materia de impugnación sea susceptible de apelación.</w:t>
      </w:r>
    </w:p>
    <w:p w14:paraId="4B94D5A5" w14:textId="77777777" w:rsidR="005D7B51" w:rsidRPr="00876919" w:rsidRDefault="005D7B51" w:rsidP="00876919">
      <w:pPr>
        <w:numPr>
          <w:ilvl w:val="12"/>
          <w:numId w:val="0"/>
        </w:numPr>
        <w:spacing w:line="276" w:lineRule="auto"/>
        <w:jc w:val="both"/>
        <w:rPr>
          <w:rFonts w:ascii="Tahoma" w:hAnsi="Tahoma" w:cs="Tahoma"/>
          <w:sz w:val="24"/>
          <w:szCs w:val="24"/>
        </w:rPr>
      </w:pPr>
    </w:p>
    <w:p w14:paraId="24D2BBC9" w14:textId="77777777" w:rsidR="005D7B51" w:rsidRPr="00876919" w:rsidRDefault="005D7B51" w:rsidP="00876919">
      <w:pPr>
        <w:numPr>
          <w:ilvl w:val="0"/>
          <w:numId w:val="2"/>
        </w:numPr>
        <w:tabs>
          <w:tab w:val="left" w:pos="945"/>
        </w:tabs>
        <w:spacing w:line="276" w:lineRule="auto"/>
        <w:ind w:left="945"/>
        <w:jc w:val="both"/>
        <w:rPr>
          <w:rFonts w:ascii="Tahoma" w:hAnsi="Tahoma" w:cs="Tahoma"/>
          <w:b/>
          <w:sz w:val="24"/>
          <w:szCs w:val="24"/>
        </w:rPr>
      </w:pPr>
      <w:r w:rsidRPr="00876919">
        <w:rPr>
          <w:rFonts w:ascii="Tahoma" w:hAnsi="Tahoma" w:cs="Tahoma"/>
          <w:b/>
          <w:sz w:val="24"/>
          <w:szCs w:val="24"/>
        </w:rPr>
        <w:t>Que el apelante tenga legitimación para recurrir.</w:t>
      </w:r>
    </w:p>
    <w:p w14:paraId="3DEEC669" w14:textId="77777777" w:rsidR="005D7B51" w:rsidRPr="00876919" w:rsidRDefault="005D7B51" w:rsidP="00876919">
      <w:pPr>
        <w:pStyle w:val="Prrafodelista"/>
        <w:spacing w:line="276" w:lineRule="auto"/>
        <w:rPr>
          <w:rFonts w:ascii="Tahoma" w:hAnsi="Tahoma" w:cs="Tahoma"/>
          <w:sz w:val="24"/>
          <w:szCs w:val="24"/>
        </w:rPr>
      </w:pPr>
    </w:p>
    <w:p w14:paraId="5862434F" w14:textId="77777777" w:rsidR="005D7B51" w:rsidRPr="00876919" w:rsidRDefault="005D7B51" w:rsidP="00876919">
      <w:pPr>
        <w:numPr>
          <w:ilvl w:val="0"/>
          <w:numId w:val="2"/>
        </w:numPr>
        <w:tabs>
          <w:tab w:val="left" w:pos="945"/>
        </w:tabs>
        <w:spacing w:line="276" w:lineRule="auto"/>
        <w:ind w:left="945"/>
        <w:jc w:val="both"/>
        <w:rPr>
          <w:rFonts w:ascii="Tahoma" w:hAnsi="Tahoma" w:cs="Tahoma"/>
          <w:sz w:val="24"/>
          <w:szCs w:val="24"/>
        </w:rPr>
      </w:pPr>
      <w:r w:rsidRPr="00876919">
        <w:rPr>
          <w:rFonts w:ascii="Tahoma" w:hAnsi="Tahoma" w:cs="Tahoma"/>
          <w:sz w:val="24"/>
          <w:szCs w:val="24"/>
        </w:rPr>
        <w:t>Que el apelante tenga interés jurídico que justifique el recurso.</w:t>
      </w:r>
    </w:p>
    <w:p w14:paraId="3656B9AB" w14:textId="77777777" w:rsidR="005D7B51" w:rsidRPr="00876919" w:rsidRDefault="005D7B51" w:rsidP="00876919">
      <w:pPr>
        <w:numPr>
          <w:ilvl w:val="12"/>
          <w:numId w:val="0"/>
        </w:numPr>
        <w:spacing w:line="276" w:lineRule="auto"/>
        <w:jc w:val="both"/>
        <w:rPr>
          <w:rFonts w:ascii="Tahoma" w:hAnsi="Tahoma" w:cs="Tahoma"/>
          <w:sz w:val="24"/>
          <w:szCs w:val="24"/>
        </w:rPr>
      </w:pPr>
    </w:p>
    <w:p w14:paraId="2D7F2F8C" w14:textId="77777777" w:rsidR="005D7B51" w:rsidRPr="00876919" w:rsidRDefault="005D7B51" w:rsidP="00876919">
      <w:pPr>
        <w:numPr>
          <w:ilvl w:val="0"/>
          <w:numId w:val="2"/>
        </w:numPr>
        <w:tabs>
          <w:tab w:val="left" w:pos="945"/>
        </w:tabs>
        <w:spacing w:line="276" w:lineRule="auto"/>
        <w:ind w:left="945"/>
        <w:jc w:val="both"/>
        <w:rPr>
          <w:rFonts w:ascii="Tahoma" w:hAnsi="Tahoma" w:cs="Tahoma"/>
          <w:sz w:val="24"/>
          <w:szCs w:val="24"/>
        </w:rPr>
      </w:pPr>
      <w:r w:rsidRPr="00876919">
        <w:rPr>
          <w:rFonts w:ascii="Tahoma" w:hAnsi="Tahoma" w:cs="Tahoma"/>
          <w:sz w:val="24"/>
          <w:szCs w:val="24"/>
        </w:rPr>
        <w:t>Que el recurso se interponga en tiempo y con las formalidades que la ley establece.</w:t>
      </w:r>
    </w:p>
    <w:p w14:paraId="45FB0818" w14:textId="77777777" w:rsidR="005D7B51" w:rsidRPr="00876919" w:rsidRDefault="005D7B51" w:rsidP="00876919">
      <w:pPr>
        <w:spacing w:line="276" w:lineRule="auto"/>
        <w:jc w:val="both"/>
        <w:rPr>
          <w:rFonts w:ascii="Tahoma" w:hAnsi="Tahoma" w:cs="Tahoma"/>
          <w:sz w:val="24"/>
          <w:szCs w:val="24"/>
        </w:rPr>
      </w:pPr>
    </w:p>
    <w:p w14:paraId="743527DA" w14:textId="61573F60" w:rsidR="005D7B51" w:rsidRPr="00876919" w:rsidRDefault="005D7B51" w:rsidP="00876919">
      <w:pPr>
        <w:spacing w:line="276" w:lineRule="auto"/>
        <w:jc w:val="both"/>
        <w:rPr>
          <w:rFonts w:ascii="Tahoma" w:hAnsi="Tahoma" w:cs="Tahoma"/>
          <w:sz w:val="24"/>
          <w:szCs w:val="24"/>
        </w:rPr>
      </w:pPr>
      <w:r w:rsidRPr="00876919">
        <w:rPr>
          <w:rFonts w:ascii="Tahoma" w:hAnsi="Tahoma" w:cs="Tahoma"/>
          <w:sz w:val="24"/>
          <w:szCs w:val="24"/>
        </w:rPr>
        <w:t xml:space="preserve">De tales requisitos, </w:t>
      </w:r>
      <w:r w:rsidR="00B83176" w:rsidRPr="00876919">
        <w:rPr>
          <w:rFonts w:ascii="Tahoma" w:hAnsi="Tahoma" w:cs="Tahoma"/>
          <w:sz w:val="24"/>
          <w:szCs w:val="24"/>
        </w:rPr>
        <w:t xml:space="preserve">sin mayores disquisiciones se advierte, de entrada, que </w:t>
      </w:r>
      <w:r w:rsidRPr="00876919">
        <w:rPr>
          <w:rFonts w:ascii="Tahoma" w:hAnsi="Tahoma" w:cs="Tahoma"/>
          <w:sz w:val="24"/>
          <w:szCs w:val="24"/>
        </w:rPr>
        <w:t>no se satisface el</w:t>
      </w:r>
      <w:r w:rsidR="00B83176" w:rsidRPr="00876919">
        <w:rPr>
          <w:rFonts w:ascii="Tahoma" w:hAnsi="Tahoma" w:cs="Tahoma"/>
          <w:sz w:val="24"/>
          <w:szCs w:val="24"/>
        </w:rPr>
        <w:t xml:space="preserve"> segundo</w:t>
      </w:r>
      <w:r w:rsidRPr="00876919">
        <w:rPr>
          <w:rFonts w:ascii="Tahoma" w:hAnsi="Tahoma" w:cs="Tahoma"/>
          <w:sz w:val="24"/>
          <w:szCs w:val="24"/>
        </w:rPr>
        <w:t xml:space="preserve">, pues la decisión censurada </w:t>
      </w:r>
      <w:r w:rsidR="00B83176" w:rsidRPr="00876919">
        <w:rPr>
          <w:rFonts w:ascii="Tahoma" w:hAnsi="Tahoma" w:cs="Tahoma"/>
          <w:sz w:val="24"/>
          <w:szCs w:val="24"/>
        </w:rPr>
        <w:t xml:space="preserve">tiene como legítimo interesado a la </w:t>
      </w:r>
      <w:r w:rsidR="00B83176" w:rsidRPr="00876919">
        <w:rPr>
          <w:rFonts w:ascii="Tahoma" w:hAnsi="Tahoma" w:cs="Tahoma"/>
          <w:b/>
          <w:sz w:val="24"/>
          <w:szCs w:val="24"/>
        </w:rPr>
        <w:t xml:space="preserve">Sociedad </w:t>
      </w:r>
      <w:proofErr w:type="spellStart"/>
      <w:r w:rsidR="00B83176" w:rsidRPr="00876919">
        <w:rPr>
          <w:rFonts w:ascii="Tahoma" w:hAnsi="Tahoma" w:cs="Tahoma"/>
          <w:b/>
          <w:sz w:val="24"/>
          <w:szCs w:val="24"/>
        </w:rPr>
        <w:t>Arquitecture</w:t>
      </w:r>
      <w:proofErr w:type="spellEnd"/>
      <w:r w:rsidR="00B83176" w:rsidRPr="00876919">
        <w:rPr>
          <w:rFonts w:ascii="Tahoma" w:hAnsi="Tahoma" w:cs="Tahoma"/>
          <w:b/>
          <w:sz w:val="24"/>
          <w:szCs w:val="24"/>
        </w:rPr>
        <w:t xml:space="preserve"> SAS</w:t>
      </w:r>
      <w:r w:rsidR="00C35709">
        <w:rPr>
          <w:rFonts w:ascii="Tahoma" w:hAnsi="Tahoma" w:cs="Tahoma"/>
          <w:sz w:val="24"/>
          <w:szCs w:val="24"/>
        </w:rPr>
        <w:t xml:space="preserve">, </w:t>
      </w:r>
      <w:r w:rsidR="00B83176" w:rsidRPr="00876919">
        <w:rPr>
          <w:rFonts w:ascii="Tahoma" w:hAnsi="Tahoma" w:cs="Tahoma"/>
          <w:sz w:val="24"/>
          <w:szCs w:val="24"/>
        </w:rPr>
        <w:t>que no a la recurrente.</w:t>
      </w:r>
    </w:p>
    <w:p w14:paraId="049F31CB" w14:textId="77777777" w:rsidR="005D7B51" w:rsidRPr="00876919" w:rsidRDefault="005D7B51" w:rsidP="00876919">
      <w:pPr>
        <w:spacing w:line="276" w:lineRule="auto"/>
        <w:jc w:val="both"/>
        <w:rPr>
          <w:rFonts w:ascii="Tahoma" w:hAnsi="Tahoma" w:cs="Tahoma"/>
          <w:sz w:val="24"/>
          <w:szCs w:val="24"/>
        </w:rPr>
      </w:pPr>
    </w:p>
    <w:p w14:paraId="5E63604C" w14:textId="77777777" w:rsidR="00841157" w:rsidRPr="00876919" w:rsidRDefault="005D7B51" w:rsidP="00876919">
      <w:pPr>
        <w:spacing w:line="276" w:lineRule="auto"/>
        <w:jc w:val="both"/>
        <w:rPr>
          <w:rFonts w:ascii="Tahoma" w:hAnsi="Tahoma" w:cs="Tahoma"/>
          <w:sz w:val="24"/>
          <w:szCs w:val="24"/>
        </w:rPr>
      </w:pPr>
      <w:r w:rsidRPr="00876919">
        <w:rPr>
          <w:rFonts w:ascii="Tahoma" w:hAnsi="Tahoma" w:cs="Tahoma"/>
          <w:sz w:val="24"/>
          <w:szCs w:val="24"/>
        </w:rPr>
        <w:t xml:space="preserve">En efecto, el </w:t>
      </w:r>
      <w:r w:rsidR="003F50D1" w:rsidRPr="00876919">
        <w:rPr>
          <w:rFonts w:ascii="Tahoma" w:hAnsi="Tahoma" w:cs="Tahoma"/>
          <w:sz w:val="24"/>
          <w:szCs w:val="24"/>
        </w:rPr>
        <w:t xml:space="preserve">inciso 3º </w:t>
      </w:r>
      <w:r w:rsidR="00841157" w:rsidRPr="00876919">
        <w:rPr>
          <w:rFonts w:ascii="Tahoma" w:hAnsi="Tahoma" w:cs="Tahoma"/>
          <w:sz w:val="24"/>
          <w:szCs w:val="24"/>
        </w:rPr>
        <w:t>del art</w:t>
      </w:r>
      <w:r w:rsidR="003F50D1" w:rsidRPr="00876919">
        <w:rPr>
          <w:rFonts w:ascii="Tahoma" w:hAnsi="Tahoma" w:cs="Tahoma"/>
          <w:sz w:val="24"/>
          <w:szCs w:val="24"/>
        </w:rPr>
        <w:t>ículo 135</w:t>
      </w:r>
      <w:r w:rsidR="00841157" w:rsidRPr="00876919">
        <w:rPr>
          <w:rFonts w:ascii="Tahoma" w:hAnsi="Tahoma" w:cs="Tahoma"/>
          <w:sz w:val="24"/>
          <w:szCs w:val="24"/>
        </w:rPr>
        <w:t xml:space="preserve"> del mismo estatuto establece:</w:t>
      </w:r>
    </w:p>
    <w:p w14:paraId="53128261" w14:textId="77777777" w:rsidR="00841157" w:rsidRPr="00876919" w:rsidRDefault="00841157" w:rsidP="00876919">
      <w:pPr>
        <w:spacing w:line="276" w:lineRule="auto"/>
        <w:jc w:val="both"/>
        <w:rPr>
          <w:rFonts w:ascii="Tahoma" w:hAnsi="Tahoma" w:cs="Tahoma"/>
          <w:sz w:val="24"/>
          <w:szCs w:val="24"/>
        </w:rPr>
      </w:pPr>
    </w:p>
    <w:p w14:paraId="64336DD3" w14:textId="06784EB7" w:rsidR="005D7B51" w:rsidRPr="0061278A" w:rsidRDefault="006A33CC" w:rsidP="0061278A">
      <w:pPr>
        <w:ind w:left="426" w:right="420"/>
        <w:jc w:val="both"/>
        <w:rPr>
          <w:rFonts w:ascii="Tahoma" w:hAnsi="Tahoma" w:cs="Tahoma"/>
          <w:i/>
          <w:sz w:val="22"/>
          <w:szCs w:val="24"/>
        </w:rPr>
      </w:pPr>
      <w:r w:rsidRPr="0061278A">
        <w:rPr>
          <w:rFonts w:ascii="Tahoma" w:hAnsi="Tahoma" w:cs="Tahoma"/>
          <w:sz w:val="22"/>
          <w:szCs w:val="24"/>
        </w:rPr>
        <w:t xml:space="preserve"> </w:t>
      </w:r>
      <w:r w:rsidR="00841157" w:rsidRPr="0061278A">
        <w:rPr>
          <w:rFonts w:ascii="Tahoma" w:hAnsi="Tahoma" w:cs="Tahoma"/>
          <w:i/>
          <w:sz w:val="22"/>
          <w:szCs w:val="24"/>
        </w:rPr>
        <w:t>“</w:t>
      </w:r>
      <w:r w:rsidR="00841157" w:rsidRPr="0061278A">
        <w:rPr>
          <w:rFonts w:ascii="Tahoma" w:hAnsi="Tahoma" w:cs="Tahoma"/>
          <w:i/>
          <w:sz w:val="22"/>
          <w:szCs w:val="24"/>
          <w:shd w:val="clear" w:color="auto" w:fill="FFFFFF"/>
        </w:rPr>
        <w:t xml:space="preserve">La nulidad por indebida representación o por falta de notificación o emplazamiento </w:t>
      </w:r>
      <w:r w:rsidR="00841157" w:rsidRPr="0061278A">
        <w:rPr>
          <w:rFonts w:ascii="Tahoma" w:hAnsi="Tahoma" w:cs="Tahoma"/>
          <w:b/>
          <w:i/>
          <w:sz w:val="22"/>
          <w:szCs w:val="24"/>
          <w:shd w:val="clear" w:color="auto" w:fill="FFFFFF"/>
        </w:rPr>
        <w:t>solo podrá</w:t>
      </w:r>
      <w:r w:rsidR="003F50D1" w:rsidRPr="0061278A">
        <w:rPr>
          <w:rFonts w:ascii="Tahoma" w:hAnsi="Tahoma" w:cs="Tahoma"/>
          <w:b/>
          <w:i/>
          <w:sz w:val="22"/>
          <w:szCs w:val="24"/>
          <w:shd w:val="clear" w:color="auto" w:fill="FFFFFF"/>
        </w:rPr>
        <w:t xml:space="preserve"> ser alegada por la persona afectada.</w:t>
      </w:r>
      <w:r w:rsidR="005D7B51" w:rsidRPr="0061278A">
        <w:rPr>
          <w:rFonts w:ascii="Tahoma" w:hAnsi="Tahoma" w:cs="Tahoma"/>
          <w:b/>
          <w:i/>
          <w:sz w:val="22"/>
          <w:szCs w:val="24"/>
        </w:rPr>
        <w:t>”</w:t>
      </w:r>
      <w:r w:rsidR="005D7B51" w:rsidRPr="0061278A">
        <w:rPr>
          <w:rFonts w:ascii="Tahoma" w:hAnsi="Tahoma" w:cs="Tahoma"/>
          <w:i/>
          <w:sz w:val="22"/>
          <w:szCs w:val="24"/>
        </w:rPr>
        <w:t xml:space="preserve"> </w:t>
      </w:r>
      <w:r w:rsidR="003F50D1" w:rsidRPr="0061278A">
        <w:rPr>
          <w:rFonts w:ascii="Tahoma" w:hAnsi="Tahoma" w:cs="Tahoma"/>
          <w:i/>
          <w:sz w:val="22"/>
          <w:szCs w:val="24"/>
        </w:rPr>
        <w:t>-negrillas propias-</w:t>
      </w:r>
    </w:p>
    <w:p w14:paraId="4101652C" w14:textId="77777777" w:rsidR="003F50D1" w:rsidRPr="00876919" w:rsidRDefault="003F50D1" w:rsidP="00876919">
      <w:pPr>
        <w:spacing w:line="276" w:lineRule="auto"/>
        <w:jc w:val="both"/>
        <w:rPr>
          <w:rFonts w:ascii="Tahoma" w:hAnsi="Tahoma" w:cs="Tahoma"/>
          <w:i/>
          <w:sz w:val="24"/>
          <w:szCs w:val="24"/>
        </w:rPr>
      </w:pPr>
    </w:p>
    <w:p w14:paraId="17858833" w14:textId="77777777" w:rsidR="003F50D1" w:rsidRPr="00876919" w:rsidRDefault="003F50D1" w:rsidP="00876919">
      <w:pPr>
        <w:spacing w:line="276" w:lineRule="auto"/>
        <w:jc w:val="both"/>
        <w:rPr>
          <w:rFonts w:ascii="Tahoma" w:hAnsi="Tahoma" w:cs="Tahoma"/>
          <w:sz w:val="24"/>
          <w:szCs w:val="24"/>
        </w:rPr>
      </w:pPr>
      <w:r w:rsidRPr="00876919">
        <w:rPr>
          <w:rFonts w:ascii="Tahoma" w:hAnsi="Tahoma" w:cs="Tahoma"/>
          <w:sz w:val="24"/>
          <w:szCs w:val="24"/>
        </w:rPr>
        <w:t xml:space="preserve">No son necesarias entonces mayores disquisiciones para establecer que como la eventual causal de nulidad puesta de presente por la impugnante, en forma exclusiva, </w:t>
      </w:r>
      <w:r w:rsidRPr="00876919">
        <w:rPr>
          <w:rFonts w:ascii="Tahoma" w:hAnsi="Tahoma" w:cs="Tahoma"/>
          <w:sz w:val="24"/>
          <w:szCs w:val="24"/>
        </w:rPr>
        <w:lastRenderedPageBreak/>
        <w:t>podrá ser alegada únicamente por la persona que se considere indebidamente notificada o emplazada, no por cualquier otro sujeto que conforme la Litis, no hay cómo colegir por contera que al recurso podrá dársele algún trámite de fondo.</w:t>
      </w:r>
    </w:p>
    <w:bookmarkEnd w:id="1"/>
    <w:p w14:paraId="4B99056E" w14:textId="77777777" w:rsidR="003F50D1" w:rsidRPr="00876919" w:rsidRDefault="003F50D1" w:rsidP="00876919">
      <w:pPr>
        <w:spacing w:line="276" w:lineRule="auto"/>
        <w:jc w:val="both"/>
        <w:rPr>
          <w:rFonts w:ascii="Tahoma" w:hAnsi="Tahoma" w:cs="Tahoma"/>
          <w:sz w:val="24"/>
          <w:szCs w:val="24"/>
        </w:rPr>
      </w:pPr>
    </w:p>
    <w:p w14:paraId="5BFF6A84" w14:textId="77777777" w:rsidR="003F50D1" w:rsidRPr="00876919" w:rsidRDefault="003F50D1" w:rsidP="00876919">
      <w:pPr>
        <w:spacing w:line="276" w:lineRule="auto"/>
        <w:jc w:val="both"/>
        <w:rPr>
          <w:rFonts w:ascii="Tahoma" w:hAnsi="Tahoma" w:cs="Tahoma"/>
          <w:sz w:val="24"/>
          <w:szCs w:val="24"/>
        </w:rPr>
      </w:pPr>
      <w:r w:rsidRPr="00876919">
        <w:rPr>
          <w:rFonts w:ascii="Tahoma" w:hAnsi="Tahoma" w:cs="Tahoma"/>
          <w:sz w:val="24"/>
          <w:szCs w:val="24"/>
        </w:rPr>
        <w:t>No obsta lo anterior para indicar sí, la falta de técnica que la misma contraparte puso de presente en su momento, frente a la petición de la recurrente en cuanto alude a una falta de integración del contradictorio, cuando ello se cumplió a cabalidad dentro del asunto, con lo relacionado en torno a una indebida notificación que, en últimas fue la que el despacho de primer grado trató de unificar en tal sentido para garantizarle a la inconforme quizás el derecho de defensa</w:t>
      </w:r>
      <w:r w:rsidR="00424EAB" w:rsidRPr="00876919">
        <w:rPr>
          <w:rFonts w:ascii="Tahoma" w:hAnsi="Tahoma" w:cs="Tahoma"/>
          <w:sz w:val="24"/>
          <w:szCs w:val="24"/>
        </w:rPr>
        <w:t>, quien en últimas tampoco, valga expresar, complementó sus argumentos de sustentación en primera instancia como corresponde.</w:t>
      </w:r>
    </w:p>
    <w:p w14:paraId="29D6B04F" w14:textId="77777777" w:rsidR="00424EAB" w:rsidRPr="00876919" w:rsidRDefault="00667356" w:rsidP="00876919">
      <w:pPr>
        <w:spacing w:line="276" w:lineRule="auto"/>
        <w:jc w:val="both"/>
        <w:rPr>
          <w:rFonts w:ascii="Tahoma" w:hAnsi="Tahoma" w:cs="Tahoma"/>
          <w:sz w:val="24"/>
          <w:szCs w:val="24"/>
        </w:rPr>
      </w:pPr>
      <w:r w:rsidRPr="00876919">
        <w:rPr>
          <w:rFonts w:ascii="Tahoma" w:hAnsi="Tahoma" w:cs="Tahoma"/>
          <w:sz w:val="24"/>
          <w:szCs w:val="24"/>
        </w:rPr>
        <w:t xml:space="preserve"> </w:t>
      </w:r>
    </w:p>
    <w:p w14:paraId="32ABFCDF" w14:textId="77777777" w:rsidR="00667356" w:rsidRPr="00876919" w:rsidRDefault="00424EAB" w:rsidP="00876919">
      <w:pPr>
        <w:spacing w:line="276" w:lineRule="auto"/>
        <w:jc w:val="both"/>
        <w:rPr>
          <w:rFonts w:ascii="Tahoma" w:hAnsi="Tahoma" w:cs="Tahoma"/>
          <w:sz w:val="24"/>
          <w:szCs w:val="24"/>
        </w:rPr>
      </w:pPr>
      <w:r w:rsidRPr="00876919">
        <w:rPr>
          <w:rFonts w:ascii="Tahoma" w:hAnsi="Tahoma" w:cs="Tahoma"/>
          <w:sz w:val="24"/>
          <w:szCs w:val="24"/>
        </w:rPr>
        <w:t>Puesta</w:t>
      </w:r>
      <w:r w:rsidR="00383A49" w:rsidRPr="00876919">
        <w:rPr>
          <w:rFonts w:ascii="Tahoma" w:hAnsi="Tahoma" w:cs="Tahoma"/>
          <w:sz w:val="24"/>
          <w:szCs w:val="24"/>
        </w:rPr>
        <w:t xml:space="preserve"> de esta manera </w:t>
      </w:r>
      <w:r w:rsidR="00667356" w:rsidRPr="00876919">
        <w:rPr>
          <w:rFonts w:ascii="Tahoma" w:hAnsi="Tahoma" w:cs="Tahoma"/>
          <w:sz w:val="24"/>
          <w:szCs w:val="24"/>
        </w:rPr>
        <w:t>las cosas, el recurso interpuesto resulta inadmisible y así se declarará.</w:t>
      </w:r>
    </w:p>
    <w:p w14:paraId="1299C43A" w14:textId="77777777" w:rsidR="005D7B51" w:rsidRPr="00876919" w:rsidRDefault="005D7B51" w:rsidP="00876919">
      <w:pPr>
        <w:spacing w:line="276" w:lineRule="auto"/>
        <w:jc w:val="both"/>
        <w:rPr>
          <w:rFonts w:ascii="Tahoma" w:hAnsi="Tahoma" w:cs="Tahoma"/>
          <w:sz w:val="24"/>
          <w:szCs w:val="24"/>
        </w:rPr>
      </w:pPr>
    </w:p>
    <w:p w14:paraId="18B67333" w14:textId="77777777" w:rsidR="005D7B51" w:rsidRPr="00876919" w:rsidRDefault="00667356" w:rsidP="00876919">
      <w:pPr>
        <w:spacing w:line="276" w:lineRule="auto"/>
        <w:jc w:val="both"/>
        <w:rPr>
          <w:rFonts w:ascii="Tahoma" w:hAnsi="Tahoma" w:cs="Tahoma"/>
          <w:sz w:val="24"/>
          <w:szCs w:val="24"/>
        </w:rPr>
      </w:pPr>
      <w:r w:rsidRPr="00876919">
        <w:rPr>
          <w:rFonts w:ascii="Tahoma" w:hAnsi="Tahoma" w:cs="Tahoma"/>
          <w:sz w:val="24"/>
          <w:szCs w:val="24"/>
        </w:rPr>
        <w:t xml:space="preserve">En mérito de </w:t>
      </w:r>
      <w:r w:rsidR="005D7B51" w:rsidRPr="00876919">
        <w:rPr>
          <w:rFonts w:ascii="Tahoma" w:hAnsi="Tahoma" w:cs="Tahoma"/>
          <w:sz w:val="24"/>
          <w:szCs w:val="24"/>
        </w:rPr>
        <w:t xml:space="preserve">lo expuesto, el Tribunal Superior del Distrito Judicial de Pereira, Risaralda, en Sala Unitaria Civil Familia, </w:t>
      </w:r>
    </w:p>
    <w:p w14:paraId="4DDBEF00" w14:textId="77777777" w:rsidR="005D7B51" w:rsidRPr="00876919" w:rsidRDefault="005D7B51" w:rsidP="00876919">
      <w:pPr>
        <w:spacing w:line="276" w:lineRule="auto"/>
        <w:jc w:val="both"/>
        <w:rPr>
          <w:rFonts w:ascii="Tahoma" w:hAnsi="Tahoma" w:cs="Tahoma"/>
          <w:sz w:val="24"/>
          <w:szCs w:val="24"/>
        </w:rPr>
      </w:pPr>
    </w:p>
    <w:p w14:paraId="21F53E36" w14:textId="77777777" w:rsidR="005D7B51" w:rsidRPr="00876919" w:rsidRDefault="005D7B51" w:rsidP="00876919">
      <w:pPr>
        <w:spacing w:line="276" w:lineRule="auto"/>
        <w:jc w:val="both"/>
        <w:rPr>
          <w:rFonts w:ascii="Tahoma" w:hAnsi="Tahoma" w:cs="Tahoma"/>
          <w:b/>
          <w:sz w:val="24"/>
          <w:szCs w:val="24"/>
        </w:rPr>
      </w:pPr>
      <w:r w:rsidRPr="00876919">
        <w:rPr>
          <w:rFonts w:ascii="Tahoma" w:hAnsi="Tahoma" w:cs="Tahoma"/>
          <w:b/>
          <w:sz w:val="24"/>
          <w:szCs w:val="24"/>
        </w:rPr>
        <w:t>R E S U E L V E </w:t>
      </w:r>
    </w:p>
    <w:p w14:paraId="3461D779" w14:textId="77777777" w:rsidR="005D7B51" w:rsidRPr="00876919" w:rsidRDefault="005D7B51" w:rsidP="00876919">
      <w:pPr>
        <w:spacing w:line="276" w:lineRule="auto"/>
        <w:jc w:val="both"/>
        <w:rPr>
          <w:rFonts w:ascii="Tahoma" w:hAnsi="Tahoma" w:cs="Tahoma"/>
          <w:sz w:val="24"/>
          <w:szCs w:val="24"/>
        </w:rPr>
      </w:pPr>
    </w:p>
    <w:p w14:paraId="6F957687" w14:textId="77777777" w:rsidR="00383A49" w:rsidRPr="00876919" w:rsidRDefault="005D7B51" w:rsidP="00876919">
      <w:pPr>
        <w:pStyle w:val="Textoindependiente"/>
        <w:spacing w:line="276" w:lineRule="auto"/>
        <w:rPr>
          <w:rFonts w:ascii="Tahoma" w:hAnsi="Tahoma" w:cs="Tahoma"/>
          <w:spacing w:val="0"/>
          <w:szCs w:val="24"/>
        </w:rPr>
      </w:pPr>
      <w:r w:rsidRPr="00876919">
        <w:rPr>
          <w:rFonts w:ascii="Tahoma" w:hAnsi="Tahoma" w:cs="Tahoma"/>
          <w:b/>
          <w:szCs w:val="24"/>
        </w:rPr>
        <w:t xml:space="preserve">1º </w:t>
      </w:r>
      <w:r w:rsidRPr="00876919">
        <w:rPr>
          <w:rFonts w:ascii="Tahoma" w:hAnsi="Tahoma" w:cs="Tahoma"/>
          <w:szCs w:val="24"/>
        </w:rPr>
        <w:t>Declarar inadmisible el recurso de apelación que interpuso</w:t>
      </w:r>
      <w:r w:rsidR="00383A49" w:rsidRPr="00876919">
        <w:rPr>
          <w:rFonts w:ascii="Tahoma" w:hAnsi="Tahoma" w:cs="Tahoma"/>
          <w:szCs w:val="24"/>
        </w:rPr>
        <w:t xml:space="preserve"> la </w:t>
      </w:r>
      <w:proofErr w:type="spellStart"/>
      <w:r w:rsidR="00383A49" w:rsidRPr="00876919">
        <w:rPr>
          <w:rFonts w:ascii="Tahoma" w:hAnsi="Tahoma" w:cs="Tahoma"/>
          <w:szCs w:val="24"/>
        </w:rPr>
        <w:t>co-ejecutada</w:t>
      </w:r>
      <w:proofErr w:type="spellEnd"/>
      <w:r w:rsidR="00383A49" w:rsidRPr="00876919">
        <w:rPr>
          <w:rFonts w:ascii="Tahoma" w:hAnsi="Tahoma" w:cs="Tahoma"/>
          <w:szCs w:val="24"/>
        </w:rPr>
        <w:t xml:space="preserve"> </w:t>
      </w:r>
      <w:r w:rsidR="00383A49" w:rsidRPr="00876919">
        <w:rPr>
          <w:rFonts w:ascii="Tahoma" w:hAnsi="Tahoma" w:cs="Tahoma"/>
          <w:spacing w:val="0"/>
          <w:szCs w:val="24"/>
        </w:rPr>
        <w:t xml:space="preserve">Alexandra Ivonne Bolívar López, contra el auto proferido por el Juzgado Quinto Civil del Circuito local, el 14 de julio último, en el proceso ejecutivo con título hipotecario iniciado en su contra y de José Leandro Montoya Navarro, por Bancolombia SA, al que fue vinculada la Sociedad </w:t>
      </w:r>
      <w:proofErr w:type="spellStart"/>
      <w:r w:rsidR="00383A49" w:rsidRPr="00876919">
        <w:rPr>
          <w:rFonts w:ascii="Tahoma" w:hAnsi="Tahoma" w:cs="Tahoma"/>
          <w:spacing w:val="0"/>
          <w:szCs w:val="24"/>
        </w:rPr>
        <w:t>Arquitecture</w:t>
      </w:r>
      <w:proofErr w:type="spellEnd"/>
      <w:r w:rsidR="00383A49" w:rsidRPr="00876919">
        <w:rPr>
          <w:rFonts w:ascii="Tahoma" w:hAnsi="Tahoma" w:cs="Tahoma"/>
          <w:spacing w:val="0"/>
          <w:szCs w:val="24"/>
        </w:rPr>
        <w:t xml:space="preserve"> SAS.</w:t>
      </w:r>
    </w:p>
    <w:p w14:paraId="3CF2D8B6" w14:textId="77777777" w:rsidR="00383A49" w:rsidRPr="00876919" w:rsidRDefault="00383A49" w:rsidP="00876919">
      <w:pPr>
        <w:pStyle w:val="Textoindependiente"/>
        <w:spacing w:line="276" w:lineRule="auto"/>
        <w:rPr>
          <w:rFonts w:ascii="Tahoma" w:hAnsi="Tahoma" w:cs="Tahoma"/>
          <w:spacing w:val="0"/>
          <w:szCs w:val="24"/>
        </w:rPr>
      </w:pPr>
    </w:p>
    <w:p w14:paraId="428FD93A" w14:textId="77777777" w:rsidR="00383A49" w:rsidRPr="00876919" w:rsidRDefault="00383A49" w:rsidP="00876919">
      <w:pPr>
        <w:pStyle w:val="Textoindependiente"/>
        <w:spacing w:line="276" w:lineRule="auto"/>
        <w:rPr>
          <w:rFonts w:ascii="Tahoma" w:hAnsi="Tahoma" w:cs="Tahoma"/>
          <w:spacing w:val="0"/>
          <w:szCs w:val="24"/>
        </w:rPr>
      </w:pPr>
      <w:r w:rsidRPr="00876919">
        <w:rPr>
          <w:rFonts w:ascii="Tahoma" w:hAnsi="Tahoma" w:cs="Tahoma"/>
          <w:b/>
          <w:spacing w:val="0"/>
          <w:szCs w:val="24"/>
        </w:rPr>
        <w:t xml:space="preserve">2º </w:t>
      </w:r>
      <w:r w:rsidRPr="00876919">
        <w:rPr>
          <w:rFonts w:ascii="Tahoma" w:hAnsi="Tahoma" w:cs="Tahoma"/>
          <w:spacing w:val="0"/>
          <w:szCs w:val="24"/>
        </w:rPr>
        <w:t>En firme este proveído, se ordena la devolución del proceso a su lugar de origen.</w:t>
      </w:r>
    </w:p>
    <w:p w14:paraId="0FB78278" w14:textId="77777777" w:rsidR="00383A49" w:rsidRPr="00876919" w:rsidRDefault="00383A49" w:rsidP="00876919">
      <w:pPr>
        <w:pStyle w:val="Textoindependiente"/>
        <w:spacing w:line="276" w:lineRule="auto"/>
        <w:rPr>
          <w:rFonts w:ascii="Tahoma" w:hAnsi="Tahoma" w:cs="Tahoma"/>
          <w:spacing w:val="0"/>
          <w:szCs w:val="24"/>
        </w:rPr>
      </w:pPr>
    </w:p>
    <w:p w14:paraId="674824C7" w14:textId="77777777" w:rsidR="00067D47" w:rsidRPr="00876919" w:rsidRDefault="00383A49" w:rsidP="00876919">
      <w:pPr>
        <w:pStyle w:val="Textoindependiente"/>
        <w:spacing w:line="276" w:lineRule="auto"/>
        <w:rPr>
          <w:rFonts w:ascii="Tahoma" w:hAnsi="Tahoma" w:cs="Tahoma"/>
          <w:spacing w:val="0"/>
          <w:szCs w:val="24"/>
        </w:rPr>
      </w:pPr>
      <w:r w:rsidRPr="00876919">
        <w:rPr>
          <w:rFonts w:ascii="Tahoma" w:hAnsi="Tahoma" w:cs="Tahoma"/>
          <w:spacing w:val="0"/>
          <w:szCs w:val="24"/>
        </w:rPr>
        <w:t>Por secretaría, óbrese de conformidad y realícese las gestiones que son del caso.</w:t>
      </w:r>
    </w:p>
    <w:p w14:paraId="1FC39945" w14:textId="77777777" w:rsidR="00067D47" w:rsidRPr="00876919" w:rsidRDefault="00067D47" w:rsidP="00876919">
      <w:pPr>
        <w:pStyle w:val="Textoindependiente"/>
        <w:spacing w:line="276" w:lineRule="auto"/>
        <w:rPr>
          <w:rFonts w:ascii="Tahoma" w:hAnsi="Tahoma" w:cs="Tahoma"/>
          <w:spacing w:val="0"/>
          <w:szCs w:val="24"/>
        </w:rPr>
      </w:pPr>
    </w:p>
    <w:p w14:paraId="6662AA8A" w14:textId="77777777" w:rsidR="00067D47" w:rsidRPr="00876919" w:rsidRDefault="00067D47" w:rsidP="00876919">
      <w:pPr>
        <w:spacing w:line="276" w:lineRule="auto"/>
        <w:jc w:val="both"/>
        <w:rPr>
          <w:rFonts w:ascii="Tahoma" w:hAnsi="Tahoma" w:cs="Tahoma"/>
          <w:b/>
          <w:sz w:val="24"/>
          <w:szCs w:val="24"/>
        </w:rPr>
      </w:pPr>
      <w:r w:rsidRPr="00876919">
        <w:rPr>
          <w:rFonts w:ascii="Tahoma" w:hAnsi="Tahoma" w:cs="Tahoma"/>
          <w:b/>
          <w:sz w:val="24"/>
          <w:szCs w:val="24"/>
        </w:rPr>
        <w:t xml:space="preserve">NOTIFÍQUESE </w:t>
      </w:r>
    </w:p>
    <w:p w14:paraId="34CE0A41" w14:textId="77777777" w:rsidR="00067D47" w:rsidRPr="00876919" w:rsidRDefault="00067D47" w:rsidP="00876919">
      <w:pPr>
        <w:spacing w:line="276" w:lineRule="auto"/>
        <w:jc w:val="both"/>
        <w:rPr>
          <w:rFonts w:ascii="Tahoma" w:hAnsi="Tahoma" w:cs="Tahoma"/>
          <w:sz w:val="24"/>
          <w:szCs w:val="24"/>
        </w:rPr>
      </w:pPr>
    </w:p>
    <w:p w14:paraId="35F7748B" w14:textId="77777777" w:rsidR="00067D47" w:rsidRPr="00876919" w:rsidRDefault="00067D47" w:rsidP="00876919">
      <w:pPr>
        <w:spacing w:line="276" w:lineRule="auto"/>
        <w:jc w:val="both"/>
        <w:rPr>
          <w:rFonts w:ascii="Tahoma" w:hAnsi="Tahoma" w:cs="Tahoma"/>
          <w:sz w:val="24"/>
          <w:szCs w:val="24"/>
        </w:rPr>
      </w:pPr>
      <w:r w:rsidRPr="00876919">
        <w:rPr>
          <w:rFonts w:ascii="Tahoma" w:hAnsi="Tahoma" w:cs="Tahoma"/>
          <w:sz w:val="24"/>
          <w:szCs w:val="24"/>
        </w:rPr>
        <w:t>La Magistrada,</w:t>
      </w:r>
    </w:p>
    <w:p w14:paraId="62EBF3C5" w14:textId="77777777" w:rsidR="00067D47" w:rsidRPr="00876919" w:rsidRDefault="00067D47" w:rsidP="00876919">
      <w:pPr>
        <w:spacing w:line="276" w:lineRule="auto"/>
        <w:jc w:val="both"/>
        <w:rPr>
          <w:rFonts w:ascii="Tahoma" w:hAnsi="Tahoma" w:cs="Tahoma"/>
          <w:sz w:val="24"/>
          <w:szCs w:val="24"/>
        </w:rPr>
      </w:pPr>
    </w:p>
    <w:p w14:paraId="5997CC1D" w14:textId="77777777" w:rsidR="00067D47" w:rsidRPr="00876919" w:rsidRDefault="00067D47" w:rsidP="00876919">
      <w:pPr>
        <w:spacing w:line="276" w:lineRule="auto"/>
        <w:rPr>
          <w:rFonts w:ascii="Tahoma" w:hAnsi="Tahoma" w:cs="Tahoma"/>
          <w:sz w:val="24"/>
          <w:szCs w:val="24"/>
        </w:rPr>
      </w:pPr>
    </w:p>
    <w:p w14:paraId="110FFD37" w14:textId="77777777" w:rsidR="00067D47" w:rsidRPr="00876919" w:rsidRDefault="00067D47" w:rsidP="00876919">
      <w:pPr>
        <w:spacing w:line="276" w:lineRule="auto"/>
        <w:rPr>
          <w:rFonts w:ascii="Tahoma" w:hAnsi="Tahoma" w:cs="Tahoma"/>
          <w:sz w:val="24"/>
          <w:szCs w:val="24"/>
        </w:rPr>
      </w:pPr>
    </w:p>
    <w:p w14:paraId="6B699379" w14:textId="77777777" w:rsidR="00067D47" w:rsidRPr="00876919" w:rsidRDefault="00067D47" w:rsidP="00876919">
      <w:pPr>
        <w:spacing w:line="276" w:lineRule="auto"/>
        <w:rPr>
          <w:rFonts w:ascii="Tahoma" w:hAnsi="Tahoma" w:cs="Tahoma"/>
          <w:sz w:val="24"/>
          <w:szCs w:val="24"/>
        </w:rPr>
      </w:pPr>
    </w:p>
    <w:p w14:paraId="698FFD26" w14:textId="2AE681A5" w:rsidR="00383A49" w:rsidRPr="00876919" w:rsidRDefault="00067D47" w:rsidP="00876919">
      <w:pPr>
        <w:pStyle w:val="Textoindependiente"/>
        <w:spacing w:line="276" w:lineRule="auto"/>
        <w:rPr>
          <w:rFonts w:ascii="Tahoma" w:hAnsi="Tahoma" w:cs="Tahoma"/>
          <w:spacing w:val="0"/>
          <w:szCs w:val="24"/>
        </w:rPr>
      </w:pPr>
      <w:r w:rsidRPr="00876919">
        <w:rPr>
          <w:rFonts w:ascii="Tahoma" w:hAnsi="Tahoma" w:cs="Tahoma"/>
          <w:b/>
          <w:bCs/>
          <w:szCs w:val="24"/>
        </w:rPr>
        <w:t>ADRIANA PATRICIA DÍAZ RAMÍREZ</w:t>
      </w:r>
    </w:p>
    <w:sectPr w:rsidR="00383A49" w:rsidRPr="00876919" w:rsidSect="00BF2F1E">
      <w:footerReference w:type="default" r:id="rId11"/>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6386" w14:textId="77777777" w:rsidR="00CD6844" w:rsidRDefault="00CD6844">
      <w:r>
        <w:separator/>
      </w:r>
    </w:p>
  </w:endnote>
  <w:endnote w:type="continuationSeparator" w:id="0">
    <w:p w14:paraId="7E47ECBC" w14:textId="77777777" w:rsidR="00CD6844" w:rsidRDefault="00CD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4E96" w14:textId="77777777" w:rsidR="00295884" w:rsidRPr="0061278A" w:rsidRDefault="00295884">
    <w:pPr>
      <w:pStyle w:val="Piedepgina"/>
      <w:framePr w:wrap="auto" w:vAnchor="text" w:hAnchor="margin" w:xAlign="right" w:y="1"/>
      <w:rPr>
        <w:rStyle w:val="Nmerodepgina"/>
        <w:rFonts w:ascii="Arial" w:hAnsi="Arial" w:cs="Arial"/>
        <w:sz w:val="18"/>
      </w:rPr>
    </w:pPr>
    <w:r w:rsidRPr="0061278A">
      <w:rPr>
        <w:rStyle w:val="Nmerodepgina"/>
        <w:rFonts w:ascii="Arial" w:hAnsi="Arial" w:cs="Arial"/>
        <w:sz w:val="18"/>
      </w:rPr>
      <w:fldChar w:fldCharType="begin"/>
    </w:r>
    <w:r w:rsidRPr="0061278A">
      <w:rPr>
        <w:rStyle w:val="Nmerodepgina"/>
        <w:rFonts w:ascii="Arial" w:hAnsi="Arial" w:cs="Arial"/>
        <w:sz w:val="18"/>
      </w:rPr>
      <w:instrText xml:space="preserve">PAGE  </w:instrText>
    </w:r>
    <w:r w:rsidRPr="0061278A">
      <w:rPr>
        <w:rStyle w:val="Nmerodepgina"/>
        <w:rFonts w:ascii="Arial" w:hAnsi="Arial" w:cs="Arial"/>
        <w:sz w:val="18"/>
      </w:rPr>
      <w:fldChar w:fldCharType="separate"/>
    </w:r>
    <w:r w:rsidR="00067D47" w:rsidRPr="0061278A">
      <w:rPr>
        <w:rStyle w:val="Nmerodepgina"/>
        <w:rFonts w:ascii="Arial" w:hAnsi="Arial" w:cs="Arial"/>
        <w:noProof/>
        <w:sz w:val="18"/>
      </w:rPr>
      <w:t>4</w:t>
    </w:r>
    <w:r w:rsidRPr="0061278A">
      <w:rPr>
        <w:rStyle w:val="Nmerodepgina"/>
        <w:rFonts w:ascii="Arial" w:hAnsi="Arial" w:cs="Arial"/>
        <w:sz w:val="18"/>
      </w:rPr>
      <w:fldChar w:fldCharType="end"/>
    </w:r>
  </w:p>
  <w:p w14:paraId="52E56223" w14:textId="77777777" w:rsidR="00295884" w:rsidRDefault="0029588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7E67F" w14:textId="77777777" w:rsidR="00CD6844" w:rsidRDefault="00CD6844">
      <w:r>
        <w:separator/>
      </w:r>
    </w:p>
  </w:footnote>
  <w:footnote w:type="continuationSeparator" w:id="0">
    <w:p w14:paraId="4B3AD7AB" w14:textId="77777777" w:rsidR="00CD6844" w:rsidRDefault="00CD6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B63F1"/>
    <w:multiLevelType w:val="multilevel"/>
    <w:tmpl w:val="FFC6FCF4"/>
    <w:lvl w:ilvl="0">
      <w:start w:val="1"/>
      <w:numFmt w:val="lowerLetter"/>
      <w:lvlText w:val="%1)"/>
      <w:legacy w:legacy="1" w:legacySpace="120" w:legacyIndent="585"/>
      <w:lvlJc w:val="left"/>
      <w:pPr>
        <w:ind w:left="585" w:hanging="585"/>
      </w:pPr>
    </w:lvl>
    <w:lvl w:ilvl="1">
      <w:start w:val="1"/>
      <w:numFmt w:val="lowerLetter"/>
      <w:lvlText w:val="%2."/>
      <w:legacy w:legacy="1" w:legacySpace="120" w:legacyIndent="360"/>
      <w:lvlJc w:val="left"/>
      <w:pPr>
        <w:ind w:left="945" w:hanging="360"/>
      </w:pPr>
    </w:lvl>
    <w:lvl w:ilvl="2">
      <w:start w:val="1"/>
      <w:numFmt w:val="lowerRoman"/>
      <w:lvlText w:val="%3."/>
      <w:legacy w:legacy="1" w:legacySpace="120" w:legacyIndent="180"/>
      <w:lvlJc w:val="left"/>
      <w:pPr>
        <w:ind w:left="1125" w:hanging="180"/>
      </w:pPr>
    </w:lvl>
    <w:lvl w:ilvl="3">
      <w:start w:val="1"/>
      <w:numFmt w:val="decimal"/>
      <w:lvlText w:val="%4."/>
      <w:legacy w:legacy="1" w:legacySpace="120" w:legacyIndent="360"/>
      <w:lvlJc w:val="left"/>
      <w:pPr>
        <w:ind w:left="1485" w:hanging="360"/>
      </w:pPr>
    </w:lvl>
    <w:lvl w:ilvl="4">
      <w:start w:val="1"/>
      <w:numFmt w:val="lowerLetter"/>
      <w:lvlText w:val="%5."/>
      <w:legacy w:legacy="1" w:legacySpace="120" w:legacyIndent="360"/>
      <w:lvlJc w:val="left"/>
      <w:pPr>
        <w:ind w:left="1845" w:hanging="360"/>
      </w:pPr>
    </w:lvl>
    <w:lvl w:ilvl="5">
      <w:start w:val="1"/>
      <w:numFmt w:val="lowerRoman"/>
      <w:lvlText w:val="%6."/>
      <w:legacy w:legacy="1" w:legacySpace="120" w:legacyIndent="180"/>
      <w:lvlJc w:val="left"/>
      <w:pPr>
        <w:ind w:left="2025" w:hanging="180"/>
      </w:pPr>
    </w:lvl>
    <w:lvl w:ilvl="6">
      <w:start w:val="1"/>
      <w:numFmt w:val="decimal"/>
      <w:lvlText w:val="%7."/>
      <w:legacy w:legacy="1" w:legacySpace="120" w:legacyIndent="360"/>
      <w:lvlJc w:val="left"/>
      <w:pPr>
        <w:ind w:left="2385" w:hanging="360"/>
      </w:pPr>
    </w:lvl>
    <w:lvl w:ilvl="7">
      <w:start w:val="1"/>
      <w:numFmt w:val="lowerLetter"/>
      <w:lvlText w:val="%8."/>
      <w:legacy w:legacy="1" w:legacySpace="120" w:legacyIndent="360"/>
      <w:lvlJc w:val="left"/>
      <w:pPr>
        <w:ind w:left="2745" w:hanging="360"/>
      </w:pPr>
    </w:lvl>
    <w:lvl w:ilvl="8">
      <w:start w:val="1"/>
      <w:numFmt w:val="lowerRoman"/>
      <w:lvlText w:val="%9."/>
      <w:legacy w:legacy="1" w:legacySpace="120" w:legacyIndent="180"/>
      <w:lvlJc w:val="left"/>
      <w:pPr>
        <w:ind w:left="29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A4"/>
    <w:rsid w:val="000108DE"/>
    <w:rsid w:val="00012E4C"/>
    <w:rsid w:val="00017906"/>
    <w:rsid w:val="000311FC"/>
    <w:rsid w:val="00047980"/>
    <w:rsid w:val="0006547C"/>
    <w:rsid w:val="00067D47"/>
    <w:rsid w:val="00074498"/>
    <w:rsid w:val="000D196D"/>
    <w:rsid w:val="000D5F46"/>
    <w:rsid w:val="000F01A5"/>
    <w:rsid w:val="000F23CB"/>
    <w:rsid w:val="0011372A"/>
    <w:rsid w:val="00126C73"/>
    <w:rsid w:val="001325F4"/>
    <w:rsid w:val="00136B8E"/>
    <w:rsid w:val="00141898"/>
    <w:rsid w:val="00143CEF"/>
    <w:rsid w:val="00146701"/>
    <w:rsid w:val="001476C0"/>
    <w:rsid w:val="00172337"/>
    <w:rsid w:val="00172E77"/>
    <w:rsid w:val="00177EA4"/>
    <w:rsid w:val="00185775"/>
    <w:rsid w:val="001A222A"/>
    <w:rsid w:val="001C544C"/>
    <w:rsid w:val="001F2403"/>
    <w:rsid w:val="002069B9"/>
    <w:rsid w:val="00215AE7"/>
    <w:rsid w:val="00216119"/>
    <w:rsid w:val="00222E2A"/>
    <w:rsid w:val="00244DE2"/>
    <w:rsid w:val="00245FF3"/>
    <w:rsid w:val="00266FF4"/>
    <w:rsid w:val="002713E4"/>
    <w:rsid w:val="002803C1"/>
    <w:rsid w:val="00295884"/>
    <w:rsid w:val="002C157A"/>
    <w:rsid w:val="002C2C27"/>
    <w:rsid w:val="002C2F6D"/>
    <w:rsid w:val="002D5217"/>
    <w:rsid w:val="002D5A6E"/>
    <w:rsid w:val="002E6098"/>
    <w:rsid w:val="002E784A"/>
    <w:rsid w:val="00302130"/>
    <w:rsid w:val="003036D0"/>
    <w:rsid w:val="00305E56"/>
    <w:rsid w:val="00310B33"/>
    <w:rsid w:val="00344FA2"/>
    <w:rsid w:val="00353E3B"/>
    <w:rsid w:val="00363ACA"/>
    <w:rsid w:val="003731E5"/>
    <w:rsid w:val="00374901"/>
    <w:rsid w:val="00380321"/>
    <w:rsid w:val="00383A49"/>
    <w:rsid w:val="00397CCA"/>
    <w:rsid w:val="003D245A"/>
    <w:rsid w:val="003D2719"/>
    <w:rsid w:val="003E3632"/>
    <w:rsid w:val="003F166B"/>
    <w:rsid w:val="003F50D1"/>
    <w:rsid w:val="00424EAB"/>
    <w:rsid w:val="004257C8"/>
    <w:rsid w:val="00453B40"/>
    <w:rsid w:val="0045400B"/>
    <w:rsid w:val="00473F5F"/>
    <w:rsid w:val="004829BC"/>
    <w:rsid w:val="00496430"/>
    <w:rsid w:val="004A1151"/>
    <w:rsid w:val="004C716C"/>
    <w:rsid w:val="004F5059"/>
    <w:rsid w:val="0050573A"/>
    <w:rsid w:val="0051139D"/>
    <w:rsid w:val="00517CE0"/>
    <w:rsid w:val="00523C38"/>
    <w:rsid w:val="00546B51"/>
    <w:rsid w:val="00551BF9"/>
    <w:rsid w:val="00591DA4"/>
    <w:rsid w:val="00597683"/>
    <w:rsid w:val="005A5802"/>
    <w:rsid w:val="005B194D"/>
    <w:rsid w:val="005B4AAD"/>
    <w:rsid w:val="005C2A25"/>
    <w:rsid w:val="005D3536"/>
    <w:rsid w:val="005D74E2"/>
    <w:rsid w:val="005D7B51"/>
    <w:rsid w:val="005F019E"/>
    <w:rsid w:val="00607E2D"/>
    <w:rsid w:val="0061278A"/>
    <w:rsid w:val="00613CDB"/>
    <w:rsid w:val="00624AC3"/>
    <w:rsid w:val="006267DF"/>
    <w:rsid w:val="00637489"/>
    <w:rsid w:val="00651111"/>
    <w:rsid w:val="0066218A"/>
    <w:rsid w:val="00667356"/>
    <w:rsid w:val="006754BD"/>
    <w:rsid w:val="00694AB9"/>
    <w:rsid w:val="006A33CC"/>
    <w:rsid w:val="006C54CD"/>
    <w:rsid w:val="006E4CA5"/>
    <w:rsid w:val="006F6004"/>
    <w:rsid w:val="006F6982"/>
    <w:rsid w:val="00701266"/>
    <w:rsid w:val="00706BC8"/>
    <w:rsid w:val="00721368"/>
    <w:rsid w:val="0074279F"/>
    <w:rsid w:val="00747FF4"/>
    <w:rsid w:val="007533E2"/>
    <w:rsid w:val="00763204"/>
    <w:rsid w:val="00764160"/>
    <w:rsid w:val="00780642"/>
    <w:rsid w:val="00784DFB"/>
    <w:rsid w:val="00790A1C"/>
    <w:rsid w:val="00792954"/>
    <w:rsid w:val="00797677"/>
    <w:rsid w:val="007A3C0B"/>
    <w:rsid w:val="007D45D2"/>
    <w:rsid w:val="007E0054"/>
    <w:rsid w:val="00841157"/>
    <w:rsid w:val="00841CC4"/>
    <w:rsid w:val="008606D8"/>
    <w:rsid w:val="00861D70"/>
    <w:rsid w:val="00876919"/>
    <w:rsid w:val="008866A0"/>
    <w:rsid w:val="008A3579"/>
    <w:rsid w:val="008B42F0"/>
    <w:rsid w:val="008C1BC0"/>
    <w:rsid w:val="008D6D18"/>
    <w:rsid w:val="008D6F1A"/>
    <w:rsid w:val="0091167C"/>
    <w:rsid w:val="0092025E"/>
    <w:rsid w:val="00935EF6"/>
    <w:rsid w:val="00971EA5"/>
    <w:rsid w:val="00977766"/>
    <w:rsid w:val="00984FC7"/>
    <w:rsid w:val="00986D3D"/>
    <w:rsid w:val="009A00EC"/>
    <w:rsid w:val="009B4916"/>
    <w:rsid w:val="009E07AF"/>
    <w:rsid w:val="009F156F"/>
    <w:rsid w:val="009F7A4C"/>
    <w:rsid w:val="00A002B4"/>
    <w:rsid w:val="00A027DB"/>
    <w:rsid w:val="00A034A6"/>
    <w:rsid w:val="00A04567"/>
    <w:rsid w:val="00A25191"/>
    <w:rsid w:val="00A32D01"/>
    <w:rsid w:val="00A412CB"/>
    <w:rsid w:val="00A46B3A"/>
    <w:rsid w:val="00A5683F"/>
    <w:rsid w:val="00A677FF"/>
    <w:rsid w:val="00A92A87"/>
    <w:rsid w:val="00A936CA"/>
    <w:rsid w:val="00AA3CD9"/>
    <w:rsid w:val="00AC37BB"/>
    <w:rsid w:val="00AC6B3D"/>
    <w:rsid w:val="00AC7759"/>
    <w:rsid w:val="00AD2824"/>
    <w:rsid w:val="00AF2175"/>
    <w:rsid w:val="00AF5464"/>
    <w:rsid w:val="00B37803"/>
    <w:rsid w:val="00B42886"/>
    <w:rsid w:val="00B43BEE"/>
    <w:rsid w:val="00B636D2"/>
    <w:rsid w:val="00B80F96"/>
    <w:rsid w:val="00B81B88"/>
    <w:rsid w:val="00B83176"/>
    <w:rsid w:val="00BA71F0"/>
    <w:rsid w:val="00BB584C"/>
    <w:rsid w:val="00BD65DF"/>
    <w:rsid w:val="00BE0056"/>
    <w:rsid w:val="00BE0196"/>
    <w:rsid w:val="00BF2F1E"/>
    <w:rsid w:val="00C25E8D"/>
    <w:rsid w:val="00C3360A"/>
    <w:rsid w:val="00C35709"/>
    <w:rsid w:val="00C368B4"/>
    <w:rsid w:val="00C50755"/>
    <w:rsid w:val="00C91406"/>
    <w:rsid w:val="00CB3E16"/>
    <w:rsid w:val="00CB563A"/>
    <w:rsid w:val="00CD6844"/>
    <w:rsid w:val="00CD6F2A"/>
    <w:rsid w:val="00CE6CFB"/>
    <w:rsid w:val="00CF47C6"/>
    <w:rsid w:val="00D01E21"/>
    <w:rsid w:val="00D518D5"/>
    <w:rsid w:val="00D61FCA"/>
    <w:rsid w:val="00D71828"/>
    <w:rsid w:val="00D7626F"/>
    <w:rsid w:val="00D76B5D"/>
    <w:rsid w:val="00D82CFC"/>
    <w:rsid w:val="00D86CCB"/>
    <w:rsid w:val="00D9033B"/>
    <w:rsid w:val="00DD6ECF"/>
    <w:rsid w:val="00E04688"/>
    <w:rsid w:val="00E17F26"/>
    <w:rsid w:val="00E43AF7"/>
    <w:rsid w:val="00E45279"/>
    <w:rsid w:val="00E47524"/>
    <w:rsid w:val="00E862B4"/>
    <w:rsid w:val="00E86E9B"/>
    <w:rsid w:val="00ED38D3"/>
    <w:rsid w:val="00EE4B96"/>
    <w:rsid w:val="00EE6BAB"/>
    <w:rsid w:val="00EE6FB7"/>
    <w:rsid w:val="00F00AFB"/>
    <w:rsid w:val="00F2666C"/>
    <w:rsid w:val="00F369C2"/>
    <w:rsid w:val="00F40C13"/>
    <w:rsid w:val="00F4195A"/>
    <w:rsid w:val="00F701CC"/>
    <w:rsid w:val="00F7664E"/>
    <w:rsid w:val="00F85D60"/>
    <w:rsid w:val="00F91D1B"/>
    <w:rsid w:val="00F96A4C"/>
    <w:rsid w:val="00FA1D81"/>
    <w:rsid w:val="00FA286B"/>
    <w:rsid w:val="00FB2476"/>
    <w:rsid w:val="00FC7AC6"/>
    <w:rsid w:val="00FD028A"/>
    <w:rsid w:val="00FD11AF"/>
    <w:rsid w:val="00FD3AC1"/>
    <w:rsid w:val="00FE4CE4"/>
    <w:rsid w:val="00FE5E02"/>
    <w:rsid w:val="5D65C883"/>
    <w:rsid w:val="5F7B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7685E"/>
  <w15:chartTrackingRefBased/>
  <w15:docId w15:val="{D60B5F20-B305-4F02-9C4D-4E2C52F9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2">
    <w:name w:val="heading 2"/>
    <w:basedOn w:val="Normal"/>
    <w:next w:val="Normal"/>
    <w:link w:val="Ttulo2Car"/>
    <w:qFormat/>
    <w:pPr>
      <w:keepNext/>
      <w:jc w:val="center"/>
      <w:outlineLvl w:val="1"/>
    </w:pPr>
    <w:rPr>
      <w:rFonts w:ascii="Verdana" w:hAnsi="Verdana"/>
      <w:b/>
      <w:spacing w:val="20"/>
      <w:sz w:val="24"/>
    </w:rPr>
  </w:style>
  <w:style w:type="paragraph" w:styleId="Ttulo3">
    <w:name w:val="heading 3"/>
    <w:basedOn w:val="Normal"/>
    <w:next w:val="Normal"/>
    <w:link w:val="Ttulo3Car"/>
    <w:qFormat/>
    <w:pPr>
      <w:keepNext/>
      <w:jc w:val="both"/>
      <w:outlineLvl w:val="2"/>
    </w:pPr>
    <w:rPr>
      <w:rFonts w:ascii="Verdana" w:hAnsi="Verdana"/>
      <w:spacing w:val="2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link w:val="TextoindependienteCar"/>
    <w:pPr>
      <w:jc w:val="both"/>
    </w:pPr>
    <w:rPr>
      <w:rFonts w:ascii="Verdana" w:hAnsi="Verdana"/>
      <w:spacing w:val="20"/>
      <w:sz w:val="24"/>
    </w:rPr>
  </w:style>
  <w:style w:type="paragraph" w:styleId="Encabezado">
    <w:name w:val="header"/>
    <w:basedOn w:val="Normal"/>
    <w:pPr>
      <w:tabs>
        <w:tab w:val="center" w:pos="4419"/>
        <w:tab w:val="right" w:pos="8838"/>
      </w:tabs>
    </w:p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Footnote Text Cha"/>
    <w:basedOn w:val="Normal"/>
    <w:link w:val="TextonotapieCar"/>
    <w:uiPriority w:val="99"/>
    <w:qFormat/>
  </w:style>
  <w:style w:type="character" w:styleId="Refdenotaalpie">
    <w:name w:val="footnote reference"/>
    <w:aliases w:val="Ref. de nota al pie 2,Texto de nota al pie,referencia nota al pie,Footnotes refss,Appel note de bas de page,Footnote number,BVI fnr,f,Texto nota pie Car1 Car,Texto nota pie Car2 Car Car,Texto nota pie Car1 Car Car Car,Pie de Página"/>
    <w:link w:val="Piedepagina"/>
    <w:uiPriority w:val="99"/>
    <w:qFormat/>
    <w:rPr>
      <w:vertAlign w:val="superscript"/>
    </w:rPr>
  </w:style>
  <w:style w:type="paragraph" w:customStyle="1" w:styleId="Textoindependiente21">
    <w:name w:val="Texto independiente 21"/>
    <w:basedOn w:val="Normal"/>
    <w:pPr>
      <w:spacing w:line="360" w:lineRule="auto"/>
      <w:ind w:firstLine="1701"/>
      <w:jc w:val="both"/>
    </w:pPr>
    <w:rPr>
      <w:rFonts w:ascii="Verdana" w:hAnsi="Verdana"/>
      <w:sz w:val="28"/>
    </w:rPr>
  </w:style>
  <w:style w:type="paragraph" w:styleId="Textodebloque">
    <w:name w:val="Block Text"/>
    <w:basedOn w:val="Normal"/>
    <w:pPr>
      <w:ind w:left="851" w:right="901"/>
      <w:jc w:val="both"/>
    </w:pPr>
    <w:rPr>
      <w:rFonts w:ascii="Verdana" w:hAnsi="Verdana"/>
      <w:b/>
      <w:spacing w:val="20"/>
    </w:rPr>
  </w:style>
  <w:style w:type="paragraph" w:customStyle="1" w:styleId="Textoindependiente210">
    <w:name w:val="Texto independiente 21"/>
    <w:basedOn w:val="Normal"/>
    <w:pPr>
      <w:suppressAutoHyphens/>
      <w:autoSpaceDN/>
      <w:adjustRightInd/>
      <w:jc w:val="both"/>
    </w:pPr>
    <w:rPr>
      <w:rFonts w:ascii="Verdana" w:hAnsi="Verdana"/>
      <w:bCs/>
      <w:spacing w:val="20"/>
      <w:sz w:val="23"/>
      <w:lang w:eastAsia="ar-SA"/>
    </w:rPr>
  </w:style>
  <w:style w:type="paragraph" w:styleId="Sinespaciado">
    <w:name w:val="No Spacing"/>
    <w:link w:val="SinespaciadoCar"/>
    <w:uiPriority w:val="1"/>
    <w:qFormat/>
    <w:rsid w:val="00977766"/>
    <w:rPr>
      <w:rFonts w:ascii="Calibri" w:hAnsi="Calibri"/>
      <w:sz w:val="22"/>
      <w:szCs w:val="22"/>
      <w:lang w:val="es-ES" w:eastAsia="es-ES"/>
    </w:rPr>
  </w:style>
  <w:style w:type="character" w:customStyle="1" w:styleId="SinespaciadoCar">
    <w:name w:val="Sin espaciado Car"/>
    <w:link w:val="Sinespaciado"/>
    <w:uiPriority w:val="1"/>
    <w:locked/>
    <w:rsid w:val="00977766"/>
    <w:rPr>
      <w:rFonts w:ascii="Calibri" w:hAnsi="Calibri"/>
      <w:sz w:val="22"/>
      <w:szCs w:val="22"/>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link w:val="Textonotapie"/>
    <w:uiPriority w:val="99"/>
    <w:rsid w:val="00E862B4"/>
    <w:rPr>
      <w:lang w:val="es-ES_tradnl"/>
    </w:rPr>
  </w:style>
  <w:style w:type="paragraph" w:styleId="Textodeglobo">
    <w:name w:val="Balloon Text"/>
    <w:basedOn w:val="Normal"/>
    <w:link w:val="TextodegloboCar"/>
    <w:rsid w:val="00EE4B96"/>
    <w:rPr>
      <w:rFonts w:ascii="Segoe UI" w:hAnsi="Segoe UI" w:cs="Segoe UI"/>
      <w:sz w:val="18"/>
      <w:szCs w:val="18"/>
    </w:rPr>
  </w:style>
  <w:style w:type="character" w:customStyle="1" w:styleId="TextodegloboCar">
    <w:name w:val="Texto de globo Car"/>
    <w:link w:val="Textodeglobo"/>
    <w:rsid w:val="00EE4B96"/>
    <w:rPr>
      <w:rFonts w:ascii="Segoe UI" w:hAnsi="Segoe UI" w:cs="Segoe UI"/>
      <w:sz w:val="18"/>
      <w:szCs w:val="18"/>
      <w:lang w:val="es-ES_tradnl"/>
    </w:rPr>
  </w:style>
  <w:style w:type="character" w:customStyle="1" w:styleId="Ttulo2Car">
    <w:name w:val="Título 2 Car"/>
    <w:link w:val="Ttulo2"/>
    <w:rsid w:val="0045400B"/>
    <w:rPr>
      <w:rFonts w:ascii="Verdana" w:hAnsi="Verdana"/>
      <w:b/>
      <w:spacing w:val="20"/>
      <w:sz w:val="24"/>
      <w:lang w:val="es-ES_tradnl"/>
    </w:rPr>
  </w:style>
  <w:style w:type="character" w:customStyle="1" w:styleId="Ttulo3Car">
    <w:name w:val="Título 3 Car"/>
    <w:link w:val="Ttulo3"/>
    <w:rsid w:val="0045400B"/>
    <w:rPr>
      <w:rFonts w:ascii="Verdana" w:hAnsi="Verdana"/>
      <w:spacing w:val="20"/>
      <w:sz w:val="24"/>
      <w:lang w:val="es-ES_tradnl"/>
    </w:rPr>
  </w:style>
  <w:style w:type="character" w:customStyle="1" w:styleId="TextoindependienteCar">
    <w:name w:val="Texto independiente Car"/>
    <w:link w:val="Textoindependiente"/>
    <w:rsid w:val="0045400B"/>
    <w:rPr>
      <w:rFonts w:ascii="Verdana" w:hAnsi="Verdana"/>
      <w:spacing w:val="20"/>
      <w:sz w:val="24"/>
      <w:lang w:val="es-ES_tradnl"/>
    </w:rPr>
  </w:style>
  <w:style w:type="paragraph" w:styleId="Prrafodelista">
    <w:name w:val="List Paragraph"/>
    <w:basedOn w:val="Normal"/>
    <w:uiPriority w:val="34"/>
    <w:qFormat/>
    <w:rsid w:val="00B636D2"/>
    <w:pPr>
      <w:suppressAutoHyphens/>
      <w:autoSpaceDN/>
      <w:adjustRightInd/>
      <w:ind w:left="708"/>
    </w:pPr>
  </w:style>
  <w:style w:type="character" w:customStyle="1" w:styleId="eop">
    <w:name w:val="eop"/>
    <w:rsid w:val="001C544C"/>
  </w:style>
  <w:style w:type="paragraph" w:customStyle="1" w:styleId="Default">
    <w:name w:val="Default"/>
    <w:rsid w:val="001C544C"/>
    <w:pPr>
      <w:autoSpaceDE w:val="0"/>
      <w:autoSpaceDN w:val="0"/>
      <w:adjustRightInd w:val="0"/>
    </w:pPr>
    <w:rPr>
      <w:rFonts w:ascii="Verdana" w:hAnsi="Verdana" w:cs="Verdana"/>
      <w:color w:val="000000"/>
      <w:sz w:val="24"/>
      <w:szCs w:val="24"/>
      <w:lang w:eastAsia="es-CO"/>
    </w:rPr>
  </w:style>
  <w:style w:type="paragraph" w:customStyle="1" w:styleId="Piedepagina">
    <w:name w:val="Pie de pagina"/>
    <w:basedOn w:val="Normal"/>
    <w:link w:val="Refdenotaalpie"/>
    <w:uiPriority w:val="99"/>
    <w:rsid w:val="001C544C"/>
    <w:pPr>
      <w:overflowPunct/>
      <w:autoSpaceDE/>
      <w:autoSpaceDN/>
      <w:adjustRightInd/>
      <w:spacing w:after="160" w:line="240" w:lineRule="exact"/>
      <w:textAlignment w:val="auto"/>
    </w:pPr>
    <w:rPr>
      <w:vertAlign w:val="superscript"/>
      <w:lang w:val="en-US" w:eastAsia="en-US"/>
    </w:rPr>
  </w:style>
  <w:style w:type="paragraph" w:customStyle="1" w:styleId="paragraph">
    <w:name w:val="paragraph"/>
    <w:basedOn w:val="Normal"/>
    <w:rsid w:val="00067D47"/>
    <w:pPr>
      <w:overflowPunct/>
      <w:autoSpaceDE/>
      <w:autoSpaceDN/>
      <w:adjustRightInd/>
      <w:spacing w:before="100" w:beforeAutospacing="1" w:after="100" w:afterAutospacing="1"/>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8692">
      <w:bodyDiv w:val="1"/>
      <w:marLeft w:val="0"/>
      <w:marRight w:val="0"/>
      <w:marTop w:val="0"/>
      <w:marBottom w:val="0"/>
      <w:divBdr>
        <w:top w:val="none" w:sz="0" w:space="0" w:color="auto"/>
        <w:left w:val="none" w:sz="0" w:space="0" w:color="auto"/>
        <w:bottom w:val="none" w:sz="0" w:space="0" w:color="auto"/>
        <w:right w:val="none" w:sz="0" w:space="0" w:color="auto"/>
      </w:divBdr>
    </w:div>
    <w:div w:id="971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298C-6E71-4737-A121-898D6845E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828B9-9D5B-4607-81B3-FA21612405FB}">
  <ds:schemaRefs>
    <ds:schemaRef ds:uri="http://schemas.microsoft.com/sharepoint/v3/contenttype/forms"/>
  </ds:schemaRefs>
</ds:datastoreItem>
</file>

<file path=customXml/itemProps3.xml><?xml version="1.0" encoding="utf-8"?>
<ds:datastoreItem xmlns:ds="http://schemas.openxmlformats.org/officeDocument/2006/customXml" ds:itemID="{B00B39AB-8B74-4209-AB1C-74A5DE903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307D9-A607-41AE-AF11-07BE554A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1063</Words>
  <Characters>5851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12</cp:revision>
  <cp:lastPrinted>2017-08-31T12:22:00Z</cp:lastPrinted>
  <dcterms:created xsi:type="dcterms:W3CDTF">2021-04-22T19:09:00Z</dcterms:created>
  <dcterms:modified xsi:type="dcterms:W3CDTF">2021-05-18T15:49:00Z</dcterms:modified>
</cp:coreProperties>
</file>