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6238" w14:textId="77777777" w:rsidR="007A1A1B" w:rsidRPr="007A1A1B" w:rsidRDefault="007A1A1B" w:rsidP="007A1A1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7A1A1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72D3AF" w14:textId="32AC949A" w:rsidR="007A1A1B" w:rsidRDefault="007A1A1B" w:rsidP="007A1A1B">
      <w:pPr>
        <w:spacing w:after="0" w:line="240" w:lineRule="auto"/>
        <w:jc w:val="both"/>
        <w:rPr>
          <w:rFonts w:ascii="Arial" w:eastAsia="Times New Roman" w:hAnsi="Arial" w:cs="Arial"/>
          <w:sz w:val="20"/>
          <w:szCs w:val="20"/>
          <w:lang w:val="es-419" w:eastAsia="es-ES"/>
        </w:rPr>
      </w:pPr>
    </w:p>
    <w:p w14:paraId="6871C864" w14:textId="19B538A3" w:rsidR="00735AEB" w:rsidRPr="00735AEB" w:rsidRDefault="00735AEB" w:rsidP="00735AEB">
      <w:pPr>
        <w:spacing w:after="0" w:line="240" w:lineRule="auto"/>
        <w:jc w:val="both"/>
        <w:rPr>
          <w:rFonts w:ascii="Arial" w:eastAsia="Times New Roman" w:hAnsi="Arial" w:cs="Arial"/>
          <w:sz w:val="20"/>
          <w:szCs w:val="20"/>
          <w:lang w:val="es-419" w:eastAsia="es-ES"/>
        </w:rPr>
      </w:pPr>
      <w:r w:rsidRPr="00735AEB">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735AEB">
        <w:rPr>
          <w:rFonts w:ascii="Arial" w:eastAsia="Times New Roman" w:hAnsi="Arial" w:cs="Arial"/>
          <w:sz w:val="20"/>
          <w:szCs w:val="20"/>
          <w:lang w:val="es-419" w:eastAsia="es-ES"/>
        </w:rPr>
        <w:t>Acción Popular</w:t>
      </w:r>
    </w:p>
    <w:p w14:paraId="70218369" w14:textId="3D35A244" w:rsidR="00735AEB" w:rsidRPr="00735AEB" w:rsidRDefault="00735AEB" w:rsidP="00735AEB">
      <w:pPr>
        <w:spacing w:after="0" w:line="240" w:lineRule="auto"/>
        <w:jc w:val="both"/>
        <w:rPr>
          <w:rFonts w:ascii="Arial" w:eastAsia="Times New Roman" w:hAnsi="Arial" w:cs="Arial"/>
          <w:sz w:val="20"/>
          <w:szCs w:val="20"/>
          <w:lang w:val="es-419" w:eastAsia="es-ES"/>
        </w:rPr>
      </w:pPr>
      <w:r w:rsidRPr="00735AEB">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735AEB">
        <w:rPr>
          <w:rFonts w:ascii="Arial" w:eastAsia="Times New Roman" w:hAnsi="Arial" w:cs="Arial"/>
          <w:sz w:val="20"/>
          <w:szCs w:val="20"/>
          <w:lang w:val="es-419" w:eastAsia="es-ES"/>
        </w:rPr>
        <w:t xml:space="preserve">Nilton </w:t>
      </w:r>
      <w:proofErr w:type="spellStart"/>
      <w:r w:rsidRPr="00735AEB">
        <w:rPr>
          <w:rFonts w:ascii="Arial" w:eastAsia="Times New Roman" w:hAnsi="Arial" w:cs="Arial"/>
          <w:sz w:val="20"/>
          <w:szCs w:val="20"/>
          <w:lang w:val="es-419" w:eastAsia="es-ES"/>
        </w:rPr>
        <w:t>Donavis</w:t>
      </w:r>
      <w:proofErr w:type="spellEnd"/>
      <w:r w:rsidRPr="00735AEB">
        <w:rPr>
          <w:rFonts w:ascii="Arial" w:eastAsia="Times New Roman" w:hAnsi="Arial" w:cs="Arial"/>
          <w:sz w:val="20"/>
          <w:szCs w:val="20"/>
          <w:lang w:val="es-419" w:eastAsia="es-ES"/>
        </w:rPr>
        <w:t xml:space="preserve"> Ruge Nieto</w:t>
      </w:r>
    </w:p>
    <w:p w14:paraId="21CDB948" w14:textId="74E65576" w:rsidR="00735AEB" w:rsidRDefault="00735AEB" w:rsidP="00735AEB">
      <w:pPr>
        <w:spacing w:after="0" w:line="240" w:lineRule="auto"/>
        <w:jc w:val="both"/>
        <w:rPr>
          <w:rFonts w:ascii="Arial" w:eastAsia="Times New Roman" w:hAnsi="Arial" w:cs="Arial"/>
          <w:sz w:val="20"/>
          <w:szCs w:val="20"/>
          <w:lang w:val="es-419" w:eastAsia="es-ES"/>
        </w:rPr>
      </w:pPr>
      <w:r w:rsidRPr="00735AEB">
        <w:rPr>
          <w:rFonts w:ascii="Arial" w:eastAsia="Times New Roman" w:hAnsi="Arial" w:cs="Arial"/>
          <w:sz w:val="20"/>
          <w:szCs w:val="20"/>
          <w:lang w:val="es-419" w:eastAsia="es-ES"/>
        </w:rPr>
        <w:t>Demandada:</w:t>
      </w:r>
      <w:r>
        <w:rPr>
          <w:rFonts w:ascii="Arial" w:eastAsia="Times New Roman" w:hAnsi="Arial" w:cs="Arial"/>
          <w:sz w:val="20"/>
          <w:szCs w:val="20"/>
          <w:lang w:val="es-419" w:eastAsia="es-ES"/>
        </w:rPr>
        <w:tab/>
      </w:r>
      <w:r w:rsidR="00492134" w:rsidRPr="00735AEB">
        <w:rPr>
          <w:rFonts w:ascii="Arial" w:eastAsia="Times New Roman" w:hAnsi="Arial" w:cs="Arial"/>
          <w:sz w:val="20"/>
          <w:szCs w:val="20"/>
          <w:lang w:val="es-419" w:eastAsia="es-ES"/>
        </w:rPr>
        <w:t xml:space="preserve">Audifarma </w:t>
      </w:r>
      <w:r w:rsidRPr="00735AEB">
        <w:rPr>
          <w:rFonts w:ascii="Arial" w:eastAsia="Times New Roman" w:hAnsi="Arial" w:cs="Arial"/>
          <w:sz w:val="20"/>
          <w:szCs w:val="20"/>
          <w:lang w:val="es-419" w:eastAsia="es-ES"/>
        </w:rPr>
        <w:t>S</w:t>
      </w:r>
      <w:r w:rsidR="00492134">
        <w:rPr>
          <w:rFonts w:ascii="Arial" w:eastAsia="Times New Roman" w:hAnsi="Arial" w:cs="Arial"/>
          <w:sz w:val="20"/>
          <w:szCs w:val="20"/>
          <w:lang w:val="es-419" w:eastAsia="es-ES"/>
        </w:rPr>
        <w:t>.</w:t>
      </w:r>
      <w:r w:rsidRPr="00735AEB">
        <w:rPr>
          <w:rFonts w:ascii="Arial" w:eastAsia="Times New Roman" w:hAnsi="Arial" w:cs="Arial"/>
          <w:sz w:val="20"/>
          <w:szCs w:val="20"/>
          <w:lang w:val="es-419" w:eastAsia="es-ES"/>
        </w:rPr>
        <w:t>A</w:t>
      </w:r>
      <w:r w:rsidR="00492134">
        <w:rPr>
          <w:rFonts w:ascii="Arial" w:eastAsia="Times New Roman" w:hAnsi="Arial" w:cs="Arial"/>
          <w:sz w:val="20"/>
          <w:szCs w:val="20"/>
          <w:lang w:val="es-419" w:eastAsia="es-ES"/>
        </w:rPr>
        <w:t>.</w:t>
      </w:r>
    </w:p>
    <w:p w14:paraId="5541D4F1" w14:textId="77777777" w:rsidR="00735AEB" w:rsidRPr="007A1A1B" w:rsidRDefault="00735AEB" w:rsidP="007A1A1B">
      <w:pPr>
        <w:spacing w:after="0" w:line="240" w:lineRule="auto"/>
        <w:jc w:val="both"/>
        <w:rPr>
          <w:rFonts w:ascii="Arial" w:eastAsia="Times New Roman" w:hAnsi="Arial" w:cs="Arial"/>
          <w:sz w:val="20"/>
          <w:szCs w:val="20"/>
          <w:lang w:val="es-419" w:eastAsia="es-ES"/>
        </w:rPr>
      </w:pPr>
    </w:p>
    <w:p w14:paraId="182FDC82" w14:textId="6B32A5B1" w:rsidR="007A1A1B" w:rsidRPr="007A1A1B" w:rsidRDefault="0020122B" w:rsidP="007A1A1B">
      <w:pPr>
        <w:spacing w:after="0" w:line="240" w:lineRule="auto"/>
        <w:jc w:val="both"/>
        <w:rPr>
          <w:rFonts w:ascii="Arial" w:eastAsia="Times New Roman" w:hAnsi="Arial" w:cs="Arial"/>
          <w:b/>
          <w:bCs/>
          <w:iCs/>
          <w:sz w:val="20"/>
          <w:szCs w:val="20"/>
          <w:lang w:val="es-419" w:eastAsia="fr-FR"/>
        </w:rPr>
      </w:pPr>
      <w:r w:rsidRPr="007A1A1B">
        <w:rPr>
          <w:rFonts w:ascii="Arial" w:eastAsia="Times New Roman" w:hAnsi="Arial" w:cs="Arial"/>
          <w:b/>
          <w:bCs/>
          <w:iCs/>
          <w:sz w:val="20"/>
          <w:szCs w:val="20"/>
          <w:u w:val="single"/>
          <w:lang w:val="es-419" w:eastAsia="fr-FR"/>
        </w:rPr>
        <w:t>TEMAS:</w:t>
      </w:r>
      <w:r w:rsidRPr="007A1A1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ACCIÓN POPULAR / </w:t>
      </w:r>
      <w:r w:rsidRPr="007A1A1B">
        <w:rPr>
          <w:rFonts w:ascii="Arial" w:eastAsia="Times New Roman" w:hAnsi="Arial" w:cs="Arial"/>
          <w:b/>
          <w:sz w:val="20"/>
          <w:szCs w:val="20"/>
          <w:lang w:val="es-419" w:eastAsia="es-ES"/>
        </w:rPr>
        <w:t>R</w:t>
      </w:r>
      <w:r>
        <w:rPr>
          <w:rFonts w:ascii="Arial" w:eastAsia="Times New Roman" w:hAnsi="Arial" w:cs="Arial"/>
          <w:b/>
          <w:sz w:val="20"/>
          <w:szCs w:val="20"/>
          <w:lang w:val="es-419" w:eastAsia="es-ES"/>
        </w:rPr>
        <w:t>ECURSO DE APELACIÓN / REQUISITOS DE FORMA / PROCEDENCIA / LEGITIMACIÓN / OPORTUNIDAD / CUMPLIMIENTO DE FORMALIDADES / SUSTENTACIÓN / SI NO SE HACE EN SEGUNDA INSTANCIA GENERA LA DESERCIÓN DEL RECURSO</w:t>
      </w:r>
      <w:r w:rsidR="00FB7A61">
        <w:rPr>
          <w:rFonts w:ascii="Arial" w:eastAsia="Times New Roman" w:hAnsi="Arial" w:cs="Arial"/>
          <w:b/>
          <w:sz w:val="20"/>
          <w:szCs w:val="20"/>
          <w:lang w:val="es-419" w:eastAsia="es-ES"/>
        </w:rPr>
        <w:t xml:space="preserve"> / DECRETO 806 DE 2020</w:t>
      </w:r>
      <w:bookmarkStart w:id="1" w:name="_GoBack"/>
      <w:bookmarkEnd w:id="1"/>
      <w:r w:rsidR="00FB7A61">
        <w:rPr>
          <w:rFonts w:ascii="Arial" w:eastAsia="Times New Roman" w:hAnsi="Arial" w:cs="Arial"/>
          <w:b/>
          <w:sz w:val="20"/>
          <w:szCs w:val="20"/>
          <w:lang w:val="es-419" w:eastAsia="es-ES"/>
        </w:rPr>
        <w:t>.</w:t>
      </w:r>
    </w:p>
    <w:p w14:paraId="7F2B2B55" w14:textId="77777777" w:rsidR="007A1A1B" w:rsidRPr="007A1A1B" w:rsidRDefault="007A1A1B" w:rsidP="007A1A1B">
      <w:pPr>
        <w:spacing w:after="0" w:line="240" w:lineRule="auto"/>
        <w:jc w:val="both"/>
        <w:rPr>
          <w:rFonts w:ascii="Arial" w:eastAsia="Times New Roman" w:hAnsi="Arial" w:cs="Arial"/>
          <w:sz w:val="20"/>
          <w:szCs w:val="20"/>
          <w:lang w:val="es-419" w:eastAsia="es-ES"/>
        </w:rPr>
      </w:pPr>
    </w:p>
    <w:p w14:paraId="3629DBD0" w14:textId="77777777" w:rsidR="00490E20" w:rsidRPr="00490E20" w:rsidRDefault="00490E20" w:rsidP="00490E20">
      <w:pPr>
        <w:spacing w:after="0" w:line="240" w:lineRule="auto"/>
        <w:jc w:val="both"/>
        <w:rPr>
          <w:rFonts w:ascii="Arial" w:eastAsia="Times New Roman" w:hAnsi="Arial" w:cs="Arial"/>
          <w:sz w:val="20"/>
          <w:szCs w:val="20"/>
          <w:lang w:val="es-419" w:eastAsia="es-ES"/>
        </w:rPr>
      </w:pPr>
      <w:r w:rsidRPr="00490E20">
        <w:rPr>
          <w:rFonts w:ascii="Arial" w:eastAsia="Times New Roman" w:hAnsi="Arial" w:cs="Arial"/>
          <w:sz w:val="20"/>
          <w:szCs w:val="20"/>
          <w:lang w:val="es-419" w:eastAsia="es-ES"/>
        </w:rPr>
        <w:t>En términos generales las formalidades indispensables para su desarrollo consisten en que: a) que la providencia materia de impugnación sea susceptible de esa herramienta; b) que el recurrente tenga legitimación para refutar; c) que el mismo tenga interés jurídico que justifique el recurso y d) que este se interponga en tiempo y con las formalidades que la ley establece.</w:t>
      </w:r>
    </w:p>
    <w:p w14:paraId="7EE27E85" w14:textId="77777777" w:rsidR="00490E20" w:rsidRPr="00490E20" w:rsidRDefault="00490E20" w:rsidP="00490E20">
      <w:pPr>
        <w:spacing w:after="0" w:line="240" w:lineRule="auto"/>
        <w:jc w:val="both"/>
        <w:rPr>
          <w:rFonts w:ascii="Arial" w:eastAsia="Times New Roman" w:hAnsi="Arial" w:cs="Arial"/>
          <w:sz w:val="20"/>
          <w:szCs w:val="20"/>
          <w:lang w:val="es-419" w:eastAsia="es-ES"/>
        </w:rPr>
      </w:pPr>
    </w:p>
    <w:p w14:paraId="362A605A" w14:textId="76FAD1BC" w:rsidR="007A1A1B" w:rsidRPr="007A1A1B" w:rsidRDefault="00490E20" w:rsidP="00490E20">
      <w:pPr>
        <w:spacing w:after="0" w:line="240" w:lineRule="auto"/>
        <w:jc w:val="both"/>
        <w:rPr>
          <w:rFonts w:ascii="Arial" w:eastAsia="Times New Roman" w:hAnsi="Arial" w:cs="Arial"/>
          <w:sz w:val="20"/>
          <w:szCs w:val="20"/>
          <w:lang w:val="es-419" w:eastAsia="es-ES"/>
        </w:rPr>
      </w:pPr>
      <w:r w:rsidRPr="00490E20">
        <w:rPr>
          <w:rFonts w:ascii="Arial" w:eastAsia="Times New Roman" w:hAnsi="Arial" w:cs="Arial"/>
          <w:sz w:val="20"/>
          <w:szCs w:val="20"/>
          <w:lang w:val="es-419" w:eastAsia="es-ES"/>
        </w:rPr>
        <w:t>En el caso concreto, tales fines se cumplen a cabalidad y a partir de allí, también es del caso indicar, descendiendo al busilis del asunto que, respecto a la viabilidad de trámite de una alzada, también deben configurarse las citadas exigencias, adicional a la carga legal que se establece para el apelante, cuya ausencia genera la deserción del recurso.  En efecto, el inciso 3º, numeral 3º del artículo 322 del Código General del Proceso dice que para la sustentación del recurso será suficiente que el recurrente exprese las razones de su inconformidad con la providencia apelada y el inciso 4º ordena al juez de segunda instancia declarar desierto el recurso de apelación contra una sentencia que no hubiere sido sustentado, y ello precisamente fue lo que acá ocurrió.</w:t>
      </w:r>
      <w:r>
        <w:rPr>
          <w:rFonts w:ascii="Arial" w:eastAsia="Times New Roman" w:hAnsi="Arial" w:cs="Arial"/>
          <w:sz w:val="20"/>
          <w:szCs w:val="20"/>
          <w:lang w:val="es-419" w:eastAsia="es-ES"/>
        </w:rPr>
        <w:t xml:space="preserve"> (…)</w:t>
      </w:r>
    </w:p>
    <w:p w14:paraId="12BF3BEF" w14:textId="77777777" w:rsidR="007A1A1B" w:rsidRPr="007A1A1B" w:rsidRDefault="007A1A1B" w:rsidP="007A1A1B">
      <w:pPr>
        <w:spacing w:after="0" w:line="240" w:lineRule="auto"/>
        <w:jc w:val="both"/>
        <w:rPr>
          <w:rFonts w:ascii="Arial" w:eastAsia="Times New Roman" w:hAnsi="Arial" w:cs="Arial"/>
          <w:sz w:val="20"/>
          <w:szCs w:val="20"/>
          <w:lang w:val="es-419" w:eastAsia="es-ES"/>
        </w:rPr>
      </w:pPr>
    </w:p>
    <w:p w14:paraId="4D6AEE21" w14:textId="5B21C871" w:rsidR="007A1A1B" w:rsidRPr="007A1A1B" w:rsidRDefault="00182CDF" w:rsidP="007A1A1B">
      <w:pPr>
        <w:spacing w:after="0" w:line="240" w:lineRule="auto"/>
        <w:jc w:val="both"/>
        <w:rPr>
          <w:rFonts w:ascii="Arial" w:eastAsia="Times New Roman" w:hAnsi="Arial" w:cs="Arial"/>
          <w:sz w:val="20"/>
          <w:szCs w:val="20"/>
          <w:lang w:val="es-419" w:eastAsia="es-ES"/>
        </w:rPr>
      </w:pPr>
      <w:r w:rsidRPr="00182CDF">
        <w:rPr>
          <w:rFonts w:ascii="Arial" w:eastAsia="Times New Roman" w:hAnsi="Arial" w:cs="Arial"/>
          <w:sz w:val="20"/>
          <w:szCs w:val="20"/>
          <w:lang w:val="es-419" w:eastAsia="es-ES"/>
        </w:rPr>
        <w:t>A su vez, con toda contundencia el artículo 14 del Decreto 806 de 2020, establece que ejecutoriado el auto que admite el recurso, el apelante deberá sustentar el recurso dentro del término que allí señala; norma imperativa que, de no satisfacerse conduce indefectiblemente a la posición aducida por la Sala.</w:t>
      </w:r>
    </w:p>
    <w:p w14:paraId="283D861D" w14:textId="77777777" w:rsidR="007A1A1B" w:rsidRPr="007A1A1B" w:rsidRDefault="007A1A1B" w:rsidP="007A1A1B">
      <w:pPr>
        <w:spacing w:after="0" w:line="240" w:lineRule="auto"/>
        <w:jc w:val="both"/>
        <w:rPr>
          <w:rFonts w:ascii="Arial" w:eastAsia="Times New Roman" w:hAnsi="Arial" w:cs="Arial"/>
          <w:sz w:val="20"/>
          <w:szCs w:val="20"/>
          <w:lang w:val="es-ES" w:eastAsia="es-ES"/>
        </w:rPr>
      </w:pPr>
    </w:p>
    <w:p w14:paraId="5B4EDF19" w14:textId="77777777" w:rsidR="007A1A1B" w:rsidRPr="007A1A1B" w:rsidRDefault="007A1A1B" w:rsidP="007A1A1B">
      <w:pPr>
        <w:spacing w:after="0" w:line="240" w:lineRule="auto"/>
        <w:jc w:val="both"/>
        <w:rPr>
          <w:rFonts w:ascii="Arial" w:eastAsia="Times New Roman" w:hAnsi="Arial" w:cs="Arial"/>
          <w:sz w:val="20"/>
          <w:szCs w:val="20"/>
          <w:lang w:val="es-ES" w:eastAsia="es-ES"/>
        </w:rPr>
      </w:pPr>
    </w:p>
    <w:p w14:paraId="7BD1B6BE" w14:textId="77777777" w:rsidR="007A1A1B" w:rsidRPr="007A1A1B" w:rsidRDefault="007A1A1B" w:rsidP="007A1A1B">
      <w:pPr>
        <w:spacing w:after="0" w:line="240" w:lineRule="auto"/>
        <w:jc w:val="both"/>
        <w:rPr>
          <w:rFonts w:ascii="Arial" w:eastAsia="Times New Roman" w:hAnsi="Arial" w:cs="Arial"/>
          <w:sz w:val="20"/>
          <w:szCs w:val="20"/>
          <w:lang w:val="es-ES" w:eastAsia="es-ES"/>
        </w:rPr>
      </w:pPr>
    </w:p>
    <w:bookmarkEnd w:id="0"/>
    <w:p w14:paraId="1C3BEE41" w14:textId="0CA80A3D" w:rsidR="007C2F78" w:rsidRPr="007A1A1B" w:rsidRDefault="007C2F78" w:rsidP="007A1A1B">
      <w:pPr>
        <w:spacing w:after="0" w:line="276" w:lineRule="auto"/>
        <w:jc w:val="center"/>
        <w:rPr>
          <w:rFonts w:ascii="Tahoma" w:hAnsi="Tahoma" w:cs="Tahoma"/>
          <w:b/>
          <w:sz w:val="24"/>
          <w:szCs w:val="24"/>
          <w:lang w:val="es-ES_tradnl"/>
        </w:rPr>
      </w:pPr>
      <w:r w:rsidRPr="007A1A1B">
        <w:rPr>
          <w:rFonts w:ascii="Tahoma" w:hAnsi="Tahoma" w:cs="Tahoma"/>
          <w:b/>
          <w:sz w:val="24"/>
          <w:szCs w:val="24"/>
        </w:rPr>
        <w:t>TRIBUNAL SUPERIOR DEL DISTRITO JUDICIAL</w:t>
      </w:r>
    </w:p>
    <w:p w14:paraId="2DB22494" w14:textId="1F6057FA" w:rsidR="007C2F78" w:rsidRDefault="007C2F78" w:rsidP="007A1A1B">
      <w:pPr>
        <w:spacing w:after="0" w:line="276" w:lineRule="auto"/>
        <w:jc w:val="center"/>
        <w:rPr>
          <w:rFonts w:ascii="Tahoma" w:hAnsi="Tahoma" w:cs="Tahoma"/>
          <w:b/>
          <w:sz w:val="24"/>
          <w:szCs w:val="24"/>
        </w:rPr>
      </w:pPr>
      <w:r w:rsidRPr="007A1A1B">
        <w:rPr>
          <w:rFonts w:ascii="Tahoma" w:hAnsi="Tahoma" w:cs="Tahoma"/>
          <w:b/>
          <w:sz w:val="24"/>
          <w:szCs w:val="24"/>
        </w:rPr>
        <w:t>SALA UNITARIA CIVIL FAMILIA</w:t>
      </w:r>
    </w:p>
    <w:p w14:paraId="4E1BD64E" w14:textId="77777777" w:rsidR="00FB7A61" w:rsidRPr="0020122B" w:rsidRDefault="00FB7A61" w:rsidP="00FB7A61">
      <w:pPr>
        <w:spacing w:after="0" w:line="276" w:lineRule="auto"/>
        <w:jc w:val="both"/>
        <w:rPr>
          <w:rFonts w:ascii="Tahoma" w:hAnsi="Tahoma" w:cs="Tahoma"/>
          <w:sz w:val="24"/>
          <w:szCs w:val="24"/>
        </w:rPr>
      </w:pPr>
    </w:p>
    <w:p w14:paraId="3461D779" w14:textId="77777777" w:rsidR="007C2F78" w:rsidRPr="0020122B" w:rsidRDefault="007C2F78" w:rsidP="00FB7A61">
      <w:pPr>
        <w:spacing w:after="0" w:line="276" w:lineRule="auto"/>
        <w:jc w:val="both"/>
        <w:rPr>
          <w:rFonts w:ascii="Tahoma" w:hAnsi="Tahoma" w:cs="Tahoma"/>
          <w:sz w:val="24"/>
          <w:szCs w:val="24"/>
        </w:rPr>
      </w:pPr>
    </w:p>
    <w:p w14:paraId="597B882D" w14:textId="1CF24185" w:rsidR="007C2F78" w:rsidRPr="007A1A1B" w:rsidRDefault="007C2F78" w:rsidP="00FB7A61">
      <w:pPr>
        <w:spacing w:after="0" w:line="276" w:lineRule="auto"/>
        <w:jc w:val="both"/>
        <w:rPr>
          <w:rFonts w:ascii="Tahoma" w:hAnsi="Tahoma" w:cs="Tahoma"/>
          <w:sz w:val="24"/>
          <w:szCs w:val="24"/>
        </w:rPr>
      </w:pPr>
      <w:r w:rsidRPr="007A1A1B">
        <w:rPr>
          <w:rFonts w:ascii="Tahoma" w:hAnsi="Tahoma" w:cs="Tahoma"/>
          <w:sz w:val="24"/>
          <w:szCs w:val="24"/>
        </w:rPr>
        <w:t xml:space="preserve">Magistrada: </w:t>
      </w:r>
      <w:r w:rsidR="00F83069" w:rsidRPr="00492134">
        <w:rPr>
          <w:rFonts w:ascii="Tahoma" w:hAnsi="Tahoma" w:cs="Tahoma"/>
          <w:b/>
          <w:sz w:val="24"/>
          <w:szCs w:val="24"/>
        </w:rPr>
        <w:t>Adriana Patricia Díaz Ramírez</w:t>
      </w:r>
    </w:p>
    <w:p w14:paraId="261775DC" w14:textId="0EE852FB" w:rsidR="007C2F78" w:rsidRPr="007A1A1B" w:rsidRDefault="007C2F78" w:rsidP="007A1A1B">
      <w:pPr>
        <w:spacing w:after="0" w:line="276" w:lineRule="auto"/>
        <w:jc w:val="both"/>
        <w:rPr>
          <w:rFonts w:ascii="Tahoma" w:hAnsi="Tahoma" w:cs="Tahoma"/>
          <w:sz w:val="24"/>
          <w:szCs w:val="24"/>
        </w:rPr>
      </w:pPr>
      <w:r w:rsidRPr="007A1A1B">
        <w:rPr>
          <w:rFonts w:ascii="Tahoma" w:hAnsi="Tahoma" w:cs="Tahoma"/>
          <w:sz w:val="24"/>
          <w:szCs w:val="24"/>
        </w:rPr>
        <w:t>Pereira,</w:t>
      </w:r>
      <w:r w:rsidR="006C16D6" w:rsidRPr="007A1A1B">
        <w:rPr>
          <w:rFonts w:ascii="Tahoma" w:hAnsi="Tahoma" w:cs="Tahoma"/>
          <w:sz w:val="24"/>
          <w:szCs w:val="24"/>
        </w:rPr>
        <w:t xml:space="preserve"> cuatro</w:t>
      </w:r>
      <w:r w:rsidR="00F83069" w:rsidRPr="007A1A1B">
        <w:rPr>
          <w:rFonts w:ascii="Tahoma" w:hAnsi="Tahoma" w:cs="Tahoma"/>
          <w:sz w:val="24"/>
          <w:szCs w:val="24"/>
        </w:rPr>
        <w:t xml:space="preserve"> (</w:t>
      </w:r>
      <w:r w:rsidR="006C16D6" w:rsidRPr="007A1A1B">
        <w:rPr>
          <w:rFonts w:ascii="Tahoma" w:hAnsi="Tahoma" w:cs="Tahoma"/>
          <w:sz w:val="24"/>
          <w:szCs w:val="24"/>
        </w:rPr>
        <w:t>4</w:t>
      </w:r>
      <w:r w:rsidR="00F83069" w:rsidRPr="007A1A1B">
        <w:rPr>
          <w:rFonts w:ascii="Tahoma" w:hAnsi="Tahoma" w:cs="Tahoma"/>
          <w:sz w:val="24"/>
          <w:szCs w:val="24"/>
        </w:rPr>
        <w:t>) de mayo de dos mil veintiuno (2021</w:t>
      </w:r>
      <w:r w:rsidR="00E34EB3" w:rsidRPr="007A1A1B">
        <w:rPr>
          <w:rFonts w:ascii="Tahoma" w:hAnsi="Tahoma" w:cs="Tahoma"/>
          <w:sz w:val="24"/>
          <w:szCs w:val="24"/>
        </w:rPr>
        <w:t>)</w:t>
      </w:r>
    </w:p>
    <w:p w14:paraId="6102CA3E" w14:textId="5723126D" w:rsidR="00183DB9" w:rsidRPr="007A1A1B" w:rsidRDefault="00F83069" w:rsidP="007A1A1B">
      <w:pPr>
        <w:spacing w:after="0" w:line="276" w:lineRule="auto"/>
        <w:jc w:val="both"/>
        <w:rPr>
          <w:rFonts w:ascii="Tahoma" w:hAnsi="Tahoma" w:cs="Tahoma"/>
          <w:sz w:val="24"/>
          <w:szCs w:val="24"/>
        </w:rPr>
      </w:pPr>
      <w:r w:rsidRPr="007A1A1B">
        <w:rPr>
          <w:rFonts w:ascii="Tahoma" w:hAnsi="Tahoma" w:cs="Tahoma"/>
          <w:sz w:val="24"/>
          <w:szCs w:val="24"/>
        </w:rPr>
        <w:t>Expediente: 66001310300420170027401</w:t>
      </w:r>
    </w:p>
    <w:p w14:paraId="7AB385C6" w14:textId="1CF948ED" w:rsidR="00183DB9" w:rsidRDefault="00183DB9" w:rsidP="007A1A1B">
      <w:pPr>
        <w:spacing w:after="0" w:line="276" w:lineRule="auto"/>
        <w:jc w:val="both"/>
        <w:rPr>
          <w:rFonts w:ascii="Tahoma" w:hAnsi="Tahoma" w:cs="Tahoma"/>
          <w:sz w:val="24"/>
          <w:szCs w:val="24"/>
        </w:rPr>
      </w:pPr>
    </w:p>
    <w:p w14:paraId="226F76BA" w14:textId="77777777" w:rsidR="00FB7A61" w:rsidRPr="007A1A1B" w:rsidRDefault="00FB7A61" w:rsidP="007A1A1B">
      <w:pPr>
        <w:spacing w:after="0" w:line="276" w:lineRule="auto"/>
        <w:jc w:val="both"/>
        <w:rPr>
          <w:rFonts w:ascii="Tahoma" w:hAnsi="Tahoma" w:cs="Tahoma"/>
          <w:sz w:val="24"/>
          <w:szCs w:val="24"/>
        </w:rPr>
      </w:pPr>
    </w:p>
    <w:p w14:paraId="542009B8" w14:textId="27AAC381" w:rsidR="00183DB9" w:rsidRPr="007A1A1B" w:rsidRDefault="0090386C" w:rsidP="007A1A1B">
      <w:pPr>
        <w:spacing w:after="0" w:line="276" w:lineRule="auto"/>
        <w:jc w:val="both"/>
        <w:rPr>
          <w:rFonts w:ascii="Tahoma" w:hAnsi="Tahoma" w:cs="Tahoma"/>
          <w:sz w:val="24"/>
          <w:szCs w:val="24"/>
        </w:rPr>
      </w:pPr>
      <w:r w:rsidRPr="007A1A1B">
        <w:rPr>
          <w:rFonts w:ascii="Tahoma" w:hAnsi="Tahoma" w:cs="Tahoma"/>
          <w:sz w:val="24"/>
          <w:szCs w:val="24"/>
        </w:rPr>
        <w:t>S</w:t>
      </w:r>
      <w:r w:rsidR="00183DB9" w:rsidRPr="007A1A1B">
        <w:rPr>
          <w:rFonts w:ascii="Tahoma" w:hAnsi="Tahoma" w:cs="Tahoma"/>
          <w:sz w:val="24"/>
          <w:szCs w:val="24"/>
        </w:rPr>
        <w:t xml:space="preserve">e resuelve por medio de este proveído el recurso de reposición interpuesto por </w:t>
      </w:r>
      <w:r w:rsidR="00F83069" w:rsidRPr="007A1A1B">
        <w:rPr>
          <w:rFonts w:ascii="Tahoma" w:hAnsi="Tahoma" w:cs="Tahoma"/>
          <w:sz w:val="24"/>
          <w:szCs w:val="24"/>
        </w:rPr>
        <w:t xml:space="preserve">el coadyuvante en la parte activa, Javier Elías Arias </w:t>
      </w:r>
      <w:r w:rsidR="00CB42F7" w:rsidRPr="007A1A1B">
        <w:rPr>
          <w:rFonts w:ascii="Tahoma" w:hAnsi="Tahoma" w:cs="Tahoma"/>
          <w:sz w:val="24"/>
          <w:szCs w:val="24"/>
        </w:rPr>
        <w:t>Idárraga, contra el auto del pasado 15 de abril</w:t>
      </w:r>
      <w:r w:rsidR="00183DB9" w:rsidRPr="007A1A1B">
        <w:rPr>
          <w:rFonts w:ascii="Tahoma" w:hAnsi="Tahoma" w:cs="Tahoma"/>
          <w:sz w:val="24"/>
          <w:szCs w:val="24"/>
        </w:rPr>
        <w:t>.</w:t>
      </w:r>
    </w:p>
    <w:p w14:paraId="6C21BD5F" w14:textId="77777777" w:rsidR="00183DB9" w:rsidRPr="007A1A1B" w:rsidRDefault="00183DB9" w:rsidP="007A1A1B">
      <w:pPr>
        <w:spacing w:after="0" w:line="276" w:lineRule="auto"/>
        <w:jc w:val="both"/>
        <w:rPr>
          <w:rFonts w:ascii="Tahoma" w:hAnsi="Tahoma" w:cs="Tahoma"/>
          <w:sz w:val="24"/>
          <w:szCs w:val="24"/>
        </w:rPr>
      </w:pPr>
    </w:p>
    <w:p w14:paraId="656AC412" w14:textId="77777777" w:rsidR="00183DB9" w:rsidRPr="007A1A1B" w:rsidRDefault="00183DB9" w:rsidP="007A1A1B">
      <w:pPr>
        <w:spacing w:after="0" w:line="276" w:lineRule="auto"/>
        <w:jc w:val="both"/>
        <w:rPr>
          <w:rFonts w:ascii="Tahoma" w:hAnsi="Tahoma" w:cs="Tahoma"/>
          <w:b/>
          <w:bCs/>
          <w:sz w:val="24"/>
          <w:szCs w:val="24"/>
        </w:rPr>
      </w:pPr>
      <w:r w:rsidRPr="007A1A1B">
        <w:rPr>
          <w:rFonts w:ascii="Tahoma" w:hAnsi="Tahoma" w:cs="Tahoma"/>
          <w:b/>
          <w:bCs/>
          <w:sz w:val="24"/>
          <w:szCs w:val="24"/>
        </w:rPr>
        <w:t>ANTECEDENTES</w:t>
      </w:r>
    </w:p>
    <w:p w14:paraId="19A6E274" w14:textId="77777777" w:rsidR="00A37B64" w:rsidRPr="007A1A1B" w:rsidRDefault="00A37B64" w:rsidP="007A1A1B">
      <w:pPr>
        <w:spacing w:after="0" w:line="276" w:lineRule="auto"/>
        <w:jc w:val="both"/>
        <w:rPr>
          <w:rFonts w:ascii="Tahoma" w:hAnsi="Tahoma" w:cs="Tahoma"/>
          <w:sz w:val="24"/>
          <w:szCs w:val="24"/>
        </w:rPr>
      </w:pPr>
    </w:p>
    <w:p w14:paraId="6F6A0B63" w14:textId="768D1071" w:rsidR="00183DB9" w:rsidRPr="007A1A1B" w:rsidRDefault="00A829CC" w:rsidP="007A1A1B">
      <w:pPr>
        <w:spacing w:after="0" w:line="276" w:lineRule="auto"/>
        <w:jc w:val="both"/>
        <w:rPr>
          <w:rFonts w:ascii="Tahoma" w:hAnsi="Tahoma" w:cs="Tahoma"/>
          <w:sz w:val="24"/>
          <w:szCs w:val="24"/>
        </w:rPr>
      </w:pPr>
      <w:r w:rsidRPr="007A1A1B">
        <w:rPr>
          <w:rFonts w:ascii="Tahoma" w:hAnsi="Tahoma" w:cs="Tahoma"/>
          <w:sz w:val="24"/>
          <w:szCs w:val="24"/>
        </w:rPr>
        <w:t>1.</w:t>
      </w:r>
      <w:r w:rsidR="00A37B64" w:rsidRPr="007A1A1B">
        <w:rPr>
          <w:rFonts w:ascii="Tahoma" w:hAnsi="Tahoma" w:cs="Tahoma"/>
          <w:sz w:val="24"/>
          <w:szCs w:val="24"/>
        </w:rPr>
        <w:t xml:space="preserve"> En ese </w:t>
      </w:r>
      <w:r w:rsidR="00183DB9" w:rsidRPr="007A1A1B">
        <w:rPr>
          <w:rFonts w:ascii="Tahoma" w:hAnsi="Tahoma" w:cs="Tahoma"/>
          <w:sz w:val="24"/>
          <w:szCs w:val="24"/>
        </w:rPr>
        <w:t>proveído</w:t>
      </w:r>
      <w:r w:rsidR="0090386C" w:rsidRPr="007A1A1B">
        <w:rPr>
          <w:rFonts w:ascii="Tahoma" w:hAnsi="Tahoma" w:cs="Tahoma"/>
          <w:sz w:val="24"/>
          <w:szCs w:val="24"/>
        </w:rPr>
        <w:t xml:space="preserve"> se</w:t>
      </w:r>
      <w:r w:rsidR="00183DB9" w:rsidRPr="007A1A1B">
        <w:rPr>
          <w:rFonts w:ascii="Tahoma" w:hAnsi="Tahoma" w:cs="Tahoma"/>
          <w:sz w:val="24"/>
          <w:szCs w:val="24"/>
        </w:rPr>
        <w:t xml:space="preserve"> declar</w:t>
      </w:r>
      <w:r w:rsidR="0090386C" w:rsidRPr="007A1A1B">
        <w:rPr>
          <w:rFonts w:ascii="Tahoma" w:hAnsi="Tahoma" w:cs="Tahoma"/>
          <w:sz w:val="24"/>
          <w:szCs w:val="24"/>
        </w:rPr>
        <w:t>ó</w:t>
      </w:r>
      <w:r w:rsidR="00183DB9" w:rsidRPr="007A1A1B">
        <w:rPr>
          <w:rFonts w:ascii="Tahoma" w:hAnsi="Tahoma" w:cs="Tahoma"/>
          <w:sz w:val="24"/>
          <w:szCs w:val="24"/>
        </w:rPr>
        <w:t xml:space="preserve"> la deserción</w:t>
      </w:r>
      <w:r w:rsidR="00CB42F7" w:rsidRPr="007A1A1B">
        <w:rPr>
          <w:rFonts w:ascii="Tahoma" w:hAnsi="Tahoma" w:cs="Tahoma"/>
          <w:sz w:val="24"/>
          <w:szCs w:val="24"/>
        </w:rPr>
        <w:t xml:space="preserve"> parcial de los </w:t>
      </w:r>
      <w:r w:rsidR="00183DB9" w:rsidRPr="007A1A1B">
        <w:rPr>
          <w:rFonts w:ascii="Tahoma" w:hAnsi="Tahoma" w:cs="Tahoma"/>
          <w:sz w:val="24"/>
          <w:szCs w:val="24"/>
        </w:rPr>
        <w:t>recurso</w:t>
      </w:r>
      <w:r w:rsidR="00CB42F7" w:rsidRPr="007A1A1B">
        <w:rPr>
          <w:rFonts w:ascii="Tahoma" w:hAnsi="Tahoma" w:cs="Tahoma"/>
          <w:sz w:val="24"/>
          <w:szCs w:val="24"/>
        </w:rPr>
        <w:t>s</w:t>
      </w:r>
      <w:r w:rsidR="00183DB9" w:rsidRPr="007A1A1B">
        <w:rPr>
          <w:rFonts w:ascii="Tahoma" w:hAnsi="Tahoma" w:cs="Tahoma"/>
          <w:sz w:val="24"/>
          <w:szCs w:val="24"/>
        </w:rPr>
        <w:t xml:space="preserve"> de apelación que </w:t>
      </w:r>
      <w:r w:rsidR="00CB42F7" w:rsidRPr="007A1A1B">
        <w:rPr>
          <w:rFonts w:ascii="Tahoma" w:hAnsi="Tahoma" w:cs="Tahoma"/>
          <w:sz w:val="24"/>
          <w:szCs w:val="24"/>
        </w:rPr>
        <w:t>interpusieron</w:t>
      </w:r>
      <w:r w:rsidR="00A37B64" w:rsidRPr="007A1A1B">
        <w:rPr>
          <w:rFonts w:ascii="Tahoma" w:hAnsi="Tahoma" w:cs="Tahoma"/>
          <w:sz w:val="24"/>
          <w:szCs w:val="24"/>
        </w:rPr>
        <w:t xml:space="preserve"> </w:t>
      </w:r>
      <w:r w:rsidR="00183DB9" w:rsidRPr="007A1A1B">
        <w:rPr>
          <w:rFonts w:ascii="Tahoma" w:hAnsi="Tahoma" w:cs="Tahoma"/>
          <w:sz w:val="24"/>
          <w:szCs w:val="24"/>
        </w:rPr>
        <w:t xml:space="preserve">la </w:t>
      </w:r>
      <w:r w:rsidR="00FF09D6" w:rsidRPr="007A1A1B">
        <w:rPr>
          <w:rFonts w:ascii="Tahoma" w:hAnsi="Tahoma" w:cs="Tahoma"/>
          <w:sz w:val="24"/>
          <w:szCs w:val="24"/>
        </w:rPr>
        <w:t xml:space="preserve">parte </w:t>
      </w:r>
      <w:r w:rsidR="00183DB9" w:rsidRPr="007A1A1B">
        <w:rPr>
          <w:rFonts w:ascii="Tahoma" w:hAnsi="Tahoma" w:cs="Tahoma"/>
          <w:sz w:val="24"/>
          <w:szCs w:val="24"/>
        </w:rPr>
        <w:t>actora</w:t>
      </w:r>
      <w:r w:rsidR="00CB42F7" w:rsidRPr="007A1A1B">
        <w:rPr>
          <w:rFonts w:ascii="Tahoma" w:hAnsi="Tahoma" w:cs="Tahoma"/>
          <w:sz w:val="24"/>
          <w:szCs w:val="24"/>
        </w:rPr>
        <w:t>, y el ahora impugnante</w:t>
      </w:r>
      <w:r w:rsidR="00183DB9" w:rsidRPr="007A1A1B">
        <w:rPr>
          <w:rFonts w:ascii="Tahoma" w:hAnsi="Tahoma" w:cs="Tahoma"/>
          <w:sz w:val="24"/>
          <w:szCs w:val="24"/>
        </w:rPr>
        <w:t>,</w:t>
      </w:r>
      <w:r w:rsidR="0090386C" w:rsidRPr="007A1A1B">
        <w:rPr>
          <w:rFonts w:ascii="Tahoma" w:hAnsi="Tahoma" w:cs="Tahoma"/>
          <w:sz w:val="24"/>
          <w:szCs w:val="24"/>
        </w:rPr>
        <w:t xml:space="preserve"> </w:t>
      </w:r>
      <w:r w:rsidR="00183DB9" w:rsidRPr="007A1A1B">
        <w:rPr>
          <w:rFonts w:ascii="Tahoma" w:hAnsi="Tahoma" w:cs="Tahoma"/>
          <w:sz w:val="24"/>
          <w:szCs w:val="24"/>
        </w:rPr>
        <w:t xml:space="preserve">frente a la sentencia </w:t>
      </w:r>
      <w:r w:rsidR="0090386C" w:rsidRPr="007A1A1B">
        <w:rPr>
          <w:rFonts w:ascii="Tahoma" w:hAnsi="Tahoma" w:cs="Tahoma"/>
          <w:sz w:val="24"/>
          <w:szCs w:val="24"/>
        </w:rPr>
        <w:t>proferida p</w:t>
      </w:r>
      <w:r w:rsidR="00183DB9" w:rsidRPr="007A1A1B">
        <w:rPr>
          <w:rFonts w:ascii="Tahoma" w:hAnsi="Tahoma" w:cs="Tahoma"/>
          <w:sz w:val="24"/>
          <w:szCs w:val="24"/>
        </w:rPr>
        <w:t xml:space="preserve">or el </w:t>
      </w:r>
      <w:r w:rsidR="00CB42F7" w:rsidRPr="007A1A1B">
        <w:rPr>
          <w:rFonts w:ascii="Tahoma" w:hAnsi="Tahoma" w:cs="Tahoma"/>
          <w:sz w:val="24"/>
          <w:szCs w:val="24"/>
        </w:rPr>
        <w:t>juzgado de primer grado, teniendo en cuenta que no se presentó sustentación alguna dentro del término que la ley exige para el evento.</w:t>
      </w:r>
    </w:p>
    <w:p w14:paraId="5243D8EA" w14:textId="77777777" w:rsidR="00183DB9" w:rsidRPr="007A1A1B" w:rsidRDefault="00183DB9" w:rsidP="007A1A1B">
      <w:pPr>
        <w:spacing w:after="0" w:line="276" w:lineRule="auto"/>
        <w:jc w:val="both"/>
        <w:rPr>
          <w:rFonts w:ascii="Tahoma" w:hAnsi="Tahoma" w:cs="Tahoma"/>
          <w:sz w:val="24"/>
          <w:szCs w:val="24"/>
        </w:rPr>
      </w:pPr>
    </w:p>
    <w:p w14:paraId="32EA30B2" w14:textId="6D9D383E" w:rsidR="00A37B64" w:rsidRPr="007A1A1B" w:rsidRDefault="00FF09D6" w:rsidP="007A1A1B">
      <w:pPr>
        <w:spacing w:after="0" w:line="276" w:lineRule="auto"/>
        <w:jc w:val="both"/>
        <w:rPr>
          <w:rFonts w:ascii="Tahoma" w:hAnsi="Tahoma" w:cs="Tahoma"/>
          <w:sz w:val="24"/>
          <w:szCs w:val="24"/>
        </w:rPr>
      </w:pPr>
      <w:r w:rsidRPr="007A1A1B">
        <w:rPr>
          <w:rFonts w:ascii="Tahoma" w:hAnsi="Tahoma" w:cs="Tahoma"/>
          <w:sz w:val="24"/>
          <w:szCs w:val="24"/>
        </w:rPr>
        <w:t>2.</w:t>
      </w:r>
      <w:r w:rsidR="0090386C" w:rsidRPr="007A1A1B">
        <w:rPr>
          <w:rFonts w:ascii="Tahoma" w:hAnsi="Tahoma" w:cs="Tahoma"/>
          <w:sz w:val="24"/>
          <w:szCs w:val="24"/>
        </w:rPr>
        <w:t xml:space="preserve"> </w:t>
      </w:r>
      <w:r w:rsidR="00183DB9" w:rsidRPr="007A1A1B">
        <w:rPr>
          <w:rFonts w:ascii="Tahoma" w:hAnsi="Tahoma" w:cs="Tahoma"/>
          <w:sz w:val="24"/>
          <w:szCs w:val="24"/>
        </w:rPr>
        <w:t xml:space="preserve">Frente a esa decisión la </w:t>
      </w:r>
      <w:r w:rsidR="0090386C" w:rsidRPr="007A1A1B">
        <w:rPr>
          <w:rFonts w:ascii="Tahoma" w:hAnsi="Tahoma" w:cs="Tahoma"/>
          <w:sz w:val="24"/>
          <w:szCs w:val="24"/>
        </w:rPr>
        <w:t xml:space="preserve">misma parte formuló </w:t>
      </w:r>
      <w:r w:rsidR="00183DB9" w:rsidRPr="007A1A1B">
        <w:rPr>
          <w:rFonts w:ascii="Tahoma" w:hAnsi="Tahoma" w:cs="Tahoma"/>
          <w:sz w:val="24"/>
          <w:szCs w:val="24"/>
        </w:rPr>
        <w:t xml:space="preserve">recurso de reposición y en </w:t>
      </w:r>
      <w:r w:rsidR="00492134" w:rsidRPr="007A1A1B">
        <w:rPr>
          <w:rFonts w:ascii="Tahoma" w:hAnsi="Tahoma" w:cs="Tahoma"/>
          <w:sz w:val="24"/>
          <w:szCs w:val="24"/>
        </w:rPr>
        <w:t>subsidio el</w:t>
      </w:r>
      <w:r w:rsidR="00183DB9" w:rsidRPr="007A1A1B">
        <w:rPr>
          <w:rFonts w:ascii="Tahoma" w:hAnsi="Tahoma" w:cs="Tahoma"/>
          <w:sz w:val="24"/>
          <w:szCs w:val="24"/>
        </w:rPr>
        <w:t xml:space="preserve"> de “</w:t>
      </w:r>
      <w:r w:rsidR="00183DB9" w:rsidRPr="00492134">
        <w:rPr>
          <w:rFonts w:ascii="Tahoma" w:hAnsi="Tahoma" w:cs="Tahoma"/>
          <w:szCs w:val="24"/>
        </w:rPr>
        <w:t>súplica</w:t>
      </w:r>
      <w:r w:rsidR="00D526E3" w:rsidRPr="00492134">
        <w:rPr>
          <w:rFonts w:ascii="Tahoma" w:hAnsi="Tahoma" w:cs="Tahoma"/>
          <w:szCs w:val="24"/>
        </w:rPr>
        <w:t>, queja, nulidad o recurso pertinente…</w:t>
      </w:r>
      <w:r w:rsidR="00183DB9" w:rsidRPr="007A1A1B">
        <w:rPr>
          <w:rFonts w:ascii="Tahoma" w:hAnsi="Tahoma" w:cs="Tahoma"/>
          <w:sz w:val="24"/>
          <w:szCs w:val="24"/>
        </w:rPr>
        <w:t xml:space="preserve">”. </w:t>
      </w:r>
    </w:p>
    <w:p w14:paraId="03A73BF2" w14:textId="77777777" w:rsidR="00A37B64" w:rsidRPr="007A1A1B" w:rsidRDefault="00A37B64" w:rsidP="007A1A1B">
      <w:pPr>
        <w:spacing w:after="0" w:line="276" w:lineRule="auto"/>
        <w:jc w:val="both"/>
        <w:rPr>
          <w:rFonts w:ascii="Tahoma" w:hAnsi="Tahoma" w:cs="Tahoma"/>
          <w:sz w:val="24"/>
          <w:szCs w:val="24"/>
        </w:rPr>
      </w:pPr>
    </w:p>
    <w:p w14:paraId="5F5C0213" w14:textId="4383A44D" w:rsidR="00A351EC" w:rsidRPr="007A1A1B" w:rsidRDefault="0090386C" w:rsidP="007A1A1B">
      <w:pPr>
        <w:spacing w:after="0" w:line="276" w:lineRule="auto"/>
        <w:jc w:val="both"/>
        <w:rPr>
          <w:rFonts w:ascii="Tahoma" w:hAnsi="Tahoma" w:cs="Tahoma"/>
          <w:sz w:val="24"/>
          <w:szCs w:val="24"/>
        </w:rPr>
      </w:pPr>
      <w:r w:rsidRPr="007A1A1B">
        <w:rPr>
          <w:rFonts w:ascii="Tahoma" w:hAnsi="Tahoma" w:cs="Tahoma"/>
          <w:sz w:val="24"/>
          <w:szCs w:val="24"/>
        </w:rPr>
        <w:lastRenderedPageBreak/>
        <w:t>Para sustentarlo</w:t>
      </w:r>
      <w:r w:rsidR="00A37B64" w:rsidRPr="007A1A1B">
        <w:rPr>
          <w:rFonts w:ascii="Tahoma" w:hAnsi="Tahoma" w:cs="Tahoma"/>
          <w:sz w:val="24"/>
          <w:szCs w:val="24"/>
        </w:rPr>
        <w:t>,</w:t>
      </w:r>
      <w:r w:rsidRPr="007A1A1B">
        <w:rPr>
          <w:rFonts w:ascii="Tahoma" w:hAnsi="Tahoma" w:cs="Tahoma"/>
          <w:sz w:val="24"/>
          <w:szCs w:val="24"/>
        </w:rPr>
        <w:t xml:space="preserve"> </w:t>
      </w:r>
      <w:r w:rsidR="00D526E3" w:rsidRPr="007A1A1B">
        <w:rPr>
          <w:rFonts w:ascii="Tahoma" w:hAnsi="Tahoma" w:cs="Tahoma"/>
          <w:sz w:val="24"/>
          <w:szCs w:val="24"/>
        </w:rPr>
        <w:t>indica, en lo pertinente, que contrario a lo afirmado por la Sala sí apeló “la acción”; que en ningún lado de la Ley 472 de 1998 dice que puede declararse desierta una alzada, pues deben aplicarse los artículos 37 y 5 de esa normativa; que el mismo CGP establece la deserción de la alzada que no sea sustentada en primera instancia, y sí lo hizo; que la CSJ ha “</w:t>
      </w:r>
      <w:r w:rsidR="00D526E3" w:rsidRPr="00492134">
        <w:rPr>
          <w:rFonts w:ascii="Tahoma" w:hAnsi="Tahoma" w:cs="Tahoma"/>
          <w:szCs w:val="24"/>
        </w:rPr>
        <w:t>revocado a este tribunal</w:t>
      </w:r>
      <w:r w:rsidR="00D526E3" w:rsidRPr="007A1A1B">
        <w:rPr>
          <w:rFonts w:ascii="Tahoma" w:hAnsi="Tahoma" w:cs="Tahoma"/>
          <w:sz w:val="24"/>
          <w:szCs w:val="24"/>
        </w:rPr>
        <w:t>” por situaciones similares y por tanto, debe procederse al trámite de rigor.</w:t>
      </w:r>
    </w:p>
    <w:p w14:paraId="215780AC" w14:textId="34F001C1" w:rsidR="00D526E3" w:rsidRPr="007A1A1B" w:rsidRDefault="00D526E3" w:rsidP="007A1A1B">
      <w:pPr>
        <w:spacing w:after="0" w:line="276" w:lineRule="auto"/>
        <w:jc w:val="both"/>
        <w:rPr>
          <w:rFonts w:ascii="Tahoma" w:hAnsi="Tahoma" w:cs="Tahoma"/>
          <w:sz w:val="24"/>
          <w:szCs w:val="24"/>
        </w:rPr>
      </w:pPr>
    </w:p>
    <w:p w14:paraId="76801696" w14:textId="4399074A" w:rsidR="00D526E3" w:rsidRPr="007A1A1B" w:rsidRDefault="00D526E3" w:rsidP="007A1A1B">
      <w:pPr>
        <w:spacing w:after="0" w:line="276" w:lineRule="auto"/>
        <w:jc w:val="both"/>
        <w:rPr>
          <w:rFonts w:ascii="Tahoma" w:hAnsi="Tahoma" w:cs="Tahoma"/>
          <w:sz w:val="24"/>
          <w:szCs w:val="24"/>
        </w:rPr>
      </w:pPr>
      <w:r w:rsidRPr="007A1A1B">
        <w:rPr>
          <w:rFonts w:ascii="Tahoma" w:hAnsi="Tahoma" w:cs="Tahoma"/>
          <w:sz w:val="24"/>
          <w:szCs w:val="24"/>
        </w:rPr>
        <w:t>Que se acepte su “</w:t>
      </w:r>
      <w:proofErr w:type="spellStart"/>
      <w:r w:rsidRPr="007A1A1B">
        <w:rPr>
          <w:rFonts w:ascii="Tahoma" w:hAnsi="Tahoma" w:cs="Tahoma"/>
          <w:sz w:val="24"/>
          <w:szCs w:val="24"/>
        </w:rPr>
        <w:t>cedación</w:t>
      </w:r>
      <w:proofErr w:type="spellEnd"/>
      <w:r w:rsidRPr="007A1A1B">
        <w:rPr>
          <w:rFonts w:ascii="Tahoma" w:hAnsi="Tahoma" w:cs="Tahoma"/>
          <w:sz w:val="24"/>
          <w:szCs w:val="24"/>
        </w:rPr>
        <w:t>” de costas en favor del actor popular.</w:t>
      </w:r>
    </w:p>
    <w:p w14:paraId="6D503909" w14:textId="37E79C72" w:rsidR="00183DB9" w:rsidRPr="007A1A1B" w:rsidRDefault="00183DB9" w:rsidP="007A1A1B">
      <w:pPr>
        <w:pStyle w:val="Prrafodelista"/>
        <w:spacing w:after="0" w:line="276" w:lineRule="auto"/>
        <w:ind w:left="0"/>
        <w:jc w:val="both"/>
        <w:rPr>
          <w:rFonts w:ascii="Tahoma" w:hAnsi="Tahoma" w:cs="Tahoma"/>
          <w:sz w:val="24"/>
          <w:szCs w:val="24"/>
        </w:rPr>
      </w:pPr>
    </w:p>
    <w:p w14:paraId="26100488" w14:textId="1CC93293" w:rsidR="00183DB9" w:rsidRPr="007A1A1B" w:rsidRDefault="00D526E3" w:rsidP="007A1A1B">
      <w:pPr>
        <w:spacing w:after="0" w:line="276" w:lineRule="auto"/>
        <w:jc w:val="both"/>
        <w:rPr>
          <w:rFonts w:ascii="Tahoma" w:hAnsi="Tahoma" w:cs="Tahoma"/>
          <w:sz w:val="24"/>
          <w:szCs w:val="24"/>
        </w:rPr>
      </w:pPr>
      <w:r w:rsidRPr="007A1A1B">
        <w:rPr>
          <w:rFonts w:ascii="Tahoma" w:hAnsi="Tahoma" w:cs="Tahoma"/>
          <w:sz w:val="24"/>
          <w:szCs w:val="24"/>
        </w:rPr>
        <w:t>3. Los no recurrentes guardaron silencio dentro del término de traslado concedido para el evento.</w:t>
      </w:r>
    </w:p>
    <w:p w14:paraId="3ECBB902" w14:textId="77777777" w:rsidR="00D526E3" w:rsidRPr="007A1A1B" w:rsidRDefault="00D526E3" w:rsidP="007A1A1B">
      <w:pPr>
        <w:spacing w:after="0" w:line="276" w:lineRule="auto"/>
        <w:jc w:val="both"/>
        <w:rPr>
          <w:rFonts w:ascii="Tahoma" w:hAnsi="Tahoma" w:cs="Tahoma"/>
          <w:b/>
          <w:sz w:val="24"/>
          <w:szCs w:val="24"/>
        </w:rPr>
      </w:pPr>
    </w:p>
    <w:p w14:paraId="4F8AAA60" w14:textId="495B9C64" w:rsidR="00183DB9" w:rsidRPr="007A1A1B" w:rsidRDefault="00183DB9" w:rsidP="007A1A1B">
      <w:pPr>
        <w:spacing w:after="0" w:line="276" w:lineRule="auto"/>
        <w:jc w:val="both"/>
        <w:rPr>
          <w:rFonts w:ascii="Tahoma" w:hAnsi="Tahoma" w:cs="Tahoma"/>
          <w:b/>
          <w:sz w:val="24"/>
          <w:szCs w:val="24"/>
        </w:rPr>
      </w:pPr>
      <w:r w:rsidRPr="007A1A1B">
        <w:rPr>
          <w:rFonts w:ascii="Tahoma" w:hAnsi="Tahoma" w:cs="Tahoma"/>
          <w:b/>
          <w:sz w:val="24"/>
          <w:szCs w:val="24"/>
        </w:rPr>
        <w:t>CONSIDERACIONES</w:t>
      </w:r>
    </w:p>
    <w:p w14:paraId="5A8B9533" w14:textId="36225CD2" w:rsidR="00D526E3" w:rsidRPr="007A1A1B" w:rsidRDefault="00D526E3" w:rsidP="007A1A1B">
      <w:pPr>
        <w:spacing w:after="0" w:line="276" w:lineRule="auto"/>
        <w:jc w:val="both"/>
        <w:rPr>
          <w:rFonts w:ascii="Tahoma" w:hAnsi="Tahoma" w:cs="Tahoma"/>
          <w:b/>
          <w:sz w:val="24"/>
          <w:szCs w:val="24"/>
        </w:rPr>
      </w:pPr>
    </w:p>
    <w:p w14:paraId="1DAD13D9" w14:textId="045445BB" w:rsidR="00E131B9" w:rsidRPr="007A1A1B" w:rsidRDefault="00DD2DD0" w:rsidP="007A1A1B">
      <w:pPr>
        <w:pStyle w:val="Prrafodelista"/>
        <w:spacing w:after="0" w:line="276" w:lineRule="auto"/>
        <w:ind w:left="0"/>
        <w:jc w:val="both"/>
        <w:rPr>
          <w:rFonts w:ascii="Tahoma" w:hAnsi="Tahoma" w:cs="Tahoma"/>
          <w:sz w:val="24"/>
          <w:szCs w:val="24"/>
        </w:rPr>
      </w:pPr>
      <w:r w:rsidRPr="007A1A1B">
        <w:rPr>
          <w:rFonts w:ascii="Tahoma" w:eastAsiaTheme="minorHAnsi" w:hAnsi="Tahoma" w:cs="Tahoma"/>
          <w:sz w:val="24"/>
          <w:szCs w:val="24"/>
          <w:lang w:val="es-CO"/>
        </w:rPr>
        <w:t>1</w:t>
      </w:r>
      <w:r w:rsidR="00AE2E28" w:rsidRPr="007A1A1B">
        <w:rPr>
          <w:rFonts w:ascii="Tahoma" w:eastAsiaTheme="minorHAnsi" w:hAnsi="Tahoma" w:cs="Tahoma"/>
          <w:sz w:val="24"/>
          <w:szCs w:val="24"/>
          <w:lang w:val="es-CO"/>
        </w:rPr>
        <w:t>.</w:t>
      </w:r>
      <w:r w:rsidRPr="007A1A1B">
        <w:rPr>
          <w:rFonts w:ascii="Tahoma" w:eastAsiaTheme="minorHAnsi" w:hAnsi="Tahoma" w:cs="Tahoma"/>
          <w:sz w:val="24"/>
          <w:szCs w:val="24"/>
          <w:lang w:val="es-CO"/>
        </w:rPr>
        <w:t xml:space="preserve"> </w:t>
      </w:r>
      <w:r w:rsidR="00E131B9" w:rsidRPr="007A1A1B">
        <w:rPr>
          <w:rFonts w:ascii="Tahoma" w:hAnsi="Tahoma" w:cs="Tahoma"/>
          <w:sz w:val="24"/>
          <w:szCs w:val="24"/>
        </w:rPr>
        <w:t xml:space="preserve">Como lo enseña la doctrina, el recurso de </w:t>
      </w:r>
      <w:r w:rsidR="00464932" w:rsidRPr="007A1A1B">
        <w:rPr>
          <w:rFonts w:ascii="Tahoma" w:hAnsi="Tahoma" w:cs="Tahoma"/>
          <w:sz w:val="24"/>
          <w:szCs w:val="24"/>
        </w:rPr>
        <w:t xml:space="preserve">reposición tiende a que frente a una decisión adversa, sea el mismo juez de conocimiento quien vuelva sobre la providencia que se refuta y </w:t>
      </w:r>
      <w:r w:rsidR="00E131B9" w:rsidRPr="007A1A1B">
        <w:rPr>
          <w:rFonts w:ascii="Tahoma" w:hAnsi="Tahoma" w:cs="Tahoma"/>
          <w:sz w:val="24"/>
          <w:szCs w:val="24"/>
        </w:rPr>
        <w:t xml:space="preserve">corrija los </w:t>
      </w:r>
      <w:r w:rsidR="00464932" w:rsidRPr="007A1A1B">
        <w:rPr>
          <w:rFonts w:ascii="Tahoma" w:hAnsi="Tahoma" w:cs="Tahoma"/>
          <w:sz w:val="24"/>
          <w:szCs w:val="24"/>
        </w:rPr>
        <w:t xml:space="preserve">eventuales </w:t>
      </w:r>
      <w:r w:rsidR="00E131B9" w:rsidRPr="007A1A1B">
        <w:rPr>
          <w:rFonts w:ascii="Tahoma" w:hAnsi="Tahoma" w:cs="Tahoma"/>
          <w:sz w:val="24"/>
          <w:szCs w:val="24"/>
        </w:rPr>
        <w:t xml:space="preserve">errores jurídicos del procedimiento o de </w:t>
      </w:r>
      <w:r w:rsidR="00464932" w:rsidRPr="007A1A1B">
        <w:rPr>
          <w:rFonts w:ascii="Tahoma" w:hAnsi="Tahoma" w:cs="Tahoma"/>
          <w:sz w:val="24"/>
          <w:szCs w:val="24"/>
        </w:rPr>
        <w:t>resoluciones en que hubiere podido incurrir.</w:t>
      </w:r>
    </w:p>
    <w:p w14:paraId="13DF217C" w14:textId="77777777" w:rsidR="00E131B9" w:rsidRPr="007A1A1B" w:rsidRDefault="00E131B9" w:rsidP="007A1A1B">
      <w:pPr>
        <w:spacing w:after="0" w:line="276" w:lineRule="auto"/>
        <w:jc w:val="both"/>
        <w:rPr>
          <w:rFonts w:ascii="Tahoma" w:hAnsi="Tahoma" w:cs="Tahoma"/>
          <w:sz w:val="24"/>
          <w:szCs w:val="24"/>
        </w:rPr>
      </w:pPr>
    </w:p>
    <w:p w14:paraId="7214479E" w14:textId="77777777" w:rsidR="00E131B9" w:rsidRPr="007A1A1B" w:rsidRDefault="00E131B9" w:rsidP="007A1A1B">
      <w:pPr>
        <w:spacing w:after="0" w:line="276" w:lineRule="auto"/>
        <w:jc w:val="both"/>
        <w:rPr>
          <w:rFonts w:ascii="Tahoma" w:hAnsi="Tahoma" w:cs="Tahoma"/>
          <w:sz w:val="24"/>
          <w:szCs w:val="24"/>
        </w:rPr>
      </w:pPr>
      <w:r w:rsidRPr="007A1A1B">
        <w:rPr>
          <w:rFonts w:ascii="Tahoma" w:hAnsi="Tahoma" w:cs="Tahoma"/>
          <w:sz w:val="24"/>
          <w:szCs w:val="24"/>
        </w:rPr>
        <w:t>La procedencia de ese recurso la establece el legislador que la determina de acuerdo con la naturaleza del proceso, de la respectiva providencia y del agravio inferido a la respectiva parte.</w:t>
      </w:r>
    </w:p>
    <w:p w14:paraId="0F0C73BC" w14:textId="77777777" w:rsidR="00E131B9" w:rsidRPr="007A1A1B" w:rsidRDefault="00E131B9" w:rsidP="007A1A1B">
      <w:pPr>
        <w:spacing w:after="0" w:line="276" w:lineRule="auto"/>
        <w:jc w:val="both"/>
        <w:rPr>
          <w:rFonts w:ascii="Tahoma" w:hAnsi="Tahoma" w:cs="Tahoma"/>
          <w:b/>
          <w:sz w:val="24"/>
          <w:szCs w:val="24"/>
        </w:rPr>
      </w:pPr>
    </w:p>
    <w:p w14:paraId="6BC0A62C" w14:textId="0DBC84DE" w:rsidR="00E131B9" w:rsidRPr="007A1A1B" w:rsidRDefault="00E131B9" w:rsidP="007A1A1B">
      <w:pPr>
        <w:spacing w:after="0" w:line="276" w:lineRule="auto"/>
        <w:jc w:val="both"/>
        <w:rPr>
          <w:rFonts w:ascii="Tahoma" w:hAnsi="Tahoma" w:cs="Tahoma"/>
          <w:sz w:val="24"/>
          <w:szCs w:val="24"/>
        </w:rPr>
      </w:pPr>
      <w:r w:rsidRPr="007A1A1B">
        <w:rPr>
          <w:rFonts w:ascii="Tahoma" w:hAnsi="Tahoma" w:cs="Tahoma"/>
          <w:sz w:val="24"/>
          <w:szCs w:val="24"/>
        </w:rPr>
        <w:t xml:space="preserve">En términos generales las formalidades indispensables para </w:t>
      </w:r>
      <w:r w:rsidR="00A35E80" w:rsidRPr="007A1A1B">
        <w:rPr>
          <w:rFonts w:ascii="Tahoma" w:hAnsi="Tahoma" w:cs="Tahoma"/>
          <w:sz w:val="24"/>
          <w:szCs w:val="24"/>
        </w:rPr>
        <w:t xml:space="preserve">su desarrollo consisten en que: </w:t>
      </w:r>
      <w:r w:rsidRPr="007A1A1B">
        <w:rPr>
          <w:rFonts w:ascii="Tahoma" w:hAnsi="Tahoma" w:cs="Tahoma"/>
          <w:sz w:val="24"/>
          <w:szCs w:val="24"/>
        </w:rPr>
        <w:t>a) que la providencia materia de impugnación sea susceptible de</w:t>
      </w:r>
      <w:r w:rsidR="00A35E80" w:rsidRPr="007A1A1B">
        <w:rPr>
          <w:rFonts w:ascii="Tahoma" w:hAnsi="Tahoma" w:cs="Tahoma"/>
          <w:sz w:val="24"/>
          <w:szCs w:val="24"/>
        </w:rPr>
        <w:t xml:space="preserve"> esa herramienta;</w:t>
      </w:r>
      <w:r w:rsidRPr="007A1A1B">
        <w:rPr>
          <w:rFonts w:ascii="Tahoma" w:hAnsi="Tahoma" w:cs="Tahoma"/>
          <w:sz w:val="24"/>
          <w:szCs w:val="24"/>
        </w:rPr>
        <w:t xml:space="preserve"> b) que el </w:t>
      </w:r>
      <w:r w:rsidR="00A35E80" w:rsidRPr="007A1A1B">
        <w:rPr>
          <w:rFonts w:ascii="Tahoma" w:hAnsi="Tahoma" w:cs="Tahoma"/>
          <w:sz w:val="24"/>
          <w:szCs w:val="24"/>
        </w:rPr>
        <w:t>recurrente tenga legitimación para refutar</w:t>
      </w:r>
      <w:r w:rsidRPr="007A1A1B">
        <w:rPr>
          <w:rFonts w:ascii="Tahoma" w:hAnsi="Tahoma" w:cs="Tahoma"/>
          <w:sz w:val="24"/>
          <w:szCs w:val="24"/>
        </w:rPr>
        <w:t xml:space="preserve">; c) que el </w:t>
      </w:r>
      <w:r w:rsidR="00A35E80" w:rsidRPr="007A1A1B">
        <w:rPr>
          <w:rFonts w:ascii="Tahoma" w:hAnsi="Tahoma" w:cs="Tahoma"/>
          <w:sz w:val="24"/>
          <w:szCs w:val="24"/>
        </w:rPr>
        <w:t xml:space="preserve">mismo </w:t>
      </w:r>
      <w:r w:rsidRPr="007A1A1B">
        <w:rPr>
          <w:rFonts w:ascii="Tahoma" w:hAnsi="Tahoma" w:cs="Tahoma"/>
          <w:sz w:val="24"/>
          <w:szCs w:val="24"/>
        </w:rPr>
        <w:t xml:space="preserve">tenga interés jurídico que justifique el recurso y d) que </w:t>
      </w:r>
      <w:r w:rsidR="00A35E80" w:rsidRPr="007A1A1B">
        <w:rPr>
          <w:rFonts w:ascii="Tahoma" w:hAnsi="Tahoma" w:cs="Tahoma"/>
          <w:sz w:val="24"/>
          <w:szCs w:val="24"/>
        </w:rPr>
        <w:t xml:space="preserve">este </w:t>
      </w:r>
      <w:r w:rsidRPr="007A1A1B">
        <w:rPr>
          <w:rFonts w:ascii="Tahoma" w:hAnsi="Tahoma" w:cs="Tahoma"/>
          <w:sz w:val="24"/>
          <w:szCs w:val="24"/>
        </w:rPr>
        <w:t>se interponga en tiempo y con las formalidades que la ley establece.</w:t>
      </w:r>
    </w:p>
    <w:p w14:paraId="58B3CCA3" w14:textId="77777777" w:rsidR="00E131B9" w:rsidRPr="007A1A1B" w:rsidRDefault="00E131B9" w:rsidP="007A1A1B">
      <w:pPr>
        <w:tabs>
          <w:tab w:val="left" w:pos="945"/>
        </w:tabs>
        <w:spacing w:after="0" w:line="276" w:lineRule="auto"/>
        <w:jc w:val="both"/>
        <w:rPr>
          <w:rFonts w:ascii="Tahoma" w:hAnsi="Tahoma" w:cs="Tahoma"/>
          <w:sz w:val="24"/>
          <w:szCs w:val="24"/>
        </w:rPr>
      </w:pPr>
    </w:p>
    <w:p w14:paraId="04BE5D5D" w14:textId="70F7BB31" w:rsidR="00E131B9" w:rsidRPr="007A1A1B" w:rsidRDefault="00A35E80" w:rsidP="007A1A1B">
      <w:pPr>
        <w:tabs>
          <w:tab w:val="left" w:pos="945"/>
        </w:tabs>
        <w:spacing w:after="0" w:line="276" w:lineRule="auto"/>
        <w:jc w:val="both"/>
        <w:rPr>
          <w:rFonts w:ascii="Tahoma" w:hAnsi="Tahoma" w:cs="Tahoma"/>
          <w:sz w:val="24"/>
          <w:szCs w:val="24"/>
        </w:rPr>
      </w:pPr>
      <w:r w:rsidRPr="007A1A1B">
        <w:rPr>
          <w:rFonts w:ascii="Tahoma" w:hAnsi="Tahoma" w:cs="Tahoma"/>
          <w:sz w:val="24"/>
          <w:szCs w:val="24"/>
        </w:rPr>
        <w:t>En el caso concreto, tales fines se cumplen a cabalidad y a partir de allí, también es del caso indicar, descendiendo al busilis del asunto que, respecto a la viabilidad de trámite de una alzada, también deben configurarse las citadas exigencias, adicional a la carga legal que se establece para el apelante</w:t>
      </w:r>
      <w:r w:rsidR="00E131B9" w:rsidRPr="007A1A1B">
        <w:rPr>
          <w:rFonts w:ascii="Tahoma" w:hAnsi="Tahoma" w:cs="Tahoma"/>
          <w:sz w:val="24"/>
          <w:szCs w:val="24"/>
        </w:rPr>
        <w:t>, cuya ausencia genera la deserción del recurso.</w:t>
      </w:r>
      <w:r w:rsidR="00797B7C">
        <w:rPr>
          <w:rFonts w:ascii="Tahoma" w:hAnsi="Tahoma" w:cs="Tahoma"/>
          <w:sz w:val="24"/>
          <w:szCs w:val="24"/>
        </w:rPr>
        <w:t xml:space="preserve"> </w:t>
      </w:r>
      <w:r w:rsidR="00E131B9" w:rsidRPr="007A1A1B">
        <w:rPr>
          <w:rFonts w:ascii="Tahoma" w:hAnsi="Tahoma" w:cs="Tahoma"/>
          <w:sz w:val="24"/>
          <w:szCs w:val="24"/>
        </w:rPr>
        <w:t xml:space="preserve"> En efecto, el inciso </w:t>
      </w:r>
      <w:r w:rsidR="00797B7C" w:rsidRPr="007A1A1B">
        <w:rPr>
          <w:rFonts w:ascii="Tahoma" w:hAnsi="Tahoma" w:cs="Tahoma"/>
          <w:sz w:val="24"/>
          <w:szCs w:val="24"/>
        </w:rPr>
        <w:t>3º, numeral</w:t>
      </w:r>
      <w:r w:rsidR="00E131B9" w:rsidRPr="007A1A1B">
        <w:rPr>
          <w:rFonts w:ascii="Tahoma" w:hAnsi="Tahoma" w:cs="Tahoma"/>
          <w:sz w:val="24"/>
          <w:szCs w:val="24"/>
        </w:rPr>
        <w:t xml:space="preserve"> 3º del artículo 322 del Código General del Proceso dice que para la sustentación del recurso será suficiente que el recurrente exprese las razones de su inconformidad con la providencia apelada y el inciso 4º ordena al juez de segunda instancia declarar desierto el recurso de apelación contra una sentencia</w:t>
      </w:r>
      <w:r w:rsidRPr="007A1A1B">
        <w:rPr>
          <w:rFonts w:ascii="Tahoma" w:hAnsi="Tahoma" w:cs="Tahoma"/>
          <w:sz w:val="24"/>
          <w:szCs w:val="24"/>
        </w:rPr>
        <w:t xml:space="preserve"> que no hubiere sido sustentado, y ello precisamente fue lo que acá ocurrió.</w:t>
      </w:r>
    </w:p>
    <w:p w14:paraId="16106B97" w14:textId="77777777" w:rsidR="00E131B9" w:rsidRPr="007A1A1B" w:rsidRDefault="00E131B9" w:rsidP="007A1A1B">
      <w:pPr>
        <w:tabs>
          <w:tab w:val="left" w:pos="945"/>
        </w:tabs>
        <w:spacing w:after="0" w:line="276" w:lineRule="auto"/>
        <w:jc w:val="both"/>
        <w:rPr>
          <w:rFonts w:ascii="Tahoma" w:hAnsi="Tahoma" w:cs="Tahoma"/>
          <w:sz w:val="24"/>
          <w:szCs w:val="24"/>
        </w:rPr>
      </w:pPr>
    </w:p>
    <w:p w14:paraId="0EFC392E" w14:textId="77777777" w:rsidR="00E131B9" w:rsidRPr="007A1A1B" w:rsidRDefault="00E131B9" w:rsidP="007A1A1B">
      <w:pPr>
        <w:pStyle w:val="Sinespaciado"/>
        <w:spacing w:line="276" w:lineRule="auto"/>
        <w:jc w:val="both"/>
        <w:rPr>
          <w:rFonts w:ascii="Tahoma" w:hAnsi="Tahoma" w:cs="Tahoma"/>
        </w:rPr>
      </w:pPr>
      <w:r w:rsidRPr="007A1A1B">
        <w:rPr>
          <w:rFonts w:ascii="Tahoma" w:hAnsi="Tahoma" w:cs="Tahoma"/>
          <w:lang w:val="es-CO"/>
        </w:rPr>
        <w:t>Lo relacionado con el tema de la sustentación ha sido objeto de estudio por la Corte Constitucional que al respecto ha dicho:</w:t>
      </w:r>
    </w:p>
    <w:p w14:paraId="7D2A4B76" w14:textId="77777777" w:rsidR="00E131B9" w:rsidRPr="007A1A1B" w:rsidRDefault="00E131B9" w:rsidP="007A1A1B">
      <w:pPr>
        <w:pStyle w:val="Sinespaciado"/>
        <w:tabs>
          <w:tab w:val="left" w:pos="709"/>
        </w:tabs>
        <w:spacing w:line="276" w:lineRule="auto"/>
        <w:jc w:val="both"/>
        <w:rPr>
          <w:rFonts w:ascii="Tahoma" w:hAnsi="Tahoma" w:cs="Tahoma"/>
        </w:rPr>
      </w:pPr>
    </w:p>
    <w:p w14:paraId="4F6C5000" w14:textId="5826BF89" w:rsidR="00A35E80" w:rsidRPr="00797B7C" w:rsidRDefault="00E131B9" w:rsidP="00797B7C">
      <w:pPr>
        <w:pStyle w:val="Sinespaciado"/>
        <w:ind w:left="426" w:right="420"/>
        <w:jc w:val="both"/>
        <w:rPr>
          <w:rFonts w:ascii="Tahoma" w:hAnsi="Tahoma" w:cs="Tahoma"/>
          <w:i/>
          <w:sz w:val="22"/>
        </w:rPr>
      </w:pPr>
      <w:r w:rsidRPr="00797B7C">
        <w:rPr>
          <w:rFonts w:ascii="Tahoma" w:hAnsi="Tahoma" w:cs="Tahoma"/>
          <w:i/>
          <w:sz w:val="22"/>
        </w:rPr>
        <w:t xml:space="preserve">“… cree la Corte que no pueda darse por sustentada una apelación, y por ende cumplida la condición que subordina la admisibilidad de este recurso, cuando el impugnante se limita simplemente a calificar la providencia recurrida de ilegal, </w:t>
      </w:r>
      <w:proofErr w:type="spellStart"/>
      <w:r w:rsidRPr="00797B7C">
        <w:rPr>
          <w:rFonts w:ascii="Tahoma" w:hAnsi="Tahoma" w:cs="Tahoma"/>
          <w:i/>
          <w:sz w:val="22"/>
        </w:rPr>
        <w:t>injurídica</w:t>
      </w:r>
      <w:proofErr w:type="spellEnd"/>
      <w:r w:rsidRPr="00797B7C">
        <w:rPr>
          <w:rFonts w:ascii="Tahoma" w:hAnsi="Tahoma" w:cs="Tahoma"/>
          <w:i/>
          <w:sz w:val="22"/>
        </w:rPr>
        <w:t xml:space="preserve"> o irregular; tampoco cuando emplea expresiones abstractas tales como, si </w:t>
      </w:r>
      <w:r w:rsidRPr="00797B7C">
        <w:rPr>
          <w:rFonts w:ascii="Tahoma" w:hAnsi="Tahoma" w:cs="Tahoma"/>
          <w:i/>
          <w:sz w:val="22"/>
        </w:rPr>
        <w:lastRenderedPageBreak/>
        <w:t>hay prueba de los hechos, no están demostrados los hechos u otras semejantes, puesto que aquellos calificativos y estas expresiones, justamente por su vaguedad e imprecisión no expresan, pero ni siquiera implícitamente, las razones o motivos de la inconformidad del apelante con las deducciones lógica-jurídicas a que llegó el juez en su proveído impugnado...”</w:t>
      </w:r>
      <w:r w:rsidR="00797B7C">
        <w:rPr>
          <w:rFonts w:ascii="Tahoma" w:hAnsi="Tahoma" w:cs="Tahoma"/>
          <w:i/>
          <w:sz w:val="22"/>
        </w:rPr>
        <w:t xml:space="preserve"> </w:t>
      </w:r>
      <w:r w:rsidRPr="00797B7C">
        <w:rPr>
          <w:rStyle w:val="Refdenotaalpie"/>
          <w:rFonts w:ascii="Tahoma" w:hAnsi="Tahoma" w:cs="Tahoma"/>
          <w:i/>
          <w:sz w:val="22"/>
        </w:rPr>
        <w:footnoteReference w:id="1"/>
      </w:r>
    </w:p>
    <w:p w14:paraId="586B22D2" w14:textId="77777777" w:rsidR="00A35E80" w:rsidRPr="007A1A1B" w:rsidRDefault="00A35E80" w:rsidP="007A1A1B">
      <w:pPr>
        <w:pStyle w:val="Sinespaciado"/>
        <w:tabs>
          <w:tab w:val="left" w:pos="709"/>
        </w:tabs>
        <w:spacing w:line="276" w:lineRule="auto"/>
        <w:jc w:val="both"/>
        <w:rPr>
          <w:rFonts w:ascii="Tahoma" w:hAnsi="Tahoma" w:cs="Tahoma"/>
          <w:i/>
        </w:rPr>
      </w:pPr>
    </w:p>
    <w:p w14:paraId="76A0A7F7" w14:textId="07B3731E" w:rsidR="00A35E80" w:rsidRPr="007A1A1B" w:rsidRDefault="00A35E80" w:rsidP="007A1A1B">
      <w:pPr>
        <w:pStyle w:val="Sinespaciado"/>
        <w:tabs>
          <w:tab w:val="left" w:pos="709"/>
        </w:tabs>
        <w:spacing w:line="276" w:lineRule="auto"/>
        <w:jc w:val="both"/>
        <w:rPr>
          <w:rFonts w:ascii="Tahoma" w:hAnsi="Tahoma" w:cs="Tahoma"/>
        </w:rPr>
      </w:pPr>
      <w:r w:rsidRPr="007A1A1B">
        <w:rPr>
          <w:rFonts w:ascii="Tahoma" w:hAnsi="Tahoma" w:cs="Tahoma"/>
        </w:rPr>
        <w:t xml:space="preserve">A su vez, con toda contundencia el artículo 14 del Decreto 806 de 2020, establece que ejecutoriado el auto que admite el recurso, </w:t>
      </w:r>
      <w:r w:rsidRPr="007A1A1B">
        <w:rPr>
          <w:rFonts w:ascii="Tahoma" w:hAnsi="Tahoma" w:cs="Tahoma"/>
          <w:b/>
        </w:rPr>
        <w:t xml:space="preserve">el apelante deberá sustentar el recurso </w:t>
      </w:r>
      <w:r w:rsidRPr="007A1A1B">
        <w:rPr>
          <w:rFonts w:ascii="Tahoma" w:hAnsi="Tahoma" w:cs="Tahoma"/>
        </w:rPr>
        <w:t>dentro del término que allí señala; norma imperativa que, de no satisfacerse conduce indefectiblemente a la posición aducida por la Sala.</w:t>
      </w:r>
    </w:p>
    <w:p w14:paraId="41C2F291" w14:textId="77777777" w:rsidR="00A35E80" w:rsidRPr="007A1A1B" w:rsidRDefault="00A35E80" w:rsidP="007A1A1B">
      <w:pPr>
        <w:pStyle w:val="Sinespaciado"/>
        <w:tabs>
          <w:tab w:val="left" w:pos="709"/>
        </w:tabs>
        <w:spacing w:line="276" w:lineRule="auto"/>
        <w:jc w:val="both"/>
        <w:rPr>
          <w:rFonts w:ascii="Tahoma" w:hAnsi="Tahoma" w:cs="Tahoma"/>
        </w:rPr>
      </w:pPr>
    </w:p>
    <w:p w14:paraId="6705E8BE" w14:textId="081BCBF7" w:rsidR="00E131B9" w:rsidRPr="007A1A1B" w:rsidRDefault="00A35E80" w:rsidP="007A1A1B">
      <w:pPr>
        <w:pStyle w:val="Sinespaciado"/>
        <w:tabs>
          <w:tab w:val="left" w:pos="709"/>
        </w:tabs>
        <w:spacing w:line="276" w:lineRule="auto"/>
        <w:jc w:val="both"/>
        <w:rPr>
          <w:rFonts w:ascii="Tahoma" w:hAnsi="Tahoma" w:cs="Tahoma"/>
          <w:i/>
        </w:rPr>
      </w:pPr>
      <w:r w:rsidRPr="007A1A1B">
        <w:rPr>
          <w:rFonts w:ascii="Tahoma" w:hAnsi="Tahoma" w:cs="Tahoma"/>
        </w:rPr>
        <w:t xml:space="preserve">De acuerdo con lo </w:t>
      </w:r>
      <w:r w:rsidR="00E131B9" w:rsidRPr="007A1A1B">
        <w:rPr>
          <w:rFonts w:ascii="Tahoma" w:hAnsi="Tahoma" w:cs="Tahoma"/>
        </w:rPr>
        <w:t>expuesto,</w:t>
      </w:r>
      <w:r w:rsidRPr="007A1A1B">
        <w:rPr>
          <w:rFonts w:ascii="Tahoma" w:hAnsi="Tahoma" w:cs="Tahoma"/>
        </w:rPr>
        <w:t xml:space="preserve"> no son necesarias entonces intelecciones adicionales para </w:t>
      </w:r>
      <w:r w:rsidR="00E131B9" w:rsidRPr="007A1A1B">
        <w:rPr>
          <w:rFonts w:ascii="Tahoma" w:hAnsi="Tahoma" w:cs="Tahoma"/>
        </w:rPr>
        <w:t xml:space="preserve">entenderse </w:t>
      </w:r>
      <w:r w:rsidRPr="007A1A1B">
        <w:rPr>
          <w:rFonts w:ascii="Tahoma" w:hAnsi="Tahoma" w:cs="Tahoma"/>
        </w:rPr>
        <w:t xml:space="preserve">fallida la exigencia legal correspondiente, ya que </w:t>
      </w:r>
      <w:r w:rsidR="00E131B9" w:rsidRPr="007A1A1B">
        <w:rPr>
          <w:rFonts w:ascii="Tahoma" w:hAnsi="Tahoma" w:cs="Tahoma"/>
        </w:rPr>
        <w:t xml:space="preserve">es menester poner en conocimiento del funcionario de segunda instancia los puntos concretos contenidos en el fallo, con los que no se está de acuerdo, para luego controvertirlos fundadamente, pues solo sobre ellos se pronunciará el juez de segunda sede, de acuerdo con el artículo 328 que limita su competencia al decir, en lo pertinente: </w:t>
      </w:r>
      <w:r w:rsidR="00E131B9" w:rsidRPr="007A1A1B">
        <w:rPr>
          <w:rFonts w:ascii="Tahoma" w:hAnsi="Tahoma" w:cs="Tahoma"/>
          <w:i/>
        </w:rPr>
        <w:t>“</w:t>
      </w:r>
      <w:r w:rsidR="00E131B9" w:rsidRPr="00490E20">
        <w:rPr>
          <w:rFonts w:ascii="Tahoma" w:hAnsi="Tahoma" w:cs="Tahoma"/>
          <w:i/>
          <w:sz w:val="22"/>
        </w:rPr>
        <w:t>El juez de segunda instancia deberá pronunciarse solamente sobre los argumentos expuestos por el apelante, sin perjuicio de las decisiones que deba adoptar de oficio, en los casos previstos por la ley...</w:t>
      </w:r>
      <w:r w:rsidR="00E131B9" w:rsidRPr="007A1A1B">
        <w:rPr>
          <w:rFonts w:ascii="Tahoma" w:hAnsi="Tahoma" w:cs="Tahoma"/>
          <w:i/>
        </w:rPr>
        <w:t>”</w:t>
      </w:r>
      <w:r w:rsidR="00490E20">
        <w:rPr>
          <w:rFonts w:ascii="Tahoma" w:hAnsi="Tahoma" w:cs="Tahoma"/>
          <w:i/>
        </w:rPr>
        <w:t>.</w:t>
      </w:r>
      <w:r w:rsidR="00E131B9" w:rsidRPr="007A1A1B">
        <w:rPr>
          <w:rFonts w:ascii="Tahoma" w:hAnsi="Tahoma" w:cs="Tahoma"/>
          <w:i/>
        </w:rPr>
        <w:t xml:space="preserve"> </w:t>
      </w:r>
    </w:p>
    <w:p w14:paraId="055CBE54" w14:textId="77777777" w:rsidR="006D103F" w:rsidRPr="007A1A1B" w:rsidRDefault="006D103F" w:rsidP="007A1A1B">
      <w:pPr>
        <w:pStyle w:val="Textoindependiente"/>
        <w:spacing w:line="276" w:lineRule="auto"/>
        <w:rPr>
          <w:rFonts w:ascii="Tahoma" w:hAnsi="Tahoma" w:cs="Tahoma"/>
          <w:spacing w:val="-2"/>
          <w:szCs w:val="24"/>
        </w:rPr>
      </w:pPr>
      <w:r w:rsidRPr="007A1A1B">
        <w:rPr>
          <w:rFonts w:ascii="Tahoma" w:hAnsi="Tahoma" w:cs="Tahoma"/>
          <w:spacing w:val="-2"/>
          <w:szCs w:val="24"/>
        </w:rPr>
        <w:t xml:space="preserve">  </w:t>
      </w:r>
    </w:p>
    <w:p w14:paraId="512D08DC" w14:textId="3E2C623F" w:rsidR="00C92C3E" w:rsidRPr="007A1A1B" w:rsidRDefault="006D103F" w:rsidP="007A1A1B">
      <w:pPr>
        <w:tabs>
          <w:tab w:val="left" w:pos="-720"/>
        </w:tabs>
        <w:suppressAutoHyphens/>
        <w:spacing w:after="0" w:line="276" w:lineRule="auto"/>
        <w:jc w:val="both"/>
        <w:rPr>
          <w:rFonts w:ascii="Tahoma" w:hAnsi="Tahoma" w:cs="Tahoma"/>
          <w:sz w:val="24"/>
          <w:szCs w:val="24"/>
          <w:lang w:val="es-ES"/>
        </w:rPr>
      </w:pPr>
      <w:r w:rsidRPr="007A1A1B">
        <w:rPr>
          <w:rFonts w:ascii="Tahoma" w:hAnsi="Tahoma" w:cs="Tahoma"/>
          <w:spacing w:val="-2"/>
          <w:sz w:val="24"/>
          <w:szCs w:val="24"/>
        </w:rPr>
        <w:t>3. Como</w:t>
      </w:r>
      <w:r w:rsidR="00A35E80" w:rsidRPr="007A1A1B">
        <w:rPr>
          <w:rFonts w:ascii="Tahoma" w:hAnsi="Tahoma" w:cs="Tahoma"/>
          <w:spacing w:val="-2"/>
          <w:sz w:val="24"/>
          <w:szCs w:val="24"/>
        </w:rPr>
        <w:t xml:space="preserve"> ello no se satisfizo, no hay lugar a reponer la decisión que se reprocha en cuanto a la deserción declarada.</w:t>
      </w:r>
    </w:p>
    <w:p w14:paraId="0475DEF4" w14:textId="77777777" w:rsidR="00D55B9A" w:rsidRPr="007A1A1B" w:rsidRDefault="00D55B9A" w:rsidP="007A1A1B">
      <w:pPr>
        <w:pStyle w:val="Prrafodelista"/>
        <w:tabs>
          <w:tab w:val="left" w:pos="0"/>
          <w:tab w:val="left" w:pos="284"/>
        </w:tabs>
        <w:spacing w:after="0" w:line="276" w:lineRule="auto"/>
        <w:ind w:left="0"/>
        <w:jc w:val="both"/>
        <w:rPr>
          <w:rFonts w:ascii="Tahoma" w:hAnsi="Tahoma" w:cs="Tahoma"/>
          <w:sz w:val="24"/>
          <w:szCs w:val="24"/>
          <w:lang w:val="es-ES"/>
        </w:rPr>
      </w:pPr>
    </w:p>
    <w:p w14:paraId="59AE59D8" w14:textId="48249CE4" w:rsidR="00382845" w:rsidRPr="007A1A1B" w:rsidRDefault="00A35E80" w:rsidP="007A1A1B">
      <w:pPr>
        <w:pStyle w:val="Prrafodelista"/>
        <w:tabs>
          <w:tab w:val="left" w:pos="0"/>
          <w:tab w:val="left" w:pos="284"/>
        </w:tabs>
        <w:spacing w:after="0" w:line="276" w:lineRule="auto"/>
        <w:ind w:left="0"/>
        <w:jc w:val="both"/>
        <w:rPr>
          <w:rFonts w:ascii="Tahoma" w:hAnsi="Tahoma" w:cs="Tahoma"/>
          <w:i/>
          <w:sz w:val="24"/>
          <w:szCs w:val="24"/>
        </w:rPr>
      </w:pPr>
      <w:r w:rsidRPr="007A1A1B">
        <w:rPr>
          <w:rFonts w:ascii="Tahoma" w:hAnsi="Tahoma" w:cs="Tahoma"/>
          <w:sz w:val="24"/>
          <w:szCs w:val="24"/>
          <w:lang w:val="es-CO"/>
        </w:rPr>
        <w:t>4</w:t>
      </w:r>
      <w:r w:rsidR="00382845" w:rsidRPr="007A1A1B">
        <w:rPr>
          <w:rFonts w:ascii="Tahoma" w:hAnsi="Tahoma" w:cs="Tahoma"/>
          <w:sz w:val="24"/>
          <w:szCs w:val="24"/>
          <w:lang w:val="es-CO"/>
        </w:rPr>
        <w:t>.</w:t>
      </w:r>
      <w:r w:rsidRPr="007A1A1B">
        <w:rPr>
          <w:rFonts w:ascii="Tahoma" w:hAnsi="Tahoma" w:cs="Tahoma"/>
          <w:sz w:val="24"/>
          <w:szCs w:val="24"/>
          <w:lang w:val="es-CO"/>
        </w:rPr>
        <w:t xml:space="preserve"> Y como en relación con la negativa de cesión de costas, nada se fundamentó para que en la hora de ahora, se pudiera analizar la cuestión desde una perspectiva diversa, incumpliéndose con la carga que en tal sentido le compete al interesado, tal decisión, tampoco puede ser objeto de variación favorable al interesado.</w:t>
      </w:r>
      <w:r w:rsidR="00382845" w:rsidRPr="007A1A1B">
        <w:rPr>
          <w:rFonts w:ascii="Tahoma" w:hAnsi="Tahoma" w:cs="Tahoma"/>
          <w:sz w:val="24"/>
          <w:szCs w:val="24"/>
        </w:rPr>
        <w:t xml:space="preserve"> </w:t>
      </w:r>
    </w:p>
    <w:p w14:paraId="10B994A7" w14:textId="77777777" w:rsidR="00382845" w:rsidRPr="007A1A1B" w:rsidRDefault="00382845" w:rsidP="007A1A1B">
      <w:pPr>
        <w:pStyle w:val="Default"/>
        <w:spacing w:line="276" w:lineRule="auto"/>
        <w:jc w:val="both"/>
        <w:rPr>
          <w:rFonts w:ascii="Tahoma" w:hAnsi="Tahoma" w:cs="Tahoma"/>
          <w:color w:val="auto"/>
          <w:lang w:val="es-419"/>
        </w:rPr>
      </w:pPr>
    </w:p>
    <w:p w14:paraId="3A8894B3" w14:textId="23BAABD1" w:rsidR="00382845" w:rsidRPr="007A1A1B" w:rsidRDefault="00382845" w:rsidP="007A1A1B">
      <w:pPr>
        <w:pStyle w:val="Default"/>
        <w:spacing w:line="276" w:lineRule="auto"/>
        <w:jc w:val="both"/>
        <w:rPr>
          <w:rFonts w:ascii="Tahoma" w:hAnsi="Tahoma" w:cs="Tahoma"/>
          <w:color w:val="auto"/>
          <w:lang w:val="es-ES"/>
        </w:rPr>
      </w:pPr>
      <w:r w:rsidRPr="007A1A1B">
        <w:rPr>
          <w:rFonts w:ascii="Tahoma" w:hAnsi="Tahoma" w:cs="Tahoma"/>
          <w:color w:val="auto"/>
          <w:lang w:val="es-CO"/>
        </w:rPr>
        <w:t xml:space="preserve">Por lo expuesto, </w:t>
      </w:r>
      <w:r w:rsidRPr="007A1A1B">
        <w:rPr>
          <w:rFonts w:ascii="Tahoma" w:hAnsi="Tahoma" w:cs="Tahoma"/>
          <w:color w:val="auto"/>
          <w:lang w:val="es-ES"/>
        </w:rPr>
        <w:t>el Tribunal Superior de Pereira en Sa</w:t>
      </w:r>
      <w:r w:rsidR="00C322E0" w:rsidRPr="007A1A1B">
        <w:rPr>
          <w:rFonts w:ascii="Tahoma" w:hAnsi="Tahoma" w:cs="Tahoma"/>
          <w:color w:val="auto"/>
          <w:lang w:val="es-ES"/>
        </w:rPr>
        <w:t xml:space="preserve">la Civil Unitaria Civil-Familia, </w:t>
      </w:r>
    </w:p>
    <w:p w14:paraId="24BD5C30" w14:textId="77777777" w:rsidR="00382845" w:rsidRPr="007A1A1B" w:rsidRDefault="00382845" w:rsidP="007A1A1B">
      <w:pPr>
        <w:pStyle w:val="Default"/>
        <w:spacing w:line="276" w:lineRule="auto"/>
        <w:jc w:val="both"/>
        <w:rPr>
          <w:rFonts w:ascii="Tahoma" w:hAnsi="Tahoma" w:cs="Tahoma"/>
          <w:color w:val="auto"/>
          <w:lang w:val="es-ES"/>
        </w:rPr>
      </w:pPr>
    </w:p>
    <w:p w14:paraId="0F866A04" w14:textId="77777777" w:rsidR="00382845" w:rsidRPr="007A1A1B" w:rsidRDefault="00382845" w:rsidP="007A1A1B">
      <w:pPr>
        <w:pStyle w:val="Default"/>
        <w:spacing w:line="276" w:lineRule="auto"/>
        <w:jc w:val="both"/>
        <w:rPr>
          <w:rFonts w:ascii="Tahoma" w:hAnsi="Tahoma" w:cs="Tahoma"/>
          <w:b/>
          <w:color w:val="auto"/>
          <w:lang w:val="es-ES"/>
        </w:rPr>
      </w:pPr>
      <w:r w:rsidRPr="007A1A1B">
        <w:rPr>
          <w:rFonts w:ascii="Tahoma" w:hAnsi="Tahoma" w:cs="Tahoma"/>
          <w:b/>
          <w:color w:val="auto"/>
          <w:lang w:val="es-ES"/>
        </w:rPr>
        <w:t>RESUELVE:</w:t>
      </w:r>
    </w:p>
    <w:p w14:paraId="329DE75B" w14:textId="77777777" w:rsidR="00382845" w:rsidRPr="007A1A1B" w:rsidRDefault="00382845" w:rsidP="007A1A1B">
      <w:pPr>
        <w:pStyle w:val="Default"/>
        <w:spacing w:line="276" w:lineRule="auto"/>
        <w:jc w:val="both"/>
        <w:rPr>
          <w:rFonts w:ascii="Tahoma" w:hAnsi="Tahoma" w:cs="Tahoma"/>
          <w:b/>
          <w:color w:val="auto"/>
          <w:lang w:val="es-ES"/>
        </w:rPr>
      </w:pPr>
    </w:p>
    <w:p w14:paraId="6EC167F8" w14:textId="0BD8CD08" w:rsidR="00382845" w:rsidRPr="007A1A1B" w:rsidRDefault="00C322E0" w:rsidP="007A1A1B">
      <w:pPr>
        <w:pStyle w:val="Default"/>
        <w:spacing w:line="276" w:lineRule="auto"/>
        <w:jc w:val="both"/>
        <w:rPr>
          <w:rFonts w:ascii="Tahoma" w:hAnsi="Tahoma" w:cs="Tahoma"/>
          <w:color w:val="auto"/>
          <w:lang w:val="es-ES"/>
        </w:rPr>
      </w:pPr>
      <w:r w:rsidRPr="007A1A1B">
        <w:rPr>
          <w:rFonts w:ascii="Tahoma" w:hAnsi="Tahoma" w:cs="Tahoma"/>
          <w:color w:val="auto"/>
          <w:lang w:val="es-ES"/>
        </w:rPr>
        <w:t xml:space="preserve">1º </w:t>
      </w:r>
      <w:r w:rsidR="00382845" w:rsidRPr="007A1A1B">
        <w:rPr>
          <w:rFonts w:ascii="Tahoma" w:hAnsi="Tahoma" w:cs="Tahoma"/>
          <w:color w:val="auto"/>
          <w:lang w:val="es-ES"/>
        </w:rPr>
        <w:t>N</w:t>
      </w:r>
      <w:r w:rsidR="00A35E80" w:rsidRPr="007A1A1B">
        <w:rPr>
          <w:rFonts w:ascii="Tahoma" w:hAnsi="Tahoma" w:cs="Tahoma"/>
          <w:color w:val="auto"/>
          <w:lang w:val="es-ES"/>
        </w:rPr>
        <w:t>o reponer el auto proferido el 15 de abril último</w:t>
      </w:r>
      <w:r w:rsidR="00382845" w:rsidRPr="007A1A1B">
        <w:rPr>
          <w:rFonts w:ascii="Tahoma" w:hAnsi="Tahoma" w:cs="Tahoma"/>
          <w:color w:val="auto"/>
          <w:lang w:val="es-ES"/>
        </w:rPr>
        <w:t xml:space="preserve">, por medio del cual se declaró la deserción </w:t>
      </w:r>
      <w:r w:rsidR="00A35E80" w:rsidRPr="007A1A1B">
        <w:rPr>
          <w:rFonts w:ascii="Tahoma" w:hAnsi="Tahoma" w:cs="Tahoma"/>
          <w:color w:val="auto"/>
          <w:lang w:val="es-ES"/>
        </w:rPr>
        <w:t>parcial de los</w:t>
      </w:r>
      <w:r w:rsidR="00382845" w:rsidRPr="007A1A1B">
        <w:rPr>
          <w:rFonts w:ascii="Tahoma" w:hAnsi="Tahoma" w:cs="Tahoma"/>
          <w:color w:val="auto"/>
          <w:lang w:val="es-ES"/>
        </w:rPr>
        <w:t xml:space="preserve"> recurso</w:t>
      </w:r>
      <w:r w:rsidR="00A35E80" w:rsidRPr="007A1A1B">
        <w:rPr>
          <w:rFonts w:ascii="Tahoma" w:hAnsi="Tahoma" w:cs="Tahoma"/>
          <w:color w:val="auto"/>
          <w:lang w:val="es-ES"/>
        </w:rPr>
        <w:t>s</w:t>
      </w:r>
      <w:r w:rsidR="00382845" w:rsidRPr="007A1A1B">
        <w:rPr>
          <w:rFonts w:ascii="Tahoma" w:hAnsi="Tahoma" w:cs="Tahoma"/>
          <w:color w:val="auto"/>
          <w:lang w:val="es-ES"/>
        </w:rPr>
        <w:t xml:space="preserve"> de apelación interpuesto</w:t>
      </w:r>
      <w:r w:rsidR="00A35E80" w:rsidRPr="007A1A1B">
        <w:rPr>
          <w:rFonts w:ascii="Tahoma" w:hAnsi="Tahoma" w:cs="Tahoma"/>
          <w:color w:val="auto"/>
          <w:lang w:val="es-ES"/>
        </w:rPr>
        <w:t>s</w:t>
      </w:r>
      <w:r w:rsidR="00382845" w:rsidRPr="007A1A1B">
        <w:rPr>
          <w:rFonts w:ascii="Tahoma" w:hAnsi="Tahoma" w:cs="Tahoma"/>
          <w:color w:val="auto"/>
          <w:lang w:val="es-ES"/>
        </w:rPr>
        <w:t xml:space="preserve"> por la parte demandante</w:t>
      </w:r>
      <w:r w:rsidRPr="007A1A1B">
        <w:rPr>
          <w:rFonts w:ascii="Tahoma" w:hAnsi="Tahoma" w:cs="Tahoma"/>
          <w:color w:val="auto"/>
          <w:lang w:val="es-ES"/>
        </w:rPr>
        <w:t xml:space="preserve"> </w:t>
      </w:r>
      <w:r w:rsidR="00A35E80" w:rsidRPr="007A1A1B">
        <w:rPr>
          <w:rFonts w:ascii="Tahoma" w:hAnsi="Tahoma" w:cs="Tahoma"/>
          <w:color w:val="auto"/>
          <w:lang w:val="es-ES"/>
        </w:rPr>
        <w:t xml:space="preserve">y el coadyuvante </w:t>
      </w:r>
      <w:r w:rsidRPr="007A1A1B">
        <w:rPr>
          <w:rFonts w:ascii="Tahoma" w:hAnsi="Tahoma" w:cs="Tahoma"/>
          <w:color w:val="auto"/>
          <w:lang w:val="es-ES"/>
        </w:rPr>
        <w:t>frente a la sentencia de primera instancia</w:t>
      </w:r>
      <w:r w:rsidR="00A35E80" w:rsidRPr="007A1A1B">
        <w:rPr>
          <w:rFonts w:ascii="Tahoma" w:hAnsi="Tahoma" w:cs="Tahoma"/>
          <w:color w:val="auto"/>
          <w:lang w:val="es-ES"/>
        </w:rPr>
        <w:t>, y que negó la cesión de costas solicitada</w:t>
      </w:r>
    </w:p>
    <w:p w14:paraId="0CBE941A" w14:textId="77777777" w:rsidR="00382845" w:rsidRPr="007A1A1B" w:rsidRDefault="00382845" w:rsidP="007A1A1B">
      <w:pPr>
        <w:pStyle w:val="Default"/>
        <w:spacing w:line="276" w:lineRule="auto"/>
        <w:jc w:val="both"/>
        <w:rPr>
          <w:rFonts w:ascii="Tahoma" w:hAnsi="Tahoma" w:cs="Tahoma"/>
          <w:color w:val="auto"/>
          <w:lang w:val="es-ES"/>
        </w:rPr>
      </w:pPr>
      <w:r w:rsidRPr="007A1A1B">
        <w:rPr>
          <w:rFonts w:ascii="Tahoma" w:hAnsi="Tahoma" w:cs="Tahoma"/>
          <w:color w:val="auto"/>
          <w:lang w:val="es-ES"/>
        </w:rPr>
        <w:t xml:space="preserve"> </w:t>
      </w:r>
    </w:p>
    <w:p w14:paraId="0644586E" w14:textId="2095A0B9" w:rsidR="00382845" w:rsidRPr="007A1A1B" w:rsidRDefault="00C322E0" w:rsidP="007A1A1B">
      <w:pPr>
        <w:pStyle w:val="Default"/>
        <w:spacing w:line="276" w:lineRule="auto"/>
        <w:jc w:val="both"/>
        <w:rPr>
          <w:rFonts w:ascii="Tahoma" w:hAnsi="Tahoma" w:cs="Tahoma"/>
          <w:color w:val="auto"/>
          <w:lang w:val="es-ES"/>
        </w:rPr>
      </w:pPr>
      <w:r w:rsidRPr="007A1A1B">
        <w:rPr>
          <w:rFonts w:ascii="Tahoma" w:hAnsi="Tahoma" w:cs="Tahoma"/>
          <w:color w:val="auto"/>
          <w:lang w:val="es-ES"/>
        </w:rPr>
        <w:t xml:space="preserve">2º </w:t>
      </w:r>
      <w:r w:rsidR="00A35E80" w:rsidRPr="007A1A1B">
        <w:rPr>
          <w:rFonts w:ascii="Tahoma" w:hAnsi="Tahoma" w:cs="Tahoma"/>
          <w:color w:val="auto"/>
          <w:lang w:val="es-ES"/>
        </w:rPr>
        <w:t>En firme este proveído continúese con el trámite legal pertinente</w:t>
      </w:r>
      <w:r w:rsidR="00382845" w:rsidRPr="007A1A1B">
        <w:rPr>
          <w:rFonts w:ascii="Tahoma" w:hAnsi="Tahoma" w:cs="Tahoma"/>
          <w:color w:val="auto"/>
          <w:lang w:val="es-ES"/>
        </w:rPr>
        <w:t>.</w:t>
      </w:r>
    </w:p>
    <w:p w14:paraId="3EBCA00B" w14:textId="79B09893" w:rsidR="00382845" w:rsidRPr="007A1A1B" w:rsidRDefault="00382845" w:rsidP="007A1A1B">
      <w:pPr>
        <w:pStyle w:val="Default"/>
        <w:spacing w:line="276" w:lineRule="auto"/>
        <w:jc w:val="both"/>
        <w:rPr>
          <w:rFonts w:ascii="Tahoma" w:hAnsi="Tahoma" w:cs="Tahoma"/>
          <w:color w:val="auto"/>
          <w:lang w:val="es-ES"/>
        </w:rPr>
      </w:pPr>
    </w:p>
    <w:p w14:paraId="01E78B0E" w14:textId="77777777" w:rsidR="004C0821" w:rsidRPr="007A1A1B" w:rsidRDefault="004C0821" w:rsidP="007A1A1B">
      <w:pPr>
        <w:spacing w:after="0" w:line="276" w:lineRule="auto"/>
        <w:jc w:val="both"/>
        <w:rPr>
          <w:rFonts w:ascii="Tahoma" w:hAnsi="Tahoma" w:cs="Tahoma"/>
          <w:b/>
          <w:sz w:val="24"/>
          <w:szCs w:val="24"/>
        </w:rPr>
      </w:pPr>
      <w:r w:rsidRPr="007A1A1B">
        <w:rPr>
          <w:rFonts w:ascii="Tahoma" w:hAnsi="Tahoma" w:cs="Tahoma"/>
          <w:b/>
          <w:sz w:val="24"/>
          <w:szCs w:val="24"/>
        </w:rPr>
        <w:t xml:space="preserve">NOTIFÍQUESE </w:t>
      </w:r>
    </w:p>
    <w:p w14:paraId="46FF0772" w14:textId="77777777" w:rsidR="004C0821" w:rsidRPr="007A1A1B" w:rsidRDefault="004C0821" w:rsidP="007A1A1B">
      <w:pPr>
        <w:spacing w:after="0" w:line="276" w:lineRule="auto"/>
        <w:jc w:val="both"/>
        <w:rPr>
          <w:rFonts w:ascii="Tahoma" w:hAnsi="Tahoma" w:cs="Tahoma"/>
          <w:b/>
          <w:sz w:val="24"/>
          <w:szCs w:val="24"/>
        </w:rPr>
      </w:pPr>
    </w:p>
    <w:p w14:paraId="40CD6C04" w14:textId="1CAEBE0F" w:rsidR="004C0821" w:rsidRPr="007A1A1B" w:rsidRDefault="004C0821" w:rsidP="007A1A1B">
      <w:pPr>
        <w:spacing w:after="0" w:line="276" w:lineRule="auto"/>
        <w:jc w:val="both"/>
        <w:rPr>
          <w:rFonts w:ascii="Tahoma" w:hAnsi="Tahoma" w:cs="Tahoma"/>
          <w:sz w:val="24"/>
          <w:szCs w:val="24"/>
        </w:rPr>
      </w:pPr>
      <w:r w:rsidRPr="007A1A1B">
        <w:rPr>
          <w:rFonts w:ascii="Tahoma" w:hAnsi="Tahoma" w:cs="Tahoma"/>
          <w:sz w:val="24"/>
          <w:szCs w:val="24"/>
        </w:rPr>
        <w:t>La Magistrada,</w:t>
      </w:r>
    </w:p>
    <w:p w14:paraId="23B5B9DC" w14:textId="16CAB760" w:rsidR="004C0821" w:rsidRPr="007A1A1B" w:rsidRDefault="004C0821" w:rsidP="007A1A1B">
      <w:pPr>
        <w:spacing w:after="0" w:line="276" w:lineRule="auto"/>
        <w:jc w:val="both"/>
        <w:rPr>
          <w:rFonts w:ascii="Tahoma" w:hAnsi="Tahoma" w:cs="Tahoma"/>
          <w:sz w:val="24"/>
          <w:szCs w:val="24"/>
        </w:rPr>
      </w:pPr>
    </w:p>
    <w:p w14:paraId="0DA7EFB0" w14:textId="2D6C79BB" w:rsidR="004C0821" w:rsidRDefault="004C0821" w:rsidP="007A1A1B">
      <w:pPr>
        <w:pStyle w:val="paragraph"/>
        <w:spacing w:before="0" w:beforeAutospacing="0" w:after="0" w:afterAutospacing="0" w:line="276" w:lineRule="auto"/>
        <w:jc w:val="both"/>
        <w:textAlignment w:val="baseline"/>
        <w:rPr>
          <w:rFonts w:ascii="Tahoma" w:hAnsi="Tahoma" w:cs="Tahoma"/>
          <w:lang w:val="es-ES"/>
        </w:rPr>
      </w:pPr>
    </w:p>
    <w:p w14:paraId="3586BAD9" w14:textId="77777777" w:rsidR="00490E20" w:rsidRPr="007A1A1B" w:rsidRDefault="00490E20" w:rsidP="007A1A1B">
      <w:pPr>
        <w:pStyle w:val="paragraph"/>
        <w:spacing w:before="0" w:beforeAutospacing="0" w:after="0" w:afterAutospacing="0" w:line="276" w:lineRule="auto"/>
        <w:jc w:val="both"/>
        <w:textAlignment w:val="baseline"/>
        <w:rPr>
          <w:rFonts w:ascii="Tahoma" w:hAnsi="Tahoma" w:cs="Tahoma"/>
          <w:lang w:val="es-ES"/>
        </w:rPr>
      </w:pPr>
    </w:p>
    <w:p w14:paraId="06DA265C" w14:textId="42B1C49C" w:rsidR="004C0821" w:rsidRPr="007A1A1B" w:rsidRDefault="004C0821" w:rsidP="007A1A1B">
      <w:pPr>
        <w:widowControl w:val="0"/>
        <w:spacing w:after="0" w:line="276" w:lineRule="auto"/>
        <w:jc w:val="both"/>
        <w:rPr>
          <w:rFonts w:ascii="Tahoma" w:hAnsi="Tahoma" w:cs="Tahoma"/>
          <w:sz w:val="24"/>
          <w:szCs w:val="24"/>
        </w:rPr>
      </w:pPr>
      <w:r w:rsidRPr="007A1A1B">
        <w:rPr>
          <w:rFonts w:ascii="Tahoma" w:hAnsi="Tahoma" w:cs="Tahoma"/>
          <w:b/>
          <w:bCs/>
          <w:sz w:val="24"/>
          <w:szCs w:val="24"/>
        </w:rPr>
        <w:t>ADRIANA PATRICIA DÍAZ RAMÍREZ</w:t>
      </w:r>
    </w:p>
    <w:sectPr w:rsidR="004C0821" w:rsidRPr="007A1A1B" w:rsidSect="007A1A1B">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DE22" w14:textId="77777777" w:rsidR="001521E5" w:rsidRDefault="001521E5" w:rsidP="00E34EB3">
      <w:pPr>
        <w:spacing w:after="0" w:line="240" w:lineRule="auto"/>
      </w:pPr>
      <w:r>
        <w:separator/>
      </w:r>
    </w:p>
  </w:endnote>
  <w:endnote w:type="continuationSeparator" w:id="0">
    <w:p w14:paraId="22653E2F" w14:textId="77777777" w:rsidR="001521E5" w:rsidRDefault="001521E5" w:rsidP="00E3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4994" w14:textId="77777777" w:rsidR="001521E5" w:rsidRDefault="001521E5" w:rsidP="00E34EB3">
      <w:pPr>
        <w:spacing w:after="0" w:line="240" w:lineRule="auto"/>
      </w:pPr>
      <w:r>
        <w:separator/>
      </w:r>
    </w:p>
  </w:footnote>
  <w:footnote w:type="continuationSeparator" w:id="0">
    <w:p w14:paraId="02650800" w14:textId="77777777" w:rsidR="001521E5" w:rsidRDefault="001521E5" w:rsidP="00E34EB3">
      <w:pPr>
        <w:spacing w:after="0" w:line="240" w:lineRule="auto"/>
      </w:pPr>
      <w:r>
        <w:continuationSeparator/>
      </w:r>
    </w:p>
  </w:footnote>
  <w:footnote w:id="1">
    <w:p w14:paraId="3F6D596D" w14:textId="77777777" w:rsidR="00E131B9" w:rsidRPr="00797B7C" w:rsidRDefault="00E131B9" w:rsidP="00797B7C">
      <w:pPr>
        <w:pStyle w:val="Textonotapie"/>
        <w:spacing w:line="240" w:lineRule="auto"/>
        <w:jc w:val="both"/>
        <w:rPr>
          <w:rFonts w:ascii="Arial" w:hAnsi="Arial" w:cs="Arial"/>
          <w:sz w:val="18"/>
        </w:rPr>
      </w:pPr>
      <w:r w:rsidRPr="00797B7C">
        <w:rPr>
          <w:rStyle w:val="Refdenotaalpie"/>
          <w:rFonts w:ascii="Arial" w:hAnsi="Arial" w:cs="Arial"/>
          <w:sz w:val="18"/>
        </w:rPr>
        <w:footnoteRef/>
      </w:r>
      <w:r w:rsidRPr="00797B7C">
        <w:rPr>
          <w:rFonts w:ascii="Arial" w:hAnsi="Arial" w:cs="Arial"/>
          <w:sz w:val="18"/>
        </w:rPr>
        <w:t xml:space="preserve"> CORTE SUPREMA DE JUSTICA. Sala Casación Civil. Auto del 30-08-1984; MP: Humberto Murcia Ballén.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C6D"/>
    <w:multiLevelType w:val="hybridMultilevel"/>
    <w:tmpl w:val="364A1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5" w15:restartNumberingAfterBreak="0">
    <w:nsid w:val="425B63F1"/>
    <w:multiLevelType w:val="hybridMultilevel"/>
    <w:tmpl w:val="FFC6FCF4"/>
    <w:lvl w:ilvl="0" w:tplc="90D4B484">
      <w:start w:val="1"/>
      <w:numFmt w:val="lowerLetter"/>
      <w:lvlText w:val="%1)"/>
      <w:legacy w:legacy="1" w:legacySpace="120" w:legacyIndent="585"/>
      <w:lvlJc w:val="left"/>
      <w:pPr>
        <w:ind w:left="1755" w:hanging="585"/>
      </w:pPr>
    </w:lvl>
    <w:lvl w:ilvl="1" w:tplc="C74AFC4C">
      <w:start w:val="1"/>
      <w:numFmt w:val="lowerLetter"/>
      <w:lvlText w:val="%2."/>
      <w:legacy w:legacy="1" w:legacySpace="120" w:legacyIndent="360"/>
      <w:lvlJc w:val="left"/>
      <w:pPr>
        <w:ind w:left="2115" w:hanging="360"/>
      </w:pPr>
    </w:lvl>
    <w:lvl w:ilvl="2" w:tplc="91CA9D9A">
      <w:start w:val="1"/>
      <w:numFmt w:val="lowerRoman"/>
      <w:lvlText w:val="%3."/>
      <w:legacy w:legacy="1" w:legacySpace="120" w:legacyIndent="180"/>
      <w:lvlJc w:val="left"/>
      <w:pPr>
        <w:ind w:left="2295" w:hanging="180"/>
      </w:pPr>
    </w:lvl>
    <w:lvl w:ilvl="3" w:tplc="91222736">
      <w:start w:val="1"/>
      <w:numFmt w:val="decimal"/>
      <w:lvlText w:val="%4."/>
      <w:legacy w:legacy="1" w:legacySpace="120" w:legacyIndent="360"/>
      <w:lvlJc w:val="left"/>
      <w:pPr>
        <w:ind w:left="1530" w:hanging="360"/>
      </w:pPr>
    </w:lvl>
    <w:lvl w:ilvl="4" w:tplc="A08217C0">
      <w:start w:val="1"/>
      <w:numFmt w:val="lowerLetter"/>
      <w:lvlText w:val="%5."/>
      <w:legacy w:legacy="1" w:legacySpace="120" w:legacyIndent="360"/>
      <w:lvlJc w:val="left"/>
      <w:pPr>
        <w:ind w:left="3015" w:hanging="360"/>
      </w:pPr>
    </w:lvl>
    <w:lvl w:ilvl="5" w:tplc="89723EC4">
      <w:start w:val="1"/>
      <w:numFmt w:val="lowerRoman"/>
      <w:lvlText w:val="%6."/>
      <w:legacy w:legacy="1" w:legacySpace="120" w:legacyIndent="180"/>
      <w:lvlJc w:val="left"/>
      <w:pPr>
        <w:ind w:left="3195" w:hanging="180"/>
      </w:pPr>
    </w:lvl>
    <w:lvl w:ilvl="6" w:tplc="607AB7C0">
      <w:start w:val="1"/>
      <w:numFmt w:val="decimal"/>
      <w:lvlText w:val="%7."/>
      <w:legacy w:legacy="1" w:legacySpace="120" w:legacyIndent="360"/>
      <w:lvlJc w:val="left"/>
      <w:pPr>
        <w:ind w:left="3555" w:hanging="360"/>
      </w:pPr>
    </w:lvl>
    <w:lvl w:ilvl="7" w:tplc="D7F439D0">
      <w:start w:val="1"/>
      <w:numFmt w:val="lowerLetter"/>
      <w:lvlText w:val="%8."/>
      <w:legacy w:legacy="1" w:legacySpace="120" w:legacyIndent="360"/>
      <w:lvlJc w:val="left"/>
      <w:pPr>
        <w:ind w:left="3915" w:hanging="360"/>
      </w:pPr>
    </w:lvl>
    <w:lvl w:ilvl="8" w:tplc="4586A1E0">
      <w:start w:val="1"/>
      <w:numFmt w:val="lowerRoman"/>
      <w:lvlText w:val="%9."/>
      <w:legacy w:legacy="1" w:legacySpace="120" w:legacyIndent="180"/>
      <w:lvlJc w:val="left"/>
      <w:pPr>
        <w:ind w:left="4095" w:hanging="180"/>
      </w:pPr>
    </w:lvl>
  </w:abstractNum>
  <w:abstractNum w:abstractNumId="6" w15:restartNumberingAfterBreak="0">
    <w:nsid w:val="4FEF3D7D"/>
    <w:multiLevelType w:val="hybridMultilevel"/>
    <w:tmpl w:val="93001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FA5EF8"/>
    <w:multiLevelType w:val="hybridMultilevel"/>
    <w:tmpl w:val="44C0C8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574FB9"/>
    <w:multiLevelType w:val="hybridMultilevel"/>
    <w:tmpl w:val="3FCE321C"/>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15:restartNumberingAfterBreak="0">
    <w:nsid w:val="642A7E94"/>
    <w:multiLevelType w:val="hybridMultilevel"/>
    <w:tmpl w:val="BC0A5B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334F69"/>
    <w:multiLevelType w:val="multilevel"/>
    <w:tmpl w:val="6AD01296"/>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A9045B6"/>
    <w:multiLevelType w:val="hybridMultilevel"/>
    <w:tmpl w:val="CAE671C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4" w15:restartNumberingAfterBreak="0">
    <w:nsid w:val="7C162D85"/>
    <w:multiLevelType w:val="hybridMultilevel"/>
    <w:tmpl w:val="27F2D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1"/>
  </w:num>
  <w:num w:numId="12">
    <w:abstractNumId w:val="14"/>
  </w:num>
  <w:num w:numId="13">
    <w:abstractNumId w:val="8"/>
  </w:num>
  <w:num w:numId="14">
    <w:abstractNumId w:val="7"/>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78"/>
    <w:rsid w:val="00013220"/>
    <w:rsid w:val="000A69F3"/>
    <w:rsid w:val="000B0631"/>
    <w:rsid w:val="000B3630"/>
    <w:rsid w:val="000C1845"/>
    <w:rsid w:val="000C246B"/>
    <w:rsid w:val="000F092F"/>
    <w:rsid w:val="001521E5"/>
    <w:rsid w:val="00167E75"/>
    <w:rsid w:val="00182CDF"/>
    <w:rsid w:val="00183DB9"/>
    <w:rsid w:val="001939F0"/>
    <w:rsid w:val="001C1430"/>
    <w:rsid w:val="001F1988"/>
    <w:rsid w:val="0020122B"/>
    <w:rsid w:val="0021316C"/>
    <w:rsid w:val="00257A08"/>
    <w:rsid w:val="002A4BAF"/>
    <w:rsid w:val="002B09BA"/>
    <w:rsid w:val="002C0D72"/>
    <w:rsid w:val="002F1114"/>
    <w:rsid w:val="00336F38"/>
    <w:rsid w:val="003468D1"/>
    <w:rsid w:val="00354D69"/>
    <w:rsid w:val="00382845"/>
    <w:rsid w:val="00395E89"/>
    <w:rsid w:val="003B7575"/>
    <w:rsid w:val="003D196D"/>
    <w:rsid w:val="003F4A62"/>
    <w:rsid w:val="00403A17"/>
    <w:rsid w:val="004223D7"/>
    <w:rsid w:val="0042475F"/>
    <w:rsid w:val="00426B45"/>
    <w:rsid w:val="00464932"/>
    <w:rsid w:val="00490E20"/>
    <w:rsid w:val="00492134"/>
    <w:rsid w:val="004C0821"/>
    <w:rsid w:val="004F7354"/>
    <w:rsid w:val="00557CA8"/>
    <w:rsid w:val="005F4408"/>
    <w:rsid w:val="00665F73"/>
    <w:rsid w:val="0068641C"/>
    <w:rsid w:val="006A54FD"/>
    <w:rsid w:val="006C02FA"/>
    <w:rsid w:val="006C16D6"/>
    <w:rsid w:val="006C6358"/>
    <w:rsid w:val="006D05D2"/>
    <w:rsid w:val="006D1002"/>
    <w:rsid w:val="006D103F"/>
    <w:rsid w:val="006F6153"/>
    <w:rsid w:val="00706A27"/>
    <w:rsid w:val="00735AEB"/>
    <w:rsid w:val="00742294"/>
    <w:rsid w:val="00747B69"/>
    <w:rsid w:val="00782640"/>
    <w:rsid w:val="00783066"/>
    <w:rsid w:val="00797B7C"/>
    <w:rsid w:val="007A1A1B"/>
    <w:rsid w:val="007C2F78"/>
    <w:rsid w:val="007F181B"/>
    <w:rsid w:val="00806E26"/>
    <w:rsid w:val="0082386C"/>
    <w:rsid w:val="008607F4"/>
    <w:rsid w:val="008B5935"/>
    <w:rsid w:val="008D698D"/>
    <w:rsid w:val="0090386C"/>
    <w:rsid w:val="00907664"/>
    <w:rsid w:val="009126BF"/>
    <w:rsid w:val="009258F7"/>
    <w:rsid w:val="0096410A"/>
    <w:rsid w:val="00966531"/>
    <w:rsid w:val="00981B85"/>
    <w:rsid w:val="00A02750"/>
    <w:rsid w:val="00A351EC"/>
    <w:rsid w:val="00A35E80"/>
    <w:rsid w:val="00A37B64"/>
    <w:rsid w:val="00A50C4A"/>
    <w:rsid w:val="00A829CC"/>
    <w:rsid w:val="00AD34CE"/>
    <w:rsid w:val="00AE2E28"/>
    <w:rsid w:val="00AF2772"/>
    <w:rsid w:val="00BD2450"/>
    <w:rsid w:val="00C27EF7"/>
    <w:rsid w:val="00C322E0"/>
    <w:rsid w:val="00C92C3E"/>
    <w:rsid w:val="00CA47F2"/>
    <w:rsid w:val="00CB42F7"/>
    <w:rsid w:val="00CB61AD"/>
    <w:rsid w:val="00CD5967"/>
    <w:rsid w:val="00CF53AF"/>
    <w:rsid w:val="00D039EE"/>
    <w:rsid w:val="00D174B4"/>
    <w:rsid w:val="00D526E3"/>
    <w:rsid w:val="00D54C1B"/>
    <w:rsid w:val="00D55B9A"/>
    <w:rsid w:val="00D60E51"/>
    <w:rsid w:val="00D61527"/>
    <w:rsid w:val="00D851EA"/>
    <w:rsid w:val="00D9662B"/>
    <w:rsid w:val="00DA3C4F"/>
    <w:rsid w:val="00DC5783"/>
    <w:rsid w:val="00DD2DD0"/>
    <w:rsid w:val="00E131B9"/>
    <w:rsid w:val="00E34EB3"/>
    <w:rsid w:val="00E46C04"/>
    <w:rsid w:val="00E60A89"/>
    <w:rsid w:val="00EE7550"/>
    <w:rsid w:val="00EF2D18"/>
    <w:rsid w:val="00F00FB9"/>
    <w:rsid w:val="00F262E2"/>
    <w:rsid w:val="00F35329"/>
    <w:rsid w:val="00F376EB"/>
    <w:rsid w:val="00F5785B"/>
    <w:rsid w:val="00F83069"/>
    <w:rsid w:val="00FB7A61"/>
    <w:rsid w:val="00FF09D6"/>
    <w:rsid w:val="04E5BBD7"/>
    <w:rsid w:val="0766FAFE"/>
    <w:rsid w:val="08A63CEF"/>
    <w:rsid w:val="0A2721E2"/>
    <w:rsid w:val="0B201CCE"/>
    <w:rsid w:val="0BE6043F"/>
    <w:rsid w:val="0F62E78C"/>
    <w:rsid w:val="169F8C87"/>
    <w:rsid w:val="199CA5DE"/>
    <w:rsid w:val="1AED3728"/>
    <w:rsid w:val="2686D512"/>
    <w:rsid w:val="289D8AD6"/>
    <w:rsid w:val="2F6CFC5F"/>
    <w:rsid w:val="3484678B"/>
    <w:rsid w:val="36D2DA6C"/>
    <w:rsid w:val="3E3E14E6"/>
    <w:rsid w:val="409BE9C4"/>
    <w:rsid w:val="44A4A93C"/>
    <w:rsid w:val="452FE2A7"/>
    <w:rsid w:val="4992CFD2"/>
    <w:rsid w:val="4C78B853"/>
    <w:rsid w:val="4E80C5F8"/>
    <w:rsid w:val="4EAA465D"/>
    <w:rsid w:val="50490083"/>
    <w:rsid w:val="50EF9F3F"/>
    <w:rsid w:val="5211014E"/>
    <w:rsid w:val="529DC0C6"/>
    <w:rsid w:val="53E615A4"/>
    <w:rsid w:val="56BDC715"/>
    <w:rsid w:val="58787DFB"/>
    <w:rsid w:val="5C4052B5"/>
    <w:rsid w:val="5E8A0929"/>
    <w:rsid w:val="5E8E8FA1"/>
    <w:rsid w:val="60DCA810"/>
    <w:rsid w:val="60F33FF0"/>
    <w:rsid w:val="63EE5896"/>
    <w:rsid w:val="6FAB4A62"/>
    <w:rsid w:val="7405C080"/>
    <w:rsid w:val="759CDE28"/>
    <w:rsid w:val="75E810CF"/>
    <w:rsid w:val="76949B34"/>
    <w:rsid w:val="76F2F333"/>
    <w:rsid w:val="770BA8F8"/>
    <w:rsid w:val="786BA55B"/>
    <w:rsid w:val="79D7923B"/>
    <w:rsid w:val="7ACB82A8"/>
    <w:rsid w:val="7F94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DE77"/>
  <w15:chartTrackingRefBased/>
  <w15:docId w15:val="{32F18C43-2951-4DBA-AA33-05CA834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F78"/>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C2F78"/>
  </w:style>
  <w:style w:type="character" w:styleId="Hipervnculo">
    <w:name w:val="Hyperlink"/>
    <w:semiHidden/>
    <w:unhideWhenUsed/>
    <w:rsid w:val="007C2F78"/>
    <w:rPr>
      <w:color w:val="0563C1"/>
      <w:u w:val="single"/>
    </w:rPr>
  </w:style>
  <w:style w:type="character" w:customStyle="1" w:styleId="SinespaciadoCar">
    <w:name w:val="Sin espaciado Car"/>
    <w:link w:val="Sinespaciado"/>
    <w:uiPriority w:val="1"/>
    <w:locked/>
    <w:rsid w:val="0096410A"/>
    <w:rPr>
      <w:rFonts w:ascii="Courier New" w:eastAsia="Times New Roman" w:hAnsi="Courier New" w:cs="Courier New"/>
      <w:sz w:val="24"/>
      <w:szCs w:val="24"/>
      <w:lang w:val="es-ES" w:eastAsia="es-ES"/>
    </w:rPr>
  </w:style>
  <w:style w:type="paragraph" w:styleId="Sinespaciado">
    <w:name w:val="No Spacing"/>
    <w:link w:val="SinespaciadoCar"/>
    <w:uiPriority w:val="1"/>
    <w:qFormat/>
    <w:rsid w:val="0096410A"/>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paragraph" w:customStyle="1" w:styleId="paragraph">
    <w:name w:val="paragraph"/>
    <w:basedOn w:val="Normal"/>
    <w:rsid w:val="00403A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403A17"/>
  </w:style>
  <w:style w:type="table" w:styleId="Tablaconcuadrcula">
    <w:name w:val="Table Grid"/>
    <w:basedOn w:val="Tablanormal"/>
    <w:uiPriority w:val="39"/>
    <w:rsid w:val="00CB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Ref,Ref1,4_G"/>
    <w:link w:val="Piedepagina"/>
    <w:uiPriority w:val="99"/>
    <w:qFormat/>
    <w:rsid w:val="00E34EB3"/>
    <w:rPr>
      <w:rFonts w:ascii="Times New Roman" w:hAnsi="Times New Roman"/>
      <w:sz w:val="24"/>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Footnote Text Cha"/>
    <w:basedOn w:val="Normal"/>
    <w:link w:val="TextonotapieCar1"/>
    <w:uiPriority w:val="99"/>
    <w:qFormat/>
    <w:rsid w:val="00E34EB3"/>
    <w:pPr>
      <w:widowControl w:val="0"/>
      <w:tabs>
        <w:tab w:val="left" w:pos="-720"/>
      </w:tabs>
      <w:suppressAutoHyphens/>
      <w:overflowPunct w:val="0"/>
      <w:autoSpaceDE w:val="0"/>
      <w:autoSpaceDN w:val="0"/>
      <w:adjustRightInd w:val="0"/>
      <w:spacing w:after="0" w:line="240" w:lineRule="atLeast"/>
      <w:textAlignment w:val="baseline"/>
    </w:pPr>
    <w:rPr>
      <w:rFonts w:ascii="Courier New" w:eastAsia="Times New Roman" w:hAnsi="Courier New" w:cs="Times New Roman"/>
      <w:sz w:val="24"/>
      <w:szCs w:val="20"/>
      <w:lang w:val="es-ES" w:eastAsia="es-ES"/>
    </w:rPr>
  </w:style>
  <w:style w:type="character" w:customStyle="1" w:styleId="TextonotapieCar">
    <w:name w:val="Texto nota pie Car"/>
    <w:aliases w:val="Footnote Text Cha Car,FA Fußnotentext Car,FA Fuﬂnotentext Car,texto de nota al p Car,Ref. de nota al pie1 Car,Footnote Text Char Char Char Char Char Char Char Char Car"/>
    <w:basedOn w:val="Fuentedeprrafopredeter"/>
    <w:uiPriority w:val="99"/>
    <w:rsid w:val="00E34EB3"/>
    <w:rPr>
      <w:sz w:val="20"/>
      <w:szCs w:val="20"/>
      <w:lang w:val="es-CO"/>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1"/>
    <w:link w:val="Textonotapie"/>
    <w:uiPriority w:val="99"/>
    <w:locked/>
    <w:rsid w:val="00E34EB3"/>
    <w:rPr>
      <w:rFonts w:ascii="Courier New" w:eastAsia="Times New Roman" w:hAnsi="Courier New" w:cs="Times New Roman"/>
      <w:sz w:val="24"/>
      <w:szCs w:val="20"/>
      <w:lang w:val="es-ES" w:eastAsia="es-ES"/>
    </w:rPr>
  </w:style>
  <w:style w:type="paragraph" w:customStyle="1" w:styleId="Default">
    <w:name w:val="Default"/>
    <w:rsid w:val="00E34EB3"/>
    <w:pPr>
      <w:autoSpaceDE w:val="0"/>
      <w:autoSpaceDN w:val="0"/>
      <w:adjustRightInd w:val="0"/>
      <w:spacing w:after="0" w:line="240" w:lineRule="auto"/>
    </w:pPr>
    <w:rPr>
      <w:rFonts w:ascii="Verdana" w:eastAsia="Times New Roman" w:hAnsi="Verdana" w:cs="Verdana"/>
      <w:color w:val="000000"/>
      <w:sz w:val="24"/>
      <w:szCs w:val="24"/>
      <w:lang w:eastAsia="es-CO"/>
    </w:rPr>
  </w:style>
  <w:style w:type="paragraph" w:styleId="Prrafodelista">
    <w:name w:val="List Paragraph"/>
    <w:basedOn w:val="Normal"/>
    <w:uiPriority w:val="34"/>
    <w:qFormat/>
    <w:rsid w:val="00013220"/>
    <w:pPr>
      <w:spacing w:line="259" w:lineRule="auto"/>
      <w:ind w:left="720"/>
      <w:contextualSpacing/>
    </w:pPr>
    <w:rPr>
      <w:rFonts w:ascii="Calibri" w:eastAsia="Calibri" w:hAnsi="Calibri" w:cs="Times New Roman"/>
      <w:lang w:val="es-419"/>
    </w:rPr>
  </w:style>
  <w:style w:type="paragraph" w:customStyle="1" w:styleId="Piedepagina">
    <w:name w:val="Pie de pagina"/>
    <w:basedOn w:val="Normal"/>
    <w:link w:val="Refdenotaalpie"/>
    <w:uiPriority w:val="99"/>
    <w:rsid w:val="00013220"/>
    <w:pPr>
      <w:spacing w:line="240" w:lineRule="exact"/>
    </w:pPr>
    <w:rPr>
      <w:rFonts w:ascii="Times New Roman" w:hAnsi="Times New Roman"/>
      <w:sz w:val="24"/>
      <w:vertAlign w:val="superscript"/>
      <w:lang w:val="en-US"/>
    </w:rPr>
  </w:style>
  <w:style w:type="paragraph" w:styleId="Textoindependiente">
    <w:name w:val="Body Text"/>
    <w:aliases w:val="Car"/>
    <w:basedOn w:val="Normal"/>
    <w:link w:val="TextoindependienteCar"/>
    <w:uiPriority w:val="99"/>
    <w:rsid w:val="000132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4"/>
      <w:szCs w:val="20"/>
      <w:lang w:val="es-ES_tradnl" w:eastAsia="es-ES"/>
    </w:rPr>
  </w:style>
  <w:style w:type="character" w:customStyle="1" w:styleId="TextoindependienteCar">
    <w:name w:val="Texto independiente Car"/>
    <w:aliases w:val="Car Car"/>
    <w:basedOn w:val="Fuentedeprrafopredeter"/>
    <w:link w:val="Textoindependiente"/>
    <w:uiPriority w:val="99"/>
    <w:rsid w:val="00013220"/>
    <w:rPr>
      <w:rFonts w:ascii="Verdana" w:eastAsia="Times New Roman" w:hAnsi="Verdana" w:cs="Times New Roman"/>
      <w:spacing w:val="-3"/>
      <w:sz w:val="24"/>
      <w:szCs w:val="20"/>
      <w:lang w:val="es-ES_tradnl" w:eastAsia="es-ES"/>
    </w:rPr>
  </w:style>
  <w:style w:type="paragraph" w:customStyle="1" w:styleId="Textopredeterminado">
    <w:name w:val="Texto predeterminado"/>
    <w:basedOn w:val="Normal"/>
    <w:uiPriority w:val="99"/>
    <w:rsid w:val="0001322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Cuerpodeltexto">
    <w:name w:val="Cuerpo del texto_"/>
    <w:basedOn w:val="Fuentedeprrafopredeter"/>
    <w:link w:val="Cuerpodeltexto0"/>
    <w:locked/>
    <w:rsid w:val="00013220"/>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013220"/>
    <w:pPr>
      <w:widowControl w:val="0"/>
      <w:shd w:val="clear" w:color="auto" w:fill="FFFFFF"/>
      <w:spacing w:after="300" w:line="364" w:lineRule="exact"/>
      <w:jc w:val="both"/>
    </w:pPr>
    <w:rPr>
      <w:rFonts w:ascii="Tahoma" w:eastAsia="Tahoma" w:hAnsi="Tahoma" w:cs="Tahoma"/>
      <w:sz w:val="21"/>
      <w:szCs w:val="21"/>
      <w:lang w:val="en-US"/>
    </w:rPr>
  </w:style>
  <w:style w:type="character" w:customStyle="1" w:styleId="apple-converted-space">
    <w:name w:val="apple-converted-space"/>
    <w:rsid w:val="00183DB9"/>
  </w:style>
  <w:style w:type="character" w:styleId="Textoennegrita">
    <w:name w:val="Strong"/>
    <w:basedOn w:val="Fuentedeprrafopredeter"/>
    <w:uiPriority w:val="22"/>
    <w:qFormat/>
    <w:rsid w:val="006D103F"/>
    <w:rPr>
      <w:b/>
      <w:bCs/>
    </w:rPr>
  </w:style>
  <w:style w:type="paragraph" w:customStyle="1" w:styleId="indentfl1punto5">
    <w:name w:val="indent_fl_1punto5"/>
    <w:basedOn w:val="Normal"/>
    <w:rsid w:val="006D10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1">
    <w:name w:val="Sin espaciado Car1"/>
    <w:uiPriority w:val="1"/>
    <w:locked/>
    <w:rsid w:val="004C0821"/>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5047">
      <w:bodyDiv w:val="1"/>
      <w:marLeft w:val="0"/>
      <w:marRight w:val="0"/>
      <w:marTop w:val="0"/>
      <w:marBottom w:val="0"/>
      <w:divBdr>
        <w:top w:val="none" w:sz="0" w:space="0" w:color="auto"/>
        <w:left w:val="none" w:sz="0" w:space="0" w:color="auto"/>
        <w:bottom w:val="none" w:sz="0" w:space="0" w:color="auto"/>
        <w:right w:val="none" w:sz="0" w:space="0" w:color="auto"/>
      </w:divBdr>
    </w:div>
    <w:div w:id="1131443438">
      <w:bodyDiv w:val="1"/>
      <w:marLeft w:val="0"/>
      <w:marRight w:val="0"/>
      <w:marTop w:val="0"/>
      <w:marBottom w:val="0"/>
      <w:divBdr>
        <w:top w:val="none" w:sz="0" w:space="0" w:color="auto"/>
        <w:left w:val="none" w:sz="0" w:space="0" w:color="auto"/>
        <w:bottom w:val="none" w:sz="0" w:space="0" w:color="auto"/>
        <w:right w:val="none" w:sz="0" w:space="0" w:color="auto"/>
      </w:divBdr>
    </w:div>
    <w:div w:id="1450783556">
      <w:bodyDiv w:val="1"/>
      <w:marLeft w:val="0"/>
      <w:marRight w:val="0"/>
      <w:marTop w:val="0"/>
      <w:marBottom w:val="0"/>
      <w:divBdr>
        <w:top w:val="none" w:sz="0" w:space="0" w:color="auto"/>
        <w:left w:val="none" w:sz="0" w:space="0" w:color="auto"/>
        <w:bottom w:val="none" w:sz="0" w:space="0" w:color="auto"/>
        <w:right w:val="none" w:sz="0" w:space="0" w:color="auto"/>
      </w:divBdr>
      <w:divsChild>
        <w:div w:id="2128424541">
          <w:marLeft w:val="0"/>
          <w:marRight w:val="0"/>
          <w:marTop w:val="0"/>
          <w:marBottom w:val="0"/>
          <w:divBdr>
            <w:top w:val="none" w:sz="0" w:space="0" w:color="auto"/>
            <w:left w:val="none" w:sz="0" w:space="0" w:color="auto"/>
            <w:bottom w:val="none" w:sz="0" w:space="0" w:color="auto"/>
            <w:right w:val="none" w:sz="0" w:space="0" w:color="auto"/>
          </w:divBdr>
        </w:div>
        <w:div w:id="1260067664">
          <w:marLeft w:val="0"/>
          <w:marRight w:val="0"/>
          <w:marTop w:val="0"/>
          <w:marBottom w:val="0"/>
          <w:divBdr>
            <w:top w:val="none" w:sz="0" w:space="0" w:color="auto"/>
            <w:left w:val="none" w:sz="0" w:space="0" w:color="auto"/>
            <w:bottom w:val="none" w:sz="0" w:space="0" w:color="auto"/>
            <w:right w:val="none" w:sz="0" w:space="0" w:color="auto"/>
          </w:divBdr>
        </w:div>
      </w:divsChild>
    </w:div>
    <w:div w:id="1657150944">
      <w:bodyDiv w:val="1"/>
      <w:marLeft w:val="0"/>
      <w:marRight w:val="0"/>
      <w:marTop w:val="0"/>
      <w:marBottom w:val="0"/>
      <w:divBdr>
        <w:top w:val="none" w:sz="0" w:space="0" w:color="auto"/>
        <w:left w:val="none" w:sz="0" w:space="0" w:color="auto"/>
        <w:bottom w:val="none" w:sz="0" w:space="0" w:color="auto"/>
        <w:right w:val="none" w:sz="0" w:space="0" w:color="auto"/>
      </w:divBdr>
    </w:div>
    <w:div w:id="1741515970">
      <w:bodyDiv w:val="1"/>
      <w:marLeft w:val="0"/>
      <w:marRight w:val="0"/>
      <w:marTop w:val="0"/>
      <w:marBottom w:val="0"/>
      <w:divBdr>
        <w:top w:val="none" w:sz="0" w:space="0" w:color="auto"/>
        <w:left w:val="none" w:sz="0" w:space="0" w:color="auto"/>
        <w:bottom w:val="none" w:sz="0" w:space="0" w:color="auto"/>
        <w:right w:val="none" w:sz="0" w:space="0" w:color="auto"/>
      </w:divBdr>
    </w:div>
    <w:div w:id="1975014208">
      <w:bodyDiv w:val="1"/>
      <w:marLeft w:val="0"/>
      <w:marRight w:val="0"/>
      <w:marTop w:val="0"/>
      <w:marBottom w:val="0"/>
      <w:divBdr>
        <w:top w:val="none" w:sz="0" w:space="0" w:color="auto"/>
        <w:left w:val="none" w:sz="0" w:space="0" w:color="auto"/>
        <w:bottom w:val="none" w:sz="0" w:space="0" w:color="auto"/>
        <w:right w:val="none" w:sz="0" w:space="0" w:color="auto"/>
      </w:divBdr>
      <w:divsChild>
        <w:div w:id="481965152">
          <w:marLeft w:val="0"/>
          <w:marRight w:val="0"/>
          <w:marTop w:val="0"/>
          <w:marBottom w:val="0"/>
          <w:divBdr>
            <w:top w:val="none" w:sz="0" w:space="0" w:color="auto"/>
            <w:left w:val="none" w:sz="0" w:space="0" w:color="auto"/>
            <w:bottom w:val="none" w:sz="0" w:space="0" w:color="auto"/>
            <w:right w:val="none" w:sz="0" w:space="0" w:color="auto"/>
          </w:divBdr>
        </w:div>
        <w:div w:id="1325940391">
          <w:marLeft w:val="0"/>
          <w:marRight w:val="0"/>
          <w:marTop w:val="0"/>
          <w:marBottom w:val="0"/>
          <w:divBdr>
            <w:top w:val="none" w:sz="0" w:space="0" w:color="auto"/>
            <w:left w:val="none" w:sz="0" w:space="0" w:color="auto"/>
            <w:bottom w:val="none" w:sz="0" w:space="0" w:color="auto"/>
            <w:right w:val="none" w:sz="0" w:space="0" w:color="auto"/>
          </w:divBdr>
        </w:div>
        <w:div w:id="651250341">
          <w:marLeft w:val="0"/>
          <w:marRight w:val="0"/>
          <w:marTop w:val="0"/>
          <w:marBottom w:val="0"/>
          <w:divBdr>
            <w:top w:val="none" w:sz="0" w:space="0" w:color="auto"/>
            <w:left w:val="none" w:sz="0" w:space="0" w:color="auto"/>
            <w:bottom w:val="none" w:sz="0" w:space="0" w:color="auto"/>
            <w:right w:val="none" w:sz="0" w:space="0" w:color="auto"/>
          </w:divBdr>
        </w:div>
        <w:div w:id="83434164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 w:id="768887470">
          <w:marLeft w:val="0"/>
          <w:marRight w:val="0"/>
          <w:marTop w:val="0"/>
          <w:marBottom w:val="0"/>
          <w:divBdr>
            <w:top w:val="none" w:sz="0" w:space="0" w:color="auto"/>
            <w:left w:val="none" w:sz="0" w:space="0" w:color="auto"/>
            <w:bottom w:val="none" w:sz="0" w:space="0" w:color="auto"/>
            <w:right w:val="none" w:sz="0" w:space="0" w:color="auto"/>
          </w:divBdr>
        </w:div>
        <w:div w:id="298220032">
          <w:marLeft w:val="0"/>
          <w:marRight w:val="0"/>
          <w:marTop w:val="0"/>
          <w:marBottom w:val="0"/>
          <w:divBdr>
            <w:top w:val="none" w:sz="0" w:space="0" w:color="auto"/>
            <w:left w:val="none" w:sz="0" w:space="0" w:color="auto"/>
            <w:bottom w:val="none" w:sz="0" w:space="0" w:color="auto"/>
            <w:right w:val="none" w:sz="0" w:space="0" w:color="auto"/>
          </w:divBdr>
        </w:div>
        <w:div w:id="88700178">
          <w:marLeft w:val="0"/>
          <w:marRight w:val="0"/>
          <w:marTop w:val="0"/>
          <w:marBottom w:val="0"/>
          <w:divBdr>
            <w:top w:val="none" w:sz="0" w:space="0" w:color="auto"/>
            <w:left w:val="none" w:sz="0" w:space="0" w:color="auto"/>
            <w:bottom w:val="none" w:sz="0" w:space="0" w:color="auto"/>
            <w:right w:val="none" w:sz="0" w:space="0" w:color="auto"/>
          </w:divBdr>
        </w:div>
        <w:div w:id="159901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6F13-C5A5-47CD-BA39-9F4AA82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2173B-DBA0-40C0-A09A-F723277B87A5}">
  <ds:schemaRefs>
    <ds:schemaRef ds:uri="http://schemas.microsoft.com/sharepoint/v3/contenttype/forms"/>
  </ds:schemaRefs>
</ds:datastoreItem>
</file>

<file path=customXml/itemProps3.xml><?xml version="1.0" encoding="utf-8"?>
<ds:datastoreItem xmlns:ds="http://schemas.openxmlformats.org/officeDocument/2006/customXml" ds:itemID="{594E214D-2BCD-43BD-986B-C87059DF5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B5021-2E5D-4381-B914-F639AA84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7</cp:revision>
  <cp:lastPrinted>2020-11-25T15:40:00Z</cp:lastPrinted>
  <dcterms:created xsi:type="dcterms:W3CDTF">2021-05-03T15:36:00Z</dcterms:created>
  <dcterms:modified xsi:type="dcterms:W3CDTF">2021-09-17T12:28:00Z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