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1EDC" w14:textId="77777777" w:rsidR="0014373F" w:rsidRPr="0014373F" w:rsidRDefault="0014373F" w:rsidP="0014373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14373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989F42" w14:textId="77777777" w:rsidR="0014373F" w:rsidRPr="0014373F" w:rsidRDefault="0014373F" w:rsidP="0014373F">
      <w:pPr>
        <w:jc w:val="both"/>
        <w:rPr>
          <w:rFonts w:ascii="Arial" w:hAnsi="Arial" w:cs="Arial"/>
          <w:sz w:val="20"/>
          <w:szCs w:val="20"/>
          <w:lang w:val="es-419"/>
        </w:rPr>
      </w:pPr>
    </w:p>
    <w:p w14:paraId="67228FCD" w14:textId="22CC5EFF" w:rsidR="0014373F" w:rsidRPr="0014373F" w:rsidRDefault="00252518" w:rsidP="0014373F">
      <w:pPr>
        <w:jc w:val="both"/>
        <w:rPr>
          <w:rFonts w:ascii="Arial" w:hAnsi="Arial" w:cs="Arial"/>
          <w:b/>
          <w:bCs/>
          <w:iCs/>
          <w:sz w:val="20"/>
          <w:szCs w:val="20"/>
          <w:lang w:val="es-419" w:eastAsia="fr-FR"/>
        </w:rPr>
      </w:pPr>
      <w:r w:rsidRPr="0014373F">
        <w:rPr>
          <w:rFonts w:ascii="Arial" w:hAnsi="Arial" w:cs="Arial"/>
          <w:b/>
          <w:bCs/>
          <w:iCs/>
          <w:sz w:val="20"/>
          <w:szCs w:val="20"/>
          <w:u w:val="single"/>
          <w:lang w:val="es-419" w:eastAsia="fr-FR"/>
        </w:rPr>
        <w:t>TEMAS:</w:t>
      </w:r>
      <w:r w:rsidRPr="0014373F">
        <w:rPr>
          <w:rFonts w:ascii="Arial" w:hAnsi="Arial" w:cs="Arial"/>
          <w:b/>
          <w:bCs/>
          <w:iCs/>
          <w:sz w:val="20"/>
          <w:szCs w:val="20"/>
          <w:lang w:val="es-419" w:eastAsia="fr-FR"/>
        </w:rPr>
        <w:tab/>
      </w:r>
      <w:r>
        <w:rPr>
          <w:rFonts w:ascii="Arial" w:hAnsi="Arial" w:cs="Arial"/>
          <w:b/>
          <w:bCs/>
          <w:iCs/>
          <w:sz w:val="20"/>
          <w:szCs w:val="20"/>
          <w:lang w:val="es-419" w:eastAsia="fr-FR"/>
        </w:rPr>
        <w:t xml:space="preserve">DESISTIMIENTO TÁCITO / </w:t>
      </w:r>
      <w:r w:rsidRPr="0014373F">
        <w:rPr>
          <w:rFonts w:ascii="Arial" w:hAnsi="Arial" w:cs="Arial"/>
          <w:b/>
          <w:sz w:val="20"/>
          <w:szCs w:val="20"/>
          <w:lang w:val="es-419"/>
        </w:rPr>
        <w:t>SU</w:t>
      </w:r>
      <w:r>
        <w:rPr>
          <w:rFonts w:ascii="Arial" w:hAnsi="Arial" w:cs="Arial"/>
          <w:b/>
          <w:sz w:val="20"/>
          <w:szCs w:val="20"/>
          <w:lang w:val="es-419"/>
        </w:rPr>
        <w:t xml:space="preserve"> APLICACIÓN NO ES GENERALIZADA / EXCEPCIONES: PROCESOS DE SUCESIÓN Y LIQUIDACIÓN DE SOCIEDAD CONYUGAL O PATRIMONIAL / IMPLICARÍA VULNERACIÓN DEL DERECHO AL DEBIDO PROCESO.</w:t>
      </w:r>
    </w:p>
    <w:p w14:paraId="33F3A0BD" w14:textId="77777777" w:rsidR="0014373F" w:rsidRPr="0014373F" w:rsidRDefault="0014373F" w:rsidP="0014373F">
      <w:pPr>
        <w:jc w:val="both"/>
        <w:rPr>
          <w:rFonts w:ascii="Arial" w:hAnsi="Arial" w:cs="Arial"/>
          <w:sz w:val="20"/>
          <w:szCs w:val="20"/>
          <w:lang w:val="es-419"/>
        </w:rPr>
      </w:pPr>
    </w:p>
    <w:p w14:paraId="246A3067" w14:textId="2E24F57E" w:rsidR="0014373F" w:rsidRPr="0014373F" w:rsidRDefault="00C749F6" w:rsidP="0014373F">
      <w:pPr>
        <w:jc w:val="both"/>
        <w:rPr>
          <w:rFonts w:ascii="Arial" w:hAnsi="Arial" w:cs="Arial"/>
          <w:sz w:val="20"/>
          <w:szCs w:val="20"/>
          <w:lang w:val="es-419"/>
        </w:rPr>
      </w:pPr>
      <w:r>
        <w:rPr>
          <w:rFonts w:ascii="Arial" w:hAnsi="Arial" w:cs="Arial"/>
          <w:sz w:val="20"/>
          <w:szCs w:val="20"/>
          <w:lang w:val="es-419"/>
        </w:rPr>
        <w:t xml:space="preserve">… </w:t>
      </w:r>
      <w:r w:rsidR="00142B97" w:rsidRPr="00142B97">
        <w:rPr>
          <w:rFonts w:ascii="Arial" w:hAnsi="Arial" w:cs="Arial"/>
          <w:sz w:val="20"/>
          <w:szCs w:val="20"/>
          <w:lang w:val="es-419"/>
        </w:rPr>
        <w:t>aun cuando la terminación por desistimiento tácito procede, en principio, en cualquier actuación de cualquier naturaleza, lo cierto es que “… la jurisprudencia ha evidenciado que en algunos asuntos puede llegar a presentarse un grado mayor de afectación de derechos con la terminación anormal, por lo que ha fijado ciertas excepciones, tales como las sucesiones, liquidación de sociedad conyugal o patrimonial, asuntos donde se puedan ver afectados los derechos de menores, entre otros.”</w:t>
      </w:r>
    </w:p>
    <w:p w14:paraId="18CFACAC" w14:textId="77777777" w:rsidR="0014373F" w:rsidRPr="0014373F" w:rsidRDefault="0014373F" w:rsidP="0014373F">
      <w:pPr>
        <w:jc w:val="both"/>
        <w:rPr>
          <w:rFonts w:ascii="Arial" w:hAnsi="Arial" w:cs="Arial"/>
          <w:sz w:val="20"/>
          <w:szCs w:val="20"/>
          <w:lang w:val="es-419"/>
        </w:rPr>
      </w:pPr>
    </w:p>
    <w:p w14:paraId="7220005F" w14:textId="6D6E5661" w:rsidR="0014373F" w:rsidRPr="0014373F" w:rsidRDefault="00C749F6" w:rsidP="0014373F">
      <w:pPr>
        <w:jc w:val="both"/>
        <w:rPr>
          <w:rFonts w:ascii="Arial" w:hAnsi="Arial" w:cs="Arial"/>
          <w:sz w:val="20"/>
          <w:szCs w:val="20"/>
          <w:lang w:val="es-419"/>
        </w:rPr>
      </w:pPr>
      <w:r w:rsidRPr="00C749F6">
        <w:rPr>
          <w:rFonts w:ascii="Arial" w:hAnsi="Arial" w:cs="Arial"/>
          <w:sz w:val="20"/>
          <w:szCs w:val="20"/>
          <w:lang w:val="es-419"/>
        </w:rPr>
        <w:t>Así las cosas, en casos puntuales que han sido definidos por la jurisprudencia de la Sala de Casación Civil de la Corte Suprema de Justicia, esta especie de terminación anormal no resulta procedente y su aplicación puede llegar a considerarse contraria al derecho fundamental del debido proceso, incluso de ambas partes por tratarse de un asunto que, aun siendo contenciosos, por su objeto (liquidación de comunidades) interesa a todos los extremos del litigio.</w:t>
      </w:r>
    </w:p>
    <w:p w14:paraId="50BB3E10" w14:textId="77777777" w:rsidR="0014373F" w:rsidRPr="0014373F" w:rsidRDefault="0014373F" w:rsidP="0014373F">
      <w:pPr>
        <w:jc w:val="both"/>
        <w:rPr>
          <w:rFonts w:ascii="Arial" w:hAnsi="Arial" w:cs="Arial"/>
          <w:sz w:val="20"/>
          <w:szCs w:val="20"/>
          <w:lang w:val="es-419"/>
        </w:rPr>
      </w:pPr>
    </w:p>
    <w:p w14:paraId="3A48C7E6" w14:textId="77777777" w:rsidR="0014373F" w:rsidRPr="0014373F" w:rsidRDefault="0014373F" w:rsidP="0014373F">
      <w:pPr>
        <w:jc w:val="both"/>
        <w:rPr>
          <w:rFonts w:ascii="Arial" w:hAnsi="Arial" w:cs="Arial"/>
          <w:sz w:val="20"/>
          <w:szCs w:val="20"/>
          <w:lang w:val="es-419"/>
        </w:rPr>
      </w:pPr>
    </w:p>
    <w:p w14:paraId="7399F5F1" w14:textId="77777777" w:rsidR="0014373F" w:rsidRPr="0014373F" w:rsidRDefault="0014373F" w:rsidP="0014373F">
      <w:pPr>
        <w:jc w:val="both"/>
        <w:rPr>
          <w:rFonts w:ascii="Arial" w:hAnsi="Arial" w:cs="Arial"/>
          <w:sz w:val="20"/>
          <w:szCs w:val="20"/>
          <w:lang w:val="es-ES"/>
        </w:rPr>
      </w:pPr>
    </w:p>
    <w:bookmarkEnd w:id="0"/>
    <w:p w14:paraId="63E2F1AC" w14:textId="77777777" w:rsidR="00285508" w:rsidRPr="00295947" w:rsidRDefault="00285508" w:rsidP="0028550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145E374B" w14:textId="77777777" w:rsidR="00285508" w:rsidRPr="00295947" w:rsidRDefault="00285508" w:rsidP="00285508">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56585A4C" wp14:editId="168D07BA">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7D7BE99F" w14:textId="77777777" w:rsidR="00285508" w:rsidRPr="00295947" w:rsidRDefault="00285508" w:rsidP="0028550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15BE6D81" w14:textId="77777777" w:rsidR="00285508" w:rsidRPr="00295947" w:rsidRDefault="00285508" w:rsidP="0028550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457BA157" w14:textId="77777777" w:rsidR="00285508" w:rsidRPr="00295947" w:rsidRDefault="00285508" w:rsidP="00285508">
      <w:pPr>
        <w:tabs>
          <w:tab w:val="left" w:pos="-720"/>
        </w:tabs>
        <w:spacing w:line="276" w:lineRule="auto"/>
        <w:jc w:val="center"/>
        <w:rPr>
          <w:rFonts w:ascii="Arial Narrow" w:hAnsi="Arial Narrow"/>
          <w:b/>
          <w:bCs/>
          <w:spacing w:val="-3"/>
          <w:sz w:val="26"/>
          <w:szCs w:val="26"/>
        </w:rPr>
      </w:pPr>
    </w:p>
    <w:p w14:paraId="32E95847" w14:textId="77777777" w:rsidR="00285508" w:rsidRPr="00295947" w:rsidRDefault="00285508" w:rsidP="00285508">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3CEC752F" w14:textId="77777777" w:rsidR="00285508" w:rsidRPr="00295947" w:rsidRDefault="00285508"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0A9E25FF" w14:textId="0E2F79BF" w:rsidR="00476BB5" w:rsidRPr="00285508" w:rsidRDefault="00596A26"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285508">
        <w:rPr>
          <w:rFonts w:ascii="Arial Narrow" w:hAnsi="Arial Narrow" w:cs="Arial Narrow"/>
          <w:color w:val="auto"/>
          <w:sz w:val="26"/>
          <w:szCs w:val="26"/>
          <w:lang w:val="es-ES"/>
        </w:rPr>
        <w:t>Ju</w:t>
      </w:r>
      <w:r w:rsidR="00DB76CA" w:rsidRPr="00285508">
        <w:rPr>
          <w:rFonts w:ascii="Arial Narrow" w:hAnsi="Arial Narrow" w:cs="Arial Narrow"/>
          <w:color w:val="auto"/>
          <w:sz w:val="26"/>
          <w:szCs w:val="26"/>
          <w:lang w:val="es-ES"/>
        </w:rPr>
        <w:t>l</w:t>
      </w:r>
      <w:r w:rsidRPr="00285508">
        <w:rPr>
          <w:rFonts w:ascii="Arial Narrow" w:hAnsi="Arial Narrow" w:cs="Arial Narrow"/>
          <w:color w:val="auto"/>
          <w:sz w:val="26"/>
          <w:szCs w:val="26"/>
          <w:lang w:val="es-ES"/>
        </w:rPr>
        <w:t xml:space="preserve">io </w:t>
      </w:r>
      <w:r w:rsidR="00DB76CA" w:rsidRPr="00285508">
        <w:rPr>
          <w:rFonts w:ascii="Arial Narrow" w:hAnsi="Arial Narrow" w:cs="Arial Narrow"/>
          <w:color w:val="auto"/>
          <w:sz w:val="26"/>
          <w:szCs w:val="26"/>
          <w:lang w:val="es-ES"/>
        </w:rPr>
        <w:t xml:space="preserve">seis </w:t>
      </w:r>
      <w:r w:rsidR="00476BB5" w:rsidRPr="00285508">
        <w:rPr>
          <w:rFonts w:ascii="Arial Narrow" w:hAnsi="Arial Narrow" w:cs="Arial Narrow"/>
          <w:color w:val="auto"/>
          <w:sz w:val="26"/>
          <w:szCs w:val="26"/>
          <w:lang w:val="es-ES"/>
        </w:rPr>
        <w:t>(</w:t>
      </w:r>
      <w:r w:rsidR="00DB76CA" w:rsidRPr="00285508">
        <w:rPr>
          <w:rFonts w:ascii="Arial Narrow" w:hAnsi="Arial Narrow" w:cs="Arial Narrow"/>
          <w:color w:val="auto"/>
          <w:sz w:val="26"/>
          <w:szCs w:val="26"/>
          <w:lang w:val="es-ES"/>
        </w:rPr>
        <w:t>06</w:t>
      </w:r>
      <w:r w:rsidR="00476BB5" w:rsidRPr="00285508">
        <w:rPr>
          <w:rFonts w:ascii="Arial Narrow" w:hAnsi="Arial Narrow" w:cs="Arial Narrow"/>
          <w:color w:val="auto"/>
          <w:sz w:val="26"/>
          <w:szCs w:val="26"/>
          <w:lang w:val="es-ES"/>
        </w:rPr>
        <w:t>) de dos mil veintiuno (2.021)</w:t>
      </w:r>
    </w:p>
    <w:p w14:paraId="1953A6E5" w14:textId="77777777" w:rsidR="00BD15C3" w:rsidRPr="0014373F" w:rsidRDefault="00BD15C3"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tblGrid>
      <w:tr w:rsidR="00476BB5" w:rsidRPr="00285508" w14:paraId="169AF59C" w14:textId="77777777" w:rsidTr="00476BB5">
        <w:tc>
          <w:tcPr>
            <w:tcW w:w="1980" w:type="dxa"/>
          </w:tcPr>
          <w:p w14:paraId="7C34AB64" w14:textId="4E2D4BED" w:rsidR="00476BB5" w:rsidRPr="00285508" w:rsidRDefault="00476BB5"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 xml:space="preserve">Radicación No.: </w:t>
            </w:r>
          </w:p>
        </w:tc>
        <w:tc>
          <w:tcPr>
            <w:tcW w:w="6237" w:type="dxa"/>
          </w:tcPr>
          <w:p w14:paraId="0BA01038" w14:textId="61564CF7" w:rsidR="00476BB5" w:rsidRPr="00285508" w:rsidRDefault="009A5D16"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sz w:val="24"/>
                <w:szCs w:val="26"/>
                <w:lang w:val="es-ES"/>
              </w:rPr>
              <w:t>66001311000320150067501</w:t>
            </w:r>
          </w:p>
        </w:tc>
      </w:tr>
      <w:tr w:rsidR="00476BB5" w:rsidRPr="00285508" w14:paraId="7C52682C" w14:textId="77777777" w:rsidTr="00476BB5">
        <w:tc>
          <w:tcPr>
            <w:tcW w:w="1980" w:type="dxa"/>
          </w:tcPr>
          <w:p w14:paraId="3EEBDB0A" w14:textId="1E4B8BF5" w:rsidR="00476BB5" w:rsidRPr="00285508" w:rsidRDefault="00476BB5"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Asunto:</w:t>
            </w:r>
          </w:p>
        </w:tc>
        <w:tc>
          <w:tcPr>
            <w:tcW w:w="6237" w:type="dxa"/>
          </w:tcPr>
          <w:p w14:paraId="793EE133" w14:textId="4CD6437C" w:rsidR="00476BB5" w:rsidRPr="00285508" w:rsidRDefault="009A5D16" w:rsidP="00285508">
            <w:pPr>
              <w:pStyle w:val="Encabezado"/>
              <w:ind w:left="34" w:hanging="34"/>
              <w:rPr>
                <w:rFonts w:ascii="Arial Narrow" w:hAnsi="Arial Narrow" w:cs="Arial Narrow"/>
                <w:bCs/>
                <w:szCs w:val="26"/>
              </w:rPr>
            </w:pPr>
            <w:r w:rsidRPr="00285508">
              <w:rPr>
                <w:rFonts w:ascii="Arial Narrow" w:hAnsi="Arial Narrow" w:cs="Arial Narrow"/>
                <w:bCs/>
                <w:szCs w:val="26"/>
                <w:lang w:val="es-ES" w:eastAsia="es-MX"/>
              </w:rPr>
              <w:t>Sucesión</w:t>
            </w:r>
            <w:r w:rsidR="006632AD" w:rsidRPr="00285508">
              <w:rPr>
                <w:rFonts w:ascii="Arial Narrow" w:hAnsi="Arial Narrow" w:cs="Arial Narrow"/>
                <w:bCs/>
                <w:szCs w:val="26"/>
                <w:lang w:val="es-ES" w:eastAsia="es-MX"/>
              </w:rPr>
              <w:t xml:space="preserve"> </w:t>
            </w:r>
            <w:r w:rsidR="00476BB5" w:rsidRPr="00285508">
              <w:rPr>
                <w:rFonts w:ascii="Arial Narrow" w:hAnsi="Arial Narrow" w:cs="Arial Narrow"/>
                <w:bCs/>
                <w:szCs w:val="26"/>
                <w:lang w:val="es-ES" w:eastAsia="es-MX"/>
              </w:rPr>
              <w:t xml:space="preserve">– Apelación </w:t>
            </w:r>
            <w:r w:rsidR="00F1293D" w:rsidRPr="00285508">
              <w:rPr>
                <w:rFonts w:ascii="Arial Narrow" w:hAnsi="Arial Narrow" w:cs="Arial Narrow"/>
                <w:bCs/>
                <w:szCs w:val="26"/>
                <w:lang w:val="es-ES" w:eastAsia="es-MX"/>
              </w:rPr>
              <w:t>d</w:t>
            </w:r>
            <w:r w:rsidR="00476BB5" w:rsidRPr="00285508">
              <w:rPr>
                <w:rFonts w:ascii="Arial Narrow" w:hAnsi="Arial Narrow" w:cs="Arial Narrow"/>
                <w:bCs/>
                <w:szCs w:val="26"/>
                <w:lang w:val="es-ES" w:eastAsia="es-MX"/>
              </w:rPr>
              <w:t xml:space="preserve">e </w:t>
            </w:r>
            <w:r w:rsidR="00F1293D" w:rsidRPr="00285508">
              <w:rPr>
                <w:rFonts w:ascii="Arial Narrow" w:hAnsi="Arial Narrow" w:cs="Arial Narrow"/>
                <w:bCs/>
                <w:szCs w:val="26"/>
                <w:lang w:val="es-ES" w:eastAsia="es-MX"/>
              </w:rPr>
              <w:t>a</w:t>
            </w:r>
            <w:r w:rsidR="00476BB5" w:rsidRPr="00285508">
              <w:rPr>
                <w:rFonts w:ascii="Arial Narrow" w:hAnsi="Arial Narrow" w:cs="Arial Narrow"/>
                <w:bCs/>
                <w:szCs w:val="26"/>
                <w:lang w:val="es-ES" w:eastAsia="es-MX"/>
              </w:rPr>
              <w:t>uto</w:t>
            </w:r>
          </w:p>
        </w:tc>
      </w:tr>
      <w:tr w:rsidR="00476BB5" w:rsidRPr="00285508" w14:paraId="19827457" w14:textId="77777777" w:rsidTr="00476BB5">
        <w:tc>
          <w:tcPr>
            <w:tcW w:w="1980" w:type="dxa"/>
          </w:tcPr>
          <w:p w14:paraId="0D6374A9" w14:textId="5B6DF88B" w:rsidR="00476BB5" w:rsidRPr="00285508" w:rsidRDefault="009A5D16"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Interesados</w:t>
            </w:r>
            <w:r w:rsidR="00476BB5" w:rsidRPr="00285508">
              <w:rPr>
                <w:rFonts w:ascii="Arial Narrow" w:hAnsi="Arial Narrow" w:cs="Arial Narrow"/>
                <w:bCs/>
                <w:color w:val="auto"/>
                <w:sz w:val="24"/>
                <w:szCs w:val="26"/>
                <w:lang w:val="es-CO"/>
              </w:rPr>
              <w:t>:</w:t>
            </w:r>
          </w:p>
        </w:tc>
        <w:tc>
          <w:tcPr>
            <w:tcW w:w="6237" w:type="dxa"/>
          </w:tcPr>
          <w:p w14:paraId="3B7F30DD" w14:textId="34535075" w:rsidR="00476BB5" w:rsidRPr="00285508" w:rsidRDefault="009A5D16"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Gloria Mercedes Velásquez Zuleta y Otros.</w:t>
            </w:r>
          </w:p>
        </w:tc>
      </w:tr>
      <w:tr w:rsidR="00476BB5" w:rsidRPr="00285508" w14:paraId="7ACC4247" w14:textId="77777777" w:rsidTr="00476BB5">
        <w:tc>
          <w:tcPr>
            <w:tcW w:w="1980" w:type="dxa"/>
          </w:tcPr>
          <w:p w14:paraId="1B0A793F" w14:textId="3EA81176" w:rsidR="00476BB5" w:rsidRPr="00285508" w:rsidRDefault="009A5D16"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Causante</w:t>
            </w:r>
            <w:r w:rsidR="00476BB5" w:rsidRPr="00285508">
              <w:rPr>
                <w:rFonts w:ascii="Arial Narrow" w:hAnsi="Arial Narrow" w:cs="Arial Narrow"/>
                <w:bCs/>
                <w:color w:val="auto"/>
                <w:sz w:val="24"/>
                <w:szCs w:val="26"/>
                <w:lang w:val="es-CO"/>
              </w:rPr>
              <w:t>:</w:t>
            </w:r>
          </w:p>
        </w:tc>
        <w:tc>
          <w:tcPr>
            <w:tcW w:w="6237" w:type="dxa"/>
          </w:tcPr>
          <w:p w14:paraId="7BDA250C" w14:textId="3F206A26" w:rsidR="00476BB5" w:rsidRPr="00285508" w:rsidRDefault="009A5D16" w:rsidP="0028550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285508">
              <w:rPr>
                <w:rFonts w:ascii="Arial Narrow" w:hAnsi="Arial Narrow" w:cs="Arial Narrow"/>
                <w:bCs/>
                <w:color w:val="auto"/>
                <w:sz w:val="24"/>
                <w:szCs w:val="26"/>
                <w:lang w:val="es-CO"/>
              </w:rPr>
              <w:t>Alberto Velásquez Macías</w:t>
            </w:r>
          </w:p>
        </w:tc>
      </w:tr>
    </w:tbl>
    <w:p w14:paraId="03B7A30C" w14:textId="77777777"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CBFC51B" w14:textId="33919841"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4373F">
        <w:rPr>
          <w:rFonts w:ascii="Arial Narrow" w:hAnsi="Arial Narrow" w:cs="Arial Narrow"/>
          <w:b/>
          <w:bCs/>
          <w:color w:val="auto"/>
          <w:sz w:val="26"/>
          <w:szCs w:val="26"/>
          <w:lang w:val="es-CO"/>
        </w:rPr>
        <w:t>Motivo de la Providencia</w:t>
      </w:r>
    </w:p>
    <w:p w14:paraId="23F971DB" w14:textId="77777777"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06555D71" w14:textId="7CA654FD"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4373F">
        <w:rPr>
          <w:rFonts w:ascii="Arial Narrow" w:hAnsi="Arial Narrow" w:cs="Arial Narrow"/>
          <w:bCs/>
          <w:color w:val="auto"/>
          <w:sz w:val="26"/>
          <w:szCs w:val="26"/>
          <w:lang w:val="es-CO"/>
        </w:rPr>
        <w:t>Corresponde</w:t>
      </w:r>
      <w:r w:rsidR="006632AD" w:rsidRPr="0014373F">
        <w:rPr>
          <w:rFonts w:ascii="Arial Narrow" w:hAnsi="Arial Narrow" w:cs="Arial Narrow"/>
          <w:bCs/>
          <w:color w:val="auto"/>
          <w:sz w:val="26"/>
          <w:szCs w:val="26"/>
          <w:lang w:val="es-CO"/>
        </w:rPr>
        <w:t xml:space="preserve"> decidir sobre la apelación presentada contra el auto del </w:t>
      </w:r>
      <w:r w:rsidR="009A5D16" w:rsidRPr="0014373F">
        <w:rPr>
          <w:rFonts w:ascii="Arial Narrow" w:hAnsi="Arial Narrow" w:cs="Arial Narrow"/>
          <w:bCs/>
          <w:color w:val="auto"/>
          <w:sz w:val="26"/>
          <w:szCs w:val="26"/>
          <w:lang w:val="es-CO"/>
        </w:rPr>
        <w:t>10</w:t>
      </w:r>
      <w:r w:rsidR="006632AD" w:rsidRPr="0014373F">
        <w:rPr>
          <w:rFonts w:ascii="Arial Narrow" w:hAnsi="Arial Narrow" w:cs="Arial Narrow"/>
          <w:bCs/>
          <w:color w:val="auto"/>
          <w:sz w:val="26"/>
          <w:szCs w:val="26"/>
          <w:lang w:val="es-CO"/>
        </w:rPr>
        <w:t xml:space="preserve"> de </w:t>
      </w:r>
      <w:r w:rsidR="009A5D16" w:rsidRPr="0014373F">
        <w:rPr>
          <w:rFonts w:ascii="Arial Narrow" w:hAnsi="Arial Narrow" w:cs="Arial Narrow"/>
          <w:bCs/>
          <w:color w:val="auto"/>
          <w:sz w:val="26"/>
          <w:szCs w:val="26"/>
          <w:lang w:val="es-CO"/>
        </w:rPr>
        <w:t>diciembre</w:t>
      </w:r>
      <w:r w:rsidR="006632AD" w:rsidRPr="0014373F">
        <w:rPr>
          <w:rFonts w:ascii="Arial Narrow" w:hAnsi="Arial Narrow" w:cs="Arial Narrow"/>
          <w:bCs/>
          <w:color w:val="auto"/>
          <w:sz w:val="26"/>
          <w:szCs w:val="26"/>
          <w:lang w:val="es-CO"/>
        </w:rPr>
        <w:t xml:space="preserve"> de 202</w:t>
      </w:r>
      <w:r w:rsidR="009A5D16" w:rsidRPr="0014373F">
        <w:rPr>
          <w:rFonts w:ascii="Arial Narrow" w:hAnsi="Arial Narrow" w:cs="Arial Narrow"/>
          <w:bCs/>
          <w:color w:val="auto"/>
          <w:sz w:val="26"/>
          <w:szCs w:val="26"/>
          <w:lang w:val="es-CO"/>
        </w:rPr>
        <w:t>0</w:t>
      </w:r>
      <w:r w:rsidR="006632AD" w:rsidRPr="0014373F">
        <w:rPr>
          <w:rFonts w:ascii="Arial Narrow" w:hAnsi="Arial Narrow" w:cs="Arial Narrow"/>
          <w:bCs/>
          <w:color w:val="auto"/>
          <w:sz w:val="26"/>
          <w:szCs w:val="26"/>
          <w:lang w:val="es-CO"/>
        </w:rPr>
        <w:t xml:space="preserve">, </w:t>
      </w:r>
      <w:r w:rsidRPr="0014373F">
        <w:rPr>
          <w:rFonts w:ascii="Arial Narrow" w:hAnsi="Arial Narrow" w:cs="Arial Narrow"/>
          <w:bCs/>
          <w:color w:val="auto"/>
          <w:sz w:val="26"/>
          <w:szCs w:val="26"/>
          <w:lang w:val="es-CO"/>
        </w:rPr>
        <w:t xml:space="preserve">a través del cual se </w:t>
      </w:r>
      <w:r w:rsidR="009A5D16" w:rsidRPr="0014373F">
        <w:rPr>
          <w:rFonts w:ascii="Arial Narrow" w:hAnsi="Arial Narrow" w:cs="Arial Narrow"/>
          <w:bCs/>
          <w:color w:val="auto"/>
          <w:sz w:val="26"/>
          <w:szCs w:val="26"/>
          <w:lang w:val="es-CO"/>
        </w:rPr>
        <w:t>decretó desistimiento tácito</w:t>
      </w:r>
      <w:r w:rsidR="005F1E7E" w:rsidRPr="0014373F">
        <w:rPr>
          <w:rFonts w:ascii="Arial Narrow" w:hAnsi="Arial Narrow" w:cs="Arial Narrow"/>
          <w:bCs/>
          <w:color w:val="auto"/>
          <w:sz w:val="26"/>
          <w:szCs w:val="26"/>
          <w:lang w:val="es-CO"/>
        </w:rPr>
        <w:t xml:space="preserve"> dentro del asunto de la referencia.</w:t>
      </w:r>
      <w:r w:rsidR="009A5D16" w:rsidRPr="0014373F">
        <w:rPr>
          <w:rFonts w:ascii="Arial Narrow" w:hAnsi="Arial Narrow" w:cs="Arial Narrow"/>
          <w:bCs/>
          <w:color w:val="auto"/>
          <w:sz w:val="26"/>
          <w:szCs w:val="26"/>
          <w:lang w:val="es-CO"/>
        </w:rPr>
        <w:t xml:space="preserve"> </w:t>
      </w:r>
    </w:p>
    <w:p w14:paraId="3BD0F507" w14:textId="77777777"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22A1D68" w14:textId="248350EF" w:rsidR="00476BB5" w:rsidRPr="0014373F" w:rsidRDefault="00476BB5" w:rsidP="0014373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8" w:hanging="708"/>
        <w:jc w:val="center"/>
        <w:rPr>
          <w:rFonts w:ascii="Arial Narrow" w:hAnsi="Arial Narrow" w:cs="Arial Narrow"/>
          <w:b/>
          <w:bCs/>
          <w:color w:val="auto"/>
          <w:sz w:val="26"/>
          <w:szCs w:val="26"/>
          <w:lang w:val="es-CO"/>
        </w:rPr>
      </w:pPr>
      <w:r w:rsidRPr="0014373F">
        <w:rPr>
          <w:rFonts w:ascii="Arial Narrow" w:hAnsi="Arial Narrow" w:cs="Arial Narrow"/>
          <w:b/>
          <w:bCs/>
          <w:color w:val="auto"/>
          <w:sz w:val="26"/>
          <w:szCs w:val="26"/>
          <w:lang w:val="es-CO"/>
        </w:rPr>
        <w:t xml:space="preserve">Antecedentes </w:t>
      </w:r>
      <w:r w:rsidR="005F1E7E" w:rsidRPr="0014373F">
        <w:rPr>
          <w:rFonts w:ascii="Arial Narrow" w:hAnsi="Arial Narrow" w:cs="Arial Narrow"/>
          <w:b/>
          <w:bCs/>
          <w:color w:val="auto"/>
          <w:sz w:val="26"/>
          <w:szCs w:val="26"/>
          <w:lang w:val="es-CO"/>
        </w:rPr>
        <w:t>relevantes</w:t>
      </w:r>
      <w:r w:rsidRPr="0014373F">
        <w:rPr>
          <w:rFonts w:ascii="Arial Narrow" w:hAnsi="Arial Narrow" w:cs="Arial Narrow"/>
          <w:b/>
          <w:bCs/>
          <w:color w:val="auto"/>
          <w:sz w:val="26"/>
          <w:szCs w:val="26"/>
          <w:lang w:val="es-CO"/>
        </w:rPr>
        <w:t xml:space="preserve"> </w:t>
      </w:r>
    </w:p>
    <w:p w14:paraId="27A69B1B" w14:textId="77777777" w:rsidR="009A5D16" w:rsidRPr="0014373F" w:rsidRDefault="009A5D16" w:rsidP="0014373F">
      <w:pPr>
        <w:pStyle w:val="Textoindependiente"/>
        <w:spacing w:line="276" w:lineRule="auto"/>
        <w:ind w:right="157"/>
        <w:rPr>
          <w:rFonts w:ascii="Arial Narrow" w:hAnsi="Arial Narrow" w:cs="Arial Narrow"/>
          <w:bCs/>
          <w:sz w:val="26"/>
          <w:szCs w:val="26"/>
          <w:lang w:val="es-ES"/>
        </w:rPr>
      </w:pPr>
    </w:p>
    <w:p w14:paraId="3D991062" w14:textId="3784031A" w:rsidR="009A5D16" w:rsidRPr="0014373F" w:rsidRDefault="009A5D16" w:rsidP="0014373F">
      <w:pPr>
        <w:pStyle w:val="Textoindependiente"/>
        <w:spacing w:line="276" w:lineRule="auto"/>
        <w:ind w:right="157"/>
        <w:rPr>
          <w:rFonts w:ascii="Arial Narrow" w:hAnsi="Arial Narrow" w:cs="Arial Narrow"/>
          <w:bCs/>
          <w:sz w:val="26"/>
          <w:szCs w:val="26"/>
        </w:rPr>
      </w:pPr>
      <w:r w:rsidRPr="0014373F">
        <w:rPr>
          <w:rFonts w:ascii="Arial Narrow" w:hAnsi="Arial Narrow" w:cs="Arial Narrow"/>
          <w:bCs/>
          <w:sz w:val="26"/>
          <w:szCs w:val="26"/>
          <w:lang w:val="es-ES"/>
        </w:rPr>
        <w:t xml:space="preserve">En auto del 25 de septiembre de 2015 se dio apertura al trámite liquidatario de sucesión del causante </w:t>
      </w:r>
      <w:r w:rsidRPr="0014373F">
        <w:rPr>
          <w:rFonts w:ascii="Arial Narrow" w:hAnsi="Arial Narrow" w:cs="Arial Narrow"/>
          <w:bCs/>
          <w:sz w:val="26"/>
          <w:szCs w:val="26"/>
        </w:rPr>
        <w:t xml:space="preserve">Alberto Velásquez Macías (f. digital 188 de tomo I parte 1 de la actuación de primera instancia), </w:t>
      </w:r>
      <w:r w:rsidR="00F61FD3" w:rsidRPr="0014373F">
        <w:rPr>
          <w:rFonts w:ascii="Arial Narrow" w:hAnsi="Arial Narrow" w:cs="Arial Narrow"/>
          <w:bCs/>
          <w:sz w:val="26"/>
          <w:szCs w:val="26"/>
        </w:rPr>
        <w:t xml:space="preserve">que </w:t>
      </w:r>
      <w:r w:rsidR="00293F82" w:rsidRPr="0014373F">
        <w:rPr>
          <w:rFonts w:ascii="Arial Narrow" w:hAnsi="Arial Narrow" w:cs="Arial Narrow"/>
          <w:bCs/>
          <w:sz w:val="26"/>
          <w:szCs w:val="26"/>
        </w:rPr>
        <w:t>se adelantó hasta la diligencia de inventario</w:t>
      </w:r>
      <w:r w:rsidR="00F61FD3" w:rsidRPr="0014373F">
        <w:rPr>
          <w:rFonts w:ascii="Arial Narrow" w:hAnsi="Arial Narrow" w:cs="Arial Narrow"/>
          <w:bCs/>
          <w:sz w:val="26"/>
          <w:szCs w:val="26"/>
        </w:rPr>
        <w:t>s</w:t>
      </w:r>
      <w:r w:rsidR="00293F82" w:rsidRPr="0014373F">
        <w:rPr>
          <w:rFonts w:ascii="Arial Narrow" w:hAnsi="Arial Narrow" w:cs="Arial Narrow"/>
          <w:bCs/>
          <w:sz w:val="26"/>
          <w:szCs w:val="26"/>
        </w:rPr>
        <w:t xml:space="preserve"> y avalúos sin que haya sido posible finiquitarla de conformidad a la ley, </w:t>
      </w:r>
      <w:r w:rsidR="00F61FD3" w:rsidRPr="0014373F">
        <w:rPr>
          <w:rFonts w:ascii="Arial Narrow" w:hAnsi="Arial Narrow" w:cs="Arial Narrow"/>
          <w:bCs/>
          <w:sz w:val="26"/>
          <w:szCs w:val="26"/>
        </w:rPr>
        <w:t xml:space="preserve">ni </w:t>
      </w:r>
      <w:r w:rsidR="00293F82" w:rsidRPr="0014373F">
        <w:rPr>
          <w:rFonts w:ascii="Arial Narrow" w:hAnsi="Arial Narrow" w:cs="Arial Narrow"/>
          <w:bCs/>
          <w:sz w:val="26"/>
          <w:szCs w:val="26"/>
        </w:rPr>
        <w:t>permit</w:t>
      </w:r>
      <w:r w:rsidR="00F61FD3" w:rsidRPr="0014373F">
        <w:rPr>
          <w:rFonts w:ascii="Arial Narrow" w:hAnsi="Arial Narrow" w:cs="Arial Narrow"/>
          <w:bCs/>
          <w:sz w:val="26"/>
          <w:szCs w:val="26"/>
        </w:rPr>
        <w:t>ir</w:t>
      </w:r>
      <w:r w:rsidR="00293F82" w:rsidRPr="0014373F">
        <w:rPr>
          <w:rFonts w:ascii="Arial Narrow" w:hAnsi="Arial Narrow" w:cs="Arial Narrow"/>
          <w:bCs/>
          <w:sz w:val="26"/>
          <w:szCs w:val="26"/>
        </w:rPr>
        <w:t xml:space="preserve"> el paso a la etapa subsiguiente.  </w:t>
      </w:r>
    </w:p>
    <w:p w14:paraId="702E1824" w14:textId="77777777" w:rsidR="00293F82" w:rsidRPr="0014373F" w:rsidRDefault="00293F82" w:rsidP="0014373F">
      <w:pPr>
        <w:pStyle w:val="Textoindependiente"/>
        <w:spacing w:line="276" w:lineRule="auto"/>
        <w:ind w:right="157"/>
        <w:rPr>
          <w:rFonts w:ascii="Arial Narrow" w:hAnsi="Arial Narrow" w:cs="Arial Narrow"/>
          <w:bCs/>
          <w:sz w:val="26"/>
          <w:szCs w:val="26"/>
        </w:rPr>
      </w:pPr>
    </w:p>
    <w:p w14:paraId="1C25ACB5" w14:textId="16F884C5" w:rsidR="00E20BA5" w:rsidRPr="0014373F" w:rsidRDefault="00E20BA5"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 xml:space="preserve">En diciembre 10 de 2020, el juez </w:t>
      </w:r>
      <w:r w:rsidRPr="0014373F">
        <w:rPr>
          <w:rFonts w:ascii="Arial Narrow" w:hAnsi="Arial Narrow" w:cs="Arial Narrow"/>
          <w:bCs/>
          <w:i/>
          <w:sz w:val="26"/>
          <w:szCs w:val="26"/>
          <w:lang w:val="es-ES"/>
        </w:rPr>
        <w:t xml:space="preserve">a quo </w:t>
      </w:r>
      <w:r w:rsidRPr="0014373F">
        <w:rPr>
          <w:rFonts w:ascii="Arial Narrow" w:hAnsi="Arial Narrow" w:cs="Arial Narrow"/>
          <w:bCs/>
          <w:sz w:val="26"/>
          <w:szCs w:val="26"/>
          <w:lang w:val="es-ES"/>
        </w:rPr>
        <w:t xml:space="preserve">aplicó la causal de desistimiento tácito por inactividad superior a un año (Inciso 2º, art. 317 del C.G.P), providencia opugnada en </w:t>
      </w:r>
      <w:r w:rsidR="0080284D" w:rsidRPr="0014373F">
        <w:rPr>
          <w:rFonts w:ascii="Arial Narrow" w:hAnsi="Arial Narrow" w:cs="Arial Narrow"/>
          <w:bCs/>
          <w:sz w:val="26"/>
          <w:szCs w:val="26"/>
          <w:lang w:val="es-ES"/>
        </w:rPr>
        <w:t>reposición y apelación</w:t>
      </w:r>
      <w:r w:rsidRPr="0014373F">
        <w:rPr>
          <w:rFonts w:ascii="Arial Narrow" w:hAnsi="Arial Narrow" w:cs="Arial Narrow"/>
          <w:bCs/>
          <w:sz w:val="26"/>
          <w:szCs w:val="26"/>
          <w:lang w:val="es-ES"/>
        </w:rPr>
        <w:t xml:space="preserve">. </w:t>
      </w:r>
    </w:p>
    <w:p w14:paraId="1ED42317" w14:textId="77777777" w:rsidR="00E20BA5" w:rsidRPr="0014373F" w:rsidRDefault="00E20BA5" w:rsidP="0014373F">
      <w:pPr>
        <w:pStyle w:val="Textoindependiente"/>
        <w:spacing w:line="276" w:lineRule="auto"/>
        <w:ind w:right="157"/>
        <w:rPr>
          <w:rFonts w:ascii="Arial Narrow" w:hAnsi="Arial Narrow" w:cs="Arial Narrow"/>
          <w:bCs/>
          <w:sz w:val="26"/>
          <w:szCs w:val="26"/>
          <w:lang w:val="es-ES"/>
        </w:rPr>
      </w:pPr>
    </w:p>
    <w:p w14:paraId="3360FD83" w14:textId="3E7CFECD" w:rsidR="00293F82" w:rsidRPr="0014373F" w:rsidRDefault="00DA2763" w:rsidP="0014373F">
      <w:pPr>
        <w:pStyle w:val="Textoindependiente"/>
        <w:spacing w:line="276" w:lineRule="auto"/>
        <w:ind w:right="157"/>
        <w:rPr>
          <w:rFonts w:ascii="Arial Narrow" w:hAnsi="Arial Narrow" w:cs="Arial Narrow"/>
          <w:bCs/>
          <w:i/>
          <w:sz w:val="26"/>
          <w:szCs w:val="26"/>
          <w:lang w:val="es-ES"/>
        </w:rPr>
      </w:pPr>
      <w:r w:rsidRPr="0014373F">
        <w:rPr>
          <w:rFonts w:ascii="Arial Narrow" w:hAnsi="Arial Narrow" w:cs="Arial Narrow"/>
          <w:bCs/>
          <w:sz w:val="26"/>
          <w:szCs w:val="26"/>
          <w:lang w:val="es-ES"/>
        </w:rPr>
        <w:lastRenderedPageBreak/>
        <w:t>Lo hi</w:t>
      </w:r>
      <w:r w:rsidR="0080284D" w:rsidRPr="0014373F">
        <w:rPr>
          <w:rFonts w:ascii="Arial Narrow" w:hAnsi="Arial Narrow" w:cs="Arial Narrow"/>
          <w:bCs/>
          <w:sz w:val="26"/>
          <w:szCs w:val="26"/>
          <w:lang w:val="es-ES"/>
        </w:rPr>
        <w:t xml:space="preserve">cieron los </w:t>
      </w:r>
      <w:r w:rsidRPr="0014373F">
        <w:rPr>
          <w:rFonts w:ascii="Arial Narrow" w:hAnsi="Arial Narrow" w:cs="Arial Narrow"/>
          <w:bCs/>
          <w:sz w:val="26"/>
          <w:szCs w:val="26"/>
          <w:lang w:val="es-ES"/>
        </w:rPr>
        <w:t>apoderado</w:t>
      </w:r>
      <w:r w:rsidR="0080284D" w:rsidRPr="0014373F">
        <w:rPr>
          <w:rFonts w:ascii="Arial Narrow" w:hAnsi="Arial Narrow" w:cs="Arial Narrow"/>
          <w:bCs/>
          <w:sz w:val="26"/>
          <w:szCs w:val="26"/>
          <w:lang w:val="es-ES"/>
        </w:rPr>
        <w:t>s</w:t>
      </w:r>
      <w:r w:rsidRPr="0014373F">
        <w:rPr>
          <w:rFonts w:ascii="Arial Narrow" w:hAnsi="Arial Narrow" w:cs="Arial Narrow"/>
          <w:bCs/>
          <w:sz w:val="26"/>
          <w:szCs w:val="26"/>
          <w:lang w:val="es-ES"/>
        </w:rPr>
        <w:t xml:space="preserve"> judicial</w:t>
      </w:r>
      <w:r w:rsidR="0080284D" w:rsidRPr="0014373F">
        <w:rPr>
          <w:rFonts w:ascii="Arial Narrow" w:hAnsi="Arial Narrow" w:cs="Arial Narrow"/>
          <w:bCs/>
          <w:sz w:val="26"/>
          <w:szCs w:val="26"/>
          <w:lang w:val="es-ES"/>
        </w:rPr>
        <w:t>es</w:t>
      </w:r>
      <w:r w:rsidRPr="0014373F">
        <w:rPr>
          <w:rFonts w:ascii="Arial Narrow" w:hAnsi="Arial Narrow" w:cs="Arial Narrow"/>
          <w:bCs/>
          <w:sz w:val="26"/>
          <w:szCs w:val="26"/>
          <w:lang w:val="es-ES"/>
        </w:rPr>
        <w:t xml:space="preserve"> de Gloria Mercedes Velásquez Zuleta</w:t>
      </w:r>
      <w:r w:rsidR="0080284D" w:rsidRPr="0014373F">
        <w:rPr>
          <w:rFonts w:ascii="Arial Narrow" w:hAnsi="Arial Narrow" w:cs="Arial Narrow"/>
          <w:bCs/>
          <w:sz w:val="26"/>
          <w:szCs w:val="26"/>
          <w:lang w:val="es-ES"/>
        </w:rPr>
        <w:t xml:space="preserve"> y María Isabel Velásquez</w:t>
      </w:r>
      <w:r w:rsidRPr="0014373F">
        <w:rPr>
          <w:rFonts w:ascii="Arial Narrow" w:hAnsi="Arial Narrow" w:cs="Arial Narrow"/>
          <w:bCs/>
          <w:sz w:val="26"/>
          <w:szCs w:val="26"/>
          <w:lang w:val="es-ES"/>
        </w:rPr>
        <w:t>, detallando un número d</w:t>
      </w:r>
      <w:r w:rsidR="0080284D" w:rsidRPr="0014373F">
        <w:rPr>
          <w:rFonts w:ascii="Arial Narrow" w:hAnsi="Arial Narrow" w:cs="Arial Narrow"/>
          <w:bCs/>
          <w:sz w:val="26"/>
          <w:szCs w:val="26"/>
          <w:lang w:val="es-ES"/>
        </w:rPr>
        <w:t xml:space="preserve">e actuaciones tanto de parte como del despacho, que representan </w:t>
      </w:r>
      <w:r w:rsidR="00CA3BD2" w:rsidRPr="0014373F">
        <w:rPr>
          <w:rFonts w:ascii="Arial Narrow" w:hAnsi="Arial Narrow" w:cs="Arial Narrow"/>
          <w:bCs/>
          <w:sz w:val="26"/>
          <w:szCs w:val="26"/>
          <w:lang w:val="es-ES"/>
        </w:rPr>
        <w:t xml:space="preserve">a su entender </w:t>
      </w:r>
      <w:r w:rsidR="0080284D" w:rsidRPr="0014373F">
        <w:rPr>
          <w:rFonts w:ascii="Arial Narrow" w:hAnsi="Arial Narrow" w:cs="Arial Narrow"/>
          <w:bCs/>
          <w:sz w:val="26"/>
          <w:szCs w:val="26"/>
          <w:lang w:val="es-ES"/>
        </w:rPr>
        <w:t xml:space="preserve">impulso del proceso, </w:t>
      </w:r>
      <w:r w:rsidR="00956C7F" w:rsidRPr="0014373F">
        <w:rPr>
          <w:rFonts w:ascii="Arial Narrow" w:hAnsi="Arial Narrow" w:cs="Arial Narrow"/>
          <w:bCs/>
          <w:sz w:val="26"/>
          <w:szCs w:val="26"/>
          <w:lang w:val="es-ES"/>
        </w:rPr>
        <w:t xml:space="preserve">porque </w:t>
      </w:r>
      <w:r w:rsidR="0080284D" w:rsidRPr="0014373F">
        <w:rPr>
          <w:rFonts w:ascii="Arial Narrow" w:hAnsi="Arial Narrow" w:cs="Arial Narrow"/>
          <w:bCs/>
          <w:sz w:val="26"/>
          <w:szCs w:val="26"/>
          <w:lang w:val="es-ES"/>
        </w:rPr>
        <w:t>en los términos de ese mismo articulado: “</w:t>
      </w:r>
      <w:r w:rsidR="0080284D" w:rsidRPr="00285508">
        <w:rPr>
          <w:rFonts w:ascii="Arial Narrow" w:hAnsi="Arial Narrow" w:cs="Arial Narrow"/>
          <w:bCs/>
          <w:i/>
          <w:sz w:val="24"/>
          <w:szCs w:val="26"/>
          <w:lang w:val="es-ES"/>
        </w:rPr>
        <w:t>Cualquier actuación, de oficio o a petición de parte, de cualquier naturaleza, interrumpirá los términos previstos en este artículo…</w:t>
      </w:r>
      <w:r w:rsidR="0080284D" w:rsidRPr="0014373F">
        <w:rPr>
          <w:rFonts w:ascii="Arial Narrow" w:hAnsi="Arial Narrow" w:cs="Arial Narrow"/>
          <w:bCs/>
          <w:i/>
          <w:sz w:val="26"/>
          <w:szCs w:val="26"/>
          <w:lang w:val="es-ES"/>
        </w:rPr>
        <w:t>”</w:t>
      </w:r>
      <w:r w:rsidR="00C50F35" w:rsidRPr="0014373F">
        <w:rPr>
          <w:rFonts w:ascii="Arial Narrow" w:hAnsi="Arial Narrow" w:cs="Arial Narrow"/>
          <w:bCs/>
          <w:i/>
          <w:sz w:val="26"/>
          <w:szCs w:val="26"/>
          <w:lang w:val="es-ES"/>
        </w:rPr>
        <w:t>.</w:t>
      </w:r>
    </w:p>
    <w:p w14:paraId="34165492" w14:textId="77777777" w:rsidR="009A5D16" w:rsidRPr="0014373F" w:rsidRDefault="009A5D16" w:rsidP="0014373F">
      <w:pPr>
        <w:pStyle w:val="Textoindependiente"/>
        <w:spacing w:line="276" w:lineRule="auto"/>
        <w:ind w:right="157"/>
        <w:rPr>
          <w:rFonts w:ascii="Arial Narrow" w:hAnsi="Arial Narrow" w:cs="Arial Narrow"/>
          <w:bCs/>
          <w:sz w:val="26"/>
          <w:szCs w:val="26"/>
          <w:lang w:val="es-ES"/>
        </w:rPr>
      </w:pPr>
    </w:p>
    <w:p w14:paraId="16F62937" w14:textId="45AA530C" w:rsidR="004C3543" w:rsidRPr="0014373F" w:rsidRDefault="004C3543"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El defensor judicial de Sara Elena Velásquez López y Laura Esperanza López Martínez descorrió el traslado</w:t>
      </w:r>
      <w:r w:rsidR="0083643E" w:rsidRPr="0014373F">
        <w:rPr>
          <w:rFonts w:ascii="Arial Narrow" w:hAnsi="Arial Narrow" w:cs="Arial Narrow"/>
          <w:bCs/>
          <w:sz w:val="26"/>
          <w:szCs w:val="26"/>
          <w:lang w:val="es-ES"/>
        </w:rPr>
        <w:t>, pidiendo mantener lo decidido</w:t>
      </w:r>
      <w:r w:rsidR="00DC54B7" w:rsidRPr="0014373F">
        <w:rPr>
          <w:rFonts w:ascii="Arial Narrow" w:hAnsi="Arial Narrow" w:cs="Arial Narrow"/>
          <w:bCs/>
          <w:sz w:val="26"/>
          <w:szCs w:val="26"/>
          <w:lang w:val="es-ES"/>
        </w:rPr>
        <w:t>, pues las</w:t>
      </w:r>
      <w:r w:rsidRPr="0014373F">
        <w:rPr>
          <w:rFonts w:ascii="Arial Narrow" w:hAnsi="Arial Narrow" w:cs="Arial Narrow"/>
          <w:bCs/>
          <w:sz w:val="26"/>
          <w:szCs w:val="26"/>
          <w:lang w:val="es-ES"/>
        </w:rPr>
        <w:t xml:space="preserve"> </w:t>
      </w:r>
      <w:r w:rsidR="00DC54B7" w:rsidRPr="0014373F">
        <w:rPr>
          <w:rFonts w:ascii="Arial Narrow" w:hAnsi="Arial Narrow" w:cs="Arial Narrow"/>
          <w:bCs/>
          <w:sz w:val="26"/>
          <w:szCs w:val="26"/>
          <w:lang w:val="es-ES"/>
        </w:rPr>
        <w:t>actuaciones y solicitudes a que se refieren los recurrentes no van encaminadas a que el proceso tenga algún progreso.</w:t>
      </w:r>
    </w:p>
    <w:p w14:paraId="10E91022" w14:textId="77777777" w:rsidR="004C3543" w:rsidRPr="0014373F" w:rsidRDefault="004C3543" w:rsidP="0014373F">
      <w:pPr>
        <w:pStyle w:val="Textoindependiente"/>
        <w:spacing w:line="276" w:lineRule="auto"/>
        <w:ind w:right="157"/>
        <w:rPr>
          <w:rFonts w:ascii="Arial Narrow" w:hAnsi="Arial Narrow" w:cs="Arial Narrow"/>
          <w:bCs/>
          <w:sz w:val="26"/>
          <w:szCs w:val="26"/>
          <w:lang w:val="es-ES"/>
        </w:rPr>
      </w:pPr>
    </w:p>
    <w:p w14:paraId="332B2638" w14:textId="45A0883D" w:rsidR="0080284D" w:rsidRPr="0014373F" w:rsidRDefault="0080284D"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 xml:space="preserve">Citando la sentencia STC11191-2020 de la Sala de Casación Civil de la Corte Suprema de Justicia, </w:t>
      </w:r>
      <w:r w:rsidR="00394AA8" w:rsidRPr="0014373F">
        <w:rPr>
          <w:rFonts w:ascii="Arial Narrow" w:hAnsi="Arial Narrow" w:cs="Arial Narrow"/>
          <w:bCs/>
          <w:sz w:val="26"/>
          <w:szCs w:val="26"/>
          <w:lang w:val="es-ES"/>
        </w:rPr>
        <w:t xml:space="preserve">el 9 de febrero de 2021, al resolver la reposición, </w:t>
      </w:r>
      <w:r w:rsidRPr="0014373F">
        <w:rPr>
          <w:rFonts w:ascii="Arial Narrow" w:hAnsi="Arial Narrow" w:cs="Arial Narrow"/>
          <w:bCs/>
          <w:sz w:val="26"/>
          <w:szCs w:val="26"/>
          <w:lang w:val="es-ES"/>
        </w:rPr>
        <w:t xml:space="preserve">concluyó </w:t>
      </w:r>
      <w:r w:rsidR="00CA3BD2" w:rsidRPr="0014373F">
        <w:rPr>
          <w:rFonts w:ascii="Arial Narrow" w:hAnsi="Arial Narrow" w:cs="Arial Narrow"/>
          <w:bCs/>
          <w:sz w:val="26"/>
          <w:szCs w:val="26"/>
          <w:lang w:val="es-ES"/>
        </w:rPr>
        <w:t xml:space="preserve">el </w:t>
      </w:r>
      <w:r w:rsidR="00CA3BD2" w:rsidRPr="0014373F">
        <w:rPr>
          <w:rFonts w:ascii="Arial Narrow" w:hAnsi="Arial Narrow" w:cs="Arial Narrow"/>
          <w:bCs/>
          <w:i/>
          <w:sz w:val="26"/>
          <w:szCs w:val="26"/>
          <w:lang w:val="es-ES"/>
        </w:rPr>
        <w:t>a quo</w:t>
      </w:r>
      <w:r w:rsidR="00CA3BD2" w:rsidRPr="0014373F">
        <w:rPr>
          <w:rFonts w:ascii="Arial Narrow" w:hAnsi="Arial Narrow" w:cs="Arial Narrow"/>
          <w:bCs/>
          <w:sz w:val="26"/>
          <w:szCs w:val="26"/>
          <w:lang w:val="es-ES"/>
        </w:rPr>
        <w:t xml:space="preserve"> </w:t>
      </w:r>
      <w:r w:rsidRPr="0014373F">
        <w:rPr>
          <w:rFonts w:ascii="Arial Narrow" w:hAnsi="Arial Narrow" w:cs="Arial Narrow"/>
          <w:bCs/>
          <w:sz w:val="26"/>
          <w:szCs w:val="26"/>
          <w:lang w:val="es-ES"/>
        </w:rPr>
        <w:t>que las actuaciones mencionadas por los recurrentes no son aptas para el impulso del proceso, por lo que no tienen la facultad de interrumpir lo</w:t>
      </w:r>
      <w:r w:rsidR="006B3AAA" w:rsidRPr="0014373F">
        <w:rPr>
          <w:rFonts w:ascii="Arial Narrow" w:hAnsi="Arial Narrow" w:cs="Arial Narrow"/>
          <w:bCs/>
          <w:sz w:val="26"/>
          <w:szCs w:val="26"/>
          <w:lang w:val="es-ES"/>
        </w:rPr>
        <w:t>s</w:t>
      </w:r>
      <w:r w:rsidRPr="0014373F">
        <w:rPr>
          <w:rFonts w:ascii="Arial Narrow" w:hAnsi="Arial Narrow" w:cs="Arial Narrow"/>
          <w:bCs/>
          <w:sz w:val="26"/>
          <w:szCs w:val="26"/>
          <w:lang w:val="es-ES"/>
        </w:rPr>
        <w:t xml:space="preserve"> </w:t>
      </w:r>
      <w:r w:rsidR="006B3AAA" w:rsidRPr="0014373F">
        <w:rPr>
          <w:rFonts w:ascii="Arial Narrow" w:hAnsi="Arial Narrow" w:cs="Arial Narrow"/>
          <w:bCs/>
          <w:sz w:val="26"/>
          <w:szCs w:val="26"/>
          <w:lang w:val="es-ES"/>
        </w:rPr>
        <w:t xml:space="preserve">términos </w:t>
      </w:r>
      <w:r w:rsidRPr="0014373F">
        <w:rPr>
          <w:rFonts w:ascii="Arial Narrow" w:hAnsi="Arial Narrow" w:cs="Arial Narrow"/>
          <w:bCs/>
          <w:sz w:val="26"/>
          <w:szCs w:val="26"/>
          <w:lang w:val="es-ES"/>
        </w:rPr>
        <w:t xml:space="preserve">del desistimiento tácito. Luego de no reponer, concedió la alzada en efecto </w:t>
      </w:r>
      <w:r w:rsidR="006B3AAA" w:rsidRPr="0014373F">
        <w:rPr>
          <w:rFonts w:ascii="Arial Narrow" w:hAnsi="Arial Narrow" w:cs="Arial Narrow"/>
          <w:bCs/>
          <w:sz w:val="26"/>
          <w:szCs w:val="26"/>
          <w:lang w:val="es-ES"/>
        </w:rPr>
        <w:t>suspensivo</w:t>
      </w:r>
      <w:r w:rsidRPr="0014373F">
        <w:rPr>
          <w:rFonts w:ascii="Arial Narrow" w:hAnsi="Arial Narrow" w:cs="Arial Narrow"/>
          <w:bCs/>
          <w:sz w:val="26"/>
          <w:szCs w:val="26"/>
          <w:lang w:val="es-ES"/>
        </w:rPr>
        <w:t xml:space="preserve">.   </w:t>
      </w:r>
    </w:p>
    <w:p w14:paraId="7D4B5332" w14:textId="77777777" w:rsidR="0080284D" w:rsidRPr="0014373F" w:rsidRDefault="0080284D" w:rsidP="0014373F">
      <w:pPr>
        <w:pStyle w:val="Textoindependiente"/>
        <w:spacing w:line="276" w:lineRule="auto"/>
        <w:ind w:right="157"/>
        <w:rPr>
          <w:rFonts w:ascii="Arial Narrow" w:hAnsi="Arial Narrow" w:cs="Arial Narrow"/>
          <w:bCs/>
          <w:sz w:val="26"/>
          <w:szCs w:val="26"/>
          <w:lang w:val="es-ES"/>
        </w:rPr>
      </w:pPr>
    </w:p>
    <w:p w14:paraId="144E47F0" w14:textId="1A2A7B96" w:rsidR="00500F2C" w:rsidRPr="0014373F" w:rsidRDefault="00500F2C" w:rsidP="0014373F">
      <w:pPr>
        <w:pStyle w:val="Default"/>
        <w:spacing w:line="276" w:lineRule="auto"/>
        <w:jc w:val="center"/>
        <w:rPr>
          <w:rFonts w:ascii="Arial Narrow" w:hAnsi="Arial Narrow" w:cs="Arial Narrow"/>
          <w:b/>
          <w:bCs/>
          <w:sz w:val="26"/>
          <w:szCs w:val="26"/>
          <w:lang w:val="es-ES"/>
        </w:rPr>
      </w:pPr>
      <w:r w:rsidRPr="0014373F">
        <w:rPr>
          <w:rFonts w:ascii="Arial Narrow" w:hAnsi="Arial Narrow" w:cs="Arial Narrow"/>
          <w:b/>
          <w:bCs/>
          <w:sz w:val="26"/>
          <w:szCs w:val="26"/>
          <w:lang w:val="es-ES"/>
        </w:rPr>
        <w:t>CONSIDERACIONES</w:t>
      </w:r>
    </w:p>
    <w:p w14:paraId="05C67B76" w14:textId="77777777" w:rsidR="00500F2C" w:rsidRPr="0014373F" w:rsidRDefault="00500F2C" w:rsidP="0014373F">
      <w:pPr>
        <w:pStyle w:val="Default"/>
        <w:spacing w:line="276" w:lineRule="auto"/>
        <w:jc w:val="both"/>
        <w:rPr>
          <w:rFonts w:ascii="Arial Narrow" w:hAnsi="Arial Narrow" w:cs="Arial Narrow"/>
          <w:bCs/>
          <w:sz w:val="26"/>
          <w:szCs w:val="26"/>
          <w:lang w:val="es-ES"/>
        </w:rPr>
      </w:pPr>
    </w:p>
    <w:p w14:paraId="369519B0" w14:textId="43F947B4" w:rsidR="00270FE0" w:rsidRPr="0014373F" w:rsidRDefault="00270FE0" w:rsidP="0014373F">
      <w:pPr>
        <w:autoSpaceDE w:val="0"/>
        <w:autoSpaceDN w:val="0"/>
        <w:adjustRightInd w:val="0"/>
        <w:spacing w:line="276" w:lineRule="auto"/>
        <w:jc w:val="both"/>
        <w:rPr>
          <w:rFonts w:ascii="Arial Narrow" w:hAnsi="Arial Narrow" w:cs="Arial"/>
          <w:sz w:val="26"/>
          <w:szCs w:val="26"/>
        </w:rPr>
      </w:pPr>
      <w:r w:rsidRPr="0014373F">
        <w:rPr>
          <w:rFonts w:ascii="Arial Narrow" w:hAnsi="Arial Narrow" w:cs="Arial Narrow"/>
          <w:bCs/>
          <w:sz w:val="26"/>
          <w:szCs w:val="26"/>
          <w:lang w:val="es-ES"/>
        </w:rPr>
        <w:t xml:space="preserve">1. </w:t>
      </w:r>
      <w:r w:rsidR="00500F2C" w:rsidRPr="0014373F">
        <w:rPr>
          <w:rFonts w:ascii="Arial Narrow" w:hAnsi="Arial Narrow" w:cs="Arial Narrow"/>
          <w:bCs/>
          <w:sz w:val="26"/>
          <w:szCs w:val="26"/>
          <w:lang w:val="es-ES"/>
        </w:rPr>
        <w:t xml:space="preserve">El auto que </w:t>
      </w:r>
      <w:r w:rsidR="00AD2B66" w:rsidRPr="0014373F">
        <w:rPr>
          <w:rFonts w:ascii="Arial Narrow" w:hAnsi="Arial Narrow" w:cs="Arial Narrow"/>
          <w:bCs/>
          <w:sz w:val="26"/>
          <w:szCs w:val="26"/>
          <w:lang w:val="es-ES"/>
        </w:rPr>
        <w:t>d</w:t>
      </w:r>
      <w:r w:rsidR="004C3543" w:rsidRPr="0014373F">
        <w:rPr>
          <w:rFonts w:ascii="Arial Narrow" w:hAnsi="Arial Narrow" w:cs="Arial Narrow"/>
          <w:bCs/>
          <w:sz w:val="26"/>
          <w:szCs w:val="26"/>
          <w:lang w:val="es-ES"/>
        </w:rPr>
        <w:t>ecreta el desistimiento tácito es apelable, de conformidad al literal “e” contenido en el artículo 317 del C.G.P</w:t>
      </w:r>
      <w:r w:rsidRPr="0014373F">
        <w:rPr>
          <w:rFonts w:ascii="Arial Narrow" w:hAnsi="Arial Narrow" w:cs="Arial Narrow"/>
          <w:bCs/>
          <w:sz w:val="26"/>
          <w:szCs w:val="26"/>
          <w:lang w:val="es-ES"/>
        </w:rPr>
        <w:t>.</w:t>
      </w:r>
      <w:r w:rsidRPr="0014373F">
        <w:rPr>
          <w:rFonts w:ascii="Arial Narrow" w:hAnsi="Arial Narrow" w:cs="Arial"/>
          <w:sz w:val="26"/>
          <w:szCs w:val="26"/>
        </w:rPr>
        <w:t xml:space="preserve"> Además, el recurso fue propuesto en término y por persona legitimada, siendo procedente el análisis de fondo de los argumentos propuestos.</w:t>
      </w:r>
    </w:p>
    <w:p w14:paraId="11074257" w14:textId="77777777" w:rsidR="00270FE0" w:rsidRPr="0014373F" w:rsidRDefault="00270FE0" w:rsidP="0014373F">
      <w:pPr>
        <w:autoSpaceDE w:val="0"/>
        <w:autoSpaceDN w:val="0"/>
        <w:adjustRightInd w:val="0"/>
        <w:spacing w:line="276" w:lineRule="auto"/>
        <w:ind w:firstLine="708"/>
        <w:jc w:val="both"/>
        <w:rPr>
          <w:rFonts w:ascii="Arial Narrow" w:hAnsi="Arial Narrow" w:cs="Arial"/>
          <w:sz w:val="26"/>
          <w:szCs w:val="26"/>
        </w:rPr>
      </w:pPr>
    </w:p>
    <w:p w14:paraId="5E88CF6E" w14:textId="435DD081" w:rsidR="00270FE0" w:rsidRPr="0014373F" w:rsidRDefault="00270FE0" w:rsidP="0014373F">
      <w:pPr>
        <w:autoSpaceDE w:val="0"/>
        <w:autoSpaceDN w:val="0"/>
        <w:adjustRightInd w:val="0"/>
        <w:spacing w:line="276" w:lineRule="auto"/>
        <w:jc w:val="both"/>
        <w:rPr>
          <w:rFonts w:ascii="Arial Narrow" w:hAnsi="Arial Narrow" w:cs="Arial"/>
          <w:sz w:val="26"/>
          <w:szCs w:val="26"/>
        </w:rPr>
      </w:pPr>
      <w:r w:rsidRPr="0014373F">
        <w:rPr>
          <w:rFonts w:ascii="Arial Narrow" w:hAnsi="Arial Narrow" w:cs="Arial"/>
          <w:sz w:val="26"/>
          <w:szCs w:val="26"/>
        </w:rPr>
        <w:t xml:space="preserve">Esta sala unitaria encuentra competencia para decidir la alzada, al actuar como superior </w:t>
      </w:r>
      <w:r w:rsidR="00246D2C" w:rsidRPr="0014373F">
        <w:rPr>
          <w:rFonts w:ascii="Arial Narrow" w:hAnsi="Arial Narrow" w:cs="Arial"/>
          <w:sz w:val="26"/>
          <w:szCs w:val="26"/>
        </w:rPr>
        <w:t xml:space="preserve">funcional </w:t>
      </w:r>
      <w:r w:rsidRPr="0014373F">
        <w:rPr>
          <w:rFonts w:ascii="Arial Narrow" w:hAnsi="Arial Narrow" w:cs="Arial"/>
          <w:sz w:val="26"/>
          <w:szCs w:val="26"/>
        </w:rPr>
        <w:t xml:space="preserve">del juzgado </w:t>
      </w:r>
      <w:r w:rsidR="00246D2C" w:rsidRPr="0014373F">
        <w:rPr>
          <w:rFonts w:ascii="Arial Narrow" w:hAnsi="Arial Narrow" w:cs="Arial"/>
          <w:sz w:val="26"/>
          <w:szCs w:val="26"/>
        </w:rPr>
        <w:t>de familia de primera instancia</w:t>
      </w:r>
      <w:r w:rsidRPr="0014373F">
        <w:rPr>
          <w:rFonts w:ascii="Arial Narrow" w:hAnsi="Arial Narrow" w:cs="Arial"/>
          <w:sz w:val="26"/>
          <w:szCs w:val="26"/>
        </w:rPr>
        <w:t>.</w:t>
      </w:r>
    </w:p>
    <w:p w14:paraId="6A826AA7" w14:textId="4B5E997B" w:rsidR="00500F2C" w:rsidRPr="0014373F" w:rsidRDefault="00500F2C" w:rsidP="0014373F">
      <w:pPr>
        <w:pStyle w:val="Default"/>
        <w:spacing w:line="276" w:lineRule="auto"/>
        <w:jc w:val="both"/>
        <w:rPr>
          <w:rFonts w:ascii="Arial Narrow" w:hAnsi="Arial Narrow" w:cs="Arial Narrow"/>
          <w:bCs/>
          <w:sz w:val="26"/>
          <w:szCs w:val="26"/>
          <w:lang w:val="es-ES"/>
        </w:rPr>
      </w:pPr>
    </w:p>
    <w:p w14:paraId="44F63486" w14:textId="481B52C1" w:rsidR="00E12979" w:rsidRPr="0014373F" w:rsidRDefault="00E12979" w:rsidP="0014373F">
      <w:pPr>
        <w:pStyle w:val="Sinespaciado"/>
        <w:spacing w:line="276" w:lineRule="auto"/>
        <w:jc w:val="both"/>
        <w:rPr>
          <w:rFonts w:ascii="Arial Narrow" w:hAnsi="Arial Narrow"/>
          <w:sz w:val="26"/>
          <w:szCs w:val="26"/>
        </w:rPr>
      </w:pPr>
      <w:r w:rsidRPr="0014373F">
        <w:rPr>
          <w:rFonts w:ascii="Arial Narrow" w:hAnsi="Arial Narrow"/>
          <w:sz w:val="26"/>
          <w:szCs w:val="26"/>
        </w:rPr>
        <w:t xml:space="preserve">De acuerdo con la síntesis realizada, debe resolver la Colegiatura si resulta procedente </w:t>
      </w:r>
      <w:r w:rsidR="009C1A0B" w:rsidRPr="0014373F">
        <w:rPr>
          <w:rFonts w:ascii="Arial Narrow" w:hAnsi="Arial Narrow"/>
          <w:sz w:val="26"/>
          <w:szCs w:val="26"/>
        </w:rPr>
        <w:t xml:space="preserve">o no, </w:t>
      </w:r>
      <w:r w:rsidR="00AD425E" w:rsidRPr="0014373F">
        <w:rPr>
          <w:rFonts w:ascii="Arial Narrow" w:hAnsi="Arial Narrow"/>
          <w:sz w:val="26"/>
          <w:szCs w:val="26"/>
        </w:rPr>
        <w:t xml:space="preserve">mantener </w:t>
      </w:r>
      <w:r w:rsidRPr="0014373F">
        <w:rPr>
          <w:rFonts w:ascii="Arial Narrow" w:hAnsi="Arial Narrow"/>
          <w:sz w:val="26"/>
          <w:szCs w:val="26"/>
        </w:rPr>
        <w:t xml:space="preserve">la </w:t>
      </w:r>
      <w:r w:rsidR="00AD425E" w:rsidRPr="0014373F">
        <w:rPr>
          <w:rFonts w:ascii="Arial Narrow" w:hAnsi="Arial Narrow"/>
          <w:sz w:val="26"/>
          <w:szCs w:val="26"/>
        </w:rPr>
        <w:t>terminación anormal del proceso de sucesión por desistimiento tácito.</w:t>
      </w:r>
    </w:p>
    <w:p w14:paraId="0732DA87" w14:textId="77777777" w:rsidR="00E12979" w:rsidRPr="0014373F" w:rsidRDefault="00E12979" w:rsidP="0014373F">
      <w:pPr>
        <w:pStyle w:val="Default"/>
        <w:spacing w:line="276" w:lineRule="auto"/>
        <w:jc w:val="both"/>
        <w:rPr>
          <w:rFonts w:ascii="Arial Narrow" w:hAnsi="Arial Narrow" w:cs="Arial Narrow"/>
          <w:bCs/>
          <w:sz w:val="26"/>
          <w:szCs w:val="26"/>
        </w:rPr>
      </w:pPr>
    </w:p>
    <w:p w14:paraId="2CC1BF8F" w14:textId="1575A5EF" w:rsidR="00D763DA" w:rsidRPr="0014373F" w:rsidRDefault="00246D2C" w:rsidP="0014373F">
      <w:pPr>
        <w:shd w:val="clear" w:color="auto" w:fill="FFFFFF"/>
        <w:spacing w:line="276" w:lineRule="auto"/>
        <w:ind w:right="18"/>
        <w:jc w:val="both"/>
        <w:rPr>
          <w:rFonts w:ascii="Arial Narrow" w:hAnsi="Arial Narrow"/>
          <w:color w:val="000000"/>
          <w:sz w:val="26"/>
          <w:szCs w:val="26"/>
        </w:rPr>
      </w:pPr>
      <w:r w:rsidRPr="0014373F">
        <w:rPr>
          <w:rFonts w:ascii="Arial Narrow" w:hAnsi="Arial Narrow" w:cs="Arial Narrow"/>
          <w:bCs/>
          <w:sz w:val="26"/>
          <w:szCs w:val="26"/>
          <w:lang w:val="es-ES"/>
        </w:rPr>
        <w:t xml:space="preserve">2. </w:t>
      </w:r>
      <w:r w:rsidR="00D763DA" w:rsidRPr="0014373F">
        <w:rPr>
          <w:rFonts w:ascii="Arial Narrow" w:hAnsi="Arial Narrow"/>
          <w:color w:val="000000"/>
          <w:sz w:val="26"/>
          <w:szCs w:val="26"/>
        </w:rPr>
        <w:t>El apelante considera que no es procedente decretar el desistimiento tácito toda vez que e</w:t>
      </w:r>
      <w:r w:rsidR="001B445E" w:rsidRPr="0014373F">
        <w:rPr>
          <w:rFonts w:ascii="Arial Narrow" w:hAnsi="Arial Narrow"/>
          <w:color w:val="000000"/>
          <w:sz w:val="26"/>
          <w:szCs w:val="26"/>
        </w:rPr>
        <w:t>xisten</w:t>
      </w:r>
      <w:r w:rsidR="00D763DA" w:rsidRPr="0014373F">
        <w:rPr>
          <w:rFonts w:ascii="Arial Narrow" w:hAnsi="Arial Narrow"/>
          <w:color w:val="000000"/>
          <w:sz w:val="26"/>
          <w:szCs w:val="26"/>
        </w:rPr>
        <w:t xml:space="preserve"> </w:t>
      </w:r>
      <w:r w:rsidR="001B445E" w:rsidRPr="0014373F">
        <w:rPr>
          <w:rFonts w:ascii="Arial Narrow" w:hAnsi="Arial Narrow"/>
          <w:color w:val="000000"/>
          <w:sz w:val="26"/>
          <w:szCs w:val="26"/>
        </w:rPr>
        <w:t xml:space="preserve">actuaciones que interrumpieron el término </w:t>
      </w:r>
      <w:r w:rsidR="00D763DA" w:rsidRPr="0014373F">
        <w:rPr>
          <w:rFonts w:ascii="Arial Narrow" w:hAnsi="Arial Narrow"/>
          <w:color w:val="000000"/>
          <w:sz w:val="26"/>
          <w:szCs w:val="26"/>
        </w:rPr>
        <w:t>señalado por el juzgador</w:t>
      </w:r>
      <w:r w:rsidR="001B445E" w:rsidRPr="0014373F">
        <w:rPr>
          <w:rFonts w:ascii="Arial Narrow" w:hAnsi="Arial Narrow"/>
          <w:color w:val="000000"/>
          <w:sz w:val="26"/>
          <w:szCs w:val="26"/>
        </w:rPr>
        <w:t xml:space="preserve"> para cumplir la carga procesal</w:t>
      </w:r>
      <w:r w:rsidR="00291E15" w:rsidRPr="0014373F">
        <w:rPr>
          <w:rFonts w:ascii="Arial Narrow" w:hAnsi="Arial Narrow"/>
          <w:color w:val="000000"/>
          <w:sz w:val="26"/>
          <w:szCs w:val="26"/>
        </w:rPr>
        <w:t xml:space="preserve">. En contrario, el juzgador y el apoderado no apelante señalan que tales actuaciones no impulsaron el proceso, luego no luce atendible </w:t>
      </w:r>
      <w:r w:rsidR="006E203E" w:rsidRPr="0014373F">
        <w:rPr>
          <w:rFonts w:ascii="Arial Narrow" w:hAnsi="Arial Narrow"/>
          <w:color w:val="000000"/>
          <w:sz w:val="26"/>
          <w:szCs w:val="26"/>
        </w:rPr>
        <w:t xml:space="preserve">aquel </w:t>
      </w:r>
      <w:r w:rsidR="00291E15" w:rsidRPr="0014373F">
        <w:rPr>
          <w:rFonts w:ascii="Arial Narrow" w:hAnsi="Arial Narrow"/>
          <w:color w:val="000000"/>
          <w:sz w:val="26"/>
          <w:szCs w:val="26"/>
        </w:rPr>
        <w:t>argumento.</w:t>
      </w:r>
      <w:r w:rsidR="001B445E" w:rsidRPr="0014373F">
        <w:rPr>
          <w:rFonts w:ascii="Arial Narrow" w:hAnsi="Arial Narrow"/>
          <w:color w:val="000000"/>
          <w:sz w:val="26"/>
          <w:szCs w:val="26"/>
        </w:rPr>
        <w:t xml:space="preserve"> </w:t>
      </w:r>
      <w:r w:rsidR="00D763DA" w:rsidRPr="0014373F">
        <w:rPr>
          <w:rFonts w:ascii="Arial Narrow" w:hAnsi="Arial Narrow"/>
          <w:color w:val="000000"/>
          <w:sz w:val="26"/>
          <w:szCs w:val="26"/>
        </w:rPr>
        <w:t xml:space="preserve"> </w:t>
      </w:r>
    </w:p>
    <w:p w14:paraId="1FDE9390" w14:textId="77777777" w:rsidR="00D763DA" w:rsidRPr="0014373F" w:rsidRDefault="00D763DA" w:rsidP="0014373F">
      <w:pPr>
        <w:shd w:val="clear" w:color="auto" w:fill="FFFFFF"/>
        <w:spacing w:line="276" w:lineRule="auto"/>
        <w:ind w:right="18"/>
        <w:jc w:val="both"/>
        <w:rPr>
          <w:rFonts w:ascii="Arial Narrow" w:hAnsi="Arial Narrow"/>
          <w:color w:val="000000"/>
          <w:sz w:val="26"/>
          <w:szCs w:val="26"/>
        </w:rPr>
      </w:pPr>
    </w:p>
    <w:p w14:paraId="38CFC125" w14:textId="14FEFE74" w:rsidR="00D763DA" w:rsidRPr="0014373F" w:rsidRDefault="00D763DA" w:rsidP="0014373F">
      <w:pPr>
        <w:shd w:val="clear" w:color="auto" w:fill="FFFFFF"/>
        <w:spacing w:line="276" w:lineRule="auto"/>
        <w:ind w:right="18"/>
        <w:jc w:val="both"/>
        <w:rPr>
          <w:rFonts w:ascii="Arial Narrow" w:hAnsi="Arial Narrow"/>
          <w:color w:val="000000"/>
          <w:sz w:val="26"/>
          <w:szCs w:val="26"/>
        </w:rPr>
      </w:pPr>
      <w:r w:rsidRPr="0014373F">
        <w:rPr>
          <w:rFonts w:ascii="Arial Narrow" w:hAnsi="Arial Narrow"/>
          <w:color w:val="000000"/>
          <w:sz w:val="26"/>
          <w:szCs w:val="26"/>
        </w:rPr>
        <w:t xml:space="preserve">Más allá de lo anterior, existen razones de tipo </w:t>
      </w:r>
      <w:r w:rsidRPr="0014373F">
        <w:rPr>
          <w:rFonts w:ascii="Arial Narrow" w:hAnsi="Arial Narrow"/>
          <w:i/>
          <w:color w:val="000000"/>
          <w:sz w:val="26"/>
          <w:szCs w:val="26"/>
        </w:rPr>
        <w:t xml:space="preserve">ius fundamental </w:t>
      </w:r>
      <w:r w:rsidRPr="0014373F">
        <w:rPr>
          <w:rFonts w:ascii="Arial Narrow" w:hAnsi="Arial Narrow"/>
          <w:color w:val="000000"/>
          <w:sz w:val="26"/>
          <w:szCs w:val="26"/>
        </w:rPr>
        <w:t xml:space="preserve">y de respeto por </w:t>
      </w:r>
      <w:r w:rsidR="00291E15" w:rsidRPr="0014373F">
        <w:rPr>
          <w:rFonts w:ascii="Arial Narrow" w:hAnsi="Arial Narrow"/>
          <w:color w:val="000000"/>
          <w:sz w:val="26"/>
          <w:szCs w:val="26"/>
        </w:rPr>
        <w:t>una línea jurisprudencial decantad</w:t>
      </w:r>
      <w:r w:rsidR="00C958F6" w:rsidRPr="0014373F">
        <w:rPr>
          <w:rFonts w:ascii="Arial Narrow" w:hAnsi="Arial Narrow"/>
          <w:color w:val="000000"/>
          <w:sz w:val="26"/>
          <w:szCs w:val="26"/>
        </w:rPr>
        <w:t>a</w:t>
      </w:r>
      <w:r w:rsidR="00291E15" w:rsidRPr="0014373F">
        <w:rPr>
          <w:rFonts w:ascii="Arial Narrow" w:hAnsi="Arial Narrow"/>
          <w:color w:val="000000"/>
          <w:sz w:val="26"/>
          <w:szCs w:val="26"/>
        </w:rPr>
        <w:t xml:space="preserve"> por la Corte Suprema de Justicia acerca del entendimiento y la aplicación de la figura bajo estudio, </w:t>
      </w:r>
      <w:r w:rsidRPr="0014373F">
        <w:rPr>
          <w:rFonts w:ascii="Arial Narrow" w:hAnsi="Arial Narrow"/>
          <w:color w:val="000000"/>
          <w:sz w:val="26"/>
          <w:szCs w:val="26"/>
        </w:rPr>
        <w:t xml:space="preserve">que obligan a revocar la providencia apelada. </w:t>
      </w:r>
    </w:p>
    <w:p w14:paraId="15318D5F" w14:textId="77777777" w:rsidR="00D763DA" w:rsidRPr="0014373F" w:rsidRDefault="00D763DA" w:rsidP="0014373F">
      <w:pPr>
        <w:shd w:val="clear" w:color="auto" w:fill="FFFFFF"/>
        <w:spacing w:line="276" w:lineRule="auto"/>
        <w:ind w:right="18"/>
        <w:jc w:val="both"/>
        <w:rPr>
          <w:rFonts w:ascii="Arial Narrow" w:hAnsi="Arial Narrow"/>
          <w:color w:val="000000"/>
          <w:sz w:val="26"/>
          <w:szCs w:val="26"/>
        </w:rPr>
      </w:pPr>
    </w:p>
    <w:p w14:paraId="290942B1" w14:textId="47713139" w:rsidR="00D763DA" w:rsidRPr="0014373F" w:rsidRDefault="00D763DA" w:rsidP="0014373F">
      <w:pPr>
        <w:shd w:val="clear" w:color="auto" w:fill="FFFFFF"/>
        <w:spacing w:line="276" w:lineRule="auto"/>
        <w:ind w:right="18"/>
        <w:jc w:val="both"/>
        <w:rPr>
          <w:rFonts w:ascii="Arial Narrow" w:hAnsi="Arial Narrow"/>
          <w:i/>
          <w:color w:val="000000"/>
          <w:sz w:val="26"/>
          <w:szCs w:val="26"/>
        </w:rPr>
      </w:pPr>
      <w:r w:rsidRPr="0014373F">
        <w:rPr>
          <w:rFonts w:ascii="Arial Narrow" w:hAnsi="Arial Narrow"/>
          <w:color w:val="000000"/>
          <w:sz w:val="26"/>
          <w:szCs w:val="26"/>
        </w:rPr>
        <w:t>En efecto, aun cuando la terminación por desistimiento tácito procede, en principio, en cualquier actuación de cualquier naturaleza, lo cierto es que “</w:t>
      </w:r>
      <w:r w:rsidRPr="00285508">
        <w:rPr>
          <w:rFonts w:ascii="Arial Narrow" w:hAnsi="Arial Narrow"/>
          <w:i/>
          <w:color w:val="000000"/>
          <w:szCs w:val="26"/>
        </w:rPr>
        <w:t>…</w:t>
      </w:r>
      <w:r w:rsidR="00285508" w:rsidRPr="00285508">
        <w:rPr>
          <w:rFonts w:ascii="Arial Narrow" w:hAnsi="Arial Narrow"/>
          <w:i/>
          <w:color w:val="000000"/>
          <w:szCs w:val="26"/>
        </w:rPr>
        <w:t xml:space="preserve"> </w:t>
      </w:r>
      <w:r w:rsidRPr="00285508">
        <w:rPr>
          <w:rFonts w:ascii="Arial Narrow" w:hAnsi="Arial Narrow"/>
          <w:i/>
          <w:color w:val="000000"/>
          <w:szCs w:val="26"/>
        </w:rPr>
        <w:t>la jurisprudencia ha evidenciado que en algunos asuntos puede llegar a presentarse un grado mayor de afectación de derechos con la terminación anormal, por lo que ha fijado ciertas excepciones, tales como las sucesiones, liquidación de sociedad conyugal o patrimonial, asuntos donde se puedan ver afectados los derechos de menores, entre otros</w:t>
      </w:r>
      <w:r w:rsidRPr="0014373F">
        <w:rPr>
          <w:rFonts w:ascii="Arial Narrow" w:hAnsi="Arial Narrow"/>
          <w:i/>
          <w:color w:val="000000"/>
          <w:sz w:val="26"/>
          <w:szCs w:val="26"/>
        </w:rPr>
        <w:t>.”</w:t>
      </w:r>
      <w:r w:rsidRPr="0014373F">
        <w:rPr>
          <w:rStyle w:val="Refdenotaalpie"/>
          <w:rFonts w:ascii="Arial Narrow" w:hAnsi="Arial Narrow"/>
          <w:i/>
          <w:color w:val="000000"/>
          <w:sz w:val="26"/>
          <w:szCs w:val="26"/>
        </w:rPr>
        <w:footnoteReference w:id="1"/>
      </w:r>
      <w:r w:rsidRPr="0014373F">
        <w:rPr>
          <w:rFonts w:ascii="Arial Narrow" w:hAnsi="Arial Narrow"/>
          <w:i/>
          <w:color w:val="000000"/>
          <w:sz w:val="26"/>
          <w:szCs w:val="26"/>
        </w:rPr>
        <w:cr/>
      </w:r>
    </w:p>
    <w:p w14:paraId="63503739" w14:textId="60211BED" w:rsidR="00D763DA" w:rsidRPr="0014373F" w:rsidRDefault="00D763DA" w:rsidP="0014373F">
      <w:pPr>
        <w:shd w:val="clear" w:color="auto" w:fill="FFFFFF"/>
        <w:spacing w:line="276" w:lineRule="auto"/>
        <w:ind w:right="18"/>
        <w:jc w:val="both"/>
        <w:rPr>
          <w:rFonts w:ascii="Arial Narrow" w:hAnsi="Arial Narrow"/>
          <w:color w:val="000000"/>
          <w:sz w:val="26"/>
          <w:szCs w:val="26"/>
        </w:rPr>
      </w:pPr>
      <w:r w:rsidRPr="0014373F">
        <w:rPr>
          <w:rFonts w:ascii="Arial Narrow" w:hAnsi="Arial Narrow"/>
          <w:color w:val="000000"/>
          <w:sz w:val="26"/>
          <w:szCs w:val="26"/>
        </w:rPr>
        <w:lastRenderedPageBreak/>
        <w:t xml:space="preserve">Así las cosas, en casos puntuales que han sido definidos por la jurisprudencia de la Sala de Casación Civil de la Corte Suprema de Justicia, esta especie de terminación anormal no resulta procedente y su aplicación puede llegar a considerarse contraria al derecho fundamental del debido proceso, incluso de ambas partes por tratarse de un asunto </w:t>
      </w:r>
      <w:r w:rsidR="00C958F6" w:rsidRPr="0014373F">
        <w:rPr>
          <w:rFonts w:ascii="Arial Narrow" w:hAnsi="Arial Narrow"/>
          <w:color w:val="000000"/>
          <w:sz w:val="26"/>
          <w:szCs w:val="26"/>
        </w:rPr>
        <w:t>que,</w:t>
      </w:r>
      <w:r w:rsidRPr="0014373F">
        <w:rPr>
          <w:rFonts w:ascii="Arial Narrow" w:hAnsi="Arial Narrow"/>
          <w:color w:val="000000"/>
          <w:sz w:val="26"/>
          <w:szCs w:val="26"/>
        </w:rPr>
        <w:t xml:space="preserve"> aun siendo contencioso</w:t>
      </w:r>
      <w:r w:rsidR="00C958F6" w:rsidRPr="0014373F">
        <w:rPr>
          <w:rFonts w:ascii="Arial Narrow" w:hAnsi="Arial Narrow"/>
          <w:color w:val="000000"/>
          <w:sz w:val="26"/>
          <w:szCs w:val="26"/>
        </w:rPr>
        <w:t>s</w:t>
      </w:r>
      <w:r w:rsidRPr="0014373F">
        <w:rPr>
          <w:rFonts w:ascii="Arial Narrow" w:hAnsi="Arial Narrow"/>
          <w:color w:val="000000"/>
          <w:sz w:val="26"/>
          <w:szCs w:val="26"/>
        </w:rPr>
        <w:t>, por su objeto (liquidación</w:t>
      </w:r>
      <w:r w:rsidR="00C958F6" w:rsidRPr="0014373F">
        <w:rPr>
          <w:rFonts w:ascii="Arial Narrow" w:hAnsi="Arial Narrow"/>
          <w:color w:val="000000"/>
          <w:sz w:val="26"/>
          <w:szCs w:val="26"/>
        </w:rPr>
        <w:t xml:space="preserve"> de </w:t>
      </w:r>
      <w:r w:rsidRPr="0014373F">
        <w:rPr>
          <w:rFonts w:ascii="Arial Narrow" w:hAnsi="Arial Narrow"/>
          <w:color w:val="000000"/>
          <w:sz w:val="26"/>
          <w:szCs w:val="26"/>
        </w:rPr>
        <w:t>comunidad</w:t>
      </w:r>
      <w:r w:rsidR="00C958F6" w:rsidRPr="0014373F">
        <w:rPr>
          <w:rFonts w:ascii="Arial Narrow" w:hAnsi="Arial Narrow"/>
          <w:color w:val="000000"/>
          <w:sz w:val="26"/>
          <w:szCs w:val="26"/>
        </w:rPr>
        <w:t>es</w:t>
      </w:r>
      <w:r w:rsidRPr="0014373F">
        <w:rPr>
          <w:rFonts w:ascii="Arial Narrow" w:hAnsi="Arial Narrow"/>
          <w:color w:val="000000"/>
          <w:sz w:val="26"/>
          <w:szCs w:val="26"/>
        </w:rPr>
        <w:t xml:space="preserve">) interesa a </w:t>
      </w:r>
      <w:r w:rsidR="0077480F" w:rsidRPr="0014373F">
        <w:rPr>
          <w:rFonts w:ascii="Arial Narrow" w:hAnsi="Arial Narrow"/>
          <w:color w:val="000000"/>
          <w:sz w:val="26"/>
          <w:szCs w:val="26"/>
        </w:rPr>
        <w:t xml:space="preserve">todos los </w:t>
      </w:r>
      <w:r w:rsidRPr="0014373F">
        <w:rPr>
          <w:rFonts w:ascii="Arial Narrow" w:hAnsi="Arial Narrow"/>
          <w:color w:val="000000"/>
          <w:sz w:val="26"/>
          <w:szCs w:val="26"/>
        </w:rPr>
        <w:t>extremos del litigio.</w:t>
      </w:r>
    </w:p>
    <w:p w14:paraId="17636505" w14:textId="77777777" w:rsidR="00D763DA" w:rsidRPr="0014373F" w:rsidRDefault="00D763DA" w:rsidP="0014373F">
      <w:pPr>
        <w:shd w:val="clear" w:color="auto" w:fill="FFFFFF"/>
        <w:spacing w:line="276" w:lineRule="auto"/>
        <w:ind w:right="18"/>
        <w:jc w:val="both"/>
        <w:rPr>
          <w:rFonts w:ascii="Arial Narrow" w:hAnsi="Arial Narrow"/>
          <w:color w:val="000000"/>
          <w:sz w:val="26"/>
          <w:szCs w:val="26"/>
        </w:rPr>
      </w:pPr>
    </w:p>
    <w:p w14:paraId="5B272617" w14:textId="0086FBE0" w:rsidR="00D763DA" w:rsidRPr="0014373F" w:rsidRDefault="00D763DA" w:rsidP="0014373F">
      <w:pPr>
        <w:shd w:val="clear" w:color="auto" w:fill="FFFFFF"/>
        <w:spacing w:line="276" w:lineRule="auto"/>
        <w:ind w:right="18"/>
        <w:jc w:val="both"/>
        <w:rPr>
          <w:rFonts w:ascii="Arial Narrow" w:hAnsi="Arial Narrow"/>
          <w:color w:val="000000"/>
          <w:sz w:val="26"/>
          <w:szCs w:val="26"/>
        </w:rPr>
      </w:pPr>
      <w:r w:rsidRPr="0014373F">
        <w:rPr>
          <w:rFonts w:ascii="Arial Narrow" w:hAnsi="Arial Narrow"/>
          <w:color w:val="000000"/>
          <w:sz w:val="26"/>
          <w:szCs w:val="26"/>
        </w:rPr>
        <w:t xml:space="preserve">Ello acontece de manera excepcional en algunos procesos </w:t>
      </w:r>
      <w:proofErr w:type="spellStart"/>
      <w:r w:rsidRPr="0014373F">
        <w:rPr>
          <w:rFonts w:ascii="Arial Narrow" w:hAnsi="Arial Narrow"/>
          <w:color w:val="000000"/>
          <w:sz w:val="26"/>
          <w:szCs w:val="26"/>
        </w:rPr>
        <w:t>liquidatorios</w:t>
      </w:r>
      <w:proofErr w:type="spellEnd"/>
      <w:r w:rsidRPr="0014373F">
        <w:rPr>
          <w:rFonts w:ascii="Arial Narrow" w:hAnsi="Arial Narrow"/>
          <w:color w:val="000000"/>
          <w:sz w:val="26"/>
          <w:szCs w:val="26"/>
        </w:rPr>
        <w:t xml:space="preserve">, como </w:t>
      </w:r>
      <w:r w:rsidRPr="0014373F">
        <w:rPr>
          <w:rFonts w:ascii="Arial Narrow" w:hAnsi="Arial Narrow"/>
          <w:color w:val="000000"/>
          <w:sz w:val="26"/>
          <w:szCs w:val="26"/>
          <w:u w:val="single"/>
        </w:rPr>
        <w:t>la sucesión</w:t>
      </w:r>
      <w:r w:rsidRPr="0014373F">
        <w:rPr>
          <w:rFonts w:ascii="Arial Narrow" w:hAnsi="Arial Narrow"/>
          <w:color w:val="000000"/>
          <w:sz w:val="26"/>
          <w:szCs w:val="26"/>
        </w:rPr>
        <w:t xml:space="preserve"> y la liquidación de sociedades conyugales o patrimoniales de hecho, dado a que sus efectos, en especial cuando se decreta por segunda vez, “</w:t>
      </w:r>
      <w:r w:rsidRPr="0090142B">
        <w:rPr>
          <w:rFonts w:ascii="Arial Narrow" w:hAnsi="Arial Narrow"/>
          <w:color w:val="000000"/>
          <w:szCs w:val="26"/>
        </w:rPr>
        <w:t>…</w:t>
      </w:r>
      <w:r w:rsidR="0090142B" w:rsidRPr="0090142B">
        <w:rPr>
          <w:rFonts w:ascii="Arial Narrow" w:hAnsi="Arial Narrow"/>
          <w:color w:val="000000"/>
          <w:szCs w:val="26"/>
        </w:rPr>
        <w:t xml:space="preserve"> </w:t>
      </w:r>
      <w:r w:rsidRPr="0090142B">
        <w:rPr>
          <w:rFonts w:ascii="Arial Narrow" w:hAnsi="Arial Narrow"/>
          <w:i/>
          <w:color w:val="000000"/>
          <w:szCs w:val="26"/>
        </w:rPr>
        <w:t>propiciaría dejar una situación jurídica particular en estado de indefinición permanente</w:t>
      </w:r>
      <w:r w:rsidRPr="0014373F">
        <w:rPr>
          <w:rFonts w:ascii="Arial Narrow" w:hAnsi="Arial Narrow"/>
          <w:i/>
          <w:color w:val="000000"/>
          <w:sz w:val="26"/>
          <w:szCs w:val="26"/>
        </w:rPr>
        <w:t>”</w:t>
      </w:r>
      <w:r w:rsidRPr="0014373F">
        <w:rPr>
          <w:rStyle w:val="Refdenotaalpie"/>
          <w:rFonts w:ascii="Arial Narrow" w:hAnsi="Arial Narrow"/>
          <w:i/>
          <w:color w:val="000000"/>
          <w:sz w:val="26"/>
          <w:szCs w:val="26"/>
        </w:rPr>
        <w:footnoteReference w:id="2"/>
      </w:r>
      <w:r w:rsidRPr="0014373F">
        <w:rPr>
          <w:rFonts w:ascii="Arial Narrow" w:hAnsi="Arial Narrow"/>
          <w:i/>
          <w:color w:val="000000"/>
          <w:sz w:val="26"/>
          <w:szCs w:val="26"/>
        </w:rPr>
        <w:t>,</w:t>
      </w:r>
      <w:r w:rsidRPr="0014373F">
        <w:rPr>
          <w:rFonts w:ascii="Arial Narrow" w:hAnsi="Arial Narrow"/>
          <w:color w:val="000000"/>
          <w:sz w:val="26"/>
          <w:szCs w:val="26"/>
        </w:rPr>
        <w:t xml:space="preserve"> o dicho en otros términos, ante “</w:t>
      </w:r>
      <w:r w:rsidRPr="0090142B">
        <w:rPr>
          <w:rFonts w:ascii="Arial Narrow" w:hAnsi="Arial Narrow"/>
          <w:color w:val="000000"/>
          <w:szCs w:val="26"/>
        </w:rPr>
        <w:t>…</w:t>
      </w:r>
      <w:r w:rsidR="0090142B" w:rsidRPr="0090142B">
        <w:rPr>
          <w:rFonts w:ascii="Arial Narrow" w:hAnsi="Arial Narrow"/>
          <w:color w:val="000000"/>
          <w:szCs w:val="26"/>
        </w:rPr>
        <w:t xml:space="preserve"> </w:t>
      </w:r>
      <w:r w:rsidRPr="0090142B">
        <w:rPr>
          <w:rFonts w:ascii="Arial Narrow" w:hAnsi="Arial Narrow"/>
          <w:i/>
          <w:color w:val="000000"/>
          <w:szCs w:val="26"/>
        </w:rPr>
        <w:t>la eventualidad de dejar a un conjunto de bienes en un estado de indefinida indivisión</w:t>
      </w:r>
      <w:r w:rsidRPr="0014373F">
        <w:rPr>
          <w:rFonts w:ascii="Arial Narrow" w:hAnsi="Arial Narrow"/>
          <w:i/>
          <w:color w:val="000000"/>
          <w:sz w:val="26"/>
          <w:szCs w:val="26"/>
        </w:rPr>
        <w:t>” o dejando “</w:t>
      </w:r>
      <w:r w:rsidRPr="0090142B">
        <w:rPr>
          <w:rFonts w:ascii="Arial Narrow" w:hAnsi="Arial Narrow"/>
          <w:i/>
          <w:color w:val="000000"/>
          <w:szCs w:val="26"/>
        </w:rPr>
        <w:t>a los interesados en la liquidación en continua comunidad</w:t>
      </w:r>
      <w:r w:rsidRPr="0014373F">
        <w:rPr>
          <w:rFonts w:ascii="Arial Narrow" w:hAnsi="Arial Narrow"/>
          <w:i/>
          <w:color w:val="000000"/>
          <w:sz w:val="26"/>
          <w:szCs w:val="26"/>
        </w:rPr>
        <w:t>”</w:t>
      </w:r>
      <w:r w:rsidRPr="0014373F">
        <w:rPr>
          <w:rFonts w:ascii="Arial Narrow" w:hAnsi="Arial Narrow"/>
          <w:color w:val="000000"/>
          <w:sz w:val="26"/>
          <w:szCs w:val="26"/>
        </w:rPr>
        <w:t xml:space="preserve">, como ocurriría si se priva a los </w:t>
      </w:r>
      <w:r w:rsidR="006E1AFB" w:rsidRPr="0014373F">
        <w:rPr>
          <w:rFonts w:ascii="Arial Narrow" w:hAnsi="Arial Narrow"/>
          <w:color w:val="000000"/>
          <w:sz w:val="26"/>
          <w:szCs w:val="26"/>
        </w:rPr>
        <w:t xml:space="preserve">herederos o a los </w:t>
      </w:r>
      <w:r w:rsidRPr="0014373F">
        <w:rPr>
          <w:rFonts w:ascii="Arial Narrow" w:hAnsi="Arial Narrow"/>
          <w:color w:val="000000"/>
          <w:sz w:val="26"/>
          <w:szCs w:val="26"/>
        </w:rPr>
        <w:t xml:space="preserve">ex cónyuges de la posibilidad de liquidar </w:t>
      </w:r>
      <w:r w:rsidR="006E1AFB" w:rsidRPr="0014373F">
        <w:rPr>
          <w:rFonts w:ascii="Arial Narrow" w:hAnsi="Arial Narrow"/>
          <w:color w:val="000000"/>
          <w:sz w:val="26"/>
          <w:szCs w:val="26"/>
        </w:rPr>
        <w:t xml:space="preserve">la herencia o la </w:t>
      </w:r>
      <w:r w:rsidRPr="0014373F">
        <w:rPr>
          <w:rFonts w:ascii="Arial Narrow" w:hAnsi="Arial Narrow"/>
          <w:color w:val="000000"/>
          <w:sz w:val="26"/>
          <w:szCs w:val="26"/>
        </w:rPr>
        <w:t>sociedad conyugal ya disuelta.</w:t>
      </w:r>
    </w:p>
    <w:p w14:paraId="07ED1FD1" w14:textId="292D3E48" w:rsidR="00D763DA" w:rsidRPr="0014373F" w:rsidRDefault="00D763DA" w:rsidP="0014373F">
      <w:pPr>
        <w:shd w:val="clear" w:color="auto" w:fill="FFFFFF"/>
        <w:spacing w:line="276" w:lineRule="auto"/>
        <w:ind w:right="18"/>
        <w:jc w:val="both"/>
        <w:rPr>
          <w:rFonts w:ascii="Arial Narrow" w:hAnsi="Arial Narrow"/>
          <w:color w:val="000000"/>
          <w:sz w:val="26"/>
          <w:szCs w:val="26"/>
        </w:rPr>
      </w:pPr>
    </w:p>
    <w:p w14:paraId="1298F291" w14:textId="61773213" w:rsidR="003705E3" w:rsidRPr="0014373F" w:rsidRDefault="003705E3" w:rsidP="0014373F">
      <w:pPr>
        <w:pStyle w:val="Default"/>
        <w:spacing w:line="276" w:lineRule="auto"/>
        <w:jc w:val="both"/>
        <w:rPr>
          <w:rFonts w:ascii="Arial Narrow" w:hAnsi="Arial Narrow"/>
          <w:sz w:val="26"/>
          <w:szCs w:val="26"/>
        </w:rPr>
      </w:pPr>
      <w:r w:rsidRPr="0014373F">
        <w:rPr>
          <w:rFonts w:ascii="Arial Narrow" w:hAnsi="Arial Narrow"/>
          <w:iCs/>
          <w:sz w:val="26"/>
          <w:szCs w:val="26"/>
        </w:rPr>
        <w:t xml:space="preserve">3. </w:t>
      </w:r>
      <w:r w:rsidR="001B5779" w:rsidRPr="0014373F">
        <w:rPr>
          <w:rFonts w:ascii="Arial Narrow" w:hAnsi="Arial Narrow"/>
          <w:iCs/>
          <w:sz w:val="26"/>
          <w:szCs w:val="26"/>
        </w:rPr>
        <w:t xml:space="preserve">Se destaca de la citada línea jurisprudencial, en cuanto acá es pertinente, que en los </w:t>
      </w:r>
      <w:r w:rsidRPr="0014373F">
        <w:rPr>
          <w:rFonts w:ascii="Arial Narrow" w:hAnsi="Arial Narrow"/>
          <w:iCs/>
          <w:sz w:val="26"/>
          <w:szCs w:val="26"/>
        </w:rPr>
        <w:t xml:space="preserve">procesos sucesorios no es aplicable la figura de desistimiento tácito.  </w:t>
      </w:r>
    </w:p>
    <w:p w14:paraId="109E64F8" w14:textId="77777777" w:rsidR="003705E3" w:rsidRPr="0014373F" w:rsidRDefault="003705E3" w:rsidP="0014373F">
      <w:pPr>
        <w:pStyle w:val="Default"/>
        <w:spacing w:line="276" w:lineRule="auto"/>
        <w:jc w:val="both"/>
        <w:rPr>
          <w:rFonts w:ascii="Arial Narrow" w:hAnsi="Arial Narrow"/>
          <w:iCs/>
          <w:sz w:val="26"/>
          <w:szCs w:val="26"/>
        </w:rPr>
      </w:pPr>
    </w:p>
    <w:p w14:paraId="27942BBA" w14:textId="19DFD398" w:rsidR="003705E3" w:rsidRPr="0014373F" w:rsidRDefault="003705E3" w:rsidP="0014373F">
      <w:pPr>
        <w:pStyle w:val="Default"/>
        <w:spacing w:line="276" w:lineRule="auto"/>
        <w:jc w:val="both"/>
        <w:rPr>
          <w:rFonts w:ascii="Arial Narrow" w:hAnsi="Arial Narrow"/>
          <w:iCs/>
          <w:sz w:val="26"/>
          <w:szCs w:val="26"/>
        </w:rPr>
      </w:pPr>
      <w:r w:rsidRPr="0014373F">
        <w:rPr>
          <w:rFonts w:ascii="Arial Narrow" w:hAnsi="Arial Narrow"/>
          <w:iCs/>
          <w:sz w:val="26"/>
          <w:szCs w:val="26"/>
        </w:rPr>
        <w:t xml:space="preserve">Así lo </w:t>
      </w:r>
      <w:r w:rsidR="007072F4" w:rsidRPr="0014373F">
        <w:rPr>
          <w:rFonts w:ascii="Arial Narrow" w:hAnsi="Arial Narrow"/>
          <w:iCs/>
          <w:sz w:val="26"/>
          <w:szCs w:val="26"/>
        </w:rPr>
        <w:t xml:space="preserve">reiteró </w:t>
      </w:r>
      <w:r w:rsidRPr="0014373F">
        <w:rPr>
          <w:rFonts w:ascii="Arial Narrow" w:hAnsi="Arial Narrow"/>
          <w:iCs/>
          <w:sz w:val="26"/>
          <w:szCs w:val="26"/>
        </w:rPr>
        <w:t>la Corte Suprema de Justicia en sentencia STC14909-2014</w:t>
      </w:r>
      <w:r w:rsidR="007072F4" w:rsidRPr="0014373F">
        <w:rPr>
          <w:rFonts w:ascii="Arial Narrow" w:hAnsi="Arial Narrow"/>
          <w:iCs/>
          <w:sz w:val="26"/>
          <w:szCs w:val="26"/>
        </w:rPr>
        <w:t>, donde señaló</w:t>
      </w:r>
      <w:r w:rsidRPr="0014373F">
        <w:rPr>
          <w:rFonts w:ascii="Arial Narrow" w:hAnsi="Arial Narrow"/>
          <w:iCs/>
          <w:sz w:val="26"/>
          <w:szCs w:val="26"/>
        </w:rPr>
        <w:t xml:space="preserve">: </w:t>
      </w:r>
    </w:p>
    <w:p w14:paraId="7A5E49CC" w14:textId="77777777" w:rsidR="003705E3" w:rsidRPr="0014373F" w:rsidRDefault="003705E3" w:rsidP="0014373F">
      <w:pPr>
        <w:pStyle w:val="Default"/>
        <w:spacing w:line="276" w:lineRule="auto"/>
        <w:jc w:val="both"/>
        <w:rPr>
          <w:rFonts w:ascii="Arial Narrow" w:hAnsi="Arial Narrow"/>
          <w:iCs/>
          <w:sz w:val="26"/>
          <w:szCs w:val="26"/>
        </w:rPr>
      </w:pPr>
    </w:p>
    <w:p w14:paraId="0E41FF0A" w14:textId="77777777" w:rsidR="003705E3" w:rsidRPr="0090142B" w:rsidRDefault="003705E3" w:rsidP="0090142B">
      <w:pPr>
        <w:pStyle w:val="Default"/>
        <w:ind w:left="426" w:right="420"/>
        <w:jc w:val="both"/>
        <w:rPr>
          <w:rFonts w:ascii="Arial Narrow" w:hAnsi="Arial Narrow"/>
          <w:i/>
          <w:szCs w:val="26"/>
        </w:rPr>
      </w:pPr>
      <w:r w:rsidRPr="0090142B">
        <w:rPr>
          <w:rFonts w:ascii="Arial Narrow" w:hAnsi="Arial Narrow"/>
          <w:i/>
          <w:szCs w:val="26"/>
        </w:rPr>
        <w:t>“Sobre lo que sucede con esa forma de terminación anormal del litigio tratándose de una mortuoria, se ha expuesto</w:t>
      </w:r>
    </w:p>
    <w:p w14:paraId="14E1D3B7" w14:textId="77777777" w:rsidR="003705E3" w:rsidRPr="0090142B" w:rsidRDefault="003705E3" w:rsidP="0090142B">
      <w:pPr>
        <w:pStyle w:val="Default"/>
        <w:ind w:left="426" w:right="420"/>
        <w:jc w:val="both"/>
        <w:rPr>
          <w:rFonts w:ascii="Arial Narrow" w:hAnsi="Arial Narrow"/>
          <w:i/>
          <w:szCs w:val="26"/>
        </w:rPr>
      </w:pPr>
    </w:p>
    <w:p w14:paraId="3683C5FC" w14:textId="77777777" w:rsidR="003705E3" w:rsidRPr="0090142B" w:rsidRDefault="003705E3" w:rsidP="0090142B">
      <w:pPr>
        <w:pStyle w:val="Default"/>
        <w:ind w:left="426" w:right="420"/>
        <w:jc w:val="both"/>
        <w:rPr>
          <w:rFonts w:ascii="Arial Narrow" w:hAnsi="Arial Narrow"/>
          <w:i/>
          <w:iCs/>
          <w:szCs w:val="26"/>
        </w:rPr>
      </w:pPr>
      <w:r w:rsidRPr="0090142B">
        <w:rPr>
          <w:rFonts w:ascii="Arial Narrow" w:hAnsi="Arial Narrow"/>
          <w:i/>
          <w:szCs w:val="26"/>
        </w:rPr>
        <w:t xml:space="preserve">“Por contrario, [el desistimiento tácito]  no ha de aplicarse a asuntos de naturaleza </w:t>
      </w:r>
      <w:proofErr w:type="spellStart"/>
      <w:r w:rsidRPr="0090142B">
        <w:rPr>
          <w:rFonts w:ascii="Arial Narrow" w:hAnsi="Arial Narrow"/>
          <w:i/>
          <w:szCs w:val="26"/>
        </w:rPr>
        <w:t>liquidatoria</w:t>
      </w:r>
      <w:proofErr w:type="spellEnd"/>
      <w:r w:rsidRPr="0090142B">
        <w:rPr>
          <w:rFonts w:ascii="Arial Narrow" w:hAnsi="Arial Narrow"/>
          <w:i/>
          <w:szCs w:val="26"/>
        </w:rPr>
        <w:t xml:space="preserve">, como quiera que por esa vía se llegaría a la inaceptable conclusión de que, operado el desistimiento tácito por segunda vez, una masa </w:t>
      </w:r>
      <w:proofErr w:type="spellStart"/>
      <w:r w:rsidRPr="0090142B">
        <w:rPr>
          <w:rFonts w:ascii="Arial Narrow" w:hAnsi="Arial Narrow"/>
          <w:i/>
          <w:szCs w:val="26"/>
        </w:rPr>
        <w:t>sucesoral</w:t>
      </w:r>
      <w:proofErr w:type="spellEnd"/>
      <w:r w:rsidRPr="0090142B">
        <w:rPr>
          <w:rFonts w:ascii="Arial Narrow" w:hAnsi="Arial Narrow"/>
          <w:i/>
          <w:szCs w:val="26"/>
        </w:rPr>
        <w:t xml:space="preserve"> jamás podría llegar a ser materia de repartición, dejando a los herederos perennemente desprovistos de su legítima asignación que por virtud de ley les pueda corresponder, lo que acarrearía, por ende, quedar los bienes relictos indefinidamente en indivisión y los interesados en continua comunidad. Por supuesto que el parecer anteriormente descrito lo repudia la ley, y es por tanto que como a ese nugatorio efecto procesal tendió el actuar desplegado en el asunto sub </w:t>
      </w:r>
      <w:proofErr w:type="spellStart"/>
      <w:r w:rsidRPr="0090142B">
        <w:rPr>
          <w:rFonts w:ascii="Arial Narrow" w:hAnsi="Arial Narrow"/>
          <w:i/>
          <w:szCs w:val="26"/>
        </w:rPr>
        <w:t>exámine</w:t>
      </w:r>
      <w:proofErr w:type="spellEnd"/>
      <w:r w:rsidRPr="0090142B">
        <w:rPr>
          <w:rFonts w:ascii="Arial Narrow" w:hAnsi="Arial Narrow"/>
          <w:i/>
          <w:szCs w:val="26"/>
        </w:rPr>
        <w:t xml:space="preserve">, se impone la ratificación del fallo impugnado.” (CSJ STC, 5 </w:t>
      </w:r>
      <w:proofErr w:type="spellStart"/>
      <w:r w:rsidRPr="0090142B">
        <w:rPr>
          <w:rFonts w:ascii="Arial Narrow" w:hAnsi="Arial Narrow"/>
          <w:i/>
          <w:szCs w:val="26"/>
        </w:rPr>
        <w:t>ag</w:t>
      </w:r>
      <w:proofErr w:type="spellEnd"/>
      <w:r w:rsidRPr="0090142B">
        <w:rPr>
          <w:rFonts w:ascii="Arial Narrow" w:hAnsi="Arial Narrow"/>
          <w:i/>
          <w:szCs w:val="26"/>
        </w:rPr>
        <w:t xml:space="preserve">. 2013. </w:t>
      </w:r>
      <w:proofErr w:type="spellStart"/>
      <w:r w:rsidRPr="0090142B">
        <w:rPr>
          <w:rFonts w:ascii="Arial Narrow" w:hAnsi="Arial Narrow"/>
          <w:i/>
          <w:szCs w:val="26"/>
        </w:rPr>
        <w:t>Exp</w:t>
      </w:r>
      <w:proofErr w:type="spellEnd"/>
      <w:r w:rsidRPr="0090142B">
        <w:rPr>
          <w:rFonts w:ascii="Arial Narrow" w:hAnsi="Arial Narrow"/>
          <w:i/>
          <w:szCs w:val="26"/>
        </w:rPr>
        <w:t>. 00241-01).”</w:t>
      </w:r>
      <w:r w:rsidRPr="0090142B">
        <w:rPr>
          <w:rFonts w:ascii="Arial Narrow" w:hAnsi="Arial Narrow"/>
          <w:i/>
          <w:iCs/>
          <w:szCs w:val="26"/>
        </w:rPr>
        <w:t xml:space="preserve"> </w:t>
      </w:r>
    </w:p>
    <w:p w14:paraId="784F185B" w14:textId="77777777" w:rsidR="003705E3" w:rsidRPr="0014373F" w:rsidRDefault="003705E3" w:rsidP="0014373F">
      <w:pPr>
        <w:pStyle w:val="Default"/>
        <w:spacing w:line="276" w:lineRule="auto"/>
        <w:jc w:val="both"/>
        <w:rPr>
          <w:rFonts w:ascii="Arial Narrow" w:hAnsi="Arial Narrow"/>
          <w:iCs/>
          <w:sz w:val="26"/>
          <w:szCs w:val="26"/>
        </w:rPr>
      </w:pPr>
    </w:p>
    <w:p w14:paraId="21EB5FEC" w14:textId="0A11F93B" w:rsidR="003705E3" w:rsidRPr="0014373F" w:rsidRDefault="003705E3" w:rsidP="0014373F">
      <w:pPr>
        <w:pStyle w:val="Default"/>
        <w:spacing w:line="276" w:lineRule="auto"/>
        <w:jc w:val="both"/>
        <w:rPr>
          <w:rFonts w:ascii="Arial Narrow" w:hAnsi="Arial Narrow"/>
          <w:iCs/>
          <w:sz w:val="26"/>
          <w:szCs w:val="26"/>
        </w:rPr>
      </w:pPr>
      <w:r w:rsidRPr="0014373F">
        <w:rPr>
          <w:rFonts w:ascii="Arial Narrow" w:hAnsi="Arial Narrow"/>
          <w:i/>
          <w:iCs/>
          <w:sz w:val="26"/>
          <w:szCs w:val="26"/>
        </w:rPr>
        <w:t xml:space="preserve">Ratio </w:t>
      </w:r>
      <w:proofErr w:type="spellStart"/>
      <w:r w:rsidRPr="0014373F">
        <w:rPr>
          <w:rFonts w:ascii="Arial Narrow" w:hAnsi="Arial Narrow"/>
          <w:i/>
          <w:iCs/>
          <w:sz w:val="26"/>
          <w:szCs w:val="26"/>
        </w:rPr>
        <w:t>decidendi</w:t>
      </w:r>
      <w:proofErr w:type="spellEnd"/>
      <w:r w:rsidRPr="0014373F">
        <w:rPr>
          <w:rFonts w:ascii="Arial Narrow" w:hAnsi="Arial Narrow"/>
          <w:iCs/>
          <w:sz w:val="26"/>
          <w:szCs w:val="26"/>
        </w:rPr>
        <w:t xml:space="preserve"> reiterada en sentencia STC21493-2017,</w:t>
      </w:r>
      <w:r w:rsidR="00605236" w:rsidRPr="0014373F">
        <w:rPr>
          <w:rFonts w:ascii="Arial Narrow" w:hAnsi="Arial Narrow"/>
          <w:iCs/>
          <w:sz w:val="26"/>
          <w:szCs w:val="26"/>
        </w:rPr>
        <w:t xml:space="preserve"> y </w:t>
      </w:r>
      <w:r w:rsidRPr="0014373F">
        <w:rPr>
          <w:rFonts w:ascii="Arial Narrow" w:hAnsi="Arial Narrow"/>
          <w:iCs/>
          <w:sz w:val="26"/>
          <w:szCs w:val="26"/>
        </w:rPr>
        <w:t xml:space="preserve">sentencia STC006-2019, </w:t>
      </w:r>
      <w:r w:rsidR="00605236" w:rsidRPr="0014373F">
        <w:rPr>
          <w:rFonts w:ascii="Arial Narrow" w:hAnsi="Arial Narrow"/>
          <w:iCs/>
          <w:sz w:val="26"/>
          <w:szCs w:val="26"/>
        </w:rPr>
        <w:t>donde se afirmó:</w:t>
      </w:r>
      <w:r w:rsidRPr="0014373F">
        <w:rPr>
          <w:rFonts w:ascii="Arial Narrow" w:hAnsi="Arial Narrow"/>
          <w:iCs/>
          <w:sz w:val="26"/>
          <w:szCs w:val="26"/>
        </w:rPr>
        <w:t xml:space="preserve"> </w:t>
      </w:r>
    </w:p>
    <w:p w14:paraId="5DCBAC09" w14:textId="77777777" w:rsidR="003705E3" w:rsidRPr="0014373F" w:rsidRDefault="003705E3" w:rsidP="0014373F">
      <w:pPr>
        <w:pStyle w:val="Default"/>
        <w:spacing w:line="276" w:lineRule="auto"/>
        <w:jc w:val="both"/>
        <w:rPr>
          <w:rFonts w:ascii="Arial Narrow" w:hAnsi="Arial Narrow"/>
          <w:iCs/>
          <w:sz w:val="26"/>
          <w:szCs w:val="26"/>
        </w:rPr>
      </w:pPr>
    </w:p>
    <w:p w14:paraId="6993C429" w14:textId="77777777" w:rsidR="003705E3" w:rsidRPr="0090142B" w:rsidRDefault="003705E3" w:rsidP="0090142B">
      <w:pPr>
        <w:pStyle w:val="Default"/>
        <w:ind w:left="426" w:right="420"/>
        <w:jc w:val="both"/>
        <w:rPr>
          <w:rFonts w:ascii="Arial Narrow" w:hAnsi="Arial Narrow"/>
          <w:i/>
          <w:szCs w:val="26"/>
        </w:rPr>
      </w:pPr>
      <w:r w:rsidRPr="0090142B">
        <w:rPr>
          <w:rFonts w:ascii="Arial Narrow" w:hAnsi="Arial Narrow"/>
          <w:i/>
          <w:szCs w:val="26"/>
        </w:rPr>
        <w:t xml:space="preserve">“Tal postura ha sido mantenida inamovible por esta Corporación en sendos pronunciamientos, permitiendo predicar la existencia de una línea jurisprudencial definida a la cual debía ceñirse el funcionario, o de estimar inapropiada su aplicabilidad al sumario concreto, le correspondía cumplir con la carga de justificar suficientemente su criterio, lo que no acaeció pues ni siquiera hizo alusión a la tesis descrita con precedencia, refulgiendo la vía de hecho alegada por el censor.” </w:t>
      </w:r>
    </w:p>
    <w:p w14:paraId="64D95280" w14:textId="77777777" w:rsidR="003705E3" w:rsidRPr="0014373F" w:rsidRDefault="003705E3" w:rsidP="0014373F">
      <w:pPr>
        <w:pStyle w:val="Default"/>
        <w:spacing w:line="276" w:lineRule="auto"/>
        <w:jc w:val="both"/>
        <w:rPr>
          <w:rFonts w:ascii="Arial Narrow" w:hAnsi="Arial Narrow"/>
          <w:iCs/>
          <w:sz w:val="26"/>
          <w:szCs w:val="26"/>
        </w:rPr>
      </w:pPr>
    </w:p>
    <w:p w14:paraId="003EF124" w14:textId="09C3C2F4" w:rsidR="003705E3" w:rsidRPr="0014373F" w:rsidRDefault="003705E3" w:rsidP="0014373F">
      <w:pPr>
        <w:pStyle w:val="Default"/>
        <w:spacing w:line="276" w:lineRule="auto"/>
        <w:jc w:val="both"/>
        <w:rPr>
          <w:rFonts w:ascii="Arial Narrow" w:hAnsi="Arial Narrow"/>
          <w:iCs/>
          <w:sz w:val="26"/>
          <w:szCs w:val="26"/>
        </w:rPr>
      </w:pPr>
      <w:r w:rsidRPr="0014373F">
        <w:rPr>
          <w:rFonts w:ascii="Arial Narrow" w:hAnsi="Arial Narrow"/>
          <w:iCs/>
          <w:sz w:val="26"/>
          <w:szCs w:val="26"/>
        </w:rPr>
        <w:t>Vale recalcar que el yerro al debido proceso cuando se ha aplicado el desistimiento tácito en tr</w:t>
      </w:r>
      <w:r w:rsidR="009D6787" w:rsidRPr="0014373F">
        <w:rPr>
          <w:rFonts w:ascii="Arial Narrow" w:hAnsi="Arial Narrow"/>
          <w:iCs/>
          <w:sz w:val="26"/>
          <w:szCs w:val="26"/>
        </w:rPr>
        <w:t>á</w:t>
      </w:r>
      <w:r w:rsidRPr="0014373F">
        <w:rPr>
          <w:rFonts w:ascii="Arial Narrow" w:hAnsi="Arial Narrow"/>
          <w:iCs/>
          <w:sz w:val="26"/>
          <w:szCs w:val="26"/>
        </w:rPr>
        <w:t xml:space="preserve">mites </w:t>
      </w:r>
      <w:r w:rsidR="009D6787" w:rsidRPr="0014373F">
        <w:rPr>
          <w:rFonts w:ascii="Arial Narrow" w:hAnsi="Arial Narrow"/>
          <w:iCs/>
          <w:sz w:val="26"/>
          <w:szCs w:val="26"/>
        </w:rPr>
        <w:t>sucesorios</w:t>
      </w:r>
      <w:r w:rsidRPr="0014373F">
        <w:rPr>
          <w:rFonts w:ascii="Arial Narrow" w:hAnsi="Arial Narrow"/>
          <w:iCs/>
          <w:sz w:val="26"/>
          <w:szCs w:val="26"/>
        </w:rPr>
        <w:t xml:space="preserve"> se ha considerado una anomalía procesal tal, que incluso sin haberse agotado las herramientas de defensa ordinarias el ruego de protección constitucional contra providencia judicial ha prosperado.</w:t>
      </w:r>
    </w:p>
    <w:p w14:paraId="5D5059B8" w14:textId="6E8EBE9C" w:rsidR="00C1764B" w:rsidRPr="0014373F" w:rsidRDefault="00C1764B" w:rsidP="0014373F">
      <w:pPr>
        <w:pStyle w:val="Default"/>
        <w:spacing w:line="276" w:lineRule="auto"/>
        <w:jc w:val="both"/>
        <w:rPr>
          <w:rFonts w:ascii="Arial Narrow" w:hAnsi="Arial Narrow"/>
          <w:iCs/>
          <w:sz w:val="26"/>
          <w:szCs w:val="26"/>
        </w:rPr>
      </w:pPr>
    </w:p>
    <w:p w14:paraId="77E06359" w14:textId="5EDB27AB" w:rsidR="004C0260" w:rsidRPr="0014373F" w:rsidRDefault="004C0260" w:rsidP="0014373F">
      <w:pPr>
        <w:pStyle w:val="Default"/>
        <w:spacing w:line="276" w:lineRule="auto"/>
        <w:jc w:val="both"/>
        <w:rPr>
          <w:rFonts w:ascii="Arial Narrow" w:hAnsi="Arial Narrow"/>
          <w:iCs/>
          <w:sz w:val="26"/>
          <w:szCs w:val="26"/>
        </w:rPr>
      </w:pPr>
      <w:r w:rsidRPr="0014373F">
        <w:rPr>
          <w:rFonts w:ascii="Arial Narrow" w:hAnsi="Arial Narrow"/>
          <w:iCs/>
          <w:sz w:val="26"/>
          <w:szCs w:val="26"/>
        </w:rPr>
        <w:lastRenderedPageBreak/>
        <w:t>4. Es palmaria la similitud entre este caso y los analizados en las sentencias</w:t>
      </w:r>
      <w:r w:rsidR="00E24232" w:rsidRPr="0014373F">
        <w:rPr>
          <w:rFonts w:ascii="Arial Narrow" w:hAnsi="Arial Narrow"/>
          <w:iCs/>
          <w:sz w:val="26"/>
          <w:szCs w:val="26"/>
        </w:rPr>
        <w:t xml:space="preserve"> citadas,</w:t>
      </w:r>
      <w:r w:rsidRPr="0014373F">
        <w:rPr>
          <w:rFonts w:ascii="Arial Narrow" w:hAnsi="Arial Narrow"/>
          <w:iCs/>
          <w:sz w:val="26"/>
          <w:szCs w:val="26"/>
        </w:rPr>
        <w:t xml:space="preserve"> </w:t>
      </w:r>
      <w:r w:rsidR="00E24232" w:rsidRPr="0014373F">
        <w:rPr>
          <w:rFonts w:ascii="Arial Narrow" w:hAnsi="Arial Narrow"/>
          <w:iCs/>
          <w:sz w:val="26"/>
          <w:szCs w:val="26"/>
        </w:rPr>
        <w:t xml:space="preserve">así como lo es que la aplicación del </w:t>
      </w:r>
      <w:r w:rsidR="00EB4587" w:rsidRPr="0014373F">
        <w:rPr>
          <w:rFonts w:ascii="Arial Narrow" w:hAnsi="Arial Narrow"/>
          <w:iCs/>
          <w:sz w:val="26"/>
          <w:szCs w:val="26"/>
        </w:rPr>
        <w:t xml:space="preserve">desistimiento tácito en esta especie de proceso no motivó ningún tipo de análisis por el juzgador de primer grado, ni se </w:t>
      </w:r>
      <w:r w:rsidR="009701FE" w:rsidRPr="0014373F">
        <w:rPr>
          <w:rFonts w:ascii="Arial Narrow" w:hAnsi="Arial Narrow"/>
          <w:iCs/>
          <w:sz w:val="26"/>
          <w:szCs w:val="26"/>
        </w:rPr>
        <w:t xml:space="preserve">hilvanó alguna argumentación para apartarse de la conclusión </w:t>
      </w:r>
      <w:r w:rsidR="008A5F77" w:rsidRPr="0014373F">
        <w:rPr>
          <w:rFonts w:ascii="Arial Narrow" w:hAnsi="Arial Narrow"/>
          <w:iCs/>
          <w:sz w:val="26"/>
          <w:szCs w:val="26"/>
        </w:rPr>
        <w:t>que,</w:t>
      </w:r>
      <w:r w:rsidR="009701FE" w:rsidRPr="0014373F">
        <w:rPr>
          <w:rFonts w:ascii="Arial Narrow" w:hAnsi="Arial Narrow"/>
          <w:iCs/>
          <w:sz w:val="26"/>
          <w:szCs w:val="26"/>
        </w:rPr>
        <w:t xml:space="preserve"> sobre el particular, en casos análogos, ha sostenido la línea jurisprudencial reseñada.</w:t>
      </w:r>
    </w:p>
    <w:p w14:paraId="71FFAE84" w14:textId="78D6E32E" w:rsidR="004031F4" w:rsidRPr="0014373F" w:rsidRDefault="004031F4" w:rsidP="0014373F">
      <w:pPr>
        <w:shd w:val="clear" w:color="auto" w:fill="FFFFFF"/>
        <w:spacing w:line="276" w:lineRule="auto"/>
        <w:ind w:right="18"/>
        <w:jc w:val="both"/>
        <w:rPr>
          <w:rFonts w:ascii="Arial Narrow" w:hAnsi="Arial Narrow"/>
          <w:color w:val="000000"/>
          <w:sz w:val="26"/>
          <w:szCs w:val="26"/>
        </w:rPr>
      </w:pPr>
    </w:p>
    <w:p w14:paraId="5FFF787E" w14:textId="411FD096" w:rsidR="000879D0" w:rsidRPr="0014373F" w:rsidRDefault="00714C63" w:rsidP="0014373F">
      <w:pPr>
        <w:spacing w:line="276" w:lineRule="auto"/>
        <w:jc w:val="both"/>
        <w:rPr>
          <w:rFonts w:ascii="Arial Narrow" w:hAnsi="Arial Narrow"/>
          <w:color w:val="000000"/>
          <w:sz w:val="26"/>
          <w:szCs w:val="26"/>
        </w:rPr>
      </w:pPr>
      <w:r w:rsidRPr="0014373F">
        <w:rPr>
          <w:rFonts w:ascii="Arial Narrow" w:hAnsi="Arial Narrow"/>
          <w:color w:val="000000"/>
          <w:sz w:val="26"/>
          <w:szCs w:val="26"/>
        </w:rPr>
        <w:t xml:space="preserve">Lo explicado </w:t>
      </w:r>
      <w:r w:rsidR="009701FE" w:rsidRPr="0014373F">
        <w:rPr>
          <w:rFonts w:ascii="Arial Narrow" w:hAnsi="Arial Narrow"/>
          <w:color w:val="000000"/>
          <w:sz w:val="26"/>
          <w:szCs w:val="26"/>
        </w:rPr>
        <w:t xml:space="preserve">hace procedente </w:t>
      </w:r>
      <w:r w:rsidRPr="0014373F">
        <w:rPr>
          <w:rFonts w:ascii="Arial Narrow" w:hAnsi="Arial Narrow"/>
          <w:color w:val="000000"/>
          <w:sz w:val="26"/>
          <w:szCs w:val="26"/>
        </w:rPr>
        <w:t>revocar la providencia apelada, así el argumento de alzada no haya hecho referencia concreta a la improcedencia en la aplicación de la referida norma en esta clase de procesos, pues lo contrario sería mantener la vigencia de una decisión en desmedro del derecho al debido proceso de l</w:t>
      </w:r>
      <w:r w:rsidR="00A743A9" w:rsidRPr="0014373F">
        <w:rPr>
          <w:rFonts w:ascii="Arial Narrow" w:hAnsi="Arial Narrow"/>
          <w:color w:val="000000"/>
          <w:sz w:val="26"/>
          <w:szCs w:val="26"/>
        </w:rPr>
        <w:t xml:space="preserve">os intervinientes en </w:t>
      </w:r>
      <w:r w:rsidRPr="0014373F">
        <w:rPr>
          <w:rFonts w:ascii="Arial Narrow" w:hAnsi="Arial Narrow"/>
          <w:color w:val="000000"/>
          <w:sz w:val="26"/>
          <w:szCs w:val="26"/>
        </w:rPr>
        <w:t>el asunto, y con desconocimiento de</w:t>
      </w:r>
      <w:r w:rsidR="00E60F39" w:rsidRPr="0014373F">
        <w:rPr>
          <w:rFonts w:ascii="Arial Narrow" w:hAnsi="Arial Narrow"/>
          <w:color w:val="000000"/>
          <w:sz w:val="26"/>
          <w:szCs w:val="26"/>
        </w:rPr>
        <w:t xml:space="preserve"> </w:t>
      </w:r>
      <w:r w:rsidRPr="0014373F">
        <w:rPr>
          <w:rFonts w:ascii="Arial Narrow" w:hAnsi="Arial Narrow"/>
          <w:color w:val="000000"/>
          <w:sz w:val="26"/>
          <w:szCs w:val="26"/>
        </w:rPr>
        <w:t>l</w:t>
      </w:r>
      <w:r w:rsidR="00E60F39" w:rsidRPr="0014373F">
        <w:rPr>
          <w:rFonts w:ascii="Arial Narrow" w:hAnsi="Arial Narrow"/>
          <w:color w:val="000000"/>
          <w:sz w:val="26"/>
          <w:szCs w:val="26"/>
        </w:rPr>
        <w:t>a línea jurisprudencia</w:t>
      </w:r>
      <w:r w:rsidR="00A743A9" w:rsidRPr="0014373F">
        <w:rPr>
          <w:rFonts w:ascii="Arial Narrow" w:hAnsi="Arial Narrow"/>
          <w:color w:val="000000"/>
          <w:sz w:val="26"/>
          <w:szCs w:val="26"/>
        </w:rPr>
        <w:t>l</w:t>
      </w:r>
      <w:r w:rsidR="00E60F39" w:rsidRPr="0014373F">
        <w:rPr>
          <w:rFonts w:ascii="Arial Narrow" w:hAnsi="Arial Narrow"/>
          <w:color w:val="000000"/>
          <w:sz w:val="26"/>
          <w:szCs w:val="26"/>
        </w:rPr>
        <w:t xml:space="preserve"> resaltada, </w:t>
      </w:r>
      <w:r w:rsidRPr="0014373F">
        <w:rPr>
          <w:rFonts w:ascii="Arial Narrow" w:hAnsi="Arial Narrow"/>
          <w:color w:val="000000"/>
          <w:sz w:val="26"/>
          <w:szCs w:val="26"/>
        </w:rPr>
        <w:t xml:space="preserve">sin atender el deber del juez de velar por las garantías de las partes del proceso. </w:t>
      </w:r>
    </w:p>
    <w:p w14:paraId="31E1D9F2" w14:textId="77777777" w:rsidR="000879D0" w:rsidRPr="0014373F" w:rsidRDefault="000879D0" w:rsidP="0014373F">
      <w:pPr>
        <w:spacing w:line="276" w:lineRule="auto"/>
        <w:jc w:val="both"/>
        <w:rPr>
          <w:rFonts w:ascii="Arial Narrow" w:hAnsi="Arial Narrow"/>
          <w:color w:val="000000"/>
          <w:sz w:val="26"/>
          <w:szCs w:val="26"/>
        </w:rPr>
      </w:pPr>
    </w:p>
    <w:p w14:paraId="2FA49B0D" w14:textId="4B626967" w:rsidR="00714C63" w:rsidRPr="0014373F" w:rsidRDefault="00E60F39" w:rsidP="0014373F">
      <w:pPr>
        <w:spacing w:line="276" w:lineRule="auto"/>
        <w:jc w:val="both"/>
        <w:rPr>
          <w:rFonts w:ascii="Arial Narrow" w:hAnsi="Arial Narrow"/>
          <w:color w:val="000000"/>
          <w:sz w:val="26"/>
          <w:szCs w:val="26"/>
        </w:rPr>
      </w:pPr>
      <w:r w:rsidRPr="0014373F">
        <w:rPr>
          <w:rFonts w:ascii="Arial Narrow" w:hAnsi="Arial Narrow"/>
          <w:color w:val="000000"/>
          <w:sz w:val="26"/>
          <w:szCs w:val="26"/>
        </w:rPr>
        <w:t xml:space="preserve">Lo anterior, además, porque </w:t>
      </w:r>
      <w:r w:rsidR="00333143" w:rsidRPr="0014373F">
        <w:rPr>
          <w:rFonts w:ascii="Arial Narrow" w:hAnsi="Arial Narrow"/>
          <w:color w:val="000000"/>
          <w:sz w:val="26"/>
          <w:szCs w:val="26"/>
        </w:rPr>
        <w:t>“</w:t>
      </w:r>
      <w:r w:rsidR="00333143" w:rsidRPr="0090142B">
        <w:rPr>
          <w:rFonts w:ascii="Arial Narrow" w:hAnsi="Arial Narrow"/>
          <w:i/>
          <w:iCs/>
          <w:color w:val="000000"/>
          <w:szCs w:val="26"/>
        </w:rPr>
        <w:t>lo cierto es que al resolver la impugnación de un auto que da aplicación al desistimiento tácito, el trabajo del a-</w:t>
      </w:r>
      <w:proofErr w:type="spellStart"/>
      <w:r w:rsidR="00333143" w:rsidRPr="0090142B">
        <w:rPr>
          <w:rFonts w:ascii="Arial Narrow" w:hAnsi="Arial Narrow"/>
          <w:i/>
          <w:iCs/>
          <w:color w:val="000000"/>
          <w:szCs w:val="26"/>
        </w:rPr>
        <w:t>quem</w:t>
      </w:r>
      <w:proofErr w:type="spellEnd"/>
      <w:r w:rsidR="00333143" w:rsidRPr="0090142B">
        <w:rPr>
          <w:rFonts w:ascii="Arial Narrow" w:hAnsi="Arial Narrow"/>
          <w:i/>
          <w:iCs/>
          <w:color w:val="000000"/>
          <w:szCs w:val="26"/>
        </w:rPr>
        <w:t xml:space="preserve"> no se limita a verificar de manera automática fechas, sino que requiere de la revisión de los</w:t>
      </w:r>
      <w:r w:rsidR="001645E5" w:rsidRPr="0090142B">
        <w:rPr>
          <w:rFonts w:ascii="Arial Narrow" w:hAnsi="Arial Narrow"/>
          <w:i/>
          <w:iCs/>
          <w:color w:val="000000"/>
          <w:szCs w:val="26"/>
        </w:rPr>
        <w:t xml:space="preserve"> </w:t>
      </w:r>
      <w:r w:rsidR="00333143" w:rsidRPr="0090142B">
        <w:rPr>
          <w:rFonts w:ascii="Arial Narrow" w:hAnsi="Arial Narrow"/>
          <w:i/>
          <w:iCs/>
          <w:color w:val="000000"/>
          <w:szCs w:val="26"/>
        </w:rPr>
        <w:t>presupuestos contemplados en la norma citada. La primera de ellas, referida a que el requerimiento establecido en la primera hipótesis, debe hacerse respecto a una carga o acto de parte necesario para que él trámite continúe, la que desatendió</w:t>
      </w:r>
      <w:r w:rsidR="001645E5" w:rsidRPr="0014373F">
        <w:rPr>
          <w:rFonts w:ascii="Arial Narrow" w:hAnsi="Arial Narrow"/>
          <w:color w:val="000000"/>
          <w:sz w:val="26"/>
          <w:szCs w:val="26"/>
        </w:rPr>
        <w:t>”</w:t>
      </w:r>
      <w:r w:rsidR="001645E5" w:rsidRPr="0014373F">
        <w:rPr>
          <w:rStyle w:val="Refdenotaalpie"/>
          <w:rFonts w:ascii="Arial Narrow" w:hAnsi="Arial Narrow"/>
          <w:color w:val="000000"/>
          <w:sz w:val="26"/>
          <w:szCs w:val="26"/>
        </w:rPr>
        <w:footnoteReference w:id="3"/>
      </w:r>
      <w:r w:rsidR="00333143" w:rsidRPr="0014373F">
        <w:rPr>
          <w:rFonts w:ascii="Arial Narrow" w:hAnsi="Arial Narrow"/>
          <w:color w:val="000000"/>
          <w:sz w:val="26"/>
          <w:szCs w:val="26"/>
        </w:rPr>
        <w:t>.</w:t>
      </w:r>
      <w:r w:rsidR="000879D0" w:rsidRPr="0014373F">
        <w:rPr>
          <w:rFonts w:ascii="Arial Narrow" w:hAnsi="Arial Narrow"/>
          <w:color w:val="000000"/>
          <w:sz w:val="26"/>
          <w:szCs w:val="26"/>
        </w:rPr>
        <w:t xml:space="preserve"> En el caso concreto, presupuesto de la aplicación</w:t>
      </w:r>
      <w:r w:rsidR="009A4304" w:rsidRPr="0014373F">
        <w:rPr>
          <w:rFonts w:ascii="Arial Narrow" w:hAnsi="Arial Narrow"/>
          <w:color w:val="000000"/>
          <w:sz w:val="26"/>
          <w:szCs w:val="26"/>
        </w:rPr>
        <w:t xml:space="preserve"> de la forma de terminación anormal en estudio era su procedencia o aplicabilidad en esta clase de procesos,</w:t>
      </w:r>
      <w:r w:rsidR="00E60EC0" w:rsidRPr="0014373F">
        <w:rPr>
          <w:rFonts w:ascii="Arial Narrow" w:hAnsi="Arial Narrow"/>
          <w:color w:val="000000"/>
          <w:sz w:val="26"/>
          <w:szCs w:val="26"/>
        </w:rPr>
        <w:t xml:space="preserve"> aserto sobre el cual nada dijo </w:t>
      </w:r>
      <w:r w:rsidR="009B61A1" w:rsidRPr="0014373F">
        <w:rPr>
          <w:rFonts w:ascii="Arial Narrow" w:hAnsi="Arial Narrow"/>
          <w:color w:val="000000"/>
          <w:sz w:val="26"/>
          <w:szCs w:val="26"/>
        </w:rPr>
        <w:t xml:space="preserve">el a quo, de donde se entiende que tampoco lo haya </w:t>
      </w:r>
      <w:r w:rsidR="00874C0A" w:rsidRPr="0014373F">
        <w:rPr>
          <w:rFonts w:ascii="Arial Narrow" w:hAnsi="Arial Narrow"/>
          <w:color w:val="000000"/>
          <w:sz w:val="26"/>
          <w:szCs w:val="26"/>
        </w:rPr>
        <w:t>hecho</w:t>
      </w:r>
      <w:r w:rsidR="009B61A1" w:rsidRPr="0014373F">
        <w:rPr>
          <w:rFonts w:ascii="Arial Narrow" w:hAnsi="Arial Narrow"/>
          <w:color w:val="000000"/>
          <w:sz w:val="26"/>
          <w:szCs w:val="26"/>
        </w:rPr>
        <w:t xml:space="preserve"> el recurrente.</w:t>
      </w:r>
      <w:r w:rsidR="009A4304" w:rsidRPr="0014373F">
        <w:rPr>
          <w:rFonts w:ascii="Arial Narrow" w:hAnsi="Arial Narrow"/>
          <w:color w:val="000000"/>
          <w:sz w:val="26"/>
          <w:szCs w:val="26"/>
        </w:rPr>
        <w:t xml:space="preserve"> </w:t>
      </w:r>
    </w:p>
    <w:p w14:paraId="70C060FF" w14:textId="79337715" w:rsidR="00501C1F" w:rsidRPr="0014373F" w:rsidRDefault="00501C1F" w:rsidP="0014373F">
      <w:pPr>
        <w:pStyle w:val="Default"/>
        <w:spacing w:line="276" w:lineRule="auto"/>
        <w:jc w:val="both"/>
        <w:rPr>
          <w:rFonts w:ascii="Arial Narrow" w:hAnsi="Arial Narrow"/>
          <w:iCs/>
          <w:sz w:val="26"/>
          <w:szCs w:val="26"/>
        </w:rPr>
      </w:pPr>
      <w:r w:rsidRPr="0014373F">
        <w:rPr>
          <w:rFonts w:ascii="Arial Narrow" w:hAnsi="Arial Narrow"/>
          <w:iCs/>
          <w:sz w:val="26"/>
          <w:szCs w:val="26"/>
        </w:rPr>
        <w:t xml:space="preserve"> </w:t>
      </w:r>
    </w:p>
    <w:p w14:paraId="2DDE9F18" w14:textId="2B36F660" w:rsidR="00501C1F" w:rsidRPr="0014373F" w:rsidRDefault="009B61A1" w:rsidP="0014373F">
      <w:pPr>
        <w:pStyle w:val="Default"/>
        <w:spacing w:line="276" w:lineRule="auto"/>
        <w:jc w:val="both"/>
        <w:rPr>
          <w:rFonts w:ascii="Arial Narrow" w:hAnsi="Arial Narrow" w:cs="Arial Narrow"/>
          <w:bCs/>
          <w:sz w:val="26"/>
          <w:szCs w:val="26"/>
          <w:lang w:val="es-ES"/>
        </w:rPr>
      </w:pPr>
      <w:r w:rsidRPr="0014373F">
        <w:rPr>
          <w:rFonts w:ascii="Arial Narrow" w:hAnsi="Arial Narrow"/>
          <w:iCs/>
          <w:sz w:val="26"/>
          <w:szCs w:val="26"/>
        </w:rPr>
        <w:t xml:space="preserve">5. </w:t>
      </w:r>
      <w:r w:rsidR="00501C1F" w:rsidRPr="0014373F">
        <w:rPr>
          <w:rFonts w:ascii="Arial Narrow" w:hAnsi="Arial Narrow"/>
          <w:iCs/>
          <w:sz w:val="26"/>
          <w:szCs w:val="26"/>
        </w:rPr>
        <w:t xml:space="preserve">Así las cosas, </w:t>
      </w:r>
      <w:r w:rsidRPr="0014373F">
        <w:rPr>
          <w:rFonts w:ascii="Arial Narrow" w:hAnsi="Arial Narrow"/>
          <w:iCs/>
          <w:sz w:val="26"/>
          <w:szCs w:val="26"/>
        </w:rPr>
        <w:t xml:space="preserve">se </w:t>
      </w:r>
      <w:r w:rsidR="00501C1F" w:rsidRPr="0014373F">
        <w:rPr>
          <w:rFonts w:ascii="Arial Narrow" w:hAnsi="Arial Narrow"/>
          <w:iCs/>
          <w:sz w:val="26"/>
          <w:szCs w:val="26"/>
        </w:rPr>
        <w:t>revocar</w:t>
      </w:r>
      <w:r w:rsidRPr="0014373F">
        <w:rPr>
          <w:rFonts w:ascii="Arial Narrow" w:hAnsi="Arial Narrow"/>
          <w:iCs/>
          <w:sz w:val="26"/>
          <w:szCs w:val="26"/>
        </w:rPr>
        <w:t>á</w:t>
      </w:r>
      <w:r w:rsidR="00501C1F" w:rsidRPr="0014373F">
        <w:rPr>
          <w:rFonts w:ascii="Arial Narrow" w:hAnsi="Arial Narrow"/>
          <w:iCs/>
          <w:sz w:val="26"/>
          <w:szCs w:val="26"/>
        </w:rPr>
        <w:t xml:space="preserve"> la decisión de primera instancia</w:t>
      </w:r>
      <w:r w:rsidR="00B67CA3" w:rsidRPr="0014373F">
        <w:rPr>
          <w:rFonts w:ascii="Arial Narrow" w:hAnsi="Arial Narrow"/>
          <w:iCs/>
          <w:sz w:val="26"/>
          <w:szCs w:val="26"/>
        </w:rPr>
        <w:t>.</w:t>
      </w:r>
    </w:p>
    <w:p w14:paraId="53A03DEB" w14:textId="77777777" w:rsidR="00FF35D6" w:rsidRPr="0014373F" w:rsidRDefault="00FF35D6" w:rsidP="0014373F">
      <w:pPr>
        <w:pStyle w:val="Textoindependiente"/>
        <w:spacing w:line="276" w:lineRule="auto"/>
        <w:ind w:right="157"/>
        <w:rPr>
          <w:rFonts w:ascii="Arial Narrow" w:hAnsi="Arial Narrow" w:cs="Arial Narrow"/>
          <w:bCs/>
          <w:sz w:val="26"/>
          <w:szCs w:val="26"/>
          <w:lang w:val="es-ES"/>
        </w:rPr>
      </w:pPr>
    </w:p>
    <w:p w14:paraId="11EC89BD" w14:textId="0A7A7A3A" w:rsidR="00F2106F" w:rsidRPr="0014373F" w:rsidRDefault="00F2106F" w:rsidP="0014373F">
      <w:pPr>
        <w:pStyle w:val="Textoindependiente"/>
        <w:spacing w:line="276" w:lineRule="auto"/>
        <w:ind w:right="51"/>
        <w:rPr>
          <w:rFonts w:ascii="Arial Narrow" w:hAnsi="Arial Narrow" w:cs="Arial Narrow"/>
          <w:bCs/>
          <w:sz w:val="26"/>
          <w:szCs w:val="26"/>
          <w:lang w:val="es-ES"/>
        </w:rPr>
      </w:pPr>
      <w:r w:rsidRPr="0014373F">
        <w:rPr>
          <w:rFonts w:ascii="Arial Narrow" w:hAnsi="Arial Narrow" w:cs="Arial Narrow"/>
          <w:bCs/>
          <w:sz w:val="26"/>
          <w:szCs w:val="26"/>
          <w:lang w:val="es-ES"/>
        </w:rPr>
        <w:t xml:space="preserve">En </w:t>
      </w:r>
      <w:r w:rsidR="00FF35D6" w:rsidRPr="0014373F">
        <w:rPr>
          <w:rFonts w:ascii="Arial Narrow" w:hAnsi="Arial Narrow" w:cs="Arial Narrow"/>
          <w:bCs/>
          <w:sz w:val="26"/>
          <w:szCs w:val="26"/>
          <w:lang w:val="es-ES"/>
        </w:rPr>
        <w:t>mérito</w:t>
      </w:r>
      <w:r w:rsidRPr="0014373F">
        <w:rPr>
          <w:rFonts w:ascii="Arial Narrow" w:hAnsi="Arial Narrow" w:cs="Arial Narrow"/>
          <w:bCs/>
          <w:sz w:val="26"/>
          <w:szCs w:val="26"/>
          <w:lang w:val="es-ES"/>
        </w:rPr>
        <w:t xml:space="preserve"> de lo expuesto el </w:t>
      </w:r>
      <w:r w:rsidR="0090142B" w:rsidRPr="0014373F">
        <w:rPr>
          <w:rFonts w:ascii="Arial Narrow" w:hAnsi="Arial Narrow" w:cs="Arial Narrow"/>
          <w:bCs/>
          <w:sz w:val="26"/>
          <w:szCs w:val="26"/>
          <w:lang w:val="es-ES"/>
        </w:rPr>
        <w:t xml:space="preserve">Despacho </w:t>
      </w:r>
      <w:r w:rsidRPr="0014373F">
        <w:rPr>
          <w:rFonts w:ascii="Arial Narrow" w:hAnsi="Arial Narrow" w:cs="Arial Narrow"/>
          <w:bCs/>
          <w:sz w:val="26"/>
          <w:szCs w:val="26"/>
          <w:lang w:val="es-ES"/>
        </w:rPr>
        <w:t xml:space="preserve">002 de la Sala Civil Familia del Tribunal Superior de Pereira. </w:t>
      </w:r>
    </w:p>
    <w:p w14:paraId="185910FA" w14:textId="77777777" w:rsidR="00F2106F" w:rsidRPr="0014373F" w:rsidRDefault="00F2106F" w:rsidP="0014373F">
      <w:pPr>
        <w:pStyle w:val="Textoindependiente"/>
        <w:spacing w:line="276" w:lineRule="auto"/>
        <w:ind w:right="157"/>
        <w:rPr>
          <w:rFonts w:ascii="Arial Narrow" w:hAnsi="Arial Narrow" w:cs="Arial Narrow"/>
          <w:bCs/>
          <w:sz w:val="26"/>
          <w:szCs w:val="26"/>
          <w:lang w:val="es-ES"/>
        </w:rPr>
      </w:pPr>
    </w:p>
    <w:p w14:paraId="2BED1725" w14:textId="5A486E73" w:rsidR="00F2106F" w:rsidRPr="0014373F" w:rsidRDefault="00F2106F" w:rsidP="0014373F">
      <w:pPr>
        <w:pStyle w:val="Textoindependiente"/>
        <w:spacing w:line="276" w:lineRule="auto"/>
        <w:ind w:right="157"/>
        <w:jc w:val="center"/>
        <w:rPr>
          <w:rFonts w:ascii="Arial Narrow" w:hAnsi="Arial Narrow" w:cs="Arial Narrow"/>
          <w:b/>
          <w:bCs/>
          <w:sz w:val="26"/>
          <w:szCs w:val="26"/>
          <w:lang w:val="es-ES"/>
        </w:rPr>
      </w:pPr>
      <w:r w:rsidRPr="0014373F">
        <w:rPr>
          <w:rFonts w:ascii="Arial Narrow" w:hAnsi="Arial Narrow" w:cs="Arial Narrow"/>
          <w:b/>
          <w:bCs/>
          <w:sz w:val="26"/>
          <w:szCs w:val="26"/>
          <w:lang w:val="es-ES"/>
        </w:rPr>
        <w:t>RESUELVE</w:t>
      </w:r>
    </w:p>
    <w:p w14:paraId="419DB57E" w14:textId="77777777" w:rsidR="00F2106F" w:rsidRPr="0014373F" w:rsidRDefault="00F2106F" w:rsidP="0014373F">
      <w:pPr>
        <w:pStyle w:val="Textoindependiente"/>
        <w:spacing w:line="276" w:lineRule="auto"/>
        <w:ind w:right="157"/>
        <w:jc w:val="center"/>
        <w:rPr>
          <w:rFonts w:ascii="Arial Narrow" w:hAnsi="Arial Narrow" w:cs="Arial Narrow"/>
          <w:bCs/>
          <w:sz w:val="26"/>
          <w:szCs w:val="26"/>
          <w:lang w:val="es-ES"/>
        </w:rPr>
      </w:pPr>
    </w:p>
    <w:p w14:paraId="27C21D27" w14:textId="5EFCF983" w:rsidR="00F2106F" w:rsidRPr="0014373F" w:rsidRDefault="00F2106F"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 xml:space="preserve">PRIMERO: </w:t>
      </w:r>
      <w:r w:rsidR="00501C1F" w:rsidRPr="0014373F">
        <w:rPr>
          <w:rFonts w:ascii="Arial Narrow" w:hAnsi="Arial Narrow" w:cs="Arial Narrow"/>
          <w:bCs/>
          <w:sz w:val="26"/>
          <w:szCs w:val="26"/>
          <w:lang w:val="es-ES"/>
        </w:rPr>
        <w:t>Revocar el auto del 10</w:t>
      </w:r>
      <w:r w:rsidRPr="0014373F">
        <w:rPr>
          <w:rFonts w:ascii="Arial Narrow" w:hAnsi="Arial Narrow" w:cs="Arial Narrow"/>
          <w:bCs/>
          <w:sz w:val="26"/>
          <w:szCs w:val="26"/>
          <w:lang w:val="es-ES"/>
        </w:rPr>
        <w:t xml:space="preserve"> de </w:t>
      </w:r>
      <w:r w:rsidR="00501C1F" w:rsidRPr="0014373F">
        <w:rPr>
          <w:rFonts w:ascii="Arial Narrow" w:hAnsi="Arial Narrow" w:cs="Arial Narrow"/>
          <w:bCs/>
          <w:sz w:val="26"/>
          <w:szCs w:val="26"/>
          <w:lang w:val="es-ES"/>
        </w:rPr>
        <w:t>diciembre</w:t>
      </w:r>
      <w:r w:rsidRPr="0014373F">
        <w:rPr>
          <w:rFonts w:ascii="Arial Narrow" w:hAnsi="Arial Narrow" w:cs="Arial Narrow"/>
          <w:bCs/>
          <w:sz w:val="26"/>
          <w:szCs w:val="26"/>
          <w:lang w:val="es-ES"/>
        </w:rPr>
        <w:t xml:space="preserve"> de 20</w:t>
      </w:r>
      <w:r w:rsidR="00FF35D6" w:rsidRPr="0014373F">
        <w:rPr>
          <w:rFonts w:ascii="Arial Narrow" w:hAnsi="Arial Narrow" w:cs="Arial Narrow"/>
          <w:bCs/>
          <w:sz w:val="26"/>
          <w:szCs w:val="26"/>
          <w:lang w:val="es-ES"/>
        </w:rPr>
        <w:t>21</w:t>
      </w:r>
      <w:r w:rsidRPr="0014373F">
        <w:rPr>
          <w:rFonts w:ascii="Arial Narrow" w:hAnsi="Arial Narrow" w:cs="Arial Narrow"/>
          <w:bCs/>
          <w:sz w:val="26"/>
          <w:szCs w:val="26"/>
          <w:lang w:val="es-ES"/>
        </w:rPr>
        <w:t xml:space="preserve">, proferido por el Juzgado </w:t>
      </w:r>
      <w:r w:rsidR="00501C1F" w:rsidRPr="0014373F">
        <w:rPr>
          <w:rFonts w:ascii="Arial Narrow" w:hAnsi="Arial Narrow" w:cs="Arial Narrow"/>
          <w:bCs/>
          <w:sz w:val="26"/>
          <w:szCs w:val="26"/>
          <w:lang w:val="es-ES"/>
        </w:rPr>
        <w:t>Tercero de Familia de Pereira</w:t>
      </w:r>
      <w:r w:rsidRPr="0014373F">
        <w:rPr>
          <w:rFonts w:ascii="Arial Narrow" w:hAnsi="Arial Narrow" w:cs="Arial Narrow"/>
          <w:bCs/>
          <w:sz w:val="26"/>
          <w:szCs w:val="26"/>
          <w:lang w:val="es-ES"/>
        </w:rPr>
        <w:t xml:space="preserve">, según lo expuesto en la parte motiva de este proveído. </w:t>
      </w:r>
    </w:p>
    <w:p w14:paraId="37C4F360" w14:textId="77777777" w:rsidR="00F2106F" w:rsidRPr="0014373F" w:rsidRDefault="00F2106F" w:rsidP="0014373F">
      <w:pPr>
        <w:pStyle w:val="Textoindependiente"/>
        <w:spacing w:line="276" w:lineRule="auto"/>
        <w:ind w:right="157"/>
        <w:rPr>
          <w:rFonts w:ascii="Arial Narrow" w:hAnsi="Arial Narrow" w:cs="Arial Narrow"/>
          <w:bCs/>
          <w:sz w:val="26"/>
          <w:szCs w:val="26"/>
          <w:lang w:val="es-ES"/>
        </w:rPr>
      </w:pPr>
    </w:p>
    <w:p w14:paraId="29FD0808" w14:textId="72CF70D0" w:rsidR="00501C1F" w:rsidRPr="0014373F" w:rsidRDefault="00F2106F"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 xml:space="preserve">SEGUNDO: </w:t>
      </w:r>
      <w:r w:rsidR="00501C1F" w:rsidRPr="0014373F">
        <w:rPr>
          <w:rFonts w:ascii="Arial Narrow" w:hAnsi="Arial Narrow" w:cs="Arial Narrow"/>
          <w:bCs/>
          <w:sz w:val="26"/>
          <w:szCs w:val="26"/>
          <w:lang w:val="es-ES"/>
        </w:rPr>
        <w:t>Consecuente con lo anterior, se ordena al Juzgado Tercero de Familia de Pereira continuar con el tr</w:t>
      </w:r>
      <w:r w:rsidR="002106F8" w:rsidRPr="0014373F">
        <w:rPr>
          <w:rFonts w:ascii="Arial Narrow" w:hAnsi="Arial Narrow" w:cs="Arial Narrow"/>
          <w:bCs/>
          <w:sz w:val="26"/>
          <w:szCs w:val="26"/>
          <w:lang w:val="es-ES"/>
        </w:rPr>
        <w:t>á</w:t>
      </w:r>
      <w:r w:rsidR="00501C1F" w:rsidRPr="0014373F">
        <w:rPr>
          <w:rFonts w:ascii="Arial Narrow" w:hAnsi="Arial Narrow" w:cs="Arial Narrow"/>
          <w:bCs/>
          <w:sz w:val="26"/>
          <w:szCs w:val="26"/>
          <w:lang w:val="es-ES"/>
        </w:rPr>
        <w:t xml:space="preserve">mite liquidatario.  </w:t>
      </w:r>
    </w:p>
    <w:p w14:paraId="43A4D4CD" w14:textId="77777777" w:rsidR="00501C1F" w:rsidRPr="0014373F" w:rsidRDefault="00501C1F" w:rsidP="0014373F">
      <w:pPr>
        <w:pStyle w:val="Textoindependiente"/>
        <w:spacing w:line="276" w:lineRule="auto"/>
        <w:ind w:right="157"/>
        <w:rPr>
          <w:rFonts w:ascii="Arial Narrow" w:hAnsi="Arial Narrow" w:cs="Arial Narrow"/>
          <w:bCs/>
          <w:sz w:val="26"/>
          <w:szCs w:val="26"/>
          <w:lang w:val="es-ES"/>
        </w:rPr>
      </w:pPr>
    </w:p>
    <w:p w14:paraId="19B96F7C" w14:textId="3D235508" w:rsidR="00F2106F" w:rsidRPr="0014373F" w:rsidRDefault="00501C1F" w:rsidP="0014373F">
      <w:pPr>
        <w:pStyle w:val="Textoindependiente"/>
        <w:spacing w:line="276" w:lineRule="auto"/>
        <w:ind w:right="157"/>
        <w:rPr>
          <w:rFonts w:ascii="Arial Narrow" w:hAnsi="Arial Narrow" w:cs="Arial Narrow"/>
          <w:bCs/>
          <w:sz w:val="26"/>
          <w:szCs w:val="26"/>
          <w:lang w:val="es-ES"/>
        </w:rPr>
      </w:pPr>
      <w:r w:rsidRPr="0014373F">
        <w:rPr>
          <w:rFonts w:ascii="Arial Narrow" w:hAnsi="Arial Narrow" w:cs="Arial Narrow"/>
          <w:bCs/>
          <w:sz w:val="26"/>
          <w:szCs w:val="26"/>
          <w:lang w:val="es-ES"/>
        </w:rPr>
        <w:t xml:space="preserve">TERCERO: Sin </w:t>
      </w:r>
      <w:r w:rsidR="00F2106F" w:rsidRPr="0014373F">
        <w:rPr>
          <w:rFonts w:ascii="Arial Narrow" w:hAnsi="Arial Narrow" w:cs="Arial Narrow"/>
          <w:bCs/>
          <w:sz w:val="26"/>
          <w:szCs w:val="26"/>
          <w:lang w:val="es-ES"/>
        </w:rPr>
        <w:t>condena en costas</w:t>
      </w:r>
      <w:r w:rsidRPr="0014373F">
        <w:rPr>
          <w:rFonts w:ascii="Arial Narrow" w:hAnsi="Arial Narrow" w:cs="Arial Narrow"/>
          <w:bCs/>
          <w:sz w:val="26"/>
          <w:szCs w:val="26"/>
          <w:lang w:val="es-ES"/>
        </w:rPr>
        <w:t xml:space="preserve"> ante la prosperidad del recurso. </w:t>
      </w:r>
      <w:r w:rsidR="00F2106F" w:rsidRPr="0014373F">
        <w:rPr>
          <w:rFonts w:ascii="Arial Narrow" w:hAnsi="Arial Narrow" w:cs="Arial Narrow"/>
          <w:bCs/>
          <w:sz w:val="26"/>
          <w:szCs w:val="26"/>
          <w:lang w:val="es-ES"/>
        </w:rPr>
        <w:t xml:space="preserve"> </w:t>
      </w:r>
    </w:p>
    <w:p w14:paraId="79F6B811" w14:textId="77777777" w:rsidR="00F2106F" w:rsidRPr="0014373F" w:rsidRDefault="00F2106F" w:rsidP="0014373F">
      <w:pPr>
        <w:pStyle w:val="Textoindependiente"/>
        <w:spacing w:line="276" w:lineRule="auto"/>
        <w:ind w:right="157"/>
        <w:rPr>
          <w:rFonts w:ascii="Arial Narrow" w:hAnsi="Arial Narrow" w:cs="Arial Narrow"/>
          <w:bCs/>
          <w:sz w:val="26"/>
          <w:szCs w:val="26"/>
          <w:lang w:val="es-ES"/>
        </w:rPr>
      </w:pPr>
    </w:p>
    <w:p w14:paraId="53EDEB60" w14:textId="387F176C" w:rsidR="00A51EF3" w:rsidRPr="0014373F" w:rsidRDefault="00501C1F" w:rsidP="0014373F">
      <w:pPr>
        <w:pStyle w:val="Textoindependiente"/>
        <w:spacing w:line="276" w:lineRule="auto"/>
        <w:ind w:right="157"/>
        <w:rPr>
          <w:rFonts w:ascii="Arial Narrow" w:hAnsi="Arial Narrow" w:cs="Arial Narrow"/>
          <w:sz w:val="26"/>
          <w:szCs w:val="26"/>
          <w:lang w:val="es-ES"/>
        </w:rPr>
      </w:pPr>
      <w:r w:rsidRPr="0014373F">
        <w:rPr>
          <w:rFonts w:ascii="Arial Narrow" w:hAnsi="Arial Narrow" w:cs="Arial Narrow"/>
          <w:bCs/>
          <w:sz w:val="26"/>
          <w:szCs w:val="26"/>
          <w:lang w:val="es-ES"/>
        </w:rPr>
        <w:t>CUARTO</w:t>
      </w:r>
      <w:r w:rsidR="00CA3BD2" w:rsidRPr="0014373F">
        <w:rPr>
          <w:rFonts w:ascii="Arial Narrow" w:hAnsi="Arial Narrow" w:cs="Arial Narrow"/>
          <w:bCs/>
          <w:sz w:val="26"/>
          <w:szCs w:val="26"/>
          <w:lang w:val="es-ES"/>
        </w:rPr>
        <w:t>: E</w:t>
      </w:r>
      <w:r w:rsidR="00F2106F" w:rsidRPr="0014373F">
        <w:rPr>
          <w:rFonts w:ascii="Arial Narrow" w:hAnsi="Arial Narrow" w:cs="Arial Narrow"/>
          <w:bCs/>
          <w:sz w:val="26"/>
          <w:szCs w:val="26"/>
          <w:lang w:val="es-ES"/>
        </w:rPr>
        <w:t xml:space="preserve">jecutoriada está providencia, devuélvase a su lugar de origen. </w:t>
      </w:r>
    </w:p>
    <w:p w14:paraId="60C5C734" w14:textId="1E77F188" w:rsidR="00A51EF3" w:rsidRPr="0014373F" w:rsidRDefault="00A51EF3" w:rsidP="0014373F">
      <w:pPr>
        <w:pStyle w:val="Textoindependiente"/>
        <w:spacing w:line="276" w:lineRule="auto"/>
        <w:ind w:right="157"/>
        <w:rPr>
          <w:rFonts w:ascii="Arial Narrow" w:hAnsi="Arial Narrow" w:cs="Arial Narrow"/>
          <w:sz w:val="26"/>
          <w:szCs w:val="26"/>
          <w:lang w:val="es-ES"/>
        </w:rPr>
      </w:pPr>
    </w:p>
    <w:p w14:paraId="0B1946BD" w14:textId="77777777" w:rsidR="0090142B" w:rsidRPr="00777A8A" w:rsidRDefault="0090142B" w:rsidP="0090142B">
      <w:pPr>
        <w:spacing w:line="276" w:lineRule="auto"/>
        <w:jc w:val="center"/>
        <w:rPr>
          <w:rFonts w:ascii="Arial Narrow" w:hAnsi="Arial Narrow" w:cs="Century Gothic"/>
          <w:bCs/>
          <w:sz w:val="26"/>
          <w:szCs w:val="26"/>
          <w:lang w:eastAsia="es-CO"/>
        </w:rPr>
      </w:pPr>
      <w:r w:rsidRPr="00777A8A">
        <w:rPr>
          <w:rFonts w:ascii="Arial Narrow" w:hAnsi="Arial Narrow" w:cs="Century Gothic"/>
          <w:bCs/>
          <w:sz w:val="26"/>
          <w:szCs w:val="26"/>
          <w:lang w:eastAsia="es-CO"/>
        </w:rPr>
        <w:t>NOTIFÍQUESE Y CÚMPLASE</w:t>
      </w:r>
    </w:p>
    <w:p w14:paraId="63BB7BB4" w14:textId="77777777" w:rsidR="0090142B" w:rsidRPr="00777A8A" w:rsidRDefault="0090142B" w:rsidP="0090142B">
      <w:pPr>
        <w:spacing w:line="276" w:lineRule="auto"/>
        <w:jc w:val="both"/>
        <w:rPr>
          <w:rFonts w:ascii="Arial Narrow" w:hAnsi="Arial Narrow" w:cs="Century Gothic"/>
          <w:b/>
          <w:bCs/>
          <w:sz w:val="26"/>
          <w:szCs w:val="26"/>
          <w:lang w:eastAsia="es-CO"/>
        </w:rPr>
      </w:pPr>
    </w:p>
    <w:p w14:paraId="5FA55A4F" w14:textId="77777777" w:rsidR="0090142B" w:rsidRDefault="0090142B" w:rsidP="0090142B">
      <w:pPr>
        <w:spacing w:line="276" w:lineRule="auto"/>
        <w:jc w:val="both"/>
        <w:rPr>
          <w:rFonts w:ascii="Arial Narrow" w:hAnsi="Arial Narrow" w:cs="Century Gothic"/>
          <w:b/>
          <w:bCs/>
          <w:sz w:val="26"/>
          <w:szCs w:val="26"/>
          <w:lang w:eastAsia="es-CO"/>
        </w:rPr>
      </w:pPr>
    </w:p>
    <w:p w14:paraId="65867CC3" w14:textId="77777777" w:rsidR="0090142B" w:rsidRPr="00777A8A" w:rsidRDefault="0090142B" w:rsidP="0090142B">
      <w:pPr>
        <w:spacing w:line="276" w:lineRule="auto"/>
        <w:jc w:val="both"/>
        <w:rPr>
          <w:rFonts w:ascii="Arial Narrow" w:hAnsi="Arial Narrow" w:cs="Century Gothic"/>
          <w:b/>
          <w:bCs/>
          <w:sz w:val="26"/>
          <w:szCs w:val="26"/>
          <w:lang w:eastAsia="es-CO"/>
        </w:rPr>
      </w:pPr>
    </w:p>
    <w:p w14:paraId="736D2C8A" w14:textId="77777777" w:rsidR="0090142B" w:rsidRPr="00777A8A" w:rsidRDefault="0090142B" w:rsidP="0090142B">
      <w:pPr>
        <w:spacing w:line="276" w:lineRule="auto"/>
        <w:jc w:val="center"/>
        <w:rPr>
          <w:rFonts w:ascii="Arial Narrow" w:hAnsi="Arial Narrow" w:cs="Century Gothic"/>
          <w:b/>
          <w:bCs/>
          <w:sz w:val="26"/>
          <w:szCs w:val="26"/>
          <w:lang w:eastAsia="es-CO"/>
        </w:rPr>
      </w:pPr>
      <w:r w:rsidRPr="00777A8A">
        <w:rPr>
          <w:rFonts w:ascii="Arial Narrow" w:hAnsi="Arial Narrow" w:cs="Century Gothic"/>
          <w:b/>
          <w:bCs/>
          <w:sz w:val="26"/>
          <w:szCs w:val="26"/>
          <w:lang w:eastAsia="es-CO"/>
        </w:rPr>
        <w:t>CARLOS MAURICIO GARCÍA BARAJAS</w:t>
      </w:r>
    </w:p>
    <w:p w14:paraId="58689A06" w14:textId="00DC9F58" w:rsidR="000766A4" w:rsidRPr="0014373F" w:rsidRDefault="0090142B" w:rsidP="0090142B">
      <w:pPr>
        <w:spacing w:line="276" w:lineRule="auto"/>
        <w:jc w:val="center"/>
        <w:rPr>
          <w:rFonts w:ascii="Arial Narrow" w:hAnsi="Arial Narrow"/>
          <w:noProof/>
          <w:sz w:val="26"/>
          <w:szCs w:val="26"/>
        </w:rPr>
      </w:pPr>
      <w:r w:rsidRPr="00777A8A">
        <w:rPr>
          <w:rFonts w:ascii="Arial Narrow" w:hAnsi="Arial Narrow" w:cs="Century Gothic"/>
          <w:bCs/>
          <w:sz w:val="26"/>
          <w:szCs w:val="26"/>
          <w:lang w:eastAsia="es-CO"/>
        </w:rPr>
        <w:t>Magistrado</w:t>
      </w:r>
    </w:p>
    <w:sectPr w:rsidR="000766A4" w:rsidRPr="0014373F" w:rsidSect="00651BF5">
      <w:headerReference w:type="default" r:id="rId12"/>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8AF6" w14:textId="77777777" w:rsidR="00C403A4" w:rsidRDefault="00C403A4" w:rsidP="00BD15C3">
      <w:r>
        <w:separator/>
      </w:r>
    </w:p>
  </w:endnote>
  <w:endnote w:type="continuationSeparator" w:id="0">
    <w:p w14:paraId="77819713" w14:textId="77777777" w:rsidR="00C403A4" w:rsidRDefault="00C403A4"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9457" w14:textId="77777777" w:rsidR="00C403A4" w:rsidRDefault="00C403A4" w:rsidP="00BD15C3">
      <w:r>
        <w:separator/>
      </w:r>
    </w:p>
  </w:footnote>
  <w:footnote w:type="continuationSeparator" w:id="0">
    <w:p w14:paraId="23636CD8" w14:textId="77777777" w:rsidR="00C403A4" w:rsidRDefault="00C403A4" w:rsidP="00BD15C3">
      <w:r>
        <w:continuationSeparator/>
      </w:r>
    </w:p>
  </w:footnote>
  <w:footnote w:id="1">
    <w:p w14:paraId="7ECFE844" w14:textId="77777777" w:rsidR="00D763DA" w:rsidRPr="0090142B" w:rsidRDefault="00D763DA" w:rsidP="008A5F77">
      <w:pPr>
        <w:pStyle w:val="Textonotapie"/>
        <w:jc w:val="both"/>
        <w:rPr>
          <w:rFonts w:ascii="Arial" w:hAnsi="Arial" w:cs="Arial"/>
          <w:sz w:val="18"/>
          <w:szCs w:val="16"/>
        </w:rPr>
      </w:pPr>
      <w:r w:rsidRPr="0090142B">
        <w:rPr>
          <w:rStyle w:val="Refdenotaalpie"/>
          <w:rFonts w:ascii="Arial" w:hAnsi="Arial" w:cs="Arial"/>
          <w:sz w:val="18"/>
          <w:szCs w:val="16"/>
        </w:rPr>
        <w:footnoteRef/>
      </w:r>
      <w:r w:rsidRPr="0090142B">
        <w:rPr>
          <w:rFonts w:ascii="Arial" w:hAnsi="Arial" w:cs="Arial"/>
          <w:sz w:val="18"/>
          <w:szCs w:val="16"/>
        </w:rPr>
        <w:t xml:space="preserve"> Corte Suprema de Justicia. Sentencia del 8 de mayo de 2020. Radicado E 76111-22-13-001-2020-00031-01.</w:t>
      </w:r>
    </w:p>
  </w:footnote>
  <w:footnote w:id="2">
    <w:p w14:paraId="090E6727" w14:textId="77777777" w:rsidR="00D763DA" w:rsidRPr="0090142B" w:rsidRDefault="00D763DA" w:rsidP="008A5F77">
      <w:pPr>
        <w:pStyle w:val="Textonotapie"/>
        <w:jc w:val="both"/>
        <w:rPr>
          <w:rFonts w:ascii="Arial" w:hAnsi="Arial" w:cs="Arial"/>
          <w:sz w:val="18"/>
          <w:szCs w:val="16"/>
        </w:rPr>
      </w:pPr>
      <w:r w:rsidRPr="0090142B">
        <w:rPr>
          <w:rStyle w:val="Refdenotaalpie"/>
          <w:rFonts w:ascii="Arial" w:hAnsi="Arial" w:cs="Arial"/>
          <w:sz w:val="18"/>
          <w:szCs w:val="16"/>
        </w:rPr>
        <w:footnoteRef/>
      </w:r>
      <w:r w:rsidRPr="0090142B">
        <w:rPr>
          <w:rFonts w:ascii="Arial" w:hAnsi="Arial" w:cs="Arial"/>
          <w:sz w:val="18"/>
          <w:szCs w:val="16"/>
        </w:rPr>
        <w:t xml:space="preserve"> Corte Suprema de Justicia. Sentencia STC1636-2020 del 19 de febrero de 2020. </w:t>
      </w:r>
    </w:p>
  </w:footnote>
  <w:footnote w:id="3">
    <w:p w14:paraId="043D1F02" w14:textId="2AD99A62" w:rsidR="001645E5" w:rsidRDefault="001645E5" w:rsidP="008A5F77">
      <w:pPr>
        <w:pStyle w:val="Textonotapie"/>
        <w:jc w:val="both"/>
      </w:pPr>
      <w:r w:rsidRPr="0090142B">
        <w:rPr>
          <w:rStyle w:val="Refdenotaalpie"/>
          <w:rFonts w:ascii="Arial" w:hAnsi="Arial" w:cs="Arial"/>
          <w:sz w:val="18"/>
          <w:szCs w:val="16"/>
        </w:rPr>
        <w:footnoteRef/>
      </w:r>
      <w:r w:rsidRPr="0090142B">
        <w:rPr>
          <w:rFonts w:ascii="Arial" w:hAnsi="Arial" w:cs="Arial"/>
          <w:sz w:val="18"/>
          <w:szCs w:val="16"/>
        </w:rPr>
        <w:t xml:space="preserve"> CSJ, sentencia </w:t>
      </w:r>
      <w:r w:rsidR="008A5F77" w:rsidRPr="0090142B">
        <w:rPr>
          <w:rFonts w:ascii="Arial" w:hAnsi="Arial" w:cs="Arial"/>
          <w:sz w:val="18"/>
          <w:szCs w:val="16"/>
        </w:rPr>
        <w:t>STC12002-2019 de 5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4A9EC17A" w:rsidR="0040370D" w:rsidRPr="00285508" w:rsidRDefault="00285508" w:rsidP="00285508">
    <w:pPr>
      <w:pStyle w:val="Encabezado"/>
      <w:tabs>
        <w:tab w:val="clear" w:pos="4252"/>
        <w:tab w:val="clear" w:pos="8504"/>
      </w:tabs>
      <w:ind w:left="1276" w:hanging="1276"/>
      <w:jc w:val="both"/>
      <w:rPr>
        <w:rFonts w:ascii="Arial" w:hAnsi="Arial" w:cs="Arial"/>
        <w:sz w:val="18"/>
        <w:szCs w:val="16"/>
        <w:lang w:val="es-ES" w:eastAsia="es-MX"/>
      </w:rPr>
    </w:pPr>
    <w:r w:rsidRPr="00285508">
      <w:rPr>
        <w:rFonts w:ascii="Arial" w:hAnsi="Arial" w:cs="Arial"/>
        <w:bCs/>
        <w:sz w:val="18"/>
        <w:szCs w:val="16"/>
        <w:lang w:val="es-ES" w:eastAsia="es-MX"/>
      </w:rPr>
      <w:t xml:space="preserve">Sucesión </w:t>
    </w:r>
    <w:r w:rsidR="0040370D" w:rsidRPr="00285508">
      <w:rPr>
        <w:rFonts w:ascii="Arial" w:hAnsi="Arial" w:cs="Arial"/>
        <w:bCs/>
        <w:sz w:val="18"/>
        <w:szCs w:val="16"/>
        <w:lang w:val="es-ES" w:eastAsia="es-MX"/>
      </w:rPr>
      <w:t xml:space="preserve">– </w:t>
    </w:r>
    <w:r w:rsidRPr="00285508">
      <w:rPr>
        <w:rFonts w:ascii="Arial" w:hAnsi="Arial" w:cs="Arial"/>
        <w:bCs/>
        <w:sz w:val="18"/>
        <w:szCs w:val="16"/>
        <w:lang w:val="es-ES" w:eastAsia="es-MX"/>
      </w:rPr>
      <w:t>Apelación de auto</w:t>
    </w:r>
  </w:p>
  <w:p w14:paraId="7EE4A57E" w14:textId="502594B9" w:rsidR="0040370D" w:rsidRPr="00285508" w:rsidRDefault="0040370D" w:rsidP="00285508">
    <w:pPr>
      <w:pStyle w:val="Encabezado"/>
      <w:tabs>
        <w:tab w:val="clear" w:pos="4252"/>
        <w:tab w:val="clear" w:pos="8504"/>
      </w:tabs>
      <w:jc w:val="both"/>
      <w:rPr>
        <w:rFonts w:ascii="Arial" w:hAnsi="Arial" w:cs="Arial"/>
        <w:sz w:val="28"/>
      </w:rPr>
    </w:pPr>
    <w:r w:rsidRPr="00285508">
      <w:rPr>
        <w:rFonts w:ascii="Arial" w:hAnsi="Arial" w:cs="Arial"/>
        <w:sz w:val="18"/>
        <w:szCs w:val="16"/>
        <w:lang w:val="es-ES" w:eastAsia="es-MX"/>
      </w:rPr>
      <w:t xml:space="preserve">Rad. No.: </w:t>
    </w:r>
    <w:r w:rsidR="009A5D16" w:rsidRPr="00285508">
      <w:rPr>
        <w:rFonts w:ascii="Arial" w:hAnsi="Arial" w:cs="Arial"/>
        <w:sz w:val="18"/>
        <w:szCs w:val="16"/>
        <w:lang w:val="es-ES" w:eastAsia="es-MX"/>
      </w:rPr>
      <w:t>66001311000320150067501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8093BCC"/>
    <w:multiLevelType w:val="hybridMultilevel"/>
    <w:tmpl w:val="03DA0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5805CD"/>
    <w:multiLevelType w:val="hybridMultilevel"/>
    <w:tmpl w:val="1B5C03D2"/>
    <w:lvl w:ilvl="0" w:tplc="C38C5A42">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2D8234C"/>
    <w:multiLevelType w:val="multilevel"/>
    <w:tmpl w:val="3CAC205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981838"/>
    <w:multiLevelType w:val="multilevel"/>
    <w:tmpl w:val="C0B2E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81E"/>
    <w:rsid w:val="000035F3"/>
    <w:rsid w:val="00004D6A"/>
    <w:rsid w:val="00012AE0"/>
    <w:rsid w:val="00014561"/>
    <w:rsid w:val="000149E5"/>
    <w:rsid w:val="000219DB"/>
    <w:rsid w:val="00022430"/>
    <w:rsid w:val="000228FA"/>
    <w:rsid w:val="000233F6"/>
    <w:rsid w:val="00027890"/>
    <w:rsid w:val="0003698D"/>
    <w:rsid w:val="000442CB"/>
    <w:rsid w:val="0004628B"/>
    <w:rsid w:val="00051622"/>
    <w:rsid w:val="000536A9"/>
    <w:rsid w:val="00055236"/>
    <w:rsid w:val="000634B1"/>
    <w:rsid w:val="00067CF2"/>
    <w:rsid w:val="000709D8"/>
    <w:rsid w:val="00071A22"/>
    <w:rsid w:val="00073C1B"/>
    <w:rsid w:val="000740E0"/>
    <w:rsid w:val="0007660C"/>
    <w:rsid w:val="000766A4"/>
    <w:rsid w:val="00082411"/>
    <w:rsid w:val="0008406C"/>
    <w:rsid w:val="000879D0"/>
    <w:rsid w:val="000972EE"/>
    <w:rsid w:val="000A266B"/>
    <w:rsid w:val="000A2CC4"/>
    <w:rsid w:val="000A508E"/>
    <w:rsid w:val="000A7F94"/>
    <w:rsid w:val="000B623F"/>
    <w:rsid w:val="000C040B"/>
    <w:rsid w:val="000C19FD"/>
    <w:rsid w:val="000C3D5D"/>
    <w:rsid w:val="000C4E94"/>
    <w:rsid w:val="000D0955"/>
    <w:rsid w:val="000E2784"/>
    <w:rsid w:val="000E6D4E"/>
    <w:rsid w:val="000E6EB5"/>
    <w:rsid w:val="000F015D"/>
    <w:rsid w:val="000F529D"/>
    <w:rsid w:val="00100223"/>
    <w:rsid w:val="001015CA"/>
    <w:rsid w:val="001028EA"/>
    <w:rsid w:val="00103E90"/>
    <w:rsid w:val="0010498C"/>
    <w:rsid w:val="00105D2F"/>
    <w:rsid w:val="00107E23"/>
    <w:rsid w:val="00111C72"/>
    <w:rsid w:val="00112ADB"/>
    <w:rsid w:val="00122B10"/>
    <w:rsid w:val="00123242"/>
    <w:rsid w:val="0012488F"/>
    <w:rsid w:val="00127D45"/>
    <w:rsid w:val="00132348"/>
    <w:rsid w:val="00132B4F"/>
    <w:rsid w:val="00132FD5"/>
    <w:rsid w:val="001333EE"/>
    <w:rsid w:val="00133B1D"/>
    <w:rsid w:val="00134232"/>
    <w:rsid w:val="0013522F"/>
    <w:rsid w:val="00142B97"/>
    <w:rsid w:val="0014373F"/>
    <w:rsid w:val="0014381A"/>
    <w:rsid w:val="00144A11"/>
    <w:rsid w:val="00145833"/>
    <w:rsid w:val="00145F40"/>
    <w:rsid w:val="00150E9D"/>
    <w:rsid w:val="00151107"/>
    <w:rsid w:val="001528F5"/>
    <w:rsid w:val="001534F9"/>
    <w:rsid w:val="001645E5"/>
    <w:rsid w:val="001703C3"/>
    <w:rsid w:val="00177283"/>
    <w:rsid w:val="00182B17"/>
    <w:rsid w:val="001836D7"/>
    <w:rsid w:val="00185FF7"/>
    <w:rsid w:val="00190FEA"/>
    <w:rsid w:val="00193904"/>
    <w:rsid w:val="00196142"/>
    <w:rsid w:val="00196F35"/>
    <w:rsid w:val="001A0D94"/>
    <w:rsid w:val="001A7B23"/>
    <w:rsid w:val="001B05BF"/>
    <w:rsid w:val="001B3B27"/>
    <w:rsid w:val="001B445E"/>
    <w:rsid w:val="001B5779"/>
    <w:rsid w:val="001B58B2"/>
    <w:rsid w:val="001C246D"/>
    <w:rsid w:val="001C36F0"/>
    <w:rsid w:val="001D7C87"/>
    <w:rsid w:val="001E1225"/>
    <w:rsid w:val="001E2BFF"/>
    <w:rsid w:val="001E3052"/>
    <w:rsid w:val="001E744F"/>
    <w:rsid w:val="001E7D90"/>
    <w:rsid w:val="001F26DD"/>
    <w:rsid w:val="001F4D73"/>
    <w:rsid w:val="001F5990"/>
    <w:rsid w:val="001F7822"/>
    <w:rsid w:val="00201494"/>
    <w:rsid w:val="00206934"/>
    <w:rsid w:val="002106F8"/>
    <w:rsid w:val="002127D4"/>
    <w:rsid w:val="0022011E"/>
    <w:rsid w:val="00220A58"/>
    <w:rsid w:val="002223C5"/>
    <w:rsid w:val="0022519E"/>
    <w:rsid w:val="00227DFE"/>
    <w:rsid w:val="002378CE"/>
    <w:rsid w:val="00242709"/>
    <w:rsid w:val="00244FC6"/>
    <w:rsid w:val="00246D2C"/>
    <w:rsid w:val="002479E9"/>
    <w:rsid w:val="00252518"/>
    <w:rsid w:val="00253DCB"/>
    <w:rsid w:val="00257609"/>
    <w:rsid w:val="002613C4"/>
    <w:rsid w:val="00261F7F"/>
    <w:rsid w:val="00266C10"/>
    <w:rsid w:val="00270FE0"/>
    <w:rsid w:val="00274C71"/>
    <w:rsid w:val="002833A6"/>
    <w:rsid w:val="00285508"/>
    <w:rsid w:val="00286743"/>
    <w:rsid w:val="0028728E"/>
    <w:rsid w:val="00291E15"/>
    <w:rsid w:val="00293F82"/>
    <w:rsid w:val="0029729F"/>
    <w:rsid w:val="002A1719"/>
    <w:rsid w:val="002A2D97"/>
    <w:rsid w:val="002A2E09"/>
    <w:rsid w:val="002A3B12"/>
    <w:rsid w:val="002A4188"/>
    <w:rsid w:val="002A4E4A"/>
    <w:rsid w:val="002B5318"/>
    <w:rsid w:val="002B654C"/>
    <w:rsid w:val="002C2BFC"/>
    <w:rsid w:val="002C328E"/>
    <w:rsid w:val="002D6761"/>
    <w:rsid w:val="002D7494"/>
    <w:rsid w:val="002E218B"/>
    <w:rsid w:val="002E51F0"/>
    <w:rsid w:val="002E70B2"/>
    <w:rsid w:val="002F0401"/>
    <w:rsid w:val="002F0877"/>
    <w:rsid w:val="002F172A"/>
    <w:rsid w:val="002F2586"/>
    <w:rsid w:val="002F7554"/>
    <w:rsid w:val="002F76EA"/>
    <w:rsid w:val="002F79E7"/>
    <w:rsid w:val="00306D02"/>
    <w:rsid w:val="00316614"/>
    <w:rsid w:val="00320318"/>
    <w:rsid w:val="003252CF"/>
    <w:rsid w:val="00333143"/>
    <w:rsid w:val="003352FA"/>
    <w:rsid w:val="00340457"/>
    <w:rsid w:val="00347F2F"/>
    <w:rsid w:val="0035757F"/>
    <w:rsid w:val="00362692"/>
    <w:rsid w:val="00363EB1"/>
    <w:rsid w:val="003640E7"/>
    <w:rsid w:val="003658A3"/>
    <w:rsid w:val="00365F93"/>
    <w:rsid w:val="0036702E"/>
    <w:rsid w:val="003705E3"/>
    <w:rsid w:val="00375699"/>
    <w:rsid w:val="00376336"/>
    <w:rsid w:val="00377660"/>
    <w:rsid w:val="00380391"/>
    <w:rsid w:val="003840CB"/>
    <w:rsid w:val="00384D53"/>
    <w:rsid w:val="00385660"/>
    <w:rsid w:val="00386AC3"/>
    <w:rsid w:val="00387BD6"/>
    <w:rsid w:val="003917A3"/>
    <w:rsid w:val="00394AA8"/>
    <w:rsid w:val="00395DF3"/>
    <w:rsid w:val="00396D32"/>
    <w:rsid w:val="003B0CD5"/>
    <w:rsid w:val="003B34A5"/>
    <w:rsid w:val="003B3C63"/>
    <w:rsid w:val="003B4E3D"/>
    <w:rsid w:val="003B6A02"/>
    <w:rsid w:val="003C0B92"/>
    <w:rsid w:val="003C4CE2"/>
    <w:rsid w:val="003C5BEB"/>
    <w:rsid w:val="003C7F57"/>
    <w:rsid w:val="003D0027"/>
    <w:rsid w:val="003D1761"/>
    <w:rsid w:val="003D31C9"/>
    <w:rsid w:val="003D52F8"/>
    <w:rsid w:val="003E164A"/>
    <w:rsid w:val="003E1799"/>
    <w:rsid w:val="003E78EE"/>
    <w:rsid w:val="003E7C1A"/>
    <w:rsid w:val="003F022A"/>
    <w:rsid w:val="00400137"/>
    <w:rsid w:val="004012F5"/>
    <w:rsid w:val="0040302B"/>
    <w:rsid w:val="004031F4"/>
    <w:rsid w:val="0040370D"/>
    <w:rsid w:val="00403A7E"/>
    <w:rsid w:val="004040B0"/>
    <w:rsid w:val="004067DA"/>
    <w:rsid w:val="00406F6D"/>
    <w:rsid w:val="004128CD"/>
    <w:rsid w:val="004204A1"/>
    <w:rsid w:val="0042174C"/>
    <w:rsid w:val="004224F3"/>
    <w:rsid w:val="00422D81"/>
    <w:rsid w:val="0042545C"/>
    <w:rsid w:val="0042557D"/>
    <w:rsid w:val="00425ED7"/>
    <w:rsid w:val="00432BD5"/>
    <w:rsid w:val="0043347D"/>
    <w:rsid w:val="00433B2A"/>
    <w:rsid w:val="00434816"/>
    <w:rsid w:val="00434D26"/>
    <w:rsid w:val="004375F5"/>
    <w:rsid w:val="00451540"/>
    <w:rsid w:val="00452587"/>
    <w:rsid w:val="004558F2"/>
    <w:rsid w:val="00462631"/>
    <w:rsid w:val="0046380C"/>
    <w:rsid w:val="004701D3"/>
    <w:rsid w:val="0047301B"/>
    <w:rsid w:val="0047317F"/>
    <w:rsid w:val="00476BB5"/>
    <w:rsid w:val="00482377"/>
    <w:rsid w:val="004906C0"/>
    <w:rsid w:val="00493F12"/>
    <w:rsid w:val="004A3192"/>
    <w:rsid w:val="004B3C00"/>
    <w:rsid w:val="004B63E4"/>
    <w:rsid w:val="004C0260"/>
    <w:rsid w:val="004C3543"/>
    <w:rsid w:val="004D1FB4"/>
    <w:rsid w:val="004D4452"/>
    <w:rsid w:val="004D5372"/>
    <w:rsid w:val="004E4B9F"/>
    <w:rsid w:val="004E6C64"/>
    <w:rsid w:val="004F0480"/>
    <w:rsid w:val="004F14B2"/>
    <w:rsid w:val="004F20CB"/>
    <w:rsid w:val="004F7AA6"/>
    <w:rsid w:val="00500F2C"/>
    <w:rsid w:val="00501C1F"/>
    <w:rsid w:val="0050728B"/>
    <w:rsid w:val="00515B78"/>
    <w:rsid w:val="00522919"/>
    <w:rsid w:val="0052338C"/>
    <w:rsid w:val="00523A34"/>
    <w:rsid w:val="00530814"/>
    <w:rsid w:val="00533B7D"/>
    <w:rsid w:val="00537C7C"/>
    <w:rsid w:val="005411B8"/>
    <w:rsid w:val="005424B8"/>
    <w:rsid w:val="00547FB1"/>
    <w:rsid w:val="00552BA6"/>
    <w:rsid w:val="00553218"/>
    <w:rsid w:val="00560DEE"/>
    <w:rsid w:val="005663B2"/>
    <w:rsid w:val="00567081"/>
    <w:rsid w:val="00567DED"/>
    <w:rsid w:val="00570580"/>
    <w:rsid w:val="00570C4D"/>
    <w:rsid w:val="00575295"/>
    <w:rsid w:val="00576414"/>
    <w:rsid w:val="00580410"/>
    <w:rsid w:val="0058259A"/>
    <w:rsid w:val="00592598"/>
    <w:rsid w:val="005932CB"/>
    <w:rsid w:val="0059382A"/>
    <w:rsid w:val="00594E2A"/>
    <w:rsid w:val="00596A26"/>
    <w:rsid w:val="005A01AF"/>
    <w:rsid w:val="005A225A"/>
    <w:rsid w:val="005A3430"/>
    <w:rsid w:val="005A40DF"/>
    <w:rsid w:val="005A5892"/>
    <w:rsid w:val="005A72F1"/>
    <w:rsid w:val="005B1FC6"/>
    <w:rsid w:val="005C1FC6"/>
    <w:rsid w:val="005D4D75"/>
    <w:rsid w:val="005D79A0"/>
    <w:rsid w:val="005E54C1"/>
    <w:rsid w:val="005F1E7E"/>
    <w:rsid w:val="005F46CB"/>
    <w:rsid w:val="005F4D01"/>
    <w:rsid w:val="005F5678"/>
    <w:rsid w:val="005F7B44"/>
    <w:rsid w:val="00600A9E"/>
    <w:rsid w:val="00601DB6"/>
    <w:rsid w:val="00603E4C"/>
    <w:rsid w:val="00604409"/>
    <w:rsid w:val="00605236"/>
    <w:rsid w:val="006060B3"/>
    <w:rsid w:val="006066B5"/>
    <w:rsid w:val="006113B1"/>
    <w:rsid w:val="0061283B"/>
    <w:rsid w:val="00614BC5"/>
    <w:rsid w:val="00615593"/>
    <w:rsid w:val="00616BD9"/>
    <w:rsid w:val="00617B58"/>
    <w:rsid w:val="00617B62"/>
    <w:rsid w:val="00620BF1"/>
    <w:rsid w:val="00621847"/>
    <w:rsid w:val="00621AE6"/>
    <w:rsid w:val="0062449A"/>
    <w:rsid w:val="00624BE0"/>
    <w:rsid w:val="00634E0C"/>
    <w:rsid w:val="00637191"/>
    <w:rsid w:val="00637197"/>
    <w:rsid w:val="00640F7C"/>
    <w:rsid w:val="00643793"/>
    <w:rsid w:val="00646408"/>
    <w:rsid w:val="00646768"/>
    <w:rsid w:val="00651BF5"/>
    <w:rsid w:val="0065336B"/>
    <w:rsid w:val="00653386"/>
    <w:rsid w:val="006544D7"/>
    <w:rsid w:val="00655E79"/>
    <w:rsid w:val="006632AD"/>
    <w:rsid w:val="00663B48"/>
    <w:rsid w:val="006665CE"/>
    <w:rsid w:val="00666E39"/>
    <w:rsid w:val="0066742C"/>
    <w:rsid w:val="006746F9"/>
    <w:rsid w:val="006800D5"/>
    <w:rsid w:val="00682899"/>
    <w:rsid w:val="0069467F"/>
    <w:rsid w:val="006975FF"/>
    <w:rsid w:val="006A1DE7"/>
    <w:rsid w:val="006B27D9"/>
    <w:rsid w:val="006B3AAA"/>
    <w:rsid w:val="006B4182"/>
    <w:rsid w:val="006B52F1"/>
    <w:rsid w:val="006B6E6D"/>
    <w:rsid w:val="006C1FC3"/>
    <w:rsid w:val="006C5A4E"/>
    <w:rsid w:val="006D01FD"/>
    <w:rsid w:val="006D080D"/>
    <w:rsid w:val="006D0BE9"/>
    <w:rsid w:val="006D197D"/>
    <w:rsid w:val="006D4FC8"/>
    <w:rsid w:val="006D5536"/>
    <w:rsid w:val="006D59AB"/>
    <w:rsid w:val="006D790E"/>
    <w:rsid w:val="006E0A99"/>
    <w:rsid w:val="006E1AFB"/>
    <w:rsid w:val="006E203E"/>
    <w:rsid w:val="006E3DD2"/>
    <w:rsid w:val="006E7C76"/>
    <w:rsid w:val="006F0784"/>
    <w:rsid w:val="006F2601"/>
    <w:rsid w:val="006F7C8E"/>
    <w:rsid w:val="007025D4"/>
    <w:rsid w:val="007072F4"/>
    <w:rsid w:val="00707728"/>
    <w:rsid w:val="00707FE8"/>
    <w:rsid w:val="0071210B"/>
    <w:rsid w:val="00714952"/>
    <w:rsid w:val="00714C63"/>
    <w:rsid w:val="007258A4"/>
    <w:rsid w:val="00725CBD"/>
    <w:rsid w:val="0073116B"/>
    <w:rsid w:val="0074310E"/>
    <w:rsid w:val="007510AC"/>
    <w:rsid w:val="007536A6"/>
    <w:rsid w:val="0075772F"/>
    <w:rsid w:val="00762206"/>
    <w:rsid w:val="00762B98"/>
    <w:rsid w:val="007632A6"/>
    <w:rsid w:val="00763C64"/>
    <w:rsid w:val="00767143"/>
    <w:rsid w:val="007678BE"/>
    <w:rsid w:val="00772F28"/>
    <w:rsid w:val="0077354F"/>
    <w:rsid w:val="00774678"/>
    <w:rsid w:val="0077480F"/>
    <w:rsid w:val="007778E7"/>
    <w:rsid w:val="00794943"/>
    <w:rsid w:val="00796B2A"/>
    <w:rsid w:val="007A179B"/>
    <w:rsid w:val="007A5730"/>
    <w:rsid w:val="007A7281"/>
    <w:rsid w:val="007B1045"/>
    <w:rsid w:val="007B2A2B"/>
    <w:rsid w:val="007B2AD4"/>
    <w:rsid w:val="007B51D8"/>
    <w:rsid w:val="007C72F3"/>
    <w:rsid w:val="007D1747"/>
    <w:rsid w:val="007D4EA9"/>
    <w:rsid w:val="007D64A6"/>
    <w:rsid w:val="007D6E50"/>
    <w:rsid w:val="007D7039"/>
    <w:rsid w:val="007E2F07"/>
    <w:rsid w:val="007E5FF3"/>
    <w:rsid w:val="007E7FBD"/>
    <w:rsid w:val="007F14E9"/>
    <w:rsid w:val="007F1D5C"/>
    <w:rsid w:val="007F74A9"/>
    <w:rsid w:val="007F7BE8"/>
    <w:rsid w:val="00800BA5"/>
    <w:rsid w:val="00801979"/>
    <w:rsid w:val="008026A2"/>
    <w:rsid w:val="0080284D"/>
    <w:rsid w:val="0080627B"/>
    <w:rsid w:val="00806569"/>
    <w:rsid w:val="00807D92"/>
    <w:rsid w:val="00815332"/>
    <w:rsid w:val="008154EB"/>
    <w:rsid w:val="00815F1F"/>
    <w:rsid w:val="0081698A"/>
    <w:rsid w:val="00824DDD"/>
    <w:rsid w:val="00825B36"/>
    <w:rsid w:val="00831BB3"/>
    <w:rsid w:val="0083304C"/>
    <w:rsid w:val="0083451E"/>
    <w:rsid w:val="0083643E"/>
    <w:rsid w:val="008425AD"/>
    <w:rsid w:val="00845D23"/>
    <w:rsid w:val="00852E0C"/>
    <w:rsid w:val="008569A8"/>
    <w:rsid w:val="008577BC"/>
    <w:rsid w:val="00862838"/>
    <w:rsid w:val="008629B5"/>
    <w:rsid w:val="00863EBE"/>
    <w:rsid w:val="0086480A"/>
    <w:rsid w:val="00865083"/>
    <w:rsid w:val="00866262"/>
    <w:rsid w:val="008676DA"/>
    <w:rsid w:val="008714EC"/>
    <w:rsid w:val="00872956"/>
    <w:rsid w:val="008738E5"/>
    <w:rsid w:val="00874C0A"/>
    <w:rsid w:val="00877DA5"/>
    <w:rsid w:val="008857BE"/>
    <w:rsid w:val="00896397"/>
    <w:rsid w:val="00896560"/>
    <w:rsid w:val="008969D4"/>
    <w:rsid w:val="008A5F77"/>
    <w:rsid w:val="008B08C4"/>
    <w:rsid w:val="008B5DB3"/>
    <w:rsid w:val="008C22AB"/>
    <w:rsid w:val="008C684A"/>
    <w:rsid w:val="008D17F7"/>
    <w:rsid w:val="008D4190"/>
    <w:rsid w:val="008E1A70"/>
    <w:rsid w:val="008E3C34"/>
    <w:rsid w:val="008F5C0B"/>
    <w:rsid w:val="008F5FE8"/>
    <w:rsid w:val="0090142B"/>
    <w:rsid w:val="009060D4"/>
    <w:rsid w:val="00910B97"/>
    <w:rsid w:val="0091373D"/>
    <w:rsid w:val="00915083"/>
    <w:rsid w:val="00916007"/>
    <w:rsid w:val="00922FA1"/>
    <w:rsid w:val="00925ACF"/>
    <w:rsid w:val="00926D04"/>
    <w:rsid w:val="00927AE5"/>
    <w:rsid w:val="0094548E"/>
    <w:rsid w:val="009544D3"/>
    <w:rsid w:val="009553EE"/>
    <w:rsid w:val="00956BC8"/>
    <w:rsid w:val="00956C7F"/>
    <w:rsid w:val="009577C5"/>
    <w:rsid w:val="00960527"/>
    <w:rsid w:val="00961BD8"/>
    <w:rsid w:val="0096495D"/>
    <w:rsid w:val="00965074"/>
    <w:rsid w:val="00967278"/>
    <w:rsid w:val="009701FE"/>
    <w:rsid w:val="0097078D"/>
    <w:rsid w:val="00972CD2"/>
    <w:rsid w:val="0098007B"/>
    <w:rsid w:val="00980134"/>
    <w:rsid w:val="00980FC3"/>
    <w:rsid w:val="009846DB"/>
    <w:rsid w:val="00991A7F"/>
    <w:rsid w:val="00992AA1"/>
    <w:rsid w:val="00995C45"/>
    <w:rsid w:val="009A4304"/>
    <w:rsid w:val="009A5D16"/>
    <w:rsid w:val="009B0B8C"/>
    <w:rsid w:val="009B1114"/>
    <w:rsid w:val="009B11B7"/>
    <w:rsid w:val="009B1573"/>
    <w:rsid w:val="009B3342"/>
    <w:rsid w:val="009B61A1"/>
    <w:rsid w:val="009B7247"/>
    <w:rsid w:val="009B7C44"/>
    <w:rsid w:val="009C1A0B"/>
    <w:rsid w:val="009C4BD3"/>
    <w:rsid w:val="009D14C4"/>
    <w:rsid w:val="009D40FC"/>
    <w:rsid w:val="009D6787"/>
    <w:rsid w:val="009E1FAC"/>
    <w:rsid w:val="009E3AC4"/>
    <w:rsid w:val="009E7988"/>
    <w:rsid w:val="009F1386"/>
    <w:rsid w:val="009F4224"/>
    <w:rsid w:val="009F6277"/>
    <w:rsid w:val="009F78A9"/>
    <w:rsid w:val="009F7B94"/>
    <w:rsid w:val="00A003FB"/>
    <w:rsid w:val="00A04133"/>
    <w:rsid w:val="00A07465"/>
    <w:rsid w:val="00A07AF7"/>
    <w:rsid w:val="00A135E8"/>
    <w:rsid w:val="00A24235"/>
    <w:rsid w:val="00A24987"/>
    <w:rsid w:val="00A25A55"/>
    <w:rsid w:val="00A34A67"/>
    <w:rsid w:val="00A364B9"/>
    <w:rsid w:val="00A410D2"/>
    <w:rsid w:val="00A46F3F"/>
    <w:rsid w:val="00A476F6"/>
    <w:rsid w:val="00A5079D"/>
    <w:rsid w:val="00A51EF3"/>
    <w:rsid w:val="00A52F89"/>
    <w:rsid w:val="00A54E0C"/>
    <w:rsid w:val="00A67E1C"/>
    <w:rsid w:val="00A716EC"/>
    <w:rsid w:val="00A721F4"/>
    <w:rsid w:val="00A743A9"/>
    <w:rsid w:val="00A774DC"/>
    <w:rsid w:val="00A77FF5"/>
    <w:rsid w:val="00A8173C"/>
    <w:rsid w:val="00A85773"/>
    <w:rsid w:val="00A85AA5"/>
    <w:rsid w:val="00A86CB8"/>
    <w:rsid w:val="00A92213"/>
    <w:rsid w:val="00A95A3E"/>
    <w:rsid w:val="00A97867"/>
    <w:rsid w:val="00A97C73"/>
    <w:rsid w:val="00AA06DD"/>
    <w:rsid w:val="00AA2050"/>
    <w:rsid w:val="00AA4855"/>
    <w:rsid w:val="00AA6C55"/>
    <w:rsid w:val="00AA7DE1"/>
    <w:rsid w:val="00AB3BDE"/>
    <w:rsid w:val="00AB44C6"/>
    <w:rsid w:val="00AB7354"/>
    <w:rsid w:val="00AC01B7"/>
    <w:rsid w:val="00AC2839"/>
    <w:rsid w:val="00AC7F5B"/>
    <w:rsid w:val="00AD2B66"/>
    <w:rsid w:val="00AD3F79"/>
    <w:rsid w:val="00AD425E"/>
    <w:rsid w:val="00AD582C"/>
    <w:rsid w:val="00AD698D"/>
    <w:rsid w:val="00AD6BBB"/>
    <w:rsid w:val="00AE0191"/>
    <w:rsid w:val="00AE0C86"/>
    <w:rsid w:val="00AE1759"/>
    <w:rsid w:val="00AE1F2A"/>
    <w:rsid w:val="00AE21CF"/>
    <w:rsid w:val="00AE2A30"/>
    <w:rsid w:val="00AE33A2"/>
    <w:rsid w:val="00AE51F2"/>
    <w:rsid w:val="00AF0C7A"/>
    <w:rsid w:val="00B00FE0"/>
    <w:rsid w:val="00B121BB"/>
    <w:rsid w:val="00B138D7"/>
    <w:rsid w:val="00B16A48"/>
    <w:rsid w:val="00B21F2F"/>
    <w:rsid w:val="00B232AB"/>
    <w:rsid w:val="00B23C56"/>
    <w:rsid w:val="00B25428"/>
    <w:rsid w:val="00B25586"/>
    <w:rsid w:val="00B2646E"/>
    <w:rsid w:val="00B30AB6"/>
    <w:rsid w:val="00B3396C"/>
    <w:rsid w:val="00B34579"/>
    <w:rsid w:val="00B36D4A"/>
    <w:rsid w:val="00B37C1C"/>
    <w:rsid w:val="00B40075"/>
    <w:rsid w:val="00B4009D"/>
    <w:rsid w:val="00B43A39"/>
    <w:rsid w:val="00B4444E"/>
    <w:rsid w:val="00B46618"/>
    <w:rsid w:val="00B472CB"/>
    <w:rsid w:val="00B67827"/>
    <w:rsid w:val="00B67CA3"/>
    <w:rsid w:val="00B73168"/>
    <w:rsid w:val="00B75565"/>
    <w:rsid w:val="00B77794"/>
    <w:rsid w:val="00B87293"/>
    <w:rsid w:val="00B90374"/>
    <w:rsid w:val="00B96210"/>
    <w:rsid w:val="00B96692"/>
    <w:rsid w:val="00B9752F"/>
    <w:rsid w:val="00BA2CF2"/>
    <w:rsid w:val="00BA31CC"/>
    <w:rsid w:val="00BA3314"/>
    <w:rsid w:val="00BB2E02"/>
    <w:rsid w:val="00BB551D"/>
    <w:rsid w:val="00BB5C74"/>
    <w:rsid w:val="00BB7117"/>
    <w:rsid w:val="00BC1D59"/>
    <w:rsid w:val="00BC55E6"/>
    <w:rsid w:val="00BC5EEC"/>
    <w:rsid w:val="00BD15C3"/>
    <w:rsid w:val="00BD20B8"/>
    <w:rsid w:val="00BD6A71"/>
    <w:rsid w:val="00BD77CB"/>
    <w:rsid w:val="00BE15D5"/>
    <w:rsid w:val="00BE1E4C"/>
    <w:rsid w:val="00BE2756"/>
    <w:rsid w:val="00BE707B"/>
    <w:rsid w:val="00BF0380"/>
    <w:rsid w:val="00BF2483"/>
    <w:rsid w:val="00BF2539"/>
    <w:rsid w:val="00BF6E7E"/>
    <w:rsid w:val="00C00605"/>
    <w:rsid w:val="00C0596D"/>
    <w:rsid w:val="00C068B3"/>
    <w:rsid w:val="00C13203"/>
    <w:rsid w:val="00C13E06"/>
    <w:rsid w:val="00C14141"/>
    <w:rsid w:val="00C1764B"/>
    <w:rsid w:val="00C20109"/>
    <w:rsid w:val="00C24A49"/>
    <w:rsid w:val="00C25892"/>
    <w:rsid w:val="00C26B36"/>
    <w:rsid w:val="00C27B75"/>
    <w:rsid w:val="00C27EC4"/>
    <w:rsid w:val="00C3057F"/>
    <w:rsid w:val="00C30D44"/>
    <w:rsid w:val="00C312F4"/>
    <w:rsid w:val="00C314CD"/>
    <w:rsid w:val="00C32783"/>
    <w:rsid w:val="00C350B6"/>
    <w:rsid w:val="00C403A4"/>
    <w:rsid w:val="00C40462"/>
    <w:rsid w:val="00C4249A"/>
    <w:rsid w:val="00C42A93"/>
    <w:rsid w:val="00C4766E"/>
    <w:rsid w:val="00C47DCB"/>
    <w:rsid w:val="00C50418"/>
    <w:rsid w:val="00C50F35"/>
    <w:rsid w:val="00C51640"/>
    <w:rsid w:val="00C52E3C"/>
    <w:rsid w:val="00C5647A"/>
    <w:rsid w:val="00C62F58"/>
    <w:rsid w:val="00C6517E"/>
    <w:rsid w:val="00C66A15"/>
    <w:rsid w:val="00C721CD"/>
    <w:rsid w:val="00C749F6"/>
    <w:rsid w:val="00C766CA"/>
    <w:rsid w:val="00C76772"/>
    <w:rsid w:val="00C7716C"/>
    <w:rsid w:val="00C77253"/>
    <w:rsid w:val="00C7726E"/>
    <w:rsid w:val="00C8229C"/>
    <w:rsid w:val="00C9044C"/>
    <w:rsid w:val="00C91EF8"/>
    <w:rsid w:val="00C92AC5"/>
    <w:rsid w:val="00C958F6"/>
    <w:rsid w:val="00CA3BD2"/>
    <w:rsid w:val="00CB38EA"/>
    <w:rsid w:val="00CB520E"/>
    <w:rsid w:val="00CD27F2"/>
    <w:rsid w:val="00CD3561"/>
    <w:rsid w:val="00CD377B"/>
    <w:rsid w:val="00CD77B6"/>
    <w:rsid w:val="00CE4B1D"/>
    <w:rsid w:val="00CE5926"/>
    <w:rsid w:val="00CF06DF"/>
    <w:rsid w:val="00CF1A17"/>
    <w:rsid w:val="00CF2D0B"/>
    <w:rsid w:val="00CF2FCC"/>
    <w:rsid w:val="00CF3595"/>
    <w:rsid w:val="00CF37A2"/>
    <w:rsid w:val="00CF4E63"/>
    <w:rsid w:val="00CF7E9B"/>
    <w:rsid w:val="00D00536"/>
    <w:rsid w:val="00D01676"/>
    <w:rsid w:val="00D065E4"/>
    <w:rsid w:val="00D139B8"/>
    <w:rsid w:val="00D13C19"/>
    <w:rsid w:val="00D165C0"/>
    <w:rsid w:val="00D16893"/>
    <w:rsid w:val="00D16B3C"/>
    <w:rsid w:val="00D21B06"/>
    <w:rsid w:val="00D223BD"/>
    <w:rsid w:val="00D23225"/>
    <w:rsid w:val="00D36866"/>
    <w:rsid w:val="00D36F7A"/>
    <w:rsid w:val="00D414D8"/>
    <w:rsid w:val="00D52E00"/>
    <w:rsid w:val="00D5669E"/>
    <w:rsid w:val="00D602AF"/>
    <w:rsid w:val="00D60CA8"/>
    <w:rsid w:val="00D61185"/>
    <w:rsid w:val="00D635D4"/>
    <w:rsid w:val="00D66965"/>
    <w:rsid w:val="00D67F51"/>
    <w:rsid w:val="00D708F6"/>
    <w:rsid w:val="00D75C9D"/>
    <w:rsid w:val="00D76214"/>
    <w:rsid w:val="00D763DA"/>
    <w:rsid w:val="00D80A32"/>
    <w:rsid w:val="00D80DE1"/>
    <w:rsid w:val="00D8266D"/>
    <w:rsid w:val="00D85837"/>
    <w:rsid w:val="00D92198"/>
    <w:rsid w:val="00D92F8E"/>
    <w:rsid w:val="00D9446F"/>
    <w:rsid w:val="00DA137E"/>
    <w:rsid w:val="00DA2763"/>
    <w:rsid w:val="00DA41A4"/>
    <w:rsid w:val="00DA645C"/>
    <w:rsid w:val="00DA7966"/>
    <w:rsid w:val="00DB2961"/>
    <w:rsid w:val="00DB3813"/>
    <w:rsid w:val="00DB48F2"/>
    <w:rsid w:val="00DB4E03"/>
    <w:rsid w:val="00DB5A46"/>
    <w:rsid w:val="00DB76CA"/>
    <w:rsid w:val="00DB7799"/>
    <w:rsid w:val="00DB7AB6"/>
    <w:rsid w:val="00DB7C2D"/>
    <w:rsid w:val="00DC0A47"/>
    <w:rsid w:val="00DC26CA"/>
    <w:rsid w:val="00DC3561"/>
    <w:rsid w:val="00DC54B7"/>
    <w:rsid w:val="00DD1280"/>
    <w:rsid w:val="00DD2612"/>
    <w:rsid w:val="00DD7103"/>
    <w:rsid w:val="00DE1748"/>
    <w:rsid w:val="00DE1AE4"/>
    <w:rsid w:val="00DE3B7A"/>
    <w:rsid w:val="00DE4FC2"/>
    <w:rsid w:val="00DE6587"/>
    <w:rsid w:val="00DF00B2"/>
    <w:rsid w:val="00DF0E49"/>
    <w:rsid w:val="00DF318B"/>
    <w:rsid w:val="00DF38A4"/>
    <w:rsid w:val="00DF7F2D"/>
    <w:rsid w:val="00E01CFD"/>
    <w:rsid w:val="00E02341"/>
    <w:rsid w:val="00E12979"/>
    <w:rsid w:val="00E13416"/>
    <w:rsid w:val="00E16C50"/>
    <w:rsid w:val="00E20BA5"/>
    <w:rsid w:val="00E24232"/>
    <w:rsid w:val="00E27508"/>
    <w:rsid w:val="00E275BB"/>
    <w:rsid w:val="00E27DFB"/>
    <w:rsid w:val="00E30EEF"/>
    <w:rsid w:val="00E34987"/>
    <w:rsid w:val="00E415F5"/>
    <w:rsid w:val="00E41620"/>
    <w:rsid w:val="00E47647"/>
    <w:rsid w:val="00E51086"/>
    <w:rsid w:val="00E522E6"/>
    <w:rsid w:val="00E52345"/>
    <w:rsid w:val="00E525B9"/>
    <w:rsid w:val="00E55160"/>
    <w:rsid w:val="00E56210"/>
    <w:rsid w:val="00E60EC0"/>
    <w:rsid w:val="00E60F39"/>
    <w:rsid w:val="00E61C40"/>
    <w:rsid w:val="00E64F95"/>
    <w:rsid w:val="00E65166"/>
    <w:rsid w:val="00E67238"/>
    <w:rsid w:val="00E67FE7"/>
    <w:rsid w:val="00E754B9"/>
    <w:rsid w:val="00E75996"/>
    <w:rsid w:val="00E80D4E"/>
    <w:rsid w:val="00E82ADE"/>
    <w:rsid w:val="00E85E42"/>
    <w:rsid w:val="00EA12DA"/>
    <w:rsid w:val="00EA319E"/>
    <w:rsid w:val="00EA366F"/>
    <w:rsid w:val="00EA5179"/>
    <w:rsid w:val="00EA5524"/>
    <w:rsid w:val="00EA5B9E"/>
    <w:rsid w:val="00EA7B32"/>
    <w:rsid w:val="00EB1834"/>
    <w:rsid w:val="00EB1890"/>
    <w:rsid w:val="00EB2BFB"/>
    <w:rsid w:val="00EB4587"/>
    <w:rsid w:val="00EB45D6"/>
    <w:rsid w:val="00EB7DF4"/>
    <w:rsid w:val="00EC0FFA"/>
    <w:rsid w:val="00EC2AD2"/>
    <w:rsid w:val="00EC5548"/>
    <w:rsid w:val="00ED020D"/>
    <w:rsid w:val="00ED16D4"/>
    <w:rsid w:val="00ED21C1"/>
    <w:rsid w:val="00ED45AF"/>
    <w:rsid w:val="00ED51AD"/>
    <w:rsid w:val="00ED53AF"/>
    <w:rsid w:val="00EE17B4"/>
    <w:rsid w:val="00EE4B31"/>
    <w:rsid w:val="00EF6A19"/>
    <w:rsid w:val="00EF73B8"/>
    <w:rsid w:val="00F01BEF"/>
    <w:rsid w:val="00F020FE"/>
    <w:rsid w:val="00F024B5"/>
    <w:rsid w:val="00F03602"/>
    <w:rsid w:val="00F11964"/>
    <w:rsid w:val="00F1293D"/>
    <w:rsid w:val="00F2106F"/>
    <w:rsid w:val="00F26F37"/>
    <w:rsid w:val="00F31FE5"/>
    <w:rsid w:val="00F378AB"/>
    <w:rsid w:val="00F452AF"/>
    <w:rsid w:val="00F4781C"/>
    <w:rsid w:val="00F50151"/>
    <w:rsid w:val="00F53152"/>
    <w:rsid w:val="00F551DD"/>
    <w:rsid w:val="00F61FD3"/>
    <w:rsid w:val="00F63653"/>
    <w:rsid w:val="00F66838"/>
    <w:rsid w:val="00F66886"/>
    <w:rsid w:val="00F770E8"/>
    <w:rsid w:val="00F77723"/>
    <w:rsid w:val="00F821B4"/>
    <w:rsid w:val="00F85D63"/>
    <w:rsid w:val="00F87F2F"/>
    <w:rsid w:val="00F90FBF"/>
    <w:rsid w:val="00F94473"/>
    <w:rsid w:val="00FA0B2A"/>
    <w:rsid w:val="00FA2D38"/>
    <w:rsid w:val="00FA6901"/>
    <w:rsid w:val="00FB1245"/>
    <w:rsid w:val="00FB396A"/>
    <w:rsid w:val="00FC15BC"/>
    <w:rsid w:val="00FD0E47"/>
    <w:rsid w:val="00FE0E27"/>
    <w:rsid w:val="00FE0F89"/>
    <w:rsid w:val="00FE77E7"/>
    <w:rsid w:val="00FE7E0D"/>
    <w:rsid w:val="00FF0400"/>
    <w:rsid w:val="00FF35D6"/>
    <w:rsid w:val="00FF4DBF"/>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table" w:styleId="Tablaconcuadrcula">
    <w:name w:val="Table Grid"/>
    <w:basedOn w:val="Tablanormal"/>
    <w:uiPriority w:val="39"/>
    <w:rsid w:val="0047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1386"/>
    <w:rPr>
      <w:b/>
      <w:bCs/>
    </w:rPr>
  </w:style>
  <w:style w:type="character" w:styleId="Hipervnculovisitado">
    <w:name w:val="FollowedHyperlink"/>
    <w:basedOn w:val="Fuentedeprrafopredeter"/>
    <w:uiPriority w:val="99"/>
    <w:semiHidden/>
    <w:unhideWhenUsed/>
    <w:rsid w:val="00F01BEF"/>
    <w:rPr>
      <w:color w:val="954F72" w:themeColor="followedHyperlink"/>
      <w:u w:val="single"/>
    </w:rPr>
  </w:style>
  <w:style w:type="paragraph" w:customStyle="1" w:styleId="Default">
    <w:name w:val="Default"/>
    <w:rsid w:val="00F01BEF"/>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SinespaciadoCar">
    <w:name w:val="Sin espaciado Car"/>
    <w:link w:val="Sinespaciado"/>
    <w:uiPriority w:val="1"/>
    <w:locked/>
    <w:rsid w:val="00E12979"/>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1C215-5753-4C43-A49E-A751CA2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1677</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69</cp:revision>
  <cp:lastPrinted>2020-02-25T12:17:00Z</cp:lastPrinted>
  <dcterms:created xsi:type="dcterms:W3CDTF">2021-06-30T13:54:00Z</dcterms:created>
  <dcterms:modified xsi:type="dcterms:W3CDTF">2021-09-28T20:11:00Z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