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88F6" w14:textId="77777777" w:rsidR="008E700C" w:rsidRPr="008A290B" w:rsidRDefault="008E700C" w:rsidP="008E70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FC1564" w14:textId="77777777" w:rsidR="008E700C" w:rsidRDefault="008E700C" w:rsidP="008E700C">
      <w:pPr>
        <w:jc w:val="both"/>
        <w:rPr>
          <w:rFonts w:ascii="Arial" w:hAnsi="Arial" w:cs="Arial"/>
          <w:lang w:val="es-419"/>
        </w:rPr>
      </w:pPr>
    </w:p>
    <w:p w14:paraId="36CD76DE" w14:textId="5152A105" w:rsidR="008E700C" w:rsidRPr="00E32969" w:rsidRDefault="008E700C" w:rsidP="008E700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F00A5">
        <w:rPr>
          <w:rFonts w:ascii="Arial" w:hAnsi="Arial" w:cs="Arial"/>
          <w:b/>
          <w:bCs/>
          <w:iCs/>
          <w:sz w:val="20"/>
          <w:szCs w:val="20"/>
          <w:lang w:val="es-419" w:eastAsia="fr-FR"/>
        </w:rPr>
        <w:t>DEBIDO PROCESO / RECHAZO DEMANDA POR FALTA DE COMPETENCIA / IMPROCEDENCIA TUTELA / PRINCIPIO DE SUBSIDIARIEDAD / EL ASUNTO SE RESUELVE MEDIANTE CONFLICTO DE COMPETENCIA</w:t>
      </w:r>
      <w:r w:rsidR="00AC4C37">
        <w:rPr>
          <w:rFonts w:ascii="Arial" w:hAnsi="Arial" w:cs="Arial"/>
          <w:b/>
          <w:bCs/>
          <w:iCs/>
          <w:sz w:val="20"/>
          <w:szCs w:val="20"/>
          <w:lang w:val="es-419" w:eastAsia="fr-FR"/>
        </w:rPr>
        <w:t>,</w:t>
      </w:r>
      <w:r w:rsidR="00BF00A5">
        <w:rPr>
          <w:rFonts w:ascii="Arial" w:hAnsi="Arial" w:cs="Arial"/>
          <w:b/>
          <w:bCs/>
          <w:iCs/>
          <w:sz w:val="20"/>
          <w:szCs w:val="20"/>
          <w:lang w:val="es-419" w:eastAsia="fr-FR"/>
        </w:rPr>
        <w:t xml:space="preserve"> SI FUERE EL CASO.</w:t>
      </w:r>
    </w:p>
    <w:p w14:paraId="0355FED0" w14:textId="77777777" w:rsidR="008E700C" w:rsidRPr="00E32969" w:rsidRDefault="008E700C" w:rsidP="008E700C">
      <w:pPr>
        <w:jc w:val="both"/>
        <w:rPr>
          <w:rFonts w:ascii="Arial" w:hAnsi="Arial" w:cs="Arial"/>
          <w:lang w:val="es-419"/>
        </w:rPr>
      </w:pPr>
    </w:p>
    <w:p w14:paraId="151D3513" w14:textId="7E5E1B71" w:rsidR="008E700C" w:rsidRPr="00E32969" w:rsidRDefault="00173BA2" w:rsidP="008E700C">
      <w:pPr>
        <w:jc w:val="both"/>
        <w:rPr>
          <w:rFonts w:ascii="Arial" w:hAnsi="Arial" w:cs="Arial"/>
          <w:lang w:val="es-419"/>
        </w:rPr>
      </w:pPr>
      <w:r>
        <w:rPr>
          <w:rFonts w:ascii="Arial" w:hAnsi="Arial" w:cs="Arial"/>
          <w:lang w:val="es-419"/>
        </w:rPr>
        <w:t xml:space="preserve">… </w:t>
      </w:r>
      <w:r w:rsidR="00C8002C" w:rsidRPr="00C8002C">
        <w:rPr>
          <w:rFonts w:ascii="Arial" w:hAnsi="Arial" w:cs="Arial"/>
          <w:lang w:val="es-419"/>
        </w:rPr>
        <w:t>la principal queja constitucional del actor</w:t>
      </w:r>
      <w:r>
        <w:rPr>
          <w:rFonts w:ascii="Arial" w:hAnsi="Arial" w:cs="Arial"/>
          <w:lang w:val="es-419"/>
        </w:rPr>
        <w:t>…</w:t>
      </w:r>
      <w:r w:rsidR="00C8002C" w:rsidRPr="00C8002C">
        <w:rPr>
          <w:rFonts w:ascii="Arial" w:hAnsi="Arial" w:cs="Arial"/>
          <w:lang w:val="es-419"/>
        </w:rPr>
        <w:t xml:space="preserve"> se circunscribe a </w:t>
      </w:r>
      <w:bookmarkStart w:id="1" w:name="_GoBack"/>
      <w:bookmarkEnd w:id="1"/>
      <w:r w:rsidR="00C8002C" w:rsidRPr="00C8002C">
        <w:rPr>
          <w:rFonts w:ascii="Arial" w:hAnsi="Arial" w:cs="Arial"/>
          <w:lang w:val="es-419"/>
        </w:rPr>
        <w:t>que el Juzgado Promiscuo del Circuito de La Virginia desconoce el principio de jurisdicción perpetua, al desprenderse del conocimiento de la acción popular 2021-00369.</w:t>
      </w:r>
      <w:r>
        <w:rPr>
          <w:rFonts w:ascii="Arial" w:hAnsi="Arial" w:cs="Arial"/>
          <w:lang w:val="es-419"/>
        </w:rPr>
        <w:t xml:space="preserve"> (…)</w:t>
      </w:r>
    </w:p>
    <w:p w14:paraId="1C89E6A2" w14:textId="77777777" w:rsidR="008E700C" w:rsidRPr="00E32969" w:rsidRDefault="008E700C" w:rsidP="008E700C">
      <w:pPr>
        <w:jc w:val="both"/>
        <w:rPr>
          <w:rFonts w:ascii="Arial" w:hAnsi="Arial" w:cs="Arial"/>
          <w:lang w:val="es-419"/>
        </w:rPr>
      </w:pPr>
    </w:p>
    <w:p w14:paraId="06C12DA0" w14:textId="77777777" w:rsidR="00173BA2" w:rsidRPr="00173BA2" w:rsidRDefault="00173BA2" w:rsidP="00173BA2">
      <w:pPr>
        <w:jc w:val="both"/>
        <w:rPr>
          <w:rFonts w:ascii="Arial" w:hAnsi="Arial" w:cs="Arial"/>
          <w:lang w:val="es-419"/>
        </w:rPr>
      </w:pPr>
      <w:r w:rsidRPr="00173BA2">
        <w:rPr>
          <w:rFonts w:ascii="Arial" w:hAnsi="Arial" w:cs="Arial"/>
          <w:lang w:val="es-419"/>
        </w:rPr>
        <w:t>De cara a la aplicación de los presupuestos generales de procedencia, específicamente el de la subsidiariedad, rápido despunta el fracaso del amparo constitucional como se pasa a exponer.</w:t>
      </w:r>
    </w:p>
    <w:p w14:paraId="3C00009B" w14:textId="77777777" w:rsidR="00173BA2" w:rsidRPr="00173BA2" w:rsidRDefault="00173BA2" w:rsidP="00173BA2">
      <w:pPr>
        <w:jc w:val="both"/>
        <w:rPr>
          <w:rFonts w:ascii="Arial" w:hAnsi="Arial" w:cs="Arial"/>
          <w:lang w:val="es-419"/>
        </w:rPr>
      </w:pPr>
    </w:p>
    <w:p w14:paraId="71618853" w14:textId="20035068" w:rsidR="008E700C" w:rsidRDefault="00173BA2" w:rsidP="00390B74">
      <w:pPr>
        <w:jc w:val="both"/>
        <w:rPr>
          <w:rFonts w:ascii="Arial" w:hAnsi="Arial" w:cs="Arial"/>
          <w:lang w:val="es-419"/>
        </w:rPr>
      </w:pPr>
      <w:r w:rsidRPr="00173BA2">
        <w:rPr>
          <w:rFonts w:ascii="Arial" w:hAnsi="Arial" w:cs="Arial"/>
          <w:lang w:val="es-419"/>
        </w:rPr>
        <w:t>Basta remitirse al libelo introductor para evidenciar que el verdadero deseo del convocante consiste en que el accionado retrotraiga la actuación por medio de la cual se desprendió del conocimiento de la citada acción popular y la continúe tramitando en aplicación del principio de jurisdicción en perpetuidad, 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y eficaces para su definición, resultando improcedente la intervención prematura de la justicia constitucional.</w:t>
      </w:r>
      <w:r>
        <w:rPr>
          <w:rFonts w:ascii="Arial" w:hAnsi="Arial" w:cs="Arial"/>
          <w:lang w:val="es-419"/>
        </w:rPr>
        <w:t xml:space="preserve"> (…)</w:t>
      </w:r>
    </w:p>
    <w:p w14:paraId="45B7D030" w14:textId="77777777" w:rsidR="008E700C" w:rsidRDefault="008E700C" w:rsidP="008E700C">
      <w:pPr>
        <w:jc w:val="both"/>
        <w:rPr>
          <w:rFonts w:ascii="Arial" w:hAnsi="Arial" w:cs="Arial"/>
          <w:lang w:val="es-419"/>
        </w:rPr>
      </w:pPr>
    </w:p>
    <w:p w14:paraId="37BA9AFA" w14:textId="476098C0" w:rsidR="008E700C" w:rsidRPr="00E32969" w:rsidRDefault="00BF00A5" w:rsidP="008E700C">
      <w:pPr>
        <w:jc w:val="both"/>
        <w:rPr>
          <w:rFonts w:ascii="Arial" w:hAnsi="Arial" w:cs="Arial"/>
          <w:lang w:val="es-419"/>
        </w:rPr>
      </w:pPr>
      <w:r w:rsidRPr="00BF00A5">
        <w:rPr>
          <w:rFonts w:ascii="Arial" w:hAnsi="Arial" w:cs="Arial"/>
          <w:lang w:val="es-419"/>
        </w:rPr>
        <w:t>En efecto, el Código General del Proceso, dispuso en su artículo 139, que el juez que reciba el expediente puede, a su vez, declararse incompetente, caso en el cual solicitará que el conflicto se decida por el funcionario judicial que sea superior funcional común a ambos, al que enviara la actuación.</w:t>
      </w:r>
    </w:p>
    <w:p w14:paraId="0CD844FC" w14:textId="77777777" w:rsidR="008E700C" w:rsidRDefault="008E700C" w:rsidP="00390B74">
      <w:pPr>
        <w:jc w:val="both"/>
        <w:rPr>
          <w:rFonts w:ascii="Arial" w:hAnsi="Arial" w:cs="Arial"/>
        </w:rPr>
      </w:pPr>
    </w:p>
    <w:p w14:paraId="5FDB3B0E" w14:textId="77777777" w:rsidR="008E700C" w:rsidRDefault="008E700C" w:rsidP="00390B74">
      <w:pPr>
        <w:jc w:val="both"/>
        <w:rPr>
          <w:rFonts w:ascii="Arial" w:hAnsi="Arial" w:cs="Arial"/>
        </w:rPr>
      </w:pPr>
    </w:p>
    <w:p w14:paraId="78757B2C" w14:textId="77777777" w:rsidR="008E700C" w:rsidRDefault="008E700C" w:rsidP="00390B74">
      <w:pPr>
        <w:jc w:val="both"/>
        <w:rPr>
          <w:rFonts w:ascii="Arial" w:hAnsi="Arial" w:cs="Arial"/>
        </w:rPr>
      </w:pPr>
    </w:p>
    <w:bookmarkEnd w:id="0"/>
    <w:p w14:paraId="1F9163C9" w14:textId="77777777" w:rsidR="00DC1A4C" w:rsidRPr="00E60AE4" w:rsidRDefault="00DC1A4C" w:rsidP="00390B74">
      <w:pPr>
        <w:spacing w:line="264" w:lineRule="auto"/>
        <w:jc w:val="center"/>
        <w:rPr>
          <w:rFonts w:ascii="Arial Narrow" w:hAnsi="Arial Narrow"/>
          <w:b/>
          <w:sz w:val="26"/>
          <w:szCs w:val="26"/>
        </w:rPr>
      </w:pPr>
      <w:r w:rsidRPr="00E60AE4">
        <w:rPr>
          <w:rFonts w:ascii="Arial Narrow" w:hAnsi="Arial Narrow"/>
          <w:b/>
          <w:sz w:val="26"/>
          <w:szCs w:val="26"/>
        </w:rPr>
        <w:t>REPÚBLICA DE COLOMBIA</w:t>
      </w:r>
    </w:p>
    <w:p w14:paraId="27ADCC1F" w14:textId="77777777" w:rsidR="00DC1A4C" w:rsidRPr="00E60AE4" w:rsidRDefault="00DC1A4C" w:rsidP="00390B74">
      <w:pPr>
        <w:spacing w:line="264" w:lineRule="auto"/>
        <w:jc w:val="center"/>
        <w:rPr>
          <w:rFonts w:ascii="Arial Narrow" w:hAnsi="Arial Narrow"/>
          <w:b/>
          <w:sz w:val="26"/>
          <w:szCs w:val="26"/>
        </w:rPr>
      </w:pPr>
      <w:r w:rsidRPr="00E60AE4">
        <w:rPr>
          <w:rFonts w:ascii="Arial Narrow" w:hAnsi="Arial Narrow"/>
          <w:b/>
          <w:noProof/>
          <w:sz w:val="26"/>
          <w:szCs w:val="26"/>
          <w:lang w:val="es-CO" w:eastAsia="es-CO"/>
        </w:rPr>
        <w:drawing>
          <wp:inline distT="0" distB="0" distL="0" distR="0" wp14:anchorId="6817297F" wp14:editId="5B9FCDCB">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17C7A48" w14:textId="77777777" w:rsidR="00DC1A4C" w:rsidRPr="00E60AE4" w:rsidRDefault="00DC1A4C" w:rsidP="00390B74">
      <w:pPr>
        <w:spacing w:line="264" w:lineRule="auto"/>
        <w:jc w:val="center"/>
        <w:rPr>
          <w:rFonts w:ascii="Arial Narrow" w:hAnsi="Arial Narrow"/>
          <w:b/>
          <w:sz w:val="26"/>
          <w:szCs w:val="26"/>
        </w:rPr>
      </w:pPr>
      <w:r w:rsidRPr="00E60AE4">
        <w:rPr>
          <w:rFonts w:ascii="Arial Narrow" w:hAnsi="Arial Narrow"/>
          <w:b/>
          <w:sz w:val="26"/>
          <w:szCs w:val="26"/>
        </w:rPr>
        <w:t>TRIBUNAL SUPERIOR DE PEREIRA</w:t>
      </w:r>
    </w:p>
    <w:p w14:paraId="2F6BFEC3" w14:textId="77777777" w:rsidR="00DC1A4C" w:rsidRPr="00E60AE4" w:rsidRDefault="00DC1A4C" w:rsidP="00390B74">
      <w:pPr>
        <w:spacing w:line="264" w:lineRule="auto"/>
        <w:jc w:val="center"/>
        <w:rPr>
          <w:rFonts w:ascii="Arial Narrow" w:hAnsi="Arial Narrow"/>
          <w:b/>
          <w:sz w:val="26"/>
          <w:szCs w:val="26"/>
        </w:rPr>
      </w:pPr>
      <w:r w:rsidRPr="00E60AE4">
        <w:rPr>
          <w:rFonts w:ascii="Arial Narrow" w:hAnsi="Arial Narrow"/>
          <w:b/>
          <w:sz w:val="26"/>
          <w:szCs w:val="26"/>
        </w:rPr>
        <w:t xml:space="preserve">SALA CIVIL – FAMILIA </w:t>
      </w:r>
    </w:p>
    <w:p w14:paraId="5D195A2D" w14:textId="77777777" w:rsidR="00DC1A4C" w:rsidRPr="00E60AE4" w:rsidRDefault="00DC1A4C" w:rsidP="00390B74">
      <w:pPr>
        <w:pStyle w:val="Sinespaciado"/>
        <w:spacing w:line="264" w:lineRule="auto"/>
        <w:rPr>
          <w:rFonts w:ascii="Arial Narrow" w:hAnsi="Arial Narrow"/>
          <w:b/>
          <w:sz w:val="26"/>
          <w:szCs w:val="26"/>
          <w:lang w:val="es-ES_tradnl"/>
        </w:rPr>
      </w:pPr>
    </w:p>
    <w:p w14:paraId="30A55A4C" w14:textId="77777777" w:rsidR="00DC1A4C" w:rsidRPr="00E60AE4" w:rsidRDefault="00DC1A4C" w:rsidP="00390B74">
      <w:pPr>
        <w:pStyle w:val="Sinespaciado"/>
        <w:spacing w:line="264" w:lineRule="auto"/>
        <w:jc w:val="center"/>
        <w:rPr>
          <w:rFonts w:ascii="Arial Narrow" w:hAnsi="Arial Narrow"/>
          <w:b/>
          <w:bCs/>
          <w:sz w:val="26"/>
          <w:szCs w:val="26"/>
        </w:rPr>
      </w:pPr>
      <w:r w:rsidRPr="00E60AE4">
        <w:rPr>
          <w:rFonts w:ascii="Arial Narrow" w:hAnsi="Arial Narrow"/>
          <w:b/>
          <w:bCs/>
          <w:sz w:val="26"/>
          <w:szCs w:val="26"/>
        </w:rPr>
        <w:t>MAGISTRADO PONENTE: CARLOS MAURICIO GARCÍA BARAJAS</w:t>
      </w:r>
    </w:p>
    <w:p w14:paraId="5285E94E" w14:textId="77777777" w:rsidR="005F36F2" w:rsidRPr="00E60AE4" w:rsidRDefault="005F36F2" w:rsidP="00390B74">
      <w:pPr>
        <w:pStyle w:val="Sinespaciado"/>
        <w:spacing w:line="264" w:lineRule="auto"/>
        <w:jc w:val="center"/>
        <w:rPr>
          <w:rFonts w:ascii="Arial Narrow" w:hAnsi="Arial Narrow"/>
          <w:b/>
          <w:bCs/>
          <w:color w:val="FF0000"/>
          <w:sz w:val="26"/>
          <w:szCs w:val="26"/>
        </w:rPr>
      </w:pPr>
    </w:p>
    <w:p w14:paraId="76542B0D" w14:textId="67267426" w:rsidR="00DC1A4C" w:rsidRPr="00E60AE4" w:rsidRDefault="005F36F2" w:rsidP="00390B74">
      <w:pPr>
        <w:pStyle w:val="Sinespaciado"/>
        <w:spacing w:line="264" w:lineRule="auto"/>
        <w:jc w:val="center"/>
        <w:rPr>
          <w:rFonts w:ascii="Arial Narrow" w:hAnsi="Arial Narrow"/>
          <w:sz w:val="26"/>
          <w:szCs w:val="26"/>
        </w:rPr>
      </w:pPr>
      <w:r w:rsidRPr="00E60AE4">
        <w:rPr>
          <w:rFonts w:ascii="Arial Narrow" w:hAnsi="Arial Narrow"/>
          <w:sz w:val="26"/>
          <w:szCs w:val="26"/>
        </w:rPr>
        <w:t xml:space="preserve">Pereira, </w:t>
      </w:r>
      <w:r w:rsidR="00B83776" w:rsidRPr="00E60AE4">
        <w:rPr>
          <w:rFonts w:ascii="Arial Narrow" w:hAnsi="Arial Narrow"/>
          <w:sz w:val="26"/>
          <w:szCs w:val="26"/>
        </w:rPr>
        <w:t>veinticuatro</w:t>
      </w:r>
      <w:r w:rsidR="00DC1A4C" w:rsidRPr="00E60AE4">
        <w:rPr>
          <w:rFonts w:ascii="Arial Narrow" w:hAnsi="Arial Narrow"/>
          <w:sz w:val="26"/>
          <w:szCs w:val="26"/>
        </w:rPr>
        <w:t xml:space="preserve"> (</w:t>
      </w:r>
      <w:r w:rsidR="00B83776" w:rsidRPr="00E60AE4">
        <w:rPr>
          <w:rFonts w:ascii="Arial Narrow" w:hAnsi="Arial Narrow"/>
          <w:sz w:val="26"/>
          <w:szCs w:val="26"/>
        </w:rPr>
        <w:t>24</w:t>
      </w:r>
      <w:r w:rsidR="00DC1A4C" w:rsidRPr="00E60AE4">
        <w:rPr>
          <w:rFonts w:ascii="Arial Narrow" w:hAnsi="Arial Narrow"/>
          <w:sz w:val="26"/>
          <w:szCs w:val="26"/>
        </w:rPr>
        <w:t xml:space="preserve">) de </w:t>
      </w:r>
      <w:r w:rsidR="00075A8E" w:rsidRPr="00E60AE4">
        <w:rPr>
          <w:rFonts w:ascii="Arial Narrow" w:hAnsi="Arial Narrow"/>
          <w:sz w:val="26"/>
          <w:szCs w:val="26"/>
        </w:rPr>
        <w:t>agosto</w:t>
      </w:r>
      <w:r w:rsidR="00DC1A4C" w:rsidRPr="00E60AE4">
        <w:rPr>
          <w:rFonts w:ascii="Arial Narrow" w:hAnsi="Arial Narrow"/>
          <w:sz w:val="26"/>
          <w:szCs w:val="26"/>
        </w:rPr>
        <w:t xml:space="preserve"> de dos mil veintiuno (2021)</w:t>
      </w:r>
    </w:p>
    <w:p w14:paraId="16048A23" w14:textId="77777777" w:rsidR="00DC1A4C" w:rsidRPr="00E60AE4" w:rsidRDefault="00DC1A4C" w:rsidP="00390B74">
      <w:pPr>
        <w:pStyle w:val="Sinespaciado"/>
        <w:spacing w:line="264" w:lineRule="auto"/>
        <w:rPr>
          <w:rFonts w:ascii="Arial Narrow" w:hAnsi="Arial Narrow"/>
          <w:b/>
          <w:sz w:val="26"/>
          <w:szCs w:val="26"/>
        </w:rPr>
      </w:pPr>
    </w:p>
    <w:p w14:paraId="4734104B" w14:textId="09635EF8" w:rsidR="00DC1A4C" w:rsidRPr="00E60AE4" w:rsidRDefault="00DC1A4C" w:rsidP="00390B74">
      <w:pPr>
        <w:pStyle w:val="Sinespaciado"/>
        <w:spacing w:line="264" w:lineRule="auto"/>
        <w:ind w:left="993"/>
        <w:rPr>
          <w:rFonts w:ascii="Arial Narrow" w:hAnsi="Arial Narrow"/>
          <w:sz w:val="24"/>
          <w:szCs w:val="26"/>
          <w:lang w:val="pt-BR"/>
        </w:rPr>
      </w:pPr>
      <w:r w:rsidRPr="00E60AE4">
        <w:rPr>
          <w:rFonts w:ascii="Arial Narrow" w:hAnsi="Arial Narrow"/>
          <w:sz w:val="24"/>
          <w:szCs w:val="26"/>
        </w:rPr>
        <w:tab/>
      </w:r>
      <w:r w:rsidR="005F36F2" w:rsidRPr="00E60AE4">
        <w:rPr>
          <w:rFonts w:ascii="Arial Narrow" w:hAnsi="Arial Narrow"/>
          <w:sz w:val="24"/>
          <w:szCs w:val="26"/>
          <w:lang w:val="pt-BR"/>
        </w:rPr>
        <w:t xml:space="preserve">Acta N° </w:t>
      </w:r>
      <w:r w:rsidR="00B83776" w:rsidRPr="00E60AE4">
        <w:rPr>
          <w:rFonts w:ascii="Arial Narrow" w:hAnsi="Arial Narrow"/>
          <w:sz w:val="24"/>
          <w:szCs w:val="26"/>
          <w:lang w:val="pt-BR"/>
        </w:rPr>
        <w:t>396</w:t>
      </w:r>
      <w:r w:rsidRPr="00E60AE4">
        <w:rPr>
          <w:rFonts w:ascii="Arial Narrow" w:hAnsi="Arial Narrow"/>
          <w:sz w:val="24"/>
          <w:szCs w:val="26"/>
          <w:lang w:val="pt-BR"/>
        </w:rPr>
        <w:t xml:space="preserve"> de </w:t>
      </w:r>
      <w:r w:rsidR="00B83776" w:rsidRPr="00E60AE4">
        <w:rPr>
          <w:rFonts w:ascii="Arial Narrow" w:hAnsi="Arial Narrow"/>
          <w:sz w:val="24"/>
          <w:szCs w:val="26"/>
          <w:lang w:val="pt-BR"/>
        </w:rPr>
        <w:t>24</w:t>
      </w:r>
      <w:r w:rsidRPr="00E60AE4">
        <w:rPr>
          <w:rFonts w:ascii="Arial Narrow" w:hAnsi="Arial Narrow"/>
          <w:sz w:val="24"/>
          <w:szCs w:val="26"/>
          <w:lang w:val="pt-BR"/>
        </w:rPr>
        <w:t>-</w:t>
      </w:r>
      <w:r w:rsidR="00075A8E" w:rsidRPr="00E60AE4">
        <w:rPr>
          <w:rFonts w:ascii="Arial Narrow" w:hAnsi="Arial Narrow"/>
          <w:sz w:val="24"/>
          <w:szCs w:val="26"/>
          <w:lang w:val="pt-BR"/>
        </w:rPr>
        <w:t>08</w:t>
      </w:r>
      <w:r w:rsidRPr="00E60AE4">
        <w:rPr>
          <w:rFonts w:ascii="Arial Narrow" w:hAnsi="Arial Narrow"/>
          <w:sz w:val="24"/>
          <w:szCs w:val="26"/>
          <w:lang w:val="pt-BR"/>
        </w:rPr>
        <w:t>-2021</w:t>
      </w:r>
    </w:p>
    <w:p w14:paraId="3361F433" w14:textId="57096939" w:rsidR="00DC1A4C" w:rsidRPr="00E60AE4" w:rsidRDefault="00DC1A4C" w:rsidP="00390B74">
      <w:pPr>
        <w:pStyle w:val="Sinespaciado"/>
        <w:spacing w:line="264" w:lineRule="auto"/>
        <w:ind w:left="993"/>
        <w:rPr>
          <w:rFonts w:ascii="Arial Narrow" w:hAnsi="Arial Narrow"/>
          <w:sz w:val="24"/>
          <w:szCs w:val="26"/>
        </w:rPr>
      </w:pPr>
      <w:r w:rsidRPr="00E60AE4">
        <w:rPr>
          <w:rFonts w:ascii="Arial Narrow" w:hAnsi="Arial Narrow"/>
          <w:sz w:val="24"/>
          <w:szCs w:val="26"/>
          <w:lang w:val="pt-BR"/>
        </w:rPr>
        <w:tab/>
        <w:t xml:space="preserve">Sentencia: TSP. </w:t>
      </w:r>
      <w:r w:rsidRPr="00E60AE4">
        <w:rPr>
          <w:rFonts w:ascii="Arial Narrow" w:hAnsi="Arial Narrow"/>
          <w:sz w:val="24"/>
          <w:szCs w:val="26"/>
        </w:rPr>
        <w:t>ST</w:t>
      </w:r>
      <w:r w:rsidR="00E70373" w:rsidRPr="00E60AE4">
        <w:rPr>
          <w:rFonts w:ascii="Arial Narrow" w:hAnsi="Arial Narrow"/>
          <w:sz w:val="24"/>
          <w:szCs w:val="26"/>
        </w:rPr>
        <w:t>1</w:t>
      </w:r>
      <w:r w:rsidR="005F36F2" w:rsidRPr="00E60AE4">
        <w:rPr>
          <w:rFonts w:ascii="Arial Narrow" w:hAnsi="Arial Narrow"/>
          <w:sz w:val="24"/>
          <w:szCs w:val="26"/>
        </w:rPr>
        <w:t>-0</w:t>
      </w:r>
      <w:r w:rsidR="00B83776" w:rsidRPr="00E60AE4">
        <w:rPr>
          <w:rFonts w:ascii="Arial Narrow" w:hAnsi="Arial Narrow"/>
          <w:sz w:val="24"/>
          <w:szCs w:val="26"/>
        </w:rPr>
        <w:t>291</w:t>
      </w:r>
      <w:r w:rsidRPr="00E60AE4">
        <w:rPr>
          <w:rFonts w:ascii="Arial Narrow" w:hAnsi="Arial Narrow"/>
          <w:sz w:val="24"/>
          <w:szCs w:val="26"/>
        </w:rPr>
        <w:t>-2021</w:t>
      </w:r>
    </w:p>
    <w:p w14:paraId="4FE21208" w14:textId="77777777" w:rsidR="00DC1A4C" w:rsidRPr="00E60AE4" w:rsidRDefault="00DC1A4C" w:rsidP="00390B74">
      <w:pPr>
        <w:pStyle w:val="Sinespaciado"/>
        <w:spacing w:line="264" w:lineRule="auto"/>
        <w:ind w:left="993"/>
        <w:rPr>
          <w:rFonts w:ascii="Arial Narrow" w:hAnsi="Arial Narrow"/>
          <w:i/>
          <w:sz w:val="24"/>
          <w:szCs w:val="26"/>
        </w:rPr>
      </w:pPr>
      <w:r w:rsidRPr="00E60AE4">
        <w:rPr>
          <w:rFonts w:ascii="Arial Narrow" w:hAnsi="Arial Narrow"/>
          <w:sz w:val="24"/>
          <w:szCs w:val="26"/>
        </w:rPr>
        <w:tab/>
        <w:t>Referencia: 660012213000202100</w:t>
      </w:r>
      <w:r w:rsidR="00E75C3D" w:rsidRPr="00E60AE4">
        <w:rPr>
          <w:rFonts w:ascii="Arial Narrow" w:hAnsi="Arial Narrow"/>
          <w:sz w:val="24"/>
          <w:szCs w:val="26"/>
        </w:rPr>
        <w:t>313</w:t>
      </w:r>
      <w:r w:rsidRPr="00E60AE4">
        <w:rPr>
          <w:rFonts w:ascii="Arial Narrow" w:hAnsi="Arial Narrow"/>
          <w:sz w:val="24"/>
          <w:szCs w:val="26"/>
        </w:rPr>
        <w:t>00</w:t>
      </w:r>
    </w:p>
    <w:p w14:paraId="2EDA9E04" w14:textId="4695D51A" w:rsidR="00DC1A4C" w:rsidRPr="00E60AE4" w:rsidRDefault="00DC1A4C" w:rsidP="00390B74">
      <w:pPr>
        <w:spacing w:line="264" w:lineRule="auto"/>
        <w:jc w:val="center"/>
        <w:rPr>
          <w:rFonts w:ascii="Arial Narrow" w:hAnsi="Arial Narrow"/>
          <w:b/>
          <w:sz w:val="26"/>
          <w:szCs w:val="26"/>
          <w:u w:val="single"/>
        </w:rPr>
      </w:pPr>
    </w:p>
    <w:p w14:paraId="13ECC284" w14:textId="77777777" w:rsidR="00DC1A4C" w:rsidRPr="00E60AE4" w:rsidRDefault="00DC1A4C" w:rsidP="00390B74">
      <w:pPr>
        <w:pStyle w:val="Sinespaciado"/>
        <w:spacing w:line="264" w:lineRule="auto"/>
        <w:jc w:val="center"/>
        <w:rPr>
          <w:rFonts w:ascii="Arial Narrow" w:hAnsi="Arial Narrow"/>
          <w:sz w:val="26"/>
          <w:szCs w:val="26"/>
        </w:rPr>
      </w:pPr>
      <w:r w:rsidRPr="00E60AE4">
        <w:rPr>
          <w:rFonts w:ascii="Arial Narrow" w:hAnsi="Arial Narrow"/>
          <w:b/>
          <w:bCs/>
          <w:sz w:val="26"/>
          <w:szCs w:val="26"/>
        </w:rPr>
        <w:t>ASUNTO</w:t>
      </w:r>
    </w:p>
    <w:p w14:paraId="7CEF0B3B" w14:textId="77777777" w:rsidR="00DC1A4C" w:rsidRPr="00E60AE4" w:rsidRDefault="00DC1A4C" w:rsidP="00390B74">
      <w:pPr>
        <w:pStyle w:val="Sinespaciado"/>
        <w:spacing w:line="264" w:lineRule="auto"/>
        <w:jc w:val="center"/>
        <w:rPr>
          <w:rFonts w:ascii="Arial Narrow" w:hAnsi="Arial Narrow"/>
          <w:sz w:val="26"/>
          <w:szCs w:val="26"/>
        </w:rPr>
      </w:pPr>
    </w:p>
    <w:p w14:paraId="798EC8FF" w14:textId="77777777" w:rsidR="00075A8E" w:rsidRPr="00E60AE4" w:rsidRDefault="00DC1A4C" w:rsidP="00390B74">
      <w:pPr>
        <w:pStyle w:val="Sinespaciado"/>
        <w:spacing w:line="264" w:lineRule="auto"/>
        <w:jc w:val="both"/>
        <w:rPr>
          <w:rFonts w:ascii="Arial Narrow" w:hAnsi="Arial Narrow"/>
          <w:sz w:val="26"/>
          <w:szCs w:val="26"/>
          <w:lang w:val="es-CO"/>
        </w:rPr>
      </w:pPr>
      <w:r w:rsidRPr="00E60AE4">
        <w:rPr>
          <w:rFonts w:ascii="Arial Narrow" w:hAnsi="Arial Narrow"/>
          <w:sz w:val="26"/>
          <w:szCs w:val="26"/>
        </w:rPr>
        <w:t xml:space="preserve">Procede la Sala a resolver la acción de tutela interpuesta por </w:t>
      </w:r>
      <w:r w:rsidR="00E75C3D" w:rsidRPr="00E60AE4">
        <w:rPr>
          <w:rFonts w:ascii="Arial Narrow" w:hAnsi="Arial Narrow"/>
          <w:sz w:val="26"/>
          <w:szCs w:val="26"/>
          <w:lang w:val="es-CO"/>
        </w:rPr>
        <w:t>Augusto Becerra contra el Juzgado Promiscuo del Circuito de La Virginia, trámite al que fueron vinculados las Alcaldías y las Personerías Municipales de Cartago y La Virginia, la Defensoría del Pueblo y el Ministerio Público – ambas de la regional Risaralda</w:t>
      </w:r>
      <w:r w:rsidR="00075A8E" w:rsidRPr="00E60AE4">
        <w:rPr>
          <w:rFonts w:ascii="Arial Narrow" w:hAnsi="Arial Narrow"/>
          <w:sz w:val="26"/>
          <w:szCs w:val="26"/>
          <w:lang w:val="es-CO"/>
        </w:rPr>
        <w:t>.</w:t>
      </w:r>
    </w:p>
    <w:p w14:paraId="75C1D47F" w14:textId="77777777" w:rsidR="00DC1A4C" w:rsidRPr="00E60AE4" w:rsidRDefault="00DC1A4C" w:rsidP="00390B74">
      <w:pPr>
        <w:pStyle w:val="Sinespaciado"/>
        <w:spacing w:line="264" w:lineRule="auto"/>
        <w:jc w:val="both"/>
        <w:rPr>
          <w:rFonts w:ascii="Arial Narrow" w:hAnsi="Arial Narrow"/>
          <w:sz w:val="26"/>
          <w:szCs w:val="26"/>
        </w:rPr>
      </w:pPr>
    </w:p>
    <w:p w14:paraId="280201B3" w14:textId="77777777" w:rsidR="00DC1A4C" w:rsidRPr="00E60AE4" w:rsidRDefault="00DC1A4C" w:rsidP="00390B74">
      <w:pPr>
        <w:pStyle w:val="Sinespaciado"/>
        <w:spacing w:line="264" w:lineRule="auto"/>
        <w:jc w:val="center"/>
        <w:rPr>
          <w:rFonts w:ascii="Arial Narrow" w:hAnsi="Arial Narrow"/>
          <w:sz w:val="26"/>
          <w:szCs w:val="26"/>
        </w:rPr>
      </w:pPr>
      <w:r w:rsidRPr="00E60AE4">
        <w:rPr>
          <w:rFonts w:ascii="Arial Narrow" w:hAnsi="Arial Narrow"/>
          <w:b/>
          <w:bCs/>
          <w:sz w:val="26"/>
          <w:szCs w:val="26"/>
        </w:rPr>
        <w:t>ANTECEDENTES</w:t>
      </w:r>
    </w:p>
    <w:p w14:paraId="700809B7" w14:textId="77777777" w:rsidR="00DC1A4C" w:rsidRPr="00E60AE4" w:rsidRDefault="00DC1A4C" w:rsidP="00390B74">
      <w:pPr>
        <w:pStyle w:val="Sinespaciado"/>
        <w:spacing w:line="264" w:lineRule="auto"/>
        <w:jc w:val="both"/>
        <w:rPr>
          <w:rFonts w:ascii="Arial Narrow" w:hAnsi="Arial Narrow"/>
          <w:sz w:val="26"/>
          <w:szCs w:val="26"/>
        </w:rPr>
      </w:pPr>
    </w:p>
    <w:p w14:paraId="7F699B93" w14:textId="77777777" w:rsidR="00DC1A4C" w:rsidRPr="00E60AE4" w:rsidRDefault="00DC1A4C" w:rsidP="00390B74">
      <w:pPr>
        <w:pStyle w:val="Sinespaciado"/>
        <w:spacing w:line="264" w:lineRule="auto"/>
        <w:jc w:val="both"/>
        <w:rPr>
          <w:rFonts w:ascii="Arial Narrow" w:hAnsi="Arial Narrow"/>
          <w:bCs/>
          <w:sz w:val="26"/>
          <w:szCs w:val="26"/>
        </w:rPr>
      </w:pPr>
      <w:r w:rsidRPr="00E60AE4">
        <w:rPr>
          <w:rFonts w:ascii="Arial Narrow" w:hAnsi="Arial Narrow"/>
          <w:b/>
          <w:sz w:val="26"/>
          <w:szCs w:val="26"/>
        </w:rPr>
        <w:t>1.</w:t>
      </w:r>
      <w:r w:rsidR="00614743" w:rsidRPr="00E60AE4">
        <w:rPr>
          <w:rFonts w:ascii="Arial Narrow" w:hAnsi="Arial Narrow"/>
          <w:b/>
          <w:sz w:val="26"/>
          <w:szCs w:val="26"/>
        </w:rPr>
        <w:t xml:space="preserve"> </w:t>
      </w:r>
      <w:r w:rsidR="00614743" w:rsidRPr="00E60AE4">
        <w:rPr>
          <w:rFonts w:ascii="Arial Narrow" w:hAnsi="Arial Narrow"/>
          <w:sz w:val="26"/>
          <w:szCs w:val="26"/>
        </w:rPr>
        <w:t xml:space="preserve">Narró el actor que en la </w:t>
      </w:r>
      <w:r w:rsidR="00614743" w:rsidRPr="00E60AE4">
        <w:rPr>
          <w:rFonts w:ascii="Arial Narrow" w:hAnsi="Arial Narrow"/>
          <w:bCs/>
          <w:sz w:val="26"/>
          <w:szCs w:val="26"/>
        </w:rPr>
        <w:t>acción popular</w:t>
      </w:r>
      <w:r w:rsidR="00E75C3D" w:rsidRPr="00E60AE4">
        <w:rPr>
          <w:rFonts w:ascii="Arial Narrow" w:hAnsi="Arial Narrow"/>
          <w:bCs/>
          <w:sz w:val="26"/>
          <w:szCs w:val="26"/>
        </w:rPr>
        <w:t xml:space="preserve"> 2021-00369</w:t>
      </w:r>
      <w:r w:rsidR="00DC00A0" w:rsidRPr="00E60AE4">
        <w:rPr>
          <w:rFonts w:ascii="Arial Narrow" w:hAnsi="Arial Narrow"/>
          <w:bCs/>
          <w:sz w:val="26"/>
          <w:szCs w:val="26"/>
        </w:rPr>
        <w:t xml:space="preserve">, </w:t>
      </w:r>
      <w:r w:rsidR="00F86631" w:rsidRPr="00E60AE4">
        <w:rPr>
          <w:rFonts w:ascii="Arial Narrow" w:hAnsi="Arial Narrow"/>
          <w:bCs/>
          <w:sz w:val="26"/>
          <w:szCs w:val="26"/>
        </w:rPr>
        <w:t xml:space="preserve">no se tuvo en cuenta </w:t>
      </w:r>
      <w:r w:rsidR="00E75C3D" w:rsidRPr="00E60AE4">
        <w:rPr>
          <w:rFonts w:ascii="Arial Narrow" w:hAnsi="Arial Narrow"/>
          <w:bCs/>
          <w:sz w:val="26"/>
          <w:szCs w:val="26"/>
        </w:rPr>
        <w:t>la</w:t>
      </w:r>
      <w:r w:rsidR="008131D3" w:rsidRPr="00E60AE4">
        <w:rPr>
          <w:rFonts w:ascii="Arial Narrow" w:hAnsi="Arial Narrow"/>
          <w:bCs/>
          <w:sz w:val="26"/>
          <w:szCs w:val="26"/>
        </w:rPr>
        <w:t xml:space="preserve"> figura de la</w:t>
      </w:r>
      <w:r w:rsidR="00E75C3D" w:rsidRPr="00E60AE4">
        <w:rPr>
          <w:rFonts w:ascii="Arial Narrow" w:hAnsi="Arial Narrow"/>
          <w:bCs/>
          <w:sz w:val="26"/>
          <w:szCs w:val="26"/>
        </w:rPr>
        <w:t xml:space="preserve"> jurisdicción</w:t>
      </w:r>
      <w:r w:rsidR="008131D3" w:rsidRPr="00E60AE4">
        <w:rPr>
          <w:rFonts w:ascii="Arial Narrow" w:hAnsi="Arial Narrow"/>
          <w:bCs/>
          <w:sz w:val="26"/>
          <w:szCs w:val="26"/>
        </w:rPr>
        <w:t xml:space="preserve"> perpetua ni se cumplieron los</w:t>
      </w:r>
      <w:r w:rsidR="00E75C3D" w:rsidRPr="00E60AE4">
        <w:rPr>
          <w:rFonts w:ascii="Arial Narrow" w:hAnsi="Arial Narrow"/>
          <w:bCs/>
          <w:sz w:val="26"/>
          <w:szCs w:val="26"/>
        </w:rPr>
        <w:t xml:space="preserve"> términos procesales</w:t>
      </w:r>
      <w:r w:rsidR="004747F8" w:rsidRPr="00E60AE4">
        <w:rPr>
          <w:rFonts w:ascii="Arial Narrow" w:hAnsi="Arial Narrow"/>
          <w:bCs/>
          <w:sz w:val="26"/>
          <w:szCs w:val="26"/>
        </w:rPr>
        <w:t>. Pretende, en consecuencia,</w:t>
      </w:r>
      <w:r w:rsidR="00E75C3D" w:rsidRPr="00E60AE4">
        <w:rPr>
          <w:rFonts w:ascii="Arial Narrow" w:hAnsi="Arial Narrow"/>
          <w:bCs/>
          <w:sz w:val="26"/>
          <w:szCs w:val="26"/>
        </w:rPr>
        <w:t xml:space="preserve"> se ordene al despacho demandado dar continuidad al trámite sin desconocer aquel principio</w:t>
      </w:r>
      <w:r w:rsidR="008131D3" w:rsidRPr="00E60AE4">
        <w:rPr>
          <w:rFonts w:ascii="Arial Narrow" w:hAnsi="Arial Narrow"/>
          <w:bCs/>
          <w:sz w:val="26"/>
          <w:szCs w:val="26"/>
        </w:rPr>
        <w:t>,</w:t>
      </w:r>
      <w:r w:rsidR="00F86631" w:rsidRPr="00E60AE4">
        <w:rPr>
          <w:rFonts w:ascii="Arial Narrow" w:hAnsi="Arial Narrow"/>
          <w:bCs/>
          <w:sz w:val="26"/>
          <w:szCs w:val="26"/>
        </w:rPr>
        <w:t xml:space="preserve"> en aras </w:t>
      </w:r>
      <w:r w:rsidR="00F86631" w:rsidRPr="00E60AE4">
        <w:rPr>
          <w:rFonts w:ascii="Arial Narrow" w:hAnsi="Arial Narrow"/>
          <w:bCs/>
          <w:sz w:val="26"/>
          <w:szCs w:val="26"/>
        </w:rPr>
        <w:lastRenderedPageBreak/>
        <w:t>de garantizar su derecho al debido proceso</w:t>
      </w:r>
      <w:r w:rsidR="00374D4E" w:rsidRPr="00E60AE4">
        <w:rPr>
          <w:rStyle w:val="Refdenotaalpie"/>
          <w:rFonts w:ascii="Arial Narrow" w:hAnsi="Arial Narrow"/>
          <w:sz w:val="26"/>
          <w:szCs w:val="26"/>
          <w:lang w:val="es-CO"/>
        </w:rPr>
        <w:footnoteReference w:id="1"/>
      </w:r>
      <w:r w:rsidR="00207569" w:rsidRPr="00E60AE4">
        <w:rPr>
          <w:rFonts w:ascii="Arial Narrow" w:hAnsi="Arial Narrow"/>
          <w:sz w:val="26"/>
          <w:szCs w:val="26"/>
          <w:lang w:val="es-CO"/>
        </w:rPr>
        <w:t>.</w:t>
      </w:r>
    </w:p>
    <w:p w14:paraId="11825E66" w14:textId="77777777" w:rsidR="00207569" w:rsidRPr="00E60AE4" w:rsidRDefault="00207569" w:rsidP="005E1263">
      <w:pPr>
        <w:pStyle w:val="Sinespaciado"/>
        <w:spacing w:line="264" w:lineRule="auto"/>
        <w:jc w:val="both"/>
        <w:rPr>
          <w:rFonts w:ascii="Arial Narrow" w:hAnsi="Arial Narrow"/>
          <w:sz w:val="26"/>
          <w:szCs w:val="26"/>
        </w:rPr>
      </w:pPr>
    </w:p>
    <w:p w14:paraId="516C3C9B" w14:textId="01877CA6" w:rsidR="00F86631"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b/>
          <w:bCs/>
          <w:sz w:val="26"/>
          <w:szCs w:val="26"/>
        </w:rPr>
        <w:t xml:space="preserve">2. Trámite: </w:t>
      </w:r>
      <w:r w:rsidR="00F86631" w:rsidRPr="00E60AE4">
        <w:rPr>
          <w:rFonts w:ascii="Arial Narrow" w:hAnsi="Arial Narrow"/>
          <w:sz w:val="26"/>
          <w:szCs w:val="26"/>
        </w:rPr>
        <w:t>El 11</w:t>
      </w:r>
      <w:r w:rsidR="00374D4E" w:rsidRPr="00E60AE4">
        <w:rPr>
          <w:rFonts w:ascii="Arial Narrow" w:hAnsi="Arial Narrow"/>
          <w:sz w:val="26"/>
          <w:szCs w:val="26"/>
        </w:rPr>
        <w:t xml:space="preserve"> de agosto último se admitió la acción de tutela y se ordenaron las vinculaciones arriba anotadas.</w:t>
      </w:r>
      <w:r w:rsidR="00F86631" w:rsidRPr="00E60AE4">
        <w:rPr>
          <w:rFonts w:ascii="Arial Narrow" w:hAnsi="Arial Narrow"/>
          <w:sz w:val="26"/>
          <w:szCs w:val="26"/>
        </w:rPr>
        <w:t xml:space="preserve"> De otro lado, no se accedió a la solicitud de convocatoria del Procurador General de la Nación y del Defensor de Pueblo, en el entendido de que ya se había dispuesto la vinculación de esas entidades por intermedio de</w:t>
      </w:r>
      <w:r w:rsidR="0095421A" w:rsidRPr="00E60AE4">
        <w:rPr>
          <w:rFonts w:ascii="Arial Narrow" w:hAnsi="Arial Narrow"/>
          <w:sz w:val="26"/>
          <w:szCs w:val="26"/>
        </w:rPr>
        <w:t xml:space="preserve"> sus</w:t>
      </w:r>
      <w:r w:rsidR="00F86631" w:rsidRPr="00E60AE4">
        <w:rPr>
          <w:rFonts w:ascii="Arial Narrow" w:hAnsi="Arial Narrow"/>
          <w:sz w:val="26"/>
          <w:szCs w:val="26"/>
        </w:rPr>
        <w:t xml:space="preserve"> delegados </w:t>
      </w:r>
      <w:r w:rsidR="0095421A" w:rsidRPr="00E60AE4">
        <w:rPr>
          <w:rFonts w:ascii="Arial Narrow" w:hAnsi="Arial Narrow"/>
          <w:sz w:val="26"/>
          <w:szCs w:val="26"/>
        </w:rPr>
        <w:t>territoriales</w:t>
      </w:r>
      <w:r w:rsidR="00997B37" w:rsidRPr="00E60AE4">
        <w:rPr>
          <w:rFonts w:ascii="Arial Narrow" w:hAnsi="Arial Narrow"/>
          <w:sz w:val="26"/>
          <w:szCs w:val="26"/>
        </w:rPr>
        <w:t xml:space="preserve">. Además, </w:t>
      </w:r>
      <w:r w:rsidR="0057362E" w:rsidRPr="00E60AE4">
        <w:rPr>
          <w:rFonts w:ascii="Arial Narrow" w:hAnsi="Arial Narrow"/>
          <w:sz w:val="26"/>
          <w:szCs w:val="26"/>
        </w:rPr>
        <w:t xml:space="preserve">se negó la petición de </w:t>
      </w:r>
      <w:r w:rsidR="004B0589" w:rsidRPr="00E60AE4">
        <w:rPr>
          <w:rFonts w:ascii="Arial Narrow" w:hAnsi="Arial Narrow"/>
          <w:sz w:val="26"/>
          <w:szCs w:val="26"/>
        </w:rPr>
        <w:t>amparo de pobreza, por incumplir los requisitos legales para su concesión</w:t>
      </w:r>
      <w:r w:rsidR="004B0589" w:rsidRPr="00E60AE4">
        <w:rPr>
          <w:rStyle w:val="Refdenotaalpie"/>
          <w:rFonts w:ascii="Arial Narrow" w:hAnsi="Arial Narrow"/>
          <w:sz w:val="26"/>
          <w:szCs w:val="26"/>
          <w:lang w:val="es-CO"/>
        </w:rPr>
        <w:footnoteReference w:id="2"/>
      </w:r>
      <w:r w:rsidR="004B0589" w:rsidRPr="00E60AE4">
        <w:rPr>
          <w:rFonts w:ascii="Arial Narrow" w:hAnsi="Arial Narrow"/>
          <w:sz w:val="26"/>
          <w:szCs w:val="26"/>
        </w:rPr>
        <w:t>.</w:t>
      </w:r>
    </w:p>
    <w:p w14:paraId="405DE013" w14:textId="77777777" w:rsidR="0083339B" w:rsidRPr="00E60AE4" w:rsidRDefault="0083339B" w:rsidP="005E1263">
      <w:pPr>
        <w:pStyle w:val="Sinespaciado"/>
        <w:spacing w:line="264" w:lineRule="auto"/>
        <w:jc w:val="both"/>
        <w:rPr>
          <w:rFonts w:ascii="Arial Narrow" w:hAnsi="Arial Narrow"/>
          <w:iCs/>
          <w:sz w:val="26"/>
          <w:szCs w:val="26"/>
        </w:rPr>
      </w:pPr>
    </w:p>
    <w:p w14:paraId="6C6A039A" w14:textId="77777777" w:rsidR="008A7635" w:rsidRPr="00E60AE4" w:rsidRDefault="00374D4E" w:rsidP="005E1263">
      <w:pPr>
        <w:pStyle w:val="Sinespaciado"/>
        <w:spacing w:line="264" w:lineRule="auto"/>
        <w:jc w:val="both"/>
        <w:rPr>
          <w:rFonts w:ascii="Arial Narrow" w:hAnsi="Arial Narrow"/>
          <w:iCs/>
          <w:sz w:val="26"/>
          <w:szCs w:val="26"/>
        </w:rPr>
      </w:pPr>
      <w:r w:rsidRPr="00E60AE4">
        <w:rPr>
          <w:rFonts w:ascii="Arial Narrow" w:hAnsi="Arial Narrow"/>
          <w:iCs/>
          <w:sz w:val="26"/>
          <w:szCs w:val="26"/>
        </w:rPr>
        <w:t xml:space="preserve">La Defensoría Regional de Pueblo solicitó su </w:t>
      </w:r>
      <w:r w:rsidR="001E157C" w:rsidRPr="00E60AE4">
        <w:rPr>
          <w:rFonts w:ascii="Arial Narrow" w:hAnsi="Arial Narrow"/>
          <w:iCs/>
          <w:sz w:val="26"/>
          <w:szCs w:val="26"/>
        </w:rPr>
        <w:t>desvinculación con sustento en que los hechos de la demanda no la involucran y que ninguna lesión ha causado a los derechos del actor</w:t>
      </w:r>
      <w:r w:rsidR="00125F31" w:rsidRPr="00E60AE4">
        <w:rPr>
          <w:rStyle w:val="Refdenotaalpie"/>
          <w:rFonts w:ascii="Arial Narrow" w:hAnsi="Arial Narrow"/>
          <w:iCs/>
          <w:sz w:val="26"/>
          <w:szCs w:val="26"/>
        </w:rPr>
        <w:footnoteReference w:id="3"/>
      </w:r>
      <w:r w:rsidR="001E157C" w:rsidRPr="00E60AE4">
        <w:rPr>
          <w:rFonts w:ascii="Arial Narrow" w:hAnsi="Arial Narrow"/>
          <w:iCs/>
          <w:sz w:val="26"/>
          <w:szCs w:val="26"/>
        </w:rPr>
        <w:t>.</w:t>
      </w:r>
    </w:p>
    <w:p w14:paraId="3A192ED2" w14:textId="77777777" w:rsidR="00B92C6A" w:rsidRPr="00E60AE4" w:rsidRDefault="00B92C6A" w:rsidP="005E1263">
      <w:pPr>
        <w:pStyle w:val="Sinespaciado"/>
        <w:spacing w:line="264" w:lineRule="auto"/>
        <w:jc w:val="both"/>
        <w:rPr>
          <w:rFonts w:ascii="Arial Narrow" w:hAnsi="Arial Narrow"/>
          <w:iCs/>
          <w:sz w:val="26"/>
          <w:szCs w:val="26"/>
        </w:rPr>
      </w:pPr>
    </w:p>
    <w:p w14:paraId="7325FC23" w14:textId="77777777" w:rsidR="00B92C6A" w:rsidRPr="00E60AE4" w:rsidRDefault="00C932B7" w:rsidP="005E1263">
      <w:pPr>
        <w:pStyle w:val="Sinespaciado"/>
        <w:spacing w:line="264" w:lineRule="auto"/>
        <w:jc w:val="both"/>
        <w:rPr>
          <w:rFonts w:ascii="Arial Narrow" w:hAnsi="Arial Narrow"/>
          <w:iCs/>
          <w:sz w:val="26"/>
          <w:szCs w:val="26"/>
        </w:rPr>
      </w:pPr>
      <w:r w:rsidRPr="00E60AE4">
        <w:rPr>
          <w:rFonts w:ascii="Arial Narrow" w:hAnsi="Arial Narrow"/>
          <w:iCs/>
          <w:sz w:val="26"/>
          <w:szCs w:val="26"/>
        </w:rPr>
        <w:t xml:space="preserve">El juzgado accionado informó que la acción popular objeto del amparo fue </w:t>
      </w:r>
      <w:proofErr w:type="gramStart"/>
      <w:r w:rsidRPr="00E60AE4">
        <w:rPr>
          <w:rFonts w:ascii="Arial Narrow" w:hAnsi="Arial Narrow"/>
          <w:iCs/>
          <w:sz w:val="26"/>
          <w:szCs w:val="26"/>
        </w:rPr>
        <w:t>remitida</w:t>
      </w:r>
      <w:proofErr w:type="gramEnd"/>
      <w:r w:rsidRPr="00E60AE4">
        <w:rPr>
          <w:rFonts w:ascii="Arial Narrow" w:hAnsi="Arial Narrow"/>
          <w:iCs/>
          <w:sz w:val="26"/>
          <w:szCs w:val="26"/>
        </w:rPr>
        <w:t xml:space="preserve"> por competencia a los Juzgados Civiles del Circuito de Cartago, el 16 de julio de 2021, “sin que a la fecha se nos haya informado si propusieron conflicto de competencia, ni mucho menos se haya devuelto por parte de la Sala de Casación Civil de la Corte Suprema de Justicia.</w:t>
      </w:r>
      <w:r w:rsidR="00DC00A0" w:rsidRPr="00E60AE4">
        <w:rPr>
          <w:rFonts w:ascii="Arial Narrow" w:hAnsi="Arial Narrow"/>
          <w:iCs/>
          <w:sz w:val="26"/>
          <w:szCs w:val="26"/>
        </w:rPr>
        <w:t>”</w:t>
      </w:r>
      <w:r w:rsidR="00125F31" w:rsidRPr="00E60AE4">
        <w:rPr>
          <w:rStyle w:val="Refdenotaalpie"/>
          <w:rFonts w:ascii="Arial Narrow" w:hAnsi="Arial Narrow"/>
          <w:iCs/>
          <w:sz w:val="26"/>
          <w:szCs w:val="26"/>
        </w:rPr>
        <w:footnoteReference w:id="4"/>
      </w:r>
      <w:r w:rsidR="0040788B" w:rsidRPr="00E60AE4">
        <w:rPr>
          <w:rFonts w:ascii="Arial Narrow" w:hAnsi="Arial Narrow"/>
          <w:iCs/>
          <w:sz w:val="26"/>
          <w:szCs w:val="26"/>
        </w:rPr>
        <w:t>.</w:t>
      </w:r>
    </w:p>
    <w:p w14:paraId="1346C05B" w14:textId="77777777" w:rsidR="008131D3" w:rsidRPr="00E60AE4" w:rsidRDefault="008131D3" w:rsidP="005E1263">
      <w:pPr>
        <w:pStyle w:val="Sinespaciado"/>
        <w:spacing w:line="264" w:lineRule="auto"/>
        <w:jc w:val="both"/>
        <w:rPr>
          <w:rFonts w:ascii="Arial Narrow" w:hAnsi="Arial Narrow"/>
          <w:iCs/>
          <w:sz w:val="26"/>
          <w:szCs w:val="26"/>
        </w:rPr>
      </w:pPr>
    </w:p>
    <w:p w14:paraId="1C4E1D6E" w14:textId="77777777" w:rsidR="008131D3" w:rsidRPr="00E60AE4" w:rsidRDefault="008131D3" w:rsidP="005E1263">
      <w:pPr>
        <w:pStyle w:val="Sinespaciado"/>
        <w:spacing w:line="264" w:lineRule="auto"/>
        <w:jc w:val="both"/>
        <w:rPr>
          <w:rFonts w:ascii="Arial Narrow" w:hAnsi="Arial Narrow"/>
          <w:iCs/>
          <w:sz w:val="26"/>
          <w:szCs w:val="26"/>
        </w:rPr>
      </w:pPr>
      <w:r w:rsidRPr="00E60AE4">
        <w:rPr>
          <w:rFonts w:ascii="Arial Narrow" w:hAnsi="Arial Narrow"/>
          <w:iCs/>
          <w:sz w:val="26"/>
          <w:szCs w:val="26"/>
        </w:rPr>
        <w:t>A la fecha de elaboración de este proyecto no se recibieron más intervenciones.</w:t>
      </w:r>
    </w:p>
    <w:p w14:paraId="7BCBCB8A" w14:textId="77777777" w:rsidR="00125F31" w:rsidRPr="00E60AE4" w:rsidRDefault="00125F31" w:rsidP="005E1263">
      <w:pPr>
        <w:pStyle w:val="Sinespaciado"/>
        <w:spacing w:line="264" w:lineRule="auto"/>
        <w:jc w:val="both"/>
        <w:rPr>
          <w:rFonts w:ascii="Arial Narrow" w:hAnsi="Arial Narrow"/>
          <w:iCs/>
          <w:sz w:val="26"/>
          <w:szCs w:val="26"/>
        </w:rPr>
      </w:pPr>
    </w:p>
    <w:p w14:paraId="544C7161" w14:textId="77777777" w:rsidR="00DC1A4C" w:rsidRPr="00E60AE4" w:rsidRDefault="00DC1A4C" w:rsidP="005E1263">
      <w:pPr>
        <w:pStyle w:val="Sinespaciado"/>
        <w:spacing w:line="264" w:lineRule="auto"/>
        <w:jc w:val="center"/>
        <w:rPr>
          <w:rFonts w:ascii="Arial Narrow" w:hAnsi="Arial Narrow"/>
          <w:sz w:val="26"/>
          <w:szCs w:val="26"/>
          <w:lang w:val="pt-BR"/>
        </w:rPr>
      </w:pPr>
      <w:r w:rsidRPr="00E60AE4">
        <w:rPr>
          <w:rFonts w:ascii="Arial Narrow" w:hAnsi="Arial Narrow"/>
          <w:b/>
          <w:bCs/>
          <w:sz w:val="26"/>
          <w:szCs w:val="26"/>
          <w:lang w:val="pt-BR"/>
        </w:rPr>
        <w:t>CONSIDERACIONES</w:t>
      </w:r>
    </w:p>
    <w:p w14:paraId="13A68702" w14:textId="77777777" w:rsidR="00DC1A4C" w:rsidRPr="00E60AE4" w:rsidRDefault="00DC1A4C" w:rsidP="005E1263">
      <w:pPr>
        <w:pStyle w:val="Sinespaciado"/>
        <w:spacing w:line="264" w:lineRule="auto"/>
        <w:jc w:val="both"/>
        <w:rPr>
          <w:rFonts w:ascii="Arial Narrow" w:hAnsi="Arial Narrow"/>
          <w:sz w:val="26"/>
          <w:szCs w:val="26"/>
          <w:lang w:val="pt-BR"/>
        </w:rPr>
      </w:pPr>
    </w:p>
    <w:p w14:paraId="7696195C" w14:textId="77777777" w:rsidR="00DC1A4C"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b/>
          <w:sz w:val="26"/>
          <w:szCs w:val="26"/>
        </w:rPr>
        <w:t xml:space="preserve">1. </w:t>
      </w:r>
      <w:r w:rsidRPr="00E60AE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757E31E" w14:textId="77777777" w:rsidR="00DC1A4C" w:rsidRPr="00E60AE4" w:rsidRDefault="00DC1A4C" w:rsidP="005E1263">
      <w:pPr>
        <w:pStyle w:val="Sinespaciado"/>
        <w:spacing w:line="264" w:lineRule="auto"/>
        <w:jc w:val="both"/>
        <w:rPr>
          <w:rFonts w:ascii="Arial Narrow" w:hAnsi="Arial Narrow"/>
          <w:sz w:val="26"/>
          <w:szCs w:val="26"/>
        </w:rPr>
      </w:pPr>
    </w:p>
    <w:p w14:paraId="01B0EA1E" w14:textId="77777777" w:rsidR="00DC1A4C" w:rsidRPr="00E60AE4" w:rsidRDefault="00DC1A4C" w:rsidP="005E1263">
      <w:pPr>
        <w:pStyle w:val="Sinespaciado"/>
        <w:spacing w:line="264" w:lineRule="auto"/>
        <w:jc w:val="both"/>
        <w:rPr>
          <w:rFonts w:ascii="Arial Narrow" w:hAnsi="Arial Narrow"/>
          <w:b/>
          <w:sz w:val="26"/>
          <w:szCs w:val="26"/>
        </w:rPr>
      </w:pPr>
      <w:r w:rsidRPr="00E60AE4">
        <w:rPr>
          <w:rFonts w:ascii="Arial Narrow" w:hAnsi="Arial Narrow"/>
          <w:b/>
          <w:sz w:val="26"/>
          <w:szCs w:val="26"/>
        </w:rPr>
        <w:t xml:space="preserve">2. </w:t>
      </w:r>
      <w:r w:rsidRPr="00E60AE4">
        <w:rPr>
          <w:rFonts w:ascii="Arial Narrow" w:hAnsi="Arial Narrow"/>
          <w:bCs/>
          <w:sz w:val="26"/>
          <w:szCs w:val="26"/>
        </w:rPr>
        <w:t>En el caso sometido a consideración se observa que la principal queja constitucional</w:t>
      </w:r>
      <w:r w:rsidR="008131D3" w:rsidRPr="00E60AE4">
        <w:rPr>
          <w:rFonts w:ascii="Arial Narrow" w:hAnsi="Arial Narrow"/>
          <w:bCs/>
          <w:sz w:val="26"/>
          <w:szCs w:val="26"/>
        </w:rPr>
        <w:t xml:space="preserve"> del actor </w:t>
      </w:r>
      <w:r w:rsidR="00DC00A0" w:rsidRPr="00E60AE4">
        <w:rPr>
          <w:rFonts w:ascii="Arial Narrow" w:hAnsi="Arial Narrow"/>
          <w:sz w:val="26"/>
          <w:szCs w:val="26"/>
          <w:lang w:val="es-CO"/>
        </w:rPr>
        <w:t xml:space="preserve">Augusto Becerra </w:t>
      </w:r>
      <w:r w:rsidRPr="00E60AE4">
        <w:rPr>
          <w:rFonts w:ascii="Arial Narrow" w:hAnsi="Arial Narrow"/>
          <w:sz w:val="26"/>
          <w:szCs w:val="26"/>
        </w:rPr>
        <w:t xml:space="preserve">se circunscribe a que el </w:t>
      </w:r>
      <w:r w:rsidR="009A0440" w:rsidRPr="00E60AE4">
        <w:rPr>
          <w:rFonts w:ascii="Arial Narrow" w:hAnsi="Arial Narrow"/>
          <w:sz w:val="26"/>
          <w:szCs w:val="26"/>
          <w:lang w:val="es-CO"/>
        </w:rPr>
        <w:t>Juzgado Promiscuo del Circuito de L</w:t>
      </w:r>
      <w:r w:rsidR="000F47C0" w:rsidRPr="00E60AE4">
        <w:rPr>
          <w:rFonts w:ascii="Arial Narrow" w:hAnsi="Arial Narrow"/>
          <w:sz w:val="26"/>
          <w:szCs w:val="26"/>
          <w:lang w:val="es-CO"/>
        </w:rPr>
        <w:t>a Virginia</w:t>
      </w:r>
      <w:r w:rsidR="00DC00A0" w:rsidRPr="00E60AE4">
        <w:rPr>
          <w:rFonts w:ascii="Arial Narrow" w:hAnsi="Arial Narrow"/>
          <w:sz w:val="26"/>
          <w:szCs w:val="26"/>
          <w:lang w:val="es-CO"/>
        </w:rPr>
        <w:t xml:space="preserve"> desconoce el principio de </w:t>
      </w:r>
      <w:r w:rsidR="00DC00A0" w:rsidRPr="00E60AE4">
        <w:rPr>
          <w:rFonts w:ascii="Arial Narrow" w:hAnsi="Arial Narrow"/>
          <w:bCs/>
          <w:sz w:val="26"/>
          <w:szCs w:val="26"/>
        </w:rPr>
        <w:t>jurisdicción perpetua, al desprenderse del conocimiento de</w:t>
      </w:r>
      <w:r w:rsidR="000F47C0" w:rsidRPr="00E60AE4">
        <w:rPr>
          <w:rFonts w:ascii="Arial Narrow" w:hAnsi="Arial Narrow"/>
          <w:sz w:val="26"/>
          <w:szCs w:val="26"/>
          <w:lang w:val="es-CO"/>
        </w:rPr>
        <w:t xml:space="preserve"> la acción popular </w:t>
      </w:r>
      <w:r w:rsidR="00DC00A0" w:rsidRPr="00E60AE4">
        <w:rPr>
          <w:rFonts w:ascii="Arial Narrow" w:hAnsi="Arial Narrow"/>
          <w:bCs/>
          <w:sz w:val="26"/>
          <w:szCs w:val="26"/>
        </w:rPr>
        <w:t>2021-00369.</w:t>
      </w:r>
      <w:r w:rsidRPr="00E60AE4">
        <w:rPr>
          <w:rFonts w:ascii="Arial Narrow" w:hAnsi="Arial Narrow"/>
          <w:bCs/>
          <w:sz w:val="26"/>
          <w:szCs w:val="26"/>
        </w:rPr>
        <w:t xml:space="preserve"> </w:t>
      </w:r>
    </w:p>
    <w:p w14:paraId="7B1229E2" w14:textId="77777777" w:rsidR="00DC1A4C" w:rsidRPr="00E60AE4" w:rsidRDefault="00DC1A4C" w:rsidP="005E1263">
      <w:pPr>
        <w:pStyle w:val="Sinespaciado"/>
        <w:spacing w:line="264" w:lineRule="auto"/>
        <w:jc w:val="both"/>
        <w:rPr>
          <w:rFonts w:ascii="Arial Narrow" w:hAnsi="Arial Narrow"/>
          <w:b/>
          <w:sz w:val="26"/>
          <w:szCs w:val="26"/>
        </w:rPr>
      </w:pPr>
    </w:p>
    <w:p w14:paraId="02DDAAA9" w14:textId="77777777" w:rsidR="00622F60" w:rsidRPr="00E60AE4" w:rsidRDefault="00622F60" w:rsidP="005E1263">
      <w:pPr>
        <w:pStyle w:val="Sinespaciado"/>
        <w:spacing w:line="264" w:lineRule="auto"/>
        <w:jc w:val="both"/>
        <w:rPr>
          <w:rFonts w:ascii="Arial Narrow" w:hAnsi="Arial Narrow"/>
          <w:bCs/>
          <w:sz w:val="26"/>
          <w:szCs w:val="26"/>
        </w:rPr>
      </w:pPr>
      <w:r w:rsidRPr="00E60AE4">
        <w:rPr>
          <w:rFonts w:ascii="Arial Narrow" w:hAnsi="Arial Narrow"/>
          <w:bCs/>
          <w:sz w:val="26"/>
          <w:szCs w:val="26"/>
        </w:rPr>
        <w:t>De conformidad con lo anterior, el problema jurídico principal a resolver consiste en definir si resulta procedente la utilización de esta senda constitucional para imponer al juez accionado</w:t>
      </w:r>
      <w:r w:rsidRPr="00E60AE4">
        <w:rPr>
          <w:rFonts w:ascii="Arial Narrow" w:hAnsi="Arial Narrow"/>
          <w:sz w:val="26"/>
          <w:szCs w:val="26"/>
        </w:rPr>
        <w:t xml:space="preserve"> </w:t>
      </w:r>
      <w:r w:rsidR="00916E72" w:rsidRPr="00E60AE4">
        <w:rPr>
          <w:rFonts w:ascii="Arial Narrow" w:hAnsi="Arial Narrow"/>
          <w:bCs/>
          <w:sz w:val="26"/>
          <w:szCs w:val="26"/>
        </w:rPr>
        <w:t>la</w:t>
      </w:r>
      <w:r w:rsidRPr="00E60AE4">
        <w:rPr>
          <w:rFonts w:ascii="Arial Narrow" w:hAnsi="Arial Narrow"/>
          <w:bCs/>
          <w:sz w:val="26"/>
          <w:szCs w:val="26"/>
        </w:rPr>
        <w:t xml:space="preserve"> decisión </w:t>
      </w:r>
      <w:r w:rsidR="000314A6" w:rsidRPr="00E60AE4">
        <w:rPr>
          <w:rFonts w:ascii="Arial Narrow" w:hAnsi="Arial Narrow"/>
          <w:bCs/>
          <w:sz w:val="26"/>
          <w:szCs w:val="26"/>
        </w:rPr>
        <w:t xml:space="preserve">de </w:t>
      </w:r>
      <w:r w:rsidR="00DC00A0" w:rsidRPr="00E60AE4">
        <w:rPr>
          <w:rFonts w:ascii="Arial Narrow" w:hAnsi="Arial Narrow"/>
          <w:bCs/>
          <w:sz w:val="26"/>
          <w:szCs w:val="26"/>
        </w:rPr>
        <w:t>continuar con el trámite</w:t>
      </w:r>
      <w:r w:rsidR="009A0440" w:rsidRPr="00E60AE4">
        <w:rPr>
          <w:rFonts w:ascii="Arial Narrow" w:hAnsi="Arial Narrow"/>
          <w:bCs/>
          <w:sz w:val="26"/>
          <w:szCs w:val="26"/>
        </w:rPr>
        <w:t xml:space="preserve"> </w:t>
      </w:r>
      <w:r w:rsidRPr="00E60AE4">
        <w:rPr>
          <w:rFonts w:ascii="Arial Narrow" w:hAnsi="Arial Narrow"/>
          <w:bCs/>
          <w:sz w:val="26"/>
          <w:szCs w:val="26"/>
        </w:rPr>
        <w:t xml:space="preserve">de la acción popular que motiva este </w:t>
      </w:r>
      <w:r w:rsidR="00DC00A0" w:rsidRPr="00E60AE4">
        <w:rPr>
          <w:rFonts w:ascii="Arial Narrow" w:hAnsi="Arial Narrow"/>
          <w:bCs/>
          <w:sz w:val="26"/>
          <w:szCs w:val="26"/>
        </w:rPr>
        <w:t>asunto</w:t>
      </w:r>
      <w:r w:rsidRPr="00E60AE4">
        <w:rPr>
          <w:rFonts w:ascii="Arial Narrow" w:hAnsi="Arial Narrow"/>
          <w:bCs/>
          <w:sz w:val="26"/>
          <w:szCs w:val="26"/>
        </w:rPr>
        <w:t>,</w:t>
      </w:r>
      <w:r w:rsidR="000B22B4" w:rsidRPr="00E60AE4">
        <w:rPr>
          <w:rFonts w:ascii="Arial Narrow" w:hAnsi="Arial Narrow"/>
          <w:bCs/>
          <w:sz w:val="26"/>
          <w:szCs w:val="26"/>
        </w:rPr>
        <w:t xml:space="preserve"> </w:t>
      </w:r>
      <w:r w:rsidRPr="00E60AE4">
        <w:rPr>
          <w:rFonts w:ascii="Arial Narrow" w:hAnsi="Arial Narrow"/>
          <w:bCs/>
          <w:sz w:val="26"/>
          <w:szCs w:val="26"/>
        </w:rPr>
        <w:t>cuando al interior del proceso judicial existen mecanismos idóneos para resolver esa cuestión.</w:t>
      </w:r>
    </w:p>
    <w:p w14:paraId="0CE8BAA3" w14:textId="77777777" w:rsidR="00DC1A4C" w:rsidRPr="00E60AE4" w:rsidRDefault="00DC1A4C" w:rsidP="005E1263">
      <w:pPr>
        <w:pStyle w:val="Sinespaciado"/>
        <w:spacing w:line="264" w:lineRule="auto"/>
        <w:jc w:val="both"/>
        <w:rPr>
          <w:rFonts w:ascii="Arial Narrow" w:hAnsi="Arial Narrow"/>
          <w:bCs/>
          <w:sz w:val="26"/>
          <w:szCs w:val="26"/>
        </w:rPr>
      </w:pPr>
    </w:p>
    <w:p w14:paraId="574CBD42" w14:textId="0A778833" w:rsidR="00DC1A4C"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b/>
          <w:bCs/>
          <w:sz w:val="26"/>
          <w:szCs w:val="26"/>
        </w:rPr>
        <w:t xml:space="preserve">3. </w:t>
      </w:r>
      <w:r w:rsidR="00C0631A" w:rsidRPr="00E60AE4">
        <w:rPr>
          <w:rFonts w:ascii="Arial Narrow" w:hAnsi="Arial Narrow"/>
          <w:sz w:val="26"/>
          <w:szCs w:val="26"/>
        </w:rPr>
        <w:t xml:space="preserve">Es clara la legitimación para intervenir en este amparo superlativo. Por el extremo activo lo hace el señor </w:t>
      </w:r>
      <w:r w:rsidR="00DC00A0" w:rsidRPr="00E60AE4">
        <w:rPr>
          <w:rFonts w:ascii="Arial Narrow" w:hAnsi="Arial Narrow"/>
          <w:sz w:val="26"/>
          <w:szCs w:val="26"/>
          <w:lang w:val="es-CO"/>
        </w:rPr>
        <w:t>Augusto Becerra</w:t>
      </w:r>
      <w:r w:rsidR="00C0631A" w:rsidRPr="00E60AE4">
        <w:rPr>
          <w:rFonts w:ascii="Arial Narrow" w:hAnsi="Arial Narrow"/>
          <w:sz w:val="26"/>
          <w:szCs w:val="26"/>
        </w:rPr>
        <w:t xml:space="preserve">, quien es el titular de los derechos que se reclaman como vulnerados, en su condición de impulsor del proceso que se reprocha. Por el extremo pasivo, por su parte, se encuentra convocado el </w:t>
      </w:r>
      <w:r w:rsidR="00DC00A0" w:rsidRPr="00E60AE4">
        <w:rPr>
          <w:rFonts w:ascii="Arial Narrow" w:hAnsi="Arial Narrow"/>
          <w:sz w:val="26"/>
          <w:szCs w:val="26"/>
          <w:lang w:val="es-CO"/>
        </w:rPr>
        <w:t>Juzgado Promiscuo del Circuito de La Virginia</w:t>
      </w:r>
      <w:r w:rsidR="00DC00A0" w:rsidRPr="00E60AE4">
        <w:rPr>
          <w:rFonts w:ascii="Arial Narrow" w:hAnsi="Arial Narrow"/>
          <w:sz w:val="26"/>
          <w:szCs w:val="26"/>
        </w:rPr>
        <w:t xml:space="preserve"> </w:t>
      </w:r>
      <w:r w:rsidR="00C0631A" w:rsidRPr="00E60AE4">
        <w:rPr>
          <w:rFonts w:ascii="Arial Narrow" w:hAnsi="Arial Narrow"/>
          <w:sz w:val="26"/>
          <w:szCs w:val="26"/>
        </w:rPr>
        <w:t>como autoridad que</w:t>
      </w:r>
      <w:r w:rsidR="009A0440" w:rsidRPr="00E60AE4">
        <w:rPr>
          <w:rFonts w:ascii="Arial Narrow" w:hAnsi="Arial Narrow"/>
          <w:sz w:val="26"/>
          <w:szCs w:val="26"/>
        </w:rPr>
        <w:t xml:space="preserve"> </w:t>
      </w:r>
      <w:r w:rsidR="00DC00A0" w:rsidRPr="00E60AE4">
        <w:rPr>
          <w:rFonts w:ascii="Arial Narrow" w:hAnsi="Arial Narrow"/>
          <w:sz w:val="26"/>
          <w:szCs w:val="26"/>
        </w:rPr>
        <w:t xml:space="preserve">adoptó la decisión en que encuentra el actor </w:t>
      </w:r>
      <w:r w:rsidR="00C436BE" w:rsidRPr="00E60AE4">
        <w:rPr>
          <w:rFonts w:ascii="Arial Narrow" w:hAnsi="Arial Narrow"/>
          <w:sz w:val="26"/>
          <w:szCs w:val="26"/>
        </w:rPr>
        <w:t xml:space="preserve">la </w:t>
      </w:r>
      <w:r w:rsidR="00DC00A0" w:rsidRPr="00E60AE4">
        <w:rPr>
          <w:rFonts w:ascii="Arial Narrow" w:hAnsi="Arial Narrow"/>
          <w:sz w:val="26"/>
          <w:szCs w:val="26"/>
        </w:rPr>
        <w:t>lesi</w:t>
      </w:r>
      <w:r w:rsidR="00C436BE" w:rsidRPr="00E60AE4">
        <w:rPr>
          <w:rFonts w:ascii="Arial Narrow" w:hAnsi="Arial Narrow"/>
          <w:sz w:val="26"/>
          <w:szCs w:val="26"/>
        </w:rPr>
        <w:t>ó</w:t>
      </w:r>
      <w:r w:rsidR="00DC00A0" w:rsidRPr="00E60AE4">
        <w:rPr>
          <w:rFonts w:ascii="Arial Narrow" w:hAnsi="Arial Narrow"/>
          <w:sz w:val="26"/>
          <w:szCs w:val="26"/>
        </w:rPr>
        <w:t>n</w:t>
      </w:r>
      <w:r w:rsidR="00C436BE" w:rsidRPr="00E60AE4">
        <w:rPr>
          <w:rFonts w:ascii="Arial Narrow" w:hAnsi="Arial Narrow"/>
          <w:sz w:val="26"/>
          <w:szCs w:val="26"/>
        </w:rPr>
        <w:t xml:space="preserve"> de</w:t>
      </w:r>
      <w:r w:rsidR="00DC00A0" w:rsidRPr="00E60AE4">
        <w:rPr>
          <w:rFonts w:ascii="Arial Narrow" w:hAnsi="Arial Narrow"/>
          <w:sz w:val="26"/>
          <w:szCs w:val="26"/>
        </w:rPr>
        <w:t xml:space="preserve"> sus derechos</w:t>
      </w:r>
      <w:r w:rsidR="00C0631A" w:rsidRPr="00E60AE4">
        <w:rPr>
          <w:rFonts w:ascii="Arial Narrow" w:hAnsi="Arial Narrow"/>
          <w:sz w:val="26"/>
          <w:szCs w:val="26"/>
        </w:rPr>
        <w:t>.</w:t>
      </w:r>
    </w:p>
    <w:p w14:paraId="360566BB" w14:textId="77777777" w:rsidR="00DC1A4C" w:rsidRPr="00E60AE4" w:rsidRDefault="00DC1A4C" w:rsidP="005E1263">
      <w:pPr>
        <w:pStyle w:val="Sinespaciado"/>
        <w:spacing w:line="264" w:lineRule="auto"/>
        <w:jc w:val="both"/>
        <w:rPr>
          <w:rFonts w:ascii="Arial Narrow" w:hAnsi="Arial Narrow"/>
          <w:sz w:val="26"/>
          <w:szCs w:val="26"/>
        </w:rPr>
      </w:pPr>
    </w:p>
    <w:p w14:paraId="0842F5B8" w14:textId="77777777" w:rsidR="00DC1A4C"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b/>
          <w:bCs/>
          <w:sz w:val="26"/>
          <w:szCs w:val="26"/>
        </w:rPr>
        <w:lastRenderedPageBreak/>
        <w:t xml:space="preserve">4. </w:t>
      </w:r>
      <w:r w:rsidRPr="00E60AE4">
        <w:rPr>
          <w:rFonts w:ascii="Arial Narrow" w:hAnsi="Arial Narrow"/>
          <w:sz w:val="26"/>
          <w:szCs w:val="26"/>
        </w:rPr>
        <w:t xml:space="preserve"> </w:t>
      </w:r>
      <w:r w:rsidR="00F81927" w:rsidRPr="00E60AE4">
        <w:rPr>
          <w:rFonts w:ascii="Arial Narrow" w:hAnsi="Arial Narrow"/>
          <w:sz w:val="26"/>
          <w:szCs w:val="26"/>
        </w:rPr>
        <w:t>De cara a la aplicación de los presupuestos generales de procedencia</w:t>
      </w:r>
      <w:r w:rsidRPr="00E60AE4">
        <w:rPr>
          <w:rFonts w:ascii="Arial Narrow" w:hAnsi="Arial Narrow"/>
          <w:sz w:val="26"/>
          <w:szCs w:val="26"/>
        </w:rPr>
        <w:t>,</w:t>
      </w:r>
      <w:r w:rsidR="00F81927" w:rsidRPr="00E60AE4">
        <w:rPr>
          <w:rFonts w:ascii="Arial Narrow" w:hAnsi="Arial Narrow"/>
          <w:sz w:val="26"/>
          <w:szCs w:val="26"/>
        </w:rPr>
        <w:t xml:space="preserve"> específicamente el </w:t>
      </w:r>
      <w:r w:rsidRPr="00E60AE4">
        <w:rPr>
          <w:rFonts w:ascii="Arial Narrow" w:hAnsi="Arial Narrow"/>
          <w:sz w:val="26"/>
          <w:szCs w:val="26"/>
        </w:rPr>
        <w:t xml:space="preserve">de la subsidiariedad, rápido despunta el fracaso del amparo </w:t>
      </w:r>
      <w:r w:rsidR="005F36F2" w:rsidRPr="00E60AE4">
        <w:rPr>
          <w:rFonts w:ascii="Arial Narrow" w:hAnsi="Arial Narrow"/>
          <w:sz w:val="26"/>
          <w:szCs w:val="26"/>
        </w:rPr>
        <w:t>constitucional</w:t>
      </w:r>
      <w:r w:rsidRPr="00E60AE4">
        <w:rPr>
          <w:rFonts w:ascii="Arial Narrow" w:hAnsi="Arial Narrow"/>
          <w:sz w:val="26"/>
          <w:szCs w:val="26"/>
        </w:rPr>
        <w:t xml:space="preserve"> como se pasa a exponer.</w:t>
      </w:r>
    </w:p>
    <w:p w14:paraId="0BD948E6" w14:textId="77777777" w:rsidR="009E03A6" w:rsidRPr="00E60AE4" w:rsidRDefault="009E03A6" w:rsidP="005E1263">
      <w:pPr>
        <w:pStyle w:val="Sinespaciado"/>
        <w:spacing w:line="264" w:lineRule="auto"/>
        <w:jc w:val="both"/>
        <w:rPr>
          <w:rFonts w:ascii="Arial Narrow" w:hAnsi="Arial Narrow"/>
          <w:b/>
          <w:sz w:val="26"/>
          <w:szCs w:val="26"/>
        </w:rPr>
      </w:pPr>
    </w:p>
    <w:p w14:paraId="29CE43BF" w14:textId="77777777" w:rsidR="009E693B" w:rsidRPr="00E60AE4" w:rsidRDefault="009E03A6" w:rsidP="005E1263">
      <w:pPr>
        <w:pStyle w:val="Sinespaciado"/>
        <w:spacing w:line="264" w:lineRule="auto"/>
        <w:jc w:val="both"/>
        <w:rPr>
          <w:rFonts w:ascii="Arial Narrow" w:hAnsi="Arial Narrow"/>
          <w:bCs/>
          <w:sz w:val="26"/>
          <w:szCs w:val="26"/>
        </w:rPr>
      </w:pPr>
      <w:r w:rsidRPr="00E60AE4">
        <w:rPr>
          <w:rFonts w:ascii="Arial Narrow" w:hAnsi="Arial Narrow"/>
          <w:b/>
          <w:sz w:val="26"/>
          <w:szCs w:val="26"/>
        </w:rPr>
        <w:t>4</w:t>
      </w:r>
      <w:r w:rsidR="00DC1A4C" w:rsidRPr="00E60AE4">
        <w:rPr>
          <w:rFonts w:ascii="Arial Narrow" w:hAnsi="Arial Narrow"/>
          <w:b/>
          <w:sz w:val="26"/>
          <w:szCs w:val="26"/>
        </w:rPr>
        <w:t>.1.</w:t>
      </w:r>
      <w:r w:rsidR="00DC1A4C" w:rsidRPr="00E60AE4">
        <w:rPr>
          <w:rFonts w:ascii="Arial Narrow" w:hAnsi="Arial Narrow"/>
          <w:bCs/>
          <w:sz w:val="26"/>
          <w:szCs w:val="26"/>
        </w:rPr>
        <w:t xml:space="preserve"> </w:t>
      </w:r>
      <w:r w:rsidR="009E693B" w:rsidRPr="00E60AE4">
        <w:rPr>
          <w:rFonts w:ascii="Arial Narrow" w:hAnsi="Arial Narrow"/>
          <w:bCs/>
          <w:sz w:val="26"/>
          <w:szCs w:val="26"/>
        </w:rPr>
        <w:t xml:space="preserve">Basta remitirse al libelo introductor para evidenciar que el verdadero deseo del convocante consiste en que el accionado </w:t>
      </w:r>
      <w:r w:rsidR="00DC00A0" w:rsidRPr="00E60AE4">
        <w:rPr>
          <w:rFonts w:ascii="Arial Narrow" w:hAnsi="Arial Narrow"/>
          <w:bCs/>
          <w:sz w:val="26"/>
          <w:szCs w:val="26"/>
        </w:rPr>
        <w:t>retrotraiga la actuación por medio de la cual se desprendió de</w:t>
      </w:r>
      <w:r w:rsidR="00E5616B" w:rsidRPr="00E60AE4">
        <w:rPr>
          <w:rFonts w:ascii="Arial Narrow" w:hAnsi="Arial Narrow"/>
          <w:bCs/>
          <w:sz w:val="26"/>
          <w:szCs w:val="26"/>
        </w:rPr>
        <w:t xml:space="preserve">l conocimiento </w:t>
      </w:r>
      <w:r w:rsidR="00DC00A0" w:rsidRPr="00E60AE4">
        <w:rPr>
          <w:rFonts w:ascii="Arial Narrow" w:hAnsi="Arial Narrow"/>
          <w:bCs/>
          <w:sz w:val="26"/>
          <w:szCs w:val="26"/>
        </w:rPr>
        <w:t xml:space="preserve">de la citada acción popular y la continúe tramitando en aplicación del principio de </w:t>
      </w:r>
      <w:r w:rsidR="00F81927" w:rsidRPr="00E60AE4">
        <w:rPr>
          <w:rFonts w:ascii="Arial Narrow" w:hAnsi="Arial Narrow"/>
          <w:bCs/>
          <w:sz w:val="26"/>
          <w:szCs w:val="26"/>
        </w:rPr>
        <w:t>jurisdicción en perpetuidad</w:t>
      </w:r>
      <w:r w:rsidR="009E693B" w:rsidRPr="00E60AE4">
        <w:rPr>
          <w:rFonts w:ascii="Arial Narrow" w:hAnsi="Arial Narrow"/>
          <w:bCs/>
          <w:sz w:val="26"/>
          <w:szCs w:val="26"/>
        </w:rPr>
        <w:t>, situación</w:t>
      </w:r>
      <w:r w:rsidR="000F47C0" w:rsidRPr="00E60AE4">
        <w:rPr>
          <w:rFonts w:ascii="Arial Narrow" w:hAnsi="Arial Narrow"/>
          <w:bCs/>
          <w:sz w:val="26"/>
          <w:szCs w:val="26"/>
        </w:rPr>
        <w:t xml:space="preserve"> suficiente para </w:t>
      </w:r>
      <w:r w:rsidR="005F36F2" w:rsidRPr="00E60AE4">
        <w:rPr>
          <w:rFonts w:ascii="Arial Narrow" w:hAnsi="Arial Narrow"/>
          <w:bCs/>
          <w:sz w:val="26"/>
          <w:szCs w:val="26"/>
        </w:rPr>
        <w:t xml:space="preserve">develar que el </w:t>
      </w:r>
      <w:r w:rsidR="009E693B" w:rsidRPr="00E60AE4">
        <w:rPr>
          <w:rFonts w:ascii="Arial Narrow" w:hAnsi="Arial Narrow"/>
          <w:bCs/>
          <w:sz w:val="26"/>
          <w:szCs w:val="26"/>
        </w:rPr>
        <w:t>asu</w:t>
      </w:r>
      <w:r w:rsidR="005F36F2" w:rsidRPr="00E60AE4">
        <w:rPr>
          <w:rFonts w:ascii="Arial Narrow" w:hAnsi="Arial Narrow"/>
          <w:bCs/>
          <w:sz w:val="26"/>
          <w:szCs w:val="26"/>
        </w:rPr>
        <w:t xml:space="preserve">nto sometido a consideración consiste en un conflicto suscitado </w:t>
      </w:r>
      <w:r w:rsidR="009E693B" w:rsidRPr="00E60AE4">
        <w:rPr>
          <w:rFonts w:ascii="Arial Narrow" w:hAnsi="Arial Narrow"/>
          <w:bCs/>
          <w:sz w:val="26"/>
          <w:szCs w:val="26"/>
        </w:rPr>
        <w:t>en virtud de la competencia del fallador que deberá seguir conociendo</w:t>
      </w:r>
      <w:r w:rsidR="000F47C0" w:rsidRPr="00E60AE4">
        <w:rPr>
          <w:rFonts w:ascii="Arial Narrow" w:hAnsi="Arial Narrow"/>
          <w:bCs/>
          <w:sz w:val="26"/>
          <w:szCs w:val="26"/>
        </w:rPr>
        <w:t xml:space="preserve"> el trámite fustigado, que a no</w:t>
      </w:r>
      <w:r w:rsidR="009E693B" w:rsidRPr="00E60AE4">
        <w:rPr>
          <w:rFonts w:ascii="Arial Narrow" w:hAnsi="Arial Narrow"/>
          <w:bCs/>
          <w:sz w:val="26"/>
          <w:szCs w:val="26"/>
        </w:rPr>
        <w:t xml:space="preserve"> dudarlo</w:t>
      </w:r>
      <w:r w:rsidR="00D40E2B" w:rsidRPr="00E60AE4">
        <w:rPr>
          <w:rFonts w:ascii="Arial Narrow" w:hAnsi="Arial Narrow"/>
          <w:bCs/>
          <w:sz w:val="26"/>
          <w:szCs w:val="26"/>
        </w:rPr>
        <w:t>,</w:t>
      </w:r>
      <w:r w:rsidR="005F36F2" w:rsidRPr="00E60AE4">
        <w:rPr>
          <w:rFonts w:ascii="Arial Narrow" w:hAnsi="Arial Narrow"/>
          <w:bCs/>
          <w:sz w:val="26"/>
          <w:szCs w:val="26"/>
        </w:rPr>
        <w:t xml:space="preserve"> encuentra dentro del diseño legal del proceso judicial, </w:t>
      </w:r>
      <w:r w:rsidR="000F47C0" w:rsidRPr="00E60AE4">
        <w:rPr>
          <w:rFonts w:ascii="Arial Narrow" w:hAnsi="Arial Narrow"/>
          <w:bCs/>
          <w:sz w:val="26"/>
          <w:szCs w:val="26"/>
        </w:rPr>
        <w:t>escenarios</w:t>
      </w:r>
      <w:r w:rsidR="009E693B" w:rsidRPr="00E60AE4">
        <w:rPr>
          <w:rFonts w:ascii="Arial Narrow" w:hAnsi="Arial Narrow"/>
          <w:bCs/>
          <w:sz w:val="26"/>
          <w:szCs w:val="26"/>
        </w:rPr>
        <w:t xml:space="preserve"> idóneos</w:t>
      </w:r>
      <w:r w:rsidR="009E693B" w:rsidRPr="00E60AE4">
        <w:rPr>
          <w:rFonts w:ascii="Arial Narrow" w:hAnsi="Arial Narrow"/>
          <w:sz w:val="26"/>
          <w:szCs w:val="26"/>
        </w:rPr>
        <w:t xml:space="preserve"> </w:t>
      </w:r>
      <w:r w:rsidR="00D40E2B" w:rsidRPr="00E60AE4">
        <w:rPr>
          <w:rFonts w:ascii="Arial Narrow" w:hAnsi="Arial Narrow"/>
          <w:sz w:val="26"/>
          <w:szCs w:val="26"/>
        </w:rPr>
        <w:t xml:space="preserve">y </w:t>
      </w:r>
      <w:r w:rsidR="009E693B" w:rsidRPr="00E60AE4">
        <w:rPr>
          <w:rFonts w:ascii="Arial Narrow" w:hAnsi="Arial Narrow"/>
          <w:bCs/>
          <w:sz w:val="26"/>
          <w:szCs w:val="26"/>
        </w:rPr>
        <w:t>eficaces para su definición, resultando improcedente la intervención prematura de la justicia constitucional.</w:t>
      </w:r>
    </w:p>
    <w:p w14:paraId="6909C5F5" w14:textId="77777777" w:rsidR="009E693B" w:rsidRPr="00E60AE4" w:rsidRDefault="009E693B" w:rsidP="005E1263">
      <w:pPr>
        <w:pStyle w:val="Sinespaciado"/>
        <w:spacing w:line="264" w:lineRule="auto"/>
        <w:jc w:val="both"/>
        <w:rPr>
          <w:rFonts w:ascii="Arial Narrow" w:hAnsi="Arial Narrow"/>
          <w:bCs/>
          <w:sz w:val="26"/>
          <w:szCs w:val="26"/>
        </w:rPr>
      </w:pPr>
    </w:p>
    <w:p w14:paraId="36FC4476" w14:textId="25DBC3E0" w:rsidR="009E693B" w:rsidRPr="00E60AE4" w:rsidRDefault="009E693B" w:rsidP="005E1263">
      <w:pPr>
        <w:pStyle w:val="Sinespaciado"/>
        <w:spacing w:line="264" w:lineRule="auto"/>
        <w:jc w:val="both"/>
        <w:rPr>
          <w:rFonts w:ascii="Arial Narrow" w:hAnsi="Arial Narrow"/>
          <w:bCs/>
          <w:i/>
          <w:iCs/>
          <w:sz w:val="26"/>
          <w:szCs w:val="26"/>
        </w:rPr>
      </w:pPr>
      <w:r w:rsidRPr="00E60AE4">
        <w:rPr>
          <w:rFonts w:ascii="Arial Narrow" w:hAnsi="Arial Narrow"/>
          <w:bCs/>
          <w:sz w:val="26"/>
          <w:szCs w:val="26"/>
        </w:rPr>
        <w:t>Por ello, se avizora la improcedencia de la salvaguarda porque lo pretendido desconoce el carácter subsidiario de la acción constitucional.  En tal sentido, basta recordar que al respecto tiene dicho la Sala Civil de la Corte Suprema de Justicia que:</w:t>
      </w:r>
      <w:r w:rsidR="000073ED" w:rsidRPr="00E60AE4">
        <w:rPr>
          <w:rFonts w:ascii="Arial Narrow" w:hAnsi="Arial Narrow"/>
          <w:bCs/>
          <w:sz w:val="26"/>
          <w:szCs w:val="26"/>
        </w:rPr>
        <w:t xml:space="preserve"> </w:t>
      </w:r>
      <w:r w:rsidR="00584FAF" w:rsidRPr="00E60AE4">
        <w:rPr>
          <w:rFonts w:ascii="Arial Narrow" w:hAnsi="Arial Narrow"/>
          <w:bCs/>
          <w:i/>
          <w:iCs/>
          <w:sz w:val="26"/>
          <w:szCs w:val="26"/>
        </w:rPr>
        <w:t>“</w:t>
      </w:r>
      <w:r w:rsidRPr="00A16C2E">
        <w:rPr>
          <w:rFonts w:ascii="Arial Narrow" w:hAnsi="Arial Narrow"/>
          <w:bCs/>
          <w:i/>
          <w:iCs/>
          <w:sz w:val="24"/>
          <w:szCs w:val="26"/>
        </w:rPr>
        <w:t>...</w:t>
      </w:r>
      <w:r w:rsidR="00E60AE4" w:rsidRPr="00A16C2E">
        <w:rPr>
          <w:rFonts w:ascii="Arial Narrow" w:hAnsi="Arial Narrow"/>
          <w:bCs/>
          <w:i/>
          <w:iCs/>
          <w:sz w:val="24"/>
          <w:szCs w:val="26"/>
        </w:rPr>
        <w:t xml:space="preserve"> </w:t>
      </w:r>
      <w:r w:rsidR="00584FAF" w:rsidRPr="00A16C2E">
        <w:rPr>
          <w:rFonts w:ascii="Arial Narrow" w:hAnsi="Arial Narrow"/>
          <w:bCs/>
          <w:i/>
          <w:iCs/>
          <w:sz w:val="24"/>
          <w:szCs w:val="26"/>
        </w:rPr>
        <w:t>se advierte de entrada que el amparo rogado no tiene vocación de prosperidad, pues hasta la fecha el Juzgado receptor de las diligencias no ha resuelto sobre la admisión de la acción popular objeto de revisión constitucional, o en su defecto, planteado conflicto negativo de competencia, por lo que si aún no se ha decidido la temática relacionada con la competencia, no cabe duda que resulta presuroso reclamar cualquier tipo de pronunciamiento al respecto, hasta tanto la particular materia sea resuelta de forma definitiva por la autoridad correspondiente, en la medida en que no puede acudirse con éxito al amparo cuando están en trámite los instrumentos ordinarios de defensa, pues ello riñe con el carácter subsidiario y residual que lo caracteriza, no siendo viable pretender reemplazar los senderos legales mediante esta herramienta, dado que el Juez constitucional no puede actuar como si lo fuera de instancia y tampoco puede operar paralelamente con otras actuaciones, ni para interferir en el procedimiento o adelantar su definición</w:t>
      </w:r>
      <w:r w:rsidR="00A16C2E">
        <w:rPr>
          <w:rFonts w:ascii="Arial Narrow" w:hAnsi="Arial Narrow"/>
          <w:bCs/>
          <w:i/>
          <w:iCs/>
          <w:sz w:val="26"/>
          <w:szCs w:val="26"/>
        </w:rPr>
        <w:t>”</w:t>
      </w:r>
      <w:r w:rsidR="00584FAF" w:rsidRPr="00E60AE4">
        <w:rPr>
          <w:rStyle w:val="Refdenotaalpie"/>
          <w:rFonts w:ascii="Arial Narrow" w:hAnsi="Arial Narrow"/>
          <w:bCs/>
          <w:i/>
          <w:iCs/>
          <w:sz w:val="26"/>
          <w:szCs w:val="26"/>
        </w:rPr>
        <w:footnoteReference w:id="5"/>
      </w:r>
      <w:r w:rsidR="00584FAF" w:rsidRPr="00E60AE4">
        <w:rPr>
          <w:rFonts w:ascii="Arial Narrow" w:hAnsi="Arial Narrow"/>
          <w:bCs/>
          <w:i/>
          <w:iCs/>
          <w:sz w:val="26"/>
          <w:szCs w:val="26"/>
        </w:rPr>
        <w:t>.</w:t>
      </w:r>
      <w:r w:rsidRPr="00E60AE4">
        <w:rPr>
          <w:rFonts w:ascii="Arial Narrow" w:hAnsi="Arial Narrow"/>
          <w:bCs/>
          <w:i/>
          <w:iCs/>
          <w:sz w:val="26"/>
          <w:szCs w:val="26"/>
        </w:rPr>
        <w:t xml:space="preserve"> </w:t>
      </w:r>
    </w:p>
    <w:p w14:paraId="06DB3165" w14:textId="77777777" w:rsidR="009E693B" w:rsidRPr="00E60AE4" w:rsidRDefault="009E693B" w:rsidP="005E1263">
      <w:pPr>
        <w:pStyle w:val="Sinespaciado"/>
        <w:spacing w:line="264" w:lineRule="auto"/>
        <w:jc w:val="both"/>
        <w:rPr>
          <w:rFonts w:ascii="Arial Narrow" w:hAnsi="Arial Narrow"/>
          <w:bCs/>
          <w:sz w:val="26"/>
          <w:szCs w:val="26"/>
        </w:rPr>
      </w:pPr>
    </w:p>
    <w:p w14:paraId="2202B0F5" w14:textId="77777777" w:rsidR="000F748F" w:rsidRPr="00E60AE4" w:rsidRDefault="00C01E73" w:rsidP="005E1263">
      <w:pPr>
        <w:pStyle w:val="Sinespaciado"/>
        <w:spacing w:line="264" w:lineRule="auto"/>
        <w:jc w:val="both"/>
        <w:rPr>
          <w:rFonts w:ascii="Arial Narrow" w:hAnsi="Arial Narrow"/>
          <w:sz w:val="26"/>
          <w:szCs w:val="26"/>
        </w:rPr>
      </w:pPr>
      <w:r w:rsidRPr="00E60AE4">
        <w:rPr>
          <w:rFonts w:ascii="Arial Narrow" w:hAnsi="Arial Narrow"/>
          <w:b/>
          <w:bCs/>
          <w:sz w:val="26"/>
          <w:szCs w:val="26"/>
        </w:rPr>
        <w:t>4</w:t>
      </w:r>
      <w:r w:rsidR="005D1EF5" w:rsidRPr="00E60AE4">
        <w:rPr>
          <w:rFonts w:ascii="Arial Narrow" w:hAnsi="Arial Narrow"/>
          <w:b/>
          <w:bCs/>
          <w:sz w:val="26"/>
          <w:szCs w:val="26"/>
        </w:rPr>
        <w:t>.2.</w:t>
      </w:r>
      <w:r w:rsidR="005D1EF5" w:rsidRPr="00E60AE4">
        <w:rPr>
          <w:rFonts w:ascii="Arial Narrow" w:hAnsi="Arial Narrow"/>
          <w:sz w:val="26"/>
          <w:szCs w:val="26"/>
        </w:rPr>
        <w:t xml:space="preserve"> En efecto, el Código General del Proceso, dispuso en su artículo 139, que el juez que reciba el expediente puede, a su vez, declararse incompetente, caso en el cual solicitará que el conflicto se decida por el funcionario judicial que sea superior funcional común a ambos, al que enviar</w:t>
      </w:r>
      <w:r w:rsidR="00F1000F" w:rsidRPr="00E60AE4">
        <w:rPr>
          <w:rFonts w:ascii="Arial Narrow" w:hAnsi="Arial Narrow"/>
          <w:sz w:val="26"/>
          <w:szCs w:val="26"/>
        </w:rPr>
        <w:t>a</w:t>
      </w:r>
      <w:r w:rsidR="005D1EF5" w:rsidRPr="00E60AE4">
        <w:rPr>
          <w:rFonts w:ascii="Arial Narrow" w:hAnsi="Arial Narrow"/>
          <w:sz w:val="26"/>
          <w:szCs w:val="26"/>
        </w:rPr>
        <w:t xml:space="preserve"> la actuación. </w:t>
      </w:r>
    </w:p>
    <w:p w14:paraId="5C4B627F" w14:textId="77777777" w:rsidR="000F748F" w:rsidRPr="00E60AE4" w:rsidRDefault="000F748F" w:rsidP="005E1263">
      <w:pPr>
        <w:pStyle w:val="Sinespaciado"/>
        <w:spacing w:line="264" w:lineRule="auto"/>
        <w:jc w:val="both"/>
        <w:rPr>
          <w:rFonts w:ascii="Arial Narrow" w:hAnsi="Arial Narrow"/>
          <w:sz w:val="26"/>
          <w:szCs w:val="26"/>
        </w:rPr>
      </w:pPr>
    </w:p>
    <w:p w14:paraId="530E8484" w14:textId="77777777" w:rsidR="00C01175" w:rsidRPr="00E60AE4" w:rsidRDefault="005D1EF5" w:rsidP="005E1263">
      <w:pPr>
        <w:pStyle w:val="Sinespaciado"/>
        <w:spacing w:line="264" w:lineRule="auto"/>
        <w:jc w:val="both"/>
        <w:rPr>
          <w:rFonts w:ascii="Arial Narrow" w:hAnsi="Arial Narrow"/>
          <w:bCs/>
          <w:sz w:val="26"/>
          <w:szCs w:val="26"/>
        </w:rPr>
      </w:pPr>
      <w:r w:rsidRPr="00E60AE4">
        <w:rPr>
          <w:rFonts w:ascii="Arial Narrow" w:hAnsi="Arial Narrow"/>
          <w:sz w:val="26"/>
          <w:szCs w:val="26"/>
        </w:rPr>
        <w:t>En</w:t>
      </w:r>
      <w:r w:rsidR="00584FAF" w:rsidRPr="00E60AE4">
        <w:rPr>
          <w:rFonts w:ascii="Arial Narrow" w:hAnsi="Arial Narrow"/>
          <w:sz w:val="26"/>
          <w:szCs w:val="26"/>
        </w:rPr>
        <w:t xml:space="preserve"> este caso, las pruebas incorporadas al sumario acreditan que el Juzgado Promiscuo del Circuito de La Virginia</w:t>
      </w:r>
      <w:r w:rsidR="00E5616B" w:rsidRPr="00E60AE4">
        <w:rPr>
          <w:rFonts w:ascii="Arial Narrow" w:hAnsi="Arial Narrow"/>
          <w:sz w:val="26"/>
          <w:szCs w:val="26"/>
        </w:rPr>
        <w:t xml:space="preserve">, </w:t>
      </w:r>
      <w:r w:rsidR="00E5616B" w:rsidRPr="00E60AE4">
        <w:rPr>
          <w:rFonts w:ascii="Arial Narrow" w:hAnsi="Arial Narrow"/>
          <w:bCs/>
          <w:sz w:val="26"/>
          <w:szCs w:val="26"/>
        </w:rPr>
        <w:t xml:space="preserve">por auto del 22 de abril de 2021, </w:t>
      </w:r>
      <w:r w:rsidR="00E5616B" w:rsidRPr="00E60AE4">
        <w:rPr>
          <w:rFonts w:ascii="Arial Narrow" w:hAnsi="Arial Narrow"/>
          <w:sz w:val="26"/>
          <w:szCs w:val="26"/>
        </w:rPr>
        <w:t>declaró la nulidad de lo actuado en</w:t>
      </w:r>
      <w:r w:rsidR="00584FAF" w:rsidRPr="00E60AE4">
        <w:rPr>
          <w:rFonts w:ascii="Arial Narrow" w:hAnsi="Arial Narrow"/>
          <w:sz w:val="26"/>
          <w:szCs w:val="26"/>
        </w:rPr>
        <w:t xml:space="preserve"> la acción popular radicada </w:t>
      </w:r>
      <w:r w:rsidR="00E5616B" w:rsidRPr="00E60AE4">
        <w:rPr>
          <w:rFonts w:ascii="Arial Narrow" w:hAnsi="Arial Narrow"/>
          <w:bCs/>
          <w:sz w:val="26"/>
          <w:szCs w:val="26"/>
        </w:rPr>
        <w:t>2021-00369</w:t>
      </w:r>
      <w:r w:rsidR="00C01175" w:rsidRPr="00E60AE4">
        <w:rPr>
          <w:rFonts w:ascii="Arial Narrow" w:hAnsi="Arial Narrow"/>
          <w:bCs/>
          <w:sz w:val="26"/>
          <w:szCs w:val="26"/>
        </w:rPr>
        <w:t xml:space="preserve"> y resolvió </w:t>
      </w:r>
      <w:r w:rsidR="00E5616B" w:rsidRPr="00E60AE4">
        <w:rPr>
          <w:rFonts w:ascii="Arial Narrow" w:hAnsi="Arial Narrow"/>
          <w:bCs/>
          <w:sz w:val="26"/>
          <w:szCs w:val="26"/>
        </w:rPr>
        <w:t>remitirla por competencia a los Juzgados Civiles del Circuito de Cartago</w:t>
      </w:r>
      <w:r w:rsidR="00C01175" w:rsidRPr="00E60AE4">
        <w:rPr>
          <w:rStyle w:val="Refdenotaalpie"/>
          <w:rFonts w:ascii="Arial Narrow" w:hAnsi="Arial Narrow"/>
          <w:bCs/>
          <w:sz w:val="26"/>
          <w:szCs w:val="26"/>
        </w:rPr>
        <w:footnoteReference w:id="6"/>
      </w:r>
      <w:r w:rsidR="00C01175" w:rsidRPr="00E60AE4">
        <w:rPr>
          <w:rFonts w:ascii="Arial Narrow" w:hAnsi="Arial Narrow"/>
          <w:bCs/>
          <w:sz w:val="26"/>
          <w:szCs w:val="26"/>
        </w:rPr>
        <w:t xml:space="preserve">, decisión que se mantuvo pese a la inconformidad </w:t>
      </w:r>
      <w:r w:rsidR="000F47C0" w:rsidRPr="00E60AE4">
        <w:rPr>
          <w:rFonts w:ascii="Arial Narrow" w:hAnsi="Arial Narrow"/>
          <w:bCs/>
          <w:sz w:val="26"/>
          <w:szCs w:val="26"/>
        </w:rPr>
        <w:t>formulada</w:t>
      </w:r>
      <w:r w:rsidR="00C01175" w:rsidRPr="00E60AE4">
        <w:rPr>
          <w:rFonts w:ascii="Arial Narrow" w:hAnsi="Arial Narrow"/>
          <w:bCs/>
          <w:sz w:val="26"/>
          <w:szCs w:val="26"/>
        </w:rPr>
        <w:t xml:space="preserve"> por el actor</w:t>
      </w:r>
      <w:r w:rsidR="00C01175" w:rsidRPr="00E60AE4">
        <w:rPr>
          <w:rStyle w:val="Refdenotaalpie"/>
          <w:rFonts w:ascii="Arial Narrow" w:hAnsi="Arial Narrow"/>
          <w:bCs/>
          <w:sz w:val="26"/>
          <w:szCs w:val="26"/>
        </w:rPr>
        <w:footnoteReference w:id="7"/>
      </w:r>
      <w:r w:rsidR="00C01175" w:rsidRPr="00E60AE4">
        <w:rPr>
          <w:rFonts w:ascii="Arial Narrow" w:hAnsi="Arial Narrow"/>
          <w:bCs/>
          <w:sz w:val="26"/>
          <w:szCs w:val="26"/>
        </w:rPr>
        <w:t xml:space="preserve">. </w:t>
      </w:r>
    </w:p>
    <w:p w14:paraId="6EFEA8BF" w14:textId="77777777" w:rsidR="00C01175" w:rsidRPr="00E60AE4" w:rsidRDefault="00C01175" w:rsidP="005E1263">
      <w:pPr>
        <w:pStyle w:val="Sinespaciado"/>
        <w:spacing w:line="264" w:lineRule="auto"/>
        <w:jc w:val="both"/>
        <w:rPr>
          <w:rFonts w:ascii="Arial Narrow" w:hAnsi="Arial Narrow"/>
          <w:bCs/>
          <w:sz w:val="26"/>
          <w:szCs w:val="26"/>
        </w:rPr>
      </w:pPr>
    </w:p>
    <w:p w14:paraId="3A9C9DB3" w14:textId="77777777" w:rsidR="004747F8" w:rsidRPr="00E60AE4" w:rsidRDefault="004747F8" w:rsidP="005E1263">
      <w:pPr>
        <w:pStyle w:val="Sinespaciado"/>
        <w:spacing w:line="264" w:lineRule="auto"/>
        <w:jc w:val="both"/>
        <w:rPr>
          <w:rFonts w:ascii="Arial Narrow" w:hAnsi="Arial Narrow"/>
          <w:sz w:val="26"/>
          <w:szCs w:val="26"/>
        </w:rPr>
      </w:pPr>
      <w:r w:rsidRPr="00E60AE4">
        <w:rPr>
          <w:rFonts w:ascii="Arial Narrow" w:hAnsi="Arial Narrow"/>
          <w:sz w:val="26"/>
          <w:szCs w:val="26"/>
        </w:rPr>
        <w:t>En ese escenario, el gestor aún cuenta con la posibilidad de enarbolar sus planteamientos ante el Juez al que sea asignada la acción popular que nos ocupa, quién en últimas, podrá hacer uso de las instituciones consagradas en la legislación adjetiva para que el eventual conflicto de competencia sea resuelto por el juez natural para tales casos y no por este estrado constitucional. De allí, que mal haría este Tribunal en anticiparse a la definición del referido conflicto, sin saber si quiera si su resulta favorezca a la postura defendida por el tutelante.</w:t>
      </w:r>
    </w:p>
    <w:p w14:paraId="255AAEAD" w14:textId="77777777" w:rsidR="000F748F" w:rsidRPr="00E60AE4" w:rsidRDefault="000F748F" w:rsidP="005E1263">
      <w:pPr>
        <w:pStyle w:val="Sinespaciado"/>
        <w:spacing w:line="264" w:lineRule="auto"/>
        <w:jc w:val="both"/>
        <w:rPr>
          <w:rFonts w:ascii="Arial Narrow" w:hAnsi="Arial Narrow"/>
          <w:sz w:val="26"/>
          <w:szCs w:val="26"/>
        </w:rPr>
      </w:pPr>
    </w:p>
    <w:p w14:paraId="22EBE3BD" w14:textId="77777777" w:rsidR="00DC1A4C" w:rsidRPr="00E60AE4" w:rsidRDefault="005D1EF5" w:rsidP="005E1263">
      <w:pPr>
        <w:pStyle w:val="Sinespaciado"/>
        <w:spacing w:line="264" w:lineRule="auto"/>
        <w:jc w:val="both"/>
        <w:rPr>
          <w:rFonts w:ascii="Arial Narrow" w:hAnsi="Arial Narrow"/>
          <w:sz w:val="26"/>
          <w:szCs w:val="26"/>
        </w:rPr>
      </w:pPr>
      <w:r w:rsidRPr="00E60AE4">
        <w:rPr>
          <w:rFonts w:ascii="Arial Narrow" w:hAnsi="Arial Narrow"/>
          <w:sz w:val="26"/>
          <w:szCs w:val="26"/>
        </w:rPr>
        <w:t xml:space="preserve">En suma, se frustra la pretensión del actor porque se tiene ampliamente decantado que le es vedado al juez constitucional tomarse atribuciones sobre las funciones propias de la autoridad </w:t>
      </w:r>
      <w:r w:rsidRPr="00E60AE4">
        <w:rPr>
          <w:rFonts w:ascii="Arial Narrow" w:hAnsi="Arial Narrow"/>
          <w:sz w:val="26"/>
          <w:szCs w:val="26"/>
        </w:rPr>
        <w:lastRenderedPageBreak/>
        <w:t>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E60AE4">
        <w:rPr>
          <w:rFonts w:ascii="Arial Narrow" w:hAnsi="Arial Narrow"/>
          <w:i/>
          <w:iCs/>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E60AE4">
        <w:rPr>
          <w:rFonts w:ascii="Arial Narrow" w:hAnsi="Arial Narrow"/>
          <w:sz w:val="26"/>
          <w:szCs w:val="26"/>
        </w:rPr>
        <w:t>» (STC14280-2018</w:t>
      </w:r>
      <w:r w:rsidR="00E11E06" w:rsidRPr="00E60AE4">
        <w:rPr>
          <w:rFonts w:ascii="Arial Narrow" w:hAnsi="Arial Narrow"/>
          <w:sz w:val="26"/>
          <w:szCs w:val="26"/>
        </w:rPr>
        <w:t xml:space="preserve">, </w:t>
      </w:r>
      <w:r w:rsidRPr="00E60AE4">
        <w:rPr>
          <w:rFonts w:ascii="Arial Narrow" w:hAnsi="Arial Narrow"/>
          <w:sz w:val="26"/>
          <w:szCs w:val="26"/>
        </w:rPr>
        <w:t>reiterado en STC12017-2020).</w:t>
      </w:r>
    </w:p>
    <w:p w14:paraId="4E8C88AD" w14:textId="77777777" w:rsidR="005D1EF5" w:rsidRPr="00E60AE4" w:rsidRDefault="005D1EF5" w:rsidP="005E1263">
      <w:pPr>
        <w:pStyle w:val="Sinespaciado"/>
        <w:spacing w:line="264" w:lineRule="auto"/>
        <w:jc w:val="both"/>
        <w:rPr>
          <w:rFonts w:ascii="Arial Narrow" w:hAnsi="Arial Narrow"/>
          <w:sz w:val="26"/>
          <w:szCs w:val="26"/>
        </w:rPr>
      </w:pPr>
    </w:p>
    <w:p w14:paraId="0064257A" w14:textId="77777777" w:rsidR="005D1EF5" w:rsidRPr="00E60AE4" w:rsidRDefault="006A697F" w:rsidP="005E1263">
      <w:pPr>
        <w:pStyle w:val="Sinespaciado"/>
        <w:spacing w:line="264" w:lineRule="auto"/>
        <w:jc w:val="both"/>
        <w:rPr>
          <w:rFonts w:ascii="Arial Narrow" w:hAnsi="Arial Narrow"/>
          <w:sz w:val="26"/>
          <w:szCs w:val="26"/>
        </w:rPr>
      </w:pPr>
      <w:r w:rsidRPr="00E60AE4">
        <w:rPr>
          <w:rFonts w:ascii="Arial Narrow" w:hAnsi="Arial Narrow"/>
          <w:b/>
          <w:bCs/>
          <w:sz w:val="26"/>
          <w:szCs w:val="26"/>
        </w:rPr>
        <w:t>5</w:t>
      </w:r>
      <w:r w:rsidR="00E37514" w:rsidRPr="00E60AE4">
        <w:rPr>
          <w:rFonts w:ascii="Arial Narrow" w:hAnsi="Arial Narrow"/>
          <w:b/>
          <w:bCs/>
          <w:sz w:val="26"/>
          <w:szCs w:val="26"/>
        </w:rPr>
        <w:t>.</w:t>
      </w:r>
      <w:r w:rsidR="00CD4D5F" w:rsidRPr="00E60AE4">
        <w:rPr>
          <w:rFonts w:ascii="Arial Narrow" w:hAnsi="Arial Narrow"/>
          <w:sz w:val="26"/>
          <w:szCs w:val="26"/>
        </w:rPr>
        <w:t xml:space="preserve"> </w:t>
      </w:r>
      <w:r w:rsidR="000B6B7A" w:rsidRPr="00E60AE4">
        <w:rPr>
          <w:rFonts w:ascii="Arial Narrow" w:hAnsi="Arial Narrow"/>
          <w:sz w:val="26"/>
          <w:szCs w:val="26"/>
        </w:rPr>
        <w:t xml:space="preserve">En conclusión, al no superarse el requisito de subsidiariedad en el presente amparo constitucional, resulta </w:t>
      </w:r>
      <w:r w:rsidR="002C1099" w:rsidRPr="00E60AE4">
        <w:rPr>
          <w:rFonts w:ascii="Arial Narrow" w:hAnsi="Arial Narrow"/>
          <w:sz w:val="26"/>
          <w:szCs w:val="26"/>
        </w:rPr>
        <w:t>improcedente</w:t>
      </w:r>
      <w:r w:rsidR="000B6B7A" w:rsidRPr="00E60AE4">
        <w:rPr>
          <w:rFonts w:ascii="Arial Narrow" w:hAnsi="Arial Narrow"/>
          <w:sz w:val="26"/>
          <w:szCs w:val="26"/>
        </w:rPr>
        <w:t xml:space="preserve"> el estudio de fondo de la conducta del accionado</w:t>
      </w:r>
      <w:r w:rsidR="00201AC9" w:rsidRPr="00E60AE4">
        <w:rPr>
          <w:rFonts w:ascii="Arial Narrow" w:hAnsi="Arial Narrow"/>
          <w:sz w:val="26"/>
          <w:szCs w:val="26"/>
        </w:rPr>
        <w:t>.</w:t>
      </w:r>
    </w:p>
    <w:p w14:paraId="1CFE5785" w14:textId="77777777" w:rsidR="00201AC9" w:rsidRPr="00E60AE4" w:rsidRDefault="00201AC9" w:rsidP="005E1263">
      <w:pPr>
        <w:pStyle w:val="Sinespaciado"/>
        <w:spacing w:line="264" w:lineRule="auto"/>
        <w:jc w:val="both"/>
        <w:rPr>
          <w:rFonts w:ascii="Arial Narrow" w:hAnsi="Arial Narrow"/>
          <w:sz w:val="26"/>
          <w:szCs w:val="26"/>
        </w:rPr>
      </w:pPr>
    </w:p>
    <w:p w14:paraId="64704482" w14:textId="77777777" w:rsidR="00DC1A4C"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sz w:val="26"/>
          <w:szCs w:val="26"/>
        </w:rPr>
        <w:t>Por lo expuesto, la Sala Civil Familia del Tribunal Superior de Pereira, Risaralda, administrando justicia en nombre de la República y por autoridad de la ley,</w:t>
      </w:r>
    </w:p>
    <w:p w14:paraId="42012A7C" w14:textId="77777777" w:rsidR="00DC1A4C" w:rsidRPr="00E60AE4" w:rsidRDefault="00DC1A4C" w:rsidP="005E1263">
      <w:pPr>
        <w:pStyle w:val="Sinespaciado"/>
        <w:spacing w:line="264" w:lineRule="auto"/>
        <w:jc w:val="both"/>
        <w:rPr>
          <w:rFonts w:ascii="Arial Narrow" w:hAnsi="Arial Narrow"/>
          <w:sz w:val="26"/>
          <w:szCs w:val="26"/>
        </w:rPr>
      </w:pPr>
    </w:p>
    <w:p w14:paraId="41C7A92B" w14:textId="77777777" w:rsidR="00DC1A4C" w:rsidRPr="00E60AE4" w:rsidRDefault="00DC1A4C" w:rsidP="005E1263">
      <w:pPr>
        <w:pStyle w:val="Sinespaciado"/>
        <w:spacing w:line="264" w:lineRule="auto"/>
        <w:jc w:val="center"/>
        <w:rPr>
          <w:rFonts w:ascii="Arial Narrow" w:hAnsi="Arial Narrow"/>
          <w:sz w:val="26"/>
          <w:szCs w:val="26"/>
        </w:rPr>
      </w:pPr>
      <w:r w:rsidRPr="00E60AE4">
        <w:rPr>
          <w:rFonts w:ascii="Arial Narrow" w:hAnsi="Arial Narrow"/>
          <w:b/>
          <w:bCs/>
          <w:sz w:val="26"/>
          <w:szCs w:val="26"/>
        </w:rPr>
        <w:t>RESUELVE</w:t>
      </w:r>
    </w:p>
    <w:p w14:paraId="23B1B376" w14:textId="77777777" w:rsidR="00DC1A4C" w:rsidRPr="00E60AE4" w:rsidRDefault="00DC1A4C" w:rsidP="005E1263">
      <w:pPr>
        <w:pStyle w:val="Sinespaciado"/>
        <w:spacing w:line="264" w:lineRule="auto"/>
        <w:jc w:val="center"/>
        <w:rPr>
          <w:rFonts w:ascii="Arial Narrow" w:hAnsi="Arial Narrow"/>
          <w:sz w:val="26"/>
          <w:szCs w:val="26"/>
        </w:rPr>
      </w:pPr>
    </w:p>
    <w:p w14:paraId="733E6B5D" w14:textId="77777777" w:rsidR="00DC1A4C" w:rsidRPr="00E60AE4" w:rsidRDefault="00DC1A4C" w:rsidP="005E1263">
      <w:pPr>
        <w:pStyle w:val="Sinespaciado"/>
        <w:spacing w:line="264" w:lineRule="auto"/>
        <w:jc w:val="both"/>
        <w:rPr>
          <w:rFonts w:ascii="Arial Narrow" w:hAnsi="Arial Narrow" w:cs="Arial"/>
          <w:sz w:val="26"/>
          <w:szCs w:val="26"/>
        </w:rPr>
      </w:pPr>
      <w:r w:rsidRPr="00E60AE4">
        <w:rPr>
          <w:rFonts w:ascii="Arial Narrow" w:hAnsi="Arial Narrow" w:cs="Arial"/>
          <w:b/>
          <w:sz w:val="26"/>
          <w:szCs w:val="26"/>
          <w:lang w:val="es-MX"/>
        </w:rPr>
        <w:t xml:space="preserve">PRIMERO: </w:t>
      </w:r>
      <w:r w:rsidRPr="00E60AE4">
        <w:rPr>
          <w:rFonts w:ascii="Arial Narrow" w:hAnsi="Arial Narrow"/>
          <w:b/>
          <w:bCs/>
          <w:sz w:val="26"/>
          <w:szCs w:val="26"/>
        </w:rPr>
        <w:t>DECLARAR</w:t>
      </w:r>
      <w:r w:rsidRPr="00E60AE4">
        <w:rPr>
          <w:rFonts w:ascii="Arial Narrow" w:hAnsi="Arial Narrow"/>
          <w:sz w:val="26"/>
          <w:szCs w:val="26"/>
        </w:rPr>
        <w:t xml:space="preserve"> </w:t>
      </w:r>
      <w:r w:rsidRPr="00E60AE4">
        <w:rPr>
          <w:rFonts w:ascii="Arial Narrow" w:hAnsi="Arial Narrow" w:cs="Arial"/>
          <w:color w:val="000000"/>
          <w:sz w:val="26"/>
          <w:szCs w:val="26"/>
        </w:rPr>
        <w:t xml:space="preserve">la improcedencia de </w:t>
      </w:r>
      <w:r w:rsidRPr="00E60AE4">
        <w:rPr>
          <w:rFonts w:ascii="Arial Narrow" w:hAnsi="Arial Narrow" w:cs="Arial"/>
          <w:sz w:val="26"/>
          <w:szCs w:val="26"/>
        </w:rPr>
        <w:t>la presente acción de tutela conforme a las consideraciones expuestas.</w:t>
      </w:r>
    </w:p>
    <w:p w14:paraId="3CA9C326" w14:textId="77777777" w:rsidR="00DC1A4C" w:rsidRPr="00E60AE4" w:rsidRDefault="00DC1A4C" w:rsidP="005E1263">
      <w:pPr>
        <w:pStyle w:val="Sinespaciado"/>
        <w:spacing w:line="264" w:lineRule="auto"/>
        <w:jc w:val="both"/>
        <w:rPr>
          <w:rFonts w:ascii="Arial Narrow" w:hAnsi="Arial Narrow" w:cs="Arial"/>
          <w:sz w:val="26"/>
          <w:szCs w:val="26"/>
        </w:rPr>
      </w:pPr>
    </w:p>
    <w:p w14:paraId="57B06617" w14:textId="77777777" w:rsidR="00DC1A4C" w:rsidRPr="00E60AE4" w:rsidRDefault="00DC1A4C" w:rsidP="005E1263">
      <w:pPr>
        <w:pStyle w:val="Sinespaciado"/>
        <w:spacing w:line="264" w:lineRule="auto"/>
        <w:jc w:val="both"/>
        <w:rPr>
          <w:rFonts w:ascii="Arial Narrow" w:hAnsi="Arial Narrow" w:cs="Arial"/>
          <w:sz w:val="26"/>
          <w:szCs w:val="26"/>
          <w:lang w:val="es-MX"/>
        </w:rPr>
      </w:pPr>
      <w:r w:rsidRPr="00E60AE4">
        <w:rPr>
          <w:rFonts w:ascii="Arial Narrow" w:hAnsi="Arial Narrow" w:cs="Arial"/>
          <w:b/>
          <w:sz w:val="26"/>
          <w:szCs w:val="26"/>
        </w:rPr>
        <w:t>SEGUNDO</w:t>
      </w:r>
      <w:r w:rsidRPr="00E60AE4">
        <w:rPr>
          <w:rFonts w:ascii="Arial Narrow" w:hAnsi="Arial Narrow" w:cs="Arial"/>
          <w:bCs/>
          <w:sz w:val="26"/>
          <w:szCs w:val="26"/>
        </w:rPr>
        <w:t>:</w:t>
      </w:r>
      <w:r w:rsidRPr="00E60AE4">
        <w:rPr>
          <w:rFonts w:ascii="Arial Narrow" w:hAnsi="Arial Narrow" w:cs="Arial"/>
          <w:sz w:val="26"/>
          <w:szCs w:val="26"/>
        </w:rPr>
        <w:t xml:space="preserve"> </w:t>
      </w:r>
      <w:r w:rsidRPr="00E60AE4">
        <w:rPr>
          <w:rFonts w:ascii="Arial Narrow" w:hAnsi="Arial Narrow" w:cs="Arial"/>
          <w:b/>
          <w:sz w:val="26"/>
          <w:szCs w:val="26"/>
          <w:lang w:val="es-MX"/>
        </w:rPr>
        <w:t>NOTIFICAR</w:t>
      </w:r>
      <w:r w:rsidRPr="00E60AE4">
        <w:rPr>
          <w:rFonts w:ascii="Arial Narrow" w:hAnsi="Arial Narrow" w:cs="Arial"/>
          <w:sz w:val="26"/>
          <w:szCs w:val="26"/>
          <w:lang w:val="es-MX"/>
        </w:rPr>
        <w:t xml:space="preserve"> a las partes lo aquí resuelto en la forma más expedita y eficaz posible.</w:t>
      </w:r>
    </w:p>
    <w:p w14:paraId="25495FAB" w14:textId="77777777" w:rsidR="002C1099" w:rsidRPr="00E60AE4" w:rsidRDefault="002C1099" w:rsidP="005E1263">
      <w:pPr>
        <w:pStyle w:val="Sinespaciado"/>
        <w:spacing w:line="264" w:lineRule="auto"/>
        <w:jc w:val="both"/>
        <w:rPr>
          <w:rFonts w:ascii="Arial Narrow" w:hAnsi="Arial Narrow" w:cs="Arial Narrow"/>
          <w:bCs/>
          <w:sz w:val="26"/>
          <w:szCs w:val="26"/>
          <w:lang w:eastAsia="es-MX"/>
        </w:rPr>
      </w:pPr>
    </w:p>
    <w:p w14:paraId="0AE7D866" w14:textId="77777777" w:rsidR="00DC1A4C" w:rsidRPr="00E60AE4" w:rsidRDefault="00DC1A4C" w:rsidP="005E1263">
      <w:pPr>
        <w:pStyle w:val="Sinespaciado"/>
        <w:spacing w:line="264" w:lineRule="auto"/>
        <w:jc w:val="both"/>
        <w:rPr>
          <w:rFonts w:ascii="Arial Narrow" w:hAnsi="Arial Narrow"/>
          <w:sz w:val="26"/>
          <w:szCs w:val="26"/>
        </w:rPr>
      </w:pPr>
      <w:r w:rsidRPr="00E60AE4">
        <w:rPr>
          <w:rFonts w:ascii="Arial Narrow" w:hAnsi="Arial Narrow" w:cs="Arial"/>
          <w:b/>
          <w:sz w:val="26"/>
          <w:szCs w:val="26"/>
          <w:lang w:val="es-MX"/>
        </w:rPr>
        <w:t xml:space="preserve">TERCERO: </w:t>
      </w:r>
      <w:r w:rsidRPr="00E60AE4">
        <w:rPr>
          <w:rFonts w:ascii="Arial Narrow" w:hAnsi="Arial Narrow" w:cs="Arial"/>
          <w:b/>
          <w:bCs/>
          <w:sz w:val="26"/>
          <w:szCs w:val="26"/>
          <w:lang w:val="es-MX"/>
        </w:rPr>
        <w:t>ENVIAR</w:t>
      </w:r>
      <w:r w:rsidRPr="00E60AE4">
        <w:rPr>
          <w:rFonts w:ascii="Arial Narrow" w:hAnsi="Arial Narrow" w:cs="Arial"/>
          <w:bCs/>
          <w:sz w:val="26"/>
          <w:szCs w:val="26"/>
          <w:lang w:val="es-MX"/>
        </w:rPr>
        <w:t xml:space="preserve"> </w:t>
      </w:r>
      <w:r w:rsidRPr="00E60AE4">
        <w:rPr>
          <w:rFonts w:ascii="Arial Narrow" w:hAnsi="Arial Narrow" w:cs="Arial"/>
          <w:sz w:val="26"/>
          <w:szCs w:val="26"/>
          <w:lang w:val="es-MX"/>
        </w:rPr>
        <w:t>oportunamente el presente expediente a la Honorable Corte Constitucional para su eventual revisión</w:t>
      </w:r>
      <w:r w:rsidR="0009119D" w:rsidRPr="00E60AE4">
        <w:rPr>
          <w:rFonts w:ascii="Arial Narrow" w:hAnsi="Arial Narrow"/>
          <w:sz w:val="26"/>
          <w:szCs w:val="26"/>
        </w:rPr>
        <w:t>, de no ser impugnada la sentencia.</w:t>
      </w:r>
    </w:p>
    <w:p w14:paraId="7B657A26" w14:textId="77777777" w:rsidR="00584FAF" w:rsidRPr="00E60AE4" w:rsidRDefault="00584FAF" w:rsidP="005E1263">
      <w:pPr>
        <w:pStyle w:val="Sinespaciado"/>
        <w:spacing w:line="264" w:lineRule="auto"/>
        <w:jc w:val="both"/>
        <w:rPr>
          <w:rFonts w:ascii="Arial Narrow" w:hAnsi="Arial Narrow"/>
          <w:sz w:val="26"/>
          <w:szCs w:val="26"/>
        </w:rPr>
      </w:pPr>
    </w:p>
    <w:p w14:paraId="7F0BED60" w14:textId="77777777" w:rsidR="00584FAF" w:rsidRPr="00E60AE4" w:rsidRDefault="00584FAF" w:rsidP="005E1263">
      <w:pPr>
        <w:pStyle w:val="Sinespaciado"/>
        <w:spacing w:line="264" w:lineRule="auto"/>
        <w:jc w:val="both"/>
        <w:rPr>
          <w:rFonts w:ascii="Arial Narrow" w:hAnsi="Arial Narrow" w:cs="Arial Narrow"/>
          <w:bCs/>
          <w:sz w:val="26"/>
          <w:szCs w:val="26"/>
          <w:lang w:eastAsia="es-MX"/>
        </w:rPr>
      </w:pPr>
      <w:r w:rsidRPr="00E60AE4">
        <w:rPr>
          <w:rFonts w:ascii="Arial Narrow" w:hAnsi="Arial Narrow" w:cs="Arial"/>
          <w:b/>
          <w:sz w:val="26"/>
          <w:szCs w:val="26"/>
        </w:rPr>
        <w:t>CUARTO</w:t>
      </w:r>
      <w:r w:rsidRPr="00E60AE4">
        <w:rPr>
          <w:rFonts w:ascii="Arial Narrow" w:hAnsi="Arial Narrow" w:cs="Arial"/>
          <w:b/>
          <w:sz w:val="26"/>
          <w:szCs w:val="26"/>
          <w:lang w:val="es-MX"/>
        </w:rPr>
        <w:t xml:space="preserve">: </w:t>
      </w:r>
      <w:r w:rsidRPr="00E60AE4">
        <w:rPr>
          <w:rFonts w:ascii="Arial Narrow" w:hAnsi="Arial Narrow" w:cs="Arial"/>
          <w:b/>
          <w:bCs/>
          <w:sz w:val="26"/>
          <w:szCs w:val="26"/>
          <w:lang w:val="es-MX"/>
        </w:rPr>
        <w:t xml:space="preserve">ARCHIVAR </w:t>
      </w:r>
      <w:r w:rsidRPr="00E60AE4">
        <w:rPr>
          <w:rFonts w:ascii="Arial Narrow" w:hAnsi="Arial Narrow" w:cs="Arial"/>
          <w:bCs/>
          <w:sz w:val="26"/>
          <w:szCs w:val="26"/>
          <w:lang w:val="es-MX"/>
        </w:rPr>
        <w:t xml:space="preserve">el expediente, previa anotación en los libros </w:t>
      </w:r>
      <w:proofErr w:type="spellStart"/>
      <w:r w:rsidRPr="00E60AE4">
        <w:rPr>
          <w:rFonts w:ascii="Arial Narrow" w:hAnsi="Arial Narrow" w:cs="Arial"/>
          <w:bCs/>
          <w:sz w:val="26"/>
          <w:szCs w:val="26"/>
          <w:lang w:val="es-MX"/>
        </w:rPr>
        <w:t>radicadores</w:t>
      </w:r>
      <w:proofErr w:type="spellEnd"/>
      <w:r w:rsidRPr="00E60AE4">
        <w:rPr>
          <w:rFonts w:ascii="Arial Narrow" w:hAnsi="Arial Narrow" w:cs="Arial"/>
          <w:bCs/>
          <w:sz w:val="26"/>
          <w:szCs w:val="26"/>
          <w:lang w:val="es-MX"/>
        </w:rPr>
        <w:t>, una vez agotado el trámite ante la Corte Constitucional, siempre y cuando no exista actuación pendiente alguna</w:t>
      </w:r>
    </w:p>
    <w:p w14:paraId="079E7989" w14:textId="77777777" w:rsidR="002C1099" w:rsidRPr="00E60AE4" w:rsidRDefault="002C1099" w:rsidP="005E1263">
      <w:pPr>
        <w:pStyle w:val="Sinespaciado"/>
        <w:spacing w:line="264" w:lineRule="auto"/>
        <w:jc w:val="both"/>
        <w:rPr>
          <w:rFonts w:ascii="Arial Narrow" w:hAnsi="Arial Narrow"/>
          <w:b/>
          <w:sz w:val="26"/>
          <w:szCs w:val="26"/>
        </w:rPr>
      </w:pPr>
    </w:p>
    <w:p w14:paraId="65A92168" w14:textId="435408FB" w:rsidR="00DC1A4C" w:rsidRPr="00E60AE4" w:rsidRDefault="00DC1A4C" w:rsidP="005E1263">
      <w:pPr>
        <w:spacing w:line="264" w:lineRule="auto"/>
        <w:ind w:right="49"/>
        <w:jc w:val="center"/>
        <w:rPr>
          <w:rFonts w:ascii="Arial Narrow" w:hAnsi="Arial Narrow"/>
          <w:b/>
          <w:iCs/>
          <w:sz w:val="26"/>
          <w:szCs w:val="26"/>
        </w:rPr>
      </w:pPr>
      <w:r w:rsidRPr="00E60AE4">
        <w:rPr>
          <w:rFonts w:ascii="Arial Narrow" w:hAnsi="Arial Narrow"/>
          <w:b/>
          <w:iCs/>
          <w:sz w:val="26"/>
          <w:szCs w:val="26"/>
        </w:rPr>
        <w:t>NOTIFÍQUESE Y CÚMPLASE</w:t>
      </w:r>
    </w:p>
    <w:p w14:paraId="24738C2B" w14:textId="77777777" w:rsidR="00416AE1" w:rsidRPr="00E60AE4" w:rsidRDefault="00416AE1" w:rsidP="005E1263">
      <w:pPr>
        <w:spacing w:line="264" w:lineRule="auto"/>
        <w:ind w:right="49"/>
        <w:jc w:val="center"/>
        <w:rPr>
          <w:rFonts w:ascii="Arial Narrow" w:hAnsi="Arial Narrow"/>
          <w:b/>
          <w:iCs/>
          <w:sz w:val="26"/>
          <w:szCs w:val="26"/>
        </w:rPr>
      </w:pPr>
    </w:p>
    <w:p w14:paraId="7FD50AFC" w14:textId="195B1E62" w:rsidR="00DC1A4C" w:rsidRPr="00E60AE4" w:rsidRDefault="00DC1A4C" w:rsidP="005E1263">
      <w:pPr>
        <w:spacing w:line="264" w:lineRule="auto"/>
        <w:ind w:right="49"/>
        <w:jc w:val="center"/>
        <w:rPr>
          <w:rFonts w:ascii="Arial Narrow" w:hAnsi="Arial Narrow"/>
          <w:iCs/>
          <w:sz w:val="26"/>
          <w:szCs w:val="26"/>
        </w:rPr>
      </w:pPr>
      <w:r w:rsidRPr="00E60AE4">
        <w:rPr>
          <w:rFonts w:ascii="Arial Narrow" w:hAnsi="Arial Narrow"/>
          <w:iCs/>
          <w:sz w:val="26"/>
          <w:szCs w:val="26"/>
        </w:rPr>
        <w:t>Los magistrados,</w:t>
      </w:r>
    </w:p>
    <w:p w14:paraId="2B135CAF" w14:textId="77777777" w:rsidR="00DC1A4C" w:rsidRPr="00E60AE4" w:rsidRDefault="00DC1A4C" w:rsidP="005E1263">
      <w:pPr>
        <w:spacing w:line="264" w:lineRule="auto"/>
        <w:rPr>
          <w:rFonts w:ascii="Arial Narrow" w:hAnsi="Arial Narrow"/>
          <w:sz w:val="26"/>
          <w:szCs w:val="26"/>
        </w:rPr>
      </w:pPr>
    </w:p>
    <w:p w14:paraId="20D77839" w14:textId="09E969BE" w:rsidR="005F36F2" w:rsidRDefault="005F36F2" w:rsidP="005E1263">
      <w:pPr>
        <w:spacing w:line="264" w:lineRule="auto"/>
        <w:rPr>
          <w:rFonts w:ascii="Arial Narrow" w:hAnsi="Arial Narrow"/>
          <w:sz w:val="26"/>
          <w:szCs w:val="26"/>
        </w:rPr>
      </w:pPr>
    </w:p>
    <w:p w14:paraId="5A8A485B" w14:textId="77777777" w:rsidR="00E60AE4" w:rsidRPr="00E60AE4" w:rsidRDefault="00E60AE4" w:rsidP="005E1263">
      <w:pPr>
        <w:spacing w:line="264" w:lineRule="auto"/>
        <w:rPr>
          <w:rFonts w:ascii="Arial Narrow" w:hAnsi="Arial Narrow"/>
          <w:sz w:val="26"/>
          <w:szCs w:val="26"/>
        </w:rPr>
      </w:pPr>
    </w:p>
    <w:p w14:paraId="052BE399" w14:textId="77777777" w:rsidR="00B12296" w:rsidRPr="00E60AE4" w:rsidRDefault="00B12296" w:rsidP="005E1263">
      <w:pPr>
        <w:spacing w:line="264" w:lineRule="auto"/>
        <w:jc w:val="center"/>
        <w:rPr>
          <w:rFonts w:ascii="Arial Narrow" w:hAnsi="Arial Narrow" w:cs="Arial"/>
          <w:b/>
          <w:bCs/>
          <w:sz w:val="26"/>
          <w:szCs w:val="26"/>
        </w:rPr>
      </w:pPr>
      <w:r w:rsidRPr="00E60AE4">
        <w:rPr>
          <w:rFonts w:ascii="Arial Narrow" w:hAnsi="Arial Narrow" w:cs="Arial"/>
          <w:b/>
          <w:bCs/>
          <w:sz w:val="26"/>
          <w:szCs w:val="26"/>
        </w:rPr>
        <w:t>CARLOS MAURICIO GARCÍA BARAJAS</w:t>
      </w:r>
    </w:p>
    <w:p w14:paraId="7FC72398" w14:textId="77777777" w:rsidR="00B12296" w:rsidRPr="00E60AE4" w:rsidRDefault="00B12296" w:rsidP="005E1263">
      <w:pPr>
        <w:spacing w:line="264" w:lineRule="auto"/>
        <w:rPr>
          <w:rFonts w:ascii="Arial Narrow" w:hAnsi="Arial Narrow" w:cs="Arial"/>
          <w:b/>
          <w:bCs/>
          <w:sz w:val="26"/>
          <w:szCs w:val="26"/>
        </w:rPr>
      </w:pPr>
    </w:p>
    <w:p w14:paraId="15AD7535" w14:textId="0606BCF4" w:rsidR="005F36F2" w:rsidRDefault="005F36F2" w:rsidP="005E1263">
      <w:pPr>
        <w:spacing w:line="264" w:lineRule="auto"/>
        <w:rPr>
          <w:rFonts w:ascii="Arial Narrow" w:hAnsi="Arial Narrow" w:cs="Arial"/>
          <w:b/>
          <w:bCs/>
          <w:sz w:val="26"/>
          <w:szCs w:val="26"/>
        </w:rPr>
      </w:pPr>
    </w:p>
    <w:p w14:paraId="4B8B93B6" w14:textId="77777777" w:rsidR="00E60AE4" w:rsidRPr="00E60AE4" w:rsidRDefault="00E60AE4" w:rsidP="005E1263">
      <w:pPr>
        <w:spacing w:line="264" w:lineRule="auto"/>
        <w:rPr>
          <w:rFonts w:ascii="Arial Narrow" w:hAnsi="Arial Narrow" w:cs="Arial"/>
          <w:b/>
          <w:bCs/>
          <w:sz w:val="26"/>
          <w:szCs w:val="26"/>
        </w:rPr>
      </w:pPr>
    </w:p>
    <w:p w14:paraId="3A7636D0" w14:textId="77777777" w:rsidR="00B12296" w:rsidRPr="00E60AE4" w:rsidRDefault="00B12296" w:rsidP="005E1263">
      <w:pPr>
        <w:spacing w:line="264" w:lineRule="auto"/>
        <w:jc w:val="center"/>
        <w:rPr>
          <w:rFonts w:ascii="Arial Narrow" w:hAnsi="Arial Narrow" w:cs="Arial"/>
          <w:b/>
          <w:bCs/>
          <w:sz w:val="26"/>
          <w:szCs w:val="26"/>
        </w:rPr>
      </w:pPr>
      <w:r w:rsidRPr="00E60AE4">
        <w:rPr>
          <w:rFonts w:ascii="Arial Narrow" w:hAnsi="Arial Narrow" w:cs="Arial"/>
          <w:b/>
          <w:bCs/>
          <w:sz w:val="26"/>
          <w:szCs w:val="26"/>
        </w:rPr>
        <w:t>DUBERNEY GRISALES HERRERA</w:t>
      </w:r>
    </w:p>
    <w:p w14:paraId="6421AB1E" w14:textId="77777777" w:rsidR="00B12296" w:rsidRPr="00E60AE4" w:rsidRDefault="00B12296" w:rsidP="005E1263">
      <w:pPr>
        <w:spacing w:line="264" w:lineRule="auto"/>
        <w:rPr>
          <w:rFonts w:ascii="Arial Narrow" w:hAnsi="Arial Narrow" w:cs="Arial"/>
          <w:b/>
          <w:bCs/>
          <w:sz w:val="26"/>
          <w:szCs w:val="26"/>
        </w:rPr>
      </w:pPr>
    </w:p>
    <w:p w14:paraId="7AAE8AC4" w14:textId="44AE9A5D" w:rsidR="005F36F2" w:rsidRDefault="005F36F2" w:rsidP="005E1263">
      <w:pPr>
        <w:spacing w:line="264" w:lineRule="auto"/>
        <w:rPr>
          <w:rFonts w:ascii="Arial Narrow" w:hAnsi="Arial Narrow" w:cs="Arial"/>
          <w:b/>
          <w:bCs/>
          <w:sz w:val="26"/>
          <w:szCs w:val="26"/>
        </w:rPr>
      </w:pPr>
    </w:p>
    <w:p w14:paraId="7964B52D" w14:textId="77777777" w:rsidR="00E60AE4" w:rsidRPr="00E60AE4" w:rsidRDefault="00E60AE4" w:rsidP="005E1263">
      <w:pPr>
        <w:spacing w:line="264" w:lineRule="auto"/>
        <w:rPr>
          <w:rFonts w:ascii="Arial Narrow" w:hAnsi="Arial Narrow" w:cs="Arial"/>
          <w:b/>
          <w:bCs/>
          <w:sz w:val="26"/>
          <w:szCs w:val="26"/>
        </w:rPr>
      </w:pPr>
    </w:p>
    <w:p w14:paraId="150E7E7C" w14:textId="77777777" w:rsidR="00A84B86" w:rsidRPr="00E60AE4" w:rsidRDefault="00B12296" w:rsidP="005E1263">
      <w:pPr>
        <w:spacing w:line="264" w:lineRule="auto"/>
        <w:jc w:val="center"/>
        <w:rPr>
          <w:rFonts w:ascii="Arial Narrow" w:hAnsi="Arial Narrow"/>
          <w:sz w:val="26"/>
          <w:szCs w:val="26"/>
        </w:rPr>
      </w:pPr>
      <w:r w:rsidRPr="00E60AE4">
        <w:rPr>
          <w:rFonts w:ascii="Arial Narrow" w:hAnsi="Arial Narrow" w:cs="Arial"/>
          <w:b/>
          <w:bCs/>
          <w:sz w:val="26"/>
          <w:szCs w:val="26"/>
        </w:rPr>
        <w:t>EDDER JIMMY SÁNCHEZ CALAMBÁS</w:t>
      </w:r>
    </w:p>
    <w:sectPr w:rsidR="00A84B86" w:rsidRPr="00E60AE4" w:rsidSect="005E1263">
      <w:headerReference w:type="default" r:id="rId11"/>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DEC4" w14:textId="77777777" w:rsidR="005B3C29" w:rsidRDefault="005B3C29" w:rsidP="00DC1A4C">
      <w:r>
        <w:separator/>
      </w:r>
    </w:p>
  </w:endnote>
  <w:endnote w:type="continuationSeparator" w:id="0">
    <w:p w14:paraId="39A4A533" w14:textId="77777777" w:rsidR="005B3C29" w:rsidRDefault="005B3C29" w:rsidP="00D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2CF4" w14:textId="77777777" w:rsidR="005B3C29" w:rsidRDefault="005B3C29" w:rsidP="00DC1A4C">
      <w:r>
        <w:separator/>
      </w:r>
    </w:p>
  </w:footnote>
  <w:footnote w:type="continuationSeparator" w:id="0">
    <w:p w14:paraId="18454606" w14:textId="77777777" w:rsidR="005B3C29" w:rsidRDefault="005B3C29" w:rsidP="00DC1A4C">
      <w:r>
        <w:continuationSeparator/>
      </w:r>
    </w:p>
  </w:footnote>
  <w:footnote w:id="1">
    <w:p w14:paraId="2FF9F857" w14:textId="77777777" w:rsidR="00374D4E" w:rsidRPr="00E60AE4" w:rsidRDefault="00374D4E" w:rsidP="00E60AE4">
      <w:pPr>
        <w:pStyle w:val="Textonotapie"/>
        <w:rPr>
          <w:rFonts w:ascii="Arial" w:hAnsi="Arial" w:cs="Arial"/>
          <w:sz w:val="18"/>
          <w:szCs w:val="16"/>
        </w:rPr>
      </w:pPr>
      <w:r w:rsidRPr="00E60AE4">
        <w:rPr>
          <w:rStyle w:val="Refdenotaalpie"/>
          <w:rFonts w:ascii="Arial" w:hAnsi="Arial" w:cs="Arial"/>
          <w:sz w:val="18"/>
          <w:szCs w:val="16"/>
        </w:rPr>
        <w:footnoteRef/>
      </w:r>
      <w:r w:rsidRPr="00E60AE4">
        <w:rPr>
          <w:rFonts w:ascii="Arial" w:hAnsi="Arial" w:cs="Arial"/>
          <w:sz w:val="18"/>
          <w:szCs w:val="16"/>
        </w:rPr>
        <w:t xml:space="preserve"> Archivo 02 cuaderno de primera instancia</w:t>
      </w:r>
    </w:p>
  </w:footnote>
  <w:footnote w:id="2">
    <w:p w14:paraId="23B8DDA0" w14:textId="77777777" w:rsidR="004B0589" w:rsidRPr="00E60AE4" w:rsidRDefault="004B0589" w:rsidP="00E60AE4">
      <w:pPr>
        <w:pStyle w:val="Textonotapie"/>
        <w:rPr>
          <w:rFonts w:ascii="Arial" w:hAnsi="Arial" w:cs="Arial"/>
          <w:sz w:val="18"/>
          <w:szCs w:val="16"/>
        </w:rPr>
      </w:pPr>
      <w:r w:rsidRPr="00E60AE4">
        <w:rPr>
          <w:rStyle w:val="Refdenotaalpie"/>
          <w:rFonts w:ascii="Arial" w:hAnsi="Arial" w:cs="Arial"/>
          <w:sz w:val="18"/>
          <w:szCs w:val="16"/>
        </w:rPr>
        <w:footnoteRef/>
      </w:r>
      <w:r w:rsidRPr="00E60AE4">
        <w:rPr>
          <w:rFonts w:ascii="Arial" w:hAnsi="Arial" w:cs="Arial"/>
          <w:sz w:val="18"/>
          <w:szCs w:val="16"/>
        </w:rPr>
        <w:t xml:space="preserve"> Archivo 05 cuaderno de primera instancia</w:t>
      </w:r>
    </w:p>
  </w:footnote>
  <w:footnote w:id="3">
    <w:p w14:paraId="061B0990" w14:textId="77777777" w:rsidR="00125F31" w:rsidRPr="00E60AE4" w:rsidRDefault="00125F31" w:rsidP="00E60AE4">
      <w:pPr>
        <w:pStyle w:val="Textonotapie"/>
        <w:rPr>
          <w:rFonts w:ascii="Arial" w:hAnsi="Arial" w:cs="Arial"/>
          <w:sz w:val="18"/>
          <w:szCs w:val="16"/>
        </w:rPr>
      </w:pPr>
      <w:r w:rsidRPr="00E60AE4">
        <w:rPr>
          <w:rStyle w:val="Refdenotaalpie"/>
          <w:rFonts w:ascii="Arial" w:hAnsi="Arial" w:cs="Arial"/>
          <w:sz w:val="18"/>
          <w:szCs w:val="16"/>
        </w:rPr>
        <w:footnoteRef/>
      </w:r>
      <w:r w:rsidRPr="00E60AE4">
        <w:rPr>
          <w:rFonts w:ascii="Arial" w:hAnsi="Arial" w:cs="Arial"/>
          <w:sz w:val="18"/>
          <w:szCs w:val="16"/>
        </w:rPr>
        <w:t xml:space="preserve"> </w:t>
      </w:r>
      <w:r w:rsidR="00F063F7" w:rsidRPr="00E60AE4">
        <w:rPr>
          <w:rFonts w:ascii="Arial" w:hAnsi="Arial" w:cs="Arial"/>
          <w:sz w:val="18"/>
          <w:szCs w:val="16"/>
        </w:rPr>
        <w:t xml:space="preserve">Archivo 11 </w:t>
      </w:r>
      <w:r w:rsidR="001E157C" w:rsidRPr="00E60AE4">
        <w:rPr>
          <w:rFonts w:ascii="Arial" w:hAnsi="Arial" w:cs="Arial"/>
          <w:sz w:val="18"/>
          <w:szCs w:val="16"/>
        </w:rPr>
        <w:t>cuaderno de primera instancia.</w:t>
      </w:r>
    </w:p>
  </w:footnote>
  <w:footnote w:id="4">
    <w:p w14:paraId="564A82E6" w14:textId="77777777" w:rsidR="00125F31" w:rsidRPr="00E60AE4" w:rsidRDefault="00125F31" w:rsidP="00E60AE4">
      <w:pPr>
        <w:pStyle w:val="Textonotapie"/>
        <w:rPr>
          <w:rFonts w:ascii="Arial" w:hAnsi="Arial" w:cs="Arial"/>
          <w:sz w:val="18"/>
          <w:szCs w:val="16"/>
        </w:rPr>
      </w:pPr>
      <w:r w:rsidRPr="00E60AE4">
        <w:rPr>
          <w:rStyle w:val="Refdenotaalpie"/>
          <w:rFonts w:ascii="Arial" w:hAnsi="Arial" w:cs="Arial"/>
          <w:sz w:val="18"/>
          <w:szCs w:val="16"/>
        </w:rPr>
        <w:footnoteRef/>
      </w:r>
      <w:r w:rsidRPr="00E60AE4">
        <w:rPr>
          <w:rFonts w:ascii="Arial" w:hAnsi="Arial" w:cs="Arial"/>
          <w:sz w:val="18"/>
          <w:szCs w:val="16"/>
        </w:rPr>
        <w:t xml:space="preserve"> Archivo 1</w:t>
      </w:r>
      <w:r w:rsidR="00C932B7" w:rsidRPr="00E60AE4">
        <w:rPr>
          <w:rFonts w:ascii="Arial" w:hAnsi="Arial" w:cs="Arial"/>
          <w:sz w:val="18"/>
          <w:szCs w:val="16"/>
        </w:rPr>
        <w:t>3</w:t>
      </w:r>
      <w:r w:rsidR="001E157C" w:rsidRPr="00E60AE4">
        <w:rPr>
          <w:rFonts w:ascii="Arial" w:hAnsi="Arial" w:cs="Arial"/>
          <w:sz w:val="18"/>
          <w:szCs w:val="16"/>
        </w:rPr>
        <w:t xml:space="preserve"> cuaderno de primera instancia.</w:t>
      </w:r>
    </w:p>
  </w:footnote>
  <w:footnote w:id="5">
    <w:p w14:paraId="038C8421" w14:textId="77777777" w:rsidR="00584FAF" w:rsidRPr="00E60AE4" w:rsidRDefault="00584FAF" w:rsidP="00E60AE4">
      <w:pPr>
        <w:overflowPunct/>
        <w:rPr>
          <w:rFonts w:ascii="Arial" w:eastAsiaTheme="minorHAnsi" w:hAnsi="Arial" w:cs="Arial"/>
          <w:bCs/>
          <w:sz w:val="18"/>
          <w:szCs w:val="16"/>
          <w:lang w:val="es-CO" w:eastAsia="en-US"/>
        </w:rPr>
      </w:pPr>
      <w:r w:rsidRPr="00E60AE4">
        <w:rPr>
          <w:rStyle w:val="Refdenotaalpie"/>
          <w:rFonts w:ascii="Arial" w:hAnsi="Arial" w:cs="Arial"/>
          <w:sz w:val="18"/>
          <w:szCs w:val="16"/>
        </w:rPr>
        <w:footnoteRef/>
      </w:r>
      <w:r w:rsidRPr="00E60AE4">
        <w:rPr>
          <w:rFonts w:ascii="Arial" w:hAnsi="Arial" w:cs="Arial"/>
          <w:sz w:val="18"/>
          <w:szCs w:val="16"/>
        </w:rPr>
        <w:t xml:space="preserve"> Sentencia </w:t>
      </w:r>
      <w:r w:rsidRPr="00E60AE4">
        <w:rPr>
          <w:rFonts w:ascii="Arial" w:eastAsiaTheme="minorHAnsi" w:hAnsi="Arial" w:cs="Arial"/>
          <w:bCs/>
          <w:sz w:val="18"/>
          <w:szCs w:val="16"/>
          <w:lang w:val="es-CO" w:eastAsia="en-US"/>
        </w:rPr>
        <w:t xml:space="preserve">STC7561-2021del </w:t>
      </w:r>
      <w:r w:rsidRPr="00E60AE4">
        <w:rPr>
          <w:rFonts w:ascii="Arial" w:eastAsiaTheme="minorHAnsi" w:hAnsi="Arial" w:cs="Arial"/>
          <w:sz w:val="18"/>
          <w:szCs w:val="16"/>
          <w:lang w:val="es-CO" w:eastAsia="en-US"/>
        </w:rPr>
        <w:t xml:space="preserve">23 de junio de 2021, M.P. </w:t>
      </w:r>
      <w:r w:rsidR="00201AC9" w:rsidRPr="00E60AE4">
        <w:rPr>
          <w:rFonts w:ascii="Arial" w:eastAsiaTheme="minorHAnsi" w:hAnsi="Arial" w:cs="Arial"/>
          <w:bCs/>
          <w:sz w:val="18"/>
          <w:szCs w:val="16"/>
          <w:lang w:val="es-CO" w:eastAsia="en-US"/>
        </w:rPr>
        <w:t>Álvaro Fernando García Restrepo</w:t>
      </w:r>
      <w:r w:rsidRPr="00E60AE4">
        <w:rPr>
          <w:rFonts w:ascii="Arial" w:eastAsiaTheme="minorHAnsi" w:hAnsi="Arial" w:cs="Arial"/>
          <w:bCs/>
          <w:sz w:val="18"/>
          <w:szCs w:val="16"/>
          <w:lang w:val="es-CO" w:eastAsia="en-US"/>
        </w:rPr>
        <w:t>, radicado No. 66001-22-13-000-2021-00145-01</w:t>
      </w:r>
    </w:p>
  </w:footnote>
  <w:footnote w:id="6">
    <w:p w14:paraId="40B59FE8" w14:textId="77777777" w:rsidR="00C01175" w:rsidRPr="00E60AE4" w:rsidRDefault="00C01175" w:rsidP="00E60AE4">
      <w:pPr>
        <w:pStyle w:val="Textonotapie"/>
        <w:rPr>
          <w:rFonts w:ascii="Arial" w:hAnsi="Arial" w:cs="Arial"/>
          <w:sz w:val="18"/>
          <w:szCs w:val="16"/>
        </w:rPr>
      </w:pPr>
      <w:r w:rsidRPr="00E60AE4">
        <w:rPr>
          <w:rStyle w:val="Refdenotaalpie"/>
          <w:rFonts w:ascii="Arial" w:hAnsi="Arial" w:cs="Arial"/>
          <w:sz w:val="18"/>
          <w:szCs w:val="16"/>
        </w:rPr>
        <w:footnoteRef/>
      </w:r>
      <w:r w:rsidR="00E5616B" w:rsidRPr="00E60AE4">
        <w:rPr>
          <w:rFonts w:ascii="Arial" w:hAnsi="Arial" w:cs="Arial"/>
          <w:sz w:val="18"/>
          <w:szCs w:val="16"/>
        </w:rPr>
        <w:t xml:space="preserve"> Documento 04 del archivo 12</w:t>
      </w:r>
      <w:r w:rsidRPr="00E60AE4">
        <w:rPr>
          <w:rFonts w:ascii="Arial" w:hAnsi="Arial" w:cs="Arial"/>
          <w:sz w:val="18"/>
          <w:szCs w:val="16"/>
        </w:rPr>
        <w:t xml:space="preserve"> del cuaderno de primera instancia</w:t>
      </w:r>
    </w:p>
  </w:footnote>
  <w:footnote w:id="7">
    <w:p w14:paraId="12C470C9" w14:textId="77777777" w:rsidR="00C01175" w:rsidRPr="00E60AE4" w:rsidRDefault="00C01175" w:rsidP="00E60AE4">
      <w:pPr>
        <w:pStyle w:val="Textonotapie"/>
        <w:rPr>
          <w:rFonts w:ascii="Arial" w:hAnsi="Arial" w:cs="Arial"/>
          <w:sz w:val="18"/>
          <w:szCs w:val="16"/>
        </w:rPr>
      </w:pPr>
      <w:r w:rsidRPr="00E60AE4">
        <w:rPr>
          <w:rStyle w:val="Refdenotaalpie"/>
          <w:rFonts w:ascii="Arial" w:hAnsi="Arial" w:cs="Arial"/>
          <w:sz w:val="18"/>
          <w:szCs w:val="16"/>
        </w:rPr>
        <w:footnoteRef/>
      </w:r>
      <w:r w:rsidR="00E5616B" w:rsidRPr="00E60AE4">
        <w:rPr>
          <w:rFonts w:ascii="Arial" w:hAnsi="Arial" w:cs="Arial"/>
          <w:sz w:val="18"/>
          <w:szCs w:val="16"/>
        </w:rPr>
        <w:t xml:space="preserve"> Documento 07 del archivo 12</w:t>
      </w:r>
      <w:r w:rsidRPr="00E60AE4">
        <w:rPr>
          <w:rFonts w:ascii="Arial" w:hAnsi="Arial" w:cs="Arial"/>
          <w:sz w:val="18"/>
          <w:szCs w:val="16"/>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D902" w14:textId="495A89C1" w:rsidR="007739D1" w:rsidRPr="008E700C" w:rsidRDefault="008E700C" w:rsidP="007739D1">
    <w:pPr>
      <w:pStyle w:val="Encabezado"/>
      <w:rPr>
        <w:rFonts w:ascii="Arial" w:eastAsiaTheme="minorHAnsi" w:hAnsi="Arial" w:cs="Arial"/>
        <w:bCs/>
        <w:sz w:val="18"/>
        <w:szCs w:val="18"/>
        <w:lang w:val="es-CO" w:eastAsia="en-US"/>
      </w:rPr>
    </w:pPr>
    <w:r w:rsidRPr="008E700C">
      <w:rPr>
        <w:rFonts w:ascii="Arial" w:hAnsi="Arial" w:cs="Arial"/>
        <w:sz w:val="18"/>
        <w:szCs w:val="18"/>
      </w:rPr>
      <w:t>Acción de tutela</w:t>
    </w:r>
    <w:r w:rsidRPr="008E700C">
      <w:rPr>
        <w:rFonts w:ascii="Arial" w:hAnsi="Arial" w:cs="Arial"/>
        <w:bCs/>
        <w:sz w:val="18"/>
        <w:szCs w:val="18"/>
      </w:rPr>
      <w:t xml:space="preserve"> </w:t>
    </w:r>
  </w:p>
  <w:p w14:paraId="6DC5FBC2" w14:textId="6EEC096E" w:rsidR="000B1ED7" w:rsidRPr="00E60AE4" w:rsidRDefault="00E60AE4">
    <w:pPr>
      <w:pStyle w:val="Encabezado"/>
      <w:rPr>
        <w:rFonts w:ascii="Arial" w:hAnsi="Arial" w:cs="Arial"/>
        <w:sz w:val="18"/>
        <w:szCs w:val="18"/>
      </w:rPr>
    </w:pPr>
    <w:r w:rsidRPr="00E60AE4">
      <w:rPr>
        <w:rFonts w:ascii="Arial" w:hAnsi="Arial" w:cs="Arial"/>
        <w:sz w:val="18"/>
        <w:szCs w:val="18"/>
      </w:rPr>
      <w:t>Rad</w:t>
    </w:r>
    <w:r w:rsidR="004137C2" w:rsidRPr="00E60AE4">
      <w:rPr>
        <w:rFonts w:ascii="Arial" w:hAnsi="Arial" w:cs="Arial"/>
        <w:sz w:val="18"/>
        <w:szCs w:val="18"/>
      </w:rPr>
      <w:t xml:space="preserve">. </w:t>
    </w:r>
    <w:r w:rsidR="008E700C" w:rsidRPr="00E60AE4">
      <w:rPr>
        <w:rFonts w:ascii="Arial" w:hAnsi="Arial" w:cs="Arial"/>
        <w:sz w:val="18"/>
        <w:szCs w:val="18"/>
      </w:rPr>
      <w:t>único</w:t>
    </w:r>
    <w:r w:rsidR="004137C2" w:rsidRPr="00E60AE4">
      <w:rPr>
        <w:rFonts w:ascii="Arial" w:hAnsi="Arial" w:cs="Arial"/>
        <w:sz w:val="18"/>
        <w:szCs w:val="18"/>
      </w:rPr>
      <w:t>:  660012213000202100</w:t>
    </w:r>
    <w:r w:rsidR="00E75C3D" w:rsidRPr="00E60AE4">
      <w:rPr>
        <w:rFonts w:ascii="Arial" w:hAnsi="Arial" w:cs="Arial"/>
        <w:sz w:val="18"/>
        <w:szCs w:val="18"/>
      </w:rPr>
      <w:t>313</w:t>
    </w:r>
    <w:r w:rsidR="004137C2" w:rsidRPr="00E60AE4">
      <w:rPr>
        <w:rFonts w:ascii="Arial" w:hAnsi="Arial" w:cs="Arial"/>
        <w:sz w:val="18"/>
        <w:szCs w:val="18"/>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C"/>
    <w:rsid w:val="000073ED"/>
    <w:rsid w:val="00007C6B"/>
    <w:rsid w:val="000314A6"/>
    <w:rsid w:val="000602F3"/>
    <w:rsid w:val="00072B01"/>
    <w:rsid w:val="00073B7E"/>
    <w:rsid w:val="00075A8E"/>
    <w:rsid w:val="00081D59"/>
    <w:rsid w:val="0009119D"/>
    <w:rsid w:val="000B1ED7"/>
    <w:rsid w:val="000B22B4"/>
    <w:rsid w:val="000B6B7A"/>
    <w:rsid w:val="000D3226"/>
    <w:rsid w:val="000F47C0"/>
    <w:rsid w:val="000F748F"/>
    <w:rsid w:val="00102CF8"/>
    <w:rsid w:val="00106807"/>
    <w:rsid w:val="00125F31"/>
    <w:rsid w:val="00132A3C"/>
    <w:rsid w:val="001374D1"/>
    <w:rsid w:val="0014275C"/>
    <w:rsid w:val="00150450"/>
    <w:rsid w:val="00173BA2"/>
    <w:rsid w:val="00194518"/>
    <w:rsid w:val="001A0EF4"/>
    <w:rsid w:val="001D777D"/>
    <w:rsid w:val="001E157C"/>
    <w:rsid w:val="00201AC9"/>
    <w:rsid w:val="00207569"/>
    <w:rsid w:val="002320DE"/>
    <w:rsid w:val="00263C50"/>
    <w:rsid w:val="00283843"/>
    <w:rsid w:val="002A5B1D"/>
    <w:rsid w:val="002C1099"/>
    <w:rsid w:val="00310401"/>
    <w:rsid w:val="0032671F"/>
    <w:rsid w:val="00331596"/>
    <w:rsid w:val="00357BF4"/>
    <w:rsid w:val="00374D4E"/>
    <w:rsid w:val="00390B74"/>
    <w:rsid w:val="003A64F9"/>
    <w:rsid w:val="003B46CD"/>
    <w:rsid w:val="003D1279"/>
    <w:rsid w:val="003E1D81"/>
    <w:rsid w:val="0040788B"/>
    <w:rsid w:val="00412DF3"/>
    <w:rsid w:val="004137C2"/>
    <w:rsid w:val="00416AE1"/>
    <w:rsid w:val="00432710"/>
    <w:rsid w:val="00444644"/>
    <w:rsid w:val="00451629"/>
    <w:rsid w:val="004747F8"/>
    <w:rsid w:val="004B0589"/>
    <w:rsid w:val="004B6DA7"/>
    <w:rsid w:val="004C2BD4"/>
    <w:rsid w:val="004F5254"/>
    <w:rsid w:val="00532435"/>
    <w:rsid w:val="0054552E"/>
    <w:rsid w:val="00546AD2"/>
    <w:rsid w:val="00571B38"/>
    <w:rsid w:val="0057362E"/>
    <w:rsid w:val="0058029B"/>
    <w:rsid w:val="00584FAF"/>
    <w:rsid w:val="005B3C29"/>
    <w:rsid w:val="005D12C1"/>
    <w:rsid w:val="005D1EF5"/>
    <w:rsid w:val="005D213B"/>
    <w:rsid w:val="005E1263"/>
    <w:rsid w:val="005F36F2"/>
    <w:rsid w:val="00614743"/>
    <w:rsid w:val="00622F60"/>
    <w:rsid w:val="00654BF6"/>
    <w:rsid w:val="006616C2"/>
    <w:rsid w:val="00692AD3"/>
    <w:rsid w:val="006A25BD"/>
    <w:rsid w:val="006A697F"/>
    <w:rsid w:val="006B0A3C"/>
    <w:rsid w:val="007012EB"/>
    <w:rsid w:val="00726A60"/>
    <w:rsid w:val="00772D3D"/>
    <w:rsid w:val="00787E2C"/>
    <w:rsid w:val="007A34F7"/>
    <w:rsid w:val="007B05D4"/>
    <w:rsid w:val="007D7D3D"/>
    <w:rsid w:val="008053D4"/>
    <w:rsid w:val="00812D6B"/>
    <w:rsid w:val="008131D3"/>
    <w:rsid w:val="0083339B"/>
    <w:rsid w:val="008704F7"/>
    <w:rsid w:val="008A7635"/>
    <w:rsid w:val="008C2F34"/>
    <w:rsid w:val="008E700C"/>
    <w:rsid w:val="009152F1"/>
    <w:rsid w:val="00916E72"/>
    <w:rsid w:val="0095337D"/>
    <w:rsid w:val="0095421A"/>
    <w:rsid w:val="009553C9"/>
    <w:rsid w:val="0098212A"/>
    <w:rsid w:val="009970C8"/>
    <w:rsid w:val="00997B37"/>
    <w:rsid w:val="009A0440"/>
    <w:rsid w:val="009B7F84"/>
    <w:rsid w:val="009E03A6"/>
    <w:rsid w:val="009E693B"/>
    <w:rsid w:val="00A16C2E"/>
    <w:rsid w:val="00A73F29"/>
    <w:rsid w:val="00AC4C37"/>
    <w:rsid w:val="00B12296"/>
    <w:rsid w:val="00B14651"/>
    <w:rsid w:val="00B26E35"/>
    <w:rsid w:val="00B83776"/>
    <w:rsid w:val="00B92C6A"/>
    <w:rsid w:val="00BB61F8"/>
    <w:rsid w:val="00BC110F"/>
    <w:rsid w:val="00BD4F6B"/>
    <w:rsid w:val="00BE186C"/>
    <w:rsid w:val="00BF00A5"/>
    <w:rsid w:val="00C01175"/>
    <w:rsid w:val="00C01E73"/>
    <w:rsid w:val="00C02A08"/>
    <w:rsid w:val="00C0631A"/>
    <w:rsid w:val="00C436BE"/>
    <w:rsid w:val="00C75E16"/>
    <w:rsid w:val="00C8002C"/>
    <w:rsid w:val="00C84970"/>
    <w:rsid w:val="00C932B7"/>
    <w:rsid w:val="00CD4D5F"/>
    <w:rsid w:val="00CD5769"/>
    <w:rsid w:val="00CF3477"/>
    <w:rsid w:val="00D37A1C"/>
    <w:rsid w:val="00D40E2B"/>
    <w:rsid w:val="00D7130D"/>
    <w:rsid w:val="00DB0C63"/>
    <w:rsid w:val="00DB2D04"/>
    <w:rsid w:val="00DC00A0"/>
    <w:rsid w:val="00DC1A4C"/>
    <w:rsid w:val="00E11E06"/>
    <w:rsid w:val="00E37514"/>
    <w:rsid w:val="00E456F2"/>
    <w:rsid w:val="00E5616B"/>
    <w:rsid w:val="00E603F0"/>
    <w:rsid w:val="00E60AE4"/>
    <w:rsid w:val="00E7014D"/>
    <w:rsid w:val="00E70373"/>
    <w:rsid w:val="00E75C3D"/>
    <w:rsid w:val="00E87771"/>
    <w:rsid w:val="00E92161"/>
    <w:rsid w:val="00EA02B6"/>
    <w:rsid w:val="00F063F7"/>
    <w:rsid w:val="00F1000F"/>
    <w:rsid w:val="00F7565C"/>
    <w:rsid w:val="00F75806"/>
    <w:rsid w:val="00F81927"/>
    <w:rsid w:val="00F86631"/>
    <w:rsid w:val="00FA4524"/>
    <w:rsid w:val="00FA741E"/>
    <w:rsid w:val="00FB0D0D"/>
    <w:rsid w:val="00FB153C"/>
    <w:rsid w:val="00FF62C2"/>
    <w:rsid w:val="02B8B10C"/>
    <w:rsid w:val="095D26C1"/>
    <w:rsid w:val="13650FF5"/>
    <w:rsid w:val="1D726AC9"/>
    <w:rsid w:val="1E8216F2"/>
    <w:rsid w:val="24DD8E9C"/>
    <w:rsid w:val="324ED329"/>
    <w:rsid w:val="45E2729D"/>
    <w:rsid w:val="7103A7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66E"/>
  <w15:docId w15:val="{879FCAAB-0017-4C1D-A6D8-7F083D04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4C"/>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A4C"/>
    <w:rPr>
      <w:color w:val="0563C1" w:themeColor="hyperlink"/>
      <w:u w:val="single"/>
    </w:rPr>
  </w:style>
  <w:style w:type="character" w:customStyle="1" w:styleId="SinespaciadoCar">
    <w:name w:val="Sin espaciado Car"/>
    <w:link w:val="Sinespaciado"/>
    <w:uiPriority w:val="1"/>
    <w:locked/>
    <w:rsid w:val="00DC1A4C"/>
    <w:rPr>
      <w:rFonts w:ascii="Courier New" w:eastAsia="Times New Roman" w:hAnsi="Courier New" w:cs="Times New Roman"/>
      <w:lang w:val="es-ES" w:eastAsia="es-ES"/>
    </w:rPr>
  </w:style>
  <w:style w:type="paragraph" w:styleId="Sinespaciado">
    <w:name w:val="No Spacing"/>
    <w:link w:val="SinespaciadoCar"/>
    <w:uiPriority w:val="1"/>
    <w:qFormat/>
    <w:rsid w:val="00DC1A4C"/>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DC1A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C1A4C"/>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DC1A4C"/>
    <w:pPr>
      <w:tabs>
        <w:tab w:val="center" w:pos="4419"/>
        <w:tab w:val="right" w:pos="8838"/>
      </w:tabs>
    </w:pPr>
  </w:style>
  <w:style w:type="character" w:customStyle="1" w:styleId="EncabezadoCar">
    <w:name w:val="Encabezado Car"/>
    <w:basedOn w:val="Fuentedeprrafopredeter"/>
    <w:link w:val="Encabezado"/>
    <w:uiPriority w:val="99"/>
    <w:rsid w:val="00DC1A4C"/>
    <w:rPr>
      <w:rFonts w:ascii="Cambria Math" w:eastAsia="Cambria Math" w:hAnsi="Cambria Math" w:cs="Cambria Math"/>
      <w:sz w:val="20"/>
      <w:szCs w:val="20"/>
      <w:lang w:val="es-ES_tradnl" w:eastAsia="es-ES"/>
    </w:rPr>
  </w:style>
  <w:style w:type="paragraph" w:customStyle="1" w:styleId="Default">
    <w:name w:val="Default"/>
    <w:rsid w:val="00DC1A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DC1A4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DC1A4C"/>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DC1A4C"/>
    <w:pPr>
      <w:tabs>
        <w:tab w:val="center" w:pos="4419"/>
        <w:tab w:val="right" w:pos="8838"/>
      </w:tabs>
    </w:pPr>
  </w:style>
  <w:style w:type="character" w:customStyle="1" w:styleId="PiedepginaCar">
    <w:name w:val="Pie de página Car"/>
    <w:basedOn w:val="Fuentedeprrafopredeter"/>
    <w:link w:val="Piedepgina"/>
    <w:uiPriority w:val="99"/>
    <w:rsid w:val="00DC1A4C"/>
    <w:rPr>
      <w:rFonts w:ascii="Cambria Math" w:eastAsia="Cambria Math" w:hAnsi="Cambria Math" w:cs="Cambria Math"/>
      <w:sz w:val="20"/>
      <w:szCs w:val="20"/>
      <w:lang w:val="es-ES_tradnl" w:eastAsia="es-ES"/>
    </w:rPr>
  </w:style>
  <w:style w:type="paragraph" w:styleId="Textocomentario">
    <w:name w:val="annotation text"/>
    <w:basedOn w:val="Normal"/>
    <w:link w:val="TextocomentarioCar"/>
    <w:uiPriority w:val="99"/>
    <w:semiHidden/>
    <w:unhideWhenUsed/>
    <w:rsid w:val="0032671F"/>
  </w:style>
  <w:style w:type="character" w:customStyle="1" w:styleId="TextocomentarioCar">
    <w:name w:val="Texto comentario Car"/>
    <w:basedOn w:val="Fuentedeprrafopredeter"/>
    <w:link w:val="Textocomentario"/>
    <w:uiPriority w:val="99"/>
    <w:semiHidden/>
    <w:rsid w:val="0032671F"/>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2671F"/>
    <w:rPr>
      <w:sz w:val="16"/>
      <w:szCs w:val="16"/>
    </w:rPr>
  </w:style>
  <w:style w:type="paragraph" w:styleId="Textodeglobo">
    <w:name w:val="Balloon Text"/>
    <w:basedOn w:val="Normal"/>
    <w:link w:val="TextodegloboCar"/>
    <w:unhideWhenUsed/>
    <w:rsid w:val="00DB2D04"/>
    <w:rPr>
      <w:rFonts w:ascii="Tahoma" w:hAnsi="Tahoma" w:cs="Tahoma"/>
      <w:sz w:val="16"/>
      <w:szCs w:val="16"/>
    </w:rPr>
  </w:style>
  <w:style w:type="character" w:customStyle="1" w:styleId="TextodegloboCar">
    <w:name w:val="Texto de globo Car"/>
    <w:basedOn w:val="Fuentedeprrafopredeter"/>
    <w:link w:val="Textodeglobo"/>
    <w:rsid w:val="00DB2D04"/>
    <w:rPr>
      <w:rFonts w:ascii="Tahoma" w:eastAsia="Cambria Math"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57AB-0691-4F73-A809-3B0FD74C0FA6}">
  <ds:schemaRefs>
    <ds:schemaRef ds:uri="http://schemas.microsoft.com/sharepoint/v3/contenttype/forms"/>
  </ds:schemaRefs>
</ds:datastoreItem>
</file>

<file path=customXml/itemProps2.xml><?xml version="1.0" encoding="utf-8"?>
<ds:datastoreItem xmlns:ds="http://schemas.openxmlformats.org/officeDocument/2006/customXml" ds:itemID="{01C03AE8-8133-47AE-A8C8-39B0EBDF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26CDE-3934-439B-9530-C053A03C2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B215B-1EC6-4C2C-AD05-87C8B75A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1737</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20</cp:revision>
  <dcterms:created xsi:type="dcterms:W3CDTF">2021-08-19T16:36:00Z</dcterms:created>
  <dcterms:modified xsi:type="dcterms:W3CDTF">2021-09-22T14:20:00Z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