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56E04" w14:textId="77777777" w:rsidR="00796F2A" w:rsidRPr="00796F2A" w:rsidRDefault="00796F2A" w:rsidP="00796F2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796F2A">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B8A4960" w14:textId="77777777" w:rsidR="00796F2A" w:rsidRPr="00796F2A" w:rsidRDefault="00796F2A" w:rsidP="00796F2A">
      <w:pPr>
        <w:jc w:val="both"/>
        <w:rPr>
          <w:rFonts w:ascii="Arial" w:hAnsi="Arial" w:cs="Arial"/>
          <w:sz w:val="20"/>
          <w:szCs w:val="20"/>
          <w:lang w:val="es-419"/>
        </w:rPr>
      </w:pPr>
    </w:p>
    <w:p w14:paraId="232DAB03" w14:textId="7895BD4E" w:rsidR="00796F2A" w:rsidRPr="00796F2A" w:rsidRDefault="001C74C5" w:rsidP="00796F2A">
      <w:pPr>
        <w:jc w:val="both"/>
        <w:rPr>
          <w:rFonts w:ascii="Arial" w:hAnsi="Arial" w:cs="Arial"/>
          <w:b/>
          <w:bCs/>
          <w:iCs/>
          <w:sz w:val="20"/>
          <w:szCs w:val="20"/>
          <w:lang w:val="es-419" w:eastAsia="fr-FR"/>
        </w:rPr>
      </w:pPr>
      <w:r w:rsidRPr="00796F2A">
        <w:rPr>
          <w:rFonts w:ascii="Arial" w:hAnsi="Arial" w:cs="Arial"/>
          <w:b/>
          <w:bCs/>
          <w:iCs/>
          <w:sz w:val="20"/>
          <w:szCs w:val="20"/>
          <w:u w:val="single"/>
          <w:lang w:val="es-419" w:eastAsia="fr-FR"/>
        </w:rPr>
        <w:t>TEMAS:</w:t>
      </w:r>
      <w:r w:rsidRPr="00796F2A">
        <w:rPr>
          <w:rFonts w:ascii="Arial" w:hAnsi="Arial" w:cs="Arial"/>
          <w:b/>
          <w:bCs/>
          <w:iCs/>
          <w:sz w:val="20"/>
          <w:szCs w:val="20"/>
          <w:lang w:val="es-419" w:eastAsia="fr-FR"/>
        </w:rPr>
        <w:tab/>
      </w:r>
      <w:r>
        <w:rPr>
          <w:rFonts w:ascii="Arial" w:hAnsi="Arial" w:cs="Arial"/>
          <w:b/>
          <w:bCs/>
          <w:iCs/>
          <w:sz w:val="20"/>
          <w:szCs w:val="20"/>
          <w:lang w:val="es-419" w:eastAsia="fr-FR"/>
        </w:rPr>
        <w:t>NULIDAD PROCESAL / INDEBIDA INTEGRACIÓN DEL CONTRADICTORIO / REVISIÓN CONTRATO DE MUTUO / LITISCONSORCIO NECESARIO / OBLIGACIÓN DEL JUEZ DE CITAR AL PROCESO A TODOS LOS INTERVINIENTES EN EL CONTRATO.</w:t>
      </w:r>
    </w:p>
    <w:p w14:paraId="2A066257" w14:textId="77777777" w:rsidR="00796F2A" w:rsidRPr="00796F2A" w:rsidRDefault="00796F2A" w:rsidP="00796F2A">
      <w:pPr>
        <w:jc w:val="both"/>
        <w:rPr>
          <w:rFonts w:ascii="Arial" w:hAnsi="Arial" w:cs="Arial"/>
          <w:sz w:val="20"/>
          <w:szCs w:val="20"/>
          <w:lang w:val="es-419"/>
        </w:rPr>
      </w:pPr>
    </w:p>
    <w:p w14:paraId="0A3258EE" w14:textId="77777777" w:rsidR="00E572F0" w:rsidRPr="00E572F0" w:rsidRDefault="00E572F0" w:rsidP="00E572F0">
      <w:pPr>
        <w:jc w:val="both"/>
        <w:rPr>
          <w:rFonts w:ascii="Arial" w:hAnsi="Arial" w:cs="Arial"/>
          <w:sz w:val="20"/>
          <w:szCs w:val="20"/>
          <w:lang w:val="es-419"/>
        </w:rPr>
      </w:pPr>
      <w:r w:rsidRPr="00E572F0">
        <w:rPr>
          <w:rFonts w:ascii="Arial" w:hAnsi="Arial" w:cs="Arial"/>
          <w:sz w:val="20"/>
          <w:szCs w:val="20"/>
          <w:lang w:val="es-419"/>
        </w:rPr>
        <w:t xml:space="preserve">Se lee del inciso inicial del artículo 83 del Código de Procedimiento Civil: </w:t>
      </w:r>
    </w:p>
    <w:p w14:paraId="488A5603" w14:textId="77777777" w:rsidR="00E572F0" w:rsidRPr="00E572F0" w:rsidRDefault="00E572F0" w:rsidP="00E572F0">
      <w:pPr>
        <w:jc w:val="both"/>
        <w:rPr>
          <w:rFonts w:ascii="Arial" w:hAnsi="Arial" w:cs="Arial"/>
          <w:sz w:val="20"/>
          <w:szCs w:val="20"/>
          <w:lang w:val="es-419"/>
        </w:rPr>
      </w:pPr>
    </w:p>
    <w:p w14:paraId="51F76BB0" w14:textId="7947C662" w:rsidR="00796F2A" w:rsidRPr="00796F2A" w:rsidRDefault="00E572F0" w:rsidP="00E572F0">
      <w:pPr>
        <w:jc w:val="both"/>
        <w:rPr>
          <w:rFonts w:ascii="Arial" w:hAnsi="Arial" w:cs="Arial"/>
          <w:sz w:val="20"/>
          <w:szCs w:val="20"/>
          <w:lang w:val="es-419"/>
        </w:rPr>
      </w:pPr>
      <w:r w:rsidRPr="00E572F0">
        <w:rPr>
          <w:rFonts w:ascii="Arial" w:hAnsi="Arial" w:cs="Arial"/>
          <w:sz w:val="20"/>
          <w:szCs w:val="20"/>
          <w:lang w:val="es-419"/>
        </w:rPr>
        <w:t>“Cuando el proceso verse sobre relaciones o actos jurídicos respecto de los cuales, por su naturaleza o por disposición legal, no fuere posible resolver de mérito sin la comparecencia de las personas que sean sujetos de tales relaciones o que intervinieron en dichos actos, la demanda deberá formularse por todas o dirigirse contra todas; si no se hiciere así, el juez en el auto que admite la demanda ordenará dar traslado de ésta a quienes falten para integrar el contradictorio</w:t>
      </w:r>
      <w:r>
        <w:rPr>
          <w:rFonts w:ascii="Arial" w:hAnsi="Arial" w:cs="Arial"/>
          <w:sz w:val="20"/>
          <w:szCs w:val="20"/>
          <w:lang w:val="es-419"/>
        </w:rPr>
        <w:t>…”</w:t>
      </w:r>
    </w:p>
    <w:p w14:paraId="1BEB0EBD" w14:textId="77777777" w:rsidR="00796F2A" w:rsidRPr="00796F2A" w:rsidRDefault="00796F2A" w:rsidP="00796F2A">
      <w:pPr>
        <w:jc w:val="both"/>
        <w:rPr>
          <w:rFonts w:ascii="Arial" w:hAnsi="Arial" w:cs="Arial"/>
          <w:sz w:val="20"/>
          <w:szCs w:val="20"/>
          <w:lang w:val="es-419"/>
        </w:rPr>
      </w:pPr>
    </w:p>
    <w:p w14:paraId="4D1E8D1D" w14:textId="77777777" w:rsidR="001F452E" w:rsidRPr="001F452E" w:rsidRDefault="001F452E" w:rsidP="001F452E">
      <w:pPr>
        <w:jc w:val="both"/>
        <w:rPr>
          <w:rFonts w:ascii="Arial" w:hAnsi="Arial" w:cs="Arial"/>
          <w:sz w:val="20"/>
          <w:szCs w:val="20"/>
          <w:lang w:val="es-419"/>
        </w:rPr>
      </w:pPr>
      <w:r w:rsidRPr="001F452E">
        <w:rPr>
          <w:rFonts w:ascii="Arial" w:hAnsi="Arial" w:cs="Arial"/>
          <w:sz w:val="20"/>
          <w:szCs w:val="20"/>
          <w:lang w:val="es-419"/>
        </w:rPr>
        <w:t xml:space="preserve">Entiéndase entonces que, así las partes no lo soliciten, es deber del juez lograr que todas las personas sobre las que necesariamente el fallo surtirá efectos, concurran al proceso para que la decisión les sea legalmente oponible. </w:t>
      </w:r>
    </w:p>
    <w:p w14:paraId="281881A1" w14:textId="77777777" w:rsidR="001F452E" w:rsidRPr="001F452E" w:rsidRDefault="001F452E" w:rsidP="001F452E">
      <w:pPr>
        <w:jc w:val="both"/>
        <w:rPr>
          <w:rFonts w:ascii="Arial" w:hAnsi="Arial" w:cs="Arial"/>
          <w:sz w:val="20"/>
          <w:szCs w:val="20"/>
          <w:lang w:val="es-419"/>
        </w:rPr>
      </w:pPr>
    </w:p>
    <w:p w14:paraId="4F31CD23" w14:textId="52461A50" w:rsidR="001F452E" w:rsidRPr="001F452E" w:rsidRDefault="001F452E" w:rsidP="001F452E">
      <w:pPr>
        <w:jc w:val="both"/>
        <w:rPr>
          <w:rFonts w:ascii="Arial" w:hAnsi="Arial" w:cs="Arial"/>
          <w:sz w:val="20"/>
          <w:szCs w:val="20"/>
          <w:lang w:val="es-419"/>
        </w:rPr>
      </w:pPr>
      <w:r w:rsidRPr="001F452E">
        <w:rPr>
          <w:rFonts w:ascii="Arial" w:hAnsi="Arial" w:cs="Arial"/>
          <w:sz w:val="20"/>
          <w:szCs w:val="20"/>
          <w:lang w:val="es-419"/>
        </w:rPr>
        <w:t xml:space="preserve">En cuanto a las controversias contractuales, cuyos extremos instrumentales están conformados por varios integrantes, y el litisconsorcio necesario, se ha dicho por la Corte Suprema de Justicia: </w:t>
      </w:r>
    </w:p>
    <w:p w14:paraId="449794C7" w14:textId="77777777" w:rsidR="001F452E" w:rsidRPr="001F452E" w:rsidRDefault="001F452E" w:rsidP="001F452E">
      <w:pPr>
        <w:jc w:val="both"/>
        <w:rPr>
          <w:rFonts w:ascii="Arial" w:hAnsi="Arial" w:cs="Arial"/>
          <w:sz w:val="20"/>
          <w:szCs w:val="20"/>
          <w:lang w:val="es-419"/>
        </w:rPr>
      </w:pPr>
    </w:p>
    <w:p w14:paraId="23A12D4C" w14:textId="10BB1412" w:rsidR="00796F2A" w:rsidRPr="00796F2A" w:rsidRDefault="001F452E" w:rsidP="001F452E">
      <w:pPr>
        <w:jc w:val="both"/>
        <w:rPr>
          <w:rFonts w:ascii="Arial" w:hAnsi="Arial" w:cs="Arial"/>
          <w:sz w:val="20"/>
          <w:szCs w:val="20"/>
          <w:lang w:val="es-419"/>
        </w:rPr>
      </w:pPr>
      <w:r w:rsidRPr="001F452E">
        <w:rPr>
          <w:rFonts w:ascii="Arial" w:hAnsi="Arial" w:cs="Arial"/>
          <w:sz w:val="20"/>
          <w:szCs w:val="20"/>
          <w:lang w:val="es-419"/>
        </w:rPr>
        <w:t>“El segundo que es el pertinente para el caso, puede tener origen en la "disposición legal" o imponerlo directamente la "naturaleza" de las "relaciones o actos jurídicos" respecto de las cuales "verse" el proceso (art. 83 ejusdem), presentándose esta última eventualidad, como ha tenido oportunidad de explicarlo la Corporación, cuando la relación de derecho sustancial objeto de la pretensión; está integrada por un número plural, de sujetos, activos o pasivos</w:t>
      </w:r>
      <w:r>
        <w:rPr>
          <w:rFonts w:ascii="Arial" w:hAnsi="Arial" w:cs="Arial"/>
          <w:sz w:val="20"/>
          <w:szCs w:val="20"/>
          <w:lang w:val="es-419"/>
        </w:rPr>
        <w:t>…”</w:t>
      </w:r>
    </w:p>
    <w:p w14:paraId="79537EC5" w14:textId="77777777" w:rsidR="00796F2A" w:rsidRPr="00796F2A" w:rsidRDefault="00796F2A" w:rsidP="00796F2A">
      <w:pPr>
        <w:jc w:val="both"/>
        <w:rPr>
          <w:rFonts w:ascii="Arial" w:hAnsi="Arial" w:cs="Arial"/>
          <w:sz w:val="20"/>
          <w:szCs w:val="20"/>
          <w:lang w:val="es-419"/>
        </w:rPr>
      </w:pPr>
    </w:p>
    <w:p w14:paraId="13333452" w14:textId="0318972C" w:rsidR="00796F2A" w:rsidRPr="00796F2A" w:rsidRDefault="001F452E" w:rsidP="00796F2A">
      <w:pPr>
        <w:jc w:val="both"/>
        <w:rPr>
          <w:rFonts w:ascii="Arial" w:hAnsi="Arial" w:cs="Arial"/>
          <w:sz w:val="20"/>
          <w:szCs w:val="20"/>
          <w:lang w:val="es-419"/>
        </w:rPr>
      </w:pPr>
      <w:r w:rsidRPr="001F452E">
        <w:rPr>
          <w:rFonts w:ascii="Arial" w:hAnsi="Arial" w:cs="Arial"/>
          <w:sz w:val="20"/>
          <w:szCs w:val="20"/>
          <w:lang w:val="es-419"/>
        </w:rPr>
        <w:t>Consecuencia de no haberse tomado las medidas procesales correctivas antedichas en primera instancia, corresponde ahora decretar la nulidad de la actuación desde la sentencia, incluyéndola, para que el fallador de primer grado ordene la vinculación de los mencionados sujetos en su condición de litisconsorte necesarios</w:t>
      </w:r>
      <w:r>
        <w:rPr>
          <w:rFonts w:ascii="Arial" w:hAnsi="Arial" w:cs="Arial"/>
          <w:sz w:val="20"/>
          <w:szCs w:val="20"/>
          <w:lang w:val="es-419"/>
        </w:rPr>
        <w:t>…</w:t>
      </w:r>
    </w:p>
    <w:p w14:paraId="2E6ADEDE" w14:textId="77777777" w:rsidR="00796F2A" w:rsidRPr="00796F2A" w:rsidRDefault="00796F2A" w:rsidP="00796F2A">
      <w:pPr>
        <w:jc w:val="both"/>
        <w:rPr>
          <w:rFonts w:ascii="Arial" w:hAnsi="Arial" w:cs="Arial"/>
          <w:sz w:val="20"/>
          <w:szCs w:val="20"/>
          <w:lang w:val="es-ES"/>
        </w:rPr>
      </w:pPr>
    </w:p>
    <w:p w14:paraId="54F4C383" w14:textId="77777777" w:rsidR="00796F2A" w:rsidRPr="00796F2A" w:rsidRDefault="00796F2A" w:rsidP="00796F2A">
      <w:pPr>
        <w:jc w:val="both"/>
        <w:rPr>
          <w:rFonts w:ascii="Arial" w:hAnsi="Arial" w:cs="Arial"/>
          <w:sz w:val="20"/>
          <w:szCs w:val="20"/>
          <w:lang w:val="es-ES"/>
        </w:rPr>
      </w:pPr>
    </w:p>
    <w:p w14:paraId="4CFD62C3" w14:textId="77777777" w:rsidR="00796F2A" w:rsidRPr="00796F2A" w:rsidRDefault="00796F2A" w:rsidP="00796F2A">
      <w:pPr>
        <w:jc w:val="both"/>
        <w:rPr>
          <w:rFonts w:ascii="Arial" w:hAnsi="Arial" w:cs="Arial"/>
          <w:sz w:val="20"/>
          <w:szCs w:val="20"/>
          <w:lang w:val="es-ES"/>
        </w:rPr>
      </w:pPr>
    </w:p>
    <w:bookmarkEnd w:id="0"/>
    <w:p w14:paraId="3C598812" w14:textId="77777777" w:rsidR="00BD15C3" w:rsidRPr="00796F2A" w:rsidRDefault="00BD15C3" w:rsidP="00796F2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color w:val="000000" w:themeColor="text1"/>
          <w:sz w:val="26"/>
          <w:szCs w:val="26"/>
        </w:rPr>
      </w:pPr>
      <w:r w:rsidRPr="00796F2A">
        <w:rPr>
          <w:rFonts w:ascii="Arial Narrow" w:hAnsi="Arial Narrow" w:cs="Arial Narrow"/>
          <w:b/>
          <w:bCs/>
          <w:color w:val="000000" w:themeColor="text1"/>
          <w:sz w:val="26"/>
          <w:szCs w:val="26"/>
        </w:rPr>
        <w:t>REPÚBLICA DE COLOMBIA</w:t>
      </w:r>
    </w:p>
    <w:p w14:paraId="31290B54" w14:textId="6830845D" w:rsidR="00BD15C3" w:rsidRPr="00796F2A" w:rsidRDefault="002E70B2" w:rsidP="008B093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color w:val="000000" w:themeColor="text1"/>
          <w:sz w:val="26"/>
          <w:szCs w:val="26"/>
        </w:rPr>
      </w:pPr>
      <w:r w:rsidRPr="00796F2A">
        <w:rPr>
          <w:rFonts w:ascii="Arial Narrow" w:hAnsi="Arial Narrow"/>
          <w:noProof/>
          <w:color w:val="000000" w:themeColor="text1"/>
          <w:sz w:val="26"/>
          <w:szCs w:val="26"/>
          <w:lang w:eastAsia="es-CO"/>
        </w:rPr>
        <w:drawing>
          <wp:inline distT="0" distB="0" distL="0" distR="0" wp14:anchorId="3B7652DB" wp14:editId="45555C99">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5DA91E26" w14:textId="356F0E8D" w:rsidR="002E70B2" w:rsidRPr="00796F2A" w:rsidRDefault="00BD15C3" w:rsidP="00796F2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color w:val="000000" w:themeColor="text1"/>
          <w:sz w:val="26"/>
          <w:szCs w:val="26"/>
        </w:rPr>
      </w:pPr>
      <w:r w:rsidRPr="00796F2A">
        <w:rPr>
          <w:rFonts w:ascii="Arial Narrow" w:hAnsi="Arial Narrow" w:cs="Arial Narrow"/>
          <w:b/>
          <w:bCs/>
          <w:color w:val="000000" w:themeColor="text1"/>
          <w:sz w:val="26"/>
          <w:szCs w:val="26"/>
        </w:rPr>
        <w:t>TRIBUNAL SUPERIOR DE</w:t>
      </w:r>
      <w:r w:rsidR="00B85F7B" w:rsidRPr="00796F2A">
        <w:rPr>
          <w:rFonts w:ascii="Arial Narrow" w:hAnsi="Arial Narrow" w:cs="Arial Narrow"/>
          <w:b/>
          <w:bCs/>
          <w:color w:val="000000" w:themeColor="text1"/>
          <w:sz w:val="26"/>
          <w:szCs w:val="26"/>
        </w:rPr>
        <w:t xml:space="preserve"> </w:t>
      </w:r>
      <w:r w:rsidR="005F3BBD" w:rsidRPr="00796F2A">
        <w:rPr>
          <w:rFonts w:ascii="Arial Narrow" w:hAnsi="Arial Narrow" w:cs="Arial Narrow"/>
          <w:b/>
          <w:bCs/>
          <w:color w:val="000000" w:themeColor="text1"/>
          <w:sz w:val="26"/>
          <w:szCs w:val="26"/>
        </w:rPr>
        <w:t xml:space="preserve">PEREIRA </w:t>
      </w:r>
    </w:p>
    <w:p w14:paraId="514BB607" w14:textId="1CFE5CC8" w:rsidR="00BD15C3" w:rsidRPr="00796F2A" w:rsidRDefault="00BD15C3" w:rsidP="00796F2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color w:val="000000" w:themeColor="text1"/>
          <w:spacing w:val="-3"/>
          <w:sz w:val="26"/>
          <w:szCs w:val="26"/>
        </w:rPr>
      </w:pPr>
      <w:r w:rsidRPr="00796F2A">
        <w:rPr>
          <w:rFonts w:ascii="Arial Narrow" w:hAnsi="Arial Narrow" w:cs="Arial Narrow"/>
          <w:b/>
          <w:bCs/>
          <w:color w:val="000000" w:themeColor="text1"/>
          <w:sz w:val="26"/>
          <w:szCs w:val="26"/>
        </w:rPr>
        <w:t>SALA DE DECISIÓN CIVIL</w:t>
      </w:r>
      <w:r w:rsidR="002E70B2" w:rsidRPr="00796F2A">
        <w:rPr>
          <w:rFonts w:ascii="Arial Narrow" w:hAnsi="Arial Narrow" w:cs="Arial Narrow"/>
          <w:b/>
          <w:bCs/>
          <w:color w:val="000000" w:themeColor="text1"/>
          <w:sz w:val="26"/>
          <w:szCs w:val="26"/>
        </w:rPr>
        <w:t xml:space="preserve"> </w:t>
      </w:r>
      <w:r w:rsidRPr="00796F2A">
        <w:rPr>
          <w:rFonts w:ascii="Arial Narrow" w:hAnsi="Arial Narrow" w:cs="Arial Narrow"/>
          <w:b/>
          <w:bCs/>
          <w:color w:val="000000" w:themeColor="text1"/>
          <w:sz w:val="26"/>
          <w:szCs w:val="26"/>
        </w:rPr>
        <w:t>–</w:t>
      </w:r>
      <w:r w:rsidR="002E70B2" w:rsidRPr="00796F2A">
        <w:rPr>
          <w:rFonts w:ascii="Arial Narrow" w:hAnsi="Arial Narrow" w:cs="Arial Narrow"/>
          <w:b/>
          <w:bCs/>
          <w:color w:val="000000" w:themeColor="text1"/>
          <w:sz w:val="26"/>
          <w:szCs w:val="26"/>
        </w:rPr>
        <w:t xml:space="preserve"> </w:t>
      </w:r>
      <w:r w:rsidRPr="00796F2A">
        <w:rPr>
          <w:rFonts w:ascii="Arial Narrow" w:hAnsi="Arial Narrow" w:cs="Arial Narrow"/>
          <w:b/>
          <w:bCs/>
          <w:color w:val="000000" w:themeColor="text1"/>
          <w:sz w:val="26"/>
          <w:szCs w:val="26"/>
        </w:rPr>
        <w:t>FAMILIA</w:t>
      </w:r>
    </w:p>
    <w:p w14:paraId="60931577" w14:textId="77777777" w:rsidR="00BD15C3" w:rsidRPr="00796F2A" w:rsidRDefault="00BD15C3" w:rsidP="00796F2A">
      <w:pPr>
        <w:tabs>
          <w:tab w:val="left" w:pos="-720"/>
        </w:tabs>
        <w:suppressAutoHyphens/>
        <w:spacing w:line="276" w:lineRule="auto"/>
        <w:jc w:val="center"/>
        <w:rPr>
          <w:rFonts w:ascii="Arial Narrow" w:hAnsi="Arial Narrow"/>
          <w:b/>
          <w:bCs/>
          <w:color w:val="000000" w:themeColor="text1"/>
          <w:spacing w:val="-3"/>
          <w:sz w:val="26"/>
          <w:szCs w:val="26"/>
        </w:rPr>
      </w:pPr>
    </w:p>
    <w:p w14:paraId="3A3DD761" w14:textId="6E0F6430" w:rsidR="00AA0DE3" w:rsidRPr="00796F2A" w:rsidRDefault="001A2668" w:rsidP="00796F2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color w:val="000000" w:themeColor="text1"/>
          <w:sz w:val="26"/>
          <w:szCs w:val="26"/>
        </w:rPr>
      </w:pPr>
      <w:r w:rsidRPr="00796F2A">
        <w:rPr>
          <w:rFonts w:ascii="Arial Narrow" w:hAnsi="Arial Narrow" w:cs="Arial Narrow"/>
          <w:bCs/>
          <w:color w:val="000000" w:themeColor="text1"/>
          <w:sz w:val="26"/>
          <w:szCs w:val="26"/>
        </w:rPr>
        <w:t>Magistrado sustanciador:</w:t>
      </w:r>
      <w:r w:rsidRPr="00796F2A">
        <w:rPr>
          <w:rFonts w:ascii="Arial Narrow" w:hAnsi="Arial Narrow" w:cs="Arial Narrow"/>
          <w:b/>
          <w:bCs/>
          <w:color w:val="000000" w:themeColor="text1"/>
          <w:sz w:val="26"/>
          <w:szCs w:val="26"/>
        </w:rPr>
        <w:t xml:space="preserve"> Carlos Mauricio García Barajas</w:t>
      </w:r>
    </w:p>
    <w:p w14:paraId="4E944EBA" w14:textId="77777777" w:rsidR="00AA0DE3" w:rsidRPr="00796F2A" w:rsidRDefault="00AA0DE3" w:rsidP="00796F2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
          <w:bCs/>
          <w:color w:val="000000" w:themeColor="text1"/>
          <w:sz w:val="26"/>
          <w:szCs w:val="26"/>
        </w:rPr>
      </w:pPr>
    </w:p>
    <w:p w14:paraId="124D6CCA" w14:textId="1D481507" w:rsidR="00696031" w:rsidRPr="00796F2A" w:rsidRDefault="001A2668" w:rsidP="00796F2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000000" w:themeColor="text1"/>
          <w:sz w:val="26"/>
          <w:szCs w:val="26"/>
          <w:lang w:val="es-CO"/>
        </w:rPr>
      </w:pPr>
      <w:r w:rsidRPr="00796F2A">
        <w:rPr>
          <w:rFonts w:ascii="Arial Narrow" w:hAnsi="Arial Narrow" w:cs="Arial Narrow"/>
          <w:b/>
          <w:color w:val="000000" w:themeColor="text1"/>
          <w:sz w:val="26"/>
          <w:szCs w:val="26"/>
          <w:lang w:val="es-CO"/>
        </w:rPr>
        <w:t xml:space="preserve">Septiembre </w:t>
      </w:r>
      <w:r w:rsidR="00E53EAD" w:rsidRPr="00796F2A">
        <w:rPr>
          <w:rFonts w:ascii="Arial Narrow" w:hAnsi="Arial Narrow" w:cs="Arial Narrow"/>
          <w:b/>
          <w:color w:val="000000" w:themeColor="text1"/>
          <w:sz w:val="26"/>
          <w:szCs w:val="26"/>
          <w:lang w:val="es-CO"/>
        </w:rPr>
        <w:t>quince</w:t>
      </w:r>
      <w:r w:rsidRPr="00796F2A">
        <w:rPr>
          <w:rFonts w:ascii="Arial Narrow" w:hAnsi="Arial Narrow" w:cs="Arial Narrow"/>
          <w:b/>
          <w:color w:val="000000" w:themeColor="text1"/>
          <w:sz w:val="26"/>
          <w:szCs w:val="26"/>
          <w:lang w:val="es-CO"/>
        </w:rPr>
        <w:t xml:space="preserve"> </w:t>
      </w:r>
      <w:r w:rsidR="00696031" w:rsidRPr="00796F2A">
        <w:rPr>
          <w:rFonts w:ascii="Arial Narrow" w:hAnsi="Arial Narrow" w:cs="Arial Narrow"/>
          <w:b/>
          <w:color w:val="000000" w:themeColor="text1"/>
          <w:sz w:val="26"/>
          <w:szCs w:val="26"/>
          <w:lang w:val="es-CO"/>
        </w:rPr>
        <w:t>(</w:t>
      </w:r>
      <w:r w:rsidR="00E53EAD" w:rsidRPr="00796F2A">
        <w:rPr>
          <w:rFonts w:ascii="Arial Narrow" w:hAnsi="Arial Narrow" w:cs="Arial Narrow"/>
          <w:b/>
          <w:color w:val="000000" w:themeColor="text1"/>
          <w:sz w:val="26"/>
          <w:szCs w:val="26"/>
          <w:lang w:val="es-CO"/>
        </w:rPr>
        <w:t>15</w:t>
      </w:r>
      <w:r w:rsidR="00696031" w:rsidRPr="00796F2A">
        <w:rPr>
          <w:rFonts w:ascii="Arial Narrow" w:hAnsi="Arial Narrow" w:cs="Arial Narrow"/>
          <w:b/>
          <w:color w:val="000000" w:themeColor="text1"/>
          <w:sz w:val="26"/>
          <w:szCs w:val="26"/>
          <w:lang w:val="es-CO"/>
        </w:rPr>
        <w:t>) de dos mil veintiuno (2.021)</w:t>
      </w:r>
    </w:p>
    <w:p w14:paraId="3FB51B10" w14:textId="77777777" w:rsidR="00696031" w:rsidRPr="00796F2A" w:rsidRDefault="00696031" w:rsidP="00796F2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
          <w:bCs/>
          <w:color w:val="000000" w:themeColor="text1"/>
          <w:sz w:val="26"/>
          <w:szCs w:val="26"/>
        </w:rPr>
      </w:pPr>
    </w:p>
    <w:p w14:paraId="2FE05873" w14:textId="77777777" w:rsidR="005D4A18" w:rsidRPr="00796F2A" w:rsidRDefault="005D4A18" w:rsidP="00796F2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
          <w:bCs/>
          <w:color w:val="000000" w:themeColor="text1"/>
          <w:sz w:val="26"/>
          <w:szCs w:val="26"/>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88"/>
      </w:tblGrid>
      <w:tr w:rsidR="00477D25" w:rsidRPr="008B093E" w14:paraId="728BF627" w14:textId="77777777" w:rsidTr="00BF45B6">
        <w:tc>
          <w:tcPr>
            <w:tcW w:w="1843" w:type="dxa"/>
          </w:tcPr>
          <w:p w14:paraId="628F6E4E" w14:textId="71BC53CA" w:rsidR="005D4A18" w:rsidRPr="008B093E" w:rsidRDefault="005D4A18" w:rsidP="00796F2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color w:val="000000" w:themeColor="text1"/>
                <w:szCs w:val="26"/>
              </w:rPr>
            </w:pPr>
            <w:r w:rsidRPr="008B093E">
              <w:rPr>
                <w:rFonts w:ascii="Arial Narrow" w:hAnsi="Arial Narrow" w:cs="Arial Narrow"/>
                <w:bCs/>
                <w:color w:val="000000" w:themeColor="text1"/>
                <w:szCs w:val="26"/>
              </w:rPr>
              <w:t>Radicación No.</w:t>
            </w:r>
          </w:p>
        </w:tc>
        <w:tc>
          <w:tcPr>
            <w:tcW w:w="7088" w:type="dxa"/>
          </w:tcPr>
          <w:p w14:paraId="33878F29" w14:textId="4729F53A" w:rsidR="005D4A18" w:rsidRPr="008B093E" w:rsidRDefault="001A2668" w:rsidP="00796F2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jc w:val="both"/>
              <w:textAlignment w:val="baseline"/>
              <w:rPr>
                <w:rFonts w:ascii="Arial Narrow" w:hAnsi="Arial Narrow" w:cs="Arial Narrow"/>
                <w:bCs/>
                <w:color w:val="000000" w:themeColor="text1"/>
                <w:szCs w:val="26"/>
              </w:rPr>
            </w:pPr>
            <w:r w:rsidRPr="008B093E">
              <w:rPr>
                <w:rFonts w:ascii="Arial Narrow" w:hAnsi="Arial Narrow" w:cs="Arial Narrow"/>
                <w:bCs/>
                <w:color w:val="000000" w:themeColor="text1"/>
                <w:szCs w:val="26"/>
              </w:rPr>
              <w:t>05001310300120060000301</w:t>
            </w:r>
          </w:p>
        </w:tc>
      </w:tr>
      <w:tr w:rsidR="00477D25" w:rsidRPr="008B093E" w14:paraId="3851302E" w14:textId="77777777" w:rsidTr="00BF45B6">
        <w:tc>
          <w:tcPr>
            <w:tcW w:w="1843" w:type="dxa"/>
          </w:tcPr>
          <w:p w14:paraId="7E6F2356" w14:textId="320FC3AB" w:rsidR="005D4A18" w:rsidRPr="008B093E" w:rsidRDefault="005D4A18" w:rsidP="00796F2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color w:val="000000" w:themeColor="text1"/>
                <w:szCs w:val="26"/>
              </w:rPr>
            </w:pPr>
            <w:r w:rsidRPr="008B093E">
              <w:rPr>
                <w:rFonts w:ascii="Arial Narrow" w:hAnsi="Arial Narrow" w:cs="Arial Narrow"/>
                <w:bCs/>
                <w:color w:val="000000" w:themeColor="text1"/>
                <w:szCs w:val="26"/>
              </w:rPr>
              <w:t>Proviene:</w:t>
            </w:r>
          </w:p>
        </w:tc>
        <w:tc>
          <w:tcPr>
            <w:tcW w:w="7088" w:type="dxa"/>
          </w:tcPr>
          <w:p w14:paraId="08AB8D1C" w14:textId="5C7EBBD4" w:rsidR="005D4A18" w:rsidRPr="008B093E" w:rsidRDefault="001A2668" w:rsidP="00796F2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jc w:val="both"/>
              <w:textAlignment w:val="baseline"/>
              <w:rPr>
                <w:rFonts w:ascii="Arial Narrow" w:hAnsi="Arial Narrow" w:cs="Arial Narrow"/>
                <w:bCs/>
                <w:color w:val="000000" w:themeColor="text1"/>
                <w:szCs w:val="26"/>
              </w:rPr>
            </w:pPr>
            <w:r w:rsidRPr="008B093E">
              <w:rPr>
                <w:rFonts w:ascii="Arial Narrow" w:hAnsi="Arial Narrow" w:cs="Arial Narrow"/>
                <w:bCs/>
                <w:color w:val="000000" w:themeColor="text1"/>
                <w:szCs w:val="26"/>
              </w:rPr>
              <w:t>Juzgado Primero Civil del Circuito de Medellín</w:t>
            </w:r>
          </w:p>
        </w:tc>
      </w:tr>
      <w:tr w:rsidR="00477D25" w:rsidRPr="008B093E" w14:paraId="5E47D44A" w14:textId="77777777" w:rsidTr="00BF45B6">
        <w:tc>
          <w:tcPr>
            <w:tcW w:w="1843" w:type="dxa"/>
          </w:tcPr>
          <w:p w14:paraId="1DB239B7" w14:textId="31A5EA87" w:rsidR="005D4A18" w:rsidRPr="008B093E" w:rsidRDefault="005D4A18" w:rsidP="00796F2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color w:val="000000" w:themeColor="text1"/>
                <w:szCs w:val="26"/>
              </w:rPr>
            </w:pPr>
            <w:r w:rsidRPr="008B093E">
              <w:rPr>
                <w:rFonts w:ascii="Arial Narrow" w:hAnsi="Arial Narrow" w:cs="Arial Narrow"/>
                <w:bCs/>
                <w:color w:val="000000" w:themeColor="text1"/>
                <w:szCs w:val="26"/>
              </w:rPr>
              <w:t>Proceso:</w:t>
            </w:r>
          </w:p>
        </w:tc>
        <w:tc>
          <w:tcPr>
            <w:tcW w:w="7088" w:type="dxa"/>
          </w:tcPr>
          <w:p w14:paraId="595CF5A0" w14:textId="2540B1C8" w:rsidR="005D4A18" w:rsidRPr="008B093E" w:rsidRDefault="001A2668" w:rsidP="00796F2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jc w:val="both"/>
              <w:textAlignment w:val="baseline"/>
              <w:rPr>
                <w:rFonts w:ascii="Arial Narrow" w:hAnsi="Arial Narrow" w:cs="Arial Narrow"/>
                <w:bCs/>
                <w:color w:val="000000" w:themeColor="text1"/>
                <w:szCs w:val="26"/>
              </w:rPr>
            </w:pPr>
            <w:r w:rsidRPr="008B093E">
              <w:rPr>
                <w:rFonts w:ascii="Arial Narrow" w:hAnsi="Arial Narrow" w:cs="Arial Narrow"/>
                <w:bCs/>
                <w:color w:val="000000" w:themeColor="text1"/>
                <w:szCs w:val="26"/>
              </w:rPr>
              <w:t xml:space="preserve">Declarativo – Revisión de contrato – </w:t>
            </w:r>
            <w:r w:rsidR="009C4DD1" w:rsidRPr="008B093E">
              <w:rPr>
                <w:rFonts w:ascii="Arial Narrow" w:hAnsi="Arial Narrow" w:cs="Arial Narrow"/>
                <w:bCs/>
                <w:color w:val="000000" w:themeColor="text1"/>
                <w:szCs w:val="26"/>
              </w:rPr>
              <w:t>T</w:t>
            </w:r>
            <w:r w:rsidRPr="008B093E">
              <w:rPr>
                <w:rFonts w:ascii="Arial Narrow" w:hAnsi="Arial Narrow" w:cs="Arial Narrow"/>
                <w:bCs/>
                <w:color w:val="000000" w:themeColor="text1"/>
                <w:szCs w:val="26"/>
              </w:rPr>
              <w:t>eoría de la imprevisión (art. 868</w:t>
            </w:r>
            <w:r w:rsidR="009C4DD1" w:rsidRPr="008B093E">
              <w:rPr>
                <w:rFonts w:ascii="Arial Narrow" w:hAnsi="Arial Narrow" w:cs="Arial Narrow"/>
                <w:bCs/>
                <w:color w:val="000000" w:themeColor="text1"/>
                <w:szCs w:val="26"/>
              </w:rPr>
              <w:t xml:space="preserve">, </w:t>
            </w:r>
            <w:r w:rsidRPr="008B093E">
              <w:rPr>
                <w:rFonts w:ascii="Arial Narrow" w:hAnsi="Arial Narrow" w:cs="Arial Narrow"/>
                <w:bCs/>
                <w:color w:val="000000" w:themeColor="text1"/>
                <w:szCs w:val="26"/>
              </w:rPr>
              <w:t>Código de Comercio</w:t>
            </w:r>
            <w:r w:rsidR="009C4DD1" w:rsidRPr="008B093E">
              <w:rPr>
                <w:rFonts w:ascii="Arial Narrow" w:hAnsi="Arial Narrow" w:cs="Arial Narrow"/>
                <w:bCs/>
                <w:color w:val="000000" w:themeColor="text1"/>
                <w:szCs w:val="26"/>
              </w:rPr>
              <w:t>)</w:t>
            </w:r>
            <w:r w:rsidRPr="008B093E">
              <w:rPr>
                <w:rFonts w:ascii="Arial Narrow" w:hAnsi="Arial Narrow" w:cs="Arial Narrow"/>
                <w:bCs/>
                <w:color w:val="000000" w:themeColor="text1"/>
                <w:szCs w:val="26"/>
              </w:rPr>
              <w:t>.</w:t>
            </w:r>
          </w:p>
        </w:tc>
      </w:tr>
      <w:tr w:rsidR="00477D25" w:rsidRPr="008B093E" w14:paraId="49DB8A99" w14:textId="77777777" w:rsidTr="00BF45B6">
        <w:tc>
          <w:tcPr>
            <w:tcW w:w="1843" w:type="dxa"/>
          </w:tcPr>
          <w:p w14:paraId="04A7FA92" w14:textId="3DF10C77" w:rsidR="005D4A18" w:rsidRPr="008B093E" w:rsidRDefault="005D4A18" w:rsidP="00796F2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color w:val="000000" w:themeColor="text1"/>
                <w:szCs w:val="26"/>
              </w:rPr>
            </w:pPr>
            <w:r w:rsidRPr="008B093E">
              <w:rPr>
                <w:rFonts w:ascii="Arial Narrow" w:hAnsi="Arial Narrow" w:cs="Arial Narrow"/>
                <w:bCs/>
                <w:color w:val="000000" w:themeColor="text1"/>
                <w:szCs w:val="26"/>
              </w:rPr>
              <w:t>Demandante</w:t>
            </w:r>
            <w:r w:rsidR="009C4DD1" w:rsidRPr="008B093E">
              <w:rPr>
                <w:rFonts w:ascii="Arial Narrow" w:hAnsi="Arial Narrow" w:cs="Arial Narrow"/>
                <w:bCs/>
                <w:color w:val="000000" w:themeColor="text1"/>
                <w:szCs w:val="26"/>
              </w:rPr>
              <w:t>s</w:t>
            </w:r>
            <w:r w:rsidRPr="008B093E">
              <w:rPr>
                <w:rFonts w:ascii="Arial Narrow" w:hAnsi="Arial Narrow" w:cs="Arial Narrow"/>
                <w:bCs/>
                <w:color w:val="000000" w:themeColor="text1"/>
                <w:szCs w:val="26"/>
              </w:rPr>
              <w:t>:</w:t>
            </w:r>
          </w:p>
        </w:tc>
        <w:tc>
          <w:tcPr>
            <w:tcW w:w="7088" w:type="dxa"/>
          </w:tcPr>
          <w:p w14:paraId="3B4464CB" w14:textId="4BF60A62" w:rsidR="005D4A18" w:rsidRPr="008B093E" w:rsidRDefault="001A2668" w:rsidP="00796F2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jc w:val="both"/>
              <w:textAlignment w:val="baseline"/>
              <w:rPr>
                <w:rFonts w:ascii="Arial Narrow" w:hAnsi="Arial Narrow" w:cs="Arial Narrow"/>
                <w:bCs/>
                <w:color w:val="000000" w:themeColor="text1"/>
                <w:szCs w:val="26"/>
              </w:rPr>
            </w:pPr>
            <w:r w:rsidRPr="008B093E">
              <w:rPr>
                <w:rFonts w:ascii="Arial Narrow" w:hAnsi="Arial Narrow" w:cs="Arial Narrow"/>
                <w:bCs/>
                <w:color w:val="000000" w:themeColor="text1"/>
                <w:szCs w:val="26"/>
              </w:rPr>
              <w:t>Julio Cesar Jaramillo de la Calle y Luz Victoria Maya.</w:t>
            </w:r>
          </w:p>
        </w:tc>
      </w:tr>
      <w:tr w:rsidR="008526AF" w:rsidRPr="008B093E" w14:paraId="6277C2FA" w14:textId="77777777" w:rsidTr="00BF45B6">
        <w:tc>
          <w:tcPr>
            <w:tcW w:w="1843" w:type="dxa"/>
          </w:tcPr>
          <w:p w14:paraId="0660FB08" w14:textId="0BDB3C0E" w:rsidR="008526AF" w:rsidRPr="008B093E" w:rsidRDefault="008526AF" w:rsidP="00796F2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color w:val="000000" w:themeColor="text1"/>
                <w:szCs w:val="26"/>
              </w:rPr>
            </w:pPr>
            <w:r w:rsidRPr="008B093E">
              <w:rPr>
                <w:rFonts w:ascii="Arial Narrow" w:hAnsi="Arial Narrow" w:cs="Arial Narrow"/>
                <w:bCs/>
                <w:color w:val="000000" w:themeColor="text1"/>
                <w:szCs w:val="26"/>
              </w:rPr>
              <w:t>Demandado:</w:t>
            </w:r>
          </w:p>
        </w:tc>
        <w:tc>
          <w:tcPr>
            <w:tcW w:w="7088" w:type="dxa"/>
          </w:tcPr>
          <w:p w14:paraId="518B2784" w14:textId="38F937BB" w:rsidR="008526AF" w:rsidRPr="008B093E" w:rsidRDefault="001A2668" w:rsidP="00796F2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jc w:val="both"/>
              <w:textAlignment w:val="baseline"/>
              <w:rPr>
                <w:rFonts w:ascii="Arial Narrow" w:hAnsi="Arial Narrow" w:cs="Arial Narrow"/>
                <w:bCs/>
                <w:color w:val="000000" w:themeColor="text1"/>
                <w:szCs w:val="26"/>
              </w:rPr>
            </w:pPr>
            <w:r w:rsidRPr="008B093E">
              <w:rPr>
                <w:rFonts w:ascii="Arial Narrow" w:hAnsi="Arial Narrow" w:cs="Arial Narrow"/>
                <w:bCs/>
                <w:color w:val="000000" w:themeColor="text1"/>
                <w:szCs w:val="26"/>
              </w:rPr>
              <w:t>Bancolombia S.A.</w:t>
            </w:r>
          </w:p>
        </w:tc>
      </w:tr>
    </w:tbl>
    <w:p w14:paraId="4CADFCAF" w14:textId="77777777" w:rsidR="005D4A18" w:rsidRPr="00796F2A" w:rsidRDefault="005D4A18" w:rsidP="00796F2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
          <w:bCs/>
          <w:color w:val="000000" w:themeColor="text1"/>
          <w:sz w:val="26"/>
          <w:szCs w:val="26"/>
        </w:rPr>
      </w:pPr>
    </w:p>
    <w:p w14:paraId="66E18B47" w14:textId="78DB6E05" w:rsidR="00DA0DB7" w:rsidRPr="00173423" w:rsidRDefault="00173423" w:rsidP="00796F2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Cs/>
          <w:sz w:val="26"/>
          <w:szCs w:val="26"/>
        </w:rPr>
      </w:pPr>
      <w:bookmarkStart w:id="1" w:name="_GoBack"/>
      <w:r w:rsidRPr="00173423">
        <w:rPr>
          <w:rFonts w:ascii="Arial Narrow" w:hAnsi="Arial Narrow" w:cs="Arial Narrow"/>
          <w:bCs/>
          <w:sz w:val="26"/>
          <w:szCs w:val="26"/>
        </w:rPr>
        <w:t>Auto</w:t>
      </w:r>
      <w:r w:rsidR="00DA0DB7" w:rsidRPr="00173423">
        <w:rPr>
          <w:rFonts w:ascii="Arial Narrow" w:hAnsi="Arial Narrow" w:cs="Arial Narrow"/>
          <w:bCs/>
          <w:sz w:val="26"/>
          <w:szCs w:val="26"/>
        </w:rPr>
        <w:t>: AC-012</w:t>
      </w:r>
      <w:r w:rsidR="009F4608" w:rsidRPr="00173423">
        <w:rPr>
          <w:rFonts w:ascii="Arial Narrow" w:hAnsi="Arial Narrow" w:cs="Arial Narrow"/>
          <w:bCs/>
          <w:sz w:val="26"/>
          <w:szCs w:val="26"/>
        </w:rPr>
        <w:t>9</w:t>
      </w:r>
      <w:r w:rsidRPr="00173423">
        <w:rPr>
          <w:rFonts w:ascii="Arial Narrow" w:hAnsi="Arial Narrow" w:cs="Arial Narrow"/>
          <w:bCs/>
          <w:sz w:val="26"/>
          <w:szCs w:val="26"/>
        </w:rPr>
        <w:t>-2021</w:t>
      </w:r>
    </w:p>
    <w:bookmarkEnd w:id="1"/>
    <w:p w14:paraId="0949A410" w14:textId="77777777" w:rsidR="005F3BBD" w:rsidRPr="00796F2A" w:rsidRDefault="005F3BBD" w:rsidP="00796F2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000000" w:themeColor="text1"/>
          <w:sz w:val="26"/>
          <w:szCs w:val="26"/>
          <w:lang w:val="es-CO"/>
        </w:rPr>
      </w:pPr>
    </w:p>
    <w:p w14:paraId="2CC0317A" w14:textId="2297A45F" w:rsidR="005D4A18" w:rsidRPr="00796F2A" w:rsidRDefault="005D4A18" w:rsidP="00796F2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000000" w:themeColor="text1"/>
          <w:sz w:val="26"/>
          <w:szCs w:val="26"/>
          <w:lang w:val="es-CO"/>
        </w:rPr>
      </w:pPr>
      <w:r w:rsidRPr="00796F2A">
        <w:rPr>
          <w:rFonts w:ascii="Arial Narrow" w:hAnsi="Arial Narrow" w:cs="Arial Narrow"/>
          <w:b/>
          <w:bCs/>
          <w:color w:val="000000" w:themeColor="text1"/>
          <w:sz w:val="26"/>
          <w:szCs w:val="26"/>
          <w:lang w:val="es-CO"/>
        </w:rPr>
        <w:t>Motivo de la providencia</w:t>
      </w:r>
    </w:p>
    <w:p w14:paraId="0A3D4470" w14:textId="77777777" w:rsidR="005D4A18" w:rsidRPr="00796F2A" w:rsidRDefault="005D4A18" w:rsidP="00796F2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000000" w:themeColor="text1"/>
          <w:sz w:val="26"/>
          <w:szCs w:val="26"/>
          <w:lang w:val="es-CO"/>
        </w:rPr>
      </w:pPr>
    </w:p>
    <w:p w14:paraId="5B3EAB6C" w14:textId="77777777" w:rsidR="008C7075" w:rsidRPr="00796F2A" w:rsidRDefault="008C7075" w:rsidP="00796F2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FF0000"/>
          <w:sz w:val="26"/>
          <w:szCs w:val="26"/>
          <w:lang w:val="es-CO"/>
        </w:rPr>
      </w:pPr>
      <w:r w:rsidRPr="00796F2A">
        <w:rPr>
          <w:rFonts w:ascii="Arial Narrow" w:hAnsi="Arial Narrow"/>
          <w:sz w:val="26"/>
          <w:szCs w:val="26"/>
          <w:lang w:val="es-CO"/>
        </w:rPr>
        <w:t xml:space="preserve">Sería del caso proferir sentencia que resuelva la alzada propuesta, en virtud de </w:t>
      </w:r>
      <w:r w:rsidRPr="00796F2A">
        <w:rPr>
          <w:rFonts w:ascii="Arial Narrow" w:hAnsi="Arial Narrow" w:cs="Arial Narrow"/>
          <w:bCs/>
          <w:color w:val="000000" w:themeColor="text1"/>
          <w:sz w:val="26"/>
          <w:szCs w:val="26"/>
          <w:lang w:val="es-CO"/>
        </w:rPr>
        <w:t xml:space="preserve">lo establecido en el Acuerdo PCSJA19-11327 de 2019 del Consejo Superior de la Judicatura, que se ha venido prorrogando hasta la fecha, de no ser porque se observa una irregularidad procesal constitutiva de nulidad que debe declararse de oficio. </w:t>
      </w:r>
    </w:p>
    <w:p w14:paraId="0E433437" w14:textId="77777777" w:rsidR="008C7075" w:rsidRPr="00796F2A" w:rsidRDefault="008C7075" w:rsidP="00796F2A">
      <w:pPr>
        <w:pStyle w:val="Default"/>
        <w:spacing w:line="276" w:lineRule="auto"/>
        <w:jc w:val="both"/>
        <w:rPr>
          <w:rFonts w:ascii="Arial Narrow" w:hAnsi="Arial Narrow"/>
          <w:sz w:val="26"/>
          <w:szCs w:val="26"/>
        </w:rPr>
      </w:pPr>
    </w:p>
    <w:p w14:paraId="7B26C33A" w14:textId="70F4A067" w:rsidR="005D4A18" w:rsidRPr="00796F2A" w:rsidRDefault="005D4A18" w:rsidP="00796F2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000000" w:themeColor="text1"/>
          <w:sz w:val="26"/>
          <w:szCs w:val="26"/>
          <w:lang w:val="es-CO"/>
        </w:rPr>
      </w:pPr>
      <w:r w:rsidRPr="00796F2A">
        <w:rPr>
          <w:rFonts w:ascii="Arial Narrow" w:hAnsi="Arial Narrow" w:cs="Arial Narrow"/>
          <w:b/>
          <w:bCs/>
          <w:color w:val="000000" w:themeColor="text1"/>
          <w:sz w:val="26"/>
          <w:szCs w:val="26"/>
          <w:lang w:val="es-CO"/>
        </w:rPr>
        <w:t>Antecedentes fácticos</w:t>
      </w:r>
    </w:p>
    <w:p w14:paraId="5596B767" w14:textId="5D6D83BB" w:rsidR="005D4A18" w:rsidRPr="00796F2A" w:rsidRDefault="005D4A18" w:rsidP="00796F2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000000" w:themeColor="text1"/>
          <w:sz w:val="26"/>
          <w:szCs w:val="26"/>
          <w:lang w:val="es-CO"/>
        </w:rPr>
      </w:pPr>
      <w:r w:rsidRPr="00796F2A">
        <w:rPr>
          <w:rFonts w:ascii="Arial Narrow" w:hAnsi="Arial Narrow" w:cs="Arial Narrow"/>
          <w:bCs/>
          <w:color w:val="000000" w:themeColor="text1"/>
          <w:sz w:val="26"/>
          <w:szCs w:val="26"/>
          <w:lang w:val="es-CO"/>
        </w:rPr>
        <w:t xml:space="preserve">  </w:t>
      </w:r>
    </w:p>
    <w:p w14:paraId="25DE6A3B" w14:textId="66162D0C" w:rsidR="002076BC" w:rsidRPr="00796F2A" w:rsidRDefault="005D4A18" w:rsidP="00796F2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000000" w:themeColor="text1"/>
          <w:sz w:val="26"/>
          <w:szCs w:val="26"/>
          <w:lang w:val="es-CO"/>
        </w:rPr>
      </w:pPr>
      <w:r w:rsidRPr="00796F2A">
        <w:rPr>
          <w:rFonts w:ascii="Arial Narrow" w:hAnsi="Arial Narrow" w:cs="Arial Narrow"/>
          <w:bCs/>
          <w:color w:val="000000" w:themeColor="text1"/>
          <w:sz w:val="26"/>
          <w:szCs w:val="26"/>
          <w:lang w:val="es-CO"/>
        </w:rPr>
        <w:t>A través de apoderado judicial</w:t>
      </w:r>
      <w:r w:rsidR="002076BC" w:rsidRPr="00796F2A">
        <w:rPr>
          <w:rFonts w:ascii="Arial Narrow" w:hAnsi="Arial Narrow" w:cs="Arial Narrow"/>
          <w:bCs/>
          <w:color w:val="000000" w:themeColor="text1"/>
          <w:sz w:val="26"/>
          <w:szCs w:val="26"/>
          <w:lang w:val="es-CO"/>
        </w:rPr>
        <w:t>, Julio Cesar Jaramillo de la Calle y Luz Victoria Maya inco</w:t>
      </w:r>
      <w:r w:rsidR="00137129" w:rsidRPr="00796F2A">
        <w:rPr>
          <w:rFonts w:ascii="Arial Narrow" w:hAnsi="Arial Narrow" w:cs="Arial Narrow"/>
          <w:bCs/>
          <w:color w:val="000000" w:themeColor="text1"/>
          <w:sz w:val="26"/>
          <w:szCs w:val="26"/>
          <w:lang w:val="es-CO"/>
        </w:rPr>
        <w:t>aron</w:t>
      </w:r>
      <w:r w:rsidR="002076BC" w:rsidRPr="00796F2A">
        <w:rPr>
          <w:rFonts w:ascii="Arial Narrow" w:hAnsi="Arial Narrow" w:cs="Arial Narrow"/>
          <w:bCs/>
          <w:color w:val="000000" w:themeColor="text1"/>
          <w:sz w:val="26"/>
          <w:szCs w:val="26"/>
          <w:lang w:val="es-CO"/>
        </w:rPr>
        <w:t xml:space="preserve"> la acción contemplada en el art. 868</w:t>
      </w:r>
      <w:r w:rsidR="002076BC" w:rsidRPr="00796F2A">
        <w:rPr>
          <w:rStyle w:val="Refdenotaalpie"/>
          <w:rFonts w:ascii="Arial Narrow" w:hAnsi="Arial Narrow" w:cs="Arial Narrow"/>
          <w:bCs/>
          <w:color w:val="000000" w:themeColor="text1"/>
          <w:sz w:val="26"/>
          <w:szCs w:val="26"/>
          <w:lang w:val="es-CO"/>
        </w:rPr>
        <w:footnoteReference w:id="1"/>
      </w:r>
      <w:r w:rsidR="002076BC" w:rsidRPr="00796F2A">
        <w:rPr>
          <w:rFonts w:ascii="Arial Narrow" w:hAnsi="Arial Narrow" w:cs="Arial Narrow"/>
          <w:bCs/>
          <w:color w:val="000000" w:themeColor="text1"/>
          <w:sz w:val="26"/>
          <w:szCs w:val="26"/>
          <w:lang w:val="es-CO"/>
        </w:rPr>
        <w:t xml:space="preserve"> del Código de Comercio (</w:t>
      </w:r>
      <w:proofErr w:type="spellStart"/>
      <w:r w:rsidR="002076BC" w:rsidRPr="00796F2A">
        <w:rPr>
          <w:rFonts w:ascii="Arial Narrow" w:hAnsi="Arial Narrow" w:cs="Arial Narrow"/>
          <w:bCs/>
          <w:color w:val="000000" w:themeColor="text1"/>
          <w:sz w:val="26"/>
          <w:szCs w:val="26"/>
          <w:lang w:val="es-CO"/>
        </w:rPr>
        <w:t>ff</w:t>
      </w:r>
      <w:proofErr w:type="spellEnd"/>
      <w:r w:rsidR="002076BC" w:rsidRPr="00796F2A">
        <w:rPr>
          <w:rFonts w:ascii="Arial Narrow" w:hAnsi="Arial Narrow" w:cs="Arial Narrow"/>
          <w:bCs/>
          <w:color w:val="000000" w:themeColor="text1"/>
          <w:sz w:val="26"/>
          <w:szCs w:val="26"/>
          <w:lang w:val="es-CO"/>
        </w:rPr>
        <w:t>. digitales 158 y ss. archivo 1, de primera instancia) presentan</w:t>
      </w:r>
      <w:r w:rsidR="00137129" w:rsidRPr="00796F2A">
        <w:rPr>
          <w:rFonts w:ascii="Arial Narrow" w:hAnsi="Arial Narrow" w:cs="Arial Narrow"/>
          <w:bCs/>
          <w:color w:val="000000" w:themeColor="text1"/>
          <w:sz w:val="26"/>
          <w:szCs w:val="26"/>
          <w:lang w:val="es-CO"/>
        </w:rPr>
        <w:t>do</w:t>
      </w:r>
      <w:r w:rsidR="002076BC" w:rsidRPr="00796F2A">
        <w:rPr>
          <w:rFonts w:ascii="Arial Narrow" w:hAnsi="Arial Narrow" w:cs="Arial Narrow"/>
          <w:bCs/>
          <w:color w:val="000000" w:themeColor="text1"/>
          <w:sz w:val="26"/>
          <w:szCs w:val="26"/>
          <w:lang w:val="es-CO"/>
        </w:rPr>
        <w:t xml:space="preserve"> demanda en contra de Bancolombia S.A</w:t>
      </w:r>
      <w:r w:rsidR="00224DF9" w:rsidRPr="00796F2A">
        <w:rPr>
          <w:rFonts w:ascii="Arial Narrow" w:hAnsi="Arial Narrow" w:cs="Arial Narrow"/>
          <w:bCs/>
          <w:color w:val="000000" w:themeColor="text1"/>
          <w:sz w:val="26"/>
          <w:szCs w:val="26"/>
          <w:lang w:val="es-CO"/>
        </w:rPr>
        <w:t>.</w:t>
      </w:r>
      <w:r w:rsidR="002076BC" w:rsidRPr="00796F2A">
        <w:rPr>
          <w:rFonts w:ascii="Arial Narrow" w:hAnsi="Arial Narrow" w:cs="Arial Narrow"/>
          <w:bCs/>
          <w:color w:val="000000" w:themeColor="text1"/>
          <w:sz w:val="26"/>
          <w:szCs w:val="26"/>
          <w:lang w:val="es-CO"/>
        </w:rPr>
        <w:t xml:space="preserve"> (antes Corporación Nacional de Ahorro y Vivienda -</w:t>
      </w:r>
      <w:proofErr w:type="spellStart"/>
      <w:r w:rsidR="002076BC" w:rsidRPr="00796F2A">
        <w:rPr>
          <w:rFonts w:ascii="Arial Narrow" w:hAnsi="Arial Narrow" w:cs="Arial Narrow"/>
          <w:bCs/>
          <w:color w:val="000000" w:themeColor="text1"/>
          <w:sz w:val="26"/>
          <w:szCs w:val="26"/>
          <w:lang w:val="es-CO"/>
        </w:rPr>
        <w:t>Conavi</w:t>
      </w:r>
      <w:proofErr w:type="spellEnd"/>
      <w:r w:rsidR="002076BC" w:rsidRPr="00796F2A">
        <w:rPr>
          <w:rFonts w:ascii="Arial Narrow" w:hAnsi="Arial Narrow" w:cs="Arial Narrow"/>
          <w:bCs/>
          <w:color w:val="000000" w:themeColor="text1"/>
          <w:sz w:val="26"/>
          <w:szCs w:val="26"/>
          <w:lang w:val="es-CO"/>
        </w:rPr>
        <w:t>-), buscando se revisen tres contratos de mutuo, por presentarse circunstancias extraordinarias, imprevistas o imprevisibles que alteran o agravan   el cumplimiento de prestaciones futura</w:t>
      </w:r>
      <w:r w:rsidR="00137129" w:rsidRPr="00796F2A">
        <w:rPr>
          <w:rFonts w:ascii="Arial Narrow" w:hAnsi="Arial Narrow" w:cs="Arial Narrow"/>
          <w:bCs/>
          <w:color w:val="000000" w:themeColor="text1"/>
          <w:sz w:val="26"/>
          <w:szCs w:val="26"/>
          <w:lang w:val="es-CO"/>
        </w:rPr>
        <w:t>s</w:t>
      </w:r>
      <w:r w:rsidR="002076BC" w:rsidRPr="00796F2A">
        <w:rPr>
          <w:rFonts w:ascii="Arial Narrow" w:hAnsi="Arial Narrow" w:cs="Arial Narrow"/>
          <w:bCs/>
          <w:color w:val="000000" w:themeColor="text1"/>
          <w:sz w:val="26"/>
          <w:szCs w:val="26"/>
          <w:lang w:val="es-CO"/>
        </w:rPr>
        <w:t xml:space="preserve"> a su cargo. </w:t>
      </w:r>
    </w:p>
    <w:p w14:paraId="2D78ABC2" w14:textId="77777777" w:rsidR="002076BC" w:rsidRPr="00796F2A" w:rsidRDefault="002076BC" w:rsidP="00796F2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000000" w:themeColor="text1"/>
          <w:sz w:val="26"/>
          <w:szCs w:val="26"/>
          <w:lang w:val="es-CO"/>
        </w:rPr>
      </w:pPr>
    </w:p>
    <w:p w14:paraId="33B4C1C8" w14:textId="77777777" w:rsidR="003F3393" w:rsidRPr="00796F2A" w:rsidRDefault="002076BC" w:rsidP="00796F2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000000" w:themeColor="text1"/>
          <w:sz w:val="26"/>
          <w:szCs w:val="26"/>
          <w:lang w:val="es-CO"/>
        </w:rPr>
      </w:pPr>
      <w:r w:rsidRPr="00796F2A">
        <w:rPr>
          <w:rFonts w:ascii="Arial Narrow" w:hAnsi="Arial Narrow" w:cs="Arial Narrow"/>
          <w:bCs/>
          <w:color w:val="000000" w:themeColor="text1"/>
          <w:sz w:val="26"/>
          <w:szCs w:val="26"/>
          <w:lang w:val="es-CO"/>
        </w:rPr>
        <w:t>L</w:t>
      </w:r>
      <w:r w:rsidR="003F3393" w:rsidRPr="00796F2A">
        <w:rPr>
          <w:rFonts w:ascii="Arial Narrow" w:hAnsi="Arial Narrow" w:cs="Arial Narrow"/>
          <w:bCs/>
          <w:color w:val="000000" w:themeColor="text1"/>
          <w:sz w:val="26"/>
          <w:szCs w:val="26"/>
          <w:lang w:val="es-CO"/>
        </w:rPr>
        <w:t>o</w:t>
      </w:r>
      <w:r w:rsidRPr="00796F2A">
        <w:rPr>
          <w:rFonts w:ascii="Arial Narrow" w:hAnsi="Arial Narrow" w:cs="Arial Narrow"/>
          <w:bCs/>
          <w:color w:val="000000" w:themeColor="text1"/>
          <w:sz w:val="26"/>
          <w:szCs w:val="26"/>
          <w:lang w:val="es-CO"/>
        </w:rPr>
        <w:t>s</w:t>
      </w:r>
      <w:r w:rsidR="003F3393" w:rsidRPr="00796F2A">
        <w:rPr>
          <w:rFonts w:ascii="Arial Narrow" w:hAnsi="Arial Narrow" w:cs="Arial Narrow"/>
          <w:bCs/>
          <w:color w:val="000000" w:themeColor="text1"/>
          <w:sz w:val="26"/>
          <w:szCs w:val="26"/>
          <w:lang w:val="es-CO"/>
        </w:rPr>
        <w:t xml:space="preserve"> contratos de mutuo cuya revisión se suplicó aparecen documentos en los siguientes títulos valores:</w:t>
      </w:r>
    </w:p>
    <w:p w14:paraId="5FE3A591" w14:textId="77777777" w:rsidR="003F3393" w:rsidRPr="00796F2A" w:rsidRDefault="003F3393" w:rsidP="00796F2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000000" w:themeColor="text1"/>
          <w:sz w:val="26"/>
          <w:szCs w:val="26"/>
          <w:lang w:val="es-CO"/>
        </w:rPr>
      </w:pPr>
    </w:p>
    <w:p w14:paraId="6C5A181A" w14:textId="77777777" w:rsidR="00E9504F" w:rsidRPr="00796F2A" w:rsidRDefault="003F3393" w:rsidP="00796F2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000000" w:themeColor="text1"/>
          <w:sz w:val="26"/>
          <w:szCs w:val="26"/>
          <w:lang w:val="es-CO"/>
        </w:rPr>
      </w:pPr>
      <w:r w:rsidRPr="00796F2A">
        <w:rPr>
          <w:rFonts w:ascii="Arial Narrow" w:hAnsi="Arial Narrow" w:cs="Arial Narrow"/>
          <w:bCs/>
          <w:color w:val="000000" w:themeColor="text1"/>
          <w:sz w:val="26"/>
          <w:szCs w:val="26"/>
          <w:lang w:val="es-CO"/>
        </w:rPr>
        <w:t>. P</w:t>
      </w:r>
      <w:r w:rsidR="002076BC" w:rsidRPr="00796F2A">
        <w:rPr>
          <w:rFonts w:ascii="Arial Narrow" w:hAnsi="Arial Narrow" w:cs="Arial Narrow"/>
          <w:bCs/>
          <w:color w:val="000000" w:themeColor="text1"/>
          <w:sz w:val="26"/>
          <w:szCs w:val="26"/>
          <w:lang w:val="es-CO"/>
        </w:rPr>
        <w:t>a</w:t>
      </w:r>
      <w:r w:rsidR="00B52DA3" w:rsidRPr="00796F2A">
        <w:rPr>
          <w:rFonts w:ascii="Arial Narrow" w:hAnsi="Arial Narrow" w:cs="Arial Narrow"/>
          <w:bCs/>
          <w:color w:val="000000" w:themeColor="text1"/>
          <w:sz w:val="26"/>
          <w:szCs w:val="26"/>
          <w:lang w:val="es-CO"/>
        </w:rPr>
        <w:t>gar</w:t>
      </w:r>
      <w:r w:rsidR="000D26D5" w:rsidRPr="00796F2A">
        <w:rPr>
          <w:rFonts w:ascii="Arial Narrow" w:hAnsi="Arial Narrow" w:cs="Arial Narrow"/>
          <w:bCs/>
          <w:color w:val="000000" w:themeColor="text1"/>
          <w:sz w:val="26"/>
          <w:szCs w:val="26"/>
          <w:lang w:val="es-CO"/>
        </w:rPr>
        <w:t>é</w:t>
      </w:r>
      <w:r w:rsidR="00B52DA3" w:rsidRPr="00796F2A">
        <w:rPr>
          <w:rFonts w:ascii="Arial Narrow" w:hAnsi="Arial Narrow" w:cs="Arial Narrow"/>
          <w:bCs/>
          <w:color w:val="000000" w:themeColor="text1"/>
          <w:sz w:val="26"/>
          <w:szCs w:val="26"/>
          <w:lang w:val="es-CO"/>
        </w:rPr>
        <w:t xml:space="preserve"> No. 64204 del 10 de octubre de 1991,</w:t>
      </w:r>
      <w:r w:rsidR="002076BC" w:rsidRPr="00796F2A">
        <w:rPr>
          <w:rFonts w:ascii="Arial Narrow" w:hAnsi="Arial Narrow" w:cs="Arial Narrow"/>
          <w:bCs/>
          <w:color w:val="000000" w:themeColor="text1"/>
          <w:sz w:val="26"/>
          <w:szCs w:val="26"/>
          <w:lang w:val="es-CO"/>
        </w:rPr>
        <w:t xml:space="preserve"> firmado </w:t>
      </w:r>
      <w:r w:rsidR="000D26D5" w:rsidRPr="00796F2A">
        <w:rPr>
          <w:rFonts w:ascii="Arial Narrow" w:hAnsi="Arial Narrow" w:cs="Arial Narrow"/>
          <w:bCs/>
          <w:color w:val="000000" w:themeColor="text1"/>
          <w:sz w:val="26"/>
          <w:szCs w:val="26"/>
          <w:lang w:val="es-CO"/>
        </w:rPr>
        <w:t xml:space="preserve">por </w:t>
      </w:r>
      <w:r w:rsidR="002076BC" w:rsidRPr="00796F2A">
        <w:rPr>
          <w:rFonts w:ascii="Arial Narrow" w:hAnsi="Arial Narrow" w:cs="Arial Narrow"/>
          <w:bCs/>
          <w:color w:val="000000" w:themeColor="text1"/>
          <w:sz w:val="26"/>
          <w:szCs w:val="26"/>
          <w:lang w:val="es-CO"/>
        </w:rPr>
        <w:t>los demand</w:t>
      </w:r>
      <w:r w:rsidR="000D26D5" w:rsidRPr="00796F2A">
        <w:rPr>
          <w:rFonts w:ascii="Arial Narrow" w:hAnsi="Arial Narrow" w:cs="Arial Narrow"/>
          <w:bCs/>
          <w:color w:val="000000" w:themeColor="text1"/>
          <w:sz w:val="26"/>
          <w:szCs w:val="26"/>
          <w:lang w:val="es-CO"/>
        </w:rPr>
        <w:t>antes</w:t>
      </w:r>
      <w:r w:rsidR="002076BC" w:rsidRPr="00796F2A">
        <w:rPr>
          <w:rFonts w:ascii="Arial Narrow" w:hAnsi="Arial Narrow" w:cs="Arial Narrow"/>
          <w:bCs/>
          <w:color w:val="000000" w:themeColor="text1"/>
          <w:sz w:val="26"/>
          <w:szCs w:val="26"/>
          <w:lang w:val="es-CO"/>
        </w:rPr>
        <w:t xml:space="preserve"> </w:t>
      </w:r>
      <w:r w:rsidR="002076BC" w:rsidRPr="00796F2A">
        <w:rPr>
          <w:rFonts w:ascii="Arial Narrow" w:hAnsi="Arial Narrow" w:cs="Arial Narrow"/>
          <w:b/>
          <w:bCs/>
          <w:color w:val="000000" w:themeColor="text1"/>
          <w:sz w:val="26"/>
          <w:szCs w:val="26"/>
          <w:lang w:val="es-CO"/>
        </w:rPr>
        <w:t xml:space="preserve">y por </w:t>
      </w:r>
      <w:r w:rsidR="000D26D5" w:rsidRPr="00796F2A">
        <w:rPr>
          <w:rFonts w:ascii="Arial Narrow" w:hAnsi="Arial Narrow" w:cs="Arial Narrow"/>
          <w:b/>
          <w:bCs/>
          <w:color w:val="000000" w:themeColor="text1"/>
          <w:sz w:val="26"/>
          <w:szCs w:val="26"/>
          <w:lang w:val="es-CO"/>
        </w:rPr>
        <w:t xml:space="preserve">Fernando de Jesús García Agudelo y Fabio Hernán Santamaria </w:t>
      </w:r>
      <w:proofErr w:type="spellStart"/>
      <w:r w:rsidR="000D26D5" w:rsidRPr="00796F2A">
        <w:rPr>
          <w:rFonts w:ascii="Arial Narrow" w:hAnsi="Arial Narrow" w:cs="Arial Narrow"/>
          <w:b/>
          <w:bCs/>
          <w:color w:val="000000" w:themeColor="text1"/>
          <w:sz w:val="26"/>
          <w:szCs w:val="26"/>
          <w:lang w:val="es-CO"/>
        </w:rPr>
        <w:t>Calvachi</w:t>
      </w:r>
      <w:proofErr w:type="spellEnd"/>
      <w:r w:rsidR="000D26D5" w:rsidRPr="00796F2A">
        <w:rPr>
          <w:rFonts w:ascii="Arial Narrow" w:hAnsi="Arial Narrow" w:cs="Arial Narrow"/>
          <w:bCs/>
          <w:color w:val="000000" w:themeColor="text1"/>
          <w:sz w:val="26"/>
          <w:szCs w:val="26"/>
          <w:lang w:val="es-CO"/>
        </w:rPr>
        <w:t xml:space="preserve"> en calidad de deudores</w:t>
      </w:r>
      <w:r w:rsidR="00137129" w:rsidRPr="00796F2A">
        <w:rPr>
          <w:rFonts w:ascii="Arial Narrow" w:hAnsi="Arial Narrow" w:cs="Arial Narrow"/>
          <w:bCs/>
          <w:color w:val="000000" w:themeColor="text1"/>
          <w:sz w:val="26"/>
          <w:szCs w:val="26"/>
          <w:lang w:val="es-CO"/>
        </w:rPr>
        <w:t xml:space="preserve"> (</w:t>
      </w:r>
      <w:r w:rsidR="00BF4A5D" w:rsidRPr="00796F2A">
        <w:rPr>
          <w:rFonts w:ascii="Arial Narrow" w:hAnsi="Arial Narrow" w:cs="Arial Narrow"/>
          <w:bCs/>
          <w:color w:val="000000" w:themeColor="text1"/>
          <w:sz w:val="26"/>
          <w:szCs w:val="26"/>
          <w:lang w:val="es-CO"/>
        </w:rPr>
        <w:t>f digital 6 a 9 Ib.)</w:t>
      </w:r>
      <w:r w:rsidR="00E9504F" w:rsidRPr="00796F2A">
        <w:rPr>
          <w:rFonts w:ascii="Arial Narrow" w:hAnsi="Arial Narrow" w:cs="Arial Narrow"/>
          <w:bCs/>
          <w:color w:val="000000" w:themeColor="text1"/>
          <w:sz w:val="26"/>
          <w:szCs w:val="26"/>
          <w:lang w:val="es-CO"/>
        </w:rPr>
        <w:t>.</w:t>
      </w:r>
    </w:p>
    <w:p w14:paraId="6ED03117" w14:textId="77777777" w:rsidR="00E9504F" w:rsidRPr="00796F2A" w:rsidRDefault="00E9504F" w:rsidP="00796F2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000000" w:themeColor="text1"/>
          <w:sz w:val="26"/>
          <w:szCs w:val="26"/>
          <w:lang w:val="es-CO"/>
        </w:rPr>
      </w:pPr>
    </w:p>
    <w:p w14:paraId="4D686A19" w14:textId="77777777" w:rsidR="00E9504F" w:rsidRPr="00796F2A" w:rsidRDefault="00E9504F" w:rsidP="00796F2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000000" w:themeColor="text1"/>
          <w:sz w:val="26"/>
          <w:szCs w:val="26"/>
          <w:lang w:val="es-CO"/>
        </w:rPr>
      </w:pPr>
      <w:r w:rsidRPr="00796F2A">
        <w:rPr>
          <w:rFonts w:ascii="Arial Narrow" w:hAnsi="Arial Narrow" w:cs="Arial Narrow"/>
          <w:bCs/>
          <w:color w:val="000000" w:themeColor="text1"/>
          <w:sz w:val="26"/>
          <w:szCs w:val="26"/>
          <w:lang w:val="es-CO"/>
        </w:rPr>
        <w:t>. P</w:t>
      </w:r>
      <w:r w:rsidR="000D26D5" w:rsidRPr="00796F2A">
        <w:rPr>
          <w:rFonts w:ascii="Arial Narrow" w:hAnsi="Arial Narrow" w:cs="Arial Narrow"/>
          <w:bCs/>
          <w:color w:val="000000" w:themeColor="text1"/>
          <w:sz w:val="26"/>
          <w:szCs w:val="26"/>
          <w:lang w:val="es-CO"/>
        </w:rPr>
        <w:t>agaré</w:t>
      </w:r>
      <w:r w:rsidR="00B52DA3" w:rsidRPr="00796F2A">
        <w:rPr>
          <w:rFonts w:ascii="Arial Narrow" w:hAnsi="Arial Narrow" w:cs="Arial Narrow"/>
          <w:bCs/>
          <w:color w:val="000000" w:themeColor="text1"/>
          <w:sz w:val="26"/>
          <w:szCs w:val="26"/>
          <w:lang w:val="es-CO"/>
        </w:rPr>
        <w:t xml:space="preserve"> No. 1651-320128613 del 8 de mayo de 1997 y </w:t>
      </w:r>
    </w:p>
    <w:p w14:paraId="59DF4316" w14:textId="77777777" w:rsidR="00E9504F" w:rsidRPr="00796F2A" w:rsidRDefault="00E9504F" w:rsidP="00796F2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000000" w:themeColor="text1"/>
          <w:sz w:val="26"/>
          <w:szCs w:val="26"/>
          <w:lang w:val="es-CO"/>
        </w:rPr>
      </w:pPr>
    </w:p>
    <w:p w14:paraId="17118918" w14:textId="37AA0E79" w:rsidR="000D26D5" w:rsidRPr="00796F2A" w:rsidRDefault="00E9504F" w:rsidP="00796F2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000000" w:themeColor="text1"/>
          <w:sz w:val="26"/>
          <w:szCs w:val="26"/>
          <w:lang w:val="es-CO"/>
        </w:rPr>
      </w:pPr>
      <w:r w:rsidRPr="00796F2A">
        <w:rPr>
          <w:rFonts w:ascii="Arial Narrow" w:hAnsi="Arial Narrow" w:cs="Arial Narrow"/>
          <w:bCs/>
          <w:color w:val="000000" w:themeColor="text1"/>
          <w:sz w:val="26"/>
          <w:szCs w:val="26"/>
          <w:lang w:val="es-CO"/>
        </w:rPr>
        <w:t xml:space="preserve">. Pagaré </w:t>
      </w:r>
      <w:r w:rsidR="00B52DA3" w:rsidRPr="00796F2A">
        <w:rPr>
          <w:rFonts w:ascii="Arial Narrow" w:hAnsi="Arial Narrow" w:cs="Arial Narrow"/>
          <w:bCs/>
          <w:color w:val="000000" w:themeColor="text1"/>
          <w:sz w:val="26"/>
          <w:szCs w:val="26"/>
          <w:lang w:val="es-CO"/>
        </w:rPr>
        <w:t xml:space="preserve">No. 1651-320140693 del 13 de enero de 1998, </w:t>
      </w:r>
      <w:r w:rsidR="000D26D5" w:rsidRPr="00796F2A">
        <w:rPr>
          <w:rFonts w:ascii="Arial Narrow" w:hAnsi="Arial Narrow" w:cs="Arial Narrow"/>
          <w:bCs/>
          <w:color w:val="000000" w:themeColor="text1"/>
          <w:sz w:val="26"/>
          <w:szCs w:val="26"/>
          <w:lang w:val="es-CO"/>
        </w:rPr>
        <w:t>signado</w:t>
      </w:r>
      <w:r w:rsidR="00BF4A5D" w:rsidRPr="00796F2A">
        <w:rPr>
          <w:rFonts w:ascii="Arial Narrow" w:hAnsi="Arial Narrow" w:cs="Arial Narrow"/>
          <w:bCs/>
          <w:color w:val="000000" w:themeColor="text1"/>
          <w:sz w:val="26"/>
          <w:szCs w:val="26"/>
          <w:lang w:val="es-CO"/>
        </w:rPr>
        <w:t>s</w:t>
      </w:r>
      <w:r w:rsidR="000D26D5" w:rsidRPr="00796F2A">
        <w:rPr>
          <w:rFonts w:ascii="Arial Narrow" w:hAnsi="Arial Narrow" w:cs="Arial Narrow"/>
          <w:bCs/>
          <w:color w:val="000000" w:themeColor="text1"/>
          <w:sz w:val="26"/>
          <w:szCs w:val="26"/>
          <w:lang w:val="es-CO"/>
        </w:rPr>
        <w:t xml:space="preserve"> e</w:t>
      </w:r>
      <w:r w:rsidRPr="00796F2A">
        <w:rPr>
          <w:rFonts w:ascii="Arial Narrow" w:hAnsi="Arial Narrow" w:cs="Arial Narrow"/>
          <w:bCs/>
          <w:color w:val="000000" w:themeColor="text1"/>
          <w:sz w:val="26"/>
          <w:szCs w:val="26"/>
          <w:lang w:val="es-CO"/>
        </w:rPr>
        <w:t xml:space="preserve">stos dos últimos en calidad de otorgantes </w:t>
      </w:r>
      <w:r w:rsidR="000D26D5" w:rsidRPr="00796F2A">
        <w:rPr>
          <w:rFonts w:ascii="Arial Narrow" w:hAnsi="Arial Narrow" w:cs="Arial Narrow"/>
          <w:bCs/>
          <w:color w:val="000000" w:themeColor="text1"/>
          <w:sz w:val="26"/>
          <w:szCs w:val="26"/>
          <w:lang w:val="es-CO"/>
        </w:rPr>
        <w:t>únicamente por los demandantes.</w:t>
      </w:r>
    </w:p>
    <w:p w14:paraId="23B28000" w14:textId="77777777" w:rsidR="000D26D5" w:rsidRPr="00796F2A" w:rsidRDefault="000D26D5" w:rsidP="00796F2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000000" w:themeColor="text1"/>
          <w:sz w:val="26"/>
          <w:szCs w:val="26"/>
          <w:lang w:val="es-CO"/>
        </w:rPr>
      </w:pPr>
    </w:p>
    <w:p w14:paraId="3E318A9A" w14:textId="77777777" w:rsidR="00112F7E" w:rsidRPr="00796F2A" w:rsidRDefault="000D26D5" w:rsidP="00796F2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000000" w:themeColor="text1"/>
          <w:sz w:val="26"/>
          <w:szCs w:val="26"/>
          <w:lang w:val="es-CO"/>
        </w:rPr>
      </w:pPr>
      <w:r w:rsidRPr="00796F2A">
        <w:rPr>
          <w:rFonts w:ascii="Arial Narrow" w:hAnsi="Arial Narrow" w:cs="Arial Narrow"/>
          <w:bCs/>
          <w:color w:val="000000" w:themeColor="text1"/>
          <w:sz w:val="26"/>
          <w:szCs w:val="26"/>
          <w:lang w:val="es-CO"/>
        </w:rPr>
        <w:t>Las pretensiones fueron soportadas por Bancolombia S.A</w:t>
      </w:r>
      <w:r w:rsidR="00112F7E" w:rsidRPr="00796F2A">
        <w:rPr>
          <w:rFonts w:ascii="Arial Narrow" w:hAnsi="Arial Narrow" w:cs="Arial Narrow"/>
          <w:bCs/>
          <w:color w:val="000000" w:themeColor="text1"/>
          <w:sz w:val="26"/>
          <w:szCs w:val="26"/>
          <w:lang w:val="es-CO"/>
        </w:rPr>
        <w:t xml:space="preserve">., quien se opuso a su prosperidad. </w:t>
      </w:r>
    </w:p>
    <w:p w14:paraId="27B22BBD" w14:textId="77777777" w:rsidR="00112F7E" w:rsidRPr="00796F2A" w:rsidRDefault="00112F7E" w:rsidP="00796F2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000000" w:themeColor="text1"/>
          <w:sz w:val="26"/>
          <w:szCs w:val="26"/>
          <w:lang w:val="es-CO"/>
        </w:rPr>
      </w:pPr>
    </w:p>
    <w:p w14:paraId="21257ECC" w14:textId="1BDACD48" w:rsidR="000D26D5" w:rsidRPr="00796F2A" w:rsidRDefault="00112F7E" w:rsidP="00796F2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000000" w:themeColor="text1"/>
          <w:sz w:val="26"/>
          <w:szCs w:val="26"/>
          <w:lang w:val="es-CO"/>
        </w:rPr>
      </w:pPr>
      <w:r w:rsidRPr="00796F2A">
        <w:rPr>
          <w:rFonts w:ascii="Arial Narrow" w:hAnsi="Arial Narrow" w:cs="Arial Narrow"/>
          <w:bCs/>
          <w:color w:val="000000" w:themeColor="text1"/>
          <w:sz w:val="26"/>
          <w:szCs w:val="26"/>
          <w:lang w:val="es-CO"/>
        </w:rPr>
        <w:t xml:space="preserve">Agotada la instancia </w:t>
      </w:r>
      <w:r w:rsidR="000D26D5" w:rsidRPr="00796F2A">
        <w:rPr>
          <w:rFonts w:ascii="Arial Narrow" w:hAnsi="Arial Narrow" w:cs="Arial Narrow"/>
          <w:bCs/>
          <w:color w:val="000000" w:themeColor="text1"/>
          <w:sz w:val="26"/>
          <w:szCs w:val="26"/>
          <w:lang w:val="es-CO"/>
        </w:rPr>
        <w:t xml:space="preserve">se emitió sentencia de primer </w:t>
      </w:r>
      <w:r w:rsidRPr="00796F2A">
        <w:rPr>
          <w:rFonts w:ascii="Arial Narrow" w:hAnsi="Arial Narrow" w:cs="Arial Narrow"/>
          <w:bCs/>
          <w:color w:val="000000" w:themeColor="text1"/>
          <w:sz w:val="26"/>
          <w:szCs w:val="26"/>
          <w:lang w:val="es-CO"/>
        </w:rPr>
        <w:t>grado, que apelada, originó la remisión del asunto al superior para definir la alzada.</w:t>
      </w:r>
      <w:r w:rsidR="000D26D5" w:rsidRPr="00796F2A">
        <w:rPr>
          <w:rFonts w:ascii="Arial Narrow" w:hAnsi="Arial Narrow" w:cs="Arial Narrow"/>
          <w:bCs/>
          <w:color w:val="000000" w:themeColor="text1"/>
          <w:sz w:val="26"/>
          <w:szCs w:val="26"/>
          <w:lang w:val="es-CO"/>
        </w:rPr>
        <w:t xml:space="preserve"> </w:t>
      </w:r>
    </w:p>
    <w:p w14:paraId="2AF199FD" w14:textId="77777777" w:rsidR="004F3B39" w:rsidRPr="00796F2A" w:rsidRDefault="004F3B39" w:rsidP="00796F2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000000" w:themeColor="text1"/>
          <w:sz w:val="26"/>
          <w:szCs w:val="26"/>
          <w:lang w:val="es-CO"/>
        </w:rPr>
      </w:pPr>
    </w:p>
    <w:p w14:paraId="4243CEA5" w14:textId="3E5B76F8" w:rsidR="004F3B39" w:rsidRPr="00796F2A" w:rsidRDefault="004F3B39" w:rsidP="00796F2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000000" w:themeColor="text1"/>
          <w:sz w:val="26"/>
          <w:szCs w:val="26"/>
          <w:lang w:val="es-CO"/>
        </w:rPr>
      </w:pPr>
      <w:r w:rsidRPr="00796F2A">
        <w:rPr>
          <w:rFonts w:ascii="Arial Narrow" w:hAnsi="Arial Narrow" w:cs="Arial Narrow"/>
          <w:b/>
          <w:bCs/>
          <w:color w:val="000000" w:themeColor="text1"/>
          <w:sz w:val="26"/>
          <w:szCs w:val="26"/>
          <w:lang w:val="es-CO"/>
        </w:rPr>
        <w:t>Consideraciones</w:t>
      </w:r>
    </w:p>
    <w:p w14:paraId="153F4573" w14:textId="468A4BBD" w:rsidR="008F1685" w:rsidRPr="00796F2A" w:rsidRDefault="00CB17AB" w:rsidP="00796F2A">
      <w:pPr>
        <w:pStyle w:val="313"/>
        <w:spacing w:line="276" w:lineRule="auto"/>
        <w:jc w:val="both"/>
        <w:rPr>
          <w:rFonts w:ascii="Arial Narrow" w:hAnsi="Arial Narrow" w:cs="Arial Narrow"/>
          <w:bCs/>
          <w:color w:val="000000" w:themeColor="text1"/>
          <w:sz w:val="26"/>
          <w:szCs w:val="26"/>
          <w:lang w:val="es-CO"/>
        </w:rPr>
      </w:pPr>
      <w:r w:rsidRPr="00796F2A">
        <w:rPr>
          <w:rFonts w:ascii="Arial Narrow" w:hAnsi="Arial Narrow" w:cs="Arial Narrow"/>
          <w:bCs/>
          <w:color w:val="000000" w:themeColor="text1"/>
          <w:sz w:val="26"/>
          <w:szCs w:val="26"/>
          <w:lang w:val="es-CO"/>
        </w:rPr>
        <w:tab/>
      </w:r>
      <w:r w:rsidRPr="00796F2A">
        <w:rPr>
          <w:rFonts w:ascii="Arial Narrow" w:hAnsi="Arial Narrow" w:cs="Arial Narrow"/>
          <w:bCs/>
          <w:color w:val="000000" w:themeColor="text1"/>
          <w:sz w:val="26"/>
          <w:szCs w:val="26"/>
          <w:lang w:val="es-CO"/>
        </w:rPr>
        <w:tab/>
      </w:r>
    </w:p>
    <w:p w14:paraId="74DE3B34" w14:textId="36BAAEAD" w:rsidR="00E44931" w:rsidRPr="00796F2A" w:rsidRDefault="00CE6E20" w:rsidP="00796F2A">
      <w:pPr>
        <w:pStyle w:val="313"/>
        <w:spacing w:line="276" w:lineRule="auto"/>
        <w:jc w:val="both"/>
        <w:rPr>
          <w:rFonts w:ascii="Arial Narrow" w:hAnsi="Arial Narrow" w:cs="Arial Narrow"/>
          <w:bCs/>
          <w:color w:val="000000" w:themeColor="text1"/>
          <w:sz w:val="26"/>
          <w:szCs w:val="26"/>
          <w:lang w:val="es-CO"/>
        </w:rPr>
      </w:pPr>
      <w:r w:rsidRPr="00796F2A">
        <w:rPr>
          <w:rFonts w:ascii="Arial Narrow" w:hAnsi="Arial Narrow" w:cs="Arial Narrow"/>
          <w:b/>
          <w:color w:val="000000" w:themeColor="text1"/>
          <w:sz w:val="26"/>
          <w:szCs w:val="26"/>
          <w:lang w:val="es-CO"/>
        </w:rPr>
        <w:t>1.</w:t>
      </w:r>
      <w:r w:rsidR="00072DB6" w:rsidRPr="00796F2A">
        <w:rPr>
          <w:rFonts w:ascii="Arial Narrow" w:hAnsi="Arial Narrow" w:cs="Arial Narrow"/>
          <w:b/>
          <w:color w:val="000000" w:themeColor="text1"/>
          <w:sz w:val="26"/>
          <w:szCs w:val="26"/>
          <w:lang w:val="es-CO"/>
        </w:rPr>
        <w:t xml:space="preserve">- </w:t>
      </w:r>
      <w:r w:rsidR="00072DB6" w:rsidRPr="00796F2A">
        <w:rPr>
          <w:rFonts w:ascii="Arial Narrow" w:hAnsi="Arial Narrow" w:cs="Arial Narrow"/>
          <w:bCs/>
          <w:color w:val="000000" w:themeColor="text1"/>
          <w:sz w:val="26"/>
          <w:szCs w:val="26"/>
          <w:lang w:val="es-CO"/>
        </w:rPr>
        <w:t>Se</w:t>
      </w:r>
      <w:r w:rsidR="002C5B64" w:rsidRPr="00796F2A">
        <w:rPr>
          <w:rFonts w:ascii="Arial Narrow" w:hAnsi="Arial Narrow" w:cs="Arial Narrow"/>
          <w:bCs/>
          <w:color w:val="000000" w:themeColor="text1"/>
          <w:sz w:val="26"/>
          <w:szCs w:val="26"/>
          <w:lang w:val="es-CO"/>
        </w:rPr>
        <w:t xml:space="preserve"> </w:t>
      </w:r>
      <w:r w:rsidR="00E44931" w:rsidRPr="00796F2A">
        <w:rPr>
          <w:rFonts w:ascii="Arial Narrow" w:hAnsi="Arial Narrow" w:cs="Arial Narrow"/>
          <w:bCs/>
          <w:color w:val="000000" w:themeColor="text1"/>
          <w:sz w:val="26"/>
          <w:szCs w:val="26"/>
          <w:lang w:val="es-CO"/>
        </w:rPr>
        <w:t xml:space="preserve">lee del inciso inicial del artículo 83 del Código de Procedimiento Civil: </w:t>
      </w:r>
    </w:p>
    <w:p w14:paraId="50964651" w14:textId="30146B7E" w:rsidR="00E44931" w:rsidRPr="00796F2A" w:rsidRDefault="00E44931" w:rsidP="00796F2A">
      <w:pPr>
        <w:pStyle w:val="313"/>
        <w:spacing w:line="276" w:lineRule="auto"/>
        <w:jc w:val="both"/>
        <w:rPr>
          <w:rFonts w:ascii="Arial Narrow" w:hAnsi="Arial Narrow" w:cs="Arial Narrow"/>
          <w:bCs/>
          <w:color w:val="000000" w:themeColor="text1"/>
          <w:sz w:val="26"/>
          <w:szCs w:val="26"/>
          <w:lang w:val="es-CO"/>
        </w:rPr>
      </w:pPr>
    </w:p>
    <w:p w14:paraId="41948845" w14:textId="26E9C4B0" w:rsidR="00E44931" w:rsidRPr="008B093E" w:rsidRDefault="00E44931" w:rsidP="008B093E">
      <w:pPr>
        <w:pStyle w:val="313"/>
        <w:ind w:left="426" w:right="420"/>
        <w:jc w:val="both"/>
        <w:rPr>
          <w:rFonts w:ascii="Arial Narrow" w:hAnsi="Arial Narrow" w:cs="Arial Narrow"/>
          <w:bCs/>
          <w:i/>
          <w:color w:val="000000" w:themeColor="text1"/>
          <w:sz w:val="24"/>
          <w:szCs w:val="26"/>
          <w:lang w:val="es-CO"/>
        </w:rPr>
      </w:pPr>
      <w:r w:rsidRPr="008B093E">
        <w:rPr>
          <w:rFonts w:ascii="Arial Narrow" w:hAnsi="Arial Narrow" w:cs="Arial Narrow"/>
          <w:bCs/>
          <w:i/>
          <w:color w:val="000000" w:themeColor="text1"/>
          <w:sz w:val="24"/>
          <w:szCs w:val="26"/>
          <w:lang w:val="es-CO"/>
        </w:rPr>
        <w:t>“Cuando el proceso verse sobre relaciones o actos jurídicos respecto de los cuales, por su naturaleza o por disposición legal, no fuere posible resolver de mérito sin la comparecencia de las personas que sean sujetos de tales relaciones o que intervinieron en dichos actos, la demanda deberá formularse por todas o dirigirse contra todas; si no se hiciere así, el juez en el auto que admite la demanda ordenará dar traslado de ésta a quienes falten para integrar el contradictorio, en la forma y con el término de comparecencia dispuestos para el demandado.</w:t>
      </w:r>
    </w:p>
    <w:p w14:paraId="712B6A41" w14:textId="0430463D" w:rsidR="00E44931" w:rsidRPr="008B093E" w:rsidRDefault="00E44931" w:rsidP="008B093E">
      <w:pPr>
        <w:pStyle w:val="313"/>
        <w:ind w:left="426" w:right="420"/>
        <w:jc w:val="both"/>
        <w:rPr>
          <w:rFonts w:ascii="Arial Narrow" w:hAnsi="Arial Narrow" w:cs="Arial Narrow"/>
          <w:bCs/>
          <w:i/>
          <w:color w:val="000000" w:themeColor="text1"/>
          <w:sz w:val="24"/>
          <w:szCs w:val="26"/>
          <w:lang w:val="es-CO"/>
        </w:rPr>
      </w:pPr>
      <w:r w:rsidRPr="008B093E">
        <w:rPr>
          <w:rFonts w:ascii="Arial Narrow" w:hAnsi="Arial Narrow" w:cs="Arial Narrow"/>
          <w:bCs/>
          <w:i/>
          <w:color w:val="000000" w:themeColor="text1"/>
          <w:sz w:val="24"/>
          <w:szCs w:val="26"/>
          <w:lang w:val="es-CO"/>
        </w:rPr>
        <w:lastRenderedPageBreak/>
        <w:t>(…)</w:t>
      </w:r>
    </w:p>
    <w:p w14:paraId="4B03396C" w14:textId="3549A723" w:rsidR="00E44931" w:rsidRPr="008B093E" w:rsidRDefault="00E44931" w:rsidP="008B093E">
      <w:pPr>
        <w:pStyle w:val="313"/>
        <w:ind w:left="426" w:right="420"/>
        <w:jc w:val="both"/>
        <w:rPr>
          <w:rFonts w:ascii="Arial Narrow" w:hAnsi="Arial Narrow" w:cs="Arial Narrow"/>
          <w:bCs/>
          <w:i/>
          <w:color w:val="000000" w:themeColor="text1"/>
          <w:sz w:val="24"/>
          <w:szCs w:val="26"/>
          <w:lang w:val="es-CO"/>
        </w:rPr>
      </w:pPr>
      <w:r w:rsidRPr="008B093E">
        <w:rPr>
          <w:rFonts w:ascii="Arial Narrow" w:hAnsi="Arial Narrow" w:cs="Arial Narrow"/>
          <w:bCs/>
          <w:i/>
          <w:color w:val="000000" w:themeColor="text1"/>
          <w:sz w:val="24"/>
          <w:szCs w:val="26"/>
          <w:lang w:val="es-CO"/>
        </w:rPr>
        <w:t>Cuando alguno de los litisconsortes necesarios del demandante no figure en la demanda, podrá pedirse su citación acompañando la prueba de dicho litisconsorcio, efectuada la cual, quedará vinculado al proceso.”</w:t>
      </w:r>
    </w:p>
    <w:p w14:paraId="129724AE" w14:textId="77777777" w:rsidR="00E44931" w:rsidRPr="00796F2A" w:rsidRDefault="00E44931" w:rsidP="00796F2A">
      <w:pPr>
        <w:pStyle w:val="313"/>
        <w:spacing w:line="276" w:lineRule="auto"/>
        <w:ind w:left="567" w:right="335"/>
        <w:jc w:val="both"/>
        <w:rPr>
          <w:rFonts w:ascii="Arial Narrow" w:hAnsi="Arial Narrow" w:cs="Arial Narrow"/>
          <w:bCs/>
          <w:i/>
          <w:color w:val="000000" w:themeColor="text1"/>
          <w:sz w:val="26"/>
          <w:szCs w:val="26"/>
          <w:lang w:val="es-CO"/>
        </w:rPr>
      </w:pPr>
    </w:p>
    <w:p w14:paraId="3729B803" w14:textId="77777777" w:rsidR="001152BD" w:rsidRPr="00796F2A" w:rsidRDefault="00E44931" w:rsidP="00796F2A">
      <w:pPr>
        <w:pStyle w:val="Default"/>
        <w:spacing w:line="276" w:lineRule="auto"/>
        <w:jc w:val="both"/>
        <w:rPr>
          <w:rFonts w:ascii="Arial Narrow" w:hAnsi="Arial Narrow"/>
          <w:color w:val="000000" w:themeColor="text1"/>
          <w:sz w:val="26"/>
          <w:szCs w:val="26"/>
        </w:rPr>
      </w:pPr>
      <w:r w:rsidRPr="00796F2A">
        <w:rPr>
          <w:rFonts w:ascii="Arial Narrow" w:hAnsi="Arial Narrow"/>
          <w:sz w:val="26"/>
          <w:szCs w:val="26"/>
        </w:rPr>
        <w:t>Debe el fallador al advertir la deficiente integración de unos de los extremos de la litis (por presentarse un litisconsorcio necesario</w:t>
      </w:r>
      <w:r w:rsidR="00EE3FE7" w:rsidRPr="00796F2A">
        <w:rPr>
          <w:rFonts w:ascii="Arial Narrow" w:hAnsi="Arial Narrow"/>
          <w:sz w:val="26"/>
          <w:szCs w:val="26"/>
        </w:rPr>
        <w:t xml:space="preserve">), </w:t>
      </w:r>
      <w:r w:rsidR="00EE3FE7" w:rsidRPr="00796F2A">
        <w:rPr>
          <w:rFonts w:ascii="Arial Narrow" w:hAnsi="Arial Narrow"/>
          <w:i/>
          <w:color w:val="000000" w:themeColor="text1"/>
          <w:sz w:val="26"/>
          <w:szCs w:val="26"/>
        </w:rPr>
        <w:t>“</w:t>
      </w:r>
      <w:r w:rsidR="00EE3FE7" w:rsidRPr="008B093E">
        <w:rPr>
          <w:rFonts w:ascii="Arial Narrow" w:hAnsi="Arial Narrow"/>
          <w:i/>
          <w:color w:val="000000" w:themeColor="text1"/>
          <w:szCs w:val="26"/>
        </w:rPr>
        <w:t>[e]</w:t>
      </w:r>
      <w:proofErr w:type="spellStart"/>
      <w:r w:rsidR="00EE3FE7" w:rsidRPr="008B093E">
        <w:rPr>
          <w:rFonts w:ascii="Arial Narrow" w:hAnsi="Arial Narrow"/>
          <w:i/>
          <w:color w:val="000000" w:themeColor="text1"/>
          <w:szCs w:val="26"/>
        </w:rPr>
        <w:t>mplear</w:t>
      </w:r>
      <w:proofErr w:type="spellEnd"/>
      <w:r w:rsidR="00EE3FE7" w:rsidRPr="008B093E">
        <w:rPr>
          <w:rFonts w:ascii="Arial Narrow" w:hAnsi="Arial Narrow"/>
          <w:i/>
          <w:color w:val="000000" w:themeColor="text1"/>
          <w:szCs w:val="26"/>
        </w:rPr>
        <w:t xml:space="preserve"> los poderes que [el] Código le concede en materia de pruebas, siempre que lo considere conveniente para verificar los hechos alegados por las partes y </w:t>
      </w:r>
      <w:r w:rsidR="00EE3FE7" w:rsidRPr="008B093E">
        <w:rPr>
          <w:rFonts w:ascii="Arial Narrow" w:hAnsi="Arial Narrow"/>
          <w:i/>
          <w:color w:val="000000" w:themeColor="text1"/>
          <w:szCs w:val="26"/>
          <w:u w:val="single"/>
        </w:rPr>
        <w:t>evitar nulidades</w:t>
      </w:r>
      <w:r w:rsidR="00EE3FE7" w:rsidRPr="008B093E">
        <w:rPr>
          <w:rFonts w:ascii="Arial Narrow" w:hAnsi="Arial Narrow"/>
          <w:i/>
          <w:color w:val="000000" w:themeColor="text1"/>
          <w:szCs w:val="26"/>
        </w:rPr>
        <w:t xml:space="preserve"> y providencias inhibitorias</w:t>
      </w:r>
      <w:r w:rsidR="00EE3FE7" w:rsidRPr="00796F2A">
        <w:rPr>
          <w:rFonts w:ascii="Arial Narrow" w:hAnsi="Arial Narrow"/>
          <w:i/>
          <w:color w:val="000000" w:themeColor="text1"/>
          <w:sz w:val="26"/>
          <w:szCs w:val="26"/>
        </w:rPr>
        <w:t>.”</w:t>
      </w:r>
      <w:r w:rsidR="00EE3FE7" w:rsidRPr="00796F2A">
        <w:rPr>
          <w:rStyle w:val="Refdenotaalpie"/>
          <w:rFonts w:ascii="Arial Narrow" w:hAnsi="Arial Narrow"/>
          <w:i/>
          <w:color w:val="000000" w:themeColor="text1"/>
          <w:sz w:val="26"/>
          <w:szCs w:val="26"/>
        </w:rPr>
        <w:footnoteReference w:id="2"/>
      </w:r>
      <w:r w:rsidR="00EE3FE7" w:rsidRPr="00796F2A">
        <w:rPr>
          <w:rFonts w:ascii="Arial Narrow" w:hAnsi="Arial Narrow"/>
          <w:color w:val="000000" w:themeColor="text1"/>
          <w:sz w:val="26"/>
          <w:szCs w:val="26"/>
        </w:rPr>
        <w:t xml:space="preserve"> </w:t>
      </w:r>
    </w:p>
    <w:p w14:paraId="4B991F22" w14:textId="77777777" w:rsidR="001152BD" w:rsidRPr="00796F2A" w:rsidRDefault="001152BD" w:rsidP="00796F2A">
      <w:pPr>
        <w:pStyle w:val="Default"/>
        <w:spacing w:line="276" w:lineRule="auto"/>
        <w:jc w:val="both"/>
        <w:rPr>
          <w:rFonts w:ascii="Arial Narrow" w:hAnsi="Arial Narrow"/>
          <w:color w:val="000000" w:themeColor="text1"/>
          <w:sz w:val="26"/>
          <w:szCs w:val="26"/>
        </w:rPr>
      </w:pPr>
    </w:p>
    <w:p w14:paraId="2C7DFD33" w14:textId="4C4C466C" w:rsidR="00EE3FE7" w:rsidRPr="00796F2A" w:rsidRDefault="00EE3FE7" w:rsidP="00796F2A">
      <w:pPr>
        <w:pStyle w:val="Default"/>
        <w:spacing w:line="276" w:lineRule="auto"/>
        <w:jc w:val="both"/>
        <w:rPr>
          <w:rFonts w:ascii="Arial Narrow" w:hAnsi="Arial Narrow"/>
          <w:color w:val="000000" w:themeColor="text1"/>
          <w:sz w:val="26"/>
          <w:szCs w:val="26"/>
        </w:rPr>
      </w:pPr>
      <w:r w:rsidRPr="00796F2A">
        <w:rPr>
          <w:rFonts w:ascii="Arial Narrow" w:hAnsi="Arial Narrow"/>
          <w:color w:val="000000" w:themeColor="text1"/>
          <w:sz w:val="26"/>
          <w:szCs w:val="26"/>
        </w:rPr>
        <w:t xml:space="preserve">Entiéndase entonces que, así las partes no lo soliciten, es deber del juez lograr que todas las personas sobre las que necesariamente el fallo surtirá efectos, concurran al proceso para que la decisión les sea legalmente oponible. </w:t>
      </w:r>
    </w:p>
    <w:p w14:paraId="2D8BA5A6" w14:textId="7386C811" w:rsidR="00EE3FE7" w:rsidRPr="00796F2A" w:rsidRDefault="00EE3FE7" w:rsidP="00796F2A">
      <w:pPr>
        <w:pStyle w:val="Default"/>
        <w:spacing w:line="276" w:lineRule="auto"/>
        <w:jc w:val="both"/>
        <w:rPr>
          <w:rFonts w:ascii="Arial Narrow" w:hAnsi="Arial Narrow"/>
          <w:color w:val="000000" w:themeColor="text1"/>
          <w:sz w:val="26"/>
          <w:szCs w:val="26"/>
        </w:rPr>
      </w:pPr>
    </w:p>
    <w:p w14:paraId="34BD62F9" w14:textId="15805BB4" w:rsidR="00525E06" w:rsidRPr="00796F2A" w:rsidRDefault="00D404C0" w:rsidP="00796F2A">
      <w:pPr>
        <w:pStyle w:val="Default"/>
        <w:spacing w:line="276" w:lineRule="auto"/>
        <w:jc w:val="both"/>
        <w:rPr>
          <w:rFonts w:ascii="Arial Narrow" w:hAnsi="Arial Narrow"/>
          <w:color w:val="000000" w:themeColor="text1"/>
          <w:sz w:val="26"/>
          <w:szCs w:val="26"/>
        </w:rPr>
      </w:pPr>
      <w:r w:rsidRPr="00796F2A">
        <w:rPr>
          <w:rFonts w:ascii="Arial Narrow" w:hAnsi="Arial Narrow"/>
          <w:b/>
          <w:color w:val="000000" w:themeColor="text1"/>
          <w:sz w:val="26"/>
          <w:szCs w:val="26"/>
        </w:rPr>
        <w:t>2.</w:t>
      </w:r>
      <w:r w:rsidR="00A2057C" w:rsidRPr="00796F2A">
        <w:rPr>
          <w:rFonts w:ascii="Arial Narrow" w:hAnsi="Arial Narrow"/>
          <w:b/>
          <w:color w:val="000000" w:themeColor="text1"/>
          <w:sz w:val="26"/>
          <w:szCs w:val="26"/>
        </w:rPr>
        <w:t xml:space="preserve">- </w:t>
      </w:r>
      <w:r w:rsidR="00A2057C" w:rsidRPr="00796F2A">
        <w:rPr>
          <w:rFonts w:ascii="Arial Narrow" w:hAnsi="Arial Narrow"/>
          <w:color w:val="000000" w:themeColor="text1"/>
          <w:sz w:val="26"/>
          <w:szCs w:val="26"/>
        </w:rPr>
        <w:t>En</w:t>
      </w:r>
      <w:r w:rsidR="00525E06" w:rsidRPr="00796F2A">
        <w:rPr>
          <w:rFonts w:ascii="Arial Narrow" w:hAnsi="Arial Narrow"/>
          <w:color w:val="000000" w:themeColor="text1"/>
          <w:sz w:val="26"/>
          <w:szCs w:val="26"/>
        </w:rPr>
        <w:t xml:space="preserve"> cuanto a las controversias contractuales, cuyos extremos</w:t>
      </w:r>
      <w:r w:rsidR="00A145F5" w:rsidRPr="00796F2A">
        <w:rPr>
          <w:rFonts w:ascii="Arial Narrow" w:hAnsi="Arial Narrow"/>
          <w:color w:val="000000" w:themeColor="text1"/>
          <w:sz w:val="26"/>
          <w:szCs w:val="26"/>
        </w:rPr>
        <w:t xml:space="preserve"> instrumentales </w:t>
      </w:r>
      <w:r w:rsidR="00525E06" w:rsidRPr="00796F2A">
        <w:rPr>
          <w:rFonts w:ascii="Arial Narrow" w:hAnsi="Arial Narrow"/>
          <w:color w:val="000000" w:themeColor="text1"/>
          <w:sz w:val="26"/>
          <w:szCs w:val="26"/>
        </w:rPr>
        <w:t xml:space="preserve">están conformados por varios integrantes, </w:t>
      </w:r>
      <w:r w:rsidR="004D58D3" w:rsidRPr="00796F2A">
        <w:rPr>
          <w:rFonts w:ascii="Arial Narrow" w:hAnsi="Arial Narrow"/>
          <w:color w:val="000000" w:themeColor="text1"/>
          <w:sz w:val="26"/>
          <w:szCs w:val="26"/>
        </w:rPr>
        <w:t xml:space="preserve">y el litisconsorcio necesario, </w:t>
      </w:r>
      <w:r w:rsidR="00525E06" w:rsidRPr="00796F2A">
        <w:rPr>
          <w:rFonts w:ascii="Arial Narrow" w:hAnsi="Arial Narrow"/>
          <w:color w:val="000000" w:themeColor="text1"/>
          <w:sz w:val="26"/>
          <w:szCs w:val="26"/>
        </w:rPr>
        <w:t xml:space="preserve">se ha dicho por la Corte Suprema de Justicia: </w:t>
      </w:r>
    </w:p>
    <w:p w14:paraId="44AAFF86" w14:textId="77777777" w:rsidR="00525E06" w:rsidRPr="00796F2A" w:rsidRDefault="00525E06" w:rsidP="00796F2A">
      <w:pPr>
        <w:pStyle w:val="Default"/>
        <w:spacing w:line="276" w:lineRule="auto"/>
        <w:jc w:val="both"/>
        <w:rPr>
          <w:rFonts w:ascii="Arial Narrow" w:hAnsi="Arial Narrow"/>
          <w:color w:val="000000" w:themeColor="text1"/>
          <w:sz w:val="26"/>
          <w:szCs w:val="26"/>
        </w:rPr>
      </w:pPr>
    </w:p>
    <w:p w14:paraId="68F8DC29" w14:textId="2ECA4268" w:rsidR="00A2057C" w:rsidRPr="008B093E" w:rsidRDefault="00A2057C" w:rsidP="008B093E">
      <w:pPr>
        <w:pStyle w:val="Default"/>
        <w:ind w:left="426" w:right="420"/>
        <w:jc w:val="both"/>
        <w:rPr>
          <w:rFonts w:ascii="Arial Narrow" w:hAnsi="Arial Narrow"/>
          <w:i/>
          <w:color w:val="000000" w:themeColor="text1"/>
          <w:szCs w:val="26"/>
        </w:rPr>
      </w:pPr>
      <w:r w:rsidRPr="008B093E">
        <w:rPr>
          <w:rFonts w:ascii="Arial Narrow" w:hAnsi="Arial Narrow"/>
          <w:i/>
          <w:color w:val="000000" w:themeColor="text1"/>
          <w:szCs w:val="26"/>
        </w:rPr>
        <w:t>“El segundo que es el pertinente para el caso, puede tener origen en la "disposición legal" o imponerlo directamente la "naturaleza" de las "relaciones o actos jurídicos" respecto de las cuales "verse" el proceso (art. 83 ejusdem), presentándose esta última eventualidad, como ha tenido oportunidad de explicarlo la Corporación, cuando la relación de derecho sustancial objeto de la pretensión; está integrada por un número plural, de sujetos, activos o pasivos, "en forma tal que no es susceptible de escindirse en tantas relaciones aisladas como sujeto activos o pasivos individualmente considerados existan, sino que se presenta como una, única e indivisible frente al conjunto de tales sujetos" (G.J., t. CXXXIV, pág. 170), o como la propia ley lo declara, bajo el supuesto de la pluralidad subjetiva, "Cuando la cuestión haya de resolverse de manera uniforme para todos los litisconsortes...." (art. 51).</w:t>
      </w:r>
    </w:p>
    <w:p w14:paraId="20625E4F" w14:textId="77777777" w:rsidR="00A2057C" w:rsidRPr="008B093E" w:rsidRDefault="00A2057C" w:rsidP="008B093E">
      <w:pPr>
        <w:pStyle w:val="Default"/>
        <w:ind w:left="426" w:right="420"/>
        <w:jc w:val="both"/>
        <w:rPr>
          <w:rFonts w:ascii="Arial Narrow" w:hAnsi="Arial Narrow"/>
          <w:i/>
          <w:color w:val="000000" w:themeColor="text1"/>
          <w:szCs w:val="26"/>
        </w:rPr>
      </w:pPr>
    </w:p>
    <w:p w14:paraId="14B634E8" w14:textId="39056AAB" w:rsidR="00D404C0" w:rsidRPr="008B093E" w:rsidRDefault="00A2057C" w:rsidP="008B093E">
      <w:pPr>
        <w:pStyle w:val="Default"/>
        <w:ind w:left="426" w:right="420"/>
        <w:jc w:val="both"/>
        <w:rPr>
          <w:rFonts w:ascii="Arial Narrow" w:hAnsi="Arial Narrow"/>
          <w:i/>
          <w:color w:val="000000" w:themeColor="text1"/>
          <w:szCs w:val="26"/>
        </w:rPr>
      </w:pPr>
      <w:r w:rsidRPr="008B093E">
        <w:rPr>
          <w:rFonts w:ascii="Arial Narrow" w:hAnsi="Arial Narrow"/>
          <w:i/>
          <w:color w:val="000000" w:themeColor="text1"/>
          <w:szCs w:val="26"/>
        </w:rPr>
        <w:t>En torno a los anteriores conceptos, la jurisprudencia y la doctrina, unánimemente han predicado que "si a la formación de un acto o contrato concurrieron con su voluntad dos o más sujetos de derecho, la modificación, disolución o, en fin, la alteración del mismo, no podría decretarse en un proceso sin que todos ellos hubiesen tenido la posibilidad de ejercer el derecho de contradicción..." (</w:t>
      </w:r>
      <w:proofErr w:type="spellStart"/>
      <w:r w:rsidRPr="008B093E">
        <w:rPr>
          <w:rFonts w:ascii="Arial Narrow" w:hAnsi="Arial Narrow"/>
          <w:i/>
          <w:color w:val="000000" w:themeColor="text1"/>
          <w:szCs w:val="26"/>
        </w:rPr>
        <w:t>Sent</w:t>
      </w:r>
      <w:proofErr w:type="spellEnd"/>
      <w:r w:rsidRPr="008B093E">
        <w:rPr>
          <w:rFonts w:ascii="Arial Narrow" w:hAnsi="Arial Narrow"/>
          <w:i/>
          <w:color w:val="000000" w:themeColor="text1"/>
          <w:szCs w:val="26"/>
        </w:rPr>
        <w:t>. de Cas. de 11 de octubre de 1988). Por consiguiente se concluye, que siempre que se formule una pretensión impugnativa de un contrato celebrado por una multiplicidad de personas, llámese nulidad, simulación, resolución, rescisión, etc., todas ellas integran un litisconsorcio necesario, pues la naturaleza de la relación sustancial debatida impone que el contradictorio se integre con todas ellas, porque la cuestión litigiosa debe resolverse de manera uniforme, o sea que no puede ser escindida "en tantas relaciones aisladas como sujeto activos o pasivos individualmente considerados existan".”</w:t>
      </w:r>
      <w:r w:rsidRPr="008B093E">
        <w:rPr>
          <w:rStyle w:val="Refdenotaalpie"/>
          <w:rFonts w:ascii="Arial Narrow" w:hAnsi="Arial Narrow"/>
          <w:i/>
          <w:color w:val="000000" w:themeColor="text1"/>
          <w:szCs w:val="26"/>
        </w:rPr>
        <w:footnoteReference w:id="3"/>
      </w:r>
    </w:p>
    <w:p w14:paraId="1AE0EF03" w14:textId="7C3172AC" w:rsidR="00D404C0" w:rsidRPr="00796F2A" w:rsidRDefault="00D404C0" w:rsidP="00796F2A">
      <w:pPr>
        <w:pStyle w:val="Default"/>
        <w:spacing w:line="276" w:lineRule="auto"/>
        <w:jc w:val="both"/>
        <w:rPr>
          <w:rFonts w:ascii="Arial Narrow" w:hAnsi="Arial Narrow"/>
          <w:color w:val="000000" w:themeColor="text1"/>
          <w:sz w:val="26"/>
          <w:szCs w:val="26"/>
        </w:rPr>
      </w:pPr>
    </w:p>
    <w:p w14:paraId="1B2846C8" w14:textId="2C335E30" w:rsidR="008147F8" w:rsidRPr="00796F2A" w:rsidRDefault="00A2057C" w:rsidP="00796F2A">
      <w:pPr>
        <w:pStyle w:val="Default"/>
        <w:spacing w:line="276" w:lineRule="auto"/>
        <w:jc w:val="both"/>
        <w:rPr>
          <w:rFonts w:ascii="Arial Narrow" w:hAnsi="Arial Narrow" w:cs="Arial Narrow"/>
          <w:bCs/>
          <w:color w:val="000000" w:themeColor="text1"/>
          <w:sz w:val="26"/>
          <w:szCs w:val="26"/>
        </w:rPr>
      </w:pPr>
      <w:r w:rsidRPr="00796F2A">
        <w:rPr>
          <w:rFonts w:ascii="Arial Narrow" w:hAnsi="Arial Narrow"/>
          <w:color w:val="000000" w:themeColor="text1"/>
          <w:sz w:val="26"/>
          <w:szCs w:val="26"/>
        </w:rPr>
        <w:t xml:space="preserve">En este caso, la pretensión si bien no busca impugnar el acto sustancial, sí persigue la </w:t>
      </w:r>
      <w:r w:rsidR="000975AF" w:rsidRPr="00796F2A">
        <w:rPr>
          <w:rFonts w:ascii="Arial Narrow" w:hAnsi="Arial Narrow"/>
          <w:color w:val="000000" w:themeColor="text1"/>
          <w:sz w:val="26"/>
          <w:szCs w:val="26"/>
        </w:rPr>
        <w:t xml:space="preserve">alteración </w:t>
      </w:r>
      <w:r w:rsidRPr="00796F2A">
        <w:rPr>
          <w:rFonts w:ascii="Arial Narrow" w:hAnsi="Arial Narrow"/>
          <w:color w:val="000000" w:themeColor="text1"/>
          <w:sz w:val="26"/>
          <w:szCs w:val="26"/>
        </w:rPr>
        <w:t>de su clausulado</w:t>
      </w:r>
      <w:r w:rsidR="000975AF" w:rsidRPr="00796F2A">
        <w:rPr>
          <w:rFonts w:ascii="Arial Narrow" w:hAnsi="Arial Narrow"/>
          <w:color w:val="000000" w:themeColor="text1"/>
          <w:sz w:val="26"/>
          <w:szCs w:val="26"/>
        </w:rPr>
        <w:t xml:space="preserve"> en cuanto a las prestaciones pendientes de cumplimiento</w:t>
      </w:r>
      <w:r w:rsidR="002C296F" w:rsidRPr="00796F2A">
        <w:rPr>
          <w:rFonts w:ascii="Arial Narrow" w:hAnsi="Arial Narrow"/>
          <w:color w:val="000000" w:themeColor="text1"/>
          <w:sz w:val="26"/>
          <w:szCs w:val="26"/>
        </w:rPr>
        <w:t>, comprometi</w:t>
      </w:r>
      <w:r w:rsidR="00B677E4" w:rsidRPr="00796F2A">
        <w:rPr>
          <w:rFonts w:ascii="Arial Narrow" w:hAnsi="Arial Narrow"/>
          <w:color w:val="000000" w:themeColor="text1"/>
          <w:sz w:val="26"/>
          <w:szCs w:val="26"/>
        </w:rPr>
        <w:t>é</w:t>
      </w:r>
      <w:r w:rsidR="002C296F" w:rsidRPr="00796F2A">
        <w:rPr>
          <w:rFonts w:ascii="Arial Narrow" w:hAnsi="Arial Narrow"/>
          <w:color w:val="000000" w:themeColor="text1"/>
          <w:sz w:val="26"/>
          <w:szCs w:val="26"/>
        </w:rPr>
        <w:t>ndo</w:t>
      </w:r>
      <w:r w:rsidR="00B677E4" w:rsidRPr="00796F2A">
        <w:rPr>
          <w:rFonts w:ascii="Arial Narrow" w:hAnsi="Arial Narrow"/>
          <w:color w:val="000000" w:themeColor="text1"/>
          <w:sz w:val="26"/>
          <w:szCs w:val="26"/>
        </w:rPr>
        <w:t>se</w:t>
      </w:r>
      <w:r w:rsidR="002C296F" w:rsidRPr="00796F2A">
        <w:rPr>
          <w:rFonts w:ascii="Arial Narrow" w:hAnsi="Arial Narrow"/>
          <w:color w:val="000000" w:themeColor="text1"/>
          <w:sz w:val="26"/>
          <w:szCs w:val="26"/>
        </w:rPr>
        <w:t xml:space="preserve"> </w:t>
      </w:r>
      <w:r w:rsidR="00B677E4" w:rsidRPr="00796F2A">
        <w:rPr>
          <w:rFonts w:ascii="Arial Narrow" w:hAnsi="Arial Narrow"/>
          <w:color w:val="000000" w:themeColor="text1"/>
          <w:sz w:val="26"/>
          <w:szCs w:val="26"/>
        </w:rPr>
        <w:t xml:space="preserve">así </w:t>
      </w:r>
      <w:r w:rsidR="002C296F" w:rsidRPr="00796F2A">
        <w:rPr>
          <w:rFonts w:ascii="Arial Narrow" w:hAnsi="Arial Narrow"/>
          <w:color w:val="000000" w:themeColor="text1"/>
          <w:sz w:val="26"/>
          <w:szCs w:val="26"/>
        </w:rPr>
        <w:t>los intereses de</w:t>
      </w:r>
      <w:r w:rsidR="002C296F" w:rsidRPr="00796F2A">
        <w:rPr>
          <w:rFonts w:ascii="Arial Narrow" w:hAnsi="Arial Narrow" w:cs="Arial Narrow"/>
          <w:bCs/>
          <w:color w:val="000000" w:themeColor="text1"/>
          <w:sz w:val="26"/>
          <w:szCs w:val="26"/>
        </w:rPr>
        <w:t xml:space="preserve"> Fernando de Jesús García Agudelo y Fabio Hernán Santamaria </w:t>
      </w:r>
      <w:proofErr w:type="spellStart"/>
      <w:r w:rsidR="002C296F" w:rsidRPr="00796F2A">
        <w:rPr>
          <w:rFonts w:ascii="Arial Narrow" w:hAnsi="Arial Narrow" w:cs="Arial Narrow"/>
          <w:bCs/>
          <w:color w:val="000000" w:themeColor="text1"/>
          <w:sz w:val="26"/>
          <w:szCs w:val="26"/>
        </w:rPr>
        <w:t>Calvachi</w:t>
      </w:r>
      <w:proofErr w:type="spellEnd"/>
      <w:r w:rsidR="002C296F" w:rsidRPr="00796F2A">
        <w:rPr>
          <w:rFonts w:ascii="Arial Narrow" w:hAnsi="Arial Narrow" w:cs="Arial Narrow"/>
          <w:bCs/>
          <w:color w:val="000000" w:themeColor="text1"/>
          <w:sz w:val="26"/>
          <w:szCs w:val="26"/>
        </w:rPr>
        <w:t xml:space="preserve">, </w:t>
      </w:r>
      <w:r w:rsidR="00B677E4" w:rsidRPr="00796F2A">
        <w:rPr>
          <w:rFonts w:ascii="Arial Narrow" w:hAnsi="Arial Narrow" w:cs="Arial Narrow"/>
          <w:bCs/>
          <w:color w:val="000000" w:themeColor="text1"/>
          <w:sz w:val="26"/>
          <w:szCs w:val="26"/>
        </w:rPr>
        <w:t xml:space="preserve">quienes también intervinieron como mutuarios en uno de los créditos cuya </w:t>
      </w:r>
      <w:r w:rsidR="008147F8" w:rsidRPr="00796F2A">
        <w:rPr>
          <w:rFonts w:ascii="Arial Narrow" w:hAnsi="Arial Narrow" w:cs="Arial Narrow"/>
          <w:bCs/>
          <w:color w:val="000000" w:themeColor="text1"/>
          <w:sz w:val="26"/>
          <w:szCs w:val="26"/>
        </w:rPr>
        <w:t>revisión se pide. Así se desprende del pagaré que lo documento, donde ellos aparecen firmando como otorgantes.</w:t>
      </w:r>
    </w:p>
    <w:p w14:paraId="49B12224" w14:textId="77777777" w:rsidR="00116DEF" w:rsidRPr="00796F2A" w:rsidRDefault="00116DEF" w:rsidP="00796F2A">
      <w:pPr>
        <w:pStyle w:val="Default"/>
        <w:spacing w:line="276" w:lineRule="auto"/>
        <w:jc w:val="both"/>
        <w:rPr>
          <w:rFonts w:ascii="Arial Narrow" w:hAnsi="Arial Narrow" w:cs="Arial Narrow"/>
          <w:bCs/>
          <w:color w:val="000000" w:themeColor="text1"/>
          <w:sz w:val="26"/>
          <w:szCs w:val="26"/>
        </w:rPr>
      </w:pPr>
    </w:p>
    <w:p w14:paraId="36B2EB29" w14:textId="6C6D28E1" w:rsidR="00DA2E44" w:rsidRPr="00796F2A" w:rsidRDefault="00DA2E44" w:rsidP="00796F2A">
      <w:pPr>
        <w:pStyle w:val="Default"/>
        <w:spacing w:line="276" w:lineRule="auto"/>
        <w:jc w:val="both"/>
        <w:rPr>
          <w:rFonts w:ascii="Arial Narrow" w:hAnsi="Arial Narrow" w:cs="Arial Narrow"/>
          <w:bCs/>
          <w:color w:val="000000" w:themeColor="text1"/>
          <w:sz w:val="26"/>
          <w:szCs w:val="26"/>
        </w:rPr>
      </w:pPr>
      <w:r w:rsidRPr="00796F2A">
        <w:rPr>
          <w:rFonts w:ascii="Arial Narrow" w:hAnsi="Arial Narrow"/>
          <w:noProof/>
          <w:sz w:val="26"/>
          <w:szCs w:val="26"/>
        </w:rPr>
        <w:lastRenderedPageBreak/>
        <w:drawing>
          <wp:inline distT="0" distB="0" distL="0" distR="0" wp14:anchorId="32C632FB" wp14:editId="195E4EB2">
            <wp:extent cx="5253355" cy="1368537"/>
            <wp:effectExtent l="0" t="0" r="4445" b="3175"/>
            <wp:docPr id="3" name="Imagen 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con confianza media"/>
                    <pic:cNvPicPr/>
                  </pic:nvPicPr>
                  <pic:blipFill rotWithShape="1">
                    <a:blip r:embed="rId12"/>
                    <a:srcRect l="19037" t="21931" r="21129" b="50333"/>
                    <a:stretch/>
                  </pic:blipFill>
                  <pic:spPr bwMode="auto">
                    <a:xfrm>
                      <a:off x="0" y="0"/>
                      <a:ext cx="5253355" cy="1368537"/>
                    </a:xfrm>
                    <a:prstGeom prst="rect">
                      <a:avLst/>
                    </a:prstGeom>
                    <a:ln>
                      <a:noFill/>
                    </a:ln>
                    <a:extLst>
                      <a:ext uri="{53640926-AAD7-44D8-BBD7-CCE9431645EC}">
                        <a14:shadowObscured xmlns:a14="http://schemas.microsoft.com/office/drawing/2010/main"/>
                      </a:ext>
                    </a:extLst>
                  </pic:spPr>
                </pic:pic>
              </a:graphicData>
            </a:graphic>
          </wp:inline>
        </w:drawing>
      </w:r>
    </w:p>
    <w:p w14:paraId="222FC1CC" w14:textId="1FC792C7" w:rsidR="00DA2E44" w:rsidRPr="00796F2A" w:rsidRDefault="00DA2E44" w:rsidP="00796F2A">
      <w:pPr>
        <w:pStyle w:val="Default"/>
        <w:spacing w:line="276" w:lineRule="auto"/>
        <w:jc w:val="both"/>
        <w:rPr>
          <w:rFonts w:ascii="Arial Narrow" w:hAnsi="Arial Narrow" w:cs="Arial Narrow"/>
          <w:bCs/>
          <w:color w:val="000000" w:themeColor="text1"/>
          <w:sz w:val="26"/>
          <w:szCs w:val="26"/>
        </w:rPr>
      </w:pPr>
    </w:p>
    <w:p w14:paraId="4656A652" w14:textId="7C8CA50D" w:rsidR="00DA2E44" w:rsidRPr="00796F2A" w:rsidRDefault="00311071" w:rsidP="00796F2A">
      <w:pPr>
        <w:pStyle w:val="Default"/>
        <w:spacing w:line="276" w:lineRule="auto"/>
        <w:jc w:val="both"/>
        <w:rPr>
          <w:rFonts w:ascii="Arial Narrow" w:hAnsi="Arial Narrow" w:cs="Arial Narrow"/>
          <w:bCs/>
          <w:color w:val="000000" w:themeColor="text1"/>
          <w:sz w:val="26"/>
          <w:szCs w:val="26"/>
        </w:rPr>
      </w:pPr>
      <w:r w:rsidRPr="00796F2A">
        <w:rPr>
          <w:rFonts w:ascii="Arial Narrow" w:hAnsi="Arial Narrow"/>
          <w:noProof/>
          <w:sz w:val="26"/>
          <w:szCs w:val="26"/>
        </w:rPr>
        <w:drawing>
          <wp:inline distT="0" distB="0" distL="0" distR="0" wp14:anchorId="3AA4EC64" wp14:editId="33663044">
            <wp:extent cx="5181600" cy="2438400"/>
            <wp:effectExtent l="0" t="0" r="0" b="0"/>
            <wp:docPr id="4" name="Imagen 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10;&#10;Descripción generada automáticamente"/>
                    <pic:cNvPicPr/>
                  </pic:nvPicPr>
                  <pic:blipFill rotWithShape="1">
                    <a:blip r:embed="rId13"/>
                    <a:srcRect l="19945" t="24833" r="21491" b="26145"/>
                    <a:stretch/>
                  </pic:blipFill>
                  <pic:spPr bwMode="auto">
                    <a:xfrm>
                      <a:off x="0" y="0"/>
                      <a:ext cx="5202347" cy="2448163"/>
                    </a:xfrm>
                    <a:prstGeom prst="rect">
                      <a:avLst/>
                    </a:prstGeom>
                    <a:ln>
                      <a:noFill/>
                    </a:ln>
                    <a:extLst>
                      <a:ext uri="{53640926-AAD7-44D8-BBD7-CCE9431645EC}">
                        <a14:shadowObscured xmlns:a14="http://schemas.microsoft.com/office/drawing/2010/main"/>
                      </a:ext>
                    </a:extLst>
                  </pic:spPr>
                </pic:pic>
              </a:graphicData>
            </a:graphic>
          </wp:inline>
        </w:drawing>
      </w:r>
    </w:p>
    <w:p w14:paraId="7BDE6A33" w14:textId="77777777" w:rsidR="00311071" w:rsidRPr="00796F2A" w:rsidRDefault="00311071" w:rsidP="00796F2A">
      <w:pPr>
        <w:pStyle w:val="Default"/>
        <w:spacing w:line="276" w:lineRule="auto"/>
        <w:jc w:val="both"/>
        <w:rPr>
          <w:rFonts w:ascii="Arial Narrow" w:hAnsi="Arial Narrow" w:cs="Arial Narrow"/>
          <w:bCs/>
          <w:color w:val="000000" w:themeColor="text1"/>
          <w:sz w:val="26"/>
          <w:szCs w:val="26"/>
        </w:rPr>
      </w:pPr>
    </w:p>
    <w:p w14:paraId="30B1730A" w14:textId="77777777" w:rsidR="00F6278F" w:rsidRPr="00796F2A" w:rsidRDefault="00311071" w:rsidP="00796F2A">
      <w:pPr>
        <w:pStyle w:val="Default"/>
        <w:spacing w:line="276" w:lineRule="auto"/>
        <w:jc w:val="both"/>
        <w:rPr>
          <w:rFonts w:ascii="Arial Narrow" w:hAnsi="Arial Narrow" w:cs="Arial Narrow"/>
          <w:bCs/>
          <w:color w:val="000000" w:themeColor="text1"/>
          <w:sz w:val="26"/>
          <w:szCs w:val="26"/>
        </w:rPr>
      </w:pPr>
      <w:r w:rsidRPr="00796F2A">
        <w:rPr>
          <w:rFonts w:ascii="Arial Narrow" w:hAnsi="Arial Narrow" w:cs="Arial Narrow"/>
          <w:bCs/>
          <w:color w:val="000000" w:themeColor="text1"/>
          <w:sz w:val="26"/>
          <w:szCs w:val="26"/>
        </w:rPr>
        <w:t xml:space="preserve">Se trata del crédito </w:t>
      </w:r>
      <w:r w:rsidR="00F6278F" w:rsidRPr="00796F2A">
        <w:rPr>
          <w:rFonts w:ascii="Arial Narrow" w:hAnsi="Arial Narrow" w:cs="Arial Narrow"/>
          <w:bCs/>
          <w:color w:val="000000" w:themeColor="text1"/>
          <w:sz w:val="26"/>
          <w:szCs w:val="26"/>
        </w:rPr>
        <w:t>con número finalizado en 64204.</w:t>
      </w:r>
    </w:p>
    <w:p w14:paraId="1661A633" w14:textId="77777777" w:rsidR="00F6278F" w:rsidRPr="00796F2A" w:rsidRDefault="00F6278F" w:rsidP="00796F2A">
      <w:pPr>
        <w:pStyle w:val="Default"/>
        <w:spacing w:line="276" w:lineRule="auto"/>
        <w:jc w:val="both"/>
        <w:rPr>
          <w:rFonts w:ascii="Arial Narrow" w:hAnsi="Arial Narrow" w:cs="Arial Narrow"/>
          <w:bCs/>
          <w:color w:val="000000" w:themeColor="text1"/>
          <w:sz w:val="26"/>
          <w:szCs w:val="26"/>
        </w:rPr>
      </w:pPr>
    </w:p>
    <w:p w14:paraId="61C69CE0" w14:textId="1892B1D0" w:rsidR="00D404C0" w:rsidRPr="00796F2A" w:rsidRDefault="00F6278F" w:rsidP="00796F2A">
      <w:pPr>
        <w:pStyle w:val="Default"/>
        <w:spacing w:line="276" w:lineRule="auto"/>
        <w:jc w:val="both"/>
        <w:rPr>
          <w:rFonts w:ascii="Arial Narrow" w:hAnsi="Arial Narrow" w:cs="Arial Narrow"/>
          <w:bCs/>
          <w:color w:val="000000" w:themeColor="text1"/>
          <w:sz w:val="26"/>
          <w:szCs w:val="26"/>
        </w:rPr>
      </w:pPr>
      <w:r w:rsidRPr="00796F2A">
        <w:rPr>
          <w:rFonts w:ascii="Arial Narrow" w:hAnsi="Arial Narrow" w:cs="Arial Narrow"/>
          <w:bCs/>
          <w:color w:val="000000" w:themeColor="text1"/>
          <w:sz w:val="26"/>
          <w:szCs w:val="26"/>
        </w:rPr>
        <w:t xml:space="preserve">En tal condición, estima esta Sala que los señores Fernando de Jesús García Agudelo y Fabio Hernán Santamaria </w:t>
      </w:r>
      <w:proofErr w:type="spellStart"/>
      <w:r w:rsidRPr="00796F2A">
        <w:rPr>
          <w:rFonts w:ascii="Arial Narrow" w:hAnsi="Arial Narrow" w:cs="Arial Narrow"/>
          <w:bCs/>
          <w:color w:val="000000" w:themeColor="text1"/>
          <w:sz w:val="26"/>
          <w:szCs w:val="26"/>
        </w:rPr>
        <w:t>Calvachi</w:t>
      </w:r>
      <w:proofErr w:type="spellEnd"/>
      <w:r w:rsidRPr="00796F2A">
        <w:rPr>
          <w:rFonts w:ascii="Arial Narrow" w:hAnsi="Arial Narrow" w:cs="Arial Narrow"/>
          <w:bCs/>
          <w:color w:val="000000" w:themeColor="text1"/>
          <w:sz w:val="26"/>
          <w:szCs w:val="26"/>
        </w:rPr>
        <w:t xml:space="preserve"> no podían </w:t>
      </w:r>
      <w:r w:rsidR="002C296F" w:rsidRPr="00796F2A">
        <w:rPr>
          <w:rFonts w:ascii="Arial Narrow" w:hAnsi="Arial Narrow" w:cs="Arial Narrow"/>
          <w:bCs/>
          <w:color w:val="000000" w:themeColor="text1"/>
          <w:sz w:val="26"/>
          <w:szCs w:val="26"/>
        </w:rPr>
        <w:t>mantenerse al margen de la discusión</w:t>
      </w:r>
      <w:r w:rsidRPr="00796F2A">
        <w:rPr>
          <w:rFonts w:ascii="Arial Narrow" w:hAnsi="Arial Narrow" w:cs="Arial Narrow"/>
          <w:bCs/>
          <w:color w:val="000000" w:themeColor="text1"/>
          <w:sz w:val="26"/>
          <w:szCs w:val="26"/>
        </w:rPr>
        <w:t xml:space="preserve">, como ocurrió en primera instancia, porque su </w:t>
      </w:r>
      <w:r w:rsidR="006038D0" w:rsidRPr="00796F2A">
        <w:rPr>
          <w:rFonts w:ascii="Arial Narrow" w:hAnsi="Arial Narrow" w:cs="Arial Narrow"/>
          <w:bCs/>
          <w:color w:val="000000" w:themeColor="text1"/>
          <w:sz w:val="26"/>
          <w:szCs w:val="26"/>
        </w:rPr>
        <w:t xml:space="preserve">comparecencia </w:t>
      </w:r>
      <w:r w:rsidRPr="00796F2A">
        <w:rPr>
          <w:rFonts w:ascii="Arial Narrow" w:hAnsi="Arial Narrow" w:cs="Arial Narrow"/>
          <w:bCs/>
          <w:color w:val="000000" w:themeColor="text1"/>
          <w:sz w:val="26"/>
          <w:szCs w:val="26"/>
        </w:rPr>
        <w:t>al proceso era n</w:t>
      </w:r>
      <w:r w:rsidR="006038D0" w:rsidRPr="00796F2A">
        <w:rPr>
          <w:rFonts w:ascii="Arial Narrow" w:hAnsi="Arial Narrow" w:cs="Arial Narrow"/>
          <w:bCs/>
          <w:color w:val="000000" w:themeColor="text1"/>
          <w:sz w:val="26"/>
          <w:szCs w:val="26"/>
        </w:rPr>
        <w:t>ecesaria en el marco de la controversia jurídica sustancial</w:t>
      </w:r>
      <w:r w:rsidR="00BF4A5D" w:rsidRPr="00796F2A">
        <w:rPr>
          <w:rFonts w:ascii="Arial Narrow" w:hAnsi="Arial Narrow" w:cs="Arial Narrow"/>
          <w:bCs/>
          <w:color w:val="000000" w:themeColor="text1"/>
          <w:sz w:val="26"/>
          <w:szCs w:val="26"/>
        </w:rPr>
        <w:t xml:space="preserve"> y </w:t>
      </w:r>
      <w:r w:rsidRPr="00796F2A">
        <w:rPr>
          <w:rFonts w:ascii="Arial Narrow" w:hAnsi="Arial Narrow" w:cs="Arial Narrow"/>
          <w:bCs/>
          <w:color w:val="000000" w:themeColor="text1"/>
          <w:sz w:val="26"/>
          <w:szCs w:val="26"/>
        </w:rPr>
        <w:t xml:space="preserve">procesal que se debate, relacionadas con un contrato del que hicieron parte. </w:t>
      </w:r>
    </w:p>
    <w:p w14:paraId="2CEFBC9D" w14:textId="0423A323" w:rsidR="00D404C0" w:rsidRPr="00796F2A" w:rsidRDefault="00D404C0" w:rsidP="00796F2A">
      <w:pPr>
        <w:pStyle w:val="Default"/>
        <w:spacing w:line="276" w:lineRule="auto"/>
        <w:jc w:val="both"/>
        <w:rPr>
          <w:rFonts w:ascii="Arial Narrow" w:hAnsi="Arial Narrow"/>
          <w:color w:val="000000" w:themeColor="text1"/>
          <w:sz w:val="26"/>
          <w:szCs w:val="26"/>
        </w:rPr>
      </w:pPr>
    </w:p>
    <w:p w14:paraId="71BF6CAA" w14:textId="3E263B13" w:rsidR="00EE3FE7" w:rsidRPr="00796F2A" w:rsidRDefault="006038D0" w:rsidP="00796F2A">
      <w:pPr>
        <w:pStyle w:val="Default"/>
        <w:spacing w:line="276" w:lineRule="auto"/>
        <w:jc w:val="both"/>
        <w:rPr>
          <w:rFonts w:ascii="Arial Narrow" w:hAnsi="Arial Narrow"/>
          <w:color w:val="000000" w:themeColor="text1"/>
          <w:sz w:val="26"/>
          <w:szCs w:val="26"/>
        </w:rPr>
      </w:pPr>
      <w:r w:rsidRPr="00796F2A">
        <w:rPr>
          <w:rFonts w:ascii="Arial Narrow" w:hAnsi="Arial Narrow"/>
          <w:b/>
          <w:color w:val="000000" w:themeColor="text1"/>
          <w:sz w:val="26"/>
          <w:szCs w:val="26"/>
        </w:rPr>
        <w:t>3.-</w:t>
      </w:r>
      <w:r w:rsidRPr="00796F2A">
        <w:rPr>
          <w:rFonts w:ascii="Arial Narrow" w:hAnsi="Arial Narrow"/>
          <w:color w:val="000000" w:themeColor="text1"/>
          <w:sz w:val="26"/>
          <w:szCs w:val="26"/>
        </w:rPr>
        <w:t xml:space="preserve"> </w:t>
      </w:r>
      <w:r w:rsidR="00EE3FE7" w:rsidRPr="00796F2A">
        <w:rPr>
          <w:rFonts w:ascii="Arial Narrow" w:hAnsi="Arial Narrow"/>
          <w:color w:val="000000" w:themeColor="text1"/>
          <w:sz w:val="26"/>
          <w:szCs w:val="26"/>
        </w:rPr>
        <w:t>Consecuencia de no haberse tomado las medi</w:t>
      </w:r>
      <w:r w:rsidR="00BF4A5D" w:rsidRPr="00796F2A">
        <w:rPr>
          <w:rFonts w:ascii="Arial Narrow" w:hAnsi="Arial Narrow"/>
          <w:color w:val="000000" w:themeColor="text1"/>
          <w:sz w:val="26"/>
          <w:szCs w:val="26"/>
        </w:rPr>
        <w:t>d</w:t>
      </w:r>
      <w:r w:rsidR="00EE3FE7" w:rsidRPr="00796F2A">
        <w:rPr>
          <w:rFonts w:ascii="Arial Narrow" w:hAnsi="Arial Narrow"/>
          <w:color w:val="000000" w:themeColor="text1"/>
          <w:sz w:val="26"/>
          <w:szCs w:val="26"/>
        </w:rPr>
        <w:t>as procesales correctivas antedichas en primera instancia, corresponde ahora decretar la nulidad de la actuación desde la sentencia</w:t>
      </w:r>
      <w:r w:rsidR="00106FC8" w:rsidRPr="00796F2A">
        <w:rPr>
          <w:rFonts w:ascii="Arial Narrow" w:hAnsi="Arial Narrow"/>
          <w:color w:val="000000" w:themeColor="text1"/>
          <w:sz w:val="26"/>
          <w:szCs w:val="26"/>
        </w:rPr>
        <w:t xml:space="preserve">, </w:t>
      </w:r>
      <w:r w:rsidR="00243A97" w:rsidRPr="00796F2A">
        <w:rPr>
          <w:rFonts w:ascii="Arial Narrow" w:hAnsi="Arial Narrow"/>
          <w:color w:val="000000" w:themeColor="text1"/>
          <w:sz w:val="26"/>
          <w:szCs w:val="26"/>
        </w:rPr>
        <w:t xml:space="preserve">incluyéndola, </w:t>
      </w:r>
      <w:r w:rsidR="00EE3FE7" w:rsidRPr="00796F2A">
        <w:rPr>
          <w:rFonts w:ascii="Arial Narrow" w:hAnsi="Arial Narrow"/>
          <w:color w:val="000000" w:themeColor="text1"/>
          <w:sz w:val="26"/>
          <w:szCs w:val="26"/>
        </w:rPr>
        <w:t xml:space="preserve">para que el fallador de primer grado </w:t>
      </w:r>
      <w:r w:rsidR="00243A97" w:rsidRPr="00796F2A">
        <w:rPr>
          <w:rFonts w:ascii="Arial Narrow" w:hAnsi="Arial Narrow"/>
          <w:color w:val="000000" w:themeColor="text1"/>
          <w:sz w:val="26"/>
          <w:szCs w:val="26"/>
        </w:rPr>
        <w:t xml:space="preserve">ordene </w:t>
      </w:r>
      <w:r w:rsidR="00EE3FE7" w:rsidRPr="00796F2A">
        <w:rPr>
          <w:rFonts w:ascii="Arial Narrow" w:hAnsi="Arial Narrow"/>
          <w:color w:val="000000" w:themeColor="text1"/>
          <w:sz w:val="26"/>
          <w:szCs w:val="26"/>
        </w:rPr>
        <w:t xml:space="preserve">la </w:t>
      </w:r>
      <w:r w:rsidR="00D404C0" w:rsidRPr="00796F2A">
        <w:rPr>
          <w:rFonts w:ascii="Arial Narrow" w:hAnsi="Arial Narrow"/>
          <w:color w:val="000000" w:themeColor="text1"/>
          <w:sz w:val="26"/>
          <w:szCs w:val="26"/>
        </w:rPr>
        <w:t>vinculación de</w:t>
      </w:r>
      <w:r w:rsidR="00EE3FE7" w:rsidRPr="00796F2A">
        <w:rPr>
          <w:rFonts w:ascii="Arial Narrow" w:hAnsi="Arial Narrow"/>
          <w:color w:val="000000" w:themeColor="text1"/>
          <w:sz w:val="26"/>
          <w:szCs w:val="26"/>
        </w:rPr>
        <w:t xml:space="preserve"> </w:t>
      </w:r>
      <w:r w:rsidRPr="00796F2A">
        <w:rPr>
          <w:rFonts w:ascii="Arial Narrow" w:hAnsi="Arial Narrow"/>
          <w:color w:val="000000" w:themeColor="text1"/>
          <w:sz w:val="26"/>
          <w:szCs w:val="26"/>
        </w:rPr>
        <w:t xml:space="preserve">los mencionados </w:t>
      </w:r>
      <w:r w:rsidR="00243A97" w:rsidRPr="00796F2A">
        <w:rPr>
          <w:rFonts w:ascii="Arial Narrow" w:hAnsi="Arial Narrow"/>
          <w:color w:val="000000" w:themeColor="text1"/>
          <w:sz w:val="26"/>
          <w:szCs w:val="26"/>
        </w:rPr>
        <w:t xml:space="preserve">sujetos en su condición de litisconsorte necesarios, </w:t>
      </w:r>
      <w:r w:rsidR="00EE3FE7" w:rsidRPr="00796F2A">
        <w:rPr>
          <w:rFonts w:ascii="Arial Narrow" w:hAnsi="Arial Narrow"/>
          <w:color w:val="000000" w:themeColor="text1"/>
          <w:sz w:val="26"/>
          <w:szCs w:val="26"/>
        </w:rPr>
        <w:t>según dicta el numeral 9º del artículo 140 del C.P.C</w:t>
      </w:r>
      <w:r w:rsidR="00243A97" w:rsidRPr="00796F2A">
        <w:rPr>
          <w:rFonts w:ascii="Arial Narrow" w:hAnsi="Arial Narrow"/>
          <w:color w:val="000000" w:themeColor="text1"/>
          <w:sz w:val="26"/>
          <w:szCs w:val="26"/>
        </w:rPr>
        <w:t>.</w:t>
      </w:r>
      <w:r w:rsidR="00EE3FE7" w:rsidRPr="00796F2A">
        <w:rPr>
          <w:rFonts w:ascii="Arial Narrow" w:hAnsi="Arial Narrow"/>
          <w:color w:val="000000" w:themeColor="text1"/>
          <w:sz w:val="26"/>
          <w:szCs w:val="26"/>
        </w:rPr>
        <w:t xml:space="preserve"> (hoy numeral 8º del artículo 133 del C.G.P)</w:t>
      </w:r>
      <w:r w:rsidRPr="00796F2A">
        <w:rPr>
          <w:rFonts w:ascii="Arial Narrow" w:hAnsi="Arial Narrow"/>
          <w:color w:val="000000" w:themeColor="text1"/>
          <w:sz w:val="26"/>
          <w:szCs w:val="26"/>
        </w:rPr>
        <w:t xml:space="preserve">. </w:t>
      </w:r>
    </w:p>
    <w:p w14:paraId="57B8AC12" w14:textId="77777777" w:rsidR="00EE3FE7" w:rsidRPr="00796F2A" w:rsidRDefault="00EE3FE7" w:rsidP="00796F2A">
      <w:pPr>
        <w:pStyle w:val="Default"/>
        <w:spacing w:line="276" w:lineRule="auto"/>
        <w:jc w:val="both"/>
        <w:rPr>
          <w:rFonts w:ascii="Arial Narrow" w:hAnsi="Arial Narrow"/>
          <w:color w:val="000000" w:themeColor="text1"/>
          <w:sz w:val="26"/>
          <w:szCs w:val="26"/>
        </w:rPr>
      </w:pPr>
    </w:p>
    <w:p w14:paraId="5CA7ADD4" w14:textId="278570D1" w:rsidR="006038D0" w:rsidRPr="00294B01" w:rsidRDefault="006038D0" w:rsidP="00294B01">
      <w:pPr>
        <w:pStyle w:val="Default"/>
        <w:ind w:left="426" w:right="420"/>
        <w:jc w:val="both"/>
        <w:rPr>
          <w:rFonts w:ascii="Arial Narrow" w:hAnsi="Arial Narrow"/>
          <w:i/>
          <w:szCs w:val="26"/>
        </w:rPr>
      </w:pPr>
      <w:r w:rsidRPr="00294B01">
        <w:rPr>
          <w:rFonts w:ascii="Arial Narrow" w:hAnsi="Arial Narrow"/>
          <w:i/>
          <w:spacing w:val="-3"/>
          <w:szCs w:val="26"/>
        </w:rPr>
        <w:t>“…</w:t>
      </w:r>
      <w:r w:rsidR="00294B01" w:rsidRPr="00294B01">
        <w:rPr>
          <w:rFonts w:ascii="Arial Narrow" w:hAnsi="Arial Narrow"/>
          <w:i/>
          <w:spacing w:val="-3"/>
          <w:szCs w:val="26"/>
        </w:rPr>
        <w:t xml:space="preserve"> </w:t>
      </w:r>
      <w:r w:rsidRPr="00294B01">
        <w:rPr>
          <w:rFonts w:ascii="Arial Narrow" w:hAnsi="Arial Narrow"/>
          <w:i/>
          <w:spacing w:val="-3"/>
          <w:szCs w:val="26"/>
        </w:rPr>
        <w:t xml:space="preserve">lo que se le impone en esas circunstancias al fallador es la obligación de utilizar las herramientas procesales admisibles para corregir ese yerro procedimental, en aras de obtener una verdadera sentencia, que resuelva el fondo de la litis. Expresó sobre el particular la Corte que “la medida procesal que le corresponde adoptar al fallador de segunda instancia está dada por la consagración de la causal 9ª del artículo 140 del C. de P.C., la cual se produce, entre otros eventos, cuando se deje de notificar o emplazar a una de “las demás personas que daban ser citadas como partes”, situación que atañe con los litisconsortes necesarios, quienes deben ser citados al proceso justamente para que se pueda resolver de mérito sobre la cuestión litigiosa; situación que se da tanto frente aquellos litisconsortes que mencionados en la demanda y en el auto admisorio de la misma no fueron notificados de éste; como frente a quienes deben ser citados, y no lo han sido, a </w:t>
      </w:r>
      <w:r w:rsidRPr="00294B01">
        <w:rPr>
          <w:rFonts w:ascii="Arial Narrow" w:hAnsi="Arial Narrow"/>
          <w:i/>
          <w:spacing w:val="-3"/>
          <w:szCs w:val="26"/>
        </w:rPr>
        <w:lastRenderedPageBreak/>
        <w:t>pesar de que por la ley o por la naturaleza del litigio deben demandar o ser demandados; todo en aplicación de lo dispuesto en el artículo 83 del C. de P.C.”.”</w:t>
      </w:r>
      <w:r w:rsidRPr="00294B01">
        <w:rPr>
          <w:rStyle w:val="Refdenotaalpie"/>
          <w:rFonts w:ascii="Arial Narrow" w:hAnsi="Arial Narrow"/>
          <w:i/>
          <w:spacing w:val="-3"/>
          <w:szCs w:val="26"/>
        </w:rPr>
        <w:footnoteReference w:id="4"/>
      </w:r>
      <w:r w:rsidRPr="00294B01">
        <w:rPr>
          <w:rFonts w:ascii="Arial Narrow" w:hAnsi="Arial Narrow"/>
          <w:i/>
          <w:spacing w:val="-3"/>
          <w:szCs w:val="26"/>
        </w:rPr>
        <w:t xml:space="preserve"> </w:t>
      </w:r>
      <w:r w:rsidRPr="00294B01">
        <w:rPr>
          <w:rFonts w:ascii="Arial Narrow" w:hAnsi="Arial Narrow"/>
          <w:i/>
          <w:szCs w:val="26"/>
        </w:rPr>
        <w:t xml:space="preserve">  </w:t>
      </w:r>
    </w:p>
    <w:p w14:paraId="0DFA76AE" w14:textId="77777777" w:rsidR="006038D0" w:rsidRPr="00796F2A" w:rsidRDefault="006038D0" w:rsidP="00796F2A">
      <w:pPr>
        <w:pStyle w:val="Default"/>
        <w:spacing w:line="276" w:lineRule="auto"/>
        <w:jc w:val="both"/>
        <w:rPr>
          <w:rFonts w:ascii="Arial Narrow" w:hAnsi="Arial Narrow"/>
          <w:sz w:val="26"/>
          <w:szCs w:val="26"/>
        </w:rPr>
      </w:pPr>
    </w:p>
    <w:p w14:paraId="7FABCAF8" w14:textId="0E56BED9" w:rsidR="006038D0" w:rsidRPr="00796F2A" w:rsidRDefault="008C1A61" w:rsidP="00796F2A">
      <w:pPr>
        <w:pStyle w:val="Default"/>
        <w:spacing w:line="276" w:lineRule="auto"/>
        <w:jc w:val="both"/>
        <w:rPr>
          <w:rFonts w:ascii="Arial Narrow" w:hAnsi="Arial Narrow"/>
          <w:sz w:val="26"/>
          <w:szCs w:val="26"/>
        </w:rPr>
      </w:pPr>
      <w:r w:rsidRPr="00796F2A">
        <w:rPr>
          <w:rFonts w:ascii="Arial Narrow" w:hAnsi="Arial Narrow"/>
          <w:b/>
          <w:sz w:val="26"/>
          <w:szCs w:val="26"/>
        </w:rPr>
        <w:t>4</w:t>
      </w:r>
      <w:r w:rsidR="006038D0" w:rsidRPr="00796F2A">
        <w:rPr>
          <w:rFonts w:ascii="Arial Narrow" w:hAnsi="Arial Narrow"/>
          <w:b/>
          <w:sz w:val="26"/>
          <w:szCs w:val="26"/>
        </w:rPr>
        <w:t>.-</w:t>
      </w:r>
      <w:r w:rsidR="006038D0" w:rsidRPr="00796F2A">
        <w:rPr>
          <w:rFonts w:ascii="Arial Narrow" w:hAnsi="Arial Narrow"/>
          <w:sz w:val="26"/>
          <w:szCs w:val="26"/>
        </w:rPr>
        <w:t xml:space="preserve"> Debe entonces devolverse el expediente a su lugar de origen, para que se rehaga la actuación de conformidad. </w:t>
      </w:r>
    </w:p>
    <w:p w14:paraId="7C967F8E" w14:textId="77777777" w:rsidR="006038D0" w:rsidRPr="00796F2A" w:rsidRDefault="006038D0" w:rsidP="00796F2A">
      <w:pPr>
        <w:pStyle w:val="Default"/>
        <w:spacing w:line="276" w:lineRule="auto"/>
        <w:jc w:val="both"/>
        <w:rPr>
          <w:rFonts w:ascii="Arial Narrow" w:hAnsi="Arial Narrow"/>
          <w:sz w:val="26"/>
          <w:szCs w:val="26"/>
        </w:rPr>
      </w:pPr>
    </w:p>
    <w:p w14:paraId="34A86758" w14:textId="77777777" w:rsidR="006038D0" w:rsidRPr="00796F2A" w:rsidRDefault="006038D0" w:rsidP="00796F2A">
      <w:pPr>
        <w:pStyle w:val="Default"/>
        <w:spacing w:line="276" w:lineRule="auto"/>
        <w:jc w:val="both"/>
        <w:rPr>
          <w:rFonts w:ascii="Arial Narrow" w:hAnsi="Arial Narrow"/>
          <w:sz w:val="26"/>
          <w:szCs w:val="26"/>
        </w:rPr>
      </w:pPr>
      <w:r w:rsidRPr="00796F2A">
        <w:rPr>
          <w:rFonts w:ascii="Arial Narrow" w:hAnsi="Arial Narrow"/>
          <w:sz w:val="26"/>
          <w:szCs w:val="26"/>
        </w:rPr>
        <w:t xml:space="preserve">En mérito de lo expuesto, el despacho 002 de la Sala Civil Familia del Tribunal Superior de Pereira, </w:t>
      </w:r>
    </w:p>
    <w:p w14:paraId="3B915F14" w14:textId="77777777" w:rsidR="006038D0" w:rsidRPr="00796F2A" w:rsidRDefault="006038D0" w:rsidP="00796F2A">
      <w:pPr>
        <w:pStyle w:val="Default"/>
        <w:spacing w:line="276" w:lineRule="auto"/>
        <w:jc w:val="both"/>
        <w:rPr>
          <w:rFonts w:ascii="Arial Narrow" w:hAnsi="Arial Narrow"/>
          <w:sz w:val="26"/>
          <w:szCs w:val="26"/>
        </w:rPr>
      </w:pPr>
    </w:p>
    <w:p w14:paraId="52F96060" w14:textId="77777777" w:rsidR="006038D0" w:rsidRPr="00796F2A" w:rsidRDefault="006038D0" w:rsidP="00796F2A">
      <w:pPr>
        <w:pStyle w:val="Default"/>
        <w:spacing w:line="276" w:lineRule="auto"/>
        <w:jc w:val="center"/>
        <w:rPr>
          <w:rFonts w:ascii="Arial Narrow" w:hAnsi="Arial Narrow"/>
          <w:b/>
          <w:sz w:val="26"/>
          <w:szCs w:val="26"/>
        </w:rPr>
      </w:pPr>
      <w:r w:rsidRPr="00796F2A">
        <w:rPr>
          <w:rFonts w:ascii="Arial Narrow" w:hAnsi="Arial Narrow"/>
          <w:b/>
          <w:sz w:val="26"/>
          <w:szCs w:val="26"/>
        </w:rPr>
        <w:t>RESUELVE</w:t>
      </w:r>
    </w:p>
    <w:p w14:paraId="43F3221C" w14:textId="77777777" w:rsidR="006038D0" w:rsidRPr="00796F2A" w:rsidRDefault="006038D0" w:rsidP="00796F2A">
      <w:pPr>
        <w:pStyle w:val="Textoindependiente"/>
        <w:spacing w:line="276" w:lineRule="auto"/>
        <w:ind w:right="157"/>
        <w:rPr>
          <w:rFonts w:ascii="Arial Narrow" w:hAnsi="Arial Narrow" w:cs="Arial Narrow"/>
          <w:sz w:val="26"/>
          <w:szCs w:val="26"/>
          <w:lang w:val="es-ES"/>
        </w:rPr>
      </w:pPr>
    </w:p>
    <w:p w14:paraId="617060D7" w14:textId="77777777" w:rsidR="006038D0" w:rsidRPr="00796F2A" w:rsidRDefault="006038D0" w:rsidP="00796F2A">
      <w:pPr>
        <w:pStyle w:val="Textoindependiente"/>
        <w:spacing w:line="276" w:lineRule="auto"/>
        <w:ind w:right="157"/>
        <w:rPr>
          <w:rFonts w:ascii="Arial Narrow" w:hAnsi="Arial Narrow" w:cs="Arial Narrow"/>
          <w:sz w:val="26"/>
          <w:szCs w:val="26"/>
          <w:lang w:val="es-ES"/>
        </w:rPr>
      </w:pPr>
      <w:r w:rsidRPr="00796F2A">
        <w:rPr>
          <w:rFonts w:ascii="Arial Narrow" w:hAnsi="Arial Narrow" w:cs="Arial Narrow"/>
          <w:b/>
          <w:sz w:val="26"/>
          <w:szCs w:val="26"/>
          <w:lang w:val="es-ES"/>
        </w:rPr>
        <w:t>PRIMERO:</w:t>
      </w:r>
      <w:r w:rsidRPr="00796F2A">
        <w:rPr>
          <w:rFonts w:ascii="Arial Narrow" w:hAnsi="Arial Narrow" w:cs="Arial Narrow"/>
          <w:sz w:val="26"/>
          <w:szCs w:val="26"/>
          <w:lang w:val="es-ES"/>
        </w:rPr>
        <w:t xml:space="preserve"> Declarar la nulidad de lo actuado en este proceso desde la sentencia de primera instancia (inclusive), según lo expuesto en la parte motiva de este proveído. </w:t>
      </w:r>
    </w:p>
    <w:p w14:paraId="2F3FFBB0" w14:textId="77777777" w:rsidR="006038D0" w:rsidRPr="00796F2A" w:rsidRDefault="006038D0" w:rsidP="00796F2A">
      <w:pPr>
        <w:pStyle w:val="Textoindependiente"/>
        <w:spacing w:line="276" w:lineRule="auto"/>
        <w:ind w:right="157"/>
        <w:rPr>
          <w:rFonts w:ascii="Arial Narrow" w:hAnsi="Arial Narrow" w:cs="Arial Narrow"/>
          <w:sz w:val="26"/>
          <w:szCs w:val="26"/>
          <w:lang w:val="es-ES"/>
        </w:rPr>
      </w:pPr>
    </w:p>
    <w:p w14:paraId="28C3BBD5" w14:textId="77777777" w:rsidR="00CD6A00" w:rsidRPr="00796F2A" w:rsidRDefault="006038D0" w:rsidP="00796F2A">
      <w:pPr>
        <w:pStyle w:val="Textoindependiente"/>
        <w:spacing w:line="276" w:lineRule="auto"/>
        <w:ind w:right="157"/>
        <w:rPr>
          <w:rFonts w:ascii="Arial Narrow" w:hAnsi="Arial Narrow" w:cs="Arial Narrow"/>
          <w:sz w:val="26"/>
          <w:szCs w:val="26"/>
          <w:lang w:val="es-ES"/>
        </w:rPr>
      </w:pPr>
      <w:r w:rsidRPr="00796F2A">
        <w:rPr>
          <w:rFonts w:ascii="Arial Narrow" w:hAnsi="Arial Narrow" w:cs="Arial Narrow"/>
          <w:b/>
          <w:sz w:val="26"/>
          <w:szCs w:val="26"/>
          <w:lang w:val="es-ES"/>
        </w:rPr>
        <w:t>SEGUNDO:</w:t>
      </w:r>
      <w:r w:rsidRPr="00796F2A">
        <w:rPr>
          <w:rFonts w:ascii="Arial Narrow" w:hAnsi="Arial Narrow" w:cs="Arial Narrow"/>
          <w:sz w:val="26"/>
          <w:szCs w:val="26"/>
          <w:lang w:val="es-ES"/>
        </w:rPr>
        <w:t xml:space="preserve"> Se ordena rehacer la actuación afectada, para lo cual deberá el juzgado de primera instancia, proceder en la forma indicada en la parte motiva de esta providencia. </w:t>
      </w:r>
      <w:r w:rsidR="00CD6A00" w:rsidRPr="00796F2A">
        <w:rPr>
          <w:rFonts w:ascii="Arial Narrow" w:hAnsi="Arial Narrow" w:cs="Arial Narrow"/>
          <w:sz w:val="26"/>
          <w:szCs w:val="26"/>
          <w:lang w:val="es-ES"/>
        </w:rPr>
        <w:t>Advirtiendo que las actuaciones previas al acto viciado, incluso pruebas, se mantienen incólumes frente a quienes tuvieron la oportunidad de contradecirlas.</w:t>
      </w:r>
    </w:p>
    <w:p w14:paraId="61F8F3AB" w14:textId="7809AE4C" w:rsidR="006038D0" w:rsidRPr="00796F2A" w:rsidRDefault="006038D0" w:rsidP="00796F2A">
      <w:pPr>
        <w:pStyle w:val="Textoindependiente"/>
        <w:spacing w:line="276" w:lineRule="auto"/>
        <w:ind w:right="157"/>
        <w:rPr>
          <w:rFonts w:ascii="Arial Narrow" w:hAnsi="Arial Narrow" w:cs="Arial Narrow"/>
          <w:sz w:val="26"/>
          <w:szCs w:val="26"/>
          <w:lang w:val="es-ES"/>
        </w:rPr>
      </w:pPr>
    </w:p>
    <w:p w14:paraId="26A8BFB0" w14:textId="3B2D1C77" w:rsidR="006038D0" w:rsidRPr="00796F2A" w:rsidRDefault="006038D0" w:rsidP="00796F2A">
      <w:pPr>
        <w:pStyle w:val="Textoindependiente"/>
        <w:spacing w:line="276" w:lineRule="auto"/>
        <w:ind w:right="157"/>
        <w:rPr>
          <w:rFonts w:ascii="Arial Narrow" w:hAnsi="Arial Narrow" w:cs="Arial Narrow"/>
          <w:sz w:val="26"/>
          <w:szCs w:val="26"/>
          <w:lang w:val="es-ES"/>
        </w:rPr>
      </w:pPr>
      <w:r w:rsidRPr="00796F2A">
        <w:rPr>
          <w:rFonts w:ascii="Arial Narrow" w:hAnsi="Arial Narrow" w:cs="Arial Narrow"/>
          <w:b/>
          <w:sz w:val="26"/>
          <w:szCs w:val="26"/>
          <w:lang w:val="es-ES"/>
        </w:rPr>
        <w:t>TERCERO:</w:t>
      </w:r>
      <w:r w:rsidRPr="00796F2A">
        <w:rPr>
          <w:rFonts w:ascii="Arial Narrow" w:hAnsi="Arial Narrow" w:cs="Arial Narrow"/>
          <w:sz w:val="26"/>
          <w:szCs w:val="26"/>
          <w:lang w:val="es-ES"/>
        </w:rPr>
        <w:t xml:space="preserve"> Ejecutoriada está providencia, retorne el expediente a su lugar de origen, Juzgado </w:t>
      </w:r>
      <w:r w:rsidR="00106FC8" w:rsidRPr="00796F2A">
        <w:rPr>
          <w:rFonts w:ascii="Arial Narrow" w:hAnsi="Arial Narrow" w:cs="Arial Narrow"/>
          <w:sz w:val="26"/>
          <w:szCs w:val="26"/>
          <w:lang w:val="es-ES"/>
        </w:rPr>
        <w:t>Primero</w:t>
      </w:r>
      <w:r w:rsidRPr="00796F2A">
        <w:rPr>
          <w:rFonts w:ascii="Arial Narrow" w:hAnsi="Arial Narrow" w:cs="Arial Narrow"/>
          <w:sz w:val="26"/>
          <w:szCs w:val="26"/>
          <w:lang w:val="es-ES"/>
        </w:rPr>
        <w:t xml:space="preserve"> Civil del Circuito de Medellín.  </w:t>
      </w:r>
    </w:p>
    <w:p w14:paraId="32CE913D" w14:textId="77777777" w:rsidR="006038D0" w:rsidRPr="00796F2A" w:rsidRDefault="006038D0" w:rsidP="00796F2A">
      <w:pPr>
        <w:pStyle w:val="Textoindependiente"/>
        <w:spacing w:line="276" w:lineRule="auto"/>
        <w:ind w:right="157"/>
        <w:rPr>
          <w:rFonts w:ascii="Arial Narrow" w:hAnsi="Arial Narrow" w:cs="Arial Narrow"/>
          <w:sz w:val="26"/>
          <w:szCs w:val="26"/>
          <w:lang w:val="es-ES"/>
        </w:rPr>
      </w:pPr>
    </w:p>
    <w:p w14:paraId="39A6A3E2" w14:textId="575A15C1" w:rsidR="006038D0" w:rsidRPr="00796F2A" w:rsidRDefault="00BF4A5D" w:rsidP="00796F2A">
      <w:pPr>
        <w:spacing w:line="276" w:lineRule="auto"/>
        <w:jc w:val="center"/>
        <w:rPr>
          <w:rFonts w:ascii="Arial Narrow" w:hAnsi="Arial Narrow"/>
          <w:sz w:val="26"/>
          <w:szCs w:val="26"/>
        </w:rPr>
      </w:pPr>
      <w:r w:rsidRPr="00796F2A">
        <w:rPr>
          <w:rFonts w:ascii="Arial Narrow" w:hAnsi="Arial Narrow" w:cs="Century Gothic"/>
          <w:b/>
          <w:bCs/>
          <w:sz w:val="26"/>
          <w:szCs w:val="26"/>
          <w:lang w:eastAsia="es-CO"/>
        </w:rPr>
        <w:t>Notifíquese y Cúmplase</w:t>
      </w:r>
      <w:r w:rsidR="006038D0" w:rsidRPr="00796F2A">
        <w:rPr>
          <w:rStyle w:val="Refdenotaalpie"/>
          <w:rFonts w:ascii="Arial Narrow" w:hAnsi="Arial Narrow" w:cs="Century Gothic"/>
          <w:b/>
          <w:bCs/>
          <w:color w:val="FFFFFF" w:themeColor="background1"/>
          <w:sz w:val="26"/>
          <w:szCs w:val="26"/>
          <w:lang w:eastAsia="es-CO"/>
        </w:rPr>
        <w:footnoteReference w:id="5"/>
      </w:r>
    </w:p>
    <w:p w14:paraId="48E9DCF5" w14:textId="573F9BC5" w:rsidR="006038D0" w:rsidRPr="00796F2A" w:rsidRDefault="006038D0" w:rsidP="00796F2A">
      <w:pPr>
        <w:pStyle w:val="Textoindependiente"/>
        <w:spacing w:line="276" w:lineRule="auto"/>
        <w:ind w:right="157"/>
        <w:rPr>
          <w:rFonts w:ascii="Arial Narrow" w:hAnsi="Arial Narrow"/>
          <w:sz w:val="26"/>
          <w:szCs w:val="26"/>
        </w:rPr>
      </w:pPr>
    </w:p>
    <w:p w14:paraId="3E47B3E0" w14:textId="5C85003D" w:rsidR="003976AC" w:rsidRDefault="003976AC" w:rsidP="00796F2A">
      <w:pPr>
        <w:pStyle w:val="Textoindependiente"/>
        <w:spacing w:line="276" w:lineRule="auto"/>
        <w:ind w:right="157"/>
        <w:rPr>
          <w:rFonts w:ascii="Arial Narrow" w:hAnsi="Arial Narrow"/>
          <w:sz w:val="26"/>
          <w:szCs w:val="26"/>
        </w:rPr>
      </w:pPr>
    </w:p>
    <w:p w14:paraId="7566FDB2" w14:textId="77777777" w:rsidR="008B093E" w:rsidRPr="00796F2A" w:rsidRDefault="008B093E" w:rsidP="00796F2A">
      <w:pPr>
        <w:pStyle w:val="Textoindependiente"/>
        <w:spacing w:line="276" w:lineRule="auto"/>
        <w:ind w:right="157"/>
        <w:rPr>
          <w:rFonts w:ascii="Arial Narrow" w:hAnsi="Arial Narrow"/>
          <w:sz w:val="26"/>
          <w:szCs w:val="26"/>
        </w:rPr>
      </w:pPr>
    </w:p>
    <w:p w14:paraId="32D37003" w14:textId="77777777" w:rsidR="003976AC" w:rsidRPr="00796F2A" w:rsidRDefault="003976AC" w:rsidP="00796F2A">
      <w:pPr>
        <w:pStyle w:val="Textoindependiente"/>
        <w:spacing w:line="276" w:lineRule="auto"/>
        <w:ind w:right="157"/>
        <w:jc w:val="center"/>
        <w:rPr>
          <w:rFonts w:ascii="Arial Narrow" w:hAnsi="Arial Narrow"/>
          <w:b/>
          <w:bCs/>
          <w:sz w:val="26"/>
          <w:szCs w:val="26"/>
        </w:rPr>
      </w:pPr>
      <w:r w:rsidRPr="00796F2A">
        <w:rPr>
          <w:rFonts w:ascii="Arial Narrow" w:hAnsi="Arial Narrow"/>
          <w:b/>
          <w:bCs/>
          <w:sz w:val="26"/>
          <w:szCs w:val="26"/>
        </w:rPr>
        <w:t>CARLOS MAURICIO GARCÍA BARAJAS</w:t>
      </w:r>
    </w:p>
    <w:p w14:paraId="63B4CF56" w14:textId="6BA52300" w:rsidR="006038D0" w:rsidRPr="008B093E" w:rsidRDefault="008B093E" w:rsidP="00796F2A">
      <w:pPr>
        <w:pStyle w:val="Textoindependiente"/>
        <w:spacing w:line="276" w:lineRule="auto"/>
        <w:ind w:right="157"/>
        <w:jc w:val="center"/>
        <w:rPr>
          <w:rFonts w:ascii="Arial Narrow" w:hAnsi="Arial Narrow"/>
          <w:sz w:val="26"/>
          <w:szCs w:val="26"/>
        </w:rPr>
      </w:pPr>
      <w:r w:rsidRPr="008B093E">
        <w:rPr>
          <w:rFonts w:ascii="Arial Narrow" w:hAnsi="Arial Narrow"/>
          <w:bCs/>
          <w:sz w:val="26"/>
          <w:szCs w:val="26"/>
        </w:rPr>
        <w:t>Magistrado</w:t>
      </w:r>
    </w:p>
    <w:sectPr w:rsidR="006038D0" w:rsidRPr="008B093E" w:rsidSect="00796F2A">
      <w:headerReference w:type="default" r:id="rId14"/>
      <w:pgSz w:w="12242" w:h="18722" w:code="258"/>
      <w:pgMar w:top="1871" w:right="1304" w:bottom="1304" w:left="1871"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C2DD4" w14:textId="77777777" w:rsidR="00D600F0" w:rsidRDefault="00D600F0" w:rsidP="00BD15C3">
      <w:r>
        <w:separator/>
      </w:r>
    </w:p>
  </w:endnote>
  <w:endnote w:type="continuationSeparator" w:id="0">
    <w:p w14:paraId="3B85DC91" w14:textId="77777777" w:rsidR="00D600F0" w:rsidRDefault="00D600F0" w:rsidP="00B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AB1FC" w14:textId="77777777" w:rsidR="00D600F0" w:rsidRDefault="00D600F0" w:rsidP="00BD15C3">
      <w:r>
        <w:separator/>
      </w:r>
    </w:p>
  </w:footnote>
  <w:footnote w:type="continuationSeparator" w:id="0">
    <w:p w14:paraId="650558D5" w14:textId="77777777" w:rsidR="00D600F0" w:rsidRDefault="00D600F0" w:rsidP="00BD15C3">
      <w:r>
        <w:continuationSeparator/>
      </w:r>
    </w:p>
  </w:footnote>
  <w:footnote w:id="1">
    <w:p w14:paraId="3243DFB1" w14:textId="3A855B95" w:rsidR="002076BC" w:rsidRPr="008B093E" w:rsidRDefault="002076BC" w:rsidP="008B093E">
      <w:pPr>
        <w:pStyle w:val="Textonotapie"/>
        <w:rPr>
          <w:rFonts w:ascii="Arial" w:hAnsi="Arial" w:cs="Arial"/>
          <w:i/>
          <w:sz w:val="18"/>
          <w:szCs w:val="18"/>
        </w:rPr>
      </w:pPr>
      <w:r w:rsidRPr="008B093E">
        <w:rPr>
          <w:rStyle w:val="Refdenotaalpie"/>
          <w:rFonts w:ascii="Arial" w:hAnsi="Arial" w:cs="Arial"/>
          <w:sz w:val="18"/>
          <w:szCs w:val="18"/>
        </w:rPr>
        <w:footnoteRef/>
      </w:r>
      <w:r w:rsidRPr="008B093E">
        <w:rPr>
          <w:rFonts w:ascii="Arial" w:hAnsi="Arial" w:cs="Arial"/>
          <w:sz w:val="18"/>
          <w:szCs w:val="18"/>
        </w:rPr>
        <w:t xml:space="preserve"> </w:t>
      </w:r>
      <w:r w:rsidRPr="008B093E">
        <w:rPr>
          <w:rFonts w:ascii="Arial" w:hAnsi="Arial" w:cs="Arial"/>
          <w:i/>
          <w:sz w:val="18"/>
          <w:szCs w:val="18"/>
        </w:rPr>
        <w:t>“Cuando circunstancias extraordinarias, imprevistas o imprevisibles, posteriores a la celebración de un contrato de ejecución sucesiva, periódica o diferida, alteren o agraven la prestación de futuro cumplimiento a cargo de una de las partes, en grado tal que le resulte excesivamente onerosa, podrá ésta pedir su revisión.</w:t>
      </w:r>
    </w:p>
    <w:p w14:paraId="418AD069" w14:textId="2917454A" w:rsidR="002076BC" w:rsidRPr="008B093E" w:rsidRDefault="002076BC" w:rsidP="008B093E">
      <w:pPr>
        <w:pStyle w:val="Textonotapie"/>
        <w:rPr>
          <w:rFonts w:ascii="Arial" w:hAnsi="Arial" w:cs="Arial"/>
          <w:i/>
          <w:sz w:val="18"/>
          <w:szCs w:val="18"/>
        </w:rPr>
      </w:pPr>
      <w:r w:rsidRPr="008B093E">
        <w:rPr>
          <w:rFonts w:ascii="Arial" w:hAnsi="Arial" w:cs="Arial"/>
          <w:i/>
          <w:sz w:val="18"/>
          <w:szCs w:val="18"/>
        </w:rPr>
        <w:t>El juez procederá a examinar las circunstancias que hayan alterado las bases del contrato y ordenará, si ello es posible, los reajustes que la equidad indique; en caso contrario, el juez decretará la terminación del contrato.</w:t>
      </w:r>
    </w:p>
    <w:p w14:paraId="581CB35E" w14:textId="24E56C8F" w:rsidR="002076BC" w:rsidRPr="008B093E" w:rsidRDefault="002076BC" w:rsidP="008B093E">
      <w:pPr>
        <w:pStyle w:val="Textonotapie"/>
        <w:rPr>
          <w:rFonts w:ascii="Arial" w:hAnsi="Arial" w:cs="Arial"/>
          <w:sz w:val="18"/>
          <w:szCs w:val="18"/>
          <w:lang w:val="es-ES"/>
        </w:rPr>
      </w:pPr>
      <w:r w:rsidRPr="008B093E">
        <w:rPr>
          <w:rFonts w:ascii="Arial" w:hAnsi="Arial" w:cs="Arial"/>
          <w:i/>
          <w:sz w:val="18"/>
          <w:szCs w:val="18"/>
        </w:rPr>
        <w:t>Esta regla no se aplicará a los contratos aleatorios ni a los de ejecución instantánea.”</w:t>
      </w:r>
    </w:p>
  </w:footnote>
  <w:footnote w:id="2">
    <w:p w14:paraId="37696CE0" w14:textId="43CF7C9B" w:rsidR="00EE3FE7" w:rsidRPr="008B093E" w:rsidRDefault="00EE3FE7" w:rsidP="008B093E">
      <w:pPr>
        <w:pStyle w:val="Textonotapie"/>
        <w:rPr>
          <w:rFonts w:ascii="Arial" w:hAnsi="Arial" w:cs="Arial"/>
          <w:sz w:val="18"/>
          <w:szCs w:val="18"/>
          <w:lang w:val="es-ES"/>
        </w:rPr>
      </w:pPr>
      <w:r w:rsidRPr="008B093E">
        <w:rPr>
          <w:rStyle w:val="Refdenotaalpie"/>
          <w:rFonts w:ascii="Arial" w:hAnsi="Arial" w:cs="Arial"/>
          <w:sz w:val="18"/>
          <w:szCs w:val="18"/>
        </w:rPr>
        <w:footnoteRef/>
      </w:r>
      <w:r w:rsidRPr="008B093E">
        <w:rPr>
          <w:rFonts w:ascii="Arial" w:hAnsi="Arial" w:cs="Arial"/>
          <w:sz w:val="18"/>
          <w:szCs w:val="18"/>
        </w:rPr>
        <w:t xml:space="preserve"> </w:t>
      </w:r>
      <w:r w:rsidRPr="008B093E">
        <w:rPr>
          <w:rFonts w:ascii="Arial" w:hAnsi="Arial" w:cs="Arial"/>
          <w:sz w:val="18"/>
          <w:szCs w:val="18"/>
          <w:lang w:val="es-ES"/>
        </w:rPr>
        <w:t>Art. 37-4 C.P.C.</w:t>
      </w:r>
    </w:p>
  </w:footnote>
  <w:footnote w:id="3">
    <w:p w14:paraId="1FD9E3FC" w14:textId="0E70EC65" w:rsidR="00A2057C" w:rsidRPr="008B093E" w:rsidRDefault="00A2057C" w:rsidP="008B093E">
      <w:pPr>
        <w:pStyle w:val="Textonotapie"/>
        <w:rPr>
          <w:rFonts w:ascii="Arial" w:hAnsi="Arial" w:cs="Arial"/>
          <w:sz w:val="18"/>
          <w:szCs w:val="18"/>
        </w:rPr>
      </w:pPr>
      <w:r w:rsidRPr="008B093E">
        <w:rPr>
          <w:rStyle w:val="Refdenotaalpie"/>
          <w:rFonts w:ascii="Arial" w:hAnsi="Arial" w:cs="Arial"/>
          <w:sz w:val="18"/>
          <w:szCs w:val="18"/>
        </w:rPr>
        <w:footnoteRef/>
      </w:r>
      <w:r w:rsidRPr="008B093E">
        <w:rPr>
          <w:rFonts w:ascii="Arial" w:hAnsi="Arial" w:cs="Arial"/>
          <w:sz w:val="18"/>
          <w:szCs w:val="18"/>
        </w:rPr>
        <w:t xml:space="preserve"> Decisión del 22 de julio de 1998. Expediente No. 5753. M.P Dr. José Fernando Ramírez Gómez. </w:t>
      </w:r>
    </w:p>
  </w:footnote>
  <w:footnote w:id="4">
    <w:p w14:paraId="27C475D5" w14:textId="1EFC9FA3" w:rsidR="006038D0" w:rsidRPr="008B093E" w:rsidRDefault="006038D0" w:rsidP="008B093E">
      <w:pPr>
        <w:pStyle w:val="Textonotapie"/>
        <w:rPr>
          <w:rFonts w:ascii="Arial" w:hAnsi="Arial" w:cs="Arial"/>
          <w:sz w:val="18"/>
          <w:szCs w:val="18"/>
          <w:lang w:val="es-ES"/>
        </w:rPr>
      </w:pPr>
      <w:r w:rsidRPr="008B093E">
        <w:rPr>
          <w:rStyle w:val="Refdenotaalpie"/>
          <w:rFonts w:ascii="Arial" w:hAnsi="Arial" w:cs="Arial"/>
          <w:sz w:val="18"/>
          <w:szCs w:val="18"/>
        </w:rPr>
        <w:footnoteRef/>
      </w:r>
      <w:r w:rsidRPr="008B093E">
        <w:rPr>
          <w:rFonts w:ascii="Arial" w:hAnsi="Arial" w:cs="Arial"/>
          <w:sz w:val="18"/>
          <w:szCs w:val="18"/>
        </w:rPr>
        <w:t xml:space="preserve"> </w:t>
      </w:r>
      <w:r w:rsidRPr="008B093E">
        <w:rPr>
          <w:rFonts w:ascii="Arial" w:hAnsi="Arial" w:cs="Arial"/>
          <w:sz w:val="18"/>
          <w:szCs w:val="18"/>
          <w:lang w:val="es-ES"/>
        </w:rPr>
        <w:t xml:space="preserve">Corte Suprema de Justicia. Sala de Casación Civil. Decisión del 23 de marzo de 2000. </w:t>
      </w:r>
      <w:proofErr w:type="spellStart"/>
      <w:r w:rsidRPr="008B093E">
        <w:rPr>
          <w:rFonts w:ascii="Arial" w:hAnsi="Arial" w:cs="Arial"/>
          <w:sz w:val="18"/>
          <w:szCs w:val="18"/>
          <w:lang w:val="es-ES"/>
        </w:rPr>
        <w:t>Exp</w:t>
      </w:r>
      <w:proofErr w:type="spellEnd"/>
      <w:r w:rsidRPr="008B093E">
        <w:rPr>
          <w:rFonts w:ascii="Arial" w:hAnsi="Arial" w:cs="Arial"/>
          <w:sz w:val="18"/>
          <w:szCs w:val="18"/>
          <w:lang w:val="es-ES"/>
        </w:rPr>
        <w:t xml:space="preserve">. 5259. M.P Dr. Carlos Ignacio Jaramillo </w:t>
      </w:r>
      <w:proofErr w:type="spellStart"/>
      <w:r w:rsidRPr="008B093E">
        <w:rPr>
          <w:rFonts w:ascii="Arial" w:hAnsi="Arial" w:cs="Arial"/>
          <w:sz w:val="18"/>
          <w:szCs w:val="18"/>
          <w:lang w:val="es-ES"/>
        </w:rPr>
        <w:t>Jaramillo</w:t>
      </w:r>
      <w:proofErr w:type="spellEnd"/>
    </w:p>
  </w:footnote>
  <w:footnote w:id="5">
    <w:p w14:paraId="289008DD" w14:textId="38EAB3B3" w:rsidR="006038D0" w:rsidRPr="008B093E" w:rsidRDefault="006038D0" w:rsidP="008B093E">
      <w:pPr>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E8128" w14:textId="4BC2B642" w:rsidR="00874082" w:rsidRPr="00796F2A" w:rsidRDefault="00874082" w:rsidP="00FD0E47">
    <w:pPr>
      <w:pStyle w:val="Encabezado"/>
      <w:rPr>
        <w:rFonts w:ascii="Arial" w:hAnsi="Arial" w:cs="Arial"/>
        <w:sz w:val="18"/>
        <w:szCs w:val="16"/>
        <w:lang w:val="es-ES" w:eastAsia="es-MX"/>
      </w:rPr>
    </w:pPr>
    <w:r w:rsidRPr="00796F2A">
      <w:rPr>
        <w:rFonts w:ascii="Arial" w:hAnsi="Arial" w:cs="Arial"/>
        <w:sz w:val="18"/>
        <w:szCs w:val="16"/>
        <w:lang w:val="es-ES" w:eastAsia="es-MX"/>
      </w:rPr>
      <w:t>Apelación de Sentencia</w:t>
    </w:r>
  </w:p>
  <w:p w14:paraId="7EE4A57E" w14:textId="2180FBE2" w:rsidR="00874082" w:rsidRPr="00796F2A" w:rsidRDefault="00874082" w:rsidP="00FD0E47">
    <w:pPr>
      <w:pStyle w:val="Encabezado"/>
      <w:rPr>
        <w:rFonts w:ascii="Arial" w:hAnsi="Arial" w:cs="Arial"/>
        <w:sz w:val="28"/>
      </w:rPr>
    </w:pPr>
    <w:r w:rsidRPr="00796F2A">
      <w:rPr>
        <w:rFonts w:ascii="Arial" w:hAnsi="Arial" w:cs="Arial"/>
        <w:sz w:val="18"/>
        <w:szCs w:val="16"/>
        <w:lang w:val="es-ES" w:eastAsia="es-MX"/>
      </w:rPr>
      <w:t>Radicación No. 05001310300120060000301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93ED0"/>
    <w:multiLevelType w:val="hybridMultilevel"/>
    <w:tmpl w:val="1DE653BA"/>
    <w:lvl w:ilvl="0" w:tplc="8E8C238C">
      <w:numFmt w:val="bullet"/>
      <w:lvlText w:val="-"/>
      <w:lvlJc w:val="left"/>
      <w:pPr>
        <w:ind w:left="720" w:hanging="360"/>
      </w:pPr>
      <w:rPr>
        <w:rFonts w:ascii="Arial Narrow" w:eastAsia="Times New Roman"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DDA7CF4"/>
    <w:multiLevelType w:val="hybridMultilevel"/>
    <w:tmpl w:val="A9A00802"/>
    <w:lvl w:ilvl="0" w:tplc="7D1C14A8">
      <w:start w:val="1"/>
      <w:numFmt w:val="lowerRoman"/>
      <w:lvlText w:val="(%1)"/>
      <w:lvlJc w:val="left"/>
      <w:pPr>
        <w:ind w:left="1080" w:hanging="72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09D66B3"/>
    <w:multiLevelType w:val="hybridMultilevel"/>
    <w:tmpl w:val="97B0C032"/>
    <w:lvl w:ilvl="0" w:tplc="B8981B9C">
      <w:start w:val="1"/>
      <w:numFmt w:val="lowerRoman"/>
      <w:lvlText w:val="(%1)"/>
      <w:lvlJc w:val="left"/>
      <w:pPr>
        <w:ind w:left="1080" w:hanging="72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52B03D6"/>
    <w:multiLevelType w:val="hybridMultilevel"/>
    <w:tmpl w:val="CF70A336"/>
    <w:lvl w:ilvl="0" w:tplc="948A1090">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6"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5AF8237C"/>
    <w:multiLevelType w:val="multilevel"/>
    <w:tmpl w:val="03588940"/>
    <w:lvl w:ilvl="0">
      <w:start w:val="2"/>
      <w:numFmt w:val="decimal"/>
      <w:lvlText w:val="%1."/>
      <w:lvlJc w:val="left"/>
      <w:pPr>
        <w:ind w:left="360" w:hanging="360"/>
      </w:pPr>
      <w:rPr>
        <w:rFonts w:hint="default"/>
        <w:b/>
        <w:bCs w:val="0"/>
        <w:i w:val="0"/>
        <w:iCs w:val="0"/>
        <w:sz w:val="26"/>
        <w:szCs w:val="26"/>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0B021E"/>
    <w:multiLevelType w:val="hybridMultilevel"/>
    <w:tmpl w:val="4AB803D8"/>
    <w:lvl w:ilvl="0" w:tplc="CE26148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0335341"/>
    <w:multiLevelType w:val="hybridMultilevel"/>
    <w:tmpl w:val="A1302E66"/>
    <w:lvl w:ilvl="0" w:tplc="855C7C4A">
      <w:start w:val="2"/>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0EF02DB"/>
    <w:multiLevelType w:val="hybridMultilevel"/>
    <w:tmpl w:val="05B42D68"/>
    <w:lvl w:ilvl="0" w:tplc="FBBE6C66">
      <w:start w:val="1"/>
      <w:numFmt w:val="decimal"/>
      <w:lvlText w:val="(%1)"/>
      <w:lvlJc w:val="left"/>
      <w:pPr>
        <w:ind w:left="1080" w:hanging="360"/>
      </w:pPr>
      <w:rPr>
        <w:rFonts w:hint="default"/>
        <w:i w:val="0"/>
        <w:sz w:val="26"/>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3"/>
  </w:num>
  <w:num w:numId="5">
    <w:abstractNumId w:val="4"/>
  </w:num>
  <w:num w:numId="6">
    <w:abstractNumId w:val="11"/>
  </w:num>
  <w:num w:numId="7">
    <w:abstractNumId w:val="9"/>
  </w:num>
  <w:num w:numId="8">
    <w:abstractNumId w:val="10"/>
  </w:num>
  <w:num w:numId="9">
    <w:abstractNumId w:val="5"/>
  </w:num>
  <w:num w:numId="10">
    <w:abstractNumId w:val="2"/>
  </w:num>
  <w:num w:numId="11">
    <w:abstractNumId w:val="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CO" w:vendorID="64" w:dllVersion="0" w:nlCheck="1" w:checkStyle="0"/>
  <w:activeWritingStyle w:appName="MSWord" w:lang="es-ES" w:vendorID="64" w:dllVersion="0" w:nlCheck="1" w:checkStyle="0"/>
  <w:activeWritingStyle w:appName="MSWord" w:lang="pt-BR"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35F3"/>
    <w:rsid w:val="00004D6A"/>
    <w:rsid w:val="00012AE0"/>
    <w:rsid w:val="000149E5"/>
    <w:rsid w:val="00020CC0"/>
    <w:rsid w:val="000219DB"/>
    <w:rsid w:val="00022430"/>
    <w:rsid w:val="000228FA"/>
    <w:rsid w:val="000233F6"/>
    <w:rsid w:val="0002344D"/>
    <w:rsid w:val="00027890"/>
    <w:rsid w:val="0003698D"/>
    <w:rsid w:val="00037100"/>
    <w:rsid w:val="0004098B"/>
    <w:rsid w:val="000418BE"/>
    <w:rsid w:val="0004325E"/>
    <w:rsid w:val="000442CB"/>
    <w:rsid w:val="0004628B"/>
    <w:rsid w:val="000470FF"/>
    <w:rsid w:val="0005312E"/>
    <w:rsid w:val="00055236"/>
    <w:rsid w:val="0005786D"/>
    <w:rsid w:val="000634B1"/>
    <w:rsid w:val="000674FA"/>
    <w:rsid w:val="00067CF2"/>
    <w:rsid w:val="000709D8"/>
    <w:rsid w:val="00071A22"/>
    <w:rsid w:val="00072DB6"/>
    <w:rsid w:val="00073C1B"/>
    <w:rsid w:val="000740E0"/>
    <w:rsid w:val="0007660C"/>
    <w:rsid w:val="000766A4"/>
    <w:rsid w:val="00077049"/>
    <w:rsid w:val="00080CB2"/>
    <w:rsid w:val="0008406C"/>
    <w:rsid w:val="00087DC2"/>
    <w:rsid w:val="000902F6"/>
    <w:rsid w:val="000943E4"/>
    <w:rsid w:val="0009455B"/>
    <w:rsid w:val="000972EE"/>
    <w:rsid w:val="0009745A"/>
    <w:rsid w:val="000975AF"/>
    <w:rsid w:val="000A2CC4"/>
    <w:rsid w:val="000A46D4"/>
    <w:rsid w:val="000A4B0E"/>
    <w:rsid w:val="000A508E"/>
    <w:rsid w:val="000A5311"/>
    <w:rsid w:val="000A630E"/>
    <w:rsid w:val="000A7793"/>
    <w:rsid w:val="000A7F94"/>
    <w:rsid w:val="000B623F"/>
    <w:rsid w:val="000B7779"/>
    <w:rsid w:val="000B798B"/>
    <w:rsid w:val="000B7C3A"/>
    <w:rsid w:val="000C040B"/>
    <w:rsid w:val="000C16E8"/>
    <w:rsid w:val="000C19FD"/>
    <w:rsid w:val="000C3218"/>
    <w:rsid w:val="000C3D5D"/>
    <w:rsid w:val="000C4E94"/>
    <w:rsid w:val="000D0955"/>
    <w:rsid w:val="000D0E69"/>
    <w:rsid w:val="000D26D5"/>
    <w:rsid w:val="000D2E29"/>
    <w:rsid w:val="000D6334"/>
    <w:rsid w:val="000D68EB"/>
    <w:rsid w:val="000E2DA7"/>
    <w:rsid w:val="000E6D6D"/>
    <w:rsid w:val="000E6EB5"/>
    <w:rsid w:val="000E767E"/>
    <w:rsid w:val="000F015D"/>
    <w:rsid w:val="000F1789"/>
    <w:rsid w:val="000F46B9"/>
    <w:rsid w:val="000F6EBE"/>
    <w:rsid w:val="00100223"/>
    <w:rsid w:val="001015CA"/>
    <w:rsid w:val="00105D2F"/>
    <w:rsid w:val="00106FC8"/>
    <w:rsid w:val="001075E2"/>
    <w:rsid w:val="00107E23"/>
    <w:rsid w:val="00111C72"/>
    <w:rsid w:val="001128FC"/>
    <w:rsid w:val="00112ADB"/>
    <w:rsid w:val="00112F7E"/>
    <w:rsid w:val="00114D8A"/>
    <w:rsid w:val="001152BD"/>
    <w:rsid w:val="00116DEF"/>
    <w:rsid w:val="00122B10"/>
    <w:rsid w:val="00123242"/>
    <w:rsid w:val="0012552E"/>
    <w:rsid w:val="00127D45"/>
    <w:rsid w:val="00132348"/>
    <w:rsid w:val="00132B4F"/>
    <w:rsid w:val="00132FD5"/>
    <w:rsid w:val="001333EE"/>
    <w:rsid w:val="00134232"/>
    <w:rsid w:val="00134A6B"/>
    <w:rsid w:val="0013522F"/>
    <w:rsid w:val="00137129"/>
    <w:rsid w:val="0014381A"/>
    <w:rsid w:val="00144A11"/>
    <w:rsid w:val="00145833"/>
    <w:rsid w:val="00145F40"/>
    <w:rsid w:val="00146F3E"/>
    <w:rsid w:val="00150CEB"/>
    <w:rsid w:val="00150E9D"/>
    <w:rsid w:val="00151107"/>
    <w:rsid w:val="00152842"/>
    <w:rsid w:val="001528F5"/>
    <w:rsid w:val="00155342"/>
    <w:rsid w:val="00157287"/>
    <w:rsid w:val="001634A3"/>
    <w:rsid w:val="00163AC8"/>
    <w:rsid w:val="001703C3"/>
    <w:rsid w:val="00173423"/>
    <w:rsid w:val="00174C22"/>
    <w:rsid w:val="00177283"/>
    <w:rsid w:val="001820B7"/>
    <w:rsid w:val="00182755"/>
    <w:rsid w:val="00182B17"/>
    <w:rsid w:val="001836D7"/>
    <w:rsid w:val="00183C93"/>
    <w:rsid w:val="00190FEA"/>
    <w:rsid w:val="00193904"/>
    <w:rsid w:val="00194CA5"/>
    <w:rsid w:val="00196142"/>
    <w:rsid w:val="00197580"/>
    <w:rsid w:val="001A0D94"/>
    <w:rsid w:val="001A2668"/>
    <w:rsid w:val="001B05BF"/>
    <w:rsid w:val="001B0A91"/>
    <w:rsid w:val="001B3B27"/>
    <w:rsid w:val="001B5646"/>
    <w:rsid w:val="001B58B2"/>
    <w:rsid w:val="001B5AB0"/>
    <w:rsid w:val="001C060B"/>
    <w:rsid w:val="001C246D"/>
    <w:rsid w:val="001C36F0"/>
    <w:rsid w:val="001C74C5"/>
    <w:rsid w:val="001D7C87"/>
    <w:rsid w:val="001E1225"/>
    <w:rsid w:val="001E2BFF"/>
    <w:rsid w:val="001E3052"/>
    <w:rsid w:val="001E6067"/>
    <w:rsid w:val="001F1CC7"/>
    <w:rsid w:val="001F1ECF"/>
    <w:rsid w:val="001F26DD"/>
    <w:rsid w:val="001F2A29"/>
    <w:rsid w:val="001F38C4"/>
    <w:rsid w:val="001F452E"/>
    <w:rsid w:val="001F4D73"/>
    <w:rsid w:val="001F5990"/>
    <w:rsid w:val="001F7822"/>
    <w:rsid w:val="00201494"/>
    <w:rsid w:val="002015CA"/>
    <w:rsid w:val="00205C55"/>
    <w:rsid w:val="002076BC"/>
    <w:rsid w:val="002127D4"/>
    <w:rsid w:val="00216BDD"/>
    <w:rsid w:val="00220A58"/>
    <w:rsid w:val="00221267"/>
    <w:rsid w:val="002223C5"/>
    <w:rsid w:val="002226B0"/>
    <w:rsid w:val="00224DF9"/>
    <w:rsid w:val="0022519E"/>
    <w:rsid w:val="00227DFE"/>
    <w:rsid w:val="002336F1"/>
    <w:rsid w:val="00234A7F"/>
    <w:rsid w:val="00242709"/>
    <w:rsid w:val="00243134"/>
    <w:rsid w:val="00243A97"/>
    <w:rsid w:val="00244905"/>
    <w:rsid w:val="00244FC6"/>
    <w:rsid w:val="00246BDF"/>
    <w:rsid w:val="002479E9"/>
    <w:rsid w:val="00250F04"/>
    <w:rsid w:val="00253DCB"/>
    <w:rsid w:val="00257609"/>
    <w:rsid w:val="002613C4"/>
    <w:rsid w:val="00261F7F"/>
    <w:rsid w:val="00263A2F"/>
    <w:rsid w:val="00266C10"/>
    <w:rsid w:val="00271924"/>
    <w:rsid w:val="002733BA"/>
    <w:rsid w:val="00274C71"/>
    <w:rsid w:val="002811CC"/>
    <w:rsid w:val="002833A6"/>
    <w:rsid w:val="00286743"/>
    <w:rsid w:val="0028728E"/>
    <w:rsid w:val="00291768"/>
    <w:rsid w:val="00291F5F"/>
    <w:rsid w:val="00294B01"/>
    <w:rsid w:val="0029729F"/>
    <w:rsid w:val="002A1719"/>
    <w:rsid w:val="002A2D97"/>
    <w:rsid w:val="002A2E09"/>
    <w:rsid w:val="002A3B12"/>
    <w:rsid w:val="002A4188"/>
    <w:rsid w:val="002B0D61"/>
    <w:rsid w:val="002B375E"/>
    <w:rsid w:val="002B5318"/>
    <w:rsid w:val="002B654C"/>
    <w:rsid w:val="002C06F5"/>
    <w:rsid w:val="002C110A"/>
    <w:rsid w:val="002C296F"/>
    <w:rsid w:val="002C2B67"/>
    <w:rsid w:val="002C2BFC"/>
    <w:rsid w:val="002C328E"/>
    <w:rsid w:val="002C5B64"/>
    <w:rsid w:val="002D6761"/>
    <w:rsid w:val="002E51F0"/>
    <w:rsid w:val="002E70B2"/>
    <w:rsid w:val="002F0401"/>
    <w:rsid w:val="002F0877"/>
    <w:rsid w:val="002F172A"/>
    <w:rsid w:val="002F2586"/>
    <w:rsid w:val="002F3030"/>
    <w:rsid w:val="002F550C"/>
    <w:rsid w:val="002F67E9"/>
    <w:rsid w:val="002F723B"/>
    <w:rsid w:val="002F76EA"/>
    <w:rsid w:val="002F79E7"/>
    <w:rsid w:val="0030298D"/>
    <w:rsid w:val="003037A1"/>
    <w:rsid w:val="00306D02"/>
    <w:rsid w:val="00310131"/>
    <w:rsid w:val="00310314"/>
    <w:rsid w:val="00311071"/>
    <w:rsid w:val="00313A08"/>
    <w:rsid w:val="00316614"/>
    <w:rsid w:val="00320318"/>
    <w:rsid w:val="00320515"/>
    <w:rsid w:val="00320ED1"/>
    <w:rsid w:val="00324444"/>
    <w:rsid w:val="00326AF6"/>
    <w:rsid w:val="003352FA"/>
    <w:rsid w:val="00335E20"/>
    <w:rsid w:val="00336977"/>
    <w:rsid w:val="00336FBA"/>
    <w:rsid w:val="00340457"/>
    <w:rsid w:val="003432CF"/>
    <w:rsid w:val="00344950"/>
    <w:rsid w:val="00347F2F"/>
    <w:rsid w:val="003504D8"/>
    <w:rsid w:val="0035229B"/>
    <w:rsid w:val="00353A0A"/>
    <w:rsid w:val="0035757F"/>
    <w:rsid w:val="00362402"/>
    <w:rsid w:val="00362692"/>
    <w:rsid w:val="00363EB1"/>
    <w:rsid w:val="003640E7"/>
    <w:rsid w:val="00365F93"/>
    <w:rsid w:val="0036702E"/>
    <w:rsid w:val="00374967"/>
    <w:rsid w:val="00375699"/>
    <w:rsid w:val="00376336"/>
    <w:rsid w:val="00377660"/>
    <w:rsid w:val="0038050F"/>
    <w:rsid w:val="00382489"/>
    <w:rsid w:val="003840CB"/>
    <w:rsid w:val="00384D53"/>
    <w:rsid w:val="00385660"/>
    <w:rsid w:val="003864D7"/>
    <w:rsid w:val="00386AC3"/>
    <w:rsid w:val="0038752D"/>
    <w:rsid w:val="00387BD6"/>
    <w:rsid w:val="00387CDA"/>
    <w:rsid w:val="003917A3"/>
    <w:rsid w:val="00394566"/>
    <w:rsid w:val="00395DF3"/>
    <w:rsid w:val="00396BAE"/>
    <w:rsid w:val="00396D32"/>
    <w:rsid w:val="003976AC"/>
    <w:rsid w:val="003B0CD5"/>
    <w:rsid w:val="003B34A5"/>
    <w:rsid w:val="003B3C63"/>
    <w:rsid w:val="003B67AD"/>
    <w:rsid w:val="003B6DF0"/>
    <w:rsid w:val="003C0B92"/>
    <w:rsid w:val="003C4261"/>
    <w:rsid w:val="003C4CE2"/>
    <w:rsid w:val="003C5BEB"/>
    <w:rsid w:val="003C7F57"/>
    <w:rsid w:val="003D0027"/>
    <w:rsid w:val="003D023E"/>
    <w:rsid w:val="003D0478"/>
    <w:rsid w:val="003D1761"/>
    <w:rsid w:val="003D1CAB"/>
    <w:rsid w:val="003D31C9"/>
    <w:rsid w:val="003D394E"/>
    <w:rsid w:val="003E0201"/>
    <w:rsid w:val="003E164A"/>
    <w:rsid w:val="003E1799"/>
    <w:rsid w:val="003E4274"/>
    <w:rsid w:val="003E78EE"/>
    <w:rsid w:val="003E7C1A"/>
    <w:rsid w:val="003F022A"/>
    <w:rsid w:val="003F3393"/>
    <w:rsid w:val="003F58C9"/>
    <w:rsid w:val="003F6773"/>
    <w:rsid w:val="00400137"/>
    <w:rsid w:val="0040302B"/>
    <w:rsid w:val="00403A7E"/>
    <w:rsid w:val="00406F6D"/>
    <w:rsid w:val="00414549"/>
    <w:rsid w:val="004204A1"/>
    <w:rsid w:val="0042174C"/>
    <w:rsid w:val="00421B3D"/>
    <w:rsid w:val="004224F3"/>
    <w:rsid w:val="00422F43"/>
    <w:rsid w:val="0042545C"/>
    <w:rsid w:val="0042557D"/>
    <w:rsid w:val="00425ED7"/>
    <w:rsid w:val="0042606F"/>
    <w:rsid w:val="00427E09"/>
    <w:rsid w:val="0043347D"/>
    <w:rsid w:val="00433B2A"/>
    <w:rsid w:val="0043480E"/>
    <w:rsid w:val="00434816"/>
    <w:rsid w:val="004375F5"/>
    <w:rsid w:val="004425BF"/>
    <w:rsid w:val="00442FEF"/>
    <w:rsid w:val="0044716B"/>
    <w:rsid w:val="00452587"/>
    <w:rsid w:val="004558F2"/>
    <w:rsid w:val="00461B4C"/>
    <w:rsid w:val="00462631"/>
    <w:rsid w:val="004651A6"/>
    <w:rsid w:val="0047317F"/>
    <w:rsid w:val="004738F2"/>
    <w:rsid w:val="00474D81"/>
    <w:rsid w:val="004754AB"/>
    <w:rsid w:val="00477D25"/>
    <w:rsid w:val="00482377"/>
    <w:rsid w:val="00484D7F"/>
    <w:rsid w:val="00486996"/>
    <w:rsid w:val="004905ED"/>
    <w:rsid w:val="004906C0"/>
    <w:rsid w:val="00491C9A"/>
    <w:rsid w:val="0049220D"/>
    <w:rsid w:val="00493F12"/>
    <w:rsid w:val="00494DAE"/>
    <w:rsid w:val="004A110C"/>
    <w:rsid w:val="004A38A1"/>
    <w:rsid w:val="004B0F56"/>
    <w:rsid w:val="004B3C00"/>
    <w:rsid w:val="004B63E4"/>
    <w:rsid w:val="004B659C"/>
    <w:rsid w:val="004B6777"/>
    <w:rsid w:val="004B7E77"/>
    <w:rsid w:val="004C5555"/>
    <w:rsid w:val="004D1FB4"/>
    <w:rsid w:val="004D21E7"/>
    <w:rsid w:val="004D2954"/>
    <w:rsid w:val="004D4452"/>
    <w:rsid w:val="004D5372"/>
    <w:rsid w:val="004D5561"/>
    <w:rsid w:val="004D5606"/>
    <w:rsid w:val="004D58D3"/>
    <w:rsid w:val="004E0955"/>
    <w:rsid w:val="004E1E22"/>
    <w:rsid w:val="004E34E3"/>
    <w:rsid w:val="004E4B9F"/>
    <w:rsid w:val="004E6C64"/>
    <w:rsid w:val="004F0480"/>
    <w:rsid w:val="004F0E83"/>
    <w:rsid w:val="004F20CB"/>
    <w:rsid w:val="004F3B39"/>
    <w:rsid w:val="004F7AA6"/>
    <w:rsid w:val="0050295B"/>
    <w:rsid w:val="00507287"/>
    <w:rsid w:val="0050728B"/>
    <w:rsid w:val="00511869"/>
    <w:rsid w:val="00514C54"/>
    <w:rsid w:val="00515B78"/>
    <w:rsid w:val="00522919"/>
    <w:rsid w:val="0052338C"/>
    <w:rsid w:val="00523A34"/>
    <w:rsid w:val="00525E06"/>
    <w:rsid w:val="00527588"/>
    <w:rsid w:val="0052780F"/>
    <w:rsid w:val="00530814"/>
    <w:rsid w:val="00532777"/>
    <w:rsid w:val="00533B7D"/>
    <w:rsid w:val="005411B8"/>
    <w:rsid w:val="005424B8"/>
    <w:rsid w:val="00547FB1"/>
    <w:rsid w:val="00552BA6"/>
    <w:rsid w:val="00553218"/>
    <w:rsid w:val="00555911"/>
    <w:rsid w:val="00556001"/>
    <w:rsid w:val="00557600"/>
    <w:rsid w:val="00560B90"/>
    <w:rsid w:val="00561D60"/>
    <w:rsid w:val="00570580"/>
    <w:rsid w:val="00575295"/>
    <w:rsid w:val="00577F2A"/>
    <w:rsid w:val="005804BF"/>
    <w:rsid w:val="0058259A"/>
    <w:rsid w:val="00583D9C"/>
    <w:rsid w:val="0059382A"/>
    <w:rsid w:val="00594491"/>
    <w:rsid w:val="00594E2A"/>
    <w:rsid w:val="00595F68"/>
    <w:rsid w:val="00596B2D"/>
    <w:rsid w:val="00597EA8"/>
    <w:rsid w:val="005A01AF"/>
    <w:rsid w:val="005A225A"/>
    <w:rsid w:val="005A28C7"/>
    <w:rsid w:val="005A3430"/>
    <w:rsid w:val="005A40DF"/>
    <w:rsid w:val="005A72F1"/>
    <w:rsid w:val="005B18F5"/>
    <w:rsid w:val="005B1FC6"/>
    <w:rsid w:val="005B3A14"/>
    <w:rsid w:val="005B4F6F"/>
    <w:rsid w:val="005B70C4"/>
    <w:rsid w:val="005C1FC6"/>
    <w:rsid w:val="005C7D7E"/>
    <w:rsid w:val="005D4A18"/>
    <w:rsid w:val="005D51F3"/>
    <w:rsid w:val="005D6397"/>
    <w:rsid w:val="005D7277"/>
    <w:rsid w:val="005D7672"/>
    <w:rsid w:val="005D7DE2"/>
    <w:rsid w:val="005E346A"/>
    <w:rsid w:val="005E54C1"/>
    <w:rsid w:val="005F3BBD"/>
    <w:rsid w:val="005F46CB"/>
    <w:rsid w:val="005F5678"/>
    <w:rsid w:val="00600A9E"/>
    <w:rsid w:val="00601DB6"/>
    <w:rsid w:val="006038D0"/>
    <w:rsid w:val="00603E4C"/>
    <w:rsid w:val="00604409"/>
    <w:rsid w:val="0061283B"/>
    <w:rsid w:val="006142CA"/>
    <w:rsid w:val="00614BC5"/>
    <w:rsid w:val="00615593"/>
    <w:rsid w:val="00616BD9"/>
    <w:rsid w:val="00617B58"/>
    <w:rsid w:val="00620BF1"/>
    <w:rsid w:val="00621847"/>
    <w:rsid w:val="00621AE6"/>
    <w:rsid w:val="0062350B"/>
    <w:rsid w:val="0062449A"/>
    <w:rsid w:val="00624BE0"/>
    <w:rsid w:val="00634E0C"/>
    <w:rsid w:val="00637197"/>
    <w:rsid w:val="006371F9"/>
    <w:rsid w:val="00640F7C"/>
    <w:rsid w:val="00642DD8"/>
    <w:rsid w:val="00643793"/>
    <w:rsid w:val="00646408"/>
    <w:rsid w:val="00646768"/>
    <w:rsid w:val="0065336B"/>
    <w:rsid w:val="00653386"/>
    <w:rsid w:val="006544D7"/>
    <w:rsid w:val="00655E79"/>
    <w:rsid w:val="00662726"/>
    <w:rsid w:val="00663B48"/>
    <w:rsid w:val="006646FE"/>
    <w:rsid w:val="006665CE"/>
    <w:rsid w:val="00666BA9"/>
    <w:rsid w:val="0066742C"/>
    <w:rsid w:val="006746F9"/>
    <w:rsid w:val="0067735E"/>
    <w:rsid w:val="00682675"/>
    <w:rsid w:val="00682899"/>
    <w:rsid w:val="00690363"/>
    <w:rsid w:val="0069467F"/>
    <w:rsid w:val="0069591A"/>
    <w:rsid w:val="00696031"/>
    <w:rsid w:val="006A1DE7"/>
    <w:rsid w:val="006A3F10"/>
    <w:rsid w:val="006A4FB3"/>
    <w:rsid w:val="006B4182"/>
    <w:rsid w:val="006B52F1"/>
    <w:rsid w:val="006C1EE7"/>
    <w:rsid w:val="006C1FC3"/>
    <w:rsid w:val="006C5A4E"/>
    <w:rsid w:val="006C7A04"/>
    <w:rsid w:val="006D01FD"/>
    <w:rsid w:val="006D080D"/>
    <w:rsid w:val="006D0BE9"/>
    <w:rsid w:val="006D197D"/>
    <w:rsid w:val="006D4FC8"/>
    <w:rsid w:val="006D5536"/>
    <w:rsid w:val="006D59AB"/>
    <w:rsid w:val="006D790E"/>
    <w:rsid w:val="006E0A99"/>
    <w:rsid w:val="006E1EB9"/>
    <w:rsid w:val="006E345A"/>
    <w:rsid w:val="006E3A7F"/>
    <w:rsid w:val="006E3DD2"/>
    <w:rsid w:val="006F0784"/>
    <w:rsid w:val="006F0F22"/>
    <w:rsid w:val="006F2601"/>
    <w:rsid w:val="006F3E7A"/>
    <w:rsid w:val="006F3FEB"/>
    <w:rsid w:val="006F7C8E"/>
    <w:rsid w:val="007001F8"/>
    <w:rsid w:val="007025D4"/>
    <w:rsid w:val="00706DD4"/>
    <w:rsid w:val="00707728"/>
    <w:rsid w:val="00707FE8"/>
    <w:rsid w:val="00710DE1"/>
    <w:rsid w:val="007128CD"/>
    <w:rsid w:val="00713FA3"/>
    <w:rsid w:val="0071481B"/>
    <w:rsid w:val="00714952"/>
    <w:rsid w:val="007258A4"/>
    <w:rsid w:val="007273CB"/>
    <w:rsid w:val="0073224D"/>
    <w:rsid w:val="0074103C"/>
    <w:rsid w:val="00746912"/>
    <w:rsid w:val="007510AC"/>
    <w:rsid w:val="007536A6"/>
    <w:rsid w:val="0075772F"/>
    <w:rsid w:val="00762206"/>
    <w:rsid w:val="00762B98"/>
    <w:rsid w:val="007632A6"/>
    <w:rsid w:val="00763C64"/>
    <w:rsid w:val="00766E4E"/>
    <w:rsid w:val="00767143"/>
    <w:rsid w:val="007677BC"/>
    <w:rsid w:val="00772F28"/>
    <w:rsid w:val="0077354F"/>
    <w:rsid w:val="00774678"/>
    <w:rsid w:val="007748CE"/>
    <w:rsid w:val="00775AFC"/>
    <w:rsid w:val="00775CAC"/>
    <w:rsid w:val="00777548"/>
    <w:rsid w:val="007778E7"/>
    <w:rsid w:val="00781C82"/>
    <w:rsid w:val="00782733"/>
    <w:rsid w:val="007831AF"/>
    <w:rsid w:val="00794943"/>
    <w:rsid w:val="00796F2A"/>
    <w:rsid w:val="007A179B"/>
    <w:rsid w:val="007A40B0"/>
    <w:rsid w:val="007A5730"/>
    <w:rsid w:val="007B0397"/>
    <w:rsid w:val="007B1045"/>
    <w:rsid w:val="007B2A2B"/>
    <w:rsid w:val="007B2AD4"/>
    <w:rsid w:val="007C1379"/>
    <w:rsid w:val="007C6884"/>
    <w:rsid w:val="007C72F3"/>
    <w:rsid w:val="007D1747"/>
    <w:rsid w:val="007D2EA8"/>
    <w:rsid w:val="007D4EA9"/>
    <w:rsid w:val="007D7039"/>
    <w:rsid w:val="007D7AF8"/>
    <w:rsid w:val="007E2F07"/>
    <w:rsid w:val="007E5FF3"/>
    <w:rsid w:val="007E7BE5"/>
    <w:rsid w:val="007E7E88"/>
    <w:rsid w:val="007E7FBD"/>
    <w:rsid w:val="007F16D4"/>
    <w:rsid w:val="007F1D5C"/>
    <w:rsid w:val="007F5B64"/>
    <w:rsid w:val="007F74A9"/>
    <w:rsid w:val="007F7BE8"/>
    <w:rsid w:val="00801979"/>
    <w:rsid w:val="008026A2"/>
    <w:rsid w:val="0080627B"/>
    <w:rsid w:val="00806569"/>
    <w:rsid w:val="00807D92"/>
    <w:rsid w:val="008118AB"/>
    <w:rsid w:val="008121B7"/>
    <w:rsid w:val="008144D6"/>
    <w:rsid w:val="008147F8"/>
    <w:rsid w:val="00815332"/>
    <w:rsid w:val="008154EB"/>
    <w:rsid w:val="00815F1F"/>
    <w:rsid w:val="0081698A"/>
    <w:rsid w:val="00816F39"/>
    <w:rsid w:val="0082270E"/>
    <w:rsid w:val="0082474B"/>
    <w:rsid w:val="00825B36"/>
    <w:rsid w:val="0083110B"/>
    <w:rsid w:val="00831BB3"/>
    <w:rsid w:val="00832110"/>
    <w:rsid w:val="0083304C"/>
    <w:rsid w:val="0083451E"/>
    <w:rsid w:val="008425AD"/>
    <w:rsid w:val="00845D23"/>
    <w:rsid w:val="00850900"/>
    <w:rsid w:val="008526AF"/>
    <w:rsid w:val="008534B3"/>
    <w:rsid w:val="008569A8"/>
    <w:rsid w:val="008577BC"/>
    <w:rsid w:val="00861264"/>
    <w:rsid w:val="00862838"/>
    <w:rsid w:val="008629B5"/>
    <w:rsid w:val="00863EBE"/>
    <w:rsid w:val="0086480A"/>
    <w:rsid w:val="00865083"/>
    <w:rsid w:val="00866262"/>
    <w:rsid w:val="008676DA"/>
    <w:rsid w:val="00867F72"/>
    <w:rsid w:val="008714EC"/>
    <w:rsid w:val="00872348"/>
    <w:rsid w:val="008725CB"/>
    <w:rsid w:val="00873785"/>
    <w:rsid w:val="008738E5"/>
    <w:rsid w:val="00873B3A"/>
    <w:rsid w:val="00874082"/>
    <w:rsid w:val="0087594E"/>
    <w:rsid w:val="00877DA5"/>
    <w:rsid w:val="00882DAB"/>
    <w:rsid w:val="008857BE"/>
    <w:rsid w:val="00890236"/>
    <w:rsid w:val="008923E3"/>
    <w:rsid w:val="00896560"/>
    <w:rsid w:val="008968C9"/>
    <w:rsid w:val="008969D4"/>
    <w:rsid w:val="008A4F88"/>
    <w:rsid w:val="008B08C4"/>
    <w:rsid w:val="008B093E"/>
    <w:rsid w:val="008B5DB3"/>
    <w:rsid w:val="008C1A61"/>
    <w:rsid w:val="008C22AB"/>
    <w:rsid w:val="008C3570"/>
    <w:rsid w:val="008C3B63"/>
    <w:rsid w:val="008C3D9D"/>
    <w:rsid w:val="008C684A"/>
    <w:rsid w:val="008C7075"/>
    <w:rsid w:val="008D09C1"/>
    <w:rsid w:val="008D17F7"/>
    <w:rsid w:val="008D4190"/>
    <w:rsid w:val="008D4CFB"/>
    <w:rsid w:val="008D56A6"/>
    <w:rsid w:val="008E1A70"/>
    <w:rsid w:val="008E1D6A"/>
    <w:rsid w:val="008E4FCA"/>
    <w:rsid w:val="008F1685"/>
    <w:rsid w:val="008F1F5F"/>
    <w:rsid w:val="008F5C0B"/>
    <w:rsid w:val="008F5FE8"/>
    <w:rsid w:val="008F63BB"/>
    <w:rsid w:val="0090578F"/>
    <w:rsid w:val="009060D4"/>
    <w:rsid w:val="00910B97"/>
    <w:rsid w:val="0091373D"/>
    <w:rsid w:val="00915083"/>
    <w:rsid w:val="00920155"/>
    <w:rsid w:val="00922FA1"/>
    <w:rsid w:val="00925ACF"/>
    <w:rsid w:val="00926D04"/>
    <w:rsid w:val="00927AE5"/>
    <w:rsid w:val="00933D3C"/>
    <w:rsid w:val="00935CCB"/>
    <w:rsid w:val="0094548E"/>
    <w:rsid w:val="009456A8"/>
    <w:rsid w:val="009544D3"/>
    <w:rsid w:val="009553EE"/>
    <w:rsid w:val="00956BC8"/>
    <w:rsid w:val="00957795"/>
    <w:rsid w:val="009577C5"/>
    <w:rsid w:val="00961BD8"/>
    <w:rsid w:val="0096495D"/>
    <w:rsid w:val="00965074"/>
    <w:rsid w:val="00967278"/>
    <w:rsid w:val="0097078D"/>
    <w:rsid w:val="00970873"/>
    <w:rsid w:val="009733F9"/>
    <w:rsid w:val="00974209"/>
    <w:rsid w:val="0097504D"/>
    <w:rsid w:val="00976451"/>
    <w:rsid w:val="00976C34"/>
    <w:rsid w:val="0098007B"/>
    <w:rsid w:val="00980134"/>
    <w:rsid w:val="00980FC3"/>
    <w:rsid w:val="009878EC"/>
    <w:rsid w:val="00991A7F"/>
    <w:rsid w:val="00992F48"/>
    <w:rsid w:val="00995C45"/>
    <w:rsid w:val="0099756C"/>
    <w:rsid w:val="009A1636"/>
    <w:rsid w:val="009B0B8C"/>
    <w:rsid w:val="009B1114"/>
    <w:rsid w:val="009B11B7"/>
    <w:rsid w:val="009B7247"/>
    <w:rsid w:val="009B7C44"/>
    <w:rsid w:val="009C4DD1"/>
    <w:rsid w:val="009C4E07"/>
    <w:rsid w:val="009D14C4"/>
    <w:rsid w:val="009D40FC"/>
    <w:rsid w:val="009E3AC4"/>
    <w:rsid w:val="009E7988"/>
    <w:rsid w:val="009F15BF"/>
    <w:rsid w:val="009F167A"/>
    <w:rsid w:val="009F4224"/>
    <w:rsid w:val="009F4608"/>
    <w:rsid w:val="009F6277"/>
    <w:rsid w:val="009F78A9"/>
    <w:rsid w:val="009F7B94"/>
    <w:rsid w:val="00A003FB"/>
    <w:rsid w:val="00A00A07"/>
    <w:rsid w:val="00A04133"/>
    <w:rsid w:val="00A07465"/>
    <w:rsid w:val="00A135E8"/>
    <w:rsid w:val="00A145F5"/>
    <w:rsid w:val="00A200EC"/>
    <w:rsid w:val="00A2057C"/>
    <w:rsid w:val="00A25838"/>
    <w:rsid w:val="00A25A55"/>
    <w:rsid w:val="00A34A67"/>
    <w:rsid w:val="00A35888"/>
    <w:rsid w:val="00A364B9"/>
    <w:rsid w:val="00A407CB"/>
    <w:rsid w:val="00A410D2"/>
    <w:rsid w:val="00A43655"/>
    <w:rsid w:val="00A45836"/>
    <w:rsid w:val="00A46F3F"/>
    <w:rsid w:val="00A476F6"/>
    <w:rsid w:val="00A47F6B"/>
    <w:rsid w:val="00A5079D"/>
    <w:rsid w:val="00A51EF3"/>
    <w:rsid w:val="00A52F89"/>
    <w:rsid w:val="00A54E0C"/>
    <w:rsid w:val="00A63B5C"/>
    <w:rsid w:val="00A647D7"/>
    <w:rsid w:val="00A6533D"/>
    <w:rsid w:val="00A65E46"/>
    <w:rsid w:val="00A67E1C"/>
    <w:rsid w:val="00A71A79"/>
    <w:rsid w:val="00A721F4"/>
    <w:rsid w:val="00A774DC"/>
    <w:rsid w:val="00A77FF5"/>
    <w:rsid w:val="00A8173C"/>
    <w:rsid w:val="00A85773"/>
    <w:rsid w:val="00A85AA5"/>
    <w:rsid w:val="00A85F01"/>
    <w:rsid w:val="00A86CB8"/>
    <w:rsid w:val="00A92213"/>
    <w:rsid w:val="00A958E2"/>
    <w:rsid w:val="00A95928"/>
    <w:rsid w:val="00A95A3E"/>
    <w:rsid w:val="00A95FE2"/>
    <w:rsid w:val="00A97867"/>
    <w:rsid w:val="00A97C73"/>
    <w:rsid w:val="00AA06DD"/>
    <w:rsid w:val="00AA0DE3"/>
    <w:rsid w:val="00AA2050"/>
    <w:rsid w:val="00AA2DCC"/>
    <w:rsid w:val="00AA4855"/>
    <w:rsid w:val="00AA6C55"/>
    <w:rsid w:val="00AA7DE1"/>
    <w:rsid w:val="00AB0587"/>
    <w:rsid w:val="00AB3BDE"/>
    <w:rsid w:val="00AC2839"/>
    <w:rsid w:val="00AC7F5B"/>
    <w:rsid w:val="00AD05EC"/>
    <w:rsid w:val="00AD33B2"/>
    <w:rsid w:val="00AD582C"/>
    <w:rsid w:val="00AD6966"/>
    <w:rsid w:val="00AD698D"/>
    <w:rsid w:val="00AD6BBB"/>
    <w:rsid w:val="00AD71FE"/>
    <w:rsid w:val="00AE0191"/>
    <w:rsid w:val="00AE0C86"/>
    <w:rsid w:val="00AE1759"/>
    <w:rsid w:val="00AE21CF"/>
    <w:rsid w:val="00AE2A30"/>
    <w:rsid w:val="00AE33A2"/>
    <w:rsid w:val="00AE51F2"/>
    <w:rsid w:val="00AF0C7A"/>
    <w:rsid w:val="00AF3A7C"/>
    <w:rsid w:val="00AF6EB7"/>
    <w:rsid w:val="00B004EA"/>
    <w:rsid w:val="00B00FE0"/>
    <w:rsid w:val="00B10415"/>
    <w:rsid w:val="00B11164"/>
    <w:rsid w:val="00B121BB"/>
    <w:rsid w:val="00B138D7"/>
    <w:rsid w:val="00B16A48"/>
    <w:rsid w:val="00B21F2F"/>
    <w:rsid w:val="00B224E2"/>
    <w:rsid w:val="00B232AB"/>
    <w:rsid w:val="00B237E2"/>
    <w:rsid w:val="00B23D30"/>
    <w:rsid w:val="00B25428"/>
    <w:rsid w:val="00B25586"/>
    <w:rsid w:val="00B2646E"/>
    <w:rsid w:val="00B307D3"/>
    <w:rsid w:val="00B30AB6"/>
    <w:rsid w:val="00B3396C"/>
    <w:rsid w:val="00B33B1A"/>
    <w:rsid w:val="00B343D1"/>
    <w:rsid w:val="00B34579"/>
    <w:rsid w:val="00B34A13"/>
    <w:rsid w:val="00B3670B"/>
    <w:rsid w:val="00B36D4A"/>
    <w:rsid w:val="00B37C1C"/>
    <w:rsid w:val="00B40075"/>
    <w:rsid w:val="00B4009D"/>
    <w:rsid w:val="00B436B8"/>
    <w:rsid w:val="00B43A39"/>
    <w:rsid w:val="00B4444E"/>
    <w:rsid w:val="00B44E93"/>
    <w:rsid w:val="00B4508E"/>
    <w:rsid w:val="00B46618"/>
    <w:rsid w:val="00B472CB"/>
    <w:rsid w:val="00B477E5"/>
    <w:rsid w:val="00B51854"/>
    <w:rsid w:val="00B52DA3"/>
    <w:rsid w:val="00B52ED6"/>
    <w:rsid w:val="00B55CA0"/>
    <w:rsid w:val="00B560C3"/>
    <w:rsid w:val="00B677E4"/>
    <w:rsid w:val="00B67827"/>
    <w:rsid w:val="00B73168"/>
    <w:rsid w:val="00B7347B"/>
    <w:rsid w:val="00B73EF0"/>
    <w:rsid w:val="00B75565"/>
    <w:rsid w:val="00B75B9F"/>
    <w:rsid w:val="00B85F7B"/>
    <w:rsid w:val="00B87293"/>
    <w:rsid w:val="00B912EF"/>
    <w:rsid w:val="00B96692"/>
    <w:rsid w:val="00B9752F"/>
    <w:rsid w:val="00BA2CF2"/>
    <w:rsid w:val="00BA3314"/>
    <w:rsid w:val="00BA5EB3"/>
    <w:rsid w:val="00BB0B0E"/>
    <w:rsid w:val="00BB2B89"/>
    <w:rsid w:val="00BB551D"/>
    <w:rsid w:val="00BB5C74"/>
    <w:rsid w:val="00BB695C"/>
    <w:rsid w:val="00BB7117"/>
    <w:rsid w:val="00BC1D59"/>
    <w:rsid w:val="00BC306A"/>
    <w:rsid w:val="00BD15C3"/>
    <w:rsid w:val="00BD20B8"/>
    <w:rsid w:val="00BD6A71"/>
    <w:rsid w:val="00BD77CB"/>
    <w:rsid w:val="00BD7D47"/>
    <w:rsid w:val="00BE15D5"/>
    <w:rsid w:val="00BE1E4C"/>
    <w:rsid w:val="00BE2756"/>
    <w:rsid w:val="00BE2C90"/>
    <w:rsid w:val="00BE3420"/>
    <w:rsid w:val="00BE707B"/>
    <w:rsid w:val="00BF0380"/>
    <w:rsid w:val="00BF089A"/>
    <w:rsid w:val="00BF2483"/>
    <w:rsid w:val="00BF2539"/>
    <w:rsid w:val="00BF32E9"/>
    <w:rsid w:val="00BF45B6"/>
    <w:rsid w:val="00BF4A5D"/>
    <w:rsid w:val="00BF6E7E"/>
    <w:rsid w:val="00C00605"/>
    <w:rsid w:val="00C0596D"/>
    <w:rsid w:val="00C059A8"/>
    <w:rsid w:val="00C068B3"/>
    <w:rsid w:val="00C10C5C"/>
    <w:rsid w:val="00C10F33"/>
    <w:rsid w:val="00C13203"/>
    <w:rsid w:val="00C13E06"/>
    <w:rsid w:val="00C14141"/>
    <w:rsid w:val="00C1528C"/>
    <w:rsid w:val="00C20109"/>
    <w:rsid w:val="00C24A49"/>
    <w:rsid w:val="00C25800"/>
    <w:rsid w:val="00C25892"/>
    <w:rsid w:val="00C26B36"/>
    <w:rsid w:val="00C27B75"/>
    <w:rsid w:val="00C27EC4"/>
    <w:rsid w:val="00C3057F"/>
    <w:rsid w:val="00C312F4"/>
    <w:rsid w:val="00C314CD"/>
    <w:rsid w:val="00C32783"/>
    <w:rsid w:val="00C350B6"/>
    <w:rsid w:val="00C40462"/>
    <w:rsid w:val="00C4249A"/>
    <w:rsid w:val="00C42A93"/>
    <w:rsid w:val="00C50418"/>
    <w:rsid w:val="00C51640"/>
    <w:rsid w:val="00C520BA"/>
    <w:rsid w:val="00C52568"/>
    <w:rsid w:val="00C52E3C"/>
    <w:rsid w:val="00C53DC3"/>
    <w:rsid w:val="00C5647A"/>
    <w:rsid w:val="00C62F58"/>
    <w:rsid w:val="00C6517E"/>
    <w:rsid w:val="00C721CD"/>
    <w:rsid w:val="00C7245E"/>
    <w:rsid w:val="00C74243"/>
    <w:rsid w:val="00C766CA"/>
    <w:rsid w:val="00C7716C"/>
    <w:rsid w:val="00C77253"/>
    <w:rsid w:val="00C80639"/>
    <w:rsid w:val="00C806C2"/>
    <w:rsid w:val="00C807F1"/>
    <w:rsid w:val="00C9044C"/>
    <w:rsid w:val="00C91EF8"/>
    <w:rsid w:val="00C92AC5"/>
    <w:rsid w:val="00CA3DBF"/>
    <w:rsid w:val="00CA6EDA"/>
    <w:rsid w:val="00CB17AB"/>
    <w:rsid w:val="00CB520E"/>
    <w:rsid w:val="00CB6E3A"/>
    <w:rsid w:val="00CD27F2"/>
    <w:rsid w:val="00CD3561"/>
    <w:rsid w:val="00CD377B"/>
    <w:rsid w:val="00CD42F0"/>
    <w:rsid w:val="00CD6A00"/>
    <w:rsid w:val="00CD7012"/>
    <w:rsid w:val="00CD77B6"/>
    <w:rsid w:val="00CE5926"/>
    <w:rsid w:val="00CE6E20"/>
    <w:rsid w:val="00CF06DF"/>
    <w:rsid w:val="00CF2D0B"/>
    <w:rsid w:val="00CF3443"/>
    <w:rsid w:val="00CF37A2"/>
    <w:rsid w:val="00CF4E63"/>
    <w:rsid w:val="00CF50FA"/>
    <w:rsid w:val="00CF51BE"/>
    <w:rsid w:val="00CF5A07"/>
    <w:rsid w:val="00CF7E9B"/>
    <w:rsid w:val="00D00536"/>
    <w:rsid w:val="00D010F3"/>
    <w:rsid w:val="00D01676"/>
    <w:rsid w:val="00D035C8"/>
    <w:rsid w:val="00D065E4"/>
    <w:rsid w:val="00D073A2"/>
    <w:rsid w:val="00D10089"/>
    <w:rsid w:val="00D139B8"/>
    <w:rsid w:val="00D13C19"/>
    <w:rsid w:val="00D158AB"/>
    <w:rsid w:val="00D165C0"/>
    <w:rsid w:val="00D16893"/>
    <w:rsid w:val="00D2029E"/>
    <w:rsid w:val="00D21B06"/>
    <w:rsid w:val="00D23225"/>
    <w:rsid w:val="00D239F2"/>
    <w:rsid w:val="00D26423"/>
    <w:rsid w:val="00D36866"/>
    <w:rsid w:val="00D36F7A"/>
    <w:rsid w:val="00D404C0"/>
    <w:rsid w:val="00D414D8"/>
    <w:rsid w:val="00D4217F"/>
    <w:rsid w:val="00D52E00"/>
    <w:rsid w:val="00D55844"/>
    <w:rsid w:val="00D5669E"/>
    <w:rsid w:val="00D56E87"/>
    <w:rsid w:val="00D57966"/>
    <w:rsid w:val="00D600F0"/>
    <w:rsid w:val="00D602AF"/>
    <w:rsid w:val="00D60CA8"/>
    <w:rsid w:val="00D61185"/>
    <w:rsid w:val="00D61C79"/>
    <w:rsid w:val="00D628DE"/>
    <w:rsid w:val="00D635D4"/>
    <w:rsid w:val="00D66965"/>
    <w:rsid w:val="00D66C69"/>
    <w:rsid w:val="00D67F51"/>
    <w:rsid w:val="00D708F6"/>
    <w:rsid w:val="00D73395"/>
    <w:rsid w:val="00D75C9D"/>
    <w:rsid w:val="00D76214"/>
    <w:rsid w:val="00D77D2A"/>
    <w:rsid w:val="00D80A32"/>
    <w:rsid w:val="00D80DE1"/>
    <w:rsid w:val="00D8266D"/>
    <w:rsid w:val="00D85837"/>
    <w:rsid w:val="00D92F8E"/>
    <w:rsid w:val="00D9446F"/>
    <w:rsid w:val="00DA0DB7"/>
    <w:rsid w:val="00DA137E"/>
    <w:rsid w:val="00DA2E44"/>
    <w:rsid w:val="00DA2F2A"/>
    <w:rsid w:val="00DA41A4"/>
    <w:rsid w:val="00DA645C"/>
    <w:rsid w:val="00DA7966"/>
    <w:rsid w:val="00DB2961"/>
    <w:rsid w:val="00DB48F2"/>
    <w:rsid w:val="00DB58EC"/>
    <w:rsid w:val="00DB5A46"/>
    <w:rsid w:val="00DB7799"/>
    <w:rsid w:val="00DB7AB6"/>
    <w:rsid w:val="00DB7C2D"/>
    <w:rsid w:val="00DB7C62"/>
    <w:rsid w:val="00DC0A47"/>
    <w:rsid w:val="00DC26CA"/>
    <w:rsid w:val="00DC3561"/>
    <w:rsid w:val="00DC7420"/>
    <w:rsid w:val="00DD2612"/>
    <w:rsid w:val="00DD7103"/>
    <w:rsid w:val="00DE1748"/>
    <w:rsid w:val="00DE2054"/>
    <w:rsid w:val="00DE3B7A"/>
    <w:rsid w:val="00DE4FC2"/>
    <w:rsid w:val="00DE6587"/>
    <w:rsid w:val="00DE6E1B"/>
    <w:rsid w:val="00DF00B2"/>
    <w:rsid w:val="00DF10C6"/>
    <w:rsid w:val="00DF238D"/>
    <w:rsid w:val="00DF38A4"/>
    <w:rsid w:val="00DF4FA9"/>
    <w:rsid w:val="00DF77F8"/>
    <w:rsid w:val="00DF7F2D"/>
    <w:rsid w:val="00E00EF5"/>
    <w:rsid w:val="00E01751"/>
    <w:rsid w:val="00E01CFD"/>
    <w:rsid w:val="00E07585"/>
    <w:rsid w:val="00E1051D"/>
    <w:rsid w:val="00E1527C"/>
    <w:rsid w:val="00E16C50"/>
    <w:rsid w:val="00E20F22"/>
    <w:rsid w:val="00E2559F"/>
    <w:rsid w:val="00E256B8"/>
    <w:rsid w:val="00E275BD"/>
    <w:rsid w:val="00E27DFB"/>
    <w:rsid w:val="00E30EEF"/>
    <w:rsid w:val="00E34987"/>
    <w:rsid w:val="00E35C12"/>
    <w:rsid w:val="00E40A4E"/>
    <w:rsid w:val="00E44931"/>
    <w:rsid w:val="00E51086"/>
    <w:rsid w:val="00E519A6"/>
    <w:rsid w:val="00E52345"/>
    <w:rsid w:val="00E525B9"/>
    <w:rsid w:val="00E53EAD"/>
    <w:rsid w:val="00E56210"/>
    <w:rsid w:val="00E572F0"/>
    <w:rsid w:val="00E61C40"/>
    <w:rsid w:val="00E63FD1"/>
    <w:rsid w:val="00E64F95"/>
    <w:rsid w:val="00E65166"/>
    <w:rsid w:val="00E7467D"/>
    <w:rsid w:val="00E754B9"/>
    <w:rsid w:val="00E75996"/>
    <w:rsid w:val="00E80D4E"/>
    <w:rsid w:val="00E82ADE"/>
    <w:rsid w:val="00E85E42"/>
    <w:rsid w:val="00E860A2"/>
    <w:rsid w:val="00E92635"/>
    <w:rsid w:val="00E9504F"/>
    <w:rsid w:val="00EA12DA"/>
    <w:rsid w:val="00EA3031"/>
    <w:rsid w:val="00EA319E"/>
    <w:rsid w:val="00EA366F"/>
    <w:rsid w:val="00EA5179"/>
    <w:rsid w:val="00EA5B9E"/>
    <w:rsid w:val="00EA7B32"/>
    <w:rsid w:val="00EB1834"/>
    <w:rsid w:val="00EB1890"/>
    <w:rsid w:val="00EB27DC"/>
    <w:rsid w:val="00EB2BFB"/>
    <w:rsid w:val="00EB3F1C"/>
    <w:rsid w:val="00EB45D6"/>
    <w:rsid w:val="00EB7DF4"/>
    <w:rsid w:val="00EC2AD2"/>
    <w:rsid w:val="00ED020D"/>
    <w:rsid w:val="00ED047D"/>
    <w:rsid w:val="00ED16D4"/>
    <w:rsid w:val="00ED21C1"/>
    <w:rsid w:val="00ED44A6"/>
    <w:rsid w:val="00ED45AF"/>
    <w:rsid w:val="00ED51AD"/>
    <w:rsid w:val="00ED53AF"/>
    <w:rsid w:val="00EE17B4"/>
    <w:rsid w:val="00EE375F"/>
    <w:rsid w:val="00EE3FE7"/>
    <w:rsid w:val="00EE49F7"/>
    <w:rsid w:val="00EE4B31"/>
    <w:rsid w:val="00EF6165"/>
    <w:rsid w:val="00EF6A19"/>
    <w:rsid w:val="00EF73B8"/>
    <w:rsid w:val="00F020FE"/>
    <w:rsid w:val="00F024B5"/>
    <w:rsid w:val="00F03602"/>
    <w:rsid w:val="00F06060"/>
    <w:rsid w:val="00F11398"/>
    <w:rsid w:val="00F11964"/>
    <w:rsid w:val="00F2075F"/>
    <w:rsid w:val="00F22071"/>
    <w:rsid w:val="00F23EA4"/>
    <w:rsid w:val="00F364C9"/>
    <w:rsid w:val="00F378AB"/>
    <w:rsid w:val="00F42E71"/>
    <w:rsid w:val="00F45E94"/>
    <w:rsid w:val="00F53152"/>
    <w:rsid w:val="00F54F7A"/>
    <w:rsid w:val="00F551DD"/>
    <w:rsid w:val="00F6278F"/>
    <w:rsid w:val="00F66838"/>
    <w:rsid w:val="00F66886"/>
    <w:rsid w:val="00F770E8"/>
    <w:rsid w:val="00F77100"/>
    <w:rsid w:val="00F77723"/>
    <w:rsid w:val="00F82021"/>
    <w:rsid w:val="00F821B4"/>
    <w:rsid w:val="00F839B0"/>
    <w:rsid w:val="00F85D63"/>
    <w:rsid w:val="00F87436"/>
    <w:rsid w:val="00F87F2F"/>
    <w:rsid w:val="00F94473"/>
    <w:rsid w:val="00FA00CE"/>
    <w:rsid w:val="00FA0B2A"/>
    <w:rsid w:val="00FA2D38"/>
    <w:rsid w:val="00FA6901"/>
    <w:rsid w:val="00FB1245"/>
    <w:rsid w:val="00FB483E"/>
    <w:rsid w:val="00FB4C7A"/>
    <w:rsid w:val="00FB5F7C"/>
    <w:rsid w:val="00FB7D3C"/>
    <w:rsid w:val="00FC15BC"/>
    <w:rsid w:val="00FC5F91"/>
    <w:rsid w:val="00FD0E47"/>
    <w:rsid w:val="00FD54CE"/>
    <w:rsid w:val="00FE0E27"/>
    <w:rsid w:val="00FE0F89"/>
    <w:rsid w:val="00FE1990"/>
    <w:rsid w:val="00FE77E7"/>
    <w:rsid w:val="00FF0400"/>
    <w:rsid w:val="00FF2A53"/>
    <w:rsid w:val="00FF3216"/>
    <w:rsid w:val="00FF4DBF"/>
    <w:rsid w:val="00FF505E"/>
    <w:rsid w:val="00FF52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EDC95"/>
  <w15:docId w15:val="{06203BD8-E540-4F53-80F0-11FD4729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653386"/>
    <w:rPr>
      <w:color w:val="605E5C"/>
      <w:shd w:val="clear" w:color="auto" w:fill="E1DFDD"/>
    </w:rPr>
  </w:style>
  <w:style w:type="character" w:styleId="Refdecomentario">
    <w:name w:val="annotation reference"/>
    <w:basedOn w:val="Fuentedeprrafopredeter"/>
    <w:uiPriority w:val="99"/>
    <w:semiHidden/>
    <w:unhideWhenUsed/>
    <w:rsid w:val="007632A6"/>
    <w:rPr>
      <w:sz w:val="16"/>
      <w:szCs w:val="16"/>
    </w:rPr>
  </w:style>
  <w:style w:type="paragraph" w:styleId="Textocomentario">
    <w:name w:val="annotation text"/>
    <w:basedOn w:val="Normal"/>
    <w:link w:val="TextocomentarioCar"/>
    <w:uiPriority w:val="99"/>
    <w:semiHidden/>
    <w:unhideWhenUsed/>
    <w:rsid w:val="007632A6"/>
    <w:rPr>
      <w:sz w:val="20"/>
      <w:szCs w:val="20"/>
    </w:rPr>
  </w:style>
  <w:style w:type="character" w:customStyle="1" w:styleId="TextocomentarioCar">
    <w:name w:val="Texto comentario Car"/>
    <w:basedOn w:val="Fuentedeprrafopredeter"/>
    <w:link w:val="Textocomentario"/>
    <w:uiPriority w:val="99"/>
    <w:semiHidden/>
    <w:rsid w:val="007632A6"/>
    <w:rPr>
      <w:rFonts w:ascii="Times New Roman" w:eastAsia="Times New Roman" w:hAnsi="Times New Roman" w:cs="Times New Roman"/>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7632A6"/>
    <w:rPr>
      <w:b/>
      <w:bCs/>
    </w:rPr>
  </w:style>
  <w:style w:type="character" w:customStyle="1" w:styleId="AsuntodelcomentarioCar">
    <w:name w:val="Asunto del comentario Car"/>
    <w:basedOn w:val="TextocomentarioCar"/>
    <w:link w:val="Asuntodelcomentario"/>
    <w:uiPriority w:val="99"/>
    <w:semiHidden/>
    <w:rsid w:val="007632A6"/>
    <w:rPr>
      <w:rFonts w:ascii="Times New Roman" w:eastAsia="Times New Roman" w:hAnsi="Times New Roman" w:cs="Times New Roman"/>
      <w:b/>
      <w:bCs/>
      <w:sz w:val="20"/>
      <w:szCs w:val="20"/>
      <w:lang w:val="es-CO" w:eastAsia="es-ES"/>
    </w:rPr>
  </w:style>
  <w:style w:type="paragraph" w:customStyle="1" w:styleId="Default">
    <w:name w:val="Default"/>
    <w:rsid w:val="00AA0DE3"/>
    <w:pPr>
      <w:autoSpaceDE w:val="0"/>
      <w:autoSpaceDN w:val="0"/>
      <w:adjustRightInd w:val="0"/>
      <w:spacing w:after="0" w:line="240" w:lineRule="auto"/>
    </w:pPr>
    <w:rPr>
      <w:rFonts w:ascii="Arial" w:hAnsi="Arial" w:cs="Arial"/>
      <w:color w:val="000000"/>
      <w:sz w:val="24"/>
      <w:szCs w:val="24"/>
      <w:lang w:val="es-CO"/>
    </w:rPr>
  </w:style>
  <w:style w:type="table" w:styleId="Tablaconcuadrcula">
    <w:name w:val="Table Grid"/>
    <w:basedOn w:val="Tablanormal"/>
    <w:uiPriority w:val="39"/>
    <w:rsid w:val="005D4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A407CB"/>
    <w:rPr>
      <w:color w:val="605E5C"/>
      <w:shd w:val="clear" w:color="auto" w:fill="E1DFDD"/>
    </w:rPr>
  </w:style>
  <w:style w:type="character" w:customStyle="1" w:styleId="SinespaciadoCar">
    <w:name w:val="Sin espaciado Car"/>
    <w:link w:val="Sinespaciado"/>
    <w:uiPriority w:val="1"/>
    <w:locked/>
    <w:rsid w:val="0052780F"/>
    <w:rPr>
      <w:rFonts w:ascii="Times New Roman" w:eastAsia="Times New Roman" w:hAnsi="Times New Roman" w:cs="Times New Roman"/>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1151554948">
      <w:bodyDiv w:val="1"/>
      <w:marLeft w:val="0"/>
      <w:marRight w:val="0"/>
      <w:marTop w:val="0"/>
      <w:marBottom w:val="0"/>
      <w:divBdr>
        <w:top w:val="none" w:sz="0" w:space="0" w:color="auto"/>
        <w:left w:val="none" w:sz="0" w:space="0" w:color="auto"/>
        <w:bottom w:val="none" w:sz="0" w:space="0" w:color="auto"/>
        <w:right w:val="none" w:sz="0" w:space="0" w:color="auto"/>
      </w:divBdr>
      <w:divsChild>
        <w:div w:id="1965964408">
          <w:marLeft w:val="0"/>
          <w:marRight w:val="0"/>
          <w:marTop w:val="0"/>
          <w:marBottom w:val="0"/>
          <w:divBdr>
            <w:top w:val="none" w:sz="0" w:space="0" w:color="auto"/>
            <w:left w:val="none" w:sz="0" w:space="0" w:color="auto"/>
            <w:bottom w:val="none" w:sz="0" w:space="0" w:color="auto"/>
            <w:right w:val="none" w:sz="0" w:space="0" w:color="auto"/>
          </w:divBdr>
        </w:div>
        <w:div w:id="1364356071">
          <w:marLeft w:val="0"/>
          <w:marRight w:val="0"/>
          <w:marTop w:val="0"/>
          <w:marBottom w:val="0"/>
          <w:divBdr>
            <w:top w:val="none" w:sz="0" w:space="0" w:color="auto"/>
            <w:left w:val="none" w:sz="0" w:space="0" w:color="auto"/>
            <w:bottom w:val="none" w:sz="0" w:space="0" w:color="auto"/>
            <w:right w:val="none" w:sz="0" w:space="0" w:color="auto"/>
          </w:divBdr>
        </w:div>
        <w:div w:id="549807877">
          <w:marLeft w:val="0"/>
          <w:marRight w:val="0"/>
          <w:marTop w:val="0"/>
          <w:marBottom w:val="0"/>
          <w:divBdr>
            <w:top w:val="none" w:sz="0" w:space="0" w:color="auto"/>
            <w:left w:val="none" w:sz="0" w:space="0" w:color="auto"/>
            <w:bottom w:val="none" w:sz="0" w:space="0" w:color="auto"/>
            <w:right w:val="none" w:sz="0" w:space="0" w:color="auto"/>
          </w:divBdr>
        </w:div>
      </w:divsChild>
    </w:div>
    <w:div w:id="2130079925">
      <w:bodyDiv w:val="1"/>
      <w:marLeft w:val="0"/>
      <w:marRight w:val="0"/>
      <w:marTop w:val="0"/>
      <w:marBottom w:val="0"/>
      <w:divBdr>
        <w:top w:val="none" w:sz="0" w:space="0" w:color="auto"/>
        <w:left w:val="none" w:sz="0" w:space="0" w:color="auto"/>
        <w:bottom w:val="none" w:sz="0" w:space="0" w:color="auto"/>
        <w:right w:val="none" w:sz="0" w:space="0" w:color="auto"/>
      </w:divBdr>
      <w:divsChild>
        <w:div w:id="2098936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4640A5FF47F2143850444791908093F" ma:contentTypeVersion="9" ma:contentTypeDescription="Crear nuevo documento." ma:contentTypeScope="" ma:versionID="d00a73e6ee325032842a75d8a9191b3e">
  <xsd:schema xmlns:xsd="http://www.w3.org/2001/XMLSchema" xmlns:xs="http://www.w3.org/2001/XMLSchema" xmlns:p="http://schemas.microsoft.com/office/2006/metadata/properties" xmlns:ns3="8aa547c7-18dd-4db7-889d-d15232926ae8" xmlns:ns4="d61b0bda-f6fc-4f1f-9c55-d6e223c2229c" targetNamespace="http://schemas.microsoft.com/office/2006/metadata/properties" ma:root="true" ma:fieldsID="276c30b4752ebc61b92d776dd8852358" ns3:_="" ns4:_="">
    <xsd:import namespace="8aa547c7-18dd-4db7-889d-d15232926ae8"/>
    <xsd:import namespace="d61b0bda-f6fc-4f1f-9c55-d6e223c22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47c7-18dd-4db7-889d-d1523292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b0bda-f6fc-4f1f-9c55-d6e223c2229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3.xml><?xml version="1.0" encoding="utf-8"?>
<ds:datastoreItem xmlns:ds="http://schemas.openxmlformats.org/officeDocument/2006/customXml" ds:itemID="{3C118ACE-E41D-4FFD-A771-55ACB65FE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47c7-18dd-4db7-889d-d15232926ae8"/>
    <ds:schemaRef ds:uri="d61b0bda-f6fc-4f1f-9c55-d6e223c22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2AE582-27E0-4DA5-8EA7-975614E4B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1744</Words>
  <Characters>9598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 DOLLY HOYOS VERBEL</dc:creator>
  <cp:lastModifiedBy>Hermides Alonso Gaviria Ocampo</cp:lastModifiedBy>
  <cp:revision>39</cp:revision>
  <cp:lastPrinted>2020-02-25T12:17:00Z</cp:lastPrinted>
  <dcterms:created xsi:type="dcterms:W3CDTF">2021-09-15T16:34:00Z</dcterms:created>
  <dcterms:modified xsi:type="dcterms:W3CDTF">2022-02-26T17:08:00Z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0x01010004640A5FF47F2143850444791908093F</vt:lpwstr>
  </property>
</Properties>
</file>