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459CC" w14:textId="77777777" w:rsidR="00EB4E7A" w:rsidRPr="00EB4E7A" w:rsidRDefault="00EB4E7A" w:rsidP="00EB4E7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EB4E7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625B962" w14:textId="77777777" w:rsidR="00EB4E7A" w:rsidRPr="00EB4E7A" w:rsidRDefault="00EB4E7A" w:rsidP="00EB4E7A">
      <w:pPr>
        <w:jc w:val="both"/>
        <w:rPr>
          <w:rFonts w:ascii="Arial" w:hAnsi="Arial" w:cs="Arial"/>
          <w:sz w:val="20"/>
          <w:szCs w:val="20"/>
          <w:lang w:val="es-419"/>
        </w:rPr>
      </w:pPr>
    </w:p>
    <w:p w14:paraId="7045A902" w14:textId="3D35895B" w:rsidR="00EB4E7A" w:rsidRPr="00EB4E7A" w:rsidRDefault="00D04885" w:rsidP="00EB4E7A">
      <w:pPr>
        <w:jc w:val="both"/>
        <w:rPr>
          <w:rFonts w:ascii="Arial" w:hAnsi="Arial" w:cs="Arial"/>
          <w:b/>
          <w:bCs/>
          <w:iCs/>
          <w:sz w:val="20"/>
          <w:szCs w:val="20"/>
          <w:lang w:val="es-419" w:eastAsia="fr-FR"/>
        </w:rPr>
      </w:pPr>
      <w:r w:rsidRPr="00EB4E7A">
        <w:rPr>
          <w:rFonts w:ascii="Arial" w:hAnsi="Arial" w:cs="Arial"/>
          <w:b/>
          <w:bCs/>
          <w:iCs/>
          <w:sz w:val="20"/>
          <w:szCs w:val="20"/>
          <w:u w:val="single"/>
          <w:lang w:val="es-419" w:eastAsia="fr-FR"/>
        </w:rPr>
        <w:t>TEMAS:</w:t>
      </w:r>
      <w:r w:rsidRPr="00EB4E7A">
        <w:rPr>
          <w:rFonts w:ascii="Arial" w:hAnsi="Arial" w:cs="Arial"/>
          <w:b/>
          <w:bCs/>
          <w:iCs/>
          <w:sz w:val="20"/>
          <w:szCs w:val="20"/>
          <w:lang w:val="es-419" w:eastAsia="fr-FR"/>
        </w:rPr>
        <w:tab/>
      </w:r>
      <w:r>
        <w:rPr>
          <w:rFonts w:ascii="Arial" w:hAnsi="Arial" w:cs="Arial"/>
          <w:b/>
          <w:bCs/>
          <w:iCs/>
          <w:sz w:val="20"/>
          <w:szCs w:val="20"/>
          <w:lang w:val="es-419" w:eastAsia="fr-FR"/>
        </w:rPr>
        <w:t>NULIDAD PROCESAL /</w:t>
      </w:r>
      <w:r w:rsidR="00E44BA3">
        <w:rPr>
          <w:rFonts w:ascii="Arial" w:hAnsi="Arial" w:cs="Arial"/>
          <w:b/>
          <w:bCs/>
          <w:iCs/>
          <w:sz w:val="20"/>
          <w:szCs w:val="20"/>
          <w:lang w:val="es-419" w:eastAsia="fr-FR"/>
        </w:rPr>
        <w:t xml:space="preserve"> INDEBIDA</w:t>
      </w:r>
      <w:r>
        <w:rPr>
          <w:rFonts w:ascii="Arial" w:hAnsi="Arial" w:cs="Arial"/>
          <w:b/>
          <w:bCs/>
          <w:iCs/>
          <w:sz w:val="20"/>
          <w:szCs w:val="20"/>
          <w:lang w:val="es-419" w:eastAsia="fr-FR"/>
        </w:rPr>
        <w:t xml:space="preserve"> NOTIFICACIÓN </w:t>
      </w:r>
      <w:r w:rsidR="00E44BA3">
        <w:rPr>
          <w:rFonts w:ascii="Arial" w:hAnsi="Arial" w:cs="Arial"/>
          <w:b/>
          <w:bCs/>
          <w:iCs/>
          <w:sz w:val="20"/>
          <w:szCs w:val="20"/>
          <w:lang w:val="es-419" w:eastAsia="fr-FR"/>
        </w:rPr>
        <w:t xml:space="preserve">/ </w:t>
      </w:r>
      <w:r>
        <w:rPr>
          <w:rFonts w:ascii="Arial" w:hAnsi="Arial" w:cs="Arial"/>
          <w:b/>
          <w:bCs/>
          <w:iCs/>
          <w:sz w:val="20"/>
          <w:szCs w:val="20"/>
          <w:lang w:val="es-419" w:eastAsia="fr-FR"/>
        </w:rPr>
        <w:t xml:space="preserve">LLAMADO EN GARANTÍA / POR CONDUCTA CONCLUYENTE / SANEAMIENTO </w:t>
      </w:r>
      <w:r w:rsidR="00E44BA3">
        <w:rPr>
          <w:rFonts w:ascii="Arial" w:hAnsi="Arial" w:cs="Arial"/>
          <w:b/>
          <w:bCs/>
          <w:iCs/>
          <w:sz w:val="20"/>
          <w:szCs w:val="20"/>
          <w:lang w:val="es-419" w:eastAsia="fr-FR"/>
        </w:rPr>
        <w:t xml:space="preserve">/ </w:t>
      </w:r>
      <w:r>
        <w:rPr>
          <w:rFonts w:ascii="Arial" w:hAnsi="Arial" w:cs="Arial"/>
          <w:b/>
          <w:bCs/>
          <w:iCs/>
          <w:sz w:val="20"/>
          <w:szCs w:val="20"/>
          <w:lang w:val="es-419" w:eastAsia="fr-FR"/>
        </w:rPr>
        <w:t>INTERVENCIÓN EN EL PROCESO SIN ALEGARLA.</w:t>
      </w:r>
    </w:p>
    <w:p w14:paraId="3B71ABB6" w14:textId="77777777" w:rsidR="00EB4E7A" w:rsidRPr="00EB4E7A" w:rsidRDefault="00EB4E7A" w:rsidP="00EB4E7A">
      <w:pPr>
        <w:jc w:val="both"/>
        <w:rPr>
          <w:rFonts w:ascii="Arial" w:hAnsi="Arial" w:cs="Arial"/>
          <w:sz w:val="20"/>
          <w:szCs w:val="20"/>
          <w:lang w:val="es-419"/>
        </w:rPr>
      </w:pPr>
    </w:p>
    <w:p w14:paraId="6A78169C" w14:textId="5C81515B" w:rsidR="00725DA0" w:rsidRPr="00725DA0" w:rsidRDefault="00F24D07" w:rsidP="00725DA0">
      <w:pPr>
        <w:jc w:val="both"/>
        <w:rPr>
          <w:rFonts w:ascii="Arial" w:hAnsi="Arial" w:cs="Arial"/>
          <w:sz w:val="20"/>
          <w:szCs w:val="20"/>
          <w:lang w:val="es-419"/>
        </w:rPr>
      </w:pPr>
      <w:r>
        <w:rPr>
          <w:rFonts w:ascii="Arial" w:hAnsi="Arial" w:cs="Arial"/>
          <w:sz w:val="20"/>
          <w:szCs w:val="20"/>
          <w:lang w:val="es-419"/>
        </w:rPr>
        <w:t xml:space="preserve">… </w:t>
      </w:r>
      <w:r w:rsidR="00725DA0" w:rsidRPr="00725DA0">
        <w:rPr>
          <w:rFonts w:ascii="Arial" w:hAnsi="Arial" w:cs="Arial"/>
          <w:sz w:val="20"/>
          <w:szCs w:val="20"/>
          <w:lang w:val="es-419"/>
        </w:rPr>
        <w:t>allí se decidió: “Téngase a Allianz Seguros S.A., notificada por conducta concluyente de todas las providencias que se hayan dictado en esta actuación, inclusive del auto admisorio de la demanda.”</w:t>
      </w:r>
    </w:p>
    <w:p w14:paraId="1C084434" w14:textId="77777777" w:rsidR="00725DA0" w:rsidRPr="00725DA0" w:rsidRDefault="00725DA0" w:rsidP="00725DA0">
      <w:pPr>
        <w:jc w:val="both"/>
        <w:rPr>
          <w:rFonts w:ascii="Arial" w:hAnsi="Arial" w:cs="Arial"/>
          <w:sz w:val="20"/>
          <w:szCs w:val="20"/>
          <w:lang w:val="es-419"/>
        </w:rPr>
      </w:pPr>
    </w:p>
    <w:p w14:paraId="12D533DF" w14:textId="050C8527" w:rsidR="00EB4E7A" w:rsidRPr="00EB4E7A" w:rsidRDefault="00725DA0" w:rsidP="00F24D07">
      <w:pPr>
        <w:jc w:val="both"/>
        <w:rPr>
          <w:rFonts w:ascii="Arial" w:hAnsi="Arial" w:cs="Arial"/>
          <w:sz w:val="20"/>
          <w:szCs w:val="20"/>
          <w:lang w:val="es-419"/>
        </w:rPr>
      </w:pPr>
      <w:r w:rsidRPr="00725DA0">
        <w:rPr>
          <w:rFonts w:ascii="Arial" w:hAnsi="Arial" w:cs="Arial"/>
          <w:sz w:val="20"/>
          <w:szCs w:val="20"/>
          <w:lang w:val="es-419"/>
        </w:rPr>
        <w:t>Lo anterior a solicitud de la parte que formuló el llamamiento en garantía y, según las motivaciones, con soporte en el inciso segundo del artículo 301 del estatuto procesal civil, que señala: “Quien constituya apoderado judicial se entenderá notificado por conducta concluyente de todas las providencias que se hayan dictado en el respectivo proceso, inclusive del auto admisorio de la demanda o mandamiento ejecutivo, el día en que se notifique el auto que le reconoce personería</w:t>
      </w:r>
      <w:r w:rsidR="00F24D07">
        <w:rPr>
          <w:rFonts w:ascii="Arial" w:hAnsi="Arial" w:cs="Arial"/>
          <w:sz w:val="20"/>
          <w:szCs w:val="20"/>
          <w:lang w:val="es-419"/>
        </w:rPr>
        <w:t>…”</w:t>
      </w:r>
    </w:p>
    <w:p w14:paraId="1833A1D2" w14:textId="77777777" w:rsidR="00EB4E7A" w:rsidRPr="00EB4E7A" w:rsidRDefault="00EB4E7A" w:rsidP="00EB4E7A">
      <w:pPr>
        <w:jc w:val="both"/>
        <w:rPr>
          <w:rFonts w:ascii="Arial" w:hAnsi="Arial" w:cs="Arial"/>
          <w:sz w:val="20"/>
          <w:szCs w:val="20"/>
          <w:lang w:val="es-419"/>
        </w:rPr>
      </w:pPr>
    </w:p>
    <w:p w14:paraId="4A874EE0" w14:textId="04AE84D3" w:rsidR="00F24D07" w:rsidRPr="00F24D07" w:rsidRDefault="00F24D07" w:rsidP="00F24D07">
      <w:pPr>
        <w:jc w:val="both"/>
        <w:rPr>
          <w:rFonts w:ascii="Arial" w:hAnsi="Arial" w:cs="Arial"/>
          <w:sz w:val="20"/>
          <w:szCs w:val="20"/>
          <w:lang w:val="es-419"/>
        </w:rPr>
      </w:pPr>
      <w:r>
        <w:rPr>
          <w:rFonts w:ascii="Arial" w:hAnsi="Arial" w:cs="Arial"/>
          <w:sz w:val="20"/>
          <w:szCs w:val="20"/>
          <w:lang w:val="es-419"/>
        </w:rPr>
        <w:t xml:space="preserve">… </w:t>
      </w:r>
      <w:r w:rsidRPr="00F24D07">
        <w:rPr>
          <w:rFonts w:ascii="Arial" w:hAnsi="Arial" w:cs="Arial"/>
          <w:sz w:val="20"/>
          <w:szCs w:val="20"/>
          <w:lang w:val="es-419"/>
        </w:rPr>
        <w:t>esa notificación NO operó como consecuencia de una nulidad procesal declarada (inciso 3º de esa misma norma), sino que responde a una decisión autónoma o diferente, porque en esa misma providencia se reconoció personería al apoderado de la aseguradora.</w:t>
      </w:r>
    </w:p>
    <w:p w14:paraId="43E9B5FA" w14:textId="77777777" w:rsidR="00F24D07" w:rsidRPr="00F24D07" w:rsidRDefault="00F24D07" w:rsidP="00F24D07">
      <w:pPr>
        <w:jc w:val="both"/>
        <w:rPr>
          <w:rFonts w:ascii="Arial" w:hAnsi="Arial" w:cs="Arial"/>
          <w:sz w:val="20"/>
          <w:szCs w:val="20"/>
          <w:lang w:val="es-419"/>
        </w:rPr>
      </w:pPr>
    </w:p>
    <w:p w14:paraId="0FD3A46C" w14:textId="7762D19C" w:rsidR="00EB4E7A" w:rsidRPr="00EB4E7A" w:rsidRDefault="00F24D07" w:rsidP="00F24D07">
      <w:pPr>
        <w:jc w:val="both"/>
        <w:rPr>
          <w:rFonts w:ascii="Arial" w:hAnsi="Arial" w:cs="Arial"/>
          <w:sz w:val="20"/>
          <w:szCs w:val="20"/>
          <w:lang w:val="es-419"/>
        </w:rPr>
      </w:pPr>
      <w:r w:rsidRPr="00F24D07">
        <w:rPr>
          <w:rFonts w:ascii="Arial" w:hAnsi="Arial" w:cs="Arial"/>
          <w:sz w:val="20"/>
          <w:szCs w:val="20"/>
          <w:lang w:val="es-419"/>
        </w:rPr>
        <w:t>En ese orden se tiene que esa decisión no es apelable, pues no se encuentra enlistada en el artículo 321 del C.G.P</w:t>
      </w:r>
      <w:r>
        <w:rPr>
          <w:rFonts w:ascii="Arial" w:hAnsi="Arial" w:cs="Arial"/>
          <w:sz w:val="20"/>
          <w:szCs w:val="20"/>
          <w:lang w:val="es-419"/>
        </w:rPr>
        <w:t>…</w:t>
      </w:r>
    </w:p>
    <w:p w14:paraId="45578060" w14:textId="77777777" w:rsidR="00EB4E7A" w:rsidRPr="00EB4E7A" w:rsidRDefault="00EB4E7A" w:rsidP="00EB4E7A">
      <w:pPr>
        <w:jc w:val="both"/>
        <w:rPr>
          <w:rFonts w:ascii="Arial" w:hAnsi="Arial" w:cs="Arial"/>
          <w:sz w:val="20"/>
          <w:szCs w:val="20"/>
          <w:lang w:val="es-419"/>
        </w:rPr>
      </w:pPr>
    </w:p>
    <w:p w14:paraId="48E4C51B" w14:textId="0351E2BC" w:rsidR="00EB4E7A" w:rsidRDefault="00226D73" w:rsidP="00EB4E7A">
      <w:pPr>
        <w:jc w:val="both"/>
        <w:rPr>
          <w:rFonts w:ascii="Arial" w:hAnsi="Arial" w:cs="Arial"/>
          <w:sz w:val="20"/>
          <w:szCs w:val="20"/>
          <w:lang w:val="es-419"/>
        </w:rPr>
      </w:pPr>
      <w:r w:rsidRPr="00226D73">
        <w:rPr>
          <w:rFonts w:ascii="Arial" w:hAnsi="Arial" w:cs="Arial"/>
          <w:sz w:val="20"/>
          <w:szCs w:val="20"/>
          <w:lang w:val="es-419"/>
        </w:rPr>
        <w:t xml:space="preserve">Es claro para la Sala Unitaria que la notificación del auto que admite el llamado en garantía debe hacerse en forma personal, por expreso mandato del art. 66 Ib., de lo contrario, se genera una irregularidad constitutiva de nulidad procesal, según se señala en el numeral 8º del artículo 133 </w:t>
      </w:r>
      <w:proofErr w:type="spellStart"/>
      <w:r w:rsidRPr="00226D73">
        <w:rPr>
          <w:rFonts w:ascii="Arial" w:hAnsi="Arial" w:cs="Arial"/>
          <w:sz w:val="20"/>
          <w:szCs w:val="20"/>
          <w:lang w:val="es-419"/>
        </w:rPr>
        <w:t>Ib</w:t>
      </w:r>
      <w:proofErr w:type="spellEnd"/>
      <w:r>
        <w:rPr>
          <w:rFonts w:ascii="Arial" w:hAnsi="Arial" w:cs="Arial"/>
          <w:sz w:val="20"/>
          <w:szCs w:val="20"/>
          <w:lang w:val="es-419"/>
        </w:rPr>
        <w:t>…</w:t>
      </w:r>
    </w:p>
    <w:p w14:paraId="7773EB62" w14:textId="351A0B6F" w:rsidR="00767234" w:rsidRDefault="00767234" w:rsidP="00EB4E7A">
      <w:pPr>
        <w:jc w:val="both"/>
        <w:rPr>
          <w:rFonts w:ascii="Arial" w:hAnsi="Arial" w:cs="Arial"/>
          <w:sz w:val="20"/>
          <w:szCs w:val="20"/>
          <w:lang w:val="es-419"/>
        </w:rPr>
      </w:pPr>
    </w:p>
    <w:p w14:paraId="43358368" w14:textId="579AD804" w:rsidR="00767234" w:rsidRPr="00EB4E7A" w:rsidRDefault="00767234" w:rsidP="00EB4E7A">
      <w:pPr>
        <w:jc w:val="both"/>
        <w:rPr>
          <w:rFonts w:ascii="Arial" w:hAnsi="Arial" w:cs="Arial"/>
          <w:sz w:val="20"/>
          <w:szCs w:val="20"/>
          <w:lang w:val="es-419"/>
        </w:rPr>
      </w:pPr>
      <w:r w:rsidRPr="00767234">
        <w:rPr>
          <w:rFonts w:ascii="Arial" w:hAnsi="Arial" w:cs="Arial"/>
          <w:sz w:val="20"/>
          <w:szCs w:val="20"/>
          <w:lang w:val="es-419"/>
        </w:rPr>
        <w:t>No obstante, los motivos que esgrime el recurrente no son lo suficientemente fuertes para revocar la providencia apelada y declarar la nulidad que se pretende pues, a decir verdad, cuando ella se alegó ya se encontraba saneada (Art. 136-1 C.G.P.).</w:t>
      </w:r>
    </w:p>
    <w:p w14:paraId="0B6A7BAC" w14:textId="77777777" w:rsidR="00EB4E7A" w:rsidRPr="00EB4E7A" w:rsidRDefault="00EB4E7A" w:rsidP="00EB4E7A">
      <w:pPr>
        <w:jc w:val="both"/>
        <w:rPr>
          <w:rFonts w:ascii="Arial" w:hAnsi="Arial" w:cs="Arial"/>
          <w:sz w:val="20"/>
          <w:szCs w:val="20"/>
          <w:lang w:val="es-ES"/>
        </w:rPr>
      </w:pPr>
    </w:p>
    <w:p w14:paraId="0F172751" w14:textId="77777777" w:rsidR="00EB4E7A" w:rsidRPr="00EB4E7A" w:rsidRDefault="00EB4E7A" w:rsidP="00EB4E7A">
      <w:pPr>
        <w:jc w:val="both"/>
        <w:rPr>
          <w:rFonts w:ascii="Arial" w:hAnsi="Arial" w:cs="Arial"/>
          <w:sz w:val="20"/>
          <w:szCs w:val="20"/>
          <w:lang w:val="es-ES"/>
        </w:rPr>
      </w:pPr>
    </w:p>
    <w:p w14:paraId="064BF9E3" w14:textId="77777777" w:rsidR="00EB4E7A" w:rsidRPr="00EB4E7A" w:rsidRDefault="00EB4E7A" w:rsidP="00EB4E7A">
      <w:pPr>
        <w:jc w:val="both"/>
        <w:rPr>
          <w:rFonts w:ascii="Arial" w:hAnsi="Arial" w:cs="Arial"/>
          <w:sz w:val="20"/>
          <w:szCs w:val="20"/>
          <w:lang w:val="es-ES"/>
        </w:rPr>
      </w:pPr>
    </w:p>
    <w:bookmarkEnd w:id="0"/>
    <w:p w14:paraId="3C598812" w14:textId="77777777" w:rsidR="00BD15C3" w:rsidRPr="00300179" w:rsidRDefault="00BD15C3" w:rsidP="00300179">
      <w:pPr>
        <w:pStyle w:val="Sinespaciado"/>
        <w:spacing w:line="276" w:lineRule="auto"/>
        <w:jc w:val="center"/>
        <w:rPr>
          <w:rFonts w:ascii="Arial Narrow" w:hAnsi="Arial Narrow"/>
          <w:b/>
          <w:sz w:val="26"/>
          <w:szCs w:val="26"/>
        </w:rPr>
      </w:pPr>
      <w:r w:rsidRPr="00300179">
        <w:rPr>
          <w:rFonts w:ascii="Arial Narrow" w:hAnsi="Arial Narrow"/>
          <w:b/>
          <w:sz w:val="26"/>
          <w:szCs w:val="26"/>
        </w:rPr>
        <w:t>REPÚBLICA DE COLOMBIA</w:t>
      </w:r>
    </w:p>
    <w:p w14:paraId="31290B54" w14:textId="12083BF3" w:rsidR="00BD15C3" w:rsidRPr="00300179" w:rsidRDefault="002E70B2" w:rsidP="00B24DD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300179">
        <w:rPr>
          <w:rFonts w:ascii="Arial Narrow" w:hAnsi="Arial Narrow"/>
          <w:noProof/>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DA91E26" w14:textId="2C8595CC" w:rsidR="002E70B2" w:rsidRPr="00300179" w:rsidRDefault="00BD15C3" w:rsidP="0030017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300179">
        <w:rPr>
          <w:rFonts w:ascii="Arial Narrow" w:hAnsi="Arial Narrow" w:cs="Arial Narrow"/>
          <w:b/>
          <w:bCs/>
          <w:sz w:val="26"/>
          <w:szCs w:val="26"/>
        </w:rPr>
        <w:t>TRIBUNAL SUPERIOR DE</w:t>
      </w:r>
      <w:r w:rsidR="00317BE5" w:rsidRPr="00300179">
        <w:rPr>
          <w:rFonts w:ascii="Arial Narrow" w:hAnsi="Arial Narrow" w:cs="Arial Narrow"/>
          <w:b/>
          <w:bCs/>
          <w:sz w:val="26"/>
          <w:szCs w:val="26"/>
        </w:rPr>
        <w:t xml:space="preserve"> </w:t>
      </w:r>
      <w:r w:rsidR="00811A03" w:rsidRPr="00300179">
        <w:rPr>
          <w:rFonts w:ascii="Arial Narrow" w:hAnsi="Arial Narrow" w:cs="Arial Narrow"/>
          <w:b/>
          <w:bCs/>
          <w:sz w:val="26"/>
          <w:szCs w:val="26"/>
        </w:rPr>
        <w:t>PEREIRA</w:t>
      </w:r>
    </w:p>
    <w:p w14:paraId="514BB607" w14:textId="1CFE5CC8" w:rsidR="00BD15C3" w:rsidRPr="00300179" w:rsidRDefault="00BD15C3" w:rsidP="0030017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300179">
        <w:rPr>
          <w:rFonts w:ascii="Arial Narrow" w:hAnsi="Arial Narrow" w:cs="Arial Narrow"/>
          <w:b/>
          <w:bCs/>
          <w:sz w:val="26"/>
          <w:szCs w:val="26"/>
        </w:rPr>
        <w:t>SALA DE DECISIÓN CIVIL</w:t>
      </w:r>
      <w:r w:rsidR="002E70B2" w:rsidRPr="00300179">
        <w:rPr>
          <w:rFonts w:ascii="Arial Narrow" w:hAnsi="Arial Narrow" w:cs="Arial Narrow"/>
          <w:b/>
          <w:bCs/>
          <w:sz w:val="26"/>
          <w:szCs w:val="26"/>
        </w:rPr>
        <w:t xml:space="preserve"> </w:t>
      </w:r>
      <w:r w:rsidRPr="00300179">
        <w:rPr>
          <w:rFonts w:ascii="Arial Narrow" w:hAnsi="Arial Narrow" w:cs="Arial Narrow"/>
          <w:b/>
          <w:bCs/>
          <w:sz w:val="26"/>
          <w:szCs w:val="26"/>
        </w:rPr>
        <w:t>–</w:t>
      </w:r>
      <w:r w:rsidR="002E70B2" w:rsidRPr="00300179">
        <w:rPr>
          <w:rFonts w:ascii="Arial Narrow" w:hAnsi="Arial Narrow" w:cs="Arial Narrow"/>
          <w:b/>
          <w:bCs/>
          <w:sz w:val="26"/>
          <w:szCs w:val="26"/>
        </w:rPr>
        <w:t xml:space="preserve"> </w:t>
      </w:r>
      <w:r w:rsidRPr="00300179">
        <w:rPr>
          <w:rFonts w:ascii="Arial Narrow" w:hAnsi="Arial Narrow" w:cs="Arial Narrow"/>
          <w:b/>
          <w:bCs/>
          <w:sz w:val="26"/>
          <w:szCs w:val="26"/>
        </w:rPr>
        <w:t>FAMILIA</w:t>
      </w:r>
    </w:p>
    <w:p w14:paraId="60931577" w14:textId="77777777" w:rsidR="00BD15C3" w:rsidRPr="00300179" w:rsidRDefault="00BD15C3" w:rsidP="00300179">
      <w:pPr>
        <w:tabs>
          <w:tab w:val="left" w:pos="-720"/>
        </w:tabs>
        <w:suppressAutoHyphens/>
        <w:spacing w:line="276" w:lineRule="auto"/>
        <w:jc w:val="center"/>
        <w:rPr>
          <w:rFonts w:ascii="Arial Narrow" w:hAnsi="Arial Narrow"/>
          <w:b/>
          <w:bCs/>
          <w:spacing w:val="-3"/>
          <w:sz w:val="26"/>
          <w:szCs w:val="26"/>
        </w:rPr>
      </w:pPr>
    </w:p>
    <w:p w14:paraId="05AB57CA" w14:textId="7B03709D" w:rsidR="00BD15C3" w:rsidRPr="00300179" w:rsidRDefault="005D0A82" w:rsidP="0030017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64CFB">
        <w:rPr>
          <w:rFonts w:ascii="Arial Narrow" w:hAnsi="Arial Narrow" w:cs="Arial Narrow"/>
          <w:bCs/>
          <w:sz w:val="26"/>
          <w:szCs w:val="26"/>
        </w:rPr>
        <w:t>Magistrado Sustanciador:</w:t>
      </w:r>
      <w:r w:rsidRPr="00300179">
        <w:rPr>
          <w:rFonts w:ascii="Arial Narrow" w:hAnsi="Arial Narrow" w:cs="Arial Narrow"/>
          <w:b/>
          <w:bCs/>
          <w:sz w:val="26"/>
          <w:szCs w:val="26"/>
        </w:rPr>
        <w:t xml:space="preserve"> Carlos Mauricio García Barajas</w:t>
      </w:r>
    </w:p>
    <w:p w14:paraId="1953A6E5" w14:textId="77777777" w:rsidR="00BD15C3" w:rsidRPr="00300179" w:rsidRDefault="00BD15C3" w:rsidP="00300179">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39364FBF" w14:textId="0ABBF37C" w:rsidR="00BD15C3" w:rsidRPr="00300179" w:rsidRDefault="001A3447" w:rsidP="00300179">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300179">
        <w:rPr>
          <w:rFonts w:ascii="Arial Narrow" w:hAnsi="Arial Narrow" w:cs="Arial Narrow"/>
          <w:b/>
          <w:color w:val="auto"/>
          <w:sz w:val="26"/>
          <w:szCs w:val="26"/>
          <w:lang w:val="es-ES"/>
        </w:rPr>
        <w:t>Septiembre</w:t>
      </w:r>
      <w:r w:rsidR="00DB251B" w:rsidRPr="00300179">
        <w:rPr>
          <w:rFonts w:ascii="Arial Narrow" w:hAnsi="Arial Narrow" w:cs="Arial Narrow"/>
          <w:b/>
          <w:color w:val="auto"/>
          <w:sz w:val="26"/>
          <w:szCs w:val="26"/>
          <w:lang w:val="es-ES"/>
        </w:rPr>
        <w:t xml:space="preserve"> </w:t>
      </w:r>
      <w:r w:rsidR="00FC3B3A" w:rsidRPr="00300179">
        <w:rPr>
          <w:rFonts w:ascii="Arial Narrow" w:hAnsi="Arial Narrow" w:cs="Arial Narrow"/>
          <w:b/>
          <w:color w:val="auto"/>
          <w:sz w:val="26"/>
          <w:szCs w:val="26"/>
          <w:lang w:val="es-ES"/>
        </w:rPr>
        <w:t>diez</w:t>
      </w:r>
      <w:r w:rsidR="0060314A" w:rsidRPr="00300179">
        <w:rPr>
          <w:rFonts w:ascii="Arial Narrow" w:hAnsi="Arial Narrow" w:cs="Arial Narrow"/>
          <w:b/>
          <w:color w:val="auto"/>
          <w:sz w:val="26"/>
          <w:szCs w:val="26"/>
          <w:lang w:val="es-ES"/>
        </w:rPr>
        <w:t xml:space="preserve"> (</w:t>
      </w:r>
      <w:r w:rsidR="00FC3B3A" w:rsidRPr="00300179">
        <w:rPr>
          <w:rFonts w:ascii="Arial Narrow" w:hAnsi="Arial Narrow" w:cs="Arial Narrow"/>
          <w:b/>
          <w:color w:val="auto"/>
          <w:sz w:val="26"/>
          <w:szCs w:val="26"/>
          <w:lang w:val="es-ES"/>
        </w:rPr>
        <w:t>10</w:t>
      </w:r>
      <w:r w:rsidR="0060314A" w:rsidRPr="00300179">
        <w:rPr>
          <w:rFonts w:ascii="Arial Narrow" w:hAnsi="Arial Narrow" w:cs="Arial Narrow"/>
          <w:b/>
          <w:color w:val="auto"/>
          <w:sz w:val="26"/>
          <w:szCs w:val="26"/>
          <w:lang w:val="es-ES"/>
        </w:rPr>
        <w:t>) de dos mil veintiuno (2021)</w:t>
      </w:r>
    </w:p>
    <w:p w14:paraId="73082444" w14:textId="77777777" w:rsidR="007737FC" w:rsidRPr="00300179" w:rsidRDefault="007737FC" w:rsidP="00300179">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p>
    <w:p w14:paraId="145E9267" w14:textId="77777777" w:rsidR="00DB7799" w:rsidRPr="00300179" w:rsidRDefault="00DB7799" w:rsidP="00300179">
      <w:pPr>
        <w:pStyle w:val="Textoindependiente"/>
        <w:spacing w:line="276" w:lineRule="auto"/>
        <w:ind w:right="157"/>
        <w:rPr>
          <w:rFonts w:ascii="Arial Narrow" w:hAnsi="Arial Narrow" w:cs="Arial Narrow"/>
          <w:b/>
          <w:bCs/>
          <w:sz w:val="26"/>
          <w:szCs w:val="26"/>
          <w:u w:val="single"/>
          <w:lang w:val="es-ES"/>
        </w:rPr>
      </w:pPr>
    </w:p>
    <w:p w14:paraId="222E2CAC" w14:textId="06C34DB3" w:rsidR="00F60236" w:rsidRPr="00264CFB" w:rsidRDefault="00F60236" w:rsidP="00264CFB">
      <w:pPr>
        <w:pStyle w:val="Encabezado"/>
        <w:tabs>
          <w:tab w:val="clear" w:pos="4252"/>
          <w:tab w:val="clear" w:pos="8504"/>
        </w:tabs>
        <w:rPr>
          <w:rFonts w:ascii="Arial Narrow" w:hAnsi="Arial Narrow" w:cs="Arial Narrow"/>
          <w:bCs/>
          <w:szCs w:val="26"/>
          <w:lang w:val="es-ES" w:eastAsia="es-MX"/>
        </w:rPr>
      </w:pPr>
      <w:r w:rsidRPr="00264CFB">
        <w:rPr>
          <w:rFonts w:ascii="Arial Narrow" w:hAnsi="Arial Narrow" w:cs="Arial Narrow"/>
          <w:bCs/>
          <w:szCs w:val="26"/>
          <w:lang w:val="es-ES" w:eastAsia="es-MX"/>
        </w:rPr>
        <w:t>Proceso:</w:t>
      </w:r>
      <w:r w:rsidR="00264CFB">
        <w:rPr>
          <w:rFonts w:ascii="Arial Narrow" w:hAnsi="Arial Narrow" w:cs="Arial Narrow"/>
          <w:bCs/>
          <w:szCs w:val="26"/>
          <w:lang w:val="es-ES" w:eastAsia="es-MX"/>
        </w:rPr>
        <w:tab/>
      </w:r>
      <w:r w:rsidR="00D4154B" w:rsidRPr="00264CFB">
        <w:rPr>
          <w:rFonts w:ascii="Arial Narrow" w:hAnsi="Arial Narrow" w:cs="Arial Narrow"/>
          <w:bCs/>
          <w:szCs w:val="26"/>
          <w:lang w:val="es-ES" w:eastAsia="es-MX"/>
        </w:rPr>
        <w:t xml:space="preserve">Verbal - </w:t>
      </w:r>
      <w:r w:rsidR="005D0A82" w:rsidRPr="00264CFB">
        <w:rPr>
          <w:rFonts w:ascii="Arial Narrow" w:hAnsi="Arial Narrow" w:cs="Arial Narrow"/>
          <w:bCs/>
          <w:szCs w:val="26"/>
          <w:lang w:val="es-ES" w:eastAsia="es-MX"/>
        </w:rPr>
        <w:t>Declarativo</w:t>
      </w:r>
      <w:r w:rsidR="003E3C23" w:rsidRPr="00264CFB">
        <w:rPr>
          <w:rFonts w:ascii="Arial Narrow" w:hAnsi="Arial Narrow" w:cs="Arial Narrow"/>
          <w:bCs/>
          <w:szCs w:val="26"/>
          <w:lang w:val="es-ES" w:eastAsia="es-MX"/>
        </w:rPr>
        <w:t xml:space="preserve">– </w:t>
      </w:r>
      <w:r w:rsidR="005D0A82" w:rsidRPr="00264CFB">
        <w:rPr>
          <w:rFonts w:ascii="Arial Narrow" w:hAnsi="Arial Narrow" w:cs="Arial Narrow"/>
          <w:bCs/>
          <w:szCs w:val="26"/>
          <w:lang w:val="es-ES" w:eastAsia="es-MX"/>
        </w:rPr>
        <w:t>Re</w:t>
      </w:r>
      <w:r w:rsidR="001A3447" w:rsidRPr="00264CFB">
        <w:rPr>
          <w:rFonts w:ascii="Arial Narrow" w:hAnsi="Arial Narrow" w:cs="Arial Narrow"/>
          <w:bCs/>
          <w:szCs w:val="26"/>
          <w:lang w:val="es-ES" w:eastAsia="es-MX"/>
        </w:rPr>
        <w:t>sponsabilidad Médica</w:t>
      </w:r>
    </w:p>
    <w:p w14:paraId="60747FD9" w14:textId="598FD34C" w:rsidR="00F60236" w:rsidRPr="00264CFB" w:rsidRDefault="00F60236" w:rsidP="00264CFB">
      <w:pPr>
        <w:pStyle w:val="Encabezado"/>
        <w:tabs>
          <w:tab w:val="clear" w:pos="4252"/>
          <w:tab w:val="clear" w:pos="8504"/>
        </w:tabs>
        <w:rPr>
          <w:rFonts w:ascii="Arial Narrow" w:hAnsi="Arial Narrow" w:cs="Arial Narrow"/>
          <w:bCs/>
          <w:szCs w:val="26"/>
          <w:lang w:val="es-ES" w:eastAsia="es-MX"/>
        </w:rPr>
      </w:pPr>
      <w:r w:rsidRPr="00264CFB">
        <w:rPr>
          <w:rFonts w:ascii="Arial Narrow" w:hAnsi="Arial Narrow" w:cs="Arial Narrow"/>
          <w:bCs/>
          <w:szCs w:val="26"/>
          <w:lang w:val="es-ES" w:eastAsia="es-MX"/>
        </w:rPr>
        <w:t>Asunto:</w:t>
      </w:r>
      <w:r w:rsidR="00264CFB">
        <w:rPr>
          <w:rFonts w:ascii="Arial Narrow" w:hAnsi="Arial Narrow" w:cs="Arial Narrow"/>
          <w:bCs/>
          <w:szCs w:val="26"/>
          <w:lang w:val="es-ES" w:eastAsia="es-MX"/>
        </w:rPr>
        <w:tab/>
      </w:r>
      <w:r w:rsidR="00264CFB">
        <w:rPr>
          <w:rFonts w:ascii="Arial Narrow" w:hAnsi="Arial Narrow" w:cs="Arial Narrow"/>
          <w:bCs/>
          <w:szCs w:val="26"/>
          <w:lang w:val="es-ES" w:eastAsia="es-MX"/>
        </w:rPr>
        <w:tab/>
      </w:r>
      <w:r w:rsidR="005D0A82" w:rsidRPr="00264CFB">
        <w:rPr>
          <w:rFonts w:ascii="Arial Narrow" w:hAnsi="Arial Narrow" w:cs="Arial Narrow"/>
          <w:bCs/>
          <w:szCs w:val="26"/>
          <w:lang w:val="es-ES" w:eastAsia="es-MX"/>
        </w:rPr>
        <w:t xml:space="preserve">Apelación de Auto </w:t>
      </w:r>
    </w:p>
    <w:p w14:paraId="70599EF7" w14:textId="7E42ACAE" w:rsidR="00F60236" w:rsidRPr="00264CFB" w:rsidRDefault="00F60236" w:rsidP="00264CFB">
      <w:pPr>
        <w:pStyle w:val="Encabezado"/>
        <w:tabs>
          <w:tab w:val="clear" w:pos="4252"/>
          <w:tab w:val="clear" w:pos="8504"/>
        </w:tabs>
        <w:rPr>
          <w:rFonts w:ascii="Arial Narrow" w:hAnsi="Arial Narrow" w:cs="Arial Narrow"/>
          <w:bCs/>
          <w:szCs w:val="26"/>
          <w:lang w:val="es-ES" w:eastAsia="es-MX"/>
        </w:rPr>
      </w:pPr>
      <w:r w:rsidRPr="00264CFB">
        <w:rPr>
          <w:rFonts w:ascii="Arial Narrow" w:hAnsi="Arial Narrow" w:cs="Arial Narrow"/>
          <w:bCs/>
          <w:szCs w:val="26"/>
          <w:lang w:val="es-ES" w:eastAsia="es-MX"/>
        </w:rPr>
        <w:t>Procedencia:</w:t>
      </w:r>
      <w:r w:rsidR="00264CFB">
        <w:rPr>
          <w:rFonts w:ascii="Arial Narrow" w:hAnsi="Arial Narrow" w:cs="Arial Narrow"/>
          <w:bCs/>
          <w:szCs w:val="26"/>
          <w:lang w:val="es-ES" w:eastAsia="es-MX"/>
        </w:rPr>
        <w:tab/>
      </w:r>
      <w:r w:rsidR="005D0A82" w:rsidRPr="00264CFB">
        <w:rPr>
          <w:rFonts w:ascii="Arial Narrow" w:hAnsi="Arial Narrow" w:cs="Arial Narrow"/>
          <w:bCs/>
          <w:szCs w:val="26"/>
          <w:lang w:val="es-ES" w:eastAsia="es-MX"/>
        </w:rPr>
        <w:t xml:space="preserve">Juzgado </w:t>
      </w:r>
      <w:r w:rsidR="001A3447" w:rsidRPr="00264CFB">
        <w:rPr>
          <w:rFonts w:ascii="Arial Narrow" w:hAnsi="Arial Narrow" w:cs="Arial Narrow"/>
          <w:bCs/>
          <w:szCs w:val="26"/>
          <w:lang w:val="es-ES" w:eastAsia="es-MX"/>
        </w:rPr>
        <w:t>Cuarto</w:t>
      </w:r>
      <w:r w:rsidR="005D0A82" w:rsidRPr="00264CFB">
        <w:rPr>
          <w:rFonts w:ascii="Arial Narrow" w:hAnsi="Arial Narrow" w:cs="Arial Narrow"/>
          <w:bCs/>
          <w:szCs w:val="26"/>
          <w:lang w:val="es-ES" w:eastAsia="es-MX"/>
        </w:rPr>
        <w:t xml:space="preserve"> Civil del Circuito de Pereira</w:t>
      </w:r>
    </w:p>
    <w:p w14:paraId="39346297" w14:textId="75671C63" w:rsidR="00F60236" w:rsidRPr="00264CFB" w:rsidRDefault="00F60236" w:rsidP="00264CFB">
      <w:pPr>
        <w:pStyle w:val="Encabezado"/>
        <w:tabs>
          <w:tab w:val="clear" w:pos="4252"/>
          <w:tab w:val="clear" w:pos="8504"/>
        </w:tabs>
        <w:rPr>
          <w:rFonts w:ascii="Arial Narrow" w:hAnsi="Arial Narrow" w:cs="Arial Narrow"/>
          <w:bCs/>
          <w:szCs w:val="26"/>
          <w:lang w:val="es-ES" w:eastAsia="es-MX"/>
        </w:rPr>
      </w:pPr>
      <w:r w:rsidRPr="00264CFB">
        <w:rPr>
          <w:rFonts w:ascii="Arial Narrow" w:hAnsi="Arial Narrow" w:cs="Arial Narrow"/>
          <w:bCs/>
          <w:szCs w:val="26"/>
          <w:lang w:val="es-ES" w:eastAsia="es-MX"/>
        </w:rPr>
        <w:t>Demandante:</w:t>
      </w:r>
      <w:r w:rsidR="00264CFB">
        <w:rPr>
          <w:rFonts w:ascii="Arial Narrow" w:hAnsi="Arial Narrow" w:cs="Arial Narrow"/>
          <w:bCs/>
          <w:szCs w:val="26"/>
          <w:lang w:val="es-ES" w:eastAsia="es-MX"/>
        </w:rPr>
        <w:tab/>
      </w:r>
      <w:r w:rsidR="001A3447" w:rsidRPr="00264CFB">
        <w:rPr>
          <w:rFonts w:ascii="Arial Narrow" w:hAnsi="Arial Narrow" w:cs="Arial Narrow"/>
          <w:bCs/>
          <w:szCs w:val="26"/>
          <w:lang w:val="es-ES" w:eastAsia="es-MX"/>
        </w:rPr>
        <w:t>Blanca Rosa Giraldo Tamayo</w:t>
      </w:r>
    </w:p>
    <w:p w14:paraId="29B7143F" w14:textId="486C93BE" w:rsidR="00F60236" w:rsidRPr="00264CFB" w:rsidRDefault="00F60236" w:rsidP="00264CFB">
      <w:pPr>
        <w:pStyle w:val="Encabezado"/>
        <w:tabs>
          <w:tab w:val="clear" w:pos="4252"/>
          <w:tab w:val="clear" w:pos="8504"/>
        </w:tabs>
        <w:rPr>
          <w:rFonts w:ascii="Arial Narrow" w:hAnsi="Arial Narrow" w:cs="Arial Narrow"/>
          <w:bCs/>
          <w:szCs w:val="26"/>
          <w:lang w:val="es-ES" w:eastAsia="es-MX"/>
        </w:rPr>
      </w:pPr>
      <w:r w:rsidRPr="00264CFB">
        <w:rPr>
          <w:rFonts w:ascii="Arial Narrow" w:hAnsi="Arial Narrow" w:cs="Arial Narrow"/>
          <w:bCs/>
          <w:szCs w:val="26"/>
          <w:lang w:val="es-ES" w:eastAsia="es-MX"/>
        </w:rPr>
        <w:t>Demandada:</w:t>
      </w:r>
      <w:r w:rsidR="00264CFB">
        <w:rPr>
          <w:rFonts w:ascii="Arial Narrow" w:hAnsi="Arial Narrow" w:cs="Arial Narrow"/>
          <w:bCs/>
          <w:szCs w:val="26"/>
          <w:lang w:val="es-ES" w:eastAsia="es-MX"/>
        </w:rPr>
        <w:tab/>
      </w:r>
      <w:r w:rsidR="001A3447" w:rsidRPr="00264CFB">
        <w:rPr>
          <w:rFonts w:ascii="Arial Narrow" w:hAnsi="Arial Narrow" w:cs="Arial Narrow"/>
          <w:bCs/>
          <w:szCs w:val="26"/>
          <w:lang w:val="es-ES" w:eastAsia="es-MX"/>
        </w:rPr>
        <w:t xml:space="preserve">Clínica Los Rosales S.A y </w:t>
      </w:r>
      <w:r w:rsidR="001D6E51" w:rsidRPr="00264CFB">
        <w:rPr>
          <w:rFonts w:ascii="Arial Narrow" w:hAnsi="Arial Narrow" w:cs="Arial Narrow"/>
          <w:bCs/>
          <w:szCs w:val="26"/>
          <w:lang w:val="es-ES" w:eastAsia="es-MX"/>
        </w:rPr>
        <w:t>o</w:t>
      </w:r>
      <w:r w:rsidR="001A3447" w:rsidRPr="00264CFB">
        <w:rPr>
          <w:rFonts w:ascii="Arial Narrow" w:hAnsi="Arial Narrow" w:cs="Arial Narrow"/>
          <w:bCs/>
          <w:szCs w:val="26"/>
          <w:lang w:val="es-ES" w:eastAsia="es-MX"/>
        </w:rPr>
        <w:t>tros.</w:t>
      </w:r>
    </w:p>
    <w:p w14:paraId="546FE7D8" w14:textId="4FD5316E" w:rsidR="00F60236" w:rsidRPr="00264CFB" w:rsidRDefault="00F60236" w:rsidP="00264CFB">
      <w:pPr>
        <w:pStyle w:val="Textoindependiente"/>
        <w:ind w:right="157"/>
        <w:rPr>
          <w:rFonts w:ascii="Arial Narrow" w:hAnsi="Arial Narrow" w:cs="Arial Narrow"/>
          <w:bCs/>
          <w:sz w:val="24"/>
          <w:szCs w:val="26"/>
          <w:u w:val="single"/>
          <w:lang w:val="es-ES"/>
        </w:rPr>
      </w:pPr>
      <w:r w:rsidRPr="00264CFB">
        <w:rPr>
          <w:rFonts w:ascii="Arial Narrow" w:hAnsi="Arial Narrow" w:cs="Arial Narrow"/>
          <w:bCs/>
          <w:sz w:val="24"/>
          <w:szCs w:val="26"/>
          <w:lang w:val="es-ES" w:eastAsia="es-MX"/>
        </w:rPr>
        <w:t>Rad. No.:</w:t>
      </w:r>
      <w:r w:rsidR="00264CFB">
        <w:rPr>
          <w:rFonts w:ascii="Arial Narrow" w:hAnsi="Arial Narrow" w:cs="Arial Narrow"/>
          <w:bCs/>
          <w:sz w:val="24"/>
          <w:szCs w:val="26"/>
          <w:lang w:val="es-ES" w:eastAsia="es-MX"/>
        </w:rPr>
        <w:tab/>
      </w:r>
      <w:r w:rsidR="001A3447" w:rsidRPr="00264CFB">
        <w:rPr>
          <w:rFonts w:ascii="Arial Narrow" w:hAnsi="Arial Narrow"/>
          <w:sz w:val="24"/>
          <w:szCs w:val="26"/>
        </w:rPr>
        <w:t>66001310300420180068201</w:t>
      </w:r>
    </w:p>
    <w:p w14:paraId="641E2794" w14:textId="77777777" w:rsidR="00F60236" w:rsidRPr="00300179" w:rsidRDefault="00F60236" w:rsidP="00300179">
      <w:pPr>
        <w:pStyle w:val="Textoindependiente"/>
        <w:spacing w:line="276" w:lineRule="auto"/>
        <w:ind w:right="157"/>
        <w:rPr>
          <w:rFonts w:ascii="Arial Narrow" w:hAnsi="Arial Narrow" w:cs="Arial Narrow"/>
          <w:b/>
          <w:bCs/>
          <w:sz w:val="26"/>
          <w:szCs w:val="26"/>
          <w:u w:val="single"/>
          <w:lang w:val="es-ES"/>
        </w:rPr>
      </w:pPr>
    </w:p>
    <w:p w14:paraId="73E137FF" w14:textId="0405B537" w:rsidR="00F60236" w:rsidRPr="00300179" w:rsidRDefault="000164B6" w:rsidP="00300179">
      <w:pPr>
        <w:pStyle w:val="Textoindependiente"/>
        <w:tabs>
          <w:tab w:val="left" w:pos="4920"/>
        </w:tabs>
        <w:spacing w:line="276" w:lineRule="auto"/>
        <w:ind w:right="157"/>
        <w:rPr>
          <w:rFonts w:ascii="Arial Narrow" w:hAnsi="Arial Narrow" w:cs="Arial Narrow"/>
          <w:sz w:val="26"/>
          <w:szCs w:val="26"/>
          <w:lang w:val="es-ES"/>
        </w:rPr>
      </w:pPr>
      <w:r>
        <w:rPr>
          <w:rFonts w:ascii="Arial Narrow" w:hAnsi="Arial Narrow" w:cs="Arial Narrow"/>
          <w:sz w:val="26"/>
          <w:szCs w:val="26"/>
          <w:lang w:val="es-ES"/>
        </w:rPr>
        <w:t>Auto</w:t>
      </w:r>
      <w:r w:rsidR="005D0A82" w:rsidRPr="00300179">
        <w:rPr>
          <w:rFonts w:ascii="Arial Narrow" w:hAnsi="Arial Narrow" w:cs="Arial Narrow"/>
          <w:sz w:val="26"/>
          <w:szCs w:val="26"/>
          <w:lang w:val="es-ES"/>
        </w:rPr>
        <w:t>: AC-</w:t>
      </w:r>
      <w:r w:rsidR="00C57F5E" w:rsidRPr="00300179">
        <w:rPr>
          <w:rFonts w:ascii="Arial Narrow" w:hAnsi="Arial Narrow" w:cs="Arial Narrow"/>
          <w:sz w:val="26"/>
          <w:szCs w:val="26"/>
          <w:lang w:val="es-ES"/>
        </w:rPr>
        <w:t>0126</w:t>
      </w:r>
      <w:r w:rsidR="001A3447" w:rsidRPr="00300179">
        <w:rPr>
          <w:rFonts w:ascii="Arial Narrow" w:hAnsi="Arial Narrow" w:cs="Arial Narrow"/>
          <w:sz w:val="26"/>
          <w:szCs w:val="26"/>
          <w:lang w:val="es-ES"/>
        </w:rPr>
        <w:t>-2021</w:t>
      </w:r>
      <w:r w:rsidR="001A3447" w:rsidRPr="00300179">
        <w:rPr>
          <w:rFonts w:ascii="Arial Narrow" w:hAnsi="Arial Narrow" w:cs="Arial Narrow"/>
          <w:sz w:val="26"/>
          <w:szCs w:val="26"/>
          <w:lang w:val="es-ES"/>
        </w:rPr>
        <w:tab/>
      </w:r>
      <w:bookmarkStart w:id="1" w:name="_GoBack"/>
      <w:bookmarkEnd w:id="1"/>
    </w:p>
    <w:p w14:paraId="3AF0E243" w14:textId="4624F8B6" w:rsidR="00C37ABB" w:rsidRPr="00300179" w:rsidRDefault="00C37ABB" w:rsidP="00300179">
      <w:pPr>
        <w:pStyle w:val="Textoindependiente"/>
        <w:spacing w:line="276" w:lineRule="auto"/>
        <w:ind w:right="157"/>
        <w:rPr>
          <w:rFonts w:ascii="Arial Narrow" w:hAnsi="Arial Narrow" w:cs="Arial Narrow"/>
          <w:sz w:val="26"/>
          <w:szCs w:val="26"/>
          <w:lang w:val="es-ES"/>
        </w:rPr>
      </w:pPr>
    </w:p>
    <w:p w14:paraId="136625D4" w14:textId="77777777" w:rsidR="00C37ABB" w:rsidRPr="00300179" w:rsidRDefault="00C37ABB" w:rsidP="00300179">
      <w:pPr>
        <w:pStyle w:val="Textoindependiente"/>
        <w:spacing w:line="276" w:lineRule="auto"/>
        <w:ind w:right="157"/>
        <w:rPr>
          <w:rFonts w:ascii="Arial Narrow" w:hAnsi="Arial Narrow" w:cs="Arial Narrow"/>
          <w:sz w:val="26"/>
          <w:szCs w:val="26"/>
          <w:lang w:val="es-ES"/>
        </w:rPr>
      </w:pPr>
    </w:p>
    <w:p w14:paraId="2C3C4C34" w14:textId="35ED255F" w:rsidR="005F5678" w:rsidRPr="00300179" w:rsidRDefault="001D6E51" w:rsidP="00300179">
      <w:pPr>
        <w:pStyle w:val="Textoindependiente"/>
        <w:spacing w:line="276" w:lineRule="auto"/>
        <w:ind w:left="720" w:right="157"/>
        <w:jc w:val="center"/>
        <w:rPr>
          <w:rFonts w:ascii="Arial Narrow" w:hAnsi="Arial Narrow" w:cs="Arial Narrow"/>
          <w:b/>
          <w:bCs/>
          <w:sz w:val="26"/>
          <w:szCs w:val="26"/>
          <w:u w:val="single"/>
          <w:lang w:val="es-ES"/>
        </w:rPr>
      </w:pPr>
      <w:r w:rsidRPr="00300179">
        <w:rPr>
          <w:rFonts w:ascii="Arial Narrow" w:hAnsi="Arial Narrow" w:cs="Arial Narrow"/>
          <w:b/>
          <w:bCs/>
          <w:sz w:val="26"/>
          <w:szCs w:val="26"/>
          <w:u w:val="single"/>
          <w:lang w:val="es-ES"/>
        </w:rPr>
        <w:lastRenderedPageBreak/>
        <w:t>Objetivo de la presente providencia</w:t>
      </w:r>
    </w:p>
    <w:p w14:paraId="20442130" w14:textId="77777777" w:rsidR="005F5678" w:rsidRPr="00300179" w:rsidRDefault="005F5678" w:rsidP="00300179">
      <w:pPr>
        <w:pStyle w:val="Textoindependiente"/>
        <w:spacing w:line="276" w:lineRule="auto"/>
        <w:ind w:right="157"/>
        <w:rPr>
          <w:rFonts w:ascii="Arial Narrow" w:hAnsi="Arial Narrow" w:cs="Arial Narrow"/>
          <w:b/>
          <w:bCs/>
          <w:sz w:val="26"/>
          <w:szCs w:val="26"/>
          <w:u w:val="single"/>
          <w:lang w:val="es-ES"/>
        </w:rPr>
      </w:pPr>
    </w:p>
    <w:p w14:paraId="03389C78" w14:textId="0502A6DF" w:rsidR="00DF07E8" w:rsidRPr="00300179" w:rsidRDefault="005F5678" w:rsidP="00300179">
      <w:pPr>
        <w:pStyle w:val="Textoindependiente"/>
        <w:spacing w:line="276" w:lineRule="auto"/>
        <w:ind w:right="157"/>
        <w:rPr>
          <w:rFonts w:ascii="Arial Narrow" w:hAnsi="Arial Narrow" w:cs="Arial Narrow"/>
          <w:sz w:val="26"/>
          <w:szCs w:val="26"/>
          <w:lang w:val="es-ES"/>
        </w:rPr>
      </w:pPr>
      <w:r w:rsidRPr="00300179">
        <w:rPr>
          <w:rFonts w:ascii="Arial Narrow" w:hAnsi="Arial Narrow" w:cs="Arial Narrow"/>
          <w:sz w:val="26"/>
          <w:szCs w:val="26"/>
          <w:lang w:val="es-ES"/>
        </w:rPr>
        <w:t>Corresponde decidi</w:t>
      </w:r>
      <w:r w:rsidR="00811A03" w:rsidRPr="00300179">
        <w:rPr>
          <w:rFonts w:ascii="Arial Narrow" w:hAnsi="Arial Narrow" w:cs="Arial Narrow"/>
          <w:sz w:val="26"/>
          <w:szCs w:val="26"/>
          <w:lang w:val="es-ES"/>
        </w:rPr>
        <w:t>r sobre el recurso de apelación</w:t>
      </w:r>
      <w:r w:rsidRPr="00300179">
        <w:rPr>
          <w:rFonts w:ascii="Arial Narrow" w:hAnsi="Arial Narrow" w:cs="Arial Narrow"/>
          <w:sz w:val="26"/>
          <w:szCs w:val="26"/>
          <w:lang w:val="es-ES"/>
        </w:rPr>
        <w:t xml:space="preserve"> propuesto contra</w:t>
      </w:r>
      <w:r w:rsidR="007737FC" w:rsidRPr="00300179">
        <w:rPr>
          <w:rFonts w:ascii="Arial Narrow" w:hAnsi="Arial Narrow" w:cs="Arial Narrow"/>
          <w:sz w:val="26"/>
          <w:szCs w:val="26"/>
          <w:lang w:val="es-ES"/>
        </w:rPr>
        <w:t xml:space="preserve"> </w:t>
      </w:r>
      <w:r w:rsidR="00BF6279" w:rsidRPr="00300179">
        <w:rPr>
          <w:rFonts w:ascii="Arial Narrow" w:hAnsi="Arial Narrow" w:cs="Arial Narrow"/>
          <w:sz w:val="26"/>
          <w:szCs w:val="26"/>
          <w:lang w:val="es-ES"/>
        </w:rPr>
        <w:t xml:space="preserve">el </w:t>
      </w:r>
      <w:r w:rsidR="00DF07E8" w:rsidRPr="00300179">
        <w:rPr>
          <w:rFonts w:ascii="Arial Narrow" w:hAnsi="Arial Narrow" w:cs="Arial Narrow"/>
          <w:sz w:val="26"/>
          <w:szCs w:val="26"/>
          <w:lang w:val="es-ES"/>
        </w:rPr>
        <w:t xml:space="preserve">auto proferido </w:t>
      </w:r>
      <w:r w:rsidR="005D0A82" w:rsidRPr="00300179">
        <w:rPr>
          <w:rFonts w:ascii="Arial Narrow" w:hAnsi="Arial Narrow" w:cs="Arial Narrow"/>
          <w:sz w:val="26"/>
          <w:szCs w:val="26"/>
          <w:lang w:val="es-ES"/>
        </w:rPr>
        <w:t>el</w:t>
      </w:r>
      <w:r w:rsidR="005D0A82" w:rsidRPr="00300179">
        <w:rPr>
          <w:rFonts w:ascii="Arial Narrow" w:hAnsi="Arial Narrow" w:cs="Arial Narrow"/>
          <w:b/>
          <w:bCs/>
          <w:sz w:val="26"/>
          <w:szCs w:val="26"/>
          <w:lang w:val="es-ES"/>
        </w:rPr>
        <w:t xml:space="preserve"> </w:t>
      </w:r>
      <w:r w:rsidR="00353C5F" w:rsidRPr="00300179">
        <w:rPr>
          <w:rFonts w:ascii="Arial Narrow" w:hAnsi="Arial Narrow" w:cs="Arial Narrow"/>
          <w:b/>
          <w:bCs/>
          <w:sz w:val="26"/>
          <w:szCs w:val="26"/>
          <w:lang w:val="es-ES"/>
        </w:rPr>
        <w:t>31</w:t>
      </w:r>
      <w:r w:rsidR="005D0A82" w:rsidRPr="00300179">
        <w:rPr>
          <w:rFonts w:ascii="Arial Narrow" w:hAnsi="Arial Narrow" w:cs="Arial Narrow"/>
          <w:b/>
          <w:bCs/>
          <w:sz w:val="26"/>
          <w:szCs w:val="26"/>
          <w:lang w:val="es-ES"/>
        </w:rPr>
        <w:t xml:space="preserve"> de mayo de 2021</w:t>
      </w:r>
      <w:r w:rsidR="005D0A82" w:rsidRPr="00300179">
        <w:rPr>
          <w:rFonts w:ascii="Arial Narrow" w:hAnsi="Arial Narrow" w:cs="Arial Narrow"/>
          <w:sz w:val="26"/>
          <w:szCs w:val="26"/>
          <w:lang w:val="es-ES"/>
        </w:rPr>
        <w:t xml:space="preserve">, </w:t>
      </w:r>
      <w:r w:rsidR="00B07DC0" w:rsidRPr="00300179">
        <w:rPr>
          <w:rFonts w:ascii="Arial Narrow" w:hAnsi="Arial Narrow" w:cs="Arial Narrow"/>
          <w:sz w:val="26"/>
          <w:szCs w:val="26"/>
          <w:lang w:val="es-ES"/>
        </w:rPr>
        <w:t xml:space="preserve">por el </w:t>
      </w:r>
      <w:r w:rsidR="005D0A82" w:rsidRPr="00300179">
        <w:rPr>
          <w:rFonts w:ascii="Arial Narrow" w:hAnsi="Arial Narrow" w:cs="Arial Narrow"/>
          <w:b/>
          <w:bCs/>
          <w:sz w:val="26"/>
          <w:szCs w:val="26"/>
          <w:lang w:val="es-ES"/>
        </w:rPr>
        <w:t xml:space="preserve">Juzgado </w:t>
      </w:r>
      <w:r w:rsidR="00353C5F" w:rsidRPr="00300179">
        <w:rPr>
          <w:rFonts w:ascii="Arial Narrow" w:hAnsi="Arial Narrow" w:cs="Arial Narrow"/>
          <w:b/>
          <w:bCs/>
          <w:sz w:val="26"/>
          <w:szCs w:val="26"/>
          <w:lang w:val="es-ES"/>
        </w:rPr>
        <w:t>Cuarto</w:t>
      </w:r>
      <w:r w:rsidR="005D0A82" w:rsidRPr="00300179">
        <w:rPr>
          <w:rFonts w:ascii="Arial Narrow" w:hAnsi="Arial Narrow" w:cs="Arial Narrow"/>
          <w:b/>
          <w:bCs/>
          <w:sz w:val="26"/>
          <w:szCs w:val="26"/>
          <w:lang w:val="es-ES"/>
        </w:rPr>
        <w:t xml:space="preserve"> Civil del Circuito de Pereira</w:t>
      </w:r>
      <w:r w:rsidR="005D0A82" w:rsidRPr="00300179">
        <w:rPr>
          <w:rFonts w:ascii="Arial Narrow" w:hAnsi="Arial Narrow" w:cs="Arial Narrow"/>
          <w:sz w:val="26"/>
          <w:szCs w:val="26"/>
          <w:lang w:val="es-ES"/>
        </w:rPr>
        <w:t xml:space="preserve">, a través del cual </w:t>
      </w:r>
      <w:r w:rsidR="00BF6279" w:rsidRPr="00300179">
        <w:rPr>
          <w:rFonts w:ascii="Arial Narrow" w:hAnsi="Arial Narrow" w:cs="Arial Narrow"/>
          <w:sz w:val="26"/>
          <w:szCs w:val="26"/>
          <w:lang w:val="es-ES"/>
        </w:rPr>
        <w:t xml:space="preserve">se </w:t>
      </w:r>
      <w:r w:rsidR="005D0A82" w:rsidRPr="00300179">
        <w:rPr>
          <w:rFonts w:ascii="Arial Narrow" w:hAnsi="Arial Narrow" w:cs="Arial Narrow"/>
          <w:sz w:val="26"/>
          <w:szCs w:val="26"/>
          <w:lang w:val="es-ES"/>
        </w:rPr>
        <w:t>denegó</w:t>
      </w:r>
      <w:r w:rsidR="00BF6279" w:rsidRPr="00300179">
        <w:rPr>
          <w:rFonts w:ascii="Arial Narrow" w:hAnsi="Arial Narrow" w:cs="Arial Narrow"/>
          <w:sz w:val="26"/>
          <w:szCs w:val="26"/>
          <w:lang w:val="es-ES"/>
        </w:rPr>
        <w:t xml:space="preserve"> la</w:t>
      </w:r>
      <w:r w:rsidR="005D0A82" w:rsidRPr="00300179">
        <w:rPr>
          <w:rFonts w:ascii="Arial Narrow" w:hAnsi="Arial Narrow" w:cs="Arial Narrow"/>
          <w:sz w:val="26"/>
          <w:szCs w:val="26"/>
          <w:lang w:val="es-ES"/>
        </w:rPr>
        <w:t xml:space="preserve"> nulidad deprecada por </w:t>
      </w:r>
      <w:r w:rsidR="00353C5F" w:rsidRPr="00300179">
        <w:rPr>
          <w:rFonts w:ascii="Arial Narrow" w:hAnsi="Arial Narrow" w:cs="Arial Narrow"/>
          <w:sz w:val="26"/>
          <w:szCs w:val="26"/>
          <w:lang w:val="es-ES"/>
        </w:rPr>
        <w:t>el llamado en garantía</w:t>
      </w:r>
      <w:r w:rsidR="005D0A82" w:rsidRPr="00300179">
        <w:rPr>
          <w:rFonts w:ascii="Arial Narrow" w:hAnsi="Arial Narrow" w:cs="Arial Narrow"/>
          <w:sz w:val="26"/>
          <w:szCs w:val="26"/>
          <w:lang w:val="es-ES"/>
        </w:rPr>
        <w:t xml:space="preserve"> </w:t>
      </w:r>
      <w:r w:rsidR="00353C5F" w:rsidRPr="00300179">
        <w:rPr>
          <w:rFonts w:ascii="Arial Narrow" w:hAnsi="Arial Narrow" w:cs="Arial Narrow"/>
          <w:sz w:val="26"/>
          <w:szCs w:val="26"/>
          <w:lang w:val="es-ES"/>
        </w:rPr>
        <w:t>Allianz Seguros S.A</w:t>
      </w:r>
      <w:r w:rsidR="00BF6279" w:rsidRPr="00300179">
        <w:rPr>
          <w:rFonts w:ascii="Arial Narrow" w:hAnsi="Arial Narrow" w:cs="Arial Narrow"/>
          <w:sz w:val="26"/>
          <w:szCs w:val="26"/>
          <w:lang w:val="es-ES"/>
        </w:rPr>
        <w:t>.</w:t>
      </w:r>
      <w:r w:rsidR="005D0A82" w:rsidRPr="00300179">
        <w:rPr>
          <w:rFonts w:ascii="Arial Narrow" w:hAnsi="Arial Narrow" w:cs="Arial Narrow"/>
          <w:sz w:val="26"/>
          <w:szCs w:val="26"/>
          <w:lang w:val="es-ES"/>
        </w:rPr>
        <w:t>, fundada en el numeral 8º del artículo 13</w:t>
      </w:r>
      <w:r w:rsidR="00CD7743" w:rsidRPr="00300179">
        <w:rPr>
          <w:rFonts w:ascii="Arial Narrow" w:hAnsi="Arial Narrow" w:cs="Arial Narrow"/>
          <w:sz w:val="26"/>
          <w:szCs w:val="26"/>
          <w:lang w:val="es-ES"/>
        </w:rPr>
        <w:t>3</w:t>
      </w:r>
      <w:r w:rsidR="005D0A82" w:rsidRPr="00300179">
        <w:rPr>
          <w:rFonts w:ascii="Arial Narrow" w:hAnsi="Arial Narrow" w:cs="Arial Narrow"/>
          <w:sz w:val="26"/>
          <w:szCs w:val="26"/>
          <w:lang w:val="es-ES"/>
        </w:rPr>
        <w:t xml:space="preserve"> del Código General del Proceso. </w:t>
      </w:r>
      <w:r w:rsidR="00B07DC0" w:rsidRPr="00300179">
        <w:rPr>
          <w:rFonts w:ascii="Arial Narrow" w:hAnsi="Arial Narrow" w:cs="Arial Narrow"/>
          <w:sz w:val="26"/>
          <w:szCs w:val="26"/>
          <w:lang w:val="es-ES"/>
        </w:rPr>
        <w:t xml:space="preserve"> </w:t>
      </w:r>
    </w:p>
    <w:p w14:paraId="27EE4ABB" w14:textId="77777777" w:rsidR="005F5678" w:rsidRPr="00300179" w:rsidRDefault="005F5678" w:rsidP="00300179">
      <w:pPr>
        <w:pStyle w:val="Textoindependiente"/>
        <w:spacing w:line="276" w:lineRule="auto"/>
        <w:ind w:right="157"/>
        <w:rPr>
          <w:rFonts w:ascii="Arial Narrow" w:hAnsi="Arial Narrow" w:cs="Arial Narrow"/>
          <w:sz w:val="26"/>
          <w:szCs w:val="26"/>
          <w:lang w:val="es-ES"/>
        </w:rPr>
      </w:pPr>
    </w:p>
    <w:p w14:paraId="7BB5B1E2" w14:textId="56902361" w:rsidR="005F5678" w:rsidRPr="00300179" w:rsidRDefault="001D6E51" w:rsidP="00264CFB">
      <w:pPr>
        <w:pStyle w:val="Textoindependiente"/>
        <w:spacing w:line="276" w:lineRule="auto"/>
        <w:ind w:left="720" w:right="-5"/>
        <w:jc w:val="center"/>
        <w:rPr>
          <w:rFonts w:ascii="Arial Narrow" w:hAnsi="Arial Narrow" w:cs="Arial Narrow"/>
          <w:b/>
          <w:bCs/>
          <w:sz w:val="26"/>
          <w:szCs w:val="26"/>
          <w:u w:val="single"/>
          <w:lang w:val="es-ES"/>
        </w:rPr>
      </w:pPr>
      <w:r w:rsidRPr="00300179">
        <w:rPr>
          <w:rFonts w:ascii="Arial Narrow" w:hAnsi="Arial Narrow" w:cs="Arial Narrow"/>
          <w:b/>
          <w:bCs/>
          <w:sz w:val="26"/>
          <w:szCs w:val="26"/>
          <w:u w:val="single"/>
          <w:lang w:val="es-ES"/>
        </w:rPr>
        <w:t>Antecedentes</w:t>
      </w:r>
    </w:p>
    <w:p w14:paraId="2FBD6F8C" w14:textId="77777777" w:rsidR="00E24191" w:rsidRPr="00300179" w:rsidRDefault="00E24191" w:rsidP="00300179">
      <w:pPr>
        <w:pStyle w:val="Textoindependiente"/>
        <w:spacing w:line="276" w:lineRule="auto"/>
        <w:ind w:right="157"/>
        <w:rPr>
          <w:rFonts w:ascii="Arial Narrow" w:hAnsi="Arial Narrow" w:cs="Arial Narrow"/>
          <w:sz w:val="26"/>
          <w:szCs w:val="26"/>
          <w:lang w:val="es-ES"/>
        </w:rPr>
      </w:pPr>
    </w:p>
    <w:p w14:paraId="52F47765" w14:textId="3B4940BF" w:rsidR="00353C5F" w:rsidRPr="00300179" w:rsidRDefault="00353C5F" w:rsidP="00300179">
      <w:pPr>
        <w:pStyle w:val="Textoindependiente"/>
        <w:spacing w:line="276" w:lineRule="auto"/>
        <w:ind w:right="157"/>
        <w:rPr>
          <w:rFonts w:ascii="Arial Narrow" w:hAnsi="Arial Narrow" w:cs="Arial Narrow"/>
          <w:sz w:val="26"/>
          <w:szCs w:val="26"/>
          <w:lang w:val="es-ES"/>
        </w:rPr>
      </w:pPr>
      <w:r w:rsidRPr="00300179">
        <w:rPr>
          <w:rFonts w:ascii="Arial Narrow" w:hAnsi="Arial Narrow" w:cs="Arial Narrow"/>
          <w:sz w:val="26"/>
          <w:szCs w:val="26"/>
          <w:lang w:val="es-ES"/>
        </w:rPr>
        <w:t xml:space="preserve">En auto del 18 de febrero de 2021 (Carpeta 2. Llamados en garantía. </w:t>
      </w:r>
      <w:proofErr w:type="spellStart"/>
      <w:r w:rsidRPr="00300179">
        <w:rPr>
          <w:rFonts w:ascii="Arial Narrow" w:hAnsi="Arial Narrow" w:cs="Arial Narrow"/>
          <w:sz w:val="26"/>
          <w:szCs w:val="26"/>
          <w:lang w:val="es-ES"/>
        </w:rPr>
        <w:t>Arch</w:t>
      </w:r>
      <w:proofErr w:type="spellEnd"/>
      <w:r w:rsidRPr="00300179">
        <w:rPr>
          <w:rFonts w:ascii="Arial Narrow" w:hAnsi="Arial Narrow" w:cs="Arial Narrow"/>
          <w:sz w:val="26"/>
          <w:szCs w:val="26"/>
          <w:lang w:val="es-ES"/>
        </w:rPr>
        <w:t>. 2. Primera Instancia), se aceptó el llamamiento en garantía que la demandada Clínica Los Rosales S.A</w:t>
      </w:r>
      <w:r w:rsidR="00E55150" w:rsidRPr="00300179">
        <w:rPr>
          <w:rFonts w:ascii="Arial Narrow" w:hAnsi="Arial Narrow" w:cs="Arial Narrow"/>
          <w:sz w:val="26"/>
          <w:szCs w:val="26"/>
          <w:lang w:val="es-ES"/>
        </w:rPr>
        <w:t>.</w:t>
      </w:r>
      <w:r w:rsidRPr="00300179">
        <w:rPr>
          <w:rFonts w:ascii="Arial Narrow" w:hAnsi="Arial Narrow" w:cs="Arial Narrow"/>
          <w:sz w:val="26"/>
          <w:szCs w:val="26"/>
          <w:lang w:val="es-ES"/>
        </w:rPr>
        <w:t xml:space="preserve"> hizo </w:t>
      </w:r>
      <w:r w:rsidR="00E55150" w:rsidRPr="00300179">
        <w:rPr>
          <w:rFonts w:ascii="Arial Narrow" w:hAnsi="Arial Narrow" w:cs="Arial Narrow"/>
          <w:sz w:val="26"/>
          <w:szCs w:val="26"/>
          <w:lang w:val="es-ES"/>
        </w:rPr>
        <w:t>a</w:t>
      </w:r>
      <w:r w:rsidRPr="00300179">
        <w:rPr>
          <w:rFonts w:ascii="Arial Narrow" w:hAnsi="Arial Narrow" w:cs="Arial Narrow"/>
          <w:sz w:val="26"/>
          <w:szCs w:val="26"/>
          <w:lang w:val="es-ES"/>
        </w:rPr>
        <w:t xml:space="preserve"> Allianz Seguros S.A. </w:t>
      </w:r>
    </w:p>
    <w:p w14:paraId="05A509DF" w14:textId="77777777" w:rsidR="00353C5F" w:rsidRPr="00300179" w:rsidRDefault="00353C5F" w:rsidP="00300179">
      <w:pPr>
        <w:pStyle w:val="Textoindependiente"/>
        <w:spacing w:line="276" w:lineRule="auto"/>
        <w:ind w:right="157"/>
        <w:rPr>
          <w:rFonts w:ascii="Arial Narrow" w:hAnsi="Arial Narrow" w:cs="Arial Narrow"/>
          <w:sz w:val="26"/>
          <w:szCs w:val="26"/>
          <w:lang w:val="es-ES"/>
        </w:rPr>
      </w:pPr>
    </w:p>
    <w:p w14:paraId="367C0AF0" w14:textId="0AFC0894" w:rsidR="00332907" w:rsidRPr="00300179" w:rsidRDefault="00353C5F" w:rsidP="00300179">
      <w:pPr>
        <w:pStyle w:val="Textoindependiente"/>
        <w:spacing w:line="276" w:lineRule="auto"/>
        <w:ind w:right="157"/>
        <w:rPr>
          <w:rFonts w:ascii="Arial Narrow" w:hAnsi="Arial Narrow" w:cs="Arial Narrow"/>
          <w:sz w:val="26"/>
          <w:szCs w:val="26"/>
          <w:lang w:val="es-ES"/>
        </w:rPr>
      </w:pPr>
      <w:r w:rsidRPr="00300179">
        <w:rPr>
          <w:rFonts w:ascii="Arial Narrow" w:hAnsi="Arial Narrow" w:cs="Arial Narrow"/>
          <w:sz w:val="26"/>
          <w:szCs w:val="26"/>
          <w:lang w:val="es-ES"/>
        </w:rPr>
        <w:t xml:space="preserve">En esa misma carpeta, los archivos 3 a 5 dan cuenta de la contestación </w:t>
      </w:r>
      <w:r w:rsidR="000847AA" w:rsidRPr="00300179">
        <w:rPr>
          <w:rFonts w:ascii="Arial Narrow" w:hAnsi="Arial Narrow" w:cs="Arial Narrow"/>
          <w:sz w:val="26"/>
          <w:szCs w:val="26"/>
          <w:lang w:val="es-ES"/>
        </w:rPr>
        <w:t>a</w:t>
      </w:r>
      <w:r w:rsidRPr="00300179">
        <w:rPr>
          <w:rFonts w:ascii="Arial Narrow" w:hAnsi="Arial Narrow" w:cs="Arial Narrow"/>
          <w:sz w:val="26"/>
          <w:szCs w:val="26"/>
          <w:lang w:val="es-ES"/>
        </w:rPr>
        <w:t xml:space="preserve"> la demanda y </w:t>
      </w:r>
      <w:r w:rsidR="000847AA" w:rsidRPr="00300179">
        <w:rPr>
          <w:rFonts w:ascii="Arial Narrow" w:hAnsi="Arial Narrow" w:cs="Arial Narrow"/>
          <w:sz w:val="26"/>
          <w:szCs w:val="26"/>
          <w:lang w:val="es-ES"/>
        </w:rPr>
        <w:t>a</w:t>
      </w:r>
      <w:r w:rsidRPr="00300179">
        <w:rPr>
          <w:rFonts w:ascii="Arial Narrow" w:hAnsi="Arial Narrow" w:cs="Arial Narrow"/>
          <w:sz w:val="26"/>
          <w:szCs w:val="26"/>
          <w:lang w:val="es-ES"/>
        </w:rPr>
        <w:t xml:space="preserve">l llamamiento en garantía </w:t>
      </w:r>
      <w:r w:rsidR="000847AA" w:rsidRPr="00300179">
        <w:rPr>
          <w:rFonts w:ascii="Arial Narrow" w:hAnsi="Arial Narrow" w:cs="Arial Narrow"/>
          <w:sz w:val="26"/>
          <w:szCs w:val="26"/>
          <w:lang w:val="es-ES"/>
        </w:rPr>
        <w:t xml:space="preserve">realizados </w:t>
      </w:r>
      <w:r w:rsidRPr="00300179">
        <w:rPr>
          <w:rFonts w:ascii="Arial Narrow" w:hAnsi="Arial Narrow" w:cs="Arial Narrow"/>
          <w:sz w:val="26"/>
          <w:szCs w:val="26"/>
          <w:lang w:val="es-ES"/>
        </w:rPr>
        <w:t>por la entidad aseguradora</w:t>
      </w:r>
      <w:r w:rsidR="00B210A2" w:rsidRPr="00300179">
        <w:rPr>
          <w:rFonts w:ascii="Arial Narrow" w:hAnsi="Arial Narrow" w:cs="Arial Narrow"/>
          <w:sz w:val="26"/>
          <w:szCs w:val="26"/>
          <w:lang w:val="es-ES"/>
        </w:rPr>
        <w:t xml:space="preserve"> (memoriales radicados el </w:t>
      </w:r>
      <w:r w:rsidR="00B210A2" w:rsidRPr="00300179">
        <w:rPr>
          <w:rFonts w:ascii="Arial Narrow" w:hAnsi="Arial Narrow" w:cs="Arial Narrow"/>
          <w:b/>
          <w:bCs/>
          <w:sz w:val="26"/>
          <w:szCs w:val="26"/>
          <w:u w:val="single"/>
          <w:lang w:val="es-ES"/>
        </w:rPr>
        <w:t>13 de abril de 2021</w:t>
      </w:r>
      <w:r w:rsidR="00B210A2" w:rsidRPr="00300179">
        <w:rPr>
          <w:rFonts w:ascii="Arial Narrow" w:hAnsi="Arial Narrow" w:cs="Arial Narrow"/>
          <w:sz w:val="26"/>
          <w:szCs w:val="26"/>
          <w:lang w:val="es-ES"/>
        </w:rPr>
        <w:t>)</w:t>
      </w:r>
      <w:r w:rsidRPr="00300179">
        <w:rPr>
          <w:rFonts w:ascii="Arial Narrow" w:hAnsi="Arial Narrow" w:cs="Arial Narrow"/>
          <w:sz w:val="26"/>
          <w:szCs w:val="26"/>
          <w:lang w:val="es-ES"/>
        </w:rPr>
        <w:t>. Posteriormente</w:t>
      </w:r>
      <w:r w:rsidR="00FE0B9F" w:rsidRPr="00300179">
        <w:rPr>
          <w:rFonts w:ascii="Arial Narrow" w:hAnsi="Arial Narrow" w:cs="Arial Narrow"/>
          <w:sz w:val="26"/>
          <w:szCs w:val="26"/>
          <w:lang w:val="es-ES"/>
        </w:rPr>
        <w:t xml:space="preserve"> (28 de mayo de 2021, f. 1 </w:t>
      </w:r>
      <w:proofErr w:type="spellStart"/>
      <w:r w:rsidR="00FE0B9F" w:rsidRPr="00300179">
        <w:rPr>
          <w:rFonts w:ascii="Arial Narrow" w:hAnsi="Arial Narrow" w:cs="Arial Narrow"/>
          <w:sz w:val="26"/>
          <w:szCs w:val="26"/>
          <w:lang w:val="es-ES"/>
        </w:rPr>
        <w:t>arch</w:t>
      </w:r>
      <w:proofErr w:type="spellEnd"/>
      <w:r w:rsidR="00FE0B9F" w:rsidRPr="00300179">
        <w:rPr>
          <w:rFonts w:ascii="Arial Narrow" w:hAnsi="Arial Narrow" w:cs="Arial Narrow"/>
          <w:sz w:val="26"/>
          <w:szCs w:val="26"/>
          <w:lang w:val="es-ES"/>
        </w:rPr>
        <w:t>. 07 Ib.)</w:t>
      </w:r>
      <w:r w:rsidRPr="00300179">
        <w:rPr>
          <w:rFonts w:ascii="Arial Narrow" w:hAnsi="Arial Narrow" w:cs="Arial Narrow"/>
          <w:sz w:val="26"/>
          <w:szCs w:val="26"/>
          <w:lang w:val="es-ES"/>
        </w:rPr>
        <w:t>, su apoderado judicial pidió</w:t>
      </w:r>
      <w:r w:rsidR="005D19D6" w:rsidRPr="00300179">
        <w:rPr>
          <w:rFonts w:ascii="Arial Narrow" w:hAnsi="Arial Narrow" w:cs="Arial Narrow"/>
          <w:sz w:val="26"/>
          <w:szCs w:val="26"/>
          <w:lang w:val="es-ES"/>
        </w:rPr>
        <w:t xml:space="preserve"> información sobre la admisión del llamamiento y algunas </w:t>
      </w:r>
      <w:r w:rsidRPr="00300179">
        <w:rPr>
          <w:rFonts w:ascii="Arial Narrow" w:hAnsi="Arial Narrow" w:cs="Arial Narrow"/>
          <w:sz w:val="26"/>
          <w:szCs w:val="26"/>
          <w:lang w:val="es-ES"/>
        </w:rPr>
        <w:t xml:space="preserve">piezas procesales que </w:t>
      </w:r>
      <w:r w:rsidR="005D19D6" w:rsidRPr="00300179">
        <w:rPr>
          <w:rFonts w:ascii="Arial Narrow" w:hAnsi="Arial Narrow" w:cs="Arial Narrow"/>
          <w:sz w:val="26"/>
          <w:szCs w:val="26"/>
          <w:lang w:val="es-ES"/>
        </w:rPr>
        <w:t xml:space="preserve">identificó, </w:t>
      </w:r>
      <w:r w:rsidR="003D5B7E" w:rsidRPr="00300179">
        <w:rPr>
          <w:rFonts w:ascii="Arial Narrow" w:hAnsi="Arial Narrow" w:cs="Arial Narrow"/>
          <w:sz w:val="26"/>
          <w:szCs w:val="26"/>
          <w:lang w:val="es-ES"/>
        </w:rPr>
        <w:t>reclamando su notificación personal</w:t>
      </w:r>
      <w:r w:rsidR="00FE0B9F" w:rsidRPr="00300179">
        <w:rPr>
          <w:rFonts w:ascii="Arial Narrow" w:hAnsi="Arial Narrow" w:cs="Arial Narrow"/>
          <w:sz w:val="26"/>
          <w:szCs w:val="26"/>
          <w:lang w:val="es-ES"/>
        </w:rPr>
        <w:t xml:space="preserve"> (</w:t>
      </w:r>
      <w:proofErr w:type="spellStart"/>
      <w:r w:rsidR="003B33A7" w:rsidRPr="00300179">
        <w:rPr>
          <w:rFonts w:ascii="Arial Narrow" w:hAnsi="Arial Narrow" w:cs="Arial Narrow"/>
          <w:sz w:val="26"/>
          <w:szCs w:val="26"/>
          <w:lang w:val="es-ES"/>
        </w:rPr>
        <w:t>a</w:t>
      </w:r>
      <w:r w:rsidR="00FE0B9F" w:rsidRPr="00300179">
        <w:rPr>
          <w:rFonts w:ascii="Arial Narrow" w:hAnsi="Arial Narrow" w:cs="Arial Narrow"/>
          <w:sz w:val="26"/>
          <w:szCs w:val="26"/>
          <w:lang w:val="es-ES"/>
        </w:rPr>
        <w:t>rch</w:t>
      </w:r>
      <w:proofErr w:type="spellEnd"/>
      <w:r w:rsidR="00FE0B9F" w:rsidRPr="00300179">
        <w:rPr>
          <w:rFonts w:ascii="Arial Narrow" w:hAnsi="Arial Narrow" w:cs="Arial Narrow"/>
          <w:sz w:val="26"/>
          <w:szCs w:val="26"/>
          <w:lang w:val="es-ES"/>
        </w:rPr>
        <w:t>. 06 Ib.)</w:t>
      </w:r>
      <w:r w:rsidR="00D663EE" w:rsidRPr="00300179">
        <w:rPr>
          <w:rFonts w:ascii="Arial Narrow" w:hAnsi="Arial Narrow" w:cs="Arial Narrow"/>
          <w:sz w:val="26"/>
          <w:szCs w:val="26"/>
          <w:lang w:val="es-ES"/>
        </w:rPr>
        <w:t xml:space="preserve">. En respuesta, el 11 de junio el juzgado </w:t>
      </w:r>
      <w:r w:rsidR="00FE0B9F" w:rsidRPr="00300179">
        <w:rPr>
          <w:rFonts w:ascii="Arial Narrow" w:hAnsi="Arial Narrow" w:cs="Arial Narrow"/>
          <w:sz w:val="26"/>
          <w:szCs w:val="26"/>
          <w:lang w:val="es-ES"/>
        </w:rPr>
        <w:t>permitió acceso al expediente mediante v</w:t>
      </w:r>
      <w:r w:rsidR="008A790A" w:rsidRPr="00300179">
        <w:rPr>
          <w:rFonts w:ascii="Arial Narrow" w:hAnsi="Arial Narrow" w:cs="Arial Narrow"/>
          <w:sz w:val="26"/>
          <w:szCs w:val="26"/>
          <w:lang w:val="es-ES"/>
        </w:rPr>
        <w:t>í</w:t>
      </w:r>
      <w:r w:rsidR="00FE0B9F" w:rsidRPr="00300179">
        <w:rPr>
          <w:rFonts w:ascii="Arial Narrow" w:hAnsi="Arial Narrow" w:cs="Arial Narrow"/>
          <w:sz w:val="26"/>
          <w:szCs w:val="26"/>
          <w:lang w:val="es-ES"/>
        </w:rPr>
        <w:t xml:space="preserve">nculo </w:t>
      </w:r>
      <w:r w:rsidR="00056E46" w:rsidRPr="00300179">
        <w:rPr>
          <w:rFonts w:ascii="Arial Narrow" w:hAnsi="Arial Narrow" w:cs="Arial Narrow"/>
          <w:sz w:val="26"/>
          <w:szCs w:val="26"/>
          <w:lang w:val="es-ES"/>
        </w:rPr>
        <w:t>digital (</w:t>
      </w:r>
      <w:proofErr w:type="spellStart"/>
      <w:r w:rsidR="003B33A7" w:rsidRPr="00300179">
        <w:rPr>
          <w:rFonts w:ascii="Arial Narrow" w:hAnsi="Arial Narrow" w:cs="Arial Narrow"/>
          <w:sz w:val="26"/>
          <w:szCs w:val="26"/>
          <w:lang w:val="es-ES"/>
        </w:rPr>
        <w:t>a</w:t>
      </w:r>
      <w:r w:rsidR="00FE0B9F" w:rsidRPr="00300179">
        <w:rPr>
          <w:rFonts w:ascii="Arial Narrow" w:hAnsi="Arial Narrow" w:cs="Arial Narrow"/>
          <w:sz w:val="26"/>
          <w:szCs w:val="26"/>
          <w:lang w:val="es-ES"/>
        </w:rPr>
        <w:t>rch</w:t>
      </w:r>
      <w:proofErr w:type="spellEnd"/>
      <w:r w:rsidR="00FE0B9F" w:rsidRPr="00300179">
        <w:rPr>
          <w:rFonts w:ascii="Arial Narrow" w:hAnsi="Arial Narrow" w:cs="Arial Narrow"/>
          <w:sz w:val="26"/>
          <w:szCs w:val="26"/>
          <w:lang w:val="es-ES"/>
        </w:rPr>
        <w:t xml:space="preserve">. 08 Ib.). </w:t>
      </w:r>
      <w:r w:rsidR="00056E46" w:rsidRPr="00300179">
        <w:rPr>
          <w:rFonts w:ascii="Arial Narrow" w:hAnsi="Arial Narrow" w:cs="Arial Narrow"/>
          <w:sz w:val="26"/>
          <w:szCs w:val="26"/>
          <w:lang w:val="es-ES"/>
        </w:rPr>
        <w:t>Finalmente,</w:t>
      </w:r>
      <w:r w:rsidR="00FE0B9F" w:rsidRPr="00300179">
        <w:rPr>
          <w:rFonts w:ascii="Arial Narrow" w:hAnsi="Arial Narrow" w:cs="Arial Narrow"/>
          <w:sz w:val="26"/>
          <w:szCs w:val="26"/>
          <w:lang w:val="es-ES"/>
        </w:rPr>
        <w:t xml:space="preserve"> en auto del 27 de julio de 2021, se tuvo por contestada en término la demanda por Allianz Seguros S.A. (</w:t>
      </w:r>
      <w:proofErr w:type="spellStart"/>
      <w:r w:rsidR="0001319C" w:rsidRPr="00300179">
        <w:rPr>
          <w:rFonts w:ascii="Arial Narrow" w:hAnsi="Arial Narrow" w:cs="Arial Narrow"/>
          <w:sz w:val="26"/>
          <w:szCs w:val="26"/>
          <w:lang w:val="es-ES"/>
        </w:rPr>
        <w:t>a</w:t>
      </w:r>
      <w:r w:rsidR="00FE0B9F" w:rsidRPr="00300179">
        <w:rPr>
          <w:rFonts w:ascii="Arial Narrow" w:hAnsi="Arial Narrow" w:cs="Arial Narrow"/>
          <w:sz w:val="26"/>
          <w:szCs w:val="26"/>
          <w:lang w:val="es-ES"/>
        </w:rPr>
        <w:t>rch</w:t>
      </w:r>
      <w:proofErr w:type="spellEnd"/>
      <w:r w:rsidR="00FE0B9F" w:rsidRPr="00300179">
        <w:rPr>
          <w:rFonts w:ascii="Arial Narrow" w:hAnsi="Arial Narrow" w:cs="Arial Narrow"/>
          <w:sz w:val="26"/>
          <w:szCs w:val="26"/>
          <w:lang w:val="es-ES"/>
        </w:rPr>
        <w:t>. 12 Ib.)</w:t>
      </w:r>
      <w:r w:rsidR="00332907" w:rsidRPr="00300179">
        <w:rPr>
          <w:rFonts w:ascii="Arial Narrow" w:hAnsi="Arial Narrow" w:cs="Arial Narrow"/>
          <w:sz w:val="26"/>
          <w:szCs w:val="26"/>
          <w:lang w:val="es-ES"/>
        </w:rPr>
        <w:t>.</w:t>
      </w:r>
    </w:p>
    <w:p w14:paraId="0B5947EF" w14:textId="77777777" w:rsidR="00332907" w:rsidRPr="00300179" w:rsidRDefault="00332907" w:rsidP="00300179">
      <w:pPr>
        <w:pStyle w:val="Textoindependiente"/>
        <w:spacing w:line="276" w:lineRule="auto"/>
        <w:ind w:right="157"/>
        <w:rPr>
          <w:rFonts w:ascii="Arial Narrow" w:hAnsi="Arial Narrow" w:cs="Arial Narrow"/>
          <w:sz w:val="26"/>
          <w:szCs w:val="26"/>
          <w:lang w:val="es-ES"/>
        </w:rPr>
      </w:pPr>
    </w:p>
    <w:p w14:paraId="35B05622" w14:textId="31FDD990" w:rsidR="00353C5F" w:rsidRPr="00300179" w:rsidRDefault="00056E46" w:rsidP="00300179">
      <w:pPr>
        <w:pStyle w:val="Textoindependiente"/>
        <w:spacing w:line="276" w:lineRule="auto"/>
        <w:ind w:right="157"/>
        <w:rPr>
          <w:rFonts w:ascii="Arial Narrow" w:hAnsi="Arial Narrow" w:cs="Arial Narrow"/>
          <w:i/>
          <w:iCs/>
          <w:sz w:val="26"/>
          <w:szCs w:val="26"/>
          <w:lang w:val="es-ES"/>
        </w:rPr>
      </w:pPr>
      <w:r w:rsidRPr="00300179">
        <w:rPr>
          <w:rFonts w:ascii="Arial Narrow" w:hAnsi="Arial Narrow" w:cs="Arial Narrow"/>
          <w:sz w:val="26"/>
          <w:szCs w:val="26"/>
          <w:lang w:val="es-ES"/>
        </w:rPr>
        <w:t>En archivos digitales 9 a 14 (f. 1 del último archivo) de la</w:t>
      </w:r>
      <w:r w:rsidR="00543D27" w:rsidRPr="00300179">
        <w:rPr>
          <w:rFonts w:ascii="Arial Narrow" w:hAnsi="Arial Narrow" w:cs="Arial Narrow"/>
          <w:sz w:val="26"/>
          <w:szCs w:val="26"/>
          <w:lang w:val="es-ES"/>
        </w:rPr>
        <w:t xml:space="preserve"> carpeta “actuaciones judiciales” de </w:t>
      </w:r>
      <w:r w:rsidRPr="00300179">
        <w:rPr>
          <w:rFonts w:ascii="Arial Narrow" w:hAnsi="Arial Narrow" w:cs="Arial Narrow"/>
          <w:sz w:val="26"/>
          <w:szCs w:val="26"/>
          <w:lang w:val="es-ES"/>
        </w:rPr>
        <w:t xml:space="preserve">primera instancia, se observa solicitud de nulidad presentada el </w:t>
      </w:r>
      <w:r w:rsidRPr="00300179">
        <w:rPr>
          <w:rFonts w:ascii="Arial Narrow" w:hAnsi="Arial Narrow" w:cs="Arial Narrow"/>
          <w:b/>
          <w:bCs/>
          <w:sz w:val="26"/>
          <w:szCs w:val="26"/>
          <w:u w:val="single"/>
          <w:lang w:val="es-ES"/>
        </w:rPr>
        <w:t>30 de abril de 2021</w:t>
      </w:r>
      <w:r w:rsidR="00B825BE" w:rsidRPr="00300179">
        <w:rPr>
          <w:rFonts w:ascii="Arial Narrow" w:hAnsi="Arial Narrow" w:cs="Arial Narrow"/>
          <w:sz w:val="26"/>
          <w:szCs w:val="26"/>
          <w:lang w:val="es-ES"/>
        </w:rPr>
        <w:t xml:space="preserve"> por parte de</w:t>
      </w:r>
      <w:r w:rsidR="001D6E51" w:rsidRPr="00300179">
        <w:rPr>
          <w:rFonts w:ascii="Arial Narrow" w:hAnsi="Arial Narrow" w:cs="Arial Narrow"/>
          <w:sz w:val="26"/>
          <w:szCs w:val="26"/>
          <w:lang w:val="es-ES"/>
        </w:rPr>
        <w:t xml:space="preserve"> </w:t>
      </w:r>
      <w:r w:rsidR="00576C77" w:rsidRPr="00300179">
        <w:rPr>
          <w:rFonts w:ascii="Arial Narrow" w:hAnsi="Arial Narrow" w:cs="Arial Narrow"/>
          <w:sz w:val="26"/>
          <w:szCs w:val="26"/>
          <w:lang w:val="es-ES"/>
        </w:rPr>
        <w:t>esa misma aseguradora. S</w:t>
      </w:r>
      <w:r w:rsidRPr="00300179">
        <w:rPr>
          <w:rFonts w:ascii="Arial Narrow" w:hAnsi="Arial Narrow" w:cs="Arial Narrow"/>
          <w:sz w:val="26"/>
          <w:szCs w:val="26"/>
          <w:lang w:val="es-ES"/>
        </w:rPr>
        <w:t xml:space="preserve">e funda </w:t>
      </w:r>
      <w:r w:rsidR="00576C77" w:rsidRPr="00300179">
        <w:rPr>
          <w:rFonts w:ascii="Arial Narrow" w:hAnsi="Arial Narrow" w:cs="Arial Narrow"/>
          <w:sz w:val="26"/>
          <w:szCs w:val="26"/>
          <w:lang w:val="es-ES"/>
        </w:rPr>
        <w:t>tal aspiración</w:t>
      </w:r>
      <w:r w:rsidR="00B825BE" w:rsidRPr="00300179">
        <w:rPr>
          <w:rFonts w:ascii="Arial Narrow" w:hAnsi="Arial Narrow" w:cs="Arial Narrow"/>
          <w:sz w:val="26"/>
          <w:szCs w:val="26"/>
          <w:lang w:val="es-ES"/>
        </w:rPr>
        <w:t xml:space="preserve"> en que no se cumplió con las exigencias de notificación según </w:t>
      </w:r>
      <w:r w:rsidR="00576C77" w:rsidRPr="00300179">
        <w:rPr>
          <w:rFonts w:ascii="Arial Narrow" w:hAnsi="Arial Narrow" w:cs="Arial Narrow"/>
          <w:sz w:val="26"/>
          <w:szCs w:val="26"/>
          <w:lang w:val="es-ES"/>
        </w:rPr>
        <w:t xml:space="preserve">el </w:t>
      </w:r>
      <w:r w:rsidR="00B825BE" w:rsidRPr="00300179">
        <w:rPr>
          <w:rFonts w:ascii="Arial Narrow" w:hAnsi="Arial Narrow" w:cs="Arial Narrow"/>
          <w:sz w:val="26"/>
          <w:szCs w:val="26"/>
          <w:lang w:val="es-ES"/>
        </w:rPr>
        <w:t>art. 8 del Decreto 806 de 2020</w:t>
      </w:r>
      <w:r w:rsidR="00B825BE" w:rsidRPr="00300179">
        <w:rPr>
          <w:rStyle w:val="Refdenotaalpie"/>
          <w:rFonts w:ascii="Arial Narrow" w:hAnsi="Arial Narrow" w:cs="Arial Narrow"/>
          <w:sz w:val="26"/>
          <w:szCs w:val="26"/>
          <w:lang w:val="es-ES"/>
        </w:rPr>
        <w:footnoteReference w:id="1"/>
      </w:r>
      <w:r w:rsidR="00543D27" w:rsidRPr="00300179">
        <w:rPr>
          <w:rFonts w:ascii="Arial Narrow" w:hAnsi="Arial Narrow" w:cs="Arial Narrow"/>
          <w:sz w:val="26"/>
          <w:szCs w:val="26"/>
          <w:lang w:val="es-ES"/>
        </w:rPr>
        <w:t>: “</w:t>
      </w:r>
      <w:r w:rsidR="00543D27" w:rsidRPr="00AC4E09">
        <w:rPr>
          <w:rFonts w:ascii="Arial Narrow" w:hAnsi="Arial Narrow" w:cs="Arial Narrow"/>
          <w:i/>
          <w:iCs/>
          <w:sz w:val="24"/>
          <w:szCs w:val="26"/>
          <w:lang w:val="es-ES"/>
        </w:rPr>
        <w:t xml:space="preserve">Es a todas luces improcedente pretender realizar una notificación solo con el envío del llamamiento en garantía, cuando es evidente que no tenemos acceso al expediente debido a que el acceso a los juzgados está restringido. De este modo, NO pueden computarse los </w:t>
      </w:r>
      <w:r w:rsidR="008B7FD1" w:rsidRPr="00AC4E09">
        <w:rPr>
          <w:rFonts w:ascii="Arial Narrow" w:hAnsi="Arial Narrow" w:cs="Arial Narrow"/>
          <w:i/>
          <w:iCs/>
          <w:sz w:val="24"/>
          <w:szCs w:val="26"/>
          <w:lang w:val="es-ES"/>
        </w:rPr>
        <w:t>términos con ocasión de una supuesta</w:t>
      </w:r>
      <w:r w:rsidR="00543D27" w:rsidRPr="00AC4E09">
        <w:rPr>
          <w:rFonts w:ascii="Arial Narrow" w:hAnsi="Arial Narrow" w:cs="Arial Narrow"/>
          <w:i/>
          <w:iCs/>
          <w:sz w:val="24"/>
          <w:szCs w:val="26"/>
          <w:lang w:val="es-ES"/>
        </w:rPr>
        <w:t xml:space="preserve"> </w:t>
      </w:r>
      <w:r w:rsidR="008B7FD1" w:rsidRPr="00AC4E09">
        <w:rPr>
          <w:rFonts w:ascii="Arial Narrow" w:hAnsi="Arial Narrow" w:cs="Arial Narrow"/>
          <w:i/>
          <w:iCs/>
          <w:sz w:val="24"/>
          <w:szCs w:val="26"/>
          <w:lang w:val="es-ES"/>
        </w:rPr>
        <w:t>notificación personal, que no</w:t>
      </w:r>
      <w:r w:rsidR="00543D27" w:rsidRPr="00AC4E09">
        <w:rPr>
          <w:rFonts w:ascii="Arial Narrow" w:hAnsi="Arial Narrow" w:cs="Arial Narrow"/>
          <w:i/>
          <w:iCs/>
          <w:sz w:val="24"/>
          <w:szCs w:val="26"/>
          <w:lang w:val="es-ES"/>
        </w:rPr>
        <w:t xml:space="preserve"> acompaña siquiera el auto admisorio del llamamiento en garantía</w:t>
      </w:r>
      <w:r w:rsidR="00543D27" w:rsidRPr="00300179">
        <w:rPr>
          <w:rFonts w:ascii="Arial Narrow" w:hAnsi="Arial Narrow" w:cs="Arial Narrow"/>
          <w:i/>
          <w:iCs/>
          <w:sz w:val="26"/>
          <w:szCs w:val="26"/>
          <w:lang w:val="es-ES"/>
        </w:rPr>
        <w:t>.”</w:t>
      </w:r>
    </w:p>
    <w:p w14:paraId="1AA7A2C9" w14:textId="77777777" w:rsidR="00353C5F" w:rsidRPr="00300179" w:rsidRDefault="00353C5F" w:rsidP="00300179">
      <w:pPr>
        <w:pStyle w:val="Textoindependiente"/>
        <w:spacing w:line="276" w:lineRule="auto"/>
        <w:ind w:right="157"/>
        <w:rPr>
          <w:rFonts w:ascii="Arial Narrow" w:hAnsi="Arial Narrow" w:cs="Arial Narrow"/>
          <w:b/>
          <w:bCs/>
          <w:sz w:val="26"/>
          <w:szCs w:val="26"/>
          <w:lang w:val="es-ES"/>
        </w:rPr>
      </w:pPr>
    </w:p>
    <w:p w14:paraId="1698EC8D" w14:textId="4D0A8231" w:rsidR="0001319C" w:rsidRPr="00300179" w:rsidRDefault="00543D27" w:rsidP="00300179">
      <w:pPr>
        <w:pStyle w:val="Textoindependiente"/>
        <w:spacing w:line="276" w:lineRule="auto"/>
        <w:ind w:right="157"/>
        <w:rPr>
          <w:rFonts w:ascii="Arial Narrow" w:hAnsi="Arial Narrow" w:cs="Arial Narrow"/>
          <w:sz w:val="26"/>
          <w:szCs w:val="26"/>
          <w:lang w:val="es-ES"/>
        </w:rPr>
      </w:pPr>
      <w:r w:rsidRPr="00300179">
        <w:rPr>
          <w:rFonts w:ascii="Arial Narrow" w:hAnsi="Arial Narrow" w:cs="Arial Narrow"/>
          <w:sz w:val="26"/>
          <w:szCs w:val="26"/>
          <w:lang w:val="es-ES"/>
        </w:rPr>
        <w:t xml:space="preserve">Luego del traslado, </w:t>
      </w:r>
      <w:r w:rsidRPr="00300179">
        <w:rPr>
          <w:rFonts w:ascii="Arial Narrow" w:hAnsi="Arial Narrow" w:cs="Arial Narrow"/>
          <w:b/>
          <w:bCs/>
          <w:sz w:val="26"/>
          <w:szCs w:val="26"/>
          <w:lang w:val="es-ES"/>
        </w:rPr>
        <w:t>se decidió en auto del 31 de mayo de 2021</w:t>
      </w:r>
      <w:r w:rsidR="0001319C" w:rsidRPr="00300179">
        <w:rPr>
          <w:rFonts w:ascii="Arial Narrow" w:hAnsi="Arial Narrow" w:cs="Arial Narrow"/>
          <w:b/>
          <w:bCs/>
          <w:sz w:val="26"/>
          <w:szCs w:val="26"/>
          <w:lang w:val="es-ES"/>
        </w:rPr>
        <w:t xml:space="preserve"> </w:t>
      </w:r>
      <w:r w:rsidR="0001319C" w:rsidRPr="00300179">
        <w:rPr>
          <w:rFonts w:ascii="Arial Narrow" w:hAnsi="Arial Narrow" w:cs="Arial Narrow"/>
          <w:sz w:val="26"/>
          <w:szCs w:val="26"/>
          <w:lang w:val="es-ES"/>
        </w:rPr>
        <w:t>(</w:t>
      </w:r>
      <w:proofErr w:type="spellStart"/>
      <w:r w:rsidR="0001319C" w:rsidRPr="00300179">
        <w:rPr>
          <w:rFonts w:ascii="Arial Narrow" w:hAnsi="Arial Narrow" w:cs="Arial Narrow"/>
          <w:sz w:val="26"/>
          <w:szCs w:val="26"/>
          <w:lang w:val="es-ES"/>
        </w:rPr>
        <w:t>arch</w:t>
      </w:r>
      <w:proofErr w:type="spellEnd"/>
      <w:r w:rsidR="0001319C" w:rsidRPr="00300179">
        <w:rPr>
          <w:rFonts w:ascii="Arial Narrow" w:hAnsi="Arial Narrow" w:cs="Arial Narrow"/>
          <w:sz w:val="26"/>
          <w:szCs w:val="26"/>
          <w:lang w:val="es-ES"/>
        </w:rPr>
        <w:t>. 17 Ib.)</w:t>
      </w:r>
      <w:r w:rsidR="0001319C" w:rsidRPr="00300179">
        <w:rPr>
          <w:rFonts w:ascii="Arial Narrow" w:hAnsi="Arial Narrow" w:cs="Arial Narrow"/>
          <w:b/>
          <w:bCs/>
          <w:sz w:val="26"/>
          <w:szCs w:val="26"/>
          <w:lang w:val="es-ES"/>
        </w:rPr>
        <w:t xml:space="preserve">, </w:t>
      </w:r>
      <w:r w:rsidR="0001319C" w:rsidRPr="00300179">
        <w:rPr>
          <w:rFonts w:ascii="Arial Narrow" w:hAnsi="Arial Narrow" w:cs="Arial Narrow"/>
          <w:sz w:val="26"/>
          <w:szCs w:val="26"/>
          <w:lang w:val="es-ES"/>
        </w:rPr>
        <w:t xml:space="preserve">indicando que </w:t>
      </w:r>
      <w:r w:rsidR="00601CBB" w:rsidRPr="00300179">
        <w:rPr>
          <w:rFonts w:ascii="Arial Narrow" w:hAnsi="Arial Narrow" w:cs="Arial Narrow"/>
          <w:sz w:val="26"/>
          <w:szCs w:val="26"/>
          <w:lang w:val="es-ES"/>
        </w:rPr>
        <w:t xml:space="preserve">la </w:t>
      </w:r>
      <w:r w:rsidR="0001319C" w:rsidRPr="00300179">
        <w:rPr>
          <w:rFonts w:ascii="Arial Narrow" w:hAnsi="Arial Narrow" w:cs="Arial Narrow"/>
          <w:sz w:val="26"/>
          <w:szCs w:val="26"/>
          <w:lang w:val="es-ES"/>
        </w:rPr>
        <w:t>notificación</w:t>
      </w:r>
      <w:r w:rsidR="009E63B6" w:rsidRPr="00300179">
        <w:rPr>
          <w:rFonts w:ascii="Arial Narrow" w:hAnsi="Arial Narrow" w:cs="Arial Narrow"/>
          <w:sz w:val="26"/>
          <w:szCs w:val="26"/>
          <w:lang w:val="es-ES"/>
        </w:rPr>
        <w:t xml:space="preserve"> </w:t>
      </w:r>
      <w:r w:rsidR="009420CC" w:rsidRPr="00300179">
        <w:rPr>
          <w:rFonts w:ascii="Arial Narrow" w:hAnsi="Arial Narrow" w:cs="Arial Narrow"/>
          <w:sz w:val="26"/>
          <w:szCs w:val="26"/>
          <w:lang w:val="es-ES"/>
        </w:rPr>
        <w:t>sur</w:t>
      </w:r>
      <w:r w:rsidR="00601CBB" w:rsidRPr="00300179">
        <w:rPr>
          <w:rFonts w:ascii="Arial Narrow" w:hAnsi="Arial Narrow" w:cs="Arial Narrow"/>
          <w:sz w:val="26"/>
          <w:szCs w:val="26"/>
          <w:lang w:val="es-ES"/>
        </w:rPr>
        <w:t>t</w:t>
      </w:r>
      <w:r w:rsidR="009420CC" w:rsidRPr="00300179">
        <w:rPr>
          <w:rFonts w:ascii="Arial Narrow" w:hAnsi="Arial Narrow" w:cs="Arial Narrow"/>
          <w:sz w:val="26"/>
          <w:szCs w:val="26"/>
          <w:lang w:val="es-ES"/>
        </w:rPr>
        <w:t xml:space="preserve">ida en </w:t>
      </w:r>
      <w:r w:rsidR="006B69C6" w:rsidRPr="00300179">
        <w:rPr>
          <w:rFonts w:ascii="Arial Narrow" w:hAnsi="Arial Narrow" w:cs="Arial Narrow"/>
          <w:sz w:val="26"/>
          <w:szCs w:val="26"/>
          <w:lang w:val="es-ES"/>
        </w:rPr>
        <w:t>abril</w:t>
      </w:r>
      <w:r w:rsidR="009420CC" w:rsidRPr="00300179">
        <w:rPr>
          <w:rFonts w:ascii="Arial Narrow" w:hAnsi="Arial Narrow" w:cs="Arial Narrow"/>
          <w:sz w:val="26"/>
          <w:szCs w:val="26"/>
          <w:lang w:val="es-ES"/>
        </w:rPr>
        <w:t xml:space="preserve"> 08,</w:t>
      </w:r>
      <w:r w:rsidR="005E6464" w:rsidRPr="00300179">
        <w:rPr>
          <w:rFonts w:ascii="Arial Narrow" w:hAnsi="Arial Narrow" w:cs="Arial Narrow"/>
          <w:sz w:val="26"/>
          <w:szCs w:val="26"/>
          <w:lang w:val="es-ES"/>
        </w:rPr>
        <w:t xml:space="preserve"> según pantallazo </w:t>
      </w:r>
      <w:r w:rsidR="0001319C" w:rsidRPr="00300179">
        <w:rPr>
          <w:rFonts w:ascii="Arial Narrow" w:hAnsi="Arial Narrow" w:cs="Arial Narrow"/>
          <w:sz w:val="26"/>
          <w:szCs w:val="26"/>
          <w:lang w:val="es-ES"/>
        </w:rPr>
        <w:t>allegad</w:t>
      </w:r>
      <w:r w:rsidR="005E6464" w:rsidRPr="00300179">
        <w:rPr>
          <w:rFonts w:ascii="Arial Narrow" w:hAnsi="Arial Narrow" w:cs="Arial Narrow"/>
          <w:sz w:val="26"/>
          <w:szCs w:val="26"/>
          <w:lang w:val="es-ES"/>
        </w:rPr>
        <w:t>o</w:t>
      </w:r>
      <w:r w:rsidR="0001319C" w:rsidRPr="00300179">
        <w:rPr>
          <w:rFonts w:ascii="Arial Narrow" w:hAnsi="Arial Narrow" w:cs="Arial Narrow"/>
          <w:sz w:val="26"/>
          <w:szCs w:val="26"/>
          <w:lang w:val="es-ES"/>
        </w:rPr>
        <w:t xml:space="preserve"> por el apoderado de Clínica los Rosales S.A</w:t>
      </w:r>
      <w:r w:rsidR="009912E0" w:rsidRPr="00300179">
        <w:rPr>
          <w:rFonts w:ascii="Arial Narrow" w:hAnsi="Arial Narrow" w:cs="Arial Narrow"/>
          <w:sz w:val="26"/>
          <w:szCs w:val="26"/>
          <w:lang w:val="es-ES"/>
        </w:rPr>
        <w:t>.</w:t>
      </w:r>
      <w:r w:rsidR="0001319C" w:rsidRPr="00300179">
        <w:rPr>
          <w:rFonts w:ascii="Arial Narrow" w:hAnsi="Arial Narrow" w:cs="Arial Narrow"/>
          <w:sz w:val="26"/>
          <w:szCs w:val="26"/>
          <w:lang w:val="es-ES"/>
        </w:rPr>
        <w:t xml:space="preserve"> (</w:t>
      </w:r>
      <w:proofErr w:type="spellStart"/>
      <w:r w:rsidR="0001319C" w:rsidRPr="00300179">
        <w:rPr>
          <w:rFonts w:ascii="Arial Narrow" w:hAnsi="Arial Narrow" w:cs="Arial Narrow"/>
          <w:sz w:val="26"/>
          <w:szCs w:val="26"/>
          <w:lang w:val="es-ES"/>
        </w:rPr>
        <w:t>arch</w:t>
      </w:r>
      <w:proofErr w:type="spellEnd"/>
      <w:r w:rsidR="0001319C" w:rsidRPr="00300179">
        <w:rPr>
          <w:rFonts w:ascii="Arial Narrow" w:hAnsi="Arial Narrow" w:cs="Arial Narrow"/>
          <w:sz w:val="26"/>
          <w:szCs w:val="26"/>
          <w:lang w:val="es-ES"/>
        </w:rPr>
        <w:t>. 15 Ib.)</w:t>
      </w:r>
      <w:r w:rsidR="005E6464" w:rsidRPr="00300179">
        <w:rPr>
          <w:rFonts w:ascii="Arial Narrow" w:hAnsi="Arial Narrow" w:cs="Arial Narrow"/>
          <w:sz w:val="26"/>
          <w:szCs w:val="26"/>
          <w:lang w:val="es-ES"/>
        </w:rPr>
        <w:t>,</w:t>
      </w:r>
      <w:r w:rsidR="0001319C" w:rsidRPr="00300179">
        <w:rPr>
          <w:rFonts w:ascii="Arial Narrow" w:hAnsi="Arial Narrow" w:cs="Arial Narrow"/>
          <w:sz w:val="26"/>
          <w:szCs w:val="26"/>
          <w:lang w:val="es-ES"/>
        </w:rPr>
        <w:t xml:space="preserve"> cumplió su finalidad porque la aseguradora atacó el auto que aceptó el llamamiento</w:t>
      </w:r>
      <w:r w:rsidR="00F53850" w:rsidRPr="00300179">
        <w:rPr>
          <w:rFonts w:ascii="Arial Narrow" w:hAnsi="Arial Narrow" w:cs="Arial Narrow"/>
          <w:sz w:val="26"/>
          <w:szCs w:val="26"/>
          <w:lang w:val="es-ES"/>
        </w:rPr>
        <w:t>,</w:t>
      </w:r>
      <w:r w:rsidR="0001319C" w:rsidRPr="00300179">
        <w:rPr>
          <w:rFonts w:ascii="Arial Narrow" w:hAnsi="Arial Narrow" w:cs="Arial Narrow"/>
          <w:sz w:val="26"/>
          <w:szCs w:val="26"/>
          <w:lang w:val="es-ES"/>
        </w:rPr>
        <w:t xml:space="preserve"> por lo tanto denegó la solicitud</w:t>
      </w:r>
      <w:r w:rsidR="00F53850" w:rsidRPr="00300179">
        <w:rPr>
          <w:rFonts w:ascii="Arial Narrow" w:hAnsi="Arial Narrow" w:cs="Arial Narrow"/>
          <w:sz w:val="26"/>
          <w:szCs w:val="26"/>
          <w:lang w:val="es-ES"/>
        </w:rPr>
        <w:t xml:space="preserve"> (numeral 1º)</w:t>
      </w:r>
      <w:r w:rsidR="00B6427A" w:rsidRPr="00300179">
        <w:rPr>
          <w:rFonts w:ascii="Arial Narrow" w:hAnsi="Arial Narrow" w:cs="Arial Narrow"/>
          <w:sz w:val="26"/>
          <w:szCs w:val="26"/>
          <w:lang w:val="es-ES"/>
        </w:rPr>
        <w:t>. En todo caso</w:t>
      </w:r>
      <w:r w:rsidR="0001319C" w:rsidRPr="00300179">
        <w:rPr>
          <w:rFonts w:ascii="Arial Narrow" w:hAnsi="Arial Narrow" w:cs="Arial Narrow"/>
          <w:sz w:val="26"/>
          <w:szCs w:val="26"/>
          <w:lang w:val="es-ES"/>
        </w:rPr>
        <w:t xml:space="preserve">, </w:t>
      </w:r>
      <w:r w:rsidR="00F53850" w:rsidRPr="00300179">
        <w:rPr>
          <w:rFonts w:ascii="Arial Narrow" w:hAnsi="Arial Narrow" w:cs="Arial Narrow"/>
          <w:sz w:val="26"/>
          <w:szCs w:val="26"/>
          <w:lang w:val="es-ES"/>
        </w:rPr>
        <w:t xml:space="preserve">determinó aceptar “la petición del apoderado de la Clínica Los Rosales S.A., por ende y conforme a lo señalado en el </w:t>
      </w:r>
      <w:r w:rsidR="00F53850" w:rsidRPr="00300179">
        <w:rPr>
          <w:rFonts w:ascii="Arial Narrow" w:hAnsi="Arial Narrow" w:cs="Arial Narrow"/>
          <w:sz w:val="26"/>
          <w:szCs w:val="26"/>
          <w:u w:val="single"/>
          <w:lang w:val="es-ES"/>
        </w:rPr>
        <w:t>inciso segundo</w:t>
      </w:r>
      <w:r w:rsidR="00F53850" w:rsidRPr="00300179">
        <w:rPr>
          <w:rFonts w:ascii="Arial Narrow" w:hAnsi="Arial Narrow" w:cs="Arial Narrow"/>
          <w:sz w:val="26"/>
          <w:szCs w:val="26"/>
          <w:lang w:val="es-ES"/>
        </w:rPr>
        <w:t xml:space="preserve"> del artículo 301 del Código General del Proceso, a la llamada en garantía se tendrá notificada por conducta concluyente” (numeral 2º).</w:t>
      </w:r>
      <w:r w:rsidR="00D26F5B" w:rsidRPr="00300179">
        <w:rPr>
          <w:rFonts w:ascii="Arial Narrow" w:hAnsi="Arial Narrow" w:cs="Arial Narrow"/>
          <w:sz w:val="26"/>
          <w:szCs w:val="26"/>
          <w:lang w:val="es-ES"/>
        </w:rPr>
        <w:t xml:space="preserve"> – Se subraya -</w:t>
      </w:r>
    </w:p>
    <w:p w14:paraId="32FAC2ED" w14:textId="77777777" w:rsidR="0001319C" w:rsidRPr="00300179" w:rsidRDefault="0001319C" w:rsidP="00300179">
      <w:pPr>
        <w:pStyle w:val="Textoindependiente"/>
        <w:spacing w:line="276" w:lineRule="auto"/>
        <w:ind w:right="157"/>
        <w:rPr>
          <w:rFonts w:ascii="Arial Narrow" w:hAnsi="Arial Narrow" w:cs="Arial Narrow"/>
          <w:sz w:val="26"/>
          <w:szCs w:val="26"/>
          <w:lang w:val="es-ES"/>
        </w:rPr>
      </w:pPr>
    </w:p>
    <w:p w14:paraId="26847E6D" w14:textId="22B84723" w:rsidR="004C41A9" w:rsidRPr="00300179" w:rsidRDefault="0001319C" w:rsidP="00300179">
      <w:pPr>
        <w:pStyle w:val="Textoindependiente"/>
        <w:spacing w:line="276" w:lineRule="auto"/>
        <w:ind w:right="157"/>
        <w:rPr>
          <w:rFonts w:ascii="Arial Narrow" w:hAnsi="Arial Narrow" w:cs="Arial Narrow"/>
          <w:i/>
          <w:iCs/>
          <w:sz w:val="26"/>
          <w:szCs w:val="26"/>
          <w:lang w:val="es-ES"/>
        </w:rPr>
      </w:pPr>
      <w:r w:rsidRPr="00300179">
        <w:rPr>
          <w:rFonts w:ascii="Arial Narrow" w:hAnsi="Arial Narrow" w:cs="Arial Narrow"/>
          <w:sz w:val="26"/>
          <w:szCs w:val="26"/>
          <w:lang w:val="es-ES"/>
        </w:rPr>
        <w:t xml:space="preserve">En tiempo, </w:t>
      </w:r>
      <w:r w:rsidR="009420CC" w:rsidRPr="00300179">
        <w:rPr>
          <w:rFonts w:ascii="Arial Narrow" w:hAnsi="Arial Narrow" w:cs="Arial Narrow"/>
          <w:sz w:val="26"/>
          <w:szCs w:val="26"/>
          <w:lang w:val="es-ES"/>
        </w:rPr>
        <w:t>por parte de la llam</w:t>
      </w:r>
      <w:r w:rsidR="00B7732C" w:rsidRPr="00300179">
        <w:rPr>
          <w:rFonts w:ascii="Arial Narrow" w:hAnsi="Arial Narrow" w:cs="Arial Narrow"/>
          <w:sz w:val="26"/>
          <w:szCs w:val="26"/>
          <w:lang w:val="es-ES"/>
        </w:rPr>
        <w:t>a</w:t>
      </w:r>
      <w:r w:rsidR="009420CC" w:rsidRPr="00300179">
        <w:rPr>
          <w:rFonts w:ascii="Arial Narrow" w:hAnsi="Arial Narrow" w:cs="Arial Narrow"/>
          <w:sz w:val="26"/>
          <w:szCs w:val="26"/>
          <w:lang w:val="es-ES"/>
        </w:rPr>
        <w:t xml:space="preserve">da en garantía </w:t>
      </w:r>
      <w:r w:rsidRPr="00300179">
        <w:rPr>
          <w:rFonts w:ascii="Arial Narrow" w:hAnsi="Arial Narrow" w:cs="Arial Narrow"/>
          <w:sz w:val="26"/>
          <w:szCs w:val="26"/>
          <w:lang w:val="es-ES"/>
        </w:rPr>
        <w:t>se propuso recurs</w:t>
      </w:r>
      <w:r w:rsidR="00082237" w:rsidRPr="00300179">
        <w:rPr>
          <w:rFonts w:ascii="Arial Narrow" w:hAnsi="Arial Narrow" w:cs="Arial Narrow"/>
          <w:sz w:val="26"/>
          <w:szCs w:val="26"/>
          <w:lang w:val="es-ES"/>
        </w:rPr>
        <w:t>o</w:t>
      </w:r>
      <w:r w:rsidRPr="00300179">
        <w:rPr>
          <w:rFonts w:ascii="Arial Narrow" w:hAnsi="Arial Narrow" w:cs="Arial Narrow"/>
          <w:sz w:val="26"/>
          <w:szCs w:val="26"/>
          <w:lang w:val="es-ES"/>
        </w:rPr>
        <w:t xml:space="preserve"> de reposición </w:t>
      </w:r>
      <w:r w:rsidR="008E3ACE" w:rsidRPr="00300179">
        <w:rPr>
          <w:rFonts w:ascii="Arial Narrow" w:hAnsi="Arial Narrow" w:cs="Arial Narrow"/>
          <w:sz w:val="26"/>
          <w:szCs w:val="26"/>
          <w:lang w:val="es-ES"/>
        </w:rPr>
        <w:t xml:space="preserve">y </w:t>
      </w:r>
      <w:r w:rsidRPr="00300179">
        <w:rPr>
          <w:rFonts w:ascii="Arial Narrow" w:hAnsi="Arial Narrow" w:cs="Arial Narrow"/>
          <w:sz w:val="26"/>
          <w:szCs w:val="26"/>
          <w:lang w:val="es-ES"/>
        </w:rPr>
        <w:t>en subsidio apelación (</w:t>
      </w:r>
      <w:proofErr w:type="spellStart"/>
      <w:r w:rsidRPr="00300179">
        <w:rPr>
          <w:rFonts w:ascii="Arial Narrow" w:hAnsi="Arial Narrow" w:cs="Arial Narrow"/>
          <w:sz w:val="26"/>
          <w:szCs w:val="26"/>
          <w:lang w:val="es-ES"/>
        </w:rPr>
        <w:t>arch</w:t>
      </w:r>
      <w:proofErr w:type="spellEnd"/>
      <w:r w:rsidRPr="00300179">
        <w:rPr>
          <w:rFonts w:ascii="Arial Narrow" w:hAnsi="Arial Narrow" w:cs="Arial Narrow"/>
          <w:sz w:val="26"/>
          <w:szCs w:val="26"/>
          <w:lang w:val="es-ES"/>
        </w:rPr>
        <w:t>. 18 Ib.)</w:t>
      </w:r>
      <w:r w:rsidR="00082237" w:rsidRPr="00300179">
        <w:rPr>
          <w:rFonts w:ascii="Arial Narrow" w:hAnsi="Arial Narrow" w:cs="Arial Narrow"/>
          <w:sz w:val="26"/>
          <w:szCs w:val="26"/>
          <w:lang w:val="es-ES"/>
        </w:rPr>
        <w:t xml:space="preserve"> frente a los dos numerales señalados</w:t>
      </w:r>
      <w:r w:rsidR="00657455" w:rsidRPr="00300179">
        <w:rPr>
          <w:rFonts w:ascii="Arial Narrow" w:hAnsi="Arial Narrow" w:cs="Arial Narrow"/>
          <w:sz w:val="26"/>
          <w:szCs w:val="26"/>
          <w:lang w:val="es-ES"/>
        </w:rPr>
        <w:t>, solicitando “</w:t>
      </w:r>
      <w:r w:rsidR="00657455" w:rsidRPr="00AC4E09">
        <w:rPr>
          <w:rFonts w:ascii="Arial Narrow" w:hAnsi="Arial Narrow" w:cs="Arial Narrow"/>
          <w:sz w:val="24"/>
          <w:szCs w:val="26"/>
          <w:lang w:val="es-ES"/>
        </w:rPr>
        <w:t xml:space="preserve">se abstenga de tener </w:t>
      </w:r>
      <w:r w:rsidR="00657455" w:rsidRPr="00AC4E09">
        <w:rPr>
          <w:rFonts w:ascii="Arial Narrow" w:hAnsi="Arial Narrow" w:cs="Arial Narrow"/>
          <w:sz w:val="24"/>
          <w:szCs w:val="26"/>
          <w:lang w:val="es-ES"/>
        </w:rPr>
        <w:lastRenderedPageBreak/>
        <w:t>por notificada a mi representada en el presente proceso, hasta tanto no se garantice a mi representada el acceso al expediente digital</w:t>
      </w:r>
      <w:r w:rsidR="00657455" w:rsidRPr="00300179">
        <w:rPr>
          <w:rFonts w:ascii="Arial Narrow" w:hAnsi="Arial Narrow" w:cs="Arial Narrow"/>
          <w:sz w:val="26"/>
          <w:szCs w:val="26"/>
          <w:lang w:val="es-ES"/>
        </w:rPr>
        <w:t>”</w:t>
      </w:r>
      <w:r w:rsidR="0079465A" w:rsidRPr="00300179">
        <w:rPr>
          <w:rFonts w:ascii="Arial Narrow" w:hAnsi="Arial Narrow" w:cs="Arial Narrow"/>
          <w:sz w:val="26"/>
          <w:szCs w:val="26"/>
          <w:lang w:val="es-ES"/>
        </w:rPr>
        <w:t>, así como de “</w:t>
      </w:r>
      <w:r w:rsidR="0079465A" w:rsidRPr="00AC4E09">
        <w:rPr>
          <w:rFonts w:ascii="Arial Narrow" w:hAnsi="Arial Narrow" w:cs="Arial Narrow"/>
          <w:sz w:val="24"/>
          <w:szCs w:val="26"/>
          <w:lang w:val="es-ES"/>
        </w:rPr>
        <w:t>computar los respectivos términos de traslado</w:t>
      </w:r>
      <w:r w:rsidR="00E37649" w:rsidRPr="00300179">
        <w:rPr>
          <w:rFonts w:ascii="Arial Narrow" w:hAnsi="Arial Narrow" w:cs="Arial Narrow"/>
          <w:sz w:val="26"/>
          <w:szCs w:val="26"/>
          <w:lang w:val="es-ES"/>
        </w:rPr>
        <w:t>”</w:t>
      </w:r>
      <w:r w:rsidR="0079465A" w:rsidRPr="00300179">
        <w:rPr>
          <w:rFonts w:ascii="Arial Narrow" w:hAnsi="Arial Narrow" w:cs="Arial Narrow"/>
          <w:sz w:val="26"/>
          <w:szCs w:val="26"/>
          <w:lang w:val="es-ES"/>
        </w:rPr>
        <w:t xml:space="preserve">. </w:t>
      </w:r>
      <w:r w:rsidR="00082237" w:rsidRPr="00300179">
        <w:rPr>
          <w:rFonts w:ascii="Arial Narrow" w:hAnsi="Arial Narrow" w:cs="Arial Narrow"/>
          <w:sz w:val="26"/>
          <w:szCs w:val="26"/>
          <w:lang w:val="es-ES"/>
        </w:rPr>
        <w:t>E</w:t>
      </w:r>
      <w:r w:rsidR="005741D4" w:rsidRPr="00300179">
        <w:rPr>
          <w:rFonts w:ascii="Arial Narrow" w:hAnsi="Arial Narrow" w:cs="Arial Narrow"/>
          <w:sz w:val="26"/>
          <w:szCs w:val="26"/>
          <w:lang w:val="es-ES"/>
        </w:rPr>
        <w:t xml:space="preserve">mpezó arguyendo que el despacho se equivocó al afirmar que el acto procesal atacado </w:t>
      </w:r>
      <w:r w:rsidR="00753E04" w:rsidRPr="00300179">
        <w:rPr>
          <w:rFonts w:ascii="Arial Narrow" w:hAnsi="Arial Narrow" w:cs="Arial Narrow"/>
          <w:sz w:val="26"/>
          <w:szCs w:val="26"/>
          <w:lang w:val="es-ES"/>
        </w:rPr>
        <w:t>fue</w:t>
      </w:r>
      <w:r w:rsidR="005741D4" w:rsidRPr="00300179">
        <w:rPr>
          <w:rFonts w:ascii="Arial Narrow" w:hAnsi="Arial Narrow" w:cs="Arial Narrow"/>
          <w:sz w:val="26"/>
          <w:szCs w:val="26"/>
          <w:lang w:val="es-ES"/>
        </w:rPr>
        <w:t xml:space="preserve"> el que admit</w:t>
      </w:r>
      <w:r w:rsidR="00753E04" w:rsidRPr="00300179">
        <w:rPr>
          <w:rFonts w:ascii="Arial Narrow" w:hAnsi="Arial Narrow" w:cs="Arial Narrow"/>
          <w:sz w:val="26"/>
          <w:szCs w:val="26"/>
          <w:lang w:val="es-ES"/>
        </w:rPr>
        <w:t>ió</w:t>
      </w:r>
      <w:r w:rsidR="005741D4" w:rsidRPr="00300179">
        <w:rPr>
          <w:rFonts w:ascii="Arial Narrow" w:hAnsi="Arial Narrow" w:cs="Arial Narrow"/>
          <w:sz w:val="26"/>
          <w:szCs w:val="26"/>
          <w:lang w:val="es-ES"/>
        </w:rPr>
        <w:t xml:space="preserve"> el llamamiento, cuando lo </w:t>
      </w:r>
      <w:r w:rsidR="00753E04" w:rsidRPr="00300179">
        <w:rPr>
          <w:rFonts w:ascii="Arial Narrow" w:hAnsi="Arial Narrow" w:cs="Arial Narrow"/>
          <w:sz w:val="26"/>
          <w:szCs w:val="26"/>
          <w:lang w:val="es-ES"/>
        </w:rPr>
        <w:t>fue</w:t>
      </w:r>
      <w:r w:rsidR="005741D4" w:rsidRPr="00300179">
        <w:rPr>
          <w:rFonts w:ascii="Arial Narrow" w:hAnsi="Arial Narrow" w:cs="Arial Narrow"/>
          <w:sz w:val="26"/>
          <w:szCs w:val="26"/>
          <w:lang w:val="es-ES"/>
        </w:rPr>
        <w:t xml:space="preserve"> el acto de su notificación</w:t>
      </w:r>
      <w:r w:rsidR="00934977" w:rsidRPr="00300179">
        <w:rPr>
          <w:rFonts w:ascii="Arial Narrow" w:hAnsi="Arial Narrow" w:cs="Arial Narrow"/>
          <w:sz w:val="26"/>
          <w:szCs w:val="26"/>
          <w:lang w:val="es-ES"/>
        </w:rPr>
        <w:t>;</w:t>
      </w:r>
      <w:r w:rsidR="005741D4" w:rsidRPr="00300179">
        <w:rPr>
          <w:rFonts w:ascii="Arial Narrow" w:hAnsi="Arial Narrow" w:cs="Arial Narrow"/>
          <w:sz w:val="26"/>
          <w:szCs w:val="26"/>
          <w:lang w:val="es-ES"/>
        </w:rPr>
        <w:t xml:space="preserve"> además que </w:t>
      </w:r>
      <w:r w:rsidR="008E3ACE" w:rsidRPr="00300179">
        <w:rPr>
          <w:rFonts w:ascii="Arial Narrow" w:hAnsi="Arial Narrow" w:cs="Arial Narrow"/>
          <w:sz w:val="26"/>
          <w:szCs w:val="26"/>
          <w:lang w:val="es-ES"/>
        </w:rPr>
        <w:t>é</w:t>
      </w:r>
      <w:r w:rsidR="00753E04" w:rsidRPr="00300179">
        <w:rPr>
          <w:rFonts w:ascii="Arial Narrow" w:hAnsi="Arial Narrow" w:cs="Arial Narrow"/>
          <w:sz w:val="26"/>
          <w:szCs w:val="26"/>
          <w:lang w:val="es-ES"/>
        </w:rPr>
        <w:t>sta</w:t>
      </w:r>
      <w:r w:rsidR="005741D4" w:rsidRPr="00300179">
        <w:rPr>
          <w:rFonts w:ascii="Arial Narrow" w:hAnsi="Arial Narrow" w:cs="Arial Narrow"/>
          <w:sz w:val="26"/>
          <w:szCs w:val="26"/>
          <w:lang w:val="es-ES"/>
        </w:rPr>
        <w:t xml:space="preserve">  </w:t>
      </w:r>
      <w:r w:rsidR="005741D4" w:rsidRPr="00300179">
        <w:rPr>
          <w:rFonts w:ascii="Arial Narrow" w:hAnsi="Arial Narrow" w:cs="Arial Narrow"/>
          <w:i/>
          <w:iCs/>
          <w:sz w:val="26"/>
          <w:szCs w:val="26"/>
          <w:lang w:val="es-ES"/>
        </w:rPr>
        <w:t>“</w:t>
      </w:r>
      <w:r w:rsidR="005741D4" w:rsidRPr="00AC4E09">
        <w:rPr>
          <w:rFonts w:ascii="Arial Narrow" w:hAnsi="Arial Narrow" w:cs="Arial Narrow"/>
          <w:i/>
          <w:iCs/>
          <w:sz w:val="24"/>
          <w:szCs w:val="26"/>
          <w:lang w:val="es-ES"/>
        </w:rPr>
        <w:t>…</w:t>
      </w:r>
      <w:r w:rsidR="00AC4E09" w:rsidRPr="00AC4E09">
        <w:rPr>
          <w:rFonts w:ascii="Arial Narrow" w:hAnsi="Arial Narrow" w:cs="Arial Narrow"/>
          <w:i/>
          <w:iCs/>
          <w:sz w:val="24"/>
          <w:szCs w:val="26"/>
          <w:lang w:val="es-ES"/>
        </w:rPr>
        <w:t xml:space="preserve"> </w:t>
      </w:r>
      <w:r w:rsidR="005741D4" w:rsidRPr="00AC4E09">
        <w:rPr>
          <w:rFonts w:ascii="Arial Narrow" w:hAnsi="Arial Narrow" w:cs="Arial Narrow"/>
          <w:i/>
          <w:iCs/>
          <w:sz w:val="24"/>
          <w:szCs w:val="26"/>
          <w:lang w:val="es-ES"/>
        </w:rPr>
        <w:t xml:space="preserve">pretendió surtirse con el envío únicamente del escrito contentivo del llamamiento en garantía y  sus  anexos, pero  no  se  remitió  copia  del escrito  </w:t>
      </w:r>
      <w:proofErr w:type="spellStart"/>
      <w:r w:rsidR="005741D4" w:rsidRPr="00AC4E09">
        <w:rPr>
          <w:rFonts w:ascii="Arial Narrow" w:hAnsi="Arial Narrow" w:cs="Arial Narrow"/>
          <w:i/>
          <w:iCs/>
          <w:sz w:val="24"/>
          <w:szCs w:val="26"/>
          <w:lang w:val="es-ES"/>
        </w:rPr>
        <w:t>demandatorio</w:t>
      </w:r>
      <w:proofErr w:type="spellEnd"/>
      <w:r w:rsidR="005741D4" w:rsidRPr="00AC4E09">
        <w:rPr>
          <w:rFonts w:ascii="Arial Narrow" w:hAnsi="Arial Narrow" w:cs="Arial Narrow"/>
          <w:i/>
          <w:iCs/>
          <w:sz w:val="24"/>
          <w:szCs w:val="26"/>
          <w:lang w:val="es-ES"/>
        </w:rPr>
        <w:t>, el auto admisorio y la subsanación del mismo si existieren, los respectivos anexos y el auto admisorio de la demanda</w:t>
      </w:r>
      <w:r w:rsidR="005741D4" w:rsidRPr="00AC4E09">
        <w:rPr>
          <w:rFonts w:ascii="Arial Narrow" w:hAnsi="Arial Narrow" w:cs="Arial Narrow"/>
          <w:i/>
          <w:iCs/>
          <w:szCs w:val="26"/>
          <w:lang w:val="es-ES"/>
        </w:rPr>
        <w:t>”</w:t>
      </w:r>
      <w:r w:rsidR="005741D4" w:rsidRPr="00AC4E09">
        <w:rPr>
          <w:rFonts w:ascii="Arial Narrow" w:hAnsi="Arial Narrow" w:cs="Arial Narrow"/>
          <w:szCs w:val="26"/>
          <w:lang w:val="es-ES"/>
        </w:rPr>
        <w:t>, por lo que, aunque Allianz Seguros S.A</w:t>
      </w:r>
      <w:r w:rsidR="004C41A9" w:rsidRPr="00AC4E09">
        <w:rPr>
          <w:rFonts w:ascii="Arial Narrow" w:hAnsi="Arial Narrow" w:cs="Arial Narrow"/>
          <w:szCs w:val="26"/>
          <w:lang w:val="es-ES"/>
        </w:rPr>
        <w:t>.</w:t>
      </w:r>
      <w:r w:rsidR="005741D4" w:rsidRPr="00AC4E09">
        <w:rPr>
          <w:rFonts w:ascii="Arial Narrow" w:hAnsi="Arial Narrow" w:cs="Arial Narrow"/>
          <w:sz w:val="24"/>
          <w:szCs w:val="26"/>
          <w:lang w:val="es-ES"/>
        </w:rPr>
        <w:t xml:space="preserve"> </w:t>
      </w:r>
      <w:r w:rsidR="005741D4" w:rsidRPr="00300179">
        <w:rPr>
          <w:rFonts w:ascii="Arial Narrow" w:hAnsi="Arial Narrow" w:cs="Arial Narrow"/>
          <w:i/>
          <w:iCs/>
          <w:sz w:val="26"/>
          <w:szCs w:val="26"/>
          <w:lang w:val="es-ES"/>
        </w:rPr>
        <w:t>“</w:t>
      </w:r>
      <w:r w:rsidR="005741D4" w:rsidRPr="00E535CE">
        <w:rPr>
          <w:rFonts w:ascii="Arial Narrow" w:hAnsi="Arial Narrow" w:cs="Arial Narrow"/>
          <w:i/>
          <w:iCs/>
          <w:sz w:val="24"/>
          <w:szCs w:val="26"/>
          <w:lang w:val="es-ES"/>
        </w:rPr>
        <w:t>…</w:t>
      </w:r>
      <w:r w:rsidR="00AC4E09" w:rsidRPr="00E535CE">
        <w:rPr>
          <w:rFonts w:ascii="Arial Narrow" w:hAnsi="Arial Narrow" w:cs="Arial Narrow"/>
          <w:i/>
          <w:iCs/>
          <w:sz w:val="24"/>
          <w:szCs w:val="26"/>
          <w:lang w:val="es-ES"/>
        </w:rPr>
        <w:t xml:space="preserve"> </w:t>
      </w:r>
      <w:r w:rsidR="005741D4" w:rsidRPr="00E535CE">
        <w:rPr>
          <w:rFonts w:ascii="Arial Narrow" w:hAnsi="Arial Narrow" w:cs="Arial Narrow"/>
          <w:i/>
          <w:iCs/>
          <w:sz w:val="24"/>
          <w:szCs w:val="26"/>
          <w:lang w:val="es-ES"/>
        </w:rPr>
        <w:t>se  encuentre “enterada de la existencia del proceso” NO significa bajo ninguna circunstancia que el trámite de notificación se hubiere surtido en forma legal. Pues se insiste, tal comunicación debió enviarse con la totalidad de las piezas procesales de las que se corría traslado, lo que no ocurrió en el presente caso</w:t>
      </w:r>
      <w:r w:rsidR="005741D4" w:rsidRPr="00300179">
        <w:rPr>
          <w:rFonts w:ascii="Arial Narrow" w:hAnsi="Arial Narrow" w:cs="Arial Narrow"/>
          <w:i/>
          <w:iCs/>
          <w:sz w:val="26"/>
          <w:szCs w:val="26"/>
          <w:lang w:val="es-ES"/>
        </w:rPr>
        <w:t>.”</w:t>
      </w:r>
    </w:p>
    <w:p w14:paraId="577FE0BC" w14:textId="77777777" w:rsidR="004C41A9" w:rsidRPr="00300179" w:rsidRDefault="004C41A9" w:rsidP="00300179">
      <w:pPr>
        <w:pStyle w:val="Textoindependiente"/>
        <w:spacing w:line="276" w:lineRule="auto"/>
        <w:ind w:right="157"/>
        <w:rPr>
          <w:rFonts w:ascii="Arial Narrow" w:hAnsi="Arial Narrow" w:cs="Arial Narrow"/>
          <w:i/>
          <w:iCs/>
          <w:sz w:val="26"/>
          <w:szCs w:val="26"/>
          <w:lang w:val="es-ES"/>
        </w:rPr>
      </w:pPr>
    </w:p>
    <w:p w14:paraId="74B5B061" w14:textId="43F2DFC8" w:rsidR="00934977" w:rsidRPr="00300179" w:rsidRDefault="00934977" w:rsidP="00300179">
      <w:pPr>
        <w:pStyle w:val="Textoindependiente"/>
        <w:spacing w:line="276" w:lineRule="auto"/>
        <w:ind w:right="157"/>
        <w:rPr>
          <w:rFonts w:ascii="Arial Narrow" w:hAnsi="Arial Narrow" w:cs="Arial Narrow"/>
          <w:sz w:val="26"/>
          <w:szCs w:val="26"/>
          <w:lang w:val="es-ES"/>
        </w:rPr>
      </w:pPr>
      <w:r w:rsidRPr="00300179">
        <w:rPr>
          <w:rFonts w:ascii="Arial Narrow" w:hAnsi="Arial Narrow" w:cs="Arial Narrow"/>
          <w:i/>
          <w:iCs/>
          <w:sz w:val="26"/>
          <w:szCs w:val="26"/>
          <w:lang w:val="es-ES"/>
        </w:rPr>
        <w:t xml:space="preserve"> </w:t>
      </w:r>
      <w:r w:rsidRPr="00300179">
        <w:rPr>
          <w:rFonts w:ascii="Arial Narrow" w:hAnsi="Arial Narrow" w:cs="Arial Narrow"/>
          <w:sz w:val="26"/>
          <w:szCs w:val="26"/>
          <w:lang w:val="es-ES"/>
        </w:rPr>
        <w:t xml:space="preserve">El traslado </w:t>
      </w:r>
      <w:r w:rsidR="00753E04" w:rsidRPr="00300179">
        <w:rPr>
          <w:rFonts w:ascii="Arial Narrow" w:hAnsi="Arial Narrow" w:cs="Arial Narrow"/>
          <w:sz w:val="26"/>
          <w:szCs w:val="26"/>
          <w:lang w:val="es-ES"/>
        </w:rPr>
        <w:t xml:space="preserve">de los recursos </w:t>
      </w:r>
      <w:r w:rsidRPr="00300179">
        <w:rPr>
          <w:rFonts w:ascii="Arial Narrow" w:hAnsi="Arial Narrow" w:cs="Arial Narrow"/>
          <w:sz w:val="26"/>
          <w:szCs w:val="26"/>
          <w:lang w:val="es-ES"/>
        </w:rPr>
        <w:t>se surtió sin pronunciamiento de otros intervinientes (f. 1 archivo 19, Ib.).</w:t>
      </w:r>
    </w:p>
    <w:p w14:paraId="20B54E3F" w14:textId="77777777" w:rsidR="00934977" w:rsidRPr="00300179" w:rsidRDefault="00934977" w:rsidP="00300179">
      <w:pPr>
        <w:pStyle w:val="Textoindependiente"/>
        <w:spacing w:line="276" w:lineRule="auto"/>
        <w:ind w:right="157"/>
        <w:rPr>
          <w:rFonts w:ascii="Arial Narrow" w:hAnsi="Arial Narrow" w:cs="Arial Narrow"/>
          <w:sz w:val="26"/>
          <w:szCs w:val="26"/>
          <w:lang w:val="es-ES"/>
        </w:rPr>
      </w:pPr>
    </w:p>
    <w:p w14:paraId="2386095D" w14:textId="64C547C3" w:rsidR="00F3296F" w:rsidRPr="00300179" w:rsidRDefault="00753E04" w:rsidP="00300179">
      <w:pPr>
        <w:pStyle w:val="Textoindependiente"/>
        <w:spacing w:line="276" w:lineRule="auto"/>
        <w:ind w:right="157"/>
        <w:rPr>
          <w:rFonts w:ascii="Arial Narrow" w:hAnsi="Arial Narrow" w:cs="Arial Narrow"/>
          <w:sz w:val="26"/>
          <w:szCs w:val="26"/>
          <w:lang w:val="es-ES"/>
        </w:rPr>
      </w:pPr>
      <w:r w:rsidRPr="00300179">
        <w:rPr>
          <w:rFonts w:ascii="Arial Narrow" w:hAnsi="Arial Narrow" w:cs="Arial Narrow"/>
          <w:sz w:val="26"/>
          <w:szCs w:val="26"/>
          <w:lang w:val="es-ES"/>
        </w:rPr>
        <w:t xml:space="preserve">La providencia </w:t>
      </w:r>
      <w:r w:rsidR="00136E59" w:rsidRPr="00300179">
        <w:rPr>
          <w:rFonts w:ascii="Arial Narrow" w:hAnsi="Arial Narrow" w:cs="Arial Narrow"/>
          <w:sz w:val="26"/>
          <w:szCs w:val="26"/>
          <w:lang w:val="es-ES"/>
        </w:rPr>
        <w:t>se repuso</w:t>
      </w:r>
      <w:r w:rsidR="002B6382" w:rsidRPr="00300179">
        <w:rPr>
          <w:rFonts w:ascii="Arial Narrow" w:hAnsi="Arial Narrow" w:cs="Arial Narrow"/>
          <w:sz w:val="26"/>
          <w:szCs w:val="26"/>
          <w:lang w:val="es-ES"/>
        </w:rPr>
        <w:t xml:space="preserve"> (auto del 23 de junio de 2021)</w:t>
      </w:r>
      <w:r w:rsidR="00136E59" w:rsidRPr="00300179">
        <w:rPr>
          <w:rFonts w:ascii="Arial Narrow" w:hAnsi="Arial Narrow" w:cs="Arial Narrow"/>
          <w:sz w:val="26"/>
          <w:szCs w:val="26"/>
          <w:lang w:val="es-ES"/>
        </w:rPr>
        <w:t>, entendie</w:t>
      </w:r>
      <w:r w:rsidR="00F617DD" w:rsidRPr="00300179">
        <w:rPr>
          <w:rFonts w:ascii="Arial Narrow" w:hAnsi="Arial Narrow" w:cs="Arial Narrow"/>
          <w:sz w:val="26"/>
          <w:szCs w:val="26"/>
          <w:lang w:val="es-ES"/>
        </w:rPr>
        <w:t>n</w:t>
      </w:r>
      <w:r w:rsidR="00136E59" w:rsidRPr="00300179">
        <w:rPr>
          <w:rFonts w:ascii="Arial Narrow" w:hAnsi="Arial Narrow" w:cs="Arial Narrow"/>
          <w:sz w:val="26"/>
          <w:szCs w:val="26"/>
          <w:lang w:val="es-ES"/>
        </w:rPr>
        <w:t>do que la nulidad estaba dirigida a declarar viciado el acto procesal de la notificación de la admisión del llamamiento en garantía; respecto a</w:t>
      </w:r>
      <w:r w:rsidRPr="00300179">
        <w:rPr>
          <w:rFonts w:ascii="Arial Narrow" w:hAnsi="Arial Narrow" w:cs="Arial Narrow"/>
          <w:sz w:val="26"/>
          <w:szCs w:val="26"/>
          <w:lang w:val="es-ES"/>
        </w:rPr>
        <w:t>l</w:t>
      </w:r>
      <w:r w:rsidR="00136E59" w:rsidRPr="00300179">
        <w:rPr>
          <w:rFonts w:ascii="Arial Narrow" w:hAnsi="Arial Narrow" w:cs="Arial Narrow"/>
          <w:sz w:val="26"/>
          <w:szCs w:val="26"/>
          <w:lang w:val="es-ES"/>
        </w:rPr>
        <w:t xml:space="preserve"> vicio en sí mismo</w:t>
      </w:r>
      <w:r w:rsidRPr="00300179">
        <w:rPr>
          <w:rFonts w:ascii="Arial Narrow" w:hAnsi="Arial Narrow" w:cs="Arial Narrow"/>
          <w:sz w:val="26"/>
          <w:szCs w:val="26"/>
          <w:lang w:val="es-ES"/>
        </w:rPr>
        <w:t>,</w:t>
      </w:r>
      <w:r w:rsidR="00136E59" w:rsidRPr="00300179">
        <w:rPr>
          <w:rFonts w:ascii="Arial Narrow" w:hAnsi="Arial Narrow" w:cs="Arial Narrow"/>
          <w:sz w:val="26"/>
          <w:szCs w:val="26"/>
          <w:lang w:val="es-ES"/>
        </w:rPr>
        <w:t xml:space="preserve"> se afirmó: “</w:t>
      </w:r>
      <w:r w:rsidR="00136E59" w:rsidRPr="00E535CE">
        <w:rPr>
          <w:rFonts w:ascii="Arial Narrow" w:hAnsi="Arial Narrow" w:cs="Arial Narrow"/>
          <w:i/>
          <w:iCs/>
          <w:sz w:val="24"/>
          <w:szCs w:val="26"/>
          <w:lang w:val="es-ES"/>
        </w:rPr>
        <w:t>…</w:t>
      </w:r>
      <w:r w:rsidR="00E535CE" w:rsidRPr="00E535CE">
        <w:rPr>
          <w:rFonts w:ascii="Arial Narrow" w:hAnsi="Arial Narrow" w:cs="Arial Narrow"/>
          <w:i/>
          <w:iCs/>
          <w:sz w:val="24"/>
          <w:szCs w:val="26"/>
          <w:lang w:val="es-ES"/>
        </w:rPr>
        <w:t xml:space="preserve"> </w:t>
      </w:r>
      <w:r w:rsidR="00136E59" w:rsidRPr="00E535CE">
        <w:rPr>
          <w:rFonts w:ascii="Arial Narrow" w:hAnsi="Arial Narrow" w:cs="Arial Narrow"/>
          <w:i/>
          <w:iCs/>
          <w:sz w:val="24"/>
          <w:szCs w:val="26"/>
          <w:lang w:val="es-ES"/>
        </w:rPr>
        <w:t>el  Juzgado  se  sostiene  en  que  la  causal  de nulidad que se propone no se configura, puesto que la notificación mediante el envío al correo electrónico de Allianz Seguros, cumplió su fin, tanto así que, si no se hubiere dado, dicha aseguradora no hubiera comparecido al proceso a ejercer su defensa</w:t>
      </w:r>
      <w:r w:rsidR="00136E59" w:rsidRPr="00300179">
        <w:rPr>
          <w:rFonts w:ascii="Arial Narrow" w:hAnsi="Arial Narrow" w:cs="Arial Narrow"/>
          <w:i/>
          <w:iCs/>
          <w:sz w:val="26"/>
          <w:szCs w:val="26"/>
          <w:lang w:val="es-ES"/>
        </w:rPr>
        <w:t>.”</w:t>
      </w:r>
      <w:r w:rsidR="00F617DD" w:rsidRPr="00300179">
        <w:rPr>
          <w:rFonts w:ascii="Arial Narrow" w:hAnsi="Arial Narrow" w:cs="Arial Narrow"/>
          <w:i/>
          <w:iCs/>
          <w:sz w:val="26"/>
          <w:szCs w:val="26"/>
          <w:lang w:val="es-ES"/>
        </w:rPr>
        <w:t xml:space="preserve"> </w:t>
      </w:r>
      <w:r w:rsidR="00F617DD" w:rsidRPr="00300179">
        <w:rPr>
          <w:rFonts w:ascii="Arial Narrow" w:hAnsi="Arial Narrow" w:cs="Arial Narrow"/>
          <w:sz w:val="26"/>
          <w:szCs w:val="26"/>
          <w:lang w:val="es-ES"/>
        </w:rPr>
        <w:t>(</w:t>
      </w:r>
      <w:proofErr w:type="spellStart"/>
      <w:r w:rsidR="00F617DD" w:rsidRPr="00300179">
        <w:rPr>
          <w:rFonts w:ascii="Arial Narrow" w:hAnsi="Arial Narrow" w:cs="Arial Narrow"/>
          <w:sz w:val="26"/>
          <w:szCs w:val="26"/>
          <w:lang w:val="es-ES"/>
        </w:rPr>
        <w:t>arch</w:t>
      </w:r>
      <w:proofErr w:type="spellEnd"/>
      <w:r w:rsidR="00F617DD" w:rsidRPr="00300179">
        <w:rPr>
          <w:rFonts w:ascii="Arial Narrow" w:hAnsi="Arial Narrow" w:cs="Arial Narrow"/>
          <w:sz w:val="26"/>
          <w:szCs w:val="26"/>
          <w:lang w:val="es-ES"/>
        </w:rPr>
        <w:t xml:space="preserve">. 19, </w:t>
      </w:r>
      <w:proofErr w:type="spellStart"/>
      <w:r w:rsidR="00F617DD" w:rsidRPr="00300179">
        <w:rPr>
          <w:rFonts w:ascii="Arial Narrow" w:hAnsi="Arial Narrow" w:cs="Arial Narrow"/>
          <w:sz w:val="26"/>
          <w:szCs w:val="26"/>
          <w:lang w:val="es-ES"/>
        </w:rPr>
        <w:t>ff</w:t>
      </w:r>
      <w:proofErr w:type="spellEnd"/>
      <w:r w:rsidR="00F617DD" w:rsidRPr="00300179">
        <w:rPr>
          <w:rFonts w:ascii="Arial Narrow" w:hAnsi="Arial Narrow" w:cs="Arial Narrow"/>
          <w:sz w:val="26"/>
          <w:szCs w:val="26"/>
          <w:lang w:val="es-ES"/>
        </w:rPr>
        <w:t>. 2 a 5 a Ib.)</w:t>
      </w:r>
      <w:r w:rsidR="00FD7417" w:rsidRPr="00300179">
        <w:rPr>
          <w:rFonts w:ascii="Arial Narrow" w:hAnsi="Arial Narrow" w:cs="Arial Narrow"/>
          <w:sz w:val="26"/>
          <w:szCs w:val="26"/>
          <w:lang w:val="es-ES"/>
        </w:rPr>
        <w:t xml:space="preserve">. </w:t>
      </w:r>
      <w:r w:rsidR="008721D1" w:rsidRPr="00300179">
        <w:rPr>
          <w:rFonts w:ascii="Arial Narrow" w:hAnsi="Arial Narrow" w:cs="Arial Narrow"/>
          <w:sz w:val="26"/>
          <w:szCs w:val="26"/>
          <w:lang w:val="es-ES"/>
        </w:rPr>
        <w:t xml:space="preserve">Por ello, en últimas, </w:t>
      </w:r>
      <w:r w:rsidR="00D4637E" w:rsidRPr="00300179">
        <w:rPr>
          <w:rFonts w:ascii="Arial Narrow" w:hAnsi="Arial Narrow" w:cs="Arial Narrow"/>
          <w:sz w:val="26"/>
          <w:szCs w:val="26"/>
          <w:lang w:val="es-ES"/>
        </w:rPr>
        <w:t xml:space="preserve">se mantuvieron los ordinales 1º y 2º, y se concedió la alzada subsidiaria en el </w:t>
      </w:r>
      <w:r w:rsidR="00FD7417" w:rsidRPr="00300179">
        <w:rPr>
          <w:rFonts w:ascii="Arial Narrow" w:hAnsi="Arial Narrow" w:cs="Arial Narrow"/>
          <w:sz w:val="26"/>
          <w:szCs w:val="26"/>
          <w:lang w:val="es-ES"/>
        </w:rPr>
        <w:t>efecto devolutivo</w:t>
      </w:r>
      <w:r w:rsidR="006D4808" w:rsidRPr="00300179">
        <w:rPr>
          <w:rFonts w:ascii="Arial Narrow" w:hAnsi="Arial Narrow" w:cs="Arial Narrow"/>
          <w:sz w:val="26"/>
          <w:szCs w:val="26"/>
          <w:lang w:val="es-ES"/>
        </w:rPr>
        <w:t>.</w:t>
      </w:r>
    </w:p>
    <w:p w14:paraId="15B17F99" w14:textId="5578CBED" w:rsidR="00F024B5" w:rsidRPr="00300179" w:rsidRDefault="00F024B5" w:rsidP="00300179">
      <w:pPr>
        <w:spacing w:line="276" w:lineRule="auto"/>
        <w:jc w:val="both"/>
        <w:rPr>
          <w:rFonts w:ascii="Arial Narrow" w:hAnsi="Arial Narrow"/>
          <w:sz w:val="26"/>
          <w:szCs w:val="26"/>
          <w:lang w:val="es-ES"/>
        </w:rPr>
      </w:pPr>
    </w:p>
    <w:p w14:paraId="1634178B" w14:textId="1A08ED05" w:rsidR="00F024B5" w:rsidRPr="00300179" w:rsidRDefault="00753E04" w:rsidP="00300179">
      <w:pPr>
        <w:spacing w:line="276" w:lineRule="auto"/>
        <w:jc w:val="center"/>
        <w:rPr>
          <w:rFonts w:ascii="Arial Narrow" w:hAnsi="Arial Narrow"/>
          <w:b/>
          <w:bCs/>
          <w:sz w:val="26"/>
          <w:szCs w:val="26"/>
        </w:rPr>
      </w:pPr>
      <w:r w:rsidRPr="00300179">
        <w:rPr>
          <w:rFonts w:ascii="Arial Narrow" w:hAnsi="Arial Narrow"/>
          <w:b/>
          <w:bCs/>
          <w:sz w:val="26"/>
          <w:szCs w:val="26"/>
        </w:rPr>
        <w:t>Consideraciones</w:t>
      </w:r>
    </w:p>
    <w:p w14:paraId="47179C83" w14:textId="77777777" w:rsidR="00F024B5" w:rsidRPr="00300179" w:rsidRDefault="00F024B5" w:rsidP="00300179">
      <w:pPr>
        <w:spacing w:line="276" w:lineRule="auto"/>
        <w:jc w:val="center"/>
        <w:rPr>
          <w:rFonts w:ascii="Arial Narrow" w:hAnsi="Arial Narrow"/>
          <w:b/>
          <w:bCs/>
          <w:sz w:val="26"/>
          <w:szCs w:val="26"/>
        </w:rPr>
      </w:pPr>
    </w:p>
    <w:p w14:paraId="652353A6" w14:textId="77777777" w:rsidR="005805E6" w:rsidRPr="00300179" w:rsidRDefault="00452BFC" w:rsidP="00300179">
      <w:pPr>
        <w:pStyle w:val="Sinespaciado"/>
        <w:spacing w:line="276" w:lineRule="auto"/>
        <w:jc w:val="both"/>
        <w:rPr>
          <w:rFonts w:ascii="Arial Narrow" w:hAnsi="Arial Narrow"/>
          <w:bCs/>
          <w:sz w:val="26"/>
          <w:szCs w:val="26"/>
          <w:lang w:val="es-MX"/>
        </w:rPr>
      </w:pPr>
      <w:r w:rsidRPr="00300179">
        <w:rPr>
          <w:rFonts w:ascii="Arial Narrow" w:hAnsi="Arial Narrow"/>
          <w:b/>
          <w:bCs/>
          <w:sz w:val="26"/>
          <w:szCs w:val="26"/>
        </w:rPr>
        <w:t>1</w:t>
      </w:r>
      <w:r w:rsidR="009847CD" w:rsidRPr="00300179">
        <w:rPr>
          <w:rFonts w:ascii="Arial Narrow" w:hAnsi="Arial Narrow"/>
          <w:b/>
          <w:bCs/>
          <w:sz w:val="26"/>
          <w:szCs w:val="26"/>
        </w:rPr>
        <w:t>-</w:t>
      </w:r>
      <w:r w:rsidRPr="00300179">
        <w:rPr>
          <w:rFonts w:ascii="Arial Narrow" w:hAnsi="Arial Narrow"/>
          <w:b/>
          <w:bCs/>
          <w:sz w:val="26"/>
          <w:szCs w:val="26"/>
        </w:rPr>
        <w:t>.</w:t>
      </w:r>
      <w:r w:rsidR="009847CD" w:rsidRPr="00300179">
        <w:rPr>
          <w:rFonts w:ascii="Arial Narrow" w:hAnsi="Arial Narrow"/>
          <w:sz w:val="26"/>
          <w:szCs w:val="26"/>
        </w:rPr>
        <w:t xml:space="preserve"> </w:t>
      </w:r>
      <w:r w:rsidR="00767143" w:rsidRPr="00300179">
        <w:rPr>
          <w:rFonts w:ascii="Arial Narrow" w:hAnsi="Arial Narrow"/>
          <w:sz w:val="26"/>
          <w:szCs w:val="26"/>
        </w:rPr>
        <w:t xml:space="preserve"> </w:t>
      </w:r>
      <w:r w:rsidR="005805E6" w:rsidRPr="00300179">
        <w:rPr>
          <w:rFonts w:ascii="Arial Narrow" w:hAnsi="Arial Narrow"/>
          <w:bCs/>
          <w:sz w:val="26"/>
          <w:szCs w:val="26"/>
          <w:lang w:val="es-MX"/>
        </w:rPr>
        <w:t xml:space="preserve">Los recursos son las herramientas adjetivas con que cuenta las partes para controvertir las decisiones de los jueces o magistrados; para su trámite y estudió de fondo, deben cumplir ciertos requisitos; la doctrina los ha establecido en: </w:t>
      </w:r>
      <w:r w:rsidR="005805E6" w:rsidRPr="00300179">
        <w:rPr>
          <w:rFonts w:ascii="Arial Narrow" w:hAnsi="Arial Narrow"/>
          <w:b/>
          <w:sz w:val="26"/>
          <w:szCs w:val="26"/>
          <w:lang w:val="es-MX"/>
        </w:rPr>
        <w:t>(i)</w:t>
      </w:r>
      <w:r w:rsidR="005805E6" w:rsidRPr="00300179">
        <w:rPr>
          <w:rFonts w:ascii="Arial Narrow" w:hAnsi="Arial Narrow"/>
          <w:bCs/>
          <w:sz w:val="26"/>
          <w:szCs w:val="26"/>
          <w:lang w:val="es-MX"/>
        </w:rPr>
        <w:t xml:space="preserve"> legitimación, </w:t>
      </w:r>
      <w:r w:rsidR="005805E6" w:rsidRPr="00300179">
        <w:rPr>
          <w:rFonts w:ascii="Arial Narrow" w:hAnsi="Arial Narrow"/>
          <w:b/>
          <w:sz w:val="26"/>
          <w:szCs w:val="26"/>
          <w:lang w:val="es-MX"/>
        </w:rPr>
        <w:t>(ii)</w:t>
      </w:r>
      <w:r w:rsidR="005805E6" w:rsidRPr="00300179">
        <w:rPr>
          <w:rFonts w:ascii="Arial Narrow" w:hAnsi="Arial Narrow"/>
          <w:bCs/>
          <w:sz w:val="26"/>
          <w:szCs w:val="26"/>
          <w:lang w:val="es-MX"/>
        </w:rPr>
        <w:t xml:space="preserve"> interés para recurrir, </w:t>
      </w:r>
      <w:r w:rsidR="005805E6" w:rsidRPr="00300179">
        <w:rPr>
          <w:rFonts w:ascii="Arial Narrow" w:hAnsi="Arial Narrow"/>
          <w:b/>
          <w:sz w:val="26"/>
          <w:szCs w:val="26"/>
          <w:lang w:val="es-MX"/>
        </w:rPr>
        <w:t>(iii)</w:t>
      </w:r>
      <w:r w:rsidR="005805E6" w:rsidRPr="00300179">
        <w:rPr>
          <w:rFonts w:ascii="Arial Narrow" w:hAnsi="Arial Narrow"/>
          <w:bCs/>
          <w:sz w:val="26"/>
          <w:szCs w:val="26"/>
          <w:lang w:val="es-MX"/>
        </w:rPr>
        <w:t xml:space="preserve"> oportunidad, </w:t>
      </w:r>
      <w:r w:rsidR="005805E6" w:rsidRPr="00300179">
        <w:rPr>
          <w:rFonts w:ascii="Arial Narrow" w:hAnsi="Arial Narrow"/>
          <w:b/>
          <w:sz w:val="26"/>
          <w:szCs w:val="26"/>
          <w:lang w:val="es-MX"/>
        </w:rPr>
        <w:t>(iv)</w:t>
      </w:r>
      <w:r w:rsidR="005805E6" w:rsidRPr="00300179">
        <w:rPr>
          <w:rFonts w:ascii="Arial Narrow" w:hAnsi="Arial Narrow"/>
          <w:bCs/>
          <w:sz w:val="26"/>
          <w:szCs w:val="26"/>
          <w:lang w:val="es-MX"/>
        </w:rPr>
        <w:t xml:space="preserve"> sustentación, </w:t>
      </w:r>
      <w:r w:rsidR="005805E6" w:rsidRPr="00300179">
        <w:rPr>
          <w:rFonts w:ascii="Arial Narrow" w:hAnsi="Arial Narrow"/>
          <w:b/>
          <w:sz w:val="26"/>
          <w:szCs w:val="26"/>
          <w:lang w:val="es-MX"/>
        </w:rPr>
        <w:t>(v)</w:t>
      </w:r>
      <w:r w:rsidR="005805E6" w:rsidRPr="00300179">
        <w:rPr>
          <w:rFonts w:ascii="Arial Narrow" w:hAnsi="Arial Narrow"/>
          <w:bCs/>
          <w:sz w:val="26"/>
          <w:szCs w:val="26"/>
          <w:lang w:val="es-MX"/>
        </w:rPr>
        <w:t xml:space="preserve"> cumplimiento de cargas procesales y </w:t>
      </w:r>
      <w:r w:rsidR="005805E6" w:rsidRPr="00300179">
        <w:rPr>
          <w:rFonts w:ascii="Arial Narrow" w:hAnsi="Arial Narrow"/>
          <w:b/>
          <w:sz w:val="26"/>
          <w:szCs w:val="26"/>
          <w:lang w:val="es-MX"/>
        </w:rPr>
        <w:t>(vi)</w:t>
      </w:r>
      <w:r w:rsidR="005805E6" w:rsidRPr="00300179">
        <w:rPr>
          <w:rFonts w:ascii="Arial Narrow" w:hAnsi="Arial Narrow"/>
          <w:bCs/>
          <w:sz w:val="26"/>
          <w:szCs w:val="26"/>
          <w:lang w:val="es-MX"/>
        </w:rPr>
        <w:t xml:space="preserve"> procedencia</w:t>
      </w:r>
      <w:r w:rsidR="005805E6" w:rsidRPr="00300179">
        <w:rPr>
          <w:rStyle w:val="Refdenotaalpie"/>
          <w:rFonts w:ascii="Arial Narrow" w:hAnsi="Arial Narrow"/>
          <w:bCs/>
          <w:sz w:val="26"/>
          <w:szCs w:val="26"/>
          <w:lang w:val="es-MX"/>
        </w:rPr>
        <w:footnoteReference w:id="2"/>
      </w:r>
      <w:r w:rsidR="005805E6" w:rsidRPr="00300179">
        <w:rPr>
          <w:rFonts w:ascii="Arial Narrow" w:hAnsi="Arial Narrow"/>
          <w:bCs/>
          <w:sz w:val="26"/>
          <w:szCs w:val="26"/>
          <w:lang w:val="es-MX"/>
        </w:rPr>
        <w:t xml:space="preserve">. </w:t>
      </w:r>
    </w:p>
    <w:p w14:paraId="2396097D" w14:textId="03450CA6" w:rsidR="005805E6" w:rsidRPr="00300179" w:rsidRDefault="005805E6" w:rsidP="00300179">
      <w:pPr>
        <w:autoSpaceDE w:val="0"/>
        <w:autoSpaceDN w:val="0"/>
        <w:adjustRightInd w:val="0"/>
        <w:spacing w:line="276" w:lineRule="auto"/>
        <w:jc w:val="both"/>
        <w:rPr>
          <w:rFonts w:ascii="Arial Narrow" w:hAnsi="Arial Narrow"/>
          <w:sz w:val="26"/>
          <w:szCs w:val="26"/>
        </w:rPr>
      </w:pPr>
    </w:p>
    <w:p w14:paraId="03E53D5C" w14:textId="77777777" w:rsidR="009C169B" w:rsidRPr="00300179" w:rsidRDefault="005805E6" w:rsidP="00300179">
      <w:pPr>
        <w:autoSpaceDE w:val="0"/>
        <w:autoSpaceDN w:val="0"/>
        <w:adjustRightInd w:val="0"/>
        <w:spacing w:line="276" w:lineRule="auto"/>
        <w:jc w:val="both"/>
        <w:rPr>
          <w:rFonts w:ascii="Arial Narrow" w:hAnsi="Arial Narrow"/>
          <w:sz w:val="26"/>
          <w:szCs w:val="26"/>
        </w:rPr>
      </w:pPr>
      <w:r w:rsidRPr="00300179">
        <w:rPr>
          <w:rFonts w:ascii="Arial Narrow" w:hAnsi="Arial Narrow"/>
          <w:sz w:val="26"/>
          <w:szCs w:val="26"/>
        </w:rPr>
        <w:t>En este caso</w:t>
      </w:r>
      <w:r w:rsidR="00CF11AD" w:rsidRPr="00300179">
        <w:rPr>
          <w:rFonts w:ascii="Arial Narrow" w:hAnsi="Arial Narrow"/>
          <w:sz w:val="26"/>
          <w:szCs w:val="26"/>
        </w:rPr>
        <w:t xml:space="preserve"> son dos las decisiones apeladas, y merecen examen </w:t>
      </w:r>
      <w:r w:rsidR="009C169B" w:rsidRPr="00300179">
        <w:rPr>
          <w:rFonts w:ascii="Arial Narrow" w:hAnsi="Arial Narrow"/>
          <w:sz w:val="26"/>
          <w:szCs w:val="26"/>
        </w:rPr>
        <w:t>separado.</w:t>
      </w:r>
    </w:p>
    <w:p w14:paraId="331F5003" w14:textId="77777777" w:rsidR="009C169B" w:rsidRPr="00300179" w:rsidRDefault="009C169B" w:rsidP="00300179">
      <w:pPr>
        <w:autoSpaceDE w:val="0"/>
        <w:autoSpaceDN w:val="0"/>
        <w:adjustRightInd w:val="0"/>
        <w:spacing w:line="276" w:lineRule="auto"/>
        <w:jc w:val="both"/>
        <w:rPr>
          <w:rFonts w:ascii="Arial Narrow" w:hAnsi="Arial Narrow"/>
          <w:sz w:val="26"/>
          <w:szCs w:val="26"/>
        </w:rPr>
      </w:pPr>
    </w:p>
    <w:p w14:paraId="461117C5" w14:textId="12C949A4" w:rsidR="00565130" w:rsidRPr="00300179" w:rsidRDefault="009C169B" w:rsidP="00300179">
      <w:pPr>
        <w:autoSpaceDE w:val="0"/>
        <w:autoSpaceDN w:val="0"/>
        <w:adjustRightInd w:val="0"/>
        <w:spacing w:line="276" w:lineRule="auto"/>
        <w:jc w:val="both"/>
        <w:rPr>
          <w:rFonts w:ascii="Arial Narrow" w:hAnsi="Arial Narrow"/>
          <w:sz w:val="26"/>
          <w:szCs w:val="26"/>
        </w:rPr>
      </w:pPr>
      <w:r w:rsidRPr="00300179">
        <w:rPr>
          <w:rFonts w:ascii="Arial Narrow" w:hAnsi="Arial Narrow"/>
          <w:sz w:val="26"/>
          <w:szCs w:val="26"/>
        </w:rPr>
        <w:t xml:space="preserve">En el numeral 1º de la parte resolutiva del auto apelado se negó </w:t>
      </w:r>
      <w:r w:rsidR="007E6704" w:rsidRPr="00300179">
        <w:rPr>
          <w:rFonts w:ascii="Arial Narrow" w:hAnsi="Arial Narrow"/>
          <w:sz w:val="26"/>
          <w:szCs w:val="26"/>
        </w:rPr>
        <w:t>una</w:t>
      </w:r>
      <w:r w:rsidRPr="00300179">
        <w:rPr>
          <w:rFonts w:ascii="Arial Narrow" w:hAnsi="Arial Narrow"/>
          <w:sz w:val="26"/>
          <w:szCs w:val="26"/>
        </w:rPr>
        <w:t xml:space="preserve"> nulidad procesal</w:t>
      </w:r>
      <w:r w:rsidR="00DC7F5D" w:rsidRPr="00300179">
        <w:rPr>
          <w:rFonts w:ascii="Arial Narrow" w:hAnsi="Arial Narrow"/>
          <w:sz w:val="26"/>
          <w:szCs w:val="26"/>
        </w:rPr>
        <w:t>. Frente a es</w:t>
      </w:r>
      <w:r w:rsidR="00E12CDC" w:rsidRPr="00300179">
        <w:rPr>
          <w:rFonts w:ascii="Arial Narrow" w:hAnsi="Arial Narrow"/>
          <w:sz w:val="26"/>
          <w:szCs w:val="26"/>
        </w:rPr>
        <w:t xml:space="preserve">a decisión </w:t>
      </w:r>
      <w:r w:rsidR="005805E6" w:rsidRPr="00300179">
        <w:rPr>
          <w:rFonts w:ascii="Arial Narrow" w:hAnsi="Arial Narrow"/>
          <w:sz w:val="26"/>
          <w:szCs w:val="26"/>
        </w:rPr>
        <w:t xml:space="preserve">se </w:t>
      </w:r>
      <w:r w:rsidR="00E12CDC" w:rsidRPr="00300179">
        <w:rPr>
          <w:rFonts w:ascii="Arial Narrow" w:hAnsi="Arial Narrow"/>
          <w:sz w:val="26"/>
          <w:szCs w:val="26"/>
        </w:rPr>
        <w:t>reúnen todos los requisitos para un pronunciamiento de fondo</w:t>
      </w:r>
      <w:r w:rsidR="005805E6" w:rsidRPr="00300179">
        <w:rPr>
          <w:rFonts w:ascii="Arial Narrow" w:hAnsi="Arial Narrow"/>
          <w:sz w:val="26"/>
          <w:szCs w:val="26"/>
        </w:rPr>
        <w:t xml:space="preserve">: quien propone la apelación es </w:t>
      </w:r>
      <w:r w:rsidR="0036685D" w:rsidRPr="00300179">
        <w:rPr>
          <w:rFonts w:ascii="Arial Narrow" w:hAnsi="Arial Narrow"/>
          <w:sz w:val="26"/>
          <w:szCs w:val="26"/>
        </w:rPr>
        <w:t xml:space="preserve">el </w:t>
      </w:r>
      <w:r w:rsidR="00FE398E" w:rsidRPr="00300179">
        <w:rPr>
          <w:rFonts w:ascii="Arial Narrow" w:hAnsi="Arial Narrow"/>
          <w:sz w:val="26"/>
          <w:szCs w:val="26"/>
        </w:rPr>
        <w:t>llamado en garantía qu</w:t>
      </w:r>
      <w:r w:rsidR="005A6667" w:rsidRPr="00300179">
        <w:rPr>
          <w:rFonts w:ascii="Arial Narrow" w:hAnsi="Arial Narrow"/>
          <w:sz w:val="26"/>
          <w:szCs w:val="26"/>
        </w:rPr>
        <w:t xml:space="preserve">e </w:t>
      </w:r>
      <w:r w:rsidR="00FE398E" w:rsidRPr="00300179">
        <w:rPr>
          <w:rFonts w:ascii="Arial Narrow" w:hAnsi="Arial Narrow"/>
          <w:sz w:val="26"/>
          <w:szCs w:val="26"/>
        </w:rPr>
        <w:t xml:space="preserve">alega </w:t>
      </w:r>
      <w:r w:rsidR="005805E6" w:rsidRPr="00300179">
        <w:rPr>
          <w:rFonts w:ascii="Arial Narrow" w:hAnsi="Arial Narrow"/>
          <w:sz w:val="26"/>
          <w:szCs w:val="26"/>
        </w:rPr>
        <w:t>suf</w:t>
      </w:r>
      <w:r w:rsidR="00FE398E" w:rsidRPr="00300179">
        <w:rPr>
          <w:rFonts w:ascii="Arial Narrow" w:hAnsi="Arial Narrow"/>
          <w:sz w:val="26"/>
          <w:szCs w:val="26"/>
        </w:rPr>
        <w:t>rir</w:t>
      </w:r>
      <w:r w:rsidR="005805E6" w:rsidRPr="00300179">
        <w:rPr>
          <w:rFonts w:ascii="Arial Narrow" w:hAnsi="Arial Narrow"/>
          <w:sz w:val="26"/>
          <w:szCs w:val="26"/>
        </w:rPr>
        <w:t xml:space="preserve"> una consecuencia adversa a sus intereses por </w:t>
      </w:r>
      <w:r w:rsidR="008304F3" w:rsidRPr="00300179">
        <w:rPr>
          <w:rFonts w:ascii="Arial Narrow" w:hAnsi="Arial Narrow"/>
          <w:sz w:val="26"/>
          <w:szCs w:val="26"/>
        </w:rPr>
        <w:t>el sentido de la</w:t>
      </w:r>
      <w:r w:rsidR="005805E6" w:rsidRPr="00300179">
        <w:rPr>
          <w:rFonts w:ascii="Arial Narrow" w:hAnsi="Arial Narrow"/>
          <w:sz w:val="26"/>
          <w:szCs w:val="26"/>
        </w:rPr>
        <w:t xml:space="preserve"> decisión </w:t>
      </w:r>
      <w:r w:rsidR="00E12CDC" w:rsidRPr="00300179">
        <w:rPr>
          <w:rFonts w:ascii="Arial Narrow" w:hAnsi="Arial Narrow"/>
          <w:sz w:val="26"/>
          <w:szCs w:val="26"/>
        </w:rPr>
        <w:t>opugnada</w:t>
      </w:r>
      <w:r w:rsidR="005805E6" w:rsidRPr="00300179">
        <w:rPr>
          <w:rFonts w:ascii="Arial Narrow" w:hAnsi="Arial Narrow"/>
          <w:sz w:val="26"/>
          <w:szCs w:val="26"/>
        </w:rPr>
        <w:t>, apela en la oportunidad legal, esgrimiendo al tiempo la sustentación; finalmente, e</w:t>
      </w:r>
      <w:r w:rsidR="00767143" w:rsidRPr="00300179">
        <w:rPr>
          <w:rFonts w:ascii="Arial Narrow" w:hAnsi="Arial Narrow"/>
          <w:sz w:val="26"/>
          <w:szCs w:val="26"/>
        </w:rPr>
        <w:t xml:space="preserve">l auto que </w:t>
      </w:r>
      <w:r w:rsidR="005805E6" w:rsidRPr="00300179">
        <w:rPr>
          <w:rFonts w:ascii="Arial Narrow" w:hAnsi="Arial Narrow"/>
          <w:sz w:val="26"/>
          <w:szCs w:val="26"/>
        </w:rPr>
        <w:t xml:space="preserve">resuelve un incidente de nulidad </w:t>
      </w:r>
      <w:r w:rsidR="004E68D8" w:rsidRPr="00300179">
        <w:rPr>
          <w:rFonts w:ascii="Arial Narrow" w:hAnsi="Arial Narrow"/>
          <w:sz w:val="26"/>
          <w:szCs w:val="26"/>
        </w:rPr>
        <w:t>es apelable</w:t>
      </w:r>
      <w:r w:rsidR="00496750" w:rsidRPr="00300179">
        <w:rPr>
          <w:rFonts w:ascii="Arial Narrow" w:hAnsi="Arial Narrow"/>
          <w:sz w:val="26"/>
          <w:szCs w:val="26"/>
        </w:rPr>
        <w:t>,</w:t>
      </w:r>
      <w:r w:rsidR="00767143" w:rsidRPr="00300179">
        <w:rPr>
          <w:rFonts w:ascii="Arial Narrow" w:hAnsi="Arial Narrow"/>
          <w:sz w:val="26"/>
          <w:szCs w:val="26"/>
        </w:rPr>
        <w:t xml:space="preserve"> remedio que se debe conceder en el efecto devolutivo (</w:t>
      </w:r>
      <w:r w:rsidR="00496750" w:rsidRPr="00300179">
        <w:rPr>
          <w:rFonts w:ascii="Arial Narrow" w:hAnsi="Arial Narrow"/>
          <w:sz w:val="26"/>
          <w:szCs w:val="26"/>
        </w:rPr>
        <w:t xml:space="preserve">artículo 321 numeral </w:t>
      </w:r>
      <w:r w:rsidR="00EA1E5F" w:rsidRPr="00300179">
        <w:rPr>
          <w:rFonts w:ascii="Arial Narrow" w:hAnsi="Arial Narrow"/>
          <w:sz w:val="26"/>
          <w:szCs w:val="26"/>
        </w:rPr>
        <w:t>6</w:t>
      </w:r>
      <w:r w:rsidR="005805E6" w:rsidRPr="00300179">
        <w:rPr>
          <w:rFonts w:ascii="Arial Narrow" w:hAnsi="Arial Narrow"/>
          <w:sz w:val="26"/>
          <w:szCs w:val="26"/>
        </w:rPr>
        <w:t>º</w:t>
      </w:r>
      <w:r w:rsidR="00496750" w:rsidRPr="00300179">
        <w:rPr>
          <w:rFonts w:ascii="Arial Narrow" w:hAnsi="Arial Narrow"/>
          <w:sz w:val="26"/>
          <w:szCs w:val="26"/>
        </w:rPr>
        <w:t xml:space="preserve"> y</w:t>
      </w:r>
      <w:r w:rsidR="00745828" w:rsidRPr="00300179">
        <w:rPr>
          <w:rFonts w:ascii="Arial Narrow" w:hAnsi="Arial Narrow"/>
          <w:sz w:val="26"/>
          <w:szCs w:val="26"/>
        </w:rPr>
        <w:t xml:space="preserve"> artículo 323 del C</w:t>
      </w:r>
      <w:r w:rsidR="005805E6" w:rsidRPr="00300179">
        <w:rPr>
          <w:rFonts w:ascii="Arial Narrow" w:hAnsi="Arial Narrow"/>
          <w:sz w:val="26"/>
          <w:szCs w:val="26"/>
        </w:rPr>
        <w:t>.</w:t>
      </w:r>
      <w:r w:rsidR="00745828" w:rsidRPr="00300179">
        <w:rPr>
          <w:rFonts w:ascii="Arial Narrow" w:hAnsi="Arial Narrow"/>
          <w:sz w:val="26"/>
          <w:szCs w:val="26"/>
        </w:rPr>
        <w:t>G</w:t>
      </w:r>
      <w:r w:rsidR="005805E6" w:rsidRPr="00300179">
        <w:rPr>
          <w:rFonts w:ascii="Arial Narrow" w:hAnsi="Arial Narrow"/>
          <w:sz w:val="26"/>
          <w:szCs w:val="26"/>
        </w:rPr>
        <w:t>.</w:t>
      </w:r>
      <w:r w:rsidR="00745828" w:rsidRPr="00300179">
        <w:rPr>
          <w:rFonts w:ascii="Arial Narrow" w:hAnsi="Arial Narrow"/>
          <w:sz w:val="26"/>
          <w:szCs w:val="26"/>
        </w:rPr>
        <w:t>P</w:t>
      </w:r>
      <w:r w:rsidR="005805E6" w:rsidRPr="00300179">
        <w:rPr>
          <w:rFonts w:ascii="Arial Narrow" w:hAnsi="Arial Narrow"/>
          <w:sz w:val="26"/>
          <w:szCs w:val="26"/>
        </w:rPr>
        <w:t>.</w:t>
      </w:r>
      <w:r w:rsidR="00745828" w:rsidRPr="00300179">
        <w:rPr>
          <w:rFonts w:ascii="Arial Narrow" w:hAnsi="Arial Narrow"/>
          <w:sz w:val="26"/>
          <w:szCs w:val="26"/>
        </w:rPr>
        <w:t>)</w:t>
      </w:r>
      <w:r w:rsidR="00767143" w:rsidRPr="00300179">
        <w:rPr>
          <w:rFonts w:ascii="Arial Narrow" w:hAnsi="Arial Narrow"/>
          <w:sz w:val="26"/>
          <w:szCs w:val="26"/>
        </w:rPr>
        <w:t xml:space="preserve">. </w:t>
      </w:r>
    </w:p>
    <w:p w14:paraId="0D997E1D" w14:textId="77777777" w:rsidR="00565130" w:rsidRPr="00300179" w:rsidRDefault="00565130" w:rsidP="00300179">
      <w:pPr>
        <w:autoSpaceDE w:val="0"/>
        <w:autoSpaceDN w:val="0"/>
        <w:adjustRightInd w:val="0"/>
        <w:spacing w:line="276" w:lineRule="auto"/>
        <w:jc w:val="both"/>
        <w:rPr>
          <w:rFonts w:ascii="Arial Narrow" w:hAnsi="Arial Narrow"/>
          <w:sz w:val="26"/>
          <w:szCs w:val="26"/>
        </w:rPr>
      </w:pPr>
    </w:p>
    <w:p w14:paraId="19AD0DE0" w14:textId="1397BEB8" w:rsidR="00767143" w:rsidRPr="00300179" w:rsidRDefault="00565130" w:rsidP="00300179">
      <w:pPr>
        <w:autoSpaceDE w:val="0"/>
        <w:autoSpaceDN w:val="0"/>
        <w:adjustRightInd w:val="0"/>
        <w:spacing w:line="276" w:lineRule="auto"/>
        <w:jc w:val="both"/>
        <w:rPr>
          <w:rFonts w:ascii="Arial Narrow" w:hAnsi="Arial Narrow" w:cs="Arial"/>
          <w:sz w:val="26"/>
          <w:szCs w:val="26"/>
        </w:rPr>
      </w:pPr>
      <w:r w:rsidRPr="00300179">
        <w:rPr>
          <w:rFonts w:ascii="Arial Narrow" w:hAnsi="Arial Narrow"/>
          <w:sz w:val="26"/>
          <w:szCs w:val="26"/>
        </w:rPr>
        <w:lastRenderedPageBreak/>
        <w:t xml:space="preserve">Lo anterior, aunado a que esta Sala </w:t>
      </w:r>
      <w:r w:rsidR="00767143" w:rsidRPr="00300179">
        <w:rPr>
          <w:rFonts w:ascii="Arial Narrow" w:hAnsi="Arial Narrow" w:cs="Arial"/>
          <w:sz w:val="26"/>
          <w:szCs w:val="26"/>
        </w:rPr>
        <w:t>es competente para decidir la alzada</w:t>
      </w:r>
      <w:r w:rsidRPr="00300179">
        <w:rPr>
          <w:rFonts w:ascii="Arial Narrow" w:hAnsi="Arial Narrow" w:cs="Arial"/>
          <w:sz w:val="26"/>
          <w:szCs w:val="26"/>
        </w:rPr>
        <w:t>, autorizan a que a e</w:t>
      </w:r>
      <w:r w:rsidR="00C111C4" w:rsidRPr="00300179">
        <w:rPr>
          <w:rFonts w:ascii="Arial Narrow" w:hAnsi="Arial Narrow" w:cs="Arial"/>
          <w:sz w:val="26"/>
          <w:szCs w:val="26"/>
        </w:rPr>
        <w:t>llo</w:t>
      </w:r>
      <w:r w:rsidRPr="00300179">
        <w:rPr>
          <w:rFonts w:ascii="Arial Narrow" w:hAnsi="Arial Narrow" w:cs="Arial"/>
          <w:sz w:val="26"/>
          <w:szCs w:val="26"/>
        </w:rPr>
        <w:t xml:space="preserve"> se proceda.</w:t>
      </w:r>
    </w:p>
    <w:p w14:paraId="023BEF4B" w14:textId="24CC5D62" w:rsidR="00842777" w:rsidRPr="00300179" w:rsidRDefault="00842777" w:rsidP="00300179">
      <w:pPr>
        <w:spacing w:line="276" w:lineRule="auto"/>
        <w:jc w:val="both"/>
        <w:rPr>
          <w:rFonts w:ascii="Arial Narrow" w:hAnsi="Arial Narrow"/>
          <w:sz w:val="26"/>
          <w:szCs w:val="26"/>
        </w:rPr>
      </w:pPr>
    </w:p>
    <w:p w14:paraId="53A7D043" w14:textId="54068E73" w:rsidR="00BD2934" w:rsidRPr="00300179" w:rsidRDefault="00EA1E5F" w:rsidP="00300179">
      <w:pPr>
        <w:spacing w:line="276" w:lineRule="auto"/>
        <w:jc w:val="both"/>
        <w:rPr>
          <w:rFonts w:ascii="Arial Narrow" w:hAnsi="Arial Narrow"/>
          <w:i/>
          <w:iCs/>
          <w:sz w:val="26"/>
          <w:szCs w:val="26"/>
        </w:rPr>
      </w:pPr>
      <w:r w:rsidRPr="00300179">
        <w:rPr>
          <w:rFonts w:ascii="Arial Narrow" w:hAnsi="Arial Narrow"/>
          <w:sz w:val="26"/>
          <w:szCs w:val="26"/>
        </w:rPr>
        <w:t xml:space="preserve">NO acontece lo mismo frente al numeral 2º de esa misma providencia. </w:t>
      </w:r>
      <w:r w:rsidR="00BD2934" w:rsidRPr="00300179">
        <w:rPr>
          <w:rFonts w:ascii="Arial Narrow" w:hAnsi="Arial Narrow"/>
          <w:sz w:val="26"/>
          <w:szCs w:val="26"/>
        </w:rPr>
        <w:t xml:space="preserve">Se recuerda que allí se decidió: </w:t>
      </w:r>
      <w:r w:rsidR="00BD2934" w:rsidRPr="00300179">
        <w:rPr>
          <w:rFonts w:ascii="Arial Narrow" w:hAnsi="Arial Narrow"/>
          <w:i/>
          <w:iCs/>
          <w:sz w:val="26"/>
          <w:szCs w:val="26"/>
        </w:rPr>
        <w:t>“</w:t>
      </w:r>
      <w:r w:rsidR="00BD2934" w:rsidRPr="00E535CE">
        <w:rPr>
          <w:rFonts w:ascii="Arial Narrow" w:hAnsi="Arial Narrow"/>
          <w:i/>
          <w:iCs/>
          <w:szCs w:val="26"/>
        </w:rPr>
        <w:t>Téngase a Allianz Seguros S.A., notificada por conducta concluyente de todas las providencias que se hayan dictado en esta actuación, inclusive del auto admisorio de la demanda</w:t>
      </w:r>
      <w:r w:rsidR="00BD2934" w:rsidRPr="00300179">
        <w:rPr>
          <w:rFonts w:ascii="Arial Narrow" w:hAnsi="Arial Narrow"/>
          <w:i/>
          <w:iCs/>
          <w:sz w:val="26"/>
          <w:szCs w:val="26"/>
        </w:rPr>
        <w:t>.”</w:t>
      </w:r>
    </w:p>
    <w:p w14:paraId="0D7F0FF8" w14:textId="774B8A13" w:rsidR="00BD2934" w:rsidRPr="00300179" w:rsidRDefault="00BD2934" w:rsidP="00300179">
      <w:pPr>
        <w:spacing w:line="276" w:lineRule="auto"/>
        <w:jc w:val="both"/>
        <w:rPr>
          <w:rFonts w:ascii="Arial Narrow" w:hAnsi="Arial Narrow"/>
          <w:sz w:val="26"/>
          <w:szCs w:val="26"/>
        </w:rPr>
      </w:pPr>
    </w:p>
    <w:p w14:paraId="4387CE47" w14:textId="38ABCBD8" w:rsidR="005D5ED1" w:rsidRPr="00300179" w:rsidRDefault="00BD2934" w:rsidP="00300179">
      <w:pPr>
        <w:spacing w:line="276" w:lineRule="auto"/>
        <w:jc w:val="both"/>
        <w:rPr>
          <w:rFonts w:ascii="Arial Narrow" w:hAnsi="Arial Narrow"/>
          <w:sz w:val="26"/>
          <w:szCs w:val="26"/>
        </w:rPr>
      </w:pPr>
      <w:r w:rsidRPr="00300179">
        <w:rPr>
          <w:rFonts w:ascii="Arial Narrow" w:hAnsi="Arial Narrow"/>
          <w:sz w:val="26"/>
          <w:szCs w:val="26"/>
        </w:rPr>
        <w:t xml:space="preserve">Lo anterior a solicitud de la parte que </w:t>
      </w:r>
      <w:r w:rsidR="008E6353" w:rsidRPr="00300179">
        <w:rPr>
          <w:rFonts w:ascii="Arial Narrow" w:hAnsi="Arial Narrow"/>
          <w:sz w:val="26"/>
          <w:szCs w:val="26"/>
        </w:rPr>
        <w:t>formuló</w:t>
      </w:r>
      <w:r w:rsidR="00C26BFB" w:rsidRPr="00300179">
        <w:rPr>
          <w:rFonts w:ascii="Arial Narrow" w:hAnsi="Arial Narrow"/>
          <w:sz w:val="26"/>
          <w:szCs w:val="26"/>
        </w:rPr>
        <w:t xml:space="preserve"> el</w:t>
      </w:r>
      <w:r w:rsidRPr="00300179">
        <w:rPr>
          <w:rFonts w:ascii="Arial Narrow" w:hAnsi="Arial Narrow"/>
          <w:sz w:val="26"/>
          <w:szCs w:val="26"/>
        </w:rPr>
        <w:t xml:space="preserve"> llam</w:t>
      </w:r>
      <w:r w:rsidR="00C26BFB" w:rsidRPr="00300179">
        <w:rPr>
          <w:rFonts w:ascii="Arial Narrow" w:hAnsi="Arial Narrow"/>
          <w:sz w:val="26"/>
          <w:szCs w:val="26"/>
        </w:rPr>
        <w:t>amiento</w:t>
      </w:r>
      <w:r w:rsidRPr="00300179">
        <w:rPr>
          <w:rFonts w:ascii="Arial Narrow" w:hAnsi="Arial Narrow"/>
          <w:sz w:val="26"/>
          <w:szCs w:val="26"/>
        </w:rPr>
        <w:t xml:space="preserve"> en garantía</w:t>
      </w:r>
      <w:r w:rsidR="00C26BFB" w:rsidRPr="00300179">
        <w:rPr>
          <w:rFonts w:ascii="Arial Narrow" w:hAnsi="Arial Narrow"/>
          <w:sz w:val="26"/>
          <w:szCs w:val="26"/>
        </w:rPr>
        <w:t xml:space="preserve"> </w:t>
      </w:r>
      <w:r w:rsidRPr="00300179">
        <w:rPr>
          <w:rFonts w:ascii="Arial Narrow" w:hAnsi="Arial Narrow"/>
          <w:sz w:val="26"/>
          <w:szCs w:val="26"/>
        </w:rPr>
        <w:t>y</w:t>
      </w:r>
      <w:r w:rsidR="00C26BFB" w:rsidRPr="00300179">
        <w:rPr>
          <w:rFonts w:ascii="Arial Narrow" w:hAnsi="Arial Narrow"/>
          <w:sz w:val="26"/>
          <w:szCs w:val="26"/>
        </w:rPr>
        <w:t>,</w:t>
      </w:r>
      <w:r w:rsidRPr="00300179">
        <w:rPr>
          <w:rFonts w:ascii="Arial Narrow" w:hAnsi="Arial Narrow"/>
          <w:sz w:val="26"/>
          <w:szCs w:val="26"/>
        </w:rPr>
        <w:t xml:space="preserve"> según la</w:t>
      </w:r>
      <w:r w:rsidR="000C2C59" w:rsidRPr="00300179">
        <w:rPr>
          <w:rFonts w:ascii="Arial Narrow" w:hAnsi="Arial Narrow"/>
          <w:sz w:val="26"/>
          <w:szCs w:val="26"/>
        </w:rPr>
        <w:t>s</w:t>
      </w:r>
      <w:r w:rsidRPr="00300179">
        <w:rPr>
          <w:rFonts w:ascii="Arial Narrow" w:hAnsi="Arial Narrow"/>
          <w:sz w:val="26"/>
          <w:szCs w:val="26"/>
        </w:rPr>
        <w:t xml:space="preserve"> motiva</w:t>
      </w:r>
      <w:r w:rsidR="000C2C59" w:rsidRPr="00300179">
        <w:rPr>
          <w:rFonts w:ascii="Arial Narrow" w:hAnsi="Arial Narrow"/>
          <w:sz w:val="26"/>
          <w:szCs w:val="26"/>
        </w:rPr>
        <w:t>ciones</w:t>
      </w:r>
      <w:r w:rsidRPr="00300179">
        <w:rPr>
          <w:rFonts w:ascii="Arial Narrow" w:hAnsi="Arial Narrow"/>
          <w:sz w:val="26"/>
          <w:szCs w:val="26"/>
        </w:rPr>
        <w:t xml:space="preserve">, con soporte en el inciso </w:t>
      </w:r>
      <w:r w:rsidRPr="00300179">
        <w:rPr>
          <w:rFonts w:ascii="Arial Narrow" w:hAnsi="Arial Narrow"/>
          <w:sz w:val="26"/>
          <w:szCs w:val="26"/>
          <w:u w:val="single"/>
        </w:rPr>
        <w:t>segundo</w:t>
      </w:r>
      <w:r w:rsidRPr="00300179">
        <w:rPr>
          <w:rFonts w:ascii="Arial Narrow" w:hAnsi="Arial Narrow"/>
          <w:sz w:val="26"/>
          <w:szCs w:val="26"/>
        </w:rPr>
        <w:t xml:space="preserve"> del artículo 301 del estatuto procesal civil, que señala: </w:t>
      </w:r>
      <w:r w:rsidR="005D5ED1" w:rsidRPr="00300179">
        <w:rPr>
          <w:rFonts w:ascii="Arial Narrow" w:hAnsi="Arial Narrow"/>
          <w:sz w:val="26"/>
          <w:szCs w:val="26"/>
        </w:rPr>
        <w:t>“</w:t>
      </w:r>
      <w:r w:rsidR="005D5ED1" w:rsidRPr="00E535CE">
        <w:rPr>
          <w:rFonts w:ascii="Arial Narrow" w:hAnsi="Arial Narrow"/>
          <w:i/>
          <w:iCs/>
          <w:szCs w:val="26"/>
        </w:rPr>
        <w:t>Quien constituya apoderado judicial se entenderá notificado por conducta concluyente de todas las providencias que se hayan dictado en el respectivo proceso, inclusive del auto admisorio de la demanda o mandamiento ejecutivo, el día en que se notifique el auto que le reconoce personería, a menos que la notificación se haya surtido con anterioridad. Cuando se hubiese reconocido personería antes de admitirse la demanda o de librarse el mandamiento ejecutivo, la parte será notificada por estado de tales providencias</w:t>
      </w:r>
      <w:r w:rsidR="005D5ED1" w:rsidRPr="00300179">
        <w:rPr>
          <w:rFonts w:ascii="Arial Narrow" w:hAnsi="Arial Narrow"/>
          <w:sz w:val="26"/>
          <w:szCs w:val="26"/>
        </w:rPr>
        <w:t>”.</w:t>
      </w:r>
    </w:p>
    <w:p w14:paraId="27FD0539" w14:textId="554EBA8B" w:rsidR="00BD2934" w:rsidRPr="00300179" w:rsidRDefault="00BD2934" w:rsidP="00300179">
      <w:pPr>
        <w:spacing w:line="276" w:lineRule="auto"/>
        <w:jc w:val="both"/>
        <w:rPr>
          <w:rFonts w:ascii="Arial Narrow" w:hAnsi="Arial Narrow"/>
          <w:sz w:val="26"/>
          <w:szCs w:val="26"/>
        </w:rPr>
      </w:pPr>
    </w:p>
    <w:p w14:paraId="48573F10" w14:textId="148BF259" w:rsidR="005D5ED1" w:rsidRPr="00300179" w:rsidRDefault="00E834ED" w:rsidP="00300179">
      <w:pPr>
        <w:spacing w:line="276" w:lineRule="auto"/>
        <w:jc w:val="both"/>
        <w:rPr>
          <w:rFonts w:ascii="Arial Narrow" w:hAnsi="Arial Narrow"/>
          <w:sz w:val="26"/>
          <w:szCs w:val="26"/>
        </w:rPr>
      </w:pPr>
      <w:r w:rsidRPr="00300179">
        <w:rPr>
          <w:rFonts w:ascii="Arial Narrow" w:hAnsi="Arial Narrow"/>
          <w:sz w:val="26"/>
          <w:szCs w:val="26"/>
        </w:rPr>
        <w:t xml:space="preserve">Es claro, entonces, que </w:t>
      </w:r>
      <w:bookmarkStart w:id="2" w:name="_Hlk86325546"/>
      <w:r w:rsidRPr="00300179">
        <w:rPr>
          <w:rFonts w:ascii="Arial Narrow" w:hAnsi="Arial Narrow"/>
          <w:sz w:val="26"/>
          <w:szCs w:val="26"/>
        </w:rPr>
        <w:t xml:space="preserve">esa notificación NO operó como consecuencia de una nulidad </w:t>
      </w:r>
      <w:r w:rsidR="000C2C59" w:rsidRPr="00300179">
        <w:rPr>
          <w:rFonts w:ascii="Arial Narrow" w:hAnsi="Arial Narrow"/>
          <w:sz w:val="26"/>
          <w:szCs w:val="26"/>
        </w:rPr>
        <w:t xml:space="preserve">procesal </w:t>
      </w:r>
      <w:r w:rsidRPr="00300179">
        <w:rPr>
          <w:rFonts w:ascii="Arial Narrow" w:hAnsi="Arial Narrow"/>
          <w:sz w:val="26"/>
          <w:szCs w:val="26"/>
        </w:rPr>
        <w:t>declarada (inciso 3º de esa misma norma), sino que responde a una decisión autónoma o diferente, porque en esa misma providencia se reconoció personería al apoderado de la asegurado</w:t>
      </w:r>
      <w:r w:rsidR="001B4499" w:rsidRPr="00300179">
        <w:rPr>
          <w:rFonts w:ascii="Arial Narrow" w:hAnsi="Arial Narrow"/>
          <w:sz w:val="26"/>
          <w:szCs w:val="26"/>
        </w:rPr>
        <w:t>ra</w:t>
      </w:r>
      <w:r w:rsidR="000459F7" w:rsidRPr="00300179">
        <w:rPr>
          <w:rFonts w:ascii="Arial Narrow" w:hAnsi="Arial Narrow"/>
          <w:sz w:val="26"/>
          <w:szCs w:val="26"/>
        </w:rPr>
        <w:t>.</w:t>
      </w:r>
    </w:p>
    <w:p w14:paraId="39A48651" w14:textId="77C192AF" w:rsidR="000459F7" w:rsidRPr="00300179" w:rsidRDefault="000459F7" w:rsidP="00300179">
      <w:pPr>
        <w:spacing w:line="276" w:lineRule="auto"/>
        <w:jc w:val="both"/>
        <w:rPr>
          <w:rFonts w:ascii="Arial Narrow" w:hAnsi="Arial Narrow"/>
          <w:sz w:val="26"/>
          <w:szCs w:val="26"/>
        </w:rPr>
      </w:pPr>
    </w:p>
    <w:p w14:paraId="58254BCB" w14:textId="57DCF6F4" w:rsidR="000459F7" w:rsidRPr="00300179" w:rsidRDefault="000459F7" w:rsidP="00300179">
      <w:pPr>
        <w:spacing w:line="276" w:lineRule="auto"/>
        <w:jc w:val="both"/>
        <w:rPr>
          <w:rFonts w:ascii="Arial Narrow" w:hAnsi="Arial Narrow"/>
          <w:sz w:val="26"/>
          <w:szCs w:val="26"/>
        </w:rPr>
      </w:pPr>
      <w:r w:rsidRPr="00300179">
        <w:rPr>
          <w:rFonts w:ascii="Arial Narrow" w:hAnsi="Arial Narrow"/>
          <w:sz w:val="26"/>
          <w:szCs w:val="26"/>
        </w:rPr>
        <w:t>En ese orden se tiene que esa decisión no es apelable, pues no se encuentra enlistada en el artículo 321 del C.G.P.</w:t>
      </w:r>
      <w:bookmarkEnd w:id="2"/>
      <w:r w:rsidRPr="00300179">
        <w:rPr>
          <w:rFonts w:ascii="Arial Narrow" w:hAnsi="Arial Narrow"/>
          <w:sz w:val="26"/>
          <w:szCs w:val="26"/>
        </w:rPr>
        <w:t>, ni se autoriza ese recurso en alguna otra disposición especial.</w:t>
      </w:r>
    </w:p>
    <w:p w14:paraId="0A8EBF6F" w14:textId="2152CE62" w:rsidR="000459F7" w:rsidRPr="00300179" w:rsidRDefault="000459F7" w:rsidP="00300179">
      <w:pPr>
        <w:spacing w:line="276" w:lineRule="auto"/>
        <w:jc w:val="both"/>
        <w:rPr>
          <w:rFonts w:ascii="Arial Narrow" w:hAnsi="Arial Narrow"/>
          <w:sz w:val="26"/>
          <w:szCs w:val="26"/>
        </w:rPr>
      </w:pPr>
    </w:p>
    <w:p w14:paraId="00C43CE7" w14:textId="6A44D5C6" w:rsidR="000459F7" w:rsidRPr="00300179" w:rsidRDefault="000459F7" w:rsidP="00300179">
      <w:pPr>
        <w:spacing w:line="276" w:lineRule="auto"/>
        <w:jc w:val="both"/>
        <w:rPr>
          <w:rFonts w:ascii="Arial Narrow" w:hAnsi="Arial Narrow"/>
          <w:sz w:val="26"/>
          <w:szCs w:val="26"/>
        </w:rPr>
      </w:pPr>
      <w:r w:rsidRPr="00300179">
        <w:rPr>
          <w:rFonts w:ascii="Arial Narrow" w:hAnsi="Arial Narrow"/>
          <w:sz w:val="26"/>
          <w:szCs w:val="26"/>
        </w:rPr>
        <w:t>En consecuencia, frente a ese numeral 2º de la parte resolutiva del auto apelado se declarará inadmisible el recurso.</w:t>
      </w:r>
    </w:p>
    <w:p w14:paraId="78E6F999" w14:textId="77777777" w:rsidR="00BD2934" w:rsidRPr="00300179" w:rsidRDefault="00BD2934" w:rsidP="00300179">
      <w:pPr>
        <w:spacing w:line="276" w:lineRule="auto"/>
        <w:jc w:val="both"/>
        <w:rPr>
          <w:rFonts w:ascii="Arial Narrow" w:hAnsi="Arial Narrow"/>
          <w:sz w:val="26"/>
          <w:szCs w:val="26"/>
        </w:rPr>
      </w:pPr>
    </w:p>
    <w:p w14:paraId="2C172032" w14:textId="2AFF0E5D" w:rsidR="002E0A3B" w:rsidRPr="00300179" w:rsidRDefault="00452BFC" w:rsidP="00300179">
      <w:pPr>
        <w:spacing w:line="276" w:lineRule="auto"/>
        <w:jc w:val="both"/>
        <w:rPr>
          <w:rFonts w:ascii="Arial Narrow" w:hAnsi="Arial Narrow"/>
          <w:sz w:val="26"/>
          <w:szCs w:val="26"/>
        </w:rPr>
      </w:pPr>
      <w:r w:rsidRPr="00300179">
        <w:rPr>
          <w:rFonts w:ascii="Arial Narrow" w:hAnsi="Arial Narrow"/>
          <w:b/>
          <w:bCs/>
          <w:sz w:val="26"/>
          <w:szCs w:val="26"/>
        </w:rPr>
        <w:t>2</w:t>
      </w:r>
      <w:r w:rsidR="009847CD" w:rsidRPr="00300179">
        <w:rPr>
          <w:rFonts w:ascii="Arial Narrow" w:hAnsi="Arial Narrow"/>
          <w:b/>
          <w:bCs/>
          <w:sz w:val="26"/>
          <w:szCs w:val="26"/>
        </w:rPr>
        <w:t>-</w:t>
      </w:r>
      <w:r w:rsidRPr="00300179">
        <w:rPr>
          <w:rFonts w:ascii="Arial Narrow" w:hAnsi="Arial Narrow"/>
          <w:b/>
          <w:bCs/>
          <w:sz w:val="26"/>
          <w:szCs w:val="26"/>
        </w:rPr>
        <w:t>.</w:t>
      </w:r>
      <w:r w:rsidRPr="00300179">
        <w:rPr>
          <w:rFonts w:ascii="Arial Narrow" w:hAnsi="Arial Narrow"/>
          <w:sz w:val="26"/>
          <w:szCs w:val="26"/>
        </w:rPr>
        <w:t xml:space="preserve"> </w:t>
      </w:r>
      <w:r w:rsidR="005805E6" w:rsidRPr="00300179">
        <w:rPr>
          <w:rFonts w:ascii="Arial Narrow" w:hAnsi="Arial Narrow"/>
          <w:sz w:val="26"/>
          <w:szCs w:val="26"/>
        </w:rPr>
        <w:t xml:space="preserve">Es claro para la Sala Unitaria que la notificación del auto </w:t>
      </w:r>
      <w:r w:rsidR="00FE398E" w:rsidRPr="00300179">
        <w:rPr>
          <w:rFonts w:ascii="Arial Narrow" w:hAnsi="Arial Narrow"/>
          <w:sz w:val="26"/>
          <w:szCs w:val="26"/>
        </w:rPr>
        <w:t xml:space="preserve">que admite el llamado en </w:t>
      </w:r>
      <w:r w:rsidR="00C111C4" w:rsidRPr="00300179">
        <w:rPr>
          <w:rFonts w:ascii="Arial Narrow" w:hAnsi="Arial Narrow"/>
          <w:sz w:val="26"/>
          <w:szCs w:val="26"/>
        </w:rPr>
        <w:t>garantía</w:t>
      </w:r>
      <w:r w:rsidR="00FE398E" w:rsidRPr="00300179">
        <w:rPr>
          <w:rFonts w:ascii="Arial Narrow" w:hAnsi="Arial Narrow"/>
          <w:sz w:val="26"/>
          <w:szCs w:val="26"/>
        </w:rPr>
        <w:t xml:space="preserve"> debe hacerse </w:t>
      </w:r>
      <w:r w:rsidR="00C111C4" w:rsidRPr="00300179">
        <w:rPr>
          <w:rFonts w:ascii="Arial Narrow" w:hAnsi="Arial Narrow"/>
          <w:sz w:val="26"/>
          <w:szCs w:val="26"/>
        </w:rPr>
        <w:t xml:space="preserve">en forma </w:t>
      </w:r>
      <w:r w:rsidR="00FE398E" w:rsidRPr="00300179">
        <w:rPr>
          <w:rFonts w:ascii="Arial Narrow" w:hAnsi="Arial Narrow"/>
          <w:sz w:val="26"/>
          <w:szCs w:val="26"/>
        </w:rPr>
        <w:t>personal</w:t>
      </w:r>
      <w:r w:rsidR="00C111C4" w:rsidRPr="00300179">
        <w:rPr>
          <w:rFonts w:ascii="Arial Narrow" w:hAnsi="Arial Narrow"/>
          <w:sz w:val="26"/>
          <w:szCs w:val="26"/>
        </w:rPr>
        <w:t>,</w:t>
      </w:r>
      <w:r w:rsidR="00FE398E" w:rsidRPr="00300179">
        <w:rPr>
          <w:rFonts w:ascii="Arial Narrow" w:hAnsi="Arial Narrow"/>
          <w:sz w:val="26"/>
          <w:szCs w:val="26"/>
        </w:rPr>
        <w:t xml:space="preserve"> por expreso mandato del art. 66 Ib., de lo contrario, se genera</w:t>
      </w:r>
      <w:r w:rsidR="005805E6" w:rsidRPr="00300179">
        <w:rPr>
          <w:rFonts w:ascii="Arial Narrow" w:hAnsi="Arial Narrow"/>
          <w:sz w:val="26"/>
          <w:szCs w:val="26"/>
        </w:rPr>
        <w:t xml:space="preserve"> </w:t>
      </w:r>
      <w:r w:rsidR="00A03913" w:rsidRPr="00300179">
        <w:rPr>
          <w:rFonts w:ascii="Arial Narrow" w:hAnsi="Arial Narrow"/>
          <w:sz w:val="26"/>
          <w:szCs w:val="26"/>
        </w:rPr>
        <w:t xml:space="preserve">una irregularidad constitutiva de </w:t>
      </w:r>
      <w:r w:rsidR="005805E6" w:rsidRPr="00300179">
        <w:rPr>
          <w:rFonts w:ascii="Arial Narrow" w:hAnsi="Arial Narrow"/>
          <w:sz w:val="26"/>
          <w:szCs w:val="26"/>
        </w:rPr>
        <w:t>nulidad</w:t>
      </w:r>
      <w:r w:rsidR="00A03913" w:rsidRPr="00300179">
        <w:rPr>
          <w:rFonts w:ascii="Arial Narrow" w:hAnsi="Arial Narrow"/>
          <w:sz w:val="26"/>
          <w:szCs w:val="26"/>
        </w:rPr>
        <w:t xml:space="preserve"> procesal</w:t>
      </w:r>
      <w:r w:rsidR="005805E6" w:rsidRPr="00300179">
        <w:rPr>
          <w:rFonts w:ascii="Arial Narrow" w:hAnsi="Arial Narrow"/>
          <w:sz w:val="26"/>
          <w:szCs w:val="26"/>
        </w:rPr>
        <w:t>, según se señala en el numeral 8º del artículo 133 Ib.</w:t>
      </w:r>
      <w:r w:rsidR="005805E6" w:rsidRPr="00300179">
        <w:rPr>
          <w:rStyle w:val="Refdenotaalpie"/>
          <w:rFonts w:ascii="Arial Narrow" w:hAnsi="Arial Narrow"/>
          <w:sz w:val="26"/>
          <w:szCs w:val="26"/>
        </w:rPr>
        <w:footnoteReference w:id="3"/>
      </w:r>
      <w:r w:rsidR="005805E6" w:rsidRPr="00300179">
        <w:rPr>
          <w:rFonts w:ascii="Arial Narrow" w:hAnsi="Arial Narrow"/>
          <w:sz w:val="26"/>
          <w:szCs w:val="26"/>
        </w:rPr>
        <w:t xml:space="preserve">. </w:t>
      </w:r>
      <w:r w:rsidR="00FE398E" w:rsidRPr="00300179">
        <w:rPr>
          <w:rFonts w:ascii="Arial Narrow" w:hAnsi="Arial Narrow"/>
          <w:sz w:val="26"/>
          <w:szCs w:val="26"/>
        </w:rPr>
        <w:t xml:space="preserve">Asimismo, en el marco del artículo </w:t>
      </w:r>
      <w:r w:rsidR="00EC3E00" w:rsidRPr="00300179">
        <w:rPr>
          <w:rFonts w:ascii="Arial Narrow" w:hAnsi="Arial Narrow"/>
          <w:sz w:val="26"/>
          <w:szCs w:val="26"/>
        </w:rPr>
        <w:t>8º del Decreto 806 del 2020</w:t>
      </w:r>
      <w:r w:rsidR="00FE398E" w:rsidRPr="00300179">
        <w:rPr>
          <w:rFonts w:ascii="Arial Narrow" w:hAnsi="Arial Narrow"/>
          <w:sz w:val="26"/>
          <w:szCs w:val="26"/>
        </w:rPr>
        <w:t xml:space="preserve">, debe </w:t>
      </w:r>
      <w:r w:rsidR="002E0A3B" w:rsidRPr="00300179">
        <w:rPr>
          <w:rFonts w:ascii="Arial Narrow" w:hAnsi="Arial Narrow"/>
          <w:sz w:val="26"/>
          <w:szCs w:val="26"/>
        </w:rPr>
        <w:t xml:space="preserve">adjuntarse al correo electrónico, el número de piezas procesales que permitan el debido enteramiento del receptor. </w:t>
      </w:r>
    </w:p>
    <w:p w14:paraId="052CA85A" w14:textId="77777777" w:rsidR="002E0A3B" w:rsidRPr="00300179" w:rsidRDefault="002E0A3B" w:rsidP="00300179">
      <w:pPr>
        <w:spacing w:line="276" w:lineRule="auto"/>
        <w:jc w:val="both"/>
        <w:rPr>
          <w:rFonts w:ascii="Arial Narrow" w:hAnsi="Arial Narrow"/>
          <w:sz w:val="26"/>
          <w:szCs w:val="26"/>
        </w:rPr>
      </w:pPr>
    </w:p>
    <w:p w14:paraId="51B57DC0" w14:textId="48238209" w:rsidR="00311332" w:rsidRPr="00300179" w:rsidRDefault="002E0A3B" w:rsidP="00300179">
      <w:pPr>
        <w:spacing w:line="276" w:lineRule="auto"/>
        <w:jc w:val="both"/>
        <w:rPr>
          <w:rFonts w:ascii="Arial Narrow" w:hAnsi="Arial Narrow"/>
          <w:sz w:val="26"/>
          <w:szCs w:val="26"/>
        </w:rPr>
      </w:pPr>
      <w:r w:rsidRPr="00300179">
        <w:rPr>
          <w:rFonts w:ascii="Arial Narrow" w:hAnsi="Arial Narrow"/>
          <w:b/>
          <w:bCs/>
          <w:sz w:val="26"/>
          <w:szCs w:val="26"/>
        </w:rPr>
        <w:t xml:space="preserve">3-. </w:t>
      </w:r>
      <w:bookmarkStart w:id="3" w:name="_Hlk86326469"/>
      <w:r w:rsidRPr="00300179">
        <w:rPr>
          <w:rFonts w:ascii="Arial Narrow" w:hAnsi="Arial Narrow"/>
          <w:sz w:val="26"/>
          <w:szCs w:val="26"/>
        </w:rPr>
        <w:t>No obstante,</w:t>
      </w:r>
      <w:r w:rsidR="00D90873" w:rsidRPr="00300179">
        <w:rPr>
          <w:rFonts w:ascii="Arial Narrow" w:hAnsi="Arial Narrow"/>
          <w:sz w:val="26"/>
          <w:szCs w:val="26"/>
        </w:rPr>
        <w:t xml:space="preserve"> los motivos que esgrime el recurrente no son lo suficientemente fuertes para revocar </w:t>
      </w:r>
      <w:r w:rsidR="004A6AF5" w:rsidRPr="00300179">
        <w:rPr>
          <w:rFonts w:ascii="Arial Narrow" w:hAnsi="Arial Narrow"/>
          <w:sz w:val="26"/>
          <w:szCs w:val="26"/>
        </w:rPr>
        <w:t xml:space="preserve">la providencia </w:t>
      </w:r>
      <w:r w:rsidR="00D90873" w:rsidRPr="00300179">
        <w:rPr>
          <w:rFonts w:ascii="Arial Narrow" w:hAnsi="Arial Narrow"/>
          <w:sz w:val="26"/>
          <w:szCs w:val="26"/>
        </w:rPr>
        <w:t>apelad</w:t>
      </w:r>
      <w:r w:rsidR="004A6AF5" w:rsidRPr="00300179">
        <w:rPr>
          <w:rFonts w:ascii="Arial Narrow" w:hAnsi="Arial Narrow"/>
          <w:sz w:val="26"/>
          <w:szCs w:val="26"/>
        </w:rPr>
        <w:t>a</w:t>
      </w:r>
      <w:r w:rsidR="00D90873" w:rsidRPr="00300179">
        <w:rPr>
          <w:rFonts w:ascii="Arial Narrow" w:hAnsi="Arial Narrow"/>
          <w:sz w:val="26"/>
          <w:szCs w:val="26"/>
        </w:rPr>
        <w:t xml:space="preserve"> y declarar la nulidad que se pretende pues, a decir verdad, cuando ella se alegó ya se encontraba saneada</w:t>
      </w:r>
      <w:r w:rsidR="00EC638A" w:rsidRPr="00300179">
        <w:rPr>
          <w:rFonts w:ascii="Arial Narrow" w:hAnsi="Arial Narrow"/>
          <w:sz w:val="26"/>
          <w:szCs w:val="26"/>
        </w:rPr>
        <w:t xml:space="preserve"> (Art. 136-1 C.G.P.)</w:t>
      </w:r>
      <w:r w:rsidR="00D90873" w:rsidRPr="00300179">
        <w:rPr>
          <w:rFonts w:ascii="Arial Narrow" w:hAnsi="Arial Narrow"/>
          <w:sz w:val="26"/>
          <w:szCs w:val="26"/>
        </w:rPr>
        <w:t>.</w:t>
      </w:r>
      <w:bookmarkEnd w:id="3"/>
      <w:r w:rsidR="00EC638A" w:rsidRPr="00300179">
        <w:rPr>
          <w:rFonts w:ascii="Arial Narrow" w:hAnsi="Arial Narrow"/>
          <w:sz w:val="26"/>
          <w:szCs w:val="26"/>
        </w:rPr>
        <w:t xml:space="preserve"> En ese sentido, </w:t>
      </w:r>
      <w:r w:rsidR="00836CC8" w:rsidRPr="00300179">
        <w:rPr>
          <w:rFonts w:ascii="Arial Narrow" w:hAnsi="Arial Narrow"/>
          <w:sz w:val="26"/>
          <w:szCs w:val="26"/>
        </w:rPr>
        <w:t xml:space="preserve">se </w:t>
      </w:r>
      <w:r w:rsidR="008A6A51" w:rsidRPr="00300179">
        <w:rPr>
          <w:rFonts w:ascii="Arial Narrow" w:hAnsi="Arial Narrow"/>
          <w:sz w:val="26"/>
          <w:szCs w:val="26"/>
        </w:rPr>
        <w:t xml:space="preserve">confirmará </w:t>
      </w:r>
      <w:r w:rsidR="00836CC8" w:rsidRPr="00300179">
        <w:rPr>
          <w:rFonts w:ascii="Arial Narrow" w:hAnsi="Arial Narrow"/>
          <w:sz w:val="26"/>
          <w:szCs w:val="26"/>
        </w:rPr>
        <w:t xml:space="preserve">el auto opugnado </w:t>
      </w:r>
      <w:r w:rsidR="00B509A9" w:rsidRPr="00300179">
        <w:rPr>
          <w:rFonts w:ascii="Arial Narrow" w:hAnsi="Arial Narrow"/>
          <w:sz w:val="26"/>
          <w:szCs w:val="26"/>
        </w:rPr>
        <w:t>que no accedió al decreto de la nulidad, petición que, a decir verdad, pudo haber sido rechazada de plano</w:t>
      </w:r>
      <w:r w:rsidR="00DC1D9A" w:rsidRPr="00300179">
        <w:rPr>
          <w:rStyle w:val="Refdenotaalpie"/>
          <w:rFonts w:ascii="Arial Narrow" w:hAnsi="Arial Narrow"/>
          <w:sz w:val="26"/>
          <w:szCs w:val="26"/>
        </w:rPr>
        <w:footnoteReference w:id="4"/>
      </w:r>
      <w:r w:rsidR="00311332" w:rsidRPr="00300179">
        <w:rPr>
          <w:rFonts w:ascii="Arial Narrow" w:hAnsi="Arial Narrow"/>
          <w:sz w:val="26"/>
          <w:szCs w:val="26"/>
        </w:rPr>
        <w:t>.</w:t>
      </w:r>
    </w:p>
    <w:p w14:paraId="0F53B2A4" w14:textId="77777777" w:rsidR="00311332" w:rsidRPr="00300179" w:rsidRDefault="00311332" w:rsidP="00300179">
      <w:pPr>
        <w:spacing w:line="276" w:lineRule="auto"/>
        <w:jc w:val="both"/>
        <w:rPr>
          <w:rFonts w:ascii="Arial Narrow" w:hAnsi="Arial Narrow"/>
          <w:sz w:val="26"/>
          <w:szCs w:val="26"/>
        </w:rPr>
      </w:pPr>
    </w:p>
    <w:p w14:paraId="7C111910" w14:textId="43D68936" w:rsidR="004025BD" w:rsidRPr="00300179" w:rsidRDefault="00311332" w:rsidP="00300179">
      <w:pPr>
        <w:spacing w:line="276" w:lineRule="auto"/>
        <w:jc w:val="both"/>
        <w:rPr>
          <w:rFonts w:ascii="Arial Narrow" w:hAnsi="Arial Narrow"/>
          <w:sz w:val="26"/>
          <w:szCs w:val="26"/>
        </w:rPr>
      </w:pPr>
      <w:r w:rsidRPr="00300179">
        <w:rPr>
          <w:rFonts w:ascii="Arial Narrow" w:hAnsi="Arial Narrow"/>
          <w:sz w:val="26"/>
          <w:szCs w:val="26"/>
        </w:rPr>
        <w:t xml:space="preserve">Nótese que </w:t>
      </w:r>
      <w:r w:rsidR="009E63B6" w:rsidRPr="00300179">
        <w:rPr>
          <w:rFonts w:ascii="Arial Narrow" w:hAnsi="Arial Narrow"/>
          <w:sz w:val="26"/>
          <w:szCs w:val="26"/>
        </w:rPr>
        <w:t xml:space="preserve">el llamamiento </w:t>
      </w:r>
      <w:r w:rsidRPr="00300179">
        <w:rPr>
          <w:rFonts w:ascii="Arial Narrow" w:hAnsi="Arial Narrow"/>
          <w:sz w:val="26"/>
          <w:szCs w:val="26"/>
        </w:rPr>
        <w:t xml:space="preserve">en garantía </w:t>
      </w:r>
      <w:r w:rsidR="009E63B6" w:rsidRPr="00300179">
        <w:rPr>
          <w:rFonts w:ascii="Arial Narrow" w:hAnsi="Arial Narrow"/>
          <w:sz w:val="26"/>
          <w:szCs w:val="26"/>
        </w:rPr>
        <w:t xml:space="preserve">fue admitido </w:t>
      </w:r>
      <w:r w:rsidRPr="00300179">
        <w:rPr>
          <w:rFonts w:ascii="Arial Narrow" w:hAnsi="Arial Narrow"/>
          <w:sz w:val="26"/>
          <w:szCs w:val="26"/>
        </w:rPr>
        <w:t>con auto de</w:t>
      </w:r>
      <w:r w:rsidR="009E63B6" w:rsidRPr="00300179">
        <w:rPr>
          <w:rFonts w:ascii="Arial Narrow" w:hAnsi="Arial Narrow"/>
          <w:sz w:val="26"/>
          <w:szCs w:val="26"/>
        </w:rPr>
        <w:t>l 18 de febrero de 2021</w:t>
      </w:r>
      <w:r w:rsidR="00793429" w:rsidRPr="00300179">
        <w:rPr>
          <w:rFonts w:ascii="Arial Narrow" w:hAnsi="Arial Narrow"/>
          <w:sz w:val="26"/>
          <w:szCs w:val="26"/>
        </w:rPr>
        <w:t xml:space="preserve"> y</w:t>
      </w:r>
      <w:r w:rsidR="009E63B6" w:rsidRPr="00300179">
        <w:rPr>
          <w:rFonts w:ascii="Arial Narrow" w:hAnsi="Arial Narrow"/>
          <w:sz w:val="26"/>
          <w:szCs w:val="26"/>
        </w:rPr>
        <w:t>, según a</w:t>
      </w:r>
      <w:r w:rsidR="00793429" w:rsidRPr="00300179">
        <w:rPr>
          <w:rFonts w:ascii="Arial Narrow" w:hAnsi="Arial Narrow"/>
          <w:sz w:val="26"/>
          <w:szCs w:val="26"/>
        </w:rPr>
        <w:t>creditó</w:t>
      </w:r>
      <w:r w:rsidR="00D84DA8">
        <w:rPr>
          <w:rFonts w:ascii="Arial Narrow" w:hAnsi="Arial Narrow"/>
          <w:sz w:val="26"/>
          <w:szCs w:val="26"/>
        </w:rPr>
        <w:t xml:space="preserve"> la</w:t>
      </w:r>
      <w:r w:rsidR="00793429" w:rsidRPr="00300179">
        <w:rPr>
          <w:rFonts w:ascii="Arial Narrow" w:hAnsi="Arial Narrow"/>
          <w:sz w:val="26"/>
          <w:szCs w:val="26"/>
        </w:rPr>
        <w:t xml:space="preserve"> </w:t>
      </w:r>
      <w:r w:rsidR="009E63B6" w:rsidRPr="00300179">
        <w:rPr>
          <w:rFonts w:ascii="Arial Narrow" w:hAnsi="Arial Narrow"/>
          <w:sz w:val="26"/>
          <w:szCs w:val="26"/>
        </w:rPr>
        <w:t>Clínica Los Rosales S.A</w:t>
      </w:r>
      <w:r w:rsidR="00793429" w:rsidRPr="00300179">
        <w:rPr>
          <w:rFonts w:ascii="Arial Narrow" w:hAnsi="Arial Narrow"/>
          <w:sz w:val="26"/>
          <w:szCs w:val="26"/>
        </w:rPr>
        <w:t xml:space="preserve">., </w:t>
      </w:r>
      <w:r w:rsidR="009E63B6" w:rsidRPr="00300179">
        <w:rPr>
          <w:rFonts w:ascii="Arial Narrow" w:hAnsi="Arial Narrow"/>
          <w:sz w:val="26"/>
          <w:szCs w:val="26"/>
        </w:rPr>
        <w:t>remitió correo electrónico para notificación personal el</w:t>
      </w:r>
      <w:r w:rsidR="006B69C6" w:rsidRPr="00300179">
        <w:rPr>
          <w:rFonts w:ascii="Arial Narrow" w:hAnsi="Arial Narrow"/>
          <w:sz w:val="26"/>
          <w:szCs w:val="26"/>
        </w:rPr>
        <w:t xml:space="preserve"> </w:t>
      </w:r>
      <w:r w:rsidR="006B69C6" w:rsidRPr="00300179">
        <w:rPr>
          <w:rFonts w:ascii="Arial Narrow" w:hAnsi="Arial Narrow"/>
          <w:b/>
          <w:bCs/>
          <w:sz w:val="26"/>
          <w:szCs w:val="26"/>
        </w:rPr>
        <w:t xml:space="preserve">8 de abril </w:t>
      </w:r>
      <w:r w:rsidR="006B69C6" w:rsidRPr="00300179">
        <w:rPr>
          <w:rFonts w:ascii="Arial Narrow" w:hAnsi="Arial Narrow"/>
          <w:sz w:val="26"/>
          <w:szCs w:val="26"/>
        </w:rPr>
        <w:t>de ese mismo año</w:t>
      </w:r>
      <w:r w:rsidR="00793429" w:rsidRPr="00300179">
        <w:rPr>
          <w:rFonts w:ascii="Arial Narrow" w:hAnsi="Arial Narrow"/>
          <w:sz w:val="26"/>
          <w:szCs w:val="26"/>
        </w:rPr>
        <w:t xml:space="preserve">. </w:t>
      </w:r>
      <w:r w:rsidR="00793429" w:rsidRPr="00300179">
        <w:rPr>
          <w:rFonts w:ascii="Arial Narrow" w:hAnsi="Arial Narrow"/>
          <w:b/>
          <w:bCs/>
          <w:sz w:val="26"/>
          <w:szCs w:val="26"/>
        </w:rPr>
        <w:t>E</w:t>
      </w:r>
      <w:r w:rsidR="005A6667" w:rsidRPr="00300179">
        <w:rPr>
          <w:rFonts w:ascii="Arial Narrow" w:hAnsi="Arial Narrow"/>
          <w:b/>
          <w:bCs/>
          <w:sz w:val="26"/>
          <w:szCs w:val="26"/>
        </w:rPr>
        <w:t>l</w:t>
      </w:r>
      <w:r w:rsidR="0038565E" w:rsidRPr="00300179">
        <w:rPr>
          <w:rFonts w:ascii="Arial Narrow" w:hAnsi="Arial Narrow"/>
          <w:b/>
          <w:bCs/>
          <w:sz w:val="26"/>
          <w:szCs w:val="26"/>
        </w:rPr>
        <w:t xml:space="preserve"> 1</w:t>
      </w:r>
      <w:r w:rsidR="0069204D" w:rsidRPr="00300179">
        <w:rPr>
          <w:rFonts w:ascii="Arial Narrow" w:hAnsi="Arial Narrow"/>
          <w:b/>
          <w:bCs/>
          <w:sz w:val="26"/>
          <w:szCs w:val="26"/>
        </w:rPr>
        <w:t>3 de abril</w:t>
      </w:r>
      <w:r w:rsidR="0038565E" w:rsidRPr="00300179">
        <w:rPr>
          <w:rFonts w:ascii="Arial Narrow" w:hAnsi="Arial Narrow"/>
          <w:b/>
          <w:bCs/>
          <w:sz w:val="26"/>
          <w:szCs w:val="26"/>
        </w:rPr>
        <w:t xml:space="preserve"> siguiente</w:t>
      </w:r>
      <w:r w:rsidR="0038565E" w:rsidRPr="00300179">
        <w:rPr>
          <w:rFonts w:ascii="Arial Narrow" w:hAnsi="Arial Narrow"/>
          <w:sz w:val="26"/>
          <w:szCs w:val="26"/>
        </w:rPr>
        <w:t xml:space="preserve"> </w:t>
      </w:r>
      <w:r w:rsidR="0038565E" w:rsidRPr="00300179">
        <w:rPr>
          <w:rFonts w:ascii="Arial Narrow" w:hAnsi="Arial Narrow"/>
          <w:b/>
          <w:bCs/>
          <w:sz w:val="26"/>
          <w:szCs w:val="26"/>
        </w:rPr>
        <w:t>(antes de solicit</w:t>
      </w:r>
      <w:r w:rsidR="008162CC" w:rsidRPr="00300179">
        <w:rPr>
          <w:rFonts w:ascii="Arial Narrow" w:hAnsi="Arial Narrow"/>
          <w:b/>
          <w:bCs/>
          <w:sz w:val="26"/>
          <w:szCs w:val="26"/>
        </w:rPr>
        <w:t>ar</w:t>
      </w:r>
      <w:r w:rsidR="0038565E" w:rsidRPr="00300179">
        <w:rPr>
          <w:rFonts w:ascii="Arial Narrow" w:hAnsi="Arial Narrow"/>
          <w:b/>
          <w:bCs/>
          <w:sz w:val="26"/>
          <w:szCs w:val="26"/>
        </w:rPr>
        <w:t xml:space="preserve"> </w:t>
      </w:r>
      <w:r w:rsidR="008162CC" w:rsidRPr="00300179">
        <w:rPr>
          <w:rFonts w:ascii="Arial Narrow" w:hAnsi="Arial Narrow"/>
          <w:b/>
          <w:bCs/>
          <w:sz w:val="26"/>
          <w:szCs w:val="26"/>
        </w:rPr>
        <w:t>la</w:t>
      </w:r>
      <w:r w:rsidR="0038565E" w:rsidRPr="00300179">
        <w:rPr>
          <w:rFonts w:ascii="Arial Narrow" w:hAnsi="Arial Narrow"/>
          <w:b/>
          <w:bCs/>
          <w:sz w:val="26"/>
          <w:szCs w:val="26"/>
        </w:rPr>
        <w:t xml:space="preserve"> nulidad)</w:t>
      </w:r>
      <w:r w:rsidR="0038565E" w:rsidRPr="00300179">
        <w:rPr>
          <w:rFonts w:ascii="Arial Narrow" w:hAnsi="Arial Narrow"/>
          <w:sz w:val="26"/>
          <w:szCs w:val="26"/>
        </w:rPr>
        <w:t xml:space="preserve"> la entidad </w:t>
      </w:r>
      <w:r w:rsidR="00CC01A4" w:rsidRPr="00300179">
        <w:rPr>
          <w:rFonts w:ascii="Arial Narrow" w:hAnsi="Arial Narrow"/>
          <w:sz w:val="26"/>
          <w:szCs w:val="26"/>
        </w:rPr>
        <w:t>a</w:t>
      </w:r>
      <w:r w:rsidR="0038565E" w:rsidRPr="00300179">
        <w:rPr>
          <w:rFonts w:ascii="Arial Narrow" w:hAnsi="Arial Narrow"/>
          <w:sz w:val="26"/>
          <w:szCs w:val="26"/>
        </w:rPr>
        <w:t>segur</w:t>
      </w:r>
      <w:r w:rsidR="00CC01A4" w:rsidRPr="00300179">
        <w:rPr>
          <w:rFonts w:ascii="Arial Narrow" w:hAnsi="Arial Narrow"/>
          <w:sz w:val="26"/>
          <w:szCs w:val="26"/>
        </w:rPr>
        <w:t>adora</w:t>
      </w:r>
      <w:r w:rsidR="0038565E" w:rsidRPr="00300179">
        <w:rPr>
          <w:rFonts w:ascii="Arial Narrow" w:hAnsi="Arial Narrow"/>
          <w:sz w:val="26"/>
          <w:szCs w:val="26"/>
        </w:rPr>
        <w:t xml:space="preserve"> en un mismo escrito </w:t>
      </w:r>
      <w:r w:rsidR="0038565E" w:rsidRPr="00300179">
        <w:rPr>
          <w:rFonts w:ascii="Arial Narrow" w:hAnsi="Arial Narrow"/>
          <w:sz w:val="26"/>
          <w:szCs w:val="26"/>
          <w:u w:val="single"/>
        </w:rPr>
        <w:t>contestó la demanda</w:t>
      </w:r>
      <w:r w:rsidR="0038565E" w:rsidRPr="00300179">
        <w:rPr>
          <w:rFonts w:ascii="Arial Narrow" w:hAnsi="Arial Narrow"/>
          <w:sz w:val="26"/>
          <w:szCs w:val="26"/>
        </w:rPr>
        <w:t xml:space="preserve"> y el </w:t>
      </w:r>
      <w:r w:rsidR="0038565E" w:rsidRPr="00300179">
        <w:rPr>
          <w:rFonts w:ascii="Arial Narrow" w:hAnsi="Arial Narrow"/>
          <w:sz w:val="26"/>
          <w:szCs w:val="26"/>
          <w:u w:val="single"/>
        </w:rPr>
        <w:t>llamamiento en garantía</w:t>
      </w:r>
      <w:r w:rsidR="0038565E" w:rsidRPr="00300179">
        <w:rPr>
          <w:rFonts w:ascii="Arial Narrow" w:hAnsi="Arial Narrow"/>
          <w:sz w:val="26"/>
          <w:szCs w:val="26"/>
        </w:rPr>
        <w:t xml:space="preserve">, donde </w:t>
      </w:r>
      <w:r w:rsidR="00C239B8" w:rsidRPr="00300179">
        <w:rPr>
          <w:rFonts w:ascii="Arial Narrow" w:hAnsi="Arial Narrow"/>
          <w:sz w:val="26"/>
          <w:szCs w:val="26"/>
        </w:rPr>
        <w:t xml:space="preserve">se pronunció en forma </w:t>
      </w:r>
      <w:r w:rsidR="0038565E" w:rsidRPr="00300179">
        <w:rPr>
          <w:rFonts w:ascii="Arial Narrow" w:hAnsi="Arial Narrow"/>
          <w:sz w:val="26"/>
          <w:szCs w:val="26"/>
        </w:rPr>
        <w:t xml:space="preserve">expresa </w:t>
      </w:r>
      <w:r w:rsidR="00C239B8" w:rsidRPr="00300179">
        <w:rPr>
          <w:rFonts w:ascii="Arial Narrow" w:hAnsi="Arial Narrow"/>
          <w:sz w:val="26"/>
          <w:szCs w:val="26"/>
        </w:rPr>
        <w:t xml:space="preserve">sobre </w:t>
      </w:r>
      <w:r w:rsidR="0038565E" w:rsidRPr="00300179">
        <w:rPr>
          <w:rFonts w:ascii="Arial Narrow" w:hAnsi="Arial Narrow"/>
          <w:sz w:val="26"/>
          <w:szCs w:val="26"/>
        </w:rPr>
        <w:t>los hechos del</w:t>
      </w:r>
      <w:r w:rsidR="00AC472E" w:rsidRPr="00300179">
        <w:rPr>
          <w:rFonts w:ascii="Arial Narrow" w:hAnsi="Arial Narrow"/>
          <w:sz w:val="26"/>
          <w:szCs w:val="26"/>
        </w:rPr>
        <w:t xml:space="preserve"> libelo inicial </w:t>
      </w:r>
      <w:r w:rsidR="0038565E" w:rsidRPr="00300179">
        <w:rPr>
          <w:rFonts w:ascii="Arial Narrow" w:hAnsi="Arial Narrow"/>
          <w:sz w:val="26"/>
          <w:szCs w:val="26"/>
        </w:rPr>
        <w:t xml:space="preserve">y </w:t>
      </w:r>
      <w:r w:rsidR="00CC01A4" w:rsidRPr="00300179">
        <w:rPr>
          <w:rFonts w:ascii="Arial Narrow" w:hAnsi="Arial Narrow"/>
          <w:sz w:val="26"/>
          <w:szCs w:val="26"/>
        </w:rPr>
        <w:t xml:space="preserve">sus </w:t>
      </w:r>
      <w:r w:rsidR="0038565E" w:rsidRPr="00300179">
        <w:rPr>
          <w:rFonts w:ascii="Arial Narrow" w:hAnsi="Arial Narrow"/>
          <w:sz w:val="26"/>
          <w:szCs w:val="26"/>
        </w:rPr>
        <w:t>pretensiones,</w:t>
      </w:r>
      <w:r w:rsidR="009177B2" w:rsidRPr="00300179">
        <w:rPr>
          <w:rFonts w:ascii="Arial Narrow" w:hAnsi="Arial Narrow"/>
          <w:sz w:val="26"/>
          <w:szCs w:val="26"/>
        </w:rPr>
        <w:t xml:space="preserve"> incluso refiriéndose a los documentos anexos a la demanda, y </w:t>
      </w:r>
      <w:r w:rsidR="0038565E" w:rsidRPr="00300179">
        <w:rPr>
          <w:rFonts w:ascii="Arial Narrow" w:hAnsi="Arial Narrow"/>
          <w:sz w:val="26"/>
          <w:szCs w:val="26"/>
        </w:rPr>
        <w:t>atac</w:t>
      </w:r>
      <w:r w:rsidR="009177B2" w:rsidRPr="00300179">
        <w:rPr>
          <w:rFonts w:ascii="Arial Narrow" w:hAnsi="Arial Narrow"/>
          <w:sz w:val="26"/>
          <w:szCs w:val="26"/>
        </w:rPr>
        <w:t>ó</w:t>
      </w:r>
      <w:r w:rsidR="0038565E" w:rsidRPr="00300179">
        <w:rPr>
          <w:rFonts w:ascii="Arial Narrow" w:hAnsi="Arial Narrow"/>
          <w:sz w:val="26"/>
          <w:szCs w:val="26"/>
        </w:rPr>
        <w:t xml:space="preserve"> también el vínculo contractual que tenía con quien l</w:t>
      </w:r>
      <w:r w:rsidR="002A478E" w:rsidRPr="00300179">
        <w:rPr>
          <w:rFonts w:ascii="Arial Narrow" w:hAnsi="Arial Narrow"/>
          <w:sz w:val="26"/>
          <w:szCs w:val="26"/>
        </w:rPr>
        <w:t>e convocó al proceso</w:t>
      </w:r>
      <w:r w:rsidR="0038565E" w:rsidRPr="00300179">
        <w:rPr>
          <w:rFonts w:ascii="Arial Narrow" w:hAnsi="Arial Narrow"/>
          <w:sz w:val="26"/>
          <w:szCs w:val="26"/>
        </w:rPr>
        <w:t>; en el archivo 09 de la misma carpeta</w:t>
      </w:r>
      <w:r w:rsidR="002A478E" w:rsidRPr="00300179">
        <w:rPr>
          <w:rFonts w:ascii="Arial Narrow" w:hAnsi="Arial Narrow"/>
          <w:sz w:val="26"/>
          <w:szCs w:val="26"/>
        </w:rPr>
        <w:t xml:space="preserve"> se ve que</w:t>
      </w:r>
      <w:r w:rsidR="0038565E" w:rsidRPr="00300179">
        <w:rPr>
          <w:rFonts w:ascii="Arial Narrow" w:hAnsi="Arial Narrow"/>
          <w:sz w:val="26"/>
          <w:szCs w:val="26"/>
        </w:rPr>
        <w:t xml:space="preserve"> presenta nuevamente el memorial de contestación, luego de que el juzgado de primera instancia le permitiera enlace digital para tener acceso al </w:t>
      </w:r>
      <w:r w:rsidR="004025BD" w:rsidRPr="00300179">
        <w:rPr>
          <w:rFonts w:ascii="Arial Narrow" w:hAnsi="Arial Narrow"/>
          <w:sz w:val="26"/>
          <w:szCs w:val="26"/>
        </w:rPr>
        <w:t>expediente</w:t>
      </w:r>
      <w:r w:rsidR="00474021" w:rsidRPr="00300179">
        <w:rPr>
          <w:rFonts w:ascii="Arial Narrow" w:hAnsi="Arial Narrow"/>
          <w:sz w:val="26"/>
          <w:szCs w:val="26"/>
        </w:rPr>
        <w:t xml:space="preserve">. </w:t>
      </w:r>
    </w:p>
    <w:p w14:paraId="67A2A619" w14:textId="0E6E587D" w:rsidR="004025BD" w:rsidRPr="00300179" w:rsidRDefault="004025BD" w:rsidP="00300179">
      <w:pPr>
        <w:spacing w:line="276" w:lineRule="auto"/>
        <w:jc w:val="both"/>
        <w:rPr>
          <w:rFonts w:ascii="Arial Narrow" w:hAnsi="Arial Narrow"/>
          <w:sz w:val="26"/>
          <w:szCs w:val="26"/>
        </w:rPr>
      </w:pPr>
    </w:p>
    <w:p w14:paraId="3A456264" w14:textId="01458AE0" w:rsidR="00463711" w:rsidRPr="00300179" w:rsidRDefault="00463711" w:rsidP="00300179">
      <w:pPr>
        <w:spacing w:line="276" w:lineRule="auto"/>
        <w:jc w:val="both"/>
        <w:rPr>
          <w:rFonts w:ascii="Arial Narrow" w:hAnsi="Arial Narrow"/>
          <w:sz w:val="26"/>
          <w:szCs w:val="26"/>
        </w:rPr>
      </w:pPr>
      <w:r w:rsidRPr="00300179">
        <w:rPr>
          <w:rFonts w:ascii="Arial Narrow" w:hAnsi="Arial Narrow"/>
          <w:sz w:val="26"/>
          <w:szCs w:val="26"/>
        </w:rPr>
        <w:t xml:space="preserve">En </w:t>
      </w:r>
      <w:r w:rsidR="00D757A4" w:rsidRPr="00300179">
        <w:rPr>
          <w:rFonts w:ascii="Arial Narrow" w:hAnsi="Arial Narrow"/>
          <w:sz w:val="26"/>
          <w:szCs w:val="26"/>
        </w:rPr>
        <w:t>el</w:t>
      </w:r>
      <w:r w:rsidRPr="00300179">
        <w:rPr>
          <w:rFonts w:ascii="Arial Narrow" w:hAnsi="Arial Narrow"/>
          <w:sz w:val="26"/>
          <w:szCs w:val="26"/>
        </w:rPr>
        <w:t xml:space="preserve"> escrito</w:t>
      </w:r>
      <w:r w:rsidR="00D757A4" w:rsidRPr="00300179">
        <w:rPr>
          <w:rFonts w:ascii="Arial Narrow" w:hAnsi="Arial Narrow"/>
          <w:sz w:val="26"/>
          <w:szCs w:val="26"/>
        </w:rPr>
        <w:t xml:space="preserve"> inicial</w:t>
      </w:r>
      <w:r w:rsidRPr="00300179">
        <w:rPr>
          <w:rFonts w:ascii="Arial Narrow" w:hAnsi="Arial Narrow"/>
          <w:sz w:val="26"/>
          <w:szCs w:val="26"/>
        </w:rPr>
        <w:t xml:space="preserve"> de contestación de la demanda no se evidencia que</w:t>
      </w:r>
      <w:r w:rsidR="0047587D" w:rsidRPr="00300179">
        <w:rPr>
          <w:rFonts w:ascii="Arial Narrow" w:hAnsi="Arial Narrow"/>
          <w:sz w:val="26"/>
          <w:szCs w:val="26"/>
        </w:rPr>
        <w:t xml:space="preserve"> se</w:t>
      </w:r>
      <w:r w:rsidRPr="00300179">
        <w:rPr>
          <w:rFonts w:ascii="Arial Narrow" w:hAnsi="Arial Narrow"/>
          <w:sz w:val="26"/>
          <w:szCs w:val="26"/>
        </w:rPr>
        <w:t xml:space="preserve"> haya denunciado irregularidad alguna en el acto de la notificación, o que las piezas procesales anunciadas en el correo electrónico que se le </w:t>
      </w:r>
      <w:r w:rsidR="00A677F3" w:rsidRPr="00300179">
        <w:rPr>
          <w:rFonts w:ascii="Arial Narrow" w:hAnsi="Arial Narrow"/>
          <w:sz w:val="26"/>
          <w:szCs w:val="26"/>
        </w:rPr>
        <w:t>remitió</w:t>
      </w:r>
      <w:r w:rsidRPr="00300179">
        <w:rPr>
          <w:rFonts w:ascii="Arial Narrow" w:hAnsi="Arial Narrow"/>
          <w:sz w:val="26"/>
          <w:szCs w:val="26"/>
        </w:rPr>
        <w:t xml:space="preserve"> no correspondieran o no hubieran sido recibidas.</w:t>
      </w:r>
    </w:p>
    <w:p w14:paraId="393366D6" w14:textId="77777777" w:rsidR="00463711" w:rsidRPr="00300179" w:rsidRDefault="00463711" w:rsidP="00300179">
      <w:pPr>
        <w:spacing w:line="276" w:lineRule="auto"/>
        <w:jc w:val="both"/>
        <w:rPr>
          <w:rFonts w:ascii="Arial Narrow" w:hAnsi="Arial Narrow"/>
          <w:sz w:val="26"/>
          <w:szCs w:val="26"/>
        </w:rPr>
      </w:pPr>
    </w:p>
    <w:p w14:paraId="468EE8B9" w14:textId="33F1B31D" w:rsidR="00463711" w:rsidRPr="00300179" w:rsidRDefault="00463711" w:rsidP="00300179">
      <w:pPr>
        <w:spacing w:line="276" w:lineRule="auto"/>
        <w:jc w:val="both"/>
        <w:rPr>
          <w:rFonts w:ascii="Arial Narrow" w:hAnsi="Arial Narrow"/>
          <w:sz w:val="26"/>
          <w:szCs w:val="26"/>
        </w:rPr>
      </w:pPr>
      <w:r w:rsidRPr="00300179">
        <w:rPr>
          <w:rFonts w:ascii="Arial Narrow" w:hAnsi="Arial Narrow"/>
          <w:sz w:val="26"/>
          <w:szCs w:val="26"/>
        </w:rPr>
        <w:t xml:space="preserve">Solo hasta el </w:t>
      </w:r>
      <w:r w:rsidR="00566C09" w:rsidRPr="00300179">
        <w:rPr>
          <w:rFonts w:ascii="Arial Narrow" w:hAnsi="Arial Narrow"/>
          <w:sz w:val="26"/>
          <w:szCs w:val="26"/>
        </w:rPr>
        <w:t>30 de abril de 2021 fue que concurrió el mismo abogado a deprecar la nulidad del proceso</w:t>
      </w:r>
      <w:r w:rsidR="000275EB" w:rsidRPr="00300179">
        <w:rPr>
          <w:rFonts w:ascii="Arial Narrow" w:hAnsi="Arial Narrow"/>
          <w:sz w:val="26"/>
          <w:szCs w:val="26"/>
        </w:rPr>
        <w:t xml:space="preserve">, </w:t>
      </w:r>
      <w:r w:rsidR="000275EB" w:rsidRPr="00300179">
        <w:rPr>
          <w:rFonts w:ascii="Arial Narrow" w:hAnsi="Arial Narrow"/>
          <w:b/>
          <w:bCs/>
          <w:sz w:val="26"/>
          <w:szCs w:val="26"/>
        </w:rPr>
        <w:t>por hechos de ocurrencia anterior a su primera actuación</w:t>
      </w:r>
      <w:r w:rsidR="000275EB" w:rsidRPr="00300179">
        <w:rPr>
          <w:rFonts w:ascii="Arial Narrow" w:hAnsi="Arial Narrow"/>
          <w:sz w:val="26"/>
          <w:szCs w:val="26"/>
        </w:rPr>
        <w:t xml:space="preserve"> (no haber</w:t>
      </w:r>
      <w:r w:rsidR="003F597F" w:rsidRPr="00300179">
        <w:rPr>
          <w:rFonts w:ascii="Arial Narrow" w:hAnsi="Arial Narrow"/>
          <w:sz w:val="26"/>
          <w:szCs w:val="26"/>
        </w:rPr>
        <w:t>se</w:t>
      </w:r>
      <w:r w:rsidR="000275EB" w:rsidRPr="00300179">
        <w:rPr>
          <w:rFonts w:ascii="Arial Narrow" w:hAnsi="Arial Narrow"/>
          <w:sz w:val="26"/>
          <w:szCs w:val="26"/>
        </w:rPr>
        <w:t xml:space="preserve"> remitido todos los documentos necesarios con la notificación al correo electrónico).</w:t>
      </w:r>
    </w:p>
    <w:p w14:paraId="25F60AA8" w14:textId="77777777" w:rsidR="000275EB" w:rsidRPr="00300179" w:rsidRDefault="000275EB" w:rsidP="00300179">
      <w:pPr>
        <w:spacing w:line="276" w:lineRule="auto"/>
        <w:jc w:val="both"/>
        <w:rPr>
          <w:rFonts w:ascii="Arial Narrow" w:hAnsi="Arial Narrow"/>
          <w:sz w:val="26"/>
          <w:szCs w:val="26"/>
        </w:rPr>
      </w:pPr>
    </w:p>
    <w:p w14:paraId="184256CD" w14:textId="04B8E2CF" w:rsidR="00311332" w:rsidRPr="00300179" w:rsidRDefault="00474021" w:rsidP="00300179">
      <w:pPr>
        <w:spacing w:line="276" w:lineRule="auto"/>
        <w:jc w:val="both"/>
        <w:rPr>
          <w:rFonts w:ascii="Arial Narrow" w:hAnsi="Arial Narrow"/>
          <w:sz w:val="26"/>
          <w:szCs w:val="26"/>
        </w:rPr>
      </w:pPr>
      <w:r w:rsidRPr="00300179">
        <w:rPr>
          <w:rFonts w:ascii="Arial Narrow" w:hAnsi="Arial Narrow"/>
          <w:sz w:val="26"/>
          <w:szCs w:val="26"/>
        </w:rPr>
        <w:t>Así</w:t>
      </w:r>
      <w:r w:rsidR="004025BD" w:rsidRPr="00300179">
        <w:rPr>
          <w:rFonts w:ascii="Arial Narrow" w:hAnsi="Arial Narrow"/>
          <w:sz w:val="26"/>
          <w:szCs w:val="26"/>
        </w:rPr>
        <w:t xml:space="preserve"> las cosas, se concluye que quien</w:t>
      </w:r>
      <w:r w:rsidR="00572038" w:rsidRPr="00300179">
        <w:rPr>
          <w:rFonts w:ascii="Arial Narrow" w:hAnsi="Arial Narrow"/>
          <w:sz w:val="26"/>
          <w:szCs w:val="26"/>
        </w:rPr>
        <w:t xml:space="preserve"> ahora</w:t>
      </w:r>
      <w:r w:rsidR="004025BD" w:rsidRPr="00300179">
        <w:rPr>
          <w:rFonts w:ascii="Arial Narrow" w:hAnsi="Arial Narrow"/>
          <w:sz w:val="26"/>
          <w:szCs w:val="26"/>
        </w:rPr>
        <w:t xml:space="preserve"> alega </w:t>
      </w:r>
      <w:r w:rsidR="005A6667" w:rsidRPr="00300179">
        <w:rPr>
          <w:rFonts w:ascii="Arial Narrow" w:hAnsi="Arial Narrow"/>
          <w:sz w:val="26"/>
          <w:szCs w:val="26"/>
        </w:rPr>
        <w:t xml:space="preserve">el vicio procesal, </w:t>
      </w:r>
      <w:r w:rsidR="00572038" w:rsidRPr="00300179">
        <w:rPr>
          <w:rFonts w:ascii="Arial Narrow" w:hAnsi="Arial Narrow"/>
          <w:sz w:val="26"/>
          <w:szCs w:val="26"/>
        </w:rPr>
        <w:t xml:space="preserve">intervino en el proceso </w:t>
      </w:r>
      <w:r w:rsidR="004025BD" w:rsidRPr="00300179">
        <w:rPr>
          <w:rFonts w:ascii="Arial Narrow" w:hAnsi="Arial Narrow"/>
          <w:sz w:val="26"/>
          <w:szCs w:val="26"/>
        </w:rPr>
        <w:t xml:space="preserve">en defensa de sus derechos e intereses sin alegar la </w:t>
      </w:r>
      <w:r w:rsidR="00572038" w:rsidRPr="00300179">
        <w:rPr>
          <w:rFonts w:ascii="Arial Narrow" w:hAnsi="Arial Narrow"/>
          <w:sz w:val="26"/>
          <w:szCs w:val="26"/>
        </w:rPr>
        <w:t>irregularidad</w:t>
      </w:r>
      <w:r w:rsidR="00A14703" w:rsidRPr="00300179">
        <w:rPr>
          <w:rFonts w:ascii="Arial Narrow" w:hAnsi="Arial Narrow"/>
          <w:sz w:val="26"/>
          <w:szCs w:val="26"/>
        </w:rPr>
        <w:t>. P</w:t>
      </w:r>
      <w:r w:rsidR="00311332" w:rsidRPr="00300179">
        <w:rPr>
          <w:rFonts w:ascii="Arial Narrow" w:hAnsi="Arial Narrow"/>
          <w:sz w:val="26"/>
          <w:szCs w:val="26"/>
        </w:rPr>
        <w:t>or</w:t>
      </w:r>
      <w:r w:rsidR="00A14703" w:rsidRPr="00300179">
        <w:rPr>
          <w:rFonts w:ascii="Arial Narrow" w:hAnsi="Arial Narrow"/>
          <w:sz w:val="26"/>
          <w:szCs w:val="26"/>
        </w:rPr>
        <w:t xml:space="preserve"> </w:t>
      </w:r>
      <w:r w:rsidR="007970FA" w:rsidRPr="00300179">
        <w:rPr>
          <w:rFonts w:ascii="Arial Narrow" w:hAnsi="Arial Narrow"/>
          <w:sz w:val="26"/>
          <w:szCs w:val="26"/>
        </w:rPr>
        <w:t>ende,</w:t>
      </w:r>
      <w:r w:rsidR="00A14703" w:rsidRPr="00300179">
        <w:rPr>
          <w:rFonts w:ascii="Arial Narrow" w:hAnsi="Arial Narrow"/>
          <w:sz w:val="26"/>
          <w:szCs w:val="26"/>
        </w:rPr>
        <w:t xml:space="preserve"> es evidente </w:t>
      </w:r>
      <w:r w:rsidR="003F597F" w:rsidRPr="00300179">
        <w:rPr>
          <w:rFonts w:ascii="Arial Narrow" w:hAnsi="Arial Narrow"/>
          <w:sz w:val="26"/>
          <w:szCs w:val="26"/>
        </w:rPr>
        <w:t>que,</w:t>
      </w:r>
      <w:r w:rsidR="00A14703" w:rsidRPr="00300179">
        <w:rPr>
          <w:rFonts w:ascii="Arial Narrow" w:hAnsi="Arial Narrow"/>
          <w:sz w:val="26"/>
          <w:szCs w:val="26"/>
        </w:rPr>
        <w:t xml:space="preserve"> si se configuró el </w:t>
      </w:r>
      <w:r w:rsidR="00311332" w:rsidRPr="00300179">
        <w:rPr>
          <w:rFonts w:ascii="Arial Narrow" w:hAnsi="Arial Narrow"/>
          <w:sz w:val="26"/>
          <w:szCs w:val="26"/>
        </w:rPr>
        <w:t xml:space="preserve">supuesto de hecho </w:t>
      </w:r>
      <w:r w:rsidR="00A14703" w:rsidRPr="00300179">
        <w:rPr>
          <w:rFonts w:ascii="Arial Narrow" w:hAnsi="Arial Narrow"/>
          <w:sz w:val="26"/>
          <w:szCs w:val="26"/>
        </w:rPr>
        <w:t>previsto en e</w:t>
      </w:r>
      <w:r w:rsidR="00311332" w:rsidRPr="00300179">
        <w:rPr>
          <w:rFonts w:ascii="Arial Narrow" w:hAnsi="Arial Narrow"/>
          <w:sz w:val="26"/>
          <w:szCs w:val="26"/>
        </w:rPr>
        <w:t>l numeral 8</w:t>
      </w:r>
      <w:r w:rsidR="00A14703" w:rsidRPr="00300179">
        <w:rPr>
          <w:rFonts w:ascii="Arial Narrow" w:hAnsi="Arial Narrow"/>
          <w:sz w:val="26"/>
          <w:szCs w:val="26"/>
        </w:rPr>
        <w:t xml:space="preserve"> del artículo 133</w:t>
      </w:r>
      <w:r w:rsidR="00311332" w:rsidRPr="00300179">
        <w:rPr>
          <w:rFonts w:ascii="Arial Narrow" w:hAnsi="Arial Narrow"/>
          <w:sz w:val="26"/>
          <w:szCs w:val="26"/>
        </w:rPr>
        <w:t xml:space="preserve"> precitado, el vicio procesal fue saneado por el actuar del apoderado de Allianz Seguros S.A.</w:t>
      </w:r>
      <w:r w:rsidR="00C25548" w:rsidRPr="00300179">
        <w:rPr>
          <w:rFonts w:ascii="Arial Narrow" w:hAnsi="Arial Narrow"/>
          <w:sz w:val="26"/>
          <w:szCs w:val="26"/>
        </w:rPr>
        <w:t xml:space="preserve"> sin alegarlo</w:t>
      </w:r>
      <w:r w:rsidR="00311332" w:rsidRPr="00300179">
        <w:rPr>
          <w:rStyle w:val="Refdenotaalpie"/>
          <w:rFonts w:ascii="Arial Narrow" w:hAnsi="Arial Narrow"/>
          <w:sz w:val="26"/>
          <w:szCs w:val="26"/>
        </w:rPr>
        <w:footnoteReference w:id="5"/>
      </w:r>
      <w:r w:rsidR="003F597F" w:rsidRPr="00300179">
        <w:rPr>
          <w:rFonts w:ascii="Arial Narrow" w:hAnsi="Arial Narrow"/>
          <w:sz w:val="26"/>
          <w:szCs w:val="26"/>
        </w:rPr>
        <w:t>.</w:t>
      </w:r>
    </w:p>
    <w:p w14:paraId="4408A84D" w14:textId="3004506B" w:rsidR="00311332" w:rsidRPr="00300179" w:rsidRDefault="00311332" w:rsidP="00300179">
      <w:pPr>
        <w:spacing w:line="276" w:lineRule="auto"/>
        <w:jc w:val="both"/>
        <w:rPr>
          <w:rFonts w:ascii="Arial Narrow" w:hAnsi="Arial Narrow"/>
          <w:sz w:val="26"/>
          <w:szCs w:val="26"/>
        </w:rPr>
      </w:pPr>
    </w:p>
    <w:p w14:paraId="308DDC3C" w14:textId="2990F895" w:rsidR="00C25548" w:rsidRPr="00300179" w:rsidRDefault="004B302F" w:rsidP="00300179">
      <w:pPr>
        <w:spacing w:line="276" w:lineRule="auto"/>
        <w:jc w:val="both"/>
        <w:rPr>
          <w:rFonts w:ascii="Arial Narrow" w:hAnsi="Arial Narrow"/>
          <w:i/>
          <w:iCs/>
          <w:sz w:val="26"/>
          <w:szCs w:val="26"/>
        </w:rPr>
      </w:pPr>
      <w:r w:rsidRPr="00300179">
        <w:rPr>
          <w:rFonts w:ascii="Arial Narrow" w:hAnsi="Arial Narrow"/>
          <w:sz w:val="26"/>
          <w:szCs w:val="26"/>
        </w:rPr>
        <w:t xml:space="preserve">La decisión que se anuncia, además de estar soportada en las reglas </w:t>
      </w:r>
      <w:r w:rsidR="0094603D" w:rsidRPr="00300179">
        <w:rPr>
          <w:rFonts w:ascii="Arial Narrow" w:hAnsi="Arial Narrow"/>
          <w:sz w:val="26"/>
          <w:szCs w:val="26"/>
        </w:rPr>
        <w:t xml:space="preserve">ya </w:t>
      </w:r>
      <w:r w:rsidRPr="00300179">
        <w:rPr>
          <w:rFonts w:ascii="Arial Narrow" w:hAnsi="Arial Narrow"/>
          <w:sz w:val="26"/>
          <w:szCs w:val="26"/>
        </w:rPr>
        <w:t xml:space="preserve">citadas, se </w:t>
      </w:r>
      <w:r w:rsidR="00A27078" w:rsidRPr="00300179">
        <w:rPr>
          <w:rFonts w:ascii="Arial Narrow" w:hAnsi="Arial Narrow"/>
          <w:sz w:val="26"/>
          <w:szCs w:val="26"/>
        </w:rPr>
        <w:t>sustenta</w:t>
      </w:r>
      <w:r w:rsidRPr="00300179">
        <w:rPr>
          <w:rFonts w:ascii="Arial Narrow" w:hAnsi="Arial Narrow"/>
          <w:sz w:val="26"/>
          <w:szCs w:val="26"/>
        </w:rPr>
        <w:t xml:space="preserve"> en el principio de la convalidación, que excluye la configuración de la nulidad cuando el perjudicado ratifica, expresa o tácitamente, la actuación anómala, en señal de ausencia de afectación a sus intereses</w:t>
      </w:r>
      <w:r w:rsidR="00A10B7A" w:rsidRPr="00300179">
        <w:rPr>
          <w:rFonts w:ascii="Arial Narrow" w:hAnsi="Arial Narrow"/>
          <w:sz w:val="26"/>
          <w:szCs w:val="26"/>
        </w:rPr>
        <w:t xml:space="preserve">, como cuando interviene en el proceso sin alegar el vicio. </w:t>
      </w:r>
      <w:r w:rsidR="00E728B8" w:rsidRPr="00300179">
        <w:rPr>
          <w:rFonts w:ascii="Arial Narrow" w:hAnsi="Arial Narrow"/>
          <w:sz w:val="26"/>
          <w:szCs w:val="26"/>
        </w:rPr>
        <w:t>Es que “</w:t>
      </w:r>
      <w:r w:rsidR="00E728B8" w:rsidRPr="00E535CE">
        <w:rPr>
          <w:rFonts w:ascii="Arial Narrow" w:hAnsi="Arial Narrow"/>
          <w:i/>
          <w:iCs/>
          <w:szCs w:val="26"/>
        </w:rPr>
        <w:t>la causación efectiva de la lesión que la irregularidad podía ocasionar</w:t>
      </w:r>
      <w:r w:rsidR="003703C6" w:rsidRPr="00E535CE">
        <w:rPr>
          <w:rFonts w:ascii="Arial Narrow" w:hAnsi="Arial Narrow"/>
          <w:i/>
          <w:iCs/>
          <w:szCs w:val="26"/>
        </w:rPr>
        <w:t xml:space="preserve"> obliga a esperar que el afectado proteste por ello apenas tenga la oportunidad de hacerlo. Por lo tanto, si el sujeto que podía resultar perjudicado con la informalidad omite alegarla</w:t>
      </w:r>
      <w:r w:rsidR="0016406B" w:rsidRPr="00E535CE">
        <w:rPr>
          <w:rFonts w:ascii="Arial Narrow" w:hAnsi="Arial Narrow"/>
          <w:i/>
          <w:iCs/>
          <w:szCs w:val="26"/>
        </w:rPr>
        <w:t xml:space="preserve"> con fines de anulación de la actuación irregular, </w:t>
      </w:r>
      <w:r w:rsidR="00AD28CD" w:rsidRPr="00E535CE">
        <w:rPr>
          <w:rFonts w:ascii="Arial Narrow" w:hAnsi="Arial Narrow"/>
          <w:i/>
          <w:iCs/>
          <w:szCs w:val="26"/>
        </w:rPr>
        <w:t>tal vez</w:t>
      </w:r>
      <w:r w:rsidR="0016406B" w:rsidRPr="00E535CE">
        <w:rPr>
          <w:rFonts w:ascii="Arial Narrow" w:hAnsi="Arial Narrow"/>
          <w:i/>
          <w:iCs/>
          <w:szCs w:val="26"/>
        </w:rPr>
        <w:t xml:space="preserve"> sea porque en realidad ningún daño le hizo. De ahí que el individuo pueda perder la legitimación </w:t>
      </w:r>
      <w:r w:rsidR="00016E1F" w:rsidRPr="00E535CE">
        <w:rPr>
          <w:rFonts w:ascii="Arial Narrow" w:hAnsi="Arial Narrow"/>
          <w:i/>
          <w:iCs/>
          <w:szCs w:val="26"/>
        </w:rPr>
        <w:t>para alegar la nulidad, por el desperdicio de la oportunidad propicia para invocarla (CGP, arts. 135-2 y 136-1)</w:t>
      </w:r>
      <w:r w:rsidR="00016E1F" w:rsidRPr="00300179">
        <w:rPr>
          <w:rFonts w:ascii="Arial Narrow" w:hAnsi="Arial Narrow"/>
          <w:i/>
          <w:iCs/>
          <w:sz w:val="26"/>
          <w:szCs w:val="26"/>
        </w:rPr>
        <w:t>.”</w:t>
      </w:r>
      <w:r w:rsidR="00016E1F" w:rsidRPr="00300179">
        <w:rPr>
          <w:rStyle w:val="Refdenotaalpie"/>
          <w:rFonts w:ascii="Arial Narrow" w:hAnsi="Arial Narrow"/>
          <w:i/>
          <w:iCs/>
          <w:sz w:val="26"/>
          <w:szCs w:val="26"/>
        </w:rPr>
        <w:footnoteReference w:id="6"/>
      </w:r>
    </w:p>
    <w:p w14:paraId="50F5E89F" w14:textId="77777777" w:rsidR="008A506B" w:rsidRPr="00300179" w:rsidRDefault="008A506B" w:rsidP="00300179">
      <w:pPr>
        <w:spacing w:line="276" w:lineRule="auto"/>
        <w:jc w:val="both"/>
        <w:rPr>
          <w:rFonts w:ascii="Arial Narrow" w:hAnsi="Arial Narrow" w:cs="Arial Narrow"/>
          <w:sz w:val="26"/>
          <w:szCs w:val="26"/>
        </w:rPr>
      </w:pPr>
    </w:p>
    <w:p w14:paraId="2CBC9B24" w14:textId="132233CC" w:rsidR="00C50198" w:rsidRPr="00300179" w:rsidRDefault="008961EF" w:rsidP="00300179">
      <w:pPr>
        <w:pStyle w:val="Sinespaciado"/>
        <w:spacing w:line="276" w:lineRule="auto"/>
        <w:jc w:val="both"/>
        <w:rPr>
          <w:rFonts w:ascii="Arial Narrow" w:hAnsi="Arial Narrow"/>
          <w:bCs/>
          <w:sz w:val="26"/>
          <w:szCs w:val="26"/>
          <w:lang w:val="es-MX"/>
        </w:rPr>
      </w:pPr>
      <w:r w:rsidRPr="00300179">
        <w:rPr>
          <w:rFonts w:ascii="Arial Narrow" w:hAnsi="Arial Narrow"/>
          <w:bCs/>
          <w:sz w:val="26"/>
          <w:szCs w:val="26"/>
          <w:lang w:val="es-MX"/>
        </w:rPr>
        <w:t>No se impondrá condena en costas dentro del trámite del recurso, porque no se observa que se hayan causado</w:t>
      </w:r>
      <w:r w:rsidR="005A6667" w:rsidRPr="00300179">
        <w:rPr>
          <w:rFonts w:ascii="Arial Narrow" w:hAnsi="Arial Narrow"/>
          <w:bCs/>
          <w:sz w:val="26"/>
          <w:szCs w:val="26"/>
          <w:lang w:val="es-MX"/>
        </w:rPr>
        <w:t xml:space="preserve">.  </w:t>
      </w:r>
    </w:p>
    <w:p w14:paraId="1877F0E7" w14:textId="77777777" w:rsidR="009D684C" w:rsidRPr="00300179" w:rsidRDefault="009D684C" w:rsidP="00300179">
      <w:pPr>
        <w:pStyle w:val="Sinespaciado"/>
        <w:spacing w:line="276" w:lineRule="auto"/>
        <w:jc w:val="both"/>
        <w:rPr>
          <w:rFonts w:ascii="Arial Narrow" w:hAnsi="Arial Narrow"/>
          <w:bCs/>
          <w:sz w:val="26"/>
          <w:szCs w:val="26"/>
          <w:lang w:val="es-MX"/>
        </w:rPr>
      </w:pPr>
    </w:p>
    <w:p w14:paraId="02DCAC4B" w14:textId="48264BD0" w:rsidR="006E3DD2" w:rsidRPr="00300179" w:rsidRDefault="008961EF" w:rsidP="00300179">
      <w:pPr>
        <w:spacing w:line="276" w:lineRule="auto"/>
        <w:jc w:val="both"/>
        <w:rPr>
          <w:rFonts w:ascii="Arial Narrow" w:hAnsi="Arial Narrow"/>
          <w:b/>
          <w:sz w:val="26"/>
          <w:szCs w:val="26"/>
        </w:rPr>
      </w:pPr>
      <w:r w:rsidRPr="00300179">
        <w:rPr>
          <w:rFonts w:ascii="Arial Narrow" w:hAnsi="Arial Narrow"/>
          <w:sz w:val="26"/>
          <w:szCs w:val="26"/>
        </w:rPr>
        <w:t>En mérito de lo expuesto, e</w:t>
      </w:r>
      <w:r w:rsidR="00842777" w:rsidRPr="00300179">
        <w:rPr>
          <w:rFonts w:ascii="Arial Narrow" w:hAnsi="Arial Narrow"/>
          <w:sz w:val="26"/>
          <w:szCs w:val="26"/>
        </w:rPr>
        <w:t xml:space="preserve">l despacho 002 de la </w:t>
      </w:r>
      <w:r w:rsidR="006E3DD2" w:rsidRPr="00300179">
        <w:rPr>
          <w:rFonts w:ascii="Arial Narrow" w:hAnsi="Arial Narrow"/>
          <w:sz w:val="26"/>
          <w:szCs w:val="26"/>
        </w:rPr>
        <w:t xml:space="preserve">Sala Civil Familia del </w:t>
      </w:r>
      <w:r w:rsidR="00BE6D2B" w:rsidRPr="00300179">
        <w:rPr>
          <w:rFonts w:ascii="Arial Narrow" w:hAnsi="Arial Narrow"/>
          <w:sz w:val="26"/>
          <w:szCs w:val="26"/>
        </w:rPr>
        <w:t>Tribunal Superior del Distrito Judicial de Pereira</w:t>
      </w:r>
      <w:r w:rsidR="006E3DD2" w:rsidRPr="00300179">
        <w:rPr>
          <w:rFonts w:ascii="Arial Narrow" w:hAnsi="Arial Narrow"/>
          <w:sz w:val="26"/>
          <w:szCs w:val="26"/>
        </w:rPr>
        <w:t>,</w:t>
      </w:r>
      <w:r w:rsidR="004A3B02" w:rsidRPr="00300179">
        <w:rPr>
          <w:rFonts w:ascii="Arial Narrow" w:hAnsi="Arial Narrow"/>
          <w:sz w:val="26"/>
          <w:szCs w:val="26"/>
        </w:rPr>
        <w:t xml:space="preserve"> administrando Justicia en nombre del Pueblo y por ministerio de la ley, </w:t>
      </w:r>
    </w:p>
    <w:p w14:paraId="10CFD0D3" w14:textId="39249982" w:rsidR="00CA041F" w:rsidRPr="00300179" w:rsidRDefault="00CA041F" w:rsidP="00300179">
      <w:pPr>
        <w:spacing w:line="276" w:lineRule="auto"/>
        <w:jc w:val="center"/>
        <w:rPr>
          <w:rFonts w:ascii="Arial Narrow" w:hAnsi="Arial Narrow"/>
          <w:b/>
          <w:bCs/>
          <w:sz w:val="26"/>
          <w:szCs w:val="26"/>
        </w:rPr>
      </w:pPr>
    </w:p>
    <w:p w14:paraId="76D02B21" w14:textId="63DB9381" w:rsidR="006E3DD2" w:rsidRPr="00300179" w:rsidRDefault="006E3DD2" w:rsidP="00300179">
      <w:pPr>
        <w:spacing w:line="276" w:lineRule="auto"/>
        <w:jc w:val="center"/>
        <w:rPr>
          <w:rFonts w:ascii="Arial Narrow" w:hAnsi="Arial Narrow"/>
          <w:b/>
          <w:bCs/>
          <w:sz w:val="26"/>
          <w:szCs w:val="26"/>
        </w:rPr>
      </w:pPr>
      <w:r w:rsidRPr="00300179">
        <w:rPr>
          <w:rFonts w:ascii="Arial Narrow" w:hAnsi="Arial Narrow"/>
          <w:b/>
          <w:bCs/>
          <w:sz w:val="26"/>
          <w:szCs w:val="26"/>
        </w:rPr>
        <w:t>RESUELVE</w:t>
      </w:r>
    </w:p>
    <w:p w14:paraId="6A23FFE9" w14:textId="1060C4FF" w:rsidR="009D684C" w:rsidRPr="00300179" w:rsidRDefault="009D684C" w:rsidP="00300179">
      <w:pPr>
        <w:spacing w:line="276" w:lineRule="auto"/>
        <w:jc w:val="center"/>
        <w:rPr>
          <w:rFonts w:ascii="Arial Narrow" w:hAnsi="Arial Narrow"/>
          <w:b/>
          <w:bCs/>
          <w:sz w:val="26"/>
          <w:szCs w:val="26"/>
        </w:rPr>
      </w:pPr>
    </w:p>
    <w:p w14:paraId="301DB710" w14:textId="2102BEB9" w:rsidR="004A6AF5" w:rsidRPr="00300179" w:rsidRDefault="009D684C" w:rsidP="00300179">
      <w:pPr>
        <w:spacing w:line="276" w:lineRule="auto"/>
        <w:jc w:val="both"/>
        <w:rPr>
          <w:rFonts w:ascii="Arial Narrow" w:hAnsi="Arial Narrow"/>
          <w:sz w:val="26"/>
          <w:szCs w:val="26"/>
        </w:rPr>
      </w:pPr>
      <w:r w:rsidRPr="00300179">
        <w:rPr>
          <w:rFonts w:ascii="Arial Narrow" w:hAnsi="Arial Narrow"/>
          <w:b/>
          <w:bCs/>
          <w:sz w:val="26"/>
          <w:szCs w:val="26"/>
        </w:rPr>
        <w:t>PRIMERO</w:t>
      </w:r>
      <w:r w:rsidR="00C50198" w:rsidRPr="00300179">
        <w:rPr>
          <w:rFonts w:ascii="Arial Narrow" w:hAnsi="Arial Narrow"/>
          <w:b/>
          <w:bCs/>
          <w:sz w:val="26"/>
          <w:szCs w:val="26"/>
        </w:rPr>
        <w:t xml:space="preserve">:  </w:t>
      </w:r>
      <w:r w:rsidR="008961EF" w:rsidRPr="00300179">
        <w:rPr>
          <w:rFonts w:ascii="Arial Narrow" w:hAnsi="Arial Narrow"/>
          <w:sz w:val="26"/>
          <w:szCs w:val="26"/>
        </w:rPr>
        <w:t>Declarar</w:t>
      </w:r>
      <w:r w:rsidR="008961EF" w:rsidRPr="00300179">
        <w:rPr>
          <w:rFonts w:ascii="Arial Narrow" w:hAnsi="Arial Narrow"/>
          <w:b/>
          <w:bCs/>
          <w:sz w:val="26"/>
          <w:szCs w:val="26"/>
        </w:rPr>
        <w:t xml:space="preserve"> inadmisible </w:t>
      </w:r>
      <w:r w:rsidR="008961EF" w:rsidRPr="00300179">
        <w:rPr>
          <w:rFonts w:ascii="Arial Narrow" w:hAnsi="Arial Narrow"/>
          <w:sz w:val="26"/>
          <w:szCs w:val="26"/>
        </w:rPr>
        <w:t>el recurso de apelación, f</w:t>
      </w:r>
      <w:r w:rsidR="004A6AF5" w:rsidRPr="00300179">
        <w:rPr>
          <w:rFonts w:ascii="Arial Narrow" w:hAnsi="Arial Narrow"/>
          <w:sz w:val="26"/>
          <w:szCs w:val="26"/>
        </w:rPr>
        <w:t>rente a</w:t>
      </w:r>
      <w:r w:rsidR="008961EF" w:rsidRPr="00300179">
        <w:rPr>
          <w:rFonts w:ascii="Arial Narrow" w:hAnsi="Arial Narrow"/>
          <w:sz w:val="26"/>
          <w:szCs w:val="26"/>
        </w:rPr>
        <w:t>l</w:t>
      </w:r>
      <w:r w:rsidR="004A6AF5" w:rsidRPr="00300179">
        <w:rPr>
          <w:rFonts w:ascii="Arial Narrow" w:hAnsi="Arial Narrow"/>
          <w:sz w:val="26"/>
          <w:szCs w:val="26"/>
        </w:rPr>
        <w:t xml:space="preserve"> numeral 2º de la parte resolutiva del auto apelado</w:t>
      </w:r>
      <w:r w:rsidR="00B10829" w:rsidRPr="00300179">
        <w:rPr>
          <w:rFonts w:ascii="Arial Narrow" w:hAnsi="Arial Narrow"/>
          <w:sz w:val="26"/>
          <w:szCs w:val="26"/>
        </w:rPr>
        <w:t xml:space="preserve"> de fecha 31 de mayo de 2021.</w:t>
      </w:r>
    </w:p>
    <w:p w14:paraId="015B7310" w14:textId="77777777" w:rsidR="00B10829" w:rsidRPr="00300179" w:rsidRDefault="00B10829" w:rsidP="00300179">
      <w:pPr>
        <w:spacing w:line="276" w:lineRule="auto"/>
        <w:jc w:val="both"/>
        <w:rPr>
          <w:rFonts w:ascii="Arial Narrow" w:hAnsi="Arial Narrow"/>
          <w:sz w:val="26"/>
          <w:szCs w:val="26"/>
        </w:rPr>
      </w:pPr>
    </w:p>
    <w:p w14:paraId="59B1C144" w14:textId="2EE08E2F" w:rsidR="004475A7" w:rsidRPr="00300179" w:rsidRDefault="00B10829" w:rsidP="00300179">
      <w:pPr>
        <w:spacing w:line="276" w:lineRule="auto"/>
        <w:jc w:val="both"/>
        <w:rPr>
          <w:rFonts w:ascii="Arial Narrow" w:hAnsi="Arial Narrow"/>
          <w:b/>
          <w:bCs/>
          <w:sz w:val="26"/>
          <w:szCs w:val="26"/>
        </w:rPr>
      </w:pPr>
      <w:r w:rsidRPr="00300179">
        <w:rPr>
          <w:rFonts w:ascii="Arial Narrow" w:hAnsi="Arial Narrow"/>
          <w:b/>
          <w:bCs/>
          <w:sz w:val="26"/>
          <w:szCs w:val="26"/>
        </w:rPr>
        <w:t xml:space="preserve">SEGUNDO: </w:t>
      </w:r>
      <w:r w:rsidR="00170C2A" w:rsidRPr="00300179">
        <w:rPr>
          <w:rFonts w:ascii="Arial Narrow" w:hAnsi="Arial Narrow"/>
          <w:b/>
          <w:bCs/>
          <w:sz w:val="26"/>
          <w:szCs w:val="26"/>
        </w:rPr>
        <w:t xml:space="preserve">Confirmar </w:t>
      </w:r>
      <w:r w:rsidR="009476F4" w:rsidRPr="00300179">
        <w:rPr>
          <w:rFonts w:ascii="Arial Narrow" w:hAnsi="Arial Narrow"/>
          <w:sz w:val="26"/>
          <w:szCs w:val="26"/>
        </w:rPr>
        <w:t>el</w:t>
      </w:r>
      <w:r w:rsidR="00170C2A" w:rsidRPr="00300179">
        <w:rPr>
          <w:rFonts w:ascii="Arial Narrow" w:hAnsi="Arial Narrow"/>
          <w:sz w:val="26"/>
          <w:szCs w:val="26"/>
        </w:rPr>
        <w:t xml:space="preserve"> numeral 1º de la parte resolutiva del</w:t>
      </w:r>
      <w:r w:rsidR="009476F4" w:rsidRPr="00300179">
        <w:rPr>
          <w:rFonts w:ascii="Arial Narrow" w:hAnsi="Arial Narrow"/>
          <w:sz w:val="26"/>
          <w:szCs w:val="26"/>
        </w:rPr>
        <w:t xml:space="preserve"> auto </w:t>
      </w:r>
      <w:r w:rsidRPr="00300179">
        <w:rPr>
          <w:rFonts w:ascii="Arial Narrow" w:hAnsi="Arial Narrow"/>
          <w:sz w:val="26"/>
          <w:szCs w:val="26"/>
        </w:rPr>
        <w:t>apelado de fecha</w:t>
      </w:r>
      <w:r w:rsidR="009D684C" w:rsidRPr="00300179">
        <w:rPr>
          <w:rFonts w:ascii="Arial Narrow" w:hAnsi="Arial Narrow"/>
          <w:sz w:val="26"/>
          <w:szCs w:val="26"/>
        </w:rPr>
        <w:t xml:space="preserve"> </w:t>
      </w:r>
      <w:r w:rsidR="004475A7" w:rsidRPr="00300179">
        <w:rPr>
          <w:rFonts w:ascii="Arial Narrow" w:hAnsi="Arial Narrow"/>
          <w:sz w:val="26"/>
          <w:szCs w:val="26"/>
        </w:rPr>
        <w:t>31</w:t>
      </w:r>
      <w:r w:rsidR="009D684C" w:rsidRPr="00300179">
        <w:rPr>
          <w:rFonts w:ascii="Arial Narrow" w:hAnsi="Arial Narrow"/>
          <w:sz w:val="26"/>
          <w:szCs w:val="26"/>
        </w:rPr>
        <w:t xml:space="preserve"> de mayo de 2021, proferido por el Juzgado </w:t>
      </w:r>
      <w:r w:rsidR="004475A7" w:rsidRPr="00300179">
        <w:rPr>
          <w:rFonts w:ascii="Arial Narrow" w:hAnsi="Arial Narrow"/>
          <w:sz w:val="26"/>
          <w:szCs w:val="26"/>
        </w:rPr>
        <w:t xml:space="preserve">Cuarto </w:t>
      </w:r>
      <w:r w:rsidR="009D684C" w:rsidRPr="00300179">
        <w:rPr>
          <w:rFonts w:ascii="Arial Narrow" w:hAnsi="Arial Narrow"/>
          <w:sz w:val="26"/>
          <w:szCs w:val="26"/>
        </w:rPr>
        <w:t>Civil del Circuito</w:t>
      </w:r>
      <w:r w:rsidR="004475A7" w:rsidRPr="00300179">
        <w:rPr>
          <w:rFonts w:ascii="Arial Narrow" w:hAnsi="Arial Narrow"/>
          <w:sz w:val="26"/>
          <w:szCs w:val="26"/>
        </w:rPr>
        <w:t xml:space="preserve"> de Pereira</w:t>
      </w:r>
      <w:r w:rsidRPr="00300179">
        <w:rPr>
          <w:rFonts w:ascii="Arial Narrow" w:hAnsi="Arial Narrow"/>
          <w:sz w:val="26"/>
          <w:szCs w:val="26"/>
        </w:rPr>
        <w:t xml:space="preserve">, </w:t>
      </w:r>
      <w:r w:rsidR="004475A7" w:rsidRPr="00300179">
        <w:rPr>
          <w:rFonts w:ascii="Arial Narrow" w:hAnsi="Arial Narrow"/>
          <w:sz w:val="26"/>
          <w:szCs w:val="26"/>
        </w:rPr>
        <w:t>según lo expuesto en la parte motiva.</w:t>
      </w:r>
      <w:r w:rsidR="004475A7" w:rsidRPr="00300179">
        <w:rPr>
          <w:rFonts w:ascii="Arial Narrow" w:hAnsi="Arial Narrow"/>
          <w:b/>
          <w:bCs/>
          <w:sz w:val="26"/>
          <w:szCs w:val="26"/>
        </w:rPr>
        <w:t xml:space="preserve"> </w:t>
      </w:r>
    </w:p>
    <w:p w14:paraId="77504994" w14:textId="53DC1EF2" w:rsidR="00C50198" w:rsidRPr="00300179" w:rsidRDefault="00C50198" w:rsidP="00300179">
      <w:pPr>
        <w:spacing w:line="276" w:lineRule="auto"/>
        <w:jc w:val="both"/>
        <w:rPr>
          <w:rFonts w:ascii="Arial Narrow" w:hAnsi="Arial Narrow"/>
          <w:b/>
          <w:bCs/>
          <w:sz w:val="26"/>
          <w:szCs w:val="26"/>
        </w:rPr>
      </w:pPr>
    </w:p>
    <w:p w14:paraId="611D64A2" w14:textId="428A81F7" w:rsidR="00F60236" w:rsidRPr="00300179" w:rsidRDefault="006C503C" w:rsidP="00300179">
      <w:pPr>
        <w:spacing w:line="276" w:lineRule="auto"/>
        <w:jc w:val="both"/>
        <w:rPr>
          <w:rFonts w:ascii="Arial Narrow" w:hAnsi="Arial Narrow"/>
          <w:bCs/>
          <w:sz w:val="26"/>
          <w:szCs w:val="26"/>
        </w:rPr>
      </w:pPr>
      <w:r w:rsidRPr="00300179">
        <w:rPr>
          <w:rFonts w:ascii="Arial Narrow" w:hAnsi="Arial Narrow"/>
          <w:b/>
          <w:bCs/>
          <w:sz w:val="26"/>
          <w:szCs w:val="26"/>
        </w:rPr>
        <w:t>TERCERO</w:t>
      </w:r>
      <w:r w:rsidR="00842777" w:rsidRPr="00300179">
        <w:rPr>
          <w:rFonts w:ascii="Arial Narrow" w:hAnsi="Arial Narrow"/>
          <w:b/>
          <w:bCs/>
          <w:sz w:val="26"/>
          <w:szCs w:val="26"/>
        </w:rPr>
        <w:t>:</w:t>
      </w:r>
      <w:r w:rsidR="00842777" w:rsidRPr="00300179">
        <w:rPr>
          <w:rFonts w:ascii="Arial Narrow" w:hAnsi="Arial Narrow"/>
          <w:bCs/>
          <w:sz w:val="26"/>
          <w:szCs w:val="26"/>
        </w:rPr>
        <w:t xml:space="preserve"> </w:t>
      </w:r>
      <w:r w:rsidR="00B10829" w:rsidRPr="00300179">
        <w:rPr>
          <w:rFonts w:ascii="Arial Narrow" w:hAnsi="Arial Narrow"/>
          <w:bCs/>
          <w:sz w:val="26"/>
          <w:szCs w:val="26"/>
        </w:rPr>
        <w:t>Sin costas por lo anotado</w:t>
      </w:r>
      <w:r w:rsidR="005A6667" w:rsidRPr="00300179">
        <w:rPr>
          <w:rFonts w:ascii="Arial Narrow" w:hAnsi="Arial Narrow"/>
          <w:bCs/>
          <w:sz w:val="26"/>
          <w:szCs w:val="26"/>
        </w:rPr>
        <w:t xml:space="preserve">. </w:t>
      </w:r>
      <w:r w:rsidR="004475A7" w:rsidRPr="00300179">
        <w:rPr>
          <w:rFonts w:ascii="Arial Narrow" w:hAnsi="Arial Narrow"/>
          <w:bCs/>
          <w:sz w:val="26"/>
          <w:szCs w:val="26"/>
        </w:rPr>
        <w:t xml:space="preserve"> </w:t>
      </w:r>
    </w:p>
    <w:p w14:paraId="0E5EC185" w14:textId="3A864923" w:rsidR="00F60236" w:rsidRPr="00300179" w:rsidRDefault="00F60236" w:rsidP="00300179">
      <w:pPr>
        <w:spacing w:line="276" w:lineRule="auto"/>
        <w:jc w:val="both"/>
        <w:rPr>
          <w:rFonts w:ascii="Arial Narrow" w:hAnsi="Arial Narrow"/>
          <w:bCs/>
          <w:sz w:val="26"/>
          <w:szCs w:val="26"/>
        </w:rPr>
      </w:pPr>
    </w:p>
    <w:p w14:paraId="3CAE4CAC" w14:textId="651BB9E3" w:rsidR="00433347" w:rsidRPr="00300179" w:rsidRDefault="006C503C" w:rsidP="00300179">
      <w:pPr>
        <w:spacing w:line="276" w:lineRule="auto"/>
        <w:jc w:val="both"/>
        <w:rPr>
          <w:rFonts w:ascii="Arial Narrow" w:hAnsi="Arial Narrow"/>
          <w:b/>
          <w:sz w:val="26"/>
          <w:szCs w:val="26"/>
        </w:rPr>
      </w:pPr>
      <w:r w:rsidRPr="00300179">
        <w:rPr>
          <w:rFonts w:ascii="Arial Narrow" w:hAnsi="Arial Narrow"/>
          <w:b/>
          <w:bCs/>
          <w:sz w:val="26"/>
          <w:szCs w:val="26"/>
        </w:rPr>
        <w:t>CUARTO</w:t>
      </w:r>
      <w:r w:rsidR="00F60236" w:rsidRPr="00300179">
        <w:rPr>
          <w:rFonts w:ascii="Arial Narrow" w:hAnsi="Arial Narrow"/>
          <w:b/>
          <w:bCs/>
          <w:sz w:val="26"/>
          <w:szCs w:val="26"/>
        </w:rPr>
        <w:t xml:space="preserve">:  </w:t>
      </w:r>
      <w:r w:rsidR="004A3B02" w:rsidRPr="00300179">
        <w:rPr>
          <w:rFonts w:ascii="Arial Narrow" w:hAnsi="Arial Narrow"/>
          <w:b/>
          <w:bCs/>
          <w:sz w:val="26"/>
          <w:szCs w:val="26"/>
        </w:rPr>
        <w:t xml:space="preserve"> </w:t>
      </w:r>
      <w:r w:rsidR="00F60236" w:rsidRPr="00300179">
        <w:rPr>
          <w:rFonts w:ascii="Arial Narrow" w:hAnsi="Arial Narrow"/>
          <w:bCs/>
          <w:sz w:val="26"/>
          <w:szCs w:val="26"/>
        </w:rPr>
        <w:t>Ejecutoriada esta providencia, devuélvase a su lugar de origen.</w:t>
      </w:r>
      <w:r w:rsidR="00F60236" w:rsidRPr="00300179">
        <w:rPr>
          <w:rFonts w:ascii="Arial Narrow" w:hAnsi="Arial Narrow"/>
          <w:b/>
          <w:bCs/>
          <w:sz w:val="26"/>
          <w:szCs w:val="26"/>
        </w:rPr>
        <w:t xml:space="preserve"> </w:t>
      </w:r>
      <w:r w:rsidR="00BE6D2B" w:rsidRPr="00300179">
        <w:rPr>
          <w:rFonts w:ascii="Arial Narrow" w:hAnsi="Arial Narrow"/>
          <w:b/>
          <w:bCs/>
          <w:sz w:val="26"/>
          <w:szCs w:val="26"/>
        </w:rPr>
        <w:t xml:space="preserve"> </w:t>
      </w:r>
    </w:p>
    <w:p w14:paraId="1E048565" w14:textId="77777777" w:rsidR="00A94344" w:rsidRPr="00300179" w:rsidRDefault="00A94344" w:rsidP="00300179">
      <w:pPr>
        <w:spacing w:line="276" w:lineRule="auto"/>
        <w:jc w:val="center"/>
        <w:rPr>
          <w:rFonts w:ascii="Arial Narrow" w:hAnsi="Arial Narrow" w:cs="Century Gothic"/>
          <w:b/>
          <w:bCs/>
          <w:sz w:val="26"/>
          <w:szCs w:val="26"/>
          <w:lang w:eastAsia="es-CO"/>
        </w:rPr>
      </w:pPr>
    </w:p>
    <w:p w14:paraId="7AE692DD" w14:textId="11B3139F" w:rsidR="00CE5926" w:rsidRPr="00300179" w:rsidRDefault="00BD15C3" w:rsidP="00300179">
      <w:pPr>
        <w:spacing w:line="276" w:lineRule="auto"/>
        <w:jc w:val="center"/>
        <w:rPr>
          <w:rFonts w:ascii="Arial Narrow" w:hAnsi="Arial Narrow" w:cs="Century Gothic"/>
          <w:b/>
          <w:bCs/>
          <w:sz w:val="26"/>
          <w:szCs w:val="26"/>
          <w:lang w:eastAsia="es-CO"/>
        </w:rPr>
      </w:pPr>
      <w:r w:rsidRPr="00300179">
        <w:rPr>
          <w:rFonts w:ascii="Arial Narrow" w:hAnsi="Arial Narrow" w:cs="Century Gothic"/>
          <w:b/>
          <w:bCs/>
          <w:sz w:val="26"/>
          <w:szCs w:val="26"/>
          <w:lang w:eastAsia="es-CO"/>
        </w:rPr>
        <w:t>NOTIFÍQUESE Y CÚMPLASE</w:t>
      </w:r>
      <w:r w:rsidR="00F60236" w:rsidRPr="00300179">
        <w:rPr>
          <w:rStyle w:val="Refdenotaalpie"/>
          <w:rFonts w:ascii="Arial Narrow" w:hAnsi="Arial Narrow"/>
          <w:color w:val="FFFFFF" w:themeColor="background1"/>
          <w:sz w:val="26"/>
          <w:szCs w:val="26"/>
        </w:rPr>
        <w:footnoteReference w:id="7"/>
      </w:r>
    </w:p>
    <w:p w14:paraId="5D6F248C" w14:textId="3593106B" w:rsidR="00B94F7D" w:rsidRDefault="00B94F7D" w:rsidP="00300179">
      <w:pPr>
        <w:spacing w:line="276" w:lineRule="auto"/>
        <w:jc w:val="both"/>
        <w:rPr>
          <w:rFonts w:ascii="Arial Narrow" w:hAnsi="Arial Narrow" w:cs="Century Gothic"/>
          <w:b/>
          <w:bCs/>
          <w:sz w:val="26"/>
          <w:szCs w:val="26"/>
          <w:lang w:eastAsia="es-CO"/>
        </w:rPr>
      </w:pPr>
    </w:p>
    <w:p w14:paraId="65E9BB66" w14:textId="52C732C9" w:rsidR="00300179" w:rsidRDefault="00300179" w:rsidP="00300179">
      <w:pPr>
        <w:spacing w:line="276" w:lineRule="auto"/>
        <w:jc w:val="both"/>
        <w:rPr>
          <w:rFonts w:ascii="Arial Narrow" w:hAnsi="Arial Narrow" w:cs="Century Gothic"/>
          <w:b/>
          <w:bCs/>
          <w:sz w:val="26"/>
          <w:szCs w:val="26"/>
          <w:lang w:eastAsia="es-CO"/>
        </w:rPr>
      </w:pPr>
    </w:p>
    <w:p w14:paraId="3EF43717" w14:textId="77777777" w:rsidR="00300179" w:rsidRPr="00300179" w:rsidRDefault="00300179" w:rsidP="00300179">
      <w:pPr>
        <w:spacing w:line="276" w:lineRule="auto"/>
        <w:jc w:val="both"/>
        <w:rPr>
          <w:rFonts w:ascii="Arial Narrow" w:hAnsi="Arial Narrow" w:cs="Century Gothic"/>
          <w:b/>
          <w:bCs/>
          <w:sz w:val="26"/>
          <w:szCs w:val="26"/>
          <w:lang w:eastAsia="es-CO"/>
        </w:rPr>
      </w:pPr>
    </w:p>
    <w:p w14:paraId="0BC9A73F" w14:textId="299932DB" w:rsidR="00B94F7D" w:rsidRPr="00300179" w:rsidRDefault="00B94F7D" w:rsidP="00300179">
      <w:pPr>
        <w:spacing w:line="276" w:lineRule="auto"/>
        <w:jc w:val="center"/>
        <w:rPr>
          <w:rFonts w:ascii="Arial Narrow" w:hAnsi="Arial Narrow" w:cs="Century Gothic"/>
          <w:b/>
          <w:bCs/>
          <w:sz w:val="26"/>
          <w:szCs w:val="26"/>
          <w:lang w:eastAsia="es-CO"/>
        </w:rPr>
      </w:pPr>
      <w:r w:rsidRPr="00300179">
        <w:rPr>
          <w:rFonts w:ascii="Arial Narrow" w:hAnsi="Arial Narrow" w:cs="Century Gothic"/>
          <w:b/>
          <w:bCs/>
          <w:sz w:val="26"/>
          <w:szCs w:val="26"/>
          <w:lang w:eastAsia="es-CO"/>
        </w:rPr>
        <w:t>CARLOS MAURICIO GARCÍA BARAJAS</w:t>
      </w:r>
    </w:p>
    <w:p w14:paraId="49ED6616" w14:textId="1860E42E" w:rsidR="000B0F9B" w:rsidRPr="00300179" w:rsidRDefault="00300179" w:rsidP="00300179">
      <w:pPr>
        <w:spacing w:line="276" w:lineRule="auto"/>
        <w:jc w:val="center"/>
        <w:rPr>
          <w:rFonts w:ascii="Arial Narrow" w:hAnsi="Arial Narrow"/>
          <w:sz w:val="20"/>
          <w:szCs w:val="28"/>
        </w:rPr>
      </w:pPr>
      <w:r w:rsidRPr="00300179">
        <w:rPr>
          <w:rFonts w:ascii="Arial Narrow" w:hAnsi="Arial Narrow" w:cs="Century Gothic"/>
          <w:bCs/>
          <w:sz w:val="26"/>
          <w:szCs w:val="26"/>
          <w:lang w:eastAsia="es-CO"/>
        </w:rPr>
        <w:t>Magistrado</w:t>
      </w:r>
    </w:p>
    <w:sectPr w:rsidR="000B0F9B" w:rsidRPr="00300179" w:rsidSect="00D04885">
      <w:headerReference w:type="default" r:id="rId12"/>
      <w:pgSz w:w="12242" w:h="18722" w:code="258"/>
      <w:pgMar w:top="1985" w:right="1361" w:bottom="1418" w:left="1928"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133BF" w14:textId="77777777" w:rsidR="00E040F9" w:rsidRDefault="00E040F9" w:rsidP="00BD15C3">
      <w:r>
        <w:separator/>
      </w:r>
    </w:p>
  </w:endnote>
  <w:endnote w:type="continuationSeparator" w:id="0">
    <w:p w14:paraId="51BB9E90" w14:textId="77777777" w:rsidR="00E040F9" w:rsidRDefault="00E040F9"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ABC8B" w14:textId="77777777" w:rsidR="00E040F9" w:rsidRDefault="00E040F9" w:rsidP="00BD15C3">
      <w:r>
        <w:separator/>
      </w:r>
    </w:p>
  </w:footnote>
  <w:footnote w:type="continuationSeparator" w:id="0">
    <w:p w14:paraId="4CC2C412" w14:textId="77777777" w:rsidR="00E040F9" w:rsidRDefault="00E040F9" w:rsidP="00BD15C3">
      <w:r>
        <w:continuationSeparator/>
      </w:r>
    </w:p>
  </w:footnote>
  <w:footnote w:id="1">
    <w:p w14:paraId="456C6B74" w14:textId="1865F9E0" w:rsidR="00B825BE" w:rsidRPr="00B24DD0" w:rsidRDefault="00B825BE" w:rsidP="00B24DD0">
      <w:pPr>
        <w:pStyle w:val="Textonotapie"/>
        <w:jc w:val="both"/>
        <w:rPr>
          <w:rFonts w:ascii="Arial" w:hAnsi="Arial" w:cs="Arial"/>
          <w:i/>
          <w:iCs/>
          <w:sz w:val="18"/>
          <w:szCs w:val="18"/>
          <w:lang w:val="es-MX"/>
        </w:rPr>
      </w:pPr>
      <w:r w:rsidRPr="00B24DD0">
        <w:rPr>
          <w:rStyle w:val="Refdenotaalpie"/>
          <w:rFonts w:ascii="Arial" w:hAnsi="Arial" w:cs="Arial"/>
          <w:i/>
          <w:iCs/>
          <w:sz w:val="18"/>
          <w:szCs w:val="18"/>
        </w:rPr>
        <w:footnoteRef/>
      </w:r>
      <w:r w:rsidRPr="00B24DD0">
        <w:rPr>
          <w:rFonts w:ascii="Arial" w:hAnsi="Arial" w:cs="Arial"/>
          <w:i/>
          <w:iCs/>
          <w:sz w:val="18"/>
          <w:szCs w:val="18"/>
        </w:rPr>
        <w:t xml:space="preserve"> “Las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w:t>
      </w:r>
    </w:p>
  </w:footnote>
  <w:footnote w:id="2">
    <w:p w14:paraId="7BBC563B" w14:textId="77777777" w:rsidR="005805E6" w:rsidRPr="00B24DD0" w:rsidRDefault="005805E6" w:rsidP="00B24DD0">
      <w:pPr>
        <w:pStyle w:val="Textonotapie"/>
        <w:jc w:val="both"/>
        <w:rPr>
          <w:rFonts w:ascii="Arial" w:hAnsi="Arial" w:cs="Arial"/>
          <w:sz w:val="18"/>
          <w:szCs w:val="18"/>
        </w:rPr>
      </w:pPr>
      <w:r w:rsidRPr="00B24DD0">
        <w:rPr>
          <w:rStyle w:val="Refdenotaalpie"/>
          <w:rFonts w:ascii="Arial" w:hAnsi="Arial" w:cs="Arial"/>
          <w:sz w:val="18"/>
          <w:szCs w:val="18"/>
        </w:rPr>
        <w:footnoteRef/>
      </w:r>
      <w:r w:rsidRPr="00B24DD0">
        <w:rPr>
          <w:rFonts w:ascii="Arial" w:hAnsi="Arial" w:cs="Arial"/>
          <w:sz w:val="18"/>
          <w:szCs w:val="18"/>
        </w:rPr>
        <w:t xml:space="preserve"> Cfr</w:t>
      </w:r>
      <w:r w:rsidRPr="00B24DD0">
        <w:rPr>
          <w:rFonts w:ascii="Arial" w:hAnsi="Arial" w:cs="Arial"/>
          <w:b/>
          <w:bCs/>
          <w:sz w:val="18"/>
          <w:szCs w:val="18"/>
        </w:rPr>
        <w:t>. (i)</w:t>
      </w:r>
      <w:r w:rsidRPr="00B24DD0">
        <w:rPr>
          <w:rFonts w:ascii="Arial" w:hAnsi="Arial" w:cs="Arial"/>
          <w:sz w:val="18"/>
          <w:szCs w:val="18"/>
        </w:rPr>
        <w:t xml:space="preserve"> Tribunal Superior de Pereira. Sala Civil Familia. Decisión del junio 18 de 2021. Rad.  66001310300120130029401. M.P. Dr. Carlos Mauricio García Barjas. Notificado en estado electrónico del día 21 del mismo mes. </w:t>
      </w:r>
      <w:r w:rsidRPr="00B24DD0">
        <w:rPr>
          <w:rFonts w:ascii="Arial" w:hAnsi="Arial" w:cs="Arial"/>
          <w:b/>
          <w:bCs/>
          <w:sz w:val="18"/>
          <w:szCs w:val="18"/>
        </w:rPr>
        <w:t>(ii)</w:t>
      </w:r>
      <w:r w:rsidRPr="00B24DD0">
        <w:rPr>
          <w:rFonts w:ascii="Arial" w:hAnsi="Arial" w:cs="Arial"/>
          <w:sz w:val="18"/>
          <w:szCs w:val="18"/>
        </w:rPr>
        <w:t xml:space="preserve"> FORERO Silva, Jorge. El Recurso de Apelación y la Pretensión </w:t>
      </w:r>
      <w:proofErr w:type="spellStart"/>
      <w:r w:rsidRPr="00B24DD0">
        <w:rPr>
          <w:rFonts w:ascii="Arial" w:hAnsi="Arial" w:cs="Arial"/>
          <w:sz w:val="18"/>
          <w:szCs w:val="18"/>
        </w:rPr>
        <w:t>impugnaticia</w:t>
      </w:r>
      <w:proofErr w:type="spellEnd"/>
      <w:r w:rsidRPr="00B24DD0">
        <w:rPr>
          <w:rFonts w:ascii="Arial" w:hAnsi="Arial" w:cs="Arial"/>
          <w:sz w:val="18"/>
          <w:szCs w:val="18"/>
        </w:rPr>
        <w:t>. Revista del Instituto Colombiano de Derecho Procesal No. 43.</w:t>
      </w:r>
    </w:p>
  </w:footnote>
  <w:footnote w:id="3">
    <w:p w14:paraId="3AB3D1A7" w14:textId="0D8DDB7F" w:rsidR="005805E6" w:rsidRPr="00B24DD0" w:rsidRDefault="005805E6" w:rsidP="00B24DD0">
      <w:pPr>
        <w:pStyle w:val="Textonotapie"/>
        <w:jc w:val="both"/>
        <w:rPr>
          <w:rFonts w:ascii="Arial" w:hAnsi="Arial" w:cs="Arial"/>
          <w:sz w:val="18"/>
          <w:szCs w:val="18"/>
          <w:lang w:val="es-MX"/>
        </w:rPr>
      </w:pPr>
      <w:r w:rsidRPr="00B24DD0">
        <w:rPr>
          <w:rStyle w:val="Refdenotaalpie"/>
          <w:rFonts w:ascii="Arial" w:hAnsi="Arial" w:cs="Arial"/>
          <w:sz w:val="18"/>
          <w:szCs w:val="18"/>
        </w:rPr>
        <w:footnoteRef/>
      </w:r>
      <w:r w:rsidRPr="00B24DD0">
        <w:rPr>
          <w:rFonts w:ascii="Arial" w:hAnsi="Arial" w:cs="Arial"/>
          <w:sz w:val="18"/>
          <w:szCs w:val="18"/>
        </w:rPr>
        <w:t xml:space="preserve"> </w:t>
      </w:r>
      <w:r w:rsidRPr="00B24DD0">
        <w:rPr>
          <w:rFonts w:ascii="Arial" w:hAnsi="Arial" w:cs="Arial"/>
          <w:i/>
          <w:iCs/>
          <w:sz w:val="18"/>
          <w:szCs w:val="18"/>
        </w:rPr>
        <w:t>“Cuando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p>
  </w:footnote>
  <w:footnote w:id="4">
    <w:p w14:paraId="2F5E6B10" w14:textId="5C49FFCB" w:rsidR="00DC1D9A" w:rsidRPr="00B24DD0" w:rsidRDefault="00DC1D9A" w:rsidP="00B24DD0">
      <w:pPr>
        <w:pStyle w:val="Textonotapie"/>
        <w:jc w:val="both"/>
        <w:rPr>
          <w:rFonts w:ascii="Arial" w:hAnsi="Arial" w:cs="Arial"/>
          <w:sz w:val="18"/>
          <w:szCs w:val="18"/>
          <w:lang w:val="es-MX"/>
        </w:rPr>
      </w:pPr>
      <w:r w:rsidRPr="00B24DD0">
        <w:rPr>
          <w:rStyle w:val="Refdenotaalpie"/>
          <w:rFonts w:ascii="Arial" w:hAnsi="Arial" w:cs="Arial"/>
          <w:sz w:val="18"/>
          <w:szCs w:val="18"/>
        </w:rPr>
        <w:footnoteRef/>
      </w:r>
      <w:r w:rsidRPr="00B24DD0">
        <w:rPr>
          <w:rFonts w:ascii="Arial" w:hAnsi="Arial" w:cs="Arial"/>
          <w:sz w:val="18"/>
          <w:szCs w:val="18"/>
        </w:rPr>
        <w:t xml:space="preserve"> </w:t>
      </w:r>
      <w:r w:rsidRPr="00B24DD0">
        <w:rPr>
          <w:rFonts w:ascii="Arial" w:hAnsi="Arial" w:cs="Arial"/>
          <w:sz w:val="18"/>
          <w:szCs w:val="18"/>
          <w:lang w:val="es-MX"/>
        </w:rPr>
        <w:t xml:space="preserve">Inciso final, artículo 135 del C.G.P: </w:t>
      </w:r>
      <w:r w:rsidRPr="00B24DD0">
        <w:rPr>
          <w:rFonts w:ascii="Arial" w:hAnsi="Arial" w:cs="Arial"/>
          <w:i/>
          <w:iCs/>
          <w:sz w:val="18"/>
          <w:szCs w:val="18"/>
          <w:lang w:val="es-MX"/>
        </w:rPr>
        <w:t>“El juez rechazará de plano la solicitud de nulidad que se funde en causal distinta de las determinadas en este capítulo o en hechos que pudieron alegarse como excepciones previas, o la que se proponga después de saneada o por quien carezca de legitimación.”</w:t>
      </w:r>
    </w:p>
  </w:footnote>
  <w:footnote w:id="5">
    <w:p w14:paraId="1B2D63CC" w14:textId="77777777" w:rsidR="00311332" w:rsidRPr="00B24DD0" w:rsidRDefault="00311332" w:rsidP="00B24DD0">
      <w:pPr>
        <w:pStyle w:val="Textonotapie"/>
        <w:jc w:val="both"/>
        <w:rPr>
          <w:rFonts w:ascii="Arial" w:hAnsi="Arial" w:cs="Arial"/>
          <w:sz w:val="18"/>
          <w:szCs w:val="18"/>
          <w:lang w:val="es-MX"/>
        </w:rPr>
      </w:pPr>
      <w:r w:rsidRPr="00B24DD0">
        <w:rPr>
          <w:rStyle w:val="Refdenotaalpie"/>
          <w:rFonts w:ascii="Arial" w:hAnsi="Arial" w:cs="Arial"/>
          <w:sz w:val="18"/>
          <w:szCs w:val="18"/>
        </w:rPr>
        <w:footnoteRef/>
      </w:r>
      <w:r w:rsidRPr="00B24DD0">
        <w:rPr>
          <w:rFonts w:ascii="Arial" w:hAnsi="Arial" w:cs="Arial"/>
          <w:sz w:val="18"/>
          <w:szCs w:val="18"/>
        </w:rPr>
        <w:t xml:space="preserve"> </w:t>
      </w:r>
      <w:r w:rsidRPr="00B24DD0">
        <w:rPr>
          <w:rFonts w:ascii="Arial" w:hAnsi="Arial" w:cs="Arial"/>
          <w:sz w:val="18"/>
          <w:szCs w:val="18"/>
          <w:lang w:val="es-MX"/>
        </w:rPr>
        <w:t xml:space="preserve">Art. 136 -1 del C.G.P: </w:t>
      </w:r>
      <w:r w:rsidRPr="00B24DD0">
        <w:rPr>
          <w:rFonts w:ascii="Arial" w:hAnsi="Arial" w:cs="Arial"/>
          <w:i/>
          <w:iCs/>
          <w:sz w:val="18"/>
          <w:szCs w:val="18"/>
          <w:lang w:val="es-MX"/>
        </w:rPr>
        <w:t>“Saneamiento de la nulidad. 1. Cuando la parte que podía alegarla no lo hizo oportunamente o actuó sin proponerla.”</w:t>
      </w:r>
    </w:p>
  </w:footnote>
  <w:footnote w:id="6">
    <w:p w14:paraId="048C1B99" w14:textId="39F240AD" w:rsidR="00016E1F" w:rsidRPr="00E80750" w:rsidRDefault="00016E1F" w:rsidP="00B24DD0">
      <w:pPr>
        <w:pStyle w:val="Textonotapie"/>
        <w:jc w:val="both"/>
        <w:rPr>
          <w:rFonts w:ascii="Arial Narrow" w:hAnsi="Arial Narrow"/>
          <w:sz w:val="18"/>
          <w:szCs w:val="18"/>
        </w:rPr>
      </w:pPr>
      <w:r w:rsidRPr="00B24DD0">
        <w:rPr>
          <w:rStyle w:val="Refdenotaalpie"/>
          <w:rFonts w:ascii="Arial" w:hAnsi="Arial" w:cs="Arial"/>
          <w:sz w:val="18"/>
          <w:szCs w:val="18"/>
        </w:rPr>
        <w:footnoteRef/>
      </w:r>
      <w:r w:rsidRPr="00B24DD0">
        <w:rPr>
          <w:rFonts w:ascii="Arial" w:hAnsi="Arial" w:cs="Arial"/>
          <w:sz w:val="18"/>
          <w:szCs w:val="18"/>
        </w:rPr>
        <w:t xml:space="preserve"> </w:t>
      </w:r>
      <w:r w:rsidR="0057750E" w:rsidRPr="00B24DD0">
        <w:rPr>
          <w:rFonts w:ascii="Arial" w:hAnsi="Arial" w:cs="Arial"/>
          <w:sz w:val="18"/>
          <w:szCs w:val="18"/>
        </w:rPr>
        <w:t>Rojas Gómez, Miguel Enrique. Lecciones de derecho procesal. Tomo II. Procedimiento civil. ESAJU. 5ª Edición, Bogotá. P. 473</w:t>
      </w:r>
    </w:p>
  </w:footnote>
  <w:footnote w:id="7">
    <w:p w14:paraId="3FD1A4DF" w14:textId="7856D0BE" w:rsidR="00F60236" w:rsidRPr="000924E8" w:rsidRDefault="00F60236" w:rsidP="00300179">
      <w:pPr>
        <w:jc w:val="both"/>
        <w:rPr>
          <w:rFonts w:ascii="Arial Narrow" w:hAnsi="Arial Narrow"/>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D38A" w14:textId="7E78FB2F" w:rsidR="008A060E" w:rsidRPr="00264CFB" w:rsidRDefault="00317BE5" w:rsidP="00E24191">
    <w:pPr>
      <w:pStyle w:val="Encabezado"/>
      <w:rPr>
        <w:rFonts w:ascii="Arial" w:hAnsi="Arial" w:cs="Arial"/>
        <w:bCs/>
        <w:sz w:val="18"/>
        <w:szCs w:val="16"/>
        <w:lang w:val="es-ES" w:eastAsia="es-MX"/>
      </w:rPr>
    </w:pPr>
    <w:r w:rsidRPr="00264CFB">
      <w:rPr>
        <w:rFonts w:ascii="Arial" w:hAnsi="Arial" w:cs="Arial"/>
        <w:bCs/>
        <w:sz w:val="18"/>
        <w:szCs w:val="16"/>
        <w:lang w:eastAsia="es-MX"/>
      </w:rPr>
      <w:t xml:space="preserve">Verbal - </w:t>
    </w:r>
    <w:r w:rsidR="005D0A82" w:rsidRPr="00264CFB">
      <w:rPr>
        <w:rFonts w:ascii="Arial" w:hAnsi="Arial" w:cs="Arial"/>
        <w:bCs/>
        <w:sz w:val="18"/>
        <w:szCs w:val="16"/>
        <w:lang w:val="es-ES" w:eastAsia="es-MX"/>
      </w:rPr>
      <w:t>Declarativo</w:t>
    </w:r>
    <w:r w:rsidR="008A060E" w:rsidRPr="00264CFB">
      <w:rPr>
        <w:rFonts w:ascii="Arial" w:hAnsi="Arial" w:cs="Arial"/>
        <w:bCs/>
        <w:sz w:val="18"/>
        <w:szCs w:val="16"/>
        <w:lang w:val="es-ES" w:eastAsia="es-MX"/>
      </w:rPr>
      <w:t xml:space="preserve"> – </w:t>
    </w:r>
    <w:r w:rsidR="001A3447" w:rsidRPr="00264CFB">
      <w:rPr>
        <w:rFonts w:ascii="Arial" w:hAnsi="Arial" w:cs="Arial"/>
        <w:bCs/>
        <w:sz w:val="18"/>
        <w:szCs w:val="16"/>
        <w:lang w:val="es-ES" w:eastAsia="es-MX"/>
      </w:rPr>
      <w:t>Responsabilidad Médica</w:t>
    </w:r>
  </w:p>
  <w:p w14:paraId="7EE4A57E" w14:textId="23B39D51" w:rsidR="00B40075" w:rsidRPr="00264CFB" w:rsidRDefault="006E64DB" w:rsidP="00264CFB">
    <w:pPr>
      <w:pStyle w:val="Encabezado"/>
    </w:pPr>
    <w:r w:rsidRPr="00264CFB">
      <w:rPr>
        <w:rFonts w:ascii="Arial" w:hAnsi="Arial" w:cs="Arial"/>
        <w:bCs/>
        <w:sz w:val="18"/>
        <w:szCs w:val="16"/>
        <w:lang w:val="es-ES" w:eastAsia="es-MX"/>
      </w:rPr>
      <w:t xml:space="preserve">Rad. No.: </w:t>
    </w:r>
    <w:r w:rsidR="001A3447" w:rsidRPr="00264CFB">
      <w:rPr>
        <w:rFonts w:ascii="Arial" w:hAnsi="Arial" w:cs="Arial"/>
        <w:sz w:val="18"/>
        <w:szCs w:val="16"/>
      </w:rPr>
      <w:t>66001310300420180068201</w:t>
    </w:r>
    <w:r w:rsidR="0022519E" w:rsidRPr="00DB251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342A693F"/>
    <w:multiLevelType w:val="hybridMultilevel"/>
    <w:tmpl w:val="4FB2F524"/>
    <w:lvl w:ilvl="0" w:tplc="80825C9C">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F4789A"/>
    <w:multiLevelType w:val="hybridMultilevel"/>
    <w:tmpl w:val="2C2C1AF0"/>
    <w:lvl w:ilvl="0" w:tplc="9182A48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num>
  <w:num w:numId="5">
    <w:abstractNumId w:val="3"/>
  </w:num>
  <w:num w:numId="6">
    <w:abstractNumId w:val="4"/>
  </w:num>
  <w:num w:numId="7">
    <w:abstractNumId w:val="0"/>
  </w:num>
  <w:num w:numId="8">
    <w:abstractNumId w:val="1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3B4F"/>
    <w:rsid w:val="0001319C"/>
    <w:rsid w:val="000149E5"/>
    <w:rsid w:val="000164B6"/>
    <w:rsid w:val="00016E1F"/>
    <w:rsid w:val="000219DB"/>
    <w:rsid w:val="00022430"/>
    <w:rsid w:val="000228FA"/>
    <w:rsid w:val="000233F6"/>
    <w:rsid w:val="000275EB"/>
    <w:rsid w:val="00027890"/>
    <w:rsid w:val="0003698D"/>
    <w:rsid w:val="000442CB"/>
    <w:rsid w:val="000459F7"/>
    <w:rsid w:val="0004628B"/>
    <w:rsid w:val="00055236"/>
    <w:rsid w:val="00056E46"/>
    <w:rsid w:val="00067CF2"/>
    <w:rsid w:val="000709D8"/>
    <w:rsid w:val="00071A22"/>
    <w:rsid w:val="00073C1B"/>
    <w:rsid w:val="000740E0"/>
    <w:rsid w:val="0007660C"/>
    <w:rsid w:val="00076D55"/>
    <w:rsid w:val="00082237"/>
    <w:rsid w:val="0008406C"/>
    <w:rsid w:val="00084750"/>
    <w:rsid w:val="000847AA"/>
    <w:rsid w:val="00085E38"/>
    <w:rsid w:val="000924E8"/>
    <w:rsid w:val="000972EE"/>
    <w:rsid w:val="000A0CE9"/>
    <w:rsid w:val="000A17E7"/>
    <w:rsid w:val="000A2CC4"/>
    <w:rsid w:val="000A508E"/>
    <w:rsid w:val="000A5CAE"/>
    <w:rsid w:val="000A7F94"/>
    <w:rsid w:val="000B0F9B"/>
    <w:rsid w:val="000B44C6"/>
    <w:rsid w:val="000B623F"/>
    <w:rsid w:val="000C040B"/>
    <w:rsid w:val="000C19FD"/>
    <w:rsid w:val="000C2C59"/>
    <w:rsid w:val="000C3D5D"/>
    <w:rsid w:val="000C4E94"/>
    <w:rsid w:val="000D0955"/>
    <w:rsid w:val="000E46BB"/>
    <w:rsid w:val="000E4827"/>
    <w:rsid w:val="000E6EB5"/>
    <w:rsid w:val="000E7740"/>
    <w:rsid w:val="000F015D"/>
    <w:rsid w:val="000F0339"/>
    <w:rsid w:val="00100223"/>
    <w:rsid w:val="00105D2F"/>
    <w:rsid w:val="001077AC"/>
    <w:rsid w:val="00111C72"/>
    <w:rsid w:val="00112ADB"/>
    <w:rsid w:val="00122B10"/>
    <w:rsid w:val="00127D45"/>
    <w:rsid w:val="001306D5"/>
    <w:rsid w:val="00132348"/>
    <w:rsid w:val="00132B4F"/>
    <w:rsid w:val="00132FD5"/>
    <w:rsid w:val="001333EE"/>
    <w:rsid w:val="00134232"/>
    <w:rsid w:val="0013522F"/>
    <w:rsid w:val="00136E59"/>
    <w:rsid w:val="00140F5E"/>
    <w:rsid w:val="0014381A"/>
    <w:rsid w:val="00144A11"/>
    <w:rsid w:val="00145833"/>
    <w:rsid w:val="00145F40"/>
    <w:rsid w:val="001528F5"/>
    <w:rsid w:val="0016406B"/>
    <w:rsid w:val="001667CB"/>
    <w:rsid w:val="00170C2A"/>
    <w:rsid w:val="00174FA5"/>
    <w:rsid w:val="00177283"/>
    <w:rsid w:val="0018100F"/>
    <w:rsid w:val="00184326"/>
    <w:rsid w:val="0018557F"/>
    <w:rsid w:val="00190FEA"/>
    <w:rsid w:val="00193A54"/>
    <w:rsid w:val="00196142"/>
    <w:rsid w:val="0019760D"/>
    <w:rsid w:val="001A0D94"/>
    <w:rsid w:val="001A333B"/>
    <w:rsid w:val="001A3447"/>
    <w:rsid w:val="001A677D"/>
    <w:rsid w:val="001A6BEB"/>
    <w:rsid w:val="001A6D31"/>
    <w:rsid w:val="001B05BF"/>
    <w:rsid w:val="001B100D"/>
    <w:rsid w:val="001B3B27"/>
    <w:rsid w:val="001B4499"/>
    <w:rsid w:val="001B6846"/>
    <w:rsid w:val="001C246D"/>
    <w:rsid w:val="001D6E51"/>
    <w:rsid w:val="001D7C87"/>
    <w:rsid w:val="001E1225"/>
    <w:rsid w:val="001E2BFF"/>
    <w:rsid w:val="001E3052"/>
    <w:rsid w:val="001F26DD"/>
    <w:rsid w:val="001F4D73"/>
    <w:rsid w:val="001F5990"/>
    <w:rsid w:val="00201494"/>
    <w:rsid w:val="00205C75"/>
    <w:rsid w:val="00212036"/>
    <w:rsid w:val="002127D4"/>
    <w:rsid w:val="00220A58"/>
    <w:rsid w:val="00220A82"/>
    <w:rsid w:val="0022519E"/>
    <w:rsid w:val="00226D73"/>
    <w:rsid w:val="0023163D"/>
    <w:rsid w:val="00232E28"/>
    <w:rsid w:val="00235223"/>
    <w:rsid w:val="00237A47"/>
    <w:rsid w:val="0024043E"/>
    <w:rsid w:val="00242709"/>
    <w:rsid w:val="002529D8"/>
    <w:rsid w:val="00257F74"/>
    <w:rsid w:val="0026121E"/>
    <w:rsid w:val="002613C4"/>
    <w:rsid w:val="00261F7F"/>
    <w:rsid w:val="00264232"/>
    <w:rsid w:val="00264CFB"/>
    <w:rsid w:val="002833A6"/>
    <w:rsid w:val="00286743"/>
    <w:rsid w:val="0028728E"/>
    <w:rsid w:val="00290181"/>
    <w:rsid w:val="00290233"/>
    <w:rsid w:val="0029729F"/>
    <w:rsid w:val="002A094B"/>
    <w:rsid w:val="002A1DC1"/>
    <w:rsid w:val="002A2E09"/>
    <w:rsid w:val="002A4188"/>
    <w:rsid w:val="002A478E"/>
    <w:rsid w:val="002B0465"/>
    <w:rsid w:val="002B2383"/>
    <w:rsid w:val="002B3ED4"/>
    <w:rsid w:val="002B5093"/>
    <w:rsid w:val="002B5318"/>
    <w:rsid w:val="002B6382"/>
    <w:rsid w:val="002B654C"/>
    <w:rsid w:val="002C2BFC"/>
    <w:rsid w:val="002C328E"/>
    <w:rsid w:val="002C424D"/>
    <w:rsid w:val="002D0064"/>
    <w:rsid w:val="002D125B"/>
    <w:rsid w:val="002D1551"/>
    <w:rsid w:val="002D6761"/>
    <w:rsid w:val="002D76B5"/>
    <w:rsid w:val="002E0A3B"/>
    <w:rsid w:val="002E1032"/>
    <w:rsid w:val="002E2AB2"/>
    <w:rsid w:val="002E36BC"/>
    <w:rsid w:val="002E4939"/>
    <w:rsid w:val="002E4D2D"/>
    <w:rsid w:val="002E51F0"/>
    <w:rsid w:val="002E67A4"/>
    <w:rsid w:val="002E70B2"/>
    <w:rsid w:val="002F0401"/>
    <w:rsid w:val="002F0877"/>
    <w:rsid w:val="002F0BF1"/>
    <w:rsid w:val="002F0CA9"/>
    <w:rsid w:val="002F172A"/>
    <w:rsid w:val="002F76EA"/>
    <w:rsid w:val="002F79E7"/>
    <w:rsid w:val="00300179"/>
    <w:rsid w:val="00301BE6"/>
    <w:rsid w:val="00311332"/>
    <w:rsid w:val="00316614"/>
    <w:rsid w:val="00317BE5"/>
    <w:rsid w:val="00320318"/>
    <w:rsid w:val="00321491"/>
    <w:rsid w:val="003325CF"/>
    <w:rsid w:val="003326BA"/>
    <w:rsid w:val="00332907"/>
    <w:rsid w:val="00340457"/>
    <w:rsid w:val="00347F2F"/>
    <w:rsid w:val="0035289D"/>
    <w:rsid w:val="00353C5F"/>
    <w:rsid w:val="003573A4"/>
    <w:rsid w:val="003602FF"/>
    <w:rsid w:val="00362692"/>
    <w:rsid w:val="00362DEC"/>
    <w:rsid w:val="003640E7"/>
    <w:rsid w:val="00365F93"/>
    <w:rsid w:val="0036685D"/>
    <w:rsid w:val="0036702E"/>
    <w:rsid w:val="003703C6"/>
    <w:rsid w:val="003738D6"/>
    <w:rsid w:val="0037464A"/>
    <w:rsid w:val="00375352"/>
    <w:rsid w:val="00375699"/>
    <w:rsid w:val="003840CB"/>
    <w:rsid w:val="0038565E"/>
    <w:rsid w:val="00385660"/>
    <w:rsid w:val="00386AC3"/>
    <w:rsid w:val="00387BD6"/>
    <w:rsid w:val="003917A3"/>
    <w:rsid w:val="00394716"/>
    <w:rsid w:val="00395DF3"/>
    <w:rsid w:val="00396D32"/>
    <w:rsid w:val="003A38E4"/>
    <w:rsid w:val="003A4150"/>
    <w:rsid w:val="003A6254"/>
    <w:rsid w:val="003B0CD5"/>
    <w:rsid w:val="003B1F61"/>
    <w:rsid w:val="003B33A7"/>
    <w:rsid w:val="003B34A5"/>
    <w:rsid w:val="003B3C63"/>
    <w:rsid w:val="003B4566"/>
    <w:rsid w:val="003C0B92"/>
    <w:rsid w:val="003C2EF7"/>
    <w:rsid w:val="003C3348"/>
    <w:rsid w:val="003C4CE2"/>
    <w:rsid w:val="003C7CA0"/>
    <w:rsid w:val="003D0027"/>
    <w:rsid w:val="003D1761"/>
    <w:rsid w:val="003D31C9"/>
    <w:rsid w:val="003D5B7E"/>
    <w:rsid w:val="003E164A"/>
    <w:rsid w:val="003E1799"/>
    <w:rsid w:val="003E3C23"/>
    <w:rsid w:val="003E7601"/>
    <w:rsid w:val="003E7C1A"/>
    <w:rsid w:val="003F022A"/>
    <w:rsid w:val="003F597F"/>
    <w:rsid w:val="004025BD"/>
    <w:rsid w:val="0040302B"/>
    <w:rsid w:val="00403A7E"/>
    <w:rsid w:val="004046A3"/>
    <w:rsid w:val="00406F6D"/>
    <w:rsid w:val="00412AEF"/>
    <w:rsid w:val="00420219"/>
    <w:rsid w:val="004204A1"/>
    <w:rsid w:val="0042174C"/>
    <w:rsid w:val="004224F3"/>
    <w:rsid w:val="0042545C"/>
    <w:rsid w:val="00425ED7"/>
    <w:rsid w:val="004307CD"/>
    <w:rsid w:val="00433347"/>
    <w:rsid w:val="00434816"/>
    <w:rsid w:val="00436F5C"/>
    <w:rsid w:val="004375F5"/>
    <w:rsid w:val="004475A7"/>
    <w:rsid w:val="00452587"/>
    <w:rsid w:val="00452BFC"/>
    <w:rsid w:val="00462631"/>
    <w:rsid w:val="00463711"/>
    <w:rsid w:val="00471D78"/>
    <w:rsid w:val="00471F78"/>
    <w:rsid w:val="0047317F"/>
    <w:rsid w:val="00474021"/>
    <w:rsid w:val="0047587D"/>
    <w:rsid w:val="00482377"/>
    <w:rsid w:val="004840D7"/>
    <w:rsid w:val="004876DB"/>
    <w:rsid w:val="00493F12"/>
    <w:rsid w:val="0049648C"/>
    <w:rsid w:val="00496750"/>
    <w:rsid w:val="004A3B02"/>
    <w:rsid w:val="004A6AF5"/>
    <w:rsid w:val="004B302F"/>
    <w:rsid w:val="004B3C00"/>
    <w:rsid w:val="004B55E9"/>
    <w:rsid w:val="004C41A9"/>
    <w:rsid w:val="004C7360"/>
    <w:rsid w:val="004D26E7"/>
    <w:rsid w:val="004D4452"/>
    <w:rsid w:val="004D53FB"/>
    <w:rsid w:val="004E4B9F"/>
    <w:rsid w:val="004E68D8"/>
    <w:rsid w:val="004E6C64"/>
    <w:rsid w:val="004F0480"/>
    <w:rsid w:val="004F20CB"/>
    <w:rsid w:val="004F630C"/>
    <w:rsid w:val="00500992"/>
    <w:rsid w:val="005013B0"/>
    <w:rsid w:val="0050728B"/>
    <w:rsid w:val="00515B78"/>
    <w:rsid w:val="0051613B"/>
    <w:rsid w:val="00516A6A"/>
    <w:rsid w:val="00522919"/>
    <w:rsid w:val="0052338C"/>
    <w:rsid w:val="00523A34"/>
    <w:rsid w:val="00533B7D"/>
    <w:rsid w:val="00533D6F"/>
    <w:rsid w:val="00540978"/>
    <w:rsid w:val="005411B8"/>
    <w:rsid w:val="005424B8"/>
    <w:rsid w:val="00543D27"/>
    <w:rsid w:val="00547FB1"/>
    <w:rsid w:val="00552BA6"/>
    <w:rsid w:val="00552FB6"/>
    <w:rsid w:val="00553218"/>
    <w:rsid w:val="00553DD8"/>
    <w:rsid w:val="005619AC"/>
    <w:rsid w:val="00563AFD"/>
    <w:rsid w:val="00565130"/>
    <w:rsid w:val="00566C09"/>
    <w:rsid w:val="00570580"/>
    <w:rsid w:val="00572038"/>
    <w:rsid w:val="00572C2F"/>
    <w:rsid w:val="005741D4"/>
    <w:rsid w:val="00575295"/>
    <w:rsid w:val="00576C77"/>
    <w:rsid w:val="0057750E"/>
    <w:rsid w:val="005805E6"/>
    <w:rsid w:val="0058259A"/>
    <w:rsid w:val="0058401B"/>
    <w:rsid w:val="00587D08"/>
    <w:rsid w:val="0059382A"/>
    <w:rsid w:val="00594E2A"/>
    <w:rsid w:val="005A01AF"/>
    <w:rsid w:val="005A225A"/>
    <w:rsid w:val="005A3430"/>
    <w:rsid w:val="005A40DF"/>
    <w:rsid w:val="005A42E8"/>
    <w:rsid w:val="005A6667"/>
    <w:rsid w:val="005A72F1"/>
    <w:rsid w:val="005A79D7"/>
    <w:rsid w:val="005B1FC6"/>
    <w:rsid w:val="005C1FC6"/>
    <w:rsid w:val="005C2704"/>
    <w:rsid w:val="005C2B95"/>
    <w:rsid w:val="005C40BA"/>
    <w:rsid w:val="005C7986"/>
    <w:rsid w:val="005D0A82"/>
    <w:rsid w:val="005D19D6"/>
    <w:rsid w:val="005D5ED1"/>
    <w:rsid w:val="005D6E99"/>
    <w:rsid w:val="005E54C1"/>
    <w:rsid w:val="005E6464"/>
    <w:rsid w:val="005F1E7F"/>
    <w:rsid w:val="005F46CB"/>
    <w:rsid w:val="005F5678"/>
    <w:rsid w:val="005F6C1C"/>
    <w:rsid w:val="00600A9E"/>
    <w:rsid w:val="00601CBB"/>
    <w:rsid w:val="00601DB6"/>
    <w:rsid w:val="0060314A"/>
    <w:rsid w:val="00603E4C"/>
    <w:rsid w:val="00604409"/>
    <w:rsid w:val="006075EC"/>
    <w:rsid w:val="0061063F"/>
    <w:rsid w:val="00614BC5"/>
    <w:rsid w:val="00616BD9"/>
    <w:rsid w:val="00616D7C"/>
    <w:rsid w:val="00620BF1"/>
    <w:rsid w:val="00621847"/>
    <w:rsid w:val="006218E5"/>
    <w:rsid w:val="0062449A"/>
    <w:rsid w:val="00624605"/>
    <w:rsid w:val="00624BE0"/>
    <w:rsid w:val="00634709"/>
    <w:rsid w:val="00634E0C"/>
    <w:rsid w:val="00637197"/>
    <w:rsid w:val="00640F7C"/>
    <w:rsid w:val="00643793"/>
    <w:rsid w:val="00646408"/>
    <w:rsid w:val="0065336B"/>
    <w:rsid w:val="006544D7"/>
    <w:rsid w:val="00655E79"/>
    <w:rsid w:val="00657455"/>
    <w:rsid w:val="00663350"/>
    <w:rsid w:val="00663B48"/>
    <w:rsid w:val="00664086"/>
    <w:rsid w:val="006665CE"/>
    <w:rsid w:val="0066742C"/>
    <w:rsid w:val="006746F9"/>
    <w:rsid w:val="00685A6C"/>
    <w:rsid w:val="00690F27"/>
    <w:rsid w:val="0069204D"/>
    <w:rsid w:val="0069467F"/>
    <w:rsid w:val="006A1DE7"/>
    <w:rsid w:val="006A60F4"/>
    <w:rsid w:val="006B04AE"/>
    <w:rsid w:val="006B4182"/>
    <w:rsid w:val="006B4C30"/>
    <w:rsid w:val="006B69C6"/>
    <w:rsid w:val="006C1FC3"/>
    <w:rsid w:val="006C3363"/>
    <w:rsid w:val="006C503C"/>
    <w:rsid w:val="006D01FD"/>
    <w:rsid w:val="006D080D"/>
    <w:rsid w:val="006D0BE9"/>
    <w:rsid w:val="006D197D"/>
    <w:rsid w:val="006D4513"/>
    <w:rsid w:val="006D4808"/>
    <w:rsid w:val="006D4FC8"/>
    <w:rsid w:val="006D5536"/>
    <w:rsid w:val="006D59AB"/>
    <w:rsid w:val="006D790E"/>
    <w:rsid w:val="006D7A8D"/>
    <w:rsid w:val="006E0A99"/>
    <w:rsid w:val="006E3DD2"/>
    <w:rsid w:val="006E5CFC"/>
    <w:rsid w:val="006E64DB"/>
    <w:rsid w:val="006F0784"/>
    <w:rsid w:val="006F23F9"/>
    <w:rsid w:val="006F2601"/>
    <w:rsid w:val="007025D4"/>
    <w:rsid w:val="0070698D"/>
    <w:rsid w:val="00707728"/>
    <w:rsid w:val="00707FE8"/>
    <w:rsid w:val="00714952"/>
    <w:rsid w:val="00714B0E"/>
    <w:rsid w:val="007169B8"/>
    <w:rsid w:val="007258A4"/>
    <w:rsid w:val="00725DA0"/>
    <w:rsid w:val="0073314B"/>
    <w:rsid w:val="00733620"/>
    <w:rsid w:val="00735A36"/>
    <w:rsid w:val="007451D8"/>
    <w:rsid w:val="00745828"/>
    <w:rsid w:val="00753E04"/>
    <w:rsid w:val="0075772F"/>
    <w:rsid w:val="00762B98"/>
    <w:rsid w:val="00762D8B"/>
    <w:rsid w:val="00763ADB"/>
    <w:rsid w:val="00763C64"/>
    <w:rsid w:val="007653F0"/>
    <w:rsid w:val="00765FA9"/>
    <w:rsid w:val="00767143"/>
    <w:rsid w:val="00767234"/>
    <w:rsid w:val="00772F28"/>
    <w:rsid w:val="0077354F"/>
    <w:rsid w:val="007737FC"/>
    <w:rsid w:val="00774678"/>
    <w:rsid w:val="007757C1"/>
    <w:rsid w:val="00780B77"/>
    <w:rsid w:val="00793429"/>
    <w:rsid w:val="0079465A"/>
    <w:rsid w:val="00794943"/>
    <w:rsid w:val="007970FA"/>
    <w:rsid w:val="007A1004"/>
    <w:rsid w:val="007A5730"/>
    <w:rsid w:val="007B1045"/>
    <w:rsid w:val="007B2AD4"/>
    <w:rsid w:val="007B3E90"/>
    <w:rsid w:val="007B58D8"/>
    <w:rsid w:val="007B793E"/>
    <w:rsid w:val="007C2FD8"/>
    <w:rsid w:val="007C5CDD"/>
    <w:rsid w:val="007C72F3"/>
    <w:rsid w:val="007D078D"/>
    <w:rsid w:val="007D1747"/>
    <w:rsid w:val="007D4C81"/>
    <w:rsid w:val="007D7039"/>
    <w:rsid w:val="007E2F07"/>
    <w:rsid w:val="007E4BB9"/>
    <w:rsid w:val="007E5FF3"/>
    <w:rsid w:val="007E6704"/>
    <w:rsid w:val="007E7FBD"/>
    <w:rsid w:val="007F1D5C"/>
    <w:rsid w:val="007F74A9"/>
    <w:rsid w:val="007F7BE8"/>
    <w:rsid w:val="00801979"/>
    <w:rsid w:val="008026A2"/>
    <w:rsid w:val="00806569"/>
    <w:rsid w:val="00807D92"/>
    <w:rsid w:val="00811A03"/>
    <w:rsid w:val="0081420A"/>
    <w:rsid w:val="008154EB"/>
    <w:rsid w:val="00815F1F"/>
    <w:rsid w:val="008162CC"/>
    <w:rsid w:val="008224D8"/>
    <w:rsid w:val="00825B36"/>
    <w:rsid w:val="008304F3"/>
    <w:rsid w:val="00831BB3"/>
    <w:rsid w:val="0083296E"/>
    <w:rsid w:val="0083304C"/>
    <w:rsid w:val="0083451E"/>
    <w:rsid w:val="00835C8B"/>
    <w:rsid w:val="00836CC8"/>
    <w:rsid w:val="008417D9"/>
    <w:rsid w:val="008425AD"/>
    <w:rsid w:val="00842777"/>
    <w:rsid w:val="00845D23"/>
    <w:rsid w:val="0085163D"/>
    <w:rsid w:val="00851FD5"/>
    <w:rsid w:val="0085345B"/>
    <w:rsid w:val="008569A8"/>
    <w:rsid w:val="008577BC"/>
    <w:rsid w:val="00862838"/>
    <w:rsid w:val="00863EBE"/>
    <w:rsid w:val="0086480A"/>
    <w:rsid w:val="00865520"/>
    <w:rsid w:val="00866262"/>
    <w:rsid w:val="008676DA"/>
    <w:rsid w:val="008714EC"/>
    <w:rsid w:val="00871C76"/>
    <w:rsid w:val="008721D1"/>
    <w:rsid w:val="008738E5"/>
    <w:rsid w:val="00877DA5"/>
    <w:rsid w:val="00881B33"/>
    <w:rsid w:val="008857BE"/>
    <w:rsid w:val="008961EF"/>
    <w:rsid w:val="00896560"/>
    <w:rsid w:val="008A060E"/>
    <w:rsid w:val="008A358A"/>
    <w:rsid w:val="008A506B"/>
    <w:rsid w:val="008A6A51"/>
    <w:rsid w:val="008A6B45"/>
    <w:rsid w:val="008A790A"/>
    <w:rsid w:val="008B08C4"/>
    <w:rsid w:val="008B34E5"/>
    <w:rsid w:val="008B5DB3"/>
    <w:rsid w:val="008B7FD1"/>
    <w:rsid w:val="008D10C2"/>
    <w:rsid w:val="008D17F7"/>
    <w:rsid w:val="008D1D00"/>
    <w:rsid w:val="008D4190"/>
    <w:rsid w:val="008E1A70"/>
    <w:rsid w:val="008E3ACE"/>
    <w:rsid w:val="008E6353"/>
    <w:rsid w:val="008E6FB5"/>
    <w:rsid w:val="008F525A"/>
    <w:rsid w:val="008F5C0B"/>
    <w:rsid w:val="008F5FE8"/>
    <w:rsid w:val="009060D4"/>
    <w:rsid w:val="00906DCD"/>
    <w:rsid w:val="00910B97"/>
    <w:rsid w:val="0091373D"/>
    <w:rsid w:val="00915083"/>
    <w:rsid w:val="00916045"/>
    <w:rsid w:val="009177B2"/>
    <w:rsid w:val="00922FA1"/>
    <w:rsid w:val="009247C9"/>
    <w:rsid w:val="00925ACF"/>
    <w:rsid w:val="00930A3E"/>
    <w:rsid w:val="00933B7C"/>
    <w:rsid w:val="00934977"/>
    <w:rsid w:val="009356EF"/>
    <w:rsid w:val="009420CC"/>
    <w:rsid w:val="0094548E"/>
    <w:rsid w:val="0094603D"/>
    <w:rsid w:val="009476F4"/>
    <w:rsid w:val="00947B30"/>
    <w:rsid w:val="009544D3"/>
    <w:rsid w:val="009553EE"/>
    <w:rsid w:val="00957A60"/>
    <w:rsid w:val="00960097"/>
    <w:rsid w:val="00961BD8"/>
    <w:rsid w:val="0096495D"/>
    <w:rsid w:val="00965074"/>
    <w:rsid w:val="00967278"/>
    <w:rsid w:val="00967514"/>
    <w:rsid w:val="0097078D"/>
    <w:rsid w:val="00974176"/>
    <w:rsid w:val="00974BE8"/>
    <w:rsid w:val="0098007B"/>
    <w:rsid w:val="00980134"/>
    <w:rsid w:val="00980FC3"/>
    <w:rsid w:val="009847CD"/>
    <w:rsid w:val="009912E0"/>
    <w:rsid w:val="00991A7F"/>
    <w:rsid w:val="00993DF3"/>
    <w:rsid w:val="00994437"/>
    <w:rsid w:val="009956D6"/>
    <w:rsid w:val="00995C45"/>
    <w:rsid w:val="009A1B36"/>
    <w:rsid w:val="009A4720"/>
    <w:rsid w:val="009B0B8C"/>
    <w:rsid w:val="009B11B7"/>
    <w:rsid w:val="009B3128"/>
    <w:rsid w:val="009B7247"/>
    <w:rsid w:val="009C169B"/>
    <w:rsid w:val="009D302C"/>
    <w:rsid w:val="009D684C"/>
    <w:rsid w:val="009E3AC4"/>
    <w:rsid w:val="009E5BC0"/>
    <w:rsid w:val="009E63B6"/>
    <w:rsid w:val="009E70F1"/>
    <w:rsid w:val="009E7988"/>
    <w:rsid w:val="009F2275"/>
    <w:rsid w:val="009F4224"/>
    <w:rsid w:val="009F6277"/>
    <w:rsid w:val="009F78A9"/>
    <w:rsid w:val="009F7B94"/>
    <w:rsid w:val="00A0195E"/>
    <w:rsid w:val="00A01E8E"/>
    <w:rsid w:val="00A03913"/>
    <w:rsid w:val="00A04133"/>
    <w:rsid w:val="00A07465"/>
    <w:rsid w:val="00A10B7A"/>
    <w:rsid w:val="00A135E8"/>
    <w:rsid w:val="00A1463D"/>
    <w:rsid w:val="00A14703"/>
    <w:rsid w:val="00A15249"/>
    <w:rsid w:val="00A21965"/>
    <w:rsid w:val="00A25A55"/>
    <w:rsid w:val="00A27078"/>
    <w:rsid w:val="00A34A67"/>
    <w:rsid w:val="00A410D2"/>
    <w:rsid w:val="00A46642"/>
    <w:rsid w:val="00A46F3F"/>
    <w:rsid w:val="00A476F6"/>
    <w:rsid w:val="00A52F89"/>
    <w:rsid w:val="00A54E0C"/>
    <w:rsid w:val="00A677F3"/>
    <w:rsid w:val="00A67E1C"/>
    <w:rsid w:val="00A721F4"/>
    <w:rsid w:val="00A764C2"/>
    <w:rsid w:val="00A764C7"/>
    <w:rsid w:val="00A77496"/>
    <w:rsid w:val="00A774DC"/>
    <w:rsid w:val="00A77FF5"/>
    <w:rsid w:val="00A8173C"/>
    <w:rsid w:val="00A85773"/>
    <w:rsid w:val="00A85AA5"/>
    <w:rsid w:val="00A92213"/>
    <w:rsid w:val="00A94344"/>
    <w:rsid w:val="00A97C73"/>
    <w:rsid w:val="00AA06DD"/>
    <w:rsid w:val="00AA2B24"/>
    <w:rsid w:val="00AA6C55"/>
    <w:rsid w:val="00AA7465"/>
    <w:rsid w:val="00AA7624"/>
    <w:rsid w:val="00AA7DE1"/>
    <w:rsid w:val="00AB3BDE"/>
    <w:rsid w:val="00AB441D"/>
    <w:rsid w:val="00AC2839"/>
    <w:rsid w:val="00AC46C5"/>
    <w:rsid w:val="00AC472E"/>
    <w:rsid w:val="00AC4E09"/>
    <w:rsid w:val="00AC7F5B"/>
    <w:rsid w:val="00AD1074"/>
    <w:rsid w:val="00AD28CD"/>
    <w:rsid w:val="00AD582C"/>
    <w:rsid w:val="00AD698D"/>
    <w:rsid w:val="00AD6BBB"/>
    <w:rsid w:val="00AE0C86"/>
    <w:rsid w:val="00AE1759"/>
    <w:rsid w:val="00AE21CF"/>
    <w:rsid w:val="00AE2290"/>
    <w:rsid w:val="00AE28E4"/>
    <w:rsid w:val="00AE33A2"/>
    <w:rsid w:val="00AE51F2"/>
    <w:rsid w:val="00AE5F22"/>
    <w:rsid w:val="00AE6690"/>
    <w:rsid w:val="00AF0BB2"/>
    <w:rsid w:val="00AF0C7A"/>
    <w:rsid w:val="00AF1C95"/>
    <w:rsid w:val="00B000F0"/>
    <w:rsid w:val="00B00FE0"/>
    <w:rsid w:val="00B070DD"/>
    <w:rsid w:val="00B07DC0"/>
    <w:rsid w:val="00B10829"/>
    <w:rsid w:val="00B10B5F"/>
    <w:rsid w:val="00B121BB"/>
    <w:rsid w:val="00B16618"/>
    <w:rsid w:val="00B16A48"/>
    <w:rsid w:val="00B20D74"/>
    <w:rsid w:val="00B210A2"/>
    <w:rsid w:val="00B2117B"/>
    <w:rsid w:val="00B21F2F"/>
    <w:rsid w:val="00B232AB"/>
    <w:rsid w:val="00B24DD0"/>
    <w:rsid w:val="00B2646E"/>
    <w:rsid w:val="00B30AB6"/>
    <w:rsid w:val="00B3396C"/>
    <w:rsid w:val="00B34579"/>
    <w:rsid w:val="00B37C1C"/>
    <w:rsid w:val="00B37D81"/>
    <w:rsid w:val="00B40075"/>
    <w:rsid w:val="00B4009D"/>
    <w:rsid w:val="00B412B4"/>
    <w:rsid w:val="00B43282"/>
    <w:rsid w:val="00B43A39"/>
    <w:rsid w:val="00B4444E"/>
    <w:rsid w:val="00B472AA"/>
    <w:rsid w:val="00B509A9"/>
    <w:rsid w:val="00B52842"/>
    <w:rsid w:val="00B54669"/>
    <w:rsid w:val="00B6427A"/>
    <w:rsid w:val="00B6625A"/>
    <w:rsid w:val="00B67827"/>
    <w:rsid w:val="00B73168"/>
    <w:rsid w:val="00B740BD"/>
    <w:rsid w:val="00B75565"/>
    <w:rsid w:val="00B7732C"/>
    <w:rsid w:val="00B825BE"/>
    <w:rsid w:val="00B86557"/>
    <w:rsid w:val="00B87293"/>
    <w:rsid w:val="00B94F7D"/>
    <w:rsid w:val="00B96692"/>
    <w:rsid w:val="00B9752F"/>
    <w:rsid w:val="00BA1302"/>
    <w:rsid w:val="00BA2CF2"/>
    <w:rsid w:val="00BA2E18"/>
    <w:rsid w:val="00BA7CE1"/>
    <w:rsid w:val="00BB0C7E"/>
    <w:rsid w:val="00BB7117"/>
    <w:rsid w:val="00BC1D59"/>
    <w:rsid w:val="00BD15C3"/>
    <w:rsid w:val="00BD20B8"/>
    <w:rsid w:val="00BD27F5"/>
    <w:rsid w:val="00BD2934"/>
    <w:rsid w:val="00BD57E8"/>
    <w:rsid w:val="00BD6A71"/>
    <w:rsid w:val="00BE15D5"/>
    <w:rsid w:val="00BE1E4C"/>
    <w:rsid w:val="00BE6D2B"/>
    <w:rsid w:val="00BE707B"/>
    <w:rsid w:val="00BF0380"/>
    <w:rsid w:val="00BF2483"/>
    <w:rsid w:val="00BF2539"/>
    <w:rsid w:val="00BF6279"/>
    <w:rsid w:val="00BF695C"/>
    <w:rsid w:val="00C0235F"/>
    <w:rsid w:val="00C068B3"/>
    <w:rsid w:val="00C111C4"/>
    <w:rsid w:val="00C13203"/>
    <w:rsid w:val="00C13E06"/>
    <w:rsid w:val="00C14141"/>
    <w:rsid w:val="00C20109"/>
    <w:rsid w:val="00C239B8"/>
    <w:rsid w:val="00C23DC0"/>
    <w:rsid w:val="00C24A49"/>
    <w:rsid w:val="00C25548"/>
    <w:rsid w:val="00C25892"/>
    <w:rsid w:val="00C26BFB"/>
    <w:rsid w:val="00C27B75"/>
    <w:rsid w:val="00C27EC4"/>
    <w:rsid w:val="00C3057F"/>
    <w:rsid w:val="00C312F4"/>
    <w:rsid w:val="00C314CD"/>
    <w:rsid w:val="00C32783"/>
    <w:rsid w:val="00C350B6"/>
    <w:rsid w:val="00C37ABB"/>
    <w:rsid w:val="00C40462"/>
    <w:rsid w:val="00C4249A"/>
    <w:rsid w:val="00C468ED"/>
    <w:rsid w:val="00C50198"/>
    <w:rsid w:val="00C50418"/>
    <w:rsid w:val="00C51640"/>
    <w:rsid w:val="00C52E3C"/>
    <w:rsid w:val="00C5647A"/>
    <w:rsid w:val="00C57F5E"/>
    <w:rsid w:val="00C6517E"/>
    <w:rsid w:val="00C721CD"/>
    <w:rsid w:val="00C87FAD"/>
    <w:rsid w:val="00C91EF8"/>
    <w:rsid w:val="00C9264A"/>
    <w:rsid w:val="00C92AC5"/>
    <w:rsid w:val="00C95353"/>
    <w:rsid w:val="00CA041F"/>
    <w:rsid w:val="00CA5C41"/>
    <w:rsid w:val="00CB520E"/>
    <w:rsid w:val="00CC01A4"/>
    <w:rsid w:val="00CC0204"/>
    <w:rsid w:val="00CC5EB7"/>
    <w:rsid w:val="00CD0A5B"/>
    <w:rsid w:val="00CD27F2"/>
    <w:rsid w:val="00CD3199"/>
    <w:rsid w:val="00CD31CE"/>
    <w:rsid w:val="00CD3561"/>
    <w:rsid w:val="00CD377B"/>
    <w:rsid w:val="00CD7743"/>
    <w:rsid w:val="00CE1945"/>
    <w:rsid w:val="00CE5926"/>
    <w:rsid w:val="00CF0356"/>
    <w:rsid w:val="00CF11AD"/>
    <w:rsid w:val="00CF2D0B"/>
    <w:rsid w:val="00CF37A2"/>
    <w:rsid w:val="00CF7E9B"/>
    <w:rsid w:val="00D00536"/>
    <w:rsid w:val="00D01676"/>
    <w:rsid w:val="00D04885"/>
    <w:rsid w:val="00D05629"/>
    <w:rsid w:val="00D065E4"/>
    <w:rsid w:val="00D13C19"/>
    <w:rsid w:val="00D155A6"/>
    <w:rsid w:val="00D165C0"/>
    <w:rsid w:val="00D16893"/>
    <w:rsid w:val="00D17C2B"/>
    <w:rsid w:val="00D21B06"/>
    <w:rsid w:val="00D23225"/>
    <w:rsid w:val="00D240AA"/>
    <w:rsid w:val="00D25754"/>
    <w:rsid w:val="00D25A34"/>
    <w:rsid w:val="00D26F5B"/>
    <w:rsid w:val="00D36866"/>
    <w:rsid w:val="00D36F7A"/>
    <w:rsid w:val="00D414D8"/>
    <w:rsid w:val="00D4154B"/>
    <w:rsid w:val="00D42684"/>
    <w:rsid w:val="00D444B6"/>
    <w:rsid w:val="00D4637E"/>
    <w:rsid w:val="00D46C70"/>
    <w:rsid w:val="00D470D6"/>
    <w:rsid w:val="00D52851"/>
    <w:rsid w:val="00D52E00"/>
    <w:rsid w:val="00D5669E"/>
    <w:rsid w:val="00D56B8D"/>
    <w:rsid w:val="00D61185"/>
    <w:rsid w:val="00D635D4"/>
    <w:rsid w:val="00D64E88"/>
    <w:rsid w:val="00D663EE"/>
    <w:rsid w:val="00D66965"/>
    <w:rsid w:val="00D66F3B"/>
    <w:rsid w:val="00D70679"/>
    <w:rsid w:val="00D708F6"/>
    <w:rsid w:val="00D723A5"/>
    <w:rsid w:val="00D757A4"/>
    <w:rsid w:val="00D75C9D"/>
    <w:rsid w:val="00D76214"/>
    <w:rsid w:val="00D7702A"/>
    <w:rsid w:val="00D77AFF"/>
    <w:rsid w:val="00D80A32"/>
    <w:rsid w:val="00D80DE1"/>
    <w:rsid w:val="00D84DA8"/>
    <w:rsid w:val="00D85837"/>
    <w:rsid w:val="00D90873"/>
    <w:rsid w:val="00D9137D"/>
    <w:rsid w:val="00D92F8E"/>
    <w:rsid w:val="00D93089"/>
    <w:rsid w:val="00DA137E"/>
    <w:rsid w:val="00DA41A4"/>
    <w:rsid w:val="00DA7966"/>
    <w:rsid w:val="00DB050A"/>
    <w:rsid w:val="00DB251B"/>
    <w:rsid w:val="00DB2961"/>
    <w:rsid w:val="00DB379F"/>
    <w:rsid w:val="00DB48F2"/>
    <w:rsid w:val="00DB5A46"/>
    <w:rsid w:val="00DB7799"/>
    <w:rsid w:val="00DB7AB6"/>
    <w:rsid w:val="00DB7C2D"/>
    <w:rsid w:val="00DC1D9A"/>
    <w:rsid w:val="00DC248F"/>
    <w:rsid w:val="00DC26CA"/>
    <w:rsid w:val="00DC3561"/>
    <w:rsid w:val="00DC577E"/>
    <w:rsid w:val="00DC7F5D"/>
    <w:rsid w:val="00DD2612"/>
    <w:rsid w:val="00DD7103"/>
    <w:rsid w:val="00DE3B7A"/>
    <w:rsid w:val="00DE4FC2"/>
    <w:rsid w:val="00DE5EC0"/>
    <w:rsid w:val="00DF00B2"/>
    <w:rsid w:val="00DF07E8"/>
    <w:rsid w:val="00DF2AD3"/>
    <w:rsid w:val="00DF38A4"/>
    <w:rsid w:val="00DF7AFC"/>
    <w:rsid w:val="00E02143"/>
    <w:rsid w:val="00E040F9"/>
    <w:rsid w:val="00E12CDC"/>
    <w:rsid w:val="00E16C50"/>
    <w:rsid w:val="00E2044F"/>
    <w:rsid w:val="00E24191"/>
    <w:rsid w:val="00E27DFB"/>
    <w:rsid w:val="00E32D83"/>
    <w:rsid w:val="00E34987"/>
    <w:rsid w:val="00E37649"/>
    <w:rsid w:val="00E44BA3"/>
    <w:rsid w:val="00E45A26"/>
    <w:rsid w:val="00E52345"/>
    <w:rsid w:val="00E525B9"/>
    <w:rsid w:val="00E535CE"/>
    <w:rsid w:val="00E55150"/>
    <w:rsid w:val="00E61C40"/>
    <w:rsid w:val="00E709CC"/>
    <w:rsid w:val="00E728B8"/>
    <w:rsid w:val="00E754B9"/>
    <w:rsid w:val="00E75996"/>
    <w:rsid w:val="00E76061"/>
    <w:rsid w:val="00E80750"/>
    <w:rsid w:val="00E80D4E"/>
    <w:rsid w:val="00E828AF"/>
    <w:rsid w:val="00E82ADE"/>
    <w:rsid w:val="00E82BF0"/>
    <w:rsid w:val="00E834ED"/>
    <w:rsid w:val="00E85E42"/>
    <w:rsid w:val="00E8744D"/>
    <w:rsid w:val="00E93E74"/>
    <w:rsid w:val="00E945DB"/>
    <w:rsid w:val="00EA1E5F"/>
    <w:rsid w:val="00EA319E"/>
    <w:rsid w:val="00EA3EF6"/>
    <w:rsid w:val="00EA5179"/>
    <w:rsid w:val="00EA7B32"/>
    <w:rsid w:val="00EB1834"/>
    <w:rsid w:val="00EB1890"/>
    <w:rsid w:val="00EB2BFB"/>
    <w:rsid w:val="00EB45D6"/>
    <w:rsid w:val="00EB4E7A"/>
    <w:rsid w:val="00EB7DF4"/>
    <w:rsid w:val="00EC0793"/>
    <w:rsid w:val="00EC2AD2"/>
    <w:rsid w:val="00EC3E00"/>
    <w:rsid w:val="00EC638A"/>
    <w:rsid w:val="00EC7747"/>
    <w:rsid w:val="00ED01B6"/>
    <w:rsid w:val="00ED020D"/>
    <w:rsid w:val="00ED1400"/>
    <w:rsid w:val="00ED45AF"/>
    <w:rsid w:val="00ED51AD"/>
    <w:rsid w:val="00ED53AF"/>
    <w:rsid w:val="00ED7F48"/>
    <w:rsid w:val="00EE17B4"/>
    <w:rsid w:val="00EE3D96"/>
    <w:rsid w:val="00EE4B31"/>
    <w:rsid w:val="00EF2A3B"/>
    <w:rsid w:val="00EF6A19"/>
    <w:rsid w:val="00EF73B8"/>
    <w:rsid w:val="00F024B5"/>
    <w:rsid w:val="00F03602"/>
    <w:rsid w:val="00F11964"/>
    <w:rsid w:val="00F22196"/>
    <w:rsid w:val="00F24D07"/>
    <w:rsid w:val="00F25E1D"/>
    <w:rsid w:val="00F3296F"/>
    <w:rsid w:val="00F330FD"/>
    <w:rsid w:val="00F378AB"/>
    <w:rsid w:val="00F5026D"/>
    <w:rsid w:val="00F53152"/>
    <w:rsid w:val="00F53850"/>
    <w:rsid w:val="00F551DD"/>
    <w:rsid w:val="00F60236"/>
    <w:rsid w:val="00F617DD"/>
    <w:rsid w:val="00F62EC9"/>
    <w:rsid w:val="00F66838"/>
    <w:rsid w:val="00F66886"/>
    <w:rsid w:val="00F77723"/>
    <w:rsid w:val="00F832CF"/>
    <w:rsid w:val="00F85D63"/>
    <w:rsid w:val="00F91260"/>
    <w:rsid w:val="00FA0B2A"/>
    <w:rsid w:val="00FA2D38"/>
    <w:rsid w:val="00FB1245"/>
    <w:rsid w:val="00FC15BC"/>
    <w:rsid w:val="00FC3B3A"/>
    <w:rsid w:val="00FD5B19"/>
    <w:rsid w:val="00FD7417"/>
    <w:rsid w:val="00FE0282"/>
    <w:rsid w:val="00FE0B9F"/>
    <w:rsid w:val="00FE0E27"/>
    <w:rsid w:val="00FE0F89"/>
    <w:rsid w:val="00FE398E"/>
    <w:rsid w:val="00FE508A"/>
    <w:rsid w:val="00FE77E7"/>
    <w:rsid w:val="00FF0400"/>
    <w:rsid w:val="00FF34F9"/>
    <w:rsid w:val="00FF4DBF"/>
    <w:rsid w:val="00FF7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styleId="Mencinsinresolver">
    <w:name w:val="Unresolved Mention"/>
    <w:basedOn w:val="Fuentedeprrafopredeter"/>
    <w:uiPriority w:val="99"/>
    <w:semiHidden/>
    <w:unhideWhenUsed/>
    <w:rsid w:val="00CD7743"/>
    <w:rPr>
      <w:color w:val="605E5C"/>
      <w:shd w:val="clear" w:color="auto" w:fill="E1DFDD"/>
    </w:rPr>
  </w:style>
  <w:style w:type="character" w:customStyle="1" w:styleId="SinespaciadoCar">
    <w:name w:val="Sin espaciado Car"/>
    <w:link w:val="Sinespaciado"/>
    <w:uiPriority w:val="1"/>
    <w:locked/>
    <w:rsid w:val="000B0F9B"/>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049FB3-E53A-4E51-B318-57379CF0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2191</Words>
  <Characters>12054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115</cp:revision>
  <cp:lastPrinted>2020-02-25T12:17:00Z</cp:lastPrinted>
  <dcterms:created xsi:type="dcterms:W3CDTF">2021-09-09T16:16:00Z</dcterms:created>
  <dcterms:modified xsi:type="dcterms:W3CDTF">2022-02-26T17:09:00Z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