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C921" w14:textId="77777777" w:rsidR="002A66DA" w:rsidRPr="002A66DA" w:rsidRDefault="002A66DA" w:rsidP="002A66D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2A66D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07FB840" w14:textId="77777777" w:rsidR="002A66DA" w:rsidRPr="002A66DA" w:rsidRDefault="002A66DA" w:rsidP="002A66DA">
      <w:pPr>
        <w:jc w:val="both"/>
        <w:rPr>
          <w:rFonts w:ascii="Arial" w:hAnsi="Arial" w:cs="Arial"/>
          <w:sz w:val="20"/>
          <w:szCs w:val="20"/>
          <w:lang w:val="es-419"/>
        </w:rPr>
      </w:pPr>
    </w:p>
    <w:p w14:paraId="7ECC511A" w14:textId="3B031202" w:rsidR="002A66DA" w:rsidRPr="002A66DA" w:rsidRDefault="00DC71F3" w:rsidP="002A66DA">
      <w:pPr>
        <w:jc w:val="both"/>
        <w:rPr>
          <w:rFonts w:ascii="Arial" w:hAnsi="Arial" w:cs="Arial"/>
          <w:b/>
          <w:bCs/>
          <w:iCs/>
          <w:sz w:val="20"/>
          <w:szCs w:val="20"/>
          <w:lang w:val="es-419" w:eastAsia="fr-FR"/>
        </w:rPr>
      </w:pPr>
      <w:r w:rsidRPr="002A66DA">
        <w:rPr>
          <w:rFonts w:ascii="Arial" w:hAnsi="Arial" w:cs="Arial"/>
          <w:b/>
          <w:bCs/>
          <w:iCs/>
          <w:sz w:val="20"/>
          <w:szCs w:val="20"/>
          <w:u w:val="single"/>
          <w:lang w:val="es-419" w:eastAsia="fr-FR"/>
        </w:rPr>
        <w:t>TEMAS:</w:t>
      </w:r>
      <w:r w:rsidRPr="002A66DA">
        <w:rPr>
          <w:rFonts w:ascii="Arial" w:hAnsi="Arial" w:cs="Arial"/>
          <w:b/>
          <w:bCs/>
          <w:iCs/>
          <w:sz w:val="20"/>
          <w:szCs w:val="20"/>
          <w:lang w:val="es-419" w:eastAsia="fr-FR"/>
        </w:rPr>
        <w:tab/>
      </w:r>
      <w:r>
        <w:rPr>
          <w:rFonts w:ascii="Arial" w:hAnsi="Arial" w:cs="Arial"/>
          <w:b/>
          <w:bCs/>
          <w:iCs/>
          <w:sz w:val="20"/>
          <w:szCs w:val="20"/>
          <w:lang w:val="es-419" w:eastAsia="fr-FR"/>
        </w:rPr>
        <w:t xml:space="preserve">EJECUTIVO CON TÍTULO HIPOTECARIO / CONTROL OFICIOSO DE LOS REQUISITOS DEL TÍTULO EJECUTIVO / SISTEMA UPAC / CRÉDITO PARA ADQUISICIÓN DE VIVIENDA / SENTENCIAS </w:t>
      </w:r>
      <w:r w:rsidRPr="00311A02">
        <w:rPr>
          <w:rFonts w:ascii="Arial" w:hAnsi="Arial" w:cs="Arial"/>
          <w:b/>
          <w:bCs/>
          <w:iCs/>
          <w:sz w:val="20"/>
          <w:szCs w:val="20"/>
          <w:lang w:val="es-419" w:eastAsia="fr-FR"/>
        </w:rPr>
        <w:t>C-383, C-700 Y C-747 DE 1999</w:t>
      </w:r>
      <w:r>
        <w:rPr>
          <w:rFonts w:ascii="Arial" w:hAnsi="Arial" w:cs="Arial"/>
          <w:b/>
          <w:bCs/>
          <w:iCs/>
          <w:sz w:val="20"/>
          <w:szCs w:val="20"/>
          <w:lang w:val="es-419" w:eastAsia="fr-FR"/>
        </w:rPr>
        <w:t xml:space="preserve"> / REESTRUCTURACIÓN DEL CRÉDITO / SE ESTABLECIÓ COMO REQUISITO DE EXIGIBILIDAD DE LA OBLIGACIÓN / POR LO TANTO, SIN ÉL NO PUEDE ADELANTARSE LA E</w:t>
      </w:r>
      <w:r w:rsidR="00BE159F">
        <w:rPr>
          <w:rFonts w:ascii="Arial" w:hAnsi="Arial" w:cs="Arial"/>
          <w:b/>
          <w:bCs/>
          <w:iCs/>
          <w:sz w:val="20"/>
          <w:szCs w:val="20"/>
          <w:lang w:val="es-419" w:eastAsia="fr-FR"/>
        </w:rPr>
        <w:t>JECUCIÓN.</w:t>
      </w:r>
    </w:p>
    <w:p w14:paraId="7F505B30" w14:textId="77777777" w:rsidR="002A66DA" w:rsidRPr="002A66DA" w:rsidRDefault="002A66DA" w:rsidP="002A66DA">
      <w:pPr>
        <w:jc w:val="both"/>
        <w:rPr>
          <w:rFonts w:ascii="Arial" w:hAnsi="Arial" w:cs="Arial"/>
          <w:sz w:val="20"/>
          <w:szCs w:val="20"/>
          <w:lang w:val="es-419"/>
        </w:rPr>
      </w:pPr>
    </w:p>
    <w:p w14:paraId="48C72D4F" w14:textId="6566E595" w:rsidR="002A66DA" w:rsidRPr="002A66DA" w:rsidRDefault="00BB3679" w:rsidP="002A66DA">
      <w:pPr>
        <w:jc w:val="both"/>
        <w:rPr>
          <w:rFonts w:ascii="Arial" w:hAnsi="Arial" w:cs="Arial"/>
          <w:sz w:val="20"/>
          <w:szCs w:val="20"/>
          <w:lang w:val="es-419"/>
        </w:rPr>
      </w:pPr>
      <w:r w:rsidRPr="00BB3679">
        <w:rPr>
          <w:rFonts w:ascii="Arial" w:hAnsi="Arial" w:cs="Arial"/>
          <w:sz w:val="20"/>
          <w:szCs w:val="20"/>
          <w:lang w:val="es-419"/>
        </w:rPr>
        <w:t>De antiguo la máxima Corporación dentro de la especialidad civil de la jurisdicción ordinaria ha sostenido: “b) La orden de impulsar la ejecución, objeto de las sentencias que se profieren en los procesos ejecutivos, implica el previo y necesario análisis de las condiciones que le den eficacia al título ejecutivo, sin que en tal caso se encuentre el fallador limitado por el mandamiento de pago proferido al comienzo de la actuación procesal</w:t>
      </w:r>
      <w:r>
        <w:rPr>
          <w:rFonts w:ascii="Arial" w:hAnsi="Arial" w:cs="Arial"/>
          <w:sz w:val="20"/>
          <w:szCs w:val="20"/>
          <w:lang w:val="es-419"/>
        </w:rPr>
        <w:t>…”</w:t>
      </w:r>
    </w:p>
    <w:p w14:paraId="1C2206B2" w14:textId="77777777" w:rsidR="002A66DA" w:rsidRPr="002A66DA" w:rsidRDefault="002A66DA" w:rsidP="002A66DA">
      <w:pPr>
        <w:jc w:val="both"/>
        <w:rPr>
          <w:rFonts w:ascii="Arial" w:hAnsi="Arial" w:cs="Arial"/>
          <w:sz w:val="20"/>
          <w:szCs w:val="20"/>
          <w:lang w:val="es-419"/>
        </w:rPr>
      </w:pPr>
    </w:p>
    <w:p w14:paraId="606789B8" w14:textId="46BFDA0D" w:rsidR="002A66DA" w:rsidRPr="002A66DA" w:rsidRDefault="00BB3679" w:rsidP="002A66DA">
      <w:pPr>
        <w:jc w:val="both"/>
        <w:rPr>
          <w:rFonts w:ascii="Arial" w:hAnsi="Arial" w:cs="Arial"/>
          <w:sz w:val="20"/>
          <w:szCs w:val="20"/>
          <w:lang w:val="es-419"/>
        </w:rPr>
      </w:pPr>
      <w:r w:rsidRPr="00BB3679">
        <w:rPr>
          <w:rFonts w:ascii="Arial" w:hAnsi="Arial" w:cs="Arial"/>
          <w:sz w:val="20"/>
          <w:szCs w:val="20"/>
          <w:lang w:val="es-419"/>
        </w:rPr>
        <w:t>La anterior regla subsiste, aun a pesar de las reformas legislativas que, con claro ánimo de agilizar el trámite procesal fincado en la lealtad procesal, exigen a la parte ejecutada controvertir los requisitos formales del título ejecutivo mediante el recurso de reposición de contra del mandamiento de pago</w:t>
      </w:r>
      <w:r>
        <w:rPr>
          <w:rFonts w:ascii="Arial" w:hAnsi="Arial" w:cs="Arial"/>
          <w:sz w:val="20"/>
          <w:szCs w:val="20"/>
          <w:lang w:val="es-419"/>
        </w:rPr>
        <w:t>…</w:t>
      </w:r>
    </w:p>
    <w:p w14:paraId="7F1B3460" w14:textId="77777777" w:rsidR="002A66DA" w:rsidRPr="002A66DA" w:rsidRDefault="002A66DA" w:rsidP="002A66DA">
      <w:pPr>
        <w:jc w:val="both"/>
        <w:rPr>
          <w:rFonts w:ascii="Arial" w:hAnsi="Arial" w:cs="Arial"/>
          <w:sz w:val="20"/>
          <w:szCs w:val="20"/>
          <w:lang w:val="es-419"/>
        </w:rPr>
      </w:pPr>
    </w:p>
    <w:p w14:paraId="51B55397" w14:textId="3F264B7E" w:rsidR="002A66DA" w:rsidRDefault="00455593" w:rsidP="002A66DA">
      <w:pPr>
        <w:jc w:val="both"/>
        <w:rPr>
          <w:rFonts w:ascii="Arial" w:hAnsi="Arial" w:cs="Arial"/>
          <w:sz w:val="20"/>
          <w:szCs w:val="20"/>
          <w:lang w:val="es-419"/>
        </w:rPr>
      </w:pPr>
      <w:r>
        <w:rPr>
          <w:rFonts w:ascii="Arial" w:hAnsi="Arial" w:cs="Arial"/>
          <w:sz w:val="20"/>
          <w:szCs w:val="20"/>
          <w:lang w:val="es-419"/>
        </w:rPr>
        <w:t xml:space="preserve">… </w:t>
      </w:r>
      <w:r w:rsidRPr="00455593">
        <w:rPr>
          <w:rFonts w:ascii="Arial" w:hAnsi="Arial" w:cs="Arial"/>
          <w:sz w:val="20"/>
          <w:szCs w:val="20"/>
          <w:lang w:val="es-419"/>
        </w:rPr>
        <w:t>el control oficioso de los requisitos del título resulta ser un deber, incluso del juez de segundo grado según lo ha sostenido la Corte Suprema de Justicia. Por lo anterior, resulta preciso que la Sala se ocupe ahora mismo del tema porque, auscultados los documentos que sirvieron de base a la ejecución, se concluye que en realidad ellos no reunían los requisitos de ley para proceder con la orden de apremio.</w:t>
      </w:r>
      <w:r>
        <w:rPr>
          <w:rFonts w:ascii="Arial" w:hAnsi="Arial" w:cs="Arial"/>
          <w:sz w:val="20"/>
          <w:szCs w:val="20"/>
          <w:lang w:val="es-419"/>
        </w:rPr>
        <w:t xml:space="preserve"> (…)</w:t>
      </w:r>
    </w:p>
    <w:p w14:paraId="3B2AE9C1" w14:textId="785667CD" w:rsidR="00455593" w:rsidRDefault="00455593" w:rsidP="002A66DA">
      <w:pPr>
        <w:jc w:val="both"/>
        <w:rPr>
          <w:rFonts w:ascii="Arial" w:hAnsi="Arial" w:cs="Arial"/>
          <w:sz w:val="20"/>
          <w:szCs w:val="20"/>
          <w:lang w:val="es-419"/>
        </w:rPr>
      </w:pPr>
    </w:p>
    <w:p w14:paraId="25D929BF" w14:textId="7A36F020" w:rsidR="00455593" w:rsidRDefault="00687DA0" w:rsidP="002A66DA">
      <w:pPr>
        <w:jc w:val="both"/>
        <w:rPr>
          <w:rFonts w:ascii="Arial" w:hAnsi="Arial" w:cs="Arial"/>
          <w:sz w:val="20"/>
          <w:szCs w:val="20"/>
          <w:lang w:val="es-419"/>
        </w:rPr>
      </w:pPr>
      <w:r w:rsidRPr="00687DA0">
        <w:rPr>
          <w:rFonts w:ascii="Arial" w:hAnsi="Arial" w:cs="Arial"/>
          <w:sz w:val="20"/>
          <w:szCs w:val="20"/>
          <w:lang w:val="es-419"/>
        </w:rPr>
        <w:t>Alrededor de los problemas sociales y económicos causados por la Unidad de Poder Adquisitivo Constante (UPAC), en el marco de créditos hipotecarios destinados para compra de vivienda, en los finales de la década de los noventa se profirieron las siguientes sentencias, que marcaron el futuro de esta modalidad de financiación: Sentencia 9280 del 21 de mayo del 1999 proferida por el Consejo de Estado, Sentencia C-383, C-700 y C-747 de 1999, todas de la Corte Constitucional.</w:t>
      </w:r>
      <w:r>
        <w:rPr>
          <w:rFonts w:ascii="Arial" w:hAnsi="Arial" w:cs="Arial"/>
          <w:sz w:val="20"/>
          <w:szCs w:val="20"/>
          <w:lang w:val="es-419"/>
        </w:rPr>
        <w:t xml:space="preserve"> (…)</w:t>
      </w:r>
    </w:p>
    <w:p w14:paraId="4002C9DA" w14:textId="77777777" w:rsidR="00455593" w:rsidRPr="002A66DA" w:rsidRDefault="00455593" w:rsidP="002A66DA">
      <w:pPr>
        <w:jc w:val="both"/>
        <w:rPr>
          <w:rFonts w:ascii="Arial" w:hAnsi="Arial" w:cs="Arial"/>
          <w:sz w:val="20"/>
          <w:szCs w:val="20"/>
          <w:lang w:val="es-419"/>
        </w:rPr>
      </w:pPr>
    </w:p>
    <w:p w14:paraId="3454A67E" w14:textId="131ED4C6" w:rsidR="002A66DA" w:rsidRDefault="005E7316" w:rsidP="002A66DA">
      <w:pPr>
        <w:jc w:val="both"/>
        <w:rPr>
          <w:rFonts w:ascii="Arial" w:hAnsi="Arial" w:cs="Arial"/>
          <w:sz w:val="20"/>
          <w:szCs w:val="20"/>
          <w:lang w:val="es-ES"/>
        </w:rPr>
      </w:pPr>
      <w:r w:rsidRPr="005E7316">
        <w:rPr>
          <w:rFonts w:ascii="Arial" w:hAnsi="Arial" w:cs="Arial"/>
          <w:sz w:val="20"/>
          <w:szCs w:val="20"/>
          <w:lang w:val="es-ES"/>
        </w:rPr>
        <w:t>La Corte Suprema de Justicia en su Sala de Casación Civil cuando menos desde el año 2011 adoptó como criterio que, tratándose de procesos ejecutivos hipotecarios que versen sobre créditos pactados en UPAC, o en pesos que lleven implícito el componente DTF, cuando no se acredita la reestructuración el título valor es inexigible.</w:t>
      </w:r>
      <w:r>
        <w:rPr>
          <w:rFonts w:ascii="Arial" w:hAnsi="Arial" w:cs="Arial"/>
          <w:sz w:val="20"/>
          <w:szCs w:val="20"/>
          <w:lang w:val="es-ES"/>
        </w:rPr>
        <w:t xml:space="preserve"> (…)</w:t>
      </w:r>
    </w:p>
    <w:p w14:paraId="086F49F3" w14:textId="3074A7ED" w:rsidR="005E7316" w:rsidRDefault="005E7316" w:rsidP="002A66DA">
      <w:pPr>
        <w:jc w:val="both"/>
        <w:rPr>
          <w:rFonts w:ascii="Arial" w:hAnsi="Arial" w:cs="Arial"/>
          <w:sz w:val="20"/>
          <w:szCs w:val="20"/>
          <w:lang w:val="es-ES"/>
        </w:rPr>
      </w:pPr>
    </w:p>
    <w:p w14:paraId="065AEEDE" w14:textId="414A079F" w:rsidR="005E7316" w:rsidRDefault="005E7316" w:rsidP="002A66DA">
      <w:pPr>
        <w:jc w:val="both"/>
        <w:rPr>
          <w:rFonts w:ascii="Arial" w:hAnsi="Arial" w:cs="Arial"/>
          <w:sz w:val="20"/>
          <w:szCs w:val="20"/>
          <w:lang w:val="es-ES"/>
        </w:rPr>
      </w:pPr>
      <w:r w:rsidRPr="005E7316">
        <w:rPr>
          <w:rFonts w:ascii="Arial" w:hAnsi="Arial" w:cs="Arial"/>
          <w:sz w:val="20"/>
          <w:szCs w:val="20"/>
          <w:lang w:val="es-ES"/>
        </w:rPr>
        <w:t>En suma, tratándose de créditos otorgados para la financiación de vivienda en el antiguo sistema, naturalmente con anterioridad al 31 de diciembre de 1999, resulta pacífico que la reestructuración del crédito es un derecho de los acreedores hipotecarios y una obligación de las entidades crediticias, a efectos de ajustar la deuda a las reales capacidades económicas de los obligados, cuestión exigible incluso de los cesionarios si se tiene en cuenta que aquellos reemplazan en todo al cedente. El incumplimiento de esa carga se constituye en un obstáculo insalvable para el inicio o el impulso de los procesos hipotecarios estrictamente relacionados con créditos de vivienda inicialmente concedidos en UPAC</w:t>
      </w:r>
      <w:r w:rsidR="00EE1AE6">
        <w:rPr>
          <w:rFonts w:ascii="Arial" w:hAnsi="Arial" w:cs="Arial"/>
          <w:sz w:val="20"/>
          <w:szCs w:val="20"/>
          <w:lang w:val="es-ES"/>
        </w:rPr>
        <w:t>…</w:t>
      </w:r>
    </w:p>
    <w:p w14:paraId="7C3FCF5B" w14:textId="6F17974F" w:rsidR="005E7316" w:rsidRDefault="005E7316" w:rsidP="002A66DA">
      <w:pPr>
        <w:jc w:val="both"/>
        <w:rPr>
          <w:rFonts w:ascii="Arial" w:hAnsi="Arial" w:cs="Arial"/>
          <w:sz w:val="20"/>
          <w:szCs w:val="20"/>
          <w:lang w:val="es-ES"/>
        </w:rPr>
      </w:pPr>
    </w:p>
    <w:p w14:paraId="771498DF" w14:textId="6F4A1D18" w:rsidR="00EE1AE6" w:rsidRDefault="00EE1AE6" w:rsidP="002A66DA">
      <w:pPr>
        <w:jc w:val="both"/>
        <w:rPr>
          <w:rFonts w:ascii="Arial" w:hAnsi="Arial" w:cs="Arial"/>
          <w:sz w:val="20"/>
          <w:szCs w:val="20"/>
          <w:lang w:val="es-ES"/>
        </w:rPr>
      </w:pPr>
      <w:r>
        <w:rPr>
          <w:rFonts w:ascii="Arial" w:hAnsi="Arial" w:cs="Arial"/>
          <w:sz w:val="20"/>
          <w:szCs w:val="20"/>
          <w:lang w:val="es-ES"/>
        </w:rPr>
        <w:t xml:space="preserve">… </w:t>
      </w:r>
      <w:r w:rsidRPr="00EE1AE6">
        <w:rPr>
          <w:rFonts w:ascii="Arial" w:hAnsi="Arial" w:cs="Arial"/>
          <w:sz w:val="20"/>
          <w:szCs w:val="20"/>
          <w:lang w:val="es-ES"/>
        </w:rPr>
        <w:t>no se informó en la demanda, y menos se acreditó, que sobre el crédito se haya acordado con los deudores su reestructuración, mecanismo que como viene de explicarse, constituye presupuesto de exigibilidad de la obligación.</w:t>
      </w:r>
    </w:p>
    <w:p w14:paraId="7AE97EB5" w14:textId="77777777" w:rsidR="00EE1AE6" w:rsidRPr="002A66DA" w:rsidRDefault="00EE1AE6" w:rsidP="002A66DA">
      <w:pPr>
        <w:jc w:val="both"/>
        <w:rPr>
          <w:rFonts w:ascii="Arial" w:hAnsi="Arial" w:cs="Arial"/>
          <w:sz w:val="20"/>
          <w:szCs w:val="20"/>
          <w:lang w:val="es-ES"/>
        </w:rPr>
      </w:pPr>
    </w:p>
    <w:p w14:paraId="2E83F30F" w14:textId="77777777" w:rsidR="002A66DA" w:rsidRPr="002A66DA" w:rsidRDefault="002A66DA" w:rsidP="002A66DA">
      <w:pPr>
        <w:jc w:val="both"/>
        <w:rPr>
          <w:rFonts w:ascii="Arial" w:hAnsi="Arial" w:cs="Arial"/>
          <w:sz w:val="20"/>
          <w:szCs w:val="20"/>
          <w:lang w:val="es-ES"/>
        </w:rPr>
      </w:pPr>
    </w:p>
    <w:p w14:paraId="171064A3" w14:textId="77777777" w:rsidR="002A66DA" w:rsidRPr="002A66DA" w:rsidRDefault="002A66DA" w:rsidP="002A66DA">
      <w:pPr>
        <w:jc w:val="both"/>
        <w:rPr>
          <w:rFonts w:ascii="Arial" w:hAnsi="Arial" w:cs="Arial"/>
          <w:sz w:val="20"/>
          <w:szCs w:val="20"/>
          <w:lang w:val="es-ES"/>
        </w:rPr>
      </w:pPr>
    </w:p>
    <w:bookmarkEnd w:id="0"/>
    <w:p w14:paraId="3C598812" w14:textId="77777777" w:rsidR="00BD15C3" w:rsidRPr="002A66DA" w:rsidRDefault="00BD15C3" w:rsidP="002A66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A66DA">
        <w:rPr>
          <w:rFonts w:ascii="Arial Narrow" w:hAnsi="Arial Narrow" w:cs="Arial Narrow"/>
          <w:b/>
          <w:bCs/>
          <w:sz w:val="26"/>
          <w:szCs w:val="26"/>
        </w:rPr>
        <w:t>REPÚBLICA DE COLOMBIA</w:t>
      </w:r>
    </w:p>
    <w:p w14:paraId="31290B54" w14:textId="66570E24" w:rsidR="00BD15C3" w:rsidRPr="002A66DA" w:rsidRDefault="00FC49A2" w:rsidP="002A66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2A66DA">
        <w:rPr>
          <w:rFonts w:ascii="Arial Narrow" w:hAnsi="Arial Narrow"/>
          <w:noProof/>
          <w:sz w:val="26"/>
          <w:szCs w:val="26"/>
          <w:lang w:eastAsia="es-CO"/>
        </w:rPr>
        <w:drawing>
          <wp:inline distT="0" distB="0" distL="0" distR="0" wp14:anchorId="6A829D22" wp14:editId="36355C2F">
            <wp:extent cx="638534" cy="704875"/>
            <wp:effectExtent l="0" t="0" r="9525" b="0"/>
            <wp:docPr id="1" name="Imagen 1" descr="Imagen que contiene caja, señal,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ja, señal, alimentos&#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187" cy="710011"/>
                    </a:xfrm>
                    <a:prstGeom prst="rect">
                      <a:avLst/>
                    </a:prstGeom>
                    <a:noFill/>
                    <a:ln>
                      <a:noFill/>
                    </a:ln>
                  </pic:spPr>
                </pic:pic>
              </a:graphicData>
            </a:graphic>
          </wp:inline>
        </w:drawing>
      </w:r>
    </w:p>
    <w:p w14:paraId="5DA91E26" w14:textId="11B94923" w:rsidR="002E70B2" w:rsidRPr="002A66DA" w:rsidRDefault="00BD15C3" w:rsidP="002A66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A66DA">
        <w:rPr>
          <w:rFonts w:ascii="Arial Narrow" w:hAnsi="Arial Narrow" w:cs="Arial Narrow"/>
          <w:b/>
          <w:bCs/>
          <w:sz w:val="26"/>
          <w:szCs w:val="26"/>
        </w:rPr>
        <w:t>TRIBUNAL SUPERIOR DE</w:t>
      </w:r>
      <w:r w:rsidR="003C5FF8" w:rsidRPr="002A66DA">
        <w:rPr>
          <w:rFonts w:ascii="Arial Narrow" w:hAnsi="Arial Narrow" w:cs="Arial Narrow"/>
          <w:b/>
          <w:bCs/>
          <w:sz w:val="26"/>
          <w:szCs w:val="26"/>
        </w:rPr>
        <w:t xml:space="preserve"> </w:t>
      </w:r>
      <w:r w:rsidR="005F3BBD" w:rsidRPr="002A66DA">
        <w:rPr>
          <w:rFonts w:ascii="Arial Narrow" w:hAnsi="Arial Narrow" w:cs="Arial Narrow"/>
          <w:b/>
          <w:bCs/>
          <w:sz w:val="26"/>
          <w:szCs w:val="26"/>
        </w:rPr>
        <w:t>PEREIRA</w:t>
      </w:r>
    </w:p>
    <w:p w14:paraId="514BB607" w14:textId="1CFE5CC8" w:rsidR="00BD15C3" w:rsidRPr="002A66DA" w:rsidRDefault="00BD15C3" w:rsidP="002A66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2A66DA">
        <w:rPr>
          <w:rFonts w:ascii="Arial Narrow" w:hAnsi="Arial Narrow" w:cs="Arial Narrow"/>
          <w:b/>
          <w:bCs/>
          <w:sz w:val="26"/>
          <w:szCs w:val="26"/>
        </w:rPr>
        <w:t>SALA DE DECISIÓN CIVIL</w:t>
      </w:r>
      <w:r w:rsidR="002E70B2" w:rsidRPr="002A66DA">
        <w:rPr>
          <w:rFonts w:ascii="Arial Narrow" w:hAnsi="Arial Narrow" w:cs="Arial Narrow"/>
          <w:b/>
          <w:bCs/>
          <w:sz w:val="26"/>
          <w:szCs w:val="26"/>
        </w:rPr>
        <w:t xml:space="preserve"> </w:t>
      </w:r>
      <w:r w:rsidRPr="002A66DA">
        <w:rPr>
          <w:rFonts w:ascii="Arial Narrow" w:hAnsi="Arial Narrow" w:cs="Arial Narrow"/>
          <w:b/>
          <w:bCs/>
          <w:sz w:val="26"/>
          <w:szCs w:val="26"/>
        </w:rPr>
        <w:t>–</w:t>
      </w:r>
      <w:r w:rsidR="002E70B2" w:rsidRPr="002A66DA">
        <w:rPr>
          <w:rFonts w:ascii="Arial Narrow" w:hAnsi="Arial Narrow" w:cs="Arial Narrow"/>
          <w:b/>
          <w:bCs/>
          <w:sz w:val="26"/>
          <w:szCs w:val="26"/>
        </w:rPr>
        <w:t xml:space="preserve"> </w:t>
      </w:r>
      <w:r w:rsidRPr="002A66DA">
        <w:rPr>
          <w:rFonts w:ascii="Arial Narrow" w:hAnsi="Arial Narrow" w:cs="Arial Narrow"/>
          <w:b/>
          <w:bCs/>
          <w:sz w:val="26"/>
          <w:szCs w:val="26"/>
        </w:rPr>
        <w:t>FAMILIA</w:t>
      </w:r>
    </w:p>
    <w:p w14:paraId="60931577" w14:textId="77777777" w:rsidR="00BD15C3" w:rsidRPr="002A66DA" w:rsidRDefault="00BD15C3" w:rsidP="002A66DA">
      <w:pPr>
        <w:tabs>
          <w:tab w:val="left" w:pos="-720"/>
        </w:tabs>
        <w:suppressAutoHyphens/>
        <w:spacing w:line="276" w:lineRule="auto"/>
        <w:jc w:val="center"/>
        <w:rPr>
          <w:rFonts w:ascii="Arial Narrow" w:hAnsi="Arial Narrow"/>
          <w:b/>
          <w:bCs/>
          <w:spacing w:val="-3"/>
          <w:sz w:val="26"/>
          <w:szCs w:val="26"/>
        </w:rPr>
      </w:pPr>
    </w:p>
    <w:p w14:paraId="3A3DD761" w14:textId="5BA3FB78" w:rsidR="00AA0DE3" w:rsidRPr="002A66DA" w:rsidRDefault="002A66DA" w:rsidP="002A66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2A66DA">
        <w:rPr>
          <w:rFonts w:ascii="Arial Narrow" w:hAnsi="Arial Narrow" w:cs="Arial Narrow"/>
          <w:bCs/>
          <w:sz w:val="26"/>
          <w:szCs w:val="26"/>
        </w:rPr>
        <w:t>Magistrado Sustanciador</w:t>
      </w:r>
      <w:r w:rsidR="00BD15C3" w:rsidRPr="002A66DA">
        <w:rPr>
          <w:rFonts w:ascii="Arial Narrow" w:hAnsi="Arial Narrow" w:cs="Arial Narrow"/>
          <w:b/>
          <w:bCs/>
          <w:sz w:val="26"/>
          <w:szCs w:val="26"/>
        </w:rPr>
        <w:t>:</w:t>
      </w:r>
      <w:r w:rsidR="009B11B7" w:rsidRPr="002A66DA">
        <w:rPr>
          <w:rFonts w:ascii="Arial Narrow" w:hAnsi="Arial Narrow" w:cs="Arial Narrow"/>
          <w:b/>
          <w:bCs/>
          <w:sz w:val="26"/>
          <w:szCs w:val="26"/>
        </w:rPr>
        <w:t xml:space="preserve"> </w:t>
      </w:r>
      <w:r w:rsidR="00BD15C3" w:rsidRPr="002A66DA">
        <w:rPr>
          <w:rFonts w:ascii="Arial Narrow" w:hAnsi="Arial Narrow" w:cs="Arial Narrow"/>
          <w:b/>
          <w:bCs/>
          <w:sz w:val="26"/>
          <w:szCs w:val="26"/>
        </w:rPr>
        <w:t>CARLOS MAURICIO GARCÍA BARAJAS</w:t>
      </w:r>
    </w:p>
    <w:p w14:paraId="4E944EBA" w14:textId="77777777" w:rsidR="00AA0DE3" w:rsidRPr="002A66DA" w:rsidRDefault="00AA0DE3" w:rsidP="002A66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124D6CCA" w14:textId="248FD723" w:rsidR="00696031" w:rsidRPr="002A66DA" w:rsidRDefault="00293DF9"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ES"/>
        </w:rPr>
      </w:pPr>
      <w:r w:rsidRPr="002A66DA">
        <w:rPr>
          <w:rFonts w:ascii="Arial Narrow" w:hAnsi="Arial Narrow" w:cs="Arial Narrow"/>
          <w:b/>
          <w:color w:val="auto"/>
          <w:sz w:val="26"/>
          <w:szCs w:val="26"/>
          <w:lang w:val="es-ES"/>
        </w:rPr>
        <w:t>Diecisiete</w:t>
      </w:r>
      <w:r w:rsidR="00755709" w:rsidRPr="002A66DA">
        <w:rPr>
          <w:rFonts w:ascii="Arial Narrow" w:hAnsi="Arial Narrow" w:cs="Arial Narrow"/>
          <w:b/>
          <w:color w:val="auto"/>
          <w:sz w:val="26"/>
          <w:szCs w:val="26"/>
          <w:lang w:val="es-ES"/>
        </w:rPr>
        <w:t xml:space="preserve"> (</w:t>
      </w:r>
      <w:r w:rsidRPr="002A66DA">
        <w:rPr>
          <w:rFonts w:ascii="Arial Narrow" w:hAnsi="Arial Narrow" w:cs="Arial Narrow"/>
          <w:b/>
          <w:color w:val="auto"/>
          <w:sz w:val="26"/>
          <w:szCs w:val="26"/>
          <w:lang w:val="es-ES"/>
        </w:rPr>
        <w:t>17</w:t>
      </w:r>
      <w:r w:rsidR="00755709" w:rsidRPr="002A66DA">
        <w:rPr>
          <w:rFonts w:ascii="Arial Narrow" w:hAnsi="Arial Narrow" w:cs="Arial Narrow"/>
          <w:b/>
          <w:color w:val="auto"/>
          <w:sz w:val="26"/>
          <w:szCs w:val="26"/>
          <w:lang w:val="es-ES"/>
        </w:rPr>
        <w:t xml:space="preserve">) de </w:t>
      </w:r>
      <w:r w:rsidRPr="002A66DA">
        <w:rPr>
          <w:rFonts w:ascii="Arial Narrow" w:hAnsi="Arial Narrow" w:cs="Arial Narrow"/>
          <w:b/>
          <w:color w:val="auto"/>
          <w:sz w:val="26"/>
          <w:szCs w:val="26"/>
          <w:lang w:val="es-ES"/>
        </w:rPr>
        <w:t>septiembre</w:t>
      </w:r>
      <w:r w:rsidR="00755709" w:rsidRPr="002A66DA">
        <w:rPr>
          <w:rFonts w:ascii="Arial Narrow" w:hAnsi="Arial Narrow" w:cs="Arial Narrow"/>
          <w:b/>
          <w:color w:val="auto"/>
          <w:sz w:val="26"/>
          <w:szCs w:val="26"/>
          <w:lang w:val="es-ES"/>
        </w:rPr>
        <w:t xml:space="preserve"> </w:t>
      </w:r>
      <w:r w:rsidR="00696031" w:rsidRPr="002A66DA">
        <w:rPr>
          <w:rFonts w:ascii="Arial Narrow" w:hAnsi="Arial Narrow" w:cs="Arial Narrow"/>
          <w:b/>
          <w:color w:val="auto"/>
          <w:sz w:val="26"/>
          <w:szCs w:val="26"/>
          <w:lang w:val="es-ES"/>
        </w:rPr>
        <w:t>de dos mil veintiuno (2.021)</w:t>
      </w:r>
    </w:p>
    <w:p w14:paraId="3FB51B10" w14:textId="77777777" w:rsidR="00696031" w:rsidRPr="002A66DA" w:rsidRDefault="00696031" w:rsidP="002A66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lang w:val="es-ES"/>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88"/>
      </w:tblGrid>
      <w:tr w:rsidR="005D4A18" w:rsidRPr="002A66DA" w14:paraId="728BF627" w14:textId="77777777" w:rsidTr="00BF45B6">
        <w:tc>
          <w:tcPr>
            <w:tcW w:w="1843" w:type="dxa"/>
          </w:tcPr>
          <w:p w14:paraId="628F6E4E" w14:textId="71BC53CA" w:rsidR="005D4A18" w:rsidRPr="002A66DA" w:rsidRDefault="005D4A18"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A66DA">
              <w:rPr>
                <w:rFonts w:ascii="Arial Narrow" w:hAnsi="Arial Narrow" w:cs="Arial Narrow"/>
                <w:bCs/>
                <w:szCs w:val="26"/>
              </w:rPr>
              <w:t>Radicación No.</w:t>
            </w:r>
          </w:p>
        </w:tc>
        <w:tc>
          <w:tcPr>
            <w:tcW w:w="7088" w:type="dxa"/>
          </w:tcPr>
          <w:p w14:paraId="33878F29" w14:textId="71CAD1FD" w:rsidR="005D4A18" w:rsidRPr="002A66DA" w:rsidRDefault="00155342"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A66DA">
              <w:rPr>
                <w:rFonts w:ascii="Arial Narrow" w:hAnsi="Arial Narrow" w:cs="Arial Narrow"/>
                <w:bCs/>
                <w:szCs w:val="26"/>
              </w:rPr>
              <w:t>05001310300720080000201</w:t>
            </w:r>
          </w:p>
        </w:tc>
      </w:tr>
      <w:tr w:rsidR="005D4A18" w:rsidRPr="002A66DA" w14:paraId="5E47D44A" w14:textId="77777777" w:rsidTr="00BF45B6">
        <w:tc>
          <w:tcPr>
            <w:tcW w:w="1843" w:type="dxa"/>
          </w:tcPr>
          <w:p w14:paraId="1DB239B7" w14:textId="31A5EA87" w:rsidR="005D4A18" w:rsidRPr="002A66DA" w:rsidRDefault="005D4A18"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A66DA">
              <w:rPr>
                <w:rFonts w:ascii="Arial Narrow" w:hAnsi="Arial Narrow" w:cs="Arial Narrow"/>
                <w:bCs/>
                <w:szCs w:val="26"/>
              </w:rPr>
              <w:t>Proceso:</w:t>
            </w:r>
          </w:p>
        </w:tc>
        <w:tc>
          <w:tcPr>
            <w:tcW w:w="7088" w:type="dxa"/>
          </w:tcPr>
          <w:p w14:paraId="595CF5A0" w14:textId="18FC1E02" w:rsidR="005D4A18" w:rsidRPr="002A66DA" w:rsidRDefault="00DA32A0"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A66DA">
              <w:rPr>
                <w:rFonts w:ascii="Arial Narrow" w:hAnsi="Arial Narrow" w:cs="Arial Narrow"/>
                <w:bCs/>
                <w:szCs w:val="26"/>
              </w:rPr>
              <w:t>Ejecutivo hipotecario</w:t>
            </w:r>
          </w:p>
        </w:tc>
      </w:tr>
      <w:tr w:rsidR="005D4A18" w:rsidRPr="002A66DA" w14:paraId="49DB8A99" w14:textId="77777777" w:rsidTr="00BF45B6">
        <w:tc>
          <w:tcPr>
            <w:tcW w:w="1843" w:type="dxa"/>
          </w:tcPr>
          <w:p w14:paraId="04A7FA92" w14:textId="676624D0" w:rsidR="005D4A18" w:rsidRPr="002A66DA" w:rsidRDefault="005D4A18"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A66DA">
              <w:rPr>
                <w:rFonts w:ascii="Arial Narrow" w:hAnsi="Arial Narrow" w:cs="Arial Narrow"/>
                <w:bCs/>
                <w:szCs w:val="26"/>
              </w:rPr>
              <w:t>Demandante:</w:t>
            </w:r>
          </w:p>
        </w:tc>
        <w:tc>
          <w:tcPr>
            <w:tcW w:w="7088" w:type="dxa"/>
          </w:tcPr>
          <w:p w14:paraId="3B4464CB" w14:textId="279138AB" w:rsidR="005D4A18" w:rsidRPr="002A66DA" w:rsidRDefault="00DA32A0"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A66DA">
              <w:rPr>
                <w:rFonts w:ascii="Arial Narrow" w:hAnsi="Arial Narrow" w:cs="Arial Narrow"/>
                <w:bCs/>
                <w:szCs w:val="26"/>
              </w:rPr>
              <w:t xml:space="preserve">Bancolombia </w:t>
            </w:r>
            <w:r w:rsidR="00155342" w:rsidRPr="002A66DA">
              <w:rPr>
                <w:rFonts w:ascii="Arial Narrow" w:hAnsi="Arial Narrow" w:cs="Arial Narrow"/>
                <w:bCs/>
                <w:szCs w:val="26"/>
              </w:rPr>
              <w:t>S.A</w:t>
            </w:r>
            <w:r w:rsidR="00792713" w:rsidRPr="002A66DA">
              <w:rPr>
                <w:rFonts w:ascii="Arial Narrow" w:hAnsi="Arial Narrow" w:cs="Arial Narrow"/>
                <w:bCs/>
                <w:szCs w:val="26"/>
              </w:rPr>
              <w:t>.</w:t>
            </w:r>
          </w:p>
        </w:tc>
      </w:tr>
      <w:tr w:rsidR="008526AF" w:rsidRPr="002A66DA" w14:paraId="6277C2FA" w14:textId="77777777" w:rsidTr="00BF45B6">
        <w:tc>
          <w:tcPr>
            <w:tcW w:w="1843" w:type="dxa"/>
          </w:tcPr>
          <w:p w14:paraId="0660FB08" w14:textId="0BDB3C0E" w:rsidR="008526AF" w:rsidRPr="002A66DA" w:rsidRDefault="008526AF"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A66DA">
              <w:rPr>
                <w:rFonts w:ascii="Arial Narrow" w:hAnsi="Arial Narrow" w:cs="Arial Narrow"/>
                <w:bCs/>
                <w:szCs w:val="26"/>
              </w:rPr>
              <w:t>Demandado:</w:t>
            </w:r>
          </w:p>
        </w:tc>
        <w:tc>
          <w:tcPr>
            <w:tcW w:w="7088" w:type="dxa"/>
          </w:tcPr>
          <w:p w14:paraId="5B401D46" w14:textId="0E30FC65" w:rsidR="008526AF" w:rsidRDefault="00DA32A0"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2A66DA">
              <w:rPr>
                <w:rFonts w:ascii="Arial Narrow" w:hAnsi="Arial Narrow" w:cs="Arial Narrow"/>
                <w:bCs/>
                <w:szCs w:val="26"/>
              </w:rPr>
              <w:t xml:space="preserve">Vicente Murillo </w:t>
            </w:r>
            <w:proofErr w:type="spellStart"/>
            <w:r w:rsidRPr="002A66DA">
              <w:rPr>
                <w:rFonts w:ascii="Arial Narrow" w:hAnsi="Arial Narrow" w:cs="Arial Narrow"/>
                <w:bCs/>
                <w:szCs w:val="26"/>
              </w:rPr>
              <w:t>Agualimpia</w:t>
            </w:r>
            <w:proofErr w:type="spellEnd"/>
          </w:p>
          <w:p w14:paraId="518B2784" w14:textId="46B9A6C8" w:rsidR="00DA32A0" w:rsidRPr="002A66DA" w:rsidRDefault="00DA32A0"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p>
        </w:tc>
      </w:tr>
    </w:tbl>
    <w:p w14:paraId="11C12570" w14:textId="72AF0CF4" w:rsidR="0029680C" w:rsidRPr="002A66DA" w:rsidRDefault="0029680C"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bookmarkStart w:id="1" w:name="_GoBack"/>
      <w:bookmarkEnd w:id="1"/>
      <w:r w:rsidRPr="002A66DA">
        <w:rPr>
          <w:rFonts w:ascii="Arial Narrow" w:hAnsi="Arial Narrow" w:cs="Arial Narrow"/>
          <w:bCs/>
          <w:szCs w:val="26"/>
        </w:rPr>
        <w:t xml:space="preserve">Acta No. </w:t>
      </w:r>
      <w:r w:rsidRPr="002A66DA">
        <w:rPr>
          <w:rFonts w:ascii="Arial Narrow" w:hAnsi="Arial Narrow" w:cs="Arial Narrow"/>
          <w:bCs/>
          <w:szCs w:val="26"/>
        </w:rPr>
        <w:tab/>
      </w:r>
      <w:r w:rsidR="00DA32A0">
        <w:rPr>
          <w:rFonts w:ascii="Arial Narrow" w:hAnsi="Arial Narrow" w:cs="Arial Narrow"/>
          <w:bCs/>
          <w:szCs w:val="26"/>
        </w:rPr>
        <w:tab/>
      </w:r>
      <w:r w:rsidR="00EB4A09" w:rsidRPr="002A66DA">
        <w:rPr>
          <w:rFonts w:ascii="Arial Narrow" w:hAnsi="Arial Narrow" w:cs="Arial Narrow"/>
          <w:bCs/>
          <w:szCs w:val="26"/>
        </w:rPr>
        <w:t>447 de 17-09-2021</w:t>
      </w:r>
    </w:p>
    <w:p w14:paraId="4CADFCAF" w14:textId="348A901C" w:rsidR="005D4A18" w:rsidRPr="004339BE" w:rsidRDefault="0029680C" w:rsidP="00DA32A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textAlignment w:val="baseline"/>
        <w:rPr>
          <w:rFonts w:ascii="Arial Narrow" w:hAnsi="Arial Narrow" w:cs="Arial Narrow"/>
          <w:bCs/>
          <w:szCs w:val="26"/>
        </w:rPr>
      </w:pPr>
      <w:r w:rsidRPr="004339BE">
        <w:rPr>
          <w:rFonts w:ascii="Arial Narrow" w:hAnsi="Arial Narrow" w:cs="Arial Narrow"/>
          <w:bCs/>
          <w:szCs w:val="26"/>
        </w:rPr>
        <w:t>Sentencia No.</w:t>
      </w:r>
      <w:r w:rsidR="00DA32A0" w:rsidRPr="004339BE">
        <w:rPr>
          <w:rFonts w:ascii="Arial Narrow" w:hAnsi="Arial Narrow" w:cs="Arial Narrow"/>
          <w:bCs/>
          <w:szCs w:val="26"/>
        </w:rPr>
        <w:tab/>
      </w:r>
      <w:r w:rsidR="00DA32A0" w:rsidRPr="004339BE">
        <w:rPr>
          <w:rFonts w:ascii="Arial Narrow" w:hAnsi="Arial Narrow" w:cs="Arial Narrow"/>
          <w:bCs/>
          <w:szCs w:val="26"/>
        </w:rPr>
        <w:tab/>
      </w:r>
      <w:r w:rsidR="00886803" w:rsidRPr="004339BE">
        <w:rPr>
          <w:rFonts w:ascii="Arial Narrow" w:hAnsi="Arial Narrow" w:cs="Arial Narrow"/>
          <w:bCs/>
          <w:szCs w:val="26"/>
        </w:rPr>
        <w:t>SC-0</w:t>
      </w:r>
      <w:r w:rsidR="003833FE" w:rsidRPr="004339BE">
        <w:rPr>
          <w:rFonts w:ascii="Arial Narrow" w:hAnsi="Arial Narrow" w:cs="Arial Narrow"/>
          <w:bCs/>
          <w:szCs w:val="26"/>
        </w:rPr>
        <w:t>068</w:t>
      </w:r>
      <w:r w:rsidR="00886803" w:rsidRPr="004339BE">
        <w:rPr>
          <w:rFonts w:ascii="Arial Narrow" w:hAnsi="Arial Narrow" w:cs="Arial Narrow"/>
          <w:bCs/>
          <w:szCs w:val="26"/>
        </w:rPr>
        <w:t>-2021</w:t>
      </w:r>
    </w:p>
    <w:p w14:paraId="6B3EE3FE" w14:textId="77777777" w:rsidR="00792713" w:rsidRPr="002A66DA" w:rsidRDefault="00792713" w:rsidP="002A66D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sz w:val="26"/>
          <w:szCs w:val="26"/>
        </w:rPr>
      </w:pPr>
    </w:p>
    <w:p w14:paraId="30F11958" w14:textId="77777777" w:rsidR="009C04BB" w:rsidRPr="002A66DA" w:rsidRDefault="009C04BB"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p>
    <w:p w14:paraId="2CC0317A" w14:textId="386C61CF" w:rsidR="005D4A18" w:rsidRPr="002A66DA" w:rsidRDefault="005D4A18"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2A66DA">
        <w:rPr>
          <w:rFonts w:ascii="Arial Narrow" w:hAnsi="Arial Narrow" w:cs="Arial Narrow"/>
          <w:b/>
          <w:bCs/>
          <w:color w:val="auto"/>
          <w:sz w:val="26"/>
          <w:szCs w:val="26"/>
          <w:lang w:val="es-CO"/>
        </w:rPr>
        <w:t>Motivo de la providencia</w:t>
      </w:r>
    </w:p>
    <w:p w14:paraId="0A3D4470" w14:textId="77777777" w:rsidR="005D4A18" w:rsidRPr="002A66DA" w:rsidRDefault="005D4A18"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p>
    <w:p w14:paraId="14C179E2" w14:textId="3C46DEEC" w:rsidR="005D4A18" w:rsidRPr="002A66DA" w:rsidRDefault="005D4A18"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Corresponde decidir sobre la apelación incoada por la parte </w:t>
      </w:r>
      <w:r w:rsidR="00B477E5" w:rsidRPr="002A66DA">
        <w:rPr>
          <w:rFonts w:ascii="Arial Narrow" w:hAnsi="Arial Narrow" w:cs="Arial Narrow"/>
          <w:bCs/>
          <w:color w:val="auto"/>
          <w:sz w:val="26"/>
          <w:szCs w:val="26"/>
          <w:lang w:val="es-CO"/>
        </w:rPr>
        <w:t xml:space="preserve">ejecutante </w:t>
      </w:r>
      <w:r w:rsidRPr="002A66DA">
        <w:rPr>
          <w:rFonts w:ascii="Arial Narrow" w:hAnsi="Arial Narrow" w:cs="Arial Narrow"/>
          <w:bCs/>
          <w:color w:val="auto"/>
          <w:sz w:val="26"/>
          <w:szCs w:val="26"/>
          <w:lang w:val="es-CO"/>
        </w:rPr>
        <w:t xml:space="preserve">contra la sentencia del </w:t>
      </w:r>
      <w:r w:rsidR="00155342" w:rsidRPr="002A66DA">
        <w:rPr>
          <w:rFonts w:ascii="Arial Narrow" w:hAnsi="Arial Narrow" w:cs="Arial Narrow"/>
          <w:bCs/>
          <w:color w:val="auto"/>
          <w:sz w:val="26"/>
          <w:szCs w:val="26"/>
          <w:lang w:val="es-CO"/>
        </w:rPr>
        <w:t>30</w:t>
      </w:r>
      <w:r w:rsidR="000943E4" w:rsidRPr="002A66DA">
        <w:rPr>
          <w:rFonts w:ascii="Arial Narrow" w:hAnsi="Arial Narrow" w:cs="Arial Narrow"/>
          <w:bCs/>
          <w:color w:val="auto"/>
          <w:sz w:val="26"/>
          <w:szCs w:val="26"/>
          <w:lang w:val="es-CO"/>
        </w:rPr>
        <w:t xml:space="preserve"> de</w:t>
      </w:r>
      <w:r w:rsidRPr="002A66DA">
        <w:rPr>
          <w:rFonts w:ascii="Arial Narrow" w:hAnsi="Arial Narrow" w:cs="Arial Narrow"/>
          <w:bCs/>
          <w:color w:val="auto"/>
          <w:sz w:val="26"/>
          <w:szCs w:val="26"/>
          <w:lang w:val="es-CO"/>
        </w:rPr>
        <w:t xml:space="preserve"> </w:t>
      </w:r>
      <w:r w:rsidR="00155342" w:rsidRPr="002A66DA">
        <w:rPr>
          <w:rFonts w:ascii="Arial Narrow" w:hAnsi="Arial Narrow" w:cs="Arial Narrow"/>
          <w:bCs/>
          <w:color w:val="auto"/>
          <w:sz w:val="26"/>
          <w:szCs w:val="26"/>
          <w:lang w:val="es-CO"/>
        </w:rPr>
        <w:t>noviembre</w:t>
      </w:r>
      <w:r w:rsidRPr="002A66DA">
        <w:rPr>
          <w:rFonts w:ascii="Arial Narrow" w:hAnsi="Arial Narrow" w:cs="Arial Narrow"/>
          <w:bCs/>
          <w:color w:val="auto"/>
          <w:sz w:val="26"/>
          <w:szCs w:val="26"/>
          <w:lang w:val="es-CO"/>
        </w:rPr>
        <w:t xml:space="preserve"> de 20</w:t>
      </w:r>
      <w:r w:rsidR="00AF3A7C" w:rsidRPr="002A66DA">
        <w:rPr>
          <w:rFonts w:ascii="Arial Narrow" w:hAnsi="Arial Narrow" w:cs="Arial Narrow"/>
          <w:bCs/>
          <w:color w:val="auto"/>
          <w:sz w:val="26"/>
          <w:szCs w:val="26"/>
          <w:lang w:val="es-CO"/>
        </w:rPr>
        <w:t>11</w:t>
      </w:r>
      <w:r w:rsidRPr="002A66DA">
        <w:rPr>
          <w:rFonts w:ascii="Arial Narrow" w:hAnsi="Arial Narrow" w:cs="Arial Narrow"/>
          <w:bCs/>
          <w:color w:val="auto"/>
          <w:sz w:val="26"/>
          <w:szCs w:val="26"/>
          <w:lang w:val="es-CO"/>
        </w:rPr>
        <w:t xml:space="preserve">, proferida dentro de la causa de la referencia por el </w:t>
      </w:r>
      <w:r w:rsidR="0025145F" w:rsidRPr="002A66DA">
        <w:rPr>
          <w:rFonts w:ascii="Arial Narrow" w:hAnsi="Arial Narrow" w:cs="Arial Narrow"/>
          <w:bCs/>
          <w:color w:val="auto"/>
          <w:sz w:val="26"/>
          <w:szCs w:val="26"/>
          <w:lang w:val="es-CO"/>
        </w:rPr>
        <w:t>Juzgado Séptimo Civil del Circuito Medellín Adjunto</w:t>
      </w:r>
      <w:r w:rsidR="00D205D2" w:rsidRPr="002A66DA">
        <w:rPr>
          <w:rFonts w:ascii="Arial Narrow" w:hAnsi="Arial Narrow" w:cs="Arial Narrow"/>
          <w:bCs/>
          <w:color w:val="auto"/>
          <w:sz w:val="26"/>
          <w:szCs w:val="26"/>
          <w:lang w:val="es-CO"/>
        </w:rPr>
        <w:t>, de conformidad a lo establecido en el Acuerdo PCSJA19-11327 de 2019 del Consejo Superior de la Judicatura, que se ha venido prorrogando, por última ocasión mediante Acuerdo PCSJA21-11</w:t>
      </w:r>
      <w:r w:rsidR="0037662C" w:rsidRPr="002A66DA">
        <w:rPr>
          <w:rFonts w:ascii="Arial Narrow" w:hAnsi="Arial Narrow" w:cs="Arial Narrow"/>
          <w:bCs/>
          <w:color w:val="auto"/>
          <w:sz w:val="26"/>
          <w:szCs w:val="26"/>
          <w:lang w:val="es-CO"/>
        </w:rPr>
        <w:t>826</w:t>
      </w:r>
      <w:r w:rsidR="00D205D2" w:rsidRPr="002A66DA">
        <w:rPr>
          <w:rFonts w:ascii="Arial Narrow" w:hAnsi="Arial Narrow" w:cs="Arial Narrow"/>
          <w:bCs/>
          <w:color w:val="auto"/>
          <w:sz w:val="26"/>
          <w:szCs w:val="26"/>
          <w:lang w:val="es-CO"/>
        </w:rPr>
        <w:t xml:space="preserve"> de 2021.</w:t>
      </w:r>
    </w:p>
    <w:p w14:paraId="4D63725A" w14:textId="77777777" w:rsidR="005D4A18" w:rsidRPr="002A66DA" w:rsidRDefault="005D4A18"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B26C33A" w14:textId="70F4A067" w:rsidR="005D4A18" w:rsidRPr="002A66DA" w:rsidRDefault="005D4A18"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2A66DA">
        <w:rPr>
          <w:rFonts w:ascii="Arial Narrow" w:hAnsi="Arial Narrow" w:cs="Arial Narrow"/>
          <w:b/>
          <w:bCs/>
          <w:color w:val="auto"/>
          <w:sz w:val="26"/>
          <w:szCs w:val="26"/>
          <w:lang w:val="es-CO"/>
        </w:rPr>
        <w:t>Antecedentes fácticos</w:t>
      </w:r>
    </w:p>
    <w:p w14:paraId="5596B767" w14:textId="5D6D83BB" w:rsidR="005D4A18" w:rsidRPr="002A66DA" w:rsidRDefault="005D4A18"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  </w:t>
      </w:r>
    </w:p>
    <w:p w14:paraId="276D5137" w14:textId="77777777" w:rsidR="00CF00FD" w:rsidRPr="002A66DA" w:rsidRDefault="005D4A18"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A través de apoderado judicial, </w:t>
      </w:r>
      <w:r w:rsidR="00155342" w:rsidRPr="002A66DA">
        <w:rPr>
          <w:rFonts w:ascii="Arial Narrow" w:hAnsi="Arial Narrow" w:cs="Arial Narrow"/>
          <w:bCs/>
          <w:color w:val="auto"/>
          <w:sz w:val="26"/>
          <w:szCs w:val="26"/>
          <w:lang w:val="es-CO"/>
        </w:rPr>
        <w:t>BANCOLOMBIA S.A</w:t>
      </w:r>
      <w:r w:rsidR="007518CC" w:rsidRPr="002A66DA">
        <w:rPr>
          <w:rFonts w:ascii="Arial Narrow" w:hAnsi="Arial Narrow" w:cs="Arial Narrow"/>
          <w:bCs/>
          <w:color w:val="auto"/>
          <w:sz w:val="26"/>
          <w:szCs w:val="26"/>
          <w:lang w:val="es-CO"/>
        </w:rPr>
        <w:t>.</w:t>
      </w:r>
      <w:r w:rsidR="00B477E5" w:rsidRPr="002A66DA">
        <w:rPr>
          <w:rFonts w:ascii="Arial Narrow" w:hAnsi="Arial Narrow" w:cs="Arial Narrow"/>
          <w:bCs/>
          <w:color w:val="auto"/>
          <w:sz w:val="26"/>
          <w:szCs w:val="26"/>
          <w:lang w:val="es-CO"/>
        </w:rPr>
        <w:t xml:space="preserve"> </w:t>
      </w:r>
      <w:r w:rsidR="00D2029E" w:rsidRPr="002A66DA">
        <w:rPr>
          <w:rFonts w:ascii="Arial Narrow" w:hAnsi="Arial Narrow" w:cs="Arial Narrow"/>
          <w:bCs/>
          <w:color w:val="auto"/>
          <w:sz w:val="26"/>
          <w:szCs w:val="26"/>
          <w:lang w:val="es-CO"/>
        </w:rPr>
        <w:t xml:space="preserve">presentó demanda </w:t>
      </w:r>
      <w:r w:rsidR="00B477E5" w:rsidRPr="002A66DA">
        <w:rPr>
          <w:rFonts w:ascii="Arial Narrow" w:hAnsi="Arial Narrow" w:cs="Arial Narrow"/>
          <w:bCs/>
          <w:color w:val="auto"/>
          <w:sz w:val="26"/>
          <w:szCs w:val="26"/>
          <w:lang w:val="es-CO"/>
        </w:rPr>
        <w:t xml:space="preserve">ejecutiva con garantía </w:t>
      </w:r>
      <w:r w:rsidR="007518CC" w:rsidRPr="002A66DA">
        <w:rPr>
          <w:rFonts w:ascii="Arial Narrow" w:hAnsi="Arial Narrow" w:cs="Arial Narrow"/>
          <w:bCs/>
          <w:color w:val="auto"/>
          <w:sz w:val="26"/>
          <w:szCs w:val="26"/>
          <w:lang w:val="es-CO"/>
        </w:rPr>
        <w:t xml:space="preserve">hipotecaria </w:t>
      </w:r>
      <w:r w:rsidR="00D2029E" w:rsidRPr="002A66DA">
        <w:rPr>
          <w:rFonts w:ascii="Arial Narrow" w:hAnsi="Arial Narrow" w:cs="Arial Narrow"/>
          <w:bCs/>
          <w:color w:val="auto"/>
          <w:sz w:val="26"/>
          <w:szCs w:val="26"/>
          <w:lang w:val="es-CO"/>
        </w:rPr>
        <w:t xml:space="preserve">en contra de </w:t>
      </w:r>
      <w:r w:rsidR="008526AF" w:rsidRPr="002A66DA">
        <w:rPr>
          <w:rFonts w:ascii="Arial Narrow" w:hAnsi="Arial Narrow" w:cs="Arial Narrow"/>
          <w:bCs/>
          <w:color w:val="auto"/>
          <w:sz w:val="26"/>
          <w:szCs w:val="26"/>
          <w:lang w:val="es-CO"/>
        </w:rPr>
        <w:t>VICENTE</w:t>
      </w:r>
      <w:r w:rsidR="00155342" w:rsidRPr="002A66DA">
        <w:rPr>
          <w:rFonts w:ascii="Arial Narrow" w:hAnsi="Arial Narrow" w:cs="Arial Narrow"/>
          <w:bCs/>
          <w:color w:val="auto"/>
          <w:sz w:val="26"/>
          <w:szCs w:val="26"/>
          <w:lang w:val="es-CO"/>
        </w:rPr>
        <w:t xml:space="preserve"> MURILLO AGUALIMPIA</w:t>
      </w:r>
      <w:r w:rsidR="009F13F0" w:rsidRPr="002A66DA">
        <w:rPr>
          <w:rFonts w:ascii="Arial Narrow" w:hAnsi="Arial Narrow" w:cs="Arial Narrow"/>
          <w:bCs/>
          <w:color w:val="auto"/>
          <w:sz w:val="26"/>
          <w:szCs w:val="26"/>
          <w:lang w:val="es-CO"/>
        </w:rPr>
        <w:t xml:space="preserve">. </w:t>
      </w:r>
    </w:p>
    <w:p w14:paraId="2745430D" w14:textId="77777777" w:rsidR="00CF00FD" w:rsidRPr="002A66DA" w:rsidRDefault="00CF00FD"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F1DB2DC" w14:textId="7D3AE475" w:rsidR="000A5311" w:rsidRPr="002A66DA" w:rsidRDefault="009F13F0"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Como soporte de </w:t>
      </w:r>
      <w:r w:rsidR="00155342" w:rsidRPr="002A66DA">
        <w:rPr>
          <w:rFonts w:ascii="Arial Narrow" w:hAnsi="Arial Narrow" w:cs="Arial Narrow"/>
          <w:bCs/>
          <w:color w:val="auto"/>
          <w:sz w:val="26"/>
          <w:szCs w:val="26"/>
          <w:lang w:val="es-CO"/>
        </w:rPr>
        <w:t>recaudo</w:t>
      </w:r>
      <w:r w:rsidRPr="002A66DA">
        <w:rPr>
          <w:rFonts w:ascii="Arial Narrow" w:hAnsi="Arial Narrow" w:cs="Arial Narrow"/>
          <w:bCs/>
          <w:color w:val="auto"/>
          <w:sz w:val="26"/>
          <w:szCs w:val="26"/>
          <w:lang w:val="es-CO"/>
        </w:rPr>
        <w:t xml:space="preserve"> se aportó </w:t>
      </w:r>
      <w:r w:rsidR="00155342" w:rsidRPr="002A66DA">
        <w:rPr>
          <w:rFonts w:ascii="Arial Narrow" w:hAnsi="Arial Narrow" w:cs="Arial Narrow"/>
          <w:bCs/>
          <w:color w:val="auto"/>
          <w:sz w:val="26"/>
          <w:szCs w:val="26"/>
          <w:lang w:val="es-CO"/>
        </w:rPr>
        <w:t>pagaré</w:t>
      </w:r>
      <w:r w:rsidR="00AF75A3" w:rsidRPr="002A66DA">
        <w:rPr>
          <w:rStyle w:val="Refdenotaalpie"/>
          <w:rFonts w:ascii="Arial Narrow" w:hAnsi="Arial Narrow" w:cs="Arial Narrow"/>
          <w:bCs/>
          <w:color w:val="auto"/>
          <w:sz w:val="26"/>
          <w:szCs w:val="26"/>
          <w:lang w:val="es-CO"/>
        </w:rPr>
        <w:footnoteReference w:id="1"/>
      </w:r>
      <w:r w:rsidR="003104B8" w:rsidRPr="002A66DA">
        <w:rPr>
          <w:rFonts w:ascii="Arial Narrow" w:hAnsi="Arial Narrow" w:cs="Arial Narrow"/>
          <w:bCs/>
          <w:color w:val="auto"/>
          <w:sz w:val="26"/>
          <w:szCs w:val="26"/>
          <w:lang w:val="es-CO"/>
        </w:rPr>
        <w:t xml:space="preserve"> otorgado el </w:t>
      </w:r>
      <w:r w:rsidR="003104B8" w:rsidRPr="002A66DA">
        <w:rPr>
          <w:rFonts w:ascii="Arial Narrow" w:hAnsi="Arial Narrow" w:cs="Arial Narrow"/>
          <w:b/>
          <w:color w:val="auto"/>
          <w:sz w:val="26"/>
          <w:szCs w:val="26"/>
          <w:lang w:val="es-CO"/>
        </w:rPr>
        <w:t>23 de abril de 1997</w:t>
      </w:r>
      <w:r w:rsidR="00155342" w:rsidRPr="002A66DA">
        <w:rPr>
          <w:rFonts w:ascii="Arial Narrow" w:hAnsi="Arial Narrow" w:cs="Arial Narrow"/>
          <w:bCs/>
          <w:color w:val="auto"/>
          <w:sz w:val="26"/>
          <w:szCs w:val="26"/>
          <w:lang w:val="es-CO"/>
        </w:rPr>
        <w:t>, donde el ejecutado</w:t>
      </w:r>
      <w:r w:rsidR="004E5E42" w:rsidRPr="002A66DA">
        <w:rPr>
          <w:rFonts w:ascii="Arial Narrow" w:hAnsi="Arial Narrow" w:cs="Arial Narrow"/>
          <w:bCs/>
          <w:color w:val="auto"/>
          <w:sz w:val="26"/>
          <w:szCs w:val="26"/>
          <w:lang w:val="es-CO"/>
        </w:rPr>
        <w:t>,</w:t>
      </w:r>
      <w:r w:rsidR="001549FE" w:rsidRPr="002A66DA">
        <w:rPr>
          <w:rFonts w:ascii="Arial Narrow" w:hAnsi="Arial Narrow" w:cs="Arial Narrow"/>
          <w:bCs/>
          <w:color w:val="auto"/>
          <w:sz w:val="26"/>
          <w:szCs w:val="26"/>
          <w:lang w:val="es-CO"/>
        </w:rPr>
        <w:t xml:space="preserve"> así como</w:t>
      </w:r>
      <w:r w:rsidR="004E5E42" w:rsidRPr="002A66DA">
        <w:rPr>
          <w:rFonts w:ascii="Arial Narrow" w:hAnsi="Arial Narrow" w:cs="Arial Narrow"/>
          <w:bCs/>
          <w:color w:val="auto"/>
          <w:sz w:val="26"/>
          <w:szCs w:val="26"/>
          <w:lang w:val="es-CO"/>
        </w:rPr>
        <w:t xml:space="preserve"> CARLOS MURILLO AGUALIMPIA y DANNY MORENO</w:t>
      </w:r>
      <w:r w:rsidR="00D4277B" w:rsidRPr="002A66DA">
        <w:rPr>
          <w:rFonts w:ascii="Arial Narrow" w:hAnsi="Arial Narrow" w:cs="Arial Narrow"/>
          <w:bCs/>
          <w:color w:val="auto"/>
          <w:sz w:val="26"/>
          <w:szCs w:val="26"/>
          <w:lang w:val="es-CO"/>
        </w:rPr>
        <w:t xml:space="preserve"> CÓRDOBA, </w:t>
      </w:r>
      <w:r w:rsidR="00155342" w:rsidRPr="002A66DA">
        <w:rPr>
          <w:rFonts w:ascii="Arial Narrow" w:hAnsi="Arial Narrow" w:cs="Arial Narrow"/>
          <w:bCs/>
          <w:color w:val="auto"/>
          <w:sz w:val="26"/>
          <w:szCs w:val="26"/>
          <w:lang w:val="es-CO"/>
        </w:rPr>
        <w:t>se comprometi</w:t>
      </w:r>
      <w:r w:rsidR="00D4277B" w:rsidRPr="002A66DA">
        <w:rPr>
          <w:rFonts w:ascii="Arial Narrow" w:hAnsi="Arial Narrow" w:cs="Arial Narrow"/>
          <w:bCs/>
          <w:color w:val="auto"/>
          <w:sz w:val="26"/>
          <w:szCs w:val="26"/>
          <w:lang w:val="es-CO"/>
        </w:rPr>
        <w:t>eron</w:t>
      </w:r>
      <w:r w:rsidR="00155342" w:rsidRPr="002A66DA">
        <w:rPr>
          <w:rFonts w:ascii="Arial Narrow" w:hAnsi="Arial Narrow" w:cs="Arial Narrow"/>
          <w:bCs/>
          <w:color w:val="auto"/>
          <w:sz w:val="26"/>
          <w:szCs w:val="26"/>
          <w:lang w:val="es-CO"/>
        </w:rPr>
        <w:t xml:space="preserve"> a pagar </w:t>
      </w:r>
      <w:r w:rsidR="00526290" w:rsidRPr="002A66DA">
        <w:rPr>
          <w:rFonts w:ascii="Arial Narrow" w:hAnsi="Arial Narrow" w:cs="Arial Narrow"/>
          <w:bCs/>
          <w:color w:val="auto"/>
          <w:sz w:val="26"/>
          <w:szCs w:val="26"/>
          <w:lang w:val="es-CO"/>
        </w:rPr>
        <w:t>a</w:t>
      </w:r>
      <w:r w:rsidR="00155342" w:rsidRPr="002A66DA">
        <w:rPr>
          <w:rFonts w:ascii="Arial Narrow" w:hAnsi="Arial Narrow" w:cs="Arial Narrow"/>
          <w:bCs/>
          <w:color w:val="auto"/>
          <w:sz w:val="26"/>
          <w:szCs w:val="26"/>
          <w:lang w:val="es-CO"/>
        </w:rPr>
        <w:t xml:space="preserve"> </w:t>
      </w:r>
      <w:r w:rsidR="00526290" w:rsidRPr="002A66DA">
        <w:rPr>
          <w:rFonts w:ascii="Arial Narrow" w:hAnsi="Arial Narrow" w:cs="Arial Narrow"/>
          <w:bCs/>
          <w:color w:val="auto"/>
          <w:sz w:val="26"/>
          <w:szCs w:val="26"/>
          <w:lang w:val="es-CO"/>
        </w:rPr>
        <w:t>la CO</w:t>
      </w:r>
      <w:r w:rsidR="00F35458" w:rsidRPr="002A66DA">
        <w:rPr>
          <w:rFonts w:ascii="Arial Narrow" w:hAnsi="Arial Narrow" w:cs="Arial Narrow"/>
          <w:bCs/>
          <w:color w:val="auto"/>
          <w:sz w:val="26"/>
          <w:szCs w:val="26"/>
          <w:lang w:val="es-CO"/>
        </w:rPr>
        <w:t>R</w:t>
      </w:r>
      <w:r w:rsidR="00526290" w:rsidRPr="002A66DA">
        <w:rPr>
          <w:rFonts w:ascii="Arial Narrow" w:hAnsi="Arial Narrow" w:cs="Arial Narrow"/>
          <w:bCs/>
          <w:color w:val="auto"/>
          <w:sz w:val="26"/>
          <w:szCs w:val="26"/>
          <w:lang w:val="es-CO"/>
        </w:rPr>
        <w:t>PORACIÓN NACIONAL DE AHORRO Y VIVIENDA “</w:t>
      </w:r>
      <w:r w:rsidR="00155342" w:rsidRPr="002A66DA">
        <w:rPr>
          <w:rFonts w:ascii="Arial Narrow" w:hAnsi="Arial Narrow" w:cs="Arial Narrow"/>
          <w:bCs/>
          <w:color w:val="auto"/>
          <w:sz w:val="26"/>
          <w:szCs w:val="26"/>
          <w:lang w:val="es-CO"/>
        </w:rPr>
        <w:t>CONAVI</w:t>
      </w:r>
      <w:r w:rsidR="00526290" w:rsidRPr="002A66DA">
        <w:rPr>
          <w:rFonts w:ascii="Arial Narrow" w:hAnsi="Arial Narrow" w:cs="Arial Narrow"/>
          <w:bCs/>
          <w:color w:val="auto"/>
          <w:sz w:val="26"/>
          <w:szCs w:val="26"/>
          <w:lang w:val="es-CO"/>
        </w:rPr>
        <w:t>”</w:t>
      </w:r>
      <w:r w:rsidR="00155342" w:rsidRPr="002A66DA">
        <w:rPr>
          <w:rFonts w:ascii="Arial Narrow" w:hAnsi="Arial Narrow" w:cs="Arial Narrow"/>
          <w:bCs/>
          <w:color w:val="auto"/>
          <w:sz w:val="26"/>
          <w:szCs w:val="26"/>
          <w:lang w:val="es-CO"/>
        </w:rPr>
        <w:t xml:space="preserve"> (hoy Bancolombia), la suma de 5.407,8483 UPAC, equivalente</w:t>
      </w:r>
      <w:r w:rsidR="00F35458" w:rsidRPr="002A66DA">
        <w:rPr>
          <w:rFonts w:ascii="Arial Narrow" w:hAnsi="Arial Narrow" w:cs="Arial Narrow"/>
          <w:bCs/>
          <w:color w:val="auto"/>
          <w:sz w:val="26"/>
          <w:szCs w:val="26"/>
          <w:lang w:val="es-CO"/>
        </w:rPr>
        <w:t>s</w:t>
      </w:r>
      <w:r w:rsidR="00155342" w:rsidRPr="002A66DA">
        <w:rPr>
          <w:rFonts w:ascii="Arial Narrow" w:hAnsi="Arial Narrow" w:cs="Arial Narrow"/>
          <w:bCs/>
          <w:color w:val="auto"/>
          <w:sz w:val="26"/>
          <w:szCs w:val="26"/>
          <w:lang w:val="es-CO"/>
        </w:rPr>
        <w:t xml:space="preserve"> a $ 56.000.000, en 180 instalamentos, cada uno por 70,3977 UPAC, para ser </w:t>
      </w:r>
      <w:r w:rsidR="00D933C2" w:rsidRPr="002A66DA">
        <w:rPr>
          <w:rFonts w:ascii="Arial Narrow" w:hAnsi="Arial Narrow" w:cs="Arial Narrow"/>
          <w:bCs/>
          <w:color w:val="auto"/>
          <w:sz w:val="26"/>
          <w:szCs w:val="26"/>
          <w:lang w:val="es-CO"/>
        </w:rPr>
        <w:t xml:space="preserve">pagado </w:t>
      </w:r>
      <w:r w:rsidR="00AB0587" w:rsidRPr="002A66DA">
        <w:rPr>
          <w:rFonts w:ascii="Arial Narrow" w:hAnsi="Arial Narrow" w:cs="Arial Narrow"/>
          <w:bCs/>
          <w:color w:val="auto"/>
          <w:sz w:val="26"/>
          <w:szCs w:val="26"/>
          <w:lang w:val="es-CO"/>
        </w:rPr>
        <w:t>el</w:t>
      </w:r>
      <w:r w:rsidR="00155342" w:rsidRPr="002A66DA">
        <w:rPr>
          <w:rFonts w:ascii="Arial Narrow" w:hAnsi="Arial Narrow" w:cs="Arial Narrow"/>
          <w:bCs/>
          <w:color w:val="auto"/>
          <w:sz w:val="26"/>
          <w:szCs w:val="26"/>
          <w:lang w:val="es-CO"/>
        </w:rPr>
        <w:t xml:space="preserve"> primer</w:t>
      </w:r>
      <w:r w:rsidR="00AB0587" w:rsidRPr="002A66DA">
        <w:rPr>
          <w:rFonts w:ascii="Arial Narrow" w:hAnsi="Arial Narrow" w:cs="Arial Narrow"/>
          <w:bCs/>
          <w:color w:val="auto"/>
          <w:sz w:val="26"/>
          <w:szCs w:val="26"/>
          <w:lang w:val="es-CO"/>
        </w:rPr>
        <w:t>o</w:t>
      </w:r>
      <w:r w:rsidR="00155342" w:rsidRPr="002A66DA">
        <w:rPr>
          <w:rFonts w:ascii="Arial Narrow" w:hAnsi="Arial Narrow" w:cs="Arial Narrow"/>
          <w:bCs/>
          <w:color w:val="auto"/>
          <w:sz w:val="26"/>
          <w:szCs w:val="26"/>
          <w:lang w:val="es-CO"/>
        </w:rPr>
        <w:t xml:space="preserve"> el 23 de mayo de 1997 y así sucesivamente</w:t>
      </w:r>
      <w:r w:rsidR="00D933C2" w:rsidRPr="002A66DA">
        <w:rPr>
          <w:rFonts w:ascii="Arial Narrow" w:hAnsi="Arial Narrow" w:cs="Arial Narrow"/>
          <w:bCs/>
          <w:color w:val="auto"/>
          <w:sz w:val="26"/>
          <w:szCs w:val="26"/>
          <w:lang w:val="es-CO"/>
        </w:rPr>
        <w:t xml:space="preserve">. Se pactó que </w:t>
      </w:r>
      <w:r w:rsidR="000A5311" w:rsidRPr="002A66DA">
        <w:rPr>
          <w:rFonts w:ascii="Arial Narrow" w:hAnsi="Arial Narrow" w:cs="Arial Narrow"/>
          <w:bCs/>
          <w:color w:val="auto"/>
          <w:sz w:val="26"/>
          <w:szCs w:val="26"/>
          <w:lang w:val="es-CO"/>
        </w:rPr>
        <w:t>durante ese pl</w:t>
      </w:r>
      <w:r w:rsidR="008526AF" w:rsidRPr="002A66DA">
        <w:rPr>
          <w:rFonts w:ascii="Arial Narrow" w:hAnsi="Arial Narrow" w:cs="Arial Narrow"/>
          <w:bCs/>
          <w:color w:val="auto"/>
          <w:sz w:val="26"/>
          <w:szCs w:val="26"/>
          <w:lang w:val="es-CO"/>
        </w:rPr>
        <w:t>a</w:t>
      </w:r>
      <w:r w:rsidR="000A5311" w:rsidRPr="002A66DA">
        <w:rPr>
          <w:rFonts w:ascii="Arial Narrow" w:hAnsi="Arial Narrow" w:cs="Arial Narrow"/>
          <w:bCs/>
          <w:color w:val="auto"/>
          <w:sz w:val="26"/>
          <w:szCs w:val="26"/>
          <w:lang w:val="es-CO"/>
        </w:rPr>
        <w:t>zo se pagarían intereses del 12 % anual</w:t>
      </w:r>
      <w:r w:rsidR="00DA4296" w:rsidRPr="002A66DA">
        <w:rPr>
          <w:rFonts w:ascii="Arial Narrow" w:hAnsi="Arial Narrow" w:cs="Arial Narrow"/>
          <w:bCs/>
          <w:color w:val="auto"/>
          <w:sz w:val="26"/>
          <w:szCs w:val="26"/>
          <w:lang w:val="es-CO"/>
        </w:rPr>
        <w:t xml:space="preserve">, así como </w:t>
      </w:r>
      <w:r w:rsidR="000A5311" w:rsidRPr="002A66DA">
        <w:rPr>
          <w:rFonts w:ascii="Arial Narrow" w:hAnsi="Arial Narrow" w:cs="Arial Narrow"/>
          <w:bCs/>
          <w:color w:val="auto"/>
          <w:sz w:val="26"/>
          <w:szCs w:val="26"/>
          <w:lang w:val="es-CO"/>
        </w:rPr>
        <w:t>clausula aceleratoria, entre otros</w:t>
      </w:r>
      <w:r w:rsidR="00DA4296" w:rsidRPr="002A66DA">
        <w:rPr>
          <w:rFonts w:ascii="Arial Narrow" w:hAnsi="Arial Narrow" w:cs="Arial Narrow"/>
          <w:bCs/>
          <w:color w:val="auto"/>
          <w:sz w:val="26"/>
          <w:szCs w:val="26"/>
          <w:lang w:val="es-CO"/>
        </w:rPr>
        <w:t xml:space="preserve"> eventos</w:t>
      </w:r>
      <w:r w:rsidR="000A5311" w:rsidRPr="002A66DA">
        <w:rPr>
          <w:rFonts w:ascii="Arial Narrow" w:hAnsi="Arial Narrow" w:cs="Arial Narrow"/>
          <w:bCs/>
          <w:color w:val="auto"/>
          <w:sz w:val="26"/>
          <w:szCs w:val="26"/>
          <w:lang w:val="es-CO"/>
        </w:rPr>
        <w:t xml:space="preserve">, por mora en el pago de las cuotas de amortización. </w:t>
      </w:r>
    </w:p>
    <w:p w14:paraId="00957942" w14:textId="62209ED0" w:rsidR="000A5311" w:rsidRPr="002A66DA" w:rsidRDefault="000A5311"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8798823" w14:textId="5F950623" w:rsidR="000A5311" w:rsidRPr="002A66DA" w:rsidRDefault="0015481F"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La</w:t>
      </w:r>
      <w:r w:rsidR="000A5311" w:rsidRPr="002A66DA">
        <w:rPr>
          <w:rFonts w:ascii="Arial Narrow" w:hAnsi="Arial Narrow" w:cs="Arial Narrow"/>
          <w:bCs/>
          <w:color w:val="auto"/>
          <w:sz w:val="26"/>
          <w:szCs w:val="26"/>
          <w:lang w:val="es-CO"/>
        </w:rPr>
        <w:t xml:space="preserve"> garantía real se </w:t>
      </w:r>
      <w:r w:rsidR="00DA4296" w:rsidRPr="002A66DA">
        <w:rPr>
          <w:rFonts w:ascii="Arial Narrow" w:hAnsi="Arial Narrow" w:cs="Arial Narrow"/>
          <w:bCs/>
          <w:color w:val="auto"/>
          <w:sz w:val="26"/>
          <w:szCs w:val="26"/>
          <w:lang w:val="es-CO"/>
        </w:rPr>
        <w:t>otorgó</w:t>
      </w:r>
      <w:r w:rsidR="00CF3E40" w:rsidRPr="002A66DA">
        <w:rPr>
          <w:rFonts w:ascii="Arial Narrow" w:hAnsi="Arial Narrow" w:cs="Arial Narrow"/>
          <w:bCs/>
          <w:color w:val="auto"/>
          <w:sz w:val="26"/>
          <w:szCs w:val="26"/>
          <w:lang w:val="es-CO"/>
        </w:rPr>
        <w:t xml:space="preserve"> por VICENTE MURILLO AGUALIMPIA, como apoderado especial </w:t>
      </w:r>
      <w:r w:rsidR="00E04240" w:rsidRPr="002A66DA">
        <w:rPr>
          <w:rFonts w:ascii="Arial Narrow" w:hAnsi="Arial Narrow" w:cs="Arial Narrow"/>
          <w:bCs/>
          <w:color w:val="auto"/>
          <w:sz w:val="26"/>
          <w:szCs w:val="26"/>
          <w:lang w:val="es-CO"/>
        </w:rPr>
        <w:t xml:space="preserve">de CARLOS MURILLO AGUALIMPIA y DANNY MORENO CÓRDOBA, </w:t>
      </w:r>
      <w:r w:rsidR="000A5311" w:rsidRPr="002A66DA">
        <w:rPr>
          <w:rFonts w:ascii="Arial Narrow" w:hAnsi="Arial Narrow" w:cs="Arial Narrow"/>
          <w:bCs/>
          <w:color w:val="auto"/>
          <w:sz w:val="26"/>
          <w:szCs w:val="26"/>
          <w:lang w:val="es-CO"/>
        </w:rPr>
        <w:t xml:space="preserve">sobre el predio </w:t>
      </w:r>
      <w:r w:rsidR="00E04240" w:rsidRPr="002A66DA">
        <w:rPr>
          <w:rFonts w:ascii="Arial Narrow" w:hAnsi="Arial Narrow" w:cs="Arial Narrow"/>
          <w:bCs/>
          <w:color w:val="auto"/>
          <w:sz w:val="26"/>
          <w:szCs w:val="26"/>
          <w:lang w:val="es-CO"/>
        </w:rPr>
        <w:t>con</w:t>
      </w:r>
      <w:r w:rsidR="008526AF" w:rsidRPr="002A66DA">
        <w:rPr>
          <w:rFonts w:ascii="Arial Narrow" w:hAnsi="Arial Narrow" w:cs="Arial Narrow"/>
          <w:bCs/>
          <w:color w:val="auto"/>
          <w:sz w:val="26"/>
          <w:szCs w:val="26"/>
          <w:lang w:val="es-CO"/>
        </w:rPr>
        <w:t xml:space="preserve"> </w:t>
      </w:r>
      <w:r w:rsidR="008C478C" w:rsidRPr="002A66DA">
        <w:rPr>
          <w:rFonts w:ascii="Arial Narrow" w:hAnsi="Arial Narrow" w:cs="Arial Narrow"/>
          <w:bCs/>
          <w:color w:val="auto"/>
          <w:sz w:val="26"/>
          <w:szCs w:val="26"/>
          <w:lang w:val="es-CO"/>
        </w:rPr>
        <w:t xml:space="preserve">folio de </w:t>
      </w:r>
      <w:r w:rsidR="008526AF" w:rsidRPr="002A66DA">
        <w:rPr>
          <w:rFonts w:ascii="Arial Narrow" w:hAnsi="Arial Narrow" w:cs="Arial Narrow"/>
          <w:bCs/>
          <w:color w:val="auto"/>
          <w:sz w:val="26"/>
          <w:szCs w:val="26"/>
          <w:lang w:val="es-CO"/>
        </w:rPr>
        <w:t>matrícula</w:t>
      </w:r>
      <w:r w:rsidR="000A5311" w:rsidRPr="002A66DA">
        <w:rPr>
          <w:rFonts w:ascii="Arial Narrow" w:hAnsi="Arial Narrow" w:cs="Arial Narrow"/>
          <w:bCs/>
          <w:color w:val="auto"/>
          <w:sz w:val="26"/>
          <w:szCs w:val="26"/>
          <w:lang w:val="es-CO"/>
        </w:rPr>
        <w:t xml:space="preserve"> inmobiliaria </w:t>
      </w:r>
      <w:r w:rsidR="008526AF" w:rsidRPr="002A66DA">
        <w:rPr>
          <w:rFonts w:ascii="Arial Narrow" w:hAnsi="Arial Narrow" w:cs="Arial Narrow"/>
          <w:bCs/>
          <w:color w:val="auto"/>
          <w:sz w:val="26"/>
          <w:szCs w:val="26"/>
          <w:lang w:val="es-CO"/>
        </w:rPr>
        <w:t xml:space="preserve">No. 01N-5034253, </w:t>
      </w:r>
      <w:r w:rsidR="006A1BF6" w:rsidRPr="002A66DA">
        <w:rPr>
          <w:rFonts w:ascii="Arial Narrow" w:hAnsi="Arial Narrow" w:cs="Arial Narrow"/>
          <w:bCs/>
          <w:color w:val="auto"/>
          <w:sz w:val="26"/>
          <w:szCs w:val="26"/>
          <w:lang w:val="es-CO"/>
        </w:rPr>
        <w:t>g</w:t>
      </w:r>
      <w:r w:rsidR="008526AF" w:rsidRPr="002A66DA">
        <w:rPr>
          <w:rFonts w:ascii="Arial Narrow" w:hAnsi="Arial Narrow" w:cs="Arial Narrow"/>
          <w:bCs/>
          <w:color w:val="auto"/>
          <w:sz w:val="26"/>
          <w:szCs w:val="26"/>
          <w:lang w:val="es-CO"/>
        </w:rPr>
        <w:t xml:space="preserve">ravamen contenido en la escritura pública No. 2257 del 08 de abril de 1997 de la Notaría </w:t>
      </w:r>
      <w:r w:rsidR="008526AF" w:rsidRPr="002A66DA">
        <w:rPr>
          <w:rFonts w:ascii="Arial Narrow" w:hAnsi="Arial Narrow" w:cs="Arial Narrow"/>
          <w:bCs/>
          <w:color w:val="000000" w:themeColor="text1"/>
          <w:sz w:val="26"/>
          <w:szCs w:val="26"/>
          <w:lang w:val="es-CO"/>
        </w:rPr>
        <w:t>quince del c</w:t>
      </w:r>
      <w:r w:rsidR="00DF6724" w:rsidRPr="002A66DA">
        <w:rPr>
          <w:rFonts w:ascii="Arial Narrow" w:hAnsi="Arial Narrow" w:cs="Arial Narrow"/>
          <w:bCs/>
          <w:color w:val="000000" w:themeColor="text1"/>
          <w:sz w:val="26"/>
          <w:szCs w:val="26"/>
          <w:lang w:val="es-CO"/>
        </w:rPr>
        <w:t>í</w:t>
      </w:r>
      <w:r w:rsidR="008526AF" w:rsidRPr="002A66DA">
        <w:rPr>
          <w:rFonts w:ascii="Arial Narrow" w:hAnsi="Arial Narrow" w:cs="Arial Narrow"/>
          <w:bCs/>
          <w:color w:val="000000" w:themeColor="text1"/>
          <w:sz w:val="26"/>
          <w:szCs w:val="26"/>
          <w:lang w:val="es-CO"/>
        </w:rPr>
        <w:t xml:space="preserve">rculo </w:t>
      </w:r>
      <w:r w:rsidR="008526AF" w:rsidRPr="002A66DA">
        <w:rPr>
          <w:rFonts w:ascii="Arial Narrow" w:hAnsi="Arial Narrow" w:cs="Arial Narrow"/>
          <w:bCs/>
          <w:color w:val="auto"/>
          <w:sz w:val="26"/>
          <w:szCs w:val="26"/>
          <w:lang w:val="es-CO"/>
        </w:rPr>
        <w:t>de Medellín</w:t>
      </w:r>
      <w:r w:rsidR="00AF710B" w:rsidRPr="002A66DA">
        <w:rPr>
          <w:rFonts w:ascii="Arial Narrow" w:hAnsi="Arial Narrow" w:cs="Arial Narrow"/>
          <w:bCs/>
          <w:color w:val="auto"/>
          <w:sz w:val="26"/>
          <w:szCs w:val="26"/>
          <w:lang w:val="es-CO"/>
        </w:rPr>
        <w:t>, que se aportó en primera copia con constancia de prestar mérito ejecutivo</w:t>
      </w:r>
      <w:r w:rsidR="00AF710B" w:rsidRPr="002A66DA">
        <w:rPr>
          <w:rStyle w:val="Refdenotaalpie"/>
          <w:rFonts w:ascii="Arial Narrow" w:hAnsi="Arial Narrow" w:cs="Arial Narrow"/>
          <w:bCs/>
          <w:color w:val="auto"/>
          <w:sz w:val="26"/>
          <w:szCs w:val="26"/>
          <w:lang w:val="es-CO"/>
        </w:rPr>
        <w:footnoteReference w:id="2"/>
      </w:r>
      <w:r w:rsidRPr="002A66DA">
        <w:rPr>
          <w:rFonts w:ascii="Arial Narrow" w:hAnsi="Arial Narrow" w:cs="Arial Narrow"/>
          <w:bCs/>
          <w:color w:val="auto"/>
          <w:sz w:val="26"/>
          <w:szCs w:val="26"/>
          <w:lang w:val="es-CO"/>
        </w:rPr>
        <w:t xml:space="preserve">, y se encuentra registrada en la anotación </w:t>
      </w:r>
      <w:r w:rsidR="00963D8A" w:rsidRPr="002A66DA">
        <w:rPr>
          <w:rFonts w:ascii="Arial Narrow" w:hAnsi="Arial Narrow" w:cs="Arial Narrow"/>
          <w:bCs/>
          <w:color w:val="auto"/>
          <w:sz w:val="26"/>
          <w:szCs w:val="26"/>
          <w:lang w:val="es-CO"/>
        </w:rPr>
        <w:t>13 del folio mencionado</w:t>
      </w:r>
      <w:r w:rsidR="002D0E87" w:rsidRPr="002A66DA">
        <w:rPr>
          <w:rStyle w:val="Refdenotaalpie"/>
          <w:rFonts w:ascii="Arial Narrow" w:hAnsi="Arial Narrow" w:cs="Arial Narrow"/>
          <w:bCs/>
          <w:color w:val="auto"/>
          <w:sz w:val="26"/>
          <w:szCs w:val="26"/>
          <w:lang w:val="es-CO"/>
        </w:rPr>
        <w:footnoteReference w:id="3"/>
      </w:r>
      <w:r w:rsidR="00963D8A" w:rsidRPr="002A66DA">
        <w:rPr>
          <w:rFonts w:ascii="Arial Narrow" w:hAnsi="Arial Narrow" w:cs="Arial Narrow"/>
          <w:bCs/>
          <w:color w:val="auto"/>
          <w:sz w:val="26"/>
          <w:szCs w:val="26"/>
          <w:lang w:val="es-CO"/>
        </w:rPr>
        <w:t>.</w:t>
      </w:r>
      <w:r w:rsidR="008526AF" w:rsidRPr="002A66DA">
        <w:rPr>
          <w:rFonts w:ascii="Arial Narrow" w:hAnsi="Arial Narrow" w:cs="Arial Narrow"/>
          <w:bCs/>
          <w:color w:val="auto"/>
          <w:sz w:val="26"/>
          <w:szCs w:val="26"/>
          <w:lang w:val="es-CO"/>
        </w:rPr>
        <w:t xml:space="preserve">   </w:t>
      </w:r>
      <w:r w:rsidR="000A5311" w:rsidRPr="002A66DA">
        <w:rPr>
          <w:rFonts w:ascii="Arial Narrow" w:hAnsi="Arial Narrow" w:cs="Arial Narrow"/>
          <w:bCs/>
          <w:color w:val="auto"/>
          <w:sz w:val="26"/>
          <w:szCs w:val="26"/>
          <w:lang w:val="es-CO"/>
        </w:rPr>
        <w:t xml:space="preserve"> </w:t>
      </w:r>
    </w:p>
    <w:p w14:paraId="1565CBD7" w14:textId="41F41126" w:rsidR="00B477E5" w:rsidRPr="002A66DA" w:rsidRDefault="00155342"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  </w:t>
      </w:r>
      <w:r w:rsidRPr="002A66DA">
        <w:rPr>
          <w:rFonts w:ascii="Arial Narrow" w:hAnsi="Arial Narrow" w:cs="Arial Narrow"/>
          <w:b/>
          <w:color w:val="auto"/>
          <w:sz w:val="26"/>
          <w:szCs w:val="26"/>
          <w:lang w:val="es-CO"/>
        </w:rPr>
        <w:t xml:space="preserve"> </w:t>
      </w:r>
      <w:r w:rsidRPr="002A66DA">
        <w:rPr>
          <w:rFonts w:ascii="Arial Narrow" w:hAnsi="Arial Narrow" w:cs="Arial Narrow"/>
          <w:bCs/>
          <w:color w:val="auto"/>
          <w:sz w:val="26"/>
          <w:szCs w:val="26"/>
          <w:lang w:val="es-CO"/>
        </w:rPr>
        <w:t xml:space="preserve"> </w:t>
      </w:r>
    </w:p>
    <w:p w14:paraId="24F912A6" w14:textId="7BADFE7B" w:rsidR="00387CDA" w:rsidRPr="002A66DA" w:rsidRDefault="008526AF"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En el libelo introductor</w:t>
      </w:r>
      <w:r w:rsidR="002D0E87" w:rsidRPr="002A66DA">
        <w:rPr>
          <w:rStyle w:val="Refdenotaalpie"/>
          <w:rFonts w:ascii="Arial Narrow" w:hAnsi="Arial Narrow" w:cs="Arial Narrow"/>
          <w:bCs/>
          <w:color w:val="auto"/>
          <w:sz w:val="26"/>
          <w:szCs w:val="26"/>
          <w:lang w:val="es-CO"/>
        </w:rPr>
        <w:footnoteReference w:id="4"/>
      </w:r>
      <w:r w:rsidRPr="002A66DA">
        <w:rPr>
          <w:rFonts w:ascii="Arial Narrow" w:hAnsi="Arial Narrow" w:cs="Arial Narrow"/>
          <w:bCs/>
          <w:color w:val="auto"/>
          <w:sz w:val="26"/>
          <w:szCs w:val="26"/>
          <w:lang w:val="es-CO"/>
        </w:rPr>
        <w:t xml:space="preserve">, </w:t>
      </w:r>
      <w:r w:rsidR="00792640" w:rsidRPr="002A66DA">
        <w:rPr>
          <w:rFonts w:ascii="Arial Narrow" w:hAnsi="Arial Narrow" w:cs="Arial Narrow"/>
          <w:bCs/>
          <w:color w:val="auto"/>
          <w:sz w:val="26"/>
          <w:szCs w:val="26"/>
          <w:lang w:val="es-CO"/>
        </w:rPr>
        <w:t xml:space="preserve">presentado el 19 de diciembre de 2007, </w:t>
      </w:r>
      <w:r w:rsidRPr="002A66DA">
        <w:rPr>
          <w:rFonts w:ascii="Arial Narrow" w:hAnsi="Arial Narrow" w:cs="Arial Narrow"/>
          <w:bCs/>
          <w:color w:val="auto"/>
          <w:sz w:val="26"/>
          <w:szCs w:val="26"/>
          <w:lang w:val="es-CO"/>
        </w:rPr>
        <w:t>luego de hacer</w:t>
      </w:r>
      <w:r w:rsidR="00510735" w:rsidRPr="002A66DA">
        <w:rPr>
          <w:rFonts w:ascii="Arial Narrow" w:hAnsi="Arial Narrow" w:cs="Arial Narrow"/>
          <w:bCs/>
          <w:color w:val="auto"/>
          <w:sz w:val="26"/>
          <w:szCs w:val="26"/>
          <w:lang w:val="es-CO"/>
        </w:rPr>
        <w:t>se</w:t>
      </w:r>
      <w:r w:rsidRPr="002A66DA">
        <w:rPr>
          <w:rFonts w:ascii="Arial Narrow" w:hAnsi="Arial Narrow" w:cs="Arial Narrow"/>
          <w:bCs/>
          <w:color w:val="auto"/>
          <w:sz w:val="26"/>
          <w:szCs w:val="26"/>
          <w:lang w:val="es-CO"/>
        </w:rPr>
        <w:t xml:space="preserve"> alusión a la Ley 546 de 1999 y a la redenominación UPAC – UVR señalada en su artículo 38,</w:t>
      </w:r>
      <w:r w:rsidR="00AB0587" w:rsidRPr="002A66DA">
        <w:rPr>
          <w:rFonts w:ascii="Arial Narrow" w:hAnsi="Arial Narrow" w:cs="Arial Narrow"/>
          <w:bCs/>
          <w:color w:val="auto"/>
          <w:sz w:val="26"/>
          <w:szCs w:val="26"/>
          <w:lang w:val="es-CO"/>
        </w:rPr>
        <w:t xml:space="preserve"> se</w:t>
      </w:r>
      <w:r w:rsidRPr="002A66DA">
        <w:rPr>
          <w:rFonts w:ascii="Arial Narrow" w:hAnsi="Arial Narrow" w:cs="Arial Narrow"/>
          <w:bCs/>
          <w:color w:val="auto"/>
          <w:sz w:val="26"/>
          <w:szCs w:val="26"/>
          <w:lang w:val="es-CO"/>
        </w:rPr>
        <w:t xml:space="preserve"> indicó que se hicieron pagos parciales a la obligación, reduciéndose la misma a 257.121,3250 UVR, equivalentes a</w:t>
      </w:r>
      <w:r w:rsidR="00387CDA" w:rsidRPr="002A66DA">
        <w:rPr>
          <w:rFonts w:ascii="Arial Narrow" w:hAnsi="Arial Narrow" w:cs="Arial Narrow"/>
          <w:bCs/>
          <w:color w:val="auto"/>
          <w:sz w:val="26"/>
          <w:szCs w:val="26"/>
          <w:lang w:val="es-CO"/>
        </w:rPr>
        <w:t xml:space="preserve"> $ 43.246.289,84, teniendo en cuenta </w:t>
      </w:r>
      <w:r w:rsidR="00AB0587" w:rsidRPr="002A66DA">
        <w:rPr>
          <w:rFonts w:ascii="Arial Narrow" w:hAnsi="Arial Narrow" w:cs="Arial Narrow"/>
          <w:bCs/>
          <w:color w:val="auto"/>
          <w:sz w:val="26"/>
          <w:szCs w:val="26"/>
          <w:lang w:val="es-CO"/>
        </w:rPr>
        <w:t xml:space="preserve">que </w:t>
      </w:r>
      <w:r w:rsidR="00387CDA" w:rsidRPr="002A66DA">
        <w:rPr>
          <w:rFonts w:ascii="Arial Narrow" w:hAnsi="Arial Narrow" w:cs="Arial Narrow"/>
          <w:bCs/>
          <w:color w:val="auto"/>
          <w:sz w:val="26"/>
          <w:szCs w:val="26"/>
          <w:lang w:val="es-CO"/>
        </w:rPr>
        <w:t xml:space="preserve">el valor de la UVR al 19 de diciembre </w:t>
      </w:r>
      <w:r w:rsidR="00387CDA" w:rsidRPr="002A66DA">
        <w:rPr>
          <w:rFonts w:ascii="Arial Narrow" w:hAnsi="Arial Narrow" w:cs="Arial Narrow"/>
          <w:bCs/>
          <w:color w:val="auto"/>
          <w:sz w:val="26"/>
          <w:szCs w:val="26"/>
          <w:lang w:val="es-CO"/>
        </w:rPr>
        <w:lastRenderedPageBreak/>
        <w:t xml:space="preserve">de 2007 </w:t>
      </w:r>
      <w:r w:rsidR="00AB0587" w:rsidRPr="002A66DA">
        <w:rPr>
          <w:rFonts w:ascii="Arial Narrow" w:hAnsi="Arial Narrow" w:cs="Arial Narrow"/>
          <w:bCs/>
          <w:color w:val="auto"/>
          <w:sz w:val="26"/>
          <w:szCs w:val="26"/>
          <w:lang w:val="es-CO"/>
        </w:rPr>
        <w:t>era de</w:t>
      </w:r>
      <w:r w:rsidR="00387CDA" w:rsidRPr="002A66DA">
        <w:rPr>
          <w:rFonts w:ascii="Arial Narrow" w:hAnsi="Arial Narrow" w:cs="Arial Narrow"/>
          <w:bCs/>
          <w:color w:val="auto"/>
          <w:sz w:val="26"/>
          <w:szCs w:val="26"/>
          <w:lang w:val="es-CO"/>
        </w:rPr>
        <w:t xml:space="preserve"> $ 168,1941</w:t>
      </w:r>
      <w:r w:rsidR="005A7C8E" w:rsidRPr="002A66DA">
        <w:rPr>
          <w:rFonts w:ascii="Arial Narrow" w:hAnsi="Arial Narrow" w:cs="Arial Narrow"/>
          <w:bCs/>
          <w:color w:val="auto"/>
          <w:sz w:val="26"/>
          <w:szCs w:val="26"/>
          <w:lang w:val="es-CO"/>
        </w:rPr>
        <w:t xml:space="preserve">, saldo exigible desde el 23 de febrero de 2007, fecha en que se incurrió en mora. </w:t>
      </w:r>
      <w:r w:rsidR="00AB0587" w:rsidRPr="002A66DA">
        <w:rPr>
          <w:rFonts w:ascii="Arial Narrow" w:hAnsi="Arial Narrow" w:cs="Arial Narrow"/>
          <w:bCs/>
          <w:color w:val="auto"/>
          <w:sz w:val="26"/>
          <w:szCs w:val="26"/>
          <w:lang w:val="es-CO"/>
        </w:rPr>
        <w:t xml:space="preserve">También, expresó </w:t>
      </w:r>
      <w:r w:rsidR="00387CDA" w:rsidRPr="002A66DA">
        <w:rPr>
          <w:rFonts w:ascii="Arial Narrow" w:hAnsi="Arial Narrow" w:cs="Arial Narrow"/>
          <w:bCs/>
          <w:color w:val="auto"/>
          <w:sz w:val="26"/>
          <w:szCs w:val="26"/>
          <w:lang w:val="es-CO"/>
        </w:rPr>
        <w:t xml:space="preserve">el uso de la cláusula aceleratoria, en el </w:t>
      </w:r>
      <w:r w:rsidR="00AB0587" w:rsidRPr="002A66DA">
        <w:rPr>
          <w:rFonts w:ascii="Arial Narrow" w:hAnsi="Arial Narrow" w:cs="Arial Narrow"/>
          <w:bCs/>
          <w:color w:val="auto"/>
          <w:sz w:val="26"/>
          <w:szCs w:val="26"/>
          <w:lang w:val="es-CO"/>
        </w:rPr>
        <w:t xml:space="preserve">marco del </w:t>
      </w:r>
      <w:r w:rsidR="00387CDA" w:rsidRPr="002A66DA">
        <w:rPr>
          <w:rFonts w:ascii="Arial Narrow" w:hAnsi="Arial Narrow" w:cs="Arial Narrow"/>
          <w:bCs/>
          <w:color w:val="auto"/>
          <w:sz w:val="26"/>
          <w:szCs w:val="26"/>
          <w:lang w:val="es-CO"/>
        </w:rPr>
        <w:t>artículo 19 de la precitada ley</w:t>
      </w:r>
      <w:r w:rsidR="005A7C8E" w:rsidRPr="002A66DA">
        <w:rPr>
          <w:rFonts w:ascii="Arial Narrow" w:hAnsi="Arial Narrow" w:cs="Arial Narrow"/>
          <w:bCs/>
          <w:color w:val="auto"/>
          <w:sz w:val="26"/>
          <w:szCs w:val="26"/>
          <w:lang w:val="es-CO"/>
        </w:rPr>
        <w:t>.</w:t>
      </w:r>
    </w:p>
    <w:p w14:paraId="75B038A0" w14:textId="04795900" w:rsidR="00387CDA" w:rsidRPr="002A66DA" w:rsidRDefault="00387CDA"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E5806AE" w14:textId="73E6DD46" w:rsidR="00387CDA" w:rsidRPr="002A66DA" w:rsidRDefault="00387CDA"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En el </w:t>
      </w:r>
      <w:r w:rsidRPr="002A66DA">
        <w:rPr>
          <w:rFonts w:ascii="Arial Narrow" w:hAnsi="Arial Narrow" w:cs="Arial Narrow"/>
          <w:b/>
          <w:color w:val="auto"/>
          <w:sz w:val="26"/>
          <w:szCs w:val="26"/>
          <w:lang w:val="es-CO"/>
        </w:rPr>
        <w:t>mandamiento de pago</w:t>
      </w:r>
      <w:r w:rsidR="00124890" w:rsidRPr="002A66DA">
        <w:rPr>
          <w:rStyle w:val="Refdenotaalpie"/>
          <w:rFonts w:ascii="Arial Narrow" w:hAnsi="Arial Narrow" w:cs="Arial Narrow"/>
          <w:b/>
          <w:color w:val="auto"/>
          <w:sz w:val="26"/>
          <w:szCs w:val="26"/>
          <w:lang w:val="es-CO"/>
        </w:rPr>
        <w:footnoteReference w:id="5"/>
      </w:r>
      <w:r w:rsidRPr="002A66DA">
        <w:rPr>
          <w:rFonts w:ascii="Arial Narrow" w:hAnsi="Arial Narrow" w:cs="Arial Narrow"/>
          <w:bCs/>
          <w:color w:val="auto"/>
          <w:sz w:val="26"/>
          <w:szCs w:val="26"/>
          <w:lang w:val="es-CO"/>
        </w:rPr>
        <w:t xml:space="preserve"> fueron acogidas las pretensiones así: </w:t>
      </w:r>
    </w:p>
    <w:p w14:paraId="6519604C" w14:textId="199036A1" w:rsidR="00387CDA" w:rsidRPr="002A66DA" w:rsidRDefault="00387CDA"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C8C6AFF" w14:textId="4ED35919" w:rsidR="00387CDA" w:rsidRPr="002A66DA" w:rsidRDefault="00387CDA" w:rsidP="002A66DA">
      <w:pPr>
        <w:pStyle w:val="313"/>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Como capital 257.121,3250 UVR, que liquidadas al </w:t>
      </w:r>
      <w:r w:rsidR="001B0A91" w:rsidRPr="002A66DA">
        <w:rPr>
          <w:rFonts w:ascii="Arial Narrow" w:hAnsi="Arial Narrow" w:cs="Arial Narrow"/>
          <w:bCs/>
          <w:color w:val="auto"/>
          <w:sz w:val="26"/>
          <w:szCs w:val="26"/>
          <w:lang w:val="es-CO"/>
        </w:rPr>
        <w:t>19 de diciembre de 2007, equivalían a $ 43.246.289,84.</w:t>
      </w:r>
    </w:p>
    <w:p w14:paraId="4EE6E92D" w14:textId="4D7A97DC" w:rsidR="001B0A91" w:rsidRPr="002A66DA" w:rsidRDefault="001B0A91" w:rsidP="002A66DA">
      <w:pPr>
        <w:pStyle w:val="313"/>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Intereses de plazo a la tasa del 12% E/A, a partir del 23 de febrero de 2007 hasta el 19 de diciembre de 2007 (presentación de la demanda).</w:t>
      </w:r>
    </w:p>
    <w:p w14:paraId="54C475D7" w14:textId="77777777" w:rsidR="001B0A91" w:rsidRPr="002A66DA" w:rsidRDefault="001B0A91" w:rsidP="002A66DA">
      <w:pPr>
        <w:pStyle w:val="313"/>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Intereses moratorios a partir del 20 de diciembre de 2007, equivalente a una y media veces el interés corriente.</w:t>
      </w:r>
    </w:p>
    <w:p w14:paraId="4CB33EC1" w14:textId="0DB7815E" w:rsidR="001B0A91" w:rsidRPr="002A66DA" w:rsidRDefault="001B0A91" w:rsidP="002A66DA">
      <w:pPr>
        <w:pStyle w:val="313"/>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Por la suma de $349.531, correspondiente a las primas de seguros</w:t>
      </w:r>
      <w:r w:rsidR="00AB0587" w:rsidRPr="002A66DA">
        <w:rPr>
          <w:rFonts w:ascii="Arial Narrow" w:hAnsi="Arial Narrow" w:cs="Arial Narrow"/>
          <w:bCs/>
          <w:color w:val="auto"/>
          <w:sz w:val="26"/>
          <w:szCs w:val="26"/>
          <w:lang w:val="es-CO"/>
        </w:rPr>
        <w:t>.</w:t>
      </w:r>
      <w:r w:rsidRPr="002A66DA">
        <w:rPr>
          <w:rFonts w:ascii="Arial Narrow" w:hAnsi="Arial Narrow" w:cs="Arial Narrow"/>
          <w:bCs/>
          <w:color w:val="auto"/>
          <w:sz w:val="26"/>
          <w:szCs w:val="26"/>
          <w:lang w:val="es-CO"/>
        </w:rPr>
        <w:t xml:space="preserve"> </w:t>
      </w:r>
    </w:p>
    <w:p w14:paraId="2BB77947" w14:textId="38B46AFD" w:rsidR="00D66A42" w:rsidRPr="002A66DA" w:rsidRDefault="00D66A42"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C794FB6" w14:textId="5CE89011" w:rsidR="00D66A42" w:rsidRPr="002A66DA" w:rsidRDefault="00D66A42"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Allí mismo se decretó el embargo y secuestro del bien hipotecado</w:t>
      </w:r>
      <w:r w:rsidR="0052267F" w:rsidRPr="002A66DA">
        <w:rPr>
          <w:rFonts w:ascii="Arial Narrow" w:hAnsi="Arial Narrow" w:cs="Arial Narrow"/>
          <w:bCs/>
          <w:color w:val="auto"/>
          <w:sz w:val="26"/>
          <w:szCs w:val="26"/>
          <w:lang w:val="es-CO"/>
        </w:rPr>
        <w:t xml:space="preserve">, habiendo quedado registrado el primero el 28 de febrero de 2008, según consta en la anotación </w:t>
      </w:r>
      <w:r w:rsidR="008A3105" w:rsidRPr="002A66DA">
        <w:rPr>
          <w:rFonts w:ascii="Arial Narrow" w:hAnsi="Arial Narrow" w:cs="Arial Narrow"/>
          <w:bCs/>
          <w:color w:val="auto"/>
          <w:sz w:val="26"/>
          <w:szCs w:val="26"/>
          <w:lang w:val="es-CO"/>
        </w:rPr>
        <w:t>21 del folio de matrícula inmobiliaria correspondiente (</w:t>
      </w:r>
      <w:r w:rsidR="00FE7862" w:rsidRPr="002A66DA">
        <w:rPr>
          <w:rFonts w:ascii="Arial Narrow" w:hAnsi="Arial Narrow" w:cs="Arial Narrow"/>
          <w:bCs/>
          <w:color w:val="auto"/>
          <w:sz w:val="26"/>
          <w:szCs w:val="26"/>
          <w:lang w:val="es-CO"/>
        </w:rPr>
        <w:t>página 4 archivo 03 embargo, cuaderno de medidas previas).</w:t>
      </w:r>
    </w:p>
    <w:p w14:paraId="7DAD2F55" w14:textId="77777777" w:rsidR="001B0A91" w:rsidRPr="002A66DA" w:rsidRDefault="001B0A91"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ED940D3" w14:textId="64B37443" w:rsidR="00AD33B2" w:rsidRPr="002A66DA" w:rsidRDefault="001B0A91"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
          <w:color w:val="auto"/>
          <w:sz w:val="26"/>
          <w:szCs w:val="26"/>
          <w:lang w:val="es-CO"/>
        </w:rPr>
        <w:t>La notificación del demandado</w:t>
      </w:r>
      <w:r w:rsidRPr="002A66DA">
        <w:rPr>
          <w:rFonts w:ascii="Arial Narrow" w:hAnsi="Arial Narrow" w:cs="Arial Narrow"/>
          <w:bCs/>
          <w:color w:val="auto"/>
          <w:sz w:val="26"/>
          <w:szCs w:val="26"/>
          <w:lang w:val="es-CO"/>
        </w:rPr>
        <w:t xml:space="preserve"> se perfeccionó por conducta concluyente </w:t>
      </w:r>
      <w:r w:rsidRPr="002A66DA">
        <w:rPr>
          <w:rFonts w:ascii="Arial Narrow" w:hAnsi="Arial Narrow" w:cs="Arial Narrow"/>
          <w:bCs/>
          <w:color w:val="000000" w:themeColor="text1"/>
          <w:sz w:val="26"/>
          <w:szCs w:val="26"/>
          <w:lang w:val="es-CO"/>
        </w:rPr>
        <w:t>(</w:t>
      </w:r>
      <w:r w:rsidR="00E519A6" w:rsidRPr="002A66DA">
        <w:rPr>
          <w:rFonts w:ascii="Arial Narrow" w:hAnsi="Arial Narrow" w:cs="Arial Narrow"/>
          <w:bCs/>
          <w:color w:val="000000" w:themeColor="text1"/>
          <w:sz w:val="26"/>
          <w:szCs w:val="26"/>
          <w:lang w:val="es-CO"/>
        </w:rPr>
        <w:t>archivo 10, primera instancia</w:t>
      </w:r>
      <w:r w:rsidRPr="002A66DA">
        <w:rPr>
          <w:rFonts w:ascii="Arial Narrow" w:hAnsi="Arial Narrow" w:cs="Arial Narrow"/>
          <w:bCs/>
          <w:color w:val="000000" w:themeColor="text1"/>
          <w:sz w:val="26"/>
          <w:szCs w:val="26"/>
          <w:lang w:val="es-CO"/>
        </w:rPr>
        <w:t xml:space="preserve">), </w:t>
      </w:r>
      <w:r w:rsidRPr="002A66DA">
        <w:rPr>
          <w:rFonts w:ascii="Arial Narrow" w:hAnsi="Arial Narrow" w:cs="Arial Narrow"/>
          <w:bCs/>
          <w:color w:val="auto"/>
          <w:sz w:val="26"/>
          <w:szCs w:val="26"/>
          <w:lang w:val="es-CO"/>
        </w:rPr>
        <w:t xml:space="preserve">proponiendo como excepción de </w:t>
      </w:r>
      <w:r w:rsidR="00AD33B2" w:rsidRPr="002A66DA">
        <w:rPr>
          <w:rFonts w:ascii="Arial Narrow" w:hAnsi="Arial Narrow" w:cs="Arial Narrow"/>
          <w:bCs/>
          <w:color w:val="auto"/>
          <w:sz w:val="26"/>
          <w:szCs w:val="26"/>
          <w:lang w:val="es-CO"/>
        </w:rPr>
        <w:t>mérito</w:t>
      </w:r>
      <w:r w:rsidRPr="002A66DA">
        <w:rPr>
          <w:rFonts w:ascii="Arial Narrow" w:hAnsi="Arial Narrow" w:cs="Arial Narrow"/>
          <w:bCs/>
          <w:color w:val="auto"/>
          <w:sz w:val="26"/>
          <w:szCs w:val="26"/>
          <w:lang w:val="es-CO"/>
        </w:rPr>
        <w:t xml:space="preserve"> la que denominó “pago </w:t>
      </w:r>
      <w:r w:rsidR="00185D07" w:rsidRPr="002A66DA">
        <w:rPr>
          <w:rFonts w:ascii="Arial Narrow" w:hAnsi="Arial Narrow" w:cs="Arial Narrow"/>
          <w:bCs/>
          <w:color w:val="auto"/>
          <w:sz w:val="26"/>
          <w:szCs w:val="26"/>
          <w:lang w:val="es-CO"/>
        </w:rPr>
        <w:t>total</w:t>
      </w:r>
      <w:r w:rsidRPr="002A66DA">
        <w:rPr>
          <w:rFonts w:ascii="Arial Narrow" w:hAnsi="Arial Narrow" w:cs="Arial Narrow"/>
          <w:bCs/>
          <w:color w:val="auto"/>
          <w:sz w:val="26"/>
          <w:szCs w:val="26"/>
          <w:lang w:val="es-CO"/>
        </w:rPr>
        <w:t xml:space="preserve">” </w:t>
      </w:r>
      <w:r w:rsidRPr="002A66DA">
        <w:rPr>
          <w:rFonts w:ascii="Arial Narrow" w:hAnsi="Arial Narrow" w:cs="Arial Narrow"/>
          <w:bCs/>
          <w:color w:val="000000" w:themeColor="text1"/>
          <w:sz w:val="26"/>
          <w:szCs w:val="26"/>
          <w:lang w:val="es-CO"/>
        </w:rPr>
        <w:t>(</w:t>
      </w:r>
      <w:r w:rsidR="00E519A6" w:rsidRPr="002A66DA">
        <w:rPr>
          <w:rFonts w:ascii="Arial Narrow" w:hAnsi="Arial Narrow" w:cs="Arial Narrow"/>
          <w:bCs/>
          <w:color w:val="000000" w:themeColor="text1"/>
          <w:sz w:val="26"/>
          <w:szCs w:val="26"/>
          <w:lang w:val="es-CO"/>
        </w:rPr>
        <w:t>archivo 11 Ib.)</w:t>
      </w:r>
      <w:r w:rsidR="00A60B95" w:rsidRPr="002A66DA">
        <w:rPr>
          <w:rFonts w:ascii="Arial Narrow" w:hAnsi="Arial Narrow" w:cs="Arial Narrow"/>
          <w:bCs/>
          <w:color w:val="000000" w:themeColor="text1"/>
          <w:sz w:val="26"/>
          <w:szCs w:val="26"/>
          <w:lang w:val="es-CO"/>
        </w:rPr>
        <w:t>. Se apoyó en la transición sufrida por el sistema de financiación de vivienda con ocasión de la declaración de inex</w:t>
      </w:r>
      <w:r w:rsidR="0078711B" w:rsidRPr="002A66DA">
        <w:rPr>
          <w:rFonts w:ascii="Arial Narrow" w:hAnsi="Arial Narrow" w:cs="Arial Narrow"/>
          <w:bCs/>
          <w:color w:val="000000" w:themeColor="text1"/>
          <w:sz w:val="26"/>
          <w:szCs w:val="26"/>
          <w:lang w:val="es-CO"/>
        </w:rPr>
        <w:t>e</w:t>
      </w:r>
      <w:r w:rsidR="00A60B95" w:rsidRPr="002A66DA">
        <w:rPr>
          <w:rFonts w:ascii="Arial Narrow" w:hAnsi="Arial Narrow" w:cs="Arial Narrow"/>
          <w:bCs/>
          <w:color w:val="000000" w:themeColor="text1"/>
          <w:sz w:val="26"/>
          <w:szCs w:val="26"/>
          <w:lang w:val="es-CO"/>
        </w:rPr>
        <w:t xml:space="preserve">quibilidad del sistema UPAC, y </w:t>
      </w:r>
      <w:r w:rsidR="008F1F5F" w:rsidRPr="002A66DA">
        <w:rPr>
          <w:rFonts w:ascii="Arial Narrow" w:hAnsi="Arial Narrow" w:cs="Arial Narrow"/>
          <w:bCs/>
          <w:color w:val="auto"/>
          <w:sz w:val="26"/>
          <w:szCs w:val="26"/>
          <w:lang w:val="es-CO"/>
        </w:rPr>
        <w:t xml:space="preserve">en </w:t>
      </w:r>
      <w:r w:rsidR="00A60B95" w:rsidRPr="002A66DA">
        <w:rPr>
          <w:rFonts w:ascii="Arial Narrow" w:hAnsi="Arial Narrow" w:cs="Arial Narrow"/>
          <w:bCs/>
          <w:color w:val="auto"/>
          <w:sz w:val="26"/>
          <w:szCs w:val="26"/>
          <w:lang w:val="es-CO"/>
        </w:rPr>
        <w:t xml:space="preserve">un </w:t>
      </w:r>
      <w:r w:rsidR="008F1F5F" w:rsidRPr="002A66DA">
        <w:rPr>
          <w:rFonts w:ascii="Arial Narrow" w:hAnsi="Arial Narrow" w:cs="Arial Narrow"/>
          <w:bCs/>
          <w:color w:val="auto"/>
          <w:sz w:val="26"/>
          <w:szCs w:val="26"/>
          <w:lang w:val="es-CO"/>
        </w:rPr>
        <w:t xml:space="preserve">“dictamen” que adujo en </w:t>
      </w:r>
      <w:r w:rsidR="00E519A6" w:rsidRPr="002A66DA">
        <w:rPr>
          <w:rFonts w:ascii="Arial Narrow" w:hAnsi="Arial Narrow" w:cs="Arial Narrow"/>
          <w:bCs/>
          <w:color w:val="auto"/>
          <w:sz w:val="26"/>
          <w:szCs w:val="26"/>
          <w:lang w:val="es-CO"/>
        </w:rPr>
        <w:t>ese</w:t>
      </w:r>
      <w:r w:rsidR="00AD33B2" w:rsidRPr="002A66DA">
        <w:rPr>
          <w:rFonts w:ascii="Arial Narrow" w:hAnsi="Arial Narrow" w:cs="Arial Narrow"/>
          <w:bCs/>
          <w:color w:val="auto"/>
          <w:sz w:val="26"/>
          <w:szCs w:val="26"/>
          <w:lang w:val="es-CO"/>
        </w:rPr>
        <w:t xml:space="preserve"> mismo acto procesal, donde se concluía que</w:t>
      </w:r>
      <w:r w:rsidR="005C2258" w:rsidRPr="002A66DA">
        <w:rPr>
          <w:rFonts w:ascii="Arial Narrow" w:hAnsi="Arial Narrow" w:cs="Arial Narrow"/>
          <w:bCs/>
          <w:color w:val="auto"/>
          <w:sz w:val="26"/>
          <w:szCs w:val="26"/>
          <w:lang w:val="es-CO"/>
        </w:rPr>
        <w:t>,</w:t>
      </w:r>
      <w:r w:rsidR="00AD33B2" w:rsidRPr="002A66DA">
        <w:rPr>
          <w:rFonts w:ascii="Arial Narrow" w:hAnsi="Arial Narrow" w:cs="Arial Narrow"/>
          <w:bCs/>
          <w:color w:val="auto"/>
          <w:sz w:val="26"/>
          <w:szCs w:val="26"/>
          <w:lang w:val="es-CO"/>
        </w:rPr>
        <w:t xml:space="preserve"> tras los abonos hechos a la deuda, se pagaba en su totalidad, y arroja</w:t>
      </w:r>
      <w:r w:rsidR="00E519A6" w:rsidRPr="002A66DA">
        <w:rPr>
          <w:rFonts w:ascii="Arial Narrow" w:hAnsi="Arial Narrow" w:cs="Arial Narrow"/>
          <w:bCs/>
          <w:color w:val="auto"/>
          <w:sz w:val="26"/>
          <w:szCs w:val="26"/>
          <w:lang w:val="es-CO"/>
        </w:rPr>
        <w:t>ba</w:t>
      </w:r>
      <w:r w:rsidR="00AD33B2" w:rsidRPr="002A66DA">
        <w:rPr>
          <w:rFonts w:ascii="Arial Narrow" w:hAnsi="Arial Narrow" w:cs="Arial Narrow"/>
          <w:bCs/>
          <w:color w:val="auto"/>
          <w:sz w:val="26"/>
          <w:szCs w:val="26"/>
          <w:lang w:val="es-CO"/>
        </w:rPr>
        <w:t xml:space="preserve"> un </w:t>
      </w:r>
      <w:r w:rsidR="005C2258" w:rsidRPr="002A66DA">
        <w:rPr>
          <w:rFonts w:ascii="Arial Narrow" w:hAnsi="Arial Narrow" w:cs="Arial Narrow"/>
          <w:bCs/>
          <w:color w:val="auto"/>
          <w:sz w:val="26"/>
          <w:szCs w:val="26"/>
          <w:lang w:val="es-CO"/>
        </w:rPr>
        <w:t xml:space="preserve">saldo </w:t>
      </w:r>
      <w:r w:rsidR="00E519A6" w:rsidRPr="002A66DA">
        <w:rPr>
          <w:rFonts w:ascii="Arial Narrow" w:hAnsi="Arial Narrow" w:cs="Arial Narrow"/>
          <w:bCs/>
          <w:color w:val="auto"/>
          <w:sz w:val="26"/>
          <w:szCs w:val="26"/>
          <w:lang w:val="es-CO"/>
        </w:rPr>
        <w:t>a favor del ejecutado</w:t>
      </w:r>
      <w:r w:rsidR="005C2258" w:rsidRPr="002A66DA">
        <w:rPr>
          <w:rFonts w:ascii="Arial Narrow" w:hAnsi="Arial Narrow" w:cs="Arial Narrow"/>
          <w:bCs/>
          <w:color w:val="auto"/>
          <w:sz w:val="26"/>
          <w:szCs w:val="26"/>
          <w:lang w:val="es-CO"/>
        </w:rPr>
        <w:t xml:space="preserve"> por $5.767.527, con corte a </w:t>
      </w:r>
      <w:r w:rsidR="00A60B95" w:rsidRPr="002A66DA">
        <w:rPr>
          <w:rFonts w:ascii="Arial Narrow" w:hAnsi="Arial Narrow" w:cs="Arial Narrow"/>
          <w:bCs/>
          <w:color w:val="auto"/>
          <w:sz w:val="26"/>
          <w:szCs w:val="26"/>
          <w:lang w:val="es-CO"/>
        </w:rPr>
        <w:t>30 de septiembre de 2005.</w:t>
      </w:r>
    </w:p>
    <w:p w14:paraId="3340708C" w14:textId="0FAC9C52" w:rsidR="00AD33B2" w:rsidRPr="002A66DA" w:rsidRDefault="00AD33B2"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BF5A631" w14:textId="68944886" w:rsidR="00AD33B2" w:rsidRPr="002A66DA" w:rsidRDefault="00AD33B2"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En el traslado </w:t>
      </w:r>
      <w:r w:rsidRPr="002A66DA">
        <w:rPr>
          <w:rFonts w:ascii="Arial Narrow" w:hAnsi="Arial Narrow" w:cs="Arial Narrow"/>
          <w:bCs/>
          <w:color w:val="000000" w:themeColor="text1"/>
          <w:sz w:val="26"/>
          <w:szCs w:val="26"/>
          <w:lang w:val="es-CO"/>
        </w:rPr>
        <w:t xml:space="preserve">la parte ejecutante se opuso a los argumentos de réplica, </w:t>
      </w:r>
      <w:r w:rsidR="000524B5" w:rsidRPr="002A66DA">
        <w:rPr>
          <w:rFonts w:ascii="Arial Narrow" w:hAnsi="Arial Narrow" w:cs="Arial Narrow"/>
          <w:bCs/>
          <w:color w:val="000000" w:themeColor="text1"/>
          <w:sz w:val="26"/>
          <w:szCs w:val="26"/>
          <w:lang w:val="es-CO"/>
        </w:rPr>
        <w:t>destacando la</w:t>
      </w:r>
      <w:r w:rsidRPr="002A66DA">
        <w:rPr>
          <w:rFonts w:ascii="Arial Narrow" w:hAnsi="Arial Narrow" w:cs="Arial Narrow"/>
          <w:bCs/>
          <w:color w:val="000000" w:themeColor="text1"/>
          <w:sz w:val="26"/>
          <w:szCs w:val="26"/>
          <w:lang w:val="es-CO"/>
        </w:rPr>
        <w:t xml:space="preserve"> falta de idoneidad de quien realiz</w:t>
      </w:r>
      <w:r w:rsidR="000524B5" w:rsidRPr="002A66DA">
        <w:rPr>
          <w:rFonts w:ascii="Arial Narrow" w:hAnsi="Arial Narrow" w:cs="Arial Narrow"/>
          <w:bCs/>
          <w:color w:val="000000" w:themeColor="text1"/>
          <w:sz w:val="26"/>
          <w:szCs w:val="26"/>
          <w:lang w:val="es-CO"/>
        </w:rPr>
        <w:t>ó</w:t>
      </w:r>
      <w:r w:rsidRPr="002A66DA">
        <w:rPr>
          <w:rFonts w:ascii="Arial Narrow" w:hAnsi="Arial Narrow" w:cs="Arial Narrow"/>
          <w:bCs/>
          <w:color w:val="000000" w:themeColor="text1"/>
          <w:sz w:val="26"/>
          <w:szCs w:val="26"/>
          <w:lang w:val="es-CO"/>
        </w:rPr>
        <w:t xml:space="preserve"> el trabajo financiero presentado, así como de</w:t>
      </w:r>
      <w:r w:rsidR="000524B5" w:rsidRPr="002A66DA">
        <w:rPr>
          <w:rFonts w:ascii="Arial Narrow" w:hAnsi="Arial Narrow" w:cs="Arial Narrow"/>
          <w:bCs/>
          <w:color w:val="000000" w:themeColor="text1"/>
          <w:sz w:val="26"/>
          <w:szCs w:val="26"/>
          <w:lang w:val="es-CO"/>
        </w:rPr>
        <w:t xml:space="preserve"> </w:t>
      </w:r>
      <w:r w:rsidR="00841F79" w:rsidRPr="002A66DA">
        <w:rPr>
          <w:rFonts w:ascii="Arial Narrow" w:hAnsi="Arial Narrow" w:cs="Arial Narrow"/>
          <w:bCs/>
          <w:color w:val="000000" w:themeColor="text1"/>
          <w:sz w:val="26"/>
          <w:szCs w:val="26"/>
          <w:lang w:val="es-CO"/>
        </w:rPr>
        <w:t>sus</w:t>
      </w:r>
      <w:r w:rsidR="000524B5" w:rsidRPr="002A66DA">
        <w:rPr>
          <w:rFonts w:ascii="Arial Narrow" w:hAnsi="Arial Narrow" w:cs="Arial Narrow"/>
          <w:bCs/>
          <w:color w:val="000000" w:themeColor="text1"/>
          <w:sz w:val="26"/>
          <w:szCs w:val="26"/>
          <w:lang w:val="es-CO"/>
        </w:rPr>
        <w:t xml:space="preserve"> conclusiones </w:t>
      </w:r>
      <w:r w:rsidRPr="002A66DA">
        <w:rPr>
          <w:rFonts w:ascii="Arial Narrow" w:hAnsi="Arial Narrow" w:cs="Arial Narrow"/>
          <w:bCs/>
          <w:color w:val="000000" w:themeColor="text1"/>
          <w:sz w:val="26"/>
          <w:szCs w:val="26"/>
          <w:lang w:val="es-CO"/>
        </w:rPr>
        <w:t>(</w:t>
      </w:r>
      <w:r w:rsidR="00E519A6" w:rsidRPr="002A66DA">
        <w:rPr>
          <w:rFonts w:ascii="Arial Narrow" w:hAnsi="Arial Narrow" w:cs="Arial Narrow"/>
          <w:bCs/>
          <w:color w:val="000000" w:themeColor="text1"/>
          <w:sz w:val="26"/>
          <w:szCs w:val="26"/>
          <w:lang w:val="es-CO"/>
        </w:rPr>
        <w:t>archivo 12 y 13 Ib.)</w:t>
      </w:r>
      <w:r w:rsidR="000524B5" w:rsidRPr="002A66DA">
        <w:rPr>
          <w:rFonts w:ascii="Arial Narrow" w:hAnsi="Arial Narrow" w:cs="Arial Narrow"/>
          <w:bCs/>
          <w:color w:val="000000" w:themeColor="text1"/>
          <w:sz w:val="26"/>
          <w:szCs w:val="26"/>
          <w:lang w:val="es-CO"/>
        </w:rPr>
        <w:t>. Solicitó declarar no probad</w:t>
      </w:r>
      <w:r w:rsidR="002D78DA" w:rsidRPr="002A66DA">
        <w:rPr>
          <w:rFonts w:ascii="Arial Narrow" w:hAnsi="Arial Narrow" w:cs="Arial Narrow"/>
          <w:bCs/>
          <w:color w:val="000000" w:themeColor="text1"/>
          <w:sz w:val="26"/>
          <w:szCs w:val="26"/>
          <w:lang w:val="es-CO"/>
        </w:rPr>
        <w:t>a</w:t>
      </w:r>
      <w:r w:rsidR="000524B5" w:rsidRPr="002A66DA">
        <w:rPr>
          <w:rFonts w:ascii="Arial Narrow" w:hAnsi="Arial Narrow" w:cs="Arial Narrow"/>
          <w:bCs/>
          <w:color w:val="000000" w:themeColor="text1"/>
          <w:sz w:val="26"/>
          <w:szCs w:val="26"/>
          <w:lang w:val="es-CO"/>
        </w:rPr>
        <w:t xml:space="preserve"> la excepción</w:t>
      </w:r>
      <w:r w:rsidR="00973F72" w:rsidRPr="002A66DA">
        <w:rPr>
          <w:rFonts w:ascii="Arial Narrow" w:hAnsi="Arial Narrow" w:cs="Arial Narrow"/>
          <w:bCs/>
          <w:color w:val="000000" w:themeColor="text1"/>
          <w:sz w:val="26"/>
          <w:szCs w:val="26"/>
          <w:lang w:val="es-CO"/>
        </w:rPr>
        <w:t xml:space="preserve"> ante la ausencia de prueba del pago alegado.</w:t>
      </w:r>
      <w:r w:rsidR="00E519A6" w:rsidRPr="002A66DA">
        <w:rPr>
          <w:rFonts w:ascii="Arial Narrow" w:hAnsi="Arial Narrow" w:cs="Arial Narrow"/>
          <w:bCs/>
          <w:color w:val="FF0000"/>
          <w:sz w:val="26"/>
          <w:szCs w:val="26"/>
          <w:lang w:val="es-CO"/>
        </w:rPr>
        <w:t xml:space="preserve"> </w:t>
      </w:r>
      <w:r w:rsidRPr="002A66DA">
        <w:rPr>
          <w:rFonts w:ascii="Arial Narrow" w:hAnsi="Arial Narrow" w:cs="Arial Narrow"/>
          <w:bCs/>
          <w:color w:val="000000" w:themeColor="text1"/>
          <w:sz w:val="26"/>
          <w:szCs w:val="26"/>
          <w:lang w:val="es-CO"/>
        </w:rPr>
        <w:t xml:space="preserve">   </w:t>
      </w:r>
    </w:p>
    <w:p w14:paraId="0481EDA5" w14:textId="77777777" w:rsidR="00271924" w:rsidRPr="002A66DA" w:rsidRDefault="00271924"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28E030E" w14:textId="53802C72" w:rsidR="00271924" w:rsidRPr="002A66DA" w:rsidRDefault="00271924"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En providencia que dio apertura al </w:t>
      </w:r>
      <w:r w:rsidR="002D78DA" w:rsidRPr="002A66DA">
        <w:rPr>
          <w:rFonts w:ascii="Arial Narrow" w:hAnsi="Arial Narrow" w:cs="Arial Narrow"/>
          <w:b/>
          <w:color w:val="auto"/>
          <w:sz w:val="26"/>
          <w:szCs w:val="26"/>
          <w:lang w:val="es-CO"/>
        </w:rPr>
        <w:t>periodo</w:t>
      </w:r>
      <w:r w:rsidRPr="002A66DA">
        <w:rPr>
          <w:rFonts w:ascii="Arial Narrow" w:hAnsi="Arial Narrow" w:cs="Arial Narrow"/>
          <w:b/>
          <w:color w:val="auto"/>
          <w:sz w:val="26"/>
          <w:szCs w:val="26"/>
          <w:lang w:val="es-CO"/>
        </w:rPr>
        <w:t xml:space="preserve"> probatorio </w:t>
      </w:r>
      <w:r w:rsidRPr="002A66DA">
        <w:rPr>
          <w:rFonts w:ascii="Arial Narrow" w:hAnsi="Arial Narrow" w:cs="Arial Narrow"/>
          <w:bCs/>
          <w:color w:val="000000" w:themeColor="text1"/>
          <w:sz w:val="26"/>
          <w:szCs w:val="26"/>
          <w:lang w:val="es-CO"/>
        </w:rPr>
        <w:t>(</w:t>
      </w:r>
      <w:r w:rsidR="00E519A6" w:rsidRPr="002A66DA">
        <w:rPr>
          <w:rFonts w:ascii="Arial Narrow" w:hAnsi="Arial Narrow" w:cs="Arial Narrow"/>
          <w:bCs/>
          <w:color w:val="000000" w:themeColor="text1"/>
          <w:sz w:val="26"/>
          <w:szCs w:val="26"/>
          <w:lang w:val="es-CO"/>
        </w:rPr>
        <w:t>archivo 14 ib.</w:t>
      </w:r>
      <w:r w:rsidRPr="002A66DA">
        <w:rPr>
          <w:rFonts w:ascii="Arial Narrow" w:hAnsi="Arial Narrow" w:cs="Arial Narrow"/>
          <w:bCs/>
          <w:color w:val="000000" w:themeColor="text1"/>
          <w:sz w:val="26"/>
          <w:szCs w:val="26"/>
          <w:lang w:val="es-CO"/>
        </w:rPr>
        <w:t xml:space="preserve">), </w:t>
      </w:r>
      <w:r w:rsidR="00E519A6" w:rsidRPr="002A66DA">
        <w:rPr>
          <w:rFonts w:ascii="Arial Narrow" w:hAnsi="Arial Narrow" w:cs="Arial Narrow"/>
          <w:bCs/>
          <w:color w:val="000000" w:themeColor="text1"/>
          <w:sz w:val="26"/>
          <w:szCs w:val="26"/>
          <w:lang w:val="es-CO"/>
        </w:rPr>
        <w:t xml:space="preserve">se </w:t>
      </w:r>
      <w:r w:rsidRPr="002A66DA">
        <w:rPr>
          <w:rFonts w:ascii="Arial Narrow" w:hAnsi="Arial Narrow" w:cs="Arial Narrow"/>
          <w:bCs/>
          <w:color w:val="000000" w:themeColor="text1"/>
          <w:sz w:val="26"/>
          <w:szCs w:val="26"/>
          <w:lang w:val="es-CO"/>
        </w:rPr>
        <w:t>t</w:t>
      </w:r>
      <w:r w:rsidR="00E519A6" w:rsidRPr="002A66DA">
        <w:rPr>
          <w:rFonts w:ascii="Arial Narrow" w:hAnsi="Arial Narrow" w:cs="Arial Narrow"/>
          <w:bCs/>
          <w:color w:val="000000" w:themeColor="text1"/>
          <w:sz w:val="26"/>
          <w:szCs w:val="26"/>
          <w:lang w:val="es-CO"/>
        </w:rPr>
        <w:t>uvo</w:t>
      </w:r>
      <w:r w:rsidRPr="002A66DA">
        <w:rPr>
          <w:rFonts w:ascii="Arial Narrow" w:hAnsi="Arial Narrow" w:cs="Arial Narrow"/>
          <w:bCs/>
          <w:color w:val="000000" w:themeColor="text1"/>
          <w:sz w:val="26"/>
          <w:szCs w:val="26"/>
          <w:lang w:val="es-CO"/>
        </w:rPr>
        <w:t xml:space="preserve"> </w:t>
      </w:r>
      <w:r w:rsidRPr="002A66DA">
        <w:rPr>
          <w:rFonts w:ascii="Arial Narrow" w:hAnsi="Arial Narrow" w:cs="Arial Narrow"/>
          <w:bCs/>
          <w:color w:val="auto"/>
          <w:sz w:val="26"/>
          <w:szCs w:val="26"/>
          <w:lang w:val="es-CO"/>
        </w:rPr>
        <w:t>como tal los documentos allegados por la parte ejecutante, se descart</w:t>
      </w:r>
      <w:r w:rsidR="00710DE1" w:rsidRPr="002A66DA">
        <w:rPr>
          <w:rFonts w:ascii="Arial Narrow" w:hAnsi="Arial Narrow" w:cs="Arial Narrow"/>
          <w:bCs/>
          <w:color w:val="auto"/>
          <w:sz w:val="26"/>
          <w:szCs w:val="26"/>
          <w:lang w:val="es-CO"/>
        </w:rPr>
        <w:t>ó</w:t>
      </w:r>
      <w:r w:rsidRPr="002A66DA">
        <w:rPr>
          <w:rFonts w:ascii="Arial Narrow" w:hAnsi="Arial Narrow" w:cs="Arial Narrow"/>
          <w:bCs/>
          <w:color w:val="auto"/>
          <w:sz w:val="26"/>
          <w:szCs w:val="26"/>
          <w:lang w:val="es-CO"/>
        </w:rPr>
        <w:t xml:space="preserve"> el </w:t>
      </w:r>
      <w:r w:rsidRPr="002A66DA">
        <w:rPr>
          <w:rFonts w:ascii="Arial Narrow" w:hAnsi="Arial Narrow" w:cs="Arial Narrow"/>
          <w:bCs/>
          <w:i/>
          <w:iCs/>
          <w:color w:val="auto"/>
          <w:sz w:val="26"/>
          <w:szCs w:val="26"/>
          <w:lang w:val="es-CO"/>
        </w:rPr>
        <w:t>“</w:t>
      </w:r>
      <w:r w:rsidRPr="001707F3">
        <w:rPr>
          <w:rFonts w:ascii="Arial Narrow" w:hAnsi="Arial Narrow" w:cs="Arial Narrow"/>
          <w:bCs/>
          <w:i/>
          <w:iCs/>
          <w:color w:val="auto"/>
          <w:sz w:val="24"/>
          <w:szCs w:val="24"/>
          <w:lang w:val="es-CO"/>
        </w:rPr>
        <w:t>…</w:t>
      </w:r>
      <w:r w:rsidR="001707F3" w:rsidRPr="001707F3">
        <w:rPr>
          <w:rFonts w:ascii="Arial Narrow" w:hAnsi="Arial Narrow" w:cs="Arial Narrow"/>
          <w:bCs/>
          <w:i/>
          <w:iCs/>
          <w:color w:val="auto"/>
          <w:sz w:val="24"/>
          <w:szCs w:val="24"/>
          <w:lang w:val="es-CO"/>
        </w:rPr>
        <w:t xml:space="preserve"> </w:t>
      </w:r>
      <w:proofErr w:type="spellStart"/>
      <w:r w:rsidRPr="001707F3">
        <w:rPr>
          <w:rFonts w:ascii="Arial Narrow" w:hAnsi="Arial Narrow" w:cs="Arial Narrow"/>
          <w:bCs/>
          <w:i/>
          <w:iCs/>
          <w:color w:val="auto"/>
          <w:sz w:val="24"/>
          <w:szCs w:val="24"/>
          <w:lang w:val="es-CO"/>
        </w:rPr>
        <w:t>experticio</w:t>
      </w:r>
      <w:proofErr w:type="spellEnd"/>
      <w:r w:rsidRPr="001707F3">
        <w:rPr>
          <w:rFonts w:ascii="Arial Narrow" w:hAnsi="Arial Narrow" w:cs="Arial Narrow"/>
          <w:bCs/>
          <w:i/>
          <w:iCs/>
          <w:color w:val="auto"/>
          <w:sz w:val="24"/>
          <w:szCs w:val="24"/>
          <w:lang w:val="es-CO"/>
        </w:rPr>
        <w:t xml:space="preserve"> aportado con la contestación de la demanda, toda vez que en el mismo no se acredita la calidad que se requiere para ello, cual es la de un perito en la materia financiera y no un ingeniero como consta en el mismo “RESUMEN DE CRÉDITO”</w:t>
      </w:r>
      <w:r w:rsidRPr="002A66DA">
        <w:rPr>
          <w:rFonts w:ascii="Arial Narrow" w:hAnsi="Arial Narrow" w:cs="Arial Narrow"/>
          <w:bCs/>
          <w:i/>
          <w:iCs/>
          <w:color w:val="auto"/>
          <w:sz w:val="26"/>
          <w:szCs w:val="26"/>
          <w:lang w:val="es-CO"/>
        </w:rPr>
        <w:t>”</w:t>
      </w:r>
      <w:r w:rsidR="00841F79" w:rsidRPr="002A66DA">
        <w:rPr>
          <w:rFonts w:ascii="Arial Narrow" w:hAnsi="Arial Narrow" w:cs="Arial Narrow"/>
          <w:bCs/>
          <w:color w:val="auto"/>
          <w:sz w:val="26"/>
          <w:szCs w:val="26"/>
          <w:lang w:val="es-CO"/>
        </w:rPr>
        <w:t>, y de</w:t>
      </w:r>
      <w:r w:rsidRPr="002A66DA">
        <w:rPr>
          <w:rFonts w:ascii="Arial Narrow" w:hAnsi="Arial Narrow" w:cs="Arial Narrow"/>
          <w:bCs/>
          <w:color w:val="auto"/>
          <w:sz w:val="26"/>
          <w:szCs w:val="26"/>
          <w:lang w:val="es-CO"/>
        </w:rPr>
        <w:t xml:space="preserve"> oficio, se nombró perito financiero para que dictaminara sobre la correcta reliquidación del crédito</w:t>
      </w:r>
      <w:r w:rsidR="00E519A6" w:rsidRPr="002A66DA">
        <w:rPr>
          <w:rFonts w:ascii="Arial Narrow" w:hAnsi="Arial Narrow" w:cs="Arial Narrow"/>
          <w:bCs/>
          <w:color w:val="auto"/>
          <w:sz w:val="26"/>
          <w:szCs w:val="26"/>
          <w:lang w:val="es-CO"/>
        </w:rPr>
        <w:t>, y el estado de la deuda según argumentos de la defensa.</w:t>
      </w:r>
      <w:r w:rsidRPr="002A66DA">
        <w:rPr>
          <w:rFonts w:ascii="Arial Narrow" w:hAnsi="Arial Narrow" w:cs="Arial Narrow"/>
          <w:bCs/>
          <w:color w:val="auto"/>
          <w:sz w:val="26"/>
          <w:szCs w:val="26"/>
          <w:lang w:val="es-CO"/>
        </w:rPr>
        <w:t xml:space="preserve"> </w:t>
      </w:r>
    </w:p>
    <w:p w14:paraId="42173514" w14:textId="6A6FF849" w:rsidR="00155342" w:rsidRPr="002A66DA" w:rsidRDefault="00155342"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495002E" w14:textId="6097C55C" w:rsidR="00710DE1" w:rsidRPr="002A66DA" w:rsidRDefault="00E519A6"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Rendido aquel, </w:t>
      </w:r>
      <w:r w:rsidR="001F48AD" w:rsidRPr="002A66DA">
        <w:rPr>
          <w:rFonts w:ascii="Arial Narrow" w:hAnsi="Arial Narrow" w:cs="Arial Narrow"/>
          <w:bCs/>
          <w:color w:val="auto"/>
          <w:sz w:val="26"/>
          <w:szCs w:val="26"/>
          <w:lang w:val="es-CO"/>
        </w:rPr>
        <w:t xml:space="preserve">obra </w:t>
      </w:r>
      <w:r w:rsidR="00710DE1" w:rsidRPr="002A66DA">
        <w:rPr>
          <w:rFonts w:ascii="Arial Narrow" w:hAnsi="Arial Narrow" w:cs="Arial Narrow"/>
          <w:bCs/>
          <w:color w:val="auto"/>
          <w:sz w:val="26"/>
          <w:szCs w:val="26"/>
          <w:lang w:val="es-CO"/>
        </w:rPr>
        <w:t>en el cuaderno cuarto de la primera instancia</w:t>
      </w:r>
      <w:r w:rsidRPr="002A66DA">
        <w:rPr>
          <w:rFonts w:ascii="Arial Narrow" w:hAnsi="Arial Narrow" w:cs="Arial Narrow"/>
          <w:bCs/>
          <w:color w:val="auto"/>
          <w:sz w:val="26"/>
          <w:szCs w:val="26"/>
          <w:lang w:val="es-CO"/>
        </w:rPr>
        <w:t>, archivo 7</w:t>
      </w:r>
      <w:r w:rsidR="00710DE1" w:rsidRPr="002A66DA">
        <w:rPr>
          <w:rFonts w:ascii="Arial Narrow" w:hAnsi="Arial Narrow" w:cs="Arial Narrow"/>
          <w:bCs/>
          <w:color w:val="auto"/>
          <w:sz w:val="26"/>
          <w:szCs w:val="26"/>
          <w:lang w:val="es-CO"/>
        </w:rPr>
        <w:t xml:space="preserve">. </w:t>
      </w:r>
    </w:p>
    <w:p w14:paraId="3BF3D9E9" w14:textId="14FB828F" w:rsidR="007677BC" w:rsidRPr="002A66DA" w:rsidRDefault="007677BC"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CCF0642" w14:textId="77777777" w:rsidR="00D57D2C" w:rsidRPr="002A66DA" w:rsidRDefault="007677BC"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2A66DA">
        <w:rPr>
          <w:rFonts w:ascii="Arial Narrow" w:hAnsi="Arial Narrow" w:cs="Arial Narrow"/>
          <w:bCs/>
          <w:color w:val="auto"/>
          <w:sz w:val="26"/>
          <w:szCs w:val="26"/>
          <w:lang w:val="es-CO"/>
        </w:rPr>
        <w:t xml:space="preserve">Otorgado por el </w:t>
      </w:r>
      <w:r w:rsidR="0071481B" w:rsidRPr="002A66DA">
        <w:rPr>
          <w:rFonts w:ascii="Arial Narrow" w:hAnsi="Arial Narrow" w:cs="Arial Narrow"/>
          <w:bCs/>
          <w:color w:val="auto"/>
          <w:sz w:val="26"/>
          <w:szCs w:val="26"/>
          <w:lang w:val="es-CO"/>
        </w:rPr>
        <w:t>despacho el</w:t>
      </w:r>
      <w:r w:rsidRPr="002A66DA">
        <w:rPr>
          <w:rFonts w:ascii="Arial Narrow" w:hAnsi="Arial Narrow" w:cs="Arial Narrow"/>
          <w:bCs/>
          <w:color w:val="auto"/>
          <w:sz w:val="26"/>
          <w:szCs w:val="26"/>
          <w:lang w:val="es-CO"/>
        </w:rPr>
        <w:t xml:space="preserve"> término para </w:t>
      </w:r>
      <w:r w:rsidR="00375D69" w:rsidRPr="002A66DA">
        <w:rPr>
          <w:rFonts w:ascii="Arial Narrow" w:hAnsi="Arial Narrow" w:cs="Arial Narrow"/>
          <w:bCs/>
          <w:color w:val="auto"/>
          <w:sz w:val="26"/>
          <w:szCs w:val="26"/>
          <w:lang w:val="es-CO"/>
        </w:rPr>
        <w:t>alegar</w:t>
      </w:r>
      <w:r w:rsidR="00375D69" w:rsidRPr="002A66DA">
        <w:rPr>
          <w:rFonts w:ascii="Arial Narrow" w:hAnsi="Arial Narrow" w:cs="Arial Narrow"/>
          <w:b/>
          <w:color w:val="auto"/>
          <w:sz w:val="26"/>
          <w:szCs w:val="26"/>
          <w:lang w:val="es-CO"/>
        </w:rPr>
        <w:t>,</w:t>
      </w:r>
      <w:r w:rsidRPr="002A66DA">
        <w:rPr>
          <w:rFonts w:ascii="Arial Narrow" w:hAnsi="Arial Narrow" w:cs="Arial Narrow"/>
          <w:b/>
          <w:color w:val="auto"/>
          <w:sz w:val="26"/>
          <w:szCs w:val="26"/>
          <w:lang w:val="es-CO"/>
        </w:rPr>
        <w:t xml:space="preserve"> </w:t>
      </w:r>
      <w:r w:rsidR="0071481B" w:rsidRPr="002A66DA">
        <w:rPr>
          <w:rFonts w:ascii="Arial Narrow" w:hAnsi="Arial Narrow" w:cs="Arial Narrow"/>
          <w:bCs/>
          <w:color w:val="auto"/>
          <w:sz w:val="26"/>
          <w:szCs w:val="26"/>
          <w:lang w:val="es-CO"/>
        </w:rPr>
        <w:t>se pronunció la apoderada de la parte demandante,</w:t>
      </w:r>
      <w:r w:rsidR="00D57D2C" w:rsidRPr="002A66DA">
        <w:rPr>
          <w:rFonts w:ascii="Arial Narrow" w:hAnsi="Arial Narrow" w:cs="Arial Narrow"/>
          <w:bCs/>
          <w:color w:val="auto"/>
          <w:sz w:val="26"/>
          <w:szCs w:val="26"/>
          <w:lang w:val="es-CO"/>
        </w:rPr>
        <w:t xml:space="preserve"> quien se </w:t>
      </w:r>
      <w:r w:rsidR="0071481B" w:rsidRPr="002A66DA">
        <w:rPr>
          <w:rFonts w:ascii="Arial Narrow" w:hAnsi="Arial Narrow" w:cs="Arial Narrow"/>
          <w:bCs/>
          <w:color w:val="auto"/>
          <w:sz w:val="26"/>
          <w:szCs w:val="26"/>
          <w:lang w:val="es-CO"/>
        </w:rPr>
        <w:t>ocup</w:t>
      </w:r>
      <w:r w:rsidR="00D57D2C" w:rsidRPr="002A66DA">
        <w:rPr>
          <w:rFonts w:ascii="Arial Narrow" w:hAnsi="Arial Narrow" w:cs="Arial Narrow"/>
          <w:bCs/>
          <w:color w:val="auto"/>
          <w:sz w:val="26"/>
          <w:szCs w:val="26"/>
          <w:lang w:val="es-CO"/>
        </w:rPr>
        <w:t>ó</w:t>
      </w:r>
      <w:r w:rsidR="0071481B" w:rsidRPr="002A66DA">
        <w:rPr>
          <w:rFonts w:ascii="Arial Narrow" w:hAnsi="Arial Narrow" w:cs="Arial Narrow"/>
          <w:bCs/>
          <w:color w:val="auto"/>
          <w:sz w:val="26"/>
          <w:szCs w:val="26"/>
          <w:lang w:val="es-CO"/>
        </w:rPr>
        <w:t xml:space="preserve"> de atacar el dictamen rendido en juicio y deprec</w:t>
      </w:r>
      <w:r w:rsidR="00D57D2C" w:rsidRPr="002A66DA">
        <w:rPr>
          <w:rFonts w:ascii="Arial Narrow" w:hAnsi="Arial Narrow" w:cs="Arial Narrow"/>
          <w:bCs/>
          <w:color w:val="auto"/>
          <w:sz w:val="26"/>
          <w:szCs w:val="26"/>
          <w:lang w:val="es-CO"/>
        </w:rPr>
        <w:t>ó</w:t>
      </w:r>
      <w:r w:rsidR="0071481B" w:rsidRPr="002A66DA">
        <w:rPr>
          <w:rFonts w:ascii="Arial Narrow" w:hAnsi="Arial Narrow" w:cs="Arial Narrow"/>
          <w:bCs/>
          <w:color w:val="auto"/>
          <w:sz w:val="26"/>
          <w:szCs w:val="26"/>
          <w:lang w:val="es-CO"/>
        </w:rPr>
        <w:t xml:space="preserve"> la denegación de la excepción de mérito presentada </w:t>
      </w:r>
      <w:r w:rsidR="0071481B" w:rsidRPr="002A66DA">
        <w:rPr>
          <w:rFonts w:ascii="Arial Narrow" w:hAnsi="Arial Narrow" w:cs="Arial Narrow"/>
          <w:bCs/>
          <w:color w:val="000000" w:themeColor="text1"/>
          <w:sz w:val="26"/>
          <w:szCs w:val="26"/>
          <w:lang w:val="es-CO"/>
        </w:rPr>
        <w:t>(</w:t>
      </w:r>
      <w:r w:rsidR="00E519A6" w:rsidRPr="002A66DA">
        <w:rPr>
          <w:rFonts w:ascii="Arial Narrow" w:hAnsi="Arial Narrow" w:cs="Arial Narrow"/>
          <w:bCs/>
          <w:color w:val="000000" w:themeColor="text1"/>
          <w:sz w:val="26"/>
          <w:szCs w:val="26"/>
          <w:lang w:val="es-CO"/>
        </w:rPr>
        <w:t>Archivo 29, cuaderno primero</w:t>
      </w:r>
      <w:r w:rsidR="0071481B" w:rsidRPr="002A66DA">
        <w:rPr>
          <w:rFonts w:ascii="Arial Narrow" w:hAnsi="Arial Narrow" w:cs="Arial Narrow"/>
          <w:bCs/>
          <w:color w:val="000000" w:themeColor="text1"/>
          <w:sz w:val="26"/>
          <w:szCs w:val="26"/>
          <w:lang w:val="es-CO"/>
        </w:rPr>
        <w:t>)</w:t>
      </w:r>
      <w:r w:rsidR="009E0D4E" w:rsidRPr="002A66DA">
        <w:rPr>
          <w:rFonts w:ascii="Arial Narrow" w:hAnsi="Arial Narrow" w:cs="Arial Narrow"/>
          <w:bCs/>
          <w:color w:val="000000" w:themeColor="text1"/>
          <w:sz w:val="26"/>
          <w:szCs w:val="26"/>
          <w:lang w:val="es-CO"/>
        </w:rPr>
        <w:t xml:space="preserve">. </w:t>
      </w:r>
    </w:p>
    <w:p w14:paraId="4EA52E91" w14:textId="77777777" w:rsidR="00D57D2C" w:rsidRPr="002A66DA" w:rsidRDefault="00D57D2C"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p>
    <w:p w14:paraId="0FCC634C" w14:textId="1D2FD258" w:rsidR="007677BC" w:rsidRPr="002A66DA" w:rsidRDefault="009E0D4E"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000000" w:themeColor="text1"/>
          <w:sz w:val="26"/>
          <w:szCs w:val="26"/>
          <w:lang w:val="es-CO"/>
        </w:rPr>
      </w:pPr>
      <w:r w:rsidRPr="002A66DA">
        <w:rPr>
          <w:rFonts w:ascii="Arial Narrow" w:hAnsi="Arial Narrow" w:cs="Arial Narrow"/>
          <w:bCs/>
          <w:color w:val="000000" w:themeColor="text1"/>
          <w:sz w:val="26"/>
          <w:szCs w:val="26"/>
          <w:lang w:val="es-CO"/>
        </w:rPr>
        <w:lastRenderedPageBreak/>
        <w:t>La parte contraria no se pronunció.</w:t>
      </w:r>
    </w:p>
    <w:p w14:paraId="59F4D397" w14:textId="578704F1" w:rsidR="00710DE1" w:rsidRPr="002A66DA" w:rsidRDefault="00710DE1"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1D57B92" w14:textId="313A37D4" w:rsidR="0071481B" w:rsidRPr="002A66DA" w:rsidRDefault="0071481B"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auto"/>
          <w:sz w:val="26"/>
          <w:szCs w:val="26"/>
          <w:lang w:val="es-CO"/>
        </w:rPr>
      </w:pPr>
      <w:r w:rsidRPr="002A66DA">
        <w:rPr>
          <w:rFonts w:ascii="Arial Narrow" w:hAnsi="Arial Narrow" w:cs="Arial Narrow"/>
          <w:b/>
          <w:color w:val="auto"/>
          <w:sz w:val="26"/>
          <w:szCs w:val="26"/>
          <w:lang w:val="es-CO"/>
        </w:rPr>
        <w:t>Sentencia de primera instancia.</w:t>
      </w:r>
      <w:r w:rsidR="003573A7" w:rsidRPr="002A66DA">
        <w:rPr>
          <w:rStyle w:val="Refdenotaalpie"/>
          <w:rFonts w:ascii="Arial Narrow" w:hAnsi="Arial Narrow" w:cs="Arial Narrow"/>
          <w:b/>
          <w:color w:val="auto"/>
          <w:sz w:val="26"/>
          <w:szCs w:val="26"/>
          <w:lang w:val="es-CO"/>
        </w:rPr>
        <w:footnoteReference w:id="6"/>
      </w:r>
    </w:p>
    <w:p w14:paraId="0C82F4AC" w14:textId="3983A2A5" w:rsidR="00710DE1" w:rsidRPr="002A66DA" w:rsidRDefault="00710DE1"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F4F2470" w14:textId="1B310C6A" w:rsidR="00F06060" w:rsidRPr="002A66DA" w:rsidRDefault="000422D1"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Luego de remembrar el trámite</w:t>
      </w:r>
      <w:r w:rsidR="005272A1" w:rsidRPr="002A66DA">
        <w:rPr>
          <w:rFonts w:ascii="Arial Narrow" w:hAnsi="Arial Narrow" w:cs="Arial Narrow"/>
          <w:bCs/>
          <w:color w:val="auto"/>
          <w:sz w:val="26"/>
          <w:szCs w:val="26"/>
          <w:lang w:val="es-CO"/>
        </w:rPr>
        <w:t xml:space="preserve"> de la instancia y destacar que, tanto el pagaré como la escritura pública de hipoteca reúnen los requisitos legales, procedió al examen de la prueba </w:t>
      </w:r>
      <w:r w:rsidR="00F06060" w:rsidRPr="002A66DA">
        <w:rPr>
          <w:rFonts w:ascii="Arial Narrow" w:hAnsi="Arial Narrow" w:cs="Arial Narrow"/>
          <w:bCs/>
          <w:color w:val="auto"/>
          <w:sz w:val="26"/>
          <w:szCs w:val="26"/>
          <w:lang w:val="es-CO"/>
        </w:rPr>
        <w:t>pericial ordenad</w:t>
      </w:r>
      <w:r w:rsidR="004C5AED" w:rsidRPr="002A66DA">
        <w:rPr>
          <w:rFonts w:ascii="Arial Narrow" w:hAnsi="Arial Narrow" w:cs="Arial Narrow"/>
          <w:bCs/>
          <w:color w:val="auto"/>
          <w:sz w:val="26"/>
          <w:szCs w:val="26"/>
          <w:lang w:val="es-CO"/>
        </w:rPr>
        <w:t>a</w:t>
      </w:r>
      <w:r w:rsidR="00D4217F" w:rsidRPr="002A66DA">
        <w:rPr>
          <w:rFonts w:ascii="Arial Narrow" w:hAnsi="Arial Narrow" w:cs="Arial Narrow"/>
          <w:bCs/>
          <w:color w:val="auto"/>
          <w:sz w:val="26"/>
          <w:szCs w:val="26"/>
          <w:lang w:val="es-CO"/>
        </w:rPr>
        <w:t xml:space="preserve"> de oficio, </w:t>
      </w:r>
      <w:r w:rsidR="005272A1" w:rsidRPr="002A66DA">
        <w:rPr>
          <w:rFonts w:ascii="Arial Narrow" w:hAnsi="Arial Narrow" w:cs="Arial Narrow"/>
          <w:bCs/>
          <w:color w:val="auto"/>
          <w:sz w:val="26"/>
          <w:szCs w:val="26"/>
          <w:lang w:val="es-CO"/>
        </w:rPr>
        <w:t xml:space="preserve">la cual acogió </w:t>
      </w:r>
      <w:r w:rsidR="00D4217F" w:rsidRPr="002A66DA">
        <w:rPr>
          <w:rFonts w:ascii="Arial Narrow" w:hAnsi="Arial Narrow" w:cs="Arial Narrow"/>
          <w:bCs/>
          <w:color w:val="auto"/>
          <w:sz w:val="26"/>
          <w:szCs w:val="26"/>
          <w:lang w:val="es-CO"/>
        </w:rPr>
        <w:t>al considerar que se ajusta</w:t>
      </w:r>
      <w:r w:rsidR="004C5AED" w:rsidRPr="002A66DA">
        <w:rPr>
          <w:rFonts w:ascii="Arial Narrow" w:hAnsi="Arial Narrow" w:cs="Arial Narrow"/>
          <w:bCs/>
          <w:color w:val="auto"/>
          <w:sz w:val="26"/>
          <w:szCs w:val="26"/>
          <w:lang w:val="es-CO"/>
        </w:rPr>
        <w:t>ba</w:t>
      </w:r>
      <w:r w:rsidR="00D4217F" w:rsidRPr="002A66DA">
        <w:rPr>
          <w:rFonts w:ascii="Arial Narrow" w:hAnsi="Arial Narrow" w:cs="Arial Narrow"/>
          <w:bCs/>
          <w:color w:val="auto"/>
          <w:sz w:val="26"/>
          <w:szCs w:val="26"/>
          <w:lang w:val="es-CO"/>
        </w:rPr>
        <w:t xml:space="preserve"> a las disposiciones normativas señaladas en el artículo 121 del Estatuto Orgánico del Sistema Financiero</w:t>
      </w:r>
      <w:r w:rsidR="00F06060" w:rsidRPr="002A66DA">
        <w:rPr>
          <w:rFonts w:ascii="Arial Narrow" w:hAnsi="Arial Narrow" w:cs="Arial Narrow"/>
          <w:bCs/>
          <w:color w:val="auto"/>
          <w:sz w:val="26"/>
          <w:szCs w:val="26"/>
          <w:lang w:val="es-CO"/>
        </w:rPr>
        <w:t>, Decreto 414 de 1999, Ley 546 de 199, y circular 007 del 2000 de la entonces Super</w:t>
      </w:r>
      <w:r w:rsidR="004C5AED" w:rsidRPr="002A66DA">
        <w:rPr>
          <w:rFonts w:ascii="Arial Narrow" w:hAnsi="Arial Narrow" w:cs="Arial Narrow"/>
          <w:bCs/>
          <w:color w:val="auto"/>
          <w:sz w:val="26"/>
          <w:szCs w:val="26"/>
          <w:lang w:val="es-CO"/>
        </w:rPr>
        <w:t>intendencia B</w:t>
      </w:r>
      <w:r w:rsidR="00F06060" w:rsidRPr="002A66DA">
        <w:rPr>
          <w:rFonts w:ascii="Arial Narrow" w:hAnsi="Arial Narrow" w:cs="Arial Narrow"/>
          <w:bCs/>
          <w:color w:val="auto"/>
          <w:sz w:val="26"/>
          <w:szCs w:val="26"/>
          <w:lang w:val="es-CO"/>
        </w:rPr>
        <w:t>ancaria</w:t>
      </w:r>
      <w:r w:rsidR="00EB712C" w:rsidRPr="002A66DA">
        <w:rPr>
          <w:rFonts w:ascii="Arial Narrow" w:hAnsi="Arial Narrow" w:cs="Arial Narrow"/>
          <w:bCs/>
          <w:color w:val="auto"/>
          <w:sz w:val="26"/>
          <w:szCs w:val="26"/>
          <w:lang w:val="es-CO"/>
        </w:rPr>
        <w:t>,</w:t>
      </w:r>
      <w:r w:rsidR="008839AD" w:rsidRPr="002A66DA">
        <w:rPr>
          <w:rFonts w:ascii="Arial Narrow" w:hAnsi="Arial Narrow" w:cs="Arial Narrow"/>
          <w:bCs/>
          <w:color w:val="auto"/>
          <w:sz w:val="26"/>
          <w:szCs w:val="26"/>
          <w:lang w:val="es-CO"/>
        </w:rPr>
        <w:t xml:space="preserve"> y sus conclusiones son serias y precisas</w:t>
      </w:r>
      <w:r w:rsidR="00F06060" w:rsidRPr="002A66DA">
        <w:rPr>
          <w:rFonts w:ascii="Arial Narrow" w:hAnsi="Arial Narrow" w:cs="Arial Narrow"/>
          <w:bCs/>
          <w:color w:val="auto"/>
          <w:sz w:val="26"/>
          <w:szCs w:val="26"/>
          <w:lang w:val="es-CO"/>
        </w:rPr>
        <w:t xml:space="preserve">. </w:t>
      </w:r>
    </w:p>
    <w:p w14:paraId="0B90D4CF" w14:textId="77777777" w:rsidR="00F06060" w:rsidRPr="002A66DA" w:rsidRDefault="00F06060"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0A036385" w14:textId="553A27CB" w:rsidR="00D4217F" w:rsidRPr="002A66DA" w:rsidRDefault="00F06060"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En efecto – se prosiguió en el fallo</w:t>
      </w:r>
      <w:r w:rsidR="003600D4">
        <w:rPr>
          <w:rFonts w:ascii="Arial Narrow" w:hAnsi="Arial Narrow" w:cs="Arial Narrow"/>
          <w:bCs/>
          <w:color w:val="auto"/>
          <w:sz w:val="26"/>
          <w:szCs w:val="26"/>
          <w:lang w:val="es-CO"/>
        </w:rPr>
        <w:t xml:space="preserve"> –</w:t>
      </w:r>
      <w:r w:rsidRPr="002A66DA">
        <w:rPr>
          <w:rFonts w:ascii="Arial Narrow" w:hAnsi="Arial Narrow" w:cs="Arial Narrow"/>
          <w:bCs/>
          <w:color w:val="auto"/>
          <w:sz w:val="26"/>
          <w:szCs w:val="26"/>
          <w:lang w:val="es-CO"/>
        </w:rPr>
        <w:t>, se contempló en el trabajo que</w:t>
      </w:r>
      <w:r w:rsidR="008E2A99" w:rsidRPr="002A66DA">
        <w:rPr>
          <w:rFonts w:ascii="Arial Narrow" w:hAnsi="Arial Narrow" w:cs="Arial Narrow"/>
          <w:bCs/>
          <w:color w:val="auto"/>
          <w:sz w:val="26"/>
          <w:szCs w:val="26"/>
          <w:lang w:val="es-CO"/>
        </w:rPr>
        <w:t>,</w:t>
      </w:r>
      <w:r w:rsidRPr="002A66DA">
        <w:rPr>
          <w:rFonts w:ascii="Arial Narrow" w:hAnsi="Arial Narrow" w:cs="Arial Narrow"/>
          <w:bCs/>
          <w:color w:val="auto"/>
          <w:sz w:val="26"/>
          <w:szCs w:val="26"/>
          <w:lang w:val="es-CO"/>
        </w:rPr>
        <w:t xml:space="preserve"> al 13 de septiembre de 2007, la deuda a favor de la entidad financiera era de $ 46.253.454, </w:t>
      </w:r>
      <w:r w:rsidR="008E2A99" w:rsidRPr="002A66DA">
        <w:rPr>
          <w:rFonts w:ascii="Arial Narrow" w:hAnsi="Arial Narrow" w:cs="Arial Narrow"/>
          <w:bCs/>
          <w:color w:val="auto"/>
          <w:sz w:val="26"/>
          <w:szCs w:val="26"/>
          <w:lang w:val="es-CO"/>
        </w:rPr>
        <w:t xml:space="preserve">y al </w:t>
      </w:r>
      <w:r w:rsidRPr="002A66DA">
        <w:rPr>
          <w:rFonts w:ascii="Arial Narrow" w:hAnsi="Arial Narrow" w:cs="Arial Narrow"/>
          <w:bCs/>
          <w:color w:val="auto"/>
          <w:sz w:val="26"/>
          <w:szCs w:val="26"/>
          <w:lang w:val="es-CO"/>
        </w:rPr>
        <w:t>descontá</w:t>
      </w:r>
      <w:r w:rsidR="008E2A99" w:rsidRPr="002A66DA">
        <w:rPr>
          <w:rFonts w:ascii="Arial Narrow" w:hAnsi="Arial Narrow" w:cs="Arial Narrow"/>
          <w:bCs/>
          <w:color w:val="auto"/>
          <w:sz w:val="26"/>
          <w:szCs w:val="26"/>
          <w:lang w:val="es-CO"/>
        </w:rPr>
        <w:t xml:space="preserve">rsele </w:t>
      </w:r>
      <w:r w:rsidRPr="002A66DA">
        <w:rPr>
          <w:rFonts w:ascii="Arial Narrow" w:hAnsi="Arial Narrow" w:cs="Arial Narrow"/>
          <w:bCs/>
          <w:color w:val="auto"/>
          <w:sz w:val="26"/>
          <w:szCs w:val="26"/>
          <w:lang w:val="es-CO"/>
        </w:rPr>
        <w:t xml:space="preserve">el alivio financiero señalado en la Ley 546, que </w:t>
      </w:r>
      <w:r w:rsidR="008E2A99" w:rsidRPr="002A66DA">
        <w:rPr>
          <w:rFonts w:ascii="Arial Narrow" w:hAnsi="Arial Narrow" w:cs="Arial Narrow"/>
          <w:bCs/>
          <w:color w:val="auto"/>
          <w:sz w:val="26"/>
          <w:szCs w:val="26"/>
          <w:lang w:val="es-CO"/>
        </w:rPr>
        <w:t>se liquidó en</w:t>
      </w:r>
      <w:r w:rsidRPr="002A66DA">
        <w:rPr>
          <w:rFonts w:ascii="Arial Narrow" w:hAnsi="Arial Narrow" w:cs="Arial Narrow"/>
          <w:bCs/>
          <w:color w:val="auto"/>
          <w:sz w:val="26"/>
          <w:szCs w:val="26"/>
          <w:lang w:val="es-CO"/>
        </w:rPr>
        <w:t xml:space="preserve"> $17.683.595</w:t>
      </w:r>
      <w:r w:rsidR="008E2A99" w:rsidRPr="002A66DA">
        <w:rPr>
          <w:rFonts w:ascii="Arial Narrow" w:hAnsi="Arial Narrow" w:cs="Arial Narrow"/>
          <w:bCs/>
          <w:color w:val="auto"/>
          <w:sz w:val="26"/>
          <w:szCs w:val="26"/>
          <w:lang w:val="es-CO"/>
        </w:rPr>
        <w:t>,</w:t>
      </w:r>
      <w:r w:rsidRPr="002A66DA">
        <w:rPr>
          <w:rFonts w:ascii="Arial Narrow" w:hAnsi="Arial Narrow" w:cs="Arial Narrow"/>
          <w:bCs/>
          <w:color w:val="auto"/>
          <w:sz w:val="26"/>
          <w:szCs w:val="26"/>
          <w:lang w:val="es-CO"/>
        </w:rPr>
        <w:t xml:space="preserve"> así como el efecto de capitalización de la corrección monetaria, $4.671.139, </w:t>
      </w:r>
      <w:r w:rsidR="008E2A99" w:rsidRPr="002A66DA">
        <w:rPr>
          <w:rFonts w:ascii="Arial Narrow" w:hAnsi="Arial Narrow" w:cs="Arial Narrow"/>
          <w:bCs/>
          <w:color w:val="auto"/>
          <w:sz w:val="26"/>
          <w:szCs w:val="26"/>
          <w:lang w:val="es-CO"/>
        </w:rPr>
        <w:t xml:space="preserve">se </w:t>
      </w:r>
      <w:r w:rsidRPr="002A66DA">
        <w:rPr>
          <w:rFonts w:ascii="Arial Narrow" w:hAnsi="Arial Narrow" w:cs="Arial Narrow"/>
          <w:bCs/>
          <w:color w:val="auto"/>
          <w:sz w:val="26"/>
          <w:szCs w:val="26"/>
          <w:lang w:val="es-CO"/>
        </w:rPr>
        <w:t>obt</w:t>
      </w:r>
      <w:r w:rsidR="008E2A99" w:rsidRPr="002A66DA">
        <w:rPr>
          <w:rFonts w:ascii="Arial Narrow" w:hAnsi="Arial Narrow" w:cs="Arial Narrow"/>
          <w:bCs/>
          <w:color w:val="auto"/>
          <w:sz w:val="26"/>
          <w:szCs w:val="26"/>
          <w:lang w:val="es-CO"/>
        </w:rPr>
        <w:t>i</w:t>
      </w:r>
      <w:r w:rsidRPr="002A66DA">
        <w:rPr>
          <w:rFonts w:ascii="Arial Narrow" w:hAnsi="Arial Narrow" w:cs="Arial Narrow"/>
          <w:bCs/>
          <w:color w:val="auto"/>
          <w:sz w:val="26"/>
          <w:szCs w:val="26"/>
          <w:lang w:val="es-CO"/>
        </w:rPr>
        <w:t>en</w:t>
      </w:r>
      <w:r w:rsidR="008E2A99" w:rsidRPr="002A66DA">
        <w:rPr>
          <w:rFonts w:ascii="Arial Narrow" w:hAnsi="Arial Narrow" w:cs="Arial Narrow"/>
          <w:bCs/>
          <w:color w:val="auto"/>
          <w:sz w:val="26"/>
          <w:szCs w:val="26"/>
          <w:lang w:val="es-CO"/>
        </w:rPr>
        <w:t>e</w:t>
      </w:r>
      <w:r w:rsidRPr="002A66DA">
        <w:rPr>
          <w:rFonts w:ascii="Arial Narrow" w:hAnsi="Arial Narrow" w:cs="Arial Narrow"/>
          <w:bCs/>
          <w:color w:val="auto"/>
          <w:sz w:val="26"/>
          <w:szCs w:val="26"/>
          <w:lang w:val="es-CO"/>
        </w:rPr>
        <w:t xml:space="preserve"> un capital de $23.898.720</w:t>
      </w:r>
      <w:r w:rsidR="008E2A99" w:rsidRPr="002A66DA">
        <w:rPr>
          <w:rFonts w:ascii="Arial Narrow" w:hAnsi="Arial Narrow" w:cs="Arial Narrow"/>
          <w:bCs/>
          <w:color w:val="auto"/>
          <w:sz w:val="26"/>
          <w:szCs w:val="26"/>
          <w:lang w:val="es-CO"/>
        </w:rPr>
        <w:t>, valor sobre el cual ordenó continuar la ejecución.</w:t>
      </w:r>
    </w:p>
    <w:p w14:paraId="04C7A5AA" w14:textId="7A2B2593" w:rsidR="00F06060" w:rsidRPr="002A66DA" w:rsidRDefault="00F06060"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44D68CB" w14:textId="272AD692" w:rsidR="00F06060" w:rsidRPr="002A66DA" w:rsidRDefault="00414549"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color w:val="000000" w:themeColor="text1"/>
          <w:sz w:val="26"/>
          <w:szCs w:val="26"/>
          <w:lang w:val="es-CO"/>
        </w:rPr>
      </w:pPr>
      <w:r w:rsidRPr="002A66DA">
        <w:rPr>
          <w:rFonts w:ascii="Arial Narrow" w:hAnsi="Arial Narrow" w:cs="Arial Narrow"/>
          <w:b/>
          <w:color w:val="000000" w:themeColor="text1"/>
          <w:sz w:val="26"/>
          <w:szCs w:val="26"/>
          <w:lang w:val="es-CO"/>
        </w:rPr>
        <w:t>Apelación</w:t>
      </w:r>
      <w:r w:rsidR="00F06060" w:rsidRPr="002A66DA">
        <w:rPr>
          <w:rFonts w:ascii="Arial Narrow" w:hAnsi="Arial Narrow" w:cs="Arial Narrow"/>
          <w:b/>
          <w:color w:val="000000" w:themeColor="text1"/>
          <w:sz w:val="26"/>
          <w:szCs w:val="26"/>
          <w:lang w:val="es-CO"/>
        </w:rPr>
        <w:t xml:space="preserve"> (</w:t>
      </w:r>
      <w:r w:rsidR="009878EC" w:rsidRPr="002A66DA">
        <w:rPr>
          <w:rFonts w:ascii="Arial Narrow" w:hAnsi="Arial Narrow" w:cs="Arial Narrow"/>
          <w:b/>
          <w:color w:val="000000" w:themeColor="text1"/>
          <w:sz w:val="26"/>
          <w:szCs w:val="26"/>
          <w:lang w:val="es-CO"/>
        </w:rPr>
        <w:t>archivos 35 y 34 Ib.</w:t>
      </w:r>
      <w:r w:rsidR="00F06060" w:rsidRPr="002A66DA">
        <w:rPr>
          <w:rFonts w:ascii="Arial Narrow" w:hAnsi="Arial Narrow" w:cs="Arial Narrow"/>
          <w:b/>
          <w:color w:val="000000" w:themeColor="text1"/>
          <w:sz w:val="26"/>
          <w:szCs w:val="26"/>
          <w:lang w:val="es-CO"/>
        </w:rPr>
        <w:t>).</w:t>
      </w:r>
    </w:p>
    <w:p w14:paraId="071BBBE3" w14:textId="292CB5A7" w:rsidR="00D4217F" w:rsidRPr="002A66DA" w:rsidRDefault="00D4217F"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3419C0A" w14:textId="36EB8EF2" w:rsidR="005B18F5" w:rsidRPr="002A66DA" w:rsidRDefault="005B18F5"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Oportunamente ambos extremos de la litis presentaron recurso de alzada frente a la sentencia, siendo declarada desierta la apelación de la parte ejecutada, por falta de sustentación </w:t>
      </w:r>
      <w:r w:rsidRPr="002A66DA">
        <w:rPr>
          <w:rFonts w:ascii="Arial Narrow" w:hAnsi="Arial Narrow" w:cs="Arial Narrow"/>
          <w:bCs/>
          <w:color w:val="000000" w:themeColor="text1"/>
          <w:sz w:val="26"/>
          <w:szCs w:val="26"/>
          <w:lang w:val="es-CO"/>
        </w:rPr>
        <w:t>(</w:t>
      </w:r>
      <w:r w:rsidR="009878EC" w:rsidRPr="002A66DA">
        <w:rPr>
          <w:rFonts w:ascii="Arial Narrow" w:hAnsi="Arial Narrow" w:cs="Arial Narrow"/>
          <w:bCs/>
          <w:color w:val="000000" w:themeColor="text1"/>
          <w:sz w:val="26"/>
          <w:szCs w:val="26"/>
          <w:lang w:val="es-CO"/>
        </w:rPr>
        <w:t>archivo 9, cuaderno 1 de segunda instancia)</w:t>
      </w:r>
    </w:p>
    <w:p w14:paraId="1B7FDF13" w14:textId="77777777" w:rsidR="00B73EF0" w:rsidRPr="002A66DA" w:rsidRDefault="00B73EF0"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11A864C3" w14:textId="683BD929" w:rsidR="009878EC" w:rsidRPr="002A66DA" w:rsidRDefault="00B73EF0"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Admitido el recurso, se sustentó por la apoderada de la parte ejecutante</w:t>
      </w:r>
      <w:r w:rsidR="009878EC" w:rsidRPr="002A66DA">
        <w:rPr>
          <w:rFonts w:ascii="Arial Narrow" w:hAnsi="Arial Narrow" w:cs="Arial Narrow"/>
          <w:bCs/>
          <w:color w:val="auto"/>
          <w:sz w:val="26"/>
          <w:szCs w:val="26"/>
          <w:lang w:val="es-CO"/>
        </w:rPr>
        <w:t xml:space="preserve">, </w:t>
      </w:r>
      <w:r w:rsidR="0077474C" w:rsidRPr="002A66DA">
        <w:rPr>
          <w:rFonts w:ascii="Arial Narrow" w:hAnsi="Arial Narrow" w:cs="Arial Narrow"/>
          <w:bCs/>
          <w:color w:val="auto"/>
          <w:sz w:val="26"/>
          <w:szCs w:val="26"/>
          <w:lang w:val="es-CO"/>
        </w:rPr>
        <w:t xml:space="preserve">quien dirigió </w:t>
      </w:r>
      <w:r w:rsidR="009878EC" w:rsidRPr="002A66DA">
        <w:rPr>
          <w:rFonts w:ascii="Arial Narrow" w:hAnsi="Arial Narrow" w:cs="Arial Narrow"/>
          <w:bCs/>
          <w:color w:val="auto"/>
          <w:sz w:val="26"/>
          <w:szCs w:val="26"/>
          <w:lang w:val="es-CO"/>
        </w:rPr>
        <w:t xml:space="preserve">sus esfuerzos </w:t>
      </w:r>
      <w:r w:rsidR="0077474C" w:rsidRPr="002A66DA">
        <w:rPr>
          <w:rFonts w:ascii="Arial Narrow" w:hAnsi="Arial Narrow" w:cs="Arial Narrow"/>
          <w:bCs/>
          <w:color w:val="auto"/>
          <w:sz w:val="26"/>
          <w:szCs w:val="26"/>
          <w:lang w:val="es-CO"/>
        </w:rPr>
        <w:t>a</w:t>
      </w:r>
      <w:r w:rsidR="009878EC" w:rsidRPr="002A66DA">
        <w:rPr>
          <w:rFonts w:ascii="Arial Narrow" w:hAnsi="Arial Narrow" w:cs="Arial Narrow"/>
          <w:bCs/>
          <w:color w:val="auto"/>
          <w:sz w:val="26"/>
          <w:szCs w:val="26"/>
          <w:lang w:val="es-CO"/>
        </w:rPr>
        <w:t xml:space="preserve"> atacar el dictamen pericial soporte de la sentencia</w:t>
      </w:r>
      <w:r w:rsidR="00AE7695" w:rsidRPr="002A66DA">
        <w:rPr>
          <w:rFonts w:ascii="Arial Narrow" w:hAnsi="Arial Narrow" w:cs="Arial Narrow"/>
          <w:bCs/>
          <w:color w:val="auto"/>
          <w:sz w:val="26"/>
          <w:szCs w:val="26"/>
          <w:lang w:val="es-CO"/>
        </w:rPr>
        <w:t>, señalando la existencia de diversos errores planteados todos en</w:t>
      </w:r>
      <w:r w:rsidR="009878EC" w:rsidRPr="002A66DA">
        <w:rPr>
          <w:rFonts w:ascii="Arial Narrow" w:hAnsi="Arial Narrow" w:cs="Arial Narrow"/>
          <w:bCs/>
          <w:color w:val="auto"/>
          <w:sz w:val="26"/>
          <w:szCs w:val="26"/>
          <w:lang w:val="es-CO"/>
        </w:rPr>
        <w:t xml:space="preserve"> </w:t>
      </w:r>
      <w:r w:rsidR="0077474C" w:rsidRPr="002A66DA">
        <w:rPr>
          <w:rFonts w:ascii="Arial Narrow" w:hAnsi="Arial Narrow" w:cs="Arial Narrow"/>
          <w:bCs/>
          <w:color w:val="auto"/>
          <w:sz w:val="26"/>
          <w:szCs w:val="26"/>
          <w:lang w:val="es-CO"/>
        </w:rPr>
        <w:t>su</w:t>
      </w:r>
      <w:r w:rsidR="009878EC" w:rsidRPr="002A66DA">
        <w:rPr>
          <w:rFonts w:ascii="Arial Narrow" w:hAnsi="Arial Narrow" w:cs="Arial Narrow"/>
          <w:bCs/>
          <w:color w:val="auto"/>
          <w:sz w:val="26"/>
          <w:szCs w:val="26"/>
          <w:lang w:val="es-CO"/>
        </w:rPr>
        <w:t xml:space="preserve">s argumentos de alzada (archivo 7, cuaderno 4). </w:t>
      </w:r>
    </w:p>
    <w:p w14:paraId="7BB9E85D" w14:textId="0D2FB646" w:rsidR="009878EC" w:rsidRPr="002A66DA" w:rsidRDefault="009878EC"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A7054E5" w14:textId="4C2E6E36" w:rsidR="009878EC" w:rsidRPr="001707F3" w:rsidRDefault="009878EC" w:rsidP="001707F3">
      <w:pPr>
        <w:pStyle w:val="313"/>
        <w:tabs>
          <w:tab w:val="left" w:pos="1416"/>
          <w:tab w:val="left" w:pos="2124"/>
          <w:tab w:val="left" w:pos="2832"/>
          <w:tab w:val="left" w:pos="3540"/>
          <w:tab w:val="left" w:pos="4248"/>
          <w:tab w:val="left" w:pos="4956"/>
          <w:tab w:val="left" w:pos="5664"/>
          <w:tab w:val="left" w:pos="6372"/>
          <w:tab w:val="left" w:pos="7080"/>
          <w:tab w:val="left" w:pos="7788"/>
          <w:tab w:val="left" w:pos="9912"/>
          <w:tab w:val="left" w:pos="10620"/>
          <w:tab w:val="left" w:pos="11328"/>
          <w:tab w:val="left" w:pos="12036"/>
        </w:tabs>
        <w:ind w:left="426" w:right="420"/>
        <w:jc w:val="both"/>
        <w:rPr>
          <w:rFonts w:ascii="Arial Narrow" w:hAnsi="Arial Narrow" w:cs="Arial Narrow"/>
          <w:bCs/>
          <w:i/>
          <w:iCs/>
          <w:color w:val="auto"/>
          <w:sz w:val="24"/>
          <w:szCs w:val="26"/>
          <w:lang w:val="es-CO"/>
        </w:rPr>
      </w:pPr>
      <w:r w:rsidRPr="001707F3">
        <w:rPr>
          <w:rFonts w:ascii="Arial Narrow" w:hAnsi="Arial Narrow" w:cs="Arial Narrow"/>
          <w:bCs/>
          <w:i/>
          <w:iCs/>
          <w:color w:val="auto"/>
          <w:sz w:val="24"/>
          <w:szCs w:val="26"/>
          <w:lang w:val="es-CO"/>
        </w:rPr>
        <w:t>“1) Existe erro</w:t>
      </w:r>
      <w:r w:rsidR="008E17B6" w:rsidRPr="001707F3">
        <w:rPr>
          <w:rFonts w:ascii="Arial Narrow" w:hAnsi="Arial Narrow" w:cs="Arial Narrow"/>
          <w:bCs/>
          <w:i/>
          <w:iCs/>
          <w:color w:val="auto"/>
          <w:sz w:val="24"/>
          <w:szCs w:val="26"/>
          <w:lang w:val="es-CO"/>
        </w:rPr>
        <w:t>r</w:t>
      </w:r>
      <w:r w:rsidRPr="001707F3">
        <w:rPr>
          <w:rFonts w:ascii="Arial Narrow" w:hAnsi="Arial Narrow" w:cs="Arial Narrow"/>
          <w:bCs/>
          <w:i/>
          <w:iCs/>
          <w:color w:val="auto"/>
          <w:sz w:val="24"/>
          <w:szCs w:val="26"/>
          <w:lang w:val="es-CO"/>
        </w:rPr>
        <w:t xml:space="preserve"> grave por descontaminación total del contrato de mutuo, pues éste fue pactado en unidades antes UPAC hoy UVR por ministerio de la ley. </w:t>
      </w:r>
    </w:p>
    <w:p w14:paraId="3E17A3E6" w14:textId="2BF77DE8" w:rsidR="009878EC" w:rsidRPr="001707F3" w:rsidRDefault="009878EC" w:rsidP="001707F3">
      <w:pPr>
        <w:pStyle w:val="313"/>
        <w:tabs>
          <w:tab w:val="left" w:pos="1416"/>
          <w:tab w:val="left" w:pos="2124"/>
          <w:tab w:val="left" w:pos="2832"/>
          <w:tab w:val="left" w:pos="3540"/>
          <w:tab w:val="left" w:pos="4248"/>
          <w:tab w:val="left" w:pos="4956"/>
          <w:tab w:val="left" w:pos="5664"/>
          <w:tab w:val="left" w:pos="6372"/>
          <w:tab w:val="left" w:pos="7080"/>
          <w:tab w:val="left" w:pos="7788"/>
          <w:tab w:val="left" w:pos="9912"/>
          <w:tab w:val="left" w:pos="10620"/>
          <w:tab w:val="left" w:pos="11328"/>
          <w:tab w:val="left" w:pos="12036"/>
        </w:tabs>
        <w:ind w:left="426" w:right="420"/>
        <w:jc w:val="both"/>
        <w:rPr>
          <w:rFonts w:ascii="Arial Narrow" w:hAnsi="Arial Narrow" w:cs="Arial Narrow"/>
          <w:bCs/>
          <w:i/>
          <w:iCs/>
          <w:color w:val="auto"/>
          <w:sz w:val="24"/>
          <w:szCs w:val="26"/>
          <w:lang w:val="es-CO"/>
        </w:rPr>
      </w:pPr>
    </w:p>
    <w:p w14:paraId="6B1F2B8E" w14:textId="77777777" w:rsidR="009878EC" w:rsidRPr="001707F3" w:rsidRDefault="009878EC" w:rsidP="001707F3">
      <w:pPr>
        <w:pStyle w:val="313"/>
        <w:tabs>
          <w:tab w:val="left" w:pos="1416"/>
          <w:tab w:val="left" w:pos="2124"/>
          <w:tab w:val="left" w:pos="2832"/>
          <w:tab w:val="left" w:pos="3540"/>
          <w:tab w:val="left" w:pos="4248"/>
          <w:tab w:val="left" w:pos="4956"/>
          <w:tab w:val="left" w:pos="5664"/>
          <w:tab w:val="left" w:pos="6372"/>
          <w:tab w:val="left" w:pos="7080"/>
          <w:tab w:val="left" w:pos="7788"/>
          <w:tab w:val="left" w:pos="9912"/>
          <w:tab w:val="left" w:pos="10620"/>
          <w:tab w:val="left" w:pos="11328"/>
          <w:tab w:val="left" w:pos="12036"/>
        </w:tabs>
        <w:ind w:left="426" w:right="420"/>
        <w:jc w:val="both"/>
        <w:rPr>
          <w:rFonts w:ascii="Arial Narrow" w:hAnsi="Arial Narrow" w:cs="Arial Narrow"/>
          <w:bCs/>
          <w:i/>
          <w:iCs/>
          <w:color w:val="auto"/>
          <w:sz w:val="24"/>
          <w:szCs w:val="26"/>
          <w:lang w:val="es-CO"/>
        </w:rPr>
      </w:pPr>
      <w:r w:rsidRPr="001707F3">
        <w:rPr>
          <w:rFonts w:ascii="Arial Narrow" w:hAnsi="Arial Narrow" w:cs="Arial Narrow"/>
          <w:bCs/>
          <w:i/>
          <w:iCs/>
          <w:color w:val="auto"/>
          <w:sz w:val="24"/>
          <w:szCs w:val="26"/>
          <w:lang w:val="es-CO"/>
        </w:rPr>
        <w:t>2) Existe error grave por cuanto el perito conserva un capital fijo sin ningún tipo de actualización dineraria es decir los conceptos y corrección monetaria calculada este siempre sobre el valor inicial, es decir sin actualización dineraria.</w:t>
      </w:r>
    </w:p>
    <w:p w14:paraId="40DC3FA5" w14:textId="77777777" w:rsidR="009878EC" w:rsidRPr="001707F3" w:rsidRDefault="009878EC" w:rsidP="001707F3">
      <w:pPr>
        <w:pStyle w:val="313"/>
        <w:tabs>
          <w:tab w:val="left" w:pos="1416"/>
          <w:tab w:val="left" w:pos="2124"/>
          <w:tab w:val="left" w:pos="2832"/>
          <w:tab w:val="left" w:pos="3540"/>
          <w:tab w:val="left" w:pos="4248"/>
          <w:tab w:val="left" w:pos="4956"/>
          <w:tab w:val="left" w:pos="5664"/>
          <w:tab w:val="left" w:pos="6372"/>
          <w:tab w:val="left" w:pos="7080"/>
          <w:tab w:val="left" w:pos="7788"/>
          <w:tab w:val="left" w:pos="9912"/>
          <w:tab w:val="left" w:pos="10620"/>
          <w:tab w:val="left" w:pos="11328"/>
          <w:tab w:val="left" w:pos="12036"/>
        </w:tabs>
        <w:ind w:left="426" w:right="420"/>
        <w:jc w:val="both"/>
        <w:rPr>
          <w:rFonts w:ascii="Arial Narrow" w:hAnsi="Arial Narrow" w:cs="Arial Narrow"/>
          <w:bCs/>
          <w:i/>
          <w:iCs/>
          <w:color w:val="auto"/>
          <w:sz w:val="24"/>
          <w:szCs w:val="26"/>
          <w:lang w:val="es-CO"/>
        </w:rPr>
      </w:pPr>
    </w:p>
    <w:p w14:paraId="1F7A5AA4" w14:textId="764E7CE2" w:rsidR="009878EC" w:rsidRPr="001707F3" w:rsidRDefault="009878EC" w:rsidP="001707F3">
      <w:pPr>
        <w:pStyle w:val="313"/>
        <w:tabs>
          <w:tab w:val="left" w:pos="1416"/>
          <w:tab w:val="left" w:pos="2124"/>
          <w:tab w:val="left" w:pos="2832"/>
          <w:tab w:val="left" w:pos="3540"/>
          <w:tab w:val="left" w:pos="4248"/>
          <w:tab w:val="left" w:pos="4956"/>
          <w:tab w:val="left" w:pos="5664"/>
          <w:tab w:val="left" w:pos="6372"/>
          <w:tab w:val="left" w:pos="7080"/>
          <w:tab w:val="left" w:pos="7788"/>
          <w:tab w:val="left" w:pos="9912"/>
          <w:tab w:val="left" w:pos="10620"/>
          <w:tab w:val="left" w:pos="11328"/>
          <w:tab w:val="left" w:pos="12036"/>
        </w:tabs>
        <w:ind w:left="426" w:right="420"/>
        <w:jc w:val="both"/>
        <w:rPr>
          <w:rFonts w:ascii="Arial Narrow" w:hAnsi="Arial Narrow" w:cs="Arial Narrow"/>
          <w:bCs/>
          <w:i/>
          <w:iCs/>
          <w:color w:val="auto"/>
          <w:sz w:val="24"/>
          <w:szCs w:val="26"/>
          <w:lang w:val="es-CO"/>
        </w:rPr>
      </w:pPr>
      <w:r w:rsidRPr="001707F3">
        <w:rPr>
          <w:rFonts w:ascii="Arial Narrow" w:hAnsi="Arial Narrow" w:cs="Arial Narrow"/>
          <w:bCs/>
          <w:i/>
          <w:iCs/>
          <w:color w:val="auto"/>
          <w:sz w:val="24"/>
          <w:szCs w:val="26"/>
          <w:lang w:val="es-CO"/>
        </w:rPr>
        <w:t>3) Existe erro</w:t>
      </w:r>
      <w:r w:rsidR="00073DAE" w:rsidRPr="001707F3">
        <w:rPr>
          <w:rFonts w:ascii="Arial Narrow" w:hAnsi="Arial Narrow" w:cs="Arial Narrow"/>
          <w:bCs/>
          <w:i/>
          <w:iCs/>
          <w:color w:val="auto"/>
          <w:sz w:val="24"/>
          <w:szCs w:val="26"/>
          <w:lang w:val="es-CO"/>
        </w:rPr>
        <w:t>r</w:t>
      </w:r>
      <w:r w:rsidRPr="001707F3">
        <w:rPr>
          <w:rFonts w:ascii="Arial Narrow" w:hAnsi="Arial Narrow" w:cs="Arial Narrow"/>
          <w:bCs/>
          <w:i/>
          <w:iCs/>
          <w:color w:val="auto"/>
          <w:sz w:val="24"/>
          <w:szCs w:val="26"/>
          <w:lang w:val="es-CO"/>
        </w:rPr>
        <w:t xml:space="preserve"> grave por cuanto el perito no tiene en cuenta las cotizaciones diarias de la UVR.</w:t>
      </w:r>
    </w:p>
    <w:p w14:paraId="35131850" w14:textId="77777777" w:rsidR="009878EC" w:rsidRPr="001707F3" w:rsidRDefault="009878EC" w:rsidP="001707F3">
      <w:pPr>
        <w:pStyle w:val="313"/>
        <w:tabs>
          <w:tab w:val="left" w:pos="1416"/>
          <w:tab w:val="left" w:pos="2124"/>
          <w:tab w:val="left" w:pos="2832"/>
          <w:tab w:val="left" w:pos="3540"/>
          <w:tab w:val="left" w:pos="4248"/>
          <w:tab w:val="left" w:pos="4956"/>
          <w:tab w:val="left" w:pos="5664"/>
          <w:tab w:val="left" w:pos="6372"/>
          <w:tab w:val="left" w:pos="7080"/>
          <w:tab w:val="left" w:pos="7788"/>
          <w:tab w:val="left" w:pos="9912"/>
          <w:tab w:val="left" w:pos="10620"/>
          <w:tab w:val="left" w:pos="11328"/>
          <w:tab w:val="left" w:pos="12036"/>
        </w:tabs>
        <w:ind w:left="426" w:right="420"/>
        <w:jc w:val="both"/>
        <w:rPr>
          <w:rFonts w:ascii="Arial Narrow" w:hAnsi="Arial Narrow" w:cs="Arial Narrow"/>
          <w:bCs/>
          <w:i/>
          <w:iCs/>
          <w:color w:val="auto"/>
          <w:sz w:val="24"/>
          <w:szCs w:val="26"/>
          <w:lang w:val="es-CO"/>
        </w:rPr>
      </w:pPr>
    </w:p>
    <w:p w14:paraId="50A5EE78" w14:textId="51AD23CF" w:rsidR="009878EC" w:rsidRPr="001707F3" w:rsidRDefault="009878EC" w:rsidP="001707F3">
      <w:pPr>
        <w:pStyle w:val="313"/>
        <w:tabs>
          <w:tab w:val="left" w:pos="1416"/>
          <w:tab w:val="left" w:pos="2124"/>
          <w:tab w:val="left" w:pos="2832"/>
          <w:tab w:val="left" w:pos="3540"/>
          <w:tab w:val="left" w:pos="4248"/>
          <w:tab w:val="left" w:pos="4956"/>
          <w:tab w:val="left" w:pos="5664"/>
          <w:tab w:val="left" w:pos="6372"/>
          <w:tab w:val="left" w:pos="7080"/>
          <w:tab w:val="left" w:pos="7788"/>
          <w:tab w:val="left" w:pos="9912"/>
          <w:tab w:val="left" w:pos="10620"/>
          <w:tab w:val="left" w:pos="11328"/>
          <w:tab w:val="left" w:pos="12036"/>
        </w:tabs>
        <w:ind w:left="426" w:right="420"/>
        <w:jc w:val="both"/>
        <w:rPr>
          <w:rFonts w:ascii="Arial Narrow" w:hAnsi="Arial Narrow" w:cs="Arial Narrow"/>
          <w:bCs/>
          <w:i/>
          <w:iCs/>
          <w:color w:val="auto"/>
          <w:sz w:val="24"/>
          <w:szCs w:val="26"/>
          <w:lang w:val="es-CO"/>
        </w:rPr>
      </w:pPr>
      <w:r w:rsidRPr="001707F3">
        <w:rPr>
          <w:rFonts w:ascii="Arial Narrow" w:hAnsi="Arial Narrow" w:cs="Arial Narrow"/>
          <w:bCs/>
          <w:i/>
          <w:iCs/>
          <w:color w:val="auto"/>
          <w:sz w:val="24"/>
          <w:szCs w:val="26"/>
          <w:lang w:val="es-CO"/>
        </w:rPr>
        <w:t xml:space="preserve">4) Existe error grave por cuanto el perito liquida intereses a la tasa de plazo sin tener en cuenta que de conformidad con el artículo 19 de la ley 546 de 1999 se debe liquidar a la tasa moratoria desde la presentación de la demanda.”  </w:t>
      </w:r>
    </w:p>
    <w:p w14:paraId="1BAA0EEE" w14:textId="042E3528" w:rsidR="009878EC" w:rsidRPr="002A66DA" w:rsidRDefault="009878EC"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 </w:t>
      </w:r>
    </w:p>
    <w:p w14:paraId="4243CEA5" w14:textId="3E5B76F8" w:rsidR="004F3B39" w:rsidRPr="002A66DA" w:rsidRDefault="004F3B39"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2A66DA">
        <w:rPr>
          <w:rFonts w:ascii="Arial Narrow" w:hAnsi="Arial Narrow" w:cs="Arial Narrow"/>
          <w:b/>
          <w:bCs/>
          <w:color w:val="auto"/>
          <w:sz w:val="26"/>
          <w:szCs w:val="26"/>
          <w:lang w:val="es-CO"/>
        </w:rPr>
        <w:t>Consideraciones</w:t>
      </w:r>
    </w:p>
    <w:p w14:paraId="153F4573" w14:textId="468A4BBD" w:rsidR="008F1685" w:rsidRPr="002A66DA" w:rsidRDefault="00CB17AB"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ab/>
      </w:r>
      <w:r w:rsidRPr="002A66DA">
        <w:rPr>
          <w:rFonts w:ascii="Arial Narrow" w:hAnsi="Arial Narrow" w:cs="Arial Narrow"/>
          <w:bCs/>
          <w:color w:val="auto"/>
          <w:sz w:val="26"/>
          <w:szCs w:val="26"/>
          <w:lang w:val="es-CO"/>
        </w:rPr>
        <w:tab/>
      </w:r>
    </w:p>
    <w:p w14:paraId="3BD47995" w14:textId="77777777" w:rsidR="00944CB1" w:rsidRPr="002A66DA" w:rsidRDefault="00CE6E20" w:rsidP="002A66DA">
      <w:pPr>
        <w:pStyle w:val="313"/>
        <w:spacing w:line="276" w:lineRule="auto"/>
        <w:jc w:val="both"/>
        <w:rPr>
          <w:rStyle w:val="eop"/>
          <w:rFonts w:ascii="Arial Narrow" w:hAnsi="Arial Narrow"/>
          <w:sz w:val="26"/>
          <w:szCs w:val="26"/>
          <w:shd w:val="clear" w:color="auto" w:fill="FFFFFF"/>
          <w:lang w:val="es-CO"/>
        </w:rPr>
      </w:pPr>
      <w:r w:rsidRPr="002A66DA">
        <w:rPr>
          <w:rFonts w:ascii="Arial Narrow" w:hAnsi="Arial Narrow" w:cs="Arial Narrow"/>
          <w:b/>
          <w:color w:val="auto"/>
          <w:sz w:val="26"/>
          <w:szCs w:val="26"/>
          <w:lang w:val="es-CO"/>
        </w:rPr>
        <w:t>1.</w:t>
      </w:r>
      <w:r w:rsidRPr="002A66DA">
        <w:rPr>
          <w:rFonts w:ascii="Arial Narrow" w:hAnsi="Arial Narrow" w:cs="Arial Narrow"/>
          <w:bCs/>
          <w:color w:val="auto"/>
          <w:sz w:val="26"/>
          <w:szCs w:val="26"/>
          <w:lang w:val="es-CO"/>
        </w:rPr>
        <w:t xml:space="preserve"> </w:t>
      </w:r>
      <w:r w:rsidR="00944CB1" w:rsidRPr="002A66DA">
        <w:rPr>
          <w:rStyle w:val="normaltextrun"/>
          <w:rFonts w:ascii="Arial Narrow" w:hAnsi="Arial Narrow"/>
          <w:sz w:val="26"/>
          <w:szCs w:val="26"/>
          <w:shd w:val="clear" w:color="auto" w:fill="FFFFFF"/>
          <w:lang w:val="es-CO"/>
        </w:rPr>
        <w:t>Se encuentran reunidos los presupuestos procesales para proferir decisión de fondo, y no se otea alguna irregularidad que genere la nulidad de lo actuado. Además, la Sala es competente para decidir, de conformidad a los acuerdos que establecieron las medidas de descongestión ya referidas. </w:t>
      </w:r>
      <w:r w:rsidR="00944CB1" w:rsidRPr="002A66DA">
        <w:rPr>
          <w:rStyle w:val="eop"/>
          <w:rFonts w:ascii="Arial Narrow" w:hAnsi="Arial Narrow"/>
          <w:sz w:val="26"/>
          <w:szCs w:val="26"/>
          <w:shd w:val="clear" w:color="auto" w:fill="FFFFFF"/>
          <w:lang w:val="es-CO"/>
        </w:rPr>
        <w:t> </w:t>
      </w:r>
    </w:p>
    <w:p w14:paraId="4CF031B5" w14:textId="77777777" w:rsidR="00944CB1" w:rsidRPr="002A66DA" w:rsidRDefault="00944CB1" w:rsidP="002A66DA">
      <w:pPr>
        <w:pStyle w:val="313"/>
        <w:spacing w:line="276" w:lineRule="auto"/>
        <w:jc w:val="both"/>
        <w:rPr>
          <w:rFonts w:ascii="Arial Narrow" w:hAnsi="Arial Narrow" w:cs="Arial Narrow"/>
          <w:bCs/>
          <w:color w:val="auto"/>
          <w:sz w:val="26"/>
          <w:szCs w:val="26"/>
          <w:lang w:val="es-CO"/>
        </w:rPr>
      </w:pPr>
    </w:p>
    <w:p w14:paraId="78880DAC" w14:textId="66FD0608" w:rsidR="00682675" w:rsidRPr="002A66DA" w:rsidRDefault="002C5B64"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De otro lado, hay legitimación en la causa </w:t>
      </w:r>
      <w:r w:rsidR="008D09C1" w:rsidRPr="002A66DA">
        <w:rPr>
          <w:rFonts w:ascii="Arial Narrow" w:hAnsi="Arial Narrow" w:cs="Arial Narrow"/>
          <w:bCs/>
          <w:color w:val="auto"/>
          <w:sz w:val="26"/>
          <w:szCs w:val="26"/>
          <w:lang w:val="es-CO"/>
        </w:rPr>
        <w:t xml:space="preserve">tanto </w:t>
      </w:r>
      <w:r w:rsidRPr="002A66DA">
        <w:rPr>
          <w:rFonts w:ascii="Arial Narrow" w:hAnsi="Arial Narrow" w:cs="Arial Narrow"/>
          <w:bCs/>
          <w:color w:val="auto"/>
          <w:sz w:val="26"/>
          <w:szCs w:val="26"/>
          <w:lang w:val="es-CO"/>
        </w:rPr>
        <w:t xml:space="preserve">por activa como </w:t>
      </w:r>
      <w:r w:rsidR="008D09C1" w:rsidRPr="002A66DA">
        <w:rPr>
          <w:rFonts w:ascii="Arial Narrow" w:hAnsi="Arial Narrow" w:cs="Arial Narrow"/>
          <w:bCs/>
          <w:color w:val="auto"/>
          <w:sz w:val="26"/>
          <w:szCs w:val="26"/>
          <w:lang w:val="es-CO"/>
        </w:rPr>
        <w:t xml:space="preserve">por </w:t>
      </w:r>
      <w:r w:rsidRPr="002A66DA">
        <w:rPr>
          <w:rFonts w:ascii="Arial Narrow" w:hAnsi="Arial Narrow" w:cs="Arial Narrow"/>
          <w:bCs/>
          <w:color w:val="auto"/>
          <w:sz w:val="26"/>
          <w:szCs w:val="26"/>
          <w:lang w:val="es-CO"/>
        </w:rPr>
        <w:t>pasiv</w:t>
      </w:r>
      <w:r w:rsidR="00F2166D" w:rsidRPr="002A66DA">
        <w:rPr>
          <w:rFonts w:ascii="Arial Narrow" w:hAnsi="Arial Narrow" w:cs="Arial Narrow"/>
          <w:bCs/>
          <w:color w:val="auto"/>
          <w:sz w:val="26"/>
          <w:szCs w:val="26"/>
          <w:lang w:val="es-CO"/>
        </w:rPr>
        <w:t>a</w:t>
      </w:r>
      <w:r w:rsidRPr="002A66DA">
        <w:rPr>
          <w:rFonts w:ascii="Arial Narrow" w:hAnsi="Arial Narrow" w:cs="Arial Narrow"/>
          <w:bCs/>
          <w:color w:val="auto"/>
          <w:sz w:val="26"/>
          <w:szCs w:val="26"/>
          <w:lang w:val="es-CO"/>
        </w:rPr>
        <w:t xml:space="preserve">, en el marco de las relaciones jurídicas plasmadas en los títulos ejecutivos allegados para recaudo, y </w:t>
      </w:r>
      <w:r w:rsidR="00D34C3D" w:rsidRPr="002A66DA">
        <w:rPr>
          <w:rFonts w:ascii="Arial Narrow" w:hAnsi="Arial Narrow" w:cs="Arial Narrow"/>
          <w:bCs/>
          <w:color w:val="auto"/>
          <w:sz w:val="26"/>
          <w:szCs w:val="26"/>
          <w:lang w:val="es-CO"/>
        </w:rPr>
        <w:t>las reglas</w:t>
      </w:r>
      <w:r w:rsidRPr="002A66DA">
        <w:rPr>
          <w:rFonts w:ascii="Arial Narrow" w:hAnsi="Arial Narrow" w:cs="Arial Narrow"/>
          <w:bCs/>
          <w:color w:val="auto"/>
          <w:sz w:val="26"/>
          <w:szCs w:val="26"/>
          <w:lang w:val="es-CO"/>
        </w:rPr>
        <w:t xml:space="preserve"> del procedimiento ejecutivo con garantía real (art. 554</w:t>
      </w:r>
      <w:r w:rsidR="00E92635" w:rsidRPr="002A66DA">
        <w:rPr>
          <w:rFonts w:ascii="Arial Narrow" w:hAnsi="Arial Narrow" w:cs="Arial Narrow"/>
          <w:bCs/>
          <w:color w:val="auto"/>
          <w:sz w:val="26"/>
          <w:szCs w:val="26"/>
          <w:lang w:val="es-CO"/>
        </w:rPr>
        <w:t xml:space="preserve"> del C.P.C.</w:t>
      </w:r>
      <w:r w:rsidRPr="002A66DA">
        <w:rPr>
          <w:rFonts w:ascii="Arial Narrow" w:hAnsi="Arial Narrow" w:cs="Arial Narrow"/>
          <w:bCs/>
          <w:color w:val="auto"/>
          <w:sz w:val="26"/>
          <w:szCs w:val="26"/>
          <w:lang w:val="es-CO"/>
        </w:rPr>
        <w:t>)</w:t>
      </w:r>
      <w:r w:rsidR="009878EC" w:rsidRPr="002A66DA">
        <w:rPr>
          <w:rFonts w:ascii="Arial Narrow" w:hAnsi="Arial Narrow" w:cs="Arial Narrow"/>
          <w:bCs/>
          <w:color w:val="auto"/>
          <w:sz w:val="26"/>
          <w:szCs w:val="26"/>
          <w:lang w:val="es-CO"/>
        </w:rPr>
        <w:t xml:space="preserve"> según las cuales, en virtud del derecho de persecución que otorga la hipoteca</w:t>
      </w:r>
      <w:r w:rsidR="004C1D43" w:rsidRPr="002A66DA">
        <w:rPr>
          <w:rFonts w:ascii="Arial Narrow" w:hAnsi="Arial Narrow" w:cs="Arial Narrow"/>
          <w:bCs/>
          <w:color w:val="auto"/>
          <w:sz w:val="26"/>
          <w:szCs w:val="26"/>
          <w:lang w:val="es-CO"/>
        </w:rPr>
        <w:t>,</w:t>
      </w:r>
      <w:r w:rsidR="009878EC" w:rsidRPr="002A66DA">
        <w:rPr>
          <w:rFonts w:ascii="Arial Narrow" w:hAnsi="Arial Narrow" w:cs="Arial Narrow"/>
          <w:bCs/>
          <w:color w:val="auto"/>
          <w:sz w:val="26"/>
          <w:szCs w:val="26"/>
          <w:lang w:val="es-CO"/>
        </w:rPr>
        <w:t xml:space="preserve"> debe dirigirse la demanda contra el </w:t>
      </w:r>
      <w:r w:rsidR="005A0CA4" w:rsidRPr="002A66DA">
        <w:rPr>
          <w:rFonts w:ascii="Arial Narrow" w:hAnsi="Arial Narrow" w:cs="Arial Narrow"/>
          <w:bCs/>
          <w:color w:val="auto"/>
          <w:sz w:val="26"/>
          <w:szCs w:val="26"/>
          <w:lang w:val="es-CO"/>
        </w:rPr>
        <w:t>a</w:t>
      </w:r>
      <w:r w:rsidR="00E3412F" w:rsidRPr="002A66DA">
        <w:rPr>
          <w:rFonts w:ascii="Arial Narrow" w:hAnsi="Arial Narrow" w:cs="Arial Narrow"/>
          <w:bCs/>
          <w:color w:val="auto"/>
          <w:sz w:val="26"/>
          <w:szCs w:val="26"/>
          <w:lang w:val="es-CO"/>
        </w:rPr>
        <w:t>ctual propietario de la cosa hipotecada.</w:t>
      </w:r>
      <w:r w:rsidR="009878EC" w:rsidRPr="002A66DA">
        <w:rPr>
          <w:rFonts w:ascii="Arial Narrow" w:hAnsi="Arial Narrow" w:cs="Arial Narrow"/>
          <w:bCs/>
          <w:color w:val="auto"/>
          <w:sz w:val="26"/>
          <w:szCs w:val="26"/>
          <w:lang w:val="es-CO"/>
        </w:rPr>
        <w:t xml:space="preserve"> </w:t>
      </w:r>
      <w:r w:rsidRPr="002A66DA">
        <w:rPr>
          <w:rFonts w:ascii="Arial Narrow" w:hAnsi="Arial Narrow" w:cs="Arial Narrow"/>
          <w:bCs/>
          <w:color w:val="auto"/>
          <w:sz w:val="26"/>
          <w:szCs w:val="26"/>
          <w:lang w:val="es-CO"/>
        </w:rPr>
        <w:t xml:space="preserve"> </w:t>
      </w:r>
    </w:p>
    <w:p w14:paraId="60C9B5FE" w14:textId="3557CBDB" w:rsidR="004C1D43" w:rsidRPr="002A66DA" w:rsidRDefault="004C1D43" w:rsidP="002A66DA">
      <w:pPr>
        <w:pStyle w:val="313"/>
        <w:spacing w:line="276" w:lineRule="auto"/>
        <w:jc w:val="both"/>
        <w:rPr>
          <w:rFonts w:ascii="Arial Narrow" w:hAnsi="Arial Narrow" w:cs="Arial Narrow"/>
          <w:bCs/>
          <w:color w:val="auto"/>
          <w:sz w:val="26"/>
          <w:szCs w:val="26"/>
          <w:lang w:val="es-CO"/>
        </w:rPr>
      </w:pPr>
    </w:p>
    <w:p w14:paraId="3C6855CC" w14:textId="25185B8B" w:rsidR="008827FC" w:rsidRPr="002A66DA" w:rsidRDefault="004C1D43"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En efecto, actúa como demandante </w:t>
      </w:r>
      <w:r w:rsidR="004E4470" w:rsidRPr="002A66DA">
        <w:rPr>
          <w:rFonts w:ascii="Arial Narrow" w:hAnsi="Arial Narrow" w:cs="Arial Narrow"/>
          <w:bCs/>
          <w:color w:val="auto"/>
          <w:sz w:val="26"/>
          <w:szCs w:val="26"/>
          <w:lang w:val="es-CO"/>
        </w:rPr>
        <w:t>Bancolombia S.A.,</w:t>
      </w:r>
      <w:r w:rsidR="00D14147" w:rsidRPr="002A66DA">
        <w:rPr>
          <w:rFonts w:ascii="Arial Narrow" w:hAnsi="Arial Narrow" w:cs="Arial Narrow"/>
          <w:bCs/>
          <w:color w:val="auto"/>
          <w:sz w:val="26"/>
          <w:szCs w:val="26"/>
          <w:lang w:val="es-CO"/>
        </w:rPr>
        <w:t xml:space="preserve"> quien se legitima como tenedora del </w:t>
      </w:r>
      <w:r w:rsidR="009A433A" w:rsidRPr="002A66DA">
        <w:rPr>
          <w:rFonts w:ascii="Arial Narrow" w:hAnsi="Arial Narrow" w:cs="Arial Narrow"/>
          <w:bCs/>
          <w:color w:val="auto"/>
          <w:sz w:val="26"/>
          <w:szCs w:val="26"/>
          <w:lang w:val="es-CO"/>
        </w:rPr>
        <w:t>pagaré</w:t>
      </w:r>
      <w:r w:rsidR="00783B82" w:rsidRPr="002A66DA">
        <w:rPr>
          <w:rFonts w:ascii="Arial Narrow" w:hAnsi="Arial Narrow" w:cs="Arial Narrow"/>
          <w:bCs/>
          <w:color w:val="auto"/>
          <w:sz w:val="26"/>
          <w:szCs w:val="26"/>
          <w:lang w:val="es-CO"/>
        </w:rPr>
        <w:t xml:space="preserve"> que sirve de título </w:t>
      </w:r>
      <w:r w:rsidR="00D14147" w:rsidRPr="002A66DA">
        <w:rPr>
          <w:rFonts w:ascii="Arial Narrow" w:hAnsi="Arial Narrow" w:cs="Arial Narrow"/>
          <w:bCs/>
          <w:color w:val="auto"/>
          <w:sz w:val="26"/>
          <w:szCs w:val="26"/>
          <w:lang w:val="es-CO"/>
        </w:rPr>
        <w:t xml:space="preserve">ejecutivo de la siguiente manera: se evidencia que </w:t>
      </w:r>
      <w:r w:rsidR="008827FC" w:rsidRPr="002A66DA">
        <w:rPr>
          <w:rFonts w:ascii="Arial Narrow" w:hAnsi="Arial Narrow" w:cs="Arial Narrow"/>
          <w:bCs/>
          <w:color w:val="auto"/>
          <w:sz w:val="26"/>
          <w:szCs w:val="26"/>
          <w:lang w:val="es-CO"/>
        </w:rPr>
        <w:t xml:space="preserve">el </w:t>
      </w:r>
      <w:r w:rsidR="009A433A" w:rsidRPr="002A66DA">
        <w:rPr>
          <w:rFonts w:ascii="Arial Narrow" w:hAnsi="Arial Narrow" w:cs="Arial Narrow"/>
          <w:bCs/>
          <w:color w:val="auto"/>
          <w:sz w:val="26"/>
          <w:szCs w:val="26"/>
          <w:lang w:val="es-CO"/>
        </w:rPr>
        <w:t>instrumento</w:t>
      </w:r>
      <w:r w:rsidR="00D14147" w:rsidRPr="002A66DA">
        <w:rPr>
          <w:rFonts w:ascii="Arial Narrow" w:hAnsi="Arial Narrow" w:cs="Arial Narrow"/>
          <w:bCs/>
          <w:color w:val="auto"/>
          <w:sz w:val="26"/>
          <w:szCs w:val="26"/>
          <w:lang w:val="es-CO"/>
        </w:rPr>
        <w:t xml:space="preserve"> fue otorgado a favor de</w:t>
      </w:r>
      <w:r w:rsidR="008827FC" w:rsidRPr="002A66DA">
        <w:rPr>
          <w:rFonts w:ascii="Arial Narrow" w:hAnsi="Arial Narrow" w:cs="Arial Narrow"/>
          <w:bCs/>
          <w:color w:val="auto"/>
          <w:sz w:val="26"/>
          <w:szCs w:val="26"/>
          <w:lang w:val="es-CO"/>
        </w:rPr>
        <w:t xml:space="preserve">l acreedor Corporación de </w:t>
      </w:r>
      <w:r w:rsidR="00D14147" w:rsidRPr="002A66DA">
        <w:rPr>
          <w:rFonts w:ascii="Arial Narrow" w:hAnsi="Arial Narrow" w:cs="Arial Narrow"/>
          <w:bCs/>
          <w:color w:val="auto"/>
          <w:sz w:val="26"/>
          <w:szCs w:val="26"/>
          <w:lang w:val="es-CO"/>
        </w:rPr>
        <w:t>A</w:t>
      </w:r>
      <w:r w:rsidR="008827FC" w:rsidRPr="002A66DA">
        <w:rPr>
          <w:rFonts w:ascii="Arial Narrow" w:hAnsi="Arial Narrow" w:cs="Arial Narrow"/>
          <w:bCs/>
          <w:color w:val="auto"/>
          <w:sz w:val="26"/>
          <w:szCs w:val="26"/>
          <w:lang w:val="es-CO"/>
        </w:rPr>
        <w:t xml:space="preserve">horro y </w:t>
      </w:r>
      <w:r w:rsidR="00D14147" w:rsidRPr="002A66DA">
        <w:rPr>
          <w:rFonts w:ascii="Arial Narrow" w:hAnsi="Arial Narrow" w:cs="Arial Narrow"/>
          <w:bCs/>
          <w:color w:val="auto"/>
          <w:sz w:val="26"/>
          <w:szCs w:val="26"/>
          <w:lang w:val="es-CO"/>
        </w:rPr>
        <w:t>V</w:t>
      </w:r>
      <w:r w:rsidR="008827FC" w:rsidRPr="002A66DA">
        <w:rPr>
          <w:rFonts w:ascii="Arial Narrow" w:hAnsi="Arial Narrow" w:cs="Arial Narrow"/>
          <w:bCs/>
          <w:color w:val="auto"/>
          <w:sz w:val="26"/>
          <w:szCs w:val="26"/>
          <w:lang w:val="es-CO"/>
        </w:rPr>
        <w:t>ivienda CONAVI</w:t>
      </w:r>
      <w:r w:rsidR="00D14147" w:rsidRPr="002A66DA">
        <w:rPr>
          <w:rFonts w:ascii="Arial Narrow" w:hAnsi="Arial Narrow" w:cs="Arial Narrow"/>
          <w:bCs/>
          <w:color w:val="auto"/>
          <w:sz w:val="26"/>
          <w:szCs w:val="26"/>
          <w:lang w:val="es-CO"/>
        </w:rPr>
        <w:t xml:space="preserve"> que, de conformidad a lo establecido en el </w:t>
      </w:r>
      <w:r w:rsidR="008827FC" w:rsidRPr="002A66DA">
        <w:rPr>
          <w:rFonts w:ascii="Arial Narrow" w:hAnsi="Arial Narrow" w:cs="Arial Narrow"/>
          <w:bCs/>
          <w:color w:val="auto"/>
          <w:sz w:val="26"/>
          <w:szCs w:val="26"/>
          <w:lang w:val="es-CO"/>
        </w:rPr>
        <w:t>artículo 5º de la Ley 546 de 1999</w:t>
      </w:r>
      <w:r w:rsidR="00D14147" w:rsidRPr="002A66DA">
        <w:rPr>
          <w:rStyle w:val="Refdenotaalpie"/>
          <w:rFonts w:ascii="Arial Narrow" w:hAnsi="Arial Narrow" w:cs="Arial Narrow"/>
          <w:bCs/>
          <w:color w:val="auto"/>
          <w:sz w:val="26"/>
          <w:szCs w:val="26"/>
          <w:lang w:val="es-CO"/>
        </w:rPr>
        <w:footnoteReference w:id="7"/>
      </w:r>
      <w:r w:rsidR="00D14147" w:rsidRPr="002A66DA">
        <w:rPr>
          <w:rFonts w:ascii="Arial Narrow" w:hAnsi="Arial Narrow" w:cs="Arial Narrow"/>
          <w:bCs/>
          <w:color w:val="auto"/>
          <w:sz w:val="26"/>
          <w:szCs w:val="26"/>
          <w:lang w:val="es-CO"/>
        </w:rPr>
        <w:t>, pasó a ser banco comercial.</w:t>
      </w:r>
    </w:p>
    <w:p w14:paraId="7CE919B4" w14:textId="77777777" w:rsidR="00704AAC" w:rsidRPr="002A66DA" w:rsidRDefault="00704AAC" w:rsidP="002A66DA">
      <w:pPr>
        <w:pStyle w:val="313"/>
        <w:spacing w:line="276" w:lineRule="auto"/>
        <w:jc w:val="both"/>
        <w:rPr>
          <w:rFonts w:ascii="Arial Narrow" w:hAnsi="Arial Narrow" w:cs="Arial Narrow"/>
          <w:bCs/>
          <w:color w:val="auto"/>
          <w:sz w:val="26"/>
          <w:szCs w:val="26"/>
          <w:lang w:val="es-CO"/>
        </w:rPr>
      </w:pPr>
    </w:p>
    <w:p w14:paraId="3446902F" w14:textId="125BDABC" w:rsidR="008827FC" w:rsidRPr="002A66DA" w:rsidRDefault="004F574D"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Además, en el </w:t>
      </w:r>
      <w:r w:rsidR="008827FC" w:rsidRPr="002A66DA">
        <w:rPr>
          <w:rFonts w:ascii="Arial Narrow" w:hAnsi="Arial Narrow" w:cs="Arial Narrow"/>
          <w:bCs/>
          <w:color w:val="auto"/>
          <w:sz w:val="26"/>
          <w:szCs w:val="26"/>
          <w:lang w:val="es-CO"/>
        </w:rPr>
        <w:t xml:space="preserve">certificado de existencia y representación de Bancolombia, </w:t>
      </w:r>
      <w:r w:rsidRPr="002A66DA">
        <w:rPr>
          <w:rFonts w:ascii="Arial Narrow" w:hAnsi="Arial Narrow" w:cs="Arial Narrow"/>
          <w:bCs/>
          <w:color w:val="auto"/>
          <w:sz w:val="26"/>
          <w:szCs w:val="26"/>
          <w:lang w:val="es-CO"/>
        </w:rPr>
        <w:t>aportado con el escrito de subsanación de la demanda</w:t>
      </w:r>
      <w:r w:rsidR="00AA5395" w:rsidRPr="002A66DA">
        <w:rPr>
          <w:rFonts w:ascii="Arial Narrow" w:hAnsi="Arial Narrow" w:cs="Arial Narrow"/>
          <w:bCs/>
          <w:color w:val="auto"/>
          <w:sz w:val="26"/>
          <w:szCs w:val="26"/>
          <w:lang w:val="es-CO"/>
        </w:rPr>
        <w:t xml:space="preserve"> (página 8)</w:t>
      </w:r>
      <w:r w:rsidRPr="002A66DA">
        <w:rPr>
          <w:rFonts w:ascii="Arial Narrow" w:hAnsi="Arial Narrow" w:cs="Arial Narrow"/>
          <w:bCs/>
          <w:color w:val="auto"/>
          <w:sz w:val="26"/>
          <w:szCs w:val="26"/>
          <w:lang w:val="es-CO"/>
        </w:rPr>
        <w:t xml:space="preserve">, </w:t>
      </w:r>
      <w:r w:rsidR="008827FC" w:rsidRPr="002A66DA">
        <w:rPr>
          <w:rFonts w:ascii="Arial Narrow" w:hAnsi="Arial Narrow" w:cs="Arial Narrow"/>
          <w:bCs/>
          <w:color w:val="auto"/>
          <w:sz w:val="26"/>
          <w:szCs w:val="26"/>
          <w:lang w:val="es-CO"/>
        </w:rPr>
        <w:t xml:space="preserve">se lee que </w:t>
      </w:r>
      <w:r w:rsidR="00704AAC" w:rsidRPr="002A66DA">
        <w:rPr>
          <w:rFonts w:ascii="Arial Narrow" w:hAnsi="Arial Narrow" w:cs="Arial Narrow"/>
          <w:bCs/>
          <w:color w:val="auto"/>
          <w:sz w:val="26"/>
          <w:szCs w:val="26"/>
          <w:lang w:val="es-CO"/>
        </w:rPr>
        <w:t xml:space="preserve">aquella </w:t>
      </w:r>
      <w:r w:rsidR="008827FC" w:rsidRPr="002A66DA">
        <w:rPr>
          <w:rFonts w:ascii="Arial Narrow" w:hAnsi="Arial Narrow" w:cs="Arial Narrow"/>
          <w:bCs/>
          <w:color w:val="auto"/>
          <w:sz w:val="26"/>
          <w:szCs w:val="26"/>
          <w:lang w:val="es-CO"/>
        </w:rPr>
        <w:t>absorbió a</w:t>
      </w:r>
      <w:r w:rsidR="008D6925" w:rsidRPr="002A66DA">
        <w:rPr>
          <w:rFonts w:ascii="Arial Narrow" w:hAnsi="Arial Narrow" w:cs="Arial Narrow"/>
          <w:bCs/>
          <w:color w:val="auto"/>
          <w:sz w:val="26"/>
          <w:szCs w:val="26"/>
          <w:lang w:val="es-CO"/>
        </w:rPr>
        <w:t xml:space="preserve"> CONAVI</w:t>
      </w:r>
      <w:r w:rsidR="008827FC" w:rsidRPr="002A66DA">
        <w:rPr>
          <w:rFonts w:ascii="Arial Narrow" w:hAnsi="Arial Narrow" w:cs="Arial Narrow"/>
          <w:bCs/>
          <w:color w:val="auto"/>
          <w:sz w:val="26"/>
          <w:szCs w:val="26"/>
          <w:lang w:val="es-CO"/>
        </w:rPr>
        <w:t xml:space="preserve"> Banco Comercial</w:t>
      </w:r>
      <w:r w:rsidR="008D6925" w:rsidRPr="002A66DA">
        <w:rPr>
          <w:rFonts w:ascii="Arial Narrow" w:hAnsi="Arial Narrow" w:cs="Arial Narrow"/>
          <w:bCs/>
          <w:color w:val="auto"/>
          <w:sz w:val="26"/>
          <w:szCs w:val="26"/>
          <w:lang w:val="es-CO"/>
        </w:rPr>
        <w:t xml:space="preserve"> y</w:t>
      </w:r>
      <w:r w:rsidR="008827FC" w:rsidRPr="002A66DA">
        <w:rPr>
          <w:rFonts w:ascii="Arial Narrow" w:hAnsi="Arial Narrow" w:cs="Arial Narrow"/>
          <w:bCs/>
          <w:color w:val="auto"/>
          <w:sz w:val="26"/>
          <w:szCs w:val="26"/>
          <w:lang w:val="es-CO"/>
        </w:rPr>
        <w:t xml:space="preserve"> de Ahorros</w:t>
      </w:r>
      <w:r w:rsidR="008D6925" w:rsidRPr="002A66DA">
        <w:rPr>
          <w:rFonts w:ascii="Arial Narrow" w:hAnsi="Arial Narrow" w:cs="Arial Narrow"/>
          <w:bCs/>
          <w:color w:val="auto"/>
          <w:sz w:val="26"/>
          <w:szCs w:val="26"/>
          <w:lang w:val="es-CO"/>
        </w:rPr>
        <w:t xml:space="preserve"> S.A.</w:t>
      </w:r>
      <w:r w:rsidR="008827FC" w:rsidRPr="002A66DA">
        <w:rPr>
          <w:rFonts w:ascii="Arial Narrow" w:hAnsi="Arial Narrow" w:cs="Arial Narrow"/>
          <w:bCs/>
          <w:color w:val="auto"/>
          <w:sz w:val="26"/>
          <w:szCs w:val="26"/>
          <w:lang w:val="es-CO"/>
        </w:rPr>
        <w:t xml:space="preserve">, acto contenido en escritura </w:t>
      </w:r>
      <w:r w:rsidR="00AA5395" w:rsidRPr="002A66DA">
        <w:rPr>
          <w:rFonts w:ascii="Arial Narrow" w:hAnsi="Arial Narrow" w:cs="Arial Narrow"/>
          <w:bCs/>
          <w:color w:val="auto"/>
          <w:sz w:val="26"/>
          <w:szCs w:val="26"/>
          <w:lang w:val="es-CO"/>
        </w:rPr>
        <w:t>pública</w:t>
      </w:r>
      <w:r w:rsidR="008827FC" w:rsidRPr="002A66DA">
        <w:rPr>
          <w:rFonts w:ascii="Arial Narrow" w:hAnsi="Arial Narrow" w:cs="Arial Narrow"/>
          <w:bCs/>
          <w:color w:val="auto"/>
          <w:sz w:val="26"/>
          <w:szCs w:val="26"/>
          <w:lang w:val="es-CO"/>
        </w:rPr>
        <w:t xml:space="preserve"> 3974</w:t>
      </w:r>
      <w:r w:rsidR="00AA5395" w:rsidRPr="002A66DA">
        <w:rPr>
          <w:rFonts w:ascii="Arial Narrow" w:hAnsi="Arial Narrow" w:cs="Arial Narrow"/>
          <w:bCs/>
          <w:color w:val="auto"/>
          <w:sz w:val="26"/>
          <w:szCs w:val="26"/>
          <w:lang w:val="es-CO"/>
        </w:rPr>
        <w:t xml:space="preserve"> de julio 30</w:t>
      </w:r>
      <w:r w:rsidR="008827FC" w:rsidRPr="002A66DA">
        <w:rPr>
          <w:rFonts w:ascii="Arial Narrow" w:hAnsi="Arial Narrow" w:cs="Arial Narrow"/>
          <w:bCs/>
          <w:color w:val="auto"/>
          <w:sz w:val="26"/>
          <w:szCs w:val="26"/>
          <w:lang w:val="es-CO"/>
        </w:rPr>
        <w:t xml:space="preserve"> de 2005</w:t>
      </w:r>
      <w:r w:rsidR="00AA5395" w:rsidRPr="002A66DA">
        <w:rPr>
          <w:rFonts w:ascii="Arial Narrow" w:hAnsi="Arial Narrow" w:cs="Arial Narrow"/>
          <w:bCs/>
          <w:color w:val="auto"/>
          <w:sz w:val="26"/>
          <w:szCs w:val="26"/>
          <w:lang w:val="es-CO"/>
        </w:rPr>
        <w:t xml:space="preserve">, de la Notaría </w:t>
      </w:r>
      <w:r w:rsidR="00854392" w:rsidRPr="002A66DA">
        <w:rPr>
          <w:rFonts w:ascii="Arial Narrow" w:hAnsi="Arial Narrow" w:cs="Arial Narrow"/>
          <w:bCs/>
          <w:color w:val="auto"/>
          <w:sz w:val="26"/>
          <w:szCs w:val="26"/>
          <w:lang w:val="es-CO"/>
        </w:rPr>
        <w:t>29 de Medellín, que protocoliza la fusión por absorción.</w:t>
      </w:r>
    </w:p>
    <w:p w14:paraId="12161DB0" w14:textId="77777777" w:rsidR="008827FC" w:rsidRPr="002A66DA" w:rsidRDefault="008827FC" w:rsidP="002A66DA">
      <w:pPr>
        <w:pStyle w:val="313"/>
        <w:spacing w:line="276" w:lineRule="auto"/>
        <w:jc w:val="both"/>
        <w:rPr>
          <w:rFonts w:ascii="Arial Narrow" w:hAnsi="Arial Narrow" w:cs="Arial Narrow"/>
          <w:bCs/>
          <w:color w:val="auto"/>
          <w:sz w:val="26"/>
          <w:szCs w:val="26"/>
          <w:lang w:val="es-CO"/>
        </w:rPr>
      </w:pPr>
    </w:p>
    <w:p w14:paraId="2DC5CBD2" w14:textId="581C308D" w:rsidR="008827FC" w:rsidRPr="002A66DA" w:rsidRDefault="00BF7FD0"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Lo anterior, aunado al texto del </w:t>
      </w:r>
      <w:r w:rsidR="008827FC" w:rsidRPr="002A66DA">
        <w:rPr>
          <w:rFonts w:ascii="Arial Narrow" w:hAnsi="Arial Narrow" w:cs="Arial Narrow"/>
          <w:bCs/>
          <w:color w:val="auto"/>
          <w:sz w:val="26"/>
          <w:szCs w:val="26"/>
          <w:lang w:val="es-CO"/>
        </w:rPr>
        <w:t xml:space="preserve">artículo 172 del </w:t>
      </w:r>
      <w:proofErr w:type="spellStart"/>
      <w:r w:rsidR="008827FC" w:rsidRPr="002A66DA">
        <w:rPr>
          <w:rFonts w:ascii="Arial Narrow" w:hAnsi="Arial Narrow" w:cs="Arial Narrow"/>
          <w:bCs/>
          <w:color w:val="auto"/>
          <w:sz w:val="26"/>
          <w:szCs w:val="26"/>
          <w:lang w:val="es-CO"/>
        </w:rPr>
        <w:t>C.Co</w:t>
      </w:r>
      <w:proofErr w:type="spellEnd"/>
      <w:r w:rsidRPr="002A66DA">
        <w:rPr>
          <w:rFonts w:ascii="Arial Narrow" w:hAnsi="Arial Narrow" w:cs="Arial Narrow"/>
          <w:bCs/>
          <w:color w:val="auto"/>
          <w:sz w:val="26"/>
          <w:szCs w:val="26"/>
          <w:lang w:val="es-CO"/>
        </w:rPr>
        <w:t>.</w:t>
      </w:r>
      <w:r w:rsidRPr="002A66DA">
        <w:rPr>
          <w:rStyle w:val="Refdenotaalpie"/>
          <w:rFonts w:ascii="Arial Narrow" w:hAnsi="Arial Narrow" w:cs="Arial Narrow"/>
          <w:bCs/>
          <w:color w:val="auto"/>
          <w:sz w:val="26"/>
          <w:szCs w:val="26"/>
          <w:lang w:val="es-CO"/>
        </w:rPr>
        <w:footnoteReference w:id="8"/>
      </w:r>
      <w:r w:rsidRPr="002A66DA">
        <w:rPr>
          <w:rFonts w:ascii="Arial Narrow" w:hAnsi="Arial Narrow" w:cs="Arial Narrow"/>
          <w:bCs/>
          <w:color w:val="auto"/>
          <w:sz w:val="26"/>
          <w:szCs w:val="26"/>
          <w:lang w:val="es-CO"/>
        </w:rPr>
        <w:t xml:space="preserve">, permite </w:t>
      </w:r>
      <w:r w:rsidR="00AE425C" w:rsidRPr="002A66DA">
        <w:rPr>
          <w:rFonts w:ascii="Arial Narrow" w:hAnsi="Arial Narrow" w:cs="Arial Narrow"/>
          <w:bCs/>
          <w:color w:val="auto"/>
          <w:sz w:val="26"/>
          <w:szCs w:val="26"/>
          <w:lang w:val="es-CO"/>
        </w:rPr>
        <w:t xml:space="preserve">inferir que </w:t>
      </w:r>
      <w:r w:rsidR="008827FC" w:rsidRPr="002A66DA">
        <w:rPr>
          <w:rFonts w:ascii="Arial Narrow" w:hAnsi="Arial Narrow" w:cs="Arial Narrow"/>
          <w:bCs/>
          <w:color w:val="auto"/>
          <w:sz w:val="26"/>
          <w:szCs w:val="26"/>
          <w:lang w:val="es-CO"/>
        </w:rPr>
        <w:t xml:space="preserve">Bancolombia es </w:t>
      </w:r>
      <w:r w:rsidR="00AE425C" w:rsidRPr="002A66DA">
        <w:rPr>
          <w:rFonts w:ascii="Arial Narrow" w:hAnsi="Arial Narrow" w:cs="Arial Narrow"/>
          <w:bCs/>
          <w:color w:val="auto"/>
          <w:sz w:val="26"/>
          <w:szCs w:val="26"/>
          <w:lang w:val="es-CO"/>
        </w:rPr>
        <w:t xml:space="preserve">el </w:t>
      </w:r>
      <w:r w:rsidR="008827FC" w:rsidRPr="002A66DA">
        <w:rPr>
          <w:rFonts w:ascii="Arial Narrow" w:hAnsi="Arial Narrow" w:cs="Arial Narrow"/>
          <w:bCs/>
          <w:color w:val="auto"/>
          <w:sz w:val="26"/>
          <w:szCs w:val="26"/>
          <w:lang w:val="es-CO"/>
        </w:rPr>
        <w:t>legítimo tenedor del pagaré</w:t>
      </w:r>
      <w:r w:rsidR="00AE425C" w:rsidRPr="002A66DA">
        <w:rPr>
          <w:rFonts w:ascii="Arial Narrow" w:hAnsi="Arial Narrow" w:cs="Arial Narrow"/>
          <w:bCs/>
          <w:color w:val="auto"/>
          <w:sz w:val="26"/>
          <w:szCs w:val="26"/>
          <w:lang w:val="es-CO"/>
        </w:rPr>
        <w:t xml:space="preserve"> </w:t>
      </w:r>
      <w:r w:rsidR="006563E1" w:rsidRPr="002A66DA">
        <w:rPr>
          <w:rFonts w:ascii="Arial Narrow" w:hAnsi="Arial Narrow" w:cs="Arial Narrow"/>
          <w:bCs/>
          <w:color w:val="auto"/>
          <w:sz w:val="26"/>
          <w:szCs w:val="26"/>
          <w:lang w:val="es-CO"/>
        </w:rPr>
        <w:t>base de recaudo</w:t>
      </w:r>
      <w:r w:rsidR="005C6D2C" w:rsidRPr="002A66DA">
        <w:rPr>
          <w:rFonts w:ascii="Arial Narrow" w:hAnsi="Arial Narrow" w:cs="Arial Narrow"/>
          <w:bCs/>
          <w:color w:val="auto"/>
          <w:sz w:val="26"/>
          <w:szCs w:val="26"/>
          <w:lang w:val="es-CO"/>
        </w:rPr>
        <w:t xml:space="preserve"> que </w:t>
      </w:r>
      <w:r w:rsidR="00671637" w:rsidRPr="002A66DA">
        <w:rPr>
          <w:rFonts w:ascii="Arial Narrow" w:hAnsi="Arial Narrow" w:cs="Arial Narrow"/>
          <w:bCs/>
          <w:color w:val="auto"/>
          <w:sz w:val="26"/>
          <w:szCs w:val="26"/>
          <w:lang w:val="es-CO"/>
        </w:rPr>
        <w:t>fue</w:t>
      </w:r>
      <w:r w:rsidR="005C6D2C" w:rsidRPr="002A66DA">
        <w:rPr>
          <w:rFonts w:ascii="Arial Narrow" w:hAnsi="Arial Narrow" w:cs="Arial Narrow"/>
          <w:bCs/>
          <w:color w:val="auto"/>
          <w:sz w:val="26"/>
          <w:szCs w:val="26"/>
          <w:lang w:val="es-CO"/>
        </w:rPr>
        <w:t xml:space="preserve"> exhibido para su cobro</w:t>
      </w:r>
      <w:r w:rsidR="006563E1" w:rsidRPr="002A66DA">
        <w:rPr>
          <w:rFonts w:ascii="Arial Narrow" w:hAnsi="Arial Narrow" w:cs="Arial Narrow"/>
          <w:bCs/>
          <w:color w:val="auto"/>
          <w:sz w:val="26"/>
          <w:szCs w:val="26"/>
          <w:lang w:val="es-CO"/>
        </w:rPr>
        <w:t>.</w:t>
      </w:r>
    </w:p>
    <w:p w14:paraId="057B5A4A" w14:textId="4978B4AE" w:rsidR="00E92635" w:rsidRPr="002A66DA" w:rsidRDefault="00E92635" w:rsidP="002A66DA">
      <w:pPr>
        <w:pStyle w:val="313"/>
        <w:spacing w:line="276" w:lineRule="auto"/>
        <w:jc w:val="both"/>
        <w:rPr>
          <w:rFonts w:ascii="Arial Narrow" w:hAnsi="Arial Narrow" w:cs="Arial Narrow"/>
          <w:bCs/>
          <w:color w:val="auto"/>
          <w:sz w:val="26"/>
          <w:szCs w:val="26"/>
          <w:lang w:val="es-CO"/>
        </w:rPr>
      </w:pPr>
    </w:p>
    <w:p w14:paraId="74F291E9" w14:textId="3E8CA19A" w:rsidR="004C5036" w:rsidRPr="002A66DA" w:rsidRDefault="004C5036"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Por el extremo pasivo, la legitimación radica en cabeza del señor VICENTE MURILLO AGUALIMPIA</w:t>
      </w:r>
      <w:r w:rsidR="00671637" w:rsidRPr="002A66DA">
        <w:rPr>
          <w:rFonts w:ascii="Arial Narrow" w:hAnsi="Arial Narrow" w:cs="Arial Narrow"/>
          <w:bCs/>
          <w:color w:val="auto"/>
          <w:sz w:val="26"/>
          <w:szCs w:val="26"/>
          <w:lang w:val="es-CO"/>
        </w:rPr>
        <w:t xml:space="preserve"> </w:t>
      </w:r>
      <w:r w:rsidR="00D46CE6" w:rsidRPr="002A66DA">
        <w:rPr>
          <w:rFonts w:ascii="Arial Narrow" w:hAnsi="Arial Narrow" w:cs="Arial Narrow"/>
          <w:bCs/>
          <w:color w:val="auto"/>
          <w:sz w:val="26"/>
          <w:szCs w:val="26"/>
          <w:lang w:val="es-CO"/>
        </w:rPr>
        <w:t xml:space="preserve">en </w:t>
      </w:r>
      <w:r w:rsidR="00E34DD4" w:rsidRPr="002A66DA">
        <w:rPr>
          <w:rFonts w:ascii="Arial Narrow" w:hAnsi="Arial Narrow" w:cs="Arial Narrow"/>
          <w:bCs/>
          <w:color w:val="auto"/>
          <w:sz w:val="26"/>
          <w:szCs w:val="26"/>
          <w:lang w:val="es-CO"/>
        </w:rPr>
        <w:t xml:space="preserve">su </w:t>
      </w:r>
      <w:r w:rsidR="00D46CE6" w:rsidRPr="002A66DA">
        <w:rPr>
          <w:rFonts w:ascii="Arial Narrow" w:hAnsi="Arial Narrow" w:cs="Arial Narrow"/>
          <w:bCs/>
          <w:color w:val="auto"/>
          <w:sz w:val="26"/>
          <w:szCs w:val="26"/>
          <w:lang w:val="es-CO"/>
        </w:rPr>
        <w:t>condición de</w:t>
      </w:r>
      <w:r w:rsidR="00125A7C" w:rsidRPr="002A66DA">
        <w:rPr>
          <w:rFonts w:ascii="Arial Narrow" w:hAnsi="Arial Narrow" w:cs="Arial Narrow"/>
          <w:bCs/>
          <w:color w:val="auto"/>
          <w:sz w:val="26"/>
          <w:szCs w:val="26"/>
          <w:lang w:val="es-CO"/>
        </w:rPr>
        <w:t xml:space="preserve"> otorgante y</w:t>
      </w:r>
      <w:r w:rsidR="00D46CE6" w:rsidRPr="002A66DA">
        <w:rPr>
          <w:rFonts w:ascii="Arial Narrow" w:hAnsi="Arial Narrow" w:cs="Arial Narrow"/>
          <w:bCs/>
          <w:color w:val="auto"/>
          <w:sz w:val="26"/>
          <w:szCs w:val="26"/>
          <w:lang w:val="es-CO"/>
        </w:rPr>
        <w:t xml:space="preserve"> obligado directo</w:t>
      </w:r>
      <w:r w:rsidR="00125A7C" w:rsidRPr="002A66DA">
        <w:rPr>
          <w:rFonts w:ascii="Arial Narrow" w:hAnsi="Arial Narrow" w:cs="Arial Narrow"/>
          <w:bCs/>
          <w:color w:val="auto"/>
          <w:sz w:val="26"/>
          <w:szCs w:val="26"/>
          <w:lang w:val="es-CO"/>
        </w:rPr>
        <w:t>,</w:t>
      </w:r>
      <w:r w:rsidR="00D46CE6" w:rsidRPr="002A66DA">
        <w:rPr>
          <w:rFonts w:ascii="Arial Narrow" w:hAnsi="Arial Narrow" w:cs="Arial Narrow"/>
          <w:bCs/>
          <w:color w:val="auto"/>
          <w:sz w:val="26"/>
          <w:szCs w:val="26"/>
          <w:lang w:val="es-CO"/>
        </w:rPr>
        <w:t xml:space="preserve"> </w:t>
      </w:r>
      <w:r w:rsidR="00E34DD4" w:rsidRPr="002A66DA">
        <w:rPr>
          <w:rFonts w:ascii="Arial Narrow" w:hAnsi="Arial Narrow" w:cs="Arial Narrow"/>
          <w:bCs/>
          <w:color w:val="auto"/>
          <w:sz w:val="26"/>
          <w:szCs w:val="26"/>
          <w:lang w:val="es-CO"/>
        </w:rPr>
        <w:t xml:space="preserve">y </w:t>
      </w:r>
      <w:r w:rsidR="00D42A90" w:rsidRPr="002A66DA">
        <w:rPr>
          <w:rFonts w:ascii="Arial Narrow" w:hAnsi="Arial Narrow" w:cs="Arial Narrow"/>
          <w:bCs/>
          <w:color w:val="auto"/>
          <w:sz w:val="26"/>
          <w:szCs w:val="26"/>
          <w:lang w:val="es-CO"/>
        </w:rPr>
        <w:t xml:space="preserve">actual </w:t>
      </w:r>
      <w:r w:rsidR="00E34DD4" w:rsidRPr="002A66DA">
        <w:rPr>
          <w:rFonts w:ascii="Arial Narrow" w:hAnsi="Arial Narrow" w:cs="Arial Narrow"/>
          <w:bCs/>
          <w:color w:val="auto"/>
          <w:sz w:val="26"/>
          <w:szCs w:val="26"/>
          <w:lang w:val="es-CO"/>
        </w:rPr>
        <w:t>propietario del</w:t>
      </w:r>
      <w:r w:rsidRPr="002A66DA">
        <w:rPr>
          <w:rFonts w:ascii="Arial Narrow" w:hAnsi="Arial Narrow" w:cs="Arial Narrow"/>
          <w:bCs/>
          <w:color w:val="auto"/>
          <w:sz w:val="26"/>
          <w:szCs w:val="26"/>
          <w:lang w:val="es-CO"/>
        </w:rPr>
        <w:t xml:space="preserve"> bien hipotecado, según consta en la anotación 14 del folio de matrícula inmobiliaria.</w:t>
      </w:r>
    </w:p>
    <w:p w14:paraId="1CAC711A" w14:textId="77777777" w:rsidR="005C6D2C" w:rsidRPr="002A66DA" w:rsidRDefault="005C6D2C" w:rsidP="002A66DA">
      <w:pPr>
        <w:pStyle w:val="313"/>
        <w:spacing w:line="276" w:lineRule="auto"/>
        <w:jc w:val="both"/>
        <w:rPr>
          <w:rFonts w:ascii="Arial Narrow" w:hAnsi="Arial Narrow" w:cs="Arial Narrow"/>
          <w:bCs/>
          <w:color w:val="auto"/>
          <w:sz w:val="26"/>
          <w:szCs w:val="26"/>
          <w:lang w:val="es-CO"/>
        </w:rPr>
      </w:pPr>
    </w:p>
    <w:p w14:paraId="0970FC39" w14:textId="2335D404" w:rsidR="00245B5C" w:rsidRPr="002A66DA" w:rsidRDefault="00BB695C" w:rsidP="002A66DA">
      <w:pPr>
        <w:pStyle w:val="Sinespaciado"/>
        <w:spacing w:line="276" w:lineRule="auto"/>
        <w:ind w:right="51"/>
        <w:jc w:val="both"/>
        <w:rPr>
          <w:rFonts w:ascii="Arial Narrow" w:hAnsi="Arial Narrow"/>
          <w:b/>
          <w:sz w:val="26"/>
          <w:szCs w:val="26"/>
        </w:rPr>
      </w:pPr>
      <w:r w:rsidRPr="002A66DA">
        <w:rPr>
          <w:rFonts w:ascii="Arial Narrow" w:hAnsi="Arial Narrow" w:cs="Arial Narrow"/>
          <w:b/>
          <w:sz w:val="26"/>
          <w:szCs w:val="26"/>
        </w:rPr>
        <w:t xml:space="preserve">2.  </w:t>
      </w:r>
      <w:r w:rsidR="00245B5C" w:rsidRPr="002A66DA">
        <w:rPr>
          <w:rFonts w:ascii="Arial Narrow" w:hAnsi="Arial Narrow"/>
          <w:b/>
          <w:sz w:val="26"/>
          <w:szCs w:val="26"/>
        </w:rPr>
        <w:t>Requisitos del título ejecutivo y control oficioso.</w:t>
      </w:r>
    </w:p>
    <w:p w14:paraId="4E88C516" w14:textId="77777777" w:rsidR="00245B5C" w:rsidRPr="002A66DA" w:rsidRDefault="00245B5C" w:rsidP="002A66DA">
      <w:pPr>
        <w:pStyle w:val="Sinespaciado"/>
        <w:spacing w:line="276" w:lineRule="auto"/>
        <w:ind w:right="51"/>
        <w:jc w:val="both"/>
        <w:rPr>
          <w:rFonts w:ascii="Arial Narrow" w:hAnsi="Arial Narrow"/>
          <w:bCs/>
          <w:i/>
          <w:iCs/>
          <w:sz w:val="26"/>
          <w:szCs w:val="26"/>
        </w:rPr>
      </w:pPr>
    </w:p>
    <w:p w14:paraId="7444B56F" w14:textId="787B7769" w:rsidR="00BF0FC8" w:rsidRPr="002A66DA" w:rsidRDefault="00BF0FC8" w:rsidP="002A66DA">
      <w:pPr>
        <w:pStyle w:val="Sinespaciado"/>
        <w:spacing w:line="276" w:lineRule="auto"/>
        <w:jc w:val="both"/>
        <w:rPr>
          <w:rFonts w:ascii="Arial Narrow" w:hAnsi="Arial Narrow"/>
          <w:i/>
          <w:iCs/>
          <w:sz w:val="26"/>
          <w:szCs w:val="26"/>
        </w:rPr>
      </w:pPr>
      <w:bookmarkStart w:id="2" w:name="_Hlk86411699"/>
      <w:r w:rsidRPr="002A66DA">
        <w:rPr>
          <w:rFonts w:ascii="Arial Narrow" w:hAnsi="Arial Narrow"/>
          <w:sz w:val="26"/>
          <w:szCs w:val="26"/>
        </w:rPr>
        <w:t xml:space="preserve">De antiguo la máxima Corporación dentro de la especialidad civil de la jurisdicción ordinaria ha sostenido: </w:t>
      </w:r>
      <w:r w:rsidRPr="002A66DA">
        <w:rPr>
          <w:rFonts w:ascii="Arial Narrow" w:hAnsi="Arial Narrow"/>
          <w:i/>
          <w:iCs/>
          <w:sz w:val="26"/>
          <w:szCs w:val="26"/>
        </w:rPr>
        <w:t>“</w:t>
      </w:r>
      <w:r w:rsidRPr="00155CD8">
        <w:rPr>
          <w:rFonts w:ascii="Arial Narrow" w:hAnsi="Arial Narrow"/>
          <w:i/>
          <w:iCs/>
          <w:szCs w:val="26"/>
        </w:rPr>
        <w:t>b) La orden de impulsar la ejecución, objeto de las sentencias que se profieren en los procesos ejecutivos, implica el previo y necesario análisis de las condiciones que le den eficacia al título ejecutivo, sin que en tal caso se encuentre el fallador limitado por el mandamiento de pago proferido al comienzo de la actuación procesal</w:t>
      </w:r>
      <w:bookmarkEnd w:id="2"/>
      <w:r w:rsidRPr="00155CD8">
        <w:rPr>
          <w:rFonts w:ascii="Arial Narrow" w:hAnsi="Arial Narrow"/>
          <w:i/>
          <w:iCs/>
          <w:szCs w:val="26"/>
        </w:rPr>
        <w:t>; por lo tanto, no funda la falta de competencia la discrepancia que pueda surgir entre la liminar orden de pago y la sentencia, que, con posterioridad, decida no llevar adelante la ejecución. por reputar que en el título aportado para, la misma no militan las condiciones pedidas por el artículo 488 del Código de Procedimiento Civil</w:t>
      </w:r>
      <w:r w:rsidRPr="002A66DA">
        <w:rPr>
          <w:rFonts w:ascii="Arial Narrow" w:hAnsi="Arial Narrow"/>
          <w:i/>
          <w:iCs/>
          <w:sz w:val="26"/>
          <w:szCs w:val="26"/>
        </w:rPr>
        <w:t>”.</w:t>
      </w:r>
      <w:r w:rsidRPr="002A66DA">
        <w:rPr>
          <w:rStyle w:val="Refdenotaalpie"/>
          <w:rFonts w:ascii="Arial Narrow" w:hAnsi="Arial Narrow"/>
          <w:i/>
          <w:iCs/>
          <w:sz w:val="26"/>
          <w:szCs w:val="26"/>
        </w:rPr>
        <w:footnoteReference w:id="9"/>
      </w:r>
    </w:p>
    <w:p w14:paraId="515F793E" w14:textId="77777777" w:rsidR="00BF0FC8" w:rsidRPr="002A66DA" w:rsidRDefault="00BF0FC8" w:rsidP="002A66DA">
      <w:pPr>
        <w:pStyle w:val="Sinespaciado"/>
        <w:spacing w:line="276" w:lineRule="auto"/>
        <w:ind w:left="426" w:right="476"/>
        <w:jc w:val="both"/>
        <w:rPr>
          <w:rFonts w:ascii="Arial Narrow" w:hAnsi="Arial Narrow"/>
          <w:i/>
          <w:iCs/>
          <w:sz w:val="26"/>
          <w:szCs w:val="26"/>
        </w:rPr>
      </w:pPr>
    </w:p>
    <w:p w14:paraId="39D07D10" w14:textId="533ED55C" w:rsidR="00245B5C" w:rsidRPr="002A66DA" w:rsidRDefault="00192488" w:rsidP="002A66DA">
      <w:pPr>
        <w:pStyle w:val="Sinespaciado"/>
        <w:spacing w:line="276" w:lineRule="auto"/>
        <w:ind w:right="51"/>
        <w:jc w:val="both"/>
        <w:rPr>
          <w:rFonts w:ascii="Arial Narrow" w:hAnsi="Arial Narrow"/>
          <w:bCs/>
          <w:sz w:val="26"/>
          <w:szCs w:val="26"/>
        </w:rPr>
      </w:pPr>
      <w:bookmarkStart w:id="3" w:name="_Hlk86411745"/>
      <w:r w:rsidRPr="002A66DA">
        <w:rPr>
          <w:rFonts w:ascii="Arial Narrow" w:hAnsi="Arial Narrow"/>
          <w:bCs/>
          <w:sz w:val="26"/>
          <w:szCs w:val="26"/>
        </w:rPr>
        <w:t>La anterior regla subsiste, aun a pesar de las reforma</w:t>
      </w:r>
      <w:r w:rsidR="00C819F8" w:rsidRPr="002A66DA">
        <w:rPr>
          <w:rFonts w:ascii="Arial Narrow" w:hAnsi="Arial Narrow"/>
          <w:bCs/>
          <w:sz w:val="26"/>
          <w:szCs w:val="26"/>
        </w:rPr>
        <w:t>s</w:t>
      </w:r>
      <w:r w:rsidRPr="002A66DA">
        <w:rPr>
          <w:rFonts w:ascii="Arial Narrow" w:hAnsi="Arial Narrow"/>
          <w:bCs/>
          <w:sz w:val="26"/>
          <w:szCs w:val="26"/>
        </w:rPr>
        <w:t xml:space="preserve"> legislativas que, c</w:t>
      </w:r>
      <w:r w:rsidR="00245B5C" w:rsidRPr="002A66DA">
        <w:rPr>
          <w:rFonts w:ascii="Arial Narrow" w:hAnsi="Arial Narrow"/>
          <w:bCs/>
          <w:sz w:val="26"/>
          <w:szCs w:val="26"/>
        </w:rPr>
        <w:t>on claro ánimo de agilizar el trámite procesal fincado en la lealtad procesal, exig</w:t>
      </w:r>
      <w:r w:rsidRPr="002A66DA">
        <w:rPr>
          <w:rFonts w:ascii="Arial Narrow" w:hAnsi="Arial Narrow"/>
          <w:bCs/>
          <w:sz w:val="26"/>
          <w:szCs w:val="26"/>
        </w:rPr>
        <w:t>en</w:t>
      </w:r>
      <w:r w:rsidR="00245B5C" w:rsidRPr="002A66DA">
        <w:rPr>
          <w:rFonts w:ascii="Arial Narrow" w:hAnsi="Arial Narrow"/>
          <w:bCs/>
          <w:sz w:val="26"/>
          <w:szCs w:val="26"/>
        </w:rPr>
        <w:t xml:space="preserve"> a la parte ejecutada controvertir los requisitos formales del título ejecutivo mediante el recurso de reposición de contra del </w:t>
      </w:r>
      <w:r w:rsidR="00245B5C" w:rsidRPr="002A66DA">
        <w:rPr>
          <w:rFonts w:ascii="Arial Narrow" w:hAnsi="Arial Narrow"/>
          <w:bCs/>
          <w:sz w:val="26"/>
          <w:szCs w:val="26"/>
        </w:rPr>
        <w:lastRenderedPageBreak/>
        <w:t>mandamiento de pago</w:t>
      </w:r>
      <w:bookmarkEnd w:id="3"/>
      <w:r w:rsidR="00B77CB6" w:rsidRPr="002A66DA">
        <w:rPr>
          <w:rFonts w:ascii="Arial Narrow" w:hAnsi="Arial Narrow"/>
          <w:bCs/>
          <w:sz w:val="26"/>
          <w:szCs w:val="26"/>
        </w:rPr>
        <w:t xml:space="preserve">. </w:t>
      </w:r>
      <w:r w:rsidR="00287FDB" w:rsidRPr="002A66DA">
        <w:rPr>
          <w:rFonts w:ascii="Arial Narrow" w:hAnsi="Arial Narrow"/>
          <w:bCs/>
          <w:sz w:val="26"/>
          <w:szCs w:val="26"/>
        </w:rPr>
        <w:t>Así,</w:t>
      </w:r>
      <w:r w:rsidR="00B77CB6" w:rsidRPr="002A66DA">
        <w:rPr>
          <w:rFonts w:ascii="Arial Narrow" w:hAnsi="Arial Narrow"/>
          <w:bCs/>
          <w:sz w:val="26"/>
          <w:szCs w:val="26"/>
        </w:rPr>
        <w:t xml:space="preserve"> por ejemplo,</w:t>
      </w:r>
      <w:r w:rsidR="00245B5C" w:rsidRPr="002A66DA">
        <w:rPr>
          <w:rFonts w:ascii="Arial Narrow" w:hAnsi="Arial Narrow"/>
          <w:bCs/>
          <w:sz w:val="26"/>
          <w:szCs w:val="26"/>
        </w:rPr>
        <w:t xml:space="preserve"> </w:t>
      </w:r>
      <w:r w:rsidR="00B77CB6" w:rsidRPr="002A66DA">
        <w:rPr>
          <w:rFonts w:ascii="Arial Narrow" w:hAnsi="Arial Narrow"/>
          <w:bCs/>
          <w:sz w:val="26"/>
          <w:szCs w:val="26"/>
        </w:rPr>
        <w:t xml:space="preserve">el artículo 29 de la Ley 1395 de 2010 </w:t>
      </w:r>
      <w:r w:rsidR="00245B5C" w:rsidRPr="002A66DA">
        <w:rPr>
          <w:rFonts w:ascii="Arial Narrow" w:hAnsi="Arial Narrow"/>
          <w:bCs/>
          <w:sz w:val="26"/>
          <w:szCs w:val="26"/>
        </w:rPr>
        <w:t>adicion</w:t>
      </w:r>
      <w:r w:rsidR="00B77CB6" w:rsidRPr="002A66DA">
        <w:rPr>
          <w:rFonts w:ascii="Arial Narrow" w:hAnsi="Arial Narrow"/>
          <w:bCs/>
          <w:sz w:val="26"/>
          <w:szCs w:val="26"/>
        </w:rPr>
        <w:t>ó</w:t>
      </w:r>
      <w:r w:rsidR="00245B5C" w:rsidRPr="002A66DA">
        <w:rPr>
          <w:rFonts w:ascii="Arial Narrow" w:hAnsi="Arial Narrow"/>
          <w:bCs/>
          <w:sz w:val="26"/>
          <w:szCs w:val="26"/>
        </w:rPr>
        <w:t xml:space="preserve"> el siguiente inciso al artículo 497 del C.P.C., vigente para cuando inició este proceso: </w:t>
      </w:r>
      <w:r w:rsidR="00245B5C" w:rsidRPr="002A66DA">
        <w:rPr>
          <w:rFonts w:ascii="Arial Narrow" w:hAnsi="Arial Narrow"/>
          <w:bCs/>
          <w:i/>
          <w:iCs/>
          <w:sz w:val="26"/>
          <w:szCs w:val="26"/>
        </w:rPr>
        <w:t>“</w:t>
      </w:r>
      <w:r w:rsidR="00245B5C" w:rsidRPr="00155CD8">
        <w:rPr>
          <w:rFonts w:ascii="Arial Narrow" w:hAnsi="Arial Narrow"/>
          <w:bCs/>
          <w:i/>
          <w:iCs/>
          <w:szCs w:val="26"/>
        </w:rPr>
        <w:t xml:space="preserve">Los requisitos formales del título ejecutivo solo podrán discutirse mediante recurso de reposición contra el mandamiento de pago. Con posterioridad, no se admitirá ninguna controversia sobre los requisitos del título, </w:t>
      </w:r>
      <w:r w:rsidR="00245B5C" w:rsidRPr="00155CD8">
        <w:rPr>
          <w:rFonts w:ascii="Arial Narrow" w:hAnsi="Arial Narrow"/>
          <w:bCs/>
          <w:i/>
          <w:iCs/>
          <w:szCs w:val="26"/>
          <w:u w:val="single"/>
        </w:rPr>
        <w:t>sin perjuicio del control oficioso de legalidad</w:t>
      </w:r>
      <w:r w:rsidR="00245B5C" w:rsidRPr="002A66DA">
        <w:rPr>
          <w:rFonts w:ascii="Arial Narrow" w:hAnsi="Arial Narrow"/>
          <w:bCs/>
          <w:i/>
          <w:iCs/>
          <w:sz w:val="26"/>
          <w:szCs w:val="26"/>
        </w:rPr>
        <w:t>”</w:t>
      </w:r>
      <w:r w:rsidR="00245B5C" w:rsidRPr="002A66DA">
        <w:rPr>
          <w:rFonts w:ascii="Arial Narrow" w:hAnsi="Arial Narrow"/>
          <w:bCs/>
          <w:sz w:val="26"/>
          <w:szCs w:val="26"/>
        </w:rPr>
        <w:t>. (se subraya)</w:t>
      </w:r>
    </w:p>
    <w:p w14:paraId="0E5AA402" w14:textId="5A1B6A97" w:rsidR="00245B5C" w:rsidRPr="002A66DA" w:rsidRDefault="00245B5C" w:rsidP="002A66DA">
      <w:pPr>
        <w:pStyle w:val="Sinespaciado"/>
        <w:spacing w:line="276" w:lineRule="auto"/>
        <w:ind w:right="476"/>
        <w:jc w:val="both"/>
        <w:rPr>
          <w:rFonts w:ascii="Arial Narrow" w:hAnsi="Arial Narrow"/>
          <w:bCs/>
          <w:sz w:val="26"/>
          <w:szCs w:val="26"/>
        </w:rPr>
      </w:pPr>
    </w:p>
    <w:p w14:paraId="68D501B6" w14:textId="2E690DC7" w:rsidR="00CD117B" w:rsidRPr="002A66DA" w:rsidRDefault="00881CAC" w:rsidP="002A66DA">
      <w:pPr>
        <w:pStyle w:val="Sinespaciado"/>
        <w:tabs>
          <w:tab w:val="left" w:pos="7655"/>
        </w:tabs>
        <w:spacing w:line="276" w:lineRule="auto"/>
        <w:ind w:right="51"/>
        <w:jc w:val="both"/>
        <w:rPr>
          <w:rFonts w:ascii="Arial Narrow" w:hAnsi="Arial Narrow"/>
          <w:bCs/>
          <w:sz w:val="26"/>
          <w:szCs w:val="26"/>
        </w:rPr>
      </w:pPr>
      <w:r w:rsidRPr="002A66DA">
        <w:rPr>
          <w:rFonts w:ascii="Arial Narrow" w:hAnsi="Arial Narrow"/>
          <w:bCs/>
          <w:sz w:val="26"/>
          <w:szCs w:val="26"/>
        </w:rPr>
        <w:t>En vigencia de esta norma</w:t>
      </w:r>
      <w:r w:rsidR="00A76D5E" w:rsidRPr="002A66DA">
        <w:rPr>
          <w:rFonts w:ascii="Arial Narrow" w:hAnsi="Arial Narrow"/>
          <w:bCs/>
          <w:sz w:val="26"/>
          <w:szCs w:val="26"/>
        </w:rPr>
        <w:t>, que es la aplicable a es</w:t>
      </w:r>
      <w:r w:rsidR="0038041D" w:rsidRPr="002A66DA">
        <w:rPr>
          <w:rFonts w:ascii="Arial Narrow" w:hAnsi="Arial Narrow"/>
          <w:bCs/>
          <w:sz w:val="26"/>
          <w:szCs w:val="26"/>
        </w:rPr>
        <w:t>te</w:t>
      </w:r>
      <w:r w:rsidR="00A76D5E" w:rsidRPr="002A66DA">
        <w:rPr>
          <w:rFonts w:ascii="Arial Narrow" w:hAnsi="Arial Narrow"/>
          <w:bCs/>
          <w:sz w:val="26"/>
          <w:szCs w:val="26"/>
        </w:rPr>
        <w:t xml:space="preserve"> caso que a</w:t>
      </w:r>
      <w:r w:rsidR="0038041D" w:rsidRPr="002A66DA">
        <w:rPr>
          <w:rFonts w:ascii="Arial Narrow" w:hAnsi="Arial Narrow"/>
          <w:bCs/>
          <w:sz w:val="26"/>
          <w:szCs w:val="26"/>
        </w:rPr>
        <w:t>ú</w:t>
      </w:r>
      <w:r w:rsidR="00A76D5E" w:rsidRPr="002A66DA">
        <w:rPr>
          <w:rFonts w:ascii="Arial Narrow" w:hAnsi="Arial Narrow"/>
          <w:bCs/>
          <w:sz w:val="26"/>
          <w:szCs w:val="26"/>
        </w:rPr>
        <w:t xml:space="preserve">n </w:t>
      </w:r>
      <w:r w:rsidR="0038041D" w:rsidRPr="002A66DA">
        <w:rPr>
          <w:rFonts w:ascii="Arial Narrow" w:hAnsi="Arial Narrow"/>
          <w:bCs/>
          <w:sz w:val="26"/>
          <w:szCs w:val="26"/>
        </w:rPr>
        <w:t xml:space="preserve">se tramita </w:t>
      </w:r>
      <w:r w:rsidR="00A76D5E" w:rsidRPr="002A66DA">
        <w:rPr>
          <w:rFonts w:ascii="Arial Narrow" w:hAnsi="Arial Narrow"/>
          <w:bCs/>
          <w:sz w:val="26"/>
          <w:szCs w:val="26"/>
        </w:rPr>
        <w:t xml:space="preserve">bajo el imperio del </w:t>
      </w:r>
      <w:r w:rsidR="0038041D" w:rsidRPr="002A66DA">
        <w:rPr>
          <w:rFonts w:ascii="Arial Narrow" w:hAnsi="Arial Narrow"/>
          <w:bCs/>
          <w:sz w:val="26"/>
          <w:szCs w:val="26"/>
        </w:rPr>
        <w:t>Código de Procedimiento Civil,</w:t>
      </w:r>
      <w:r w:rsidRPr="002A66DA">
        <w:rPr>
          <w:rFonts w:ascii="Arial Narrow" w:hAnsi="Arial Narrow"/>
          <w:bCs/>
          <w:sz w:val="26"/>
          <w:szCs w:val="26"/>
        </w:rPr>
        <w:t xml:space="preserve"> señalaba la Sala de Casación Civil de la Corte Suprema de Justicia</w:t>
      </w:r>
      <w:r w:rsidR="0038041D" w:rsidRPr="002A66DA">
        <w:rPr>
          <w:rFonts w:ascii="Arial Narrow" w:hAnsi="Arial Narrow"/>
          <w:bCs/>
          <w:sz w:val="26"/>
          <w:szCs w:val="26"/>
        </w:rPr>
        <w:t xml:space="preserve"> </w:t>
      </w:r>
      <w:r w:rsidRPr="002A66DA">
        <w:rPr>
          <w:rFonts w:ascii="Arial Narrow" w:hAnsi="Arial Narrow"/>
          <w:bCs/>
          <w:sz w:val="26"/>
          <w:szCs w:val="26"/>
        </w:rPr>
        <w:t>lo siguiente:</w:t>
      </w:r>
    </w:p>
    <w:p w14:paraId="392865BC" w14:textId="5DD3AB4C" w:rsidR="00881CAC" w:rsidRPr="002A66DA" w:rsidRDefault="00881CAC" w:rsidP="002A66DA">
      <w:pPr>
        <w:pStyle w:val="Sinespaciado"/>
        <w:spacing w:line="276" w:lineRule="auto"/>
        <w:ind w:right="476"/>
        <w:jc w:val="both"/>
        <w:rPr>
          <w:rFonts w:ascii="Arial Narrow" w:hAnsi="Arial Narrow"/>
          <w:bCs/>
          <w:sz w:val="26"/>
          <w:szCs w:val="26"/>
        </w:rPr>
      </w:pPr>
    </w:p>
    <w:p w14:paraId="1891CBC2" w14:textId="511EB3D3" w:rsidR="00881CAC" w:rsidRPr="00155CD8" w:rsidRDefault="00155CD8" w:rsidP="00155CD8">
      <w:pPr>
        <w:pStyle w:val="Sinespaciado"/>
        <w:ind w:left="426" w:right="420"/>
        <w:jc w:val="both"/>
        <w:rPr>
          <w:rFonts w:ascii="Arial Narrow" w:hAnsi="Arial Narrow"/>
          <w:bCs/>
          <w:i/>
          <w:iCs/>
          <w:szCs w:val="26"/>
        </w:rPr>
      </w:pPr>
      <w:r w:rsidRPr="00155CD8">
        <w:rPr>
          <w:rFonts w:ascii="Arial Narrow" w:hAnsi="Arial Narrow"/>
          <w:bCs/>
          <w:i/>
          <w:iCs/>
          <w:szCs w:val="26"/>
        </w:rPr>
        <w:t>“</w:t>
      </w:r>
      <w:r w:rsidR="00881CAC" w:rsidRPr="00155CD8">
        <w:rPr>
          <w:rFonts w:ascii="Arial Narrow" w:hAnsi="Arial Narrow"/>
          <w:bCs/>
          <w:i/>
          <w:iCs/>
          <w:szCs w:val="26"/>
        </w:rPr>
        <w:t xml:space="preserve">2. Desde antes, ha dicho la Sala, es deber del juez que conoce del proceso ejecutivo, al momento de proferir sentencia volver sobre los requisitos del título previstos en el artículo 488 del Código de Procedimiento Civil. Así, entre otros pronunciamientos, lo reiteró en sentencia de 3 de mayo de 2012 y posteriormente en la de 8 de noviembre de la misma anualidad, con respecto a lo cual señaló: </w:t>
      </w:r>
    </w:p>
    <w:p w14:paraId="2C4285B4" w14:textId="77777777" w:rsidR="00881CAC" w:rsidRPr="00155CD8" w:rsidRDefault="00881CAC" w:rsidP="00155CD8">
      <w:pPr>
        <w:pStyle w:val="Sinespaciado"/>
        <w:ind w:left="426" w:right="420"/>
        <w:jc w:val="both"/>
        <w:rPr>
          <w:rFonts w:ascii="Arial Narrow" w:hAnsi="Arial Narrow"/>
          <w:bCs/>
          <w:i/>
          <w:iCs/>
          <w:szCs w:val="26"/>
        </w:rPr>
      </w:pPr>
    </w:p>
    <w:p w14:paraId="0F101506" w14:textId="77777777" w:rsidR="00881CAC" w:rsidRPr="00155CD8" w:rsidRDefault="00881CAC" w:rsidP="00155CD8">
      <w:pPr>
        <w:pStyle w:val="Sinespaciado"/>
        <w:ind w:left="426" w:right="420"/>
        <w:jc w:val="both"/>
        <w:rPr>
          <w:rFonts w:ascii="Arial Narrow" w:hAnsi="Arial Narrow"/>
          <w:bCs/>
          <w:i/>
          <w:iCs/>
          <w:szCs w:val="26"/>
        </w:rPr>
      </w:pPr>
      <w:r w:rsidRPr="00155CD8">
        <w:rPr>
          <w:rFonts w:ascii="Arial Narrow" w:hAnsi="Arial Narrow"/>
          <w:bCs/>
          <w:i/>
          <w:iCs/>
          <w:szCs w:val="26"/>
        </w:rPr>
        <w:t xml:space="preserve">“En el presente asunto, el ataque de la accionante a la sentencia de segunda instancia, en punto al examen que hizo el Tribunal de los requisitos del título ejecutivo, carece de relevancia constitucional, en la medida que ese proceder no es contrario al ordenamiento jurídico, por cuanto ‘…en los procesos ejecutivos es deber del juez revisar los términos interlocutorios del mandamiento de pago, en orden a verificar que a pesar de haberse proferido, realmente se estructura el título ejecutivo, a fin de garantizar el principio de prevalencia del derecho sustancial consagrado en el artículo 228 superior y 4 del Código de Procedimiento Civil’(sentencia de 9 de abril de 2010, </w:t>
      </w:r>
      <w:proofErr w:type="spellStart"/>
      <w:r w:rsidRPr="00155CD8">
        <w:rPr>
          <w:rFonts w:ascii="Arial Narrow" w:hAnsi="Arial Narrow"/>
          <w:bCs/>
          <w:i/>
          <w:iCs/>
          <w:szCs w:val="26"/>
        </w:rPr>
        <w:t>exp</w:t>
      </w:r>
      <w:proofErr w:type="spellEnd"/>
      <w:r w:rsidRPr="00155CD8">
        <w:rPr>
          <w:rFonts w:ascii="Arial Narrow" w:hAnsi="Arial Narrow"/>
          <w:bCs/>
          <w:i/>
          <w:iCs/>
          <w:szCs w:val="26"/>
        </w:rPr>
        <w:t>. 11001-02-03-000-2010-00458-00)”.</w:t>
      </w:r>
    </w:p>
    <w:p w14:paraId="7703375B" w14:textId="77777777" w:rsidR="00881CAC" w:rsidRPr="00155CD8" w:rsidRDefault="00881CAC" w:rsidP="00155CD8">
      <w:pPr>
        <w:pStyle w:val="Sinespaciado"/>
        <w:ind w:left="426" w:right="420"/>
        <w:jc w:val="both"/>
        <w:rPr>
          <w:rFonts w:ascii="Arial Narrow" w:hAnsi="Arial Narrow"/>
          <w:bCs/>
          <w:i/>
          <w:iCs/>
          <w:szCs w:val="26"/>
        </w:rPr>
      </w:pPr>
    </w:p>
    <w:p w14:paraId="1C5F5FD3" w14:textId="11590EDA" w:rsidR="00881CAC" w:rsidRPr="00155CD8" w:rsidRDefault="00881CAC" w:rsidP="00155CD8">
      <w:pPr>
        <w:pStyle w:val="Sinespaciado"/>
        <w:ind w:left="426" w:right="420"/>
        <w:jc w:val="both"/>
        <w:rPr>
          <w:rFonts w:ascii="Arial Narrow" w:hAnsi="Arial Narrow"/>
          <w:bCs/>
          <w:i/>
          <w:iCs/>
          <w:szCs w:val="26"/>
        </w:rPr>
      </w:pPr>
      <w:r w:rsidRPr="00155CD8">
        <w:rPr>
          <w:rFonts w:ascii="Arial Narrow" w:hAnsi="Arial Narrow"/>
          <w:bCs/>
          <w:i/>
          <w:iCs/>
          <w:szCs w:val="26"/>
        </w:rPr>
        <w:t>“Sobre esta temática, la Sala ha indicado que ‘la orden de impulsar la ejecución, objeto de las sentencias que se profieran en los procesos ejecutivos, implica el previo y necesario análisis de las condiciones que le dan eficacia al título ejecutivo, sin que en tal caso se encuentre el fallador limitado por el mandamiento de pago proferido al comienzo de la actuación procesal; por lo tanto, no funda la falta de competencia la discrepancia que pueda surgir entre la preliminar orden de pago y la sentencia que, con posterioridad, decida no llevar adelante la ejecución por reputar que en el título aportado no militan las condiciones pedidas por el artículo 488 del C. de P. Civil” (G. J., tomo CXCII, pág. 134)’ (</w:t>
      </w:r>
      <w:proofErr w:type="spellStart"/>
      <w:r w:rsidRPr="00155CD8">
        <w:rPr>
          <w:rFonts w:ascii="Arial Narrow" w:hAnsi="Arial Narrow"/>
          <w:bCs/>
          <w:i/>
          <w:iCs/>
          <w:szCs w:val="26"/>
        </w:rPr>
        <w:t>exp</w:t>
      </w:r>
      <w:proofErr w:type="spellEnd"/>
      <w:r w:rsidRPr="00155CD8">
        <w:rPr>
          <w:rFonts w:ascii="Arial Narrow" w:hAnsi="Arial Narrow"/>
          <w:bCs/>
          <w:i/>
          <w:iCs/>
          <w:szCs w:val="26"/>
        </w:rPr>
        <w:t>. 11001-02-03-000-2012-00835-00).</w:t>
      </w:r>
      <w:r w:rsidR="0058141F" w:rsidRPr="00155CD8">
        <w:rPr>
          <w:rStyle w:val="Refdenotaalpie"/>
          <w:rFonts w:ascii="Arial Narrow" w:hAnsi="Arial Narrow"/>
          <w:bCs/>
          <w:i/>
          <w:iCs/>
          <w:szCs w:val="26"/>
        </w:rPr>
        <w:footnoteReference w:id="10"/>
      </w:r>
    </w:p>
    <w:p w14:paraId="42DA154E" w14:textId="437038AA" w:rsidR="00CD117B" w:rsidRPr="002A66DA" w:rsidRDefault="00CD117B" w:rsidP="002A66DA">
      <w:pPr>
        <w:pStyle w:val="Sinespaciado"/>
        <w:spacing w:line="276" w:lineRule="auto"/>
        <w:ind w:right="476"/>
        <w:jc w:val="both"/>
        <w:rPr>
          <w:rFonts w:ascii="Arial Narrow" w:hAnsi="Arial Narrow"/>
          <w:bCs/>
          <w:sz w:val="26"/>
          <w:szCs w:val="26"/>
        </w:rPr>
      </w:pPr>
    </w:p>
    <w:p w14:paraId="334BD4CE" w14:textId="2E37642F" w:rsidR="00245B5C" w:rsidRPr="002A66DA" w:rsidRDefault="001A5D0C" w:rsidP="002A66DA">
      <w:pPr>
        <w:pStyle w:val="Sinespaciado"/>
        <w:spacing w:line="276" w:lineRule="auto"/>
        <w:jc w:val="both"/>
        <w:rPr>
          <w:rFonts w:ascii="Arial Narrow" w:hAnsi="Arial Narrow"/>
          <w:b/>
          <w:bCs/>
          <w:sz w:val="26"/>
          <w:szCs w:val="26"/>
        </w:rPr>
      </w:pPr>
      <w:r w:rsidRPr="002A66DA">
        <w:rPr>
          <w:rFonts w:ascii="Arial Narrow" w:hAnsi="Arial Narrow"/>
          <w:b/>
          <w:bCs/>
          <w:sz w:val="26"/>
          <w:szCs w:val="26"/>
        </w:rPr>
        <w:t>3</w:t>
      </w:r>
      <w:r w:rsidR="00245B5C" w:rsidRPr="002A66DA">
        <w:rPr>
          <w:rFonts w:ascii="Arial Narrow" w:hAnsi="Arial Narrow"/>
          <w:b/>
          <w:bCs/>
          <w:sz w:val="26"/>
          <w:szCs w:val="26"/>
        </w:rPr>
        <w:t xml:space="preserve">. </w:t>
      </w:r>
      <w:r w:rsidRPr="002A66DA">
        <w:rPr>
          <w:rFonts w:ascii="Arial Narrow" w:hAnsi="Arial Narrow"/>
          <w:b/>
          <w:bCs/>
          <w:sz w:val="26"/>
          <w:szCs w:val="26"/>
        </w:rPr>
        <w:t>Reestructuración del crédito objeto de recaudo.</w:t>
      </w:r>
    </w:p>
    <w:p w14:paraId="7F2FC0DE" w14:textId="77777777" w:rsidR="00245B5C" w:rsidRPr="002A66DA" w:rsidRDefault="00245B5C" w:rsidP="002A66DA">
      <w:pPr>
        <w:pStyle w:val="Sinespaciado"/>
        <w:spacing w:line="276" w:lineRule="auto"/>
        <w:jc w:val="both"/>
        <w:rPr>
          <w:rFonts w:ascii="Arial Narrow" w:hAnsi="Arial Narrow"/>
          <w:b/>
          <w:bCs/>
          <w:sz w:val="26"/>
          <w:szCs w:val="26"/>
        </w:rPr>
      </w:pPr>
    </w:p>
    <w:p w14:paraId="66070346" w14:textId="6B81E1BD" w:rsidR="00245B5C" w:rsidRPr="002A66DA" w:rsidRDefault="00245B5C" w:rsidP="002A66DA">
      <w:pPr>
        <w:pStyle w:val="Sinespaciado"/>
        <w:spacing w:line="276" w:lineRule="auto"/>
        <w:jc w:val="both"/>
        <w:rPr>
          <w:rFonts w:ascii="Arial Narrow" w:hAnsi="Arial Narrow"/>
          <w:sz w:val="26"/>
          <w:szCs w:val="26"/>
        </w:rPr>
      </w:pPr>
      <w:r w:rsidRPr="002A66DA">
        <w:rPr>
          <w:rFonts w:ascii="Arial Narrow" w:hAnsi="Arial Narrow"/>
          <w:sz w:val="26"/>
          <w:szCs w:val="26"/>
        </w:rPr>
        <w:t xml:space="preserve">Como </w:t>
      </w:r>
      <w:r w:rsidR="001A5D0C" w:rsidRPr="002A66DA">
        <w:rPr>
          <w:rFonts w:ascii="Arial Narrow" w:hAnsi="Arial Narrow"/>
          <w:sz w:val="26"/>
          <w:szCs w:val="26"/>
        </w:rPr>
        <w:t xml:space="preserve">viene de verse, </w:t>
      </w:r>
      <w:bookmarkStart w:id="4" w:name="_Hlk86411836"/>
      <w:r w:rsidRPr="002A66DA">
        <w:rPr>
          <w:rFonts w:ascii="Arial Narrow" w:hAnsi="Arial Narrow"/>
          <w:sz w:val="26"/>
          <w:szCs w:val="26"/>
        </w:rPr>
        <w:t>el control oficioso de los requisitos del título resulta ser un deber, incluso del juez de segundo grado</w:t>
      </w:r>
      <w:r w:rsidR="007260F4" w:rsidRPr="002A66DA">
        <w:rPr>
          <w:rFonts w:ascii="Arial Narrow" w:hAnsi="Arial Narrow"/>
          <w:sz w:val="26"/>
          <w:szCs w:val="26"/>
        </w:rPr>
        <w:t xml:space="preserve"> según lo ha sostenido la Corte Suprema de Justicia</w:t>
      </w:r>
      <w:r w:rsidR="001A5D0C" w:rsidRPr="002A66DA">
        <w:rPr>
          <w:rFonts w:ascii="Arial Narrow" w:hAnsi="Arial Narrow"/>
          <w:sz w:val="26"/>
          <w:szCs w:val="26"/>
        </w:rPr>
        <w:t>. Por lo anterior,</w:t>
      </w:r>
      <w:r w:rsidRPr="002A66DA">
        <w:rPr>
          <w:rFonts w:ascii="Arial Narrow" w:hAnsi="Arial Narrow"/>
          <w:sz w:val="26"/>
          <w:szCs w:val="26"/>
        </w:rPr>
        <w:t xml:space="preserve"> resulta preciso que la Sala se ocupe ahora mismo del tema porque, auscultados los documentos que sirvieron de base a la ejecución, se concluye que en realidad ellos no reunían los requisitos de ley para proceder con la orden de apremio.</w:t>
      </w:r>
    </w:p>
    <w:bookmarkEnd w:id="4"/>
    <w:p w14:paraId="361593BC" w14:textId="77777777" w:rsidR="00245B5C" w:rsidRPr="002A66DA" w:rsidRDefault="00245B5C" w:rsidP="002A66DA">
      <w:pPr>
        <w:pStyle w:val="Sinespaciado"/>
        <w:spacing w:line="276" w:lineRule="auto"/>
        <w:jc w:val="both"/>
        <w:rPr>
          <w:rFonts w:ascii="Arial Narrow" w:hAnsi="Arial Narrow"/>
          <w:sz w:val="26"/>
          <w:szCs w:val="26"/>
        </w:rPr>
      </w:pPr>
    </w:p>
    <w:p w14:paraId="74D15E13" w14:textId="2FAE374D" w:rsidR="00245B5C" w:rsidRPr="002A66DA" w:rsidRDefault="008E0FAF" w:rsidP="002A66DA">
      <w:pPr>
        <w:pStyle w:val="Sinespaciado"/>
        <w:spacing w:line="276" w:lineRule="auto"/>
        <w:jc w:val="both"/>
        <w:rPr>
          <w:rFonts w:ascii="Arial Narrow" w:hAnsi="Arial Narrow"/>
          <w:sz w:val="26"/>
          <w:szCs w:val="26"/>
        </w:rPr>
      </w:pPr>
      <w:r w:rsidRPr="002A66DA">
        <w:rPr>
          <w:rFonts w:ascii="Arial Narrow" w:hAnsi="Arial Narrow"/>
          <w:sz w:val="26"/>
          <w:szCs w:val="26"/>
        </w:rPr>
        <w:t>Se explica lo anterior</w:t>
      </w:r>
      <w:r w:rsidR="00245B5C" w:rsidRPr="002A66DA">
        <w:rPr>
          <w:rFonts w:ascii="Arial Narrow" w:hAnsi="Arial Narrow"/>
          <w:sz w:val="26"/>
          <w:szCs w:val="26"/>
        </w:rPr>
        <w:t>:</w:t>
      </w:r>
    </w:p>
    <w:p w14:paraId="1419DAF6" w14:textId="77777777" w:rsidR="00EF38ED" w:rsidRPr="002A66DA" w:rsidRDefault="00EF38ED" w:rsidP="002A66DA">
      <w:pPr>
        <w:pStyle w:val="Sinespaciado"/>
        <w:spacing w:line="276" w:lineRule="auto"/>
        <w:jc w:val="both"/>
        <w:rPr>
          <w:rFonts w:ascii="Arial Narrow" w:hAnsi="Arial Narrow"/>
          <w:sz w:val="26"/>
          <w:szCs w:val="26"/>
        </w:rPr>
      </w:pPr>
    </w:p>
    <w:p w14:paraId="09525290" w14:textId="4636ACE9" w:rsidR="00EF38ED" w:rsidRPr="002A66DA" w:rsidRDefault="00EF38ED"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
          <w:color w:val="auto"/>
          <w:sz w:val="26"/>
          <w:szCs w:val="26"/>
          <w:lang w:val="es-CO"/>
        </w:rPr>
        <w:t xml:space="preserve">3.1 </w:t>
      </w:r>
      <w:r w:rsidRPr="002A66DA">
        <w:rPr>
          <w:rFonts w:ascii="Arial Narrow" w:hAnsi="Arial Narrow" w:cs="Arial Narrow"/>
          <w:bCs/>
          <w:color w:val="auto"/>
          <w:sz w:val="26"/>
          <w:szCs w:val="26"/>
          <w:lang w:val="es-CO"/>
        </w:rPr>
        <w:t xml:space="preserve">Alrededor de los problemas sociales y económicos causados por la Unidad de Poder Adquisitivo Constante (UPAC), en el marco de créditos hipotecarios destinados para compra de vivienda, en los finales de la década de los noventa se profirieron las siguientes sentencias, que </w:t>
      </w:r>
      <w:r w:rsidR="00B26756" w:rsidRPr="002A66DA">
        <w:rPr>
          <w:rFonts w:ascii="Arial Narrow" w:hAnsi="Arial Narrow" w:cs="Arial Narrow"/>
          <w:bCs/>
          <w:color w:val="auto"/>
          <w:sz w:val="26"/>
          <w:szCs w:val="26"/>
          <w:lang w:val="es-CO"/>
        </w:rPr>
        <w:t xml:space="preserve">marcaron el futuro </w:t>
      </w:r>
      <w:r w:rsidR="00A440C6" w:rsidRPr="002A66DA">
        <w:rPr>
          <w:rFonts w:ascii="Arial Narrow" w:hAnsi="Arial Narrow" w:cs="Arial Narrow"/>
          <w:bCs/>
          <w:color w:val="auto"/>
          <w:sz w:val="26"/>
          <w:szCs w:val="26"/>
          <w:lang w:val="es-CO"/>
        </w:rPr>
        <w:t>de esta modalidad de financiación:</w:t>
      </w:r>
      <w:r w:rsidRPr="002A66DA">
        <w:rPr>
          <w:rFonts w:ascii="Arial Narrow" w:hAnsi="Arial Narrow" w:cs="Arial Narrow"/>
          <w:bCs/>
          <w:color w:val="auto"/>
          <w:sz w:val="26"/>
          <w:szCs w:val="26"/>
          <w:lang w:val="es-CO"/>
        </w:rPr>
        <w:t xml:space="preserve"> Sentencia 9280 del 21 de mayo del 1999 </w:t>
      </w:r>
      <w:r w:rsidRPr="002A66DA">
        <w:rPr>
          <w:rFonts w:ascii="Arial Narrow" w:hAnsi="Arial Narrow" w:cs="Arial Narrow"/>
          <w:bCs/>
          <w:color w:val="auto"/>
          <w:sz w:val="26"/>
          <w:szCs w:val="26"/>
          <w:lang w:val="es-CO"/>
        </w:rPr>
        <w:lastRenderedPageBreak/>
        <w:t>proferida por el Consejo de Estado</w:t>
      </w:r>
      <w:r w:rsidRPr="002A66DA">
        <w:rPr>
          <w:rStyle w:val="Refdenotaalpie"/>
          <w:rFonts w:ascii="Arial Narrow" w:hAnsi="Arial Narrow" w:cs="Arial Narrow"/>
          <w:bCs/>
          <w:color w:val="auto"/>
          <w:sz w:val="26"/>
          <w:szCs w:val="26"/>
          <w:lang w:val="es-CO"/>
        </w:rPr>
        <w:footnoteReference w:id="11"/>
      </w:r>
      <w:r w:rsidRPr="002A66DA">
        <w:rPr>
          <w:rFonts w:ascii="Arial Narrow" w:hAnsi="Arial Narrow" w:cs="Arial Narrow"/>
          <w:bCs/>
          <w:color w:val="auto"/>
          <w:sz w:val="26"/>
          <w:szCs w:val="26"/>
          <w:lang w:val="es-CO"/>
        </w:rPr>
        <w:t xml:space="preserve">, Sentencia C-383, C-700 y C-747 de 1999, todas de la Corte Constitucional. </w:t>
      </w:r>
    </w:p>
    <w:p w14:paraId="36361A68" w14:textId="77777777" w:rsidR="00EF38ED" w:rsidRPr="002A66DA" w:rsidRDefault="00EF38ED" w:rsidP="002A66DA">
      <w:pPr>
        <w:pStyle w:val="313"/>
        <w:spacing w:line="276" w:lineRule="auto"/>
        <w:jc w:val="both"/>
        <w:rPr>
          <w:rFonts w:ascii="Arial Narrow" w:hAnsi="Arial Narrow" w:cs="Arial Narrow"/>
          <w:bCs/>
          <w:color w:val="auto"/>
          <w:sz w:val="26"/>
          <w:szCs w:val="26"/>
          <w:lang w:val="es-CO"/>
        </w:rPr>
      </w:pPr>
    </w:p>
    <w:p w14:paraId="549FD52E" w14:textId="340309EB" w:rsidR="00EF38ED" w:rsidRPr="002A66DA" w:rsidRDefault="00EF38ED" w:rsidP="002A66DA">
      <w:pPr>
        <w:pStyle w:val="313"/>
        <w:spacing w:line="276" w:lineRule="auto"/>
        <w:jc w:val="both"/>
        <w:rPr>
          <w:rFonts w:ascii="Arial Narrow" w:hAnsi="Arial Narrow"/>
          <w:color w:val="2D2D2D"/>
          <w:sz w:val="26"/>
          <w:szCs w:val="26"/>
          <w:shd w:val="clear" w:color="auto" w:fill="FFFFFF"/>
          <w:lang w:val="es-CO"/>
        </w:rPr>
      </w:pPr>
      <w:r w:rsidRPr="002A66DA">
        <w:rPr>
          <w:rFonts w:ascii="Arial Narrow" w:hAnsi="Arial Narrow" w:cs="Arial Narrow"/>
          <w:bCs/>
          <w:color w:val="auto"/>
          <w:sz w:val="26"/>
          <w:szCs w:val="26"/>
          <w:lang w:val="es-CO"/>
        </w:rPr>
        <w:t xml:space="preserve">En la C-383, se declaró inexequible parte del literal f del artículo 16 de la Ley 31 de 1992, que señalaba como función de la Junta Directiva del Banco de la República, fijar la metodología para calcular la UPAC, </w:t>
      </w:r>
      <w:r w:rsidRPr="002A66DA">
        <w:rPr>
          <w:rFonts w:ascii="Arial Narrow" w:hAnsi="Arial Narrow" w:cs="Arial Narrow"/>
          <w:bCs/>
          <w:color w:val="auto"/>
          <w:sz w:val="26"/>
          <w:szCs w:val="26"/>
          <w:u w:val="single"/>
          <w:lang w:val="es-CO"/>
        </w:rPr>
        <w:t>procurando que reflejara los movimientos de la tasa de interés en la economía</w:t>
      </w:r>
      <w:r w:rsidRPr="002A66DA">
        <w:rPr>
          <w:rFonts w:ascii="Arial Narrow" w:hAnsi="Arial Narrow" w:cs="Arial Narrow"/>
          <w:bCs/>
          <w:color w:val="auto"/>
          <w:sz w:val="26"/>
          <w:szCs w:val="26"/>
          <w:lang w:val="es-CO"/>
        </w:rPr>
        <w:t xml:space="preserve">, (subrayado inexequible); entendiendo que ello implica </w:t>
      </w:r>
      <w:r w:rsidRPr="002A66DA">
        <w:rPr>
          <w:rFonts w:ascii="Arial Narrow" w:hAnsi="Arial Narrow" w:cs="Arial Narrow"/>
          <w:bCs/>
          <w:i/>
          <w:iCs/>
          <w:color w:val="auto"/>
          <w:sz w:val="26"/>
          <w:szCs w:val="26"/>
          <w:lang w:val="es-CO"/>
        </w:rPr>
        <w:t>“</w:t>
      </w:r>
      <w:r w:rsidRPr="00155CD8">
        <w:rPr>
          <w:rFonts w:ascii="Arial Narrow" w:hAnsi="Arial Narrow" w:cs="Arial Narrow"/>
          <w:bCs/>
          <w:i/>
          <w:iCs/>
          <w:color w:val="auto"/>
          <w:sz w:val="24"/>
          <w:szCs w:val="26"/>
          <w:lang w:val="es-CO"/>
        </w:rPr>
        <w:t>…</w:t>
      </w:r>
      <w:r w:rsidR="00155CD8" w:rsidRPr="00155CD8">
        <w:rPr>
          <w:rFonts w:ascii="Arial Narrow" w:hAnsi="Arial Narrow" w:cs="Arial Narrow"/>
          <w:bCs/>
          <w:i/>
          <w:iCs/>
          <w:color w:val="auto"/>
          <w:sz w:val="24"/>
          <w:szCs w:val="26"/>
          <w:lang w:val="es-CO"/>
        </w:rPr>
        <w:t xml:space="preserve"> </w:t>
      </w:r>
      <w:r w:rsidRPr="00155CD8">
        <w:rPr>
          <w:rFonts w:ascii="Arial Narrow" w:hAnsi="Arial Narrow"/>
          <w:i/>
          <w:iCs/>
          <w:color w:val="2D2D2D"/>
          <w:sz w:val="24"/>
          <w:szCs w:val="26"/>
          <w:shd w:val="clear" w:color="auto" w:fill="FFFFFF"/>
          <w:lang w:val="es-CO"/>
        </w:rPr>
        <w:t>que la corrección monetaria se realice incluyendo en ella la variación de las tasas de interés en el mercado financiero, lo cual conduce a que se introduzca para el efecto un nuevo factor, el de rendimiento del dinero, es decir los réditos que este produce, que resulta ajeno a la actualización del valor adquisitivo de la moneda, pues, como se sabe son cosas distintas el dinero y el precio que paga por su utilización, el cual se determina por las tasas de interés</w:t>
      </w:r>
      <w:r w:rsidRPr="002A66DA">
        <w:rPr>
          <w:rFonts w:ascii="Arial Narrow" w:hAnsi="Arial Narrow"/>
          <w:i/>
          <w:iCs/>
          <w:color w:val="2D2D2D"/>
          <w:sz w:val="26"/>
          <w:szCs w:val="26"/>
          <w:shd w:val="clear" w:color="auto" w:fill="FFFFFF"/>
          <w:lang w:val="es-CO"/>
        </w:rPr>
        <w:t xml:space="preserve">.” </w:t>
      </w:r>
      <w:r w:rsidRPr="002A66DA">
        <w:rPr>
          <w:rFonts w:ascii="Arial Narrow" w:hAnsi="Arial Narrow"/>
          <w:color w:val="2D2D2D"/>
          <w:sz w:val="26"/>
          <w:szCs w:val="26"/>
          <w:shd w:val="clear" w:color="auto" w:fill="FFFFFF"/>
          <w:lang w:val="es-CO"/>
        </w:rPr>
        <w:t>. Significando que esa disposición “</w:t>
      </w:r>
      <w:r w:rsidRPr="00155CD8">
        <w:rPr>
          <w:rFonts w:ascii="Arial Narrow" w:hAnsi="Arial Narrow"/>
          <w:i/>
          <w:iCs/>
          <w:color w:val="2D2D2D"/>
          <w:sz w:val="24"/>
          <w:szCs w:val="26"/>
          <w:shd w:val="clear" w:color="auto" w:fill="FFFFFF"/>
          <w:lang w:val="es-CO"/>
        </w:rPr>
        <w:t>… no puede tener aplicación alguna, tanto en lo que respecta a la liquidación, a partir de este fallo, de nuevas cuotas causadas por créditos adquiridos con anterioridad y en lo que respecta a los créditos futuros, pues esta sentencia es "de obligatorio cumplimiento para todas las autoridades y los particulares", de acuerdo con lo dispuesto por el artículo 21 del Decreto 2067 de 1991</w:t>
      </w:r>
      <w:r w:rsidRPr="002A66DA">
        <w:rPr>
          <w:rFonts w:ascii="Arial Narrow" w:hAnsi="Arial Narrow"/>
          <w:i/>
          <w:iCs/>
          <w:color w:val="2D2D2D"/>
          <w:sz w:val="26"/>
          <w:szCs w:val="26"/>
          <w:shd w:val="clear" w:color="auto" w:fill="FFFFFF"/>
          <w:lang w:val="es-CO"/>
        </w:rPr>
        <w:t>.”</w:t>
      </w:r>
    </w:p>
    <w:p w14:paraId="12C237E8" w14:textId="77777777" w:rsidR="00EF38ED" w:rsidRPr="002A66DA" w:rsidRDefault="00EF38ED" w:rsidP="002A66DA">
      <w:pPr>
        <w:pStyle w:val="313"/>
        <w:spacing w:line="276" w:lineRule="auto"/>
        <w:jc w:val="both"/>
        <w:rPr>
          <w:rFonts w:ascii="Arial Narrow" w:hAnsi="Arial Narrow"/>
          <w:color w:val="2D2D2D"/>
          <w:sz w:val="26"/>
          <w:szCs w:val="26"/>
          <w:shd w:val="clear" w:color="auto" w:fill="FFFFFF"/>
          <w:lang w:val="es-CO"/>
        </w:rPr>
      </w:pPr>
    </w:p>
    <w:p w14:paraId="3FE76BDD" w14:textId="736A8C23" w:rsidR="00EF38ED" w:rsidRPr="002A66DA" w:rsidRDefault="00EF38ED"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Por su parte, la sentencia C- 700, declaró inexequibles los artículos 8, 19, 20, 21, 22, 23, 134, 135, 136, 137, 138, 139 y 140 del Decreto 663 de 1993, que constituían la base estructural del sistema UPAC, con efectos diferidos hasta tanto el 20 junio del año 2000, o hasta tanto se determinara una debida protección del derecho a vivienda digna (art. 51 de la Carta nacional) en el contexto de los créditos para ese propósito</w:t>
      </w:r>
      <w:r w:rsidRPr="002A66DA">
        <w:rPr>
          <w:rFonts w:ascii="Arial Narrow" w:hAnsi="Arial Narrow"/>
          <w:sz w:val="26"/>
          <w:szCs w:val="26"/>
          <w:lang w:val="es-CO"/>
        </w:rPr>
        <w:t xml:space="preserve"> </w:t>
      </w:r>
      <w:r w:rsidRPr="002A66DA">
        <w:rPr>
          <w:rFonts w:ascii="Arial Narrow" w:hAnsi="Arial Narrow" w:cs="Arial Narrow"/>
          <w:bCs/>
          <w:color w:val="auto"/>
          <w:sz w:val="26"/>
          <w:szCs w:val="26"/>
          <w:lang w:val="es-CO"/>
        </w:rPr>
        <w:t>sin perjuicio de que, “</w:t>
      </w:r>
      <w:r w:rsidRPr="00155CD8">
        <w:rPr>
          <w:rFonts w:ascii="Arial Narrow" w:hAnsi="Arial Narrow" w:cs="Arial Narrow"/>
          <w:bCs/>
          <w:i/>
          <w:iCs/>
          <w:color w:val="auto"/>
          <w:sz w:val="24"/>
          <w:szCs w:val="26"/>
          <w:lang w:val="es-CO"/>
        </w:rPr>
        <w:t>en forma inmediata, se dé estricto, completo e inmediato cumplimiento a lo ordenado por esta Corte en Sentencia C-383 del 27 de mayo de 1999, sobre la fijación y liquidación de los factores que inciden en el cálculo y cobro de las unidades de poder adquisitivo constante UPAC, tal como lo dispone su parte motiva, que es inseparable de la resolutiva y, por tanto obligatoria</w:t>
      </w:r>
      <w:r w:rsidRPr="002A66DA">
        <w:rPr>
          <w:rFonts w:ascii="Arial Narrow" w:hAnsi="Arial Narrow" w:cs="Arial Narrow"/>
          <w:bCs/>
          <w:color w:val="auto"/>
          <w:sz w:val="26"/>
          <w:szCs w:val="26"/>
          <w:lang w:val="es-CO"/>
        </w:rPr>
        <w:t>”.</w:t>
      </w:r>
    </w:p>
    <w:p w14:paraId="2C21DA0C" w14:textId="77777777" w:rsidR="00EF38ED" w:rsidRPr="002A66DA" w:rsidRDefault="00EF38ED" w:rsidP="002A66DA">
      <w:pPr>
        <w:pStyle w:val="313"/>
        <w:spacing w:line="276" w:lineRule="auto"/>
        <w:jc w:val="both"/>
        <w:rPr>
          <w:rFonts w:ascii="Arial Narrow" w:hAnsi="Arial Narrow" w:cs="Arial Narrow"/>
          <w:bCs/>
          <w:color w:val="auto"/>
          <w:sz w:val="26"/>
          <w:szCs w:val="26"/>
          <w:lang w:val="es-CO"/>
        </w:rPr>
      </w:pPr>
    </w:p>
    <w:p w14:paraId="29B6D341" w14:textId="0A1118A3" w:rsidR="00EF38ED" w:rsidRPr="002A66DA" w:rsidRDefault="00EF38ED"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En la sentencia C-747, </w:t>
      </w:r>
      <w:r w:rsidR="006775C9" w:rsidRPr="002A66DA">
        <w:rPr>
          <w:rFonts w:ascii="Arial Narrow" w:hAnsi="Arial Narrow" w:cs="Arial Narrow"/>
          <w:bCs/>
          <w:color w:val="auto"/>
          <w:sz w:val="26"/>
          <w:szCs w:val="26"/>
          <w:lang w:val="es-CO"/>
        </w:rPr>
        <w:t xml:space="preserve">también se declaró la </w:t>
      </w:r>
      <w:proofErr w:type="spellStart"/>
      <w:r w:rsidR="006775C9" w:rsidRPr="002A66DA">
        <w:rPr>
          <w:rFonts w:ascii="Arial Narrow" w:hAnsi="Arial Narrow" w:cs="Arial Narrow"/>
          <w:bCs/>
          <w:color w:val="auto"/>
          <w:sz w:val="26"/>
          <w:szCs w:val="26"/>
          <w:lang w:val="es-CO"/>
        </w:rPr>
        <w:t>inexiquibilidad</w:t>
      </w:r>
      <w:proofErr w:type="spellEnd"/>
      <w:r w:rsidR="006775C9" w:rsidRPr="002A66DA">
        <w:rPr>
          <w:rFonts w:ascii="Arial Narrow" w:hAnsi="Arial Narrow" w:cs="Arial Narrow"/>
          <w:bCs/>
          <w:color w:val="auto"/>
          <w:sz w:val="26"/>
          <w:szCs w:val="26"/>
          <w:lang w:val="es-CO"/>
        </w:rPr>
        <w:t xml:space="preserve">, </w:t>
      </w:r>
      <w:r w:rsidRPr="002A66DA">
        <w:rPr>
          <w:rFonts w:ascii="Arial Narrow" w:hAnsi="Arial Narrow" w:cs="Arial Narrow"/>
          <w:bCs/>
          <w:color w:val="auto"/>
          <w:sz w:val="26"/>
          <w:szCs w:val="26"/>
          <w:lang w:val="es-CO"/>
        </w:rPr>
        <w:t xml:space="preserve">en </w:t>
      </w:r>
      <w:r w:rsidR="006775C9" w:rsidRPr="002A66DA">
        <w:rPr>
          <w:rFonts w:ascii="Arial Narrow" w:hAnsi="Arial Narrow" w:cs="Arial Narrow"/>
          <w:bCs/>
          <w:color w:val="auto"/>
          <w:sz w:val="26"/>
          <w:szCs w:val="26"/>
          <w:lang w:val="es-CO"/>
        </w:rPr>
        <w:t xml:space="preserve">similares </w:t>
      </w:r>
      <w:r w:rsidRPr="002A66DA">
        <w:rPr>
          <w:rFonts w:ascii="Arial Narrow" w:hAnsi="Arial Narrow" w:cs="Arial Narrow"/>
          <w:bCs/>
          <w:color w:val="auto"/>
          <w:sz w:val="26"/>
          <w:szCs w:val="26"/>
          <w:lang w:val="es-CO"/>
        </w:rPr>
        <w:t>términos</w:t>
      </w:r>
      <w:r w:rsidR="006775C9" w:rsidRPr="002A66DA">
        <w:rPr>
          <w:rFonts w:ascii="Arial Narrow" w:hAnsi="Arial Narrow" w:cs="Arial Narrow"/>
          <w:bCs/>
          <w:color w:val="auto"/>
          <w:sz w:val="26"/>
          <w:szCs w:val="26"/>
          <w:lang w:val="es-CO"/>
        </w:rPr>
        <w:t>, de algunos</w:t>
      </w:r>
      <w:r w:rsidRPr="002A66DA">
        <w:rPr>
          <w:rFonts w:ascii="Arial Narrow" w:hAnsi="Arial Narrow" w:cs="Arial Narrow"/>
          <w:bCs/>
          <w:color w:val="auto"/>
          <w:sz w:val="26"/>
          <w:szCs w:val="26"/>
          <w:lang w:val="es-CO"/>
        </w:rPr>
        <w:t xml:space="preserve"> apartes del artículo 121 de la misma normatividad, en concreto su numeral tercero, así como la expresión "</w:t>
      </w:r>
      <w:r w:rsidRPr="00155CD8">
        <w:rPr>
          <w:rFonts w:ascii="Arial Narrow" w:hAnsi="Arial Narrow" w:cs="Arial Narrow"/>
          <w:bCs/>
          <w:color w:val="auto"/>
          <w:sz w:val="24"/>
          <w:szCs w:val="26"/>
          <w:lang w:val="es-CO"/>
        </w:rPr>
        <w:t>que contemplen la capitalización de intereses</w:t>
      </w:r>
      <w:r w:rsidRPr="002A66DA">
        <w:rPr>
          <w:rFonts w:ascii="Arial Narrow" w:hAnsi="Arial Narrow" w:cs="Arial Narrow"/>
          <w:bCs/>
          <w:color w:val="auto"/>
          <w:sz w:val="26"/>
          <w:szCs w:val="26"/>
          <w:lang w:val="es-CO"/>
        </w:rPr>
        <w:t xml:space="preserve">" contenida en </w:t>
      </w:r>
      <w:r w:rsidR="006775C9" w:rsidRPr="002A66DA">
        <w:rPr>
          <w:rFonts w:ascii="Arial Narrow" w:hAnsi="Arial Narrow" w:cs="Arial Narrow"/>
          <w:bCs/>
          <w:color w:val="auto"/>
          <w:sz w:val="26"/>
          <w:szCs w:val="26"/>
          <w:lang w:val="es-CO"/>
        </w:rPr>
        <w:t>su</w:t>
      </w:r>
      <w:r w:rsidRPr="002A66DA">
        <w:rPr>
          <w:rFonts w:ascii="Arial Narrow" w:hAnsi="Arial Narrow" w:cs="Arial Narrow"/>
          <w:bCs/>
          <w:color w:val="auto"/>
          <w:sz w:val="26"/>
          <w:szCs w:val="26"/>
          <w:lang w:val="es-CO"/>
        </w:rPr>
        <w:t xml:space="preserve"> numeral primero, únicamente en cuanto a los créditos para la financiación de vivienda a largo plazo.</w:t>
      </w:r>
    </w:p>
    <w:p w14:paraId="65D336BC" w14:textId="77777777" w:rsidR="00EF38ED" w:rsidRPr="002A66DA" w:rsidRDefault="00EF38ED" w:rsidP="002A66DA">
      <w:pPr>
        <w:pStyle w:val="313"/>
        <w:spacing w:line="276" w:lineRule="auto"/>
        <w:jc w:val="both"/>
        <w:rPr>
          <w:rFonts w:ascii="Arial Narrow" w:hAnsi="Arial Narrow" w:cs="Arial Narrow"/>
          <w:bCs/>
          <w:color w:val="auto"/>
          <w:sz w:val="26"/>
          <w:szCs w:val="26"/>
          <w:lang w:val="es-CO"/>
        </w:rPr>
      </w:pPr>
    </w:p>
    <w:p w14:paraId="50FE5EA6" w14:textId="7DF81D56" w:rsidR="008E4CE6" w:rsidRPr="002A66DA" w:rsidRDefault="00804EB3" w:rsidP="002A66DA">
      <w:pPr>
        <w:pStyle w:val="313"/>
        <w:spacing w:line="276" w:lineRule="auto"/>
        <w:jc w:val="both"/>
        <w:rPr>
          <w:rFonts w:ascii="Arial Narrow" w:hAnsi="Arial Narrow" w:cs="Arial"/>
          <w:iCs/>
          <w:sz w:val="26"/>
          <w:szCs w:val="26"/>
          <w:lang w:val="es-CO"/>
        </w:rPr>
      </w:pPr>
      <w:r w:rsidRPr="002A66DA">
        <w:rPr>
          <w:rFonts w:ascii="Arial Narrow" w:hAnsi="Arial Narrow" w:cs="Arial Narrow"/>
          <w:b/>
          <w:color w:val="auto"/>
          <w:sz w:val="26"/>
          <w:szCs w:val="26"/>
          <w:lang w:val="es-CO"/>
        </w:rPr>
        <w:t xml:space="preserve">3.2 </w:t>
      </w:r>
      <w:r w:rsidRPr="002A66DA">
        <w:rPr>
          <w:rFonts w:ascii="Arial Narrow" w:hAnsi="Arial Narrow" w:cs="Arial Narrow"/>
          <w:bCs/>
          <w:color w:val="auto"/>
          <w:sz w:val="26"/>
          <w:szCs w:val="26"/>
          <w:lang w:val="es-CO"/>
        </w:rPr>
        <w:t>El Congreso de la República profirió la Ley 546 de 1999</w:t>
      </w:r>
      <w:r w:rsidRPr="002A66DA">
        <w:rPr>
          <w:rStyle w:val="Refdenotaalpie"/>
          <w:rFonts w:ascii="Arial Narrow" w:hAnsi="Arial Narrow" w:cs="Arial Narrow"/>
          <w:bCs/>
          <w:color w:val="auto"/>
          <w:sz w:val="26"/>
          <w:szCs w:val="26"/>
          <w:lang w:val="es-CO"/>
        </w:rPr>
        <w:footnoteReference w:id="12"/>
      </w:r>
      <w:r w:rsidRPr="002A66DA">
        <w:rPr>
          <w:rFonts w:ascii="Arial Narrow" w:hAnsi="Arial Narrow" w:cs="Arial Narrow"/>
          <w:bCs/>
          <w:color w:val="auto"/>
          <w:sz w:val="26"/>
          <w:szCs w:val="26"/>
          <w:lang w:val="es-CO"/>
        </w:rPr>
        <w:t xml:space="preserve">, donde se adoptó la Unidad de Valor Real (UVR) como unidad de cuenta para mantener el poder adquisitivo de la moneda en los créditos de vivienda, por el largo plazo que en ellos se concede. Su valor en pesos se determina únicamente con base en la inflación. </w:t>
      </w:r>
      <w:r w:rsidR="008E4CE6" w:rsidRPr="002A66DA">
        <w:rPr>
          <w:rFonts w:ascii="Arial Narrow" w:hAnsi="Arial Narrow" w:cs="Arial"/>
          <w:iCs/>
          <w:sz w:val="26"/>
          <w:szCs w:val="26"/>
          <w:lang w:val="es-CO"/>
        </w:rPr>
        <w:t xml:space="preserve">En esa Ley no solo se reguló el nuevo sistema para la financiación de vivienda. Además, se incluyeron normas relacionadas con la transición del antiguo sistema UPAC al nuevo en UVR, </w:t>
      </w:r>
      <w:r w:rsidR="006A59EC" w:rsidRPr="002A66DA">
        <w:rPr>
          <w:rFonts w:ascii="Arial Narrow" w:hAnsi="Arial Narrow" w:cs="Arial"/>
          <w:iCs/>
          <w:sz w:val="26"/>
          <w:szCs w:val="26"/>
          <w:lang w:val="es-CO"/>
        </w:rPr>
        <w:t>cánones</w:t>
      </w:r>
      <w:r w:rsidR="008E4CE6" w:rsidRPr="002A66DA">
        <w:rPr>
          <w:rFonts w:ascii="Arial Narrow" w:hAnsi="Arial Narrow" w:cs="Arial"/>
          <w:iCs/>
          <w:sz w:val="26"/>
          <w:szCs w:val="26"/>
          <w:lang w:val="es-CO"/>
        </w:rPr>
        <w:t xml:space="preserve"> que siguieron un claro derrotero: que quienes vieron afectados su patrimonio por el inminente peligro de perder su vivienda adquirida bajo el antiguo sistema de financiación -declarado inconstitucional-, pudieran conservar sus viviendas</w:t>
      </w:r>
      <w:r w:rsidR="008E4CE6" w:rsidRPr="002A66DA">
        <w:rPr>
          <w:rStyle w:val="Refdenotaalpie"/>
          <w:rFonts w:ascii="Arial Narrow" w:hAnsi="Arial Narrow" w:cs="Arial"/>
          <w:iCs/>
          <w:sz w:val="26"/>
          <w:szCs w:val="26"/>
        </w:rPr>
        <w:footnoteReference w:id="13"/>
      </w:r>
      <w:r w:rsidR="008E4CE6" w:rsidRPr="002A66DA">
        <w:rPr>
          <w:rFonts w:ascii="Arial Narrow" w:hAnsi="Arial Narrow" w:cs="Arial"/>
          <w:iCs/>
          <w:sz w:val="26"/>
          <w:szCs w:val="26"/>
          <w:lang w:val="es-CO"/>
        </w:rPr>
        <w:t xml:space="preserve">. </w:t>
      </w:r>
    </w:p>
    <w:p w14:paraId="113D0F29" w14:textId="77777777" w:rsidR="00804EB3" w:rsidRPr="002A66DA" w:rsidRDefault="00804EB3" w:rsidP="002A66DA">
      <w:pPr>
        <w:widowControl w:val="0"/>
        <w:spacing w:line="276" w:lineRule="auto"/>
        <w:ind w:right="44"/>
        <w:jc w:val="both"/>
        <w:rPr>
          <w:rFonts w:ascii="Arial Narrow" w:hAnsi="Arial Narrow" w:cs="Arial"/>
          <w:iCs/>
          <w:sz w:val="26"/>
          <w:szCs w:val="26"/>
        </w:rPr>
      </w:pPr>
    </w:p>
    <w:p w14:paraId="096D1F3E" w14:textId="7988D414" w:rsidR="00804EB3" w:rsidRPr="002A66DA" w:rsidRDefault="00804EB3" w:rsidP="002A66DA">
      <w:pPr>
        <w:widowControl w:val="0"/>
        <w:spacing w:line="276" w:lineRule="auto"/>
        <w:ind w:right="44"/>
        <w:jc w:val="both"/>
        <w:rPr>
          <w:rFonts w:ascii="Arial Narrow" w:hAnsi="Arial Narrow" w:cs="Arial"/>
          <w:iCs/>
          <w:sz w:val="26"/>
          <w:szCs w:val="26"/>
        </w:rPr>
      </w:pPr>
      <w:r w:rsidRPr="002A66DA">
        <w:rPr>
          <w:rFonts w:ascii="Arial Narrow" w:hAnsi="Arial Narrow" w:cs="Arial"/>
          <w:iCs/>
          <w:sz w:val="26"/>
          <w:szCs w:val="26"/>
        </w:rPr>
        <w:t xml:space="preserve">Dentro de esas normas de transición, por ejemplo, el artículo 38 estableció la </w:t>
      </w:r>
      <w:r w:rsidRPr="002A66DA">
        <w:rPr>
          <w:rFonts w:ascii="Arial Narrow" w:hAnsi="Arial Narrow" w:cs="Arial"/>
          <w:bCs/>
          <w:iCs/>
          <w:sz w:val="26"/>
          <w:szCs w:val="26"/>
        </w:rPr>
        <w:t>redenominación</w:t>
      </w:r>
      <w:r w:rsidRPr="002A66DA">
        <w:rPr>
          <w:rFonts w:ascii="Arial Narrow" w:hAnsi="Arial Narrow" w:cs="Arial"/>
          <w:iCs/>
          <w:sz w:val="26"/>
          <w:szCs w:val="26"/>
        </w:rPr>
        <w:t xml:space="preserve">, y el artículo 42 la </w:t>
      </w:r>
      <w:r w:rsidRPr="002A66DA">
        <w:rPr>
          <w:rFonts w:ascii="Arial Narrow" w:hAnsi="Arial Narrow" w:cs="Arial"/>
          <w:bCs/>
          <w:iCs/>
          <w:sz w:val="26"/>
          <w:szCs w:val="26"/>
        </w:rPr>
        <w:t>reliquidación</w:t>
      </w:r>
      <w:r w:rsidRPr="002A66DA">
        <w:rPr>
          <w:rFonts w:ascii="Arial Narrow" w:hAnsi="Arial Narrow" w:cs="Arial"/>
          <w:iCs/>
          <w:sz w:val="26"/>
          <w:szCs w:val="26"/>
        </w:rPr>
        <w:t xml:space="preserve"> y la </w:t>
      </w:r>
      <w:r w:rsidRPr="002A66DA">
        <w:rPr>
          <w:rFonts w:ascii="Arial Narrow" w:hAnsi="Arial Narrow" w:cs="Arial"/>
          <w:b/>
          <w:iCs/>
          <w:sz w:val="26"/>
          <w:szCs w:val="26"/>
        </w:rPr>
        <w:t>reestructuración</w:t>
      </w:r>
      <w:r w:rsidRPr="002A66DA">
        <w:rPr>
          <w:rFonts w:ascii="Arial Narrow" w:hAnsi="Arial Narrow" w:cs="Arial"/>
          <w:iCs/>
          <w:sz w:val="26"/>
          <w:szCs w:val="26"/>
        </w:rPr>
        <w:t xml:space="preserve"> de los créditos hipotecarios otorgados en el antiguo sistema.</w:t>
      </w:r>
    </w:p>
    <w:p w14:paraId="3A5441C0" w14:textId="77777777" w:rsidR="00804EB3" w:rsidRPr="002A66DA" w:rsidRDefault="00804EB3" w:rsidP="002A66DA">
      <w:pPr>
        <w:widowControl w:val="0"/>
        <w:spacing w:line="276" w:lineRule="auto"/>
        <w:ind w:right="44"/>
        <w:jc w:val="both"/>
        <w:rPr>
          <w:rFonts w:ascii="Arial Narrow" w:hAnsi="Arial Narrow" w:cs="Arial"/>
          <w:iCs/>
          <w:sz w:val="26"/>
          <w:szCs w:val="26"/>
        </w:rPr>
      </w:pPr>
    </w:p>
    <w:p w14:paraId="4D6B2D61" w14:textId="097DAEC0" w:rsidR="00804EB3" w:rsidRPr="002A66DA" w:rsidRDefault="00804EB3" w:rsidP="002A66DA">
      <w:pPr>
        <w:widowControl w:val="0"/>
        <w:spacing w:line="276" w:lineRule="auto"/>
        <w:ind w:right="44"/>
        <w:jc w:val="both"/>
        <w:rPr>
          <w:rFonts w:ascii="Arial Narrow" w:hAnsi="Arial Narrow" w:cs="Arial"/>
          <w:iCs/>
          <w:sz w:val="26"/>
          <w:szCs w:val="26"/>
        </w:rPr>
      </w:pPr>
      <w:r w:rsidRPr="002A66DA">
        <w:rPr>
          <w:rFonts w:ascii="Arial Narrow" w:hAnsi="Arial Narrow" w:cs="Arial"/>
          <w:iCs/>
          <w:sz w:val="26"/>
          <w:szCs w:val="26"/>
        </w:rPr>
        <w:t xml:space="preserve">En cuanto acá interesa, la </w:t>
      </w:r>
      <w:r w:rsidRPr="002A66DA">
        <w:rPr>
          <w:rFonts w:ascii="Arial Narrow" w:hAnsi="Arial Narrow" w:cs="Arial"/>
          <w:b/>
          <w:iCs/>
          <w:sz w:val="26"/>
          <w:szCs w:val="26"/>
        </w:rPr>
        <w:t>reestructuración</w:t>
      </w:r>
      <w:r w:rsidRPr="002A66DA">
        <w:rPr>
          <w:rFonts w:ascii="Arial Narrow" w:hAnsi="Arial Narrow" w:cs="Arial"/>
          <w:bCs/>
          <w:iCs/>
          <w:sz w:val="26"/>
          <w:szCs w:val="26"/>
        </w:rPr>
        <w:t xml:space="preserve"> </w:t>
      </w:r>
      <w:r w:rsidRPr="002A66DA">
        <w:rPr>
          <w:rFonts w:ascii="Arial Narrow" w:hAnsi="Arial Narrow" w:cs="Arial"/>
          <w:iCs/>
          <w:sz w:val="26"/>
          <w:szCs w:val="26"/>
        </w:rPr>
        <w:t>corresponde al resultado de las negociaciones que deben realizar las partes a efectos de ajustar el saldo de la deuda luego del proceso de reliquidación, a las reales capacidades económicas de los obligados y a la aplicabilidad de</w:t>
      </w:r>
      <w:r w:rsidR="00CF4726" w:rsidRPr="002A66DA">
        <w:rPr>
          <w:rFonts w:ascii="Arial Narrow" w:hAnsi="Arial Narrow" w:cs="Arial"/>
          <w:iCs/>
          <w:sz w:val="26"/>
          <w:szCs w:val="26"/>
        </w:rPr>
        <w:t xml:space="preserve"> un</w:t>
      </w:r>
      <w:r w:rsidRPr="002A66DA">
        <w:rPr>
          <w:rFonts w:ascii="Arial Narrow" w:hAnsi="Arial Narrow" w:cs="Arial"/>
          <w:iCs/>
          <w:sz w:val="26"/>
          <w:szCs w:val="26"/>
        </w:rPr>
        <w:t xml:space="preserve"> sistema de amortización de los aprobados</w:t>
      </w:r>
      <w:r w:rsidR="001715F5" w:rsidRPr="002A66DA">
        <w:rPr>
          <w:rFonts w:ascii="Arial Narrow" w:hAnsi="Arial Narrow" w:cs="Arial"/>
          <w:iCs/>
          <w:sz w:val="26"/>
          <w:szCs w:val="26"/>
        </w:rPr>
        <w:t>,</w:t>
      </w:r>
      <w:r w:rsidRPr="002A66DA">
        <w:rPr>
          <w:rFonts w:ascii="Arial Narrow" w:hAnsi="Arial Narrow" w:cs="Arial"/>
          <w:iCs/>
          <w:sz w:val="26"/>
          <w:szCs w:val="26"/>
        </w:rPr>
        <w:t xml:space="preserve"> que ellos escojan con libertad.</w:t>
      </w:r>
    </w:p>
    <w:p w14:paraId="23B8B8C8" w14:textId="77777777" w:rsidR="00804EB3" w:rsidRPr="002A66DA" w:rsidRDefault="00804EB3" w:rsidP="002A66DA">
      <w:pPr>
        <w:widowControl w:val="0"/>
        <w:spacing w:line="276" w:lineRule="auto"/>
        <w:ind w:right="44"/>
        <w:jc w:val="both"/>
        <w:rPr>
          <w:rFonts w:ascii="Arial Narrow" w:hAnsi="Arial Narrow" w:cs="Arial"/>
          <w:iCs/>
          <w:sz w:val="26"/>
          <w:szCs w:val="26"/>
        </w:rPr>
      </w:pPr>
    </w:p>
    <w:p w14:paraId="0095A2A2" w14:textId="77777777" w:rsidR="00804EB3" w:rsidRPr="002A66DA" w:rsidRDefault="00804EB3" w:rsidP="002A66DA">
      <w:pPr>
        <w:widowControl w:val="0"/>
        <w:spacing w:line="276" w:lineRule="auto"/>
        <w:ind w:right="44"/>
        <w:jc w:val="both"/>
        <w:rPr>
          <w:rFonts w:ascii="Arial Narrow" w:hAnsi="Arial Narrow" w:cs="Arial"/>
          <w:i/>
          <w:iCs/>
          <w:sz w:val="26"/>
          <w:szCs w:val="26"/>
        </w:rPr>
      </w:pPr>
      <w:r w:rsidRPr="002A66DA">
        <w:rPr>
          <w:rFonts w:ascii="Arial Narrow" w:hAnsi="Arial Narrow" w:cs="Arial"/>
          <w:iCs/>
          <w:sz w:val="26"/>
          <w:szCs w:val="26"/>
        </w:rPr>
        <w:t>De la argumentación de la sentencia SU-813 de 2007 de la Corte Constitucional se infiere con claridad la diferencia entre la reliquidación y la reestructuración del crédito. En esa sentencia, luego de disponer la práctica de la reliquidación, esa alta Corporación ordenó a la entidad financiera ejecutante la reestructuración del saldo de la obligación vigente al 31 de diciembre de 1999, teniendo en cuenta criterios de favorabilidad y viabilidad del crédito, así como la situación económica actual del actor y sus preferencias, advirtiendo que “</w:t>
      </w:r>
      <w:r w:rsidRPr="00155CD8">
        <w:rPr>
          <w:rFonts w:ascii="Arial Narrow" w:hAnsi="Arial Narrow" w:cs="Arial"/>
          <w:b/>
          <w:i/>
          <w:iCs/>
          <w:szCs w:val="26"/>
          <w:u w:val="single"/>
        </w:rPr>
        <w:t>No será exigible la obligación financiera hasta tanto no termine el proceso de reestructuración</w:t>
      </w:r>
      <w:r w:rsidRPr="002A66DA">
        <w:rPr>
          <w:rFonts w:ascii="Arial Narrow" w:hAnsi="Arial Narrow" w:cs="Arial"/>
          <w:b/>
          <w:i/>
          <w:iCs/>
          <w:sz w:val="26"/>
          <w:szCs w:val="26"/>
          <w:u w:val="single"/>
        </w:rPr>
        <w:t>”</w:t>
      </w:r>
      <w:r w:rsidRPr="002A66DA">
        <w:rPr>
          <w:rFonts w:ascii="Arial Narrow" w:hAnsi="Arial Narrow" w:cs="Arial"/>
          <w:i/>
          <w:iCs/>
          <w:sz w:val="26"/>
          <w:szCs w:val="26"/>
        </w:rPr>
        <w:t>.</w:t>
      </w:r>
    </w:p>
    <w:p w14:paraId="078CC964" w14:textId="77777777" w:rsidR="00804EB3" w:rsidRPr="002A66DA" w:rsidRDefault="00804EB3" w:rsidP="002A66DA">
      <w:pPr>
        <w:widowControl w:val="0"/>
        <w:spacing w:line="276" w:lineRule="auto"/>
        <w:ind w:right="-434"/>
        <w:jc w:val="both"/>
        <w:rPr>
          <w:rFonts w:ascii="Arial Narrow" w:hAnsi="Arial Narrow" w:cs="Arial"/>
          <w:iCs/>
          <w:sz w:val="26"/>
          <w:szCs w:val="26"/>
        </w:rPr>
      </w:pPr>
    </w:p>
    <w:p w14:paraId="3F16BF12" w14:textId="77777777" w:rsidR="00804EB3" w:rsidRPr="002A66DA" w:rsidRDefault="00804EB3" w:rsidP="002A66DA">
      <w:pPr>
        <w:widowControl w:val="0"/>
        <w:spacing w:line="276" w:lineRule="auto"/>
        <w:ind w:right="44"/>
        <w:jc w:val="both"/>
        <w:rPr>
          <w:rFonts w:ascii="Arial Narrow" w:hAnsi="Arial Narrow" w:cs="Arial"/>
          <w:iCs/>
          <w:sz w:val="26"/>
          <w:szCs w:val="26"/>
        </w:rPr>
      </w:pPr>
      <w:r w:rsidRPr="002A66DA">
        <w:rPr>
          <w:rFonts w:ascii="Arial Narrow" w:hAnsi="Arial Narrow" w:cs="Arial"/>
          <w:iCs/>
          <w:sz w:val="26"/>
          <w:szCs w:val="26"/>
        </w:rPr>
        <w:t>En la sentencia SU-787 de 11 de octubre de 2012 esa misma Corporación señaló sobre los procesos ejecutivos iniciados antes del 31 de diciembre de 1999, que una vez “</w:t>
      </w:r>
      <w:r w:rsidRPr="00155CD8">
        <w:rPr>
          <w:rFonts w:ascii="Arial Narrow" w:hAnsi="Arial Narrow" w:cs="Arial"/>
          <w:i/>
          <w:iCs/>
          <w:szCs w:val="26"/>
        </w:rPr>
        <w:t>realizada la reliquidación del crédito y aplicados los alivios correspondientes, terminan por ministerio de la ley; (ii) si cumplidas las anteriores condiciones subsiste un saldo insoluto, deudor y acreedor deben llegar a un acuerdo de reestructuración; (iii) a falta de acuerdo, la reestructuración debe hacerse directamente por la entidad crediticia, de acuerdo con los parámetros legales, jurisprudencialmente delimitados y, (iv) cuando cumplidas las anteriores condiciones se advierta por el juez, o que existen otros procesos ejecutivos en curso contra el deudor, por obligaciones diferentes, o que no obstante la reestructuración, el deudor carece de la capacidad financiera para asumir la obligación, se exceptúa el mandato de dar por terminado el proceso, el cual continuará, en el estado en el que se encontraba, por el saldo insoluto de la obligación</w:t>
      </w:r>
      <w:r w:rsidRPr="002A66DA">
        <w:rPr>
          <w:rFonts w:ascii="Arial Narrow" w:hAnsi="Arial Narrow" w:cs="Arial"/>
          <w:i/>
          <w:iCs/>
          <w:sz w:val="26"/>
          <w:szCs w:val="26"/>
        </w:rPr>
        <w:t>”</w:t>
      </w:r>
      <w:r w:rsidRPr="002A66DA">
        <w:rPr>
          <w:rFonts w:ascii="Arial Narrow" w:hAnsi="Arial Narrow" w:cs="Arial"/>
          <w:iCs/>
          <w:sz w:val="26"/>
          <w:szCs w:val="26"/>
        </w:rPr>
        <w:t>.</w:t>
      </w:r>
    </w:p>
    <w:p w14:paraId="66ACEE4A" w14:textId="77777777" w:rsidR="00804EB3" w:rsidRPr="002A66DA" w:rsidRDefault="00804EB3" w:rsidP="002A66DA">
      <w:pPr>
        <w:widowControl w:val="0"/>
        <w:spacing w:line="276" w:lineRule="auto"/>
        <w:ind w:right="44"/>
        <w:jc w:val="both"/>
        <w:rPr>
          <w:rFonts w:ascii="Arial Narrow" w:hAnsi="Arial Narrow" w:cs="Arial"/>
          <w:iCs/>
          <w:sz w:val="26"/>
          <w:szCs w:val="26"/>
        </w:rPr>
      </w:pPr>
    </w:p>
    <w:p w14:paraId="133E7FD3" w14:textId="62477843" w:rsidR="00804EB3" w:rsidRPr="002A66DA" w:rsidRDefault="00804EB3" w:rsidP="002A66DA">
      <w:pPr>
        <w:widowControl w:val="0"/>
        <w:spacing w:line="276" w:lineRule="auto"/>
        <w:ind w:right="44"/>
        <w:jc w:val="both"/>
        <w:rPr>
          <w:rFonts w:ascii="Arial Narrow" w:hAnsi="Arial Narrow" w:cs="Arial"/>
          <w:b/>
          <w:bCs/>
          <w:sz w:val="26"/>
          <w:szCs w:val="26"/>
        </w:rPr>
      </w:pPr>
      <w:r w:rsidRPr="002A66DA">
        <w:rPr>
          <w:rFonts w:ascii="Arial Narrow" w:hAnsi="Arial Narrow" w:cs="Arial"/>
          <w:sz w:val="26"/>
          <w:szCs w:val="26"/>
        </w:rPr>
        <w:t>La Corte Suprema de Justicia en su Sala de Casación Civil cuando menos desde el año 2011</w:t>
      </w:r>
      <w:r w:rsidRPr="002A66DA">
        <w:rPr>
          <w:rStyle w:val="Refdenotaalpie"/>
          <w:rFonts w:ascii="Arial Narrow" w:hAnsi="Arial Narrow" w:cs="Arial"/>
          <w:sz w:val="26"/>
          <w:szCs w:val="26"/>
        </w:rPr>
        <w:footnoteReference w:id="14"/>
      </w:r>
      <w:r w:rsidRPr="002A66DA">
        <w:rPr>
          <w:rFonts w:ascii="Arial Narrow" w:hAnsi="Arial Narrow" w:cs="Arial"/>
          <w:sz w:val="26"/>
          <w:szCs w:val="26"/>
        </w:rPr>
        <w:t xml:space="preserve"> adoptó como criterio que, tratándose de procesos ejecutivos hipotecarios que versen sobre créditos pactados en UPAC, o en pesos que lleven implícito el componente DTF, </w:t>
      </w:r>
      <w:r w:rsidRPr="002A66DA">
        <w:rPr>
          <w:rFonts w:ascii="Arial Narrow" w:hAnsi="Arial Narrow" w:cs="Arial"/>
          <w:b/>
          <w:bCs/>
          <w:sz w:val="26"/>
          <w:szCs w:val="26"/>
        </w:rPr>
        <w:t>cuando no se acredita la reestructuración el título valor</w:t>
      </w:r>
      <w:r w:rsidR="00587721" w:rsidRPr="002A66DA">
        <w:rPr>
          <w:rFonts w:ascii="Arial Narrow" w:hAnsi="Arial Narrow" w:cs="Arial"/>
          <w:b/>
          <w:bCs/>
          <w:sz w:val="26"/>
          <w:szCs w:val="26"/>
        </w:rPr>
        <w:t xml:space="preserve"> es inexigible</w:t>
      </w:r>
      <w:r w:rsidRPr="002A66DA">
        <w:rPr>
          <w:rFonts w:ascii="Arial Narrow" w:hAnsi="Arial Narrow" w:cs="Arial"/>
          <w:b/>
          <w:bCs/>
          <w:sz w:val="26"/>
          <w:szCs w:val="26"/>
        </w:rPr>
        <w:t xml:space="preserve">. </w:t>
      </w:r>
    </w:p>
    <w:p w14:paraId="5FBA8D8E" w14:textId="77777777" w:rsidR="00804EB3" w:rsidRPr="002A66DA" w:rsidRDefault="00804EB3" w:rsidP="002A66DA">
      <w:pPr>
        <w:widowControl w:val="0"/>
        <w:spacing w:line="276" w:lineRule="auto"/>
        <w:ind w:right="44"/>
        <w:jc w:val="both"/>
        <w:rPr>
          <w:rFonts w:ascii="Arial Narrow" w:hAnsi="Arial Narrow" w:cs="Arial"/>
          <w:sz w:val="26"/>
          <w:szCs w:val="26"/>
        </w:rPr>
      </w:pPr>
    </w:p>
    <w:p w14:paraId="12D55A81" w14:textId="0091A9A4" w:rsidR="00804EB3" w:rsidRPr="002A66DA" w:rsidRDefault="00804EB3" w:rsidP="002A66DA">
      <w:pPr>
        <w:widowControl w:val="0"/>
        <w:spacing w:line="276" w:lineRule="auto"/>
        <w:ind w:right="44"/>
        <w:jc w:val="both"/>
        <w:rPr>
          <w:rFonts w:ascii="Arial Narrow" w:hAnsi="Arial Narrow" w:cs="Arial"/>
          <w:sz w:val="26"/>
          <w:szCs w:val="26"/>
        </w:rPr>
      </w:pPr>
      <w:r w:rsidRPr="002A66DA">
        <w:rPr>
          <w:rFonts w:ascii="Arial Narrow" w:hAnsi="Arial Narrow" w:cs="Arial"/>
          <w:sz w:val="26"/>
          <w:szCs w:val="26"/>
        </w:rPr>
        <w:t xml:space="preserve">Esa regla se fue extendiendo en forma paulatina para ser aplicada incluso a créditos otorgados para la financiación de vivienda en el sistema UPAC que no se encontraban en mora o sobre los cuales no recaía proceso ejecutivo para el 31 de diciembre de 1999. De acuerdo con la línea jurisprudencial de esa </w:t>
      </w:r>
      <w:r w:rsidR="00587721" w:rsidRPr="002A66DA">
        <w:rPr>
          <w:rFonts w:ascii="Arial Narrow" w:hAnsi="Arial Narrow" w:cs="Arial"/>
          <w:sz w:val="26"/>
          <w:szCs w:val="26"/>
        </w:rPr>
        <w:t>a</w:t>
      </w:r>
      <w:r w:rsidRPr="002A66DA">
        <w:rPr>
          <w:rFonts w:ascii="Arial Narrow" w:hAnsi="Arial Narrow" w:cs="Arial"/>
          <w:sz w:val="26"/>
          <w:szCs w:val="26"/>
        </w:rPr>
        <w:t xml:space="preserve">lta </w:t>
      </w:r>
      <w:r w:rsidR="00587721" w:rsidRPr="002A66DA">
        <w:rPr>
          <w:rFonts w:ascii="Arial Narrow" w:hAnsi="Arial Narrow" w:cs="Arial"/>
          <w:sz w:val="26"/>
          <w:szCs w:val="26"/>
        </w:rPr>
        <w:t>C</w:t>
      </w:r>
      <w:r w:rsidRPr="002A66DA">
        <w:rPr>
          <w:rFonts w:ascii="Arial Narrow" w:hAnsi="Arial Narrow" w:cs="Arial"/>
          <w:sz w:val="26"/>
          <w:szCs w:val="26"/>
        </w:rPr>
        <w:t xml:space="preserve">orte, las reglas que se han citado de la jurisprudencia constitucional resultan aplicables </w:t>
      </w:r>
      <w:r w:rsidRPr="002A66DA">
        <w:rPr>
          <w:rFonts w:ascii="Arial Narrow" w:hAnsi="Arial Narrow" w:cs="Arial"/>
          <w:sz w:val="26"/>
          <w:szCs w:val="26"/>
          <w:u w:val="single"/>
        </w:rPr>
        <w:t>para créditos otorgados para la financiación de vivienda con anterioridad al 31 de diciembre de 1999, en sistema UPAC o en pesos con factor DTF o capitalización de intereses, sin más restricciones</w:t>
      </w:r>
      <w:r w:rsidRPr="002A66DA">
        <w:rPr>
          <w:rFonts w:ascii="Arial Narrow" w:hAnsi="Arial Narrow" w:cs="Arial"/>
          <w:sz w:val="26"/>
          <w:szCs w:val="26"/>
        </w:rPr>
        <w:t xml:space="preserve">. Resulta aplicable incluso a procesos ejecutivos iniciados con anterioridad a la expedición de la sentencia SU-813 de 2007, toda vez que el derecho a la </w:t>
      </w:r>
      <w:r w:rsidRPr="002A66DA">
        <w:rPr>
          <w:rFonts w:ascii="Arial Narrow" w:hAnsi="Arial Narrow" w:cs="Arial"/>
          <w:sz w:val="26"/>
          <w:szCs w:val="26"/>
        </w:rPr>
        <w:lastRenderedPageBreak/>
        <w:t xml:space="preserve">reestructuración no surge de esa sentencia sino de la misma Ley 546 ya citada. </w:t>
      </w:r>
    </w:p>
    <w:p w14:paraId="1DFDB924" w14:textId="77777777" w:rsidR="00804EB3" w:rsidRPr="002A66DA" w:rsidRDefault="00804EB3" w:rsidP="002A66DA">
      <w:pPr>
        <w:widowControl w:val="0"/>
        <w:spacing w:line="276" w:lineRule="auto"/>
        <w:ind w:right="-434"/>
        <w:jc w:val="both"/>
        <w:rPr>
          <w:rFonts w:ascii="Arial Narrow" w:hAnsi="Arial Narrow" w:cs="Arial"/>
          <w:sz w:val="26"/>
          <w:szCs w:val="26"/>
        </w:rPr>
      </w:pPr>
    </w:p>
    <w:p w14:paraId="29B46F59" w14:textId="5F7C220A" w:rsidR="00804EB3" w:rsidRPr="002A66DA" w:rsidRDefault="00804EB3" w:rsidP="002A66DA">
      <w:pPr>
        <w:widowControl w:val="0"/>
        <w:spacing w:line="276" w:lineRule="auto"/>
        <w:ind w:right="44"/>
        <w:jc w:val="both"/>
        <w:rPr>
          <w:rFonts w:ascii="Arial Narrow" w:hAnsi="Arial Narrow" w:cs="Arial"/>
          <w:iCs/>
          <w:sz w:val="26"/>
          <w:szCs w:val="26"/>
        </w:rPr>
      </w:pPr>
      <w:r w:rsidRPr="002A66DA">
        <w:rPr>
          <w:rFonts w:ascii="Arial Narrow" w:hAnsi="Arial Narrow" w:cs="Arial"/>
          <w:sz w:val="26"/>
          <w:szCs w:val="26"/>
        </w:rPr>
        <w:t xml:space="preserve">Así se reiteró en múltiples decisiones, como </w:t>
      </w:r>
      <w:r w:rsidR="00AC6A1A" w:rsidRPr="002A66DA">
        <w:rPr>
          <w:rFonts w:ascii="Arial Narrow" w:hAnsi="Arial Narrow" w:cs="Arial"/>
          <w:sz w:val="26"/>
          <w:szCs w:val="26"/>
        </w:rPr>
        <w:t xml:space="preserve">en </w:t>
      </w:r>
      <w:r w:rsidRPr="002A66DA">
        <w:rPr>
          <w:rFonts w:ascii="Arial Narrow" w:hAnsi="Arial Narrow" w:cs="Arial"/>
          <w:sz w:val="26"/>
          <w:szCs w:val="26"/>
        </w:rPr>
        <w:t>sentencia</w:t>
      </w:r>
      <w:r w:rsidRPr="002A66DA">
        <w:rPr>
          <w:rFonts w:ascii="Arial Narrow" w:hAnsi="Arial Narrow" w:cs="Arial"/>
          <w:i/>
          <w:sz w:val="26"/>
          <w:szCs w:val="26"/>
        </w:rPr>
        <w:t xml:space="preserve"> </w:t>
      </w:r>
      <w:r w:rsidRPr="002A66DA">
        <w:rPr>
          <w:rFonts w:ascii="Arial Narrow" w:hAnsi="Arial Narrow" w:cs="Arial"/>
          <w:iCs/>
          <w:sz w:val="26"/>
          <w:szCs w:val="26"/>
        </w:rPr>
        <w:t>del</w:t>
      </w:r>
      <w:r w:rsidRPr="002A66DA">
        <w:rPr>
          <w:rFonts w:ascii="Arial Narrow" w:hAnsi="Arial Narrow" w:cs="Arial"/>
          <w:i/>
          <w:sz w:val="26"/>
          <w:szCs w:val="26"/>
        </w:rPr>
        <w:t xml:space="preserve"> </w:t>
      </w:r>
      <w:r w:rsidRPr="002A66DA">
        <w:rPr>
          <w:rFonts w:ascii="Arial Narrow" w:hAnsi="Arial Narrow" w:cs="Arial"/>
          <w:iCs/>
          <w:sz w:val="26"/>
          <w:szCs w:val="26"/>
        </w:rPr>
        <w:t>31 de octubre de 2013, STC2747 de 2015, STC7390 de 2015, STC10951 de</w:t>
      </w:r>
      <w:r w:rsidR="00AC6A1A" w:rsidRPr="002A66DA">
        <w:rPr>
          <w:rFonts w:ascii="Arial Narrow" w:hAnsi="Arial Narrow" w:cs="Arial"/>
          <w:iCs/>
          <w:sz w:val="26"/>
          <w:szCs w:val="26"/>
        </w:rPr>
        <w:t xml:space="preserve"> </w:t>
      </w:r>
      <w:r w:rsidRPr="002A66DA">
        <w:rPr>
          <w:rFonts w:ascii="Arial Narrow" w:hAnsi="Arial Narrow" w:cs="Arial"/>
          <w:iCs/>
          <w:sz w:val="26"/>
          <w:szCs w:val="26"/>
        </w:rPr>
        <w:t>2015, STC945 de 2016, STC10042 de 2017</w:t>
      </w:r>
      <w:r w:rsidR="00AC6A1A" w:rsidRPr="002A66DA">
        <w:rPr>
          <w:rFonts w:ascii="Arial Narrow" w:hAnsi="Arial Narrow" w:cs="Arial"/>
          <w:iCs/>
          <w:sz w:val="26"/>
          <w:szCs w:val="26"/>
        </w:rPr>
        <w:t>, entre otras,</w:t>
      </w:r>
      <w:r w:rsidR="004E3C98" w:rsidRPr="002A66DA">
        <w:rPr>
          <w:rFonts w:ascii="Arial Narrow" w:hAnsi="Arial Narrow" w:cs="Arial"/>
          <w:iCs/>
          <w:sz w:val="26"/>
          <w:szCs w:val="26"/>
        </w:rPr>
        <w:t xml:space="preserve"> y es criterio vigente como </w:t>
      </w:r>
      <w:r w:rsidR="00137566" w:rsidRPr="002A66DA">
        <w:rPr>
          <w:rFonts w:ascii="Arial Narrow" w:hAnsi="Arial Narrow" w:cs="Arial"/>
          <w:iCs/>
          <w:sz w:val="26"/>
          <w:szCs w:val="26"/>
        </w:rPr>
        <w:t xml:space="preserve">en reciente pronunciamiento se puede </w:t>
      </w:r>
      <w:r w:rsidR="004E3C98" w:rsidRPr="002A66DA">
        <w:rPr>
          <w:rFonts w:ascii="Arial Narrow" w:hAnsi="Arial Narrow" w:cs="Arial"/>
          <w:iCs/>
          <w:sz w:val="26"/>
          <w:szCs w:val="26"/>
        </w:rPr>
        <w:t>consta</w:t>
      </w:r>
      <w:r w:rsidR="00137566" w:rsidRPr="002A66DA">
        <w:rPr>
          <w:rFonts w:ascii="Arial Narrow" w:hAnsi="Arial Narrow" w:cs="Arial"/>
          <w:iCs/>
          <w:sz w:val="26"/>
          <w:szCs w:val="26"/>
        </w:rPr>
        <w:t>tar:</w:t>
      </w:r>
    </w:p>
    <w:p w14:paraId="6EF64C31" w14:textId="79D5F739" w:rsidR="00137566" w:rsidRPr="002A66DA" w:rsidRDefault="00137566" w:rsidP="002A66DA">
      <w:pPr>
        <w:widowControl w:val="0"/>
        <w:spacing w:line="276" w:lineRule="auto"/>
        <w:ind w:right="44"/>
        <w:jc w:val="both"/>
        <w:rPr>
          <w:rFonts w:ascii="Arial Narrow" w:hAnsi="Arial Narrow" w:cs="Arial"/>
          <w:iCs/>
          <w:sz w:val="26"/>
          <w:szCs w:val="26"/>
        </w:rPr>
      </w:pPr>
    </w:p>
    <w:p w14:paraId="0F4823F2" w14:textId="77777777" w:rsidR="00137566" w:rsidRPr="002A66DA" w:rsidRDefault="00137566" w:rsidP="002A66DA">
      <w:pPr>
        <w:widowControl w:val="0"/>
        <w:spacing w:line="276" w:lineRule="auto"/>
        <w:ind w:left="426" w:right="476"/>
        <w:jc w:val="both"/>
        <w:rPr>
          <w:rFonts w:ascii="Arial Narrow" w:hAnsi="Arial Narrow" w:cs="Arial"/>
          <w:i/>
          <w:sz w:val="26"/>
          <w:szCs w:val="26"/>
        </w:rPr>
      </w:pPr>
      <w:r w:rsidRPr="002A66DA">
        <w:rPr>
          <w:rFonts w:ascii="Arial Narrow" w:hAnsi="Arial Narrow" w:cs="Arial"/>
          <w:i/>
          <w:sz w:val="26"/>
          <w:szCs w:val="26"/>
        </w:rPr>
        <w:t>Es importante mencionar, preliminarmente, que la jurisprudencia de la Corte ha concluido, a partir de una renovada interpretación del artículo 42 de la Ley 546 de 1999, que el requisito de reestructuración allí consagrado es exigible frente a todo crédito de vivienda adquirido en UPAC con antelación a la entrada en vigencia de la Ley 546 de 1999.</w:t>
      </w:r>
    </w:p>
    <w:p w14:paraId="5D97AD31" w14:textId="77777777" w:rsidR="00137566" w:rsidRPr="002A66DA" w:rsidRDefault="00137566" w:rsidP="002A66DA">
      <w:pPr>
        <w:widowControl w:val="0"/>
        <w:spacing w:line="276" w:lineRule="auto"/>
        <w:ind w:left="426" w:right="476"/>
        <w:jc w:val="both"/>
        <w:rPr>
          <w:rFonts w:ascii="Arial Narrow" w:hAnsi="Arial Narrow" w:cs="Arial"/>
          <w:i/>
          <w:sz w:val="26"/>
          <w:szCs w:val="26"/>
        </w:rPr>
      </w:pPr>
    </w:p>
    <w:p w14:paraId="207A36A0" w14:textId="5328265A" w:rsidR="00137566" w:rsidRPr="002A66DA" w:rsidRDefault="00137566" w:rsidP="002A66DA">
      <w:pPr>
        <w:widowControl w:val="0"/>
        <w:spacing w:line="276" w:lineRule="auto"/>
        <w:ind w:left="426" w:right="476"/>
        <w:jc w:val="both"/>
        <w:rPr>
          <w:rFonts w:ascii="Arial Narrow" w:hAnsi="Arial Narrow" w:cs="Arial"/>
          <w:i/>
          <w:sz w:val="26"/>
          <w:szCs w:val="26"/>
        </w:rPr>
      </w:pPr>
      <w:r w:rsidRPr="002A66DA">
        <w:rPr>
          <w:rFonts w:ascii="Arial Narrow" w:hAnsi="Arial Narrow" w:cs="Arial"/>
          <w:i/>
          <w:sz w:val="26"/>
          <w:szCs w:val="26"/>
        </w:rPr>
        <w:t>Así mismo, se ha señalado que el documento que recoge la reestructuración, junto con el título valor base de ejecución (en UPAC), forma un «título complejo», cuya ausencia impide seguir con el cobro compulsivo, sin que para ello resulte relevante verificar la fecha de iniciación del proceso, si este corresponde a la primera ejecución, o si se trata de un crédito al día o en mora para el 31 de diciembre de 1999.</w:t>
      </w:r>
      <w:r w:rsidR="000D3389" w:rsidRPr="002A66DA">
        <w:rPr>
          <w:rStyle w:val="Refdenotaalpie"/>
          <w:rFonts w:ascii="Arial Narrow" w:hAnsi="Arial Narrow" w:cs="Arial"/>
          <w:i/>
          <w:sz w:val="26"/>
          <w:szCs w:val="26"/>
        </w:rPr>
        <w:footnoteReference w:id="15"/>
      </w:r>
    </w:p>
    <w:p w14:paraId="0A2077EF" w14:textId="77777777" w:rsidR="00804EB3" w:rsidRPr="002A66DA" w:rsidRDefault="00804EB3" w:rsidP="002A66DA">
      <w:pPr>
        <w:widowControl w:val="0"/>
        <w:spacing w:line="276" w:lineRule="auto"/>
        <w:ind w:right="-434"/>
        <w:jc w:val="both"/>
        <w:rPr>
          <w:rFonts w:ascii="Arial Narrow" w:hAnsi="Arial Narrow" w:cs="Arial"/>
          <w:iCs/>
          <w:sz w:val="26"/>
          <w:szCs w:val="26"/>
        </w:rPr>
      </w:pPr>
    </w:p>
    <w:p w14:paraId="1AA5D40F" w14:textId="749BEA2E" w:rsidR="00804EB3" w:rsidRPr="002A66DA" w:rsidRDefault="00804EB3" w:rsidP="002A66DA">
      <w:pPr>
        <w:widowControl w:val="0"/>
        <w:spacing w:line="276" w:lineRule="auto"/>
        <w:ind w:right="44"/>
        <w:jc w:val="both"/>
        <w:rPr>
          <w:rStyle w:val="Ninguno"/>
          <w:rFonts w:ascii="Arial Narrow" w:hAnsi="Arial Narrow" w:cs="Arial"/>
          <w:sz w:val="26"/>
          <w:szCs w:val="26"/>
        </w:rPr>
      </w:pPr>
      <w:bookmarkStart w:id="5" w:name="_Hlk86412558"/>
      <w:r w:rsidRPr="002A66DA">
        <w:rPr>
          <w:rFonts w:ascii="Arial Narrow" w:hAnsi="Arial Narrow" w:cs="Arial"/>
          <w:sz w:val="26"/>
          <w:szCs w:val="26"/>
        </w:rPr>
        <w:t xml:space="preserve">En suma, tratándose de créditos otorgados para la financiación de vivienda en el antiguo sistema, naturalmente con anterioridad al 31 de diciembre de 1999, resulta pacífico que </w:t>
      </w:r>
      <w:r w:rsidRPr="002A66DA">
        <w:rPr>
          <w:rStyle w:val="Ninguno"/>
          <w:rFonts w:ascii="Arial Narrow" w:hAnsi="Arial Narrow" w:cs="Arial"/>
          <w:iCs/>
          <w:sz w:val="26"/>
          <w:szCs w:val="26"/>
        </w:rPr>
        <w:t xml:space="preserve">la reestructuración del crédito es </w:t>
      </w:r>
      <w:r w:rsidR="00E1053D" w:rsidRPr="002A66DA">
        <w:rPr>
          <w:rStyle w:val="Ninguno"/>
          <w:rFonts w:ascii="Arial Narrow" w:hAnsi="Arial Narrow" w:cs="Arial"/>
          <w:iCs/>
          <w:sz w:val="26"/>
          <w:szCs w:val="26"/>
        </w:rPr>
        <w:t xml:space="preserve">un derecho de los acreedores hipotecarios y una </w:t>
      </w:r>
      <w:r w:rsidRPr="002A66DA">
        <w:rPr>
          <w:rStyle w:val="Ninguno"/>
          <w:rFonts w:ascii="Arial Narrow" w:hAnsi="Arial Narrow" w:cs="Arial"/>
          <w:iCs/>
          <w:sz w:val="26"/>
          <w:szCs w:val="26"/>
        </w:rPr>
        <w:t xml:space="preserve">obligación de las entidades crediticias, a efectos de ajustar la deuda a las reales capacidades económicas de los obligados, cuestión exigible </w:t>
      </w:r>
      <w:r w:rsidR="00070D56" w:rsidRPr="002A66DA">
        <w:rPr>
          <w:rStyle w:val="Ninguno"/>
          <w:rFonts w:ascii="Arial Narrow" w:hAnsi="Arial Narrow" w:cs="Arial"/>
          <w:iCs/>
          <w:sz w:val="26"/>
          <w:szCs w:val="26"/>
        </w:rPr>
        <w:t>incluso de</w:t>
      </w:r>
      <w:r w:rsidRPr="002A66DA">
        <w:rPr>
          <w:rStyle w:val="Ninguno"/>
          <w:rFonts w:ascii="Arial Narrow" w:hAnsi="Arial Narrow" w:cs="Arial"/>
          <w:iCs/>
          <w:sz w:val="26"/>
          <w:szCs w:val="26"/>
        </w:rPr>
        <w:t xml:space="preserve"> los cesionarios si se tiene en cuenta que aquellos reemplazan en todo al cedente. El incumplimiento de esa carga se constituye en un obstáculo insalvable para el inicio </w:t>
      </w:r>
      <w:r w:rsidR="00070D56" w:rsidRPr="002A66DA">
        <w:rPr>
          <w:rStyle w:val="Ninguno"/>
          <w:rFonts w:ascii="Arial Narrow" w:hAnsi="Arial Narrow" w:cs="Arial"/>
          <w:iCs/>
          <w:sz w:val="26"/>
          <w:szCs w:val="26"/>
        </w:rPr>
        <w:t>o</w:t>
      </w:r>
      <w:r w:rsidRPr="002A66DA">
        <w:rPr>
          <w:rStyle w:val="Ninguno"/>
          <w:rFonts w:ascii="Arial Narrow" w:hAnsi="Arial Narrow" w:cs="Arial"/>
          <w:iCs/>
          <w:sz w:val="26"/>
          <w:szCs w:val="26"/>
        </w:rPr>
        <w:t xml:space="preserve"> el impulso de los procesos hipotecarios estrictamente relacionados con créditos de vivienda inicialmente concedidos en UPAC</w:t>
      </w:r>
      <w:bookmarkEnd w:id="5"/>
      <w:r w:rsidRPr="002A66DA">
        <w:rPr>
          <w:rStyle w:val="Ninguno"/>
          <w:rFonts w:ascii="Arial Narrow" w:hAnsi="Arial Narrow" w:cs="Arial"/>
          <w:iCs/>
          <w:sz w:val="26"/>
          <w:szCs w:val="26"/>
        </w:rPr>
        <w:t xml:space="preserve">, </w:t>
      </w:r>
      <w:r w:rsidRPr="002A66DA">
        <w:rPr>
          <w:rStyle w:val="Ninguno"/>
          <w:rFonts w:ascii="Arial Narrow" w:hAnsi="Arial Narrow" w:cs="Arial"/>
          <w:b/>
          <w:bCs/>
          <w:iCs/>
          <w:sz w:val="26"/>
          <w:szCs w:val="26"/>
        </w:rPr>
        <w:t>derecho a la reestructuración</w:t>
      </w:r>
      <w:r w:rsidRPr="002A66DA">
        <w:rPr>
          <w:rStyle w:val="Ninguno"/>
          <w:rFonts w:ascii="Arial Narrow" w:hAnsi="Arial Narrow" w:cs="Arial"/>
          <w:iCs/>
          <w:sz w:val="26"/>
          <w:szCs w:val="26"/>
        </w:rPr>
        <w:t xml:space="preserve"> que persigue </w:t>
      </w:r>
      <w:r w:rsidRPr="002A66DA">
        <w:rPr>
          <w:rStyle w:val="Ninguno"/>
          <w:rFonts w:ascii="Arial Narrow" w:hAnsi="Arial Narrow" w:cs="Arial"/>
          <w:sz w:val="26"/>
          <w:szCs w:val="26"/>
        </w:rPr>
        <w:t>que el deudor obtenga nuevas condiciones que le permitan cubrir su obligación insoluta, según su capacidad de pago y, tras ello, la protección del derecho a la vivienda digna</w:t>
      </w:r>
      <w:r w:rsidR="000C34AB" w:rsidRPr="002A66DA">
        <w:rPr>
          <w:rStyle w:val="Ninguno"/>
          <w:rFonts w:ascii="Arial Narrow" w:hAnsi="Arial Narrow" w:cs="Arial"/>
          <w:sz w:val="26"/>
          <w:szCs w:val="26"/>
        </w:rPr>
        <w:t>.</w:t>
      </w:r>
    </w:p>
    <w:p w14:paraId="66C4FAD2" w14:textId="77777777" w:rsidR="00804EB3" w:rsidRPr="002A66DA" w:rsidRDefault="00804EB3" w:rsidP="002A66DA">
      <w:pPr>
        <w:widowControl w:val="0"/>
        <w:spacing w:line="276" w:lineRule="auto"/>
        <w:ind w:right="44"/>
        <w:jc w:val="both"/>
        <w:rPr>
          <w:rStyle w:val="Ninguno"/>
          <w:rFonts w:ascii="Arial Narrow" w:hAnsi="Arial Narrow" w:cs="Arial"/>
          <w:b/>
          <w:bCs/>
          <w:sz w:val="26"/>
          <w:szCs w:val="26"/>
        </w:rPr>
      </w:pPr>
    </w:p>
    <w:p w14:paraId="2DD72D0C" w14:textId="0D2195C6" w:rsidR="00804EB3" w:rsidRPr="002A66DA" w:rsidRDefault="00B36CD4" w:rsidP="002A66DA">
      <w:pPr>
        <w:widowControl w:val="0"/>
        <w:spacing w:line="276" w:lineRule="auto"/>
        <w:ind w:right="44"/>
        <w:jc w:val="both"/>
        <w:rPr>
          <w:rStyle w:val="Ninguno"/>
          <w:rFonts w:ascii="Arial Narrow" w:hAnsi="Arial Narrow" w:cs="Arial"/>
          <w:sz w:val="26"/>
          <w:szCs w:val="26"/>
        </w:rPr>
      </w:pPr>
      <w:r w:rsidRPr="002A66DA">
        <w:rPr>
          <w:rStyle w:val="Ninguno"/>
          <w:rFonts w:ascii="Arial Narrow" w:hAnsi="Arial Narrow" w:cs="Arial"/>
          <w:b/>
          <w:bCs/>
          <w:sz w:val="26"/>
          <w:szCs w:val="26"/>
        </w:rPr>
        <w:t>3.3</w:t>
      </w:r>
      <w:r w:rsidR="00804EB3" w:rsidRPr="002A66DA">
        <w:rPr>
          <w:rStyle w:val="Ninguno"/>
          <w:rFonts w:ascii="Arial Narrow" w:hAnsi="Arial Narrow" w:cs="Arial"/>
          <w:b/>
          <w:bCs/>
          <w:sz w:val="26"/>
          <w:szCs w:val="26"/>
        </w:rPr>
        <w:t xml:space="preserve">. </w:t>
      </w:r>
      <w:r w:rsidR="00804EB3" w:rsidRPr="002A66DA">
        <w:rPr>
          <w:rStyle w:val="Ninguno"/>
          <w:rFonts w:ascii="Arial Narrow" w:hAnsi="Arial Narrow" w:cs="Arial"/>
          <w:sz w:val="26"/>
          <w:szCs w:val="26"/>
        </w:rPr>
        <w:t xml:space="preserve">Ahora bien, ciertamente la regla jurisprudencial bajo análisis planteó algunas </w:t>
      </w:r>
      <w:r w:rsidR="00804EB3" w:rsidRPr="002A66DA">
        <w:rPr>
          <w:rStyle w:val="Ninguno"/>
          <w:rFonts w:ascii="Arial Narrow" w:hAnsi="Arial Narrow" w:cs="Arial"/>
          <w:bCs/>
          <w:sz w:val="26"/>
          <w:szCs w:val="26"/>
        </w:rPr>
        <w:t>excepciones o</w:t>
      </w:r>
      <w:r w:rsidR="00804EB3" w:rsidRPr="002A66DA">
        <w:rPr>
          <w:rStyle w:val="Ninguno"/>
          <w:rFonts w:ascii="Arial Narrow" w:hAnsi="Arial Narrow" w:cs="Arial"/>
          <w:sz w:val="26"/>
          <w:szCs w:val="26"/>
        </w:rPr>
        <w:t xml:space="preserve"> casos puntuales en los cuales se consideraba razonable no terminar el proceso ejecutivo en trámite, no obs</w:t>
      </w:r>
      <w:r w:rsidR="00270BF6" w:rsidRPr="002A66DA">
        <w:rPr>
          <w:rStyle w:val="Ninguno"/>
          <w:rFonts w:ascii="Arial Narrow" w:hAnsi="Arial Narrow" w:cs="Arial"/>
          <w:sz w:val="26"/>
          <w:szCs w:val="26"/>
        </w:rPr>
        <w:t>tante,</w:t>
      </w:r>
      <w:r w:rsidR="00804EB3" w:rsidRPr="002A66DA">
        <w:rPr>
          <w:rStyle w:val="Ninguno"/>
          <w:rFonts w:ascii="Arial Narrow" w:hAnsi="Arial Narrow" w:cs="Arial"/>
          <w:sz w:val="26"/>
          <w:szCs w:val="26"/>
        </w:rPr>
        <w:t xml:space="preserve"> </w:t>
      </w:r>
      <w:r w:rsidR="00270BF6" w:rsidRPr="002A66DA">
        <w:rPr>
          <w:rStyle w:val="Ninguno"/>
          <w:rFonts w:ascii="Arial Narrow" w:hAnsi="Arial Narrow" w:cs="Arial"/>
          <w:sz w:val="26"/>
          <w:szCs w:val="26"/>
        </w:rPr>
        <w:t xml:space="preserve">la </w:t>
      </w:r>
      <w:r w:rsidR="00804EB3" w:rsidRPr="002A66DA">
        <w:rPr>
          <w:rStyle w:val="Ninguno"/>
          <w:rFonts w:ascii="Arial Narrow" w:hAnsi="Arial Narrow" w:cs="Arial"/>
          <w:sz w:val="26"/>
          <w:szCs w:val="26"/>
        </w:rPr>
        <w:t>ausencia de reestructuración.</w:t>
      </w:r>
    </w:p>
    <w:p w14:paraId="32E7E845" w14:textId="77777777" w:rsidR="00804EB3" w:rsidRPr="002A66DA" w:rsidRDefault="00804EB3" w:rsidP="002A66DA">
      <w:pPr>
        <w:widowControl w:val="0"/>
        <w:spacing w:line="276" w:lineRule="auto"/>
        <w:ind w:right="44"/>
        <w:jc w:val="both"/>
        <w:rPr>
          <w:rStyle w:val="Ninguno"/>
          <w:rFonts w:ascii="Arial Narrow" w:hAnsi="Arial Narrow" w:cs="Arial"/>
          <w:sz w:val="26"/>
          <w:szCs w:val="26"/>
        </w:rPr>
      </w:pPr>
    </w:p>
    <w:p w14:paraId="05C680C7" w14:textId="77777777" w:rsidR="00804EB3" w:rsidRPr="002A66DA" w:rsidRDefault="00804EB3" w:rsidP="002A66DA">
      <w:pPr>
        <w:widowControl w:val="0"/>
        <w:spacing w:line="276" w:lineRule="auto"/>
        <w:ind w:right="44"/>
        <w:jc w:val="both"/>
        <w:rPr>
          <w:rFonts w:ascii="Arial Narrow" w:hAnsi="Arial Narrow" w:cs="Arial"/>
          <w:iCs/>
          <w:sz w:val="26"/>
          <w:szCs w:val="26"/>
        </w:rPr>
      </w:pPr>
      <w:r w:rsidRPr="002A66DA">
        <w:rPr>
          <w:rStyle w:val="Ninguno"/>
          <w:rFonts w:ascii="Arial Narrow" w:hAnsi="Arial Narrow" w:cs="Arial"/>
          <w:sz w:val="26"/>
          <w:szCs w:val="26"/>
        </w:rPr>
        <w:t>Así se resolvió, por ejemplo, en eventos donde ella no lucía obligatoria por ausencia de capacidad económica del deudor, que se infería de la existencia de procesos ejecutivos acumulados o embargos de remanentes por otras deudas, circunstancias que obligaban, para lograr la real protección a la vivienda querida por el legislador, la reestructuración de todas esas acreencias. En ese sentido pueden consultarse las sentencias</w:t>
      </w:r>
      <w:r w:rsidRPr="002A66DA">
        <w:rPr>
          <w:rFonts w:ascii="Arial Narrow" w:hAnsi="Arial Narrow" w:cs="Arial"/>
          <w:sz w:val="26"/>
          <w:szCs w:val="26"/>
        </w:rPr>
        <w:t xml:space="preserve"> STC11343-2016, STC15487-2015, STC1551-2017, STC5350-2017, STC3216-2018, STC3248-2018, entre muchas otras.</w:t>
      </w:r>
    </w:p>
    <w:p w14:paraId="2B470060" w14:textId="77777777" w:rsidR="00804EB3" w:rsidRPr="002A66DA" w:rsidRDefault="00804EB3" w:rsidP="002A66DA">
      <w:pPr>
        <w:widowControl w:val="0"/>
        <w:spacing w:line="276" w:lineRule="auto"/>
        <w:ind w:right="-434"/>
        <w:jc w:val="both"/>
        <w:rPr>
          <w:rFonts w:ascii="Arial Narrow" w:hAnsi="Arial Narrow" w:cs="Arial"/>
          <w:sz w:val="26"/>
          <w:szCs w:val="26"/>
          <w:lang w:val="es-ES"/>
        </w:rPr>
      </w:pPr>
    </w:p>
    <w:p w14:paraId="5DE6318C" w14:textId="23DD448F" w:rsidR="00804EB3" w:rsidRPr="002A66DA" w:rsidRDefault="00804EB3" w:rsidP="002A66DA">
      <w:pPr>
        <w:widowControl w:val="0"/>
        <w:spacing w:line="276" w:lineRule="auto"/>
        <w:ind w:right="51"/>
        <w:jc w:val="both"/>
        <w:rPr>
          <w:rFonts w:ascii="Arial Narrow" w:hAnsi="Arial Narrow" w:cs="Arial"/>
          <w:sz w:val="26"/>
          <w:szCs w:val="26"/>
          <w:lang w:val="es-ES"/>
        </w:rPr>
      </w:pPr>
      <w:r w:rsidRPr="002A66DA">
        <w:rPr>
          <w:rFonts w:ascii="Arial Narrow" w:hAnsi="Arial Narrow" w:cs="Arial"/>
          <w:sz w:val="26"/>
          <w:szCs w:val="26"/>
          <w:lang w:val="es-ES"/>
        </w:rPr>
        <w:t>Sin embargo, el estado actual y reciente</w:t>
      </w:r>
      <w:r w:rsidRPr="002A66DA">
        <w:rPr>
          <w:rFonts w:ascii="Arial Narrow" w:hAnsi="Arial Narrow" w:cs="Arial"/>
          <w:b/>
          <w:bCs/>
          <w:sz w:val="26"/>
          <w:szCs w:val="26"/>
          <w:lang w:val="es-ES"/>
        </w:rPr>
        <w:t xml:space="preserve"> </w:t>
      </w:r>
      <w:r w:rsidRPr="002A66DA">
        <w:rPr>
          <w:rFonts w:ascii="Arial Narrow" w:hAnsi="Arial Narrow" w:cs="Arial"/>
          <w:sz w:val="26"/>
          <w:szCs w:val="26"/>
          <w:lang w:val="es-ES"/>
        </w:rPr>
        <w:t>de la jurisprudencia</w:t>
      </w:r>
      <w:r w:rsidR="009B1974" w:rsidRPr="002A66DA">
        <w:rPr>
          <w:rFonts w:ascii="Arial Narrow" w:hAnsi="Arial Narrow" w:cs="Arial"/>
          <w:sz w:val="26"/>
          <w:szCs w:val="26"/>
          <w:lang w:val="es-ES"/>
        </w:rPr>
        <w:t xml:space="preserve"> tiende a </w:t>
      </w:r>
      <w:r w:rsidRPr="002A66DA">
        <w:rPr>
          <w:rFonts w:ascii="Arial Narrow" w:hAnsi="Arial Narrow" w:cs="Arial"/>
          <w:sz w:val="26"/>
          <w:szCs w:val="26"/>
          <w:lang w:val="es-ES"/>
        </w:rPr>
        <w:t>señala</w:t>
      </w:r>
      <w:r w:rsidR="009B1974" w:rsidRPr="002A66DA">
        <w:rPr>
          <w:rFonts w:ascii="Arial Narrow" w:hAnsi="Arial Narrow" w:cs="Arial"/>
          <w:sz w:val="26"/>
          <w:szCs w:val="26"/>
          <w:lang w:val="es-ES"/>
        </w:rPr>
        <w:t>r</w:t>
      </w:r>
      <w:r w:rsidRPr="002A66DA">
        <w:rPr>
          <w:rFonts w:ascii="Arial Narrow" w:hAnsi="Arial Narrow" w:cs="Arial"/>
          <w:sz w:val="26"/>
          <w:szCs w:val="26"/>
          <w:lang w:val="es-ES"/>
        </w:rPr>
        <w:t xml:space="preserve"> que, pese a haberse entendido como elemento demostrativo de la incapacidad económica del deudor, la existencia de otros procesos ejecutivos con embargo de remanentes, o cobros coactivos, esa </w:t>
      </w:r>
      <w:r w:rsidRPr="002A66DA">
        <w:rPr>
          <w:rFonts w:ascii="Arial Narrow" w:hAnsi="Arial Narrow" w:cs="Arial"/>
          <w:sz w:val="26"/>
          <w:szCs w:val="26"/>
          <w:lang w:val="es-ES"/>
        </w:rPr>
        <w:lastRenderedPageBreak/>
        <w:t>“</w:t>
      </w:r>
      <w:r w:rsidRPr="00193527">
        <w:rPr>
          <w:rFonts w:ascii="Arial Narrow" w:hAnsi="Arial Narrow" w:cs="Arial"/>
          <w:i/>
          <w:iCs/>
          <w:szCs w:val="26"/>
          <w:lang w:val="es-ES"/>
        </w:rPr>
        <w:t>circunstancia, per se, no apareja tal conclusión, porque ese mero hecho, contemplado en bruto, no lleva implícita la incapacidad de pago del enjuiciado</w:t>
      </w:r>
      <w:r w:rsidRPr="002A66DA">
        <w:rPr>
          <w:rFonts w:ascii="Arial Narrow" w:hAnsi="Arial Narrow" w:cs="Arial"/>
          <w:sz w:val="26"/>
          <w:szCs w:val="26"/>
          <w:lang w:val="es-ES"/>
        </w:rPr>
        <w:t>”</w:t>
      </w:r>
      <w:r w:rsidRPr="002A66DA">
        <w:rPr>
          <w:rStyle w:val="Refdenotaalpie"/>
          <w:rFonts w:ascii="Arial Narrow" w:hAnsi="Arial Narrow" w:cs="Arial"/>
          <w:sz w:val="26"/>
          <w:szCs w:val="26"/>
          <w:lang w:val="es-ES"/>
        </w:rPr>
        <w:footnoteReference w:id="16"/>
      </w:r>
      <w:r w:rsidRPr="002A66DA">
        <w:rPr>
          <w:rFonts w:ascii="Arial Narrow" w:hAnsi="Arial Narrow" w:cs="Arial"/>
          <w:sz w:val="26"/>
          <w:szCs w:val="26"/>
          <w:lang w:val="es-ES"/>
        </w:rPr>
        <w:t>. Así se se</w:t>
      </w:r>
      <w:r w:rsidR="00627FD3" w:rsidRPr="002A66DA">
        <w:rPr>
          <w:rFonts w:ascii="Arial Narrow" w:hAnsi="Arial Narrow" w:cs="Arial"/>
          <w:sz w:val="26"/>
          <w:szCs w:val="26"/>
          <w:lang w:val="es-ES"/>
        </w:rPr>
        <w:t>ñaló</w:t>
      </w:r>
      <w:r w:rsidRPr="002A66DA">
        <w:rPr>
          <w:rFonts w:ascii="Arial Narrow" w:hAnsi="Arial Narrow" w:cs="Arial"/>
          <w:sz w:val="26"/>
          <w:szCs w:val="26"/>
          <w:lang w:val="es-ES"/>
        </w:rPr>
        <w:t xml:space="preserve"> en sentencia de</w:t>
      </w:r>
      <w:r w:rsidRPr="002A66DA">
        <w:rPr>
          <w:rFonts w:ascii="Arial Narrow" w:hAnsi="Arial Narrow" w:cs="Arial"/>
          <w:b/>
          <w:bCs/>
          <w:sz w:val="26"/>
          <w:szCs w:val="26"/>
          <w:lang w:val="es-ES"/>
        </w:rPr>
        <w:t xml:space="preserve"> </w:t>
      </w:r>
      <w:r w:rsidRPr="002A66DA">
        <w:rPr>
          <w:rFonts w:ascii="Arial Narrow" w:hAnsi="Arial Narrow" w:cs="Arial"/>
          <w:sz w:val="26"/>
          <w:szCs w:val="26"/>
          <w:lang w:val="es-ES"/>
        </w:rPr>
        <w:t>octubre 30 de 2019</w:t>
      </w:r>
      <w:r w:rsidR="00627FD3" w:rsidRPr="002A66DA">
        <w:rPr>
          <w:rFonts w:ascii="Arial Narrow" w:hAnsi="Arial Narrow" w:cs="Arial"/>
          <w:b/>
          <w:bCs/>
          <w:sz w:val="26"/>
          <w:szCs w:val="26"/>
          <w:lang w:val="es-ES"/>
        </w:rPr>
        <w:t xml:space="preserve">, </w:t>
      </w:r>
      <w:r w:rsidR="00627FD3" w:rsidRPr="002A66DA">
        <w:rPr>
          <w:rFonts w:ascii="Arial Narrow" w:hAnsi="Arial Narrow" w:cs="Arial"/>
          <w:sz w:val="26"/>
          <w:szCs w:val="26"/>
          <w:lang w:val="es-ES"/>
        </w:rPr>
        <w:t>reiterada</w:t>
      </w:r>
      <w:r w:rsidR="003608CB" w:rsidRPr="002A66DA">
        <w:rPr>
          <w:rFonts w:ascii="Arial Narrow" w:hAnsi="Arial Narrow" w:cs="Arial"/>
          <w:sz w:val="26"/>
          <w:szCs w:val="26"/>
          <w:lang w:val="es-ES"/>
        </w:rPr>
        <w:t xml:space="preserve"> el pasado 12 de mayo (Sentencia STC5305-2021). </w:t>
      </w:r>
      <w:r w:rsidR="00627FD3" w:rsidRPr="002A66DA">
        <w:rPr>
          <w:rFonts w:ascii="Arial Narrow" w:hAnsi="Arial Narrow" w:cs="Arial"/>
          <w:b/>
          <w:bCs/>
          <w:sz w:val="26"/>
          <w:szCs w:val="26"/>
          <w:lang w:val="es-ES"/>
        </w:rPr>
        <w:t xml:space="preserve"> </w:t>
      </w:r>
    </w:p>
    <w:p w14:paraId="6307BD6C" w14:textId="77777777" w:rsidR="00804EB3" w:rsidRPr="002A66DA" w:rsidRDefault="00804EB3" w:rsidP="002A66DA">
      <w:pPr>
        <w:widowControl w:val="0"/>
        <w:spacing w:line="276" w:lineRule="auto"/>
        <w:ind w:right="51"/>
        <w:jc w:val="both"/>
        <w:rPr>
          <w:rFonts w:ascii="Arial Narrow" w:hAnsi="Arial Narrow" w:cs="Arial"/>
          <w:sz w:val="26"/>
          <w:szCs w:val="26"/>
          <w:lang w:val="es-ES"/>
        </w:rPr>
      </w:pPr>
    </w:p>
    <w:p w14:paraId="3AFAB1D9" w14:textId="77777777" w:rsidR="00804EB3" w:rsidRPr="002A66DA" w:rsidRDefault="00804EB3" w:rsidP="002A66DA">
      <w:pPr>
        <w:pStyle w:val="Sinespaciado"/>
        <w:spacing w:line="276" w:lineRule="auto"/>
        <w:jc w:val="both"/>
        <w:rPr>
          <w:rFonts w:ascii="Arial Narrow" w:hAnsi="Arial Narrow"/>
          <w:sz w:val="26"/>
          <w:szCs w:val="26"/>
          <w:lang w:val="es-ES"/>
        </w:rPr>
      </w:pPr>
      <w:r w:rsidRPr="002A66DA">
        <w:rPr>
          <w:rFonts w:ascii="Arial Narrow" w:hAnsi="Arial Narrow"/>
          <w:sz w:val="26"/>
          <w:szCs w:val="26"/>
          <w:lang w:val="es-ES"/>
        </w:rPr>
        <w:t>En ese nuevo contexto debe entenderse la reestructuración como lo que realmente es, una potestad de los deudores que está íntimamente relacionada con el derecho fundamental a una vivienda digna; una “</w:t>
      </w:r>
      <w:r w:rsidRPr="00193527">
        <w:rPr>
          <w:rFonts w:ascii="Arial Narrow" w:hAnsi="Arial Narrow"/>
          <w:i/>
          <w:iCs/>
          <w:szCs w:val="26"/>
          <w:lang w:val="es-ES"/>
        </w:rPr>
        <w:t>prerrogativa para los deudores de reorganizar su crédito hipotecario atendiendo a sus "reales posibilidades financieras”, para, de esa manera, garantizarles la facultad de conservar su lugar de habitación, derecho de rango supralegal y fin primordial de la Ley 546 de 1999</w:t>
      </w:r>
      <w:r w:rsidRPr="002A66DA">
        <w:rPr>
          <w:rFonts w:ascii="Arial Narrow" w:hAnsi="Arial Narrow"/>
          <w:i/>
          <w:iCs/>
          <w:sz w:val="26"/>
          <w:szCs w:val="26"/>
          <w:lang w:val="es-ES"/>
        </w:rPr>
        <w:t>”</w:t>
      </w:r>
      <w:r w:rsidRPr="002A66DA">
        <w:rPr>
          <w:rStyle w:val="Refdenotaalpie"/>
          <w:rFonts w:ascii="Arial Narrow" w:hAnsi="Arial Narrow"/>
          <w:i/>
          <w:iCs/>
          <w:sz w:val="26"/>
          <w:szCs w:val="26"/>
          <w:lang w:val="es-ES"/>
        </w:rPr>
        <w:footnoteReference w:id="17"/>
      </w:r>
      <w:r w:rsidRPr="002A66DA">
        <w:rPr>
          <w:rFonts w:ascii="Arial Narrow" w:hAnsi="Arial Narrow"/>
          <w:sz w:val="26"/>
          <w:szCs w:val="26"/>
          <w:lang w:val="es-ES"/>
        </w:rPr>
        <w:t>, entendimiento bajo el cual no tiene “</w:t>
      </w:r>
      <w:r w:rsidRPr="00193527">
        <w:rPr>
          <w:rFonts w:ascii="Arial Narrow" w:hAnsi="Arial Narrow"/>
          <w:i/>
          <w:iCs/>
          <w:szCs w:val="26"/>
          <w:lang w:val="es-ES"/>
        </w:rPr>
        <w:t>injerencia que previo a la iniciación del litigio aquél tuviera otro tipo de acreencia o no contara con la capacidad económica suficiente, pues lo cierto es que el exigencia contemplada en el artículo 42 ídem, impone a las entidades financieras o acreedores indefectiblemente la práctica de la mentada reestructuración, máxime cuando para iniciar el proceso judicial el título base de la obligación, por la naturaleza de la misma, se torna complejo, siendo necesario adosar tal legajo</w:t>
      </w:r>
      <w:r w:rsidRPr="002A66DA">
        <w:rPr>
          <w:rFonts w:ascii="Arial Narrow" w:hAnsi="Arial Narrow"/>
          <w:sz w:val="26"/>
          <w:szCs w:val="26"/>
          <w:lang w:val="es-ES"/>
        </w:rPr>
        <w:t>”</w:t>
      </w:r>
      <w:r w:rsidRPr="002A66DA">
        <w:rPr>
          <w:rStyle w:val="Refdenotaalpie"/>
          <w:rFonts w:ascii="Arial Narrow" w:hAnsi="Arial Narrow"/>
          <w:sz w:val="26"/>
          <w:szCs w:val="26"/>
          <w:lang w:val="es-ES"/>
        </w:rPr>
        <w:footnoteReference w:id="18"/>
      </w:r>
      <w:r w:rsidRPr="002A66DA">
        <w:rPr>
          <w:rFonts w:ascii="Arial Narrow" w:hAnsi="Arial Narrow"/>
          <w:sz w:val="26"/>
          <w:szCs w:val="26"/>
          <w:lang w:val="es-ES"/>
        </w:rPr>
        <w:t>.</w:t>
      </w:r>
    </w:p>
    <w:p w14:paraId="3E85B4F6" w14:textId="77777777" w:rsidR="00804EB3" w:rsidRPr="002A66DA" w:rsidRDefault="00804EB3" w:rsidP="002A66DA">
      <w:pPr>
        <w:widowControl w:val="0"/>
        <w:spacing w:line="276" w:lineRule="auto"/>
        <w:ind w:right="51"/>
        <w:jc w:val="both"/>
        <w:rPr>
          <w:rFonts w:ascii="Arial Narrow" w:hAnsi="Arial Narrow" w:cs="Arial"/>
          <w:sz w:val="26"/>
          <w:szCs w:val="26"/>
          <w:lang w:val="es-ES"/>
        </w:rPr>
      </w:pPr>
    </w:p>
    <w:p w14:paraId="2A7C271F" w14:textId="58F8CC15" w:rsidR="00804EB3" w:rsidRPr="002A66DA" w:rsidRDefault="00804EB3" w:rsidP="002A66DA">
      <w:pPr>
        <w:widowControl w:val="0"/>
        <w:spacing w:line="276" w:lineRule="auto"/>
        <w:ind w:right="51"/>
        <w:jc w:val="both"/>
        <w:rPr>
          <w:rFonts w:ascii="Arial Narrow" w:hAnsi="Arial Narrow" w:cs="Arial"/>
          <w:sz w:val="26"/>
          <w:szCs w:val="26"/>
          <w:lang w:val="es-ES"/>
        </w:rPr>
      </w:pPr>
      <w:r w:rsidRPr="002A66DA">
        <w:rPr>
          <w:rFonts w:ascii="Arial Narrow" w:hAnsi="Arial Narrow" w:cs="Arial"/>
          <w:sz w:val="26"/>
          <w:szCs w:val="26"/>
          <w:lang w:val="es-ES"/>
        </w:rPr>
        <w:t>Así las cosas, no puede entenderse disminuida la capacidad de pago de los deudores por el simple hecho de existir otro embargo sobre los bienes hipotecados, por ejemplo, un embargo coactivo, o por existir otros procesos ejecutivos con embargo de remanentes, postura jurisprudencial de la Sala de Casación Civil de la Corte Suprema de Justicia que descansa en el confesado “</w:t>
      </w:r>
      <w:r w:rsidRPr="00193527">
        <w:rPr>
          <w:rFonts w:ascii="Arial Narrow" w:hAnsi="Arial Narrow" w:cs="Arial"/>
          <w:i/>
          <w:iCs/>
          <w:szCs w:val="26"/>
          <w:lang w:val="es-ES"/>
        </w:rPr>
        <w:t>propósito de dar prevalencia al derecho fundamental a la vivienda</w:t>
      </w:r>
      <w:r w:rsidRPr="002A66DA">
        <w:rPr>
          <w:rFonts w:ascii="Arial Narrow" w:hAnsi="Arial Narrow" w:cs="Arial"/>
          <w:sz w:val="26"/>
          <w:szCs w:val="26"/>
          <w:lang w:val="es-ES"/>
        </w:rPr>
        <w:t>”</w:t>
      </w:r>
      <w:r w:rsidRPr="002A66DA">
        <w:rPr>
          <w:rStyle w:val="Refdenotaalpie"/>
          <w:rFonts w:ascii="Arial Narrow" w:hAnsi="Arial Narrow" w:cs="Arial"/>
          <w:sz w:val="26"/>
          <w:szCs w:val="26"/>
          <w:lang w:val="es-ES"/>
        </w:rPr>
        <w:footnoteReference w:id="19"/>
      </w:r>
      <w:r w:rsidRPr="002A66DA">
        <w:rPr>
          <w:rFonts w:ascii="Arial Narrow" w:hAnsi="Arial Narrow" w:cs="Arial"/>
          <w:sz w:val="26"/>
          <w:szCs w:val="26"/>
          <w:lang w:val="es-ES"/>
        </w:rPr>
        <w:t>.</w:t>
      </w:r>
    </w:p>
    <w:p w14:paraId="77F59D5C" w14:textId="77777777" w:rsidR="00804EB3" w:rsidRPr="002A66DA" w:rsidRDefault="00804EB3" w:rsidP="002A66DA">
      <w:pPr>
        <w:widowControl w:val="0"/>
        <w:spacing w:line="276" w:lineRule="auto"/>
        <w:ind w:right="-434"/>
        <w:jc w:val="both"/>
        <w:rPr>
          <w:rFonts w:ascii="Arial Narrow" w:hAnsi="Arial Narrow" w:cs="Arial"/>
          <w:sz w:val="26"/>
          <w:szCs w:val="26"/>
          <w:lang w:val="es-ES"/>
        </w:rPr>
      </w:pPr>
    </w:p>
    <w:p w14:paraId="1574CAA0" w14:textId="77777777" w:rsidR="00D50C41" w:rsidRPr="002A66DA" w:rsidRDefault="005D217F"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
          <w:color w:val="auto"/>
          <w:sz w:val="26"/>
          <w:szCs w:val="26"/>
          <w:lang w:val="es-CO"/>
        </w:rPr>
        <w:t>3.4.</w:t>
      </w:r>
      <w:r w:rsidR="00114D28" w:rsidRPr="002A66DA">
        <w:rPr>
          <w:rFonts w:ascii="Arial Narrow" w:hAnsi="Arial Narrow" w:cs="Arial Narrow"/>
          <w:b/>
          <w:color w:val="auto"/>
          <w:sz w:val="26"/>
          <w:szCs w:val="26"/>
          <w:lang w:val="es-CO"/>
        </w:rPr>
        <w:t xml:space="preserve"> </w:t>
      </w:r>
      <w:r w:rsidR="00114D28" w:rsidRPr="002A66DA">
        <w:rPr>
          <w:rFonts w:ascii="Arial Narrow" w:hAnsi="Arial Narrow" w:cs="Arial Narrow"/>
          <w:bCs/>
          <w:color w:val="auto"/>
          <w:sz w:val="26"/>
          <w:szCs w:val="26"/>
          <w:lang w:val="es-CO"/>
        </w:rPr>
        <w:t>Al revisar el caso concreto, despunta con claridad</w:t>
      </w:r>
      <w:r w:rsidR="002A008A" w:rsidRPr="002A66DA">
        <w:rPr>
          <w:rFonts w:ascii="Arial Narrow" w:hAnsi="Arial Narrow" w:cs="Arial Narrow"/>
          <w:bCs/>
          <w:color w:val="auto"/>
          <w:sz w:val="26"/>
          <w:szCs w:val="26"/>
          <w:lang w:val="es-CO"/>
        </w:rPr>
        <w:t xml:space="preserve"> que el título base de recaudo es un pagaré</w:t>
      </w:r>
      <w:r w:rsidR="002A008A" w:rsidRPr="002A66DA">
        <w:rPr>
          <w:rStyle w:val="Refdenotaalpie"/>
          <w:rFonts w:ascii="Arial Narrow" w:hAnsi="Arial Narrow" w:cs="Arial Narrow"/>
          <w:bCs/>
          <w:color w:val="auto"/>
          <w:sz w:val="26"/>
          <w:szCs w:val="26"/>
          <w:lang w:val="es-CO"/>
        </w:rPr>
        <w:footnoteReference w:id="20"/>
      </w:r>
      <w:r w:rsidR="002A008A" w:rsidRPr="002A66DA">
        <w:rPr>
          <w:rFonts w:ascii="Arial Narrow" w:hAnsi="Arial Narrow" w:cs="Arial Narrow"/>
          <w:bCs/>
          <w:color w:val="auto"/>
          <w:sz w:val="26"/>
          <w:szCs w:val="26"/>
          <w:lang w:val="es-CO"/>
        </w:rPr>
        <w:t xml:space="preserve"> otorgado el </w:t>
      </w:r>
      <w:r w:rsidR="002A008A" w:rsidRPr="002A66DA">
        <w:rPr>
          <w:rFonts w:ascii="Arial Narrow" w:hAnsi="Arial Narrow" w:cs="Arial Narrow"/>
          <w:b/>
          <w:color w:val="auto"/>
          <w:sz w:val="26"/>
          <w:szCs w:val="26"/>
          <w:lang w:val="es-CO"/>
        </w:rPr>
        <w:t>23 de abril de 1997</w:t>
      </w:r>
      <w:r w:rsidR="002A008A" w:rsidRPr="002A66DA">
        <w:rPr>
          <w:rFonts w:ascii="Arial Narrow" w:hAnsi="Arial Narrow" w:cs="Arial Narrow"/>
          <w:bCs/>
          <w:color w:val="auto"/>
          <w:sz w:val="26"/>
          <w:szCs w:val="26"/>
          <w:lang w:val="es-CO"/>
        </w:rPr>
        <w:t xml:space="preserve">, donde el ejecutado, </w:t>
      </w:r>
      <w:r w:rsidR="00D50C41" w:rsidRPr="002A66DA">
        <w:rPr>
          <w:rFonts w:ascii="Arial Narrow" w:hAnsi="Arial Narrow" w:cs="Arial Narrow"/>
          <w:bCs/>
          <w:color w:val="auto"/>
          <w:sz w:val="26"/>
          <w:szCs w:val="26"/>
          <w:lang w:val="es-CO"/>
        </w:rPr>
        <w:t xml:space="preserve">en nombre propio y como apoderado de </w:t>
      </w:r>
      <w:r w:rsidR="002A008A" w:rsidRPr="002A66DA">
        <w:rPr>
          <w:rFonts w:ascii="Arial Narrow" w:hAnsi="Arial Narrow" w:cs="Arial Narrow"/>
          <w:bCs/>
          <w:color w:val="auto"/>
          <w:sz w:val="26"/>
          <w:szCs w:val="26"/>
          <w:lang w:val="es-CO"/>
        </w:rPr>
        <w:t>CARLOS MURILLO AGUALIMPIA y DANNY MORENO CÓRDOBA</w:t>
      </w:r>
      <w:r w:rsidR="00D50C41" w:rsidRPr="002A66DA">
        <w:rPr>
          <w:rFonts w:ascii="Arial Narrow" w:hAnsi="Arial Narrow" w:cs="Arial Narrow"/>
          <w:bCs/>
          <w:color w:val="auto"/>
          <w:sz w:val="26"/>
          <w:szCs w:val="26"/>
          <w:lang w:val="es-CO"/>
        </w:rPr>
        <w:t xml:space="preserve"> (no demandados)</w:t>
      </w:r>
      <w:r w:rsidR="002A008A" w:rsidRPr="002A66DA">
        <w:rPr>
          <w:rFonts w:ascii="Arial Narrow" w:hAnsi="Arial Narrow" w:cs="Arial Narrow"/>
          <w:bCs/>
          <w:color w:val="auto"/>
          <w:sz w:val="26"/>
          <w:szCs w:val="26"/>
          <w:lang w:val="es-CO"/>
        </w:rPr>
        <w:t>, se comprometi</w:t>
      </w:r>
      <w:r w:rsidR="00D50C41" w:rsidRPr="002A66DA">
        <w:rPr>
          <w:rFonts w:ascii="Arial Narrow" w:hAnsi="Arial Narrow" w:cs="Arial Narrow"/>
          <w:bCs/>
          <w:color w:val="auto"/>
          <w:sz w:val="26"/>
          <w:szCs w:val="26"/>
          <w:lang w:val="es-CO"/>
        </w:rPr>
        <w:t xml:space="preserve">ó </w:t>
      </w:r>
      <w:r w:rsidR="002A008A" w:rsidRPr="002A66DA">
        <w:rPr>
          <w:rFonts w:ascii="Arial Narrow" w:hAnsi="Arial Narrow" w:cs="Arial Narrow"/>
          <w:bCs/>
          <w:color w:val="auto"/>
          <w:sz w:val="26"/>
          <w:szCs w:val="26"/>
          <w:lang w:val="es-CO"/>
        </w:rPr>
        <w:t xml:space="preserve">a pagar a la COPORACIÓN NACIONAL DE AHORRO Y VIVIENDA “CONAVI” (hoy Bancolombia), la suma de </w:t>
      </w:r>
      <w:r w:rsidR="002A008A" w:rsidRPr="002A66DA">
        <w:rPr>
          <w:rFonts w:ascii="Arial Narrow" w:hAnsi="Arial Narrow" w:cs="Arial Narrow"/>
          <w:b/>
          <w:color w:val="auto"/>
          <w:sz w:val="26"/>
          <w:szCs w:val="26"/>
          <w:lang w:val="es-CO"/>
        </w:rPr>
        <w:t>5.407,8483 UPAC,</w:t>
      </w:r>
      <w:r w:rsidR="002A008A" w:rsidRPr="002A66DA">
        <w:rPr>
          <w:rFonts w:ascii="Arial Narrow" w:hAnsi="Arial Narrow" w:cs="Arial Narrow"/>
          <w:bCs/>
          <w:color w:val="auto"/>
          <w:sz w:val="26"/>
          <w:szCs w:val="26"/>
          <w:lang w:val="es-CO"/>
        </w:rPr>
        <w:t xml:space="preserve"> equivalente a $ 56.000.000, en 180 instalamentos, cada uno por 70,3977 UPAC, para ser pagado el primero el 23 de mayo de 1997 y así sucesivamente. </w:t>
      </w:r>
    </w:p>
    <w:p w14:paraId="34B0CDD0" w14:textId="77777777" w:rsidR="00D50C41" w:rsidRPr="002A66DA" w:rsidRDefault="00D50C41"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D224F88" w14:textId="7A2ACBA9" w:rsidR="00537848" w:rsidRPr="002A66DA" w:rsidRDefault="002A008A"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Se </w:t>
      </w:r>
      <w:r w:rsidR="00D50C41" w:rsidRPr="002A66DA">
        <w:rPr>
          <w:rFonts w:ascii="Arial Narrow" w:hAnsi="Arial Narrow" w:cs="Arial Narrow"/>
          <w:bCs/>
          <w:color w:val="auto"/>
          <w:sz w:val="26"/>
          <w:szCs w:val="26"/>
          <w:lang w:val="es-CO"/>
        </w:rPr>
        <w:t>trata, entonces, de un crédito a largo plazo otorgado en el antiguo sistema UPAC</w:t>
      </w:r>
      <w:r w:rsidR="008D4F42" w:rsidRPr="002A66DA">
        <w:rPr>
          <w:rFonts w:ascii="Arial Narrow" w:hAnsi="Arial Narrow" w:cs="Arial Narrow"/>
          <w:bCs/>
          <w:color w:val="auto"/>
          <w:sz w:val="26"/>
          <w:szCs w:val="26"/>
          <w:lang w:val="es-CO"/>
        </w:rPr>
        <w:t>, destinado para financiar la adquisición de vivienda</w:t>
      </w:r>
      <w:r w:rsidR="00712F56" w:rsidRPr="002A66DA">
        <w:rPr>
          <w:rFonts w:ascii="Arial Narrow" w:hAnsi="Arial Narrow" w:cs="Arial Narrow"/>
          <w:bCs/>
          <w:color w:val="auto"/>
          <w:sz w:val="26"/>
          <w:szCs w:val="26"/>
          <w:lang w:val="es-CO"/>
        </w:rPr>
        <w:t xml:space="preserve">. Esto último </w:t>
      </w:r>
      <w:r w:rsidR="008D4F42" w:rsidRPr="002A66DA">
        <w:rPr>
          <w:rFonts w:ascii="Arial Narrow" w:hAnsi="Arial Narrow" w:cs="Arial Narrow"/>
          <w:bCs/>
          <w:color w:val="auto"/>
          <w:sz w:val="26"/>
          <w:szCs w:val="26"/>
          <w:lang w:val="es-CO"/>
        </w:rPr>
        <w:t xml:space="preserve">se desprende </w:t>
      </w:r>
      <w:r w:rsidR="00537848" w:rsidRPr="002A66DA">
        <w:rPr>
          <w:rFonts w:ascii="Arial Narrow" w:hAnsi="Arial Narrow" w:cs="Arial Narrow"/>
          <w:bCs/>
          <w:color w:val="auto"/>
          <w:sz w:val="26"/>
          <w:szCs w:val="26"/>
          <w:lang w:val="es-CO"/>
        </w:rPr>
        <w:t xml:space="preserve">de la escritura pública No. 2257 del 08 de abril de 1997 de la Notaría </w:t>
      </w:r>
      <w:r w:rsidR="00537848" w:rsidRPr="002A66DA">
        <w:rPr>
          <w:rFonts w:ascii="Arial Narrow" w:hAnsi="Arial Narrow" w:cs="Arial Narrow"/>
          <w:bCs/>
          <w:color w:val="000000" w:themeColor="text1"/>
          <w:sz w:val="26"/>
          <w:szCs w:val="26"/>
          <w:lang w:val="es-CO"/>
        </w:rPr>
        <w:t xml:space="preserve">quince del Círculo </w:t>
      </w:r>
      <w:r w:rsidR="00537848" w:rsidRPr="002A66DA">
        <w:rPr>
          <w:rFonts w:ascii="Arial Narrow" w:hAnsi="Arial Narrow" w:cs="Arial Narrow"/>
          <w:bCs/>
          <w:color w:val="auto"/>
          <w:sz w:val="26"/>
          <w:szCs w:val="26"/>
          <w:lang w:val="es-CO"/>
        </w:rPr>
        <w:t>de Medellín, donde CARLOS MURILLO AGUALIMPIA y DANNY MORENO CÓRDOBA, también representados por el acá demandado, adqui</w:t>
      </w:r>
      <w:r w:rsidR="00DB5089" w:rsidRPr="002A66DA">
        <w:rPr>
          <w:rFonts w:ascii="Arial Narrow" w:hAnsi="Arial Narrow" w:cs="Arial Narrow"/>
          <w:bCs/>
          <w:color w:val="auto"/>
          <w:sz w:val="26"/>
          <w:szCs w:val="26"/>
          <w:lang w:val="es-CO"/>
        </w:rPr>
        <w:t xml:space="preserve">rieron </w:t>
      </w:r>
      <w:r w:rsidR="00537848" w:rsidRPr="002A66DA">
        <w:rPr>
          <w:rFonts w:ascii="Arial Narrow" w:hAnsi="Arial Narrow" w:cs="Arial Narrow"/>
          <w:bCs/>
          <w:color w:val="auto"/>
          <w:sz w:val="26"/>
          <w:szCs w:val="26"/>
          <w:lang w:val="es-CO"/>
        </w:rPr>
        <w:t>el derecho de dominio del inmueble allá descrito</w:t>
      </w:r>
      <w:r w:rsidR="00F025CF" w:rsidRPr="002A66DA">
        <w:rPr>
          <w:rFonts w:ascii="Arial Narrow" w:hAnsi="Arial Narrow" w:cs="Arial Narrow"/>
          <w:bCs/>
          <w:color w:val="auto"/>
          <w:sz w:val="26"/>
          <w:szCs w:val="26"/>
          <w:lang w:val="es-CO"/>
        </w:rPr>
        <w:t xml:space="preserve"> (casa destinada a vivienda, construida en dos pisos)</w:t>
      </w:r>
      <w:r w:rsidR="00537848" w:rsidRPr="002A66DA">
        <w:rPr>
          <w:rFonts w:ascii="Arial Narrow" w:hAnsi="Arial Narrow" w:cs="Arial Narrow"/>
          <w:bCs/>
          <w:color w:val="auto"/>
          <w:sz w:val="26"/>
          <w:szCs w:val="26"/>
          <w:lang w:val="es-CO"/>
        </w:rPr>
        <w:t>,</w:t>
      </w:r>
      <w:r w:rsidR="00F1226E" w:rsidRPr="002A66DA">
        <w:rPr>
          <w:rFonts w:ascii="Arial Narrow" w:hAnsi="Arial Narrow" w:cs="Arial Narrow"/>
          <w:bCs/>
          <w:color w:val="auto"/>
          <w:sz w:val="26"/>
          <w:szCs w:val="26"/>
          <w:lang w:val="es-CO"/>
        </w:rPr>
        <w:t xml:space="preserve"> por el valor de $70.000.000 de los cuales, según la cláusula cuarta, $56.000.000 se cancelar</w:t>
      </w:r>
      <w:r w:rsidR="00DB5089" w:rsidRPr="002A66DA">
        <w:rPr>
          <w:rFonts w:ascii="Arial Narrow" w:hAnsi="Arial Narrow" w:cs="Arial Narrow"/>
          <w:bCs/>
          <w:color w:val="auto"/>
          <w:sz w:val="26"/>
          <w:szCs w:val="26"/>
          <w:lang w:val="es-CO"/>
        </w:rPr>
        <w:t>ía</w:t>
      </w:r>
      <w:r w:rsidR="00F1226E" w:rsidRPr="002A66DA">
        <w:rPr>
          <w:rFonts w:ascii="Arial Narrow" w:hAnsi="Arial Narrow" w:cs="Arial Narrow"/>
          <w:bCs/>
          <w:color w:val="auto"/>
          <w:sz w:val="26"/>
          <w:szCs w:val="26"/>
          <w:lang w:val="es-CO"/>
        </w:rPr>
        <w:t>n con el producto del desembolso del crédito otorgado por CONAVI. Como garantía de ese crédito, en ese mismo instrumento se otorgó hipoteca a favor del acreedor.</w:t>
      </w:r>
    </w:p>
    <w:p w14:paraId="3914053C" w14:textId="268FC2FA" w:rsidR="00537848" w:rsidRPr="002A66DA" w:rsidRDefault="00537848"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437A904" w14:textId="272DB3C1" w:rsidR="00AB149B" w:rsidRPr="002A66DA" w:rsidRDefault="00AB149B"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lastRenderedPageBreak/>
        <w:t>En la demanda el acreedor hizo relación a la redenominación y la reliquidación del crédito, y junto al escrito de subsanación aportó ésta última, documento del cual se infiere</w:t>
      </w:r>
      <w:r w:rsidR="002814D4" w:rsidRPr="002A66DA">
        <w:rPr>
          <w:rFonts w:ascii="Arial Narrow" w:hAnsi="Arial Narrow" w:cs="Arial Narrow"/>
          <w:bCs/>
          <w:color w:val="auto"/>
          <w:sz w:val="26"/>
          <w:szCs w:val="26"/>
          <w:lang w:val="es-CO"/>
        </w:rPr>
        <w:t xml:space="preserve"> que se aplicó un alivió por valor de $ 7.923</w:t>
      </w:r>
      <w:r w:rsidR="00272A62" w:rsidRPr="002A66DA">
        <w:rPr>
          <w:rFonts w:ascii="Arial Narrow" w:hAnsi="Arial Narrow" w:cs="Arial Narrow"/>
          <w:bCs/>
          <w:color w:val="auto"/>
          <w:sz w:val="26"/>
          <w:szCs w:val="26"/>
          <w:lang w:val="es-CO"/>
        </w:rPr>
        <w:t>.466,19.</w:t>
      </w:r>
    </w:p>
    <w:p w14:paraId="1F55CDA1" w14:textId="39BE5D26" w:rsidR="00272A62" w:rsidRPr="002A66DA" w:rsidRDefault="00272A62"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3FBC74D" w14:textId="7334B490" w:rsidR="00D83004" w:rsidRPr="002A66DA" w:rsidRDefault="00AB5B82" w:rsidP="002A66DA">
      <w:pPr>
        <w:widowControl w:val="0"/>
        <w:spacing w:line="276" w:lineRule="auto"/>
        <w:ind w:right="51"/>
        <w:jc w:val="both"/>
        <w:rPr>
          <w:rFonts w:ascii="Arial Narrow" w:hAnsi="Arial Narrow" w:cs="Arial"/>
          <w:sz w:val="26"/>
          <w:szCs w:val="26"/>
          <w:lang w:val="es-ES"/>
        </w:rPr>
      </w:pPr>
      <w:r w:rsidRPr="002A66DA">
        <w:rPr>
          <w:rFonts w:ascii="Arial Narrow" w:hAnsi="Arial Narrow" w:cs="Arial Narrow"/>
          <w:bCs/>
          <w:sz w:val="26"/>
          <w:szCs w:val="26"/>
        </w:rPr>
        <w:t xml:space="preserve">Sin embargo, no se informó en la demanda, y menos se acreditó, </w:t>
      </w:r>
      <w:r w:rsidR="00D83004" w:rsidRPr="002A66DA">
        <w:rPr>
          <w:rFonts w:ascii="Arial Narrow" w:hAnsi="Arial Narrow" w:cs="Arial"/>
          <w:sz w:val="26"/>
          <w:szCs w:val="26"/>
          <w:lang w:val="es-ES"/>
        </w:rPr>
        <w:t>que sobre el crédito se haya acordado con los deudores su reestructuración, mecanismo que como viene de explicarse, constituye presupuesto de exigibilidad de la obligación.</w:t>
      </w:r>
    </w:p>
    <w:p w14:paraId="5D1994F6" w14:textId="77777777" w:rsidR="00D83004" w:rsidRPr="002A66DA" w:rsidRDefault="00D83004" w:rsidP="002A66DA">
      <w:pPr>
        <w:widowControl w:val="0"/>
        <w:spacing w:line="276" w:lineRule="auto"/>
        <w:ind w:right="51"/>
        <w:jc w:val="both"/>
        <w:rPr>
          <w:rFonts w:ascii="Arial Narrow" w:hAnsi="Arial Narrow" w:cs="Arial"/>
          <w:sz w:val="26"/>
          <w:szCs w:val="26"/>
          <w:lang w:val="es-ES"/>
        </w:rPr>
      </w:pPr>
    </w:p>
    <w:p w14:paraId="39747FDA" w14:textId="1CB57977" w:rsidR="00D83004" w:rsidRPr="002A66DA" w:rsidRDefault="00D83004" w:rsidP="002A66DA">
      <w:pPr>
        <w:widowControl w:val="0"/>
        <w:spacing w:line="276" w:lineRule="auto"/>
        <w:ind w:right="51"/>
        <w:jc w:val="both"/>
        <w:rPr>
          <w:rFonts w:ascii="Arial Narrow" w:hAnsi="Arial Narrow" w:cs="Arial"/>
          <w:sz w:val="26"/>
          <w:szCs w:val="26"/>
          <w:lang w:val="es-ES"/>
        </w:rPr>
      </w:pPr>
      <w:r w:rsidRPr="002A66DA">
        <w:rPr>
          <w:rFonts w:ascii="Arial Narrow" w:hAnsi="Arial Narrow" w:cs="Arial"/>
          <w:sz w:val="26"/>
          <w:szCs w:val="26"/>
          <w:lang w:val="es-ES"/>
        </w:rPr>
        <w:t>En el anterior orden de cosas, y en atención al deber de verificar de manera oficiosa los requisitos del título ejecutivo al momento de proferir sentencia</w:t>
      </w:r>
      <w:r w:rsidR="00C833A6" w:rsidRPr="002A66DA">
        <w:rPr>
          <w:rFonts w:ascii="Arial Narrow" w:hAnsi="Arial Narrow" w:cs="Arial"/>
          <w:sz w:val="26"/>
          <w:szCs w:val="26"/>
          <w:lang w:val="es-ES"/>
        </w:rPr>
        <w:t xml:space="preserve"> siguiendo el criterio establecido por la Corte Suprema de Justicia</w:t>
      </w:r>
      <w:r w:rsidRPr="002A66DA">
        <w:rPr>
          <w:rFonts w:ascii="Arial Narrow" w:hAnsi="Arial Narrow" w:cs="Arial"/>
          <w:sz w:val="26"/>
          <w:szCs w:val="26"/>
          <w:lang w:val="es-ES"/>
        </w:rPr>
        <w:t xml:space="preserve">, </w:t>
      </w:r>
      <w:r w:rsidR="00834FE0" w:rsidRPr="002A66DA">
        <w:rPr>
          <w:rFonts w:ascii="Arial Narrow" w:hAnsi="Arial Narrow" w:cs="Arial"/>
          <w:sz w:val="26"/>
          <w:szCs w:val="26"/>
          <w:lang w:val="es-ES"/>
        </w:rPr>
        <w:t xml:space="preserve">incluso antes de </w:t>
      </w:r>
      <w:r w:rsidR="00E82361" w:rsidRPr="002A66DA">
        <w:rPr>
          <w:rFonts w:ascii="Arial Narrow" w:hAnsi="Arial Narrow" w:cs="Arial"/>
          <w:sz w:val="26"/>
          <w:szCs w:val="26"/>
          <w:lang w:val="es-ES"/>
        </w:rPr>
        <w:t>analizar</w:t>
      </w:r>
      <w:r w:rsidR="00834FE0" w:rsidRPr="002A66DA">
        <w:rPr>
          <w:rFonts w:ascii="Arial Narrow" w:hAnsi="Arial Narrow" w:cs="Arial"/>
          <w:sz w:val="26"/>
          <w:szCs w:val="26"/>
          <w:lang w:val="es-ES"/>
        </w:rPr>
        <w:t xml:space="preserve"> la configuración de las excepciones de mérito que se hayan propuesto, debe con</w:t>
      </w:r>
      <w:r w:rsidR="007C324D" w:rsidRPr="002A66DA">
        <w:rPr>
          <w:rFonts w:ascii="Arial Narrow" w:hAnsi="Arial Narrow" w:cs="Arial"/>
          <w:sz w:val="26"/>
          <w:szCs w:val="26"/>
          <w:lang w:val="es-ES"/>
        </w:rPr>
        <w:t xml:space="preserve">cluirse la necesidad de </w:t>
      </w:r>
      <w:r w:rsidRPr="002A66DA">
        <w:rPr>
          <w:rFonts w:ascii="Arial Narrow" w:hAnsi="Arial Narrow" w:cs="Arial"/>
          <w:sz w:val="26"/>
          <w:szCs w:val="26"/>
          <w:lang w:val="es-ES"/>
        </w:rPr>
        <w:t xml:space="preserve">ordenar la terminación del </w:t>
      </w:r>
      <w:r w:rsidR="007C324D" w:rsidRPr="002A66DA">
        <w:rPr>
          <w:rFonts w:ascii="Arial Narrow" w:hAnsi="Arial Narrow" w:cs="Arial"/>
          <w:sz w:val="26"/>
          <w:szCs w:val="26"/>
          <w:lang w:val="es-ES"/>
        </w:rPr>
        <w:t xml:space="preserve">presente </w:t>
      </w:r>
      <w:r w:rsidRPr="002A66DA">
        <w:rPr>
          <w:rFonts w:ascii="Arial Narrow" w:hAnsi="Arial Narrow" w:cs="Arial"/>
          <w:sz w:val="26"/>
          <w:szCs w:val="26"/>
          <w:lang w:val="es-ES"/>
        </w:rPr>
        <w:t xml:space="preserve">proceso </w:t>
      </w:r>
      <w:r w:rsidR="007C324D" w:rsidRPr="002A66DA">
        <w:rPr>
          <w:rFonts w:ascii="Arial Narrow" w:hAnsi="Arial Narrow" w:cs="Arial"/>
          <w:sz w:val="26"/>
          <w:szCs w:val="26"/>
          <w:lang w:val="es-ES"/>
        </w:rPr>
        <w:t xml:space="preserve">de </w:t>
      </w:r>
      <w:r w:rsidRPr="002A66DA">
        <w:rPr>
          <w:rFonts w:ascii="Arial Narrow" w:hAnsi="Arial Narrow" w:cs="Arial"/>
          <w:sz w:val="26"/>
          <w:szCs w:val="26"/>
          <w:lang w:val="es-ES"/>
        </w:rPr>
        <w:t>ejecu</w:t>
      </w:r>
      <w:r w:rsidR="007C324D" w:rsidRPr="002A66DA">
        <w:rPr>
          <w:rFonts w:ascii="Arial Narrow" w:hAnsi="Arial Narrow" w:cs="Arial"/>
          <w:sz w:val="26"/>
          <w:szCs w:val="26"/>
          <w:lang w:val="es-ES"/>
        </w:rPr>
        <w:t>c</w:t>
      </w:r>
      <w:r w:rsidRPr="002A66DA">
        <w:rPr>
          <w:rFonts w:ascii="Arial Narrow" w:hAnsi="Arial Narrow" w:cs="Arial"/>
          <w:sz w:val="26"/>
          <w:szCs w:val="26"/>
          <w:lang w:val="es-ES"/>
        </w:rPr>
        <w:t>i</w:t>
      </w:r>
      <w:r w:rsidR="007C324D" w:rsidRPr="002A66DA">
        <w:rPr>
          <w:rFonts w:ascii="Arial Narrow" w:hAnsi="Arial Narrow" w:cs="Arial"/>
          <w:sz w:val="26"/>
          <w:szCs w:val="26"/>
          <w:lang w:val="es-ES"/>
        </w:rPr>
        <w:t>ón</w:t>
      </w:r>
      <w:r w:rsidRPr="002A66DA">
        <w:rPr>
          <w:rFonts w:ascii="Arial Narrow" w:hAnsi="Arial Narrow" w:cs="Arial"/>
          <w:sz w:val="26"/>
          <w:szCs w:val="26"/>
          <w:lang w:val="es-ES"/>
        </w:rPr>
        <w:t xml:space="preserve"> por ausencia de exigibilidad de la obligación cobrada, supuesto que debió acreditarse por el acreedor demandante.</w:t>
      </w:r>
      <w:r w:rsidR="00137CCE" w:rsidRPr="002A66DA">
        <w:rPr>
          <w:rFonts w:ascii="Arial Narrow" w:hAnsi="Arial Narrow" w:cs="Arial"/>
          <w:sz w:val="26"/>
          <w:szCs w:val="26"/>
          <w:lang w:val="es-ES"/>
        </w:rPr>
        <w:t xml:space="preserve"> Es que, desatendida la reestructuración</w:t>
      </w:r>
      <w:r w:rsidR="005F14ED" w:rsidRPr="002A66DA">
        <w:rPr>
          <w:rFonts w:ascii="Arial Narrow" w:hAnsi="Arial Narrow" w:cs="Arial"/>
          <w:sz w:val="26"/>
          <w:szCs w:val="26"/>
          <w:lang w:val="es-ES"/>
        </w:rPr>
        <w:t xml:space="preserve"> del crédito, la ejecución </w:t>
      </w:r>
      <w:r w:rsidR="00137CCE" w:rsidRPr="002A66DA">
        <w:rPr>
          <w:rFonts w:ascii="Arial Narrow" w:hAnsi="Arial Narrow" w:cs="Arial"/>
          <w:sz w:val="26"/>
          <w:szCs w:val="26"/>
          <w:lang w:val="es-ES"/>
        </w:rPr>
        <w:t>no podía en principio iniciarse, o de haberlo sido</w:t>
      </w:r>
      <w:r w:rsidR="005F14ED" w:rsidRPr="002A66DA">
        <w:rPr>
          <w:rFonts w:ascii="Arial Narrow" w:hAnsi="Arial Narrow" w:cs="Arial"/>
          <w:sz w:val="26"/>
          <w:szCs w:val="26"/>
          <w:lang w:val="es-ES"/>
        </w:rPr>
        <w:t xml:space="preserve"> como ocurrió</w:t>
      </w:r>
      <w:r w:rsidR="00137CCE" w:rsidRPr="002A66DA">
        <w:rPr>
          <w:rFonts w:ascii="Arial Narrow" w:hAnsi="Arial Narrow" w:cs="Arial"/>
          <w:sz w:val="26"/>
          <w:szCs w:val="26"/>
          <w:lang w:val="es-ES"/>
        </w:rPr>
        <w:t>, no deberá continuarse su trámite, lo que procesalmente se traduce en la terminación del proceso</w:t>
      </w:r>
      <w:r w:rsidR="005F14ED" w:rsidRPr="002A66DA">
        <w:rPr>
          <w:rFonts w:ascii="Arial Narrow" w:hAnsi="Arial Narrow" w:cs="Arial"/>
          <w:sz w:val="26"/>
          <w:szCs w:val="26"/>
          <w:lang w:val="es-ES"/>
        </w:rPr>
        <w:t>.</w:t>
      </w:r>
    </w:p>
    <w:p w14:paraId="57085578" w14:textId="4559A9E8" w:rsidR="00272A62" w:rsidRPr="002A66DA" w:rsidRDefault="00272A62"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ES"/>
        </w:rPr>
      </w:pPr>
    </w:p>
    <w:p w14:paraId="0015656A" w14:textId="473AE649" w:rsidR="00745B9F" w:rsidRPr="002A66DA" w:rsidRDefault="00B96D49"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Así se dirá en la parte resolutiva de esta providencia, lo que implica revocar la sentencia apelada que había dispuestos continuar la ejecución</w:t>
      </w:r>
      <w:r w:rsidR="00D83F09" w:rsidRPr="002A66DA">
        <w:rPr>
          <w:rFonts w:ascii="Arial Narrow" w:hAnsi="Arial Narrow" w:cs="Arial Narrow"/>
          <w:bCs/>
          <w:color w:val="auto"/>
          <w:sz w:val="26"/>
          <w:szCs w:val="26"/>
          <w:lang w:val="es-CO"/>
        </w:rPr>
        <w:t xml:space="preserve"> con una modificación introducida al </w:t>
      </w:r>
      <w:r w:rsidR="00B81015" w:rsidRPr="002A66DA">
        <w:rPr>
          <w:rFonts w:ascii="Arial Narrow" w:hAnsi="Arial Narrow" w:cs="Arial Narrow"/>
          <w:bCs/>
          <w:color w:val="auto"/>
          <w:sz w:val="26"/>
          <w:szCs w:val="26"/>
          <w:lang w:val="es-CO"/>
        </w:rPr>
        <w:t xml:space="preserve">monto del </w:t>
      </w:r>
      <w:r w:rsidRPr="002A66DA">
        <w:rPr>
          <w:rFonts w:ascii="Arial Narrow" w:hAnsi="Arial Narrow" w:cs="Arial Narrow"/>
          <w:bCs/>
          <w:color w:val="auto"/>
          <w:sz w:val="26"/>
          <w:szCs w:val="26"/>
          <w:lang w:val="es-CO"/>
        </w:rPr>
        <w:t>capital adeudado.</w:t>
      </w:r>
    </w:p>
    <w:p w14:paraId="186BD72B" w14:textId="7C2A3A06" w:rsidR="00B96D49" w:rsidRPr="002A66DA" w:rsidRDefault="00B96D49"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C5D6363" w14:textId="77777777" w:rsidR="00B81015" w:rsidRPr="002A66DA" w:rsidRDefault="00284A2B"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
          <w:color w:val="auto"/>
          <w:sz w:val="26"/>
          <w:szCs w:val="26"/>
          <w:lang w:val="es-CO"/>
        </w:rPr>
        <w:t xml:space="preserve">4. </w:t>
      </w:r>
      <w:r w:rsidR="00B96D49" w:rsidRPr="002A66DA">
        <w:rPr>
          <w:rFonts w:ascii="Arial Narrow" w:hAnsi="Arial Narrow" w:cs="Arial Narrow"/>
          <w:bCs/>
          <w:color w:val="auto"/>
          <w:sz w:val="26"/>
          <w:szCs w:val="26"/>
          <w:lang w:val="es-CO"/>
        </w:rPr>
        <w:t xml:space="preserve">Resta señalar, </w:t>
      </w:r>
      <w:r w:rsidR="00B93EFD" w:rsidRPr="002A66DA">
        <w:rPr>
          <w:rFonts w:ascii="Arial Narrow" w:hAnsi="Arial Narrow" w:cs="Arial Narrow"/>
          <w:bCs/>
          <w:color w:val="auto"/>
          <w:sz w:val="26"/>
          <w:szCs w:val="26"/>
          <w:lang w:val="es-CO"/>
        </w:rPr>
        <w:t xml:space="preserve">para finalizar, que la decisión que acá se perfila no constituye una vulneración del principio de la no </w:t>
      </w:r>
      <w:proofErr w:type="spellStart"/>
      <w:r w:rsidR="00B93EFD" w:rsidRPr="002A66DA">
        <w:rPr>
          <w:rFonts w:ascii="Arial Narrow" w:hAnsi="Arial Narrow" w:cs="Arial Narrow"/>
          <w:bCs/>
          <w:color w:val="auto"/>
          <w:sz w:val="26"/>
          <w:szCs w:val="26"/>
          <w:lang w:val="es-CO"/>
        </w:rPr>
        <w:t>reformatio</w:t>
      </w:r>
      <w:proofErr w:type="spellEnd"/>
      <w:r w:rsidR="00B93EFD" w:rsidRPr="002A66DA">
        <w:rPr>
          <w:rFonts w:ascii="Arial Narrow" w:hAnsi="Arial Narrow" w:cs="Arial Narrow"/>
          <w:bCs/>
          <w:color w:val="auto"/>
          <w:sz w:val="26"/>
          <w:szCs w:val="26"/>
          <w:lang w:val="es-CO"/>
        </w:rPr>
        <w:t xml:space="preserve"> in </w:t>
      </w:r>
      <w:proofErr w:type="spellStart"/>
      <w:r w:rsidR="00B93EFD" w:rsidRPr="002A66DA">
        <w:rPr>
          <w:rFonts w:ascii="Arial Narrow" w:hAnsi="Arial Narrow" w:cs="Arial Narrow"/>
          <w:bCs/>
          <w:color w:val="auto"/>
          <w:sz w:val="26"/>
          <w:szCs w:val="26"/>
          <w:lang w:val="es-CO"/>
        </w:rPr>
        <w:t>pejus</w:t>
      </w:r>
      <w:proofErr w:type="spellEnd"/>
      <w:r w:rsidR="00A572F5" w:rsidRPr="002A66DA">
        <w:rPr>
          <w:rFonts w:ascii="Arial Narrow" w:hAnsi="Arial Narrow" w:cs="Arial Narrow"/>
          <w:bCs/>
          <w:color w:val="auto"/>
          <w:sz w:val="26"/>
          <w:szCs w:val="26"/>
          <w:lang w:val="es-CO"/>
        </w:rPr>
        <w:t xml:space="preserve">, pues responde al cumplimiento del deber de revisar los requisitos del título, incluso en segunda instancia, que se hace de manera oficiosa y sin límites. </w:t>
      </w:r>
    </w:p>
    <w:p w14:paraId="07A05BED" w14:textId="77777777" w:rsidR="00B81015" w:rsidRPr="002A66DA" w:rsidRDefault="00B81015"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B00FB3A" w14:textId="2DF35530" w:rsidR="00B96D49" w:rsidRPr="002A66DA" w:rsidRDefault="00A572F5" w:rsidP="002A66D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En es</w:t>
      </w:r>
      <w:r w:rsidR="00B81015" w:rsidRPr="002A66DA">
        <w:rPr>
          <w:rFonts w:ascii="Arial Narrow" w:hAnsi="Arial Narrow" w:cs="Arial Narrow"/>
          <w:bCs/>
          <w:color w:val="auto"/>
          <w:sz w:val="26"/>
          <w:szCs w:val="26"/>
          <w:lang w:val="es-CO"/>
        </w:rPr>
        <w:t>e</w:t>
      </w:r>
      <w:r w:rsidRPr="002A66DA">
        <w:rPr>
          <w:rFonts w:ascii="Arial Narrow" w:hAnsi="Arial Narrow" w:cs="Arial Narrow"/>
          <w:bCs/>
          <w:color w:val="auto"/>
          <w:sz w:val="26"/>
          <w:szCs w:val="26"/>
          <w:lang w:val="es-CO"/>
        </w:rPr>
        <w:t xml:space="preserve"> sentido la Corte Suprema de Justicia ha señalado </w:t>
      </w:r>
      <w:r w:rsidR="00D4371E" w:rsidRPr="002A66DA">
        <w:rPr>
          <w:rFonts w:ascii="Arial Narrow" w:hAnsi="Arial Narrow" w:cs="Arial Narrow"/>
          <w:bCs/>
          <w:color w:val="auto"/>
          <w:sz w:val="26"/>
          <w:szCs w:val="26"/>
          <w:lang w:val="es-CO"/>
        </w:rPr>
        <w:t>“</w:t>
      </w:r>
      <w:r w:rsidR="00D4371E" w:rsidRPr="00193527">
        <w:rPr>
          <w:rFonts w:ascii="Arial Narrow" w:hAnsi="Arial Narrow" w:cs="Arial Narrow"/>
          <w:bCs/>
          <w:i/>
          <w:iCs/>
          <w:color w:val="auto"/>
          <w:sz w:val="24"/>
          <w:szCs w:val="26"/>
          <w:lang w:val="es-CO"/>
        </w:rPr>
        <w:t xml:space="preserve">que por virtud del canon 497 del C. de P. C., el juzgador ordinario está habilitado para volver a estudiar, aun oficiosamente y sin límite, el título que se presenta como soporte del recaudo, a la hora de emitir el fallo con que finiquite lo atañedero con ese escrutinio judicial, sin que ello comporte que, en tratándose de sentencias de segundo grado en las que el recurso vertical no gravita sobre dicho tema, se pueda predicar afrenta alguna al principio de la no </w:t>
      </w:r>
      <w:proofErr w:type="spellStart"/>
      <w:r w:rsidR="00D4371E" w:rsidRPr="00193527">
        <w:rPr>
          <w:rFonts w:ascii="Arial Narrow" w:hAnsi="Arial Narrow" w:cs="Arial Narrow"/>
          <w:bCs/>
          <w:i/>
          <w:iCs/>
          <w:color w:val="auto"/>
          <w:sz w:val="24"/>
          <w:szCs w:val="26"/>
          <w:lang w:val="es-CO"/>
        </w:rPr>
        <w:t>reformatio</w:t>
      </w:r>
      <w:proofErr w:type="spellEnd"/>
      <w:r w:rsidR="00D4371E" w:rsidRPr="00193527">
        <w:rPr>
          <w:rFonts w:ascii="Arial Narrow" w:hAnsi="Arial Narrow" w:cs="Arial Narrow"/>
          <w:bCs/>
          <w:i/>
          <w:iCs/>
          <w:color w:val="auto"/>
          <w:sz w:val="24"/>
          <w:szCs w:val="26"/>
          <w:lang w:val="es-CO"/>
        </w:rPr>
        <w:t xml:space="preserve"> in </w:t>
      </w:r>
      <w:proofErr w:type="spellStart"/>
      <w:r w:rsidR="00D4371E" w:rsidRPr="00193527">
        <w:rPr>
          <w:rFonts w:ascii="Arial Narrow" w:hAnsi="Arial Narrow" w:cs="Arial Narrow"/>
          <w:bCs/>
          <w:i/>
          <w:iCs/>
          <w:color w:val="auto"/>
          <w:sz w:val="24"/>
          <w:szCs w:val="26"/>
          <w:lang w:val="es-CO"/>
        </w:rPr>
        <w:t>pejus</w:t>
      </w:r>
      <w:proofErr w:type="spellEnd"/>
      <w:r w:rsidR="00D4371E" w:rsidRPr="00193527">
        <w:rPr>
          <w:rFonts w:ascii="Arial Narrow" w:hAnsi="Arial Narrow" w:cs="Arial Narrow"/>
          <w:bCs/>
          <w:i/>
          <w:iCs/>
          <w:color w:val="auto"/>
          <w:sz w:val="24"/>
          <w:szCs w:val="26"/>
          <w:lang w:val="es-CO"/>
        </w:rPr>
        <w:t xml:space="preserve"> por causa de dicho emprendimiento</w:t>
      </w:r>
      <w:r w:rsidR="00D4371E" w:rsidRPr="002A66DA">
        <w:rPr>
          <w:rFonts w:ascii="Arial Narrow" w:hAnsi="Arial Narrow" w:cs="Arial Narrow"/>
          <w:bCs/>
          <w:i/>
          <w:iCs/>
          <w:color w:val="auto"/>
          <w:sz w:val="26"/>
          <w:szCs w:val="26"/>
          <w:lang w:val="es-CO"/>
        </w:rPr>
        <w:t>.”</w:t>
      </w:r>
      <w:r w:rsidR="00E03300" w:rsidRPr="002A66DA">
        <w:rPr>
          <w:rStyle w:val="Refdenotaalpie"/>
          <w:rFonts w:ascii="Arial Narrow" w:hAnsi="Arial Narrow" w:cs="Arial Narrow"/>
          <w:bCs/>
          <w:i/>
          <w:iCs/>
          <w:color w:val="auto"/>
          <w:sz w:val="26"/>
          <w:szCs w:val="26"/>
          <w:lang w:val="es-CO"/>
        </w:rPr>
        <w:footnoteReference w:id="21"/>
      </w:r>
    </w:p>
    <w:p w14:paraId="6846F7C8" w14:textId="60AE9EF7" w:rsidR="00745B9F" w:rsidRPr="002A66DA" w:rsidRDefault="00745B9F" w:rsidP="002A66DA">
      <w:pPr>
        <w:pStyle w:val="313"/>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6DFCB763" w14:textId="77777777" w:rsidR="00B3417B" w:rsidRPr="002A66DA" w:rsidRDefault="00B81015" w:rsidP="002A66DA">
      <w:pPr>
        <w:pStyle w:val="313"/>
        <w:shd w:val="clear" w:color="auto" w:fill="FFFFFF" w:themeFill="background1"/>
        <w:spacing w:line="276" w:lineRule="auto"/>
        <w:jc w:val="both"/>
        <w:rPr>
          <w:rFonts w:ascii="Arial Narrow" w:hAnsi="Arial Narrow" w:cs="Arial Narrow"/>
          <w:bCs/>
          <w:color w:val="auto"/>
          <w:sz w:val="26"/>
          <w:szCs w:val="26"/>
          <w:lang w:val="es-CO"/>
        </w:rPr>
      </w:pPr>
      <w:r w:rsidRPr="002A66DA">
        <w:rPr>
          <w:rFonts w:ascii="Arial Narrow" w:hAnsi="Arial Narrow" w:cs="Arial Narrow"/>
          <w:b/>
          <w:color w:val="auto"/>
          <w:sz w:val="26"/>
          <w:szCs w:val="26"/>
          <w:lang w:val="es-CO"/>
        </w:rPr>
        <w:t xml:space="preserve">5. </w:t>
      </w:r>
      <w:r w:rsidR="00B3417B" w:rsidRPr="002A66DA">
        <w:rPr>
          <w:rFonts w:ascii="Arial Narrow" w:hAnsi="Arial Narrow" w:cs="Arial Narrow"/>
          <w:bCs/>
          <w:color w:val="auto"/>
          <w:sz w:val="26"/>
          <w:szCs w:val="26"/>
          <w:lang w:val="es-CO"/>
        </w:rPr>
        <w:t xml:space="preserve">Ante la </w:t>
      </w:r>
      <w:proofErr w:type="spellStart"/>
      <w:r w:rsidR="00B3417B" w:rsidRPr="002A66DA">
        <w:rPr>
          <w:rFonts w:ascii="Arial Narrow" w:hAnsi="Arial Narrow" w:cs="Arial Narrow"/>
          <w:bCs/>
          <w:color w:val="auto"/>
          <w:sz w:val="26"/>
          <w:szCs w:val="26"/>
          <w:lang w:val="es-CO"/>
        </w:rPr>
        <w:t>improsperidad</w:t>
      </w:r>
      <w:proofErr w:type="spellEnd"/>
      <w:r w:rsidR="00B3417B" w:rsidRPr="002A66DA">
        <w:rPr>
          <w:rFonts w:ascii="Arial Narrow" w:hAnsi="Arial Narrow" w:cs="Arial Narrow"/>
          <w:bCs/>
          <w:color w:val="auto"/>
          <w:sz w:val="26"/>
          <w:szCs w:val="26"/>
          <w:lang w:val="es-CO"/>
        </w:rPr>
        <w:t xml:space="preserve"> del recurso, las costas de segunda instancia serán a cargo de la parte demandante y a favor de la demandada. Las mismas se liquidarán en la forma prevista en el artículo 366 del nuevo estatuto procesal civil, esto es, de manera concentrada, ante el juez de primer grado, por cuanto debe entenderse que, a partir de esta decisión, en los términos del artículo 625 del CGP, este proceso hará tránsito a la nueva regulación procesal.</w:t>
      </w:r>
    </w:p>
    <w:p w14:paraId="131445C8" w14:textId="77777777" w:rsidR="00B3417B" w:rsidRPr="002A66DA" w:rsidRDefault="00B3417B" w:rsidP="002A66DA">
      <w:pPr>
        <w:pStyle w:val="313"/>
        <w:shd w:val="clear" w:color="auto" w:fill="FFFFFF" w:themeFill="background1"/>
        <w:spacing w:line="276" w:lineRule="auto"/>
        <w:jc w:val="both"/>
        <w:rPr>
          <w:rFonts w:ascii="Arial Narrow" w:hAnsi="Arial Narrow" w:cs="Arial Narrow"/>
          <w:bCs/>
          <w:color w:val="auto"/>
          <w:sz w:val="26"/>
          <w:szCs w:val="26"/>
          <w:lang w:val="es-CO"/>
        </w:rPr>
      </w:pPr>
    </w:p>
    <w:p w14:paraId="0BC5C407" w14:textId="77777777" w:rsidR="00B3417B" w:rsidRPr="002A66DA" w:rsidRDefault="00B3417B" w:rsidP="002A66DA">
      <w:pPr>
        <w:pStyle w:val="313"/>
        <w:shd w:val="clear" w:color="auto" w:fill="FFFFFF" w:themeFill="background1"/>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Para tal fin, se fijarán en auto separado las agencias en derecho que correspondan.</w:t>
      </w:r>
    </w:p>
    <w:p w14:paraId="6F7C4729" w14:textId="3CFE0720" w:rsidR="001C060B" w:rsidRPr="002A66DA" w:rsidRDefault="00307D74" w:rsidP="002A66DA">
      <w:pPr>
        <w:pStyle w:val="313"/>
        <w:spacing w:line="276" w:lineRule="auto"/>
        <w:ind w:left="708" w:hanging="708"/>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w:t>
      </w:r>
    </w:p>
    <w:p w14:paraId="678B97EB" w14:textId="52F64228" w:rsidR="009A1636" w:rsidRPr="002A66DA" w:rsidRDefault="009A1636" w:rsidP="002A66DA">
      <w:pPr>
        <w:pStyle w:val="313"/>
        <w:spacing w:line="276" w:lineRule="auto"/>
        <w:jc w:val="center"/>
        <w:rPr>
          <w:rFonts w:ascii="Arial Narrow" w:hAnsi="Arial Narrow" w:cs="Arial Narrow"/>
          <w:b/>
          <w:bCs/>
          <w:color w:val="auto"/>
          <w:sz w:val="26"/>
          <w:szCs w:val="26"/>
          <w:lang w:val="es-CO"/>
        </w:rPr>
      </w:pPr>
      <w:r w:rsidRPr="002A66DA">
        <w:rPr>
          <w:rFonts w:ascii="Arial Narrow" w:hAnsi="Arial Narrow" w:cs="Arial Narrow"/>
          <w:b/>
          <w:bCs/>
          <w:color w:val="auto"/>
          <w:sz w:val="26"/>
          <w:szCs w:val="26"/>
          <w:lang w:val="es-CO"/>
        </w:rPr>
        <w:lastRenderedPageBreak/>
        <w:t xml:space="preserve">Decisión. </w:t>
      </w:r>
    </w:p>
    <w:p w14:paraId="465556F8" w14:textId="77777777" w:rsidR="009A1636" w:rsidRPr="002A66DA" w:rsidRDefault="009A1636" w:rsidP="002A66DA">
      <w:pPr>
        <w:pStyle w:val="313"/>
        <w:spacing w:line="276" w:lineRule="auto"/>
        <w:jc w:val="center"/>
        <w:rPr>
          <w:rFonts w:ascii="Arial Narrow" w:hAnsi="Arial Narrow" w:cs="Arial Narrow"/>
          <w:bCs/>
          <w:color w:val="auto"/>
          <w:sz w:val="26"/>
          <w:szCs w:val="26"/>
          <w:lang w:val="es-CO"/>
        </w:rPr>
      </w:pPr>
    </w:p>
    <w:p w14:paraId="520F9920" w14:textId="77777777" w:rsidR="009A1636" w:rsidRPr="002A66DA" w:rsidRDefault="009A1636"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De conformidad a lo expuesto, la Sala Civil Familia del Tribunal Superior de Pereira, administrando justicia en nombre de la república de Colombia, </w:t>
      </w:r>
    </w:p>
    <w:p w14:paraId="295EEBB6" w14:textId="77777777" w:rsidR="009A1636" w:rsidRPr="002A66DA" w:rsidRDefault="009A1636" w:rsidP="002A66DA">
      <w:pPr>
        <w:pStyle w:val="313"/>
        <w:spacing w:line="276" w:lineRule="auto"/>
        <w:rPr>
          <w:rFonts w:ascii="Arial Narrow" w:hAnsi="Arial Narrow" w:cs="Arial Narrow"/>
          <w:bCs/>
          <w:color w:val="auto"/>
          <w:sz w:val="26"/>
          <w:szCs w:val="26"/>
          <w:lang w:val="es-CO"/>
        </w:rPr>
      </w:pPr>
    </w:p>
    <w:p w14:paraId="2D189853" w14:textId="26613BBC" w:rsidR="009A1636" w:rsidRPr="002A66DA" w:rsidRDefault="009F167A" w:rsidP="002A66DA">
      <w:pPr>
        <w:pStyle w:val="313"/>
        <w:spacing w:line="276" w:lineRule="auto"/>
        <w:jc w:val="center"/>
        <w:rPr>
          <w:rFonts w:ascii="Arial Narrow" w:hAnsi="Arial Narrow" w:cs="Arial Narrow"/>
          <w:b/>
          <w:bCs/>
          <w:color w:val="auto"/>
          <w:sz w:val="26"/>
          <w:szCs w:val="26"/>
          <w:lang w:val="es-CO"/>
        </w:rPr>
      </w:pPr>
      <w:r w:rsidRPr="002A66DA">
        <w:rPr>
          <w:rFonts w:ascii="Arial Narrow" w:hAnsi="Arial Narrow" w:cs="Arial Narrow"/>
          <w:b/>
          <w:bCs/>
          <w:color w:val="auto"/>
          <w:sz w:val="26"/>
          <w:szCs w:val="26"/>
          <w:lang w:val="es-CO"/>
        </w:rPr>
        <w:t>RESUELVE</w:t>
      </w:r>
    </w:p>
    <w:p w14:paraId="6F000232" w14:textId="77777777" w:rsidR="009A1636" w:rsidRPr="002A66DA" w:rsidRDefault="009A1636" w:rsidP="002A66DA">
      <w:pPr>
        <w:pStyle w:val="313"/>
        <w:spacing w:line="276" w:lineRule="auto"/>
        <w:jc w:val="center"/>
        <w:rPr>
          <w:rFonts w:ascii="Arial Narrow" w:hAnsi="Arial Narrow" w:cs="Arial Narrow"/>
          <w:b/>
          <w:bCs/>
          <w:color w:val="auto"/>
          <w:sz w:val="26"/>
          <w:szCs w:val="26"/>
          <w:lang w:val="es-CO"/>
        </w:rPr>
      </w:pPr>
    </w:p>
    <w:p w14:paraId="0F382511" w14:textId="0DA63788" w:rsidR="00422F43" w:rsidRPr="002A66DA" w:rsidRDefault="00775CAC"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
          <w:bCs/>
          <w:color w:val="auto"/>
          <w:sz w:val="26"/>
          <w:szCs w:val="26"/>
          <w:lang w:val="es-CO"/>
        </w:rPr>
        <w:t>PRIMERO:</w:t>
      </w:r>
      <w:r w:rsidRPr="002A66DA">
        <w:rPr>
          <w:rFonts w:ascii="Arial Narrow" w:hAnsi="Arial Narrow" w:cs="Arial Narrow"/>
          <w:bCs/>
          <w:color w:val="auto"/>
          <w:sz w:val="26"/>
          <w:szCs w:val="26"/>
          <w:lang w:val="es-CO"/>
        </w:rPr>
        <w:t xml:space="preserve"> </w:t>
      </w:r>
      <w:r w:rsidR="00313A08" w:rsidRPr="002A66DA">
        <w:rPr>
          <w:rFonts w:ascii="Arial Narrow" w:hAnsi="Arial Narrow" w:cs="Arial Narrow"/>
          <w:b/>
          <w:color w:val="auto"/>
          <w:sz w:val="26"/>
          <w:szCs w:val="26"/>
          <w:lang w:val="es-CO"/>
        </w:rPr>
        <w:t>REVOCAR</w:t>
      </w:r>
      <w:r w:rsidR="0005312E" w:rsidRPr="002A66DA">
        <w:rPr>
          <w:rFonts w:ascii="Arial Narrow" w:hAnsi="Arial Narrow" w:cs="Arial Narrow"/>
          <w:bCs/>
          <w:color w:val="auto"/>
          <w:sz w:val="26"/>
          <w:szCs w:val="26"/>
          <w:lang w:val="es-CO"/>
        </w:rPr>
        <w:t xml:space="preserve"> </w:t>
      </w:r>
      <w:r w:rsidR="00243ABC" w:rsidRPr="002A66DA">
        <w:rPr>
          <w:rFonts w:ascii="Arial Narrow" w:hAnsi="Arial Narrow" w:cs="Arial Narrow"/>
          <w:bCs/>
          <w:color w:val="auto"/>
          <w:sz w:val="26"/>
          <w:szCs w:val="26"/>
          <w:lang w:val="es-CO"/>
        </w:rPr>
        <w:t xml:space="preserve">la sentencia apelada, </w:t>
      </w:r>
      <w:r w:rsidRPr="002A66DA">
        <w:rPr>
          <w:rFonts w:ascii="Arial Narrow" w:hAnsi="Arial Narrow" w:cs="Arial Narrow"/>
          <w:bCs/>
          <w:color w:val="auto"/>
          <w:sz w:val="26"/>
          <w:szCs w:val="26"/>
          <w:lang w:val="es-CO"/>
        </w:rPr>
        <w:t xml:space="preserve">proferida el </w:t>
      </w:r>
      <w:r w:rsidR="007A40B0" w:rsidRPr="002A66DA">
        <w:rPr>
          <w:rFonts w:ascii="Arial Narrow" w:hAnsi="Arial Narrow" w:cs="Arial Narrow"/>
          <w:bCs/>
          <w:color w:val="auto"/>
          <w:sz w:val="26"/>
          <w:szCs w:val="26"/>
          <w:lang w:val="es-CO"/>
        </w:rPr>
        <w:t>30 de</w:t>
      </w:r>
      <w:r w:rsidRPr="002A66DA">
        <w:rPr>
          <w:rFonts w:ascii="Arial Narrow" w:hAnsi="Arial Narrow" w:cs="Arial Narrow"/>
          <w:bCs/>
          <w:color w:val="auto"/>
          <w:sz w:val="26"/>
          <w:szCs w:val="26"/>
          <w:lang w:val="es-CO"/>
        </w:rPr>
        <w:t xml:space="preserve"> </w:t>
      </w:r>
      <w:r w:rsidR="00AF3A7C" w:rsidRPr="002A66DA">
        <w:rPr>
          <w:rFonts w:ascii="Arial Narrow" w:hAnsi="Arial Narrow" w:cs="Arial Narrow"/>
          <w:bCs/>
          <w:color w:val="auto"/>
          <w:sz w:val="26"/>
          <w:szCs w:val="26"/>
          <w:lang w:val="es-CO"/>
        </w:rPr>
        <w:t xml:space="preserve">noviembre </w:t>
      </w:r>
      <w:r w:rsidRPr="002A66DA">
        <w:rPr>
          <w:rFonts w:ascii="Arial Narrow" w:hAnsi="Arial Narrow" w:cs="Arial Narrow"/>
          <w:bCs/>
          <w:color w:val="auto"/>
          <w:sz w:val="26"/>
          <w:szCs w:val="26"/>
          <w:lang w:val="es-CO"/>
        </w:rPr>
        <w:t>de 201</w:t>
      </w:r>
      <w:r w:rsidR="001F1CC7" w:rsidRPr="002A66DA">
        <w:rPr>
          <w:rFonts w:ascii="Arial Narrow" w:hAnsi="Arial Narrow" w:cs="Arial Narrow"/>
          <w:bCs/>
          <w:color w:val="auto"/>
          <w:sz w:val="26"/>
          <w:szCs w:val="26"/>
          <w:lang w:val="es-CO"/>
        </w:rPr>
        <w:t>1</w:t>
      </w:r>
      <w:r w:rsidRPr="002A66DA">
        <w:rPr>
          <w:rFonts w:ascii="Arial Narrow" w:hAnsi="Arial Narrow" w:cs="Arial Narrow"/>
          <w:bCs/>
          <w:color w:val="auto"/>
          <w:sz w:val="26"/>
          <w:szCs w:val="26"/>
          <w:lang w:val="es-CO"/>
        </w:rPr>
        <w:t xml:space="preserve">, por </w:t>
      </w:r>
      <w:r w:rsidR="0005312E" w:rsidRPr="002A66DA">
        <w:rPr>
          <w:rFonts w:ascii="Arial Narrow" w:hAnsi="Arial Narrow" w:cs="Arial Narrow"/>
          <w:bCs/>
          <w:color w:val="auto"/>
          <w:sz w:val="26"/>
          <w:szCs w:val="26"/>
          <w:lang w:val="es-CO"/>
        </w:rPr>
        <w:t>el JUZGADO</w:t>
      </w:r>
      <w:r w:rsidRPr="002A66DA">
        <w:rPr>
          <w:rFonts w:ascii="Arial Narrow" w:hAnsi="Arial Narrow" w:cs="Arial Narrow"/>
          <w:bCs/>
          <w:color w:val="auto"/>
          <w:sz w:val="26"/>
          <w:szCs w:val="26"/>
          <w:lang w:val="es-CO"/>
        </w:rPr>
        <w:t xml:space="preserve"> </w:t>
      </w:r>
      <w:r w:rsidR="007A40B0" w:rsidRPr="002A66DA">
        <w:rPr>
          <w:rFonts w:ascii="Arial Narrow" w:hAnsi="Arial Narrow" w:cs="Arial Narrow"/>
          <w:bCs/>
          <w:color w:val="auto"/>
          <w:sz w:val="26"/>
          <w:szCs w:val="26"/>
          <w:lang w:val="es-CO"/>
        </w:rPr>
        <w:t>SÉPTIMO CIVIL</w:t>
      </w:r>
      <w:r w:rsidRPr="002A66DA">
        <w:rPr>
          <w:rFonts w:ascii="Arial Narrow" w:hAnsi="Arial Narrow" w:cs="Arial Narrow"/>
          <w:bCs/>
          <w:color w:val="auto"/>
          <w:sz w:val="26"/>
          <w:szCs w:val="26"/>
          <w:lang w:val="es-CO"/>
        </w:rPr>
        <w:t xml:space="preserve"> DEL CIRCUITO DE </w:t>
      </w:r>
      <w:r w:rsidR="00AF3A7C" w:rsidRPr="002A66DA">
        <w:rPr>
          <w:rFonts w:ascii="Arial Narrow" w:hAnsi="Arial Narrow" w:cs="Arial Narrow"/>
          <w:bCs/>
          <w:color w:val="auto"/>
          <w:sz w:val="26"/>
          <w:szCs w:val="26"/>
          <w:lang w:val="es-CO"/>
        </w:rPr>
        <w:t>MEDELLÍN</w:t>
      </w:r>
      <w:r w:rsidR="00243ABC" w:rsidRPr="002A66DA">
        <w:rPr>
          <w:rFonts w:ascii="Arial Narrow" w:hAnsi="Arial Narrow" w:cs="Arial Narrow"/>
          <w:bCs/>
          <w:color w:val="auto"/>
          <w:sz w:val="26"/>
          <w:szCs w:val="26"/>
          <w:lang w:val="es-CO"/>
        </w:rPr>
        <w:t xml:space="preserve"> ADJUNTO</w:t>
      </w:r>
      <w:r w:rsidR="00AF3A7C" w:rsidRPr="002A66DA">
        <w:rPr>
          <w:rFonts w:ascii="Arial Narrow" w:hAnsi="Arial Narrow" w:cs="Arial Narrow"/>
          <w:bCs/>
          <w:color w:val="auto"/>
          <w:sz w:val="26"/>
          <w:szCs w:val="26"/>
          <w:lang w:val="es-CO"/>
        </w:rPr>
        <w:t xml:space="preserve">, </w:t>
      </w:r>
      <w:r w:rsidRPr="002A66DA">
        <w:rPr>
          <w:rFonts w:ascii="Arial Narrow" w:hAnsi="Arial Narrow" w:cs="Arial Narrow"/>
          <w:bCs/>
          <w:color w:val="auto"/>
          <w:sz w:val="26"/>
          <w:szCs w:val="26"/>
          <w:lang w:val="es-CO"/>
        </w:rPr>
        <w:t xml:space="preserve">por las razones expuesta en la parte motiva de este proveído. </w:t>
      </w:r>
    </w:p>
    <w:p w14:paraId="77F2BEA9" w14:textId="3CAD0F6F" w:rsidR="00422F43" w:rsidRPr="002A66DA" w:rsidRDefault="00422F43" w:rsidP="002A66DA">
      <w:pPr>
        <w:pStyle w:val="313"/>
        <w:spacing w:line="276" w:lineRule="auto"/>
        <w:jc w:val="both"/>
        <w:rPr>
          <w:rFonts w:ascii="Arial Narrow" w:hAnsi="Arial Narrow" w:cs="Arial Narrow"/>
          <w:bCs/>
          <w:color w:val="auto"/>
          <w:sz w:val="26"/>
          <w:szCs w:val="26"/>
          <w:lang w:val="es-CO"/>
        </w:rPr>
      </w:pPr>
    </w:p>
    <w:p w14:paraId="5635E38C" w14:textId="059D3596" w:rsidR="00243ABC" w:rsidRPr="002A66DA" w:rsidRDefault="00243ABC"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Cs/>
          <w:color w:val="auto"/>
          <w:sz w:val="26"/>
          <w:szCs w:val="26"/>
          <w:lang w:val="es-CO"/>
        </w:rPr>
        <w:t xml:space="preserve">En su lugar, </w:t>
      </w:r>
      <w:r w:rsidR="000A4941" w:rsidRPr="002A66DA">
        <w:rPr>
          <w:rFonts w:ascii="Arial Narrow" w:hAnsi="Arial Narrow" w:cs="Arial Narrow"/>
          <w:bCs/>
          <w:color w:val="auto"/>
          <w:sz w:val="26"/>
          <w:szCs w:val="26"/>
          <w:lang w:val="es-CO"/>
        </w:rPr>
        <w:t xml:space="preserve">se declara la TERMINACIÓN del proceso ejecutivo, por ausencia de reestructuración. </w:t>
      </w:r>
    </w:p>
    <w:p w14:paraId="456D6D1D" w14:textId="77777777" w:rsidR="00243ABC" w:rsidRPr="002A66DA" w:rsidRDefault="00243ABC" w:rsidP="002A66DA">
      <w:pPr>
        <w:pStyle w:val="313"/>
        <w:spacing w:line="276" w:lineRule="auto"/>
        <w:jc w:val="both"/>
        <w:rPr>
          <w:rFonts w:ascii="Arial Narrow" w:hAnsi="Arial Narrow" w:cs="Arial Narrow"/>
          <w:bCs/>
          <w:color w:val="auto"/>
          <w:sz w:val="26"/>
          <w:szCs w:val="26"/>
          <w:lang w:val="es-CO"/>
        </w:rPr>
      </w:pPr>
    </w:p>
    <w:p w14:paraId="24EA0622" w14:textId="77777777" w:rsidR="004D1FD0" w:rsidRPr="002A66DA" w:rsidRDefault="00D073A2"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
          <w:bCs/>
          <w:color w:val="auto"/>
          <w:sz w:val="26"/>
          <w:szCs w:val="26"/>
          <w:lang w:val="es-CO"/>
        </w:rPr>
        <w:t xml:space="preserve">SEGUNDO: </w:t>
      </w:r>
      <w:r w:rsidR="004D1FD0" w:rsidRPr="002A66DA">
        <w:rPr>
          <w:rFonts w:ascii="Arial Narrow" w:hAnsi="Arial Narrow" w:cs="Arial Narrow"/>
          <w:color w:val="auto"/>
          <w:sz w:val="26"/>
          <w:szCs w:val="26"/>
          <w:lang w:val="es-CO"/>
        </w:rPr>
        <w:t>C</w:t>
      </w:r>
      <w:r w:rsidR="004D1FD0" w:rsidRPr="002A66DA">
        <w:rPr>
          <w:rFonts w:ascii="Arial Narrow" w:hAnsi="Arial Narrow" w:cs="Arial Narrow"/>
          <w:bCs/>
          <w:color w:val="auto"/>
          <w:sz w:val="26"/>
          <w:szCs w:val="26"/>
          <w:lang w:val="es-CO"/>
        </w:rPr>
        <w:t>ostas de segunda instancia a cargo de la parte demandante y a favor de la demandada. Las mismas se liquidarán en la forma prevista en el artículo 366 del nuevo estatuto procesal civil; esto es, de manera concentrada, ante el juez de primer grado. Para tal fin, se fijarán en auto separado las agencias en derecho que correspondan.</w:t>
      </w:r>
    </w:p>
    <w:p w14:paraId="36895028" w14:textId="725B6E45" w:rsidR="00422F43" w:rsidRPr="002A66DA" w:rsidRDefault="00AF3A7C"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
          <w:bCs/>
          <w:color w:val="auto"/>
          <w:sz w:val="26"/>
          <w:szCs w:val="26"/>
          <w:lang w:val="es-CO"/>
        </w:rPr>
        <w:t xml:space="preserve">  </w:t>
      </w:r>
    </w:p>
    <w:p w14:paraId="529EAE28" w14:textId="5D485E8B" w:rsidR="00EB3F1C" w:rsidRPr="002A66DA" w:rsidRDefault="00AF3A7C" w:rsidP="002A66DA">
      <w:pPr>
        <w:pStyle w:val="313"/>
        <w:spacing w:line="276" w:lineRule="auto"/>
        <w:jc w:val="both"/>
        <w:rPr>
          <w:rFonts w:ascii="Arial Narrow" w:hAnsi="Arial Narrow" w:cs="Arial Narrow"/>
          <w:bCs/>
          <w:color w:val="auto"/>
          <w:sz w:val="26"/>
          <w:szCs w:val="26"/>
          <w:lang w:val="es-CO"/>
        </w:rPr>
      </w:pPr>
      <w:r w:rsidRPr="002A66DA">
        <w:rPr>
          <w:rFonts w:ascii="Arial Narrow" w:hAnsi="Arial Narrow" w:cs="Arial Narrow"/>
          <w:b/>
          <w:bCs/>
          <w:color w:val="auto"/>
          <w:sz w:val="26"/>
          <w:szCs w:val="26"/>
          <w:lang w:val="es-CO"/>
        </w:rPr>
        <w:t>TERCERO</w:t>
      </w:r>
      <w:r w:rsidR="00957795" w:rsidRPr="002A66DA">
        <w:rPr>
          <w:rFonts w:ascii="Arial Narrow" w:hAnsi="Arial Narrow" w:cs="Arial Narrow"/>
          <w:b/>
          <w:bCs/>
          <w:color w:val="auto"/>
          <w:sz w:val="26"/>
          <w:szCs w:val="26"/>
          <w:lang w:val="es-CO"/>
        </w:rPr>
        <w:t xml:space="preserve">: </w:t>
      </w:r>
      <w:r w:rsidR="00957795" w:rsidRPr="002A66DA">
        <w:rPr>
          <w:rFonts w:ascii="Arial Narrow" w:hAnsi="Arial Narrow" w:cs="Arial Narrow"/>
          <w:bCs/>
          <w:color w:val="auto"/>
          <w:sz w:val="26"/>
          <w:szCs w:val="26"/>
          <w:lang w:val="es-CO"/>
        </w:rPr>
        <w:t xml:space="preserve">Ejecutoriada la providencia, remítase el expediente a su lugar de origen. </w:t>
      </w:r>
    </w:p>
    <w:p w14:paraId="2C8C0A7A" w14:textId="77777777" w:rsidR="00EB3F1C" w:rsidRPr="002A66DA" w:rsidRDefault="00EB3F1C" w:rsidP="002A66DA">
      <w:pPr>
        <w:pStyle w:val="313"/>
        <w:spacing w:line="276" w:lineRule="auto"/>
        <w:jc w:val="both"/>
        <w:rPr>
          <w:rFonts w:ascii="Arial Narrow" w:hAnsi="Arial Narrow" w:cs="Arial Narrow"/>
          <w:bCs/>
          <w:color w:val="auto"/>
          <w:sz w:val="26"/>
          <w:szCs w:val="26"/>
          <w:lang w:val="es-CO"/>
        </w:rPr>
      </w:pPr>
    </w:p>
    <w:p w14:paraId="5DF5CA34" w14:textId="5BE22CEC" w:rsidR="00CD42F0" w:rsidRPr="002A66DA" w:rsidRDefault="007B2A2B" w:rsidP="00CE3D55">
      <w:pPr>
        <w:spacing w:line="276" w:lineRule="auto"/>
        <w:jc w:val="center"/>
        <w:rPr>
          <w:rFonts w:ascii="Arial Narrow" w:hAnsi="Arial Narrow" w:cs="Century Gothic"/>
          <w:b/>
          <w:bCs/>
          <w:sz w:val="26"/>
          <w:szCs w:val="26"/>
          <w:lang w:eastAsia="es-CO"/>
        </w:rPr>
      </w:pPr>
      <w:r w:rsidRPr="002A66DA">
        <w:rPr>
          <w:rFonts w:ascii="Arial Narrow" w:hAnsi="Arial Narrow" w:cs="Century Gothic"/>
          <w:b/>
          <w:bCs/>
          <w:sz w:val="26"/>
          <w:szCs w:val="26"/>
          <w:lang w:eastAsia="es-CO"/>
        </w:rPr>
        <w:t>NOTIFÍQUESE Y CÚMPLASE</w:t>
      </w:r>
    </w:p>
    <w:p w14:paraId="17C195FD" w14:textId="77777777" w:rsidR="00CE3D55" w:rsidRDefault="00CE3D55" w:rsidP="002A66DA">
      <w:pPr>
        <w:widowControl w:val="0"/>
        <w:autoSpaceDE w:val="0"/>
        <w:spacing w:line="276" w:lineRule="auto"/>
        <w:jc w:val="both"/>
        <w:rPr>
          <w:rFonts w:ascii="Arial Narrow" w:hAnsi="Arial Narrow"/>
          <w:sz w:val="26"/>
          <w:szCs w:val="26"/>
          <w:lang w:val="es-ES_tradnl"/>
        </w:rPr>
      </w:pPr>
    </w:p>
    <w:p w14:paraId="32876F1E" w14:textId="0EE2396C" w:rsidR="002A66DA" w:rsidRPr="002677B3" w:rsidRDefault="002A66DA" w:rsidP="002A66DA">
      <w:pPr>
        <w:widowControl w:val="0"/>
        <w:autoSpaceDE w:val="0"/>
        <w:spacing w:line="276" w:lineRule="auto"/>
        <w:jc w:val="both"/>
        <w:rPr>
          <w:rFonts w:ascii="Arial Narrow" w:hAnsi="Arial Narrow"/>
          <w:sz w:val="26"/>
          <w:szCs w:val="26"/>
          <w:lang w:val="es-ES_tradnl"/>
        </w:rPr>
      </w:pPr>
      <w:r w:rsidRPr="002677B3">
        <w:rPr>
          <w:rFonts w:ascii="Arial Narrow" w:hAnsi="Arial Narrow"/>
          <w:sz w:val="26"/>
          <w:szCs w:val="26"/>
          <w:lang w:val="es-ES_tradnl"/>
        </w:rPr>
        <w:t>Los Magistrados,</w:t>
      </w:r>
    </w:p>
    <w:p w14:paraId="10BEA992" w14:textId="77777777" w:rsidR="002A66DA" w:rsidRPr="002677B3" w:rsidRDefault="002A66DA" w:rsidP="002A66DA">
      <w:pPr>
        <w:widowControl w:val="0"/>
        <w:autoSpaceDE w:val="0"/>
        <w:spacing w:line="276" w:lineRule="auto"/>
        <w:jc w:val="both"/>
        <w:rPr>
          <w:rFonts w:ascii="Arial Narrow" w:hAnsi="Arial Narrow"/>
          <w:sz w:val="26"/>
          <w:szCs w:val="26"/>
          <w:lang w:val="es-ES_tradnl"/>
        </w:rPr>
      </w:pPr>
    </w:p>
    <w:p w14:paraId="7D7BF295" w14:textId="77777777" w:rsidR="002A66DA" w:rsidRPr="002677B3" w:rsidRDefault="002A66DA" w:rsidP="002A66DA">
      <w:pPr>
        <w:widowControl w:val="0"/>
        <w:autoSpaceDE w:val="0"/>
        <w:spacing w:line="276" w:lineRule="auto"/>
        <w:jc w:val="both"/>
        <w:rPr>
          <w:rFonts w:ascii="Arial Narrow" w:hAnsi="Arial Narrow"/>
          <w:b/>
          <w:sz w:val="26"/>
          <w:szCs w:val="26"/>
          <w:lang w:val="es-ES_tradnl"/>
        </w:rPr>
      </w:pPr>
    </w:p>
    <w:p w14:paraId="17162A97" w14:textId="77777777" w:rsidR="002A66DA" w:rsidRPr="002677B3" w:rsidRDefault="002A66DA" w:rsidP="002A66DA">
      <w:pPr>
        <w:widowControl w:val="0"/>
        <w:autoSpaceDE w:val="0"/>
        <w:spacing w:line="276" w:lineRule="auto"/>
        <w:ind w:left="1416" w:firstLine="708"/>
        <w:jc w:val="both"/>
        <w:rPr>
          <w:rFonts w:ascii="Arial Narrow" w:hAnsi="Arial Narrow"/>
          <w:b/>
          <w:sz w:val="26"/>
          <w:szCs w:val="26"/>
          <w:lang w:val="es-ES_tradnl"/>
        </w:rPr>
      </w:pPr>
      <w:r w:rsidRPr="002677B3">
        <w:rPr>
          <w:rFonts w:ascii="Arial Narrow" w:hAnsi="Arial Narrow"/>
          <w:b/>
          <w:sz w:val="26"/>
          <w:szCs w:val="26"/>
          <w:lang w:val="es-ES_tradnl"/>
        </w:rPr>
        <w:t>CARLOS MAURICIO GARCIA BARAJAS</w:t>
      </w:r>
    </w:p>
    <w:p w14:paraId="486CA6AA" w14:textId="77777777" w:rsidR="002A66DA" w:rsidRPr="002677B3" w:rsidRDefault="002A66DA" w:rsidP="002A6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0B42B05C" w14:textId="77777777" w:rsidR="002A66DA" w:rsidRPr="002677B3" w:rsidRDefault="002A66DA" w:rsidP="002A6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187482C8" w14:textId="77777777" w:rsidR="002A66DA" w:rsidRPr="002677B3" w:rsidRDefault="002A66DA" w:rsidP="002A66DA">
      <w:pPr>
        <w:tabs>
          <w:tab w:val="left" w:pos="0"/>
          <w:tab w:val="left" w:pos="708"/>
          <w:tab w:val="left" w:pos="1416"/>
          <w:tab w:val="left" w:pos="2124"/>
          <w:tab w:val="left" w:pos="2832"/>
          <w:tab w:val="left" w:pos="3540"/>
          <w:tab w:val="left" w:pos="4248"/>
          <w:tab w:val="left" w:pos="4956"/>
        </w:tabs>
        <w:spacing w:line="276" w:lineRule="auto"/>
        <w:jc w:val="both"/>
        <w:rPr>
          <w:rFonts w:ascii="Arial Narrow" w:hAnsi="Arial Narrow"/>
          <w:b/>
          <w:sz w:val="26"/>
          <w:szCs w:val="26"/>
        </w:rPr>
      </w:pPr>
    </w:p>
    <w:p w14:paraId="48C9DF77" w14:textId="77777777" w:rsidR="002A66DA" w:rsidRPr="002677B3" w:rsidRDefault="002A66DA" w:rsidP="002A66DA">
      <w:pPr>
        <w:tabs>
          <w:tab w:val="left" w:pos="708"/>
          <w:tab w:val="left" w:pos="1416"/>
          <w:tab w:val="left" w:pos="2124"/>
          <w:tab w:val="left" w:pos="2832"/>
          <w:tab w:val="left" w:pos="3540"/>
          <w:tab w:val="left" w:pos="4248"/>
          <w:tab w:val="left" w:pos="4956"/>
        </w:tabs>
        <w:spacing w:line="276" w:lineRule="auto"/>
        <w:jc w:val="both"/>
        <w:rPr>
          <w:rFonts w:ascii="Arial Narrow" w:hAnsi="Arial Narrow"/>
          <w:b/>
          <w:bCs/>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bCs/>
          <w:sz w:val="26"/>
          <w:szCs w:val="26"/>
        </w:rPr>
        <w:t>DUBERNEY GRISALES HERRERA</w:t>
      </w:r>
    </w:p>
    <w:p w14:paraId="038EA38A" w14:textId="77777777" w:rsidR="002A66DA" w:rsidRPr="002677B3" w:rsidRDefault="002A66DA" w:rsidP="002A6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1224874E" w14:textId="77777777" w:rsidR="002A66DA" w:rsidRPr="002677B3" w:rsidRDefault="002A66DA" w:rsidP="002A6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1E676838" w14:textId="77777777" w:rsidR="002A66DA" w:rsidRPr="002677B3" w:rsidRDefault="002A66DA" w:rsidP="002A6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p>
    <w:p w14:paraId="58689A06" w14:textId="2FF953D2" w:rsidR="000766A4" w:rsidRPr="002A66DA" w:rsidRDefault="002A66DA" w:rsidP="002A66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jc w:val="both"/>
        <w:rPr>
          <w:rFonts w:ascii="Arial Narrow" w:hAnsi="Arial Narrow"/>
          <w:b/>
          <w:sz w:val="26"/>
          <w:szCs w:val="26"/>
        </w:rPr>
      </w:pPr>
      <w:r w:rsidRPr="002677B3">
        <w:rPr>
          <w:rFonts w:ascii="Arial Narrow" w:hAnsi="Arial Narrow"/>
          <w:b/>
          <w:sz w:val="26"/>
          <w:szCs w:val="26"/>
        </w:rPr>
        <w:tab/>
      </w:r>
      <w:r w:rsidRPr="002677B3">
        <w:rPr>
          <w:rFonts w:ascii="Arial Narrow" w:hAnsi="Arial Narrow"/>
          <w:b/>
          <w:sz w:val="26"/>
          <w:szCs w:val="26"/>
        </w:rPr>
        <w:tab/>
      </w:r>
      <w:r w:rsidRPr="002677B3">
        <w:rPr>
          <w:rFonts w:ascii="Arial Narrow" w:hAnsi="Arial Narrow"/>
          <w:b/>
          <w:sz w:val="26"/>
          <w:szCs w:val="26"/>
        </w:rPr>
        <w:tab/>
        <w:t>EDDER JIMMY SÁNCHEZ CALAMBÁS</w:t>
      </w:r>
    </w:p>
    <w:sectPr w:rsidR="000766A4" w:rsidRPr="002A66DA" w:rsidSect="002A66DA">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2304" w14:textId="77777777" w:rsidR="003D7176" w:rsidRDefault="003D7176" w:rsidP="00BD15C3">
      <w:r>
        <w:separator/>
      </w:r>
    </w:p>
  </w:endnote>
  <w:endnote w:type="continuationSeparator" w:id="0">
    <w:p w14:paraId="3FC52223" w14:textId="77777777" w:rsidR="003D7176" w:rsidRDefault="003D7176"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EE5C2" w14:textId="77777777" w:rsidR="003D7176" w:rsidRDefault="003D7176" w:rsidP="00BD15C3">
      <w:r>
        <w:separator/>
      </w:r>
    </w:p>
  </w:footnote>
  <w:footnote w:type="continuationSeparator" w:id="0">
    <w:p w14:paraId="051DC78F" w14:textId="77777777" w:rsidR="003D7176" w:rsidRDefault="003D7176" w:rsidP="00BD15C3">
      <w:r>
        <w:continuationSeparator/>
      </w:r>
    </w:p>
  </w:footnote>
  <w:footnote w:id="1">
    <w:p w14:paraId="37BDE9AA" w14:textId="61CEE47E" w:rsidR="00AF75A3" w:rsidRPr="00DA32A0" w:rsidRDefault="00AF75A3"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Páginas 1 a 4, archivo </w:t>
      </w:r>
      <w:r w:rsidR="00A9786A" w:rsidRPr="00DA32A0">
        <w:rPr>
          <w:rFonts w:ascii="Arial" w:hAnsi="Arial" w:cs="Arial"/>
          <w:sz w:val="18"/>
          <w:szCs w:val="18"/>
        </w:rPr>
        <w:t xml:space="preserve">03 anexos, cuaderno </w:t>
      </w:r>
      <w:r w:rsidR="003104B8" w:rsidRPr="00DA32A0">
        <w:rPr>
          <w:rFonts w:ascii="Arial" w:hAnsi="Arial" w:cs="Arial"/>
          <w:sz w:val="18"/>
          <w:szCs w:val="18"/>
        </w:rPr>
        <w:t xml:space="preserve">principal </w:t>
      </w:r>
      <w:r w:rsidR="00A9786A" w:rsidRPr="00DA32A0">
        <w:rPr>
          <w:rFonts w:ascii="Arial" w:hAnsi="Arial" w:cs="Arial"/>
          <w:sz w:val="18"/>
          <w:szCs w:val="18"/>
        </w:rPr>
        <w:t>primera instancia.</w:t>
      </w:r>
    </w:p>
  </w:footnote>
  <w:footnote w:id="2">
    <w:p w14:paraId="3903095E" w14:textId="62155036" w:rsidR="00AF710B" w:rsidRPr="00DA32A0" w:rsidRDefault="00AF710B"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Páginas </w:t>
      </w:r>
      <w:r w:rsidR="00245E26" w:rsidRPr="00DA32A0">
        <w:rPr>
          <w:rFonts w:ascii="Arial" w:hAnsi="Arial" w:cs="Arial"/>
          <w:sz w:val="18"/>
          <w:szCs w:val="18"/>
        </w:rPr>
        <w:t>5</w:t>
      </w:r>
      <w:r w:rsidRPr="00DA32A0">
        <w:rPr>
          <w:rFonts w:ascii="Arial" w:hAnsi="Arial" w:cs="Arial"/>
          <w:sz w:val="18"/>
          <w:szCs w:val="18"/>
        </w:rPr>
        <w:t xml:space="preserve"> a </w:t>
      </w:r>
      <w:r w:rsidR="00245E26" w:rsidRPr="00DA32A0">
        <w:rPr>
          <w:rFonts w:ascii="Arial" w:hAnsi="Arial" w:cs="Arial"/>
          <w:sz w:val="18"/>
          <w:szCs w:val="18"/>
        </w:rPr>
        <w:t>33</w:t>
      </w:r>
      <w:r w:rsidRPr="00DA32A0">
        <w:rPr>
          <w:rFonts w:ascii="Arial" w:hAnsi="Arial" w:cs="Arial"/>
          <w:sz w:val="18"/>
          <w:szCs w:val="18"/>
        </w:rPr>
        <w:t>, archivo 03 anexos, cuaderno principal primera instancia.</w:t>
      </w:r>
    </w:p>
  </w:footnote>
  <w:footnote w:id="3">
    <w:p w14:paraId="3ABCF6DA" w14:textId="7EC3B15F" w:rsidR="002D0E87" w:rsidRPr="00DA32A0" w:rsidRDefault="002D0E87"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Páginas 20 a 24, archivo 05 subsanación demanda, </w:t>
      </w:r>
      <w:r w:rsidR="00F76305" w:rsidRPr="00DA32A0">
        <w:rPr>
          <w:rFonts w:ascii="Arial" w:hAnsi="Arial" w:cs="Arial"/>
          <w:sz w:val="18"/>
          <w:szCs w:val="18"/>
        </w:rPr>
        <w:t>ib.</w:t>
      </w:r>
    </w:p>
  </w:footnote>
  <w:footnote w:id="4">
    <w:p w14:paraId="7EDC6A1E" w14:textId="37E5D146" w:rsidR="002D0E87" w:rsidRPr="00DA32A0" w:rsidRDefault="002D0E87"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w:t>
      </w:r>
      <w:r w:rsidR="00F76305" w:rsidRPr="00DA32A0">
        <w:rPr>
          <w:rFonts w:ascii="Arial" w:hAnsi="Arial" w:cs="Arial"/>
          <w:sz w:val="18"/>
          <w:szCs w:val="18"/>
        </w:rPr>
        <w:t>Archivo 02 demanda, ib.</w:t>
      </w:r>
    </w:p>
  </w:footnote>
  <w:footnote w:id="5">
    <w:p w14:paraId="7AC3B9AB" w14:textId="1A8FA82E" w:rsidR="00124890" w:rsidRPr="00DA32A0" w:rsidRDefault="00124890"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Archivo 06 mandamiento de pago, ib.</w:t>
      </w:r>
    </w:p>
  </w:footnote>
  <w:footnote w:id="6">
    <w:p w14:paraId="217C8FD1" w14:textId="15AD9E8C" w:rsidR="003573A7" w:rsidRPr="00DA32A0" w:rsidRDefault="003573A7"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Archivo 32 sentencia</w:t>
      </w:r>
      <w:r w:rsidR="000572DF" w:rsidRPr="00DA32A0">
        <w:rPr>
          <w:rFonts w:ascii="Arial" w:hAnsi="Arial" w:cs="Arial"/>
          <w:sz w:val="18"/>
          <w:szCs w:val="18"/>
        </w:rPr>
        <w:t>, ib.</w:t>
      </w:r>
    </w:p>
  </w:footnote>
  <w:footnote w:id="7">
    <w:p w14:paraId="1BE7750F" w14:textId="097685C9" w:rsidR="00D14147" w:rsidRPr="00DA32A0" w:rsidRDefault="00D14147"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“A partir de la vigencia de la presente ley, las corporaciones de ahorro y vivienda tendrán la naturaleza de bancos comerciales. Para tal efecto, dispondrán de un plazo de treinta y seis (36) meses con el fin de realizar los ajustes necesarios para adecuarse a su nueva naturaleza. </w:t>
      </w:r>
      <w:r w:rsidR="00432B5C" w:rsidRPr="00DA32A0">
        <w:rPr>
          <w:rFonts w:ascii="Arial" w:hAnsi="Arial" w:cs="Arial"/>
          <w:sz w:val="18"/>
          <w:szCs w:val="18"/>
        </w:rPr>
        <w:t xml:space="preserve">// </w:t>
      </w:r>
      <w:r w:rsidRPr="00DA32A0">
        <w:rPr>
          <w:rFonts w:ascii="Arial" w:hAnsi="Arial" w:cs="Arial"/>
          <w:sz w:val="18"/>
          <w:szCs w:val="18"/>
        </w:rPr>
        <w:t xml:space="preserve">Los establecimientos bancarios que posean participación accionaria en corporaciones de ahorro y vivienda que se conviertan en bancos comerciales en virtud de lo dispuesto en la presente ley, deberán enajenar dicha participación dentro de los cinco (5) años siguientes a la vigencia de la presente ley.” </w:t>
      </w:r>
    </w:p>
  </w:footnote>
  <w:footnote w:id="8">
    <w:p w14:paraId="1955B41A" w14:textId="6526FACF" w:rsidR="00BF7FD0" w:rsidRPr="00DA32A0" w:rsidRDefault="00BF7FD0"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w:t>
      </w:r>
      <w:r w:rsidR="00AF2789" w:rsidRPr="00DA32A0">
        <w:rPr>
          <w:rFonts w:ascii="Arial" w:hAnsi="Arial" w:cs="Arial"/>
          <w:sz w:val="18"/>
          <w:szCs w:val="18"/>
        </w:rPr>
        <w:t>“Habrá fusión cuando una o más sociedades se disuelvan, sin liquidarse, para ser absorbidas por otra o para crear una nueva. // La absorbente o la nueva compañía adquirirá los derechos y obligaciones de la sociedad o sociedades disueltas al formalizarse el acuerdo de fusión.”</w:t>
      </w:r>
    </w:p>
  </w:footnote>
  <w:footnote w:id="9">
    <w:p w14:paraId="0AF165EE" w14:textId="77777777" w:rsidR="00BF0FC8" w:rsidRPr="00DA32A0" w:rsidRDefault="00BF0FC8" w:rsidP="00DA32A0">
      <w:pPr>
        <w:pStyle w:val="Sinespaciado"/>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Corte Suprema de Justicia, Sala de Casación Civil. Sentencia de 7 de marzo de 1988. M. P. Dr. Héctor Marín Naranjo.</w:t>
      </w:r>
    </w:p>
  </w:footnote>
  <w:footnote w:id="10">
    <w:p w14:paraId="209B7EB7" w14:textId="276EF1F1" w:rsidR="0058141F" w:rsidRPr="00DA32A0" w:rsidRDefault="0058141F"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w:t>
      </w:r>
      <w:r w:rsidR="00A74158" w:rsidRPr="00DA32A0">
        <w:rPr>
          <w:rFonts w:ascii="Arial" w:hAnsi="Arial" w:cs="Arial"/>
          <w:sz w:val="18"/>
          <w:szCs w:val="18"/>
        </w:rPr>
        <w:t>Sentencia de quince (15) de febrero dos mil trece (2013). Radicado 11001-02-03-000-2013-00244-00.</w:t>
      </w:r>
    </w:p>
  </w:footnote>
  <w:footnote w:id="11">
    <w:p w14:paraId="469CED99" w14:textId="77777777" w:rsidR="00EF38ED" w:rsidRPr="00DA32A0" w:rsidRDefault="00EF38ED" w:rsidP="00DA32A0">
      <w:pPr>
        <w:pStyle w:val="Textonotapie"/>
        <w:jc w:val="both"/>
        <w:rPr>
          <w:rFonts w:ascii="Arial" w:hAnsi="Arial" w:cs="Arial"/>
          <w:sz w:val="18"/>
          <w:szCs w:val="18"/>
          <w:lang w:val="es-MX"/>
        </w:rPr>
      </w:pPr>
      <w:r w:rsidRPr="00DA32A0">
        <w:rPr>
          <w:rStyle w:val="Refdenotaalpie"/>
          <w:rFonts w:ascii="Arial" w:hAnsi="Arial" w:cs="Arial"/>
          <w:sz w:val="18"/>
          <w:szCs w:val="18"/>
        </w:rPr>
        <w:footnoteRef/>
      </w:r>
      <w:r w:rsidRPr="00DA32A0">
        <w:rPr>
          <w:rFonts w:ascii="Arial" w:hAnsi="Arial" w:cs="Arial"/>
          <w:sz w:val="18"/>
          <w:szCs w:val="18"/>
        </w:rPr>
        <w:t xml:space="preserve"> </w:t>
      </w:r>
      <w:r w:rsidRPr="00DA32A0">
        <w:rPr>
          <w:rFonts w:ascii="Arial" w:hAnsi="Arial" w:cs="Arial"/>
          <w:sz w:val="18"/>
          <w:szCs w:val="18"/>
          <w:lang w:val="es-MX"/>
        </w:rPr>
        <w:t xml:space="preserve">Donde se declara la nulidad del artículo 1º de la Resolución No.18 del 3 de junio de 1985, expedida por la Junta Directiva del Banco de la República. </w:t>
      </w:r>
    </w:p>
  </w:footnote>
  <w:footnote w:id="12">
    <w:p w14:paraId="64966AB7" w14:textId="77777777" w:rsidR="00804EB3" w:rsidRPr="00DA32A0" w:rsidRDefault="00804EB3"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w:t>
      </w:r>
      <w:r w:rsidRPr="00DA32A0">
        <w:rPr>
          <w:rFonts w:ascii="Arial" w:hAnsi="Arial" w:cs="Arial"/>
          <w:i/>
          <w:iCs/>
          <w:sz w:val="18"/>
          <w:szCs w:val="18"/>
        </w:rPr>
        <w:t>“Por la cual se dictan normas en materia de vivienda, se señalan los objetivos y criterios generales a los cuales debe sujetarse el Gobierno Nacional para regular un sistema especializado para su financiación, se crean instrumentos de ahorro destinado a dicha financiación, se dictan medidas relacionadas con los impuestos y otros costos vinculados a la construcción y negociación de vivienda y se expiden otras disposiciones.”</w:t>
      </w:r>
    </w:p>
  </w:footnote>
  <w:footnote w:id="13">
    <w:p w14:paraId="533FEFC1" w14:textId="77777777" w:rsidR="008E4CE6" w:rsidRPr="00DA32A0" w:rsidRDefault="008E4CE6" w:rsidP="00DA32A0">
      <w:pPr>
        <w:pStyle w:val="Sinespaciado"/>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Sentencia SU 813 de 2007. Corte Constitucional.</w:t>
      </w:r>
    </w:p>
  </w:footnote>
  <w:footnote w:id="14">
    <w:p w14:paraId="14EFFBE1" w14:textId="77777777" w:rsidR="00804EB3" w:rsidRPr="00DA32A0" w:rsidRDefault="00804EB3" w:rsidP="00DA32A0">
      <w:pPr>
        <w:pStyle w:val="Sinespaciado"/>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Por ejemplo, Sentencia de 5 de mayo de 2011, </w:t>
      </w:r>
      <w:proofErr w:type="spellStart"/>
      <w:r w:rsidRPr="00DA32A0">
        <w:rPr>
          <w:rFonts w:ascii="Arial" w:hAnsi="Arial" w:cs="Arial"/>
          <w:sz w:val="18"/>
          <w:szCs w:val="18"/>
        </w:rPr>
        <w:t>Exp</w:t>
      </w:r>
      <w:proofErr w:type="spellEnd"/>
      <w:r w:rsidRPr="00DA32A0">
        <w:rPr>
          <w:rFonts w:ascii="Arial" w:hAnsi="Arial" w:cs="Arial"/>
          <w:sz w:val="18"/>
          <w:szCs w:val="18"/>
        </w:rPr>
        <w:t xml:space="preserve">. T. N°. 11001-02-03-000-2011-00813-00; Fallo de 28 de marzo de 2012, </w:t>
      </w:r>
      <w:proofErr w:type="spellStart"/>
      <w:r w:rsidRPr="00DA32A0">
        <w:rPr>
          <w:rFonts w:ascii="Arial" w:hAnsi="Arial" w:cs="Arial"/>
          <w:sz w:val="18"/>
          <w:szCs w:val="18"/>
        </w:rPr>
        <w:t>Exp</w:t>
      </w:r>
      <w:proofErr w:type="spellEnd"/>
      <w:r w:rsidRPr="00DA32A0">
        <w:rPr>
          <w:rFonts w:ascii="Arial" w:hAnsi="Arial" w:cs="Arial"/>
          <w:sz w:val="18"/>
          <w:szCs w:val="18"/>
        </w:rPr>
        <w:t xml:space="preserve">. T. N°. 11001-02-03-000-2012-00546-00; sentencia de 21 de junio de dos mil doce, </w:t>
      </w:r>
      <w:proofErr w:type="spellStart"/>
      <w:r w:rsidRPr="00DA32A0">
        <w:rPr>
          <w:rFonts w:ascii="Arial" w:hAnsi="Arial" w:cs="Arial"/>
          <w:sz w:val="18"/>
          <w:szCs w:val="18"/>
        </w:rPr>
        <w:t>Exp</w:t>
      </w:r>
      <w:proofErr w:type="spellEnd"/>
      <w:r w:rsidRPr="00DA32A0">
        <w:rPr>
          <w:rFonts w:ascii="Arial" w:hAnsi="Arial" w:cs="Arial"/>
          <w:sz w:val="18"/>
          <w:szCs w:val="18"/>
        </w:rPr>
        <w:t>. T. No. 11001-02-03-000-2012-01191-00</w:t>
      </w:r>
    </w:p>
  </w:footnote>
  <w:footnote w:id="15">
    <w:p w14:paraId="46541F37" w14:textId="18C985F1" w:rsidR="000D3389" w:rsidRPr="00DA32A0" w:rsidRDefault="000D3389"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w:t>
      </w:r>
      <w:r w:rsidR="00E14E38" w:rsidRPr="00DA32A0">
        <w:rPr>
          <w:rFonts w:ascii="Arial" w:hAnsi="Arial" w:cs="Arial"/>
          <w:sz w:val="18"/>
          <w:szCs w:val="18"/>
        </w:rPr>
        <w:t>Sentencia STC5698-2021 de 21 de mayo de dos mil veintiuno (2021).</w:t>
      </w:r>
    </w:p>
  </w:footnote>
  <w:footnote w:id="16">
    <w:p w14:paraId="559E9BA3" w14:textId="77777777" w:rsidR="00804EB3" w:rsidRPr="00DA32A0" w:rsidRDefault="00804EB3"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Corte Suprema de Justicia, Sala de Casación Civil. Sentencia STC14779-2019 de treinta (30) de octubre de dos mil diecinueve (2019) </w:t>
      </w:r>
    </w:p>
  </w:footnote>
  <w:footnote w:id="17">
    <w:p w14:paraId="40C59F32" w14:textId="77777777" w:rsidR="00804EB3" w:rsidRPr="00DA32A0" w:rsidRDefault="00804EB3"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Style w:val="Refdenotaalpie"/>
          <w:rFonts w:ascii="Arial" w:hAnsi="Arial" w:cs="Arial"/>
          <w:sz w:val="18"/>
          <w:szCs w:val="18"/>
        </w:rPr>
        <w:footnoteRef/>
      </w:r>
      <w:r w:rsidRPr="00DA32A0">
        <w:rPr>
          <w:rFonts w:ascii="Arial" w:hAnsi="Arial" w:cs="Arial"/>
          <w:sz w:val="18"/>
          <w:szCs w:val="18"/>
        </w:rPr>
        <w:t xml:space="preserve"> Ibídem.</w:t>
      </w:r>
    </w:p>
  </w:footnote>
  <w:footnote w:id="18">
    <w:p w14:paraId="787918FA" w14:textId="77777777" w:rsidR="00804EB3" w:rsidRPr="00DA32A0" w:rsidRDefault="00804EB3"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Corte Suprema de Justicia, Sala de Casación Civil. Sentencia STC5462-2020 de doce (12) de agosto de dos mil veinte (2020).</w:t>
      </w:r>
    </w:p>
  </w:footnote>
  <w:footnote w:id="19">
    <w:p w14:paraId="58C02A87" w14:textId="4D134AF3" w:rsidR="00804EB3" w:rsidRPr="00DA32A0" w:rsidRDefault="00804EB3"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Corte Suprema de Justicia, Sala de Casación Civil. Sentencia STC474-2020 de veintinueve (29) de enero de dos mil veinte (2020).</w:t>
      </w:r>
    </w:p>
  </w:footnote>
  <w:footnote w:id="20">
    <w:p w14:paraId="44115C82" w14:textId="77777777" w:rsidR="002A008A" w:rsidRPr="00DA32A0" w:rsidRDefault="002A008A" w:rsidP="00DA32A0">
      <w:pPr>
        <w:pStyle w:val="Textonotapie"/>
        <w:jc w:val="both"/>
        <w:rPr>
          <w:rFonts w:ascii="Arial" w:hAnsi="Arial" w:cs="Arial"/>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Páginas 1 a 4, archivo 03 anexos, cuaderno principal primera instancia.</w:t>
      </w:r>
    </w:p>
  </w:footnote>
  <w:footnote w:id="21">
    <w:p w14:paraId="0A44BA08" w14:textId="749FBB4F" w:rsidR="00091636" w:rsidRPr="00DA32A0" w:rsidRDefault="00E03300" w:rsidP="00DA32A0">
      <w:pPr>
        <w:pStyle w:val="Textonotapie"/>
        <w:jc w:val="both"/>
        <w:rPr>
          <w:rFonts w:ascii="Arial" w:hAnsi="Arial" w:cs="Arial"/>
          <w:i/>
          <w:iCs/>
          <w:sz w:val="18"/>
          <w:szCs w:val="18"/>
        </w:rPr>
      </w:pPr>
      <w:r w:rsidRPr="00DA32A0">
        <w:rPr>
          <w:rStyle w:val="Refdenotaalpie"/>
          <w:rFonts w:ascii="Arial" w:hAnsi="Arial" w:cs="Arial"/>
          <w:sz w:val="18"/>
          <w:szCs w:val="18"/>
        </w:rPr>
        <w:footnoteRef/>
      </w:r>
      <w:r w:rsidRPr="00DA32A0">
        <w:rPr>
          <w:rFonts w:ascii="Arial" w:hAnsi="Arial" w:cs="Arial"/>
          <w:sz w:val="18"/>
          <w:szCs w:val="18"/>
        </w:rPr>
        <w:t xml:space="preserve"> Sentencia SC18031-2016 de 12 de diciembre de 2016. </w:t>
      </w:r>
      <w:r w:rsidR="00032546" w:rsidRPr="00DA32A0">
        <w:rPr>
          <w:rFonts w:ascii="Arial" w:hAnsi="Arial" w:cs="Arial"/>
          <w:sz w:val="18"/>
          <w:szCs w:val="18"/>
        </w:rPr>
        <w:t xml:space="preserve">En reciente sentencia de tutela de fecha </w:t>
      </w:r>
      <w:r w:rsidR="00904097" w:rsidRPr="00DA32A0">
        <w:rPr>
          <w:rFonts w:ascii="Arial" w:hAnsi="Arial" w:cs="Arial"/>
          <w:sz w:val="18"/>
          <w:szCs w:val="18"/>
        </w:rPr>
        <w:t xml:space="preserve">17 de junio de 2020, </w:t>
      </w:r>
      <w:r w:rsidR="00091636" w:rsidRPr="00DA32A0">
        <w:rPr>
          <w:rFonts w:ascii="Arial" w:hAnsi="Arial" w:cs="Arial"/>
          <w:sz w:val="18"/>
          <w:szCs w:val="18"/>
        </w:rPr>
        <w:t xml:space="preserve">radicación </w:t>
      </w:r>
      <w:proofErr w:type="spellStart"/>
      <w:r w:rsidR="00091636" w:rsidRPr="00DA32A0">
        <w:rPr>
          <w:rFonts w:ascii="Arial" w:hAnsi="Arial" w:cs="Arial"/>
          <w:sz w:val="18"/>
          <w:szCs w:val="18"/>
        </w:rPr>
        <w:t>n°</w:t>
      </w:r>
      <w:proofErr w:type="spellEnd"/>
      <w:r w:rsidR="00091636" w:rsidRPr="00DA32A0">
        <w:rPr>
          <w:rFonts w:ascii="Arial" w:hAnsi="Arial" w:cs="Arial"/>
          <w:sz w:val="18"/>
          <w:szCs w:val="18"/>
        </w:rPr>
        <w:t>. E 11001-02-03-000-2020-00101-00, se reiteró similar criterio</w:t>
      </w:r>
      <w:r w:rsidR="008A2041" w:rsidRPr="00DA32A0">
        <w:rPr>
          <w:rFonts w:ascii="Arial" w:hAnsi="Arial" w:cs="Arial"/>
          <w:sz w:val="18"/>
          <w:szCs w:val="18"/>
        </w:rPr>
        <w:t xml:space="preserve"> en los siguientes términos: “</w:t>
      </w:r>
      <w:r w:rsidR="008A2041" w:rsidRPr="00DA32A0">
        <w:rPr>
          <w:rFonts w:ascii="Arial" w:hAnsi="Arial" w:cs="Arial"/>
          <w:i/>
          <w:iCs/>
          <w:sz w:val="18"/>
          <w:szCs w:val="18"/>
        </w:rPr>
        <w:t xml:space="preserve">Ha de tenerse en cuenta que en punto a la vulneración del principio de «no </w:t>
      </w:r>
      <w:proofErr w:type="spellStart"/>
      <w:r w:rsidR="008A2041" w:rsidRPr="00DA32A0">
        <w:rPr>
          <w:rFonts w:ascii="Arial" w:hAnsi="Arial" w:cs="Arial"/>
          <w:i/>
          <w:iCs/>
          <w:sz w:val="18"/>
          <w:szCs w:val="18"/>
        </w:rPr>
        <w:t>reformatio</w:t>
      </w:r>
      <w:proofErr w:type="spellEnd"/>
      <w:r w:rsidR="008A2041" w:rsidRPr="00DA32A0">
        <w:rPr>
          <w:rFonts w:ascii="Arial" w:hAnsi="Arial" w:cs="Arial"/>
          <w:i/>
          <w:iCs/>
          <w:sz w:val="18"/>
          <w:szCs w:val="18"/>
        </w:rPr>
        <w:t xml:space="preserve"> in </w:t>
      </w:r>
      <w:proofErr w:type="spellStart"/>
      <w:r w:rsidR="008A2041" w:rsidRPr="00DA32A0">
        <w:rPr>
          <w:rFonts w:ascii="Arial" w:hAnsi="Arial" w:cs="Arial"/>
          <w:i/>
          <w:iCs/>
          <w:sz w:val="18"/>
          <w:szCs w:val="18"/>
        </w:rPr>
        <w:t>pejus</w:t>
      </w:r>
      <w:proofErr w:type="spellEnd"/>
      <w:r w:rsidR="008A2041" w:rsidRPr="00DA32A0">
        <w:rPr>
          <w:rFonts w:ascii="Arial" w:hAnsi="Arial" w:cs="Arial"/>
          <w:i/>
          <w:iCs/>
          <w:sz w:val="18"/>
          <w:szCs w:val="18"/>
        </w:rPr>
        <w:t>» alegado por la actora, no encuentra la Corte algún quebranto. Como quedó visto, el fallador tiene el deber oficioso de efectuar la revisión del cumplimiento de los requisitos de los títulos valores (tal como lo ha sostenido la jurisprudencia, incluso, en vigencia del Código General del Proceso), pese a no ser objeto de reparo por las partes, por lo que tal afrenta no constituye un menoscabo de garantías.”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8128" w14:textId="150AF133" w:rsidR="009A1636" w:rsidRPr="002A66DA" w:rsidRDefault="009A1636" w:rsidP="002A66DA">
    <w:pPr>
      <w:pStyle w:val="Encabezado"/>
      <w:jc w:val="both"/>
      <w:rPr>
        <w:rFonts w:ascii="Arial" w:hAnsi="Arial" w:cs="Arial"/>
        <w:sz w:val="18"/>
        <w:szCs w:val="18"/>
        <w:lang w:val="es-ES" w:eastAsia="es-MX"/>
      </w:rPr>
    </w:pPr>
    <w:r w:rsidRPr="002A66DA">
      <w:rPr>
        <w:rFonts w:ascii="Arial" w:hAnsi="Arial" w:cs="Arial"/>
        <w:sz w:val="18"/>
        <w:szCs w:val="18"/>
        <w:lang w:val="es-ES" w:eastAsia="es-MX"/>
      </w:rPr>
      <w:t>Apelación de Sentencia</w:t>
    </w:r>
  </w:p>
  <w:p w14:paraId="7EE4A57E" w14:textId="7F5ABD87" w:rsidR="009A1636" w:rsidRPr="002A66DA" w:rsidRDefault="009A1636" w:rsidP="002A66DA">
    <w:pPr>
      <w:pStyle w:val="Encabezado"/>
      <w:jc w:val="both"/>
      <w:rPr>
        <w:rFonts w:ascii="Arial" w:hAnsi="Arial" w:cs="Arial"/>
        <w:sz w:val="18"/>
        <w:szCs w:val="18"/>
      </w:rPr>
    </w:pPr>
    <w:r w:rsidRPr="002A66DA">
      <w:rPr>
        <w:rFonts w:ascii="Arial" w:hAnsi="Arial" w:cs="Arial"/>
        <w:sz w:val="18"/>
        <w:szCs w:val="18"/>
        <w:lang w:val="es-ES" w:eastAsia="es-MX"/>
      </w:rPr>
      <w:t xml:space="preserve">Radiación </w:t>
    </w:r>
    <w:r w:rsidR="00B10415" w:rsidRPr="002A66DA">
      <w:rPr>
        <w:rFonts w:ascii="Arial" w:hAnsi="Arial" w:cs="Arial"/>
        <w:sz w:val="18"/>
        <w:szCs w:val="18"/>
        <w:lang w:val="es-ES" w:eastAsia="es-MX"/>
      </w:rPr>
      <w:t xml:space="preserve">No. </w:t>
    </w:r>
    <w:r w:rsidR="00155342" w:rsidRPr="002A66DA">
      <w:rPr>
        <w:rFonts w:ascii="Arial" w:hAnsi="Arial" w:cs="Arial"/>
        <w:sz w:val="18"/>
        <w:szCs w:val="18"/>
        <w:lang w:val="es-ES" w:eastAsia="es-MX"/>
      </w:rPr>
      <w:t>05001310300720080000201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ED0"/>
    <w:multiLevelType w:val="hybridMultilevel"/>
    <w:tmpl w:val="1DE653BA"/>
    <w:lvl w:ilvl="0" w:tplc="8E8C238C">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DDA7CF4"/>
    <w:multiLevelType w:val="hybridMultilevel"/>
    <w:tmpl w:val="A9A00802"/>
    <w:lvl w:ilvl="0" w:tplc="7D1C14A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9D66B3"/>
    <w:multiLevelType w:val="hybridMultilevel"/>
    <w:tmpl w:val="97B0C032"/>
    <w:lvl w:ilvl="0" w:tplc="B8981B9C">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6"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AF8237C"/>
    <w:multiLevelType w:val="multilevel"/>
    <w:tmpl w:val="03588940"/>
    <w:lvl w:ilvl="0">
      <w:start w:val="2"/>
      <w:numFmt w:val="decimal"/>
      <w:lvlText w:val="%1."/>
      <w:lvlJc w:val="left"/>
      <w:pPr>
        <w:ind w:left="360" w:hanging="360"/>
      </w:pPr>
      <w:rPr>
        <w:rFonts w:hint="default"/>
        <w:b/>
        <w:bCs w:val="0"/>
        <w:i w:val="0"/>
        <w:iCs w:val="0"/>
        <w:sz w:val="26"/>
        <w:szCs w:val="26"/>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4"/>
  </w:num>
  <w:num w:numId="6">
    <w:abstractNumId w:val="11"/>
  </w:num>
  <w:num w:numId="7">
    <w:abstractNumId w:val="9"/>
  </w:num>
  <w:num w:numId="8">
    <w:abstractNumId w:val="10"/>
  </w:num>
  <w:num w:numId="9">
    <w:abstractNumId w:val="5"/>
  </w:num>
  <w:num w:numId="10">
    <w:abstractNumId w:val="2"/>
  </w:num>
  <w:num w:numId="11">
    <w:abstractNumId w:val="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65A"/>
    <w:rsid w:val="00004D6A"/>
    <w:rsid w:val="00012AE0"/>
    <w:rsid w:val="000149E5"/>
    <w:rsid w:val="00020CC0"/>
    <w:rsid w:val="000219DB"/>
    <w:rsid w:val="00022430"/>
    <w:rsid w:val="000228FA"/>
    <w:rsid w:val="000233F6"/>
    <w:rsid w:val="00027890"/>
    <w:rsid w:val="00032546"/>
    <w:rsid w:val="0003698D"/>
    <w:rsid w:val="00036B2E"/>
    <w:rsid w:val="000418BE"/>
    <w:rsid w:val="000422D1"/>
    <w:rsid w:val="000442CB"/>
    <w:rsid w:val="0004628B"/>
    <w:rsid w:val="00050246"/>
    <w:rsid w:val="000524B5"/>
    <w:rsid w:val="0005312E"/>
    <w:rsid w:val="00055236"/>
    <w:rsid w:val="00056984"/>
    <w:rsid w:val="000572DF"/>
    <w:rsid w:val="0005786D"/>
    <w:rsid w:val="00060CDD"/>
    <w:rsid w:val="000618E3"/>
    <w:rsid w:val="000634B1"/>
    <w:rsid w:val="000674FA"/>
    <w:rsid w:val="00067CF2"/>
    <w:rsid w:val="000709D8"/>
    <w:rsid w:val="00070D56"/>
    <w:rsid w:val="00071A22"/>
    <w:rsid w:val="00073C1B"/>
    <w:rsid w:val="00073DAE"/>
    <w:rsid w:val="000740E0"/>
    <w:rsid w:val="0007660C"/>
    <w:rsid w:val="000766A4"/>
    <w:rsid w:val="00077049"/>
    <w:rsid w:val="00080CB2"/>
    <w:rsid w:val="0008406C"/>
    <w:rsid w:val="00087DC2"/>
    <w:rsid w:val="000902F6"/>
    <w:rsid w:val="00091636"/>
    <w:rsid w:val="000943E4"/>
    <w:rsid w:val="0009455B"/>
    <w:rsid w:val="00094BD4"/>
    <w:rsid w:val="000972EE"/>
    <w:rsid w:val="000A1178"/>
    <w:rsid w:val="000A2CC4"/>
    <w:rsid w:val="000A4941"/>
    <w:rsid w:val="000A4B0E"/>
    <w:rsid w:val="000A508E"/>
    <w:rsid w:val="000A5111"/>
    <w:rsid w:val="000A5311"/>
    <w:rsid w:val="000A5A26"/>
    <w:rsid w:val="000A630E"/>
    <w:rsid w:val="000A7793"/>
    <w:rsid w:val="000A7F94"/>
    <w:rsid w:val="000B623F"/>
    <w:rsid w:val="000B798B"/>
    <w:rsid w:val="000C040B"/>
    <w:rsid w:val="000C16E8"/>
    <w:rsid w:val="000C19FD"/>
    <w:rsid w:val="000C3218"/>
    <w:rsid w:val="000C34AB"/>
    <w:rsid w:val="000C3D5D"/>
    <w:rsid w:val="000C4E94"/>
    <w:rsid w:val="000D0955"/>
    <w:rsid w:val="000D3389"/>
    <w:rsid w:val="000D68EB"/>
    <w:rsid w:val="000E5F52"/>
    <w:rsid w:val="000E6D6D"/>
    <w:rsid w:val="000E6EB5"/>
    <w:rsid w:val="000F015D"/>
    <w:rsid w:val="000F1644"/>
    <w:rsid w:val="000F1789"/>
    <w:rsid w:val="000F1A47"/>
    <w:rsid w:val="000F46B9"/>
    <w:rsid w:val="000F6EBE"/>
    <w:rsid w:val="00100223"/>
    <w:rsid w:val="001015CA"/>
    <w:rsid w:val="00105D2F"/>
    <w:rsid w:val="001075E2"/>
    <w:rsid w:val="00107E23"/>
    <w:rsid w:val="00111C72"/>
    <w:rsid w:val="001128FC"/>
    <w:rsid w:val="00112ADB"/>
    <w:rsid w:val="00114D28"/>
    <w:rsid w:val="00122B10"/>
    <w:rsid w:val="00123242"/>
    <w:rsid w:val="00124890"/>
    <w:rsid w:val="0012552E"/>
    <w:rsid w:val="00125A7C"/>
    <w:rsid w:val="00127D45"/>
    <w:rsid w:val="00132348"/>
    <w:rsid w:val="00132B4F"/>
    <w:rsid w:val="00132FD5"/>
    <w:rsid w:val="001333EE"/>
    <w:rsid w:val="00134232"/>
    <w:rsid w:val="0013522F"/>
    <w:rsid w:val="00137566"/>
    <w:rsid w:val="00137CCE"/>
    <w:rsid w:val="0014381A"/>
    <w:rsid w:val="00144A11"/>
    <w:rsid w:val="001455F6"/>
    <w:rsid w:val="00145833"/>
    <w:rsid w:val="00145F40"/>
    <w:rsid w:val="00150CEB"/>
    <w:rsid w:val="00150E9D"/>
    <w:rsid w:val="00151107"/>
    <w:rsid w:val="00152842"/>
    <w:rsid w:val="001528F5"/>
    <w:rsid w:val="0015481F"/>
    <w:rsid w:val="001549FE"/>
    <w:rsid w:val="00155342"/>
    <w:rsid w:val="00155CD8"/>
    <w:rsid w:val="00157287"/>
    <w:rsid w:val="001634A3"/>
    <w:rsid w:val="00163AC8"/>
    <w:rsid w:val="00164C51"/>
    <w:rsid w:val="001703C3"/>
    <w:rsid w:val="001707F3"/>
    <w:rsid w:val="001715F5"/>
    <w:rsid w:val="00177283"/>
    <w:rsid w:val="001820B7"/>
    <w:rsid w:val="00182B17"/>
    <w:rsid w:val="0018331F"/>
    <w:rsid w:val="001836D7"/>
    <w:rsid w:val="001836FA"/>
    <w:rsid w:val="00183C93"/>
    <w:rsid w:val="00185D07"/>
    <w:rsid w:val="00190FEA"/>
    <w:rsid w:val="00192488"/>
    <w:rsid w:val="00193527"/>
    <w:rsid w:val="00193904"/>
    <w:rsid w:val="00194CA5"/>
    <w:rsid w:val="00196142"/>
    <w:rsid w:val="00197580"/>
    <w:rsid w:val="001A0D94"/>
    <w:rsid w:val="001A5D0C"/>
    <w:rsid w:val="001B05BF"/>
    <w:rsid w:val="001B0A91"/>
    <w:rsid w:val="001B3B27"/>
    <w:rsid w:val="001B5646"/>
    <w:rsid w:val="001B58B2"/>
    <w:rsid w:val="001C060B"/>
    <w:rsid w:val="001C246D"/>
    <w:rsid w:val="001C36F0"/>
    <w:rsid w:val="001D2D2B"/>
    <w:rsid w:val="001D7C87"/>
    <w:rsid w:val="001E1225"/>
    <w:rsid w:val="001E2BFF"/>
    <w:rsid w:val="001E3052"/>
    <w:rsid w:val="001E6067"/>
    <w:rsid w:val="001F1CC7"/>
    <w:rsid w:val="001F26DD"/>
    <w:rsid w:val="001F2A29"/>
    <w:rsid w:val="001F38C4"/>
    <w:rsid w:val="001F48AD"/>
    <w:rsid w:val="001F4D73"/>
    <w:rsid w:val="001F5990"/>
    <w:rsid w:val="001F7822"/>
    <w:rsid w:val="00201494"/>
    <w:rsid w:val="00205C55"/>
    <w:rsid w:val="002127D4"/>
    <w:rsid w:val="00220A58"/>
    <w:rsid w:val="00220EA1"/>
    <w:rsid w:val="00221267"/>
    <w:rsid w:val="002223C5"/>
    <w:rsid w:val="0022519E"/>
    <w:rsid w:val="00227DFE"/>
    <w:rsid w:val="002336F1"/>
    <w:rsid w:val="00233BF8"/>
    <w:rsid w:val="002347AF"/>
    <w:rsid w:val="00237A74"/>
    <w:rsid w:val="0024021C"/>
    <w:rsid w:val="00240A10"/>
    <w:rsid w:val="00242709"/>
    <w:rsid w:val="00243134"/>
    <w:rsid w:val="00243ABC"/>
    <w:rsid w:val="00244FC6"/>
    <w:rsid w:val="00245B5C"/>
    <w:rsid w:val="00245E26"/>
    <w:rsid w:val="002479E9"/>
    <w:rsid w:val="0025145F"/>
    <w:rsid w:val="00253DCB"/>
    <w:rsid w:val="00257609"/>
    <w:rsid w:val="00257EC7"/>
    <w:rsid w:val="002613C4"/>
    <w:rsid w:val="00261F7F"/>
    <w:rsid w:val="00266C10"/>
    <w:rsid w:val="00270BF6"/>
    <w:rsid w:val="00271924"/>
    <w:rsid w:val="00272A62"/>
    <w:rsid w:val="002733BA"/>
    <w:rsid w:val="00274C71"/>
    <w:rsid w:val="00275E5B"/>
    <w:rsid w:val="00276164"/>
    <w:rsid w:val="00276B9F"/>
    <w:rsid w:val="002811CC"/>
    <w:rsid w:val="002814D4"/>
    <w:rsid w:val="002833A6"/>
    <w:rsid w:val="00284A2B"/>
    <w:rsid w:val="00286743"/>
    <w:rsid w:val="0028728E"/>
    <w:rsid w:val="00287FDB"/>
    <w:rsid w:val="00291768"/>
    <w:rsid w:val="00291F5F"/>
    <w:rsid w:val="00293DF9"/>
    <w:rsid w:val="0029680C"/>
    <w:rsid w:val="0029729F"/>
    <w:rsid w:val="002A008A"/>
    <w:rsid w:val="002A1719"/>
    <w:rsid w:val="002A2D97"/>
    <w:rsid w:val="002A2E09"/>
    <w:rsid w:val="002A3B12"/>
    <w:rsid w:val="002A4188"/>
    <w:rsid w:val="002A66DA"/>
    <w:rsid w:val="002B0D61"/>
    <w:rsid w:val="002B375E"/>
    <w:rsid w:val="002B5318"/>
    <w:rsid w:val="002B654C"/>
    <w:rsid w:val="002B7D8D"/>
    <w:rsid w:val="002C2B67"/>
    <w:rsid w:val="002C2BFC"/>
    <w:rsid w:val="002C328E"/>
    <w:rsid w:val="002C5B64"/>
    <w:rsid w:val="002D0E87"/>
    <w:rsid w:val="002D6761"/>
    <w:rsid w:val="002D78DA"/>
    <w:rsid w:val="002E51F0"/>
    <w:rsid w:val="002E70B2"/>
    <w:rsid w:val="002F0401"/>
    <w:rsid w:val="002F0877"/>
    <w:rsid w:val="002F172A"/>
    <w:rsid w:val="002F2586"/>
    <w:rsid w:val="002F3030"/>
    <w:rsid w:val="002F550C"/>
    <w:rsid w:val="002F67E9"/>
    <w:rsid w:val="002F723B"/>
    <w:rsid w:val="002F76EA"/>
    <w:rsid w:val="002F79E7"/>
    <w:rsid w:val="002F7F83"/>
    <w:rsid w:val="0030298D"/>
    <w:rsid w:val="003037A1"/>
    <w:rsid w:val="00306D02"/>
    <w:rsid w:val="00307D74"/>
    <w:rsid w:val="00310131"/>
    <w:rsid w:val="00310314"/>
    <w:rsid w:val="003104B8"/>
    <w:rsid w:val="00311A02"/>
    <w:rsid w:val="00313A08"/>
    <w:rsid w:val="00316614"/>
    <w:rsid w:val="00320318"/>
    <w:rsid w:val="00320ED1"/>
    <w:rsid w:val="00322089"/>
    <w:rsid w:val="003352FA"/>
    <w:rsid w:val="00335E20"/>
    <w:rsid w:val="00336977"/>
    <w:rsid w:val="00336FBA"/>
    <w:rsid w:val="00340457"/>
    <w:rsid w:val="003432CF"/>
    <w:rsid w:val="00344950"/>
    <w:rsid w:val="00347F2F"/>
    <w:rsid w:val="003504D8"/>
    <w:rsid w:val="0035229B"/>
    <w:rsid w:val="003573A7"/>
    <w:rsid w:val="0035757F"/>
    <w:rsid w:val="003600D4"/>
    <w:rsid w:val="003608CB"/>
    <w:rsid w:val="00362692"/>
    <w:rsid w:val="00363EB1"/>
    <w:rsid w:val="003640E7"/>
    <w:rsid w:val="00365F93"/>
    <w:rsid w:val="0036702E"/>
    <w:rsid w:val="00375699"/>
    <w:rsid w:val="00375D69"/>
    <w:rsid w:val="00376336"/>
    <w:rsid w:val="0037662C"/>
    <w:rsid w:val="00377660"/>
    <w:rsid w:val="0038041D"/>
    <w:rsid w:val="0038050F"/>
    <w:rsid w:val="003833FE"/>
    <w:rsid w:val="003840CB"/>
    <w:rsid w:val="00384D53"/>
    <w:rsid w:val="00385660"/>
    <w:rsid w:val="003864D7"/>
    <w:rsid w:val="00386AC3"/>
    <w:rsid w:val="0038752D"/>
    <w:rsid w:val="00387BD6"/>
    <w:rsid w:val="00387CDA"/>
    <w:rsid w:val="003917A3"/>
    <w:rsid w:val="00394566"/>
    <w:rsid w:val="00395DF3"/>
    <w:rsid w:val="00396BAE"/>
    <w:rsid w:val="00396D32"/>
    <w:rsid w:val="003A705F"/>
    <w:rsid w:val="003B0BC2"/>
    <w:rsid w:val="003B0CD5"/>
    <w:rsid w:val="003B34A5"/>
    <w:rsid w:val="003B3C63"/>
    <w:rsid w:val="003B67AD"/>
    <w:rsid w:val="003C0B92"/>
    <w:rsid w:val="003C21D7"/>
    <w:rsid w:val="003C4261"/>
    <w:rsid w:val="003C4CE2"/>
    <w:rsid w:val="003C5BEB"/>
    <w:rsid w:val="003C5FF8"/>
    <w:rsid w:val="003C7095"/>
    <w:rsid w:val="003C7F57"/>
    <w:rsid w:val="003D0027"/>
    <w:rsid w:val="003D023E"/>
    <w:rsid w:val="003D1761"/>
    <w:rsid w:val="003D31C9"/>
    <w:rsid w:val="003D394E"/>
    <w:rsid w:val="003D7176"/>
    <w:rsid w:val="003E164A"/>
    <w:rsid w:val="003E1799"/>
    <w:rsid w:val="003E78EE"/>
    <w:rsid w:val="003E7C1A"/>
    <w:rsid w:val="003F022A"/>
    <w:rsid w:val="003F58C9"/>
    <w:rsid w:val="003F5DD3"/>
    <w:rsid w:val="00400137"/>
    <w:rsid w:val="0040302B"/>
    <w:rsid w:val="00403A7E"/>
    <w:rsid w:val="00406F6D"/>
    <w:rsid w:val="00414549"/>
    <w:rsid w:val="004204A1"/>
    <w:rsid w:val="00420B02"/>
    <w:rsid w:val="0042174C"/>
    <w:rsid w:val="00421B3D"/>
    <w:rsid w:val="004224F3"/>
    <w:rsid w:val="00422F43"/>
    <w:rsid w:val="0042545C"/>
    <w:rsid w:val="0042557D"/>
    <w:rsid w:val="00425ED7"/>
    <w:rsid w:val="0042606F"/>
    <w:rsid w:val="00427E09"/>
    <w:rsid w:val="00432B5C"/>
    <w:rsid w:val="0043347D"/>
    <w:rsid w:val="004339BE"/>
    <w:rsid w:val="00433B2A"/>
    <w:rsid w:val="0043480E"/>
    <w:rsid w:val="00434816"/>
    <w:rsid w:val="004375F5"/>
    <w:rsid w:val="004425BF"/>
    <w:rsid w:val="00442FEF"/>
    <w:rsid w:val="004432A4"/>
    <w:rsid w:val="0044716B"/>
    <w:rsid w:val="00452587"/>
    <w:rsid w:val="00455593"/>
    <w:rsid w:val="004558F2"/>
    <w:rsid w:val="00461B4C"/>
    <w:rsid w:val="00462631"/>
    <w:rsid w:val="00464B12"/>
    <w:rsid w:val="0047317F"/>
    <w:rsid w:val="004738F2"/>
    <w:rsid w:val="00474D81"/>
    <w:rsid w:val="00481F63"/>
    <w:rsid w:val="00482377"/>
    <w:rsid w:val="00486996"/>
    <w:rsid w:val="004906C0"/>
    <w:rsid w:val="004916A3"/>
    <w:rsid w:val="0049220D"/>
    <w:rsid w:val="00493F12"/>
    <w:rsid w:val="00494DAE"/>
    <w:rsid w:val="004A110C"/>
    <w:rsid w:val="004A38A1"/>
    <w:rsid w:val="004B0F56"/>
    <w:rsid w:val="004B3C00"/>
    <w:rsid w:val="004B4056"/>
    <w:rsid w:val="004B63E4"/>
    <w:rsid w:val="004B659C"/>
    <w:rsid w:val="004B6777"/>
    <w:rsid w:val="004B7E77"/>
    <w:rsid w:val="004C1D43"/>
    <w:rsid w:val="004C5036"/>
    <w:rsid w:val="004C5555"/>
    <w:rsid w:val="004C5AED"/>
    <w:rsid w:val="004D1FB4"/>
    <w:rsid w:val="004D1FD0"/>
    <w:rsid w:val="004D21E7"/>
    <w:rsid w:val="004D4452"/>
    <w:rsid w:val="004D5372"/>
    <w:rsid w:val="004D5375"/>
    <w:rsid w:val="004D5561"/>
    <w:rsid w:val="004D5606"/>
    <w:rsid w:val="004E0955"/>
    <w:rsid w:val="004E34E3"/>
    <w:rsid w:val="004E3C98"/>
    <w:rsid w:val="004E4470"/>
    <w:rsid w:val="004E4B9F"/>
    <w:rsid w:val="004E5E42"/>
    <w:rsid w:val="004E6C64"/>
    <w:rsid w:val="004F0480"/>
    <w:rsid w:val="004F0E83"/>
    <w:rsid w:val="004F20CB"/>
    <w:rsid w:val="004F3B39"/>
    <w:rsid w:val="004F574D"/>
    <w:rsid w:val="004F5E9A"/>
    <w:rsid w:val="004F72EF"/>
    <w:rsid w:val="004F7AA6"/>
    <w:rsid w:val="00502913"/>
    <w:rsid w:val="00507287"/>
    <w:rsid w:val="0050728B"/>
    <w:rsid w:val="00510735"/>
    <w:rsid w:val="00515B78"/>
    <w:rsid w:val="005212D9"/>
    <w:rsid w:val="0052267F"/>
    <w:rsid w:val="00522919"/>
    <w:rsid w:val="0052338C"/>
    <w:rsid w:val="00523A34"/>
    <w:rsid w:val="00526290"/>
    <w:rsid w:val="005272A1"/>
    <w:rsid w:val="00530814"/>
    <w:rsid w:val="00533B7D"/>
    <w:rsid w:val="00537848"/>
    <w:rsid w:val="005411B8"/>
    <w:rsid w:val="005424B8"/>
    <w:rsid w:val="00542D70"/>
    <w:rsid w:val="005455B8"/>
    <w:rsid w:val="00547FB1"/>
    <w:rsid w:val="00552BA6"/>
    <w:rsid w:val="00553218"/>
    <w:rsid w:val="00556001"/>
    <w:rsid w:val="00560B90"/>
    <w:rsid w:val="00561D60"/>
    <w:rsid w:val="00570580"/>
    <w:rsid w:val="00573D4A"/>
    <w:rsid w:val="00575295"/>
    <w:rsid w:val="00577F2A"/>
    <w:rsid w:val="005804BF"/>
    <w:rsid w:val="0058141F"/>
    <w:rsid w:val="0058259A"/>
    <w:rsid w:val="00583D9C"/>
    <w:rsid w:val="0058659E"/>
    <w:rsid w:val="00587721"/>
    <w:rsid w:val="0059382A"/>
    <w:rsid w:val="00594491"/>
    <w:rsid w:val="00594E2A"/>
    <w:rsid w:val="00596B2D"/>
    <w:rsid w:val="00597EA8"/>
    <w:rsid w:val="005A01AF"/>
    <w:rsid w:val="005A0CA4"/>
    <w:rsid w:val="005A225A"/>
    <w:rsid w:val="005A28C7"/>
    <w:rsid w:val="005A3430"/>
    <w:rsid w:val="005A40DF"/>
    <w:rsid w:val="005A42B8"/>
    <w:rsid w:val="005A72F1"/>
    <w:rsid w:val="005A7C8E"/>
    <w:rsid w:val="005B18F5"/>
    <w:rsid w:val="005B1FC6"/>
    <w:rsid w:val="005B38DA"/>
    <w:rsid w:val="005B3A14"/>
    <w:rsid w:val="005B4F6F"/>
    <w:rsid w:val="005B70C4"/>
    <w:rsid w:val="005B7B75"/>
    <w:rsid w:val="005C1FC6"/>
    <w:rsid w:val="005C2258"/>
    <w:rsid w:val="005C6D2C"/>
    <w:rsid w:val="005C7D7E"/>
    <w:rsid w:val="005D217F"/>
    <w:rsid w:val="005D4A18"/>
    <w:rsid w:val="005D51F3"/>
    <w:rsid w:val="005D6397"/>
    <w:rsid w:val="005D7DE2"/>
    <w:rsid w:val="005E346A"/>
    <w:rsid w:val="005E54C1"/>
    <w:rsid w:val="005E7316"/>
    <w:rsid w:val="005F14ED"/>
    <w:rsid w:val="005F3BBD"/>
    <w:rsid w:val="005F46CB"/>
    <w:rsid w:val="005F5678"/>
    <w:rsid w:val="00600A9E"/>
    <w:rsid w:val="00601DB6"/>
    <w:rsid w:val="006024A1"/>
    <w:rsid w:val="00603E4C"/>
    <w:rsid w:val="00604409"/>
    <w:rsid w:val="00604537"/>
    <w:rsid w:val="0061283B"/>
    <w:rsid w:val="006142CA"/>
    <w:rsid w:val="00614BC5"/>
    <w:rsid w:val="00615593"/>
    <w:rsid w:val="00616BD9"/>
    <w:rsid w:val="00617B58"/>
    <w:rsid w:val="00620BF1"/>
    <w:rsid w:val="00621847"/>
    <w:rsid w:val="00621AE6"/>
    <w:rsid w:val="0062398D"/>
    <w:rsid w:val="00624301"/>
    <w:rsid w:val="0062449A"/>
    <w:rsid w:val="00624BE0"/>
    <w:rsid w:val="00625547"/>
    <w:rsid w:val="00627D49"/>
    <w:rsid w:val="00627FD3"/>
    <w:rsid w:val="00634E0C"/>
    <w:rsid w:val="00637197"/>
    <w:rsid w:val="006371F9"/>
    <w:rsid w:val="00640F7C"/>
    <w:rsid w:val="00642DD8"/>
    <w:rsid w:val="00643793"/>
    <w:rsid w:val="00646408"/>
    <w:rsid w:val="00646768"/>
    <w:rsid w:val="0065336B"/>
    <w:rsid w:val="00653386"/>
    <w:rsid w:val="006544D7"/>
    <w:rsid w:val="00655E79"/>
    <w:rsid w:val="006563E1"/>
    <w:rsid w:val="00656800"/>
    <w:rsid w:val="00663B48"/>
    <w:rsid w:val="006646FE"/>
    <w:rsid w:val="006665CE"/>
    <w:rsid w:val="00666BA9"/>
    <w:rsid w:val="0066742C"/>
    <w:rsid w:val="00671637"/>
    <w:rsid w:val="006746F9"/>
    <w:rsid w:val="006775C9"/>
    <w:rsid w:val="00682675"/>
    <w:rsid w:val="00682899"/>
    <w:rsid w:val="00685B6C"/>
    <w:rsid w:val="00687961"/>
    <w:rsid w:val="00687DA0"/>
    <w:rsid w:val="0069467F"/>
    <w:rsid w:val="00696031"/>
    <w:rsid w:val="006A1BF6"/>
    <w:rsid w:val="006A1DE7"/>
    <w:rsid w:val="006A3F10"/>
    <w:rsid w:val="006A4FB3"/>
    <w:rsid w:val="006A59EC"/>
    <w:rsid w:val="006B3B36"/>
    <w:rsid w:val="006B4182"/>
    <w:rsid w:val="006B52F1"/>
    <w:rsid w:val="006C1EE7"/>
    <w:rsid w:val="006C1FC3"/>
    <w:rsid w:val="006C5A4E"/>
    <w:rsid w:val="006C7A04"/>
    <w:rsid w:val="006D01FD"/>
    <w:rsid w:val="006D080D"/>
    <w:rsid w:val="006D0BE9"/>
    <w:rsid w:val="006D197D"/>
    <w:rsid w:val="006D4FC8"/>
    <w:rsid w:val="006D5536"/>
    <w:rsid w:val="006D59AB"/>
    <w:rsid w:val="006D790E"/>
    <w:rsid w:val="006E0A99"/>
    <w:rsid w:val="006E1EB9"/>
    <w:rsid w:val="006E345A"/>
    <w:rsid w:val="006E3DD2"/>
    <w:rsid w:val="006F0784"/>
    <w:rsid w:val="006F1317"/>
    <w:rsid w:val="006F2601"/>
    <w:rsid w:val="006F3FEB"/>
    <w:rsid w:val="006F7C8E"/>
    <w:rsid w:val="007001F8"/>
    <w:rsid w:val="007025D4"/>
    <w:rsid w:val="00704AAC"/>
    <w:rsid w:val="00706DD4"/>
    <w:rsid w:val="00707728"/>
    <w:rsid w:val="00707E21"/>
    <w:rsid w:val="00707FE8"/>
    <w:rsid w:val="00710DE1"/>
    <w:rsid w:val="00712F56"/>
    <w:rsid w:val="00713FA3"/>
    <w:rsid w:val="0071481B"/>
    <w:rsid w:val="00714952"/>
    <w:rsid w:val="007258A4"/>
    <w:rsid w:val="007260F4"/>
    <w:rsid w:val="00732FD0"/>
    <w:rsid w:val="0074103C"/>
    <w:rsid w:val="00745B9F"/>
    <w:rsid w:val="00746912"/>
    <w:rsid w:val="00747897"/>
    <w:rsid w:val="007510AC"/>
    <w:rsid w:val="007518CC"/>
    <w:rsid w:val="007536A6"/>
    <w:rsid w:val="00755709"/>
    <w:rsid w:val="0075772F"/>
    <w:rsid w:val="00762206"/>
    <w:rsid w:val="00762B98"/>
    <w:rsid w:val="007632A6"/>
    <w:rsid w:val="00763C64"/>
    <w:rsid w:val="00767143"/>
    <w:rsid w:val="007677BC"/>
    <w:rsid w:val="0077168B"/>
    <w:rsid w:val="00772F28"/>
    <w:rsid w:val="0077354F"/>
    <w:rsid w:val="00774678"/>
    <w:rsid w:val="0077474C"/>
    <w:rsid w:val="007748CE"/>
    <w:rsid w:val="00775AFC"/>
    <w:rsid w:val="00775CAC"/>
    <w:rsid w:val="007778E7"/>
    <w:rsid w:val="00781C82"/>
    <w:rsid w:val="00782733"/>
    <w:rsid w:val="00783B82"/>
    <w:rsid w:val="0078711B"/>
    <w:rsid w:val="00792640"/>
    <w:rsid w:val="00792713"/>
    <w:rsid w:val="00794943"/>
    <w:rsid w:val="007A179B"/>
    <w:rsid w:val="007A40B0"/>
    <w:rsid w:val="007A5730"/>
    <w:rsid w:val="007B0397"/>
    <w:rsid w:val="007B1045"/>
    <w:rsid w:val="007B2A2B"/>
    <w:rsid w:val="007B2AD4"/>
    <w:rsid w:val="007C1379"/>
    <w:rsid w:val="007C324D"/>
    <w:rsid w:val="007C72F3"/>
    <w:rsid w:val="007D1747"/>
    <w:rsid w:val="007D4DF7"/>
    <w:rsid w:val="007D4EA9"/>
    <w:rsid w:val="007D7039"/>
    <w:rsid w:val="007D7AF8"/>
    <w:rsid w:val="007E2F07"/>
    <w:rsid w:val="007E5FF3"/>
    <w:rsid w:val="007E7BE5"/>
    <w:rsid w:val="007E7E88"/>
    <w:rsid w:val="007E7FBD"/>
    <w:rsid w:val="007F16D4"/>
    <w:rsid w:val="007F1D5C"/>
    <w:rsid w:val="007F74A9"/>
    <w:rsid w:val="007F7BE8"/>
    <w:rsid w:val="00801979"/>
    <w:rsid w:val="008026A2"/>
    <w:rsid w:val="00804EB3"/>
    <w:rsid w:val="0080627B"/>
    <w:rsid w:val="00806569"/>
    <w:rsid w:val="00807D92"/>
    <w:rsid w:val="008118AB"/>
    <w:rsid w:val="008144D6"/>
    <w:rsid w:val="00815332"/>
    <w:rsid w:val="008154EB"/>
    <w:rsid w:val="00815F1F"/>
    <w:rsid w:val="0081698A"/>
    <w:rsid w:val="00816F39"/>
    <w:rsid w:val="00821B6F"/>
    <w:rsid w:val="0082270E"/>
    <w:rsid w:val="0082474B"/>
    <w:rsid w:val="00825B36"/>
    <w:rsid w:val="00830CAA"/>
    <w:rsid w:val="00831BB3"/>
    <w:rsid w:val="00832110"/>
    <w:rsid w:val="0083304C"/>
    <w:rsid w:val="0083451E"/>
    <w:rsid w:val="00834FE0"/>
    <w:rsid w:val="00841F79"/>
    <w:rsid w:val="008425AD"/>
    <w:rsid w:val="00843DA3"/>
    <w:rsid w:val="00845D23"/>
    <w:rsid w:val="008526AF"/>
    <w:rsid w:val="008534B3"/>
    <w:rsid w:val="00854392"/>
    <w:rsid w:val="008569A8"/>
    <w:rsid w:val="008577BC"/>
    <w:rsid w:val="00862838"/>
    <w:rsid w:val="008629B5"/>
    <w:rsid w:val="00863979"/>
    <w:rsid w:val="00863EBE"/>
    <w:rsid w:val="0086480A"/>
    <w:rsid w:val="00865083"/>
    <w:rsid w:val="00866262"/>
    <w:rsid w:val="008676DA"/>
    <w:rsid w:val="008714EC"/>
    <w:rsid w:val="00872348"/>
    <w:rsid w:val="00873785"/>
    <w:rsid w:val="008738E5"/>
    <w:rsid w:val="0087594E"/>
    <w:rsid w:val="00877DA5"/>
    <w:rsid w:val="00881CAC"/>
    <w:rsid w:val="008827FC"/>
    <w:rsid w:val="00882DAB"/>
    <w:rsid w:val="008839AD"/>
    <w:rsid w:val="008857BE"/>
    <w:rsid w:val="00886803"/>
    <w:rsid w:val="00890236"/>
    <w:rsid w:val="00892C05"/>
    <w:rsid w:val="00896560"/>
    <w:rsid w:val="008968C9"/>
    <w:rsid w:val="008969D4"/>
    <w:rsid w:val="008A2041"/>
    <w:rsid w:val="008A3105"/>
    <w:rsid w:val="008A4F88"/>
    <w:rsid w:val="008B08C4"/>
    <w:rsid w:val="008B3971"/>
    <w:rsid w:val="008B5DB3"/>
    <w:rsid w:val="008C0EDA"/>
    <w:rsid w:val="008C22AB"/>
    <w:rsid w:val="008C3D9D"/>
    <w:rsid w:val="008C478C"/>
    <w:rsid w:val="008C684A"/>
    <w:rsid w:val="008D09C1"/>
    <w:rsid w:val="008D17F7"/>
    <w:rsid w:val="008D4190"/>
    <w:rsid w:val="008D4CFB"/>
    <w:rsid w:val="008D4F42"/>
    <w:rsid w:val="008D6925"/>
    <w:rsid w:val="008D71B7"/>
    <w:rsid w:val="008E0FAF"/>
    <w:rsid w:val="008E17B6"/>
    <w:rsid w:val="008E1A70"/>
    <w:rsid w:val="008E1D6A"/>
    <w:rsid w:val="008E2A99"/>
    <w:rsid w:val="008E4CE6"/>
    <w:rsid w:val="008E4FCA"/>
    <w:rsid w:val="008F1685"/>
    <w:rsid w:val="008F1F5F"/>
    <w:rsid w:val="008F42FF"/>
    <w:rsid w:val="008F5C0B"/>
    <w:rsid w:val="008F5FE8"/>
    <w:rsid w:val="008F63BB"/>
    <w:rsid w:val="00904097"/>
    <w:rsid w:val="0090578F"/>
    <w:rsid w:val="009060D4"/>
    <w:rsid w:val="00910B97"/>
    <w:rsid w:val="0091373D"/>
    <w:rsid w:val="00915083"/>
    <w:rsid w:val="00920155"/>
    <w:rsid w:val="00922EFE"/>
    <w:rsid w:val="00922FA1"/>
    <w:rsid w:val="00925ACF"/>
    <w:rsid w:val="00926D04"/>
    <w:rsid w:val="00927AE5"/>
    <w:rsid w:val="00933D3C"/>
    <w:rsid w:val="00935CCB"/>
    <w:rsid w:val="00944CB1"/>
    <w:rsid w:val="0094548E"/>
    <w:rsid w:val="009544D3"/>
    <w:rsid w:val="009553EE"/>
    <w:rsid w:val="00956BC8"/>
    <w:rsid w:val="00957795"/>
    <w:rsid w:val="009577C5"/>
    <w:rsid w:val="00961BD8"/>
    <w:rsid w:val="00963D8A"/>
    <w:rsid w:val="0096495D"/>
    <w:rsid w:val="00965074"/>
    <w:rsid w:val="00967278"/>
    <w:rsid w:val="0097078D"/>
    <w:rsid w:val="009733F9"/>
    <w:rsid w:val="00973F72"/>
    <w:rsid w:val="0097504D"/>
    <w:rsid w:val="00976451"/>
    <w:rsid w:val="00976C34"/>
    <w:rsid w:val="0098007B"/>
    <w:rsid w:val="00980134"/>
    <w:rsid w:val="00980FC3"/>
    <w:rsid w:val="009878EC"/>
    <w:rsid w:val="00991A7F"/>
    <w:rsid w:val="00992F48"/>
    <w:rsid w:val="00995C45"/>
    <w:rsid w:val="009A1636"/>
    <w:rsid w:val="009A433A"/>
    <w:rsid w:val="009A51A9"/>
    <w:rsid w:val="009B0B8C"/>
    <w:rsid w:val="009B1114"/>
    <w:rsid w:val="009B11B7"/>
    <w:rsid w:val="009B1974"/>
    <w:rsid w:val="009B3CA5"/>
    <w:rsid w:val="009B4335"/>
    <w:rsid w:val="009B519F"/>
    <w:rsid w:val="009B7239"/>
    <w:rsid w:val="009B7247"/>
    <w:rsid w:val="009B7C44"/>
    <w:rsid w:val="009C04BB"/>
    <w:rsid w:val="009C4E07"/>
    <w:rsid w:val="009D14C4"/>
    <w:rsid w:val="009D4012"/>
    <w:rsid w:val="009D40FC"/>
    <w:rsid w:val="009E0D4E"/>
    <w:rsid w:val="009E3AC4"/>
    <w:rsid w:val="009E4A29"/>
    <w:rsid w:val="009E7988"/>
    <w:rsid w:val="009F13F0"/>
    <w:rsid w:val="009F167A"/>
    <w:rsid w:val="009F4224"/>
    <w:rsid w:val="009F6277"/>
    <w:rsid w:val="009F78A9"/>
    <w:rsid w:val="009F7B94"/>
    <w:rsid w:val="00A003FB"/>
    <w:rsid w:val="00A00A07"/>
    <w:rsid w:val="00A04133"/>
    <w:rsid w:val="00A07465"/>
    <w:rsid w:val="00A135E8"/>
    <w:rsid w:val="00A200EC"/>
    <w:rsid w:val="00A25A55"/>
    <w:rsid w:val="00A26F45"/>
    <w:rsid w:val="00A34A67"/>
    <w:rsid w:val="00A35888"/>
    <w:rsid w:val="00A364B9"/>
    <w:rsid w:val="00A410D2"/>
    <w:rsid w:val="00A43655"/>
    <w:rsid w:val="00A440C6"/>
    <w:rsid w:val="00A46F3F"/>
    <w:rsid w:val="00A476F6"/>
    <w:rsid w:val="00A47F6B"/>
    <w:rsid w:val="00A5079D"/>
    <w:rsid w:val="00A51EF3"/>
    <w:rsid w:val="00A52F89"/>
    <w:rsid w:val="00A54E0C"/>
    <w:rsid w:val="00A56AAA"/>
    <w:rsid w:val="00A572F5"/>
    <w:rsid w:val="00A60B95"/>
    <w:rsid w:val="00A63464"/>
    <w:rsid w:val="00A65E46"/>
    <w:rsid w:val="00A66430"/>
    <w:rsid w:val="00A67E1C"/>
    <w:rsid w:val="00A71A79"/>
    <w:rsid w:val="00A721F4"/>
    <w:rsid w:val="00A74158"/>
    <w:rsid w:val="00A76D5E"/>
    <w:rsid w:val="00A774DC"/>
    <w:rsid w:val="00A77FF5"/>
    <w:rsid w:val="00A8173C"/>
    <w:rsid w:val="00A85773"/>
    <w:rsid w:val="00A85AA5"/>
    <w:rsid w:val="00A85EE2"/>
    <w:rsid w:val="00A86CB8"/>
    <w:rsid w:val="00A92213"/>
    <w:rsid w:val="00A958E2"/>
    <w:rsid w:val="00A95928"/>
    <w:rsid w:val="00A95A3E"/>
    <w:rsid w:val="00A97867"/>
    <w:rsid w:val="00A9786A"/>
    <w:rsid w:val="00A97C73"/>
    <w:rsid w:val="00AA06DD"/>
    <w:rsid w:val="00AA0DE3"/>
    <w:rsid w:val="00AA2050"/>
    <w:rsid w:val="00AA2DCC"/>
    <w:rsid w:val="00AA4855"/>
    <w:rsid w:val="00AA5395"/>
    <w:rsid w:val="00AA6C55"/>
    <w:rsid w:val="00AA7DE1"/>
    <w:rsid w:val="00AB0587"/>
    <w:rsid w:val="00AB149B"/>
    <w:rsid w:val="00AB3BDE"/>
    <w:rsid w:val="00AB5B82"/>
    <w:rsid w:val="00AC1299"/>
    <w:rsid w:val="00AC2839"/>
    <w:rsid w:val="00AC6A1A"/>
    <w:rsid w:val="00AC7F5B"/>
    <w:rsid w:val="00AD05EC"/>
    <w:rsid w:val="00AD33B2"/>
    <w:rsid w:val="00AD582C"/>
    <w:rsid w:val="00AD6966"/>
    <w:rsid w:val="00AD698D"/>
    <w:rsid w:val="00AD6BBB"/>
    <w:rsid w:val="00AE0191"/>
    <w:rsid w:val="00AE0C86"/>
    <w:rsid w:val="00AE1759"/>
    <w:rsid w:val="00AE21CF"/>
    <w:rsid w:val="00AE2A30"/>
    <w:rsid w:val="00AE33A2"/>
    <w:rsid w:val="00AE402E"/>
    <w:rsid w:val="00AE425C"/>
    <w:rsid w:val="00AE51F2"/>
    <w:rsid w:val="00AE7695"/>
    <w:rsid w:val="00AF0C7A"/>
    <w:rsid w:val="00AF2789"/>
    <w:rsid w:val="00AF3A7C"/>
    <w:rsid w:val="00AF6EB7"/>
    <w:rsid w:val="00AF710B"/>
    <w:rsid w:val="00AF75A3"/>
    <w:rsid w:val="00B004EA"/>
    <w:rsid w:val="00B00FE0"/>
    <w:rsid w:val="00B10415"/>
    <w:rsid w:val="00B11164"/>
    <w:rsid w:val="00B121BB"/>
    <w:rsid w:val="00B138D7"/>
    <w:rsid w:val="00B16A48"/>
    <w:rsid w:val="00B21F2F"/>
    <w:rsid w:val="00B224E2"/>
    <w:rsid w:val="00B232AB"/>
    <w:rsid w:val="00B237E2"/>
    <w:rsid w:val="00B23D30"/>
    <w:rsid w:val="00B25428"/>
    <w:rsid w:val="00B25586"/>
    <w:rsid w:val="00B2646E"/>
    <w:rsid w:val="00B26756"/>
    <w:rsid w:val="00B307D3"/>
    <w:rsid w:val="00B30AB6"/>
    <w:rsid w:val="00B3396C"/>
    <w:rsid w:val="00B33B1A"/>
    <w:rsid w:val="00B3417B"/>
    <w:rsid w:val="00B34579"/>
    <w:rsid w:val="00B34A13"/>
    <w:rsid w:val="00B3670B"/>
    <w:rsid w:val="00B36CD4"/>
    <w:rsid w:val="00B36D4A"/>
    <w:rsid w:val="00B36F88"/>
    <w:rsid w:val="00B37C1C"/>
    <w:rsid w:val="00B40075"/>
    <w:rsid w:val="00B4009D"/>
    <w:rsid w:val="00B436B8"/>
    <w:rsid w:val="00B43A39"/>
    <w:rsid w:val="00B4444E"/>
    <w:rsid w:val="00B44E93"/>
    <w:rsid w:val="00B4508E"/>
    <w:rsid w:val="00B46618"/>
    <w:rsid w:val="00B472CB"/>
    <w:rsid w:val="00B477E5"/>
    <w:rsid w:val="00B51854"/>
    <w:rsid w:val="00B52ED6"/>
    <w:rsid w:val="00B55CA0"/>
    <w:rsid w:val="00B560C3"/>
    <w:rsid w:val="00B67827"/>
    <w:rsid w:val="00B72536"/>
    <w:rsid w:val="00B73168"/>
    <w:rsid w:val="00B7347B"/>
    <w:rsid w:val="00B73EF0"/>
    <w:rsid w:val="00B75565"/>
    <w:rsid w:val="00B77CB6"/>
    <w:rsid w:val="00B81015"/>
    <w:rsid w:val="00B87293"/>
    <w:rsid w:val="00B909B4"/>
    <w:rsid w:val="00B912EF"/>
    <w:rsid w:val="00B93EFD"/>
    <w:rsid w:val="00B96692"/>
    <w:rsid w:val="00B96D49"/>
    <w:rsid w:val="00B9752F"/>
    <w:rsid w:val="00B976DE"/>
    <w:rsid w:val="00BA2CF2"/>
    <w:rsid w:val="00BA2DFE"/>
    <w:rsid w:val="00BA3314"/>
    <w:rsid w:val="00BA3350"/>
    <w:rsid w:val="00BB0B0E"/>
    <w:rsid w:val="00BB2B89"/>
    <w:rsid w:val="00BB3679"/>
    <w:rsid w:val="00BB551D"/>
    <w:rsid w:val="00BB5C74"/>
    <w:rsid w:val="00BB695C"/>
    <w:rsid w:val="00BB7117"/>
    <w:rsid w:val="00BC068D"/>
    <w:rsid w:val="00BC1D59"/>
    <w:rsid w:val="00BC306A"/>
    <w:rsid w:val="00BD15C3"/>
    <w:rsid w:val="00BD20B8"/>
    <w:rsid w:val="00BD6A71"/>
    <w:rsid w:val="00BD7298"/>
    <w:rsid w:val="00BD77CB"/>
    <w:rsid w:val="00BD7D47"/>
    <w:rsid w:val="00BE159F"/>
    <w:rsid w:val="00BE15D5"/>
    <w:rsid w:val="00BE1E4C"/>
    <w:rsid w:val="00BE2756"/>
    <w:rsid w:val="00BE2C90"/>
    <w:rsid w:val="00BE48DC"/>
    <w:rsid w:val="00BE6F12"/>
    <w:rsid w:val="00BE7062"/>
    <w:rsid w:val="00BE707B"/>
    <w:rsid w:val="00BE7587"/>
    <w:rsid w:val="00BF0380"/>
    <w:rsid w:val="00BF089A"/>
    <w:rsid w:val="00BF0FC8"/>
    <w:rsid w:val="00BF2483"/>
    <w:rsid w:val="00BF2539"/>
    <w:rsid w:val="00BF32E9"/>
    <w:rsid w:val="00BF45B6"/>
    <w:rsid w:val="00BF6E7E"/>
    <w:rsid w:val="00BF7FD0"/>
    <w:rsid w:val="00C00605"/>
    <w:rsid w:val="00C051B3"/>
    <w:rsid w:val="00C0596D"/>
    <w:rsid w:val="00C068B3"/>
    <w:rsid w:val="00C07DE7"/>
    <w:rsid w:val="00C10C2C"/>
    <w:rsid w:val="00C10C5C"/>
    <w:rsid w:val="00C10F33"/>
    <w:rsid w:val="00C13203"/>
    <w:rsid w:val="00C13E06"/>
    <w:rsid w:val="00C14141"/>
    <w:rsid w:val="00C1528C"/>
    <w:rsid w:val="00C16262"/>
    <w:rsid w:val="00C20109"/>
    <w:rsid w:val="00C24A49"/>
    <w:rsid w:val="00C25800"/>
    <w:rsid w:val="00C25892"/>
    <w:rsid w:val="00C26B36"/>
    <w:rsid w:val="00C27B75"/>
    <w:rsid w:val="00C27EC4"/>
    <w:rsid w:val="00C3057F"/>
    <w:rsid w:val="00C312F4"/>
    <w:rsid w:val="00C314CD"/>
    <w:rsid w:val="00C32783"/>
    <w:rsid w:val="00C350B6"/>
    <w:rsid w:val="00C40462"/>
    <w:rsid w:val="00C4249A"/>
    <w:rsid w:val="00C42A93"/>
    <w:rsid w:val="00C50418"/>
    <w:rsid w:val="00C51640"/>
    <w:rsid w:val="00C520BA"/>
    <w:rsid w:val="00C52E3C"/>
    <w:rsid w:val="00C53DC3"/>
    <w:rsid w:val="00C5647A"/>
    <w:rsid w:val="00C60AAA"/>
    <w:rsid w:val="00C62F58"/>
    <w:rsid w:val="00C6517E"/>
    <w:rsid w:val="00C703AA"/>
    <w:rsid w:val="00C721CD"/>
    <w:rsid w:val="00C7245E"/>
    <w:rsid w:val="00C766CA"/>
    <w:rsid w:val="00C7716C"/>
    <w:rsid w:val="00C77253"/>
    <w:rsid w:val="00C80639"/>
    <w:rsid w:val="00C806C2"/>
    <w:rsid w:val="00C807F1"/>
    <w:rsid w:val="00C819F8"/>
    <w:rsid w:val="00C833A6"/>
    <w:rsid w:val="00C87198"/>
    <w:rsid w:val="00C9044C"/>
    <w:rsid w:val="00C91EF8"/>
    <w:rsid w:val="00C92AC5"/>
    <w:rsid w:val="00CA6EDA"/>
    <w:rsid w:val="00CB17AB"/>
    <w:rsid w:val="00CB520E"/>
    <w:rsid w:val="00CD117B"/>
    <w:rsid w:val="00CD27F2"/>
    <w:rsid w:val="00CD2ACB"/>
    <w:rsid w:val="00CD3561"/>
    <w:rsid w:val="00CD377B"/>
    <w:rsid w:val="00CD3E22"/>
    <w:rsid w:val="00CD42F0"/>
    <w:rsid w:val="00CD7012"/>
    <w:rsid w:val="00CD77B6"/>
    <w:rsid w:val="00CE3D55"/>
    <w:rsid w:val="00CE5926"/>
    <w:rsid w:val="00CE6E20"/>
    <w:rsid w:val="00CF00FD"/>
    <w:rsid w:val="00CF06DF"/>
    <w:rsid w:val="00CF2D0B"/>
    <w:rsid w:val="00CF3443"/>
    <w:rsid w:val="00CF37A2"/>
    <w:rsid w:val="00CF3E40"/>
    <w:rsid w:val="00CF4726"/>
    <w:rsid w:val="00CF4E63"/>
    <w:rsid w:val="00CF7E9B"/>
    <w:rsid w:val="00D00536"/>
    <w:rsid w:val="00D01676"/>
    <w:rsid w:val="00D065E4"/>
    <w:rsid w:val="00D073A2"/>
    <w:rsid w:val="00D10089"/>
    <w:rsid w:val="00D12D61"/>
    <w:rsid w:val="00D139B8"/>
    <w:rsid w:val="00D13C19"/>
    <w:rsid w:val="00D14147"/>
    <w:rsid w:val="00D165C0"/>
    <w:rsid w:val="00D16893"/>
    <w:rsid w:val="00D2029E"/>
    <w:rsid w:val="00D205D2"/>
    <w:rsid w:val="00D21B06"/>
    <w:rsid w:val="00D23225"/>
    <w:rsid w:val="00D26423"/>
    <w:rsid w:val="00D34B0A"/>
    <w:rsid w:val="00D34C3D"/>
    <w:rsid w:val="00D36866"/>
    <w:rsid w:val="00D36F7A"/>
    <w:rsid w:val="00D414D8"/>
    <w:rsid w:val="00D4217F"/>
    <w:rsid w:val="00D4277B"/>
    <w:rsid w:val="00D42A90"/>
    <w:rsid w:val="00D4371E"/>
    <w:rsid w:val="00D46CE6"/>
    <w:rsid w:val="00D50C41"/>
    <w:rsid w:val="00D5286E"/>
    <w:rsid w:val="00D52E00"/>
    <w:rsid w:val="00D55844"/>
    <w:rsid w:val="00D55E6C"/>
    <w:rsid w:val="00D5669E"/>
    <w:rsid w:val="00D57966"/>
    <w:rsid w:val="00D57D2C"/>
    <w:rsid w:val="00D602AF"/>
    <w:rsid w:val="00D60CA8"/>
    <w:rsid w:val="00D61185"/>
    <w:rsid w:val="00D61C79"/>
    <w:rsid w:val="00D628DE"/>
    <w:rsid w:val="00D635D4"/>
    <w:rsid w:val="00D66965"/>
    <w:rsid w:val="00D66A42"/>
    <w:rsid w:val="00D66C69"/>
    <w:rsid w:val="00D67F51"/>
    <w:rsid w:val="00D708F6"/>
    <w:rsid w:val="00D75C9D"/>
    <w:rsid w:val="00D76214"/>
    <w:rsid w:val="00D77D2A"/>
    <w:rsid w:val="00D80A32"/>
    <w:rsid w:val="00D80DE1"/>
    <w:rsid w:val="00D8266D"/>
    <w:rsid w:val="00D83004"/>
    <w:rsid w:val="00D83F09"/>
    <w:rsid w:val="00D85837"/>
    <w:rsid w:val="00D92B88"/>
    <w:rsid w:val="00D92F8E"/>
    <w:rsid w:val="00D933C2"/>
    <w:rsid w:val="00D9446F"/>
    <w:rsid w:val="00D95C33"/>
    <w:rsid w:val="00DA137E"/>
    <w:rsid w:val="00DA2F2A"/>
    <w:rsid w:val="00DA32A0"/>
    <w:rsid w:val="00DA41A4"/>
    <w:rsid w:val="00DA4296"/>
    <w:rsid w:val="00DA645C"/>
    <w:rsid w:val="00DA68A1"/>
    <w:rsid w:val="00DA7966"/>
    <w:rsid w:val="00DB2961"/>
    <w:rsid w:val="00DB48F2"/>
    <w:rsid w:val="00DB5089"/>
    <w:rsid w:val="00DB5A46"/>
    <w:rsid w:val="00DB7799"/>
    <w:rsid w:val="00DB7AB6"/>
    <w:rsid w:val="00DB7C2D"/>
    <w:rsid w:val="00DC0A47"/>
    <w:rsid w:val="00DC26CA"/>
    <w:rsid w:val="00DC3561"/>
    <w:rsid w:val="00DC63C5"/>
    <w:rsid w:val="00DC71F3"/>
    <w:rsid w:val="00DD2612"/>
    <w:rsid w:val="00DD2C60"/>
    <w:rsid w:val="00DD7103"/>
    <w:rsid w:val="00DD7348"/>
    <w:rsid w:val="00DE1748"/>
    <w:rsid w:val="00DE2054"/>
    <w:rsid w:val="00DE3B7A"/>
    <w:rsid w:val="00DE4FC2"/>
    <w:rsid w:val="00DE6587"/>
    <w:rsid w:val="00DE6E1B"/>
    <w:rsid w:val="00DF00B2"/>
    <w:rsid w:val="00DF238D"/>
    <w:rsid w:val="00DF38A4"/>
    <w:rsid w:val="00DF4FA9"/>
    <w:rsid w:val="00DF6724"/>
    <w:rsid w:val="00DF77F8"/>
    <w:rsid w:val="00DF7F2D"/>
    <w:rsid w:val="00E00EF5"/>
    <w:rsid w:val="00E01751"/>
    <w:rsid w:val="00E01CFD"/>
    <w:rsid w:val="00E03300"/>
    <w:rsid w:val="00E04240"/>
    <w:rsid w:val="00E1051D"/>
    <w:rsid w:val="00E1053D"/>
    <w:rsid w:val="00E14E38"/>
    <w:rsid w:val="00E157D5"/>
    <w:rsid w:val="00E16C50"/>
    <w:rsid w:val="00E20F22"/>
    <w:rsid w:val="00E256B8"/>
    <w:rsid w:val="00E275BD"/>
    <w:rsid w:val="00E27DFB"/>
    <w:rsid w:val="00E30EEF"/>
    <w:rsid w:val="00E3145E"/>
    <w:rsid w:val="00E3412F"/>
    <w:rsid w:val="00E34987"/>
    <w:rsid w:val="00E34DD4"/>
    <w:rsid w:val="00E35C12"/>
    <w:rsid w:val="00E40A4E"/>
    <w:rsid w:val="00E47A15"/>
    <w:rsid w:val="00E51086"/>
    <w:rsid w:val="00E519A6"/>
    <w:rsid w:val="00E52345"/>
    <w:rsid w:val="00E525B9"/>
    <w:rsid w:val="00E535B6"/>
    <w:rsid w:val="00E556D3"/>
    <w:rsid w:val="00E56210"/>
    <w:rsid w:val="00E611AB"/>
    <w:rsid w:val="00E61C40"/>
    <w:rsid w:val="00E64F95"/>
    <w:rsid w:val="00E65166"/>
    <w:rsid w:val="00E754B9"/>
    <w:rsid w:val="00E75996"/>
    <w:rsid w:val="00E80D4E"/>
    <w:rsid w:val="00E82361"/>
    <w:rsid w:val="00E82ADE"/>
    <w:rsid w:val="00E85E42"/>
    <w:rsid w:val="00E860A2"/>
    <w:rsid w:val="00E92635"/>
    <w:rsid w:val="00EA12DA"/>
    <w:rsid w:val="00EA3031"/>
    <w:rsid w:val="00EA319E"/>
    <w:rsid w:val="00EA366F"/>
    <w:rsid w:val="00EA5179"/>
    <w:rsid w:val="00EA5B9E"/>
    <w:rsid w:val="00EA7B32"/>
    <w:rsid w:val="00EB1834"/>
    <w:rsid w:val="00EB1890"/>
    <w:rsid w:val="00EB27DC"/>
    <w:rsid w:val="00EB2BFB"/>
    <w:rsid w:val="00EB3F1C"/>
    <w:rsid w:val="00EB45D6"/>
    <w:rsid w:val="00EB4A09"/>
    <w:rsid w:val="00EB712C"/>
    <w:rsid w:val="00EB7DF4"/>
    <w:rsid w:val="00EC2AD2"/>
    <w:rsid w:val="00ED020D"/>
    <w:rsid w:val="00ED16D4"/>
    <w:rsid w:val="00ED21C1"/>
    <w:rsid w:val="00ED44A6"/>
    <w:rsid w:val="00ED45AF"/>
    <w:rsid w:val="00ED51AD"/>
    <w:rsid w:val="00ED53AF"/>
    <w:rsid w:val="00EE17B4"/>
    <w:rsid w:val="00EE1AE6"/>
    <w:rsid w:val="00EE375F"/>
    <w:rsid w:val="00EE49F7"/>
    <w:rsid w:val="00EE4B31"/>
    <w:rsid w:val="00EF38ED"/>
    <w:rsid w:val="00EF5F8D"/>
    <w:rsid w:val="00EF6165"/>
    <w:rsid w:val="00EF6A19"/>
    <w:rsid w:val="00EF73B8"/>
    <w:rsid w:val="00F020FE"/>
    <w:rsid w:val="00F024B5"/>
    <w:rsid w:val="00F025CF"/>
    <w:rsid w:val="00F03602"/>
    <w:rsid w:val="00F06060"/>
    <w:rsid w:val="00F11964"/>
    <w:rsid w:val="00F1226E"/>
    <w:rsid w:val="00F2075F"/>
    <w:rsid w:val="00F2166D"/>
    <w:rsid w:val="00F22071"/>
    <w:rsid w:val="00F23EA4"/>
    <w:rsid w:val="00F35458"/>
    <w:rsid w:val="00F378AB"/>
    <w:rsid w:val="00F42E71"/>
    <w:rsid w:val="00F53152"/>
    <w:rsid w:val="00F54F7A"/>
    <w:rsid w:val="00F551DD"/>
    <w:rsid w:val="00F634DC"/>
    <w:rsid w:val="00F66838"/>
    <w:rsid w:val="00F66886"/>
    <w:rsid w:val="00F76305"/>
    <w:rsid w:val="00F770E8"/>
    <w:rsid w:val="00F77100"/>
    <w:rsid w:val="00F77723"/>
    <w:rsid w:val="00F77B66"/>
    <w:rsid w:val="00F819EC"/>
    <w:rsid w:val="00F8209C"/>
    <w:rsid w:val="00F821B4"/>
    <w:rsid w:val="00F839B0"/>
    <w:rsid w:val="00F85D63"/>
    <w:rsid w:val="00F87F2F"/>
    <w:rsid w:val="00F94473"/>
    <w:rsid w:val="00FA0A9F"/>
    <w:rsid w:val="00FA0AD1"/>
    <w:rsid w:val="00FA0B2A"/>
    <w:rsid w:val="00FA2D38"/>
    <w:rsid w:val="00FA3A7B"/>
    <w:rsid w:val="00FA6901"/>
    <w:rsid w:val="00FB1245"/>
    <w:rsid w:val="00FB483E"/>
    <w:rsid w:val="00FB4C7A"/>
    <w:rsid w:val="00FB5F7C"/>
    <w:rsid w:val="00FB7D3C"/>
    <w:rsid w:val="00FC15BC"/>
    <w:rsid w:val="00FC49A2"/>
    <w:rsid w:val="00FC5F91"/>
    <w:rsid w:val="00FD0E47"/>
    <w:rsid w:val="00FE0E27"/>
    <w:rsid w:val="00FE0F89"/>
    <w:rsid w:val="00FE77E7"/>
    <w:rsid w:val="00FE7862"/>
    <w:rsid w:val="00FF0400"/>
    <w:rsid w:val="00FF2A53"/>
    <w:rsid w:val="00FF4DBF"/>
    <w:rsid w:val="00FF505E"/>
    <w:rsid w:val="00FF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link w:val="4GChar"/>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table" w:styleId="Tablaconcuadrcula">
    <w:name w:val="Table Grid"/>
    <w:basedOn w:val="Tablanormal"/>
    <w:uiPriority w:val="39"/>
    <w:rsid w:val="005D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944CB1"/>
  </w:style>
  <w:style w:type="character" w:customStyle="1" w:styleId="eop">
    <w:name w:val="eop"/>
    <w:basedOn w:val="Fuentedeprrafopredeter"/>
    <w:rsid w:val="00944CB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45B5C"/>
    <w:rPr>
      <w:rFonts w:asciiTheme="minorHAnsi" w:eastAsiaTheme="minorHAnsi" w:hAnsiTheme="minorHAnsi" w:cstheme="minorBidi"/>
      <w:sz w:val="22"/>
      <w:szCs w:val="22"/>
      <w:vertAlign w:val="superscript"/>
      <w:lang w:val="es-ES" w:eastAsia="en-US"/>
    </w:rPr>
  </w:style>
  <w:style w:type="character" w:customStyle="1" w:styleId="Ninguno">
    <w:name w:val="Ninguno"/>
    <w:rsid w:val="00804EB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 w:id="2130079925">
      <w:bodyDiv w:val="1"/>
      <w:marLeft w:val="0"/>
      <w:marRight w:val="0"/>
      <w:marTop w:val="0"/>
      <w:marBottom w:val="0"/>
      <w:divBdr>
        <w:top w:val="none" w:sz="0" w:space="0" w:color="auto"/>
        <w:left w:val="none" w:sz="0" w:space="0" w:color="auto"/>
        <w:bottom w:val="none" w:sz="0" w:space="0" w:color="auto"/>
        <w:right w:val="none" w:sz="0" w:space="0" w:color="auto"/>
      </w:divBdr>
      <w:divsChild>
        <w:div w:id="209893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3DC20-8024-4B0B-ABD3-E07D9092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5233</Words>
  <Characters>28785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17</cp:revision>
  <cp:lastPrinted>2020-02-25T12:17:00Z</cp:lastPrinted>
  <dcterms:created xsi:type="dcterms:W3CDTF">2021-09-17T13:46:00Z</dcterms:created>
  <dcterms:modified xsi:type="dcterms:W3CDTF">2022-02-26T17:11:00Z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