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2108" w14:textId="77777777" w:rsidR="002A2CCF" w:rsidRPr="00D75069" w:rsidRDefault="002A2CCF" w:rsidP="002A2CC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eastAsia="fr-FR"/>
        </w:rPr>
      </w:pPr>
      <w:bookmarkStart w:id="0" w:name="_Hlk69670443"/>
      <w:r w:rsidRPr="008A290B">
        <w:rPr>
          <w:rFonts w:ascii="Arial" w:hAnsi="Arial" w:cs="Arial"/>
          <w:color w:val="FF0000"/>
          <w:spacing w:val="-2"/>
          <w:sz w:val="18"/>
          <w:szCs w:val="18"/>
          <w:lang w:val="es-419" w:eastAsia="fr-FR"/>
        </w:rPr>
        <w:t>El s</w:t>
      </w:r>
      <w:proofErr w:type="spellStart"/>
      <w:r w:rsidRPr="00D75069">
        <w:rPr>
          <w:rFonts w:ascii="Arial" w:hAnsi="Arial" w:cs="Arial"/>
          <w:color w:val="FF0000"/>
          <w:spacing w:val="-2"/>
          <w:sz w:val="18"/>
          <w:szCs w:val="18"/>
          <w:lang w:eastAsia="fr-FR"/>
        </w:rPr>
        <w:t>iguiente</w:t>
      </w:r>
      <w:proofErr w:type="spellEnd"/>
      <w:r w:rsidRPr="00D75069">
        <w:rPr>
          <w:rFonts w:ascii="Arial" w:hAnsi="Arial" w:cs="Arial"/>
          <w:color w:val="FF0000"/>
          <w:spacing w:val="-2"/>
          <w:sz w:val="18"/>
          <w:szCs w:val="18"/>
          <w:lang w:eastAsia="fr-FR"/>
        </w:rPr>
        <w:t xml:space="preserve"> es el documento presentado por el Magistrado Ponente que sirvió de base para proferir la providencia dentro del presente proceso.  El contenido total y fiel de la decisión debe ser verificado en la respectiva Secretaría.</w:t>
      </w:r>
    </w:p>
    <w:p w14:paraId="353F083F" w14:textId="77777777" w:rsidR="002A2CCF" w:rsidRPr="00D75069" w:rsidRDefault="002A2CCF" w:rsidP="002A2CCF">
      <w:pPr>
        <w:jc w:val="both"/>
        <w:rPr>
          <w:rFonts w:ascii="Arial" w:hAnsi="Arial" w:cs="Arial"/>
        </w:rPr>
      </w:pPr>
    </w:p>
    <w:p w14:paraId="4E2C38A5" w14:textId="23EFC96C" w:rsidR="002A2CCF" w:rsidRPr="00D75069" w:rsidRDefault="003970E2" w:rsidP="002A2CCF">
      <w:pPr>
        <w:pStyle w:val="Sinespaciado"/>
        <w:jc w:val="both"/>
        <w:rPr>
          <w:rFonts w:ascii="Arial" w:hAnsi="Arial" w:cs="Arial"/>
          <w:b/>
          <w:bCs/>
          <w:iCs/>
          <w:sz w:val="20"/>
          <w:szCs w:val="20"/>
          <w:lang w:val="es-ES_tradnl" w:eastAsia="fr-FR"/>
        </w:rPr>
      </w:pPr>
      <w:r w:rsidRPr="00D75069">
        <w:rPr>
          <w:rFonts w:ascii="Arial" w:hAnsi="Arial" w:cs="Arial"/>
          <w:b/>
          <w:bCs/>
          <w:iCs/>
          <w:sz w:val="20"/>
          <w:szCs w:val="20"/>
          <w:u w:val="single"/>
          <w:lang w:val="es-ES_tradnl" w:eastAsia="fr-FR"/>
        </w:rPr>
        <w:t>TEMAS:</w:t>
      </w:r>
      <w:r w:rsidRPr="00D75069">
        <w:rPr>
          <w:rFonts w:ascii="Arial" w:hAnsi="Arial" w:cs="Arial"/>
          <w:b/>
          <w:bCs/>
          <w:iCs/>
          <w:sz w:val="20"/>
          <w:szCs w:val="20"/>
          <w:lang w:val="es-ES_tradnl" w:eastAsia="fr-FR"/>
        </w:rPr>
        <w:tab/>
      </w:r>
      <w:r>
        <w:rPr>
          <w:rFonts w:ascii="Arial" w:hAnsi="Arial" w:cs="Arial"/>
          <w:b/>
          <w:bCs/>
          <w:iCs/>
          <w:sz w:val="20"/>
          <w:szCs w:val="20"/>
          <w:lang w:val="es-ES_tradnl" w:eastAsia="fr-FR"/>
        </w:rPr>
        <w:t>DEBIDO PROCESO / TUTELA CONTRA DECISIÓN JUDICIAL / CAUSALES GENERALES Y ESPECÍFICAS DE PROCEDIBILIDAD / ACCIÓN POPULAR / REQUISITOS DE LA DEMANDA / LE APLICA EL DECRETO 806 DE 2020 / CRITERIO RAZONABLE DEL JUEZ / IMPROCEDENCIA DE LA TUTELA.</w:t>
      </w:r>
    </w:p>
    <w:p w14:paraId="1185F107" w14:textId="77777777" w:rsidR="002A2CCF" w:rsidRPr="00D75069" w:rsidRDefault="002A2CCF" w:rsidP="002A2CCF">
      <w:pPr>
        <w:jc w:val="both"/>
        <w:rPr>
          <w:rFonts w:ascii="Arial" w:hAnsi="Arial" w:cs="Arial"/>
        </w:rPr>
      </w:pPr>
    </w:p>
    <w:p w14:paraId="5A7C6046" w14:textId="73F95D91" w:rsidR="002A2CCF" w:rsidRDefault="0069582F" w:rsidP="002A2CCF">
      <w:pPr>
        <w:jc w:val="both"/>
        <w:rPr>
          <w:rFonts w:ascii="Arial" w:hAnsi="Arial" w:cs="Arial"/>
        </w:rPr>
      </w:pPr>
      <w:r w:rsidRPr="0069582F">
        <w:rPr>
          <w:rFonts w:ascii="Arial" w:hAnsi="Arial" w:cs="Arial"/>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sidR="00AC7A26">
        <w:rPr>
          <w:rFonts w:ascii="Arial" w:hAnsi="Arial" w:cs="Arial"/>
        </w:rPr>
        <w:t>…</w:t>
      </w:r>
    </w:p>
    <w:p w14:paraId="408771AC" w14:textId="77777777" w:rsidR="00AC7A26" w:rsidRPr="00D75069" w:rsidRDefault="00AC7A26" w:rsidP="002A2CCF">
      <w:pPr>
        <w:jc w:val="both"/>
        <w:rPr>
          <w:rFonts w:ascii="Arial" w:hAnsi="Arial" w:cs="Arial"/>
        </w:rPr>
      </w:pPr>
    </w:p>
    <w:p w14:paraId="70864940" w14:textId="077DF4DB" w:rsidR="002A2CCF" w:rsidRPr="00D75069" w:rsidRDefault="00AC7A26" w:rsidP="002A2CCF">
      <w:pPr>
        <w:jc w:val="both"/>
        <w:rPr>
          <w:rFonts w:ascii="Arial" w:hAnsi="Arial" w:cs="Arial"/>
        </w:rPr>
      </w:pPr>
      <w:r w:rsidRPr="00AC7A26">
        <w:rPr>
          <w:rFonts w:ascii="Arial" w:hAnsi="Arial" w:cs="Arial"/>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w:t>
      </w:r>
      <w:r>
        <w:rPr>
          <w:rFonts w:ascii="Arial" w:hAnsi="Arial" w:cs="Arial"/>
        </w:rPr>
        <w:t>…</w:t>
      </w:r>
    </w:p>
    <w:p w14:paraId="6AB504B3" w14:textId="77777777" w:rsidR="002A2CCF" w:rsidRPr="00D75069" w:rsidRDefault="002A2CCF" w:rsidP="002A2CCF">
      <w:pPr>
        <w:jc w:val="both"/>
        <w:rPr>
          <w:rFonts w:ascii="Arial" w:hAnsi="Arial" w:cs="Arial"/>
        </w:rPr>
      </w:pPr>
    </w:p>
    <w:p w14:paraId="3D8228F6" w14:textId="62EB6158" w:rsidR="002A2CCF" w:rsidRPr="00D75069" w:rsidRDefault="0086063E" w:rsidP="002A2CCF">
      <w:pPr>
        <w:jc w:val="both"/>
        <w:rPr>
          <w:rFonts w:ascii="Arial" w:hAnsi="Arial" w:cs="Arial"/>
        </w:rPr>
      </w:pPr>
      <w:r w:rsidRPr="0086063E">
        <w:rPr>
          <w:rFonts w:ascii="Arial" w:hAnsi="Arial" w:cs="Arial"/>
        </w:rPr>
        <w:t>Mediante auto del 30 de ese mismo mes la Juez Primera Civil del Circuito resolvió inadmitir la demanda y conceder el término de tres días para subsanación, so pena de rechazo. A esta conclusión arribó luego de considerar que se incumple la exigencia establecida en el inciso 2° del artículo 20 de la Ley 472 de 1998, en concordancia con el inciso 4° del artículo 6º del Decreto 806 de 2020, normas que obligan a remitir junto con la demanda copia de ella y sus anexos al buzón de correo electrónico de las demandadas</w:t>
      </w:r>
      <w:r>
        <w:rPr>
          <w:rFonts w:ascii="Arial" w:hAnsi="Arial" w:cs="Arial"/>
        </w:rPr>
        <w:t>. (…)</w:t>
      </w:r>
    </w:p>
    <w:p w14:paraId="456A285A" w14:textId="77777777" w:rsidR="002A2CCF" w:rsidRPr="00D75069" w:rsidRDefault="002A2CCF" w:rsidP="002A2CCF">
      <w:pPr>
        <w:jc w:val="both"/>
        <w:rPr>
          <w:rFonts w:ascii="Arial" w:hAnsi="Arial" w:cs="Arial"/>
        </w:rPr>
      </w:pPr>
    </w:p>
    <w:p w14:paraId="149AED60" w14:textId="3F13118E" w:rsidR="002A2CCF" w:rsidRPr="00D75069" w:rsidRDefault="00245774" w:rsidP="002A2CCF">
      <w:pPr>
        <w:jc w:val="both"/>
        <w:rPr>
          <w:rFonts w:ascii="Arial" w:hAnsi="Arial" w:cs="Arial"/>
        </w:rPr>
      </w:pPr>
      <w:r>
        <w:rPr>
          <w:rFonts w:ascii="Arial" w:hAnsi="Arial" w:cs="Arial"/>
        </w:rPr>
        <w:t xml:space="preserve">… </w:t>
      </w:r>
      <w:r w:rsidRPr="00245774">
        <w:rPr>
          <w:rFonts w:ascii="Arial" w:hAnsi="Arial" w:cs="Arial"/>
        </w:rPr>
        <w:t>la jurisprudencia de la Corte Constitucional ha enseñado que la acción de tutela no es vía alterna para atacar las interpretaciones judiciales, pues estas descansan sobre el principio de autonomía judicial</w:t>
      </w:r>
      <w:r>
        <w:rPr>
          <w:rFonts w:ascii="Arial" w:hAnsi="Arial" w:cs="Arial"/>
        </w:rPr>
        <w:t>…</w:t>
      </w:r>
    </w:p>
    <w:p w14:paraId="169125D6" w14:textId="59953FBD" w:rsidR="002A2CCF" w:rsidRDefault="002A2CCF" w:rsidP="002A2CCF">
      <w:pPr>
        <w:jc w:val="both"/>
        <w:rPr>
          <w:rFonts w:ascii="Arial" w:hAnsi="Arial" w:cs="Arial"/>
        </w:rPr>
      </w:pPr>
    </w:p>
    <w:p w14:paraId="5DA19344" w14:textId="12E1C4D1" w:rsidR="006F172F" w:rsidRPr="006F172F" w:rsidRDefault="006F172F" w:rsidP="006F172F">
      <w:pPr>
        <w:jc w:val="both"/>
        <w:rPr>
          <w:rFonts w:ascii="Arial" w:hAnsi="Arial" w:cs="Arial"/>
        </w:rPr>
      </w:pPr>
      <w:r>
        <w:rPr>
          <w:rFonts w:ascii="Arial" w:hAnsi="Arial" w:cs="Arial"/>
        </w:rPr>
        <w:t xml:space="preserve">… </w:t>
      </w:r>
      <w:r w:rsidRPr="006F172F">
        <w:rPr>
          <w:rFonts w:ascii="Arial" w:hAnsi="Arial" w:cs="Arial"/>
        </w:rPr>
        <w:t>la Sala, a vuelta de revisar las decisiones adoptadas por el Juzgado Primero Civil del Circuito considera que la inadmisión y posterior rechazó de la demanda, así como la argumentación utilizada para despachar desfavorablemente la inconformidad planteada por el actor, no lucen arbitrarias, caprichosa o desproporcionadas.</w:t>
      </w:r>
    </w:p>
    <w:p w14:paraId="1A9B8FAA" w14:textId="77777777" w:rsidR="006F172F" w:rsidRPr="006F172F" w:rsidRDefault="006F172F" w:rsidP="006F172F">
      <w:pPr>
        <w:jc w:val="both"/>
        <w:rPr>
          <w:rFonts w:ascii="Arial" w:hAnsi="Arial" w:cs="Arial"/>
        </w:rPr>
      </w:pPr>
    </w:p>
    <w:p w14:paraId="4DBB169E" w14:textId="67D7EDE5" w:rsidR="00245774" w:rsidRDefault="006F172F" w:rsidP="006F172F">
      <w:pPr>
        <w:jc w:val="both"/>
        <w:rPr>
          <w:rFonts w:ascii="Arial" w:hAnsi="Arial" w:cs="Arial"/>
        </w:rPr>
      </w:pPr>
      <w:r w:rsidRPr="006F172F">
        <w:rPr>
          <w:rFonts w:ascii="Arial" w:hAnsi="Arial" w:cs="Arial"/>
        </w:rPr>
        <w:t>En efecto, para resolver sobre la admisibilidad de la acción popular, el despacho demandado aplicó el Decreto 806 de 2020, concretamente la cláusula del inciso 4° de su artículo 6°</w:t>
      </w:r>
      <w:r>
        <w:rPr>
          <w:rFonts w:ascii="Arial" w:hAnsi="Arial" w:cs="Arial"/>
        </w:rPr>
        <w:t>…</w:t>
      </w:r>
    </w:p>
    <w:p w14:paraId="61CE4F91" w14:textId="77777777" w:rsidR="006F172F" w:rsidRDefault="006F172F" w:rsidP="006F172F">
      <w:pPr>
        <w:jc w:val="both"/>
        <w:rPr>
          <w:rFonts w:ascii="Arial" w:hAnsi="Arial" w:cs="Arial"/>
        </w:rPr>
      </w:pPr>
    </w:p>
    <w:p w14:paraId="74C683FC" w14:textId="77777777" w:rsidR="00245774" w:rsidRPr="00D75069" w:rsidRDefault="00245774" w:rsidP="002A2CCF">
      <w:pPr>
        <w:jc w:val="both"/>
        <w:rPr>
          <w:rFonts w:ascii="Arial" w:hAnsi="Arial" w:cs="Arial"/>
        </w:rPr>
      </w:pPr>
    </w:p>
    <w:p w14:paraId="596551CA" w14:textId="77777777" w:rsidR="002A2CCF" w:rsidRPr="00D75069" w:rsidRDefault="002A2CCF" w:rsidP="002A2CCF">
      <w:pPr>
        <w:jc w:val="both"/>
        <w:rPr>
          <w:rFonts w:ascii="Arial" w:hAnsi="Arial" w:cs="Arial"/>
        </w:rPr>
      </w:pPr>
    </w:p>
    <w:bookmarkEnd w:id="0"/>
    <w:p w14:paraId="1ADD1355" w14:textId="77777777" w:rsidR="00E20047" w:rsidRPr="00D75069" w:rsidRDefault="00E20047" w:rsidP="002A2CCF">
      <w:pPr>
        <w:spacing w:line="276" w:lineRule="auto"/>
        <w:jc w:val="center"/>
        <w:rPr>
          <w:rFonts w:ascii="Arial Narrow" w:hAnsi="Arial Narrow"/>
          <w:b/>
          <w:sz w:val="26"/>
          <w:szCs w:val="26"/>
        </w:rPr>
      </w:pPr>
      <w:r w:rsidRPr="00D75069">
        <w:rPr>
          <w:rFonts w:ascii="Arial Narrow" w:hAnsi="Arial Narrow"/>
          <w:b/>
          <w:sz w:val="26"/>
          <w:szCs w:val="26"/>
        </w:rPr>
        <w:t>REPÚBLICA DE COLOMBIA</w:t>
      </w:r>
    </w:p>
    <w:p w14:paraId="2E3B612C" w14:textId="77777777" w:rsidR="00E20047" w:rsidRPr="00D75069" w:rsidRDefault="00E20047" w:rsidP="002A2CCF">
      <w:pPr>
        <w:spacing w:line="276" w:lineRule="auto"/>
        <w:jc w:val="center"/>
        <w:rPr>
          <w:rFonts w:ascii="Arial Narrow" w:hAnsi="Arial Narrow"/>
          <w:b/>
          <w:sz w:val="26"/>
          <w:szCs w:val="26"/>
        </w:rPr>
      </w:pPr>
      <w:r w:rsidRPr="00D75069">
        <w:rPr>
          <w:rFonts w:ascii="Arial Narrow" w:hAnsi="Arial Narrow"/>
          <w:b/>
          <w:noProof/>
          <w:sz w:val="26"/>
          <w:szCs w:val="26"/>
          <w:lang w:eastAsia="es-CO"/>
        </w:rPr>
        <w:drawing>
          <wp:inline distT="0" distB="0" distL="0" distR="0" wp14:anchorId="11AEFACE" wp14:editId="00D8739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70B9ECA" w14:textId="77777777" w:rsidR="00E20047" w:rsidRPr="00D75069" w:rsidRDefault="00E20047" w:rsidP="002A2CCF">
      <w:pPr>
        <w:spacing w:line="276" w:lineRule="auto"/>
        <w:jc w:val="center"/>
        <w:rPr>
          <w:rFonts w:ascii="Arial Narrow" w:hAnsi="Arial Narrow"/>
          <w:b/>
          <w:sz w:val="26"/>
          <w:szCs w:val="26"/>
        </w:rPr>
      </w:pPr>
      <w:r w:rsidRPr="00D75069">
        <w:rPr>
          <w:rFonts w:ascii="Arial Narrow" w:hAnsi="Arial Narrow"/>
          <w:b/>
          <w:sz w:val="26"/>
          <w:szCs w:val="26"/>
        </w:rPr>
        <w:t>TRIBUNAL SUPERIOR DE PEREIRA</w:t>
      </w:r>
    </w:p>
    <w:p w14:paraId="53D78200" w14:textId="77777777" w:rsidR="00E20047" w:rsidRPr="00D75069" w:rsidRDefault="00E20047" w:rsidP="002A2CCF">
      <w:pPr>
        <w:spacing w:line="276" w:lineRule="auto"/>
        <w:jc w:val="center"/>
        <w:rPr>
          <w:rFonts w:ascii="Arial Narrow" w:hAnsi="Arial Narrow"/>
          <w:b/>
          <w:sz w:val="26"/>
          <w:szCs w:val="26"/>
        </w:rPr>
      </w:pPr>
      <w:r w:rsidRPr="00D75069">
        <w:rPr>
          <w:rFonts w:ascii="Arial Narrow" w:hAnsi="Arial Narrow"/>
          <w:b/>
          <w:sz w:val="26"/>
          <w:szCs w:val="26"/>
        </w:rPr>
        <w:t xml:space="preserve">SALA CIVIL – FAMILIA </w:t>
      </w:r>
    </w:p>
    <w:p w14:paraId="0DA312F1" w14:textId="77777777" w:rsidR="00E20047" w:rsidRPr="00D75069" w:rsidRDefault="00E20047" w:rsidP="002A2CCF">
      <w:pPr>
        <w:pStyle w:val="Sinespaciado"/>
        <w:spacing w:line="276" w:lineRule="auto"/>
        <w:rPr>
          <w:rFonts w:ascii="Arial Narrow" w:hAnsi="Arial Narrow"/>
          <w:b/>
          <w:sz w:val="26"/>
          <w:szCs w:val="26"/>
          <w:lang w:val="es-ES_tradnl"/>
        </w:rPr>
      </w:pPr>
    </w:p>
    <w:p w14:paraId="441A7254" w14:textId="3174B8C6" w:rsidR="00E20047" w:rsidRPr="00D75069" w:rsidRDefault="00923590" w:rsidP="002A2CCF">
      <w:pPr>
        <w:pStyle w:val="Sinespaciado"/>
        <w:spacing w:line="276" w:lineRule="auto"/>
        <w:jc w:val="center"/>
        <w:rPr>
          <w:rFonts w:ascii="Arial Narrow" w:hAnsi="Arial Narrow"/>
          <w:b/>
          <w:bCs/>
          <w:sz w:val="26"/>
          <w:szCs w:val="26"/>
          <w:lang w:val="es-ES_tradnl"/>
        </w:rPr>
      </w:pPr>
      <w:r w:rsidRPr="00923590">
        <w:rPr>
          <w:rFonts w:ascii="Arial Narrow" w:hAnsi="Arial Narrow"/>
          <w:bCs/>
          <w:sz w:val="26"/>
          <w:szCs w:val="26"/>
          <w:lang w:val="es-ES_tradnl"/>
        </w:rPr>
        <w:t>Magistrado Ponente:</w:t>
      </w:r>
      <w:r w:rsidRPr="00D75069">
        <w:rPr>
          <w:rFonts w:ascii="Arial Narrow" w:hAnsi="Arial Narrow"/>
          <w:b/>
          <w:bCs/>
          <w:sz w:val="26"/>
          <w:szCs w:val="26"/>
          <w:lang w:val="es-ES_tradnl"/>
        </w:rPr>
        <w:t xml:space="preserve"> </w:t>
      </w:r>
      <w:r w:rsidR="00E20047" w:rsidRPr="00D75069">
        <w:rPr>
          <w:rFonts w:ascii="Arial Narrow" w:hAnsi="Arial Narrow"/>
          <w:b/>
          <w:bCs/>
          <w:sz w:val="26"/>
          <w:szCs w:val="26"/>
          <w:lang w:val="es-ES_tradnl"/>
        </w:rPr>
        <w:t>CARLOS MAURICIO GARCÍA BARAJAS</w:t>
      </w:r>
    </w:p>
    <w:p w14:paraId="4FC81801" w14:textId="77777777" w:rsidR="0034205D" w:rsidRPr="00D75069" w:rsidRDefault="0034205D" w:rsidP="002A2CCF">
      <w:pPr>
        <w:pStyle w:val="Sinespaciado"/>
        <w:spacing w:line="276" w:lineRule="auto"/>
        <w:jc w:val="center"/>
        <w:rPr>
          <w:rFonts w:ascii="Arial Narrow" w:hAnsi="Arial Narrow"/>
          <w:b/>
          <w:sz w:val="26"/>
          <w:szCs w:val="26"/>
          <w:lang w:val="es-ES_tradnl"/>
        </w:rPr>
      </w:pPr>
    </w:p>
    <w:p w14:paraId="45A0E4FF" w14:textId="1B938737" w:rsidR="00E20047" w:rsidRPr="00D75069" w:rsidRDefault="003E0F7C" w:rsidP="002A2CCF">
      <w:pPr>
        <w:pStyle w:val="Sinespaciado"/>
        <w:spacing w:line="276" w:lineRule="auto"/>
        <w:jc w:val="center"/>
        <w:rPr>
          <w:rFonts w:ascii="Arial Narrow" w:hAnsi="Arial Narrow"/>
          <w:b/>
          <w:sz w:val="26"/>
          <w:szCs w:val="26"/>
          <w:lang w:val="es-ES_tradnl"/>
        </w:rPr>
      </w:pPr>
      <w:r w:rsidRPr="00D75069">
        <w:rPr>
          <w:rFonts w:ascii="Arial Narrow" w:hAnsi="Arial Narrow"/>
          <w:b/>
          <w:sz w:val="26"/>
          <w:szCs w:val="26"/>
          <w:lang w:val="es-ES_tradnl"/>
        </w:rPr>
        <w:t>Pereira,</w:t>
      </w:r>
      <w:r w:rsidR="00AF3A26" w:rsidRPr="00D75069">
        <w:rPr>
          <w:rFonts w:ascii="Arial Narrow" w:hAnsi="Arial Narrow"/>
          <w:b/>
          <w:sz w:val="26"/>
          <w:szCs w:val="26"/>
          <w:lang w:val="es-ES_tradnl"/>
        </w:rPr>
        <w:t xml:space="preserve"> </w:t>
      </w:r>
      <w:r w:rsidR="0034205D" w:rsidRPr="00D75069">
        <w:rPr>
          <w:rFonts w:ascii="Arial Narrow" w:hAnsi="Arial Narrow"/>
          <w:b/>
          <w:sz w:val="26"/>
          <w:szCs w:val="26"/>
          <w:lang w:val="es-ES_tradnl"/>
        </w:rPr>
        <w:t>ocho</w:t>
      </w:r>
      <w:r w:rsidRPr="00D75069">
        <w:rPr>
          <w:rFonts w:ascii="Arial Narrow" w:hAnsi="Arial Narrow"/>
          <w:b/>
          <w:sz w:val="26"/>
          <w:szCs w:val="26"/>
          <w:lang w:val="es-ES_tradnl"/>
        </w:rPr>
        <w:t xml:space="preserve"> </w:t>
      </w:r>
      <w:r w:rsidR="00E1656A" w:rsidRPr="00D75069">
        <w:rPr>
          <w:rFonts w:ascii="Arial Narrow" w:hAnsi="Arial Narrow"/>
          <w:b/>
          <w:sz w:val="26"/>
          <w:szCs w:val="26"/>
          <w:lang w:val="es-ES_tradnl"/>
        </w:rPr>
        <w:t>(</w:t>
      </w:r>
      <w:r w:rsidR="0034205D" w:rsidRPr="00D75069">
        <w:rPr>
          <w:rFonts w:ascii="Arial Narrow" w:hAnsi="Arial Narrow"/>
          <w:b/>
          <w:sz w:val="26"/>
          <w:szCs w:val="26"/>
          <w:lang w:val="es-ES_tradnl"/>
        </w:rPr>
        <w:t>08</w:t>
      </w:r>
      <w:r w:rsidR="00AF3A26" w:rsidRPr="00D75069">
        <w:rPr>
          <w:rFonts w:ascii="Arial Narrow" w:hAnsi="Arial Narrow"/>
          <w:b/>
          <w:sz w:val="26"/>
          <w:szCs w:val="26"/>
          <w:lang w:val="es-ES_tradnl"/>
        </w:rPr>
        <w:t>)</w:t>
      </w:r>
      <w:r w:rsidR="00E20047" w:rsidRPr="00D75069">
        <w:rPr>
          <w:rFonts w:ascii="Arial Narrow" w:hAnsi="Arial Narrow"/>
          <w:b/>
          <w:sz w:val="26"/>
          <w:szCs w:val="26"/>
          <w:lang w:val="es-ES_tradnl"/>
        </w:rPr>
        <w:t xml:space="preserve"> de</w:t>
      </w:r>
      <w:r w:rsidR="00CA0A38" w:rsidRPr="00D75069">
        <w:rPr>
          <w:rFonts w:ascii="Arial Narrow" w:hAnsi="Arial Narrow"/>
          <w:b/>
          <w:sz w:val="26"/>
          <w:szCs w:val="26"/>
          <w:lang w:val="es-ES_tradnl"/>
        </w:rPr>
        <w:t xml:space="preserve"> septiembre</w:t>
      </w:r>
      <w:r w:rsidR="00E20047" w:rsidRPr="00D75069">
        <w:rPr>
          <w:rFonts w:ascii="Arial Narrow" w:hAnsi="Arial Narrow"/>
          <w:b/>
          <w:sz w:val="26"/>
          <w:szCs w:val="26"/>
          <w:lang w:val="es-ES_tradnl"/>
        </w:rPr>
        <w:t xml:space="preserve"> de dos mil veintiuno (2021)</w:t>
      </w:r>
    </w:p>
    <w:p w14:paraId="487DD45E" w14:textId="77777777" w:rsidR="00861EC6" w:rsidRPr="00D75069" w:rsidRDefault="00861EC6" w:rsidP="002A2CCF">
      <w:pPr>
        <w:pStyle w:val="Sinespaciado"/>
        <w:spacing w:line="276" w:lineRule="auto"/>
        <w:jc w:val="center"/>
        <w:rPr>
          <w:rFonts w:ascii="Arial Narrow" w:hAnsi="Arial Narrow"/>
          <w:b/>
          <w:sz w:val="26"/>
          <w:szCs w:val="26"/>
          <w:lang w:val="es-ES_tradnl"/>
        </w:rPr>
      </w:pPr>
    </w:p>
    <w:p w14:paraId="6E3E142B" w14:textId="77777777" w:rsidR="00E20047" w:rsidRPr="00D75069" w:rsidRDefault="00E20047" w:rsidP="002A2CCF">
      <w:pPr>
        <w:pStyle w:val="Sinespaciado"/>
        <w:spacing w:line="276" w:lineRule="auto"/>
        <w:rPr>
          <w:rFonts w:ascii="Arial Narrow" w:hAnsi="Arial Narrow"/>
          <w:b/>
          <w:sz w:val="26"/>
          <w:szCs w:val="26"/>
          <w:lang w:val="es-ES_tradnl"/>
        </w:rPr>
      </w:pPr>
    </w:p>
    <w:p w14:paraId="5E98A663" w14:textId="4799ECA7" w:rsidR="00E20047" w:rsidRPr="00D75069" w:rsidRDefault="00E20047" w:rsidP="002A2CCF">
      <w:pPr>
        <w:pStyle w:val="Sinespaciado"/>
        <w:spacing w:line="276" w:lineRule="auto"/>
        <w:ind w:left="993"/>
        <w:rPr>
          <w:rFonts w:ascii="Arial Narrow" w:hAnsi="Arial Narrow"/>
          <w:b/>
          <w:sz w:val="26"/>
          <w:szCs w:val="26"/>
          <w:lang w:val="es-ES_tradnl"/>
        </w:rPr>
      </w:pPr>
      <w:r w:rsidRPr="00D75069">
        <w:rPr>
          <w:rFonts w:ascii="Arial Narrow" w:hAnsi="Arial Narrow"/>
          <w:b/>
          <w:sz w:val="26"/>
          <w:szCs w:val="26"/>
          <w:lang w:val="es-ES_tradnl"/>
        </w:rPr>
        <w:tab/>
      </w:r>
      <w:r w:rsidR="00E1656A" w:rsidRPr="00D75069">
        <w:rPr>
          <w:rFonts w:ascii="Arial Narrow" w:hAnsi="Arial Narrow"/>
          <w:b/>
          <w:sz w:val="26"/>
          <w:szCs w:val="26"/>
          <w:lang w:val="es-ES_tradnl"/>
        </w:rPr>
        <w:t xml:space="preserve">Acta N° </w:t>
      </w:r>
      <w:r w:rsidR="001F4316" w:rsidRPr="00D75069">
        <w:rPr>
          <w:rFonts w:ascii="Arial Narrow" w:hAnsi="Arial Narrow"/>
          <w:b/>
          <w:sz w:val="26"/>
          <w:szCs w:val="26"/>
          <w:lang w:val="es-ES_tradnl"/>
        </w:rPr>
        <w:t>425</w:t>
      </w:r>
      <w:r w:rsidR="00771EAA" w:rsidRPr="00D75069">
        <w:rPr>
          <w:rFonts w:ascii="Arial Narrow" w:hAnsi="Arial Narrow"/>
          <w:b/>
          <w:sz w:val="26"/>
          <w:szCs w:val="26"/>
          <w:lang w:val="es-ES_tradnl"/>
        </w:rPr>
        <w:t xml:space="preserve"> de </w:t>
      </w:r>
      <w:r w:rsidR="00073ABB" w:rsidRPr="00D75069">
        <w:rPr>
          <w:rFonts w:ascii="Arial Narrow" w:hAnsi="Arial Narrow"/>
          <w:b/>
          <w:sz w:val="26"/>
          <w:szCs w:val="26"/>
          <w:lang w:val="es-ES_tradnl"/>
        </w:rPr>
        <w:t>07-</w:t>
      </w:r>
      <w:r w:rsidR="00CA0A38" w:rsidRPr="00D75069">
        <w:rPr>
          <w:rFonts w:ascii="Arial Narrow" w:hAnsi="Arial Narrow"/>
          <w:b/>
          <w:sz w:val="26"/>
          <w:szCs w:val="26"/>
          <w:lang w:val="es-ES_tradnl"/>
        </w:rPr>
        <w:t>09</w:t>
      </w:r>
      <w:r w:rsidRPr="00D75069">
        <w:rPr>
          <w:rFonts w:ascii="Arial Narrow" w:hAnsi="Arial Narrow"/>
          <w:b/>
          <w:sz w:val="26"/>
          <w:szCs w:val="26"/>
          <w:lang w:val="es-ES_tradnl"/>
        </w:rPr>
        <w:t>-2021</w:t>
      </w:r>
    </w:p>
    <w:p w14:paraId="21340C0B" w14:textId="7544EAE4" w:rsidR="00E20047" w:rsidRPr="00D75069" w:rsidRDefault="00E20047" w:rsidP="002A2CCF">
      <w:pPr>
        <w:pStyle w:val="Sinespaciado"/>
        <w:spacing w:line="276" w:lineRule="auto"/>
        <w:ind w:left="993"/>
        <w:rPr>
          <w:rFonts w:ascii="Arial Narrow" w:hAnsi="Arial Narrow"/>
          <w:b/>
          <w:sz w:val="26"/>
          <w:szCs w:val="26"/>
          <w:lang w:val="es-ES_tradnl"/>
        </w:rPr>
      </w:pPr>
      <w:r w:rsidRPr="00D75069">
        <w:rPr>
          <w:rFonts w:ascii="Arial Narrow" w:hAnsi="Arial Narrow"/>
          <w:b/>
          <w:sz w:val="26"/>
          <w:szCs w:val="26"/>
          <w:lang w:val="es-ES_tradnl"/>
        </w:rPr>
        <w:tab/>
        <w:t>Sentencia: TSP. ST</w:t>
      </w:r>
      <w:r w:rsidR="00F651F0" w:rsidRPr="00D75069">
        <w:rPr>
          <w:rFonts w:ascii="Arial Narrow" w:hAnsi="Arial Narrow"/>
          <w:b/>
          <w:sz w:val="26"/>
          <w:szCs w:val="26"/>
          <w:lang w:val="es-ES_tradnl"/>
        </w:rPr>
        <w:t>1</w:t>
      </w:r>
      <w:r w:rsidR="00E1656A" w:rsidRPr="00D75069">
        <w:rPr>
          <w:rFonts w:ascii="Arial Narrow" w:hAnsi="Arial Narrow"/>
          <w:b/>
          <w:sz w:val="26"/>
          <w:szCs w:val="26"/>
          <w:lang w:val="es-ES_tradnl"/>
        </w:rPr>
        <w:t>-</w:t>
      </w:r>
      <w:r w:rsidR="00CA0A38" w:rsidRPr="00D75069">
        <w:rPr>
          <w:rFonts w:ascii="Arial Narrow" w:hAnsi="Arial Narrow"/>
          <w:b/>
          <w:sz w:val="26"/>
          <w:szCs w:val="26"/>
          <w:lang w:val="es-ES_tradnl"/>
        </w:rPr>
        <w:t>0</w:t>
      </w:r>
      <w:r w:rsidR="00073ABB" w:rsidRPr="00D75069">
        <w:rPr>
          <w:rFonts w:ascii="Arial Narrow" w:hAnsi="Arial Narrow"/>
          <w:b/>
          <w:sz w:val="26"/>
          <w:szCs w:val="26"/>
          <w:lang w:val="es-ES_tradnl"/>
        </w:rPr>
        <w:t>316</w:t>
      </w:r>
      <w:r w:rsidRPr="00D75069">
        <w:rPr>
          <w:rFonts w:ascii="Arial Narrow" w:hAnsi="Arial Narrow"/>
          <w:b/>
          <w:sz w:val="26"/>
          <w:szCs w:val="26"/>
          <w:lang w:val="es-ES_tradnl"/>
        </w:rPr>
        <w:t>-2021</w:t>
      </w:r>
    </w:p>
    <w:p w14:paraId="64BEC0EF" w14:textId="77777777" w:rsidR="00E20047" w:rsidRPr="00D75069" w:rsidRDefault="00E20047" w:rsidP="002A2CCF">
      <w:pPr>
        <w:pStyle w:val="Sinespaciado"/>
        <w:spacing w:line="276" w:lineRule="auto"/>
        <w:ind w:left="993"/>
        <w:rPr>
          <w:rFonts w:ascii="Arial Narrow" w:hAnsi="Arial Narrow"/>
          <w:b/>
          <w:sz w:val="26"/>
          <w:szCs w:val="26"/>
          <w:u w:val="single"/>
          <w:lang w:val="es-ES_tradnl"/>
        </w:rPr>
      </w:pPr>
      <w:r w:rsidRPr="00D75069">
        <w:rPr>
          <w:rFonts w:ascii="Arial Narrow" w:hAnsi="Arial Narrow"/>
          <w:b/>
          <w:sz w:val="26"/>
          <w:szCs w:val="26"/>
          <w:lang w:val="es-ES_tradnl"/>
        </w:rPr>
        <w:tab/>
        <w:t xml:space="preserve">Referencia: </w:t>
      </w:r>
      <w:r w:rsidR="009841FC" w:rsidRPr="00D75069">
        <w:rPr>
          <w:rFonts w:ascii="Arial Narrow" w:hAnsi="Arial Narrow"/>
          <w:b/>
          <w:sz w:val="26"/>
          <w:szCs w:val="26"/>
          <w:lang w:val="es-ES_tradnl"/>
        </w:rPr>
        <w:t>660012213000202100340</w:t>
      </w:r>
      <w:r w:rsidR="00CA0A38" w:rsidRPr="00D75069">
        <w:rPr>
          <w:rFonts w:ascii="Arial Narrow" w:hAnsi="Arial Narrow"/>
          <w:b/>
          <w:sz w:val="26"/>
          <w:szCs w:val="26"/>
          <w:lang w:val="es-ES_tradnl"/>
        </w:rPr>
        <w:t>00</w:t>
      </w:r>
    </w:p>
    <w:p w14:paraId="04FC80D9" w14:textId="77777777" w:rsidR="00D31129" w:rsidRPr="00D75069" w:rsidRDefault="00D31129" w:rsidP="002A2CCF">
      <w:pPr>
        <w:spacing w:line="276" w:lineRule="auto"/>
        <w:jc w:val="center"/>
        <w:rPr>
          <w:rFonts w:ascii="Arial Narrow" w:hAnsi="Arial Narrow"/>
          <w:b/>
          <w:sz w:val="26"/>
          <w:szCs w:val="26"/>
          <w:u w:val="single"/>
        </w:rPr>
      </w:pPr>
    </w:p>
    <w:p w14:paraId="65E7A726" w14:textId="77777777" w:rsidR="00E20047" w:rsidRPr="00D75069" w:rsidRDefault="00E20047" w:rsidP="002A2CCF">
      <w:pPr>
        <w:pStyle w:val="Sinespaciado"/>
        <w:spacing w:line="276" w:lineRule="auto"/>
        <w:jc w:val="center"/>
        <w:rPr>
          <w:rFonts w:ascii="Arial Narrow" w:hAnsi="Arial Narrow"/>
          <w:sz w:val="26"/>
          <w:szCs w:val="26"/>
          <w:lang w:val="es-ES_tradnl"/>
        </w:rPr>
      </w:pPr>
      <w:r w:rsidRPr="00D75069">
        <w:rPr>
          <w:rFonts w:ascii="Arial Narrow" w:hAnsi="Arial Narrow"/>
          <w:b/>
          <w:bCs/>
          <w:sz w:val="26"/>
          <w:szCs w:val="26"/>
          <w:lang w:val="es-ES_tradnl"/>
        </w:rPr>
        <w:t>ASUNTO</w:t>
      </w:r>
    </w:p>
    <w:p w14:paraId="03043DFE" w14:textId="77777777" w:rsidR="00E20047" w:rsidRPr="00D75069" w:rsidRDefault="00E20047" w:rsidP="00977E2A">
      <w:pPr>
        <w:pStyle w:val="Sinespaciado"/>
        <w:spacing w:line="276" w:lineRule="auto"/>
        <w:jc w:val="center"/>
        <w:rPr>
          <w:rFonts w:ascii="Arial Narrow" w:hAnsi="Arial Narrow"/>
          <w:sz w:val="26"/>
          <w:szCs w:val="26"/>
          <w:lang w:val="es-ES_tradnl"/>
        </w:rPr>
      </w:pPr>
      <w:bookmarkStart w:id="1" w:name="_GoBack"/>
      <w:bookmarkEnd w:id="1"/>
    </w:p>
    <w:p w14:paraId="54CADCF0" w14:textId="77777777" w:rsidR="00E20047" w:rsidRPr="00D75069" w:rsidRDefault="00E20047" w:rsidP="002A2CCF">
      <w:pPr>
        <w:pStyle w:val="Default"/>
        <w:spacing w:line="276" w:lineRule="auto"/>
        <w:jc w:val="both"/>
        <w:rPr>
          <w:rFonts w:ascii="Arial Narrow" w:hAnsi="Arial Narrow"/>
          <w:sz w:val="26"/>
          <w:szCs w:val="26"/>
          <w:lang w:val="es-ES_tradnl"/>
        </w:rPr>
      </w:pPr>
      <w:r w:rsidRPr="00D75069">
        <w:rPr>
          <w:rFonts w:ascii="Arial Narrow" w:hAnsi="Arial Narrow"/>
          <w:sz w:val="26"/>
          <w:szCs w:val="26"/>
          <w:lang w:val="es-ES_tradnl"/>
        </w:rPr>
        <w:t xml:space="preserve">Procede la Sala a resolver la acción de tutela interpuesta por </w:t>
      </w:r>
      <w:r w:rsidR="009841FC" w:rsidRPr="00D75069">
        <w:rPr>
          <w:rFonts w:ascii="Arial Narrow" w:hAnsi="Arial Narrow"/>
          <w:sz w:val="26"/>
          <w:szCs w:val="26"/>
          <w:lang w:val="es-ES_tradnl"/>
        </w:rPr>
        <w:t xml:space="preserve">Gerardo Herrera contra el Juzgado Primero Civil del Circuito de Pereira, trámite al que fueron vinculados </w:t>
      </w:r>
      <w:proofErr w:type="spellStart"/>
      <w:r w:rsidR="009841FC" w:rsidRPr="00D75069">
        <w:rPr>
          <w:rFonts w:ascii="Arial Narrow" w:hAnsi="Arial Narrow"/>
          <w:sz w:val="26"/>
          <w:szCs w:val="26"/>
          <w:lang w:val="es-ES_tradnl"/>
        </w:rPr>
        <w:t>Cotty</w:t>
      </w:r>
      <w:proofErr w:type="spellEnd"/>
      <w:r w:rsidR="009841FC" w:rsidRPr="00D75069">
        <w:rPr>
          <w:rFonts w:ascii="Arial Narrow" w:hAnsi="Arial Narrow"/>
          <w:sz w:val="26"/>
          <w:szCs w:val="26"/>
          <w:lang w:val="es-ES_tradnl"/>
        </w:rPr>
        <w:t xml:space="preserve"> Morales Caamaño, la Alcaldía y la Personería Municipal de Pereira, el Ministerio Público y la Defensoría del Pueblo</w:t>
      </w:r>
      <w:r w:rsidRPr="00D75069">
        <w:rPr>
          <w:rFonts w:ascii="Arial Narrow" w:hAnsi="Arial Narrow"/>
          <w:sz w:val="26"/>
          <w:szCs w:val="26"/>
          <w:lang w:val="es-ES_tradnl"/>
        </w:rPr>
        <w:t>.</w:t>
      </w:r>
    </w:p>
    <w:p w14:paraId="058ACEB7" w14:textId="77777777" w:rsidR="00E20047" w:rsidRPr="00D75069" w:rsidRDefault="00E20047" w:rsidP="002A2CCF">
      <w:pPr>
        <w:pStyle w:val="Sinespaciado"/>
        <w:spacing w:line="276" w:lineRule="auto"/>
        <w:jc w:val="both"/>
        <w:rPr>
          <w:rFonts w:ascii="Arial Narrow" w:hAnsi="Arial Narrow"/>
          <w:sz w:val="26"/>
          <w:szCs w:val="26"/>
          <w:lang w:val="es-ES_tradnl"/>
        </w:rPr>
      </w:pPr>
    </w:p>
    <w:p w14:paraId="3928FFB3" w14:textId="77777777" w:rsidR="00E20047" w:rsidRPr="00D75069" w:rsidRDefault="00E20047" w:rsidP="002A2CCF">
      <w:pPr>
        <w:pStyle w:val="Sinespaciado"/>
        <w:spacing w:line="276" w:lineRule="auto"/>
        <w:jc w:val="center"/>
        <w:rPr>
          <w:rFonts w:ascii="Arial Narrow" w:hAnsi="Arial Narrow"/>
          <w:sz w:val="26"/>
          <w:szCs w:val="26"/>
          <w:lang w:val="es-ES_tradnl"/>
        </w:rPr>
      </w:pPr>
      <w:r w:rsidRPr="00D75069">
        <w:rPr>
          <w:rFonts w:ascii="Arial Narrow" w:hAnsi="Arial Narrow"/>
          <w:b/>
          <w:bCs/>
          <w:sz w:val="26"/>
          <w:szCs w:val="26"/>
          <w:lang w:val="es-ES_tradnl"/>
        </w:rPr>
        <w:t>ANTECEDENTES</w:t>
      </w:r>
    </w:p>
    <w:p w14:paraId="74E638DC" w14:textId="77777777" w:rsidR="00E20047" w:rsidRPr="00D75069" w:rsidRDefault="00E20047" w:rsidP="002A2CCF">
      <w:pPr>
        <w:pStyle w:val="Sinespaciado"/>
        <w:spacing w:line="276" w:lineRule="auto"/>
        <w:jc w:val="both"/>
        <w:rPr>
          <w:rFonts w:ascii="Arial Narrow" w:hAnsi="Arial Narrow"/>
          <w:sz w:val="26"/>
          <w:szCs w:val="26"/>
          <w:lang w:val="es-ES_tradnl"/>
        </w:rPr>
      </w:pPr>
    </w:p>
    <w:p w14:paraId="3F205106" w14:textId="77777777" w:rsidR="009841FC" w:rsidRPr="00D75069" w:rsidRDefault="00E20047" w:rsidP="002A2CCF">
      <w:pPr>
        <w:pStyle w:val="Sinespaciado"/>
        <w:spacing w:line="276" w:lineRule="auto"/>
        <w:jc w:val="both"/>
        <w:rPr>
          <w:rFonts w:ascii="Arial Narrow" w:hAnsi="Arial Narrow"/>
          <w:bCs/>
          <w:sz w:val="26"/>
          <w:szCs w:val="26"/>
          <w:lang w:val="es-ES_tradnl"/>
        </w:rPr>
      </w:pPr>
      <w:r w:rsidRPr="00D75069">
        <w:rPr>
          <w:rFonts w:ascii="Arial Narrow" w:hAnsi="Arial Narrow"/>
          <w:b/>
          <w:sz w:val="26"/>
          <w:szCs w:val="26"/>
          <w:lang w:val="es-ES_tradnl"/>
        </w:rPr>
        <w:t xml:space="preserve">1. </w:t>
      </w:r>
      <w:r w:rsidR="002716F1" w:rsidRPr="00D75069">
        <w:rPr>
          <w:rFonts w:ascii="Arial Narrow" w:hAnsi="Arial Narrow"/>
          <w:bCs/>
          <w:sz w:val="26"/>
          <w:szCs w:val="26"/>
          <w:lang w:val="es-ES_tradnl"/>
        </w:rPr>
        <w:t>Narró</w:t>
      </w:r>
      <w:r w:rsidR="00CA0A38" w:rsidRPr="00D75069">
        <w:rPr>
          <w:rFonts w:ascii="Arial Narrow" w:hAnsi="Arial Narrow"/>
          <w:bCs/>
          <w:sz w:val="26"/>
          <w:szCs w:val="26"/>
          <w:lang w:val="es-ES_tradnl"/>
        </w:rPr>
        <w:t xml:space="preserve"> el actor que </w:t>
      </w:r>
      <w:r w:rsidR="009841FC" w:rsidRPr="00D75069">
        <w:rPr>
          <w:rFonts w:ascii="Arial Narrow" w:hAnsi="Arial Narrow"/>
          <w:bCs/>
          <w:sz w:val="26"/>
          <w:szCs w:val="26"/>
          <w:lang w:val="es-ES_tradnl"/>
        </w:rPr>
        <w:t>el juzgado accionado decidió rechazar la demanda popular con radicación 2021-00119, a pesar de que cumple con lo dispuesto en el artículo 18 de la Ley 472 de 1998, norma que regula lo relativo a los requisitos que la acción popular debe reunir y que no fue objeto de derogatoria por parte del Decreto 806 de 2020.</w:t>
      </w:r>
    </w:p>
    <w:p w14:paraId="55D12BD2" w14:textId="77777777" w:rsidR="009841FC" w:rsidRPr="00D75069" w:rsidRDefault="009841FC" w:rsidP="002A2CCF">
      <w:pPr>
        <w:pStyle w:val="Sinespaciado"/>
        <w:spacing w:line="276" w:lineRule="auto"/>
        <w:jc w:val="both"/>
        <w:rPr>
          <w:rFonts w:ascii="Arial Narrow" w:hAnsi="Arial Narrow"/>
          <w:bCs/>
          <w:sz w:val="26"/>
          <w:szCs w:val="26"/>
          <w:lang w:val="es-ES_tradnl"/>
        </w:rPr>
      </w:pPr>
    </w:p>
    <w:p w14:paraId="548AEC8E" w14:textId="77777777" w:rsidR="002716F1" w:rsidRPr="00D75069" w:rsidRDefault="0053215C" w:rsidP="002A2CCF">
      <w:pPr>
        <w:pStyle w:val="Sinespaciado"/>
        <w:spacing w:line="276" w:lineRule="auto"/>
        <w:jc w:val="both"/>
        <w:rPr>
          <w:rFonts w:ascii="Arial Narrow" w:hAnsi="Arial Narrow"/>
          <w:bCs/>
          <w:sz w:val="26"/>
          <w:szCs w:val="26"/>
          <w:lang w:val="es-ES_tradnl"/>
        </w:rPr>
      </w:pPr>
      <w:r w:rsidRPr="00D75069">
        <w:rPr>
          <w:rFonts w:ascii="Arial Narrow" w:hAnsi="Arial Narrow"/>
          <w:bCs/>
          <w:sz w:val="26"/>
          <w:szCs w:val="26"/>
          <w:lang w:val="es-ES_tradnl"/>
        </w:rPr>
        <w:t>Pretende</w:t>
      </w:r>
      <w:r w:rsidR="00747364" w:rsidRPr="00D75069">
        <w:rPr>
          <w:rFonts w:ascii="Arial Narrow" w:hAnsi="Arial Narrow"/>
          <w:bCs/>
          <w:sz w:val="26"/>
          <w:szCs w:val="26"/>
          <w:lang w:val="es-ES_tradnl"/>
        </w:rPr>
        <w:t xml:space="preserve"> se ordene</w:t>
      </w:r>
      <w:r w:rsidRPr="00D75069">
        <w:rPr>
          <w:rFonts w:ascii="Arial Narrow" w:hAnsi="Arial Narrow"/>
          <w:bCs/>
          <w:sz w:val="26"/>
          <w:szCs w:val="26"/>
          <w:lang w:val="es-ES_tradnl"/>
        </w:rPr>
        <w:t xml:space="preserve"> al despacho accionado admitir la demanda</w:t>
      </w:r>
      <w:r w:rsidR="00F529A7" w:rsidRPr="00D75069">
        <w:rPr>
          <w:rFonts w:ascii="Arial Narrow" w:hAnsi="Arial Narrow"/>
          <w:bCs/>
          <w:sz w:val="26"/>
          <w:szCs w:val="26"/>
          <w:lang w:val="es-ES_tradnl"/>
        </w:rPr>
        <w:t xml:space="preserve"> y</w:t>
      </w:r>
      <w:r w:rsidRPr="00D75069">
        <w:rPr>
          <w:rFonts w:ascii="Arial Narrow" w:hAnsi="Arial Narrow"/>
          <w:bCs/>
          <w:sz w:val="26"/>
          <w:szCs w:val="26"/>
          <w:lang w:val="es-ES_tradnl"/>
        </w:rPr>
        <w:t xml:space="preserve"> se acredite que “</w:t>
      </w:r>
      <w:r w:rsidR="009841FC" w:rsidRPr="00D75069">
        <w:rPr>
          <w:rFonts w:ascii="Arial Narrow" w:hAnsi="Arial Narrow"/>
          <w:bCs/>
          <w:sz w:val="26"/>
          <w:szCs w:val="26"/>
          <w:lang w:val="es-ES_tradnl"/>
        </w:rPr>
        <w:t>el decreto 806 del 2020, derogo</w:t>
      </w:r>
      <w:r w:rsidRPr="00D75069">
        <w:rPr>
          <w:rFonts w:ascii="Arial Narrow" w:hAnsi="Arial Narrow"/>
          <w:bCs/>
          <w:sz w:val="26"/>
          <w:szCs w:val="26"/>
          <w:lang w:val="es-ES_tradnl"/>
        </w:rPr>
        <w:t xml:space="preserve"> (sic)</w:t>
      </w:r>
      <w:r w:rsidR="009841FC" w:rsidRPr="00D75069">
        <w:rPr>
          <w:rFonts w:ascii="Arial Narrow" w:hAnsi="Arial Narrow"/>
          <w:bCs/>
          <w:sz w:val="26"/>
          <w:szCs w:val="26"/>
          <w:lang w:val="es-ES_tradnl"/>
        </w:rPr>
        <w:t xml:space="preserve"> tacita</w:t>
      </w:r>
      <w:r w:rsidRPr="00D75069">
        <w:rPr>
          <w:rFonts w:ascii="Arial Narrow" w:hAnsi="Arial Narrow"/>
          <w:bCs/>
          <w:sz w:val="26"/>
          <w:szCs w:val="26"/>
          <w:lang w:val="es-ES_tradnl"/>
        </w:rPr>
        <w:t xml:space="preserve"> (sic)</w:t>
      </w:r>
      <w:r w:rsidR="009841FC" w:rsidRPr="00D75069">
        <w:rPr>
          <w:rFonts w:ascii="Arial Narrow" w:hAnsi="Arial Narrow"/>
          <w:bCs/>
          <w:sz w:val="26"/>
          <w:szCs w:val="26"/>
          <w:lang w:val="es-ES_tradnl"/>
        </w:rPr>
        <w:t xml:space="preserve"> o expresamente lo que me impone el art 18 de la ley especial</w:t>
      </w:r>
      <w:r w:rsidRPr="00D75069">
        <w:rPr>
          <w:rFonts w:ascii="Arial Narrow" w:hAnsi="Arial Narrow"/>
          <w:bCs/>
          <w:sz w:val="26"/>
          <w:szCs w:val="26"/>
          <w:lang w:val="es-ES_tradnl"/>
        </w:rPr>
        <w:t>”</w:t>
      </w:r>
      <w:r w:rsidR="001444B6" w:rsidRPr="00D75069">
        <w:rPr>
          <w:rStyle w:val="Refdenotaalpie"/>
          <w:rFonts w:ascii="Arial Narrow" w:hAnsi="Arial Narrow"/>
          <w:bCs/>
          <w:sz w:val="26"/>
          <w:szCs w:val="26"/>
          <w:lang w:val="es-ES_tradnl"/>
        </w:rPr>
        <w:footnoteReference w:id="2"/>
      </w:r>
      <w:r w:rsidR="001444B6" w:rsidRPr="00D75069">
        <w:rPr>
          <w:rFonts w:ascii="Arial Narrow" w:hAnsi="Arial Narrow"/>
          <w:bCs/>
          <w:sz w:val="26"/>
          <w:szCs w:val="26"/>
          <w:lang w:val="es-ES_tradnl"/>
        </w:rPr>
        <w:t>.</w:t>
      </w:r>
    </w:p>
    <w:p w14:paraId="70A1F88C" w14:textId="77777777" w:rsidR="00E20047" w:rsidRPr="00D75069" w:rsidRDefault="00E20047" w:rsidP="002A2CCF">
      <w:pPr>
        <w:pStyle w:val="Sinespaciado"/>
        <w:spacing w:line="276" w:lineRule="auto"/>
        <w:jc w:val="both"/>
        <w:rPr>
          <w:rFonts w:ascii="Arial Narrow" w:hAnsi="Arial Narrow"/>
          <w:sz w:val="26"/>
          <w:szCs w:val="26"/>
          <w:lang w:val="es-ES_tradnl"/>
        </w:rPr>
      </w:pPr>
    </w:p>
    <w:p w14:paraId="10C90175" w14:textId="5107C5AA" w:rsidR="00E20047" w:rsidRPr="00D75069" w:rsidRDefault="00E20047" w:rsidP="002A2CCF">
      <w:pPr>
        <w:pStyle w:val="Sinespaciado"/>
        <w:spacing w:line="276" w:lineRule="auto"/>
        <w:jc w:val="both"/>
        <w:rPr>
          <w:rFonts w:ascii="Arial Narrow" w:hAnsi="Arial Narrow"/>
          <w:sz w:val="26"/>
          <w:szCs w:val="26"/>
          <w:lang w:val="es-ES_tradnl"/>
        </w:rPr>
      </w:pPr>
      <w:r w:rsidRPr="00D75069">
        <w:rPr>
          <w:rFonts w:ascii="Arial Narrow" w:hAnsi="Arial Narrow"/>
          <w:b/>
          <w:bCs/>
          <w:sz w:val="26"/>
          <w:szCs w:val="26"/>
          <w:lang w:val="es-ES_tradnl"/>
        </w:rPr>
        <w:t xml:space="preserve">2. Trámite: </w:t>
      </w:r>
      <w:r w:rsidR="00747364" w:rsidRPr="00D75069">
        <w:rPr>
          <w:rFonts w:ascii="Arial Narrow" w:hAnsi="Arial Narrow"/>
          <w:bCs/>
          <w:sz w:val="26"/>
          <w:szCs w:val="26"/>
          <w:lang w:val="es-ES_tradnl"/>
        </w:rPr>
        <w:t>Por auto del 26</w:t>
      </w:r>
      <w:r w:rsidR="00844577" w:rsidRPr="00D75069">
        <w:rPr>
          <w:rFonts w:ascii="Arial Narrow" w:hAnsi="Arial Narrow"/>
          <w:bCs/>
          <w:sz w:val="26"/>
          <w:szCs w:val="26"/>
          <w:lang w:val="es-ES_tradnl"/>
        </w:rPr>
        <w:t xml:space="preserve"> de </w:t>
      </w:r>
      <w:r w:rsidR="00C94C0D" w:rsidRPr="00D75069">
        <w:rPr>
          <w:rFonts w:ascii="Arial Narrow" w:hAnsi="Arial Narrow"/>
          <w:bCs/>
          <w:sz w:val="26"/>
          <w:szCs w:val="26"/>
          <w:lang w:val="es-ES_tradnl"/>
        </w:rPr>
        <w:t>agosto</w:t>
      </w:r>
      <w:r w:rsidR="00844577" w:rsidRPr="00D75069">
        <w:rPr>
          <w:rFonts w:ascii="Arial Narrow" w:hAnsi="Arial Narrow"/>
          <w:bCs/>
          <w:sz w:val="26"/>
          <w:szCs w:val="26"/>
          <w:lang w:val="es-ES_tradnl"/>
        </w:rPr>
        <w:t xml:space="preserve"> pasado s</w:t>
      </w:r>
      <w:r w:rsidR="001444B6" w:rsidRPr="00D75069">
        <w:rPr>
          <w:rFonts w:ascii="Arial Narrow" w:hAnsi="Arial Narrow"/>
          <w:sz w:val="26"/>
          <w:szCs w:val="26"/>
          <w:lang w:val="es-ES_tradnl"/>
        </w:rPr>
        <w:t xml:space="preserve">e admitió la </w:t>
      </w:r>
      <w:r w:rsidR="005439C7" w:rsidRPr="00D75069">
        <w:rPr>
          <w:rFonts w:ascii="Arial Narrow" w:hAnsi="Arial Narrow"/>
          <w:sz w:val="26"/>
          <w:szCs w:val="26"/>
          <w:lang w:val="es-ES_tradnl"/>
        </w:rPr>
        <w:t>tutela</w:t>
      </w:r>
      <w:r w:rsidR="00782EAE" w:rsidRPr="00D75069">
        <w:rPr>
          <w:rFonts w:ascii="Arial Narrow" w:hAnsi="Arial Narrow"/>
          <w:sz w:val="26"/>
          <w:szCs w:val="26"/>
          <w:lang w:val="es-ES_tradnl"/>
        </w:rPr>
        <w:t xml:space="preserve"> y se dispuso la </w:t>
      </w:r>
      <w:r w:rsidR="005875F3" w:rsidRPr="00D75069">
        <w:rPr>
          <w:rFonts w:ascii="Arial Narrow" w:hAnsi="Arial Narrow"/>
          <w:sz w:val="26"/>
          <w:szCs w:val="26"/>
          <w:lang w:val="es-ES_tradnl"/>
        </w:rPr>
        <w:t xml:space="preserve">práctica de las </w:t>
      </w:r>
      <w:r w:rsidR="00782EAE" w:rsidRPr="00D75069">
        <w:rPr>
          <w:rFonts w:ascii="Arial Narrow" w:hAnsi="Arial Narrow"/>
          <w:sz w:val="26"/>
          <w:szCs w:val="26"/>
          <w:lang w:val="es-ES_tradnl"/>
        </w:rPr>
        <w:t>vinculaci</w:t>
      </w:r>
      <w:r w:rsidR="005875F3" w:rsidRPr="00D75069">
        <w:rPr>
          <w:rFonts w:ascii="Arial Narrow" w:hAnsi="Arial Narrow"/>
          <w:sz w:val="26"/>
          <w:szCs w:val="26"/>
          <w:lang w:val="es-ES_tradnl"/>
        </w:rPr>
        <w:t>o</w:t>
      </w:r>
      <w:r w:rsidR="00782EAE" w:rsidRPr="00D75069">
        <w:rPr>
          <w:rFonts w:ascii="Arial Narrow" w:hAnsi="Arial Narrow"/>
          <w:sz w:val="26"/>
          <w:szCs w:val="26"/>
          <w:lang w:val="es-ES_tradnl"/>
        </w:rPr>
        <w:t>n</w:t>
      </w:r>
      <w:r w:rsidR="005875F3" w:rsidRPr="00D75069">
        <w:rPr>
          <w:rFonts w:ascii="Arial Narrow" w:hAnsi="Arial Narrow"/>
          <w:sz w:val="26"/>
          <w:szCs w:val="26"/>
          <w:lang w:val="es-ES_tradnl"/>
        </w:rPr>
        <w:t xml:space="preserve">es aludidas. </w:t>
      </w:r>
      <w:r w:rsidR="00747364" w:rsidRPr="00D75069">
        <w:rPr>
          <w:rFonts w:ascii="Arial Narrow" w:hAnsi="Arial Narrow"/>
          <w:sz w:val="26"/>
          <w:szCs w:val="26"/>
          <w:lang w:val="es-ES_tradnl"/>
        </w:rPr>
        <w:t>De otro lado, no se accedió a la convocatoria del Juzgado Segundo Civil del Circuito de esta ciudad, como quiera que en su contra no se alegó acción u omisión que afecte los derechos fundamentales del actor y no se le podía llamar para pre</w:t>
      </w:r>
      <w:r w:rsidR="003C0D35" w:rsidRPr="00D75069">
        <w:rPr>
          <w:rFonts w:ascii="Arial Narrow" w:hAnsi="Arial Narrow"/>
          <w:sz w:val="26"/>
          <w:szCs w:val="26"/>
          <w:lang w:val="es-ES_tradnl"/>
        </w:rPr>
        <w:t xml:space="preserve"> </w:t>
      </w:r>
      <w:r w:rsidR="00747364" w:rsidRPr="00D75069">
        <w:rPr>
          <w:rFonts w:ascii="Arial Narrow" w:hAnsi="Arial Narrow"/>
          <w:sz w:val="26"/>
          <w:szCs w:val="26"/>
          <w:lang w:val="es-ES_tradnl"/>
        </w:rPr>
        <w:t>constituir una prueba, tal como se pretende en la demanda</w:t>
      </w:r>
      <w:r w:rsidR="00747364" w:rsidRPr="00D75069">
        <w:rPr>
          <w:rStyle w:val="Refdenotaalpie"/>
          <w:rFonts w:ascii="Arial Narrow" w:hAnsi="Arial Narrow"/>
          <w:sz w:val="26"/>
          <w:szCs w:val="26"/>
          <w:lang w:val="es-ES_tradnl"/>
        </w:rPr>
        <w:footnoteReference w:id="3"/>
      </w:r>
      <w:r w:rsidR="00747364" w:rsidRPr="00D75069">
        <w:rPr>
          <w:rFonts w:ascii="Arial Narrow" w:hAnsi="Arial Narrow"/>
          <w:sz w:val="26"/>
          <w:szCs w:val="26"/>
          <w:lang w:val="es-ES_tradnl"/>
        </w:rPr>
        <w:t>.</w:t>
      </w:r>
    </w:p>
    <w:p w14:paraId="0A499CE1" w14:textId="77777777" w:rsidR="00747364" w:rsidRPr="00D75069" w:rsidRDefault="00747364" w:rsidP="002A2CCF">
      <w:pPr>
        <w:pStyle w:val="Sinespaciado"/>
        <w:spacing w:line="276" w:lineRule="auto"/>
        <w:jc w:val="both"/>
        <w:rPr>
          <w:rFonts w:ascii="Arial Narrow" w:eastAsia="Calibri" w:hAnsi="Arial Narrow"/>
          <w:sz w:val="26"/>
          <w:szCs w:val="26"/>
          <w:lang w:val="es-ES_tradnl"/>
        </w:rPr>
      </w:pPr>
    </w:p>
    <w:p w14:paraId="45142021" w14:textId="1FE34DE1" w:rsidR="00ED3C96" w:rsidRPr="00D75069" w:rsidRDefault="00747364"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La juez</w:t>
      </w:r>
      <w:r w:rsidR="003C0D35" w:rsidRPr="00D75069">
        <w:rPr>
          <w:rFonts w:ascii="Arial Narrow" w:hAnsi="Arial Narrow"/>
          <w:sz w:val="26"/>
          <w:szCs w:val="26"/>
          <w:lang w:val="es-ES_tradnl"/>
        </w:rPr>
        <w:t>a</w:t>
      </w:r>
      <w:r w:rsidRPr="00D75069">
        <w:rPr>
          <w:rFonts w:ascii="Arial Narrow" w:hAnsi="Arial Narrow"/>
          <w:sz w:val="26"/>
          <w:szCs w:val="26"/>
          <w:lang w:val="es-ES_tradnl"/>
        </w:rPr>
        <w:t xml:space="preserve"> accionada remitió copia de las piezas procesales que componen la acción de tutela objeto del amparo e informó que el auto del 24 de agosto de 2021 por medio del cual decidió no reponer el auto que rechazó la correspondiente demanda, se encuentra corriendo término de ejecutoria</w:t>
      </w:r>
      <w:r w:rsidR="00686C6A" w:rsidRPr="00D75069">
        <w:rPr>
          <w:rStyle w:val="Refdenotaalpie"/>
          <w:rFonts w:ascii="Arial Narrow" w:hAnsi="Arial Narrow"/>
          <w:sz w:val="26"/>
          <w:szCs w:val="26"/>
          <w:lang w:val="es-ES_tradnl"/>
        </w:rPr>
        <w:footnoteReference w:id="4"/>
      </w:r>
      <w:r w:rsidR="00686C6A" w:rsidRPr="00D75069">
        <w:rPr>
          <w:rFonts w:ascii="Arial Narrow" w:hAnsi="Arial Narrow"/>
          <w:sz w:val="26"/>
          <w:szCs w:val="26"/>
          <w:lang w:val="es-ES_tradnl"/>
        </w:rPr>
        <w:t xml:space="preserve">. </w:t>
      </w:r>
    </w:p>
    <w:p w14:paraId="30217B44" w14:textId="77777777" w:rsidR="00C94C0D" w:rsidRPr="00D75069" w:rsidRDefault="00C94C0D" w:rsidP="002A2CCF">
      <w:pPr>
        <w:pStyle w:val="Sinespaciado"/>
        <w:spacing w:line="276" w:lineRule="auto"/>
        <w:jc w:val="both"/>
        <w:rPr>
          <w:rFonts w:ascii="Arial Narrow" w:hAnsi="Arial Narrow"/>
          <w:sz w:val="26"/>
          <w:szCs w:val="26"/>
          <w:lang w:val="es-ES_tradnl"/>
        </w:rPr>
      </w:pPr>
    </w:p>
    <w:p w14:paraId="0F829B0D" w14:textId="77777777" w:rsidR="00E20A6D" w:rsidRPr="00D75069" w:rsidRDefault="00C94C0D"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 xml:space="preserve">La </w:t>
      </w:r>
      <w:r w:rsidR="005439C7" w:rsidRPr="00D75069">
        <w:rPr>
          <w:rFonts w:ascii="Arial Narrow" w:hAnsi="Arial Narrow"/>
          <w:sz w:val="26"/>
          <w:szCs w:val="26"/>
          <w:lang w:val="es-ES_tradnl"/>
        </w:rPr>
        <w:t xml:space="preserve">Defensoría del Pueblo </w:t>
      </w:r>
      <w:r w:rsidR="00E20A6D" w:rsidRPr="00D75069">
        <w:rPr>
          <w:rFonts w:ascii="Arial Narrow" w:hAnsi="Arial Narrow"/>
          <w:sz w:val="26"/>
          <w:szCs w:val="26"/>
          <w:lang w:val="es-ES_tradnl"/>
        </w:rPr>
        <w:t>Regional Risaralda y la Personería Municipal de Pereira solicitaron su desvinculación del trámite con sustento en que no tiene</w:t>
      </w:r>
      <w:r w:rsidR="00F529A7" w:rsidRPr="00D75069">
        <w:rPr>
          <w:rFonts w:ascii="Arial Narrow" w:hAnsi="Arial Narrow"/>
          <w:sz w:val="26"/>
          <w:szCs w:val="26"/>
          <w:lang w:val="es-ES_tradnl"/>
        </w:rPr>
        <w:t>n</w:t>
      </w:r>
      <w:r w:rsidR="00E20A6D" w:rsidRPr="00D75069">
        <w:rPr>
          <w:rFonts w:ascii="Arial Narrow" w:hAnsi="Arial Narrow"/>
          <w:sz w:val="26"/>
          <w:szCs w:val="26"/>
          <w:lang w:val="es-ES_tradnl"/>
        </w:rPr>
        <w:t xml:space="preserve"> injerencia alguna en las decisiones del juzgado accionado</w:t>
      </w:r>
      <w:r w:rsidR="00E20A6D" w:rsidRPr="00D75069">
        <w:rPr>
          <w:rStyle w:val="Refdenotaalpie"/>
          <w:rFonts w:ascii="Arial Narrow" w:hAnsi="Arial Narrow"/>
          <w:sz w:val="26"/>
          <w:szCs w:val="26"/>
          <w:lang w:val="es-ES_tradnl"/>
        </w:rPr>
        <w:footnoteReference w:id="5"/>
      </w:r>
      <w:r w:rsidR="00E20A6D" w:rsidRPr="00D75069">
        <w:rPr>
          <w:rFonts w:ascii="Arial Narrow" w:hAnsi="Arial Narrow"/>
          <w:sz w:val="26"/>
          <w:szCs w:val="26"/>
          <w:lang w:val="es-ES_tradnl"/>
        </w:rPr>
        <w:t xml:space="preserve">. </w:t>
      </w:r>
    </w:p>
    <w:p w14:paraId="2082EFCE" w14:textId="77777777" w:rsidR="00E20A6D" w:rsidRPr="00D75069" w:rsidRDefault="00E20A6D" w:rsidP="002A2CCF">
      <w:pPr>
        <w:pStyle w:val="Sinespaciado"/>
        <w:spacing w:line="276" w:lineRule="auto"/>
        <w:jc w:val="both"/>
        <w:rPr>
          <w:rFonts w:ascii="Arial Narrow" w:hAnsi="Arial Narrow"/>
          <w:sz w:val="26"/>
          <w:szCs w:val="26"/>
          <w:lang w:val="es-ES_tradnl"/>
        </w:rPr>
      </w:pPr>
    </w:p>
    <w:p w14:paraId="5A368082" w14:textId="77777777" w:rsidR="00C94C0D" w:rsidRPr="00D75069" w:rsidRDefault="00E20A6D"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La Alcaldía de Pereira manifestó que se atenía a lo que resultara probado en esta actuación</w:t>
      </w:r>
      <w:r w:rsidR="005439C7" w:rsidRPr="00D75069">
        <w:rPr>
          <w:rStyle w:val="Refdenotaalpie"/>
          <w:rFonts w:ascii="Arial Narrow" w:hAnsi="Arial Narrow"/>
          <w:sz w:val="26"/>
          <w:szCs w:val="26"/>
          <w:lang w:val="es-ES_tradnl"/>
        </w:rPr>
        <w:footnoteReference w:id="6"/>
      </w:r>
      <w:r w:rsidR="00C94C0D" w:rsidRPr="00D75069">
        <w:rPr>
          <w:rFonts w:ascii="Arial Narrow" w:hAnsi="Arial Narrow"/>
          <w:sz w:val="26"/>
          <w:szCs w:val="26"/>
          <w:lang w:val="es-ES_tradnl"/>
        </w:rPr>
        <w:t>.</w:t>
      </w:r>
    </w:p>
    <w:p w14:paraId="77ECF0C9" w14:textId="77777777" w:rsidR="00686C6A" w:rsidRPr="00D75069" w:rsidRDefault="00686C6A" w:rsidP="002A2CCF">
      <w:pPr>
        <w:pStyle w:val="Sinespaciado"/>
        <w:spacing w:line="276" w:lineRule="auto"/>
        <w:jc w:val="both"/>
        <w:rPr>
          <w:rFonts w:ascii="Arial Narrow" w:hAnsi="Arial Narrow"/>
          <w:sz w:val="26"/>
          <w:szCs w:val="26"/>
          <w:lang w:val="es-ES_tradnl"/>
        </w:rPr>
      </w:pPr>
    </w:p>
    <w:p w14:paraId="57DE4EFF" w14:textId="77777777" w:rsidR="00F2561A" w:rsidRPr="00D75069" w:rsidRDefault="00F2561A"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Hasta la fecha en que se realizó el</w:t>
      </w:r>
      <w:r w:rsidR="00C139B2" w:rsidRPr="00D75069">
        <w:rPr>
          <w:rFonts w:ascii="Arial Narrow" w:hAnsi="Arial Narrow"/>
          <w:sz w:val="26"/>
          <w:szCs w:val="26"/>
          <w:lang w:val="es-ES_tradnl"/>
        </w:rPr>
        <w:t xml:space="preserve"> respectivo</w:t>
      </w:r>
      <w:r w:rsidRPr="00D75069">
        <w:rPr>
          <w:rFonts w:ascii="Arial Narrow" w:hAnsi="Arial Narrow"/>
          <w:sz w:val="26"/>
          <w:szCs w:val="26"/>
          <w:lang w:val="es-ES_tradnl"/>
        </w:rPr>
        <w:t xml:space="preserve"> proyecto de fallo</w:t>
      </w:r>
      <w:r w:rsidR="00270B33" w:rsidRPr="00D75069">
        <w:rPr>
          <w:rFonts w:ascii="Arial Narrow" w:hAnsi="Arial Narrow"/>
          <w:sz w:val="26"/>
          <w:szCs w:val="26"/>
          <w:lang w:val="es-ES_tradnl"/>
        </w:rPr>
        <w:t xml:space="preserve"> no se recibieron otros pronunciamientos.</w:t>
      </w:r>
    </w:p>
    <w:p w14:paraId="06896FC5" w14:textId="77777777" w:rsidR="00C45DF1" w:rsidRPr="00D75069" w:rsidRDefault="00C45DF1" w:rsidP="002A2CCF">
      <w:pPr>
        <w:pStyle w:val="Sinespaciado"/>
        <w:spacing w:line="276" w:lineRule="auto"/>
        <w:jc w:val="both"/>
        <w:rPr>
          <w:rFonts w:ascii="Arial Narrow" w:hAnsi="Arial Narrow"/>
          <w:sz w:val="26"/>
          <w:szCs w:val="26"/>
          <w:lang w:val="es-ES_tradnl"/>
        </w:rPr>
      </w:pPr>
    </w:p>
    <w:p w14:paraId="619197F4" w14:textId="77777777" w:rsidR="00E20047" w:rsidRPr="00D75069" w:rsidRDefault="00E20047" w:rsidP="002A2CCF">
      <w:pPr>
        <w:pStyle w:val="Sinespaciado"/>
        <w:spacing w:line="276" w:lineRule="auto"/>
        <w:jc w:val="center"/>
        <w:rPr>
          <w:rFonts w:ascii="Arial Narrow" w:hAnsi="Arial Narrow"/>
          <w:sz w:val="26"/>
          <w:szCs w:val="26"/>
          <w:lang w:val="es-ES_tradnl"/>
        </w:rPr>
      </w:pPr>
      <w:r w:rsidRPr="00D75069">
        <w:rPr>
          <w:rFonts w:ascii="Arial Narrow" w:hAnsi="Arial Narrow"/>
          <w:b/>
          <w:bCs/>
          <w:sz w:val="26"/>
          <w:szCs w:val="26"/>
          <w:lang w:val="es-ES_tradnl"/>
        </w:rPr>
        <w:t>CONSIDERACIONES</w:t>
      </w:r>
    </w:p>
    <w:p w14:paraId="297F5F1B" w14:textId="77777777" w:rsidR="00E20047" w:rsidRPr="00D75069" w:rsidRDefault="00E20047" w:rsidP="002A2CCF">
      <w:pPr>
        <w:pStyle w:val="Sinespaciado"/>
        <w:spacing w:line="276" w:lineRule="auto"/>
        <w:jc w:val="both"/>
        <w:rPr>
          <w:rFonts w:ascii="Arial Narrow" w:hAnsi="Arial Narrow"/>
          <w:sz w:val="26"/>
          <w:szCs w:val="26"/>
          <w:lang w:val="es-ES_tradnl"/>
        </w:rPr>
      </w:pPr>
    </w:p>
    <w:p w14:paraId="16706521" w14:textId="77777777" w:rsidR="008A5913" w:rsidRPr="00D75069" w:rsidRDefault="008A5913" w:rsidP="002A2CCF">
      <w:pPr>
        <w:pStyle w:val="Sinespaciado"/>
        <w:spacing w:line="276" w:lineRule="auto"/>
        <w:jc w:val="both"/>
        <w:rPr>
          <w:rFonts w:ascii="Arial Narrow" w:hAnsi="Arial Narrow"/>
          <w:sz w:val="26"/>
          <w:szCs w:val="26"/>
          <w:lang w:val="es-ES_tradnl"/>
        </w:rPr>
      </w:pPr>
      <w:r w:rsidRPr="00D75069">
        <w:rPr>
          <w:rFonts w:ascii="Arial Narrow" w:hAnsi="Arial Narrow"/>
          <w:b/>
          <w:sz w:val="26"/>
          <w:szCs w:val="26"/>
          <w:lang w:val="es-ES_tradnl"/>
        </w:rPr>
        <w:t xml:space="preserve">1. </w:t>
      </w:r>
      <w:r w:rsidRPr="00D75069">
        <w:rPr>
          <w:rFonts w:ascii="Arial Narrow" w:hAnsi="Arial Narrow"/>
          <w:sz w:val="26"/>
          <w:szCs w:val="26"/>
          <w:lang w:val="es-ES_tradnl"/>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w:t>
      </w:r>
      <w:r w:rsidRPr="00D75069">
        <w:rPr>
          <w:rFonts w:ascii="Arial Narrow" w:hAnsi="Arial Narrow"/>
          <w:sz w:val="26"/>
          <w:szCs w:val="26"/>
          <w:lang w:val="es-ES_tradnl"/>
        </w:rPr>
        <w:lastRenderedPageBreak/>
        <w:t xml:space="preserve">ley, siempre que no exista otro medio de defensa judicial o existiendo cuando la tutela se utilice como mecanismo transitorio para evitar la materialización de un perjuicio de carácter irremediable (art. 6, numeral 1, del Decreto 2591 de 1991). </w:t>
      </w:r>
    </w:p>
    <w:p w14:paraId="70E4600D" w14:textId="77777777" w:rsidR="008A5913" w:rsidRPr="00D75069" w:rsidRDefault="008A5913" w:rsidP="002A2CCF">
      <w:pPr>
        <w:pStyle w:val="Sinespaciado"/>
        <w:spacing w:line="276" w:lineRule="auto"/>
        <w:jc w:val="both"/>
        <w:rPr>
          <w:rFonts w:ascii="Arial Narrow" w:hAnsi="Arial Narrow"/>
          <w:sz w:val="26"/>
          <w:szCs w:val="26"/>
          <w:lang w:val="es-ES_tradnl"/>
        </w:rPr>
      </w:pPr>
    </w:p>
    <w:p w14:paraId="0445D45A" w14:textId="03B0FF7B" w:rsidR="008A5913" w:rsidRPr="00D75069" w:rsidRDefault="008A5913" w:rsidP="002A2CCF">
      <w:pPr>
        <w:pStyle w:val="Sinespaciado"/>
        <w:spacing w:line="276" w:lineRule="auto"/>
        <w:jc w:val="both"/>
        <w:rPr>
          <w:rFonts w:ascii="Arial Narrow" w:hAnsi="Arial Narrow"/>
          <w:sz w:val="26"/>
          <w:szCs w:val="26"/>
          <w:lang w:val="es-ES_tradnl"/>
        </w:rPr>
      </w:pPr>
      <w:r w:rsidRPr="00D75069">
        <w:rPr>
          <w:rFonts w:ascii="Arial Narrow" w:hAnsi="Arial Narrow"/>
          <w:b/>
          <w:bCs/>
          <w:sz w:val="26"/>
          <w:szCs w:val="26"/>
          <w:lang w:val="es-ES_tradnl"/>
        </w:rPr>
        <w:t xml:space="preserve">2. </w:t>
      </w:r>
      <w:r w:rsidRPr="00D75069">
        <w:rPr>
          <w:rFonts w:ascii="Arial Narrow" w:hAnsi="Arial Narrow"/>
          <w:sz w:val="26"/>
          <w:szCs w:val="26"/>
          <w:lang w:val="es-ES_tradnl"/>
        </w:rPr>
        <w:t xml:space="preserve">En el caso sometido a consideración, se </w:t>
      </w:r>
      <w:r w:rsidR="00E20A6D" w:rsidRPr="00D75069">
        <w:rPr>
          <w:rFonts w:ascii="Arial Narrow" w:hAnsi="Arial Narrow"/>
          <w:sz w:val="26"/>
          <w:szCs w:val="26"/>
          <w:lang w:val="es-ES_tradnl"/>
        </w:rPr>
        <w:t>evidencia que el actor eleva crítica frente a las decisiones por medio de las cuales el juzgado accionado resolvió inadmitir y rechazar la demanda popular que formuló, a pesar de que, según dice, ese libelo cumple los requisitos legales para su presentación</w:t>
      </w:r>
      <w:r w:rsidR="00CC07D5" w:rsidRPr="00D75069">
        <w:rPr>
          <w:rFonts w:ascii="Arial Narrow" w:hAnsi="Arial Narrow"/>
          <w:sz w:val="26"/>
          <w:szCs w:val="26"/>
          <w:lang w:val="es-ES_tradnl"/>
        </w:rPr>
        <w:t xml:space="preserve">. </w:t>
      </w:r>
      <w:r w:rsidRPr="00D75069">
        <w:rPr>
          <w:rFonts w:ascii="Arial Narrow" w:hAnsi="Arial Narrow"/>
          <w:sz w:val="26"/>
          <w:szCs w:val="26"/>
          <w:lang w:val="es-ES_tradnl"/>
        </w:rPr>
        <w:t xml:space="preserve">Fincado en ello, pretende por esta senda </w:t>
      </w:r>
      <w:r w:rsidR="00E96AC4" w:rsidRPr="00D75069">
        <w:rPr>
          <w:rFonts w:ascii="Arial Narrow" w:hAnsi="Arial Narrow"/>
          <w:sz w:val="26"/>
          <w:szCs w:val="26"/>
          <w:lang w:val="es-ES_tradnl"/>
        </w:rPr>
        <w:t xml:space="preserve">se ordene al juzgado accionado </w:t>
      </w:r>
      <w:r w:rsidR="00A46AC2" w:rsidRPr="00D75069">
        <w:rPr>
          <w:rFonts w:ascii="Arial Narrow" w:hAnsi="Arial Narrow"/>
          <w:sz w:val="26"/>
          <w:szCs w:val="26"/>
          <w:lang w:val="es-ES_tradnl"/>
        </w:rPr>
        <w:t xml:space="preserve">admitir dicha </w:t>
      </w:r>
      <w:r w:rsidR="00486730" w:rsidRPr="00D75069">
        <w:rPr>
          <w:rFonts w:ascii="Arial Narrow" w:hAnsi="Arial Narrow"/>
          <w:sz w:val="26"/>
          <w:szCs w:val="26"/>
          <w:lang w:val="es-ES_tradnl"/>
        </w:rPr>
        <w:t>actuación</w:t>
      </w:r>
      <w:r w:rsidR="00795E12" w:rsidRPr="00D75069">
        <w:rPr>
          <w:rFonts w:ascii="Arial Narrow" w:hAnsi="Arial Narrow"/>
          <w:sz w:val="26"/>
          <w:szCs w:val="26"/>
          <w:lang w:val="es-ES_tradnl"/>
        </w:rPr>
        <w:t>.</w:t>
      </w:r>
    </w:p>
    <w:p w14:paraId="05F03D77" w14:textId="77777777" w:rsidR="008A5913" w:rsidRPr="00D75069" w:rsidRDefault="008A5913" w:rsidP="002A2CCF">
      <w:pPr>
        <w:pStyle w:val="Sinespaciado"/>
        <w:spacing w:line="276" w:lineRule="auto"/>
        <w:jc w:val="both"/>
        <w:rPr>
          <w:rFonts w:ascii="Arial Narrow" w:hAnsi="Arial Narrow"/>
          <w:sz w:val="26"/>
          <w:szCs w:val="26"/>
          <w:lang w:val="es-ES_tradnl"/>
        </w:rPr>
      </w:pPr>
    </w:p>
    <w:p w14:paraId="6C72BD9E" w14:textId="2499AF3D" w:rsidR="008A5913" w:rsidRPr="00D75069" w:rsidRDefault="008A5913" w:rsidP="002A2CCF">
      <w:pPr>
        <w:pStyle w:val="Sinespaciado"/>
        <w:spacing w:line="276" w:lineRule="auto"/>
        <w:jc w:val="both"/>
        <w:rPr>
          <w:rFonts w:ascii="Arial Narrow" w:hAnsi="Arial Narrow"/>
          <w:sz w:val="26"/>
          <w:szCs w:val="26"/>
          <w:lang w:val="es-ES_tradnl"/>
        </w:rPr>
      </w:pPr>
      <w:r w:rsidRPr="00D75069">
        <w:rPr>
          <w:rFonts w:ascii="Arial Narrow" w:hAnsi="Arial Narrow"/>
          <w:bCs/>
          <w:sz w:val="26"/>
          <w:szCs w:val="26"/>
          <w:lang w:val="es-ES_tradnl"/>
        </w:rPr>
        <w:t xml:space="preserve">De conformidad con lo anterior, el problema jurídico a resolver reside en definir </w:t>
      </w:r>
      <w:r w:rsidRPr="00D75069">
        <w:rPr>
          <w:rFonts w:ascii="Arial Narrow" w:hAnsi="Arial Narrow"/>
          <w:sz w:val="26"/>
          <w:szCs w:val="26"/>
          <w:lang w:val="es-ES_tradnl"/>
        </w:rPr>
        <w:t>si la acción de tutela resulta procedente</w:t>
      </w:r>
      <w:r w:rsidR="00A46AC2" w:rsidRPr="00D75069">
        <w:rPr>
          <w:rFonts w:ascii="Arial Narrow" w:hAnsi="Arial Narrow"/>
          <w:sz w:val="26"/>
          <w:szCs w:val="26"/>
          <w:lang w:val="es-ES_tradnl"/>
        </w:rPr>
        <w:t xml:space="preserve"> </w:t>
      </w:r>
      <w:r w:rsidR="00486730" w:rsidRPr="00D75069">
        <w:rPr>
          <w:rFonts w:ascii="Arial Narrow" w:hAnsi="Arial Narrow"/>
          <w:sz w:val="26"/>
          <w:szCs w:val="26"/>
          <w:lang w:val="es-ES_tradnl"/>
        </w:rPr>
        <w:t xml:space="preserve">para </w:t>
      </w:r>
      <w:r w:rsidR="00A46AC2" w:rsidRPr="00D75069">
        <w:rPr>
          <w:rFonts w:ascii="Arial Narrow" w:hAnsi="Arial Narrow"/>
          <w:sz w:val="26"/>
          <w:szCs w:val="26"/>
          <w:lang w:val="es-ES_tradnl"/>
        </w:rPr>
        <w:t>criticar tales determinaciones judiciales</w:t>
      </w:r>
      <w:r w:rsidR="00795E12" w:rsidRPr="00D75069">
        <w:rPr>
          <w:rFonts w:ascii="Arial Narrow" w:hAnsi="Arial Narrow"/>
          <w:sz w:val="26"/>
          <w:szCs w:val="26"/>
          <w:lang w:val="es-ES_tradnl"/>
        </w:rPr>
        <w:t>, y, en caso positivo, si en esa actuación se incurrió en defecto que afecte los derechos fundamentales del actor</w:t>
      </w:r>
      <w:r w:rsidR="00661AEA" w:rsidRPr="00D75069">
        <w:rPr>
          <w:rFonts w:ascii="Arial Narrow" w:hAnsi="Arial Narrow"/>
          <w:sz w:val="26"/>
          <w:szCs w:val="26"/>
          <w:lang w:val="es-ES_tradnl"/>
        </w:rPr>
        <w:t xml:space="preserve">. </w:t>
      </w:r>
    </w:p>
    <w:p w14:paraId="08E149DE" w14:textId="77777777" w:rsidR="00795E12" w:rsidRPr="00D75069" w:rsidRDefault="00795E12" w:rsidP="002A2CCF">
      <w:pPr>
        <w:pStyle w:val="Sinespaciado"/>
        <w:spacing w:line="276" w:lineRule="auto"/>
        <w:jc w:val="both"/>
        <w:rPr>
          <w:rFonts w:ascii="Arial Narrow" w:hAnsi="Arial Narrow"/>
          <w:bCs/>
          <w:sz w:val="26"/>
          <w:szCs w:val="26"/>
          <w:lang w:val="es-ES_tradnl"/>
        </w:rPr>
      </w:pPr>
    </w:p>
    <w:p w14:paraId="45DB79AD" w14:textId="77777777" w:rsidR="00795E12" w:rsidRPr="00D75069" w:rsidRDefault="00795E12" w:rsidP="002A2CCF">
      <w:pPr>
        <w:pStyle w:val="Sinespaciado"/>
        <w:spacing w:line="276" w:lineRule="auto"/>
        <w:jc w:val="both"/>
        <w:rPr>
          <w:rFonts w:ascii="Arial Narrow" w:hAnsi="Arial Narrow"/>
          <w:sz w:val="26"/>
          <w:szCs w:val="26"/>
          <w:lang w:val="es-ES_tradnl"/>
        </w:rPr>
      </w:pPr>
      <w:r w:rsidRPr="00D75069">
        <w:rPr>
          <w:rFonts w:ascii="Arial Narrow" w:hAnsi="Arial Narrow"/>
          <w:b/>
          <w:sz w:val="26"/>
          <w:szCs w:val="26"/>
          <w:lang w:val="es-ES_tradnl"/>
        </w:rPr>
        <w:t xml:space="preserve">3. </w:t>
      </w:r>
      <w:r w:rsidRPr="00D75069">
        <w:rPr>
          <w:rFonts w:ascii="Arial Narrow" w:hAnsi="Arial Narrow"/>
          <w:bCs/>
          <w:sz w:val="26"/>
          <w:szCs w:val="26"/>
          <w:lang w:val="es-ES_tradnl"/>
        </w:rPr>
        <w:t xml:space="preserve">En el anterior contexto, es clara </w:t>
      </w:r>
      <w:r w:rsidRPr="00D75069">
        <w:rPr>
          <w:rFonts w:ascii="Arial Narrow" w:hAnsi="Arial Narrow"/>
          <w:sz w:val="26"/>
          <w:szCs w:val="26"/>
          <w:lang w:val="es-ES_tradnl"/>
        </w:rPr>
        <w:t xml:space="preserve">la legitimación para intervenir en este amparo superlativo. Por el extremo activo lo hace el señor </w:t>
      </w:r>
      <w:r w:rsidR="00A46AC2" w:rsidRPr="00D75069">
        <w:rPr>
          <w:rFonts w:ascii="Arial Narrow" w:hAnsi="Arial Narrow"/>
          <w:sz w:val="26"/>
          <w:szCs w:val="26"/>
          <w:lang w:val="es-ES_tradnl"/>
        </w:rPr>
        <w:t>Gerardo Herrera</w:t>
      </w:r>
      <w:r w:rsidRPr="00D75069">
        <w:rPr>
          <w:rFonts w:ascii="Arial Narrow" w:hAnsi="Arial Narrow"/>
          <w:sz w:val="26"/>
          <w:szCs w:val="26"/>
          <w:lang w:val="es-ES_tradnl"/>
        </w:rPr>
        <w:t xml:space="preserve">, quien es el titular de los derechos que se reclaman como vulnerados, en su condición de impulsor del proceso que se reprocha. Por el extremo pasivo, por su parte, se encuentra convocado el Juzgado </w:t>
      </w:r>
      <w:r w:rsidR="00A46AC2" w:rsidRPr="00D75069">
        <w:rPr>
          <w:rFonts w:ascii="Arial Narrow" w:hAnsi="Arial Narrow"/>
          <w:sz w:val="26"/>
          <w:szCs w:val="26"/>
          <w:lang w:val="es-ES_tradnl"/>
        </w:rPr>
        <w:t>Primero</w:t>
      </w:r>
      <w:r w:rsidRPr="00D75069">
        <w:rPr>
          <w:rFonts w:ascii="Arial Narrow" w:hAnsi="Arial Narrow"/>
          <w:sz w:val="26"/>
          <w:szCs w:val="26"/>
          <w:lang w:val="es-ES_tradnl"/>
        </w:rPr>
        <w:t xml:space="preserve"> Civil del Circuito de Pereira</w:t>
      </w:r>
      <w:r w:rsidR="00A02BE2" w:rsidRPr="00D75069">
        <w:rPr>
          <w:rFonts w:ascii="Arial Narrow" w:hAnsi="Arial Narrow"/>
          <w:sz w:val="26"/>
          <w:szCs w:val="26"/>
          <w:lang w:val="es-ES_tradnl"/>
        </w:rPr>
        <w:t xml:space="preserve"> que</w:t>
      </w:r>
      <w:r w:rsidRPr="00D75069">
        <w:rPr>
          <w:rFonts w:ascii="Arial Narrow" w:hAnsi="Arial Narrow"/>
          <w:sz w:val="26"/>
          <w:szCs w:val="26"/>
          <w:lang w:val="es-ES_tradnl"/>
        </w:rPr>
        <w:t xml:space="preserve"> surtió la actuación cuestionada.</w:t>
      </w:r>
    </w:p>
    <w:p w14:paraId="0FD7CC40" w14:textId="77777777" w:rsidR="00795E12" w:rsidRPr="00D75069" w:rsidRDefault="00795E12" w:rsidP="002A2CCF">
      <w:pPr>
        <w:pStyle w:val="Sinespaciado"/>
        <w:spacing w:line="276" w:lineRule="auto"/>
        <w:jc w:val="both"/>
        <w:rPr>
          <w:rFonts w:ascii="Arial Narrow" w:hAnsi="Arial Narrow"/>
          <w:sz w:val="26"/>
          <w:szCs w:val="26"/>
          <w:lang w:val="es-ES_tradnl"/>
        </w:rPr>
      </w:pPr>
    </w:p>
    <w:p w14:paraId="64C36407" w14:textId="77777777" w:rsidR="00A04743" w:rsidRPr="00D75069" w:rsidRDefault="00A04743" w:rsidP="002A2CCF">
      <w:pPr>
        <w:pStyle w:val="Sinespaciado"/>
        <w:spacing w:line="276" w:lineRule="auto"/>
        <w:jc w:val="both"/>
        <w:rPr>
          <w:rFonts w:ascii="Arial Narrow" w:hAnsi="Arial Narrow"/>
          <w:b/>
          <w:bCs/>
          <w:sz w:val="26"/>
          <w:szCs w:val="26"/>
          <w:lang w:val="es-ES_tradnl"/>
        </w:rPr>
      </w:pPr>
      <w:r w:rsidRPr="00D75069">
        <w:rPr>
          <w:rFonts w:ascii="Arial Narrow" w:hAnsi="Arial Narrow"/>
          <w:b/>
          <w:bCs/>
          <w:sz w:val="26"/>
          <w:szCs w:val="26"/>
          <w:lang w:val="es-ES_tradnl"/>
        </w:rPr>
        <w:t xml:space="preserve">4. </w:t>
      </w:r>
      <w:r w:rsidRPr="00D75069">
        <w:rPr>
          <w:rFonts w:ascii="Arial Narrow" w:hAnsi="Arial Narrow"/>
          <w:sz w:val="26"/>
          <w:szCs w:val="26"/>
          <w:lang w:val="es-ES_tradnl"/>
        </w:rPr>
        <w:t>Frente</w:t>
      </w:r>
      <w:r w:rsidRPr="00D75069">
        <w:rPr>
          <w:rFonts w:ascii="Arial Narrow" w:hAnsi="Arial Narrow"/>
          <w:b/>
          <w:bCs/>
          <w:sz w:val="26"/>
          <w:szCs w:val="26"/>
          <w:lang w:val="es-ES_tradnl"/>
        </w:rPr>
        <w:t xml:space="preserve"> </w:t>
      </w:r>
      <w:r w:rsidRPr="00D75069">
        <w:rPr>
          <w:rFonts w:ascii="Arial Narrow" w:hAnsi="Arial Narrow"/>
          <w:sz w:val="26"/>
          <w:szCs w:val="26"/>
          <w:lang w:val="es-ES_tradnl"/>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D75069">
        <w:rPr>
          <w:rStyle w:val="Refdenotaalpie"/>
          <w:rFonts w:ascii="Arial Narrow" w:hAnsi="Arial Narrow"/>
          <w:sz w:val="26"/>
          <w:szCs w:val="26"/>
          <w:lang w:val="es-ES_tradnl"/>
        </w:rPr>
        <w:footnoteReference w:id="7"/>
      </w:r>
      <w:r w:rsidRPr="00D75069">
        <w:rPr>
          <w:rFonts w:ascii="Arial Narrow" w:hAnsi="Arial Narrow"/>
          <w:sz w:val="26"/>
          <w:szCs w:val="26"/>
          <w:lang w:val="es-ES_tradnl"/>
        </w:rPr>
        <w:t xml:space="preserve">. </w:t>
      </w:r>
    </w:p>
    <w:p w14:paraId="36E143E6" w14:textId="77777777" w:rsidR="00A04743" w:rsidRPr="00D75069" w:rsidRDefault="00A04743" w:rsidP="002A2CCF">
      <w:pPr>
        <w:pStyle w:val="Sinespaciado"/>
        <w:spacing w:line="276" w:lineRule="auto"/>
        <w:jc w:val="both"/>
        <w:rPr>
          <w:rFonts w:ascii="Arial Narrow" w:hAnsi="Arial Narrow"/>
          <w:b/>
          <w:bCs/>
          <w:sz w:val="26"/>
          <w:szCs w:val="26"/>
          <w:lang w:val="es-ES_tradnl"/>
        </w:rPr>
      </w:pPr>
    </w:p>
    <w:p w14:paraId="7AF6A2D9" w14:textId="676AD190" w:rsidR="00A04743"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 xml:space="preserve">Para que procedan los reproches que por este medio se </w:t>
      </w:r>
      <w:r w:rsidR="00CF214B" w:rsidRPr="00D75069">
        <w:rPr>
          <w:rFonts w:ascii="Arial Narrow" w:hAnsi="Arial Narrow"/>
          <w:sz w:val="26"/>
          <w:szCs w:val="26"/>
          <w:lang w:val="es-ES_tradnl"/>
        </w:rPr>
        <w:t>les</w:t>
      </w:r>
      <w:r w:rsidRPr="00D75069">
        <w:rPr>
          <w:rFonts w:ascii="Arial Narrow" w:hAnsi="Arial Narrow"/>
          <w:sz w:val="26"/>
          <w:szCs w:val="26"/>
          <w:lang w:val="es-ES_tradnl"/>
        </w:rPr>
        <w:t xml:space="preserve"> haga a las decisiones ordinarias, se deben cumplir estrictamente los presupuestos generales.  </w:t>
      </w:r>
    </w:p>
    <w:p w14:paraId="62D245EE" w14:textId="77777777" w:rsidR="00A04743" w:rsidRPr="00D75069" w:rsidRDefault="00A04743" w:rsidP="002A2CCF">
      <w:pPr>
        <w:pStyle w:val="Sinespaciado"/>
        <w:spacing w:line="276" w:lineRule="auto"/>
        <w:jc w:val="both"/>
        <w:rPr>
          <w:rFonts w:ascii="Arial Narrow" w:hAnsi="Arial Narrow"/>
          <w:sz w:val="26"/>
          <w:szCs w:val="26"/>
          <w:lang w:val="es-ES_tradnl"/>
        </w:rPr>
      </w:pPr>
    </w:p>
    <w:p w14:paraId="37D1B944" w14:textId="77777777" w:rsidR="00A04743" w:rsidRPr="00D75069" w:rsidRDefault="00A04743" w:rsidP="002A2CCF">
      <w:pPr>
        <w:pStyle w:val="Sinespaciado"/>
        <w:spacing w:line="276" w:lineRule="auto"/>
        <w:jc w:val="both"/>
        <w:rPr>
          <w:rFonts w:ascii="Arial Narrow" w:hAnsi="Arial Narrow"/>
          <w:b/>
          <w:bCs/>
          <w:sz w:val="26"/>
          <w:szCs w:val="26"/>
          <w:lang w:val="es-ES_tradnl"/>
        </w:rPr>
      </w:pPr>
      <w:r w:rsidRPr="00D75069">
        <w:rPr>
          <w:rFonts w:ascii="Arial Narrow" w:hAnsi="Arial Narrow"/>
          <w:b/>
          <w:bCs/>
          <w:sz w:val="26"/>
          <w:szCs w:val="26"/>
          <w:lang w:val="es-ES_tradnl"/>
        </w:rPr>
        <w:t xml:space="preserve">4.1. </w:t>
      </w:r>
      <w:r w:rsidRPr="00D75069">
        <w:rPr>
          <w:rFonts w:ascii="Arial Narrow" w:hAnsi="Arial Narrow"/>
          <w:sz w:val="26"/>
          <w:szCs w:val="26"/>
          <w:lang w:val="es-ES_tradnl"/>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D75069">
        <w:rPr>
          <w:rFonts w:ascii="Arial Narrow" w:hAnsi="Arial Narrow"/>
          <w:i/>
          <w:iCs/>
          <w:sz w:val="26"/>
          <w:szCs w:val="26"/>
          <w:lang w:val="es-ES_tradnl"/>
        </w:rPr>
        <w:t>ius fundamental</w:t>
      </w:r>
      <w:r w:rsidRPr="00D75069">
        <w:rPr>
          <w:rFonts w:ascii="Arial Narrow" w:hAnsi="Arial Narrow"/>
          <w:sz w:val="26"/>
          <w:szCs w:val="26"/>
          <w:lang w:val="es-ES_tradnl"/>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D75069">
        <w:rPr>
          <w:rStyle w:val="Refdenotaalpie"/>
          <w:rFonts w:ascii="Arial Narrow" w:hAnsi="Arial Narrow"/>
          <w:sz w:val="26"/>
          <w:szCs w:val="26"/>
          <w:lang w:val="es-ES_tradnl"/>
        </w:rPr>
        <w:footnoteReference w:id="8"/>
      </w:r>
      <w:r w:rsidRPr="00D75069">
        <w:rPr>
          <w:rFonts w:ascii="Arial Narrow" w:hAnsi="Arial Narrow"/>
          <w:sz w:val="26"/>
          <w:szCs w:val="26"/>
          <w:lang w:val="es-ES_tradnl"/>
        </w:rPr>
        <w:t>.</w:t>
      </w:r>
      <w:r w:rsidRPr="00D75069">
        <w:rPr>
          <w:rFonts w:ascii="Arial Narrow" w:hAnsi="Arial Narrow"/>
          <w:b/>
          <w:bCs/>
          <w:sz w:val="26"/>
          <w:szCs w:val="26"/>
          <w:lang w:val="es-ES_tradnl"/>
        </w:rPr>
        <w:t xml:space="preserve"> </w:t>
      </w:r>
    </w:p>
    <w:p w14:paraId="03BD3E92" w14:textId="77777777" w:rsidR="00A04743" w:rsidRPr="00D75069" w:rsidRDefault="00A04743" w:rsidP="002A2CCF">
      <w:pPr>
        <w:pStyle w:val="Sinespaciado"/>
        <w:spacing w:line="276" w:lineRule="auto"/>
        <w:jc w:val="both"/>
        <w:rPr>
          <w:rFonts w:ascii="Arial Narrow" w:hAnsi="Arial Narrow"/>
          <w:b/>
          <w:sz w:val="26"/>
          <w:szCs w:val="26"/>
          <w:lang w:val="es-ES_tradnl"/>
        </w:rPr>
      </w:pPr>
    </w:p>
    <w:p w14:paraId="0E162ADA" w14:textId="77777777" w:rsidR="00A04743"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 xml:space="preserve">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w:t>
      </w:r>
      <w:r w:rsidRPr="00D75069">
        <w:rPr>
          <w:rFonts w:ascii="Arial Narrow" w:hAnsi="Arial Narrow"/>
          <w:sz w:val="26"/>
          <w:szCs w:val="26"/>
          <w:lang w:val="es-ES_tradnl"/>
        </w:rPr>
        <w:lastRenderedPageBreak/>
        <w:t>pruebas adecuadamente allegadas; (iv) sustantivo tiene lugar cuando la decisión se toma con fundamento en normas inexistentes o inconstitucionales; (v) error inducido; (vi) decisión sin motivación; (vii) desconocimiento del precedente y (</w:t>
      </w:r>
      <w:proofErr w:type="spellStart"/>
      <w:r w:rsidRPr="00D75069">
        <w:rPr>
          <w:rFonts w:ascii="Arial Narrow" w:hAnsi="Arial Narrow"/>
          <w:sz w:val="26"/>
          <w:szCs w:val="26"/>
          <w:lang w:val="es-ES_tradnl"/>
        </w:rPr>
        <w:t>viii</w:t>
      </w:r>
      <w:proofErr w:type="spellEnd"/>
      <w:r w:rsidRPr="00D75069">
        <w:rPr>
          <w:rFonts w:ascii="Arial Narrow" w:hAnsi="Arial Narrow"/>
          <w:sz w:val="26"/>
          <w:szCs w:val="26"/>
          <w:lang w:val="es-ES_tradnl"/>
        </w:rPr>
        <w:t>) violación directa de la Constitución</w:t>
      </w:r>
      <w:r w:rsidRPr="00D75069">
        <w:rPr>
          <w:rFonts w:ascii="Arial Narrow" w:hAnsi="Arial Narrow"/>
          <w:i/>
          <w:spacing w:val="-4"/>
          <w:sz w:val="26"/>
          <w:szCs w:val="26"/>
          <w:vertAlign w:val="superscript"/>
          <w:lang w:val="es-ES_tradnl"/>
        </w:rPr>
        <w:footnoteReference w:id="9"/>
      </w:r>
      <w:r w:rsidRPr="00D75069">
        <w:rPr>
          <w:rFonts w:ascii="Arial Narrow" w:hAnsi="Arial Narrow"/>
          <w:sz w:val="26"/>
          <w:szCs w:val="26"/>
          <w:lang w:val="es-ES_tradnl"/>
        </w:rPr>
        <w:t xml:space="preserve">. </w:t>
      </w:r>
    </w:p>
    <w:p w14:paraId="0376AF70" w14:textId="77777777" w:rsidR="00A04743" w:rsidRPr="00D75069" w:rsidRDefault="00A04743" w:rsidP="002A2CCF">
      <w:pPr>
        <w:pStyle w:val="Sinespaciado"/>
        <w:spacing w:line="276" w:lineRule="auto"/>
        <w:jc w:val="both"/>
        <w:rPr>
          <w:rFonts w:ascii="Arial Narrow" w:hAnsi="Arial Narrow"/>
          <w:b/>
          <w:sz w:val="26"/>
          <w:szCs w:val="26"/>
          <w:lang w:val="es-ES_tradnl"/>
        </w:rPr>
      </w:pPr>
    </w:p>
    <w:p w14:paraId="7B34FEAD" w14:textId="77777777" w:rsidR="00A04743" w:rsidRPr="00D75069" w:rsidRDefault="00A04743" w:rsidP="002A2CCF">
      <w:pPr>
        <w:pStyle w:val="Sinespaciado"/>
        <w:spacing w:line="276" w:lineRule="auto"/>
        <w:jc w:val="both"/>
        <w:rPr>
          <w:rFonts w:ascii="Arial Narrow" w:hAnsi="Arial Narrow"/>
          <w:bCs/>
          <w:sz w:val="26"/>
          <w:szCs w:val="26"/>
          <w:lang w:val="es-ES_tradnl"/>
        </w:rPr>
      </w:pPr>
      <w:r w:rsidRPr="00D75069">
        <w:rPr>
          <w:rFonts w:ascii="Arial Narrow" w:hAnsi="Arial Narrow"/>
          <w:b/>
          <w:bCs/>
          <w:sz w:val="26"/>
          <w:szCs w:val="26"/>
          <w:lang w:val="es-ES_tradnl"/>
        </w:rPr>
        <w:t>5.</w:t>
      </w:r>
      <w:r w:rsidRPr="00D75069">
        <w:rPr>
          <w:rFonts w:ascii="Arial Narrow" w:hAnsi="Arial Narrow"/>
          <w:bCs/>
          <w:sz w:val="26"/>
          <w:szCs w:val="26"/>
          <w:lang w:val="es-ES_tradnl"/>
        </w:rPr>
        <w:t xml:space="preserve"> Las pruebas arrimadas al proceso, acreditan los siguientes hechos:</w:t>
      </w:r>
    </w:p>
    <w:p w14:paraId="3B1B2C62" w14:textId="77777777" w:rsidR="00A04743" w:rsidRPr="00D75069" w:rsidRDefault="00A04743" w:rsidP="002A2CCF">
      <w:pPr>
        <w:pStyle w:val="Sinespaciado"/>
        <w:spacing w:line="276" w:lineRule="auto"/>
        <w:jc w:val="both"/>
        <w:rPr>
          <w:rFonts w:ascii="Arial Narrow" w:hAnsi="Arial Narrow"/>
          <w:bCs/>
          <w:sz w:val="26"/>
          <w:szCs w:val="26"/>
          <w:lang w:val="es-ES_tradnl"/>
        </w:rPr>
      </w:pPr>
    </w:p>
    <w:p w14:paraId="1C82770F" w14:textId="77777777" w:rsidR="00A04743"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b/>
          <w:bCs/>
          <w:sz w:val="26"/>
          <w:szCs w:val="26"/>
          <w:lang w:val="es-ES_tradnl"/>
        </w:rPr>
        <w:t>5.1.</w:t>
      </w:r>
      <w:r w:rsidRPr="00D75069">
        <w:rPr>
          <w:rFonts w:ascii="Arial Narrow" w:hAnsi="Arial Narrow"/>
          <w:sz w:val="26"/>
          <w:szCs w:val="26"/>
          <w:lang w:val="es-ES_tradnl"/>
        </w:rPr>
        <w:t xml:space="preserve"> </w:t>
      </w:r>
      <w:r w:rsidR="00A46AC2" w:rsidRPr="00D75069">
        <w:rPr>
          <w:rFonts w:ascii="Arial Narrow" w:hAnsi="Arial Narrow"/>
          <w:sz w:val="26"/>
          <w:szCs w:val="26"/>
          <w:lang w:val="es-ES_tradnl"/>
        </w:rPr>
        <w:t xml:space="preserve">El 3 de junio de 2021 </w:t>
      </w:r>
      <w:r w:rsidR="00141AAE" w:rsidRPr="00D75069">
        <w:rPr>
          <w:rFonts w:ascii="Arial Narrow" w:hAnsi="Arial Narrow"/>
          <w:sz w:val="26"/>
          <w:szCs w:val="26"/>
          <w:lang w:val="es-ES_tradnl"/>
        </w:rPr>
        <w:t>el señor Gerardo Herrera</w:t>
      </w:r>
      <w:r w:rsidRPr="00D75069">
        <w:rPr>
          <w:rFonts w:ascii="Arial Narrow" w:hAnsi="Arial Narrow"/>
          <w:sz w:val="26"/>
          <w:szCs w:val="26"/>
          <w:lang w:val="es-ES_tradnl"/>
        </w:rPr>
        <w:t xml:space="preserve"> </w:t>
      </w:r>
      <w:r w:rsidR="00141AAE" w:rsidRPr="00D75069">
        <w:rPr>
          <w:rFonts w:ascii="Arial Narrow" w:hAnsi="Arial Narrow"/>
          <w:sz w:val="26"/>
          <w:szCs w:val="26"/>
          <w:lang w:val="es-ES_tradnl"/>
        </w:rPr>
        <w:t>formuló acción popular contra Apostar S.A. por la omisión en adaptar rampa de acceso para ciudadanos que dependan de su movilidad de silla de ruedas</w:t>
      </w:r>
      <w:r w:rsidRPr="00D75069">
        <w:rPr>
          <w:rStyle w:val="Refdenotaalpie"/>
          <w:rFonts w:ascii="Arial Narrow" w:hAnsi="Arial Narrow"/>
          <w:sz w:val="26"/>
          <w:szCs w:val="26"/>
          <w:lang w:val="es-ES_tradnl"/>
        </w:rPr>
        <w:footnoteReference w:id="10"/>
      </w:r>
      <w:r w:rsidRPr="00D75069">
        <w:rPr>
          <w:rFonts w:ascii="Arial Narrow" w:hAnsi="Arial Narrow"/>
          <w:sz w:val="26"/>
          <w:szCs w:val="26"/>
          <w:lang w:val="es-ES_tradnl"/>
        </w:rPr>
        <w:t>.</w:t>
      </w:r>
    </w:p>
    <w:p w14:paraId="541E2A8D" w14:textId="77777777" w:rsidR="00A04743" w:rsidRPr="00D75069" w:rsidRDefault="00A04743" w:rsidP="002A2CCF">
      <w:pPr>
        <w:pStyle w:val="Sinespaciado"/>
        <w:spacing w:line="276" w:lineRule="auto"/>
        <w:jc w:val="both"/>
        <w:rPr>
          <w:rFonts w:ascii="Arial Narrow" w:hAnsi="Arial Narrow"/>
          <w:bCs/>
          <w:sz w:val="26"/>
          <w:szCs w:val="26"/>
          <w:lang w:val="es-ES_tradnl"/>
        </w:rPr>
      </w:pPr>
    </w:p>
    <w:p w14:paraId="24535497" w14:textId="36A0010F" w:rsidR="00A04743" w:rsidRPr="00D75069" w:rsidRDefault="00A04743" w:rsidP="002A2CCF">
      <w:pPr>
        <w:pStyle w:val="Sinespaciado"/>
        <w:spacing w:line="276" w:lineRule="auto"/>
        <w:jc w:val="both"/>
        <w:rPr>
          <w:rFonts w:ascii="Arial Narrow" w:hAnsi="Arial Narrow"/>
          <w:bCs/>
          <w:sz w:val="26"/>
          <w:szCs w:val="26"/>
          <w:lang w:val="es-ES_tradnl"/>
        </w:rPr>
      </w:pPr>
      <w:r w:rsidRPr="00D75069">
        <w:rPr>
          <w:rFonts w:ascii="Arial Narrow" w:hAnsi="Arial Narrow"/>
          <w:b/>
          <w:bCs/>
          <w:sz w:val="26"/>
          <w:szCs w:val="26"/>
          <w:lang w:val="es-ES_tradnl"/>
        </w:rPr>
        <w:t>5.2.</w:t>
      </w:r>
      <w:r w:rsidRPr="00D75069">
        <w:rPr>
          <w:rFonts w:ascii="Arial Narrow" w:hAnsi="Arial Narrow"/>
          <w:bCs/>
          <w:sz w:val="26"/>
          <w:szCs w:val="26"/>
          <w:lang w:val="es-ES_tradnl"/>
        </w:rPr>
        <w:t xml:space="preserve"> </w:t>
      </w:r>
      <w:r w:rsidR="00391EA3" w:rsidRPr="00D75069">
        <w:rPr>
          <w:rFonts w:ascii="Arial Narrow" w:hAnsi="Arial Narrow"/>
          <w:bCs/>
          <w:sz w:val="26"/>
          <w:szCs w:val="26"/>
          <w:lang w:val="es-ES_tradnl"/>
        </w:rPr>
        <w:t>Mediante auto del 30 de ese mismo mes la Juez Primera Civil del Circuito resolvió</w:t>
      </w:r>
      <w:r w:rsidR="007D1E76" w:rsidRPr="00D75069">
        <w:rPr>
          <w:rFonts w:ascii="Arial Narrow" w:hAnsi="Arial Narrow"/>
          <w:bCs/>
          <w:sz w:val="26"/>
          <w:szCs w:val="26"/>
          <w:lang w:val="es-ES_tradnl"/>
        </w:rPr>
        <w:t xml:space="preserve"> inadmitir la demanda y conceder el término de tres días para subsanación, so pena de rechazo. A esta conclusión arribó luego de considerar que se incumple la exigencia establecida en el inciso 2° del artículo 20 de la Ley 472 de 1998, en concordancia con el inciso 4° del </w:t>
      </w:r>
      <w:r w:rsidR="00E60F71" w:rsidRPr="00D75069">
        <w:rPr>
          <w:rFonts w:ascii="Arial Narrow" w:hAnsi="Arial Narrow"/>
          <w:bCs/>
          <w:sz w:val="26"/>
          <w:szCs w:val="26"/>
          <w:lang w:val="es-ES_tradnl"/>
        </w:rPr>
        <w:t xml:space="preserve">artículo 6º del </w:t>
      </w:r>
      <w:r w:rsidR="007D1E76" w:rsidRPr="00D75069">
        <w:rPr>
          <w:rFonts w:ascii="Arial Narrow" w:hAnsi="Arial Narrow"/>
          <w:bCs/>
          <w:sz w:val="26"/>
          <w:szCs w:val="26"/>
          <w:lang w:val="es-ES_tradnl"/>
        </w:rPr>
        <w:t>Decreto 806 de 2020, normas que obligan a remitir junto con la demanda copia de ella y sus anexos al buzón de correo electrónico de las demandadas</w:t>
      </w:r>
      <w:r w:rsidR="002E197B" w:rsidRPr="00D75069">
        <w:rPr>
          <w:rStyle w:val="Refdenotaalpie"/>
          <w:rFonts w:ascii="Arial Narrow" w:hAnsi="Arial Narrow"/>
          <w:sz w:val="26"/>
          <w:szCs w:val="26"/>
          <w:lang w:val="es-ES_tradnl"/>
        </w:rPr>
        <w:footnoteReference w:id="11"/>
      </w:r>
      <w:r w:rsidR="002E197B" w:rsidRPr="00D75069">
        <w:rPr>
          <w:rFonts w:ascii="Arial Narrow" w:hAnsi="Arial Narrow"/>
          <w:bCs/>
          <w:sz w:val="26"/>
          <w:szCs w:val="26"/>
          <w:lang w:val="es-ES_tradnl"/>
        </w:rPr>
        <w:t>.</w:t>
      </w:r>
      <w:r w:rsidRPr="00D75069">
        <w:rPr>
          <w:rFonts w:ascii="Arial Narrow" w:hAnsi="Arial Narrow"/>
          <w:bCs/>
          <w:sz w:val="26"/>
          <w:szCs w:val="26"/>
          <w:lang w:val="es-ES_tradnl"/>
        </w:rPr>
        <w:t xml:space="preserve"> </w:t>
      </w:r>
    </w:p>
    <w:p w14:paraId="2BE0F7E1" w14:textId="77777777" w:rsidR="002E197B" w:rsidRPr="00D75069" w:rsidRDefault="002E197B" w:rsidP="002A2CCF">
      <w:pPr>
        <w:pStyle w:val="Sinespaciado"/>
        <w:spacing w:line="276" w:lineRule="auto"/>
        <w:jc w:val="both"/>
        <w:rPr>
          <w:rFonts w:ascii="Arial Narrow" w:hAnsi="Arial Narrow"/>
          <w:bCs/>
          <w:sz w:val="26"/>
          <w:szCs w:val="26"/>
          <w:lang w:val="es-ES_tradnl"/>
        </w:rPr>
      </w:pPr>
    </w:p>
    <w:p w14:paraId="7092301A" w14:textId="77777777" w:rsidR="00747756" w:rsidRPr="00D75069" w:rsidRDefault="002E197B" w:rsidP="002A2CCF">
      <w:pPr>
        <w:pStyle w:val="Sinespaciado"/>
        <w:spacing w:line="276" w:lineRule="auto"/>
        <w:jc w:val="both"/>
        <w:rPr>
          <w:rFonts w:ascii="Arial Narrow" w:hAnsi="Arial Narrow"/>
          <w:bCs/>
          <w:sz w:val="26"/>
          <w:szCs w:val="26"/>
          <w:lang w:val="es-ES_tradnl"/>
        </w:rPr>
      </w:pPr>
      <w:r w:rsidRPr="00D75069">
        <w:rPr>
          <w:rFonts w:ascii="Arial Narrow" w:hAnsi="Arial Narrow"/>
          <w:b/>
          <w:bCs/>
          <w:sz w:val="26"/>
          <w:szCs w:val="26"/>
          <w:lang w:val="es-ES_tradnl"/>
        </w:rPr>
        <w:t xml:space="preserve">5.3. </w:t>
      </w:r>
      <w:r w:rsidRPr="00D75069">
        <w:rPr>
          <w:rFonts w:ascii="Arial Narrow" w:hAnsi="Arial Narrow"/>
          <w:bCs/>
          <w:sz w:val="26"/>
          <w:szCs w:val="26"/>
          <w:lang w:val="es-ES_tradnl"/>
        </w:rPr>
        <w:t xml:space="preserve">Mediante proveído </w:t>
      </w:r>
      <w:r w:rsidR="00680C92" w:rsidRPr="00D75069">
        <w:rPr>
          <w:rFonts w:ascii="Arial Narrow" w:hAnsi="Arial Narrow"/>
          <w:bCs/>
          <w:sz w:val="26"/>
          <w:szCs w:val="26"/>
          <w:lang w:val="es-ES_tradnl"/>
        </w:rPr>
        <w:t>14 de julio siguiente</w:t>
      </w:r>
      <w:r w:rsidRPr="00D75069">
        <w:rPr>
          <w:rFonts w:ascii="Arial Narrow" w:hAnsi="Arial Narrow"/>
          <w:bCs/>
          <w:sz w:val="26"/>
          <w:szCs w:val="26"/>
          <w:lang w:val="es-ES_tradnl"/>
        </w:rPr>
        <w:t xml:space="preserve">, la juez demandada, resolvió </w:t>
      </w:r>
      <w:r w:rsidR="00680C92" w:rsidRPr="00D75069">
        <w:rPr>
          <w:rFonts w:ascii="Arial Narrow" w:hAnsi="Arial Narrow"/>
          <w:bCs/>
          <w:sz w:val="26"/>
          <w:szCs w:val="26"/>
          <w:lang w:val="es-ES_tradnl"/>
        </w:rPr>
        <w:t>rechazar la acción popular por falta de subsanación</w:t>
      </w:r>
      <w:r w:rsidR="00680C92" w:rsidRPr="00D75069">
        <w:rPr>
          <w:rStyle w:val="Refdenotaalpie"/>
          <w:rFonts w:ascii="Arial Narrow" w:hAnsi="Arial Narrow"/>
          <w:sz w:val="26"/>
          <w:szCs w:val="26"/>
          <w:lang w:val="es-ES_tradnl"/>
        </w:rPr>
        <w:footnoteReference w:id="12"/>
      </w:r>
      <w:r w:rsidR="00680C92" w:rsidRPr="00D75069">
        <w:rPr>
          <w:rFonts w:ascii="Arial Narrow" w:hAnsi="Arial Narrow"/>
          <w:bCs/>
          <w:sz w:val="26"/>
          <w:szCs w:val="26"/>
          <w:lang w:val="es-ES_tradnl"/>
        </w:rPr>
        <w:t>.</w:t>
      </w:r>
    </w:p>
    <w:p w14:paraId="334C4C95" w14:textId="77777777" w:rsidR="00680C92" w:rsidRPr="00D75069" w:rsidRDefault="00680C92" w:rsidP="002A2CCF">
      <w:pPr>
        <w:pStyle w:val="Sinespaciado"/>
        <w:spacing w:line="276" w:lineRule="auto"/>
        <w:jc w:val="both"/>
        <w:rPr>
          <w:rFonts w:ascii="Arial Narrow" w:hAnsi="Arial Narrow"/>
          <w:bCs/>
          <w:sz w:val="26"/>
          <w:szCs w:val="26"/>
          <w:lang w:val="es-ES_tradnl"/>
        </w:rPr>
      </w:pPr>
    </w:p>
    <w:p w14:paraId="1122C2C7" w14:textId="77777777" w:rsidR="00680C92" w:rsidRPr="00D75069" w:rsidRDefault="00680C92" w:rsidP="002A2CCF">
      <w:pPr>
        <w:pStyle w:val="Sinespaciado"/>
        <w:spacing w:line="276" w:lineRule="auto"/>
        <w:jc w:val="both"/>
        <w:rPr>
          <w:rFonts w:ascii="Arial Narrow" w:hAnsi="Arial Narrow"/>
          <w:bCs/>
          <w:sz w:val="26"/>
          <w:szCs w:val="26"/>
          <w:lang w:val="es-ES_tradnl"/>
        </w:rPr>
      </w:pPr>
      <w:r w:rsidRPr="00D75069">
        <w:rPr>
          <w:rFonts w:ascii="Arial Narrow" w:hAnsi="Arial Narrow"/>
          <w:b/>
          <w:bCs/>
          <w:sz w:val="26"/>
          <w:szCs w:val="26"/>
          <w:lang w:val="es-ES_tradnl"/>
        </w:rPr>
        <w:t xml:space="preserve">5.4. </w:t>
      </w:r>
      <w:r w:rsidRPr="00D75069">
        <w:rPr>
          <w:rFonts w:ascii="Arial Narrow" w:hAnsi="Arial Narrow"/>
          <w:bCs/>
          <w:sz w:val="26"/>
          <w:szCs w:val="26"/>
          <w:lang w:val="es-ES_tradnl"/>
        </w:rPr>
        <w:t>Contra esa decisión el actor popular formuló recurso de reposición fundamentado, básicamente, en que “cumplo art 18 ley 472 de 1998”</w:t>
      </w:r>
      <w:r w:rsidRPr="00D75069">
        <w:rPr>
          <w:rStyle w:val="Refdenotaalpie"/>
          <w:rFonts w:ascii="Arial Narrow" w:hAnsi="Arial Narrow"/>
          <w:sz w:val="26"/>
          <w:szCs w:val="26"/>
          <w:lang w:val="es-ES_tradnl"/>
        </w:rPr>
        <w:footnoteReference w:id="13"/>
      </w:r>
      <w:r w:rsidRPr="00D75069">
        <w:rPr>
          <w:rFonts w:ascii="Arial Narrow" w:hAnsi="Arial Narrow"/>
          <w:bCs/>
          <w:sz w:val="26"/>
          <w:szCs w:val="26"/>
          <w:lang w:val="es-ES_tradnl"/>
        </w:rPr>
        <w:t>.</w:t>
      </w:r>
    </w:p>
    <w:p w14:paraId="7D970D2D" w14:textId="77777777" w:rsidR="00680C92" w:rsidRPr="00D75069" w:rsidRDefault="00680C92" w:rsidP="002A2CCF">
      <w:pPr>
        <w:pStyle w:val="Sinespaciado"/>
        <w:spacing w:line="276" w:lineRule="auto"/>
        <w:jc w:val="both"/>
        <w:rPr>
          <w:rFonts w:ascii="Arial Narrow" w:hAnsi="Arial Narrow"/>
          <w:bCs/>
          <w:sz w:val="26"/>
          <w:szCs w:val="26"/>
          <w:lang w:val="es-ES_tradnl"/>
        </w:rPr>
      </w:pPr>
    </w:p>
    <w:p w14:paraId="26E18317" w14:textId="77777777" w:rsidR="002E197B" w:rsidRPr="00D75069" w:rsidRDefault="00680C92" w:rsidP="002A2CCF">
      <w:pPr>
        <w:pStyle w:val="Sinespaciado"/>
        <w:spacing w:line="276" w:lineRule="auto"/>
        <w:jc w:val="both"/>
        <w:rPr>
          <w:rFonts w:ascii="Arial Narrow" w:hAnsi="Arial Narrow"/>
          <w:sz w:val="26"/>
          <w:szCs w:val="26"/>
          <w:lang w:val="es-ES_tradnl"/>
        </w:rPr>
      </w:pPr>
      <w:r w:rsidRPr="00D75069">
        <w:rPr>
          <w:rFonts w:ascii="Arial Narrow" w:hAnsi="Arial Narrow"/>
          <w:b/>
          <w:sz w:val="26"/>
          <w:szCs w:val="26"/>
          <w:lang w:val="es-ES_tradnl"/>
        </w:rPr>
        <w:t>5.5.</w:t>
      </w:r>
      <w:r w:rsidRPr="00D75069">
        <w:rPr>
          <w:rFonts w:ascii="Arial Narrow" w:hAnsi="Arial Narrow"/>
          <w:sz w:val="26"/>
          <w:szCs w:val="26"/>
          <w:lang w:val="es-ES_tradnl"/>
        </w:rPr>
        <w:t xml:space="preserve"> El 24 de agosto último se profirió auto en el que se decidió no reponer aquel</w:t>
      </w:r>
      <w:r w:rsidR="00E708FA" w:rsidRPr="00D75069">
        <w:rPr>
          <w:rFonts w:ascii="Arial Narrow" w:hAnsi="Arial Narrow"/>
          <w:sz w:val="26"/>
          <w:szCs w:val="26"/>
          <w:lang w:val="es-ES_tradnl"/>
        </w:rPr>
        <w:t>la providencia</w:t>
      </w:r>
      <w:r w:rsidRPr="00D75069">
        <w:rPr>
          <w:rFonts w:ascii="Arial Narrow" w:hAnsi="Arial Narrow"/>
          <w:sz w:val="26"/>
          <w:szCs w:val="26"/>
          <w:lang w:val="es-ES_tradnl"/>
        </w:rPr>
        <w:t>. Se argumentó que la inconformidad que plantea el demandante se limita a mencionar que cumple con el artículo 18 de la Ley 472 de 1998</w:t>
      </w:r>
      <w:r w:rsidR="000651FE" w:rsidRPr="00D75069">
        <w:rPr>
          <w:rFonts w:ascii="Arial Narrow" w:hAnsi="Arial Narrow"/>
          <w:sz w:val="26"/>
          <w:szCs w:val="26"/>
          <w:lang w:val="es-ES_tradnl"/>
        </w:rPr>
        <w:t xml:space="preserve"> y no tiene en cuenta la exigencia del</w:t>
      </w:r>
      <w:r w:rsidRPr="00D75069">
        <w:rPr>
          <w:rFonts w:ascii="Arial Narrow" w:hAnsi="Arial Narrow"/>
          <w:sz w:val="26"/>
          <w:szCs w:val="26"/>
          <w:lang w:val="es-ES_tradnl"/>
        </w:rPr>
        <w:t xml:space="preserve"> inciso 4° del artículo 6° del Decreto 806 de</w:t>
      </w:r>
      <w:r w:rsidR="000651FE" w:rsidRPr="00D75069">
        <w:rPr>
          <w:rFonts w:ascii="Arial Narrow" w:hAnsi="Arial Narrow"/>
          <w:sz w:val="26"/>
          <w:szCs w:val="26"/>
          <w:lang w:val="es-ES_tradnl"/>
        </w:rPr>
        <w:t xml:space="preserve"> 2020,</w:t>
      </w:r>
      <w:r w:rsidR="00B0464B" w:rsidRPr="00D75069">
        <w:rPr>
          <w:rFonts w:ascii="Arial Narrow" w:hAnsi="Arial Narrow"/>
          <w:sz w:val="26"/>
          <w:szCs w:val="26"/>
          <w:lang w:val="es-ES_tradnl"/>
        </w:rPr>
        <w:t xml:space="preserve"> respecto al envió de copia de la demanda al correo electrónico de las accionadas,</w:t>
      </w:r>
      <w:r w:rsidR="000651FE" w:rsidRPr="00D75069">
        <w:rPr>
          <w:rFonts w:ascii="Arial Narrow" w:hAnsi="Arial Narrow"/>
          <w:sz w:val="26"/>
          <w:szCs w:val="26"/>
          <w:lang w:val="es-ES_tradnl"/>
        </w:rPr>
        <w:t xml:space="preserve"> </w:t>
      </w:r>
      <w:r w:rsidR="0057518F" w:rsidRPr="00D75069">
        <w:rPr>
          <w:rFonts w:ascii="Arial Narrow" w:hAnsi="Arial Narrow"/>
          <w:sz w:val="26"/>
          <w:szCs w:val="26"/>
          <w:lang w:val="es-ES_tradnl"/>
        </w:rPr>
        <w:t>disposición</w:t>
      </w:r>
      <w:r w:rsidR="000651FE" w:rsidRPr="00D75069">
        <w:rPr>
          <w:rFonts w:ascii="Arial Narrow" w:hAnsi="Arial Narrow"/>
          <w:sz w:val="26"/>
          <w:szCs w:val="26"/>
          <w:lang w:val="es-ES_tradnl"/>
        </w:rPr>
        <w:t xml:space="preserve"> aplicable a toda clase de asuntos</w:t>
      </w:r>
      <w:r w:rsidR="00747756" w:rsidRPr="00D75069">
        <w:rPr>
          <w:rStyle w:val="Refdenotaalpie"/>
          <w:rFonts w:ascii="Arial Narrow" w:hAnsi="Arial Narrow"/>
          <w:sz w:val="26"/>
          <w:szCs w:val="26"/>
          <w:lang w:val="es-ES_tradnl"/>
        </w:rPr>
        <w:footnoteReference w:id="14"/>
      </w:r>
      <w:r w:rsidR="000651FE" w:rsidRPr="00D75069">
        <w:rPr>
          <w:rFonts w:ascii="Arial Narrow" w:hAnsi="Arial Narrow"/>
          <w:sz w:val="26"/>
          <w:szCs w:val="26"/>
          <w:lang w:val="es-ES_tradnl"/>
        </w:rPr>
        <w:t>.</w:t>
      </w:r>
    </w:p>
    <w:p w14:paraId="346EDA0E" w14:textId="77777777" w:rsidR="00747756" w:rsidRPr="00D75069" w:rsidRDefault="00747756" w:rsidP="002A2CCF">
      <w:pPr>
        <w:pStyle w:val="Sinespaciado"/>
        <w:spacing w:line="276" w:lineRule="auto"/>
        <w:jc w:val="both"/>
        <w:rPr>
          <w:rFonts w:ascii="Arial Narrow" w:hAnsi="Arial Narrow"/>
          <w:bCs/>
          <w:sz w:val="26"/>
          <w:szCs w:val="26"/>
          <w:lang w:val="es-ES_tradnl"/>
        </w:rPr>
      </w:pPr>
    </w:p>
    <w:p w14:paraId="1A5C5F34" w14:textId="45EB9BDC" w:rsidR="005C66C9"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b/>
          <w:sz w:val="26"/>
          <w:szCs w:val="26"/>
          <w:lang w:val="es-ES_tradnl"/>
        </w:rPr>
        <w:t xml:space="preserve">6. </w:t>
      </w:r>
      <w:r w:rsidRPr="00D75069">
        <w:rPr>
          <w:rFonts w:ascii="Arial Narrow" w:hAnsi="Arial Narrow"/>
          <w:sz w:val="26"/>
          <w:szCs w:val="26"/>
          <w:lang w:val="es-ES_tradnl"/>
        </w:rPr>
        <w:t>De cara al estudio de los requisitos generales de procedencia, l</w:t>
      </w:r>
      <w:r w:rsidR="00E708FA" w:rsidRPr="00D75069">
        <w:rPr>
          <w:rFonts w:ascii="Arial Narrow" w:hAnsi="Arial Narrow"/>
          <w:sz w:val="26"/>
          <w:szCs w:val="26"/>
          <w:lang w:val="es-ES_tradnl"/>
        </w:rPr>
        <w:t>as anteriores pruebas demuestran</w:t>
      </w:r>
      <w:r w:rsidRPr="00D75069">
        <w:rPr>
          <w:rFonts w:ascii="Arial Narrow" w:hAnsi="Arial Narrow"/>
          <w:sz w:val="26"/>
          <w:szCs w:val="26"/>
          <w:lang w:val="es-ES_tradnl"/>
        </w:rPr>
        <w:t xml:space="preserve"> su satisfacción ya que contra la decisión judicial aquí debatida se agotó la vía ordinaria con la formulación de</w:t>
      </w:r>
      <w:r w:rsidR="00747756" w:rsidRPr="00D75069">
        <w:rPr>
          <w:rFonts w:ascii="Arial Narrow" w:hAnsi="Arial Narrow"/>
          <w:sz w:val="26"/>
          <w:szCs w:val="26"/>
          <w:lang w:val="es-ES_tradnl"/>
        </w:rPr>
        <w:t>l recurso disponible</w:t>
      </w:r>
      <w:r w:rsidR="00192EF3" w:rsidRPr="00D75069">
        <w:rPr>
          <w:rFonts w:ascii="Arial Narrow" w:hAnsi="Arial Narrow"/>
          <w:sz w:val="26"/>
          <w:szCs w:val="26"/>
          <w:lang w:val="es-ES_tradnl"/>
        </w:rPr>
        <w:t>,</w:t>
      </w:r>
      <w:r w:rsidRPr="00D75069">
        <w:rPr>
          <w:rFonts w:ascii="Arial Narrow" w:hAnsi="Arial Narrow"/>
          <w:sz w:val="26"/>
          <w:szCs w:val="26"/>
          <w:lang w:val="es-ES_tradnl"/>
        </w:rPr>
        <w:t xml:space="preserve"> y al haberse resuelto e</w:t>
      </w:r>
      <w:r w:rsidR="0057518F" w:rsidRPr="00D75069">
        <w:rPr>
          <w:rFonts w:ascii="Arial Narrow" w:hAnsi="Arial Narrow"/>
          <w:sz w:val="26"/>
          <w:szCs w:val="26"/>
          <w:lang w:val="es-ES_tradnl"/>
        </w:rPr>
        <w:t>ste</w:t>
      </w:r>
      <w:r w:rsidR="00747756" w:rsidRPr="00D75069">
        <w:rPr>
          <w:rFonts w:ascii="Arial Narrow" w:hAnsi="Arial Narrow"/>
          <w:sz w:val="26"/>
          <w:szCs w:val="26"/>
          <w:lang w:val="es-ES_tradnl"/>
        </w:rPr>
        <w:t xml:space="preserve"> mediante </w:t>
      </w:r>
      <w:r w:rsidR="0057518F" w:rsidRPr="00D75069">
        <w:rPr>
          <w:rFonts w:ascii="Arial Narrow" w:hAnsi="Arial Narrow"/>
          <w:sz w:val="26"/>
          <w:szCs w:val="26"/>
          <w:lang w:val="es-ES_tradnl"/>
        </w:rPr>
        <w:t>providencia del 24</w:t>
      </w:r>
      <w:r w:rsidRPr="00D75069">
        <w:rPr>
          <w:rFonts w:ascii="Arial Narrow" w:hAnsi="Arial Narrow"/>
          <w:sz w:val="26"/>
          <w:szCs w:val="26"/>
          <w:lang w:val="es-ES_tradnl"/>
        </w:rPr>
        <w:t xml:space="preserve"> de</w:t>
      </w:r>
      <w:r w:rsidR="00747756" w:rsidRPr="00D75069">
        <w:rPr>
          <w:rFonts w:ascii="Arial Narrow" w:hAnsi="Arial Narrow"/>
          <w:sz w:val="26"/>
          <w:szCs w:val="26"/>
          <w:lang w:val="es-ES_tradnl"/>
        </w:rPr>
        <w:t xml:space="preserve"> agosto </w:t>
      </w:r>
      <w:r w:rsidRPr="00D75069">
        <w:rPr>
          <w:rFonts w:ascii="Arial Narrow" w:hAnsi="Arial Narrow"/>
          <w:sz w:val="26"/>
          <w:szCs w:val="26"/>
          <w:lang w:val="es-ES_tradnl"/>
        </w:rPr>
        <w:t>pasado, se colma el presupuesto de la inmediatez.</w:t>
      </w:r>
      <w:r w:rsidR="005C66C9" w:rsidRPr="00D75069">
        <w:rPr>
          <w:rFonts w:ascii="Arial Narrow" w:hAnsi="Arial Narrow"/>
          <w:sz w:val="26"/>
          <w:szCs w:val="26"/>
          <w:lang w:val="es-ES_tradnl"/>
        </w:rPr>
        <w:t xml:space="preserve"> Si bien pudiera esgrimirse que </w:t>
      </w:r>
      <w:r w:rsidR="0051152D" w:rsidRPr="00D75069">
        <w:rPr>
          <w:rFonts w:ascii="Arial Narrow" w:hAnsi="Arial Narrow"/>
          <w:sz w:val="26"/>
          <w:szCs w:val="26"/>
          <w:lang w:val="es-ES_tradnl"/>
        </w:rPr>
        <w:t xml:space="preserve">el asunto que acá se controvierte no fue canalizado </w:t>
      </w:r>
      <w:r w:rsidR="00BB465A" w:rsidRPr="00D75069">
        <w:rPr>
          <w:rFonts w:ascii="Arial Narrow" w:hAnsi="Arial Narrow"/>
          <w:sz w:val="26"/>
          <w:szCs w:val="26"/>
          <w:lang w:val="es-ES_tradnl"/>
        </w:rPr>
        <w:t xml:space="preserve">por el actor mediante </w:t>
      </w:r>
      <w:r w:rsidR="0051152D" w:rsidRPr="00D75069">
        <w:rPr>
          <w:rFonts w:ascii="Arial Narrow" w:hAnsi="Arial Narrow"/>
          <w:sz w:val="26"/>
          <w:szCs w:val="26"/>
          <w:lang w:val="es-ES_tradnl"/>
        </w:rPr>
        <w:t xml:space="preserve">el recurso de reposición, por lo que </w:t>
      </w:r>
      <w:r w:rsidR="002E23E5" w:rsidRPr="00D75069">
        <w:rPr>
          <w:rFonts w:ascii="Arial Narrow" w:hAnsi="Arial Narrow"/>
          <w:sz w:val="26"/>
          <w:szCs w:val="26"/>
          <w:lang w:val="es-ES_tradnl"/>
        </w:rPr>
        <w:t>la tutela resulta</w:t>
      </w:r>
      <w:r w:rsidR="00BB465A" w:rsidRPr="00D75069">
        <w:rPr>
          <w:rFonts w:ascii="Arial Narrow" w:hAnsi="Arial Narrow"/>
          <w:sz w:val="26"/>
          <w:szCs w:val="26"/>
          <w:lang w:val="es-ES_tradnl"/>
        </w:rPr>
        <w:t>ría</w:t>
      </w:r>
      <w:r w:rsidR="002E23E5" w:rsidRPr="00D75069">
        <w:rPr>
          <w:rFonts w:ascii="Arial Narrow" w:hAnsi="Arial Narrow"/>
          <w:sz w:val="26"/>
          <w:szCs w:val="26"/>
          <w:lang w:val="es-ES_tradnl"/>
        </w:rPr>
        <w:t xml:space="preserve"> improcedente</w:t>
      </w:r>
      <w:r w:rsidR="001C3D56" w:rsidRPr="00D75069">
        <w:rPr>
          <w:rFonts w:ascii="Arial Narrow" w:hAnsi="Arial Narrow"/>
          <w:sz w:val="26"/>
          <w:szCs w:val="26"/>
          <w:lang w:val="es-ES_tradnl"/>
        </w:rPr>
        <w:t xml:space="preserve"> al </w:t>
      </w:r>
      <w:r w:rsidR="006A1B17" w:rsidRPr="00D75069">
        <w:rPr>
          <w:rFonts w:ascii="Arial Narrow" w:hAnsi="Arial Narrow"/>
          <w:sz w:val="26"/>
          <w:szCs w:val="26"/>
          <w:lang w:val="es-ES_tradnl"/>
        </w:rPr>
        <w:t>inc</w:t>
      </w:r>
      <w:r w:rsidR="001C3D56" w:rsidRPr="00D75069">
        <w:rPr>
          <w:rFonts w:ascii="Arial Narrow" w:hAnsi="Arial Narrow"/>
          <w:sz w:val="26"/>
          <w:szCs w:val="26"/>
          <w:lang w:val="es-ES_tradnl"/>
        </w:rPr>
        <w:t>umplirse con el requisitos de la subsidiariedad</w:t>
      </w:r>
      <w:r w:rsidR="002E23E5" w:rsidRPr="00D75069">
        <w:rPr>
          <w:rFonts w:ascii="Arial Narrow" w:hAnsi="Arial Narrow"/>
          <w:sz w:val="26"/>
          <w:szCs w:val="26"/>
          <w:lang w:val="es-ES_tradnl"/>
        </w:rPr>
        <w:t xml:space="preserve">, lo cierto es que se evidencia que </w:t>
      </w:r>
      <w:r w:rsidR="001C3D56" w:rsidRPr="00D75069">
        <w:rPr>
          <w:rFonts w:ascii="Arial Narrow" w:hAnsi="Arial Narrow"/>
          <w:sz w:val="26"/>
          <w:szCs w:val="26"/>
          <w:lang w:val="es-ES_tradnl"/>
        </w:rPr>
        <w:t xml:space="preserve">aunque en forma </w:t>
      </w:r>
      <w:r w:rsidR="002E23E5" w:rsidRPr="00D75069">
        <w:rPr>
          <w:rFonts w:ascii="Arial Narrow" w:hAnsi="Arial Narrow"/>
          <w:sz w:val="26"/>
          <w:szCs w:val="26"/>
          <w:lang w:val="es-ES_tradnl"/>
        </w:rPr>
        <w:t>escueta</w:t>
      </w:r>
      <w:r w:rsidR="001C3D56" w:rsidRPr="00D75069">
        <w:rPr>
          <w:rFonts w:ascii="Arial Narrow" w:hAnsi="Arial Narrow"/>
          <w:sz w:val="26"/>
          <w:szCs w:val="26"/>
          <w:lang w:val="es-ES_tradnl"/>
        </w:rPr>
        <w:t xml:space="preserve">, en el recurso de reposición se planteó el </w:t>
      </w:r>
      <w:r w:rsidR="00EB3B99" w:rsidRPr="00D75069">
        <w:rPr>
          <w:rFonts w:ascii="Arial Narrow" w:hAnsi="Arial Narrow"/>
          <w:sz w:val="26"/>
          <w:szCs w:val="26"/>
          <w:lang w:val="es-ES_tradnl"/>
        </w:rPr>
        <w:t>carácter especial y autónomo de la Ley 472 de 1998</w:t>
      </w:r>
      <w:r w:rsidR="00FE330D" w:rsidRPr="00D75069">
        <w:rPr>
          <w:rFonts w:ascii="Arial Narrow" w:hAnsi="Arial Narrow"/>
          <w:sz w:val="26"/>
          <w:szCs w:val="26"/>
          <w:lang w:val="es-ES_tradnl"/>
        </w:rPr>
        <w:t>,</w:t>
      </w:r>
      <w:r w:rsidR="001C3D56" w:rsidRPr="00D75069">
        <w:rPr>
          <w:rFonts w:ascii="Arial Narrow" w:hAnsi="Arial Narrow"/>
          <w:sz w:val="26"/>
          <w:szCs w:val="26"/>
          <w:lang w:val="es-ES_tradnl"/>
        </w:rPr>
        <w:t xml:space="preserve"> que sin duda </w:t>
      </w:r>
      <w:r w:rsidR="00FE330D" w:rsidRPr="00D75069">
        <w:rPr>
          <w:rFonts w:ascii="Arial Narrow" w:hAnsi="Arial Narrow"/>
          <w:sz w:val="26"/>
          <w:szCs w:val="26"/>
          <w:lang w:val="es-ES_tradnl"/>
        </w:rPr>
        <w:t xml:space="preserve">sintetiza el desacuerdo del actor frente a la aplicación de normas distintas, como el </w:t>
      </w:r>
      <w:r w:rsidR="001C3D56" w:rsidRPr="00D75069">
        <w:rPr>
          <w:rFonts w:ascii="Arial Narrow" w:hAnsi="Arial Narrow"/>
          <w:sz w:val="26"/>
          <w:szCs w:val="26"/>
          <w:lang w:val="es-ES_tradnl"/>
        </w:rPr>
        <w:t>D</w:t>
      </w:r>
      <w:r w:rsidR="00FE330D" w:rsidRPr="00D75069">
        <w:rPr>
          <w:rFonts w:ascii="Arial Narrow" w:hAnsi="Arial Narrow"/>
          <w:sz w:val="26"/>
          <w:szCs w:val="26"/>
          <w:lang w:val="es-ES_tradnl"/>
        </w:rPr>
        <w:t>ecreto 806</w:t>
      </w:r>
      <w:r w:rsidR="001C3D56" w:rsidRPr="00D75069">
        <w:rPr>
          <w:rFonts w:ascii="Arial Narrow" w:hAnsi="Arial Narrow"/>
          <w:sz w:val="26"/>
          <w:szCs w:val="26"/>
          <w:lang w:val="es-ES_tradnl"/>
        </w:rPr>
        <w:t xml:space="preserve"> de 2020</w:t>
      </w:r>
      <w:r w:rsidR="00FE330D" w:rsidRPr="00D75069">
        <w:rPr>
          <w:rFonts w:ascii="Arial Narrow" w:hAnsi="Arial Narrow"/>
          <w:sz w:val="26"/>
          <w:szCs w:val="26"/>
          <w:lang w:val="es-ES_tradnl"/>
        </w:rPr>
        <w:t>. Así lo entend</w:t>
      </w:r>
      <w:r w:rsidR="001C3D56" w:rsidRPr="00D75069">
        <w:rPr>
          <w:rFonts w:ascii="Arial Narrow" w:hAnsi="Arial Narrow"/>
          <w:sz w:val="26"/>
          <w:szCs w:val="26"/>
          <w:lang w:val="es-ES_tradnl"/>
        </w:rPr>
        <w:t xml:space="preserve">ió </w:t>
      </w:r>
      <w:r w:rsidR="00FE330D" w:rsidRPr="00D75069">
        <w:rPr>
          <w:rFonts w:ascii="Arial Narrow" w:hAnsi="Arial Narrow"/>
          <w:sz w:val="26"/>
          <w:szCs w:val="26"/>
          <w:lang w:val="es-ES_tradnl"/>
        </w:rPr>
        <w:t>el juzgado accionado, al dar respuesta a</w:t>
      </w:r>
      <w:r w:rsidR="001C3D56" w:rsidRPr="00D75069">
        <w:rPr>
          <w:rFonts w:ascii="Arial Narrow" w:hAnsi="Arial Narrow"/>
          <w:sz w:val="26"/>
          <w:szCs w:val="26"/>
          <w:lang w:val="es-ES_tradnl"/>
        </w:rPr>
        <w:t xml:space="preserve">l recurso </w:t>
      </w:r>
      <w:r w:rsidR="00FE330D" w:rsidRPr="00D75069">
        <w:rPr>
          <w:rFonts w:ascii="Arial Narrow" w:hAnsi="Arial Narrow"/>
          <w:sz w:val="26"/>
          <w:szCs w:val="26"/>
          <w:lang w:val="es-ES_tradnl"/>
        </w:rPr>
        <w:t>señalando que dar cumplimiento al inciso 4o del artículo 6o del Decreto 806 de 2020 "</w:t>
      </w:r>
      <w:r w:rsidR="00FE330D" w:rsidRPr="00CF214B">
        <w:rPr>
          <w:rFonts w:ascii="Arial Narrow" w:hAnsi="Arial Narrow"/>
          <w:i/>
          <w:iCs/>
          <w:sz w:val="24"/>
          <w:szCs w:val="26"/>
          <w:lang w:val="es-ES_tradnl"/>
        </w:rPr>
        <w:t>se requiere en cualquier jurisdicción, incluyendo obviamente las acciones populares</w:t>
      </w:r>
      <w:r w:rsidR="00FE330D" w:rsidRPr="00D75069">
        <w:rPr>
          <w:rFonts w:ascii="Arial Narrow" w:hAnsi="Arial Narrow"/>
          <w:sz w:val="26"/>
          <w:szCs w:val="26"/>
          <w:lang w:val="es-ES_tradnl"/>
        </w:rPr>
        <w:t>".</w:t>
      </w:r>
      <w:r w:rsidR="001C3D56" w:rsidRPr="00D75069">
        <w:rPr>
          <w:rFonts w:ascii="Arial Narrow" w:hAnsi="Arial Narrow"/>
          <w:sz w:val="26"/>
          <w:szCs w:val="26"/>
          <w:lang w:val="es-ES_tradnl"/>
        </w:rPr>
        <w:t xml:space="preserve"> En esos términos, entiende la Sala, </w:t>
      </w:r>
      <w:r w:rsidR="00FE330D" w:rsidRPr="00D75069">
        <w:rPr>
          <w:rFonts w:ascii="Arial Narrow" w:hAnsi="Arial Narrow"/>
          <w:sz w:val="26"/>
          <w:szCs w:val="26"/>
          <w:lang w:val="es-ES_tradnl"/>
        </w:rPr>
        <w:t xml:space="preserve">ese </w:t>
      </w:r>
      <w:r w:rsidR="00FE330D" w:rsidRPr="00D75069">
        <w:rPr>
          <w:rFonts w:ascii="Arial Narrow" w:hAnsi="Arial Narrow"/>
          <w:sz w:val="26"/>
          <w:szCs w:val="26"/>
          <w:lang w:val="es-ES_tradnl"/>
        </w:rPr>
        <w:lastRenderedPageBreak/>
        <w:t xml:space="preserve">debate </w:t>
      </w:r>
      <w:r w:rsidR="001C3D56" w:rsidRPr="00D75069">
        <w:rPr>
          <w:rFonts w:ascii="Arial Narrow" w:hAnsi="Arial Narrow"/>
          <w:sz w:val="26"/>
          <w:szCs w:val="26"/>
          <w:lang w:val="es-ES_tradnl"/>
        </w:rPr>
        <w:t>que acá se plantea qued</w:t>
      </w:r>
      <w:r w:rsidR="00AA71CD" w:rsidRPr="00D75069">
        <w:rPr>
          <w:rFonts w:ascii="Arial Narrow" w:hAnsi="Arial Narrow"/>
          <w:sz w:val="26"/>
          <w:szCs w:val="26"/>
          <w:lang w:val="es-ES_tradnl"/>
        </w:rPr>
        <w:t>ó</w:t>
      </w:r>
      <w:r w:rsidR="001C3D56" w:rsidRPr="00D75069">
        <w:rPr>
          <w:rFonts w:ascii="Arial Narrow" w:hAnsi="Arial Narrow"/>
          <w:sz w:val="26"/>
          <w:szCs w:val="26"/>
          <w:lang w:val="es-ES_tradnl"/>
        </w:rPr>
        <w:t xml:space="preserve"> zanjado dentro </w:t>
      </w:r>
      <w:r w:rsidR="00FE330D" w:rsidRPr="00D75069">
        <w:rPr>
          <w:rFonts w:ascii="Arial Narrow" w:hAnsi="Arial Narrow"/>
          <w:sz w:val="26"/>
          <w:szCs w:val="26"/>
          <w:lang w:val="es-ES_tradnl"/>
        </w:rPr>
        <w:t>de</w:t>
      </w:r>
      <w:r w:rsidR="001C3D56" w:rsidRPr="00D75069">
        <w:rPr>
          <w:rFonts w:ascii="Arial Narrow" w:hAnsi="Arial Narrow"/>
          <w:sz w:val="26"/>
          <w:szCs w:val="26"/>
          <w:lang w:val="es-ES_tradnl"/>
        </w:rPr>
        <w:t xml:space="preserve"> </w:t>
      </w:r>
      <w:r w:rsidR="00FE330D" w:rsidRPr="00D75069">
        <w:rPr>
          <w:rFonts w:ascii="Arial Narrow" w:hAnsi="Arial Narrow"/>
          <w:sz w:val="26"/>
          <w:szCs w:val="26"/>
          <w:lang w:val="es-ES_tradnl"/>
        </w:rPr>
        <w:t>l</w:t>
      </w:r>
      <w:r w:rsidR="001C3D56" w:rsidRPr="00D75069">
        <w:rPr>
          <w:rFonts w:ascii="Arial Narrow" w:hAnsi="Arial Narrow"/>
          <w:sz w:val="26"/>
          <w:szCs w:val="26"/>
          <w:lang w:val="es-ES_tradnl"/>
        </w:rPr>
        <w:t xml:space="preserve">a acción popular, </w:t>
      </w:r>
      <w:r w:rsidR="00FE330D" w:rsidRPr="00D75069">
        <w:rPr>
          <w:rFonts w:ascii="Arial Narrow" w:hAnsi="Arial Narrow"/>
          <w:sz w:val="26"/>
          <w:szCs w:val="26"/>
          <w:lang w:val="es-ES_tradnl"/>
        </w:rPr>
        <w:t>con ocasión del recurso de reposición</w:t>
      </w:r>
      <w:r w:rsidR="001C3D56" w:rsidRPr="00D75069">
        <w:rPr>
          <w:rFonts w:ascii="Arial Narrow" w:hAnsi="Arial Narrow"/>
          <w:sz w:val="26"/>
          <w:szCs w:val="26"/>
          <w:lang w:val="es-ES_tradnl"/>
        </w:rPr>
        <w:t xml:space="preserve"> que propuso el demandante</w:t>
      </w:r>
      <w:r w:rsidR="00FE330D" w:rsidRPr="00D75069">
        <w:rPr>
          <w:rFonts w:ascii="Arial Narrow" w:hAnsi="Arial Narrow"/>
          <w:sz w:val="26"/>
          <w:szCs w:val="26"/>
          <w:lang w:val="es-ES_tradnl"/>
        </w:rPr>
        <w:t>.</w:t>
      </w:r>
    </w:p>
    <w:p w14:paraId="4559DD3F" w14:textId="77777777" w:rsidR="005C66C9" w:rsidRPr="00D75069" w:rsidRDefault="005C66C9" w:rsidP="002A2CCF">
      <w:pPr>
        <w:pStyle w:val="Sinespaciado"/>
        <w:spacing w:line="276" w:lineRule="auto"/>
        <w:jc w:val="both"/>
        <w:rPr>
          <w:rFonts w:ascii="Arial Narrow" w:hAnsi="Arial Narrow"/>
          <w:sz w:val="26"/>
          <w:szCs w:val="26"/>
          <w:lang w:val="es-ES_tradnl"/>
        </w:rPr>
      </w:pPr>
    </w:p>
    <w:p w14:paraId="1BB0169E" w14:textId="5156C979" w:rsidR="00A04743" w:rsidRPr="00D75069" w:rsidRDefault="001C3D56"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 xml:space="preserve">Retomando el análisis de los requisitos generales de procedibilidad, se </w:t>
      </w:r>
      <w:r w:rsidR="00BB465A" w:rsidRPr="00D75069">
        <w:rPr>
          <w:rFonts w:ascii="Arial Narrow" w:hAnsi="Arial Narrow"/>
          <w:sz w:val="26"/>
          <w:szCs w:val="26"/>
          <w:lang w:val="es-ES_tradnl"/>
        </w:rPr>
        <w:t>encuentra,</w:t>
      </w:r>
      <w:r w:rsidRPr="00D75069">
        <w:rPr>
          <w:rFonts w:ascii="Arial Narrow" w:hAnsi="Arial Narrow"/>
          <w:sz w:val="26"/>
          <w:szCs w:val="26"/>
          <w:lang w:val="es-ES_tradnl"/>
        </w:rPr>
        <w:t xml:space="preserve"> a</w:t>
      </w:r>
      <w:r w:rsidR="00A04743" w:rsidRPr="00D75069">
        <w:rPr>
          <w:rFonts w:ascii="Arial Narrow" w:hAnsi="Arial Narrow"/>
          <w:sz w:val="26"/>
          <w:szCs w:val="26"/>
          <w:lang w:val="es-ES_tradnl"/>
        </w:rPr>
        <w:t xml:space="preserve">demás, </w:t>
      </w:r>
      <w:r w:rsidR="00BB465A" w:rsidRPr="00D75069">
        <w:rPr>
          <w:rFonts w:ascii="Arial Narrow" w:hAnsi="Arial Narrow"/>
          <w:sz w:val="26"/>
          <w:szCs w:val="26"/>
          <w:lang w:val="es-ES_tradnl"/>
        </w:rPr>
        <w:t xml:space="preserve">que </w:t>
      </w:r>
      <w:r w:rsidR="00A04743" w:rsidRPr="00D75069">
        <w:rPr>
          <w:rFonts w:ascii="Arial Narrow" w:hAnsi="Arial Narrow"/>
          <w:sz w:val="26"/>
          <w:szCs w:val="26"/>
          <w:lang w:val="es-ES_tradnl"/>
        </w:rPr>
        <w:t>la irregularidad procesal alegada tiene un efecto determinante en la decisión que se reprocha. De otro lado, la cuestión tiene relevancia constitucional, al estar involucrado el derecho a tener un debido proceso, se han identificado los hechos que generan la supuesta vulneración y no se discute fallo de acción de tutela.</w:t>
      </w:r>
    </w:p>
    <w:p w14:paraId="4D606278" w14:textId="77777777" w:rsidR="00A04743" w:rsidRPr="00D75069" w:rsidRDefault="00A04743" w:rsidP="002A2CCF">
      <w:pPr>
        <w:pStyle w:val="Sinespaciado"/>
        <w:spacing w:line="276" w:lineRule="auto"/>
        <w:jc w:val="both"/>
        <w:rPr>
          <w:rFonts w:ascii="Arial Narrow" w:hAnsi="Arial Narrow"/>
          <w:sz w:val="26"/>
          <w:szCs w:val="26"/>
          <w:lang w:val="es-ES_tradnl"/>
        </w:rPr>
      </w:pPr>
    </w:p>
    <w:p w14:paraId="05AE82D8" w14:textId="77777777" w:rsidR="00A04743"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b/>
          <w:bCs/>
          <w:sz w:val="26"/>
          <w:szCs w:val="26"/>
          <w:lang w:val="es-ES_tradnl"/>
        </w:rPr>
        <w:t xml:space="preserve">7. </w:t>
      </w:r>
      <w:r w:rsidRPr="00D75069">
        <w:rPr>
          <w:rFonts w:ascii="Arial Narrow" w:hAnsi="Arial Narrow"/>
          <w:sz w:val="26"/>
          <w:szCs w:val="26"/>
          <w:lang w:val="es-ES_tradnl"/>
        </w:rPr>
        <w:t>Superado lo anterior, queda habilita la Sala para estudiar de fondo la cuestión.</w:t>
      </w:r>
    </w:p>
    <w:p w14:paraId="12DE4581" w14:textId="77777777" w:rsidR="00A04743" w:rsidRPr="00D75069" w:rsidRDefault="00A04743" w:rsidP="002A2CCF">
      <w:pPr>
        <w:pStyle w:val="Sinespaciado"/>
        <w:spacing w:line="276" w:lineRule="auto"/>
        <w:jc w:val="both"/>
        <w:rPr>
          <w:rFonts w:ascii="Arial Narrow" w:hAnsi="Arial Narrow"/>
          <w:sz w:val="26"/>
          <w:szCs w:val="26"/>
          <w:lang w:val="es-ES_tradnl"/>
        </w:rPr>
      </w:pPr>
    </w:p>
    <w:p w14:paraId="741D1FB4" w14:textId="77777777" w:rsidR="00A04743" w:rsidRPr="00D75069" w:rsidRDefault="00A04743" w:rsidP="002A2CCF">
      <w:pPr>
        <w:pStyle w:val="Sinespaciado"/>
        <w:spacing w:line="276" w:lineRule="auto"/>
        <w:jc w:val="both"/>
        <w:rPr>
          <w:rFonts w:ascii="Arial Narrow" w:hAnsi="Arial Narrow"/>
          <w:i/>
          <w:sz w:val="26"/>
          <w:szCs w:val="26"/>
          <w:lang w:val="es-ES_tradnl"/>
        </w:rPr>
      </w:pPr>
      <w:r w:rsidRPr="00D75069">
        <w:rPr>
          <w:rFonts w:ascii="Arial Narrow" w:hAnsi="Arial Narrow"/>
          <w:b/>
          <w:bCs/>
          <w:sz w:val="26"/>
          <w:szCs w:val="26"/>
          <w:lang w:val="es-ES_tradnl"/>
        </w:rPr>
        <w:t>7.1.</w:t>
      </w:r>
      <w:r w:rsidRPr="00D75069">
        <w:rPr>
          <w:rFonts w:ascii="Arial Narrow" w:hAnsi="Arial Narrow"/>
          <w:spacing w:val="-2"/>
          <w:sz w:val="26"/>
          <w:szCs w:val="26"/>
          <w:lang w:val="es-ES_tradnl"/>
        </w:rPr>
        <w:t xml:space="preserve"> </w:t>
      </w:r>
      <w:r w:rsidRPr="00D75069">
        <w:rPr>
          <w:rFonts w:ascii="Arial Narrow" w:hAnsi="Arial Narrow"/>
          <w:sz w:val="26"/>
          <w:szCs w:val="26"/>
          <w:lang w:val="es-ES_tradn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w:t>
      </w:r>
      <w:r w:rsidRPr="00CF214B">
        <w:rPr>
          <w:rFonts w:ascii="Arial Narrow" w:hAnsi="Arial Narrow"/>
          <w:sz w:val="24"/>
          <w:szCs w:val="26"/>
          <w:lang w:val="es-ES_tradnl"/>
        </w:rPr>
        <w:t>…</w:t>
      </w:r>
      <w:r w:rsidRPr="00CF214B">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Pr="00D75069">
        <w:rPr>
          <w:rFonts w:ascii="Arial Narrow" w:hAnsi="Arial Narrow"/>
          <w:i/>
          <w:sz w:val="26"/>
          <w:szCs w:val="26"/>
          <w:lang w:val="es-ES_tradnl"/>
        </w:rPr>
        <w:t>”</w:t>
      </w:r>
      <w:r w:rsidRPr="00D75069">
        <w:rPr>
          <w:rStyle w:val="Refdenotaalpie"/>
          <w:rFonts w:ascii="Arial Narrow" w:hAnsi="Arial Narrow"/>
          <w:i/>
          <w:sz w:val="26"/>
          <w:szCs w:val="26"/>
          <w:lang w:val="es-ES_tradnl"/>
        </w:rPr>
        <w:footnoteReference w:id="15"/>
      </w:r>
      <w:r w:rsidRPr="00D75069">
        <w:rPr>
          <w:rFonts w:ascii="Arial Narrow" w:hAnsi="Arial Narrow"/>
          <w:i/>
          <w:sz w:val="26"/>
          <w:szCs w:val="26"/>
          <w:lang w:val="es-ES_tradnl"/>
        </w:rPr>
        <w:t>.</w:t>
      </w:r>
    </w:p>
    <w:p w14:paraId="1C56454A" w14:textId="77777777" w:rsidR="00A04743" w:rsidRPr="00D75069" w:rsidRDefault="00A04743" w:rsidP="002A2CCF">
      <w:pPr>
        <w:pStyle w:val="Sinespaciado"/>
        <w:spacing w:line="276" w:lineRule="auto"/>
        <w:jc w:val="both"/>
        <w:rPr>
          <w:rFonts w:ascii="Arial Narrow" w:hAnsi="Arial Narrow"/>
          <w:sz w:val="26"/>
          <w:szCs w:val="26"/>
          <w:lang w:val="es-ES_tradnl"/>
        </w:rPr>
      </w:pPr>
    </w:p>
    <w:p w14:paraId="34ACD5F7" w14:textId="77777777" w:rsidR="00A04743"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b/>
          <w:bCs/>
          <w:sz w:val="26"/>
          <w:szCs w:val="26"/>
          <w:lang w:val="es-ES_tradnl"/>
        </w:rPr>
        <w:t>7.2.</w:t>
      </w:r>
      <w:r w:rsidR="00747756" w:rsidRPr="00D75069">
        <w:rPr>
          <w:rFonts w:ascii="Arial Narrow" w:hAnsi="Arial Narrow"/>
          <w:sz w:val="26"/>
          <w:szCs w:val="26"/>
          <w:lang w:val="es-ES_tradnl"/>
        </w:rPr>
        <w:t xml:space="preserve"> Se repite que el reproche</w:t>
      </w:r>
      <w:r w:rsidRPr="00D75069">
        <w:rPr>
          <w:rFonts w:ascii="Arial Narrow" w:hAnsi="Arial Narrow"/>
          <w:sz w:val="26"/>
          <w:szCs w:val="26"/>
          <w:lang w:val="es-ES_tradnl"/>
        </w:rPr>
        <w:t xml:space="preserve"> que plantea la parte actora</w:t>
      </w:r>
      <w:r w:rsidR="0057518F" w:rsidRPr="00D75069">
        <w:rPr>
          <w:rFonts w:ascii="Arial Narrow" w:hAnsi="Arial Narrow"/>
          <w:sz w:val="26"/>
          <w:szCs w:val="26"/>
          <w:lang w:val="es-ES_tradnl"/>
        </w:rPr>
        <w:t xml:space="preserve"> tiene que ver con el cumplimiento de los requisitos exigidos para la presentación de la demanda en acciones populares.</w:t>
      </w:r>
      <w:r w:rsidRPr="00D75069">
        <w:rPr>
          <w:rFonts w:ascii="Arial Narrow" w:hAnsi="Arial Narrow"/>
          <w:sz w:val="26"/>
          <w:szCs w:val="26"/>
          <w:lang w:val="es-ES_tradnl"/>
        </w:rPr>
        <w:t xml:space="preserve"> </w:t>
      </w:r>
    </w:p>
    <w:p w14:paraId="65993367" w14:textId="77777777" w:rsidR="0057518F" w:rsidRPr="00D75069" w:rsidRDefault="0057518F" w:rsidP="002A2CCF">
      <w:pPr>
        <w:pStyle w:val="Sinespaciado"/>
        <w:spacing w:line="276" w:lineRule="auto"/>
        <w:jc w:val="both"/>
        <w:rPr>
          <w:rFonts w:ascii="Arial Narrow" w:hAnsi="Arial Narrow"/>
          <w:bCs/>
          <w:sz w:val="26"/>
          <w:szCs w:val="26"/>
          <w:lang w:val="es-ES_tradnl"/>
        </w:rPr>
      </w:pPr>
    </w:p>
    <w:p w14:paraId="4155EBFB" w14:textId="77777777" w:rsidR="00A04743" w:rsidRPr="00D75069" w:rsidRDefault="00A04743" w:rsidP="002A2CCF">
      <w:pPr>
        <w:pStyle w:val="Sinespaciado"/>
        <w:spacing w:line="276" w:lineRule="auto"/>
        <w:jc w:val="both"/>
        <w:rPr>
          <w:rFonts w:ascii="Arial Narrow" w:hAnsi="Arial Narrow"/>
          <w:bCs/>
          <w:sz w:val="26"/>
          <w:szCs w:val="26"/>
          <w:lang w:val="es-ES_tradnl"/>
        </w:rPr>
      </w:pPr>
      <w:r w:rsidRPr="00D75069">
        <w:rPr>
          <w:rFonts w:ascii="Arial Narrow" w:hAnsi="Arial Narrow"/>
          <w:b/>
          <w:sz w:val="26"/>
          <w:szCs w:val="26"/>
          <w:lang w:val="es-ES_tradnl"/>
        </w:rPr>
        <w:t>7.3.</w:t>
      </w:r>
      <w:r w:rsidRPr="00D75069">
        <w:rPr>
          <w:rFonts w:ascii="Arial Narrow" w:hAnsi="Arial Narrow"/>
          <w:bCs/>
          <w:sz w:val="26"/>
          <w:szCs w:val="26"/>
          <w:lang w:val="es-ES_tradnl"/>
        </w:rPr>
        <w:t xml:space="preserve"> Sin embargo, la Sala, a vuelta de revisar las</w:t>
      </w:r>
      <w:r w:rsidR="00747756" w:rsidRPr="00D75069">
        <w:rPr>
          <w:rFonts w:ascii="Arial Narrow" w:hAnsi="Arial Narrow"/>
          <w:bCs/>
          <w:sz w:val="26"/>
          <w:szCs w:val="26"/>
          <w:lang w:val="es-ES_tradnl"/>
        </w:rPr>
        <w:t xml:space="preserve"> decisiones adoptadas por el Juzgado </w:t>
      </w:r>
      <w:r w:rsidR="0057518F" w:rsidRPr="00D75069">
        <w:rPr>
          <w:rFonts w:ascii="Arial Narrow" w:hAnsi="Arial Narrow"/>
          <w:bCs/>
          <w:sz w:val="26"/>
          <w:szCs w:val="26"/>
          <w:lang w:val="es-ES_tradnl"/>
        </w:rPr>
        <w:t>Primero</w:t>
      </w:r>
      <w:r w:rsidRPr="00D75069">
        <w:rPr>
          <w:rFonts w:ascii="Arial Narrow" w:hAnsi="Arial Narrow"/>
          <w:bCs/>
          <w:sz w:val="26"/>
          <w:szCs w:val="26"/>
          <w:lang w:val="es-ES_tradnl"/>
        </w:rPr>
        <w:t xml:space="preserve"> Civil </w:t>
      </w:r>
      <w:r w:rsidR="00747756" w:rsidRPr="00D75069">
        <w:rPr>
          <w:rFonts w:ascii="Arial Narrow" w:hAnsi="Arial Narrow"/>
          <w:bCs/>
          <w:sz w:val="26"/>
          <w:szCs w:val="26"/>
          <w:lang w:val="es-ES_tradnl"/>
        </w:rPr>
        <w:t xml:space="preserve">del Circuito </w:t>
      </w:r>
      <w:r w:rsidRPr="00D75069">
        <w:rPr>
          <w:rFonts w:ascii="Arial Narrow" w:hAnsi="Arial Narrow"/>
          <w:bCs/>
          <w:sz w:val="26"/>
          <w:szCs w:val="26"/>
          <w:lang w:val="es-ES_tradnl"/>
        </w:rPr>
        <w:t>considera que</w:t>
      </w:r>
      <w:r w:rsidR="00715A74" w:rsidRPr="00D75069">
        <w:rPr>
          <w:rFonts w:ascii="Arial Narrow" w:hAnsi="Arial Narrow"/>
          <w:bCs/>
          <w:sz w:val="26"/>
          <w:szCs w:val="26"/>
          <w:lang w:val="es-ES_tradnl"/>
        </w:rPr>
        <w:t xml:space="preserve"> </w:t>
      </w:r>
      <w:r w:rsidR="0057518F" w:rsidRPr="00D75069">
        <w:rPr>
          <w:rFonts w:ascii="Arial Narrow" w:hAnsi="Arial Narrow"/>
          <w:bCs/>
          <w:sz w:val="26"/>
          <w:szCs w:val="26"/>
          <w:lang w:val="es-ES_tradnl"/>
        </w:rPr>
        <w:t>la inadmisión y posterior rechazó de la demanda, así como la argumentación utilizada</w:t>
      </w:r>
      <w:r w:rsidR="00715A74" w:rsidRPr="00D75069">
        <w:rPr>
          <w:rFonts w:ascii="Arial Narrow" w:hAnsi="Arial Narrow"/>
          <w:bCs/>
          <w:sz w:val="26"/>
          <w:szCs w:val="26"/>
          <w:lang w:val="es-ES_tradnl"/>
        </w:rPr>
        <w:t xml:space="preserve"> para despachar desfavorablemente la inconformidad planteada por el actor,</w:t>
      </w:r>
      <w:r w:rsidRPr="00D75069">
        <w:rPr>
          <w:rFonts w:ascii="Arial Narrow" w:hAnsi="Arial Narrow"/>
          <w:bCs/>
          <w:sz w:val="26"/>
          <w:szCs w:val="26"/>
          <w:lang w:val="es-ES_tradnl"/>
        </w:rPr>
        <w:t xml:space="preserve"> no luce</w:t>
      </w:r>
      <w:r w:rsidR="00715A74" w:rsidRPr="00D75069">
        <w:rPr>
          <w:rFonts w:ascii="Arial Narrow" w:hAnsi="Arial Narrow"/>
          <w:bCs/>
          <w:sz w:val="26"/>
          <w:szCs w:val="26"/>
          <w:lang w:val="es-ES_tradnl"/>
        </w:rPr>
        <w:t>n</w:t>
      </w:r>
      <w:r w:rsidR="00747756" w:rsidRPr="00D75069">
        <w:rPr>
          <w:rFonts w:ascii="Arial Narrow" w:hAnsi="Arial Narrow"/>
          <w:bCs/>
          <w:sz w:val="26"/>
          <w:szCs w:val="26"/>
          <w:lang w:val="es-ES_tradnl"/>
        </w:rPr>
        <w:t xml:space="preserve"> arbitraria</w:t>
      </w:r>
      <w:r w:rsidR="00715A74" w:rsidRPr="00D75069">
        <w:rPr>
          <w:rFonts w:ascii="Arial Narrow" w:hAnsi="Arial Narrow"/>
          <w:bCs/>
          <w:sz w:val="26"/>
          <w:szCs w:val="26"/>
          <w:lang w:val="es-ES_tradnl"/>
        </w:rPr>
        <w:t>s</w:t>
      </w:r>
      <w:r w:rsidR="00747756" w:rsidRPr="00D75069">
        <w:rPr>
          <w:rFonts w:ascii="Arial Narrow" w:hAnsi="Arial Narrow"/>
          <w:bCs/>
          <w:sz w:val="26"/>
          <w:szCs w:val="26"/>
          <w:lang w:val="es-ES_tradnl"/>
        </w:rPr>
        <w:t>, caprichosa</w:t>
      </w:r>
      <w:r w:rsidRPr="00D75069">
        <w:rPr>
          <w:rFonts w:ascii="Arial Narrow" w:hAnsi="Arial Narrow"/>
          <w:bCs/>
          <w:sz w:val="26"/>
          <w:szCs w:val="26"/>
          <w:lang w:val="es-ES_tradnl"/>
        </w:rPr>
        <w:t xml:space="preserve"> o desproporcionadas.</w:t>
      </w:r>
    </w:p>
    <w:p w14:paraId="184AD5CD" w14:textId="77777777" w:rsidR="00A04743" w:rsidRPr="00D75069" w:rsidRDefault="00A04743" w:rsidP="002A2CCF">
      <w:pPr>
        <w:pStyle w:val="Sinespaciado"/>
        <w:spacing w:line="276" w:lineRule="auto"/>
        <w:jc w:val="both"/>
        <w:rPr>
          <w:rFonts w:ascii="Arial Narrow" w:hAnsi="Arial Narrow"/>
          <w:bCs/>
          <w:sz w:val="26"/>
          <w:szCs w:val="26"/>
          <w:lang w:val="es-ES_tradnl"/>
        </w:rPr>
      </w:pPr>
    </w:p>
    <w:p w14:paraId="09F8D63E" w14:textId="77777777" w:rsidR="00715A74" w:rsidRPr="00D75069" w:rsidRDefault="00A04743" w:rsidP="002A2CCF">
      <w:pPr>
        <w:pStyle w:val="Sinespaciado"/>
        <w:spacing w:line="276" w:lineRule="auto"/>
        <w:jc w:val="both"/>
        <w:rPr>
          <w:rFonts w:ascii="Arial Narrow" w:hAnsi="Arial Narrow"/>
          <w:bCs/>
          <w:i/>
          <w:sz w:val="26"/>
          <w:szCs w:val="26"/>
          <w:lang w:val="es-ES_tradnl"/>
        </w:rPr>
      </w:pPr>
      <w:r w:rsidRPr="00D75069">
        <w:rPr>
          <w:rFonts w:ascii="Arial Narrow" w:hAnsi="Arial Narrow"/>
          <w:bCs/>
          <w:sz w:val="26"/>
          <w:szCs w:val="26"/>
          <w:lang w:val="es-ES_tradnl"/>
        </w:rPr>
        <w:t>En efecto,</w:t>
      </w:r>
      <w:r w:rsidR="00B0464B" w:rsidRPr="00D75069">
        <w:rPr>
          <w:rFonts w:ascii="Arial Narrow" w:hAnsi="Arial Narrow"/>
          <w:bCs/>
          <w:sz w:val="26"/>
          <w:szCs w:val="26"/>
          <w:lang w:val="es-ES_tradnl"/>
        </w:rPr>
        <w:t xml:space="preserve"> para resolver sobre la admisibilidad de la acción popular,</w:t>
      </w:r>
      <w:r w:rsidR="00715A74" w:rsidRPr="00D75069">
        <w:rPr>
          <w:rFonts w:ascii="Arial Narrow" w:hAnsi="Arial Narrow"/>
          <w:bCs/>
          <w:sz w:val="26"/>
          <w:szCs w:val="26"/>
          <w:lang w:val="es-ES_tradnl"/>
        </w:rPr>
        <w:t xml:space="preserve"> </w:t>
      </w:r>
      <w:r w:rsidR="00B0464B" w:rsidRPr="00D75069">
        <w:rPr>
          <w:rFonts w:ascii="Arial Narrow" w:hAnsi="Arial Narrow"/>
          <w:bCs/>
          <w:sz w:val="26"/>
          <w:szCs w:val="26"/>
          <w:lang w:val="es-ES_tradnl"/>
        </w:rPr>
        <w:t xml:space="preserve">el despacho demandado aplicó el </w:t>
      </w:r>
      <w:r w:rsidR="00B0464B" w:rsidRPr="00D75069">
        <w:rPr>
          <w:rFonts w:ascii="Arial Narrow" w:hAnsi="Arial Narrow"/>
          <w:sz w:val="26"/>
          <w:szCs w:val="26"/>
          <w:lang w:val="es-ES_tradnl"/>
        </w:rPr>
        <w:t xml:space="preserve">Decreto 806 de 2020, concretamente la cláusula del inciso 4° de su artículo 6° que establece </w:t>
      </w:r>
      <w:r w:rsidR="00B0464B" w:rsidRPr="00D75069">
        <w:rPr>
          <w:rFonts w:ascii="Arial Narrow" w:hAnsi="Arial Narrow"/>
          <w:i/>
          <w:sz w:val="26"/>
          <w:szCs w:val="26"/>
          <w:lang w:val="es-ES_tradnl"/>
        </w:rPr>
        <w:t>“</w:t>
      </w:r>
      <w:r w:rsidR="00B0464B" w:rsidRPr="00CF214B">
        <w:rPr>
          <w:rFonts w:ascii="Arial Narrow" w:hAnsi="Arial Narrow"/>
          <w:i/>
          <w:sz w:val="24"/>
          <w:szCs w:val="26"/>
          <w:lang w:val="es-ES_tradnl"/>
        </w:rPr>
        <w:t>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de digital de la parte demandada, se acreditará con la demanda el envío físico de la misma con sus anexos</w:t>
      </w:r>
      <w:r w:rsidR="00B0464B" w:rsidRPr="00D75069">
        <w:rPr>
          <w:rFonts w:ascii="Arial Narrow" w:hAnsi="Arial Narrow"/>
          <w:i/>
          <w:sz w:val="26"/>
          <w:szCs w:val="26"/>
          <w:lang w:val="es-ES_tradnl"/>
        </w:rPr>
        <w:t xml:space="preserve">.” </w:t>
      </w:r>
    </w:p>
    <w:p w14:paraId="2A3FC7EA" w14:textId="77777777" w:rsidR="00715A74" w:rsidRPr="00D75069" w:rsidRDefault="00715A74" w:rsidP="002A2CCF">
      <w:pPr>
        <w:pStyle w:val="Sinespaciado"/>
        <w:spacing w:line="276" w:lineRule="auto"/>
        <w:jc w:val="both"/>
        <w:rPr>
          <w:rFonts w:ascii="Arial Narrow" w:hAnsi="Arial Narrow"/>
          <w:bCs/>
          <w:sz w:val="26"/>
          <w:szCs w:val="26"/>
          <w:lang w:val="es-ES_tradnl"/>
        </w:rPr>
      </w:pPr>
    </w:p>
    <w:p w14:paraId="6BE5291B" w14:textId="248A75FD" w:rsidR="00F529A7" w:rsidRPr="00D75069" w:rsidRDefault="00B0464B" w:rsidP="002A2CCF">
      <w:pPr>
        <w:pStyle w:val="Sinespaciado"/>
        <w:spacing w:line="276" w:lineRule="auto"/>
        <w:jc w:val="both"/>
        <w:rPr>
          <w:rFonts w:ascii="Arial Narrow" w:hAnsi="Arial Narrow"/>
          <w:bCs/>
          <w:sz w:val="26"/>
          <w:szCs w:val="26"/>
          <w:lang w:val="es-ES_tradnl"/>
        </w:rPr>
      </w:pPr>
      <w:r w:rsidRPr="00D75069">
        <w:rPr>
          <w:rFonts w:ascii="Arial Narrow" w:hAnsi="Arial Narrow"/>
          <w:bCs/>
          <w:sz w:val="26"/>
          <w:szCs w:val="26"/>
          <w:lang w:val="es-ES_tradnl"/>
        </w:rPr>
        <w:t>Con sustento en esa norma</w:t>
      </w:r>
      <w:r w:rsidR="00F529A7" w:rsidRPr="00D75069">
        <w:rPr>
          <w:rFonts w:ascii="Arial Narrow" w:hAnsi="Arial Narrow"/>
          <w:bCs/>
          <w:sz w:val="26"/>
          <w:szCs w:val="26"/>
          <w:lang w:val="es-ES_tradnl"/>
        </w:rPr>
        <w:t>, aplicable como expresamente se dice a cualquier jurisdicción,</w:t>
      </w:r>
      <w:r w:rsidRPr="00D75069">
        <w:rPr>
          <w:rFonts w:ascii="Arial Narrow" w:hAnsi="Arial Narrow"/>
          <w:bCs/>
          <w:sz w:val="26"/>
          <w:szCs w:val="26"/>
          <w:lang w:val="es-ES_tradnl"/>
        </w:rPr>
        <w:t xml:space="preserve"> entonces, </w:t>
      </w:r>
      <w:r w:rsidR="00F529A7" w:rsidRPr="00D75069">
        <w:rPr>
          <w:rFonts w:ascii="Arial Narrow" w:hAnsi="Arial Narrow"/>
          <w:bCs/>
          <w:sz w:val="26"/>
          <w:szCs w:val="26"/>
          <w:lang w:val="es-ES_tradnl"/>
        </w:rPr>
        <w:t xml:space="preserve">se </w:t>
      </w:r>
      <w:r w:rsidRPr="00D75069">
        <w:rPr>
          <w:rFonts w:ascii="Arial Narrow" w:hAnsi="Arial Narrow"/>
          <w:bCs/>
          <w:sz w:val="26"/>
          <w:szCs w:val="26"/>
          <w:lang w:val="es-ES_tradnl"/>
        </w:rPr>
        <w:t>edificó la causal de inadmisión</w:t>
      </w:r>
      <w:r w:rsidR="00F529A7" w:rsidRPr="00D75069">
        <w:rPr>
          <w:rFonts w:ascii="Arial Narrow" w:hAnsi="Arial Narrow"/>
          <w:bCs/>
          <w:sz w:val="26"/>
          <w:szCs w:val="26"/>
          <w:lang w:val="es-ES_tradnl"/>
        </w:rPr>
        <w:t xml:space="preserve"> de la demanda popular, pues no se evidencia que el actor haya cumplido la carga de enviar copia de la demanda al correo electrónico de la entidad </w:t>
      </w:r>
      <w:r w:rsidR="00F529A7" w:rsidRPr="00D75069">
        <w:rPr>
          <w:rFonts w:ascii="Arial Narrow" w:hAnsi="Arial Narrow"/>
          <w:bCs/>
          <w:sz w:val="26"/>
          <w:szCs w:val="26"/>
          <w:lang w:val="es-ES_tradnl"/>
        </w:rPr>
        <w:lastRenderedPageBreak/>
        <w:t>accionada,</w:t>
      </w:r>
      <w:r w:rsidR="000D1141" w:rsidRPr="00D75069">
        <w:rPr>
          <w:rFonts w:ascii="Arial Narrow" w:hAnsi="Arial Narrow"/>
          <w:bCs/>
          <w:sz w:val="26"/>
          <w:szCs w:val="26"/>
          <w:lang w:val="es-ES_tradnl"/>
        </w:rPr>
        <w:t xml:space="preserve"> o por correo físico de no conocerse el canal digital de la demandada, </w:t>
      </w:r>
      <w:r w:rsidR="00F529A7" w:rsidRPr="00D75069">
        <w:rPr>
          <w:rFonts w:ascii="Arial Narrow" w:hAnsi="Arial Narrow"/>
          <w:bCs/>
          <w:sz w:val="26"/>
          <w:szCs w:val="26"/>
          <w:lang w:val="es-ES_tradnl"/>
        </w:rPr>
        <w:t>a lo cual ni siquiera procedió dentro del término concedido para subsanarla, lo que llevó, en consecuencia, a rechazar la demanda popular.</w:t>
      </w:r>
      <w:r w:rsidR="006F7531" w:rsidRPr="00D75069">
        <w:rPr>
          <w:rFonts w:ascii="Arial Narrow" w:hAnsi="Arial Narrow"/>
          <w:bCs/>
          <w:sz w:val="26"/>
          <w:szCs w:val="26"/>
          <w:lang w:val="es-ES_tradnl"/>
        </w:rPr>
        <w:t xml:space="preserve"> </w:t>
      </w:r>
    </w:p>
    <w:p w14:paraId="5166ED7D" w14:textId="6EDD2AF9" w:rsidR="00B0464B" w:rsidRPr="00D75069" w:rsidRDefault="00F529A7" w:rsidP="002A2CCF">
      <w:pPr>
        <w:pStyle w:val="Sinespaciado"/>
        <w:spacing w:line="276" w:lineRule="auto"/>
        <w:jc w:val="both"/>
        <w:rPr>
          <w:rFonts w:ascii="Arial Narrow" w:hAnsi="Arial Narrow"/>
          <w:bCs/>
          <w:sz w:val="26"/>
          <w:szCs w:val="26"/>
          <w:lang w:val="es-ES_tradnl"/>
        </w:rPr>
      </w:pPr>
      <w:r w:rsidRPr="00D75069">
        <w:rPr>
          <w:rFonts w:ascii="Arial Narrow" w:hAnsi="Arial Narrow"/>
          <w:bCs/>
          <w:sz w:val="26"/>
          <w:szCs w:val="26"/>
          <w:lang w:val="es-ES_tradnl"/>
        </w:rPr>
        <w:t xml:space="preserve"> </w:t>
      </w:r>
      <w:r w:rsidR="00B0464B" w:rsidRPr="00D75069">
        <w:rPr>
          <w:rFonts w:ascii="Arial Narrow" w:hAnsi="Arial Narrow"/>
          <w:bCs/>
          <w:sz w:val="26"/>
          <w:szCs w:val="26"/>
          <w:lang w:val="es-ES_tradnl"/>
        </w:rPr>
        <w:t xml:space="preserve"> </w:t>
      </w:r>
    </w:p>
    <w:p w14:paraId="35C677E9" w14:textId="4CDCDAE3" w:rsidR="00544CE8" w:rsidRPr="00D75069" w:rsidRDefault="00544CE8" w:rsidP="002A2CCF">
      <w:pPr>
        <w:pStyle w:val="Sinespaciado"/>
        <w:spacing w:line="276" w:lineRule="auto"/>
        <w:jc w:val="both"/>
        <w:rPr>
          <w:rFonts w:ascii="Arial Narrow" w:hAnsi="Arial Narrow"/>
          <w:bCs/>
          <w:sz w:val="26"/>
          <w:szCs w:val="26"/>
          <w:lang w:val="es-ES_tradnl"/>
        </w:rPr>
      </w:pPr>
      <w:r w:rsidRPr="00D75069">
        <w:rPr>
          <w:rFonts w:ascii="Arial Narrow" w:hAnsi="Arial Narrow"/>
          <w:bCs/>
          <w:sz w:val="26"/>
          <w:szCs w:val="26"/>
          <w:lang w:val="es-ES_tradnl"/>
        </w:rPr>
        <w:t>La ausencia de tales demostraciones como causa para inadmitir la demanda también aparece expresamente consagrada en la disposición normativa que soporta la decisión confutada.</w:t>
      </w:r>
    </w:p>
    <w:p w14:paraId="2B112C4A" w14:textId="77777777" w:rsidR="00544CE8" w:rsidRPr="00D75069" w:rsidRDefault="00544CE8" w:rsidP="002A2CCF">
      <w:pPr>
        <w:pStyle w:val="Sinespaciado"/>
        <w:spacing w:line="276" w:lineRule="auto"/>
        <w:jc w:val="both"/>
        <w:rPr>
          <w:rFonts w:ascii="Arial Narrow" w:hAnsi="Arial Narrow"/>
          <w:bCs/>
          <w:sz w:val="26"/>
          <w:szCs w:val="26"/>
          <w:lang w:val="es-ES_tradnl"/>
        </w:rPr>
      </w:pPr>
    </w:p>
    <w:p w14:paraId="74B1B7D6" w14:textId="455D31EC" w:rsidR="00A04743" w:rsidRPr="00D75069" w:rsidRDefault="00A04743"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En estas condiciones</w:t>
      </w:r>
      <w:r w:rsidR="00F529A7" w:rsidRPr="00D75069">
        <w:rPr>
          <w:rFonts w:ascii="Arial Narrow" w:hAnsi="Arial Narrow"/>
          <w:sz w:val="26"/>
          <w:szCs w:val="26"/>
          <w:lang w:val="es-ES_tradnl"/>
        </w:rPr>
        <w:t>, se concluye que las decisiones adoptadas por el juzgado accionado fueron precedidas de interpretaciones razonables y por ende</w:t>
      </w:r>
      <w:r w:rsidR="00544CE8" w:rsidRPr="00D75069">
        <w:rPr>
          <w:rFonts w:ascii="Arial Narrow" w:hAnsi="Arial Narrow"/>
          <w:sz w:val="26"/>
          <w:szCs w:val="26"/>
          <w:lang w:val="es-ES_tradnl"/>
        </w:rPr>
        <w:t xml:space="preserve">, al margen de </w:t>
      </w:r>
      <w:r w:rsidR="00F34243" w:rsidRPr="00D75069">
        <w:rPr>
          <w:rFonts w:ascii="Arial Narrow" w:hAnsi="Arial Narrow"/>
          <w:sz w:val="26"/>
          <w:szCs w:val="26"/>
          <w:lang w:val="es-ES_tradnl"/>
        </w:rPr>
        <w:t>compartirlas o no,</w:t>
      </w:r>
      <w:r w:rsidR="00F529A7" w:rsidRPr="00D75069">
        <w:rPr>
          <w:rFonts w:ascii="Arial Narrow" w:hAnsi="Arial Narrow"/>
          <w:sz w:val="26"/>
          <w:szCs w:val="26"/>
          <w:lang w:val="es-ES_tradnl"/>
        </w:rPr>
        <w:t xml:space="preserve"> </w:t>
      </w:r>
      <w:r w:rsidR="004E34C5" w:rsidRPr="00D75069">
        <w:rPr>
          <w:rFonts w:ascii="Arial Narrow" w:hAnsi="Arial Narrow"/>
          <w:sz w:val="26"/>
          <w:szCs w:val="26"/>
          <w:lang w:val="es-ES_tradnl"/>
        </w:rPr>
        <w:t>resulta im</w:t>
      </w:r>
      <w:r w:rsidR="00F34243" w:rsidRPr="00D75069">
        <w:rPr>
          <w:rFonts w:ascii="Arial Narrow" w:hAnsi="Arial Narrow"/>
          <w:sz w:val="26"/>
          <w:szCs w:val="26"/>
          <w:lang w:val="es-ES_tradnl"/>
        </w:rPr>
        <w:t xml:space="preserve">posible </w:t>
      </w:r>
      <w:r w:rsidR="00F529A7" w:rsidRPr="00D75069">
        <w:rPr>
          <w:rFonts w:ascii="Arial Narrow" w:hAnsi="Arial Narrow"/>
          <w:sz w:val="26"/>
          <w:szCs w:val="26"/>
          <w:lang w:val="es-ES_tradnl"/>
        </w:rPr>
        <w:t>la intervención del juez de tutela</w:t>
      </w:r>
      <w:r w:rsidR="00F34243" w:rsidRPr="00D75069">
        <w:rPr>
          <w:rFonts w:ascii="Arial Narrow" w:hAnsi="Arial Narrow"/>
          <w:sz w:val="26"/>
          <w:szCs w:val="26"/>
          <w:lang w:val="es-ES_tradnl"/>
        </w:rPr>
        <w:t xml:space="preserve"> a fin de imponer un criterio diferente, como el postulado por el accionante</w:t>
      </w:r>
      <w:r w:rsidR="003D3AEA" w:rsidRPr="00D75069">
        <w:rPr>
          <w:rFonts w:ascii="Arial Narrow" w:hAnsi="Arial Narrow"/>
          <w:sz w:val="26"/>
          <w:szCs w:val="26"/>
          <w:lang w:val="es-ES_tradnl"/>
        </w:rPr>
        <w:t xml:space="preserve">, o para acceder a pedidos tales como </w:t>
      </w:r>
      <w:r w:rsidR="00DE69B5" w:rsidRPr="00D75069">
        <w:rPr>
          <w:rFonts w:ascii="Arial Narrow" w:hAnsi="Arial Narrow"/>
          <w:sz w:val="26"/>
          <w:szCs w:val="26"/>
          <w:lang w:val="es-ES_tradnl"/>
        </w:rPr>
        <w:t>ordenarle al accionado “</w:t>
      </w:r>
      <w:r w:rsidR="003D3AEA" w:rsidRPr="00D75069">
        <w:rPr>
          <w:rFonts w:ascii="Arial Narrow" w:hAnsi="Arial Narrow"/>
          <w:sz w:val="26"/>
          <w:szCs w:val="26"/>
          <w:lang w:val="es-ES_tradnl"/>
        </w:rPr>
        <w:t>probar en derecho que el decreto 806 del 2020, derogo tacita o expresamente lo que me impone el art 18 de la ley especial y autónoma, regida por normas propias, ley 472 de 1998</w:t>
      </w:r>
      <w:r w:rsidR="00DE69B5" w:rsidRPr="00D75069">
        <w:rPr>
          <w:rFonts w:ascii="Arial Narrow" w:hAnsi="Arial Narrow"/>
          <w:sz w:val="26"/>
          <w:szCs w:val="26"/>
          <w:lang w:val="es-ES_tradnl"/>
        </w:rPr>
        <w:t xml:space="preserve">”, </w:t>
      </w:r>
      <w:r w:rsidR="008002D1" w:rsidRPr="00D75069">
        <w:rPr>
          <w:rFonts w:ascii="Arial Narrow" w:hAnsi="Arial Narrow"/>
          <w:sz w:val="26"/>
          <w:szCs w:val="26"/>
          <w:lang w:val="es-ES_tradnl"/>
        </w:rPr>
        <w:t>o para que se “</w:t>
      </w:r>
      <w:r w:rsidR="003D3AEA" w:rsidRPr="00CF214B">
        <w:rPr>
          <w:rFonts w:ascii="Arial Narrow" w:hAnsi="Arial Narrow"/>
          <w:sz w:val="24"/>
          <w:szCs w:val="26"/>
          <w:lang w:val="es-ES_tradnl"/>
        </w:rPr>
        <w:t>valore como el juzgado 2 civil circuito de Pereira, admitió mis acciones populares</w:t>
      </w:r>
      <w:r w:rsidR="008002D1" w:rsidRPr="00CF214B">
        <w:rPr>
          <w:rFonts w:ascii="Arial Narrow" w:hAnsi="Arial Narrow"/>
          <w:sz w:val="24"/>
          <w:szCs w:val="26"/>
          <w:lang w:val="es-ES_tradnl"/>
        </w:rPr>
        <w:t xml:space="preserve"> </w:t>
      </w:r>
      <w:r w:rsidR="003D3AEA" w:rsidRPr="00CF214B">
        <w:rPr>
          <w:rFonts w:ascii="Arial Narrow" w:hAnsi="Arial Narrow"/>
          <w:sz w:val="24"/>
          <w:szCs w:val="26"/>
          <w:lang w:val="es-ES_tradnl"/>
        </w:rPr>
        <w:t>2021 143,144,,155,117,114,151, 164,165,166,167,159,161,162,163, todas año 2021</w:t>
      </w:r>
      <w:r w:rsidR="008002D1" w:rsidRPr="00D75069">
        <w:rPr>
          <w:rFonts w:ascii="Arial Narrow" w:hAnsi="Arial Narrow"/>
          <w:sz w:val="26"/>
          <w:szCs w:val="26"/>
          <w:lang w:val="es-ES_tradnl"/>
        </w:rPr>
        <w:t>”</w:t>
      </w:r>
      <w:r w:rsidR="003D3AEA" w:rsidRPr="00D75069">
        <w:rPr>
          <w:rFonts w:ascii="Arial Narrow" w:hAnsi="Arial Narrow"/>
          <w:sz w:val="26"/>
          <w:szCs w:val="26"/>
          <w:lang w:val="es-ES_tradnl"/>
        </w:rPr>
        <w:t>,</w:t>
      </w:r>
      <w:r w:rsidR="008002D1" w:rsidRPr="00D75069">
        <w:rPr>
          <w:rFonts w:ascii="Arial Narrow" w:hAnsi="Arial Narrow"/>
          <w:sz w:val="26"/>
          <w:szCs w:val="26"/>
          <w:lang w:val="es-ES_tradnl"/>
        </w:rPr>
        <w:t xml:space="preserve"> fines ajenos </w:t>
      </w:r>
      <w:r w:rsidR="00B10BA3" w:rsidRPr="00D75069">
        <w:rPr>
          <w:rFonts w:ascii="Arial Narrow" w:hAnsi="Arial Narrow"/>
          <w:sz w:val="26"/>
          <w:szCs w:val="26"/>
          <w:lang w:val="es-ES_tradnl"/>
        </w:rPr>
        <w:t>a la protección de derechos constitucionales fundamentales vulnerados o amenazados, real objeto de protección de este mecanismo de amparo.</w:t>
      </w:r>
    </w:p>
    <w:p w14:paraId="60E68E5E" w14:textId="3C76B968" w:rsidR="00A04743" w:rsidRPr="00D75069" w:rsidRDefault="00A04743" w:rsidP="002A2CCF">
      <w:pPr>
        <w:pStyle w:val="Sinespaciado"/>
        <w:spacing w:line="276" w:lineRule="auto"/>
        <w:jc w:val="both"/>
        <w:rPr>
          <w:rFonts w:ascii="Arial Narrow" w:hAnsi="Arial Narrow"/>
          <w:sz w:val="26"/>
          <w:szCs w:val="26"/>
          <w:lang w:val="es-ES_tradnl"/>
        </w:rPr>
      </w:pPr>
    </w:p>
    <w:p w14:paraId="31B38E5E" w14:textId="07F68125" w:rsidR="004B0EF7" w:rsidRPr="00D75069" w:rsidRDefault="00EB37A5" w:rsidP="002A2CCF">
      <w:pPr>
        <w:pStyle w:val="Sinespaciado"/>
        <w:spacing w:line="276" w:lineRule="auto"/>
        <w:jc w:val="both"/>
        <w:rPr>
          <w:rFonts w:ascii="Arial Narrow" w:hAnsi="Arial Narrow"/>
          <w:sz w:val="26"/>
          <w:szCs w:val="26"/>
          <w:lang w:val="es-ES_tradnl"/>
        </w:rPr>
      </w:pPr>
      <w:r w:rsidRPr="00D75069">
        <w:rPr>
          <w:rFonts w:ascii="Arial Narrow" w:hAnsi="Arial Narrow"/>
          <w:b/>
          <w:bCs/>
          <w:sz w:val="26"/>
          <w:szCs w:val="26"/>
          <w:lang w:val="es-ES_tradnl"/>
        </w:rPr>
        <w:t xml:space="preserve">8. </w:t>
      </w:r>
      <w:r w:rsidR="004B0EF7" w:rsidRPr="00D75069">
        <w:rPr>
          <w:rFonts w:ascii="Arial Narrow" w:hAnsi="Arial Narrow"/>
          <w:sz w:val="26"/>
          <w:szCs w:val="26"/>
          <w:lang w:val="es-ES_tradnl"/>
        </w:rPr>
        <w:t>En similares términos, y frente a la aplicación de la precisa norma concernida</w:t>
      </w:r>
      <w:r w:rsidR="003151ED" w:rsidRPr="00D75069">
        <w:rPr>
          <w:rFonts w:ascii="Arial Narrow" w:hAnsi="Arial Narrow"/>
          <w:sz w:val="26"/>
          <w:szCs w:val="26"/>
          <w:lang w:val="es-ES_tradnl"/>
        </w:rPr>
        <w:t xml:space="preserve"> (inciso 4º del artículo 6º del citado decreto)</w:t>
      </w:r>
      <w:r w:rsidR="004B0EF7" w:rsidRPr="00D75069">
        <w:rPr>
          <w:rFonts w:ascii="Arial Narrow" w:hAnsi="Arial Narrow"/>
          <w:sz w:val="26"/>
          <w:szCs w:val="26"/>
          <w:lang w:val="es-ES_tradnl"/>
        </w:rPr>
        <w:t xml:space="preserve"> al trámite de las acciones popular</w:t>
      </w:r>
      <w:r w:rsidR="003151ED" w:rsidRPr="00D75069">
        <w:rPr>
          <w:rFonts w:ascii="Arial Narrow" w:hAnsi="Arial Narrow"/>
          <w:sz w:val="26"/>
          <w:szCs w:val="26"/>
          <w:lang w:val="es-ES_tradnl"/>
        </w:rPr>
        <w:t>es</w:t>
      </w:r>
      <w:r w:rsidR="004B0EF7" w:rsidRPr="00D75069">
        <w:rPr>
          <w:rFonts w:ascii="Arial Narrow" w:hAnsi="Arial Narrow"/>
          <w:sz w:val="26"/>
          <w:szCs w:val="26"/>
          <w:lang w:val="es-ES_tradnl"/>
        </w:rPr>
        <w:t xml:space="preserve">, ha señalado la Corte Suprema de Justicia, como juez de tutela, que </w:t>
      </w:r>
      <w:r w:rsidR="003151ED" w:rsidRPr="00D75069">
        <w:rPr>
          <w:rFonts w:ascii="Arial Narrow" w:hAnsi="Arial Narrow"/>
          <w:sz w:val="26"/>
          <w:szCs w:val="26"/>
          <w:lang w:val="es-ES_tradnl"/>
        </w:rPr>
        <w:t>“</w:t>
      </w:r>
      <w:r w:rsidR="003151ED" w:rsidRPr="00CF214B">
        <w:rPr>
          <w:rFonts w:ascii="Arial Narrow" w:hAnsi="Arial Narrow"/>
          <w:sz w:val="24"/>
          <w:szCs w:val="26"/>
          <w:lang w:val="es-ES_tradnl"/>
        </w:rPr>
        <w:t>…</w:t>
      </w:r>
      <w:r w:rsidR="00CF214B" w:rsidRPr="00CF214B">
        <w:rPr>
          <w:rFonts w:ascii="Arial Narrow" w:hAnsi="Arial Narrow"/>
          <w:sz w:val="24"/>
          <w:szCs w:val="26"/>
          <w:lang w:val="es-ES_tradnl"/>
        </w:rPr>
        <w:t xml:space="preserve"> </w:t>
      </w:r>
      <w:r w:rsidR="00194918" w:rsidRPr="00CF214B">
        <w:rPr>
          <w:rFonts w:ascii="Arial Narrow" w:hAnsi="Arial Narrow"/>
          <w:sz w:val="24"/>
          <w:szCs w:val="26"/>
          <w:lang w:val="es-ES_tradnl"/>
        </w:rPr>
        <w:t>en rigor, lo que aquí se planteó es una diferencia de criterio acerca de la forma en la que el estrado criticado interpretó el artículo 6° el decreto 806 de 2020 y concluyó que como el actor no acató la carga impuesta en dicha norma, en el sentido de remitir copia de la demanda a su contraparte, lo que tampoco hizo en el término concedido para subsanar el libelo, se imponía su rechazo.</w:t>
      </w:r>
      <w:r w:rsidR="001D3114" w:rsidRPr="00CF214B">
        <w:rPr>
          <w:rFonts w:ascii="Arial Narrow" w:hAnsi="Arial Narrow"/>
          <w:sz w:val="24"/>
          <w:szCs w:val="26"/>
          <w:lang w:val="es-ES_tradnl"/>
        </w:rPr>
        <w:t xml:space="preserve"> // </w:t>
      </w:r>
      <w:r w:rsidR="00194918" w:rsidRPr="00CF214B">
        <w:rPr>
          <w:rFonts w:ascii="Arial Narrow" w:hAnsi="Arial Narrow"/>
          <w:sz w:val="24"/>
          <w:szCs w:val="26"/>
          <w:lang w:val="es-ES_tradnl"/>
        </w:rPr>
        <w:t>Tal deducción no puede ser desaprobada de plano o calificada de absurda o arbitraria, «máxime si la que ha hecho no resulta contraria a la razón, es decir si no está demostrado el defecto apuntado en la demanda, ya que con ello desconocerían normas de orden público... y entraría a la relación procesal a usurpar las funciones asignadas válidamente al último para definir el conflicto de intereses». (CSJ STC, 11 ene. 2005, rad. 1451, reiterada en STC7135, 2 jun. 2016, rad. 2016-01050)</w:t>
      </w:r>
      <w:r w:rsidR="00194918" w:rsidRPr="00D75069">
        <w:rPr>
          <w:rFonts w:ascii="Arial Narrow" w:hAnsi="Arial Narrow"/>
          <w:sz w:val="26"/>
          <w:szCs w:val="26"/>
          <w:lang w:val="es-ES_tradnl"/>
        </w:rPr>
        <w:t>.</w:t>
      </w:r>
      <w:r w:rsidR="001D3114" w:rsidRPr="00D75069">
        <w:rPr>
          <w:rFonts w:ascii="Arial Narrow" w:hAnsi="Arial Narrow"/>
          <w:sz w:val="26"/>
          <w:szCs w:val="26"/>
          <w:lang w:val="es-ES_tradnl"/>
        </w:rPr>
        <w:t>”</w:t>
      </w:r>
      <w:r w:rsidR="001D3114" w:rsidRPr="00D75069">
        <w:rPr>
          <w:rStyle w:val="Refdenotaalpie"/>
          <w:rFonts w:ascii="Arial Narrow" w:hAnsi="Arial Narrow"/>
          <w:sz w:val="26"/>
          <w:szCs w:val="26"/>
          <w:lang w:val="es-ES_tradnl"/>
        </w:rPr>
        <w:footnoteReference w:id="16"/>
      </w:r>
    </w:p>
    <w:p w14:paraId="62680732" w14:textId="02A3CE7A" w:rsidR="001D3114" w:rsidRPr="00D75069" w:rsidRDefault="001D3114" w:rsidP="002A2CCF">
      <w:pPr>
        <w:pStyle w:val="Sinespaciado"/>
        <w:spacing w:line="276" w:lineRule="auto"/>
        <w:jc w:val="both"/>
        <w:rPr>
          <w:rFonts w:ascii="Arial Narrow" w:hAnsi="Arial Narrow"/>
          <w:sz w:val="26"/>
          <w:szCs w:val="26"/>
          <w:lang w:val="es-ES_tradnl"/>
        </w:rPr>
      </w:pPr>
    </w:p>
    <w:p w14:paraId="3EB4F96D" w14:textId="65E65CA2" w:rsidR="005A6270" w:rsidRPr="00D75069" w:rsidRDefault="00774B7F" w:rsidP="002A2CCF">
      <w:pPr>
        <w:pStyle w:val="Sinespaciado"/>
        <w:spacing w:line="276" w:lineRule="auto"/>
        <w:jc w:val="both"/>
        <w:rPr>
          <w:rFonts w:ascii="Arial Narrow" w:hAnsi="Arial Narrow"/>
          <w:sz w:val="26"/>
          <w:szCs w:val="26"/>
          <w:lang w:val="es-ES_tradnl"/>
        </w:rPr>
      </w:pPr>
      <w:r w:rsidRPr="00D75069">
        <w:rPr>
          <w:rFonts w:ascii="Arial Narrow" w:hAnsi="Arial Narrow"/>
          <w:sz w:val="26"/>
          <w:szCs w:val="26"/>
          <w:lang w:val="es-ES_tradnl"/>
        </w:rPr>
        <w:t>Postura reitera</w:t>
      </w:r>
      <w:r w:rsidR="00DA6405" w:rsidRPr="00D75069">
        <w:rPr>
          <w:rFonts w:ascii="Arial Narrow" w:hAnsi="Arial Narrow"/>
          <w:sz w:val="26"/>
          <w:szCs w:val="26"/>
          <w:lang w:val="es-ES_tradnl"/>
        </w:rPr>
        <w:t>d</w:t>
      </w:r>
      <w:r w:rsidRPr="00D75069">
        <w:rPr>
          <w:rFonts w:ascii="Arial Narrow" w:hAnsi="Arial Narrow"/>
          <w:sz w:val="26"/>
          <w:szCs w:val="26"/>
          <w:lang w:val="es-ES_tradnl"/>
        </w:rPr>
        <w:t>a</w:t>
      </w:r>
      <w:r w:rsidR="00DA6405" w:rsidRPr="00D75069">
        <w:rPr>
          <w:rFonts w:ascii="Arial Narrow" w:hAnsi="Arial Narrow"/>
          <w:sz w:val="26"/>
          <w:szCs w:val="26"/>
          <w:lang w:val="es-ES_tradnl"/>
        </w:rPr>
        <w:t xml:space="preserve"> </w:t>
      </w:r>
      <w:r w:rsidR="005A6270" w:rsidRPr="00D75069">
        <w:rPr>
          <w:rFonts w:ascii="Arial Narrow" w:hAnsi="Arial Narrow"/>
          <w:sz w:val="26"/>
          <w:szCs w:val="26"/>
          <w:lang w:val="es-ES_tradnl"/>
        </w:rPr>
        <w:t>el pasado 26 de agosto</w:t>
      </w:r>
      <w:r w:rsidR="009A16EF" w:rsidRPr="00D75069">
        <w:rPr>
          <w:rFonts w:ascii="Arial Narrow" w:hAnsi="Arial Narrow"/>
          <w:sz w:val="26"/>
          <w:szCs w:val="26"/>
          <w:lang w:val="es-ES_tradnl"/>
        </w:rPr>
        <w:t xml:space="preserve"> por esa misma Corporación (STC10911-2021)</w:t>
      </w:r>
      <w:r w:rsidR="005A6270" w:rsidRPr="00D75069">
        <w:rPr>
          <w:rFonts w:ascii="Arial Narrow" w:hAnsi="Arial Narrow"/>
          <w:sz w:val="26"/>
          <w:szCs w:val="26"/>
          <w:lang w:val="es-ES_tradnl"/>
        </w:rPr>
        <w:t xml:space="preserve"> donde se sentenció: “</w:t>
      </w:r>
      <w:r w:rsidR="005A6270" w:rsidRPr="00CF214B">
        <w:rPr>
          <w:rFonts w:ascii="Arial Narrow" w:hAnsi="Arial Narrow"/>
          <w:i/>
          <w:iCs/>
          <w:sz w:val="24"/>
          <w:szCs w:val="26"/>
          <w:lang w:val="es-ES_tradnl"/>
        </w:rPr>
        <w:t>En suma, la decisión reprochada se sustentó en la falta de subsanación de la demanda y en la relevancia de lo advertido por la agencia del circuito en la inadmisión. Ahora bien, más allá de que se comparta o no, los motivos para repeler el libelo, como lo fue, verbigracia, no acreditar el envío a través de medio electrónico de la demanda y sus anexos a la entidad bancaria accionada, conforme al Decreto 806 de 2020, no se observa que tal actuación haya sido antojadiza. Lo anterior, si en cuenta se tiene que el inciso 4º del artículo 6º de la norma en comento, indica que «[e]n cualquier</w:t>
      </w:r>
      <w:r w:rsidR="00353A1A" w:rsidRPr="00CF214B">
        <w:rPr>
          <w:rFonts w:ascii="Arial Narrow" w:hAnsi="Arial Narrow"/>
          <w:i/>
          <w:iCs/>
          <w:sz w:val="24"/>
          <w:szCs w:val="26"/>
          <w:lang w:val="es-ES_tradnl"/>
        </w:rPr>
        <w:t xml:space="preserve"> </w:t>
      </w:r>
      <w:r w:rsidR="005A6270" w:rsidRPr="00CF214B">
        <w:rPr>
          <w:rFonts w:ascii="Arial Narrow" w:hAnsi="Arial Narrow"/>
          <w:i/>
          <w:iCs/>
          <w:sz w:val="24"/>
          <w:szCs w:val="26"/>
          <w:lang w:val="es-ES_tradnl"/>
        </w:rPr>
        <w:t>jurisdicción (…) el demandante, al presentar la demanda, simultáneamente deberá enviar por medio de correo electrónico copia de ella y de sus anexos a los demandados (…). El secretario o funcionario que haga sus veces velará por el cumplimiento de este deber, sin cuya acreditación la autoridad judicial inadmitirá la demanda». Y aunque, en relación con la hermenéutica del anterior precepto eventualmente haya otras posiciones al respecto, no por eso la decisión puede catalogarse como absurda</w:t>
      </w:r>
      <w:r w:rsidR="005A6270" w:rsidRPr="00D75069">
        <w:rPr>
          <w:rFonts w:ascii="Arial Narrow" w:hAnsi="Arial Narrow"/>
          <w:sz w:val="26"/>
          <w:szCs w:val="26"/>
          <w:lang w:val="es-ES_tradnl"/>
        </w:rPr>
        <w:t>”</w:t>
      </w:r>
      <w:r w:rsidR="006B3884" w:rsidRPr="00D75069">
        <w:rPr>
          <w:rFonts w:ascii="Arial Narrow" w:hAnsi="Arial Narrow"/>
          <w:sz w:val="26"/>
          <w:szCs w:val="26"/>
          <w:lang w:val="es-ES_tradnl"/>
        </w:rPr>
        <w:t>.</w:t>
      </w:r>
    </w:p>
    <w:p w14:paraId="1A2804A0" w14:textId="77777777" w:rsidR="005A6270" w:rsidRPr="00D75069" w:rsidRDefault="005A6270" w:rsidP="002A2CCF">
      <w:pPr>
        <w:pStyle w:val="Sinespaciado"/>
        <w:spacing w:line="276" w:lineRule="auto"/>
        <w:jc w:val="both"/>
        <w:rPr>
          <w:rFonts w:ascii="Arial Narrow" w:hAnsi="Arial Narrow"/>
          <w:sz w:val="26"/>
          <w:szCs w:val="26"/>
          <w:lang w:val="es-ES_tradnl"/>
        </w:rPr>
      </w:pPr>
    </w:p>
    <w:p w14:paraId="07F08F48" w14:textId="68CF7AE3" w:rsidR="0093035F" w:rsidRPr="00D75069" w:rsidRDefault="00A04743" w:rsidP="002A2CCF">
      <w:pPr>
        <w:pStyle w:val="Sinespaciado"/>
        <w:spacing w:line="276" w:lineRule="auto"/>
        <w:jc w:val="both"/>
        <w:rPr>
          <w:rFonts w:ascii="Arial Narrow" w:hAnsi="Arial Narrow"/>
          <w:bCs/>
          <w:sz w:val="26"/>
          <w:szCs w:val="26"/>
          <w:lang w:val="es-ES_tradnl"/>
        </w:rPr>
      </w:pPr>
      <w:r w:rsidRPr="00D75069">
        <w:rPr>
          <w:rFonts w:ascii="Arial Narrow" w:hAnsi="Arial Narrow"/>
          <w:b/>
          <w:sz w:val="26"/>
          <w:szCs w:val="26"/>
          <w:lang w:val="es-ES_tradnl"/>
        </w:rPr>
        <w:t>8.</w:t>
      </w:r>
      <w:r w:rsidRPr="00D75069">
        <w:rPr>
          <w:rFonts w:ascii="Arial Narrow" w:hAnsi="Arial Narrow"/>
          <w:sz w:val="26"/>
          <w:szCs w:val="26"/>
          <w:lang w:val="es-ES_tradnl"/>
        </w:rPr>
        <w:t xml:space="preserve"> </w:t>
      </w:r>
      <w:r w:rsidR="0093035F" w:rsidRPr="00D75069">
        <w:rPr>
          <w:rFonts w:ascii="Arial Narrow" w:hAnsi="Arial Narrow"/>
          <w:sz w:val="26"/>
          <w:szCs w:val="26"/>
          <w:lang w:val="es-ES_tradnl"/>
        </w:rPr>
        <w:t xml:space="preserve">Por tanto, </w:t>
      </w:r>
      <w:r w:rsidR="00F529A7" w:rsidRPr="00D75069">
        <w:rPr>
          <w:rFonts w:ascii="Arial Narrow" w:hAnsi="Arial Narrow"/>
          <w:sz w:val="26"/>
          <w:szCs w:val="26"/>
          <w:lang w:val="es-ES_tradnl"/>
        </w:rPr>
        <w:t>el amparo será negado</w:t>
      </w:r>
      <w:r w:rsidR="0093035F" w:rsidRPr="00D75069">
        <w:rPr>
          <w:rFonts w:ascii="Arial Narrow" w:hAnsi="Arial Narrow"/>
          <w:sz w:val="26"/>
          <w:szCs w:val="26"/>
          <w:lang w:val="es-ES_tradnl"/>
        </w:rPr>
        <w:t>.</w:t>
      </w:r>
      <w:r w:rsidR="00F46B69" w:rsidRPr="00D75069">
        <w:rPr>
          <w:rFonts w:ascii="Arial Narrow" w:hAnsi="Arial Narrow"/>
          <w:sz w:val="26"/>
          <w:szCs w:val="26"/>
          <w:lang w:val="es-ES_tradnl"/>
        </w:rPr>
        <w:t xml:space="preserve"> En consecuencia, la Sala de Decisión Civil del Tribunal Superior de Pereira, </w:t>
      </w:r>
    </w:p>
    <w:p w14:paraId="32B57C8C" w14:textId="77777777" w:rsidR="00E20047" w:rsidRPr="00D75069" w:rsidRDefault="00E20047" w:rsidP="002A2CCF">
      <w:pPr>
        <w:pStyle w:val="Sinespaciado"/>
        <w:spacing w:line="276" w:lineRule="auto"/>
        <w:jc w:val="both"/>
        <w:rPr>
          <w:rFonts w:ascii="Arial Narrow" w:hAnsi="Arial Narrow"/>
          <w:sz w:val="26"/>
          <w:szCs w:val="26"/>
          <w:lang w:val="es-ES_tradnl"/>
        </w:rPr>
      </w:pPr>
    </w:p>
    <w:p w14:paraId="7777D3F5" w14:textId="77777777" w:rsidR="00E20047" w:rsidRPr="00D75069" w:rsidRDefault="00E20047" w:rsidP="002A2CCF">
      <w:pPr>
        <w:pStyle w:val="Sinespaciado"/>
        <w:spacing w:line="276" w:lineRule="auto"/>
        <w:jc w:val="center"/>
        <w:rPr>
          <w:rFonts w:ascii="Arial Narrow" w:hAnsi="Arial Narrow"/>
          <w:sz w:val="26"/>
          <w:szCs w:val="26"/>
          <w:lang w:val="es-ES_tradnl"/>
        </w:rPr>
      </w:pPr>
      <w:r w:rsidRPr="00D75069">
        <w:rPr>
          <w:rFonts w:ascii="Arial Narrow" w:hAnsi="Arial Narrow"/>
          <w:b/>
          <w:bCs/>
          <w:sz w:val="26"/>
          <w:szCs w:val="26"/>
          <w:lang w:val="es-ES_tradnl"/>
        </w:rPr>
        <w:t>RESUELVE</w:t>
      </w:r>
    </w:p>
    <w:p w14:paraId="4B0B5AAF" w14:textId="77777777" w:rsidR="00E20047" w:rsidRPr="00D75069" w:rsidRDefault="00E20047" w:rsidP="002A2CCF">
      <w:pPr>
        <w:pStyle w:val="Sinespaciado"/>
        <w:spacing w:line="276" w:lineRule="auto"/>
        <w:jc w:val="center"/>
        <w:rPr>
          <w:rFonts w:ascii="Arial Narrow" w:hAnsi="Arial Narrow"/>
          <w:sz w:val="26"/>
          <w:szCs w:val="26"/>
          <w:lang w:val="es-ES_tradnl"/>
        </w:rPr>
      </w:pPr>
    </w:p>
    <w:p w14:paraId="0DA2CF02" w14:textId="77777777" w:rsidR="00E20047" w:rsidRPr="00D75069" w:rsidRDefault="00E20047" w:rsidP="002A2CCF">
      <w:pPr>
        <w:pStyle w:val="Sinespaciado"/>
        <w:spacing w:line="276" w:lineRule="auto"/>
        <w:jc w:val="both"/>
        <w:rPr>
          <w:rFonts w:ascii="Arial Narrow" w:hAnsi="Arial Narrow" w:cs="Arial"/>
          <w:sz w:val="26"/>
          <w:szCs w:val="26"/>
          <w:lang w:val="es-ES_tradnl"/>
        </w:rPr>
      </w:pPr>
      <w:r w:rsidRPr="00D75069">
        <w:rPr>
          <w:rFonts w:ascii="Arial Narrow" w:hAnsi="Arial Narrow" w:cs="Arial"/>
          <w:b/>
          <w:sz w:val="26"/>
          <w:szCs w:val="26"/>
          <w:lang w:val="es-ES_tradnl"/>
        </w:rPr>
        <w:t xml:space="preserve">PRIMERO: </w:t>
      </w:r>
      <w:r w:rsidR="00A04743" w:rsidRPr="00D75069">
        <w:rPr>
          <w:rFonts w:ascii="Arial Narrow" w:hAnsi="Arial Narrow" w:cs="Arial"/>
          <w:bCs/>
          <w:sz w:val="26"/>
          <w:szCs w:val="26"/>
          <w:lang w:val="es-ES_tradnl"/>
        </w:rPr>
        <w:t>Negar</w:t>
      </w:r>
      <w:r w:rsidR="009F71FC" w:rsidRPr="00D75069">
        <w:rPr>
          <w:rFonts w:ascii="Arial Narrow" w:hAnsi="Arial Narrow" w:cs="Arial"/>
          <w:bCs/>
          <w:sz w:val="26"/>
          <w:szCs w:val="26"/>
          <w:lang w:val="es-ES_tradnl"/>
        </w:rPr>
        <w:t xml:space="preserve"> la acción de tutela </w:t>
      </w:r>
      <w:r w:rsidR="001659A4" w:rsidRPr="00D75069">
        <w:rPr>
          <w:rFonts w:ascii="Arial Narrow" w:hAnsi="Arial Narrow" w:cs="Arial"/>
          <w:bCs/>
          <w:sz w:val="26"/>
          <w:szCs w:val="26"/>
          <w:lang w:val="es-ES_tradnl"/>
        </w:rPr>
        <w:t xml:space="preserve">promovida </w:t>
      </w:r>
      <w:r w:rsidR="00F529A7" w:rsidRPr="00D75069">
        <w:rPr>
          <w:rFonts w:ascii="Arial Narrow" w:hAnsi="Arial Narrow"/>
          <w:sz w:val="26"/>
          <w:szCs w:val="26"/>
          <w:lang w:val="es-ES_tradnl"/>
        </w:rPr>
        <w:t>Gerardo Herrera contra el Juzgado Primero Civil del Circuito de Pereira.</w:t>
      </w:r>
    </w:p>
    <w:p w14:paraId="39EC34A0" w14:textId="77777777" w:rsidR="0093035F" w:rsidRPr="00D75069" w:rsidRDefault="0093035F" w:rsidP="002A2CCF">
      <w:pPr>
        <w:pStyle w:val="Sinespaciado"/>
        <w:spacing w:line="276" w:lineRule="auto"/>
        <w:jc w:val="both"/>
        <w:rPr>
          <w:rFonts w:ascii="Arial Narrow" w:hAnsi="Arial Narrow" w:cs="Arial"/>
          <w:b/>
          <w:sz w:val="26"/>
          <w:szCs w:val="26"/>
          <w:lang w:val="es-ES_tradnl"/>
        </w:rPr>
      </w:pPr>
    </w:p>
    <w:p w14:paraId="35ABC11B" w14:textId="77777777" w:rsidR="00DA6353" w:rsidRPr="00D75069" w:rsidRDefault="00E20047" w:rsidP="002A2CCF">
      <w:pPr>
        <w:pStyle w:val="Sinespaciado"/>
        <w:spacing w:line="276" w:lineRule="auto"/>
        <w:jc w:val="both"/>
        <w:rPr>
          <w:rFonts w:ascii="Arial Narrow" w:hAnsi="Arial Narrow" w:cs="Arial"/>
          <w:sz w:val="26"/>
          <w:szCs w:val="26"/>
          <w:lang w:val="es-ES_tradnl"/>
        </w:rPr>
      </w:pPr>
      <w:r w:rsidRPr="00D75069">
        <w:rPr>
          <w:rFonts w:ascii="Arial Narrow" w:hAnsi="Arial Narrow" w:cs="Arial"/>
          <w:b/>
          <w:sz w:val="26"/>
          <w:szCs w:val="26"/>
          <w:lang w:val="es-ES_tradnl"/>
        </w:rPr>
        <w:t>SEGUNDO</w:t>
      </w:r>
      <w:r w:rsidRPr="00D75069">
        <w:rPr>
          <w:rFonts w:ascii="Arial Narrow" w:hAnsi="Arial Narrow" w:cs="Arial"/>
          <w:bCs/>
          <w:sz w:val="26"/>
          <w:szCs w:val="26"/>
          <w:lang w:val="es-ES_tradnl"/>
        </w:rPr>
        <w:t>:</w:t>
      </w:r>
      <w:r w:rsidRPr="00D75069">
        <w:rPr>
          <w:rFonts w:ascii="Arial Narrow" w:hAnsi="Arial Narrow" w:cs="Arial"/>
          <w:sz w:val="26"/>
          <w:szCs w:val="26"/>
          <w:lang w:val="es-ES_tradnl"/>
        </w:rPr>
        <w:t xml:space="preserve"> </w:t>
      </w:r>
      <w:r w:rsidR="0093035F" w:rsidRPr="00D75069">
        <w:rPr>
          <w:rFonts w:ascii="Arial Narrow" w:hAnsi="Arial Narrow" w:cs="Arial"/>
          <w:b/>
          <w:sz w:val="26"/>
          <w:szCs w:val="26"/>
          <w:lang w:val="es-ES_tradnl"/>
        </w:rPr>
        <w:t>NOTIFICAR</w:t>
      </w:r>
      <w:r w:rsidR="0093035F" w:rsidRPr="00D75069">
        <w:rPr>
          <w:rFonts w:ascii="Arial Narrow" w:hAnsi="Arial Narrow" w:cs="Arial"/>
          <w:sz w:val="26"/>
          <w:szCs w:val="26"/>
          <w:lang w:val="es-ES_tradnl"/>
        </w:rPr>
        <w:t xml:space="preserve"> a las partes lo aquí resuelto en la forma más expedita y eficaz posible.</w:t>
      </w:r>
    </w:p>
    <w:p w14:paraId="191C00A1" w14:textId="77777777" w:rsidR="00DA6353" w:rsidRPr="00D75069" w:rsidRDefault="00DA6353" w:rsidP="002A2CCF">
      <w:pPr>
        <w:pStyle w:val="Sinespaciado"/>
        <w:spacing w:line="276" w:lineRule="auto"/>
        <w:jc w:val="both"/>
        <w:rPr>
          <w:rFonts w:ascii="Arial Narrow" w:hAnsi="Arial Narrow" w:cs="Arial"/>
          <w:sz w:val="26"/>
          <w:szCs w:val="26"/>
          <w:lang w:val="es-ES_tradnl"/>
        </w:rPr>
      </w:pPr>
    </w:p>
    <w:p w14:paraId="6250CF77" w14:textId="77777777" w:rsidR="00E20047" w:rsidRPr="00D75069" w:rsidRDefault="00DA6353" w:rsidP="002A2CCF">
      <w:pPr>
        <w:pStyle w:val="Sinespaciado"/>
        <w:spacing w:line="276" w:lineRule="auto"/>
        <w:jc w:val="both"/>
        <w:rPr>
          <w:rFonts w:ascii="Arial Narrow" w:hAnsi="Arial Narrow" w:cs="Arial"/>
          <w:sz w:val="26"/>
          <w:szCs w:val="26"/>
          <w:lang w:val="es-ES_tradnl"/>
        </w:rPr>
      </w:pPr>
      <w:r w:rsidRPr="00D75069">
        <w:rPr>
          <w:rFonts w:ascii="Arial Narrow" w:hAnsi="Arial Narrow" w:cs="Arial"/>
          <w:b/>
          <w:sz w:val="26"/>
          <w:szCs w:val="26"/>
          <w:lang w:val="es-ES_tradnl"/>
        </w:rPr>
        <w:t xml:space="preserve">TERCERO: </w:t>
      </w:r>
      <w:r w:rsidR="0093035F" w:rsidRPr="00D75069">
        <w:rPr>
          <w:rFonts w:ascii="Arial Narrow" w:hAnsi="Arial Narrow" w:cs="Arial"/>
          <w:b/>
          <w:bCs/>
          <w:sz w:val="26"/>
          <w:szCs w:val="26"/>
          <w:lang w:val="es-ES_tradnl"/>
        </w:rPr>
        <w:t>ENVIAR</w:t>
      </w:r>
      <w:r w:rsidR="0093035F" w:rsidRPr="00D75069">
        <w:rPr>
          <w:rFonts w:ascii="Arial Narrow" w:hAnsi="Arial Narrow" w:cs="Arial"/>
          <w:bCs/>
          <w:sz w:val="26"/>
          <w:szCs w:val="26"/>
          <w:lang w:val="es-ES_tradnl"/>
        </w:rPr>
        <w:t xml:space="preserve"> </w:t>
      </w:r>
      <w:r w:rsidR="0093035F" w:rsidRPr="00D75069">
        <w:rPr>
          <w:rFonts w:ascii="Arial Narrow" w:hAnsi="Arial Narrow" w:cs="Arial"/>
          <w:sz w:val="26"/>
          <w:szCs w:val="26"/>
          <w:lang w:val="es-ES_tradnl"/>
        </w:rPr>
        <w:t>oportunamente, el presente expediente a la Honorable Corte Constitucional para su eventual revisión</w:t>
      </w:r>
      <w:r w:rsidR="0093035F" w:rsidRPr="00D75069">
        <w:rPr>
          <w:rFonts w:ascii="Arial Narrow" w:hAnsi="Arial Narrow"/>
          <w:sz w:val="26"/>
          <w:szCs w:val="26"/>
          <w:lang w:val="es-ES_tradnl"/>
        </w:rPr>
        <w:t>.</w:t>
      </w:r>
    </w:p>
    <w:p w14:paraId="51340429" w14:textId="77777777" w:rsidR="00AE1EDE" w:rsidRPr="00D75069" w:rsidRDefault="00AE1EDE" w:rsidP="002A2CCF">
      <w:pPr>
        <w:pStyle w:val="Sinespaciado"/>
        <w:spacing w:line="276" w:lineRule="auto"/>
        <w:jc w:val="both"/>
        <w:rPr>
          <w:rFonts w:ascii="Arial Narrow" w:hAnsi="Arial Narrow" w:cs="Arial Narrow"/>
          <w:bCs/>
          <w:sz w:val="26"/>
          <w:szCs w:val="26"/>
          <w:lang w:val="es-ES_tradnl" w:eastAsia="es-MX"/>
        </w:rPr>
      </w:pPr>
    </w:p>
    <w:p w14:paraId="5390835E" w14:textId="77777777" w:rsidR="002E3F69" w:rsidRPr="00D75069" w:rsidRDefault="00DA6353" w:rsidP="002A2CCF">
      <w:pPr>
        <w:pStyle w:val="Sinespaciado"/>
        <w:spacing w:line="276" w:lineRule="auto"/>
        <w:jc w:val="both"/>
        <w:rPr>
          <w:rFonts w:ascii="Arial Narrow" w:hAnsi="Arial Narrow" w:cs="Arial Narrow"/>
          <w:bCs/>
          <w:sz w:val="26"/>
          <w:szCs w:val="26"/>
          <w:lang w:val="es-ES_tradnl" w:eastAsia="es-MX"/>
        </w:rPr>
      </w:pPr>
      <w:r w:rsidRPr="00D75069">
        <w:rPr>
          <w:rFonts w:ascii="Arial Narrow" w:hAnsi="Arial Narrow" w:cs="Arial"/>
          <w:b/>
          <w:sz w:val="26"/>
          <w:szCs w:val="26"/>
          <w:lang w:val="es-ES_tradnl"/>
        </w:rPr>
        <w:t xml:space="preserve">CUARTO: </w:t>
      </w:r>
      <w:r w:rsidR="002E3F69" w:rsidRPr="00D75069">
        <w:rPr>
          <w:rFonts w:ascii="Arial Narrow" w:hAnsi="Arial Narrow" w:cs="Arial"/>
          <w:b/>
          <w:bCs/>
          <w:sz w:val="26"/>
          <w:szCs w:val="26"/>
          <w:lang w:val="es-ES_tradnl"/>
        </w:rPr>
        <w:t xml:space="preserve">ARCHIVAR </w:t>
      </w:r>
      <w:r w:rsidR="002E3F69" w:rsidRPr="00D75069">
        <w:rPr>
          <w:rFonts w:ascii="Arial Narrow" w:hAnsi="Arial Narrow" w:cs="Arial"/>
          <w:bCs/>
          <w:sz w:val="26"/>
          <w:szCs w:val="26"/>
          <w:lang w:val="es-ES_tradnl"/>
        </w:rPr>
        <w:t xml:space="preserve">el expediente, previa anotación en los libros </w:t>
      </w:r>
      <w:proofErr w:type="spellStart"/>
      <w:r w:rsidR="002E3F69" w:rsidRPr="00D75069">
        <w:rPr>
          <w:rFonts w:ascii="Arial Narrow" w:hAnsi="Arial Narrow" w:cs="Arial"/>
          <w:bCs/>
          <w:sz w:val="26"/>
          <w:szCs w:val="26"/>
          <w:lang w:val="es-ES_tradnl"/>
        </w:rPr>
        <w:t>radicadores</w:t>
      </w:r>
      <w:proofErr w:type="spellEnd"/>
      <w:r w:rsidR="002E3F69" w:rsidRPr="00D75069">
        <w:rPr>
          <w:rFonts w:ascii="Arial Narrow" w:hAnsi="Arial Narrow" w:cs="Arial"/>
          <w:bCs/>
          <w:sz w:val="26"/>
          <w:szCs w:val="26"/>
          <w:lang w:val="es-ES_tradnl"/>
        </w:rPr>
        <w:t>, una vez agotado el trámite ante la Corte Constitucional, siempre y cuando no exista actuación pendiente alguna</w:t>
      </w:r>
    </w:p>
    <w:p w14:paraId="6A0C8B42" w14:textId="77777777" w:rsidR="00E20047" w:rsidRPr="00D75069" w:rsidRDefault="00E20047" w:rsidP="002A2CCF">
      <w:pPr>
        <w:pStyle w:val="Sinespaciado"/>
        <w:spacing w:line="276" w:lineRule="auto"/>
        <w:jc w:val="both"/>
        <w:rPr>
          <w:rFonts w:ascii="Arial Narrow" w:hAnsi="Arial Narrow"/>
          <w:b/>
          <w:sz w:val="26"/>
          <w:szCs w:val="26"/>
          <w:lang w:val="es-ES_tradnl"/>
        </w:rPr>
      </w:pPr>
    </w:p>
    <w:p w14:paraId="7E474235" w14:textId="2F61C861" w:rsidR="00E20047" w:rsidRPr="00D75069" w:rsidRDefault="00E20047" w:rsidP="002A2CCF">
      <w:pPr>
        <w:spacing w:line="276" w:lineRule="auto"/>
        <w:ind w:right="49"/>
        <w:jc w:val="center"/>
        <w:rPr>
          <w:rFonts w:ascii="Arial Narrow" w:hAnsi="Arial Narrow"/>
          <w:b/>
          <w:iCs/>
          <w:sz w:val="26"/>
          <w:szCs w:val="26"/>
        </w:rPr>
      </w:pPr>
      <w:r w:rsidRPr="00D75069">
        <w:rPr>
          <w:rFonts w:ascii="Arial Narrow" w:hAnsi="Arial Narrow"/>
          <w:b/>
          <w:iCs/>
          <w:sz w:val="26"/>
          <w:szCs w:val="26"/>
        </w:rPr>
        <w:t>NOTIFÍQUESE Y CÚMPLASE</w:t>
      </w:r>
    </w:p>
    <w:p w14:paraId="0EC3E64A" w14:textId="77777777" w:rsidR="00C15F84" w:rsidRPr="00D75069" w:rsidRDefault="00C15F84" w:rsidP="002A2CCF">
      <w:pPr>
        <w:spacing w:line="276" w:lineRule="auto"/>
        <w:ind w:right="49"/>
        <w:jc w:val="center"/>
        <w:rPr>
          <w:rFonts w:ascii="Arial Narrow" w:hAnsi="Arial Narrow"/>
          <w:b/>
          <w:bCs/>
          <w:sz w:val="26"/>
          <w:szCs w:val="26"/>
        </w:rPr>
      </w:pPr>
    </w:p>
    <w:p w14:paraId="67EB4358" w14:textId="77777777" w:rsidR="00D75069" w:rsidRPr="002677B3" w:rsidRDefault="00D75069" w:rsidP="00D75069">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47838393" w14:textId="77777777" w:rsidR="00D75069" w:rsidRPr="002677B3" w:rsidRDefault="00D75069" w:rsidP="00D75069">
      <w:pPr>
        <w:widowControl w:val="0"/>
        <w:spacing w:line="276" w:lineRule="auto"/>
        <w:jc w:val="both"/>
        <w:rPr>
          <w:rFonts w:ascii="Arial Narrow" w:hAnsi="Arial Narrow"/>
          <w:sz w:val="26"/>
          <w:szCs w:val="26"/>
        </w:rPr>
      </w:pPr>
    </w:p>
    <w:p w14:paraId="1B5B7ADE" w14:textId="7A484037" w:rsidR="00D75069" w:rsidRDefault="00D75069" w:rsidP="00D75069">
      <w:pPr>
        <w:widowControl w:val="0"/>
        <w:spacing w:line="276" w:lineRule="auto"/>
        <w:jc w:val="both"/>
        <w:rPr>
          <w:rFonts w:ascii="Arial Narrow" w:hAnsi="Arial Narrow"/>
          <w:b/>
          <w:sz w:val="26"/>
          <w:szCs w:val="26"/>
        </w:rPr>
      </w:pPr>
    </w:p>
    <w:p w14:paraId="40D48A52" w14:textId="77777777" w:rsidR="006F172F" w:rsidRPr="002677B3" w:rsidRDefault="006F172F" w:rsidP="00D75069">
      <w:pPr>
        <w:widowControl w:val="0"/>
        <w:spacing w:line="276" w:lineRule="auto"/>
        <w:jc w:val="both"/>
        <w:rPr>
          <w:rFonts w:ascii="Arial Narrow" w:hAnsi="Arial Narrow"/>
          <w:b/>
          <w:sz w:val="26"/>
          <w:szCs w:val="26"/>
        </w:rPr>
      </w:pPr>
    </w:p>
    <w:p w14:paraId="1F854FAC" w14:textId="77777777" w:rsidR="00D75069" w:rsidRPr="002677B3" w:rsidRDefault="00D75069" w:rsidP="00D75069">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584E35BA" w14:textId="34CB4DDF" w:rsidR="00D75069" w:rsidRDefault="00D75069"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67734EE" w14:textId="77777777" w:rsidR="006F172F" w:rsidRPr="002677B3" w:rsidRDefault="006F172F"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B6FFBE8" w14:textId="77777777" w:rsidR="00D75069" w:rsidRPr="002677B3" w:rsidRDefault="00D75069"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B76F421" w14:textId="77777777" w:rsidR="00D75069" w:rsidRPr="002677B3" w:rsidRDefault="00D75069" w:rsidP="00D75069">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5D806BB4" w14:textId="72C4E4BD" w:rsidR="00D75069" w:rsidRDefault="00D75069"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t>Con salvamento de voto</w:t>
      </w:r>
    </w:p>
    <w:p w14:paraId="068820DF" w14:textId="56369542" w:rsidR="00D75069" w:rsidRDefault="00D75069"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p>
    <w:p w14:paraId="0708D621" w14:textId="77777777" w:rsidR="006F172F" w:rsidRPr="00D75069" w:rsidRDefault="006F172F"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p>
    <w:p w14:paraId="22B0D0CD" w14:textId="77777777" w:rsidR="00D75069" w:rsidRPr="002677B3" w:rsidRDefault="00D75069"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35F7DA1" w14:textId="55510203" w:rsidR="00F46B69" w:rsidRPr="00D75069" w:rsidRDefault="00D75069" w:rsidP="00D75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F46B69" w:rsidRPr="00D75069" w:rsidSect="00923590">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DD54" w14:textId="77777777" w:rsidR="00320405" w:rsidRDefault="00320405" w:rsidP="00E20047">
      <w:r>
        <w:separator/>
      </w:r>
    </w:p>
  </w:endnote>
  <w:endnote w:type="continuationSeparator" w:id="0">
    <w:p w14:paraId="78D06758" w14:textId="77777777" w:rsidR="00320405" w:rsidRDefault="00320405" w:rsidP="00E20047">
      <w:r>
        <w:continuationSeparator/>
      </w:r>
    </w:p>
  </w:endnote>
  <w:endnote w:type="continuationNotice" w:id="1">
    <w:p w14:paraId="650433F1" w14:textId="77777777" w:rsidR="00320405" w:rsidRDefault="00320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A42D" w14:textId="77777777" w:rsidR="00320405" w:rsidRDefault="00320405" w:rsidP="00E20047">
      <w:r>
        <w:separator/>
      </w:r>
    </w:p>
  </w:footnote>
  <w:footnote w:type="continuationSeparator" w:id="0">
    <w:p w14:paraId="61A8F4D6" w14:textId="77777777" w:rsidR="00320405" w:rsidRDefault="00320405" w:rsidP="00E20047">
      <w:r>
        <w:continuationSeparator/>
      </w:r>
    </w:p>
  </w:footnote>
  <w:footnote w:type="continuationNotice" w:id="1">
    <w:p w14:paraId="1E7212A7" w14:textId="77777777" w:rsidR="00320405" w:rsidRDefault="00320405"/>
  </w:footnote>
  <w:footnote w:id="2">
    <w:p w14:paraId="7CB20862" w14:textId="77777777" w:rsidR="001444B6" w:rsidRPr="00923590" w:rsidRDefault="001444B6"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Archivo 02 del cuaderno de primera instancia</w:t>
      </w:r>
    </w:p>
  </w:footnote>
  <w:footnote w:id="3">
    <w:p w14:paraId="54F88A15" w14:textId="77777777" w:rsidR="00747364" w:rsidRPr="00923590" w:rsidRDefault="00747364"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Archivo 05 del cuaderno de primera instancia</w:t>
      </w:r>
    </w:p>
  </w:footnote>
  <w:footnote w:id="4">
    <w:p w14:paraId="5DD62750" w14:textId="77777777" w:rsidR="00686C6A" w:rsidRPr="00923590" w:rsidRDefault="00686C6A"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w:t>
      </w:r>
      <w:r w:rsidR="005439C7" w:rsidRPr="00923590">
        <w:rPr>
          <w:rFonts w:ascii="Arial" w:hAnsi="Arial" w:cs="Arial"/>
          <w:sz w:val="18"/>
          <w:szCs w:val="18"/>
        </w:rPr>
        <w:t>Archivo 0</w:t>
      </w:r>
      <w:r w:rsidR="00747364" w:rsidRPr="00923590">
        <w:rPr>
          <w:rFonts w:ascii="Arial" w:hAnsi="Arial" w:cs="Arial"/>
          <w:sz w:val="18"/>
          <w:szCs w:val="18"/>
        </w:rPr>
        <w:t>8</w:t>
      </w:r>
      <w:r w:rsidR="000C76C9" w:rsidRPr="00923590">
        <w:rPr>
          <w:rFonts w:ascii="Arial" w:hAnsi="Arial" w:cs="Arial"/>
          <w:sz w:val="18"/>
          <w:szCs w:val="18"/>
        </w:rPr>
        <w:t xml:space="preserve"> del cuaderno de primera instancia</w:t>
      </w:r>
    </w:p>
  </w:footnote>
  <w:footnote w:id="5">
    <w:p w14:paraId="7BAF002D" w14:textId="77777777" w:rsidR="00E20A6D" w:rsidRPr="00923590" w:rsidRDefault="00E20A6D"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Archivo 11 del cuaderno de primera instancia</w:t>
      </w:r>
    </w:p>
  </w:footnote>
  <w:footnote w:id="6">
    <w:p w14:paraId="03A6AF91" w14:textId="77777777" w:rsidR="005439C7" w:rsidRPr="00923590" w:rsidRDefault="005439C7"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00E20A6D" w:rsidRPr="00923590">
        <w:rPr>
          <w:rFonts w:ascii="Arial" w:hAnsi="Arial" w:cs="Arial"/>
          <w:sz w:val="18"/>
          <w:szCs w:val="18"/>
        </w:rPr>
        <w:t xml:space="preserve"> Archivo </w:t>
      </w:r>
      <w:r w:rsidRPr="00923590">
        <w:rPr>
          <w:rFonts w:ascii="Arial" w:hAnsi="Arial" w:cs="Arial"/>
          <w:sz w:val="18"/>
          <w:szCs w:val="18"/>
        </w:rPr>
        <w:t>19 del cuaderno de primera instancia</w:t>
      </w:r>
    </w:p>
  </w:footnote>
  <w:footnote w:id="7">
    <w:p w14:paraId="2CAA12D6" w14:textId="77777777" w:rsidR="00A04743" w:rsidRPr="00923590" w:rsidRDefault="00A04743" w:rsidP="00923590">
      <w:pPr>
        <w:pStyle w:val="Textonotapie"/>
        <w:jc w:val="both"/>
        <w:rPr>
          <w:rFonts w:ascii="Arial" w:hAnsi="Arial" w:cs="Arial"/>
          <w:i/>
          <w:iCs/>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Cfr. Corte Constitucional. Sentencia T-053 del 2020. </w:t>
      </w:r>
    </w:p>
  </w:footnote>
  <w:footnote w:id="8">
    <w:p w14:paraId="13A16852" w14:textId="77777777" w:rsidR="00A04743" w:rsidRPr="00923590" w:rsidRDefault="00A04743"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Cfr. Corte Constitucional Sentencia SU-080 de 2020. </w:t>
      </w:r>
    </w:p>
  </w:footnote>
  <w:footnote w:id="9">
    <w:p w14:paraId="322BDDB1" w14:textId="77777777" w:rsidR="00A04743" w:rsidRPr="00923590" w:rsidRDefault="00A04743" w:rsidP="00923590">
      <w:pPr>
        <w:pStyle w:val="Textonotapie"/>
        <w:jc w:val="both"/>
        <w:rPr>
          <w:rFonts w:ascii="Arial" w:hAnsi="Arial" w:cs="Arial"/>
          <w:sz w:val="18"/>
          <w:szCs w:val="18"/>
          <w:lang w:val="es-MX"/>
        </w:rPr>
      </w:pPr>
      <w:r w:rsidRPr="00923590">
        <w:rPr>
          <w:rStyle w:val="Smbolodenotaalpie"/>
          <w:rFonts w:ascii="Arial" w:hAnsi="Arial" w:cs="Arial"/>
          <w:sz w:val="18"/>
          <w:szCs w:val="18"/>
        </w:rPr>
        <w:footnoteRef/>
      </w:r>
      <w:r w:rsidRPr="00923590">
        <w:rPr>
          <w:rFonts w:ascii="Arial" w:hAnsi="Arial" w:cs="Arial"/>
          <w:sz w:val="18"/>
          <w:szCs w:val="18"/>
          <w:lang w:val="es-MX"/>
        </w:rPr>
        <w:t xml:space="preserve"> </w:t>
      </w:r>
      <w:r w:rsidRPr="00923590">
        <w:rPr>
          <w:rFonts w:ascii="Arial" w:hAnsi="Arial" w:cs="Arial"/>
          <w:sz w:val="18"/>
          <w:szCs w:val="18"/>
          <w:lang w:val="es-CO"/>
        </w:rPr>
        <w:t>Sentencia SU-241 de 2015</w:t>
      </w:r>
    </w:p>
  </w:footnote>
  <w:footnote w:id="10">
    <w:p w14:paraId="57E4A937" w14:textId="77777777" w:rsidR="00A04743" w:rsidRPr="00923590" w:rsidRDefault="00A04743"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00680C92" w:rsidRPr="00923590">
        <w:rPr>
          <w:rFonts w:ascii="Arial" w:hAnsi="Arial" w:cs="Arial"/>
          <w:sz w:val="18"/>
          <w:szCs w:val="18"/>
        </w:rPr>
        <w:t xml:space="preserve"> Archivo 02</w:t>
      </w:r>
      <w:r w:rsidRPr="00923590">
        <w:rPr>
          <w:rFonts w:ascii="Arial" w:hAnsi="Arial" w:cs="Arial"/>
          <w:sz w:val="18"/>
          <w:szCs w:val="18"/>
        </w:rPr>
        <w:t xml:space="preserve"> del cuaderno principal que </w:t>
      </w:r>
      <w:r w:rsidR="002E197B" w:rsidRPr="00923590">
        <w:rPr>
          <w:rFonts w:ascii="Arial" w:hAnsi="Arial" w:cs="Arial"/>
          <w:sz w:val="18"/>
          <w:szCs w:val="18"/>
        </w:rPr>
        <w:t>contiene la acción popular</w:t>
      </w:r>
    </w:p>
  </w:footnote>
  <w:footnote w:id="11">
    <w:p w14:paraId="7A3C7B9E" w14:textId="77777777" w:rsidR="002E197B" w:rsidRPr="00923590" w:rsidRDefault="002E197B"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00680C92" w:rsidRPr="00923590">
        <w:rPr>
          <w:rFonts w:ascii="Arial" w:hAnsi="Arial" w:cs="Arial"/>
          <w:sz w:val="18"/>
          <w:szCs w:val="18"/>
        </w:rPr>
        <w:t xml:space="preserve"> Archivo 04</w:t>
      </w:r>
      <w:r w:rsidRPr="00923590">
        <w:rPr>
          <w:rFonts w:ascii="Arial" w:hAnsi="Arial" w:cs="Arial"/>
          <w:sz w:val="18"/>
          <w:szCs w:val="18"/>
        </w:rPr>
        <w:t xml:space="preserve"> del cuaderno principal que contiene la acción popular</w:t>
      </w:r>
    </w:p>
  </w:footnote>
  <w:footnote w:id="12">
    <w:p w14:paraId="7D5F5807" w14:textId="77777777" w:rsidR="00680C92" w:rsidRPr="00923590" w:rsidRDefault="00680C92"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Archivo 06 del cuaderno principal que contiene la acción popular</w:t>
      </w:r>
    </w:p>
  </w:footnote>
  <w:footnote w:id="13">
    <w:p w14:paraId="4DC0F9A8" w14:textId="77777777" w:rsidR="00680C92" w:rsidRPr="00923590" w:rsidRDefault="00680C92"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Archivo 07 del cuaderno principal que contiene la acción popular</w:t>
      </w:r>
    </w:p>
  </w:footnote>
  <w:footnote w:id="14">
    <w:p w14:paraId="7F367845" w14:textId="77777777" w:rsidR="00747756" w:rsidRPr="00923590" w:rsidRDefault="00747756" w:rsidP="00923590">
      <w:pPr>
        <w:pStyle w:val="Textonotapie"/>
        <w:jc w:val="both"/>
        <w:rPr>
          <w:rFonts w:ascii="Arial" w:hAnsi="Arial" w:cs="Arial"/>
          <w:sz w:val="18"/>
          <w:szCs w:val="18"/>
        </w:rPr>
      </w:pPr>
      <w:r w:rsidRPr="00923590">
        <w:rPr>
          <w:rStyle w:val="Refdenotaalpie"/>
          <w:rFonts w:ascii="Arial" w:hAnsi="Arial" w:cs="Arial"/>
          <w:sz w:val="18"/>
          <w:szCs w:val="18"/>
        </w:rPr>
        <w:footnoteRef/>
      </w:r>
      <w:r w:rsidRPr="00923590">
        <w:rPr>
          <w:rFonts w:ascii="Arial" w:hAnsi="Arial" w:cs="Arial"/>
          <w:sz w:val="18"/>
          <w:szCs w:val="18"/>
        </w:rPr>
        <w:t xml:space="preserve"> Archivo 17 del cuaderno principal que contiene la acción popular</w:t>
      </w:r>
    </w:p>
  </w:footnote>
  <w:footnote w:id="15">
    <w:p w14:paraId="67B0F1E4" w14:textId="77777777" w:rsidR="00A04743" w:rsidRPr="00923590" w:rsidRDefault="00A04743" w:rsidP="00923590">
      <w:pPr>
        <w:pStyle w:val="Textonotapie"/>
        <w:jc w:val="both"/>
        <w:rPr>
          <w:rFonts w:ascii="Arial" w:hAnsi="Arial" w:cs="Arial"/>
          <w:sz w:val="18"/>
          <w:szCs w:val="18"/>
          <w:lang w:val="es-CO"/>
        </w:rPr>
      </w:pPr>
      <w:r w:rsidRPr="00923590">
        <w:rPr>
          <w:rStyle w:val="Refdenotaalpie"/>
          <w:rFonts w:ascii="Arial" w:hAnsi="Arial" w:cs="Arial"/>
          <w:sz w:val="18"/>
          <w:szCs w:val="18"/>
        </w:rPr>
        <w:footnoteRef/>
      </w:r>
      <w:r w:rsidRPr="00923590">
        <w:rPr>
          <w:rFonts w:ascii="Arial" w:hAnsi="Arial" w:cs="Arial"/>
          <w:sz w:val="18"/>
          <w:szCs w:val="18"/>
        </w:rPr>
        <w:t xml:space="preserve"> </w:t>
      </w:r>
      <w:r w:rsidRPr="00923590">
        <w:rPr>
          <w:rFonts w:ascii="Arial" w:hAnsi="Arial" w:cs="Arial"/>
          <w:bCs/>
          <w:color w:val="2D2D2D"/>
          <w:sz w:val="18"/>
          <w:szCs w:val="18"/>
          <w:shd w:val="clear" w:color="auto" w:fill="FFFFFF"/>
          <w:lang w:val="es-ES"/>
        </w:rPr>
        <w:t>Sentencia T-451 de 2018</w:t>
      </w:r>
    </w:p>
  </w:footnote>
  <w:footnote w:id="16">
    <w:p w14:paraId="438F8A0C" w14:textId="17C6B7B6" w:rsidR="001D3114" w:rsidRPr="00EE6056" w:rsidRDefault="001D3114" w:rsidP="00923590">
      <w:pPr>
        <w:pStyle w:val="Textonotapie"/>
        <w:rPr>
          <w:rFonts w:ascii="Arial Narrow" w:hAnsi="Arial Narrow"/>
        </w:rPr>
      </w:pPr>
      <w:r w:rsidRPr="00923590">
        <w:rPr>
          <w:rStyle w:val="Refdenotaalpie"/>
          <w:rFonts w:ascii="Arial" w:hAnsi="Arial" w:cs="Arial"/>
          <w:sz w:val="18"/>
          <w:szCs w:val="18"/>
        </w:rPr>
        <w:footnoteRef/>
      </w:r>
      <w:r w:rsidRPr="00923590">
        <w:rPr>
          <w:rFonts w:ascii="Arial" w:hAnsi="Arial" w:cs="Arial"/>
          <w:sz w:val="18"/>
          <w:szCs w:val="18"/>
        </w:rPr>
        <w:t xml:space="preserve"> Corte Suprema de Justicia, Sala de Casación Civil. Sentencia </w:t>
      </w:r>
      <w:r w:rsidR="00EE6056" w:rsidRPr="00923590">
        <w:rPr>
          <w:rFonts w:ascii="Arial" w:hAnsi="Arial" w:cs="Arial"/>
          <w:sz w:val="18"/>
          <w:szCs w:val="18"/>
        </w:rPr>
        <w:t>STC7975-2021 de julio 01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CB53" w14:textId="6A0AAE0A" w:rsidR="002716F1" w:rsidRPr="00977E2A" w:rsidRDefault="00977E2A" w:rsidP="002716F1">
    <w:pPr>
      <w:pStyle w:val="Encabezado"/>
      <w:rPr>
        <w:rFonts w:ascii="Arial" w:eastAsiaTheme="minorHAnsi" w:hAnsi="Arial" w:cs="Arial"/>
        <w:bCs/>
        <w:sz w:val="18"/>
        <w:szCs w:val="16"/>
        <w:lang w:val="es-CO" w:eastAsia="en-US"/>
      </w:rPr>
    </w:pPr>
    <w:r w:rsidRPr="00977E2A">
      <w:rPr>
        <w:rFonts w:ascii="Arial" w:hAnsi="Arial" w:cs="Arial"/>
        <w:sz w:val="18"/>
        <w:szCs w:val="16"/>
      </w:rPr>
      <w:t>Acción de tutela</w:t>
    </w:r>
    <w:r w:rsidRPr="00977E2A">
      <w:rPr>
        <w:rFonts w:ascii="Arial" w:hAnsi="Arial" w:cs="Arial"/>
        <w:bCs/>
        <w:sz w:val="18"/>
        <w:szCs w:val="16"/>
      </w:rPr>
      <w:t xml:space="preserve"> </w:t>
    </w:r>
  </w:p>
  <w:p w14:paraId="6AEC3401" w14:textId="7BA14B53" w:rsidR="006C4402" w:rsidRPr="00977E2A" w:rsidRDefault="002716F1">
    <w:pPr>
      <w:pStyle w:val="Encabezado"/>
      <w:rPr>
        <w:rFonts w:ascii="Arial" w:hAnsi="Arial" w:cs="Arial"/>
        <w:sz w:val="18"/>
        <w:szCs w:val="16"/>
      </w:rPr>
    </w:pPr>
    <w:r w:rsidRPr="00977E2A">
      <w:rPr>
        <w:rFonts w:ascii="Arial" w:hAnsi="Arial" w:cs="Arial"/>
        <w:sz w:val="18"/>
        <w:szCs w:val="16"/>
      </w:rPr>
      <w:t xml:space="preserve">RAD. ÚNICO: </w:t>
    </w:r>
    <w:r w:rsidR="009841FC" w:rsidRPr="00977E2A">
      <w:rPr>
        <w:rFonts w:ascii="Arial" w:hAnsi="Arial" w:cs="Arial"/>
        <w:sz w:val="18"/>
        <w:szCs w:val="16"/>
      </w:rPr>
      <w:t>660012213000202100340</w:t>
    </w:r>
    <w:r w:rsidR="00CA0A38" w:rsidRPr="00977E2A">
      <w:rPr>
        <w:rFonts w:ascii="Arial" w:hAnsi="Arial" w:cs="Arial"/>
        <w:sz w:val="18"/>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55CC"/>
    <w:rsid w:val="00007DD6"/>
    <w:rsid w:val="00013505"/>
    <w:rsid w:val="00017AE7"/>
    <w:rsid w:val="0002202E"/>
    <w:rsid w:val="000248C4"/>
    <w:rsid w:val="00027F4C"/>
    <w:rsid w:val="00040ED3"/>
    <w:rsid w:val="000510E4"/>
    <w:rsid w:val="0005474B"/>
    <w:rsid w:val="000651FE"/>
    <w:rsid w:val="000673F2"/>
    <w:rsid w:val="00073ABB"/>
    <w:rsid w:val="0007727E"/>
    <w:rsid w:val="00092CDE"/>
    <w:rsid w:val="000A1C66"/>
    <w:rsid w:val="000A2BA3"/>
    <w:rsid w:val="000A6A0E"/>
    <w:rsid w:val="000C76C9"/>
    <w:rsid w:val="000D1141"/>
    <w:rsid w:val="000E1229"/>
    <w:rsid w:val="000E34C5"/>
    <w:rsid w:val="000E4F00"/>
    <w:rsid w:val="000E6279"/>
    <w:rsid w:val="000F1286"/>
    <w:rsid w:val="000F4CD6"/>
    <w:rsid w:val="00114592"/>
    <w:rsid w:val="00116EF1"/>
    <w:rsid w:val="00117503"/>
    <w:rsid w:val="00117889"/>
    <w:rsid w:val="00122F5F"/>
    <w:rsid w:val="00124AA9"/>
    <w:rsid w:val="00130C49"/>
    <w:rsid w:val="00141AAE"/>
    <w:rsid w:val="001444B6"/>
    <w:rsid w:val="001508C6"/>
    <w:rsid w:val="001568A5"/>
    <w:rsid w:val="001659A4"/>
    <w:rsid w:val="00165DBA"/>
    <w:rsid w:val="00186C87"/>
    <w:rsid w:val="00192EF3"/>
    <w:rsid w:val="00192FEB"/>
    <w:rsid w:val="00194918"/>
    <w:rsid w:val="00196F3D"/>
    <w:rsid w:val="001A1A9E"/>
    <w:rsid w:val="001A4361"/>
    <w:rsid w:val="001A5898"/>
    <w:rsid w:val="001B00BA"/>
    <w:rsid w:val="001B1D0B"/>
    <w:rsid w:val="001C2E83"/>
    <w:rsid w:val="001C3D56"/>
    <w:rsid w:val="001C7116"/>
    <w:rsid w:val="001D1177"/>
    <w:rsid w:val="001D3114"/>
    <w:rsid w:val="001E1BE4"/>
    <w:rsid w:val="001F4026"/>
    <w:rsid w:val="001F4316"/>
    <w:rsid w:val="001F7808"/>
    <w:rsid w:val="00202743"/>
    <w:rsid w:val="0020397C"/>
    <w:rsid w:val="002128A0"/>
    <w:rsid w:val="00221BAC"/>
    <w:rsid w:val="0023188C"/>
    <w:rsid w:val="00244332"/>
    <w:rsid w:val="00245774"/>
    <w:rsid w:val="0025204C"/>
    <w:rsid w:val="0025751F"/>
    <w:rsid w:val="002603D6"/>
    <w:rsid w:val="00270B33"/>
    <w:rsid w:val="002716F1"/>
    <w:rsid w:val="00275CF3"/>
    <w:rsid w:val="002772E5"/>
    <w:rsid w:val="0028238B"/>
    <w:rsid w:val="0028282F"/>
    <w:rsid w:val="002858BF"/>
    <w:rsid w:val="00292859"/>
    <w:rsid w:val="00293AD6"/>
    <w:rsid w:val="00295E23"/>
    <w:rsid w:val="00296CF8"/>
    <w:rsid w:val="0029B5DF"/>
    <w:rsid w:val="002A13C2"/>
    <w:rsid w:val="002A201E"/>
    <w:rsid w:val="002A2CCF"/>
    <w:rsid w:val="002B0305"/>
    <w:rsid w:val="002B1D44"/>
    <w:rsid w:val="002C3024"/>
    <w:rsid w:val="002D0E83"/>
    <w:rsid w:val="002D2304"/>
    <w:rsid w:val="002D3F6C"/>
    <w:rsid w:val="002E197B"/>
    <w:rsid w:val="002E23E5"/>
    <w:rsid w:val="002E3F69"/>
    <w:rsid w:val="002E456D"/>
    <w:rsid w:val="002F3CD9"/>
    <w:rsid w:val="002F6A7C"/>
    <w:rsid w:val="00303423"/>
    <w:rsid w:val="00313599"/>
    <w:rsid w:val="00313F46"/>
    <w:rsid w:val="003151ED"/>
    <w:rsid w:val="00320405"/>
    <w:rsid w:val="00321E1F"/>
    <w:rsid w:val="00326DBE"/>
    <w:rsid w:val="003302FC"/>
    <w:rsid w:val="003308DE"/>
    <w:rsid w:val="0034205D"/>
    <w:rsid w:val="00351621"/>
    <w:rsid w:val="0035186B"/>
    <w:rsid w:val="00353A1A"/>
    <w:rsid w:val="003667D5"/>
    <w:rsid w:val="0038368C"/>
    <w:rsid w:val="00391EA3"/>
    <w:rsid w:val="003970E2"/>
    <w:rsid w:val="003A6A7A"/>
    <w:rsid w:val="003B7486"/>
    <w:rsid w:val="003C0D35"/>
    <w:rsid w:val="003C3B69"/>
    <w:rsid w:val="003D3AEA"/>
    <w:rsid w:val="003D4A77"/>
    <w:rsid w:val="003E0F7C"/>
    <w:rsid w:val="003E30D2"/>
    <w:rsid w:val="003E317F"/>
    <w:rsid w:val="00400B84"/>
    <w:rsid w:val="0040101B"/>
    <w:rsid w:val="00406622"/>
    <w:rsid w:val="00406F3B"/>
    <w:rsid w:val="00407C50"/>
    <w:rsid w:val="004153F2"/>
    <w:rsid w:val="00424018"/>
    <w:rsid w:val="0042574F"/>
    <w:rsid w:val="00425E05"/>
    <w:rsid w:val="00432710"/>
    <w:rsid w:val="00456A42"/>
    <w:rsid w:val="004571DA"/>
    <w:rsid w:val="00486730"/>
    <w:rsid w:val="004878F8"/>
    <w:rsid w:val="00494749"/>
    <w:rsid w:val="004A6BBF"/>
    <w:rsid w:val="004B0EF7"/>
    <w:rsid w:val="004B143C"/>
    <w:rsid w:val="004B37FD"/>
    <w:rsid w:val="004B614B"/>
    <w:rsid w:val="004D2B0E"/>
    <w:rsid w:val="004D2EA6"/>
    <w:rsid w:val="004E34C5"/>
    <w:rsid w:val="004E5FD4"/>
    <w:rsid w:val="004F3F90"/>
    <w:rsid w:val="00507AE3"/>
    <w:rsid w:val="0051152D"/>
    <w:rsid w:val="00526914"/>
    <w:rsid w:val="0053062F"/>
    <w:rsid w:val="0053215C"/>
    <w:rsid w:val="0053643E"/>
    <w:rsid w:val="0053683D"/>
    <w:rsid w:val="00541973"/>
    <w:rsid w:val="005439C7"/>
    <w:rsid w:val="0054440A"/>
    <w:rsid w:val="00544CE8"/>
    <w:rsid w:val="005454E7"/>
    <w:rsid w:val="00545590"/>
    <w:rsid w:val="00556CD2"/>
    <w:rsid w:val="0056381C"/>
    <w:rsid w:val="0057351B"/>
    <w:rsid w:val="00573C19"/>
    <w:rsid w:val="0057518F"/>
    <w:rsid w:val="00577A96"/>
    <w:rsid w:val="005805B8"/>
    <w:rsid w:val="00586119"/>
    <w:rsid w:val="005875F3"/>
    <w:rsid w:val="00592645"/>
    <w:rsid w:val="005A281B"/>
    <w:rsid w:val="005A59AF"/>
    <w:rsid w:val="005A6270"/>
    <w:rsid w:val="005C1DC7"/>
    <w:rsid w:val="005C66C9"/>
    <w:rsid w:val="005C6A7C"/>
    <w:rsid w:val="005D1FEA"/>
    <w:rsid w:val="005D2391"/>
    <w:rsid w:val="005E105F"/>
    <w:rsid w:val="005F63F8"/>
    <w:rsid w:val="006121B4"/>
    <w:rsid w:val="00631633"/>
    <w:rsid w:val="006360BE"/>
    <w:rsid w:val="0063776D"/>
    <w:rsid w:val="006434BB"/>
    <w:rsid w:val="00643D28"/>
    <w:rsid w:val="00654D07"/>
    <w:rsid w:val="00661AEA"/>
    <w:rsid w:val="00664E52"/>
    <w:rsid w:val="00672D15"/>
    <w:rsid w:val="00673CA6"/>
    <w:rsid w:val="00680C92"/>
    <w:rsid w:val="00686C6A"/>
    <w:rsid w:val="006907AF"/>
    <w:rsid w:val="00692554"/>
    <w:rsid w:val="0069582F"/>
    <w:rsid w:val="00697BDA"/>
    <w:rsid w:val="006A1B17"/>
    <w:rsid w:val="006B0A3C"/>
    <w:rsid w:val="006B3884"/>
    <w:rsid w:val="006B5164"/>
    <w:rsid w:val="006B648C"/>
    <w:rsid w:val="006C4402"/>
    <w:rsid w:val="006C60D8"/>
    <w:rsid w:val="006C62D4"/>
    <w:rsid w:val="006D3ADC"/>
    <w:rsid w:val="006E639E"/>
    <w:rsid w:val="006F172F"/>
    <w:rsid w:val="006F58C7"/>
    <w:rsid w:val="006F5F45"/>
    <w:rsid w:val="006F7531"/>
    <w:rsid w:val="00704CD7"/>
    <w:rsid w:val="00715743"/>
    <w:rsid w:val="00715A74"/>
    <w:rsid w:val="00724C6B"/>
    <w:rsid w:val="00727F50"/>
    <w:rsid w:val="00733201"/>
    <w:rsid w:val="00736D3E"/>
    <w:rsid w:val="00747364"/>
    <w:rsid w:val="00747756"/>
    <w:rsid w:val="00751A74"/>
    <w:rsid w:val="00754027"/>
    <w:rsid w:val="007579D9"/>
    <w:rsid w:val="007612F0"/>
    <w:rsid w:val="00771EAA"/>
    <w:rsid w:val="00774B7F"/>
    <w:rsid w:val="0077754C"/>
    <w:rsid w:val="00782EAE"/>
    <w:rsid w:val="00784111"/>
    <w:rsid w:val="0079188E"/>
    <w:rsid w:val="00795E12"/>
    <w:rsid w:val="007B2598"/>
    <w:rsid w:val="007B43D3"/>
    <w:rsid w:val="007B7797"/>
    <w:rsid w:val="007C2E4E"/>
    <w:rsid w:val="007C5CA1"/>
    <w:rsid w:val="007D1E76"/>
    <w:rsid w:val="007F56AF"/>
    <w:rsid w:val="007F6132"/>
    <w:rsid w:val="008002D1"/>
    <w:rsid w:val="00812E2F"/>
    <w:rsid w:val="00813CD5"/>
    <w:rsid w:val="0083490D"/>
    <w:rsid w:val="00835896"/>
    <w:rsid w:val="00844577"/>
    <w:rsid w:val="0086063E"/>
    <w:rsid w:val="00860DC1"/>
    <w:rsid w:val="00860E66"/>
    <w:rsid w:val="00861EC6"/>
    <w:rsid w:val="008629C4"/>
    <w:rsid w:val="00863B51"/>
    <w:rsid w:val="00866643"/>
    <w:rsid w:val="00867862"/>
    <w:rsid w:val="00880468"/>
    <w:rsid w:val="0088551F"/>
    <w:rsid w:val="0088620D"/>
    <w:rsid w:val="00887677"/>
    <w:rsid w:val="00890A85"/>
    <w:rsid w:val="00895E0A"/>
    <w:rsid w:val="008A256D"/>
    <w:rsid w:val="008A5913"/>
    <w:rsid w:val="008B333D"/>
    <w:rsid w:val="008D21FF"/>
    <w:rsid w:val="008D48E7"/>
    <w:rsid w:val="008D6FE6"/>
    <w:rsid w:val="008D7D14"/>
    <w:rsid w:val="008E7315"/>
    <w:rsid w:val="008F3368"/>
    <w:rsid w:val="009103AE"/>
    <w:rsid w:val="00911346"/>
    <w:rsid w:val="0091324B"/>
    <w:rsid w:val="0092215C"/>
    <w:rsid w:val="00923590"/>
    <w:rsid w:val="0092366E"/>
    <w:rsid w:val="00923AE8"/>
    <w:rsid w:val="00925805"/>
    <w:rsid w:val="0093035F"/>
    <w:rsid w:val="00940B17"/>
    <w:rsid w:val="009571B2"/>
    <w:rsid w:val="0096263F"/>
    <w:rsid w:val="009631B3"/>
    <w:rsid w:val="0096522F"/>
    <w:rsid w:val="009655AC"/>
    <w:rsid w:val="00973C48"/>
    <w:rsid w:val="00975C47"/>
    <w:rsid w:val="00977E2A"/>
    <w:rsid w:val="009841FC"/>
    <w:rsid w:val="00984E4C"/>
    <w:rsid w:val="009922A3"/>
    <w:rsid w:val="009924B5"/>
    <w:rsid w:val="009936FC"/>
    <w:rsid w:val="00993DDF"/>
    <w:rsid w:val="009969EB"/>
    <w:rsid w:val="00997428"/>
    <w:rsid w:val="009A0AB0"/>
    <w:rsid w:val="009A16EF"/>
    <w:rsid w:val="009A1E7C"/>
    <w:rsid w:val="009B2920"/>
    <w:rsid w:val="009B40B3"/>
    <w:rsid w:val="009B639C"/>
    <w:rsid w:val="009C00E0"/>
    <w:rsid w:val="009D128A"/>
    <w:rsid w:val="009E3F4C"/>
    <w:rsid w:val="009E4726"/>
    <w:rsid w:val="009F52AB"/>
    <w:rsid w:val="009F71FC"/>
    <w:rsid w:val="00A02BE2"/>
    <w:rsid w:val="00A04743"/>
    <w:rsid w:val="00A05C86"/>
    <w:rsid w:val="00A15839"/>
    <w:rsid w:val="00A2070B"/>
    <w:rsid w:val="00A22F58"/>
    <w:rsid w:val="00A25102"/>
    <w:rsid w:val="00A31BFF"/>
    <w:rsid w:val="00A349BA"/>
    <w:rsid w:val="00A42C84"/>
    <w:rsid w:val="00A44C93"/>
    <w:rsid w:val="00A46AC2"/>
    <w:rsid w:val="00A47AED"/>
    <w:rsid w:val="00A51DFF"/>
    <w:rsid w:val="00A543BB"/>
    <w:rsid w:val="00A57A31"/>
    <w:rsid w:val="00A61325"/>
    <w:rsid w:val="00A91F96"/>
    <w:rsid w:val="00A971FC"/>
    <w:rsid w:val="00AA4B42"/>
    <w:rsid w:val="00AA71CD"/>
    <w:rsid w:val="00AB0039"/>
    <w:rsid w:val="00AC3B6C"/>
    <w:rsid w:val="00AC7A26"/>
    <w:rsid w:val="00AE1EDE"/>
    <w:rsid w:val="00AF3A26"/>
    <w:rsid w:val="00B03940"/>
    <w:rsid w:val="00B0464B"/>
    <w:rsid w:val="00B10BA3"/>
    <w:rsid w:val="00B128E6"/>
    <w:rsid w:val="00B24188"/>
    <w:rsid w:val="00B4031A"/>
    <w:rsid w:val="00B46DB6"/>
    <w:rsid w:val="00B60487"/>
    <w:rsid w:val="00B66FD6"/>
    <w:rsid w:val="00B7300E"/>
    <w:rsid w:val="00B75BA7"/>
    <w:rsid w:val="00B853A2"/>
    <w:rsid w:val="00B93483"/>
    <w:rsid w:val="00B938B5"/>
    <w:rsid w:val="00B96753"/>
    <w:rsid w:val="00BA2569"/>
    <w:rsid w:val="00BA3563"/>
    <w:rsid w:val="00BA59E7"/>
    <w:rsid w:val="00BB465A"/>
    <w:rsid w:val="00BC0F95"/>
    <w:rsid w:val="00BC6F34"/>
    <w:rsid w:val="00BC783B"/>
    <w:rsid w:val="00BD484A"/>
    <w:rsid w:val="00BE4FC4"/>
    <w:rsid w:val="00C03BAE"/>
    <w:rsid w:val="00C05E71"/>
    <w:rsid w:val="00C0641A"/>
    <w:rsid w:val="00C06A23"/>
    <w:rsid w:val="00C1059F"/>
    <w:rsid w:val="00C139B2"/>
    <w:rsid w:val="00C15F84"/>
    <w:rsid w:val="00C17F89"/>
    <w:rsid w:val="00C23478"/>
    <w:rsid w:val="00C237CF"/>
    <w:rsid w:val="00C279D6"/>
    <w:rsid w:val="00C32E2A"/>
    <w:rsid w:val="00C45DF1"/>
    <w:rsid w:val="00C46047"/>
    <w:rsid w:val="00C51687"/>
    <w:rsid w:val="00C60118"/>
    <w:rsid w:val="00C6288C"/>
    <w:rsid w:val="00C66CEF"/>
    <w:rsid w:val="00C71EF3"/>
    <w:rsid w:val="00C73CEC"/>
    <w:rsid w:val="00C83CA7"/>
    <w:rsid w:val="00C85E6C"/>
    <w:rsid w:val="00C94C0D"/>
    <w:rsid w:val="00C95EDF"/>
    <w:rsid w:val="00CA0A38"/>
    <w:rsid w:val="00CA153C"/>
    <w:rsid w:val="00CA753B"/>
    <w:rsid w:val="00CC07D5"/>
    <w:rsid w:val="00CD2ED9"/>
    <w:rsid w:val="00CE1FD6"/>
    <w:rsid w:val="00CF214B"/>
    <w:rsid w:val="00D02582"/>
    <w:rsid w:val="00D03324"/>
    <w:rsid w:val="00D31129"/>
    <w:rsid w:val="00D402BB"/>
    <w:rsid w:val="00D567BF"/>
    <w:rsid w:val="00D56BE9"/>
    <w:rsid w:val="00D66CFC"/>
    <w:rsid w:val="00D75069"/>
    <w:rsid w:val="00D77ACD"/>
    <w:rsid w:val="00D94D50"/>
    <w:rsid w:val="00DA6221"/>
    <w:rsid w:val="00DA6353"/>
    <w:rsid w:val="00DA6405"/>
    <w:rsid w:val="00DB29B4"/>
    <w:rsid w:val="00DB7B17"/>
    <w:rsid w:val="00DC503D"/>
    <w:rsid w:val="00DD1E8C"/>
    <w:rsid w:val="00DE3717"/>
    <w:rsid w:val="00DE69B5"/>
    <w:rsid w:val="00DF77B4"/>
    <w:rsid w:val="00E03304"/>
    <w:rsid w:val="00E1656A"/>
    <w:rsid w:val="00E20047"/>
    <w:rsid w:val="00E20A6D"/>
    <w:rsid w:val="00E43A02"/>
    <w:rsid w:val="00E5145E"/>
    <w:rsid w:val="00E53CF0"/>
    <w:rsid w:val="00E545E1"/>
    <w:rsid w:val="00E60F71"/>
    <w:rsid w:val="00E66426"/>
    <w:rsid w:val="00E67631"/>
    <w:rsid w:val="00E708FA"/>
    <w:rsid w:val="00E7209F"/>
    <w:rsid w:val="00E77A70"/>
    <w:rsid w:val="00E80768"/>
    <w:rsid w:val="00E91FC7"/>
    <w:rsid w:val="00E96AC4"/>
    <w:rsid w:val="00EA01FC"/>
    <w:rsid w:val="00EA559C"/>
    <w:rsid w:val="00EA68BA"/>
    <w:rsid w:val="00EA7145"/>
    <w:rsid w:val="00EB37A5"/>
    <w:rsid w:val="00EB3B99"/>
    <w:rsid w:val="00ED37A8"/>
    <w:rsid w:val="00ED3C96"/>
    <w:rsid w:val="00EE5CF4"/>
    <w:rsid w:val="00EE6056"/>
    <w:rsid w:val="00EF59C5"/>
    <w:rsid w:val="00F13FAD"/>
    <w:rsid w:val="00F2561A"/>
    <w:rsid w:val="00F34243"/>
    <w:rsid w:val="00F46B69"/>
    <w:rsid w:val="00F529A7"/>
    <w:rsid w:val="00F651F0"/>
    <w:rsid w:val="00F7080A"/>
    <w:rsid w:val="00F74EEA"/>
    <w:rsid w:val="00F75A4F"/>
    <w:rsid w:val="00F93EE2"/>
    <w:rsid w:val="00F97991"/>
    <w:rsid w:val="00FC7C01"/>
    <w:rsid w:val="00FD35BF"/>
    <w:rsid w:val="00FD6499"/>
    <w:rsid w:val="00FD7324"/>
    <w:rsid w:val="00FE1F51"/>
    <w:rsid w:val="00FE330D"/>
    <w:rsid w:val="00FE6C13"/>
    <w:rsid w:val="00FF0F74"/>
    <w:rsid w:val="00FF3248"/>
    <w:rsid w:val="00FF3381"/>
    <w:rsid w:val="00FF652E"/>
    <w:rsid w:val="056E0A98"/>
    <w:rsid w:val="06ACBEA3"/>
    <w:rsid w:val="0709DAF9"/>
    <w:rsid w:val="070B8C63"/>
    <w:rsid w:val="0921E11A"/>
    <w:rsid w:val="10152B27"/>
    <w:rsid w:val="10578B89"/>
    <w:rsid w:val="10B55967"/>
    <w:rsid w:val="15A8586A"/>
    <w:rsid w:val="15D17D5A"/>
    <w:rsid w:val="163417B8"/>
    <w:rsid w:val="17970065"/>
    <w:rsid w:val="183BEBD9"/>
    <w:rsid w:val="18CEB47B"/>
    <w:rsid w:val="198903B4"/>
    <w:rsid w:val="1C4C2859"/>
    <w:rsid w:val="1CAE9F56"/>
    <w:rsid w:val="1F73C63D"/>
    <w:rsid w:val="23F31C44"/>
    <w:rsid w:val="2648AF85"/>
    <w:rsid w:val="278BB3D5"/>
    <w:rsid w:val="28F6FD87"/>
    <w:rsid w:val="2CE42A6C"/>
    <w:rsid w:val="2F16D13E"/>
    <w:rsid w:val="33872415"/>
    <w:rsid w:val="34F3FFCF"/>
    <w:rsid w:val="35982A95"/>
    <w:rsid w:val="3B413244"/>
    <w:rsid w:val="3B48458E"/>
    <w:rsid w:val="3B7A3AE3"/>
    <w:rsid w:val="3E6E97C2"/>
    <w:rsid w:val="3F0BFF50"/>
    <w:rsid w:val="41BC885C"/>
    <w:rsid w:val="44275E43"/>
    <w:rsid w:val="44DF9087"/>
    <w:rsid w:val="4514B899"/>
    <w:rsid w:val="4CCC48E1"/>
    <w:rsid w:val="4DF0623D"/>
    <w:rsid w:val="4E49BE18"/>
    <w:rsid w:val="52E54456"/>
    <w:rsid w:val="53C7739F"/>
    <w:rsid w:val="573A2568"/>
    <w:rsid w:val="5AE453E2"/>
    <w:rsid w:val="5D21F50A"/>
    <w:rsid w:val="5D5C3FF6"/>
    <w:rsid w:val="60A996FB"/>
    <w:rsid w:val="6163271D"/>
    <w:rsid w:val="61883719"/>
    <w:rsid w:val="61C2FC82"/>
    <w:rsid w:val="643179F3"/>
    <w:rsid w:val="65C0DCB9"/>
    <w:rsid w:val="67691AB5"/>
    <w:rsid w:val="69CEB810"/>
    <w:rsid w:val="6B43AB96"/>
    <w:rsid w:val="6C1A55C1"/>
    <w:rsid w:val="6CE7ACAE"/>
    <w:rsid w:val="6D9B6A2E"/>
    <w:rsid w:val="6ED4A32F"/>
    <w:rsid w:val="6FEDA313"/>
    <w:rsid w:val="71BFF7EF"/>
    <w:rsid w:val="74618083"/>
    <w:rsid w:val="757B2B7D"/>
    <w:rsid w:val="75FAF2F1"/>
    <w:rsid w:val="76DAB59F"/>
    <w:rsid w:val="771633B3"/>
    <w:rsid w:val="7757F886"/>
    <w:rsid w:val="7796C352"/>
    <w:rsid w:val="78B52B42"/>
    <w:rsid w:val="7960F432"/>
    <w:rsid w:val="7B23F3EF"/>
    <w:rsid w:val="7C5853ED"/>
    <w:rsid w:val="7CD555B1"/>
    <w:rsid w:val="7DFC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3B96"/>
  <w15:docId w15:val="{031F5BC6-B281-467C-914A-0BE1EF9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5FADBE-3297-40FC-A20D-F8221B13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2939</Words>
  <Characters>16167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25</cp:revision>
  <dcterms:created xsi:type="dcterms:W3CDTF">2021-09-07T22:52:00Z</dcterms:created>
  <dcterms:modified xsi:type="dcterms:W3CDTF">2021-10-29T13:20:00Z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