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679E" w14:textId="77777777" w:rsidR="00A345BF" w:rsidRPr="00A345BF" w:rsidRDefault="00A345BF" w:rsidP="00A345B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A345B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5D2FC48" w14:textId="77777777" w:rsidR="00A345BF" w:rsidRPr="00A345BF" w:rsidRDefault="00A345BF" w:rsidP="00A345BF">
      <w:pPr>
        <w:jc w:val="both"/>
        <w:rPr>
          <w:rFonts w:ascii="Arial" w:hAnsi="Arial" w:cs="Arial"/>
          <w:lang w:val="es-419"/>
        </w:rPr>
      </w:pPr>
    </w:p>
    <w:p w14:paraId="424153B1" w14:textId="4F30B1C9" w:rsidR="00A345BF" w:rsidRPr="00A345BF" w:rsidRDefault="00A345BF" w:rsidP="00A345BF">
      <w:pPr>
        <w:jc w:val="both"/>
        <w:rPr>
          <w:rFonts w:ascii="Arial" w:hAnsi="Arial" w:cs="Arial"/>
          <w:lang w:val="es-419"/>
        </w:rPr>
      </w:pPr>
      <w:r w:rsidRPr="00A345BF">
        <w:rPr>
          <w:rFonts w:ascii="Arial" w:hAnsi="Arial" w:cs="Arial"/>
          <w:lang w:val="es-419"/>
        </w:rPr>
        <w:t>Asunto</w:t>
      </w:r>
      <w:r w:rsidRPr="00A345BF">
        <w:rPr>
          <w:rFonts w:ascii="Arial" w:hAnsi="Arial" w:cs="Arial"/>
          <w:lang w:val="es-419"/>
        </w:rPr>
        <w:tab/>
      </w:r>
      <w:r w:rsidRPr="00A345BF">
        <w:rPr>
          <w:rFonts w:ascii="Arial" w:hAnsi="Arial" w:cs="Arial"/>
          <w:lang w:val="es-419"/>
        </w:rPr>
        <w:tab/>
      </w:r>
      <w:r>
        <w:rPr>
          <w:rFonts w:ascii="Arial" w:hAnsi="Arial" w:cs="Arial"/>
          <w:lang w:val="es-419"/>
        </w:rPr>
        <w:tab/>
      </w:r>
      <w:r w:rsidRPr="00A345BF">
        <w:rPr>
          <w:rFonts w:ascii="Arial" w:hAnsi="Arial" w:cs="Arial"/>
          <w:lang w:val="es-419"/>
        </w:rPr>
        <w:t>: Decide reposición</w:t>
      </w:r>
    </w:p>
    <w:p w14:paraId="5F3497C6" w14:textId="1C3DC2F4" w:rsidR="00A345BF" w:rsidRPr="00A345BF" w:rsidRDefault="00A345BF" w:rsidP="00A345BF">
      <w:pPr>
        <w:jc w:val="both"/>
        <w:rPr>
          <w:rFonts w:ascii="Arial" w:hAnsi="Arial" w:cs="Arial"/>
          <w:lang w:val="es-419"/>
        </w:rPr>
      </w:pPr>
      <w:r w:rsidRPr="00A345BF">
        <w:rPr>
          <w:rFonts w:ascii="Arial" w:hAnsi="Arial" w:cs="Arial"/>
          <w:lang w:val="es-419"/>
        </w:rPr>
        <w:t>Tipo de proceso</w:t>
      </w:r>
      <w:r w:rsidRPr="00A345BF">
        <w:rPr>
          <w:rFonts w:ascii="Arial" w:hAnsi="Arial" w:cs="Arial"/>
          <w:lang w:val="es-419"/>
        </w:rPr>
        <w:tab/>
        <w:t>: Ordinario - Responsabilidad médica</w:t>
      </w:r>
    </w:p>
    <w:p w14:paraId="7FAF6509" w14:textId="1A214663" w:rsidR="00A345BF" w:rsidRPr="00A345BF" w:rsidRDefault="00A345BF" w:rsidP="00A345BF">
      <w:pPr>
        <w:jc w:val="both"/>
        <w:rPr>
          <w:rFonts w:ascii="Arial" w:hAnsi="Arial" w:cs="Arial"/>
          <w:lang w:val="es-419"/>
        </w:rPr>
      </w:pPr>
      <w:r w:rsidRPr="00A345BF">
        <w:rPr>
          <w:rFonts w:ascii="Arial" w:hAnsi="Arial" w:cs="Arial"/>
          <w:lang w:val="es-419"/>
        </w:rPr>
        <w:t>Demandantes</w:t>
      </w:r>
      <w:r>
        <w:rPr>
          <w:rFonts w:ascii="Arial" w:hAnsi="Arial" w:cs="Arial"/>
          <w:lang w:val="es-419"/>
        </w:rPr>
        <w:tab/>
      </w:r>
      <w:r w:rsidRPr="00A345BF">
        <w:rPr>
          <w:rFonts w:ascii="Arial" w:hAnsi="Arial" w:cs="Arial"/>
          <w:lang w:val="es-419"/>
        </w:rPr>
        <w:tab/>
        <w:t xml:space="preserve">: María Gladys Giraldo Cortes y otros </w:t>
      </w:r>
    </w:p>
    <w:p w14:paraId="06C40FDF" w14:textId="0995F9B1" w:rsidR="00A345BF" w:rsidRPr="00A345BF" w:rsidRDefault="00A345BF" w:rsidP="00A345BF">
      <w:pPr>
        <w:jc w:val="both"/>
        <w:rPr>
          <w:rFonts w:ascii="Arial" w:hAnsi="Arial" w:cs="Arial"/>
          <w:lang w:val="es-419"/>
        </w:rPr>
      </w:pPr>
      <w:r w:rsidRPr="00A345BF">
        <w:rPr>
          <w:rFonts w:ascii="Arial" w:hAnsi="Arial" w:cs="Arial"/>
          <w:lang w:val="es-419"/>
        </w:rPr>
        <w:t xml:space="preserve">Demandados </w:t>
      </w:r>
      <w:r>
        <w:rPr>
          <w:rFonts w:ascii="Arial" w:hAnsi="Arial" w:cs="Arial"/>
          <w:lang w:val="es-419"/>
        </w:rPr>
        <w:tab/>
      </w:r>
      <w:r w:rsidRPr="00A345BF">
        <w:rPr>
          <w:rFonts w:ascii="Arial" w:hAnsi="Arial" w:cs="Arial"/>
          <w:lang w:val="es-419"/>
        </w:rPr>
        <w:tab/>
        <w:t>: Nueva EPS SA y otra</w:t>
      </w:r>
    </w:p>
    <w:p w14:paraId="2AA18C65" w14:textId="5998B7D7" w:rsidR="00A345BF" w:rsidRPr="00A345BF" w:rsidRDefault="00A345BF" w:rsidP="00A345BF">
      <w:pPr>
        <w:jc w:val="both"/>
        <w:rPr>
          <w:rFonts w:ascii="Arial" w:hAnsi="Arial" w:cs="Arial"/>
          <w:lang w:val="es-419"/>
        </w:rPr>
      </w:pPr>
      <w:r w:rsidRPr="00A345BF">
        <w:rPr>
          <w:rFonts w:ascii="Arial" w:hAnsi="Arial" w:cs="Arial"/>
          <w:lang w:val="es-419"/>
        </w:rPr>
        <w:t xml:space="preserve">Procedencia </w:t>
      </w:r>
      <w:r>
        <w:rPr>
          <w:rFonts w:ascii="Arial" w:hAnsi="Arial" w:cs="Arial"/>
          <w:lang w:val="es-419"/>
        </w:rPr>
        <w:tab/>
      </w:r>
      <w:r w:rsidRPr="00A345BF">
        <w:rPr>
          <w:rFonts w:ascii="Arial" w:hAnsi="Arial" w:cs="Arial"/>
          <w:lang w:val="es-419"/>
        </w:rPr>
        <w:tab/>
        <w:t>: Juzgado Segundo Civil del Circuito de Pereira</w:t>
      </w:r>
    </w:p>
    <w:p w14:paraId="1293C2E1" w14:textId="52D1AA51" w:rsidR="00A345BF" w:rsidRPr="00A345BF" w:rsidRDefault="00A345BF" w:rsidP="00A345BF">
      <w:pPr>
        <w:jc w:val="both"/>
        <w:rPr>
          <w:rFonts w:ascii="Arial" w:hAnsi="Arial" w:cs="Arial"/>
          <w:lang w:val="es-419"/>
        </w:rPr>
      </w:pPr>
      <w:r w:rsidRPr="00A345BF">
        <w:rPr>
          <w:rFonts w:ascii="Arial" w:hAnsi="Arial" w:cs="Arial"/>
          <w:lang w:val="es-419"/>
        </w:rPr>
        <w:t>Radicación</w:t>
      </w:r>
      <w:r>
        <w:rPr>
          <w:rFonts w:ascii="Arial" w:hAnsi="Arial" w:cs="Arial"/>
          <w:lang w:val="es-419"/>
        </w:rPr>
        <w:tab/>
      </w:r>
      <w:r w:rsidRPr="00A345BF">
        <w:rPr>
          <w:rFonts w:ascii="Arial" w:hAnsi="Arial" w:cs="Arial"/>
          <w:lang w:val="es-419"/>
        </w:rPr>
        <w:tab/>
        <w:t>: 66001-31-03-005-2013-00130-02</w:t>
      </w:r>
    </w:p>
    <w:p w14:paraId="0A250E82" w14:textId="507FBEE4" w:rsidR="00A345BF" w:rsidRPr="00A345BF" w:rsidRDefault="00A345BF" w:rsidP="00A345BF">
      <w:pPr>
        <w:jc w:val="both"/>
        <w:rPr>
          <w:rFonts w:ascii="Arial" w:hAnsi="Arial" w:cs="Arial"/>
          <w:lang w:val="es-419"/>
        </w:rPr>
      </w:pPr>
      <w:proofErr w:type="spellStart"/>
      <w:r w:rsidRPr="00A345BF">
        <w:rPr>
          <w:rFonts w:ascii="Arial" w:hAnsi="Arial" w:cs="Arial"/>
          <w:lang w:val="es-419"/>
        </w:rPr>
        <w:t>Mag</w:t>
      </w:r>
      <w:proofErr w:type="spellEnd"/>
      <w:r w:rsidRPr="00A345BF">
        <w:rPr>
          <w:rFonts w:ascii="Arial" w:hAnsi="Arial" w:cs="Arial"/>
          <w:lang w:val="es-419"/>
        </w:rPr>
        <w:t>. Sustanciador</w:t>
      </w:r>
      <w:r w:rsidRPr="00A345BF">
        <w:rPr>
          <w:rFonts w:ascii="Arial" w:hAnsi="Arial" w:cs="Arial"/>
          <w:lang w:val="es-419"/>
        </w:rPr>
        <w:tab/>
        <w:t>: DUBERNEY GRISALES HERRERA</w:t>
      </w:r>
    </w:p>
    <w:p w14:paraId="4AAA351E" w14:textId="77777777" w:rsidR="00A345BF" w:rsidRPr="00A345BF" w:rsidRDefault="00A345BF" w:rsidP="00A345BF">
      <w:pPr>
        <w:jc w:val="both"/>
        <w:rPr>
          <w:rFonts w:ascii="Arial" w:hAnsi="Arial" w:cs="Arial"/>
          <w:lang w:val="es-419"/>
        </w:rPr>
      </w:pPr>
    </w:p>
    <w:p w14:paraId="7EC499F5" w14:textId="124AFD61" w:rsidR="00A345BF" w:rsidRPr="00A345BF" w:rsidRDefault="00A345BF" w:rsidP="00A345BF">
      <w:pPr>
        <w:jc w:val="both"/>
        <w:rPr>
          <w:rFonts w:ascii="Arial" w:hAnsi="Arial" w:cs="Arial"/>
          <w:b/>
          <w:bCs/>
          <w:iCs/>
          <w:lang w:val="es-419" w:eastAsia="fr-FR"/>
        </w:rPr>
      </w:pPr>
      <w:r w:rsidRPr="00A345BF">
        <w:rPr>
          <w:rFonts w:ascii="Arial" w:hAnsi="Arial" w:cs="Arial"/>
          <w:b/>
          <w:bCs/>
          <w:iCs/>
          <w:u w:val="single"/>
          <w:lang w:val="es-419" w:eastAsia="fr-FR"/>
        </w:rPr>
        <w:t>TEMAS:</w:t>
      </w:r>
      <w:r w:rsidRPr="00A345BF">
        <w:rPr>
          <w:rFonts w:ascii="Arial" w:hAnsi="Arial" w:cs="Arial"/>
          <w:b/>
          <w:bCs/>
          <w:iCs/>
          <w:lang w:val="es-419" w:eastAsia="fr-FR"/>
        </w:rPr>
        <w:tab/>
      </w:r>
      <w:r w:rsidR="007E5827">
        <w:rPr>
          <w:rFonts w:ascii="Arial" w:hAnsi="Arial" w:cs="Arial"/>
          <w:b/>
          <w:bCs/>
          <w:iCs/>
          <w:lang w:val="es-419" w:eastAsia="fr-FR"/>
        </w:rPr>
        <w:t>RECURSO DE APELACIÓN / PRESUPUESTOS DE VIABILIDAD / S</w:t>
      </w:r>
      <w:r w:rsidRPr="00A345BF">
        <w:rPr>
          <w:rFonts w:ascii="Arial" w:hAnsi="Arial" w:cs="Arial"/>
          <w:b/>
          <w:lang w:val="es-419"/>
        </w:rPr>
        <w:t xml:space="preserve">USTENTACIÓN </w:t>
      </w:r>
      <w:r w:rsidR="007E5827">
        <w:rPr>
          <w:rFonts w:ascii="Arial" w:hAnsi="Arial" w:cs="Arial"/>
          <w:b/>
          <w:lang w:val="es-419"/>
        </w:rPr>
        <w:t>/ DECRETO 806 DE 2020, ARTÍCULO 14 / NO ES NECESARIO DECISIÓN JUDICIAL EXPRESA PARA QUE SE ENTIENDA IMPUESTA LA CARGA PROCESAL.</w:t>
      </w:r>
    </w:p>
    <w:p w14:paraId="575358F1" w14:textId="32352138" w:rsidR="00A345BF" w:rsidRDefault="00A345BF" w:rsidP="00A345BF">
      <w:pPr>
        <w:jc w:val="both"/>
        <w:rPr>
          <w:rFonts w:ascii="Arial" w:hAnsi="Arial" w:cs="Arial"/>
          <w:lang w:val="es-419"/>
        </w:rPr>
      </w:pPr>
    </w:p>
    <w:p w14:paraId="3B484274" w14:textId="430BDA96" w:rsidR="00482703" w:rsidRDefault="00482703" w:rsidP="00482703">
      <w:pPr>
        <w:jc w:val="both"/>
        <w:rPr>
          <w:rFonts w:ascii="Arial" w:hAnsi="Arial" w:cs="Arial"/>
          <w:lang w:val="es-419"/>
        </w:rPr>
      </w:pPr>
      <w:r w:rsidRPr="00482703">
        <w:rPr>
          <w:rFonts w:ascii="Arial" w:hAnsi="Arial" w:cs="Arial"/>
          <w:lang w:val="es-419"/>
        </w:rPr>
        <w:t>LA SÍNTESIS DE LA REPOSICIÓN</w:t>
      </w:r>
      <w:r>
        <w:rPr>
          <w:rFonts w:ascii="Arial" w:hAnsi="Arial" w:cs="Arial"/>
          <w:lang w:val="es-419"/>
        </w:rPr>
        <w:t xml:space="preserve">.  </w:t>
      </w:r>
      <w:r w:rsidRPr="00482703">
        <w:rPr>
          <w:rFonts w:ascii="Arial" w:hAnsi="Arial" w:cs="Arial"/>
          <w:lang w:val="es-419"/>
        </w:rPr>
        <w:t>Estima que el proveído del 06-10-2020, admitió el recurso, pero no es “taxativo” en señalar que se corría el traslado para sustentarlo. Ante esa omisión esperaba que hubiese otra actuación que le indicara que debía hacerlo. La mención de que se aplicaría el artículo 14° del Decreto Presidencial No. 806 de 2020, es confusa por sí sola, debió mencionarse, expresamente, que era la oportunidad para sustentar, o transcribir la norma para mayor claridad.</w:t>
      </w:r>
      <w:r>
        <w:rPr>
          <w:rFonts w:ascii="Arial" w:hAnsi="Arial" w:cs="Arial"/>
          <w:lang w:val="es-419"/>
        </w:rPr>
        <w:t xml:space="preserve"> (…)</w:t>
      </w:r>
    </w:p>
    <w:p w14:paraId="10FBD72C" w14:textId="77777777" w:rsidR="00482703" w:rsidRPr="00A345BF" w:rsidRDefault="00482703" w:rsidP="00A345BF">
      <w:pPr>
        <w:jc w:val="both"/>
        <w:rPr>
          <w:rFonts w:ascii="Arial" w:hAnsi="Arial" w:cs="Arial"/>
          <w:lang w:val="es-419"/>
        </w:rPr>
      </w:pPr>
    </w:p>
    <w:p w14:paraId="3F92DB31" w14:textId="62A75298" w:rsidR="00482703" w:rsidRPr="00482703" w:rsidRDefault="00482703" w:rsidP="00482703">
      <w:pPr>
        <w:jc w:val="both"/>
        <w:rPr>
          <w:rFonts w:ascii="Arial" w:hAnsi="Arial" w:cs="Arial"/>
          <w:lang w:val="es-419"/>
        </w:rPr>
      </w:pPr>
      <w:r w:rsidRPr="00482703">
        <w:rPr>
          <w:rFonts w:ascii="Arial" w:hAnsi="Arial" w:cs="Arial"/>
          <w:lang w:val="es-419"/>
        </w:rPr>
        <w:t>Desde la óptica procesal, en presencia de los recursos, deben siempre concurrir los llamados presupuestos de viabilidad</w:t>
      </w:r>
      <w:r>
        <w:rPr>
          <w:rFonts w:ascii="Arial" w:hAnsi="Arial" w:cs="Arial"/>
          <w:lang w:val="es-419"/>
        </w:rPr>
        <w:t>…</w:t>
      </w:r>
    </w:p>
    <w:p w14:paraId="7FEFC68E" w14:textId="77777777" w:rsidR="00482703" w:rsidRPr="00482703" w:rsidRDefault="00482703" w:rsidP="00482703">
      <w:pPr>
        <w:jc w:val="both"/>
        <w:rPr>
          <w:rFonts w:ascii="Arial" w:hAnsi="Arial" w:cs="Arial"/>
          <w:lang w:val="es-419"/>
        </w:rPr>
      </w:pPr>
    </w:p>
    <w:p w14:paraId="2CA13B09" w14:textId="4064C66D" w:rsidR="00482703" w:rsidRPr="00482703" w:rsidRDefault="00482703" w:rsidP="00482703">
      <w:pPr>
        <w:jc w:val="both"/>
        <w:rPr>
          <w:rFonts w:ascii="Arial" w:hAnsi="Arial" w:cs="Arial"/>
          <w:lang w:val="es-419"/>
        </w:rPr>
      </w:pPr>
      <w:r w:rsidRPr="00482703">
        <w:rPr>
          <w:rFonts w:ascii="Arial" w:hAnsi="Arial" w:cs="Arial"/>
          <w:lang w:val="es-419"/>
        </w:rPr>
        <w:t>Esos presupuestos son una serie de exigencias normativas formales que permiten su trámite y aseguran su decisión</w:t>
      </w:r>
      <w:r>
        <w:rPr>
          <w:rFonts w:ascii="Arial" w:hAnsi="Arial" w:cs="Arial"/>
          <w:lang w:val="es-419"/>
        </w:rPr>
        <w:t>…</w:t>
      </w:r>
    </w:p>
    <w:p w14:paraId="40628F14" w14:textId="77777777" w:rsidR="00482703" w:rsidRPr="00482703" w:rsidRDefault="00482703" w:rsidP="00482703">
      <w:pPr>
        <w:jc w:val="both"/>
        <w:rPr>
          <w:rFonts w:ascii="Arial" w:hAnsi="Arial" w:cs="Arial"/>
          <w:lang w:val="es-419"/>
        </w:rPr>
      </w:pPr>
    </w:p>
    <w:p w14:paraId="2017BEB2" w14:textId="709B0C92" w:rsidR="00482703" w:rsidRPr="00482703" w:rsidRDefault="00482703" w:rsidP="00482703">
      <w:pPr>
        <w:jc w:val="both"/>
        <w:rPr>
          <w:rFonts w:ascii="Arial" w:hAnsi="Arial" w:cs="Arial"/>
          <w:lang w:val="es-419"/>
        </w:rPr>
      </w:pPr>
      <w:r w:rsidRPr="00482703">
        <w:rPr>
          <w:rFonts w:ascii="Arial" w:hAnsi="Arial" w:cs="Arial"/>
          <w:lang w:val="es-419"/>
        </w:rPr>
        <w:t>Tales requisitos son concurrentes y necesarios, ausente cualquiera de ellos se malogra el estudio de la impugnación</w:t>
      </w:r>
      <w:r>
        <w:rPr>
          <w:rFonts w:ascii="Arial" w:hAnsi="Arial" w:cs="Arial"/>
          <w:lang w:val="es-419"/>
        </w:rPr>
        <w:t>…</w:t>
      </w:r>
    </w:p>
    <w:p w14:paraId="49FB70A1" w14:textId="77777777" w:rsidR="00482703" w:rsidRPr="00482703" w:rsidRDefault="00482703" w:rsidP="00482703">
      <w:pPr>
        <w:jc w:val="both"/>
        <w:rPr>
          <w:rFonts w:ascii="Arial" w:hAnsi="Arial" w:cs="Arial"/>
          <w:lang w:val="es-419"/>
        </w:rPr>
      </w:pPr>
    </w:p>
    <w:p w14:paraId="33880904" w14:textId="6B6CDA51" w:rsidR="00A345BF" w:rsidRPr="00A345BF" w:rsidRDefault="00482703" w:rsidP="00482703">
      <w:pPr>
        <w:jc w:val="both"/>
        <w:rPr>
          <w:rFonts w:ascii="Arial" w:hAnsi="Arial" w:cs="Arial"/>
          <w:lang w:val="es-419"/>
        </w:rPr>
      </w:pPr>
      <w:r w:rsidRPr="00482703">
        <w:rPr>
          <w:rFonts w:ascii="Arial" w:hAnsi="Arial" w:cs="Arial"/>
          <w:lang w:val="es-419"/>
        </w:rPr>
        <w:t>Ellos son (i) legitimación o interés, (ii) oportunidad, (iii) procedencia y (iv) cargas procesales (Sustentación, expedición de copias, etc.), los tres primeros generan la inadmisibilidad del recurso mientras que el cuarto provoca su deserción</w:t>
      </w:r>
      <w:r>
        <w:rPr>
          <w:rFonts w:ascii="Arial" w:hAnsi="Arial" w:cs="Arial"/>
          <w:lang w:val="es-419"/>
        </w:rPr>
        <w:t>…</w:t>
      </w:r>
    </w:p>
    <w:p w14:paraId="04CEB4C6" w14:textId="77777777" w:rsidR="00A345BF" w:rsidRPr="00A345BF" w:rsidRDefault="00A345BF" w:rsidP="00A345BF">
      <w:pPr>
        <w:jc w:val="both"/>
        <w:rPr>
          <w:rFonts w:ascii="Arial" w:hAnsi="Arial" w:cs="Arial"/>
          <w:lang w:val="es-419"/>
        </w:rPr>
      </w:pPr>
    </w:p>
    <w:p w14:paraId="08F9CD00" w14:textId="10C2342E" w:rsidR="00A345BF" w:rsidRPr="00A345BF" w:rsidRDefault="00482703" w:rsidP="00A345BF">
      <w:pPr>
        <w:jc w:val="both"/>
        <w:rPr>
          <w:rFonts w:ascii="Arial" w:hAnsi="Arial" w:cs="Arial"/>
          <w:lang w:val="es-419"/>
        </w:rPr>
      </w:pPr>
      <w:r w:rsidRPr="00482703">
        <w:rPr>
          <w:rFonts w:ascii="Arial" w:hAnsi="Arial" w:cs="Arial"/>
          <w:lang w:val="es-419"/>
        </w:rPr>
        <w:t>Sin dudas, la referencia expresa que se aplicaría el artículo 14° del Decreto Presidencial No. 806 de 2020, indicaba que, a la ejecutoria de esa decisión, descorrería ese plazo. Ningún otro entendimiento puede obtenerse del inciso segundo de esa norma, su enunciado gramatical es absolutamente claro</w:t>
      </w:r>
      <w:r>
        <w:rPr>
          <w:rFonts w:ascii="Arial" w:hAnsi="Arial" w:cs="Arial"/>
          <w:lang w:val="es-419"/>
        </w:rPr>
        <w:t>…</w:t>
      </w:r>
    </w:p>
    <w:p w14:paraId="723A2DE6" w14:textId="77777777" w:rsidR="00A345BF" w:rsidRPr="00A345BF" w:rsidRDefault="00A345BF" w:rsidP="00A345BF">
      <w:pPr>
        <w:jc w:val="both"/>
        <w:rPr>
          <w:rFonts w:ascii="Arial" w:hAnsi="Arial" w:cs="Arial"/>
          <w:lang w:val="es-419"/>
        </w:rPr>
      </w:pPr>
    </w:p>
    <w:p w14:paraId="3CFFB389" w14:textId="7F4976EF" w:rsidR="00A345BF" w:rsidRDefault="00482703" w:rsidP="00A345BF">
      <w:pPr>
        <w:jc w:val="both"/>
        <w:rPr>
          <w:rFonts w:ascii="Arial" w:hAnsi="Arial" w:cs="Arial"/>
          <w:lang w:val="es-419"/>
        </w:rPr>
      </w:pPr>
      <w:r>
        <w:rPr>
          <w:rFonts w:ascii="Arial" w:hAnsi="Arial" w:cs="Arial"/>
          <w:lang w:val="es-419"/>
        </w:rPr>
        <w:t xml:space="preserve">… </w:t>
      </w:r>
      <w:r w:rsidRPr="00482703">
        <w:rPr>
          <w:rFonts w:ascii="Arial" w:hAnsi="Arial" w:cs="Arial"/>
          <w:lang w:val="es-419"/>
        </w:rPr>
        <w:t>tampoco puede inferirse que disponga la emisión de otra decisión, para imponer la carga procesal al impugnante; la actuación subsiguiente por parte de este, solo depende de la ejecutoria del proveído admisorio o el nugatorio del decreto de pruebas</w:t>
      </w:r>
      <w:r w:rsidR="007E5827">
        <w:rPr>
          <w:rFonts w:ascii="Arial" w:hAnsi="Arial" w:cs="Arial"/>
          <w:lang w:val="es-419"/>
        </w:rPr>
        <w:t>…</w:t>
      </w:r>
    </w:p>
    <w:p w14:paraId="1A4F5491" w14:textId="706C106B" w:rsidR="007E5827" w:rsidRDefault="007E5827" w:rsidP="00A345BF">
      <w:pPr>
        <w:jc w:val="both"/>
        <w:rPr>
          <w:rFonts w:ascii="Arial" w:hAnsi="Arial" w:cs="Arial"/>
          <w:lang w:val="es-419"/>
        </w:rPr>
      </w:pPr>
    </w:p>
    <w:p w14:paraId="7CBEDF97" w14:textId="7288D0D9" w:rsidR="007E5827" w:rsidRPr="00A345BF" w:rsidRDefault="007E5827" w:rsidP="00A345BF">
      <w:pPr>
        <w:jc w:val="both"/>
        <w:rPr>
          <w:rFonts w:ascii="Arial" w:hAnsi="Arial" w:cs="Arial"/>
          <w:lang w:val="es-419"/>
        </w:rPr>
      </w:pPr>
      <w:r w:rsidRPr="007E5827">
        <w:rPr>
          <w:rFonts w:ascii="Arial" w:hAnsi="Arial" w:cs="Arial"/>
          <w:lang w:val="es-419"/>
        </w:rPr>
        <w:t xml:space="preserve">Extraña que el interesado exponga ahora que la referencia a esa normativa fuere confusa, pues si así lo estimaba, ese era el momento para solicitar la aclaración (Artículo 285, </w:t>
      </w:r>
      <w:proofErr w:type="gramStart"/>
      <w:r w:rsidRPr="007E5827">
        <w:rPr>
          <w:rFonts w:ascii="Arial" w:hAnsi="Arial" w:cs="Arial"/>
          <w:lang w:val="es-419"/>
        </w:rPr>
        <w:t>CGP)</w:t>
      </w:r>
      <w:r>
        <w:rPr>
          <w:rFonts w:ascii="Arial" w:hAnsi="Arial" w:cs="Arial"/>
          <w:lang w:val="es-419"/>
        </w:rPr>
        <w:t>…</w:t>
      </w:r>
      <w:proofErr w:type="gramEnd"/>
    </w:p>
    <w:p w14:paraId="389766A9" w14:textId="77777777" w:rsidR="00A345BF" w:rsidRPr="00A345BF" w:rsidRDefault="00A345BF" w:rsidP="00A345BF">
      <w:pPr>
        <w:jc w:val="both"/>
        <w:rPr>
          <w:rFonts w:ascii="Arial" w:hAnsi="Arial" w:cs="Arial"/>
        </w:rPr>
      </w:pPr>
    </w:p>
    <w:p w14:paraId="234A3DB5" w14:textId="77777777" w:rsidR="00A345BF" w:rsidRPr="00A345BF" w:rsidRDefault="00A345BF" w:rsidP="00A345BF">
      <w:pPr>
        <w:jc w:val="both"/>
        <w:rPr>
          <w:rFonts w:ascii="Arial" w:hAnsi="Arial" w:cs="Arial"/>
        </w:rPr>
      </w:pPr>
    </w:p>
    <w:p w14:paraId="722E1A33" w14:textId="77777777" w:rsidR="00A345BF" w:rsidRPr="00A345BF" w:rsidRDefault="00A345BF" w:rsidP="00A345BF">
      <w:pPr>
        <w:jc w:val="both"/>
        <w:rPr>
          <w:rFonts w:ascii="Arial" w:hAnsi="Arial" w:cs="Arial"/>
        </w:rPr>
      </w:pPr>
    </w:p>
    <w:p w14:paraId="6D5799A6" w14:textId="77777777" w:rsidR="00A345BF" w:rsidRPr="00A345BF" w:rsidRDefault="00A345BF" w:rsidP="00A345BF">
      <w:pPr>
        <w:rPr>
          <w:rFonts w:ascii="Calibri" w:hAnsi="Calibri"/>
          <w:sz w:val="22"/>
          <w:szCs w:val="22"/>
        </w:rPr>
      </w:pPr>
      <w:bookmarkStart w:id="0" w:name="_Hlk63144843"/>
    </w:p>
    <w:p w14:paraId="54AE56DC" w14:textId="77777777" w:rsidR="00A345BF" w:rsidRPr="00A345BF" w:rsidRDefault="00A345BF" w:rsidP="00A345BF">
      <w:pPr>
        <w:jc w:val="center"/>
        <w:rPr>
          <w:rFonts w:ascii="Georgia" w:hAnsi="Georgia" w:cs="Arial"/>
          <w:b/>
          <w:bCs/>
          <w:i/>
          <w:iCs/>
          <w:noProof/>
          <w:sz w:val="24"/>
          <w:szCs w:val="24"/>
        </w:rPr>
      </w:pPr>
      <w:r w:rsidRPr="00A345BF">
        <w:rPr>
          <w:rFonts w:ascii="Arial" w:hAnsi="Arial" w:cs="Arial"/>
          <w:b/>
          <w:bCs/>
          <w:i/>
          <w:iCs/>
          <w:noProof/>
          <w:sz w:val="24"/>
          <w:szCs w:val="24"/>
        </w:rPr>
        <w:drawing>
          <wp:anchor distT="0" distB="0" distL="114300" distR="114300" simplePos="0" relativeHeight="251663360" behindDoc="0" locked="0" layoutInCell="1" allowOverlap="1" wp14:anchorId="23B9024F" wp14:editId="0B9A4899">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69384531"/>
    </w:p>
    <w:p w14:paraId="3F4722F1" w14:textId="77777777" w:rsidR="00A345BF" w:rsidRPr="00A345BF" w:rsidRDefault="00A345BF" w:rsidP="00A345BF">
      <w:pPr>
        <w:spacing w:line="360" w:lineRule="auto"/>
        <w:jc w:val="center"/>
        <w:rPr>
          <w:rFonts w:ascii="Georgia" w:hAnsi="Georgia" w:cs="Arial"/>
          <w:w w:val="140"/>
          <w:sz w:val="14"/>
          <w:szCs w:val="22"/>
        </w:rPr>
      </w:pPr>
    </w:p>
    <w:p w14:paraId="27145C68" w14:textId="77777777" w:rsidR="00A345BF" w:rsidRPr="00A345BF" w:rsidRDefault="00A345BF" w:rsidP="00A345BF">
      <w:pPr>
        <w:tabs>
          <w:tab w:val="left" w:pos="3579"/>
        </w:tabs>
        <w:spacing w:line="360" w:lineRule="auto"/>
        <w:jc w:val="center"/>
        <w:rPr>
          <w:rFonts w:ascii="Georgia" w:hAnsi="Georgia" w:cs="Arial"/>
          <w:w w:val="140"/>
          <w:sz w:val="18"/>
          <w:szCs w:val="18"/>
          <w:lang w:val="es-CO"/>
        </w:rPr>
      </w:pPr>
      <w:r w:rsidRPr="00A345BF">
        <w:rPr>
          <w:rFonts w:ascii="Georgia" w:hAnsi="Georgia" w:cs="Arial"/>
          <w:w w:val="140"/>
          <w:sz w:val="18"/>
          <w:szCs w:val="18"/>
          <w:lang w:val="es-CO"/>
        </w:rPr>
        <w:t>REPUBLICA DE COLOMBIA</w:t>
      </w:r>
    </w:p>
    <w:p w14:paraId="5329C7FD" w14:textId="77777777" w:rsidR="00A345BF" w:rsidRPr="00A345BF" w:rsidRDefault="00A345BF" w:rsidP="00A345BF">
      <w:pPr>
        <w:tabs>
          <w:tab w:val="center" w:pos="4987"/>
          <w:tab w:val="left" w:pos="8449"/>
        </w:tabs>
        <w:spacing w:line="360" w:lineRule="auto"/>
        <w:jc w:val="center"/>
        <w:rPr>
          <w:rFonts w:ascii="Georgia" w:hAnsi="Georgia" w:cs="Arial"/>
          <w:w w:val="140"/>
          <w:sz w:val="18"/>
          <w:szCs w:val="18"/>
          <w:lang w:val="es-CO"/>
        </w:rPr>
      </w:pPr>
      <w:r w:rsidRPr="00A345BF">
        <w:rPr>
          <w:rFonts w:ascii="Georgia" w:hAnsi="Georgia" w:cs="Arial"/>
          <w:w w:val="140"/>
          <w:sz w:val="18"/>
          <w:szCs w:val="18"/>
          <w:lang w:val="es-CO"/>
        </w:rPr>
        <w:t>RAMA JUDICIAL DEL PODER PÚBLICO</w:t>
      </w:r>
    </w:p>
    <w:p w14:paraId="04EA1652" w14:textId="77777777" w:rsidR="00A345BF" w:rsidRPr="00A345BF" w:rsidRDefault="00A345BF" w:rsidP="00A345BF">
      <w:pPr>
        <w:spacing w:line="360" w:lineRule="auto"/>
        <w:jc w:val="center"/>
        <w:rPr>
          <w:rFonts w:ascii="Georgia" w:hAnsi="Georgia" w:cs="Arial"/>
          <w:b/>
          <w:bCs/>
          <w:w w:val="140"/>
          <w:sz w:val="18"/>
          <w:szCs w:val="18"/>
          <w:lang w:val="es-CO"/>
        </w:rPr>
      </w:pPr>
      <w:r w:rsidRPr="00A345BF">
        <w:rPr>
          <w:rFonts w:ascii="Georgia" w:hAnsi="Georgia" w:cs="Arial"/>
          <w:b/>
          <w:bCs/>
          <w:w w:val="140"/>
          <w:sz w:val="18"/>
          <w:szCs w:val="18"/>
          <w:lang w:val="es-CO"/>
        </w:rPr>
        <w:t>TRIBUNAL SUPERIOR DEL DISTRITO JUDICIAL</w:t>
      </w:r>
    </w:p>
    <w:p w14:paraId="2367005D" w14:textId="77777777" w:rsidR="00A345BF" w:rsidRPr="00A345BF" w:rsidRDefault="00A345BF" w:rsidP="00A345BF">
      <w:pPr>
        <w:spacing w:line="360" w:lineRule="auto"/>
        <w:jc w:val="center"/>
        <w:rPr>
          <w:rFonts w:ascii="Georgia" w:hAnsi="Georgia" w:cs="Arial"/>
          <w:w w:val="140"/>
          <w:sz w:val="18"/>
          <w:szCs w:val="18"/>
          <w:lang w:val="es-CO"/>
        </w:rPr>
      </w:pPr>
      <w:r w:rsidRPr="00A345BF">
        <w:rPr>
          <w:rFonts w:ascii="Georgia" w:hAnsi="Georgia" w:cs="Arial"/>
          <w:w w:val="140"/>
          <w:sz w:val="18"/>
          <w:szCs w:val="18"/>
          <w:lang w:val="es-CO"/>
        </w:rPr>
        <w:t>SALA DE DECISIÓN CIVIL – FAMILIA – DISTRITO DE PEREIRA</w:t>
      </w:r>
    </w:p>
    <w:p w14:paraId="4185A895" w14:textId="77777777" w:rsidR="00A345BF" w:rsidRPr="00A345BF" w:rsidRDefault="00A345BF" w:rsidP="00A345BF">
      <w:pPr>
        <w:spacing w:line="360" w:lineRule="auto"/>
        <w:jc w:val="center"/>
        <w:rPr>
          <w:rFonts w:ascii="Georgia" w:hAnsi="Georgia" w:cs="Arial"/>
          <w:w w:val="140"/>
          <w:sz w:val="18"/>
          <w:szCs w:val="18"/>
          <w:lang w:val="es-CO"/>
        </w:rPr>
      </w:pPr>
      <w:r w:rsidRPr="00A345BF">
        <w:rPr>
          <w:rFonts w:ascii="Georgia" w:hAnsi="Georgia" w:cs="Arial"/>
          <w:w w:val="140"/>
          <w:sz w:val="18"/>
          <w:szCs w:val="18"/>
          <w:lang w:val="es-CO"/>
        </w:rPr>
        <w:t>DEPARTAMENTO DEL RISARALDA</w:t>
      </w:r>
    </w:p>
    <w:p w14:paraId="3FA129D4" w14:textId="77777777" w:rsidR="00A345BF" w:rsidRPr="00A345BF" w:rsidRDefault="00A345BF" w:rsidP="00A345BF">
      <w:pPr>
        <w:pBdr>
          <w:bottom w:val="double" w:sz="6" w:space="1" w:color="auto"/>
        </w:pBdr>
        <w:spacing w:line="276" w:lineRule="auto"/>
        <w:rPr>
          <w:rFonts w:ascii="Georgia" w:hAnsi="Georgia"/>
          <w:spacing w:val="20"/>
          <w:w w:val="150"/>
          <w:sz w:val="26"/>
          <w:szCs w:val="26"/>
        </w:rPr>
      </w:pPr>
    </w:p>
    <w:p w14:paraId="24CE91B8" w14:textId="6EE943E7" w:rsidR="00A345BF" w:rsidRDefault="00A345BF" w:rsidP="00A345BF">
      <w:pPr>
        <w:spacing w:line="276" w:lineRule="auto"/>
        <w:jc w:val="center"/>
        <w:rPr>
          <w:rFonts w:ascii="Georgia" w:hAnsi="Georgia" w:cs="Arial"/>
          <w:spacing w:val="-3"/>
          <w:sz w:val="26"/>
          <w:szCs w:val="26"/>
        </w:rPr>
      </w:pPr>
    </w:p>
    <w:p w14:paraId="49394ABF" w14:textId="77777777" w:rsidR="00872D39" w:rsidRPr="00872D39" w:rsidRDefault="00872D39" w:rsidP="00872D39">
      <w:pPr>
        <w:pStyle w:val="Textoindependiente"/>
        <w:spacing w:line="276" w:lineRule="auto"/>
        <w:jc w:val="center"/>
        <w:rPr>
          <w:rFonts w:ascii="Georgia" w:hAnsi="Georgia" w:cs="Arial"/>
          <w:b/>
          <w:szCs w:val="24"/>
          <w:lang w:val="es-CO"/>
        </w:rPr>
      </w:pPr>
      <w:bookmarkStart w:id="2" w:name="_GoBack"/>
      <w:r w:rsidRPr="00872D39">
        <w:rPr>
          <w:rFonts w:ascii="Georgia" w:hAnsi="Georgia" w:cs="Arial"/>
          <w:b/>
          <w:szCs w:val="24"/>
          <w:lang w:val="es-CO"/>
        </w:rPr>
        <w:t>AC-0024-2021</w:t>
      </w:r>
    </w:p>
    <w:p w14:paraId="05DEF679" w14:textId="77777777" w:rsidR="00872D39" w:rsidRPr="00872D39" w:rsidRDefault="00872D39" w:rsidP="00872D39">
      <w:pPr>
        <w:spacing w:line="276" w:lineRule="auto"/>
        <w:jc w:val="center"/>
        <w:rPr>
          <w:rFonts w:ascii="Georgia" w:hAnsi="Georgia" w:cs="Arial"/>
          <w:b/>
          <w:spacing w:val="-3"/>
          <w:sz w:val="24"/>
          <w:szCs w:val="24"/>
        </w:rPr>
      </w:pPr>
    </w:p>
    <w:bookmarkEnd w:id="1"/>
    <w:bookmarkEnd w:id="2"/>
    <w:p w14:paraId="696BC1DF" w14:textId="57E88689" w:rsidR="00AA4E6B" w:rsidRPr="00A345BF" w:rsidRDefault="00C6424D" w:rsidP="00A345BF">
      <w:pPr>
        <w:spacing w:line="276" w:lineRule="auto"/>
        <w:jc w:val="center"/>
        <w:rPr>
          <w:rFonts w:ascii="Georgia" w:hAnsi="Georgia" w:cs="Arial"/>
          <w:smallCaps/>
          <w:sz w:val="24"/>
          <w:szCs w:val="24"/>
        </w:rPr>
      </w:pPr>
      <w:r w:rsidRPr="00A345BF">
        <w:rPr>
          <w:rFonts w:ascii="Georgia" w:hAnsi="Georgia" w:cs="Arial"/>
          <w:smallCaps/>
          <w:sz w:val="24"/>
          <w:szCs w:val="24"/>
        </w:rPr>
        <w:t xml:space="preserve">Dos </w:t>
      </w:r>
      <w:r w:rsidR="00AA4E6B" w:rsidRPr="00A345BF">
        <w:rPr>
          <w:rFonts w:ascii="Georgia" w:hAnsi="Georgia" w:cs="Arial"/>
          <w:smallCaps/>
          <w:sz w:val="24"/>
          <w:szCs w:val="24"/>
        </w:rPr>
        <w:t>(</w:t>
      </w:r>
      <w:r w:rsidR="00E620D1" w:rsidRPr="00A345BF">
        <w:rPr>
          <w:rFonts w:ascii="Georgia" w:hAnsi="Georgia" w:cs="Arial"/>
          <w:smallCaps/>
          <w:sz w:val="24"/>
          <w:szCs w:val="24"/>
        </w:rPr>
        <w:t>2</w:t>
      </w:r>
      <w:r w:rsidR="00AA4E6B" w:rsidRPr="00A345BF">
        <w:rPr>
          <w:rFonts w:ascii="Georgia" w:hAnsi="Georgia" w:cs="Arial"/>
          <w:smallCaps/>
          <w:sz w:val="24"/>
          <w:szCs w:val="24"/>
        </w:rPr>
        <w:t xml:space="preserve">) de </w:t>
      </w:r>
      <w:r w:rsidR="00991FE0" w:rsidRPr="00A345BF">
        <w:rPr>
          <w:rFonts w:ascii="Georgia" w:hAnsi="Georgia" w:cs="Arial"/>
          <w:smallCaps/>
          <w:sz w:val="24"/>
          <w:szCs w:val="24"/>
        </w:rPr>
        <w:t>marzo</w:t>
      </w:r>
      <w:r w:rsidR="00AA4E6B" w:rsidRPr="00A345BF">
        <w:rPr>
          <w:rFonts w:ascii="Georgia" w:hAnsi="Georgia" w:cs="Arial"/>
          <w:smallCaps/>
          <w:sz w:val="24"/>
          <w:szCs w:val="24"/>
        </w:rPr>
        <w:t xml:space="preserve"> de dos mil veint</w:t>
      </w:r>
      <w:r w:rsidRPr="00A345BF">
        <w:rPr>
          <w:rFonts w:ascii="Georgia" w:hAnsi="Georgia" w:cs="Arial"/>
          <w:smallCaps/>
          <w:sz w:val="24"/>
          <w:szCs w:val="24"/>
        </w:rPr>
        <w:t>iuno</w:t>
      </w:r>
      <w:r w:rsidR="00AA4E6B" w:rsidRPr="00A345BF">
        <w:rPr>
          <w:rFonts w:ascii="Georgia" w:hAnsi="Georgia" w:cs="Arial"/>
          <w:smallCaps/>
          <w:sz w:val="24"/>
          <w:szCs w:val="24"/>
        </w:rPr>
        <w:t xml:space="preserve"> (202</w:t>
      </w:r>
      <w:r w:rsidRPr="00A345BF">
        <w:rPr>
          <w:rFonts w:ascii="Georgia" w:hAnsi="Georgia" w:cs="Arial"/>
          <w:smallCaps/>
          <w:sz w:val="24"/>
          <w:szCs w:val="24"/>
        </w:rPr>
        <w:t>1</w:t>
      </w:r>
      <w:r w:rsidR="00AA4E6B" w:rsidRPr="00A345BF">
        <w:rPr>
          <w:rFonts w:ascii="Georgia" w:hAnsi="Georgia" w:cs="Arial"/>
          <w:smallCaps/>
          <w:sz w:val="24"/>
          <w:szCs w:val="24"/>
        </w:rPr>
        <w:t>).</w:t>
      </w:r>
    </w:p>
    <w:bookmarkEnd w:id="0"/>
    <w:p w14:paraId="7C2ABFE9" w14:textId="69F08ED5" w:rsidR="008F4BA2" w:rsidRPr="00A345BF" w:rsidRDefault="008F4BA2" w:rsidP="00A345BF">
      <w:pPr>
        <w:spacing w:line="276" w:lineRule="auto"/>
        <w:jc w:val="center"/>
        <w:rPr>
          <w:rFonts w:ascii="Georgia" w:hAnsi="Georgia"/>
          <w:sz w:val="24"/>
          <w:szCs w:val="24"/>
        </w:rPr>
      </w:pPr>
    </w:p>
    <w:p w14:paraId="4CA46050" w14:textId="77777777" w:rsidR="00E91165" w:rsidRPr="00A345BF" w:rsidRDefault="00E91165" w:rsidP="00A345BF">
      <w:pPr>
        <w:spacing w:line="276" w:lineRule="auto"/>
        <w:jc w:val="center"/>
        <w:rPr>
          <w:rFonts w:ascii="Georgia" w:hAnsi="Georgia"/>
          <w:sz w:val="24"/>
          <w:szCs w:val="24"/>
        </w:rPr>
      </w:pPr>
    </w:p>
    <w:p w14:paraId="2FB1B2AA" w14:textId="2170FDAD" w:rsidR="00AA4E6B" w:rsidRPr="00A345BF" w:rsidRDefault="00AA4E6B" w:rsidP="00A345BF">
      <w:pPr>
        <w:pStyle w:val="Textoindependiente"/>
        <w:numPr>
          <w:ilvl w:val="0"/>
          <w:numId w:val="15"/>
        </w:numPr>
        <w:spacing w:line="276" w:lineRule="auto"/>
        <w:rPr>
          <w:rFonts w:ascii="Georgia" w:hAnsi="Georgia"/>
          <w:b/>
          <w:smallCaps/>
          <w:szCs w:val="24"/>
        </w:rPr>
      </w:pPr>
      <w:r w:rsidRPr="00A345BF">
        <w:rPr>
          <w:rFonts w:ascii="Georgia" w:hAnsi="Georgia"/>
          <w:b/>
          <w:smallCaps/>
          <w:szCs w:val="24"/>
        </w:rPr>
        <w:lastRenderedPageBreak/>
        <w:t>EL ASUNTO POR DECIDIR</w:t>
      </w:r>
    </w:p>
    <w:p w14:paraId="7C2ABFEB" w14:textId="77777777" w:rsidR="009F1786" w:rsidRPr="00A345BF" w:rsidRDefault="009F1786" w:rsidP="00A345BF">
      <w:pPr>
        <w:pStyle w:val="Sinespaciado"/>
        <w:spacing w:line="276" w:lineRule="auto"/>
        <w:jc w:val="both"/>
        <w:rPr>
          <w:rFonts w:ascii="Georgia" w:hAnsi="Georgia" w:cs="Arial"/>
        </w:rPr>
      </w:pPr>
    </w:p>
    <w:p w14:paraId="7C2ABFEC" w14:textId="0319729B" w:rsidR="009F1786" w:rsidRPr="00A345BF" w:rsidRDefault="006C17B6" w:rsidP="00A345BF">
      <w:pPr>
        <w:pStyle w:val="Sinespaciado"/>
        <w:spacing w:line="276" w:lineRule="auto"/>
        <w:jc w:val="both"/>
        <w:rPr>
          <w:rFonts w:ascii="Georgia" w:hAnsi="Georgia" w:cs="Arial"/>
        </w:rPr>
      </w:pPr>
      <w:r w:rsidRPr="00A345BF">
        <w:rPr>
          <w:rFonts w:ascii="Georgia" w:hAnsi="Georgia" w:cs="Arial"/>
        </w:rPr>
        <w:t>Resolver</w:t>
      </w:r>
      <w:r w:rsidR="005C2CBC" w:rsidRPr="00A345BF">
        <w:rPr>
          <w:rFonts w:ascii="Georgia" w:hAnsi="Georgia" w:cs="Arial"/>
        </w:rPr>
        <w:t>,</w:t>
      </w:r>
      <w:r w:rsidRPr="00A345BF">
        <w:rPr>
          <w:rFonts w:ascii="Georgia" w:hAnsi="Georgia" w:cs="Arial"/>
        </w:rPr>
        <w:t xml:space="preserve"> previas las apreciaciones jurídicas que enseguida se plantean, e</w:t>
      </w:r>
      <w:r w:rsidR="00CF16F4" w:rsidRPr="00A345BF">
        <w:rPr>
          <w:rFonts w:ascii="Georgia" w:hAnsi="Georgia" w:cs="Arial"/>
        </w:rPr>
        <w:t xml:space="preserve">l </w:t>
      </w:r>
      <w:r w:rsidR="009F1786" w:rsidRPr="00A345BF">
        <w:rPr>
          <w:rFonts w:ascii="Georgia" w:hAnsi="Georgia" w:cs="Arial"/>
        </w:rPr>
        <w:t>recurso ordinario de reposición</w:t>
      </w:r>
      <w:r w:rsidRPr="00A345BF">
        <w:rPr>
          <w:rFonts w:ascii="Georgia" w:hAnsi="Georgia" w:cs="Arial"/>
        </w:rPr>
        <w:t xml:space="preserve">, </w:t>
      </w:r>
      <w:r w:rsidR="009F1786" w:rsidRPr="00A345BF">
        <w:rPr>
          <w:rFonts w:ascii="Georgia" w:hAnsi="Georgia" w:cs="Arial"/>
        </w:rPr>
        <w:t>propuest</w:t>
      </w:r>
      <w:r w:rsidR="00991FE0" w:rsidRPr="00A345BF">
        <w:rPr>
          <w:rFonts w:ascii="Georgia" w:hAnsi="Georgia" w:cs="Arial"/>
        </w:rPr>
        <w:t>o</w:t>
      </w:r>
      <w:r w:rsidR="009F1786" w:rsidRPr="00A345BF">
        <w:rPr>
          <w:rFonts w:ascii="Georgia" w:hAnsi="Georgia" w:cs="Arial"/>
        </w:rPr>
        <w:t xml:space="preserve"> por </w:t>
      </w:r>
      <w:r w:rsidR="00991FE0" w:rsidRPr="00A345BF">
        <w:rPr>
          <w:rFonts w:ascii="Georgia" w:hAnsi="Georgia" w:cs="Arial"/>
        </w:rPr>
        <w:t>e</w:t>
      </w:r>
      <w:r w:rsidR="009F1786" w:rsidRPr="00A345BF">
        <w:rPr>
          <w:rFonts w:ascii="Georgia" w:hAnsi="Georgia" w:cs="Arial"/>
        </w:rPr>
        <w:t>l mandatari</w:t>
      </w:r>
      <w:r w:rsidR="00991FE0" w:rsidRPr="00A345BF">
        <w:rPr>
          <w:rFonts w:ascii="Georgia" w:hAnsi="Georgia" w:cs="Arial"/>
        </w:rPr>
        <w:t>o</w:t>
      </w:r>
      <w:r w:rsidR="009F1786" w:rsidRPr="00A345BF">
        <w:rPr>
          <w:rFonts w:ascii="Georgia" w:hAnsi="Georgia" w:cs="Arial"/>
        </w:rPr>
        <w:t xml:space="preserve"> judicial de la parte </w:t>
      </w:r>
      <w:r w:rsidR="00AA4E6B" w:rsidRPr="00A345BF">
        <w:rPr>
          <w:rFonts w:ascii="Georgia" w:hAnsi="Georgia" w:cs="Arial"/>
        </w:rPr>
        <w:t>actora</w:t>
      </w:r>
      <w:r w:rsidRPr="00A345BF">
        <w:rPr>
          <w:rFonts w:ascii="Georgia" w:hAnsi="Georgia" w:cs="Arial"/>
        </w:rPr>
        <w:t xml:space="preserve">, </w:t>
      </w:r>
      <w:r w:rsidR="009F1786" w:rsidRPr="00A345BF">
        <w:rPr>
          <w:rFonts w:ascii="Georgia" w:hAnsi="Georgia" w:cs="Arial"/>
        </w:rPr>
        <w:t xml:space="preserve">contra </w:t>
      </w:r>
      <w:r w:rsidRPr="00A345BF">
        <w:rPr>
          <w:rFonts w:ascii="Georgia" w:hAnsi="Georgia" w:cs="Arial"/>
        </w:rPr>
        <w:t xml:space="preserve">el proveído </w:t>
      </w:r>
      <w:r w:rsidR="00E91165" w:rsidRPr="00A345BF">
        <w:rPr>
          <w:rFonts w:ascii="Georgia" w:hAnsi="Georgia" w:cs="Arial"/>
        </w:rPr>
        <w:t xml:space="preserve">de fecha 02-02-2021 </w:t>
      </w:r>
      <w:r w:rsidR="00E91165" w:rsidRPr="00A345BF">
        <w:rPr>
          <w:rFonts w:ascii="Georgia" w:hAnsi="Georgia" w:cs="Arial"/>
          <w:lang w:val="es-CO"/>
        </w:rPr>
        <w:t xml:space="preserve">(Carpeta 2ª instancia, </w:t>
      </w:r>
      <w:proofErr w:type="spellStart"/>
      <w:r w:rsidR="003E275B" w:rsidRPr="00A345BF">
        <w:rPr>
          <w:rFonts w:ascii="Georgia" w:hAnsi="Georgia" w:cs="Arial"/>
          <w:lang w:val="es-CO"/>
        </w:rPr>
        <w:t>pdf</w:t>
      </w:r>
      <w:proofErr w:type="spellEnd"/>
      <w:r w:rsidR="003E275B" w:rsidRPr="00A345BF">
        <w:rPr>
          <w:rFonts w:ascii="Georgia" w:hAnsi="Georgia" w:cs="Arial"/>
          <w:lang w:val="es-CO"/>
        </w:rPr>
        <w:t>. No. 08</w:t>
      </w:r>
      <w:r w:rsidR="00E91165" w:rsidRPr="00A345BF">
        <w:rPr>
          <w:rFonts w:ascii="Georgia" w:hAnsi="Georgia" w:cs="Arial"/>
          <w:lang w:val="es-CO"/>
        </w:rPr>
        <w:t>)</w:t>
      </w:r>
      <w:r w:rsidR="009F1786" w:rsidRPr="00A345BF">
        <w:rPr>
          <w:rFonts w:ascii="Georgia" w:hAnsi="Georgia" w:cs="Arial"/>
        </w:rPr>
        <w:t>.</w:t>
      </w:r>
    </w:p>
    <w:p w14:paraId="61802BFB" w14:textId="77777777" w:rsidR="00991FE0" w:rsidRPr="00A345BF" w:rsidRDefault="00991FE0" w:rsidP="00A345BF">
      <w:pPr>
        <w:pStyle w:val="Sinespaciado"/>
        <w:spacing w:line="276" w:lineRule="auto"/>
        <w:jc w:val="both"/>
        <w:rPr>
          <w:rFonts w:ascii="Georgia" w:hAnsi="Georgia" w:cs="Arial"/>
        </w:rPr>
      </w:pPr>
    </w:p>
    <w:p w14:paraId="7C2ABFEF" w14:textId="31F8ADD2" w:rsidR="009F1786" w:rsidRPr="00A345BF" w:rsidRDefault="006C17B6" w:rsidP="00A345BF">
      <w:pPr>
        <w:pStyle w:val="Textoindependiente"/>
        <w:numPr>
          <w:ilvl w:val="0"/>
          <w:numId w:val="15"/>
        </w:numPr>
        <w:spacing w:line="276" w:lineRule="auto"/>
        <w:rPr>
          <w:rFonts w:ascii="Georgia" w:hAnsi="Georgia"/>
          <w:b/>
          <w:smallCaps/>
          <w:szCs w:val="24"/>
        </w:rPr>
      </w:pPr>
      <w:r w:rsidRPr="00A345BF">
        <w:rPr>
          <w:rFonts w:ascii="Georgia" w:hAnsi="Georgia"/>
          <w:b/>
          <w:smallCaps/>
          <w:szCs w:val="24"/>
        </w:rPr>
        <w:t>La providencia recurrida</w:t>
      </w:r>
    </w:p>
    <w:p w14:paraId="27FFDAD4" w14:textId="77777777" w:rsidR="006C17B6" w:rsidRPr="00A345BF" w:rsidRDefault="006C17B6" w:rsidP="00A345BF">
      <w:pPr>
        <w:spacing w:line="276" w:lineRule="auto"/>
        <w:jc w:val="both"/>
        <w:rPr>
          <w:rFonts w:ascii="Georgia" w:hAnsi="Georgia" w:cs="Arial"/>
          <w:sz w:val="24"/>
          <w:szCs w:val="24"/>
        </w:rPr>
      </w:pPr>
    </w:p>
    <w:p w14:paraId="7C2ABFF0" w14:textId="7F51F2E3" w:rsidR="009F1786" w:rsidRPr="00A345BF" w:rsidRDefault="00E91165" w:rsidP="00A345BF">
      <w:pPr>
        <w:spacing w:line="276" w:lineRule="auto"/>
        <w:jc w:val="both"/>
        <w:rPr>
          <w:rFonts w:ascii="Georgia" w:hAnsi="Georgia" w:cs="Arial"/>
          <w:sz w:val="24"/>
          <w:szCs w:val="24"/>
        </w:rPr>
      </w:pPr>
      <w:r w:rsidRPr="00A345BF">
        <w:rPr>
          <w:rFonts w:ascii="Georgia" w:hAnsi="Georgia" w:cs="Arial"/>
          <w:sz w:val="24"/>
          <w:szCs w:val="24"/>
        </w:rPr>
        <w:t>D</w:t>
      </w:r>
      <w:r w:rsidR="2EF91A27" w:rsidRPr="00A345BF">
        <w:rPr>
          <w:rFonts w:ascii="Georgia" w:hAnsi="Georgia" w:cs="Arial"/>
          <w:sz w:val="24"/>
          <w:szCs w:val="24"/>
        </w:rPr>
        <w:t xml:space="preserve">eclaró </w:t>
      </w:r>
      <w:r w:rsidR="00B262B1" w:rsidRPr="00A345BF">
        <w:rPr>
          <w:rFonts w:ascii="Georgia" w:hAnsi="Georgia" w:cs="Arial"/>
          <w:sz w:val="24"/>
          <w:szCs w:val="24"/>
        </w:rPr>
        <w:t xml:space="preserve">la deserción </w:t>
      </w:r>
      <w:r w:rsidR="00712790" w:rsidRPr="00A345BF">
        <w:rPr>
          <w:rFonts w:ascii="Georgia" w:hAnsi="Georgia" w:cs="Arial"/>
          <w:sz w:val="24"/>
          <w:szCs w:val="24"/>
        </w:rPr>
        <w:t>de la alzada</w:t>
      </w:r>
      <w:r w:rsidR="00B262B1" w:rsidRPr="00A345BF">
        <w:rPr>
          <w:rFonts w:ascii="Georgia" w:hAnsi="Georgia" w:cs="Arial"/>
          <w:sz w:val="24"/>
          <w:szCs w:val="24"/>
        </w:rPr>
        <w:t>, formulad</w:t>
      </w:r>
      <w:r w:rsidR="00712790" w:rsidRPr="00A345BF">
        <w:rPr>
          <w:rFonts w:ascii="Georgia" w:hAnsi="Georgia" w:cs="Arial"/>
          <w:sz w:val="24"/>
          <w:szCs w:val="24"/>
        </w:rPr>
        <w:t>a</w:t>
      </w:r>
      <w:r w:rsidR="00B262B1" w:rsidRPr="00A345BF">
        <w:rPr>
          <w:rFonts w:ascii="Georgia" w:hAnsi="Georgia" w:cs="Arial"/>
          <w:sz w:val="24"/>
          <w:szCs w:val="24"/>
        </w:rPr>
        <w:t xml:space="preserve"> contra la sentencia de primera instancia, </w:t>
      </w:r>
      <w:r w:rsidR="00BB55AE" w:rsidRPr="00A345BF">
        <w:rPr>
          <w:rFonts w:ascii="Georgia" w:hAnsi="Georgia" w:cs="Arial"/>
          <w:sz w:val="24"/>
          <w:szCs w:val="24"/>
        </w:rPr>
        <w:t xml:space="preserve">porque la parte demandante pretermitió presentar </w:t>
      </w:r>
      <w:r w:rsidR="00C6424D" w:rsidRPr="00A345BF">
        <w:rPr>
          <w:rFonts w:ascii="Georgia" w:hAnsi="Georgia" w:cs="Arial"/>
          <w:sz w:val="24"/>
          <w:szCs w:val="24"/>
        </w:rPr>
        <w:t>l</w:t>
      </w:r>
      <w:r w:rsidR="00BB55AE" w:rsidRPr="00A345BF">
        <w:rPr>
          <w:rFonts w:ascii="Georgia" w:hAnsi="Georgia" w:cs="Arial"/>
          <w:sz w:val="24"/>
          <w:szCs w:val="24"/>
        </w:rPr>
        <w:t xml:space="preserve">a sustentación, </w:t>
      </w:r>
      <w:r w:rsidR="2022AA48" w:rsidRPr="00A345BF">
        <w:rPr>
          <w:rFonts w:ascii="Georgia" w:hAnsi="Georgia" w:cs="Arial"/>
          <w:sz w:val="24"/>
          <w:szCs w:val="24"/>
        </w:rPr>
        <w:t xml:space="preserve">según el </w:t>
      </w:r>
      <w:r w:rsidR="00BB55AE" w:rsidRPr="00A345BF">
        <w:rPr>
          <w:rFonts w:ascii="Georgia" w:hAnsi="Georgia" w:cs="Arial"/>
          <w:sz w:val="24"/>
          <w:szCs w:val="24"/>
        </w:rPr>
        <w:t>Decreto Presidencial No.806 de 2020</w:t>
      </w:r>
      <w:r w:rsidR="00A164C0" w:rsidRPr="00A345BF">
        <w:rPr>
          <w:rFonts w:ascii="Georgia" w:hAnsi="Georgia" w:cs="Arial"/>
          <w:sz w:val="24"/>
          <w:szCs w:val="24"/>
        </w:rPr>
        <w:t xml:space="preserve"> </w:t>
      </w:r>
      <w:r w:rsidR="00BB55AE" w:rsidRPr="00A345BF">
        <w:rPr>
          <w:rFonts w:ascii="Georgia" w:hAnsi="Georgia" w:cs="Arial"/>
          <w:sz w:val="24"/>
          <w:szCs w:val="24"/>
          <w:lang w:val="es-CO"/>
        </w:rPr>
        <w:t xml:space="preserve">(Carpeta 2ª instancia, </w:t>
      </w:r>
      <w:proofErr w:type="spellStart"/>
      <w:r w:rsidR="00AD1318" w:rsidRPr="00A345BF">
        <w:rPr>
          <w:rFonts w:ascii="Georgia" w:hAnsi="Georgia" w:cs="Arial"/>
          <w:sz w:val="24"/>
          <w:szCs w:val="24"/>
          <w:lang w:val="es-CO"/>
        </w:rPr>
        <w:t>pdf</w:t>
      </w:r>
      <w:proofErr w:type="spellEnd"/>
      <w:r w:rsidR="003E275B" w:rsidRPr="00A345BF">
        <w:rPr>
          <w:rFonts w:ascii="Georgia" w:hAnsi="Georgia" w:cs="Arial"/>
          <w:sz w:val="24"/>
          <w:szCs w:val="24"/>
          <w:lang w:val="es-CO"/>
        </w:rPr>
        <w:t>.</w:t>
      </w:r>
      <w:r w:rsidR="00BB55AE" w:rsidRPr="00A345BF">
        <w:rPr>
          <w:rFonts w:ascii="Georgia" w:hAnsi="Georgia" w:cs="Arial"/>
          <w:sz w:val="24"/>
          <w:szCs w:val="24"/>
          <w:lang w:val="es-CO"/>
        </w:rPr>
        <w:t xml:space="preserve"> </w:t>
      </w:r>
      <w:r w:rsidR="003E275B" w:rsidRPr="00A345BF">
        <w:rPr>
          <w:rFonts w:ascii="Georgia" w:hAnsi="Georgia" w:cs="Arial"/>
          <w:sz w:val="24"/>
          <w:szCs w:val="24"/>
          <w:lang w:val="es-CO"/>
        </w:rPr>
        <w:t xml:space="preserve">No. </w:t>
      </w:r>
      <w:r w:rsidR="00AD1318" w:rsidRPr="00A345BF">
        <w:rPr>
          <w:rFonts w:ascii="Georgia" w:hAnsi="Georgia" w:cs="Arial"/>
          <w:sz w:val="24"/>
          <w:szCs w:val="24"/>
          <w:lang w:val="es-CO"/>
        </w:rPr>
        <w:t>08</w:t>
      </w:r>
      <w:r w:rsidR="00BB55AE" w:rsidRPr="00A345BF">
        <w:rPr>
          <w:rFonts w:ascii="Georgia" w:hAnsi="Georgia" w:cs="Arial"/>
          <w:sz w:val="24"/>
          <w:szCs w:val="24"/>
          <w:lang w:val="es-CO"/>
        </w:rPr>
        <w:t>)</w:t>
      </w:r>
      <w:r w:rsidR="009F1786" w:rsidRPr="00A345BF">
        <w:rPr>
          <w:rFonts w:ascii="Georgia" w:hAnsi="Georgia" w:cs="Arial"/>
          <w:sz w:val="24"/>
          <w:szCs w:val="24"/>
        </w:rPr>
        <w:t>.</w:t>
      </w:r>
    </w:p>
    <w:p w14:paraId="7C2ABFF1" w14:textId="37A502CC" w:rsidR="009F1786" w:rsidRPr="00A345BF" w:rsidRDefault="009F1786" w:rsidP="00A345BF">
      <w:pPr>
        <w:spacing w:line="276" w:lineRule="auto"/>
        <w:jc w:val="both"/>
        <w:rPr>
          <w:rFonts w:ascii="Georgia" w:hAnsi="Georgia" w:cs="Arial"/>
          <w:sz w:val="24"/>
          <w:szCs w:val="24"/>
        </w:rPr>
      </w:pPr>
    </w:p>
    <w:p w14:paraId="7C2ABFF2" w14:textId="220D861C" w:rsidR="009F1786" w:rsidRPr="00A345BF" w:rsidRDefault="00E2193F" w:rsidP="00A345BF">
      <w:pPr>
        <w:pStyle w:val="Sinespaciado"/>
        <w:widowControl/>
        <w:numPr>
          <w:ilvl w:val="0"/>
          <w:numId w:val="15"/>
        </w:numPr>
        <w:autoSpaceDE/>
        <w:autoSpaceDN/>
        <w:adjustRightInd/>
        <w:spacing w:line="276" w:lineRule="auto"/>
        <w:jc w:val="both"/>
        <w:rPr>
          <w:rFonts w:ascii="Georgia" w:hAnsi="Georgia" w:cs="Arial"/>
          <w:b/>
          <w:smallCaps/>
        </w:rPr>
      </w:pPr>
      <w:r w:rsidRPr="00A345BF">
        <w:rPr>
          <w:rFonts w:ascii="Georgia" w:hAnsi="Georgia" w:cs="Arial"/>
          <w:b/>
          <w:smallCaps/>
        </w:rPr>
        <w:t>La síntesis de la reposición</w:t>
      </w:r>
    </w:p>
    <w:p w14:paraId="4BB4A468" w14:textId="77777777" w:rsidR="00E91165" w:rsidRPr="00A345BF" w:rsidRDefault="00E91165" w:rsidP="00A345BF">
      <w:pPr>
        <w:pStyle w:val="Sinespaciado"/>
        <w:spacing w:line="276" w:lineRule="auto"/>
        <w:jc w:val="both"/>
        <w:rPr>
          <w:rFonts w:ascii="Georgia" w:hAnsi="Georgia" w:cs="Arial"/>
        </w:rPr>
      </w:pPr>
      <w:bookmarkStart w:id="3" w:name="_Hlk48807934"/>
      <w:bookmarkStart w:id="4" w:name="_Hlk63069874"/>
    </w:p>
    <w:p w14:paraId="4A2C04B2" w14:textId="311D99AD" w:rsidR="008015E1" w:rsidRPr="00A345BF" w:rsidRDefault="0871F04C" w:rsidP="00A345BF">
      <w:pPr>
        <w:pStyle w:val="Sinespaciado"/>
        <w:spacing w:line="276" w:lineRule="auto"/>
        <w:jc w:val="both"/>
        <w:rPr>
          <w:rFonts w:ascii="Georgia" w:hAnsi="Georgia" w:cs="Arial"/>
        </w:rPr>
      </w:pPr>
      <w:bookmarkStart w:id="5" w:name="_Hlk65152242"/>
      <w:r w:rsidRPr="00A345BF">
        <w:rPr>
          <w:rFonts w:ascii="Georgia" w:hAnsi="Georgia" w:cs="Arial"/>
        </w:rPr>
        <w:t>E</w:t>
      </w:r>
      <w:r w:rsidR="001829D4" w:rsidRPr="00A345BF">
        <w:rPr>
          <w:rFonts w:ascii="Georgia" w:hAnsi="Georgia" w:cs="Arial"/>
        </w:rPr>
        <w:t xml:space="preserve">stima </w:t>
      </w:r>
      <w:r w:rsidR="00E91165" w:rsidRPr="00A345BF">
        <w:rPr>
          <w:rFonts w:ascii="Georgia" w:hAnsi="Georgia" w:cs="Arial"/>
        </w:rPr>
        <w:t xml:space="preserve">que el proveído del 06-10-2020, admitió el recurso, pero no es </w:t>
      </w:r>
      <w:r w:rsidR="510C6C89" w:rsidRPr="00A345BF">
        <w:rPr>
          <w:rFonts w:ascii="Georgia" w:hAnsi="Georgia" w:cs="Arial"/>
        </w:rPr>
        <w:t>“</w:t>
      </w:r>
      <w:r w:rsidR="00E91165" w:rsidRPr="00A345BF">
        <w:rPr>
          <w:rFonts w:ascii="Georgia" w:hAnsi="Georgia" w:cs="Arial"/>
        </w:rPr>
        <w:t>taxativo</w:t>
      </w:r>
      <w:r w:rsidR="342E2E87" w:rsidRPr="00A345BF">
        <w:rPr>
          <w:rFonts w:ascii="Georgia" w:hAnsi="Georgia" w:cs="Arial"/>
        </w:rPr>
        <w:t>”</w:t>
      </w:r>
      <w:r w:rsidR="00E91165" w:rsidRPr="00A345BF">
        <w:rPr>
          <w:rFonts w:ascii="Georgia" w:hAnsi="Georgia" w:cs="Arial"/>
        </w:rPr>
        <w:t xml:space="preserve"> en señalar que se corr</w:t>
      </w:r>
      <w:r w:rsidR="000E45E2" w:rsidRPr="00A345BF">
        <w:rPr>
          <w:rFonts w:ascii="Georgia" w:hAnsi="Georgia" w:cs="Arial"/>
        </w:rPr>
        <w:t>ía</w:t>
      </w:r>
      <w:r w:rsidR="00E91165" w:rsidRPr="00A345BF">
        <w:rPr>
          <w:rFonts w:ascii="Georgia" w:hAnsi="Georgia" w:cs="Arial"/>
        </w:rPr>
        <w:t xml:space="preserve"> el traslado para sustentar</w:t>
      </w:r>
      <w:r w:rsidR="00A935CF" w:rsidRPr="00A345BF">
        <w:rPr>
          <w:rFonts w:ascii="Georgia" w:hAnsi="Georgia" w:cs="Arial"/>
        </w:rPr>
        <w:t>lo</w:t>
      </w:r>
      <w:r w:rsidR="00E91165" w:rsidRPr="00A345BF">
        <w:rPr>
          <w:rFonts w:ascii="Georgia" w:hAnsi="Georgia" w:cs="Arial"/>
        </w:rPr>
        <w:t>.</w:t>
      </w:r>
      <w:r w:rsidR="0020186E" w:rsidRPr="00A345BF">
        <w:rPr>
          <w:rFonts w:ascii="Georgia" w:hAnsi="Georgia" w:cs="Arial"/>
        </w:rPr>
        <w:t xml:space="preserve"> Ante esa omisión esperaba que hubiese otra </w:t>
      </w:r>
      <w:r w:rsidR="00A935CF" w:rsidRPr="00A345BF">
        <w:rPr>
          <w:rFonts w:ascii="Georgia" w:hAnsi="Georgia" w:cs="Arial"/>
        </w:rPr>
        <w:t>actuación</w:t>
      </w:r>
      <w:r w:rsidR="0020186E" w:rsidRPr="00A345BF">
        <w:rPr>
          <w:rFonts w:ascii="Georgia" w:hAnsi="Georgia" w:cs="Arial"/>
        </w:rPr>
        <w:t xml:space="preserve"> que le indicara que debía hacerlo. </w:t>
      </w:r>
      <w:r w:rsidR="00E91165" w:rsidRPr="00A345BF">
        <w:rPr>
          <w:rFonts w:ascii="Georgia" w:hAnsi="Georgia" w:cs="Arial"/>
        </w:rPr>
        <w:t>La mención de que se aplicaría el artículo 14° del Decreto Presidencial No.</w:t>
      </w:r>
      <w:r w:rsidR="00482703">
        <w:rPr>
          <w:rFonts w:ascii="Georgia" w:hAnsi="Georgia" w:cs="Arial"/>
        </w:rPr>
        <w:t xml:space="preserve"> </w:t>
      </w:r>
      <w:r w:rsidR="00E91165" w:rsidRPr="00A345BF">
        <w:rPr>
          <w:rFonts w:ascii="Georgia" w:hAnsi="Georgia" w:cs="Arial"/>
        </w:rPr>
        <w:t>806 de 2020, e</w:t>
      </w:r>
      <w:r w:rsidR="002779AF" w:rsidRPr="00A345BF">
        <w:rPr>
          <w:rFonts w:ascii="Georgia" w:hAnsi="Georgia" w:cs="Arial"/>
        </w:rPr>
        <w:t>s</w:t>
      </w:r>
      <w:r w:rsidR="00E91165" w:rsidRPr="00A345BF">
        <w:rPr>
          <w:rFonts w:ascii="Georgia" w:hAnsi="Georgia" w:cs="Arial"/>
        </w:rPr>
        <w:t xml:space="preserve"> confusa por sí sola, debió mencionarse, expresamente, que </w:t>
      </w:r>
      <w:r w:rsidR="002779AF" w:rsidRPr="00A345BF">
        <w:rPr>
          <w:rFonts w:ascii="Georgia" w:hAnsi="Georgia" w:cs="Arial"/>
        </w:rPr>
        <w:t xml:space="preserve">era </w:t>
      </w:r>
      <w:r w:rsidR="000E45E2" w:rsidRPr="00A345BF">
        <w:rPr>
          <w:rFonts w:ascii="Georgia" w:hAnsi="Georgia" w:cs="Arial"/>
        </w:rPr>
        <w:t>la oportunidad para sustentar, o transcribir la norma para mayor claridad.</w:t>
      </w:r>
      <w:r w:rsidR="00E91165" w:rsidRPr="00A345BF">
        <w:rPr>
          <w:rFonts w:ascii="Georgia" w:hAnsi="Georgia" w:cs="Arial"/>
        </w:rPr>
        <w:t xml:space="preserve"> </w:t>
      </w:r>
    </w:p>
    <w:p w14:paraId="66230310" w14:textId="33E4FB54" w:rsidR="008015E1" w:rsidRPr="00A345BF" w:rsidRDefault="008015E1" w:rsidP="00A345BF">
      <w:pPr>
        <w:pStyle w:val="Sinespaciado"/>
        <w:spacing w:line="276" w:lineRule="auto"/>
        <w:jc w:val="both"/>
        <w:rPr>
          <w:rFonts w:ascii="Georgia" w:hAnsi="Georgia" w:cs="Arial"/>
        </w:rPr>
      </w:pPr>
    </w:p>
    <w:p w14:paraId="28AB0AB8" w14:textId="15165AD1" w:rsidR="008015E1" w:rsidRPr="00A345BF" w:rsidRDefault="000E45E2" w:rsidP="00A345BF">
      <w:pPr>
        <w:pStyle w:val="Sinespaciado"/>
        <w:spacing w:line="276" w:lineRule="auto"/>
        <w:jc w:val="both"/>
        <w:rPr>
          <w:rFonts w:ascii="Georgia" w:hAnsi="Georgia" w:cs="Arial"/>
        </w:rPr>
      </w:pPr>
      <w:r w:rsidRPr="00A345BF">
        <w:rPr>
          <w:rFonts w:ascii="Georgia" w:hAnsi="Georgia" w:cs="Arial"/>
        </w:rPr>
        <w:t xml:space="preserve">Considera que </w:t>
      </w:r>
      <w:r w:rsidR="00A935CF" w:rsidRPr="00A345BF">
        <w:rPr>
          <w:rFonts w:ascii="Georgia" w:hAnsi="Georgia" w:cs="Arial"/>
        </w:rPr>
        <w:t>el auto</w:t>
      </w:r>
      <w:r w:rsidRPr="00A345BF">
        <w:rPr>
          <w:rFonts w:ascii="Georgia" w:hAnsi="Georgia" w:cs="Arial"/>
        </w:rPr>
        <w:t xml:space="preserve"> </w:t>
      </w:r>
      <w:r w:rsidR="00A935CF" w:rsidRPr="00A345BF">
        <w:rPr>
          <w:rFonts w:ascii="Georgia" w:hAnsi="Georgia" w:cs="Arial"/>
        </w:rPr>
        <w:t xml:space="preserve">reprochado </w:t>
      </w:r>
      <w:r w:rsidRPr="00A345BF">
        <w:rPr>
          <w:rFonts w:ascii="Georgia" w:hAnsi="Georgia" w:cs="Arial"/>
        </w:rPr>
        <w:t>es lesiv</w:t>
      </w:r>
      <w:r w:rsidR="4B2A0847" w:rsidRPr="00A345BF">
        <w:rPr>
          <w:rFonts w:ascii="Georgia" w:hAnsi="Georgia" w:cs="Arial"/>
        </w:rPr>
        <w:t>o</w:t>
      </w:r>
      <w:r w:rsidRPr="00A345BF">
        <w:rPr>
          <w:rFonts w:ascii="Georgia" w:hAnsi="Georgia" w:cs="Arial"/>
        </w:rPr>
        <w:t xml:space="preserve"> del derecho al acceso de administración de justicia</w:t>
      </w:r>
      <w:r w:rsidR="00CE2BC9" w:rsidRPr="00A345BF">
        <w:rPr>
          <w:rFonts w:ascii="Georgia" w:hAnsi="Georgia" w:cs="Arial"/>
        </w:rPr>
        <w:t>, pues, itera, partió de la confusión generada</w:t>
      </w:r>
      <w:r w:rsidRPr="00A345BF">
        <w:rPr>
          <w:rFonts w:ascii="Georgia" w:hAnsi="Georgia" w:cs="Arial"/>
        </w:rPr>
        <w:t>. En caso de mantenerse</w:t>
      </w:r>
      <w:r w:rsidR="00A935CF" w:rsidRPr="00A345BF">
        <w:rPr>
          <w:rFonts w:ascii="Georgia" w:hAnsi="Georgia" w:cs="Arial"/>
        </w:rPr>
        <w:t xml:space="preserve"> la decisión</w:t>
      </w:r>
      <w:r w:rsidRPr="00A345BF">
        <w:rPr>
          <w:rFonts w:ascii="Georgia" w:hAnsi="Georgia" w:cs="Arial"/>
        </w:rPr>
        <w:t xml:space="preserve">, subsidiariamente, pide </w:t>
      </w:r>
      <w:r w:rsidR="002779AF" w:rsidRPr="00A345BF">
        <w:rPr>
          <w:rFonts w:ascii="Georgia" w:hAnsi="Georgia" w:cs="Arial"/>
        </w:rPr>
        <w:t>se</w:t>
      </w:r>
      <w:r w:rsidRPr="00A345BF">
        <w:rPr>
          <w:rFonts w:ascii="Georgia" w:hAnsi="Georgia" w:cs="Arial"/>
        </w:rPr>
        <w:t xml:space="preserve"> conceda apelación</w:t>
      </w:r>
      <w:r w:rsidR="006C17B6" w:rsidRPr="00A345BF">
        <w:rPr>
          <w:rFonts w:ascii="Georgia" w:hAnsi="Georgia" w:cs="Arial"/>
          <w:lang w:val="es-CO"/>
        </w:rPr>
        <w:t xml:space="preserve"> (Carpeta </w:t>
      </w:r>
      <w:r w:rsidR="00C34C39" w:rsidRPr="00A345BF">
        <w:rPr>
          <w:rFonts w:ascii="Georgia" w:hAnsi="Georgia" w:cs="Arial"/>
          <w:lang w:val="es-CO"/>
        </w:rPr>
        <w:t xml:space="preserve">2ª instancia, </w:t>
      </w:r>
      <w:proofErr w:type="spellStart"/>
      <w:r w:rsidRPr="00A345BF">
        <w:rPr>
          <w:rFonts w:ascii="Georgia" w:hAnsi="Georgia" w:cs="Arial"/>
          <w:lang w:val="es-CO"/>
        </w:rPr>
        <w:t>pdf</w:t>
      </w:r>
      <w:proofErr w:type="spellEnd"/>
      <w:r w:rsidR="00C34C39" w:rsidRPr="00A345BF">
        <w:rPr>
          <w:rFonts w:ascii="Georgia" w:hAnsi="Georgia" w:cs="Arial"/>
          <w:lang w:val="es-CO"/>
        </w:rPr>
        <w:t xml:space="preserve"> </w:t>
      </w:r>
      <w:r w:rsidR="3F1B35F8" w:rsidRPr="00A345BF">
        <w:rPr>
          <w:rFonts w:ascii="Georgia" w:hAnsi="Georgia" w:cs="Arial"/>
          <w:lang w:val="es-CO"/>
        </w:rPr>
        <w:t>No.</w:t>
      </w:r>
      <w:r w:rsidR="00C34C39" w:rsidRPr="00A345BF">
        <w:rPr>
          <w:rFonts w:ascii="Georgia" w:hAnsi="Georgia" w:cs="Arial"/>
          <w:lang w:val="es-CO"/>
        </w:rPr>
        <w:t>1</w:t>
      </w:r>
      <w:r w:rsidRPr="00A345BF">
        <w:rPr>
          <w:rFonts w:ascii="Georgia" w:hAnsi="Georgia" w:cs="Arial"/>
          <w:lang w:val="es-CO"/>
        </w:rPr>
        <w:t>0</w:t>
      </w:r>
      <w:r w:rsidR="00C34C39" w:rsidRPr="00A345BF">
        <w:rPr>
          <w:rFonts w:ascii="Georgia" w:hAnsi="Georgia" w:cs="Arial"/>
          <w:lang w:val="es-CO"/>
        </w:rPr>
        <w:t>)</w:t>
      </w:r>
      <w:bookmarkEnd w:id="3"/>
      <w:r w:rsidR="004361D6" w:rsidRPr="00A345BF">
        <w:rPr>
          <w:rFonts w:ascii="Georgia" w:hAnsi="Georgia" w:cs="Arial"/>
        </w:rPr>
        <w:t>.</w:t>
      </w:r>
    </w:p>
    <w:bookmarkEnd w:id="5"/>
    <w:p w14:paraId="0EEE88C0" w14:textId="77777777" w:rsidR="002779AF" w:rsidRPr="00A345BF" w:rsidRDefault="002779AF" w:rsidP="00A345BF">
      <w:pPr>
        <w:pStyle w:val="Sinespaciado"/>
        <w:spacing w:line="276" w:lineRule="auto"/>
        <w:jc w:val="both"/>
        <w:rPr>
          <w:rFonts w:ascii="Georgia" w:hAnsi="Georgia" w:cs="Arial"/>
        </w:rPr>
      </w:pPr>
    </w:p>
    <w:p w14:paraId="4FD70EA3" w14:textId="75BBEE81" w:rsidR="003957FE" w:rsidRPr="00A345BF" w:rsidRDefault="003957FE" w:rsidP="00A345BF">
      <w:pPr>
        <w:pStyle w:val="Sinespaciado"/>
        <w:widowControl/>
        <w:numPr>
          <w:ilvl w:val="0"/>
          <w:numId w:val="15"/>
        </w:numPr>
        <w:autoSpaceDE/>
        <w:autoSpaceDN/>
        <w:adjustRightInd/>
        <w:spacing w:line="276" w:lineRule="auto"/>
        <w:jc w:val="both"/>
        <w:rPr>
          <w:rFonts w:ascii="Georgia" w:hAnsi="Georgia" w:cs="Arial"/>
          <w:b/>
          <w:smallCaps/>
        </w:rPr>
      </w:pPr>
      <w:r w:rsidRPr="00A345BF">
        <w:rPr>
          <w:rFonts w:ascii="Georgia" w:hAnsi="Georgia" w:cs="Arial"/>
          <w:b/>
          <w:smallCaps/>
        </w:rPr>
        <w:t>La sinopsis de la replica</w:t>
      </w:r>
    </w:p>
    <w:p w14:paraId="08596AB2" w14:textId="77777777" w:rsidR="003957FE" w:rsidRPr="00A345BF" w:rsidRDefault="003957FE" w:rsidP="00A345BF">
      <w:pPr>
        <w:pStyle w:val="Sinespaciado"/>
        <w:spacing w:line="276" w:lineRule="auto"/>
        <w:jc w:val="both"/>
        <w:rPr>
          <w:rFonts w:ascii="Georgia" w:hAnsi="Georgia" w:cs="Arial"/>
        </w:rPr>
      </w:pPr>
    </w:p>
    <w:p w14:paraId="695EDC38" w14:textId="30B93237" w:rsidR="003957FE" w:rsidRPr="00A345BF" w:rsidRDefault="003957FE" w:rsidP="00A345BF">
      <w:pPr>
        <w:pStyle w:val="Sinespaciado"/>
        <w:spacing w:line="276" w:lineRule="auto"/>
        <w:jc w:val="both"/>
        <w:rPr>
          <w:rFonts w:ascii="Georgia" w:hAnsi="Georgia" w:cs="Arial"/>
        </w:rPr>
      </w:pPr>
      <w:r w:rsidRPr="00A345BF">
        <w:rPr>
          <w:rFonts w:ascii="Georgia" w:hAnsi="Georgia" w:cs="Arial"/>
        </w:rPr>
        <w:t>La Nueva EPS SA</w:t>
      </w:r>
      <w:r w:rsidR="00A935CF" w:rsidRPr="00A345BF">
        <w:rPr>
          <w:rFonts w:ascii="Georgia" w:hAnsi="Georgia" w:cs="Arial"/>
        </w:rPr>
        <w:t>,</w:t>
      </w:r>
      <w:r w:rsidRPr="00A345BF">
        <w:rPr>
          <w:rFonts w:ascii="Georgia" w:hAnsi="Georgia" w:cs="Arial"/>
        </w:rPr>
        <w:t xml:space="preserve"> se opuso a los recursos formulados, porque considera que </w:t>
      </w:r>
      <w:r w:rsidR="00952D8F" w:rsidRPr="00A345BF">
        <w:rPr>
          <w:rFonts w:ascii="Georgia" w:hAnsi="Georgia" w:cs="Arial"/>
        </w:rPr>
        <w:t>la referencia, en el auto que admitió, de que se aplicaría el artículo 14° del Decreto Presidencial No.806 de 2020, sin lugar a dudas permitía inferir que una vez ejecutoriado ese proveído, correría el traslado al apelante</w:t>
      </w:r>
      <w:r w:rsidR="002779AF" w:rsidRPr="00A345BF">
        <w:rPr>
          <w:rFonts w:ascii="Georgia" w:hAnsi="Georgia" w:cs="Arial"/>
        </w:rPr>
        <w:t xml:space="preserve"> para sustentar</w:t>
      </w:r>
      <w:r w:rsidR="00952D8F" w:rsidRPr="00A345BF">
        <w:rPr>
          <w:rFonts w:ascii="Georgia" w:hAnsi="Georgia" w:cs="Arial"/>
        </w:rPr>
        <w:t xml:space="preserve">. Estima inadmisible que se diga que </w:t>
      </w:r>
      <w:r w:rsidR="00201931" w:rsidRPr="00A345BF">
        <w:rPr>
          <w:rFonts w:ascii="Georgia" w:hAnsi="Georgia" w:cs="Arial"/>
        </w:rPr>
        <w:t>hubo</w:t>
      </w:r>
      <w:r w:rsidR="00952D8F" w:rsidRPr="00A345BF">
        <w:rPr>
          <w:rFonts w:ascii="Georgia" w:hAnsi="Georgia" w:cs="Arial"/>
        </w:rPr>
        <w:t xml:space="preserve"> confusión, pues al expedir la citada norma</w:t>
      </w:r>
      <w:r w:rsidR="00201931" w:rsidRPr="00A345BF">
        <w:rPr>
          <w:rFonts w:ascii="Georgia" w:hAnsi="Georgia" w:cs="Arial"/>
        </w:rPr>
        <w:t xml:space="preserve"> se dio tiempo para estudiarla y es deber de los abogados actualizarse (Artículo </w:t>
      </w:r>
      <w:r w:rsidR="00A935CF" w:rsidRPr="00A345BF">
        <w:rPr>
          <w:rFonts w:ascii="Georgia" w:hAnsi="Georgia" w:cs="Arial"/>
        </w:rPr>
        <w:t>28-4°</w:t>
      </w:r>
      <w:r w:rsidR="00201931" w:rsidRPr="00A345BF">
        <w:rPr>
          <w:rFonts w:ascii="Georgia" w:hAnsi="Georgia" w:cs="Arial"/>
        </w:rPr>
        <w:t xml:space="preserve">, Ley 1123) </w:t>
      </w:r>
      <w:r w:rsidR="00201931" w:rsidRPr="00A345BF">
        <w:rPr>
          <w:rFonts w:ascii="Georgia" w:hAnsi="Georgia" w:cs="Arial"/>
          <w:lang w:val="es-CO"/>
        </w:rPr>
        <w:t xml:space="preserve">(Carpeta 2ª instancia, </w:t>
      </w:r>
      <w:proofErr w:type="spellStart"/>
      <w:r w:rsidR="00201931" w:rsidRPr="00A345BF">
        <w:rPr>
          <w:rFonts w:ascii="Georgia" w:hAnsi="Georgia" w:cs="Arial"/>
          <w:lang w:val="es-CO"/>
        </w:rPr>
        <w:t>pdf</w:t>
      </w:r>
      <w:proofErr w:type="spellEnd"/>
      <w:r w:rsidR="00201931" w:rsidRPr="00A345BF">
        <w:rPr>
          <w:rFonts w:ascii="Georgia" w:hAnsi="Georgia" w:cs="Arial"/>
          <w:lang w:val="es-CO"/>
        </w:rPr>
        <w:t xml:space="preserve"> No.19)</w:t>
      </w:r>
      <w:r w:rsidR="00201931" w:rsidRPr="00A345BF">
        <w:rPr>
          <w:rFonts w:ascii="Georgia" w:hAnsi="Georgia" w:cs="Arial"/>
        </w:rPr>
        <w:t>.</w:t>
      </w:r>
      <w:r w:rsidR="00952D8F" w:rsidRPr="00A345BF">
        <w:rPr>
          <w:rFonts w:ascii="Georgia" w:hAnsi="Georgia" w:cs="Arial"/>
        </w:rPr>
        <w:t xml:space="preserve"> </w:t>
      </w:r>
    </w:p>
    <w:p w14:paraId="6DAF2833" w14:textId="16995B8F" w:rsidR="003957FE" w:rsidRPr="00A345BF" w:rsidRDefault="003957FE" w:rsidP="00A345BF">
      <w:pPr>
        <w:pStyle w:val="Sinespaciado"/>
        <w:spacing w:line="276" w:lineRule="auto"/>
        <w:jc w:val="both"/>
        <w:rPr>
          <w:rFonts w:ascii="Georgia" w:hAnsi="Georgia" w:cs="Arial"/>
        </w:rPr>
      </w:pPr>
    </w:p>
    <w:bookmarkEnd w:id="4"/>
    <w:p w14:paraId="7C2ABFF6" w14:textId="2E7927D1" w:rsidR="009F1786" w:rsidRPr="00A345BF" w:rsidRDefault="00E2193F" w:rsidP="00A345BF">
      <w:pPr>
        <w:pStyle w:val="Sinespaciado"/>
        <w:widowControl/>
        <w:numPr>
          <w:ilvl w:val="0"/>
          <w:numId w:val="15"/>
        </w:numPr>
        <w:autoSpaceDE/>
        <w:autoSpaceDN/>
        <w:adjustRightInd/>
        <w:spacing w:line="276" w:lineRule="auto"/>
        <w:jc w:val="both"/>
        <w:rPr>
          <w:rFonts w:ascii="Georgia" w:hAnsi="Georgia" w:cs="Arial"/>
          <w:b/>
          <w:smallCaps/>
        </w:rPr>
      </w:pPr>
      <w:r w:rsidRPr="00A345BF">
        <w:rPr>
          <w:rFonts w:ascii="Georgia" w:hAnsi="Georgia" w:cs="Arial"/>
          <w:b/>
          <w:smallCaps/>
        </w:rPr>
        <w:t>Las estimaciones jurídicas para decidir</w:t>
      </w:r>
    </w:p>
    <w:p w14:paraId="7C2ABFF7" w14:textId="77777777" w:rsidR="005776F2" w:rsidRPr="00A345BF" w:rsidRDefault="005776F2" w:rsidP="00A345BF">
      <w:pPr>
        <w:spacing w:line="276" w:lineRule="auto"/>
        <w:jc w:val="both"/>
        <w:rPr>
          <w:rFonts w:ascii="Georgia" w:hAnsi="Georgia" w:cs="Arial"/>
          <w:smallCaps/>
          <w:sz w:val="24"/>
          <w:szCs w:val="24"/>
        </w:rPr>
      </w:pPr>
    </w:p>
    <w:p w14:paraId="7C2ABFFA" w14:textId="49120201" w:rsidR="009F1786" w:rsidRDefault="00201931" w:rsidP="00A345BF">
      <w:pPr>
        <w:pStyle w:val="Textopredeterminado"/>
        <w:spacing w:line="276" w:lineRule="auto"/>
        <w:jc w:val="both"/>
        <w:textAlignment w:val="baseline"/>
        <w:rPr>
          <w:rFonts w:ascii="Georgia" w:hAnsi="Georgia" w:cs="Arial"/>
          <w:color w:val="auto"/>
          <w:szCs w:val="24"/>
        </w:rPr>
      </w:pPr>
      <w:r w:rsidRPr="00A345BF">
        <w:rPr>
          <w:rFonts w:ascii="Georgia" w:hAnsi="Georgia" w:cs="Arial"/>
          <w:i/>
          <w:smallCaps/>
          <w:color w:val="auto"/>
          <w:szCs w:val="24"/>
        </w:rPr>
        <w:t xml:space="preserve">5.1. </w:t>
      </w:r>
      <w:r w:rsidR="009F1786" w:rsidRPr="00A345BF">
        <w:rPr>
          <w:rFonts w:ascii="Georgia" w:hAnsi="Georgia" w:cs="Arial"/>
          <w:i/>
          <w:smallCaps/>
          <w:color w:val="auto"/>
          <w:szCs w:val="24"/>
        </w:rPr>
        <w:t>El trámite del recurso</w:t>
      </w:r>
      <w:r w:rsidR="008C16FC" w:rsidRPr="00A345BF">
        <w:rPr>
          <w:rFonts w:ascii="Georgia" w:hAnsi="Georgia" w:cs="Arial"/>
          <w:smallCaps/>
          <w:color w:val="auto"/>
          <w:szCs w:val="24"/>
        </w:rPr>
        <w:t xml:space="preserve">. </w:t>
      </w:r>
      <w:r w:rsidR="009F1786" w:rsidRPr="00A345BF">
        <w:rPr>
          <w:rFonts w:ascii="Georgia" w:hAnsi="Georgia" w:cs="Arial"/>
          <w:color w:val="auto"/>
          <w:szCs w:val="24"/>
        </w:rPr>
        <w:t>De conformidad con los artículos 110 y 318</w:t>
      </w:r>
      <w:r w:rsidR="002E660C" w:rsidRPr="00A345BF">
        <w:rPr>
          <w:rFonts w:ascii="Georgia" w:hAnsi="Georgia" w:cs="Arial"/>
          <w:color w:val="auto"/>
          <w:szCs w:val="24"/>
        </w:rPr>
        <w:t xml:space="preserve">, </w:t>
      </w:r>
      <w:r w:rsidR="009F1786" w:rsidRPr="00A345BF">
        <w:rPr>
          <w:rFonts w:ascii="Georgia" w:hAnsi="Georgia" w:cs="Arial"/>
          <w:color w:val="auto"/>
          <w:szCs w:val="24"/>
        </w:rPr>
        <w:t>CGP, se surtió el traslado secretarial</w:t>
      </w:r>
      <w:r w:rsidR="001638CD" w:rsidRPr="00A345BF">
        <w:rPr>
          <w:rFonts w:ascii="Georgia" w:hAnsi="Georgia" w:cs="Arial"/>
          <w:color w:val="auto"/>
          <w:szCs w:val="24"/>
        </w:rPr>
        <w:t xml:space="preserve"> y</w:t>
      </w:r>
      <w:r w:rsidR="008C16FC" w:rsidRPr="00A345BF">
        <w:rPr>
          <w:rFonts w:ascii="Georgia" w:hAnsi="Georgia" w:cs="Arial"/>
          <w:color w:val="auto"/>
          <w:szCs w:val="24"/>
        </w:rPr>
        <w:t xml:space="preserve"> </w:t>
      </w:r>
      <w:r w:rsidRPr="00A345BF">
        <w:rPr>
          <w:rFonts w:ascii="Georgia" w:hAnsi="Georgia" w:cs="Arial"/>
          <w:color w:val="auto"/>
          <w:szCs w:val="24"/>
        </w:rPr>
        <w:t xml:space="preserve">en </w:t>
      </w:r>
      <w:r w:rsidR="008C16FC" w:rsidRPr="00A345BF">
        <w:rPr>
          <w:rFonts w:ascii="Georgia" w:hAnsi="Georgia" w:cs="Arial"/>
          <w:color w:val="auto"/>
          <w:szCs w:val="24"/>
        </w:rPr>
        <w:t xml:space="preserve">término </w:t>
      </w:r>
      <w:r w:rsidRPr="00A345BF">
        <w:rPr>
          <w:rFonts w:ascii="Georgia" w:hAnsi="Georgia" w:cs="Arial"/>
          <w:color w:val="auto"/>
          <w:szCs w:val="24"/>
        </w:rPr>
        <w:t xml:space="preserve">se pronunció la parte pasiva </w:t>
      </w:r>
      <w:r w:rsidR="008C16FC" w:rsidRPr="00A345BF">
        <w:rPr>
          <w:rFonts w:ascii="Georgia" w:hAnsi="Georgia" w:cs="Arial"/>
          <w:color w:val="auto"/>
          <w:szCs w:val="24"/>
          <w:lang w:val="es-CO"/>
        </w:rPr>
        <w:t xml:space="preserve">(Carpeta 2ª instancia, </w:t>
      </w:r>
      <w:proofErr w:type="spellStart"/>
      <w:r w:rsidRPr="00A345BF">
        <w:rPr>
          <w:rFonts w:ascii="Georgia" w:hAnsi="Georgia" w:cs="Arial"/>
          <w:color w:val="auto"/>
          <w:szCs w:val="24"/>
          <w:lang w:val="es-CO"/>
        </w:rPr>
        <w:t>pdf</w:t>
      </w:r>
      <w:proofErr w:type="spellEnd"/>
      <w:r w:rsidR="003E275B" w:rsidRPr="00A345BF">
        <w:rPr>
          <w:rFonts w:ascii="Georgia" w:hAnsi="Georgia" w:cs="Arial"/>
          <w:color w:val="auto"/>
          <w:szCs w:val="24"/>
          <w:lang w:val="es-CO"/>
        </w:rPr>
        <w:t>. Nos.</w:t>
      </w:r>
      <w:r w:rsidR="008C16FC" w:rsidRPr="00A345BF">
        <w:rPr>
          <w:rFonts w:ascii="Georgia" w:hAnsi="Georgia" w:cs="Arial"/>
          <w:color w:val="auto"/>
          <w:szCs w:val="24"/>
          <w:lang w:val="es-CO"/>
        </w:rPr>
        <w:t xml:space="preserve"> </w:t>
      </w:r>
      <w:r w:rsidR="00C34C39" w:rsidRPr="00A345BF">
        <w:rPr>
          <w:rFonts w:ascii="Georgia" w:hAnsi="Georgia" w:cs="Arial"/>
          <w:color w:val="auto"/>
          <w:szCs w:val="24"/>
          <w:lang w:val="es-CO"/>
        </w:rPr>
        <w:t>1</w:t>
      </w:r>
      <w:r w:rsidRPr="00A345BF">
        <w:rPr>
          <w:rFonts w:ascii="Georgia" w:hAnsi="Georgia" w:cs="Arial"/>
          <w:color w:val="auto"/>
          <w:szCs w:val="24"/>
          <w:lang w:val="es-CO"/>
        </w:rPr>
        <w:t>1</w:t>
      </w:r>
      <w:r w:rsidR="00C34C39" w:rsidRPr="00A345BF">
        <w:rPr>
          <w:rFonts w:ascii="Georgia" w:hAnsi="Georgia" w:cs="Arial"/>
          <w:color w:val="auto"/>
          <w:szCs w:val="24"/>
          <w:lang w:val="es-CO"/>
        </w:rPr>
        <w:t xml:space="preserve"> y </w:t>
      </w:r>
      <w:r w:rsidRPr="00A345BF">
        <w:rPr>
          <w:rFonts w:ascii="Georgia" w:hAnsi="Georgia" w:cs="Arial"/>
          <w:color w:val="auto"/>
          <w:szCs w:val="24"/>
          <w:lang w:val="es-CO"/>
        </w:rPr>
        <w:t>21</w:t>
      </w:r>
      <w:r w:rsidR="008C16FC" w:rsidRPr="00A345BF">
        <w:rPr>
          <w:rFonts w:ascii="Georgia" w:hAnsi="Georgia" w:cs="Arial"/>
          <w:color w:val="auto"/>
          <w:szCs w:val="24"/>
          <w:lang w:val="es-CO"/>
        </w:rPr>
        <w:t>)</w:t>
      </w:r>
      <w:r w:rsidR="009F1786" w:rsidRPr="00A345BF">
        <w:rPr>
          <w:rFonts w:ascii="Georgia" w:hAnsi="Georgia" w:cs="Arial"/>
          <w:color w:val="auto"/>
          <w:szCs w:val="24"/>
        </w:rPr>
        <w:t>.</w:t>
      </w:r>
    </w:p>
    <w:p w14:paraId="52E3BEB2" w14:textId="77777777" w:rsidR="00A345BF" w:rsidRPr="00A345BF" w:rsidRDefault="00A345BF" w:rsidP="00A345BF">
      <w:pPr>
        <w:pStyle w:val="Textopredeterminado"/>
        <w:spacing w:line="276" w:lineRule="auto"/>
        <w:jc w:val="both"/>
        <w:textAlignment w:val="baseline"/>
        <w:rPr>
          <w:rFonts w:ascii="Georgia" w:hAnsi="Georgia" w:cs="Arial"/>
          <w:color w:val="auto"/>
          <w:szCs w:val="24"/>
        </w:rPr>
      </w:pPr>
    </w:p>
    <w:p w14:paraId="53B7B810" w14:textId="73F5B4A7" w:rsidR="008C16FC" w:rsidRPr="00A345BF" w:rsidRDefault="00201931" w:rsidP="00A345BF">
      <w:pPr>
        <w:pStyle w:val="Textopredeterminado"/>
        <w:spacing w:line="276" w:lineRule="auto"/>
        <w:jc w:val="both"/>
        <w:rPr>
          <w:rFonts w:ascii="Georgia" w:hAnsi="Georgia" w:cs="Arial"/>
          <w:color w:val="auto"/>
          <w:szCs w:val="24"/>
          <w:lang w:val="es-CO"/>
        </w:rPr>
      </w:pPr>
      <w:r w:rsidRPr="00A345BF">
        <w:rPr>
          <w:rFonts w:ascii="Georgia" w:hAnsi="Georgia" w:cs="Arial"/>
          <w:i/>
          <w:smallCaps/>
          <w:color w:val="auto"/>
          <w:szCs w:val="24"/>
        </w:rPr>
        <w:t xml:space="preserve">5.2. </w:t>
      </w:r>
      <w:r w:rsidR="009345DA" w:rsidRPr="00A345BF">
        <w:rPr>
          <w:rFonts w:ascii="Georgia" w:hAnsi="Georgia" w:cs="Arial"/>
          <w:i/>
          <w:smallCaps/>
          <w:color w:val="auto"/>
          <w:szCs w:val="24"/>
        </w:rPr>
        <w:t>Los requisitos de viabilidad de un recurso</w:t>
      </w:r>
      <w:r w:rsidR="008C16FC" w:rsidRPr="00A345BF">
        <w:rPr>
          <w:rFonts w:ascii="Georgia" w:hAnsi="Georgia" w:cs="Arial"/>
          <w:smallCaps/>
          <w:color w:val="auto"/>
          <w:szCs w:val="24"/>
        </w:rPr>
        <w:t xml:space="preserve">. </w:t>
      </w:r>
      <w:bookmarkStart w:id="6" w:name="_Hlk69459341"/>
      <w:r w:rsidR="008C16FC" w:rsidRPr="00A345BF">
        <w:rPr>
          <w:rFonts w:ascii="Georgia" w:hAnsi="Georgia" w:cs="Arial"/>
          <w:color w:val="auto"/>
          <w:spacing w:val="-3"/>
          <w:szCs w:val="24"/>
        </w:rPr>
        <w:t>D</w:t>
      </w:r>
      <w:r w:rsidR="008C16FC" w:rsidRPr="00A345BF">
        <w:rPr>
          <w:rFonts w:ascii="Georgia" w:hAnsi="Georgia" w:cs="Arial"/>
          <w:color w:val="auto"/>
          <w:szCs w:val="24"/>
        </w:rPr>
        <w:t xml:space="preserve">esde la óptica procesal, en presencia de los recursos, deben siempre concurrir los llamados presupuestos de viabilidad, </w:t>
      </w:r>
      <w:r w:rsidR="008C16FC" w:rsidRPr="00A345BF">
        <w:rPr>
          <w:rFonts w:ascii="Georgia" w:hAnsi="Georgia" w:cs="Arial"/>
          <w:color w:val="auto"/>
          <w:szCs w:val="24"/>
        </w:rPr>
        <w:lastRenderedPageBreak/>
        <w:t>trámite</w:t>
      </w:r>
      <w:r w:rsidR="008C16FC" w:rsidRPr="00A345BF">
        <w:rPr>
          <w:rStyle w:val="Refdenotaalpie"/>
          <w:rFonts w:ascii="Georgia" w:hAnsi="Georgia"/>
          <w:color w:val="auto"/>
          <w:szCs w:val="24"/>
        </w:rPr>
        <w:footnoteReference w:id="1"/>
      </w:r>
      <w:r w:rsidR="008C16FC" w:rsidRPr="00A345BF">
        <w:rPr>
          <w:rFonts w:ascii="Georgia" w:hAnsi="Georgia" w:cs="Arial"/>
          <w:color w:val="auto"/>
          <w:szCs w:val="24"/>
        </w:rPr>
        <w:t xml:space="preserve">, o </w:t>
      </w:r>
      <w:r w:rsidR="008C16FC" w:rsidRPr="00A345BF">
        <w:rPr>
          <w:rFonts w:ascii="Georgia" w:hAnsi="Georgia" w:cs="Arial"/>
          <w:i/>
          <w:color w:val="auto"/>
          <w:szCs w:val="24"/>
        </w:rPr>
        <w:t>condiciones para tener la posibilidad de recurrir</w:t>
      </w:r>
      <w:r w:rsidR="008C16FC" w:rsidRPr="00A345BF">
        <w:rPr>
          <w:rStyle w:val="Refdenotaalpie"/>
          <w:rFonts w:ascii="Georgia" w:hAnsi="Georgia"/>
          <w:i/>
          <w:color w:val="auto"/>
          <w:szCs w:val="24"/>
        </w:rPr>
        <w:footnoteReference w:id="2"/>
      </w:r>
      <w:r w:rsidR="008C16FC" w:rsidRPr="00A345BF">
        <w:rPr>
          <w:rFonts w:ascii="Georgia" w:hAnsi="Georgia" w:cs="Arial"/>
          <w:color w:val="auto"/>
          <w:szCs w:val="24"/>
        </w:rPr>
        <w:t>, al decir de la doctrina procesal nacional</w:t>
      </w:r>
      <w:r w:rsidR="008C16FC" w:rsidRPr="00A345BF">
        <w:rPr>
          <w:rFonts w:ascii="Georgia" w:hAnsi="Georgia" w:cs="Arial"/>
          <w:color w:val="auto"/>
          <w:szCs w:val="24"/>
          <w:vertAlign w:val="superscript"/>
        </w:rPr>
        <w:footnoteReference w:id="3"/>
      </w:r>
      <w:r w:rsidR="008C16FC" w:rsidRPr="00A345BF">
        <w:rPr>
          <w:rFonts w:ascii="Georgia" w:hAnsi="Georgia" w:cs="Arial"/>
          <w:color w:val="auto"/>
          <w:szCs w:val="24"/>
          <w:vertAlign w:val="superscript"/>
        </w:rPr>
        <w:t>-</w:t>
      </w:r>
      <w:r w:rsidR="008C16FC" w:rsidRPr="00A345BF">
        <w:rPr>
          <w:rFonts w:ascii="Georgia" w:hAnsi="Georgia" w:cs="Arial"/>
          <w:color w:val="auto"/>
          <w:szCs w:val="24"/>
          <w:vertAlign w:val="superscript"/>
        </w:rPr>
        <w:footnoteReference w:id="4"/>
      </w:r>
      <w:r w:rsidR="008C16FC" w:rsidRPr="00A345BF">
        <w:rPr>
          <w:rFonts w:ascii="Georgia" w:hAnsi="Georgia" w:cs="Arial"/>
          <w:color w:val="auto"/>
          <w:szCs w:val="24"/>
        </w:rPr>
        <w:t>, a efectos de examinar el tema de apelación.</w:t>
      </w:r>
    </w:p>
    <w:p w14:paraId="72E6C38F" w14:textId="77777777" w:rsidR="00DE4A0C" w:rsidRPr="00A345BF" w:rsidRDefault="00DE4A0C" w:rsidP="00A345BF">
      <w:pPr>
        <w:pStyle w:val="Prrafodelista"/>
        <w:spacing w:line="276" w:lineRule="auto"/>
        <w:rPr>
          <w:rFonts w:ascii="Georgia" w:hAnsi="Georgia" w:cs="Arial"/>
          <w:sz w:val="24"/>
          <w:szCs w:val="24"/>
          <w:lang w:val="es-CO"/>
        </w:rPr>
      </w:pPr>
    </w:p>
    <w:p w14:paraId="4A1D297C" w14:textId="77777777" w:rsidR="008C16FC" w:rsidRPr="00A345BF" w:rsidRDefault="008C16FC" w:rsidP="00A345BF">
      <w:pPr>
        <w:pStyle w:val="Sinespaciado"/>
        <w:spacing w:line="276" w:lineRule="auto"/>
        <w:jc w:val="both"/>
        <w:rPr>
          <w:rFonts w:ascii="Georgia" w:hAnsi="Georgia" w:cs="Arial"/>
          <w:lang w:val="es-CO"/>
        </w:rPr>
      </w:pPr>
      <w:r w:rsidRPr="00A345BF">
        <w:rPr>
          <w:rFonts w:ascii="Georgia" w:hAnsi="Georgia" w:cs="Arial"/>
          <w:lang w:val="es-CO"/>
        </w:rPr>
        <w:t>Esos presupuestos son una serie de exigencias normativas formales que permiten su trámite y aseguran su decisión.  Así lo anota el maestro López B.: “</w:t>
      </w:r>
      <w:r w:rsidRPr="00A345BF">
        <w:rPr>
          <w:rFonts w:ascii="Georgia" w:hAnsi="Georgia" w:cs="Arial"/>
          <w:i/>
          <w:sz w:val="22"/>
          <w:lang w:val="es-CO"/>
        </w:rPr>
        <w:t>En todo caso sin estar reunidos los requisitos de viabilidad del recurso jamás se podrá tener éxito en el mismo por constituir un precedente necesario para decidirlo</w:t>
      </w:r>
      <w:r w:rsidRPr="00A345BF">
        <w:rPr>
          <w:rFonts w:ascii="Georgia" w:hAnsi="Georgia" w:cs="Arial"/>
          <w:i/>
          <w:lang w:val="es-CO"/>
        </w:rPr>
        <w:t>.</w:t>
      </w:r>
      <w:r w:rsidRPr="00A345BF">
        <w:rPr>
          <w:rFonts w:ascii="Georgia" w:hAnsi="Georgia" w:cs="Arial"/>
          <w:lang w:val="es-CO"/>
        </w:rPr>
        <w:t>”</w:t>
      </w:r>
      <w:r w:rsidRPr="00A345BF">
        <w:rPr>
          <w:rFonts w:ascii="Georgia" w:hAnsi="Georgia" w:cs="Arial"/>
          <w:vertAlign w:val="superscript"/>
          <w:lang w:val="es-CO"/>
        </w:rPr>
        <w:footnoteReference w:id="5"/>
      </w:r>
      <w:r w:rsidRPr="00A345BF">
        <w:rPr>
          <w:rFonts w:ascii="Georgia" w:hAnsi="Georgia" w:cs="Arial"/>
          <w:lang w:val="es-CO"/>
        </w:rPr>
        <w:t>.  Y lo explica el profesor Rojas G. en su obra: “</w:t>
      </w:r>
      <w:r w:rsidRPr="00A345BF">
        <w:rPr>
          <w:rFonts w:ascii="Georgia" w:hAnsi="Georgia" w:cs="Arial"/>
          <w:i/>
          <w:sz w:val="22"/>
          <w:lang w:val="es-CO"/>
        </w:rPr>
        <w:t>(…) para que la impugnación pueda ser tramitada hasta establecer si debe prosperar han de cumplirse unos precisos requisitos.  En ausencia de ellos no debe dársele curso a la impugnación, o el trámite queda trunco, si ya se inició</w:t>
      </w:r>
      <w:r w:rsidRPr="00A345BF">
        <w:rPr>
          <w:rFonts w:ascii="Georgia" w:hAnsi="Georgia" w:cs="Arial"/>
          <w:i/>
          <w:lang w:val="es-CO"/>
        </w:rPr>
        <w:t>.</w:t>
      </w:r>
      <w:r w:rsidRPr="00A345BF">
        <w:rPr>
          <w:rFonts w:ascii="Georgia" w:hAnsi="Georgia" w:cs="Arial"/>
          <w:lang w:val="es-CO"/>
        </w:rPr>
        <w:t>”</w:t>
      </w:r>
      <w:r w:rsidRPr="00A345BF">
        <w:rPr>
          <w:rStyle w:val="Refdenotaalpie"/>
          <w:rFonts w:ascii="Georgia" w:hAnsi="Georgia" w:cs="Arial"/>
          <w:lang w:val="es-CO"/>
        </w:rPr>
        <w:t xml:space="preserve"> </w:t>
      </w:r>
      <w:r w:rsidRPr="00A345BF">
        <w:rPr>
          <w:rStyle w:val="Refdenotaalpie"/>
          <w:rFonts w:ascii="Georgia" w:hAnsi="Georgia" w:cs="Arial"/>
          <w:lang w:val="es-CO"/>
        </w:rPr>
        <w:footnoteReference w:id="6"/>
      </w:r>
      <w:r w:rsidRPr="00A345BF">
        <w:rPr>
          <w:rFonts w:ascii="Georgia" w:hAnsi="Georgia" w:cs="Arial"/>
          <w:lang w:val="es-CO"/>
        </w:rPr>
        <w:t>.</w:t>
      </w:r>
    </w:p>
    <w:p w14:paraId="5BCD548F" w14:textId="77777777" w:rsidR="008C16FC" w:rsidRPr="00A345BF" w:rsidRDefault="008C16FC" w:rsidP="00A345BF">
      <w:pPr>
        <w:pStyle w:val="Sinespaciado"/>
        <w:spacing w:line="276" w:lineRule="auto"/>
        <w:ind w:left="708"/>
        <w:jc w:val="both"/>
        <w:rPr>
          <w:rFonts w:ascii="Georgia" w:hAnsi="Georgia" w:cs="Arial"/>
          <w:lang w:val="es-CO"/>
        </w:rPr>
      </w:pPr>
    </w:p>
    <w:p w14:paraId="6F31DBF8" w14:textId="089F935E" w:rsidR="008C16FC" w:rsidRPr="00A345BF" w:rsidRDefault="008C16FC" w:rsidP="00A345BF">
      <w:pPr>
        <w:pStyle w:val="Sinespaciado"/>
        <w:spacing w:line="276" w:lineRule="auto"/>
        <w:jc w:val="both"/>
        <w:rPr>
          <w:rFonts w:ascii="Georgia" w:hAnsi="Georgia" w:cs="Arial"/>
          <w:shd w:val="clear" w:color="auto" w:fill="FFFFFF"/>
          <w:lang w:val="es-CO"/>
        </w:rPr>
      </w:pPr>
      <w:r w:rsidRPr="00A345BF">
        <w:rPr>
          <w:rFonts w:ascii="Georgia" w:hAnsi="Georgia" w:cs="Arial"/>
          <w:lang w:val="es-CO"/>
        </w:rPr>
        <w:t xml:space="preserve">Tales requisitos son concurrentes y necesarios, ausente </w:t>
      </w:r>
      <w:r w:rsidR="3A7B0F73" w:rsidRPr="00A345BF">
        <w:rPr>
          <w:rFonts w:ascii="Georgia" w:hAnsi="Georgia" w:cs="Arial"/>
          <w:lang w:val="es-CO"/>
        </w:rPr>
        <w:t xml:space="preserve">cualquiera de ellos </w:t>
      </w:r>
      <w:r w:rsidRPr="00A345BF">
        <w:rPr>
          <w:rFonts w:ascii="Georgia" w:hAnsi="Georgia" w:cs="Arial"/>
          <w:lang w:val="es-CO"/>
        </w:rPr>
        <w:t xml:space="preserve">se malogra el estudio de la impugnación. La misma CSJ así </w:t>
      </w:r>
      <w:r w:rsidR="00081941" w:rsidRPr="00A345BF">
        <w:rPr>
          <w:rFonts w:ascii="Georgia" w:hAnsi="Georgia" w:cs="Arial"/>
          <w:lang w:val="es-CO"/>
        </w:rPr>
        <w:t xml:space="preserve">ha </w:t>
      </w:r>
      <w:r w:rsidRPr="00A345BF">
        <w:rPr>
          <w:rFonts w:ascii="Georgia" w:hAnsi="Georgia" w:cs="Arial"/>
          <w:lang w:val="es-CO"/>
        </w:rPr>
        <w:t>enseñado: “</w:t>
      </w:r>
      <w:r w:rsidRPr="00A345BF">
        <w:rPr>
          <w:rFonts w:ascii="Georgia" w:hAnsi="Georgia" w:cs="Arial"/>
          <w:i/>
          <w:iCs/>
          <w:sz w:val="22"/>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A345BF">
        <w:rPr>
          <w:rFonts w:ascii="Georgia" w:hAnsi="Georgia" w:cs="Arial"/>
          <w:lang w:val="es-CO"/>
        </w:rPr>
        <w:t>”</w:t>
      </w:r>
      <w:r w:rsidRPr="00A345BF">
        <w:rPr>
          <w:rStyle w:val="Refdenotaalpie"/>
          <w:rFonts w:ascii="Georgia" w:hAnsi="Georgia"/>
          <w:lang w:val="es-CO"/>
        </w:rPr>
        <w:footnoteReference w:id="7"/>
      </w:r>
      <w:r w:rsidRPr="00A345BF">
        <w:rPr>
          <w:rFonts w:ascii="Georgia" w:hAnsi="Georgia" w:cs="Arial"/>
          <w:lang w:val="es-CO"/>
        </w:rPr>
        <w:t>. Y en decisión más próxima (2017)</w:t>
      </w:r>
      <w:r w:rsidRPr="00A345BF">
        <w:rPr>
          <w:rStyle w:val="Refdenotaalpie"/>
          <w:rFonts w:ascii="Georgia" w:hAnsi="Georgia"/>
          <w:lang w:val="es-CO"/>
        </w:rPr>
        <w:footnoteReference w:id="8"/>
      </w:r>
      <w:r w:rsidRPr="00A345BF">
        <w:rPr>
          <w:rFonts w:ascii="Georgia" w:hAnsi="Georgia" w:cs="Arial"/>
          <w:lang w:val="es-CO"/>
        </w:rPr>
        <w:t xml:space="preserve"> recordó: “</w:t>
      </w:r>
      <w:r w:rsidRPr="00A345BF">
        <w:rPr>
          <w:rFonts w:ascii="Georgia" w:hAnsi="Georgia" w:cs="Arial"/>
          <w:sz w:val="22"/>
          <w:lang w:val="es-CO"/>
        </w:rPr>
        <w:t xml:space="preserve">(…) </w:t>
      </w:r>
      <w:r w:rsidRPr="00A345BF">
        <w:rPr>
          <w:rFonts w:ascii="Georgia" w:hAnsi="Georgia" w:cs="Arial"/>
          <w:i/>
          <w:iCs/>
          <w:spacing w:val="-4"/>
          <w:sz w:val="22"/>
          <w:lang w:val="es-CO"/>
        </w:rPr>
        <w:t>Por supuesto que, era facultad del superior realizar el análisis preliminar para la «admisión» de la alzada, y conforme a la regla cuarta del canon 325 del C.G.P.</w:t>
      </w:r>
      <w:r w:rsidRPr="00A345BF">
        <w:rPr>
          <w:rFonts w:ascii="Georgia" w:hAnsi="Georgia" w:cs="Arial"/>
          <w:spacing w:val="-4"/>
          <w:sz w:val="22"/>
          <w:lang w:val="es-CO"/>
        </w:rPr>
        <w:t xml:space="preserve"> </w:t>
      </w:r>
      <w:r w:rsidRPr="00A345BF">
        <w:rPr>
          <w:rFonts w:ascii="Georgia" w:hAnsi="Georgia" w:cs="Arial"/>
          <w:i/>
          <w:iCs/>
          <w:sz w:val="22"/>
          <w:shd w:val="clear" w:color="auto" w:fill="FFFFFF"/>
          <w:lang w:val="es-CO"/>
        </w:rPr>
        <w:t xml:space="preserve"> (…)</w:t>
      </w:r>
      <w:r w:rsidRPr="00A345BF">
        <w:rPr>
          <w:rFonts w:ascii="Georgia" w:hAnsi="Georgia" w:cs="Arial"/>
          <w:i/>
          <w:iCs/>
          <w:shd w:val="clear" w:color="auto" w:fill="FFFFFF"/>
          <w:lang w:val="es-CO"/>
        </w:rPr>
        <w:t>”.</w:t>
      </w:r>
    </w:p>
    <w:p w14:paraId="66D0BA1E" w14:textId="644D4E9E" w:rsidR="008C16FC" w:rsidRPr="00A345BF" w:rsidRDefault="008C16FC" w:rsidP="00A345BF">
      <w:pPr>
        <w:pStyle w:val="Sinespaciado"/>
        <w:spacing w:line="276" w:lineRule="auto"/>
        <w:ind w:left="708"/>
        <w:jc w:val="both"/>
        <w:rPr>
          <w:rFonts w:ascii="Georgia" w:hAnsi="Georgia" w:cs="Times New Roman"/>
          <w:shd w:val="clear" w:color="auto" w:fill="FFFFFF"/>
          <w:lang w:val="es-CO"/>
        </w:rPr>
      </w:pPr>
    </w:p>
    <w:p w14:paraId="6E498779" w14:textId="272838E9" w:rsidR="003D663C" w:rsidRPr="00A345BF" w:rsidRDefault="003D663C" w:rsidP="00A345BF">
      <w:pPr>
        <w:pStyle w:val="Textopredeterminado"/>
        <w:spacing w:line="276" w:lineRule="auto"/>
        <w:jc w:val="both"/>
        <w:rPr>
          <w:rFonts w:ascii="Georgia" w:hAnsi="Georgia" w:cs="Arial"/>
          <w:color w:val="auto"/>
          <w:szCs w:val="24"/>
        </w:rPr>
      </w:pPr>
      <w:r w:rsidRPr="00A345BF">
        <w:rPr>
          <w:rFonts w:ascii="Georgia" w:hAnsi="Georgia" w:cs="Arial"/>
          <w:color w:val="auto"/>
          <w:szCs w:val="24"/>
        </w:rPr>
        <w:t xml:space="preserve">Ellos son </w:t>
      </w:r>
      <w:r w:rsidRPr="00A345BF">
        <w:rPr>
          <w:rFonts w:ascii="Georgia" w:hAnsi="Georgia" w:cs="Arial"/>
          <w:b/>
          <w:bCs/>
          <w:color w:val="auto"/>
          <w:szCs w:val="24"/>
        </w:rPr>
        <w:t>(i)</w:t>
      </w:r>
      <w:r w:rsidRPr="00A345BF">
        <w:rPr>
          <w:rFonts w:ascii="Georgia" w:hAnsi="Georgia" w:cs="Arial"/>
          <w:color w:val="auto"/>
          <w:szCs w:val="24"/>
        </w:rPr>
        <w:t xml:space="preserve"> legitimación o interés, </w:t>
      </w:r>
      <w:r w:rsidRPr="00A345BF">
        <w:rPr>
          <w:rFonts w:ascii="Georgia" w:hAnsi="Georgia" w:cs="Arial"/>
          <w:b/>
          <w:bCs/>
          <w:color w:val="auto"/>
          <w:szCs w:val="24"/>
        </w:rPr>
        <w:t>(ii)</w:t>
      </w:r>
      <w:r w:rsidRPr="00A345BF">
        <w:rPr>
          <w:rFonts w:ascii="Georgia" w:hAnsi="Georgia" w:cs="Arial"/>
          <w:color w:val="auto"/>
          <w:szCs w:val="24"/>
        </w:rPr>
        <w:t xml:space="preserve"> oportunidad, </w:t>
      </w:r>
      <w:r w:rsidRPr="00A345BF">
        <w:rPr>
          <w:rFonts w:ascii="Georgia" w:hAnsi="Georgia" w:cs="Arial"/>
          <w:b/>
          <w:bCs/>
          <w:color w:val="auto"/>
          <w:szCs w:val="24"/>
        </w:rPr>
        <w:t xml:space="preserve">(iii) </w:t>
      </w:r>
      <w:r w:rsidRPr="00A345BF">
        <w:rPr>
          <w:rFonts w:ascii="Georgia" w:hAnsi="Georgia" w:cs="Arial"/>
          <w:color w:val="auto"/>
          <w:szCs w:val="24"/>
        </w:rPr>
        <w:t xml:space="preserve">procedencia y </w:t>
      </w:r>
      <w:r w:rsidRPr="00A345BF">
        <w:rPr>
          <w:rFonts w:ascii="Georgia" w:hAnsi="Georgia" w:cs="Arial"/>
          <w:b/>
          <w:bCs/>
          <w:color w:val="auto"/>
          <w:szCs w:val="24"/>
        </w:rPr>
        <w:t xml:space="preserve">(iv) </w:t>
      </w:r>
      <w:r w:rsidRPr="00A345BF">
        <w:rPr>
          <w:rFonts w:ascii="Georgia" w:hAnsi="Georgia" w:cs="Arial"/>
          <w:color w:val="auto"/>
          <w:szCs w:val="24"/>
        </w:rPr>
        <w:t>cargas procesales (Sustentación, expedición de copias, etc.), los tres primeros generan la inadmisibilidad del recurso mientras que el cuarto provoca su deserción, tal como anota la doctrina patria</w:t>
      </w:r>
      <w:bookmarkEnd w:id="6"/>
      <w:r w:rsidRPr="00A345BF">
        <w:rPr>
          <w:rStyle w:val="Refdenotaalpie"/>
          <w:rFonts w:ascii="Georgia" w:hAnsi="Georgia"/>
          <w:color w:val="auto"/>
          <w:szCs w:val="24"/>
        </w:rPr>
        <w:footnoteReference w:id="9"/>
      </w:r>
      <w:r w:rsidRPr="00A345BF">
        <w:rPr>
          <w:rFonts w:ascii="Georgia" w:hAnsi="Georgia" w:cs="Arial"/>
          <w:color w:val="auto"/>
          <w:szCs w:val="24"/>
          <w:vertAlign w:val="superscript"/>
        </w:rPr>
        <w:t>-</w:t>
      </w:r>
      <w:r w:rsidRPr="00A345BF">
        <w:rPr>
          <w:rStyle w:val="Refdenotaalpie"/>
          <w:rFonts w:ascii="Georgia" w:hAnsi="Georgia"/>
          <w:color w:val="auto"/>
          <w:szCs w:val="24"/>
        </w:rPr>
        <w:footnoteReference w:id="10"/>
      </w:r>
      <w:r w:rsidRPr="00A345BF">
        <w:rPr>
          <w:rFonts w:ascii="Georgia" w:hAnsi="Georgia" w:cs="Arial"/>
          <w:color w:val="auto"/>
          <w:szCs w:val="24"/>
        </w:rPr>
        <w:t xml:space="preserve">.  </w:t>
      </w:r>
    </w:p>
    <w:p w14:paraId="137D1E49" w14:textId="467E1F86" w:rsidR="003D663C" w:rsidRPr="00A345BF" w:rsidRDefault="003D663C" w:rsidP="00A345BF">
      <w:pPr>
        <w:pStyle w:val="Textopredeterminado"/>
        <w:spacing w:line="276" w:lineRule="auto"/>
        <w:jc w:val="both"/>
        <w:rPr>
          <w:rFonts w:ascii="Georgia" w:hAnsi="Georgia" w:cs="Arial"/>
          <w:color w:val="auto"/>
          <w:szCs w:val="24"/>
        </w:rPr>
      </w:pPr>
    </w:p>
    <w:p w14:paraId="0F3743FA" w14:textId="3976C0BB" w:rsidR="003D663C" w:rsidRPr="00A345BF" w:rsidRDefault="003D663C" w:rsidP="00A345BF">
      <w:pPr>
        <w:pStyle w:val="Textopredeterminado"/>
        <w:spacing w:line="276" w:lineRule="auto"/>
        <w:jc w:val="both"/>
        <w:rPr>
          <w:rFonts w:ascii="Georgia" w:hAnsi="Georgia" w:cs="Courier New"/>
          <w:color w:val="auto"/>
          <w:szCs w:val="24"/>
          <w:lang w:val="es"/>
        </w:rPr>
      </w:pPr>
      <w:r w:rsidRPr="00A345BF">
        <w:rPr>
          <w:rFonts w:ascii="Georgia" w:hAnsi="Georgia" w:cs="Arial"/>
          <w:color w:val="auto"/>
          <w:szCs w:val="24"/>
        </w:rPr>
        <w:t>En este caso están cumplidos</w:t>
      </w:r>
      <w:r w:rsidR="42D80DDD" w:rsidRPr="00A345BF">
        <w:rPr>
          <w:rFonts w:ascii="Georgia" w:eastAsia="Georgia" w:hAnsi="Georgia" w:cs="Georgia"/>
          <w:color w:val="auto"/>
          <w:szCs w:val="24"/>
          <w:lang w:val="es"/>
        </w:rPr>
        <w:t xml:space="preserve">, dado que: </w:t>
      </w:r>
      <w:r w:rsidR="42D80DDD" w:rsidRPr="00A345BF">
        <w:rPr>
          <w:rFonts w:ascii="Georgia" w:eastAsia="Georgia" w:hAnsi="Georgia" w:cs="Georgia"/>
          <w:b/>
          <w:bCs/>
          <w:color w:val="auto"/>
          <w:szCs w:val="24"/>
          <w:lang w:val="es"/>
        </w:rPr>
        <w:t>(i)</w:t>
      </w:r>
      <w:r w:rsidR="42D80DDD" w:rsidRPr="00A345BF">
        <w:rPr>
          <w:rFonts w:ascii="Georgia" w:eastAsia="Georgia" w:hAnsi="Georgia" w:cs="Georgia"/>
          <w:color w:val="auto"/>
          <w:szCs w:val="24"/>
          <w:lang w:val="es"/>
        </w:rPr>
        <w:t xml:space="preserve"> hay legitimación en la parte que recurre porque estima que hay mengua de sus intereses con la decisión atacada; </w:t>
      </w:r>
      <w:r w:rsidR="42D80DDD" w:rsidRPr="00A345BF">
        <w:rPr>
          <w:rFonts w:ascii="Georgia" w:eastAsia="Georgia" w:hAnsi="Georgia" w:cs="Georgia"/>
          <w:b/>
          <w:bCs/>
          <w:color w:val="auto"/>
          <w:szCs w:val="24"/>
          <w:lang w:val="es"/>
        </w:rPr>
        <w:t>(ii)</w:t>
      </w:r>
      <w:r w:rsidR="42D80DDD" w:rsidRPr="00A345BF">
        <w:rPr>
          <w:rFonts w:ascii="Georgia" w:eastAsia="Georgia" w:hAnsi="Georgia" w:cs="Georgia"/>
          <w:color w:val="auto"/>
          <w:szCs w:val="24"/>
          <w:lang w:val="es"/>
        </w:rPr>
        <w:t xml:space="preserve"> el recurso es tempestivo (Carpeta 1ª instancia, </w:t>
      </w:r>
      <w:proofErr w:type="spellStart"/>
      <w:r w:rsidR="00E23E7D" w:rsidRPr="00A345BF">
        <w:rPr>
          <w:rFonts w:ascii="Georgia" w:eastAsia="Georgia" w:hAnsi="Georgia" w:cs="Georgia"/>
          <w:color w:val="auto"/>
          <w:szCs w:val="24"/>
          <w:lang w:val="es"/>
        </w:rPr>
        <w:t>pdf</w:t>
      </w:r>
      <w:proofErr w:type="spellEnd"/>
      <w:r w:rsidR="00E23E7D" w:rsidRPr="00A345BF">
        <w:rPr>
          <w:rFonts w:ascii="Georgia" w:eastAsia="Georgia" w:hAnsi="Georgia" w:cs="Georgia"/>
          <w:color w:val="auto"/>
          <w:szCs w:val="24"/>
          <w:lang w:val="es"/>
        </w:rPr>
        <w:t>.</w:t>
      </w:r>
      <w:r w:rsidR="003E275B" w:rsidRPr="00A345BF">
        <w:rPr>
          <w:rFonts w:ascii="Georgia" w:eastAsia="Georgia" w:hAnsi="Georgia" w:cs="Georgia"/>
          <w:color w:val="auto"/>
          <w:szCs w:val="24"/>
          <w:lang w:val="es"/>
        </w:rPr>
        <w:t xml:space="preserve"> No.</w:t>
      </w:r>
      <w:r w:rsidR="00E23E7D" w:rsidRPr="00A345BF">
        <w:rPr>
          <w:rFonts w:ascii="Georgia" w:eastAsia="Georgia" w:hAnsi="Georgia" w:cs="Georgia"/>
          <w:color w:val="auto"/>
          <w:szCs w:val="24"/>
          <w:lang w:val="es"/>
        </w:rPr>
        <w:t>11</w:t>
      </w:r>
      <w:r w:rsidR="42D80DDD" w:rsidRPr="00A345BF">
        <w:rPr>
          <w:rFonts w:ascii="Georgia" w:eastAsia="Georgia" w:hAnsi="Georgia"/>
          <w:color w:val="auto"/>
          <w:szCs w:val="24"/>
        </w:rPr>
        <w:t>)</w:t>
      </w:r>
      <w:r w:rsidR="42D80DDD" w:rsidRPr="00A345BF">
        <w:rPr>
          <w:rFonts w:ascii="Georgia" w:eastAsia="Georgia" w:hAnsi="Georgia" w:cs="Georgia"/>
          <w:color w:val="auto"/>
          <w:szCs w:val="24"/>
          <w:lang w:val="es"/>
        </w:rPr>
        <w:t xml:space="preserve">; </w:t>
      </w:r>
      <w:r w:rsidR="42D80DDD" w:rsidRPr="00A345BF">
        <w:rPr>
          <w:rFonts w:ascii="Georgia" w:eastAsia="Georgia" w:hAnsi="Georgia" w:cs="Georgia"/>
          <w:b/>
          <w:bCs/>
          <w:color w:val="auto"/>
          <w:szCs w:val="24"/>
          <w:lang w:val="es"/>
        </w:rPr>
        <w:t>(iii)</w:t>
      </w:r>
      <w:r w:rsidR="42D80DDD" w:rsidRPr="00A345BF">
        <w:rPr>
          <w:rFonts w:ascii="Georgia" w:eastAsia="Georgia" w:hAnsi="Georgia" w:cs="Georgia"/>
          <w:color w:val="auto"/>
          <w:szCs w:val="24"/>
          <w:lang w:val="es"/>
        </w:rPr>
        <w:t xml:space="preserve"> la aludida providencia es susceptible de </w:t>
      </w:r>
      <w:r w:rsidR="00E23E7D" w:rsidRPr="00A345BF">
        <w:rPr>
          <w:rFonts w:ascii="Georgia" w:eastAsia="Georgia" w:hAnsi="Georgia" w:cs="Georgia"/>
          <w:color w:val="auto"/>
          <w:szCs w:val="24"/>
          <w:lang w:val="es"/>
        </w:rPr>
        <w:t xml:space="preserve">reposición </w:t>
      </w:r>
      <w:r w:rsidR="42D80DDD" w:rsidRPr="00A345BF">
        <w:rPr>
          <w:rFonts w:ascii="Georgia" w:eastAsia="Georgia" w:hAnsi="Georgia" w:cs="Georgia"/>
          <w:color w:val="auto"/>
          <w:szCs w:val="24"/>
          <w:lang w:val="es"/>
        </w:rPr>
        <w:t>(Artículo</w:t>
      </w:r>
      <w:r w:rsidR="00E23E7D" w:rsidRPr="00A345BF">
        <w:rPr>
          <w:rFonts w:ascii="Georgia" w:eastAsia="Georgia" w:hAnsi="Georgia" w:cs="Georgia"/>
          <w:color w:val="auto"/>
          <w:szCs w:val="24"/>
          <w:lang w:val="es"/>
        </w:rPr>
        <w:t xml:space="preserve"> 318</w:t>
      </w:r>
      <w:r w:rsidR="42D80DDD" w:rsidRPr="00A345BF">
        <w:rPr>
          <w:rFonts w:ascii="Georgia" w:eastAsia="Georgia" w:hAnsi="Georgia" w:cs="Georgia"/>
          <w:color w:val="auto"/>
          <w:szCs w:val="24"/>
          <w:lang w:val="es"/>
        </w:rPr>
        <w:t xml:space="preserve">, CGP); y está cumplida la carga procesal de </w:t>
      </w:r>
      <w:r w:rsidR="42D80DDD" w:rsidRPr="00A345BF">
        <w:rPr>
          <w:rFonts w:ascii="Georgia" w:eastAsia="Georgia" w:hAnsi="Georgia" w:cs="Georgia"/>
          <w:b/>
          <w:bCs/>
          <w:color w:val="auto"/>
          <w:szCs w:val="24"/>
          <w:lang w:val="es"/>
        </w:rPr>
        <w:t xml:space="preserve">(iv) </w:t>
      </w:r>
      <w:r w:rsidR="42D80DDD" w:rsidRPr="00A345BF">
        <w:rPr>
          <w:rFonts w:ascii="Georgia" w:eastAsia="Georgia" w:hAnsi="Georgia" w:cs="Georgia"/>
          <w:color w:val="auto"/>
          <w:szCs w:val="24"/>
          <w:lang w:val="es"/>
        </w:rPr>
        <w:t xml:space="preserve">la sustentación (Artículo </w:t>
      </w:r>
      <w:r w:rsidR="00E23E7D" w:rsidRPr="00A345BF">
        <w:rPr>
          <w:rFonts w:ascii="Georgia" w:eastAsia="Georgia" w:hAnsi="Georgia" w:cs="Georgia"/>
          <w:color w:val="auto"/>
          <w:szCs w:val="24"/>
          <w:lang w:val="es"/>
        </w:rPr>
        <w:t>318</w:t>
      </w:r>
      <w:r w:rsidR="42D80DDD" w:rsidRPr="00A345BF">
        <w:rPr>
          <w:rFonts w:ascii="Georgia" w:eastAsia="Georgia" w:hAnsi="Georgia" w:cs="Georgia"/>
          <w:color w:val="auto"/>
          <w:szCs w:val="24"/>
          <w:lang w:val="es"/>
        </w:rPr>
        <w:t>-</w:t>
      </w:r>
      <w:r w:rsidR="00E23E7D" w:rsidRPr="00A345BF">
        <w:rPr>
          <w:rFonts w:ascii="Georgia" w:eastAsia="Georgia" w:hAnsi="Georgia" w:cs="Georgia"/>
          <w:color w:val="auto"/>
          <w:szCs w:val="24"/>
          <w:lang w:val="es"/>
        </w:rPr>
        <w:t>3</w:t>
      </w:r>
      <w:r w:rsidR="42D80DDD" w:rsidRPr="00A345BF">
        <w:rPr>
          <w:rFonts w:ascii="Georgia" w:eastAsia="Georgia" w:hAnsi="Georgia" w:cs="Georgia"/>
          <w:color w:val="auto"/>
          <w:szCs w:val="24"/>
          <w:lang w:val="es"/>
        </w:rPr>
        <w:t xml:space="preserve">º, CGP), acorde con </w:t>
      </w:r>
      <w:r w:rsidR="00E23E7D" w:rsidRPr="00A345BF">
        <w:rPr>
          <w:rFonts w:ascii="Georgia" w:eastAsia="Georgia" w:hAnsi="Georgia" w:cs="Georgia"/>
          <w:color w:val="auto"/>
          <w:szCs w:val="24"/>
          <w:lang w:val="es"/>
        </w:rPr>
        <w:t xml:space="preserve">el </w:t>
      </w:r>
      <w:r w:rsidR="002C2A0B" w:rsidRPr="00A345BF">
        <w:rPr>
          <w:rFonts w:ascii="Georgia" w:eastAsia="Georgia" w:hAnsi="Georgia" w:cs="Georgia"/>
          <w:color w:val="auto"/>
          <w:szCs w:val="24"/>
          <w:lang w:val="es"/>
        </w:rPr>
        <w:t xml:space="preserve">memorial </w:t>
      </w:r>
      <w:r w:rsidR="002C2A0B" w:rsidRPr="00A345BF">
        <w:rPr>
          <w:rFonts w:ascii="Georgia" w:hAnsi="Georgia" w:cs="Arial"/>
          <w:color w:val="auto"/>
          <w:szCs w:val="24"/>
        </w:rPr>
        <w:t xml:space="preserve">acercado en tiempo </w:t>
      </w:r>
      <w:r w:rsidR="42D80DDD" w:rsidRPr="00A345BF">
        <w:rPr>
          <w:rFonts w:ascii="Georgia" w:eastAsia="Georgia" w:hAnsi="Georgia" w:cs="Georgia"/>
          <w:color w:val="auto"/>
          <w:szCs w:val="24"/>
          <w:lang w:val="es"/>
        </w:rPr>
        <w:t xml:space="preserve">(Carpeta </w:t>
      </w:r>
      <w:r w:rsidR="002C2A0B" w:rsidRPr="00A345BF">
        <w:rPr>
          <w:rFonts w:ascii="Georgia" w:eastAsia="Georgia" w:hAnsi="Georgia" w:cs="Georgia"/>
          <w:color w:val="auto"/>
          <w:szCs w:val="24"/>
          <w:lang w:val="es"/>
        </w:rPr>
        <w:t>2</w:t>
      </w:r>
      <w:r w:rsidR="42D80DDD" w:rsidRPr="00A345BF">
        <w:rPr>
          <w:rFonts w:ascii="Georgia" w:eastAsia="Georgia" w:hAnsi="Georgia" w:cs="Georgia"/>
          <w:color w:val="auto"/>
          <w:szCs w:val="24"/>
          <w:lang w:val="es"/>
        </w:rPr>
        <w:t xml:space="preserve">ª instancia, </w:t>
      </w:r>
      <w:proofErr w:type="spellStart"/>
      <w:r w:rsidR="002C2A0B" w:rsidRPr="00A345BF">
        <w:rPr>
          <w:rFonts w:ascii="Georgia" w:eastAsia="Georgia" w:hAnsi="Georgia" w:cs="Georgia"/>
          <w:color w:val="auto"/>
          <w:szCs w:val="24"/>
          <w:lang w:val="es"/>
        </w:rPr>
        <w:t>pdf</w:t>
      </w:r>
      <w:proofErr w:type="spellEnd"/>
      <w:r w:rsidR="002C2A0B" w:rsidRPr="00A345BF">
        <w:rPr>
          <w:rFonts w:ascii="Georgia" w:eastAsia="Georgia" w:hAnsi="Georgia" w:cs="Georgia"/>
          <w:color w:val="auto"/>
          <w:szCs w:val="24"/>
          <w:lang w:val="es"/>
        </w:rPr>
        <w:t xml:space="preserve">. </w:t>
      </w:r>
      <w:r w:rsidR="003E275B" w:rsidRPr="00A345BF">
        <w:rPr>
          <w:rFonts w:ascii="Georgia" w:eastAsia="Georgia" w:hAnsi="Georgia" w:cs="Georgia"/>
          <w:color w:val="auto"/>
          <w:szCs w:val="24"/>
          <w:lang w:val="es"/>
        </w:rPr>
        <w:t xml:space="preserve">Nos. </w:t>
      </w:r>
      <w:r w:rsidR="002C2A0B" w:rsidRPr="00A345BF">
        <w:rPr>
          <w:rFonts w:ascii="Georgia" w:eastAsia="Georgia" w:hAnsi="Georgia" w:cs="Georgia"/>
          <w:color w:val="auto"/>
          <w:szCs w:val="24"/>
          <w:lang w:val="es"/>
        </w:rPr>
        <w:t>10 y 11</w:t>
      </w:r>
      <w:r w:rsidR="42D80DDD" w:rsidRPr="00A345BF">
        <w:rPr>
          <w:rFonts w:ascii="Georgia" w:eastAsia="Georgia" w:hAnsi="Georgia" w:cs="Georgia"/>
          <w:color w:val="auto"/>
          <w:szCs w:val="24"/>
          <w:lang w:val="es"/>
        </w:rPr>
        <w:t>).</w:t>
      </w:r>
    </w:p>
    <w:p w14:paraId="632CF8C7" w14:textId="05E9D503" w:rsidR="44B0357E" w:rsidRPr="00A345BF" w:rsidRDefault="44B0357E" w:rsidP="00A345BF">
      <w:pPr>
        <w:pStyle w:val="Sinespaciado"/>
        <w:spacing w:line="276" w:lineRule="auto"/>
        <w:jc w:val="both"/>
        <w:rPr>
          <w:rFonts w:ascii="Georgia" w:hAnsi="Georgia"/>
        </w:rPr>
      </w:pPr>
    </w:p>
    <w:p w14:paraId="54E12D29" w14:textId="3593C122" w:rsidR="003D663C" w:rsidRPr="00A345BF" w:rsidRDefault="00C71C7D" w:rsidP="00A345BF">
      <w:pPr>
        <w:pStyle w:val="Textoindependiente"/>
        <w:spacing w:line="276" w:lineRule="auto"/>
        <w:rPr>
          <w:rFonts w:ascii="Georgia" w:hAnsi="Georgia"/>
          <w:szCs w:val="24"/>
        </w:rPr>
      </w:pPr>
      <w:r w:rsidRPr="00A345BF">
        <w:rPr>
          <w:rFonts w:ascii="Georgia" w:hAnsi="Georgia" w:cs="Arial"/>
          <w:i/>
          <w:iCs/>
          <w:smallCaps/>
          <w:spacing w:val="0"/>
          <w:szCs w:val="24"/>
          <w:lang w:val="es-ES"/>
        </w:rPr>
        <w:t xml:space="preserve">5.3. </w:t>
      </w:r>
      <w:r w:rsidR="003D663C" w:rsidRPr="00A345BF">
        <w:rPr>
          <w:rFonts w:ascii="Georgia" w:hAnsi="Georgia" w:cs="Arial"/>
          <w:i/>
          <w:iCs/>
          <w:smallCaps/>
          <w:spacing w:val="0"/>
          <w:szCs w:val="24"/>
          <w:lang w:val="es-ES"/>
        </w:rPr>
        <w:t>El problema jurídico por resolver.</w:t>
      </w:r>
      <w:r w:rsidR="003D663C" w:rsidRPr="00A345BF">
        <w:rPr>
          <w:rFonts w:ascii="Georgia" w:hAnsi="Georgia" w:cs="Arial"/>
          <w:smallCaps/>
          <w:spacing w:val="0"/>
          <w:szCs w:val="24"/>
          <w:lang w:val="es-ES"/>
        </w:rPr>
        <w:t xml:space="preserve"> </w:t>
      </w:r>
      <w:r w:rsidR="003D663C" w:rsidRPr="00A345BF">
        <w:rPr>
          <w:rFonts w:ascii="Georgia" w:hAnsi="Georgia"/>
          <w:szCs w:val="24"/>
        </w:rPr>
        <w:t xml:space="preserve">¿Debe reponerse, para en su lugar </w:t>
      </w:r>
      <w:r w:rsidRPr="00A345BF">
        <w:rPr>
          <w:rFonts w:ascii="Georgia" w:hAnsi="Georgia"/>
          <w:szCs w:val="24"/>
        </w:rPr>
        <w:t>descorrer traslado para s</w:t>
      </w:r>
      <w:r w:rsidR="003D663C" w:rsidRPr="00A345BF">
        <w:rPr>
          <w:rFonts w:ascii="Georgia" w:hAnsi="Georgia"/>
          <w:szCs w:val="24"/>
        </w:rPr>
        <w:t>ustenta</w:t>
      </w:r>
      <w:r w:rsidRPr="00A345BF">
        <w:rPr>
          <w:rFonts w:ascii="Georgia" w:hAnsi="Georgia"/>
          <w:szCs w:val="24"/>
        </w:rPr>
        <w:t>r</w:t>
      </w:r>
      <w:r w:rsidR="003D663C" w:rsidRPr="00A345BF">
        <w:rPr>
          <w:rFonts w:ascii="Georgia" w:hAnsi="Georgia"/>
          <w:szCs w:val="24"/>
        </w:rPr>
        <w:t xml:space="preserve"> el recurso de apelación, según la reposición formulada por </w:t>
      </w:r>
      <w:r w:rsidRPr="00A345BF">
        <w:rPr>
          <w:rFonts w:ascii="Georgia" w:hAnsi="Georgia"/>
          <w:szCs w:val="24"/>
        </w:rPr>
        <w:t>e</w:t>
      </w:r>
      <w:r w:rsidR="003D663C" w:rsidRPr="00A345BF">
        <w:rPr>
          <w:rFonts w:ascii="Georgia" w:hAnsi="Georgia"/>
          <w:szCs w:val="24"/>
        </w:rPr>
        <w:t>l apoderad</w:t>
      </w:r>
      <w:r w:rsidRPr="00A345BF">
        <w:rPr>
          <w:rFonts w:ascii="Georgia" w:hAnsi="Georgia"/>
          <w:szCs w:val="24"/>
        </w:rPr>
        <w:t>o</w:t>
      </w:r>
      <w:r w:rsidR="003D663C" w:rsidRPr="00A345BF">
        <w:rPr>
          <w:rFonts w:ascii="Georgia" w:hAnsi="Georgia"/>
          <w:szCs w:val="24"/>
        </w:rPr>
        <w:t xml:space="preserve"> judicial de la parte demandante?</w:t>
      </w:r>
    </w:p>
    <w:p w14:paraId="5D8E5A6E" w14:textId="77777777" w:rsidR="003D663C" w:rsidRPr="00A345BF" w:rsidRDefault="003D663C" w:rsidP="00A345BF">
      <w:pPr>
        <w:pStyle w:val="Textoindependiente"/>
        <w:spacing w:line="276" w:lineRule="auto"/>
        <w:ind w:left="720"/>
        <w:rPr>
          <w:rFonts w:ascii="Georgia" w:hAnsi="Georgia"/>
          <w:szCs w:val="24"/>
        </w:rPr>
      </w:pPr>
    </w:p>
    <w:p w14:paraId="39301450" w14:textId="7E5CF7E2" w:rsidR="003D663C" w:rsidRPr="00A345BF" w:rsidRDefault="003D663C" w:rsidP="00A345BF">
      <w:pPr>
        <w:pStyle w:val="Textopredeterminado"/>
        <w:numPr>
          <w:ilvl w:val="1"/>
          <w:numId w:val="22"/>
        </w:numPr>
        <w:spacing w:line="276" w:lineRule="auto"/>
        <w:jc w:val="both"/>
        <w:textAlignment w:val="baseline"/>
        <w:rPr>
          <w:rFonts w:ascii="Georgia" w:hAnsi="Georgia" w:cs="Arial"/>
          <w:i/>
          <w:iCs/>
          <w:smallCaps/>
          <w:color w:val="auto"/>
          <w:szCs w:val="24"/>
        </w:rPr>
      </w:pPr>
      <w:r w:rsidRPr="00A345BF">
        <w:rPr>
          <w:rFonts w:ascii="Georgia" w:hAnsi="Georgia" w:cs="Arial"/>
          <w:i/>
          <w:iCs/>
          <w:smallCaps/>
          <w:color w:val="auto"/>
          <w:szCs w:val="24"/>
        </w:rPr>
        <w:t>La resolución del problema jurídico</w:t>
      </w:r>
    </w:p>
    <w:p w14:paraId="2F6FED71" w14:textId="77777777" w:rsidR="0032386C" w:rsidRPr="00A345BF" w:rsidRDefault="0032386C" w:rsidP="00A345BF">
      <w:pPr>
        <w:pStyle w:val="Prrafodelista"/>
        <w:widowControl w:val="0"/>
        <w:overflowPunct w:val="0"/>
        <w:autoSpaceDE w:val="0"/>
        <w:autoSpaceDN w:val="0"/>
        <w:adjustRightInd w:val="0"/>
        <w:spacing w:line="276" w:lineRule="auto"/>
        <w:ind w:left="0"/>
        <w:contextualSpacing/>
        <w:jc w:val="both"/>
        <w:rPr>
          <w:rFonts w:ascii="Georgia" w:hAnsi="Georgia" w:cs="Arial"/>
          <w:sz w:val="24"/>
          <w:szCs w:val="24"/>
          <w:lang w:val="es-CO"/>
        </w:rPr>
      </w:pPr>
    </w:p>
    <w:p w14:paraId="0EBAA6C3" w14:textId="6F675082" w:rsidR="003D663C" w:rsidRPr="00A345BF" w:rsidRDefault="00C71C7D" w:rsidP="00A345BF">
      <w:pPr>
        <w:pStyle w:val="Prrafodelista"/>
        <w:widowControl w:val="0"/>
        <w:overflowPunct w:val="0"/>
        <w:autoSpaceDE w:val="0"/>
        <w:autoSpaceDN w:val="0"/>
        <w:adjustRightInd w:val="0"/>
        <w:spacing w:line="276" w:lineRule="auto"/>
        <w:ind w:left="0"/>
        <w:contextualSpacing/>
        <w:jc w:val="both"/>
        <w:rPr>
          <w:rFonts w:ascii="Georgia" w:hAnsi="Georgia" w:cs="Arial"/>
          <w:sz w:val="24"/>
          <w:szCs w:val="24"/>
          <w:lang w:val="es-CO"/>
        </w:rPr>
      </w:pPr>
      <w:r w:rsidRPr="00A345BF">
        <w:rPr>
          <w:rFonts w:ascii="Georgia" w:hAnsi="Georgia" w:cs="Arial"/>
          <w:i/>
          <w:iCs/>
          <w:smallCaps/>
          <w:sz w:val="24"/>
          <w:szCs w:val="24"/>
        </w:rPr>
        <w:t xml:space="preserve">5.4.1. </w:t>
      </w:r>
      <w:r w:rsidR="003D663C" w:rsidRPr="00A345BF">
        <w:rPr>
          <w:rFonts w:ascii="Georgia" w:hAnsi="Georgia" w:cs="Arial"/>
          <w:i/>
          <w:iCs/>
          <w:smallCaps/>
          <w:sz w:val="24"/>
          <w:szCs w:val="24"/>
        </w:rPr>
        <w:t xml:space="preserve">Los límites en el ámbito decisional de la alzada. </w:t>
      </w:r>
      <w:r w:rsidR="003D663C" w:rsidRPr="00A345BF">
        <w:rPr>
          <w:rFonts w:ascii="Georgia" w:hAnsi="Georgia" w:cs="Arial"/>
          <w:sz w:val="24"/>
          <w:szCs w:val="24"/>
          <w:lang w:val="es-CO"/>
        </w:rPr>
        <w:t>El trazado de los puntos que, son materia de análisis en esta instancia, está delimitado por los precisos reparos formulados por la parte recurrente, según prescripción normativa expresa de los artículos 320 y 328, ib., aplicación particular del principio dispositivo. En ese contexto se desarrollará el análisis siguiente.</w:t>
      </w:r>
    </w:p>
    <w:p w14:paraId="73213CFA" w14:textId="77777777" w:rsidR="003D663C" w:rsidRPr="00A345BF" w:rsidRDefault="003D663C" w:rsidP="00A345BF">
      <w:pPr>
        <w:pStyle w:val="Prrafodelista"/>
        <w:spacing w:line="276" w:lineRule="auto"/>
        <w:ind w:left="0"/>
        <w:jc w:val="both"/>
        <w:rPr>
          <w:rFonts w:ascii="Georgia" w:hAnsi="Georgia" w:cs="Arial"/>
          <w:smallCaps/>
          <w:sz w:val="24"/>
          <w:szCs w:val="24"/>
        </w:rPr>
      </w:pPr>
    </w:p>
    <w:p w14:paraId="5FF4FED5" w14:textId="07C0EFC0" w:rsidR="003D663C" w:rsidRPr="00A345BF" w:rsidRDefault="003D663C" w:rsidP="00A345BF">
      <w:pPr>
        <w:pStyle w:val="Prrafodelista"/>
        <w:numPr>
          <w:ilvl w:val="2"/>
          <w:numId w:val="23"/>
        </w:numPr>
        <w:spacing w:line="276" w:lineRule="auto"/>
        <w:jc w:val="both"/>
        <w:rPr>
          <w:rFonts w:ascii="Georgia" w:hAnsi="Georgia" w:cs="Arial"/>
          <w:sz w:val="24"/>
          <w:szCs w:val="24"/>
        </w:rPr>
      </w:pPr>
      <w:r w:rsidRPr="00A345BF">
        <w:rPr>
          <w:rFonts w:ascii="Georgia" w:hAnsi="Georgia" w:cs="Arial"/>
          <w:i/>
          <w:iCs/>
          <w:smallCaps/>
          <w:sz w:val="24"/>
          <w:szCs w:val="24"/>
        </w:rPr>
        <w:t>Análisis del caso</w:t>
      </w:r>
      <w:r w:rsidR="0037295F" w:rsidRPr="00A345BF">
        <w:rPr>
          <w:rFonts w:ascii="Georgia" w:hAnsi="Georgia" w:cs="Arial"/>
          <w:i/>
          <w:iCs/>
          <w:smallCaps/>
          <w:sz w:val="24"/>
          <w:szCs w:val="24"/>
        </w:rPr>
        <w:t xml:space="preserve"> concreto</w:t>
      </w:r>
    </w:p>
    <w:p w14:paraId="7C0E561F" w14:textId="56CEEADC" w:rsidR="0037295F" w:rsidRPr="00A345BF" w:rsidRDefault="0037295F" w:rsidP="00A345BF">
      <w:pPr>
        <w:pStyle w:val="Sinespaciado"/>
        <w:spacing w:line="276" w:lineRule="auto"/>
        <w:jc w:val="both"/>
        <w:rPr>
          <w:rFonts w:ascii="Georgia" w:hAnsi="Georgia" w:cs="Arial"/>
        </w:rPr>
      </w:pPr>
    </w:p>
    <w:p w14:paraId="4CC9E672" w14:textId="631D0BA3" w:rsidR="0037295F" w:rsidRPr="00A345BF" w:rsidRDefault="00B81415" w:rsidP="00A345BF">
      <w:pPr>
        <w:pStyle w:val="Sinespaciado"/>
        <w:spacing w:line="276" w:lineRule="auto"/>
        <w:jc w:val="both"/>
        <w:rPr>
          <w:rFonts w:ascii="Georgia" w:hAnsi="Georgia" w:cs="Arial"/>
        </w:rPr>
      </w:pPr>
      <w:r w:rsidRPr="00A345BF">
        <w:rPr>
          <w:rFonts w:ascii="Georgia" w:hAnsi="Georgia" w:cs="Arial"/>
        </w:rPr>
        <w:t>Se mantendrá l</w:t>
      </w:r>
      <w:r w:rsidR="00646BB9" w:rsidRPr="00A345BF">
        <w:rPr>
          <w:rFonts w:ascii="Georgia" w:hAnsi="Georgia" w:cs="Arial"/>
        </w:rPr>
        <w:t>a decisión motivo de impugnación</w:t>
      </w:r>
      <w:r w:rsidRPr="00A345BF">
        <w:rPr>
          <w:rFonts w:ascii="Georgia" w:hAnsi="Georgia" w:cs="Arial"/>
        </w:rPr>
        <w:t>, pues no se comparten los razonamientos del recurrente, conforme pasa a exponerse</w:t>
      </w:r>
      <w:r w:rsidR="0037295F" w:rsidRPr="00A345BF">
        <w:rPr>
          <w:rFonts w:ascii="Georgia" w:hAnsi="Georgia" w:cs="Arial"/>
        </w:rPr>
        <w:t xml:space="preserve">. </w:t>
      </w:r>
    </w:p>
    <w:p w14:paraId="5B14ECB6" w14:textId="208C7D6F" w:rsidR="0037295F" w:rsidRPr="00A345BF" w:rsidRDefault="0037295F" w:rsidP="00A345BF">
      <w:pPr>
        <w:pStyle w:val="Sinespaciado"/>
        <w:spacing w:line="276" w:lineRule="auto"/>
        <w:jc w:val="both"/>
        <w:rPr>
          <w:rFonts w:ascii="Georgia" w:hAnsi="Georgia" w:cs="Arial"/>
        </w:rPr>
      </w:pPr>
    </w:p>
    <w:p w14:paraId="1828ACFF" w14:textId="4A005447" w:rsidR="00EC222E" w:rsidRPr="00A345BF" w:rsidRDefault="002C2A0B" w:rsidP="00A345BF">
      <w:pPr>
        <w:pStyle w:val="Sinespaciado"/>
        <w:spacing w:line="276" w:lineRule="auto"/>
        <w:jc w:val="both"/>
        <w:rPr>
          <w:rFonts w:ascii="Georgia" w:hAnsi="Georgia" w:cs="Arial"/>
        </w:rPr>
      </w:pPr>
      <w:bookmarkStart w:id="7" w:name="_Hlk69459551"/>
      <w:r w:rsidRPr="00A345BF">
        <w:rPr>
          <w:rFonts w:ascii="Georgia" w:hAnsi="Georgia" w:cs="Arial"/>
        </w:rPr>
        <w:t xml:space="preserve">Sin </w:t>
      </w:r>
      <w:r w:rsidR="000B5F85" w:rsidRPr="00A345BF">
        <w:rPr>
          <w:rFonts w:ascii="Georgia" w:hAnsi="Georgia" w:cs="Arial"/>
        </w:rPr>
        <w:t xml:space="preserve">dudas, </w:t>
      </w:r>
      <w:r w:rsidR="00EC222E" w:rsidRPr="00A345BF">
        <w:rPr>
          <w:rFonts w:ascii="Georgia" w:hAnsi="Georgia" w:cs="Arial"/>
        </w:rPr>
        <w:t>la referencia expresa que se aplicaría</w:t>
      </w:r>
      <w:r w:rsidRPr="00A345BF">
        <w:rPr>
          <w:rFonts w:ascii="Georgia" w:hAnsi="Georgia" w:cs="Arial"/>
        </w:rPr>
        <w:t xml:space="preserve"> </w:t>
      </w:r>
      <w:r w:rsidR="00EC222E" w:rsidRPr="00A345BF">
        <w:rPr>
          <w:rFonts w:ascii="Georgia" w:hAnsi="Georgia" w:cs="Arial"/>
        </w:rPr>
        <w:t>el artículo 14° del Decreto Presidencial No.</w:t>
      </w:r>
      <w:r w:rsidR="00482703">
        <w:rPr>
          <w:rFonts w:ascii="Georgia" w:hAnsi="Georgia" w:cs="Arial"/>
        </w:rPr>
        <w:t xml:space="preserve"> </w:t>
      </w:r>
      <w:r w:rsidR="00EC222E" w:rsidRPr="00A345BF">
        <w:rPr>
          <w:rFonts w:ascii="Georgia" w:hAnsi="Georgia" w:cs="Arial"/>
        </w:rPr>
        <w:t xml:space="preserve">806 de 2020, </w:t>
      </w:r>
      <w:r w:rsidR="38187B56" w:rsidRPr="00A345BF">
        <w:rPr>
          <w:rFonts w:ascii="Georgia" w:hAnsi="Georgia" w:cs="Arial"/>
        </w:rPr>
        <w:t xml:space="preserve">indicaba </w:t>
      </w:r>
      <w:r w:rsidR="000B5F85" w:rsidRPr="00A345BF">
        <w:rPr>
          <w:rFonts w:ascii="Georgia" w:hAnsi="Georgia" w:cs="Arial"/>
        </w:rPr>
        <w:t xml:space="preserve">que a la ejecutoria de esa decisión, </w:t>
      </w:r>
      <w:r w:rsidR="00EC222E" w:rsidRPr="00A345BF">
        <w:rPr>
          <w:rFonts w:ascii="Georgia" w:hAnsi="Georgia" w:cs="Arial"/>
        </w:rPr>
        <w:t>descorr</w:t>
      </w:r>
      <w:r w:rsidR="2514A982" w:rsidRPr="00A345BF">
        <w:rPr>
          <w:rFonts w:ascii="Georgia" w:hAnsi="Georgia" w:cs="Arial"/>
        </w:rPr>
        <w:t>er</w:t>
      </w:r>
      <w:r w:rsidRPr="00A345BF">
        <w:rPr>
          <w:rFonts w:ascii="Georgia" w:hAnsi="Georgia" w:cs="Arial"/>
        </w:rPr>
        <w:t xml:space="preserve">ía </w:t>
      </w:r>
      <w:r w:rsidR="00EC222E" w:rsidRPr="00A345BF">
        <w:rPr>
          <w:rFonts w:ascii="Georgia" w:hAnsi="Georgia" w:cs="Arial"/>
        </w:rPr>
        <w:t xml:space="preserve">ese </w:t>
      </w:r>
      <w:r w:rsidR="00CE2BC9" w:rsidRPr="00A345BF">
        <w:rPr>
          <w:rFonts w:ascii="Georgia" w:hAnsi="Georgia" w:cs="Arial"/>
        </w:rPr>
        <w:t>plazo</w:t>
      </w:r>
      <w:r w:rsidR="00EC222E" w:rsidRPr="00A345BF">
        <w:rPr>
          <w:rFonts w:ascii="Georgia" w:hAnsi="Georgia" w:cs="Arial"/>
        </w:rPr>
        <w:t>.</w:t>
      </w:r>
      <w:r w:rsidR="0020186E" w:rsidRPr="00A345BF">
        <w:rPr>
          <w:rFonts w:ascii="Georgia" w:hAnsi="Georgia" w:cs="Arial"/>
        </w:rPr>
        <w:t xml:space="preserve"> </w:t>
      </w:r>
      <w:r w:rsidR="002779AF" w:rsidRPr="00A345BF">
        <w:rPr>
          <w:rFonts w:ascii="Georgia" w:hAnsi="Georgia" w:cs="Arial"/>
        </w:rPr>
        <w:t xml:space="preserve">Ningún </w:t>
      </w:r>
      <w:r w:rsidR="00EC222E" w:rsidRPr="00A345BF">
        <w:rPr>
          <w:rFonts w:ascii="Georgia" w:hAnsi="Georgia" w:cs="Arial"/>
        </w:rPr>
        <w:t>otro entendimiento puede obtenerse de</w:t>
      </w:r>
      <w:r w:rsidR="00A935CF" w:rsidRPr="00A345BF">
        <w:rPr>
          <w:rFonts w:ascii="Georgia" w:hAnsi="Georgia" w:cs="Arial"/>
        </w:rPr>
        <w:t>l</w:t>
      </w:r>
      <w:r w:rsidR="00EC222E" w:rsidRPr="00A345BF">
        <w:rPr>
          <w:rFonts w:ascii="Georgia" w:hAnsi="Georgia" w:cs="Arial"/>
        </w:rPr>
        <w:t xml:space="preserve"> inciso segundo de esa norma, </w:t>
      </w:r>
      <w:r w:rsidR="000A3117" w:rsidRPr="00A345BF">
        <w:rPr>
          <w:rFonts w:ascii="Georgia" w:hAnsi="Georgia" w:cs="Arial"/>
        </w:rPr>
        <w:t>su enunciado gramatical es absolutamente claro, prescribe</w:t>
      </w:r>
      <w:r w:rsidR="00EC222E" w:rsidRPr="00A345BF">
        <w:rPr>
          <w:rFonts w:ascii="Georgia" w:hAnsi="Georgia" w:cs="Arial"/>
        </w:rPr>
        <w:t xml:space="preserve">: </w:t>
      </w:r>
    </w:p>
    <w:bookmarkEnd w:id="7"/>
    <w:p w14:paraId="54909C60" w14:textId="4ACBEEA3" w:rsidR="00EC222E" w:rsidRPr="00A345BF" w:rsidRDefault="00EC222E" w:rsidP="00A345BF">
      <w:pPr>
        <w:pStyle w:val="Sinespaciado"/>
        <w:spacing w:line="276" w:lineRule="auto"/>
        <w:jc w:val="both"/>
        <w:rPr>
          <w:rFonts w:ascii="Georgia" w:hAnsi="Georgia" w:cs="Arial"/>
        </w:rPr>
      </w:pPr>
    </w:p>
    <w:p w14:paraId="0C8EB2F1" w14:textId="74A9A8FF" w:rsidR="00EC222E" w:rsidRPr="00D7043A" w:rsidRDefault="00EC222E" w:rsidP="00D7043A">
      <w:pPr>
        <w:pStyle w:val="Sinespaciado"/>
        <w:ind w:left="426" w:right="418"/>
        <w:jc w:val="both"/>
        <w:rPr>
          <w:rFonts w:ascii="Georgia" w:hAnsi="Georgia" w:cs="Arial"/>
          <w:sz w:val="22"/>
        </w:rPr>
      </w:pPr>
      <w:r w:rsidRPr="00D7043A">
        <w:rPr>
          <w:rFonts w:ascii="Georgia" w:hAnsi="Georgia"/>
          <w:sz w:val="22"/>
          <w:u w:val="single"/>
        </w:rPr>
        <w:t>Ejecutoriado el auto que admite el recurso o el que niega la solicitud de pruebas, el apelante deberá sustentar el recurso a más tardar dentro de los cinco (5) días siguientes</w:t>
      </w:r>
      <w:r w:rsidRPr="00D7043A">
        <w:rPr>
          <w:rFonts w:ascii="Georgia" w:hAnsi="Georgia"/>
          <w:sz w:val="22"/>
        </w:rPr>
        <w:t>. De la sustentación se correrá traslado a la parte contraria por el término de cinco (5) días. Vencido el término de traslado se proferirá sentencia escrita que se notificará por estado. Si no se sustenta oportunamente el recurso, se declarará desierto</w:t>
      </w:r>
      <w:r w:rsidR="002779AF" w:rsidRPr="00D7043A">
        <w:rPr>
          <w:rFonts w:ascii="Georgia" w:hAnsi="Georgia"/>
          <w:sz w:val="22"/>
        </w:rPr>
        <w:t xml:space="preserve"> (</w:t>
      </w:r>
      <w:proofErr w:type="spellStart"/>
      <w:r w:rsidR="002779AF" w:rsidRPr="00D7043A">
        <w:rPr>
          <w:rFonts w:ascii="Georgia" w:hAnsi="Georgia"/>
          <w:sz w:val="22"/>
        </w:rPr>
        <w:t>Sublineas</w:t>
      </w:r>
      <w:proofErr w:type="spellEnd"/>
      <w:r w:rsidR="002779AF" w:rsidRPr="00D7043A">
        <w:rPr>
          <w:rFonts w:ascii="Georgia" w:hAnsi="Georgia"/>
          <w:sz w:val="22"/>
        </w:rPr>
        <w:t xml:space="preserve"> fuera de texto)</w:t>
      </w:r>
      <w:r w:rsidRPr="00D7043A">
        <w:rPr>
          <w:rFonts w:ascii="Georgia" w:hAnsi="Georgia"/>
          <w:sz w:val="22"/>
        </w:rPr>
        <w:t>.</w:t>
      </w:r>
    </w:p>
    <w:p w14:paraId="5D4E62AE" w14:textId="77777777" w:rsidR="00EC222E" w:rsidRPr="00A345BF" w:rsidRDefault="00EC222E" w:rsidP="00A345BF">
      <w:pPr>
        <w:pStyle w:val="Sinespaciado"/>
        <w:spacing w:line="276" w:lineRule="auto"/>
        <w:jc w:val="both"/>
        <w:rPr>
          <w:rFonts w:ascii="Georgia" w:hAnsi="Georgia" w:cs="Arial"/>
        </w:rPr>
      </w:pPr>
    </w:p>
    <w:p w14:paraId="51B05F85" w14:textId="3DF25035" w:rsidR="00E25855" w:rsidRPr="00A345BF" w:rsidRDefault="0020186E" w:rsidP="00A345BF">
      <w:pPr>
        <w:pStyle w:val="Sinespaciado"/>
        <w:spacing w:line="276" w:lineRule="auto"/>
        <w:jc w:val="both"/>
        <w:rPr>
          <w:rFonts w:ascii="Georgia" w:hAnsi="Georgia" w:cs="Arial"/>
        </w:rPr>
      </w:pPr>
      <w:r w:rsidRPr="00A345BF">
        <w:rPr>
          <w:rFonts w:ascii="Georgia" w:hAnsi="Georgia" w:cs="Arial"/>
        </w:rPr>
        <w:t>Nótese que</w:t>
      </w:r>
      <w:r w:rsidR="00EE4F20" w:rsidRPr="00A345BF">
        <w:rPr>
          <w:rFonts w:ascii="Georgia" w:hAnsi="Georgia" w:cs="Arial"/>
        </w:rPr>
        <w:t xml:space="preserve"> tampoco puede inferirse </w:t>
      </w:r>
      <w:r w:rsidR="00183F2F" w:rsidRPr="00A345BF">
        <w:rPr>
          <w:rFonts w:ascii="Georgia" w:hAnsi="Georgia" w:cs="Arial"/>
        </w:rPr>
        <w:t>que disponga la emisión de otra decisión</w:t>
      </w:r>
      <w:r w:rsidR="5BF23762" w:rsidRPr="00A345BF">
        <w:rPr>
          <w:rFonts w:ascii="Georgia" w:hAnsi="Georgia" w:cs="Arial"/>
        </w:rPr>
        <w:t xml:space="preserve">, para imponer </w:t>
      </w:r>
      <w:r w:rsidR="002779AF" w:rsidRPr="00A345BF">
        <w:rPr>
          <w:rFonts w:ascii="Georgia" w:hAnsi="Georgia" w:cs="Arial"/>
        </w:rPr>
        <w:t xml:space="preserve">la carga </w:t>
      </w:r>
      <w:r w:rsidR="2A868B9B" w:rsidRPr="00A345BF">
        <w:rPr>
          <w:rFonts w:ascii="Georgia" w:hAnsi="Georgia" w:cs="Arial"/>
        </w:rPr>
        <w:t xml:space="preserve">procesal </w:t>
      </w:r>
      <w:r w:rsidR="002779AF" w:rsidRPr="00A345BF">
        <w:rPr>
          <w:rFonts w:ascii="Georgia" w:hAnsi="Georgia" w:cs="Arial"/>
        </w:rPr>
        <w:t xml:space="preserve">al </w:t>
      </w:r>
      <w:r w:rsidR="003E275B" w:rsidRPr="00A345BF">
        <w:rPr>
          <w:rFonts w:ascii="Georgia" w:hAnsi="Georgia" w:cs="Arial"/>
        </w:rPr>
        <w:t>impugnante</w:t>
      </w:r>
      <w:r w:rsidR="00A935CF" w:rsidRPr="00A345BF">
        <w:rPr>
          <w:rFonts w:ascii="Georgia" w:hAnsi="Georgia" w:cs="Arial"/>
        </w:rPr>
        <w:t>;</w:t>
      </w:r>
      <w:r w:rsidR="002779AF" w:rsidRPr="00A345BF">
        <w:rPr>
          <w:rFonts w:ascii="Georgia" w:hAnsi="Georgia" w:cs="Arial"/>
        </w:rPr>
        <w:t xml:space="preserve"> </w:t>
      </w:r>
      <w:r w:rsidR="00183F2F" w:rsidRPr="00A345BF">
        <w:rPr>
          <w:rFonts w:ascii="Georgia" w:hAnsi="Georgia" w:cs="Arial"/>
        </w:rPr>
        <w:t xml:space="preserve">la actuación subsiguiente </w:t>
      </w:r>
      <w:r w:rsidR="00FE370B" w:rsidRPr="00A345BF">
        <w:rPr>
          <w:rFonts w:ascii="Georgia" w:hAnsi="Georgia" w:cs="Arial"/>
        </w:rPr>
        <w:t>por parte de este</w:t>
      </w:r>
      <w:r w:rsidR="00A935CF" w:rsidRPr="00A345BF">
        <w:rPr>
          <w:rFonts w:ascii="Georgia" w:hAnsi="Georgia" w:cs="Arial"/>
        </w:rPr>
        <w:t>,</w:t>
      </w:r>
      <w:r w:rsidR="00FE370B" w:rsidRPr="00A345BF">
        <w:rPr>
          <w:rFonts w:ascii="Georgia" w:hAnsi="Georgia" w:cs="Arial"/>
        </w:rPr>
        <w:t xml:space="preserve"> solo depende </w:t>
      </w:r>
      <w:r w:rsidR="00A935CF" w:rsidRPr="00A345BF">
        <w:rPr>
          <w:rFonts w:ascii="Georgia" w:hAnsi="Georgia" w:cs="Arial"/>
        </w:rPr>
        <w:t xml:space="preserve">de </w:t>
      </w:r>
      <w:r w:rsidR="00FE370B" w:rsidRPr="00A345BF">
        <w:rPr>
          <w:rFonts w:ascii="Georgia" w:hAnsi="Georgia" w:cs="Arial"/>
        </w:rPr>
        <w:t xml:space="preserve">la ejecutoria del proveído admisorio o </w:t>
      </w:r>
      <w:r w:rsidR="004D752B" w:rsidRPr="00A345BF">
        <w:rPr>
          <w:rFonts w:ascii="Georgia" w:hAnsi="Georgia" w:cs="Arial"/>
        </w:rPr>
        <w:t xml:space="preserve">el </w:t>
      </w:r>
      <w:r w:rsidR="00FE370B" w:rsidRPr="00A345BF">
        <w:rPr>
          <w:rFonts w:ascii="Georgia" w:hAnsi="Georgia" w:cs="Arial"/>
        </w:rPr>
        <w:t>nugatorio del decreto de pruebas</w:t>
      </w:r>
      <w:r w:rsidR="00A935CF" w:rsidRPr="00A345BF">
        <w:rPr>
          <w:rFonts w:ascii="Georgia" w:hAnsi="Georgia" w:cs="Arial"/>
        </w:rPr>
        <w:t xml:space="preserve">. Aquí ocurrió </w:t>
      </w:r>
      <w:r w:rsidR="00CE2BC9" w:rsidRPr="00A345BF">
        <w:rPr>
          <w:rFonts w:ascii="Georgia" w:hAnsi="Georgia" w:cs="Arial"/>
        </w:rPr>
        <w:t xml:space="preserve">lo primero y, en ese entendido, al ser inexistente algún </w:t>
      </w:r>
      <w:r w:rsidR="00E25855" w:rsidRPr="00A345BF">
        <w:rPr>
          <w:rFonts w:ascii="Georgia" w:hAnsi="Georgia" w:cs="Arial"/>
        </w:rPr>
        <w:t>cuestionamiento contra la decisión admisori</w:t>
      </w:r>
      <w:r w:rsidR="00A935CF" w:rsidRPr="00A345BF">
        <w:rPr>
          <w:rFonts w:ascii="Georgia" w:hAnsi="Georgia" w:cs="Arial"/>
        </w:rPr>
        <w:t>a</w:t>
      </w:r>
      <w:r w:rsidR="00E25855" w:rsidRPr="00A345BF">
        <w:rPr>
          <w:rFonts w:ascii="Georgia" w:hAnsi="Georgia" w:cs="Arial"/>
        </w:rPr>
        <w:t>, fechad</w:t>
      </w:r>
      <w:r w:rsidR="00A935CF" w:rsidRPr="00A345BF">
        <w:rPr>
          <w:rFonts w:ascii="Georgia" w:hAnsi="Georgia" w:cs="Arial"/>
        </w:rPr>
        <w:t>a</w:t>
      </w:r>
      <w:r w:rsidR="00E25855" w:rsidRPr="00A345BF">
        <w:rPr>
          <w:rFonts w:ascii="Georgia" w:hAnsi="Georgia" w:cs="Arial"/>
        </w:rPr>
        <w:t xml:space="preserve"> 06-10-2020, quedaba </w:t>
      </w:r>
      <w:r w:rsidR="00CE2BC9" w:rsidRPr="00A345BF">
        <w:rPr>
          <w:rFonts w:ascii="Georgia" w:hAnsi="Georgia" w:cs="Arial"/>
        </w:rPr>
        <w:t>asignada</w:t>
      </w:r>
      <w:r w:rsidR="00E25855" w:rsidRPr="00A345BF">
        <w:rPr>
          <w:rFonts w:ascii="Georgia" w:hAnsi="Georgia" w:cs="Arial"/>
        </w:rPr>
        <w:t xml:space="preserve"> la obligación para que </w:t>
      </w:r>
      <w:r w:rsidR="00E25855" w:rsidRPr="00A345BF">
        <w:rPr>
          <w:rFonts w:ascii="Georgia" w:hAnsi="Georgia" w:cs="Arial"/>
          <w:b/>
          <w:bCs/>
        </w:rPr>
        <w:t xml:space="preserve">el recurrente sustentara su recurso </w:t>
      </w:r>
      <w:r w:rsidR="00E25855" w:rsidRPr="00A345BF">
        <w:rPr>
          <w:rFonts w:ascii="Georgia" w:hAnsi="Georgia" w:cs="Arial"/>
        </w:rPr>
        <w:t xml:space="preserve">(Artículo 118, CGP). </w:t>
      </w:r>
    </w:p>
    <w:p w14:paraId="2FCAF499" w14:textId="77777777" w:rsidR="00183F2F" w:rsidRPr="00A345BF" w:rsidRDefault="00183F2F" w:rsidP="00A345BF">
      <w:pPr>
        <w:pStyle w:val="Sinespaciado"/>
        <w:spacing w:line="276" w:lineRule="auto"/>
        <w:jc w:val="both"/>
        <w:rPr>
          <w:rFonts w:ascii="Georgia" w:hAnsi="Georgia" w:cs="Arial"/>
        </w:rPr>
      </w:pPr>
    </w:p>
    <w:p w14:paraId="43DD6B1A" w14:textId="09AE1591" w:rsidR="00CE2BC9" w:rsidRPr="00A345BF" w:rsidRDefault="008E1BC2" w:rsidP="00A345BF">
      <w:pPr>
        <w:pStyle w:val="Sinespaciado"/>
        <w:spacing w:line="276" w:lineRule="auto"/>
        <w:jc w:val="both"/>
        <w:rPr>
          <w:rFonts w:ascii="Georgia" w:hAnsi="Georgia" w:cs="Arial"/>
        </w:rPr>
      </w:pPr>
      <w:r w:rsidRPr="00A345BF">
        <w:rPr>
          <w:rFonts w:ascii="Georgia" w:hAnsi="Georgia" w:cs="Arial"/>
        </w:rPr>
        <w:t xml:space="preserve">Extraña </w:t>
      </w:r>
      <w:r w:rsidR="00183F2F" w:rsidRPr="00A345BF">
        <w:rPr>
          <w:rFonts w:ascii="Georgia" w:hAnsi="Georgia" w:cs="Arial"/>
        </w:rPr>
        <w:t xml:space="preserve">que el interesado exponga ahora que la referencia a esa normativa </w:t>
      </w:r>
      <w:r w:rsidR="00FE370B" w:rsidRPr="00A345BF">
        <w:rPr>
          <w:rFonts w:ascii="Georgia" w:hAnsi="Georgia" w:cs="Arial"/>
        </w:rPr>
        <w:t>fue</w:t>
      </w:r>
      <w:r w:rsidR="00A935CF" w:rsidRPr="00A345BF">
        <w:rPr>
          <w:rFonts w:ascii="Georgia" w:hAnsi="Georgia" w:cs="Arial"/>
        </w:rPr>
        <w:t>r</w:t>
      </w:r>
      <w:r w:rsidR="00FE370B" w:rsidRPr="00A345BF">
        <w:rPr>
          <w:rFonts w:ascii="Georgia" w:hAnsi="Georgia" w:cs="Arial"/>
        </w:rPr>
        <w:t xml:space="preserve">e </w:t>
      </w:r>
      <w:r w:rsidR="00183F2F" w:rsidRPr="00A345BF">
        <w:rPr>
          <w:rFonts w:ascii="Georgia" w:hAnsi="Georgia" w:cs="Arial"/>
        </w:rPr>
        <w:t>confusa, pues si así lo estim</w:t>
      </w:r>
      <w:r w:rsidR="00A935CF" w:rsidRPr="00A345BF">
        <w:rPr>
          <w:rFonts w:ascii="Georgia" w:hAnsi="Georgia" w:cs="Arial"/>
        </w:rPr>
        <w:t>aba</w:t>
      </w:r>
      <w:r w:rsidR="00183F2F" w:rsidRPr="00A345BF">
        <w:rPr>
          <w:rFonts w:ascii="Georgia" w:hAnsi="Georgia" w:cs="Arial"/>
        </w:rPr>
        <w:t xml:space="preserve">, </w:t>
      </w:r>
      <w:r w:rsidR="00183F2F" w:rsidRPr="00A345BF">
        <w:rPr>
          <w:rFonts w:ascii="Georgia" w:hAnsi="Georgia" w:cs="Arial"/>
          <w:i/>
          <w:iCs/>
          <w:u w:val="single"/>
        </w:rPr>
        <w:t>es</w:t>
      </w:r>
      <w:r w:rsidR="00A935CF" w:rsidRPr="00A345BF">
        <w:rPr>
          <w:rFonts w:ascii="Georgia" w:hAnsi="Georgia" w:cs="Arial"/>
          <w:i/>
          <w:iCs/>
          <w:u w:val="single"/>
        </w:rPr>
        <w:t>e</w:t>
      </w:r>
      <w:r w:rsidR="00183F2F" w:rsidRPr="00A345BF">
        <w:rPr>
          <w:rFonts w:ascii="Georgia" w:hAnsi="Georgia" w:cs="Arial"/>
          <w:i/>
          <w:iCs/>
          <w:u w:val="single"/>
        </w:rPr>
        <w:t xml:space="preserve"> era </w:t>
      </w:r>
      <w:r w:rsidR="00A935CF" w:rsidRPr="00A345BF">
        <w:rPr>
          <w:rFonts w:ascii="Georgia" w:hAnsi="Georgia" w:cs="Arial"/>
          <w:i/>
          <w:iCs/>
          <w:u w:val="single"/>
        </w:rPr>
        <w:t xml:space="preserve">el momento </w:t>
      </w:r>
      <w:r w:rsidR="00183F2F" w:rsidRPr="00A345BF">
        <w:rPr>
          <w:rFonts w:ascii="Georgia" w:hAnsi="Georgia" w:cs="Arial"/>
          <w:i/>
          <w:iCs/>
          <w:u w:val="single"/>
        </w:rPr>
        <w:t xml:space="preserve">para solicitar </w:t>
      </w:r>
      <w:r w:rsidRPr="00A345BF">
        <w:rPr>
          <w:rFonts w:ascii="Georgia" w:hAnsi="Georgia" w:cs="Arial"/>
          <w:i/>
          <w:iCs/>
          <w:u w:val="single"/>
        </w:rPr>
        <w:t xml:space="preserve">la </w:t>
      </w:r>
      <w:r w:rsidR="00183F2F" w:rsidRPr="00A345BF">
        <w:rPr>
          <w:rFonts w:ascii="Georgia" w:hAnsi="Georgia" w:cs="Arial"/>
          <w:i/>
          <w:iCs/>
          <w:u w:val="single"/>
        </w:rPr>
        <w:t>aclaración</w:t>
      </w:r>
      <w:r w:rsidRPr="00A345BF">
        <w:rPr>
          <w:rFonts w:ascii="Georgia" w:hAnsi="Georgia" w:cs="Arial"/>
        </w:rPr>
        <w:t xml:space="preserve"> (Artículo 285, CGP)</w:t>
      </w:r>
      <w:r w:rsidR="00A935CF" w:rsidRPr="00A345BF">
        <w:rPr>
          <w:rFonts w:ascii="Georgia" w:hAnsi="Georgia" w:cs="Arial"/>
        </w:rPr>
        <w:t xml:space="preserve">; </w:t>
      </w:r>
      <w:r w:rsidRPr="00A345BF">
        <w:rPr>
          <w:rFonts w:ascii="Georgia" w:hAnsi="Georgia" w:cs="Arial"/>
        </w:rPr>
        <w:t>recuérdese que</w:t>
      </w:r>
      <w:r w:rsidR="004D752B" w:rsidRPr="00A345BF">
        <w:rPr>
          <w:rFonts w:ascii="Georgia" w:hAnsi="Georgia" w:cs="Arial"/>
        </w:rPr>
        <w:t>,</w:t>
      </w:r>
      <w:r w:rsidRPr="00A345BF">
        <w:rPr>
          <w:rFonts w:ascii="Georgia" w:hAnsi="Georgia" w:cs="Arial"/>
        </w:rPr>
        <w:t xml:space="preserve"> cuando una decisión ofre</w:t>
      </w:r>
      <w:r w:rsidR="00D559BB" w:rsidRPr="00A345BF">
        <w:rPr>
          <w:rFonts w:ascii="Georgia" w:hAnsi="Georgia" w:cs="Arial"/>
        </w:rPr>
        <w:t>ce</w:t>
      </w:r>
      <w:r w:rsidRPr="00A345BF">
        <w:rPr>
          <w:rFonts w:ascii="Georgia" w:hAnsi="Georgia" w:cs="Arial"/>
        </w:rPr>
        <w:t xml:space="preserve"> dudas, esa es la forma de</w:t>
      </w:r>
      <w:r w:rsidR="003E275B" w:rsidRPr="00A345BF">
        <w:rPr>
          <w:rFonts w:ascii="Georgia" w:hAnsi="Georgia" w:cs="Arial"/>
        </w:rPr>
        <w:t xml:space="preserve"> remediarlo</w:t>
      </w:r>
      <w:r w:rsidRPr="00A345BF">
        <w:rPr>
          <w:rFonts w:ascii="Georgia" w:hAnsi="Georgia" w:cs="Arial"/>
        </w:rPr>
        <w:t>.</w:t>
      </w:r>
      <w:r w:rsidR="00FE370B" w:rsidRPr="00A345BF">
        <w:rPr>
          <w:rFonts w:ascii="Georgia" w:hAnsi="Georgia" w:cs="Arial"/>
        </w:rPr>
        <w:t xml:space="preserve"> </w:t>
      </w:r>
      <w:r w:rsidR="004D752B" w:rsidRPr="00A345BF">
        <w:rPr>
          <w:rFonts w:ascii="Georgia" w:hAnsi="Georgia" w:cs="Arial"/>
        </w:rPr>
        <w:t xml:space="preserve">Es </w:t>
      </w:r>
      <w:r w:rsidR="00CE2BC9" w:rsidRPr="00A345BF">
        <w:rPr>
          <w:rFonts w:ascii="Georgia" w:hAnsi="Georgia" w:cs="Arial"/>
        </w:rPr>
        <w:t xml:space="preserve">inadmisible </w:t>
      </w:r>
      <w:r w:rsidR="00CF750D" w:rsidRPr="00A345BF">
        <w:rPr>
          <w:rFonts w:ascii="Georgia" w:hAnsi="Georgia" w:cs="Arial"/>
        </w:rPr>
        <w:t>estimar qu</w:t>
      </w:r>
      <w:r w:rsidR="00CE2BC9" w:rsidRPr="00A345BF">
        <w:rPr>
          <w:rFonts w:ascii="Georgia" w:hAnsi="Georgia" w:cs="Arial"/>
        </w:rPr>
        <w:t>e la deserción es lesiva del derecho al acceso de la administración de justicia</w:t>
      </w:r>
      <w:r w:rsidR="00D559BB" w:rsidRPr="00A345BF">
        <w:rPr>
          <w:rFonts w:ascii="Georgia" w:hAnsi="Georgia" w:cs="Arial"/>
        </w:rPr>
        <w:t xml:space="preserve">, </w:t>
      </w:r>
      <w:r w:rsidR="00CF750D" w:rsidRPr="00A345BF">
        <w:rPr>
          <w:rFonts w:ascii="Georgia" w:hAnsi="Georgia" w:cs="Arial"/>
        </w:rPr>
        <w:t xml:space="preserve">porque se </w:t>
      </w:r>
      <w:r w:rsidR="00D559BB" w:rsidRPr="00A345BF">
        <w:rPr>
          <w:rFonts w:ascii="Georgia" w:hAnsi="Georgia" w:cs="Arial"/>
        </w:rPr>
        <w:t xml:space="preserve">haya </w:t>
      </w:r>
      <w:r w:rsidR="00CF750D" w:rsidRPr="00A345BF">
        <w:rPr>
          <w:rFonts w:ascii="Georgia" w:hAnsi="Georgia" w:cs="Arial"/>
        </w:rPr>
        <w:t>parti</w:t>
      </w:r>
      <w:r w:rsidR="00D559BB" w:rsidRPr="00A345BF">
        <w:rPr>
          <w:rFonts w:ascii="Georgia" w:hAnsi="Georgia" w:cs="Arial"/>
        </w:rPr>
        <w:t xml:space="preserve">do </w:t>
      </w:r>
      <w:r w:rsidR="00CF750D" w:rsidRPr="00A345BF">
        <w:rPr>
          <w:rFonts w:ascii="Georgia" w:hAnsi="Georgia" w:cs="Arial"/>
        </w:rPr>
        <w:t>de una confusión, cuando ello ni si quiera se planteó.</w:t>
      </w:r>
      <w:r w:rsidR="39792F5F" w:rsidRPr="00A345BF">
        <w:rPr>
          <w:rFonts w:ascii="Georgia" w:hAnsi="Georgia" w:cs="Arial"/>
        </w:rPr>
        <w:t xml:space="preserve"> </w:t>
      </w:r>
    </w:p>
    <w:p w14:paraId="2E871443" w14:textId="39DB040D" w:rsidR="00CE2BC9" w:rsidRPr="00A345BF" w:rsidRDefault="00CE2BC9" w:rsidP="00A345BF">
      <w:pPr>
        <w:pStyle w:val="Sinespaciado"/>
        <w:spacing w:line="276" w:lineRule="auto"/>
        <w:jc w:val="both"/>
        <w:rPr>
          <w:rFonts w:ascii="Georgia" w:hAnsi="Georgia" w:cs="Arial"/>
          <w:u w:val="single"/>
        </w:rPr>
      </w:pPr>
    </w:p>
    <w:p w14:paraId="2E912A3C" w14:textId="2E45E281" w:rsidR="00CE2BC9" w:rsidRPr="00A345BF" w:rsidRDefault="39792F5F" w:rsidP="00A345BF">
      <w:pPr>
        <w:pStyle w:val="Sinespaciado"/>
        <w:spacing w:line="276" w:lineRule="auto"/>
        <w:jc w:val="both"/>
        <w:rPr>
          <w:rFonts w:ascii="Georgia" w:hAnsi="Georgia" w:cs="Arial"/>
        </w:rPr>
      </w:pPr>
      <w:r w:rsidRPr="00A345BF">
        <w:rPr>
          <w:rFonts w:ascii="Georgia" w:hAnsi="Georgia" w:cs="Arial"/>
          <w:u w:val="single"/>
        </w:rPr>
        <w:t>Que se haya malogrado la impugnación es imputable, única y exclusivamente, al vocero judicial que desatendió el débito procesal que le incumbía.</w:t>
      </w:r>
    </w:p>
    <w:p w14:paraId="16935E31" w14:textId="77777777" w:rsidR="00CE2BC9" w:rsidRPr="00A345BF" w:rsidRDefault="00CE2BC9" w:rsidP="00A345BF">
      <w:pPr>
        <w:pStyle w:val="Sinespaciado"/>
        <w:spacing w:line="276" w:lineRule="auto"/>
        <w:jc w:val="both"/>
        <w:rPr>
          <w:rFonts w:ascii="Georgia" w:hAnsi="Georgia" w:cs="Arial"/>
        </w:rPr>
      </w:pPr>
    </w:p>
    <w:p w14:paraId="3C508C8A" w14:textId="114F5631" w:rsidR="0085215F" w:rsidRPr="00A345BF" w:rsidRDefault="00CF750D" w:rsidP="00A345BF">
      <w:pPr>
        <w:pStyle w:val="Sinespaciado"/>
        <w:spacing w:line="276" w:lineRule="auto"/>
        <w:jc w:val="both"/>
        <w:rPr>
          <w:rFonts w:ascii="Georgia" w:hAnsi="Georgia" w:cs="Arial"/>
        </w:rPr>
      </w:pPr>
      <w:r w:rsidRPr="00A345BF">
        <w:rPr>
          <w:rFonts w:ascii="Georgia" w:hAnsi="Georgia" w:cs="Arial"/>
        </w:rPr>
        <w:t xml:space="preserve">Además, </w:t>
      </w:r>
      <w:r w:rsidR="00E25855" w:rsidRPr="00A345BF">
        <w:rPr>
          <w:rFonts w:ascii="Georgia" w:hAnsi="Georgia" w:cs="Arial"/>
        </w:rPr>
        <w:t xml:space="preserve">ninguna </w:t>
      </w:r>
      <w:r w:rsidR="0000068D" w:rsidRPr="00A345BF">
        <w:rPr>
          <w:rFonts w:ascii="Georgia" w:hAnsi="Georgia" w:cs="Arial"/>
        </w:rPr>
        <w:t xml:space="preserve">queja o cuestionamiento en ese sentido, </w:t>
      </w:r>
      <w:r w:rsidR="00E25855" w:rsidRPr="00A345BF">
        <w:rPr>
          <w:rFonts w:ascii="Georgia" w:hAnsi="Georgia" w:cs="Arial"/>
        </w:rPr>
        <w:t xml:space="preserve">se ha recibido de </w:t>
      </w:r>
      <w:r w:rsidR="341AFD3F" w:rsidRPr="00A345BF">
        <w:rPr>
          <w:rFonts w:ascii="Georgia" w:hAnsi="Georgia" w:cs="Arial"/>
        </w:rPr>
        <w:t xml:space="preserve">otros </w:t>
      </w:r>
      <w:r w:rsidR="0085215F" w:rsidRPr="00A345BF">
        <w:rPr>
          <w:rFonts w:ascii="Georgia" w:hAnsi="Georgia" w:cs="Arial"/>
        </w:rPr>
        <w:t xml:space="preserve">apoderados </w:t>
      </w:r>
      <w:r w:rsidR="2840CB43" w:rsidRPr="00A345BF">
        <w:rPr>
          <w:rFonts w:ascii="Georgia" w:hAnsi="Georgia" w:cs="Arial"/>
        </w:rPr>
        <w:t>y</w:t>
      </w:r>
      <w:r w:rsidR="0085215F" w:rsidRPr="00A345BF">
        <w:rPr>
          <w:rFonts w:ascii="Georgia" w:hAnsi="Georgia" w:cs="Arial"/>
        </w:rPr>
        <w:t xml:space="preserve"> </w:t>
      </w:r>
      <w:r w:rsidR="7CDA1704" w:rsidRPr="00A345BF">
        <w:rPr>
          <w:rFonts w:ascii="Georgia" w:hAnsi="Georgia" w:cs="Arial"/>
        </w:rPr>
        <w:t xml:space="preserve">las </w:t>
      </w:r>
      <w:r w:rsidR="0085215F" w:rsidRPr="00A345BF">
        <w:rPr>
          <w:rFonts w:ascii="Georgia" w:hAnsi="Georgia" w:cs="Arial"/>
        </w:rPr>
        <w:t xml:space="preserve">partes, en los procesos </w:t>
      </w:r>
      <w:r w:rsidR="00E25855" w:rsidRPr="00A345BF">
        <w:rPr>
          <w:rFonts w:ascii="Georgia" w:hAnsi="Georgia" w:cs="Arial"/>
        </w:rPr>
        <w:t xml:space="preserve">donde se ha </w:t>
      </w:r>
      <w:r w:rsidR="004353B5" w:rsidRPr="00A345BF">
        <w:rPr>
          <w:rFonts w:ascii="Georgia" w:hAnsi="Georgia" w:cs="Arial"/>
        </w:rPr>
        <w:t xml:space="preserve">descorrido el traslado de esa </w:t>
      </w:r>
      <w:r w:rsidR="774986A4" w:rsidRPr="00A345BF">
        <w:rPr>
          <w:rFonts w:ascii="Georgia" w:hAnsi="Georgia" w:cs="Arial"/>
        </w:rPr>
        <w:t xml:space="preserve">misma </w:t>
      </w:r>
      <w:r w:rsidR="004353B5" w:rsidRPr="00A345BF">
        <w:rPr>
          <w:rFonts w:ascii="Georgia" w:hAnsi="Georgia" w:cs="Arial"/>
        </w:rPr>
        <w:t>manera</w:t>
      </w:r>
      <w:r w:rsidR="0099212A" w:rsidRPr="00A345BF">
        <w:rPr>
          <w:rStyle w:val="Refdenotaalpie"/>
          <w:rFonts w:ascii="Georgia" w:hAnsi="Georgia"/>
        </w:rPr>
        <w:footnoteReference w:id="11"/>
      </w:r>
      <w:r w:rsidR="004353B5" w:rsidRPr="00A345BF">
        <w:rPr>
          <w:rFonts w:ascii="Georgia" w:hAnsi="Georgia" w:cs="Arial"/>
        </w:rPr>
        <w:t xml:space="preserve">, incluso </w:t>
      </w:r>
      <w:r w:rsidR="0099212A" w:rsidRPr="00A345BF">
        <w:rPr>
          <w:rFonts w:ascii="Georgia" w:hAnsi="Georgia" w:cs="Arial"/>
        </w:rPr>
        <w:t xml:space="preserve">el mismo día en que se notificó la decisión en este asunto, se admitió otro proceso y, </w:t>
      </w:r>
      <w:r w:rsidR="04670F37" w:rsidRPr="00A345BF">
        <w:rPr>
          <w:rFonts w:ascii="Georgia" w:hAnsi="Georgia" w:cs="Arial"/>
        </w:rPr>
        <w:t xml:space="preserve">en cambio en esa ocasión, </w:t>
      </w:r>
      <w:r w:rsidR="0099212A" w:rsidRPr="00A345BF">
        <w:rPr>
          <w:rFonts w:ascii="Georgia" w:hAnsi="Georgia" w:cs="Arial"/>
        </w:rPr>
        <w:t>en término fue sustentada la apelación</w:t>
      </w:r>
      <w:r w:rsidR="00C41DC2" w:rsidRPr="00A345BF">
        <w:rPr>
          <w:rFonts w:ascii="Georgia" w:hAnsi="Georgia" w:cs="Arial"/>
        </w:rPr>
        <w:t>.</w:t>
      </w:r>
      <w:r w:rsidR="00FC71C5" w:rsidRPr="00A345BF">
        <w:rPr>
          <w:rFonts w:ascii="Georgia" w:hAnsi="Georgia" w:cs="Arial"/>
        </w:rPr>
        <w:t xml:space="preserve"> </w:t>
      </w:r>
    </w:p>
    <w:p w14:paraId="577CAB2A" w14:textId="77777777" w:rsidR="003D663C" w:rsidRPr="00A345BF" w:rsidRDefault="003D663C" w:rsidP="00A345BF">
      <w:pPr>
        <w:pStyle w:val="Sinespaciado"/>
        <w:spacing w:line="276" w:lineRule="auto"/>
        <w:jc w:val="both"/>
        <w:rPr>
          <w:rFonts w:ascii="Georgia" w:hAnsi="Georgia" w:cs="Arial"/>
        </w:rPr>
      </w:pPr>
    </w:p>
    <w:p w14:paraId="6C4A5512" w14:textId="2BAA4D40" w:rsidR="00CF750D" w:rsidRPr="00A345BF" w:rsidRDefault="00C41DC2" w:rsidP="00A345BF">
      <w:pPr>
        <w:pStyle w:val="Sinespaciado"/>
        <w:spacing w:line="276" w:lineRule="auto"/>
        <w:jc w:val="both"/>
        <w:rPr>
          <w:rFonts w:ascii="Georgia" w:hAnsi="Georgia" w:cs="Arial"/>
        </w:rPr>
      </w:pPr>
      <w:r w:rsidRPr="00A345BF">
        <w:rPr>
          <w:rFonts w:ascii="Georgia" w:hAnsi="Georgia" w:cs="Arial"/>
        </w:rPr>
        <w:lastRenderedPageBreak/>
        <w:t>Corolario de lo expuesto</w:t>
      </w:r>
      <w:r w:rsidR="003D663C" w:rsidRPr="00A345BF">
        <w:rPr>
          <w:rFonts w:ascii="Georgia" w:hAnsi="Georgia" w:cs="Arial"/>
        </w:rPr>
        <w:t xml:space="preserve">, </w:t>
      </w:r>
      <w:r w:rsidR="00FC71C5" w:rsidRPr="00A345BF">
        <w:rPr>
          <w:rFonts w:ascii="Georgia" w:hAnsi="Georgia" w:cs="Arial"/>
        </w:rPr>
        <w:t>no se repondrá el auto que declaró la deserción del recurso de apelación en contra del fallo de primer grado</w:t>
      </w:r>
      <w:r w:rsidRPr="00A345BF">
        <w:rPr>
          <w:rFonts w:ascii="Georgia" w:hAnsi="Georgia" w:cs="Arial"/>
        </w:rPr>
        <w:t xml:space="preserve"> y</w:t>
      </w:r>
      <w:r w:rsidR="00D559BB" w:rsidRPr="00A345BF">
        <w:rPr>
          <w:rFonts w:ascii="Georgia" w:hAnsi="Georgia" w:cs="Arial"/>
        </w:rPr>
        <w:t>,</w:t>
      </w:r>
      <w:r w:rsidRPr="00A345BF">
        <w:rPr>
          <w:rFonts w:ascii="Georgia" w:hAnsi="Georgia" w:cs="Arial"/>
        </w:rPr>
        <w:t xml:space="preserve"> </w:t>
      </w:r>
      <w:r w:rsidR="004D752B" w:rsidRPr="00A345BF">
        <w:rPr>
          <w:rFonts w:ascii="Georgia" w:hAnsi="Georgia" w:cs="Arial"/>
        </w:rPr>
        <w:t xml:space="preserve">no </w:t>
      </w:r>
      <w:r w:rsidR="1CA2016B" w:rsidRPr="00A345BF">
        <w:rPr>
          <w:rFonts w:ascii="Georgia" w:hAnsi="Georgia" w:cs="Arial"/>
        </w:rPr>
        <w:t xml:space="preserve">habrá </w:t>
      </w:r>
      <w:r w:rsidR="003D663C" w:rsidRPr="00A345BF">
        <w:rPr>
          <w:rFonts w:ascii="Georgia" w:hAnsi="Georgia" w:cs="Arial"/>
        </w:rPr>
        <w:t xml:space="preserve">lugar a conceder la </w:t>
      </w:r>
      <w:r w:rsidR="00E25855" w:rsidRPr="00A345BF">
        <w:rPr>
          <w:rFonts w:ascii="Georgia" w:hAnsi="Georgia" w:cs="Arial"/>
        </w:rPr>
        <w:t>apelación</w:t>
      </w:r>
      <w:r w:rsidR="003D663C" w:rsidRPr="00A345BF">
        <w:rPr>
          <w:rFonts w:ascii="Georgia" w:hAnsi="Georgia" w:cs="Arial"/>
        </w:rPr>
        <w:t xml:space="preserve"> formulada,</w:t>
      </w:r>
      <w:r w:rsidR="00CF750D" w:rsidRPr="00A345BF">
        <w:rPr>
          <w:rFonts w:ascii="Georgia" w:hAnsi="Georgia" w:cs="Arial"/>
        </w:rPr>
        <w:t xml:space="preserve"> pues la misma es improcedente ante una decisión de trámite en segunda instancia. </w:t>
      </w:r>
    </w:p>
    <w:p w14:paraId="15992AFC" w14:textId="77777777" w:rsidR="00CF750D" w:rsidRPr="00A345BF" w:rsidRDefault="00CF750D" w:rsidP="00A345BF">
      <w:pPr>
        <w:pStyle w:val="Sinespaciado"/>
        <w:spacing w:line="276" w:lineRule="auto"/>
        <w:jc w:val="both"/>
        <w:rPr>
          <w:rFonts w:ascii="Georgia" w:hAnsi="Georgia" w:cs="Arial"/>
        </w:rPr>
      </w:pPr>
    </w:p>
    <w:p w14:paraId="3BD9CC31" w14:textId="767E131F" w:rsidR="00CF750D" w:rsidRPr="00A345BF" w:rsidRDefault="00CF750D" w:rsidP="00A345BF">
      <w:pPr>
        <w:pStyle w:val="Sinespaciado"/>
        <w:spacing w:line="276" w:lineRule="auto"/>
        <w:jc w:val="both"/>
        <w:rPr>
          <w:rFonts w:ascii="Georgia" w:hAnsi="Georgia" w:cs="Times New Roman"/>
          <w:shd w:val="clear" w:color="auto" w:fill="FFFFFF"/>
          <w:lang w:val="es-CO"/>
        </w:rPr>
      </w:pPr>
      <w:r w:rsidRPr="00A345BF">
        <w:rPr>
          <w:rFonts w:ascii="Georgia" w:hAnsi="Georgia" w:cs="Arial"/>
        </w:rPr>
        <w:t xml:space="preserve">Ahora, tampoco se estima aplicable lo dispuesto en el parágrafo del artículo 318, CGP, que prevé que cuando el recurrente impugne una providencia con un recurso improcedente, </w:t>
      </w:r>
      <w:r w:rsidR="00D559BB" w:rsidRPr="00A345BF">
        <w:rPr>
          <w:rFonts w:ascii="Georgia" w:hAnsi="Georgia" w:cs="Arial"/>
        </w:rPr>
        <w:t xml:space="preserve">este </w:t>
      </w:r>
      <w:r w:rsidRPr="00A345BF">
        <w:rPr>
          <w:rFonts w:ascii="Georgia" w:hAnsi="Georgia" w:cs="Arial"/>
        </w:rPr>
        <w:t>debe</w:t>
      </w:r>
      <w:r w:rsidR="00D559BB" w:rsidRPr="00A345BF">
        <w:rPr>
          <w:rFonts w:ascii="Georgia" w:hAnsi="Georgia" w:cs="Arial"/>
        </w:rPr>
        <w:t>rá</w:t>
      </w:r>
      <w:r w:rsidRPr="00A345BF">
        <w:rPr>
          <w:rFonts w:ascii="Georgia" w:hAnsi="Georgia" w:cs="Arial"/>
        </w:rPr>
        <w:t xml:space="preserve"> ajustarse al que </w:t>
      </w:r>
      <w:r w:rsidR="633C800B" w:rsidRPr="00A345BF">
        <w:rPr>
          <w:rFonts w:ascii="Georgia" w:hAnsi="Georgia" w:cs="Arial"/>
        </w:rPr>
        <w:t>corresponda</w:t>
      </w:r>
      <w:r w:rsidRPr="00A345BF">
        <w:rPr>
          <w:rFonts w:ascii="Georgia" w:hAnsi="Georgia" w:cs="Arial"/>
        </w:rPr>
        <w:t xml:space="preserve">; </w:t>
      </w:r>
      <w:r w:rsidR="4BABBEA5" w:rsidRPr="00A345BF">
        <w:rPr>
          <w:rFonts w:ascii="Georgia" w:hAnsi="Georgia" w:cs="Arial"/>
        </w:rPr>
        <w:t xml:space="preserve">porque el auto en cuestión, </w:t>
      </w:r>
      <w:r w:rsidRPr="00A345BF">
        <w:rPr>
          <w:rFonts w:ascii="Georgia" w:hAnsi="Georgia" w:cs="Arial"/>
        </w:rPr>
        <w:t xml:space="preserve">no admite </w:t>
      </w:r>
      <w:r w:rsidR="396DC2C0" w:rsidRPr="00A345BF">
        <w:rPr>
          <w:rFonts w:ascii="Georgia" w:hAnsi="Georgia" w:cs="Arial"/>
        </w:rPr>
        <w:t xml:space="preserve">sino </w:t>
      </w:r>
      <w:r w:rsidR="0A04A803" w:rsidRPr="00A345BF">
        <w:rPr>
          <w:rFonts w:ascii="Georgia" w:hAnsi="Georgia" w:cs="Arial"/>
        </w:rPr>
        <w:t xml:space="preserve">el </w:t>
      </w:r>
      <w:r w:rsidRPr="00A345BF">
        <w:rPr>
          <w:rFonts w:ascii="Georgia" w:hAnsi="Georgia" w:cs="Arial"/>
        </w:rPr>
        <w:t xml:space="preserve">recurso aquí desatado. No se trata de una decisión que por su naturaleza sea </w:t>
      </w:r>
      <w:r w:rsidRPr="00A345BF">
        <w:rPr>
          <w:rFonts w:ascii="Georgia" w:hAnsi="Georgia" w:cs="Arial"/>
          <w:b/>
          <w:bCs/>
        </w:rPr>
        <w:t>apelable</w:t>
      </w:r>
      <w:r w:rsidRPr="00A345BF">
        <w:rPr>
          <w:rFonts w:ascii="Georgia" w:hAnsi="Georgia" w:cs="Arial"/>
        </w:rPr>
        <w:t xml:space="preserve"> (Artículo 321, CGP), </w:t>
      </w:r>
      <w:r w:rsidR="732EAB1A" w:rsidRPr="00A345BF">
        <w:rPr>
          <w:rFonts w:ascii="Georgia" w:hAnsi="Georgia" w:cs="Arial"/>
        </w:rPr>
        <w:t xml:space="preserve">en </w:t>
      </w:r>
      <w:r w:rsidRPr="00A345BF">
        <w:rPr>
          <w:rFonts w:ascii="Georgia" w:hAnsi="Georgia" w:cs="Arial"/>
        </w:rPr>
        <w:t xml:space="preserve">cuyo caso </w:t>
      </w:r>
      <w:r w:rsidR="51E4E050" w:rsidRPr="00A345BF">
        <w:rPr>
          <w:rFonts w:ascii="Georgia" w:hAnsi="Georgia" w:cs="Arial"/>
        </w:rPr>
        <w:t xml:space="preserve">sería </w:t>
      </w:r>
      <w:r w:rsidRPr="00A345BF">
        <w:rPr>
          <w:rFonts w:ascii="Georgia" w:hAnsi="Georgia" w:cs="Arial"/>
        </w:rPr>
        <w:t xml:space="preserve">la súplica (Artículo 331-1º, CGP). </w:t>
      </w:r>
    </w:p>
    <w:p w14:paraId="2734A917" w14:textId="77777777" w:rsidR="00CF750D" w:rsidRPr="00A345BF" w:rsidRDefault="00CF750D" w:rsidP="00D7043A">
      <w:pPr>
        <w:pStyle w:val="Sinespaciado"/>
        <w:spacing w:line="276" w:lineRule="auto"/>
        <w:jc w:val="both"/>
        <w:rPr>
          <w:rFonts w:ascii="Georgia" w:hAnsi="Georgia" w:cs="Times New Roman"/>
          <w:shd w:val="clear" w:color="auto" w:fill="FFFFFF"/>
          <w:lang w:val="es-CO"/>
        </w:rPr>
      </w:pPr>
    </w:p>
    <w:p w14:paraId="7C2AC01C" w14:textId="627B8576" w:rsidR="008C4F68" w:rsidRPr="00A345BF" w:rsidRDefault="008C4F68" w:rsidP="00A345BF">
      <w:pPr>
        <w:pStyle w:val="Prrafodelista"/>
        <w:numPr>
          <w:ilvl w:val="0"/>
          <w:numId w:val="15"/>
        </w:numPr>
        <w:spacing w:line="276" w:lineRule="auto"/>
        <w:jc w:val="both"/>
        <w:rPr>
          <w:rFonts w:ascii="Georgia" w:hAnsi="Georgia" w:cs="Arial"/>
          <w:b/>
          <w:smallCaps/>
          <w:sz w:val="24"/>
          <w:szCs w:val="24"/>
        </w:rPr>
      </w:pPr>
      <w:r w:rsidRPr="00A345BF">
        <w:rPr>
          <w:rFonts w:ascii="Georgia" w:hAnsi="Georgia" w:cs="Arial"/>
          <w:b/>
          <w:smallCaps/>
          <w:sz w:val="24"/>
          <w:szCs w:val="24"/>
        </w:rPr>
        <w:t>Las decisiones finales</w:t>
      </w:r>
    </w:p>
    <w:p w14:paraId="7C2AC01D" w14:textId="0187F181" w:rsidR="008C4F68" w:rsidRPr="00A345BF" w:rsidRDefault="008C4F68" w:rsidP="00A345BF">
      <w:pPr>
        <w:pStyle w:val="Textopredeterminado"/>
        <w:spacing w:line="276" w:lineRule="auto"/>
        <w:jc w:val="both"/>
        <w:rPr>
          <w:rFonts w:ascii="Georgia" w:hAnsi="Georgia" w:cs="Arial"/>
          <w:color w:val="auto"/>
          <w:szCs w:val="24"/>
        </w:rPr>
      </w:pPr>
    </w:p>
    <w:p w14:paraId="7C2AC01E" w14:textId="425830A0" w:rsidR="008C4F68" w:rsidRPr="00A345BF" w:rsidRDefault="008C4F68" w:rsidP="00A345BF">
      <w:pPr>
        <w:pStyle w:val="Textopredeterminado"/>
        <w:spacing w:line="276" w:lineRule="auto"/>
        <w:jc w:val="both"/>
        <w:rPr>
          <w:rFonts w:ascii="Georgia" w:hAnsi="Georgia" w:cs="Arial"/>
          <w:color w:val="auto"/>
          <w:szCs w:val="24"/>
        </w:rPr>
      </w:pPr>
      <w:r w:rsidRPr="00A345BF">
        <w:rPr>
          <w:rFonts w:ascii="Georgia" w:hAnsi="Georgia" w:cs="Arial"/>
          <w:color w:val="auto"/>
          <w:szCs w:val="24"/>
        </w:rPr>
        <w:t>Con estribo en las premisas anteriores</w:t>
      </w:r>
      <w:r w:rsidR="00B26A73" w:rsidRPr="00A345BF">
        <w:rPr>
          <w:rFonts w:ascii="Georgia" w:hAnsi="Georgia" w:cs="Arial"/>
          <w:color w:val="auto"/>
          <w:szCs w:val="24"/>
        </w:rPr>
        <w:t>, se dispondrá</w:t>
      </w:r>
      <w:r w:rsidRPr="00A345BF">
        <w:rPr>
          <w:rFonts w:ascii="Georgia" w:hAnsi="Georgia" w:cs="Arial"/>
          <w:color w:val="auto"/>
          <w:szCs w:val="24"/>
        </w:rPr>
        <w:t xml:space="preserve">: </w:t>
      </w:r>
      <w:r w:rsidRPr="00A345BF">
        <w:rPr>
          <w:rFonts w:ascii="Georgia" w:hAnsi="Georgia" w:cs="Arial"/>
          <w:b/>
          <w:color w:val="auto"/>
          <w:szCs w:val="24"/>
        </w:rPr>
        <w:t>(i)</w:t>
      </w:r>
      <w:r w:rsidRPr="00A345BF">
        <w:rPr>
          <w:rFonts w:ascii="Georgia" w:hAnsi="Georgia" w:cs="Arial"/>
          <w:color w:val="auto"/>
          <w:szCs w:val="24"/>
        </w:rPr>
        <w:t xml:space="preserve"> </w:t>
      </w:r>
      <w:r w:rsidR="00C41DC2" w:rsidRPr="00A345BF">
        <w:rPr>
          <w:rFonts w:ascii="Georgia" w:hAnsi="Georgia" w:cs="Arial"/>
          <w:color w:val="auto"/>
          <w:szCs w:val="24"/>
        </w:rPr>
        <w:t>No reponer el proveído que declaró l</w:t>
      </w:r>
      <w:r w:rsidR="00B26A73" w:rsidRPr="00A345BF">
        <w:rPr>
          <w:rFonts w:ascii="Georgia" w:hAnsi="Georgia" w:cs="Arial"/>
          <w:color w:val="auto"/>
          <w:szCs w:val="24"/>
        </w:rPr>
        <w:t>a deserción del recurso</w:t>
      </w:r>
      <w:r w:rsidR="00C41DC2" w:rsidRPr="00A345BF">
        <w:rPr>
          <w:rFonts w:ascii="Georgia" w:hAnsi="Georgia" w:cs="Arial"/>
          <w:color w:val="auto"/>
          <w:szCs w:val="24"/>
        </w:rPr>
        <w:t xml:space="preserve"> contra el fallo de primer grado</w:t>
      </w:r>
      <w:r w:rsidR="00B26A73" w:rsidRPr="00A345BF">
        <w:rPr>
          <w:rFonts w:ascii="Georgia" w:hAnsi="Georgia" w:cs="Arial"/>
          <w:color w:val="auto"/>
          <w:szCs w:val="24"/>
        </w:rPr>
        <w:t xml:space="preserve">; </w:t>
      </w:r>
      <w:r w:rsidR="00B26A73" w:rsidRPr="00A345BF">
        <w:rPr>
          <w:rFonts w:ascii="Georgia" w:hAnsi="Georgia" w:cs="Arial"/>
          <w:b/>
          <w:color w:val="auto"/>
          <w:szCs w:val="24"/>
        </w:rPr>
        <w:t>(ii)</w:t>
      </w:r>
      <w:r w:rsidR="00B26A73" w:rsidRPr="00A345BF">
        <w:rPr>
          <w:rFonts w:ascii="Georgia" w:hAnsi="Georgia" w:cs="Arial"/>
          <w:color w:val="auto"/>
          <w:szCs w:val="24"/>
        </w:rPr>
        <w:t xml:space="preserve"> </w:t>
      </w:r>
      <w:r w:rsidR="007D5AF2" w:rsidRPr="00A345BF">
        <w:rPr>
          <w:rFonts w:ascii="Georgia" w:hAnsi="Georgia" w:cs="Arial"/>
          <w:color w:val="auto"/>
          <w:szCs w:val="24"/>
        </w:rPr>
        <w:t>Se negará la apelación reclamada (Artículo 331, CGP)</w:t>
      </w:r>
      <w:r w:rsidR="00B26A73" w:rsidRPr="00A345BF">
        <w:rPr>
          <w:rFonts w:ascii="Georgia" w:hAnsi="Georgia" w:cs="Arial"/>
          <w:color w:val="auto"/>
          <w:szCs w:val="24"/>
        </w:rPr>
        <w:t xml:space="preserve">; y, </w:t>
      </w:r>
      <w:r w:rsidR="00FA0BC5" w:rsidRPr="00A345BF">
        <w:rPr>
          <w:rFonts w:ascii="Georgia" w:hAnsi="Georgia" w:cs="Arial"/>
          <w:b/>
          <w:color w:val="auto"/>
          <w:szCs w:val="24"/>
        </w:rPr>
        <w:t>(i</w:t>
      </w:r>
      <w:r w:rsidR="00061E04" w:rsidRPr="00A345BF">
        <w:rPr>
          <w:rFonts w:ascii="Georgia" w:hAnsi="Georgia" w:cs="Arial"/>
          <w:b/>
          <w:color w:val="auto"/>
          <w:szCs w:val="24"/>
        </w:rPr>
        <w:t>i</w:t>
      </w:r>
      <w:r w:rsidR="00FA0BC5" w:rsidRPr="00A345BF">
        <w:rPr>
          <w:rFonts w:ascii="Georgia" w:hAnsi="Georgia" w:cs="Arial"/>
          <w:b/>
          <w:color w:val="auto"/>
          <w:szCs w:val="24"/>
        </w:rPr>
        <w:t>i)</w:t>
      </w:r>
      <w:r w:rsidR="00FA0BC5" w:rsidRPr="00A345BF">
        <w:rPr>
          <w:rFonts w:ascii="Georgia" w:hAnsi="Georgia" w:cs="Arial"/>
          <w:color w:val="auto"/>
          <w:szCs w:val="24"/>
        </w:rPr>
        <w:t xml:space="preserve"> </w:t>
      </w:r>
      <w:r w:rsidRPr="00A345BF">
        <w:rPr>
          <w:rFonts w:ascii="Georgia" w:hAnsi="Georgia" w:cs="Arial"/>
          <w:color w:val="auto"/>
          <w:szCs w:val="24"/>
        </w:rPr>
        <w:t>Se advertirá que esta decisión es irrecurrible (Artículo 3</w:t>
      </w:r>
      <w:r w:rsidR="007D5AF2" w:rsidRPr="00A345BF">
        <w:rPr>
          <w:rFonts w:ascii="Georgia" w:hAnsi="Georgia" w:cs="Arial"/>
          <w:color w:val="auto"/>
          <w:szCs w:val="24"/>
        </w:rPr>
        <w:t>18</w:t>
      </w:r>
      <w:r w:rsidRPr="00A345BF">
        <w:rPr>
          <w:rFonts w:ascii="Georgia" w:hAnsi="Georgia" w:cs="Arial"/>
          <w:color w:val="auto"/>
          <w:szCs w:val="24"/>
        </w:rPr>
        <w:t>, CGP).</w:t>
      </w:r>
    </w:p>
    <w:p w14:paraId="02EE5987" w14:textId="77777777" w:rsidR="00173A56" w:rsidRPr="00A345BF" w:rsidRDefault="00173A56" w:rsidP="00A345BF">
      <w:pPr>
        <w:pStyle w:val="Textopredeterminado"/>
        <w:spacing w:line="276" w:lineRule="auto"/>
        <w:jc w:val="both"/>
        <w:rPr>
          <w:rFonts w:ascii="Georgia" w:hAnsi="Georgia" w:cs="Arial"/>
          <w:color w:val="auto"/>
          <w:szCs w:val="24"/>
        </w:rPr>
      </w:pPr>
    </w:p>
    <w:p w14:paraId="7C2AC020" w14:textId="1AC1519B" w:rsidR="008C4F68" w:rsidRPr="00A345BF" w:rsidRDefault="008C4F68" w:rsidP="00A345BF">
      <w:pPr>
        <w:suppressAutoHyphens/>
        <w:spacing w:line="276" w:lineRule="auto"/>
        <w:jc w:val="both"/>
        <w:rPr>
          <w:rFonts w:ascii="Georgia" w:hAnsi="Georgia" w:cs="Arial"/>
          <w:spacing w:val="-3"/>
          <w:sz w:val="24"/>
          <w:szCs w:val="24"/>
        </w:rPr>
      </w:pPr>
      <w:r w:rsidRPr="00A345BF">
        <w:rPr>
          <w:rFonts w:ascii="Georgia" w:hAnsi="Georgia" w:cs="Arial"/>
          <w:sz w:val="24"/>
          <w:szCs w:val="24"/>
        </w:rPr>
        <w:t xml:space="preserve">En mérito de lo discurrido en los acápites precedentes, el </w:t>
      </w:r>
      <w:r w:rsidRPr="00A345BF">
        <w:rPr>
          <w:rFonts w:ascii="Georgia" w:hAnsi="Georgia" w:cs="Arial"/>
          <w:smallCaps/>
          <w:sz w:val="24"/>
          <w:szCs w:val="24"/>
        </w:rPr>
        <w:t>Tribunal Superior del Distrito Judicial de Pereira, Sala Unitaria de Decisión</w:t>
      </w:r>
      <w:r w:rsidRPr="00A345BF">
        <w:rPr>
          <w:rFonts w:ascii="Georgia" w:hAnsi="Georgia" w:cs="Arial"/>
          <w:sz w:val="24"/>
          <w:szCs w:val="24"/>
        </w:rPr>
        <w:t>,</w:t>
      </w:r>
    </w:p>
    <w:p w14:paraId="58F27E0B" w14:textId="77777777" w:rsidR="00207FCF" w:rsidRPr="00A345BF" w:rsidRDefault="00207FCF" w:rsidP="00A345BF">
      <w:pPr>
        <w:pStyle w:val="Sinespaciado"/>
        <w:spacing w:line="276" w:lineRule="auto"/>
        <w:jc w:val="center"/>
        <w:rPr>
          <w:rFonts w:ascii="Georgia" w:hAnsi="Georgia" w:cs="Arial"/>
        </w:rPr>
      </w:pPr>
    </w:p>
    <w:p w14:paraId="7C2AC022" w14:textId="280167A9" w:rsidR="008C4F68" w:rsidRPr="00A345BF" w:rsidRDefault="008C4F68" w:rsidP="00A345BF">
      <w:pPr>
        <w:pStyle w:val="Sinespaciado"/>
        <w:spacing w:line="276" w:lineRule="auto"/>
        <w:jc w:val="center"/>
        <w:rPr>
          <w:rFonts w:ascii="Georgia" w:hAnsi="Georgia" w:cs="Arial"/>
        </w:rPr>
      </w:pPr>
      <w:r w:rsidRPr="00A345BF">
        <w:rPr>
          <w:rFonts w:ascii="Georgia" w:hAnsi="Georgia" w:cs="Arial"/>
        </w:rPr>
        <w:t>R E S U E L V E,</w:t>
      </w:r>
    </w:p>
    <w:p w14:paraId="7C2AC023" w14:textId="44A6F541" w:rsidR="00C12249" w:rsidRPr="00A345BF" w:rsidRDefault="00C12249" w:rsidP="00A345BF">
      <w:pPr>
        <w:pStyle w:val="Sinespaciado"/>
        <w:spacing w:line="276" w:lineRule="auto"/>
        <w:jc w:val="center"/>
        <w:rPr>
          <w:rFonts w:ascii="Georgia" w:hAnsi="Georgia" w:cs="Arial"/>
        </w:rPr>
      </w:pPr>
    </w:p>
    <w:p w14:paraId="2C486A4F" w14:textId="05EDEAF4" w:rsidR="00B26A73" w:rsidRPr="00A345BF" w:rsidRDefault="00B903F5" w:rsidP="00A345BF">
      <w:pPr>
        <w:pStyle w:val="Textopredeterminado"/>
        <w:numPr>
          <w:ilvl w:val="0"/>
          <w:numId w:val="13"/>
        </w:numPr>
        <w:spacing w:line="276" w:lineRule="auto"/>
        <w:jc w:val="both"/>
        <w:rPr>
          <w:rFonts w:ascii="Georgia" w:hAnsi="Georgia" w:cs="Arial"/>
          <w:color w:val="auto"/>
          <w:szCs w:val="24"/>
        </w:rPr>
      </w:pPr>
      <w:r w:rsidRPr="00A345BF">
        <w:rPr>
          <w:rFonts w:ascii="Georgia" w:hAnsi="Georgia" w:cs="Arial"/>
          <w:bCs/>
          <w:color w:val="auto"/>
          <w:szCs w:val="24"/>
        </w:rPr>
        <w:t xml:space="preserve">NO REPONER </w:t>
      </w:r>
      <w:r w:rsidR="00B26A73" w:rsidRPr="00A345BF">
        <w:rPr>
          <w:rFonts w:ascii="Georgia" w:hAnsi="Georgia" w:cs="Arial"/>
          <w:color w:val="auto"/>
          <w:szCs w:val="24"/>
        </w:rPr>
        <w:t xml:space="preserve">el auto emitido el </w:t>
      </w:r>
      <w:r w:rsidR="007D5AF2" w:rsidRPr="00A345BF">
        <w:rPr>
          <w:rFonts w:ascii="Georgia" w:hAnsi="Georgia" w:cs="Arial"/>
          <w:color w:val="auto"/>
          <w:szCs w:val="24"/>
        </w:rPr>
        <w:t>02</w:t>
      </w:r>
      <w:r w:rsidR="00B26A73" w:rsidRPr="00A345BF">
        <w:rPr>
          <w:rFonts w:ascii="Georgia" w:hAnsi="Georgia" w:cs="Arial"/>
          <w:color w:val="auto"/>
          <w:szCs w:val="24"/>
        </w:rPr>
        <w:t>-</w:t>
      </w:r>
      <w:r w:rsidR="007D5AF2" w:rsidRPr="00A345BF">
        <w:rPr>
          <w:rFonts w:ascii="Georgia" w:hAnsi="Georgia" w:cs="Arial"/>
          <w:color w:val="auto"/>
          <w:szCs w:val="24"/>
        </w:rPr>
        <w:t>0</w:t>
      </w:r>
      <w:r w:rsidR="00B26A73" w:rsidRPr="00A345BF">
        <w:rPr>
          <w:rFonts w:ascii="Georgia" w:hAnsi="Georgia" w:cs="Arial"/>
          <w:color w:val="auto"/>
          <w:szCs w:val="24"/>
        </w:rPr>
        <w:t>2-202</w:t>
      </w:r>
      <w:r w:rsidR="007D5AF2" w:rsidRPr="00A345BF">
        <w:rPr>
          <w:rFonts w:ascii="Georgia" w:hAnsi="Georgia" w:cs="Arial"/>
          <w:color w:val="auto"/>
          <w:szCs w:val="24"/>
        </w:rPr>
        <w:t>1</w:t>
      </w:r>
      <w:r w:rsidR="00B26A73" w:rsidRPr="00A345BF">
        <w:rPr>
          <w:rFonts w:ascii="Georgia" w:hAnsi="Georgia" w:cs="Arial"/>
          <w:color w:val="auto"/>
          <w:szCs w:val="24"/>
        </w:rPr>
        <w:t xml:space="preserve"> que declaró desierto el recurso de apelación contra la sentencia de primer grado.</w:t>
      </w:r>
    </w:p>
    <w:p w14:paraId="7C2AC025" w14:textId="45A50D59" w:rsidR="00C12249" w:rsidRPr="00A345BF" w:rsidRDefault="00C12249" w:rsidP="00A345BF">
      <w:pPr>
        <w:pStyle w:val="Textopredeterminado"/>
        <w:spacing w:line="276" w:lineRule="auto"/>
        <w:ind w:left="360"/>
        <w:jc w:val="both"/>
        <w:rPr>
          <w:rFonts w:ascii="Georgia" w:hAnsi="Georgia" w:cs="Arial"/>
          <w:color w:val="auto"/>
          <w:szCs w:val="24"/>
        </w:rPr>
      </w:pPr>
    </w:p>
    <w:p w14:paraId="112F4272" w14:textId="70BB9FA2" w:rsidR="00B26A73" w:rsidRDefault="00B26A73" w:rsidP="00A345BF">
      <w:pPr>
        <w:pStyle w:val="Textopredeterminado"/>
        <w:numPr>
          <w:ilvl w:val="0"/>
          <w:numId w:val="13"/>
        </w:numPr>
        <w:spacing w:line="276" w:lineRule="auto"/>
        <w:jc w:val="both"/>
        <w:rPr>
          <w:rFonts w:ascii="Georgia" w:hAnsi="Georgia" w:cs="Arial"/>
          <w:color w:val="auto"/>
          <w:szCs w:val="24"/>
        </w:rPr>
      </w:pPr>
      <w:r w:rsidRPr="00A345BF">
        <w:rPr>
          <w:rFonts w:ascii="Georgia" w:hAnsi="Georgia" w:cs="Arial"/>
          <w:color w:val="auto"/>
          <w:szCs w:val="24"/>
        </w:rPr>
        <w:t xml:space="preserve">DECLARAR improcedente la </w:t>
      </w:r>
      <w:r w:rsidR="007D5AF2" w:rsidRPr="00A345BF">
        <w:rPr>
          <w:rFonts w:ascii="Georgia" w:hAnsi="Georgia" w:cs="Arial"/>
          <w:color w:val="auto"/>
          <w:szCs w:val="24"/>
        </w:rPr>
        <w:t xml:space="preserve">apelación </w:t>
      </w:r>
      <w:r w:rsidRPr="00A345BF">
        <w:rPr>
          <w:rFonts w:ascii="Georgia" w:hAnsi="Georgia" w:cs="Arial"/>
          <w:color w:val="auto"/>
          <w:szCs w:val="24"/>
        </w:rPr>
        <w:t xml:space="preserve">propuesta, por incumplirse el presupuesto de </w:t>
      </w:r>
      <w:r w:rsidR="007D5AF2" w:rsidRPr="00A345BF">
        <w:rPr>
          <w:rFonts w:ascii="Georgia" w:hAnsi="Georgia" w:cs="Arial"/>
          <w:color w:val="auto"/>
          <w:szCs w:val="24"/>
        </w:rPr>
        <w:t>procedencia</w:t>
      </w:r>
      <w:r w:rsidRPr="00A345BF">
        <w:rPr>
          <w:rFonts w:ascii="Georgia" w:hAnsi="Georgia" w:cs="Arial"/>
          <w:color w:val="auto"/>
          <w:szCs w:val="24"/>
        </w:rPr>
        <w:t>.</w:t>
      </w:r>
    </w:p>
    <w:p w14:paraId="68E80063" w14:textId="77777777" w:rsidR="00A345BF" w:rsidRPr="00A345BF" w:rsidRDefault="00A345BF" w:rsidP="00A345BF">
      <w:pPr>
        <w:pStyle w:val="Textopredeterminado"/>
        <w:spacing w:line="276" w:lineRule="auto"/>
        <w:ind w:left="360"/>
        <w:jc w:val="both"/>
        <w:rPr>
          <w:rFonts w:ascii="Georgia" w:hAnsi="Georgia" w:cs="Arial"/>
          <w:color w:val="auto"/>
          <w:szCs w:val="24"/>
        </w:rPr>
      </w:pPr>
    </w:p>
    <w:p w14:paraId="7C2AC026" w14:textId="0250EE6B" w:rsidR="000E1027" w:rsidRPr="00A345BF" w:rsidRDefault="008C4F68" w:rsidP="00A345BF">
      <w:pPr>
        <w:pStyle w:val="Textopredeterminado"/>
        <w:numPr>
          <w:ilvl w:val="0"/>
          <w:numId w:val="12"/>
        </w:numPr>
        <w:spacing w:line="276" w:lineRule="auto"/>
        <w:jc w:val="both"/>
        <w:textAlignment w:val="baseline"/>
        <w:rPr>
          <w:rFonts w:ascii="Georgia" w:hAnsi="Georgia" w:cs="Arial"/>
          <w:color w:val="auto"/>
          <w:szCs w:val="24"/>
        </w:rPr>
      </w:pPr>
      <w:r w:rsidRPr="00A345BF">
        <w:rPr>
          <w:rFonts w:ascii="Georgia" w:hAnsi="Georgia" w:cs="Arial"/>
          <w:color w:val="auto"/>
          <w:szCs w:val="24"/>
        </w:rPr>
        <w:t>ADVERTIR que esta decisión es irrecurrible.</w:t>
      </w:r>
    </w:p>
    <w:p w14:paraId="7C2AC027" w14:textId="6BE116F7" w:rsidR="005776F2" w:rsidRPr="00A345BF" w:rsidRDefault="005776F2" w:rsidP="00A345BF">
      <w:pPr>
        <w:spacing w:line="276" w:lineRule="auto"/>
        <w:jc w:val="center"/>
        <w:rPr>
          <w:rFonts w:ascii="Georgia" w:hAnsi="Georgia" w:cs="Arial"/>
          <w:smallCaps/>
          <w:sz w:val="24"/>
          <w:szCs w:val="24"/>
        </w:rPr>
      </w:pPr>
    </w:p>
    <w:p w14:paraId="5E8BA9F4" w14:textId="0F2C2349" w:rsidR="00A345BF" w:rsidRPr="00A345BF" w:rsidRDefault="00A345BF" w:rsidP="00A345BF">
      <w:pPr>
        <w:tabs>
          <w:tab w:val="center" w:pos="4845"/>
          <w:tab w:val="left" w:pos="6463"/>
        </w:tabs>
        <w:spacing w:line="276" w:lineRule="auto"/>
        <w:jc w:val="center"/>
        <w:rPr>
          <w:rFonts w:ascii="Georgia" w:hAnsi="Georgia" w:cs="Arial"/>
          <w:smallCaps/>
          <w:sz w:val="26"/>
          <w:szCs w:val="26"/>
          <w:lang w:val="es-CO"/>
        </w:rPr>
      </w:pPr>
      <w:r w:rsidRPr="00A345BF">
        <w:rPr>
          <w:rFonts w:ascii="Georgia" w:hAnsi="Georgia" w:cs="Arial"/>
          <w:smallCaps/>
          <w:sz w:val="26"/>
          <w:szCs w:val="26"/>
          <w:lang w:val="es-CO"/>
        </w:rPr>
        <w:t>N O T I F Í Q U E S E</w:t>
      </w:r>
    </w:p>
    <w:p w14:paraId="2F03DB2B" w14:textId="77777777" w:rsidR="00A345BF" w:rsidRPr="00A345BF" w:rsidRDefault="00A345BF" w:rsidP="00A345BF">
      <w:pPr>
        <w:spacing w:line="276" w:lineRule="auto"/>
        <w:jc w:val="center"/>
        <w:rPr>
          <w:rFonts w:ascii="Georgia" w:hAnsi="Georgia"/>
          <w:w w:val="150"/>
          <w:sz w:val="26"/>
          <w:szCs w:val="26"/>
          <w:lang w:val="es-CO"/>
        </w:rPr>
      </w:pPr>
    </w:p>
    <w:p w14:paraId="41FBDF2E" w14:textId="77777777" w:rsidR="00A345BF" w:rsidRPr="00A345BF" w:rsidRDefault="00A345BF" w:rsidP="00A345BF">
      <w:pPr>
        <w:spacing w:line="276" w:lineRule="auto"/>
        <w:jc w:val="center"/>
        <w:rPr>
          <w:rFonts w:ascii="Georgia" w:hAnsi="Georgia"/>
          <w:w w:val="150"/>
          <w:sz w:val="26"/>
          <w:szCs w:val="26"/>
          <w:lang w:val="es-CO"/>
        </w:rPr>
      </w:pPr>
    </w:p>
    <w:p w14:paraId="76ADCA63" w14:textId="77777777" w:rsidR="00A345BF" w:rsidRPr="00A345BF" w:rsidRDefault="00A345BF" w:rsidP="00A345BF">
      <w:pPr>
        <w:spacing w:line="276" w:lineRule="auto"/>
        <w:jc w:val="center"/>
        <w:rPr>
          <w:rFonts w:ascii="Georgia" w:hAnsi="Georgia"/>
          <w:w w:val="150"/>
          <w:sz w:val="26"/>
          <w:szCs w:val="26"/>
          <w:lang w:val="es-CO"/>
        </w:rPr>
      </w:pPr>
    </w:p>
    <w:p w14:paraId="043A40A3" w14:textId="77777777" w:rsidR="00A345BF" w:rsidRPr="00A345BF" w:rsidRDefault="00A345BF" w:rsidP="00A345BF">
      <w:pPr>
        <w:spacing w:line="276" w:lineRule="auto"/>
        <w:jc w:val="center"/>
        <w:rPr>
          <w:rFonts w:ascii="Georgia" w:hAnsi="Georgia"/>
          <w:i/>
          <w:iCs/>
          <w:w w:val="150"/>
          <w:sz w:val="26"/>
          <w:szCs w:val="26"/>
          <w:lang w:val="en-US"/>
        </w:rPr>
      </w:pPr>
      <w:r w:rsidRPr="00A345BF">
        <w:rPr>
          <w:rFonts w:ascii="Georgia" w:hAnsi="Georgia"/>
          <w:i/>
          <w:iCs/>
          <w:w w:val="150"/>
          <w:sz w:val="26"/>
          <w:szCs w:val="26"/>
          <w:lang w:val="en-US"/>
        </w:rPr>
        <w:t>DUBERNEY GRISALES HERRERA</w:t>
      </w:r>
    </w:p>
    <w:p w14:paraId="389AA52E" w14:textId="2C4B53FE" w:rsidR="00A62B92" w:rsidRPr="00BC38F2" w:rsidRDefault="00A345BF" w:rsidP="00BC38F2">
      <w:pPr>
        <w:tabs>
          <w:tab w:val="center" w:pos="4703"/>
          <w:tab w:val="right" w:pos="9407"/>
        </w:tabs>
        <w:spacing w:line="276" w:lineRule="auto"/>
        <w:jc w:val="center"/>
        <w:rPr>
          <w:rFonts w:ascii="Georgia" w:hAnsi="Georgia"/>
          <w:w w:val="150"/>
          <w:sz w:val="22"/>
          <w:szCs w:val="26"/>
          <w:lang w:val="en-US"/>
        </w:rPr>
      </w:pPr>
      <w:r w:rsidRPr="00A345BF">
        <w:rPr>
          <w:rFonts w:ascii="Georgia" w:hAnsi="Georgia"/>
          <w:w w:val="150"/>
          <w:sz w:val="22"/>
          <w:szCs w:val="26"/>
          <w:lang w:val="en-US"/>
        </w:rPr>
        <w:t>M A G I S T R A D O</w:t>
      </w:r>
    </w:p>
    <w:sectPr w:rsidR="00A62B92" w:rsidRPr="00BC38F2" w:rsidSect="00A345BF">
      <w:headerReference w:type="default" r:id="rId12"/>
      <w:footerReference w:type="default" r:id="rId13"/>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51FC1A" w16cex:dateUtc="2021-02-01T19:17:24.672Z"/>
  <w16cex:commentExtensible w16cex:durableId="0CD9C3B0" w16cex:dateUtc="2021-02-01T19:24:38.592Z"/>
  <w16cex:commentExtensible w16cex:durableId="29A6DC2D" w16cex:dateUtc="2021-02-01T19:29:25.539Z"/>
  <w16cex:commentExtensible w16cex:durableId="322D97C6" w16cex:dateUtc="2021-02-01T19:34:14.564Z"/>
  <w16cex:commentExtensible w16cex:durableId="0406BC2B" w16cex:dateUtc="2021-02-01T19:41:55.345Z"/>
  <w16cex:commentExtensible w16cex:durableId="54165570" w16cex:dateUtc="2021-02-01T19:46:30.015Z"/>
  <w16cex:commentExtensible w16cex:durableId="2F2882B8" w16cex:dateUtc="2021-02-01T20:15:19.532Z"/>
  <w16cex:commentExtensible w16cex:durableId="749B242B" w16cex:dateUtc="2021-02-01T20:17:43.795Z"/>
  <w16cex:commentExtensible w16cex:durableId="51A33B66" w16cex:dateUtc="2021-02-01T20:18:20.469Z"/>
  <w16cex:commentExtensible w16cex:durableId="26E9DB7A" w16cex:dateUtc="2021-02-02T11:51:38.931Z"/>
  <w16cex:commentExtensible w16cex:durableId="00D8BE5C" w16cex:dateUtc="2021-02-02T11:53:29.162Z"/>
  <w16cex:commentExtensible w16cex:durableId="0B3617F2" w16cex:dateUtc="2021-02-02T11:58:43.402Z"/>
  <w16cex:commentExtensible w16cex:durableId="7D301784" w16cex:dateUtc="2021-02-26T19:22:25.7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D3EA" w14:textId="77777777" w:rsidR="00D04441" w:rsidRDefault="00D04441" w:rsidP="009A1240">
      <w:r>
        <w:separator/>
      </w:r>
    </w:p>
  </w:endnote>
  <w:endnote w:type="continuationSeparator" w:id="0">
    <w:p w14:paraId="57E565F6" w14:textId="77777777" w:rsidR="00D04441" w:rsidRDefault="00D04441"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A" w14:textId="77777777" w:rsidR="00045CE3" w:rsidRPr="00276704" w:rsidRDefault="00045CE3" w:rsidP="00045CE3">
    <w:pPr>
      <w:pStyle w:val="Piedepgina"/>
      <w:pBdr>
        <w:bottom w:val="double" w:sz="6" w:space="1" w:color="auto"/>
      </w:pBdr>
      <w:spacing w:line="360" w:lineRule="auto"/>
      <w:jc w:val="right"/>
      <w:rPr>
        <w:rFonts w:ascii="Georgia" w:hAnsi="Georgia" w:cs="Arial"/>
        <w:spacing w:val="20"/>
        <w:w w:val="200"/>
        <w:sz w:val="14"/>
        <w:szCs w:val="10"/>
        <w:lang w:val="es-CO"/>
      </w:rPr>
    </w:pPr>
  </w:p>
  <w:p w14:paraId="7C2AC03B" w14:textId="77777777" w:rsidR="00045CE3" w:rsidRPr="00276704" w:rsidRDefault="00045CE3" w:rsidP="00045CE3">
    <w:pPr>
      <w:pStyle w:val="Piedepgina"/>
      <w:spacing w:line="360" w:lineRule="auto"/>
      <w:jc w:val="right"/>
      <w:rPr>
        <w:rFonts w:ascii="Georgia" w:hAnsi="Georgia" w:cs="Arial"/>
        <w:spacing w:val="20"/>
        <w:w w:val="200"/>
        <w:sz w:val="14"/>
        <w:szCs w:val="10"/>
        <w:lang w:val="es-CO"/>
      </w:rPr>
    </w:pPr>
  </w:p>
  <w:p w14:paraId="7C2AC03C" w14:textId="77777777" w:rsidR="003C5098" w:rsidRPr="00276704" w:rsidRDefault="003C5098" w:rsidP="003C5098">
    <w:pPr>
      <w:pStyle w:val="Piedepgina"/>
      <w:spacing w:line="360" w:lineRule="auto"/>
      <w:jc w:val="right"/>
      <w:rPr>
        <w:rFonts w:ascii="Georgia" w:hAnsi="Georgia" w:cs="Arial"/>
        <w:spacing w:val="20"/>
        <w:w w:val="200"/>
        <w:sz w:val="10"/>
        <w:szCs w:val="10"/>
      </w:rPr>
    </w:pPr>
    <w:r w:rsidRPr="00276704">
      <w:rPr>
        <w:rFonts w:ascii="Georgia" w:hAnsi="Georgia" w:cs="Arial"/>
        <w:spacing w:val="20"/>
        <w:w w:val="200"/>
        <w:sz w:val="14"/>
        <w:szCs w:val="14"/>
      </w:rPr>
      <w:t>T</w:t>
    </w:r>
    <w:r w:rsidRPr="00276704">
      <w:rPr>
        <w:rFonts w:ascii="Georgia" w:hAnsi="Georgia" w:cs="Arial"/>
        <w:spacing w:val="20"/>
        <w:w w:val="200"/>
        <w:sz w:val="10"/>
        <w:szCs w:val="10"/>
      </w:rPr>
      <w:t xml:space="preserve">RIBUNAL </w:t>
    </w:r>
    <w:r w:rsidRPr="00276704">
      <w:rPr>
        <w:rFonts w:ascii="Georgia" w:hAnsi="Georgia" w:cs="Arial"/>
        <w:spacing w:val="20"/>
        <w:w w:val="200"/>
        <w:sz w:val="14"/>
        <w:szCs w:val="14"/>
      </w:rPr>
      <w:t>S</w:t>
    </w:r>
    <w:r w:rsidRPr="00276704">
      <w:rPr>
        <w:rFonts w:ascii="Georgia" w:hAnsi="Georgia" w:cs="Arial"/>
        <w:spacing w:val="20"/>
        <w:w w:val="200"/>
        <w:sz w:val="10"/>
        <w:szCs w:val="10"/>
      </w:rPr>
      <w:t xml:space="preserve">UPERIOR DE </w:t>
    </w:r>
    <w:r w:rsidRPr="00276704">
      <w:rPr>
        <w:rFonts w:ascii="Georgia" w:hAnsi="Georgia" w:cs="Arial"/>
        <w:spacing w:val="20"/>
        <w:w w:val="200"/>
        <w:sz w:val="14"/>
        <w:szCs w:val="14"/>
      </w:rPr>
      <w:t>P</w:t>
    </w:r>
    <w:r w:rsidRPr="00276704">
      <w:rPr>
        <w:rFonts w:ascii="Georgia" w:hAnsi="Georgia" w:cs="Arial"/>
        <w:spacing w:val="20"/>
        <w:w w:val="200"/>
        <w:sz w:val="10"/>
        <w:szCs w:val="10"/>
      </w:rPr>
      <w:t>EREIRA</w:t>
    </w:r>
  </w:p>
  <w:p w14:paraId="7C2AC03D" w14:textId="77777777" w:rsidR="00045CE3" w:rsidRPr="00276704" w:rsidRDefault="00045CE3" w:rsidP="00045CE3">
    <w:pPr>
      <w:pStyle w:val="Piedepgina"/>
      <w:jc w:val="right"/>
      <w:rPr>
        <w:rFonts w:ascii="Georgia" w:hAnsi="Georgia"/>
      </w:rPr>
    </w:pPr>
    <w:r w:rsidRPr="00276704">
      <w:rPr>
        <w:rFonts w:ascii="Georgia" w:hAnsi="Georgia" w:cs="Arial"/>
        <w:spacing w:val="20"/>
        <w:w w:val="200"/>
        <w:sz w:val="10"/>
        <w:szCs w:val="10"/>
        <w:lang w:val="es-CO"/>
      </w:rPr>
      <w:t>M</w:t>
    </w:r>
    <w:r w:rsidR="00D851DA" w:rsidRPr="00276704">
      <w:rPr>
        <w:rFonts w:ascii="Georgia" w:hAnsi="Georgia" w:cs="Arial"/>
        <w:spacing w:val="20"/>
        <w:w w:val="200"/>
        <w:sz w:val="10"/>
        <w:szCs w:val="10"/>
        <w:lang w:val="es-CO"/>
      </w:rPr>
      <w:t>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D</w:t>
    </w:r>
    <w:r w:rsidRPr="00276704">
      <w:rPr>
        <w:rFonts w:ascii="Georgia" w:hAnsi="Georgia" w:cs="Arial"/>
        <w:spacing w:val="20"/>
        <w:w w:val="200"/>
        <w:sz w:val="8"/>
        <w:szCs w:val="10"/>
        <w:lang w:val="es-CO"/>
      </w:rPr>
      <w:t>UBERNEY</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G</w:t>
    </w:r>
    <w:r w:rsidRPr="00276704">
      <w:rPr>
        <w:rFonts w:ascii="Georgia" w:hAnsi="Georgia" w:cs="Arial"/>
        <w:spacing w:val="20"/>
        <w:w w:val="200"/>
        <w:sz w:val="8"/>
        <w:szCs w:val="10"/>
        <w:lang w:val="es-CO"/>
      </w:rPr>
      <w:t>RISALES</w:t>
    </w:r>
    <w:r w:rsidRPr="00276704">
      <w:rPr>
        <w:rFonts w:ascii="Georgia" w:hAnsi="Georgia" w:cs="Arial"/>
        <w:spacing w:val="20"/>
        <w:w w:val="200"/>
        <w:sz w:val="10"/>
        <w:szCs w:val="10"/>
        <w:lang w:val="es-CO"/>
      </w:rPr>
      <w:t xml:space="preserve"> </w:t>
    </w:r>
    <w:r w:rsidRPr="00276704">
      <w:rPr>
        <w:rFonts w:ascii="Georgia" w:hAnsi="Georgia" w:cs="Arial"/>
        <w:spacing w:val="20"/>
        <w:w w:val="200"/>
        <w:sz w:val="12"/>
        <w:szCs w:val="10"/>
        <w:lang w:val="es-CO"/>
      </w:rPr>
      <w:t>H</w:t>
    </w:r>
    <w:r w:rsidRPr="00276704">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F9DA" w14:textId="77777777" w:rsidR="00D04441" w:rsidRDefault="00D04441" w:rsidP="009A1240">
      <w:r>
        <w:separator/>
      </w:r>
    </w:p>
  </w:footnote>
  <w:footnote w:type="continuationSeparator" w:id="0">
    <w:p w14:paraId="584FF28A" w14:textId="77777777" w:rsidR="00D04441" w:rsidRDefault="00D04441" w:rsidP="009A1240">
      <w:r>
        <w:continuationSeparator/>
      </w:r>
    </w:p>
  </w:footnote>
  <w:footnote w:id="1">
    <w:p w14:paraId="05FD2CAA" w14:textId="77777777" w:rsidR="008C16FC" w:rsidRPr="00A345BF" w:rsidRDefault="008C16FC" w:rsidP="00A345BF">
      <w:pPr>
        <w:pStyle w:val="Textonotapie"/>
        <w:jc w:val="both"/>
        <w:rPr>
          <w:rFonts w:ascii="Century" w:hAnsi="Century"/>
          <w:lang w:val="es-CO"/>
        </w:rPr>
      </w:pPr>
      <w:r w:rsidRPr="00A345BF">
        <w:rPr>
          <w:rStyle w:val="Refdenotaalpie"/>
          <w:rFonts w:ascii="Century" w:hAnsi="Century"/>
        </w:rPr>
        <w:footnoteRef/>
      </w:r>
      <w:r w:rsidRPr="00A345BF">
        <w:rPr>
          <w:rFonts w:ascii="Century" w:hAnsi="Century"/>
        </w:rPr>
        <w:t xml:space="preserve"> </w:t>
      </w:r>
      <w:r w:rsidRPr="00A345BF">
        <w:rPr>
          <w:rFonts w:ascii="Century" w:hAnsi="Century" w:cs="Calibri"/>
          <w:lang w:val="es-CO"/>
        </w:rPr>
        <w:t>FORERO S., Jorge. Actividad probatoria en la segunda instancia. Memorias del XXIX Congreso de derecho Procesal, 2018, ICDP, p.307 ss.</w:t>
      </w:r>
    </w:p>
  </w:footnote>
  <w:footnote w:id="2">
    <w:p w14:paraId="5CA71AEC" w14:textId="77777777" w:rsidR="008C16FC" w:rsidRPr="00A345BF" w:rsidRDefault="008C16FC" w:rsidP="00A345BF">
      <w:pPr>
        <w:pStyle w:val="Textonotapie"/>
        <w:jc w:val="both"/>
        <w:rPr>
          <w:rFonts w:ascii="Century" w:hAnsi="Century"/>
          <w:lang w:val="es-CO"/>
        </w:rPr>
      </w:pPr>
      <w:r w:rsidRPr="00A345BF">
        <w:rPr>
          <w:rStyle w:val="Refdenotaalpie"/>
          <w:rFonts w:ascii="Century" w:hAnsi="Century"/>
        </w:rPr>
        <w:footnoteRef/>
      </w:r>
      <w:r w:rsidRPr="00A345BF">
        <w:rPr>
          <w:rFonts w:ascii="Century" w:hAnsi="Century"/>
        </w:rPr>
        <w:t xml:space="preserve"> </w:t>
      </w:r>
      <w:r w:rsidRPr="00A345BF">
        <w:rPr>
          <w:rFonts w:ascii="Century" w:hAnsi="Century"/>
          <w:lang w:val="es-CO"/>
        </w:rPr>
        <w:t>ESCOBAR V. Édgar G. Los recursos en el Código General del Proceso. Librería jurídica Sánchez R. Ltda. 2015, p.37.</w:t>
      </w:r>
    </w:p>
  </w:footnote>
  <w:footnote w:id="3">
    <w:p w14:paraId="11C0AD2C" w14:textId="77777777" w:rsidR="008C16FC" w:rsidRPr="00A345BF" w:rsidRDefault="008C16FC" w:rsidP="00A345BF">
      <w:pPr>
        <w:pStyle w:val="Textonotapie"/>
        <w:jc w:val="both"/>
        <w:rPr>
          <w:rFonts w:ascii="Century" w:hAnsi="Century"/>
        </w:rPr>
      </w:pPr>
      <w:r w:rsidRPr="00A345BF">
        <w:rPr>
          <w:rFonts w:ascii="Century" w:hAnsi="Century"/>
          <w:vertAlign w:val="superscript"/>
        </w:rPr>
        <w:footnoteRef/>
      </w:r>
      <w:r w:rsidRPr="00A345BF">
        <w:rPr>
          <w:rFonts w:ascii="Century" w:hAnsi="Century"/>
        </w:rPr>
        <w:t xml:space="preserve"> </w:t>
      </w:r>
      <w:r w:rsidRPr="00A345BF">
        <w:rPr>
          <w:rFonts w:ascii="Century" w:hAnsi="Century"/>
          <w:lang w:val="es-CO"/>
        </w:rPr>
        <w:t>LÓPEZ B., Hernán F. Código General del Proceso, parte general, Bogotá DC, Dupre editores, 2016, p.769-776</w:t>
      </w:r>
      <w:r w:rsidRPr="00A345BF">
        <w:rPr>
          <w:rFonts w:ascii="Century" w:hAnsi="Century"/>
        </w:rPr>
        <w:t>.</w:t>
      </w:r>
    </w:p>
  </w:footnote>
  <w:footnote w:id="4">
    <w:p w14:paraId="27C037DE" w14:textId="77777777" w:rsidR="008C16FC" w:rsidRPr="00A345BF" w:rsidRDefault="008C16FC" w:rsidP="00A345BF">
      <w:pPr>
        <w:pStyle w:val="Textonotapie"/>
        <w:jc w:val="both"/>
        <w:rPr>
          <w:rFonts w:ascii="Century" w:hAnsi="Century"/>
        </w:rPr>
      </w:pPr>
      <w:r w:rsidRPr="00A345BF">
        <w:rPr>
          <w:rFonts w:ascii="Century" w:hAnsi="Century"/>
          <w:vertAlign w:val="superscript"/>
        </w:rPr>
        <w:footnoteRef/>
      </w:r>
      <w:r w:rsidRPr="00A345BF">
        <w:rPr>
          <w:rFonts w:ascii="Century" w:hAnsi="Century"/>
        </w:rPr>
        <w:t xml:space="preserve"> PARRA Q., Jairo. Derecho procesal civil, tomo I, Santafé de Bogotá D.C., Temis, 1992, p.276.</w:t>
      </w:r>
    </w:p>
  </w:footnote>
  <w:footnote w:id="5">
    <w:p w14:paraId="142C130C" w14:textId="77777777" w:rsidR="008C16FC" w:rsidRPr="00A345BF" w:rsidRDefault="008C16FC" w:rsidP="00A345BF">
      <w:pPr>
        <w:pStyle w:val="Sinespaciado"/>
        <w:jc w:val="both"/>
        <w:rPr>
          <w:rFonts w:ascii="Century" w:hAnsi="Century"/>
          <w:sz w:val="20"/>
          <w:szCs w:val="20"/>
        </w:rPr>
      </w:pPr>
      <w:r w:rsidRPr="00A345BF">
        <w:rPr>
          <w:rFonts w:ascii="Century" w:hAnsi="Century"/>
          <w:sz w:val="20"/>
          <w:szCs w:val="20"/>
          <w:vertAlign w:val="superscript"/>
        </w:rPr>
        <w:footnoteRef/>
      </w:r>
      <w:r w:rsidRPr="00A345BF">
        <w:rPr>
          <w:rFonts w:ascii="Century" w:hAnsi="Century"/>
          <w:sz w:val="20"/>
          <w:szCs w:val="20"/>
        </w:rPr>
        <w:t xml:space="preserve"> </w:t>
      </w:r>
      <w:r w:rsidRPr="00A345BF">
        <w:rPr>
          <w:rFonts w:ascii="Century" w:hAnsi="Century"/>
          <w:sz w:val="20"/>
          <w:szCs w:val="20"/>
          <w:lang w:val="es-CO"/>
        </w:rPr>
        <w:t xml:space="preserve">LÓPEZ B., Hernán F. </w:t>
      </w:r>
      <w:r w:rsidRPr="00A345BF">
        <w:rPr>
          <w:rFonts w:ascii="Century" w:hAnsi="Century"/>
          <w:sz w:val="20"/>
          <w:szCs w:val="20"/>
        </w:rPr>
        <w:t>Ob. cit., p.769.</w:t>
      </w:r>
    </w:p>
  </w:footnote>
  <w:footnote w:id="6">
    <w:p w14:paraId="79E36D33" w14:textId="4922A27D" w:rsidR="008C16FC" w:rsidRPr="00A345BF" w:rsidRDefault="008C16FC" w:rsidP="00A345BF">
      <w:pPr>
        <w:pStyle w:val="Textonotapie"/>
        <w:jc w:val="both"/>
        <w:rPr>
          <w:rFonts w:ascii="Century" w:hAnsi="Century"/>
          <w:lang w:val="es-CO"/>
        </w:rPr>
      </w:pPr>
      <w:r w:rsidRPr="00A345BF">
        <w:rPr>
          <w:rStyle w:val="Refdenotaalpie"/>
          <w:rFonts w:ascii="Century" w:hAnsi="Century"/>
        </w:rPr>
        <w:footnoteRef/>
      </w:r>
      <w:r w:rsidRPr="00A345BF">
        <w:rPr>
          <w:rFonts w:ascii="Century" w:hAnsi="Century"/>
        </w:rPr>
        <w:t xml:space="preserve"> </w:t>
      </w:r>
      <w:r w:rsidRPr="00A345BF">
        <w:rPr>
          <w:rFonts w:ascii="Century" w:hAnsi="Century"/>
          <w:lang w:val="es-CO"/>
        </w:rPr>
        <w:t>ROJAS G., Miguel E. Lecciones de derecho procesal, procedimiento civil, tomo II, ESAJU, 20</w:t>
      </w:r>
      <w:r w:rsidR="00164689" w:rsidRPr="00A345BF">
        <w:rPr>
          <w:rFonts w:ascii="Century" w:hAnsi="Century"/>
          <w:lang w:val="es-CO"/>
        </w:rPr>
        <w:t>20</w:t>
      </w:r>
      <w:r w:rsidRPr="00A345BF">
        <w:rPr>
          <w:rFonts w:ascii="Century" w:hAnsi="Century"/>
          <w:lang w:val="es-CO"/>
        </w:rPr>
        <w:t xml:space="preserve">, </w:t>
      </w:r>
      <w:r w:rsidR="00164689" w:rsidRPr="00A345BF">
        <w:rPr>
          <w:rFonts w:ascii="Century" w:hAnsi="Century"/>
          <w:lang w:val="es-CO"/>
        </w:rPr>
        <w:t>7</w:t>
      </w:r>
      <w:r w:rsidRPr="00A345BF">
        <w:rPr>
          <w:rFonts w:ascii="Century" w:hAnsi="Century"/>
          <w:lang w:val="es-CO"/>
        </w:rPr>
        <w:t>ª edición, Bogotá, p.4</w:t>
      </w:r>
      <w:r w:rsidR="00164689" w:rsidRPr="00A345BF">
        <w:rPr>
          <w:rFonts w:ascii="Century" w:hAnsi="Century"/>
          <w:lang w:val="es-CO"/>
        </w:rPr>
        <w:t>68</w:t>
      </w:r>
      <w:r w:rsidRPr="00A345BF">
        <w:rPr>
          <w:rFonts w:ascii="Century" w:hAnsi="Century"/>
          <w:lang w:val="es-CO"/>
        </w:rPr>
        <w:t>.</w:t>
      </w:r>
    </w:p>
  </w:footnote>
  <w:footnote w:id="7">
    <w:p w14:paraId="24E1466C" w14:textId="77777777" w:rsidR="008C16FC" w:rsidRPr="00A345BF" w:rsidRDefault="008C16FC" w:rsidP="00A345BF">
      <w:pPr>
        <w:pStyle w:val="Textonotapie"/>
        <w:jc w:val="both"/>
        <w:rPr>
          <w:rFonts w:ascii="Century" w:hAnsi="Century"/>
          <w:lang w:val="es-CO"/>
        </w:rPr>
      </w:pPr>
      <w:r w:rsidRPr="00A345BF">
        <w:rPr>
          <w:rStyle w:val="Refdenotaalpie"/>
          <w:rFonts w:ascii="Century" w:hAnsi="Century"/>
        </w:rPr>
        <w:footnoteRef/>
      </w:r>
      <w:r w:rsidRPr="00A345BF">
        <w:rPr>
          <w:rFonts w:ascii="Century" w:hAnsi="Century"/>
        </w:rPr>
        <w:t xml:space="preserve"> </w:t>
      </w:r>
      <w:r w:rsidRPr="00A345BF">
        <w:rPr>
          <w:rFonts w:ascii="Century" w:hAnsi="Century"/>
          <w:lang w:val="es-CO"/>
        </w:rPr>
        <w:t>CSJ. Sala Civil. Sentencia del 17-09-1992; MP: Ospina B.</w:t>
      </w:r>
    </w:p>
  </w:footnote>
  <w:footnote w:id="8">
    <w:p w14:paraId="715771AD" w14:textId="77777777" w:rsidR="008C16FC" w:rsidRPr="00A345BF" w:rsidRDefault="008C16FC" w:rsidP="00A345BF">
      <w:pPr>
        <w:pStyle w:val="Textonotapie"/>
        <w:jc w:val="both"/>
        <w:rPr>
          <w:rFonts w:ascii="Century" w:hAnsi="Century"/>
          <w:lang w:val="es-CO"/>
        </w:rPr>
      </w:pPr>
      <w:r w:rsidRPr="00A345BF">
        <w:rPr>
          <w:rStyle w:val="Refdenotaalpie"/>
          <w:rFonts w:ascii="Century" w:hAnsi="Century"/>
        </w:rPr>
        <w:footnoteRef/>
      </w:r>
      <w:r w:rsidRPr="00A345BF">
        <w:rPr>
          <w:rFonts w:ascii="Century" w:hAnsi="Century"/>
        </w:rPr>
        <w:t xml:space="preserve"> </w:t>
      </w:r>
      <w:r w:rsidRPr="00A345BF">
        <w:rPr>
          <w:rFonts w:ascii="Century" w:hAnsi="Century"/>
          <w:lang w:val="es-CO"/>
        </w:rPr>
        <w:t>CSJ. STC-12737-2017.</w:t>
      </w:r>
    </w:p>
  </w:footnote>
  <w:footnote w:id="9">
    <w:p w14:paraId="07A2D204" w14:textId="77777777" w:rsidR="003D663C" w:rsidRPr="00A345BF" w:rsidRDefault="003D663C" w:rsidP="00A345BF">
      <w:pPr>
        <w:pStyle w:val="Textonotapie"/>
        <w:jc w:val="both"/>
        <w:rPr>
          <w:rFonts w:ascii="Century" w:hAnsi="Century"/>
          <w:lang w:val="es-CO"/>
        </w:rPr>
      </w:pPr>
      <w:r w:rsidRPr="00A345BF">
        <w:rPr>
          <w:rStyle w:val="Refdenotaalpie"/>
          <w:rFonts w:ascii="Century" w:hAnsi="Century"/>
        </w:rPr>
        <w:footnoteRef/>
      </w:r>
      <w:r w:rsidRPr="00A345BF">
        <w:rPr>
          <w:rFonts w:ascii="Century" w:hAnsi="Century"/>
        </w:rPr>
        <w:t xml:space="preserve"> </w:t>
      </w:r>
      <w:r w:rsidRPr="00A345BF">
        <w:rPr>
          <w:rFonts w:ascii="Century" w:hAnsi="Century"/>
          <w:lang w:val="es-CO"/>
        </w:rPr>
        <w:t>LÓPEZ B., Hernán F.</w:t>
      </w:r>
      <w:r w:rsidRPr="00A345BF">
        <w:rPr>
          <w:rFonts w:ascii="Century" w:hAnsi="Century"/>
        </w:rPr>
        <w:t xml:space="preserve"> Ob. cit., p.776.</w:t>
      </w:r>
    </w:p>
  </w:footnote>
  <w:footnote w:id="10">
    <w:p w14:paraId="0C5F8CBE" w14:textId="77777777" w:rsidR="003D663C" w:rsidRPr="00A345BF" w:rsidRDefault="003D663C" w:rsidP="00A345BF">
      <w:pPr>
        <w:pStyle w:val="Textonotapie"/>
        <w:jc w:val="both"/>
        <w:rPr>
          <w:rFonts w:ascii="Century" w:hAnsi="Century"/>
          <w:lang w:val="es-CO"/>
        </w:rPr>
      </w:pPr>
      <w:r w:rsidRPr="00A345BF">
        <w:rPr>
          <w:rStyle w:val="Refdenotaalpie"/>
          <w:rFonts w:ascii="Century" w:hAnsi="Century"/>
        </w:rPr>
        <w:footnoteRef/>
      </w:r>
      <w:r w:rsidRPr="00A345BF">
        <w:rPr>
          <w:rFonts w:ascii="Century" w:hAnsi="Century"/>
        </w:rPr>
        <w:t xml:space="preserve"> </w:t>
      </w:r>
      <w:r w:rsidRPr="00A345BF">
        <w:rPr>
          <w:rFonts w:ascii="Century" w:hAnsi="Century"/>
          <w:lang w:val="es-CO"/>
        </w:rPr>
        <w:t>ROJAS G., Miguel E. Código General del Proceso comentado, ESAJU, 2017, Bogotá DC, p.511.</w:t>
      </w:r>
    </w:p>
  </w:footnote>
  <w:footnote w:id="11">
    <w:p w14:paraId="3C5DD81C" w14:textId="55DCA3E4" w:rsidR="0099212A" w:rsidRPr="00A345BF" w:rsidRDefault="0099212A" w:rsidP="00A345BF">
      <w:pPr>
        <w:pStyle w:val="Textonotapie"/>
        <w:jc w:val="both"/>
        <w:rPr>
          <w:rFonts w:ascii="Century" w:hAnsi="Century"/>
          <w:lang w:val="es-CO"/>
        </w:rPr>
      </w:pPr>
      <w:r w:rsidRPr="00A345BF">
        <w:rPr>
          <w:rStyle w:val="Refdenotaalpie"/>
          <w:rFonts w:ascii="Century" w:hAnsi="Century"/>
        </w:rPr>
        <w:footnoteRef/>
      </w:r>
      <w:r w:rsidRPr="00A345BF">
        <w:rPr>
          <w:rFonts w:ascii="Century" w:hAnsi="Century"/>
        </w:rPr>
        <w:t xml:space="preserve"> TSP, Civil-Familia. Providencias de: (i) 07-07-2020, No.2012-00290-01; </w:t>
      </w:r>
      <w:r w:rsidRPr="00A345BF">
        <w:rPr>
          <w:rFonts w:ascii="Century" w:hAnsi="Century"/>
          <w:bCs/>
        </w:rPr>
        <w:t xml:space="preserve">(ii) 21-07-2020, </w:t>
      </w:r>
      <w:r w:rsidRPr="00A345BF">
        <w:rPr>
          <w:rFonts w:ascii="Century" w:hAnsi="Century"/>
        </w:rPr>
        <w:t>No.</w:t>
      </w:r>
      <w:r w:rsidRPr="00A345BF">
        <w:rPr>
          <w:rFonts w:ascii="Century" w:eastAsia="DotumChe" w:hAnsi="Century"/>
          <w:spacing w:val="-4"/>
        </w:rPr>
        <w:t>2016-0036-02; y, (iii) 06-</w:t>
      </w:r>
      <w:r w:rsidRPr="00A345BF">
        <w:rPr>
          <w:rFonts w:ascii="Century" w:hAnsi="Century"/>
        </w:rPr>
        <w:t xml:space="preserve">10-2020, No.2012-00298-02, entre otros.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C037" w14:textId="77777777" w:rsidR="00045CE3" w:rsidRPr="00A345BF" w:rsidRDefault="00045CE3" w:rsidP="00A345BF">
    <w:pPr>
      <w:pStyle w:val="Encabezado"/>
      <w:pBdr>
        <w:bottom w:val="single" w:sz="4" w:space="1" w:color="D9D9D9"/>
      </w:pBdr>
      <w:jc w:val="right"/>
      <w:rPr>
        <w:rFonts w:ascii="Georgia" w:hAnsi="Georgia" w:cs="Calibri"/>
        <w:bCs/>
      </w:rPr>
    </w:pPr>
    <w:r w:rsidRPr="00A345BF">
      <w:rPr>
        <w:rFonts w:ascii="Georgia" w:hAnsi="Georgia" w:cs="Calibri"/>
        <w:spacing w:val="60"/>
      </w:rPr>
      <w:t>Página</w:t>
    </w:r>
    <w:r w:rsidRPr="00A345BF">
      <w:rPr>
        <w:rFonts w:ascii="Georgia" w:hAnsi="Georgia" w:cs="Calibri"/>
      </w:rPr>
      <w:t xml:space="preserve"> | </w:t>
    </w:r>
    <w:r w:rsidRPr="00A345BF">
      <w:rPr>
        <w:rFonts w:ascii="Georgia" w:hAnsi="Georgia" w:cs="Calibri"/>
      </w:rPr>
      <w:fldChar w:fldCharType="begin"/>
    </w:r>
    <w:r w:rsidRPr="00A345BF">
      <w:rPr>
        <w:rFonts w:ascii="Georgia" w:hAnsi="Georgia" w:cs="Calibri"/>
      </w:rPr>
      <w:instrText>PAGE   \* MERGEFORMAT</w:instrText>
    </w:r>
    <w:r w:rsidRPr="00A345BF">
      <w:rPr>
        <w:rFonts w:ascii="Georgia" w:hAnsi="Georgia" w:cs="Calibri"/>
      </w:rPr>
      <w:fldChar w:fldCharType="separate"/>
    </w:r>
    <w:r w:rsidR="005776F2" w:rsidRPr="00A345BF">
      <w:rPr>
        <w:rFonts w:ascii="Georgia" w:hAnsi="Georgia" w:cs="Calibri"/>
        <w:bCs/>
        <w:noProof/>
      </w:rPr>
      <w:t>5</w:t>
    </w:r>
    <w:r w:rsidRPr="00A345BF">
      <w:rPr>
        <w:rFonts w:ascii="Georgia" w:hAnsi="Georgia" w:cs="Calibri"/>
      </w:rPr>
      <w:fldChar w:fldCharType="end"/>
    </w:r>
  </w:p>
  <w:p w14:paraId="7C2AC039" w14:textId="7D0BCF06" w:rsidR="008D321B" w:rsidRPr="00A345BF" w:rsidRDefault="00045CE3" w:rsidP="00045CE3">
    <w:pPr>
      <w:pStyle w:val="Encabezado"/>
      <w:rPr>
        <w:rFonts w:ascii="Georgia" w:hAnsi="Georgia" w:cs="Iskoola Pota"/>
        <w:i/>
        <w:sz w:val="18"/>
        <w:lang w:val="es-CO"/>
      </w:rPr>
    </w:pPr>
    <w:r w:rsidRPr="00A345BF">
      <w:rPr>
        <w:rFonts w:ascii="Georgia" w:hAnsi="Georgia" w:cs="Iskoola Pota"/>
        <w:i/>
        <w:lang w:val="es-CO"/>
      </w:rPr>
      <w:t>E</w:t>
    </w:r>
    <w:r w:rsidRPr="00A345BF">
      <w:rPr>
        <w:rFonts w:ascii="Georgia" w:hAnsi="Georgia" w:cs="Iskoola Pota"/>
        <w:i/>
        <w:sz w:val="16"/>
        <w:lang w:val="es-CO"/>
      </w:rPr>
      <w:t>XPEDIENTE No.</w:t>
    </w:r>
    <w:r w:rsidR="00A345BF" w:rsidRPr="00A345BF">
      <w:rPr>
        <w:rFonts w:ascii="Georgia" w:hAnsi="Georgia" w:cs="Iskoola Pota"/>
        <w:i/>
        <w:sz w:val="16"/>
        <w:lang w:val="es-CO"/>
      </w:rPr>
      <w:t xml:space="preserve"> </w:t>
    </w:r>
    <w:r w:rsidR="00B16D2A" w:rsidRPr="00A345BF">
      <w:rPr>
        <w:rFonts w:ascii="Georgia" w:hAnsi="Georgia" w:cs="Iskoola Pota"/>
        <w:i/>
        <w:sz w:val="16"/>
        <w:lang w:val="es-CO"/>
      </w:rPr>
      <w:t>201</w:t>
    </w:r>
    <w:r w:rsidR="00991FE0" w:rsidRPr="00A345BF">
      <w:rPr>
        <w:rFonts w:ascii="Georgia" w:hAnsi="Georgia" w:cs="Iskoola Pota"/>
        <w:i/>
        <w:sz w:val="16"/>
        <w:lang w:val="es-CO"/>
      </w:rPr>
      <w:t>3</w:t>
    </w:r>
    <w:r w:rsidR="005E24AC" w:rsidRPr="00A345BF">
      <w:rPr>
        <w:rFonts w:ascii="Georgia" w:hAnsi="Georgia" w:cs="Iskoola Pota"/>
        <w:i/>
        <w:sz w:val="16"/>
        <w:lang w:val="es-CO"/>
      </w:rPr>
      <w:t>-</w:t>
    </w:r>
    <w:r w:rsidR="00B16D2A" w:rsidRPr="00A345BF">
      <w:rPr>
        <w:rFonts w:ascii="Georgia" w:hAnsi="Georgia" w:cs="Iskoola Pota"/>
        <w:i/>
        <w:sz w:val="16"/>
        <w:lang w:val="es-CO"/>
      </w:rPr>
      <w:t>0</w:t>
    </w:r>
    <w:r w:rsidR="00842EC7" w:rsidRPr="00A345BF">
      <w:rPr>
        <w:rFonts w:ascii="Georgia" w:hAnsi="Georgia" w:cs="Iskoola Pota"/>
        <w:i/>
        <w:sz w:val="16"/>
        <w:lang w:val="es-CO"/>
      </w:rPr>
      <w:t>0</w:t>
    </w:r>
    <w:r w:rsidR="00991FE0" w:rsidRPr="00A345BF">
      <w:rPr>
        <w:rFonts w:ascii="Georgia" w:hAnsi="Georgia" w:cs="Iskoola Pota"/>
        <w:i/>
        <w:sz w:val="16"/>
        <w:lang w:val="es-CO"/>
      </w:rPr>
      <w:t>130-</w:t>
    </w:r>
    <w:r w:rsidR="0028371F" w:rsidRPr="00A345BF">
      <w:rPr>
        <w:rFonts w:ascii="Georgia" w:hAnsi="Georgia" w:cs="Iskoola Pota"/>
        <w:i/>
        <w:sz w:val="16"/>
        <w:lang w:val="es-CO"/>
      </w:rPr>
      <w:t>0</w:t>
    </w:r>
    <w:r w:rsidR="00991FE0" w:rsidRPr="00A345BF">
      <w:rPr>
        <w:rFonts w:ascii="Georgia" w:hAnsi="Georgia" w:cs="Iskoola Pota"/>
        <w:i/>
        <w:sz w:val="16"/>
        <w:lang w:val="es-C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60F1"/>
    <w:multiLevelType w:val="multilevel"/>
    <w:tmpl w:val="12E4332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FBA7C09"/>
    <w:multiLevelType w:val="multilevel"/>
    <w:tmpl w:val="9EFA6A78"/>
    <w:lvl w:ilvl="0">
      <w:start w:val="5"/>
      <w:numFmt w:val="decimal"/>
      <w:lvlText w:val="%1."/>
      <w:lvlJc w:val="left"/>
      <w:pPr>
        <w:ind w:left="705" w:hanging="705"/>
      </w:pPr>
      <w:rPr>
        <w:rFonts w:hint="default"/>
        <w:i/>
        <w:color w:val="0033CC"/>
      </w:rPr>
    </w:lvl>
    <w:lvl w:ilvl="1">
      <w:start w:val="4"/>
      <w:numFmt w:val="decimal"/>
      <w:lvlText w:val="%1.%2."/>
      <w:lvlJc w:val="left"/>
      <w:pPr>
        <w:ind w:left="720" w:hanging="720"/>
      </w:pPr>
      <w:rPr>
        <w:rFonts w:hint="default"/>
        <w:i/>
        <w:color w:val="0033CC"/>
      </w:rPr>
    </w:lvl>
    <w:lvl w:ilvl="2">
      <w:start w:val="2"/>
      <w:numFmt w:val="decimal"/>
      <w:lvlText w:val="%1.%2.%3."/>
      <w:lvlJc w:val="left"/>
      <w:pPr>
        <w:ind w:left="1080" w:hanging="1080"/>
      </w:pPr>
      <w:rPr>
        <w:rFonts w:hint="default"/>
        <w:i/>
        <w:color w:val="auto"/>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2" w15:restartNumberingAfterBreak="0">
    <w:nsid w:val="155E6D5D"/>
    <w:multiLevelType w:val="multilevel"/>
    <w:tmpl w:val="BAF8680E"/>
    <w:lvl w:ilvl="0">
      <w:start w:val="4"/>
      <w:numFmt w:val="decimal"/>
      <w:lvlText w:val="%1."/>
      <w:lvlJc w:val="left"/>
      <w:pPr>
        <w:ind w:left="360" w:hanging="360"/>
      </w:pPr>
      <w:rPr>
        <w:color w:val="auto"/>
      </w:rPr>
    </w:lvl>
    <w:lvl w:ilvl="1">
      <w:start w:val="1"/>
      <w:numFmt w:val="decimal"/>
      <w:lvlText w:val="%1.%2."/>
      <w:lvlJc w:val="left"/>
      <w:pPr>
        <w:ind w:left="720" w:hanging="720"/>
      </w:pPr>
      <w:rPr>
        <w:i w:val="0"/>
        <w:iCs w:val="0"/>
        <w:color w:val="auto"/>
        <w:sz w:val="24"/>
        <w:szCs w:val="24"/>
      </w:rPr>
    </w:lvl>
    <w:lvl w:ilvl="2">
      <w:start w:val="1"/>
      <w:numFmt w:val="decimal"/>
      <w:lvlText w:val="%1.%2.%3."/>
      <w:lvlJc w:val="left"/>
      <w:pPr>
        <w:ind w:left="720" w:hanging="720"/>
      </w:pPr>
      <w:rPr>
        <w:color w:val="auto"/>
      </w:rPr>
    </w:lvl>
    <w:lvl w:ilvl="3">
      <w:start w:val="1"/>
      <w:numFmt w:val="decimal"/>
      <w:lvlText w:val="%1.%2.%3.%4."/>
      <w:lvlJc w:val="left"/>
      <w:pPr>
        <w:ind w:left="1080" w:hanging="1080"/>
      </w:pPr>
      <w:rPr>
        <w:color w:val="auto"/>
      </w:rPr>
    </w:lvl>
    <w:lvl w:ilvl="4">
      <w:start w:val="1"/>
      <w:numFmt w:val="decimal"/>
      <w:lvlText w:val="%1.%2.%3.%4.%5."/>
      <w:lvlJc w:val="left"/>
      <w:pPr>
        <w:ind w:left="1440" w:hanging="1440"/>
      </w:pPr>
      <w:rPr>
        <w:color w:val="auto"/>
      </w:rPr>
    </w:lvl>
    <w:lvl w:ilvl="5">
      <w:start w:val="1"/>
      <w:numFmt w:val="decimal"/>
      <w:lvlText w:val="%1.%2.%3.%4.%5.%6."/>
      <w:lvlJc w:val="left"/>
      <w:pPr>
        <w:ind w:left="1440" w:hanging="1440"/>
      </w:pPr>
      <w:rPr>
        <w:color w:val="auto"/>
      </w:rPr>
    </w:lvl>
    <w:lvl w:ilvl="6">
      <w:start w:val="1"/>
      <w:numFmt w:val="decimal"/>
      <w:lvlText w:val="%1.%2.%3.%4.%5.%6.%7."/>
      <w:lvlJc w:val="left"/>
      <w:pPr>
        <w:ind w:left="1800" w:hanging="1800"/>
      </w:pPr>
      <w:rPr>
        <w:color w:val="auto"/>
      </w:rPr>
    </w:lvl>
    <w:lvl w:ilvl="7">
      <w:start w:val="1"/>
      <w:numFmt w:val="decimal"/>
      <w:lvlText w:val="%1.%2.%3.%4.%5.%6.%7.%8."/>
      <w:lvlJc w:val="left"/>
      <w:pPr>
        <w:ind w:left="1800" w:hanging="1800"/>
      </w:pPr>
      <w:rPr>
        <w:color w:val="auto"/>
      </w:rPr>
    </w:lvl>
    <w:lvl w:ilvl="8">
      <w:start w:val="1"/>
      <w:numFmt w:val="decimal"/>
      <w:lvlText w:val="%1.%2.%3.%4.%5.%6.%7.%8.%9."/>
      <w:lvlJc w:val="left"/>
      <w:pPr>
        <w:ind w:left="2160" w:hanging="2160"/>
      </w:pPr>
      <w:rPr>
        <w:color w:val="auto"/>
      </w:rPr>
    </w:lvl>
  </w:abstractNum>
  <w:abstractNum w:abstractNumId="3" w15:restartNumberingAfterBreak="0">
    <w:nsid w:val="23907D87"/>
    <w:multiLevelType w:val="hybridMultilevel"/>
    <w:tmpl w:val="A4F25EC2"/>
    <w:lvl w:ilvl="0" w:tplc="E74CF6CC">
      <w:start w:val="1"/>
      <w:numFmt w:val="decimal"/>
      <w:suff w:val="nothing"/>
      <w:lvlText w:val="%1."/>
      <w:lvlJc w:val="left"/>
      <w:pPr>
        <w:ind w:left="567" w:firstLine="0"/>
      </w:pPr>
    </w:lvl>
    <w:lvl w:ilvl="1" w:tplc="0C0A0019">
      <w:start w:val="1"/>
      <w:numFmt w:val="lowerLetter"/>
      <w:lvlText w:val="%2."/>
      <w:lvlJc w:val="left"/>
      <w:pPr>
        <w:ind w:left="2781" w:hanging="360"/>
      </w:pPr>
    </w:lvl>
    <w:lvl w:ilvl="2" w:tplc="0C0A001B">
      <w:start w:val="1"/>
      <w:numFmt w:val="lowerRoman"/>
      <w:lvlText w:val="%3."/>
      <w:lvlJc w:val="right"/>
      <w:pPr>
        <w:ind w:left="3501" w:hanging="180"/>
      </w:pPr>
    </w:lvl>
    <w:lvl w:ilvl="3" w:tplc="0C0A000F">
      <w:start w:val="1"/>
      <w:numFmt w:val="decimal"/>
      <w:lvlText w:val="%4."/>
      <w:lvlJc w:val="left"/>
      <w:pPr>
        <w:ind w:left="4221" w:hanging="360"/>
      </w:pPr>
    </w:lvl>
    <w:lvl w:ilvl="4" w:tplc="0C0A0019">
      <w:start w:val="1"/>
      <w:numFmt w:val="lowerLetter"/>
      <w:lvlText w:val="%5."/>
      <w:lvlJc w:val="left"/>
      <w:pPr>
        <w:ind w:left="4941" w:hanging="360"/>
      </w:pPr>
    </w:lvl>
    <w:lvl w:ilvl="5" w:tplc="0C0A001B">
      <w:start w:val="1"/>
      <w:numFmt w:val="lowerRoman"/>
      <w:lvlText w:val="%6."/>
      <w:lvlJc w:val="right"/>
      <w:pPr>
        <w:ind w:left="5661" w:hanging="180"/>
      </w:pPr>
    </w:lvl>
    <w:lvl w:ilvl="6" w:tplc="0C0A000F">
      <w:start w:val="1"/>
      <w:numFmt w:val="decimal"/>
      <w:lvlText w:val="%7."/>
      <w:lvlJc w:val="left"/>
      <w:pPr>
        <w:ind w:left="6381" w:hanging="360"/>
      </w:pPr>
    </w:lvl>
    <w:lvl w:ilvl="7" w:tplc="0C0A0019">
      <w:start w:val="1"/>
      <w:numFmt w:val="lowerLetter"/>
      <w:lvlText w:val="%8."/>
      <w:lvlJc w:val="left"/>
      <w:pPr>
        <w:ind w:left="7101" w:hanging="360"/>
      </w:pPr>
    </w:lvl>
    <w:lvl w:ilvl="8" w:tplc="0C0A001B">
      <w:start w:val="1"/>
      <w:numFmt w:val="lowerRoman"/>
      <w:lvlText w:val="%9."/>
      <w:lvlJc w:val="right"/>
      <w:pPr>
        <w:ind w:left="7821" w:hanging="180"/>
      </w:pPr>
    </w:lvl>
  </w:abstractNum>
  <w:abstractNum w:abstractNumId="4" w15:restartNumberingAfterBreak="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5" w15:restartNumberingAfterBreak="0">
    <w:nsid w:val="319E3479"/>
    <w:multiLevelType w:val="multilevel"/>
    <w:tmpl w:val="E59C114E"/>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7" w15:restartNumberingAfterBreak="0">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15:restartNumberingAfterBreak="0">
    <w:nsid w:val="3C8755AA"/>
    <w:multiLevelType w:val="multilevel"/>
    <w:tmpl w:val="3968925A"/>
    <w:lvl w:ilvl="0">
      <w:start w:val="4"/>
      <w:numFmt w:val="decimal"/>
      <w:lvlText w:val="%1."/>
      <w:lvlJc w:val="left"/>
      <w:pPr>
        <w:ind w:left="480" w:hanging="480"/>
      </w:pPr>
      <w:rPr>
        <w:rFonts w:hint="default"/>
        <w:color w:val="auto"/>
      </w:rPr>
    </w:lvl>
    <w:lvl w:ilvl="1">
      <w:start w:val="2"/>
      <w:numFmt w:val="decimal"/>
      <w:lvlText w:val="%1.%2."/>
      <w:lvlJc w:val="left"/>
      <w:pPr>
        <w:ind w:left="720" w:hanging="720"/>
      </w:pPr>
      <w:rPr>
        <w:rFonts w:hint="default"/>
        <w:color w:val="0033CC"/>
      </w:rPr>
    </w:lvl>
    <w:lvl w:ilvl="2">
      <w:start w:val="1"/>
      <w:numFmt w:val="decimal"/>
      <w:lvlText w:val="%1.%2.%3."/>
      <w:lvlJc w:val="left"/>
      <w:pPr>
        <w:ind w:left="1080" w:hanging="1080"/>
      </w:pPr>
      <w:rPr>
        <w:rFonts w:hint="default"/>
        <w:color w:val="0033CC"/>
      </w:rPr>
    </w:lvl>
    <w:lvl w:ilvl="3">
      <w:start w:val="1"/>
      <w:numFmt w:val="decimal"/>
      <w:lvlText w:val="%1.%2.%3.%4."/>
      <w:lvlJc w:val="left"/>
      <w:pPr>
        <w:ind w:left="1080" w:hanging="1080"/>
      </w:pPr>
      <w:rPr>
        <w:rFonts w:hint="default"/>
        <w:color w:val="0033CC"/>
      </w:rPr>
    </w:lvl>
    <w:lvl w:ilvl="4">
      <w:start w:val="1"/>
      <w:numFmt w:val="decimal"/>
      <w:lvlText w:val="%1.%2.%3.%4.%5."/>
      <w:lvlJc w:val="left"/>
      <w:pPr>
        <w:ind w:left="1440" w:hanging="1440"/>
      </w:pPr>
      <w:rPr>
        <w:rFonts w:hint="default"/>
        <w:color w:val="0033CC"/>
      </w:rPr>
    </w:lvl>
    <w:lvl w:ilvl="5">
      <w:start w:val="1"/>
      <w:numFmt w:val="decimal"/>
      <w:lvlText w:val="%1.%2.%3.%4.%5.%6."/>
      <w:lvlJc w:val="left"/>
      <w:pPr>
        <w:ind w:left="1800" w:hanging="1800"/>
      </w:pPr>
      <w:rPr>
        <w:rFonts w:hint="default"/>
        <w:color w:val="0033CC"/>
      </w:rPr>
    </w:lvl>
    <w:lvl w:ilvl="6">
      <w:start w:val="1"/>
      <w:numFmt w:val="decimal"/>
      <w:lvlText w:val="%1.%2.%3.%4.%5.%6.%7."/>
      <w:lvlJc w:val="left"/>
      <w:pPr>
        <w:ind w:left="1800" w:hanging="1800"/>
      </w:pPr>
      <w:rPr>
        <w:rFonts w:hint="default"/>
        <w:color w:val="0033CC"/>
      </w:rPr>
    </w:lvl>
    <w:lvl w:ilvl="7">
      <w:start w:val="1"/>
      <w:numFmt w:val="decimal"/>
      <w:lvlText w:val="%1.%2.%3.%4.%5.%6.%7.%8."/>
      <w:lvlJc w:val="left"/>
      <w:pPr>
        <w:ind w:left="2160" w:hanging="2160"/>
      </w:pPr>
      <w:rPr>
        <w:rFonts w:hint="default"/>
        <w:color w:val="0033CC"/>
      </w:rPr>
    </w:lvl>
    <w:lvl w:ilvl="8">
      <w:start w:val="1"/>
      <w:numFmt w:val="decimal"/>
      <w:lvlText w:val="%1.%2.%3.%4.%5.%6.%7.%8.%9."/>
      <w:lvlJc w:val="left"/>
      <w:pPr>
        <w:ind w:left="2520" w:hanging="2520"/>
      </w:pPr>
      <w:rPr>
        <w:rFonts w:hint="default"/>
        <w:color w:val="0033CC"/>
      </w:rPr>
    </w:lvl>
  </w:abstractNum>
  <w:abstractNum w:abstractNumId="9" w15:restartNumberingAfterBreak="0">
    <w:nsid w:val="4F9D0F02"/>
    <w:multiLevelType w:val="multilevel"/>
    <w:tmpl w:val="F5347678"/>
    <w:lvl w:ilvl="0">
      <w:start w:val="5"/>
      <w:numFmt w:val="decimal"/>
      <w:lvlText w:val="%1."/>
      <w:lvlJc w:val="left"/>
      <w:pPr>
        <w:ind w:left="465" w:hanging="46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04664BE"/>
    <w:multiLevelType w:val="multilevel"/>
    <w:tmpl w:val="352058C6"/>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15:restartNumberingAfterBreak="0">
    <w:nsid w:val="61054EBA"/>
    <w:multiLevelType w:val="multilevel"/>
    <w:tmpl w:val="7D8242E2"/>
    <w:lvl w:ilvl="0">
      <w:start w:val="2"/>
      <w:numFmt w:val="decimal"/>
      <w:lvlText w:val="%1."/>
      <w:lvlJc w:val="left"/>
      <w:pPr>
        <w:ind w:left="675" w:hanging="675"/>
      </w:pPr>
      <w:rPr>
        <w:rFonts w:hint="default"/>
        <w:i/>
        <w:color w:val="0033CC"/>
      </w:rPr>
    </w:lvl>
    <w:lvl w:ilvl="1">
      <w:start w:val="3"/>
      <w:numFmt w:val="decimal"/>
      <w:lvlText w:val="%1.%2."/>
      <w:lvlJc w:val="left"/>
      <w:pPr>
        <w:ind w:left="720" w:hanging="720"/>
      </w:pPr>
      <w:rPr>
        <w:rFonts w:hint="default"/>
        <w:i/>
        <w:color w:val="0033CC"/>
      </w:rPr>
    </w:lvl>
    <w:lvl w:ilvl="2">
      <w:start w:val="1"/>
      <w:numFmt w:val="decimal"/>
      <w:lvlText w:val="%1.%2.%3."/>
      <w:lvlJc w:val="left"/>
      <w:pPr>
        <w:ind w:left="0" w:firstLine="0"/>
      </w:pPr>
      <w:rPr>
        <w:rFonts w:hint="default"/>
        <w:i/>
        <w:color w:val="0033CC"/>
      </w:rPr>
    </w:lvl>
    <w:lvl w:ilvl="3">
      <w:start w:val="1"/>
      <w:numFmt w:val="decimal"/>
      <w:lvlText w:val="%1.%2.%3.%4."/>
      <w:lvlJc w:val="left"/>
      <w:pPr>
        <w:ind w:left="0" w:firstLine="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3" w15:restartNumberingAfterBreak="0">
    <w:nsid w:val="67334F69"/>
    <w:multiLevelType w:val="multilevel"/>
    <w:tmpl w:val="50345314"/>
    <w:lvl w:ilvl="0">
      <w:start w:val="2"/>
      <w:numFmt w:val="decimal"/>
      <w:lvlText w:val="%1."/>
      <w:lvlJc w:val="left"/>
      <w:pPr>
        <w:ind w:left="360" w:hanging="360"/>
      </w:pPr>
      <w:rPr>
        <w:rFonts w:cs="Times New Roman" w:hint="default"/>
        <w:sz w:val="28"/>
      </w:rPr>
    </w:lvl>
    <w:lvl w:ilvl="1">
      <w:start w:val="1"/>
      <w:numFmt w:val="decimal"/>
      <w:lvlText w:val="4.1. "/>
      <w:lvlJc w:val="left"/>
      <w:pPr>
        <w:ind w:left="720" w:hanging="720"/>
      </w:pPr>
      <w:rPr>
        <w:color w:val="0033CC"/>
        <w:sz w:val="24"/>
      </w:rPr>
    </w:lvl>
    <w:lvl w:ilvl="2">
      <w:start w:val="1"/>
      <w:numFmt w:val="decimal"/>
      <w:lvlText w:val="%1.%2.%3."/>
      <w:lvlJc w:val="left"/>
      <w:pPr>
        <w:ind w:left="720" w:hanging="720"/>
      </w:pPr>
      <w:rPr>
        <w:sz w:val="24"/>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69BE7731"/>
    <w:multiLevelType w:val="multilevel"/>
    <w:tmpl w:val="09FC5D5C"/>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6D581253"/>
    <w:multiLevelType w:val="multilevel"/>
    <w:tmpl w:val="7C6A63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F667050"/>
    <w:multiLevelType w:val="multilevel"/>
    <w:tmpl w:val="105E4E6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0" w15:restartNumberingAfterBreak="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5"/>
  </w:num>
  <w:num w:numId="2">
    <w:abstractNumId w:val="11"/>
  </w:num>
  <w:num w:numId="3">
    <w:abstractNumId w:val="20"/>
  </w:num>
  <w:num w:numId="4">
    <w:abstractNumId w:val="18"/>
  </w:num>
  <w:num w:numId="5">
    <w:abstractNumId w:val="10"/>
  </w:num>
  <w:num w:numId="6">
    <w:abstractNumId w:val="5"/>
  </w:num>
  <w:num w:numId="7">
    <w:abstractNumId w:val="14"/>
  </w:num>
  <w:num w:numId="8">
    <w:abstractNumId w:val="6"/>
  </w:num>
  <w:num w:numId="9">
    <w:abstractNumId w:val="4"/>
  </w:num>
  <w:num w:numId="10">
    <w:abstractNumId w:val="13"/>
  </w:num>
  <w:num w:numId="11">
    <w:abstractNumId w:val="7"/>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9"/>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2A2"/>
    <w:rsid w:val="0000068D"/>
    <w:rsid w:val="0000570F"/>
    <w:rsid w:val="00007AB4"/>
    <w:rsid w:val="000111C6"/>
    <w:rsid w:val="000124CA"/>
    <w:rsid w:val="00032991"/>
    <w:rsid w:val="00034562"/>
    <w:rsid w:val="00041C8C"/>
    <w:rsid w:val="00045CE3"/>
    <w:rsid w:val="0004745A"/>
    <w:rsid w:val="00050E52"/>
    <w:rsid w:val="000521D3"/>
    <w:rsid w:val="00056AD1"/>
    <w:rsid w:val="00057483"/>
    <w:rsid w:val="00057617"/>
    <w:rsid w:val="00057B5C"/>
    <w:rsid w:val="00060A66"/>
    <w:rsid w:val="00061786"/>
    <w:rsid w:val="00061E04"/>
    <w:rsid w:val="00063444"/>
    <w:rsid w:val="00063E12"/>
    <w:rsid w:val="00081941"/>
    <w:rsid w:val="000930EC"/>
    <w:rsid w:val="00095E19"/>
    <w:rsid w:val="000960ED"/>
    <w:rsid w:val="000979F2"/>
    <w:rsid w:val="000A3117"/>
    <w:rsid w:val="000A3198"/>
    <w:rsid w:val="000B2C44"/>
    <w:rsid w:val="000B4877"/>
    <w:rsid w:val="000B5F85"/>
    <w:rsid w:val="000C09F6"/>
    <w:rsid w:val="000C4503"/>
    <w:rsid w:val="000C65EF"/>
    <w:rsid w:val="000D03C3"/>
    <w:rsid w:val="000D106C"/>
    <w:rsid w:val="000D18ED"/>
    <w:rsid w:val="000D1C67"/>
    <w:rsid w:val="000D36B8"/>
    <w:rsid w:val="000D4106"/>
    <w:rsid w:val="000D51C5"/>
    <w:rsid w:val="000D579D"/>
    <w:rsid w:val="000D70EB"/>
    <w:rsid w:val="000E1027"/>
    <w:rsid w:val="000E1102"/>
    <w:rsid w:val="000E45E2"/>
    <w:rsid w:val="000E5C91"/>
    <w:rsid w:val="000F08E0"/>
    <w:rsid w:val="000F16E3"/>
    <w:rsid w:val="000F1B66"/>
    <w:rsid w:val="000F3C01"/>
    <w:rsid w:val="000F6932"/>
    <w:rsid w:val="00107E1A"/>
    <w:rsid w:val="00112D32"/>
    <w:rsid w:val="001130D4"/>
    <w:rsid w:val="001137B8"/>
    <w:rsid w:val="00114608"/>
    <w:rsid w:val="00114FEE"/>
    <w:rsid w:val="00117C9A"/>
    <w:rsid w:val="0012018F"/>
    <w:rsid w:val="00121881"/>
    <w:rsid w:val="00122065"/>
    <w:rsid w:val="00122CE4"/>
    <w:rsid w:val="001249B0"/>
    <w:rsid w:val="00125389"/>
    <w:rsid w:val="00132BE5"/>
    <w:rsid w:val="0013679C"/>
    <w:rsid w:val="00137D6A"/>
    <w:rsid w:val="001403D4"/>
    <w:rsid w:val="00141432"/>
    <w:rsid w:val="001446B1"/>
    <w:rsid w:val="001452E0"/>
    <w:rsid w:val="0015481A"/>
    <w:rsid w:val="00157865"/>
    <w:rsid w:val="0016063E"/>
    <w:rsid w:val="001638CD"/>
    <w:rsid w:val="00163A34"/>
    <w:rsid w:val="00164689"/>
    <w:rsid w:val="00173A56"/>
    <w:rsid w:val="00175940"/>
    <w:rsid w:val="001829D4"/>
    <w:rsid w:val="00183F2F"/>
    <w:rsid w:val="00190036"/>
    <w:rsid w:val="00192621"/>
    <w:rsid w:val="00197EA7"/>
    <w:rsid w:val="00197EF3"/>
    <w:rsid w:val="001A46C4"/>
    <w:rsid w:val="001A5399"/>
    <w:rsid w:val="001A565D"/>
    <w:rsid w:val="001A643C"/>
    <w:rsid w:val="001A688F"/>
    <w:rsid w:val="001B2496"/>
    <w:rsid w:val="001B3230"/>
    <w:rsid w:val="001B4583"/>
    <w:rsid w:val="001B4B9B"/>
    <w:rsid w:val="001B5624"/>
    <w:rsid w:val="001C36DF"/>
    <w:rsid w:val="001C3F97"/>
    <w:rsid w:val="001C51D4"/>
    <w:rsid w:val="001C5578"/>
    <w:rsid w:val="001C5598"/>
    <w:rsid w:val="001D0AA3"/>
    <w:rsid w:val="001D37AB"/>
    <w:rsid w:val="001D60DE"/>
    <w:rsid w:val="001D7953"/>
    <w:rsid w:val="001D7E85"/>
    <w:rsid w:val="001E0761"/>
    <w:rsid w:val="001E18FB"/>
    <w:rsid w:val="001E57DE"/>
    <w:rsid w:val="001F430A"/>
    <w:rsid w:val="001F53B6"/>
    <w:rsid w:val="00200A45"/>
    <w:rsid w:val="00201848"/>
    <w:rsid w:val="0020186E"/>
    <w:rsid w:val="00201931"/>
    <w:rsid w:val="00207C51"/>
    <w:rsid w:val="00207FCF"/>
    <w:rsid w:val="0021075B"/>
    <w:rsid w:val="00210850"/>
    <w:rsid w:val="0021633C"/>
    <w:rsid w:val="00216AE8"/>
    <w:rsid w:val="00227FA6"/>
    <w:rsid w:val="00230208"/>
    <w:rsid w:val="0023059E"/>
    <w:rsid w:val="00231A7F"/>
    <w:rsid w:val="00236089"/>
    <w:rsid w:val="0023681D"/>
    <w:rsid w:val="00236A9B"/>
    <w:rsid w:val="0023704F"/>
    <w:rsid w:val="00237B2C"/>
    <w:rsid w:val="00237BF5"/>
    <w:rsid w:val="002419D4"/>
    <w:rsid w:val="00243379"/>
    <w:rsid w:val="0024455A"/>
    <w:rsid w:val="00252760"/>
    <w:rsid w:val="00253E4F"/>
    <w:rsid w:val="00257943"/>
    <w:rsid w:val="002579E7"/>
    <w:rsid w:val="00257B1F"/>
    <w:rsid w:val="00260AA1"/>
    <w:rsid w:val="00265A2E"/>
    <w:rsid w:val="00270E87"/>
    <w:rsid w:val="002711FB"/>
    <w:rsid w:val="002748B1"/>
    <w:rsid w:val="0027637D"/>
    <w:rsid w:val="00276704"/>
    <w:rsid w:val="002779AF"/>
    <w:rsid w:val="00280570"/>
    <w:rsid w:val="00280589"/>
    <w:rsid w:val="002825A8"/>
    <w:rsid w:val="0028371F"/>
    <w:rsid w:val="002842F2"/>
    <w:rsid w:val="002860D6"/>
    <w:rsid w:val="002873EC"/>
    <w:rsid w:val="002912F2"/>
    <w:rsid w:val="00297096"/>
    <w:rsid w:val="002A0A88"/>
    <w:rsid w:val="002A18D8"/>
    <w:rsid w:val="002A2749"/>
    <w:rsid w:val="002A74DD"/>
    <w:rsid w:val="002A7A4F"/>
    <w:rsid w:val="002B513B"/>
    <w:rsid w:val="002C2A0B"/>
    <w:rsid w:val="002C4195"/>
    <w:rsid w:val="002C7A37"/>
    <w:rsid w:val="002D4917"/>
    <w:rsid w:val="002D605B"/>
    <w:rsid w:val="002E0BA3"/>
    <w:rsid w:val="002E21FB"/>
    <w:rsid w:val="002E5263"/>
    <w:rsid w:val="002E562C"/>
    <w:rsid w:val="002E660C"/>
    <w:rsid w:val="002F4DF5"/>
    <w:rsid w:val="002F7410"/>
    <w:rsid w:val="003013A2"/>
    <w:rsid w:val="00301E59"/>
    <w:rsid w:val="00305C99"/>
    <w:rsid w:val="00310556"/>
    <w:rsid w:val="00310EAB"/>
    <w:rsid w:val="00312D22"/>
    <w:rsid w:val="00323447"/>
    <w:rsid w:val="0032386C"/>
    <w:rsid w:val="0033124D"/>
    <w:rsid w:val="003319C7"/>
    <w:rsid w:val="003336C3"/>
    <w:rsid w:val="00342E88"/>
    <w:rsid w:val="0034359F"/>
    <w:rsid w:val="003458B9"/>
    <w:rsid w:val="00346390"/>
    <w:rsid w:val="00352931"/>
    <w:rsid w:val="00360576"/>
    <w:rsid w:val="0036089E"/>
    <w:rsid w:val="0036394A"/>
    <w:rsid w:val="00363D70"/>
    <w:rsid w:val="0036517C"/>
    <w:rsid w:val="00370D1D"/>
    <w:rsid w:val="0037295F"/>
    <w:rsid w:val="00376273"/>
    <w:rsid w:val="00376B94"/>
    <w:rsid w:val="0038158A"/>
    <w:rsid w:val="00384791"/>
    <w:rsid w:val="00385E87"/>
    <w:rsid w:val="00386111"/>
    <w:rsid w:val="00392869"/>
    <w:rsid w:val="00392F07"/>
    <w:rsid w:val="00392FC9"/>
    <w:rsid w:val="00393DD3"/>
    <w:rsid w:val="003957FE"/>
    <w:rsid w:val="003972DC"/>
    <w:rsid w:val="003A1A5B"/>
    <w:rsid w:val="003B0EC2"/>
    <w:rsid w:val="003B19D8"/>
    <w:rsid w:val="003B445E"/>
    <w:rsid w:val="003C04BC"/>
    <w:rsid w:val="003C2870"/>
    <w:rsid w:val="003C5098"/>
    <w:rsid w:val="003C77D5"/>
    <w:rsid w:val="003D081D"/>
    <w:rsid w:val="003D5A4E"/>
    <w:rsid w:val="003D663C"/>
    <w:rsid w:val="003D67D8"/>
    <w:rsid w:val="003D6C3D"/>
    <w:rsid w:val="003E236C"/>
    <w:rsid w:val="003E275B"/>
    <w:rsid w:val="003E3CF7"/>
    <w:rsid w:val="003E4533"/>
    <w:rsid w:val="003E5ED3"/>
    <w:rsid w:val="003F3AD2"/>
    <w:rsid w:val="00400B90"/>
    <w:rsid w:val="00402132"/>
    <w:rsid w:val="00402319"/>
    <w:rsid w:val="00403F27"/>
    <w:rsid w:val="004058A0"/>
    <w:rsid w:val="00411AC5"/>
    <w:rsid w:val="00414421"/>
    <w:rsid w:val="004215F9"/>
    <w:rsid w:val="00427BE4"/>
    <w:rsid w:val="004335C7"/>
    <w:rsid w:val="004353B5"/>
    <w:rsid w:val="00435CC2"/>
    <w:rsid w:val="004361D6"/>
    <w:rsid w:val="00436669"/>
    <w:rsid w:val="00437511"/>
    <w:rsid w:val="0043753B"/>
    <w:rsid w:val="00441A10"/>
    <w:rsid w:val="00451388"/>
    <w:rsid w:val="00455DE9"/>
    <w:rsid w:val="004614E4"/>
    <w:rsid w:val="00461F2C"/>
    <w:rsid w:val="00465107"/>
    <w:rsid w:val="00471F25"/>
    <w:rsid w:val="004729BB"/>
    <w:rsid w:val="00482703"/>
    <w:rsid w:val="00482924"/>
    <w:rsid w:val="004838C6"/>
    <w:rsid w:val="004848E7"/>
    <w:rsid w:val="0048492D"/>
    <w:rsid w:val="00487703"/>
    <w:rsid w:val="004A1395"/>
    <w:rsid w:val="004A3DC5"/>
    <w:rsid w:val="004A7C24"/>
    <w:rsid w:val="004B145C"/>
    <w:rsid w:val="004B6BF7"/>
    <w:rsid w:val="004C319B"/>
    <w:rsid w:val="004D752B"/>
    <w:rsid w:val="004E1CAC"/>
    <w:rsid w:val="004E1EF9"/>
    <w:rsid w:val="004E2173"/>
    <w:rsid w:val="004E6A80"/>
    <w:rsid w:val="004E75C5"/>
    <w:rsid w:val="004F229E"/>
    <w:rsid w:val="004F537C"/>
    <w:rsid w:val="004F7160"/>
    <w:rsid w:val="00500A43"/>
    <w:rsid w:val="00500DC5"/>
    <w:rsid w:val="005022A7"/>
    <w:rsid w:val="0050295B"/>
    <w:rsid w:val="005035D2"/>
    <w:rsid w:val="00505315"/>
    <w:rsid w:val="00506C08"/>
    <w:rsid w:val="0051191A"/>
    <w:rsid w:val="00515B6B"/>
    <w:rsid w:val="00516D6E"/>
    <w:rsid w:val="0052398B"/>
    <w:rsid w:val="0053073B"/>
    <w:rsid w:val="00531547"/>
    <w:rsid w:val="00541D65"/>
    <w:rsid w:val="0054427C"/>
    <w:rsid w:val="0055115B"/>
    <w:rsid w:val="00552815"/>
    <w:rsid w:val="00564C16"/>
    <w:rsid w:val="0056570B"/>
    <w:rsid w:val="005668DE"/>
    <w:rsid w:val="00570A9B"/>
    <w:rsid w:val="00570C60"/>
    <w:rsid w:val="00572804"/>
    <w:rsid w:val="005768FC"/>
    <w:rsid w:val="005776F2"/>
    <w:rsid w:val="00582F12"/>
    <w:rsid w:val="0058709F"/>
    <w:rsid w:val="005938D9"/>
    <w:rsid w:val="00597D74"/>
    <w:rsid w:val="005A5BAB"/>
    <w:rsid w:val="005B6636"/>
    <w:rsid w:val="005B781D"/>
    <w:rsid w:val="005B79BE"/>
    <w:rsid w:val="005C2226"/>
    <w:rsid w:val="005C2CBC"/>
    <w:rsid w:val="005C3A39"/>
    <w:rsid w:val="005C3D57"/>
    <w:rsid w:val="005C4919"/>
    <w:rsid w:val="005C4ABE"/>
    <w:rsid w:val="005D0B8F"/>
    <w:rsid w:val="005D0C4E"/>
    <w:rsid w:val="005D39F3"/>
    <w:rsid w:val="005D49DF"/>
    <w:rsid w:val="005E03C6"/>
    <w:rsid w:val="005E24AC"/>
    <w:rsid w:val="005E4584"/>
    <w:rsid w:val="005E604E"/>
    <w:rsid w:val="005F1FB2"/>
    <w:rsid w:val="005F5BA0"/>
    <w:rsid w:val="0060427D"/>
    <w:rsid w:val="00607310"/>
    <w:rsid w:val="00611CB0"/>
    <w:rsid w:val="006144B3"/>
    <w:rsid w:val="006148FC"/>
    <w:rsid w:val="00615B33"/>
    <w:rsid w:val="00617D63"/>
    <w:rsid w:val="00621644"/>
    <w:rsid w:val="00623497"/>
    <w:rsid w:val="006235A9"/>
    <w:rsid w:val="00623A6D"/>
    <w:rsid w:val="00631466"/>
    <w:rsid w:val="0063289D"/>
    <w:rsid w:val="0063755D"/>
    <w:rsid w:val="00646BB9"/>
    <w:rsid w:val="00651C7E"/>
    <w:rsid w:val="006527BF"/>
    <w:rsid w:val="00660E7E"/>
    <w:rsid w:val="00663341"/>
    <w:rsid w:val="00667BB2"/>
    <w:rsid w:val="00672632"/>
    <w:rsid w:val="0067785B"/>
    <w:rsid w:val="00681A45"/>
    <w:rsid w:val="00682BBB"/>
    <w:rsid w:val="006837D2"/>
    <w:rsid w:val="00686B69"/>
    <w:rsid w:val="006950C1"/>
    <w:rsid w:val="00695536"/>
    <w:rsid w:val="006A11EF"/>
    <w:rsid w:val="006A2C31"/>
    <w:rsid w:val="006A30E2"/>
    <w:rsid w:val="006A6085"/>
    <w:rsid w:val="006B1B3F"/>
    <w:rsid w:val="006B2386"/>
    <w:rsid w:val="006B768E"/>
    <w:rsid w:val="006B7EB8"/>
    <w:rsid w:val="006C17B6"/>
    <w:rsid w:val="006C408D"/>
    <w:rsid w:val="006C4AB8"/>
    <w:rsid w:val="006C572F"/>
    <w:rsid w:val="006C6544"/>
    <w:rsid w:val="006D63F0"/>
    <w:rsid w:val="006E1121"/>
    <w:rsid w:val="006E221E"/>
    <w:rsid w:val="006F0BD4"/>
    <w:rsid w:val="006F310C"/>
    <w:rsid w:val="006F58F9"/>
    <w:rsid w:val="006F61F6"/>
    <w:rsid w:val="007031D1"/>
    <w:rsid w:val="00707F42"/>
    <w:rsid w:val="00712790"/>
    <w:rsid w:val="00715013"/>
    <w:rsid w:val="00725DA4"/>
    <w:rsid w:val="00726D6E"/>
    <w:rsid w:val="00727833"/>
    <w:rsid w:val="007326D4"/>
    <w:rsid w:val="007330E3"/>
    <w:rsid w:val="00734860"/>
    <w:rsid w:val="00737026"/>
    <w:rsid w:val="00740B86"/>
    <w:rsid w:val="00742351"/>
    <w:rsid w:val="00751FC6"/>
    <w:rsid w:val="00760989"/>
    <w:rsid w:val="007614C0"/>
    <w:rsid w:val="0076163D"/>
    <w:rsid w:val="007650DC"/>
    <w:rsid w:val="007668A2"/>
    <w:rsid w:val="0077216A"/>
    <w:rsid w:val="00774AD2"/>
    <w:rsid w:val="00776C17"/>
    <w:rsid w:val="0077728A"/>
    <w:rsid w:val="00777CC1"/>
    <w:rsid w:val="00780839"/>
    <w:rsid w:val="00781593"/>
    <w:rsid w:val="00781928"/>
    <w:rsid w:val="00783BDB"/>
    <w:rsid w:val="007841FC"/>
    <w:rsid w:val="007853A8"/>
    <w:rsid w:val="007860C0"/>
    <w:rsid w:val="00794CF2"/>
    <w:rsid w:val="00796803"/>
    <w:rsid w:val="00797DB7"/>
    <w:rsid w:val="007A1804"/>
    <w:rsid w:val="007A476E"/>
    <w:rsid w:val="007A5022"/>
    <w:rsid w:val="007C03DB"/>
    <w:rsid w:val="007C4F9D"/>
    <w:rsid w:val="007C66B8"/>
    <w:rsid w:val="007C795D"/>
    <w:rsid w:val="007C7C3E"/>
    <w:rsid w:val="007D102F"/>
    <w:rsid w:val="007D3147"/>
    <w:rsid w:val="007D341B"/>
    <w:rsid w:val="007D5AF2"/>
    <w:rsid w:val="007D7466"/>
    <w:rsid w:val="007E49B1"/>
    <w:rsid w:val="007E56B3"/>
    <w:rsid w:val="007E5827"/>
    <w:rsid w:val="007F105A"/>
    <w:rsid w:val="007F1488"/>
    <w:rsid w:val="007F2975"/>
    <w:rsid w:val="007F2A96"/>
    <w:rsid w:val="007F3A25"/>
    <w:rsid w:val="008015E1"/>
    <w:rsid w:val="00804350"/>
    <w:rsid w:val="00804C59"/>
    <w:rsid w:val="00810D50"/>
    <w:rsid w:val="0081363A"/>
    <w:rsid w:val="00820AB4"/>
    <w:rsid w:val="00820BF6"/>
    <w:rsid w:val="0082292F"/>
    <w:rsid w:val="00827A6D"/>
    <w:rsid w:val="0083050E"/>
    <w:rsid w:val="00832731"/>
    <w:rsid w:val="00833B9B"/>
    <w:rsid w:val="00834347"/>
    <w:rsid w:val="00834976"/>
    <w:rsid w:val="00842EC7"/>
    <w:rsid w:val="0085215F"/>
    <w:rsid w:val="008557A4"/>
    <w:rsid w:val="0086284C"/>
    <w:rsid w:val="00863948"/>
    <w:rsid w:val="00872D39"/>
    <w:rsid w:val="00876E0A"/>
    <w:rsid w:val="008844FB"/>
    <w:rsid w:val="00884D74"/>
    <w:rsid w:val="008872A2"/>
    <w:rsid w:val="008920B4"/>
    <w:rsid w:val="008930E1"/>
    <w:rsid w:val="0089567B"/>
    <w:rsid w:val="00897EEA"/>
    <w:rsid w:val="008B14AB"/>
    <w:rsid w:val="008B18E2"/>
    <w:rsid w:val="008B3E9A"/>
    <w:rsid w:val="008B41DF"/>
    <w:rsid w:val="008B500B"/>
    <w:rsid w:val="008B7145"/>
    <w:rsid w:val="008B71AB"/>
    <w:rsid w:val="008C16FC"/>
    <w:rsid w:val="008C4F68"/>
    <w:rsid w:val="008D0063"/>
    <w:rsid w:val="008D321B"/>
    <w:rsid w:val="008E0505"/>
    <w:rsid w:val="008E0D48"/>
    <w:rsid w:val="008E1174"/>
    <w:rsid w:val="008E1BC2"/>
    <w:rsid w:val="008E4AFC"/>
    <w:rsid w:val="008E66DE"/>
    <w:rsid w:val="008F2168"/>
    <w:rsid w:val="008F3F1E"/>
    <w:rsid w:val="008F429B"/>
    <w:rsid w:val="008F4505"/>
    <w:rsid w:val="008F4BA2"/>
    <w:rsid w:val="00903782"/>
    <w:rsid w:val="00910B1E"/>
    <w:rsid w:val="00911C83"/>
    <w:rsid w:val="009132D2"/>
    <w:rsid w:val="009147CB"/>
    <w:rsid w:val="00920CA1"/>
    <w:rsid w:val="00921C1B"/>
    <w:rsid w:val="009345DA"/>
    <w:rsid w:val="00937EFA"/>
    <w:rsid w:val="00940712"/>
    <w:rsid w:val="00944538"/>
    <w:rsid w:val="0094614E"/>
    <w:rsid w:val="00947E5C"/>
    <w:rsid w:val="00952D8F"/>
    <w:rsid w:val="00952E5E"/>
    <w:rsid w:val="00953227"/>
    <w:rsid w:val="00953B22"/>
    <w:rsid w:val="00953B8B"/>
    <w:rsid w:val="00954D5D"/>
    <w:rsid w:val="00956A70"/>
    <w:rsid w:val="0095728D"/>
    <w:rsid w:val="00963ECB"/>
    <w:rsid w:val="00967A53"/>
    <w:rsid w:val="00967D6F"/>
    <w:rsid w:val="009759B2"/>
    <w:rsid w:val="00982ED1"/>
    <w:rsid w:val="00985FD1"/>
    <w:rsid w:val="00991FE0"/>
    <w:rsid w:val="0099212A"/>
    <w:rsid w:val="0099309B"/>
    <w:rsid w:val="009969C3"/>
    <w:rsid w:val="009A1240"/>
    <w:rsid w:val="009A6C1F"/>
    <w:rsid w:val="009A6EE3"/>
    <w:rsid w:val="009A7A02"/>
    <w:rsid w:val="009C1009"/>
    <w:rsid w:val="009C1975"/>
    <w:rsid w:val="009C207D"/>
    <w:rsid w:val="009C4638"/>
    <w:rsid w:val="009C7F1C"/>
    <w:rsid w:val="009E1072"/>
    <w:rsid w:val="009E2607"/>
    <w:rsid w:val="009E263C"/>
    <w:rsid w:val="009E2FC8"/>
    <w:rsid w:val="009E3076"/>
    <w:rsid w:val="009E3110"/>
    <w:rsid w:val="009F0E61"/>
    <w:rsid w:val="009F1786"/>
    <w:rsid w:val="009F2506"/>
    <w:rsid w:val="00A02517"/>
    <w:rsid w:val="00A11F60"/>
    <w:rsid w:val="00A12284"/>
    <w:rsid w:val="00A15DE5"/>
    <w:rsid w:val="00A164C0"/>
    <w:rsid w:val="00A1731D"/>
    <w:rsid w:val="00A22745"/>
    <w:rsid w:val="00A22F28"/>
    <w:rsid w:val="00A230D3"/>
    <w:rsid w:val="00A2585D"/>
    <w:rsid w:val="00A3039E"/>
    <w:rsid w:val="00A345BF"/>
    <w:rsid w:val="00A35365"/>
    <w:rsid w:val="00A37732"/>
    <w:rsid w:val="00A40574"/>
    <w:rsid w:val="00A432C5"/>
    <w:rsid w:val="00A51E08"/>
    <w:rsid w:val="00A5572D"/>
    <w:rsid w:val="00A56277"/>
    <w:rsid w:val="00A5725A"/>
    <w:rsid w:val="00A57455"/>
    <w:rsid w:val="00A62541"/>
    <w:rsid w:val="00A62787"/>
    <w:rsid w:val="00A62B92"/>
    <w:rsid w:val="00A644D6"/>
    <w:rsid w:val="00A71D99"/>
    <w:rsid w:val="00A7420C"/>
    <w:rsid w:val="00A81263"/>
    <w:rsid w:val="00A837CE"/>
    <w:rsid w:val="00A909D6"/>
    <w:rsid w:val="00A935CF"/>
    <w:rsid w:val="00A943FF"/>
    <w:rsid w:val="00A96BBB"/>
    <w:rsid w:val="00A97E41"/>
    <w:rsid w:val="00AA0D85"/>
    <w:rsid w:val="00AA4E6B"/>
    <w:rsid w:val="00AB2D84"/>
    <w:rsid w:val="00AB3C1E"/>
    <w:rsid w:val="00AB6D90"/>
    <w:rsid w:val="00AC0533"/>
    <w:rsid w:val="00AC51E2"/>
    <w:rsid w:val="00AC71B8"/>
    <w:rsid w:val="00AC72E5"/>
    <w:rsid w:val="00AC7FEA"/>
    <w:rsid w:val="00AD1318"/>
    <w:rsid w:val="00AD1446"/>
    <w:rsid w:val="00AD1A3F"/>
    <w:rsid w:val="00AD284A"/>
    <w:rsid w:val="00AD410B"/>
    <w:rsid w:val="00AD42A0"/>
    <w:rsid w:val="00AE0641"/>
    <w:rsid w:val="00AE33C0"/>
    <w:rsid w:val="00AE38B2"/>
    <w:rsid w:val="00AF09DF"/>
    <w:rsid w:val="00AF4B72"/>
    <w:rsid w:val="00AF7A6F"/>
    <w:rsid w:val="00B008E4"/>
    <w:rsid w:val="00B01A99"/>
    <w:rsid w:val="00B0378B"/>
    <w:rsid w:val="00B07E4B"/>
    <w:rsid w:val="00B16D2A"/>
    <w:rsid w:val="00B21163"/>
    <w:rsid w:val="00B214D7"/>
    <w:rsid w:val="00B23D55"/>
    <w:rsid w:val="00B25249"/>
    <w:rsid w:val="00B262B1"/>
    <w:rsid w:val="00B26A73"/>
    <w:rsid w:val="00B27D74"/>
    <w:rsid w:val="00B307B1"/>
    <w:rsid w:val="00B37678"/>
    <w:rsid w:val="00B50F63"/>
    <w:rsid w:val="00B52EC6"/>
    <w:rsid w:val="00B55A68"/>
    <w:rsid w:val="00B57BA8"/>
    <w:rsid w:val="00B60061"/>
    <w:rsid w:val="00B61365"/>
    <w:rsid w:val="00B62758"/>
    <w:rsid w:val="00B6380C"/>
    <w:rsid w:val="00B63D21"/>
    <w:rsid w:val="00B66ADF"/>
    <w:rsid w:val="00B675CB"/>
    <w:rsid w:val="00B71EBD"/>
    <w:rsid w:val="00B724CE"/>
    <w:rsid w:val="00B731C1"/>
    <w:rsid w:val="00B74B6B"/>
    <w:rsid w:val="00B75A6A"/>
    <w:rsid w:val="00B75F84"/>
    <w:rsid w:val="00B81415"/>
    <w:rsid w:val="00B81C8E"/>
    <w:rsid w:val="00B849B9"/>
    <w:rsid w:val="00B86552"/>
    <w:rsid w:val="00B87206"/>
    <w:rsid w:val="00B903F5"/>
    <w:rsid w:val="00B944D7"/>
    <w:rsid w:val="00B9552A"/>
    <w:rsid w:val="00B960FD"/>
    <w:rsid w:val="00BA0A2F"/>
    <w:rsid w:val="00BA2961"/>
    <w:rsid w:val="00BA2A6F"/>
    <w:rsid w:val="00BA457F"/>
    <w:rsid w:val="00BB455A"/>
    <w:rsid w:val="00BB55AE"/>
    <w:rsid w:val="00BB5A24"/>
    <w:rsid w:val="00BC17D5"/>
    <w:rsid w:val="00BC1A36"/>
    <w:rsid w:val="00BC2578"/>
    <w:rsid w:val="00BC38F2"/>
    <w:rsid w:val="00BC393F"/>
    <w:rsid w:val="00BC3D53"/>
    <w:rsid w:val="00BC3EC8"/>
    <w:rsid w:val="00BC589D"/>
    <w:rsid w:val="00BC77B9"/>
    <w:rsid w:val="00BD1343"/>
    <w:rsid w:val="00BD744D"/>
    <w:rsid w:val="00BE0E76"/>
    <w:rsid w:val="00BE16DB"/>
    <w:rsid w:val="00BE2F2A"/>
    <w:rsid w:val="00BE49F3"/>
    <w:rsid w:val="00BF0045"/>
    <w:rsid w:val="00BF4814"/>
    <w:rsid w:val="00BF4F8B"/>
    <w:rsid w:val="00BF5296"/>
    <w:rsid w:val="00BF69EF"/>
    <w:rsid w:val="00BF73F6"/>
    <w:rsid w:val="00C022C2"/>
    <w:rsid w:val="00C02A44"/>
    <w:rsid w:val="00C04D9E"/>
    <w:rsid w:val="00C0547C"/>
    <w:rsid w:val="00C0586F"/>
    <w:rsid w:val="00C05C86"/>
    <w:rsid w:val="00C12249"/>
    <w:rsid w:val="00C127FF"/>
    <w:rsid w:val="00C12E58"/>
    <w:rsid w:val="00C15747"/>
    <w:rsid w:val="00C15ED5"/>
    <w:rsid w:val="00C20FB2"/>
    <w:rsid w:val="00C23440"/>
    <w:rsid w:val="00C26924"/>
    <w:rsid w:val="00C31D4B"/>
    <w:rsid w:val="00C32B52"/>
    <w:rsid w:val="00C34C39"/>
    <w:rsid w:val="00C34DDA"/>
    <w:rsid w:val="00C3595E"/>
    <w:rsid w:val="00C363C4"/>
    <w:rsid w:val="00C363D3"/>
    <w:rsid w:val="00C36400"/>
    <w:rsid w:val="00C36F80"/>
    <w:rsid w:val="00C40CD0"/>
    <w:rsid w:val="00C41DC2"/>
    <w:rsid w:val="00C42B96"/>
    <w:rsid w:val="00C44E32"/>
    <w:rsid w:val="00C523D7"/>
    <w:rsid w:val="00C54FE1"/>
    <w:rsid w:val="00C6154F"/>
    <w:rsid w:val="00C6424D"/>
    <w:rsid w:val="00C647E5"/>
    <w:rsid w:val="00C65DA3"/>
    <w:rsid w:val="00C71C7D"/>
    <w:rsid w:val="00C741D5"/>
    <w:rsid w:val="00C820E9"/>
    <w:rsid w:val="00C82245"/>
    <w:rsid w:val="00C8590E"/>
    <w:rsid w:val="00C903AF"/>
    <w:rsid w:val="00C91199"/>
    <w:rsid w:val="00C9127E"/>
    <w:rsid w:val="00C92910"/>
    <w:rsid w:val="00C93852"/>
    <w:rsid w:val="00C9534A"/>
    <w:rsid w:val="00CA0F66"/>
    <w:rsid w:val="00CA33C5"/>
    <w:rsid w:val="00CA6C0B"/>
    <w:rsid w:val="00CB5412"/>
    <w:rsid w:val="00CB6B9A"/>
    <w:rsid w:val="00CC1093"/>
    <w:rsid w:val="00CC15CC"/>
    <w:rsid w:val="00CC1FB6"/>
    <w:rsid w:val="00CC75F4"/>
    <w:rsid w:val="00CD2257"/>
    <w:rsid w:val="00CD584C"/>
    <w:rsid w:val="00CD7AAA"/>
    <w:rsid w:val="00CD7B96"/>
    <w:rsid w:val="00CE2176"/>
    <w:rsid w:val="00CE2BC9"/>
    <w:rsid w:val="00CF0649"/>
    <w:rsid w:val="00CF0EBE"/>
    <w:rsid w:val="00CF16F4"/>
    <w:rsid w:val="00CF3CF5"/>
    <w:rsid w:val="00CF6850"/>
    <w:rsid w:val="00CF750D"/>
    <w:rsid w:val="00CF7AA1"/>
    <w:rsid w:val="00D02CB4"/>
    <w:rsid w:val="00D04441"/>
    <w:rsid w:val="00D06465"/>
    <w:rsid w:val="00D112E2"/>
    <w:rsid w:val="00D1698E"/>
    <w:rsid w:val="00D2108D"/>
    <w:rsid w:val="00D2440A"/>
    <w:rsid w:val="00D26844"/>
    <w:rsid w:val="00D4141F"/>
    <w:rsid w:val="00D46DD8"/>
    <w:rsid w:val="00D47ACB"/>
    <w:rsid w:val="00D5056C"/>
    <w:rsid w:val="00D51EAD"/>
    <w:rsid w:val="00D5369D"/>
    <w:rsid w:val="00D559BB"/>
    <w:rsid w:val="00D619AE"/>
    <w:rsid w:val="00D7043A"/>
    <w:rsid w:val="00D70FD2"/>
    <w:rsid w:val="00D71B92"/>
    <w:rsid w:val="00D73D69"/>
    <w:rsid w:val="00D757EF"/>
    <w:rsid w:val="00D764CA"/>
    <w:rsid w:val="00D812AB"/>
    <w:rsid w:val="00D83937"/>
    <w:rsid w:val="00D83E5D"/>
    <w:rsid w:val="00D84F31"/>
    <w:rsid w:val="00D851DA"/>
    <w:rsid w:val="00D9154D"/>
    <w:rsid w:val="00D915F4"/>
    <w:rsid w:val="00D916C0"/>
    <w:rsid w:val="00D93167"/>
    <w:rsid w:val="00D93DAF"/>
    <w:rsid w:val="00D94972"/>
    <w:rsid w:val="00D94D58"/>
    <w:rsid w:val="00D97527"/>
    <w:rsid w:val="00D97B75"/>
    <w:rsid w:val="00DA079E"/>
    <w:rsid w:val="00DA1E67"/>
    <w:rsid w:val="00DA5858"/>
    <w:rsid w:val="00DB0458"/>
    <w:rsid w:val="00DB222B"/>
    <w:rsid w:val="00DB2868"/>
    <w:rsid w:val="00DB4C49"/>
    <w:rsid w:val="00DB5290"/>
    <w:rsid w:val="00DC031D"/>
    <w:rsid w:val="00DC21CE"/>
    <w:rsid w:val="00DC3B05"/>
    <w:rsid w:val="00DC4E67"/>
    <w:rsid w:val="00DD00F5"/>
    <w:rsid w:val="00DD366D"/>
    <w:rsid w:val="00DE078F"/>
    <w:rsid w:val="00DE19D9"/>
    <w:rsid w:val="00DE429A"/>
    <w:rsid w:val="00DE4A0C"/>
    <w:rsid w:val="00DF5461"/>
    <w:rsid w:val="00DF6741"/>
    <w:rsid w:val="00DF73EF"/>
    <w:rsid w:val="00E018C6"/>
    <w:rsid w:val="00E036C8"/>
    <w:rsid w:val="00E04776"/>
    <w:rsid w:val="00E04CE6"/>
    <w:rsid w:val="00E05B40"/>
    <w:rsid w:val="00E10297"/>
    <w:rsid w:val="00E10D9C"/>
    <w:rsid w:val="00E13879"/>
    <w:rsid w:val="00E13CE0"/>
    <w:rsid w:val="00E14DB5"/>
    <w:rsid w:val="00E16943"/>
    <w:rsid w:val="00E17508"/>
    <w:rsid w:val="00E2193F"/>
    <w:rsid w:val="00E23B32"/>
    <w:rsid w:val="00E23E7D"/>
    <w:rsid w:val="00E253EE"/>
    <w:rsid w:val="00E25855"/>
    <w:rsid w:val="00E2686D"/>
    <w:rsid w:val="00E316D9"/>
    <w:rsid w:val="00E34EB6"/>
    <w:rsid w:val="00E42B6A"/>
    <w:rsid w:val="00E4399D"/>
    <w:rsid w:val="00E44741"/>
    <w:rsid w:val="00E53231"/>
    <w:rsid w:val="00E54E75"/>
    <w:rsid w:val="00E55393"/>
    <w:rsid w:val="00E5643E"/>
    <w:rsid w:val="00E5720B"/>
    <w:rsid w:val="00E620D1"/>
    <w:rsid w:val="00E642EC"/>
    <w:rsid w:val="00E64F38"/>
    <w:rsid w:val="00E7400E"/>
    <w:rsid w:val="00E76EB6"/>
    <w:rsid w:val="00E8141D"/>
    <w:rsid w:val="00E856DA"/>
    <w:rsid w:val="00E86F07"/>
    <w:rsid w:val="00E87611"/>
    <w:rsid w:val="00E91165"/>
    <w:rsid w:val="00E92773"/>
    <w:rsid w:val="00E9375D"/>
    <w:rsid w:val="00E9418E"/>
    <w:rsid w:val="00E94621"/>
    <w:rsid w:val="00E96913"/>
    <w:rsid w:val="00EA12F0"/>
    <w:rsid w:val="00EA40EA"/>
    <w:rsid w:val="00EB07CB"/>
    <w:rsid w:val="00EB1F06"/>
    <w:rsid w:val="00EB2A8A"/>
    <w:rsid w:val="00EB7E37"/>
    <w:rsid w:val="00EC030C"/>
    <w:rsid w:val="00EC041C"/>
    <w:rsid w:val="00EC222E"/>
    <w:rsid w:val="00EC3FF2"/>
    <w:rsid w:val="00ED0720"/>
    <w:rsid w:val="00EE0413"/>
    <w:rsid w:val="00EE0973"/>
    <w:rsid w:val="00EE3AF2"/>
    <w:rsid w:val="00EE44E5"/>
    <w:rsid w:val="00EE4F20"/>
    <w:rsid w:val="00EE7051"/>
    <w:rsid w:val="00EE746B"/>
    <w:rsid w:val="00EF4827"/>
    <w:rsid w:val="00F00DDF"/>
    <w:rsid w:val="00F0240A"/>
    <w:rsid w:val="00F03D99"/>
    <w:rsid w:val="00F121C1"/>
    <w:rsid w:val="00F1564B"/>
    <w:rsid w:val="00F20247"/>
    <w:rsid w:val="00F2467F"/>
    <w:rsid w:val="00F25594"/>
    <w:rsid w:val="00F25900"/>
    <w:rsid w:val="00F31348"/>
    <w:rsid w:val="00F32BA7"/>
    <w:rsid w:val="00F404F9"/>
    <w:rsid w:val="00F4425A"/>
    <w:rsid w:val="00F6163C"/>
    <w:rsid w:val="00F6458D"/>
    <w:rsid w:val="00F65EC8"/>
    <w:rsid w:val="00F71EBD"/>
    <w:rsid w:val="00F721E8"/>
    <w:rsid w:val="00F72723"/>
    <w:rsid w:val="00F82C94"/>
    <w:rsid w:val="00F91A2C"/>
    <w:rsid w:val="00F94637"/>
    <w:rsid w:val="00F96938"/>
    <w:rsid w:val="00F97534"/>
    <w:rsid w:val="00FA0BC5"/>
    <w:rsid w:val="00FA35FE"/>
    <w:rsid w:val="00FA5C15"/>
    <w:rsid w:val="00FA7ABF"/>
    <w:rsid w:val="00FB30C6"/>
    <w:rsid w:val="00FC0A1B"/>
    <w:rsid w:val="00FC0DD8"/>
    <w:rsid w:val="00FC31C3"/>
    <w:rsid w:val="00FC5390"/>
    <w:rsid w:val="00FC5EB6"/>
    <w:rsid w:val="00FC71C5"/>
    <w:rsid w:val="00FC7BF7"/>
    <w:rsid w:val="00FD7D84"/>
    <w:rsid w:val="00FD7EDC"/>
    <w:rsid w:val="00FE34AA"/>
    <w:rsid w:val="00FE370B"/>
    <w:rsid w:val="00FE41FD"/>
    <w:rsid w:val="00FE5DF2"/>
    <w:rsid w:val="00FE74F1"/>
    <w:rsid w:val="00FE7B0C"/>
    <w:rsid w:val="00FF132F"/>
    <w:rsid w:val="00FF43FE"/>
    <w:rsid w:val="00FF54D4"/>
    <w:rsid w:val="00FF769E"/>
    <w:rsid w:val="013D5BD6"/>
    <w:rsid w:val="01B34333"/>
    <w:rsid w:val="01C9807B"/>
    <w:rsid w:val="03A11A30"/>
    <w:rsid w:val="04670F37"/>
    <w:rsid w:val="058B6C11"/>
    <w:rsid w:val="0612A0BC"/>
    <w:rsid w:val="061A91F2"/>
    <w:rsid w:val="06C17977"/>
    <w:rsid w:val="06D6D279"/>
    <w:rsid w:val="06D7BDAF"/>
    <w:rsid w:val="073000D8"/>
    <w:rsid w:val="07A85B0C"/>
    <w:rsid w:val="07E07DC8"/>
    <w:rsid w:val="081311DF"/>
    <w:rsid w:val="0871F04C"/>
    <w:rsid w:val="08882C9B"/>
    <w:rsid w:val="08C30CD3"/>
    <w:rsid w:val="0A04A803"/>
    <w:rsid w:val="0BADC8A1"/>
    <w:rsid w:val="0BFAAD95"/>
    <w:rsid w:val="0C81B343"/>
    <w:rsid w:val="0DD277CF"/>
    <w:rsid w:val="0DF36E52"/>
    <w:rsid w:val="0E086898"/>
    <w:rsid w:val="0EE41A4E"/>
    <w:rsid w:val="0F92CA88"/>
    <w:rsid w:val="1053A142"/>
    <w:rsid w:val="11C1E1AB"/>
    <w:rsid w:val="12CA6B4A"/>
    <w:rsid w:val="1304D9DF"/>
    <w:rsid w:val="1355DCA5"/>
    <w:rsid w:val="135AF97B"/>
    <w:rsid w:val="137BF7AE"/>
    <w:rsid w:val="13DFE535"/>
    <w:rsid w:val="14708719"/>
    <w:rsid w:val="1489A904"/>
    <w:rsid w:val="14FBBFC8"/>
    <w:rsid w:val="150D5A8C"/>
    <w:rsid w:val="152BD107"/>
    <w:rsid w:val="1617D5F4"/>
    <w:rsid w:val="161AD558"/>
    <w:rsid w:val="163F6C03"/>
    <w:rsid w:val="16DFCAEA"/>
    <w:rsid w:val="172D687C"/>
    <w:rsid w:val="1817FAD2"/>
    <w:rsid w:val="18A27B26"/>
    <w:rsid w:val="198F6AED"/>
    <w:rsid w:val="1C3A83E9"/>
    <w:rsid w:val="1C9D666D"/>
    <w:rsid w:val="1CA2016B"/>
    <w:rsid w:val="1CDE4FBA"/>
    <w:rsid w:val="1D19518D"/>
    <w:rsid w:val="1D7A84D2"/>
    <w:rsid w:val="1D7AADC5"/>
    <w:rsid w:val="1ED994A8"/>
    <w:rsid w:val="1EF6C918"/>
    <w:rsid w:val="1F21D587"/>
    <w:rsid w:val="1FBC9832"/>
    <w:rsid w:val="1FE63FEE"/>
    <w:rsid w:val="2022AA48"/>
    <w:rsid w:val="211F1CD5"/>
    <w:rsid w:val="2191BAF3"/>
    <w:rsid w:val="21AC437A"/>
    <w:rsid w:val="21E0E1B1"/>
    <w:rsid w:val="222E69DA"/>
    <w:rsid w:val="225A6DAA"/>
    <w:rsid w:val="23AF47A1"/>
    <w:rsid w:val="23F57C1F"/>
    <w:rsid w:val="241FDF53"/>
    <w:rsid w:val="245C9541"/>
    <w:rsid w:val="2514A982"/>
    <w:rsid w:val="26F90DD6"/>
    <w:rsid w:val="27068A45"/>
    <w:rsid w:val="27430653"/>
    <w:rsid w:val="2840CB43"/>
    <w:rsid w:val="289DAB5E"/>
    <w:rsid w:val="29885D7D"/>
    <w:rsid w:val="299408D1"/>
    <w:rsid w:val="2A2A6B2E"/>
    <w:rsid w:val="2A868B9B"/>
    <w:rsid w:val="2AACD6BE"/>
    <w:rsid w:val="2B1A89DC"/>
    <w:rsid w:val="2BD54C20"/>
    <w:rsid w:val="2C781AB3"/>
    <w:rsid w:val="2C8E050D"/>
    <w:rsid w:val="2D3D018A"/>
    <w:rsid w:val="2E22E2AA"/>
    <w:rsid w:val="2EF91A27"/>
    <w:rsid w:val="2F443AAA"/>
    <w:rsid w:val="30DEA3A1"/>
    <w:rsid w:val="320562FB"/>
    <w:rsid w:val="324E465F"/>
    <w:rsid w:val="32A9C5A4"/>
    <w:rsid w:val="32C10047"/>
    <w:rsid w:val="333AA4C6"/>
    <w:rsid w:val="3371F11C"/>
    <w:rsid w:val="33E6E228"/>
    <w:rsid w:val="341AFD3F"/>
    <w:rsid w:val="342E2E87"/>
    <w:rsid w:val="353D03BD"/>
    <w:rsid w:val="36795EDD"/>
    <w:rsid w:val="37E29D96"/>
    <w:rsid w:val="38122578"/>
    <w:rsid w:val="38187B56"/>
    <w:rsid w:val="3834FEEC"/>
    <w:rsid w:val="38642DFA"/>
    <w:rsid w:val="392B9D1C"/>
    <w:rsid w:val="3968CC8A"/>
    <w:rsid w:val="396DC2C0"/>
    <w:rsid w:val="39792F5F"/>
    <w:rsid w:val="3A517562"/>
    <w:rsid w:val="3A578D0F"/>
    <w:rsid w:val="3A7B0F73"/>
    <w:rsid w:val="3A8C016A"/>
    <w:rsid w:val="3AB66394"/>
    <w:rsid w:val="3ADD8487"/>
    <w:rsid w:val="3BA945E7"/>
    <w:rsid w:val="3BE1D2B9"/>
    <w:rsid w:val="3BF00939"/>
    <w:rsid w:val="3BFA857A"/>
    <w:rsid w:val="3C6B0F8C"/>
    <w:rsid w:val="3CD0224C"/>
    <w:rsid w:val="3D11FCF3"/>
    <w:rsid w:val="3D93FCFD"/>
    <w:rsid w:val="3DF81096"/>
    <w:rsid w:val="3F1B35F8"/>
    <w:rsid w:val="3F3A4A9A"/>
    <w:rsid w:val="3F93E0F7"/>
    <w:rsid w:val="4086F161"/>
    <w:rsid w:val="40B7AAE3"/>
    <w:rsid w:val="417894BC"/>
    <w:rsid w:val="419A52B5"/>
    <w:rsid w:val="41A41001"/>
    <w:rsid w:val="41F15998"/>
    <w:rsid w:val="420709A1"/>
    <w:rsid w:val="4248691D"/>
    <w:rsid w:val="42D80DDD"/>
    <w:rsid w:val="43249B49"/>
    <w:rsid w:val="43600849"/>
    <w:rsid w:val="44B0357E"/>
    <w:rsid w:val="44FDFEC2"/>
    <w:rsid w:val="45633403"/>
    <w:rsid w:val="4736B496"/>
    <w:rsid w:val="47F3F311"/>
    <w:rsid w:val="48852532"/>
    <w:rsid w:val="49FA4A12"/>
    <w:rsid w:val="4B2A0847"/>
    <w:rsid w:val="4BABBEA5"/>
    <w:rsid w:val="4C3A849A"/>
    <w:rsid w:val="4CBBC78B"/>
    <w:rsid w:val="4D392166"/>
    <w:rsid w:val="4D8728B8"/>
    <w:rsid w:val="4FF9F02B"/>
    <w:rsid w:val="50C4FEB8"/>
    <w:rsid w:val="510C6C89"/>
    <w:rsid w:val="51E4E050"/>
    <w:rsid w:val="523BC324"/>
    <w:rsid w:val="5268B167"/>
    <w:rsid w:val="528541E8"/>
    <w:rsid w:val="53CA61A2"/>
    <w:rsid w:val="542F26DA"/>
    <w:rsid w:val="54345DA7"/>
    <w:rsid w:val="54C89C01"/>
    <w:rsid w:val="557903BD"/>
    <w:rsid w:val="56183952"/>
    <w:rsid w:val="56FAEE4F"/>
    <w:rsid w:val="56FE5915"/>
    <w:rsid w:val="5826CE77"/>
    <w:rsid w:val="5939E9B9"/>
    <w:rsid w:val="59EED339"/>
    <w:rsid w:val="5A79C1D6"/>
    <w:rsid w:val="5B37DE36"/>
    <w:rsid w:val="5B4F5EA8"/>
    <w:rsid w:val="5BA0E760"/>
    <w:rsid w:val="5BA89AF6"/>
    <w:rsid w:val="5BF23762"/>
    <w:rsid w:val="5C133959"/>
    <w:rsid w:val="5C9ECC5B"/>
    <w:rsid w:val="5CD37EEC"/>
    <w:rsid w:val="5D52BD99"/>
    <w:rsid w:val="5E65A440"/>
    <w:rsid w:val="5E7F457E"/>
    <w:rsid w:val="5E9FC8B6"/>
    <w:rsid w:val="5F2EADC7"/>
    <w:rsid w:val="5FF99F7A"/>
    <w:rsid w:val="605E43B9"/>
    <w:rsid w:val="6150E533"/>
    <w:rsid w:val="61F395CC"/>
    <w:rsid w:val="626C2F68"/>
    <w:rsid w:val="633C800B"/>
    <w:rsid w:val="634546DA"/>
    <w:rsid w:val="63FCF3BC"/>
    <w:rsid w:val="64B80E2B"/>
    <w:rsid w:val="658987B0"/>
    <w:rsid w:val="671A384C"/>
    <w:rsid w:val="67A6BE49"/>
    <w:rsid w:val="680CFF67"/>
    <w:rsid w:val="6850C76D"/>
    <w:rsid w:val="68ADC28C"/>
    <w:rsid w:val="68AEF37B"/>
    <w:rsid w:val="6957FB09"/>
    <w:rsid w:val="69619799"/>
    <w:rsid w:val="6AB35D38"/>
    <w:rsid w:val="6AF76748"/>
    <w:rsid w:val="6B32EA3E"/>
    <w:rsid w:val="6B6D18DB"/>
    <w:rsid w:val="6C5613E2"/>
    <w:rsid w:val="6DA00273"/>
    <w:rsid w:val="6DAF6F9A"/>
    <w:rsid w:val="6EC6C780"/>
    <w:rsid w:val="6F892C3B"/>
    <w:rsid w:val="701C695B"/>
    <w:rsid w:val="708D37B5"/>
    <w:rsid w:val="709F5578"/>
    <w:rsid w:val="71889C02"/>
    <w:rsid w:val="728FC42F"/>
    <w:rsid w:val="72C4D2DB"/>
    <w:rsid w:val="732EAB1A"/>
    <w:rsid w:val="73540707"/>
    <w:rsid w:val="73CB841D"/>
    <w:rsid w:val="74D8D767"/>
    <w:rsid w:val="75C2878E"/>
    <w:rsid w:val="7726DC3B"/>
    <w:rsid w:val="774986A4"/>
    <w:rsid w:val="780DC03D"/>
    <w:rsid w:val="79359E27"/>
    <w:rsid w:val="7998BE75"/>
    <w:rsid w:val="7A86B7EA"/>
    <w:rsid w:val="7B0D676D"/>
    <w:rsid w:val="7BBD43F5"/>
    <w:rsid w:val="7BCB992C"/>
    <w:rsid w:val="7C4E86E6"/>
    <w:rsid w:val="7C6D3EE9"/>
    <w:rsid w:val="7C6F0A1E"/>
    <w:rsid w:val="7CDA1704"/>
    <w:rsid w:val="7D85A3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2ABFD6"/>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32D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Ttulo">
    <w:name w:val="Title"/>
    <w:basedOn w:val="Normal"/>
    <w:link w:val="TtuloCar"/>
    <w:uiPriority w:val="99"/>
    <w:qFormat/>
    <w:rsid w:val="008872A2"/>
    <w:pPr>
      <w:jc w:val="center"/>
    </w:pPr>
    <w:rPr>
      <w:rFonts w:ascii="Arial" w:hAnsi="Arial"/>
      <w:b/>
      <w:i/>
      <w:sz w:val="24"/>
    </w:rPr>
  </w:style>
  <w:style w:type="character" w:customStyle="1" w:styleId="TtuloCar">
    <w:name w:val="Título Car"/>
    <w:basedOn w:val="Fuentedeprrafopredeter"/>
    <w:link w:val="Ttul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C,Footnotes refss,Appel note de bas de page,Fago Fußnotenzeichen,Nota a pie,Ref. de nota al pie 2,Footnote symbol,Footnote,Char Car Car Car Ca,Ref. de nota al pie2,R,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customStyle="1" w:styleId="SinespaciadoCar1">
    <w:name w:val="Sin espaciado Car1"/>
    <w:uiPriority w:val="99"/>
    <w:locked/>
    <w:rsid w:val="00AC7FEA"/>
    <w:rPr>
      <w:rFonts w:ascii="Courier New" w:hAnsi="Courier New" w:cs="Courier New"/>
      <w:sz w:val="22"/>
      <w:szCs w:val="22"/>
      <w:lang w:val="es-ES" w:eastAsia="es-ES"/>
    </w:rPr>
  </w:style>
  <w:style w:type="character" w:customStyle="1" w:styleId="apple-converted-space">
    <w:name w:val="apple-converted-space"/>
    <w:basedOn w:val="Fuentedeprrafopredeter"/>
    <w:rsid w:val="002E660C"/>
  </w:style>
  <w:style w:type="character" w:styleId="Textoennegrita">
    <w:name w:val="Strong"/>
    <w:basedOn w:val="Fuentedeprrafopredeter"/>
    <w:uiPriority w:val="22"/>
    <w:qFormat/>
    <w:rsid w:val="002E660C"/>
    <w:rPr>
      <w:b/>
      <w:bCs/>
    </w:rPr>
  </w:style>
  <w:style w:type="paragraph" w:styleId="Textocomentario">
    <w:name w:val="annotation text"/>
    <w:basedOn w:val="Normal"/>
    <w:link w:val="TextocomentarioCar"/>
    <w:uiPriority w:val="99"/>
    <w:unhideWhenUsed/>
    <w:rsid w:val="008C16FC"/>
  </w:style>
  <w:style w:type="character" w:customStyle="1" w:styleId="TextocomentarioCar">
    <w:name w:val="Texto comentario Car"/>
    <w:basedOn w:val="Fuentedeprrafopredeter"/>
    <w:link w:val="Textocomentario"/>
    <w:uiPriority w:val="99"/>
    <w:rsid w:val="008C16FC"/>
    <w:rPr>
      <w:rFonts w:ascii="Times New Roman" w:hAnsi="Times New Roman" w:cs="Times New Roman"/>
      <w:sz w:val="20"/>
      <w:szCs w:val="20"/>
      <w:lang w:val="es-ES" w:eastAsia="es-ES"/>
    </w:rPr>
  </w:style>
  <w:style w:type="character" w:styleId="Refdecomentario">
    <w:name w:val="annotation reference"/>
    <w:basedOn w:val="Fuentedeprrafopredeter"/>
    <w:uiPriority w:val="99"/>
    <w:unhideWhenUsed/>
    <w:rsid w:val="008C16FC"/>
    <w:rPr>
      <w:sz w:val="16"/>
      <w:szCs w:val="16"/>
    </w:rPr>
  </w:style>
  <w:style w:type="character" w:customStyle="1" w:styleId="Cuerpodeltexto">
    <w:name w:val="Cuerpo del texto_"/>
    <w:basedOn w:val="Fuentedeprrafopredeter"/>
    <w:link w:val="Cuerpodeltexto0"/>
    <w:locked/>
    <w:rsid w:val="00E2193F"/>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2193F"/>
    <w:pPr>
      <w:widowControl w:val="0"/>
      <w:shd w:val="clear" w:color="auto" w:fill="FFFFFF"/>
      <w:spacing w:after="300" w:line="364" w:lineRule="exact"/>
      <w:jc w:val="both"/>
    </w:pPr>
    <w:rPr>
      <w:rFonts w:ascii="Tahoma" w:eastAsia="Tahoma" w:hAnsi="Tahoma" w:cs="Tahoma"/>
      <w:sz w:val="21"/>
      <w:szCs w:val="21"/>
      <w:lang w:val="es-CO" w:eastAsia="en-US"/>
    </w:rPr>
  </w:style>
  <w:style w:type="paragraph" w:styleId="Asuntodelcomentario">
    <w:name w:val="annotation subject"/>
    <w:basedOn w:val="Textocomentario"/>
    <w:next w:val="Textocomentario"/>
    <w:link w:val="AsuntodelcomentarioCar"/>
    <w:uiPriority w:val="99"/>
    <w:rsid w:val="00833B9B"/>
    <w:rPr>
      <w:b/>
      <w:bCs/>
    </w:rPr>
  </w:style>
  <w:style w:type="character" w:customStyle="1" w:styleId="AsuntodelcomentarioCar">
    <w:name w:val="Asunto del comentario Car"/>
    <w:basedOn w:val="TextocomentarioCar"/>
    <w:link w:val="Asuntodelcomentario"/>
    <w:uiPriority w:val="99"/>
    <w:rsid w:val="00833B9B"/>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48">
      <w:bodyDiv w:val="1"/>
      <w:marLeft w:val="0"/>
      <w:marRight w:val="0"/>
      <w:marTop w:val="0"/>
      <w:marBottom w:val="0"/>
      <w:divBdr>
        <w:top w:val="none" w:sz="0" w:space="0" w:color="auto"/>
        <w:left w:val="none" w:sz="0" w:space="0" w:color="auto"/>
        <w:bottom w:val="none" w:sz="0" w:space="0" w:color="auto"/>
        <w:right w:val="none" w:sz="0" w:space="0" w:color="auto"/>
      </w:divBdr>
    </w:div>
    <w:div w:id="242573239">
      <w:bodyDiv w:val="1"/>
      <w:marLeft w:val="0"/>
      <w:marRight w:val="0"/>
      <w:marTop w:val="0"/>
      <w:marBottom w:val="0"/>
      <w:divBdr>
        <w:top w:val="none" w:sz="0" w:space="0" w:color="auto"/>
        <w:left w:val="none" w:sz="0" w:space="0" w:color="auto"/>
        <w:bottom w:val="none" w:sz="0" w:space="0" w:color="auto"/>
        <w:right w:val="none" w:sz="0" w:space="0" w:color="auto"/>
      </w:divBdr>
    </w:div>
    <w:div w:id="301544276">
      <w:bodyDiv w:val="1"/>
      <w:marLeft w:val="0"/>
      <w:marRight w:val="0"/>
      <w:marTop w:val="0"/>
      <w:marBottom w:val="0"/>
      <w:divBdr>
        <w:top w:val="none" w:sz="0" w:space="0" w:color="auto"/>
        <w:left w:val="none" w:sz="0" w:space="0" w:color="auto"/>
        <w:bottom w:val="none" w:sz="0" w:space="0" w:color="auto"/>
        <w:right w:val="none" w:sz="0" w:space="0" w:color="auto"/>
      </w:divBdr>
    </w:div>
    <w:div w:id="353001767">
      <w:bodyDiv w:val="1"/>
      <w:marLeft w:val="0"/>
      <w:marRight w:val="0"/>
      <w:marTop w:val="0"/>
      <w:marBottom w:val="0"/>
      <w:divBdr>
        <w:top w:val="none" w:sz="0" w:space="0" w:color="auto"/>
        <w:left w:val="none" w:sz="0" w:space="0" w:color="auto"/>
        <w:bottom w:val="none" w:sz="0" w:space="0" w:color="auto"/>
        <w:right w:val="none" w:sz="0" w:space="0" w:color="auto"/>
      </w:divBdr>
    </w:div>
    <w:div w:id="462308514">
      <w:bodyDiv w:val="1"/>
      <w:marLeft w:val="0"/>
      <w:marRight w:val="0"/>
      <w:marTop w:val="0"/>
      <w:marBottom w:val="0"/>
      <w:divBdr>
        <w:top w:val="none" w:sz="0" w:space="0" w:color="auto"/>
        <w:left w:val="none" w:sz="0" w:space="0" w:color="auto"/>
        <w:bottom w:val="none" w:sz="0" w:space="0" w:color="auto"/>
        <w:right w:val="none" w:sz="0" w:space="0" w:color="auto"/>
      </w:divBdr>
    </w:div>
    <w:div w:id="544635111">
      <w:bodyDiv w:val="1"/>
      <w:marLeft w:val="0"/>
      <w:marRight w:val="0"/>
      <w:marTop w:val="0"/>
      <w:marBottom w:val="0"/>
      <w:divBdr>
        <w:top w:val="none" w:sz="0" w:space="0" w:color="auto"/>
        <w:left w:val="none" w:sz="0" w:space="0" w:color="auto"/>
        <w:bottom w:val="none" w:sz="0" w:space="0" w:color="auto"/>
        <w:right w:val="none" w:sz="0" w:space="0" w:color="auto"/>
      </w:divBdr>
    </w:div>
    <w:div w:id="797838795">
      <w:bodyDiv w:val="1"/>
      <w:marLeft w:val="0"/>
      <w:marRight w:val="0"/>
      <w:marTop w:val="0"/>
      <w:marBottom w:val="0"/>
      <w:divBdr>
        <w:top w:val="none" w:sz="0" w:space="0" w:color="auto"/>
        <w:left w:val="none" w:sz="0" w:space="0" w:color="auto"/>
        <w:bottom w:val="none" w:sz="0" w:space="0" w:color="auto"/>
        <w:right w:val="none" w:sz="0" w:space="0" w:color="auto"/>
      </w:divBdr>
    </w:div>
    <w:div w:id="992373212">
      <w:bodyDiv w:val="1"/>
      <w:marLeft w:val="0"/>
      <w:marRight w:val="0"/>
      <w:marTop w:val="0"/>
      <w:marBottom w:val="0"/>
      <w:divBdr>
        <w:top w:val="none" w:sz="0" w:space="0" w:color="auto"/>
        <w:left w:val="none" w:sz="0" w:space="0" w:color="auto"/>
        <w:bottom w:val="none" w:sz="0" w:space="0" w:color="auto"/>
        <w:right w:val="none" w:sz="0" w:space="0" w:color="auto"/>
      </w:divBdr>
    </w:div>
    <w:div w:id="1222331867">
      <w:bodyDiv w:val="1"/>
      <w:marLeft w:val="0"/>
      <w:marRight w:val="0"/>
      <w:marTop w:val="0"/>
      <w:marBottom w:val="0"/>
      <w:divBdr>
        <w:top w:val="none" w:sz="0" w:space="0" w:color="auto"/>
        <w:left w:val="none" w:sz="0" w:space="0" w:color="auto"/>
        <w:bottom w:val="none" w:sz="0" w:space="0" w:color="auto"/>
        <w:right w:val="none" w:sz="0" w:space="0" w:color="auto"/>
      </w:divBdr>
    </w:div>
    <w:div w:id="1281768214">
      <w:bodyDiv w:val="1"/>
      <w:marLeft w:val="0"/>
      <w:marRight w:val="0"/>
      <w:marTop w:val="0"/>
      <w:marBottom w:val="0"/>
      <w:divBdr>
        <w:top w:val="none" w:sz="0" w:space="0" w:color="auto"/>
        <w:left w:val="none" w:sz="0" w:space="0" w:color="auto"/>
        <w:bottom w:val="none" w:sz="0" w:space="0" w:color="auto"/>
        <w:right w:val="none" w:sz="0" w:space="0" w:color="auto"/>
      </w:divBdr>
    </w:div>
    <w:div w:id="1370372994">
      <w:bodyDiv w:val="1"/>
      <w:marLeft w:val="0"/>
      <w:marRight w:val="0"/>
      <w:marTop w:val="0"/>
      <w:marBottom w:val="0"/>
      <w:divBdr>
        <w:top w:val="none" w:sz="0" w:space="0" w:color="auto"/>
        <w:left w:val="none" w:sz="0" w:space="0" w:color="auto"/>
        <w:bottom w:val="none" w:sz="0" w:space="0" w:color="auto"/>
        <w:right w:val="none" w:sz="0" w:space="0" w:color="auto"/>
      </w:divBdr>
    </w:div>
    <w:div w:id="15819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b651cdc89bb5497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3" ma:contentTypeDescription="Crear nuevo documento." ma:contentTypeScope="" ma:versionID="cf3c778c7db28c7662df68ee229509e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74f58a98d6aa49fabd45613da598c98f"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74CE5-0163-4B02-AB38-F8E1A8232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B7BC1-A72B-4600-9333-C535FE6E4168}">
  <ds:schemaRefs>
    <ds:schemaRef ds:uri="http://schemas.microsoft.com/sharepoint/v3/contenttype/forms"/>
  </ds:schemaRefs>
</ds:datastoreItem>
</file>

<file path=customXml/itemProps3.xml><?xml version="1.0" encoding="utf-8"?>
<ds:datastoreItem xmlns:ds="http://schemas.openxmlformats.org/officeDocument/2006/customXml" ds:itemID="{E2D8D997-C703-4D15-B257-E4C4F6A94E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8D6B9C-5977-4B59-A609-A88F2C69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1820</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Hermides Alonso Gaviria Ocampo</cp:lastModifiedBy>
  <cp:revision>7</cp:revision>
  <cp:lastPrinted>2019-10-31T14:43:00Z</cp:lastPrinted>
  <dcterms:created xsi:type="dcterms:W3CDTF">2021-03-02T12:18:00Z</dcterms:created>
  <dcterms:modified xsi:type="dcterms:W3CDTF">2022-02-26T18:36:00Z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