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9770" w14:textId="77777777" w:rsidR="005A6C3C" w:rsidRPr="005A6C3C" w:rsidRDefault="005A6C3C" w:rsidP="005A6C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A6C3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A575E3" w14:textId="77777777" w:rsidR="005A6C3C" w:rsidRPr="005A6C3C" w:rsidRDefault="005A6C3C" w:rsidP="005A6C3C">
      <w:pPr>
        <w:jc w:val="both"/>
        <w:rPr>
          <w:rFonts w:ascii="Arial" w:hAnsi="Arial" w:cs="Arial"/>
          <w:lang w:val="es-419"/>
        </w:rPr>
      </w:pPr>
    </w:p>
    <w:p w14:paraId="366C756E" w14:textId="31492A1C" w:rsidR="005A6C3C" w:rsidRPr="005A6C3C" w:rsidRDefault="005A6C3C" w:rsidP="005A6C3C">
      <w:pPr>
        <w:jc w:val="both"/>
        <w:rPr>
          <w:rFonts w:ascii="Arial" w:hAnsi="Arial" w:cs="Arial"/>
          <w:lang w:val="es-419"/>
        </w:rPr>
      </w:pPr>
      <w:r w:rsidRPr="005A6C3C">
        <w:rPr>
          <w:rFonts w:ascii="Arial" w:hAnsi="Arial" w:cs="Arial"/>
          <w:lang w:val="es-419"/>
        </w:rPr>
        <w:t>Asunto</w:t>
      </w:r>
      <w:r>
        <w:rPr>
          <w:rFonts w:ascii="Arial" w:hAnsi="Arial" w:cs="Arial"/>
          <w:lang w:val="es-419"/>
        </w:rPr>
        <w:tab/>
      </w:r>
      <w:r w:rsidRPr="005A6C3C">
        <w:rPr>
          <w:rFonts w:ascii="Arial" w:hAnsi="Arial" w:cs="Arial"/>
          <w:lang w:val="es-419"/>
        </w:rPr>
        <w:tab/>
      </w:r>
      <w:r w:rsidRPr="005A6C3C">
        <w:rPr>
          <w:rFonts w:ascii="Arial" w:hAnsi="Arial" w:cs="Arial"/>
          <w:lang w:val="es-419"/>
        </w:rPr>
        <w:tab/>
        <w:t xml:space="preserve">: Decide reposición </w:t>
      </w:r>
    </w:p>
    <w:p w14:paraId="79E1C1BE" w14:textId="77777777" w:rsidR="005A6C3C" w:rsidRPr="005A6C3C" w:rsidRDefault="005A6C3C" w:rsidP="005A6C3C">
      <w:pPr>
        <w:jc w:val="both"/>
        <w:rPr>
          <w:rFonts w:ascii="Arial" w:hAnsi="Arial" w:cs="Arial"/>
          <w:lang w:val="es-419"/>
        </w:rPr>
      </w:pPr>
      <w:r w:rsidRPr="005A6C3C">
        <w:rPr>
          <w:rFonts w:ascii="Arial" w:hAnsi="Arial" w:cs="Arial"/>
          <w:lang w:val="es-419"/>
        </w:rPr>
        <w:t>Tipo de proceso</w:t>
      </w:r>
      <w:r w:rsidRPr="005A6C3C">
        <w:rPr>
          <w:rFonts w:ascii="Arial" w:hAnsi="Arial" w:cs="Arial"/>
          <w:lang w:val="es-419"/>
        </w:rPr>
        <w:tab/>
        <w:t>: Verbal – Unión marital de hecho</w:t>
      </w:r>
    </w:p>
    <w:p w14:paraId="64D28C7C" w14:textId="77777777" w:rsidR="005A6C3C" w:rsidRPr="005A6C3C" w:rsidRDefault="005A6C3C" w:rsidP="005A6C3C">
      <w:pPr>
        <w:jc w:val="both"/>
        <w:rPr>
          <w:rFonts w:ascii="Arial" w:hAnsi="Arial" w:cs="Arial"/>
          <w:lang w:val="es-419"/>
        </w:rPr>
      </w:pPr>
      <w:r w:rsidRPr="005A6C3C">
        <w:rPr>
          <w:rFonts w:ascii="Arial" w:hAnsi="Arial" w:cs="Arial"/>
          <w:lang w:val="es-419"/>
        </w:rPr>
        <w:t>Demandante</w:t>
      </w:r>
      <w:r w:rsidRPr="005A6C3C">
        <w:rPr>
          <w:rFonts w:ascii="Arial" w:hAnsi="Arial" w:cs="Arial"/>
          <w:lang w:val="es-419"/>
        </w:rPr>
        <w:tab/>
      </w:r>
      <w:r w:rsidRPr="005A6C3C">
        <w:rPr>
          <w:rFonts w:ascii="Arial" w:hAnsi="Arial" w:cs="Arial"/>
          <w:lang w:val="es-419"/>
        </w:rPr>
        <w:tab/>
        <w:t>: Sergio Andrés Arrieta</w:t>
      </w:r>
    </w:p>
    <w:p w14:paraId="7C6451A0" w14:textId="77777777" w:rsidR="005A6C3C" w:rsidRPr="005A6C3C" w:rsidRDefault="005A6C3C" w:rsidP="005A6C3C">
      <w:pPr>
        <w:jc w:val="both"/>
        <w:rPr>
          <w:rFonts w:ascii="Arial" w:hAnsi="Arial" w:cs="Arial"/>
          <w:lang w:val="es-419"/>
        </w:rPr>
      </w:pPr>
      <w:r w:rsidRPr="005A6C3C">
        <w:rPr>
          <w:rFonts w:ascii="Arial" w:hAnsi="Arial" w:cs="Arial"/>
          <w:lang w:val="es-419"/>
        </w:rPr>
        <w:t>Demandada</w:t>
      </w:r>
      <w:r w:rsidRPr="005A6C3C">
        <w:rPr>
          <w:rFonts w:ascii="Arial" w:hAnsi="Arial" w:cs="Arial"/>
          <w:lang w:val="es-419"/>
        </w:rPr>
        <w:tab/>
      </w:r>
      <w:r w:rsidRPr="005A6C3C">
        <w:rPr>
          <w:rFonts w:ascii="Arial" w:hAnsi="Arial" w:cs="Arial"/>
          <w:lang w:val="es-419"/>
        </w:rPr>
        <w:tab/>
        <w:t xml:space="preserve">: Yamile Bonilla </w:t>
      </w:r>
      <w:proofErr w:type="spellStart"/>
      <w:r w:rsidRPr="005A6C3C">
        <w:rPr>
          <w:rFonts w:ascii="Arial" w:hAnsi="Arial" w:cs="Arial"/>
          <w:lang w:val="es-419"/>
        </w:rPr>
        <w:t>Alvarán</w:t>
      </w:r>
      <w:proofErr w:type="spellEnd"/>
      <w:r w:rsidRPr="005A6C3C">
        <w:rPr>
          <w:rFonts w:ascii="Arial" w:hAnsi="Arial" w:cs="Arial"/>
          <w:lang w:val="es-419"/>
        </w:rPr>
        <w:t xml:space="preserve"> </w:t>
      </w:r>
    </w:p>
    <w:p w14:paraId="2F9C6C80" w14:textId="77777777" w:rsidR="005A6C3C" w:rsidRPr="005A6C3C" w:rsidRDefault="005A6C3C" w:rsidP="005A6C3C">
      <w:pPr>
        <w:jc w:val="both"/>
        <w:rPr>
          <w:rFonts w:ascii="Arial" w:hAnsi="Arial" w:cs="Arial"/>
          <w:lang w:val="es-419"/>
        </w:rPr>
      </w:pPr>
      <w:r w:rsidRPr="005A6C3C">
        <w:rPr>
          <w:rFonts w:ascii="Arial" w:hAnsi="Arial" w:cs="Arial"/>
          <w:lang w:val="es-419"/>
        </w:rPr>
        <w:t>Procedencia</w:t>
      </w:r>
      <w:r w:rsidRPr="005A6C3C">
        <w:rPr>
          <w:rFonts w:ascii="Arial" w:hAnsi="Arial" w:cs="Arial"/>
          <w:lang w:val="es-419"/>
        </w:rPr>
        <w:tab/>
      </w:r>
      <w:r w:rsidRPr="005A6C3C">
        <w:rPr>
          <w:rFonts w:ascii="Arial" w:hAnsi="Arial" w:cs="Arial"/>
          <w:lang w:val="es-419"/>
        </w:rPr>
        <w:tab/>
        <w:t>: Juzgado Cuarto de Familia de Pereira, R.</w:t>
      </w:r>
    </w:p>
    <w:p w14:paraId="1EFB2A44" w14:textId="77777777" w:rsidR="005A6C3C" w:rsidRPr="005A6C3C" w:rsidRDefault="005A6C3C" w:rsidP="005A6C3C">
      <w:pPr>
        <w:jc w:val="both"/>
        <w:rPr>
          <w:rFonts w:ascii="Arial" w:hAnsi="Arial" w:cs="Arial"/>
          <w:lang w:val="es-419"/>
        </w:rPr>
      </w:pPr>
      <w:r w:rsidRPr="005A6C3C">
        <w:rPr>
          <w:rFonts w:ascii="Arial" w:hAnsi="Arial" w:cs="Arial"/>
          <w:lang w:val="es-419"/>
        </w:rPr>
        <w:t>Radicación</w:t>
      </w:r>
      <w:r w:rsidRPr="005A6C3C">
        <w:rPr>
          <w:rFonts w:ascii="Arial" w:hAnsi="Arial" w:cs="Arial"/>
          <w:lang w:val="es-419"/>
        </w:rPr>
        <w:tab/>
      </w:r>
      <w:r w:rsidRPr="005A6C3C">
        <w:rPr>
          <w:rFonts w:ascii="Arial" w:hAnsi="Arial" w:cs="Arial"/>
          <w:lang w:val="es-419"/>
        </w:rPr>
        <w:tab/>
        <w:t>: 66001-31-10-004-2020-00240-01</w:t>
      </w:r>
    </w:p>
    <w:p w14:paraId="59A842E8" w14:textId="5EE12EFD" w:rsidR="005A6C3C" w:rsidRPr="005A6C3C" w:rsidRDefault="005A6C3C" w:rsidP="005A6C3C">
      <w:pPr>
        <w:jc w:val="both"/>
        <w:rPr>
          <w:rFonts w:ascii="Arial" w:hAnsi="Arial" w:cs="Arial"/>
          <w:lang w:val="es-419"/>
        </w:rPr>
      </w:pPr>
      <w:proofErr w:type="spellStart"/>
      <w:r w:rsidRPr="005A6C3C">
        <w:rPr>
          <w:rFonts w:ascii="Arial" w:hAnsi="Arial" w:cs="Arial"/>
          <w:lang w:val="es-419"/>
        </w:rPr>
        <w:t>Mag</w:t>
      </w:r>
      <w:proofErr w:type="spellEnd"/>
      <w:r w:rsidRPr="005A6C3C">
        <w:rPr>
          <w:rFonts w:ascii="Arial" w:hAnsi="Arial" w:cs="Arial"/>
          <w:lang w:val="es-419"/>
        </w:rPr>
        <w:t>. Sustanciador</w:t>
      </w:r>
      <w:r w:rsidRPr="005A6C3C">
        <w:rPr>
          <w:rFonts w:ascii="Arial" w:hAnsi="Arial" w:cs="Arial"/>
          <w:lang w:val="es-419"/>
        </w:rPr>
        <w:tab/>
        <w:t>: DUBERNEY GRISALES HERRERA</w:t>
      </w:r>
    </w:p>
    <w:p w14:paraId="271B9606" w14:textId="77777777" w:rsidR="005A6C3C" w:rsidRPr="005A6C3C" w:rsidRDefault="005A6C3C" w:rsidP="005A6C3C">
      <w:pPr>
        <w:jc w:val="both"/>
        <w:rPr>
          <w:rFonts w:ascii="Arial" w:hAnsi="Arial" w:cs="Arial"/>
          <w:lang w:val="es-419"/>
        </w:rPr>
      </w:pPr>
    </w:p>
    <w:p w14:paraId="7E358B7C" w14:textId="77777777" w:rsidR="00A1420E" w:rsidRDefault="00A1420E" w:rsidP="00A1420E">
      <w:pPr>
        <w:jc w:val="both"/>
        <w:rPr>
          <w:rFonts w:ascii="Arial" w:hAnsi="Arial" w:cs="Arial"/>
          <w:b/>
          <w:bCs/>
          <w:iCs/>
          <w:lang w:val="es-419" w:eastAsia="fr-FR"/>
        </w:rPr>
      </w:pPr>
      <w:r>
        <w:rPr>
          <w:rFonts w:ascii="Arial" w:hAnsi="Arial" w:cs="Arial"/>
          <w:b/>
          <w:bCs/>
          <w:iCs/>
          <w:u w:val="single"/>
          <w:lang w:val="es-419" w:eastAsia="fr-FR"/>
        </w:rPr>
        <w:t>TEMAS:</w:t>
      </w:r>
      <w:r>
        <w:rPr>
          <w:rFonts w:ascii="Arial" w:hAnsi="Arial" w:cs="Arial"/>
          <w:b/>
          <w:bCs/>
          <w:iCs/>
          <w:lang w:val="es-419" w:eastAsia="fr-FR"/>
        </w:rPr>
        <w:tab/>
      </w:r>
      <w:r>
        <w:rPr>
          <w:rFonts w:ascii="Arial" w:hAnsi="Arial" w:cs="Arial"/>
          <w:b/>
          <w:lang w:val="es-419"/>
        </w:rPr>
        <w:t xml:space="preserve">RECURSO DE APELACIÓN / SUSTENTACIÓN </w:t>
      </w:r>
      <w:r>
        <w:rPr>
          <w:rFonts w:ascii="Arial" w:hAnsi="Arial" w:cs="Arial"/>
          <w:b/>
          <w:bCs/>
          <w:iCs/>
          <w:lang w:val="es-419" w:eastAsia="fr-FR"/>
        </w:rPr>
        <w:t>/ DEBE HACERSE TANTO EN PRIMERA COMO EN SEGUNDA INSTANCIA / EN PRIMERA, PARA EXPONER LOS REPAROS / EN SEGUNDA, PARA SUSTENTAR PROPIAMENTE DICHO / OMITIR LO SEGUNDO DA LUGAR A LA DESERCIÓN DEL RECURSO.</w:t>
      </w:r>
    </w:p>
    <w:p w14:paraId="67350184" w14:textId="77777777" w:rsidR="00A1420E" w:rsidRDefault="00A1420E" w:rsidP="00A1420E">
      <w:pPr>
        <w:jc w:val="both"/>
        <w:rPr>
          <w:rFonts w:ascii="Arial" w:hAnsi="Arial" w:cs="Arial"/>
          <w:lang w:val="es-419"/>
        </w:rPr>
      </w:pPr>
    </w:p>
    <w:p w14:paraId="77880D53" w14:textId="77777777" w:rsidR="00A1420E" w:rsidRDefault="00A1420E" w:rsidP="00A1420E">
      <w:pPr>
        <w:jc w:val="both"/>
        <w:rPr>
          <w:rFonts w:ascii="Arial" w:hAnsi="Arial" w:cs="Arial"/>
          <w:lang w:val="es-419"/>
        </w:rPr>
      </w:pPr>
      <w:r>
        <w:rPr>
          <w:rFonts w:ascii="Arial" w:hAnsi="Arial" w:cs="Arial"/>
          <w:lang w:val="es-419"/>
        </w:rPr>
        <w:t xml:space="preserve">La sustentación, en vigencia del CGP, está estatuida en el artículo 322, que prescribe: “(…)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 Y enseguida refiere que, ante la falta de esos reparos, el juez de primera instancia debe declarar desierto el recurso, así como cuando no fuere sustentado ante el superior.  </w:t>
      </w:r>
    </w:p>
    <w:p w14:paraId="39742A54" w14:textId="77777777" w:rsidR="00A1420E" w:rsidRDefault="00A1420E" w:rsidP="00A1420E">
      <w:pPr>
        <w:jc w:val="both"/>
        <w:rPr>
          <w:rFonts w:ascii="Arial" w:hAnsi="Arial" w:cs="Arial"/>
          <w:lang w:val="es-419"/>
        </w:rPr>
      </w:pPr>
    </w:p>
    <w:p w14:paraId="7D48A96E" w14:textId="06DA05CF" w:rsidR="00C54B30" w:rsidRPr="00C54B30" w:rsidRDefault="00A1420E" w:rsidP="00C54B30">
      <w:pPr>
        <w:jc w:val="both"/>
        <w:rPr>
          <w:rFonts w:ascii="Arial" w:hAnsi="Arial" w:cs="Arial"/>
          <w:lang w:val="es-419"/>
        </w:rPr>
      </w:pPr>
      <w:r>
        <w:rPr>
          <w:rFonts w:ascii="Arial" w:hAnsi="Arial" w:cs="Arial"/>
          <w:lang w:val="es-419"/>
        </w:rPr>
        <w:t>Acorde con lo anterior, fácil se concluye que el estatuto procesal dispone una nueva forma de sustentar el recurso, en dos estadios diferenciados para ese efecto, el primero ante el juez de primer grado, pues allí comienza el ejercicio, señalándose los reparos concretos que la parte tiene contra lo resuelto; y, el segundo ante el superior, dentro de la audiencia que se programe para sustentar (Según la norma anterior, sin la modificación temporal introducida por el Decreto Presidencial No. 806 de 2020), en la que no podrá excederse o desbordar los reparos propuestos ante el inferior (Artículo 327, CGP)</w:t>
      </w:r>
      <w:r w:rsidR="00C54B30">
        <w:rPr>
          <w:rFonts w:ascii="Arial" w:hAnsi="Arial" w:cs="Arial"/>
          <w:lang w:val="es-419"/>
        </w:rPr>
        <w:t xml:space="preserve">. </w:t>
      </w:r>
      <w:r w:rsidR="00C54B30" w:rsidRPr="00C54B30">
        <w:rPr>
          <w:rFonts w:ascii="Arial" w:hAnsi="Arial" w:cs="Arial"/>
          <w:lang w:val="es-419"/>
        </w:rPr>
        <w:t xml:space="preserve">Sobre el punto, resultan útiles las palabras del profesor Rojas G.: </w:t>
      </w:r>
    </w:p>
    <w:p w14:paraId="6798CDE8" w14:textId="77777777" w:rsidR="00C54B30" w:rsidRPr="00C54B30" w:rsidRDefault="00C54B30" w:rsidP="00C54B30">
      <w:pPr>
        <w:jc w:val="both"/>
        <w:rPr>
          <w:rFonts w:ascii="Arial" w:hAnsi="Arial" w:cs="Arial"/>
          <w:lang w:val="es-419"/>
        </w:rPr>
      </w:pPr>
    </w:p>
    <w:p w14:paraId="6C201B50" w14:textId="77777777" w:rsidR="00C54B30" w:rsidRPr="00C54B30" w:rsidRDefault="00C54B30" w:rsidP="00C54B30">
      <w:pPr>
        <w:jc w:val="both"/>
        <w:rPr>
          <w:rFonts w:ascii="Arial" w:hAnsi="Arial" w:cs="Arial"/>
          <w:lang w:val="es-419"/>
        </w:rPr>
      </w:pPr>
      <w:r w:rsidRPr="00C54B30">
        <w:rPr>
          <w:rFonts w:ascii="Arial" w:hAnsi="Arial" w:cs="Arial"/>
          <w:lang w:val="es-419"/>
        </w:rPr>
        <w:t>Cuando se trate de apelación de sentencia la sustentación se debe realizar mediante dos actos en momentos distintos, así:</w:t>
      </w:r>
    </w:p>
    <w:p w14:paraId="26C4CAB1" w14:textId="77777777" w:rsidR="00C54B30" w:rsidRPr="00C54B30" w:rsidRDefault="00C54B30" w:rsidP="00C54B30">
      <w:pPr>
        <w:jc w:val="both"/>
        <w:rPr>
          <w:rFonts w:ascii="Arial" w:hAnsi="Arial" w:cs="Arial"/>
          <w:lang w:val="es-419"/>
        </w:rPr>
      </w:pPr>
    </w:p>
    <w:p w14:paraId="66A0C13D" w14:textId="77777777" w:rsidR="00C54B30" w:rsidRPr="00C54B30" w:rsidRDefault="00C54B30" w:rsidP="00C54B30">
      <w:pPr>
        <w:jc w:val="both"/>
        <w:rPr>
          <w:rFonts w:ascii="Arial" w:hAnsi="Arial" w:cs="Arial"/>
          <w:lang w:val="es-419"/>
        </w:rPr>
      </w:pPr>
      <w:r w:rsidRPr="00C54B30">
        <w:rPr>
          <w:rFonts w:ascii="Arial" w:hAnsi="Arial" w:cs="Arial"/>
          <w:lang w:val="es-419"/>
        </w:rPr>
        <w:t>1.La exposición breve y precisa de los reparos contra el fallo. Se trata de enunciar ante el juez de primera instancia las razones por las que se cuestiona la providencia (…).</w:t>
      </w:r>
    </w:p>
    <w:p w14:paraId="4022324D" w14:textId="77777777" w:rsidR="00C54B30" w:rsidRPr="00C54B30" w:rsidRDefault="00C54B30" w:rsidP="00C54B30">
      <w:pPr>
        <w:jc w:val="both"/>
        <w:rPr>
          <w:rFonts w:ascii="Arial" w:hAnsi="Arial" w:cs="Arial"/>
          <w:lang w:val="es-419"/>
        </w:rPr>
      </w:pPr>
    </w:p>
    <w:p w14:paraId="3888B80D" w14:textId="100E1220" w:rsidR="00A1420E" w:rsidRDefault="00C54B30" w:rsidP="00C54B30">
      <w:pPr>
        <w:jc w:val="both"/>
        <w:rPr>
          <w:rFonts w:ascii="Arial" w:hAnsi="Arial" w:cs="Arial"/>
          <w:lang w:val="es-419"/>
        </w:rPr>
      </w:pPr>
      <w:r w:rsidRPr="00C54B30">
        <w:rPr>
          <w:rFonts w:ascii="Arial" w:hAnsi="Arial" w:cs="Arial"/>
          <w:lang w:val="es-419"/>
        </w:rPr>
        <w:t>2. La sustentación propiamente dicha. Consiste en el alegato que debe hacer el apelante ante el juez de segunda instancia (CGP, art.327-2)</w:t>
      </w:r>
      <w:r>
        <w:rPr>
          <w:rFonts w:ascii="Arial" w:hAnsi="Arial" w:cs="Arial"/>
          <w:lang w:val="es-419"/>
        </w:rPr>
        <w:t xml:space="preserve"> …</w:t>
      </w:r>
    </w:p>
    <w:p w14:paraId="700994E6" w14:textId="77777777" w:rsidR="00A1420E" w:rsidRDefault="00A1420E" w:rsidP="00A1420E">
      <w:pPr>
        <w:jc w:val="both"/>
        <w:rPr>
          <w:rFonts w:ascii="Arial" w:hAnsi="Arial" w:cs="Arial"/>
          <w:lang w:val="es-419"/>
        </w:rPr>
      </w:pPr>
    </w:p>
    <w:p w14:paraId="405357E8" w14:textId="77777777" w:rsidR="00A1420E" w:rsidRDefault="00A1420E" w:rsidP="00A1420E">
      <w:pPr>
        <w:jc w:val="both"/>
        <w:rPr>
          <w:rFonts w:ascii="Arial" w:hAnsi="Arial" w:cs="Arial"/>
        </w:rPr>
      </w:pPr>
      <w:r>
        <w:rPr>
          <w:rFonts w:ascii="Arial" w:hAnsi="Arial" w:cs="Arial"/>
        </w:rPr>
        <w:t>Este discernimiento es compartido por la Sala Civil de la CSJ, en sede constitucional, quien en sinnúmero de sentencias de tutela (Criterio auxiliar), ha insistido en la existencia de esas dos fases para la sustentación del recurso de apelación y que, incumplida la segunda, esto es, la exposición ante el superior, se impone la declaratoria de deserción.</w:t>
      </w:r>
    </w:p>
    <w:p w14:paraId="485D7595" w14:textId="77777777" w:rsidR="005A6C3C" w:rsidRPr="005A6C3C" w:rsidRDefault="005A6C3C" w:rsidP="005A6C3C">
      <w:pPr>
        <w:jc w:val="both"/>
        <w:rPr>
          <w:rFonts w:ascii="Arial" w:hAnsi="Arial" w:cs="Arial"/>
        </w:rPr>
      </w:pPr>
    </w:p>
    <w:p w14:paraId="4474A680" w14:textId="77777777" w:rsidR="005A6C3C" w:rsidRPr="005A6C3C" w:rsidRDefault="005A6C3C" w:rsidP="005A6C3C">
      <w:pPr>
        <w:jc w:val="both"/>
        <w:rPr>
          <w:rFonts w:ascii="Arial" w:hAnsi="Arial" w:cs="Arial"/>
        </w:rPr>
      </w:pPr>
    </w:p>
    <w:p w14:paraId="4A246061" w14:textId="77777777" w:rsidR="005A6C3C" w:rsidRPr="005A6C3C" w:rsidRDefault="005A6C3C" w:rsidP="005A6C3C">
      <w:pPr>
        <w:jc w:val="both"/>
        <w:rPr>
          <w:rFonts w:ascii="Arial" w:hAnsi="Arial" w:cs="Arial"/>
        </w:rPr>
      </w:pPr>
    </w:p>
    <w:p w14:paraId="46285C6A" w14:textId="77777777" w:rsidR="005853EA" w:rsidRPr="005853EA" w:rsidRDefault="005853EA" w:rsidP="005853EA">
      <w:pPr>
        <w:jc w:val="both"/>
        <w:rPr>
          <w:rFonts w:ascii="Arial" w:hAnsi="Arial" w:cs="Arial"/>
        </w:rPr>
      </w:pPr>
      <w:bookmarkStart w:id="0" w:name="_Hlk73520874"/>
      <w:bookmarkStart w:id="1" w:name="_Hlk63144843"/>
    </w:p>
    <w:p w14:paraId="156E1C49" w14:textId="77777777" w:rsidR="005853EA" w:rsidRPr="005853EA" w:rsidRDefault="005853EA" w:rsidP="005853EA">
      <w:pPr>
        <w:jc w:val="center"/>
        <w:rPr>
          <w:rFonts w:ascii="Georgia" w:hAnsi="Georgia" w:cs="Arial"/>
          <w:b/>
          <w:bCs/>
          <w:i/>
          <w:iCs/>
          <w:noProof/>
          <w:sz w:val="24"/>
          <w:szCs w:val="24"/>
        </w:rPr>
      </w:pPr>
      <w:r w:rsidRPr="005853EA">
        <w:rPr>
          <w:rFonts w:ascii="Arial" w:hAnsi="Arial" w:cs="Arial"/>
          <w:b/>
          <w:bCs/>
          <w:i/>
          <w:iCs/>
          <w:noProof/>
          <w:sz w:val="24"/>
          <w:szCs w:val="24"/>
        </w:rPr>
        <w:drawing>
          <wp:anchor distT="0" distB="0" distL="114300" distR="114300" simplePos="0" relativeHeight="251660288" behindDoc="0" locked="0" layoutInCell="1" allowOverlap="1" wp14:anchorId="5C828E50" wp14:editId="179A8A80">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FE4D3" w14:textId="77777777" w:rsidR="005853EA" w:rsidRPr="005853EA" w:rsidRDefault="005853EA" w:rsidP="005853EA">
      <w:pPr>
        <w:spacing w:line="360" w:lineRule="auto"/>
        <w:jc w:val="center"/>
        <w:rPr>
          <w:rFonts w:ascii="Georgia" w:hAnsi="Georgia" w:cs="Arial"/>
          <w:w w:val="140"/>
          <w:sz w:val="14"/>
          <w:szCs w:val="22"/>
        </w:rPr>
      </w:pPr>
    </w:p>
    <w:p w14:paraId="7A3A575A" w14:textId="77777777" w:rsidR="005853EA" w:rsidRPr="005853EA" w:rsidRDefault="005853EA" w:rsidP="005853EA">
      <w:pPr>
        <w:tabs>
          <w:tab w:val="left" w:pos="3579"/>
        </w:tabs>
        <w:spacing w:line="360" w:lineRule="auto"/>
        <w:jc w:val="center"/>
        <w:rPr>
          <w:rFonts w:ascii="Georgia" w:hAnsi="Georgia" w:cs="Arial"/>
          <w:w w:val="140"/>
          <w:sz w:val="18"/>
          <w:szCs w:val="18"/>
          <w:lang w:val="es-CO"/>
        </w:rPr>
      </w:pPr>
      <w:r w:rsidRPr="005853EA">
        <w:rPr>
          <w:rFonts w:ascii="Georgia" w:hAnsi="Georgia" w:cs="Arial"/>
          <w:w w:val="140"/>
          <w:sz w:val="18"/>
          <w:szCs w:val="18"/>
          <w:lang w:val="es-CO"/>
        </w:rPr>
        <w:t>REPUBLICA DE COLOMBIA</w:t>
      </w:r>
    </w:p>
    <w:p w14:paraId="2B361CB2" w14:textId="77777777" w:rsidR="005853EA" w:rsidRPr="005853EA" w:rsidRDefault="005853EA" w:rsidP="005853EA">
      <w:pPr>
        <w:tabs>
          <w:tab w:val="center" w:pos="4987"/>
          <w:tab w:val="left" w:pos="8449"/>
        </w:tabs>
        <w:spacing w:line="360" w:lineRule="auto"/>
        <w:jc w:val="center"/>
        <w:rPr>
          <w:rFonts w:ascii="Georgia" w:hAnsi="Georgia" w:cs="Arial"/>
          <w:w w:val="140"/>
          <w:sz w:val="18"/>
          <w:szCs w:val="18"/>
          <w:lang w:val="es-CO"/>
        </w:rPr>
      </w:pPr>
      <w:r w:rsidRPr="005853EA">
        <w:rPr>
          <w:rFonts w:ascii="Georgia" w:hAnsi="Georgia" w:cs="Arial"/>
          <w:w w:val="140"/>
          <w:sz w:val="18"/>
          <w:szCs w:val="18"/>
          <w:lang w:val="es-CO"/>
        </w:rPr>
        <w:t>RAMA JUDICIAL DEL PODER PÚBLICO</w:t>
      </w:r>
    </w:p>
    <w:p w14:paraId="55F79C06" w14:textId="77777777" w:rsidR="005853EA" w:rsidRPr="005853EA" w:rsidRDefault="005853EA" w:rsidP="005853EA">
      <w:pPr>
        <w:spacing w:line="360" w:lineRule="auto"/>
        <w:jc w:val="center"/>
        <w:rPr>
          <w:rFonts w:ascii="Georgia" w:hAnsi="Georgia" w:cs="Arial"/>
          <w:b/>
          <w:bCs/>
          <w:w w:val="140"/>
          <w:sz w:val="18"/>
          <w:szCs w:val="18"/>
          <w:lang w:val="es-CO"/>
        </w:rPr>
      </w:pPr>
      <w:r w:rsidRPr="005853EA">
        <w:rPr>
          <w:rFonts w:ascii="Georgia" w:hAnsi="Georgia" w:cs="Arial"/>
          <w:b/>
          <w:bCs/>
          <w:w w:val="140"/>
          <w:sz w:val="18"/>
          <w:szCs w:val="18"/>
          <w:lang w:val="es-CO"/>
        </w:rPr>
        <w:t>TRIBUNAL SUPERIOR DEL DISTRITO JUDICIAL</w:t>
      </w:r>
    </w:p>
    <w:p w14:paraId="17297756" w14:textId="77777777" w:rsidR="005853EA" w:rsidRPr="005853EA" w:rsidRDefault="005853EA" w:rsidP="005853EA">
      <w:pPr>
        <w:spacing w:line="360" w:lineRule="auto"/>
        <w:jc w:val="center"/>
        <w:rPr>
          <w:rFonts w:ascii="Georgia" w:hAnsi="Georgia" w:cs="Arial"/>
          <w:w w:val="140"/>
          <w:sz w:val="18"/>
          <w:szCs w:val="18"/>
          <w:lang w:val="es-CO"/>
        </w:rPr>
      </w:pPr>
      <w:r w:rsidRPr="005853EA">
        <w:rPr>
          <w:rFonts w:ascii="Georgia" w:hAnsi="Georgia" w:cs="Arial"/>
          <w:w w:val="140"/>
          <w:sz w:val="18"/>
          <w:szCs w:val="18"/>
          <w:lang w:val="es-CO"/>
        </w:rPr>
        <w:t>SALA DE DECISIÓN CIVIL – FAMILIA – DISTRITO DE PEREIRA</w:t>
      </w:r>
    </w:p>
    <w:p w14:paraId="2CD3D9F6" w14:textId="77777777" w:rsidR="005853EA" w:rsidRPr="005853EA" w:rsidRDefault="005853EA" w:rsidP="005853EA">
      <w:pPr>
        <w:spacing w:line="360" w:lineRule="auto"/>
        <w:jc w:val="center"/>
        <w:rPr>
          <w:rFonts w:ascii="Georgia" w:hAnsi="Georgia" w:cs="Arial"/>
          <w:w w:val="140"/>
          <w:sz w:val="18"/>
          <w:szCs w:val="18"/>
          <w:lang w:val="es-CO"/>
        </w:rPr>
      </w:pPr>
      <w:r w:rsidRPr="005853EA">
        <w:rPr>
          <w:rFonts w:ascii="Georgia" w:hAnsi="Georgia" w:cs="Arial"/>
          <w:w w:val="140"/>
          <w:sz w:val="18"/>
          <w:szCs w:val="18"/>
          <w:lang w:val="es-CO"/>
        </w:rPr>
        <w:t>DEPARTAMENTO DEL RISARALDA</w:t>
      </w:r>
    </w:p>
    <w:p w14:paraId="565D834A" w14:textId="77777777" w:rsidR="005853EA" w:rsidRPr="005853EA" w:rsidRDefault="005853EA" w:rsidP="005853EA">
      <w:pPr>
        <w:pBdr>
          <w:bottom w:val="double" w:sz="6" w:space="1" w:color="auto"/>
        </w:pBdr>
        <w:spacing w:line="276" w:lineRule="auto"/>
        <w:rPr>
          <w:rFonts w:ascii="Georgia" w:hAnsi="Georgia"/>
          <w:spacing w:val="20"/>
          <w:w w:val="150"/>
          <w:sz w:val="24"/>
          <w:szCs w:val="26"/>
        </w:rPr>
      </w:pPr>
    </w:p>
    <w:bookmarkEnd w:id="0"/>
    <w:p w14:paraId="0945F70A" w14:textId="6DC13611" w:rsidR="00A02517" w:rsidRDefault="00A02517" w:rsidP="005853EA">
      <w:pPr>
        <w:spacing w:line="276" w:lineRule="auto"/>
        <w:jc w:val="center"/>
        <w:rPr>
          <w:rFonts w:ascii="Georgia" w:hAnsi="Georgia" w:cs="Arial"/>
          <w:smallCaps/>
          <w:sz w:val="24"/>
          <w:szCs w:val="24"/>
        </w:rPr>
      </w:pPr>
    </w:p>
    <w:p w14:paraId="4D682044" w14:textId="77777777" w:rsidR="00377861" w:rsidRPr="00377861" w:rsidRDefault="00377861" w:rsidP="00377861">
      <w:pPr>
        <w:pStyle w:val="Textoindependiente"/>
        <w:spacing w:line="276" w:lineRule="auto"/>
        <w:jc w:val="center"/>
        <w:rPr>
          <w:rFonts w:ascii="Georgia" w:hAnsi="Georgia" w:cs="Arial"/>
          <w:b/>
          <w:lang w:val="es-CO"/>
        </w:rPr>
      </w:pPr>
      <w:bookmarkStart w:id="2" w:name="_GoBack"/>
      <w:r w:rsidRPr="00377861">
        <w:rPr>
          <w:rFonts w:ascii="Georgia" w:hAnsi="Georgia" w:cs="Arial"/>
          <w:b/>
          <w:lang w:val="es-CO"/>
        </w:rPr>
        <w:t>AF-0009-2021</w:t>
      </w:r>
    </w:p>
    <w:bookmarkEnd w:id="2"/>
    <w:p w14:paraId="28441A58" w14:textId="77777777" w:rsidR="00377861" w:rsidRPr="00583958" w:rsidRDefault="00377861" w:rsidP="005853EA">
      <w:pPr>
        <w:spacing w:line="276" w:lineRule="auto"/>
        <w:jc w:val="center"/>
        <w:rPr>
          <w:rFonts w:ascii="Georgia" w:hAnsi="Georgia" w:cs="Arial"/>
          <w:smallCaps/>
          <w:sz w:val="24"/>
          <w:szCs w:val="24"/>
        </w:rPr>
      </w:pPr>
    </w:p>
    <w:p w14:paraId="696BC1DF" w14:textId="5F97DFB0" w:rsidR="00AA4E6B" w:rsidRPr="00583958" w:rsidRDefault="00D33A4E" w:rsidP="005853EA">
      <w:pPr>
        <w:tabs>
          <w:tab w:val="left" w:pos="1215"/>
          <w:tab w:val="center" w:pos="4702"/>
        </w:tabs>
        <w:spacing w:line="276" w:lineRule="auto"/>
        <w:rPr>
          <w:rFonts w:ascii="Georgia" w:hAnsi="Georgia" w:cs="Arial"/>
          <w:smallCaps/>
          <w:sz w:val="24"/>
          <w:szCs w:val="24"/>
        </w:rPr>
      </w:pPr>
      <w:r w:rsidRPr="00583958">
        <w:rPr>
          <w:rFonts w:ascii="Georgia" w:hAnsi="Georgia" w:cs="Arial"/>
          <w:smallCaps/>
          <w:sz w:val="24"/>
          <w:szCs w:val="24"/>
        </w:rPr>
        <w:tab/>
      </w:r>
      <w:r w:rsidR="00C23F40" w:rsidRPr="00583958">
        <w:rPr>
          <w:rFonts w:ascii="Georgia" w:hAnsi="Georgia" w:cs="Arial"/>
          <w:smallCaps/>
          <w:sz w:val="24"/>
          <w:szCs w:val="24"/>
        </w:rPr>
        <w:t xml:space="preserve">Dieciocho </w:t>
      </w:r>
      <w:r w:rsidR="00AA4E6B" w:rsidRPr="00583958">
        <w:rPr>
          <w:rFonts w:ascii="Georgia" w:hAnsi="Georgia" w:cs="Arial"/>
          <w:smallCaps/>
          <w:sz w:val="24"/>
          <w:szCs w:val="24"/>
        </w:rPr>
        <w:t>(</w:t>
      </w:r>
      <w:r w:rsidR="00C23F40" w:rsidRPr="00583958">
        <w:rPr>
          <w:rFonts w:ascii="Georgia" w:hAnsi="Georgia" w:cs="Arial"/>
          <w:smallCaps/>
          <w:sz w:val="24"/>
          <w:szCs w:val="24"/>
        </w:rPr>
        <w:t>18</w:t>
      </w:r>
      <w:r w:rsidR="00AA4E6B" w:rsidRPr="00583958">
        <w:rPr>
          <w:rFonts w:ascii="Georgia" w:hAnsi="Georgia" w:cs="Arial"/>
          <w:smallCaps/>
          <w:sz w:val="24"/>
          <w:szCs w:val="24"/>
        </w:rPr>
        <w:t xml:space="preserve">) de </w:t>
      </w:r>
      <w:r w:rsidR="00096EAF" w:rsidRPr="00583958">
        <w:rPr>
          <w:rFonts w:ascii="Georgia" w:hAnsi="Georgia" w:cs="Arial"/>
          <w:smallCaps/>
          <w:sz w:val="24"/>
          <w:szCs w:val="24"/>
        </w:rPr>
        <w:t xml:space="preserve">mayo </w:t>
      </w:r>
      <w:r w:rsidR="00AA4E6B" w:rsidRPr="00583958">
        <w:rPr>
          <w:rFonts w:ascii="Georgia" w:hAnsi="Georgia" w:cs="Arial"/>
          <w:smallCaps/>
          <w:sz w:val="24"/>
          <w:szCs w:val="24"/>
        </w:rPr>
        <w:t>de dos mil veint</w:t>
      </w:r>
      <w:r w:rsidR="00C6424D" w:rsidRPr="00583958">
        <w:rPr>
          <w:rFonts w:ascii="Georgia" w:hAnsi="Georgia" w:cs="Arial"/>
          <w:smallCaps/>
          <w:sz w:val="24"/>
          <w:szCs w:val="24"/>
        </w:rPr>
        <w:t>iuno</w:t>
      </w:r>
      <w:r w:rsidR="00AA4E6B" w:rsidRPr="00583958">
        <w:rPr>
          <w:rFonts w:ascii="Georgia" w:hAnsi="Georgia" w:cs="Arial"/>
          <w:smallCaps/>
          <w:sz w:val="24"/>
          <w:szCs w:val="24"/>
        </w:rPr>
        <w:t xml:space="preserve"> (202</w:t>
      </w:r>
      <w:r w:rsidR="00C6424D" w:rsidRPr="00583958">
        <w:rPr>
          <w:rFonts w:ascii="Georgia" w:hAnsi="Georgia" w:cs="Arial"/>
          <w:smallCaps/>
          <w:sz w:val="24"/>
          <w:szCs w:val="24"/>
        </w:rPr>
        <w:t>1</w:t>
      </w:r>
      <w:r w:rsidR="00AA4E6B" w:rsidRPr="00583958">
        <w:rPr>
          <w:rFonts w:ascii="Georgia" w:hAnsi="Georgia" w:cs="Arial"/>
          <w:smallCaps/>
          <w:sz w:val="24"/>
          <w:szCs w:val="24"/>
        </w:rPr>
        <w:t>).</w:t>
      </w:r>
    </w:p>
    <w:bookmarkEnd w:id="1"/>
    <w:p w14:paraId="7C2ABFE9" w14:textId="74A9309C" w:rsidR="008F4BA2" w:rsidRPr="00583958" w:rsidRDefault="008F4BA2" w:rsidP="005853EA">
      <w:pPr>
        <w:spacing w:line="276" w:lineRule="auto"/>
        <w:jc w:val="center"/>
        <w:rPr>
          <w:rFonts w:ascii="Georgia" w:hAnsi="Georgia"/>
          <w:sz w:val="24"/>
          <w:szCs w:val="24"/>
        </w:rPr>
      </w:pPr>
    </w:p>
    <w:p w14:paraId="19BAC3D7" w14:textId="77777777" w:rsidR="00C60906" w:rsidRPr="00583958" w:rsidRDefault="00C60906" w:rsidP="005853EA">
      <w:pPr>
        <w:spacing w:line="276" w:lineRule="auto"/>
        <w:jc w:val="center"/>
        <w:rPr>
          <w:rFonts w:ascii="Georgia" w:hAnsi="Georgia"/>
          <w:sz w:val="24"/>
          <w:szCs w:val="24"/>
        </w:rPr>
      </w:pPr>
    </w:p>
    <w:p w14:paraId="2FB1B2AA" w14:textId="2170FDAD" w:rsidR="00AA4E6B" w:rsidRPr="00583958" w:rsidRDefault="00AA4E6B" w:rsidP="005853EA">
      <w:pPr>
        <w:pStyle w:val="Textoindependiente"/>
        <w:numPr>
          <w:ilvl w:val="0"/>
          <w:numId w:val="15"/>
        </w:numPr>
        <w:spacing w:line="276" w:lineRule="auto"/>
        <w:rPr>
          <w:rFonts w:ascii="Georgia" w:hAnsi="Georgia"/>
          <w:b/>
          <w:smallCaps/>
          <w:szCs w:val="24"/>
        </w:rPr>
      </w:pPr>
      <w:r w:rsidRPr="00583958">
        <w:rPr>
          <w:rFonts w:ascii="Georgia" w:hAnsi="Georgia"/>
          <w:b/>
          <w:smallCaps/>
          <w:szCs w:val="24"/>
        </w:rPr>
        <w:lastRenderedPageBreak/>
        <w:t>EL ASUNTO POR DECIDIR</w:t>
      </w:r>
    </w:p>
    <w:p w14:paraId="7C2ABFEB" w14:textId="77777777" w:rsidR="009F1786" w:rsidRPr="00583958" w:rsidRDefault="009F1786" w:rsidP="005853EA">
      <w:pPr>
        <w:pStyle w:val="Sinespaciado"/>
        <w:spacing w:line="276" w:lineRule="auto"/>
        <w:jc w:val="both"/>
        <w:rPr>
          <w:rFonts w:ascii="Georgia" w:hAnsi="Georgia" w:cs="Arial"/>
          <w:lang w:val="es-CO"/>
        </w:rPr>
      </w:pPr>
    </w:p>
    <w:p w14:paraId="7C2ABFED" w14:textId="20EBA2AA" w:rsidR="009F1786" w:rsidRPr="00583958" w:rsidRDefault="006C17B6" w:rsidP="00583958">
      <w:pPr>
        <w:pStyle w:val="Sinespaciado"/>
        <w:spacing w:line="276" w:lineRule="auto"/>
        <w:jc w:val="both"/>
        <w:rPr>
          <w:rFonts w:ascii="Georgia" w:hAnsi="Georgia" w:cs="Arial"/>
        </w:rPr>
      </w:pPr>
      <w:r w:rsidRPr="00583958">
        <w:rPr>
          <w:rFonts w:ascii="Georgia" w:hAnsi="Georgia" w:cs="Arial"/>
        </w:rPr>
        <w:t>Resolver</w:t>
      </w:r>
      <w:r w:rsidR="005C2CBC" w:rsidRPr="00583958">
        <w:rPr>
          <w:rFonts w:ascii="Georgia" w:hAnsi="Georgia" w:cs="Arial"/>
        </w:rPr>
        <w:t>,</w:t>
      </w:r>
      <w:r w:rsidRPr="00583958">
        <w:rPr>
          <w:rFonts w:ascii="Georgia" w:hAnsi="Georgia" w:cs="Arial"/>
        </w:rPr>
        <w:t xml:space="preserve"> previas las apreciaciones jurídicas que enseguida se plantean, e</w:t>
      </w:r>
      <w:r w:rsidR="00CF16F4" w:rsidRPr="00583958">
        <w:rPr>
          <w:rFonts w:ascii="Georgia" w:hAnsi="Georgia" w:cs="Arial"/>
        </w:rPr>
        <w:t xml:space="preserve">l </w:t>
      </w:r>
      <w:r w:rsidR="009F1786" w:rsidRPr="00583958">
        <w:rPr>
          <w:rFonts w:ascii="Georgia" w:hAnsi="Georgia" w:cs="Arial"/>
        </w:rPr>
        <w:t>recurso ordinario de reposición</w:t>
      </w:r>
      <w:r w:rsidRPr="00583958">
        <w:rPr>
          <w:rFonts w:ascii="Georgia" w:hAnsi="Georgia" w:cs="Arial"/>
        </w:rPr>
        <w:t xml:space="preserve">, </w:t>
      </w:r>
      <w:r w:rsidR="00310588" w:rsidRPr="00583958">
        <w:rPr>
          <w:rFonts w:ascii="Georgia" w:hAnsi="Georgia" w:cs="Arial"/>
        </w:rPr>
        <w:t xml:space="preserve">formulado </w:t>
      </w:r>
      <w:r w:rsidR="009F1786" w:rsidRPr="00583958">
        <w:rPr>
          <w:rFonts w:ascii="Georgia" w:hAnsi="Georgia" w:cs="Arial"/>
        </w:rPr>
        <w:t>por l</w:t>
      </w:r>
      <w:r w:rsidR="00F12B4A" w:rsidRPr="00583958">
        <w:rPr>
          <w:rFonts w:ascii="Georgia" w:hAnsi="Georgia" w:cs="Arial"/>
        </w:rPr>
        <w:t>a</w:t>
      </w:r>
      <w:r w:rsidR="009F1786" w:rsidRPr="00583958">
        <w:rPr>
          <w:rFonts w:ascii="Georgia" w:hAnsi="Georgia" w:cs="Arial"/>
        </w:rPr>
        <w:t xml:space="preserve"> mandatari</w:t>
      </w:r>
      <w:r w:rsidR="00F12B4A" w:rsidRPr="00583958">
        <w:rPr>
          <w:rFonts w:ascii="Georgia" w:hAnsi="Georgia" w:cs="Arial"/>
        </w:rPr>
        <w:t>a</w:t>
      </w:r>
      <w:r w:rsidR="009F1786" w:rsidRPr="00583958">
        <w:rPr>
          <w:rFonts w:ascii="Georgia" w:hAnsi="Georgia" w:cs="Arial"/>
        </w:rPr>
        <w:t xml:space="preserve"> judicial de la parte </w:t>
      </w:r>
      <w:r w:rsidR="00F12B4A" w:rsidRPr="00583958">
        <w:rPr>
          <w:rFonts w:ascii="Georgia" w:hAnsi="Georgia" w:cs="Arial"/>
        </w:rPr>
        <w:t>demandada</w:t>
      </w:r>
      <w:r w:rsidR="00310588" w:rsidRPr="00583958">
        <w:rPr>
          <w:rFonts w:ascii="Georgia" w:hAnsi="Georgia" w:cs="Arial"/>
        </w:rPr>
        <w:t>,</w:t>
      </w:r>
      <w:r w:rsidRPr="00583958">
        <w:rPr>
          <w:rFonts w:ascii="Georgia" w:hAnsi="Georgia" w:cs="Arial"/>
        </w:rPr>
        <w:t xml:space="preserve"> </w:t>
      </w:r>
      <w:r w:rsidR="009F1786" w:rsidRPr="00583958">
        <w:rPr>
          <w:rFonts w:ascii="Georgia" w:hAnsi="Georgia" w:cs="Arial"/>
        </w:rPr>
        <w:t xml:space="preserve">contra </w:t>
      </w:r>
      <w:r w:rsidRPr="00583958">
        <w:rPr>
          <w:rFonts w:ascii="Georgia" w:hAnsi="Georgia" w:cs="Arial"/>
        </w:rPr>
        <w:t xml:space="preserve">el proveído </w:t>
      </w:r>
      <w:r w:rsidR="00310588" w:rsidRPr="00583958">
        <w:rPr>
          <w:rFonts w:ascii="Georgia" w:hAnsi="Georgia" w:cs="Arial"/>
        </w:rPr>
        <w:t xml:space="preserve">fechado </w:t>
      </w:r>
      <w:r w:rsidR="00F12B4A" w:rsidRPr="00583958">
        <w:rPr>
          <w:rFonts w:ascii="Georgia" w:hAnsi="Georgia" w:cs="Arial"/>
        </w:rPr>
        <w:t>27</w:t>
      </w:r>
      <w:r w:rsidR="00310588" w:rsidRPr="00583958">
        <w:rPr>
          <w:rFonts w:ascii="Georgia" w:hAnsi="Georgia" w:cs="Arial"/>
        </w:rPr>
        <w:t>-0</w:t>
      </w:r>
      <w:r w:rsidR="00E25666" w:rsidRPr="00583958">
        <w:rPr>
          <w:rFonts w:ascii="Georgia" w:hAnsi="Georgia" w:cs="Arial"/>
        </w:rPr>
        <w:t>4</w:t>
      </w:r>
      <w:r w:rsidR="00310588" w:rsidRPr="00583958">
        <w:rPr>
          <w:rFonts w:ascii="Georgia" w:hAnsi="Georgia" w:cs="Arial"/>
        </w:rPr>
        <w:t>-2021</w:t>
      </w:r>
      <w:r w:rsidR="009F1786" w:rsidRPr="00583958">
        <w:rPr>
          <w:rFonts w:ascii="Georgia" w:hAnsi="Georgia" w:cs="Arial"/>
        </w:rPr>
        <w:t>.</w:t>
      </w:r>
    </w:p>
    <w:p w14:paraId="230A3696" w14:textId="77777777" w:rsidR="00C60906" w:rsidRPr="00583958" w:rsidRDefault="00C60906" w:rsidP="005853EA">
      <w:pPr>
        <w:pStyle w:val="Sinespaciado"/>
        <w:tabs>
          <w:tab w:val="left" w:pos="2355"/>
        </w:tabs>
        <w:spacing w:line="276" w:lineRule="auto"/>
        <w:jc w:val="both"/>
        <w:rPr>
          <w:rFonts w:ascii="Georgia" w:hAnsi="Georgia" w:cs="Arial"/>
        </w:rPr>
      </w:pPr>
    </w:p>
    <w:p w14:paraId="7C2ABFEF" w14:textId="2ADF1481" w:rsidR="009F1786" w:rsidRPr="00583958" w:rsidRDefault="006C17B6" w:rsidP="005853EA">
      <w:pPr>
        <w:pStyle w:val="Textoindependiente"/>
        <w:numPr>
          <w:ilvl w:val="0"/>
          <w:numId w:val="15"/>
        </w:numPr>
        <w:spacing w:line="276" w:lineRule="auto"/>
        <w:rPr>
          <w:rFonts w:ascii="Georgia" w:hAnsi="Georgia"/>
          <w:b/>
          <w:smallCaps/>
          <w:szCs w:val="24"/>
        </w:rPr>
      </w:pPr>
      <w:r w:rsidRPr="00583958">
        <w:rPr>
          <w:rFonts w:ascii="Georgia" w:hAnsi="Georgia"/>
          <w:b/>
          <w:smallCaps/>
          <w:szCs w:val="24"/>
        </w:rPr>
        <w:t>La providencia recurrida</w:t>
      </w:r>
    </w:p>
    <w:p w14:paraId="27FFDAD4" w14:textId="77777777" w:rsidR="006C17B6" w:rsidRPr="00583958" w:rsidRDefault="006C17B6" w:rsidP="005853EA">
      <w:pPr>
        <w:spacing w:line="276" w:lineRule="auto"/>
        <w:jc w:val="both"/>
        <w:rPr>
          <w:rFonts w:ascii="Georgia" w:hAnsi="Georgia" w:cs="Arial"/>
          <w:sz w:val="24"/>
          <w:szCs w:val="24"/>
        </w:rPr>
      </w:pPr>
    </w:p>
    <w:p w14:paraId="7C2ABFF0" w14:textId="423E8A8E" w:rsidR="009F1786" w:rsidRPr="00583958" w:rsidRDefault="00310588" w:rsidP="005853EA">
      <w:pPr>
        <w:spacing w:line="276" w:lineRule="auto"/>
        <w:jc w:val="both"/>
        <w:rPr>
          <w:rFonts w:ascii="Georgia" w:hAnsi="Georgia" w:cs="Arial"/>
          <w:sz w:val="24"/>
          <w:szCs w:val="24"/>
        </w:rPr>
      </w:pPr>
      <w:r w:rsidRPr="00583958">
        <w:rPr>
          <w:rFonts w:ascii="Georgia" w:hAnsi="Georgia" w:cs="Arial"/>
          <w:sz w:val="24"/>
          <w:szCs w:val="24"/>
        </w:rPr>
        <w:t xml:space="preserve">Dispuso </w:t>
      </w:r>
      <w:r w:rsidR="00B262B1" w:rsidRPr="00583958">
        <w:rPr>
          <w:rFonts w:ascii="Georgia" w:hAnsi="Georgia" w:cs="Arial"/>
          <w:sz w:val="24"/>
          <w:szCs w:val="24"/>
        </w:rPr>
        <w:t xml:space="preserve">la deserción </w:t>
      </w:r>
      <w:r w:rsidR="00712790" w:rsidRPr="00583958">
        <w:rPr>
          <w:rFonts w:ascii="Georgia" w:hAnsi="Georgia" w:cs="Arial"/>
          <w:sz w:val="24"/>
          <w:szCs w:val="24"/>
        </w:rPr>
        <w:t>de la alzada</w:t>
      </w:r>
      <w:r w:rsidR="00B262B1" w:rsidRPr="00583958">
        <w:rPr>
          <w:rFonts w:ascii="Georgia" w:hAnsi="Georgia" w:cs="Arial"/>
          <w:sz w:val="24"/>
          <w:szCs w:val="24"/>
        </w:rPr>
        <w:t xml:space="preserve">, </w:t>
      </w:r>
      <w:r w:rsidR="00965E80" w:rsidRPr="00583958">
        <w:rPr>
          <w:rFonts w:ascii="Georgia" w:hAnsi="Georgia" w:cs="Arial"/>
          <w:sz w:val="24"/>
          <w:szCs w:val="24"/>
        </w:rPr>
        <w:t>propuesta</w:t>
      </w:r>
      <w:r w:rsidR="00B262B1" w:rsidRPr="00583958">
        <w:rPr>
          <w:rFonts w:ascii="Georgia" w:hAnsi="Georgia" w:cs="Arial"/>
          <w:sz w:val="24"/>
          <w:szCs w:val="24"/>
        </w:rPr>
        <w:t xml:space="preserve"> contra la sentencia de primera instancia, </w:t>
      </w:r>
      <w:r w:rsidR="00BB55AE" w:rsidRPr="00583958">
        <w:rPr>
          <w:rFonts w:ascii="Georgia" w:hAnsi="Georgia" w:cs="Arial"/>
          <w:sz w:val="24"/>
          <w:szCs w:val="24"/>
        </w:rPr>
        <w:t xml:space="preserve">porque la parte </w:t>
      </w:r>
      <w:r w:rsidR="00F12B4A" w:rsidRPr="00583958">
        <w:rPr>
          <w:rFonts w:ascii="Georgia" w:hAnsi="Georgia" w:cs="Arial"/>
          <w:sz w:val="24"/>
          <w:szCs w:val="24"/>
        </w:rPr>
        <w:t>pasiva</w:t>
      </w:r>
      <w:r w:rsidR="00BB55AE" w:rsidRPr="00583958">
        <w:rPr>
          <w:rFonts w:ascii="Georgia" w:hAnsi="Georgia" w:cs="Arial"/>
          <w:sz w:val="24"/>
          <w:szCs w:val="24"/>
        </w:rPr>
        <w:t xml:space="preserve"> pretermitió presentar </w:t>
      </w:r>
      <w:r w:rsidR="00C6424D" w:rsidRPr="00583958">
        <w:rPr>
          <w:rFonts w:ascii="Georgia" w:hAnsi="Georgia" w:cs="Arial"/>
          <w:sz w:val="24"/>
          <w:szCs w:val="24"/>
        </w:rPr>
        <w:t>l</w:t>
      </w:r>
      <w:r w:rsidR="00BB55AE" w:rsidRPr="00583958">
        <w:rPr>
          <w:rFonts w:ascii="Georgia" w:hAnsi="Georgia" w:cs="Arial"/>
          <w:sz w:val="24"/>
          <w:szCs w:val="24"/>
        </w:rPr>
        <w:t xml:space="preserve">a sustentación, </w:t>
      </w:r>
      <w:r w:rsidR="2022AA48" w:rsidRPr="00583958">
        <w:rPr>
          <w:rFonts w:ascii="Georgia" w:hAnsi="Georgia" w:cs="Arial"/>
          <w:sz w:val="24"/>
          <w:szCs w:val="24"/>
        </w:rPr>
        <w:t xml:space="preserve">según el </w:t>
      </w:r>
      <w:r w:rsidR="00BB55AE" w:rsidRPr="00583958">
        <w:rPr>
          <w:rFonts w:ascii="Georgia" w:hAnsi="Georgia" w:cs="Arial"/>
          <w:sz w:val="24"/>
          <w:szCs w:val="24"/>
        </w:rPr>
        <w:t>Decreto Presidencial No.</w:t>
      </w:r>
      <w:r w:rsidR="00A1420E">
        <w:rPr>
          <w:rFonts w:ascii="Georgia" w:hAnsi="Georgia" w:cs="Arial"/>
          <w:sz w:val="24"/>
          <w:szCs w:val="24"/>
        </w:rPr>
        <w:t xml:space="preserve"> </w:t>
      </w:r>
      <w:r w:rsidR="00BB55AE" w:rsidRPr="00583958">
        <w:rPr>
          <w:rFonts w:ascii="Georgia" w:hAnsi="Georgia" w:cs="Arial"/>
          <w:sz w:val="24"/>
          <w:szCs w:val="24"/>
        </w:rPr>
        <w:t>806 de 2020</w:t>
      </w:r>
      <w:r w:rsidR="00A164C0" w:rsidRPr="00583958">
        <w:rPr>
          <w:rFonts w:ascii="Georgia" w:hAnsi="Georgia" w:cs="Arial"/>
          <w:sz w:val="24"/>
          <w:szCs w:val="24"/>
        </w:rPr>
        <w:t xml:space="preserve"> </w:t>
      </w:r>
      <w:r w:rsidR="00BB55AE" w:rsidRPr="00583958">
        <w:rPr>
          <w:rFonts w:ascii="Georgia" w:hAnsi="Georgia" w:cs="Arial"/>
          <w:sz w:val="24"/>
          <w:szCs w:val="24"/>
          <w:lang w:val="es-CO"/>
        </w:rPr>
        <w:t xml:space="preserve">(Carpeta 2ª instancia, </w:t>
      </w:r>
      <w:proofErr w:type="spellStart"/>
      <w:r w:rsidRPr="00583958">
        <w:rPr>
          <w:rFonts w:ascii="Georgia" w:hAnsi="Georgia" w:cs="Arial"/>
          <w:sz w:val="24"/>
          <w:szCs w:val="24"/>
          <w:lang w:val="es-CO"/>
        </w:rPr>
        <w:t>pdf</w:t>
      </w:r>
      <w:proofErr w:type="spellEnd"/>
      <w:r w:rsidRPr="00583958">
        <w:rPr>
          <w:rFonts w:ascii="Georgia" w:hAnsi="Georgia" w:cs="Arial"/>
          <w:sz w:val="24"/>
          <w:szCs w:val="24"/>
          <w:lang w:val="es-CO"/>
        </w:rPr>
        <w:t>.</w:t>
      </w:r>
      <w:r w:rsidR="009823F0" w:rsidRPr="00583958">
        <w:rPr>
          <w:rFonts w:ascii="Georgia" w:hAnsi="Georgia" w:cs="Arial"/>
          <w:sz w:val="24"/>
          <w:szCs w:val="24"/>
          <w:lang w:val="es-CO"/>
        </w:rPr>
        <w:t xml:space="preserve"> No.</w:t>
      </w:r>
      <w:r w:rsidR="00F12B4A" w:rsidRPr="00583958">
        <w:rPr>
          <w:rFonts w:ascii="Georgia" w:hAnsi="Georgia" w:cs="Arial"/>
          <w:sz w:val="24"/>
          <w:szCs w:val="24"/>
          <w:lang w:val="es-CO"/>
        </w:rPr>
        <w:t>06</w:t>
      </w:r>
      <w:r w:rsidR="00BB55AE" w:rsidRPr="00583958">
        <w:rPr>
          <w:rFonts w:ascii="Georgia" w:hAnsi="Georgia" w:cs="Arial"/>
          <w:sz w:val="24"/>
          <w:szCs w:val="24"/>
          <w:lang w:val="es-CO"/>
        </w:rPr>
        <w:t>)</w:t>
      </w:r>
      <w:r w:rsidR="009F1786" w:rsidRPr="00583958">
        <w:rPr>
          <w:rFonts w:ascii="Georgia" w:hAnsi="Georgia" w:cs="Arial"/>
          <w:sz w:val="24"/>
          <w:szCs w:val="24"/>
        </w:rPr>
        <w:t>.</w:t>
      </w:r>
    </w:p>
    <w:p w14:paraId="21B44505" w14:textId="77777777" w:rsidR="00E25666" w:rsidRPr="00583958" w:rsidRDefault="00E25666" w:rsidP="005853EA">
      <w:pPr>
        <w:pStyle w:val="Sinespaciado"/>
        <w:widowControl/>
        <w:autoSpaceDE/>
        <w:autoSpaceDN/>
        <w:adjustRightInd/>
        <w:spacing w:line="276" w:lineRule="auto"/>
        <w:jc w:val="both"/>
        <w:rPr>
          <w:rFonts w:ascii="Georgia" w:hAnsi="Georgia" w:cs="Arial"/>
        </w:rPr>
      </w:pPr>
    </w:p>
    <w:p w14:paraId="7C2ABFF2" w14:textId="5B540FF0" w:rsidR="009F1786" w:rsidRPr="00583958" w:rsidRDefault="00E2193F" w:rsidP="005853EA">
      <w:pPr>
        <w:pStyle w:val="Textoindependiente"/>
        <w:numPr>
          <w:ilvl w:val="0"/>
          <w:numId w:val="15"/>
        </w:numPr>
        <w:spacing w:line="276" w:lineRule="auto"/>
        <w:rPr>
          <w:rFonts w:ascii="Georgia" w:hAnsi="Georgia"/>
          <w:b/>
          <w:smallCaps/>
          <w:szCs w:val="24"/>
        </w:rPr>
      </w:pPr>
      <w:r w:rsidRPr="00583958">
        <w:rPr>
          <w:rFonts w:ascii="Georgia" w:hAnsi="Georgia"/>
          <w:b/>
          <w:smallCaps/>
          <w:szCs w:val="24"/>
        </w:rPr>
        <w:t>La síntesis de la reposición</w:t>
      </w:r>
    </w:p>
    <w:p w14:paraId="5C8F5CF7" w14:textId="77777777" w:rsidR="00583958" w:rsidRDefault="00583958" w:rsidP="005853EA">
      <w:pPr>
        <w:pStyle w:val="Sinespaciado"/>
        <w:spacing w:line="276" w:lineRule="auto"/>
        <w:jc w:val="both"/>
        <w:rPr>
          <w:rFonts w:ascii="Georgia" w:hAnsi="Georgia" w:cs="Arial"/>
        </w:rPr>
      </w:pPr>
      <w:bookmarkStart w:id="3" w:name="_Hlk48807934"/>
      <w:bookmarkStart w:id="4" w:name="_Hlk63069874"/>
    </w:p>
    <w:p w14:paraId="08655D78" w14:textId="469CA292" w:rsidR="00194956" w:rsidRPr="00583958" w:rsidRDefault="00096EAF" w:rsidP="005853EA">
      <w:pPr>
        <w:pStyle w:val="Sinespaciado"/>
        <w:spacing w:line="276" w:lineRule="auto"/>
        <w:jc w:val="both"/>
        <w:rPr>
          <w:rFonts w:ascii="Georgia" w:hAnsi="Georgia" w:cs="Arial"/>
        </w:rPr>
      </w:pPr>
      <w:r w:rsidRPr="00583958">
        <w:rPr>
          <w:rFonts w:ascii="Georgia" w:hAnsi="Georgia" w:cs="Arial"/>
        </w:rPr>
        <w:t>Explic</w:t>
      </w:r>
      <w:r w:rsidR="00E7402E" w:rsidRPr="00583958">
        <w:rPr>
          <w:rFonts w:ascii="Georgia" w:hAnsi="Georgia" w:cs="Arial"/>
        </w:rPr>
        <w:t>a</w:t>
      </w:r>
      <w:r w:rsidRPr="00583958">
        <w:rPr>
          <w:rFonts w:ascii="Georgia" w:hAnsi="Georgia" w:cs="Arial"/>
        </w:rPr>
        <w:t xml:space="preserve"> </w:t>
      </w:r>
      <w:r w:rsidR="00583958" w:rsidRPr="00583958">
        <w:rPr>
          <w:rFonts w:ascii="Georgia" w:hAnsi="Georgia" w:cs="Arial"/>
        </w:rPr>
        <w:t>que,</w:t>
      </w:r>
      <w:r w:rsidRPr="00583958">
        <w:rPr>
          <w:rFonts w:ascii="Georgia" w:hAnsi="Georgia" w:cs="Arial"/>
        </w:rPr>
        <w:t xml:space="preserve"> </w:t>
      </w:r>
      <w:r w:rsidR="00F12B4A" w:rsidRPr="00583958">
        <w:rPr>
          <w:rFonts w:ascii="Georgia" w:hAnsi="Georgia" w:cs="Arial"/>
        </w:rPr>
        <w:t>en la audiencia de fallo, celebrada el 09-03-2021, se le concedieron cinco (5) días para sustentar, siendo la fecha límite el 16-03-2021, empero, ella cumplió esa carga el 12-03-2021 cuando envió el correo electrónico al juzgado de primer grado. Adjunt</w:t>
      </w:r>
      <w:r w:rsidR="00E1401A" w:rsidRPr="00583958">
        <w:rPr>
          <w:rFonts w:ascii="Georgia" w:hAnsi="Georgia" w:cs="Arial"/>
        </w:rPr>
        <w:t>ó</w:t>
      </w:r>
      <w:r w:rsidR="00F12B4A" w:rsidRPr="00583958">
        <w:rPr>
          <w:rFonts w:ascii="Georgia" w:hAnsi="Georgia" w:cs="Arial"/>
        </w:rPr>
        <w:t xml:space="preserve"> el soporte de esa remisión </w:t>
      </w:r>
      <w:r w:rsidR="00F12B4A" w:rsidRPr="00583958">
        <w:rPr>
          <w:rFonts w:ascii="Georgia" w:hAnsi="Georgia" w:cs="Arial"/>
          <w:lang w:val="es-CO"/>
        </w:rPr>
        <w:t xml:space="preserve">(Carpeta 2ª instancia, </w:t>
      </w:r>
      <w:proofErr w:type="spellStart"/>
      <w:r w:rsidR="00F12B4A" w:rsidRPr="00583958">
        <w:rPr>
          <w:rFonts w:ascii="Georgia" w:hAnsi="Georgia" w:cs="Arial"/>
          <w:lang w:val="es-CO"/>
        </w:rPr>
        <w:t>pdf</w:t>
      </w:r>
      <w:proofErr w:type="spellEnd"/>
      <w:r w:rsidR="00F12B4A" w:rsidRPr="00583958">
        <w:rPr>
          <w:rFonts w:ascii="Georgia" w:hAnsi="Georgia" w:cs="Arial"/>
          <w:lang w:val="es-CO"/>
        </w:rPr>
        <w:t>. No.</w:t>
      </w:r>
      <w:r w:rsidR="00194956" w:rsidRPr="00583958">
        <w:rPr>
          <w:rFonts w:ascii="Georgia" w:hAnsi="Georgia" w:cs="Arial"/>
          <w:lang w:val="es-CO"/>
        </w:rPr>
        <w:t>08</w:t>
      </w:r>
      <w:r w:rsidR="00F12B4A" w:rsidRPr="00583958">
        <w:rPr>
          <w:rFonts w:ascii="Georgia" w:hAnsi="Georgia" w:cs="Arial"/>
          <w:lang w:val="es-CO"/>
        </w:rPr>
        <w:t>)</w:t>
      </w:r>
      <w:r w:rsidR="00F12B4A" w:rsidRPr="00583958">
        <w:rPr>
          <w:rFonts w:ascii="Georgia" w:hAnsi="Georgia" w:cs="Arial"/>
        </w:rPr>
        <w:t xml:space="preserve">. </w:t>
      </w:r>
    </w:p>
    <w:p w14:paraId="5551067C" w14:textId="77777777" w:rsidR="00194956" w:rsidRPr="00583958" w:rsidRDefault="00194956" w:rsidP="005853EA">
      <w:pPr>
        <w:pStyle w:val="Sinespaciado"/>
        <w:spacing w:line="276" w:lineRule="auto"/>
        <w:jc w:val="both"/>
        <w:rPr>
          <w:rFonts w:ascii="Georgia" w:hAnsi="Georgia" w:cs="Arial"/>
        </w:rPr>
      </w:pPr>
    </w:p>
    <w:p w14:paraId="3E801185" w14:textId="0F17684E" w:rsidR="00096EAF" w:rsidRPr="00583958" w:rsidRDefault="00F12B4A" w:rsidP="005853EA">
      <w:pPr>
        <w:pStyle w:val="Sinespaciado"/>
        <w:spacing w:line="276" w:lineRule="auto"/>
        <w:jc w:val="both"/>
        <w:rPr>
          <w:rFonts w:ascii="Georgia" w:hAnsi="Georgia" w:cs="Arial"/>
        </w:rPr>
      </w:pPr>
      <w:r w:rsidRPr="00583958">
        <w:rPr>
          <w:rFonts w:ascii="Georgia" w:hAnsi="Georgia" w:cs="Arial"/>
        </w:rPr>
        <w:t xml:space="preserve">Añadió </w:t>
      </w:r>
      <w:r w:rsidR="00194956" w:rsidRPr="00583958">
        <w:rPr>
          <w:rFonts w:ascii="Georgia" w:hAnsi="Georgia" w:cs="Arial"/>
        </w:rPr>
        <w:t>que lo dicho en la admisión del recurso, acerca de que estaba cumplida la carga procesal de precisar los reparos, dej</w:t>
      </w:r>
      <w:r w:rsidR="00E1401A" w:rsidRPr="00583958">
        <w:rPr>
          <w:rFonts w:ascii="Georgia" w:hAnsi="Georgia" w:cs="Arial"/>
        </w:rPr>
        <w:t>ó</w:t>
      </w:r>
      <w:r w:rsidR="00194956" w:rsidRPr="00583958">
        <w:rPr>
          <w:rFonts w:ascii="Georgia" w:hAnsi="Georgia" w:cs="Arial"/>
        </w:rPr>
        <w:t xml:space="preserve"> </w:t>
      </w:r>
      <w:r w:rsidR="00194956" w:rsidRPr="00583958">
        <w:rPr>
          <w:rFonts w:ascii="Georgia" w:hAnsi="Georgia" w:cs="Arial"/>
          <w:i/>
        </w:rPr>
        <w:t xml:space="preserve">“(…) claro </w:t>
      </w:r>
      <w:r w:rsidR="00E1401A" w:rsidRPr="00583958">
        <w:rPr>
          <w:rFonts w:ascii="Georgia" w:hAnsi="Georgia" w:cs="Arial"/>
          <w:i/>
        </w:rPr>
        <w:t xml:space="preserve">(…) </w:t>
      </w:r>
      <w:r w:rsidR="00194956" w:rsidRPr="00583958">
        <w:rPr>
          <w:rFonts w:ascii="Georgia" w:hAnsi="Georgia" w:cs="Arial"/>
          <w:i/>
        </w:rPr>
        <w:t xml:space="preserve">que se encontraba debidamente </w:t>
      </w:r>
      <w:r w:rsidR="00583958" w:rsidRPr="00583958">
        <w:rPr>
          <w:rFonts w:ascii="Georgia" w:hAnsi="Georgia" w:cs="Arial"/>
          <w:i/>
        </w:rPr>
        <w:t>sustentado el respectivo</w:t>
      </w:r>
      <w:r w:rsidR="00194956" w:rsidRPr="00583958">
        <w:rPr>
          <w:rFonts w:ascii="Georgia" w:hAnsi="Georgia" w:cs="Arial"/>
          <w:i/>
        </w:rPr>
        <w:t xml:space="preserve"> </w:t>
      </w:r>
      <w:r w:rsidR="00583958" w:rsidRPr="00583958">
        <w:rPr>
          <w:rFonts w:ascii="Georgia" w:hAnsi="Georgia" w:cs="Arial"/>
          <w:i/>
        </w:rPr>
        <w:t>recurso y</w:t>
      </w:r>
      <w:r w:rsidR="00194956" w:rsidRPr="00583958">
        <w:rPr>
          <w:rFonts w:ascii="Georgia" w:hAnsi="Georgia" w:cs="Arial"/>
          <w:i/>
        </w:rPr>
        <w:t xml:space="preserve"> jamás </w:t>
      </w:r>
      <w:r w:rsidR="00583958" w:rsidRPr="00583958">
        <w:rPr>
          <w:rFonts w:ascii="Georgia" w:hAnsi="Georgia" w:cs="Arial"/>
          <w:i/>
        </w:rPr>
        <w:t>dentro del auto se</w:t>
      </w:r>
      <w:r w:rsidR="00194956" w:rsidRPr="00583958">
        <w:rPr>
          <w:rFonts w:ascii="Georgia" w:hAnsi="Georgia" w:cs="Arial"/>
          <w:i/>
        </w:rPr>
        <w:t xml:space="preserve"> mencionó que </w:t>
      </w:r>
      <w:r w:rsidR="00583958" w:rsidRPr="00583958">
        <w:rPr>
          <w:rFonts w:ascii="Georgia" w:hAnsi="Georgia" w:cs="Arial"/>
          <w:i/>
        </w:rPr>
        <w:t>contaba con</w:t>
      </w:r>
      <w:r w:rsidR="00194956" w:rsidRPr="00583958">
        <w:rPr>
          <w:rFonts w:ascii="Georgia" w:hAnsi="Georgia" w:cs="Arial"/>
          <w:i/>
        </w:rPr>
        <w:t xml:space="preserve"> 5 días de traslado por encontrarse debidamente sustentado los reparos a la sentencia (…)”</w:t>
      </w:r>
      <w:r w:rsidR="00194956" w:rsidRPr="00583958">
        <w:rPr>
          <w:rFonts w:ascii="Georgia" w:hAnsi="Georgia" w:cs="Arial"/>
        </w:rPr>
        <w:t xml:space="preserve"> </w:t>
      </w:r>
      <w:r w:rsidR="00096EAF" w:rsidRPr="00583958">
        <w:rPr>
          <w:rFonts w:ascii="Georgia" w:hAnsi="Georgia" w:cs="Arial"/>
          <w:lang w:val="es-CO"/>
        </w:rPr>
        <w:t xml:space="preserve">(Carpeta 2ª instancia, </w:t>
      </w:r>
      <w:proofErr w:type="spellStart"/>
      <w:r w:rsidR="00096EAF" w:rsidRPr="00583958">
        <w:rPr>
          <w:rFonts w:ascii="Georgia" w:hAnsi="Georgia" w:cs="Arial"/>
          <w:lang w:val="es-CO"/>
        </w:rPr>
        <w:t>pdf</w:t>
      </w:r>
      <w:proofErr w:type="spellEnd"/>
      <w:r w:rsidR="00096EAF" w:rsidRPr="00583958">
        <w:rPr>
          <w:rFonts w:ascii="Georgia" w:hAnsi="Georgia" w:cs="Arial"/>
          <w:lang w:val="es-CO"/>
        </w:rPr>
        <w:t>. No.</w:t>
      </w:r>
      <w:r w:rsidR="00E7402E" w:rsidRPr="00583958">
        <w:rPr>
          <w:rFonts w:ascii="Georgia" w:hAnsi="Georgia" w:cs="Arial"/>
          <w:lang w:val="es-CO"/>
        </w:rPr>
        <w:t>1</w:t>
      </w:r>
      <w:r w:rsidR="00194956" w:rsidRPr="00583958">
        <w:rPr>
          <w:rFonts w:ascii="Georgia" w:hAnsi="Georgia" w:cs="Arial"/>
          <w:lang w:val="es-CO"/>
        </w:rPr>
        <w:t>0</w:t>
      </w:r>
      <w:r w:rsidR="00096EAF" w:rsidRPr="00583958">
        <w:rPr>
          <w:rFonts w:ascii="Georgia" w:hAnsi="Georgia" w:cs="Arial"/>
          <w:lang w:val="es-CO"/>
        </w:rPr>
        <w:t>).</w:t>
      </w:r>
    </w:p>
    <w:p w14:paraId="0406F686" w14:textId="6503FCA8" w:rsidR="00E7402E" w:rsidRPr="00583958" w:rsidRDefault="00085933" w:rsidP="005853EA">
      <w:pPr>
        <w:pStyle w:val="Sinespaciado"/>
        <w:tabs>
          <w:tab w:val="left" w:pos="3195"/>
        </w:tabs>
        <w:spacing w:line="276" w:lineRule="auto"/>
        <w:jc w:val="both"/>
        <w:rPr>
          <w:rFonts w:ascii="Georgia" w:hAnsi="Georgia" w:cs="Arial"/>
        </w:rPr>
      </w:pPr>
      <w:r w:rsidRPr="00583958">
        <w:rPr>
          <w:rFonts w:ascii="Georgia" w:hAnsi="Georgia" w:cs="Arial"/>
        </w:rPr>
        <w:t xml:space="preserve"> </w:t>
      </w:r>
      <w:bookmarkEnd w:id="3"/>
      <w:bookmarkEnd w:id="4"/>
      <w:r w:rsidR="00E7402E" w:rsidRPr="00583958">
        <w:rPr>
          <w:rFonts w:ascii="Georgia" w:hAnsi="Georgia" w:cs="Arial"/>
        </w:rPr>
        <w:tab/>
      </w:r>
    </w:p>
    <w:p w14:paraId="33F598B7" w14:textId="30B34E25" w:rsidR="00E7402E" w:rsidRPr="00583958" w:rsidRDefault="00E7402E" w:rsidP="005853EA">
      <w:pPr>
        <w:pStyle w:val="Sinespaciado"/>
        <w:widowControl/>
        <w:numPr>
          <w:ilvl w:val="0"/>
          <w:numId w:val="15"/>
        </w:numPr>
        <w:autoSpaceDE/>
        <w:autoSpaceDN/>
        <w:adjustRightInd/>
        <w:spacing w:line="276" w:lineRule="auto"/>
        <w:jc w:val="both"/>
        <w:rPr>
          <w:rFonts w:ascii="Georgia" w:hAnsi="Georgia" w:cs="Arial"/>
          <w:b/>
          <w:smallCaps/>
        </w:rPr>
      </w:pPr>
      <w:r w:rsidRPr="00583958">
        <w:rPr>
          <w:rFonts w:ascii="Georgia" w:hAnsi="Georgia" w:cs="Arial"/>
          <w:b/>
          <w:smallCaps/>
        </w:rPr>
        <w:t>La sinopsis de la r</w:t>
      </w:r>
      <w:r w:rsidR="00E1401A" w:rsidRPr="00583958">
        <w:rPr>
          <w:rFonts w:ascii="Georgia" w:hAnsi="Georgia" w:cs="Arial"/>
          <w:b/>
          <w:smallCaps/>
        </w:rPr>
        <w:t>é</w:t>
      </w:r>
      <w:r w:rsidRPr="00583958">
        <w:rPr>
          <w:rFonts w:ascii="Georgia" w:hAnsi="Georgia" w:cs="Arial"/>
          <w:b/>
          <w:smallCaps/>
        </w:rPr>
        <w:t>plica</w:t>
      </w:r>
    </w:p>
    <w:p w14:paraId="6FF067EA" w14:textId="77777777" w:rsidR="00E7402E" w:rsidRPr="00583958" w:rsidRDefault="00E7402E" w:rsidP="005853EA">
      <w:pPr>
        <w:pStyle w:val="Sinespaciado"/>
        <w:spacing w:line="276" w:lineRule="auto"/>
        <w:jc w:val="both"/>
        <w:rPr>
          <w:rFonts w:ascii="Georgia" w:hAnsi="Georgia" w:cs="Arial"/>
        </w:rPr>
      </w:pPr>
    </w:p>
    <w:p w14:paraId="74CF6820" w14:textId="7A43960E" w:rsidR="00E7402E" w:rsidRPr="00583958" w:rsidRDefault="00194956" w:rsidP="005853EA">
      <w:pPr>
        <w:pStyle w:val="Sinespaciado"/>
        <w:spacing w:line="276" w:lineRule="auto"/>
        <w:jc w:val="both"/>
        <w:rPr>
          <w:rFonts w:ascii="Georgia" w:hAnsi="Georgia" w:cs="Arial"/>
        </w:rPr>
      </w:pPr>
      <w:r w:rsidRPr="00583958">
        <w:rPr>
          <w:rFonts w:ascii="Georgia" w:hAnsi="Georgia" w:cs="Arial"/>
        </w:rPr>
        <w:t>La parte actora</w:t>
      </w:r>
      <w:r w:rsidR="00E7402E" w:rsidRPr="00583958">
        <w:rPr>
          <w:rFonts w:ascii="Georgia" w:hAnsi="Georgia" w:cs="Arial"/>
        </w:rPr>
        <w:t xml:space="preserve"> </w:t>
      </w:r>
      <w:r w:rsidRPr="00583958">
        <w:rPr>
          <w:rFonts w:ascii="Georgia" w:hAnsi="Georgia" w:cs="Arial"/>
        </w:rPr>
        <w:t>reclama se mantenga la decisión, porque es evidente el incumplimiento de la recurrente</w:t>
      </w:r>
      <w:r w:rsidR="00AC7002" w:rsidRPr="00583958">
        <w:rPr>
          <w:rFonts w:ascii="Georgia" w:hAnsi="Georgia" w:cs="Arial"/>
        </w:rPr>
        <w:t>,</w:t>
      </w:r>
      <w:r w:rsidRPr="00583958">
        <w:rPr>
          <w:rFonts w:ascii="Georgia" w:hAnsi="Georgia" w:cs="Arial"/>
        </w:rPr>
        <w:t xml:space="preserve"> al no sustentar</w:t>
      </w:r>
      <w:r w:rsidR="00AC7002" w:rsidRPr="00583958">
        <w:rPr>
          <w:rFonts w:ascii="Georgia" w:hAnsi="Georgia" w:cs="Arial"/>
        </w:rPr>
        <w:t xml:space="preserve"> en la oportunidad concedida, cuando fue claro el auto admisorio al decir que se aplicaría integralmente el artículo 14 del Decreto Presidencial No.806 de 2020. Refirió que, en todo caso, la mandataria judicial de la demandada </w:t>
      </w:r>
      <w:r w:rsidR="00E1401A" w:rsidRPr="00583958">
        <w:rPr>
          <w:rFonts w:ascii="Georgia" w:hAnsi="Georgia" w:cs="Arial"/>
        </w:rPr>
        <w:t>contravino</w:t>
      </w:r>
      <w:r w:rsidR="00AC7002" w:rsidRPr="00583958">
        <w:rPr>
          <w:rFonts w:ascii="Georgia" w:hAnsi="Georgia" w:cs="Arial"/>
        </w:rPr>
        <w:t xml:space="preserve"> el deber de correrle traslado de los escritos allegados a esta Corporación</w:t>
      </w:r>
      <w:r w:rsidR="00E7402E" w:rsidRPr="00583958">
        <w:rPr>
          <w:rFonts w:ascii="Georgia" w:hAnsi="Georgia" w:cs="Arial"/>
        </w:rPr>
        <w:t xml:space="preserve"> </w:t>
      </w:r>
      <w:r w:rsidR="00E7402E" w:rsidRPr="00583958">
        <w:rPr>
          <w:rFonts w:ascii="Georgia" w:hAnsi="Georgia" w:cs="Arial"/>
          <w:lang w:val="es-CO"/>
        </w:rPr>
        <w:t xml:space="preserve">(Carpeta 2ª instancia, </w:t>
      </w:r>
      <w:proofErr w:type="spellStart"/>
      <w:r w:rsidR="00E7402E" w:rsidRPr="00583958">
        <w:rPr>
          <w:rFonts w:ascii="Georgia" w:hAnsi="Georgia" w:cs="Arial"/>
          <w:lang w:val="es-CO"/>
        </w:rPr>
        <w:t>pdf</w:t>
      </w:r>
      <w:proofErr w:type="spellEnd"/>
      <w:r w:rsidR="00E7402E" w:rsidRPr="00583958">
        <w:rPr>
          <w:rFonts w:ascii="Georgia" w:hAnsi="Georgia" w:cs="Arial"/>
          <w:lang w:val="es-CO"/>
        </w:rPr>
        <w:t xml:space="preserve"> No.</w:t>
      </w:r>
      <w:r w:rsidR="00AC7002" w:rsidRPr="00583958">
        <w:rPr>
          <w:rFonts w:ascii="Georgia" w:hAnsi="Georgia" w:cs="Arial"/>
          <w:lang w:val="es-CO"/>
        </w:rPr>
        <w:t>16</w:t>
      </w:r>
      <w:r w:rsidR="00E7402E" w:rsidRPr="00583958">
        <w:rPr>
          <w:rFonts w:ascii="Georgia" w:hAnsi="Georgia" w:cs="Arial"/>
          <w:lang w:val="es-CO"/>
        </w:rPr>
        <w:t>)</w:t>
      </w:r>
      <w:r w:rsidR="00E7402E" w:rsidRPr="00583958">
        <w:rPr>
          <w:rFonts w:ascii="Georgia" w:hAnsi="Georgia" w:cs="Arial"/>
        </w:rPr>
        <w:t xml:space="preserve">. </w:t>
      </w:r>
    </w:p>
    <w:p w14:paraId="64F33D20" w14:textId="77777777" w:rsidR="00C60906" w:rsidRPr="00583958" w:rsidRDefault="00C60906" w:rsidP="005853EA">
      <w:pPr>
        <w:pStyle w:val="Sinespaciado"/>
        <w:spacing w:line="276" w:lineRule="auto"/>
        <w:jc w:val="both"/>
        <w:rPr>
          <w:rFonts w:ascii="Georgia" w:hAnsi="Georgia" w:cs="Arial"/>
        </w:rPr>
      </w:pPr>
    </w:p>
    <w:p w14:paraId="7C2ABFF6" w14:textId="3F2E9AA3" w:rsidR="009F1786" w:rsidRPr="00583958" w:rsidRDefault="00E2193F" w:rsidP="005853EA">
      <w:pPr>
        <w:pStyle w:val="Textoindependiente"/>
        <w:numPr>
          <w:ilvl w:val="0"/>
          <w:numId w:val="15"/>
        </w:numPr>
        <w:spacing w:line="276" w:lineRule="auto"/>
        <w:rPr>
          <w:rFonts w:ascii="Georgia" w:hAnsi="Georgia"/>
          <w:b/>
          <w:smallCaps/>
          <w:szCs w:val="24"/>
        </w:rPr>
      </w:pPr>
      <w:r w:rsidRPr="00583958">
        <w:rPr>
          <w:rFonts w:ascii="Georgia" w:hAnsi="Georgia"/>
          <w:b/>
          <w:smallCaps/>
          <w:szCs w:val="24"/>
        </w:rPr>
        <w:t>Las estimaciones jurídicas para decidir</w:t>
      </w:r>
    </w:p>
    <w:p w14:paraId="7C2ABFF7" w14:textId="77777777" w:rsidR="005776F2" w:rsidRPr="00583958" w:rsidRDefault="005776F2" w:rsidP="005853EA">
      <w:pPr>
        <w:spacing w:line="276" w:lineRule="auto"/>
        <w:jc w:val="both"/>
        <w:rPr>
          <w:rFonts w:ascii="Georgia" w:hAnsi="Georgia" w:cs="Arial"/>
          <w:smallCaps/>
          <w:sz w:val="24"/>
          <w:szCs w:val="24"/>
        </w:rPr>
      </w:pPr>
    </w:p>
    <w:p w14:paraId="7C2ABFFA" w14:textId="334CFA33" w:rsidR="009F1786" w:rsidRPr="00583958" w:rsidRDefault="004874D7" w:rsidP="005853EA">
      <w:pPr>
        <w:pStyle w:val="Textopredeterminado"/>
        <w:spacing w:line="276" w:lineRule="auto"/>
        <w:jc w:val="both"/>
        <w:textAlignment w:val="baseline"/>
        <w:rPr>
          <w:rFonts w:ascii="Georgia" w:hAnsi="Georgia" w:cs="Arial"/>
          <w:color w:val="auto"/>
          <w:szCs w:val="24"/>
        </w:rPr>
      </w:pPr>
      <w:r w:rsidRPr="00583958">
        <w:rPr>
          <w:rFonts w:ascii="Georgia" w:hAnsi="Georgia" w:cs="Arial"/>
          <w:i/>
          <w:iCs/>
          <w:smallCaps/>
          <w:color w:val="auto"/>
          <w:szCs w:val="24"/>
        </w:rPr>
        <w:t xml:space="preserve">5.1. </w:t>
      </w:r>
      <w:r w:rsidR="00C60906" w:rsidRPr="00583958">
        <w:rPr>
          <w:rFonts w:ascii="Georgia" w:hAnsi="Georgia" w:cs="Arial"/>
          <w:i/>
          <w:iCs/>
          <w:smallCaps/>
          <w:color w:val="auto"/>
          <w:szCs w:val="24"/>
        </w:rPr>
        <w:t xml:space="preserve"> </w:t>
      </w:r>
      <w:r w:rsidR="009F1786" w:rsidRPr="00583958">
        <w:rPr>
          <w:rFonts w:ascii="Georgia" w:hAnsi="Georgia" w:cs="Arial"/>
          <w:i/>
          <w:iCs/>
          <w:smallCaps/>
          <w:color w:val="auto"/>
          <w:szCs w:val="24"/>
        </w:rPr>
        <w:t>El trámite del recurso</w:t>
      </w:r>
      <w:r w:rsidR="008C16FC" w:rsidRPr="00583958">
        <w:rPr>
          <w:rFonts w:ascii="Georgia" w:hAnsi="Georgia" w:cs="Arial"/>
          <w:smallCaps/>
          <w:color w:val="auto"/>
          <w:szCs w:val="24"/>
        </w:rPr>
        <w:t xml:space="preserve">. </w:t>
      </w:r>
      <w:r w:rsidR="009F1786" w:rsidRPr="00583958">
        <w:rPr>
          <w:rFonts w:ascii="Georgia" w:hAnsi="Georgia" w:cs="Arial"/>
          <w:color w:val="auto"/>
          <w:szCs w:val="24"/>
        </w:rPr>
        <w:t>De conformidad con los artículos 110 y 318</w:t>
      </w:r>
      <w:r w:rsidR="002E660C" w:rsidRPr="00583958">
        <w:rPr>
          <w:rFonts w:ascii="Georgia" w:hAnsi="Georgia" w:cs="Arial"/>
          <w:color w:val="auto"/>
          <w:szCs w:val="24"/>
        </w:rPr>
        <w:t xml:space="preserve">, </w:t>
      </w:r>
      <w:r w:rsidR="009F1786" w:rsidRPr="00583958">
        <w:rPr>
          <w:rFonts w:ascii="Georgia" w:hAnsi="Georgia" w:cs="Arial"/>
          <w:color w:val="auto"/>
          <w:szCs w:val="24"/>
        </w:rPr>
        <w:t>CGP, se surtió el traslado secretarial</w:t>
      </w:r>
      <w:r w:rsidR="001638CD" w:rsidRPr="00583958">
        <w:rPr>
          <w:rFonts w:ascii="Georgia" w:hAnsi="Georgia" w:cs="Arial"/>
          <w:color w:val="auto"/>
          <w:szCs w:val="24"/>
        </w:rPr>
        <w:t xml:space="preserve"> y</w:t>
      </w:r>
      <w:r w:rsidR="008C16FC" w:rsidRPr="00583958">
        <w:rPr>
          <w:rFonts w:ascii="Georgia" w:hAnsi="Georgia" w:cs="Arial"/>
          <w:color w:val="auto"/>
          <w:szCs w:val="24"/>
        </w:rPr>
        <w:t xml:space="preserve"> </w:t>
      </w:r>
      <w:r w:rsidR="00C81008" w:rsidRPr="00583958">
        <w:rPr>
          <w:rFonts w:ascii="Georgia" w:hAnsi="Georgia" w:cs="Arial"/>
          <w:color w:val="auto"/>
          <w:szCs w:val="24"/>
        </w:rPr>
        <w:t xml:space="preserve">en término se pronunció la parte </w:t>
      </w:r>
      <w:r w:rsidR="00AC7002" w:rsidRPr="00583958">
        <w:rPr>
          <w:rFonts w:ascii="Georgia" w:hAnsi="Georgia" w:cs="Arial"/>
          <w:color w:val="auto"/>
          <w:szCs w:val="24"/>
        </w:rPr>
        <w:t>demandante</w:t>
      </w:r>
      <w:r w:rsidR="00C81008" w:rsidRPr="00583958">
        <w:rPr>
          <w:rFonts w:ascii="Georgia" w:hAnsi="Georgia" w:cs="Arial"/>
          <w:color w:val="auto"/>
          <w:szCs w:val="24"/>
        </w:rPr>
        <w:t xml:space="preserve"> </w:t>
      </w:r>
      <w:r w:rsidR="008C16FC" w:rsidRPr="00583958">
        <w:rPr>
          <w:rFonts w:ascii="Georgia" w:hAnsi="Georgia" w:cs="Arial"/>
          <w:color w:val="auto"/>
          <w:szCs w:val="24"/>
          <w:lang w:val="es-CO"/>
        </w:rPr>
        <w:t xml:space="preserve">(Carpeta 2ª instancia, </w:t>
      </w:r>
      <w:proofErr w:type="spellStart"/>
      <w:r w:rsidR="00C60906" w:rsidRPr="00583958">
        <w:rPr>
          <w:rFonts w:ascii="Georgia" w:hAnsi="Georgia" w:cs="Arial"/>
          <w:color w:val="auto"/>
          <w:szCs w:val="24"/>
          <w:lang w:val="es-CO"/>
        </w:rPr>
        <w:t>pdf</w:t>
      </w:r>
      <w:r w:rsidR="000B6B52" w:rsidRPr="00583958">
        <w:rPr>
          <w:rFonts w:ascii="Georgia" w:hAnsi="Georgia" w:cs="Arial"/>
          <w:color w:val="auto"/>
          <w:szCs w:val="24"/>
          <w:lang w:val="es-CO"/>
        </w:rPr>
        <w:t>s</w:t>
      </w:r>
      <w:proofErr w:type="spellEnd"/>
      <w:r w:rsidR="00C60906" w:rsidRPr="00583958">
        <w:rPr>
          <w:rFonts w:ascii="Georgia" w:hAnsi="Georgia" w:cs="Arial"/>
          <w:color w:val="auto"/>
          <w:szCs w:val="24"/>
          <w:lang w:val="es-CO"/>
        </w:rPr>
        <w:t>. No.</w:t>
      </w:r>
      <w:r w:rsidR="00AC7002" w:rsidRPr="00583958">
        <w:rPr>
          <w:rFonts w:ascii="Georgia" w:hAnsi="Georgia" w:cs="Arial"/>
          <w:color w:val="auto"/>
          <w:szCs w:val="24"/>
          <w:lang w:val="es-CO"/>
        </w:rPr>
        <w:t>11 y 17</w:t>
      </w:r>
      <w:r w:rsidR="008C16FC" w:rsidRPr="00583958">
        <w:rPr>
          <w:rFonts w:ascii="Georgia" w:hAnsi="Georgia" w:cs="Arial"/>
          <w:color w:val="auto"/>
          <w:szCs w:val="24"/>
          <w:lang w:val="es-CO"/>
        </w:rPr>
        <w:t>)</w:t>
      </w:r>
      <w:r w:rsidR="009F1786" w:rsidRPr="00583958">
        <w:rPr>
          <w:rFonts w:ascii="Georgia" w:hAnsi="Georgia" w:cs="Arial"/>
          <w:color w:val="auto"/>
          <w:szCs w:val="24"/>
        </w:rPr>
        <w:t>.</w:t>
      </w:r>
    </w:p>
    <w:p w14:paraId="1C4D73E3" w14:textId="77777777" w:rsidR="00E7402E" w:rsidRPr="00583958" w:rsidRDefault="00E7402E" w:rsidP="005853EA">
      <w:pPr>
        <w:pStyle w:val="Textopredeterminado"/>
        <w:spacing w:line="276" w:lineRule="auto"/>
        <w:jc w:val="both"/>
        <w:textAlignment w:val="baseline"/>
        <w:rPr>
          <w:rFonts w:ascii="Georgia" w:hAnsi="Georgia" w:cs="Arial"/>
          <w:color w:val="auto"/>
          <w:szCs w:val="24"/>
        </w:rPr>
      </w:pPr>
    </w:p>
    <w:p w14:paraId="53B7B810" w14:textId="42131481" w:rsidR="008C16FC" w:rsidRPr="00583958" w:rsidRDefault="004874D7" w:rsidP="005853EA">
      <w:pPr>
        <w:pStyle w:val="Textopredeterminado"/>
        <w:spacing w:line="276" w:lineRule="auto"/>
        <w:jc w:val="both"/>
        <w:rPr>
          <w:rFonts w:ascii="Georgia" w:hAnsi="Georgia" w:cs="Arial"/>
          <w:color w:val="auto"/>
          <w:szCs w:val="24"/>
          <w:lang w:val="es-CO"/>
        </w:rPr>
      </w:pPr>
      <w:r w:rsidRPr="00583958">
        <w:rPr>
          <w:rFonts w:ascii="Georgia" w:hAnsi="Georgia" w:cs="Arial"/>
          <w:i/>
          <w:smallCaps/>
          <w:color w:val="auto"/>
          <w:szCs w:val="24"/>
        </w:rPr>
        <w:t xml:space="preserve">5.2. </w:t>
      </w:r>
      <w:r w:rsidR="00C60906" w:rsidRPr="00583958">
        <w:rPr>
          <w:rFonts w:ascii="Georgia" w:hAnsi="Georgia" w:cs="Arial"/>
          <w:i/>
          <w:smallCaps/>
          <w:color w:val="auto"/>
          <w:szCs w:val="24"/>
        </w:rPr>
        <w:t xml:space="preserve"> </w:t>
      </w:r>
      <w:r w:rsidR="009345DA" w:rsidRPr="00583958">
        <w:rPr>
          <w:rFonts w:ascii="Georgia" w:hAnsi="Georgia" w:cs="Arial"/>
          <w:i/>
          <w:smallCaps/>
          <w:color w:val="auto"/>
          <w:szCs w:val="24"/>
        </w:rPr>
        <w:t>Los requisitos de viabilidad de un recurso</w:t>
      </w:r>
      <w:r w:rsidR="008C16FC" w:rsidRPr="00583958">
        <w:rPr>
          <w:rFonts w:ascii="Georgia" w:hAnsi="Georgia" w:cs="Arial"/>
          <w:smallCaps/>
          <w:color w:val="auto"/>
          <w:szCs w:val="24"/>
        </w:rPr>
        <w:t xml:space="preserve">. </w:t>
      </w:r>
      <w:r w:rsidR="008C16FC" w:rsidRPr="00583958">
        <w:rPr>
          <w:rFonts w:ascii="Georgia" w:hAnsi="Georgia" w:cs="Arial"/>
          <w:color w:val="auto"/>
          <w:spacing w:val="-3"/>
          <w:szCs w:val="24"/>
        </w:rPr>
        <w:t>D</w:t>
      </w:r>
      <w:r w:rsidR="008C16FC" w:rsidRPr="00583958">
        <w:rPr>
          <w:rFonts w:ascii="Georgia" w:hAnsi="Georgia" w:cs="Arial"/>
          <w:color w:val="auto"/>
          <w:szCs w:val="24"/>
        </w:rPr>
        <w:t xml:space="preserve">esde la óptica procesal, en presencia de los recursos, deben siempre concurrir los llamados presupuestos de </w:t>
      </w:r>
      <w:r w:rsidR="008C16FC" w:rsidRPr="00583958">
        <w:rPr>
          <w:rFonts w:ascii="Georgia" w:hAnsi="Georgia" w:cs="Arial"/>
          <w:color w:val="auto"/>
          <w:szCs w:val="24"/>
        </w:rPr>
        <w:lastRenderedPageBreak/>
        <w:t>viabilidad, trámite</w:t>
      </w:r>
      <w:r w:rsidR="008C16FC" w:rsidRPr="00583958">
        <w:rPr>
          <w:rStyle w:val="Refdenotaalpie"/>
          <w:rFonts w:ascii="Georgia" w:hAnsi="Georgia"/>
          <w:color w:val="auto"/>
          <w:szCs w:val="24"/>
        </w:rPr>
        <w:footnoteReference w:id="1"/>
      </w:r>
      <w:r w:rsidR="008C16FC" w:rsidRPr="00583958">
        <w:rPr>
          <w:rFonts w:ascii="Georgia" w:hAnsi="Georgia" w:cs="Arial"/>
          <w:color w:val="auto"/>
          <w:szCs w:val="24"/>
        </w:rPr>
        <w:t xml:space="preserve">, o </w:t>
      </w:r>
      <w:r w:rsidR="008C16FC" w:rsidRPr="00583958">
        <w:rPr>
          <w:rFonts w:ascii="Georgia" w:hAnsi="Georgia" w:cs="Arial"/>
          <w:i/>
          <w:color w:val="auto"/>
          <w:szCs w:val="24"/>
        </w:rPr>
        <w:t>condiciones para tener la posibilidad de recurrir</w:t>
      </w:r>
      <w:r w:rsidR="008C16FC" w:rsidRPr="00583958">
        <w:rPr>
          <w:rStyle w:val="Refdenotaalpie"/>
          <w:rFonts w:ascii="Georgia" w:hAnsi="Georgia"/>
          <w:i/>
          <w:color w:val="auto"/>
          <w:szCs w:val="24"/>
        </w:rPr>
        <w:footnoteReference w:id="2"/>
      </w:r>
      <w:r w:rsidR="008C16FC" w:rsidRPr="00583958">
        <w:rPr>
          <w:rFonts w:ascii="Georgia" w:hAnsi="Georgia" w:cs="Arial"/>
          <w:color w:val="auto"/>
          <w:szCs w:val="24"/>
        </w:rPr>
        <w:t>, al decir de la doctrina procesal nacional</w:t>
      </w:r>
      <w:r w:rsidR="008C16FC" w:rsidRPr="00583958">
        <w:rPr>
          <w:rFonts w:ascii="Georgia" w:hAnsi="Georgia" w:cs="Arial"/>
          <w:color w:val="auto"/>
          <w:szCs w:val="24"/>
          <w:vertAlign w:val="superscript"/>
        </w:rPr>
        <w:footnoteReference w:id="3"/>
      </w:r>
      <w:r w:rsidR="008C16FC" w:rsidRPr="00583958">
        <w:rPr>
          <w:rFonts w:ascii="Georgia" w:hAnsi="Georgia" w:cs="Arial"/>
          <w:color w:val="auto"/>
          <w:szCs w:val="24"/>
          <w:vertAlign w:val="superscript"/>
        </w:rPr>
        <w:t>-</w:t>
      </w:r>
      <w:r w:rsidR="008C16FC" w:rsidRPr="00583958">
        <w:rPr>
          <w:rFonts w:ascii="Georgia" w:hAnsi="Georgia" w:cs="Arial"/>
          <w:color w:val="auto"/>
          <w:szCs w:val="24"/>
          <w:vertAlign w:val="superscript"/>
        </w:rPr>
        <w:footnoteReference w:id="4"/>
      </w:r>
      <w:r w:rsidR="008C16FC" w:rsidRPr="00583958">
        <w:rPr>
          <w:rFonts w:ascii="Georgia" w:hAnsi="Georgia" w:cs="Arial"/>
          <w:color w:val="auto"/>
          <w:szCs w:val="24"/>
        </w:rPr>
        <w:t>, a efectos de examinar el tema de apelación.</w:t>
      </w:r>
    </w:p>
    <w:p w14:paraId="72E6C38F" w14:textId="77777777" w:rsidR="00DE4A0C" w:rsidRPr="00583958" w:rsidRDefault="00DE4A0C" w:rsidP="005853EA">
      <w:pPr>
        <w:pStyle w:val="Prrafodelista"/>
        <w:spacing w:line="276" w:lineRule="auto"/>
        <w:rPr>
          <w:rFonts w:ascii="Georgia" w:hAnsi="Georgia" w:cs="Arial"/>
          <w:sz w:val="24"/>
          <w:szCs w:val="24"/>
          <w:lang w:val="es-CO"/>
        </w:rPr>
      </w:pPr>
    </w:p>
    <w:p w14:paraId="4A1D297C" w14:textId="4CB44748" w:rsidR="008C16FC" w:rsidRPr="00583958" w:rsidRDefault="008C16FC" w:rsidP="005853EA">
      <w:pPr>
        <w:pStyle w:val="Sinespaciado"/>
        <w:spacing w:line="276" w:lineRule="auto"/>
        <w:jc w:val="both"/>
        <w:rPr>
          <w:rFonts w:ascii="Georgia" w:hAnsi="Georgia" w:cs="Arial"/>
          <w:lang w:val="es-CO"/>
        </w:rPr>
      </w:pPr>
      <w:r w:rsidRPr="00583958">
        <w:rPr>
          <w:rFonts w:ascii="Georgia" w:hAnsi="Georgia" w:cs="Arial"/>
          <w:lang w:val="es-CO"/>
        </w:rPr>
        <w:t>Esos presupuestos son una serie de exigencias normativas formales que permiten su trámite y aseguran su decisión.  Así lo anota el maestro López B.: “</w:t>
      </w:r>
      <w:r w:rsidRPr="00583958">
        <w:rPr>
          <w:rFonts w:ascii="Georgia" w:hAnsi="Georgia" w:cs="Arial"/>
          <w:i/>
          <w:sz w:val="22"/>
          <w:lang w:val="es-CO"/>
        </w:rPr>
        <w:t>En todo caso sin estar reunidos los requisitos de viabilidad del recurso jamás se podrá tener éxito en el mismo por constituir un precedente necesario para decidirlo</w:t>
      </w:r>
      <w:r w:rsidRPr="00583958">
        <w:rPr>
          <w:rFonts w:ascii="Georgia" w:hAnsi="Georgia" w:cs="Arial"/>
          <w:lang w:val="es-CO"/>
        </w:rPr>
        <w:t>”</w:t>
      </w:r>
      <w:r w:rsidRPr="00583958">
        <w:rPr>
          <w:rFonts w:ascii="Georgia" w:hAnsi="Georgia" w:cs="Arial"/>
          <w:vertAlign w:val="superscript"/>
          <w:lang w:val="es-CO"/>
        </w:rPr>
        <w:footnoteReference w:id="5"/>
      </w:r>
      <w:r w:rsidRPr="00583958">
        <w:rPr>
          <w:rFonts w:ascii="Georgia" w:hAnsi="Georgia" w:cs="Arial"/>
          <w:lang w:val="es-CO"/>
        </w:rPr>
        <w:t>.  Y lo explica el profesor Rojas G. en su obra: “</w:t>
      </w:r>
      <w:r w:rsidRPr="00583958">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583958">
        <w:rPr>
          <w:rFonts w:ascii="Georgia" w:hAnsi="Georgia" w:cs="Arial"/>
          <w:lang w:val="es-CO"/>
        </w:rPr>
        <w:t>”</w:t>
      </w:r>
      <w:r w:rsidRPr="00583958">
        <w:rPr>
          <w:rStyle w:val="Refdenotaalpie"/>
          <w:rFonts w:ascii="Georgia" w:hAnsi="Georgia" w:cs="Arial"/>
          <w:lang w:val="es-CO"/>
        </w:rPr>
        <w:t xml:space="preserve"> </w:t>
      </w:r>
      <w:r w:rsidRPr="00583958">
        <w:rPr>
          <w:rStyle w:val="Refdenotaalpie"/>
          <w:rFonts w:ascii="Georgia" w:hAnsi="Georgia" w:cs="Arial"/>
          <w:lang w:val="es-CO"/>
        </w:rPr>
        <w:footnoteReference w:id="6"/>
      </w:r>
      <w:r w:rsidRPr="00583958">
        <w:rPr>
          <w:rFonts w:ascii="Georgia" w:hAnsi="Georgia" w:cs="Arial"/>
          <w:lang w:val="es-CO"/>
        </w:rPr>
        <w:t>.</w:t>
      </w:r>
    </w:p>
    <w:p w14:paraId="5BCD548F" w14:textId="77777777" w:rsidR="008C16FC" w:rsidRPr="00583958" w:rsidRDefault="008C16FC" w:rsidP="005853EA">
      <w:pPr>
        <w:pStyle w:val="Sinespaciado"/>
        <w:spacing w:line="276" w:lineRule="auto"/>
        <w:ind w:left="708"/>
        <w:jc w:val="both"/>
        <w:rPr>
          <w:rFonts w:ascii="Georgia" w:hAnsi="Georgia" w:cs="Arial"/>
          <w:lang w:val="es-CO"/>
        </w:rPr>
      </w:pPr>
    </w:p>
    <w:p w14:paraId="6F31DBF8" w14:textId="4979869F" w:rsidR="008C16FC" w:rsidRPr="00583958" w:rsidRDefault="008C16FC" w:rsidP="005853EA">
      <w:pPr>
        <w:pStyle w:val="Sinespaciado"/>
        <w:spacing w:line="276" w:lineRule="auto"/>
        <w:jc w:val="both"/>
        <w:rPr>
          <w:rFonts w:ascii="Georgia" w:hAnsi="Georgia" w:cs="Arial"/>
          <w:shd w:val="clear" w:color="auto" w:fill="FFFFFF"/>
          <w:lang w:val="es-CO"/>
        </w:rPr>
      </w:pPr>
      <w:r w:rsidRPr="00583958">
        <w:rPr>
          <w:rFonts w:ascii="Georgia" w:hAnsi="Georgia" w:cs="Arial"/>
          <w:lang w:val="es-CO"/>
        </w:rPr>
        <w:t xml:space="preserve">Tales requisitos son concurrentes y necesarios, ausente uno se malogra el estudio de la impugnación. La misma CSJ así </w:t>
      </w:r>
      <w:r w:rsidR="00081941" w:rsidRPr="00583958">
        <w:rPr>
          <w:rFonts w:ascii="Georgia" w:hAnsi="Georgia" w:cs="Arial"/>
          <w:lang w:val="es-CO"/>
        </w:rPr>
        <w:t xml:space="preserve">ha </w:t>
      </w:r>
      <w:r w:rsidRPr="00583958">
        <w:rPr>
          <w:rFonts w:ascii="Georgia" w:hAnsi="Georgia" w:cs="Arial"/>
          <w:lang w:val="es-CO"/>
        </w:rPr>
        <w:t>enseñado: “</w:t>
      </w:r>
      <w:r w:rsidRPr="00583958">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583958">
        <w:rPr>
          <w:rFonts w:ascii="Georgia" w:hAnsi="Georgia" w:cs="Arial"/>
          <w:lang w:val="es-CO"/>
        </w:rPr>
        <w:t>”</w:t>
      </w:r>
      <w:r w:rsidRPr="00583958">
        <w:rPr>
          <w:rStyle w:val="Refdenotaalpie"/>
          <w:rFonts w:ascii="Georgia" w:hAnsi="Georgia"/>
          <w:lang w:val="es-CO"/>
        </w:rPr>
        <w:footnoteReference w:id="7"/>
      </w:r>
      <w:r w:rsidRPr="00583958">
        <w:rPr>
          <w:rFonts w:ascii="Georgia" w:hAnsi="Georgia" w:cs="Arial"/>
          <w:lang w:val="es-CO"/>
        </w:rPr>
        <w:t>. Y en decisión más próxima (2017)</w:t>
      </w:r>
      <w:r w:rsidRPr="00583958">
        <w:rPr>
          <w:rStyle w:val="Refdenotaalpie"/>
          <w:rFonts w:ascii="Georgia" w:hAnsi="Georgia"/>
          <w:lang w:val="es-CO"/>
        </w:rPr>
        <w:footnoteReference w:id="8"/>
      </w:r>
      <w:r w:rsidRPr="00583958">
        <w:rPr>
          <w:rFonts w:ascii="Georgia" w:hAnsi="Georgia" w:cs="Arial"/>
          <w:lang w:val="es-CO"/>
        </w:rPr>
        <w:t xml:space="preserve"> recordó: “</w:t>
      </w:r>
      <w:r w:rsidRPr="00583958">
        <w:rPr>
          <w:rFonts w:ascii="Georgia" w:hAnsi="Georgia" w:cs="Arial"/>
          <w:sz w:val="22"/>
          <w:lang w:val="es-CO"/>
        </w:rPr>
        <w:t xml:space="preserve">(…) </w:t>
      </w:r>
      <w:r w:rsidRPr="00583958">
        <w:rPr>
          <w:rFonts w:ascii="Georgia" w:hAnsi="Georgia" w:cs="Arial"/>
          <w:i/>
          <w:spacing w:val="-4"/>
          <w:sz w:val="22"/>
          <w:lang w:val="es-CO"/>
        </w:rPr>
        <w:t>Por supuesto que, era facultad del superior realizar el análisis preliminar para la «admisión» de la alzada, y conforme a la regla cuarta del canon 325 del C.G.P.</w:t>
      </w:r>
      <w:r w:rsidRPr="00583958">
        <w:rPr>
          <w:rFonts w:ascii="Georgia" w:hAnsi="Georgia" w:cs="Arial"/>
          <w:spacing w:val="-4"/>
          <w:sz w:val="22"/>
          <w:lang w:val="es-CO"/>
        </w:rPr>
        <w:t xml:space="preserve"> </w:t>
      </w:r>
      <w:r w:rsidRPr="00583958">
        <w:rPr>
          <w:rFonts w:ascii="Georgia" w:hAnsi="Georgia" w:cs="Arial"/>
          <w:i/>
          <w:sz w:val="22"/>
          <w:shd w:val="clear" w:color="auto" w:fill="FFFFFF"/>
          <w:lang w:val="es-CO"/>
        </w:rPr>
        <w:t xml:space="preserve"> (…)</w:t>
      </w:r>
      <w:r w:rsidRPr="00583958">
        <w:rPr>
          <w:rFonts w:ascii="Georgia" w:hAnsi="Georgia" w:cs="Arial"/>
          <w:i/>
          <w:shd w:val="clear" w:color="auto" w:fill="FFFFFF"/>
          <w:lang w:val="es-CO"/>
        </w:rPr>
        <w:t>”.</w:t>
      </w:r>
    </w:p>
    <w:p w14:paraId="66D0BA1E" w14:textId="644D4E9E" w:rsidR="008C16FC" w:rsidRPr="00583958" w:rsidRDefault="008C16FC" w:rsidP="005853EA">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583958" w:rsidRDefault="003D663C" w:rsidP="005853EA">
      <w:pPr>
        <w:pStyle w:val="Textopredeterminado"/>
        <w:spacing w:line="276" w:lineRule="auto"/>
        <w:jc w:val="both"/>
        <w:rPr>
          <w:rFonts w:ascii="Georgia" w:hAnsi="Georgia" w:cs="Arial"/>
          <w:color w:val="auto"/>
          <w:szCs w:val="24"/>
        </w:rPr>
      </w:pPr>
      <w:r w:rsidRPr="00583958">
        <w:rPr>
          <w:rFonts w:ascii="Georgia" w:hAnsi="Georgia" w:cs="Arial"/>
          <w:color w:val="auto"/>
          <w:szCs w:val="24"/>
        </w:rPr>
        <w:t xml:space="preserve">Ellos son </w:t>
      </w:r>
      <w:r w:rsidRPr="00583958">
        <w:rPr>
          <w:rFonts w:ascii="Georgia" w:hAnsi="Georgia" w:cs="Arial"/>
          <w:b/>
          <w:color w:val="auto"/>
          <w:szCs w:val="24"/>
        </w:rPr>
        <w:t>(i)</w:t>
      </w:r>
      <w:r w:rsidRPr="00583958">
        <w:rPr>
          <w:rFonts w:ascii="Georgia" w:hAnsi="Georgia" w:cs="Arial"/>
          <w:color w:val="auto"/>
          <w:szCs w:val="24"/>
        </w:rPr>
        <w:t xml:space="preserve"> legitimación o interés, </w:t>
      </w:r>
      <w:r w:rsidRPr="00583958">
        <w:rPr>
          <w:rFonts w:ascii="Georgia" w:hAnsi="Georgia" w:cs="Arial"/>
          <w:b/>
          <w:color w:val="auto"/>
          <w:szCs w:val="24"/>
        </w:rPr>
        <w:t>(ii)</w:t>
      </w:r>
      <w:r w:rsidRPr="00583958">
        <w:rPr>
          <w:rFonts w:ascii="Georgia" w:hAnsi="Georgia" w:cs="Arial"/>
          <w:color w:val="auto"/>
          <w:szCs w:val="24"/>
        </w:rPr>
        <w:t xml:space="preserve"> oportunidad, </w:t>
      </w:r>
      <w:r w:rsidRPr="00583958">
        <w:rPr>
          <w:rFonts w:ascii="Georgia" w:hAnsi="Georgia" w:cs="Arial"/>
          <w:b/>
          <w:color w:val="auto"/>
          <w:szCs w:val="24"/>
        </w:rPr>
        <w:t xml:space="preserve">(iii) </w:t>
      </w:r>
      <w:r w:rsidRPr="00583958">
        <w:rPr>
          <w:rFonts w:ascii="Georgia" w:hAnsi="Georgia" w:cs="Arial"/>
          <w:color w:val="auto"/>
          <w:szCs w:val="24"/>
        </w:rPr>
        <w:t xml:space="preserve">procedencia y </w:t>
      </w:r>
      <w:r w:rsidRPr="00583958">
        <w:rPr>
          <w:rFonts w:ascii="Georgia" w:hAnsi="Georgia" w:cs="Arial"/>
          <w:b/>
          <w:color w:val="auto"/>
          <w:szCs w:val="24"/>
        </w:rPr>
        <w:t xml:space="preserve">(iv) </w:t>
      </w:r>
      <w:r w:rsidRPr="00583958">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583958">
        <w:rPr>
          <w:rStyle w:val="Refdenotaalpie"/>
          <w:rFonts w:ascii="Georgia" w:hAnsi="Georgia"/>
          <w:color w:val="auto"/>
          <w:szCs w:val="24"/>
        </w:rPr>
        <w:footnoteReference w:id="9"/>
      </w:r>
      <w:r w:rsidRPr="00583958">
        <w:rPr>
          <w:rFonts w:ascii="Georgia" w:hAnsi="Georgia" w:cs="Arial"/>
          <w:color w:val="auto"/>
          <w:szCs w:val="24"/>
          <w:vertAlign w:val="superscript"/>
        </w:rPr>
        <w:t>-</w:t>
      </w:r>
      <w:r w:rsidRPr="00583958">
        <w:rPr>
          <w:rStyle w:val="Refdenotaalpie"/>
          <w:rFonts w:ascii="Georgia" w:hAnsi="Georgia"/>
          <w:color w:val="auto"/>
          <w:szCs w:val="24"/>
        </w:rPr>
        <w:footnoteReference w:id="10"/>
      </w:r>
      <w:r w:rsidRPr="00583958">
        <w:rPr>
          <w:rFonts w:ascii="Georgia" w:hAnsi="Georgia" w:cs="Arial"/>
          <w:color w:val="auto"/>
          <w:szCs w:val="24"/>
        </w:rPr>
        <w:t xml:space="preserve">.  </w:t>
      </w:r>
    </w:p>
    <w:p w14:paraId="735A85D2" w14:textId="77777777" w:rsidR="00184960" w:rsidRPr="00583958" w:rsidRDefault="00184960" w:rsidP="005853EA">
      <w:pPr>
        <w:pStyle w:val="Textopredeterminado"/>
        <w:spacing w:line="276" w:lineRule="auto"/>
        <w:jc w:val="both"/>
        <w:rPr>
          <w:rFonts w:ascii="Georgia" w:hAnsi="Georgia" w:cs="Arial"/>
          <w:color w:val="auto"/>
          <w:szCs w:val="24"/>
        </w:rPr>
      </w:pPr>
    </w:p>
    <w:p w14:paraId="6CDA23F8" w14:textId="6246E5EE" w:rsidR="003D663C" w:rsidRPr="00583958" w:rsidRDefault="00184960" w:rsidP="005853EA">
      <w:pPr>
        <w:pStyle w:val="Textopredeterminado"/>
        <w:spacing w:line="276" w:lineRule="auto"/>
        <w:jc w:val="both"/>
        <w:rPr>
          <w:rFonts w:ascii="Georgia" w:hAnsi="Georgia" w:cs="Arial"/>
          <w:color w:val="auto"/>
          <w:szCs w:val="24"/>
        </w:rPr>
      </w:pPr>
      <w:r w:rsidRPr="00583958">
        <w:rPr>
          <w:rFonts w:ascii="Georgia" w:hAnsi="Georgia" w:cs="Arial"/>
          <w:color w:val="auto"/>
          <w:szCs w:val="24"/>
        </w:rPr>
        <w:t>En este caso están cumplidos</w:t>
      </w:r>
      <w:r w:rsidRPr="00583958">
        <w:rPr>
          <w:rFonts w:ascii="Georgia" w:eastAsia="Georgia" w:hAnsi="Georgia" w:cs="Georgia"/>
          <w:color w:val="auto"/>
          <w:szCs w:val="24"/>
          <w:lang w:val="es"/>
        </w:rPr>
        <w:t xml:space="preserve">, dado que: </w:t>
      </w:r>
      <w:r w:rsidRPr="00583958">
        <w:rPr>
          <w:rFonts w:ascii="Georgia" w:eastAsia="Georgia" w:hAnsi="Georgia" w:cs="Georgia"/>
          <w:b/>
          <w:bCs/>
          <w:color w:val="auto"/>
          <w:szCs w:val="24"/>
          <w:lang w:val="es"/>
        </w:rPr>
        <w:t>(i)</w:t>
      </w:r>
      <w:r w:rsidRPr="00583958">
        <w:rPr>
          <w:rFonts w:ascii="Georgia" w:eastAsia="Georgia" w:hAnsi="Georgia" w:cs="Georgia"/>
          <w:color w:val="auto"/>
          <w:szCs w:val="24"/>
          <w:lang w:val="es"/>
        </w:rPr>
        <w:t xml:space="preserve"> hay legitimación en la parte que recurre porque estima que hay mengua de sus intereses con la decisión atacada; </w:t>
      </w:r>
      <w:r w:rsidRPr="00583958">
        <w:rPr>
          <w:rFonts w:ascii="Georgia" w:eastAsia="Georgia" w:hAnsi="Georgia" w:cs="Georgia"/>
          <w:b/>
          <w:bCs/>
          <w:color w:val="auto"/>
          <w:szCs w:val="24"/>
          <w:lang w:val="es"/>
        </w:rPr>
        <w:t>(ii)</w:t>
      </w:r>
      <w:r w:rsidRPr="00583958">
        <w:rPr>
          <w:rFonts w:ascii="Georgia" w:eastAsia="Georgia" w:hAnsi="Georgia" w:cs="Georgia"/>
          <w:color w:val="auto"/>
          <w:szCs w:val="24"/>
          <w:lang w:val="es"/>
        </w:rPr>
        <w:t xml:space="preserve"> </w:t>
      </w:r>
      <w:r w:rsidR="7A450D4D" w:rsidRPr="00583958">
        <w:rPr>
          <w:rFonts w:ascii="Georgia" w:eastAsia="Georgia" w:hAnsi="Georgia" w:cs="Georgia"/>
          <w:color w:val="auto"/>
          <w:szCs w:val="24"/>
          <w:lang w:val="es"/>
        </w:rPr>
        <w:t xml:space="preserve">Oportunidad </w:t>
      </w:r>
      <w:r w:rsidRPr="00583958">
        <w:rPr>
          <w:rFonts w:ascii="Georgia" w:eastAsia="Georgia" w:hAnsi="Georgia" w:cs="Georgia"/>
          <w:color w:val="auto"/>
          <w:szCs w:val="24"/>
          <w:lang w:val="es"/>
        </w:rPr>
        <w:t xml:space="preserve">(Carpeta 1ª instancia, </w:t>
      </w:r>
      <w:proofErr w:type="spellStart"/>
      <w:r w:rsidRPr="00583958">
        <w:rPr>
          <w:rFonts w:ascii="Georgia" w:eastAsia="Georgia" w:hAnsi="Georgia" w:cs="Georgia"/>
          <w:color w:val="auto"/>
          <w:szCs w:val="24"/>
          <w:lang w:val="es"/>
        </w:rPr>
        <w:t>pdf</w:t>
      </w:r>
      <w:proofErr w:type="spellEnd"/>
      <w:r w:rsidRPr="00583958">
        <w:rPr>
          <w:rFonts w:ascii="Georgia" w:eastAsia="Georgia" w:hAnsi="Georgia" w:cs="Georgia"/>
          <w:color w:val="auto"/>
          <w:szCs w:val="24"/>
          <w:lang w:val="es"/>
        </w:rPr>
        <w:t>. No.</w:t>
      </w:r>
      <w:r w:rsidR="00C81008" w:rsidRPr="00583958">
        <w:rPr>
          <w:rFonts w:ascii="Georgia" w:eastAsia="Georgia" w:hAnsi="Georgia" w:cs="Georgia"/>
          <w:color w:val="auto"/>
          <w:szCs w:val="24"/>
          <w:lang w:val="es"/>
        </w:rPr>
        <w:t>1</w:t>
      </w:r>
      <w:r w:rsidR="00AC7002" w:rsidRPr="00583958">
        <w:rPr>
          <w:rFonts w:ascii="Georgia" w:eastAsia="Georgia" w:hAnsi="Georgia" w:cs="Georgia"/>
          <w:color w:val="auto"/>
          <w:szCs w:val="24"/>
          <w:lang w:val="es"/>
        </w:rPr>
        <w:t>1</w:t>
      </w:r>
      <w:r w:rsidRPr="00583958">
        <w:rPr>
          <w:rFonts w:ascii="Georgia" w:eastAsia="Georgia" w:hAnsi="Georgia"/>
          <w:color w:val="auto"/>
          <w:szCs w:val="24"/>
        </w:rPr>
        <w:t>)</w:t>
      </w:r>
      <w:r w:rsidRPr="00583958">
        <w:rPr>
          <w:rFonts w:ascii="Georgia" w:eastAsia="Georgia" w:hAnsi="Georgia" w:cs="Georgia"/>
          <w:color w:val="auto"/>
          <w:szCs w:val="24"/>
          <w:lang w:val="es"/>
        </w:rPr>
        <w:t xml:space="preserve">; </w:t>
      </w:r>
      <w:r w:rsidRPr="00583958">
        <w:rPr>
          <w:rFonts w:ascii="Georgia" w:eastAsia="Georgia" w:hAnsi="Georgia" w:cs="Georgia"/>
          <w:b/>
          <w:bCs/>
          <w:color w:val="auto"/>
          <w:szCs w:val="24"/>
          <w:lang w:val="es"/>
        </w:rPr>
        <w:t>(iii)</w:t>
      </w:r>
      <w:r w:rsidRPr="00583958">
        <w:rPr>
          <w:rFonts w:ascii="Georgia" w:eastAsia="Georgia" w:hAnsi="Georgia" w:cs="Georgia"/>
          <w:color w:val="auto"/>
          <w:szCs w:val="24"/>
          <w:lang w:val="es"/>
        </w:rPr>
        <w:t xml:space="preserve"> </w:t>
      </w:r>
      <w:r w:rsidR="0FF5E3D5" w:rsidRPr="00583958">
        <w:rPr>
          <w:rFonts w:ascii="Georgia" w:eastAsia="Georgia" w:hAnsi="Georgia" w:cs="Georgia"/>
          <w:color w:val="auto"/>
          <w:szCs w:val="24"/>
          <w:lang w:val="es"/>
        </w:rPr>
        <w:t xml:space="preserve">Procedencia, pues </w:t>
      </w:r>
      <w:r w:rsidRPr="00583958">
        <w:rPr>
          <w:rFonts w:ascii="Georgia" w:eastAsia="Georgia" w:hAnsi="Georgia" w:cs="Georgia"/>
          <w:color w:val="auto"/>
          <w:szCs w:val="24"/>
          <w:lang w:val="es"/>
        </w:rPr>
        <w:t xml:space="preserve">la aludida providencia es </w:t>
      </w:r>
      <w:r w:rsidR="69A95697" w:rsidRPr="00583958">
        <w:rPr>
          <w:rFonts w:ascii="Georgia" w:eastAsia="Georgia" w:hAnsi="Georgia" w:cs="Georgia"/>
          <w:color w:val="auto"/>
          <w:szCs w:val="24"/>
          <w:lang w:val="es"/>
        </w:rPr>
        <w:t xml:space="preserve">pasible </w:t>
      </w:r>
      <w:r w:rsidRPr="00583958">
        <w:rPr>
          <w:rFonts w:ascii="Georgia" w:eastAsia="Georgia" w:hAnsi="Georgia" w:cs="Georgia"/>
          <w:color w:val="auto"/>
          <w:szCs w:val="24"/>
          <w:lang w:val="es"/>
        </w:rPr>
        <w:t>de reposición (Artículo 318, CGP); y</w:t>
      </w:r>
      <w:r w:rsidR="63A746B3" w:rsidRPr="00583958">
        <w:rPr>
          <w:rFonts w:ascii="Georgia" w:eastAsia="Georgia" w:hAnsi="Georgia" w:cs="Georgia"/>
          <w:color w:val="auto"/>
          <w:szCs w:val="24"/>
          <w:lang w:val="es"/>
        </w:rPr>
        <w:t>,</w:t>
      </w:r>
      <w:r w:rsidRPr="00583958">
        <w:rPr>
          <w:rFonts w:ascii="Georgia" w:eastAsia="Georgia" w:hAnsi="Georgia" w:cs="Georgia"/>
          <w:color w:val="auto"/>
          <w:szCs w:val="24"/>
          <w:lang w:val="es"/>
        </w:rPr>
        <w:t xml:space="preserve"> está cumplida la carga procesal de </w:t>
      </w:r>
      <w:r w:rsidRPr="00583958">
        <w:rPr>
          <w:rFonts w:ascii="Georgia" w:eastAsia="Georgia" w:hAnsi="Georgia" w:cs="Georgia"/>
          <w:b/>
          <w:bCs/>
          <w:color w:val="auto"/>
          <w:szCs w:val="24"/>
          <w:lang w:val="es"/>
        </w:rPr>
        <w:t xml:space="preserve">(iv) </w:t>
      </w:r>
      <w:r w:rsidRPr="00583958">
        <w:rPr>
          <w:rFonts w:ascii="Georgia" w:eastAsia="Georgia" w:hAnsi="Georgia" w:cs="Georgia"/>
          <w:color w:val="auto"/>
          <w:szCs w:val="24"/>
          <w:lang w:val="es"/>
        </w:rPr>
        <w:t>la sustentación (Artículo 318-3º, CGP), acorde con l</w:t>
      </w:r>
      <w:r w:rsidR="00AC7002" w:rsidRPr="00583958">
        <w:rPr>
          <w:rFonts w:ascii="Georgia" w:eastAsia="Georgia" w:hAnsi="Georgia" w:cs="Georgia"/>
          <w:color w:val="auto"/>
          <w:szCs w:val="24"/>
          <w:lang w:val="es"/>
        </w:rPr>
        <w:t>os</w:t>
      </w:r>
      <w:r w:rsidRPr="00583958">
        <w:rPr>
          <w:rFonts w:ascii="Georgia" w:eastAsia="Georgia" w:hAnsi="Georgia" w:cs="Georgia"/>
          <w:color w:val="auto"/>
          <w:szCs w:val="24"/>
          <w:lang w:val="es"/>
        </w:rPr>
        <w:t xml:space="preserve"> memorial</w:t>
      </w:r>
      <w:r w:rsidR="00AC7002" w:rsidRPr="00583958">
        <w:rPr>
          <w:rFonts w:ascii="Georgia" w:eastAsia="Georgia" w:hAnsi="Georgia" w:cs="Georgia"/>
          <w:color w:val="auto"/>
          <w:szCs w:val="24"/>
          <w:lang w:val="es"/>
        </w:rPr>
        <w:t>es</w:t>
      </w:r>
      <w:r w:rsidRPr="00583958">
        <w:rPr>
          <w:rFonts w:ascii="Georgia" w:eastAsia="Georgia" w:hAnsi="Georgia" w:cs="Georgia"/>
          <w:color w:val="auto"/>
          <w:szCs w:val="24"/>
          <w:lang w:val="es"/>
        </w:rPr>
        <w:t xml:space="preserve"> </w:t>
      </w:r>
      <w:r w:rsidRPr="00583958">
        <w:rPr>
          <w:rFonts w:ascii="Georgia" w:hAnsi="Georgia" w:cs="Arial"/>
          <w:color w:val="auto"/>
          <w:szCs w:val="24"/>
        </w:rPr>
        <w:t>acercado</w:t>
      </w:r>
      <w:r w:rsidR="00AC7002" w:rsidRPr="00583958">
        <w:rPr>
          <w:rFonts w:ascii="Georgia" w:hAnsi="Georgia" w:cs="Arial"/>
          <w:color w:val="auto"/>
          <w:szCs w:val="24"/>
        </w:rPr>
        <w:t>s</w:t>
      </w:r>
      <w:r w:rsidRPr="00583958">
        <w:rPr>
          <w:rFonts w:ascii="Georgia" w:hAnsi="Georgia" w:cs="Arial"/>
          <w:color w:val="auto"/>
          <w:szCs w:val="24"/>
        </w:rPr>
        <w:t xml:space="preserve"> en tiempo </w:t>
      </w:r>
      <w:r w:rsidRPr="00583958">
        <w:rPr>
          <w:rFonts w:ascii="Georgia" w:eastAsia="Georgia" w:hAnsi="Georgia" w:cs="Georgia"/>
          <w:color w:val="auto"/>
          <w:szCs w:val="24"/>
          <w:lang w:val="es"/>
        </w:rPr>
        <w:t xml:space="preserve">(Carpeta 2ª instancia, </w:t>
      </w:r>
      <w:proofErr w:type="spellStart"/>
      <w:r w:rsidRPr="00583958">
        <w:rPr>
          <w:rFonts w:ascii="Georgia" w:eastAsia="Georgia" w:hAnsi="Georgia" w:cs="Georgia"/>
          <w:color w:val="auto"/>
          <w:szCs w:val="24"/>
          <w:lang w:val="es"/>
        </w:rPr>
        <w:t>pdf</w:t>
      </w:r>
      <w:proofErr w:type="spellEnd"/>
      <w:r w:rsidRPr="00583958">
        <w:rPr>
          <w:rFonts w:ascii="Georgia" w:eastAsia="Georgia" w:hAnsi="Georgia" w:cs="Georgia"/>
          <w:color w:val="auto"/>
          <w:szCs w:val="24"/>
          <w:lang w:val="es"/>
        </w:rPr>
        <w:t xml:space="preserve">. Nos. </w:t>
      </w:r>
      <w:r w:rsidR="00AC7002" w:rsidRPr="00583958">
        <w:rPr>
          <w:rFonts w:ascii="Georgia" w:eastAsia="Georgia" w:hAnsi="Georgia" w:cs="Georgia"/>
          <w:color w:val="auto"/>
          <w:szCs w:val="24"/>
          <w:lang w:val="es"/>
        </w:rPr>
        <w:t xml:space="preserve">08, 10 </w:t>
      </w:r>
      <w:r w:rsidR="00C81008" w:rsidRPr="00583958">
        <w:rPr>
          <w:rFonts w:ascii="Georgia" w:eastAsia="Georgia" w:hAnsi="Georgia" w:cs="Georgia"/>
          <w:color w:val="auto"/>
          <w:szCs w:val="24"/>
          <w:lang w:val="es"/>
        </w:rPr>
        <w:t>y 1</w:t>
      </w:r>
      <w:r w:rsidR="00AC7002" w:rsidRPr="00583958">
        <w:rPr>
          <w:rFonts w:ascii="Georgia" w:eastAsia="Georgia" w:hAnsi="Georgia" w:cs="Georgia"/>
          <w:color w:val="auto"/>
          <w:szCs w:val="24"/>
          <w:lang w:val="es"/>
        </w:rPr>
        <w:t>1</w:t>
      </w:r>
      <w:r w:rsidRPr="00583958">
        <w:rPr>
          <w:rFonts w:ascii="Georgia" w:eastAsia="Georgia" w:hAnsi="Georgia" w:cs="Georgia"/>
          <w:color w:val="auto"/>
          <w:szCs w:val="24"/>
          <w:lang w:val="es"/>
        </w:rPr>
        <w:t>).</w:t>
      </w:r>
      <w:r w:rsidR="009D4966" w:rsidRPr="00583958">
        <w:rPr>
          <w:rFonts w:ascii="Georgia" w:eastAsia="Georgia" w:hAnsi="Georgia" w:cs="Georgia"/>
          <w:color w:val="auto"/>
          <w:szCs w:val="24"/>
          <w:lang w:val="es"/>
        </w:rPr>
        <w:t xml:space="preserve"> </w:t>
      </w:r>
    </w:p>
    <w:p w14:paraId="7B125324" w14:textId="696B99B7" w:rsidR="003D5A4E" w:rsidRPr="00583958" w:rsidRDefault="003D5A4E" w:rsidP="005853EA">
      <w:pPr>
        <w:pStyle w:val="Sinespaciado"/>
        <w:spacing w:line="276" w:lineRule="auto"/>
        <w:jc w:val="both"/>
        <w:rPr>
          <w:rFonts w:ascii="Georgia" w:hAnsi="Georgia" w:cs="Arial"/>
        </w:rPr>
      </w:pPr>
    </w:p>
    <w:p w14:paraId="54E12D29" w14:textId="7D1D496A" w:rsidR="003D663C" w:rsidRPr="00583958" w:rsidRDefault="004874D7" w:rsidP="005853EA">
      <w:pPr>
        <w:pStyle w:val="Textoindependiente"/>
        <w:spacing w:line="276" w:lineRule="auto"/>
        <w:rPr>
          <w:rFonts w:ascii="Georgia" w:hAnsi="Georgia"/>
          <w:szCs w:val="24"/>
        </w:rPr>
      </w:pPr>
      <w:r w:rsidRPr="00583958">
        <w:rPr>
          <w:rFonts w:ascii="Georgia" w:hAnsi="Georgia" w:cs="Arial"/>
          <w:i/>
          <w:smallCaps/>
          <w:spacing w:val="0"/>
          <w:szCs w:val="24"/>
          <w:lang w:val="es-ES"/>
        </w:rPr>
        <w:lastRenderedPageBreak/>
        <w:t>5.3.</w:t>
      </w:r>
      <w:r w:rsidR="009D4966" w:rsidRPr="00583958">
        <w:rPr>
          <w:rFonts w:ascii="Georgia" w:hAnsi="Georgia" w:cs="Arial"/>
          <w:i/>
          <w:smallCaps/>
          <w:spacing w:val="0"/>
          <w:szCs w:val="24"/>
          <w:lang w:val="es-ES"/>
        </w:rPr>
        <w:t xml:space="preserve"> </w:t>
      </w:r>
      <w:r w:rsidR="003D663C" w:rsidRPr="00583958">
        <w:rPr>
          <w:rFonts w:ascii="Georgia" w:hAnsi="Georgia" w:cs="Arial"/>
          <w:i/>
          <w:smallCaps/>
          <w:spacing w:val="0"/>
          <w:szCs w:val="24"/>
          <w:lang w:val="es-ES"/>
        </w:rPr>
        <w:t>El problema jurídico por resolver.</w:t>
      </w:r>
      <w:r w:rsidR="003D663C" w:rsidRPr="00583958">
        <w:rPr>
          <w:rFonts w:ascii="Georgia" w:hAnsi="Georgia" w:cs="Arial"/>
          <w:smallCaps/>
          <w:spacing w:val="0"/>
          <w:szCs w:val="24"/>
          <w:lang w:val="es-ES"/>
        </w:rPr>
        <w:t xml:space="preserve"> </w:t>
      </w:r>
      <w:r w:rsidR="003D663C" w:rsidRPr="00583958">
        <w:rPr>
          <w:rFonts w:ascii="Georgia" w:hAnsi="Georgia"/>
          <w:szCs w:val="24"/>
        </w:rPr>
        <w:t>¿Debe reponerse, para en su lugar tener por sustentado el recurso de apelación y darle trámite, según la reposición formulada por l</w:t>
      </w:r>
      <w:r w:rsidR="00AC7002" w:rsidRPr="00583958">
        <w:rPr>
          <w:rFonts w:ascii="Georgia" w:hAnsi="Georgia"/>
          <w:szCs w:val="24"/>
        </w:rPr>
        <w:t>a</w:t>
      </w:r>
      <w:r w:rsidR="003D663C" w:rsidRPr="00583958">
        <w:rPr>
          <w:rFonts w:ascii="Georgia" w:hAnsi="Georgia"/>
          <w:szCs w:val="24"/>
        </w:rPr>
        <w:t xml:space="preserve"> apoderad</w:t>
      </w:r>
      <w:r w:rsidR="00AC7002" w:rsidRPr="00583958">
        <w:rPr>
          <w:rFonts w:ascii="Georgia" w:hAnsi="Georgia"/>
          <w:szCs w:val="24"/>
        </w:rPr>
        <w:t>a</w:t>
      </w:r>
      <w:r w:rsidR="003D663C" w:rsidRPr="00583958">
        <w:rPr>
          <w:rFonts w:ascii="Georgia" w:hAnsi="Georgia"/>
          <w:szCs w:val="24"/>
        </w:rPr>
        <w:t xml:space="preserve"> judicial de la parte demanda</w:t>
      </w:r>
      <w:r w:rsidR="00AC7002" w:rsidRPr="00583958">
        <w:rPr>
          <w:rFonts w:ascii="Georgia" w:hAnsi="Georgia"/>
          <w:szCs w:val="24"/>
        </w:rPr>
        <w:t>da</w:t>
      </w:r>
      <w:r w:rsidR="003D663C" w:rsidRPr="00583958">
        <w:rPr>
          <w:rFonts w:ascii="Georgia" w:hAnsi="Georgia"/>
          <w:szCs w:val="24"/>
        </w:rPr>
        <w:t>?</w:t>
      </w:r>
    </w:p>
    <w:p w14:paraId="2276AE25" w14:textId="77777777" w:rsidR="000B6B52" w:rsidRPr="00583958" w:rsidRDefault="000B6B52" w:rsidP="005853EA">
      <w:pPr>
        <w:pStyle w:val="Textoindependiente"/>
        <w:spacing w:line="276" w:lineRule="auto"/>
        <w:rPr>
          <w:rFonts w:ascii="Georgia" w:hAnsi="Georgia"/>
          <w:szCs w:val="24"/>
        </w:rPr>
      </w:pPr>
    </w:p>
    <w:p w14:paraId="39301450" w14:textId="587050DB" w:rsidR="003D663C" w:rsidRPr="00583958" w:rsidRDefault="003D663C" w:rsidP="005853EA">
      <w:pPr>
        <w:pStyle w:val="Textopredeterminado"/>
        <w:numPr>
          <w:ilvl w:val="1"/>
          <w:numId w:val="23"/>
        </w:numPr>
        <w:spacing w:line="276" w:lineRule="auto"/>
        <w:jc w:val="both"/>
        <w:textAlignment w:val="baseline"/>
        <w:rPr>
          <w:rFonts w:ascii="Georgia" w:hAnsi="Georgia" w:cs="Arial"/>
          <w:i/>
          <w:iCs/>
          <w:smallCaps/>
          <w:color w:val="auto"/>
          <w:szCs w:val="24"/>
        </w:rPr>
      </w:pPr>
      <w:r w:rsidRPr="00583958">
        <w:rPr>
          <w:rFonts w:ascii="Georgia" w:hAnsi="Georgia" w:cs="Arial"/>
          <w:i/>
          <w:iCs/>
          <w:smallCaps/>
          <w:color w:val="auto"/>
          <w:szCs w:val="24"/>
        </w:rPr>
        <w:t>La resolución del problema jurídico</w:t>
      </w:r>
    </w:p>
    <w:p w14:paraId="4F36B0CA" w14:textId="77777777" w:rsidR="009D4966" w:rsidRPr="00583958" w:rsidRDefault="009D4966" w:rsidP="005853EA">
      <w:pPr>
        <w:pStyle w:val="Textopredeterminado"/>
        <w:spacing w:line="276" w:lineRule="auto"/>
        <w:jc w:val="both"/>
        <w:textAlignment w:val="baseline"/>
        <w:rPr>
          <w:rFonts w:ascii="Georgia" w:hAnsi="Georgia" w:cs="Arial"/>
          <w:i/>
          <w:iCs/>
          <w:smallCaps/>
          <w:color w:val="auto"/>
          <w:szCs w:val="24"/>
        </w:rPr>
      </w:pPr>
    </w:p>
    <w:p w14:paraId="0EBAA6C3" w14:textId="48A96F12" w:rsidR="003D663C" w:rsidRPr="00583958" w:rsidRDefault="004874D7" w:rsidP="005853EA">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583958">
        <w:rPr>
          <w:rFonts w:ascii="Georgia" w:hAnsi="Georgia" w:cs="Arial"/>
          <w:i/>
          <w:iCs/>
          <w:smallCaps/>
          <w:sz w:val="24"/>
          <w:szCs w:val="24"/>
        </w:rPr>
        <w:t>5</w:t>
      </w:r>
      <w:r w:rsidR="009D4966" w:rsidRPr="00583958">
        <w:rPr>
          <w:rFonts w:ascii="Georgia" w:hAnsi="Georgia" w:cs="Arial"/>
          <w:i/>
          <w:iCs/>
          <w:smallCaps/>
          <w:sz w:val="24"/>
          <w:szCs w:val="24"/>
        </w:rPr>
        <w:t xml:space="preserve">.4.1. </w:t>
      </w:r>
      <w:r w:rsidR="003D663C" w:rsidRPr="00583958">
        <w:rPr>
          <w:rFonts w:ascii="Georgia" w:hAnsi="Georgia" w:cs="Arial"/>
          <w:i/>
          <w:iCs/>
          <w:smallCaps/>
          <w:sz w:val="24"/>
          <w:szCs w:val="24"/>
        </w:rPr>
        <w:t xml:space="preserve">Los límites en el ámbito decisional de la alzada. </w:t>
      </w:r>
      <w:r w:rsidR="003D663C" w:rsidRPr="00583958">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583958" w:rsidRDefault="003D663C" w:rsidP="005853EA">
      <w:pPr>
        <w:pStyle w:val="Prrafodelista"/>
        <w:spacing w:line="276" w:lineRule="auto"/>
        <w:ind w:left="0"/>
        <w:jc w:val="both"/>
        <w:rPr>
          <w:rFonts w:ascii="Georgia" w:hAnsi="Georgia" w:cs="Arial"/>
          <w:smallCaps/>
          <w:sz w:val="24"/>
          <w:szCs w:val="24"/>
        </w:rPr>
      </w:pPr>
    </w:p>
    <w:p w14:paraId="6E76E651" w14:textId="77777777" w:rsidR="004874D7" w:rsidRPr="00583958" w:rsidRDefault="004874D7" w:rsidP="005853EA">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583958" w:rsidRDefault="004874D7" w:rsidP="005853EA">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583958" w:rsidRDefault="004874D7" w:rsidP="005853EA">
      <w:pPr>
        <w:pStyle w:val="Prrafodelista"/>
        <w:numPr>
          <w:ilvl w:val="1"/>
          <w:numId w:val="22"/>
        </w:numPr>
        <w:spacing w:line="276" w:lineRule="auto"/>
        <w:jc w:val="both"/>
        <w:rPr>
          <w:rFonts w:ascii="Georgia" w:hAnsi="Georgia" w:cs="Arial"/>
          <w:i/>
          <w:iCs/>
          <w:smallCaps/>
          <w:vanish/>
          <w:sz w:val="24"/>
          <w:szCs w:val="24"/>
        </w:rPr>
      </w:pPr>
    </w:p>
    <w:p w14:paraId="5FF4FED5" w14:textId="54AAC820" w:rsidR="003D663C" w:rsidRPr="00583958" w:rsidRDefault="003D663C" w:rsidP="005853EA">
      <w:pPr>
        <w:pStyle w:val="Prrafodelista"/>
        <w:numPr>
          <w:ilvl w:val="2"/>
          <w:numId w:val="22"/>
        </w:numPr>
        <w:spacing w:line="276" w:lineRule="auto"/>
        <w:jc w:val="both"/>
        <w:rPr>
          <w:rFonts w:ascii="Georgia" w:hAnsi="Georgia" w:cs="Arial"/>
          <w:sz w:val="24"/>
          <w:szCs w:val="24"/>
        </w:rPr>
      </w:pPr>
      <w:r w:rsidRPr="00583958">
        <w:rPr>
          <w:rFonts w:ascii="Georgia" w:hAnsi="Georgia" w:cs="Arial"/>
          <w:i/>
          <w:iCs/>
          <w:smallCaps/>
          <w:sz w:val="24"/>
          <w:szCs w:val="24"/>
        </w:rPr>
        <w:t>Análisis del caso</w:t>
      </w:r>
      <w:r w:rsidR="0037295F" w:rsidRPr="00583958">
        <w:rPr>
          <w:rFonts w:ascii="Georgia" w:hAnsi="Georgia" w:cs="Arial"/>
          <w:i/>
          <w:iCs/>
          <w:smallCaps/>
          <w:sz w:val="24"/>
          <w:szCs w:val="24"/>
        </w:rPr>
        <w:t xml:space="preserve"> concreto</w:t>
      </w:r>
    </w:p>
    <w:p w14:paraId="7C0E561F" w14:textId="0E65F1EA" w:rsidR="0037295F" w:rsidRPr="00583958" w:rsidRDefault="0037295F" w:rsidP="005853EA">
      <w:pPr>
        <w:pStyle w:val="Sinespaciado"/>
        <w:spacing w:line="276" w:lineRule="auto"/>
        <w:jc w:val="both"/>
        <w:rPr>
          <w:rFonts w:ascii="Georgia" w:hAnsi="Georgia" w:cs="Arial"/>
        </w:rPr>
      </w:pPr>
    </w:p>
    <w:p w14:paraId="713B62B8" w14:textId="10BCFC27" w:rsidR="009D4966" w:rsidRPr="00583958" w:rsidRDefault="009D4966" w:rsidP="005853EA">
      <w:pPr>
        <w:pStyle w:val="Sinespaciado"/>
        <w:spacing w:line="276" w:lineRule="auto"/>
        <w:jc w:val="both"/>
        <w:rPr>
          <w:rFonts w:ascii="Georgia" w:hAnsi="Georgia" w:cs="Arial"/>
        </w:rPr>
      </w:pPr>
      <w:r w:rsidRPr="00583958">
        <w:rPr>
          <w:rFonts w:ascii="Georgia" w:hAnsi="Georgia" w:cs="Arial"/>
        </w:rPr>
        <w:t xml:space="preserve">Se mantendrá la decisión motivo de impugnación, </w:t>
      </w:r>
      <w:r w:rsidR="405627A2" w:rsidRPr="00583958">
        <w:rPr>
          <w:rFonts w:ascii="Georgia" w:hAnsi="Georgia" w:cs="Arial"/>
        </w:rPr>
        <w:t xml:space="preserve">ya que se disiente de </w:t>
      </w:r>
      <w:r w:rsidRPr="00583958">
        <w:rPr>
          <w:rFonts w:ascii="Georgia" w:hAnsi="Georgia" w:cs="Arial"/>
        </w:rPr>
        <w:t>los razonamientos de</w:t>
      </w:r>
      <w:r w:rsidR="00AC7002" w:rsidRPr="00583958">
        <w:rPr>
          <w:rFonts w:ascii="Georgia" w:hAnsi="Georgia" w:cs="Arial"/>
        </w:rPr>
        <w:t xml:space="preserve"> </w:t>
      </w:r>
      <w:r w:rsidRPr="00583958">
        <w:rPr>
          <w:rFonts w:ascii="Georgia" w:hAnsi="Georgia" w:cs="Arial"/>
        </w:rPr>
        <w:t>l</w:t>
      </w:r>
      <w:r w:rsidR="00AC7002" w:rsidRPr="00583958">
        <w:rPr>
          <w:rFonts w:ascii="Georgia" w:hAnsi="Georgia" w:cs="Arial"/>
        </w:rPr>
        <w:t>a</w:t>
      </w:r>
      <w:r w:rsidRPr="00583958">
        <w:rPr>
          <w:rFonts w:ascii="Georgia" w:hAnsi="Georgia" w:cs="Arial"/>
        </w:rPr>
        <w:t xml:space="preserve"> recurrente, conforme pasa a exponerse. </w:t>
      </w:r>
    </w:p>
    <w:p w14:paraId="07DD5768" w14:textId="77777777" w:rsidR="008B7470" w:rsidRPr="00583958" w:rsidRDefault="008B7470" w:rsidP="005853EA">
      <w:pPr>
        <w:pStyle w:val="Sinespaciado"/>
        <w:spacing w:line="276" w:lineRule="auto"/>
        <w:jc w:val="both"/>
        <w:rPr>
          <w:rFonts w:ascii="Georgia" w:hAnsi="Georgia" w:cs="Arial"/>
        </w:rPr>
      </w:pPr>
    </w:p>
    <w:p w14:paraId="50EE62F1" w14:textId="112C88A8" w:rsidR="003D663C" w:rsidRPr="00583958" w:rsidRDefault="003D663C" w:rsidP="005853EA">
      <w:pPr>
        <w:pStyle w:val="Sinespaciado"/>
        <w:spacing w:line="276" w:lineRule="auto"/>
        <w:jc w:val="both"/>
        <w:rPr>
          <w:rFonts w:ascii="Georgia" w:hAnsi="Georgia" w:cs="Arial"/>
          <w:i/>
          <w:iCs/>
        </w:rPr>
      </w:pPr>
      <w:r w:rsidRPr="00583958">
        <w:rPr>
          <w:rFonts w:ascii="Georgia" w:hAnsi="Georgia" w:cs="Arial"/>
          <w:spacing w:val="-3"/>
        </w:rPr>
        <w:t>La sustentación</w:t>
      </w:r>
      <w:r w:rsidRPr="00583958">
        <w:rPr>
          <w:rFonts w:ascii="Georgia" w:hAnsi="Georgia" w:cs="Arial"/>
        </w:rPr>
        <w:t>, en vigencia del CGP, est</w:t>
      </w:r>
      <w:r w:rsidR="34EB4C41" w:rsidRPr="00583958">
        <w:rPr>
          <w:rFonts w:ascii="Georgia" w:hAnsi="Georgia" w:cs="Arial"/>
        </w:rPr>
        <w:t>á</w:t>
      </w:r>
      <w:r w:rsidRPr="00583958">
        <w:rPr>
          <w:rFonts w:ascii="Georgia" w:hAnsi="Georgia" w:cs="Arial"/>
        </w:rPr>
        <w:t xml:space="preserve"> estatuid</w:t>
      </w:r>
      <w:r w:rsidR="00402E49" w:rsidRPr="00583958">
        <w:rPr>
          <w:rFonts w:ascii="Georgia" w:hAnsi="Georgia" w:cs="Arial"/>
        </w:rPr>
        <w:t>a</w:t>
      </w:r>
      <w:r w:rsidRPr="00583958">
        <w:rPr>
          <w:rFonts w:ascii="Georgia" w:hAnsi="Georgia" w:cs="Arial"/>
        </w:rPr>
        <w:t xml:space="preserve"> en el artículo 322</w:t>
      </w:r>
      <w:r w:rsidR="065BA151" w:rsidRPr="00583958">
        <w:rPr>
          <w:rFonts w:ascii="Georgia" w:hAnsi="Georgia" w:cs="Arial"/>
        </w:rPr>
        <w:t>,</w:t>
      </w:r>
      <w:r w:rsidRPr="00583958">
        <w:rPr>
          <w:rFonts w:ascii="Georgia" w:hAnsi="Georgia" w:cs="Arial"/>
        </w:rPr>
        <w:t xml:space="preserve"> que </w:t>
      </w:r>
      <w:r w:rsidR="3ACB4A2C" w:rsidRPr="00583958">
        <w:rPr>
          <w:rFonts w:ascii="Georgia" w:hAnsi="Georgia" w:cs="Arial"/>
        </w:rPr>
        <w:t>prescribe</w:t>
      </w:r>
      <w:r w:rsidRPr="00583958">
        <w:rPr>
          <w:rFonts w:ascii="Georgia" w:hAnsi="Georgia" w:cs="Arial"/>
        </w:rPr>
        <w:t>:</w:t>
      </w:r>
      <w:r w:rsidR="00CF034C" w:rsidRPr="00583958">
        <w:rPr>
          <w:rFonts w:ascii="Georgia" w:hAnsi="Georgia" w:cs="Arial"/>
        </w:rPr>
        <w:t xml:space="preserve"> </w:t>
      </w:r>
      <w:r w:rsidRPr="00583958">
        <w:rPr>
          <w:rFonts w:ascii="Georgia" w:hAnsi="Georgia" w:cs="Arial"/>
          <w:i/>
          <w:iCs/>
        </w:rPr>
        <w:t>“</w:t>
      </w:r>
      <w:r w:rsidRPr="00EE51D7">
        <w:rPr>
          <w:rFonts w:ascii="Georgia" w:hAnsi="Georgia" w:cs="Arial"/>
          <w:i/>
          <w:iCs/>
          <w:sz w:val="22"/>
        </w:rPr>
        <w:t xml:space="preserve">(…) </w:t>
      </w:r>
      <w:r w:rsidRPr="00EE51D7">
        <w:rPr>
          <w:rFonts w:ascii="Georgia" w:hAnsi="Georgia" w:cs="Arial"/>
          <w:i/>
          <w:iCs/>
          <w:sz w:val="22"/>
          <w:lang w:val="es-CO"/>
        </w:rPr>
        <w:t xml:space="preserve">Cuando </w:t>
      </w:r>
      <w:r w:rsidRPr="00EE51D7">
        <w:rPr>
          <w:rFonts w:ascii="Georgia" w:hAnsi="Georgia" w:cs="Arial"/>
          <w:i/>
          <w:iCs/>
          <w:sz w:val="22"/>
        </w:rPr>
        <w:t>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4E1920F9" w:rsidRPr="00EE51D7">
        <w:rPr>
          <w:rFonts w:ascii="Georgia" w:hAnsi="Georgia" w:cs="Arial"/>
          <w:i/>
          <w:iCs/>
          <w:sz w:val="22"/>
        </w:rPr>
        <w:t xml:space="preserve"> </w:t>
      </w:r>
      <w:r w:rsidRPr="00EE51D7">
        <w:rPr>
          <w:rFonts w:ascii="Georgia" w:hAnsi="Georgia" w:cs="Arial"/>
          <w:i/>
          <w:iCs/>
          <w:sz w:val="22"/>
        </w:rPr>
        <w:t>(…)</w:t>
      </w:r>
      <w:r w:rsidRPr="00583958">
        <w:rPr>
          <w:rFonts w:ascii="Georgia" w:hAnsi="Georgia" w:cs="Arial"/>
          <w:i/>
          <w:iCs/>
        </w:rPr>
        <w:t>”.</w:t>
      </w:r>
      <w:r w:rsidR="00D838F9" w:rsidRPr="00583958">
        <w:rPr>
          <w:rFonts w:ascii="Georgia" w:hAnsi="Georgia" w:cs="Arial"/>
          <w:b/>
          <w:iCs/>
        </w:rPr>
        <w:t xml:space="preserve"> </w:t>
      </w:r>
      <w:r w:rsidRPr="00583958">
        <w:rPr>
          <w:rFonts w:ascii="Georgia" w:hAnsi="Georgia" w:cs="Arial"/>
        </w:rPr>
        <w:t xml:space="preserve">Y enseguida refiere que, ante la falta de esos reparos, el juez de primera instancia debe declarar desierto el recurso, </w:t>
      </w:r>
      <w:r w:rsidRPr="00583958">
        <w:rPr>
          <w:rFonts w:ascii="Georgia" w:hAnsi="Georgia" w:cs="Arial"/>
          <w:b/>
          <w:bCs/>
          <w:u w:val="single"/>
        </w:rPr>
        <w:t>así como cuando no fuere sustentado ante el superior</w:t>
      </w:r>
      <w:r w:rsidRPr="00583958">
        <w:rPr>
          <w:rFonts w:ascii="Georgia" w:hAnsi="Georgia" w:cs="Arial"/>
        </w:rPr>
        <w:t xml:space="preserve">. </w:t>
      </w:r>
      <w:r w:rsidRPr="00583958">
        <w:rPr>
          <w:rFonts w:ascii="Georgia" w:hAnsi="Georgia" w:cs="Arial"/>
          <w:i/>
          <w:iCs/>
        </w:rPr>
        <w:t xml:space="preserve"> </w:t>
      </w:r>
    </w:p>
    <w:p w14:paraId="645686D3" w14:textId="77777777" w:rsidR="003D663C" w:rsidRPr="00583958" w:rsidRDefault="003D663C" w:rsidP="005853EA">
      <w:pPr>
        <w:spacing w:line="276" w:lineRule="auto"/>
        <w:jc w:val="both"/>
        <w:rPr>
          <w:rFonts w:ascii="Georgia" w:hAnsi="Georgia"/>
          <w:i/>
          <w:sz w:val="24"/>
          <w:szCs w:val="24"/>
        </w:rPr>
      </w:pPr>
    </w:p>
    <w:p w14:paraId="667F2D3C" w14:textId="33E486FC" w:rsidR="003D663C" w:rsidRPr="00583958" w:rsidRDefault="003D663C" w:rsidP="005853EA">
      <w:pPr>
        <w:spacing w:line="276" w:lineRule="auto"/>
        <w:jc w:val="both"/>
        <w:rPr>
          <w:rFonts w:ascii="Georgia" w:hAnsi="Georgia" w:cs="Arial"/>
          <w:sz w:val="24"/>
          <w:szCs w:val="24"/>
        </w:rPr>
      </w:pPr>
      <w:r w:rsidRPr="00583958">
        <w:rPr>
          <w:rFonts w:ascii="Georgia" w:hAnsi="Georgia" w:cs="Arial"/>
          <w:sz w:val="24"/>
          <w:szCs w:val="24"/>
        </w:rPr>
        <w:t xml:space="preserve">Acorde con lo anterior, </w:t>
      </w:r>
      <w:r w:rsidRPr="00583958">
        <w:rPr>
          <w:rFonts w:ascii="Georgia" w:hAnsi="Georgia" w:cs="Arial"/>
          <w:sz w:val="24"/>
          <w:szCs w:val="24"/>
          <w:u w:val="single"/>
        </w:rPr>
        <w:t>fácil se concluye que e</w:t>
      </w:r>
      <w:r w:rsidR="143CAF6D" w:rsidRPr="00583958">
        <w:rPr>
          <w:rFonts w:ascii="Georgia" w:hAnsi="Georgia" w:cs="Arial"/>
          <w:sz w:val="24"/>
          <w:szCs w:val="24"/>
          <w:u w:val="single"/>
        </w:rPr>
        <w:t>l</w:t>
      </w:r>
      <w:r w:rsidRPr="00583958">
        <w:rPr>
          <w:rFonts w:ascii="Georgia" w:hAnsi="Georgia" w:cs="Arial"/>
          <w:sz w:val="24"/>
          <w:szCs w:val="24"/>
          <w:u w:val="single"/>
        </w:rPr>
        <w:t xml:space="preserve"> estatuto procesal </w:t>
      </w:r>
      <w:r w:rsidR="224CFBBF" w:rsidRPr="00583958">
        <w:rPr>
          <w:rFonts w:ascii="Georgia" w:hAnsi="Georgia" w:cs="Arial"/>
          <w:sz w:val="24"/>
          <w:szCs w:val="24"/>
          <w:u w:val="single"/>
        </w:rPr>
        <w:t xml:space="preserve">dispone </w:t>
      </w:r>
      <w:r w:rsidRPr="00583958">
        <w:rPr>
          <w:rFonts w:ascii="Georgia" w:hAnsi="Georgia" w:cs="Arial"/>
          <w:sz w:val="24"/>
          <w:szCs w:val="24"/>
          <w:u w:val="single"/>
        </w:rPr>
        <w:t>una nueva forma de sustentar el recurso</w:t>
      </w:r>
      <w:r w:rsidR="218E3285" w:rsidRPr="00583958">
        <w:rPr>
          <w:rFonts w:ascii="Georgia" w:hAnsi="Georgia" w:cs="Arial"/>
          <w:sz w:val="24"/>
          <w:szCs w:val="24"/>
          <w:u w:val="single"/>
        </w:rPr>
        <w:t xml:space="preserve">, en dos </w:t>
      </w:r>
      <w:r w:rsidRPr="00583958">
        <w:rPr>
          <w:rFonts w:ascii="Georgia" w:hAnsi="Georgia" w:cs="Arial"/>
          <w:sz w:val="24"/>
          <w:szCs w:val="24"/>
          <w:u w:val="single"/>
        </w:rPr>
        <w:t>estadios diferenciados para ese efecto</w:t>
      </w:r>
      <w:r w:rsidRPr="00583958">
        <w:rPr>
          <w:rStyle w:val="Refdenotaalpie"/>
          <w:rFonts w:ascii="Georgia" w:hAnsi="Georgia"/>
          <w:sz w:val="24"/>
          <w:szCs w:val="24"/>
        </w:rPr>
        <w:footnoteReference w:id="11"/>
      </w:r>
      <w:r w:rsidRPr="00583958">
        <w:rPr>
          <w:rFonts w:ascii="Georgia" w:hAnsi="Georgia" w:cs="Arial"/>
          <w:sz w:val="24"/>
          <w:szCs w:val="24"/>
          <w:vertAlign w:val="superscript"/>
        </w:rPr>
        <w:t>-</w:t>
      </w:r>
      <w:r w:rsidRPr="00583958">
        <w:rPr>
          <w:rStyle w:val="Refdenotaalpie"/>
          <w:rFonts w:ascii="Georgia" w:hAnsi="Georgia" w:cs="Arial"/>
          <w:sz w:val="24"/>
          <w:szCs w:val="24"/>
        </w:rPr>
        <w:footnoteReference w:id="12"/>
      </w:r>
      <w:r w:rsidRPr="00583958">
        <w:rPr>
          <w:rFonts w:ascii="Georgia" w:hAnsi="Georgia" w:cs="Arial"/>
          <w:sz w:val="24"/>
          <w:szCs w:val="24"/>
          <w:vertAlign w:val="superscript"/>
        </w:rPr>
        <w:t>-</w:t>
      </w:r>
      <w:r w:rsidRPr="00583958">
        <w:rPr>
          <w:rStyle w:val="Refdenotaalpie"/>
          <w:rFonts w:ascii="Georgia" w:hAnsi="Georgia"/>
          <w:sz w:val="24"/>
          <w:szCs w:val="24"/>
        </w:rPr>
        <w:footnoteReference w:id="13"/>
      </w:r>
      <w:r w:rsidRPr="00583958">
        <w:rPr>
          <w:rFonts w:ascii="Georgia" w:hAnsi="Georgia" w:cs="Arial"/>
          <w:sz w:val="24"/>
          <w:szCs w:val="24"/>
        </w:rPr>
        <w:t>, el primero ante el juez de primer grado, pues allí comienza el ejercicio</w:t>
      </w:r>
      <w:r w:rsidR="13CA3E88" w:rsidRPr="00583958">
        <w:rPr>
          <w:rFonts w:ascii="Georgia" w:hAnsi="Georgia" w:cs="Arial"/>
          <w:sz w:val="24"/>
          <w:szCs w:val="24"/>
        </w:rPr>
        <w:t>,</w:t>
      </w:r>
      <w:r w:rsidRPr="00583958">
        <w:rPr>
          <w:rFonts w:ascii="Georgia" w:hAnsi="Georgia" w:cs="Arial"/>
          <w:sz w:val="24"/>
          <w:szCs w:val="24"/>
        </w:rPr>
        <w:t xml:space="preserve"> señalándo</w:t>
      </w:r>
      <w:r w:rsidR="48641494" w:rsidRPr="00583958">
        <w:rPr>
          <w:rFonts w:ascii="Georgia" w:hAnsi="Georgia" w:cs="Arial"/>
          <w:sz w:val="24"/>
          <w:szCs w:val="24"/>
        </w:rPr>
        <w:t>s</w:t>
      </w:r>
      <w:r w:rsidRPr="00583958">
        <w:rPr>
          <w:rFonts w:ascii="Georgia" w:hAnsi="Georgia" w:cs="Arial"/>
          <w:sz w:val="24"/>
          <w:szCs w:val="24"/>
        </w:rPr>
        <w:t xml:space="preserve">e los reparos concretos que la parte tiene contra lo resuelto; y, el segundo ante el superior, dentro de la audiencia que se programe para sustentar (Según la norma anterior, sin la modificación temporal introducida por el Decreto Presidencial No.806 de 2020), en la que no podrá excederse o desbordar los reparos propuestos ante el inferior (Artículo 327, CGP). </w:t>
      </w:r>
      <w:bookmarkStart w:id="5" w:name="_Hlk73616238"/>
      <w:r w:rsidRPr="00583958">
        <w:rPr>
          <w:rFonts w:ascii="Georgia" w:hAnsi="Georgia" w:cs="Arial"/>
          <w:sz w:val="24"/>
          <w:szCs w:val="24"/>
        </w:rPr>
        <w:t>Sobre el punto, resultan útiles las palabras del profesor Rojas G.</w:t>
      </w:r>
      <w:r w:rsidRPr="00583958">
        <w:rPr>
          <w:rStyle w:val="Refdenotaalpie"/>
          <w:rFonts w:ascii="Georgia" w:hAnsi="Georgia"/>
          <w:sz w:val="24"/>
          <w:szCs w:val="24"/>
        </w:rPr>
        <w:footnoteReference w:id="14"/>
      </w:r>
      <w:r w:rsidRPr="00583958">
        <w:rPr>
          <w:rFonts w:ascii="Georgia" w:hAnsi="Georgia" w:cs="Arial"/>
          <w:sz w:val="24"/>
          <w:szCs w:val="24"/>
        </w:rPr>
        <w:t xml:space="preserve">: </w:t>
      </w:r>
    </w:p>
    <w:p w14:paraId="37F735CF" w14:textId="77777777" w:rsidR="003D663C" w:rsidRPr="00583958" w:rsidRDefault="003D663C" w:rsidP="005853EA">
      <w:pPr>
        <w:pStyle w:val="Sinespaciado"/>
        <w:spacing w:line="276" w:lineRule="auto"/>
        <w:jc w:val="both"/>
        <w:rPr>
          <w:rFonts w:ascii="Georgia" w:hAnsi="Georgia" w:cs="Arial"/>
        </w:rPr>
      </w:pPr>
    </w:p>
    <w:p w14:paraId="21D805F7" w14:textId="77777777" w:rsidR="003D663C" w:rsidRPr="00EE51D7" w:rsidRDefault="003D663C" w:rsidP="00EE51D7">
      <w:pPr>
        <w:pStyle w:val="Sinespaciado"/>
        <w:ind w:left="426" w:right="418"/>
        <w:jc w:val="both"/>
        <w:rPr>
          <w:rFonts w:ascii="Georgia" w:hAnsi="Georgia" w:cs="Arial"/>
          <w:sz w:val="22"/>
        </w:rPr>
      </w:pPr>
      <w:r w:rsidRPr="00EE51D7">
        <w:rPr>
          <w:rFonts w:ascii="Georgia" w:hAnsi="Georgia" w:cs="Arial"/>
          <w:sz w:val="22"/>
        </w:rPr>
        <w:t xml:space="preserve">Cuando se trate de </w:t>
      </w:r>
      <w:r w:rsidRPr="00EE51D7">
        <w:rPr>
          <w:rFonts w:ascii="Georgia" w:hAnsi="Georgia" w:cs="Arial"/>
          <w:sz w:val="22"/>
          <w:u w:val="single"/>
        </w:rPr>
        <w:t>apelación de sentencia la sustentación</w:t>
      </w:r>
      <w:r w:rsidRPr="00EE51D7">
        <w:rPr>
          <w:rFonts w:ascii="Georgia" w:hAnsi="Georgia" w:cs="Arial"/>
          <w:sz w:val="22"/>
        </w:rPr>
        <w:t xml:space="preserve"> se debe realizar mediante </w:t>
      </w:r>
      <w:r w:rsidRPr="00EE51D7">
        <w:rPr>
          <w:rFonts w:ascii="Georgia" w:hAnsi="Georgia" w:cs="Arial"/>
          <w:sz w:val="22"/>
          <w:u w:val="single"/>
        </w:rPr>
        <w:t>dos actos en momentos distintos</w:t>
      </w:r>
      <w:r w:rsidRPr="00EE51D7">
        <w:rPr>
          <w:rFonts w:ascii="Georgia" w:hAnsi="Georgia" w:cs="Arial"/>
          <w:sz w:val="22"/>
        </w:rPr>
        <w:t>, así:</w:t>
      </w:r>
    </w:p>
    <w:p w14:paraId="77699E4F" w14:textId="77777777" w:rsidR="003D663C" w:rsidRPr="00EE51D7" w:rsidRDefault="003D663C" w:rsidP="00EE51D7">
      <w:pPr>
        <w:pStyle w:val="Sinespaciado"/>
        <w:ind w:left="426" w:right="418"/>
        <w:jc w:val="both"/>
        <w:rPr>
          <w:rFonts w:ascii="Georgia" w:hAnsi="Georgia" w:cs="Arial"/>
          <w:sz w:val="22"/>
        </w:rPr>
      </w:pPr>
    </w:p>
    <w:p w14:paraId="29EB24C7" w14:textId="77777777" w:rsidR="003D663C" w:rsidRPr="00EE51D7" w:rsidRDefault="003D663C" w:rsidP="00EE51D7">
      <w:pPr>
        <w:pStyle w:val="Sinespaciado"/>
        <w:numPr>
          <w:ilvl w:val="0"/>
          <w:numId w:val="18"/>
        </w:numPr>
        <w:ind w:left="426" w:right="418"/>
        <w:jc w:val="both"/>
        <w:rPr>
          <w:rFonts w:ascii="Georgia" w:hAnsi="Georgia" w:cs="Arial"/>
          <w:sz w:val="22"/>
        </w:rPr>
      </w:pPr>
      <w:r w:rsidRPr="00EE51D7">
        <w:rPr>
          <w:rFonts w:ascii="Georgia" w:hAnsi="Georgia" w:cs="Arial"/>
          <w:sz w:val="22"/>
        </w:rPr>
        <w:t>La exposición breve y precisa de los reparos contra el fallo. Se trata de enunciar ante el juez de primera instancia las razones por las que se cuestiona la providencia (…).</w:t>
      </w:r>
    </w:p>
    <w:p w14:paraId="3CEEA54F" w14:textId="77777777" w:rsidR="003D663C" w:rsidRPr="00EE51D7" w:rsidRDefault="003D663C" w:rsidP="00EE51D7">
      <w:pPr>
        <w:pStyle w:val="Sinespaciado"/>
        <w:ind w:left="426" w:right="418"/>
        <w:jc w:val="both"/>
        <w:rPr>
          <w:rFonts w:ascii="Georgia" w:hAnsi="Georgia" w:cs="Arial"/>
          <w:sz w:val="22"/>
        </w:rPr>
      </w:pPr>
    </w:p>
    <w:p w14:paraId="2A489853" w14:textId="77777777" w:rsidR="003D663C" w:rsidRPr="00EE51D7" w:rsidRDefault="003D663C" w:rsidP="00EE51D7">
      <w:pPr>
        <w:pStyle w:val="Sinespaciado"/>
        <w:ind w:left="426" w:right="418"/>
        <w:jc w:val="both"/>
        <w:rPr>
          <w:rFonts w:ascii="Georgia" w:hAnsi="Georgia" w:cs="Arial"/>
          <w:sz w:val="22"/>
        </w:rPr>
      </w:pPr>
      <w:r w:rsidRPr="00EE51D7">
        <w:rPr>
          <w:rFonts w:ascii="Georgia" w:hAnsi="Georgia" w:cs="Arial"/>
          <w:sz w:val="22"/>
        </w:rPr>
        <w:t xml:space="preserve">2. </w:t>
      </w:r>
      <w:r w:rsidRPr="00EE51D7">
        <w:rPr>
          <w:rFonts w:ascii="Georgia" w:hAnsi="Georgia" w:cs="Arial"/>
          <w:sz w:val="22"/>
          <w:u w:val="single"/>
        </w:rPr>
        <w:t>La sustentación propiamente dicha</w:t>
      </w:r>
      <w:r w:rsidRPr="00EE51D7">
        <w:rPr>
          <w:rFonts w:ascii="Georgia" w:hAnsi="Georgia" w:cs="Arial"/>
          <w:sz w:val="22"/>
        </w:rPr>
        <w:t xml:space="preserve">. Consiste en el alegato que debe hacer el apelante ante el juez de segunda instancia (CGP, art.327-2), </w:t>
      </w:r>
      <w:bookmarkEnd w:id="5"/>
      <w:r w:rsidRPr="00EE51D7">
        <w:rPr>
          <w:rFonts w:ascii="Georgia" w:hAnsi="Georgia" w:cs="Arial"/>
          <w:sz w:val="22"/>
        </w:rPr>
        <w:t>con exposición detallada y concreta de los reparos expresados ante el juez de primera, y sin la posibilidad de formular nuevos cuestionamientos (CGP, art.327-3).</w:t>
      </w:r>
    </w:p>
    <w:p w14:paraId="3E086CB6" w14:textId="77777777" w:rsidR="003D663C" w:rsidRPr="00EE51D7" w:rsidRDefault="003D663C" w:rsidP="00EE51D7">
      <w:pPr>
        <w:pStyle w:val="Sinespaciado"/>
        <w:ind w:left="426" w:right="418"/>
        <w:jc w:val="both"/>
        <w:rPr>
          <w:rFonts w:ascii="Georgia" w:hAnsi="Georgia" w:cs="Arial"/>
          <w:sz w:val="22"/>
        </w:rPr>
      </w:pPr>
    </w:p>
    <w:p w14:paraId="643F63AC" w14:textId="77777777" w:rsidR="003D663C" w:rsidRPr="00EE51D7" w:rsidRDefault="003D663C" w:rsidP="00EE51D7">
      <w:pPr>
        <w:pStyle w:val="Sinespaciado"/>
        <w:ind w:left="426" w:right="418"/>
        <w:jc w:val="both"/>
        <w:rPr>
          <w:rFonts w:ascii="Georgia" w:hAnsi="Georgia" w:cs="Arial"/>
          <w:sz w:val="22"/>
        </w:rPr>
      </w:pPr>
      <w:r w:rsidRPr="00EE51D7">
        <w:rPr>
          <w:rFonts w:ascii="Georgia" w:hAnsi="Georgia" w:cs="Arial"/>
          <w:sz w:val="22"/>
        </w:rPr>
        <w:t xml:space="preserve">Omitir cualquiera de los dos actos que integran la sustentación de la apelación interpuesta contra la sentencia obliga al juez a declarar desierto el recurso. Si lo que se omite es el primer acto, la </w:t>
      </w:r>
      <w:r w:rsidRPr="00EE51D7">
        <w:rPr>
          <w:rFonts w:ascii="Georgia" w:hAnsi="Georgia" w:cs="Arial"/>
          <w:sz w:val="22"/>
          <w:u w:val="single"/>
        </w:rPr>
        <w:t>deserción</w:t>
      </w:r>
      <w:r w:rsidRPr="00EE51D7">
        <w:rPr>
          <w:rFonts w:ascii="Georgia" w:hAnsi="Georgia" w:cs="Arial"/>
          <w:sz w:val="22"/>
        </w:rPr>
        <w:t xml:space="preserve"> debe ser declarada por el juez de primera instancia; de omitirse el segundo, corresponde al superior declararla (CGP, art.322-4). </w:t>
      </w:r>
    </w:p>
    <w:p w14:paraId="1698DF19" w14:textId="77777777" w:rsidR="005853EA" w:rsidRPr="00583958" w:rsidRDefault="005853EA" w:rsidP="005853EA">
      <w:pPr>
        <w:pStyle w:val="Sinespaciado"/>
        <w:spacing w:line="276" w:lineRule="auto"/>
        <w:jc w:val="both"/>
        <w:rPr>
          <w:rFonts w:ascii="Georgia" w:hAnsi="Georgia" w:cs="Arial"/>
        </w:rPr>
      </w:pPr>
    </w:p>
    <w:p w14:paraId="58D1F9B4" w14:textId="62D4A049" w:rsidR="003D663C" w:rsidRPr="00583958" w:rsidRDefault="003D663C" w:rsidP="005853EA">
      <w:pPr>
        <w:pStyle w:val="Sinespaciado"/>
        <w:spacing w:line="276" w:lineRule="auto"/>
        <w:jc w:val="both"/>
        <w:rPr>
          <w:rFonts w:ascii="Georgia" w:hAnsi="Georgia" w:cs="Arial"/>
        </w:rPr>
      </w:pPr>
      <w:r w:rsidRPr="00583958">
        <w:rPr>
          <w:rFonts w:ascii="Georgia" w:hAnsi="Georgia" w:cs="Arial"/>
        </w:rPr>
        <w:t xml:space="preserve">Este discernimiento es compartido por la Sala Civil de la CSJ, </w:t>
      </w:r>
      <w:r w:rsidR="461CB06A" w:rsidRPr="00583958">
        <w:rPr>
          <w:rFonts w:ascii="Georgia" w:hAnsi="Georgia" w:cs="Arial"/>
        </w:rPr>
        <w:t xml:space="preserve">en sede </w:t>
      </w:r>
      <w:r w:rsidR="005853EA" w:rsidRPr="00583958">
        <w:rPr>
          <w:rFonts w:ascii="Georgia" w:hAnsi="Georgia" w:cs="Arial"/>
        </w:rPr>
        <w:t>constitucional, quien</w:t>
      </w:r>
      <w:r w:rsidRPr="00583958">
        <w:rPr>
          <w:rFonts w:ascii="Georgia" w:hAnsi="Georgia" w:cs="Arial"/>
        </w:rPr>
        <w:t xml:space="preserve"> en sinnúmero de sentencias de tutela</w:t>
      </w:r>
      <w:r w:rsidRPr="00583958">
        <w:rPr>
          <w:rStyle w:val="Refdenotaalpie"/>
          <w:rFonts w:ascii="Georgia" w:hAnsi="Georgia"/>
        </w:rPr>
        <w:footnoteReference w:id="15"/>
      </w:r>
      <w:r w:rsidRPr="00583958">
        <w:rPr>
          <w:rFonts w:ascii="Georgia" w:hAnsi="Georgia" w:cs="Arial"/>
        </w:rPr>
        <w:t xml:space="preserve"> (Criterio auxiliar), ha insistido en </w:t>
      </w:r>
      <w:r w:rsidRPr="00583958">
        <w:rPr>
          <w:rFonts w:ascii="Georgia" w:hAnsi="Georgia" w:cs="Arial"/>
          <w:i/>
          <w:iCs/>
        </w:rPr>
        <w:t>la existencia de esas dos fases para la sustentación del recurso de apelación</w:t>
      </w:r>
      <w:r w:rsidRPr="00583958">
        <w:rPr>
          <w:rFonts w:ascii="Georgia" w:hAnsi="Georgia" w:cs="Arial"/>
        </w:rPr>
        <w:t xml:space="preserve"> y que, </w:t>
      </w:r>
      <w:r w:rsidRPr="00583958">
        <w:rPr>
          <w:rFonts w:ascii="Georgia" w:hAnsi="Georgia" w:cs="Arial"/>
          <w:u w:val="single"/>
        </w:rPr>
        <w:t xml:space="preserve">incumplida la segunda, esto es, la </w:t>
      </w:r>
      <w:r w:rsidRPr="00583958">
        <w:rPr>
          <w:rFonts w:ascii="Georgia" w:hAnsi="Georgia" w:cs="Arial"/>
          <w:b/>
          <w:bCs/>
          <w:u w:val="single"/>
        </w:rPr>
        <w:t>exposición ante el superior</w:t>
      </w:r>
      <w:r w:rsidRPr="00583958">
        <w:rPr>
          <w:rFonts w:ascii="Georgia" w:hAnsi="Georgia" w:cs="Arial"/>
          <w:u w:val="single"/>
        </w:rPr>
        <w:t>, se impone la declaratoria de deserción.</w:t>
      </w:r>
      <w:r w:rsidRPr="00583958">
        <w:rPr>
          <w:rFonts w:ascii="Georgia" w:hAnsi="Georgia" w:cs="Arial"/>
        </w:rPr>
        <w:t xml:space="preserve"> Así recordó, recientemente (2020)</w:t>
      </w:r>
      <w:r w:rsidRPr="00583958">
        <w:rPr>
          <w:rStyle w:val="Refdenotaalpie"/>
          <w:rFonts w:ascii="Georgia" w:hAnsi="Georgia"/>
        </w:rPr>
        <w:footnoteReference w:id="16"/>
      </w:r>
      <w:r w:rsidRPr="00583958">
        <w:rPr>
          <w:rFonts w:ascii="Georgia" w:hAnsi="Georgia" w:cs="Arial"/>
        </w:rPr>
        <w:t>:</w:t>
      </w:r>
      <w:r w:rsidR="00386189" w:rsidRPr="00583958">
        <w:rPr>
          <w:rFonts w:ascii="Georgia" w:hAnsi="Georgia" w:cs="Arial"/>
        </w:rPr>
        <w:t xml:space="preserve"> </w:t>
      </w:r>
      <w:r w:rsidR="00386189" w:rsidRPr="00583958">
        <w:rPr>
          <w:rFonts w:ascii="Georgia" w:hAnsi="Georgia" w:cs="Arial"/>
          <w:i/>
          <w:iCs/>
        </w:rPr>
        <w:t>“</w:t>
      </w:r>
      <w:r w:rsidR="00386189" w:rsidRPr="00EE51D7">
        <w:rPr>
          <w:rFonts w:ascii="Georgia" w:hAnsi="Georgia" w:cs="Arial"/>
          <w:i/>
          <w:iCs/>
          <w:sz w:val="22"/>
        </w:rPr>
        <w:t>(</w:t>
      </w:r>
      <w:r w:rsidRPr="00EE51D7">
        <w:rPr>
          <w:rFonts w:ascii="Georgia" w:hAnsi="Georgia" w:cs="Arial"/>
          <w:i/>
          <w:iCs/>
          <w:sz w:val="22"/>
          <w:lang w:eastAsia="es-CO"/>
        </w:rPr>
        <w:t>…</w:t>
      </w:r>
      <w:r w:rsidR="00386189" w:rsidRPr="00EE51D7">
        <w:rPr>
          <w:rFonts w:ascii="Georgia" w:hAnsi="Georgia" w:cs="Arial"/>
          <w:i/>
          <w:iCs/>
          <w:sz w:val="22"/>
          <w:lang w:eastAsia="es-CO"/>
        </w:rPr>
        <w:t>)</w:t>
      </w:r>
      <w:r w:rsidRPr="00EE51D7">
        <w:rPr>
          <w:rFonts w:ascii="Georgia" w:hAnsi="Georgia" w:cs="Arial"/>
          <w:i/>
          <w:iCs/>
          <w:sz w:val="22"/>
          <w:lang w:eastAsia="es-CO"/>
        </w:rPr>
        <w:t xml:space="preserve"> esta Sala de Casación, (…) según la normativa pertinente, </w:t>
      </w:r>
      <w:r w:rsidRPr="00EE51D7">
        <w:rPr>
          <w:rFonts w:ascii="Georgia" w:hAnsi="Georgia" w:cs="Arial"/>
          <w:i/>
          <w:iCs/>
          <w:sz w:val="22"/>
        </w:rPr>
        <w:t xml:space="preserve">quien apela una sentencia no sólo debe aducir ante el juez de primer grado los breves y concretos reparos que genera su inconformidad, </w:t>
      </w:r>
      <w:r w:rsidRPr="00EE51D7">
        <w:rPr>
          <w:rFonts w:ascii="Georgia" w:hAnsi="Georgia" w:cs="Arial"/>
          <w:b/>
          <w:bCs/>
          <w:i/>
          <w:iCs/>
          <w:sz w:val="22"/>
        </w:rPr>
        <w:t>sino acudir ante el superior para sustentar el recurso apoyándose en esos puntuales cuestionamientos</w:t>
      </w:r>
      <w:r w:rsidR="00386189" w:rsidRPr="00EE51D7">
        <w:rPr>
          <w:rFonts w:ascii="Georgia" w:hAnsi="Georgia" w:cs="Arial"/>
          <w:b/>
          <w:bCs/>
          <w:sz w:val="22"/>
        </w:rPr>
        <w:t xml:space="preserve"> </w:t>
      </w:r>
      <w:r w:rsidR="00386189" w:rsidRPr="00EE51D7">
        <w:rPr>
          <w:rFonts w:ascii="Georgia" w:hAnsi="Georgia" w:cs="Arial"/>
          <w:sz w:val="22"/>
        </w:rPr>
        <w:t>(…)</w:t>
      </w:r>
      <w:r w:rsidR="00386189" w:rsidRPr="00583958">
        <w:rPr>
          <w:rFonts w:ascii="Georgia" w:hAnsi="Georgia" w:cs="Arial"/>
        </w:rPr>
        <w:t xml:space="preserve">” </w:t>
      </w:r>
      <w:r w:rsidRPr="00583958">
        <w:rPr>
          <w:rFonts w:ascii="Georgia" w:hAnsi="Georgia" w:cs="Arial"/>
        </w:rPr>
        <w:t>(Negrillas fuera de texto propias).</w:t>
      </w:r>
    </w:p>
    <w:p w14:paraId="0A6565AE" w14:textId="77777777" w:rsidR="003D663C" w:rsidRPr="00583958" w:rsidRDefault="003D663C" w:rsidP="005853EA">
      <w:pPr>
        <w:pStyle w:val="Sinespaciado"/>
        <w:spacing w:line="276" w:lineRule="auto"/>
        <w:jc w:val="both"/>
        <w:rPr>
          <w:rFonts w:ascii="Georgia" w:hAnsi="Georgia" w:cs="Arial"/>
        </w:rPr>
      </w:pPr>
    </w:p>
    <w:p w14:paraId="6EFA7E47" w14:textId="602279D7" w:rsidR="003D663C" w:rsidRPr="00583958" w:rsidRDefault="003D663C" w:rsidP="005853EA">
      <w:pPr>
        <w:spacing w:line="276" w:lineRule="auto"/>
        <w:jc w:val="both"/>
        <w:rPr>
          <w:rFonts w:ascii="Georgia" w:eastAsia="Georgia" w:hAnsi="Georgia" w:cs="Georgia"/>
          <w:sz w:val="24"/>
          <w:szCs w:val="24"/>
          <w:lang w:eastAsia="x-none"/>
        </w:rPr>
      </w:pPr>
      <w:r w:rsidRPr="00583958">
        <w:rPr>
          <w:rFonts w:ascii="Georgia" w:hAnsi="Georgia" w:cs="Arial"/>
          <w:sz w:val="24"/>
          <w:szCs w:val="24"/>
        </w:rPr>
        <w:t>Y en otro pronunciamiento, también de</w:t>
      </w:r>
      <w:r w:rsidR="00FC71C5" w:rsidRPr="00583958">
        <w:rPr>
          <w:rFonts w:ascii="Georgia" w:hAnsi="Georgia" w:cs="Arial"/>
          <w:sz w:val="24"/>
          <w:szCs w:val="24"/>
        </w:rPr>
        <w:t>l año anterior</w:t>
      </w:r>
      <w:r w:rsidRPr="00583958">
        <w:rPr>
          <w:rStyle w:val="Refdenotaalpie"/>
          <w:rFonts w:ascii="Georgia" w:hAnsi="Georgia"/>
          <w:sz w:val="24"/>
          <w:szCs w:val="24"/>
        </w:rPr>
        <w:footnoteReference w:id="17"/>
      </w:r>
      <w:r w:rsidRPr="00583958">
        <w:rPr>
          <w:rFonts w:ascii="Georgia" w:hAnsi="Georgia" w:cs="Arial"/>
          <w:sz w:val="24"/>
          <w:szCs w:val="24"/>
        </w:rPr>
        <w:t xml:space="preserve">, afirmó: </w:t>
      </w:r>
      <w:r w:rsidRPr="00583958">
        <w:rPr>
          <w:rFonts w:ascii="Georgia" w:hAnsi="Georgia" w:cs="Arial"/>
          <w:i/>
          <w:iCs/>
          <w:sz w:val="24"/>
          <w:szCs w:val="24"/>
        </w:rPr>
        <w:t>“</w:t>
      </w:r>
      <w:r w:rsidRPr="00EE51D7">
        <w:rPr>
          <w:rFonts w:ascii="Georgia" w:hAnsi="Georgia" w:cs="Arial"/>
          <w:i/>
          <w:iCs/>
          <w:sz w:val="22"/>
          <w:szCs w:val="24"/>
        </w:rPr>
        <w:t>(…) Valga reiterar que no es dable confundir la etapa de presentación de reparos con la de sustentación del recurso, ya que: «Aceptar entonces que los reparos concretos aducidos ante el a quo al formularse la alzada contra una sentencia son suficientes y que puede soslayarse la sustentación oral ante el superior, impuesta en el canon 322 del Código General del Proceso, contradice los postulados en mención y, de contera, el principio democrático representativo, según el cual es el Congreso de la República, revestido de una amplia potestad legislativa, el competente para regular los procedimientos judiciales (art. 150, C.P.)» (CSJ S</w:t>
      </w:r>
      <w:r w:rsidRPr="00EE51D7">
        <w:rPr>
          <w:rFonts w:ascii="Georgia" w:eastAsia="Calibri" w:hAnsi="Georgia" w:cs="Arial"/>
          <w:i/>
          <w:iCs/>
          <w:sz w:val="22"/>
          <w:szCs w:val="24"/>
        </w:rPr>
        <w:t xml:space="preserve">TC10405-2017, 19 jul. 2017, rad. </w:t>
      </w:r>
      <w:r w:rsidRPr="00EE51D7">
        <w:rPr>
          <w:rFonts w:ascii="Georgia" w:eastAsia="Calibri" w:hAnsi="Georgia" w:cs="Arial"/>
          <w:i/>
          <w:iCs/>
          <w:sz w:val="22"/>
          <w:szCs w:val="24"/>
          <w:lang w:eastAsia="x-none"/>
        </w:rPr>
        <w:t>01656-00) (…)</w:t>
      </w:r>
      <w:r w:rsidRPr="00583958">
        <w:rPr>
          <w:rFonts w:ascii="Georgia" w:eastAsia="Calibri" w:hAnsi="Georgia" w:cs="Arial"/>
          <w:i/>
          <w:iCs/>
          <w:sz w:val="24"/>
          <w:szCs w:val="24"/>
          <w:lang w:eastAsia="x-none"/>
        </w:rPr>
        <w:t>”</w:t>
      </w:r>
      <w:r w:rsidRPr="00583958">
        <w:rPr>
          <w:rFonts w:ascii="Georgia" w:eastAsia="Calibri" w:hAnsi="Georgia" w:cs="Arial"/>
          <w:sz w:val="24"/>
          <w:szCs w:val="24"/>
          <w:lang w:eastAsia="x-none"/>
        </w:rPr>
        <w:t>.</w:t>
      </w:r>
      <w:r w:rsidR="26F90DD6" w:rsidRPr="00583958">
        <w:rPr>
          <w:rFonts w:ascii="Georgia" w:eastAsia="Calibri" w:hAnsi="Georgia" w:cs="Arial"/>
          <w:sz w:val="24"/>
          <w:szCs w:val="24"/>
          <w:lang w:eastAsia="x-none"/>
        </w:rPr>
        <w:t xml:space="preserve"> </w:t>
      </w:r>
      <w:r w:rsidR="26F90DD6" w:rsidRPr="00583958">
        <w:rPr>
          <w:rFonts w:ascii="Georgia" w:eastAsia="Georgia" w:hAnsi="Georgia" w:cs="Georgia"/>
          <w:sz w:val="24"/>
          <w:szCs w:val="24"/>
          <w:lang w:eastAsia="x-none"/>
        </w:rPr>
        <w:t>Resaltado en azul de esta Sala.</w:t>
      </w:r>
    </w:p>
    <w:p w14:paraId="25A924D8" w14:textId="77777777" w:rsidR="00B0378B" w:rsidRPr="00583958" w:rsidRDefault="00B0378B" w:rsidP="005853EA">
      <w:pPr>
        <w:spacing w:line="276" w:lineRule="auto"/>
        <w:jc w:val="both"/>
        <w:rPr>
          <w:rFonts w:ascii="Georgia" w:eastAsia="Calibri" w:hAnsi="Georgia" w:cs="Arial"/>
          <w:sz w:val="24"/>
          <w:szCs w:val="24"/>
          <w:lang w:eastAsia="x-none"/>
        </w:rPr>
      </w:pPr>
    </w:p>
    <w:p w14:paraId="19AD75F5" w14:textId="77777777" w:rsidR="005A2B7C" w:rsidRPr="00583958" w:rsidRDefault="005A2B7C" w:rsidP="005853EA">
      <w:pPr>
        <w:spacing w:line="276" w:lineRule="auto"/>
        <w:jc w:val="both"/>
        <w:rPr>
          <w:rFonts w:ascii="Georgia" w:eastAsia="Calibri" w:hAnsi="Georgia" w:cs="Arial"/>
          <w:sz w:val="24"/>
          <w:szCs w:val="24"/>
          <w:lang w:eastAsia="x-none"/>
        </w:rPr>
      </w:pPr>
      <w:r w:rsidRPr="00583958">
        <w:rPr>
          <w:rFonts w:ascii="Georgia" w:eastAsia="Calibri" w:hAnsi="Georgia" w:cs="Arial"/>
          <w:sz w:val="24"/>
          <w:szCs w:val="24"/>
          <w:lang w:eastAsia="x-none"/>
        </w:rPr>
        <w:t>De ese mismo criterio es la Corte Constitucional (2019)</w:t>
      </w:r>
      <w:r w:rsidRPr="00583958">
        <w:rPr>
          <w:rStyle w:val="Refdenotaalpie"/>
          <w:rFonts w:ascii="Georgia" w:eastAsia="Calibri" w:hAnsi="Georgia"/>
          <w:sz w:val="24"/>
          <w:szCs w:val="24"/>
          <w:lang w:eastAsia="x-none"/>
        </w:rPr>
        <w:footnoteReference w:id="18"/>
      </w:r>
      <w:r w:rsidRPr="00583958">
        <w:rPr>
          <w:rFonts w:ascii="Georgia" w:eastAsia="Calibri" w:hAnsi="Georgia" w:cs="Arial"/>
          <w:sz w:val="24"/>
          <w:szCs w:val="24"/>
          <w:lang w:eastAsia="x-none"/>
        </w:rPr>
        <w:t>, y la CSJ</w:t>
      </w:r>
      <w:r w:rsidRPr="00583958">
        <w:rPr>
          <w:rStyle w:val="Refdenotaalpie"/>
          <w:rFonts w:ascii="Georgia" w:eastAsia="Calibri" w:hAnsi="Georgia"/>
          <w:sz w:val="24"/>
          <w:szCs w:val="24"/>
          <w:lang w:eastAsia="x-none"/>
        </w:rPr>
        <w:footnoteReference w:id="19"/>
      </w:r>
      <w:r w:rsidRPr="00583958">
        <w:rPr>
          <w:rFonts w:ascii="Georgia" w:eastAsia="Calibri" w:hAnsi="Georgia" w:cs="Arial"/>
          <w:sz w:val="24"/>
          <w:szCs w:val="24"/>
          <w:lang w:eastAsia="x-none"/>
        </w:rPr>
        <w:t>, apoyada en su doctrina, explicó con claridad:</w:t>
      </w:r>
    </w:p>
    <w:p w14:paraId="36E463A0" w14:textId="77777777" w:rsidR="003D663C" w:rsidRPr="00583958" w:rsidRDefault="003D663C" w:rsidP="005853EA">
      <w:pPr>
        <w:pStyle w:val="Sinespaciado"/>
        <w:spacing w:line="276" w:lineRule="auto"/>
        <w:jc w:val="both"/>
        <w:rPr>
          <w:rFonts w:ascii="Georgia" w:hAnsi="Georgia" w:cs="Arial"/>
        </w:rPr>
      </w:pPr>
    </w:p>
    <w:p w14:paraId="72CEB1A3" w14:textId="77777777" w:rsidR="003D663C" w:rsidRPr="00EE51D7" w:rsidRDefault="003D663C" w:rsidP="00EE51D7">
      <w:pPr>
        <w:ind w:left="426" w:right="418"/>
        <w:jc w:val="both"/>
        <w:rPr>
          <w:rFonts w:ascii="Georgia" w:hAnsi="Georgia"/>
          <w:sz w:val="22"/>
          <w:szCs w:val="24"/>
        </w:rPr>
      </w:pPr>
      <w:r w:rsidRPr="00EE51D7">
        <w:rPr>
          <w:rFonts w:ascii="Georgia" w:hAnsi="Georgia"/>
          <w:sz w:val="22"/>
          <w:szCs w:val="24"/>
        </w:rPr>
        <w:t>5.1. La Corte Constitucional, mediante comunicado de prensa Nº 35 de 11 de septiembre de 2019, en la sentencia SU418 de 2019 sobre la aplicación y alcance del artículo 322 del Código General del Proceso, respecto a la interpretación de las Salas de Casación Civil y Laboral de la Corte Suprema de Justicia, en torno a la sustentación del recurso de apelación, precisó:</w:t>
      </w:r>
    </w:p>
    <w:p w14:paraId="4E5B74C3" w14:textId="77777777" w:rsidR="003D663C" w:rsidRPr="00EE51D7" w:rsidRDefault="003D663C" w:rsidP="00EE51D7">
      <w:pPr>
        <w:ind w:left="426" w:right="418"/>
        <w:jc w:val="both"/>
        <w:rPr>
          <w:rFonts w:ascii="Georgia" w:hAnsi="Georgia"/>
          <w:sz w:val="22"/>
          <w:szCs w:val="24"/>
        </w:rPr>
      </w:pPr>
      <w:r w:rsidRPr="00EE51D7">
        <w:rPr>
          <w:rFonts w:ascii="Georgia" w:hAnsi="Georgia"/>
          <w:sz w:val="22"/>
          <w:szCs w:val="24"/>
        </w:rPr>
        <w:t xml:space="preserve">(…) </w:t>
      </w:r>
    </w:p>
    <w:p w14:paraId="259B45F7" w14:textId="77777777" w:rsidR="003D663C" w:rsidRPr="00EE51D7" w:rsidRDefault="003D663C" w:rsidP="00EE51D7">
      <w:pPr>
        <w:ind w:left="426" w:right="418"/>
        <w:jc w:val="both"/>
        <w:rPr>
          <w:rFonts w:ascii="Georgia" w:hAnsi="Georgia"/>
          <w:sz w:val="22"/>
          <w:szCs w:val="24"/>
        </w:rPr>
      </w:pPr>
    </w:p>
    <w:p w14:paraId="50D7E880" w14:textId="77777777" w:rsidR="003D663C" w:rsidRPr="00EE51D7" w:rsidRDefault="003D663C" w:rsidP="00EE51D7">
      <w:pPr>
        <w:ind w:left="426" w:right="418"/>
        <w:jc w:val="both"/>
        <w:rPr>
          <w:rFonts w:ascii="Georgia" w:hAnsi="Georgia"/>
          <w:sz w:val="22"/>
          <w:szCs w:val="24"/>
        </w:rPr>
      </w:pPr>
      <w:r w:rsidRPr="00EE51D7">
        <w:rPr>
          <w:rFonts w:ascii="Georgia" w:hAnsi="Georgia"/>
          <w:sz w:val="22"/>
          <w:szCs w:val="24"/>
        </w:rPr>
        <w:t xml:space="preserve">“(…) </w:t>
      </w:r>
      <w:r w:rsidRPr="00EE51D7">
        <w:rPr>
          <w:rFonts w:ascii="Georgia" w:hAnsi="Georgia"/>
          <w:i/>
          <w:iCs/>
          <w:sz w:val="22"/>
          <w:szCs w:val="24"/>
        </w:rPr>
        <w:t xml:space="preserve">En este orden de ideas, la Sala Plena precisó que, para garantizar el derecho a la igualdad y la respuesta uniforme del ordenamiento jurídico, el juez de tutela debía decantarse por la interpretación que directa, sistemática y acorde con su configuración legal, surge de las disposiciones aplicables, por lo que a partir de un recuento del régimen de apelación de sentencias contenido en los artículos 322 y 327 del Código General del Proceso, estableció que el recurso de apelación debe sustentarse ante el superior en la audiencia de sustentación y fallo, y la consecuencia de no hacerlo así, es la declaratoria de desierto del recurso. Por lo demás, la Corte puso de presente el deber que tenían los jueces de no desnaturalizar los trámites y </w:t>
      </w:r>
      <w:r w:rsidRPr="00EE51D7">
        <w:rPr>
          <w:rFonts w:ascii="Georgia" w:hAnsi="Georgia"/>
          <w:i/>
          <w:iCs/>
          <w:sz w:val="22"/>
          <w:szCs w:val="24"/>
        </w:rPr>
        <w:lastRenderedPageBreak/>
        <w:t>procedimientos insertos en los procesos judiciales, respaldados en la garantía de materialización de los principios de oralidad e inmediación, entre otros</w:t>
      </w:r>
      <w:r w:rsidRPr="00EE51D7">
        <w:rPr>
          <w:rFonts w:ascii="Georgia" w:hAnsi="Georgia"/>
          <w:sz w:val="22"/>
          <w:szCs w:val="24"/>
        </w:rPr>
        <w:t xml:space="preserve"> (…)”.</w:t>
      </w:r>
    </w:p>
    <w:p w14:paraId="05FF5331" w14:textId="77777777" w:rsidR="003D663C" w:rsidRPr="00583958" w:rsidRDefault="003D663C" w:rsidP="005853EA">
      <w:pPr>
        <w:pStyle w:val="Sinespaciado"/>
        <w:spacing w:line="276" w:lineRule="auto"/>
        <w:jc w:val="both"/>
        <w:rPr>
          <w:rFonts w:ascii="Georgia" w:hAnsi="Georgia" w:cs="Arial"/>
        </w:rPr>
      </w:pPr>
    </w:p>
    <w:p w14:paraId="17E43CFB" w14:textId="18640F2F" w:rsidR="007C7CB4" w:rsidRPr="00583958" w:rsidRDefault="5D52BD99" w:rsidP="005853EA">
      <w:pPr>
        <w:pStyle w:val="Sinespaciado"/>
        <w:spacing w:line="276" w:lineRule="auto"/>
        <w:jc w:val="both"/>
        <w:rPr>
          <w:rFonts w:ascii="Georgia" w:hAnsi="Georgia"/>
        </w:rPr>
      </w:pPr>
      <w:r w:rsidRPr="00583958">
        <w:rPr>
          <w:rFonts w:ascii="Georgia" w:hAnsi="Georgia" w:cs="Arial"/>
        </w:rPr>
        <w:t>Es preciso aclarar, por lealtad dialéctica, que la Sala Laboral de la CSJ</w:t>
      </w:r>
      <w:r w:rsidR="007C7CB4" w:rsidRPr="00583958">
        <w:rPr>
          <w:rFonts w:ascii="Georgia" w:hAnsi="Georgia" w:cs="Arial"/>
        </w:rPr>
        <w:t xml:space="preserve"> </w:t>
      </w:r>
      <w:r w:rsidRPr="00583958">
        <w:rPr>
          <w:rFonts w:ascii="Georgia" w:hAnsi="Georgia" w:cs="Arial"/>
        </w:rPr>
        <w:t>estima que con lo dicho en primer grado es suficiente, pero es tesis que no se comparte, pues como lo recordó hace poco la Sala Civil</w:t>
      </w:r>
      <w:r w:rsidR="003D663C" w:rsidRPr="00583958">
        <w:rPr>
          <w:rStyle w:val="Refdenotaalpie"/>
          <w:rFonts w:ascii="Georgia" w:hAnsi="Georgia"/>
        </w:rPr>
        <w:footnoteReference w:id="20"/>
      </w:r>
      <w:r w:rsidRPr="00583958">
        <w:rPr>
          <w:rFonts w:ascii="Georgia" w:hAnsi="Georgia" w:cs="Arial"/>
        </w:rPr>
        <w:t xml:space="preserve">: </w:t>
      </w:r>
      <w:r w:rsidRPr="00583958">
        <w:rPr>
          <w:rFonts w:ascii="Georgia" w:hAnsi="Georgia" w:cs="Arial"/>
          <w:i/>
          <w:iCs/>
        </w:rPr>
        <w:t>“</w:t>
      </w:r>
      <w:r w:rsidRPr="00EE51D7">
        <w:rPr>
          <w:rFonts w:ascii="Georgia" w:hAnsi="Georgia" w:cs="Arial"/>
          <w:i/>
          <w:iCs/>
          <w:sz w:val="22"/>
        </w:rPr>
        <w:t xml:space="preserve">(…) </w:t>
      </w:r>
      <w:r w:rsidRPr="00EE51D7">
        <w:rPr>
          <w:rFonts w:ascii="Georgia" w:hAnsi="Georgia"/>
          <w:i/>
          <w:iCs/>
          <w:sz w:val="22"/>
        </w:rPr>
        <w:t xml:space="preserve">Como se aprecia, es en el área laboral donde se faculta al impugnante para fundamentar la alzada por él propuesta frente al fallo de primer grado ante el mismo a quo, </w:t>
      </w:r>
      <w:r w:rsidRPr="00EE51D7">
        <w:rPr>
          <w:rFonts w:ascii="Georgia" w:hAnsi="Georgia"/>
          <w:b/>
          <w:bCs/>
          <w:i/>
          <w:iCs/>
          <w:sz w:val="22"/>
        </w:rPr>
        <w:t>mas no en el campo civil, por cuanto en esta última materia el legislador en forma expresa impuso que tal acto procesal se cumpla en segunda instancia</w:t>
      </w:r>
      <w:r w:rsidRPr="00EE51D7">
        <w:rPr>
          <w:rFonts w:ascii="Georgia" w:hAnsi="Georgia"/>
          <w:i/>
          <w:iCs/>
          <w:sz w:val="22"/>
        </w:rPr>
        <w:t xml:space="preserve"> (…)</w:t>
      </w:r>
      <w:r w:rsidRPr="00583958">
        <w:rPr>
          <w:rFonts w:ascii="Georgia" w:hAnsi="Georgia"/>
          <w:i/>
          <w:iCs/>
        </w:rPr>
        <w:t>”</w:t>
      </w:r>
      <w:r w:rsidRPr="00583958">
        <w:rPr>
          <w:rFonts w:ascii="Georgia" w:hAnsi="Georgia"/>
        </w:rPr>
        <w:t>.</w:t>
      </w:r>
      <w:r w:rsidR="333AA4C6" w:rsidRPr="00583958">
        <w:rPr>
          <w:rFonts w:ascii="Georgia" w:hAnsi="Georgia"/>
        </w:rPr>
        <w:t xml:space="preserve"> </w:t>
      </w:r>
      <w:r w:rsidR="578EB253" w:rsidRPr="00583958">
        <w:rPr>
          <w:rFonts w:ascii="Georgia" w:hAnsi="Georgia"/>
        </w:rPr>
        <w:t>Negrilla de esta Corporación.</w:t>
      </w:r>
    </w:p>
    <w:p w14:paraId="799693A0" w14:textId="607AD073" w:rsidR="45D18FB3" w:rsidRPr="00583958" w:rsidRDefault="45D18FB3" w:rsidP="005853EA">
      <w:pPr>
        <w:pStyle w:val="Sinespaciado"/>
        <w:spacing w:line="276" w:lineRule="auto"/>
        <w:jc w:val="both"/>
        <w:rPr>
          <w:rFonts w:ascii="Georgia" w:hAnsi="Georgia"/>
        </w:rPr>
      </w:pPr>
    </w:p>
    <w:p w14:paraId="33F6AD01" w14:textId="32AD0E2A" w:rsidR="003D663C" w:rsidRPr="00583958" w:rsidRDefault="003D663C" w:rsidP="005853EA">
      <w:pPr>
        <w:pStyle w:val="Sinespaciado"/>
        <w:spacing w:line="276" w:lineRule="auto"/>
        <w:jc w:val="both"/>
        <w:rPr>
          <w:rFonts w:ascii="Georgia" w:hAnsi="Georgia" w:cs="Arial"/>
        </w:rPr>
      </w:pPr>
      <w:r w:rsidRPr="00583958">
        <w:rPr>
          <w:rFonts w:ascii="Georgia" w:hAnsi="Georgia" w:cs="Arial"/>
        </w:rPr>
        <w:t xml:space="preserve">En suma, sin lugar a duda, tanto la doctrina nacional como la jurisprudencia mayoritaria de las Altas Cortes, son partidarias de que </w:t>
      </w:r>
      <w:r w:rsidRPr="00583958">
        <w:rPr>
          <w:rFonts w:ascii="Georgia" w:hAnsi="Georgia" w:cs="Arial"/>
          <w:u w:val="single"/>
        </w:rPr>
        <w:t xml:space="preserve">formular los reparos </w:t>
      </w:r>
      <w:r w:rsidRPr="00583958">
        <w:rPr>
          <w:rFonts w:ascii="Georgia" w:hAnsi="Georgia" w:cs="Arial"/>
          <w:b/>
          <w:bCs/>
          <w:u w:val="single"/>
        </w:rPr>
        <w:t>es diferente a la sustentación del recurso y</w:t>
      </w:r>
      <w:r w:rsidR="00C150CB" w:rsidRPr="00583958">
        <w:rPr>
          <w:rFonts w:ascii="Georgia" w:hAnsi="Georgia" w:cs="Arial"/>
          <w:b/>
          <w:bCs/>
          <w:u w:val="single"/>
        </w:rPr>
        <w:t>,</w:t>
      </w:r>
      <w:r w:rsidRPr="00583958">
        <w:rPr>
          <w:rFonts w:ascii="Georgia" w:hAnsi="Georgia" w:cs="Arial"/>
          <w:b/>
          <w:bCs/>
          <w:u w:val="single"/>
        </w:rPr>
        <w:t xml:space="preserve"> que esta última, debe realizarse ante el superior</w:t>
      </w:r>
      <w:r w:rsidR="06C17977" w:rsidRPr="00583958">
        <w:rPr>
          <w:rFonts w:ascii="Georgia" w:hAnsi="Georgia" w:cs="Arial"/>
          <w:u w:val="single"/>
        </w:rPr>
        <w:t>;</w:t>
      </w:r>
      <w:r w:rsidRPr="00583958">
        <w:rPr>
          <w:rFonts w:ascii="Georgia" w:hAnsi="Georgia" w:cs="Arial"/>
          <w:u w:val="single"/>
        </w:rPr>
        <w:t xml:space="preserve"> también que ante el incumplimiento de esa carga </w:t>
      </w:r>
      <w:r w:rsidR="225A6DAA" w:rsidRPr="00583958">
        <w:rPr>
          <w:rFonts w:ascii="Georgia" w:hAnsi="Georgia" w:cs="Arial"/>
          <w:u w:val="single"/>
        </w:rPr>
        <w:t xml:space="preserve">se impone </w:t>
      </w:r>
      <w:r w:rsidRPr="00583958">
        <w:rPr>
          <w:rFonts w:ascii="Georgia" w:hAnsi="Georgia" w:cs="Arial"/>
          <w:u w:val="single"/>
        </w:rPr>
        <w:t>la declaratoria de deserción</w:t>
      </w:r>
      <w:r w:rsidRPr="00583958">
        <w:rPr>
          <w:rFonts w:ascii="Georgia" w:hAnsi="Georgia" w:cs="Arial"/>
        </w:rPr>
        <w:t>. De nuevo resultan útiles las palabras del profesor Rojas G.</w:t>
      </w:r>
      <w:r w:rsidRPr="00583958">
        <w:rPr>
          <w:rStyle w:val="Refdenotaalpie"/>
          <w:rFonts w:ascii="Georgia" w:hAnsi="Georgia"/>
        </w:rPr>
        <w:t xml:space="preserve"> </w:t>
      </w:r>
      <w:r w:rsidRPr="00583958">
        <w:rPr>
          <w:rStyle w:val="Refdenotaalpie"/>
          <w:rFonts w:ascii="Georgia" w:hAnsi="Georgia"/>
        </w:rPr>
        <w:footnoteReference w:id="21"/>
      </w:r>
      <w:r w:rsidRPr="00583958">
        <w:rPr>
          <w:rFonts w:ascii="Georgia" w:hAnsi="Georgia" w:cs="Arial"/>
        </w:rPr>
        <w:t>:</w:t>
      </w:r>
    </w:p>
    <w:p w14:paraId="1957DEC0" w14:textId="77777777" w:rsidR="003D663C" w:rsidRPr="00583958" w:rsidRDefault="003D663C" w:rsidP="005853EA">
      <w:pPr>
        <w:pStyle w:val="Sinespaciado"/>
        <w:spacing w:line="276" w:lineRule="auto"/>
        <w:jc w:val="both"/>
        <w:rPr>
          <w:rFonts w:ascii="Georgia" w:hAnsi="Georgia" w:cs="Arial"/>
        </w:rPr>
      </w:pPr>
    </w:p>
    <w:p w14:paraId="5B0927FE" w14:textId="61862113" w:rsidR="003D663C" w:rsidRPr="00EE51D7" w:rsidRDefault="003D663C" w:rsidP="00EE51D7">
      <w:pPr>
        <w:pStyle w:val="Sinespaciado"/>
        <w:ind w:left="426" w:right="418"/>
        <w:jc w:val="both"/>
        <w:rPr>
          <w:rFonts w:ascii="Georgia" w:hAnsi="Georgia" w:cs="Arial"/>
          <w:sz w:val="22"/>
          <w:u w:val="single"/>
        </w:rPr>
      </w:pPr>
      <w:r w:rsidRPr="00EE51D7">
        <w:rPr>
          <w:rFonts w:ascii="Georgia" w:hAnsi="Georgia" w:cs="Arial"/>
          <w:sz w:val="22"/>
        </w:rPr>
        <w:t>De entrada</w:t>
      </w:r>
      <w:r w:rsidR="00EE51D7" w:rsidRPr="00EE51D7">
        <w:rPr>
          <w:rFonts w:ascii="Georgia" w:hAnsi="Georgia" w:cs="Arial"/>
          <w:sz w:val="22"/>
        </w:rPr>
        <w:t>,</w:t>
      </w:r>
      <w:r w:rsidRPr="00EE51D7">
        <w:rPr>
          <w:rFonts w:ascii="Georgia" w:hAnsi="Georgia" w:cs="Arial"/>
          <w:sz w:val="22"/>
        </w:rPr>
        <w:t xml:space="preserve"> puede parecer odioso exigir al apelante que haga la sustentación en dos fases, porque el intérprete puede pensar que la segunda es repetición de la primera. Sin embargo, el examen detallado de la dinámica de la apelación en el modelo procesal escogido </w:t>
      </w:r>
      <w:r w:rsidRPr="00EE51D7">
        <w:rPr>
          <w:rFonts w:ascii="Georgia" w:hAnsi="Georgia" w:cs="Arial"/>
          <w:sz w:val="22"/>
          <w:u w:val="single"/>
        </w:rPr>
        <w:t>obliga a aceptar que las dos etapas de la sustentación son distintas y prescindir de alguna de ellas echaría a perder los objetivos del esquema diseñado.</w:t>
      </w:r>
      <w:r w:rsidRPr="00EE51D7">
        <w:rPr>
          <w:rFonts w:ascii="Georgia" w:hAnsi="Georgia" w:cs="Arial"/>
          <w:sz w:val="22"/>
        </w:rPr>
        <w:t xml:space="preserve"> (…)</w:t>
      </w:r>
    </w:p>
    <w:p w14:paraId="0950169D" w14:textId="77777777" w:rsidR="003D663C" w:rsidRPr="00EE51D7" w:rsidRDefault="003D663C" w:rsidP="00EE51D7">
      <w:pPr>
        <w:pStyle w:val="Sinespaciado"/>
        <w:ind w:left="426" w:right="418"/>
        <w:jc w:val="both"/>
        <w:rPr>
          <w:rFonts w:ascii="Georgia" w:hAnsi="Georgia" w:cs="Arial"/>
          <w:sz w:val="22"/>
          <w:u w:val="single"/>
        </w:rPr>
      </w:pPr>
    </w:p>
    <w:p w14:paraId="6080489E" w14:textId="77777777" w:rsidR="003D663C" w:rsidRPr="00EE51D7" w:rsidRDefault="003D663C" w:rsidP="00EE51D7">
      <w:pPr>
        <w:pStyle w:val="Sinespaciado"/>
        <w:ind w:left="426" w:right="418"/>
        <w:jc w:val="both"/>
        <w:rPr>
          <w:rFonts w:ascii="Georgia" w:hAnsi="Georgia" w:cs="Arial"/>
          <w:sz w:val="22"/>
        </w:rPr>
      </w:pPr>
      <w:r w:rsidRPr="00EE51D7">
        <w:rPr>
          <w:rFonts w:ascii="Georgia" w:hAnsi="Georgia" w:cs="Arial"/>
          <w:sz w:val="22"/>
          <w:u w:val="single"/>
        </w:rPr>
        <w:t>Por consiguiente, aunque aparezcan chocantes tales ritualidades, hay que reconocer que lucen necesarias para conquistar los objetivos que persiguen el sistema escogido</w:t>
      </w:r>
      <w:r w:rsidRPr="00EE51D7">
        <w:rPr>
          <w:rFonts w:ascii="Georgia" w:hAnsi="Georgia" w:cs="Arial"/>
          <w:sz w:val="22"/>
        </w:rPr>
        <w:t>. (Sublínea fuera de texto).</w:t>
      </w:r>
    </w:p>
    <w:p w14:paraId="346ECF75" w14:textId="77777777" w:rsidR="003D663C" w:rsidRPr="00583958" w:rsidRDefault="003D663C" w:rsidP="005853EA">
      <w:pPr>
        <w:pStyle w:val="Sinespaciado"/>
        <w:spacing w:line="276" w:lineRule="auto"/>
        <w:jc w:val="both"/>
        <w:rPr>
          <w:rFonts w:ascii="Georgia" w:hAnsi="Georgia" w:cs="Arial"/>
        </w:rPr>
      </w:pPr>
    </w:p>
    <w:p w14:paraId="58A372E6" w14:textId="74A3E7CD" w:rsidR="00A4720E" w:rsidRPr="00583958" w:rsidRDefault="003D663C" w:rsidP="005853EA">
      <w:pPr>
        <w:pStyle w:val="Sinespaciado"/>
        <w:spacing w:line="276" w:lineRule="auto"/>
        <w:jc w:val="both"/>
        <w:rPr>
          <w:rFonts w:ascii="Georgia" w:hAnsi="Georgia" w:cs="Arial"/>
        </w:rPr>
      </w:pPr>
      <w:r w:rsidRPr="00583958">
        <w:rPr>
          <w:rFonts w:ascii="Georgia" w:hAnsi="Georgia" w:cs="Arial"/>
        </w:rPr>
        <w:t>La forma en que deben sustentarse las apelaciones</w:t>
      </w:r>
      <w:r w:rsidR="3A195F98" w:rsidRPr="00583958">
        <w:rPr>
          <w:rFonts w:ascii="Georgia" w:hAnsi="Georgia" w:cs="Arial"/>
        </w:rPr>
        <w:t xml:space="preserve">, </w:t>
      </w:r>
      <w:r w:rsidR="3A195F98" w:rsidRPr="00583958">
        <w:rPr>
          <w:rFonts w:ascii="Georgia" w:hAnsi="Georgia" w:cs="Arial"/>
          <w:b/>
          <w:bCs/>
        </w:rPr>
        <w:t>es escrit</w:t>
      </w:r>
      <w:r w:rsidR="34A7F113" w:rsidRPr="00583958">
        <w:rPr>
          <w:rFonts w:ascii="Georgia" w:hAnsi="Georgia" w:cs="Arial"/>
          <w:b/>
          <w:bCs/>
        </w:rPr>
        <w:t>a</w:t>
      </w:r>
      <w:r w:rsidRPr="00583958">
        <w:rPr>
          <w:rFonts w:ascii="Georgia" w:hAnsi="Georgia" w:cs="Arial"/>
        </w:rPr>
        <w:t xml:space="preserve">, </w:t>
      </w:r>
      <w:r w:rsidR="00CF034C" w:rsidRPr="00583958">
        <w:rPr>
          <w:rFonts w:ascii="Georgia" w:hAnsi="Georgia" w:cs="Arial"/>
        </w:rPr>
        <w:t xml:space="preserve">único </w:t>
      </w:r>
      <w:r w:rsidRPr="00583958">
        <w:rPr>
          <w:rFonts w:ascii="Georgia" w:hAnsi="Georgia" w:cs="Arial"/>
        </w:rPr>
        <w:t>cambi</w:t>
      </w:r>
      <w:r w:rsidR="00CF034C" w:rsidRPr="00583958">
        <w:rPr>
          <w:rFonts w:ascii="Georgia" w:hAnsi="Georgia" w:cs="Arial"/>
        </w:rPr>
        <w:t xml:space="preserve">o </w:t>
      </w:r>
      <w:r w:rsidRPr="00583958">
        <w:rPr>
          <w:rFonts w:ascii="Georgia" w:hAnsi="Georgia" w:cs="Arial"/>
        </w:rPr>
        <w:t xml:space="preserve">con </w:t>
      </w:r>
      <w:r w:rsidR="00C150CB" w:rsidRPr="00583958">
        <w:rPr>
          <w:rFonts w:ascii="Georgia" w:hAnsi="Georgia" w:cs="Arial"/>
        </w:rPr>
        <w:t>el</w:t>
      </w:r>
      <w:r w:rsidRPr="00583958">
        <w:rPr>
          <w:rFonts w:ascii="Georgia" w:hAnsi="Georgia" w:cs="Arial"/>
        </w:rPr>
        <w:t xml:space="preserve"> Decreto Presidencial No.806 de 2020, pues </w:t>
      </w:r>
      <w:r w:rsidR="5CF00481" w:rsidRPr="00583958">
        <w:rPr>
          <w:rFonts w:ascii="Georgia" w:hAnsi="Georgia" w:cs="Arial"/>
        </w:rPr>
        <w:t>en concreto</w:t>
      </w:r>
      <w:r w:rsidRPr="00583958">
        <w:rPr>
          <w:rFonts w:ascii="Georgia" w:hAnsi="Georgia" w:cs="Arial"/>
        </w:rPr>
        <w:t xml:space="preserve">, el inciso </w:t>
      </w:r>
      <w:r w:rsidR="77299EB5" w:rsidRPr="00583958">
        <w:rPr>
          <w:rFonts w:ascii="Georgia" w:hAnsi="Georgia" w:cs="Arial"/>
        </w:rPr>
        <w:t xml:space="preserve">2o </w:t>
      </w:r>
      <w:r w:rsidRPr="00583958">
        <w:rPr>
          <w:rFonts w:ascii="Georgia" w:hAnsi="Georgia" w:cs="Arial"/>
        </w:rPr>
        <w:t xml:space="preserve">del artículo 14, </w:t>
      </w:r>
      <w:r w:rsidR="55535167" w:rsidRPr="00583958">
        <w:rPr>
          <w:rFonts w:ascii="Georgia" w:hAnsi="Georgia" w:cs="Arial"/>
        </w:rPr>
        <w:t>estipula</w:t>
      </w:r>
      <w:r w:rsidRPr="00583958">
        <w:rPr>
          <w:rFonts w:ascii="Georgia" w:hAnsi="Georgia" w:cs="Arial"/>
        </w:rPr>
        <w:t>:</w:t>
      </w:r>
      <w:r w:rsidRPr="00583958">
        <w:rPr>
          <w:rFonts w:ascii="Georgia" w:hAnsi="Georgia" w:cs="Arial"/>
          <w:i/>
          <w:iCs/>
        </w:rPr>
        <w:t xml:space="preserve"> “</w:t>
      </w:r>
      <w:r w:rsidRPr="00EE51D7">
        <w:rPr>
          <w:rFonts w:ascii="Georgia" w:hAnsi="Georgia" w:cs="Arial"/>
          <w:i/>
          <w:iCs/>
          <w:sz w:val="22"/>
        </w:rPr>
        <w:t xml:space="preserve">(…) </w:t>
      </w:r>
      <w:r w:rsidRPr="00EE51D7">
        <w:rPr>
          <w:rFonts w:ascii="Georgia" w:hAnsi="Georgia"/>
          <w:i/>
          <w:iCs/>
          <w:sz w:val="22"/>
        </w:rPr>
        <w:t xml:space="preserve">Ejecutoriado el auto que admite el recurso o el que niega la solicitud de pruebas, </w:t>
      </w:r>
      <w:r w:rsidRPr="00EE51D7">
        <w:rPr>
          <w:rFonts w:ascii="Georgia" w:hAnsi="Georgia"/>
          <w:i/>
          <w:iCs/>
          <w:sz w:val="22"/>
          <w:u w:val="single"/>
        </w:rPr>
        <w:t>el apelante deberá sustentar el recurso a más tardar dentro de los cinco (5) días siguientes</w:t>
      </w:r>
      <w:r w:rsidRPr="00EE51D7">
        <w:rPr>
          <w:rFonts w:ascii="Georgia" w:hAnsi="Georgia"/>
          <w:i/>
          <w:iCs/>
          <w:sz w:val="22"/>
        </w:rPr>
        <w:t xml:space="preserve">. De la sustentación se correrá traslado a la parte contraria por el término de cinco (5) días. Vencido el término de traslado se proferirá sentencia escrita que se notificará por estado. </w:t>
      </w:r>
      <w:r w:rsidRPr="00EE51D7">
        <w:rPr>
          <w:rFonts w:ascii="Georgia" w:hAnsi="Georgia"/>
          <w:i/>
          <w:iCs/>
          <w:sz w:val="22"/>
          <w:u w:val="single"/>
        </w:rPr>
        <w:t>Si no se sustenta oportunamente el recurso, se declarará desierto</w:t>
      </w:r>
      <w:r w:rsidRPr="00EE51D7">
        <w:rPr>
          <w:rFonts w:ascii="Georgia" w:hAnsi="Georgia"/>
          <w:i/>
          <w:iCs/>
          <w:sz w:val="22"/>
        </w:rPr>
        <w:t>. (…)</w:t>
      </w:r>
      <w:r w:rsidRPr="00583958">
        <w:rPr>
          <w:rFonts w:ascii="Georgia" w:hAnsi="Georgia"/>
          <w:i/>
          <w:iCs/>
        </w:rPr>
        <w:t xml:space="preserve">” </w:t>
      </w:r>
      <w:r w:rsidRPr="00583958">
        <w:rPr>
          <w:rFonts w:ascii="Georgia" w:hAnsi="Georgia"/>
        </w:rPr>
        <w:t xml:space="preserve">(Resaltado extratextual). </w:t>
      </w:r>
      <w:r w:rsidR="00A4720E" w:rsidRPr="00583958">
        <w:rPr>
          <w:rFonts w:ascii="Georgia" w:hAnsi="Georgia" w:cs="Arial"/>
        </w:rPr>
        <w:t xml:space="preserve">Así </w:t>
      </w:r>
      <w:r w:rsidR="3F80EF29" w:rsidRPr="00583958">
        <w:rPr>
          <w:rFonts w:ascii="Georgia" w:hAnsi="Georgia" w:cs="Arial"/>
        </w:rPr>
        <w:t xml:space="preserve">entiende </w:t>
      </w:r>
      <w:r w:rsidR="00A4720E" w:rsidRPr="00583958">
        <w:rPr>
          <w:rFonts w:ascii="Georgia" w:hAnsi="Georgia" w:cs="Arial"/>
        </w:rPr>
        <w:t>la CSJ (18-01-2021)</w:t>
      </w:r>
      <w:r w:rsidR="00A4720E" w:rsidRPr="00583958">
        <w:rPr>
          <w:rStyle w:val="Refdenotaalpie"/>
          <w:rFonts w:ascii="Georgia" w:hAnsi="Georgia"/>
        </w:rPr>
        <w:footnoteReference w:id="22"/>
      </w:r>
      <w:r w:rsidR="00A4720E" w:rsidRPr="00583958">
        <w:rPr>
          <w:rFonts w:ascii="Georgia" w:hAnsi="Georgia" w:cs="Arial"/>
        </w:rPr>
        <w:t>, que explicó:</w:t>
      </w:r>
    </w:p>
    <w:p w14:paraId="0CE7F764" w14:textId="77777777" w:rsidR="00A4720E" w:rsidRPr="00583958" w:rsidRDefault="00A4720E" w:rsidP="005853EA">
      <w:pPr>
        <w:spacing w:line="276" w:lineRule="auto"/>
        <w:ind w:left="567" w:right="567"/>
        <w:jc w:val="both"/>
        <w:rPr>
          <w:rFonts w:ascii="Georgia" w:hAnsi="Georgia" w:cs="Arial"/>
          <w:bCs/>
          <w:sz w:val="24"/>
          <w:szCs w:val="24"/>
          <w:lang w:val="es-CO" w:eastAsia="x-none"/>
        </w:rPr>
      </w:pPr>
    </w:p>
    <w:p w14:paraId="242D439F" w14:textId="67463EE6" w:rsidR="00A4720E" w:rsidRPr="00EE51D7" w:rsidRDefault="00A4720E" w:rsidP="00EE51D7">
      <w:pPr>
        <w:ind w:left="426" w:right="418"/>
        <w:jc w:val="both"/>
        <w:rPr>
          <w:rFonts w:ascii="Georgia" w:hAnsi="Georgia" w:cs="Arial"/>
          <w:bCs/>
          <w:sz w:val="22"/>
          <w:szCs w:val="24"/>
          <w:lang w:val="es-CO" w:eastAsia="x-none"/>
        </w:rPr>
      </w:pPr>
      <w:r w:rsidRPr="00EE51D7">
        <w:rPr>
          <w:rFonts w:ascii="Georgia" w:hAnsi="Georgia" w:cs="Arial"/>
          <w:bCs/>
          <w:sz w:val="22"/>
          <w:szCs w:val="24"/>
          <w:lang w:val="es-CO" w:eastAsia="x-none"/>
        </w:rPr>
        <w:t xml:space="preserve">En lo atinente a la sustentación, el legislador previó, específicamente, respecto de las sentencias, que la fundamentación de la apelación debía darse ante el </w:t>
      </w:r>
      <w:r w:rsidRPr="00EE51D7">
        <w:rPr>
          <w:rFonts w:ascii="Georgia" w:hAnsi="Georgia" w:cs="Arial"/>
          <w:bCs/>
          <w:i/>
          <w:sz w:val="22"/>
          <w:szCs w:val="24"/>
          <w:lang w:val="es-CO" w:eastAsia="x-none"/>
        </w:rPr>
        <w:t xml:space="preserve">ad </w:t>
      </w:r>
      <w:proofErr w:type="spellStart"/>
      <w:r w:rsidRPr="00EE51D7">
        <w:rPr>
          <w:rFonts w:ascii="Georgia" w:hAnsi="Georgia" w:cs="Arial"/>
          <w:bCs/>
          <w:i/>
          <w:sz w:val="22"/>
          <w:szCs w:val="24"/>
          <w:lang w:val="es-CO" w:eastAsia="x-none"/>
        </w:rPr>
        <w:t>quem</w:t>
      </w:r>
      <w:proofErr w:type="spellEnd"/>
      <w:r w:rsidRPr="00EE51D7">
        <w:rPr>
          <w:rFonts w:ascii="Georgia" w:hAnsi="Georgia" w:cs="Arial"/>
          <w:bCs/>
          <w:i/>
          <w:sz w:val="22"/>
          <w:szCs w:val="24"/>
          <w:lang w:val="es-CO" w:eastAsia="x-none"/>
        </w:rPr>
        <w:t xml:space="preserve"> </w:t>
      </w:r>
      <w:r w:rsidRPr="00EE51D7">
        <w:rPr>
          <w:rFonts w:ascii="Georgia" w:hAnsi="Georgia" w:cs="Arial"/>
          <w:bCs/>
          <w:sz w:val="22"/>
          <w:szCs w:val="24"/>
          <w:lang w:val="es-CO" w:eastAsia="x-none"/>
        </w:rPr>
        <w:t xml:space="preserve">a partir de los reparos concretos aducidos frente al </w:t>
      </w:r>
      <w:r w:rsidRPr="00EE51D7">
        <w:rPr>
          <w:rFonts w:ascii="Georgia" w:hAnsi="Georgia" w:cs="Arial"/>
          <w:bCs/>
          <w:i/>
          <w:sz w:val="22"/>
          <w:szCs w:val="24"/>
          <w:lang w:val="es-CO" w:eastAsia="x-none"/>
        </w:rPr>
        <w:t>a quo</w:t>
      </w:r>
      <w:r w:rsidRPr="00EE51D7">
        <w:rPr>
          <w:rFonts w:ascii="Georgia" w:hAnsi="Georgia" w:cs="Arial"/>
          <w:bCs/>
          <w:sz w:val="22"/>
          <w:szCs w:val="24"/>
          <w:lang w:val="es-CO" w:eastAsia="x-none"/>
        </w:rPr>
        <w:t>.</w:t>
      </w:r>
    </w:p>
    <w:p w14:paraId="7787FF34" w14:textId="77777777" w:rsidR="00A4720E" w:rsidRPr="00EE51D7" w:rsidRDefault="00A4720E" w:rsidP="00EE51D7">
      <w:pPr>
        <w:ind w:left="426" w:right="418"/>
        <w:jc w:val="both"/>
        <w:rPr>
          <w:rFonts w:ascii="Georgia" w:hAnsi="Georgia" w:cs="Arial"/>
          <w:bCs/>
          <w:sz w:val="22"/>
          <w:szCs w:val="24"/>
          <w:lang w:val="es-CO" w:eastAsia="x-none"/>
        </w:rPr>
      </w:pPr>
    </w:p>
    <w:p w14:paraId="375662EE" w14:textId="77777777" w:rsidR="00A4720E" w:rsidRPr="00EE51D7" w:rsidRDefault="00A4720E" w:rsidP="00EE51D7">
      <w:pPr>
        <w:ind w:left="426" w:right="418"/>
        <w:jc w:val="both"/>
        <w:rPr>
          <w:rFonts w:ascii="Georgia" w:hAnsi="Georgia" w:cs="Arial"/>
          <w:bCs/>
          <w:sz w:val="22"/>
          <w:szCs w:val="24"/>
          <w:lang w:val="es-CO" w:eastAsia="x-none"/>
        </w:rPr>
      </w:pPr>
      <w:r w:rsidRPr="00EE51D7">
        <w:rPr>
          <w:rFonts w:ascii="Georgia" w:hAnsi="Georgia" w:cs="Arial"/>
          <w:bCs/>
          <w:sz w:val="22"/>
          <w:szCs w:val="24"/>
          <w:lang w:val="es-CO" w:eastAsia="x-none"/>
        </w:rPr>
        <w:t xml:space="preserve">(…) </w:t>
      </w:r>
    </w:p>
    <w:p w14:paraId="081E13D0" w14:textId="77777777" w:rsidR="00A4720E" w:rsidRPr="00EE51D7" w:rsidRDefault="00A4720E" w:rsidP="00EE51D7">
      <w:pPr>
        <w:ind w:left="426" w:right="418"/>
        <w:jc w:val="both"/>
        <w:rPr>
          <w:rFonts w:ascii="Georgia" w:hAnsi="Georgia" w:cs="Arial"/>
          <w:bCs/>
          <w:sz w:val="22"/>
          <w:szCs w:val="24"/>
          <w:lang w:val="es-ES_tradnl" w:eastAsia="x-none"/>
        </w:rPr>
      </w:pPr>
    </w:p>
    <w:p w14:paraId="04EAD3C1" w14:textId="77777777" w:rsidR="00A4720E" w:rsidRPr="00EE51D7" w:rsidRDefault="00A4720E" w:rsidP="00EE51D7">
      <w:pPr>
        <w:ind w:left="426" w:right="418"/>
        <w:jc w:val="both"/>
        <w:rPr>
          <w:rFonts w:ascii="Georgia" w:hAnsi="Georgia" w:cs="Arial"/>
          <w:bCs/>
          <w:sz w:val="22"/>
          <w:szCs w:val="24"/>
          <w:lang w:val="es-ES_tradnl" w:eastAsia="x-none"/>
        </w:rPr>
      </w:pPr>
      <w:r w:rsidRPr="00EE51D7">
        <w:rPr>
          <w:rFonts w:ascii="Georgia" w:hAnsi="Georgia" w:cs="Arial"/>
          <w:bCs/>
          <w:sz w:val="22"/>
          <w:szCs w:val="24"/>
          <w:lang w:val="es-ES_tradnl" w:eastAsia="x-none"/>
        </w:rPr>
        <w:t xml:space="preserve">Para las sentencias, en primera instancia: interposición, formulación de los reparos concretos y concesión; y, en segunda: admisión o inadmisión con su ejecutoria, fijación de audiencia con la eventual fase probatoria, </w:t>
      </w:r>
      <w:r w:rsidRPr="00EE51D7">
        <w:rPr>
          <w:rFonts w:ascii="Georgia" w:hAnsi="Georgia" w:cs="Arial"/>
          <w:bCs/>
          <w:sz w:val="22"/>
          <w:szCs w:val="24"/>
          <w:u w:val="single"/>
          <w:lang w:val="es-ES_tradnl" w:eastAsia="x-none"/>
        </w:rPr>
        <w:t>en la actualidad, concesión de traslado para sustentación por escrito (art. 14 del Decreto 806 de 2020),</w:t>
      </w:r>
      <w:r w:rsidRPr="00EE51D7">
        <w:rPr>
          <w:rFonts w:ascii="Georgia" w:hAnsi="Georgia" w:cs="Arial"/>
          <w:bCs/>
          <w:sz w:val="22"/>
          <w:szCs w:val="24"/>
          <w:lang w:val="es-ES_tradnl" w:eastAsia="x-none"/>
        </w:rPr>
        <w:t xml:space="preserve"> sustentación y sentencia.</w:t>
      </w:r>
    </w:p>
    <w:p w14:paraId="3FCA47A3" w14:textId="77777777" w:rsidR="00A4720E" w:rsidRPr="00EE51D7" w:rsidRDefault="00A4720E" w:rsidP="00EE51D7">
      <w:pPr>
        <w:ind w:left="426" w:right="418"/>
        <w:jc w:val="both"/>
        <w:rPr>
          <w:rFonts w:ascii="Georgia" w:hAnsi="Georgia" w:cs="Arial"/>
          <w:bCs/>
          <w:sz w:val="22"/>
          <w:szCs w:val="24"/>
          <w:lang w:val="es-ES_tradnl" w:eastAsia="x-none"/>
        </w:rPr>
      </w:pPr>
    </w:p>
    <w:p w14:paraId="5A95838D" w14:textId="1067AD2E" w:rsidR="00A4720E" w:rsidRPr="00EE51D7" w:rsidRDefault="00A4720E" w:rsidP="00EE51D7">
      <w:pPr>
        <w:pStyle w:val="Sinespaciado"/>
        <w:ind w:left="426" w:right="418"/>
        <w:jc w:val="both"/>
        <w:rPr>
          <w:rFonts w:ascii="Georgia" w:hAnsi="Georgia" w:cs="Arial"/>
          <w:sz w:val="22"/>
        </w:rPr>
      </w:pPr>
      <w:r w:rsidRPr="00EE51D7">
        <w:rPr>
          <w:rFonts w:ascii="Georgia" w:hAnsi="Georgia" w:cs="Arial"/>
          <w:sz w:val="22"/>
        </w:rPr>
        <w:t xml:space="preserve">Por tanto, le correspondía a la recurrente no sólo aducir sus quejas puntuales ante el a quo, sino hacer uso del traslado concedido por el superior en auto de 7 de octubre </w:t>
      </w:r>
      <w:r w:rsidRPr="00EE51D7">
        <w:rPr>
          <w:rFonts w:ascii="Georgia" w:hAnsi="Georgia" w:cs="Arial"/>
          <w:sz w:val="22"/>
        </w:rPr>
        <w:lastRenderedPageBreak/>
        <w:t>de 2020, para fundamentar allí el remedio vertical, tal y como lo prevé el reseñado canon 322. (</w:t>
      </w:r>
      <w:r w:rsidR="49FF7EA0" w:rsidRPr="00EE51D7">
        <w:rPr>
          <w:rFonts w:ascii="Georgia" w:hAnsi="Georgia" w:cs="Arial"/>
          <w:sz w:val="22"/>
        </w:rPr>
        <w:t xml:space="preserve">Todo el resaltado es </w:t>
      </w:r>
      <w:r w:rsidRPr="00EE51D7">
        <w:rPr>
          <w:rFonts w:ascii="Georgia" w:hAnsi="Georgia" w:cs="Arial"/>
          <w:sz w:val="22"/>
        </w:rPr>
        <w:t>extratextual).</w:t>
      </w:r>
    </w:p>
    <w:p w14:paraId="5FBE0FA1" w14:textId="77777777" w:rsidR="001D253E" w:rsidRPr="00583958" w:rsidRDefault="001D253E" w:rsidP="005853EA">
      <w:pPr>
        <w:pStyle w:val="Sinespaciado"/>
        <w:spacing w:line="276" w:lineRule="auto"/>
        <w:ind w:right="567"/>
        <w:jc w:val="both"/>
        <w:rPr>
          <w:rFonts w:ascii="Georgia" w:hAnsi="Georgia" w:cs="Arial"/>
          <w:bCs/>
          <w:lang w:val="es-ES_tradnl" w:eastAsia="x-none"/>
        </w:rPr>
      </w:pPr>
    </w:p>
    <w:p w14:paraId="7436D3FB" w14:textId="77777777" w:rsidR="00F640A5" w:rsidRPr="00583958" w:rsidRDefault="00F640A5" w:rsidP="005853EA">
      <w:pPr>
        <w:pStyle w:val="Sinespaciado"/>
        <w:spacing w:line="276" w:lineRule="auto"/>
        <w:jc w:val="both"/>
        <w:rPr>
          <w:rFonts w:ascii="Georgia" w:hAnsi="Georgia" w:cs="Arial"/>
        </w:rPr>
      </w:pPr>
      <w:r w:rsidRPr="00583958">
        <w:rPr>
          <w:rFonts w:ascii="Georgia" w:hAnsi="Georgia" w:cs="Arial"/>
        </w:rPr>
        <w:t>Mal puede suplirse el requisito, como concibe el recurrente, con la sustentación hecha al tiempo con la formulación de reparos, por más que haya sido un verdadero ejercicio de cuestionamiento a lo decidido en primer grado; así sostiene la citada Corporación en reciente (25-03-2021)</w:t>
      </w:r>
      <w:r w:rsidRPr="00583958">
        <w:rPr>
          <w:rStyle w:val="Refdenotaalpie"/>
          <w:rFonts w:ascii="Georgia" w:hAnsi="Georgia"/>
        </w:rPr>
        <w:footnoteReference w:id="23"/>
      </w:r>
      <w:r w:rsidRPr="00583958">
        <w:rPr>
          <w:rFonts w:ascii="Georgia" w:hAnsi="Georgia" w:cs="Arial"/>
        </w:rPr>
        <w:t xml:space="preserve"> decisión: </w:t>
      </w:r>
    </w:p>
    <w:p w14:paraId="4090584D" w14:textId="7C9869AC" w:rsidR="00A4720E" w:rsidRPr="00583958" w:rsidRDefault="00A4720E" w:rsidP="005853EA">
      <w:pPr>
        <w:pStyle w:val="Sinespaciado"/>
        <w:spacing w:line="276" w:lineRule="auto"/>
        <w:jc w:val="both"/>
        <w:rPr>
          <w:rFonts w:ascii="Georgia" w:hAnsi="Georgia" w:cs="Arial"/>
        </w:rPr>
      </w:pPr>
    </w:p>
    <w:p w14:paraId="6AC8D7CC" w14:textId="3310F626" w:rsidR="00A35FAF" w:rsidRPr="00EE51D7" w:rsidRDefault="00A4720E" w:rsidP="00EE51D7">
      <w:pPr>
        <w:ind w:left="426" w:right="418"/>
        <w:jc w:val="both"/>
        <w:rPr>
          <w:rFonts w:ascii="Georgia" w:hAnsi="Georgia" w:cs="Arial"/>
          <w:sz w:val="22"/>
          <w:szCs w:val="24"/>
          <w:lang w:val="es-ES_tradnl"/>
        </w:rPr>
      </w:pPr>
      <w:r w:rsidRPr="00EE51D7">
        <w:rPr>
          <w:rFonts w:ascii="Georgia" w:hAnsi="Georgia"/>
          <w:sz w:val="22"/>
          <w:szCs w:val="24"/>
        </w:rPr>
        <w:t xml:space="preserve">… </w:t>
      </w:r>
      <w:r w:rsidR="00A35FAF" w:rsidRPr="00EE51D7">
        <w:rPr>
          <w:rFonts w:ascii="Georgia" w:hAnsi="Georgia"/>
          <w:sz w:val="22"/>
          <w:szCs w:val="24"/>
        </w:rPr>
        <w:t xml:space="preserve">conforme al cuestionamiento del actor relativo a que ya había expuesto los argumentos de la alzada ante el </w:t>
      </w:r>
      <w:r w:rsidR="00A35FAF" w:rsidRPr="00EE51D7">
        <w:rPr>
          <w:rFonts w:ascii="Georgia" w:hAnsi="Georgia"/>
          <w:i/>
          <w:sz w:val="22"/>
          <w:szCs w:val="24"/>
        </w:rPr>
        <w:t>a quo</w:t>
      </w:r>
      <w:r w:rsidR="00A35FAF" w:rsidRPr="00EE51D7">
        <w:rPr>
          <w:rFonts w:ascii="Georgia" w:hAnsi="Georgia"/>
          <w:sz w:val="22"/>
          <w:szCs w:val="24"/>
        </w:rPr>
        <w:t xml:space="preserve">, se debe resaltar </w:t>
      </w:r>
      <w:r w:rsidR="00A35FAF" w:rsidRPr="00EE51D7">
        <w:rPr>
          <w:rFonts w:ascii="Georgia" w:hAnsi="Georgia"/>
          <w:sz w:val="22"/>
          <w:szCs w:val="24"/>
          <w:u w:val="single"/>
        </w:rPr>
        <w:t>que en sede de apelación, el</w:t>
      </w:r>
      <w:r w:rsidR="00A35FAF" w:rsidRPr="00EE51D7">
        <w:rPr>
          <w:rFonts w:ascii="Georgia" w:hAnsi="Georgia" w:cs="Arial"/>
          <w:sz w:val="22"/>
          <w:szCs w:val="24"/>
          <w:u w:val="single"/>
        </w:rPr>
        <w:t xml:space="preserve"> recurrente, posterior a la admisión del remedio vertical, igualmente, debe sustentar el recurso ante el fallador de segundo grado,</w:t>
      </w:r>
      <w:r w:rsidR="00A35FAF" w:rsidRPr="00EE51D7">
        <w:rPr>
          <w:rFonts w:ascii="Georgia" w:hAnsi="Georgia" w:cs="Arial"/>
          <w:sz w:val="22"/>
          <w:szCs w:val="24"/>
        </w:rPr>
        <w:t xml:space="preserve"> ya sea en audiencia, conforme a lo dictado por el Código General del Proceso, o por escrito, como lo regló el Decreto 806 de 2020, </w:t>
      </w:r>
      <w:r w:rsidR="00A35FAF" w:rsidRPr="00EE51D7">
        <w:rPr>
          <w:rFonts w:ascii="Georgia" w:hAnsi="Georgia" w:cs="Arial"/>
          <w:b/>
          <w:sz w:val="22"/>
          <w:szCs w:val="24"/>
        </w:rPr>
        <w:t xml:space="preserve">y no en instancias previas o en otros momentos procesales. </w:t>
      </w:r>
    </w:p>
    <w:p w14:paraId="360B8FB7" w14:textId="77777777" w:rsidR="00A35FAF" w:rsidRPr="00EE51D7" w:rsidRDefault="00A35FAF" w:rsidP="00EE51D7">
      <w:pPr>
        <w:ind w:left="426" w:right="418"/>
        <w:jc w:val="both"/>
        <w:rPr>
          <w:rFonts w:ascii="Georgia" w:hAnsi="Georgia"/>
          <w:sz w:val="22"/>
          <w:szCs w:val="24"/>
          <w:lang w:eastAsia="es-ES_tradnl"/>
        </w:rPr>
      </w:pPr>
    </w:p>
    <w:p w14:paraId="74953AD1" w14:textId="22CE73A3" w:rsidR="00A35FAF" w:rsidRPr="00EE51D7" w:rsidRDefault="00A35FAF" w:rsidP="00EE51D7">
      <w:pPr>
        <w:ind w:left="426" w:right="418"/>
        <w:jc w:val="both"/>
        <w:rPr>
          <w:rFonts w:ascii="Georgia" w:hAnsi="Georgia"/>
          <w:sz w:val="22"/>
          <w:szCs w:val="24"/>
        </w:rPr>
      </w:pPr>
      <w:r w:rsidRPr="00EE51D7">
        <w:rPr>
          <w:rFonts w:ascii="Georgia" w:hAnsi="Georgia"/>
          <w:sz w:val="22"/>
          <w:szCs w:val="24"/>
        </w:rPr>
        <w:t>Lo anterior, por cuanto reiteradamente la Sala ha expresado:</w:t>
      </w:r>
    </w:p>
    <w:p w14:paraId="653704FC" w14:textId="77777777" w:rsidR="005853EA" w:rsidRPr="00EE51D7" w:rsidRDefault="005853EA" w:rsidP="00EE51D7">
      <w:pPr>
        <w:ind w:left="426" w:right="418"/>
        <w:jc w:val="both"/>
        <w:rPr>
          <w:rFonts w:ascii="Georgia" w:hAnsi="Georgia"/>
          <w:sz w:val="22"/>
          <w:szCs w:val="24"/>
        </w:rPr>
      </w:pPr>
    </w:p>
    <w:p w14:paraId="05FE5E39" w14:textId="29BCEF34" w:rsidR="00A35FAF" w:rsidRPr="00EE51D7" w:rsidRDefault="00A35FAF" w:rsidP="00EE51D7">
      <w:pPr>
        <w:widowControl w:val="0"/>
        <w:ind w:left="851" w:right="843"/>
        <w:jc w:val="both"/>
        <w:rPr>
          <w:rFonts w:ascii="Georgia" w:hAnsi="Georgia" w:cs="Arial"/>
          <w:i/>
          <w:sz w:val="22"/>
          <w:szCs w:val="24"/>
        </w:rPr>
      </w:pPr>
      <w:r w:rsidRPr="00EE51D7">
        <w:rPr>
          <w:rFonts w:ascii="Georgia" w:hAnsi="Georgia" w:cs="Arial"/>
          <w:i/>
          <w:sz w:val="22"/>
          <w:szCs w:val="24"/>
        </w:rPr>
        <w:t xml:space="preserve">[…] lo cierto es que lo ocurrido en el proceso en forma visible, es que el Tribunal acogió una posición contraria a la jurisprudencia decantada de esta sala, dando por válidas las alegaciones presentadas en primera instancia, sin tener en cuenta que la intención del legislador, ratificada por la sentencia unificadora SU 418 de 2019 de la Corte Constitucional, es que la sustentación ante el juez de segunda instancia es obligatoria, sea en forma oral como lo establece el Código General del Proceso, ya por escrito como lo señala el decreto 806 de 2020, pero en todo caso ante el juez ad </w:t>
      </w:r>
      <w:proofErr w:type="spellStart"/>
      <w:r w:rsidRPr="00EE51D7">
        <w:rPr>
          <w:rFonts w:ascii="Georgia" w:hAnsi="Georgia" w:cs="Arial"/>
          <w:i/>
          <w:sz w:val="22"/>
          <w:szCs w:val="24"/>
        </w:rPr>
        <w:t>quem</w:t>
      </w:r>
      <w:proofErr w:type="spellEnd"/>
      <w:r w:rsidRPr="00EE51D7">
        <w:rPr>
          <w:rFonts w:ascii="Georgia" w:hAnsi="Georgia" w:cs="Arial"/>
          <w:i/>
          <w:sz w:val="22"/>
          <w:szCs w:val="24"/>
        </w:rPr>
        <w:t>, y que no son válidos los argumentos acogidos por el fallador acusado de dar validez y eficacia a los argumentos allegados cuando se propuso el recurso o sea los presentados ante el juez de primera instancia así sean muy completos.</w:t>
      </w:r>
    </w:p>
    <w:p w14:paraId="50316F0A" w14:textId="77777777" w:rsidR="00A4720E" w:rsidRPr="00EE51D7" w:rsidRDefault="00A4720E" w:rsidP="00EE51D7">
      <w:pPr>
        <w:widowControl w:val="0"/>
        <w:ind w:left="851" w:right="843"/>
        <w:jc w:val="both"/>
        <w:rPr>
          <w:rFonts w:ascii="Georgia" w:hAnsi="Georgia" w:cs="Arial"/>
          <w:i/>
          <w:sz w:val="22"/>
          <w:szCs w:val="24"/>
        </w:rPr>
      </w:pPr>
    </w:p>
    <w:p w14:paraId="0FA20971" w14:textId="155F61BB" w:rsidR="00A35FAF" w:rsidRPr="00EE51D7" w:rsidRDefault="00A35FAF" w:rsidP="00EE51D7">
      <w:pPr>
        <w:pStyle w:val="Sinespaciado"/>
        <w:ind w:left="851" w:right="843"/>
        <w:jc w:val="both"/>
        <w:rPr>
          <w:rFonts w:ascii="Georgia" w:hAnsi="Georgia" w:cs="Arial"/>
          <w:sz w:val="22"/>
        </w:rPr>
      </w:pPr>
      <w:r w:rsidRPr="00EE51D7">
        <w:rPr>
          <w:rFonts w:ascii="Georgia" w:hAnsi="Georgia" w:cs="Arial"/>
          <w:i/>
          <w:sz w:val="22"/>
        </w:rPr>
        <w:t xml:space="preserve">En esa forma, le asiste razón a la accionante en tutela cuando señala el error en que incurrió el fallador civil al dar trámite completo al recurso de apelación sin la sustentación del recurso en segunda instancia </w:t>
      </w:r>
      <w:r w:rsidRPr="00EE51D7">
        <w:rPr>
          <w:rFonts w:ascii="Georgia" w:hAnsi="Georgia" w:cs="Arial"/>
          <w:sz w:val="22"/>
        </w:rPr>
        <w:t>(CSJ STC705-2021. feb. 3 de 2021. rad. 2021-00101.00).</w:t>
      </w:r>
    </w:p>
    <w:p w14:paraId="0734EDF2" w14:textId="77777777" w:rsidR="009C68C7" w:rsidRPr="00583958" w:rsidRDefault="009C68C7" w:rsidP="005853EA">
      <w:pPr>
        <w:pStyle w:val="Sinespaciado"/>
        <w:spacing w:line="276" w:lineRule="auto"/>
        <w:ind w:left="1134" w:right="567"/>
        <w:jc w:val="both"/>
        <w:rPr>
          <w:rFonts w:ascii="Georgia" w:hAnsi="Georgia" w:cs="Arial"/>
        </w:rPr>
      </w:pPr>
    </w:p>
    <w:p w14:paraId="1CF46F37" w14:textId="30983863" w:rsidR="009560CF" w:rsidRPr="00583958" w:rsidRDefault="007030EF" w:rsidP="005853EA">
      <w:pPr>
        <w:pStyle w:val="Cuerpodeltexto0"/>
        <w:shd w:val="clear" w:color="auto" w:fill="auto"/>
        <w:spacing w:after="0" w:line="276" w:lineRule="auto"/>
        <w:rPr>
          <w:rFonts w:ascii="Georgia" w:hAnsi="Georgia" w:cs="Arial"/>
          <w:sz w:val="24"/>
          <w:szCs w:val="24"/>
          <w:u w:val="single"/>
        </w:rPr>
      </w:pPr>
      <w:r w:rsidRPr="00583958">
        <w:rPr>
          <w:rFonts w:ascii="Georgia" w:hAnsi="Georgia" w:cs="Arial"/>
          <w:sz w:val="24"/>
          <w:szCs w:val="24"/>
        </w:rPr>
        <w:t xml:space="preserve">Finalmente, </w:t>
      </w:r>
      <w:r w:rsidR="00E4534F" w:rsidRPr="00583958">
        <w:rPr>
          <w:rFonts w:ascii="Georgia" w:hAnsi="Georgia" w:cs="Arial"/>
          <w:sz w:val="24"/>
          <w:szCs w:val="24"/>
        </w:rPr>
        <w:t>incomprensible que</w:t>
      </w:r>
      <w:r w:rsidR="06BE1574" w:rsidRPr="00583958">
        <w:rPr>
          <w:rFonts w:ascii="Georgia" w:hAnsi="Georgia" w:cs="Arial"/>
          <w:sz w:val="24"/>
          <w:szCs w:val="24"/>
        </w:rPr>
        <w:t>,</w:t>
      </w:r>
      <w:r w:rsidR="00E4534F" w:rsidRPr="00583958">
        <w:rPr>
          <w:rFonts w:ascii="Georgia" w:hAnsi="Georgia" w:cs="Arial"/>
          <w:sz w:val="24"/>
          <w:szCs w:val="24"/>
        </w:rPr>
        <w:t xml:space="preserve"> lo dicho en la admisión</w:t>
      </w:r>
      <w:r w:rsidR="7D04965C" w:rsidRPr="00583958">
        <w:rPr>
          <w:rFonts w:ascii="Georgia" w:hAnsi="Georgia" w:cs="Arial"/>
          <w:sz w:val="24"/>
          <w:szCs w:val="24"/>
        </w:rPr>
        <w:t xml:space="preserve"> del recurso</w:t>
      </w:r>
      <w:r w:rsidR="00E4534F" w:rsidRPr="00583958">
        <w:rPr>
          <w:rFonts w:ascii="Georgia" w:hAnsi="Georgia" w:cs="Arial"/>
          <w:sz w:val="24"/>
          <w:szCs w:val="24"/>
        </w:rPr>
        <w:t xml:space="preserve">, frente </w:t>
      </w:r>
      <w:r w:rsidR="00E4534F" w:rsidRPr="00583958">
        <w:rPr>
          <w:rFonts w:ascii="Georgia" w:hAnsi="Georgia" w:cs="Arial"/>
          <w:b/>
          <w:bCs/>
          <w:sz w:val="24"/>
          <w:szCs w:val="24"/>
        </w:rPr>
        <w:t xml:space="preserve">al cumplimiento de la carga procesal de precisar los reparos, </w:t>
      </w:r>
      <w:r w:rsidR="177A0268" w:rsidRPr="00583958">
        <w:rPr>
          <w:rFonts w:ascii="Georgia" w:hAnsi="Georgia" w:cs="Arial"/>
          <w:b/>
          <w:bCs/>
          <w:sz w:val="24"/>
          <w:szCs w:val="24"/>
        </w:rPr>
        <w:t>se haya entendido como sustentación</w:t>
      </w:r>
      <w:r w:rsidR="00E4534F" w:rsidRPr="00583958">
        <w:rPr>
          <w:rFonts w:ascii="Georgia" w:hAnsi="Georgia" w:cs="Arial"/>
          <w:sz w:val="24"/>
          <w:szCs w:val="24"/>
        </w:rPr>
        <w:t>, esa expresión a ninguna duda remite</w:t>
      </w:r>
      <w:r w:rsidR="6C0855C6" w:rsidRPr="00583958">
        <w:rPr>
          <w:rFonts w:ascii="Georgia" w:hAnsi="Georgia" w:cs="Arial"/>
          <w:sz w:val="24"/>
          <w:szCs w:val="24"/>
        </w:rPr>
        <w:t>,</w:t>
      </w:r>
      <w:r w:rsidR="00E4534F" w:rsidRPr="00583958">
        <w:rPr>
          <w:rFonts w:ascii="Georgia" w:hAnsi="Georgia" w:cs="Arial"/>
          <w:sz w:val="24"/>
          <w:szCs w:val="24"/>
        </w:rPr>
        <w:t xml:space="preserve"> tal como se ha </w:t>
      </w:r>
      <w:r w:rsidR="7D3280C8" w:rsidRPr="00583958">
        <w:rPr>
          <w:rFonts w:ascii="Georgia" w:hAnsi="Georgia" w:cs="Arial"/>
          <w:sz w:val="24"/>
          <w:szCs w:val="24"/>
        </w:rPr>
        <w:t xml:space="preserve">explicitado en </w:t>
      </w:r>
      <w:r w:rsidR="00E4534F" w:rsidRPr="00583958">
        <w:rPr>
          <w:rFonts w:ascii="Georgia" w:hAnsi="Georgia" w:cs="Arial"/>
          <w:sz w:val="24"/>
          <w:szCs w:val="24"/>
        </w:rPr>
        <w:t xml:space="preserve">este proveído, la sustentación </w:t>
      </w:r>
      <w:r w:rsidR="0F8955C9" w:rsidRPr="00583958">
        <w:rPr>
          <w:rFonts w:ascii="Georgia" w:hAnsi="Georgia" w:cs="Arial"/>
          <w:sz w:val="24"/>
          <w:szCs w:val="24"/>
        </w:rPr>
        <w:t xml:space="preserve">en </w:t>
      </w:r>
      <w:r w:rsidR="00E4534F" w:rsidRPr="00583958">
        <w:rPr>
          <w:rFonts w:ascii="Georgia" w:hAnsi="Georgia" w:cs="Arial"/>
          <w:sz w:val="24"/>
          <w:szCs w:val="24"/>
        </w:rPr>
        <w:t>el CGP, es un presupuesto que tiene dos fases diferenciadas y concurrentes, ante la falta de allanamiento de una, esta incumplido ese requisito.</w:t>
      </w:r>
      <w:r w:rsidR="009560CF" w:rsidRPr="00583958">
        <w:rPr>
          <w:rFonts w:ascii="Georgia" w:hAnsi="Georgia" w:cs="Arial"/>
          <w:sz w:val="24"/>
          <w:szCs w:val="24"/>
        </w:rPr>
        <w:t xml:space="preserve"> </w:t>
      </w:r>
      <w:r w:rsidR="24FC145F" w:rsidRPr="00583958">
        <w:rPr>
          <w:rFonts w:ascii="Georgia" w:hAnsi="Georgia" w:cs="Arial"/>
          <w:sz w:val="24"/>
          <w:szCs w:val="24"/>
        </w:rPr>
        <w:t>Esas etapas (</w:t>
      </w:r>
      <w:r w:rsidR="693CB6B1" w:rsidRPr="00583958">
        <w:rPr>
          <w:rFonts w:ascii="Georgia" w:hAnsi="Georgia" w:cs="Arial"/>
          <w:sz w:val="24"/>
          <w:szCs w:val="24"/>
        </w:rPr>
        <w:t xml:space="preserve">1. </w:t>
      </w:r>
      <w:r w:rsidR="24FC145F" w:rsidRPr="00583958">
        <w:rPr>
          <w:rFonts w:ascii="Georgia" w:hAnsi="Georgia" w:cs="Arial"/>
          <w:sz w:val="24"/>
          <w:szCs w:val="24"/>
        </w:rPr>
        <w:t>Formulación de reparos y</w:t>
      </w:r>
      <w:r w:rsidR="742CB5EC" w:rsidRPr="00583958">
        <w:rPr>
          <w:rFonts w:ascii="Georgia" w:hAnsi="Georgia" w:cs="Arial"/>
          <w:sz w:val="24"/>
          <w:szCs w:val="24"/>
        </w:rPr>
        <w:t>,</w:t>
      </w:r>
      <w:r w:rsidR="24FC145F" w:rsidRPr="00583958">
        <w:rPr>
          <w:rFonts w:ascii="Georgia" w:hAnsi="Georgia" w:cs="Arial"/>
          <w:sz w:val="24"/>
          <w:szCs w:val="24"/>
        </w:rPr>
        <w:t xml:space="preserve"> </w:t>
      </w:r>
      <w:r w:rsidR="0AC48556" w:rsidRPr="00583958">
        <w:rPr>
          <w:rFonts w:ascii="Georgia" w:hAnsi="Georgia" w:cs="Arial"/>
          <w:sz w:val="24"/>
          <w:szCs w:val="24"/>
        </w:rPr>
        <w:t xml:space="preserve">2. </w:t>
      </w:r>
      <w:r w:rsidR="24FC145F" w:rsidRPr="00583958">
        <w:rPr>
          <w:rFonts w:ascii="Georgia" w:hAnsi="Georgia" w:cs="Arial"/>
          <w:sz w:val="24"/>
          <w:szCs w:val="24"/>
        </w:rPr>
        <w:t>presentación de la sustentación)</w:t>
      </w:r>
      <w:r w:rsidR="5AB8B607" w:rsidRPr="00583958">
        <w:rPr>
          <w:rFonts w:ascii="Georgia" w:hAnsi="Georgia" w:cs="Arial"/>
          <w:sz w:val="24"/>
          <w:szCs w:val="24"/>
        </w:rPr>
        <w:t xml:space="preserve"> </w:t>
      </w:r>
      <w:r w:rsidR="24FC145F" w:rsidRPr="00583958">
        <w:rPr>
          <w:rFonts w:ascii="Georgia" w:hAnsi="Georgia" w:cs="Arial"/>
          <w:sz w:val="24"/>
          <w:szCs w:val="24"/>
          <w:u w:val="single"/>
        </w:rPr>
        <w:t>es novedad traída por el nuevo estatuto, vigente desde 2016 en todo el territorio nacional.</w:t>
      </w:r>
    </w:p>
    <w:p w14:paraId="120D3AC8" w14:textId="77777777" w:rsidR="009560CF" w:rsidRPr="00583958" w:rsidRDefault="009560CF" w:rsidP="005853EA">
      <w:pPr>
        <w:pStyle w:val="Cuerpodeltexto0"/>
        <w:shd w:val="clear" w:color="auto" w:fill="auto"/>
        <w:spacing w:after="0" w:line="276" w:lineRule="auto"/>
        <w:rPr>
          <w:rFonts w:ascii="Georgia" w:hAnsi="Georgia" w:cs="Arial"/>
          <w:sz w:val="24"/>
          <w:szCs w:val="24"/>
        </w:rPr>
      </w:pPr>
    </w:p>
    <w:p w14:paraId="674BED51" w14:textId="5FBDC90A" w:rsidR="009560CF" w:rsidRPr="00583958" w:rsidRDefault="25399F60" w:rsidP="005853EA">
      <w:pPr>
        <w:pStyle w:val="Cuerpodeltexto0"/>
        <w:shd w:val="clear" w:color="auto" w:fill="auto"/>
        <w:spacing w:after="0" w:line="276" w:lineRule="auto"/>
        <w:rPr>
          <w:rFonts w:ascii="Georgia" w:hAnsi="Georgia" w:cs="Arial"/>
          <w:sz w:val="24"/>
          <w:szCs w:val="24"/>
        </w:rPr>
      </w:pPr>
      <w:r w:rsidRPr="00583958">
        <w:rPr>
          <w:rFonts w:ascii="Georgia" w:hAnsi="Georgia" w:cs="Arial"/>
          <w:sz w:val="24"/>
          <w:szCs w:val="24"/>
        </w:rPr>
        <w:t>E</w:t>
      </w:r>
      <w:r w:rsidR="009560CF" w:rsidRPr="00583958">
        <w:rPr>
          <w:rFonts w:ascii="Georgia" w:hAnsi="Georgia" w:cs="Arial"/>
          <w:sz w:val="24"/>
          <w:szCs w:val="24"/>
        </w:rPr>
        <w:t xml:space="preserve">jecutoriado el proveído admisorio, quedaba impuesta la carga a la recurrente, en otras palabras, al ser inexistente algún cuestionamiento contra la decisión admisoria, fechada 06-04-2021, </w:t>
      </w:r>
      <w:r w:rsidR="4CBC8BD5" w:rsidRPr="00583958">
        <w:rPr>
          <w:rFonts w:ascii="Georgia" w:hAnsi="Georgia" w:cs="Arial"/>
          <w:sz w:val="24"/>
          <w:szCs w:val="24"/>
        </w:rPr>
        <w:t xml:space="preserve">subseguía atender </w:t>
      </w:r>
      <w:r w:rsidR="009560CF" w:rsidRPr="00583958">
        <w:rPr>
          <w:rFonts w:ascii="Georgia" w:hAnsi="Georgia" w:cs="Arial"/>
          <w:sz w:val="24"/>
          <w:szCs w:val="24"/>
        </w:rPr>
        <w:t xml:space="preserve">la obligación </w:t>
      </w:r>
      <w:r w:rsidR="79F33EFF" w:rsidRPr="00583958">
        <w:rPr>
          <w:rFonts w:ascii="Georgia" w:hAnsi="Georgia" w:cs="Arial"/>
          <w:sz w:val="24"/>
          <w:szCs w:val="24"/>
        </w:rPr>
        <w:t xml:space="preserve">de </w:t>
      </w:r>
      <w:r w:rsidR="009560CF" w:rsidRPr="00583958">
        <w:rPr>
          <w:rFonts w:ascii="Georgia" w:hAnsi="Georgia" w:cs="Arial"/>
          <w:b/>
          <w:bCs/>
          <w:sz w:val="24"/>
          <w:szCs w:val="24"/>
        </w:rPr>
        <w:t xml:space="preserve">sustentar </w:t>
      </w:r>
      <w:r w:rsidR="009560CF" w:rsidRPr="00583958">
        <w:rPr>
          <w:rFonts w:ascii="Georgia" w:hAnsi="Georgia" w:cs="Arial"/>
          <w:sz w:val="24"/>
          <w:szCs w:val="24"/>
        </w:rPr>
        <w:t xml:space="preserve">(Artículo 118, CGP). </w:t>
      </w:r>
      <w:r w:rsidR="579589EB" w:rsidRPr="00583958">
        <w:rPr>
          <w:rFonts w:ascii="Georgia" w:hAnsi="Georgia" w:cs="Arial"/>
          <w:sz w:val="24"/>
          <w:szCs w:val="24"/>
        </w:rPr>
        <w:t>I</w:t>
      </w:r>
      <w:r w:rsidR="009560CF" w:rsidRPr="00583958">
        <w:rPr>
          <w:rFonts w:ascii="Georgia" w:hAnsi="Georgia" w:cs="Arial"/>
          <w:sz w:val="24"/>
          <w:szCs w:val="24"/>
        </w:rPr>
        <w:t xml:space="preserve">nnecesario </w:t>
      </w:r>
      <w:r w:rsidR="745F85BD" w:rsidRPr="00583958">
        <w:rPr>
          <w:rFonts w:ascii="Georgia" w:hAnsi="Georgia" w:cs="Arial"/>
          <w:sz w:val="24"/>
          <w:szCs w:val="24"/>
        </w:rPr>
        <w:t xml:space="preserve">es, </w:t>
      </w:r>
      <w:r w:rsidR="009560CF" w:rsidRPr="00583958">
        <w:rPr>
          <w:rFonts w:ascii="Georgia" w:hAnsi="Georgia" w:cs="Arial"/>
          <w:sz w:val="24"/>
          <w:szCs w:val="24"/>
        </w:rPr>
        <w:t>como entiende la interesada que, expresamente se le corriera traslado.</w:t>
      </w:r>
    </w:p>
    <w:p w14:paraId="5A56E0EE" w14:textId="77777777" w:rsidR="009560CF" w:rsidRPr="00583958" w:rsidRDefault="009560CF" w:rsidP="005853EA">
      <w:pPr>
        <w:pStyle w:val="Cuerpodeltexto0"/>
        <w:shd w:val="clear" w:color="auto" w:fill="auto"/>
        <w:spacing w:after="0" w:line="276" w:lineRule="auto"/>
        <w:rPr>
          <w:rFonts w:ascii="Georgia" w:hAnsi="Georgia" w:cs="Arial"/>
          <w:sz w:val="24"/>
          <w:szCs w:val="24"/>
        </w:rPr>
      </w:pPr>
    </w:p>
    <w:p w14:paraId="3AD728A7" w14:textId="3C893A3E" w:rsidR="003D663C" w:rsidRPr="00583958" w:rsidRDefault="00C41DC2" w:rsidP="005853EA">
      <w:pPr>
        <w:pStyle w:val="Sinespaciado"/>
        <w:spacing w:line="276" w:lineRule="auto"/>
        <w:jc w:val="both"/>
        <w:rPr>
          <w:rFonts w:ascii="Georgia" w:hAnsi="Georgia" w:cs="Arial"/>
        </w:rPr>
      </w:pPr>
      <w:r w:rsidRPr="00583958">
        <w:rPr>
          <w:rFonts w:ascii="Georgia" w:hAnsi="Georgia" w:cs="Arial"/>
        </w:rPr>
        <w:t>Corolario de lo expuesto</w:t>
      </w:r>
      <w:r w:rsidR="003D663C" w:rsidRPr="00583958">
        <w:rPr>
          <w:rFonts w:ascii="Georgia" w:hAnsi="Georgia" w:cs="Arial"/>
        </w:rPr>
        <w:t xml:space="preserve">, </w:t>
      </w:r>
      <w:r w:rsidR="00FC71C5" w:rsidRPr="00583958">
        <w:rPr>
          <w:rFonts w:ascii="Georgia" w:hAnsi="Georgia" w:cs="Arial"/>
        </w:rPr>
        <w:t>no se repondrá el auto que declaró la deserción del recurso de apelación en contra del fallo de primer grado</w:t>
      </w:r>
      <w:r w:rsidR="00F640A5" w:rsidRPr="00583958">
        <w:rPr>
          <w:rFonts w:ascii="Georgia" w:hAnsi="Georgia" w:cs="Arial"/>
        </w:rPr>
        <w:t>.</w:t>
      </w:r>
    </w:p>
    <w:p w14:paraId="01F82898" w14:textId="2839F309" w:rsidR="00003A98" w:rsidRPr="00583958" w:rsidRDefault="00003A98" w:rsidP="005853EA">
      <w:pPr>
        <w:pStyle w:val="Sinespaciado"/>
        <w:spacing w:line="276" w:lineRule="auto"/>
        <w:jc w:val="both"/>
        <w:rPr>
          <w:rFonts w:ascii="Georgia" w:hAnsi="Georgia" w:cs="Arial"/>
        </w:rPr>
      </w:pPr>
    </w:p>
    <w:p w14:paraId="7C2AC01C" w14:textId="627B8576" w:rsidR="008C4F68" w:rsidRPr="00583958" w:rsidRDefault="008C4F68" w:rsidP="005853EA">
      <w:pPr>
        <w:pStyle w:val="Prrafodelista"/>
        <w:numPr>
          <w:ilvl w:val="0"/>
          <w:numId w:val="15"/>
        </w:numPr>
        <w:spacing w:line="276" w:lineRule="auto"/>
        <w:jc w:val="both"/>
        <w:rPr>
          <w:rFonts w:ascii="Georgia" w:hAnsi="Georgia" w:cs="Arial"/>
          <w:b/>
          <w:smallCaps/>
          <w:sz w:val="24"/>
          <w:szCs w:val="24"/>
        </w:rPr>
      </w:pPr>
      <w:r w:rsidRPr="00583958">
        <w:rPr>
          <w:rFonts w:ascii="Georgia" w:hAnsi="Georgia" w:cs="Arial"/>
          <w:b/>
          <w:smallCaps/>
          <w:sz w:val="24"/>
          <w:szCs w:val="24"/>
        </w:rPr>
        <w:lastRenderedPageBreak/>
        <w:t>Las decisiones finales</w:t>
      </w:r>
    </w:p>
    <w:p w14:paraId="7C2AC01D" w14:textId="0187F181" w:rsidR="008C4F68" w:rsidRPr="00583958" w:rsidRDefault="008C4F68" w:rsidP="005853EA">
      <w:pPr>
        <w:pStyle w:val="Textopredeterminado"/>
        <w:spacing w:line="276" w:lineRule="auto"/>
        <w:jc w:val="both"/>
        <w:rPr>
          <w:rFonts w:ascii="Georgia" w:hAnsi="Georgia" w:cs="Arial"/>
          <w:color w:val="auto"/>
          <w:szCs w:val="24"/>
        </w:rPr>
      </w:pPr>
    </w:p>
    <w:p w14:paraId="7C2AC01E" w14:textId="7A8FD1B4" w:rsidR="008C4F68" w:rsidRPr="00583958" w:rsidRDefault="008C4F68" w:rsidP="005853EA">
      <w:pPr>
        <w:pStyle w:val="Textopredeterminado"/>
        <w:spacing w:line="276" w:lineRule="auto"/>
        <w:jc w:val="both"/>
        <w:rPr>
          <w:rFonts w:ascii="Georgia" w:hAnsi="Georgia" w:cs="Arial"/>
          <w:color w:val="auto"/>
          <w:szCs w:val="24"/>
        </w:rPr>
      </w:pPr>
      <w:r w:rsidRPr="00583958">
        <w:rPr>
          <w:rFonts w:ascii="Georgia" w:hAnsi="Georgia" w:cs="Arial"/>
          <w:color w:val="auto"/>
          <w:szCs w:val="24"/>
        </w:rPr>
        <w:t>Con estribo en las premisas anteriores</w:t>
      </w:r>
      <w:r w:rsidR="00B26A73" w:rsidRPr="00583958">
        <w:rPr>
          <w:rFonts w:ascii="Georgia" w:hAnsi="Georgia" w:cs="Arial"/>
          <w:color w:val="auto"/>
          <w:szCs w:val="24"/>
        </w:rPr>
        <w:t>, se dispondrá</w:t>
      </w:r>
      <w:r w:rsidRPr="00583958">
        <w:rPr>
          <w:rFonts w:ascii="Georgia" w:hAnsi="Georgia" w:cs="Arial"/>
          <w:color w:val="auto"/>
          <w:szCs w:val="24"/>
        </w:rPr>
        <w:t xml:space="preserve">: </w:t>
      </w:r>
      <w:r w:rsidRPr="00583958">
        <w:rPr>
          <w:rFonts w:ascii="Georgia" w:hAnsi="Georgia" w:cs="Arial"/>
          <w:b/>
          <w:color w:val="auto"/>
          <w:szCs w:val="24"/>
        </w:rPr>
        <w:t>(i)</w:t>
      </w:r>
      <w:r w:rsidRPr="00583958">
        <w:rPr>
          <w:rFonts w:ascii="Georgia" w:hAnsi="Georgia" w:cs="Arial"/>
          <w:color w:val="auto"/>
          <w:szCs w:val="24"/>
        </w:rPr>
        <w:t xml:space="preserve"> </w:t>
      </w:r>
      <w:r w:rsidR="00C41DC2" w:rsidRPr="00583958">
        <w:rPr>
          <w:rFonts w:ascii="Georgia" w:hAnsi="Georgia" w:cs="Arial"/>
          <w:color w:val="auto"/>
          <w:szCs w:val="24"/>
        </w:rPr>
        <w:t>No reponer el proveído que declaró l</w:t>
      </w:r>
      <w:r w:rsidR="00B26A73" w:rsidRPr="00583958">
        <w:rPr>
          <w:rFonts w:ascii="Georgia" w:hAnsi="Georgia" w:cs="Arial"/>
          <w:color w:val="auto"/>
          <w:szCs w:val="24"/>
        </w:rPr>
        <w:t>a deserción del recurso;</w:t>
      </w:r>
      <w:r w:rsidR="00797CB2" w:rsidRPr="00583958">
        <w:rPr>
          <w:rFonts w:ascii="Georgia" w:hAnsi="Georgia" w:cs="Arial"/>
          <w:color w:val="auto"/>
          <w:szCs w:val="24"/>
        </w:rPr>
        <w:t xml:space="preserve"> y, </w:t>
      </w:r>
      <w:r w:rsidR="00B26A73" w:rsidRPr="00583958">
        <w:rPr>
          <w:rFonts w:ascii="Georgia" w:hAnsi="Georgia" w:cs="Arial"/>
          <w:b/>
          <w:color w:val="auto"/>
          <w:szCs w:val="24"/>
        </w:rPr>
        <w:t>(ii)</w:t>
      </w:r>
      <w:r w:rsidR="00B26A73" w:rsidRPr="00583958">
        <w:rPr>
          <w:rFonts w:ascii="Georgia" w:hAnsi="Georgia" w:cs="Arial"/>
          <w:color w:val="auto"/>
          <w:szCs w:val="24"/>
        </w:rPr>
        <w:t xml:space="preserve"> </w:t>
      </w:r>
      <w:r w:rsidRPr="00583958">
        <w:rPr>
          <w:rFonts w:ascii="Georgia" w:hAnsi="Georgia" w:cs="Arial"/>
          <w:color w:val="auto"/>
          <w:szCs w:val="24"/>
        </w:rPr>
        <w:t xml:space="preserve">Se advertirá que esta decisión es irrecurrible </w:t>
      </w:r>
      <w:r w:rsidR="00797CB2" w:rsidRPr="00583958">
        <w:rPr>
          <w:rFonts w:ascii="Georgia" w:hAnsi="Georgia" w:cs="Arial"/>
          <w:color w:val="auto"/>
          <w:szCs w:val="24"/>
        </w:rPr>
        <w:t>(Artículo 318, CGP)</w:t>
      </w:r>
      <w:r w:rsidRPr="00583958">
        <w:rPr>
          <w:rFonts w:ascii="Georgia" w:hAnsi="Georgia" w:cs="Arial"/>
          <w:color w:val="auto"/>
          <w:szCs w:val="24"/>
        </w:rPr>
        <w:t>.</w:t>
      </w:r>
    </w:p>
    <w:p w14:paraId="02EE5987" w14:textId="77777777" w:rsidR="00173A56" w:rsidRPr="00583958" w:rsidRDefault="00173A56" w:rsidP="005853EA">
      <w:pPr>
        <w:pStyle w:val="Textopredeterminado"/>
        <w:spacing w:line="276" w:lineRule="auto"/>
        <w:jc w:val="both"/>
        <w:rPr>
          <w:rFonts w:ascii="Georgia" w:hAnsi="Georgia" w:cs="Arial"/>
          <w:color w:val="auto"/>
          <w:szCs w:val="24"/>
        </w:rPr>
      </w:pPr>
    </w:p>
    <w:p w14:paraId="7C2AC020" w14:textId="1AC1519B" w:rsidR="008C4F68" w:rsidRPr="00583958" w:rsidRDefault="008C4F68" w:rsidP="005853EA">
      <w:pPr>
        <w:suppressAutoHyphens/>
        <w:spacing w:line="276" w:lineRule="auto"/>
        <w:jc w:val="both"/>
        <w:rPr>
          <w:rFonts w:ascii="Georgia" w:hAnsi="Georgia" w:cs="Arial"/>
          <w:spacing w:val="-3"/>
          <w:sz w:val="24"/>
          <w:szCs w:val="24"/>
        </w:rPr>
      </w:pPr>
      <w:r w:rsidRPr="00583958">
        <w:rPr>
          <w:rFonts w:ascii="Georgia" w:hAnsi="Georgia" w:cs="Arial"/>
          <w:sz w:val="24"/>
          <w:szCs w:val="24"/>
        </w:rPr>
        <w:t xml:space="preserve">En mérito de lo discurrido en los acápites precedentes, el </w:t>
      </w:r>
      <w:r w:rsidRPr="00583958">
        <w:rPr>
          <w:rFonts w:ascii="Georgia" w:hAnsi="Georgia" w:cs="Arial"/>
          <w:smallCaps/>
          <w:sz w:val="24"/>
          <w:szCs w:val="24"/>
        </w:rPr>
        <w:t>Tribunal Superior del Distrito Judicial de Pereira, Sala Unitaria de Decisión</w:t>
      </w:r>
      <w:r w:rsidRPr="00583958">
        <w:rPr>
          <w:rFonts w:ascii="Georgia" w:hAnsi="Georgia" w:cs="Arial"/>
          <w:sz w:val="24"/>
          <w:szCs w:val="24"/>
        </w:rPr>
        <w:t>,</w:t>
      </w:r>
    </w:p>
    <w:p w14:paraId="58F27E0B" w14:textId="77777777" w:rsidR="00207FCF" w:rsidRPr="00583958" w:rsidRDefault="00207FCF" w:rsidP="005853EA">
      <w:pPr>
        <w:pStyle w:val="Sinespaciado"/>
        <w:spacing w:line="276" w:lineRule="auto"/>
        <w:jc w:val="center"/>
        <w:rPr>
          <w:rFonts w:ascii="Georgia" w:hAnsi="Georgia" w:cs="Arial"/>
        </w:rPr>
      </w:pPr>
    </w:p>
    <w:p w14:paraId="7C2AC022" w14:textId="47958AC1" w:rsidR="008C4F68" w:rsidRPr="00FD32C0" w:rsidRDefault="008C4F68" w:rsidP="005853EA">
      <w:pPr>
        <w:pStyle w:val="Sinespaciado"/>
        <w:spacing w:line="276" w:lineRule="auto"/>
        <w:jc w:val="center"/>
        <w:rPr>
          <w:rFonts w:ascii="Georgia" w:hAnsi="Georgia" w:cs="Arial"/>
          <w:b/>
        </w:rPr>
      </w:pPr>
      <w:r w:rsidRPr="00FD32C0">
        <w:rPr>
          <w:rFonts w:ascii="Georgia" w:hAnsi="Georgia" w:cs="Arial"/>
          <w:b/>
        </w:rPr>
        <w:t>R E S U E L V E,</w:t>
      </w:r>
    </w:p>
    <w:p w14:paraId="4EF8F67D" w14:textId="77777777" w:rsidR="002C7ABF" w:rsidRPr="00583958" w:rsidRDefault="002C7ABF" w:rsidP="005853EA">
      <w:pPr>
        <w:pStyle w:val="Sinespaciado"/>
        <w:spacing w:line="276" w:lineRule="auto"/>
        <w:jc w:val="center"/>
        <w:rPr>
          <w:rFonts w:ascii="Georgia" w:hAnsi="Georgia" w:cs="Arial"/>
        </w:rPr>
      </w:pPr>
    </w:p>
    <w:p w14:paraId="2C486A4F" w14:textId="5272C9DE" w:rsidR="00B26A73" w:rsidRPr="00583958" w:rsidRDefault="00B903F5" w:rsidP="005853EA">
      <w:pPr>
        <w:pStyle w:val="Textopredeterminado"/>
        <w:numPr>
          <w:ilvl w:val="0"/>
          <w:numId w:val="13"/>
        </w:numPr>
        <w:spacing w:line="276" w:lineRule="auto"/>
        <w:jc w:val="both"/>
        <w:rPr>
          <w:rFonts w:ascii="Georgia" w:hAnsi="Georgia" w:cs="Arial"/>
          <w:color w:val="auto"/>
          <w:szCs w:val="24"/>
        </w:rPr>
      </w:pPr>
      <w:r w:rsidRPr="00583958">
        <w:rPr>
          <w:rFonts w:ascii="Georgia" w:hAnsi="Georgia" w:cs="Arial"/>
          <w:bCs/>
          <w:color w:val="auto"/>
          <w:szCs w:val="24"/>
        </w:rPr>
        <w:t xml:space="preserve">NO REPONER </w:t>
      </w:r>
      <w:r w:rsidR="00B26A73" w:rsidRPr="00583958">
        <w:rPr>
          <w:rFonts w:ascii="Georgia" w:hAnsi="Georgia" w:cs="Arial"/>
          <w:color w:val="auto"/>
          <w:szCs w:val="24"/>
        </w:rPr>
        <w:t xml:space="preserve">el auto emitido el </w:t>
      </w:r>
      <w:r w:rsidR="00F640A5" w:rsidRPr="00583958">
        <w:rPr>
          <w:rFonts w:ascii="Georgia" w:hAnsi="Georgia" w:cs="Arial"/>
          <w:color w:val="auto"/>
          <w:szCs w:val="24"/>
        </w:rPr>
        <w:t>27</w:t>
      </w:r>
      <w:r w:rsidR="00540904" w:rsidRPr="00583958">
        <w:rPr>
          <w:rFonts w:ascii="Georgia" w:hAnsi="Georgia" w:cs="Arial"/>
          <w:color w:val="auto"/>
          <w:szCs w:val="24"/>
        </w:rPr>
        <w:t>-04-</w:t>
      </w:r>
      <w:r w:rsidR="00797CB2" w:rsidRPr="00583958">
        <w:rPr>
          <w:rFonts w:ascii="Georgia" w:hAnsi="Georgia" w:cs="Arial"/>
          <w:color w:val="auto"/>
          <w:szCs w:val="24"/>
        </w:rPr>
        <w:t xml:space="preserve">2021 </w:t>
      </w:r>
      <w:r w:rsidR="00B26A73" w:rsidRPr="00583958">
        <w:rPr>
          <w:rFonts w:ascii="Georgia" w:hAnsi="Georgia" w:cs="Arial"/>
          <w:color w:val="auto"/>
          <w:szCs w:val="24"/>
        </w:rPr>
        <w:t>que declaró desierto el recurso de apelación contra la sentencia de primer grado.</w:t>
      </w:r>
    </w:p>
    <w:p w14:paraId="7C2AC025" w14:textId="45A50D59" w:rsidR="00C12249" w:rsidRPr="00583958" w:rsidRDefault="00C12249" w:rsidP="005853EA">
      <w:pPr>
        <w:pStyle w:val="Textopredeterminado"/>
        <w:spacing w:line="276" w:lineRule="auto"/>
        <w:ind w:left="360"/>
        <w:jc w:val="both"/>
        <w:rPr>
          <w:rFonts w:ascii="Georgia" w:hAnsi="Georgia" w:cs="Arial"/>
          <w:color w:val="auto"/>
          <w:szCs w:val="24"/>
        </w:rPr>
      </w:pPr>
    </w:p>
    <w:p w14:paraId="7C2AC026" w14:textId="0250EE6B" w:rsidR="000E1027" w:rsidRPr="00583958" w:rsidRDefault="008C4F68" w:rsidP="005853EA">
      <w:pPr>
        <w:pStyle w:val="Textopredeterminado"/>
        <w:numPr>
          <w:ilvl w:val="0"/>
          <w:numId w:val="12"/>
        </w:numPr>
        <w:spacing w:line="276" w:lineRule="auto"/>
        <w:jc w:val="both"/>
        <w:textAlignment w:val="baseline"/>
        <w:rPr>
          <w:rFonts w:ascii="Georgia" w:hAnsi="Georgia" w:cs="Arial"/>
          <w:color w:val="auto"/>
          <w:szCs w:val="24"/>
        </w:rPr>
      </w:pPr>
      <w:r w:rsidRPr="00583958">
        <w:rPr>
          <w:rFonts w:ascii="Georgia" w:hAnsi="Georgia" w:cs="Arial"/>
          <w:color w:val="auto"/>
          <w:szCs w:val="24"/>
        </w:rPr>
        <w:t>ADVERTIR que esta decisión es irrecurrible.</w:t>
      </w:r>
    </w:p>
    <w:p w14:paraId="7C2AC027" w14:textId="6BE116F7" w:rsidR="005776F2" w:rsidRPr="00583958" w:rsidRDefault="005776F2" w:rsidP="005853EA">
      <w:pPr>
        <w:spacing w:line="276" w:lineRule="auto"/>
        <w:jc w:val="center"/>
        <w:rPr>
          <w:rFonts w:ascii="Georgia" w:hAnsi="Georgia" w:cs="Arial"/>
          <w:smallCaps/>
          <w:sz w:val="24"/>
          <w:szCs w:val="24"/>
        </w:rPr>
      </w:pPr>
    </w:p>
    <w:p w14:paraId="4509A01A" w14:textId="77777777" w:rsidR="005853EA" w:rsidRPr="005853EA" w:rsidRDefault="005853EA" w:rsidP="005853EA">
      <w:pPr>
        <w:spacing w:line="276" w:lineRule="auto"/>
        <w:ind w:left="360"/>
        <w:contextualSpacing/>
        <w:jc w:val="center"/>
        <w:rPr>
          <w:rFonts w:ascii="Georgia" w:hAnsi="Georgia" w:cs="Arial"/>
          <w:smallCaps/>
          <w:sz w:val="24"/>
          <w:szCs w:val="24"/>
        </w:rPr>
      </w:pPr>
      <w:r w:rsidRPr="005853EA">
        <w:rPr>
          <w:rFonts w:ascii="Georgia" w:hAnsi="Georgia" w:cs="Arial"/>
          <w:smallCaps/>
          <w:sz w:val="24"/>
          <w:szCs w:val="24"/>
        </w:rPr>
        <w:t>Notifíquese,</w:t>
      </w:r>
    </w:p>
    <w:p w14:paraId="1D4FF072" w14:textId="77777777" w:rsidR="005853EA" w:rsidRPr="005853EA" w:rsidRDefault="005853EA" w:rsidP="005853EA">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1EC80794" w14:textId="77777777" w:rsidR="005853EA" w:rsidRPr="005853EA" w:rsidRDefault="005853EA" w:rsidP="005853EA">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7AD77B26" w14:textId="77777777" w:rsidR="005853EA" w:rsidRPr="005853EA" w:rsidRDefault="005853EA" w:rsidP="005853EA">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379C5E76" w14:textId="77777777" w:rsidR="005853EA" w:rsidRPr="005853EA" w:rsidRDefault="005853EA" w:rsidP="005853EA">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r w:rsidRPr="005853EA">
        <w:rPr>
          <w:rFonts w:ascii="Georgia" w:hAnsi="Georgia" w:cs="Arial"/>
          <w:caps/>
          <w:spacing w:val="20"/>
          <w:w w:val="150"/>
          <w:sz w:val="24"/>
          <w:szCs w:val="24"/>
          <w:lang w:val="es-MX"/>
        </w:rPr>
        <w:t>DUBERNEY GRISALES HERRERA</w:t>
      </w:r>
    </w:p>
    <w:p w14:paraId="191F1FE2" w14:textId="38620108" w:rsidR="00C23F40" w:rsidRPr="00583958" w:rsidRDefault="005853EA" w:rsidP="005853EA">
      <w:pPr>
        <w:spacing w:line="276" w:lineRule="auto"/>
        <w:ind w:left="360"/>
        <w:jc w:val="center"/>
        <w:rPr>
          <w:rFonts w:ascii="Georgia" w:hAnsi="Georgia"/>
          <w:i/>
          <w:w w:val="150"/>
          <w:sz w:val="24"/>
          <w:szCs w:val="24"/>
          <w:lang w:val="es-CO"/>
        </w:rPr>
      </w:pPr>
      <w:r w:rsidRPr="005853EA">
        <w:rPr>
          <w:rFonts w:ascii="Georgia" w:hAnsi="Georgia" w:cs="Arial"/>
          <w:caps/>
          <w:spacing w:val="20"/>
          <w:w w:val="150"/>
          <w:sz w:val="24"/>
          <w:szCs w:val="24"/>
        </w:rPr>
        <w:t>Magistrado</w:t>
      </w:r>
    </w:p>
    <w:sectPr w:rsidR="00C23F40" w:rsidRPr="00583958" w:rsidSect="005A6C3C">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24CA" w14:textId="77777777" w:rsidR="001709A1" w:rsidRDefault="001709A1" w:rsidP="009A1240">
      <w:r>
        <w:separator/>
      </w:r>
    </w:p>
  </w:endnote>
  <w:endnote w:type="continuationSeparator" w:id="0">
    <w:p w14:paraId="59ED8F68" w14:textId="77777777" w:rsidR="001709A1" w:rsidRDefault="001709A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D9FE" w14:textId="77777777" w:rsidR="001709A1" w:rsidRDefault="001709A1" w:rsidP="009A1240">
      <w:r>
        <w:separator/>
      </w:r>
    </w:p>
  </w:footnote>
  <w:footnote w:type="continuationSeparator" w:id="0">
    <w:p w14:paraId="3A45C83D" w14:textId="77777777" w:rsidR="001709A1" w:rsidRDefault="001709A1" w:rsidP="009A1240">
      <w:r>
        <w:continuationSeparator/>
      </w:r>
    </w:p>
  </w:footnote>
  <w:footnote w:id="1">
    <w:p w14:paraId="05FD2CAA" w14:textId="77777777" w:rsidR="008C16FC" w:rsidRPr="00505315" w:rsidRDefault="008C16F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cs="Calibri"/>
          <w:sz w:val="22"/>
          <w:szCs w:val="22"/>
          <w:lang w:val="es-CO"/>
        </w:rPr>
        <w:t>FORERO S., Jorge. Actividad probatoria en la segunda instancia. Memorias del XXIX Congreso de derecho Procesal, 2018, ICDP, p.307 ss.</w:t>
      </w:r>
    </w:p>
  </w:footnote>
  <w:footnote w:id="2">
    <w:p w14:paraId="5CA71AEC" w14:textId="77777777" w:rsidR="008C16FC" w:rsidRPr="00505315" w:rsidRDefault="008C16F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ESCOBAR V. Édgar G. Los recursos en el Código General del Proceso. Librería jurídica Sánchez R. Ltda. 2015, p.37.</w:t>
      </w:r>
    </w:p>
  </w:footnote>
  <w:footnote w:id="3">
    <w:p w14:paraId="11C0AD2C" w14:textId="77777777" w:rsidR="008C16FC" w:rsidRPr="00505315" w:rsidRDefault="008C16FC" w:rsidP="00505315">
      <w:pPr>
        <w:pStyle w:val="Textonotapie"/>
        <w:jc w:val="both"/>
        <w:rPr>
          <w:rFonts w:ascii="Century" w:hAnsi="Century"/>
          <w:sz w:val="22"/>
          <w:szCs w:val="22"/>
        </w:rPr>
      </w:pPr>
      <w:r w:rsidRPr="00505315">
        <w:rPr>
          <w:rFonts w:ascii="Century" w:hAnsi="Century"/>
          <w:sz w:val="22"/>
          <w:szCs w:val="22"/>
          <w:vertAlign w:val="superscript"/>
        </w:rPr>
        <w:footnoteRef/>
      </w:r>
      <w:r w:rsidRPr="00505315">
        <w:rPr>
          <w:rFonts w:ascii="Century" w:hAnsi="Century"/>
          <w:sz w:val="22"/>
          <w:szCs w:val="22"/>
        </w:rPr>
        <w:t xml:space="preserve"> </w:t>
      </w:r>
      <w:r w:rsidRPr="00505315">
        <w:rPr>
          <w:rFonts w:ascii="Century" w:hAnsi="Century"/>
          <w:sz w:val="22"/>
          <w:szCs w:val="22"/>
          <w:lang w:val="es-CO"/>
        </w:rPr>
        <w:t>LÓPEZ B., Hernán F. Código General del Proceso, parte general, Bogotá DC, Dupre editores, 2016, p.769-776</w:t>
      </w:r>
      <w:r w:rsidRPr="00505315">
        <w:rPr>
          <w:rFonts w:ascii="Century" w:hAnsi="Century"/>
          <w:sz w:val="22"/>
          <w:szCs w:val="22"/>
        </w:rPr>
        <w:t>.</w:t>
      </w:r>
    </w:p>
  </w:footnote>
  <w:footnote w:id="4">
    <w:p w14:paraId="27C037DE" w14:textId="77777777" w:rsidR="008C16FC" w:rsidRPr="00505315" w:rsidRDefault="008C16FC" w:rsidP="00505315">
      <w:pPr>
        <w:pStyle w:val="Textonotapie"/>
        <w:jc w:val="both"/>
        <w:rPr>
          <w:rFonts w:ascii="Century" w:hAnsi="Century"/>
          <w:sz w:val="22"/>
          <w:szCs w:val="22"/>
        </w:rPr>
      </w:pPr>
      <w:r w:rsidRPr="00505315">
        <w:rPr>
          <w:rFonts w:ascii="Century" w:hAnsi="Century"/>
          <w:sz w:val="22"/>
          <w:szCs w:val="22"/>
          <w:vertAlign w:val="superscript"/>
        </w:rPr>
        <w:footnoteRef/>
      </w:r>
      <w:r w:rsidRPr="00505315">
        <w:rPr>
          <w:rFonts w:ascii="Century" w:hAnsi="Century"/>
          <w:sz w:val="22"/>
          <w:szCs w:val="22"/>
        </w:rPr>
        <w:t xml:space="preserve"> PARRA Q., Jairo. Derecho procesal civil, tomo I, Santafé de Bogotá D.C., Temis, 1992, p.276.</w:t>
      </w:r>
    </w:p>
  </w:footnote>
  <w:footnote w:id="5">
    <w:p w14:paraId="142C130C" w14:textId="77777777" w:rsidR="008C16FC" w:rsidRPr="00505315" w:rsidRDefault="008C16FC" w:rsidP="00505315">
      <w:pPr>
        <w:pStyle w:val="Sinespaciado"/>
        <w:jc w:val="both"/>
        <w:rPr>
          <w:rFonts w:ascii="Century" w:hAnsi="Century"/>
          <w:sz w:val="22"/>
          <w:szCs w:val="22"/>
        </w:rPr>
      </w:pPr>
      <w:r w:rsidRPr="00505315">
        <w:rPr>
          <w:rFonts w:ascii="Century" w:hAnsi="Century"/>
          <w:sz w:val="22"/>
          <w:szCs w:val="22"/>
          <w:vertAlign w:val="superscript"/>
        </w:rPr>
        <w:footnoteRef/>
      </w:r>
      <w:r w:rsidRPr="00505315">
        <w:rPr>
          <w:rFonts w:ascii="Century" w:hAnsi="Century"/>
          <w:sz w:val="22"/>
          <w:szCs w:val="22"/>
        </w:rPr>
        <w:t xml:space="preserve"> </w:t>
      </w:r>
      <w:r w:rsidRPr="00505315">
        <w:rPr>
          <w:rFonts w:ascii="Century" w:hAnsi="Century"/>
          <w:sz w:val="22"/>
          <w:szCs w:val="22"/>
          <w:lang w:val="es-CO"/>
        </w:rPr>
        <w:t xml:space="preserve">LÓPEZ B., Hernán F. </w:t>
      </w:r>
      <w:r w:rsidRPr="00505315">
        <w:rPr>
          <w:rFonts w:ascii="Century" w:hAnsi="Century"/>
          <w:sz w:val="22"/>
          <w:szCs w:val="22"/>
        </w:rPr>
        <w:t>Ob. cit., p.769.</w:t>
      </w:r>
    </w:p>
  </w:footnote>
  <w:footnote w:id="6">
    <w:p w14:paraId="79E36D33" w14:textId="4922A27D" w:rsidR="008C16FC" w:rsidRPr="00505315" w:rsidRDefault="008C16F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ROJAS G., Miguel E. Lecciones de derecho procesal, procedimiento civil, tomo II, ESAJU, 20</w:t>
      </w:r>
      <w:r w:rsidR="00164689" w:rsidRPr="00505315">
        <w:rPr>
          <w:rFonts w:ascii="Century" w:hAnsi="Century"/>
          <w:sz w:val="22"/>
          <w:szCs w:val="22"/>
          <w:lang w:val="es-CO"/>
        </w:rPr>
        <w:t>20</w:t>
      </w:r>
      <w:r w:rsidRPr="00505315">
        <w:rPr>
          <w:rFonts w:ascii="Century" w:hAnsi="Century"/>
          <w:sz w:val="22"/>
          <w:szCs w:val="22"/>
          <w:lang w:val="es-CO"/>
        </w:rPr>
        <w:t xml:space="preserve">, </w:t>
      </w:r>
      <w:r w:rsidR="00164689" w:rsidRPr="00505315">
        <w:rPr>
          <w:rFonts w:ascii="Century" w:hAnsi="Century"/>
          <w:sz w:val="22"/>
          <w:szCs w:val="22"/>
          <w:lang w:val="es-CO"/>
        </w:rPr>
        <w:t>7</w:t>
      </w:r>
      <w:r w:rsidRPr="00505315">
        <w:rPr>
          <w:rFonts w:ascii="Century" w:hAnsi="Century"/>
          <w:sz w:val="22"/>
          <w:szCs w:val="22"/>
          <w:lang w:val="es-CO"/>
        </w:rPr>
        <w:t>ª edición, Bogotá, p.4</w:t>
      </w:r>
      <w:r w:rsidR="00164689" w:rsidRPr="00505315">
        <w:rPr>
          <w:rFonts w:ascii="Century" w:hAnsi="Century"/>
          <w:sz w:val="22"/>
          <w:szCs w:val="22"/>
          <w:lang w:val="es-CO"/>
        </w:rPr>
        <w:t>68</w:t>
      </w:r>
      <w:r w:rsidRPr="00505315">
        <w:rPr>
          <w:rFonts w:ascii="Century" w:hAnsi="Century"/>
          <w:sz w:val="22"/>
          <w:szCs w:val="22"/>
          <w:lang w:val="es-CO"/>
        </w:rPr>
        <w:t>.</w:t>
      </w:r>
    </w:p>
  </w:footnote>
  <w:footnote w:id="7">
    <w:p w14:paraId="24E1466C" w14:textId="77777777" w:rsidR="008C16FC" w:rsidRPr="00505315" w:rsidRDefault="008C16F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CSJ. Sala Civil. Sentencia del 17-09-1992; MP: Ospina B.</w:t>
      </w:r>
    </w:p>
  </w:footnote>
  <w:footnote w:id="8">
    <w:p w14:paraId="715771AD" w14:textId="77777777" w:rsidR="008C16FC" w:rsidRPr="00505315" w:rsidRDefault="008C16F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CSJ. STC-12737-2017.</w:t>
      </w:r>
    </w:p>
  </w:footnote>
  <w:footnote w:id="9">
    <w:p w14:paraId="07A2D204"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LÓPEZ B., Hernán F.</w:t>
      </w:r>
      <w:r w:rsidRPr="00505315">
        <w:rPr>
          <w:rFonts w:ascii="Century" w:hAnsi="Century"/>
          <w:sz w:val="22"/>
          <w:szCs w:val="22"/>
        </w:rPr>
        <w:t xml:space="preserve"> Ob. cit., p.776.</w:t>
      </w:r>
    </w:p>
  </w:footnote>
  <w:footnote w:id="10">
    <w:p w14:paraId="0C5F8CBE"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ROJAS G., Miguel E. Código General del Proceso comentado, ESAJU, 2017, Bogotá DC, p.511.</w:t>
      </w:r>
    </w:p>
  </w:footnote>
  <w:footnote w:id="11">
    <w:p w14:paraId="6DD7927F"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ESCOBAR V. Édgar G. Ob. Cit., p.75.</w:t>
      </w:r>
    </w:p>
  </w:footnote>
  <w:footnote w:id="12">
    <w:p w14:paraId="021BF499" w14:textId="2E5C9F73" w:rsidR="003D663C" w:rsidRPr="00505315" w:rsidRDefault="003D663C" w:rsidP="00505315">
      <w:pPr>
        <w:pStyle w:val="Textonotapie"/>
        <w:jc w:val="both"/>
        <w:rPr>
          <w:rFonts w:ascii="Century" w:hAnsi="Century"/>
          <w:sz w:val="22"/>
          <w:szCs w:val="22"/>
        </w:rPr>
      </w:pPr>
      <w:r w:rsidRPr="00505315">
        <w:rPr>
          <w:rStyle w:val="Refdenotaalpie"/>
          <w:rFonts w:ascii="Century" w:hAnsi="Century" w:cs="Calibri"/>
          <w:sz w:val="22"/>
          <w:szCs w:val="22"/>
        </w:rPr>
        <w:footnoteRef/>
      </w:r>
      <w:r w:rsidRPr="00505315">
        <w:rPr>
          <w:rFonts w:ascii="Century" w:hAnsi="Century" w:cs="Calibri"/>
          <w:sz w:val="22"/>
          <w:szCs w:val="22"/>
        </w:rPr>
        <w:t xml:space="preserve"> ROJAS G</w:t>
      </w:r>
      <w:r w:rsidR="009D4966">
        <w:rPr>
          <w:rFonts w:ascii="Century" w:hAnsi="Century" w:cs="Calibri"/>
          <w:sz w:val="22"/>
          <w:szCs w:val="22"/>
        </w:rPr>
        <w:t>.</w:t>
      </w:r>
      <w:r w:rsidRPr="00505315">
        <w:rPr>
          <w:rFonts w:ascii="Century" w:hAnsi="Century" w:cs="Calibri"/>
          <w:sz w:val="22"/>
          <w:szCs w:val="22"/>
        </w:rPr>
        <w:t>, Miguel E</w:t>
      </w:r>
      <w:r w:rsidR="009D4966">
        <w:rPr>
          <w:rFonts w:ascii="Century" w:hAnsi="Century" w:cs="Calibri"/>
          <w:sz w:val="22"/>
          <w:szCs w:val="22"/>
        </w:rPr>
        <w:t>.</w:t>
      </w:r>
      <w:r w:rsidRPr="00505315">
        <w:rPr>
          <w:rFonts w:ascii="Century" w:hAnsi="Century" w:cs="Calibri"/>
          <w:sz w:val="22"/>
          <w:szCs w:val="22"/>
        </w:rPr>
        <w:t xml:space="preserve"> </w:t>
      </w:r>
      <w:r w:rsidR="00E15A72" w:rsidRPr="00505315">
        <w:rPr>
          <w:rFonts w:ascii="Century" w:hAnsi="Century"/>
          <w:sz w:val="22"/>
          <w:szCs w:val="22"/>
          <w:lang w:val="es-CO"/>
        </w:rPr>
        <w:t>Lecciones de derecho procesal, procedimiento civil, tomo II, ESAJU, 2020, 7ª edición, Bogotá, p.496</w:t>
      </w:r>
      <w:r w:rsidRPr="00505315">
        <w:rPr>
          <w:rFonts w:ascii="Century" w:hAnsi="Century" w:cs="Calibri"/>
          <w:sz w:val="22"/>
          <w:szCs w:val="22"/>
        </w:rPr>
        <w:t>.</w:t>
      </w:r>
    </w:p>
  </w:footnote>
  <w:footnote w:id="13">
    <w:p w14:paraId="058338C6"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PELÁEZ H., Ramón A. La oralidad en el proceso civil, Ediciones Nueva Jurídica, 2ª edición, 2015, Bogotá DC, P.71.</w:t>
      </w:r>
    </w:p>
  </w:footnote>
  <w:footnote w:id="14">
    <w:p w14:paraId="1625B756" w14:textId="2C501201"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 xml:space="preserve">ROJAS G., Miguel E. </w:t>
      </w:r>
      <w:r w:rsidR="00E15A72">
        <w:rPr>
          <w:rFonts w:ascii="Century" w:hAnsi="Century"/>
          <w:sz w:val="22"/>
          <w:szCs w:val="22"/>
          <w:lang w:val="es-CO"/>
        </w:rPr>
        <w:t>Ob. cit.</w:t>
      </w:r>
      <w:r w:rsidRPr="00505315">
        <w:rPr>
          <w:rFonts w:ascii="Century" w:hAnsi="Century"/>
          <w:sz w:val="22"/>
          <w:szCs w:val="22"/>
          <w:lang w:val="es-CO"/>
        </w:rPr>
        <w:t>, p.496</w:t>
      </w:r>
      <w:r w:rsidRPr="00505315">
        <w:rPr>
          <w:rFonts w:ascii="Century" w:hAnsi="Century" w:cs="Calibri"/>
          <w:sz w:val="22"/>
          <w:szCs w:val="22"/>
        </w:rPr>
        <w:t>.</w:t>
      </w:r>
    </w:p>
  </w:footnote>
  <w:footnote w:id="15">
    <w:p w14:paraId="3FF71994"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cs="Arial"/>
          <w:bCs/>
          <w:iCs/>
          <w:sz w:val="22"/>
          <w:szCs w:val="22"/>
        </w:rPr>
        <w:t>CSJ</w:t>
      </w:r>
      <w:bookmarkStart w:id="6" w:name="_Hlk485099566"/>
      <w:r w:rsidRPr="00505315">
        <w:rPr>
          <w:rFonts w:ascii="Century" w:hAnsi="Century" w:cs="Arial"/>
          <w:bCs/>
          <w:iCs/>
          <w:sz w:val="22"/>
          <w:szCs w:val="22"/>
        </w:rPr>
        <w:t xml:space="preserve">. STC248-2020, </w:t>
      </w:r>
      <w:r w:rsidRPr="00505315">
        <w:rPr>
          <w:rFonts w:ascii="Century" w:hAnsi="Century"/>
          <w:color w:val="000000"/>
          <w:sz w:val="22"/>
          <w:szCs w:val="22"/>
          <w:shd w:val="clear" w:color="auto" w:fill="FFFFFF"/>
        </w:rPr>
        <w:t>STC17303-2019</w:t>
      </w:r>
      <w:r w:rsidRPr="00505315">
        <w:rPr>
          <w:rFonts w:ascii="Century" w:hAnsi="Century" w:cs="Arial"/>
          <w:bCs/>
          <w:iCs/>
          <w:sz w:val="22"/>
          <w:szCs w:val="22"/>
        </w:rPr>
        <w:t xml:space="preserve">, </w:t>
      </w:r>
      <w:r w:rsidRPr="00505315">
        <w:rPr>
          <w:rFonts w:ascii="Century" w:hAnsi="Century"/>
          <w:color w:val="000000"/>
          <w:sz w:val="22"/>
          <w:szCs w:val="22"/>
          <w:shd w:val="clear" w:color="auto" w:fill="FFFFFF"/>
        </w:rPr>
        <w:t>STC13787-2019, STC11914-2018, STC21385-2017, STC18088-2017,</w:t>
      </w:r>
      <w:r w:rsidRPr="00505315">
        <w:rPr>
          <w:rFonts w:ascii="Century" w:hAnsi="Century" w:cs="Arial"/>
          <w:bCs/>
          <w:iCs/>
          <w:sz w:val="22"/>
          <w:szCs w:val="22"/>
        </w:rPr>
        <w:t xml:space="preserve"> </w:t>
      </w:r>
      <w:bookmarkEnd w:id="6"/>
      <w:r w:rsidRPr="00505315">
        <w:rPr>
          <w:rFonts w:ascii="Century" w:hAnsi="Century" w:cs="Arial"/>
          <w:bCs/>
          <w:iCs/>
          <w:sz w:val="22"/>
          <w:szCs w:val="22"/>
        </w:rPr>
        <w:t xml:space="preserve">STC6055-2017, </w:t>
      </w:r>
      <w:r w:rsidRPr="00505315">
        <w:rPr>
          <w:rFonts w:ascii="Century" w:hAnsi="Century" w:cs="Arial"/>
          <w:sz w:val="22"/>
          <w:szCs w:val="22"/>
        </w:rPr>
        <w:t xml:space="preserve">STC6481-2017, </w:t>
      </w:r>
      <w:r w:rsidRPr="00505315">
        <w:rPr>
          <w:rFonts w:ascii="Century" w:hAnsi="Century" w:cs="Arial"/>
          <w:bCs/>
          <w:iCs/>
          <w:sz w:val="22"/>
          <w:szCs w:val="22"/>
          <w:lang w:val="es-ES_tradnl"/>
        </w:rPr>
        <w:t>CSJ S</w:t>
      </w:r>
      <w:r w:rsidRPr="00505315">
        <w:rPr>
          <w:rFonts w:ascii="Century" w:eastAsia="Calibri" w:hAnsi="Century" w:cs="Arial"/>
          <w:sz w:val="22"/>
          <w:szCs w:val="22"/>
        </w:rPr>
        <w:t xml:space="preserve">TC10405-2017, </w:t>
      </w:r>
      <w:r w:rsidRPr="00505315">
        <w:rPr>
          <w:rFonts w:ascii="Century" w:hAnsi="Century" w:cs="Arial"/>
          <w:bCs/>
          <w:iCs/>
          <w:sz w:val="22"/>
          <w:szCs w:val="22"/>
        </w:rPr>
        <w:t>STC11058-2016, entre otras</w:t>
      </w:r>
      <w:r w:rsidRPr="00505315">
        <w:rPr>
          <w:rFonts w:ascii="Century" w:eastAsia="Calibri" w:hAnsi="Century" w:cs="Arial"/>
          <w:sz w:val="22"/>
          <w:szCs w:val="22"/>
        </w:rPr>
        <w:t>.</w:t>
      </w:r>
    </w:p>
  </w:footnote>
  <w:footnote w:id="16">
    <w:p w14:paraId="059D07F7" w14:textId="680A7B8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2F83F5FA" w:rsidRPr="00505315">
        <w:rPr>
          <w:rFonts w:ascii="Century" w:hAnsi="Century"/>
          <w:sz w:val="22"/>
          <w:szCs w:val="22"/>
        </w:rPr>
        <w:t xml:space="preserve"> </w:t>
      </w:r>
      <w:r w:rsidR="2F83F5FA" w:rsidRPr="2F83F5FA">
        <w:rPr>
          <w:rFonts w:ascii="Century" w:hAnsi="Century" w:cs="Arial"/>
          <w:sz w:val="22"/>
          <w:szCs w:val="22"/>
        </w:rPr>
        <w:t>CSJ. STC-640-2020.</w:t>
      </w:r>
    </w:p>
  </w:footnote>
  <w:footnote w:id="17">
    <w:p w14:paraId="74474B92" w14:textId="17AB065C"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1D54DD42" w:rsidRPr="00505315">
        <w:rPr>
          <w:rFonts w:ascii="Century" w:hAnsi="Century"/>
          <w:sz w:val="22"/>
          <w:szCs w:val="22"/>
        </w:rPr>
        <w:t xml:space="preserve"> </w:t>
      </w:r>
      <w:r w:rsidR="1D54DD42" w:rsidRPr="1D54DD42">
        <w:rPr>
          <w:rFonts w:ascii="Century" w:hAnsi="Century" w:cs="Arial"/>
          <w:sz w:val="22"/>
          <w:szCs w:val="22"/>
        </w:rPr>
        <w:t>CSJ. STC-976-2020</w:t>
      </w:r>
    </w:p>
  </w:footnote>
  <w:footnote w:id="18">
    <w:p w14:paraId="2E930927" w14:textId="77777777" w:rsidR="005A2B7C" w:rsidRPr="00FE6910" w:rsidRDefault="005A2B7C" w:rsidP="005A2B7C">
      <w:pPr>
        <w:pStyle w:val="Textonotapie"/>
        <w:rPr>
          <w:lang w:val="es-CO"/>
        </w:rPr>
      </w:pPr>
      <w:r w:rsidRPr="00FE6910">
        <w:rPr>
          <w:rStyle w:val="Refdenotaalpie"/>
          <w:rFonts w:ascii="Century" w:hAnsi="Century"/>
          <w:sz w:val="22"/>
          <w:szCs w:val="22"/>
        </w:rPr>
        <w:footnoteRef/>
      </w:r>
      <w:r w:rsidRPr="00FE6910">
        <w:rPr>
          <w:rFonts w:ascii="Century" w:hAnsi="Century"/>
          <w:sz w:val="22"/>
          <w:szCs w:val="22"/>
        </w:rPr>
        <w:t xml:space="preserve"> </w:t>
      </w:r>
      <w:r w:rsidRPr="00FE6910">
        <w:rPr>
          <w:rFonts w:ascii="Century" w:hAnsi="Century"/>
          <w:sz w:val="22"/>
          <w:szCs w:val="22"/>
          <w:lang w:val="es-CO"/>
        </w:rPr>
        <w:t>CC. SU-418 de 2019.</w:t>
      </w:r>
    </w:p>
  </w:footnote>
  <w:footnote w:id="19">
    <w:p w14:paraId="59D2EC24" w14:textId="77777777" w:rsidR="005A2B7C" w:rsidRPr="00FE6910" w:rsidRDefault="005A2B7C" w:rsidP="005A2B7C">
      <w:pPr>
        <w:pStyle w:val="Textonotapie"/>
        <w:jc w:val="both"/>
        <w:rPr>
          <w:rFonts w:ascii="Century" w:hAnsi="Century" w:cs="Arial"/>
          <w:bCs/>
          <w:iCs/>
          <w:sz w:val="22"/>
          <w:szCs w:val="22"/>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cs="Arial"/>
          <w:bCs/>
          <w:iCs/>
          <w:sz w:val="22"/>
          <w:szCs w:val="22"/>
        </w:rPr>
        <w:t xml:space="preserve">CSJ. Sala de Casación Civil, </w:t>
      </w:r>
      <w:r>
        <w:rPr>
          <w:rFonts w:ascii="Century" w:hAnsi="Century" w:cs="Arial"/>
          <w:bCs/>
          <w:iCs/>
          <w:sz w:val="22"/>
          <w:szCs w:val="22"/>
        </w:rPr>
        <w:t xml:space="preserve">Sentencia del 27-05-2020, </w:t>
      </w:r>
      <w:r w:rsidRPr="00505315">
        <w:rPr>
          <w:rFonts w:ascii="Century" w:hAnsi="Century" w:cs="Arial"/>
          <w:bCs/>
          <w:iCs/>
          <w:sz w:val="22"/>
          <w:szCs w:val="22"/>
        </w:rPr>
        <w:t>No.2020-</w:t>
      </w:r>
      <w:r>
        <w:rPr>
          <w:rFonts w:ascii="Century" w:hAnsi="Century" w:cs="Arial"/>
          <w:bCs/>
          <w:iCs/>
          <w:sz w:val="22"/>
          <w:szCs w:val="22"/>
        </w:rPr>
        <w:t>01068-00</w:t>
      </w:r>
      <w:r w:rsidRPr="00505315">
        <w:rPr>
          <w:rFonts w:ascii="Century" w:hAnsi="Century" w:cs="Arial"/>
          <w:bCs/>
          <w:iCs/>
          <w:sz w:val="22"/>
          <w:szCs w:val="22"/>
        </w:rPr>
        <w:t>, MP: Tolosa V</w:t>
      </w:r>
      <w:r>
        <w:rPr>
          <w:rFonts w:ascii="Century" w:hAnsi="Century" w:cs="Arial"/>
          <w:bCs/>
          <w:iCs/>
          <w:sz w:val="22"/>
          <w:szCs w:val="22"/>
        </w:rPr>
        <w:t xml:space="preserve">.; también puede consultarse la STC10704-2020 y la STC14037-2019. </w:t>
      </w:r>
    </w:p>
  </w:footnote>
  <w:footnote w:id="20">
    <w:p w14:paraId="04955DE6"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Ídem.</w:t>
      </w:r>
    </w:p>
  </w:footnote>
  <w:footnote w:id="21">
    <w:p w14:paraId="713FF7ED" w14:textId="77777777" w:rsidR="003D663C" w:rsidRPr="00505315" w:rsidRDefault="003D663C" w:rsidP="00505315">
      <w:pPr>
        <w:pStyle w:val="Textonotapie"/>
        <w:jc w:val="both"/>
        <w:rPr>
          <w:rFonts w:ascii="Century" w:hAnsi="Century"/>
          <w:sz w:val="22"/>
          <w:szCs w:val="22"/>
          <w:lang w:val="es-CO"/>
        </w:rPr>
      </w:pPr>
      <w:r w:rsidRPr="00505315">
        <w:rPr>
          <w:rStyle w:val="Refdenotaalpie"/>
          <w:rFonts w:ascii="Century" w:hAnsi="Century"/>
          <w:sz w:val="22"/>
          <w:szCs w:val="22"/>
        </w:rPr>
        <w:footnoteRef/>
      </w:r>
      <w:r w:rsidRPr="00505315">
        <w:rPr>
          <w:rFonts w:ascii="Century" w:hAnsi="Century"/>
          <w:sz w:val="22"/>
          <w:szCs w:val="22"/>
        </w:rPr>
        <w:t xml:space="preserve"> </w:t>
      </w:r>
      <w:r w:rsidRPr="00505315">
        <w:rPr>
          <w:rFonts w:ascii="Century" w:hAnsi="Century"/>
          <w:sz w:val="22"/>
          <w:szCs w:val="22"/>
          <w:lang w:val="es-CO"/>
        </w:rPr>
        <w:t>ROJAS G., Miguel E. Ob. Cit., p.497</w:t>
      </w:r>
      <w:r w:rsidRPr="00505315">
        <w:rPr>
          <w:rFonts w:ascii="Century" w:hAnsi="Century" w:cs="Calibri"/>
          <w:sz w:val="22"/>
          <w:szCs w:val="22"/>
        </w:rPr>
        <w:t>.</w:t>
      </w:r>
    </w:p>
  </w:footnote>
  <w:footnote w:id="22">
    <w:p w14:paraId="117BC0CB" w14:textId="77777777" w:rsidR="00A4720E" w:rsidRDefault="00A4720E" w:rsidP="00A4720E">
      <w:pPr>
        <w:pStyle w:val="Textonotapie"/>
        <w:rPr>
          <w:rFonts w:ascii="Century" w:hAnsi="Century"/>
          <w:sz w:val="22"/>
          <w:lang w:val="es-CO"/>
        </w:rPr>
      </w:pPr>
      <w:r>
        <w:rPr>
          <w:rStyle w:val="Refdenotaalpie"/>
          <w:rFonts w:ascii="Century" w:hAnsi="Century"/>
          <w:sz w:val="22"/>
        </w:rPr>
        <w:footnoteRef/>
      </w:r>
      <w:r>
        <w:rPr>
          <w:rFonts w:ascii="Century" w:hAnsi="Century"/>
          <w:sz w:val="22"/>
        </w:rPr>
        <w:t xml:space="preserve"> </w:t>
      </w:r>
      <w:r>
        <w:rPr>
          <w:rFonts w:ascii="Century" w:hAnsi="Century"/>
          <w:sz w:val="22"/>
          <w:lang w:val="es-CO"/>
        </w:rPr>
        <w:t>CSJ. STC005-2021.</w:t>
      </w:r>
    </w:p>
  </w:footnote>
  <w:footnote w:id="23">
    <w:p w14:paraId="766F28A9" w14:textId="77777777" w:rsidR="00F640A5" w:rsidRPr="00A4720E" w:rsidRDefault="00F640A5" w:rsidP="00F640A5">
      <w:pPr>
        <w:pStyle w:val="Textonotapie"/>
        <w:rPr>
          <w:rFonts w:ascii="Century" w:hAnsi="Century"/>
          <w:sz w:val="22"/>
          <w:lang w:val="es-CO"/>
        </w:rPr>
      </w:pPr>
      <w:r w:rsidRPr="00A4720E">
        <w:rPr>
          <w:rStyle w:val="Refdenotaalpie"/>
          <w:rFonts w:ascii="Century" w:hAnsi="Century"/>
          <w:sz w:val="22"/>
        </w:rPr>
        <w:footnoteRef/>
      </w:r>
      <w:r w:rsidRPr="00A4720E">
        <w:rPr>
          <w:rFonts w:ascii="Century" w:hAnsi="Century"/>
          <w:sz w:val="22"/>
        </w:rPr>
        <w:t xml:space="preserve"> </w:t>
      </w:r>
      <w:r>
        <w:rPr>
          <w:rFonts w:ascii="Century" w:hAnsi="Century"/>
          <w:sz w:val="22"/>
        </w:rPr>
        <w:t>CSJ. STC3179-2021.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5A6C3C" w:rsidRDefault="00045CE3" w:rsidP="005A6C3C">
    <w:pPr>
      <w:pStyle w:val="Encabezado"/>
      <w:pBdr>
        <w:bottom w:val="single" w:sz="4" w:space="1" w:color="D9D9D9"/>
      </w:pBdr>
      <w:jc w:val="right"/>
      <w:rPr>
        <w:rFonts w:ascii="Georgia" w:hAnsi="Georgia" w:cs="Calibri"/>
        <w:bCs/>
      </w:rPr>
    </w:pPr>
    <w:r w:rsidRPr="005A6C3C">
      <w:rPr>
        <w:rFonts w:ascii="Georgia" w:hAnsi="Georgia" w:cs="Calibri"/>
        <w:spacing w:val="60"/>
      </w:rPr>
      <w:t>Página</w:t>
    </w:r>
    <w:r w:rsidRPr="005A6C3C">
      <w:rPr>
        <w:rFonts w:ascii="Georgia" w:hAnsi="Georgia" w:cs="Calibri"/>
      </w:rPr>
      <w:t xml:space="preserve"> | </w:t>
    </w:r>
    <w:r w:rsidRPr="005A6C3C">
      <w:rPr>
        <w:rFonts w:ascii="Georgia" w:hAnsi="Georgia" w:cs="Calibri"/>
      </w:rPr>
      <w:fldChar w:fldCharType="begin"/>
    </w:r>
    <w:r w:rsidRPr="005A6C3C">
      <w:rPr>
        <w:rFonts w:ascii="Georgia" w:hAnsi="Georgia" w:cs="Calibri"/>
      </w:rPr>
      <w:instrText>PAGE   \* MERGEFORMAT</w:instrText>
    </w:r>
    <w:r w:rsidRPr="005A6C3C">
      <w:rPr>
        <w:rFonts w:ascii="Georgia" w:hAnsi="Georgia" w:cs="Calibri"/>
      </w:rPr>
      <w:fldChar w:fldCharType="separate"/>
    </w:r>
    <w:r w:rsidR="005776F2" w:rsidRPr="005A6C3C">
      <w:rPr>
        <w:rFonts w:ascii="Georgia" w:hAnsi="Georgia" w:cs="Calibri"/>
        <w:bCs/>
        <w:noProof/>
      </w:rPr>
      <w:t>5</w:t>
    </w:r>
    <w:r w:rsidRPr="005A6C3C">
      <w:rPr>
        <w:rFonts w:ascii="Georgia" w:hAnsi="Georgia" w:cs="Calibri"/>
      </w:rPr>
      <w:fldChar w:fldCharType="end"/>
    </w:r>
  </w:p>
  <w:p w14:paraId="7C2AC038" w14:textId="73853CCD" w:rsidR="00045CE3" w:rsidRPr="005A6C3C" w:rsidRDefault="00045CE3" w:rsidP="00045CE3">
    <w:pPr>
      <w:pStyle w:val="Encabezado"/>
      <w:rPr>
        <w:rFonts w:ascii="Georgia" w:hAnsi="Georgia" w:cs="Iskoola Pota"/>
        <w:i/>
        <w:sz w:val="18"/>
        <w:lang w:val="es-CO"/>
      </w:rPr>
    </w:pPr>
    <w:r w:rsidRPr="005A6C3C">
      <w:rPr>
        <w:rFonts w:ascii="Georgia" w:hAnsi="Georgia" w:cs="Iskoola Pota"/>
        <w:i/>
        <w:lang w:val="es-CO"/>
      </w:rPr>
      <w:t>E</w:t>
    </w:r>
    <w:r w:rsidRPr="005A6C3C">
      <w:rPr>
        <w:rFonts w:ascii="Georgia" w:hAnsi="Georgia" w:cs="Iskoola Pota"/>
        <w:i/>
        <w:sz w:val="16"/>
        <w:lang w:val="es-CO"/>
      </w:rPr>
      <w:t>XPEDIENTE No.</w:t>
    </w:r>
    <w:r w:rsidR="005A6C3C" w:rsidRPr="005A6C3C">
      <w:rPr>
        <w:rFonts w:ascii="Georgia" w:hAnsi="Georgia" w:cs="Iskoola Pota"/>
        <w:i/>
        <w:sz w:val="16"/>
        <w:lang w:val="es-CO"/>
      </w:rPr>
      <w:t xml:space="preserve"> </w:t>
    </w:r>
    <w:r w:rsidR="00B16D2A" w:rsidRPr="005A6C3C">
      <w:rPr>
        <w:rFonts w:ascii="Georgia" w:hAnsi="Georgia" w:cs="Iskoola Pota"/>
        <w:i/>
        <w:sz w:val="16"/>
        <w:lang w:val="es-CO"/>
      </w:rPr>
      <w:t>20</w:t>
    </w:r>
    <w:r w:rsidR="00194956" w:rsidRPr="005A6C3C">
      <w:rPr>
        <w:rFonts w:ascii="Georgia" w:hAnsi="Georgia" w:cs="Iskoola Pota"/>
        <w:i/>
        <w:sz w:val="16"/>
        <w:lang w:val="es-CO"/>
      </w:rPr>
      <w:t>20</w:t>
    </w:r>
    <w:r w:rsidR="005E24AC" w:rsidRPr="005A6C3C">
      <w:rPr>
        <w:rFonts w:ascii="Georgia" w:hAnsi="Georgia" w:cs="Iskoola Pota"/>
        <w:i/>
        <w:sz w:val="16"/>
        <w:lang w:val="es-CO"/>
      </w:rPr>
      <w:t>-</w:t>
    </w:r>
    <w:r w:rsidR="00B16D2A" w:rsidRPr="005A6C3C">
      <w:rPr>
        <w:rFonts w:ascii="Georgia" w:hAnsi="Georgia" w:cs="Iskoola Pota"/>
        <w:i/>
        <w:sz w:val="16"/>
        <w:lang w:val="es-CO"/>
      </w:rPr>
      <w:t>0</w:t>
    </w:r>
    <w:r w:rsidR="00096EAF" w:rsidRPr="005A6C3C">
      <w:rPr>
        <w:rFonts w:ascii="Georgia" w:hAnsi="Georgia" w:cs="Iskoola Pota"/>
        <w:i/>
        <w:sz w:val="16"/>
        <w:lang w:val="es-CO"/>
      </w:rPr>
      <w:t>0</w:t>
    </w:r>
    <w:r w:rsidR="00194956" w:rsidRPr="005A6C3C">
      <w:rPr>
        <w:rFonts w:ascii="Georgia" w:hAnsi="Georgia" w:cs="Iskoola Pota"/>
        <w:i/>
        <w:sz w:val="16"/>
        <w:lang w:val="es-CO"/>
      </w:rPr>
      <w:t>240</w:t>
    </w:r>
    <w:r w:rsidR="005E24AC" w:rsidRPr="005A6C3C">
      <w:rPr>
        <w:rFonts w:ascii="Georgia" w:hAnsi="Georgia" w:cs="Iskoola Pota"/>
        <w:i/>
        <w:sz w:val="16"/>
        <w:lang w:val="es-CO"/>
      </w:rPr>
      <w:t>-</w:t>
    </w:r>
    <w:r w:rsidR="0028371F" w:rsidRPr="005A6C3C">
      <w:rPr>
        <w:rFonts w:ascii="Georgia" w:hAnsi="Georgia" w:cs="Iskoola Pota"/>
        <w:i/>
        <w:sz w:val="16"/>
        <w:lang w:val="es-CO"/>
      </w:rPr>
      <w:t>01</w:t>
    </w:r>
  </w:p>
  <w:p w14:paraId="7C2AC039" w14:textId="77777777" w:rsidR="008D321B" w:rsidRPr="005A6C3C" w:rsidRDefault="008D321B" w:rsidP="00045CE3">
    <w:pPr>
      <w:pStyle w:val="Encabezado"/>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8BFA57A8"/>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1"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6"/>
  </w:num>
  <w:num w:numId="2">
    <w:abstractNumId w:val="10"/>
  </w:num>
  <w:num w:numId="3">
    <w:abstractNumId w:val="21"/>
  </w:num>
  <w:num w:numId="4">
    <w:abstractNumId w:val="19"/>
  </w:num>
  <w:num w:numId="5">
    <w:abstractNumId w:val="9"/>
  </w:num>
  <w:num w:numId="6">
    <w:abstractNumId w:val="4"/>
  </w:num>
  <w:num w:numId="7">
    <w:abstractNumId w:val="15"/>
  </w:num>
  <w:num w:numId="8">
    <w:abstractNumId w:val="5"/>
  </w:num>
  <w:num w:numId="9">
    <w:abstractNumId w:val="3"/>
  </w:num>
  <w:num w:numId="10">
    <w:abstractNumId w:val="13"/>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74EAB"/>
    <w:rsid w:val="00081941"/>
    <w:rsid w:val="00085933"/>
    <w:rsid w:val="000930EC"/>
    <w:rsid w:val="00095E19"/>
    <w:rsid w:val="000960ED"/>
    <w:rsid w:val="00096EAF"/>
    <w:rsid w:val="000979F2"/>
    <w:rsid w:val="000A3198"/>
    <w:rsid w:val="000B2C44"/>
    <w:rsid w:val="000B4877"/>
    <w:rsid w:val="000B6B52"/>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F08E0"/>
    <w:rsid w:val="000F16E3"/>
    <w:rsid w:val="000F1B66"/>
    <w:rsid w:val="000F2937"/>
    <w:rsid w:val="000F3C01"/>
    <w:rsid w:val="000F6932"/>
    <w:rsid w:val="00101FBE"/>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38CD"/>
    <w:rsid w:val="00163A34"/>
    <w:rsid w:val="00164689"/>
    <w:rsid w:val="001709A1"/>
    <w:rsid w:val="00173A56"/>
    <w:rsid w:val="00175940"/>
    <w:rsid w:val="001829D4"/>
    <w:rsid w:val="00184960"/>
    <w:rsid w:val="00190036"/>
    <w:rsid w:val="00192621"/>
    <w:rsid w:val="00194956"/>
    <w:rsid w:val="00197EA7"/>
    <w:rsid w:val="00197EF3"/>
    <w:rsid w:val="001A46C4"/>
    <w:rsid w:val="001A5399"/>
    <w:rsid w:val="001A565D"/>
    <w:rsid w:val="001A643C"/>
    <w:rsid w:val="001A688F"/>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DD"/>
    <w:rsid w:val="002A7A4F"/>
    <w:rsid w:val="002B513B"/>
    <w:rsid w:val="002C4195"/>
    <w:rsid w:val="002C7A37"/>
    <w:rsid w:val="002C7ABF"/>
    <w:rsid w:val="002D4917"/>
    <w:rsid w:val="002D605B"/>
    <w:rsid w:val="002E0BA3"/>
    <w:rsid w:val="002E11C8"/>
    <w:rsid w:val="002E21FB"/>
    <w:rsid w:val="002E5263"/>
    <w:rsid w:val="002E562C"/>
    <w:rsid w:val="002E660C"/>
    <w:rsid w:val="002F4DF5"/>
    <w:rsid w:val="002F7410"/>
    <w:rsid w:val="003013A2"/>
    <w:rsid w:val="00301DDF"/>
    <w:rsid w:val="00301E59"/>
    <w:rsid w:val="00305C99"/>
    <w:rsid w:val="00310556"/>
    <w:rsid w:val="00310588"/>
    <w:rsid w:val="00310EAB"/>
    <w:rsid w:val="00312D22"/>
    <w:rsid w:val="0031682A"/>
    <w:rsid w:val="00323447"/>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77861"/>
    <w:rsid w:val="0038158A"/>
    <w:rsid w:val="00384791"/>
    <w:rsid w:val="00385E87"/>
    <w:rsid w:val="00386111"/>
    <w:rsid w:val="00386189"/>
    <w:rsid w:val="00392869"/>
    <w:rsid w:val="00392F07"/>
    <w:rsid w:val="00392FC9"/>
    <w:rsid w:val="00393DD3"/>
    <w:rsid w:val="003972DC"/>
    <w:rsid w:val="003A1A5B"/>
    <w:rsid w:val="003B03A4"/>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4D7"/>
    <w:rsid w:val="00487703"/>
    <w:rsid w:val="0049196E"/>
    <w:rsid w:val="004A1395"/>
    <w:rsid w:val="004A3DC5"/>
    <w:rsid w:val="004A7C24"/>
    <w:rsid w:val="004B145C"/>
    <w:rsid w:val="004B6BF7"/>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484"/>
    <w:rsid w:val="0053073B"/>
    <w:rsid w:val="00531547"/>
    <w:rsid w:val="00540904"/>
    <w:rsid w:val="00541D65"/>
    <w:rsid w:val="0054427C"/>
    <w:rsid w:val="0055115B"/>
    <w:rsid w:val="00552815"/>
    <w:rsid w:val="00564C16"/>
    <w:rsid w:val="0056570B"/>
    <w:rsid w:val="005668DE"/>
    <w:rsid w:val="00570A9B"/>
    <w:rsid w:val="00570C60"/>
    <w:rsid w:val="00572804"/>
    <w:rsid w:val="005768FC"/>
    <w:rsid w:val="005776F2"/>
    <w:rsid w:val="00582F12"/>
    <w:rsid w:val="00583958"/>
    <w:rsid w:val="005853EA"/>
    <w:rsid w:val="0058709F"/>
    <w:rsid w:val="005938D9"/>
    <w:rsid w:val="00596AD2"/>
    <w:rsid w:val="00597D74"/>
    <w:rsid w:val="005A2B7C"/>
    <w:rsid w:val="005A5BAB"/>
    <w:rsid w:val="005A6C3C"/>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0EF"/>
    <w:rsid w:val="007031D1"/>
    <w:rsid w:val="00707F42"/>
    <w:rsid w:val="00712790"/>
    <w:rsid w:val="00715013"/>
    <w:rsid w:val="00725DA4"/>
    <w:rsid w:val="00726D6E"/>
    <w:rsid w:val="00727833"/>
    <w:rsid w:val="007326D4"/>
    <w:rsid w:val="007330E3"/>
    <w:rsid w:val="00734860"/>
    <w:rsid w:val="00737026"/>
    <w:rsid w:val="00740B86"/>
    <w:rsid w:val="00742351"/>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0678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6E0A"/>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0CF"/>
    <w:rsid w:val="00956A70"/>
    <w:rsid w:val="0095728D"/>
    <w:rsid w:val="00963ECB"/>
    <w:rsid w:val="00965E80"/>
    <w:rsid w:val="00967A53"/>
    <w:rsid w:val="00967D6F"/>
    <w:rsid w:val="009759B2"/>
    <w:rsid w:val="009823F0"/>
    <w:rsid w:val="00982ED1"/>
    <w:rsid w:val="00985FD1"/>
    <w:rsid w:val="0099309B"/>
    <w:rsid w:val="009948F2"/>
    <w:rsid w:val="009969C3"/>
    <w:rsid w:val="009A1240"/>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420E"/>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21A2"/>
    <w:rsid w:val="00AA4E6B"/>
    <w:rsid w:val="00AB2D84"/>
    <w:rsid w:val="00AB3B45"/>
    <w:rsid w:val="00AB3C1E"/>
    <w:rsid w:val="00AB6D90"/>
    <w:rsid w:val="00AC0533"/>
    <w:rsid w:val="00AC51E2"/>
    <w:rsid w:val="00AC7002"/>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7678"/>
    <w:rsid w:val="00B52EC6"/>
    <w:rsid w:val="00B54036"/>
    <w:rsid w:val="00B55A68"/>
    <w:rsid w:val="00B60061"/>
    <w:rsid w:val="00B61365"/>
    <w:rsid w:val="00B62758"/>
    <w:rsid w:val="00B6380C"/>
    <w:rsid w:val="00B63D21"/>
    <w:rsid w:val="00B66ADF"/>
    <w:rsid w:val="00B675CB"/>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B30"/>
    <w:rsid w:val="00C54FE1"/>
    <w:rsid w:val="00C608CB"/>
    <w:rsid w:val="00C60906"/>
    <w:rsid w:val="00C6154F"/>
    <w:rsid w:val="00C6424D"/>
    <w:rsid w:val="00C647E5"/>
    <w:rsid w:val="00C65DA3"/>
    <w:rsid w:val="00C741D5"/>
    <w:rsid w:val="00C81008"/>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E5C8A"/>
    <w:rsid w:val="00CF034C"/>
    <w:rsid w:val="00CF0EBE"/>
    <w:rsid w:val="00CF16F4"/>
    <w:rsid w:val="00CF3CF5"/>
    <w:rsid w:val="00CF6850"/>
    <w:rsid w:val="00CF7AA1"/>
    <w:rsid w:val="00D02CB4"/>
    <w:rsid w:val="00D06465"/>
    <w:rsid w:val="00D112E2"/>
    <w:rsid w:val="00D1698E"/>
    <w:rsid w:val="00D2108D"/>
    <w:rsid w:val="00D2440A"/>
    <w:rsid w:val="00D26844"/>
    <w:rsid w:val="00D33A4E"/>
    <w:rsid w:val="00D4141F"/>
    <w:rsid w:val="00D46DD8"/>
    <w:rsid w:val="00D47ACB"/>
    <w:rsid w:val="00D5056C"/>
    <w:rsid w:val="00D51EAD"/>
    <w:rsid w:val="00D5369D"/>
    <w:rsid w:val="00D619AE"/>
    <w:rsid w:val="00D70FD2"/>
    <w:rsid w:val="00D71B92"/>
    <w:rsid w:val="00D73D69"/>
    <w:rsid w:val="00D757EF"/>
    <w:rsid w:val="00D764CA"/>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01A"/>
    <w:rsid w:val="00E14DB5"/>
    <w:rsid w:val="00E15A72"/>
    <w:rsid w:val="00E16943"/>
    <w:rsid w:val="00E17508"/>
    <w:rsid w:val="00E2193F"/>
    <w:rsid w:val="00E23B32"/>
    <w:rsid w:val="00E253EE"/>
    <w:rsid w:val="00E25666"/>
    <w:rsid w:val="00E2686D"/>
    <w:rsid w:val="00E316D9"/>
    <w:rsid w:val="00E34EB6"/>
    <w:rsid w:val="00E42B6A"/>
    <w:rsid w:val="00E4399D"/>
    <w:rsid w:val="00E44741"/>
    <w:rsid w:val="00E4534F"/>
    <w:rsid w:val="00E53231"/>
    <w:rsid w:val="00E54E75"/>
    <w:rsid w:val="00E55393"/>
    <w:rsid w:val="00E5643E"/>
    <w:rsid w:val="00E5720B"/>
    <w:rsid w:val="00E620D1"/>
    <w:rsid w:val="00E642EC"/>
    <w:rsid w:val="00E64F38"/>
    <w:rsid w:val="00E7400E"/>
    <w:rsid w:val="00E7402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51D7"/>
    <w:rsid w:val="00EE7051"/>
    <w:rsid w:val="00EE746B"/>
    <w:rsid w:val="00EF4827"/>
    <w:rsid w:val="00F00DDF"/>
    <w:rsid w:val="00F0240A"/>
    <w:rsid w:val="00F03D99"/>
    <w:rsid w:val="00F121C1"/>
    <w:rsid w:val="00F12B4A"/>
    <w:rsid w:val="00F1564B"/>
    <w:rsid w:val="00F20247"/>
    <w:rsid w:val="00F2467F"/>
    <w:rsid w:val="00F25594"/>
    <w:rsid w:val="00F25900"/>
    <w:rsid w:val="00F31348"/>
    <w:rsid w:val="00F32BA7"/>
    <w:rsid w:val="00F404F9"/>
    <w:rsid w:val="00F4425A"/>
    <w:rsid w:val="00F6163C"/>
    <w:rsid w:val="00F640A5"/>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9FA"/>
    <w:rsid w:val="00FC0A1B"/>
    <w:rsid w:val="00FC0DD8"/>
    <w:rsid w:val="00FC31C3"/>
    <w:rsid w:val="00FC5390"/>
    <w:rsid w:val="00FC5EB6"/>
    <w:rsid w:val="00FC71C5"/>
    <w:rsid w:val="00FC7BF7"/>
    <w:rsid w:val="00FD32C0"/>
    <w:rsid w:val="00FD7D84"/>
    <w:rsid w:val="00FD7EDC"/>
    <w:rsid w:val="00FE34AA"/>
    <w:rsid w:val="00FE41FD"/>
    <w:rsid w:val="00FE5DF2"/>
    <w:rsid w:val="00FE74F1"/>
    <w:rsid w:val="00FE7B0C"/>
    <w:rsid w:val="00FF132F"/>
    <w:rsid w:val="00FF43FE"/>
    <w:rsid w:val="00FF54D4"/>
    <w:rsid w:val="00FF769E"/>
    <w:rsid w:val="01B34333"/>
    <w:rsid w:val="01C9807B"/>
    <w:rsid w:val="03A11A30"/>
    <w:rsid w:val="058B6C11"/>
    <w:rsid w:val="0612A0BC"/>
    <w:rsid w:val="061A91F2"/>
    <w:rsid w:val="064C8239"/>
    <w:rsid w:val="065BA151"/>
    <w:rsid w:val="06BE1574"/>
    <w:rsid w:val="06C17977"/>
    <w:rsid w:val="06D6D279"/>
    <w:rsid w:val="06D7BDAF"/>
    <w:rsid w:val="073000D8"/>
    <w:rsid w:val="07468933"/>
    <w:rsid w:val="0782FC57"/>
    <w:rsid w:val="07A85B0C"/>
    <w:rsid w:val="07E07DC8"/>
    <w:rsid w:val="081311DF"/>
    <w:rsid w:val="08882C9B"/>
    <w:rsid w:val="08C30CD3"/>
    <w:rsid w:val="0A1DB062"/>
    <w:rsid w:val="0AC48556"/>
    <w:rsid w:val="0B4BD825"/>
    <w:rsid w:val="0BADC8A1"/>
    <w:rsid w:val="0BFAAD95"/>
    <w:rsid w:val="0C81B343"/>
    <w:rsid w:val="0D0DBD49"/>
    <w:rsid w:val="0DD277CF"/>
    <w:rsid w:val="0DF36E52"/>
    <w:rsid w:val="0E086898"/>
    <w:rsid w:val="0E1DCB06"/>
    <w:rsid w:val="0EE41A4E"/>
    <w:rsid w:val="0F8955C9"/>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77A0268"/>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4FC145F"/>
    <w:rsid w:val="252D18C0"/>
    <w:rsid w:val="25399F60"/>
    <w:rsid w:val="2559929A"/>
    <w:rsid w:val="265630D4"/>
    <w:rsid w:val="26F90DD6"/>
    <w:rsid w:val="27068A45"/>
    <w:rsid w:val="27420641"/>
    <w:rsid w:val="27430653"/>
    <w:rsid w:val="2869EF78"/>
    <w:rsid w:val="289DAB5E"/>
    <w:rsid w:val="29885D7D"/>
    <w:rsid w:val="299408D1"/>
    <w:rsid w:val="29D19995"/>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0635C4"/>
    <w:rsid w:val="3D11FCF3"/>
    <w:rsid w:val="3D93FCFD"/>
    <w:rsid w:val="3DF81096"/>
    <w:rsid w:val="3E8159B5"/>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550FA8"/>
    <w:rsid w:val="45633403"/>
    <w:rsid w:val="45D18FB3"/>
    <w:rsid w:val="461CB06A"/>
    <w:rsid w:val="4736B496"/>
    <w:rsid w:val="47F3F311"/>
    <w:rsid w:val="48641494"/>
    <w:rsid w:val="48852532"/>
    <w:rsid w:val="48DFBB02"/>
    <w:rsid w:val="49FA4A12"/>
    <w:rsid w:val="49FF7EA0"/>
    <w:rsid w:val="4B2327FB"/>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79589EB"/>
    <w:rsid w:val="5826CE77"/>
    <w:rsid w:val="5939E9B9"/>
    <w:rsid w:val="59A1A6F9"/>
    <w:rsid w:val="59EED339"/>
    <w:rsid w:val="5AB8B607"/>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2A5DD88"/>
    <w:rsid w:val="62B94E06"/>
    <w:rsid w:val="634546DA"/>
    <w:rsid w:val="63A746B3"/>
    <w:rsid w:val="63FCF3BC"/>
    <w:rsid w:val="658987B0"/>
    <w:rsid w:val="671A384C"/>
    <w:rsid w:val="6772A448"/>
    <w:rsid w:val="67A6BE49"/>
    <w:rsid w:val="680CFF67"/>
    <w:rsid w:val="6850C76D"/>
    <w:rsid w:val="68ADC28C"/>
    <w:rsid w:val="68AEF37B"/>
    <w:rsid w:val="690B14D5"/>
    <w:rsid w:val="693CB6B1"/>
    <w:rsid w:val="6957FB09"/>
    <w:rsid w:val="69619799"/>
    <w:rsid w:val="69A95697"/>
    <w:rsid w:val="69D3FFB7"/>
    <w:rsid w:val="6AB35D38"/>
    <w:rsid w:val="6AF76748"/>
    <w:rsid w:val="6B32EA3E"/>
    <w:rsid w:val="6B6D18DB"/>
    <w:rsid w:val="6C0855C6"/>
    <w:rsid w:val="6C5613E2"/>
    <w:rsid w:val="6DA00273"/>
    <w:rsid w:val="6DAF6F9A"/>
    <w:rsid w:val="6EC6C780"/>
    <w:rsid w:val="6F892C3B"/>
    <w:rsid w:val="701C695B"/>
    <w:rsid w:val="708D37B5"/>
    <w:rsid w:val="709F5578"/>
    <w:rsid w:val="71889C02"/>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8D936A9"/>
    <w:rsid w:val="79359E27"/>
    <w:rsid w:val="7998BE75"/>
    <w:rsid w:val="79F33EFF"/>
    <w:rsid w:val="7A450D4D"/>
    <w:rsid w:val="7A86B7EA"/>
    <w:rsid w:val="7AF778A2"/>
    <w:rsid w:val="7B0D676D"/>
    <w:rsid w:val="7BBD43F5"/>
    <w:rsid w:val="7BCB992C"/>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085155147">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D835-D40C-496F-9FF2-DE18FFAA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4.xml><?xml version="1.0" encoding="utf-8"?>
<ds:datastoreItem xmlns:ds="http://schemas.openxmlformats.org/officeDocument/2006/customXml" ds:itemID="{CEDC0F09-17D8-4C51-AAD4-90186109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3145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2019-10-31T14:43:00Z</cp:lastPrinted>
  <dcterms:created xsi:type="dcterms:W3CDTF">2021-05-18T12:15:00Z</dcterms:created>
  <dcterms:modified xsi:type="dcterms:W3CDTF">2022-02-26T17:50:00Z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